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343D3D" w14:textId="77777777" w:rsidR="009D12AF" w:rsidRDefault="009D12AF">
      <w:pPr>
        <w:ind w:firstLine="480"/>
        <w:rPr>
          <w:highlight w:val="yellow"/>
        </w:rPr>
      </w:pPr>
    </w:p>
    <w:p w14:paraId="001E2CFF" w14:textId="77777777" w:rsidR="009D12AF" w:rsidRDefault="009D12AF">
      <w:pPr>
        <w:ind w:firstLine="480"/>
        <w:rPr>
          <w:highlight w:val="yellow"/>
        </w:rPr>
      </w:pPr>
    </w:p>
    <w:p w14:paraId="20B0F254" w14:textId="77777777" w:rsidR="009D12AF" w:rsidRDefault="009D12AF">
      <w:pPr>
        <w:ind w:firstLine="480"/>
        <w:rPr>
          <w:highlight w:val="yellow"/>
        </w:rPr>
      </w:pPr>
    </w:p>
    <w:p w14:paraId="3F4D4321" w14:textId="77777777" w:rsidR="009D12AF" w:rsidRDefault="00000000">
      <w:pPr>
        <w:pStyle w:val="1"/>
        <w:jc w:val="center"/>
        <w:rPr>
          <w:sz w:val="48"/>
          <w:szCs w:val="28"/>
        </w:rPr>
      </w:pPr>
      <w:bookmarkStart w:id="0" w:name="_Toc5692"/>
      <w:bookmarkStart w:id="1" w:name="_Toc3245"/>
      <w:bookmarkStart w:id="2" w:name="_Toc14714"/>
      <w:r>
        <w:rPr>
          <w:rFonts w:hint="eastAsia"/>
          <w:sz w:val="48"/>
          <w:szCs w:val="28"/>
        </w:rPr>
        <w:t>海林市水库清淤与水生态治理建设项目</w:t>
      </w:r>
      <w:bookmarkEnd w:id="0"/>
      <w:bookmarkEnd w:id="1"/>
      <w:bookmarkEnd w:id="2"/>
    </w:p>
    <w:p w14:paraId="12151D36" w14:textId="77777777" w:rsidR="009D12AF" w:rsidRDefault="00000000">
      <w:pPr>
        <w:pStyle w:val="1"/>
        <w:jc w:val="center"/>
        <w:rPr>
          <w:sz w:val="48"/>
          <w:szCs w:val="28"/>
        </w:rPr>
      </w:pPr>
      <w:bookmarkStart w:id="3" w:name="_Toc29599"/>
      <w:bookmarkStart w:id="4" w:name="_Toc10707"/>
      <w:bookmarkStart w:id="5" w:name="_Toc21317"/>
      <w:bookmarkStart w:id="6" w:name="_Toc31304"/>
      <w:bookmarkStart w:id="7" w:name="_Toc5834"/>
      <w:bookmarkStart w:id="8" w:name="_Toc29124"/>
      <w:r>
        <w:rPr>
          <w:rFonts w:hint="eastAsia"/>
          <w:sz w:val="48"/>
          <w:szCs w:val="28"/>
        </w:rPr>
        <w:t>环境影响报告书</w:t>
      </w:r>
      <w:bookmarkEnd w:id="3"/>
      <w:bookmarkEnd w:id="4"/>
      <w:bookmarkEnd w:id="5"/>
      <w:bookmarkEnd w:id="6"/>
      <w:bookmarkEnd w:id="7"/>
      <w:bookmarkEnd w:id="8"/>
    </w:p>
    <w:p w14:paraId="4F0E5A63" w14:textId="77777777" w:rsidR="009D12AF" w:rsidRDefault="009D12AF">
      <w:pPr>
        <w:ind w:firstLine="480"/>
      </w:pPr>
    </w:p>
    <w:p w14:paraId="74AE6386" w14:textId="77777777" w:rsidR="009D12AF" w:rsidRDefault="009D12AF">
      <w:pPr>
        <w:ind w:firstLine="480"/>
      </w:pPr>
    </w:p>
    <w:p w14:paraId="612D0A88" w14:textId="77777777" w:rsidR="009D12AF" w:rsidRDefault="009D12AF">
      <w:pPr>
        <w:ind w:firstLine="480"/>
      </w:pPr>
    </w:p>
    <w:p w14:paraId="17F9F12E" w14:textId="77777777" w:rsidR="009D12AF" w:rsidRDefault="009D12AF">
      <w:pPr>
        <w:ind w:firstLine="480"/>
      </w:pPr>
    </w:p>
    <w:p w14:paraId="6AA62928" w14:textId="77777777" w:rsidR="009D12AF" w:rsidRDefault="009D12AF">
      <w:pPr>
        <w:ind w:firstLine="480"/>
      </w:pPr>
    </w:p>
    <w:p w14:paraId="0385CD42" w14:textId="77777777" w:rsidR="009D12AF" w:rsidRDefault="009D12AF">
      <w:pPr>
        <w:ind w:firstLine="480"/>
      </w:pPr>
    </w:p>
    <w:p w14:paraId="3F201BC4" w14:textId="77777777" w:rsidR="009D12AF" w:rsidRDefault="009D12AF">
      <w:pPr>
        <w:ind w:firstLine="480"/>
      </w:pPr>
    </w:p>
    <w:p w14:paraId="4DD61049" w14:textId="77777777" w:rsidR="009D12AF" w:rsidRDefault="009D12AF">
      <w:pPr>
        <w:ind w:firstLine="480"/>
      </w:pPr>
    </w:p>
    <w:p w14:paraId="283B9172" w14:textId="77777777" w:rsidR="009D12AF" w:rsidRDefault="009D12AF">
      <w:pPr>
        <w:ind w:firstLine="480"/>
      </w:pPr>
    </w:p>
    <w:p w14:paraId="10477C7D" w14:textId="77777777" w:rsidR="009D12AF" w:rsidRDefault="009D12AF">
      <w:pPr>
        <w:ind w:firstLine="480"/>
      </w:pPr>
    </w:p>
    <w:p w14:paraId="217F721F" w14:textId="77777777" w:rsidR="009D12AF" w:rsidRDefault="009D12AF">
      <w:pPr>
        <w:ind w:firstLine="480"/>
      </w:pPr>
    </w:p>
    <w:p w14:paraId="3149D745" w14:textId="77777777" w:rsidR="009D12AF" w:rsidRDefault="009D12AF">
      <w:pPr>
        <w:ind w:firstLine="480"/>
      </w:pPr>
    </w:p>
    <w:p w14:paraId="78D43AE5" w14:textId="77777777" w:rsidR="009D12AF" w:rsidRDefault="009D12AF">
      <w:pPr>
        <w:ind w:firstLine="480"/>
      </w:pPr>
    </w:p>
    <w:p w14:paraId="00E45250" w14:textId="77777777" w:rsidR="009D12AF" w:rsidRDefault="009D12AF">
      <w:pPr>
        <w:ind w:firstLine="480"/>
      </w:pPr>
    </w:p>
    <w:p w14:paraId="523688EC" w14:textId="77777777" w:rsidR="009D12AF" w:rsidRDefault="00000000">
      <w:pPr>
        <w:pStyle w:val="3"/>
        <w:spacing w:before="0" w:after="0"/>
        <w:rPr>
          <w:sz w:val="28"/>
          <w:szCs w:val="22"/>
        </w:rPr>
      </w:pPr>
      <w:bookmarkStart w:id="9" w:name="_Toc26248"/>
      <w:bookmarkStart w:id="10" w:name="_Toc6425"/>
      <w:bookmarkStart w:id="11" w:name="_Toc9327"/>
      <w:bookmarkStart w:id="12" w:name="_Toc16822"/>
      <w:bookmarkStart w:id="13" w:name="_Toc4800"/>
      <w:bookmarkStart w:id="14" w:name="_Toc14692"/>
      <w:r>
        <w:rPr>
          <w:rFonts w:hint="eastAsia"/>
          <w:sz w:val="28"/>
          <w:szCs w:val="22"/>
        </w:rPr>
        <w:t>建设单位：</w:t>
      </w:r>
      <w:bookmarkEnd w:id="9"/>
      <w:bookmarkEnd w:id="10"/>
      <w:bookmarkEnd w:id="11"/>
      <w:r>
        <w:rPr>
          <w:rFonts w:hint="eastAsia"/>
          <w:sz w:val="28"/>
          <w:szCs w:val="22"/>
        </w:rPr>
        <w:t>黑龙江省荣春科技环保有限公司</w:t>
      </w:r>
      <w:bookmarkEnd w:id="12"/>
      <w:bookmarkEnd w:id="13"/>
      <w:bookmarkEnd w:id="14"/>
    </w:p>
    <w:p w14:paraId="112FB8FA" w14:textId="77777777" w:rsidR="009D12AF" w:rsidRDefault="00000000">
      <w:pPr>
        <w:pStyle w:val="3"/>
        <w:spacing w:before="0" w:after="0"/>
        <w:rPr>
          <w:sz w:val="28"/>
          <w:szCs w:val="22"/>
        </w:rPr>
      </w:pPr>
      <w:bookmarkStart w:id="15" w:name="_Toc30821"/>
      <w:bookmarkStart w:id="16" w:name="_Toc29556"/>
      <w:bookmarkStart w:id="17" w:name="_Toc21048"/>
      <w:r>
        <w:rPr>
          <w:rFonts w:hint="eastAsia"/>
          <w:sz w:val="28"/>
          <w:szCs w:val="22"/>
        </w:rPr>
        <w:t>环评单位：黑龙江克巽检测技术有限公司</w:t>
      </w:r>
      <w:bookmarkEnd w:id="15"/>
      <w:bookmarkEnd w:id="16"/>
      <w:bookmarkEnd w:id="17"/>
    </w:p>
    <w:p w14:paraId="6ED81BB2" w14:textId="77777777" w:rsidR="009D12AF" w:rsidRDefault="00000000">
      <w:pPr>
        <w:pStyle w:val="3"/>
        <w:jc w:val="center"/>
        <w:rPr>
          <w:highlight w:val="yellow"/>
        </w:rPr>
        <w:sectPr w:rsidR="009D12AF">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cols w:space="425"/>
          <w:docGrid w:type="lines" w:linePitch="312"/>
        </w:sectPr>
      </w:pPr>
      <w:bookmarkStart w:id="18" w:name="_Toc13382"/>
      <w:bookmarkStart w:id="19" w:name="_Toc16837"/>
      <w:bookmarkStart w:id="20" w:name="_Toc11074"/>
      <w:bookmarkStart w:id="21" w:name="_Toc12217"/>
      <w:bookmarkStart w:id="22" w:name="_Toc14657"/>
      <w:bookmarkStart w:id="23" w:name="_Toc13584"/>
      <w:r>
        <w:rPr>
          <w:rFonts w:hint="eastAsia"/>
        </w:rPr>
        <w:t>2025</w:t>
      </w:r>
      <w:r>
        <w:rPr>
          <w:rFonts w:hint="eastAsia"/>
        </w:rPr>
        <w:t>年</w:t>
      </w:r>
      <w:r>
        <w:rPr>
          <w:rFonts w:hint="eastAsia"/>
        </w:rPr>
        <w:t>12</w:t>
      </w:r>
      <w:r>
        <w:rPr>
          <w:rFonts w:hint="eastAsia"/>
        </w:rPr>
        <w:t>月</w:t>
      </w:r>
      <w:bookmarkEnd w:id="18"/>
      <w:bookmarkEnd w:id="19"/>
      <w:bookmarkEnd w:id="20"/>
      <w:bookmarkEnd w:id="21"/>
      <w:bookmarkEnd w:id="22"/>
      <w:bookmarkEnd w:id="23"/>
    </w:p>
    <w:p w14:paraId="73AB6370" w14:textId="77777777" w:rsidR="009D12AF" w:rsidRDefault="009D12AF">
      <w:pPr>
        <w:ind w:firstLine="480"/>
        <w:rPr>
          <w:highlight w:val="yellow"/>
        </w:rPr>
      </w:pPr>
    </w:p>
    <w:p w14:paraId="1112AF8F" w14:textId="77777777" w:rsidR="009D12AF" w:rsidRDefault="00000000">
      <w:pPr>
        <w:tabs>
          <w:tab w:val="left" w:pos="3588"/>
          <w:tab w:val="center" w:pos="4213"/>
        </w:tabs>
        <w:spacing w:line="240" w:lineRule="auto"/>
        <w:ind w:firstLineChars="0" w:firstLine="0"/>
        <w:jc w:val="center"/>
        <w:rPr>
          <w:rFonts w:ascii="宋体" w:eastAsia="宋体" w:hAnsi="宋体" w:hint="eastAsia"/>
          <w:sz w:val="21"/>
        </w:rPr>
      </w:pPr>
      <w:r>
        <w:rPr>
          <w:rFonts w:ascii="宋体" w:eastAsia="宋体" w:hAnsi="宋体" w:hint="eastAsia"/>
          <w:sz w:val="21"/>
        </w:rPr>
        <w:tab/>
      </w:r>
    </w:p>
    <w:sdt>
      <w:sdtPr>
        <w:rPr>
          <w:rFonts w:ascii="宋体" w:eastAsia="宋体" w:hAnsi="宋体"/>
          <w:sz w:val="21"/>
        </w:rPr>
        <w:id w:val="147476832"/>
        <w15:color w:val="DBDBDB"/>
        <w:docPartObj>
          <w:docPartGallery w:val="Table of Contents"/>
          <w:docPartUnique/>
        </w:docPartObj>
      </w:sdtPr>
      <w:sdtEndPr>
        <w:rPr>
          <w:rFonts w:asciiTheme="minorHAnsi" w:eastAsiaTheme="minorEastAsia" w:hAnsiTheme="minorHAnsi"/>
          <w:sz w:val="24"/>
          <w:highlight w:val="yellow"/>
        </w:rPr>
      </w:sdtEndPr>
      <w:sdtContent>
        <w:p w14:paraId="14E5BBC5" w14:textId="77777777" w:rsidR="009D12AF" w:rsidRDefault="00000000">
          <w:pPr>
            <w:tabs>
              <w:tab w:val="left" w:pos="3588"/>
              <w:tab w:val="center" w:pos="4213"/>
            </w:tabs>
            <w:spacing w:line="240" w:lineRule="auto"/>
            <w:ind w:firstLineChars="0" w:firstLine="0"/>
            <w:jc w:val="center"/>
          </w:pPr>
          <w:r>
            <w:rPr>
              <w:rFonts w:ascii="宋体" w:eastAsia="宋体" w:hAnsi="宋体"/>
              <w:b/>
              <w:bCs/>
              <w:sz w:val="28"/>
              <w:szCs w:val="36"/>
            </w:rPr>
            <w:t>目</w:t>
          </w:r>
          <w:r>
            <w:rPr>
              <w:rFonts w:ascii="宋体" w:eastAsia="宋体" w:hAnsi="宋体" w:hint="eastAsia"/>
              <w:b/>
              <w:bCs/>
              <w:sz w:val="28"/>
              <w:szCs w:val="36"/>
            </w:rPr>
            <w:t xml:space="preserve"> </w:t>
          </w:r>
          <w:r>
            <w:rPr>
              <w:rFonts w:ascii="宋体" w:eastAsia="宋体" w:hAnsi="宋体"/>
              <w:b/>
              <w:bCs/>
              <w:sz w:val="28"/>
              <w:szCs w:val="36"/>
            </w:rPr>
            <w:t>录</w:t>
          </w:r>
          <w:r>
            <w:fldChar w:fldCharType="begin"/>
          </w:r>
          <w:r>
            <w:instrText xml:space="preserve">TOC \o "1-3" \h \u </w:instrText>
          </w:r>
          <w:r>
            <w:fldChar w:fldCharType="separate"/>
          </w:r>
        </w:p>
        <w:p w14:paraId="4C613E98" w14:textId="77777777" w:rsidR="009D12AF" w:rsidRDefault="00000000">
          <w:pPr>
            <w:pStyle w:val="TOC1"/>
            <w:tabs>
              <w:tab w:val="right" w:leader="dot" w:pos="8306"/>
            </w:tabs>
            <w:ind w:firstLineChars="0" w:firstLine="0"/>
          </w:pPr>
          <w:hyperlink w:anchor="_Toc20286" w:history="1">
            <w:r>
              <w:rPr>
                <w:rFonts w:hint="eastAsia"/>
              </w:rPr>
              <w:t>1</w:t>
            </w:r>
            <w:r>
              <w:t>概述</w:t>
            </w:r>
            <w:r>
              <w:tab/>
            </w:r>
            <w:r>
              <w:fldChar w:fldCharType="begin"/>
            </w:r>
            <w:r>
              <w:instrText xml:space="preserve"> PAGEREF _Toc20286 \h </w:instrText>
            </w:r>
            <w:r>
              <w:fldChar w:fldCharType="separate"/>
            </w:r>
            <w:r>
              <w:t>1</w:t>
            </w:r>
            <w:r>
              <w:fldChar w:fldCharType="end"/>
            </w:r>
          </w:hyperlink>
        </w:p>
        <w:p w14:paraId="49AB38BE" w14:textId="77777777" w:rsidR="009D12AF" w:rsidRDefault="00000000">
          <w:pPr>
            <w:pStyle w:val="TOC2"/>
            <w:tabs>
              <w:tab w:val="right" w:leader="dot" w:pos="8306"/>
            </w:tabs>
            <w:ind w:left="480" w:firstLineChars="0" w:firstLine="0"/>
          </w:pPr>
          <w:hyperlink w:anchor="_Toc6271" w:history="1">
            <w:r>
              <w:rPr>
                <w:rFonts w:hint="eastAsia"/>
              </w:rPr>
              <w:t>1.</w:t>
            </w:r>
            <w:r>
              <w:t>1</w:t>
            </w:r>
            <w:r>
              <w:t>评价任务由来</w:t>
            </w:r>
            <w:r>
              <w:tab/>
            </w:r>
            <w:r>
              <w:fldChar w:fldCharType="begin"/>
            </w:r>
            <w:r>
              <w:instrText xml:space="preserve"> PAGEREF _Toc6271 \h </w:instrText>
            </w:r>
            <w:r>
              <w:fldChar w:fldCharType="separate"/>
            </w:r>
            <w:r>
              <w:t>1</w:t>
            </w:r>
            <w:r>
              <w:fldChar w:fldCharType="end"/>
            </w:r>
          </w:hyperlink>
        </w:p>
        <w:p w14:paraId="48AC9D9A" w14:textId="77777777" w:rsidR="009D12AF" w:rsidRDefault="00000000">
          <w:pPr>
            <w:pStyle w:val="TOC2"/>
            <w:tabs>
              <w:tab w:val="right" w:leader="dot" w:pos="8306"/>
            </w:tabs>
            <w:ind w:left="480" w:firstLineChars="0" w:firstLine="0"/>
          </w:pPr>
          <w:hyperlink w:anchor="_Toc5519" w:history="1">
            <w:r>
              <w:rPr>
                <w:rFonts w:hint="eastAsia"/>
              </w:rPr>
              <w:t>1.</w:t>
            </w:r>
            <w:r>
              <w:t>2</w:t>
            </w:r>
            <w:r>
              <w:t>项目特点</w:t>
            </w:r>
            <w:r>
              <w:tab/>
            </w:r>
            <w:r>
              <w:fldChar w:fldCharType="begin"/>
            </w:r>
            <w:r>
              <w:instrText xml:space="preserve"> PAGEREF _Toc5519 \h </w:instrText>
            </w:r>
            <w:r>
              <w:fldChar w:fldCharType="separate"/>
            </w:r>
            <w:r>
              <w:t>3</w:t>
            </w:r>
            <w:r>
              <w:fldChar w:fldCharType="end"/>
            </w:r>
          </w:hyperlink>
        </w:p>
        <w:p w14:paraId="2126E8DA" w14:textId="77777777" w:rsidR="009D12AF" w:rsidRDefault="00000000">
          <w:pPr>
            <w:pStyle w:val="TOC2"/>
            <w:tabs>
              <w:tab w:val="right" w:leader="dot" w:pos="8306"/>
            </w:tabs>
            <w:ind w:left="480" w:firstLineChars="0" w:firstLine="0"/>
          </w:pPr>
          <w:hyperlink w:anchor="_Toc29532" w:history="1">
            <w:r>
              <w:rPr>
                <w:rFonts w:hint="eastAsia"/>
              </w:rPr>
              <w:t>1.</w:t>
            </w:r>
            <w:r>
              <w:t>3</w:t>
            </w:r>
            <w:r>
              <w:t>项目分析判定相关情况</w:t>
            </w:r>
            <w:r>
              <w:tab/>
            </w:r>
            <w:r>
              <w:fldChar w:fldCharType="begin"/>
            </w:r>
            <w:r>
              <w:instrText xml:space="preserve"> PAGEREF _Toc29532 \h </w:instrText>
            </w:r>
            <w:r>
              <w:fldChar w:fldCharType="separate"/>
            </w:r>
            <w:r>
              <w:t>4</w:t>
            </w:r>
            <w:r>
              <w:fldChar w:fldCharType="end"/>
            </w:r>
          </w:hyperlink>
        </w:p>
        <w:p w14:paraId="6CBFA6BE" w14:textId="77777777" w:rsidR="009D12AF" w:rsidRDefault="00000000">
          <w:pPr>
            <w:pStyle w:val="TOC3"/>
            <w:tabs>
              <w:tab w:val="right" w:leader="dot" w:pos="8306"/>
            </w:tabs>
            <w:ind w:left="960" w:firstLineChars="0" w:firstLine="0"/>
          </w:pPr>
          <w:hyperlink w:anchor="_Toc31918" w:history="1">
            <w:r>
              <w:rPr>
                <w:rFonts w:hint="eastAsia"/>
              </w:rPr>
              <w:t>1.3.1</w:t>
            </w:r>
            <w:r>
              <w:rPr>
                <w:rFonts w:asciiTheme="majorEastAsia" w:eastAsiaTheme="majorEastAsia" w:hAnsiTheme="majorEastAsia" w:cstheme="majorEastAsia" w:hint="eastAsia"/>
                <w:bCs/>
                <w:szCs w:val="32"/>
              </w:rPr>
              <w:t>生态环境分区管控符合性分析</w:t>
            </w:r>
            <w:r>
              <w:tab/>
            </w:r>
            <w:r>
              <w:fldChar w:fldCharType="begin"/>
            </w:r>
            <w:r>
              <w:instrText xml:space="preserve"> PAGEREF _Toc31918 \h </w:instrText>
            </w:r>
            <w:r>
              <w:fldChar w:fldCharType="separate"/>
            </w:r>
            <w:r>
              <w:t>4</w:t>
            </w:r>
            <w:r>
              <w:fldChar w:fldCharType="end"/>
            </w:r>
          </w:hyperlink>
        </w:p>
        <w:p w14:paraId="0F6CC608" w14:textId="77777777" w:rsidR="009D12AF" w:rsidRDefault="00000000">
          <w:pPr>
            <w:pStyle w:val="TOC3"/>
            <w:tabs>
              <w:tab w:val="right" w:leader="dot" w:pos="8306"/>
            </w:tabs>
            <w:ind w:left="960" w:firstLineChars="0" w:firstLine="0"/>
          </w:pPr>
          <w:hyperlink w:anchor="_Toc21368" w:history="1">
            <w:r>
              <w:rPr>
                <w:rFonts w:hint="eastAsia"/>
              </w:rPr>
              <w:t>1.3.2</w:t>
            </w:r>
            <w:r>
              <w:rPr>
                <w:rFonts w:hint="eastAsia"/>
              </w:rPr>
              <w:t>产业政策、规划的符合性分析</w:t>
            </w:r>
            <w:r>
              <w:tab/>
            </w:r>
            <w:r>
              <w:fldChar w:fldCharType="begin"/>
            </w:r>
            <w:r>
              <w:instrText xml:space="preserve"> PAGEREF _Toc21368 \h </w:instrText>
            </w:r>
            <w:r>
              <w:fldChar w:fldCharType="separate"/>
            </w:r>
            <w:r>
              <w:t>39</w:t>
            </w:r>
            <w:r>
              <w:fldChar w:fldCharType="end"/>
            </w:r>
          </w:hyperlink>
        </w:p>
        <w:p w14:paraId="5AF5CFE3" w14:textId="77777777" w:rsidR="009D12AF" w:rsidRDefault="00000000">
          <w:pPr>
            <w:pStyle w:val="TOC3"/>
            <w:tabs>
              <w:tab w:val="right" w:leader="dot" w:pos="8306"/>
            </w:tabs>
            <w:ind w:left="960" w:firstLineChars="0" w:firstLine="0"/>
          </w:pPr>
          <w:hyperlink w:anchor="_Toc9733" w:history="1">
            <w:r>
              <w:rPr>
                <w:rFonts w:hint="eastAsia"/>
              </w:rPr>
              <w:t>1.3.3</w:t>
            </w:r>
            <w:r>
              <w:rPr>
                <w:rFonts w:hint="eastAsia"/>
              </w:rPr>
              <w:t>选址合理性分析</w:t>
            </w:r>
            <w:r>
              <w:tab/>
            </w:r>
            <w:r>
              <w:fldChar w:fldCharType="begin"/>
            </w:r>
            <w:r>
              <w:instrText xml:space="preserve"> PAGEREF _Toc9733 \h </w:instrText>
            </w:r>
            <w:r>
              <w:fldChar w:fldCharType="separate"/>
            </w:r>
            <w:r>
              <w:t>51</w:t>
            </w:r>
            <w:r>
              <w:fldChar w:fldCharType="end"/>
            </w:r>
          </w:hyperlink>
        </w:p>
        <w:p w14:paraId="23350D09" w14:textId="77777777" w:rsidR="009D12AF" w:rsidRDefault="00000000">
          <w:pPr>
            <w:pStyle w:val="TOC2"/>
            <w:tabs>
              <w:tab w:val="right" w:leader="dot" w:pos="8306"/>
            </w:tabs>
            <w:ind w:left="480" w:firstLineChars="0" w:firstLine="0"/>
          </w:pPr>
          <w:hyperlink w:anchor="_Toc23568" w:history="1">
            <w:r>
              <w:rPr>
                <w:rFonts w:hint="eastAsia"/>
              </w:rPr>
              <w:t>1.</w:t>
            </w:r>
            <w:r>
              <w:t>4</w:t>
            </w:r>
            <w:r>
              <w:t>关注的主要环境问题及环境影响</w:t>
            </w:r>
            <w:r>
              <w:tab/>
            </w:r>
            <w:r>
              <w:fldChar w:fldCharType="begin"/>
            </w:r>
            <w:r>
              <w:instrText xml:space="preserve"> PAGEREF _Toc23568 \h </w:instrText>
            </w:r>
            <w:r>
              <w:fldChar w:fldCharType="separate"/>
            </w:r>
            <w:r>
              <w:t>54</w:t>
            </w:r>
            <w:r>
              <w:fldChar w:fldCharType="end"/>
            </w:r>
          </w:hyperlink>
        </w:p>
        <w:p w14:paraId="4541D661" w14:textId="77777777" w:rsidR="009D12AF" w:rsidRDefault="00000000">
          <w:pPr>
            <w:pStyle w:val="TOC2"/>
            <w:tabs>
              <w:tab w:val="right" w:leader="dot" w:pos="8306"/>
            </w:tabs>
            <w:ind w:left="480" w:firstLineChars="0" w:firstLine="0"/>
          </w:pPr>
          <w:hyperlink w:anchor="_Toc22919" w:history="1">
            <w:r>
              <w:rPr>
                <w:rFonts w:hint="eastAsia"/>
              </w:rPr>
              <w:t>1.</w:t>
            </w:r>
            <w:r>
              <w:t>5</w:t>
            </w:r>
            <w:r>
              <w:t>主要工作过程</w:t>
            </w:r>
            <w:r>
              <w:tab/>
            </w:r>
            <w:r>
              <w:fldChar w:fldCharType="begin"/>
            </w:r>
            <w:r>
              <w:instrText xml:space="preserve"> PAGEREF _Toc22919 \h </w:instrText>
            </w:r>
            <w:r>
              <w:fldChar w:fldCharType="separate"/>
            </w:r>
            <w:r>
              <w:t>55</w:t>
            </w:r>
            <w:r>
              <w:fldChar w:fldCharType="end"/>
            </w:r>
          </w:hyperlink>
        </w:p>
        <w:p w14:paraId="09CA255A" w14:textId="77777777" w:rsidR="009D12AF" w:rsidRDefault="00000000">
          <w:pPr>
            <w:pStyle w:val="TOC2"/>
            <w:tabs>
              <w:tab w:val="right" w:leader="dot" w:pos="8306"/>
            </w:tabs>
            <w:ind w:left="480" w:firstLineChars="0" w:firstLine="0"/>
          </w:pPr>
          <w:hyperlink w:anchor="_Toc18504" w:history="1">
            <w:r>
              <w:rPr>
                <w:rFonts w:hint="eastAsia"/>
              </w:rPr>
              <w:t>1.</w:t>
            </w:r>
            <w:r>
              <w:t>6</w:t>
            </w:r>
            <w:r>
              <w:t>环境影响报告书主要结论</w:t>
            </w:r>
            <w:r>
              <w:tab/>
            </w:r>
            <w:r>
              <w:fldChar w:fldCharType="begin"/>
            </w:r>
            <w:r>
              <w:instrText xml:space="preserve"> PAGEREF _Toc18504 \h </w:instrText>
            </w:r>
            <w:r>
              <w:fldChar w:fldCharType="separate"/>
            </w:r>
            <w:r>
              <w:t>57</w:t>
            </w:r>
            <w:r>
              <w:fldChar w:fldCharType="end"/>
            </w:r>
          </w:hyperlink>
        </w:p>
        <w:p w14:paraId="2B07A691" w14:textId="77777777" w:rsidR="009D12AF" w:rsidRDefault="00000000">
          <w:pPr>
            <w:pStyle w:val="TOC1"/>
            <w:tabs>
              <w:tab w:val="right" w:leader="dot" w:pos="8306"/>
            </w:tabs>
            <w:ind w:firstLineChars="0" w:firstLine="0"/>
          </w:pPr>
          <w:hyperlink w:anchor="_Toc13509" w:history="1">
            <w:r>
              <w:rPr>
                <w:rFonts w:hint="eastAsia"/>
              </w:rPr>
              <w:t>2</w:t>
            </w:r>
            <w:r>
              <w:rPr>
                <w:rFonts w:hint="eastAsia"/>
              </w:rPr>
              <w:t>总则</w:t>
            </w:r>
            <w:r>
              <w:tab/>
            </w:r>
            <w:r>
              <w:fldChar w:fldCharType="begin"/>
            </w:r>
            <w:r>
              <w:instrText xml:space="preserve"> PAGEREF _Toc13509 \h </w:instrText>
            </w:r>
            <w:r>
              <w:fldChar w:fldCharType="separate"/>
            </w:r>
            <w:r>
              <w:t>58</w:t>
            </w:r>
            <w:r>
              <w:fldChar w:fldCharType="end"/>
            </w:r>
          </w:hyperlink>
        </w:p>
        <w:p w14:paraId="5F8DDD58" w14:textId="77777777" w:rsidR="009D12AF" w:rsidRDefault="00000000">
          <w:pPr>
            <w:pStyle w:val="TOC2"/>
            <w:tabs>
              <w:tab w:val="right" w:leader="dot" w:pos="8306"/>
            </w:tabs>
            <w:ind w:left="480" w:firstLineChars="0" w:firstLine="0"/>
          </w:pPr>
          <w:hyperlink w:anchor="_Toc14978" w:history="1">
            <w:r>
              <w:rPr>
                <w:rFonts w:hint="eastAsia"/>
              </w:rPr>
              <w:t>2.1</w:t>
            </w:r>
            <w:r>
              <w:rPr>
                <w:rFonts w:hint="eastAsia"/>
              </w:rPr>
              <w:t>编制依据</w:t>
            </w:r>
            <w:r>
              <w:tab/>
            </w:r>
            <w:r>
              <w:fldChar w:fldCharType="begin"/>
            </w:r>
            <w:r>
              <w:instrText xml:space="preserve"> PAGEREF _Toc14978 \h </w:instrText>
            </w:r>
            <w:r>
              <w:fldChar w:fldCharType="separate"/>
            </w:r>
            <w:r>
              <w:t>58</w:t>
            </w:r>
            <w:r>
              <w:fldChar w:fldCharType="end"/>
            </w:r>
          </w:hyperlink>
        </w:p>
        <w:p w14:paraId="60715C8C" w14:textId="77777777" w:rsidR="009D12AF" w:rsidRDefault="00000000">
          <w:pPr>
            <w:pStyle w:val="TOC3"/>
            <w:tabs>
              <w:tab w:val="right" w:leader="dot" w:pos="8306"/>
            </w:tabs>
            <w:ind w:left="960" w:firstLineChars="0" w:firstLine="0"/>
          </w:pPr>
          <w:hyperlink w:anchor="_Toc10078" w:history="1">
            <w:r>
              <w:rPr>
                <w:rFonts w:hint="eastAsia"/>
              </w:rPr>
              <w:t xml:space="preserve">2.1.1 </w:t>
            </w:r>
            <w:r>
              <w:rPr>
                <w:rFonts w:hint="eastAsia"/>
              </w:rPr>
              <w:t>法律、法规与国务院规范性文件</w:t>
            </w:r>
            <w:r>
              <w:tab/>
            </w:r>
            <w:r>
              <w:fldChar w:fldCharType="begin"/>
            </w:r>
            <w:r>
              <w:instrText xml:space="preserve"> PAGEREF _Toc10078 \h </w:instrText>
            </w:r>
            <w:r>
              <w:fldChar w:fldCharType="separate"/>
            </w:r>
            <w:r>
              <w:t>58</w:t>
            </w:r>
            <w:r>
              <w:fldChar w:fldCharType="end"/>
            </w:r>
          </w:hyperlink>
        </w:p>
        <w:p w14:paraId="77F8500E" w14:textId="77777777" w:rsidR="009D12AF" w:rsidRDefault="00000000">
          <w:pPr>
            <w:pStyle w:val="TOC3"/>
            <w:tabs>
              <w:tab w:val="right" w:leader="dot" w:pos="8306"/>
            </w:tabs>
            <w:ind w:left="960" w:firstLineChars="0" w:firstLine="0"/>
          </w:pPr>
          <w:hyperlink w:anchor="_Toc1919" w:history="1">
            <w:r>
              <w:rPr>
                <w:rFonts w:hint="eastAsia"/>
              </w:rPr>
              <w:t>2</w:t>
            </w:r>
            <w:r>
              <w:t xml:space="preserve">.1.2 </w:t>
            </w:r>
            <w:r>
              <w:rPr>
                <w:rFonts w:hint="eastAsia"/>
              </w:rPr>
              <w:t>导则</w:t>
            </w:r>
            <w:r>
              <w:t>及规范性文件</w:t>
            </w:r>
            <w:r>
              <w:tab/>
            </w:r>
            <w:r>
              <w:fldChar w:fldCharType="begin"/>
            </w:r>
            <w:r>
              <w:instrText xml:space="preserve"> PAGEREF _Toc1919 \h </w:instrText>
            </w:r>
            <w:r>
              <w:fldChar w:fldCharType="separate"/>
            </w:r>
            <w:r>
              <w:t>59</w:t>
            </w:r>
            <w:r>
              <w:fldChar w:fldCharType="end"/>
            </w:r>
          </w:hyperlink>
        </w:p>
        <w:p w14:paraId="0C242A31" w14:textId="77777777" w:rsidR="009D12AF" w:rsidRDefault="00000000">
          <w:pPr>
            <w:pStyle w:val="TOC3"/>
            <w:tabs>
              <w:tab w:val="right" w:leader="dot" w:pos="8306"/>
            </w:tabs>
            <w:ind w:left="960" w:firstLineChars="0" w:firstLine="0"/>
          </w:pPr>
          <w:hyperlink w:anchor="_Toc20524" w:history="1">
            <w:r>
              <w:rPr>
                <w:rFonts w:hint="eastAsia"/>
              </w:rPr>
              <w:t>2</w:t>
            </w:r>
            <w:r>
              <w:t xml:space="preserve">.1.3 </w:t>
            </w:r>
            <w:r>
              <w:t>地方法规与规划</w:t>
            </w:r>
            <w:r>
              <w:tab/>
            </w:r>
            <w:r>
              <w:fldChar w:fldCharType="begin"/>
            </w:r>
            <w:r>
              <w:instrText xml:space="preserve"> PAGEREF _Toc20524 \h </w:instrText>
            </w:r>
            <w:r>
              <w:fldChar w:fldCharType="separate"/>
            </w:r>
            <w:r>
              <w:t>60</w:t>
            </w:r>
            <w:r>
              <w:fldChar w:fldCharType="end"/>
            </w:r>
          </w:hyperlink>
        </w:p>
        <w:p w14:paraId="62734C13" w14:textId="77777777" w:rsidR="009D12AF" w:rsidRDefault="00000000">
          <w:pPr>
            <w:pStyle w:val="TOC3"/>
            <w:tabs>
              <w:tab w:val="right" w:leader="dot" w:pos="8306"/>
            </w:tabs>
            <w:ind w:left="960" w:firstLineChars="0" w:firstLine="0"/>
          </w:pPr>
          <w:hyperlink w:anchor="_Toc25448" w:history="1">
            <w:r>
              <w:rPr>
                <w:rFonts w:hint="eastAsia"/>
              </w:rPr>
              <w:t>2.1.4</w:t>
            </w:r>
            <w:r>
              <w:rPr>
                <w:rFonts w:hint="eastAsia"/>
              </w:rPr>
              <w:t>其他技术资料</w:t>
            </w:r>
            <w:r>
              <w:tab/>
            </w:r>
            <w:r>
              <w:fldChar w:fldCharType="begin"/>
            </w:r>
            <w:r>
              <w:instrText xml:space="preserve"> PAGEREF _Toc25448 \h </w:instrText>
            </w:r>
            <w:r>
              <w:fldChar w:fldCharType="separate"/>
            </w:r>
            <w:r>
              <w:t>61</w:t>
            </w:r>
            <w:r>
              <w:fldChar w:fldCharType="end"/>
            </w:r>
          </w:hyperlink>
        </w:p>
        <w:p w14:paraId="7C3A7088" w14:textId="77777777" w:rsidR="009D12AF" w:rsidRDefault="00000000">
          <w:pPr>
            <w:pStyle w:val="TOC2"/>
            <w:tabs>
              <w:tab w:val="right" w:leader="dot" w:pos="8306"/>
            </w:tabs>
            <w:ind w:left="480" w:firstLineChars="0" w:firstLine="0"/>
          </w:pPr>
          <w:hyperlink w:anchor="_Toc10398" w:history="1">
            <w:r>
              <w:rPr>
                <w:rFonts w:hint="eastAsia"/>
              </w:rPr>
              <w:t>2</w:t>
            </w:r>
            <w:r>
              <w:t xml:space="preserve">.2 </w:t>
            </w:r>
            <w:r>
              <w:t>评价目的</w:t>
            </w:r>
            <w:r>
              <w:tab/>
            </w:r>
            <w:r>
              <w:fldChar w:fldCharType="begin"/>
            </w:r>
            <w:r>
              <w:instrText xml:space="preserve"> PAGEREF _Toc10398 \h </w:instrText>
            </w:r>
            <w:r>
              <w:fldChar w:fldCharType="separate"/>
            </w:r>
            <w:r>
              <w:t>61</w:t>
            </w:r>
            <w:r>
              <w:fldChar w:fldCharType="end"/>
            </w:r>
          </w:hyperlink>
        </w:p>
        <w:p w14:paraId="68FC065E" w14:textId="77777777" w:rsidR="009D12AF" w:rsidRDefault="00000000">
          <w:pPr>
            <w:pStyle w:val="TOC2"/>
            <w:tabs>
              <w:tab w:val="right" w:leader="dot" w:pos="8306"/>
            </w:tabs>
            <w:ind w:left="480" w:firstLineChars="0" w:firstLine="0"/>
          </w:pPr>
          <w:hyperlink w:anchor="_Toc18476" w:history="1">
            <w:r>
              <w:rPr>
                <w:rFonts w:hint="eastAsia"/>
              </w:rPr>
              <w:t>2</w:t>
            </w:r>
            <w:r>
              <w:t xml:space="preserve">.3 </w:t>
            </w:r>
            <w:r>
              <w:t>评价工作原则</w:t>
            </w:r>
            <w:r>
              <w:tab/>
            </w:r>
            <w:r>
              <w:fldChar w:fldCharType="begin"/>
            </w:r>
            <w:r>
              <w:instrText xml:space="preserve"> PAGEREF _Toc18476 \h </w:instrText>
            </w:r>
            <w:r>
              <w:fldChar w:fldCharType="separate"/>
            </w:r>
            <w:r>
              <w:t>62</w:t>
            </w:r>
            <w:r>
              <w:fldChar w:fldCharType="end"/>
            </w:r>
          </w:hyperlink>
        </w:p>
        <w:p w14:paraId="278D32D2" w14:textId="77777777" w:rsidR="009D12AF" w:rsidRDefault="00000000">
          <w:pPr>
            <w:pStyle w:val="TOC2"/>
            <w:tabs>
              <w:tab w:val="right" w:leader="dot" w:pos="8306"/>
            </w:tabs>
            <w:ind w:left="480" w:firstLineChars="0" w:firstLine="0"/>
          </w:pPr>
          <w:hyperlink w:anchor="_Toc6176" w:history="1">
            <w:r>
              <w:rPr>
                <w:rFonts w:hint="eastAsia"/>
              </w:rPr>
              <w:t>2</w:t>
            </w:r>
            <w:r>
              <w:t>.</w:t>
            </w:r>
            <w:r>
              <w:rPr>
                <w:rFonts w:hint="eastAsia"/>
              </w:rPr>
              <w:t>4</w:t>
            </w:r>
            <w:r>
              <w:t xml:space="preserve"> </w:t>
            </w:r>
            <w:r>
              <w:t>环境影响因素与评价因子筛选</w:t>
            </w:r>
            <w:r>
              <w:tab/>
            </w:r>
            <w:r>
              <w:fldChar w:fldCharType="begin"/>
            </w:r>
            <w:r>
              <w:instrText xml:space="preserve"> PAGEREF _Toc6176 \h </w:instrText>
            </w:r>
            <w:r>
              <w:fldChar w:fldCharType="separate"/>
            </w:r>
            <w:r>
              <w:t>62</w:t>
            </w:r>
            <w:r>
              <w:fldChar w:fldCharType="end"/>
            </w:r>
          </w:hyperlink>
        </w:p>
        <w:p w14:paraId="6EE360A0" w14:textId="77777777" w:rsidR="009D12AF" w:rsidRDefault="00000000">
          <w:pPr>
            <w:pStyle w:val="TOC3"/>
            <w:tabs>
              <w:tab w:val="right" w:leader="dot" w:pos="8306"/>
            </w:tabs>
            <w:ind w:left="960" w:firstLineChars="0" w:firstLine="0"/>
          </w:pPr>
          <w:hyperlink w:anchor="_Toc26591" w:history="1">
            <w:r>
              <w:rPr>
                <w:rFonts w:hint="eastAsia"/>
              </w:rPr>
              <w:t>2</w:t>
            </w:r>
            <w:r>
              <w:t>.</w:t>
            </w:r>
            <w:r>
              <w:rPr>
                <w:rFonts w:hint="eastAsia"/>
              </w:rPr>
              <w:t>4</w:t>
            </w:r>
            <w:r>
              <w:t xml:space="preserve">.1 </w:t>
            </w:r>
            <w:r>
              <w:t>环境影响因素</w:t>
            </w:r>
            <w:r>
              <w:tab/>
            </w:r>
            <w:r>
              <w:fldChar w:fldCharType="begin"/>
            </w:r>
            <w:r>
              <w:instrText xml:space="preserve"> PAGEREF _Toc26591 \h </w:instrText>
            </w:r>
            <w:r>
              <w:fldChar w:fldCharType="separate"/>
            </w:r>
            <w:r>
              <w:t>62</w:t>
            </w:r>
            <w:r>
              <w:fldChar w:fldCharType="end"/>
            </w:r>
          </w:hyperlink>
        </w:p>
        <w:p w14:paraId="23FEDF20" w14:textId="77777777" w:rsidR="009D12AF" w:rsidRDefault="00000000">
          <w:pPr>
            <w:pStyle w:val="TOC3"/>
            <w:tabs>
              <w:tab w:val="right" w:leader="dot" w:pos="8306"/>
            </w:tabs>
            <w:ind w:left="960" w:firstLineChars="0" w:firstLine="0"/>
          </w:pPr>
          <w:hyperlink w:anchor="_Toc6013" w:history="1">
            <w:r>
              <w:rPr>
                <w:rFonts w:hint="eastAsia"/>
              </w:rPr>
              <w:t>2</w:t>
            </w:r>
            <w:r>
              <w:t>.</w:t>
            </w:r>
            <w:r>
              <w:rPr>
                <w:rFonts w:hint="eastAsia"/>
              </w:rPr>
              <w:t>4</w:t>
            </w:r>
            <w:r>
              <w:t xml:space="preserve">.2 </w:t>
            </w:r>
            <w:r>
              <w:t>评价因子</w:t>
            </w:r>
            <w:r>
              <w:tab/>
            </w:r>
            <w:r>
              <w:fldChar w:fldCharType="begin"/>
            </w:r>
            <w:r>
              <w:instrText xml:space="preserve"> PAGEREF _Toc6013 \h </w:instrText>
            </w:r>
            <w:r>
              <w:fldChar w:fldCharType="separate"/>
            </w:r>
            <w:r>
              <w:t>63</w:t>
            </w:r>
            <w:r>
              <w:fldChar w:fldCharType="end"/>
            </w:r>
          </w:hyperlink>
        </w:p>
        <w:p w14:paraId="03C291FD" w14:textId="77777777" w:rsidR="009D12AF" w:rsidRDefault="00000000">
          <w:pPr>
            <w:pStyle w:val="TOC3"/>
            <w:tabs>
              <w:tab w:val="right" w:leader="dot" w:pos="8306"/>
            </w:tabs>
            <w:ind w:left="960" w:firstLineChars="0" w:firstLine="0"/>
          </w:pPr>
          <w:hyperlink w:anchor="_Toc21245" w:history="1">
            <w:r>
              <w:rPr>
                <w:rFonts w:hint="eastAsia"/>
              </w:rPr>
              <w:t>2</w:t>
            </w:r>
            <w:r>
              <w:t>.</w:t>
            </w:r>
            <w:r>
              <w:rPr>
                <w:rFonts w:hint="eastAsia"/>
              </w:rPr>
              <w:t>4</w:t>
            </w:r>
            <w:r>
              <w:t xml:space="preserve">.3 </w:t>
            </w:r>
            <w:r>
              <w:t>环境功能区划</w:t>
            </w:r>
            <w:r>
              <w:tab/>
            </w:r>
            <w:r>
              <w:fldChar w:fldCharType="begin"/>
            </w:r>
            <w:r>
              <w:instrText xml:space="preserve"> PAGEREF _Toc21245 \h </w:instrText>
            </w:r>
            <w:r>
              <w:fldChar w:fldCharType="separate"/>
            </w:r>
            <w:r>
              <w:t>65</w:t>
            </w:r>
            <w:r>
              <w:fldChar w:fldCharType="end"/>
            </w:r>
          </w:hyperlink>
        </w:p>
        <w:p w14:paraId="5A6755B3" w14:textId="77777777" w:rsidR="009D12AF" w:rsidRDefault="00000000">
          <w:pPr>
            <w:pStyle w:val="TOC2"/>
            <w:tabs>
              <w:tab w:val="right" w:leader="dot" w:pos="8306"/>
            </w:tabs>
            <w:ind w:left="480" w:firstLineChars="0" w:firstLine="0"/>
          </w:pPr>
          <w:hyperlink w:anchor="_Toc3235" w:history="1">
            <w:r>
              <w:rPr>
                <w:rFonts w:hint="eastAsia"/>
              </w:rPr>
              <w:t>2</w:t>
            </w:r>
            <w:r>
              <w:t>.</w:t>
            </w:r>
            <w:r>
              <w:rPr>
                <w:rFonts w:hint="eastAsia"/>
              </w:rPr>
              <w:t>5</w:t>
            </w:r>
            <w:r>
              <w:t xml:space="preserve"> </w:t>
            </w:r>
            <w:r>
              <w:t>评价工作等级及评价范围</w:t>
            </w:r>
            <w:r>
              <w:tab/>
            </w:r>
            <w:r>
              <w:fldChar w:fldCharType="begin"/>
            </w:r>
            <w:r>
              <w:instrText xml:space="preserve"> PAGEREF _Toc3235 \h </w:instrText>
            </w:r>
            <w:r>
              <w:fldChar w:fldCharType="separate"/>
            </w:r>
            <w:r>
              <w:t>66</w:t>
            </w:r>
            <w:r>
              <w:fldChar w:fldCharType="end"/>
            </w:r>
          </w:hyperlink>
        </w:p>
        <w:p w14:paraId="494F961C" w14:textId="77777777" w:rsidR="009D12AF" w:rsidRDefault="00000000">
          <w:pPr>
            <w:pStyle w:val="TOC3"/>
            <w:tabs>
              <w:tab w:val="right" w:leader="dot" w:pos="8306"/>
            </w:tabs>
            <w:ind w:left="960" w:firstLineChars="0" w:firstLine="0"/>
          </w:pPr>
          <w:hyperlink w:anchor="_Toc31155" w:history="1">
            <w:r>
              <w:rPr>
                <w:rFonts w:hint="eastAsia"/>
              </w:rPr>
              <w:t>2</w:t>
            </w:r>
            <w:r>
              <w:t>.</w:t>
            </w:r>
            <w:r>
              <w:rPr>
                <w:rFonts w:hint="eastAsia"/>
              </w:rPr>
              <w:t>5</w:t>
            </w:r>
            <w:r>
              <w:t xml:space="preserve">.1 </w:t>
            </w:r>
            <w:r>
              <w:t>环境空气</w:t>
            </w:r>
            <w:r>
              <w:tab/>
            </w:r>
            <w:r>
              <w:fldChar w:fldCharType="begin"/>
            </w:r>
            <w:r>
              <w:instrText xml:space="preserve"> PAGEREF _Toc31155 \h </w:instrText>
            </w:r>
            <w:r>
              <w:fldChar w:fldCharType="separate"/>
            </w:r>
            <w:r>
              <w:t>66</w:t>
            </w:r>
            <w:r>
              <w:fldChar w:fldCharType="end"/>
            </w:r>
          </w:hyperlink>
        </w:p>
        <w:p w14:paraId="0D3E8119" w14:textId="77777777" w:rsidR="009D12AF" w:rsidRDefault="00000000">
          <w:pPr>
            <w:pStyle w:val="TOC3"/>
            <w:tabs>
              <w:tab w:val="right" w:leader="dot" w:pos="8306"/>
            </w:tabs>
            <w:ind w:left="960" w:firstLineChars="0" w:firstLine="0"/>
          </w:pPr>
          <w:hyperlink w:anchor="_Toc2351" w:history="1">
            <w:r>
              <w:rPr>
                <w:rFonts w:hint="eastAsia"/>
              </w:rPr>
              <w:t>2</w:t>
            </w:r>
            <w:r>
              <w:t>.</w:t>
            </w:r>
            <w:r>
              <w:rPr>
                <w:rFonts w:hint="eastAsia"/>
              </w:rPr>
              <w:t>5</w:t>
            </w:r>
            <w:r>
              <w:t xml:space="preserve">.2 </w:t>
            </w:r>
            <w:r>
              <w:t>地表水环境</w:t>
            </w:r>
            <w:r>
              <w:tab/>
            </w:r>
            <w:r>
              <w:fldChar w:fldCharType="begin"/>
            </w:r>
            <w:r>
              <w:instrText xml:space="preserve"> PAGEREF _Toc2351 \h </w:instrText>
            </w:r>
            <w:r>
              <w:fldChar w:fldCharType="separate"/>
            </w:r>
            <w:r>
              <w:t>66</w:t>
            </w:r>
            <w:r>
              <w:fldChar w:fldCharType="end"/>
            </w:r>
          </w:hyperlink>
        </w:p>
        <w:p w14:paraId="31EB5627" w14:textId="77777777" w:rsidR="009D12AF" w:rsidRDefault="00000000">
          <w:pPr>
            <w:pStyle w:val="TOC3"/>
            <w:tabs>
              <w:tab w:val="right" w:leader="dot" w:pos="8306"/>
            </w:tabs>
            <w:ind w:left="960" w:firstLineChars="0" w:firstLine="0"/>
          </w:pPr>
          <w:hyperlink w:anchor="_Toc10407" w:history="1">
            <w:r>
              <w:rPr>
                <w:rFonts w:hint="eastAsia"/>
              </w:rPr>
              <w:t>2</w:t>
            </w:r>
            <w:r>
              <w:t>.</w:t>
            </w:r>
            <w:r>
              <w:rPr>
                <w:rFonts w:hint="eastAsia"/>
              </w:rPr>
              <w:t>5</w:t>
            </w:r>
            <w:r>
              <w:t xml:space="preserve">.3 </w:t>
            </w:r>
            <w:r>
              <w:t>声环境</w:t>
            </w:r>
            <w:r>
              <w:tab/>
            </w:r>
            <w:r>
              <w:fldChar w:fldCharType="begin"/>
            </w:r>
            <w:r>
              <w:instrText xml:space="preserve"> PAGEREF _Toc10407 \h </w:instrText>
            </w:r>
            <w:r>
              <w:fldChar w:fldCharType="separate"/>
            </w:r>
            <w:r>
              <w:t>70</w:t>
            </w:r>
            <w:r>
              <w:fldChar w:fldCharType="end"/>
            </w:r>
          </w:hyperlink>
        </w:p>
        <w:p w14:paraId="2C54E73E" w14:textId="77777777" w:rsidR="009D12AF" w:rsidRDefault="00000000">
          <w:pPr>
            <w:pStyle w:val="TOC3"/>
            <w:tabs>
              <w:tab w:val="right" w:leader="dot" w:pos="8306"/>
            </w:tabs>
            <w:ind w:left="960" w:firstLineChars="0" w:firstLine="0"/>
          </w:pPr>
          <w:hyperlink w:anchor="_Toc10919" w:history="1">
            <w:r>
              <w:rPr>
                <w:rFonts w:hint="eastAsia"/>
              </w:rPr>
              <w:t>2</w:t>
            </w:r>
            <w:r>
              <w:t>.</w:t>
            </w:r>
            <w:r>
              <w:rPr>
                <w:rFonts w:hint="eastAsia"/>
              </w:rPr>
              <w:t>5</w:t>
            </w:r>
            <w:r>
              <w:t xml:space="preserve">.4 </w:t>
            </w:r>
            <w:r>
              <w:t>地下水环境</w:t>
            </w:r>
            <w:r>
              <w:tab/>
            </w:r>
            <w:r>
              <w:fldChar w:fldCharType="begin"/>
            </w:r>
            <w:r>
              <w:instrText xml:space="preserve"> PAGEREF _Toc10919 \h </w:instrText>
            </w:r>
            <w:r>
              <w:fldChar w:fldCharType="separate"/>
            </w:r>
            <w:r>
              <w:t>70</w:t>
            </w:r>
            <w:r>
              <w:fldChar w:fldCharType="end"/>
            </w:r>
          </w:hyperlink>
        </w:p>
        <w:p w14:paraId="5037FD87" w14:textId="77777777" w:rsidR="009D12AF" w:rsidRDefault="00000000">
          <w:pPr>
            <w:pStyle w:val="TOC3"/>
            <w:tabs>
              <w:tab w:val="right" w:leader="dot" w:pos="8306"/>
            </w:tabs>
            <w:ind w:left="960" w:firstLineChars="0" w:firstLine="0"/>
          </w:pPr>
          <w:hyperlink w:anchor="_Toc25818" w:history="1">
            <w:r>
              <w:rPr>
                <w:rFonts w:hint="eastAsia"/>
              </w:rPr>
              <w:t>2</w:t>
            </w:r>
            <w:r>
              <w:t>.</w:t>
            </w:r>
            <w:r>
              <w:rPr>
                <w:rFonts w:hint="eastAsia"/>
              </w:rPr>
              <w:t>5</w:t>
            </w:r>
            <w:r>
              <w:t xml:space="preserve">.5 </w:t>
            </w:r>
            <w:r>
              <w:t>生态环境</w:t>
            </w:r>
            <w:r>
              <w:tab/>
            </w:r>
            <w:r>
              <w:fldChar w:fldCharType="begin"/>
            </w:r>
            <w:r>
              <w:instrText xml:space="preserve"> PAGEREF _Toc25818 \h </w:instrText>
            </w:r>
            <w:r>
              <w:fldChar w:fldCharType="separate"/>
            </w:r>
            <w:r>
              <w:t>72</w:t>
            </w:r>
            <w:r>
              <w:fldChar w:fldCharType="end"/>
            </w:r>
          </w:hyperlink>
        </w:p>
        <w:p w14:paraId="0F06133D" w14:textId="77777777" w:rsidR="009D12AF" w:rsidRDefault="00000000">
          <w:pPr>
            <w:pStyle w:val="TOC3"/>
            <w:tabs>
              <w:tab w:val="right" w:leader="dot" w:pos="8306"/>
            </w:tabs>
            <w:ind w:left="960" w:firstLineChars="0" w:firstLine="0"/>
          </w:pPr>
          <w:hyperlink w:anchor="_Toc4441" w:history="1">
            <w:r>
              <w:rPr>
                <w:rFonts w:hint="eastAsia"/>
              </w:rPr>
              <w:t>2</w:t>
            </w:r>
            <w:r>
              <w:t>.</w:t>
            </w:r>
            <w:r>
              <w:rPr>
                <w:rFonts w:hint="eastAsia"/>
              </w:rPr>
              <w:t>5</w:t>
            </w:r>
            <w:r>
              <w:t>.</w:t>
            </w:r>
            <w:r>
              <w:rPr>
                <w:rFonts w:hint="eastAsia"/>
              </w:rPr>
              <w:t>6</w:t>
            </w:r>
            <w:r>
              <w:t xml:space="preserve"> </w:t>
            </w:r>
            <w:r>
              <w:rPr>
                <w:rFonts w:hint="eastAsia"/>
              </w:rPr>
              <w:t>环境风险</w:t>
            </w:r>
            <w:r>
              <w:tab/>
            </w:r>
            <w:r>
              <w:fldChar w:fldCharType="begin"/>
            </w:r>
            <w:r>
              <w:instrText xml:space="preserve"> PAGEREF _Toc4441 \h </w:instrText>
            </w:r>
            <w:r>
              <w:fldChar w:fldCharType="separate"/>
            </w:r>
            <w:r>
              <w:t>74</w:t>
            </w:r>
            <w:r>
              <w:fldChar w:fldCharType="end"/>
            </w:r>
          </w:hyperlink>
        </w:p>
        <w:p w14:paraId="771CD3EA" w14:textId="77777777" w:rsidR="009D12AF" w:rsidRDefault="00000000">
          <w:pPr>
            <w:pStyle w:val="TOC3"/>
            <w:tabs>
              <w:tab w:val="right" w:leader="dot" w:pos="8306"/>
            </w:tabs>
            <w:ind w:left="960" w:firstLineChars="0" w:firstLine="0"/>
          </w:pPr>
          <w:hyperlink w:anchor="_Toc26504" w:history="1">
            <w:r>
              <w:rPr>
                <w:rFonts w:hint="eastAsia"/>
              </w:rPr>
              <w:t>2</w:t>
            </w:r>
            <w:r>
              <w:t>.</w:t>
            </w:r>
            <w:r>
              <w:rPr>
                <w:rFonts w:hint="eastAsia"/>
              </w:rPr>
              <w:t>5</w:t>
            </w:r>
            <w:r>
              <w:t>.</w:t>
            </w:r>
            <w:r>
              <w:rPr>
                <w:rFonts w:hint="eastAsia"/>
              </w:rPr>
              <w:t>7</w:t>
            </w:r>
            <w:r>
              <w:t xml:space="preserve"> </w:t>
            </w:r>
            <w:r>
              <w:t>土壤环境</w:t>
            </w:r>
            <w:r>
              <w:tab/>
            </w:r>
            <w:r>
              <w:fldChar w:fldCharType="begin"/>
            </w:r>
            <w:r>
              <w:instrText xml:space="preserve"> PAGEREF _Toc26504 \h </w:instrText>
            </w:r>
            <w:r>
              <w:fldChar w:fldCharType="separate"/>
            </w:r>
            <w:r>
              <w:t>74</w:t>
            </w:r>
            <w:r>
              <w:fldChar w:fldCharType="end"/>
            </w:r>
          </w:hyperlink>
        </w:p>
        <w:p w14:paraId="27FAA029" w14:textId="77777777" w:rsidR="009D12AF" w:rsidRDefault="00000000">
          <w:pPr>
            <w:pStyle w:val="TOC3"/>
            <w:tabs>
              <w:tab w:val="right" w:leader="dot" w:pos="8306"/>
            </w:tabs>
            <w:ind w:left="960" w:firstLineChars="0" w:firstLine="0"/>
          </w:pPr>
          <w:hyperlink w:anchor="_Toc19236" w:history="1">
            <w:r>
              <w:rPr>
                <w:rFonts w:hint="eastAsia"/>
              </w:rPr>
              <w:t>2</w:t>
            </w:r>
            <w:r>
              <w:t>.</w:t>
            </w:r>
            <w:r>
              <w:rPr>
                <w:rFonts w:hint="eastAsia"/>
              </w:rPr>
              <w:t>5</w:t>
            </w:r>
            <w:r>
              <w:t>.</w:t>
            </w:r>
            <w:r>
              <w:rPr>
                <w:rFonts w:hint="eastAsia"/>
              </w:rPr>
              <w:t>8</w:t>
            </w:r>
            <w:r>
              <w:t xml:space="preserve"> </w:t>
            </w:r>
            <w:r>
              <w:t>评价范围</w:t>
            </w:r>
            <w:r>
              <w:tab/>
            </w:r>
            <w:r>
              <w:fldChar w:fldCharType="begin"/>
            </w:r>
            <w:r>
              <w:instrText xml:space="preserve"> PAGEREF _Toc19236 \h </w:instrText>
            </w:r>
            <w:r>
              <w:fldChar w:fldCharType="separate"/>
            </w:r>
            <w:r>
              <w:t>77</w:t>
            </w:r>
            <w:r>
              <w:fldChar w:fldCharType="end"/>
            </w:r>
          </w:hyperlink>
        </w:p>
        <w:p w14:paraId="54DF0AF4" w14:textId="77777777" w:rsidR="009D12AF" w:rsidRDefault="00000000">
          <w:pPr>
            <w:pStyle w:val="TOC2"/>
            <w:tabs>
              <w:tab w:val="right" w:leader="dot" w:pos="8306"/>
            </w:tabs>
            <w:ind w:left="480" w:firstLineChars="0" w:firstLine="0"/>
          </w:pPr>
          <w:hyperlink w:anchor="_Toc16961" w:history="1">
            <w:r>
              <w:rPr>
                <w:rFonts w:hint="eastAsia"/>
              </w:rPr>
              <w:t>2</w:t>
            </w:r>
            <w:r>
              <w:t>.</w:t>
            </w:r>
            <w:r>
              <w:rPr>
                <w:rFonts w:hint="eastAsia"/>
              </w:rPr>
              <w:t>6</w:t>
            </w:r>
            <w:r>
              <w:t xml:space="preserve"> </w:t>
            </w:r>
            <w:r>
              <w:t>评价标准</w:t>
            </w:r>
            <w:r>
              <w:tab/>
            </w:r>
            <w:r>
              <w:fldChar w:fldCharType="begin"/>
            </w:r>
            <w:r>
              <w:instrText xml:space="preserve"> PAGEREF _Toc16961 \h </w:instrText>
            </w:r>
            <w:r>
              <w:fldChar w:fldCharType="separate"/>
            </w:r>
            <w:r>
              <w:t>78</w:t>
            </w:r>
            <w:r>
              <w:fldChar w:fldCharType="end"/>
            </w:r>
          </w:hyperlink>
        </w:p>
        <w:p w14:paraId="0BB4061D" w14:textId="77777777" w:rsidR="009D12AF" w:rsidRDefault="00000000">
          <w:pPr>
            <w:pStyle w:val="TOC3"/>
            <w:tabs>
              <w:tab w:val="right" w:leader="dot" w:pos="8306"/>
            </w:tabs>
            <w:ind w:left="960" w:firstLineChars="0" w:firstLine="0"/>
          </w:pPr>
          <w:hyperlink w:anchor="_Toc14792" w:history="1">
            <w:r>
              <w:rPr>
                <w:rFonts w:hint="eastAsia"/>
              </w:rPr>
              <w:t>2</w:t>
            </w:r>
            <w:r>
              <w:t>.</w:t>
            </w:r>
            <w:r>
              <w:rPr>
                <w:rFonts w:hint="eastAsia"/>
              </w:rPr>
              <w:t>6</w:t>
            </w:r>
            <w:r>
              <w:t xml:space="preserve">.1 </w:t>
            </w:r>
            <w:r>
              <w:t>环境质量标准</w:t>
            </w:r>
            <w:r>
              <w:tab/>
            </w:r>
            <w:r>
              <w:fldChar w:fldCharType="begin"/>
            </w:r>
            <w:r>
              <w:instrText xml:space="preserve"> PAGEREF _Toc14792 \h </w:instrText>
            </w:r>
            <w:r>
              <w:fldChar w:fldCharType="separate"/>
            </w:r>
            <w:r>
              <w:t>78</w:t>
            </w:r>
            <w:r>
              <w:fldChar w:fldCharType="end"/>
            </w:r>
          </w:hyperlink>
        </w:p>
        <w:p w14:paraId="145B475A" w14:textId="77777777" w:rsidR="009D12AF" w:rsidRDefault="00000000">
          <w:pPr>
            <w:pStyle w:val="TOC3"/>
            <w:tabs>
              <w:tab w:val="right" w:leader="dot" w:pos="8306"/>
            </w:tabs>
            <w:ind w:left="960" w:firstLineChars="0" w:firstLine="0"/>
          </w:pPr>
          <w:hyperlink w:anchor="_Toc13451" w:history="1">
            <w:r>
              <w:rPr>
                <w:rFonts w:hint="eastAsia"/>
              </w:rPr>
              <w:t>2</w:t>
            </w:r>
            <w:r>
              <w:t>.</w:t>
            </w:r>
            <w:r>
              <w:rPr>
                <w:rFonts w:hint="eastAsia"/>
              </w:rPr>
              <w:t>6</w:t>
            </w:r>
            <w:r>
              <w:t xml:space="preserve">.2 </w:t>
            </w:r>
            <w:r>
              <w:t>污染物排放标准</w:t>
            </w:r>
            <w:r>
              <w:tab/>
            </w:r>
            <w:r>
              <w:fldChar w:fldCharType="begin"/>
            </w:r>
            <w:r>
              <w:instrText xml:space="preserve"> PAGEREF _Toc13451 \h </w:instrText>
            </w:r>
            <w:r>
              <w:fldChar w:fldCharType="separate"/>
            </w:r>
            <w:r>
              <w:t>81</w:t>
            </w:r>
            <w:r>
              <w:fldChar w:fldCharType="end"/>
            </w:r>
          </w:hyperlink>
        </w:p>
        <w:p w14:paraId="0CCCFFBF" w14:textId="77777777" w:rsidR="009D12AF" w:rsidRDefault="00000000">
          <w:pPr>
            <w:pStyle w:val="TOC2"/>
            <w:tabs>
              <w:tab w:val="right" w:leader="dot" w:pos="8306"/>
            </w:tabs>
            <w:ind w:left="480" w:firstLineChars="0" w:firstLine="0"/>
          </w:pPr>
          <w:hyperlink w:anchor="_Toc30825" w:history="1">
            <w:r>
              <w:rPr>
                <w:rFonts w:hint="eastAsia"/>
              </w:rPr>
              <w:t>2</w:t>
            </w:r>
            <w:r>
              <w:t>.</w:t>
            </w:r>
            <w:r>
              <w:rPr>
                <w:rFonts w:hint="eastAsia"/>
              </w:rPr>
              <w:t>7</w:t>
            </w:r>
            <w:r>
              <w:t xml:space="preserve"> </w:t>
            </w:r>
            <w:r>
              <w:t>评价时段</w:t>
            </w:r>
            <w:r>
              <w:tab/>
            </w:r>
            <w:r>
              <w:fldChar w:fldCharType="begin"/>
            </w:r>
            <w:r>
              <w:instrText xml:space="preserve"> PAGEREF _Toc30825 \h </w:instrText>
            </w:r>
            <w:r>
              <w:fldChar w:fldCharType="separate"/>
            </w:r>
            <w:r>
              <w:t>82</w:t>
            </w:r>
            <w:r>
              <w:fldChar w:fldCharType="end"/>
            </w:r>
          </w:hyperlink>
        </w:p>
        <w:p w14:paraId="2F7BF0C5" w14:textId="77777777" w:rsidR="009D12AF" w:rsidRDefault="00000000">
          <w:pPr>
            <w:pStyle w:val="TOC2"/>
            <w:tabs>
              <w:tab w:val="right" w:leader="dot" w:pos="8306"/>
            </w:tabs>
            <w:ind w:left="480" w:firstLineChars="0" w:firstLine="0"/>
          </w:pPr>
          <w:hyperlink w:anchor="_Toc18380" w:history="1">
            <w:r>
              <w:rPr>
                <w:rFonts w:hint="eastAsia"/>
              </w:rPr>
              <w:t>2.8</w:t>
            </w:r>
            <w:r>
              <w:rPr>
                <w:rFonts w:hint="eastAsia"/>
              </w:rPr>
              <w:t>环境保护目标</w:t>
            </w:r>
            <w:r>
              <w:tab/>
            </w:r>
            <w:r>
              <w:fldChar w:fldCharType="begin"/>
            </w:r>
            <w:r>
              <w:instrText xml:space="preserve"> PAGEREF _Toc18380 \h </w:instrText>
            </w:r>
            <w:r>
              <w:fldChar w:fldCharType="separate"/>
            </w:r>
            <w:r>
              <w:t>82</w:t>
            </w:r>
            <w:r>
              <w:fldChar w:fldCharType="end"/>
            </w:r>
          </w:hyperlink>
        </w:p>
        <w:p w14:paraId="40D079C0" w14:textId="77777777" w:rsidR="009D12AF" w:rsidRDefault="00000000">
          <w:pPr>
            <w:pStyle w:val="TOC1"/>
            <w:tabs>
              <w:tab w:val="right" w:leader="dot" w:pos="8306"/>
            </w:tabs>
            <w:ind w:firstLineChars="0" w:firstLine="0"/>
          </w:pPr>
          <w:hyperlink w:anchor="_Toc8803" w:history="1">
            <w:r>
              <w:rPr>
                <w:rFonts w:hint="eastAsia"/>
              </w:rPr>
              <w:t>3</w:t>
            </w:r>
            <w:r>
              <w:t xml:space="preserve"> </w:t>
            </w:r>
            <w:r>
              <w:t>建设项目工程分析</w:t>
            </w:r>
            <w:r>
              <w:tab/>
            </w:r>
            <w:r>
              <w:fldChar w:fldCharType="begin"/>
            </w:r>
            <w:r>
              <w:instrText xml:space="preserve"> PAGEREF _Toc8803 \h </w:instrText>
            </w:r>
            <w:r>
              <w:fldChar w:fldCharType="separate"/>
            </w:r>
            <w:r>
              <w:t>87</w:t>
            </w:r>
            <w:r>
              <w:fldChar w:fldCharType="end"/>
            </w:r>
          </w:hyperlink>
        </w:p>
        <w:p w14:paraId="18DB9FD5" w14:textId="77777777" w:rsidR="009D12AF" w:rsidRDefault="00000000">
          <w:pPr>
            <w:pStyle w:val="TOC2"/>
            <w:tabs>
              <w:tab w:val="right" w:leader="dot" w:pos="8306"/>
            </w:tabs>
            <w:ind w:left="480" w:firstLineChars="0" w:firstLine="0"/>
          </w:pPr>
          <w:hyperlink w:anchor="_Toc11085" w:history="1">
            <w:r>
              <w:rPr>
                <w:rFonts w:hint="eastAsia"/>
              </w:rPr>
              <w:t>3.1</w:t>
            </w:r>
            <w:r>
              <w:rPr>
                <w:rFonts w:hint="eastAsia"/>
              </w:rPr>
              <w:t>项目区现有情况</w:t>
            </w:r>
            <w:r>
              <w:tab/>
            </w:r>
            <w:r>
              <w:fldChar w:fldCharType="begin"/>
            </w:r>
            <w:r>
              <w:instrText xml:space="preserve"> PAGEREF _Toc11085 \h </w:instrText>
            </w:r>
            <w:r>
              <w:fldChar w:fldCharType="separate"/>
            </w:r>
            <w:r>
              <w:t>87</w:t>
            </w:r>
            <w:r>
              <w:fldChar w:fldCharType="end"/>
            </w:r>
          </w:hyperlink>
        </w:p>
        <w:p w14:paraId="3C8F6321" w14:textId="77777777" w:rsidR="009D12AF" w:rsidRDefault="00000000">
          <w:pPr>
            <w:pStyle w:val="TOC2"/>
            <w:tabs>
              <w:tab w:val="right" w:leader="dot" w:pos="8306"/>
            </w:tabs>
            <w:ind w:left="480" w:firstLineChars="0" w:firstLine="0"/>
          </w:pPr>
          <w:hyperlink w:anchor="_Toc11696" w:history="1">
            <w:r>
              <w:rPr>
                <w:rFonts w:hint="eastAsia"/>
              </w:rPr>
              <w:t>3</w:t>
            </w:r>
            <w:r>
              <w:t>.</w:t>
            </w:r>
            <w:r>
              <w:rPr>
                <w:rFonts w:hint="eastAsia"/>
              </w:rPr>
              <w:t>2</w:t>
            </w:r>
            <w:r>
              <w:t xml:space="preserve"> </w:t>
            </w:r>
            <w:r>
              <w:t>工程概况</w:t>
            </w:r>
            <w:r>
              <w:tab/>
            </w:r>
            <w:r>
              <w:fldChar w:fldCharType="begin"/>
            </w:r>
            <w:r>
              <w:instrText xml:space="preserve"> PAGEREF _Toc11696 \h </w:instrText>
            </w:r>
            <w:r>
              <w:fldChar w:fldCharType="separate"/>
            </w:r>
            <w:r>
              <w:t>89</w:t>
            </w:r>
            <w:r>
              <w:fldChar w:fldCharType="end"/>
            </w:r>
          </w:hyperlink>
        </w:p>
        <w:p w14:paraId="63DABE08" w14:textId="77777777" w:rsidR="009D12AF" w:rsidRDefault="00000000">
          <w:pPr>
            <w:pStyle w:val="TOC3"/>
            <w:tabs>
              <w:tab w:val="right" w:leader="dot" w:pos="8306"/>
            </w:tabs>
            <w:ind w:left="960" w:firstLineChars="0" w:firstLine="0"/>
          </w:pPr>
          <w:hyperlink w:anchor="_Toc22936" w:history="1">
            <w:r>
              <w:rPr>
                <w:rFonts w:hint="eastAsia"/>
              </w:rPr>
              <w:t>3</w:t>
            </w:r>
            <w:r>
              <w:t>.</w:t>
            </w:r>
            <w:r>
              <w:rPr>
                <w:rFonts w:hint="eastAsia"/>
              </w:rPr>
              <w:t>2</w:t>
            </w:r>
            <w:r>
              <w:t xml:space="preserve">.1 </w:t>
            </w:r>
            <w:r>
              <w:t>项目名称、建设单位、建设性质及建设地点</w:t>
            </w:r>
            <w:r>
              <w:tab/>
            </w:r>
            <w:r>
              <w:fldChar w:fldCharType="begin"/>
            </w:r>
            <w:r>
              <w:instrText xml:space="preserve"> PAGEREF _Toc22936 \h </w:instrText>
            </w:r>
            <w:r>
              <w:fldChar w:fldCharType="separate"/>
            </w:r>
            <w:r>
              <w:t>89</w:t>
            </w:r>
            <w:r>
              <w:fldChar w:fldCharType="end"/>
            </w:r>
          </w:hyperlink>
        </w:p>
        <w:p w14:paraId="59B918F7" w14:textId="77777777" w:rsidR="009D12AF" w:rsidRDefault="00000000">
          <w:pPr>
            <w:pStyle w:val="TOC3"/>
            <w:tabs>
              <w:tab w:val="right" w:leader="dot" w:pos="8306"/>
            </w:tabs>
            <w:ind w:left="960" w:firstLineChars="0" w:firstLine="0"/>
          </w:pPr>
          <w:hyperlink w:anchor="_Toc23902" w:history="1">
            <w:r>
              <w:rPr>
                <w:rFonts w:hint="eastAsia"/>
              </w:rPr>
              <w:t>3</w:t>
            </w:r>
            <w:r>
              <w:t xml:space="preserve">.2.2 </w:t>
            </w:r>
            <w:r>
              <w:t>项目投资及筹措方式</w:t>
            </w:r>
            <w:r>
              <w:tab/>
            </w:r>
            <w:r>
              <w:fldChar w:fldCharType="begin"/>
            </w:r>
            <w:r>
              <w:instrText xml:space="preserve"> PAGEREF _Toc23902 \h </w:instrText>
            </w:r>
            <w:r>
              <w:fldChar w:fldCharType="separate"/>
            </w:r>
            <w:r>
              <w:t>90</w:t>
            </w:r>
            <w:r>
              <w:fldChar w:fldCharType="end"/>
            </w:r>
          </w:hyperlink>
        </w:p>
        <w:p w14:paraId="2CFF9053" w14:textId="77777777" w:rsidR="009D12AF" w:rsidRDefault="00000000">
          <w:pPr>
            <w:pStyle w:val="TOC3"/>
            <w:tabs>
              <w:tab w:val="right" w:leader="dot" w:pos="8306"/>
            </w:tabs>
            <w:ind w:left="960" w:firstLineChars="0" w:firstLine="0"/>
          </w:pPr>
          <w:hyperlink w:anchor="_Toc6526" w:history="1">
            <w:r>
              <w:rPr>
                <w:rFonts w:hint="eastAsia"/>
              </w:rPr>
              <w:t>3</w:t>
            </w:r>
            <w:r>
              <w:t>.2.</w:t>
            </w:r>
            <w:r>
              <w:rPr>
                <w:rFonts w:hint="eastAsia"/>
              </w:rPr>
              <w:t>3</w:t>
            </w:r>
            <w:r>
              <w:t xml:space="preserve"> </w:t>
            </w:r>
            <w:r>
              <w:rPr>
                <w:rFonts w:hint="eastAsia"/>
              </w:rPr>
              <w:t>建设内容与规模</w:t>
            </w:r>
            <w:r>
              <w:tab/>
            </w:r>
            <w:r>
              <w:fldChar w:fldCharType="begin"/>
            </w:r>
            <w:r>
              <w:instrText xml:space="preserve"> PAGEREF _Toc6526 \h </w:instrText>
            </w:r>
            <w:r>
              <w:fldChar w:fldCharType="separate"/>
            </w:r>
            <w:r>
              <w:t>91</w:t>
            </w:r>
            <w:r>
              <w:fldChar w:fldCharType="end"/>
            </w:r>
          </w:hyperlink>
        </w:p>
        <w:p w14:paraId="63509CC3" w14:textId="77777777" w:rsidR="009D12AF" w:rsidRDefault="00000000">
          <w:pPr>
            <w:pStyle w:val="TOC3"/>
            <w:tabs>
              <w:tab w:val="right" w:leader="dot" w:pos="8306"/>
            </w:tabs>
            <w:ind w:left="960" w:firstLineChars="0" w:firstLine="0"/>
          </w:pPr>
          <w:hyperlink w:anchor="_Toc13556" w:history="1">
            <w:r>
              <w:rPr>
                <w:rFonts w:hint="eastAsia"/>
              </w:rPr>
              <w:t>3</w:t>
            </w:r>
            <w:r>
              <w:t xml:space="preserve">.2.5 </w:t>
            </w:r>
            <w:r>
              <w:rPr>
                <w:rFonts w:hint="eastAsia"/>
              </w:rPr>
              <w:t>占地情况</w:t>
            </w:r>
            <w:r>
              <w:tab/>
            </w:r>
            <w:r>
              <w:fldChar w:fldCharType="begin"/>
            </w:r>
            <w:r>
              <w:instrText xml:space="preserve"> PAGEREF _Toc13556 \h </w:instrText>
            </w:r>
            <w:r>
              <w:fldChar w:fldCharType="separate"/>
            </w:r>
            <w:r>
              <w:t>97</w:t>
            </w:r>
            <w:r>
              <w:fldChar w:fldCharType="end"/>
            </w:r>
          </w:hyperlink>
        </w:p>
        <w:p w14:paraId="269AD229" w14:textId="77777777" w:rsidR="009D12AF" w:rsidRDefault="00000000">
          <w:pPr>
            <w:pStyle w:val="TOC3"/>
            <w:tabs>
              <w:tab w:val="right" w:leader="dot" w:pos="8306"/>
            </w:tabs>
            <w:ind w:left="960" w:firstLineChars="0" w:firstLine="0"/>
          </w:pPr>
          <w:hyperlink w:anchor="_Toc16515" w:history="1">
            <w:r>
              <w:rPr>
                <w:rFonts w:hint="eastAsia"/>
              </w:rPr>
              <w:t>3</w:t>
            </w:r>
            <w:r>
              <w:t>.2.</w:t>
            </w:r>
            <w:r>
              <w:rPr>
                <w:rFonts w:hint="eastAsia"/>
              </w:rPr>
              <w:t>8</w:t>
            </w:r>
            <w:r>
              <w:t xml:space="preserve"> </w:t>
            </w:r>
            <w:r>
              <w:t>土方平衡</w:t>
            </w:r>
            <w:r>
              <w:tab/>
            </w:r>
            <w:r>
              <w:fldChar w:fldCharType="begin"/>
            </w:r>
            <w:r>
              <w:instrText xml:space="preserve"> PAGEREF _Toc16515 \h </w:instrText>
            </w:r>
            <w:r>
              <w:fldChar w:fldCharType="separate"/>
            </w:r>
            <w:r>
              <w:t>98</w:t>
            </w:r>
            <w:r>
              <w:fldChar w:fldCharType="end"/>
            </w:r>
          </w:hyperlink>
        </w:p>
        <w:p w14:paraId="1C7D4943" w14:textId="77777777" w:rsidR="009D12AF" w:rsidRDefault="00000000">
          <w:pPr>
            <w:pStyle w:val="TOC3"/>
            <w:tabs>
              <w:tab w:val="right" w:leader="dot" w:pos="8306"/>
            </w:tabs>
            <w:ind w:left="960" w:firstLineChars="0" w:firstLine="0"/>
          </w:pPr>
          <w:hyperlink w:anchor="_Toc23473" w:history="1">
            <w:r>
              <w:rPr>
                <w:rFonts w:hint="eastAsia"/>
              </w:rPr>
              <w:t>3.2.6</w:t>
            </w:r>
            <w:r>
              <w:rPr>
                <w:rFonts w:hint="eastAsia"/>
              </w:rPr>
              <w:t>设备方案</w:t>
            </w:r>
            <w:r>
              <w:tab/>
            </w:r>
            <w:r>
              <w:fldChar w:fldCharType="begin"/>
            </w:r>
            <w:r>
              <w:instrText xml:space="preserve"> PAGEREF _Toc23473 \h </w:instrText>
            </w:r>
            <w:r>
              <w:fldChar w:fldCharType="separate"/>
            </w:r>
            <w:r>
              <w:t>99</w:t>
            </w:r>
            <w:r>
              <w:fldChar w:fldCharType="end"/>
            </w:r>
          </w:hyperlink>
        </w:p>
        <w:p w14:paraId="0D704511" w14:textId="77777777" w:rsidR="009D12AF" w:rsidRDefault="00000000">
          <w:pPr>
            <w:pStyle w:val="TOC3"/>
            <w:tabs>
              <w:tab w:val="right" w:leader="dot" w:pos="8306"/>
            </w:tabs>
            <w:ind w:left="960" w:firstLineChars="0" w:firstLine="0"/>
          </w:pPr>
          <w:hyperlink w:anchor="_Toc2441" w:history="1">
            <w:r>
              <w:rPr>
                <w:rFonts w:hint="eastAsia"/>
              </w:rPr>
              <w:t>3.2.7</w:t>
            </w:r>
            <w:r>
              <w:rPr>
                <w:rFonts w:hint="eastAsia"/>
              </w:rPr>
              <w:t>公用工程</w:t>
            </w:r>
            <w:r>
              <w:tab/>
            </w:r>
            <w:r>
              <w:fldChar w:fldCharType="begin"/>
            </w:r>
            <w:r>
              <w:instrText xml:space="preserve"> PAGEREF _Toc2441 \h </w:instrText>
            </w:r>
            <w:r>
              <w:fldChar w:fldCharType="separate"/>
            </w:r>
            <w:r>
              <w:t>99</w:t>
            </w:r>
            <w:r>
              <w:fldChar w:fldCharType="end"/>
            </w:r>
          </w:hyperlink>
        </w:p>
        <w:p w14:paraId="271659B8" w14:textId="77777777" w:rsidR="009D12AF" w:rsidRDefault="00000000">
          <w:pPr>
            <w:pStyle w:val="TOC3"/>
            <w:tabs>
              <w:tab w:val="right" w:leader="dot" w:pos="8306"/>
            </w:tabs>
            <w:ind w:left="960" w:firstLineChars="0" w:firstLine="0"/>
          </w:pPr>
          <w:hyperlink w:anchor="_Toc5895" w:history="1">
            <w:r>
              <w:rPr>
                <w:rFonts w:hint="eastAsia"/>
              </w:rPr>
              <w:t>3.2.8</w:t>
            </w:r>
            <w:r>
              <w:rPr>
                <w:rFonts w:hint="eastAsia"/>
              </w:rPr>
              <w:t>建设周期</w:t>
            </w:r>
            <w:r>
              <w:tab/>
            </w:r>
            <w:r>
              <w:fldChar w:fldCharType="begin"/>
            </w:r>
            <w:r>
              <w:instrText xml:space="preserve"> PAGEREF _Toc5895 \h </w:instrText>
            </w:r>
            <w:r>
              <w:fldChar w:fldCharType="separate"/>
            </w:r>
            <w:r>
              <w:t>99</w:t>
            </w:r>
            <w:r>
              <w:fldChar w:fldCharType="end"/>
            </w:r>
          </w:hyperlink>
        </w:p>
        <w:p w14:paraId="1F7CB8B2" w14:textId="77777777" w:rsidR="009D12AF" w:rsidRDefault="00000000">
          <w:pPr>
            <w:pStyle w:val="TOC3"/>
            <w:tabs>
              <w:tab w:val="right" w:leader="dot" w:pos="8306"/>
            </w:tabs>
            <w:ind w:left="960" w:firstLineChars="0" w:firstLine="0"/>
          </w:pPr>
          <w:hyperlink w:anchor="_Toc10734" w:history="1">
            <w:r>
              <w:rPr>
                <w:rFonts w:hint="eastAsia"/>
              </w:rPr>
              <w:t>3.2.9</w:t>
            </w:r>
            <w:r>
              <w:rPr>
                <w:rFonts w:hint="eastAsia"/>
              </w:rPr>
              <w:t>工程设计</w:t>
            </w:r>
            <w:r>
              <w:tab/>
            </w:r>
            <w:r>
              <w:fldChar w:fldCharType="begin"/>
            </w:r>
            <w:r>
              <w:instrText xml:space="preserve"> PAGEREF _Toc10734 \h </w:instrText>
            </w:r>
            <w:r>
              <w:fldChar w:fldCharType="separate"/>
            </w:r>
            <w:r>
              <w:t>100</w:t>
            </w:r>
            <w:r>
              <w:fldChar w:fldCharType="end"/>
            </w:r>
          </w:hyperlink>
        </w:p>
        <w:p w14:paraId="0EC637C5" w14:textId="77777777" w:rsidR="009D12AF" w:rsidRDefault="00000000">
          <w:pPr>
            <w:pStyle w:val="TOC2"/>
            <w:tabs>
              <w:tab w:val="right" w:leader="dot" w:pos="8306"/>
            </w:tabs>
            <w:ind w:left="480" w:firstLineChars="0" w:firstLine="0"/>
          </w:pPr>
          <w:hyperlink w:anchor="_Toc32201" w:history="1">
            <w:r>
              <w:rPr>
                <w:rFonts w:hint="eastAsia"/>
              </w:rPr>
              <w:t>3</w:t>
            </w:r>
            <w:r>
              <w:t xml:space="preserve">.3 </w:t>
            </w:r>
            <w:r>
              <w:rPr>
                <w:rFonts w:hint="eastAsia"/>
              </w:rPr>
              <w:t>工程分析</w:t>
            </w:r>
            <w:r>
              <w:tab/>
            </w:r>
            <w:r>
              <w:fldChar w:fldCharType="begin"/>
            </w:r>
            <w:r>
              <w:instrText xml:space="preserve"> PAGEREF _Toc32201 \h </w:instrText>
            </w:r>
            <w:r>
              <w:fldChar w:fldCharType="separate"/>
            </w:r>
            <w:r>
              <w:t>103</w:t>
            </w:r>
            <w:r>
              <w:fldChar w:fldCharType="end"/>
            </w:r>
          </w:hyperlink>
        </w:p>
        <w:p w14:paraId="65562F65" w14:textId="77777777" w:rsidR="009D12AF" w:rsidRDefault="00000000">
          <w:pPr>
            <w:pStyle w:val="TOC3"/>
            <w:tabs>
              <w:tab w:val="right" w:leader="dot" w:pos="8306"/>
            </w:tabs>
            <w:ind w:left="960" w:firstLineChars="0" w:firstLine="0"/>
          </w:pPr>
          <w:hyperlink w:anchor="_Toc24695" w:history="1">
            <w:r>
              <w:rPr>
                <w:rFonts w:hint="eastAsia"/>
              </w:rPr>
              <w:t>3</w:t>
            </w:r>
            <w:r>
              <w:t xml:space="preserve">.3.1 </w:t>
            </w:r>
            <w:r>
              <w:t>施工期产污环节及污染物排放特征分析</w:t>
            </w:r>
            <w:r>
              <w:tab/>
            </w:r>
            <w:r>
              <w:fldChar w:fldCharType="begin"/>
            </w:r>
            <w:r>
              <w:instrText xml:space="preserve"> PAGEREF _Toc24695 \h </w:instrText>
            </w:r>
            <w:r>
              <w:fldChar w:fldCharType="separate"/>
            </w:r>
            <w:r>
              <w:t>103</w:t>
            </w:r>
            <w:r>
              <w:fldChar w:fldCharType="end"/>
            </w:r>
          </w:hyperlink>
        </w:p>
        <w:p w14:paraId="366523B0" w14:textId="77777777" w:rsidR="009D12AF" w:rsidRDefault="00000000">
          <w:pPr>
            <w:pStyle w:val="TOC3"/>
            <w:tabs>
              <w:tab w:val="right" w:leader="dot" w:pos="8306"/>
            </w:tabs>
            <w:ind w:left="960" w:firstLineChars="0" w:firstLine="0"/>
          </w:pPr>
          <w:hyperlink w:anchor="_Toc20959" w:history="1">
            <w:r>
              <w:rPr>
                <w:rFonts w:hint="eastAsia"/>
              </w:rPr>
              <w:t>3.3.2</w:t>
            </w:r>
            <w:r>
              <w:rPr>
                <w:rFonts w:hint="eastAsia"/>
              </w:rPr>
              <w:t>施工期工程污染源强分析</w:t>
            </w:r>
            <w:r>
              <w:tab/>
            </w:r>
            <w:r>
              <w:fldChar w:fldCharType="begin"/>
            </w:r>
            <w:r>
              <w:instrText xml:space="preserve"> PAGEREF _Toc20959 \h </w:instrText>
            </w:r>
            <w:r>
              <w:fldChar w:fldCharType="separate"/>
            </w:r>
            <w:r>
              <w:t>106</w:t>
            </w:r>
            <w:r>
              <w:fldChar w:fldCharType="end"/>
            </w:r>
          </w:hyperlink>
        </w:p>
        <w:p w14:paraId="6116E34A" w14:textId="77777777" w:rsidR="009D12AF" w:rsidRDefault="00000000">
          <w:pPr>
            <w:pStyle w:val="TOC3"/>
            <w:tabs>
              <w:tab w:val="right" w:leader="dot" w:pos="8306"/>
            </w:tabs>
            <w:ind w:left="960" w:firstLineChars="0" w:firstLine="0"/>
          </w:pPr>
          <w:hyperlink w:anchor="_Toc21697" w:history="1">
            <w:r>
              <w:rPr>
                <w:rFonts w:hint="eastAsia"/>
              </w:rPr>
              <w:t>3</w:t>
            </w:r>
            <w:r>
              <w:t>.3.</w:t>
            </w:r>
            <w:r>
              <w:rPr>
                <w:rFonts w:hint="eastAsia"/>
              </w:rPr>
              <w:t>3</w:t>
            </w:r>
            <w:r>
              <w:t xml:space="preserve"> </w:t>
            </w:r>
            <w:r>
              <w:rPr>
                <w:rFonts w:hint="eastAsia"/>
              </w:rPr>
              <w:t>运行期</w:t>
            </w:r>
            <w:r>
              <w:t>产污环节及污染物排放特征分析</w:t>
            </w:r>
            <w:r>
              <w:tab/>
            </w:r>
            <w:r>
              <w:fldChar w:fldCharType="begin"/>
            </w:r>
            <w:r>
              <w:instrText xml:space="preserve"> PAGEREF _Toc21697 \h </w:instrText>
            </w:r>
            <w:r>
              <w:fldChar w:fldCharType="separate"/>
            </w:r>
            <w:r>
              <w:t>119</w:t>
            </w:r>
            <w:r>
              <w:fldChar w:fldCharType="end"/>
            </w:r>
          </w:hyperlink>
        </w:p>
        <w:p w14:paraId="461A6B3E" w14:textId="77777777" w:rsidR="009D12AF" w:rsidRDefault="00000000">
          <w:pPr>
            <w:pStyle w:val="TOC3"/>
            <w:tabs>
              <w:tab w:val="right" w:leader="dot" w:pos="8306"/>
            </w:tabs>
            <w:ind w:left="960" w:firstLineChars="0" w:firstLine="0"/>
          </w:pPr>
          <w:hyperlink w:anchor="_Toc4880" w:history="1">
            <w:r>
              <w:rPr>
                <w:rFonts w:hint="eastAsia"/>
              </w:rPr>
              <w:t>3.3.4</w:t>
            </w:r>
            <w:r>
              <w:rPr>
                <w:rFonts w:hint="eastAsia"/>
              </w:rPr>
              <w:t>运行期工程污染源强分析</w:t>
            </w:r>
            <w:r>
              <w:tab/>
            </w:r>
            <w:r>
              <w:fldChar w:fldCharType="begin"/>
            </w:r>
            <w:r>
              <w:instrText xml:space="preserve"> PAGEREF _Toc4880 \h </w:instrText>
            </w:r>
            <w:r>
              <w:fldChar w:fldCharType="separate"/>
            </w:r>
            <w:r>
              <w:t>119</w:t>
            </w:r>
            <w:r>
              <w:fldChar w:fldCharType="end"/>
            </w:r>
          </w:hyperlink>
        </w:p>
        <w:p w14:paraId="7E910FCC" w14:textId="77777777" w:rsidR="009D12AF" w:rsidRDefault="00000000">
          <w:pPr>
            <w:pStyle w:val="TOC3"/>
            <w:tabs>
              <w:tab w:val="right" w:leader="dot" w:pos="8306"/>
            </w:tabs>
            <w:ind w:left="960" w:firstLineChars="0" w:firstLine="0"/>
          </w:pPr>
          <w:hyperlink w:anchor="_Toc18736" w:history="1">
            <w:r>
              <w:rPr>
                <w:rFonts w:hint="eastAsia"/>
              </w:rPr>
              <w:t>3</w:t>
            </w:r>
            <w:r>
              <w:t xml:space="preserve">.3.3 </w:t>
            </w:r>
            <w:r>
              <w:t>总量控制</w:t>
            </w:r>
            <w:r>
              <w:tab/>
            </w:r>
            <w:r>
              <w:fldChar w:fldCharType="begin"/>
            </w:r>
            <w:r>
              <w:instrText xml:space="preserve"> PAGEREF _Toc18736 \h </w:instrText>
            </w:r>
            <w:r>
              <w:fldChar w:fldCharType="separate"/>
            </w:r>
            <w:r>
              <w:t>120</w:t>
            </w:r>
            <w:r>
              <w:fldChar w:fldCharType="end"/>
            </w:r>
          </w:hyperlink>
        </w:p>
        <w:p w14:paraId="1E1802FE" w14:textId="77777777" w:rsidR="009D12AF" w:rsidRDefault="00000000">
          <w:pPr>
            <w:pStyle w:val="TOC1"/>
            <w:tabs>
              <w:tab w:val="right" w:leader="dot" w:pos="8306"/>
            </w:tabs>
            <w:ind w:firstLineChars="0" w:firstLine="0"/>
          </w:pPr>
          <w:hyperlink w:anchor="_Toc4016" w:history="1">
            <w:r>
              <w:rPr>
                <w:rFonts w:hint="eastAsia"/>
              </w:rPr>
              <w:t>4</w:t>
            </w:r>
            <w:r>
              <w:t xml:space="preserve"> </w:t>
            </w:r>
            <w:r>
              <w:t>建设项目区域环境概况</w:t>
            </w:r>
            <w:r>
              <w:tab/>
            </w:r>
            <w:r>
              <w:fldChar w:fldCharType="begin"/>
            </w:r>
            <w:r>
              <w:instrText xml:space="preserve"> PAGEREF _Toc4016 \h </w:instrText>
            </w:r>
            <w:r>
              <w:fldChar w:fldCharType="separate"/>
            </w:r>
            <w:r>
              <w:t>121</w:t>
            </w:r>
            <w:r>
              <w:fldChar w:fldCharType="end"/>
            </w:r>
          </w:hyperlink>
        </w:p>
        <w:p w14:paraId="1A3783BF" w14:textId="77777777" w:rsidR="009D12AF" w:rsidRDefault="00000000">
          <w:pPr>
            <w:pStyle w:val="TOC2"/>
            <w:tabs>
              <w:tab w:val="right" w:leader="dot" w:pos="8306"/>
            </w:tabs>
            <w:ind w:left="480" w:firstLineChars="0" w:firstLine="0"/>
          </w:pPr>
          <w:hyperlink w:anchor="_Toc7747" w:history="1">
            <w:r>
              <w:rPr>
                <w:rFonts w:hint="eastAsia"/>
              </w:rPr>
              <w:t>4</w:t>
            </w:r>
            <w:r>
              <w:t xml:space="preserve">.1 </w:t>
            </w:r>
            <w:r>
              <w:t>区域自然条件</w:t>
            </w:r>
            <w:r>
              <w:tab/>
            </w:r>
            <w:r>
              <w:fldChar w:fldCharType="begin"/>
            </w:r>
            <w:r>
              <w:instrText xml:space="preserve"> PAGEREF _Toc7747 \h </w:instrText>
            </w:r>
            <w:r>
              <w:fldChar w:fldCharType="separate"/>
            </w:r>
            <w:r>
              <w:t>121</w:t>
            </w:r>
            <w:r>
              <w:fldChar w:fldCharType="end"/>
            </w:r>
          </w:hyperlink>
        </w:p>
        <w:p w14:paraId="5EC5F613" w14:textId="77777777" w:rsidR="009D12AF" w:rsidRDefault="00000000">
          <w:pPr>
            <w:pStyle w:val="TOC3"/>
            <w:tabs>
              <w:tab w:val="right" w:leader="dot" w:pos="8306"/>
            </w:tabs>
            <w:ind w:left="960" w:firstLineChars="0" w:firstLine="0"/>
          </w:pPr>
          <w:hyperlink w:anchor="_Toc13892" w:history="1">
            <w:r>
              <w:rPr>
                <w:rFonts w:hint="eastAsia"/>
              </w:rPr>
              <w:t>4</w:t>
            </w:r>
            <w:r>
              <w:t xml:space="preserve">.1.1 </w:t>
            </w:r>
            <w:r>
              <w:t>地理位置</w:t>
            </w:r>
            <w:r>
              <w:tab/>
            </w:r>
            <w:r>
              <w:fldChar w:fldCharType="begin"/>
            </w:r>
            <w:r>
              <w:instrText xml:space="preserve"> PAGEREF _Toc13892 \h </w:instrText>
            </w:r>
            <w:r>
              <w:fldChar w:fldCharType="separate"/>
            </w:r>
            <w:r>
              <w:t>121</w:t>
            </w:r>
            <w:r>
              <w:fldChar w:fldCharType="end"/>
            </w:r>
          </w:hyperlink>
        </w:p>
        <w:p w14:paraId="6B7E1FE0" w14:textId="77777777" w:rsidR="009D12AF" w:rsidRDefault="00000000">
          <w:pPr>
            <w:pStyle w:val="TOC3"/>
            <w:tabs>
              <w:tab w:val="right" w:leader="dot" w:pos="8306"/>
            </w:tabs>
            <w:ind w:left="960" w:firstLineChars="0" w:firstLine="0"/>
          </w:pPr>
          <w:hyperlink w:anchor="_Toc9537" w:history="1">
            <w:r>
              <w:rPr>
                <w:rFonts w:hint="eastAsia"/>
              </w:rPr>
              <w:t>4</w:t>
            </w:r>
            <w:r>
              <w:t xml:space="preserve">.1.2 </w:t>
            </w:r>
            <w:r>
              <w:t>地形、地貌</w:t>
            </w:r>
            <w:r>
              <w:tab/>
            </w:r>
            <w:r>
              <w:fldChar w:fldCharType="begin"/>
            </w:r>
            <w:r>
              <w:instrText xml:space="preserve"> PAGEREF _Toc9537 \h </w:instrText>
            </w:r>
            <w:r>
              <w:fldChar w:fldCharType="separate"/>
            </w:r>
            <w:r>
              <w:t>121</w:t>
            </w:r>
            <w:r>
              <w:fldChar w:fldCharType="end"/>
            </w:r>
          </w:hyperlink>
        </w:p>
        <w:p w14:paraId="6099C092" w14:textId="77777777" w:rsidR="009D12AF" w:rsidRDefault="00000000">
          <w:pPr>
            <w:pStyle w:val="TOC3"/>
            <w:tabs>
              <w:tab w:val="right" w:leader="dot" w:pos="8306"/>
            </w:tabs>
            <w:ind w:left="960" w:firstLineChars="0" w:firstLine="0"/>
          </w:pPr>
          <w:hyperlink w:anchor="_Toc27837" w:history="1">
            <w:r>
              <w:rPr>
                <w:rFonts w:hint="eastAsia"/>
              </w:rPr>
              <w:t>4</w:t>
            </w:r>
            <w:r>
              <w:t xml:space="preserve">.1.3 </w:t>
            </w:r>
            <w:r>
              <w:t>气候与气象</w:t>
            </w:r>
            <w:r>
              <w:tab/>
            </w:r>
            <w:r>
              <w:fldChar w:fldCharType="begin"/>
            </w:r>
            <w:r>
              <w:instrText xml:space="preserve"> PAGEREF _Toc27837 \h </w:instrText>
            </w:r>
            <w:r>
              <w:fldChar w:fldCharType="separate"/>
            </w:r>
            <w:r>
              <w:t>122</w:t>
            </w:r>
            <w:r>
              <w:fldChar w:fldCharType="end"/>
            </w:r>
          </w:hyperlink>
        </w:p>
        <w:p w14:paraId="057D85F9" w14:textId="77777777" w:rsidR="009D12AF" w:rsidRDefault="00000000">
          <w:pPr>
            <w:pStyle w:val="TOC3"/>
            <w:tabs>
              <w:tab w:val="right" w:leader="dot" w:pos="8306"/>
            </w:tabs>
            <w:ind w:left="960" w:firstLineChars="0" w:firstLine="0"/>
          </w:pPr>
          <w:hyperlink w:anchor="_Toc27812" w:history="1">
            <w:r>
              <w:rPr>
                <w:rFonts w:hint="eastAsia"/>
              </w:rPr>
              <w:t>4</w:t>
            </w:r>
            <w:r>
              <w:t xml:space="preserve">.1.4 </w:t>
            </w:r>
            <w:r>
              <w:rPr>
                <w:rFonts w:hint="eastAsia"/>
              </w:rPr>
              <w:t>水文地质</w:t>
            </w:r>
            <w:r>
              <w:tab/>
            </w:r>
            <w:r>
              <w:fldChar w:fldCharType="begin"/>
            </w:r>
            <w:r>
              <w:instrText xml:space="preserve"> PAGEREF _Toc27812 \h </w:instrText>
            </w:r>
            <w:r>
              <w:fldChar w:fldCharType="separate"/>
            </w:r>
            <w:r>
              <w:t>122</w:t>
            </w:r>
            <w:r>
              <w:fldChar w:fldCharType="end"/>
            </w:r>
          </w:hyperlink>
        </w:p>
        <w:p w14:paraId="3B894845" w14:textId="77777777" w:rsidR="009D12AF" w:rsidRDefault="00000000">
          <w:pPr>
            <w:pStyle w:val="TOC3"/>
            <w:tabs>
              <w:tab w:val="right" w:leader="dot" w:pos="8306"/>
            </w:tabs>
            <w:ind w:left="960" w:firstLineChars="0" w:firstLine="0"/>
          </w:pPr>
          <w:hyperlink w:anchor="_Toc28362" w:history="1">
            <w:r>
              <w:rPr>
                <w:rFonts w:hint="eastAsia"/>
              </w:rPr>
              <w:t>4</w:t>
            </w:r>
            <w:r>
              <w:t xml:space="preserve">.1.6 </w:t>
            </w:r>
            <w:r>
              <w:t>土壤与植被情况</w:t>
            </w:r>
            <w:r>
              <w:tab/>
            </w:r>
            <w:r>
              <w:fldChar w:fldCharType="begin"/>
            </w:r>
            <w:r>
              <w:instrText xml:space="preserve"> PAGEREF _Toc28362 \h </w:instrText>
            </w:r>
            <w:r>
              <w:fldChar w:fldCharType="separate"/>
            </w:r>
            <w:r>
              <w:t>125</w:t>
            </w:r>
            <w:r>
              <w:fldChar w:fldCharType="end"/>
            </w:r>
          </w:hyperlink>
        </w:p>
        <w:p w14:paraId="1CA65C5B" w14:textId="77777777" w:rsidR="009D12AF" w:rsidRDefault="00000000">
          <w:pPr>
            <w:pStyle w:val="TOC3"/>
            <w:tabs>
              <w:tab w:val="right" w:leader="dot" w:pos="8306"/>
            </w:tabs>
            <w:ind w:left="960" w:firstLineChars="0" w:firstLine="0"/>
          </w:pPr>
          <w:hyperlink w:anchor="_Toc5112" w:history="1">
            <w:r>
              <w:t xml:space="preserve">4.1.7 </w:t>
            </w:r>
            <w:r>
              <w:t>野生动物分布</w:t>
            </w:r>
            <w:r>
              <w:tab/>
            </w:r>
            <w:r>
              <w:fldChar w:fldCharType="begin"/>
            </w:r>
            <w:r>
              <w:instrText xml:space="preserve"> PAGEREF _Toc5112 \h </w:instrText>
            </w:r>
            <w:r>
              <w:fldChar w:fldCharType="separate"/>
            </w:r>
            <w:r>
              <w:t>126</w:t>
            </w:r>
            <w:r>
              <w:fldChar w:fldCharType="end"/>
            </w:r>
          </w:hyperlink>
        </w:p>
        <w:p w14:paraId="3531C801" w14:textId="77777777" w:rsidR="009D12AF" w:rsidRDefault="00000000">
          <w:pPr>
            <w:pStyle w:val="TOC2"/>
            <w:tabs>
              <w:tab w:val="right" w:leader="dot" w:pos="8306"/>
            </w:tabs>
            <w:ind w:left="480" w:firstLineChars="0" w:firstLine="0"/>
          </w:pPr>
          <w:hyperlink w:anchor="_Toc19966" w:history="1">
            <w:r>
              <w:t>4.2</w:t>
            </w:r>
            <w:r>
              <w:t>环境保护目标调查</w:t>
            </w:r>
            <w:r>
              <w:tab/>
            </w:r>
            <w:r>
              <w:fldChar w:fldCharType="begin"/>
            </w:r>
            <w:r>
              <w:instrText xml:space="preserve"> PAGEREF _Toc19966 \h </w:instrText>
            </w:r>
            <w:r>
              <w:fldChar w:fldCharType="separate"/>
            </w:r>
            <w:r>
              <w:t>126</w:t>
            </w:r>
            <w:r>
              <w:fldChar w:fldCharType="end"/>
            </w:r>
          </w:hyperlink>
        </w:p>
        <w:p w14:paraId="51D2AA00" w14:textId="77777777" w:rsidR="009D12AF" w:rsidRDefault="00000000">
          <w:pPr>
            <w:pStyle w:val="TOC3"/>
            <w:tabs>
              <w:tab w:val="right" w:leader="dot" w:pos="8306"/>
            </w:tabs>
            <w:ind w:left="960" w:firstLineChars="0" w:firstLine="0"/>
          </w:pPr>
          <w:hyperlink w:anchor="_Toc24045" w:history="1">
            <w:r>
              <w:t xml:space="preserve">4.2.1 </w:t>
            </w:r>
            <w:r>
              <w:t>环境功能区划</w:t>
            </w:r>
            <w:r>
              <w:tab/>
            </w:r>
            <w:r>
              <w:fldChar w:fldCharType="begin"/>
            </w:r>
            <w:r>
              <w:instrText xml:space="preserve"> PAGEREF _Toc24045 \h </w:instrText>
            </w:r>
            <w:r>
              <w:fldChar w:fldCharType="separate"/>
            </w:r>
            <w:r>
              <w:t>126</w:t>
            </w:r>
            <w:r>
              <w:fldChar w:fldCharType="end"/>
            </w:r>
          </w:hyperlink>
        </w:p>
        <w:p w14:paraId="19D0A176" w14:textId="77777777" w:rsidR="009D12AF" w:rsidRDefault="00000000">
          <w:pPr>
            <w:pStyle w:val="TOC3"/>
            <w:tabs>
              <w:tab w:val="right" w:leader="dot" w:pos="8306"/>
            </w:tabs>
            <w:ind w:left="960" w:firstLineChars="0" w:firstLine="0"/>
          </w:pPr>
          <w:hyperlink w:anchor="_Toc1031" w:history="1">
            <w:r>
              <w:t xml:space="preserve">4.2.2 </w:t>
            </w:r>
            <w:r>
              <w:t>主要环境敏感区</w:t>
            </w:r>
            <w:r>
              <w:tab/>
            </w:r>
            <w:r>
              <w:fldChar w:fldCharType="begin"/>
            </w:r>
            <w:r>
              <w:instrText xml:space="preserve"> PAGEREF _Toc1031 \h </w:instrText>
            </w:r>
            <w:r>
              <w:fldChar w:fldCharType="separate"/>
            </w:r>
            <w:r>
              <w:t>127</w:t>
            </w:r>
            <w:r>
              <w:fldChar w:fldCharType="end"/>
            </w:r>
          </w:hyperlink>
        </w:p>
        <w:p w14:paraId="73CEEF13" w14:textId="77777777" w:rsidR="009D12AF" w:rsidRDefault="00000000">
          <w:pPr>
            <w:pStyle w:val="TOC2"/>
            <w:tabs>
              <w:tab w:val="right" w:leader="dot" w:pos="8306"/>
            </w:tabs>
            <w:ind w:left="480" w:firstLineChars="0" w:firstLine="0"/>
          </w:pPr>
          <w:hyperlink w:anchor="_Toc8246" w:history="1">
            <w:r>
              <w:t xml:space="preserve">4.3 </w:t>
            </w:r>
            <w:r>
              <w:t>环境质量现状调查与评价</w:t>
            </w:r>
            <w:r>
              <w:tab/>
            </w:r>
            <w:r>
              <w:fldChar w:fldCharType="begin"/>
            </w:r>
            <w:r>
              <w:instrText xml:space="preserve"> PAGEREF _Toc8246 \h </w:instrText>
            </w:r>
            <w:r>
              <w:fldChar w:fldCharType="separate"/>
            </w:r>
            <w:r>
              <w:t>129</w:t>
            </w:r>
            <w:r>
              <w:fldChar w:fldCharType="end"/>
            </w:r>
          </w:hyperlink>
        </w:p>
        <w:p w14:paraId="64B6A97B" w14:textId="77777777" w:rsidR="009D12AF" w:rsidRDefault="00000000">
          <w:pPr>
            <w:pStyle w:val="TOC3"/>
            <w:tabs>
              <w:tab w:val="right" w:leader="dot" w:pos="8306"/>
            </w:tabs>
            <w:ind w:left="960" w:firstLineChars="0" w:firstLine="0"/>
          </w:pPr>
          <w:hyperlink w:anchor="_Toc12193" w:history="1">
            <w:r>
              <w:t>4.3.1</w:t>
            </w:r>
            <w:r>
              <w:t>环境空气现状调查与评价</w:t>
            </w:r>
            <w:r>
              <w:tab/>
            </w:r>
            <w:r>
              <w:fldChar w:fldCharType="begin"/>
            </w:r>
            <w:r>
              <w:instrText xml:space="preserve"> PAGEREF _Toc12193 \h </w:instrText>
            </w:r>
            <w:r>
              <w:fldChar w:fldCharType="separate"/>
            </w:r>
            <w:r>
              <w:t>129</w:t>
            </w:r>
            <w:r>
              <w:fldChar w:fldCharType="end"/>
            </w:r>
          </w:hyperlink>
        </w:p>
        <w:p w14:paraId="4E90BE02" w14:textId="77777777" w:rsidR="009D12AF" w:rsidRDefault="00000000">
          <w:pPr>
            <w:pStyle w:val="TOC3"/>
            <w:tabs>
              <w:tab w:val="right" w:leader="dot" w:pos="8306"/>
            </w:tabs>
            <w:ind w:left="960" w:firstLineChars="0" w:firstLine="0"/>
          </w:pPr>
          <w:hyperlink w:anchor="_Toc26408" w:history="1">
            <w:r>
              <w:t>4.3.</w:t>
            </w:r>
            <w:r>
              <w:rPr>
                <w:rFonts w:hint="eastAsia"/>
              </w:rPr>
              <w:t>2</w:t>
            </w:r>
            <w:r>
              <w:rPr>
                <w:rFonts w:hint="eastAsia"/>
              </w:rPr>
              <w:t>地表水环境</w:t>
            </w:r>
            <w:r>
              <w:t>现状调查与评价</w:t>
            </w:r>
            <w:r>
              <w:tab/>
            </w:r>
            <w:r>
              <w:fldChar w:fldCharType="begin"/>
            </w:r>
            <w:r>
              <w:instrText xml:space="preserve"> PAGEREF _Toc26408 \h </w:instrText>
            </w:r>
            <w:r>
              <w:fldChar w:fldCharType="separate"/>
            </w:r>
            <w:r>
              <w:t>137</w:t>
            </w:r>
            <w:r>
              <w:fldChar w:fldCharType="end"/>
            </w:r>
          </w:hyperlink>
        </w:p>
        <w:p w14:paraId="21D622E7" w14:textId="77777777" w:rsidR="009D12AF" w:rsidRDefault="00000000">
          <w:pPr>
            <w:pStyle w:val="TOC3"/>
            <w:tabs>
              <w:tab w:val="right" w:leader="dot" w:pos="8306"/>
            </w:tabs>
            <w:ind w:left="960" w:firstLineChars="0" w:firstLine="0"/>
          </w:pPr>
          <w:hyperlink w:anchor="_Toc6705" w:history="1">
            <w:r>
              <w:rPr>
                <w:rFonts w:hint="eastAsia"/>
              </w:rPr>
              <w:t>4.3.3</w:t>
            </w:r>
            <w:r>
              <w:rPr>
                <w:rFonts w:hint="eastAsia"/>
              </w:rPr>
              <w:t>声环境质量现状监测与评价</w:t>
            </w:r>
            <w:r>
              <w:tab/>
            </w:r>
            <w:r>
              <w:fldChar w:fldCharType="begin"/>
            </w:r>
            <w:r>
              <w:instrText xml:space="preserve"> PAGEREF _Toc6705 \h </w:instrText>
            </w:r>
            <w:r>
              <w:fldChar w:fldCharType="separate"/>
            </w:r>
            <w:r>
              <w:t>166</w:t>
            </w:r>
            <w:r>
              <w:fldChar w:fldCharType="end"/>
            </w:r>
          </w:hyperlink>
        </w:p>
        <w:p w14:paraId="2F05B908" w14:textId="77777777" w:rsidR="009D12AF" w:rsidRDefault="00000000">
          <w:pPr>
            <w:pStyle w:val="TOC3"/>
            <w:tabs>
              <w:tab w:val="right" w:leader="dot" w:pos="8306"/>
            </w:tabs>
            <w:ind w:left="960" w:firstLineChars="0" w:firstLine="0"/>
          </w:pPr>
          <w:hyperlink w:anchor="_Toc4971" w:history="1">
            <w:r>
              <w:rPr>
                <w:rFonts w:hint="eastAsia"/>
              </w:rPr>
              <w:t>4.3.4</w:t>
            </w:r>
            <w:r>
              <w:rPr>
                <w:rFonts w:hint="eastAsia"/>
              </w:rPr>
              <w:t>地下水质量现状监测与评价</w:t>
            </w:r>
            <w:r>
              <w:tab/>
            </w:r>
            <w:r>
              <w:fldChar w:fldCharType="begin"/>
            </w:r>
            <w:r>
              <w:instrText xml:space="preserve"> PAGEREF _Toc4971 \h </w:instrText>
            </w:r>
            <w:r>
              <w:fldChar w:fldCharType="separate"/>
            </w:r>
            <w:r>
              <w:t>168</w:t>
            </w:r>
            <w:r>
              <w:fldChar w:fldCharType="end"/>
            </w:r>
          </w:hyperlink>
        </w:p>
        <w:p w14:paraId="09983BD4" w14:textId="77777777" w:rsidR="009D12AF" w:rsidRDefault="00000000">
          <w:pPr>
            <w:pStyle w:val="TOC3"/>
            <w:tabs>
              <w:tab w:val="right" w:leader="dot" w:pos="8306"/>
            </w:tabs>
            <w:ind w:left="960" w:firstLineChars="0" w:firstLine="0"/>
          </w:pPr>
          <w:hyperlink w:anchor="_Toc21293" w:history="1">
            <w:r>
              <w:t>4.3.</w:t>
            </w:r>
            <w:r>
              <w:rPr>
                <w:rFonts w:hint="eastAsia"/>
              </w:rPr>
              <w:t>5</w:t>
            </w:r>
            <w:r>
              <w:rPr>
                <w:rFonts w:hint="eastAsia"/>
              </w:rPr>
              <w:t>土壤</w:t>
            </w:r>
            <w:r>
              <w:t>环境质量现状调查与评价</w:t>
            </w:r>
            <w:r>
              <w:tab/>
            </w:r>
            <w:r>
              <w:fldChar w:fldCharType="begin"/>
            </w:r>
            <w:r>
              <w:instrText xml:space="preserve"> PAGEREF _Toc21293 \h </w:instrText>
            </w:r>
            <w:r>
              <w:fldChar w:fldCharType="separate"/>
            </w:r>
            <w:r>
              <w:t>184</w:t>
            </w:r>
            <w:r>
              <w:fldChar w:fldCharType="end"/>
            </w:r>
          </w:hyperlink>
        </w:p>
        <w:p w14:paraId="303BF847" w14:textId="77777777" w:rsidR="009D12AF" w:rsidRDefault="00000000">
          <w:pPr>
            <w:pStyle w:val="TOC3"/>
            <w:tabs>
              <w:tab w:val="right" w:leader="dot" w:pos="8306"/>
            </w:tabs>
            <w:ind w:left="960" w:firstLineChars="0" w:firstLine="0"/>
          </w:pPr>
          <w:hyperlink w:anchor="_Toc10826" w:history="1">
            <w:r>
              <w:rPr>
                <w:rFonts w:hint="eastAsia"/>
              </w:rPr>
              <w:t>4.3.6</w:t>
            </w:r>
            <w:r>
              <w:rPr>
                <w:rFonts w:hint="eastAsia"/>
              </w:rPr>
              <w:t>水生生态环境现状调查与评价</w:t>
            </w:r>
            <w:r>
              <w:tab/>
            </w:r>
            <w:r>
              <w:fldChar w:fldCharType="begin"/>
            </w:r>
            <w:r>
              <w:instrText xml:space="preserve"> PAGEREF _Toc10826 \h </w:instrText>
            </w:r>
            <w:r>
              <w:fldChar w:fldCharType="separate"/>
            </w:r>
            <w:r>
              <w:t>190</w:t>
            </w:r>
            <w:r>
              <w:fldChar w:fldCharType="end"/>
            </w:r>
          </w:hyperlink>
        </w:p>
        <w:p w14:paraId="07B0817B" w14:textId="77777777" w:rsidR="009D12AF" w:rsidRDefault="00000000">
          <w:pPr>
            <w:pStyle w:val="TOC3"/>
            <w:tabs>
              <w:tab w:val="right" w:leader="dot" w:pos="8306"/>
            </w:tabs>
            <w:ind w:left="960" w:firstLineChars="0" w:firstLine="0"/>
          </w:pPr>
          <w:hyperlink w:anchor="_Toc22452" w:history="1">
            <w:r>
              <w:rPr>
                <w:rFonts w:hint="eastAsia"/>
              </w:rPr>
              <w:t>4.3.7</w:t>
            </w:r>
            <w:r>
              <w:rPr>
                <w:rFonts w:hint="eastAsia"/>
              </w:rPr>
              <w:t>陆生生态环境现状调查与评价</w:t>
            </w:r>
            <w:r>
              <w:tab/>
            </w:r>
            <w:r>
              <w:fldChar w:fldCharType="begin"/>
            </w:r>
            <w:r>
              <w:instrText xml:space="preserve"> PAGEREF _Toc22452 \h </w:instrText>
            </w:r>
            <w:r>
              <w:fldChar w:fldCharType="separate"/>
            </w:r>
            <w:r>
              <w:t>224</w:t>
            </w:r>
            <w:r>
              <w:fldChar w:fldCharType="end"/>
            </w:r>
          </w:hyperlink>
        </w:p>
        <w:p w14:paraId="1963FC51" w14:textId="77777777" w:rsidR="009D12AF" w:rsidRDefault="00000000">
          <w:pPr>
            <w:pStyle w:val="TOC3"/>
            <w:tabs>
              <w:tab w:val="right" w:leader="dot" w:pos="8306"/>
            </w:tabs>
            <w:ind w:left="960" w:firstLineChars="0" w:firstLine="0"/>
          </w:pPr>
          <w:hyperlink w:anchor="_Toc5473" w:history="1">
            <w:r>
              <w:rPr>
                <w:rFonts w:hint="eastAsia"/>
              </w:rPr>
              <w:t>4.3.7</w:t>
            </w:r>
            <w:r>
              <w:rPr>
                <w:rFonts w:hint="eastAsia"/>
              </w:rPr>
              <w:t>底泥现状</w:t>
            </w:r>
            <w:r>
              <w:tab/>
            </w:r>
            <w:r>
              <w:fldChar w:fldCharType="begin"/>
            </w:r>
            <w:r>
              <w:instrText xml:space="preserve"> PAGEREF _Toc5473 \h </w:instrText>
            </w:r>
            <w:r>
              <w:fldChar w:fldCharType="separate"/>
            </w:r>
            <w:r>
              <w:t>314</w:t>
            </w:r>
            <w:r>
              <w:fldChar w:fldCharType="end"/>
            </w:r>
          </w:hyperlink>
        </w:p>
        <w:p w14:paraId="2BD35E7B" w14:textId="77777777" w:rsidR="009D12AF" w:rsidRDefault="00000000">
          <w:pPr>
            <w:pStyle w:val="TOC2"/>
            <w:tabs>
              <w:tab w:val="right" w:leader="dot" w:pos="8306"/>
            </w:tabs>
            <w:ind w:left="480" w:firstLineChars="0" w:firstLine="0"/>
          </w:pPr>
          <w:hyperlink w:anchor="_Toc12298" w:history="1">
            <w:r>
              <w:rPr>
                <w:rFonts w:hint="eastAsia"/>
              </w:rPr>
              <w:t xml:space="preserve">4.4 </w:t>
            </w:r>
            <w:r>
              <w:rPr>
                <w:rFonts w:hint="eastAsia"/>
              </w:rPr>
              <w:t>区域环境污染源调查</w:t>
            </w:r>
            <w:r>
              <w:tab/>
            </w:r>
            <w:r>
              <w:fldChar w:fldCharType="begin"/>
            </w:r>
            <w:r>
              <w:instrText xml:space="preserve"> PAGEREF _Toc12298 \h </w:instrText>
            </w:r>
            <w:r>
              <w:fldChar w:fldCharType="separate"/>
            </w:r>
            <w:r>
              <w:t>315</w:t>
            </w:r>
            <w:r>
              <w:fldChar w:fldCharType="end"/>
            </w:r>
          </w:hyperlink>
        </w:p>
        <w:p w14:paraId="66DC7138" w14:textId="77777777" w:rsidR="009D12AF" w:rsidRDefault="00000000">
          <w:pPr>
            <w:pStyle w:val="TOC2"/>
            <w:tabs>
              <w:tab w:val="right" w:leader="dot" w:pos="8306"/>
            </w:tabs>
            <w:ind w:left="480" w:firstLineChars="0" w:firstLine="0"/>
          </w:pPr>
          <w:hyperlink w:anchor="_Toc13486" w:history="1">
            <w:r>
              <w:rPr>
                <w:rFonts w:hint="eastAsia"/>
              </w:rPr>
              <w:t>4.5</w:t>
            </w:r>
            <w:r>
              <w:rPr>
                <w:rFonts w:hint="eastAsia"/>
              </w:rPr>
              <w:t>区域主要生态问题调查与评价</w:t>
            </w:r>
            <w:r>
              <w:tab/>
            </w:r>
            <w:r>
              <w:fldChar w:fldCharType="begin"/>
            </w:r>
            <w:r>
              <w:instrText xml:space="preserve"> PAGEREF _Toc13486 \h </w:instrText>
            </w:r>
            <w:r>
              <w:fldChar w:fldCharType="separate"/>
            </w:r>
            <w:r>
              <w:t>315</w:t>
            </w:r>
            <w:r>
              <w:fldChar w:fldCharType="end"/>
            </w:r>
          </w:hyperlink>
        </w:p>
        <w:p w14:paraId="31F057B2" w14:textId="77777777" w:rsidR="009D12AF" w:rsidRDefault="00000000">
          <w:pPr>
            <w:pStyle w:val="TOC2"/>
            <w:tabs>
              <w:tab w:val="right" w:leader="dot" w:pos="8306"/>
            </w:tabs>
            <w:ind w:left="480" w:firstLineChars="0" w:firstLine="0"/>
          </w:pPr>
          <w:hyperlink w:anchor="_Toc31189" w:history="1">
            <w:r>
              <w:rPr>
                <w:rFonts w:hint="eastAsia"/>
              </w:rPr>
              <w:t>4.6</w:t>
            </w:r>
            <w:r>
              <w:rPr>
                <w:rFonts w:hint="eastAsia"/>
              </w:rPr>
              <w:t>典型区域生态环境现状调查与评价</w:t>
            </w:r>
            <w:r>
              <w:tab/>
            </w:r>
            <w:r>
              <w:fldChar w:fldCharType="begin"/>
            </w:r>
            <w:r>
              <w:instrText xml:space="preserve"> PAGEREF _Toc31189 \h </w:instrText>
            </w:r>
            <w:r>
              <w:fldChar w:fldCharType="separate"/>
            </w:r>
            <w:r>
              <w:t>317</w:t>
            </w:r>
            <w:r>
              <w:fldChar w:fldCharType="end"/>
            </w:r>
          </w:hyperlink>
        </w:p>
        <w:p w14:paraId="6C612625" w14:textId="77777777" w:rsidR="009D12AF" w:rsidRDefault="00000000">
          <w:pPr>
            <w:pStyle w:val="TOC1"/>
            <w:tabs>
              <w:tab w:val="right" w:leader="dot" w:pos="8306"/>
            </w:tabs>
            <w:ind w:firstLineChars="0" w:firstLine="0"/>
          </w:pPr>
          <w:hyperlink w:anchor="_Toc32348" w:history="1">
            <w:r>
              <w:rPr>
                <w:rFonts w:hint="eastAsia"/>
              </w:rPr>
              <w:t>5</w:t>
            </w:r>
            <w:r>
              <w:t xml:space="preserve"> </w:t>
            </w:r>
            <w:r>
              <w:t>环境影响预测与评价</w:t>
            </w:r>
            <w:r>
              <w:tab/>
            </w:r>
            <w:r>
              <w:fldChar w:fldCharType="begin"/>
            </w:r>
            <w:r>
              <w:instrText xml:space="preserve"> PAGEREF _Toc32348 \h </w:instrText>
            </w:r>
            <w:r>
              <w:fldChar w:fldCharType="separate"/>
            </w:r>
            <w:r>
              <w:t>319</w:t>
            </w:r>
            <w:r>
              <w:fldChar w:fldCharType="end"/>
            </w:r>
          </w:hyperlink>
        </w:p>
        <w:p w14:paraId="66015B84" w14:textId="77777777" w:rsidR="009D12AF" w:rsidRDefault="00000000">
          <w:pPr>
            <w:pStyle w:val="TOC2"/>
            <w:tabs>
              <w:tab w:val="right" w:leader="dot" w:pos="8306"/>
            </w:tabs>
            <w:ind w:left="480" w:firstLineChars="0" w:firstLine="0"/>
          </w:pPr>
          <w:hyperlink w:anchor="_Toc19780" w:history="1">
            <w:r>
              <w:rPr>
                <w:rFonts w:hint="eastAsia"/>
              </w:rPr>
              <w:t>5</w:t>
            </w:r>
            <w:r>
              <w:t xml:space="preserve">.1 </w:t>
            </w:r>
            <w:r>
              <w:t>施工期环境影响</w:t>
            </w:r>
            <w:r>
              <w:rPr>
                <w:rFonts w:hint="eastAsia"/>
              </w:rPr>
              <w:t>预测与评价</w:t>
            </w:r>
            <w:r>
              <w:tab/>
            </w:r>
            <w:r>
              <w:fldChar w:fldCharType="begin"/>
            </w:r>
            <w:r>
              <w:instrText xml:space="preserve"> PAGEREF _Toc19780 \h </w:instrText>
            </w:r>
            <w:r>
              <w:fldChar w:fldCharType="separate"/>
            </w:r>
            <w:r>
              <w:t>319</w:t>
            </w:r>
            <w:r>
              <w:fldChar w:fldCharType="end"/>
            </w:r>
          </w:hyperlink>
        </w:p>
        <w:p w14:paraId="5D20BD61" w14:textId="77777777" w:rsidR="009D12AF" w:rsidRDefault="00000000">
          <w:pPr>
            <w:pStyle w:val="TOC3"/>
            <w:tabs>
              <w:tab w:val="right" w:leader="dot" w:pos="8306"/>
            </w:tabs>
            <w:ind w:left="960" w:firstLineChars="0" w:firstLine="0"/>
          </w:pPr>
          <w:hyperlink w:anchor="_Toc450" w:history="1">
            <w:r>
              <w:rPr>
                <w:rFonts w:hint="eastAsia"/>
              </w:rPr>
              <w:t xml:space="preserve">5.1.1 </w:t>
            </w:r>
            <w:r>
              <w:rPr>
                <w:rFonts w:hint="eastAsia"/>
              </w:rPr>
              <w:t>施工期大气环境影响预测与评价</w:t>
            </w:r>
            <w:r>
              <w:tab/>
            </w:r>
            <w:r>
              <w:fldChar w:fldCharType="begin"/>
            </w:r>
            <w:r>
              <w:instrText xml:space="preserve"> PAGEREF _Toc450 \h </w:instrText>
            </w:r>
            <w:r>
              <w:fldChar w:fldCharType="separate"/>
            </w:r>
            <w:r>
              <w:t>319</w:t>
            </w:r>
            <w:r>
              <w:fldChar w:fldCharType="end"/>
            </w:r>
          </w:hyperlink>
        </w:p>
        <w:p w14:paraId="4C0E17B1" w14:textId="77777777" w:rsidR="009D12AF" w:rsidRDefault="00000000">
          <w:pPr>
            <w:pStyle w:val="TOC3"/>
            <w:tabs>
              <w:tab w:val="right" w:leader="dot" w:pos="8306"/>
            </w:tabs>
            <w:ind w:left="960" w:firstLineChars="0" w:firstLine="0"/>
          </w:pPr>
          <w:hyperlink w:anchor="_Toc7317" w:history="1">
            <w:r>
              <w:rPr>
                <w:rFonts w:hint="eastAsia"/>
              </w:rPr>
              <w:t xml:space="preserve">5.1.2 </w:t>
            </w:r>
            <w:r>
              <w:rPr>
                <w:rFonts w:hint="eastAsia"/>
              </w:rPr>
              <w:t>施工期地表水环境影响预测与评价</w:t>
            </w:r>
            <w:r>
              <w:tab/>
            </w:r>
            <w:r>
              <w:fldChar w:fldCharType="begin"/>
            </w:r>
            <w:r>
              <w:instrText xml:space="preserve"> PAGEREF _Toc7317 \h </w:instrText>
            </w:r>
            <w:r>
              <w:fldChar w:fldCharType="separate"/>
            </w:r>
            <w:r>
              <w:t>321</w:t>
            </w:r>
            <w:r>
              <w:fldChar w:fldCharType="end"/>
            </w:r>
          </w:hyperlink>
        </w:p>
        <w:p w14:paraId="53AFB8E4" w14:textId="77777777" w:rsidR="009D12AF" w:rsidRDefault="00000000">
          <w:pPr>
            <w:pStyle w:val="TOC3"/>
            <w:tabs>
              <w:tab w:val="right" w:leader="dot" w:pos="8306"/>
            </w:tabs>
            <w:ind w:left="960" w:firstLineChars="0" w:firstLine="0"/>
          </w:pPr>
          <w:hyperlink w:anchor="_Toc3941" w:history="1">
            <w:r>
              <w:rPr>
                <w:rFonts w:hint="eastAsia"/>
              </w:rPr>
              <w:t>5</w:t>
            </w:r>
            <w:r>
              <w:t>.1.</w:t>
            </w:r>
            <w:r>
              <w:rPr>
                <w:rFonts w:hint="eastAsia"/>
              </w:rPr>
              <w:t>3</w:t>
            </w:r>
            <w:r>
              <w:t xml:space="preserve"> </w:t>
            </w:r>
            <w:r>
              <w:t>施工期</w:t>
            </w:r>
            <w:r>
              <w:rPr>
                <w:rFonts w:hint="eastAsia"/>
              </w:rPr>
              <w:t>地下</w:t>
            </w:r>
            <w:r>
              <w:t>水环境影响</w:t>
            </w:r>
            <w:r>
              <w:rPr>
                <w:rFonts w:hint="eastAsia"/>
              </w:rPr>
              <w:t>预测与评价</w:t>
            </w:r>
            <w:r>
              <w:tab/>
            </w:r>
            <w:r>
              <w:fldChar w:fldCharType="begin"/>
            </w:r>
            <w:r>
              <w:instrText xml:space="preserve"> PAGEREF _Toc3941 \h </w:instrText>
            </w:r>
            <w:r>
              <w:fldChar w:fldCharType="separate"/>
            </w:r>
            <w:r>
              <w:t>328</w:t>
            </w:r>
            <w:r>
              <w:fldChar w:fldCharType="end"/>
            </w:r>
          </w:hyperlink>
        </w:p>
        <w:p w14:paraId="1754E9A2" w14:textId="77777777" w:rsidR="009D12AF" w:rsidRDefault="00000000">
          <w:pPr>
            <w:pStyle w:val="TOC3"/>
            <w:tabs>
              <w:tab w:val="right" w:leader="dot" w:pos="8306"/>
            </w:tabs>
            <w:ind w:left="960" w:firstLineChars="0" w:firstLine="0"/>
          </w:pPr>
          <w:hyperlink w:anchor="_Toc26764" w:history="1">
            <w:r>
              <w:rPr>
                <w:rFonts w:hint="eastAsia"/>
              </w:rPr>
              <w:t>5</w:t>
            </w:r>
            <w:r>
              <w:t>.1.</w:t>
            </w:r>
            <w:r>
              <w:rPr>
                <w:rFonts w:hint="eastAsia"/>
              </w:rPr>
              <w:t>4</w:t>
            </w:r>
            <w:r>
              <w:t xml:space="preserve"> </w:t>
            </w:r>
            <w:r>
              <w:t>施工期</w:t>
            </w:r>
            <w:r>
              <w:rPr>
                <w:rFonts w:hint="eastAsia"/>
              </w:rPr>
              <w:t>噪声</w:t>
            </w:r>
            <w:r>
              <w:t>环境影响</w:t>
            </w:r>
            <w:r>
              <w:rPr>
                <w:rFonts w:hint="eastAsia"/>
              </w:rPr>
              <w:t>预测与评价</w:t>
            </w:r>
            <w:r>
              <w:tab/>
            </w:r>
            <w:r>
              <w:fldChar w:fldCharType="begin"/>
            </w:r>
            <w:r>
              <w:instrText xml:space="preserve"> PAGEREF _Toc26764 \h </w:instrText>
            </w:r>
            <w:r>
              <w:fldChar w:fldCharType="separate"/>
            </w:r>
            <w:r>
              <w:t>329</w:t>
            </w:r>
            <w:r>
              <w:fldChar w:fldCharType="end"/>
            </w:r>
          </w:hyperlink>
        </w:p>
        <w:p w14:paraId="2F93A76C" w14:textId="77777777" w:rsidR="009D12AF" w:rsidRDefault="00000000">
          <w:pPr>
            <w:pStyle w:val="TOC3"/>
            <w:tabs>
              <w:tab w:val="right" w:leader="dot" w:pos="8306"/>
            </w:tabs>
            <w:ind w:left="960" w:firstLineChars="0" w:firstLine="0"/>
          </w:pPr>
          <w:hyperlink w:anchor="_Toc5633" w:history="1">
            <w:r>
              <w:rPr>
                <w:rFonts w:hint="eastAsia"/>
              </w:rPr>
              <w:t>5</w:t>
            </w:r>
            <w:r>
              <w:t>.1.</w:t>
            </w:r>
            <w:r>
              <w:rPr>
                <w:rFonts w:hint="eastAsia"/>
              </w:rPr>
              <w:t>5</w:t>
            </w:r>
            <w:r>
              <w:t xml:space="preserve"> </w:t>
            </w:r>
            <w:r>
              <w:t>施工期</w:t>
            </w:r>
            <w:r>
              <w:rPr>
                <w:rFonts w:hint="eastAsia"/>
              </w:rPr>
              <w:t>固体废物</w:t>
            </w:r>
            <w:r>
              <w:t>环境影响</w:t>
            </w:r>
            <w:r>
              <w:rPr>
                <w:rFonts w:hint="eastAsia"/>
              </w:rPr>
              <w:t>预测与评价</w:t>
            </w:r>
            <w:r>
              <w:tab/>
            </w:r>
            <w:r>
              <w:fldChar w:fldCharType="begin"/>
            </w:r>
            <w:r>
              <w:instrText xml:space="preserve"> PAGEREF _Toc5633 \h </w:instrText>
            </w:r>
            <w:r>
              <w:fldChar w:fldCharType="separate"/>
            </w:r>
            <w:r>
              <w:t>332</w:t>
            </w:r>
            <w:r>
              <w:fldChar w:fldCharType="end"/>
            </w:r>
          </w:hyperlink>
        </w:p>
        <w:p w14:paraId="4E8A9D38" w14:textId="77777777" w:rsidR="009D12AF" w:rsidRDefault="00000000">
          <w:pPr>
            <w:pStyle w:val="TOC3"/>
            <w:tabs>
              <w:tab w:val="right" w:leader="dot" w:pos="8306"/>
            </w:tabs>
            <w:ind w:left="960" w:firstLineChars="0" w:firstLine="0"/>
          </w:pPr>
          <w:hyperlink w:anchor="_Toc14808" w:history="1">
            <w:r>
              <w:rPr>
                <w:rFonts w:hint="eastAsia"/>
              </w:rPr>
              <w:t>5</w:t>
            </w:r>
            <w:r>
              <w:t>.1.</w:t>
            </w:r>
            <w:r>
              <w:rPr>
                <w:rFonts w:hint="eastAsia"/>
              </w:rPr>
              <w:t>6</w:t>
            </w:r>
            <w:r>
              <w:t xml:space="preserve"> </w:t>
            </w:r>
            <w:r>
              <w:t>施工期</w:t>
            </w:r>
            <w:r>
              <w:rPr>
                <w:rFonts w:hint="eastAsia"/>
              </w:rPr>
              <w:t>土壤</w:t>
            </w:r>
            <w:r>
              <w:t>环境影响</w:t>
            </w:r>
            <w:r>
              <w:rPr>
                <w:rFonts w:hint="eastAsia"/>
              </w:rPr>
              <w:t>预测与评价</w:t>
            </w:r>
            <w:r>
              <w:tab/>
            </w:r>
            <w:r>
              <w:fldChar w:fldCharType="begin"/>
            </w:r>
            <w:r>
              <w:instrText xml:space="preserve"> PAGEREF _Toc14808 \h </w:instrText>
            </w:r>
            <w:r>
              <w:fldChar w:fldCharType="separate"/>
            </w:r>
            <w:r>
              <w:t>333</w:t>
            </w:r>
            <w:r>
              <w:fldChar w:fldCharType="end"/>
            </w:r>
          </w:hyperlink>
        </w:p>
        <w:p w14:paraId="36BE5605" w14:textId="77777777" w:rsidR="009D12AF" w:rsidRDefault="00000000">
          <w:pPr>
            <w:pStyle w:val="TOC3"/>
            <w:tabs>
              <w:tab w:val="right" w:leader="dot" w:pos="8306"/>
            </w:tabs>
            <w:ind w:left="960" w:firstLineChars="0" w:firstLine="0"/>
          </w:pPr>
          <w:hyperlink w:anchor="_Toc1251" w:history="1">
            <w:r>
              <w:rPr>
                <w:rFonts w:hint="eastAsia"/>
              </w:rPr>
              <w:t>5</w:t>
            </w:r>
            <w:r>
              <w:t>.1.</w:t>
            </w:r>
            <w:r>
              <w:rPr>
                <w:rFonts w:hint="eastAsia"/>
              </w:rPr>
              <w:t>7</w:t>
            </w:r>
            <w:r>
              <w:t xml:space="preserve"> </w:t>
            </w:r>
            <w:r>
              <w:t>施工期</w:t>
            </w:r>
            <w:r>
              <w:rPr>
                <w:rFonts w:hint="eastAsia"/>
              </w:rPr>
              <w:t>环境风险</w:t>
            </w:r>
            <w:r>
              <w:t>分析</w:t>
            </w:r>
            <w:r>
              <w:tab/>
            </w:r>
            <w:r>
              <w:fldChar w:fldCharType="begin"/>
            </w:r>
            <w:r>
              <w:instrText xml:space="preserve"> PAGEREF _Toc1251 \h </w:instrText>
            </w:r>
            <w:r>
              <w:fldChar w:fldCharType="separate"/>
            </w:r>
            <w:r>
              <w:t>333</w:t>
            </w:r>
            <w:r>
              <w:fldChar w:fldCharType="end"/>
            </w:r>
          </w:hyperlink>
        </w:p>
        <w:p w14:paraId="3EF6CE24" w14:textId="77777777" w:rsidR="009D12AF" w:rsidRDefault="00000000">
          <w:pPr>
            <w:pStyle w:val="TOC3"/>
            <w:tabs>
              <w:tab w:val="right" w:leader="dot" w:pos="8306"/>
            </w:tabs>
            <w:ind w:left="960" w:firstLineChars="0" w:firstLine="0"/>
          </w:pPr>
          <w:hyperlink w:anchor="_Toc3712" w:history="1">
            <w:r>
              <w:rPr>
                <w:rFonts w:hint="eastAsia"/>
              </w:rPr>
              <w:t>5.1.8</w:t>
            </w:r>
            <w:r>
              <w:rPr>
                <w:rFonts w:hint="eastAsia"/>
              </w:rPr>
              <w:t>施工期水生生态环境影响分析</w:t>
            </w:r>
            <w:r>
              <w:tab/>
            </w:r>
            <w:r>
              <w:fldChar w:fldCharType="begin"/>
            </w:r>
            <w:r>
              <w:instrText xml:space="preserve"> PAGEREF _Toc3712 \h </w:instrText>
            </w:r>
            <w:r>
              <w:fldChar w:fldCharType="separate"/>
            </w:r>
            <w:r>
              <w:t>341</w:t>
            </w:r>
            <w:r>
              <w:fldChar w:fldCharType="end"/>
            </w:r>
          </w:hyperlink>
        </w:p>
        <w:p w14:paraId="1D4F0A21" w14:textId="77777777" w:rsidR="009D12AF" w:rsidRDefault="00000000">
          <w:pPr>
            <w:pStyle w:val="TOC3"/>
            <w:tabs>
              <w:tab w:val="right" w:leader="dot" w:pos="8306"/>
            </w:tabs>
            <w:ind w:left="960" w:firstLineChars="0" w:firstLine="0"/>
          </w:pPr>
          <w:hyperlink w:anchor="_Toc17953" w:history="1">
            <w:r>
              <w:rPr>
                <w:rFonts w:hint="eastAsia"/>
              </w:rPr>
              <w:t>5.1.9</w:t>
            </w:r>
            <w:r>
              <w:rPr>
                <w:rFonts w:hint="eastAsia"/>
              </w:rPr>
              <w:t>施工期陆生生态环境影响预测与评价</w:t>
            </w:r>
            <w:r>
              <w:tab/>
            </w:r>
            <w:r>
              <w:fldChar w:fldCharType="begin"/>
            </w:r>
            <w:r>
              <w:instrText xml:space="preserve"> PAGEREF _Toc17953 \h </w:instrText>
            </w:r>
            <w:r>
              <w:fldChar w:fldCharType="separate"/>
            </w:r>
            <w:r>
              <w:t>343</w:t>
            </w:r>
            <w:r>
              <w:fldChar w:fldCharType="end"/>
            </w:r>
          </w:hyperlink>
        </w:p>
        <w:p w14:paraId="7C445FAA" w14:textId="77777777" w:rsidR="009D12AF" w:rsidRDefault="00000000">
          <w:pPr>
            <w:pStyle w:val="TOC2"/>
            <w:tabs>
              <w:tab w:val="right" w:leader="dot" w:pos="8306"/>
            </w:tabs>
            <w:ind w:left="480" w:firstLineChars="0" w:firstLine="0"/>
          </w:pPr>
          <w:hyperlink w:anchor="_Toc9158" w:history="1">
            <w:r>
              <w:rPr>
                <w:rFonts w:hint="eastAsia"/>
              </w:rPr>
              <w:t>5</w:t>
            </w:r>
            <w:r>
              <w:t xml:space="preserve">.2 </w:t>
            </w:r>
            <w:r>
              <w:rPr>
                <w:rFonts w:hint="eastAsia"/>
              </w:rPr>
              <w:t>运行期</w:t>
            </w:r>
            <w:r>
              <w:t>环境影响分析</w:t>
            </w:r>
            <w:r>
              <w:tab/>
            </w:r>
            <w:r>
              <w:fldChar w:fldCharType="begin"/>
            </w:r>
            <w:r>
              <w:instrText xml:space="preserve"> PAGEREF _Toc9158 \h </w:instrText>
            </w:r>
            <w:r>
              <w:fldChar w:fldCharType="separate"/>
            </w:r>
            <w:r>
              <w:t>369</w:t>
            </w:r>
            <w:r>
              <w:fldChar w:fldCharType="end"/>
            </w:r>
          </w:hyperlink>
        </w:p>
        <w:p w14:paraId="6616E821" w14:textId="77777777" w:rsidR="009D12AF" w:rsidRDefault="00000000">
          <w:pPr>
            <w:pStyle w:val="TOC3"/>
            <w:tabs>
              <w:tab w:val="right" w:leader="dot" w:pos="8306"/>
            </w:tabs>
            <w:ind w:left="960" w:firstLineChars="0" w:firstLine="0"/>
          </w:pPr>
          <w:hyperlink w:anchor="_Toc14187" w:history="1">
            <w:r>
              <w:rPr>
                <w:rFonts w:hint="eastAsia"/>
              </w:rPr>
              <w:t>5.2.1</w:t>
            </w:r>
            <w:r>
              <w:rPr>
                <w:rFonts w:hint="eastAsia"/>
              </w:rPr>
              <w:t>大气环境影响预测与评价</w:t>
            </w:r>
            <w:r>
              <w:tab/>
            </w:r>
            <w:r>
              <w:fldChar w:fldCharType="begin"/>
            </w:r>
            <w:r>
              <w:instrText xml:space="preserve"> PAGEREF _Toc14187 \h </w:instrText>
            </w:r>
            <w:r>
              <w:fldChar w:fldCharType="separate"/>
            </w:r>
            <w:r>
              <w:t>369</w:t>
            </w:r>
            <w:r>
              <w:fldChar w:fldCharType="end"/>
            </w:r>
          </w:hyperlink>
        </w:p>
        <w:p w14:paraId="17D41F12" w14:textId="77777777" w:rsidR="009D12AF" w:rsidRDefault="00000000">
          <w:pPr>
            <w:pStyle w:val="TOC3"/>
            <w:tabs>
              <w:tab w:val="right" w:leader="dot" w:pos="8306"/>
            </w:tabs>
            <w:ind w:left="960" w:firstLineChars="0" w:firstLine="0"/>
          </w:pPr>
          <w:hyperlink w:anchor="_Toc2092" w:history="1">
            <w:r>
              <w:rPr>
                <w:rFonts w:hint="eastAsia"/>
              </w:rPr>
              <w:t>5</w:t>
            </w:r>
            <w:r>
              <w:t>.2.</w:t>
            </w:r>
            <w:r>
              <w:rPr>
                <w:rFonts w:hint="eastAsia"/>
              </w:rPr>
              <w:t>2</w:t>
            </w:r>
            <w:r>
              <w:t xml:space="preserve"> </w:t>
            </w:r>
            <w:r>
              <w:t>地表水环境影响</w:t>
            </w:r>
            <w:r>
              <w:rPr>
                <w:rFonts w:hint="eastAsia"/>
              </w:rPr>
              <w:t>预测与评价</w:t>
            </w:r>
            <w:r>
              <w:tab/>
            </w:r>
            <w:r>
              <w:fldChar w:fldCharType="begin"/>
            </w:r>
            <w:r>
              <w:instrText xml:space="preserve"> PAGEREF _Toc2092 \h </w:instrText>
            </w:r>
            <w:r>
              <w:fldChar w:fldCharType="separate"/>
            </w:r>
            <w:r>
              <w:t>369</w:t>
            </w:r>
            <w:r>
              <w:fldChar w:fldCharType="end"/>
            </w:r>
          </w:hyperlink>
        </w:p>
        <w:p w14:paraId="3FB8AA4A" w14:textId="77777777" w:rsidR="009D12AF" w:rsidRDefault="00000000">
          <w:pPr>
            <w:pStyle w:val="TOC3"/>
            <w:tabs>
              <w:tab w:val="right" w:leader="dot" w:pos="8306"/>
            </w:tabs>
            <w:ind w:left="960" w:firstLineChars="0" w:firstLine="0"/>
          </w:pPr>
          <w:hyperlink w:anchor="_Toc32397" w:history="1">
            <w:r>
              <w:rPr>
                <w:rFonts w:hint="eastAsia"/>
              </w:rPr>
              <w:t>5.2.3</w:t>
            </w:r>
            <w:r>
              <w:rPr>
                <w:rFonts w:hint="eastAsia"/>
              </w:rPr>
              <w:t>地下水环境影响预测与评价</w:t>
            </w:r>
            <w:r>
              <w:tab/>
            </w:r>
            <w:r>
              <w:fldChar w:fldCharType="begin"/>
            </w:r>
            <w:r>
              <w:instrText xml:space="preserve"> PAGEREF _Toc32397 \h </w:instrText>
            </w:r>
            <w:r>
              <w:fldChar w:fldCharType="separate"/>
            </w:r>
            <w:r>
              <w:t>371</w:t>
            </w:r>
            <w:r>
              <w:fldChar w:fldCharType="end"/>
            </w:r>
          </w:hyperlink>
        </w:p>
        <w:p w14:paraId="2A69ADEE" w14:textId="77777777" w:rsidR="009D12AF" w:rsidRDefault="00000000">
          <w:pPr>
            <w:pStyle w:val="TOC3"/>
            <w:tabs>
              <w:tab w:val="right" w:leader="dot" w:pos="8306"/>
            </w:tabs>
            <w:ind w:left="960" w:firstLineChars="0" w:firstLine="0"/>
          </w:pPr>
          <w:hyperlink w:anchor="_Toc32370" w:history="1">
            <w:r>
              <w:rPr>
                <w:rFonts w:hint="eastAsia"/>
              </w:rPr>
              <w:t>5.2.4</w:t>
            </w:r>
            <w:r>
              <w:rPr>
                <w:rFonts w:hint="eastAsia"/>
              </w:rPr>
              <w:t>噪声环境影响预测与评价</w:t>
            </w:r>
            <w:r>
              <w:tab/>
            </w:r>
            <w:r>
              <w:fldChar w:fldCharType="begin"/>
            </w:r>
            <w:r>
              <w:instrText xml:space="preserve"> PAGEREF _Toc32370 \h </w:instrText>
            </w:r>
            <w:r>
              <w:fldChar w:fldCharType="separate"/>
            </w:r>
            <w:r>
              <w:t>371</w:t>
            </w:r>
            <w:r>
              <w:fldChar w:fldCharType="end"/>
            </w:r>
          </w:hyperlink>
        </w:p>
        <w:p w14:paraId="33423D28" w14:textId="77777777" w:rsidR="009D12AF" w:rsidRDefault="00000000">
          <w:pPr>
            <w:pStyle w:val="TOC3"/>
            <w:tabs>
              <w:tab w:val="right" w:leader="dot" w:pos="8306"/>
            </w:tabs>
            <w:ind w:left="960" w:firstLineChars="0" w:firstLine="0"/>
          </w:pPr>
          <w:hyperlink w:anchor="_Toc16848" w:history="1">
            <w:r>
              <w:rPr>
                <w:rFonts w:hint="eastAsia"/>
              </w:rPr>
              <w:t>5.2.5</w:t>
            </w:r>
            <w:r>
              <w:rPr>
                <w:rFonts w:hint="eastAsia"/>
              </w:rPr>
              <w:t>固体废物环境影响预测与评价</w:t>
            </w:r>
            <w:r>
              <w:tab/>
            </w:r>
            <w:r>
              <w:fldChar w:fldCharType="begin"/>
            </w:r>
            <w:r>
              <w:instrText xml:space="preserve"> PAGEREF _Toc16848 \h </w:instrText>
            </w:r>
            <w:r>
              <w:fldChar w:fldCharType="separate"/>
            </w:r>
            <w:r>
              <w:t>371</w:t>
            </w:r>
            <w:r>
              <w:fldChar w:fldCharType="end"/>
            </w:r>
          </w:hyperlink>
        </w:p>
        <w:p w14:paraId="0F30FC21" w14:textId="77777777" w:rsidR="009D12AF" w:rsidRDefault="00000000">
          <w:pPr>
            <w:pStyle w:val="TOC3"/>
            <w:tabs>
              <w:tab w:val="right" w:leader="dot" w:pos="8306"/>
            </w:tabs>
            <w:ind w:left="960" w:firstLineChars="0" w:firstLine="0"/>
          </w:pPr>
          <w:hyperlink w:anchor="_Toc7957" w:history="1">
            <w:r>
              <w:rPr>
                <w:rFonts w:hint="eastAsia"/>
              </w:rPr>
              <w:t>5.2.6</w:t>
            </w:r>
            <w:r>
              <w:rPr>
                <w:rFonts w:hint="eastAsia"/>
              </w:rPr>
              <w:t>土壤环境影响预测与评价</w:t>
            </w:r>
            <w:r>
              <w:tab/>
            </w:r>
            <w:r>
              <w:fldChar w:fldCharType="begin"/>
            </w:r>
            <w:r>
              <w:instrText xml:space="preserve"> PAGEREF _Toc7957 \h </w:instrText>
            </w:r>
            <w:r>
              <w:fldChar w:fldCharType="separate"/>
            </w:r>
            <w:r>
              <w:t>372</w:t>
            </w:r>
            <w:r>
              <w:fldChar w:fldCharType="end"/>
            </w:r>
          </w:hyperlink>
        </w:p>
        <w:p w14:paraId="6545343C" w14:textId="77777777" w:rsidR="009D12AF" w:rsidRDefault="00000000">
          <w:pPr>
            <w:pStyle w:val="TOC3"/>
            <w:tabs>
              <w:tab w:val="right" w:leader="dot" w:pos="8306"/>
            </w:tabs>
            <w:ind w:left="960" w:firstLineChars="0" w:firstLine="0"/>
          </w:pPr>
          <w:hyperlink w:anchor="_Toc31929" w:history="1">
            <w:r>
              <w:rPr>
                <w:rFonts w:hint="eastAsia"/>
              </w:rPr>
              <w:t>5.2.7</w:t>
            </w:r>
            <w:r>
              <w:rPr>
                <w:rFonts w:hint="eastAsia"/>
              </w:rPr>
              <w:t>陆生生态环境影响分析</w:t>
            </w:r>
            <w:r>
              <w:tab/>
            </w:r>
            <w:r>
              <w:fldChar w:fldCharType="begin"/>
            </w:r>
            <w:r>
              <w:instrText xml:space="preserve"> PAGEREF _Toc31929 \h </w:instrText>
            </w:r>
            <w:r>
              <w:fldChar w:fldCharType="separate"/>
            </w:r>
            <w:r>
              <w:t>372</w:t>
            </w:r>
            <w:r>
              <w:fldChar w:fldCharType="end"/>
            </w:r>
          </w:hyperlink>
        </w:p>
        <w:p w14:paraId="2AF1CF1E" w14:textId="77777777" w:rsidR="009D12AF" w:rsidRDefault="00000000">
          <w:pPr>
            <w:pStyle w:val="TOC3"/>
            <w:tabs>
              <w:tab w:val="right" w:leader="dot" w:pos="8306"/>
            </w:tabs>
            <w:ind w:left="960" w:firstLineChars="0" w:firstLine="0"/>
          </w:pPr>
          <w:hyperlink w:anchor="_Toc19360" w:history="1">
            <w:r>
              <w:rPr>
                <w:rFonts w:hint="eastAsia"/>
              </w:rPr>
              <w:t>5.2.8</w:t>
            </w:r>
            <w:r>
              <w:rPr>
                <w:rFonts w:hint="eastAsia"/>
              </w:rPr>
              <w:t>水生生态环境影响分析</w:t>
            </w:r>
            <w:r>
              <w:tab/>
            </w:r>
            <w:r>
              <w:fldChar w:fldCharType="begin"/>
            </w:r>
            <w:r>
              <w:instrText xml:space="preserve"> PAGEREF _Toc19360 \h </w:instrText>
            </w:r>
            <w:r>
              <w:fldChar w:fldCharType="separate"/>
            </w:r>
            <w:r>
              <w:t>373</w:t>
            </w:r>
            <w:r>
              <w:fldChar w:fldCharType="end"/>
            </w:r>
          </w:hyperlink>
        </w:p>
        <w:p w14:paraId="19A38C44" w14:textId="77777777" w:rsidR="009D12AF" w:rsidRDefault="00000000">
          <w:pPr>
            <w:pStyle w:val="TOC1"/>
            <w:tabs>
              <w:tab w:val="right" w:leader="dot" w:pos="8306"/>
            </w:tabs>
            <w:ind w:firstLineChars="0" w:firstLine="0"/>
          </w:pPr>
          <w:hyperlink w:anchor="_Toc3811" w:history="1">
            <w:r>
              <w:rPr>
                <w:rFonts w:hint="eastAsia"/>
              </w:rPr>
              <w:t>6</w:t>
            </w:r>
            <w:r>
              <w:t xml:space="preserve"> </w:t>
            </w:r>
            <w:r>
              <w:t>环境保护措施及其可行性论证</w:t>
            </w:r>
            <w:r>
              <w:tab/>
            </w:r>
            <w:r>
              <w:fldChar w:fldCharType="begin"/>
            </w:r>
            <w:r>
              <w:instrText xml:space="preserve"> PAGEREF _Toc3811 \h </w:instrText>
            </w:r>
            <w:r>
              <w:fldChar w:fldCharType="separate"/>
            </w:r>
            <w:r>
              <w:t>374</w:t>
            </w:r>
            <w:r>
              <w:fldChar w:fldCharType="end"/>
            </w:r>
          </w:hyperlink>
        </w:p>
        <w:p w14:paraId="3248C26E" w14:textId="77777777" w:rsidR="009D12AF" w:rsidRDefault="00000000">
          <w:pPr>
            <w:pStyle w:val="TOC2"/>
            <w:tabs>
              <w:tab w:val="right" w:leader="dot" w:pos="8306"/>
            </w:tabs>
            <w:ind w:left="480" w:firstLineChars="0" w:firstLine="0"/>
          </w:pPr>
          <w:hyperlink w:anchor="_Toc16100" w:history="1">
            <w:r>
              <w:rPr>
                <w:rFonts w:hint="eastAsia"/>
              </w:rPr>
              <w:t>6</w:t>
            </w:r>
            <w:r>
              <w:t xml:space="preserve">.1 </w:t>
            </w:r>
            <w:r>
              <w:t>施工期环境保护措施及其可行性论证</w:t>
            </w:r>
            <w:r>
              <w:tab/>
            </w:r>
            <w:r>
              <w:fldChar w:fldCharType="begin"/>
            </w:r>
            <w:r>
              <w:instrText xml:space="preserve"> PAGEREF _Toc16100 \h </w:instrText>
            </w:r>
            <w:r>
              <w:fldChar w:fldCharType="separate"/>
            </w:r>
            <w:r>
              <w:t>374</w:t>
            </w:r>
            <w:r>
              <w:fldChar w:fldCharType="end"/>
            </w:r>
          </w:hyperlink>
        </w:p>
        <w:p w14:paraId="2C57B281" w14:textId="77777777" w:rsidR="009D12AF" w:rsidRDefault="00000000">
          <w:pPr>
            <w:pStyle w:val="TOC3"/>
            <w:tabs>
              <w:tab w:val="right" w:leader="dot" w:pos="8306"/>
            </w:tabs>
            <w:ind w:left="960" w:firstLineChars="0" w:firstLine="0"/>
          </w:pPr>
          <w:hyperlink w:anchor="_Toc25710" w:history="1">
            <w:r>
              <w:rPr>
                <w:rFonts w:hint="eastAsia"/>
              </w:rPr>
              <w:t>6.1.1</w:t>
            </w:r>
            <w:r>
              <w:rPr>
                <w:rFonts w:hint="eastAsia"/>
              </w:rPr>
              <w:t>施工期大气环境保护措施及其可行性论证</w:t>
            </w:r>
            <w:r>
              <w:tab/>
            </w:r>
            <w:r>
              <w:fldChar w:fldCharType="begin"/>
            </w:r>
            <w:r>
              <w:instrText xml:space="preserve"> PAGEREF _Toc25710 \h </w:instrText>
            </w:r>
            <w:r>
              <w:fldChar w:fldCharType="separate"/>
            </w:r>
            <w:r>
              <w:t>374</w:t>
            </w:r>
            <w:r>
              <w:fldChar w:fldCharType="end"/>
            </w:r>
          </w:hyperlink>
        </w:p>
        <w:p w14:paraId="3B67CFB6" w14:textId="77777777" w:rsidR="009D12AF" w:rsidRDefault="00000000">
          <w:pPr>
            <w:pStyle w:val="TOC3"/>
            <w:tabs>
              <w:tab w:val="right" w:leader="dot" w:pos="8306"/>
            </w:tabs>
            <w:ind w:left="960" w:firstLineChars="0" w:firstLine="0"/>
          </w:pPr>
          <w:hyperlink w:anchor="_Toc10846" w:history="1">
            <w:r>
              <w:rPr>
                <w:rFonts w:hint="eastAsia"/>
              </w:rPr>
              <w:t>6</w:t>
            </w:r>
            <w:r>
              <w:t>.1.</w:t>
            </w:r>
            <w:r>
              <w:rPr>
                <w:rFonts w:hint="eastAsia"/>
              </w:rPr>
              <w:t>2</w:t>
            </w:r>
            <w:r>
              <w:t xml:space="preserve"> </w:t>
            </w:r>
            <w:r>
              <w:t>施工期</w:t>
            </w:r>
            <w:r>
              <w:rPr>
                <w:rFonts w:hint="eastAsia"/>
              </w:rPr>
              <w:t>废水</w:t>
            </w:r>
            <w:r>
              <w:t>环境保护措施及其可行性论证</w:t>
            </w:r>
            <w:r>
              <w:tab/>
            </w:r>
            <w:r>
              <w:fldChar w:fldCharType="begin"/>
            </w:r>
            <w:r>
              <w:instrText xml:space="preserve"> PAGEREF _Toc10846 \h </w:instrText>
            </w:r>
            <w:r>
              <w:fldChar w:fldCharType="separate"/>
            </w:r>
            <w:r>
              <w:t>376</w:t>
            </w:r>
            <w:r>
              <w:fldChar w:fldCharType="end"/>
            </w:r>
          </w:hyperlink>
        </w:p>
        <w:p w14:paraId="18985296" w14:textId="77777777" w:rsidR="009D12AF" w:rsidRDefault="00000000">
          <w:pPr>
            <w:pStyle w:val="TOC3"/>
            <w:tabs>
              <w:tab w:val="right" w:leader="dot" w:pos="8306"/>
            </w:tabs>
            <w:ind w:left="960" w:firstLineChars="0" w:firstLine="0"/>
          </w:pPr>
          <w:hyperlink w:anchor="_Toc28505" w:history="1">
            <w:r>
              <w:rPr>
                <w:rFonts w:hint="eastAsia"/>
              </w:rPr>
              <w:t>6</w:t>
            </w:r>
            <w:r>
              <w:t>.1.</w:t>
            </w:r>
            <w:r>
              <w:rPr>
                <w:rFonts w:hint="eastAsia"/>
              </w:rPr>
              <w:t>3</w:t>
            </w:r>
            <w:r>
              <w:t xml:space="preserve"> </w:t>
            </w:r>
            <w:r>
              <w:t>施工期</w:t>
            </w:r>
            <w:r>
              <w:rPr>
                <w:rFonts w:hint="eastAsia"/>
              </w:rPr>
              <w:t>声</w:t>
            </w:r>
            <w:r>
              <w:t>环境保护措施及其可行性论证</w:t>
            </w:r>
            <w:r>
              <w:tab/>
            </w:r>
            <w:r>
              <w:fldChar w:fldCharType="begin"/>
            </w:r>
            <w:r>
              <w:instrText xml:space="preserve"> PAGEREF _Toc28505 \h </w:instrText>
            </w:r>
            <w:r>
              <w:fldChar w:fldCharType="separate"/>
            </w:r>
            <w:r>
              <w:t>380</w:t>
            </w:r>
            <w:r>
              <w:fldChar w:fldCharType="end"/>
            </w:r>
          </w:hyperlink>
        </w:p>
        <w:p w14:paraId="26A4F353" w14:textId="77777777" w:rsidR="009D12AF" w:rsidRDefault="00000000">
          <w:pPr>
            <w:pStyle w:val="TOC3"/>
            <w:tabs>
              <w:tab w:val="right" w:leader="dot" w:pos="8306"/>
            </w:tabs>
            <w:ind w:left="960" w:firstLineChars="0" w:firstLine="0"/>
          </w:pPr>
          <w:hyperlink w:anchor="_Toc27827" w:history="1">
            <w:r>
              <w:rPr>
                <w:rFonts w:hint="eastAsia"/>
              </w:rPr>
              <w:t>6</w:t>
            </w:r>
            <w:r>
              <w:t xml:space="preserve">.1.3 </w:t>
            </w:r>
            <w:r>
              <w:t>施工期</w:t>
            </w:r>
            <w:r>
              <w:rPr>
                <w:rFonts w:hint="eastAsia"/>
              </w:rPr>
              <w:t>固体废物</w:t>
            </w:r>
            <w:r>
              <w:t>保护措施及其可行性论证</w:t>
            </w:r>
            <w:r>
              <w:tab/>
            </w:r>
            <w:r>
              <w:fldChar w:fldCharType="begin"/>
            </w:r>
            <w:r>
              <w:instrText xml:space="preserve"> PAGEREF _Toc27827 \h </w:instrText>
            </w:r>
            <w:r>
              <w:fldChar w:fldCharType="separate"/>
            </w:r>
            <w:r>
              <w:t>381</w:t>
            </w:r>
            <w:r>
              <w:fldChar w:fldCharType="end"/>
            </w:r>
          </w:hyperlink>
        </w:p>
        <w:p w14:paraId="21177EC9" w14:textId="77777777" w:rsidR="009D12AF" w:rsidRDefault="00000000">
          <w:pPr>
            <w:pStyle w:val="TOC3"/>
            <w:tabs>
              <w:tab w:val="right" w:leader="dot" w:pos="8306"/>
            </w:tabs>
            <w:ind w:left="960" w:firstLineChars="0" w:firstLine="0"/>
          </w:pPr>
          <w:hyperlink w:anchor="_Toc7604" w:history="1">
            <w:r>
              <w:rPr>
                <w:rFonts w:hint="eastAsia"/>
              </w:rPr>
              <w:t>6</w:t>
            </w:r>
            <w:r>
              <w:t xml:space="preserve">.1.4 </w:t>
            </w:r>
            <w:r>
              <w:t>施工期</w:t>
            </w:r>
            <w:r>
              <w:rPr>
                <w:rFonts w:hint="eastAsia"/>
              </w:rPr>
              <w:t>土壤环境</w:t>
            </w:r>
            <w:r>
              <w:t>保护措施及其可行性论证</w:t>
            </w:r>
            <w:r>
              <w:tab/>
            </w:r>
            <w:r>
              <w:fldChar w:fldCharType="begin"/>
            </w:r>
            <w:r>
              <w:instrText xml:space="preserve"> PAGEREF _Toc7604 \h </w:instrText>
            </w:r>
            <w:r>
              <w:fldChar w:fldCharType="separate"/>
            </w:r>
            <w:r>
              <w:t>382</w:t>
            </w:r>
            <w:r>
              <w:fldChar w:fldCharType="end"/>
            </w:r>
          </w:hyperlink>
        </w:p>
        <w:p w14:paraId="1D67B160" w14:textId="77777777" w:rsidR="009D12AF" w:rsidRDefault="00000000">
          <w:pPr>
            <w:pStyle w:val="TOC3"/>
            <w:tabs>
              <w:tab w:val="right" w:leader="dot" w:pos="8306"/>
            </w:tabs>
            <w:ind w:left="960" w:firstLineChars="0" w:firstLine="0"/>
          </w:pPr>
          <w:hyperlink w:anchor="_Toc9652" w:history="1">
            <w:r>
              <w:rPr>
                <w:rFonts w:hint="eastAsia"/>
              </w:rPr>
              <w:t>6</w:t>
            </w:r>
            <w:r>
              <w:t xml:space="preserve">.1.5 </w:t>
            </w:r>
            <w:r>
              <w:t>施工期</w:t>
            </w:r>
            <w:r>
              <w:rPr>
                <w:rFonts w:hint="eastAsia"/>
              </w:rPr>
              <w:t>环境风险防范措施</w:t>
            </w:r>
            <w:r>
              <w:tab/>
            </w:r>
            <w:r>
              <w:fldChar w:fldCharType="begin"/>
            </w:r>
            <w:r>
              <w:instrText xml:space="preserve"> PAGEREF _Toc9652 \h </w:instrText>
            </w:r>
            <w:r>
              <w:fldChar w:fldCharType="separate"/>
            </w:r>
            <w:r>
              <w:t>382</w:t>
            </w:r>
            <w:r>
              <w:fldChar w:fldCharType="end"/>
            </w:r>
          </w:hyperlink>
        </w:p>
        <w:p w14:paraId="2E0C66E0" w14:textId="77777777" w:rsidR="009D12AF" w:rsidRDefault="00000000">
          <w:pPr>
            <w:pStyle w:val="TOC3"/>
            <w:tabs>
              <w:tab w:val="right" w:leader="dot" w:pos="8306"/>
            </w:tabs>
            <w:ind w:left="960" w:firstLineChars="0" w:firstLine="0"/>
          </w:pPr>
          <w:hyperlink w:anchor="_Toc14882" w:history="1">
            <w:r>
              <w:t>6.1.</w:t>
            </w:r>
            <w:r>
              <w:rPr>
                <w:rFonts w:hint="eastAsia"/>
              </w:rPr>
              <w:t>7</w:t>
            </w:r>
            <w:r>
              <w:rPr>
                <w:rFonts w:hint="eastAsia"/>
              </w:rPr>
              <w:t>施工期陆生生态保护措施</w:t>
            </w:r>
            <w:r>
              <w:tab/>
            </w:r>
            <w:r>
              <w:fldChar w:fldCharType="begin"/>
            </w:r>
            <w:r>
              <w:instrText xml:space="preserve"> PAGEREF _Toc14882 \h </w:instrText>
            </w:r>
            <w:r>
              <w:fldChar w:fldCharType="separate"/>
            </w:r>
            <w:r>
              <w:t>384</w:t>
            </w:r>
            <w:r>
              <w:fldChar w:fldCharType="end"/>
            </w:r>
          </w:hyperlink>
        </w:p>
        <w:p w14:paraId="2CD35F4A" w14:textId="77777777" w:rsidR="009D12AF" w:rsidRDefault="00000000">
          <w:pPr>
            <w:pStyle w:val="TOC3"/>
            <w:tabs>
              <w:tab w:val="right" w:leader="dot" w:pos="8306"/>
            </w:tabs>
            <w:ind w:left="960" w:firstLineChars="0" w:firstLine="0"/>
          </w:pPr>
          <w:hyperlink w:anchor="_Toc16189" w:history="1">
            <w:r>
              <w:rPr>
                <w:rFonts w:hint="eastAsia"/>
              </w:rPr>
              <w:t>6.1.8</w:t>
            </w:r>
            <w:r>
              <w:rPr>
                <w:rFonts w:hint="eastAsia"/>
              </w:rPr>
              <w:t>施工期水生生态保护措施</w:t>
            </w:r>
            <w:r>
              <w:tab/>
            </w:r>
            <w:r>
              <w:fldChar w:fldCharType="begin"/>
            </w:r>
            <w:r>
              <w:instrText xml:space="preserve"> PAGEREF _Toc16189 \h </w:instrText>
            </w:r>
            <w:r>
              <w:fldChar w:fldCharType="separate"/>
            </w:r>
            <w:r>
              <w:t>402</w:t>
            </w:r>
            <w:r>
              <w:fldChar w:fldCharType="end"/>
            </w:r>
          </w:hyperlink>
        </w:p>
        <w:p w14:paraId="43FB7166" w14:textId="77777777" w:rsidR="009D12AF" w:rsidRDefault="00000000">
          <w:pPr>
            <w:pStyle w:val="TOC2"/>
            <w:tabs>
              <w:tab w:val="right" w:leader="dot" w:pos="8306"/>
            </w:tabs>
            <w:ind w:left="480" w:firstLineChars="0" w:firstLine="0"/>
          </w:pPr>
          <w:hyperlink w:anchor="_Toc20906" w:history="1">
            <w:r>
              <w:rPr>
                <w:rFonts w:hint="eastAsia"/>
              </w:rPr>
              <w:t>6</w:t>
            </w:r>
            <w:r>
              <w:t>.2</w:t>
            </w:r>
            <w:r>
              <w:rPr>
                <w:rFonts w:hint="eastAsia"/>
              </w:rPr>
              <w:t>运行期</w:t>
            </w:r>
            <w:r>
              <w:t>环境保护措施及其可行性论证</w:t>
            </w:r>
            <w:r>
              <w:tab/>
            </w:r>
            <w:r>
              <w:fldChar w:fldCharType="begin"/>
            </w:r>
            <w:r>
              <w:instrText xml:space="preserve"> PAGEREF _Toc20906 \h </w:instrText>
            </w:r>
            <w:r>
              <w:fldChar w:fldCharType="separate"/>
            </w:r>
            <w:r>
              <w:t>404</w:t>
            </w:r>
            <w:r>
              <w:fldChar w:fldCharType="end"/>
            </w:r>
          </w:hyperlink>
        </w:p>
        <w:p w14:paraId="203A35E4" w14:textId="77777777" w:rsidR="009D12AF" w:rsidRDefault="00000000">
          <w:pPr>
            <w:pStyle w:val="TOC3"/>
            <w:tabs>
              <w:tab w:val="right" w:leader="dot" w:pos="8306"/>
            </w:tabs>
            <w:ind w:left="960" w:firstLineChars="0" w:firstLine="0"/>
          </w:pPr>
          <w:hyperlink w:anchor="_Toc14932" w:history="1">
            <w:r>
              <w:rPr>
                <w:rFonts w:hint="eastAsia"/>
              </w:rPr>
              <w:t>6</w:t>
            </w:r>
            <w:r>
              <w:t>.2.1</w:t>
            </w:r>
            <w:r>
              <w:rPr>
                <w:rFonts w:hint="eastAsia"/>
              </w:rPr>
              <w:t>植物保护措施</w:t>
            </w:r>
            <w:r>
              <w:tab/>
            </w:r>
            <w:r>
              <w:fldChar w:fldCharType="begin"/>
            </w:r>
            <w:r>
              <w:instrText xml:space="preserve"> PAGEREF _Toc14932 \h </w:instrText>
            </w:r>
            <w:r>
              <w:fldChar w:fldCharType="separate"/>
            </w:r>
            <w:r>
              <w:t>404</w:t>
            </w:r>
            <w:r>
              <w:fldChar w:fldCharType="end"/>
            </w:r>
          </w:hyperlink>
        </w:p>
        <w:p w14:paraId="74322B84" w14:textId="77777777" w:rsidR="009D12AF" w:rsidRDefault="00000000">
          <w:pPr>
            <w:pStyle w:val="TOC3"/>
            <w:tabs>
              <w:tab w:val="right" w:leader="dot" w:pos="8306"/>
            </w:tabs>
            <w:ind w:left="960" w:firstLineChars="0" w:firstLine="0"/>
          </w:pPr>
          <w:hyperlink w:anchor="_Toc20723" w:history="1">
            <w:r>
              <w:rPr>
                <w:rFonts w:hint="eastAsia"/>
              </w:rPr>
              <w:t>6.2.2</w:t>
            </w:r>
            <w:r>
              <w:rPr>
                <w:rFonts w:hint="eastAsia"/>
              </w:rPr>
              <w:t>动物保护措施</w:t>
            </w:r>
            <w:r>
              <w:tab/>
            </w:r>
            <w:r>
              <w:fldChar w:fldCharType="begin"/>
            </w:r>
            <w:r>
              <w:instrText xml:space="preserve"> PAGEREF _Toc20723 \h </w:instrText>
            </w:r>
            <w:r>
              <w:fldChar w:fldCharType="separate"/>
            </w:r>
            <w:r>
              <w:t>404</w:t>
            </w:r>
            <w:r>
              <w:fldChar w:fldCharType="end"/>
            </w:r>
          </w:hyperlink>
        </w:p>
        <w:p w14:paraId="43BC4FEE" w14:textId="77777777" w:rsidR="009D12AF" w:rsidRDefault="00000000">
          <w:pPr>
            <w:pStyle w:val="TOC2"/>
            <w:tabs>
              <w:tab w:val="right" w:leader="dot" w:pos="8306"/>
            </w:tabs>
            <w:ind w:left="480" w:firstLineChars="0" w:firstLine="0"/>
          </w:pPr>
          <w:hyperlink w:anchor="_Toc18931" w:history="1">
            <w:r>
              <w:rPr>
                <w:rFonts w:hint="eastAsia"/>
              </w:rPr>
              <w:t>6.3</w:t>
            </w:r>
            <w:r>
              <w:rPr>
                <w:rFonts w:hint="eastAsia"/>
              </w:rPr>
              <w:t>环保投资</w:t>
            </w:r>
            <w:r>
              <w:tab/>
            </w:r>
            <w:r>
              <w:fldChar w:fldCharType="begin"/>
            </w:r>
            <w:r>
              <w:instrText xml:space="preserve"> PAGEREF _Toc18931 \h </w:instrText>
            </w:r>
            <w:r>
              <w:fldChar w:fldCharType="separate"/>
            </w:r>
            <w:r>
              <w:t>404</w:t>
            </w:r>
            <w:r>
              <w:fldChar w:fldCharType="end"/>
            </w:r>
          </w:hyperlink>
        </w:p>
        <w:p w14:paraId="2A53235F" w14:textId="77777777" w:rsidR="009D12AF" w:rsidRDefault="00000000">
          <w:pPr>
            <w:pStyle w:val="TOC1"/>
            <w:tabs>
              <w:tab w:val="right" w:leader="dot" w:pos="8306"/>
            </w:tabs>
            <w:ind w:firstLineChars="0" w:firstLine="0"/>
          </w:pPr>
          <w:hyperlink w:anchor="_Toc23630" w:history="1">
            <w:r>
              <w:rPr>
                <w:rFonts w:hint="eastAsia"/>
              </w:rPr>
              <w:t>7</w:t>
            </w:r>
            <w:r>
              <w:t>环境影响经济损益分析</w:t>
            </w:r>
            <w:r>
              <w:tab/>
            </w:r>
            <w:r>
              <w:fldChar w:fldCharType="begin"/>
            </w:r>
            <w:r>
              <w:instrText xml:space="preserve"> PAGEREF _Toc23630 \h </w:instrText>
            </w:r>
            <w:r>
              <w:fldChar w:fldCharType="separate"/>
            </w:r>
            <w:r>
              <w:t>406</w:t>
            </w:r>
            <w:r>
              <w:fldChar w:fldCharType="end"/>
            </w:r>
          </w:hyperlink>
        </w:p>
        <w:p w14:paraId="5280B90B" w14:textId="77777777" w:rsidR="009D12AF" w:rsidRDefault="00000000">
          <w:pPr>
            <w:pStyle w:val="TOC2"/>
            <w:tabs>
              <w:tab w:val="right" w:leader="dot" w:pos="8306"/>
            </w:tabs>
            <w:ind w:left="480" w:firstLineChars="0" w:firstLine="0"/>
          </w:pPr>
          <w:hyperlink w:anchor="_Toc20827" w:history="1">
            <w:r>
              <w:rPr>
                <w:rFonts w:hint="eastAsia"/>
              </w:rPr>
              <w:t>7</w:t>
            </w:r>
            <w:r>
              <w:t>.1</w:t>
            </w:r>
            <w:r>
              <w:rPr>
                <w:rFonts w:ascii="Times New Roman" w:eastAsia="宋体" w:hAnsi="Times New Roman"/>
              </w:rPr>
              <w:t>项目实施后对环境影响的变化情况</w:t>
            </w:r>
            <w:r>
              <w:tab/>
            </w:r>
            <w:r>
              <w:fldChar w:fldCharType="begin"/>
            </w:r>
            <w:r>
              <w:instrText xml:space="preserve"> PAGEREF _Toc20827 \h </w:instrText>
            </w:r>
            <w:r>
              <w:fldChar w:fldCharType="separate"/>
            </w:r>
            <w:r>
              <w:t>406</w:t>
            </w:r>
            <w:r>
              <w:fldChar w:fldCharType="end"/>
            </w:r>
          </w:hyperlink>
        </w:p>
        <w:p w14:paraId="2F47CA6A" w14:textId="77777777" w:rsidR="009D12AF" w:rsidRDefault="00000000">
          <w:pPr>
            <w:pStyle w:val="TOC2"/>
            <w:tabs>
              <w:tab w:val="right" w:leader="dot" w:pos="8306"/>
            </w:tabs>
            <w:ind w:left="480" w:firstLineChars="0" w:firstLine="0"/>
          </w:pPr>
          <w:hyperlink w:anchor="_Toc16712" w:history="1">
            <w:r>
              <w:rPr>
                <w:rFonts w:hint="eastAsia"/>
              </w:rPr>
              <w:t>7.2</w:t>
            </w:r>
            <w:r>
              <w:rPr>
                <w:rFonts w:hint="eastAsia"/>
              </w:rPr>
              <w:t>环境经济损益分析</w:t>
            </w:r>
            <w:r>
              <w:tab/>
            </w:r>
            <w:r>
              <w:fldChar w:fldCharType="begin"/>
            </w:r>
            <w:r>
              <w:instrText xml:space="preserve"> PAGEREF _Toc16712 \h </w:instrText>
            </w:r>
            <w:r>
              <w:fldChar w:fldCharType="separate"/>
            </w:r>
            <w:r>
              <w:t>406</w:t>
            </w:r>
            <w:r>
              <w:fldChar w:fldCharType="end"/>
            </w:r>
          </w:hyperlink>
        </w:p>
        <w:p w14:paraId="702D222A" w14:textId="77777777" w:rsidR="009D12AF" w:rsidRDefault="00000000">
          <w:pPr>
            <w:pStyle w:val="TOC3"/>
            <w:tabs>
              <w:tab w:val="right" w:leader="dot" w:pos="8306"/>
            </w:tabs>
            <w:ind w:left="960" w:firstLineChars="0" w:firstLine="0"/>
          </w:pPr>
          <w:hyperlink w:anchor="_Toc18928" w:history="1">
            <w:r>
              <w:rPr>
                <w:rFonts w:hint="eastAsia"/>
              </w:rPr>
              <w:t>7.2.1</w:t>
            </w:r>
            <w:r>
              <w:rPr>
                <w:rFonts w:hint="eastAsia"/>
              </w:rPr>
              <w:t>环境效益</w:t>
            </w:r>
            <w:r>
              <w:tab/>
            </w:r>
            <w:r>
              <w:fldChar w:fldCharType="begin"/>
            </w:r>
            <w:r>
              <w:instrText xml:space="preserve"> PAGEREF _Toc18928 \h </w:instrText>
            </w:r>
            <w:r>
              <w:fldChar w:fldCharType="separate"/>
            </w:r>
            <w:r>
              <w:t>406</w:t>
            </w:r>
            <w:r>
              <w:fldChar w:fldCharType="end"/>
            </w:r>
          </w:hyperlink>
        </w:p>
        <w:p w14:paraId="0E84A769" w14:textId="77777777" w:rsidR="009D12AF" w:rsidRDefault="00000000">
          <w:pPr>
            <w:pStyle w:val="TOC3"/>
            <w:tabs>
              <w:tab w:val="right" w:leader="dot" w:pos="8306"/>
            </w:tabs>
            <w:ind w:left="960" w:firstLineChars="0" w:firstLine="0"/>
          </w:pPr>
          <w:hyperlink w:anchor="_Toc5531" w:history="1">
            <w:r>
              <w:rPr>
                <w:rFonts w:hint="eastAsia"/>
              </w:rPr>
              <w:t>7.2.2</w:t>
            </w:r>
            <w:r>
              <w:rPr>
                <w:rFonts w:hint="eastAsia"/>
              </w:rPr>
              <w:t>环境损失分析</w:t>
            </w:r>
            <w:r>
              <w:tab/>
            </w:r>
            <w:r>
              <w:fldChar w:fldCharType="begin"/>
            </w:r>
            <w:r>
              <w:instrText xml:space="preserve"> PAGEREF _Toc5531 \h </w:instrText>
            </w:r>
            <w:r>
              <w:fldChar w:fldCharType="separate"/>
            </w:r>
            <w:r>
              <w:t>407</w:t>
            </w:r>
            <w:r>
              <w:fldChar w:fldCharType="end"/>
            </w:r>
          </w:hyperlink>
        </w:p>
        <w:p w14:paraId="12172E41" w14:textId="77777777" w:rsidR="009D12AF" w:rsidRDefault="00000000">
          <w:pPr>
            <w:pStyle w:val="TOC2"/>
            <w:tabs>
              <w:tab w:val="right" w:leader="dot" w:pos="8306"/>
            </w:tabs>
            <w:ind w:left="480" w:firstLineChars="0" w:firstLine="0"/>
          </w:pPr>
          <w:hyperlink w:anchor="_Toc29922" w:history="1">
            <w:r>
              <w:rPr>
                <w:rFonts w:hint="eastAsia"/>
              </w:rPr>
              <w:t>7.3</w:t>
            </w:r>
            <w:r>
              <w:rPr>
                <w:rFonts w:hint="eastAsia"/>
              </w:rPr>
              <w:t>环境经济损益分析结论</w:t>
            </w:r>
            <w:r>
              <w:tab/>
            </w:r>
            <w:r>
              <w:fldChar w:fldCharType="begin"/>
            </w:r>
            <w:r>
              <w:instrText xml:space="preserve"> PAGEREF _Toc29922 \h </w:instrText>
            </w:r>
            <w:r>
              <w:fldChar w:fldCharType="separate"/>
            </w:r>
            <w:r>
              <w:t>407</w:t>
            </w:r>
            <w:r>
              <w:fldChar w:fldCharType="end"/>
            </w:r>
          </w:hyperlink>
        </w:p>
        <w:p w14:paraId="1E56358D" w14:textId="77777777" w:rsidR="009D12AF" w:rsidRDefault="00000000">
          <w:pPr>
            <w:pStyle w:val="TOC1"/>
            <w:tabs>
              <w:tab w:val="right" w:leader="dot" w:pos="8306"/>
            </w:tabs>
            <w:ind w:firstLineChars="0" w:firstLine="0"/>
          </w:pPr>
          <w:hyperlink w:anchor="_Toc30378" w:history="1">
            <w:r>
              <w:rPr>
                <w:rFonts w:hint="eastAsia"/>
              </w:rPr>
              <w:t>8</w:t>
            </w:r>
            <w:r>
              <w:t xml:space="preserve"> </w:t>
            </w:r>
            <w:r>
              <w:t>环境管理与环境监测</w:t>
            </w:r>
            <w:r>
              <w:tab/>
            </w:r>
            <w:r>
              <w:fldChar w:fldCharType="begin"/>
            </w:r>
            <w:r>
              <w:instrText xml:space="preserve"> PAGEREF _Toc30378 \h </w:instrText>
            </w:r>
            <w:r>
              <w:fldChar w:fldCharType="separate"/>
            </w:r>
            <w:r>
              <w:t>408</w:t>
            </w:r>
            <w:r>
              <w:fldChar w:fldCharType="end"/>
            </w:r>
          </w:hyperlink>
        </w:p>
        <w:p w14:paraId="6C513611" w14:textId="77777777" w:rsidR="009D12AF" w:rsidRDefault="00000000">
          <w:pPr>
            <w:pStyle w:val="TOC2"/>
            <w:tabs>
              <w:tab w:val="right" w:leader="dot" w:pos="8306"/>
            </w:tabs>
            <w:ind w:left="480" w:firstLineChars="0" w:firstLine="0"/>
          </w:pPr>
          <w:hyperlink w:anchor="_Toc7983" w:history="1">
            <w:r>
              <w:rPr>
                <w:rFonts w:hint="eastAsia"/>
              </w:rPr>
              <w:t>8</w:t>
            </w:r>
            <w:r>
              <w:t xml:space="preserve">.1 </w:t>
            </w:r>
            <w:r>
              <w:t>环境管理目标</w:t>
            </w:r>
            <w:r>
              <w:tab/>
            </w:r>
            <w:r>
              <w:fldChar w:fldCharType="begin"/>
            </w:r>
            <w:r>
              <w:instrText xml:space="preserve"> PAGEREF _Toc7983 \h </w:instrText>
            </w:r>
            <w:r>
              <w:fldChar w:fldCharType="separate"/>
            </w:r>
            <w:r>
              <w:t>408</w:t>
            </w:r>
            <w:r>
              <w:fldChar w:fldCharType="end"/>
            </w:r>
          </w:hyperlink>
        </w:p>
        <w:p w14:paraId="02940DD6" w14:textId="77777777" w:rsidR="009D12AF" w:rsidRDefault="00000000">
          <w:pPr>
            <w:pStyle w:val="TOC3"/>
            <w:tabs>
              <w:tab w:val="right" w:leader="dot" w:pos="8306"/>
            </w:tabs>
            <w:ind w:left="960" w:firstLineChars="0" w:firstLine="0"/>
          </w:pPr>
          <w:hyperlink w:anchor="_Toc13813" w:history="1">
            <w:r>
              <w:rPr>
                <w:rFonts w:hint="eastAsia"/>
              </w:rPr>
              <w:t>8.1.1</w:t>
            </w:r>
            <w:r>
              <w:rPr>
                <w:rFonts w:hint="eastAsia"/>
              </w:rPr>
              <w:t>环境管理意义</w:t>
            </w:r>
            <w:r>
              <w:tab/>
            </w:r>
            <w:r>
              <w:fldChar w:fldCharType="begin"/>
            </w:r>
            <w:r>
              <w:instrText xml:space="preserve"> PAGEREF _Toc13813 \h </w:instrText>
            </w:r>
            <w:r>
              <w:fldChar w:fldCharType="separate"/>
            </w:r>
            <w:r>
              <w:t>408</w:t>
            </w:r>
            <w:r>
              <w:fldChar w:fldCharType="end"/>
            </w:r>
          </w:hyperlink>
        </w:p>
        <w:p w14:paraId="04E36E56" w14:textId="77777777" w:rsidR="009D12AF" w:rsidRDefault="00000000">
          <w:pPr>
            <w:pStyle w:val="TOC3"/>
            <w:tabs>
              <w:tab w:val="right" w:leader="dot" w:pos="8306"/>
            </w:tabs>
            <w:ind w:left="960" w:firstLineChars="0" w:firstLine="0"/>
          </w:pPr>
          <w:hyperlink w:anchor="_Toc13007" w:history="1">
            <w:r>
              <w:rPr>
                <w:rFonts w:hint="eastAsia"/>
              </w:rPr>
              <w:t>8</w:t>
            </w:r>
            <w:r>
              <w:t>.1.</w:t>
            </w:r>
            <w:r>
              <w:rPr>
                <w:rFonts w:hint="eastAsia"/>
              </w:rPr>
              <w:t>2</w:t>
            </w:r>
            <w:r>
              <w:t>环境管理体系</w:t>
            </w:r>
            <w:r>
              <w:tab/>
            </w:r>
            <w:r>
              <w:fldChar w:fldCharType="begin"/>
            </w:r>
            <w:r>
              <w:instrText xml:space="preserve"> PAGEREF _Toc13007 \h </w:instrText>
            </w:r>
            <w:r>
              <w:fldChar w:fldCharType="separate"/>
            </w:r>
            <w:r>
              <w:t>408</w:t>
            </w:r>
            <w:r>
              <w:fldChar w:fldCharType="end"/>
            </w:r>
          </w:hyperlink>
        </w:p>
        <w:p w14:paraId="240C9770" w14:textId="77777777" w:rsidR="009D12AF" w:rsidRDefault="00000000">
          <w:pPr>
            <w:pStyle w:val="TOC3"/>
            <w:tabs>
              <w:tab w:val="right" w:leader="dot" w:pos="8306"/>
            </w:tabs>
            <w:ind w:left="960" w:firstLineChars="0" w:firstLine="0"/>
          </w:pPr>
          <w:hyperlink w:anchor="_Toc25133" w:history="1">
            <w:r>
              <w:rPr>
                <w:rFonts w:hint="eastAsia"/>
              </w:rPr>
              <w:t>8</w:t>
            </w:r>
            <w:r>
              <w:t>.1.3</w:t>
            </w:r>
            <w:r>
              <w:t>环保</w:t>
            </w:r>
            <w:r>
              <w:rPr>
                <w:rFonts w:hint="eastAsia"/>
              </w:rPr>
              <w:t>管理职责</w:t>
            </w:r>
            <w:r>
              <w:tab/>
            </w:r>
            <w:r>
              <w:fldChar w:fldCharType="begin"/>
            </w:r>
            <w:r>
              <w:instrText xml:space="preserve"> PAGEREF _Toc25133 \h </w:instrText>
            </w:r>
            <w:r>
              <w:fldChar w:fldCharType="separate"/>
            </w:r>
            <w:r>
              <w:t>409</w:t>
            </w:r>
            <w:r>
              <w:fldChar w:fldCharType="end"/>
            </w:r>
          </w:hyperlink>
        </w:p>
        <w:p w14:paraId="121A6505" w14:textId="77777777" w:rsidR="009D12AF" w:rsidRDefault="00000000">
          <w:pPr>
            <w:pStyle w:val="TOC3"/>
            <w:tabs>
              <w:tab w:val="right" w:leader="dot" w:pos="8306"/>
            </w:tabs>
            <w:ind w:left="960" w:firstLineChars="0" w:firstLine="0"/>
          </w:pPr>
          <w:hyperlink w:anchor="_Toc26108" w:history="1">
            <w:r>
              <w:rPr>
                <w:rFonts w:hint="eastAsia"/>
              </w:rPr>
              <w:t>8.1.4</w:t>
            </w:r>
            <w:r>
              <w:rPr>
                <w:rFonts w:hint="eastAsia"/>
              </w:rPr>
              <w:t>环境监理</w:t>
            </w:r>
            <w:r>
              <w:tab/>
            </w:r>
            <w:r>
              <w:fldChar w:fldCharType="begin"/>
            </w:r>
            <w:r>
              <w:instrText xml:space="preserve"> PAGEREF _Toc26108 \h </w:instrText>
            </w:r>
            <w:r>
              <w:fldChar w:fldCharType="separate"/>
            </w:r>
            <w:r>
              <w:t>409</w:t>
            </w:r>
            <w:r>
              <w:fldChar w:fldCharType="end"/>
            </w:r>
          </w:hyperlink>
        </w:p>
        <w:p w14:paraId="19A22408" w14:textId="77777777" w:rsidR="009D12AF" w:rsidRDefault="00000000">
          <w:pPr>
            <w:pStyle w:val="TOC3"/>
            <w:tabs>
              <w:tab w:val="right" w:leader="dot" w:pos="8306"/>
            </w:tabs>
            <w:ind w:left="960" w:firstLineChars="0" w:firstLine="0"/>
          </w:pPr>
          <w:hyperlink w:anchor="_Toc22983" w:history="1">
            <w:r>
              <w:rPr>
                <w:rFonts w:hint="eastAsia"/>
              </w:rPr>
              <w:t>8.1.5</w:t>
            </w:r>
            <w:r>
              <w:rPr>
                <w:rFonts w:hint="eastAsia"/>
              </w:rPr>
              <w:t>污染物排放清单及管理要求</w:t>
            </w:r>
            <w:r>
              <w:tab/>
            </w:r>
            <w:r>
              <w:fldChar w:fldCharType="begin"/>
            </w:r>
            <w:r>
              <w:instrText xml:space="preserve"> PAGEREF _Toc22983 \h </w:instrText>
            </w:r>
            <w:r>
              <w:fldChar w:fldCharType="separate"/>
            </w:r>
            <w:r>
              <w:t>410</w:t>
            </w:r>
            <w:r>
              <w:fldChar w:fldCharType="end"/>
            </w:r>
          </w:hyperlink>
        </w:p>
        <w:p w14:paraId="7C4D135E" w14:textId="77777777" w:rsidR="009D12AF" w:rsidRDefault="00000000">
          <w:pPr>
            <w:pStyle w:val="TOC3"/>
            <w:tabs>
              <w:tab w:val="right" w:leader="dot" w:pos="8306"/>
            </w:tabs>
            <w:ind w:left="960" w:firstLineChars="0" w:firstLine="0"/>
          </w:pPr>
          <w:hyperlink w:anchor="_Toc8689" w:history="1">
            <w:r>
              <w:rPr>
                <w:rFonts w:hint="eastAsia"/>
              </w:rPr>
              <w:t>8.1.6</w:t>
            </w:r>
            <w:r>
              <w:rPr>
                <w:rFonts w:hint="eastAsia"/>
              </w:rPr>
              <w:t>运行期环境管理要求</w:t>
            </w:r>
            <w:r>
              <w:tab/>
            </w:r>
            <w:r>
              <w:fldChar w:fldCharType="begin"/>
            </w:r>
            <w:r>
              <w:instrText xml:space="preserve"> PAGEREF _Toc8689 \h </w:instrText>
            </w:r>
            <w:r>
              <w:fldChar w:fldCharType="separate"/>
            </w:r>
            <w:r>
              <w:t>412</w:t>
            </w:r>
            <w:r>
              <w:fldChar w:fldCharType="end"/>
            </w:r>
          </w:hyperlink>
        </w:p>
        <w:p w14:paraId="33ECF825" w14:textId="77777777" w:rsidR="009D12AF" w:rsidRDefault="00000000">
          <w:pPr>
            <w:pStyle w:val="TOC2"/>
            <w:tabs>
              <w:tab w:val="right" w:leader="dot" w:pos="8306"/>
            </w:tabs>
            <w:ind w:left="480" w:firstLineChars="0" w:firstLine="0"/>
          </w:pPr>
          <w:hyperlink w:anchor="_Toc15166" w:history="1">
            <w:r>
              <w:rPr>
                <w:rFonts w:hint="eastAsia"/>
              </w:rPr>
              <w:t>8</w:t>
            </w:r>
            <w:r>
              <w:t xml:space="preserve">.2 </w:t>
            </w:r>
            <w:r>
              <w:t>环境监理计划</w:t>
            </w:r>
            <w:r>
              <w:tab/>
            </w:r>
            <w:r>
              <w:fldChar w:fldCharType="begin"/>
            </w:r>
            <w:r>
              <w:instrText xml:space="preserve"> PAGEREF _Toc15166 \h </w:instrText>
            </w:r>
            <w:r>
              <w:fldChar w:fldCharType="separate"/>
            </w:r>
            <w:r>
              <w:t>412</w:t>
            </w:r>
            <w:r>
              <w:fldChar w:fldCharType="end"/>
            </w:r>
          </w:hyperlink>
        </w:p>
        <w:p w14:paraId="24F87065" w14:textId="77777777" w:rsidR="009D12AF" w:rsidRDefault="00000000">
          <w:pPr>
            <w:pStyle w:val="TOC2"/>
            <w:tabs>
              <w:tab w:val="right" w:leader="dot" w:pos="8306"/>
            </w:tabs>
            <w:ind w:left="480" w:firstLineChars="0" w:firstLine="0"/>
          </w:pPr>
          <w:hyperlink w:anchor="_Toc17576" w:history="1">
            <w:r>
              <w:rPr>
                <w:rFonts w:hint="eastAsia"/>
              </w:rPr>
              <w:t>8</w:t>
            </w:r>
            <w:r>
              <w:t xml:space="preserve">.3 </w:t>
            </w:r>
            <w:r>
              <w:t>环境保护监测计划</w:t>
            </w:r>
            <w:r>
              <w:tab/>
            </w:r>
            <w:r>
              <w:fldChar w:fldCharType="begin"/>
            </w:r>
            <w:r>
              <w:instrText xml:space="preserve"> PAGEREF _Toc17576 \h </w:instrText>
            </w:r>
            <w:r>
              <w:fldChar w:fldCharType="separate"/>
            </w:r>
            <w:r>
              <w:t>412</w:t>
            </w:r>
            <w:r>
              <w:fldChar w:fldCharType="end"/>
            </w:r>
          </w:hyperlink>
        </w:p>
        <w:p w14:paraId="69FC9B12" w14:textId="77777777" w:rsidR="009D12AF" w:rsidRDefault="00000000">
          <w:pPr>
            <w:pStyle w:val="TOC3"/>
            <w:tabs>
              <w:tab w:val="right" w:leader="dot" w:pos="8306"/>
            </w:tabs>
            <w:ind w:left="960" w:firstLineChars="0" w:firstLine="0"/>
          </w:pPr>
          <w:hyperlink w:anchor="_Toc26731" w:history="1">
            <w:r>
              <w:rPr>
                <w:rFonts w:hint="eastAsia"/>
              </w:rPr>
              <w:t>8</w:t>
            </w:r>
            <w:r>
              <w:t xml:space="preserve">.3.1 </w:t>
            </w:r>
            <w:r>
              <w:t>制订目的</w:t>
            </w:r>
            <w:r>
              <w:tab/>
            </w:r>
            <w:r>
              <w:fldChar w:fldCharType="begin"/>
            </w:r>
            <w:r>
              <w:instrText xml:space="preserve"> PAGEREF _Toc26731 \h </w:instrText>
            </w:r>
            <w:r>
              <w:fldChar w:fldCharType="separate"/>
            </w:r>
            <w:r>
              <w:t>412</w:t>
            </w:r>
            <w:r>
              <w:fldChar w:fldCharType="end"/>
            </w:r>
          </w:hyperlink>
        </w:p>
        <w:p w14:paraId="1AD5ED37" w14:textId="77777777" w:rsidR="009D12AF" w:rsidRDefault="00000000">
          <w:pPr>
            <w:pStyle w:val="TOC3"/>
            <w:tabs>
              <w:tab w:val="right" w:leader="dot" w:pos="8306"/>
            </w:tabs>
            <w:ind w:left="960" w:firstLineChars="0" w:firstLine="0"/>
          </w:pPr>
          <w:hyperlink w:anchor="_Toc15693" w:history="1">
            <w:r>
              <w:rPr>
                <w:rFonts w:hint="eastAsia"/>
              </w:rPr>
              <w:t>8</w:t>
            </w:r>
            <w:r>
              <w:t>.3.2</w:t>
            </w:r>
            <w:r>
              <w:rPr>
                <w:rFonts w:hint="eastAsia"/>
              </w:rPr>
              <w:t>环境监测计划的基本内容</w:t>
            </w:r>
            <w:r>
              <w:tab/>
            </w:r>
            <w:r>
              <w:fldChar w:fldCharType="begin"/>
            </w:r>
            <w:r>
              <w:instrText xml:space="preserve"> PAGEREF _Toc15693 \h </w:instrText>
            </w:r>
            <w:r>
              <w:fldChar w:fldCharType="separate"/>
            </w:r>
            <w:r>
              <w:t>413</w:t>
            </w:r>
            <w:r>
              <w:fldChar w:fldCharType="end"/>
            </w:r>
          </w:hyperlink>
        </w:p>
        <w:p w14:paraId="1BFA0B22" w14:textId="77777777" w:rsidR="009D12AF" w:rsidRDefault="00000000">
          <w:pPr>
            <w:pStyle w:val="TOC2"/>
            <w:tabs>
              <w:tab w:val="right" w:leader="dot" w:pos="8306"/>
            </w:tabs>
            <w:ind w:left="480" w:firstLineChars="0" w:firstLine="0"/>
          </w:pPr>
          <w:hyperlink w:anchor="_Toc15771" w:history="1">
            <w:r>
              <w:rPr>
                <w:rFonts w:hint="eastAsia"/>
              </w:rPr>
              <w:t>8.4</w:t>
            </w:r>
            <w:r>
              <w:rPr>
                <w:rFonts w:ascii="Times New Roman" w:eastAsia="宋体" w:hAnsi="Times New Roman"/>
              </w:rPr>
              <w:t>“</w:t>
            </w:r>
            <w:r>
              <w:rPr>
                <w:rFonts w:ascii="Times New Roman" w:eastAsia="宋体" w:hAnsi="Times New Roman"/>
              </w:rPr>
              <w:t>三同时</w:t>
            </w:r>
            <w:r>
              <w:rPr>
                <w:rFonts w:ascii="Times New Roman" w:eastAsia="宋体" w:hAnsi="Times New Roman"/>
              </w:rPr>
              <w:t>”</w:t>
            </w:r>
            <w:r>
              <w:rPr>
                <w:rFonts w:ascii="Times New Roman" w:eastAsia="宋体" w:hAnsi="Times New Roman"/>
              </w:rPr>
              <w:t>验收内容</w:t>
            </w:r>
            <w:r>
              <w:tab/>
            </w:r>
            <w:r>
              <w:fldChar w:fldCharType="begin"/>
            </w:r>
            <w:r>
              <w:instrText xml:space="preserve"> PAGEREF _Toc15771 \h </w:instrText>
            </w:r>
            <w:r>
              <w:fldChar w:fldCharType="separate"/>
            </w:r>
            <w:r>
              <w:t>419</w:t>
            </w:r>
            <w:r>
              <w:fldChar w:fldCharType="end"/>
            </w:r>
          </w:hyperlink>
        </w:p>
        <w:p w14:paraId="6289DB03" w14:textId="77777777" w:rsidR="009D12AF" w:rsidRDefault="00000000">
          <w:pPr>
            <w:pStyle w:val="TOC2"/>
            <w:tabs>
              <w:tab w:val="right" w:leader="dot" w:pos="8306"/>
            </w:tabs>
            <w:ind w:left="480" w:firstLineChars="0" w:firstLine="0"/>
          </w:pPr>
          <w:hyperlink w:anchor="_Toc16769" w:history="1">
            <w:r>
              <w:rPr>
                <w:rFonts w:hint="eastAsia"/>
              </w:rPr>
              <w:t>8.5</w:t>
            </w:r>
            <w:r>
              <w:rPr>
                <w:rFonts w:hint="eastAsia"/>
              </w:rPr>
              <w:t>污染物总量控制分析</w:t>
            </w:r>
            <w:r>
              <w:tab/>
            </w:r>
            <w:r>
              <w:fldChar w:fldCharType="begin"/>
            </w:r>
            <w:r>
              <w:instrText xml:space="preserve"> PAGEREF _Toc16769 \h </w:instrText>
            </w:r>
            <w:r>
              <w:fldChar w:fldCharType="separate"/>
            </w:r>
            <w:r>
              <w:t>420</w:t>
            </w:r>
            <w:r>
              <w:fldChar w:fldCharType="end"/>
            </w:r>
          </w:hyperlink>
        </w:p>
        <w:p w14:paraId="5DA3DCC0" w14:textId="77777777" w:rsidR="009D12AF" w:rsidRDefault="00000000">
          <w:pPr>
            <w:pStyle w:val="TOC1"/>
            <w:tabs>
              <w:tab w:val="right" w:leader="dot" w:pos="8306"/>
            </w:tabs>
            <w:ind w:firstLineChars="0" w:firstLine="0"/>
          </w:pPr>
          <w:hyperlink w:anchor="_Toc25162" w:history="1">
            <w:r>
              <w:rPr>
                <w:rFonts w:hint="eastAsia"/>
              </w:rPr>
              <w:t>9</w:t>
            </w:r>
            <w:r>
              <w:t xml:space="preserve"> </w:t>
            </w:r>
            <w:r>
              <w:t>环境影响评价结论</w:t>
            </w:r>
            <w:r>
              <w:tab/>
            </w:r>
            <w:r>
              <w:fldChar w:fldCharType="begin"/>
            </w:r>
            <w:r>
              <w:instrText xml:space="preserve"> PAGEREF _Toc25162 \h </w:instrText>
            </w:r>
            <w:r>
              <w:fldChar w:fldCharType="separate"/>
            </w:r>
            <w:r>
              <w:t>421</w:t>
            </w:r>
            <w:r>
              <w:fldChar w:fldCharType="end"/>
            </w:r>
          </w:hyperlink>
        </w:p>
        <w:p w14:paraId="7258A9B5" w14:textId="77777777" w:rsidR="009D12AF" w:rsidRDefault="00000000">
          <w:pPr>
            <w:pStyle w:val="TOC2"/>
            <w:tabs>
              <w:tab w:val="right" w:leader="dot" w:pos="8306"/>
            </w:tabs>
            <w:ind w:left="480" w:firstLineChars="0" w:firstLine="0"/>
          </w:pPr>
          <w:hyperlink w:anchor="_Toc2482" w:history="1">
            <w:r>
              <w:rPr>
                <w:rFonts w:hint="eastAsia"/>
              </w:rPr>
              <w:t>9</w:t>
            </w:r>
            <w:r>
              <w:t xml:space="preserve">.1 </w:t>
            </w:r>
            <w:r>
              <w:t>工程概况</w:t>
            </w:r>
            <w:r>
              <w:tab/>
            </w:r>
            <w:r>
              <w:fldChar w:fldCharType="begin"/>
            </w:r>
            <w:r>
              <w:instrText xml:space="preserve"> PAGEREF _Toc2482 \h </w:instrText>
            </w:r>
            <w:r>
              <w:fldChar w:fldCharType="separate"/>
            </w:r>
            <w:r>
              <w:t>421</w:t>
            </w:r>
            <w:r>
              <w:fldChar w:fldCharType="end"/>
            </w:r>
          </w:hyperlink>
        </w:p>
        <w:p w14:paraId="4E737D8A" w14:textId="77777777" w:rsidR="009D12AF" w:rsidRDefault="00000000">
          <w:pPr>
            <w:pStyle w:val="TOC2"/>
            <w:tabs>
              <w:tab w:val="right" w:leader="dot" w:pos="8306"/>
            </w:tabs>
            <w:ind w:left="480" w:firstLineChars="0" w:firstLine="0"/>
          </w:pPr>
          <w:hyperlink w:anchor="_Toc2211" w:history="1">
            <w:r>
              <w:rPr>
                <w:rFonts w:hint="eastAsia"/>
              </w:rPr>
              <w:t>9</w:t>
            </w:r>
            <w:r>
              <w:t xml:space="preserve">.2 </w:t>
            </w:r>
            <w:r>
              <w:t>环境质量现状</w:t>
            </w:r>
            <w:r>
              <w:tab/>
            </w:r>
            <w:r>
              <w:fldChar w:fldCharType="begin"/>
            </w:r>
            <w:r>
              <w:instrText xml:space="preserve"> PAGEREF _Toc2211 \h </w:instrText>
            </w:r>
            <w:r>
              <w:fldChar w:fldCharType="separate"/>
            </w:r>
            <w:r>
              <w:t>422</w:t>
            </w:r>
            <w:r>
              <w:fldChar w:fldCharType="end"/>
            </w:r>
          </w:hyperlink>
        </w:p>
        <w:p w14:paraId="3FA3E97B" w14:textId="77777777" w:rsidR="009D12AF" w:rsidRDefault="00000000">
          <w:pPr>
            <w:pStyle w:val="TOC3"/>
            <w:tabs>
              <w:tab w:val="right" w:leader="dot" w:pos="8306"/>
            </w:tabs>
            <w:ind w:left="960" w:firstLineChars="0" w:firstLine="0"/>
          </w:pPr>
          <w:hyperlink w:anchor="_Toc13569" w:history="1">
            <w:r>
              <w:rPr>
                <w:rFonts w:hint="eastAsia"/>
              </w:rPr>
              <w:t>9</w:t>
            </w:r>
            <w:r>
              <w:t xml:space="preserve">.2.1 </w:t>
            </w:r>
            <w:r>
              <w:t>环境空气</w:t>
            </w:r>
            <w:r>
              <w:tab/>
            </w:r>
            <w:r>
              <w:fldChar w:fldCharType="begin"/>
            </w:r>
            <w:r>
              <w:instrText xml:space="preserve"> PAGEREF _Toc13569 \h </w:instrText>
            </w:r>
            <w:r>
              <w:fldChar w:fldCharType="separate"/>
            </w:r>
            <w:r>
              <w:t>422</w:t>
            </w:r>
            <w:r>
              <w:fldChar w:fldCharType="end"/>
            </w:r>
          </w:hyperlink>
        </w:p>
        <w:p w14:paraId="0E40DF11" w14:textId="77777777" w:rsidR="009D12AF" w:rsidRDefault="00000000">
          <w:pPr>
            <w:pStyle w:val="TOC3"/>
            <w:tabs>
              <w:tab w:val="right" w:leader="dot" w:pos="8306"/>
            </w:tabs>
            <w:ind w:left="960" w:firstLineChars="0" w:firstLine="0"/>
          </w:pPr>
          <w:hyperlink w:anchor="_Toc23108" w:history="1">
            <w:r>
              <w:rPr>
                <w:rFonts w:hint="eastAsia"/>
              </w:rPr>
              <w:t>9</w:t>
            </w:r>
            <w:r>
              <w:t xml:space="preserve">.2.2 </w:t>
            </w:r>
            <w:r>
              <w:t>声环境</w:t>
            </w:r>
            <w:r>
              <w:tab/>
            </w:r>
            <w:r>
              <w:fldChar w:fldCharType="begin"/>
            </w:r>
            <w:r>
              <w:instrText xml:space="preserve"> PAGEREF _Toc23108 \h </w:instrText>
            </w:r>
            <w:r>
              <w:fldChar w:fldCharType="separate"/>
            </w:r>
            <w:r>
              <w:t>422</w:t>
            </w:r>
            <w:r>
              <w:fldChar w:fldCharType="end"/>
            </w:r>
          </w:hyperlink>
        </w:p>
        <w:p w14:paraId="69BA384F" w14:textId="77777777" w:rsidR="009D12AF" w:rsidRDefault="00000000">
          <w:pPr>
            <w:pStyle w:val="TOC3"/>
            <w:tabs>
              <w:tab w:val="right" w:leader="dot" w:pos="8306"/>
            </w:tabs>
            <w:ind w:left="960" w:firstLineChars="0" w:firstLine="0"/>
          </w:pPr>
          <w:hyperlink w:anchor="_Toc14740" w:history="1">
            <w:r>
              <w:rPr>
                <w:rFonts w:hint="eastAsia"/>
              </w:rPr>
              <w:t>9</w:t>
            </w:r>
            <w:r>
              <w:t xml:space="preserve">.2.3 </w:t>
            </w:r>
            <w:r>
              <w:t>地下水环境</w:t>
            </w:r>
            <w:r>
              <w:tab/>
            </w:r>
            <w:r>
              <w:fldChar w:fldCharType="begin"/>
            </w:r>
            <w:r>
              <w:instrText xml:space="preserve"> PAGEREF _Toc14740 \h </w:instrText>
            </w:r>
            <w:r>
              <w:fldChar w:fldCharType="separate"/>
            </w:r>
            <w:r>
              <w:t>422</w:t>
            </w:r>
            <w:r>
              <w:fldChar w:fldCharType="end"/>
            </w:r>
          </w:hyperlink>
        </w:p>
        <w:p w14:paraId="280F2430" w14:textId="77777777" w:rsidR="009D12AF" w:rsidRDefault="00000000">
          <w:pPr>
            <w:pStyle w:val="TOC3"/>
            <w:tabs>
              <w:tab w:val="right" w:leader="dot" w:pos="8306"/>
            </w:tabs>
            <w:ind w:left="960" w:firstLineChars="0" w:firstLine="0"/>
          </w:pPr>
          <w:hyperlink w:anchor="_Toc976" w:history="1">
            <w:r>
              <w:rPr>
                <w:rFonts w:hint="eastAsia"/>
              </w:rPr>
              <w:t>9.2.4</w:t>
            </w:r>
            <w:r>
              <w:rPr>
                <w:rFonts w:hint="eastAsia"/>
              </w:rPr>
              <w:t>地表水环境</w:t>
            </w:r>
            <w:r>
              <w:tab/>
            </w:r>
            <w:r>
              <w:fldChar w:fldCharType="begin"/>
            </w:r>
            <w:r>
              <w:instrText xml:space="preserve"> PAGEREF _Toc976 \h </w:instrText>
            </w:r>
            <w:r>
              <w:fldChar w:fldCharType="separate"/>
            </w:r>
            <w:r>
              <w:t>422</w:t>
            </w:r>
            <w:r>
              <w:fldChar w:fldCharType="end"/>
            </w:r>
          </w:hyperlink>
        </w:p>
        <w:p w14:paraId="67EC1815" w14:textId="77777777" w:rsidR="009D12AF" w:rsidRDefault="00000000">
          <w:pPr>
            <w:pStyle w:val="TOC2"/>
            <w:tabs>
              <w:tab w:val="right" w:leader="dot" w:pos="8306"/>
            </w:tabs>
            <w:ind w:left="480" w:firstLineChars="0" w:firstLine="0"/>
          </w:pPr>
          <w:hyperlink w:anchor="_Toc11334" w:history="1">
            <w:r>
              <w:rPr>
                <w:rFonts w:hint="eastAsia"/>
              </w:rPr>
              <w:t>9</w:t>
            </w:r>
            <w:r>
              <w:t xml:space="preserve">.3 </w:t>
            </w:r>
            <w:r>
              <w:t>环境影响分析结论</w:t>
            </w:r>
            <w:r>
              <w:tab/>
            </w:r>
            <w:r>
              <w:fldChar w:fldCharType="begin"/>
            </w:r>
            <w:r>
              <w:instrText xml:space="preserve"> PAGEREF _Toc11334 \h </w:instrText>
            </w:r>
            <w:r>
              <w:fldChar w:fldCharType="separate"/>
            </w:r>
            <w:r>
              <w:t>423</w:t>
            </w:r>
            <w:r>
              <w:fldChar w:fldCharType="end"/>
            </w:r>
          </w:hyperlink>
        </w:p>
        <w:p w14:paraId="6764C4E1" w14:textId="77777777" w:rsidR="009D12AF" w:rsidRDefault="00000000">
          <w:pPr>
            <w:pStyle w:val="TOC3"/>
            <w:tabs>
              <w:tab w:val="right" w:leader="dot" w:pos="8306"/>
            </w:tabs>
            <w:ind w:left="960" w:firstLineChars="0" w:firstLine="0"/>
          </w:pPr>
          <w:hyperlink w:anchor="_Toc7762" w:history="1">
            <w:r>
              <w:rPr>
                <w:rFonts w:hint="eastAsia"/>
              </w:rPr>
              <w:t>9.</w:t>
            </w:r>
            <w:r>
              <w:t xml:space="preserve">3.1 </w:t>
            </w:r>
            <w:r>
              <w:t>施工期</w:t>
            </w:r>
            <w:r>
              <w:tab/>
            </w:r>
            <w:r>
              <w:fldChar w:fldCharType="begin"/>
            </w:r>
            <w:r>
              <w:instrText xml:space="preserve"> PAGEREF _Toc7762 \h </w:instrText>
            </w:r>
            <w:r>
              <w:fldChar w:fldCharType="separate"/>
            </w:r>
            <w:r>
              <w:t>423</w:t>
            </w:r>
            <w:r>
              <w:fldChar w:fldCharType="end"/>
            </w:r>
          </w:hyperlink>
        </w:p>
        <w:p w14:paraId="1FE1D11E" w14:textId="77777777" w:rsidR="009D12AF" w:rsidRDefault="00000000">
          <w:pPr>
            <w:pStyle w:val="TOC3"/>
            <w:tabs>
              <w:tab w:val="right" w:leader="dot" w:pos="8306"/>
            </w:tabs>
            <w:ind w:left="960" w:firstLineChars="0" w:firstLine="0"/>
          </w:pPr>
          <w:hyperlink w:anchor="_Toc17175" w:history="1">
            <w:r>
              <w:rPr>
                <w:rFonts w:hint="eastAsia"/>
              </w:rPr>
              <w:t>9</w:t>
            </w:r>
            <w:r>
              <w:t xml:space="preserve">.3.2 </w:t>
            </w:r>
            <w:r>
              <w:rPr>
                <w:rFonts w:hint="eastAsia"/>
              </w:rPr>
              <w:t>运行期</w:t>
            </w:r>
            <w:r>
              <w:tab/>
            </w:r>
            <w:r>
              <w:fldChar w:fldCharType="begin"/>
            </w:r>
            <w:r>
              <w:instrText xml:space="preserve"> PAGEREF _Toc17175 \h </w:instrText>
            </w:r>
            <w:r>
              <w:fldChar w:fldCharType="separate"/>
            </w:r>
            <w:r>
              <w:t>430</w:t>
            </w:r>
            <w:r>
              <w:fldChar w:fldCharType="end"/>
            </w:r>
          </w:hyperlink>
        </w:p>
        <w:p w14:paraId="35203C86" w14:textId="77777777" w:rsidR="009D12AF" w:rsidRDefault="00000000">
          <w:pPr>
            <w:pStyle w:val="TOC2"/>
            <w:tabs>
              <w:tab w:val="right" w:leader="dot" w:pos="8306"/>
            </w:tabs>
            <w:ind w:left="480" w:firstLineChars="0" w:firstLine="0"/>
          </w:pPr>
          <w:hyperlink w:anchor="_Toc27778" w:history="1">
            <w:r>
              <w:rPr>
                <w:rFonts w:hint="eastAsia"/>
              </w:rPr>
              <w:t>9</w:t>
            </w:r>
            <w:r>
              <w:t>.</w:t>
            </w:r>
            <w:r>
              <w:rPr>
                <w:rFonts w:hint="eastAsia"/>
              </w:rPr>
              <w:t>4</w:t>
            </w:r>
            <w:r>
              <w:t xml:space="preserve"> </w:t>
            </w:r>
            <w:r>
              <w:t>环境影响经济损益分析</w:t>
            </w:r>
            <w:r>
              <w:tab/>
            </w:r>
            <w:r>
              <w:fldChar w:fldCharType="begin"/>
            </w:r>
            <w:r>
              <w:instrText xml:space="preserve"> PAGEREF _Toc27778 \h </w:instrText>
            </w:r>
            <w:r>
              <w:fldChar w:fldCharType="separate"/>
            </w:r>
            <w:r>
              <w:t>430</w:t>
            </w:r>
            <w:r>
              <w:fldChar w:fldCharType="end"/>
            </w:r>
          </w:hyperlink>
        </w:p>
        <w:p w14:paraId="30BEA53E" w14:textId="77777777" w:rsidR="009D12AF" w:rsidRDefault="00000000">
          <w:pPr>
            <w:pStyle w:val="TOC2"/>
            <w:tabs>
              <w:tab w:val="right" w:leader="dot" w:pos="8306"/>
            </w:tabs>
            <w:ind w:left="480" w:firstLineChars="0" w:firstLine="0"/>
          </w:pPr>
          <w:hyperlink w:anchor="_Toc20418" w:history="1">
            <w:r>
              <w:rPr>
                <w:rFonts w:hint="eastAsia"/>
              </w:rPr>
              <w:t>9</w:t>
            </w:r>
            <w:r>
              <w:t>.</w:t>
            </w:r>
            <w:r>
              <w:rPr>
                <w:rFonts w:hint="eastAsia"/>
              </w:rPr>
              <w:t>5</w:t>
            </w:r>
            <w:r>
              <w:t xml:space="preserve"> </w:t>
            </w:r>
            <w:r>
              <w:t>环境管理与监测</w:t>
            </w:r>
            <w:r>
              <w:tab/>
            </w:r>
            <w:r>
              <w:fldChar w:fldCharType="begin"/>
            </w:r>
            <w:r>
              <w:instrText xml:space="preserve"> PAGEREF _Toc20418 \h </w:instrText>
            </w:r>
            <w:r>
              <w:fldChar w:fldCharType="separate"/>
            </w:r>
            <w:r>
              <w:t>430</w:t>
            </w:r>
            <w:r>
              <w:fldChar w:fldCharType="end"/>
            </w:r>
          </w:hyperlink>
        </w:p>
        <w:p w14:paraId="1CD5F6B8" w14:textId="77777777" w:rsidR="009D12AF" w:rsidRDefault="00000000">
          <w:pPr>
            <w:pStyle w:val="TOC2"/>
            <w:tabs>
              <w:tab w:val="right" w:leader="dot" w:pos="8306"/>
            </w:tabs>
            <w:ind w:left="480" w:firstLineChars="0" w:firstLine="0"/>
          </w:pPr>
          <w:hyperlink w:anchor="_Toc21353" w:history="1">
            <w:r>
              <w:rPr>
                <w:rFonts w:hint="eastAsia"/>
              </w:rPr>
              <w:t>9</w:t>
            </w:r>
            <w:r>
              <w:t>.</w:t>
            </w:r>
            <w:r>
              <w:rPr>
                <w:rFonts w:hint="eastAsia"/>
              </w:rPr>
              <w:t>6</w:t>
            </w:r>
            <w:r>
              <w:t xml:space="preserve"> </w:t>
            </w:r>
            <w:r>
              <w:t>公众参与结论</w:t>
            </w:r>
            <w:r>
              <w:tab/>
            </w:r>
            <w:r>
              <w:fldChar w:fldCharType="begin"/>
            </w:r>
            <w:r>
              <w:instrText xml:space="preserve"> PAGEREF _Toc21353 \h </w:instrText>
            </w:r>
            <w:r>
              <w:fldChar w:fldCharType="separate"/>
            </w:r>
            <w:r>
              <w:t>430</w:t>
            </w:r>
            <w:r>
              <w:fldChar w:fldCharType="end"/>
            </w:r>
          </w:hyperlink>
        </w:p>
        <w:p w14:paraId="5766B75A" w14:textId="77777777" w:rsidR="009D12AF" w:rsidRDefault="00000000">
          <w:pPr>
            <w:pStyle w:val="TOC2"/>
            <w:tabs>
              <w:tab w:val="right" w:leader="dot" w:pos="8306"/>
            </w:tabs>
            <w:ind w:left="480" w:firstLineChars="0" w:firstLine="0"/>
          </w:pPr>
          <w:hyperlink w:anchor="_Toc7273" w:history="1">
            <w:r>
              <w:rPr>
                <w:rFonts w:hint="eastAsia"/>
              </w:rPr>
              <w:t>9</w:t>
            </w:r>
            <w:r>
              <w:t>.</w:t>
            </w:r>
            <w:r>
              <w:rPr>
                <w:rFonts w:hint="eastAsia"/>
              </w:rPr>
              <w:t>7</w:t>
            </w:r>
            <w:r>
              <w:t xml:space="preserve"> </w:t>
            </w:r>
            <w:r>
              <w:t>环境影响可行性结论</w:t>
            </w:r>
            <w:r>
              <w:tab/>
            </w:r>
            <w:r>
              <w:fldChar w:fldCharType="begin"/>
            </w:r>
            <w:r>
              <w:instrText xml:space="preserve"> PAGEREF _Toc7273 \h </w:instrText>
            </w:r>
            <w:r>
              <w:fldChar w:fldCharType="separate"/>
            </w:r>
            <w:r>
              <w:t>430</w:t>
            </w:r>
            <w:r>
              <w:fldChar w:fldCharType="end"/>
            </w:r>
          </w:hyperlink>
        </w:p>
        <w:p w14:paraId="1A94CE9D" w14:textId="77777777" w:rsidR="009D12AF" w:rsidRDefault="00000000">
          <w:pPr>
            <w:pStyle w:val="TOC2"/>
            <w:tabs>
              <w:tab w:val="right" w:leader="dot" w:pos="8306"/>
            </w:tabs>
            <w:ind w:left="480" w:firstLineChars="0" w:firstLine="0"/>
          </w:pPr>
          <w:hyperlink w:anchor="_Toc28926" w:history="1">
            <w:r>
              <w:rPr>
                <w:rFonts w:ascii="Times New Roman" w:eastAsia="宋体" w:hAnsi="Times New Roman" w:cs="Times New Roman" w:hint="eastAsia"/>
                <w:szCs w:val="22"/>
              </w:rPr>
              <w:t>附表</w:t>
            </w:r>
            <w:r>
              <w:rPr>
                <w:rFonts w:ascii="Times New Roman" w:eastAsia="宋体" w:hAnsi="Times New Roman" w:cs="Times New Roman" w:hint="eastAsia"/>
                <w:szCs w:val="22"/>
              </w:rPr>
              <w:t xml:space="preserve">1 </w:t>
            </w:r>
            <w:r>
              <w:rPr>
                <w:rFonts w:ascii="Times New Roman" w:eastAsia="宋体" w:hAnsi="Times New Roman" w:cs="Times New Roman" w:hint="eastAsia"/>
                <w:szCs w:val="22"/>
              </w:rPr>
              <w:t>建设项目大气环境影响评价自查表</w:t>
            </w:r>
            <w:r>
              <w:tab/>
            </w:r>
            <w:r>
              <w:fldChar w:fldCharType="begin"/>
            </w:r>
            <w:r>
              <w:instrText xml:space="preserve"> PAGEREF _Toc28926 \h </w:instrText>
            </w:r>
            <w:r>
              <w:fldChar w:fldCharType="separate"/>
            </w:r>
            <w:r>
              <w:t>432</w:t>
            </w:r>
            <w:r>
              <w:fldChar w:fldCharType="end"/>
            </w:r>
          </w:hyperlink>
        </w:p>
        <w:p w14:paraId="59C72B7C" w14:textId="77777777" w:rsidR="009D12AF" w:rsidRDefault="00000000">
          <w:pPr>
            <w:pStyle w:val="TOC2"/>
            <w:tabs>
              <w:tab w:val="right" w:leader="dot" w:pos="8306"/>
            </w:tabs>
            <w:ind w:left="480" w:firstLineChars="0" w:firstLine="0"/>
          </w:pPr>
          <w:hyperlink w:anchor="_Toc8756" w:history="1">
            <w:r>
              <w:rPr>
                <w:rFonts w:hint="eastAsia"/>
              </w:rPr>
              <w:t>附表</w:t>
            </w:r>
            <w:r>
              <w:rPr>
                <w:rFonts w:hint="eastAsia"/>
              </w:rPr>
              <w:t>2</w:t>
            </w:r>
            <w:r>
              <w:rPr>
                <w:rFonts w:hint="eastAsia"/>
              </w:rPr>
              <w:t>建设项目地表水环境影响评价自查表</w:t>
            </w:r>
            <w:r>
              <w:tab/>
            </w:r>
            <w:r>
              <w:fldChar w:fldCharType="begin"/>
            </w:r>
            <w:r>
              <w:instrText xml:space="preserve"> PAGEREF _Toc8756 \h </w:instrText>
            </w:r>
            <w:r>
              <w:fldChar w:fldCharType="separate"/>
            </w:r>
            <w:r>
              <w:t>434</w:t>
            </w:r>
            <w:r>
              <w:fldChar w:fldCharType="end"/>
            </w:r>
          </w:hyperlink>
        </w:p>
        <w:p w14:paraId="48DC14B4" w14:textId="77777777" w:rsidR="009D12AF" w:rsidRDefault="00000000">
          <w:pPr>
            <w:pStyle w:val="TOC2"/>
            <w:tabs>
              <w:tab w:val="right" w:leader="dot" w:pos="8306"/>
            </w:tabs>
            <w:ind w:left="480" w:firstLineChars="0" w:firstLine="0"/>
          </w:pPr>
          <w:hyperlink w:anchor="_Toc2210" w:history="1">
            <w:r>
              <w:rPr>
                <w:rFonts w:hint="eastAsia"/>
              </w:rPr>
              <w:t>附表</w:t>
            </w:r>
            <w:r>
              <w:rPr>
                <w:rFonts w:hint="eastAsia"/>
              </w:rPr>
              <w:t>3</w:t>
            </w:r>
            <w:r>
              <w:rPr>
                <w:rFonts w:hint="eastAsia"/>
              </w:rPr>
              <w:t>声环境影响评价自查表</w:t>
            </w:r>
            <w:r>
              <w:tab/>
            </w:r>
            <w:r>
              <w:fldChar w:fldCharType="begin"/>
            </w:r>
            <w:r>
              <w:instrText xml:space="preserve"> PAGEREF _Toc2210 \h </w:instrText>
            </w:r>
            <w:r>
              <w:fldChar w:fldCharType="separate"/>
            </w:r>
            <w:r>
              <w:t>438</w:t>
            </w:r>
            <w:r>
              <w:fldChar w:fldCharType="end"/>
            </w:r>
          </w:hyperlink>
        </w:p>
        <w:p w14:paraId="3E13235E" w14:textId="77777777" w:rsidR="009D12AF" w:rsidRDefault="00000000">
          <w:pPr>
            <w:pStyle w:val="TOC2"/>
            <w:tabs>
              <w:tab w:val="right" w:leader="dot" w:pos="8306"/>
            </w:tabs>
            <w:ind w:left="480" w:firstLineChars="0" w:firstLine="0"/>
          </w:pPr>
          <w:hyperlink w:anchor="_Toc4693" w:history="1">
            <w:r>
              <w:rPr>
                <w:rFonts w:hint="eastAsia"/>
              </w:rPr>
              <w:t>附表</w:t>
            </w:r>
            <w:r>
              <w:rPr>
                <w:rFonts w:hint="eastAsia"/>
              </w:rPr>
              <w:t xml:space="preserve">4 </w:t>
            </w:r>
            <w:r>
              <w:rPr>
                <w:rFonts w:hint="eastAsia"/>
              </w:rPr>
              <w:t>环境风险评价自查表</w:t>
            </w:r>
            <w:r>
              <w:tab/>
            </w:r>
            <w:r>
              <w:fldChar w:fldCharType="begin"/>
            </w:r>
            <w:r>
              <w:instrText xml:space="preserve"> PAGEREF _Toc4693 \h </w:instrText>
            </w:r>
            <w:r>
              <w:fldChar w:fldCharType="separate"/>
            </w:r>
            <w:r>
              <w:t>439</w:t>
            </w:r>
            <w:r>
              <w:fldChar w:fldCharType="end"/>
            </w:r>
          </w:hyperlink>
        </w:p>
        <w:p w14:paraId="7F40AF27" w14:textId="77777777" w:rsidR="009D12AF" w:rsidRDefault="00000000">
          <w:pPr>
            <w:pStyle w:val="TOC1"/>
            <w:tabs>
              <w:tab w:val="right" w:leader="dot" w:pos="8306"/>
            </w:tabs>
            <w:ind w:firstLineChars="0" w:firstLine="0"/>
          </w:pPr>
          <w:hyperlink w:anchor="_Toc31926" w:history="1">
            <w:r>
              <w:rPr>
                <w:rFonts w:hint="eastAsia"/>
                <w:szCs w:val="18"/>
              </w:rPr>
              <w:t>附件</w:t>
            </w:r>
            <w:r>
              <w:rPr>
                <w:rFonts w:hint="eastAsia"/>
                <w:szCs w:val="18"/>
              </w:rPr>
              <w:t>1</w:t>
            </w:r>
            <w:r>
              <w:rPr>
                <w:rFonts w:hint="eastAsia"/>
                <w:szCs w:val="18"/>
              </w:rPr>
              <w:t>三线一单分析报告</w:t>
            </w:r>
            <w:r>
              <w:tab/>
            </w:r>
            <w:r>
              <w:fldChar w:fldCharType="begin"/>
            </w:r>
            <w:r>
              <w:instrText xml:space="preserve"> PAGEREF _Toc31926 \h </w:instrText>
            </w:r>
            <w:r>
              <w:fldChar w:fldCharType="separate"/>
            </w:r>
            <w:r>
              <w:t>441</w:t>
            </w:r>
            <w:r>
              <w:fldChar w:fldCharType="end"/>
            </w:r>
          </w:hyperlink>
        </w:p>
        <w:p w14:paraId="6F8C5B7C" w14:textId="77777777" w:rsidR="009D12AF" w:rsidRDefault="00000000">
          <w:pPr>
            <w:pStyle w:val="TOC1"/>
            <w:tabs>
              <w:tab w:val="right" w:leader="dot" w:pos="8306"/>
            </w:tabs>
            <w:ind w:firstLineChars="0" w:firstLine="0"/>
          </w:pPr>
          <w:hyperlink w:anchor="_Toc11223" w:history="1">
            <w:r>
              <w:rPr>
                <w:rFonts w:hint="eastAsia"/>
                <w:szCs w:val="18"/>
              </w:rPr>
              <w:t>附件</w:t>
            </w:r>
            <w:r>
              <w:rPr>
                <w:rFonts w:hint="eastAsia"/>
                <w:szCs w:val="18"/>
              </w:rPr>
              <w:t>2</w:t>
            </w:r>
            <w:r>
              <w:rPr>
                <w:rFonts w:hint="eastAsia"/>
                <w:szCs w:val="18"/>
              </w:rPr>
              <w:t>检测报告</w:t>
            </w:r>
            <w:r>
              <w:tab/>
            </w:r>
            <w:r>
              <w:fldChar w:fldCharType="begin"/>
            </w:r>
            <w:r>
              <w:instrText xml:space="preserve"> PAGEREF _Toc11223 \h </w:instrText>
            </w:r>
            <w:r>
              <w:fldChar w:fldCharType="separate"/>
            </w:r>
            <w:r>
              <w:t>507</w:t>
            </w:r>
            <w:r>
              <w:fldChar w:fldCharType="end"/>
            </w:r>
          </w:hyperlink>
        </w:p>
        <w:p w14:paraId="769E88AC" w14:textId="77777777" w:rsidR="009D12AF" w:rsidRDefault="00000000">
          <w:pPr>
            <w:pStyle w:val="TOC1"/>
            <w:tabs>
              <w:tab w:val="right" w:leader="dot" w:pos="8306"/>
            </w:tabs>
            <w:ind w:firstLineChars="0" w:firstLine="0"/>
          </w:pPr>
          <w:hyperlink w:anchor="_Toc1433" w:history="1">
            <w:r>
              <w:rPr>
                <w:rFonts w:hint="eastAsia"/>
                <w:szCs w:val="18"/>
              </w:rPr>
              <w:t>附件</w:t>
            </w:r>
            <w:r>
              <w:rPr>
                <w:rFonts w:hint="eastAsia"/>
                <w:szCs w:val="18"/>
              </w:rPr>
              <w:t>3</w:t>
            </w:r>
            <w:r>
              <w:rPr>
                <w:rFonts w:hint="eastAsia"/>
                <w:szCs w:val="18"/>
              </w:rPr>
              <w:t>海林市水库清淤合作协议</w:t>
            </w:r>
            <w:r>
              <w:tab/>
            </w:r>
            <w:r>
              <w:fldChar w:fldCharType="begin"/>
            </w:r>
            <w:r>
              <w:instrText xml:space="preserve"> PAGEREF _Toc1433 \h </w:instrText>
            </w:r>
            <w:r>
              <w:fldChar w:fldCharType="separate"/>
            </w:r>
            <w:r>
              <w:t>574</w:t>
            </w:r>
            <w:r>
              <w:fldChar w:fldCharType="end"/>
            </w:r>
          </w:hyperlink>
        </w:p>
        <w:p w14:paraId="3AEE2C97" w14:textId="77777777" w:rsidR="009D12AF" w:rsidRDefault="00000000">
          <w:pPr>
            <w:pStyle w:val="TOC1"/>
            <w:tabs>
              <w:tab w:val="right" w:leader="dot" w:pos="8306"/>
            </w:tabs>
            <w:ind w:firstLineChars="0" w:firstLine="0"/>
          </w:pPr>
          <w:hyperlink w:anchor="_Toc27925" w:history="1">
            <w:r>
              <w:rPr>
                <w:rFonts w:hint="eastAsia"/>
                <w:szCs w:val="18"/>
              </w:rPr>
              <w:t>附件</w:t>
            </w:r>
            <w:r>
              <w:rPr>
                <w:rFonts w:hint="eastAsia"/>
                <w:szCs w:val="18"/>
              </w:rPr>
              <w:t>4</w:t>
            </w:r>
            <w:r>
              <w:rPr>
                <w:rFonts w:hint="eastAsia"/>
                <w:szCs w:val="18"/>
              </w:rPr>
              <w:t>施工方案批复</w:t>
            </w:r>
            <w:r>
              <w:tab/>
            </w:r>
            <w:r>
              <w:fldChar w:fldCharType="begin"/>
            </w:r>
            <w:r>
              <w:instrText xml:space="preserve"> PAGEREF _Toc27925 \h </w:instrText>
            </w:r>
            <w:r>
              <w:fldChar w:fldCharType="separate"/>
            </w:r>
            <w:r>
              <w:t>578</w:t>
            </w:r>
            <w:r>
              <w:fldChar w:fldCharType="end"/>
            </w:r>
          </w:hyperlink>
        </w:p>
        <w:p w14:paraId="5E316B4E" w14:textId="77777777" w:rsidR="009D12AF" w:rsidRDefault="00000000">
          <w:pPr>
            <w:pStyle w:val="TOC1"/>
            <w:tabs>
              <w:tab w:val="right" w:leader="dot" w:pos="8306"/>
            </w:tabs>
            <w:ind w:firstLineChars="0" w:firstLine="0"/>
          </w:pPr>
          <w:hyperlink w:anchor="_Toc6603" w:history="1">
            <w:r>
              <w:rPr>
                <w:rFonts w:hint="eastAsia"/>
              </w:rPr>
              <w:t>附件</w:t>
            </w:r>
            <w:r>
              <w:rPr>
                <w:rFonts w:hint="eastAsia"/>
              </w:rPr>
              <w:t>5</w:t>
            </w:r>
            <w:r>
              <w:rPr>
                <w:rFonts w:hint="eastAsia"/>
              </w:rPr>
              <w:t>清淤淤泥处置协议</w:t>
            </w:r>
            <w:r>
              <w:tab/>
            </w:r>
            <w:r>
              <w:fldChar w:fldCharType="begin"/>
            </w:r>
            <w:r>
              <w:instrText xml:space="preserve"> PAGEREF _Toc6603 \h </w:instrText>
            </w:r>
            <w:r>
              <w:fldChar w:fldCharType="separate"/>
            </w:r>
            <w:r>
              <w:t>580</w:t>
            </w:r>
            <w:r>
              <w:fldChar w:fldCharType="end"/>
            </w:r>
          </w:hyperlink>
        </w:p>
        <w:p w14:paraId="28EE6FFF" w14:textId="77777777" w:rsidR="009D12AF" w:rsidRDefault="00000000">
          <w:pPr>
            <w:pStyle w:val="TOC1"/>
            <w:tabs>
              <w:tab w:val="right" w:leader="dot" w:pos="8306"/>
            </w:tabs>
            <w:ind w:firstLineChars="0" w:firstLine="0"/>
          </w:pPr>
          <w:hyperlink w:anchor="_Toc26073" w:history="1">
            <w:r>
              <w:rPr>
                <w:rFonts w:hint="eastAsia"/>
                <w:szCs w:val="18"/>
              </w:rPr>
              <w:t>附图</w:t>
            </w:r>
            <w:r>
              <w:rPr>
                <w:rFonts w:hint="eastAsia"/>
                <w:szCs w:val="18"/>
              </w:rPr>
              <w:t>1</w:t>
            </w:r>
            <w:r>
              <w:rPr>
                <w:rFonts w:hint="eastAsia"/>
                <w:szCs w:val="18"/>
              </w:rPr>
              <w:t>项目位置图</w:t>
            </w:r>
            <w:r>
              <w:tab/>
            </w:r>
            <w:r>
              <w:fldChar w:fldCharType="begin"/>
            </w:r>
            <w:r>
              <w:instrText xml:space="preserve"> PAGEREF _Toc26073 \h </w:instrText>
            </w:r>
            <w:r>
              <w:fldChar w:fldCharType="separate"/>
            </w:r>
            <w:r>
              <w:t>583</w:t>
            </w:r>
            <w:r>
              <w:fldChar w:fldCharType="end"/>
            </w:r>
          </w:hyperlink>
        </w:p>
        <w:p w14:paraId="5E4B4940" w14:textId="77777777" w:rsidR="009D12AF" w:rsidRDefault="00000000">
          <w:pPr>
            <w:pStyle w:val="TOC1"/>
            <w:tabs>
              <w:tab w:val="right" w:leader="dot" w:pos="8306"/>
            </w:tabs>
            <w:ind w:firstLineChars="0" w:firstLine="0"/>
          </w:pPr>
          <w:hyperlink w:anchor="_Toc22546" w:history="1">
            <w:r>
              <w:rPr>
                <w:rFonts w:hint="eastAsia"/>
                <w:szCs w:val="18"/>
              </w:rPr>
              <w:t>附图</w:t>
            </w:r>
            <w:r>
              <w:rPr>
                <w:rFonts w:hint="eastAsia"/>
                <w:szCs w:val="18"/>
              </w:rPr>
              <w:t>2</w:t>
            </w:r>
            <w:r>
              <w:rPr>
                <w:rFonts w:hint="eastAsia"/>
                <w:szCs w:val="18"/>
              </w:rPr>
              <w:t>项目清淤片区分布图</w:t>
            </w:r>
            <w:r>
              <w:tab/>
            </w:r>
            <w:r>
              <w:fldChar w:fldCharType="begin"/>
            </w:r>
            <w:r>
              <w:instrText xml:space="preserve"> PAGEREF _Toc22546 \h </w:instrText>
            </w:r>
            <w:r>
              <w:fldChar w:fldCharType="separate"/>
            </w:r>
            <w:r>
              <w:t>584</w:t>
            </w:r>
            <w:r>
              <w:fldChar w:fldCharType="end"/>
            </w:r>
          </w:hyperlink>
        </w:p>
        <w:p w14:paraId="0945FE43" w14:textId="77777777" w:rsidR="009D12AF" w:rsidRDefault="00000000">
          <w:pPr>
            <w:pStyle w:val="TOC1"/>
            <w:tabs>
              <w:tab w:val="right" w:leader="dot" w:pos="8306"/>
            </w:tabs>
            <w:ind w:firstLineChars="0" w:firstLine="0"/>
          </w:pPr>
          <w:hyperlink w:anchor="_Toc22376" w:history="1">
            <w:r>
              <w:rPr>
                <w:rFonts w:hint="eastAsia"/>
                <w:szCs w:val="18"/>
              </w:rPr>
              <w:t>附图</w:t>
            </w:r>
            <w:r>
              <w:rPr>
                <w:rFonts w:hint="eastAsia"/>
                <w:szCs w:val="18"/>
              </w:rPr>
              <w:t>3</w:t>
            </w:r>
            <w:r>
              <w:rPr>
                <w:rFonts w:hint="eastAsia"/>
                <w:szCs w:val="18"/>
              </w:rPr>
              <w:t>群力水库与黑龙江海林市莲花湖省级自然保护区的位置关系图</w:t>
            </w:r>
            <w:r>
              <w:tab/>
            </w:r>
            <w:r>
              <w:fldChar w:fldCharType="begin"/>
            </w:r>
            <w:r>
              <w:instrText xml:space="preserve"> PAGEREF _Toc22376 \h </w:instrText>
            </w:r>
            <w:r>
              <w:fldChar w:fldCharType="separate"/>
            </w:r>
            <w:r>
              <w:t>585</w:t>
            </w:r>
            <w:r>
              <w:fldChar w:fldCharType="end"/>
            </w:r>
          </w:hyperlink>
        </w:p>
        <w:p w14:paraId="5D37F3EE" w14:textId="77777777" w:rsidR="009D12AF" w:rsidRDefault="00000000">
          <w:pPr>
            <w:pStyle w:val="TOC1"/>
            <w:tabs>
              <w:tab w:val="right" w:leader="dot" w:pos="8306"/>
            </w:tabs>
            <w:ind w:firstLineChars="0" w:firstLine="0"/>
          </w:pPr>
          <w:hyperlink w:anchor="_Toc3024" w:history="1">
            <w:r>
              <w:rPr>
                <w:rFonts w:hint="eastAsia"/>
                <w:szCs w:val="18"/>
              </w:rPr>
              <w:t>附图</w:t>
            </w:r>
            <w:r>
              <w:rPr>
                <w:rFonts w:hint="eastAsia"/>
                <w:szCs w:val="18"/>
              </w:rPr>
              <w:t>4</w:t>
            </w:r>
            <w:r>
              <w:rPr>
                <w:rFonts w:hint="eastAsia"/>
                <w:szCs w:val="18"/>
              </w:rPr>
              <w:t>群力水库与海林莲花湖风景名胜区的位置关系图</w:t>
            </w:r>
            <w:r>
              <w:tab/>
            </w:r>
            <w:r>
              <w:fldChar w:fldCharType="begin"/>
            </w:r>
            <w:r>
              <w:instrText xml:space="preserve"> PAGEREF _Toc3024 \h </w:instrText>
            </w:r>
            <w:r>
              <w:fldChar w:fldCharType="separate"/>
            </w:r>
            <w:r>
              <w:t>586</w:t>
            </w:r>
            <w:r>
              <w:fldChar w:fldCharType="end"/>
            </w:r>
          </w:hyperlink>
        </w:p>
        <w:p w14:paraId="4695D604" w14:textId="77777777" w:rsidR="009D12AF" w:rsidRDefault="00000000">
          <w:pPr>
            <w:pStyle w:val="TOC1"/>
            <w:tabs>
              <w:tab w:val="right" w:leader="dot" w:pos="8306"/>
            </w:tabs>
            <w:ind w:firstLineChars="0" w:firstLine="0"/>
          </w:pPr>
          <w:hyperlink w:anchor="_Toc31246" w:history="1">
            <w:r>
              <w:rPr>
                <w:rFonts w:hint="eastAsia"/>
                <w:szCs w:val="28"/>
              </w:rPr>
              <w:t>附图</w:t>
            </w:r>
            <w:r>
              <w:rPr>
                <w:rFonts w:hint="eastAsia"/>
                <w:szCs w:val="28"/>
              </w:rPr>
              <w:t>5</w:t>
            </w:r>
            <w:r>
              <w:rPr>
                <w:rFonts w:hint="eastAsia"/>
                <w:szCs w:val="28"/>
              </w:rPr>
              <w:t>群力水库与黑龙江省海林莲花湖地质公园的位置关系图</w:t>
            </w:r>
            <w:r>
              <w:tab/>
            </w:r>
            <w:r>
              <w:fldChar w:fldCharType="begin"/>
            </w:r>
            <w:r>
              <w:instrText xml:space="preserve"> PAGEREF _Toc31246 \h </w:instrText>
            </w:r>
            <w:r>
              <w:fldChar w:fldCharType="separate"/>
            </w:r>
            <w:r>
              <w:t>587</w:t>
            </w:r>
            <w:r>
              <w:fldChar w:fldCharType="end"/>
            </w:r>
          </w:hyperlink>
        </w:p>
        <w:p w14:paraId="7D402826" w14:textId="77777777" w:rsidR="009D12AF" w:rsidRDefault="00000000">
          <w:pPr>
            <w:pStyle w:val="TOC1"/>
            <w:tabs>
              <w:tab w:val="right" w:leader="dot" w:pos="8306"/>
            </w:tabs>
            <w:ind w:firstLineChars="0" w:firstLine="0"/>
          </w:pPr>
          <w:hyperlink w:anchor="_Toc25827" w:history="1">
            <w:r>
              <w:rPr>
                <w:rFonts w:hint="eastAsia"/>
                <w:szCs w:val="18"/>
              </w:rPr>
              <w:t>附图</w:t>
            </w:r>
            <w:r>
              <w:rPr>
                <w:rFonts w:hint="eastAsia"/>
                <w:szCs w:val="18"/>
              </w:rPr>
              <w:t>6</w:t>
            </w:r>
            <w:r>
              <w:rPr>
                <w:rFonts w:hint="eastAsia"/>
                <w:szCs w:val="18"/>
              </w:rPr>
              <w:t>群力水库与威虎山国家森林公园的位置关系图</w:t>
            </w:r>
            <w:r>
              <w:tab/>
            </w:r>
            <w:r>
              <w:fldChar w:fldCharType="begin"/>
            </w:r>
            <w:r>
              <w:instrText xml:space="preserve"> PAGEREF _Toc25827 \h </w:instrText>
            </w:r>
            <w:r>
              <w:fldChar w:fldCharType="separate"/>
            </w:r>
            <w:r>
              <w:t>588</w:t>
            </w:r>
            <w:r>
              <w:fldChar w:fldCharType="end"/>
            </w:r>
          </w:hyperlink>
        </w:p>
        <w:p w14:paraId="21512BB3" w14:textId="77777777" w:rsidR="009D12AF" w:rsidRDefault="00000000">
          <w:pPr>
            <w:pStyle w:val="TOC1"/>
            <w:tabs>
              <w:tab w:val="right" w:leader="dot" w:pos="8306"/>
            </w:tabs>
            <w:ind w:firstLineChars="0" w:firstLine="0"/>
          </w:pPr>
          <w:hyperlink w:anchor="_Toc15333" w:history="1">
            <w:r>
              <w:rPr>
                <w:rFonts w:hint="eastAsia"/>
                <w:szCs w:val="18"/>
              </w:rPr>
              <w:t>附图</w:t>
            </w:r>
            <w:r>
              <w:rPr>
                <w:rFonts w:hint="eastAsia"/>
                <w:szCs w:val="18"/>
              </w:rPr>
              <w:t>7</w:t>
            </w:r>
            <w:r>
              <w:rPr>
                <w:rFonts w:hint="eastAsia"/>
                <w:szCs w:val="18"/>
              </w:rPr>
              <w:t>群力水库与生态保护红线的关系图</w:t>
            </w:r>
            <w:r>
              <w:tab/>
            </w:r>
            <w:r>
              <w:fldChar w:fldCharType="begin"/>
            </w:r>
            <w:r>
              <w:instrText xml:space="preserve"> PAGEREF _Toc15333 \h </w:instrText>
            </w:r>
            <w:r>
              <w:fldChar w:fldCharType="separate"/>
            </w:r>
            <w:r>
              <w:t>589</w:t>
            </w:r>
            <w:r>
              <w:fldChar w:fldCharType="end"/>
            </w:r>
          </w:hyperlink>
        </w:p>
        <w:p w14:paraId="4206291A" w14:textId="77777777" w:rsidR="009D12AF" w:rsidRDefault="00000000">
          <w:pPr>
            <w:pStyle w:val="TOC1"/>
            <w:tabs>
              <w:tab w:val="right" w:leader="dot" w:pos="8306"/>
            </w:tabs>
            <w:ind w:firstLineChars="0" w:firstLine="0"/>
          </w:pPr>
          <w:hyperlink w:anchor="_Toc2001" w:history="1">
            <w:r>
              <w:rPr>
                <w:rFonts w:hint="eastAsia"/>
                <w:szCs w:val="18"/>
              </w:rPr>
              <w:t>附图</w:t>
            </w:r>
            <w:r>
              <w:rPr>
                <w:rFonts w:hint="eastAsia"/>
                <w:szCs w:val="18"/>
              </w:rPr>
              <w:t>8</w:t>
            </w:r>
            <w:r>
              <w:rPr>
                <w:rFonts w:hint="eastAsia"/>
                <w:szCs w:val="18"/>
              </w:rPr>
              <w:t>群力水库与生态公益林的位置关系图</w:t>
            </w:r>
            <w:r>
              <w:tab/>
            </w:r>
            <w:r>
              <w:fldChar w:fldCharType="begin"/>
            </w:r>
            <w:r>
              <w:instrText xml:space="preserve"> PAGEREF _Toc2001 \h </w:instrText>
            </w:r>
            <w:r>
              <w:fldChar w:fldCharType="separate"/>
            </w:r>
            <w:r>
              <w:t>590</w:t>
            </w:r>
            <w:r>
              <w:fldChar w:fldCharType="end"/>
            </w:r>
          </w:hyperlink>
        </w:p>
        <w:p w14:paraId="01639155" w14:textId="77777777" w:rsidR="009D12AF" w:rsidRDefault="00000000">
          <w:pPr>
            <w:pStyle w:val="TOC1"/>
            <w:tabs>
              <w:tab w:val="right" w:leader="dot" w:pos="8306"/>
            </w:tabs>
            <w:ind w:firstLineChars="0" w:firstLine="0"/>
          </w:pPr>
          <w:hyperlink w:anchor="_Toc10982" w:history="1">
            <w:r>
              <w:rPr>
                <w:rFonts w:hint="eastAsia"/>
                <w:szCs w:val="18"/>
              </w:rPr>
              <w:t>附图</w:t>
            </w:r>
            <w:r>
              <w:rPr>
                <w:rFonts w:hint="eastAsia"/>
                <w:szCs w:val="18"/>
              </w:rPr>
              <w:t>9</w:t>
            </w:r>
            <w:r>
              <w:rPr>
                <w:rFonts w:hint="eastAsia"/>
                <w:szCs w:val="18"/>
              </w:rPr>
              <w:t>群力水库与永久基本农田位置关系图</w:t>
            </w:r>
            <w:r>
              <w:tab/>
            </w:r>
            <w:r>
              <w:fldChar w:fldCharType="begin"/>
            </w:r>
            <w:r>
              <w:instrText xml:space="preserve"> PAGEREF _Toc10982 \h </w:instrText>
            </w:r>
            <w:r>
              <w:fldChar w:fldCharType="separate"/>
            </w:r>
            <w:r>
              <w:t>591</w:t>
            </w:r>
            <w:r>
              <w:fldChar w:fldCharType="end"/>
            </w:r>
          </w:hyperlink>
        </w:p>
        <w:p w14:paraId="63CB16E9" w14:textId="77777777" w:rsidR="009D12AF" w:rsidRDefault="00000000">
          <w:pPr>
            <w:pStyle w:val="TOC1"/>
            <w:tabs>
              <w:tab w:val="right" w:leader="dot" w:pos="8306"/>
            </w:tabs>
            <w:ind w:firstLineChars="0" w:firstLine="0"/>
          </w:pPr>
          <w:hyperlink w:anchor="_Toc14" w:history="1">
            <w:r>
              <w:rPr>
                <w:rFonts w:hint="eastAsia"/>
                <w:szCs w:val="18"/>
              </w:rPr>
              <w:t>附图</w:t>
            </w:r>
            <w:r>
              <w:rPr>
                <w:rFonts w:hint="eastAsia"/>
                <w:szCs w:val="18"/>
              </w:rPr>
              <w:t>10</w:t>
            </w:r>
            <w:r>
              <w:rPr>
                <w:rFonts w:hint="eastAsia"/>
                <w:szCs w:val="18"/>
              </w:rPr>
              <w:t>群力水库与黑土地位置关系图</w:t>
            </w:r>
            <w:r>
              <w:tab/>
            </w:r>
            <w:r>
              <w:fldChar w:fldCharType="begin"/>
            </w:r>
            <w:r>
              <w:instrText xml:space="preserve"> PAGEREF _Toc14 \h </w:instrText>
            </w:r>
            <w:r>
              <w:fldChar w:fldCharType="separate"/>
            </w:r>
            <w:r>
              <w:t>592</w:t>
            </w:r>
            <w:r>
              <w:fldChar w:fldCharType="end"/>
            </w:r>
          </w:hyperlink>
        </w:p>
        <w:p w14:paraId="013AC8DC" w14:textId="77777777" w:rsidR="009D12AF" w:rsidRDefault="00000000">
          <w:pPr>
            <w:pStyle w:val="TOC1"/>
            <w:tabs>
              <w:tab w:val="right" w:leader="dot" w:pos="8306"/>
            </w:tabs>
            <w:ind w:firstLineChars="0" w:firstLine="0"/>
          </w:pPr>
          <w:hyperlink w:anchor="_Toc3215" w:history="1">
            <w:r>
              <w:rPr>
                <w:rFonts w:hint="eastAsia"/>
                <w:szCs w:val="18"/>
              </w:rPr>
              <w:t>附图</w:t>
            </w:r>
            <w:r>
              <w:rPr>
                <w:rFonts w:hint="eastAsia"/>
                <w:szCs w:val="18"/>
              </w:rPr>
              <w:t>11</w:t>
            </w:r>
            <w:r>
              <w:rPr>
                <w:rFonts w:hint="eastAsia"/>
                <w:szCs w:val="18"/>
              </w:rPr>
              <w:t>群力水库重要物种植物分布图</w:t>
            </w:r>
            <w:r>
              <w:tab/>
            </w:r>
            <w:r>
              <w:fldChar w:fldCharType="begin"/>
            </w:r>
            <w:r>
              <w:instrText xml:space="preserve"> PAGEREF _Toc3215 \h </w:instrText>
            </w:r>
            <w:r>
              <w:fldChar w:fldCharType="separate"/>
            </w:r>
            <w:r>
              <w:t>593</w:t>
            </w:r>
            <w:r>
              <w:fldChar w:fldCharType="end"/>
            </w:r>
          </w:hyperlink>
        </w:p>
        <w:p w14:paraId="47384131" w14:textId="77777777" w:rsidR="009D12AF" w:rsidRDefault="00000000">
          <w:pPr>
            <w:pStyle w:val="TOC1"/>
            <w:tabs>
              <w:tab w:val="right" w:leader="dot" w:pos="8306"/>
            </w:tabs>
            <w:ind w:firstLineChars="0" w:firstLine="0"/>
          </w:pPr>
          <w:hyperlink w:anchor="_Toc11667" w:history="1">
            <w:r>
              <w:rPr>
                <w:rFonts w:hint="eastAsia"/>
                <w:szCs w:val="18"/>
              </w:rPr>
              <w:t>附图</w:t>
            </w:r>
            <w:r>
              <w:rPr>
                <w:rFonts w:hint="eastAsia"/>
                <w:szCs w:val="18"/>
              </w:rPr>
              <w:t>12</w:t>
            </w:r>
            <w:r>
              <w:rPr>
                <w:rFonts w:hint="eastAsia"/>
                <w:szCs w:val="18"/>
              </w:rPr>
              <w:t>群力水库重要物种鸟类分布图</w:t>
            </w:r>
            <w:r>
              <w:tab/>
            </w:r>
            <w:r>
              <w:fldChar w:fldCharType="begin"/>
            </w:r>
            <w:r>
              <w:instrText xml:space="preserve"> PAGEREF _Toc11667 \h </w:instrText>
            </w:r>
            <w:r>
              <w:fldChar w:fldCharType="separate"/>
            </w:r>
            <w:r>
              <w:t>594</w:t>
            </w:r>
            <w:r>
              <w:fldChar w:fldCharType="end"/>
            </w:r>
          </w:hyperlink>
        </w:p>
        <w:p w14:paraId="5429C127" w14:textId="77777777" w:rsidR="009D12AF" w:rsidRDefault="00000000">
          <w:pPr>
            <w:pStyle w:val="TOC1"/>
            <w:tabs>
              <w:tab w:val="right" w:leader="dot" w:pos="8306"/>
            </w:tabs>
            <w:ind w:firstLineChars="0" w:firstLine="0"/>
          </w:pPr>
          <w:hyperlink w:anchor="_Toc20525" w:history="1">
            <w:r>
              <w:rPr>
                <w:rFonts w:hint="eastAsia"/>
                <w:szCs w:val="18"/>
              </w:rPr>
              <w:t>附图</w:t>
            </w:r>
            <w:r>
              <w:rPr>
                <w:rFonts w:hint="eastAsia"/>
                <w:szCs w:val="18"/>
              </w:rPr>
              <w:t>13</w:t>
            </w:r>
            <w:r>
              <w:rPr>
                <w:rFonts w:hint="eastAsia"/>
                <w:szCs w:val="18"/>
              </w:rPr>
              <w:t>群力水库重要物种两栖分布图</w:t>
            </w:r>
            <w:r>
              <w:tab/>
            </w:r>
            <w:r>
              <w:fldChar w:fldCharType="begin"/>
            </w:r>
            <w:r>
              <w:instrText xml:space="preserve"> PAGEREF _Toc20525 \h </w:instrText>
            </w:r>
            <w:r>
              <w:fldChar w:fldCharType="separate"/>
            </w:r>
            <w:r>
              <w:t>595</w:t>
            </w:r>
            <w:r>
              <w:fldChar w:fldCharType="end"/>
            </w:r>
          </w:hyperlink>
        </w:p>
        <w:p w14:paraId="60E3DDFE" w14:textId="77777777" w:rsidR="009D12AF" w:rsidRDefault="00000000">
          <w:pPr>
            <w:pStyle w:val="TOC1"/>
            <w:tabs>
              <w:tab w:val="right" w:leader="dot" w:pos="8306"/>
            </w:tabs>
            <w:ind w:firstLineChars="0" w:firstLine="0"/>
          </w:pPr>
          <w:hyperlink w:anchor="_Toc10409" w:history="1">
            <w:r>
              <w:rPr>
                <w:rFonts w:hint="eastAsia"/>
                <w:szCs w:val="18"/>
              </w:rPr>
              <w:t>附图</w:t>
            </w:r>
            <w:r>
              <w:rPr>
                <w:rFonts w:hint="eastAsia"/>
                <w:szCs w:val="18"/>
              </w:rPr>
              <w:t>14</w:t>
            </w:r>
            <w:r>
              <w:rPr>
                <w:rFonts w:hint="eastAsia"/>
                <w:szCs w:val="18"/>
              </w:rPr>
              <w:t>群力水库重要物种兽类分布图</w:t>
            </w:r>
            <w:r>
              <w:tab/>
            </w:r>
            <w:r>
              <w:fldChar w:fldCharType="begin"/>
            </w:r>
            <w:r>
              <w:instrText xml:space="preserve"> PAGEREF _Toc10409 \h </w:instrText>
            </w:r>
            <w:r>
              <w:fldChar w:fldCharType="separate"/>
            </w:r>
            <w:r>
              <w:t>596</w:t>
            </w:r>
            <w:r>
              <w:fldChar w:fldCharType="end"/>
            </w:r>
          </w:hyperlink>
        </w:p>
        <w:p w14:paraId="20C83789" w14:textId="77777777" w:rsidR="009D12AF" w:rsidRDefault="00000000">
          <w:pPr>
            <w:pStyle w:val="TOC1"/>
            <w:tabs>
              <w:tab w:val="right" w:leader="dot" w:pos="8306"/>
            </w:tabs>
            <w:ind w:firstLineChars="0" w:firstLine="0"/>
          </w:pPr>
          <w:hyperlink w:anchor="_Toc9758" w:history="1">
            <w:r>
              <w:rPr>
                <w:rFonts w:hint="eastAsia"/>
                <w:szCs w:val="18"/>
              </w:rPr>
              <w:t>附图</w:t>
            </w:r>
            <w:r>
              <w:rPr>
                <w:rFonts w:hint="eastAsia"/>
                <w:szCs w:val="18"/>
              </w:rPr>
              <w:t>15</w:t>
            </w:r>
            <w:r>
              <w:rPr>
                <w:rFonts w:hint="eastAsia"/>
                <w:szCs w:val="18"/>
              </w:rPr>
              <w:t>群力水库重要物种爬行类分布图</w:t>
            </w:r>
            <w:r>
              <w:tab/>
            </w:r>
            <w:r>
              <w:fldChar w:fldCharType="begin"/>
            </w:r>
            <w:r>
              <w:instrText xml:space="preserve"> PAGEREF _Toc9758 \h </w:instrText>
            </w:r>
            <w:r>
              <w:fldChar w:fldCharType="separate"/>
            </w:r>
            <w:r>
              <w:t>597</w:t>
            </w:r>
            <w:r>
              <w:fldChar w:fldCharType="end"/>
            </w:r>
          </w:hyperlink>
        </w:p>
        <w:p w14:paraId="3C074994" w14:textId="77777777" w:rsidR="009D12AF" w:rsidRDefault="00000000">
          <w:pPr>
            <w:pStyle w:val="TOC1"/>
            <w:tabs>
              <w:tab w:val="right" w:leader="dot" w:pos="8306"/>
            </w:tabs>
            <w:ind w:firstLineChars="0" w:firstLine="0"/>
          </w:pPr>
          <w:hyperlink w:anchor="_Toc20657" w:history="1">
            <w:r>
              <w:rPr>
                <w:rFonts w:hint="eastAsia"/>
                <w:szCs w:val="18"/>
              </w:rPr>
              <w:t>附图</w:t>
            </w:r>
            <w:r>
              <w:rPr>
                <w:rFonts w:hint="eastAsia"/>
                <w:szCs w:val="18"/>
              </w:rPr>
              <w:t>16</w:t>
            </w:r>
            <w:r>
              <w:rPr>
                <w:rFonts w:hint="eastAsia"/>
                <w:szCs w:val="18"/>
              </w:rPr>
              <w:t>陆生生态评价范围图</w:t>
            </w:r>
            <w:r>
              <w:tab/>
            </w:r>
            <w:r>
              <w:fldChar w:fldCharType="begin"/>
            </w:r>
            <w:r>
              <w:instrText xml:space="preserve"> PAGEREF _Toc20657 \h </w:instrText>
            </w:r>
            <w:r>
              <w:fldChar w:fldCharType="separate"/>
            </w:r>
            <w:r>
              <w:t>598</w:t>
            </w:r>
            <w:r>
              <w:fldChar w:fldCharType="end"/>
            </w:r>
          </w:hyperlink>
        </w:p>
        <w:p w14:paraId="7E9E7F30" w14:textId="77777777" w:rsidR="009D12AF" w:rsidRDefault="00000000">
          <w:pPr>
            <w:pStyle w:val="TOC1"/>
            <w:tabs>
              <w:tab w:val="right" w:leader="dot" w:pos="8306"/>
            </w:tabs>
            <w:ind w:firstLineChars="0" w:firstLine="0"/>
          </w:pPr>
          <w:hyperlink w:anchor="_Toc275" w:history="1">
            <w:r>
              <w:rPr>
                <w:rFonts w:hint="eastAsia"/>
                <w:szCs w:val="18"/>
              </w:rPr>
              <w:t>附图</w:t>
            </w:r>
            <w:r>
              <w:rPr>
                <w:rFonts w:hint="eastAsia"/>
                <w:szCs w:val="18"/>
              </w:rPr>
              <w:t>17</w:t>
            </w:r>
            <w:r>
              <w:rPr>
                <w:rFonts w:hint="eastAsia"/>
                <w:szCs w:val="18"/>
              </w:rPr>
              <w:t>群力水库植被样方布设图</w:t>
            </w:r>
            <w:r>
              <w:tab/>
            </w:r>
            <w:r>
              <w:fldChar w:fldCharType="begin"/>
            </w:r>
            <w:r>
              <w:instrText xml:space="preserve"> PAGEREF _Toc275 \h </w:instrText>
            </w:r>
            <w:r>
              <w:fldChar w:fldCharType="separate"/>
            </w:r>
            <w:r>
              <w:t>601</w:t>
            </w:r>
            <w:r>
              <w:fldChar w:fldCharType="end"/>
            </w:r>
          </w:hyperlink>
        </w:p>
        <w:p w14:paraId="21825F22" w14:textId="77777777" w:rsidR="009D12AF" w:rsidRDefault="00000000">
          <w:pPr>
            <w:pStyle w:val="TOC1"/>
            <w:tabs>
              <w:tab w:val="right" w:leader="dot" w:pos="8306"/>
            </w:tabs>
            <w:ind w:firstLineChars="0" w:firstLine="0"/>
          </w:pPr>
          <w:hyperlink w:anchor="_Toc21708" w:history="1">
            <w:r>
              <w:rPr>
                <w:rFonts w:hint="eastAsia"/>
                <w:szCs w:val="18"/>
              </w:rPr>
              <w:t>附图</w:t>
            </w:r>
            <w:r>
              <w:rPr>
                <w:rFonts w:hint="eastAsia"/>
                <w:szCs w:val="18"/>
              </w:rPr>
              <w:t>18</w:t>
            </w:r>
            <w:r>
              <w:rPr>
                <w:rFonts w:hint="eastAsia"/>
                <w:szCs w:val="18"/>
              </w:rPr>
              <w:t>群力水库动物样线布设图</w:t>
            </w:r>
            <w:r>
              <w:tab/>
            </w:r>
            <w:r>
              <w:fldChar w:fldCharType="begin"/>
            </w:r>
            <w:r>
              <w:instrText xml:space="preserve"> PAGEREF _Toc21708 \h </w:instrText>
            </w:r>
            <w:r>
              <w:fldChar w:fldCharType="separate"/>
            </w:r>
            <w:r>
              <w:t>602</w:t>
            </w:r>
            <w:r>
              <w:fldChar w:fldCharType="end"/>
            </w:r>
          </w:hyperlink>
        </w:p>
        <w:p w14:paraId="21885739" w14:textId="77777777" w:rsidR="009D12AF" w:rsidRDefault="00000000">
          <w:pPr>
            <w:pStyle w:val="TOC1"/>
            <w:tabs>
              <w:tab w:val="right" w:leader="dot" w:pos="8306"/>
            </w:tabs>
            <w:ind w:firstLineChars="0" w:firstLine="0"/>
          </w:pPr>
          <w:hyperlink w:anchor="_Toc2937" w:history="1">
            <w:r>
              <w:rPr>
                <w:rFonts w:hint="eastAsia"/>
                <w:szCs w:val="18"/>
              </w:rPr>
              <w:t>附图</w:t>
            </w:r>
            <w:r>
              <w:rPr>
                <w:rFonts w:hint="eastAsia"/>
                <w:szCs w:val="18"/>
              </w:rPr>
              <w:t>19</w:t>
            </w:r>
            <w:r>
              <w:rPr>
                <w:rFonts w:hint="eastAsia"/>
                <w:szCs w:val="18"/>
              </w:rPr>
              <w:t>群力水库评价范围内植被类型图</w:t>
            </w:r>
            <w:r>
              <w:tab/>
            </w:r>
            <w:r>
              <w:fldChar w:fldCharType="begin"/>
            </w:r>
            <w:r>
              <w:instrText xml:space="preserve"> PAGEREF _Toc2937 \h </w:instrText>
            </w:r>
            <w:r>
              <w:fldChar w:fldCharType="separate"/>
            </w:r>
            <w:r>
              <w:t>603</w:t>
            </w:r>
            <w:r>
              <w:fldChar w:fldCharType="end"/>
            </w:r>
          </w:hyperlink>
        </w:p>
        <w:p w14:paraId="0686DE35" w14:textId="77777777" w:rsidR="009D12AF" w:rsidRDefault="00000000">
          <w:pPr>
            <w:pStyle w:val="TOC1"/>
            <w:tabs>
              <w:tab w:val="right" w:leader="dot" w:pos="8306"/>
            </w:tabs>
            <w:ind w:firstLineChars="0" w:firstLine="0"/>
          </w:pPr>
          <w:hyperlink w:anchor="_Toc28825" w:history="1">
            <w:r>
              <w:rPr>
                <w:rFonts w:hint="eastAsia"/>
                <w:szCs w:val="18"/>
              </w:rPr>
              <w:t>附图</w:t>
            </w:r>
            <w:r>
              <w:rPr>
                <w:rFonts w:hint="eastAsia"/>
                <w:szCs w:val="18"/>
              </w:rPr>
              <w:t>20</w:t>
            </w:r>
            <w:r>
              <w:rPr>
                <w:rFonts w:hint="eastAsia"/>
                <w:szCs w:val="18"/>
              </w:rPr>
              <w:t>群力水库评价范围内重点保护植物分布图</w:t>
            </w:r>
            <w:r>
              <w:tab/>
            </w:r>
            <w:r>
              <w:fldChar w:fldCharType="begin"/>
            </w:r>
            <w:r>
              <w:instrText xml:space="preserve"> PAGEREF _Toc28825 \h </w:instrText>
            </w:r>
            <w:r>
              <w:fldChar w:fldCharType="separate"/>
            </w:r>
            <w:r>
              <w:t>604</w:t>
            </w:r>
            <w:r>
              <w:fldChar w:fldCharType="end"/>
            </w:r>
          </w:hyperlink>
        </w:p>
        <w:p w14:paraId="7F074914" w14:textId="77777777" w:rsidR="009D12AF" w:rsidRDefault="00000000">
          <w:pPr>
            <w:pStyle w:val="TOC1"/>
            <w:tabs>
              <w:tab w:val="right" w:leader="dot" w:pos="8306"/>
            </w:tabs>
            <w:ind w:firstLineChars="0" w:firstLine="0"/>
          </w:pPr>
          <w:hyperlink w:anchor="_Toc2480" w:history="1">
            <w:r>
              <w:rPr>
                <w:rFonts w:hint="eastAsia"/>
                <w:szCs w:val="18"/>
              </w:rPr>
              <w:t>附图</w:t>
            </w:r>
            <w:r>
              <w:rPr>
                <w:rFonts w:hint="eastAsia"/>
                <w:szCs w:val="18"/>
              </w:rPr>
              <w:t>21</w:t>
            </w:r>
            <w:r>
              <w:rPr>
                <w:rFonts w:hint="eastAsia"/>
                <w:szCs w:val="18"/>
              </w:rPr>
              <w:t>群力水库评价范围内重点保护野生植物生境分布图</w:t>
            </w:r>
            <w:r>
              <w:tab/>
            </w:r>
            <w:r>
              <w:fldChar w:fldCharType="begin"/>
            </w:r>
            <w:r>
              <w:instrText xml:space="preserve"> PAGEREF _Toc2480 \h </w:instrText>
            </w:r>
            <w:r>
              <w:fldChar w:fldCharType="separate"/>
            </w:r>
            <w:r>
              <w:t>608</w:t>
            </w:r>
            <w:r>
              <w:fldChar w:fldCharType="end"/>
            </w:r>
          </w:hyperlink>
        </w:p>
        <w:p w14:paraId="558B7C73" w14:textId="77777777" w:rsidR="009D12AF" w:rsidRDefault="00000000">
          <w:pPr>
            <w:pStyle w:val="TOC1"/>
            <w:tabs>
              <w:tab w:val="right" w:leader="dot" w:pos="8306"/>
            </w:tabs>
            <w:ind w:firstLineChars="0" w:firstLine="0"/>
          </w:pPr>
          <w:hyperlink w:anchor="_Toc31030" w:history="1">
            <w:r>
              <w:rPr>
                <w:rFonts w:hint="eastAsia"/>
                <w:szCs w:val="18"/>
              </w:rPr>
              <w:t>附图</w:t>
            </w:r>
            <w:r>
              <w:rPr>
                <w:rFonts w:hint="eastAsia"/>
                <w:szCs w:val="18"/>
              </w:rPr>
              <w:t>22</w:t>
            </w:r>
            <w:r>
              <w:rPr>
                <w:rFonts w:hint="eastAsia"/>
                <w:szCs w:val="18"/>
              </w:rPr>
              <w:t>群力水库评价范围内重点保护野生动物分布图</w:t>
            </w:r>
            <w:r>
              <w:tab/>
            </w:r>
            <w:r>
              <w:fldChar w:fldCharType="begin"/>
            </w:r>
            <w:r>
              <w:instrText xml:space="preserve"> PAGEREF _Toc31030 \h </w:instrText>
            </w:r>
            <w:r>
              <w:fldChar w:fldCharType="separate"/>
            </w:r>
            <w:r>
              <w:t>609</w:t>
            </w:r>
            <w:r>
              <w:fldChar w:fldCharType="end"/>
            </w:r>
          </w:hyperlink>
        </w:p>
        <w:p w14:paraId="63322F1A" w14:textId="77777777" w:rsidR="009D12AF" w:rsidRDefault="00000000">
          <w:pPr>
            <w:pStyle w:val="TOC1"/>
            <w:tabs>
              <w:tab w:val="right" w:leader="dot" w:pos="8306"/>
            </w:tabs>
            <w:ind w:firstLineChars="0" w:firstLine="0"/>
          </w:pPr>
          <w:hyperlink w:anchor="_Toc32181" w:history="1">
            <w:r>
              <w:rPr>
                <w:rFonts w:hint="eastAsia"/>
                <w:szCs w:val="18"/>
              </w:rPr>
              <w:t>附图</w:t>
            </w:r>
            <w:r>
              <w:rPr>
                <w:rFonts w:hint="eastAsia"/>
                <w:szCs w:val="18"/>
              </w:rPr>
              <w:t>23</w:t>
            </w:r>
            <w:r>
              <w:rPr>
                <w:rFonts w:hint="eastAsia"/>
                <w:szCs w:val="18"/>
              </w:rPr>
              <w:t>群力水库评价范围内重点保护野生动物适宜生境分布图</w:t>
            </w:r>
            <w:r>
              <w:tab/>
            </w:r>
            <w:r>
              <w:fldChar w:fldCharType="begin"/>
            </w:r>
            <w:r>
              <w:instrText xml:space="preserve"> PAGEREF _Toc32181 \h </w:instrText>
            </w:r>
            <w:r>
              <w:fldChar w:fldCharType="separate"/>
            </w:r>
            <w:r>
              <w:t>614</w:t>
            </w:r>
            <w:r>
              <w:fldChar w:fldCharType="end"/>
            </w:r>
          </w:hyperlink>
        </w:p>
        <w:p w14:paraId="1745E4CB" w14:textId="77777777" w:rsidR="009D12AF" w:rsidRDefault="00000000">
          <w:pPr>
            <w:pStyle w:val="TOC1"/>
            <w:tabs>
              <w:tab w:val="right" w:leader="dot" w:pos="8306"/>
            </w:tabs>
            <w:ind w:firstLineChars="0" w:firstLine="0"/>
          </w:pPr>
          <w:hyperlink w:anchor="_Toc11444" w:history="1">
            <w:r>
              <w:rPr>
                <w:rFonts w:hint="eastAsia"/>
                <w:szCs w:val="18"/>
              </w:rPr>
              <w:t>附图</w:t>
            </w:r>
            <w:r>
              <w:rPr>
                <w:rFonts w:hint="eastAsia"/>
                <w:szCs w:val="18"/>
              </w:rPr>
              <w:t>24</w:t>
            </w:r>
            <w:r>
              <w:rPr>
                <w:rFonts w:hint="eastAsia"/>
                <w:szCs w:val="18"/>
              </w:rPr>
              <w:t>群力水库评价范围内生境类型图</w:t>
            </w:r>
            <w:r>
              <w:tab/>
            </w:r>
            <w:r>
              <w:fldChar w:fldCharType="begin"/>
            </w:r>
            <w:r>
              <w:instrText xml:space="preserve"> PAGEREF _Toc11444 \h </w:instrText>
            </w:r>
            <w:r>
              <w:fldChar w:fldCharType="separate"/>
            </w:r>
            <w:r>
              <w:t>616</w:t>
            </w:r>
            <w:r>
              <w:fldChar w:fldCharType="end"/>
            </w:r>
          </w:hyperlink>
        </w:p>
        <w:p w14:paraId="6F670C3F" w14:textId="77777777" w:rsidR="009D12AF" w:rsidRDefault="00000000">
          <w:pPr>
            <w:pStyle w:val="TOC1"/>
            <w:tabs>
              <w:tab w:val="right" w:leader="dot" w:pos="8306"/>
            </w:tabs>
            <w:ind w:firstLineChars="0" w:firstLine="0"/>
          </w:pPr>
          <w:hyperlink w:anchor="_Toc2357" w:history="1">
            <w:r>
              <w:rPr>
                <w:rFonts w:hint="eastAsia"/>
                <w:szCs w:val="18"/>
              </w:rPr>
              <w:t>附图</w:t>
            </w:r>
            <w:r>
              <w:rPr>
                <w:rFonts w:hint="eastAsia"/>
                <w:szCs w:val="18"/>
              </w:rPr>
              <w:t>25</w:t>
            </w:r>
            <w:r>
              <w:rPr>
                <w:rFonts w:hint="eastAsia"/>
                <w:szCs w:val="18"/>
              </w:rPr>
              <w:t>群力水库评价范围内土地利用类型图</w:t>
            </w:r>
            <w:r>
              <w:tab/>
            </w:r>
            <w:r>
              <w:fldChar w:fldCharType="begin"/>
            </w:r>
            <w:r>
              <w:instrText xml:space="preserve"> PAGEREF _Toc2357 \h </w:instrText>
            </w:r>
            <w:r>
              <w:fldChar w:fldCharType="separate"/>
            </w:r>
            <w:r>
              <w:t>617</w:t>
            </w:r>
            <w:r>
              <w:fldChar w:fldCharType="end"/>
            </w:r>
          </w:hyperlink>
        </w:p>
        <w:p w14:paraId="5F4DB82F" w14:textId="77777777" w:rsidR="009D12AF" w:rsidRDefault="00000000">
          <w:pPr>
            <w:pStyle w:val="TOC1"/>
            <w:tabs>
              <w:tab w:val="right" w:leader="dot" w:pos="8306"/>
            </w:tabs>
            <w:ind w:firstLineChars="0" w:firstLine="0"/>
          </w:pPr>
          <w:hyperlink w:anchor="_Toc6757" w:history="1">
            <w:r>
              <w:rPr>
                <w:rFonts w:hint="eastAsia"/>
                <w:szCs w:val="18"/>
              </w:rPr>
              <w:t>附图</w:t>
            </w:r>
            <w:r>
              <w:rPr>
                <w:rFonts w:hint="eastAsia"/>
                <w:szCs w:val="18"/>
              </w:rPr>
              <w:t>26</w:t>
            </w:r>
            <w:r>
              <w:rPr>
                <w:rFonts w:hint="eastAsia"/>
                <w:szCs w:val="18"/>
              </w:rPr>
              <w:t>群力水库评价范围内生态系统类型图</w:t>
            </w:r>
            <w:r>
              <w:tab/>
            </w:r>
            <w:r>
              <w:fldChar w:fldCharType="begin"/>
            </w:r>
            <w:r>
              <w:instrText xml:space="preserve"> PAGEREF _Toc6757 \h </w:instrText>
            </w:r>
            <w:r>
              <w:fldChar w:fldCharType="separate"/>
            </w:r>
            <w:r>
              <w:t>618</w:t>
            </w:r>
            <w:r>
              <w:fldChar w:fldCharType="end"/>
            </w:r>
          </w:hyperlink>
        </w:p>
        <w:p w14:paraId="439FC11C" w14:textId="77777777" w:rsidR="009D12AF" w:rsidRDefault="00000000">
          <w:pPr>
            <w:pStyle w:val="TOC1"/>
            <w:tabs>
              <w:tab w:val="right" w:leader="dot" w:pos="8306"/>
            </w:tabs>
            <w:ind w:firstLineChars="0" w:firstLine="0"/>
          </w:pPr>
          <w:hyperlink w:anchor="_Toc2348" w:history="1">
            <w:r>
              <w:rPr>
                <w:rFonts w:hint="eastAsia"/>
                <w:szCs w:val="18"/>
              </w:rPr>
              <w:t>附图</w:t>
            </w:r>
            <w:r>
              <w:rPr>
                <w:rFonts w:hint="eastAsia"/>
                <w:szCs w:val="18"/>
              </w:rPr>
              <w:t>27</w:t>
            </w:r>
            <w:r>
              <w:rPr>
                <w:rFonts w:hint="eastAsia"/>
                <w:szCs w:val="18"/>
              </w:rPr>
              <w:t>群力水库评价范围内植被覆盖度图</w:t>
            </w:r>
            <w:r>
              <w:tab/>
            </w:r>
            <w:r>
              <w:fldChar w:fldCharType="begin"/>
            </w:r>
            <w:r>
              <w:instrText xml:space="preserve"> PAGEREF _Toc2348 \h </w:instrText>
            </w:r>
            <w:r>
              <w:fldChar w:fldCharType="separate"/>
            </w:r>
            <w:r>
              <w:t>619</w:t>
            </w:r>
            <w:r>
              <w:fldChar w:fldCharType="end"/>
            </w:r>
          </w:hyperlink>
        </w:p>
        <w:p w14:paraId="62C02770" w14:textId="77777777" w:rsidR="009D12AF" w:rsidRDefault="00000000">
          <w:pPr>
            <w:pStyle w:val="TOC1"/>
            <w:tabs>
              <w:tab w:val="right" w:leader="dot" w:pos="8306"/>
            </w:tabs>
            <w:ind w:firstLineChars="0" w:firstLine="0"/>
          </w:pPr>
          <w:hyperlink w:anchor="_Toc21120" w:history="1">
            <w:r>
              <w:rPr>
                <w:rFonts w:hint="eastAsia"/>
                <w:szCs w:val="18"/>
              </w:rPr>
              <w:t>附图</w:t>
            </w:r>
            <w:r>
              <w:rPr>
                <w:rFonts w:hint="eastAsia"/>
                <w:szCs w:val="18"/>
              </w:rPr>
              <w:t>28</w:t>
            </w:r>
            <w:r>
              <w:rPr>
                <w:rFonts w:hint="eastAsia"/>
                <w:szCs w:val="18"/>
              </w:rPr>
              <w:t>群力水库生态保护措施平面布置图</w:t>
            </w:r>
            <w:r>
              <w:tab/>
            </w:r>
            <w:r>
              <w:fldChar w:fldCharType="begin"/>
            </w:r>
            <w:r>
              <w:instrText xml:space="preserve"> PAGEREF _Toc21120 \h </w:instrText>
            </w:r>
            <w:r>
              <w:fldChar w:fldCharType="separate"/>
            </w:r>
            <w:r>
              <w:t>620</w:t>
            </w:r>
            <w:r>
              <w:fldChar w:fldCharType="end"/>
            </w:r>
          </w:hyperlink>
        </w:p>
        <w:p w14:paraId="00B5CC7B" w14:textId="77777777" w:rsidR="009D12AF" w:rsidRDefault="00000000">
          <w:pPr>
            <w:pStyle w:val="TOC1"/>
            <w:tabs>
              <w:tab w:val="right" w:leader="dot" w:pos="8306"/>
            </w:tabs>
            <w:ind w:firstLineChars="0" w:firstLine="0"/>
          </w:pPr>
          <w:hyperlink w:anchor="_Toc32633" w:history="1">
            <w:r>
              <w:rPr>
                <w:rFonts w:hint="eastAsia"/>
                <w:szCs w:val="18"/>
              </w:rPr>
              <w:t>附图</w:t>
            </w:r>
            <w:r>
              <w:rPr>
                <w:rFonts w:hint="eastAsia"/>
                <w:szCs w:val="18"/>
              </w:rPr>
              <w:t>29</w:t>
            </w:r>
            <w:r>
              <w:rPr>
                <w:rFonts w:hint="eastAsia"/>
                <w:szCs w:val="18"/>
              </w:rPr>
              <w:t>群力水库生态监测布点图</w:t>
            </w:r>
            <w:r>
              <w:tab/>
            </w:r>
            <w:r>
              <w:fldChar w:fldCharType="begin"/>
            </w:r>
            <w:r>
              <w:instrText xml:space="preserve"> PAGEREF _Toc32633 \h </w:instrText>
            </w:r>
            <w:r>
              <w:fldChar w:fldCharType="separate"/>
            </w:r>
            <w:r>
              <w:t>621</w:t>
            </w:r>
            <w:r>
              <w:fldChar w:fldCharType="end"/>
            </w:r>
          </w:hyperlink>
        </w:p>
        <w:p w14:paraId="59724786" w14:textId="77777777" w:rsidR="009D12AF" w:rsidRDefault="00000000">
          <w:pPr>
            <w:pStyle w:val="TOC1"/>
            <w:tabs>
              <w:tab w:val="right" w:leader="dot" w:pos="8306"/>
            </w:tabs>
            <w:ind w:firstLineChars="0" w:firstLine="0"/>
          </w:pPr>
          <w:hyperlink w:anchor="_Toc16357" w:history="1">
            <w:r>
              <w:rPr>
                <w:rFonts w:hint="eastAsia"/>
                <w:szCs w:val="18"/>
              </w:rPr>
              <w:t>附图</w:t>
            </w:r>
            <w:r>
              <w:rPr>
                <w:rFonts w:hint="eastAsia"/>
                <w:szCs w:val="18"/>
              </w:rPr>
              <w:t>30</w:t>
            </w:r>
            <w:r>
              <w:rPr>
                <w:rFonts w:hint="eastAsia"/>
                <w:szCs w:val="18"/>
              </w:rPr>
              <w:t>本项目与黑龙江省主体功能区划位置关系图</w:t>
            </w:r>
            <w:r>
              <w:tab/>
            </w:r>
            <w:r>
              <w:fldChar w:fldCharType="begin"/>
            </w:r>
            <w:r>
              <w:instrText xml:space="preserve"> PAGEREF _Toc16357 \h </w:instrText>
            </w:r>
            <w:r>
              <w:fldChar w:fldCharType="separate"/>
            </w:r>
            <w:r>
              <w:t>623</w:t>
            </w:r>
            <w:r>
              <w:fldChar w:fldCharType="end"/>
            </w:r>
          </w:hyperlink>
        </w:p>
        <w:p w14:paraId="102ECC68" w14:textId="77777777" w:rsidR="009D12AF" w:rsidRDefault="00000000">
          <w:pPr>
            <w:pStyle w:val="TOC1"/>
            <w:tabs>
              <w:tab w:val="right" w:leader="dot" w:pos="8306"/>
            </w:tabs>
            <w:ind w:firstLineChars="0" w:firstLine="0"/>
          </w:pPr>
          <w:hyperlink w:anchor="_Toc16907" w:history="1">
            <w:r>
              <w:rPr>
                <w:rFonts w:hint="eastAsia"/>
                <w:szCs w:val="18"/>
              </w:rPr>
              <w:t>附图</w:t>
            </w:r>
            <w:r>
              <w:rPr>
                <w:rFonts w:hint="eastAsia"/>
                <w:szCs w:val="18"/>
              </w:rPr>
              <w:t>31</w:t>
            </w:r>
            <w:r>
              <w:rPr>
                <w:rFonts w:hint="eastAsia"/>
                <w:szCs w:val="18"/>
              </w:rPr>
              <w:t>本项目与黑龙江省生态功能区位置关系图</w:t>
            </w:r>
            <w:r>
              <w:tab/>
            </w:r>
            <w:r>
              <w:fldChar w:fldCharType="begin"/>
            </w:r>
            <w:r>
              <w:instrText xml:space="preserve"> PAGEREF _Toc16907 \h </w:instrText>
            </w:r>
            <w:r>
              <w:fldChar w:fldCharType="separate"/>
            </w:r>
            <w:r>
              <w:t>624</w:t>
            </w:r>
            <w:r>
              <w:fldChar w:fldCharType="end"/>
            </w:r>
          </w:hyperlink>
        </w:p>
        <w:p w14:paraId="6E645FDC" w14:textId="77777777" w:rsidR="009D12AF" w:rsidRDefault="00000000">
          <w:pPr>
            <w:pStyle w:val="TOC1"/>
            <w:tabs>
              <w:tab w:val="right" w:leader="dot" w:pos="8306"/>
            </w:tabs>
            <w:ind w:firstLineChars="0" w:firstLine="0"/>
          </w:pPr>
          <w:hyperlink w:anchor="_Toc25868" w:history="1">
            <w:r>
              <w:rPr>
                <w:rFonts w:hint="eastAsia"/>
              </w:rPr>
              <w:t>附图</w:t>
            </w:r>
            <w:r>
              <w:rPr>
                <w:rFonts w:hint="eastAsia"/>
              </w:rPr>
              <w:t>32</w:t>
            </w:r>
            <w:r>
              <w:rPr>
                <w:rFonts w:hint="eastAsia"/>
              </w:rPr>
              <w:t>本项目声环境和土壤评价范围及保护目标图</w:t>
            </w:r>
            <w:r>
              <w:tab/>
            </w:r>
            <w:r>
              <w:fldChar w:fldCharType="begin"/>
            </w:r>
            <w:r>
              <w:instrText xml:space="preserve"> PAGEREF _Toc25868 \h </w:instrText>
            </w:r>
            <w:r>
              <w:fldChar w:fldCharType="separate"/>
            </w:r>
            <w:r>
              <w:t>625</w:t>
            </w:r>
            <w:r>
              <w:fldChar w:fldCharType="end"/>
            </w:r>
          </w:hyperlink>
        </w:p>
        <w:p w14:paraId="1BBE6FF6" w14:textId="77777777" w:rsidR="009D12AF" w:rsidRDefault="00000000">
          <w:pPr>
            <w:pStyle w:val="TOC1"/>
            <w:tabs>
              <w:tab w:val="right" w:leader="dot" w:pos="8306"/>
            </w:tabs>
            <w:ind w:firstLineChars="0" w:firstLine="0"/>
          </w:pPr>
          <w:hyperlink w:anchor="_Toc25755" w:history="1">
            <w:r>
              <w:rPr>
                <w:rFonts w:hint="eastAsia"/>
              </w:rPr>
              <w:t>附图</w:t>
            </w:r>
            <w:r>
              <w:rPr>
                <w:rFonts w:hint="eastAsia"/>
              </w:rPr>
              <w:t>33</w:t>
            </w:r>
            <w:r>
              <w:rPr>
                <w:rFonts w:hint="eastAsia"/>
              </w:rPr>
              <w:t>本项目地下水和地表水评价范围图</w:t>
            </w:r>
            <w:r>
              <w:tab/>
            </w:r>
            <w:r>
              <w:fldChar w:fldCharType="begin"/>
            </w:r>
            <w:r>
              <w:instrText xml:space="preserve"> PAGEREF _Toc25755 \h </w:instrText>
            </w:r>
            <w:r>
              <w:fldChar w:fldCharType="separate"/>
            </w:r>
            <w:r>
              <w:t>628</w:t>
            </w:r>
            <w:r>
              <w:fldChar w:fldCharType="end"/>
            </w:r>
          </w:hyperlink>
        </w:p>
        <w:p w14:paraId="73D9FFB7" w14:textId="77777777" w:rsidR="009D12AF" w:rsidRDefault="00000000">
          <w:pPr>
            <w:pStyle w:val="TOC1"/>
            <w:tabs>
              <w:tab w:val="right" w:leader="dot" w:pos="8306"/>
            </w:tabs>
            <w:ind w:firstLineChars="0" w:firstLine="0"/>
          </w:pPr>
          <w:hyperlink w:anchor="_Toc15718" w:history="1">
            <w:r>
              <w:rPr>
                <w:rFonts w:hint="eastAsia"/>
              </w:rPr>
              <w:t>附图</w:t>
            </w:r>
            <w:r>
              <w:rPr>
                <w:rFonts w:hint="eastAsia"/>
              </w:rPr>
              <w:t>34</w:t>
            </w:r>
            <w:r>
              <w:rPr>
                <w:rFonts w:hint="eastAsia"/>
              </w:rPr>
              <w:t>水生生态评价范围图</w:t>
            </w:r>
            <w:r>
              <w:tab/>
            </w:r>
            <w:r>
              <w:fldChar w:fldCharType="begin"/>
            </w:r>
            <w:r>
              <w:instrText xml:space="preserve"> PAGEREF _Toc15718 \h </w:instrText>
            </w:r>
            <w:r>
              <w:fldChar w:fldCharType="separate"/>
            </w:r>
            <w:r>
              <w:t>631</w:t>
            </w:r>
            <w:r>
              <w:fldChar w:fldCharType="end"/>
            </w:r>
          </w:hyperlink>
        </w:p>
        <w:p w14:paraId="0D33F709" w14:textId="77777777" w:rsidR="009D12AF" w:rsidRDefault="00000000">
          <w:pPr>
            <w:tabs>
              <w:tab w:val="left" w:pos="3588"/>
              <w:tab w:val="center" w:pos="4213"/>
            </w:tabs>
            <w:spacing w:line="240" w:lineRule="auto"/>
            <w:ind w:firstLineChars="0" w:firstLine="0"/>
            <w:jc w:val="center"/>
            <w:rPr>
              <w:highlight w:val="yellow"/>
            </w:rPr>
            <w:sectPr w:rsidR="009D12AF">
              <w:footerReference w:type="default" r:id="rId14"/>
              <w:pgSz w:w="11906" w:h="16838"/>
              <w:pgMar w:top="1440" w:right="1800" w:bottom="1440" w:left="1800" w:header="851" w:footer="992" w:gutter="0"/>
              <w:cols w:space="425"/>
              <w:docGrid w:type="lines" w:linePitch="312"/>
            </w:sectPr>
          </w:pPr>
          <w:r>
            <w:fldChar w:fldCharType="end"/>
          </w:r>
        </w:p>
      </w:sdtContent>
    </w:sdt>
    <w:p w14:paraId="1D98C8F2" w14:textId="77777777" w:rsidR="009D12AF" w:rsidRDefault="00000000">
      <w:pPr>
        <w:pStyle w:val="1"/>
      </w:pPr>
      <w:bookmarkStart w:id="24" w:name="_Toc20286"/>
      <w:r>
        <w:rPr>
          <w:rFonts w:hint="eastAsia"/>
        </w:rPr>
        <w:lastRenderedPageBreak/>
        <w:t>1</w:t>
      </w:r>
      <w:r>
        <w:t>概述</w:t>
      </w:r>
      <w:bookmarkEnd w:id="24"/>
    </w:p>
    <w:p w14:paraId="0961B9FE" w14:textId="77777777" w:rsidR="009D12AF" w:rsidRDefault="00000000">
      <w:pPr>
        <w:pStyle w:val="2"/>
      </w:pPr>
      <w:bookmarkStart w:id="25" w:name="_Toc6271"/>
      <w:r>
        <w:rPr>
          <w:rFonts w:hint="eastAsia"/>
        </w:rPr>
        <w:t>1.</w:t>
      </w:r>
      <w:r>
        <w:t>1</w:t>
      </w:r>
      <w:r>
        <w:t>评价任务由来</w:t>
      </w:r>
      <w:bookmarkEnd w:id="25"/>
    </w:p>
    <w:p w14:paraId="05290318" w14:textId="77777777" w:rsidR="009D12AF" w:rsidRDefault="00000000">
      <w:pPr>
        <w:ind w:firstLine="480"/>
      </w:pPr>
      <w:r>
        <w:t>黑龙江省大多数水库建于上世纪</w:t>
      </w:r>
      <w:r>
        <w:t>50</w:t>
      </w:r>
      <w:r>
        <w:t>～</w:t>
      </w:r>
      <w:r>
        <w:t>70</w:t>
      </w:r>
      <w:r>
        <w:t>年代，受当时经济、技术及历史等条件限制，普遍存在水库建设标准偏低、设计施工质量不高、排沙设施不足等问题。大部分水库从建成运行至今基本未开展过清淤工作，大都存在不同程度的淤积，降低了水库供水保障能力与兴利效益，削弱了水库防洪功能，损害了水生态环境，甚至导致水库报废。</w:t>
      </w:r>
      <w:r>
        <w:t>2024</w:t>
      </w:r>
      <w:r>
        <w:t>年</w:t>
      </w:r>
      <w:r>
        <w:t>1</w:t>
      </w:r>
      <w:r>
        <w:t>月</w:t>
      </w:r>
      <w:r>
        <w:t>23</w:t>
      </w:r>
      <w:r>
        <w:t>日，黑龙江省水利厅印发《黑龙江省水库库容安全管理专项行动工作方案》（黑河办字〔</w:t>
      </w:r>
      <w:r>
        <w:t>2024</w:t>
      </w:r>
      <w:r>
        <w:t>〕</w:t>
      </w:r>
      <w:r>
        <w:t>3</w:t>
      </w:r>
      <w:r>
        <w:t>号），提出省内当前一些水库库区存在泥沙淤积造成不同程度库容损失的现象，严重影响水库大坝安全运行和功能实现，必须加快水库库容安全管理工作。对于淤积问题突出的水库，要开展清淤可行性论证，科学编制清淤方案，经相关部门审批后实施。</w:t>
      </w:r>
    </w:p>
    <w:p w14:paraId="11685D94" w14:textId="77777777" w:rsidR="009D12AF" w:rsidRDefault="00000000">
      <w:pPr>
        <w:ind w:firstLine="480"/>
      </w:pPr>
      <w:r>
        <w:t>本项目清淤范围包括海林市长石水库、万丈水库、向阳水电站前池、新安晒水池，以及群力水库，是海林市水网的重要组成部分，承担着调蓄涝水、减少洪涝灾害、农业灌溉、生态保护等任务。其中：长石水库是</w:t>
      </w:r>
      <w:r>
        <w:t>1956</w:t>
      </w:r>
      <w:r>
        <w:t>年开始施工，</w:t>
      </w:r>
      <w:r>
        <w:t>1958</w:t>
      </w:r>
      <w:r>
        <w:t>年竣工的小</w:t>
      </w:r>
      <w:r>
        <w:rPr>
          <w:rFonts w:ascii="宋体" w:eastAsia="宋体" w:hAnsi="宋体" w:cs="宋体" w:hint="eastAsia"/>
        </w:rPr>
        <w:t>Ⅰ</w:t>
      </w:r>
      <w:r>
        <w:t>型水库。水库总库容</w:t>
      </w:r>
      <w:r>
        <w:t>138.16</w:t>
      </w:r>
      <w:r>
        <w:t>万</w:t>
      </w:r>
      <w:r>
        <w:t>m³</w:t>
      </w:r>
      <w:r>
        <w:t>，是一座以灌溉、防洪为主，兼顾养鱼、旅游等综合利用的小</w:t>
      </w:r>
      <w:r>
        <w:rPr>
          <w:rFonts w:ascii="宋体" w:eastAsia="宋体" w:hAnsi="宋体" w:cs="宋体" w:hint="eastAsia"/>
        </w:rPr>
        <w:t>Ⅰ</w:t>
      </w:r>
      <w:r>
        <w:t>型水库。水库设计灌溉水田面积</w:t>
      </w:r>
      <w:r>
        <w:t>0.20</w:t>
      </w:r>
      <w:r>
        <w:t>万亩，设计保证率为</w:t>
      </w:r>
      <w:r>
        <w:t>75%</w:t>
      </w:r>
      <w:r>
        <w:t>，由于未达设计高度，建设灌溉面积现有</w:t>
      </w:r>
      <w:r>
        <w:t>0.03</w:t>
      </w:r>
      <w:r>
        <w:t>万亩，又由于泥沙淤积，水库储水量降低，水面变小，实际灌溉面积</w:t>
      </w:r>
      <w:r>
        <w:t xml:space="preserve"> 0.025</w:t>
      </w:r>
      <w:r>
        <w:rPr>
          <w:rFonts w:hint="eastAsia"/>
        </w:rPr>
        <w:t xml:space="preserve"> </w:t>
      </w:r>
      <w:r>
        <w:t>万亩。万丈水库于</w:t>
      </w:r>
      <w:r>
        <w:t>1954</w:t>
      </w:r>
      <w:r>
        <w:t>年由当地群众自行修建，</w:t>
      </w:r>
      <w:r>
        <w:t>1956</w:t>
      </w:r>
      <w:r>
        <w:t>年完工，于当年汛期被洪水冲决口，又于</w:t>
      </w:r>
      <w:r>
        <w:t>1957</w:t>
      </w:r>
      <w:r>
        <w:t>年重新修建。经多次修复建设，现有总库容</w:t>
      </w:r>
      <w:r>
        <w:t xml:space="preserve"> 179.92 </w:t>
      </w:r>
      <w:r>
        <w:t>万</w:t>
      </w:r>
      <w:r>
        <w:t xml:space="preserve"> m</w:t>
      </w:r>
      <w:r>
        <w:rPr>
          <w:vertAlign w:val="superscript"/>
        </w:rPr>
        <w:t>3</w:t>
      </w:r>
      <w:r>
        <w:t>，最大坝高</w:t>
      </w:r>
      <w:r>
        <w:t xml:space="preserve"> 8.0m</w:t>
      </w:r>
      <w:r>
        <w:t>，上下游最大水头差</w:t>
      </w:r>
      <w:r>
        <w:t xml:space="preserve"> 6.5m</w:t>
      </w:r>
      <w:r>
        <w:t>，是一座主要功能为灌溉、防洪、养殖的小（</w:t>
      </w:r>
      <w:r>
        <w:t>Ⅰ</w:t>
      </w:r>
      <w:r>
        <w:t>）型水库。设计灌溉水田面积</w:t>
      </w:r>
      <w:r>
        <w:t xml:space="preserve"> 5000 </w:t>
      </w:r>
      <w:r>
        <w:t>亩，由于泥沙淤积，水面缩减，现有实际灌溉面积</w:t>
      </w:r>
      <w:r>
        <w:t xml:space="preserve"> 1600</w:t>
      </w:r>
      <w:r>
        <w:t>亩。向阳水电站于</w:t>
      </w:r>
      <w:r>
        <w:t xml:space="preserve"> 1976 </w:t>
      </w:r>
      <w:r>
        <w:t>年建厂，</w:t>
      </w:r>
      <w:r>
        <w:t xml:space="preserve">1979 </w:t>
      </w:r>
      <w:r>
        <w:t>年生产发电，装机</w:t>
      </w:r>
      <w:r>
        <w:t>1400KW</w:t>
      </w:r>
      <w:r>
        <w:t>，年发电量</w:t>
      </w:r>
      <w:r>
        <w:t xml:space="preserve"> 400 </w:t>
      </w:r>
      <w:r>
        <w:t>万度。电站前池兼作灌区晒水池用来储水用于发电及农田灌溉，灌区灌溉面积</w:t>
      </w:r>
      <w:r>
        <w:t xml:space="preserve"> 10000 </w:t>
      </w:r>
      <w:r>
        <w:t>亩，前池占地面积约</w:t>
      </w:r>
      <w:r>
        <w:t xml:space="preserve"> 13.5 </w:t>
      </w:r>
      <w:r>
        <w:t>公顷。电站运行至今从未进行过淤泥清理，现</w:t>
      </w:r>
      <w:r>
        <w:lastRenderedPageBreak/>
        <w:t>淤积严重，严重影响发电和灌溉。新安晒水池位于海林市旧街乡北侧，水面面积</w:t>
      </w:r>
      <w:r>
        <w:t xml:space="preserve"> 36 </w:t>
      </w:r>
      <w:r>
        <w:t>公顷，主要用于储水、晒水、农田灌溉和渔业养殖，灌溉面积</w:t>
      </w:r>
      <w:r>
        <w:t xml:space="preserve"> 3.3 </w:t>
      </w:r>
      <w:r>
        <w:t>万亩。上述几个水库除向阳水电站前池外，均与当地村民签署了水面承包合同用于渔业养殖，但由于泥沙淤积导致水量减少，水质变差，已不适合鱼类繁殖生息，近几年均未投放鱼苗，严重影响了当地居民收入水平。莲花湖是以辽阔壮美的水域风光、丰茂原始的森林生态为自然景观特色，以历史文化遗存和北方寒地民俗为人文景观特征，以风景资源保护、山水观光度假、康体运动、科普教育为主要功能的黑龙江省级风景名胜区和省级自然保护区，具有行蓄洪水、排水输沙、维护生态等多种功能，是海林市全域旅游的重要节点。目前由于大量泥沙淤积，严重影响了群力水库水质和河岸生态环境，对于整个莲花湖生态系统产生了一定的负面影响，严重阻碍了当地旅游发展，急需对该湖湾进行清淤及水生态治理。此外，群力水库紧邻群力村，一旦丰水期河水暴涨，将严重威胁群力村村民生命和财产安全，湖湾清淤迫在眉睫。</w:t>
      </w:r>
    </w:p>
    <w:p w14:paraId="6BDAB088" w14:textId="77777777" w:rsidR="009D12AF" w:rsidRDefault="00000000">
      <w:pPr>
        <w:ind w:firstLine="480"/>
      </w:pPr>
      <w:r>
        <w:t>基于上述背景，提出本项目。本项目的实施是深入贯彻习近平总书记治水思路和关于治水重要讲话指示精神，落实国家水网发展规划，进一步加强水库综合功能，维护水势稳定，保障防洪安全、耕地安全、生态安全和重要基础设施安全的重要途径。本项目的实施既可以提高水库的抗洪能力和灌溉能力，又可以改善水库附近的水环境，促进水生态的治理修复，是推进海林市城市发展、经济发展、绿色发展目标实现的重要途径。</w:t>
      </w:r>
    </w:p>
    <w:p w14:paraId="3FB35355" w14:textId="77777777" w:rsidR="009D12AF" w:rsidRDefault="00000000">
      <w:pPr>
        <w:ind w:firstLine="480"/>
        <w:rPr>
          <w:color w:val="FF0000"/>
          <w:highlight w:val="yellow"/>
        </w:rPr>
      </w:pPr>
      <w:r>
        <w:rPr>
          <w:rFonts w:hint="eastAsia"/>
        </w:rPr>
        <w:t>根据《国民经济行业分类（</w:t>
      </w:r>
      <w:r>
        <w:rPr>
          <w:rFonts w:hint="eastAsia"/>
        </w:rPr>
        <w:t>2017</w:t>
      </w:r>
      <w:r>
        <w:rPr>
          <w:rFonts w:hint="eastAsia"/>
        </w:rPr>
        <w:t>）》可知，本项目为“</w:t>
      </w:r>
      <w:r>
        <w:rPr>
          <w:rFonts w:hint="eastAsia"/>
        </w:rPr>
        <w:t>N7610</w:t>
      </w:r>
      <w:r>
        <w:rPr>
          <w:rFonts w:hint="eastAsia"/>
        </w:rPr>
        <w:t>防洪除涝设施管理”，</w:t>
      </w:r>
      <w:r>
        <w:t>根据《中华人民共和国环境保护法》、《中华人民共和国环境影响评价法》、中华人民共和国国务院第</w:t>
      </w:r>
      <w:r>
        <w:t xml:space="preserve"> 682 </w:t>
      </w:r>
      <w:r>
        <w:t>号令《建设项目环境保护管理条例》和生态环境部部令第</w:t>
      </w:r>
      <w:r>
        <w:t xml:space="preserve"> 16 </w:t>
      </w:r>
      <w:r>
        <w:t>号《建设项目环境影响评价分类管理名录（</w:t>
      </w:r>
      <w:r>
        <w:t xml:space="preserve">2021 </w:t>
      </w:r>
      <w:r>
        <w:t>年版）》等环境保护主管部门相关规定，本项目于</w:t>
      </w:r>
      <w:r>
        <w:t>“</w:t>
      </w:r>
      <w:r>
        <w:t>五十一</w:t>
      </w:r>
      <w:r>
        <w:t xml:space="preserve"> </w:t>
      </w:r>
      <w:r>
        <w:t>水利</w:t>
      </w:r>
      <w:r>
        <w:t>”</w:t>
      </w:r>
      <w:r>
        <w:t>类别中的</w:t>
      </w:r>
      <w:r>
        <w:t xml:space="preserve">“128 </w:t>
      </w:r>
      <w:r>
        <w:t>河湖整治（不含农村塘堰、水渠）</w:t>
      </w:r>
      <w:r>
        <w:t>”</w:t>
      </w:r>
      <w:r>
        <w:t>，</w:t>
      </w:r>
      <w:r>
        <w:rPr>
          <w:rFonts w:hint="eastAsia"/>
        </w:rPr>
        <w:t>其中群力水库和向阳水电站前池</w:t>
      </w:r>
      <w:r>
        <w:t>涉及环境敏感区，因此本项目需要编制环境影响报告书。受黑龙江省荣春科技环保有限公司的委托，黑龙江</w:t>
      </w:r>
      <w:r>
        <w:rPr>
          <w:rFonts w:hint="eastAsia"/>
        </w:rPr>
        <w:t>克巽检测技术</w:t>
      </w:r>
      <w:r>
        <w:t>有限公司承担了本项目的环境影响评价工作，评价单位经过现场踏查，收集有关资料，初步工程分析的基础上编制了本项目环境影响报告书。</w:t>
      </w:r>
    </w:p>
    <w:p w14:paraId="5D90BC85" w14:textId="77777777" w:rsidR="009D12AF" w:rsidRDefault="00000000">
      <w:pPr>
        <w:pStyle w:val="2"/>
      </w:pPr>
      <w:bookmarkStart w:id="26" w:name="_Toc5519"/>
      <w:r>
        <w:rPr>
          <w:rFonts w:hint="eastAsia"/>
        </w:rPr>
        <w:lastRenderedPageBreak/>
        <w:t>1.</w:t>
      </w:r>
      <w:r>
        <w:t>2</w:t>
      </w:r>
      <w:r>
        <w:t>项目特点</w:t>
      </w:r>
      <w:bookmarkEnd w:id="26"/>
    </w:p>
    <w:p w14:paraId="149D0F96" w14:textId="77777777" w:rsidR="009D12AF" w:rsidRDefault="00000000">
      <w:pPr>
        <w:ind w:firstLine="480"/>
      </w:pPr>
      <w:r>
        <w:t>本项目</w:t>
      </w:r>
      <w:r>
        <w:rPr>
          <w:rFonts w:hint="eastAsia"/>
        </w:rPr>
        <w:t>分为</w:t>
      </w:r>
      <w:r>
        <w:rPr>
          <w:bCs/>
        </w:rPr>
        <w:t>清淤工程、</w:t>
      </w:r>
      <w:r>
        <w:rPr>
          <w:rFonts w:hint="eastAsia"/>
        </w:rPr>
        <w:t>坝体修护</w:t>
      </w:r>
      <w:r>
        <w:rPr>
          <w:bCs/>
        </w:rPr>
        <w:t>工程及</w:t>
      </w:r>
      <w:r>
        <w:t>垃圾清运工程</w:t>
      </w:r>
      <w:r>
        <w:rPr>
          <w:rFonts w:hint="eastAsia"/>
        </w:rPr>
        <w:t>三大部分</w:t>
      </w:r>
      <w:r>
        <w:t>，工程影响以水环境、生态影响为主。</w:t>
      </w:r>
    </w:p>
    <w:p w14:paraId="686BBC17" w14:textId="77777777" w:rsidR="009D12AF" w:rsidRDefault="00000000">
      <w:pPr>
        <w:ind w:firstLine="480"/>
      </w:pPr>
      <w:r>
        <w:t>工程特点：本次清淤方案主要考虑满足水库扩容需求与水生态综合治理要求，确定清淤方式、清淤区域划分以及转存区范围与位置。群力水库平均清淤厚度为</w:t>
      </w:r>
      <w:r>
        <w:t xml:space="preserve"> 4.95m</w:t>
      </w:r>
      <w:r>
        <w:t>，清淤面积</w:t>
      </w:r>
      <w:r>
        <w:t>0.91km</w:t>
      </w:r>
      <w:r>
        <w:rPr>
          <w:vertAlign w:val="superscript"/>
        </w:rPr>
        <w:t>2</w:t>
      </w:r>
      <w:r>
        <w:t>，清淤量</w:t>
      </w:r>
      <w:r>
        <w:t xml:space="preserve"> 445 </w:t>
      </w:r>
      <w:r>
        <w:t>万</w:t>
      </w:r>
      <w:r>
        <w:t xml:space="preserve"> m</w:t>
      </w:r>
      <w:r>
        <w:rPr>
          <w:vertAlign w:val="superscript"/>
        </w:rPr>
        <w:t>3</w:t>
      </w:r>
      <w:r>
        <w:t>；长石水库平均清淤厚度为</w:t>
      </w:r>
      <w:r>
        <w:t xml:space="preserve"> 1.67m</w:t>
      </w:r>
      <w:r>
        <w:t>，清淤面积</w:t>
      </w:r>
      <w:r>
        <w:t xml:space="preserve"> 0.12km</w:t>
      </w:r>
      <w:r>
        <w:rPr>
          <w:vertAlign w:val="superscript"/>
        </w:rPr>
        <w:t>2</w:t>
      </w:r>
      <w:r>
        <w:t>，清淤量</w:t>
      </w:r>
      <w:r>
        <w:t xml:space="preserve"> 20 </w:t>
      </w:r>
      <w:r>
        <w:t>万</w:t>
      </w:r>
      <w:r>
        <w:t xml:space="preserve"> m</w:t>
      </w:r>
      <w:r>
        <w:rPr>
          <w:vertAlign w:val="superscript"/>
        </w:rPr>
        <w:t>3</w:t>
      </w:r>
      <w:r>
        <w:t>；向阳水电站前池平均清淤厚度为</w:t>
      </w:r>
      <w:r>
        <w:t xml:space="preserve"> 2.25m</w:t>
      </w:r>
      <w:r>
        <w:t>，清淤面积</w:t>
      </w:r>
      <w:r>
        <w:t xml:space="preserve"> 0.16km</w:t>
      </w:r>
      <w:r>
        <w:rPr>
          <w:vertAlign w:val="superscript"/>
        </w:rPr>
        <w:t>2</w:t>
      </w:r>
      <w:r>
        <w:t>，清淤量</w:t>
      </w:r>
      <w:r>
        <w:t xml:space="preserve">36 </w:t>
      </w:r>
      <w:r>
        <w:t>万</w:t>
      </w:r>
      <w:r>
        <w:t xml:space="preserve"> m</w:t>
      </w:r>
      <w:r>
        <w:rPr>
          <w:vertAlign w:val="superscript"/>
        </w:rPr>
        <w:t>3</w:t>
      </w:r>
      <w:r>
        <w:t>；新安晒水池平均清淤厚度为</w:t>
      </w:r>
      <w:r>
        <w:t xml:space="preserve"> 0.67m</w:t>
      </w:r>
      <w:r>
        <w:t>，清淤面积</w:t>
      </w:r>
      <w:r>
        <w:t xml:space="preserve"> 0.36km</w:t>
      </w:r>
      <w:r>
        <w:rPr>
          <w:vertAlign w:val="superscript"/>
        </w:rPr>
        <w:t>2</w:t>
      </w:r>
      <w:r>
        <w:t>，清淤量</w:t>
      </w:r>
      <w:r>
        <w:t xml:space="preserve"> 24 </w:t>
      </w:r>
      <w:r>
        <w:t>万</w:t>
      </w:r>
      <w:r>
        <w:t xml:space="preserve"> m</w:t>
      </w:r>
      <w:r>
        <w:rPr>
          <w:vertAlign w:val="superscript"/>
        </w:rPr>
        <w:t>3</w:t>
      </w:r>
      <w:r>
        <w:t>；万丈水库平均清淤厚度为</w:t>
      </w:r>
      <w:r>
        <w:t xml:space="preserve"> 2.5m</w:t>
      </w:r>
      <w:r>
        <w:t>，清淤面积</w:t>
      </w:r>
      <w:r>
        <w:t xml:space="preserve"> 0.3km</w:t>
      </w:r>
      <w:r>
        <w:rPr>
          <w:vertAlign w:val="superscript"/>
        </w:rPr>
        <w:t>2</w:t>
      </w:r>
      <w:r>
        <w:t>，清淤量</w:t>
      </w:r>
      <w:r>
        <w:t xml:space="preserve"> 75 </w:t>
      </w:r>
      <w:r>
        <w:t>万</w:t>
      </w:r>
      <w:r>
        <w:t xml:space="preserve"> m</w:t>
      </w:r>
      <w:r>
        <w:rPr>
          <w:vertAlign w:val="superscript"/>
        </w:rPr>
        <w:t>3</w:t>
      </w:r>
      <w:r>
        <w:t>，总计清淤量</w:t>
      </w:r>
      <w:r>
        <w:t xml:space="preserve"> 600 </w:t>
      </w:r>
      <w:r>
        <w:t>万</w:t>
      </w:r>
      <w:r>
        <w:t xml:space="preserve"> m</w:t>
      </w:r>
      <w:r>
        <w:rPr>
          <w:vertAlign w:val="superscript"/>
        </w:rPr>
        <w:t>3</w:t>
      </w:r>
      <w:r>
        <w:t>。清淤采用带水环保绞吸式的施工工艺，环保绞吸式施工过程中对清淤区外水质基本无影响，且施工简单，效率高</w:t>
      </w:r>
      <w:r>
        <w:rPr>
          <w:rFonts w:hint="eastAsia"/>
        </w:rPr>
        <w:t>。本次生态修复方案</w:t>
      </w:r>
      <w:r>
        <w:rPr>
          <w:rFonts w:hint="eastAsia"/>
        </w:rPr>
        <w:t>1.</w:t>
      </w:r>
      <w:r>
        <w:rPr>
          <w:rFonts w:hint="eastAsia"/>
        </w:rPr>
        <w:t>本项目计划对向阳水电站前池、新安晒水池坝体进行维修，维修坝体长度</w:t>
      </w:r>
      <w:r>
        <w:rPr>
          <w:rFonts w:hint="eastAsia"/>
        </w:rPr>
        <w:t xml:space="preserve"> 3000 </w:t>
      </w:r>
      <w:r>
        <w:rPr>
          <w:rFonts w:hint="eastAsia"/>
        </w:rPr>
        <w:t>米，其中向阳水电站前池</w:t>
      </w:r>
      <w:r>
        <w:rPr>
          <w:rFonts w:hint="eastAsia"/>
        </w:rPr>
        <w:t xml:space="preserve"> 1000 </w:t>
      </w:r>
      <w:r>
        <w:rPr>
          <w:rFonts w:hint="eastAsia"/>
        </w:rPr>
        <w:t>米，新安晒水池</w:t>
      </w:r>
      <w:r>
        <w:rPr>
          <w:rFonts w:hint="eastAsia"/>
        </w:rPr>
        <w:t xml:space="preserve">2000 </w:t>
      </w:r>
      <w:r>
        <w:rPr>
          <w:rFonts w:hint="eastAsia"/>
        </w:rPr>
        <w:t>米。坝坡长平均</w:t>
      </w:r>
      <w:r>
        <w:rPr>
          <w:rFonts w:hint="eastAsia"/>
        </w:rPr>
        <w:t xml:space="preserve"> 7.5 </w:t>
      </w:r>
      <w:r>
        <w:rPr>
          <w:rFonts w:hint="eastAsia"/>
        </w:rPr>
        <w:t>米，设计坝体边坡整形后采用土工膜加砼预制板衬砌，下铺土工膜防渗。水泥板宽</w:t>
      </w:r>
      <w:r>
        <w:rPr>
          <w:rFonts w:hint="eastAsia"/>
        </w:rPr>
        <w:t xml:space="preserve"> 0.6m</w:t>
      </w:r>
      <w:r>
        <w:rPr>
          <w:rFonts w:hint="eastAsia"/>
        </w:rPr>
        <w:t>，长</w:t>
      </w:r>
      <w:r>
        <w:rPr>
          <w:rFonts w:hint="eastAsia"/>
        </w:rPr>
        <w:t xml:space="preserve"> 0.9m</w:t>
      </w:r>
      <w:r>
        <w:rPr>
          <w:rFonts w:hint="eastAsia"/>
        </w:rPr>
        <w:t>，厚</w:t>
      </w:r>
      <w:r>
        <w:rPr>
          <w:rFonts w:hint="eastAsia"/>
        </w:rPr>
        <w:t>0.15m</w:t>
      </w:r>
      <w:r>
        <w:rPr>
          <w:rFonts w:hint="eastAsia"/>
        </w:rPr>
        <w:t>，向上维修长度</w:t>
      </w:r>
      <w:r>
        <w:rPr>
          <w:rFonts w:hint="eastAsia"/>
        </w:rPr>
        <w:t xml:space="preserve"> 3 </w:t>
      </w:r>
      <w:r>
        <w:rPr>
          <w:rFonts w:hint="eastAsia"/>
        </w:rPr>
        <w:t>米，单侧需要维修分别为</w:t>
      </w:r>
      <w:r>
        <w:rPr>
          <w:rFonts w:hint="eastAsia"/>
        </w:rPr>
        <w:t>1000</w:t>
      </w:r>
      <w:r>
        <w:rPr>
          <w:rFonts w:hint="eastAsia"/>
        </w:rPr>
        <w:t>米，</w:t>
      </w:r>
      <w:r>
        <w:rPr>
          <w:rFonts w:hint="eastAsia"/>
        </w:rPr>
        <w:t>2000</w:t>
      </w:r>
      <w:r>
        <w:rPr>
          <w:rFonts w:hint="eastAsia"/>
        </w:rPr>
        <w:t>米；</w:t>
      </w:r>
      <w:r>
        <w:rPr>
          <w:rFonts w:hint="eastAsia"/>
        </w:rPr>
        <w:t>2.</w:t>
      </w:r>
      <w:r>
        <w:rPr>
          <w:rFonts w:hint="eastAsia"/>
        </w:rPr>
        <w:t>在水库上游入库河口利用地形优势建设前置库，利用前置库的蓄水功能及水生植物的吸附过滤作用，将入库水体中污染物经过滤拦截后再进入水库；</w:t>
      </w:r>
      <w:r>
        <w:rPr>
          <w:rFonts w:hint="eastAsia"/>
        </w:rPr>
        <w:t>3</w:t>
      </w:r>
      <w:r>
        <w:rPr>
          <w:rFonts w:hint="eastAsia"/>
        </w:rPr>
        <w:t>为确保入库水质实现实时监控，在水库入库河道附近建设水质自动监测浮标</w:t>
      </w:r>
      <w:r>
        <w:rPr>
          <w:rFonts w:hint="eastAsia"/>
        </w:rPr>
        <w:t>1</w:t>
      </w:r>
      <w:r>
        <w:rPr>
          <w:rFonts w:hint="eastAsia"/>
        </w:rPr>
        <w:t>个；</w:t>
      </w:r>
      <w:r>
        <w:rPr>
          <w:rFonts w:hint="eastAsia"/>
        </w:rPr>
        <w:t>4.</w:t>
      </w:r>
      <w:r>
        <w:rPr>
          <w:rFonts w:hint="eastAsia"/>
        </w:rPr>
        <w:t>本项目计划在清淤水库周围外延</w:t>
      </w:r>
      <w:r>
        <w:rPr>
          <w:rFonts w:hint="eastAsia"/>
        </w:rPr>
        <w:t>50m</w:t>
      </w:r>
      <w:r>
        <w:rPr>
          <w:rFonts w:hint="eastAsia"/>
        </w:rPr>
        <w:t>范围，</w:t>
      </w:r>
      <w:r>
        <w:t>清理碎石、杂草、白色垃圾等</w:t>
      </w:r>
      <w:r>
        <w:rPr>
          <w:rFonts w:hint="eastAsia"/>
        </w:rPr>
        <w:t>。</w:t>
      </w:r>
    </w:p>
    <w:p w14:paraId="081BACF4" w14:textId="77777777" w:rsidR="009D12AF" w:rsidRDefault="00000000">
      <w:pPr>
        <w:widowControl/>
        <w:ind w:firstLine="480"/>
        <w:jc w:val="left"/>
        <w:rPr>
          <w:rFonts w:eastAsia="宋体"/>
        </w:rPr>
      </w:pPr>
      <w:r>
        <w:t>环境特点：</w:t>
      </w:r>
      <w:r>
        <w:rPr>
          <w:rFonts w:ascii="Times New Roman" w:eastAsia="宋体" w:hAnsi="Times New Roman" w:cs="Times New Roman" w:hint="eastAsia"/>
        </w:rPr>
        <w:t>经判断本项目群力水库环境影响评价范围内陆生生态涉及生态敏感区</w:t>
      </w:r>
      <w:r>
        <w:rPr>
          <w:rFonts w:ascii="Times New Roman" w:eastAsia="宋体" w:hAnsi="Times New Roman" w:cs="Times New Roman" w:hint="eastAsia"/>
        </w:rPr>
        <w:t>8</w:t>
      </w:r>
      <w:r>
        <w:rPr>
          <w:rFonts w:ascii="Times New Roman" w:eastAsia="宋体" w:hAnsi="Times New Roman" w:cs="Times New Roman"/>
        </w:rPr>
        <w:t>处，分别为：</w:t>
      </w:r>
      <w:r>
        <w:rPr>
          <w:rFonts w:ascii="Times New Roman" w:eastAsia="宋体" w:hAnsi="Times New Roman" w:cs="Times New Roman" w:hint="eastAsia"/>
          <w:kern w:val="0"/>
          <w:lang w:bidi="ar"/>
        </w:rPr>
        <w:t>黑龙江海林莲花湖省级自然保护区、海林莲花湖风景名胜区、黑龙江省莲花湖地质公园、</w:t>
      </w:r>
      <w:r>
        <w:rPr>
          <w:rFonts w:ascii="Times New Roman" w:eastAsia="宋体" w:hAnsi="Times New Roman" w:cs="Times New Roman"/>
          <w:kern w:val="0"/>
          <w:lang w:bidi="ar"/>
        </w:rPr>
        <w:t>威虎山国家森林公园</w:t>
      </w:r>
      <w:r>
        <w:rPr>
          <w:rFonts w:ascii="Times New Roman" w:eastAsia="宋体" w:hAnsi="Times New Roman" w:cs="Times New Roman" w:hint="eastAsia"/>
          <w:kern w:val="0"/>
          <w:lang w:bidi="ar"/>
        </w:rPr>
        <w:t>、</w:t>
      </w:r>
      <w:r>
        <w:rPr>
          <w:rFonts w:ascii="Times New Roman" w:eastAsia="宋体" w:hAnsi="Times New Roman" w:cs="Times New Roman"/>
          <w:kern w:val="0"/>
          <w:lang w:bidi="ar"/>
        </w:rPr>
        <w:t>生态保护红线</w:t>
      </w:r>
      <w:r>
        <w:rPr>
          <w:rFonts w:ascii="Times New Roman" w:eastAsia="宋体" w:hAnsi="Times New Roman" w:cs="Times New Roman" w:hint="eastAsia"/>
          <w:kern w:val="0"/>
          <w:lang w:bidi="ar"/>
        </w:rPr>
        <w:t>、</w:t>
      </w:r>
      <w:r>
        <w:rPr>
          <w:rFonts w:ascii="Times New Roman" w:eastAsia="宋体" w:hAnsi="Times New Roman" w:cs="Times New Roman"/>
        </w:rPr>
        <w:t>永久基本农田、生态公益林、黑土地</w:t>
      </w:r>
      <w:r>
        <w:rPr>
          <w:rFonts w:ascii="Times New Roman" w:eastAsia="宋体" w:hAnsi="Times New Roman" w:cs="Times New Roman" w:hint="eastAsia"/>
        </w:rPr>
        <w:t>。向阳水电站前池影响评价范围内水生生态涉及</w:t>
      </w:r>
      <w:r>
        <w:rPr>
          <w:rFonts w:hint="eastAsia"/>
          <w:smallCaps/>
        </w:rPr>
        <w:t>海林市二水厂（改扩建）饮用水水源二级保护区。</w:t>
      </w:r>
    </w:p>
    <w:p w14:paraId="28C6C404" w14:textId="77777777" w:rsidR="009D12AF" w:rsidRDefault="00000000">
      <w:pPr>
        <w:ind w:firstLine="480"/>
      </w:pPr>
      <w:r>
        <w:t>本项目</w:t>
      </w:r>
      <w:r>
        <w:rPr>
          <w:rFonts w:hint="eastAsia"/>
        </w:rPr>
        <w:t>通过进行清淤工程</w:t>
      </w:r>
      <w:r>
        <w:t>，使当地的农业生产条件得到明显改善，农业效益将大大提高，生态环境将得到改善，水土流失基本得到控制，有效地节约水资源，</w:t>
      </w:r>
      <w:r>
        <w:lastRenderedPageBreak/>
        <w:t>提高灌溉用水效率，维护了生态环境，保护了生态系统，同时项目的建设将对周边村农业生产起到良好的示范带动作用，将极大地调动农民群众的生产积极性。</w:t>
      </w:r>
    </w:p>
    <w:p w14:paraId="6C5A89D8" w14:textId="77777777" w:rsidR="009D12AF" w:rsidRDefault="00000000">
      <w:pPr>
        <w:pStyle w:val="2"/>
      </w:pPr>
      <w:bookmarkStart w:id="27" w:name="_Toc29532"/>
      <w:r>
        <w:rPr>
          <w:rFonts w:hint="eastAsia"/>
        </w:rPr>
        <w:t>1.</w:t>
      </w:r>
      <w:r>
        <w:t>3</w:t>
      </w:r>
      <w:r>
        <w:t>项目分析判定相关情况</w:t>
      </w:r>
      <w:bookmarkEnd w:id="27"/>
    </w:p>
    <w:p w14:paraId="68670CBE" w14:textId="77777777" w:rsidR="009D12AF" w:rsidRDefault="00000000">
      <w:pPr>
        <w:pStyle w:val="3"/>
        <w:rPr>
          <w:rFonts w:asciiTheme="majorEastAsia" w:eastAsiaTheme="majorEastAsia" w:hAnsiTheme="majorEastAsia" w:cstheme="majorEastAsia" w:hint="eastAsia"/>
          <w:bCs/>
          <w:szCs w:val="32"/>
        </w:rPr>
      </w:pPr>
      <w:bookmarkStart w:id="28" w:name="_Toc31918"/>
      <w:r>
        <w:rPr>
          <w:rFonts w:hint="eastAsia"/>
        </w:rPr>
        <w:t>1.3.1</w:t>
      </w:r>
      <w:r>
        <w:rPr>
          <w:rFonts w:asciiTheme="majorEastAsia" w:eastAsiaTheme="majorEastAsia" w:hAnsiTheme="majorEastAsia" w:cstheme="majorEastAsia" w:hint="eastAsia"/>
          <w:bCs/>
          <w:szCs w:val="32"/>
        </w:rPr>
        <w:t>生态环境分区管控符合性分析</w:t>
      </w:r>
      <w:bookmarkEnd w:id="28"/>
    </w:p>
    <w:p w14:paraId="5460B6CE" w14:textId="77777777" w:rsidR="009D12AF" w:rsidRDefault="00000000">
      <w:pPr>
        <w:ind w:firstLine="480"/>
      </w:pPr>
      <w:r>
        <w:t>本项目位于黑龙江省</w:t>
      </w:r>
      <w:r>
        <w:rPr>
          <w:rFonts w:hint="eastAsia"/>
        </w:rPr>
        <w:t>牡丹江市海林市</w:t>
      </w:r>
      <w:r>
        <w:t>内，根据《黑龙江省人民政府关于实施</w:t>
      </w:r>
      <w:r>
        <w:t>“</w:t>
      </w:r>
      <w:r>
        <w:t>三线一单</w:t>
      </w:r>
      <w:r>
        <w:t>”</w:t>
      </w:r>
      <w:r>
        <w:t>生态环境分区管控的意见》</w:t>
      </w:r>
      <w:r>
        <w:rPr>
          <w:rFonts w:hint="eastAsia"/>
        </w:rPr>
        <w:t>、</w:t>
      </w:r>
      <w:r>
        <w:t>《</w:t>
      </w:r>
      <w:r>
        <w:rPr>
          <w:rFonts w:hint="eastAsia"/>
        </w:rPr>
        <w:t>牡丹江</w:t>
      </w:r>
      <w:r>
        <w:t>市人民政府关于实施</w:t>
      </w:r>
      <w:r>
        <w:t>“</w:t>
      </w:r>
      <w:r>
        <w:t>三线一单</w:t>
      </w:r>
      <w:r>
        <w:t>”</w:t>
      </w:r>
      <w:r>
        <w:t>生态环境分区管控的意见》</w:t>
      </w:r>
      <w:r>
        <w:rPr>
          <w:rFonts w:hint="eastAsia"/>
        </w:rPr>
        <w:t>及《牡丹江市生态环境准入清单（</w:t>
      </w:r>
      <w:r>
        <w:rPr>
          <w:rFonts w:hint="eastAsia"/>
        </w:rPr>
        <w:t>2024</w:t>
      </w:r>
      <w:r>
        <w:rPr>
          <w:rFonts w:hint="eastAsia"/>
        </w:rPr>
        <w:t>年版）》可知</w:t>
      </w:r>
      <w:r>
        <w:t>。本项目与</w:t>
      </w:r>
      <w:r>
        <w:t>“</w:t>
      </w:r>
      <w:r>
        <w:t>三线一单</w:t>
      </w:r>
      <w:r>
        <w:t>”</w:t>
      </w:r>
      <w:r>
        <w:t>的符合性如下。</w:t>
      </w:r>
    </w:p>
    <w:p w14:paraId="1D51D840" w14:textId="77777777" w:rsidR="009D12AF" w:rsidRDefault="00000000">
      <w:pPr>
        <w:ind w:firstLine="480"/>
      </w:pPr>
      <w:r>
        <w:rPr>
          <w:rFonts w:hint="eastAsia"/>
        </w:rPr>
        <w:t>（</w:t>
      </w:r>
      <w:r>
        <w:rPr>
          <w:rFonts w:hint="eastAsia"/>
        </w:rPr>
        <w:t>1</w:t>
      </w:r>
      <w:r>
        <w:rPr>
          <w:rFonts w:hint="eastAsia"/>
        </w:rPr>
        <w:t>）</w:t>
      </w:r>
      <w:r>
        <w:t>生态保护红线</w:t>
      </w:r>
    </w:p>
    <w:p w14:paraId="67E1D9CD"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1）</w:t>
      </w:r>
      <w:r>
        <w:rPr>
          <w:rFonts w:ascii="宋体" w:hAnsi="宋体" w:cs="宋体"/>
          <w:kern w:val="0"/>
        </w:rPr>
        <w:t>牡丹江市</w:t>
      </w:r>
      <w:r>
        <w:rPr>
          <w:rFonts w:ascii="宋体" w:hAnsi="宋体" w:cs="宋体" w:hint="eastAsia"/>
          <w:kern w:val="0"/>
        </w:rPr>
        <w:t>生态保护红线区域总体要求：</w:t>
      </w:r>
    </w:p>
    <w:p w14:paraId="5E6D8369"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①</w:t>
      </w:r>
      <w:r>
        <w:rPr>
          <w:rFonts w:ascii="宋体" w:hAnsi="宋体" w:cs="宋体"/>
          <w:kern w:val="0"/>
        </w:rPr>
        <w:t>原则上按禁止开发区域要求进行管理，严禁不符合主体功能定位的各类开发活动，严禁任意改变用途</w:t>
      </w:r>
      <w:r>
        <w:rPr>
          <w:rFonts w:ascii="宋体" w:hAnsi="宋体" w:cs="宋体" w:hint="eastAsia"/>
          <w:kern w:val="0"/>
        </w:rPr>
        <w:t>；</w:t>
      </w:r>
    </w:p>
    <w:p w14:paraId="2A57293D"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②</w:t>
      </w:r>
      <w:r>
        <w:rPr>
          <w:rFonts w:ascii="宋体" w:hAnsi="宋体" w:cs="宋体"/>
          <w:kern w:val="0"/>
        </w:rPr>
        <w:t>在符合现行法律法规前提下，除国家重大战略项目外，仅允许对生态功能不造成破坏的有限人为活动，主要包括零星的原住民在不扩大现有建设用地和耕地规模前提下，修缮生产生活设施,保留生活必需的少量种植、放牧、捕捞、养殖；因国家重大能源资源安全需要开展的战略性能源资源勘查，公益性自然资源调在和地质勘查；自然资源、生态环境监测和执法及涉水违法事件的在处等，灾害防治和应急抢险活动:经依法批准进行的非破坏性科学研究观测、标本采集；经依法批准的考古调在发掘和文物保护活动；不破坏生态功能的适度参观旅游和相关的必要公共设施建设；必须且无法避让、符合县级以上国土空间规划的线性基础设施建设、防洪和供水设施建设与运行维护；重要生态修复工程</w:t>
      </w:r>
      <w:r>
        <w:rPr>
          <w:rFonts w:ascii="宋体" w:hAnsi="宋体" w:cs="宋体" w:hint="eastAsia"/>
          <w:kern w:val="0"/>
        </w:rPr>
        <w:t>；</w:t>
      </w:r>
    </w:p>
    <w:p w14:paraId="6CD5D7AF"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③</w:t>
      </w:r>
      <w:r>
        <w:rPr>
          <w:rFonts w:ascii="宋体" w:hAnsi="宋体" w:cs="宋体"/>
          <w:kern w:val="0"/>
        </w:rPr>
        <w:t>鼓励根据生态保护需要和规划，结合土地综合整治、工矿废弃地复垦利用、矿山环境恢复治理等各类工程实施，因地制宜促进生态空间内建设用地逐步有序退出；区内已有的农业用地，建立逐步退出机制，恢复生态用途。</w:t>
      </w:r>
    </w:p>
    <w:p w14:paraId="62C03C33"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2）</w:t>
      </w:r>
      <w:r>
        <w:rPr>
          <w:rFonts w:ascii="宋体" w:hAnsi="宋体" w:cs="宋体"/>
          <w:kern w:val="0"/>
        </w:rPr>
        <w:t>水源涵养生态保护红线区</w:t>
      </w:r>
      <w:r>
        <w:rPr>
          <w:rFonts w:ascii="宋体" w:hAnsi="宋体" w:cs="宋体" w:hint="eastAsia"/>
          <w:kern w:val="0"/>
        </w:rPr>
        <w:t>执行下列准入要求</w:t>
      </w:r>
    </w:p>
    <w:p w14:paraId="03D25276" w14:textId="77777777" w:rsidR="009D12AF" w:rsidRDefault="00000000">
      <w:pPr>
        <w:adjustRightInd w:val="0"/>
        <w:snapToGrid w:val="0"/>
        <w:ind w:firstLine="480"/>
        <w:rPr>
          <w:rFonts w:ascii="宋体" w:hAnsi="宋体" w:cs="宋体" w:hint="eastAsia"/>
          <w:kern w:val="0"/>
        </w:rPr>
      </w:pPr>
      <w:r>
        <w:rPr>
          <w:rFonts w:ascii="宋体" w:hAnsi="宋体" w:cs="宋体"/>
          <w:kern w:val="0"/>
        </w:rPr>
        <w:t>禁止开发建设活动要求：</w:t>
      </w:r>
    </w:p>
    <w:p w14:paraId="36B23BDB"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①</w:t>
      </w:r>
      <w:r>
        <w:rPr>
          <w:rFonts w:ascii="宋体" w:hAnsi="宋体" w:cs="宋体"/>
          <w:kern w:val="0"/>
        </w:rPr>
        <w:t>对重要水源涵养区建立生态功能保护区，加强对水源涵养区的保护与管理，</w:t>
      </w:r>
      <w:r>
        <w:rPr>
          <w:rFonts w:ascii="宋体" w:hAnsi="宋体" w:cs="宋体"/>
          <w:kern w:val="0"/>
        </w:rPr>
        <w:lastRenderedPageBreak/>
        <w:t>严格保护具有重要水源涵养功能的自然植被，限制或禁止各种损害生态系统水源涵养功能的经济社会活动和生产方式，如无序采矿、毁林开荒、湿地和草地开垦、过度放牧、道路建设等</w:t>
      </w:r>
      <w:r>
        <w:rPr>
          <w:rFonts w:ascii="宋体" w:hAnsi="宋体" w:cs="宋体" w:hint="eastAsia"/>
          <w:kern w:val="0"/>
        </w:rPr>
        <w:t>；</w:t>
      </w:r>
    </w:p>
    <w:p w14:paraId="6EAF02DE"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②</w:t>
      </w:r>
      <w:r>
        <w:rPr>
          <w:rFonts w:ascii="宋体" w:hAnsi="宋体" w:cs="宋体"/>
          <w:kern w:val="0"/>
        </w:rPr>
        <w:t>禁止导致水体污染的产业发展，开展生态清洁小流域的建设</w:t>
      </w:r>
      <w:r>
        <w:rPr>
          <w:rFonts w:ascii="宋体" w:hAnsi="宋体" w:cs="宋体" w:hint="eastAsia"/>
          <w:kern w:val="0"/>
        </w:rPr>
        <w:t>；</w:t>
      </w:r>
    </w:p>
    <w:p w14:paraId="4B0DF556"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③</w:t>
      </w:r>
      <w:r>
        <w:rPr>
          <w:rFonts w:ascii="宋体" w:hAnsi="宋体" w:cs="宋体"/>
          <w:kern w:val="0"/>
        </w:rPr>
        <w:t>严格监管矿产、水资源开发，严肃查处毁林、毁草、破坏湿地等行为。</w:t>
      </w:r>
    </w:p>
    <w:p w14:paraId="7189B34A"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3）</w:t>
      </w:r>
      <w:r>
        <w:rPr>
          <w:rFonts w:ascii="宋体" w:hAnsi="宋体" w:cs="宋体"/>
          <w:kern w:val="0"/>
        </w:rPr>
        <w:t>生物多样性维护生态保护红线区</w:t>
      </w:r>
    </w:p>
    <w:p w14:paraId="4AB00FEC" w14:textId="77777777" w:rsidR="009D12AF" w:rsidRDefault="00000000">
      <w:pPr>
        <w:adjustRightInd w:val="0"/>
        <w:snapToGrid w:val="0"/>
        <w:ind w:firstLine="480"/>
        <w:rPr>
          <w:rFonts w:ascii="宋体" w:hAnsi="宋体" w:cs="宋体" w:hint="eastAsia"/>
          <w:kern w:val="0"/>
        </w:rPr>
      </w:pPr>
      <w:r>
        <w:rPr>
          <w:rFonts w:ascii="宋体" w:hAnsi="宋体" w:cs="宋体"/>
          <w:kern w:val="0"/>
        </w:rPr>
        <w:t>禁止开发建设活动要求：</w:t>
      </w:r>
    </w:p>
    <w:p w14:paraId="5F5FBC41"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①</w:t>
      </w:r>
      <w:r>
        <w:rPr>
          <w:rFonts w:ascii="宋体" w:hAnsi="宋体" w:cs="宋体"/>
          <w:kern w:val="0"/>
        </w:rPr>
        <w:t>禁止对野生动植物进行滥捕滥采，保持并恢复野生动植物物种和种群的平衡，实现野生动植物资源的良性循环和永续利用；</w:t>
      </w:r>
    </w:p>
    <w:p w14:paraId="76C5FC8D"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②</w:t>
      </w:r>
      <w:r>
        <w:rPr>
          <w:rFonts w:ascii="宋体" w:hAnsi="宋体" w:cs="宋体"/>
          <w:kern w:val="0"/>
        </w:rPr>
        <w:t>保护自然生态系统与重要物种栖息地，限制或禁止各种损害栖息地的经济社会活动和生产方式，如无序采矿、毁林开荒、湿地和草地开垦、道路建设等，防止生态建设导致栖息环境的改变；</w:t>
      </w:r>
    </w:p>
    <w:p w14:paraId="24769F7E"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4）饮用水源保护区执行下列准入要求</w:t>
      </w:r>
    </w:p>
    <w:p w14:paraId="75D15865" w14:textId="77777777" w:rsidR="009D12AF" w:rsidRDefault="00000000">
      <w:pPr>
        <w:adjustRightInd w:val="0"/>
        <w:snapToGrid w:val="0"/>
        <w:ind w:firstLine="480"/>
        <w:rPr>
          <w:rFonts w:ascii="宋体" w:hAnsi="宋体" w:cs="宋体" w:hint="eastAsia"/>
          <w:kern w:val="0"/>
        </w:rPr>
      </w:pPr>
      <w:r>
        <w:rPr>
          <w:rFonts w:ascii="宋体" w:hAnsi="宋体" w:cs="宋体"/>
          <w:kern w:val="0"/>
        </w:rPr>
        <w:t>饮用水地表水源各级保护区及准保护区内必须遵守下列规定:</w:t>
      </w:r>
    </w:p>
    <w:p w14:paraId="7B3920A9"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①</w:t>
      </w:r>
      <w:r>
        <w:rPr>
          <w:rFonts w:ascii="宋体" w:hAnsi="宋体" w:cs="宋体"/>
          <w:kern w:val="0"/>
        </w:rPr>
        <w:t>禁止一切破坏水环境生态平衡的活动以及破坏水源林，护岸林、与水源保护相关植被的活动；</w:t>
      </w:r>
    </w:p>
    <w:p w14:paraId="59A6EAE7"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②</w:t>
      </w:r>
      <w:r>
        <w:rPr>
          <w:rFonts w:ascii="宋体" w:hAnsi="宋体" w:cs="宋体"/>
          <w:kern w:val="0"/>
        </w:rPr>
        <w:t>禁止向水域倾倒工业废渣，城市垃圾、粪便及其它废弃物；</w:t>
      </w:r>
    </w:p>
    <w:p w14:paraId="738E9554"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③</w:t>
      </w:r>
      <w:r>
        <w:rPr>
          <w:rFonts w:ascii="宋体" w:hAnsi="宋体" w:cs="宋体"/>
          <w:kern w:val="0"/>
        </w:rPr>
        <w:t>运输有毒有害物质，油类，粪便的船舶和车辆一般不准进入保护区，必须进入的应事先申请并经有关部门批准，登记并设置防渗、防溢，防漏设施；</w:t>
      </w:r>
    </w:p>
    <w:p w14:paraId="4003A98F"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④</w:t>
      </w:r>
      <w:r>
        <w:rPr>
          <w:rFonts w:ascii="宋体" w:hAnsi="宋体" w:cs="宋体"/>
          <w:kern w:val="0"/>
        </w:rPr>
        <w:t>禁止使用剧毒和高残留农药，不得滥用化肥，不得使用炸药，毒品捕杀鱼类；</w:t>
      </w:r>
    </w:p>
    <w:p w14:paraId="678C981B"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⑤</w:t>
      </w:r>
      <w:r>
        <w:rPr>
          <w:rFonts w:ascii="宋体" w:hAnsi="宋体" w:cs="宋体"/>
          <w:kern w:val="0"/>
        </w:rPr>
        <w:t>禁止建设畜禽养殖场，养殖小区；</w:t>
      </w:r>
    </w:p>
    <w:p w14:paraId="17B436C0"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⑥</w:t>
      </w:r>
      <w:r>
        <w:rPr>
          <w:rFonts w:ascii="宋体" w:hAnsi="宋体" w:cs="宋体"/>
          <w:kern w:val="0"/>
        </w:rPr>
        <w:t>禁止设置排污口。</w:t>
      </w:r>
    </w:p>
    <w:p w14:paraId="77A52FA6" w14:textId="77777777" w:rsidR="009D12AF" w:rsidRDefault="00000000">
      <w:pPr>
        <w:adjustRightInd w:val="0"/>
        <w:snapToGrid w:val="0"/>
        <w:ind w:firstLine="480"/>
        <w:rPr>
          <w:rFonts w:ascii="宋体" w:hAnsi="宋体" w:cs="宋体" w:hint="eastAsia"/>
          <w:kern w:val="0"/>
        </w:rPr>
      </w:pPr>
      <w:r>
        <w:rPr>
          <w:rFonts w:ascii="宋体" w:hAnsi="宋体" w:cs="宋体"/>
          <w:kern w:val="0"/>
        </w:rPr>
        <w:t>饮用水地表水源各级保护区及准保护区内必须分别遵守下列规定:</w:t>
      </w:r>
    </w:p>
    <w:p w14:paraId="1721F396"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①</w:t>
      </w:r>
      <w:r>
        <w:rPr>
          <w:rFonts w:ascii="宋体" w:hAnsi="宋体" w:cs="宋体"/>
          <w:kern w:val="0"/>
        </w:rPr>
        <w:t>一级保护区内：禁止新建、扩建与供水设施和保护水源无关的建设项目，已建成的与供水设施和保护水源无关的建设项目，由县级以上人民政府责令拆除或者关闭；禁止向水域排放污水，已设置的排污口必须拆除；不得设置与供水需要无关的码头，禁止停靠船舶；禁止堆置和存放工业废渣，城市垃圾，粪便和其他废弃物；禁止设置油库；禁止从事种植，放养畜禽和网箱养殖活动；禁止可能污染水源的旅游活动和其他活动</w:t>
      </w:r>
    </w:p>
    <w:p w14:paraId="0C8A73C6"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lastRenderedPageBreak/>
        <w:t>②</w:t>
      </w:r>
      <w:r>
        <w:rPr>
          <w:rFonts w:ascii="宋体" w:hAnsi="宋体" w:cs="宋体"/>
          <w:kern w:val="0"/>
        </w:rPr>
        <w:t>二级保护区内：禁止新建,改建、扩建排放污染物的建设项目，已建成的排放污染物的建设项目，由县级以上人民政府责令拆除或者关闭；原有排污口依法拆除或者关闭；禁止设立装卸垃圾、粪便，油类和有毒物品的码头</w:t>
      </w:r>
    </w:p>
    <w:p w14:paraId="368821D6"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③</w:t>
      </w:r>
      <w:r>
        <w:rPr>
          <w:rFonts w:ascii="宋体" w:hAnsi="宋体" w:cs="宋体"/>
          <w:kern w:val="0"/>
        </w:rPr>
        <w:t>准保护区内：禁止新建，扩建对水体污染严重的建设项目；改建建设项目，不得增加排污量</w:t>
      </w:r>
    </w:p>
    <w:p w14:paraId="1F86DD58" w14:textId="77777777" w:rsidR="009D12AF" w:rsidRDefault="00000000">
      <w:pPr>
        <w:adjustRightInd w:val="0"/>
        <w:snapToGrid w:val="0"/>
        <w:ind w:firstLine="480"/>
        <w:rPr>
          <w:rFonts w:ascii="宋体" w:hAnsi="宋体" w:cs="宋体" w:hint="eastAsia"/>
          <w:kern w:val="0"/>
        </w:rPr>
      </w:pPr>
      <w:r>
        <w:rPr>
          <w:rFonts w:ascii="宋体" w:hAnsi="宋体" w:cs="宋体"/>
          <w:kern w:val="0"/>
        </w:rPr>
        <w:t>国务院和省级人民政府根据水环境保护的需要，可以规定在饮用水水源保护区内，采取禁止或者限制使用含磷洗涤剂、化肥、农药以及限制种植养殖等措施</w:t>
      </w:r>
    </w:p>
    <w:p w14:paraId="13E64134"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5）</w:t>
      </w:r>
      <w:r>
        <w:rPr>
          <w:rFonts w:ascii="宋体" w:hAnsi="宋体" w:cs="宋体"/>
          <w:kern w:val="0"/>
        </w:rPr>
        <w:t>湿地公园</w:t>
      </w:r>
      <w:r>
        <w:rPr>
          <w:rFonts w:ascii="宋体" w:hAnsi="宋体" w:cs="宋体" w:hint="eastAsia"/>
          <w:kern w:val="0"/>
        </w:rPr>
        <w:t>执行下列准入要求</w:t>
      </w:r>
    </w:p>
    <w:p w14:paraId="03601F44" w14:textId="77777777" w:rsidR="009D12AF" w:rsidRDefault="00000000">
      <w:pPr>
        <w:adjustRightInd w:val="0"/>
        <w:snapToGrid w:val="0"/>
        <w:ind w:firstLine="480"/>
        <w:rPr>
          <w:rFonts w:ascii="宋体" w:hAnsi="宋体" w:cs="宋体" w:hint="eastAsia"/>
          <w:kern w:val="0"/>
        </w:rPr>
      </w:pPr>
      <w:r>
        <w:rPr>
          <w:rFonts w:ascii="宋体" w:hAnsi="宋体" w:cs="宋体"/>
          <w:kern w:val="0"/>
        </w:rPr>
        <w:t>禁止开发建设活动要求：</w:t>
      </w:r>
    </w:p>
    <w:p w14:paraId="199C3019"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①</w:t>
      </w:r>
      <w:r>
        <w:rPr>
          <w:rFonts w:ascii="宋体" w:hAnsi="宋体" w:cs="宋体"/>
          <w:kern w:val="0"/>
        </w:rPr>
        <w:t>禁止擅自征收、占用国家湿地公园的土地</w:t>
      </w:r>
    </w:p>
    <w:p w14:paraId="17EDF1FF"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②</w:t>
      </w:r>
      <w:r>
        <w:rPr>
          <w:rFonts w:ascii="宋体" w:hAnsi="宋体" w:cs="宋体"/>
          <w:kern w:val="0"/>
        </w:rPr>
        <w:t>除法律，法规另有规定外，国家湿地公园内禁止下列行为：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滥采滥捕野生动植物；引入外来物种；擅自放牧、捕捞、取土，取水、排污、放生；其他破坏湿地及其生态功能的活动</w:t>
      </w:r>
    </w:p>
    <w:p w14:paraId="1E697EFB"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③</w:t>
      </w:r>
      <w:r>
        <w:rPr>
          <w:rFonts w:ascii="宋体" w:hAnsi="宋体" w:cs="宋体"/>
          <w:kern w:val="0"/>
        </w:rPr>
        <w:t>禁止扩大耕地面积，并逐步实行退耕还湿、还林、还草</w:t>
      </w:r>
    </w:p>
    <w:p w14:paraId="503937A1"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④</w:t>
      </w:r>
      <w:r>
        <w:rPr>
          <w:rFonts w:ascii="宋体" w:hAnsi="宋体" w:cs="宋体"/>
          <w:kern w:val="0"/>
        </w:rPr>
        <w:t>除法律，法规另有规定外，在湿地内禁止从事下列活动；开垦，挖沟，筑坝，堆山；填埋，倾倒垃圾和有毒有害物体，排放生活污水、工业废水；排放或者抽采湿地水资源；砍伐林木，采挖泥炭，勘探(国家公益性勘探除外)，采矿，挖砂，取土；破坏鱼类等水生生物洄游通道和野生动物的繁殖区及其栖息地；猎捕保护的野生动物、捡拾鸟卵或者采用灭绝性方式捕捞鱼类以及其他水生生物；引进外来物种或者放生动物；破坏湿地保护设施或者监测设备；其他破坏湿地及其生态功能的行为</w:t>
      </w:r>
    </w:p>
    <w:p w14:paraId="3E17EA2A" w14:textId="77777777" w:rsidR="009D12AF" w:rsidRDefault="00000000">
      <w:pPr>
        <w:adjustRightInd w:val="0"/>
        <w:snapToGrid w:val="0"/>
        <w:ind w:firstLine="480"/>
        <w:rPr>
          <w:rFonts w:ascii="宋体" w:hAnsi="宋体" w:cs="宋体" w:hint="eastAsia"/>
          <w:kern w:val="0"/>
        </w:rPr>
      </w:pPr>
      <w:r>
        <w:rPr>
          <w:rFonts w:ascii="宋体" w:hAnsi="宋体" w:cs="宋体" w:hint="eastAsia"/>
          <w:kern w:val="0"/>
        </w:rPr>
        <w:t>⑤</w:t>
      </w:r>
      <w:r>
        <w:rPr>
          <w:rFonts w:ascii="宋体" w:hAnsi="宋体" w:cs="宋体"/>
          <w:kern w:val="0"/>
        </w:rPr>
        <w:t>任何单位和个人不得擅自征用、占用湿地或者改变湿地用途</w:t>
      </w:r>
    </w:p>
    <w:p w14:paraId="367F1C75" w14:textId="77777777" w:rsidR="009D12AF" w:rsidRDefault="00000000">
      <w:pPr>
        <w:adjustRightInd w:val="0"/>
        <w:snapToGrid w:val="0"/>
        <w:ind w:firstLine="480"/>
        <w:rPr>
          <w:rFonts w:ascii="宋体" w:hAnsi="宋体" w:cs="宋体" w:hint="eastAsia"/>
          <w:kern w:val="0"/>
        </w:rPr>
      </w:pPr>
      <w:r>
        <w:rPr>
          <w:rFonts w:ascii="宋体" w:hAnsi="宋体" w:cs="宋体"/>
          <w:kern w:val="0"/>
        </w:rPr>
        <w:t>限制开发建设活动要求：</w:t>
      </w:r>
    </w:p>
    <w:p w14:paraId="45738E1E" w14:textId="77777777" w:rsidR="009D12AF" w:rsidRDefault="00000000">
      <w:pPr>
        <w:adjustRightInd w:val="0"/>
        <w:snapToGrid w:val="0"/>
        <w:ind w:firstLine="480"/>
        <w:rPr>
          <w:rFonts w:ascii="宋体" w:hAnsi="宋体" w:cs="宋体" w:hint="eastAsia"/>
          <w:kern w:val="0"/>
        </w:rPr>
      </w:pPr>
      <w:r>
        <w:rPr>
          <w:rFonts w:ascii="宋体" w:hAnsi="宋体" w:cs="宋体"/>
          <w:kern w:val="0"/>
        </w:rPr>
        <w:t>建设项目应当不占用或者少占用湿地，经批准确需征收，占用湿地并转为其他用途的，用地单位应当按照“先补后占、占补平衡”的原则，依法办理相关手续。临时占用湿地的，期限不得超过2年；临时占用期限届满，占用单位应当对所占湿地限期进行生态修复</w:t>
      </w:r>
      <w:r>
        <w:rPr>
          <w:rFonts w:ascii="宋体" w:hAnsi="宋体" w:cs="宋体" w:hint="eastAsia"/>
          <w:kern w:val="0"/>
        </w:rPr>
        <w:t>。</w:t>
      </w:r>
    </w:p>
    <w:p w14:paraId="7D1FF806" w14:textId="77777777" w:rsidR="009D12AF" w:rsidRDefault="00000000">
      <w:pPr>
        <w:ind w:firstLine="480"/>
      </w:pPr>
      <w:r>
        <w:lastRenderedPageBreak/>
        <w:t>根据与黑龙江省</w:t>
      </w:r>
      <w:r>
        <w:rPr>
          <w:rFonts w:hint="eastAsia"/>
        </w:rPr>
        <w:t>牡丹江市海林市</w:t>
      </w:r>
      <w:r>
        <w:t>三区三线图对照，本项目</w:t>
      </w:r>
      <w:r>
        <w:rPr>
          <w:rFonts w:hint="eastAsia"/>
        </w:rPr>
        <w:t>五个水库均位于黑龙江省牡丹江市海林市</w:t>
      </w:r>
      <w:r>
        <w:t>，</w:t>
      </w:r>
      <w:r>
        <w:rPr>
          <w:rFonts w:hint="eastAsia"/>
        </w:rPr>
        <w:t>其中长石水库、万丈水库、向阳水电站前池、新安晒水池</w:t>
      </w:r>
      <w:r>
        <w:t>所在区域内无国家、省、市级自然保护区、风景名胜区、世界文化和自然遗产地、海洋特别保护区、基本农田保护区、基本草原、森林公园、地质公园、重要湿地、天然林、野生动物重要栖息地、重点保护野生植物生长繁殖地、重要水生生物的自然产卵场、索饵场、越冬场和洄游通道、天然渔场、沙化土地封禁保护区、封闭及半封闭海域等环境敏感区</w:t>
      </w:r>
      <w:r>
        <w:rPr>
          <w:rFonts w:hint="eastAsia"/>
        </w:rPr>
        <w:t>；群力水库与黑龙江威虎山国家森林公园和黑龙江海林莲花湖省级自然保护区、黑龙江省莲花湖地质公园、海林莲花湖风景名胜区、威虎山国家森林公园相交；向阳水电站前池与</w:t>
      </w:r>
      <w:r>
        <w:rPr>
          <w:rFonts w:hint="eastAsia"/>
          <w:smallCaps/>
        </w:rPr>
        <w:t>海林市二水厂（改扩建）饮用水水源二级保护区相交。</w:t>
      </w:r>
      <w:r>
        <w:t>因此，本项目</w:t>
      </w:r>
      <w:r>
        <w:rPr>
          <w:rFonts w:hint="eastAsia"/>
        </w:rPr>
        <w:t>长石水库、万丈水库、向阳水电站前池、新安晒水池、群力水库</w:t>
      </w:r>
      <w:r>
        <w:t>不在生态保护红线内</w:t>
      </w:r>
      <w:r>
        <w:rPr>
          <w:rFonts w:hint="eastAsia"/>
        </w:rPr>
        <w:t>，临时堆料场不位于生态红线内（详见附图</w:t>
      </w:r>
      <w:r>
        <w:rPr>
          <w:rFonts w:hint="eastAsia"/>
        </w:rPr>
        <w:t>7</w:t>
      </w:r>
      <w:r>
        <w:rPr>
          <w:rFonts w:hint="eastAsia"/>
        </w:rPr>
        <w:t>）。因此</w:t>
      </w:r>
      <w:r>
        <w:t>本项目不属于生态红线内禁止建设内容，满足相关的空间布局约束。</w:t>
      </w:r>
    </w:p>
    <w:p w14:paraId="4E7B0A4C" w14:textId="77777777" w:rsidR="009D12AF" w:rsidRDefault="00000000">
      <w:pPr>
        <w:ind w:firstLine="480"/>
      </w:pPr>
      <w:r>
        <w:rPr>
          <w:rFonts w:hint="eastAsia"/>
        </w:rPr>
        <w:t>②</w:t>
      </w:r>
      <w:r>
        <w:t>环境质量底线</w:t>
      </w:r>
    </w:p>
    <w:p w14:paraId="6146D2DC" w14:textId="77777777" w:rsidR="009D12AF" w:rsidRDefault="00000000">
      <w:pPr>
        <w:ind w:firstLine="480"/>
      </w:pPr>
      <w:r>
        <w:t>项目所在区域环境空气可以满足《环境空气质量标准》（</w:t>
      </w:r>
      <w:r>
        <w:t>GB3095-2012</w:t>
      </w:r>
      <w:r>
        <w:t>）</w:t>
      </w:r>
      <w:r>
        <w:rPr>
          <w:rFonts w:hint="eastAsia"/>
        </w:rPr>
        <w:t>及修改的中</w:t>
      </w:r>
      <w:r>
        <w:t>二级标准，项目所在区域声环境可以满足《声环境质量标准》（</w:t>
      </w:r>
      <w:r>
        <w:t>GB3096-2008</w:t>
      </w:r>
      <w:r>
        <w:t>）中</w:t>
      </w:r>
      <w:r>
        <w:rPr>
          <w:rFonts w:hint="eastAsia"/>
        </w:rPr>
        <w:t>2</w:t>
      </w:r>
      <w:r>
        <w:t>类标准要求，环境空气质量和声环境质量良好。本项目工程为生态影响类项目，对环境的影响主要集中在施工期，包括施工活动对水环境和生态环境的扰动。施工期产生的不利环境影响可通过落实环保措施后得到减缓，并且该影响是短暂的，随着施工活动结束而消失。工程完工后，</w:t>
      </w:r>
      <w:r>
        <w:rPr>
          <w:rFonts w:hint="eastAsia"/>
        </w:rPr>
        <w:t>水土流失基本得到控制</w:t>
      </w:r>
      <w:r>
        <w:t>，有助于区域环境质量的改善，运行期工程本身没有污染物排放。本项目的建设不会改变区域环境质量现状，能够满足《关于以改善环境质量为核心加强环境影响评价管理的通知》（环环评</w:t>
      </w:r>
      <w:r>
        <w:t>[2016]150</w:t>
      </w:r>
      <w:r>
        <w:t>号）文件中</w:t>
      </w:r>
      <w:r>
        <w:t>“</w:t>
      </w:r>
      <w:r>
        <w:t>环境质量底线</w:t>
      </w:r>
      <w:r>
        <w:t>”</w:t>
      </w:r>
      <w:r>
        <w:t>的要求。综上，本项目的建设符合环境质量底线的相关要求。</w:t>
      </w:r>
    </w:p>
    <w:p w14:paraId="7514262C" w14:textId="77777777" w:rsidR="009D12AF" w:rsidRDefault="00000000">
      <w:pPr>
        <w:ind w:firstLine="480"/>
      </w:pPr>
      <w:r>
        <w:rPr>
          <w:rFonts w:hint="eastAsia"/>
        </w:rPr>
        <w:t>③</w:t>
      </w:r>
      <w:r>
        <w:t>资源利用上线</w:t>
      </w:r>
    </w:p>
    <w:p w14:paraId="2109678A" w14:textId="77777777" w:rsidR="009D12AF" w:rsidRDefault="00000000">
      <w:pPr>
        <w:ind w:firstLine="480"/>
      </w:pPr>
      <w:r>
        <w:t>本项目</w:t>
      </w:r>
      <w:r>
        <w:rPr>
          <w:rFonts w:hint="eastAsia"/>
        </w:rPr>
        <w:t>属于水库清淤与水生态治理建设工程</w:t>
      </w:r>
      <w:r>
        <w:t>，属于非污染生态影响类项目，不涉及水资源利用问题。</w:t>
      </w:r>
      <w:r>
        <w:rPr>
          <w:rFonts w:hint="eastAsia"/>
        </w:rPr>
        <w:t>工程占地主要为耕地、林地和草地，地表的部分植被和土壤遭到破坏，对当地环境带来一定的不利影响，由于工程占地面积所占比例很</w:t>
      </w:r>
      <w:r>
        <w:rPr>
          <w:rFonts w:hint="eastAsia"/>
        </w:rPr>
        <w:lastRenderedPageBreak/>
        <w:t>小，对当地土地资源利用总体影响不大。临时占地恢复原地类，没有造成土地资源浪费，不涉及永久占地。本项目的运行期不消耗项目区的水资源和土地资源等，符合资源利用上线要求。</w:t>
      </w:r>
    </w:p>
    <w:p w14:paraId="00D5CEDC" w14:textId="77777777" w:rsidR="009D12AF" w:rsidRDefault="00000000">
      <w:pPr>
        <w:ind w:firstLine="480"/>
      </w:pPr>
      <w:r>
        <w:t>综上，项目的建设在区域资源利用上线的承受范围之内，符合区域资源利用上线的要求。</w:t>
      </w:r>
    </w:p>
    <w:p w14:paraId="256D8A77" w14:textId="77777777" w:rsidR="009D12AF" w:rsidRDefault="00000000">
      <w:pPr>
        <w:ind w:firstLine="480"/>
      </w:pPr>
      <w:r>
        <w:rPr>
          <w:rFonts w:hint="eastAsia"/>
        </w:rPr>
        <w:t>④</w:t>
      </w:r>
      <w:r>
        <w:t>生态环境准入清单</w:t>
      </w:r>
    </w:p>
    <w:p w14:paraId="7665C814" w14:textId="77777777" w:rsidR="009D12AF" w:rsidRDefault="00000000">
      <w:pPr>
        <w:ind w:firstLine="480"/>
      </w:pPr>
      <w:r>
        <w:t>本项目位于黑龙江省</w:t>
      </w:r>
      <w:r>
        <w:rPr>
          <w:rFonts w:hint="eastAsia"/>
        </w:rPr>
        <w:t>牡丹江市海林市内</w:t>
      </w:r>
      <w:r>
        <w:t>，</w:t>
      </w:r>
      <w:r>
        <w:rPr>
          <w:rFonts w:hint="eastAsia"/>
        </w:rPr>
        <w:t>根据《牡丹江</w:t>
      </w:r>
      <w:r>
        <w:t>市生态环境准入清单（</w:t>
      </w:r>
      <w:r>
        <w:t>2023</w:t>
      </w:r>
      <w:r>
        <w:t>年版）</w:t>
      </w:r>
      <w:r>
        <w:rPr>
          <w:rFonts w:hint="eastAsia"/>
        </w:rPr>
        <w:t>》，本工程涉及海林市一般生态空间（</w:t>
      </w:r>
      <w:r>
        <w:rPr>
          <w:rFonts w:hint="eastAsia"/>
        </w:rPr>
        <w:t>ZH23108310002</w:t>
      </w:r>
      <w:r>
        <w:rPr>
          <w:rFonts w:hint="eastAsia"/>
        </w:rPr>
        <w:t>）、海林市生态保护红线（</w:t>
      </w:r>
      <w:r>
        <w:rPr>
          <w:rFonts w:hint="eastAsia"/>
        </w:rPr>
        <w:t>ZH23108310001</w:t>
      </w:r>
      <w:r>
        <w:rPr>
          <w:rFonts w:hint="eastAsia"/>
        </w:rPr>
        <w:t>）、海林市其他区域（</w:t>
      </w:r>
      <w:r>
        <w:rPr>
          <w:rFonts w:hint="eastAsia"/>
        </w:rPr>
        <w:t>ZH23108330002</w:t>
      </w:r>
      <w:r>
        <w:rPr>
          <w:rFonts w:hint="eastAsia"/>
        </w:rPr>
        <w:t>）、爱民区一般生态空间（</w:t>
      </w:r>
      <w:r>
        <w:rPr>
          <w:rFonts w:hint="eastAsia"/>
        </w:rPr>
        <w:t>ZH23100410002</w:t>
      </w:r>
      <w:r>
        <w:rPr>
          <w:rFonts w:hint="eastAsia"/>
        </w:rPr>
        <w:t>）、海林市水环境农业污染重点管控区（</w:t>
      </w:r>
      <w:r>
        <w:rPr>
          <w:rFonts w:hint="eastAsia"/>
        </w:rPr>
        <w:t>ZH23108320004</w:t>
      </w:r>
      <w:r>
        <w:rPr>
          <w:rFonts w:hint="eastAsia"/>
        </w:rPr>
        <w:t>）、爱民区水环境城镇生活污染重点管控区（</w:t>
      </w:r>
      <w:r>
        <w:rPr>
          <w:rFonts w:hint="eastAsia"/>
        </w:rPr>
        <w:t>ZH23100420004</w:t>
      </w:r>
      <w:r>
        <w:rPr>
          <w:rFonts w:hint="eastAsia"/>
        </w:rPr>
        <w:t>）</w:t>
      </w:r>
      <w:r>
        <w:t>。具体符合性分析如下。</w:t>
      </w:r>
    </w:p>
    <w:p w14:paraId="39B98C3B" w14:textId="77777777" w:rsidR="009D12AF" w:rsidRDefault="00000000">
      <w:pPr>
        <w:ind w:firstLineChars="0" w:firstLine="0"/>
        <w:jc w:val="center"/>
      </w:pPr>
      <w:r>
        <w:rPr>
          <w:b/>
          <w:bCs/>
        </w:rPr>
        <w:t>表</w:t>
      </w:r>
      <w:r>
        <w:rPr>
          <w:b/>
          <w:bCs/>
        </w:rPr>
        <w:t>1</w:t>
      </w:r>
      <w:r>
        <w:rPr>
          <w:rFonts w:hint="eastAsia"/>
          <w:b/>
          <w:bCs/>
        </w:rPr>
        <w:t>.3-3</w:t>
      </w:r>
      <w:r>
        <w:rPr>
          <w:b/>
          <w:bCs/>
        </w:rPr>
        <w:t>本项目</w:t>
      </w:r>
      <w:r>
        <w:rPr>
          <w:rFonts w:hint="eastAsia"/>
          <w:b/>
          <w:bCs/>
        </w:rPr>
        <w:t>长石水库</w:t>
      </w:r>
      <w:r>
        <w:rPr>
          <w:b/>
          <w:bCs/>
        </w:rPr>
        <w:t>与生态环境准入清单符合性分析</w:t>
      </w:r>
    </w:p>
    <w:tbl>
      <w:tblPr>
        <w:tblW w:w="4997"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802"/>
        <w:gridCol w:w="841"/>
        <w:gridCol w:w="691"/>
        <w:gridCol w:w="749"/>
        <w:gridCol w:w="3763"/>
        <w:gridCol w:w="1243"/>
        <w:gridCol w:w="428"/>
      </w:tblGrid>
      <w:tr w:rsidR="009D12AF" w14:paraId="2F3402E0" w14:textId="77777777">
        <w:trPr>
          <w:trHeight w:val="23"/>
          <w:tblHeader/>
          <w:jc w:val="center"/>
        </w:trPr>
        <w:tc>
          <w:tcPr>
            <w:tcW w:w="470" w:type="pct"/>
            <w:tcBorders>
              <w:top w:val="single" w:sz="12" w:space="0" w:color="auto"/>
            </w:tcBorders>
            <w:vAlign w:val="center"/>
          </w:tcPr>
          <w:p w14:paraId="1E45975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环境管控单元编码</w:t>
            </w:r>
          </w:p>
        </w:tc>
        <w:tc>
          <w:tcPr>
            <w:tcW w:w="493" w:type="pct"/>
            <w:tcBorders>
              <w:top w:val="single" w:sz="12" w:space="0" w:color="auto"/>
            </w:tcBorders>
            <w:vAlign w:val="center"/>
          </w:tcPr>
          <w:p w14:paraId="6ECAB6C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环境管控单元名称</w:t>
            </w:r>
          </w:p>
        </w:tc>
        <w:tc>
          <w:tcPr>
            <w:tcW w:w="405" w:type="pct"/>
            <w:tcBorders>
              <w:top w:val="single" w:sz="12" w:space="0" w:color="auto"/>
            </w:tcBorders>
            <w:vAlign w:val="center"/>
          </w:tcPr>
          <w:p w14:paraId="71D2942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管控单元类别</w:t>
            </w:r>
          </w:p>
        </w:tc>
        <w:tc>
          <w:tcPr>
            <w:tcW w:w="2648" w:type="pct"/>
            <w:gridSpan w:val="2"/>
            <w:tcBorders>
              <w:top w:val="single" w:sz="12" w:space="0" w:color="auto"/>
            </w:tcBorders>
            <w:vAlign w:val="center"/>
          </w:tcPr>
          <w:p w14:paraId="368BA93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管控要求</w:t>
            </w:r>
          </w:p>
        </w:tc>
        <w:tc>
          <w:tcPr>
            <w:tcW w:w="730" w:type="pct"/>
            <w:tcBorders>
              <w:top w:val="single" w:sz="12" w:space="0" w:color="auto"/>
            </w:tcBorders>
            <w:vAlign w:val="center"/>
          </w:tcPr>
          <w:p w14:paraId="26E76A3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符合性分析</w:t>
            </w:r>
          </w:p>
        </w:tc>
        <w:tc>
          <w:tcPr>
            <w:tcW w:w="251" w:type="pct"/>
            <w:tcBorders>
              <w:top w:val="single" w:sz="12" w:space="0" w:color="auto"/>
            </w:tcBorders>
            <w:vAlign w:val="center"/>
          </w:tcPr>
          <w:p w14:paraId="16E3760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符合性</w:t>
            </w:r>
          </w:p>
        </w:tc>
      </w:tr>
      <w:tr w:rsidR="009D12AF" w14:paraId="1E695B57" w14:textId="77777777">
        <w:trPr>
          <w:trHeight w:val="1536"/>
          <w:jc w:val="center"/>
        </w:trPr>
        <w:tc>
          <w:tcPr>
            <w:tcW w:w="470" w:type="pct"/>
            <w:vAlign w:val="center"/>
          </w:tcPr>
          <w:p w14:paraId="795F096A"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ZH23108310002</w:t>
            </w:r>
          </w:p>
        </w:tc>
        <w:tc>
          <w:tcPr>
            <w:tcW w:w="493" w:type="pct"/>
            <w:vAlign w:val="center"/>
          </w:tcPr>
          <w:p w14:paraId="4DF910A2"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海林市一般生态空间</w:t>
            </w:r>
          </w:p>
        </w:tc>
        <w:tc>
          <w:tcPr>
            <w:tcW w:w="405" w:type="pct"/>
            <w:vAlign w:val="center"/>
          </w:tcPr>
          <w:p w14:paraId="66FFEAB2"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优先保护单元</w:t>
            </w:r>
          </w:p>
        </w:tc>
        <w:tc>
          <w:tcPr>
            <w:tcW w:w="440" w:type="pct"/>
            <w:vAlign w:val="center"/>
          </w:tcPr>
          <w:p w14:paraId="02DB9253"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空间布局约束</w:t>
            </w:r>
          </w:p>
        </w:tc>
        <w:tc>
          <w:tcPr>
            <w:tcW w:w="2207" w:type="pct"/>
            <w:vAlign w:val="center"/>
          </w:tcPr>
          <w:p w14:paraId="3C891D98"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原则上按限制开发区域的要求进行管理。严格限制与生态功能不一致的开发建设活动。符合区域准入条件的新增建设项目，涉及占用生态空间中的林地、草原等，按有</w:t>
            </w:r>
            <w:r>
              <w:rPr>
                <w:rFonts w:ascii="Times New Roman" w:eastAsia="宋体" w:hAnsi="Times New Roman" w:cs="Times New Roman" w:hint="eastAsia"/>
                <w:sz w:val="21"/>
                <w:szCs w:val="21"/>
              </w:rPr>
              <w:t xml:space="preserve"> </w:t>
            </w:r>
            <w:r>
              <w:rPr>
                <w:rFonts w:ascii="Times New Roman" w:eastAsia="宋体" w:hAnsi="Times New Roman" w:cs="Times New Roman"/>
                <w:sz w:val="21"/>
                <w:szCs w:val="21"/>
              </w:rPr>
              <w:t>关法律法规规定办理；涉及占用生态空间中其他未作明确规定的用地，应当加强论证和管理。符合条件的农业开发项目，须依法由市县级及以上地方人民政府统筹安排。除符合国家生态退耕条件的耕地，并纳入国家生态退耕总体安排，或因国家重大生态工程建设需要外，不得随意转用。</w:t>
            </w:r>
            <w:r>
              <w:rPr>
                <w:rFonts w:ascii="Times New Roman" w:eastAsia="宋体" w:hAnsi="Times New Roman" w:cs="Times New Roman"/>
                <w:sz w:val="21"/>
                <w:szCs w:val="21"/>
              </w:rPr>
              <w:t>2.</w:t>
            </w:r>
            <w:r>
              <w:rPr>
                <w:rFonts w:ascii="Times New Roman" w:eastAsia="宋体" w:hAnsi="Times New Roman" w:cs="Times New Roman"/>
                <w:sz w:val="21"/>
                <w:szCs w:val="21"/>
              </w:rPr>
              <w:t>对依法保护的生态空间实行承载力控制，防止过度垦殖、放牧、采伐、取水、渔猎、旅游等对生态功能造成损害，确保自然生态系统的稳定。</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避免开发建设活动损害其生态服务功能和生态产品质量。</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已经侵占生态空间的，应建立退出机制、制定治理方案及时间表。</w:t>
            </w:r>
            <w:r>
              <w:rPr>
                <w:rFonts w:ascii="Times New Roman" w:eastAsia="宋体" w:hAnsi="Times New Roman" w:cs="Times New Roman"/>
                <w:sz w:val="21"/>
                <w:szCs w:val="21"/>
              </w:rPr>
              <w:t xml:space="preserve"> 5.</w:t>
            </w:r>
            <w:r>
              <w:rPr>
                <w:rFonts w:ascii="Times New Roman" w:eastAsia="宋体" w:hAnsi="Times New Roman" w:cs="Times New Roman"/>
                <w:sz w:val="21"/>
                <w:szCs w:val="21"/>
              </w:rPr>
              <w:lastRenderedPageBreak/>
              <w:t>海林市长汀镇饮用水水源、海林市柴河镇饮用水水源、海林市二水厂（改扩建）饮</w:t>
            </w:r>
            <w:r>
              <w:rPr>
                <w:rFonts w:ascii="Times New Roman" w:eastAsia="宋体" w:hAnsi="Times New Roman" w:cs="Times New Roman"/>
                <w:sz w:val="21"/>
                <w:szCs w:val="21"/>
              </w:rPr>
              <w:t xml:space="preserve"> </w:t>
            </w:r>
          </w:p>
          <w:p w14:paraId="734126D6"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用水水源同时执行以下要求：</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）饮用水地表水源各级保护区及准保护区内均必须遵守下列规定：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）禁止一切破坏水环境生态平衡的活动以及破坏水源林、护岸林、与水源保护相关植被的活动。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）禁止向水域倾倒工业废渣、城市垃圾、粪便及其它废弃物。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3</w:t>
            </w:r>
            <w:r>
              <w:rPr>
                <w:rFonts w:ascii="Times New Roman" w:eastAsia="宋体" w:hAnsi="Times New Roman" w:cs="Times New Roman"/>
                <w:sz w:val="21"/>
                <w:szCs w:val="21"/>
              </w:rPr>
              <w:t>）运输有毒有害物质、油类、粪便的船舶和车辆一般不准进入保护区，必须进入者应事先申请并经有关部门批准、登记并设置防渗、防溢、防漏设施。</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4</w:t>
            </w:r>
            <w:r>
              <w:rPr>
                <w:rFonts w:ascii="Times New Roman" w:eastAsia="宋体" w:hAnsi="Times New Roman" w:cs="Times New Roman"/>
                <w:sz w:val="21"/>
                <w:szCs w:val="21"/>
              </w:rPr>
              <w:t>）禁止使用剧毒和高残留农药，不得滥用化肥，不得使用炸药、毒品捕杀鱼类。</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5</w:t>
            </w:r>
            <w:r>
              <w:rPr>
                <w:rFonts w:ascii="Times New Roman" w:eastAsia="宋体" w:hAnsi="Times New Roman" w:cs="Times New Roman"/>
                <w:sz w:val="21"/>
                <w:szCs w:val="21"/>
              </w:rPr>
              <w:t>）禁止建设畜禽养殖场、养殖小区。</w:t>
            </w:r>
            <w:r>
              <w:rPr>
                <w:rFonts w:ascii="Times New Roman" w:eastAsia="宋体" w:hAnsi="Times New Roman" w:cs="Times New Roman"/>
                <w:sz w:val="21"/>
                <w:szCs w:val="21"/>
              </w:rPr>
              <w:t xml:space="preserve"> </w:t>
            </w:r>
          </w:p>
          <w:p w14:paraId="257BCFB0"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r>
              <w:rPr>
                <w:rFonts w:ascii="Times New Roman" w:eastAsia="宋体" w:hAnsi="Times New Roman" w:cs="Times New Roman"/>
                <w:sz w:val="21"/>
                <w:szCs w:val="21"/>
              </w:rPr>
              <w:t>6</w:t>
            </w:r>
            <w:r>
              <w:rPr>
                <w:rFonts w:ascii="Times New Roman" w:eastAsia="宋体" w:hAnsi="Times New Roman" w:cs="Times New Roman"/>
                <w:sz w:val="21"/>
                <w:szCs w:val="21"/>
              </w:rPr>
              <w:t>）禁止设置排污口。</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）饮用水地表水源各级保护区及准保护区内必须分别遵守下列规定：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）一级保护区内：禁止新建、扩建与供水设施和保护水源无关的建设项目，已建成的与供水设施和保护水源无关的建设项目，由县级以上人民政府责令拆除或者关闭；禁止向</w:t>
            </w:r>
            <w:r>
              <w:rPr>
                <w:rFonts w:ascii="Times New Roman" w:eastAsia="宋体" w:hAnsi="Times New Roman" w:cs="Times New Roman"/>
                <w:sz w:val="21"/>
                <w:szCs w:val="21"/>
              </w:rPr>
              <w:t xml:space="preserve"> </w:t>
            </w:r>
          </w:p>
          <w:p w14:paraId="19DB54C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水域排放污水，已设置的排污口必须拆除；不得设置与供水需要无关的码头，禁止停靠船舶；禁止堆置和存放工业废渣、城市垃圾、粪便和其他废弃物；禁止设置油库；禁止从事种植、放养畜禽和网箱养殖活动；禁止可能污染水源的旅游活动和其他活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）二级保护</w:t>
            </w:r>
            <w:r>
              <w:rPr>
                <w:rFonts w:ascii="Times New Roman" w:eastAsia="宋体" w:hAnsi="Times New Roman" w:cs="Times New Roman"/>
                <w:sz w:val="21"/>
                <w:szCs w:val="21"/>
              </w:rPr>
              <w:t xml:space="preserve"> </w:t>
            </w:r>
          </w:p>
          <w:p w14:paraId="0E51095A"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区内：禁止新建、改建、扩建排放污染物的建设项目，已建成的排放污染物的建设项目，由县级以上人民政府责令拆除或者关闭；原有排污口依法拆除或者关闭；禁止设立装卸垃圾、粪便、油类和有毒物品的码头。</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3</w:t>
            </w:r>
            <w:r>
              <w:rPr>
                <w:rFonts w:ascii="Times New Roman" w:eastAsia="宋体" w:hAnsi="Times New Roman" w:cs="Times New Roman"/>
                <w:sz w:val="21"/>
                <w:szCs w:val="21"/>
              </w:rPr>
              <w:t>）准保护区内：禁止新建、扩建对水体污染严重的建设</w:t>
            </w:r>
            <w:r>
              <w:rPr>
                <w:rFonts w:ascii="Times New Roman" w:eastAsia="宋体" w:hAnsi="Times New Roman" w:cs="Times New Roman"/>
                <w:sz w:val="21"/>
                <w:szCs w:val="21"/>
              </w:rPr>
              <w:t xml:space="preserve"> </w:t>
            </w:r>
          </w:p>
          <w:p w14:paraId="55E0831B"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lastRenderedPageBreak/>
              <w:t>项目；改建建设项目，不得增加排污量。</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）国务院和省、自治区、直辖市人民政府根据水环境保护的需要，可以规定在饮用水水源保护区内，采取禁止或者限制使用含磷洗涤剂、化肥、农药以及限制种植养殖等措施。</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）饮用水地下水源各级保护区及准保护区内均必须遵</w:t>
            </w:r>
            <w:r>
              <w:rPr>
                <w:rFonts w:ascii="Times New Roman" w:eastAsia="宋体" w:hAnsi="Times New Roman" w:cs="Times New Roman"/>
                <w:sz w:val="21"/>
                <w:szCs w:val="21"/>
              </w:rPr>
              <w:t xml:space="preserve"> </w:t>
            </w:r>
          </w:p>
          <w:p w14:paraId="2112929B"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守下列规定：禁止利用渗坑、渗井、裂隙、溶洞等排放污水和其它有害废弃物；禁止利用透水层孔隙、裂隙、溶洞及废弃矿坑储存石油、天然气、放射性物质、有毒有害化工原料、农药等；实行人工回灌地下水时不得污染当地地下水源。</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一级保护区内：禁止建设与取水设施无关的建筑物；禁止从事农牧业活动；禁止倾倒、堆放工业废渣及城市垃圾、粪便和其它有害废弃物；禁止输送污水的渠道、管道及输油管道通过本区；禁止建设油库；禁止建立墓地。（</w:t>
            </w:r>
            <w:r>
              <w:rPr>
                <w:rFonts w:ascii="Times New Roman" w:eastAsia="宋体" w:hAnsi="Times New Roman" w:cs="Times New Roman"/>
                <w:sz w:val="21"/>
                <w:szCs w:val="21"/>
              </w:rPr>
              <w:t>2</w:t>
            </w:r>
            <w:r>
              <w:rPr>
                <w:rFonts w:ascii="Times New Roman" w:eastAsia="宋体" w:hAnsi="Times New Roman" w:cs="Times New Roman"/>
                <w:sz w:val="21"/>
                <w:szCs w:val="21"/>
              </w:rPr>
              <w:t>）二级保护区内：</w:t>
            </w:r>
            <w:r>
              <w:rPr>
                <w:rFonts w:ascii="Times New Roman" w:eastAsia="宋体" w:hAnsi="Times New Roman" w:cs="Times New Roman"/>
                <w:sz w:val="21"/>
                <w:szCs w:val="21"/>
              </w:rPr>
              <w:t>1</w:t>
            </w:r>
            <w:r>
              <w:rPr>
                <w:rFonts w:ascii="Times New Roman" w:eastAsia="宋体" w:hAnsi="Times New Roman" w:cs="Times New Roman"/>
                <w:sz w:val="21"/>
                <w:szCs w:val="21"/>
              </w:rPr>
              <w:t>）对于潜水含水层地下水水源地：禁止建设化工、电镀、皮革、造纸、制浆、冶炼、放射性、印染、染料、炼焦、炼油及其它有严重污染的企业，已建成的要限期治理，转产或搬迁；禁止设置城市垃圾、粪便和易溶、有毒有害废弃物堆放场和转运站，已有的上述场站要限期搬迁；禁止利用未经净化的污水灌溉农田，已有的污灌农田要限期改用清水灌溉；化工原料、矿物油类及有毒有害矿产品的堆放场所必须有防雨、防渗措施。</w:t>
            </w:r>
            <w:r>
              <w:rPr>
                <w:rFonts w:ascii="Times New Roman" w:eastAsia="宋体" w:hAnsi="Times New Roman" w:cs="Times New Roman"/>
                <w:sz w:val="21"/>
                <w:szCs w:val="21"/>
              </w:rPr>
              <w:t>2</w:t>
            </w:r>
            <w:r>
              <w:rPr>
                <w:rFonts w:ascii="Times New Roman" w:eastAsia="宋体" w:hAnsi="Times New Roman" w:cs="Times New Roman"/>
                <w:sz w:val="21"/>
                <w:szCs w:val="21"/>
              </w:rPr>
              <w:t>）对于承压含水层地下水水源地：禁止承压水和潜水的混合开采，作好潜水的止水措施。（</w:t>
            </w:r>
            <w:r>
              <w:rPr>
                <w:rFonts w:ascii="Times New Roman" w:eastAsia="宋体" w:hAnsi="Times New Roman" w:cs="Times New Roman"/>
                <w:sz w:val="21"/>
                <w:szCs w:val="21"/>
              </w:rPr>
              <w:t>3</w:t>
            </w:r>
            <w:r>
              <w:rPr>
                <w:rFonts w:ascii="Times New Roman" w:eastAsia="宋体" w:hAnsi="Times New Roman" w:cs="Times New Roman"/>
                <w:sz w:val="21"/>
                <w:szCs w:val="21"/>
              </w:rPr>
              <w:t>）准保护区内：禁止建设城市垃圾、粪便和易溶、有毒有害废弃物的堆放场站，因特殊需要设立转运站的，必须经有关部门批准，并采取防渗漏措施；当补给源为地表水体时，该地</w:t>
            </w:r>
            <w:r>
              <w:rPr>
                <w:rFonts w:ascii="Times New Roman" w:eastAsia="宋体" w:hAnsi="Times New Roman" w:cs="Times New Roman"/>
                <w:sz w:val="21"/>
                <w:szCs w:val="21"/>
              </w:rPr>
              <w:lastRenderedPageBreak/>
              <w:t>表水体水质不应低于《地表水环境质量标准》</w:t>
            </w:r>
            <w:r>
              <w:rPr>
                <w:rFonts w:ascii="Times New Roman" w:eastAsia="宋体" w:hAnsi="Times New Roman" w:cs="Times New Roman"/>
                <w:sz w:val="21"/>
                <w:szCs w:val="21"/>
              </w:rPr>
              <w:t>Ⅲ</w:t>
            </w:r>
            <w:r>
              <w:rPr>
                <w:rFonts w:ascii="Times New Roman" w:eastAsia="宋体" w:hAnsi="Times New Roman" w:cs="Times New Roman"/>
                <w:sz w:val="21"/>
                <w:szCs w:val="21"/>
              </w:rPr>
              <w:t>类标准；不得使用不符合《农田灌溉水质标准》的污水进行灌溉，合理使用化肥；保护水源林，禁止毁林开荒，禁止非更新砍伐水源林。</w:t>
            </w:r>
            <w:r>
              <w:rPr>
                <w:rFonts w:ascii="Times New Roman" w:eastAsia="宋体" w:hAnsi="Times New Roman" w:cs="Times New Roman"/>
                <w:sz w:val="21"/>
                <w:szCs w:val="21"/>
              </w:rPr>
              <w:t xml:space="preserve"> 6.</w:t>
            </w:r>
            <w:r>
              <w:rPr>
                <w:rFonts w:ascii="Times New Roman" w:eastAsia="宋体" w:hAnsi="Times New Roman" w:cs="Times New Roman"/>
                <w:sz w:val="21"/>
                <w:szCs w:val="21"/>
              </w:rPr>
              <w:t>海浪河特有鱼类国家级水产种质资源保护区同时执行以下要求：</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）不得损</w:t>
            </w:r>
            <w:r>
              <w:rPr>
                <w:rFonts w:ascii="Times New Roman" w:eastAsia="宋体" w:hAnsi="Times New Roman" w:cs="Times New Roman"/>
                <w:sz w:val="21"/>
                <w:szCs w:val="21"/>
              </w:rPr>
              <w:t xml:space="preserve"> </w:t>
            </w:r>
          </w:p>
          <w:p w14:paraId="608EF815"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害水产种质资源及其生存环境。</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）禁止在水产种质资源保护区内从事围湖造田工程。</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）禁止在水产种质资源保护区内新建排污口。</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）在水产种质资源保护区附近新建、改建、扩建排污口，应当保证保护区水体不受污染。</w:t>
            </w:r>
            <w:r>
              <w:rPr>
                <w:rFonts w:ascii="Times New Roman" w:eastAsia="宋体" w:hAnsi="Times New Roman" w:cs="Times New Roman"/>
                <w:sz w:val="21"/>
                <w:szCs w:val="21"/>
              </w:rPr>
              <w:t xml:space="preserve"> 5</w:t>
            </w:r>
            <w:r>
              <w:rPr>
                <w:rFonts w:ascii="Times New Roman" w:eastAsia="宋体" w:hAnsi="Times New Roman" w:cs="Times New Roman"/>
                <w:sz w:val="21"/>
                <w:szCs w:val="21"/>
              </w:rPr>
              <w:t>）特别保护期内不得从事捕捞、爆破作业以及其他可能对保护区内生物资源和生态环境造成损害的活动。</w:t>
            </w:r>
            <w:r>
              <w:rPr>
                <w:rFonts w:ascii="Times New Roman" w:eastAsia="宋体" w:hAnsi="Times New Roman" w:cs="Times New Roman"/>
                <w:sz w:val="21"/>
                <w:szCs w:val="21"/>
              </w:rPr>
              <w:t xml:space="preserve"> 6</w:t>
            </w:r>
            <w:r>
              <w:rPr>
                <w:rFonts w:ascii="Times New Roman" w:eastAsia="宋体" w:hAnsi="Times New Roman" w:cs="Times New Roman"/>
                <w:sz w:val="21"/>
                <w:szCs w:val="21"/>
              </w:rPr>
              <w:t>）在水产种质资源保护区内从事修建水利工程、疏浚航道、建闸筑坝、勘探和开采矿产资源、港口建设等工程建设的，或者在水产种质资源保护区外从事可能损害保护区功能的工程建设活动的，应当按照国家有关规定编制建设项目对水产种质资源保护区的影响专题论证报告，并将其纳入环境影响评价报告书。</w:t>
            </w:r>
          </w:p>
        </w:tc>
        <w:tc>
          <w:tcPr>
            <w:tcW w:w="730" w:type="pct"/>
            <w:vAlign w:val="center"/>
          </w:tcPr>
          <w:p w14:paraId="67D02B2C" w14:textId="77777777" w:rsidR="009D12AF" w:rsidRDefault="00000000">
            <w:pPr>
              <w:widowControl/>
              <w:spacing w:line="240" w:lineRule="auto"/>
              <w:ind w:firstLineChars="0" w:firstLine="0"/>
              <w:jc w:val="center"/>
              <w:rPr>
                <w:rFonts w:ascii="Times New Roman" w:eastAsia="宋体" w:hAnsi="Times New Roman" w:cs="Times New Roman"/>
                <w:sz w:val="21"/>
                <w:szCs w:val="21"/>
                <w:highlight w:val="yellow"/>
              </w:rPr>
            </w:pPr>
            <w:r>
              <w:rPr>
                <w:rFonts w:ascii="Times New Roman" w:eastAsia="宋体" w:hAnsi="Times New Roman" w:cs="Times New Roman"/>
                <w:sz w:val="21"/>
                <w:szCs w:val="21"/>
              </w:rPr>
              <w:lastRenderedPageBreak/>
              <w:t>本项目属于江河湖库清淤疏浚工程，</w:t>
            </w:r>
            <w:r>
              <w:rPr>
                <w:rFonts w:ascii="Times New Roman" w:eastAsia="宋体" w:hAnsi="Times New Roman" w:cs="Times New Roman" w:hint="eastAsia"/>
                <w:sz w:val="21"/>
                <w:szCs w:val="21"/>
              </w:rPr>
              <w:t>属于生态影响类项目。</w:t>
            </w:r>
            <w:r>
              <w:rPr>
                <w:rFonts w:ascii="Times New Roman" w:eastAsia="宋体" w:hAnsi="Times New Roman" w:cs="Times New Roman"/>
                <w:sz w:val="21"/>
                <w:szCs w:val="21"/>
              </w:rPr>
              <w:t>长石水库平均清淤厚度为</w:t>
            </w:r>
            <w:r>
              <w:rPr>
                <w:rFonts w:ascii="Times New Roman" w:eastAsia="宋体" w:hAnsi="Times New Roman" w:cs="Times New Roman"/>
                <w:sz w:val="21"/>
                <w:szCs w:val="21"/>
              </w:rPr>
              <w:t xml:space="preserve"> 1.67m</w:t>
            </w:r>
            <w:r>
              <w:rPr>
                <w:rFonts w:ascii="Times New Roman" w:eastAsia="宋体" w:hAnsi="Times New Roman" w:cs="Times New Roman"/>
                <w:sz w:val="21"/>
                <w:szCs w:val="21"/>
              </w:rPr>
              <w:t>，清淤面积</w:t>
            </w:r>
            <w:r>
              <w:rPr>
                <w:rFonts w:ascii="Times New Roman" w:eastAsia="宋体" w:hAnsi="Times New Roman" w:cs="Times New Roman"/>
                <w:sz w:val="21"/>
                <w:szCs w:val="21"/>
              </w:rPr>
              <w:t xml:space="preserve"> 0.12km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，清淤量</w:t>
            </w:r>
            <w:r>
              <w:rPr>
                <w:rFonts w:ascii="Times New Roman" w:eastAsia="宋体" w:hAnsi="Times New Roman" w:cs="Times New Roman"/>
                <w:sz w:val="21"/>
                <w:szCs w:val="21"/>
              </w:rPr>
              <w:t xml:space="preserve"> 20 </w:t>
            </w:r>
            <w:r>
              <w:rPr>
                <w:rFonts w:ascii="Times New Roman" w:eastAsia="宋体" w:hAnsi="Times New Roman" w:cs="Times New Roman"/>
                <w:sz w:val="21"/>
                <w:szCs w:val="21"/>
              </w:rPr>
              <w:t>万</w:t>
            </w:r>
            <w:r>
              <w:rPr>
                <w:rFonts w:ascii="Times New Roman" w:eastAsia="宋体" w:hAnsi="Times New Roman" w:cs="Times New Roman"/>
                <w:sz w:val="21"/>
                <w:szCs w:val="21"/>
              </w:rPr>
              <w:t xml:space="preserve"> m</w:t>
            </w:r>
            <w:r>
              <w:rPr>
                <w:rFonts w:ascii="Times New Roman" w:eastAsia="宋体" w:hAnsi="Times New Roman" w:cs="Times New Roman"/>
                <w:sz w:val="21"/>
                <w:szCs w:val="21"/>
                <w:vertAlign w:val="superscript"/>
              </w:rPr>
              <w:t>3</w:t>
            </w:r>
            <w:r>
              <w:rPr>
                <w:rFonts w:ascii="Times New Roman" w:eastAsia="宋体" w:hAnsi="Times New Roman" w:cs="Times New Roman" w:hint="eastAsia"/>
                <w:sz w:val="21"/>
                <w:szCs w:val="21"/>
              </w:rPr>
              <w:t>。项目在长石水库西南侧设置临时堆放点，场地面积</w:t>
            </w:r>
            <w:r>
              <w:rPr>
                <w:rFonts w:ascii="Times New Roman" w:eastAsia="宋体" w:hAnsi="Times New Roman" w:cs="Times New Roman" w:hint="eastAsia"/>
                <w:sz w:val="21"/>
                <w:szCs w:val="21"/>
              </w:rPr>
              <w:lastRenderedPageBreak/>
              <w:t>约</w:t>
            </w:r>
            <w:r>
              <w:rPr>
                <w:rFonts w:ascii="Times New Roman" w:eastAsia="宋体" w:hAnsi="Times New Roman" w:cs="Times New Roman" w:hint="eastAsia"/>
                <w:sz w:val="21"/>
                <w:szCs w:val="21"/>
              </w:rPr>
              <w:t xml:space="preserve"> 2.44 m</w:t>
            </w:r>
            <w:r>
              <w:rPr>
                <w:rFonts w:ascii="Times New Roman" w:eastAsia="宋体" w:hAnsi="Times New Roman" w:cs="Times New Roman" w:hint="eastAsia"/>
                <w:sz w:val="21"/>
                <w:szCs w:val="21"/>
                <w:vertAlign w:val="superscript"/>
              </w:rPr>
              <w:t>2</w:t>
            </w:r>
            <w:r>
              <w:rPr>
                <w:rFonts w:ascii="Times New Roman" w:eastAsia="宋体" w:hAnsi="Times New Roman" w:cs="Times New Roman" w:hint="eastAsia"/>
                <w:sz w:val="21"/>
                <w:szCs w:val="21"/>
              </w:rPr>
              <w:t>，临时占地不属于基本农田，为一般耕地。本项目不涉及永久占地，不</w:t>
            </w:r>
            <w:r>
              <w:rPr>
                <w:rFonts w:ascii="Times New Roman" w:eastAsia="宋体" w:hAnsi="Times New Roman" w:cs="Times New Roman"/>
                <w:sz w:val="21"/>
                <w:szCs w:val="21"/>
              </w:rPr>
              <w:t>占用永久基本农田。</w:t>
            </w:r>
          </w:p>
        </w:tc>
        <w:tc>
          <w:tcPr>
            <w:tcW w:w="251" w:type="pct"/>
            <w:vAlign w:val="center"/>
          </w:tcPr>
          <w:p w14:paraId="3815264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highlight w:val="yellow"/>
              </w:rPr>
            </w:pPr>
            <w:r>
              <w:rPr>
                <w:rFonts w:ascii="Times New Roman" w:eastAsia="宋体" w:hAnsi="Times New Roman" w:cs="Times New Roman"/>
                <w:sz w:val="21"/>
                <w:szCs w:val="21"/>
              </w:rPr>
              <w:lastRenderedPageBreak/>
              <w:t>符合</w:t>
            </w:r>
          </w:p>
        </w:tc>
      </w:tr>
      <w:tr w:rsidR="009D12AF" w14:paraId="2166A8F7" w14:textId="77777777">
        <w:trPr>
          <w:trHeight w:val="146"/>
          <w:jc w:val="center"/>
        </w:trPr>
        <w:tc>
          <w:tcPr>
            <w:tcW w:w="470" w:type="pct"/>
            <w:vAlign w:val="center"/>
          </w:tcPr>
          <w:p w14:paraId="4AE1D645"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lastRenderedPageBreak/>
              <w:t>ZH23100410002</w:t>
            </w:r>
          </w:p>
        </w:tc>
        <w:tc>
          <w:tcPr>
            <w:tcW w:w="493" w:type="pct"/>
            <w:vAlign w:val="center"/>
          </w:tcPr>
          <w:p w14:paraId="54E601B6"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爱民区一般生态空间</w:t>
            </w:r>
          </w:p>
        </w:tc>
        <w:tc>
          <w:tcPr>
            <w:tcW w:w="405" w:type="pct"/>
            <w:vAlign w:val="center"/>
          </w:tcPr>
          <w:p w14:paraId="16DC8B7F"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优先保护单元</w:t>
            </w:r>
          </w:p>
        </w:tc>
        <w:tc>
          <w:tcPr>
            <w:tcW w:w="440" w:type="pct"/>
            <w:vAlign w:val="center"/>
          </w:tcPr>
          <w:p w14:paraId="25E03B97" w14:textId="77777777" w:rsidR="009D12AF" w:rsidRDefault="00000000">
            <w:pPr>
              <w:widowControl/>
              <w:spacing w:line="240" w:lineRule="auto"/>
              <w:ind w:firstLineChars="0" w:firstLine="0"/>
              <w:jc w:val="center"/>
              <w:rPr>
                <w:rFonts w:ascii="Times New Roman" w:eastAsia="宋体" w:hAnsi="Times New Roman" w:cs="Times New Roman"/>
                <w:sz w:val="21"/>
                <w:szCs w:val="21"/>
                <w:highlight w:val="yellow"/>
              </w:rPr>
            </w:pPr>
            <w:r>
              <w:rPr>
                <w:rFonts w:ascii="Times New Roman" w:eastAsia="宋体" w:hAnsi="Times New Roman" w:cs="Times New Roman"/>
                <w:sz w:val="21"/>
                <w:szCs w:val="21"/>
              </w:rPr>
              <w:t>空间布局约束</w:t>
            </w:r>
          </w:p>
        </w:tc>
        <w:tc>
          <w:tcPr>
            <w:tcW w:w="2207" w:type="pct"/>
            <w:vAlign w:val="center"/>
          </w:tcPr>
          <w:p w14:paraId="265AC907"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原则上按限制开发区域的要求进行管理。严格限制与生态功能不一致的开发建设活动。符合区域准入条件的新增建设项目，涉及占用生态空间中的林地、草原等，按有关法律法规规定办理；涉及占用生态空间中其他未作明确规定的用地，应当加强论证和管理。符合条件的农业开发项目，须依法由市县级及以上地方人民政府统筹安排。除符合国家生态退耕条件的耕地，并纳入国家生态退耕总体安排，或因国家重大生态工程建设需要外，不得随意转用。</w:t>
            </w:r>
            <w:r>
              <w:rPr>
                <w:rFonts w:ascii="Times New Roman" w:eastAsia="宋体" w:hAnsi="Times New Roman" w:cs="Times New Roman"/>
                <w:sz w:val="21"/>
                <w:szCs w:val="21"/>
              </w:rPr>
              <w:t>2.</w:t>
            </w:r>
            <w:r>
              <w:rPr>
                <w:rFonts w:ascii="Times New Roman" w:eastAsia="宋体" w:hAnsi="Times New Roman" w:cs="Times New Roman"/>
                <w:sz w:val="21"/>
                <w:szCs w:val="21"/>
              </w:rPr>
              <w:t>对依法保护的生态空间实行承载力控制，防止过度垦殖、放牧、采伐、取水、渔猎、旅游等对生态功能造成损害，确保自然</w:t>
            </w:r>
            <w:r>
              <w:rPr>
                <w:rFonts w:ascii="Times New Roman" w:eastAsia="宋体" w:hAnsi="Times New Roman" w:cs="Times New Roman"/>
                <w:sz w:val="21"/>
                <w:szCs w:val="21"/>
              </w:rPr>
              <w:lastRenderedPageBreak/>
              <w:t>生态系统的稳定。</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避免开发建设活动损害其生态服务功能和生态产品质量。</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已经侵占生态空间的，应建立退出机制、制定治理方案及时间表。</w:t>
            </w:r>
            <w:r>
              <w:rPr>
                <w:rFonts w:ascii="Times New Roman" w:eastAsia="宋体" w:hAnsi="Times New Roman" w:cs="Times New Roman"/>
                <w:sz w:val="21"/>
                <w:szCs w:val="21"/>
              </w:rPr>
              <w:t xml:space="preserve"> 5.</w:t>
            </w:r>
            <w:r>
              <w:rPr>
                <w:rFonts w:ascii="Times New Roman" w:eastAsia="宋体" w:hAnsi="Times New Roman" w:cs="Times New Roman"/>
                <w:sz w:val="21"/>
                <w:szCs w:val="21"/>
              </w:rPr>
              <w:t>牡丹江市区生活饮用水水源（西水源、铁路水源）同时执行以下要求：</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）饮用水</w:t>
            </w:r>
            <w:r>
              <w:rPr>
                <w:rFonts w:ascii="Times New Roman" w:eastAsia="宋体" w:hAnsi="Times New Roman" w:cs="Times New Roman"/>
                <w:sz w:val="21"/>
                <w:szCs w:val="21"/>
              </w:rPr>
              <w:t xml:space="preserve"> </w:t>
            </w:r>
          </w:p>
          <w:p w14:paraId="03DEDBBA"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地表水源各级保护区及准保护区内均必须遵守下列规定：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）禁止一切破坏水环境生态平衡的活动以及破坏水源林、护岸林、与水源保护相关植被的活动。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）禁止向水域倾倒工业废渣、城市垃圾、粪便及其它废弃物。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3</w:t>
            </w:r>
            <w:r>
              <w:rPr>
                <w:rFonts w:ascii="Times New Roman" w:eastAsia="宋体" w:hAnsi="Times New Roman" w:cs="Times New Roman"/>
                <w:sz w:val="21"/>
                <w:szCs w:val="21"/>
              </w:rPr>
              <w:t>）运输有毒有害物质、油类、粪便的船舶和车辆一般不准进入保护区，必须进入者应事先申请并经有关部门批准、登记并设置防渗、防溢、防漏设施。</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4</w:t>
            </w:r>
            <w:r>
              <w:rPr>
                <w:rFonts w:ascii="Times New Roman" w:eastAsia="宋体" w:hAnsi="Times New Roman" w:cs="Times New Roman"/>
                <w:sz w:val="21"/>
                <w:szCs w:val="21"/>
              </w:rPr>
              <w:t>）禁止使用剧毒和高残留农药，不得滥用化肥，不得使用炸药、毒品捕杀鱼类。</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5</w:t>
            </w:r>
            <w:r>
              <w:rPr>
                <w:rFonts w:ascii="Times New Roman" w:eastAsia="宋体" w:hAnsi="Times New Roman" w:cs="Times New Roman"/>
                <w:sz w:val="21"/>
                <w:szCs w:val="21"/>
              </w:rPr>
              <w:t>）禁止建设畜禽养殖场、养殖小区。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6</w:t>
            </w:r>
            <w:r>
              <w:rPr>
                <w:rFonts w:ascii="Times New Roman" w:eastAsia="宋体" w:hAnsi="Times New Roman" w:cs="Times New Roman"/>
                <w:sz w:val="21"/>
                <w:szCs w:val="21"/>
              </w:rPr>
              <w:t>）禁止设置排污口。</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）饮用水地表</w:t>
            </w:r>
            <w:r>
              <w:rPr>
                <w:rFonts w:ascii="Times New Roman" w:eastAsia="宋体" w:hAnsi="Times New Roman" w:cs="Times New Roman"/>
                <w:sz w:val="21"/>
                <w:szCs w:val="21"/>
              </w:rPr>
              <w:t xml:space="preserve"> </w:t>
            </w:r>
          </w:p>
          <w:p w14:paraId="17A01B4E"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水源各级保护区及准保护区内必须分别遵守下列规定：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）一级保护区内：禁止新建、扩建与供水设施和保护水源无关的建设项目，已建成的与供水设施和保护水源无关的建设项目，由县级以上人民政府责令拆除或者关闭；禁止向水域排放污水，已设置的排污口必须拆</w:t>
            </w:r>
            <w:r>
              <w:rPr>
                <w:rFonts w:ascii="Times New Roman" w:eastAsia="宋体" w:hAnsi="Times New Roman" w:cs="Times New Roman"/>
                <w:sz w:val="21"/>
                <w:szCs w:val="21"/>
              </w:rPr>
              <w:t xml:space="preserve"> </w:t>
            </w:r>
          </w:p>
          <w:p w14:paraId="744443AB"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除；不得设置与供水需要无关的码头，禁止停靠船舶；禁止堆置和存放工业废渣、城市垃圾、粪便和其他废弃物；禁止设置油库；禁止从事种植、放养畜禽和网箱养殖活动；禁止可能污染水源的旅游活动和其他活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）二级保护区内：禁止新建、改建、扩建排放污染</w:t>
            </w:r>
            <w:r>
              <w:rPr>
                <w:rFonts w:ascii="Times New Roman" w:eastAsia="宋体" w:hAnsi="Times New Roman" w:cs="Times New Roman"/>
                <w:sz w:val="21"/>
                <w:szCs w:val="21"/>
              </w:rPr>
              <w:t xml:space="preserve"> </w:t>
            </w:r>
          </w:p>
          <w:p w14:paraId="79E4EA22"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物的建设项目，已建成的排放污染物的建设项目，由县级以上人民政府责令拆除或者关闭；原有排污口依法拆除或者关闭；禁止设立装卸垃圾、粪便、油类</w:t>
            </w:r>
            <w:r>
              <w:rPr>
                <w:rFonts w:ascii="Times New Roman" w:eastAsia="宋体" w:hAnsi="Times New Roman" w:cs="Times New Roman"/>
                <w:sz w:val="21"/>
                <w:szCs w:val="21"/>
              </w:rPr>
              <w:lastRenderedPageBreak/>
              <w:t>和有毒物品的码头。</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3</w:t>
            </w:r>
            <w:r>
              <w:rPr>
                <w:rFonts w:ascii="Times New Roman" w:eastAsia="宋体" w:hAnsi="Times New Roman" w:cs="Times New Roman"/>
                <w:sz w:val="21"/>
                <w:szCs w:val="21"/>
              </w:rPr>
              <w:t>）准保护区内：禁止新建、扩建对水体污染严重的建设项目；改建建设项目，不得增加排污</w:t>
            </w:r>
            <w:r>
              <w:rPr>
                <w:rFonts w:ascii="Times New Roman" w:eastAsia="宋体" w:hAnsi="Times New Roman" w:cs="Times New Roman"/>
                <w:sz w:val="21"/>
                <w:szCs w:val="21"/>
              </w:rPr>
              <w:t xml:space="preserve"> </w:t>
            </w:r>
          </w:p>
          <w:p w14:paraId="5DF713A9"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量。</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）国务院和省、自治区、直辖市人民政府根据水环境保护的需要，可以规定在饮用水水源保护区内，采取禁止或者限制使用含磷洗涤剂、化肥、农药以及限制种植养殖等措施。</w:t>
            </w:r>
            <w:r>
              <w:rPr>
                <w:rFonts w:ascii="Times New Roman" w:eastAsia="宋体" w:hAnsi="Times New Roman" w:cs="Times New Roman"/>
                <w:sz w:val="21"/>
                <w:szCs w:val="21"/>
              </w:rPr>
              <w:t>4</w:t>
            </w:r>
            <w:r>
              <w:rPr>
                <w:rFonts w:ascii="Times New Roman" w:eastAsia="宋体" w:hAnsi="Times New Roman" w:cs="Times New Roman"/>
                <w:sz w:val="21"/>
                <w:szCs w:val="21"/>
              </w:rPr>
              <w:t>）</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饮用水地下水源各级保护区及准保护区内均必须遵守下列规定：禁止利用渗坑、渗井、</w:t>
            </w:r>
            <w:r>
              <w:rPr>
                <w:rFonts w:ascii="Times New Roman" w:eastAsia="宋体" w:hAnsi="Times New Roman" w:cs="Times New Roman"/>
                <w:sz w:val="21"/>
                <w:szCs w:val="21"/>
              </w:rPr>
              <w:t xml:space="preserve"> </w:t>
            </w:r>
          </w:p>
          <w:p w14:paraId="6ABA173A"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裂隙、溶洞等排放污水和其它有害废弃物；禁止利用透水层孔隙、裂隙、溶洞及废弃矿坑储存石油、天然气、放射性物质、有毒有害化工原料、农药等；实行人工回灌地下水时不得污染当地地下水源。</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一级保护区内：禁止建设与取水设施无关的建筑物；禁止从事农牧业活动；禁止倾倒、堆放工业废渣及城市垃圾、粪便和其它有害废弃物；禁止输送污水的渠道、管道及输油管道通过本区；禁止建设油库；禁止建立墓地。（</w:t>
            </w:r>
            <w:r>
              <w:rPr>
                <w:rFonts w:ascii="Times New Roman" w:eastAsia="宋体" w:hAnsi="Times New Roman" w:cs="Times New Roman"/>
                <w:sz w:val="21"/>
                <w:szCs w:val="21"/>
              </w:rPr>
              <w:t>2</w:t>
            </w:r>
            <w:r>
              <w:rPr>
                <w:rFonts w:ascii="Times New Roman" w:eastAsia="宋体" w:hAnsi="Times New Roman" w:cs="Times New Roman"/>
                <w:sz w:val="21"/>
                <w:szCs w:val="21"/>
              </w:rPr>
              <w:t>）二级保护区内：</w:t>
            </w:r>
            <w:r>
              <w:rPr>
                <w:rFonts w:ascii="Times New Roman" w:eastAsia="宋体" w:hAnsi="Times New Roman" w:cs="Times New Roman"/>
                <w:sz w:val="21"/>
                <w:szCs w:val="21"/>
              </w:rPr>
              <w:t>1</w:t>
            </w:r>
            <w:r>
              <w:rPr>
                <w:rFonts w:ascii="Times New Roman" w:eastAsia="宋体" w:hAnsi="Times New Roman" w:cs="Times New Roman"/>
                <w:sz w:val="21"/>
                <w:szCs w:val="21"/>
              </w:rPr>
              <w:t>）对于潜水含水层地下水水源地：禁止建设化工、电镀、皮革、造纸、制浆、冶炼、放射性、印</w:t>
            </w:r>
            <w:r>
              <w:rPr>
                <w:rFonts w:ascii="Times New Roman" w:eastAsia="宋体" w:hAnsi="Times New Roman" w:cs="Times New Roman"/>
                <w:sz w:val="21"/>
                <w:szCs w:val="21"/>
              </w:rPr>
              <w:t xml:space="preserve"> </w:t>
            </w:r>
          </w:p>
          <w:p w14:paraId="001A0E4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染、染料、炼焦、炼油及其它有严重污染的企业，已建成的要限期治理，转产或搬迁；禁止设置城市垃圾、粪便和易溶、有毒有害废弃物堆放场和转运站，已有的上述场站要限期搬迁；禁止利用未经净化的污水灌溉农田，已有的污灌农田要限期改用清水灌溉；化工原料、</w:t>
            </w:r>
            <w:r>
              <w:rPr>
                <w:rFonts w:ascii="Times New Roman" w:eastAsia="宋体" w:hAnsi="Times New Roman" w:cs="Times New Roman"/>
                <w:sz w:val="21"/>
                <w:szCs w:val="21"/>
              </w:rPr>
              <w:t xml:space="preserve"> </w:t>
            </w:r>
          </w:p>
          <w:p w14:paraId="02A3479D" w14:textId="77777777" w:rsidR="009D12AF" w:rsidRDefault="00000000">
            <w:pPr>
              <w:widowControl/>
              <w:spacing w:line="240" w:lineRule="auto"/>
              <w:ind w:firstLineChars="0" w:firstLine="0"/>
              <w:jc w:val="center"/>
              <w:rPr>
                <w:rFonts w:ascii="Times New Roman" w:eastAsia="宋体" w:hAnsi="Times New Roman" w:cs="Times New Roman"/>
                <w:sz w:val="21"/>
                <w:szCs w:val="21"/>
                <w:highlight w:val="yellow"/>
              </w:rPr>
            </w:pPr>
            <w:r>
              <w:rPr>
                <w:rFonts w:ascii="Times New Roman" w:eastAsia="宋体" w:hAnsi="Times New Roman" w:cs="Times New Roman"/>
                <w:sz w:val="21"/>
                <w:szCs w:val="21"/>
              </w:rPr>
              <w:t>矿物油类及有毒有害矿产品的堆放场所必须有防雨、防渗措施。</w:t>
            </w:r>
            <w:r>
              <w:rPr>
                <w:rFonts w:ascii="Times New Roman" w:eastAsia="宋体" w:hAnsi="Times New Roman" w:cs="Times New Roman"/>
                <w:sz w:val="21"/>
                <w:szCs w:val="21"/>
              </w:rPr>
              <w:t>2</w:t>
            </w:r>
            <w:r>
              <w:rPr>
                <w:rFonts w:ascii="Times New Roman" w:eastAsia="宋体" w:hAnsi="Times New Roman" w:cs="Times New Roman"/>
                <w:sz w:val="21"/>
                <w:szCs w:val="21"/>
              </w:rPr>
              <w:t>）对于承压含水层地下水水源地：禁止承压水和潜水的混合开采，作好潜水的止水措施。（</w:t>
            </w:r>
            <w:r>
              <w:rPr>
                <w:rFonts w:ascii="Times New Roman" w:eastAsia="宋体" w:hAnsi="Times New Roman" w:cs="Times New Roman"/>
                <w:sz w:val="21"/>
                <w:szCs w:val="21"/>
              </w:rPr>
              <w:t>3</w:t>
            </w:r>
            <w:r>
              <w:rPr>
                <w:rFonts w:ascii="Times New Roman" w:eastAsia="宋体" w:hAnsi="Times New Roman" w:cs="Times New Roman"/>
                <w:sz w:val="21"/>
                <w:szCs w:val="21"/>
              </w:rPr>
              <w:t>）准保护区内：禁止建设城市垃圾、粪便和易溶、有毒有害废弃物的</w:t>
            </w:r>
            <w:r>
              <w:rPr>
                <w:rFonts w:ascii="Times New Roman" w:eastAsia="宋体" w:hAnsi="Times New Roman" w:cs="Times New Roman"/>
                <w:sz w:val="21"/>
                <w:szCs w:val="21"/>
              </w:rPr>
              <w:lastRenderedPageBreak/>
              <w:t>堆放场站，因特殊需要设立转运站的，必须经有关部门批准，并采取防渗漏措施；当补给源为地表水体时，该地表水体水质不应低于《地表水环境质量标准》</w:t>
            </w:r>
            <w:r>
              <w:rPr>
                <w:rFonts w:ascii="Times New Roman" w:eastAsia="宋体" w:hAnsi="Times New Roman" w:cs="Times New Roman"/>
                <w:sz w:val="21"/>
                <w:szCs w:val="21"/>
              </w:rPr>
              <w:t>Ⅲ</w:t>
            </w:r>
            <w:r>
              <w:rPr>
                <w:rFonts w:ascii="Times New Roman" w:eastAsia="宋体" w:hAnsi="Times New Roman" w:cs="Times New Roman"/>
                <w:sz w:val="21"/>
                <w:szCs w:val="21"/>
              </w:rPr>
              <w:t>类标准；不得使用不符合《农田灌溉水质标准》的污水进行灌溉，合理使用化肥；保护水源林，禁止毁林开荒，禁止非更新砍伐水源林。</w:t>
            </w:r>
          </w:p>
        </w:tc>
        <w:tc>
          <w:tcPr>
            <w:tcW w:w="730" w:type="pct"/>
            <w:vAlign w:val="center"/>
          </w:tcPr>
          <w:p w14:paraId="4CFF08E2" w14:textId="77777777" w:rsidR="009D12AF" w:rsidRDefault="00000000">
            <w:pPr>
              <w:widowControl/>
              <w:spacing w:line="240" w:lineRule="auto"/>
              <w:ind w:firstLineChars="0" w:firstLine="0"/>
              <w:jc w:val="center"/>
              <w:rPr>
                <w:rFonts w:ascii="Times New Roman" w:eastAsia="宋体" w:hAnsi="Times New Roman" w:cs="Times New Roman"/>
                <w:sz w:val="21"/>
                <w:szCs w:val="21"/>
                <w:highlight w:val="yellow"/>
              </w:rPr>
            </w:pPr>
            <w:r>
              <w:rPr>
                <w:rFonts w:ascii="Times New Roman" w:eastAsia="宋体" w:hAnsi="Times New Roman" w:cs="Times New Roman" w:hint="eastAsia"/>
                <w:sz w:val="21"/>
                <w:szCs w:val="21"/>
              </w:rPr>
              <w:lastRenderedPageBreak/>
              <w:t>项目在长石水库西南侧设置临时堆放点，场地面积约</w:t>
            </w:r>
            <w:r>
              <w:rPr>
                <w:rFonts w:ascii="Times New Roman" w:eastAsia="宋体" w:hAnsi="Times New Roman" w:cs="Times New Roman" w:hint="eastAsia"/>
                <w:sz w:val="21"/>
                <w:szCs w:val="21"/>
              </w:rPr>
              <w:t xml:space="preserve"> 2.44 m</w:t>
            </w:r>
            <w:r>
              <w:rPr>
                <w:rFonts w:ascii="Times New Roman" w:eastAsia="宋体" w:hAnsi="Times New Roman" w:cs="Times New Roman" w:hint="eastAsia"/>
                <w:sz w:val="21"/>
                <w:szCs w:val="21"/>
                <w:vertAlign w:val="superscript"/>
              </w:rPr>
              <w:t>2</w:t>
            </w:r>
            <w:r>
              <w:rPr>
                <w:rFonts w:ascii="Times New Roman" w:eastAsia="宋体" w:hAnsi="Times New Roman" w:cs="Times New Roman" w:hint="eastAsia"/>
                <w:sz w:val="21"/>
                <w:szCs w:val="21"/>
              </w:rPr>
              <w:t>，临时占地不属于基本农田，为一般耕地。本项目不涉及永久占地，不</w:t>
            </w:r>
            <w:r>
              <w:rPr>
                <w:rFonts w:ascii="Times New Roman" w:eastAsia="宋体" w:hAnsi="Times New Roman" w:cs="Times New Roman"/>
                <w:sz w:val="21"/>
                <w:szCs w:val="21"/>
              </w:rPr>
              <w:t>占用永久基本农田。</w:t>
            </w:r>
          </w:p>
        </w:tc>
        <w:tc>
          <w:tcPr>
            <w:tcW w:w="251" w:type="pct"/>
            <w:vAlign w:val="center"/>
          </w:tcPr>
          <w:p w14:paraId="6F04ACD0" w14:textId="77777777" w:rsidR="009D12AF" w:rsidRDefault="00000000">
            <w:pPr>
              <w:widowControl/>
              <w:spacing w:line="240" w:lineRule="auto"/>
              <w:ind w:firstLineChars="0" w:firstLine="0"/>
              <w:jc w:val="center"/>
              <w:rPr>
                <w:rFonts w:ascii="Times New Roman" w:eastAsia="宋体" w:hAnsi="Times New Roman" w:cs="Times New Roman"/>
                <w:sz w:val="21"/>
                <w:szCs w:val="21"/>
                <w:highlight w:val="yellow"/>
              </w:rPr>
            </w:pPr>
            <w:r>
              <w:rPr>
                <w:rFonts w:ascii="Times New Roman" w:eastAsia="宋体" w:hAnsi="Times New Roman" w:cs="Times New Roman"/>
                <w:sz w:val="21"/>
                <w:szCs w:val="21"/>
              </w:rPr>
              <w:t>符合</w:t>
            </w:r>
          </w:p>
        </w:tc>
      </w:tr>
      <w:tr w:rsidR="009D12AF" w14:paraId="74F47440" w14:textId="77777777">
        <w:trPr>
          <w:trHeight w:val="1536"/>
          <w:jc w:val="center"/>
        </w:trPr>
        <w:tc>
          <w:tcPr>
            <w:tcW w:w="470" w:type="pct"/>
            <w:vMerge w:val="restart"/>
            <w:vAlign w:val="center"/>
          </w:tcPr>
          <w:p w14:paraId="7A6CD9E1"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lastRenderedPageBreak/>
              <w:t>ZH23108320004</w:t>
            </w:r>
          </w:p>
          <w:p w14:paraId="3CEF77E3"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493" w:type="pct"/>
            <w:vMerge w:val="restart"/>
            <w:vAlign w:val="center"/>
          </w:tcPr>
          <w:p w14:paraId="49D70FB6"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海林市水环境农业污染</w:t>
            </w:r>
            <w:r>
              <w:rPr>
                <w:rFonts w:ascii="Times New Roman" w:eastAsia="宋体" w:hAnsi="Times New Roman" w:cs="Times New Roman"/>
                <w:sz w:val="21"/>
                <w:szCs w:val="21"/>
              </w:rPr>
              <w:t xml:space="preserve"> </w:t>
            </w:r>
          </w:p>
          <w:p w14:paraId="5A82A78F"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重点管控区</w:t>
            </w:r>
          </w:p>
          <w:p w14:paraId="61630F1C"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405" w:type="pct"/>
            <w:vMerge w:val="restart"/>
            <w:vAlign w:val="center"/>
          </w:tcPr>
          <w:p w14:paraId="3047902C"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重点管控单元</w:t>
            </w:r>
          </w:p>
          <w:p w14:paraId="4472AA25"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440" w:type="pct"/>
            <w:vAlign w:val="center"/>
          </w:tcPr>
          <w:p w14:paraId="7DF63630"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空间布局约束</w:t>
            </w:r>
          </w:p>
        </w:tc>
        <w:tc>
          <w:tcPr>
            <w:tcW w:w="2207" w:type="pct"/>
            <w:vAlign w:val="center"/>
          </w:tcPr>
          <w:p w14:paraId="6989CD17"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科学划定畜禽养殖禁养区。</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w:t>
            </w:r>
            <w:r>
              <w:rPr>
                <w:rFonts w:ascii="Times New Roman" w:eastAsia="宋体" w:hAnsi="Times New Roman" w:cs="Times New Roman"/>
                <w:sz w:val="21"/>
                <w:szCs w:val="21"/>
              </w:rPr>
              <w:t xml:space="preserve"> </w:t>
            </w:r>
          </w:p>
          <w:p w14:paraId="668DDCB8"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长。</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大气环境布局敏感重点管控区同时执行：</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）严控</w:t>
            </w:r>
            <w:r>
              <w:rPr>
                <w:rFonts w:ascii="Times New Roman" w:eastAsia="宋体" w:hAnsi="Times New Roman" w:cs="Times New Roman"/>
                <w:sz w:val="21"/>
                <w:szCs w:val="21"/>
              </w:rPr>
              <w:t>“</w:t>
            </w:r>
            <w:r>
              <w:rPr>
                <w:rFonts w:ascii="Times New Roman" w:eastAsia="宋体" w:hAnsi="Times New Roman" w:cs="Times New Roman"/>
                <w:sz w:val="21"/>
                <w:szCs w:val="21"/>
              </w:rPr>
              <w:t>两高</w:t>
            </w:r>
            <w:r>
              <w:rPr>
                <w:rFonts w:ascii="Times New Roman" w:eastAsia="宋体" w:hAnsi="Times New Roman" w:cs="Times New Roman"/>
                <w:sz w:val="21"/>
                <w:szCs w:val="21"/>
              </w:rPr>
              <w:t>”</w:t>
            </w:r>
            <w:r>
              <w:rPr>
                <w:rFonts w:ascii="Times New Roman" w:eastAsia="宋体" w:hAnsi="Times New Roman" w:cs="Times New Roman"/>
                <w:sz w:val="21"/>
                <w:szCs w:val="21"/>
              </w:rPr>
              <w:t>行业产能。严格执行钢铁、水泥、平板玻璃等行业产能置换实施办法。</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）利用水泥窑协同处置城市生活垃圾、危险废弃物、电石渣等固废伴生水泥项目，必须依托现有新型干法水泥熟料生产线进行不扩产</w:t>
            </w:r>
            <w:r>
              <w:rPr>
                <w:rFonts w:ascii="Times New Roman" w:eastAsia="宋体" w:hAnsi="Times New Roman" w:cs="Times New Roman"/>
                <w:sz w:val="21"/>
                <w:szCs w:val="21"/>
              </w:rPr>
              <w:t xml:space="preserve"> </w:t>
            </w:r>
          </w:p>
          <w:p w14:paraId="6B59783A"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能改造。</w:t>
            </w:r>
          </w:p>
        </w:tc>
        <w:tc>
          <w:tcPr>
            <w:tcW w:w="730" w:type="pct"/>
            <w:vAlign w:val="center"/>
          </w:tcPr>
          <w:p w14:paraId="62662CCC" w14:textId="77777777" w:rsidR="009D12AF" w:rsidRDefault="00000000">
            <w:pPr>
              <w:widowControl/>
              <w:spacing w:line="240" w:lineRule="auto"/>
              <w:ind w:firstLineChars="0" w:firstLine="0"/>
              <w:jc w:val="center"/>
              <w:rPr>
                <w:rFonts w:ascii="Times New Roman" w:eastAsia="宋体" w:hAnsi="Times New Roman" w:cs="Times New Roman"/>
                <w:sz w:val="21"/>
                <w:szCs w:val="21"/>
                <w:highlight w:val="yellow"/>
              </w:rPr>
            </w:pPr>
            <w:r>
              <w:rPr>
                <w:rFonts w:ascii="Times New Roman" w:eastAsia="宋体" w:hAnsi="Times New Roman" w:cs="Times New Roman"/>
                <w:sz w:val="21"/>
                <w:szCs w:val="21"/>
              </w:rPr>
              <w:t>本项目属于江河湖库清淤疏浚工程，</w:t>
            </w:r>
            <w:r>
              <w:rPr>
                <w:rFonts w:ascii="Times New Roman" w:eastAsia="宋体" w:hAnsi="Times New Roman" w:cs="Times New Roman" w:hint="eastAsia"/>
                <w:sz w:val="21"/>
                <w:szCs w:val="21"/>
              </w:rPr>
              <w:t>属于生态影响类项目。</w:t>
            </w:r>
          </w:p>
        </w:tc>
        <w:tc>
          <w:tcPr>
            <w:tcW w:w="251" w:type="pct"/>
            <w:vAlign w:val="center"/>
          </w:tcPr>
          <w:p w14:paraId="04D18553"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符合</w:t>
            </w:r>
          </w:p>
        </w:tc>
      </w:tr>
      <w:tr w:rsidR="009D12AF" w14:paraId="17066E74" w14:textId="77777777">
        <w:trPr>
          <w:trHeight w:val="1536"/>
          <w:jc w:val="center"/>
        </w:trPr>
        <w:tc>
          <w:tcPr>
            <w:tcW w:w="470" w:type="pct"/>
            <w:vMerge/>
            <w:vAlign w:val="center"/>
          </w:tcPr>
          <w:p w14:paraId="611CB6CE"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493" w:type="pct"/>
            <w:vMerge/>
            <w:vAlign w:val="center"/>
          </w:tcPr>
          <w:p w14:paraId="259DEAE8"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405" w:type="pct"/>
            <w:vMerge/>
            <w:vAlign w:val="center"/>
          </w:tcPr>
          <w:p w14:paraId="3649999A"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440" w:type="pct"/>
            <w:vAlign w:val="center"/>
          </w:tcPr>
          <w:p w14:paraId="4096822F"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污染物排放管控</w:t>
            </w:r>
          </w:p>
        </w:tc>
        <w:tc>
          <w:tcPr>
            <w:tcW w:w="2207" w:type="pct"/>
            <w:vAlign w:val="center"/>
          </w:tcPr>
          <w:p w14:paraId="690D2BB9"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支持规模化畜禽养殖场（小区）开展标准化改造和建设，提高畜禽粪污收集和处理机械化</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水平，实施雨污分流、粪</w:t>
            </w:r>
          </w:p>
          <w:p w14:paraId="39535291"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污资源化利用，控制畜禽养殖污染排放。</w:t>
            </w:r>
            <w:r>
              <w:rPr>
                <w:rFonts w:ascii="Times New Roman" w:eastAsia="宋体" w:hAnsi="Times New Roman" w:cs="Times New Roman"/>
                <w:sz w:val="21"/>
                <w:szCs w:val="21"/>
              </w:rPr>
              <w:t xml:space="preserve"> </w:t>
            </w:r>
          </w:p>
          <w:p w14:paraId="4C934FE7" w14:textId="77777777" w:rsidR="009D12AF" w:rsidRDefault="00000000">
            <w:pPr>
              <w:widowControl/>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2.</w:t>
            </w:r>
            <w:r>
              <w:rPr>
                <w:rFonts w:ascii="Times New Roman" w:eastAsia="宋体" w:hAnsi="Times New Roman" w:cs="Times New Roman"/>
                <w:sz w:val="21"/>
                <w:szCs w:val="21"/>
              </w:rPr>
              <w:t>畜禽散养密集区所在地县级人民政府应当组织对畜禽粪便、污水进行集中处理利用，督促乡镇人民政府建设或者配备污染防治配套设施。</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全面加强农业面源污染防控，科学合理使用农业投入品，提高使用效率，减少农业内源性污染。</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大气环境布局敏感重点管控区同时执行：</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）对以煤、石焦油、渣油、重油等为燃料的锅炉和工业炉窑，加快</w:t>
            </w:r>
            <w:r>
              <w:rPr>
                <w:rFonts w:ascii="Times New Roman" w:eastAsia="宋体" w:hAnsi="Times New Roman" w:cs="Times New Roman"/>
                <w:sz w:val="21"/>
                <w:szCs w:val="21"/>
              </w:rPr>
              <w:lastRenderedPageBreak/>
              <w:t>使用清洁低碳能源以及工厂余热、电力热力等进行替代。</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）到</w:t>
            </w:r>
            <w:r>
              <w:rPr>
                <w:rFonts w:ascii="Times New Roman" w:eastAsia="宋体" w:hAnsi="Times New Roman" w:cs="Times New Roman"/>
                <w:sz w:val="21"/>
                <w:szCs w:val="21"/>
              </w:rPr>
              <w:t xml:space="preserve"> 2025 </w:t>
            </w:r>
            <w:r>
              <w:rPr>
                <w:rFonts w:ascii="Times New Roman" w:eastAsia="宋体" w:hAnsi="Times New Roman" w:cs="Times New Roman"/>
                <w:sz w:val="21"/>
                <w:szCs w:val="21"/>
              </w:rPr>
              <w:t>年，在用</w:t>
            </w:r>
            <w:r>
              <w:rPr>
                <w:rFonts w:ascii="Times New Roman" w:eastAsia="宋体" w:hAnsi="Times New Roman" w:cs="Times New Roman"/>
                <w:sz w:val="21"/>
                <w:szCs w:val="21"/>
              </w:rPr>
              <w:t xml:space="preserve"> 65 </w:t>
            </w:r>
            <w:r>
              <w:rPr>
                <w:rFonts w:ascii="Times New Roman" w:eastAsia="宋体" w:hAnsi="Times New Roman" w:cs="Times New Roman"/>
                <w:sz w:val="21"/>
                <w:szCs w:val="21"/>
              </w:rPr>
              <w:t>蒸吨</w:t>
            </w:r>
            <w:r>
              <w:rPr>
                <w:rFonts w:ascii="Times New Roman" w:eastAsia="宋体" w:hAnsi="Times New Roman" w:cs="Times New Roman"/>
                <w:sz w:val="21"/>
                <w:szCs w:val="21"/>
              </w:rPr>
              <w:t>/</w:t>
            </w:r>
            <w:r>
              <w:rPr>
                <w:rFonts w:ascii="Times New Roman" w:eastAsia="宋体" w:hAnsi="Times New Roman" w:cs="Times New Roman"/>
                <w:sz w:val="21"/>
                <w:szCs w:val="21"/>
              </w:rPr>
              <w:t>小时以上的燃煤锅炉（含电力）实现超低排放，钢铁企业基本实现超低排放。</w:t>
            </w:r>
          </w:p>
        </w:tc>
        <w:tc>
          <w:tcPr>
            <w:tcW w:w="730" w:type="pct"/>
            <w:vAlign w:val="center"/>
          </w:tcPr>
          <w:p w14:paraId="4A6D38D8"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lastRenderedPageBreak/>
              <w:t>本项目属于江河湖库清淤疏浚工程，</w:t>
            </w:r>
            <w:r>
              <w:rPr>
                <w:rFonts w:ascii="Times New Roman" w:eastAsia="宋体" w:hAnsi="Times New Roman" w:cs="Times New Roman" w:hint="eastAsia"/>
                <w:sz w:val="21"/>
                <w:szCs w:val="21"/>
              </w:rPr>
              <w:t>属于生态影响类项目。清理底泥中含有的有机腐殖质，在受到扰动和堆</w:t>
            </w:r>
            <w:r>
              <w:rPr>
                <w:rFonts w:ascii="Times New Roman" w:eastAsia="宋体" w:hAnsi="Times New Roman" w:cs="Times New Roman" w:hint="eastAsia"/>
                <w:sz w:val="21"/>
                <w:szCs w:val="21"/>
              </w:rPr>
              <w:t xml:space="preserve"> </w:t>
            </w:r>
          </w:p>
          <w:p w14:paraId="5B2A8DD5"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放过程中，在无条件下可分解产生氨、硫</w:t>
            </w:r>
            <w:r>
              <w:rPr>
                <w:rFonts w:ascii="Times New Roman" w:eastAsia="宋体" w:hAnsi="Times New Roman" w:cs="Times New Roman" w:hint="eastAsia"/>
                <w:sz w:val="21"/>
                <w:szCs w:val="21"/>
              </w:rPr>
              <w:lastRenderedPageBreak/>
              <w:t>化氢等恶臭气体，经周边环境空气稀释</w:t>
            </w:r>
            <w:r>
              <w:rPr>
                <w:rFonts w:ascii="Times New Roman" w:eastAsia="宋体" w:hAnsi="Times New Roman" w:cs="Times New Roman" w:hint="eastAsia"/>
                <w:sz w:val="21"/>
                <w:szCs w:val="21"/>
              </w:rPr>
              <w:t xml:space="preserve"> </w:t>
            </w:r>
          </w:p>
          <w:p w14:paraId="0A901CA4" w14:textId="77777777" w:rsidR="009D12AF" w:rsidRDefault="00000000">
            <w:pPr>
              <w:widowControl/>
              <w:spacing w:line="240" w:lineRule="auto"/>
              <w:ind w:firstLineChars="0" w:firstLine="0"/>
              <w:jc w:val="center"/>
              <w:rPr>
                <w:rFonts w:ascii="Times New Roman" w:eastAsia="宋体" w:hAnsi="Times New Roman" w:cs="Times New Roman"/>
                <w:sz w:val="21"/>
                <w:szCs w:val="21"/>
                <w:highlight w:val="yellow"/>
              </w:rPr>
            </w:pPr>
            <w:r>
              <w:rPr>
                <w:rFonts w:ascii="Times New Roman" w:eastAsia="宋体" w:hAnsi="Times New Roman" w:cs="Times New Roman" w:hint="eastAsia"/>
                <w:sz w:val="21"/>
                <w:szCs w:val="21"/>
              </w:rPr>
              <w:t>后影响不大；</w:t>
            </w:r>
            <w:r>
              <w:rPr>
                <w:rFonts w:ascii="Times New Roman" w:eastAsia="宋体" w:hAnsi="Times New Roman" w:cs="Times New Roman"/>
                <w:sz w:val="21"/>
                <w:szCs w:val="21"/>
              </w:rPr>
              <w:t>施工废水为施工机械和车辆的清洗废水，</w:t>
            </w:r>
            <w:r>
              <w:rPr>
                <w:rFonts w:ascii="Times New Roman" w:eastAsia="宋体" w:hAnsi="Times New Roman" w:cs="Times New Roman" w:hint="eastAsia"/>
                <w:sz w:val="21"/>
                <w:szCs w:val="21"/>
              </w:rPr>
              <w:t>经隔油沉淀池处理</w:t>
            </w:r>
            <w:r>
              <w:rPr>
                <w:rFonts w:ascii="Times New Roman" w:eastAsia="宋体" w:hAnsi="Times New Roman" w:cs="Times New Roman"/>
                <w:sz w:val="21"/>
                <w:szCs w:val="21"/>
              </w:rPr>
              <w:t>后，回用于洒水降尘，不外排</w:t>
            </w:r>
            <w:r>
              <w:rPr>
                <w:rFonts w:ascii="Times New Roman" w:eastAsia="宋体" w:hAnsi="Times New Roman" w:cs="Times New Roman" w:hint="eastAsia"/>
                <w:sz w:val="21"/>
                <w:szCs w:val="21"/>
              </w:rPr>
              <w:t>；含油废水交由有资质单位处置；渗滤水经三级沉淀、过滤、紫外线消毒处理后达到《污水综合排放标准》（</w:t>
            </w:r>
            <w:r>
              <w:rPr>
                <w:rFonts w:ascii="Times New Roman" w:eastAsia="宋体" w:hAnsi="Times New Roman" w:cs="Times New Roman" w:hint="eastAsia"/>
                <w:sz w:val="21"/>
                <w:szCs w:val="21"/>
              </w:rPr>
              <w:t>GB8978-1996</w:t>
            </w:r>
            <w:r>
              <w:rPr>
                <w:rFonts w:ascii="Times New Roman" w:eastAsia="宋体" w:hAnsi="Times New Roman" w:cs="Times New Roman" w:hint="eastAsia"/>
                <w:sz w:val="21"/>
                <w:szCs w:val="21"/>
              </w:rPr>
              <w:t>）一级标准，由牡丹江龙江环保水务有限公司定期拉运处理；</w:t>
            </w:r>
            <w:r>
              <w:rPr>
                <w:rFonts w:ascii="Times New Roman" w:eastAsia="宋体" w:hAnsi="Times New Roman" w:cs="Times New Roman"/>
                <w:sz w:val="21"/>
                <w:szCs w:val="21"/>
              </w:rPr>
              <w:t>生活污水排</w:t>
            </w:r>
            <w:r>
              <w:rPr>
                <w:rFonts w:ascii="Times New Roman" w:eastAsia="宋体" w:hAnsi="Times New Roman" w:cs="Times New Roman" w:hint="eastAsia"/>
                <w:sz w:val="21"/>
                <w:szCs w:val="21"/>
              </w:rPr>
              <w:t>入</w:t>
            </w:r>
            <w:r>
              <w:rPr>
                <w:rFonts w:ascii="Times New Roman" w:eastAsia="宋体" w:hAnsi="Times New Roman" w:cs="Times New Roman"/>
                <w:sz w:val="21"/>
                <w:szCs w:val="21"/>
              </w:rPr>
              <w:t>防渗旱厕，定期清掏</w:t>
            </w:r>
            <w:r>
              <w:rPr>
                <w:rFonts w:ascii="Times New Roman" w:eastAsia="宋体" w:hAnsi="Times New Roman" w:cs="Times New Roman" w:hint="eastAsia"/>
                <w:sz w:val="21"/>
                <w:szCs w:val="21"/>
              </w:rPr>
              <w:t>外运堆肥，不外排</w:t>
            </w:r>
            <w:r>
              <w:rPr>
                <w:rFonts w:ascii="Times New Roman" w:eastAsia="宋体" w:hAnsi="Times New Roman" w:cs="Times New Roman"/>
                <w:sz w:val="21"/>
                <w:szCs w:val="21"/>
              </w:rPr>
              <w:t>。</w:t>
            </w:r>
          </w:p>
        </w:tc>
        <w:tc>
          <w:tcPr>
            <w:tcW w:w="251" w:type="pct"/>
            <w:vAlign w:val="center"/>
          </w:tcPr>
          <w:p w14:paraId="55A78782" w14:textId="77777777" w:rsidR="009D12AF" w:rsidRDefault="00000000">
            <w:pPr>
              <w:widowControl/>
              <w:spacing w:line="240" w:lineRule="auto"/>
              <w:ind w:firstLineChars="0" w:firstLine="0"/>
              <w:jc w:val="center"/>
              <w:rPr>
                <w:rFonts w:ascii="Times New Roman" w:eastAsia="宋体" w:hAnsi="Times New Roman" w:cs="Times New Roman"/>
                <w:sz w:val="21"/>
                <w:szCs w:val="21"/>
                <w:highlight w:val="yellow"/>
              </w:rPr>
            </w:pPr>
            <w:r>
              <w:rPr>
                <w:rFonts w:ascii="Times New Roman" w:eastAsia="宋体" w:hAnsi="Times New Roman" w:cs="Times New Roman" w:hint="eastAsia"/>
                <w:sz w:val="21"/>
                <w:szCs w:val="21"/>
              </w:rPr>
              <w:lastRenderedPageBreak/>
              <w:t>符合</w:t>
            </w:r>
          </w:p>
        </w:tc>
      </w:tr>
      <w:tr w:rsidR="009D12AF" w14:paraId="4D172334" w14:textId="77777777">
        <w:trPr>
          <w:trHeight w:val="1536"/>
          <w:jc w:val="center"/>
        </w:trPr>
        <w:tc>
          <w:tcPr>
            <w:tcW w:w="470" w:type="pct"/>
            <w:vMerge/>
            <w:vAlign w:val="center"/>
          </w:tcPr>
          <w:p w14:paraId="6CC82504"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493" w:type="pct"/>
            <w:vMerge/>
            <w:vAlign w:val="center"/>
          </w:tcPr>
          <w:p w14:paraId="5540F23A"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405" w:type="pct"/>
            <w:vMerge/>
            <w:vAlign w:val="center"/>
          </w:tcPr>
          <w:p w14:paraId="37998AF0"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440" w:type="pct"/>
            <w:vAlign w:val="center"/>
          </w:tcPr>
          <w:p w14:paraId="1873FA4C"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环境风险管控</w:t>
            </w:r>
          </w:p>
        </w:tc>
        <w:tc>
          <w:tcPr>
            <w:tcW w:w="2207" w:type="pct"/>
            <w:vAlign w:val="center"/>
          </w:tcPr>
          <w:p w14:paraId="3455F8AC" w14:textId="77777777" w:rsidR="009D12AF" w:rsidRDefault="00000000">
            <w:pPr>
              <w:widowControl/>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禁止在居民区、学校、医疗和养老机构等周边新建有色金属冶炼、焦化等行业企业。</w:t>
            </w:r>
          </w:p>
        </w:tc>
        <w:tc>
          <w:tcPr>
            <w:tcW w:w="730" w:type="pct"/>
            <w:vAlign w:val="center"/>
          </w:tcPr>
          <w:p w14:paraId="6131A7C3"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本项目属于江河湖库清淤疏浚工程，</w:t>
            </w:r>
            <w:r>
              <w:rPr>
                <w:rFonts w:ascii="Times New Roman" w:eastAsia="宋体" w:hAnsi="Times New Roman" w:cs="Times New Roman" w:hint="eastAsia"/>
                <w:sz w:val="21"/>
                <w:szCs w:val="21"/>
              </w:rPr>
              <w:t>属于生态影响类项目</w:t>
            </w:r>
          </w:p>
        </w:tc>
        <w:tc>
          <w:tcPr>
            <w:tcW w:w="251" w:type="pct"/>
            <w:vAlign w:val="center"/>
          </w:tcPr>
          <w:p w14:paraId="48FDD668"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符合</w:t>
            </w:r>
          </w:p>
        </w:tc>
      </w:tr>
      <w:tr w:rsidR="009D12AF" w14:paraId="71F99A32" w14:textId="77777777">
        <w:trPr>
          <w:trHeight w:val="1536"/>
          <w:jc w:val="center"/>
        </w:trPr>
        <w:tc>
          <w:tcPr>
            <w:tcW w:w="470" w:type="pct"/>
            <w:vMerge w:val="restart"/>
            <w:vAlign w:val="center"/>
          </w:tcPr>
          <w:p w14:paraId="0BAE706A"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lastRenderedPageBreak/>
              <w:t>ZH23100420004</w:t>
            </w:r>
          </w:p>
        </w:tc>
        <w:tc>
          <w:tcPr>
            <w:tcW w:w="493" w:type="pct"/>
            <w:vMerge w:val="restart"/>
            <w:vAlign w:val="center"/>
          </w:tcPr>
          <w:p w14:paraId="3E1B42E9"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爱民区水环境城镇生活</w:t>
            </w:r>
            <w:r>
              <w:rPr>
                <w:rFonts w:ascii="Times New Roman" w:eastAsia="宋体" w:hAnsi="Times New Roman" w:cs="Times New Roman"/>
                <w:sz w:val="21"/>
                <w:szCs w:val="21"/>
              </w:rPr>
              <w:t xml:space="preserve"> </w:t>
            </w:r>
          </w:p>
          <w:p w14:paraId="36E2CB86"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污染重点管控区</w:t>
            </w:r>
          </w:p>
        </w:tc>
        <w:tc>
          <w:tcPr>
            <w:tcW w:w="405" w:type="pct"/>
            <w:vMerge w:val="restart"/>
            <w:vAlign w:val="center"/>
          </w:tcPr>
          <w:p w14:paraId="35A69638"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重点管控单元</w:t>
            </w:r>
          </w:p>
          <w:p w14:paraId="52DDA135"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440" w:type="pct"/>
            <w:vAlign w:val="center"/>
          </w:tcPr>
          <w:p w14:paraId="1B7E574E"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空间布局约束</w:t>
            </w:r>
          </w:p>
        </w:tc>
        <w:tc>
          <w:tcPr>
            <w:tcW w:w="2207" w:type="pct"/>
            <w:vAlign w:val="center"/>
          </w:tcPr>
          <w:p w14:paraId="58E81823" w14:textId="77777777" w:rsidR="009D12AF" w:rsidRDefault="00000000">
            <w:pPr>
              <w:widowControl/>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除干旱地区外，新建城区应全面实行雨污分流，鼓励对初期雨水进行收集、处理和资源化利用。</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大气环境布局敏感重点管控区同时执行：</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）严控</w:t>
            </w:r>
            <w:r>
              <w:rPr>
                <w:rFonts w:ascii="Times New Roman" w:eastAsia="宋体" w:hAnsi="Times New Roman" w:cs="Times New Roman"/>
                <w:sz w:val="21"/>
                <w:szCs w:val="21"/>
              </w:rPr>
              <w:t>“</w:t>
            </w:r>
            <w:r>
              <w:rPr>
                <w:rFonts w:ascii="Times New Roman" w:eastAsia="宋体" w:hAnsi="Times New Roman" w:cs="Times New Roman"/>
                <w:sz w:val="21"/>
                <w:szCs w:val="21"/>
              </w:rPr>
              <w:t>两高</w:t>
            </w:r>
            <w:r>
              <w:rPr>
                <w:rFonts w:ascii="Times New Roman" w:eastAsia="宋体" w:hAnsi="Times New Roman" w:cs="Times New Roman"/>
                <w:sz w:val="21"/>
                <w:szCs w:val="21"/>
              </w:rPr>
              <w:t>”</w:t>
            </w:r>
            <w:r>
              <w:rPr>
                <w:rFonts w:ascii="Times New Roman" w:eastAsia="宋体" w:hAnsi="Times New Roman" w:cs="Times New Roman"/>
                <w:sz w:val="21"/>
                <w:szCs w:val="21"/>
              </w:rPr>
              <w:t>行业产能。严格执行钢铁、水泥、平板玻璃等行业产能置换实施办法。</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）利用水泥窑协同处置城市生活垃圾、危险废弃物、电石渣等固废伴生水泥项目，必须依托现有新型干法水泥熟料生产线进行不扩产能改造。</w:t>
            </w:r>
          </w:p>
        </w:tc>
        <w:tc>
          <w:tcPr>
            <w:tcW w:w="730" w:type="pct"/>
            <w:vAlign w:val="center"/>
          </w:tcPr>
          <w:p w14:paraId="5AF2D785" w14:textId="77777777" w:rsidR="009D12AF" w:rsidRDefault="00000000">
            <w:pPr>
              <w:widowControl/>
              <w:spacing w:line="240" w:lineRule="auto"/>
              <w:ind w:firstLineChars="0" w:firstLine="0"/>
              <w:jc w:val="center"/>
              <w:rPr>
                <w:rFonts w:ascii="Times New Roman" w:eastAsia="宋体" w:hAnsi="Times New Roman" w:cs="Times New Roman"/>
                <w:sz w:val="21"/>
                <w:szCs w:val="21"/>
                <w:highlight w:val="yellow"/>
              </w:rPr>
            </w:pPr>
            <w:r>
              <w:rPr>
                <w:rFonts w:ascii="Times New Roman" w:eastAsia="宋体" w:hAnsi="Times New Roman" w:cs="Times New Roman"/>
                <w:sz w:val="21"/>
                <w:szCs w:val="21"/>
              </w:rPr>
              <w:t>本项目属于江河湖库清淤疏浚工程，</w:t>
            </w:r>
            <w:r>
              <w:rPr>
                <w:rFonts w:ascii="Times New Roman" w:eastAsia="宋体" w:hAnsi="Times New Roman" w:cs="Times New Roman" w:hint="eastAsia"/>
                <w:sz w:val="21"/>
                <w:szCs w:val="21"/>
              </w:rPr>
              <w:t>属于生态影响类项目</w:t>
            </w:r>
          </w:p>
        </w:tc>
        <w:tc>
          <w:tcPr>
            <w:tcW w:w="251" w:type="pct"/>
            <w:vAlign w:val="center"/>
          </w:tcPr>
          <w:p w14:paraId="3142FD3B" w14:textId="77777777" w:rsidR="009D12AF" w:rsidRDefault="00000000">
            <w:pPr>
              <w:widowControl/>
              <w:spacing w:line="240" w:lineRule="auto"/>
              <w:ind w:firstLineChars="0" w:firstLine="0"/>
              <w:jc w:val="center"/>
              <w:rPr>
                <w:rFonts w:ascii="Times New Roman" w:eastAsia="宋体" w:hAnsi="Times New Roman" w:cs="Times New Roman"/>
                <w:sz w:val="21"/>
                <w:szCs w:val="21"/>
                <w:highlight w:val="yellow"/>
              </w:rPr>
            </w:pPr>
            <w:r>
              <w:rPr>
                <w:rFonts w:ascii="Times New Roman" w:eastAsia="宋体" w:hAnsi="Times New Roman" w:cs="Times New Roman" w:hint="eastAsia"/>
                <w:sz w:val="21"/>
                <w:szCs w:val="21"/>
              </w:rPr>
              <w:t>符合</w:t>
            </w:r>
          </w:p>
        </w:tc>
      </w:tr>
      <w:tr w:rsidR="009D12AF" w14:paraId="6D378A7C" w14:textId="77777777">
        <w:trPr>
          <w:trHeight w:val="1536"/>
          <w:jc w:val="center"/>
        </w:trPr>
        <w:tc>
          <w:tcPr>
            <w:tcW w:w="470" w:type="pct"/>
            <w:vMerge/>
            <w:vAlign w:val="center"/>
          </w:tcPr>
          <w:p w14:paraId="0F9D613C"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493" w:type="pct"/>
            <w:vMerge/>
            <w:vAlign w:val="center"/>
          </w:tcPr>
          <w:p w14:paraId="23A7F205"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405" w:type="pct"/>
            <w:vMerge/>
            <w:vAlign w:val="center"/>
          </w:tcPr>
          <w:p w14:paraId="7CFC7EA2"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440" w:type="pct"/>
            <w:vAlign w:val="center"/>
          </w:tcPr>
          <w:p w14:paraId="7D92FE5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污染物排放管控</w:t>
            </w:r>
            <w:r>
              <w:rPr>
                <w:rFonts w:ascii="Times New Roman" w:eastAsia="宋体" w:hAnsi="Times New Roman" w:cs="Times New Roman" w:hint="eastAsia"/>
                <w:sz w:val="21"/>
                <w:szCs w:val="21"/>
              </w:rPr>
              <w:t xml:space="preserve"> </w:t>
            </w:r>
          </w:p>
        </w:tc>
        <w:tc>
          <w:tcPr>
            <w:tcW w:w="2207" w:type="pct"/>
            <w:vAlign w:val="center"/>
          </w:tcPr>
          <w:p w14:paraId="0B353D2F" w14:textId="77777777" w:rsidR="009D12AF" w:rsidRDefault="00000000">
            <w:pPr>
              <w:widowControl/>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新区污水管网规划建设应当与城市开发同步推进，除干旱地区外均实行雨污分流。</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强化城中村、老旧城区和城乡结合部污水截流、收集。</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推进合流制排水系统雨污分流改造，难以改造的，应采取截流、调蓄和治理等措施；推进现有污水处理设施配套管网建设；进一步提高城市、县城生活污水收集处理效能。</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县级以上人民政府应当根据国土空间、水污染防治、城镇排水与污水处理等规划，合理确定城镇排水与污水处理设施建设标准，统筹安排管网、泵站、污水处理厂以及污泥处理处置、再生水利用、雨水调蓄和排放等排水与污水处理设施建设和改造，提高城镇污水收集率和处理率。</w:t>
            </w:r>
            <w:r>
              <w:rPr>
                <w:rFonts w:ascii="Times New Roman" w:eastAsia="宋体" w:hAnsi="Times New Roman" w:cs="Times New Roman"/>
                <w:sz w:val="21"/>
                <w:szCs w:val="21"/>
              </w:rPr>
              <w:t xml:space="preserve"> 5.</w:t>
            </w:r>
            <w:r>
              <w:rPr>
                <w:rFonts w:ascii="Times New Roman" w:eastAsia="宋体" w:hAnsi="Times New Roman" w:cs="Times New Roman"/>
                <w:sz w:val="21"/>
                <w:szCs w:val="21"/>
              </w:rPr>
              <w:t>大气环境布局敏感重点管控区同时执行：</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）对以煤、石焦油、渣油、重油等为燃料的锅炉和工业炉窑，加快使用清洁低碳能源以及工厂余热、电力热力等进行替代。</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）到</w:t>
            </w:r>
            <w:r>
              <w:rPr>
                <w:rFonts w:ascii="Times New Roman" w:eastAsia="宋体" w:hAnsi="Times New Roman" w:cs="Times New Roman"/>
                <w:sz w:val="21"/>
                <w:szCs w:val="21"/>
              </w:rPr>
              <w:t xml:space="preserve"> 2025 </w:t>
            </w:r>
            <w:r>
              <w:rPr>
                <w:rFonts w:ascii="Times New Roman" w:eastAsia="宋体" w:hAnsi="Times New Roman" w:cs="Times New Roman"/>
                <w:sz w:val="21"/>
                <w:szCs w:val="21"/>
              </w:rPr>
              <w:t>年，在用</w:t>
            </w:r>
            <w:r>
              <w:rPr>
                <w:rFonts w:ascii="Times New Roman" w:eastAsia="宋体" w:hAnsi="Times New Roman" w:cs="Times New Roman"/>
                <w:sz w:val="21"/>
                <w:szCs w:val="21"/>
              </w:rPr>
              <w:t xml:space="preserve"> 65 </w:t>
            </w:r>
            <w:r>
              <w:rPr>
                <w:rFonts w:ascii="Times New Roman" w:eastAsia="宋体" w:hAnsi="Times New Roman" w:cs="Times New Roman"/>
                <w:sz w:val="21"/>
                <w:szCs w:val="21"/>
              </w:rPr>
              <w:t>蒸吨</w:t>
            </w:r>
            <w:r>
              <w:rPr>
                <w:rFonts w:ascii="Times New Roman" w:eastAsia="宋体" w:hAnsi="Times New Roman" w:cs="Times New Roman"/>
                <w:sz w:val="21"/>
                <w:szCs w:val="21"/>
              </w:rPr>
              <w:t>/</w:t>
            </w:r>
            <w:r>
              <w:rPr>
                <w:rFonts w:ascii="Times New Roman" w:eastAsia="宋体" w:hAnsi="Times New Roman" w:cs="Times New Roman"/>
                <w:sz w:val="21"/>
                <w:szCs w:val="21"/>
              </w:rPr>
              <w:t>小时以上的燃煤锅炉（含电力）实现超低排放，钢铁企业基本实现超低排放。</w:t>
            </w:r>
          </w:p>
        </w:tc>
        <w:tc>
          <w:tcPr>
            <w:tcW w:w="730" w:type="pct"/>
            <w:vAlign w:val="center"/>
          </w:tcPr>
          <w:p w14:paraId="1478F03F"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清理底泥中含有的有机腐殖质，在受到扰动和堆</w:t>
            </w:r>
            <w:r>
              <w:rPr>
                <w:rFonts w:ascii="Times New Roman" w:eastAsia="宋体" w:hAnsi="Times New Roman" w:cs="Times New Roman" w:hint="eastAsia"/>
                <w:sz w:val="21"/>
                <w:szCs w:val="21"/>
              </w:rPr>
              <w:t xml:space="preserve"> </w:t>
            </w:r>
          </w:p>
          <w:p w14:paraId="7EA54EE4"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放过程中，在无条件下可分解产生氨、硫化氢、臭气浓度等恶臭气体，经周边环境空气稀释</w:t>
            </w:r>
            <w:r>
              <w:rPr>
                <w:rFonts w:ascii="Times New Roman" w:eastAsia="宋体" w:hAnsi="Times New Roman" w:cs="Times New Roman" w:hint="eastAsia"/>
                <w:sz w:val="21"/>
                <w:szCs w:val="21"/>
              </w:rPr>
              <w:t xml:space="preserve"> </w:t>
            </w:r>
          </w:p>
          <w:p w14:paraId="26D06EE6"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后影响不大；</w:t>
            </w:r>
            <w:r>
              <w:rPr>
                <w:rFonts w:ascii="Times New Roman" w:eastAsia="宋体" w:hAnsi="Times New Roman" w:cs="Times New Roman"/>
                <w:sz w:val="21"/>
                <w:szCs w:val="21"/>
              </w:rPr>
              <w:t>施工废水为施工机械和车辆的清洗废水，</w:t>
            </w:r>
            <w:r>
              <w:rPr>
                <w:rFonts w:ascii="Times New Roman" w:eastAsia="宋体" w:hAnsi="Times New Roman" w:cs="Times New Roman" w:hint="eastAsia"/>
                <w:sz w:val="21"/>
                <w:szCs w:val="21"/>
              </w:rPr>
              <w:t>经隔油沉淀池处理</w:t>
            </w:r>
            <w:r>
              <w:rPr>
                <w:rFonts w:ascii="Times New Roman" w:eastAsia="宋体" w:hAnsi="Times New Roman" w:cs="Times New Roman"/>
                <w:sz w:val="21"/>
                <w:szCs w:val="21"/>
              </w:rPr>
              <w:t>后，回用于洒水</w:t>
            </w:r>
            <w:r>
              <w:rPr>
                <w:rFonts w:ascii="Times New Roman" w:eastAsia="宋体" w:hAnsi="Times New Roman" w:cs="Times New Roman"/>
                <w:sz w:val="21"/>
                <w:szCs w:val="21"/>
              </w:rPr>
              <w:lastRenderedPageBreak/>
              <w:t>降尘，不外排</w:t>
            </w:r>
            <w:r>
              <w:rPr>
                <w:rFonts w:ascii="Times New Roman" w:eastAsia="宋体" w:hAnsi="Times New Roman" w:cs="Times New Roman" w:hint="eastAsia"/>
                <w:sz w:val="21"/>
                <w:szCs w:val="21"/>
              </w:rPr>
              <w:t>；含油废水交由有资质单位处置；渗滤水经三级沉淀、过滤、紫外线消毒处理后达到《污水综合排放标准》（</w:t>
            </w:r>
            <w:r>
              <w:rPr>
                <w:rFonts w:ascii="Times New Roman" w:eastAsia="宋体" w:hAnsi="Times New Roman" w:cs="Times New Roman" w:hint="eastAsia"/>
                <w:sz w:val="21"/>
                <w:szCs w:val="21"/>
              </w:rPr>
              <w:t>GB8978-1996</w:t>
            </w:r>
            <w:r>
              <w:rPr>
                <w:rFonts w:ascii="Times New Roman" w:eastAsia="宋体" w:hAnsi="Times New Roman" w:cs="Times New Roman" w:hint="eastAsia"/>
                <w:sz w:val="21"/>
                <w:szCs w:val="21"/>
              </w:rPr>
              <w:t>）一级标准，由牡丹江龙江环保水务有限公司定期拉运处理；</w:t>
            </w:r>
            <w:r>
              <w:rPr>
                <w:rFonts w:ascii="Times New Roman" w:eastAsia="宋体" w:hAnsi="Times New Roman" w:cs="Times New Roman"/>
                <w:sz w:val="21"/>
                <w:szCs w:val="21"/>
              </w:rPr>
              <w:t>生活污水排</w:t>
            </w:r>
            <w:r>
              <w:rPr>
                <w:rFonts w:ascii="Times New Roman" w:eastAsia="宋体" w:hAnsi="Times New Roman" w:cs="Times New Roman" w:hint="eastAsia"/>
                <w:sz w:val="21"/>
                <w:szCs w:val="21"/>
              </w:rPr>
              <w:t>入</w:t>
            </w:r>
            <w:r>
              <w:rPr>
                <w:rFonts w:ascii="Times New Roman" w:eastAsia="宋体" w:hAnsi="Times New Roman" w:cs="Times New Roman"/>
                <w:sz w:val="21"/>
                <w:szCs w:val="21"/>
              </w:rPr>
              <w:t>防渗旱厕，定期清掏</w:t>
            </w:r>
            <w:r>
              <w:rPr>
                <w:rFonts w:ascii="Times New Roman" w:eastAsia="宋体" w:hAnsi="Times New Roman" w:cs="Times New Roman" w:hint="eastAsia"/>
                <w:sz w:val="21"/>
                <w:szCs w:val="21"/>
              </w:rPr>
              <w:t>外运堆肥，不外排</w:t>
            </w:r>
            <w:r>
              <w:rPr>
                <w:rFonts w:ascii="Times New Roman" w:eastAsia="宋体" w:hAnsi="Times New Roman" w:cs="Times New Roman"/>
                <w:sz w:val="21"/>
                <w:szCs w:val="21"/>
              </w:rPr>
              <w:t>。</w:t>
            </w:r>
          </w:p>
        </w:tc>
        <w:tc>
          <w:tcPr>
            <w:tcW w:w="251" w:type="pct"/>
            <w:vAlign w:val="center"/>
          </w:tcPr>
          <w:p w14:paraId="253B40F4"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lastRenderedPageBreak/>
              <w:t>符合</w:t>
            </w:r>
          </w:p>
        </w:tc>
      </w:tr>
      <w:tr w:rsidR="009D12AF" w14:paraId="17C93844" w14:textId="77777777">
        <w:trPr>
          <w:trHeight w:val="1536"/>
          <w:jc w:val="center"/>
        </w:trPr>
        <w:tc>
          <w:tcPr>
            <w:tcW w:w="470" w:type="pct"/>
            <w:vMerge/>
            <w:vAlign w:val="center"/>
          </w:tcPr>
          <w:p w14:paraId="06C89995"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493" w:type="pct"/>
            <w:vMerge/>
            <w:vAlign w:val="center"/>
          </w:tcPr>
          <w:p w14:paraId="58B89735"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405" w:type="pct"/>
            <w:vMerge/>
            <w:vAlign w:val="center"/>
          </w:tcPr>
          <w:p w14:paraId="3C8DC14B"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440" w:type="pct"/>
            <w:vAlign w:val="center"/>
          </w:tcPr>
          <w:p w14:paraId="253D2972"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环境风险防控</w:t>
            </w:r>
          </w:p>
        </w:tc>
        <w:tc>
          <w:tcPr>
            <w:tcW w:w="2207" w:type="pct"/>
            <w:vAlign w:val="center"/>
          </w:tcPr>
          <w:p w14:paraId="366BD407" w14:textId="77777777" w:rsidR="009D12AF" w:rsidRDefault="00000000">
            <w:pPr>
              <w:widowControl/>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大气环境布局敏感重点管控区同时执行：禁止在居民区、学校、医疗和养老机构等周边新建有色金属冶炼、焦化等行业企业。</w:t>
            </w:r>
          </w:p>
        </w:tc>
        <w:tc>
          <w:tcPr>
            <w:tcW w:w="730" w:type="pct"/>
            <w:vMerge w:val="restart"/>
            <w:vAlign w:val="center"/>
          </w:tcPr>
          <w:p w14:paraId="61B1F3AC" w14:textId="77777777" w:rsidR="009D12AF" w:rsidRDefault="00000000">
            <w:pPr>
              <w:widowControl/>
              <w:spacing w:line="240" w:lineRule="auto"/>
              <w:ind w:firstLineChars="0" w:firstLine="0"/>
              <w:jc w:val="center"/>
              <w:rPr>
                <w:rFonts w:ascii="Times New Roman" w:eastAsia="宋体" w:hAnsi="Times New Roman" w:cs="Times New Roman"/>
                <w:sz w:val="21"/>
                <w:szCs w:val="21"/>
                <w:highlight w:val="yellow"/>
              </w:rPr>
            </w:pPr>
            <w:r>
              <w:rPr>
                <w:rFonts w:ascii="Times New Roman" w:eastAsia="宋体" w:hAnsi="Times New Roman" w:cs="Times New Roman"/>
                <w:sz w:val="21"/>
                <w:szCs w:val="21"/>
              </w:rPr>
              <w:t>本项目属于江河湖库清淤疏浚工程，</w:t>
            </w:r>
            <w:r>
              <w:rPr>
                <w:rFonts w:ascii="Times New Roman" w:eastAsia="宋体" w:hAnsi="Times New Roman" w:cs="Times New Roman" w:hint="eastAsia"/>
                <w:sz w:val="21"/>
                <w:szCs w:val="21"/>
              </w:rPr>
              <w:t>属于生态影响类项目。</w:t>
            </w:r>
          </w:p>
        </w:tc>
        <w:tc>
          <w:tcPr>
            <w:tcW w:w="251" w:type="pct"/>
            <w:vAlign w:val="center"/>
          </w:tcPr>
          <w:p w14:paraId="02DDF33E" w14:textId="77777777" w:rsidR="009D12AF" w:rsidRDefault="00000000">
            <w:pPr>
              <w:widowControl/>
              <w:spacing w:line="240" w:lineRule="auto"/>
              <w:ind w:firstLineChars="0" w:firstLine="0"/>
              <w:jc w:val="center"/>
              <w:rPr>
                <w:rFonts w:ascii="Times New Roman" w:eastAsia="宋体" w:hAnsi="Times New Roman" w:cs="Times New Roman"/>
                <w:sz w:val="21"/>
                <w:szCs w:val="21"/>
                <w:highlight w:val="yellow"/>
              </w:rPr>
            </w:pPr>
            <w:r>
              <w:rPr>
                <w:rFonts w:ascii="Times New Roman" w:eastAsia="宋体" w:hAnsi="Times New Roman" w:cs="Times New Roman" w:hint="eastAsia"/>
                <w:sz w:val="21"/>
                <w:szCs w:val="21"/>
              </w:rPr>
              <w:t>符合</w:t>
            </w:r>
          </w:p>
        </w:tc>
      </w:tr>
      <w:tr w:rsidR="009D12AF" w14:paraId="28C65658" w14:textId="77777777">
        <w:trPr>
          <w:trHeight w:val="1536"/>
          <w:jc w:val="center"/>
        </w:trPr>
        <w:tc>
          <w:tcPr>
            <w:tcW w:w="470" w:type="pct"/>
            <w:vMerge/>
            <w:vAlign w:val="center"/>
          </w:tcPr>
          <w:p w14:paraId="1D8038A9"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493" w:type="pct"/>
            <w:vMerge/>
            <w:vAlign w:val="center"/>
          </w:tcPr>
          <w:p w14:paraId="5B0A7F76"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405" w:type="pct"/>
            <w:vMerge/>
            <w:vAlign w:val="center"/>
          </w:tcPr>
          <w:p w14:paraId="3CC8CA6D"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440" w:type="pct"/>
            <w:vAlign w:val="center"/>
          </w:tcPr>
          <w:p w14:paraId="7E0A9B66"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资源开发效率要求</w:t>
            </w:r>
          </w:p>
        </w:tc>
        <w:tc>
          <w:tcPr>
            <w:tcW w:w="2207" w:type="pct"/>
            <w:vAlign w:val="center"/>
          </w:tcPr>
          <w:p w14:paraId="77F89628" w14:textId="77777777" w:rsidR="009D12AF" w:rsidRDefault="00000000">
            <w:pPr>
              <w:widowControl/>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高污染燃料禁燃区同时执行：</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在禁燃区内，禁止销售、燃用高污染燃料；禁止新建、扩建燃用高污染燃料的设施，已建成的，应当在城市人民政府规定的期限内改用天然气、页岩气、液化石油气、电或者其他清洁能源。</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城市建设应当统筹规划，在燃煤供热地区，推</w:t>
            </w:r>
            <w:r>
              <w:rPr>
                <w:rFonts w:ascii="Times New Roman" w:eastAsia="宋体" w:hAnsi="Times New Roman" w:cs="Times New Roman"/>
                <w:sz w:val="21"/>
                <w:szCs w:val="21"/>
              </w:rPr>
              <w:t xml:space="preserve"> </w:t>
            </w:r>
          </w:p>
          <w:p w14:paraId="16A57159" w14:textId="77777777" w:rsidR="009D12AF" w:rsidRDefault="00000000">
            <w:pPr>
              <w:widowControl/>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进热电联产和集中供热。在集中供热管网覆盖地区，禁止新建、扩建分散燃煤</w:t>
            </w:r>
            <w:r>
              <w:rPr>
                <w:rFonts w:ascii="Times New Roman" w:eastAsia="宋体" w:hAnsi="Times New Roman" w:cs="Times New Roman"/>
                <w:sz w:val="21"/>
                <w:szCs w:val="21"/>
              </w:rPr>
              <w:lastRenderedPageBreak/>
              <w:t>供热锅炉；已建成的不能达标排放的燃煤供热锅炉，应当在城市人民政府规定的期限内拆除。</w:t>
            </w:r>
          </w:p>
        </w:tc>
        <w:tc>
          <w:tcPr>
            <w:tcW w:w="730" w:type="pct"/>
            <w:vMerge/>
            <w:vAlign w:val="center"/>
          </w:tcPr>
          <w:p w14:paraId="63FA1DB3" w14:textId="77777777" w:rsidR="009D12AF" w:rsidRDefault="009D12AF">
            <w:pPr>
              <w:widowControl/>
              <w:spacing w:line="240" w:lineRule="auto"/>
              <w:ind w:firstLineChars="0" w:firstLine="0"/>
              <w:jc w:val="center"/>
              <w:rPr>
                <w:rFonts w:ascii="Times New Roman" w:eastAsia="宋体" w:hAnsi="Times New Roman" w:cs="Times New Roman"/>
                <w:sz w:val="21"/>
                <w:szCs w:val="21"/>
                <w:highlight w:val="yellow"/>
              </w:rPr>
            </w:pPr>
          </w:p>
        </w:tc>
        <w:tc>
          <w:tcPr>
            <w:tcW w:w="251" w:type="pct"/>
            <w:vAlign w:val="center"/>
          </w:tcPr>
          <w:p w14:paraId="0D5248FA" w14:textId="77777777" w:rsidR="009D12AF" w:rsidRDefault="00000000">
            <w:pPr>
              <w:widowControl/>
              <w:spacing w:line="240" w:lineRule="auto"/>
              <w:ind w:firstLineChars="0" w:firstLine="0"/>
              <w:jc w:val="center"/>
              <w:rPr>
                <w:rFonts w:ascii="Times New Roman" w:eastAsia="宋体" w:hAnsi="Times New Roman" w:cs="Times New Roman"/>
                <w:sz w:val="21"/>
                <w:szCs w:val="21"/>
                <w:highlight w:val="yellow"/>
              </w:rPr>
            </w:pPr>
            <w:r>
              <w:rPr>
                <w:rFonts w:ascii="Times New Roman" w:eastAsia="宋体" w:hAnsi="Times New Roman" w:cs="Times New Roman" w:hint="eastAsia"/>
                <w:sz w:val="21"/>
                <w:szCs w:val="21"/>
              </w:rPr>
              <w:t>符合</w:t>
            </w:r>
          </w:p>
        </w:tc>
      </w:tr>
    </w:tbl>
    <w:p w14:paraId="5BEB384C" w14:textId="77777777" w:rsidR="009D12AF" w:rsidRDefault="00000000">
      <w:pPr>
        <w:ind w:firstLineChars="0" w:firstLine="0"/>
        <w:jc w:val="center"/>
      </w:pPr>
      <w:r>
        <w:rPr>
          <w:b/>
          <w:bCs/>
        </w:rPr>
        <w:t>表</w:t>
      </w:r>
      <w:r>
        <w:rPr>
          <w:b/>
          <w:bCs/>
        </w:rPr>
        <w:t>1</w:t>
      </w:r>
      <w:r>
        <w:rPr>
          <w:rFonts w:hint="eastAsia"/>
          <w:b/>
          <w:bCs/>
        </w:rPr>
        <w:t>.3-4</w:t>
      </w:r>
      <w:r>
        <w:rPr>
          <w:b/>
          <w:bCs/>
        </w:rPr>
        <w:t>本项目</w:t>
      </w:r>
      <w:r>
        <w:rPr>
          <w:rFonts w:hint="eastAsia"/>
          <w:b/>
          <w:bCs/>
        </w:rPr>
        <w:t>万丈水库</w:t>
      </w:r>
      <w:r>
        <w:rPr>
          <w:b/>
          <w:bCs/>
        </w:rPr>
        <w:t>与生态环境准入清单符合性分析</w:t>
      </w:r>
    </w:p>
    <w:tbl>
      <w:tblPr>
        <w:tblW w:w="4997"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802"/>
        <w:gridCol w:w="841"/>
        <w:gridCol w:w="691"/>
        <w:gridCol w:w="749"/>
        <w:gridCol w:w="3797"/>
        <w:gridCol w:w="1209"/>
        <w:gridCol w:w="428"/>
      </w:tblGrid>
      <w:tr w:rsidR="009D12AF" w14:paraId="5C391F4D" w14:textId="77777777">
        <w:trPr>
          <w:trHeight w:val="23"/>
          <w:tblHeader/>
          <w:jc w:val="center"/>
        </w:trPr>
        <w:tc>
          <w:tcPr>
            <w:tcW w:w="470" w:type="pct"/>
            <w:tcBorders>
              <w:top w:val="single" w:sz="12" w:space="0" w:color="auto"/>
            </w:tcBorders>
            <w:vAlign w:val="center"/>
          </w:tcPr>
          <w:p w14:paraId="69DB9CA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环境管控单元编码</w:t>
            </w:r>
          </w:p>
        </w:tc>
        <w:tc>
          <w:tcPr>
            <w:tcW w:w="493" w:type="pct"/>
            <w:tcBorders>
              <w:top w:val="single" w:sz="12" w:space="0" w:color="auto"/>
            </w:tcBorders>
            <w:vAlign w:val="center"/>
          </w:tcPr>
          <w:p w14:paraId="2915220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环境管控单元名称</w:t>
            </w:r>
          </w:p>
        </w:tc>
        <w:tc>
          <w:tcPr>
            <w:tcW w:w="405" w:type="pct"/>
            <w:tcBorders>
              <w:top w:val="single" w:sz="12" w:space="0" w:color="auto"/>
            </w:tcBorders>
            <w:vAlign w:val="center"/>
          </w:tcPr>
          <w:p w14:paraId="2AC780A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管控单元类别</w:t>
            </w:r>
          </w:p>
        </w:tc>
        <w:tc>
          <w:tcPr>
            <w:tcW w:w="2668" w:type="pct"/>
            <w:gridSpan w:val="2"/>
            <w:tcBorders>
              <w:top w:val="single" w:sz="12" w:space="0" w:color="auto"/>
            </w:tcBorders>
            <w:vAlign w:val="center"/>
          </w:tcPr>
          <w:p w14:paraId="42A0125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管控要求</w:t>
            </w:r>
          </w:p>
        </w:tc>
        <w:tc>
          <w:tcPr>
            <w:tcW w:w="710" w:type="pct"/>
            <w:tcBorders>
              <w:top w:val="single" w:sz="12" w:space="0" w:color="auto"/>
            </w:tcBorders>
            <w:vAlign w:val="center"/>
          </w:tcPr>
          <w:p w14:paraId="11EB5A0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符合性分析</w:t>
            </w:r>
          </w:p>
        </w:tc>
        <w:tc>
          <w:tcPr>
            <w:tcW w:w="251" w:type="pct"/>
            <w:tcBorders>
              <w:top w:val="single" w:sz="12" w:space="0" w:color="auto"/>
            </w:tcBorders>
            <w:vAlign w:val="center"/>
          </w:tcPr>
          <w:p w14:paraId="0CE8DB7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符合性</w:t>
            </w:r>
          </w:p>
        </w:tc>
      </w:tr>
      <w:tr w:rsidR="009D12AF" w14:paraId="51E6BA70" w14:textId="77777777">
        <w:trPr>
          <w:trHeight w:val="1536"/>
          <w:jc w:val="center"/>
        </w:trPr>
        <w:tc>
          <w:tcPr>
            <w:tcW w:w="470" w:type="pct"/>
            <w:vAlign w:val="center"/>
          </w:tcPr>
          <w:p w14:paraId="1672C576"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ZH23108330002</w:t>
            </w:r>
          </w:p>
        </w:tc>
        <w:tc>
          <w:tcPr>
            <w:tcW w:w="493" w:type="pct"/>
            <w:vAlign w:val="center"/>
          </w:tcPr>
          <w:p w14:paraId="4C0DF657"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海林市其他区域</w:t>
            </w:r>
          </w:p>
        </w:tc>
        <w:tc>
          <w:tcPr>
            <w:tcW w:w="405" w:type="pct"/>
            <w:vAlign w:val="center"/>
          </w:tcPr>
          <w:p w14:paraId="4EB04378"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一般管控单元</w:t>
            </w:r>
          </w:p>
        </w:tc>
        <w:tc>
          <w:tcPr>
            <w:tcW w:w="440" w:type="pct"/>
            <w:vAlign w:val="center"/>
          </w:tcPr>
          <w:p w14:paraId="5B192098"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空间布局约束</w:t>
            </w:r>
          </w:p>
        </w:tc>
        <w:tc>
          <w:tcPr>
            <w:tcW w:w="2227" w:type="pct"/>
            <w:vAlign w:val="center"/>
          </w:tcPr>
          <w:p w14:paraId="6E04446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引导工业项目向开发区集中，促进产业集聚、资源集约、绿色发展。</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强化节能环保标准约束，严格行业规范、准入管理和节能审查，对电力、钢铁、建材、有色、化工、石油石化、船舶、煤炭、印染、造纸、制革、染料、焦化、电镀等行业中，环保、能耗、安全等不</w:t>
            </w:r>
            <w:r>
              <w:rPr>
                <w:rFonts w:ascii="Times New Roman" w:eastAsia="宋体" w:hAnsi="Times New Roman" w:cs="Times New Roman"/>
                <w:sz w:val="21"/>
                <w:szCs w:val="21"/>
              </w:rPr>
              <w:t xml:space="preserve"> </w:t>
            </w:r>
          </w:p>
          <w:p w14:paraId="34C2084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达标或生产、使用淘汰类产品的企业和产能，要依法依规有序退出。</w:t>
            </w:r>
          </w:p>
        </w:tc>
        <w:tc>
          <w:tcPr>
            <w:tcW w:w="710" w:type="pct"/>
            <w:vAlign w:val="center"/>
          </w:tcPr>
          <w:p w14:paraId="12C551CF"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本项目属于江河湖库清淤疏浚工程，</w:t>
            </w:r>
            <w:r>
              <w:rPr>
                <w:rFonts w:ascii="Times New Roman" w:eastAsia="宋体" w:hAnsi="Times New Roman" w:cs="Times New Roman" w:hint="eastAsia"/>
                <w:sz w:val="21"/>
                <w:szCs w:val="21"/>
              </w:rPr>
              <w:t>属于生态影响类项目。</w:t>
            </w:r>
          </w:p>
        </w:tc>
        <w:tc>
          <w:tcPr>
            <w:tcW w:w="251" w:type="pct"/>
            <w:vAlign w:val="center"/>
          </w:tcPr>
          <w:p w14:paraId="36E031E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符合</w:t>
            </w:r>
          </w:p>
        </w:tc>
      </w:tr>
    </w:tbl>
    <w:p w14:paraId="1B8B46E3" w14:textId="77777777" w:rsidR="009D12AF" w:rsidRDefault="00000000">
      <w:pPr>
        <w:ind w:firstLineChars="0" w:firstLine="0"/>
        <w:jc w:val="center"/>
        <w:rPr>
          <w:b/>
          <w:bCs/>
        </w:rPr>
      </w:pPr>
      <w:r>
        <w:rPr>
          <w:b/>
          <w:bCs/>
        </w:rPr>
        <w:t>表</w:t>
      </w:r>
      <w:r>
        <w:rPr>
          <w:b/>
          <w:bCs/>
        </w:rPr>
        <w:t>1</w:t>
      </w:r>
      <w:r>
        <w:rPr>
          <w:rFonts w:hint="eastAsia"/>
          <w:b/>
          <w:bCs/>
        </w:rPr>
        <w:t>.3-5</w:t>
      </w:r>
      <w:r>
        <w:rPr>
          <w:b/>
          <w:bCs/>
        </w:rPr>
        <w:t>本项目</w:t>
      </w:r>
      <w:r>
        <w:rPr>
          <w:rFonts w:hint="eastAsia"/>
          <w:b/>
          <w:bCs/>
        </w:rPr>
        <w:t>新安晒水池</w:t>
      </w:r>
      <w:r>
        <w:rPr>
          <w:b/>
          <w:bCs/>
        </w:rPr>
        <w:t>与生态环境准入清单符合性分析</w:t>
      </w:r>
    </w:p>
    <w:tbl>
      <w:tblPr>
        <w:tblW w:w="4997"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802"/>
        <w:gridCol w:w="841"/>
        <w:gridCol w:w="691"/>
        <w:gridCol w:w="749"/>
        <w:gridCol w:w="3797"/>
        <w:gridCol w:w="1209"/>
        <w:gridCol w:w="428"/>
      </w:tblGrid>
      <w:tr w:rsidR="009D12AF" w14:paraId="4A148383" w14:textId="77777777">
        <w:trPr>
          <w:trHeight w:val="23"/>
          <w:tblHeader/>
          <w:jc w:val="center"/>
        </w:trPr>
        <w:tc>
          <w:tcPr>
            <w:tcW w:w="470" w:type="pct"/>
            <w:tcBorders>
              <w:top w:val="single" w:sz="12" w:space="0" w:color="auto"/>
            </w:tcBorders>
            <w:vAlign w:val="center"/>
          </w:tcPr>
          <w:p w14:paraId="492B310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环境管控单元编码</w:t>
            </w:r>
          </w:p>
        </w:tc>
        <w:tc>
          <w:tcPr>
            <w:tcW w:w="493" w:type="pct"/>
            <w:tcBorders>
              <w:top w:val="single" w:sz="12" w:space="0" w:color="auto"/>
            </w:tcBorders>
            <w:vAlign w:val="center"/>
          </w:tcPr>
          <w:p w14:paraId="1904CD1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环境管控单元名称</w:t>
            </w:r>
          </w:p>
        </w:tc>
        <w:tc>
          <w:tcPr>
            <w:tcW w:w="405" w:type="pct"/>
            <w:tcBorders>
              <w:top w:val="single" w:sz="12" w:space="0" w:color="auto"/>
            </w:tcBorders>
            <w:vAlign w:val="center"/>
          </w:tcPr>
          <w:p w14:paraId="683C7BE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管控单元类别</w:t>
            </w:r>
          </w:p>
        </w:tc>
        <w:tc>
          <w:tcPr>
            <w:tcW w:w="2668" w:type="pct"/>
            <w:gridSpan w:val="2"/>
            <w:tcBorders>
              <w:top w:val="single" w:sz="12" w:space="0" w:color="auto"/>
            </w:tcBorders>
            <w:vAlign w:val="center"/>
          </w:tcPr>
          <w:p w14:paraId="736A9F5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管控要求</w:t>
            </w:r>
          </w:p>
        </w:tc>
        <w:tc>
          <w:tcPr>
            <w:tcW w:w="710" w:type="pct"/>
            <w:tcBorders>
              <w:top w:val="single" w:sz="12" w:space="0" w:color="auto"/>
            </w:tcBorders>
            <w:vAlign w:val="center"/>
          </w:tcPr>
          <w:p w14:paraId="5C6EC21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符合性分析</w:t>
            </w:r>
          </w:p>
        </w:tc>
        <w:tc>
          <w:tcPr>
            <w:tcW w:w="251" w:type="pct"/>
            <w:tcBorders>
              <w:top w:val="single" w:sz="12" w:space="0" w:color="auto"/>
            </w:tcBorders>
            <w:vAlign w:val="center"/>
          </w:tcPr>
          <w:p w14:paraId="2017BF5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符合性</w:t>
            </w:r>
          </w:p>
        </w:tc>
      </w:tr>
      <w:tr w:rsidR="009D12AF" w14:paraId="73EE705D" w14:textId="77777777">
        <w:trPr>
          <w:trHeight w:val="1536"/>
          <w:jc w:val="center"/>
        </w:trPr>
        <w:tc>
          <w:tcPr>
            <w:tcW w:w="470" w:type="pct"/>
            <w:vAlign w:val="center"/>
          </w:tcPr>
          <w:p w14:paraId="10060BB0"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ZH23108310002</w:t>
            </w:r>
          </w:p>
        </w:tc>
        <w:tc>
          <w:tcPr>
            <w:tcW w:w="493" w:type="pct"/>
            <w:vAlign w:val="center"/>
          </w:tcPr>
          <w:p w14:paraId="52FB2345"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海林市一般生态空间</w:t>
            </w:r>
          </w:p>
        </w:tc>
        <w:tc>
          <w:tcPr>
            <w:tcW w:w="405" w:type="pct"/>
            <w:vAlign w:val="center"/>
          </w:tcPr>
          <w:p w14:paraId="07850116"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优先保护单元</w:t>
            </w:r>
          </w:p>
        </w:tc>
        <w:tc>
          <w:tcPr>
            <w:tcW w:w="440" w:type="pct"/>
            <w:vAlign w:val="center"/>
          </w:tcPr>
          <w:p w14:paraId="14875581"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空间布局约束</w:t>
            </w:r>
          </w:p>
        </w:tc>
        <w:tc>
          <w:tcPr>
            <w:tcW w:w="2227" w:type="pct"/>
            <w:vAlign w:val="center"/>
          </w:tcPr>
          <w:p w14:paraId="26E7E54B"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原则上按限制开发区域的要求进行管理。严格限制与生态功能不一致的开发建设活动。符合区域准入条件的新增建设项目，涉及占用生态空间中的林地、草原等，按有关法律法规规定办理；涉及占用生态空间中其他未作明确规定的用地，应当加强论证和管理。符合条件的农业开发项目，须依法由市县级及以上地方人民政府统筹安排。除符合国家生态退耕条件的耕地，并纳入国家生态退耕总体安排，或因国家重大生态工程建设需要外，不得随意转用。</w:t>
            </w:r>
            <w:r>
              <w:rPr>
                <w:rFonts w:ascii="Times New Roman" w:eastAsia="宋体" w:hAnsi="Times New Roman" w:cs="Times New Roman"/>
                <w:sz w:val="21"/>
                <w:szCs w:val="21"/>
              </w:rPr>
              <w:t>2.</w:t>
            </w:r>
            <w:r>
              <w:rPr>
                <w:rFonts w:ascii="Times New Roman" w:eastAsia="宋体" w:hAnsi="Times New Roman" w:cs="Times New Roman"/>
                <w:sz w:val="21"/>
                <w:szCs w:val="21"/>
              </w:rPr>
              <w:t>对依法保护的生态空间实行承载力控制，防止过度垦殖、放牧、采伐、取水、渔猎、旅游等对生态功能造成损害，确保自然</w:t>
            </w:r>
            <w:r>
              <w:rPr>
                <w:rFonts w:ascii="Times New Roman" w:eastAsia="宋体" w:hAnsi="Times New Roman" w:cs="Times New Roman"/>
                <w:sz w:val="21"/>
                <w:szCs w:val="21"/>
              </w:rPr>
              <w:lastRenderedPageBreak/>
              <w:t>生态系统的稳定。</w:t>
            </w:r>
            <w:r>
              <w:rPr>
                <w:rFonts w:ascii="Times New Roman" w:eastAsia="宋体" w:hAnsi="Times New Roman" w:cs="Times New Roman"/>
                <w:sz w:val="21"/>
                <w:szCs w:val="21"/>
              </w:rPr>
              <w:t>3.</w:t>
            </w:r>
            <w:r>
              <w:rPr>
                <w:rFonts w:ascii="Times New Roman" w:eastAsia="宋体" w:hAnsi="Times New Roman" w:cs="Times New Roman"/>
                <w:sz w:val="21"/>
                <w:szCs w:val="21"/>
              </w:rPr>
              <w:t>避免开发建设活动损害其生态服务功能和生态产品质量。</w:t>
            </w:r>
            <w:r>
              <w:rPr>
                <w:rFonts w:ascii="Times New Roman" w:eastAsia="宋体" w:hAnsi="Times New Roman" w:cs="Times New Roman"/>
                <w:sz w:val="21"/>
                <w:szCs w:val="21"/>
              </w:rPr>
              <w:t>4.</w:t>
            </w:r>
            <w:r>
              <w:rPr>
                <w:rFonts w:ascii="Times New Roman" w:eastAsia="宋体" w:hAnsi="Times New Roman" w:cs="Times New Roman"/>
                <w:sz w:val="21"/>
                <w:szCs w:val="21"/>
              </w:rPr>
              <w:t>已经侵占生态空间的，应建立退出机制、制定治理方案及时间表。</w:t>
            </w:r>
            <w:r>
              <w:rPr>
                <w:rFonts w:ascii="Times New Roman" w:eastAsia="宋体" w:hAnsi="Times New Roman" w:cs="Times New Roman"/>
                <w:sz w:val="21"/>
                <w:szCs w:val="21"/>
              </w:rPr>
              <w:t>5.</w:t>
            </w:r>
            <w:r>
              <w:rPr>
                <w:rFonts w:ascii="Times New Roman" w:eastAsia="宋体" w:hAnsi="Times New Roman" w:cs="Times New Roman"/>
                <w:sz w:val="21"/>
                <w:szCs w:val="21"/>
              </w:rPr>
              <w:t>海林市长汀镇饮用水水源、海林市柴河镇饮用水水源、海林市二水厂（改扩建）饮</w:t>
            </w:r>
          </w:p>
          <w:p w14:paraId="29544743"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用水水源同时执行以下要求：</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）饮用水地表水源各级保护区及准保护区内均必须遵守下列规定：（</w:t>
            </w:r>
            <w:r>
              <w:rPr>
                <w:rFonts w:ascii="Times New Roman" w:eastAsia="宋体" w:hAnsi="Times New Roman" w:cs="Times New Roman"/>
                <w:sz w:val="21"/>
                <w:szCs w:val="21"/>
              </w:rPr>
              <w:t>1</w:t>
            </w:r>
            <w:r>
              <w:rPr>
                <w:rFonts w:ascii="Times New Roman" w:eastAsia="宋体" w:hAnsi="Times New Roman" w:cs="Times New Roman"/>
                <w:sz w:val="21"/>
                <w:szCs w:val="21"/>
              </w:rPr>
              <w:t>）禁止一切破坏水环境生态平衡的活动以及破坏水源林、护岸林、与水源保护相关植被的活动。（</w:t>
            </w:r>
            <w:r>
              <w:rPr>
                <w:rFonts w:ascii="Times New Roman" w:eastAsia="宋体" w:hAnsi="Times New Roman" w:cs="Times New Roman"/>
                <w:sz w:val="21"/>
                <w:szCs w:val="21"/>
              </w:rPr>
              <w:t>2</w:t>
            </w:r>
            <w:r>
              <w:rPr>
                <w:rFonts w:ascii="Times New Roman" w:eastAsia="宋体" w:hAnsi="Times New Roman" w:cs="Times New Roman"/>
                <w:sz w:val="21"/>
                <w:szCs w:val="21"/>
              </w:rPr>
              <w:t>）禁止向水域倾倒工业废渣、城市垃圾、粪便及其它废弃物。（</w:t>
            </w:r>
            <w:r>
              <w:rPr>
                <w:rFonts w:ascii="Times New Roman" w:eastAsia="宋体" w:hAnsi="Times New Roman" w:cs="Times New Roman"/>
                <w:sz w:val="21"/>
                <w:szCs w:val="21"/>
              </w:rPr>
              <w:t>3</w:t>
            </w:r>
            <w:r>
              <w:rPr>
                <w:rFonts w:ascii="Times New Roman" w:eastAsia="宋体" w:hAnsi="Times New Roman" w:cs="Times New Roman"/>
                <w:sz w:val="21"/>
                <w:szCs w:val="21"/>
              </w:rPr>
              <w:t>）运输有毒有害物质、油类、粪便的船舶和车辆一般不准进入保护区，必须进入者应事先申请并经有关部门批准、登记并设置防渗、防溢、防漏设施。</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4</w:t>
            </w:r>
            <w:r>
              <w:rPr>
                <w:rFonts w:ascii="Times New Roman" w:eastAsia="宋体" w:hAnsi="Times New Roman" w:cs="Times New Roman"/>
                <w:sz w:val="21"/>
                <w:szCs w:val="21"/>
              </w:rPr>
              <w:t>）禁止使用剧毒和高残留农药，不得滥用化肥，不得使用炸药、毒品捕杀鱼类。</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5</w:t>
            </w:r>
            <w:r>
              <w:rPr>
                <w:rFonts w:ascii="Times New Roman" w:eastAsia="宋体" w:hAnsi="Times New Roman" w:cs="Times New Roman"/>
                <w:sz w:val="21"/>
                <w:szCs w:val="21"/>
              </w:rPr>
              <w:t>）禁止建设畜禽养殖场、养殖小区。</w:t>
            </w:r>
          </w:p>
          <w:p w14:paraId="213EA717"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r>
              <w:rPr>
                <w:rFonts w:ascii="Times New Roman" w:eastAsia="宋体" w:hAnsi="Times New Roman" w:cs="Times New Roman"/>
                <w:sz w:val="21"/>
                <w:szCs w:val="21"/>
              </w:rPr>
              <w:t>6</w:t>
            </w:r>
            <w:r>
              <w:rPr>
                <w:rFonts w:ascii="Times New Roman" w:eastAsia="宋体" w:hAnsi="Times New Roman" w:cs="Times New Roman"/>
                <w:sz w:val="21"/>
                <w:szCs w:val="21"/>
              </w:rPr>
              <w:t>）禁止设置排污口。</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）饮用水地表水源各级保护区及准保护区内必须分别遵守下列规定：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）一级保护区内：禁止新建、扩建与供水设施和保护水源无关的建设项目，已建成的与供水设施和保护水源无关的建设项目，由县级以上人民政府责令拆除或者关闭；禁止向</w:t>
            </w:r>
            <w:r>
              <w:rPr>
                <w:rFonts w:ascii="Times New Roman" w:eastAsia="宋体" w:hAnsi="Times New Roman" w:cs="Times New Roman"/>
                <w:sz w:val="21"/>
                <w:szCs w:val="21"/>
              </w:rPr>
              <w:t xml:space="preserve"> </w:t>
            </w:r>
          </w:p>
          <w:p w14:paraId="7B9CD759"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水域排放污水，已设置的排污口必须拆除；不得设置与供水需要无关的码头，禁止停靠船舶；禁止堆置和存放工业废渣、城市垃圾、粪便和其他废弃物；禁止设置油库；禁止从事种植、放养畜禽和网箱养殖活动；禁止可能污染水源的旅游活动和其他活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）二级保护</w:t>
            </w:r>
            <w:r>
              <w:rPr>
                <w:rFonts w:ascii="Times New Roman" w:eastAsia="宋体" w:hAnsi="Times New Roman" w:cs="Times New Roman"/>
                <w:sz w:val="21"/>
                <w:szCs w:val="21"/>
              </w:rPr>
              <w:t xml:space="preserve"> </w:t>
            </w:r>
          </w:p>
          <w:p w14:paraId="4AFE61C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区内：禁止新建、改建、扩建排放污染物的建设项目，已建成的排放污染物的建设项目，由县级以上人民政府责令拆除或者关闭；原有排污口依法拆除或者关闭；禁止设立装卸垃圾、粪便、油类</w:t>
            </w:r>
            <w:r>
              <w:rPr>
                <w:rFonts w:ascii="Times New Roman" w:eastAsia="宋体" w:hAnsi="Times New Roman" w:cs="Times New Roman"/>
                <w:sz w:val="21"/>
                <w:szCs w:val="21"/>
              </w:rPr>
              <w:lastRenderedPageBreak/>
              <w:t>和有毒物品的码头。</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3</w:t>
            </w:r>
            <w:r>
              <w:rPr>
                <w:rFonts w:ascii="Times New Roman" w:eastAsia="宋体" w:hAnsi="Times New Roman" w:cs="Times New Roman"/>
                <w:sz w:val="21"/>
                <w:szCs w:val="21"/>
              </w:rPr>
              <w:t>）准保护区内：禁止新建、扩建对水体污染严重的建设</w:t>
            </w:r>
            <w:r>
              <w:rPr>
                <w:rFonts w:ascii="Times New Roman" w:eastAsia="宋体" w:hAnsi="Times New Roman" w:cs="Times New Roman"/>
                <w:sz w:val="21"/>
                <w:szCs w:val="21"/>
              </w:rPr>
              <w:t xml:space="preserve"> </w:t>
            </w:r>
          </w:p>
          <w:p w14:paraId="1BFAC1A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项目；改建建设项目，不得增加排污量。</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）国务院和省、自治区、直辖市人民政府根据水环境保护的需要，可以规定在饮用水水源保护区内，采取禁止或者限制使用含磷洗涤剂、化肥、农药以及限制种植养殖等措施。</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）饮用水地下水源各级保护区及准保护区内均必须遵</w:t>
            </w:r>
            <w:r>
              <w:rPr>
                <w:rFonts w:ascii="Times New Roman" w:eastAsia="宋体" w:hAnsi="Times New Roman" w:cs="Times New Roman"/>
                <w:sz w:val="21"/>
                <w:szCs w:val="21"/>
              </w:rPr>
              <w:t xml:space="preserve"> </w:t>
            </w:r>
          </w:p>
          <w:p w14:paraId="7DE4D945"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守下列规定：禁止利用渗坑、渗井、裂隙、溶洞等排放污水和其它有害废弃物；禁止利用透水层孔隙、裂隙、溶洞及废弃矿坑储存石油、天然气、放射性物质、有毒有害化工原料、农药等；实行人工回灌地下水时不得污染当地地下水源。（</w:t>
            </w:r>
            <w:r>
              <w:rPr>
                <w:rFonts w:ascii="Times New Roman" w:eastAsia="宋体" w:hAnsi="Times New Roman" w:cs="Times New Roman"/>
                <w:sz w:val="21"/>
                <w:szCs w:val="21"/>
              </w:rPr>
              <w:t>1</w:t>
            </w:r>
            <w:r>
              <w:rPr>
                <w:rFonts w:ascii="Times New Roman" w:eastAsia="宋体" w:hAnsi="Times New Roman" w:cs="Times New Roman"/>
                <w:sz w:val="21"/>
                <w:szCs w:val="21"/>
              </w:rPr>
              <w:t>）一级保护区内：禁止建设与取</w:t>
            </w:r>
          </w:p>
          <w:p w14:paraId="4F701A96"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水设施无关的建筑物；禁止从事农牧业活动；禁止倾倒、堆放工业废渣及城市垃圾、粪便和其它有害废弃物；禁止输送污水的渠道、管道及输油管道通过本区；禁止建设油库；禁止建立墓地。（</w:t>
            </w:r>
            <w:r>
              <w:rPr>
                <w:rFonts w:ascii="Times New Roman" w:eastAsia="宋体" w:hAnsi="Times New Roman" w:cs="Times New Roman"/>
                <w:sz w:val="21"/>
                <w:szCs w:val="21"/>
              </w:rPr>
              <w:t>2</w:t>
            </w:r>
            <w:r>
              <w:rPr>
                <w:rFonts w:ascii="Times New Roman" w:eastAsia="宋体" w:hAnsi="Times New Roman" w:cs="Times New Roman"/>
                <w:sz w:val="21"/>
                <w:szCs w:val="21"/>
              </w:rPr>
              <w:t>）二级保护区内：</w:t>
            </w:r>
            <w:r>
              <w:rPr>
                <w:rFonts w:ascii="Times New Roman" w:eastAsia="宋体" w:hAnsi="Times New Roman" w:cs="Times New Roman"/>
                <w:sz w:val="21"/>
                <w:szCs w:val="21"/>
              </w:rPr>
              <w:t>1</w:t>
            </w:r>
            <w:r>
              <w:rPr>
                <w:rFonts w:ascii="Times New Roman" w:eastAsia="宋体" w:hAnsi="Times New Roman" w:cs="Times New Roman"/>
                <w:sz w:val="21"/>
                <w:szCs w:val="21"/>
              </w:rPr>
              <w:t>）对于潜水含水层地下水水源地：禁止建设化工、电镀、皮</w:t>
            </w:r>
            <w:r>
              <w:rPr>
                <w:rFonts w:ascii="Times New Roman" w:eastAsia="宋体" w:hAnsi="Times New Roman" w:cs="Times New Roman"/>
                <w:sz w:val="21"/>
                <w:szCs w:val="21"/>
              </w:rPr>
              <w:t xml:space="preserve"> </w:t>
            </w:r>
          </w:p>
          <w:p w14:paraId="1AB8C356"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革、造纸、制浆、冶炼、放射性、印染、染料、炼焦、炼油及其它有严重污染的企业，已建成的要限期治理，转产或搬迁；禁止设置城市垃圾、粪便和易溶、有毒有害废弃物堆放场和转运站，已有的上述场站要限期搬迁；禁止利用未经净化的污水灌溉农田，已有的污灌农田</w:t>
            </w:r>
            <w:r>
              <w:rPr>
                <w:rFonts w:ascii="Times New Roman" w:eastAsia="宋体" w:hAnsi="Times New Roman" w:cs="Times New Roman"/>
                <w:sz w:val="21"/>
                <w:szCs w:val="21"/>
              </w:rPr>
              <w:t xml:space="preserve"> </w:t>
            </w:r>
          </w:p>
          <w:p w14:paraId="3D2A81B9"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要限期改用清水灌溉；化工原料、矿物油类及有毒有害矿产品的堆放场所必须有防雨、防渗措施。</w:t>
            </w:r>
            <w:r>
              <w:rPr>
                <w:rFonts w:ascii="Times New Roman" w:eastAsia="宋体" w:hAnsi="Times New Roman" w:cs="Times New Roman"/>
                <w:sz w:val="21"/>
                <w:szCs w:val="21"/>
              </w:rPr>
              <w:t>2</w:t>
            </w:r>
            <w:r>
              <w:rPr>
                <w:rFonts w:ascii="Times New Roman" w:eastAsia="宋体" w:hAnsi="Times New Roman" w:cs="Times New Roman"/>
                <w:sz w:val="21"/>
                <w:szCs w:val="21"/>
              </w:rPr>
              <w:t>）对于承压含水层地下水水源地：禁止承压水和潜水的混合开采，作好潜水的止水措施。（</w:t>
            </w:r>
            <w:r>
              <w:rPr>
                <w:rFonts w:ascii="Times New Roman" w:eastAsia="宋体" w:hAnsi="Times New Roman" w:cs="Times New Roman"/>
                <w:sz w:val="21"/>
                <w:szCs w:val="21"/>
              </w:rPr>
              <w:t>3</w:t>
            </w:r>
            <w:r>
              <w:rPr>
                <w:rFonts w:ascii="Times New Roman" w:eastAsia="宋体" w:hAnsi="Times New Roman" w:cs="Times New Roman"/>
                <w:sz w:val="21"/>
                <w:szCs w:val="21"/>
              </w:rPr>
              <w:t>）准保护区内：禁止建设城市垃圾、粪便和易溶、有毒有害废弃物的堆放场站，因特殊需要设立转运站的，必须经有关部门批准，并采取防渗漏措施；当补给源</w:t>
            </w:r>
            <w:r>
              <w:rPr>
                <w:rFonts w:ascii="Times New Roman" w:eastAsia="宋体" w:hAnsi="Times New Roman" w:cs="Times New Roman"/>
                <w:sz w:val="21"/>
                <w:szCs w:val="21"/>
              </w:rPr>
              <w:lastRenderedPageBreak/>
              <w:t>为地表水体时，该地表水体水质不应低于《地表水环境质量标准》</w:t>
            </w:r>
            <w:r>
              <w:rPr>
                <w:rFonts w:ascii="Times New Roman" w:eastAsia="宋体" w:hAnsi="Times New Roman" w:cs="Times New Roman"/>
                <w:sz w:val="21"/>
                <w:szCs w:val="21"/>
              </w:rPr>
              <w:t>Ⅲ</w:t>
            </w:r>
            <w:r>
              <w:rPr>
                <w:rFonts w:ascii="Times New Roman" w:eastAsia="宋体" w:hAnsi="Times New Roman" w:cs="Times New Roman"/>
                <w:sz w:val="21"/>
                <w:szCs w:val="21"/>
              </w:rPr>
              <w:t>类标准；不得使用不符合《农田灌溉水质标准》的污水进行灌溉，合理使用化肥；保护水源林，禁止毁林开荒，禁止非更新砍</w:t>
            </w:r>
            <w:r>
              <w:rPr>
                <w:rFonts w:ascii="Times New Roman" w:eastAsia="宋体" w:hAnsi="Times New Roman" w:cs="Times New Roman"/>
                <w:sz w:val="21"/>
                <w:szCs w:val="21"/>
              </w:rPr>
              <w:t xml:space="preserve"> </w:t>
            </w:r>
          </w:p>
          <w:p w14:paraId="22BF7AF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伐水源林。</w:t>
            </w:r>
            <w:r>
              <w:rPr>
                <w:rFonts w:ascii="Times New Roman" w:eastAsia="宋体" w:hAnsi="Times New Roman" w:cs="Times New Roman"/>
                <w:sz w:val="21"/>
                <w:szCs w:val="21"/>
              </w:rPr>
              <w:t xml:space="preserve"> 6.</w:t>
            </w:r>
            <w:r>
              <w:rPr>
                <w:rFonts w:ascii="Times New Roman" w:eastAsia="宋体" w:hAnsi="Times New Roman" w:cs="Times New Roman"/>
                <w:sz w:val="21"/>
                <w:szCs w:val="21"/>
              </w:rPr>
              <w:t>海浪河特有鱼类国家级水产种质资源保护区同时执行以下要求：</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）不得损害水产种质资源及其生存环境。</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）禁止在水产种质资源保护区内从事围湖造田工程。</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）禁止在水产种质资源保护区内新建排污口。</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）在水产种质资源保护区附近新建、改建、扩</w:t>
            </w:r>
            <w:r>
              <w:rPr>
                <w:rFonts w:ascii="Times New Roman" w:eastAsia="宋体" w:hAnsi="Times New Roman" w:cs="Times New Roman"/>
                <w:sz w:val="21"/>
                <w:szCs w:val="21"/>
              </w:rPr>
              <w:t xml:space="preserve"> </w:t>
            </w:r>
          </w:p>
          <w:p w14:paraId="26DDFB27"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建排污口，应当保证保护区水体不受污染。</w:t>
            </w:r>
            <w:r>
              <w:rPr>
                <w:rFonts w:ascii="Times New Roman" w:eastAsia="宋体" w:hAnsi="Times New Roman" w:cs="Times New Roman"/>
                <w:sz w:val="21"/>
                <w:szCs w:val="21"/>
              </w:rPr>
              <w:t xml:space="preserve"> 5</w:t>
            </w:r>
            <w:r>
              <w:rPr>
                <w:rFonts w:ascii="Times New Roman" w:eastAsia="宋体" w:hAnsi="Times New Roman" w:cs="Times New Roman"/>
                <w:sz w:val="21"/>
                <w:szCs w:val="21"/>
              </w:rPr>
              <w:t>）特别保护期内不得从事捕捞、爆破作业以及其他可能对保护区内生物资源和生态环境造成损害的活动。</w:t>
            </w:r>
            <w:r>
              <w:rPr>
                <w:rFonts w:ascii="Times New Roman" w:eastAsia="宋体" w:hAnsi="Times New Roman" w:cs="Times New Roman"/>
                <w:sz w:val="21"/>
                <w:szCs w:val="21"/>
              </w:rPr>
              <w:t xml:space="preserve"> 6</w:t>
            </w:r>
            <w:r>
              <w:rPr>
                <w:rFonts w:ascii="Times New Roman" w:eastAsia="宋体" w:hAnsi="Times New Roman" w:cs="Times New Roman"/>
                <w:sz w:val="21"/>
                <w:szCs w:val="21"/>
              </w:rPr>
              <w:t>）在水产种质资源保护区内从事修建水利工程、疏浚航道、建闸筑坝、勘探和开采矿产资源、港口建设等工程建设的，或者在水产种质资源保护区外从事可能损害保护区功能的工程建设活动的，应当按照国家有关规定编制建设项目对水产种质资源保护区的影响专题论证报告，并将其纳入环境影响评价报告书。</w:t>
            </w:r>
          </w:p>
        </w:tc>
        <w:tc>
          <w:tcPr>
            <w:tcW w:w="710" w:type="pct"/>
            <w:vAlign w:val="center"/>
          </w:tcPr>
          <w:p w14:paraId="2CF8C656"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lastRenderedPageBreak/>
              <w:t>本项目属于江河湖库清淤疏浚工程，</w:t>
            </w:r>
            <w:r>
              <w:rPr>
                <w:rFonts w:ascii="Times New Roman" w:eastAsia="宋体" w:hAnsi="Times New Roman" w:cs="Times New Roman" w:hint="eastAsia"/>
                <w:sz w:val="21"/>
                <w:szCs w:val="21"/>
              </w:rPr>
              <w:t>属于生态影响类项目。</w:t>
            </w:r>
          </w:p>
        </w:tc>
        <w:tc>
          <w:tcPr>
            <w:tcW w:w="251" w:type="pct"/>
            <w:vAlign w:val="center"/>
          </w:tcPr>
          <w:p w14:paraId="5EDD897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符合</w:t>
            </w:r>
          </w:p>
        </w:tc>
      </w:tr>
      <w:tr w:rsidR="009D12AF" w14:paraId="1014B479" w14:textId="77777777">
        <w:trPr>
          <w:trHeight w:val="1536"/>
          <w:jc w:val="center"/>
        </w:trPr>
        <w:tc>
          <w:tcPr>
            <w:tcW w:w="470" w:type="pct"/>
            <w:vMerge w:val="restart"/>
            <w:vAlign w:val="center"/>
          </w:tcPr>
          <w:p w14:paraId="1D59A875"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lastRenderedPageBreak/>
              <w:t>ZH23108320002</w:t>
            </w:r>
          </w:p>
        </w:tc>
        <w:tc>
          <w:tcPr>
            <w:tcW w:w="493" w:type="pct"/>
            <w:vMerge w:val="restart"/>
            <w:vAlign w:val="center"/>
          </w:tcPr>
          <w:p w14:paraId="13A04FF9"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海林市城镇空间</w:t>
            </w:r>
          </w:p>
        </w:tc>
        <w:tc>
          <w:tcPr>
            <w:tcW w:w="405" w:type="pct"/>
            <w:vMerge w:val="restart"/>
            <w:vAlign w:val="center"/>
          </w:tcPr>
          <w:p w14:paraId="0828B12B"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重点管控单元</w:t>
            </w:r>
          </w:p>
        </w:tc>
        <w:tc>
          <w:tcPr>
            <w:tcW w:w="440" w:type="pct"/>
            <w:vAlign w:val="center"/>
          </w:tcPr>
          <w:p w14:paraId="1C216A75"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空间布局约束</w:t>
            </w:r>
          </w:p>
        </w:tc>
        <w:tc>
          <w:tcPr>
            <w:tcW w:w="2227" w:type="pct"/>
            <w:vAlign w:val="center"/>
          </w:tcPr>
          <w:p w14:paraId="48FDC7F2"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严禁在人口密集区新建危险化学品生产项目，城镇人口密集区危险化学品生产企业应搬迁改造。</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禁止在城镇居民区、文化教育科学研究区等人口集中区域建设畜禽养殖场、养殖小区。</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水环境城镇生活污染重点管控区执行：除干旱地区外，新建城区应全面实行雨污分流，鼓励对初期雨水进行收集、处理和资源化利用。</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水环境农业污染重点管控区同时执行：</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）科学划定畜禽养殖禁养区。</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）加快农业结构调整。松嫩平原和三江平原等地下水易受污染地区优先种植需肥需药量低、环境效益突出的农作物；在西部干旱区发展谷子、高粱等耐旱杂粮种植；在北部四、五积温</w:t>
            </w:r>
            <w:r>
              <w:rPr>
                <w:rFonts w:ascii="Times New Roman" w:eastAsia="宋体" w:hAnsi="Times New Roman" w:cs="Times New Roman"/>
                <w:sz w:val="21"/>
                <w:szCs w:val="21"/>
              </w:rPr>
              <w:lastRenderedPageBreak/>
              <w:t>区开展米豆麦轮作，促进化肥需求低的农作物面积恢复性增长。</w:t>
            </w:r>
            <w:r>
              <w:rPr>
                <w:rFonts w:ascii="Times New Roman" w:eastAsia="宋体" w:hAnsi="Times New Roman" w:cs="Times New Roman"/>
                <w:sz w:val="21"/>
                <w:szCs w:val="21"/>
              </w:rPr>
              <w:t xml:space="preserve"> 5.</w:t>
            </w:r>
            <w:r>
              <w:rPr>
                <w:rFonts w:ascii="Times New Roman" w:eastAsia="宋体" w:hAnsi="Times New Roman" w:cs="Times New Roman"/>
                <w:sz w:val="21"/>
                <w:szCs w:val="21"/>
              </w:rPr>
              <w:t>大气环境布局敏感重点管控区同时执行：</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）严控</w:t>
            </w:r>
            <w:r>
              <w:rPr>
                <w:rFonts w:ascii="Times New Roman" w:eastAsia="宋体" w:hAnsi="Times New Roman" w:cs="Times New Roman"/>
                <w:sz w:val="21"/>
                <w:szCs w:val="21"/>
              </w:rPr>
              <w:t>“</w:t>
            </w:r>
            <w:r>
              <w:rPr>
                <w:rFonts w:ascii="Times New Roman" w:eastAsia="宋体" w:hAnsi="Times New Roman" w:cs="Times New Roman"/>
                <w:sz w:val="21"/>
                <w:szCs w:val="21"/>
              </w:rPr>
              <w:t>两高</w:t>
            </w:r>
            <w:r>
              <w:rPr>
                <w:rFonts w:ascii="Times New Roman" w:eastAsia="宋体" w:hAnsi="Times New Roman" w:cs="Times New Roman"/>
                <w:sz w:val="21"/>
                <w:szCs w:val="21"/>
              </w:rPr>
              <w:t>”</w:t>
            </w:r>
            <w:r>
              <w:rPr>
                <w:rFonts w:ascii="Times New Roman" w:eastAsia="宋体" w:hAnsi="Times New Roman" w:cs="Times New Roman"/>
                <w:sz w:val="21"/>
                <w:szCs w:val="21"/>
              </w:rPr>
              <w:t>行业产能。严格执行钢铁、水泥、平板玻璃等行业产能置换实施办法。</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）利用水泥窑协同处置城市生活垃圾、危险废弃物、电石渣等固废伴生水泥项目，必须依托现有新型干法水泥熟料生产线进行不扩产能改造。</w:t>
            </w:r>
          </w:p>
        </w:tc>
        <w:tc>
          <w:tcPr>
            <w:tcW w:w="710" w:type="pct"/>
            <w:vAlign w:val="center"/>
          </w:tcPr>
          <w:p w14:paraId="4AEC66A8"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lastRenderedPageBreak/>
              <w:t>本项目属于江河湖库清淤疏浚工程，</w:t>
            </w:r>
            <w:r>
              <w:rPr>
                <w:rFonts w:ascii="Times New Roman" w:eastAsia="宋体" w:hAnsi="Times New Roman" w:cs="Times New Roman" w:hint="eastAsia"/>
                <w:sz w:val="21"/>
                <w:szCs w:val="21"/>
              </w:rPr>
              <w:t>属于生态影响类项目。</w:t>
            </w:r>
          </w:p>
        </w:tc>
        <w:tc>
          <w:tcPr>
            <w:tcW w:w="251" w:type="pct"/>
            <w:vAlign w:val="center"/>
          </w:tcPr>
          <w:p w14:paraId="6A2B096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符合</w:t>
            </w:r>
          </w:p>
        </w:tc>
      </w:tr>
      <w:tr w:rsidR="009D12AF" w14:paraId="4345668D" w14:textId="77777777">
        <w:trPr>
          <w:trHeight w:val="1536"/>
          <w:jc w:val="center"/>
        </w:trPr>
        <w:tc>
          <w:tcPr>
            <w:tcW w:w="470" w:type="pct"/>
            <w:vMerge/>
            <w:vAlign w:val="center"/>
          </w:tcPr>
          <w:p w14:paraId="055C49B2" w14:textId="77777777" w:rsidR="009D12AF" w:rsidRDefault="009D12AF">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p>
        </w:tc>
        <w:tc>
          <w:tcPr>
            <w:tcW w:w="493" w:type="pct"/>
            <w:vMerge/>
            <w:vAlign w:val="center"/>
          </w:tcPr>
          <w:p w14:paraId="4083ECEF" w14:textId="77777777" w:rsidR="009D12AF" w:rsidRDefault="009D12AF">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p>
        </w:tc>
        <w:tc>
          <w:tcPr>
            <w:tcW w:w="405" w:type="pct"/>
            <w:vMerge/>
            <w:vAlign w:val="center"/>
          </w:tcPr>
          <w:p w14:paraId="20255A4D" w14:textId="77777777" w:rsidR="009D12AF" w:rsidRDefault="009D12AF">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p>
        </w:tc>
        <w:tc>
          <w:tcPr>
            <w:tcW w:w="440" w:type="pct"/>
            <w:vAlign w:val="center"/>
          </w:tcPr>
          <w:p w14:paraId="54060EC4"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污染物排放管控</w:t>
            </w:r>
          </w:p>
        </w:tc>
        <w:tc>
          <w:tcPr>
            <w:tcW w:w="2227" w:type="pct"/>
            <w:vAlign w:val="center"/>
          </w:tcPr>
          <w:p w14:paraId="07716A65"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加快</w:t>
            </w:r>
            <w:r>
              <w:rPr>
                <w:rFonts w:ascii="Times New Roman" w:eastAsia="宋体" w:hAnsi="Times New Roman" w:cs="Times New Roman"/>
                <w:sz w:val="21"/>
                <w:szCs w:val="21"/>
              </w:rPr>
              <w:t xml:space="preserve"> 65t</w:t>
            </w:r>
            <w:r>
              <w:rPr>
                <w:rFonts w:ascii="Times New Roman" w:eastAsia="宋体" w:hAnsi="Times New Roman" w:cs="Times New Roman" w:hint="eastAsia"/>
                <w:sz w:val="21"/>
                <w:szCs w:val="21"/>
              </w:rPr>
              <w:t>/</w:t>
            </w:r>
            <w:r>
              <w:rPr>
                <w:rFonts w:ascii="Times New Roman" w:eastAsia="宋体" w:hAnsi="Times New Roman" w:cs="Times New Roman"/>
                <w:sz w:val="21"/>
                <w:szCs w:val="21"/>
              </w:rPr>
              <w:t xml:space="preserve">h </w:t>
            </w:r>
            <w:r>
              <w:rPr>
                <w:rFonts w:ascii="Times New Roman" w:eastAsia="宋体" w:hAnsi="Times New Roman" w:cs="Times New Roman"/>
                <w:sz w:val="21"/>
                <w:szCs w:val="21"/>
              </w:rPr>
              <w:t>以上燃煤锅炉（含电力）超低排放改造。</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水环境城镇生活污染重点管控区同时执行：</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）新区污水管网规划建设应当与城市开发同步推进，除干旱地区外均实行雨污分流。</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）强化城中村、老旧城区和城乡结合部污水截流、收集。</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）推进合流制排水系统</w:t>
            </w:r>
            <w:r>
              <w:rPr>
                <w:rFonts w:ascii="Times New Roman" w:eastAsia="宋体" w:hAnsi="Times New Roman" w:cs="Times New Roman"/>
                <w:sz w:val="21"/>
                <w:szCs w:val="21"/>
              </w:rPr>
              <w:t xml:space="preserve"> </w:t>
            </w:r>
          </w:p>
          <w:p w14:paraId="250B5B77"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雨污分流改造，难以改造的，应采取截流、调蓄和治理等措施；推进现有污水处理设施配套管网建设；进一步提高城市、县城生活污水收集处理效能。</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县级以上人民政府应当合理确定城镇排水与污水处理设施建设标准，统筹安排管网、泵站、污水处理厂以及污泥处理处置、再生水利用、雨水调蓄和排放等排水与污水处理设施建设和改造，提高城镇污水收集率和处理率。</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水环境农业污染重点管控区同时执行：</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）支持规模化畜禽养殖场（小区）开展标准化改造和建设，提高畜禽粪污收集和处理机械化水平，实施雨污分流、粪污资源化利用，控制畜禽养殖污染排放。</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畜禽养殖户应当及时对畜禽粪便、污水进行收集、贮存、清运，或者进行无害化处理。县级人民政府应当组织对本行政区域的畜禽散养密集区畜禽粪便、污水进行集中处理利用，督促乡镇人民政府建设或者配备污染防治配套设施。</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w:t>
            </w:r>
            <w:r>
              <w:rPr>
                <w:rFonts w:ascii="Times New Roman" w:eastAsia="宋体" w:hAnsi="Times New Roman" w:cs="Times New Roman"/>
                <w:sz w:val="21"/>
                <w:szCs w:val="21"/>
              </w:rPr>
              <w:t xml:space="preserve"> </w:t>
            </w:r>
          </w:p>
          <w:p w14:paraId="3FC0B59A"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全面加强农业面源污染防控，科学合理使用农业投入品，提高使用效率，减少</w:t>
            </w:r>
            <w:r>
              <w:rPr>
                <w:rFonts w:ascii="Times New Roman" w:eastAsia="宋体" w:hAnsi="Times New Roman" w:cs="Times New Roman"/>
                <w:sz w:val="21"/>
                <w:szCs w:val="21"/>
              </w:rPr>
              <w:lastRenderedPageBreak/>
              <w:t>农业内源性污染。</w:t>
            </w:r>
            <w:r>
              <w:rPr>
                <w:rFonts w:ascii="Times New Roman" w:eastAsia="宋体" w:hAnsi="Times New Roman" w:cs="Times New Roman"/>
                <w:sz w:val="21"/>
                <w:szCs w:val="21"/>
              </w:rPr>
              <w:t xml:space="preserve"> 5.</w:t>
            </w:r>
            <w:r>
              <w:rPr>
                <w:rFonts w:ascii="Times New Roman" w:eastAsia="宋体" w:hAnsi="Times New Roman" w:cs="Times New Roman"/>
                <w:sz w:val="21"/>
                <w:szCs w:val="21"/>
              </w:rPr>
              <w:t>大气环境布局敏感重点管控区同时执行：</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）对以煤、石焦油、渣油、重油等为燃料的锅炉和工业炉窑，加快使用清洁低碳能源以及工厂余热、电力热力等进行替代。</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）到</w:t>
            </w:r>
            <w:r>
              <w:rPr>
                <w:rFonts w:ascii="Times New Roman" w:eastAsia="宋体" w:hAnsi="Times New Roman" w:cs="Times New Roman"/>
                <w:sz w:val="21"/>
                <w:szCs w:val="21"/>
              </w:rPr>
              <w:t xml:space="preserve"> </w:t>
            </w:r>
          </w:p>
          <w:p w14:paraId="5F03B8D3"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 xml:space="preserve">2025 </w:t>
            </w:r>
            <w:r>
              <w:rPr>
                <w:rFonts w:ascii="Times New Roman" w:eastAsia="宋体" w:hAnsi="Times New Roman" w:cs="Times New Roman"/>
                <w:sz w:val="21"/>
                <w:szCs w:val="21"/>
              </w:rPr>
              <w:t>年，在用</w:t>
            </w:r>
            <w:r>
              <w:rPr>
                <w:rFonts w:ascii="Times New Roman" w:eastAsia="宋体" w:hAnsi="Times New Roman" w:cs="Times New Roman"/>
                <w:sz w:val="21"/>
                <w:szCs w:val="21"/>
              </w:rPr>
              <w:t xml:space="preserve"> 65 </w:t>
            </w:r>
            <w:r>
              <w:rPr>
                <w:rFonts w:ascii="Times New Roman" w:eastAsia="宋体" w:hAnsi="Times New Roman" w:cs="Times New Roman"/>
                <w:sz w:val="21"/>
                <w:szCs w:val="21"/>
              </w:rPr>
              <w:t>蒸吨</w:t>
            </w:r>
            <w:r>
              <w:rPr>
                <w:rFonts w:ascii="Times New Roman" w:eastAsia="宋体" w:hAnsi="Times New Roman" w:cs="Times New Roman"/>
                <w:sz w:val="21"/>
                <w:szCs w:val="21"/>
              </w:rPr>
              <w:t>/</w:t>
            </w:r>
            <w:r>
              <w:rPr>
                <w:rFonts w:ascii="Times New Roman" w:eastAsia="宋体" w:hAnsi="Times New Roman" w:cs="Times New Roman"/>
                <w:sz w:val="21"/>
                <w:szCs w:val="21"/>
              </w:rPr>
              <w:t>小时以上的燃煤锅炉（含电力）实现超低排放，钢铁企业基本实现超低排放。</w:t>
            </w:r>
          </w:p>
        </w:tc>
        <w:tc>
          <w:tcPr>
            <w:tcW w:w="710" w:type="pct"/>
            <w:vMerge w:val="restart"/>
            <w:vAlign w:val="center"/>
          </w:tcPr>
          <w:p w14:paraId="2CD6555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lastRenderedPageBreak/>
              <w:t>清理底泥中含有的有机腐殖质，在受到扰动和堆</w:t>
            </w:r>
            <w:r>
              <w:rPr>
                <w:rFonts w:ascii="Times New Roman" w:eastAsia="宋体" w:hAnsi="Times New Roman" w:cs="Times New Roman" w:hint="eastAsia"/>
                <w:sz w:val="21"/>
                <w:szCs w:val="21"/>
              </w:rPr>
              <w:t xml:space="preserve"> </w:t>
            </w:r>
          </w:p>
          <w:p w14:paraId="35959B0A"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放过程中，在无条件下可分解产生氨、硫化氢、臭气浓度等恶臭气体，经周边环境空气稀释</w:t>
            </w:r>
            <w:r>
              <w:rPr>
                <w:rFonts w:ascii="Times New Roman" w:eastAsia="宋体" w:hAnsi="Times New Roman" w:cs="Times New Roman" w:hint="eastAsia"/>
                <w:sz w:val="21"/>
                <w:szCs w:val="21"/>
              </w:rPr>
              <w:t xml:space="preserve"> </w:t>
            </w:r>
          </w:p>
          <w:p w14:paraId="4769A8B2"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后影响不大；</w:t>
            </w:r>
            <w:r>
              <w:rPr>
                <w:rFonts w:ascii="Times New Roman" w:eastAsia="宋体" w:hAnsi="Times New Roman" w:cs="Times New Roman"/>
                <w:sz w:val="21"/>
                <w:szCs w:val="21"/>
              </w:rPr>
              <w:t>施工废水为施工机械和车辆的清洗废水，</w:t>
            </w:r>
            <w:r>
              <w:rPr>
                <w:rFonts w:ascii="Times New Roman" w:eastAsia="宋体" w:hAnsi="Times New Roman" w:cs="Times New Roman" w:hint="eastAsia"/>
                <w:sz w:val="21"/>
                <w:szCs w:val="21"/>
              </w:rPr>
              <w:t>经隔油沉淀池处理</w:t>
            </w:r>
            <w:r>
              <w:rPr>
                <w:rFonts w:ascii="Times New Roman" w:eastAsia="宋体" w:hAnsi="Times New Roman" w:cs="Times New Roman"/>
                <w:sz w:val="21"/>
                <w:szCs w:val="21"/>
              </w:rPr>
              <w:t>后，回用于洒水降尘，不外排</w:t>
            </w:r>
            <w:r>
              <w:rPr>
                <w:rFonts w:ascii="Times New Roman" w:eastAsia="宋体" w:hAnsi="Times New Roman" w:cs="Times New Roman" w:hint="eastAsia"/>
                <w:sz w:val="21"/>
                <w:szCs w:val="21"/>
              </w:rPr>
              <w:t>；含油废水交由有资质单位处置；渗滤水经三级沉淀、过</w:t>
            </w:r>
            <w:r>
              <w:rPr>
                <w:rFonts w:ascii="Times New Roman" w:eastAsia="宋体" w:hAnsi="Times New Roman" w:cs="Times New Roman" w:hint="eastAsia"/>
                <w:sz w:val="21"/>
                <w:szCs w:val="21"/>
              </w:rPr>
              <w:lastRenderedPageBreak/>
              <w:t>滤、紫外线消毒处理后达到《污水综合排放标准》（</w:t>
            </w:r>
            <w:r>
              <w:rPr>
                <w:rFonts w:ascii="Times New Roman" w:eastAsia="宋体" w:hAnsi="Times New Roman" w:cs="Times New Roman" w:hint="eastAsia"/>
                <w:sz w:val="21"/>
                <w:szCs w:val="21"/>
              </w:rPr>
              <w:t>GB8978-1996</w:t>
            </w:r>
            <w:r>
              <w:rPr>
                <w:rFonts w:ascii="Times New Roman" w:eastAsia="宋体" w:hAnsi="Times New Roman" w:cs="Times New Roman" w:hint="eastAsia"/>
                <w:sz w:val="21"/>
                <w:szCs w:val="21"/>
              </w:rPr>
              <w:t>）一级标准，由牡丹江龙江环保水务有限公司定期拉运处理；</w:t>
            </w:r>
            <w:r>
              <w:rPr>
                <w:rFonts w:ascii="Times New Roman" w:eastAsia="宋体" w:hAnsi="Times New Roman" w:cs="Times New Roman"/>
                <w:sz w:val="21"/>
                <w:szCs w:val="21"/>
              </w:rPr>
              <w:t>生活污水排</w:t>
            </w:r>
            <w:r>
              <w:rPr>
                <w:rFonts w:ascii="Times New Roman" w:eastAsia="宋体" w:hAnsi="Times New Roman" w:cs="Times New Roman" w:hint="eastAsia"/>
                <w:sz w:val="21"/>
                <w:szCs w:val="21"/>
              </w:rPr>
              <w:t>入</w:t>
            </w:r>
            <w:r>
              <w:rPr>
                <w:rFonts w:ascii="Times New Roman" w:eastAsia="宋体" w:hAnsi="Times New Roman" w:cs="Times New Roman"/>
                <w:sz w:val="21"/>
                <w:szCs w:val="21"/>
              </w:rPr>
              <w:t>防渗旱厕，定期清掏</w:t>
            </w:r>
            <w:r>
              <w:rPr>
                <w:rFonts w:ascii="Times New Roman" w:eastAsia="宋体" w:hAnsi="Times New Roman" w:cs="Times New Roman" w:hint="eastAsia"/>
                <w:sz w:val="21"/>
                <w:szCs w:val="21"/>
              </w:rPr>
              <w:t>外运堆肥，不外排</w:t>
            </w:r>
            <w:r>
              <w:rPr>
                <w:rFonts w:ascii="Times New Roman" w:eastAsia="宋体" w:hAnsi="Times New Roman" w:cs="Times New Roman"/>
                <w:sz w:val="21"/>
                <w:szCs w:val="21"/>
              </w:rPr>
              <w:t>。</w:t>
            </w:r>
          </w:p>
        </w:tc>
        <w:tc>
          <w:tcPr>
            <w:tcW w:w="251" w:type="pct"/>
            <w:vAlign w:val="center"/>
          </w:tcPr>
          <w:p w14:paraId="3B799B3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lastRenderedPageBreak/>
              <w:t>符合</w:t>
            </w:r>
          </w:p>
        </w:tc>
      </w:tr>
      <w:tr w:rsidR="009D12AF" w14:paraId="6E564A8E" w14:textId="77777777">
        <w:trPr>
          <w:trHeight w:val="1536"/>
          <w:jc w:val="center"/>
        </w:trPr>
        <w:tc>
          <w:tcPr>
            <w:tcW w:w="470" w:type="pct"/>
            <w:vMerge/>
            <w:vAlign w:val="center"/>
          </w:tcPr>
          <w:p w14:paraId="587BFE92" w14:textId="77777777" w:rsidR="009D12AF" w:rsidRDefault="009D12AF">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p>
        </w:tc>
        <w:tc>
          <w:tcPr>
            <w:tcW w:w="493" w:type="pct"/>
            <w:vMerge/>
            <w:vAlign w:val="center"/>
          </w:tcPr>
          <w:p w14:paraId="27E20E97" w14:textId="77777777" w:rsidR="009D12AF" w:rsidRDefault="009D12AF">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p>
        </w:tc>
        <w:tc>
          <w:tcPr>
            <w:tcW w:w="405" w:type="pct"/>
            <w:vMerge/>
            <w:vAlign w:val="center"/>
          </w:tcPr>
          <w:p w14:paraId="265691BF" w14:textId="77777777" w:rsidR="009D12AF" w:rsidRDefault="009D12AF">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p>
        </w:tc>
        <w:tc>
          <w:tcPr>
            <w:tcW w:w="440" w:type="pct"/>
            <w:vAlign w:val="center"/>
          </w:tcPr>
          <w:p w14:paraId="62220C86"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环境风险管控</w:t>
            </w:r>
          </w:p>
        </w:tc>
        <w:tc>
          <w:tcPr>
            <w:tcW w:w="2227" w:type="pct"/>
            <w:vAlign w:val="center"/>
          </w:tcPr>
          <w:p w14:paraId="4F475D1A"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化工园区与城市建成区、人员密集场所、重要设施、敏感目标等应当保持规定的安全距离，相对封闭，不应保留常住居民，非关联企业和产业要逐步搬迁或退出，妥善防范化解</w:t>
            </w:r>
            <w:r>
              <w:rPr>
                <w:rFonts w:ascii="Times New Roman" w:eastAsia="宋体" w:hAnsi="Times New Roman" w:cs="Times New Roman"/>
                <w:sz w:val="21"/>
                <w:szCs w:val="21"/>
              </w:rPr>
              <w:t>“</w:t>
            </w:r>
            <w:r>
              <w:rPr>
                <w:rFonts w:ascii="Times New Roman" w:eastAsia="宋体" w:hAnsi="Times New Roman" w:cs="Times New Roman"/>
                <w:sz w:val="21"/>
                <w:szCs w:val="21"/>
              </w:rPr>
              <w:t>邻避</w:t>
            </w:r>
            <w:r>
              <w:rPr>
                <w:rFonts w:ascii="Times New Roman" w:eastAsia="宋体" w:hAnsi="Times New Roman" w:cs="Times New Roman"/>
                <w:sz w:val="21"/>
                <w:szCs w:val="21"/>
              </w:rPr>
              <w:t>”</w:t>
            </w:r>
            <w:r>
              <w:rPr>
                <w:rFonts w:ascii="Times New Roman" w:eastAsia="宋体" w:hAnsi="Times New Roman" w:cs="Times New Roman"/>
                <w:sz w:val="21"/>
                <w:szCs w:val="21"/>
              </w:rPr>
              <w:t>问题。严禁在松花江干流及一级支流沿岸</w:t>
            </w:r>
            <w:r>
              <w:rPr>
                <w:rFonts w:ascii="Times New Roman" w:eastAsia="宋体" w:hAnsi="Times New Roman" w:cs="Times New Roman"/>
                <w:sz w:val="21"/>
                <w:szCs w:val="21"/>
              </w:rPr>
              <w:t xml:space="preserve"> 1 </w:t>
            </w:r>
            <w:r>
              <w:rPr>
                <w:rFonts w:ascii="Times New Roman" w:eastAsia="宋体" w:hAnsi="Times New Roman" w:cs="Times New Roman"/>
                <w:sz w:val="21"/>
                <w:szCs w:val="21"/>
              </w:rPr>
              <w:t>公里范围内布局化工园区。</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大气环境布局敏感重点管控区同时执行：禁止在居民区、学校、医疗和养老机构等周边新建有色金属冶炼、焦化等行业企业。</w:t>
            </w:r>
          </w:p>
        </w:tc>
        <w:tc>
          <w:tcPr>
            <w:tcW w:w="710" w:type="pct"/>
            <w:vMerge/>
            <w:vAlign w:val="center"/>
          </w:tcPr>
          <w:p w14:paraId="7FCB81E9"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251" w:type="pct"/>
            <w:vAlign w:val="center"/>
          </w:tcPr>
          <w:p w14:paraId="3D43D52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符合</w:t>
            </w:r>
          </w:p>
        </w:tc>
      </w:tr>
      <w:tr w:rsidR="009D12AF" w14:paraId="708A16F5" w14:textId="77777777">
        <w:trPr>
          <w:trHeight w:val="1536"/>
          <w:jc w:val="center"/>
        </w:trPr>
        <w:tc>
          <w:tcPr>
            <w:tcW w:w="470" w:type="pct"/>
            <w:vMerge/>
            <w:vAlign w:val="center"/>
          </w:tcPr>
          <w:p w14:paraId="7F772BA8" w14:textId="77777777" w:rsidR="009D12AF" w:rsidRDefault="009D12AF">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p>
        </w:tc>
        <w:tc>
          <w:tcPr>
            <w:tcW w:w="493" w:type="pct"/>
            <w:vMerge/>
            <w:vAlign w:val="center"/>
          </w:tcPr>
          <w:p w14:paraId="19D2D8D3" w14:textId="77777777" w:rsidR="009D12AF" w:rsidRDefault="009D12AF">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p>
        </w:tc>
        <w:tc>
          <w:tcPr>
            <w:tcW w:w="405" w:type="pct"/>
            <w:vMerge/>
            <w:vAlign w:val="center"/>
          </w:tcPr>
          <w:p w14:paraId="48D4D5D1" w14:textId="77777777" w:rsidR="009D12AF" w:rsidRDefault="009D12AF">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p>
        </w:tc>
        <w:tc>
          <w:tcPr>
            <w:tcW w:w="440" w:type="pct"/>
            <w:vAlign w:val="center"/>
          </w:tcPr>
          <w:p w14:paraId="281B917D"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资源开发效率要求</w:t>
            </w:r>
          </w:p>
        </w:tc>
        <w:tc>
          <w:tcPr>
            <w:tcW w:w="2227" w:type="pct"/>
            <w:vAlign w:val="center"/>
          </w:tcPr>
          <w:p w14:paraId="44A924BA"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推进污水再生利用设施建设。</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公共建筑必须采用节水器具，限期淘汰公共建筑中不符合节水标准的水嘴、便器水箱等生活用水器具。</w:t>
            </w:r>
          </w:p>
        </w:tc>
        <w:tc>
          <w:tcPr>
            <w:tcW w:w="710" w:type="pct"/>
            <w:vMerge/>
            <w:vAlign w:val="center"/>
          </w:tcPr>
          <w:p w14:paraId="27F2D5E1"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251" w:type="pct"/>
            <w:vAlign w:val="center"/>
          </w:tcPr>
          <w:p w14:paraId="2A03D83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符合</w:t>
            </w:r>
          </w:p>
        </w:tc>
      </w:tr>
      <w:tr w:rsidR="009D12AF" w14:paraId="7A323926" w14:textId="77777777">
        <w:trPr>
          <w:trHeight w:val="1536"/>
          <w:jc w:val="center"/>
        </w:trPr>
        <w:tc>
          <w:tcPr>
            <w:tcW w:w="470" w:type="pct"/>
            <w:vMerge w:val="restart"/>
            <w:vAlign w:val="center"/>
          </w:tcPr>
          <w:p w14:paraId="7C9FAD8F"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ZH23108320003</w:t>
            </w:r>
          </w:p>
        </w:tc>
        <w:tc>
          <w:tcPr>
            <w:tcW w:w="493" w:type="pct"/>
            <w:vMerge w:val="restart"/>
            <w:vAlign w:val="center"/>
          </w:tcPr>
          <w:p w14:paraId="14D25132"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海林市水环境城镇生活污染重点管控区</w:t>
            </w:r>
          </w:p>
        </w:tc>
        <w:tc>
          <w:tcPr>
            <w:tcW w:w="405" w:type="pct"/>
            <w:vMerge w:val="restart"/>
            <w:vAlign w:val="center"/>
          </w:tcPr>
          <w:p w14:paraId="6381A395"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重点管控单元</w:t>
            </w:r>
          </w:p>
        </w:tc>
        <w:tc>
          <w:tcPr>
            <w:tcW w:w="440" w:type="pct"/>
            <w:vAlign w:val="center"/>
          </w:tcPr>
          <w:p w14:paraId="7F6D82B6"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空间布局约束</w:t>
            </w:r>
          </w:p>
        </w:tc>
        <w:tc>
          <w:tcPr>
            <w:tcW w:w="2227" w:type="pct"/>
            <w:vAlign w:val="center"/>
          </w:tcPr>
          <w:p w14:paraId="273C7C6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除干旱地区外，新建城区应全面实行雨污分流，鼓励对初期雨水进行收集、处理和资源化利</w:t>
            </w:r>
            <w:r>
              <w:rPr>
                <w:rFonts w:ascii="Times New Roman" w:eastAsia="宋体" w:hAnsi="Times New Roman" w:cs="Times New Roman" w:hint="eastAsia"/>
                <w:sz w:val="21"/>
                <w:szCs w:val="21"/>
              </w:rPr>
              <w:t>用</w:t>
            </w:r>
          </w:p>
        </w:tc>
        <w:tc>
          <w:tcPr>
            <w:tcW w:w="710" w:type="pct"/>
            <w:vMerge w:val="restart"/>
            <w:vAlign w:val="center"/>
          </w:tcPr>
          <w:p w14:paraId="567E2242"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清理底泥中含有的有机腐殖质，在受到扰动和堆</w:t>
            </w:r>
            <w:r>
              <w:rPr>
                <w:rFonts w:ascii="Times New Roman" w:eastAsia="宋体" w:hAnsi="Times New Roman" w:cs="Times New Roman" w:hint="eastAsia"/>
                <w:sz w:val="21"/>
                <w:szCs w:val="21"/>
              </w:rPr>
              <w:t xml:space="preserve"> </w:t>
            </w:r>
          </w:p>
          <w:p w14:paraId="3FF534D0"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放过程中，在无条件下可分解产生氨、硫化氢、臭气浓度等恶臭气体，经周边环境空气稀释</w:t>
            </w:r>
            <w:r>
              <w:rPr>
                <w:rFonts w:ascii="Times New Roman" w:eastAsia="宋体" w:hAnsi="Times New Roman" w:cs="Times New Roman" w:hint="eastAsia"/>
                <w:sz w:val="21"/>
                <w:szCs w:val="21"/>
              </w:rPr>
              <w:t xml:space="preserve"> </w:t>
            </w:r>
          </w:p>
          <w:p w14:paraId="3CF7EC8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后影响不大；</w:t>
            </w:r>
            <w:r>
              <w:rPr>
                <w:rFonts w:ascii="Times New Roman" w:eastAsia="宋体" w:hAnsi="Times New Roman" w:cs="Times New Roman"/>
                <w:sz w:val="21"/>
                <w:szCs w:val="21"/>
              </w:rPr>
              <w:t>施工废</w:t>
            </w:r>
            <w:r>
              <w:rPr>
                <w:rFonts w:ascii="Times New Roman" w:eastAsia="宋体" w:hAnsi="Times New Roman" w:cs="Times New Roman"/>
                <w:sz w:val="21"/>
                <w:szCs w:val="21"/>
              </w:rPr>
              <w:lastRenderedPageBreak/>
              <w:t>水为施工机械和车辆的清洗废水，</w:t>
            </w:r>
            <w:r>
              <w:rPr>
                <w:rFonts w:ascii="Times New Roman" w:eastAsia="宋体" w:hAnsi="Times New Roman" w:cs="Times New Roman" w:hint="eastAsia"/>
                <w:sz w:val="21"/>
                <w:szCs w:val="21"/>
              </w:rPr>
              <w:t>经隔油沉淀池处理</w:t>
            </w:r>
            <w:r>
              <w:rPr>
                <w:rFonts w:ascii="Times New Roman" w:eastAsia="宋体" w:hAnsi="Times New Roman" w:cs="Times New Roman"/>
                <w:sz w:val="21"/>
                <w:szCs w:val="21"/>
              </w:rPr>
              <w:t>后，回用于洒水降尘，不外排</w:t>
            </w:r>
            <w:r>
              <w:rPr>
                <w:rFonts w:ascii="Times New Roman" w:eastAsia="宋体" w:hAnsi="Times New Roman" w:cs="Times New Roman" w:hint="eastAsia"/>
                <w:sz w:val="21"/>
                <w:szCs w:val="21"/>
              </w:rPr>
              <w:t>；含油废水交由有资质单位处置；渗滤水经三级沉淀、过滤、紫外线消毒处理后达到《污水综合排放标准》（</w:t>
            </w:r>
            <w:r>
              <w:rPr>
                <w:rFonts w:ascii="Times New Roman" w:eastAsia="宋体" w:hAnsi="Times New Roman" w:cs="Times New Roman" w:hint="eastAsia"/>
                <w:sz w:val="21"/>
                <w:szCs w:val="21"/>
              </w:rPr>
              <w:t>GB8978-1996</w:t>
            </w:r>
            <w:r>
              <w:rPr>
                <w:rFonts w:ascii="Times New Roman" w:eastAsia="宋体" w:hAnsi="Times New Roman" w:cs="Times New Roman" w:hint="eastAsia"/>
                <w:sz w:val="21"/>
                <w:szCs w:val="21"/>
              </w:rPr>
              <w:t>）一级标准，由牡丹江龙江环保水务有限公司定期拉运处理；</w:t>
            </w:r>
            <w:r>
              <w:rPr>
                <w:rFonts w:ascii="Times New Roman" w:eastAsia="宋体" w:hAnsi="Times New Roman" w:cs="Times New Roman"/>
                <w:sz w:val="21"/>
                <w:szCs w:val="21"/>
              </w:rPr>
              <w:t>生活污水排</w:t>
            </w:r>
            <w:r>
              <w:rPr>
                <w:rFonts w:ascii="Times New Roman" w:eastAsia="宋体" w:hAnsi="Times New Roman" w:cs="Times New Roman" w:hint="eastAsia"/>
                <w:sz w:val="21"/>
                <w:szCs w:val="21"/>
              </w:rPr>
              <w:t>入</w:t>
            </w:r>
            <w:r>
              <w:rPr>
                <w:rFonts w:ascii="Times New Roman" w:eastAsia="宋体" w:hAnsi="Times New Roman" w:cs="Times New Roman"/>
                <w:sz w:val="21"/>
                <w:szCs w:val="21"/>
              </w:rPr>
              <w:t>防渗旱厕，定期清掏</w:t>
            </w:r>
            <w:r>
              <w:rPr>
                <w:rFonts w:ascii="Times New Roman" w:eastAsia="宋体" w:hAnsi="Times New Roman" w:cs="Times New Roman" w:hint="eastAsia"/>
                <w:sz w:val="21"/>
                <w:szCs w:val="21"/>
              </w:rPr>
              <w:t>外运堆肥，不外排</w:t>
            </w:r>
            <w:r>
              <w:rPr>
                <w:rFonts w:ascii="Times New Roman" w:eastAsia="宋体" w:hAnsi="Times New Roman" w:cs="Times New Roman"/>
                <w:sz w:val="21"/>
                <w:szCs w:val="21"/>
              </w:rPr>
              <w:t>。</w:t>
            </w:r>
          </w:p>
        </w:tc>
        <w:tc>
          <w:tcPr>
            <w:tcW w:w="251" w:type="pct"/>
            <w:vAlign w:val="center"/>
          </w:tcPr>
          <w:p w14:paraId="0E3AA0A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lastRenderedPageBreak/>
              <w:t>符合</w:t>
            </w:r>
          </w:p>
        </w:tc>
      </w:tr>
      <w:tr w:rsidR="009D12AF" w14:paraId="02499273" w14:textId="77777777">
        <w:trPr>
          <w:trHeight w:val="1536"/>
          <w:jc w:val="center"/>
        </w:trPr>
        <w:tc>
          <w:tcPr>
            <w:tcW w:w="470" w:type="pct"/>
            <w:vMerge/>
            <w:vAlign w:val="center"/>
          </w:tcPr>
          <w:p w14:paraId="73C76B20" w14:textId="77777777" w:rsidR="009D12AF" w:rsidRDefault="009D12AF">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p>
        </w:tc>
        <w:tc>
          <w:tcPr>
            <w:tcW w:w="493" w:type="pct"/>
            <w:vMerge/>
            <w:vAlign w:val="center"/>
          </w:tcPr>
          <w:p w14:paraId="4465A26F" w14:textId="77777777" w:rsidR="009D12AF" w:rsidRDefault="009D12AF">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p>
        </w:tc>
        <w:tc>
          <w:tcPr>
            <w:tcW w:w="405" w:type="pct"/>
            <w:vMerge/>
            <w:vAlign w:val="center"/>
          </w:tcPr>
          <w:p w14:paraId="0A156740" w14:textId="77777777" w:rsidR="009D12AF" w:rsidRDefault="009D12AF">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p>
        </w:tc>
        <w:tc>
          <w:tcPr>
            <w:tcW w:w="440" w:type="pct"/>
            <w:vAlign w:val="center"/>
          </w:tcPr>
          <w:p w14:paraId="7226BD71"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污染物排放管控</w:t>
            </w:r>
          </w:p>
        </w:tc>
        <w:tc>
          <w:tcPr>
            <w:tcW w:w="2227" w:type="pct"/>
            <w:vAlign w:val="center"/>
          </w:tcPr>
          <w:p w14:paraId="533E84EC"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新区污水管网规划建设应当与城市开发同步推进，除干旱地区外均实行雨污分流。</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强化城中村、老旧城区和城乡结合部污水截流、收集。</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推进合流制排水系统雨污分流改造，难以改造的，应采取截流、调蓄和治理等措施；推进现有污水处理设施配套管网建设；进一步提高城市、县城生活污水收集处理效能。</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县级以上人民政府应当根据国土空间、水污染防治、城镇排水与污水处理等规划，合理确定城镇排水与污水处</w:t>
            </w:r>
            <w:r>
              <w:rPr>
                <w:rFonts w:ascii="Times New Roman" w:eastAsia="宋体" w:hAnsi="Times New Roman" w:cs="Times New Roman"/>
                <w:sz w:val="21"/>
                <w:szCs w:val="21"/>
              </w:rPr>
              <w:lastRenderedPageBreak/>
              <w:t>理设施建设标准，统筹安排管网、泵站、污水处理厂以及污泥处理处置、再生水利用、雨水调蓄和排放等排水与污水处理设施建设和改造，提高城镇污水收集率和处理率。</w:t>
            </w:r>
          </w:p>
        </w:tc>
        <w:tc>
          <w:tcPr>
            <w:tcW w:w="710" w:type="pct"/>
            <w:vMerge/>
            <w:vAlign w:val="center"/>
          </w:tcPr>
          <w:p w14:paraId="207E28BA" w14:textId="77777777" w:rsidR="009D12AF" w:rsidRDefault="009D12AF">
            <w:pPr>
              <w:widowControl/>
              <w:spacing w:line="240" w:lineRule="auto"/>
              <w:ind w:firstLineChars="0" w:firstLine="0"/>
              <w:jc w:val="center"/>
              <w:rPr>
                <w:rFonts w:ascii="Times New Roman" w:eastAsia="宋体" w:hAnsi="Times New Roman" w:cs="Times New Roman"/>
                <w:sz w:val="21"/>
                <w:szCs w:val="21"/>
              </w:rPr>
            </w:pPr>
          </w:p>
        </w:tc>
        <w:tc>
          <w:tcPr>
            <w:tcW w:w="251" w:type="pct"/>
            <w:vAlign w:val="center"/>
          </w:tcPr>
          <w:p w14:paraId="22ED3CF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符合</w:t>
            </w:r>
          </w:p>
        </w:tc>
      </w:tr>
    </w:tbl>
    <w:p w14:paraId="5B8405C4" w14:textId="77777777" w:rsidR="009D12AF" w:rsidRDefault="00000000">
      <w:pPr>
        <w:ind w:firstLineChars="0" w:firstLine="0"/>
        <w:jc w:val="center"/>
      </w:pPr>
      <w:r>
        <w:rPr>
          <w:b/>
          <w:bCs/>
        </w:rPr>
        <w:t>表</w:t>
      </w:r>
      <w:r>
        <w:rPr>
          <w:b/>
          <w:bCs/>
        </w:rPr>
        <w:t>1</w:t>
      </w:r>
      <w:r>
        <w:rPr>
          <w:rFonts w:hint="eastAsia"/>
          <w:b/>
          <w:bCs/>
        </w:rPr>
        <w:t>.3-6</w:t>
      </w:r>
      <w:r>
        <w:rPr>
          <w:b/>
          <w:bCs/>
        </w:rPr>
        <w:t>本项目</w:t>
      </w:r>
      <w:r>
        <w:rPr>
          <w:rFonts w:hint="eastAsia"/>
          <w:b/>
          <w:bCs/>
        </w:rPr>
        <w:t>向阳水电站前池</w:t>
      </w:r>
      <w:r>
        <w:rPr>
          <w:b/>
          <w:bCs/>
        </w:rPr>
        <w:t>与生态环境准入清单符合性分析</w:t>
      </w:r>
    </w:p>
    <w:tbl>
      <w:tblPr>
        <w:tblW w:w="4997"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802"/>
        <w:gridCol w:w="841"/>
        <w:gridCol w:w="691"/>
        <w:gridCol w:w="749"/>
        <w:gridCol w:w="3797"/>
        <w:gridCol w:w="1209"/>
        <w:gridCol w:w="428"/>
      </w:tblGrid>
      <w:tr w:rsidR="009D12AF" w14:paraId="6FAB908A" w14:textId="77777777">
        <w:trPr>
          <w:trHeight w:val="23"/>
          <w:tblHeader/>
          <w:jc w:val="center"/>
        </w:trPr>
        <w:tc>
          <w:tcPr>
            <w:tcW w:w="470" w:type="pct"/>
            <w:tcBorders>
              <w:top w:val="single" w:sz="12" w:space="0" w:color="auto"/>
            </w:tcBorders>
            <w:vAlign w:val="center"/>
          </w:tcPr>
          <w:p w14:paraId="72DE0EB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环境管控单元编码</w:t>
            </w:r>
          </w:p>
        </w:tc>
        <w:tc>
          <w:tcPr>
            <w:tcW w:w="493" w:type="pct"/>
            <w:tcBorders>
              <w:top w:val="single" w:sz="12" w:space="0" w:color="auto"/>
            </w:tcBorders>
            <w:vAlign w:val="center"/>
          </w:tcPr>
          <w:p w14:paraId="4BE668A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环境管控单元名称</w:t>
            </w:r>
          </w:p>
        </w:tc>
        <w:tc>
          <w:tcPr>
            <w:tcW w:w="405" w:type="pct"/>
            <w:tcBorders>
              <w:top w:val="single" w:sz="12" w:space="0" w:color="auto"/>
            </w:tcBorders>
            <w:vAlign w:val="center"/>
          </w:tcPr>
          <w:p w14:paraId="6149AC1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管控单元类别</w:t>
            </w:r>
          </w:p>
        </w:tc>
        <w:tc>
          <w:tcPr>
            <w:tcW w:w="2668" w:type="pct"/>
            <w:gridSpan w:val="2"/>
            <w:tcBorders>
              <w:top w:val="single" w:sz="12" w:space="0" w:color="auto"/>
            </w:tcBorders>
            <w:vAlign w:val="center"/>
          </w:tcPr>
          <w:p w14:paraId="625C4EB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管控要求</w:t>
            </w:r>
          </w:p>
        </w:tc>
        <w:tc>
          <w:tcPr>
            <w:tcW w:w="710" w:type="pct"/>
            <w:tcBorders>
              <w:top w:val="single" w:sz="12" w:space="0" w:color="auto"/>
            </w:tcBorders>
            <w:vAlign w:val="center"/>
          </w:tcPr>
          <w:p w14:paraId="0A43AFB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符合性分析</w:t>
            </w:r>
          </w:p>
        </w:tc>
        <w:tc>
          <w:tcPr>
            <w:tcW w:w="251" w:type="pct"/>
            <w:tcBorders>
              <w:top w:val="single" w:sz="12" w:space="0" w:color="auto"/>
            </w:tcBorders>
            <w:vAlign w:val="center"/>
          </w:tcPr>
          <w:p w14:paraId="61B81FD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符合性</w:t>
            </w:r>
          </w:p>
        </w:tc>
      </w:tr>
      <w:tr w:rsidR="009D12AF" w14:paraId="1B42D9C9" w14:textId="77777777">
        <w:trPr>
          <w:trHeight w:val="1536"/>
          <w:jc w:val="center"/>
        </w:trPr>
        <w:tc>
          <w:tcPr>
            <w:tcW w:w="470" w:type="pct"/>
            <w:vAlign w:val="center"/>
          </w:tcPr>
          <w:p w14:paraId="23D4F8DE"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lastRenderedPageBreak/>
              <w:t>ZH23108310002</w:t>
            </w:r>
          </w:p>
        </w:tc>
        <w:tc>
          <w:tcPr>
            <w:tcW w:w="493" w:type="pct"/>
            <w:vAlign w:val="center"/>
          </w:tcPr>
          <w:p w14:paraId="3C5C2481"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海林市一般生态空间</w:t>
            </w:r>
          </w:p>
        </w:tc>
        <w:tc>
          <w:tcPr>
            <w:tcW w:w="405" w:type="pct"/>
            <w:vAlign w:val="center"/>
          </w:tcPr>
          <w:p w14:paraId="35F14A1F"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优先保护单元</w:t>
            </w:r>
          </w:p>
        </w:tc>
        <w:tc>
          <w:tcPr>
            <w:tcW w:w="440" w:type="pct"/>
            <w:vAlign w:val="center"/>
          </w:tcPr>
          <w:p w14:paraId="04B55843"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空间布局约束</w:t>
            </w:r>
          </w:p>
        </w:tc>
        <w:tc>
          <w:tcPr>
            <w:tcW w:w="2227" w:type="pct"/>
            <w:vAlign w:val="center"/>
          </w:tcPr>
          <w:p w14:paraId="3C07C361"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原则上按限制开发区域的要求进行管理。严格限制与生态功能不一致的开发建设活动。符合区域准入条件的新增建设项目，涉及占用生态空间中的林地、草原等，按有关法律法规规定办理；涉及占用生态空间中其他未作明确规定的用地，应当加强论证和管理。符合条件的农业开发项目，须依法由市县级及以上地方人民政府统筹安排。除符合国家生态退耕条件的耕地，并纳入国家生态退耕总体安排，或因国家重大生态工程建设需要外，不得随意转用。</w:t>
            </w:r>
            <w:r>
              <w:rPr>
                <w:rFonts w:ascii="Times New Roman" w:eastAsia="宋体" w:hAnsi="Times New Roman" w:cs="Times New Roman"/>
                <w:sz w:val="21"/>
                <w:szCs w:val="21"/>
              </w:rPr>
              <w:t>2.</w:t>
            </w:r>
            <w:r>
              <w:rPr>
                <w:rFonts w:ascii="Times New Roman" w:eastAsia="宋体" w:hAnsi="Times New Roman" w:cs="Times New Roman"/>
                <w:sz w:val="21"/>
                <w:szCs w:val="21"/>
              </w:rPr>
              <w:t>对依法保护的生态空间实行承载力控制，防止过度垦殖、放牧、采伐、取水、渔猎、旅游等对生态功能造成损害，确保自然生态系统的稳定。</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避免开发建设活动损害其生态服务功能和生态产品质量。</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已经侵占生态空间的，应建立退出机制、制定治理方案及时间表。</w:t>
            </w:r>
            <w:r>
              <w:rPr>
                <w:rFonts w:ascii="Times New Roman" w:eastAsia="宋体" w:hAnsi="Times New Roman" w:cs="Times New Roman"/>
                <w:sz w:val="21"/>
                <w:szCs w:val="21"/>
              </w:rPr>
              <w:t xml:space="preserve"> 5.</w:t>
            </w:r>
            <w:r>
              <w:rPr>
                <w:rFonts w:ascii="Times New Roman" w:eastAsia="宋体" w:hAnsi="Times New Roman" w:cs="Times New Roman"/>
                <w:sz w:val="21"/>
                <w:szCs w:val="21"/>
              </w:rPr>
              <w:t>海林市长汀镇饮用水水源、海林市柴河镇饮用水水源、海林市二水厂（改扩建）饮</w:t>
            </w:r>
            <w:r>
              <w:rPr>
                <w:rFonts w:ascii="Times New Roman" w:eastAsia="宋体" w:hAnsi="Times New Roman" w:cs="Times New Roman"/>
                <w:sz w:val="21"/>
                <w:szCs w:val="21"/>
              </w:rPr>
              <w:t xml:space="preserve"> </w:t>
            </w:r>
          </w:p>
          <w:p w14:paraId="10DF2D31"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用水水源同时执行以下要求：</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）饮用水地表水源各级保护区及准保护区内均必须遵守下列规定：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）禁止一切破坏水环境生态平衡的活动以及破坏水源林、护岸林、与水源保护相关植被的活动。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）禁止向水域倾倒工业废渣、城市垃圾、粪便及其它废弃物。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3</w:t>
            </w:r>
            <w:r>
              <w:rPr>
                <w:rFonts w:ascii="Times New Roman" w:eastAsia="宋体" w:hAnsi="Times New Roman" w:cs="Times New Roman"/>
                <w:sz w:val="21"/>
                <w:szCs w:val="21"/>
              </w:rPr>
              <w:t>）运输有毒有害物质、油类、粪便的船舶和车辆一般不准进入保护区，必须进入者应事先申请并经有关部门批准、登记并设置防渗、防溢、防漏设施。</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4</w:t>
            </w:r>
            <w:r>
              <w:rPr>
                <w:rFonts w:ascii="Times New Roman" w:eastAsia="宋体" w:hAnsi="Times New Roman" w:cs="Times New Roman"/>
                <w:sz w:val="21"/>
                <w:szCs w:val="21"/>
              </w:rPr>
              <w:t>）禁止使用剧毒和高残留农药，不得滥用化肥，不得使用炸药、毒品捕杀鱼类。</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5</w:t>
            </w:r>
            <w:r>
              <w:rPr>
                <w:rFonts w:ascii="Times New Roman" w:eastAsia="宋体" w:hAnsi="Times New Roman" w:cs="Times New Roman"/>
                <w:sz w:val="21"/>
                <w:szCs w:val="21"/>
              </w:rPr>
              <w:t>）禁止建设畜禽养殖场、养殖小区（</w:t>
            </w:r>
            <w:r>
              <w:rPr>
                <w:rFonts w:ascii="Times New Roman" w:eastAsia="宋体" w:hAnsi="Times New Roman" w:cs="Times New Roman"/>
                <w:sz w:val="21"/>
                <w:szCs w:val="21"/>
              </w:rPr>
              <w:t>6</w:t>
            </w:r>
            <w:r>
              <w:rPr>
                <w:rFonts w:ascii="Times New Roman" w:eastAsia="宋体" w:hAnsi="Times New Roman" w:cs="Times New Roman"/>
                <w:sz w:val="21"/>
                <w:szCs w:val="21"/>
              </w:rPr>
              <w:t>）禁止设置排污口。</w:t>
            </w:r>
            <w:r>
              <w:rPr>
                <w:rFonts w:ascii="Times New Roman" w:eastAsia="宋体" w:hAnsi="Times New Roman" w:cs="Times New Roman"/>
                <w:sz w:val="21"/>
                <w:szCs w:val="21"/>
              </w:rPr>
              <w:t>2</w:t>
            </w:r>
            <w:r>
              <w:rPr>
                <w:rFonts w:ascii="Times New Roman" w:eastAsia="宋体" w:hAnsi="Times New Roman" w:cs="Times New Roman"/>
                <w:sz w:val="21"/>
                <w:szCs w:val="21"/>
              </w:rPr>
              <w:t>）饮用水地表水源各</w:t>
            </w:r>
          </w:p>
          <w:p w14:paraId="5CD5792E"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级保护区及准保护区内必须分别遵守下列规定：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）一级保护区内：禁止新建、扩建与供水设施和保护水源无关</w:t>
            </w:r>
          </w:p>
          <w:p w14:paraId="0496C563"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lastRenderedPageBreak/>
              <w:t>的建设项目，已建成的与供水设施和保护水源无关的建设项目，由县级以上人民政府责令拆除或者关闭；禁止向水域排放污水，已设置的排污口必须拆除；不得设置与供水需要无关的码头，禁止停靠船舶；禁止堆置和存放工业废渣、城市垃圾、粪便和其他废弃物；禁止设置油库；禁止从事种植、放养畜禽和网箱养殖活动；禁止可能污染水源的旅游活动和其他活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二级保护区内：禁止新建、改建、扩建排放污染物的建设项目，已建成的排放污染物的建设项目，由县级以上人民政府责令拆除或者关闭；原有排污口依法拆除或者关闭；禁止设立装卸垃圾、粪便、油类和有毒物品的码头。（</w:t>
            </w:r>
            <w:r>
              <w:rPr>
                <w:rFonts w:ascii="Times New Roman" w:eastAsia="宋体" w:hAnsi="Times New Roman" w:cs="Times New Roman"/>
                <w:sz w:val="21"/>
                <w:szCs w:val="21"/>
              </w:rPr>
              <w:t>3</w:t>
            </w:r>
            <w:r>
              <w:rPr>
                <w:rFonts w:ascii="Times New Roman" w:eastAsia="宋体" w:hAnsi="Times New Roman" w:cs="Times New Roman"/>
                <w:sz w:val="21"/>
                <w:szCs w:val="21"/>
              </w:rPr>
              <w:t>）准保护区内：禁止新建、扩建对水体污染严重的建设项目；改建建设项目，不得增加排污量。</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）国务院和省、自治区、直辖市人民政府根据水环境保护的需要，可以规定在饮用水水源保护区内，采取禁止或者限制使用含磷洗涤剂、化肥、农药以及限制种植养殖等措施。</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饮用水地下水源各级保护区及准保护区内均必须遵守下列规定：禁止利用渗坑、渗井、裂隙、溶洞等排放污水和其它有害废弃物；禁止利用透水层孔隙、裂隙、溶洞及废弃矿坑储存石油、天然气、放射性物质、有毒有害化工原料、农药等；实行人工回灌地下水时不得污染当地地下水源。</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一级保护区内：禁止建设与取水设施无关的建筑物；禁止从事农牧业活动；禁止倾倒、堆放工业废渣及城市垃圾、粪便和其它有害废弃物；禁止输送污水的渠道、管道及输油管道通过本区；禁止建设油库；禁止建立墓地。（</w:t>
            </w:r>
            <w:r>
              <w:rPr>
                <w:rFonts w:ascii="Times New Roman" w:eastAsia="宋体" w:hAnsi="Times New Roman" w:cs="Times New Roman"/>
                <w:sz w:val="21"/>
                <w:szCs w:val="21"/>
              </w:rPr>
              <w:t>2</w:t>
            </w:r>
            <w:r>
              <w:rPr>
                <w:rFonts w:ascii="Times New Roman" w:eastAsia="宋体" w:hAnsi="Times New Roman" w:cs="Times New Roman"/>
                <w:sz w:val="21"/>
                <w:szCs w:val="21"/>
              </w:rPr>
              <w:t>）二级保护区内：</w:t>
            </w:r>
            <w:r>
              <w:rPr>
                <w:rFonts w:ascii="Times New Roman" w:eastAsia="宋体" w:hAnsi="Times New Roman" w:cs="Times New Roman"/>
                <w:sz w:val="21"/>
                <w:szCs w:val="21"/>
              </w:rPr>
              <w:t>1</w:t>
            </w:r>
            <w:r>
              <w:rPr>
                <w:rFonts w:ascii="Times New Roman" w:eastAsia="宋体" w:hAnsi="Times New Roman" w:cs="Times New Roman"/>
                <w:sz w:val="21"/>
                <w:szCs w:val="21"/>
              </w:rPr>
              <w:t>）对于潜水含水层地下水水源地：禁止建设化工、电镀、皮</w:t>
            </w:r>
            <w:r>
              <w:rPr>
                <w:rFonts w:ascii="Times New Roman" w:eastAsia="宋体" w:hAnsi="Times New Roman" w:cs="Times New Roman" w:hint="eastAsia"/>
                <w:sz w:val="21"/>
                <w:szCs w:val="21"/>
              </w:rPr>
              <w:t>革、造纸、制浆、冶炼、放射性、印染、染料、</w:t>
            </w:r>
            <w:r>
              <w:rPr>
                <w:rFonts w:ascii="Times New Roman" w:eastAsia="宋体" w:hAnsi="Times New Roman" w:cs="Times New Roman" w:hint="eastAsia"/>
                <w:sz w:val="21"/>
                <w:szCs w:val="21"/>
              </w:rPr>
              <w:lastRenderedPageBreak/>
              <w:t>炼焦、炼油及其它有严重污染的企业，已建成的要限期治理，转产或搬迁；禁止设置城市垃圾、粪便和易溶、有毒有害废弃物堆放场和转运站，已有的上述场站要限期搬迁；禁止利用未经净化的污水灌溉农田，已有的污灌农田要限期改用清水灌溉；化工原料、矿物油类及有毒有害矿产品的堆放场所必须有防雨、防渗措施。</w:t>
            </w:r>
            <w:r>
              <w:rPr>
                <w:rFonts w:ascii="Times New Roman" w:eastAsia="宋体" w:hAnsi="Times New Roman" w:cs="Times New Roman" w:hint="eastAsia"/>
                <w:sz w:val="21"/>
                <w:szCs w:val="21"/>
              </w:rPr>
              <w:t>2</w:t>
            </w:r>
            <w:r>
              <w:rPr>
                <w:rFonts w:ascii="Times New Roman" w:eastAsia="宋体" w:hAnsi="Times New Roman" w:cs="Times New Roman" w:hint="eastAsia"/>
                <w:sz w:val="21"/>
                <w:szCs w:val="21"/>
              </w:rPr>
              <w:t>）对于承压含水层地下水水源地：禁止承压水和潜水的混合开采，作好潜水的止水措施。（</w:t>
            </w:r>
            <w:r>
              <w:rPr>
                <w:rFonts w:ascii="Times New Roman" w:eastAsia="宋体" w:hAnsi="Times New Roman" w:cs="Times New Roman" w:hint="eastAsia"/>
                <w:sz w:val="21"/>
                <w:szCs w:val="21"/>
              </w:rPr>
              <w:t>3</w:t>
            </w:r>
            <w:r>
              <w:rPr>
                <w:rFonts w:ascii="Times New Roman" w:eastAsia="宋体" w:hAnsi="Times New Roman" w:cs="Times New Roman" w:hint="eastAsia"/>
                <w:sz w:val="21"/>
                <w:szCs w:val="21"/>
              </w:rPr>
              <w:t>）准保护区内：禁止建设城市垃圾、粪便和易溶、有毒有害废弃物的堆放场站，因特殊需要设立转运站的，必须经有关部门批准，并采取防渗漏措施；当补给源为地表水体时，该地表水体水质不应低于《地表水环境质量标准》Ⅲ类标准；不得使用不符合《农田灌溉水质标准》的污水进行灌溉，合理使用化肥；保护水源林，禁止毁林开荒，禁止非更新砍伐水源林。</w:t>
            </w:r>
            <w:r>
              <w:rPr>
                <w:rFonts w:ascii="Times New Roman" w:eastAsia="宋体" w:hAnsi="Times New Roman" w:cs="Times New Roman" w:hint="eastAsia"/>
                <w:sz w:val="21"/>
                <w:szCs w:val="21"/>
              </w:rPr>
              <w:t xml:space="preserve"> 6.</w:t>
            </w:r>
            <w:r>
              <w:rPr>
                <w:rFonts w:ascii="Times New Roman" w:eastAsia="宋体" w:hAnsi="Times New Roman" w:cs="Times New Roman" w:hint="eastAsia"/>
                <w:sz w:val="21"/>
                <w:szCs w:val="21"/>
              </w:rPr>
              <w:t>海浪河特有鱼类国家级水产种质资源保护区同时执行以下要求：</w:t>
            </w:r>
            <w:r>
              <w:rPr>
                <w:rFonts w:ascii="Times New Roman" w:eastAsia="宋体" w:hAnsi="Times New Roman" w:cs="Times New Roman" w:hint="eastAsia"/>
                <w:sz w:val="21"/>
                <w:szCs w:val="21"/>
              </w:rPr>
              <w:t xml:space="preserve"> 1</w:t>
            </w:r>
            <w:r>
              <w:rPr>
                <w:rFonts w:ascii="Times New Roman" w:eastAsia="宋体" w:hAnsi="Times New Roman" w:cs="Times New Roman" w:hint="eastAsia"/>
                <w:sz w:val="21"/>
                <w:szCs w:val="21"/>
              </w:rPr>
              <w:t>）不得损</w:t>
            </w:r>
            <w:r>
              <w:rPr>
                <w:rFonts w:ascii="Times New Roman" w:eastAsia="宋体" w:hAnsi="Times New Roman" w:cs="Times New Roman" w:hint="eastAsia"/>
                <w:sz w:val="21"/>
                <w:szCs w:val="21"/>
              </w:rPr>
              <w:t xml:space="preserve"> </w:t>
            </w:r>
          </w:p>
          <w:p w14:paraId="271F1B1E"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害水产种质资源及其生存环境。</w:t>
            </w:r>
            <w:r>
              <w:rPr>
                <w:rFonts w:ascii="Times New Roman" w:eastAsia="宋体" w:hAnsi="Times New Roman" w:cs="Times New Roman" w:hint="eastAsia"/>
                <w:sz w:val="21"/>
                <w:szCs w:val="21"/>
              </w:rPr>
              <w:t xml:space="preserve"> 2</w:t>
            </w:r>
            <w:r>
              <w:rPr>
                <w:rFonts w:ascii="Times New Roman" w:eastAsia="宋体" w:hAnsi="Times New Roman" w:cs="Times New Roman" w:hint="eastAsia"/>
                <w:sz w:val="21"/>
                <w:szCs w:val="21"/>
              </w:rPr>
              <w:t>）禁止在水产种质资源保护区内从事围湖造田工程。</w:t>
            </w:r>
            <w:r>
              <w:rPr>
                <w:rFonts w:ascii="Times New Roman" w:eastAsia="宋体" w:hAnsi="Times New Roman" w:cs="Times New Roman" w:hint="eastAsia"/>
                <w:sz w:val="21"/>
                <w:szCs w:val="21"/>
              </w:rPr>
              <w:t xml:space="preserve"> 3</w:t>
            </w:r>
            <w:r>
              <w:rPr>
                <w:rFonts w:ascii="Times New Roman" w:eastAsia="宋体" w:hAnsi="Times New Roman" w:cs="Times New Roman" w:hint="eastAsia"/>
                <w:sz w:val="21"/>
                <w:szCs w:val="21"/>
              </w:rPr>
              <w:t>）禁止在水产种质资源保护区内新建排污口。</w:t>
            </w:r>
            <w:r>
              <w:rPr>
                <w:rFonts w:ascii="Times New Roman" w:eastAsia="宋体" w:hAnsi="Times New Roman" w:cs="Times New Roman" w:hint="eastAsia"/>
                <w:sz w:val="21"/>
                <w:szCs w:val="21"/>
              </w:rPr>
              <w:t xml:space="preserve"> 4</w:t>
            </w:r>
            <w:r>
              <w:rPr>
                <w:rFonts w:ascii="Times New Roman" w:eastAsia="宋体" w:hAnsi="Times New Roman" w:cs="Times New Roman" w:hint="eastAsia"/>
                <w:sz w:val="21"/>
                <w:szCs w:val="21"/>
              </w:rPr>
              <w:t>）在水产种质资源保护区附近新建、改建、扩建排污口，应当保证保护区水体不受污染。</w:t>
            </w:r>
            <w:r>
              <w:rPr>
                <w:rFonts w:ascii="Times New Roman" w:eastAsia="宋体" w:hAnsi="Times New Roman" w:cs="Times New Roman" w:hint="eastAsia"/>
                <w:sz w:val="21"/>
                <w:szCs w:val="21"/>
              </w:rPr>
              <w:t xml:space="preserve"> 5</w:t>
            </w:r>
            <w:r>
              <w:rPr>
                <w:rFonts w:ascii="Times New Roman" w:eastAsia="宋体" w:hAnsi="Times New Roman" w:cs="Times New Roman" w:hint="eastAsia"/>
                <w:sz w:val="21"/>
                <w:szCs w:val="21"/>
              </w:rPr>
              <w:t>）特别保护期内不得从事捕捞、爆破作业以及其他可能对保护区内生物资源和生态环境造成损害的活动。</w:t>
            </w:r>
            <w:r>
              <w:rPr>
                <w:rFonts w:ascii="Times New Roman" w:eastAsia="宋体" w:hAnsi="Times New Roman" w:cs="Times New Roman" w:hint="eastAsia"/>
                <w:sz w:val="21"/>
                <w:szCs w:val="21"/>
              </w:rPr>
              <w:t xml:space="preserve"> 6</w:t>
            </w:r>
            <w:r>
              <w:rPr>
                <w:rFonts w:ascii="Times New Roman" w:eastAsia="宋体" w:hAnsi="Times New Roman" w:cs="Times New Roman" w:hint="eastAsia"/>
                <w:sz w:val="21"/>
                <w:szCs w:val="21"/>
              </w:rPr>
              <w:t>）在水产种质资源保护区内从事修建水利工程、疏浚航道、建闸筑坝、勘探和开采矿产资源、港口建设等工程建设的，或者在水产种质资源保护区外从事可能损害保护区功能的工程建设活动的，应当按照国家有关规定编制建设项目对水产种质资源保护区的影响专题论证报告，并将其纳入环境影响评价报告书。</w:t>
            </w:r>
          </w:p>
        </w:tc>
        <w:tc>
          <w:tcPr>
            <w:tcW w:w="710" w:type="pct"/>
            <w:vAlign w:val="center"/>
          </w:tcPr>
          <w:p w14:paraId="6F60118E"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lastRenderedPageBreak/>
              <w:t>本项目属于江河湖库清淤疏浚工程，</w:t>
            </w:r>
            <w:r>
              <w:rPr>
                <w:rFonts w:ascii="Times New Roman" w:eastAsia="宋体" w:hAnsi="Times New Roman" w:cs="Times New Roman" w:hint="eastAsia"/>
                <w:sz w:val="21"/>
                <w:szCs w:val="21"/>
              </w:rPr>
              <w:t>属于生态影响类项目。</w:t>
            </w:r>
          </w:p>
        </w:tc>
        <w:tc>
          <w:tcPr>
            <w:tcW w:w="251" w:type="pct"/>
            <w:vAlign w:val="center"/>
          </w:tcPr>
          <w:p w14:paraId="538E759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符合</w:t>
            </w:r>
          </w:p>
        </w:tc>
      </w:tr>
    </w:tbl>
    <w:p w14:paraId="6EA9AE03" w14:textId="77777777" w:rsidR="009D12AF" w:rsidRDefault="00000000">
      <w:pPr>
        <w:ind w:firstLineChars="0" w:firstLine="0"/>
        <w:jc w:val="center"/>
        <w:rPr>
          <w:b/>
          <w:bCs/>
        </w:rPr>
      </w:pPr>
      <w:r>
        <w:rPr>
          <w:b/>
          <w:bCs/>
        </w:rPr>
        <w:lastRenderedPageBreak/>
        <w:t>表</w:t>
      </w:r>
      <w:r>
        <w:rPr>
          <w:b/>
          <w:bCs/>
        </w:rPr>
        <w:t>1</w:t>
      </w:r>
      <w:r>
        <w:rPr>
          <w:rFonts w:hint="eastAsia"/>
          <w:b/>
          <w:bCs/>
        </w:rPr>
        <w:t>.3-7</w:t>
      </w:r>
      <w:r>
        <w:rPr>
          <w:b/>
          <w:bCs/>
        </w:rPr>
        <w:t>本项目</w:t>
      </w:r>
      <w:r>
        <w:rPr>
          <w:rFonts w:hint="eastAsia"/>
          <w:b/>
          <w:bCs/>
        </w:rPr>
        <w:t>群力水库</w:t>
      </w:r>
      <w:r>
        <w:rPr>
          <w:b/>
          <w:bCs/>
        </w:rPr>
        <w:t>与生态环境准入清单符合性分析</w:t>
      </w:r>
    </w:p>
    <w:tbl>
      <w:tblPr>
        <w:tblW w:w="4997"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802"/>
        <w:gridCol w:w="841"/>
        <w:gridCol w:w="691"/>
        <w:gridCol w:w="749"/>
        <w:gridCol w:w="3797"/>
        <w:gridCol w:w="1209"/>
        <w:gridCol w:w="428"/>
      </w:tblGrid>
      <w:tr w:rsidR="009D12AF" w14:paraId="306605E9" w14:textId="77777777">
        <w:trPr>
          <w:trHeight w:val="23"/>
          <w:tblHeader/>
          <w:jc w:val="center"/>
        </w:trPr>
        <w:tc>
          <w:tcPr>
            <w:tcW w:w="470" w:type="pct"/>
            <w:tcBorders>
              <w:top w:val="single" w:sz="12" w:space="0" w:color="auto"/>
            </w:tcBorders>
            <w:vAlign w:val="center"/>
          </w:tcPr>
          <w:p w14:paraId="7E85998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环境管控单元编码</w:t>
            </w:r>
          </w:p>
        </w:tc>
        <w:tc>
          <w:tcPr>
            <w:tcW w:w="493" w:type="pct"/>
            <w:tcBorders>
              <w:top w:val="single" w:sz="12" w:space="0" w:color="auto"/>
            </w:tcBorders>
            <w:vAlign w:val="center"/>
          </w:tcPr>
          <w:p w14:paraId="6660CF2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环境管控单元名称</w:t>
            </w:r>
          </w:p>
        </w:tc>
        <w:tc>
          <w:tcPr>
            <w:tcW w:w="405" w:type="pct"/>
            <w:tcBorders>
              <w:top w:val="single" w:sz="12" w:space="0" w:color="auto"/>
            </w:tcBorders>
            <w:vAlign w:val="center"/>
          </w:tcPr>
          <w:p w14:paraId="2AF7DAA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管控单元类别</w:t>
            </w:r>
          </w:p>
        </w:tc>
        <w:tc>
          <w:tcPr>
            <w:tcW w:w="2668" w:type="pct"/>
            <w:gridSpan w:val="2"/>
            <w:tcBorders>
              <w:top w:val="single" w:sz="12" w:space="0" w:color="auto"/>
            </w:tcBorders>
            <w:vAlign w:val="center"/>
          </w:tcPr>
          <w:p w14:paraId="018CA14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管控要求</w:t>
            </w:r>
          </w:p>
        </w:tc>
        <w:tc>
          <w:tcPr>
            <w:tcW w:w="710" w:type="pct"/>
            <w:tcBorders>
              <w:top w:val="single" w:sz="12" w:space="0" w:color="auto"/>
            </w:tcBorders>
            <w:vAlign w:val="center"/>
          </w:tcPr>
          <w:p w14:paraId="0B12C08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符合性分析</w:t>
            </w:r>
          </w:p>
        </w:tc>
        <w:tc>
          <w:tcPr>
            <w:tcW w:w="251" w:type="pct"/>
            <w:tcBorders>
              <w:top w:val="single" w:sz="12" w:space="0" w:color="auto"/>
            </w:tcBorders>
            <w:vAlign w:val="center"/>
          </w:tcPr>
          <w:p w14:paraId="697108A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符合性</w:t>
            </w:r>
          </w:p>
        </w:tc>
      </w:tr>
      <w:tr w:rsidR="009D12AF" w14:paraId="16F0AC78" w14:textId="77777777">
        <w:trPr>
          <w:trHeight w:val="1536"/>
          <w:jc w:val="center"/>
        </w:trPr>
        <w:tc>
          <w:tcPr>
            <w:tcW w:w="470" w:type="pct"/>
            <w:vAlign w:val="center"/>
          </w:tcPr>
          <w:p w14:paraId="54FD9AF4"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ZH23108310002</w:t>
            </w:r>
          </w:p>
        </w:tc>
        <w:tc>
          <w:tcPr>
            <w:tcW w:w="493" w:type="pct"/>
            <w:vAlign w:val="center"/>
          </w:tcPr>
          <w:p w14:paraId="202E5E48"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海林市一般生态空间</w:t>
            </w:r>
          </w:p>
        </w:tc>
        <w:tc>
          <w:tcPr>
            <w:tcW w:w="405" w:type="pct"/>
            <w:vAlign w:val="center"/>
          </w:tcPr>
          <w:p w14:paraId="2DE3A941"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优先保护单元</w:t>
            </w:r>
          </w:p>
        </w:tc>
        <w:tc>
          <w:tcPr>
            <w:tcW w:w="440" w:type="pct"/>
            <w:vAlign w:val="center"/>
          </w:tcPr>
          <w:p w14:paraId="11E0E5D4" w14:textId="77777777" w:rsidR="009D12AF" w:rsidRDefault="00000000">
            <w:pPr>
              <w:widowControl/>
              <w:spacing w:before="100" w:beforeAutospacing="1" w:after="100" w:afterAutospacing="1"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空间布局约束</w:t>
            </w:r>
          </w:p>
        </w:tc>
        <w:tc>
          <w:tcPr>
            <w:tcW w:w="2227" w:type="pct"/>
            <w:vAlign w:val="center"/>
          </w:tcPr>
          <w:p w14:paraId="7BDDA6DE"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原则上按限制开发区域的要求进行管理。严格限制与生态功能不一致的开发建设活动。符合区域准入条件的新增建设项目，涉及占用生态空间中的林地、草原等，按有关法律法规规定办理；涉及占用生态空间中其他未作明确规定的用地，应当加强论证和管理。符合条件的农业开发项目，须依法由市县级及以上地方人民政府统筹安排。除符合国家生态退耕条件的耕地，并纳入国家生态退耕总体安排，或因国家重大生态工程建设需要外，不得随意转用。</w:t>
            </w:r>
            <w:r>
              <w:rPr>
                <w:rFonts w:ascii="Times New Roman" w:eastAsia="宋体" w:hAnsi="Times New Roman" w:cs="Times New Roman"/>
                <w:sz w:val="21"/>
                <w:szCs w:val="21"/>
              </w:rPr>
              <w:t>2.</w:t>
            </w:r>
            <w:r>
              <w:rPr>
                <w:rFonts w:ascii="Times New Roman" w:eastAsia="宋体" w:hAnsi="Times New Roman" w:cs="Times New Roman"/>
                <w:sz w:val="21"/>
                <w:szCs w:val="21"/>
              </w:rPr>
              <w:t>对依法保护的生态空间实行承载力控制，防止过度垦殖、放牧、采伐、取水、渔猎、旅游等对生态功能造成损害，确保自然生态系统的稳定。</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避免开发建设活动损害其生态服务功能和生态产品质量。</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已经侵占生态空间的，应建立退出机制、制定治理方案及时间表。</w:t>
            </w:r>
            <w:r>
              <w:rPr>
                <w:rFonts w:ascii="Times New Roman" w:eastAsia="宋体" w:hAnsi="Times New Roman" w:cs="Times New Roman"/>
                <w:sz w:val="21"/>
                <w:szCs w:val="21"/>
              </w:rPr>
              <w:t xml:space="preserve"> 5.</w:t>
            </w:r>
            <w:r>
              <w:rPr>
                <w:rFonts w:ascii="Times New Roman" w:eastAsia="宋体" w:hAnsi="Times New Roman" w:cs="Times New Roman"/>
                <w:sz w:val="21"/>
                <w:szCs w:val="21"/>
              </w:rPr>
              <w:t>海林市长汀镇饮用水水源、海林市柴河镇饮用水水源、海林市二水厂（改扩建）饮</w:t>
            </w:r>
            <w:r>
              <w:rPr>
                <w:rFonts w:ascii="Times New Roman" w:eastAsia="宋体" w:hAnsi="Times New Roman" w:cs="Times New Roman"/>
                <w:sz w:val="21"/>
                <w:szCs w:val="21"/>
              </w:rPr>
              <w:t xml:space="preserve"> </w:t>
            </w:r>
          </w:p>
          <w:p w14:paraId="01577CFA"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用水水源同时执行以下要求：</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）饮用水地表水源各级保护区及准保护区内均必须遵守下列规定：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）禁止一切破坏水环境生态平衡的活动以及破坏水源林、护岸林、与水源保护相关植被的活动。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）禁止向水域倾倒工业废渣、城市垃圾、粪便及其它废弃物。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3</w:t>
            </w:r>
            <w:r>
              <w:rPr>
                <w:rFonts w:ascii="Times New Roman" w:eastAsia="宋体" w:hAnsi="Times New Roman" w:cs="Times New Roman"/>
                <w:sz w:val="21"/>
                <w:szCs w:val="21"/>
              </w:rPr>
              <w:t>）运输有毒有害物质、油类、粪便的船舶和车辆一般不准进入保护区，必须进入者应事先申请并经有关部门批准、登记并设置防渗、防溢、防漏设施。</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4</w:t>
            </w:r>
            <w:r>
              <w:rPr>
                <w:rFonts w:ascii="Times New Roman" w:eastAsia="宋体" w:hAnsi="Times New Roman" w:cs="Times New Roman"/>
                <w:sz w:val="21"/>
                <w:szCs w:val="21"/>
              </w:rPr>
              <w:t>）禁止使用剧毒和高残留农药，不得滥用化肥，不得使用炸药、毒品捕杀鱼类。</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5</w:t>
            </w:r>
            <w:r>
              <w:rPr>
                <w:rFonts w:ascii="Times New Roman" w:eastAsia="宋体" w:hAnsi="Times New Roman" w:cs="Times New Roman"/>
                <w:sz w:val="21"/>
                <w:szCs w:val="21"/>
              </w:rPr>
              <w:t>）禁止建设畜禽养殖场、养殖小区（</w:t>
            </w:r>
            <w:r>
              <w:rPr>
                <w:rFonts w:ascii="Times New Roman" w:eastAsia="宋体" w:hAnsi="Times New Roman" w:cs="Times New Roman"/>
                <w:sz w:val="21"/>
                <w:szCs w:val="21"/>
              </w:rPr>
              <w:t>6</w:t>
            </w:r>
            <w:r>
              <w:rPr>
                <w:rFonts w:ascii="Times New Roman" w:eastAsia="宋体" w:hAnsi="Times New Roman" w:cs="Times New Roman"/>
                <w:sz w:val="21"/>
                <w:szCs w:val="21"/>
              </w:rPr>
              <w:t>）禁止设置排污口。</w:t>
            </w:r>
            <w:r>
              <w:rPr>
                <w:rFonts w:ascii="Times New Roman" w:eastAsia="宋体" w:hAnsi="Times New Roman" w:cs="Times New Roman"/>
                <w:sz w:val="21"/>
                <w:szCs w:val="21"/>
              </w:rPr>
              <w:t>2</w:t>
            </w:r>
            <w:r>
              <w:rPr>
                <w:rFonts w:ascii="Times New Roman" w:eastAsia="宋体" w:hAnsi="Times New Roman" w:cs="Times New Roman"/>
                <w:sz w:val="21"/>
                <w:szCs w:val="21"/>
              </w:rPr>
              <w:t>）饮用水地表水源各</w:t>
            </w:r>
          </w:p>
          <w:p w14:paraId="14622CB5"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级保护区及准保护区内必须分别遵守下</w:t>
            </w:r>
            <w:r>
              <w:rPr>
                <w:rFonts w:ascii="Times New Roman" w:eastAsia="宋体" w:hAnsi="Times New Roman" w:cs="Times New Roman"/>
                <w:sz w:val="21"/>
                <w:szCs w:val="21"/>
              </w:rPr>
              <w:lastRenderedPageBreak/>
              <w:t>列规定：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）一级保护区内：禁止新建、扩建与供水设施和保护水源无关</w:t>
            </w:r>
          </w:p>
          <w:p w14:paraId="1559E3D7"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的建设项目，已建成的与供水设施和保护水源无关的建设项目，由县级以上人民政府责令拆除或者关闭；禁止向水域排放污水，已设置的排污口必须拆除；不得设置与供水需要无关的码头，禁止停靠船舶；禁止堆置和存放工业废渣、城市垃圾、粪便和其他废弃物；禁止设置油库；禁止从事种植、放养畜禽和网箱养殖活动；禁止可能污染水源的旅游活动和其他活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二级保护区内：禁止新建、改建、扩建排放污染物的建设项目，已建成的排放污染物的建设项目，由县级以上人民政府责令拆除或者关闭；原有排污口依法拆除或者关闭；禁止设立装卸垃圾、粪便、油类和有毒物品的码头。（</w:t>
            </w:r>
            <w:r>
              <w:rPr>
                <w:rFonts w:ascii="Times New Roman" w:eastAsia="宋体" w:hAnsi="Times New Roman" w:cs="Times New Roman"/>
                <w:sz w:val="21"/>
                <w:szCs w:val="21"/>
              </w:rPr>
              <w:t>3</w:t>
            </w:r>
            <w:r>
              <w:rPr>
                <w:rFonts w:ascii="Times New Roman" w:eastAsia="宋体" w:hAnsi="Times New Roman" w:cs="Times New Roman"/>
                <w:sz w:val="21"/>
                <w:szCs w:val="21"/>
              </w:rPr>
              <w:t>）准保护区内：禁止新建、扩建对水体污染严重的建设项目；改建建设项目，不得增加排污量。</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）国务院和省、自治区、直辖市人民政府根据水环境保护的需要，可以规定在饮用水水源保护区内，采取禁止或者限制使用含磷洗涤剂、化肥、农药以及限制种植养殖等措施。</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饮用水地下水源各级保护区及准保护区内均必须遵守下列规定：禁止利用渗坑、渗井、裂隙、溶洞等排放污水和其它有害废弃物；禁止利用透水层孔隙、裂隙、溶洞及废弃矿坑储存石油、天然气、放射性物质、有毒有害化工原料、农药等；实行人工回灌地下水时不得污染当地地下水源。</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一级保护区内：禁止建设与取水设施无关的建筑物；禁止从事农牧业活动；禁止倾倒、堆放工业废渣及城市垃圾、粪便和其它有害废弃物；禁止输送污水的渠道、管道及输油管道通过本区；禁止建设油库；禁止建立墓地。（</w:t>
            </w:r>
            <w:r>
              <w:rPr>
                <w:rFonts w:ascii="Times New Roman" w:eastAsia="宋体" w:hAnsi="Times New Roman" w:cs="Times New Roman"/>
                <w:sz w:val="21"/>
                <w:szCs w:val="21"/>
              </w:rPr>
              <w:t>2</w:t>
            </w:r>
            <w:r>
              <w:rPr>
                <w:rFonts w:ascii="Times New Roman" w:eastAsia="宋体" w:hAnsi="Times New Roman" w:cs="Times New Roman"/>
                <w:sz w:val="21"/>
                <w:szCs w:val="21"/>
              </w:rPr>
              <w:t>）二级保护区内：</w:t>
            </w:r>
            <w:r>
              <w:rPr>
                <w:rFonts w:ascii="Times New Roman" w:eastAsia="宋体" w:hAnsi="Times New Roman" w:cs="Times New Roman"/>
                <w:sz w:val="21"/>
                <w:szCs w:val="21"/>
              </w:rPr>
              <w:t>1</w:t>
            </w:r>
            <w:r>
              <w:rPr>
                <w:rFonts w:ascii="Times New Roman" w:eastAsia="宋体" w:hAnsi="Times New Roman" w:cs="Times New Roman"/>
                <w:sz w:val="21"/>
                <w:szCs w:val="21"/>
              </w:rPr>
              <w:t>）对于潜水含水层地下水水</w:t>
            </w:r>
            <w:r>
              <w:rPr>
                <w:rFonts w:ascii="Times New Roman" w:eastAsia="宋体" w:hAnsi="Times New Roman" w:cs="Times New Roman"/>
                <w:sz w:val="21"/>
                <w:szCs w:val="21"/>
              </w:rPr>
              <w:lastRenderedPageBreak/>
              <w:t>源地：禁止建设化工、电镀、皮</w:t>
            </w:r>
            <w:r>
              <w:rPr>
                <w:rFonts w:ascii="Times New Roman" w:eastAsia="宋体" w:hAnsi="Times New Roman" w:cs="Times New Roman" w:hint="eastAsia"/>
                <w:sz w:val="21"/>
                <w:szCs w:val="21"/>
              </w:rPr>
              <w:t>革、造纸、制浆、冶炼、放射性、印染、染料、炼焦、炼油及其它有严重污染的企业，已建成的要限期治理，转产或搬迁；禁止设置城市垃圾、粪便和易溶、有毒有害废弃物堆放场和转运站，已有的上述场站要限期搬迁；禁止利用未经净化的污水灌溉农田，已有的污灌农田要限期改用清水灌溉；化工原料、矿物油类及有毒有害矿产品的堆放场所必须有防雨、防渗措施。</w:t>
            </w:r>
            <w:r>
              <w:rPr>
                <w:rFonts w:ascii="Times New Roman" w:eastAsia="宋体" w:hAnsi="Times New Roman" w:cs="Times New Roman" w:hint="eastAsia"/>
                <w:sz w:val="21"/>
                <w:szCs w:val="21"/>
              </w:rPr>
              <w:t>2</w:t>
            </w:r>
            <w:r>
              <w:rPr>
                <w:rFonts w:ascii="Times New Roman" w:eastAsia="宋体" w:hAnsi="Times New Roman" w:cs="Times New Roman" w:hint="eastAsia"/>
                <w:sz w:val="21"/>
                <w:szCs w:val="21"/>
              </w:rPr>
              <w:t>）对于承压含水层地下水水源地：禁止承压水和潜水的混合开采，作好潜水的止水措施。（</w:t>
            </w:r>
            <w:r>
              <w:rPr>
                <w:rFonts w:ascii="Times New Roman" w:eastAsia="宋体" w:hAnsi="Times New Roman" w:cs="Times New Roman" w:hint="eastAsia"/>
                <w:sz w:val="21"/>
                <w:szCs w:val="21"/>
              </w:rPr>
              <w:t>3</w:t>
            </w:r>
            <w:r>
              <w:rPr>
                <w:rFonts w:ascii="Times New Roman" w:eastAsia="宋体" w:hAnsi="Times New Roman" w:cs="Times New Roman" w:hint="eastAsia"/>
                <w:sz w:val="21"/>
                <w:szCs w:val="21"/>
              </w:rPr>
              <w:t>）准保护区内：禁止建设城市垃圾、粪便和易溶、有毒有害废弃物的堆放场站，因特殊需要设立转运站的，必须经有关部门批准，并采取防渗漏措施；当补给源为地表水体时，该地表水体水质不应低于《地表水环境质量标准》Ⅲ类标准；不得使用不符合《农田灌溉水质标准》的污水进行灌溉，合理使用化肥；保护水源林，禁止毁林开荒，禁止非更新砍伐水源林。</w:t>
            </w:r>
            <w:r>
              <w:rPr>
                <w:rFonts w:ascii="Times New Roman" w:eastAsia="宋体" w:hAnsi="Times New Roman" w:cs="Times New Roman" w:hint="eastAsia"/>
                <w:sz w:val="21"/>
                <w:szCs w:val="21"/>
              </w:rPr>
              <w:t xml:space="preserve"> 6.</w:t>
            </w:r>
            <w:r>
              <w:rPr>
                <w:rFonts w:ascii="Times New Roman" w:eastAsia="宋体" w:hAnsi="Times New Roman" w:cs="Times New Roman" w:hint="eastAsia"/>
                <w:sz w:val="21"/>
                <w:szCs w:val="21"/>
              </w:rPr>
              <w:t>海浪河特有鱼类国家级水产种质资源保护区同时执行以下要求：</w:t>
            </w:r>
            <w:r>
              <w:rPr>
                <w:rFonts w:ascii="Times New Roman" w:eastAsia="宋体" w:hAnsi="Times New Roman" w:cs="Times New Roman" w:hint="eastAsia"/>
                <w:sz w:val="21"/>
                <w:szCs w:val="21"/>
              </w:rPr>
              <w:t xml:space="preserve"> 1</w:t>
            </w:r>
            <w:r>
              <w:rPr>
                <w:rFonts w:ascii="Times New Roman" w:eastAsia="宋体" w:hAnsi="Times New Roman" w:cs="Times New Roman" w:hint="eastAsia"/>
                <w:sz w:val="21"/>
                <w:szCs w:val="21"/>
              </w:rPr>
              <w:t>）不得损</w:t>
            </w:r>
            <w:r>
              <w:rPr>
                <w:rFonts w:ascii="Times New Roman" w:eastAsia="宋体" w:hAnsi="Times New Roman" w:cs="Times New Roman" w:hint="eastAsia"/>
                <w:sz w:val="21"/>
                <w:szCs w:val="21"/>
              </w:rPr>
              <w:t xml:space="preserve"> </w:t>
            </w:r>
          </w:p>
          <w:p w14:paraId="3486640B"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害水产种质资源及其生存环境。</w:t>
            </w:r>
            <w:r>
              <w:rPr>
                <w:rFonts w:ascii="Times New Roman" w:eastAsia="宋体" w:hAnsi="Times New Roman" w:cs="Times New Roman" w:hint="eastAsia"/>
                <w:sz w:val="21"/>
                <w:szCs w:val="21"/>
              </w:rPr>
              <w:t xml:space="preserve"> 2</w:t>
            </w:r>
            <w:r>
              <w:rPr>
                <w:rFonts w:ascii="Times New Roman" w:eastAsia="宋体" w:hAnsi="Times New Roman" w:cs="Times New Roman" w:hint="eastAsia"/>
                <w:sz w:val="21"/>
                <w:szCs w:val="21"/>
              </w:rPr>
              <w:t>）禁止在水产种质资源保护区内从事围湖造田工程。</w:t>
            </w:r>
            <w:r>
              <w:rPr>
                <w:rFonts w:ascii="Times New Roman" w:eastAsia="宋体" w:hAnsi="Times New Roman" w:cs="Times New Roman" w:hint="eastAsia"/>
                <w:sz w:val="21"/>
                <w:szCs w:val="21"/>
              </w:rPr>
              <w:t xml:space="preserve"> 3</w:t>
            </w:r>
            <w:r>
              <w:rPr>
                <w:rFonts w:ascii="Times New Roman" w:eastAsia="宋体" w:hAnsi="Times New Roman" w:cs="Times New Roman" w:hint="eastAsia"/>
                <w:sz w:val="21"/>
                <w:szCs w:val="21"/>
              </w:rPr>
              <w:t>）禁止在水产种质资源保护区内新建排污口。</w:t>
            </w:r>
            <w:r>
              <w:rPr>
                <w:rFonts w:ascii="Times New Roman" w:eastAsia="宋体" w:hAnsi="Times New Roman" w:cs="Times New Roman" w:hint="eastAsia"/>
                <w:sz w:val="21"/>
                <w:szCs w:val="21"/>
              </w:rPr>
              <w:t xml:space="preserve"> 4</w:t>
            </w:r>
            <w:r>
              <w:rPr>
                <w:rFonts w:ascii="Times New Roman" w:eastAsia="宋体" w:hAnsi="Times New Roman" w:cs="Times New Roman" w:hint="eastAsia"/>
                <w:sz w:val="21"/>
                <w:szCs w:val="21"/>
              </w:rPr>
              <w:t>）在水产种质资源保护区附近新建、改建、扩建排污口，应当保证保护区水体不受污染。</w:t>
            </w:r>
            <w:r>
              <w:rPr>
                <w:rFonts w:ascii="Times New Roman" w:eastAsia="宋体" w:hAnsi="Times New Roman" w:cs="Times New Roman" w:hint="eastAsia"/>
                <w:sz w:val="21"/>
                <w:szCs w:val="21"/>
              </w:rPr>
              <w:t xml:space="preserve"> 5</w:t>
            </w:r>
            <w:r>
              <w:rPr>
                <w:rFonts w:ascii="Times New Roman" w:eastAsia="宋体" w:hAnsi="Times New Roman" w:cs="Times New Roman" w:hint="eastAsia"/>
                <w:sz w:val="21"/>
                <w:szCs w:val="21"/>
              </w:rPr>
              <w:t>）特别保护期内不得从事捕捞、爆破作业以及其他可能对保护区内生物资源和生态环境造成损害的活动。</w:t>
            </w:r>
            <w:r>
              <w:rPr>
                <w:rFonts w:ascii="Times New Roman" w:eastAsia="宋体" w:hAnsi="Times New Roman" w:cs="Times New Roman" w:hint="eastAsia"/>
                <w:sz w:val="21"/>
                <w:szCs w:val="21"/>
              </w:rPr>
              <w:t xml:space="preserve"> 6</w:t>
            </w:r>
            <w:r>
              <w:rPr>
                <w:rFonts w:ascii="Times New Roman" w:eastAsia="宋体" w:hAnsi="Times New Roman" w:cs="Times New Roman" w:hint="eastAsia"/>
                <w:sz w:val="21"/>
                <w:szCs w:val="21"/>
              </w:rPr>
              <w:t>）在水产种质资源保护区内从事修建水利工程、疏浚航道、建闸筑坝、勘探和开采矿产资源、港口建设等工程建设的，或者在水产种质资源保护区外从事可能损害保护区功能的工程建设活动的，应当按照国家有关规定编制建设项目对水产种质资源保</w:t>
            </w:r>
            <w:r>
              <w:rPr>
                <w:rFonts w:ascii="Times New Roman" w:eastAsia="宋体" w:hAnsi="Times New Roman" w:cs="Times New Roman" w:hint="eastAsia"/>
                <w:sz w:val="21"/>
                <w:szCs w:val="21"/>
              </w:rPr>
              <w:lastRenderedPageBreak/>
              <w:t>护区的影响专题论证报告，并将其纳入环境影响评价报告书。</w:t>
            </w:r>
          </w:p>
        </w:tc>
        <w:tc>
          <w:tcPr>
            <w:tcW w:w="710" w:type="pct"/>
            <w:vAlign w:val="center"/>
          </w:tcPr>
          <w:p w14:paraId="22B8CD48"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lastRenderedPageBreak/>
              <w:t>本项目属于江河湖库清淤疏浚工程，</w:t>
            </w:r>
            <w:r>
              <w:rPr>
                <w:rFonts w:ascii="Times New Roman" w:eastAsia="宋体" w:hAnsi="Times New Roman" w:cs="Times New Roman" w:hint="eastAsia"/>
                <w:sz w:val="21"/>
                <w:szCs w:val="21"/>
              </w:rPr>
              <w:t>属于生态影响类项目</w:t>
            </w:r>
          </w:p>
        </w:tc>
        <w:tc>
          <w:tcPr>
            <w:tcW w:w="251" w:type="pct"/>
            <w:vAlign w:val="center"/>
          </w:tcPr>
          <w:p w14:paraId="26A805B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符合</w:t>
            </w:r>
          </w:p>
        </w:tc>
      </w:tr>
      <w:tr w:rsidR="009D12AF" w14:paraId="0A59189B" w14:textId="77777777">
        <w:trPr>
          <w:trHeight w:val="1536"/>
          <w:jc w:val="center"/>
        </w:trPr>
        <w:tc>
          <w:tcPr>
            <w:tcW w:w="470" w:type="pct"/>
            <w:vAlign w:val="center"/>
          </w:tcPr>
          <w:p w14:paraId="2A15250A"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lastRenderedPageBreak/>
              <w:t>ZH23108310001</w:t>
            </w:r>
          </w:p>
        </w:tc>
        <w:tc>
          <w:tcPr>
            <w:tcW w:w="493" w:type="pct"/>
            <w:vAlign w:val="center"/>
          </w:tcPr>
          <w:p w14:paraId="083ABDA0"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海林市生态保护红线</w:t>
            </w:r>
          </w:p>
        </w:tc>
        <w:tc>
          <w:tcPr>
            <w:tcW w:w="405" w:type="pct"/>
            <w:vAlign w:val="center"/>
          </w:tcPr>
          <w:p w14:paraId="50895BCF"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优先保护单元</w:t>
            </w:r>
          </w:p>
        </w:tc>
        <w:tc>
          <w:tcPr>
            <w:tcW w:w="440" w:type="pct"/>
            <w:vAlign w:val="center"/>
          </w:tcPr>
          <w:p w14:paraId="4093EAA1"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空间布局约束</w:t>
            </w:r>
          </w:p>
        </w:tc>
        <w:tc>
          <w:tcPr>
            <w:tcW w:w="2227" w:type="pct"/>
            <w:vAlign w:val="center"/>
          </w:tcPr>
          <w:p w14:paraId="059CFD28"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原则上按禁止开发区域的要求进行管理，严禁不符合主体功能定位的各类开发活动，严禁任意改变用途。</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生态保护红线内，自然保护地核心保护区原则上禁止人为活动。生态保护红线内自然保护地核心保护区外，禁止开发性、生产性建设活动，在符合法律法规的前提</w:t>
            </w:r>
            <w:r>
              <w:rPr>
                <w:rFonts w:ascii="Times New Roman" w:eastAsia="宋体" w:hAnsi="Times New Roman" w:cs="Times New Roman"/>
                <w:sz w:val="21"/>
                <w:szCs w:val="21"/>
              </w:rPr>
              <w:t xml:space="preserve"> </w:t>
            </w:r>
          </w:p>
          <w:p w14:paraId="72A892C3"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下，仅允许以下对生态功能不造成破坏的有限人为活动：管护巡护、保护执法、科学研究、调查监测、测绘导航、防灾减灾救灾、军事国防、疫情防控等活动及相关的必要设施修筑；原住居民和其他合法权益主体，允许在不扩大现有建设用地、耕地、水产养殖规模和放牧强度（符合草畜平衡管理规定）的前提下，开展种植、放牧、捕捞、养殖等活动，修筑生产生活设施；经依法批准的考古调查发掘、古生物化石调查发掘、标本采集和文物保护活动；按规定对人工商品林进行抚育采伐，或以提升森林质量、优化栖息地、建设生物防火隔离带等</w:t>
            </w:r>
            <w:r>
              <w:rPr>
                <w:rFonts w:ascii="Times New Roman" w:eastAsia="宋体" w:hAnsi="Times New Roman" w:cs="Times New Roman"/>
                <w:sz w:val="21"/>
                <w:szCs w:val="21"/>
              </w:rPr>
              <w:t xml:space="preserve"> </w:t>
            </w:r>
          </w:p>
          <w:p w14:paraId="48133BA0"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为目的的树种更新；不破坏生态功能的适度参观旅游、科普宣教及符合相关规划的配套性服务设施和相关的必要公共设施建设及维护；必须且无法避让、符合县级以上国土空间规划的线性基础设施、通讯和防洪、供水设施建设和船舶航行、航道疏浚清淤等活动；已有的合法水利、交通运输等设施运行维护改造；地质调查与矿产资源勘查开采。包括：基础地质调查和战略性矿产资源远景调查等公益性工作；铀矿勘查开采活动，可办理矿业权登记；已依法设立的油气探矿权继续勘查活动，可办理探矿权延</w:t>
            </w:r>
            <w:r>
              <w:rPr>
                <w:rFonts w:ascii="Times New Roman" w:eastAsia="宋体" w:hAnsi="Times New Roman" w:cs="Times New Roman"/>
                <w:sz w:val="21"/>
                <w:szCs w:val="21"/>
              </w:rPr>
              <w:lastRenderedPageBreak/>
              <w:t>续、变更（不含扩大勘查区块范围）、保留、注销，当发现可供开采油气资源并探明储量时，可将开采拟占用的地表范围依照国家相关规定调出生态保护红线；已依法设立的油气采矿权不扩大用地范围，继续开采，可办理采矿权延续、变更（不含扩大矿区范围）、注销；已依法设立的矿泉水和地热采矿权，在不超出已经核定的生产规模、不新增生产设施的前提下继续开采，可办理采矿权延续、变更（不含扩大矿区范围）、注销；已依法设立和新立的战略性矿产探矿权开展勘查活动，可办理探矿权登记，因国家战略需要开展开采活动的，可办理采矿权登记。上述勘查开采活动，应落实减缓生态环境影响措施，严格执行绿色勘查、开采及矿山环境生态修复相关要求；依据县级以上国土空间规划和生态保护修复专项规划开展的生态修复；根据我国相关法律法规和与邻国签署的国界管理制度协定（条约）开展的边界边境通视道清理以及界务工程的修建、维护和拆除工作；法律法规规定允许的其他人为活动。上述有限人为活动管理，涉及新增建设用地的，在报批农用地转用、土地征收时，附省级人民政府出具符合生态保护红线内允许有限人为活动的认定意见；不涉及新增建设用地的，按有关规定进行管理，无明确规定的由省级人民政府制定具体监管办法。上述活动涉及自然保护地的，应征求林业和草原主管部门或自然保护地管理机构意见。生态保护红线内自然保护区、风景名胜区、饮用水水源保护区等</w:t>
            </w:r>
            <w:r>
              <w:rPr>
                <w:rFonts w:ascii="Times New Roman" w:eastAsia="宋体" w:hAnsi="Times New Roman" w:cs="Times New Roman"/>
                <w:sz w:val="21"/>
                <w:szCs w:val="21"/>
              </w:rPr>
              <w:t xml:space="preserve"> </w:t>
            </w:r>
          </w:p>
          <w:p w14:paraId="24E33B79"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区域，依照法律法规执行。</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鼓励各地根据生态保护需要和规划，结合土地综合整治、工矿废弃地复垦利用、矿山环境恢复治理等各类工程实施，因地制宜促进生态空间内建设用地逐步有序退</w:t>
            </w:r>
            <w:r>
              <w:rPr>
                <w:rFonts w:ascii="Times New Roman" w:eastAsia="宋体" w:hAnsi="Times New Roman" w:cs="Times New Roman"/>
                <w:sz w:val="21"/>
                <w:szCs w:val="21"/>
              </w:rPr>
              <w:lastRenderedPageBreak/>
              <w:t>出；区内已有的农业用地，建立逐步退出机制，恢复生态用途。</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水源涵养功</w:t>
            </w:r>
            <w:r>
              <w:rPr>
                <w:rFonts w:ascii="Times New Roman" w:eastAsia="宋体" w:hAnsi="Times New Roman" w:cs="Times New Roman"/>
                <w:sz w:val="21"/>
                <w:szCs w:val="21"/>
              </w:rPr>
              <w:t xml:space="preserve"> </w:t>
            </w:r>
          </w:p>
          <w:p w14:paraId="3C6D5C56"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能极重要区同时执行以下要求：</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对重要水源涵养区建立生态功能保护区，加强对水源涵养区的保护与管理，严格保护具有重要水源涵养功能的自然植被，限制或禁止各种损害生态系统水源涵养功能的经济社会活动和生产方式，如无序采矿、毁林开荒、湿地和草地开垦、</w:t>
            </w:r>
            <w:r>
              <w:rPr>
                <w:rFonts w:ascii="Times New Roman" w:eastAsia="宋体" w:hAnsi="Times New Roman" w:cs="Times New Roman"/>
                <w:sz w:val="21"/>
                <w:szCs w:val="21"/>
              </w:rPr>
              <w:t xml:space="preserve"> </w:t>
            </w:r>
          </w:p>
          <w:p w14:paraId="4A7C1EBE"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过度放牧、道路建设等。</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禁止导致水体污染的产业发展，开展生态清洁小流域的建设。</w:t>
            </w:r>
            <w:r>
              <w:rPr>
                <w:rFonts w:ascii="Times New Roman" w:eastAsia="宋体" w:hAnsi="Times New Roman" w:cs="Times New Roman"/>
                <w:sz w:val="21"/>
                <w:szCs w:val="21"/>
              </w:rPr>
              <w:t>3)</w:t>
            </w:r>
            <w:r>
              <w:rPr>
                <w:rFonts w:ascii="Times New Roman" w:eastAsia="宋体" w:hAnsi="Times New Roman" w:cs="Times New Roman"/>
                <w:sz w:val="21"/>
                <w:szCs w:val="21"/>
              </w:rPr>
              <w:t>严格监管矿产、水资源开发，严肃查处毁林、毁草、破坏湿地等行为。</w:t>
            </w:r>
            <w:r>
              <w:rPr>
                <w:rFonts w:ascii="Times New Roman" w:eastAsia="宋体" w:hAnsi="Times New Roman" w:cs="Times New Roman"/>
                <w:sz w:val="21"/>
                <w:szCs w:val="21"/>
              </w:rPr>
              <w:t xml:space="preserve"> 5.</w:t>
            </w:r>
            <w:r>
              <w:rPr>
                <w:rFonts w:ascii="Times New Roman" w:eastAsia="宋体" w:hAnsi="Times New Roman" w:cs="Times New Roman"/>
                <w:sz w:val="21"/>
                <w:szCs w:val="21"/>
              </w:rPr>
              <w:t>生物多样性维护功能极重要区同时执行以下要求：</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禁止对野生动植物进行滥捕滥采，保持并恢复野生动植物物种和种群的平衡，实现野生动植物资源的良性循环和永续利用。</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保护自然生态系统与重要物种栖息地，限制或禁止各种损害栖息地的经济社会活动和生产方式，如无序采矿、毁林开荒、湿地和草地开垦、道路建设等，防止生态建设导致栖息环境的改变。</w:t>
            </w:r>
            <w:r>
              <w:rPr>
                <w:rFonts w:ascii="Times New Roman" w:eastAsia="宋体" w:hAnsi="Times New Roman" w:cs="Times New Roman"/>
                <w:sz w:val="21"/>
                <w:szCs w:val="21"/>
              </w:rPr>
              <w:t xml:space="preserve"> 6.</w:t>
            </w:r>
            <w:r>
              <w:rPr>
                <w:rFonts w:ascii="Times New Roman" w:eastAsia="宋体" w:hAnsi="Times New Roman" w:cs="Times New Roman"/>
                <w:sz w:val="21"/>
                <w:szCs w:val="21"/>
              </w:rPr>
              <w:t>水土保持极重要区同时执行以下要求：</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全面实施保护天然林、退耕还林、退牧还草工程，严禁陡坡垦殖和过度放牧。</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禁止毁林开荒、烧山开荒和陡坡地开垦，合理开发自然资源，保护和恢复自然生态系统，增强区域水土保持能力。</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禁止在幼林地砍柴、毁苗、放牧。</w:t>
            </w:r>
            <w:r>
              <w:rPr>
                <w:rFonts w:ascii="Times New Roman" w:eastAsia="宋体" w:hAnsi="Times New Roman" w:cs="Times New Roman"/>
                <w:sz w:val="21"/>
                <w:szCs w:val="21"/>
              </w:rPr>
              <w:t xml:space="preserve"> 7.</w:t>
            </w:r>
            <w:r>
              <w:rPr>
                <w:rFonts w:ascii="Times New Roman" w:eastAsia="宋体" w:hAnsi="Times New Roman" w:cs="Times New Roman"/>
                <w:sz w:val="21"/>
                <w:szCs w:val="21"/>
              </w:rPr>
              <w:t>黑龙江牡丹江海林莲花湖自然保护区同时执行以下要求：</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禁止开发建设活动要求：</w:t>
            </w:r>
            <w:r>
              <w:rPr>
                <w:rFonts w:ascii="Times New Roman" w:eastAsia="宋体" w:hAnsi="Times New Roman" w:cs="Times New Roman"/>
                <w:sz w:val="21"/>
                <w:szCs w:val="21"/>
              </w:rPr>
              <w:t>1</w:t>
            </w:r>
            <w:r>
              <w:rPr>
                <w:rFonts w:ascii="Times New Roman" w:eastAsia="宋体" w:hAnsi="Times New Roman" w:cs="Times New Roman"/>
                <w:sz w:val="21"/>
                <w:szCs w:val="21"/>
              </w:rPr>
              <w:t>）禁止在自然保护区内进行砍伐、放牧、狩猎、捕捞、采药、开垦、烧荒、开矿、采石、挖沙等活动；但法律、行政法规等另有规定的除外。禁止任何人进入自然保护区的核心区，因科学研究的需要，必须进入核心区从事科学研究观测、调查活动的，应当事先向自然保护区管理</w:t>
            </w:r>
            <w:r>
              <w:rPr>
                <w:rFonts w:ascii="Times New Roman" w:eastAsia="宋体" w:hAnsi="Times New Roman" w:cs="Times New Roman"/>
                <w:sz w:val="21"/>
                <w:szCs w:val="21"/>
              </w:rPr>
              <w:lastRenderedPageBreak/>
              <w:t>机构提交申请和活动计划，并经自然保护区管理机构批准；其中，进入国家级自然保护区核心区的，应当经省、自治区、直辖市人民政府有关自然保护区行政主管部门批准。</w:t>
            </w:r>
            <w:r>
              <w:rPr>
                <w:rFonts w:ascii="Times New Roman" w:eastAsia="宋体" w:hAnsi="Times New Roman" w:cs="Times New Roman"/>
                <w:sz w:val="21"/>
                <w:szCs w:val="21"/>
              </w:rPr>
              <w:t>2</w:t>
            </w:r>
            <w:r>
              <w:rPr>
                <w:rFonts w:ascii="Times New Roman" w:eastAsia="宋体" w:hAnsi="Times New Roman" w:cs="Times New Roman"/>
                <w:sz w:val="21"/>
                <w:szCs w:val="21"/>
              </w:rPr>
              <w:t>）禁止在自然保护区的缓冲区开展旅游和生产经营活动。严禁开设与自然保护区保护方向不一致的参观、旅游项目。</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）禁止在自然保护区的核心区和缓冲区内建设畜禽养殖场、养殖小区。</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）禁止在自然保护区及其外围保护地带建立污染、破坏或者危害自然保护区自然环境和自然资源的设施。</w:t>
            </w:r>
            <w:r>
              <w:rPr>
                <w:rFonts w:ascii="Times New Roman" w:eastAsia="宋体" w:hAnsi="Times New Roman" w:cs="Times New Roman"/>
                <w:sz w:val="21"/>
                <w:szCs w:val="21"/>
              </w:rPr>
              <w:t xml:space="preserve"> 5</w:t>
            </w:r>
            <w:r>
              <w:rPr>
                <w:rFonts w:ascii="Times New Roman" w:eastAsia="宋体" w:hAnsi="Times New Roman" w:cs="Times New Roman"/>
                <w:sz w:val="21"/>
                <w:szCs w:val="21"/>
              </w:rPr>
              <w:t>）核心区和缓冲区内不得建设任何生产设施；实验区不得建设污染环境、破坏资源或者景观的生产设施。</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限制开发建设活动要求：</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在自然保护区的实验区内，不得建设污染环境、破坏资源或者景观的生产设施；建设其他项目，其污染物排放不得超过国家和地方规定的污染物排放标准。</w:t>
            </w:r>
            <w:r>
              <w:rPr>
                <w:rFonts w:ascii="Times New Roman" w:eastAsia="宋体" w:hAnsi="Times New Roman" w:cs="Times New Roman"/>
                <w:sz w:val="21"/>
                <w:szCs w:val="21"/>
              </w:rPr>
              <w:t xml:space="preserve"> 8.</w:t>
            </w:r>
            <w:r>
              <w:rPr>
                <w:rFonts w:ascii="Times New Roman" w:eastAsia="宋体" w:hAnsi="Times New Roman" w:cs="Times New Roman"/>
                <w:sz w:val="21"/>
                <w:szCs w:val="21"/>
              </w:rPr>
              <w:t>黑龙江威虎山国家森林公园、黑龙江雪乡国家森林公园、黑龙江夹皮沟国家森林公园同时执行</w:t>
            </w:r>
            <w:r>
              <w:rPr>
                <w:rFonts w:ascii="Times New Roman" w:eastAsia="宋体" w:hAnsi="Times New Roman" w:cs="Times New Roman"/>
                <w:sz w:val="21"/>
                <w:szCs w:val="21"/>
              </w:rPr>
              <w:t>“</w:t>
            </w:r>
            <w:r>
              <w:rPr>
                <w:rFonts w:ascii="Times New Roman" w:eastAsia="宋体" w:hAnsi="Times New Roman" w:cs="Times New Roman"/>
                <w:sz w:val="21"/>
                <w:szCs w:val="21"/>
              </w:rPr>
              <w:t>禁止开发建设活动要求：</w:t>
            </w:r>
            <w:r>
              <w:rPr>
                <w:rFonts w:ascii="Times New Roman" w:eastAsia="宋体" w:hAnsi="Times New Roman" w:cs="Times New Roman"/>
                <w:sz w:val="21"/>
                <w:szCs w:val="21"/>
              </w:rPr>
              <w:t>1</w:t>
            </w:r>
            <w:r>
              <w:rPr>
                <w:rFonts w:ascii="Times New Roman" w:eastAsia="宋体" w:hAnsi="Times New Roman" w:cs="Times New Roman"/>
                <w:sz w:val="21"/>
                <w:szCs w:val="21"/>
              </w:rPr>
              <w:t>）在国家级自然公园内开展相关活动和设施建设，不得擅自改变其自然状态和历史风貌。</w:t>
            </w:r>
            <w:r>
              <w:rPr>
                <w:rFonts w:ascii="Times New Roman" w:eastAsia="宋体" w:hAnsi="Times New Roman" w:cs="Times New Roman"/>
                <w:sz w:val="21"/>
                <w:szCs w:val="21"/>
              </w:rPr>
              <w:t>2</w:t>
            </w:r>
            <w:r>
              <w:rPr>
                <w:rFonts w:ascii="Times New Roman" w:eastAsia="宋体" w:hAnsi="Times New Roman" w:cs="Times New Roman"/>
                <w:sz w:val="21"/>
                <w:szCs w:val="21"/>
              </w:rPr>
              <w:t>）禁止擅自在国家级自然公园内从事采矿、房地产、开发区、高尔夫球场、风力光伏电场等不符合管控要求的开发活动。</w:t>
            </w:r>
            <w:r>
              <w:rPr>
                <w:rFonts w:ascii="Times New Roman" w:eastAsia="宋体" w:hAnsi="Times New Roman" w:cs="Times New Roman"/>
                <w:sz w:val="21"/>
                <w:szCs w:val="21"/>
              </w:rPr>
              <w:t>3</w:t>
            </w:r>
            <w:r>
              <w:rPr>
                <w:rFonts w:ascii="Times New Roman" w:eastAsia="宋体" w:hAnsi="Times New Roman" w:cs="Times New Roman"/>
                <w:sz w:val="21"/>
                <w:szCs w:val="21"/>
              </w:rPr>
              <w:t>）禁止违规侵占国家级自然公园，排放不符合水污染物排放标准的工业废</w:t>
            </w:r>
            <w:r>
              <w:rPr>
                <w:rFonts w:ascii="Times New Roman" w:eastAsia="宋体" w:hAnsi="Times New Roman" w:cs="Times New Roman"/>
                <w:sz w:val="21"/>
                <w:szCs w:val="21"/>
              </w:rPr>
              <w:t xml:space="preserve"> </w:t>
            </w:r>
          </w:p>
          <w:p w14:paraId="16B42E27"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水、生活污水及其他的废水、污水，倾倒、堆放、丢弃、遗撒固体废物等污染生态环境的行为。限制开发建设活动要求：国家级自然公园范围内除国家重大项目外，仅允许对生态功能不造成破坏的有限人为活动：自然公园内居民和其他合法权益主体依法依规开展的生产生活及设施建设；符合自然公园保护管理要求的文化、体育活动和必要的配套设</w:t>
            </w:r>
            <w:r>
              <w:rPr>
                <w:rFonts w:ascii="Times New Roman" w:eastAsia="宋体" w:hAnsi="Times New Roman" w:cs="Times New Roman"/>
                <w:sz w:val="21"/>
                <w:szCs w:val="21"/>
              </w:rPr>
              <w:lastRenderedPageBreak/>
              <w:t>施建设；符合生态保护红线管控要求的其他活动和设施建设；法律法规和国家政策允许在自然公园内开展的其他活动。</w:t>
            </w:r>
            <w:r>
              <w:rPr>
                <w:rFonts w:ascii="Times New Roman" w:eastAsia="宋体" w:hAnsi="Times New Roman" w:cs="Times New Roman"/>
                <w:sz w:val="21"/>
                <w:szCs w:val="21"/>
              </w:rPr>
              <w:t xml:space="preserve"> 9.</w:t>
            </w:r>
            <w:r>
              <w:rPr>
                <w:rFonts w:ascii="Times New Roman" w:eastAsia="宋体" w:hAnsi="Times New Roman" w:cs="Times New Roman"/>
                <w:sz w:val="21"/>
                <w:szCs w:val="21"/>
              </w:rPr>
              <w:t>黑龙江省莲花湖地质公园同时执行以下要求：</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禁止开发建设活动要求：</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）任何单位和个人不得在保护区内及可能对地质遗迹造成影响的一定范围内进行采石、取土、开矿、放牧、砍伐以及其它对保护对象有损害的活动。未经管理机构批准，不得在保护区范围内采集标本和化石。</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）不得在保护区内修建与地质遗迹保护无关的厂房或其他建筑设施；对已建成并可能对地质遗迹造成污染或破坏的设施，应限期治理或停业外迁。</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）在国家级自然公园内开展相关活动和设施建设，不得擅自改变其自然状态和历史风貌。</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）禁止擅自在国家级自然公园内从事采矿、房地产、开发区、高尔夫球场、风力光伏电场等不符合</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管控要求的开发活动。</w:t>
            </w:r>
            <w:r>
              <w:rPr>
                <w:rFonts w:ascii="Times New Roman" w:eastAsia="宋体" w:hAnsi="Times New Roman" w:cs="Times New Roman"/>
                <w:sz w:val="21"/>
                <w:szCs w:val="21"/>
              </w:rPr>
              <w:t xml:space="preserve"> 5</w:t>
            </w:r>
            <w:r>
              <w:rPr>
                <w:rFonts w:ascii="Times New Roman" w:eastAsia="宋体" w:hAnsi="Times New Roman" w:cs="Times New Roman"/>
                <w:sz w:val="21"/>
                <w:szCs w:val="21"/>
              </w:rPr>
              <w:t>）禁止违规侵占国家级自然公园，排放不符合水污染物排放标准的工业废水、生活污水及其他的废水、污水，倾倒、堆放、丢弃、遗撒固体废物等污染生态环境的行为。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限制开发建设活动要求：</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管理机构可根据地质遗迹的保护程度，批准单位或个人在保护工区范围内从事科研、教学及旅游活动。国家级自然公园范围内除国家重大项目外，仅允许对生态功能不造成破坏的有限人为活动：自然公园内居民和其他合法权益主体依法依规开展的生产生活及设施建设；符合自然公园保护管理要求的文化、体育活动和必要的配套设施建设；符合生态保护红线管控要求的其他活动和设施建设；法律法规和国家政策允许在自然公园内开展的其他活动。</w:t>
            </w:r>
            <w:r>
              <w:rPr>
                <w:rFonts w:ascii="Times New Roman" w:eastAsia="宋体" w:hAnsi="Times New Roman" w:cs="Times New Roman"/>
                <w:sz w:val="21"/>
                <w:szCs w:val="21"/>
              </w:rPr>
              <w:t xml:space="preserve"> 10.</w:t>
            </w:r>
            <w:r>
              <w:rPr>
                <w:rFonts w:ascii="Times New Roman" w:eastAsia="宋体" w:hAnsi="Times New Roman" w:cs="Times New Roman"/>
                <w:sz w:val="21"/>
                <w:szCs w:val="21"/>
              </w:rPr>
              <w:t>海林市长汀镇饮用水水源、海林市柴河镇饮用水水源、海林市二水厂（改扩建）饮用水水源同时</w:t>
            </w:r>
            <w:r>
              <w:rPr>
                <w:rFonts w:ascii="Times New Roman" w:eastAsia="宋体" w:hAnsi="Times New Roman" w:cs="Times New Roman"/>
                <w:sz w:val="21"/>
                <w:szCs w:val="21"/>
              </w:rPr>
              <w:lastRenderedPageBreak/>
              <w:t>执行以下要求：</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）饮用水地表水源各级保护区及准保护区内均必须遵守下列规定：（</w:t>
            </w:r>
            <w:r>
              <w:rPr>
                <w:rFonts w:ascii="Times New Roman" w:eastAsia="宋体" w:hAnsi="Times New Roman" w:cs="Times New Roman"/>
                <w:sz w:val="21"/>
                <w:szCs w:val="21"/>
              </w:rPr>
              <w:t>1</w:t>
            </w:r>
            <w:r>
              <w:rPr>
                <w:rFonts w:ascii="Times New Roman" w:eastAsia="宋体" w:hAnsi="Times New Roman" w:cs="Times New Roman"/>
                <w:sz w:val="21"/>
                <w:szCs w:val="21"/>
              </w:rPr>
              <w:t>）禁止一切破坏水环境生态平衡的活动以及破坏水源林、护岸林、与水源保护相关植被的活动。（</w:t>
            </w:r>
            <w:r>
              <w:rPr>
                <w:rFonts w:ascii="Times New Roman" w:eastAsia="宋体" w:hAnsi="Times New Roman" w:cs="Times New Roman"/>
                <w:sz w:val="21"/>
                <w:szCs w:val="21"/>
              </w:rPr>
              <w:t>2</w:t>
            </w:r>
            <w:r>
              <w:rPr>
                <w:rFonts w:ascii="Times New Roman" w:eastAsia="宋体" w:hAnsi="Times New Roman" w:cs="Times New Roman"/>
                <w:sz w:val="21"/>
                <w:szCs w:val="21"/>
              </w:rPr>
              <w:t>）禁止向水域倾倒工业废渣、城市垃圾、粪便及其它废弃物。</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3</w:t>
            </w:r>
            <w:r>
              <w:rPr>
                <w:rFonts w:ascii="Times New Roman" w:eastAsia="宋体" w:hAnsi="Times New Roman" w:cs="Times New Roman"/>
                <w:sz w:val="21"/>
                <w:szCs w:val="21"/>
              </w:rPr>
              <w:t>）运输有毒有害物质、油类、粪便的船舶和车辆一般不准进入</w:t>
            </w:r>
            <w:r>
              <w:rPr>
                <w:rFonts w:ascii="Times New Roman" w:eastAsia="宋体" w:hAnsi="Times New Roman" w:cs="Times New Roman"/>
                <w:sz w:val="21"/>
                <w:szCs w:val="21"/>
              </w:rPr>
              <w:t xml:space="preserve"> </w:t>
            </w:r>
          </w:p>
          <w:p w14:paraId="195B3A74"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保护区，必须进入者应事先申请并经有关部门批准、登记并设置防渗、防溢、防漏设施。（</w:t>
            </w:r>
            <w:r>
              <w:rPr>
                <w:rFonts w:ascii="Times New Roman" w:eastAsia="宋体" w:hAnsi="Times New Roman" w:cs="Times New Roman"/>
                <w:sz w:val="21"/>
                <w:szCs w:val="21"/>
              </w:rPr>
              <w:t>4</w:t>
            </w:r>
            <w:r>
              <w:rPr>
                <w:rFonts w:ascii="Times New Roman" w:eastAsia="宋体" w:hAnsi="Times New Roman" w:cs="Times New Roman"/>
                <w:sz w:val="21"/>
                <w:szCs w:val="21"/>
              </w:rPr>
              <w:t>）禁止使用剧毒和高残留农药，不得滥用化肥，不得使用炸药、毒品捕杀鱼类。</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5</w:t>
            </w:r>
            <w:r>
              <w:rPr>
                <w:rFonts w:ascii="Times New Roman" w:eastAsia="宋体" w:hAnsi="Times New Roman" w:cs="Times New Roman"/>
                <w:sz w:val="21"/>
                <w:szCs w:val="21"/>
              </w:rPr>
              <w:t>）禁止建设畜禽养殖场、养殖小区。</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6</w:t>
            </w:r>
            <w:r>
              <w:rPr>
                <w:rFonts w:ascii="Times New Roman" w:eastAsia="宋体" w:hAnsi="Times New Roman" w:cs="Times New Roman"/>
                <w:sz w:val="21"/>
                <w:szCs w:val="21"/>
              </w:rPr>
              <w:t>）禁止设置排污口。</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）饮用水地表水源各级保护区</w:t>
            </w:r>
            <w:r>
              <w:rPr>
                <w:rFonts w:ascii="Times New Roman" w:eastAsia="宋体" w:hAnsi="Times New Roman" w:cs="Times New Roman"/>
                <w:sz w:val="21"/>
                <w:szCs w:val="21"/>
              </w:rPr>
              <w:t xml:space="preserve"> </w:t>
            </w:r>
          </w:p>
          <w:p w14:paraId="5BDE3507"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及准保护区内必须分别遵守下列规定：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1</w:t>
            </w:r>
            <w:r>
              <w:rPr>
                <w:rFonts w:ascii="Times New Roman" w:eastAsia="宋体" w:hAnsi="Times New Roman" w:cs="Times New Roman"/>
                <w:sz w:val="21"/>
                <w:szCs w:val="21"/>
              </w:rPr>
              <w:t>）一级保护区内：禁止新建、扩建与供水设施和保护水源无关的建设项目，已建成的与供水设施和保护水源无关的建设项目，由县级以上人民政府责令拆除或者关闭；禁止向水域排放污水，已设置的排污口必须拆除；不得设置与供</w:t>
            </w:r>
            <w:r>
              <w:rPr>
                <w:rFonts w:ascii="Times New Roman" w:eastAsia="宋体" w:hAnsi="Times New Roman" w:cs="Times New Roman"/>
                <w:sz w:val="21"/>
                <w:szCs w:val="21"/>
              </w:rPr>
              <w:t xml:space="preserve"> </w:t>
            </w:r>
          </w:p>
          <w:p w14:paraId="76A532EB"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水需要无关的码头，禁止停靠船舶；禁止堆置和存放工业废渣、城市垃圾、粪便和其他废弃物；禁止设置油库；禁止从事种植、放养畜禽和网箱养殖活动；禁止可能污染水源的旅游活动和其他活动。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2</w:t>
            </w:r>
            <w:r>
              <w:rPr>
                <w:rFonts w:ascii="Times New Roman" w:eastAsia="宋体" w:hAnsi="Times New Roman" w:cs="Times New Roman"/>
                <w:sz w:val="21"/>
                <w:szCs w:val="21"/>
              </w:rPr>
              <w:t>）二级保护区内：禁止新建、改建、扩建排放污染物的建设项目，已建成的排放污染物的建设项目，由县级以上人民政府责令拆除或者关闭；原有排污口依法拆除或者关闭；禁止设立装卸垃圾、粪便、油类和有毒物品的码头。</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w:t>
            </w:r>
            <w:r>
              <w:rPr>
                <w:rFonts w:ascii="Times New Roman" w:eastAsia="宋体" w:hAnsi="Times New Roman" w:cs="Times New Roman"/>
                <w:sz w:val="21"/>
                <w:szCs w:val="21"/>
              </w:rPr>
              <w:t>3</w:t>
            </w:r>
            <w:r>
              <w:rPr>
                <w:rFonts w:ascii="Times New Roman" w:eastAsia="宋体" w:hAnsi="Times New Roman" w:cs="Times New Roman"/>
                <w:sz w:val="21"/>
                <w:szCs w:val="21"/>
              </w:rPr>
              <w:t>）准保护区内：禁止新建、扩建对水体污染严重的建设项目；改建建设项目，不得增加排污量。</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）国务院和省、自治区、直辖市人民政府根据水环境保护的需要，可以规定在饮用水水源保护区内，采取禁止或者限制使用含磷洗涤剂、</w:t>
            </w:r>
            <w:r>
              <w:rPr>
                <w:rFonts w:ascii="Times New Roman" w:eastAsia="宋体" w:hAnsi="Times New Roman" w:cs="Times New Roman"/>
                <w:sz w:val="21"/>
                <w:szCs w:val="21"/>
              </w:rPr>
              <w:lastRenderedPageBreak/>
              <w:t>化肥、农药以及限制种植养殖等措施。</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饮用水地下水源各级保护区及准保护区内均必须遵守下列规定：禁止利用渗坑、渗井、裂隙、溶洞等排放污水和其它有害废弃物；禁止利用透水层孔隙、裂隙、溶洞及废弃矿坑储存石油、天然气、放射性物质、有毒有害化工原料、农药等；实行人工回灌地下水时不得污染当地地下水源。（</w:t>
            </w:r>
            <w:r>
              <w:rPr>
                <w:rFonts w:ascii="Times New Roman" w:eastAsia="宋体" w:hAnsi="Times New Roman" w:cs="Times New Roman"/>
                <w:sz w:val="21"/>
                <w:szCs w:val="21"/>
              </w:rPr>
              <w:t>1</w:t>
            </w:r>
            <w:r>
              <w:rPr>
                <w:rFonts w:ascii="Times New Roman" w:eastAsia="宋体" w:hAnsi="Times New Roman" w:cs="Times New Roman"/>
                <w:sz w:val="21"/>
                <w:szCs w:val="21"/>
              </w:rPr>
              <w:t>）一级保护区内：禁止建设与取水设施无关的建筑物；禁止从事农牧业活动；禁止倾倒、堆放工业废渣及城市垃圾、粪便和其它有害废弃物；禁止输送污水的渠道、管道及输油管道通过本区；禁止建设油库；禁止建立墓地。（</w:t>
            </w:r>
            <w:r>
              <w:rPr>
                <w:rFonts w:ascii="Times New Roman" w:eastAsia="宋体" w:hAnsi="Times New Roman" w:cs="Times New Roman"/>
                <w:sz w:val="21"/>
                <w:szCs w:val="21"/>
              </w:rPr>
              <w:t>2</w:t>
            </w:r>
            <w:r>
              <w:rPr>
                <w:rFonts w:ascii="Times New Roman" w:eastAsia="宋体" w:hAnsi="Times New Roman" w:cs="Times New Roman"/>
                <w:sz w:val="21"/>
                <w:szCs w:val="21"/>
              </w:rPr>
              <w:t>）二级保护区内：</w:t>
            </w:r>
            <w:r>
              <w:rPr>
                <w:rFonts w:ascii="Times New Roman" w:eastAsia="宋体" w:hAnsi="Times New Roman" w:cs="Times New Roman"/>
                <w:sz w:val="21"/>
                <w:szCs w:val="21"/>
              </w:rPr>
              <w:t>1</w:t>
            </w:r>
            <w:r>
              <w:rPr>
                <w:rFonts w:ascii="Times New Roman" w:eastAsia="宋体" w:hAnsi="Times New Roman" w:cs="Times New Roman"/>
                <w:sz w:val="21"/>
                <w:szCs w:val="21"/>
              </w:rPr>
              <w:t>）对于潜水含水层地下水水源地：禁止建设化工、电镀、皮革、造纸、制浆、冶炼、放射性、印染、染料、炼焦、炼油及其它有严重污染的企业，已建成的要限期治理，转产或搬迁；禁止设置城市垃圾、粪便和易溶、有毒有害废弃物堆放场和转运站，已有的上述场站要限期搬迁；禁止利用未经净化的污水灌溉农田，已有的污灌农田要限期改用清水灌溉；化工原料、矿物油类及有毒有害矿产品的堆放场所必须有防雨、防渗措施。</w:t>
            </w:r>
            <w:r>
              <w:rPr>
                <w:rFonts w:ascii="Times New Roman" w:eastAsia="宋体" w:hAnsi="Times New Roman" w:cs="Times New Roman"/>
                <w:sz w:val="21"/>
                <w:szCs w:val="21"/>
              </w:rPr>
              <w:t>2</w:t>
            </w:r>
            <w:r>
              <w:rPr>
                <w:rFonts w:ascii="Times New Roman" w:eastAsia="宋体" w:hAnsi="Times New Roman" w:cs="Times New Roman"/>
                <w:sz w:val="21"/>
                <w:szCs w:val="21"/>
              </w:rPr>
              <w:t>）对于承压含水层地下水水源地：禁止承压水和潜水的混合开采，作好潜水的止水措施。（</w:t>
            </w:r>
            <w:r>
              <w:rPr>
                <w:rFonts w:ascii="Times New Roman" w:eastAsia="宋体" w:hAnsi="Times New Roman" w:cs="Times New Roman"/>
                <w:sz w:val="21"/>
                <w:szCs w:val="21"/>
              </w:rPr>
              <w:t>3</w:t>
            </w:r>
            <w:r>
              <w:rPr>
                <w:rFonts w:ascii="Times New Roman" w:eastAsia="宋体" w:hAnsi="Times New Roman" w:cs="Times New Roman"/>
                <w:sz w:val="21"/>
                <w:szCs w:val="21"/>
              </w:rPr>
              <w:t>）准保护区内：禁止建设城市垃圾、粪便和易溶、有毒有害废弃物的堆放场站，因特殊需要设立转运站的，必须经有关部门批准，并采取防渗漏措施；当补给源为地表水体时，该地表水体水质不应低于《地表水环境质量标准》</w:t>
            </w:r>
            <w:r>
              <w:rPr>
                <w:rFonts w:ascii="Times New Roman" w:eastAsia="宋体" w:hAnsi="Times New Roman" w:cs="Times New Roman"/>
                <w:sz w:val="21"/>
                <w:szCs w:val="21"/>
              </w:rPr>
              <w:t>Ⅲ</w:t>
            </w:r>
            <w:r>
              <w:rPr>
                <w:rFonts w:ascii="Times New Roman" w:eastAsia="宋体" w:hAnsi="Times New Roman" w:cs="Times New Roman"/>
                <w:sz w:val="21"/>
                <w:szCs w:val="21"/>
              </w:rPr>
              <w:t>类标准；不得使用不符合《农田灌溉水质标准》的污水进行灌溉，合理使用化肥；保护水源林，禁止毁林开荒，禁止非更新砍伐水源林。</w:t>
            </w:r>
            <w:r>
              <w:rPr>
                <w:rFonts w:ascii="Times New Roman" w:eastAsia="宋体" w:hAnsi="Times New Roman" w:cs="Times New Roman"/>
                <w:sz w:val="21"/>
                <w:szCs w:val="21"/>
              </w:rPr>
              <w:t xml:space="preserve"> 11.</w:t>
            </w:r>
            <w:r>
              <w:rPr>
                <w:rFonts w:ascii="Times New Roman" w:eastAsia="宋体" w:hAnsi="Times New Roman" w:cs="Times New Roman"/>
                <w:sz w:val="21"/>
                <w:szCs w:val="21"/>
              </w:rPr>
              <w:t>黑龙江二浪河国家湿地公园同时执行以下要求：</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禁</w:t>
            </w:r>
            <w:r>
              <w:rPr>
                <w:rFonts w:ascii="Times New Roman" w:eastAsia="宋体" w:hAnsi="Times New Roman" w:cs="Times New Roman"/>
                <w:sz w:val="21"/>
                <w:szCs w:val="21"/>
              </w:rPr>
              <w:lastRenderedPageBreak/>
              <w:t>止开发建设活动要求：</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）禁止擅自征收、占用国家湿地公园的土地。</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除国家另有规定外，国家湿地公园内禁止下列行为：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滥采滥捕野生动植物；引入外来物种；擅自放牧、捕捞、取土、取水、排污、放生；其他破坏湿地及其生态功能的活动。</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）在国家级自然公园内开展相关活动和设施建设，不得擅自改变其自然状态和历史风貌。</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）禁止擅自在国家级自然公园内从事采矿、房地产、开发区、高尔夫球场、风力光伏电场等不符合管控要求的开发活动。</w:t>
            </w:r>
            <w:r>
              <w:rPr>
                <w:rFonts w:ascii="Times New Roman" w:eastAsia="宋体" w:hAnsi="Times New Roman" w:cs="Times New Roman"/>
                <w:sz w:val="21"/>
                <w:szCs w:val="21"/>
              </w:rPr>
              <w:t xml:space="preserve"> 5</w:t>
            </w:r>
            <w:r>
              <w:rPr>
                <w:rFonts w:ascii="Times New Roman" w:eastAsia="宋体" w:hAnsi="Times New Roman" w:cs="Times New Roman"/>
                <w:sz w:val="21"/>
                <w:szCs w:val="21"/>
              </w:rPr>
              <w:t>）禁止违规侵占国家级自然公园，排放不符合水污染物排放标准的工业废水、生活污水及其他的废水、污水，倾倒、堆放、丢弃、遗撒固体废物等污染生态环境的行为。限制开发建设活动要求：</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国家级自然公园范围内除国家重大项目外，仅允许对生态功能不造成破坏的有限人为活动：自然公园内居民和其他合法权益主体依法依规开展的生产生活及设施建设；符合自然公园保护管理要求的文化、体育活动和必要的配套设施建设；符合生态保护红线管控要求的其他活动和设施建设；法律法规和国家政策允许在自然公园内开展的其他活动。</w:t>
            </w:r>
            <w:r>
              <w:rPr>
                <w:rFonts w:ascii="Times New Roman" w:eastAsia="宋体" w:hAnsi="Times New Roman" w:cs="Times New Roman"/>
                <w:sz w:val="21"/>
                <w:szCs w:val="21"/>
              </w:rPr>
              <w:t xml:space="preserve"> 12.</w:t>
            </w:r>
            <w:r>
              <w:rPr>
                <w:rFonts w:ascii="Times New Roman" w:eastAsia="宋体" w:hAnsi="Times New Roman" w:cs="Times New Roman"/>
                <w:sz w:val="21"/>
                <w:szCs w:val="21"/>
              </w:rPr>
              <w:t>海浪河特有鱼类国家级水产种质资源保护区同时执行以下要求：</w:t>
            </w:r>
            <w:r>
              <w:rPr>
                <w:rFonts w:ascii="Times New Roman" w:eastAsia="宋体" w:hAnsi="Times New Roman" w:cs="Times New Roman"/>
                <w:sz w:val="21"/>
                <w:szCs w:val="21"/>
              </w:rPr>
              <w:t xml:space="preserve"> 1)</w:t>
            </w:r>
            <w:r>
              <w:rPr>
                <w:rFonts w:ascii="Times New Roman" w:eastAsia="宋体" w:hAnsi="Times New Roman" w:cs="Times New Roman"/>
                <w:sz w:val="21"/>
                <w:szCs w:val="21"/>
              </w:rPr>
              <w:t>不得损害水产种质资源及其生存环境。</w:t>
            </w:r>
            <w:r>
              <w:rPr>
                <w:rFonts w:ascii="Times New Roman" w:eastAsia="宋体" w:hAnsi="Times New Roman" w:cs="Times New Roman"/>
                <w:sz w:val="21"/>
                <w:szCs w:val="21"/>
              </w:rPr>
              <w:t xml:space="preserve"> 2)</w:t>
            </w:r>
            <w:r>
              <w:rPr>
                <w:rFonts w:ascii="Times New Roman" w:eastAsia="宋体" w:hAnsi="Times New Roman" w:cs="Times New Roman"/>
                <w:sz w:val="21"/>
                <w:szCs w:val="21"/>
              </w:rPr>
              <w:t>禁止在水产种质资源保护区内从事围湖造田工程。</w:t>
            </w:r>
            <w:r>
              <w:rPr>
                <w:rFonts w:ascii="Times New Roman" w:eastAsia="宋体" w:hAnsi="Times New Roman" w:cs="Times New Roman"/>
                <w:sz w:val="21"/>
                <w:szCs w:val="21"/>
              </w:rPr>
              <w:t xml:space="preserve"> 3)</w:t>
            </w:r>
            <w:r>
              <w:rPr>
                <w:rFonts w:ascii="Times New Roman" w:eastAsia="宋体" w:hAnsi="Times New Roman" w:cs="Times New Roman"/>
                <w:sz w:val="21"/>
                <w:szCs w:val="21"/>
              </w:rPr>
              <w:t>禁止在水产种质资源保护区内新建排污口。</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在水产种质资源保护区附近新建、改</w:t>
            </w:r>
            <w:r>
              <w:rPr>
                <w:rFonts w:ascii="Times New Roman" w:eastAsia="宋体" w:hAnsi="Times New Roman" w:cs="Times New Roman"/>
                <w:sz w:val="21"/>
                <w:szCs w:val="21"/>
              </w:rPr>
              <w:t xml:space="preserve"> </w:t>
            </w:r>
          </w:p>
          <w:p w14:paraId="3A9F585C"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lastRenderedPageBreak/>
              <w:t>建、扩建排污口，应当保证保护区水体不受污染。</w:t>
            </w:r>
            <w:r>
              <w:rPr>
                <w:rFonts w:ascii="Times New Roman" w:eastAsia="宋体" w:hAnsi="Times New Roman" w:cs="Times New Roman"/>
                <w:sz w:val="21"/>
                <w:szCs w:val="21"/>
              </w:rPr>
              <w:t xml:space="preserve"> 5)</w:t>
            </w:r>
            <w:r>
              <w:rPr>
                <w:rFonts w:ascii="Times New Roman" w:eastAsia="宋体" w:hAnsi="Times New Roman" w:cs="Times New Roman"/>
                <w:sz w:val="21"/>
                <w:szCs w:val="21"/>
              </w:rPr>
              <w:t>特别保护期内不得从事捕捞、爆破作业以及其他可能对保护区内生物资源和生态环境造成损害的活动。</w:t>
            </w:r>
            <w:r>
              <w:rPr>
                <w:rFonts w:ascii="Times New Roman" w:eastAsia="宋体" w:hAnsi="Times New Roman" w:cs="Times New Roman"/>
                <w:sz w:val="21"/>
                <w:szCs w:val="21"/>
              </w:rPr>
              <w:t xml:space="preserve"> 6</w:t>
            </w:r>
            <w:r>
              <w:rPr>
                <w:rFonts w:ascii="Times New Roman" w:eastAsia="宋体" w:hAnsi="Times New Roman" w:cs="Times New Roman"/>
                <w:sz w:val="21"/>
                <w:szCs w:val="21"/>
              </w:rPr>
              <w:t>）在水产种质资源保护区内从事修建水利工程、疏浚航道、建闸筑坝、勘探和开采矿产资源、港口建设等工程建设的，或者在水产种质资源保护区外从事可能损害保护区功能的工程建设活动的，应当按照国家有关规定编制建设项目对水产种质资源保护区的影响专题论证报告，并将其纳入环境影响评价报告书。</w:t>
            </w:r>
          </w:p>
        </w:tc>
        <w:tc>
          <w:tcPr>
            <w:tcW w:w="710" w:type="pct"/>
            <w:vAlign w:val="center"/>
          </w:tcPr>
          <w:p w14:paraId="0E0D85FC"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lastRenderedPageBreak/>
              <w:t>本项目属于江河湖库清淤疏浚工程，</w:t>
            </w:r>
            <w:r>
              <w:rPr>
                <w:rFonts w:ascii="Times New Roman" w:eastAsia="宋体" w:hAnsi="Times New Roman" w:cs="Times New Roman" w:hint="eastAsia"/>
                <w:sz w:val="21"/>
                <w:szCs w:val="21"/>
              </w:rPr>
              <w:t>属于生态影响类项目。清理底泥中含有的有机腐殖质，在受到扰动和堆</w:t>
            </w:r>
            <w:r>
              <w:rPr>
                <w:rFonts w:ascii="Times New Roman" w:eastAsia="宋体" w:hAnsi="Times New Roman" w:cs="Times New Roman" w:hint="eastAsia"/>
                <w:sz w:val="21"/>
                <w:szCs w:val="21"/>
              </w:rPr>
              <w:t xml:space="preserve"> </w:t>
            </w:r>
          </w:p>
          <w:p w14:paraId="37D9CFBE"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放过程中，在无条件下可分解产生氨、硫化氢等恶臭气体，经周边环境空气稀释</w:t>
            </w:r>
            <w:r>
              <w:rPr>
                <w:rFonts w:ascii="Times New Roman" w:eastAsia="宋体" w:hAnsi="Times New Roman" w:cs="Times New Roman" w:hint="eastAsia"/>
                <w:sz w:val="21"/>
                <w:szCs w:val="21"/>
              </w:rPr>
              <w:t xml:space="preserve"> </w:t>
            </w:r>
          </w:p>
          <w:p w14:paraId="3A037288"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后影响不大；</w:t>
            </w:r>
            <w:r>
              <w:rPr>
                <w:rFonts w:ascii="Times New Roman" w:eastAsia="宋体" w:hAnsi="Times New Roman" w:cs="Times New Roman"/>
                <w:sz w:val="21"/>
                <w:szCs w:val="21"/>
              </w:rPr>
              <w:t>施工废水为施工机械和车辆的清洗废水，</w:t>
            </w:r>
            <w:r>
              <w:rPr>
                <w:rFonts w:ascii="Times New Roman" w:eastAsia="宋体" w:hAnsi="Times New Roman" w:cs="Times New Roman" w:hint="eastAsia"/>
                <w:sz w:val="21"/>
                <w:szCs w:val="21"/>
              </w:rPr>
              <w:t>经隔油沉淀池处理</w:t>
            </w:r>
            <w:r>
              <w:rPr>
                <w:rFonts w:ascii="Times New Roman" w:eastAsia="宋体" w:hAnsi="Times New Roman" w:cs="Times New Roman"/>
                <w:sz w:val="21"/>
                <w:szCs w:val="21"/>
              </w:rPr>
              <w:t>后，回用于洒水降尘，不外排</w:t>
            </w:r>
            <w:r>
              <w:rPr>
                <w:rFonts w:ascii="Times New Roman" w:eastAsia="宋体" w:hAnsi="Times New Roman" w:cs="Times New Roman" w:hint="eastAsia"/>
                <w:sz w:val="21"/>
                <w:szCs w:val="21"/>
              </w:rPr>
              <w:t>；含油废水交由有资质单位处置；渗滤水经三级</w:t>
            </w:r>
            <w:r>
              <w:rPr>
                <w:rFonts w:ascii="Times New Roman" w:eastAsia="宋体" w:hAnsi="Times New Roman" w:cs="Times New Roman" w:hint="eastAsia"/>
                <w:sz w:val="21"/>
                <w:szCs w:val="21"/>
              </w:rPr>
              <w:lastRenderedPageBreak/>
              <w:t>沉淀、过滤、紫外线消毒处理后达到《污水综合排放标准》（</w:t>
            </w:r>
            <w:r>
              <w:rPr>
                <w:rFonts w:ascii="Times New Roman" w:eastAsia="宋体" w:hAnsi="Times New Roman" w:cs="Times New Roman" w:hint="eastAsia"/>
                <w:sz w:val="21"/>
                <w:szCs w:val="21"/>
              </w:rPr>
              <w:t>GB8978-1996</w:t>
            </w:r>
            <w:r>
              <w:rPr>
                <w:rFonts w:ascii="Times New Roman" w:eastAsia="宋体" w:hAnsi="Times New Roman" w:cs="Times New Roman" w:hint="eastAsia"/>
                <w:sz w:val="21"/>
                <w:szCs w:val="21"/>
              </w:rPr>
              <w:t>）一级标准，由牡丹江龙江环保水务有限公司定期拉运处理；</w:t>
            </w:r>
            <w:r>
              <w:rPr>
                <w:rFonts w:ascii="Times New Roman" w:eastAsia="宋体" w:hAnsi="Times New Roman" w:cs="Times New Roman"/>
                <w:sz w:val="21"/>
                <w:szCs w:val="21"/>
              </w:rPr>
              <w:t>生活污水排</w:t>
            </w:r>
            <w:r>
              <w:rPr>
                <w:rFonts w:ascii="Times New Roman" w:eastAsia="宋体" w:hAnsi="Times New Roman" w:cs="Times New Roman" w:hint="eastAsia"/>
                <w:sz w:val="21"/>
                <w:szCs w:val="21"/>
              </w:rPr>
              <w:t>入</w:t>
            </w:r>
            <w:r>
              <w:rPr>
                <w:rFonts w:ascii="Times New Roman" w:eastAsia="宋体" w:hAnsi="Times New Roman" w:cs="Times New Roman"/>
                <w:sz w:val="21"/>
                <w:szCs w:val="21"/>
              </w:rPr>
              <w:t>防渗旱厕，定期清掏</w:t>
            </w:r>
            <w:r>
              <w:rPr>
                <w:rFonts w:ascii="Times New Roman" w:eastAsia="宋体" w:hAnsi="Times New Roman" w:cs="Times New Roman" w:hint="eastAsia"/>
                <w:sz w:val="21"/>
                <w:szCs w:val="21"/>
              </w:rPr>
              <w:t>外运堆肥，不外排</w:t>
            </w:r>
            <w:r>
              <w:rPr>
                <w:rFonts w:ascii="Times New Roman" w:eastAsia="宋体" w:hAnsi="Times New Roman" w:cs="Times New Roman"/>
                <w:sz w:val="21"/>
                <w:szCs w:val="21"/>
              </w:rPr>
              <w:t>。</w:t>
            </w:r>
          </w:p>
        </w:tc>
        <w:tc>
          <w:tcPr>
            <w:tcW w:w="251" w:type="pct"/>
            <w:vAlign w:val="center"/>
          </w:tcPr>
          <w:p w14:paraId="314DA253"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lastRenderedPageBreak/>
              <w:t>符合</w:t>
            </w:r>
          </w:p>
        </w:tc>
      </w:tr>
    </w:tbl>
    <w:p w14:paraId="1711AC9B" w14:textId="77777777" w:rsidR="009D12AF" w:rsidRDefault="00000000">
      <w:pPr>
        <w:ind w:firstLine="480"/>
      </w:pPr>
      <w:r>
        <w:lastRenderedPageBreak/>
        <w:t>综上所述，项目符合</w:t>
      </w:r>
      <w:r>
        <w:rPr>
          <w:rFonts w:hint="eastAsia"/>
        </w:rPr>
        <w:t>牡丹江</w:t>
      </w:r>
      <w:r>
        <w:t>市</w:t>
      </w:r>
      <w:r>
        <w:t>“</w:t>
      </w:r>
      <w:r>
        <w:t>三线一单</w:t>
      </w:r>
      <w:r>
        <w:t>”</w:t>
      </w:r>
      <w:r>
        <w:t>生态环境分区管控要求。</w:t>
      </w:r>
    </w:p>
    <w:p w14:paraId="1C1775ED" w14:textId="77777777" w:rsidR="009D12AF" w:rsidRDefault="00000000">
      <w:pPr>
        <w:pStyle w:val="3"/>
        <w:rPr>
          <w:highlight w:val="yellow"/>
        </w:rPr>
      </w:pPr>
      <w:bookmarkStart w:id="29" w:name="_Toc21368"/>
      <w:r>
        <w:rPr>
          <w:rFonts w:hint="eastAsia"/>
        </w:rPr>
        <w:t>1.3.2</w:t>
      </w:r>
      <w:r>
        <w:rPr>
          <w:rFonts w:hint="eastAsia"/>
        </w:rPr>
        <w:t>产业政策、规划的符合性分析</w:t>
      </w:r>
      <w:bookmarkEnd w:id="29"/>
    </w:p>
    <w:p w14:paraId="4B13C0BD" w14:textId="77777777" w:rsidR="009D12AF" w:rsidRDefault="00000000">
      <w:pPr>
        <w:pStyle w:val="4"/>
        <w:ind w:firstLineChars="0" w:firstLine="0"/>
      </w:pPr>
      <w:r>
        <w:rPr>
          <w:rFonts w:cs="Arial"/>
        </w:rPr>
        <w:t>1.3.2.1</w:t>
      </w:r>
      <w:r>
        <w:rPr>
          <w:rFonts w:asciiTheme="majorEastAsia" w:eastAsiaTheme="majorEastAsia" w:hAnsiTheme="majorEastAsia" w:cstheme="majorEastAsia" w:hint="eastAsia"/>
        </w:rPr>
        <w:t>与《产业结构调整指导目录（2024年本）》符合性分析</w:t>
      </w:r>
    </w:p>
    <w:p w14:paraId="4FD602FA" w14:textId="77777777" w:rsidR="009D12AF" w:rsidRDefault="00000000">
      <w:pPr>
        <w:ind w:firstLine="480"/>
        <w:rPr>
          <w:highlight w:val="yellow"/>
        </w:rPr>
      </w:pPr>
      <w:r>
        <w:t>根据《产业结构调整指导目录</w:t>
      </w:r>
      <w:r>
        <w:rPr>
          <w:rFonts w:hint="eastAsia"/>
        </w:rPr>
        <w:t>（</w:t>
      </w:r>
      <w:r>
        <w:t xml:space="preserve">2024 </w:t>
      </w:r>
      <w:r>
        <w:t>年本</w:t>
      </w:r>
      <w:r>
        <w:rPr>
          <w:rFonts w:hint="eastAsia"/>
        </w:rPr>
        <w:t>）</w:t>
      </w:r>
      <w:r>
        <w:t>》，</w:t>
      </w:r>
      <w:r>
        <w:t>“</w:t>
      </w:r>
      <w:r>
        <w:t>二、水利</w:t>
      </w:r>
      <w:r>
        <w:t xml:space="preserve"> 3</w:t>
      </w:r>
      <w:r>
        <w:t>、防洪提升工程：江河湖海堤防建设及河道治理工程，江河湖库清淤疏浚工程</w:t>
      </w:r>
      <w:r>
        <w:t>”</w:t>
      </w:r>
      <w:r>
        <w:t>，为鼓励类项目，符合国家产业政策要求。</w:t>
      </w:r>
    </w:p>
    <w:p w14:paraId="603D155F" w14:textId="77777777" w:rsidR="009D12AF" w:rsidRDefault="00000000">
      <w:pPr>
        <w:pStyle w:val="4"/>
        <w:ind w:firstLineChars="0" w:firstLine="0"/>
        <w:rPr>
          <w:rFonts w:asciiTheme="minorHAnsi" w:hAnsiTheme="minorHAnsi"/>
        </w:rPr>
      </w:pPr>
      <w:r>
        <w:rPr>
          <w:rFonts w:cs="Arial"/>
        </w:rPr>
        <w:t>1.3.2.2</w:t>
      </w:r>
      <w:r>
        <w:rPr>
          <w:rFonts w:asciiTheme="majorEastAsia" w:eastAsiaTheme="majorEastAsia" w:hAnsiTheme="majorEastAsia" w:cstheme="majorEastAsia" w:hint="eastAsia"/>
        </w:rPr>
        <w:t>《黑龙江省主体功能区规划》的符合性</w:t>
      </w:r>
    </w:p>
    <w:p w14:paraId="2269D493" w14:textId="77777777" w:rsidR="009D12AF" w:rsidRDefault="00000000">
      <w:pPr>
        <w:adjustRightInd w:val="0"/>
        <w:snapToGrid w:val="0"/>
        <w:ind w:firstLine="480"/>
      </w:pPr>
      <w:r>
        <w:t>黑龙江省区域内主体功能区分为国家级和省级重点开发区域、限制开发区域和禁止开发区域二级三类区域。重点开发区域是全省工业化和城市化的重要支撑区，限制开发区域的农产品主产区是国家粮食安全的重要保障区，限制开发区域的重点生态功能区和禁止开发区域是国家和全省生态安全的重要保障区。</w:t>
      </w:r>
    </w:p>
    <w:p w14:paraId="510CD6EE" w14:textId="77777777" w:rsidR="009D12AF" w:rsidRDefault="00000000">
      <w:pPr>
        <w:ind w:firstLine="480"/>
        <w:rPr>
          <w:rFonts w:ascii="Times New Roman" w:hAnsi="Times New Roman" w:cs="Times New Roman"/>
        </w:rPr>
      </w:pPr>
      <w:r>
        <w:rPr>
          <w:rFonts w:ascii="Times New Roman" w:hAnsi="Times New Roman" w:cs="Times New Roman"/>
        </w:rPr>
        <w:t>海林市位于长白山森林生态功能区，属于限制开发区域（国家重点生态功能区）</w:t>
      </w:r>
      <w:r>
        <w:rPr>
          <w:rFonts w:ascii="Times New Roman" w:hAnsi="Times New Roman" w:cs="Times New Roman" w:hint="eastAsia"/>
        </w:rPr>
        <w:t>，</w:t>
      </w:r>
      <w:r>
        <w:rPr>
          <w:rFonts w:ascii="Times New Roman" w:hAnsi="Times New Roman" w:cs="Times New Roman"/>
        </w:rPr>
        <w:t>发展方向：</w:t>
      </w:r>
      <w:r>
        <w:rPr>
          <w:rFonts w:ascii="Times New Roman" w:hAnsi="Times New Roman" w:cs="Times New Roman"/>
        </w:rPr>
        <w:t>——</w:t>
      </w:r>
      <w:r>
        <w:rPr>
          <w:rFonts w:ascii="Times New Roman" w:hAnsi="Times New Roman" w:cs="Times New Roman"/>
        </w:rPr>
        <w:t>水源涵养型生态功能区。加强生态环境保护，促进生态修复，禁止非保护性采伐，力争全面停止主伐，植树造林，涵养水源，开展以中幼</w:t>
      </w:r>
      <w:r>
        <w:rPr>
          <w:rFonts w:ascii="Times New Roman" w:hAnsi="Times New Roman" w:cs="Times New Roman"/>
        </w:rPr>
        <w:lastRenderedPageBreak/>
        <w:t>林抚育为重点的森林抚育经营，保护野生动物；在资源环境可承载的范围内，适度开发林木和水资源，科学有序开发矿产资源；因地制宜发展优势特色产业，加快发展以生态旅游、特色种养殖、绿色食品加工、北药开发、清洁能源等为主的接续和替代产业，形成生态主导型产业格局；合理分布农业人口，完善城乡基础设施，居民享受的公共服务和基本生活条件与省内其他地区大体相同；繁荣边疆和少数民族地区经济，保障社会稳定；基本建立起完备的林业生态体系、发达的产业体系和繁荣的生态文化体系。</w:t>
      </w:r>
    </w:p>
    <w:p w14:paraId="749E45E5" w14:textId="77777777" w:rsidR="009D12AF" w:rsidRDefault="00000000">
      <w:pPr>
        <w:ind w:firstLine="480"/>
        <w:rPr>
          <w:szCs w:val="28"/>
        </w:rPr>
      </w:pPr>
      <w:r>
        <w:rPr>
          <w:szCs w:val="28"/>
        </w:rPr>
        <w:t>本项目属于河湖整治类项目，属于牡丹江市生态建设中加强牡丹江水环境保护重要组成部分，符合《黑龙江主体功能区规划》要求。</w:t>
      </w:r>
    </w:p>
    <w:p w14:paraId="76EC4F6F" w14:textId="77777777" w:rsidR="009D12AF" w:rsidRDefault="009D12AF">
      <w:pPr>
        <w:pStyle w:val="TOC2"/>
        <w:ind w:left="480" w:firstLine="480"/>
        <w:rPr>
          <w:szCs w:val="28"/>
        </w:rPr>
        <w:sectPr w:rsidR="009D12AF">
          <w:footerReference w:type="default" r:id="rId15"/>
          <w:pgSz w:w="11906" w:h="16838"/>
          <w:pgMar w:top="1440" w:right="1800" w:bottom="1440" w:left="1800" w:header="851" w:footer="992" w:gutter="0"/>
          <w:pgNumType w:start="1"/>
          <w:cols w:space="425"/>
          <w:docGrid w:type="lines" w:linePitch="326"/>
        </w:sectPr>
      </w:pPr>
    </w:p>
    <w:p w14:paraId="62B04F3B" w14:textId="77777777" w:rsidR="009D12AF" w:rsidRDefault="00000000">
      <w:pPr>
        <w:ind w:firstLine="480"/>
        <w:jc w:val="center"/>
      </w:pPr>
      <w:r>
        <w:rPr>
          <w:noProof/>
        </w:rPr>
        <w:lastRenderedPageBreak/>
        <mc:AlternateContent>
          <mc:Choice Requires="wps">
            <w:drawing>
              <wp:anchor distT="0" distB="0" distL="114300" distR="114300" simplePos="0" relativeHeight="251668480" behindDoc="0" locked="0" layoutInCell="1" allowOverlap="1" wp14:anchorId="556805E3" wp14:editId="12B6B8E6">
                <wp:simplePos x="0" y="0"/>
                <wp:positionH relativeFrom="column">
                  <wp:posOffset>4686300</wp:posOffset>
                </wp:positionH>
                <wp:positionV relativeFrom="paragraph">
                  <wp:posOffset>3050540</wp:posOffset>
                </wp:positionV>
                <wp:extent cx="1014730" cy="435610"/>
                <wp:effectExtent l="6350" t="6350" r="7620" b="358140"/>
                <wp:wrapNone/>
                <wp:docPr id="153" name="矩形标注 153"/>
                <wp:cNvGraphicFramePr/>
                <a:graphic xmlns:a="http://schemas.openxmlformats.org/drawingml/2006/main">
                  <a:graphicData uri="http://schemas.microsoft.com/office/word/2010/wordprocessingShape">
                    <wps:wsp>
                      <wps:cNvSpPr/>
                      <wps:spPr>
                        <a:xfrm>
                          <a:off x="5846445" y="4565015"/>
                          <a:ext cx="1014730" cy="435610"/>
                        </a:xfrm>
                        <a:prstGeom prst="wedgeRectCallout">
                          <a:avLst>
                            <a:gd name="adj1" fmla="val -33100"/>
                            <a:gd name="adj2" fmla="val 124332"/>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F1E9EFC" w14:textId="77777777" w:rsidR="009D12AF" w:rsidRDefault="00000000">
                            <w:pPr>
                              <w:ind w:firstLineChars="0" w:firstLine="0"/>
                            </w:pPr>
                            <w:r>
                              <w:rPr>
                                <w:rFonts w:hint="eastAsia"/>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556805E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153" o:spid="_x0000_s1026" type="#_x0000_t61" style="position:absolute;left:0;text-align:left;margin-left:369pt;margin-top:240.2pt;width:79.9pt;height:34.3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" adj="3650,37656" fillcolor="#4874cb [3204]" strokecolor="#2d53a0 [2404]" strokeweight="1pt">
                <v:textbox>
                  <w:txbxContent>
                    <w:p w14:paraId="0F1E9EFC" w14:textId="77777777" w:rsidR="009D12AF" w:rsidRDefault="00000000">
                      <w:pPr>
                        <w:ind w:firstLineChars="0" w:firstLine="0"/>
                      </w:pPr>
                      <w:r>
                        <w:rPr>
                          <w:rFonts w:hint="eastAsia"/>
                        </w:rPr>
                        <w:t>本项目位置</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06E00475" wp14:editId="5B17B91F">
                <wp:simplePos x="0" y="0"/>
                <wp:positionH relativeFrom="column">
                  <wp:posOffset>4805045</wp:posOffset>
                </wp:positionH>
                <wp:positionV relativeFrom="paragraph">
                  <wp:posOffset>3795395</wp:posOffset>
                </wp:positionV>
                <wp:extent cx="111125" cy="95250"/>
                <wp:effectExtent l="21590" t="18415" r="38735" b="19685"/>
                <wp:wrapNone/>
                <wp:docPr id="151" name="五角星 151"/>
                <wp:cNvGraphicFramePr/>
                <a:graphic xmlns:a="http://schemas.openxmlformats.org/drawingml/2006/main">
                  <a:graphicData uri="http://schemas.microsoft.com/office/word/2010/wordprocessingShape">
                    <wps:wsp>
                      <wps:cNvSpPr/>
                      <wps:spPr>
                        <a:xfrm>
                          <a:off x="5751195" y="4954270"/>
                          <a:ext cx="111125" cy="95250"/>
                        </a:xfrm>
                        <a:prstGeom prst="star5">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6BE833B0" id="五角星 151" o:spid="_x0000_s1026" style="position:absolute;margin-left:378.35pt;margin-top:298.85pt;width:8.75pt;height:7.5pt;z-index:251667456;visibility:visible;mso-wrap-style:square;mso-wrap-distance-left:9pt;mso-wrap-distance-top:0;mso-wrap-distance-right:9pt;mso-wrap-distance-bottom:0;mso-position-horizontal:absolute;mso-position-horizontal-relative:text;mso-position-vertical:absolute;mso-position-vertical-relative:text;v-text-anchor:middle" coordsize="111125,95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" path="m,36382r42446,l55563,,68679,36382r42446,l76785,58867,89902,95250,55563,72764,21223,95250,34340,58867,,36382xe" fillcolor="#4874cb [3204]" strokecolor="#2d53a0 [2404]" strokeweight="1pt">
                <v:stroke joinstyle="miter"/>
                <v:path arrowok="t" o:connecttype="custom" o:connectlocs="0,36382;42446,36382;55563,0;68679,36382;111125,36382;76785,58867;89902,95250;55563,72764;21223,95250;34340,58867;0,36382" o:connectangles="0,0,0,0,0,0,0,0,0,0,0"/>
              </v:shape>
            </w:pict>
          </mc:Fallback>
        </mc:AlternateContent>
      </w:r>
      <w:r>
        <w:rPr>
          <w:noProof/>
        </w:rPr>
        <w:drawing>
          <wp:inline distT="0" distB="0" distL="114300" distR="114300" wp14:anchorId="3825B214" wp14:editId="412EBFED">
            <wp:extent cx="6680200" cy="4491990"/>
            <wp:effectExtent l="0" t="0" r="6350" b="3810"/>
            <wp:docPr id="150" name="图片 8" descr="说明: 21主体功能区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8" descr="说明: 21主体功能区分布图"/>
                    <pic:cNvPicPr>
                      <a:picLocks noChangeAspect="1"/>
                    </pic:cNvPicPr>
                  </pic:nvPicPr>
                  <pic:blipFill>
                    <a:blip r:embed="rId16" cstate="screen">
                      <a:extLst>
                        <a:ext uri="{28A0092B-C50C-407E-A947-70E740481C1C}">
                          <a14:useLocalDpi xmlns:a14="http://schemas.microsoft.com/office/drawing/2010/main"/>
                        </a:ext>
                      </a:extLst>
                    </a:blip>
                    <a:stretch>
                      <a:fillRect/>
                    </a:stretch>
                  </pic:blipFill>
                  <pic:spPr>
                    <a:xfrm>
                      <a:off x="0" y="0"/>
                      <a:ext cx="6680200" cy="4491990"/>
                    </a:xfrm>
                    <a:prstGeom prst="rect">
                      <a:avLst/>
                    </a:prstGeom>
                    <a:noFill/>
                    <a:ln>
                      <a:noFill/>
                    </a:ln>
                  </pic:spPr>
                </pic:pic>
              </a:graphicData>
            </a:graphic>
          </wp:inline>
        </w:drawing>
      </w:r>
    </w:p>
    <w:p w14:paraId="20DC78A8" w14:textId="77777777" w:rsidR="009D12AF" w:rsidRDefault="00000000">
      <w:pPr>
        <w:pStyle w:val="TOC2"/>
        <w:ind w:left="480" w:firstLine="482"/>
        <w:jc w:val="center"/>
      </w:pPr>
      <w:r>
        <w:rPr>
          <w:b/>
        </w:rPr>
        <w:t>图</w:t>
      </w:r>
      <w:r>
        <w:rPr>
          <w:b/>
        </w:rPr>
        <w:t>1</w:t>
      </w:r>
      <w:r>
        <w:rPr>
          <w:rFonts w:hint="eastAsia"/>
          <w:b/>
        </w:rPr>
        <w:t>.</w:t>
      </w:r>
      <w:r>
        <w:rPr>
          <w:b/>
        </w:rPr>
        <w:t xml:space="preserve">3-1  </w:t>
      </w:r>
      <w:r>
        <w:rPr>
          <w:b/>
        </w:rPr>
        <w:t>黑龙江省主体功能分布图</w:t>
      </w:r>
    </w:p>
    <w:p w14:paraId="450D7FED" w14:textId="77777777" w:rsidR="009D12AF" w:rsidRDefault="009D12AF">
      <w:pPr>
        <w:ind w:firstLine="480"/>
        <w:sectPr w:rsidR="009D12AF">
          <w:pgSz w:w="16838" w:h="11906" w:orient="landscape"/>
          <w:pgMar w:top="1800" w:right="1440" w:bottom="1800" w:left="1440" w:header="851" w:footer="992" w:gutter="0"/>
          <w:cols w:space="425"/>
          <w:docGrid w:type="lines" w:linePitch="326"/>
        </w:sectPr>
      </w:pPr>
    </w:p>
    <w:p w14:paraId="31F17819" w14:textId="77777777" w:rsidR="009D12AF" w:rsidRDefault="00000000">
      <w:pPr>
        <w:pStyle w:val="4"/>
        <w:ind w:firstLineChars="0" w:firstLine="0"/>
        <w:rPr>
          <w:rFonts w:asciiTheme="majorEastAsia" w:eastAsiaTheme="majorEastAsia" w:hAnsiTheme="majorEastAsia" w:cstheme="majorEastAsia" w:hint="eastAsia"/>
        </w:rPr>
      </w:pPr>
      <w:r>
        <w:rPr>
          <w:rFonts w:hint="eastAsia"/>
        </w:rPr>
        <w:lastRenderedPageBreak/>
        <w:t>1.3.2.3</w:t>
      </w:r>
      <w:r>
        <w:rPr>
          <w:rFonts w:asciiTheme="majorEastAsia" w:eastAsiaTheme="majorEastAsia" w:hAnsiTheme="majorEastAsia" w:cstheme="majorEastAsia" w:hint="eastAsia"/>
        </w:rPr>
        <w:t>与《黑龙江省生态环境保护“十四五”规划》符合性分析</w:t>
      </w:r>
    </w:p>
    <w:p w14:paraId="1799181F" w14:textId="77777777" w:rsidR="009D12AF" w:rsidRDefault="00000000">
      <w:pPr>
        <w:ind w:firstLine="480"/>
      </w:pPr>
      <w:r>
        <w:t>根据《黑龙江省</w:t>
      </w:r>
      <w:r>
        <w:t>“</w:t>
      </w:r>
      <w:r>
        <w:t>十四五</w:t>
      </w:r>
      <w:r>
        <w:t>”</w:t>
      </w:r>
      <w:r>
        <w:t>生态环境保护规划》，</w:t>
      </w:r>
      <w:r>
        <w:t>“</w:t>
      </w:r>
      <w:r>
        <w:t>十四五</w:t>
      </w:r>
      <w:r>
        <w:t>”</w:t>
      </w:r>
      <w:r>
        <w:t>时期，我省主要任务为深入实施减污降碳、精准治污、亮剑护绿、科技赋能</w:t>
      </w:r>
      <w:r>
        <w:t>“</w:t>
      </w:r>
      <w:r>
        <w:t>四大行动</w:t>
      </w:r>
      <w:r>
        <w:t>”</w:t>
      </w:r>
      <w:r>
        <w:t>，聚焦生态环境保护的短板弱项，大力实施绿色低碳发展战略，深入打好蓝天、碧水、净土保卫战，坚持山水林田湖草沙冰一体化保护和系统治理，深入实施</w:t>
      </w:r>
      <w:r>
        <w:t>“</w:t>
      </w:r>
      <w:r>
        <w:t>十个全覆盖</w:t>
      </w:r>
      <w:r>
        <w:t>”</w:t>
      </w:r>
      <w:r>
        <w:t>，加强环境风险防范，推进生态环境治理体系与治理能力现代化。</w:t>
      </w:r>
    </w:p>
    <w:p w14:paraId="673F2A36" w14:textId="77777777" w:rsidR="009D12AF" w:rsidRDefault="00000000">
      <w:pPr>
        <w:ind w:firstLine="480"/>
      </w:pPr>
      <w:r>
        <w:rPr>
          <w:rFonts w:hint="eastAsia"/>
        </w:rPr>
        <w:t>本项目属于河湖整治类项目，项目</w:t>
      </w:r>
      <w:r>
        <w:t>完成后，将改善</w:t>
      </w:r>
      <w:r>
        <w:rPr>
          <w:rFonts w:hint="eastAsia"/>
        </w:rPr>
        <w:t>清淤河库的水质</w:t>
      </w:r>
      <w:r>
        <w:t>，有利于区内水土资源的可持续利用，其社会效益、经济效益、环境效益显著</w:t>
      </w:r>
      <w:r>
        <w:rPr>
          <w:rFonts w:hint="eastAsia"/>
        </w:rPr>
        <w:t>，与《黑龙江省生态环境保护“十四五”规划》相符。</w:t>
      </w:r>
    </w:p>
    <w:p w14:paraId="7D43485C" w14:textId="77777777" w:rsidR="009D12AF" w:rsidRDefault="00000000">
      <w:pPr>
        <w:pStyle w:val="4"/>
        <w:ind w:firstLineChars="0" w:firstLine="0"/>
        <w:rPr>
          <w:rFonts w:ascii="Times New Roman" w:eastAsia="宋体" w:hAnsi="Times New Roman"/>
          <w:szCs w:val="22"/>
          <w:lang w:bidi="ar"/>
        </w:rPr>
      </w:pPr>
      <w:r>
        <w:rPr>
          <w:rFonts w:hint="eastAsia"/>
        </w:rPr>
        <w:t>1.3.2.4</w:t>
      </w:r>
      <w:r>
        <w:rPr>
          <w:rFonts w:ascii="Times New Roman" w:eastAsia="宋体" w:hAnsi="Times New Roman" w:hint="eastAsia"/>
          <w:szCs w:val="22"/>
          <w:lang w:bidi="ar"/>
        </w:rPr>
        <w:t>与《自然资源部</w:t>
      </w:r>
      <w:r>
        <w:rPr>
          <w:rFonts w:ascii="Times New Roman" w:eastAsia="宋体" w:hAnsi="Times New Roman" w:hint="eastAsia"/>
          <w:szCs w:val="22"/>
          <w:lang w:bidi="ar"/>
        </w:rPr>
        <w:t xml:space="preserve"> </w:t>
      </w:r>
      <w:r>
        <w:rPr>
          <w:rFonts w:ascii="Times New Roman" w:eastAsia="宋体" w:hAnsi="Times New Roman" w:hint="eastAsia"/>
          <w:szCs w:val="22"/>
          <w:lang w:bidi="ar"/>
        </w:rPr>
        <w:t>生态环境部</w:t>
      </w:r>
      <w:r>
        <w:rPr>
          <w:rFonts w:ascii="Times New Roman" w:eastAsia="宋体" w:hAnsi="Times New Roman" w:hint="eastAsia"/>
          <w:szCs w:val="22"/>
          <w:lang w:bidi="ar"/>
        </w:rPr>
        <w:t xml:space="preserve"> </w:t>
      </w:r>
      <w:r>
        <w:rPr>
          <w:rFonts w:ascii="Times New Roman" w:eastAsia="宋体" w:hAnsi="Times New Roman" w:hint="eastAsia"/>
          <w:szCs w:val="22"/>
          <w:lang w:bidi="ar"/>
        </w:rPr>
        <w:t>国家林业和草原局关于加强生态保护红线管理的通知（试行）》（自然资发</w:t>
      </w:r>
      <w:r>
        <w:rPr>
          <w:rFonts w:ascii="Times New Roman" w:eastAsia="宋体" w:hAnsi="Times New Roman" w:hint="eastAsia"/>
          <w:szCs w:val="22"/>
          <w:lang w:bidi="ar"/>
        </w:rPr>
        <w:t>[2022]142</w:t>
      </w:r>
      <w:r>
        <w:rPr>
          <w:rFonts w:ascii="Times New Roman" w:eastAsia="宋体" w:hAnsi="Times New Roman" w:hint="eastAsia"/>
          <w:szCs w:val="22"/>
          <w:lang w:bidi="ar"/>
        </w:rPr>
        <w:t>号）符合性分析</w:t>
      </w:r>
    </w:p>
    <w:p w14:paraId="193BDD19" w14:textId="77777777" w:rsidR="009D12AF" w:rsidRDefault="00000000">
      <w:pPr>
        <w:ind w:firstLine="480"/>
        <w:rPr>
          <w:szCs w:val="22"/>
          <w:lang w:bidi="ar"/>
        </w:rPr>
      </w:pPr>
      <w:r>
        <w:rPr>
          <w:rFonts w:hint="eastAsia"/>
          <w:lang w:bidi="ar"/>
        </w:rPr>
        <w:t>根据</w:t>
      </w:r>
      <w:r>
        <w:rPr>
          <w:rFonts w:hint="eastAsia"/>
          <w:szCs w:val="22"/>
          <w:lang w:bidi="ar"/>
        </w:rPr>
        <w:t>《自然资源部</w:t>
      </w:r>
      <w:r>
        <w:rPr>
          <w:rFonts w:hint="eastAsia"/>
          <w:szCs w:val="22"/>
          <w:lang w:bidi="ar"/>
        </w:rPr>
        <w:t xml:space="preserve"> </w:t>
      </w:r>
      <w:r>
        <w:rPr>
          <w:rFonts w:hint="eastAsia"/>
          <w:szCs w:val="22"/>
          <w:lang w:bidi="ar"/>
        </w:rPr>
        <w:t>生态环境部</w:t>
      </w:r>
      <w:r>
        <w:rPr>
          <w:rFonts w:hint="eastAsia"/>
          <w:szCs w:val="22"/>
          <w:lang w:bidi="ar"/>
        </w:rPr>
        <w:t xml:space="preserve"> </w:t>
      </w:r>
      <w:r>
        <w:rPr>
          <w:rFonts w:hint="eastAsia"/>
          <w:szCs w:val="22"/>
          <w:lang w:bidi="ar"/>
        </w:rPr>
        <w:t>国家林业和草原局关于加强生态保护红线管理的通知（试行）》（自然资发</w:t>
      </w:r>
      <w:r>
        <w:rPr>
          <w:rFonts w:hint="eastAsia"/>
          <w:szCs w:val="22"/>
          <w:lang w:bidi="ar"/>
        </w:rPr>
        <w:t>[2022]142</w:t>
      </w:r>
      <w:r>
        <w:rPr>
          <w:rFonts w:hint="eastAsia"/>
          <w:szCs w:val="22"/>
          <w:lang w:bidi="ar"/>
        </w:rPr>
        <w:t>号）相关内容：规范管控对生态功能不造成破坏的有限人为活动。生态保护红线是国土空间规划中的重要管控边界，生态保护红线内自然保护地核心保护区外，禁止开发性、生产性建设活动，在符合法律法规的前提下，仅允许以下对生态功能不造成破坏的有限人为活动。生态保护红线内自然保护区、风景名胜区、饮用水水源保护区等区域，依照法律法规执行。</w:t>
      </w:r>
      <w:r>
        <w:rPr>
          <w:szCs w:val="22"/>
          <w:lang w:bidi="ar"/>
        </w:rPr>
        <w:t>…</w:t>
      </w:r>
      <w:r>
        <w:rPr>
          <w:rFonts w:hint="eastAsia"/>
          <w:szCs w:val="22"/>
          <w:lang w:bidi="ar"/>
        </w:rPr>
        <w:t>6.</w:t>
      </w:r>
      <w:r>
        <w:rPr>
          <w:rFonts w:hint="eastAsia"/>
          <w:szCs w:val="22"/>
          <w:lang w:bidi="ar"/>
        </w:rPr>
        <w:t>必须且无法避让、符合县级以上国土空间规划的线性基础设施、通讯和防洪、供水设施建设和船舶航行、航道疏浚清淤等活动；已有的合法水利、交通运输等设施运行维护改造。</w:t>
      </w:r>
    </w:p>
    <w:p w14:paraId="289DBC4F" w14:textId="77777777" w:rsidR="009D12AF" w:rsidRDefault="00000000">
      <w:pPr>
        <w:ind w:firstLine="480"/>
      </w:pPr>
      <w:r>
        <w:rPr>
          <w:rFonts w:hint="eastAsia"/>
        </w:rPr>
        <w:t>本项目不占用生态保护红线，本项目群力水库清淤范围位于优先保护单元，因此本项目的主体工程属于无法避让的施工项目。</w:t>
      </w:r>
    </w:p>
    <w:p w14:paraId="464DED54" w14:textId="77777777" w:rsidR="009D12AF" w:rsidRDefault="00000000">
      <w:pPr>
        <w:ind w:firstLine="480"/>
      </w:pPr>
      <w:r>
        <w:rPr>
          <w:rFonts w:hint="eastAsia"/>
        </w:rPr>
        <w:t>本项目长石水库、万丈水库、新安晒水池、向阳水电站前池临时工程中施工生产区均不位于生态红线内，向阳水电站前池临时工程中施工生产区位于</w:t>
      </w:r>
      <w:r>
        <w:rPr>
          <w:rFonts w:hint="eastAsia"/>
          <w:smallCaps/>
        </w:rPr>
        <w:t>海林市</w:t>
      </w:r>
      <w:r>
        <w:rPr>
          <w:rFonts w:hint="eastAsia"/>
          <w:smallCaps/>
        </w:rPr>
        <w:lastRenderedPageBreak/>
        <w:t>二水厂（改扩建）饮用水水源二级保护区内</w:t>
      </w:r>
      <w:r>
        <w:rPr>
          <w:rFonts w:hint="eastAsia"/>
        </w:rPr>
        <w:t>，群力水库临时工程中设备停放区产区位于“</w:t>
      </w:r>
      <w:r>
        <w:rPr>
          <w:rFonts w:ascii="Times New Roman" w:eastAsia="宋体" w:hAnsi="Times New Roman" w:cs="Times New Roman"/>
          <w:color w:val="000000"/>
          <w:kern w:val="0"/>
          <w:szCs w:val="21"/>
        </w:rPr>
        <w:t>海林市张广才岭</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老爷岭水源涵养与生物多样性维护功能生态保护红线</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生物多样性维护生态功能重要区</w:t>
      </w:r>
      <w:r>
        <w:rPr>
          <w:rFonts w:hint="eastAsia"/>
        </w:rPr>
        <w:t>”内，本项目属于河湖整治类项目，有利于其生态恢复，且其施工工作符合</w:t>
      </w:r>
      <w:r>
        <w:t>《饮用水水源保护区污染防治管理规定》（</w:t>
      </w:r>
      <w:r>
        <w:t>2010</w:t>
      </w:r>
      <w:r>
        <w:t>修正）。</w:t>
      </w:r>
    </w:p>
    <w:p w14:paraId="3696860F" w14:textId="77777777" w:rsidR="009D12AF" w:rsidRDefault="00000000">
      <w:pPr>
        <w:ind w:firstLine="480"/>
      </w:pPr>
      <w:r>
        <w:rPr>
          <w:rFonts w:hint="eastAsia"/>
        </w:rPr>
        <w:t>综上所述，本项目的建设中主体工程及临时工程的建设满足《自然资源部</w:t>
      </w:r>
      <w:r>
        <w:rPr>
          <w:rFonts w:hint="eastAsia"/>
        </w:rPr>
        <w:t xml:space="preserve"> </w:t>
      </w:r>
      <w:r>
        <w:rPr>
          <w:rFonts w:hint="eastAsia"/>
        </w:rPr>
        <w:t>生态环境部</w:t>
      </w:r>
      <w:r>
        <w:rPr>
          <w:rFonts w:hint="eastAsia"/>
        </w:rPr>
        <w:t xml:space="preserve"> </w:t>
      </w:r>
      <w:r>
        <w:rPr>
          <w:rFonts w:hint="eastAsia"/>
        </w:rPr>
        <w:t>国家林业和草原局关于加强生态保护红线管理的通知（试行）》（自然资发</w:t>
      </w:r>
      <w:r>
        <w:rPr>
          <w:rFonts w:hint="eastAsia"/>
        </w:rPr>
        <w:t>[2022]142</w:t>
      </w:r>
      <w:r>
        <w:rPr>
          <w:rFonts w:hint="eastAsia"/>
        </w:rPr>
        <w:t>号）相关要求。</w:t>
      </w:r>
    </w:p>
    <w:p w14:paraId="47A1BF6C" w14:textId="77777777" w:rsidR="009D12AF" w:rsidRDefault="00000000">
      <w:pPr>
        <w:pStyle w:val="4"/>
        <w:ind w:firstLineChars="0" w:firstLine="0"/>
        <w:rPr>
          <w:rFonts w:ascii="Times New Roman" w:eastAsia="宋体" w:hAnsi="Times New Roman"/>
          <w:szCs w:val="22"/>
          <w:lang w:bidi="ar"/>
        </w:rPr>
      </w:pPr>
      <w:r>
        <w:rPr>
          <w:rFonts w:hint="eastAsia"/>
        </w:rPr>
        <w:t>1.3.2.5</w:t>
      </w:r>
      <w:r>
        <w:rPr>
          <w:rFonts w:ascii="Times New Roman" w:eastAsia="宋体" w:hAnsi="Times New Roman"/>
          <w:szCs w:val="22"/>
          <w:lang w:bidi="ar"/>
        </w:rPr>
        <w:t>与《黑龙江省生态功能区划》符合性分析</w:t>
      </w:r>
    </w:p>
    <w:p w14:paraId="23396123" w14:textId="77777777" w:rsidR="009D12AF" w:rsidRDefault="00000000">
      <w:pPr>
        <w:snapToGrid w:val="0"/>
        <w:ind w:firstLine="480"/>
      </w:pPr>
      <w:r>
        <w:t>根据《黑龙江省生态功能区划》相关内容，本项目为</w:t>
      </w:r>
      <w:r>
        <w:rPr>
          <w:rFonts w:ascii="宋体" w:hAnsi="宋体" w:cs="宋体" w:hint="eastAsia"/>
        </w:rPr>
        <w:t>Ⅰ</w:t>
      </w:r>
      <w:r>
        <w:t>—4—2—1</w:t>
      </w:r>
      <w:r>
        <w:t>海浪河水源涵养与生物多样性保护生态功能区，该区基本上为生物多样性敏感性为高度敏感；主要系统服务功能为水源涵养、自然人文景观保护、生物多样性保护；主要生态问题为森林质量下降，水源涵养能力降低，生物多样性减少，坡耕地较多；农用化学品的使用对河流水质产生破坏；保护措施与发展方向是加强天然林的保护，加强对水体的保护，减轻对水体的污染，逐步改善水生态环境，大力发展生态农业建设。</w:t>
      </w:r>
    </w:p>
    <w:p w14:paraId="6B503974" w14:textId="77777777" w:rsidR="009D12AF" w:rsidRDefault="00000000">
      <w:pPr>
        <w:adjustRightInd w:val="0"/>
        <w:snapToGrid w:val="0"/>
        <w:ind w:firstLine="480"/>
      </w:pPr>
      <w:r>
        <w:t>本项目的实施有利于海浪河</w:t>
      </w:r>
      <w:r>
        <w:rPr>
          <w:rFonts w:hint="eastAsia"/>
        </w:rPr>
        <w:t>、</w:t>
      </w:r>
      <w:r>
        <w:t>下游牡丹江</w:t>
      </w:r>
      <w:r>
        <w:rPr>
          <w:rFonts w:hint="eastAsia"/>
        </w:rPr>
        <w:t>、莲花湖及水库</w:t>
      </w:r>
      <w:r>
        <w:t>的水质提升，为生态改善型，有利于改善区域水土流失现状，故本项目的建设符合《黑龙江省生态功能区划》要求。</w:t>
      </w:r>
    </w:p>
    <w:p w14:paraId="7FB90AC0" w14:textId="77777777" w:rsidR="009D12AF" w:rsidRDefault="00000000">
      <w:pPr>
        <w:pStyle w:val="4"/>
        <w:ind w:firstLineChars="0" w:firstLine="0"/>
        <w:rPr>
          <w:rFonts w:ascii="Times New Roman" w:eastAsia="宋体" w:hAnsi="Times New Roman"/>
          <w:szCs w:val="22"/>
          <w:lang w:bidi="ar"/>
        </w:rPr>
      </w:pPr>
      <w:r>
        <w:rPr>
          <w:rFonts w:hint="eastAsia"/>
        </w:rPr>
        <w:t>1.3.2.6</w:t>
      </w:r>
      <w:r>
        <w:rPr>
          <w:rFonts w:ascii="Times New Roman" w:eastAsia="宋体" w:hAnsi="Times New Roman"/>
          <w:szCs w:val="22"/>
          <w:lang w:bidi="ar"/>
        </w:rPr>
        <w:t>与《黑龙江省水土保持规划（</w:t>
      </w:r>
      <w:r>
        <w:rPr>
          <w:rFonts w:ascii="Times New Roman" w:eastAsia="宋体" w:hAnsi="Times New Roman"/>
          <w:szCs w:val="22"/>
          <w:lang w:bidi="ar"/>
        </w:rPr>
        <w:t xml:space="preserve">2015~2030 </w:t>
      </w:r>
      <w:r>
        <w:rPr>
          <w:rFonts w:ascii="Times New Roman" w:eastAsia="宋体" w:hAnsi="Times New Roman"/>
          <w:szCs w:val="22"/>
          <w:lang w:bidi="ar"/>
        </w:rPr>
        <w:t>年）》相符性分析</w:t>
      </w:r>
    </w:p>
    <w:p w14:paraId="78DE7270" w14:textId="77777777" w:rsidR="009D12AF" w:rsidRDefault="00000000">
      <w:pPr>
        <w:pStyle w:val="a6"/>
        <w:adjustRightInd w:val="0"/>
        <w:snapToGrid w:val="0"/>
        <w:spacing w:line="360" w:lineRule="auto"/>
        <w:ind w:firstLineChars="200" w:firstLine="480"/>
        <w:rPr>
          <w:smallCaps w:val="0"/>
          <w:sz w:val="24"/>
          <w:szCs w:val="24"/>
        </w:rPr>
      </w:pPr>
      <w:r>
        <w:rPr>
          <w:smallCaps w:val="0"/>
          <w:sz w:val="24"/>
          <w:szCs w:val="24"/>
        </w:rPr>
        <w:t>根据《黑龙江省水土保持规划（</w:t>
      </w:r>
      <w:r>
        <w:rPr>
          <w:smallCaps w:val="0"/>
          <w:sz w:val="24"/>
          <w:szCs w:val="24"/>
        </w:rPr>
        <w:t>2015—2030</w:t>
      </w:r>
      <w:r>
        <w:rPr>
          <w:smallCaps w:val="0"/>
          <w:sz w:val="24"/>
          <w:szCs w:val="24"/>
        </w:rPr>
        <w:t>年）》内容，本项目建设地点</w:t>
      </w:r>
      <w:r>
        <w:rPr>
          <w:rFonts w:hint="eastAsia"/>
          <w:smallCaps w:val="0"/>
          <w:sz w:val="24"/>
          <w:szCs w:val="24"/>
        </w:rPr>
        <w:t>海林市</w:t>
      </w:r>
      <w:r>
        <w:rPr>
          <w:smallCaps w:val="0"/>
          <w:sz w:val="24"/>
          <w:szCs w:val="24"/>
        </w:rPr>
        <w:t>属于牡丹江市辖区，属于</w:t>
      </w:r>
      <w:r>
        <w:rPr>
          <w:smallCaps w:val="0"/>
          <w:sz w:val="24"/>
          <w:szCs w:val="24"/>
        </w:rPr>
        <w:t xml:space="preserve"> I-2-2hz </w:t>
      </w:r>
      <w:r>
        <w:rPr>
          <w:smallCaps w:val="0"/>
          <w:sz w:val="24"/>
          <w:szCs w:val="24"/>
        </w:rPr>
        <w:t>长白山山地水源涵养减灾区，省级区划名称为三江东南部山地水源涵养减灾区。</w:t>
      </w:r>
    </w:p>
    <w:p w14:paraId="08D93B49" w14:textId="77777777" w:rsidR="009D12AF" w:rsidRDefault="00000000">
      <w:pPr>
        <w:ind w:firstLine="480"/>
        <w:rPr>
          <w:lang w:bidi="ar"/>
        </w:rPr>
      </w:pPr>
      <w:r>
        <w:rPr>
          <w:lang w:bidi="ar"/>
        </w:rPr>
        <w:t>本区包括牡丹江市、绥芬河市、鸡西市、七台河市、东宁市和林口县等</w:t>
      </w:r>
      <w:r>
        <w:rPr>
          <w:lang w:bidi="ar"/>
        </w:rPr>
        <w:t>21</w:t>
      </w:r>
      <w:r>
        <w:rPr>
          <w:lang w:bidi="ar"/>
        </w:rPr>
        <w:t>市</w:t>
      </w:r>
      <w:r>
        <w:rPr>
          <w:lang w:bidi="ar"/>
        </w:rPr>
        <w:t>(</w:t>
      </w:r>
      <w:r>
        <w:rPr>
          <w:lang w:bidi="ar"/>
        </w:rPr>
        <w:t>县），区域总面积</w:t>
      </w:r>
      <w:r>
        <w:rPr>
          <w:lang w:bidi="ar"/>
        </w:rPr>
        <w:t>50334.77km</w:t>
      </w:r>
      <w:r>
        <w:rPr>
          <w:vertAlign w:val="superscript"/>
          <w:lang w:bidi="ar"/>
        </w:rPr>
        <w:t>2</w:t>
      </w:r>
      <w:r>
        <w:rPr>
          <w:lang w:bidi="ar"/>
        </w:rPr>
        <w:t>，其中耕地面积</w:t>
      </w:r>
      <w:r>
        <w:rPr>
          <w:lang w:bidi="ar"/>
        </w:rPr>
        <w:t>14118.47km</w:t>
      </w:r>
      <w:r>
        <w:rPr>
          <w:vertAlign w:val="superscript"/>
          <w:lang w:bidi="ar"/>
        </w:rPr>
        <w:t>2</w:t>
      </w:r>
      <w:r>
        <w:rPr>
          <w:lang w:bidi="ar"/>
        </w:rPr>
        <w:t>，林地面积</w:t>
      </w:r>
      <w:r>
        <w:rPr>
          <w:lang w:bidi="ar"/>
        </w:rPr>
        <w:t>32152.54km</w:t>
      </w:r>
      <w:r>
        <w:rPr>
          <w:vertAlign w:val="superscript"/>
          <w:lang w:bidi="ar"/>
        </w:rPr>
        <w:t>2</w:t>
      </w:r>
      <w:r>
        <w:rPr>
          <w:lang w:bidi="ar"/>
        </w:rPr>
        <w:t>。区域总人口</w:t>
      </w:r>
      <w:r>
        <w:rPr>
          <w:lang w:bidi="ar"/>
        </w:rPr>
        <w:t>475.92</w:t>
      </w:r>
      <w:r>
        <w:rPr>
          <w:lang w:bidi="ar"/>
        </w:rPr>
        <w:t>万人，人均耕地</w:t>
      </w:r>
      <w:r>
        <w:rPr>
          <w:lang w:bidi="ar"/>
        </w:rPr>
        <w:t>0.30 hm</w:t>
      </w:r>
      <w:r>
        <w:rPr>
          <w:vertAlign w:val="superscript"/>
          <w:lang w:bidi="ar"/>
        </w:rPr>
        <w:t>2</w:t>
      </w:r>
      <w:r>
        <w:rPr>
          <w:lang w:bidi="ar"/>
        </w:rPr>
        <w:t>，农村各业生产总值</w:t>
      </w:r>
      <w:r>
        <w:rPr>
          <w:lang w:bidi="ar"/>
        </w:rPr>
        <w:lastRenderedPageBreak/>
        <w:t>468.75</w:t>
      </w:r>
      <w:r>
        <w:rPr>
          <w:lang w:bidi="ar"/>
        </w:rPr>
        <w:t>亿元。</w:t>
      </w:r>
    </w:p>
    <w:p w14:paraId="10C41818" w14:textId="77777777" w:rsidR="009D12AF" w:rsidRDefault="00000000">
      <w:pPr>
        <w:adjustRightInd w:val="0"/>
        <w:snapToGrid w:val="0"/>
        <w:ind w:firstLine="480"/>
        <w:rPr>
          <w:lang w:bidi="ar"/>
        </w:rPr>
      </w:pPr>
      <w:r>
        <w:rPr>
          <w:lang w:bidi="ar"/>
        </w:rPr>
        <w:t>本区水土流失类型为水力侵蚀，水土流失面积</w:t>
      </w:r>
      <w:r>
        <w:rPr>
          <w:lang w:bidi="ar"/>
        </w:rPr>
        <w:t>11068.77km</w:t>
      </w:r>
      <w:r>
        <w:rPr>
          <w:vertAlign w:val="superscript"/>
          <w:lang w:bidi="ar"/>
        </w:rPr>
        <w:t>2</w:t>
      </w:r>
      <w:r>
        <w:rPr>
          <w:lang w:bidi="ar"/>
        </w:rPr>
        <w:t>，占区域总面积的</w:t>
      </w:r>
      <w:r>
        <w:rPr>
          <w:lang w:bidi="ar"/>
        </w:rPr>
        <w:t>21.99%</w:t>
      </w:r>
      <w:r>
        <w:rPr>
          <w:lang w:bidi="ar"/>
        </w:rPr>
        <w:t>，其中轻度侵蚀</w:t>
      </w:r>
      <w:r>
        <w:rPr>
          <w:lang w:bidi="ar"/>
        </w:rPr>
        <w:t>4171.78km</w:t>
      </w:r>
      <w:r>
        <w:rPr>
          <w:vertAlign w:val="superscript"/>
          <w:lang w:bidi="ar"/>
        </w:rPr>
        <w:t>2</w:t>
      </w:r>
      <w:r>
        <w:rPr>
          <w:lang w:bidi="ar"/>
        </w:rPr>
        <w:t>，中度侵蚀</w:t>
      </w:r>
      <w:r>
        <w:rPr>
          <w:lang w:bidi="ar"/>
        </w:rPr>
        <w:t>3113.77km</w:t>
      </w:r>
      <w:r>
        <w:rPr>
          <w:vertAlign w:val="superscript"/>
          <w:lang w:bidi="ar"/>
        </w:rPr>
        <w:t>2</w:t>
      </w:r>
      <w:r>
        <w:rPr>
          <w:lang w:bidi="ar"/>
        </w:rPr>
        <w:t>，强烈侵蚀</w:t>
      </w:r>
      <w:r>
        <w:rPr>
          <w:lang w:bidi="ar"/>
        </w:rPr>
        <w:t>1883.74km</w:t>
      </w:r>
      <w:r>
        <w:rPr>
          <w:vertAlign w:val="superscript"/>
          <w:lang w:bidi="ar"/>
        </w:rPr>
        <w:t>2</w:t>
      </w:r>
      <w:r>
        <w:rPr>
          <w:lang w:bidi="ar"/>
        </w:rPr>
        <w:t>，极强烈侵蚀</w:t>
      </w:r>
      <w:r>
        <w:rPr>
          <w:lang w:bidi="ar"/>
        </w:rPr>
        <w:t>1285.85km</w:t>
      </w:r>
      <w:r>
        <w:rPr>
          <w:vertAlign w:val="superscript"/>
          <w:lang w:bidi="ar"/>
        </w:rPr>
        <w:t>2</w:t>
      </w:r>
      <w:r>
        <w:rPr>
          <w:lang w:bidi="ar"/>
        </w:rPr>
        <w:t>，剧烈侵蚀</w:t>
      </w:r>
      <w:r>
        <w:rPr>
          <w:lang w:bidi="ar"/>
        </w:rPr>
        <w:t>613.63km</w:t>
      </w:r>
      <w:r>
        <w:rPr>
          <w:vertAlign w:val="superscript"/>
          <w:lang w:bidi="ar"/>
        </w:rPr>
        <w:t>2</w:t>
      </w:r>
      <w:r>
        <w:rPr>
          <w:lang w:bidi="ar"/>
        </w:rPr>
        <w:t>。现有侵蚀沟</w:t>
      </w:r>
      <w:r>
        <w:rPr>
          <w:lang w:bidi="ar"/>
        </w:rPr>
        <w:t>22900</w:t>
      </w:r>
      <w:r>
        <w:rPr>
          <w:lang w:bidi="ar"/>
        </w:rPr>
        <w:t>条，沟道密度</w:t>
      </w:r>
      <w:r>
        <w:rPr>
          <w:lang w:bidi="ar"/>
        </w:rPr>
        <w:t>0.19 km/km</w:t>
      </w:r>
      <w:r>
        <w:rPr>
          <w:vertAlign w:val="superscript"/>
          <w:lang w:bidi="ar"/>
        </w:rPr>
        <w:t>2</w:t>
      </w:r>
      <w:r>
        <w:rPr>
          <w:lang w:bidi="ar"/>
        </w:rPr>
        <w:t>。</w:t>
      </w:r>
    </w:p>
    <w:p w14:paraId="4DDD0984" w14:textId="77777777" w:rsidR="009D12AF" w:rsidRDefault="00000000">
      <w:pPr>
        <w:adjustRightInd w:val="0"/>
        <w:snapToGrid w:val="0"/>
        <w:ind w:firstLine="480"/>
        <w:rPr>
          <w:lang w:bidi="ar"/>
        </w:rPr>
      </w:pPr>
      <w:r>
        <w:rPr>
          <w:lang w:bidi="ar"/>
        </w:rPr>
        <w:t>本区山势起伏，森林密布，为张广才岭、完达山、老爷岭隆聚的低山丘陵区。海拔高度</w:t>
      </w:r>
      <w:r>
        <w:rPr>
          <w:lang w:bidi="ar"/>
        </w:rPr>
        <w:t>69~1686m</w:t>
      </w:r>
      <w:r>
        <w:rPr>
          <w:lang w:bidi="ar"/>
        </w:rPr>
        <w:t>，年降水量</w:t>
      </w:r>
      <w:r>
        <w:rPr>
          <w:lang w:bidi="ar"/>
        </w:rPr>
        <w:t>520~700 mm</w:t>
      </w:r>
      <w:r>
        <w:rPr>
          <w:lang w:bidi="ar"/>
        </w:rPr>
        <w:t>，属中温带大陆性季风气候。土壤类型主要有暗棕壤、草甸土和沼泽土等。主要河流有牡丹江、倭肯河和乌苏里江及其一级支流穆棱河等。本区植被以温带针阔混交林为主，林业资源丰富。鸡西、七台河的煤炭、石墨和稀有金属矿藏丰富，矿区散布其间。镜泊湖为世界第二大高山堰塞湖。</w:t>
      </w:r>
    </w:p>
    <w:p w14:paraId="33C2DAA8" w14:textId="77777777" w:rsidR="009D12AF" w:rsidRDefault="00000000">
      <w:pPr>
        <w:adjustRightInd w:val="0"/>
        <w:snapToGrid w:val="0"/>
        <w:ind w:firstLine="480"/>
      </w:pPr>
      <w:r>
        <w:rPr>
          <w:lang w:bidi="ar"/>
        </w:rPr>
        <w:t>本区水土保持主导基础功能为水源涵养、土壤保持、蓄水保水、农田防护、防灾减灾、拦沙减沙；社会经济功能为农业林业生产、粮食生产、水源地保护、河湖边岸保护、土地生产力保护。</w:t>
      </w:r>
    </w:p>
    <w:p w14:paraId="554B205E" w14:textId="77777777" w:rsidR="009D12AF" w:rsidRDefault="00000000">
      <w:pPr>
        <w:pStyle w:val="11111"/>
        <w:adjustRightInd w:val="0"/>
        <w:ind w:firstLine="480"/>
        <w:rPr>
          <w:rFonts w:ascii="Times New Roman" w:eastAsia="宋体" w:hAnsi="Times New Roman" w:cs="Times New Roman"/>
          <w:smallCaps w:val="0"/>
        </w:rPr>
      </w:pPr>
      <w:r>
        <w:rPr>
          <w:rFonts w:ascii="Times New Roman" w:eastAsia="宋体" w:hAnsi="Times New Roman" w:cs="Times New Roman"/>
          <w:smallCaps w:val="0"/>
        </w:rPr>
        <w:t>本项目的实施有利于海浪河</w:t>
      </w:r>
      <w:r>
        <w:rPr>
          <w:rFonts w:ascii="Times New Roman" w:eastAsia="宋体" w:hAnsi="Times New Roman" w:cs="Times New Roman" w:hint="eastAsia"/>
          <w:smallCaps w:val="0"/>
        </w:rPr>
        <w:t>、莲花湖、</w:t>
      </w:r>
      <w:r>
        <w:rPr>
          <w:rFonts w:ascii="Times New Roman" w:eastAsia="宋体" w:hAnsi="Times New Roman" w:cs="Times New Roman"/>
          <w:smallCaps w:val="0"/>
        </w:rPr>
        <w:t>下游牡丹江</w:t>
      </w:r>
      <w:r>
        <w:rPr>
          <w:rFonts w:ascii="Times New Roman" w:eastAsia="宋体" w:hAnsi="Times New Roman" w:cs="Times New Roman" w:hint="eastAsia"/>
          <w:smallCaps w:val="0"/>
        </w:rPr>
        <w:t>及水库</w:t>
      </w:r>
      <w:r>
        <w:rPr>
          <w:rFonts w:ascii="Times New Roman" w:eastAsia="宋体" w:hAnsi="Times New Roman" w:cs="Times New Roman"/>
          <w:smallCaps w:val="0"/>
        </w:rPr>
        <w:t>的水质提升，为生态改善型，有利于改善区域水土流失现状，有利于水源地的保护，项目的建设符合《黑龙江省水土保持规划（</w:t>
      </w:r>
      <w:r>
        <w:rPr>
          <w:rFonts w:ascii="Times New Roman" w:eastAsia="宋体" w:hAnsi="Times New Roman" w:cs="Times New Roman"/>
          <w:smallCaps w:val="0"/>
        </w:rPr>
        <w:t>2015-2030</w:t>
      </w:r>
      <w:r>
        <w:rPr>
          <w:rFonts w:ascii="Times New Roman" w:eastAsia="宋体" w:hAnsi="Times New Roman" w:cs="Times New Roman"/>
          <w:smallCaps w:val="0"/>
        </w:rPr>
        <w:t>年）》要求。</w:t>
      </w:r>
    </w:p>
    <w:p w14:paraId="3E259EF9" w14:textId="77777777" w:rsidR="009D12AF" w:rsidRDefault="00000000">
      <w:pPr>
        <w:pStyle w:val="4"/>
        <w:ind w:firstLineChars="0" w:firstLine="0"/>
        <w:rPr>
          <w:rFonts w:ascii="Times New Roman" w:eastAsia="宋体" w:hAnsi="Times New Roman"/>
          <w:szCs w:val="22"/>
          <w:lang w:bidi="ar"/>
        </w:rPr>
      </w:pPr>
      <w:r>
        <w:rPr>
          <w:rFonts w:hint="eastAsia"/>
        </w:rPr>
        <w:t>1.3.2.7</w:t>
      </w:r>
      <w:r>
        <w:rPr>
          <w:rFonts w:ascii="Times New Roman" w:eastAsia="宋体" w:hAnsi="Times New Roman"/>
          <w:szCs w:val="22"/>
          <w:lang w:bidi="ar"/>
        </w:rPr>
        <w:t>与《</w:t>
      </w:r>
      <w:r>
        <w:rPr>
          <w:rFonts w:ascii="Times New Roman" w:eastAsia="宋体" w:hAnsi="Times New Roman" w:hint="eastAsia"/>
          <w:szCs w:val="22"/>
          <w:lang w:bidi="ar"/>
        </w:rPr>
        <w:t>牡丹江市</w:t>
      </w:r>
      <w:r>
        <w:rPr>
          <w:rFonts w:ascii="Times New Roman" w:eastAsia="宋体" w:hAnsi="Times New Roman"/>
          <w:szCs w:val="22"/>
          <w:lang w:bidi="ar"/>
        </w:rPr>
        <w:t>水土保持规划（</w:t>
      </w:r>
      <w:r>
        <w:rPr>
          <w:rFonts w:ascii="Times New Roman" w:eastAsia="宋体" w:hAnsi="Times New Roman"/>
          <w:szCs w:val="22"/>
          <w:lang w:bidi="ar"/>
        </w:rPr>
        <w:t>20</w:t>
      </w:r>
      <w:r>
        <w:rPr>
          <w:rFonts w:ascii="Times New Roman" w:eastAsia="宋体" w:hAnsi="Times New Roman" w:hint="eastAsia"/>
          <w:szCs w:val="22"/>
          <w:lang w:bidi="ar"/>
        </w:rPr>
        <w:t>19</w:t>
      </w:r>
      <w:r>
        <w:rPr>
          <w:rFonts w:ascii="Times New Roman" w:eastAsia="宋体" w:hAnsi="Times New Roman"/>
          <w:szCs w:val="22"/>
          <w:lang w:bidi="ar"/>
        </w:rPr>
        <w:t>~2030</w:t>
      </w:r>
      <w:r>
        <w:rPr>
          <w:rFonts w:ascii="Times New Roman" w:eastAsia="宋体" w:hAnsi="Times New Roman"/>
          <w:szCs w:val="22"/>
          <w:lang w:bidi="ar"/>
        </w:rPr>
        <w:t>年）》相符性分析</w:t>
      </w:r>
    </w:p>
    <w:p w14:paraId="445094B8" w14:textId="77777777" w:rsidR="009D12AF" w:rsidRDefault="00000000">
      <w:pPr>
        <w:pStyle w:val="11111"/>
        <w:adjustRightInd w:val="0"/>
        <w:snapToGrid w:val="0"/>
        <w:ind w:firstLine="480"/>
        <w:jc w:val="both"/>
        <w:rPr>
          <w:rFonts w:ascii="Times New Roman" w:eastAsia="宋体" w:hAnsi="Times New Roman" w:cs="Times New Roman"/>
          <w:smallCaps w:val="0"/>
          <w:kern w:val="2"/>
          <w:szCs w:val="22"/>
          <w:lang w:bidi="ar"/>
        </w:rPr>
      </w:pPr>
      <w:r>
        <w:rPr>
          <w:rFonts w:ascii="Times New Roman" w:eastAsia="宋体" w:hAnsi="Times New Roman" w:cs="Times New Roman"/>
          <w:smallCaps w:val="0"/>
        </w:rPr>
        <w:t>本项目位于牡丹江市</w:t>
      </w:r>
      <w:r>
        <w:rPr>
          <w:rFonts w:ascii="Times New Roman" w:eastAsia="宋体" w:hAnsi="Times New Roman" w:cs="Times New Roman" w:hint="eastAsia"/>
          <w:smallCaps w:val="0"/>
        </w:rPr>
        <w:t>海林市</w:t>
      </w:r>
      <w:r>
        <w:rPr>
          <w:rFonts w:ascii="Times New Roman" w:eastAsia="宋体" w:hAnsi="Times New Roman" w:cs="Times New Roman"/>
          <w:smallCaps w:val="0"/>
        </w:rPr>
        <w:t>，根据</w:t>
      </w:r>
      <w:r>
        <w:rPr>
          <w:rFonts w:ascii="Times New Roman" w:eastAsia="宋体" w:hAnsi="Times New Roman" w:cs="Times New Roman"/>
          <w:smallCaps w:val="0"/>
          <w:kern w:val="2"/>
          <w:szCs w:val="22"/>
          <w:lang w:bidi="ar"/>
        </w:rPr>
        <w:t>《牡丹江市水土保持规划（</w:t>
      </w:r>
      <w:r>
        <w:rPr>
          <w:rFonts w:ascii="Times New Roman" w:eastAsia="宋体" w:hAnsi="Times New Roman" w:cs="Times New Roman"/>
          <w:smallCaps w:val="0"/>
          <w:kern w:val="2"/>
          <w:szCs w:val="22"/>
          <w:lang w:bidi="ar"/>
        </w:rPr>
        <w:t>2019~2030</w:t>
      </w:r>
      <w:r>
        <w:rPr>
          <w:rFonts w:ascii="Times New Roman" w:eastAsia="宋体" w:hAnsi="Times New Roman" w:cs="Times New Roman"/>
          <w:smallCaps w:val="0"/>
          <w:kern w:val="2"/>
          <w:szCs w:val="22"/>
          <w:lang w:bidi="ar"/>
        </w:rPr>
        <w:t>年）》相关内容，属于</w:t>
      </w:r>
      <w:r>
        <w:rPr>
          <w:rFonts w:eastAsia="宋体" w:hint="eastAsia"/>
          <w:smallCaps w:val="0"/>
          <w:kern w:val="2"/>
          <w:szCs w:val="22"/>
          <w:lang w:bidi="ar"/>
        </w:rPr>
        <w:t>Ⅱ</w:t>
      </w:r>
      <w:r>
        <w:rPr>
          <w:rFonts w:ascii="Times New Roman" w:eastAsia="宋体" w:hAnsi="Times New Roman" w:cs="Times New Roman"/>
          <w:smallCaps w:val="0"/>
          <w:kern w:val="2"/>
          <w:szCs w:val="22"/>
          <w:lang w:bidi="ar"/>
        </w:rPr>
        <w:t>区</w:t>
      </w:r>
      <w:r>
        <w:rPr>
          <w:rFonts w:ascii="Times New Roman" w:eastAsia="宋体" w:hAnsi="Times New Roman" w:cs="Times New Roman"/>
          <w:smallCaps w:val="0"/>
          <w:kern w:val="2"/>
          <w:szCs w:val="22"/>
          <w:lang w:bidi="ar"/>
        </w:rPr>
        <w:t>-</w:t>
      </w:r>
      <w:r>
        <w:rPr>
          <w:rFonts w:ascii="Times New Roman" w:eastAsia="宋体" w:hAnsi="Times New Roman" w:cs="Times New Roman"/>
          <w:smallCaps w:val="0"/>
          <w:kern w:val="2"/>
          <w:szCs w:val="22"/>
          <w:lang w:bidi="ar"/>
        </w:rPr>
        <w:t>中部山地水源涵养减灾区。</w:t>
      </w:r>
    </w:p>
    <w:p w14:paraId="62661DA6" w14:textId="77777777" w:rsidR="009D12AF" w:rsidRDefault="00000000">
      <w:pPr>
        <w:pStyle w:val="11111"/>
        <w:adjustRightInd w:val="0"/>
        <w:snapToGrid w:val="0"/>
        <w:ind w:firstLine="480"/>
        <w:jc w:val="both"/>
        <w:rPr>
          <w:rFonts w:ascii="Times New Roman" w:eastAsia="宋体" w:hAnsi="Times New Roman" w:cs="Times New Roman"/>
          <w:smallCaps w:val="0"/>
          <w:lang w:bidi="ar"/>
        </w:rPr>
      </w:pPr>
      <w:r>
        <w:rPr>
          <w:rFonts w:ascii="Times New Roman" w:eastAsia="宋体" w:hAnsi="Times New Roman" w:cs="Times New Roman"/>
          <w:smallCaps w:val="0"/>
          <w:lang w:bidi="ar"/>
        </w:rPr>
        <w:t>本区土地总面积</w:t>
      </w:r>
      <w:r>
        <w:rPr>
          <w:rFonts w:ascii="Times New Roman" w:hAnsi="Times New Roman" w:cs="Times New Roman"/>
          <w:smallCaps w:val="0"/>
          <w:lang w:bidi="ar"/>
        </w:rPr>
        <w:t xml:space="preserve"> 2247192 hm²</w:t>
      </w:r>
      <w:r>
        <w:rPr>
          <w:rFonts w:ascii="Times New Roman" w:eastAsia="宋体" w:hAnsi="Times New Roman" w:cs="Times New Roman"/>
          <w:smallCaps w:val="0"/>
          <w:lang w:bidi="ar"/>
        </w:rPr>
        <w:t>，水土流失面积</w:t>
      </w:r>
      <w:r>
        <w:rPr>
          <w:rFonts w:ascii="Times New Roman" w:hAnsi="Times New Roman" w:cs="Times New Roman"/>
          <w:smallCaps w:val="0"/>
          <w:lang w:bidi="ar"/>
        </w:rPr>
        <w:t xml:space="preserve"> 563382hm²</w:t>
      </w:r>
      <w:r>
        <w:rPr>
          <w:rFonts w:ascii="Times New Roman" w:eastAsia="宋体" w:hAnsi="Times New Roman" w:cs="Times New Roman"/>
          <w:smallCaps w:val="0"/>
          <w:lang w:bidi="ar"/>
        </w:rPr>
        <w:t>，占全市水土流失面积的</w:t>
      </w:r>
      <w:r>
        <w:rPr>
          <w:rFonts w:ascii="Times New Roman" w:hAnsi="Times New Roman" w:cs="Times New Roman"/>
          <w:smallCaps w:val="0"/>
          <w:lang w:bidi="ar"/>
        </w:rPr>
        <w:t>66.07 %</w:t>
      </w:r>
      <w:r>
        <w:rPr>
          <w:rFonts w:ascii="Times New Roman" w:eastAsia="宋体" w:hAnsi="Times New Roman" w:cs="Times New Roman"/>
          <w:smallCaps w:val="0"/>
          <w:lang w:bidi="ar"/>
        </w:rPr>
        <w:t>。本区耕地面积属</w:t>
      </w:r>
      <w:r>
        <w:rPr>
          <w:rFonts w:ascii="Times New Roman" w:hAnsi="Times New Roman" w:cs="Times New Roman"/>
          <w:smallCaps w:val="0"/>
          <w:lang w:bidi="ar"/>
        </w:rPr>
        <w:t xml:space="preserve"> 3 </w:t>
      </w:r>
      <w:r>
        <w:rPr>
          <w:rFonts w:ascii="Times New Roman" w:eastAsia="宋体" w:hAnsi="Times New Roman" w:cs="Times New Roman"/>
          <w:smallCaps w:val="0"/>
          <w:lang w:bidi="ar"/>
        </w:rPr>
        <w:t>区中最广，水土流失多发生在稀疏林地和坡耕地，以及生产建设项目集中区域，属</w:t>
      </w:r>
      <w:r>
        <w:rPr>
          <w:rFonts w:ascii="Times New Roman" w:hAnsi="Times New Roman" w:cs="Times New Roman"/>
          <w:smallCaps w:val="0"/>
          <w:lang w:bidi="ar"/>
        </w:rPr>
        <w:t xml:space="preserve"> 3 </w:t>
      </w:r>
      <w:r>
        <w:rPr>
          <w:rFonts w:ascii="Times New Roman" w:eastAsia="宋体" w:hAnsi="Times New Roman" w:cs="Times New Roman"/>
          <w:smallCaps w:val="0"/>
          <w:lang w:bidi="ar"/>
        </w:rPr>
        <w:t>区中水土流失最为严重地区，全区水土流失强度以轻中度为主。该区的水土保持基础功能主要以水源涵养、防灾减灾为主，可积极开展坡耕地、侵蚀沟专项治理或小流域水土流失综合治理。</w:t>
      </w:r>
    </w:p>
    <w:p w14:paraId="028C5C19" w14:textId="77777777" w:rsidR="009D12AF" w:rsidRDefault="00000000">
      <w:pPr>
        <w:adjustRightInd w:val="0"/>
        <w:snapToGrid w:val="0"/>
        <w:ind w:firstLine="480"/>
        <w:rPr>
          <w:lang w:bidi="ar"/>
        </w:rPr>
      </w:pPr>
      <w:r>
        <w:rPr>
          <w:lang w:bidi="ar"/>
        </w:rPr>
        <w:t>（</w:t>
      </w:r>
      <w:r>
        <w:rPr>
          <w:lang w:bidi="ar"/>
        </w:rPr>
        <w:t>1</w:t>
      </w:r>
      <w:r>
        <w:rPr>
          <w:lang w:bidi="ar"/>
        </w:rPr>
        <w:t>）分区概况</w:t>
      </w:r>
    </w:p>
    <w:p w14:paraId="5DB5E90C" w14:textId="77777777" w:rsidR="009D12AF" w:rsidRDefault="00000000">
      <w:pPr>
        <w:adjustRightInd w:val="0"/>
        <w:snapToGrid w:val="0"/>
        <w:ind w:firstLine="480"/>
        <w:rPr>
          <w:lang w:bidi="ar"/>
        </w:rPr>
      </w:pPr>
      <w:r>
        <w:rPr>
          <w:lang w:bidi="ar"/>
        </w:rPr>
        <w:t>本区包括牡丹江市辖区、林口和宁安等</w:t>
      </w:r>
      <w:r>
        <w:rPr>
          <w:lang w:bidi="ar"/>
        </w:rPr>
        <w:t>3</w:t>
      </w:r>
      <w:r>
        <w:rPr>
          <w:lang w:bidi="ar"/>
        </w:rPr>
        <w:t>市县全境的</w:t>
      </w:r>
      <w:r>
        <w:rPr>
          <w:lang w:bidi="ar"/>
        </w:rPr>
        <w:t>42</w:t>
      </w:r>
      <w:r>
        <w:rPr>
          <w:lang w:bidi="ar"/>
        </w:rPr>
        <w:t>个乡镇场，农林交错特征明显。土地总面积</w:t>
      </w:r>
      <w:r>
        <w:rPr>
          <w:lang w:bidi="ar"/>
        </w:rPr>
        <w:t>2247192 hm²</w:t>
      </w:r>
      <w:r>
        <w:rPr>
          <w:lang w:bidi="ar"/>
        </w:rPr>
        <w:t>。水土流失面积</w:t>
      </w:r>
      <w:r>
        <w:rPr>
          <w:lang w:bidi="ar"/>
        </w:rPr>
        <w:t>563382 hm²</w:t>
      </w:r>
      <w:r>
        <w:rPr>
          <w:lang w:bidi="ar"/>
        </w:rPr>
        <w:t>，占全市水土</w:t>
      </w:r>
      <w:r>
        <w:rPr>
          <w:lang w:bidi="ar"/>
        </w:rPr>
        <w:lastRenderedPageBreak/>
        <w:t>流失面积的</w:t>
      </w:r>
      <w:r>
        <w:rPr>
          <w:lang w:bidi="ar"/>
        </w:rPr>
        <w:t>66.07%</w:t>
      </w:r>
      <w:r>
        <w:rPr>
          <w:lang w:bidi="ar"/>
        </w:rPr>
        <w:t>，本区耕地面积属</w:t>
      </w:r>
      <w:r>
        <w:rPr>
          <w:lang w:bidi="ar"/>
        </w:rPr>
        <w:t>3</w:t>
      </w:r>
      <w:r>
        <w:rPr>
          <w:lang w:bidi="ar"/>
        </w:rPr>
        <w:t>区中最广，水土流失强度和面积也最为严重地区，水土流失多发生在稀疏林地和坡耕地，以及生产建设项目集中区域，全区水土流失强度以轻中度为主。本区大部分山地植被良好，但土层较薄，坡度较陡，丘陵区植被较少，大量土地被开垦。耕地面积广阔，产沙量多。</w:t>
      </w:r>
    </w:p>
    <w:p w14:paraId="26BA5385" w14:textId="77777777" w:rsidR="009D12AF" w:rsidRDefault="00000000">
      <w:pPr>
        <w:adjustRightInd w:val="0"/>
        <w:snapToGrid w:val="0"/>
        <w:ind w:firstLine="480"/>
        <w:rPr>
          <w:lang w:bidi="ar"/>
        </w:rPr>
      </w:pPr>
      <w:r>
        <w:rPr>
          <w:lang w:bidi="ar"/>
        </w:rPr>
        <w:t>（</w:t>
      </w:r>
      <w:r>
        <w:rPr>
          <w:lang w:bidi="ar"/>
        </w:rPr>
        <w:t>2</w:t>
      </w:r>
      <w:r>
        <w:rPr>
          <w:lang w:bidi="ar"/>
        </w:rPr>
        <w:t>）水土流失治理模式</w:t>
      </w:r>
    </w:p>
    <w:p w14:paraId="5522DDD9" w14:textId="77777777" w:rsidR="009D12AF" w:rsidRDefault="00000000">
      <w:pPr>
        <w:adjustRightInd w:val="0"/>
        <w:snapToGrid w:val="0"/>
        <w:ind w:firstLine="480"/>
        <w:rPr>
          <w:lang w:bidi="ar"/>
        </w:rPr>
      </w:pPr>
      <w:r>
        <w:rPr>
          <w:rFonts w:ascii="宋体" w:hAnsi="宋体" w:cs="宋体" w:hint="eastAsia"/>
          <w:lang w:bidi="ar"/>
        </w:rPr>
        <w:t>①</w:t>
      </w:r>
      <w:r>
        <w:rPr>
          <w:lang w:bidi="ar"/>
        </w:rPr>
        <w:t>重点加强山丘区现有植被保护，采取有效封育措施，适当开展生态修复工程；</w:t>
      </w:r>
    </w:p>
    <w:p w14:paraId="35A5A114" w14:textId="77777777" w:rsidR="009D12AF" w:rsidRDefault="00000000">
      <w:pPr>
        <w:adjustRightInd w:val="0"/>
        <w:snapToGrid w:val="0"/>
        <w:ind w:firstLine="480"/>
        <w:rPr>
          <w:lang w:bidi="ar"/>
        </w:rPr>
      </w:pPr>
      <w:r>
        <w:rPr>
          <w:rFonts w:ascii="宋体" w:hAnsi="宋体" w:cs="宋体" w:hint="eastAsia"/>
          <w:lang w:bidi="ar"/>
        </w:rPr>
        <w:t>②</w:t>
      </w:r>
      <w:r>
        <w:rPr>
          <w:lang w:bidi="ar"/>
        </w:rPr>
        <w:t>水土流失严重的丘陵区开展以小流域为单元的综合治理工作，完善坡面蓄排体系的基础上，</w:t>
      </w:r>
      <w:r>
        <w:rPr>
          <w:lang w:bidi="ar"/>
        </w:rPr>
        <w:t>15</w:t>
      </w:r>
      <w:r>
        <w:rPr>
          <w:lang w:bidi="ar"/>
        </w:rPr>
        <w:t>度以上的陡坡地全部退耕还林，</w:t>
      </w:r>
      <w:r>
        <w:rPr>
          <w:lang w:bidi="ar"/>
        </w:rPr>
        <w:t>15</w:t>
      </w:r>
      <w:r>
        <w:rPr>
          <w:lang w:bidi="ar"/>
        </w:rPr>
        <w:t>度以下的坡耕地因地制宜地修建梯田、地埂植物带，发展经果林等，并采取多种坡面拦蓄措施，侵蚀沟采取谷坊、跌水、护岸、沟头防护、沟道整理、侵蚀沟防护林等多种措施进行治理；</w:t>
      </w:r>
    </w:p>
    <w:p w14:paraId="2E214E8A" w14:textId="77777777" w:rsidR="009D12AF" w:rsidRDefault="00000000">
      <w:pPr>
        <w:adjustRightInd w:val="0"/>
        <w:snapToGrid w:val="0"/>
        <w:ind w:firstLine="480"/>
        <w:rPr>
          <w:lang w:bidi="ar"/>
        </w:rPr>
      </w:pPr>
      <w:r>
        <w:rPr>
          <w:rFonts w:ascii="宋体" w:hAnsi="宋体" w:cs="宋体" w:hint="eastAsia"/>
          <w:lang w:bidi="ar"/>
        </w:rPr>
        <w:t>③</w:t>
      </w:r>
      <w:r>
        <w:rPr>
          <w:lang w:bidi="ar"/>
        </w:rPr>
        <w:t>城市及其周边地区可</w:t>
      </w:r>
      <w:r>
        <w:rPr>
          <w:rFonts w:hint="eastAsia"/>
          <w:lang w:bidi="ar"/>
        </w:rPr>
        <w:t>因地制宜开展清洁小流域建设工作，提高水源涵养能力和水体防污治污能力。</w:t>
      </w:r>
    </w:p>
    <w:p w14:paraId="4ECEC88B" w14:textId="77777777" w:rsidR="009D12AF" w:rsidRDefault="00000000">
      <w:pPr>
        <w:ind w:firstLine="480"/>
        <w:rPr>
          <w:lang w:bidi="ar"/>
        </w:rPr>
        <w:sectPr w:rsidR="009D12AF">
          <w:pgSz w:w="11906" w:h="16838"/>
          <w:pgMar w:top="1440" w:right="1800" w:bottom="1440" w:left="1800" w:header="851" w:footer="992" w:gutter="0"/>
          <w:cols w:space="425"/>
          <w:docGrid w:type="lines" w:linePitch="326"/>
        </w:sectPr>
      </w:pPr>
      <w:r>
        <w:rPr>
          <w:rFonts w:hint="eastAsia"/>
          <w:lang w:bidi="ar"/>
        </w:rPr>
        <w:t>本项目实施有利于水土保持治理，有利于提升水源地的水质，提高水体防污治污能力</w:t>
      </w:r>
      <w:r>
        <w:rPr>
          <w:lang w:bidi="ar"/>
        </w:rPr>
        <w:t>，有利于水源地的保护，项目的建设符合《牡丹江市水土保持规划（</w:t>
      </w:r>
      <w:r>
        <w:rPr>
          <w:lang w:bidi="ar"/>
        </w:rPr>
        <w:t xml:space="preserve">2019~2030 </w:t>
      </w:r>
      <w:r>
        <w:rPr>
          <w:lang w:bidi="ar"/>
        </w:rPr>
        <w:t>年）》要求。</w:t>
      </w:r>
    </w:p>
    <w:p w14:paraId="6DF0501D" w14:textId="77777777" w:rsidR="009D12AF" w:rsidRDefault="00000000">
      <w:pPr>
        <w:ind w:firstLine="480"/>
      </w:pPr>
      <w:r>
        <w:rPr>
          <w:noProof/>
        </w:rPr>
        <w:lastRenderedPageBreak/>
        <w:drawing>
          <wp:anchor distT="0" distB="0" distL="114300" distR="114300" simplePos="0" relativeHeight="251669504" behindDoc="0" locked="0" layoutInCell="1" allowOverlap="1" wp14:anchorId="015EFC3E" wp14:editId="19112114">
            <wp:simplePos x="0" y="0"/>
            <wp:positionH relativeFrom="column">
              <wp:posOffset>510540</wp:posOffset>
            </wp:positionH>
            <wp:positionV relativeFrom="paragraph">
              <wp:posOffset>106680</wp:posOffset>
            </wp:positionV>
            <wp:extent cx="4211955" cy="4724400"/>
            <wp:effectExtent l="0" t="0" r="17145" b="0"/>
            <wp:wrapNone/>
            <wp:docPr id="1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
                    <pic:cNvPicPr>
                      <a:picLocks noChangeAspect="1"/>
                    </pic:cNvPicPr>
                  </pic:nvPicPr>
                  <pic:blipFill>
                    <a:blip r:embed="rId17" cstate="screen">
                      <a:extLst>
                        <a:ext uri="{28A0092B-C50C-407E-A947-70E740481C1C}">
                          <a14:useLocalDpi xmlns:a14="http://schemas.microsoft.com/office/drawing/2010/main"/>
                        </a:ext>
                      </a:extLst>
                    </a:blip>
                    <a:stretch>
                      <a:fillRect/>
                    </a:stretch>
                  </pic:blipFill>
                  <pic:spPr>
                    <a:xfrm>
                      <a:off x="0" y="0"/>
                      <a:ext cx="4211955" cy="4724400"/>
                    </a:xfrm>
                    <a:prstGeom prst="rect">
                      <a:avLst/>
                    </a:prstGeom>
                    <a:noFill/>
                    <a:ln>
                      <a:noFill/>
                    </a:ln>
                  </pic:spPr>
                </pic:pic>
              </a:graphicData>
            </a:graphic>
          </wp:anchor>
        </w:drawing>
      </w:r>
    </w:p>
    <w:p w14:paraId="373E5DA6" w14:textId="77777777" w:rsidR="009D12AF" w:rsidRDefault="009D12AF">
      <w:pPr>
        <w:pStyle w:val="TOC2"/>
        <w:ind w:left="480" w:firstLine="480"/>
      </w:pPr>
    </w:p>
    <w:p w14:paraId="6E9B7F8B" w14:textId="77777777" w:rsidR="009D12AF" w:rsidRDefault="009D12AF">
      <w:pPr>
        <w:ind w:firstLine="480"/>
      </w:pPr>
    </w:p>
    <w:p w14:paraId="5E78FA52" w14:textId="77777777" w:rsidR="009D12AF" w:rsidRDefault="009D12AF">
      <w:pPr>
        <w:pStyle w:val="TOC2"/>
        <w:ind w:left="480" w:firstLine="480"/>
      </w:pPr>
    </w:p>
    <w:p w14:paraId="6227FB52" w14:textId="77777777" w:rsidR="009D12AF" w:rsidRDefault="009D12AF">
      <w:pPr>
        <w:ind w:firstLine="480"/>
      </w:pPr>
    </w:p>
    <w:p w14:paraId="32E16955" w14:textId="77777777" w:rsidR="009D12AF" w:rsidRDefault="009D12AF">
      <w:pPr>
        <w:pStyle w:val="TOC2"/>
        <w:ind w:left="480" w:firstLine="480"/>
      </w:pPr>
    </w:p>
    <w:p w14:paraId="0C92B4FA" w14:textId="77777777" w:rsidR="009D12AF" w:rsidRDefault="009D12AF">
      <w:pPr>
        <w:ind w:firstLine="480"/>
      </w:pPr>
    </w:p>
    <w:p w14:paraId="73359F27" w14:textId="77777777" w:rsidR="009D12AF" w:rsidRDefault="009D12AF">
      <w:pPr>
        <w:pStyle w:val="TOC2"/>
        <w:ind w:left="480" w:firstLine="480"/>
      </w:pPr>
    </w:p>
    <w:p w14:paraId="6B278E2E" w14:textId="77777777" w:rsidR="009D12AF" w:rsidRDefault="009D12AF">
      <w:pPr>
        <w:ind w:firstLine="480"/>
      </w:pPr>
    </w:p>
    <w:p w14:paraId="67867405" w14:textId="77777777" w:rsidR="009D12AF" w:rsidRDefault="00000000">
      <w:pPr>
        <w:pStyle w:val="TOC2"/>
        <w:ind w:left="480" w:firstLine="480"/>
      </w:pPr>
      <w:r>
        <w:rPr>
          <w:noProof/>
        </w:rPr>
        <mc:AlternateContent>
          <mc:Choice Requires="wps">
            <w:drawing>
              <wp:anchor distT="0" distB="0" distL="114300" distR="114300" simplePos="0" relativeHeight="251671552" behindDoc="0" locked="0" layoutInCell="1" allowOverlap="1" wp14:anchorId="6FDC16F6" wp14:editId="6969C61A">
                <wp:simplePos x="0" y="0"/>
                <wp:positionH relativeFrom="column">
                  <wp:posOffset>3343910</wp:posOffset>
                </wp:positionH>
                <wp:positionV relativeFrom="paragraph">
                  <wp:posOffset>95250</wp:posOffset>
                </wp:positionV>
                <wp:extent cx="1038860" cy="427990"/>
                <wp:effectExtent l="332740" t="6350" r="19050" b="308610"/>
                <wp:wrapNone/>
                <wp:docPr id="189" name="矩形标注 189"/>
                <wp:cNvGraphicFramePr/>
                <a:graphic xmlns:a="http://schemas.openxmlformats.org/drawingml/2006/main">
                  <a:graphicData uri="http://schemas.microsoft.com/office/word/2010/wordprocessingShape">
                    <wps:wsp>
                      <wps:cNvSpPr/>
                      <wps:spPr>
                        <a:xfrm>
                          <a:off x="4446905" y="3994785"/>
                          <a:ext cx="1038860" cy="427990"/>
                        </a:xfrm>
                        <a:prstGeom prst="wedgeRectCallout">
                          <a:avLst>
                            <a:gd name="adj1" fmla="val -77567"/>
                            <a:gd name="adj2" fmla="val 115578"/>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53D736B5" w14:textId="77777777" w:rsidR="009D12AF" w:rsidRDefault="00000000">
                            <w:pPr>
                              <w:ind w:firstLineChars="0" w:firstLine="0"/>
                            </w:pPr>
                            <w:r>
                              <w:rPr>
                                <w:rFonts w:hint="eastAsia"/>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6FDC16F6" id="矩形标注 189" o:spid="_x0000_s1027" type="#_x0000_t61" style="position:absolute;left:0;text-align:left;margin-left:263.3pt;margin-top:7.5pt;width:81.8pt;height:33.7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" adj="-5954,35765" fillcolor="#4874cb [3204]" strokecolor="#2d53a0 [2404]" strokeweight="1pt">
                <v:textbox>
                  <w:txbxContent>
                    <w:p w14:paraId="53D736B5" w14:textId="77777777" w:rsidR="009D12AF" w:rsidRDefault="00000000">
                      <w:pPr>
                        <w:ind w:firstLineChars="0" w:firstLine="0"/>
                      </w:pPr>
                      <w:r>
                        <w:rPr>
                          <w:rFonts w:hint="eastAsia"/>
                        </w:rPr>
                        <w:t>本项目位置</w:t>
                      </w:r>
                    </w:p>
                  </w:txbxContent>
                </v:textbox>
              </v:shape>
            </w:pict>
          </mc:Fallback>
        </mc:AlternateContent>
      </w:r>
    </w:p>
    <w:p w14:paraId="2C1DC0A7" w14:textId="77777777" w:rsidR="009D12AF" w:rsidRDefault="009D12AF">
      <w:pPr>
        <w:ind w:firstLine="480"/>
      </w:pPr>
    </w:p>
    <w:p w14:paraId="0C74A289" w14:textId="77777777" w:rsidR="009D12AF" w:rsidRDefault="00000000">
      <w:pPr>
        <w:pStyle w:val="TOC2"/>
        <w:ind w:left="480" w:firstLine="480"/>
      </w:pPr>
      <w:r>
        <w:rPr>
          <w:noProof/>
        </w:rPr>
        <mc:AlternateContent>
          <mc:Choice Requires="wps">
            <w:drawing>
              <wp:anchor distT="0" distB="0" distL="114300" distR="114300" simplePos="0" relativeHeight="251670528" behindDoc="0" locked="0" layoutInCell="1" allowOverlap="1" wp14:anchorId="19E1B6E1" wp14:editId="03318AA4">
                <wp:simplePos x="0" y="0"/>
                <wp:positionH relativeFrom="column">
                  <wp:posOffset>2986405</wp:posOffset>
                </wp:positionH>
                <wp:positionV relativeFrom="paragraph">
                  <wp:posOffset>140970</wp:posOffset>
                </wp:positionV>
                <wp:extent cx="111125" cy="75565"/>
                <wp:effectExtent l="26035" t="15240" r="34290" b="23495"/>
                <wp:wrapNone/>
                <wp:docPr id="187" name="五角星 187"/>
                <wp:cNvGraphicFramePr/>
                <a:graphic xmlns:a="http://schemas.openxmlformats.org/drawingml/2006/main">
                  <a:graphicData uri="http://schemas.microsoft.com/office/word/2010/wordprocessingShape">
                    <wps:wsp>
                      <wps:cNvSpPr/>
                      <wps:spPr>
                        <a:xfrm>
                          <a:off x="0" y="0"/>
                          <a:ext cx="111125" cy="75565"/>
                        </a:xfrm>
                        <a:prstGeom prst="star5">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C32F301" id="五角星 187" o:spid="_x0000_s1026" style="position:absolute;margin-left:235.15pt;margin-top:11.1pt;width:8.75pt;height:5.95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111125,75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" path="m,28863r42446,l55563,,68679,28863r42446,l76785,46702,89902,75565,55563,57726,21223,75565,34340,46702,,28863xe" fillcolor="#4874cb [3204]" strokecolor="#2d53a0 [2404]" strokeweight="1pt">
                <v:stroke joinstyle="miter"/>
                <v:path arrowok="t" o:connecttype="custom" o:connectlocs="0,28863;42446,28863;55563,0;68679,28863;111125,28863;76785,46702;89902,75565;55563,57726;21223,75565;34340,46702;0,28863" o:connectangles="0,0,0,0,0,0,0,0,0,0,0"/>
              </v:shape>
            </w:pict>
          </mc:Fallback>
        </mc:AlternateContent>
      </w:r>
    </w:p>
    <w:p w14:paraId="718C0967" w14:textId="77777777" w:rsidR="009D12AF" w:rsidRDefault="009D12AF">
      <w:pPr>
        <w:ind w:firstLine="480"/>
      </w:pPr>
    </w:p>
    <w:p w14:paraId="2451B7FE" w14:textId="77777777" w:rsidR="009D12AF" w:rsidRDefault="009D12AF">
      <w:pPr>
        <w:pStyle w:val="TOC2"/>
        <w:ind w:left="480" w:firstLine="480"/>
      </w:pPr>
    </w:p>
    <w:p w14:paraId="6E0C639D" w14:textId="77777777" w:rsidR="009D12AF" w:rsidRDefault="009D12AF">
      <w:pPr>
        <w:ind w:firstLine="480"/>
      </w:pPr>
    </w:p>
    <w:p w14:paraId="6C565DCB" w14:textId="77777777" w:rsidR="009D12AF" w:rsidRDefault="009D12AF">
      <w:pPr>
        <w:pStyle w:val="TOC2"/>
        <w:ind w:left="480" w:firstLine="480"/>
      </w:pPr>
    </w:p>
    <w:p w14:paraId="485913FB" w14:textId="77777777" w:rsidR="009D12AF" w:rsidRDefault="00000000">
      <w:pPr>
        <w:ind w:firstLine="482"/>
        <w:jc w:val="center"/>
      </w:pPr>
      <w:r>
        <w:rPr>
          <w:b/>
          <w:bCs/>
          <w:szCs w:val="32"/>
        </w:rPr>
        <w:t>图</w:t>
      </w:r>
      <w:r>
        <w:rPr>
          <w:b/>
          <w:bCs/>
          <w:szCs w:val="32"/>
        </w:rPr>
        <w:t>1</w:t>
      </w:r>
      <w:r>
        <w:rPr>
          <w:rFonts w:hint="eastAsia"/>
          <w:b/>
          <w:bCs/>
          <w:szCs w:val="32"/>
        </w:rPr>
        <w:t>.</w:t>
      </w:r>
      <w:r>
        <w:rPr>
          <w:b/>
          <w:bCs/>
          <w:szCs w:val="32"/>
        </w:rPr>
        <w:t>3-</w:t>
      </w:r>
      <w:r>
        <w:rPr>
          <w:rFonts w:hint="eastAsia"/>
          <w:b/>
          <w:bCs/>
          <w:szCs w:val="32"/>
        </w:rPr>
        <w:t>2</w:t>
      </w:r>
      <w:r>
        <w:rPr>
          <w:b/>
          <w:bCs/>
          <w:szCs w:val="32"/>
        </w:rPr>
        <w:t xml:space="preserve">    </w:t>
      </w:r>
      <w:r>
        <w:rPr>
          <w:b/>
          <w:bCs/>
          <w:szCs w:val="32"/>
        </w:rPr>
        <w:t>黑龙江水土保持规划图</w:t>
      </w:r>
    </w:p>
    <w:p w14:paraId="1C6058EE" w14:textId="77777777" w:rsidR="009D12AF" w:rsidRDefault="00000000">
      <w:pPr>
        <w:pStyle w:val="4"/>
        <w:ind w:firstLineChars="0" w:firstLine="0"/>
      </w:pPr>
      <w:r>
        <w:rPr>
          <w:rFonts w:hint="eastAsia"/>
        </w:rPr>
        <w:t>1.3.2.8</w:t>
      </w:r>
      <w:r>
        <w:rPr>
          <w:rFonts w:ascii="Times New Roman" w:eastAsia="宋体" w:hAnsi="Times New Roman"/>
          <w:szCs w:val="22"/>
          <w:lang w:bidi="ar"/>
        </w:rPr>
        <w:t>与《黑龙江省黑土地保护利用条例》及《</w:t>
      </w:r>
      <w:r>
        <w:rPr>
          <w:rFonts w:ascii="Times New Roman" w:eastAsia="宋体" w:hAnsi="Times New Roman" w:hint="eastAsia"/>
          <w:szCs w:val="22"/>
          <w:lang w:bidi="ar"/>
        </w:rPr>
        <w:t>牡丹江市“十四五”黑土地保护规划</w:t>
      </w:r>
      <w:r>
        <w:rPr>
          <w:rFonts w:ascii="Times New Roman" w:eastAsia="宋体" w:hAnsi="Times New Roman"/>
          <w:szCs w:val="22"/>
          <w:lang w:bidi="ar"/>
        </w:rPr>
        <w:t>》符合性分析</w:t>
      </w:r>
    </w:p>
    <w:p w14:paraId="374066A6" w14:textId="77777777" w:rsidR="009D12AF" w:rsidRDefault="00000000">
      <w:pPr>
        <w:ind w:firstLine="480"/>
      </w:pPr>
      <w:r>
        <w:t>根据《黑龙江省黑土地保护利用条例》相关内容，</w:t>
      </w:r>
      <w:r>
        <w:t>“</w:t>
      </w:r>
      <w:r>
        <w:t>第四十九条任何组织和个人应当节约使用黑土。农田改造、河湖清淤、表土剥离等活动中收集的黑土，经县级以上人民政府指定的部门备案并取得备案凭证后，可以用于土地复垦、劣质地改良、受污染耕地的风险管控和修复以及园林绿化、苗床苗圃用土、花卉种植等</w:t>
      </w:r>
      <w:r>
        <w:t>”</w:t>
      </w:r>
      <w:r>
        <w:t>。</w:t>
      </w:r>
    </w:p>
    <w:p w14:paraId="3CAEAD05" w14:textId="77777777" w:rsidR="009D12AF" w:rsidRDefault="00000000">
      <w:pPr>
        <w:ind w:firstLine="480"/>
      </w:pPr>
      <w:r>
        <w:rPr>
          <w:rFonts w:hint="eastAsia"/>
        </w:rPr>
        <w:t>根据</w:t>
      </w:r>
      <w:r>
        <w:t>《</w:t>
      </w:r>
      <w:r>
        <w:rPr>
          <w:rFonts w:hint="eastAsia"/>
        </w:rPr>
        <w:t>牡丹江市“十四五”黑土地保护规划</w:t>
      </w:r>
      <w:r>
        <w:t>》相关内容，</w:t>
      </w:r>
      <w:r>
        <w:t>“</w:t>
      </w:r>
      <w:r>
        <w:rPr>
          <w:rFonts w:hint="eastAsia"/>
        </w:rPr>
        <w:t>3.</w:t>
      </w:r>
      <w:r>
        <w:rPr>
          <w:rFonts w:hint="eastAsia"/>
        </w:rPr>
        <w:t>加强耕地保护执法监察。全面加大黑土耕地保护违法违规问题执法力度，及时发现、严肃查处</w:t>
      </w:r>
      <w:r>
        <w:rPr>
          <w:rFonts w:hint="eastAsia"/>
        </w:rPr>
        <w:lastRenderedPageBreak/>
        <w:t>土地违法特别是乱占耕地、破坏耕地、盗挖黑土等行为。严格执行建设占用耕地耕作层表土剥离再利用，剥离的土壤优先用于土地整治、高标准农田建设、工矿废弃地复垦、生态修复等项目，以及新开垦耕地、劣质地或者其他耕地的土壤改良等农业生产生活，富余土壤可以用于绿化。</w:t>
      </w:r>
      <w:r>
        <w:t>”</w:t>
      </w:r>
    </w:p>
    <w:p w14:paraId="143073EF" w14:textId="77777777" w:rsidR="009D12AF" w:rsidRDefault="00000000">
      <w:pPr>
        <w:ind w:firstLine="480"/>
      </w:pPr>
      <w:r>
        <w:t>本项目工程清淤方首先运至</w:t>
      </w:r>
      <w:r>
        <w:rPr>
          <w:rFonts w:hint="eastAsia"/>
        </w:rPr>
        <w:t>临时堆场</w:t>
      </w:r>
      <w:r>
        <w:t>，经</w:t>
      </w:r>
      <w:r>
        <w:rPr>
          <w:rFonts w:hint="eastAsia"/>
        </w:rPr>
        <w:t>晾晒脱水</w:t>
      </w:r>
      <w:r>
        <w:t>干化后，运至</w:t>
      </w:r>
      <w:r>
        <w:rPr>
          <w:rFonts w:hint="eastAsia"/>
        </w:rPr>
        <w:t>牡丹江金达农化有限公司，</w:t>
      </w:r>
      <w:r>
        <w:rPr>
          <w:rFonts w:ascii="宋体" w:eastAsia="宋体" w:hAnsi="宋体" w:cs="宋体" w:hint="eastAsia"/>
          <w:color w:val="000000"/>
          <w:kern w:val="0"/>
          <w:lang w:bidi="ar"/>
        </w:rPr>
        <w:t>后期委托</w:t>
      </w:r>
      <w:r>
        <w:rPr>
          <w:rFonts w:hint="eastAsia"/>
        </w:rPr>
        <w:t>牡丹江金达农化有限公司对其清淤底泥进行加工制作生物肥可行，由企业售卖</w:t>
      </w:r>
      <w:r>
        <w:rPr>
          <w:rFonts w:ascii="宋体" w:eastAsia="宋体" w:hAnsi="宋体" w:cs="宋体" w:hint="eastAsia"/>
          <w:color w:val="000000"/>
          <w:kern w:val="0"/>
          <w:lang w:bidi="ar"/>
        </w:rPr>
        <w:t>。</w:t>
      </w:r>
      <w:r>
        <w:t>弃土场表土剥离方整形堆置在附近，做好水土流失防护措施，待施工结束后恢复表土之用。综上，本项目建设符合《黑龙江省黑土地保护利用条例》及《</w:t>
      </w:r>
      <w:r>
        <w:rPr>
          <w:rFonts w:hint="eastAsia"/>
        </w:rPr>
        <w:t>牡丹江市“十四五”黑土地保护规划</w:t>
      </w:r>
      <w:r>
        <w:t>》要求。</w:t>
      </w:r>
    </w:p>
    <w:p w14:paraId="21DC4682" w14:textId="77777777" w:rsidR="009D12AF" w:rsidRDefault="00000000">
      <w:pPr>
        <w:pStyle w:val="4"/>
        <w:ind w:firstLineChars="0" w:firstLine="0"/>
      </w:pPr>
      <w:r>
        <w:rPr>
          <w:rFonts w:hint="eastAsia"/>
        </w:rPr>
        <w:t>1.3.2.9</w:t>
      </w:r>
      <w:r>
        <w:rPr>
          <w:rFonts w:ascii="Times New Roman" w:eastAsia="宋体" w:hAnsi="Times New Roman"/>
          <w:szCs w:val="22"/>
          <w:lang w:bidi="ar"/>
        </w:rPr>
        <w:t>与《黑龙江省水污染防治条例》符合性分析</w:t>
      </w:r>
    </w:p>
    <w:p w14:paraId="1A89A2ED" w14:textId="77777777" w:rsidR="009D12AF" w:rsidRDefault="00000000">
      <w:pPr>
        <w:autoSpaceDE w:val="0"/>
        <w:autoSpaceDN w:val="0"/>
        <w:adjustRightInd w:val="0"/>
        <w:snapToGrid w:val="0"/>
        <w:ind w:firstLine="480"/>
      </w:pPr>
      <w:r>
        <w:t>根据《黑龙江省水污染防治条例》，</w:t>
      </w:r>
      <w:r>
        <w:t>“</w:t>
      </w:r>
      <w:r>
        <w:t>第二十七条：县级以上人民政府应当对江河、湖泊、水库、湿地等实施保护与修复，因地制宜建设人工湿地、水源涵养林、沿河沿湖植被缓冲带和隔离带等工程，培育水生动植物，恢复水体自我净化能力。开展河床、护坡整治等作业时，应当采取有效措施，维护河流生态环境功能</w:t>
      </w:r>
      <w:r>
        <w:t>”</w:t>
      </w:r>
      <w:r>
        <w:t>。</w:t>
      </w:r>
    </w:p>
    <w:p w14:paraId="2D3C0C54" w14:textId="77777777" w:rsidR="009D12AF" w:rsidRDefault="00000000">
      <w:pPr>
        <w:ind w:firstLine="480"/>
      </w:pPr>
      <w:r>
        <w:t>本项目为河湖整治类项目，本项目清淤工程</w:t>
      </w:r>
      <w:r>
        <w:rPr>
          <w:szCs w:val="22"/>
        </w:rPr>
        <w:t>有利于提升</w:t>
      </w:r>
      <w:r>
        <w:rPr>
          <w:rFonts w:hint="eastAsia"/>
          <w:szCs w:val="22"/>
        </w:rPr>
        <w:t>项目水库、海浪河及莲花湖</w:t>
      </w:r>
      <w:r>
        <w:rPr>
          <w:szCs w:val="22"/>
        </w:rPr>
        <w:t>生态环境功能。</w:t>
      </w:r>
      <w:r>
        <w:t>项目建设符合《黑龙江省水污染防治条例》要求。</w:t>
      </w:r>
    </w:p>
    <w:p w14:paraId="73B1CF20" w14:textId="77777777" w:rsidR="009D12AF" w:rsidRDefault="00000000">
      <w:pPr>
        <w:pStyle w:val="4"/>
        <w:ind w:firstLineChars="0" w:firstLine="0"/>
      </w:pPr>
      <w:r>
        <w:rPr>
          <w:rFonts w:hint="eastAsia"/>
        </w:rPr>
        <w:t>1.3.2.10</w:t>
      </w:r>
      <w:r>
        <w:rPr>
          <w:rFonts w:ascii="Times New Roman" w:eastAsia="宋体" w:hAnsi="Times New Roman"/>
          <w:szCs w:val="22"/>
          <w:lang w:bidi="ar"/>
        </w:rPr>
        <w:t>与《牡丹江市</w:t>
      </w:r>
      <w:r>
        <w:rPr>
          <w:rFonts w:ascii="Times New Roman" w:eastAsia="宋体" w:hAnsi="Times New Roman"/>
          <w:szCs w:val="22"/>
          <w:lang w:bidi="ar"/>
        </w:rPr>
        <w:t>“</w:t>
      </w:r>
      <w:r>
        <w:rPr>
          <w:rFonts w:ascii="Times New Roman" w:eastAsia="宋体" w:hAnsi="Times New Roman"/>
          <w:szCs w:val="22"/>
          <w:lang w:bidi="ar"/>
        </w:rPr>
        <w:t>十四五</w:t>
      </w:r>
      <w:r>
        <w:rPr>
          <w:rFonts w:ascii="Times New Roman" w:eastAsia="宋体" w:hAnsi="Times New Roman"/>
          <w:szCs w:val="22"/>
          <w:lang w:bidi="ar"/>
        </w:rPr>
        <w:t>”</w:t>
      </w:r>
      <w:r>
        <w:rPr>
          <w:rFonts w:ascii="Times New Roman" w:eastAsia="宋体" w:hAnsi="Times New Roman"/>
          <w:szCs w:val="22"/>
          <w:lang w:bidi="ar"/>
        </w:rPr>
        <w:t>生态环境保护规划》的符合性分析</w:t>
      </w:r>
    </w:p>
    <w:p w14:paraId="0763EBF3" w14:textId="77777777" w:rsidR="009D12AF" w:rsidRDefault="00000000">
      <w:pPr>
        <w:adjustRightInd w:val="0"/>
        <w:snapToGrid w:val="0"/>
        <w:ind w:firstLine="480"/>
        <w:rPr>
          <w:szCs w:val="22"/>
        </w:rPr>
      </w:pPr>
      <w:r>
        <w:rPr>
          <w:szCs w:val="22"/>
        </w:rPr>
        <w:t>根据《牡丹江市</w:t>
      </w:r>
      <w:r>
        <w:rPr>
          <w:szCs w:val="22"/>
        </w:rPr>
        <w:t>“</w:t>
      </w:r>
      <w:r>
        <w:rPr>
          <w:szCs w:val="22"/>
        </w:rPr>
        <w:t>十四五</w:t>
      </w:r>
      <w:r>
        <w:rPr>
          <w:szCs w:val="22"/>
        </w:rPr>
        <w:t>”</w:t>
      </w:r>
      <w:r>
        <w:rPr>
          <w:szCs w:val="22"/>
        </w:rPr>
        <w:t>生态环境保护规划》，</w:t>
      </w:r>
      <w:r>
        <w:rPr>
          <w:szCs w:val="22"/>
        </w:rPr>
        <w:t>“</w:t>
      </w:r>
      <w:r>
        <w:rPr>
          <w:szCs w:val="22"/>
        </w:rPr>
        <w:t>（三）推动水生态恢复</w:t>
      </w:r>
      <w:r>
        <w:rPr>
          <w:szCs w:val="22"/>
        </w:rPr>
        <w:t>-3.</w:t>
      </w:r>
      <w:r>
        <w:rPr>
          <w:szCs w:val="22"/>
        </w:rPr>
        <w:t>加强水生态保护修复。在农业面源污染较重水体和水质达不到规划目标的河湖周边，严格落实河湖岸线边界，划定生态缓冲带，强化岸线用途管制。加强河湖缓冲带管理，对重要生态空间内不符合保护要求的人类活动进行整治。推进自然湿地修复和综合整治。</w:t>
      </w:r>
    </w:p>
    <w:p w14:paraId="1F5F7D5B" w14:textId="77777777" w:rsidR="009D12AF" w:rsidRDefault="00000000">
      <w:pPr>
        <w:ind w:firstLine="480"/>
      </w:pPr>
      <w:r>
        <w:rPr>
          <w:szCs w:val="22"/>
        </w:rPr>
        <w:t>本项目为河湖整治类项目，本项目清淤工程有利于提升</w:t>
      </w:r>
      <w:r>
        <w:rPr>
          <w:rFonts w:hint="eastAsia"/>
          <w:szCs w:val="22"/>
        </w:rPr>
        <w:t>项目水库、海浪河及莲花湖</w:t>
      </w:r>
      <w:r>
        <w:rPr>
          <w:szCs w:val="22"/>
        </w:rPr>
        <w:t>生态环境功能生态环境功能。项目建设符合《牡丹江市</w:t>
      </w:r>
      <w:r>
        <w:rPr>
          <w:szCs w:val="22"/>
        </w:rPr>
        <w:t>“</w:t>
      </w:r>
      <w:r>
        <w:rPr>
          <w:szCs w:val="22"/>
        </w:rPr>
        <w:t>十四五</w:t>
      </w:r>
      <w:r>
        <w:rPr>
          <w:szCs w:val="22"/>
        </w:rPr>
        <w:t>”</w:t>
      </w:r>
      <w:r>
        <w:rPr>
          <w:szCs w:val="22"/>
        </w:rPr>
        <w:t>生态环境保护规划》要求。</w:t>
      </w:r>
    </w:p>
    <w:p w14:paraId="2D58C8C1" w14:textId="77777777" w:rsidR="009D12AF" w:rsidRDefault="00000000">
      <w:pPr>
        <w:pStyle w:val="4"/>
        <w:ind w:firstLineChars="0" w:firstLine="0"/>
      </w:pPr>
      <w:r>
        <w:rPr>
          <w:rFonts w:hint="eastAsia"/>
        </w:rPr>
        <w:lastRenderedPageBreak/>
        <w:t>1.3.2.11</w:t>
      </w:r>
      <w:r>
        <w:rPr>
          <w:rFonts w:ascii="Times New Roman" w:eastAsia="宋体" w:hAnsi="Times New Roman"/>
          <w:szCs w:val="22"/>
          <w:lang w:bidi="ar"/>
        </w:rPr>
        <w:t>与《中华人民共和国水污染防治法》（</w:t>
      </w:r>
      <w:r>
        <w:rPr>
          <w:rFonts w:ascii="Times New Roman" w:eastAsia="宋体" w:hAnsi="Times New Roman"/>
          <w:szCs w:val="22"/>
          <w:lang w:bidi="ar"/>
        </w:rPr>
        <w:t>2017</w:t>
      </w:r>
      <w:r>
        <w:rPr>
          <w:rFonts w:ascii="Times New Roman" w:eastAsia="宋体" w:hAnsi="Times New Roman"/>
          <w:szCs w:val="22"/>
          <w:lang w:bidi="ar"/>
        </w:rPr>
        <w:t>修正）的相符性</w:t>
      </w:r>
    </w:p>
    <w:p w14:paraId="421A4C89" w14:textId="77777777" w:rsidR="009D12AF" w:rsidRDefault="00000000">
      <w:pPr>
        <w:pStyle w:val="14"/>
        <w:snapToGrid w:val="0"/>
        <w:spacing w:line="360" w:lineRule="auto"/>
        <w:ind w:firstLine="480"/>
        <w:jc w:val="both"/>
        <w:rPr>
          <w:rFonts w:ascii="Times New Roman" w:eastAsia="宋体" w:hAnsi="Times New Roman"/>
          <w:sz w:val="24"/>
        </w:rPr>
      </w:pPr>
      <w:r>
        <w:rPr>
          <w:rFonts w:ascii="Times New Roman" w:eastAsia="宋体" w:hAnsi="Times New Roman"/>
          <w:sz w:val="24"/>
        </w:rPr>
        <w:t>根据《中华人民共和国水污染防治法》中饮用水水源和其他特殊水体保护要求，</w:t>
      </w:r>
      <w:r>
        <w:rPr>
          <w:rFonts w:ascii="Times New Roman" w:eastAsia="宋体" w:hAnsi="Times New Roman"/>
          <w:sz w:val="24"/>
        </w:rPr>
        <w:t>“</w:t>
      </w:r>
      <w:r>
        <w:rPr>
          <w:rFonts w:ascii="Times New Roman" w:eastAsia="宋体" w:hAnsi="Times New Roman"/>
          <w:sz w:val="24"/>
        </w:rPr>
        <w:t>禁止在饮用水水源一级保护区内新建、改建、扩建与供水设施和保护水源无关的建设项目；已建成的与供水设施和保护水源无关的建设项目，由县级以上人民政府责令拆除或者关闭。禁止在饮用水水源一级保护区内从事网箱养殖、旅游、游泳、垂钓或者其他可能污染饮用水水体的活动</w:t>
      </w:r>
      <w:r>
        <w:rPr>
          <w:rFonts w:ascii="Times New Roman" w:eastAsia="宋体" w:hAnsi="Times New Roman"/>
          <w:sz w:val="24"/>
        </w:rPr>
        <w:t>”</w:t>
      </w:r>
      <w:r>
        <w:rPr>
          <w:rFonts w:ascii="Times New Roman" w:eastAsia="宋体" w:hAnsi="Times New Roman"/>
          <w:sz w:val="24"/>
        </w:rPr>
        <w:t>、</w:t>
      </w:r>
      <w:r>
        <w:rPr>
          <w:rFonts w:ascii="Times New Roman" w:eastAsia="宋体" w:hAnsi="Times New Roman"/>
          <w:sz w:val="24"/>
        </w:rPr>
        <w:t>“</w:t>
      </w:r>
      <w:r>
        <w:rPr>
          <w:rFonts w:ascii="Times New Roman" w:eastAsia="宋体" w:hAnsi="Times New Roman"/>
          <w:sz w:val="24"/>
        </w:rPr>
        <w:t>禁止在饮用水水源二级保护区内新建、改建、扩建排放污染物的建设项目；已建成的排放污染物的建设项目，由县级以上人民政府责令拆除或者关闭。在饮用水水源二级保护区内从事网箱养殖、旅游等活动的，应当按照规定采取措施，防止污染饮用水水体。</w:t>
      </w:r>
      <w:r>
        <w:rPr>
          <w:rFonts w:ascii="Times New Roman" w:eastAsia="宋体" w:hAnsi="Times New Roman"/>
          <w:sz w:val="24"/>
        </w:rPr>
        <w:t>”</w:t>
      </w:r>
    </w:p>
    <w:p w14:paraId="05F6F4FF" w14:textId="77777777" w:rsidR="009D12AF" w:rsidRDefault="00000000">
      <w:pPr>
        <w:ind w:firstLine="480"/>
      </w:pPr>
      <w:r>
        <w:rPr>
          <w:rFonts w:ascii="Times New Roman" w:eastAsia="宋体" w:hAnsi="Times New Roman"/>
        </w:rPr>
        <w:t>本项目仅在施工期临时占用水源地二级保护区，不占用一级保护区。项目无永久占地工程，</w:t>
      </w:r>
      <w:r>
        <w:rPr>
          <w:rFonts w:ascii="Times New Roman" w:eastAsia="宋体" w:hAnsi="Times New Roman" w:hint="eastAsia"/>
        </w:rPr>
        <w:t>本项目实施后改善水生态环境</w:t>
      </w:r>
      <w:r>
        <w:rPr>
          <w:rFonts w:ascii="Times New Roman" w:eastAsia="宋体" w:hAnsi="Times New Roman"/>
        </w:rPr>
        <w:t>，不会造成水体污染。项目的实施有利于</w:t>
      </w:r>
      <w:r>
        <w:rPr>
          <w:rFonts w:hint="eastAsia"/>
          <w:szCs w:val="22"/>
        </w:rPr>
        <w:t>项目水库、海浪河、莲花湖及水库的</w:t>
      </w:r>
      <w:r>
        <w:rPr>
          <w:rFonts w:ascii="Times New Roman" w:eastAsia="宋体" w:hAnsi="Times New Roman"/>
        </w:rPr>
        <w:t>水质提升，为生态改善型，有利于改善区域水土流失现状，有利于水源地的保护，项目的建设符合《中华人民共和国水污染防治法》（</w:t>
      </w:r>
      <w:r>
        <w:rPr>
          <w:rFonts w:ascii="Times New Roman" w:eastAsia="宋体" w:hAnsi="Times New Roman"/>
        </w:rPr>
        <w:t>2017</w:t>
      </w:r>
      <w:r>
        <w:rPr>
          <w:rFonts w:ascii="Times New Roman" w:eastAsia="宋体" w:hAnsi="Times New Roman"/>
        </w:rPr>
        <w:t>修正）要求。</w:t>
      </w:r>
    </w:p>
    <w:p w14:paraId="6E218A37" w14:textId="77777777" w:rsidR="009D12AF" w:rsidRDefault="00000000">
      <w:pPr>
        <w:pStyle w:val="4"/>
        <w:ind w:firstLineChars="0" w:firstLine="0"/>
        <w:rPr>
          <w:rFonts w:ascii="Times New Roman" w:eastAsia="宋体" w:hAnsi="Times New Roman"/>
          <w:szCs w:val="22"/>
          <w:lang w:bidi="ar"/>
        </w:rPr>
      </w:pPr>
      <w:r>
        <w:rPr>
          <w:rFonts w:hint="eastAsia"/>
        </w:rPr>
        <w:t>1.3.2.12</w:t>
      </w:r>
      <w:r>
        <w:rPr>
          <w:rFonts w:ascii="Times New Roman" w:eastAsia="宋体" w:hAnsi="Times New Roman"/>
          <w:szCs w:val="22"/>
          <w:lang w:bidi="ar"/>
        </w:rPr>
        <w:t>与《饮用水水源保护区污染防治管理规定》（</w:t>
      </w:r>
      <w:r>
        <w:rPr>
          <w:rFonts w:ascii="Times New Roman" w:eastAsia="宋体" w:hAnsi="Times New Roman"/>
          <w:szCs w:val="22"/>
          <w:lang w:bidi="ar"/>
        </w:rPr>
        <w:t>2010</w:t>
      </w:r>
      <w:r>
        <w:rPr>
          <w:rFonts w:ascii="Times New Roman" w:eastAsia="宋体" w:hAnsi="Times New Roman"/>
          <w:szCs w:val="22"/>
          <w:lang w:bidi="ar"/>
        </w:rPr>
        <w:t>修正）的相符性</w:t>
      </w:r>
    </w:p>
    <w:p w14:paraId="17C046EF" w14:textId="77777777" w:rsidR="009D12AF" w:rsidRDefault="00000000">
      <w:pPr>
        <w:pStyle w:val="14"/>
        <w:snapToGrid w:val="0"/>
        <w:spacing w:line="360" w:lineRule="auto"/>
        <w:ind w:firstLine="480"/>
        <w:jc w:val="both"/>
        <w:rPr>
          <w:rFonts w:ascii="Times New Roman" w:eastAsia="宋体" w:hAnsi="Times New Roman"/>
          <w:sz w:val="24"/>
          <w:szCs w:val="24"/>
        </w:rPr>
      </w:pPr>
      <w:r>
        <w:rPr>
          <w:rFonts w:ascii="Times New Roman" w:eastAsia="宋体" w:hAnsi="Times New Roman"/>
          <w:sz w:val="24"/>
          <w:szCs w:val="24"/>
        </w:rPr>
        <w:t>根据《饮用水水源保护区污染防治管理规定》要求，</w:t>
      </w:r>
      <w:r>
        <w:rPr>
          <w:rFonts w:ascii="Times New Roman" w:eastAsia="宋体" w:hAnsi="Times New Roman"/>
          <w:sz w:val="24"/>
          <w:szCs w:val="24"/>
        </w:rPr>
        <w:t>“</w:t>
      </w:r>
      <w:r>
        <w:rPr>
          <w:rFonts w:ascii="Times New Roman" w:eastAsia="宋体" w:hAnsi="Times New Roman"/>
          <w:sz w:val="24"/>
          <w:szCs w:val="24"/>
        </w:rPr>
        <w:t>禁止建设化工、电镀、皮革、造纸、制浆、冶炼、放射性、印染、染料、炼焦、炼油及其它有严重污染的企业，已建成的要限期治理，转产或搬迁；禁止设置城市垃圾、粪便和易溶、有毒有害废弃物堆放场和转运站，已有的上述场站要限期搬迁；禁止利用未经净化的污水灌溉农田，已有的污灌农田要限期改用清水灌溉；化工原料、矿物油类及有毒有害矿产品的堆放场所必须有防雨、防渗措施。</w:t>
      </w:r>
      <w:r>
        <w:rPr>
          <w:rFonts w:ascii="Times New Roman" w:eastAsia="宋体" w:hAnsi="Times New Roman"/>
          <w:sz w:val="24"/>
          <w:szCs w:val="24"/>
        </w:rPr>
        <w:t>”</w:t>
      </w:r>
    </w:p>
    <w:p w14:paraId="466E087B" w14:textId="77777777" w:rsidR="009D12AF" w:rsidRDefault="00000000">
      <w:pPr>
        <w:ind w:firstLine="480"/>
        <w:rPr>
          <w:rFonts w:ascii="Times New Roman" w:eastAsia="宋体" w:hAnsi="Times New Roman"/>
        </w:rPr>
      </w:pPr>
      <w:r>
        <w:rPr>
          <w:rFonts w:ascii="Times New Roman" w:eastAsia="宋体" w:hAnsi="Times New Roman"/>
        </w:rPr>
        <w:t>本项目仅在施工期临时占用水源地</w:t>
      </w:r>
      <w:r>
        <w:rPr>
          <w:rFonts w:ascii="Times New Roman" w:eastAsia="宋体" w:hAnsi="Times New Roman" w:hint="eastAsia"/>
        </w:rPr>
        <w:t>二级</w:t>
      </w:r>
      <w:r>
        <w:rPr>
          <w:rFonts w:ascii="Times New Roman" w:eastAsia="宋体" w:hAnsi="Times New Roman"/>
        </w:rPr>
        <w:t>保护区。项目无永久占地工程，</w:t>
      </w:r>
      <w:r>
        <w:rPr>
          <w:rFonts w:ascii="Times New Roman" w:eastAsia="宋体" w:hAnsi="Times New Roman" w:hint="eastAsia"/>
        </w:rPr>
        <w:t>本项目实施后改善水生态环境</w:t>
      </w:r>
      <w:r>
        <w:rPr>
          <w:rFonts w:ascii="Times New Roman" w:eastAsia="宋体" w:hAnsi="Times New Roman"/>
        </w:rPr>
        <w:t>，不会造成水体污染。项目的实施有利于</w:t>
      </w:r>
      <w:r>
        <w:rPr>
          <w:rFonts w:hint="eastAsia"/>
          <w:szCs w:val="22"/>
        </w:rPr>
        <w:t>项目水库、海浪河莲花湖、水库的</w:t>
      </w:r>
      <w:r>
        <w:rPr>
          <w:rFonts w:ascii="Times New Roman" w:eastAsia="宋体" w:hAnsi="Times New Roman"/>
        </w:rPr>
        <w:t>水质提升，为生态改善型，有利于改善区域水土流失现状，有利于水源地的保护，因此本项目符合《饮用水水源保护区污染防治管理规定》</w:t>
      </w:r>
      <w:r>
        <w:rPr>
          <w:rFonts w:ascii="Times New Roman" w:eastAsia="宋体" w:hAnsi="Times New Roman"/>
        </w:rPr>
        <w:lastRenderedPageBreak/>
        <w:t>（</w:t>
      </w:r>
      <w:r>
        <w:rPr>
          <w:rFonts w:ascii="Times New Roman" w:eastAsia="宋体" w:hAnsi="Times New Roman"/>
        </w:rPr>
        <w:t>2010</w:t>
      </w:r>
      <w:r>
        <w:rPr>
          <w:rFonts w:ascii="Times New Roman" w:eastAsia="宋体" w:hAnsi="Times New Roman"/>
        </w:rPr>
        <w:t>修正）要求。</w:t>
      </w:r>
    </w:p>
    <w:p w14:paraId="06481F5E" w14:textId="77777777" w:rsidR="009D12AF" w:rsidRDefault="00000000">
      <w:pPr>
        <w:pStyle w:val="4"/>
        <w:ind w:firstLineChars="0" w:firstLine="0"/>
        <w:rPr>
          <w:rFonts w:ascii="Times New Roman" w:eastAsia="宋体" w:hAnsi="Times New Roman"/>
          <w:szCs w:val="22"/>
          <w:lang w:bidi="ar"/>
        </w:rPr>
      </w:pPr>
      <w:r>
        <w:rPr>
          <w:rFonts w:hint="eastAsia"/>
        </w:rPr>
        <w:t>1.3.2.13</w:t>
      </w:r>
      <w:r>
        <w:rPr>
          <w:rFonts w:ascii="Times New Roman" w:eastAsia="宋体" w:hAnsi="Times New Roman"/>
          <w:szCs w:val="22"/>
          <w:lang w:bidi="ar"/>
        </w:rPr>
        <w:t>与《集中式饮用水水源地环境保护指南（试行）》的相符性</w:t>
      </w:r>
    </w:p>
    <w:p w14:paraId="17E813F8" w14:textId="77777777" w:rsidR="009D12AF" w:rsidRDefault="00000000">
      <w:pPr>
        <w:pStyle w:val="14"/>
        <w:snapToGrid w:val="0"/>
        <w:spacing w:line="360" w:lineRule="auto"/>
        <w:ind w:firstLine="480"/>
        <w:jc w:val="both"/>
        <w:rPr>
          <w:rFonts w:ascii="Times New Roman" w:eastAsia="宋体" w:hAnsi="Times New Roman"/>
          <w:sz w:val="24"/>
          <w:szCs w:val="24"/>
        </w:rPr>
      </w:pPr>
      <w:r>
        <w:rPr>
          <w:rFonts w:ascii="Times New Roman" w:eastAsia="宋体" w:hAnsi="Times New Roman"/>
          <w:sz w:val="24"/>
          <w:szCs w:val="24"/>
        </w:rPr>
        <w:t>根据《集中式饮用水水源地环境保护指南（试行）》要求，二级保护区禁止新建、改建和扩建排放污染物的建设项目；已建成排放污染物的建设项目，由县级以上人民政府责令拆除或关闭。</w:t>
      </w:r>
    </w:p>
    <w:p w14:paraId="3D52DB20" w14:textId="77777777" w:rsidR="009D12AF" w:rsidRDefault="00000000">
      <w:pPr>
        <w:ind w:firstLine="480"/>
      </w:pPr>
      <w:r>
        <w:t>本项目</w:t>
      </w:r>
      <w:r>
        <w:rPr>
          <w:rFonts w:hint="eastAsia"/>
        </w:rPr>
        <w:t>向阳水电站前池</w:t>
      </w:r>
      <w:r>
        <w:t>仅在施工期临时占用</w:t>
      </w:r>
      <w:r>
        <w:rPr>
          <w:rFonts w:hint="eastAsia"/>
        </w:rPr>
        <w:t>饮用水</w:t>
      </w:r>
      <w:r>
        <w:t>水源地</w:t>
      </w:r>
      <w:r>
        <w:rPr>
          <w:rFonts w:hint="eastAsia"/>
        </w:rPr>
        <w:t>二级</w:t>
      </w:r>
      <w:r>
        <w:t>保护区，不占用一级保护区。项目无永久占地工程，</w:t>
      </w:r>
      <w:r>
        <w:rPr>
          <w:rFonts w:hint="eastAsia"/>
        </w:rPr>
        <w:t>本项目实施后改善水生态环境</w:t>
      </w:r>
      <w:r>
        <w:t>，不会造成水体污染。</w:t>
      </w:r>
      <w:r>
        <w:rPr>
          <w:rFonts w:ascii="Times New Roman" w:eastAsia="宋体" w:hAnsi="Times New Roman"/>
        </w:rPr>
        <w:t>项目的实施有利于</w:t>
      </w:r>
      <w:r>
        <w:rPr>
          <w:rFonts w:hint="eastAsia"/>
          <w:szCs w:val="22"/>
        </w:rPr>
        <w:t>项目水库、海浪河、莲花湖及水库的</w:t>
      </w:r>
      <w:r>
        <w:rPr>
          <w:rFonts w:ascii="Times New Roman" w:eastAsia="宋体" w:hAnsi="Times New Roman"/>
        </w:rPr>
        <w:t>水质提升</w:t>
      </w:r>
      <w:r>
        <w:t>，为生态改善型，有利于改善区域水土流失现状，有利于水源地的保护，项目的建设符合《集中式饮用水水源地环境保护指南（试行）》要求。</w:t>
      </w:r>
    </w:p>
    <w:p w14:paraId="2EAD1FC9" w14:textId="77777777" w:rsidR="009D12AF" w:rsidRDefault="00000000">
      <w:pPr>
        <w:pStyle w:val="4"/>
        <w:ind w:firstLineChars="0" w:firstLine="0"/>
        <w:rPr>
          <w:rFonts w:ascii="Times New Roman" w:eastAsia="宋体" w:hAnsi="Times New Roman"/>
          <w:szCs w:val="22"/>
          <w:lang w:bidi="ar"/>
        </w:rPr>
      </w:pPr>
      <w:r>
        <w:rPr>
          <w:rFonts w:hint="eastAsia"/>
        </w:rPr>
        <w:t>1.3.2.14</w:t>
      </w:r>
      <w:r>
        <w:rPr>
          <w:rFonts w:eastAsia="宋体"/>
          <w:lang w:bidi="ar"/>
        </w:rPr>
        <w:t>与</w:t>
      </w:r>
      <w:r>
        <w:rPr>
          <w:rFonts w:eastAsia="宋体" w:hint="eastAsia"/>
          <w:lang w:bidi="ar"/>
        </w:rPr>
        <w:t>《牡丹江市生活饮用水地表水源保护区管理办法》（</w:t>
      </w:r>
      <w:r>
        <w:rPr>
          <w:rFonts w:ascii="Times New Roman" w:eastAsia="宋体" w:hAnsi="Times New Roman" w:hint="eastAsia"/>
          <w:szCs w:val="22"/>
          <w:lang w:bidi="ar"/>
        </w:rPr>
        <w:t>牡政发</w:t>
      </w:r>
      <w:r>
        <w:rPr>
          <w:rFonts w:ascii="Times New Roman" w:eastAsia="宋体" w:hAnsi="Times New Roman" w:hint="eastAsia"/>
          <w:szCs w:val="22"/>
          <w:lang w:bidi="ar"/>
        </w:rPr>
        <w:t>[2006]5</w:t>
      </w:r>
      <w:r>
        <w:rPr>
          <w:rFonts w:ascii="Times New Roman" w:eastAsia="宋体" w:hAnsi="Times New Roman" w:hint="eastAsia"/>
          <w:szCs w:val="22"/>
          <w:lang w:bidi="ar"/>
        </w:rPr>
        <w:t>号</w:t>
      </w:r>
      <w:r>
        <w:rPr>
          <w:rFonts w:eastAsia="宋体" w:hint="eastAsia"/>
          <w:lang w:bidi="ar"/>
        </w:rPr>
        <w:t>）</w:t>
      </w:r>
      <w:r>
        <w:rPr>
          <w:rFonts w:eastAsia="宋体"/>
          <w:lang w:bidi="ar"/>
        </w:rPr>
        <w:t>的相符性</w:t>
      </w:r>
    </w:p>
    <w:p w14:paraId="42A92E99" w14:textId="77777777" w:rsidR="009D12AF" w:rsidRDefault="00000000">
      <w:pPr>
        <w:pStyle w:val="Style2"/>
        <w:adjustRightInd w:val="0"/>
        <w:snapToGrid w:val="0"/>
        <w:ind w:firstLineChars="200" w:firstLine="480"/>
      </w:pPr>
      <w:r>
        <w:rPr>
          <w:rFonts w:hint="eastAsia"/>
        </w:rPr>
        <w:t>本项目与</w:t>
      </w:r>
      <w:r>
        <w:rPr>
          <w:rFonts w:hint="eastAsia"/>
          <w:lang w:bidi="ar"/>
        </w:rPr>
        <w:t>《牡丹江市生活饮用水地表水源保护区管理办法》（牡政发</w:t>
      </w:r>
      <w:r>
        <w:rPr>
          <w:rFonts w:hint="eastAsia"/>
          <w:lang w:bidi="ar"/>
        </w:rPr>
        <w:t>[2006]5</w:t>
      </w:r>
      <w:r>
        <w:rPr>
          <w:rFonts w:hint="eastAsia"/>
          <w:lang w:bidi="ar"/>
        </w:rPr>
        <w:t>号）符合性分析见表</w:t>
      </w:r>
      <w:r>
        <w:rPr>
          <w:rFonts w:hint="eastAsia"/>
          <w:lang w:bidi="ar"/>
        </w:rPr>
        <w:t>1.3-8</w:t>
      </w:r>
      <w:r>
        <w:rPr>
          <w:rFonts w:hint="eastAsia"/>
          <w:lang w:bidi="ar"/>
        </w:rPr>
        <w:t>。</w:t>
      </w:r>
    </w:p>
    <w:p w14:paraId="6F6D6F7B" w14:textId="77777777" w:rsidR="009D12AF" w:rsidRDefault="00000000">
      <w:pPr>
        <w:pStyle w:val="Style2"/>
        <w:adjustRightInd w:val="0"/>
        <w:snapToGrid w:val="0"/>
        <w:ind w:firstLineChars="200" w:firstLine="482"/>
        <w:rPr>
          <w:b/>
          <w:snapToGrid w:val="0"/>
          <w:szCs w:val="24"/>
        </w:rPr>
      </w:pPr>
      <w:r>
        <w:rPr>
          <w:rFonts w:hint="eastAsia"/>
          <w:b/>
          <w:snapToGrid w:val="0"/>
          <w:szCs w:val="24"/>
        </w:rPr>
        <w:t>表</w:t>
      </w:r>
      <w:r>
        <w:rPr>
          <w:rFonts w:hint="eastAsia"/>
          <w:b/>
          <w:snapToGrid w:val="0"/>
          <w:szCs w:val="24"/>
        </w:rPr>
        <w:t>1.3-8</w:t>
      </w:r>
      <w:r>
        <w:rPr>
          <w:rFonts w:hint="eastAsia"/>
          <w:b/>
          <w:snapToGrid w:val="0"/>
          <w:szCs w:val="24"/>
        </w:rPr>
        <w:t>与《牡丹江市生活饮用水地表水源保护区管理办法》符合性分析</w:t>
      </w:r>
    </w:p>
    <w:tbl>
      <w:tblPr>
        <w:tblW w:w="0" w:type="auto"/>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6204"/>
        <w:gridCol w:w="1559"/>
        <w:gridCol w:w="759"/>
      </w:tblGrid>
      <w:tr w:rsidR="009D12AF" w14:paraId="58D1AD3C" w14:textId="77777777">
        <w:trPr>
          <w:trHeight w:val="397"/>
          <w:jc w:val="center"/>
        </w:trPr>
        <w:tc>
          <w:tcPr>
            <w:tcW w:w="6204" w:type="dxa"/>
            <w:vAlign w:val="center"/>
          </w:tcPr>
          <w:p w14:paraId="545AC1F6" w14:textId="77777777" w:rsidR="009D12AF" w:rsidRDefault="00000000">
            <w:pPr>
              <w:pStyle w:val="Style2"/>
              <w:adjustRightInd w:val="0"/>
              <w:snapToGrid w:val="0"/>
              <w:spacing w:line="240" w:lineRule="auto"/>
              <w:jc w:val="center"/>
              <w:rPr>
                <w:rFonts w:ascii="宋体" w:hAnsi="宋体" w:hint="eastAsia"/>
                <w:sz w:val="21"/>
                <w:szCs w:val="21"/>
              </w:rPr>
            </w:pPr>
            <w:r>
              <w:rPr>
                <w:rFonts w:ascii="宋体" w:hAnsi="宋体" w:hint="eastAsia"/>
                <w:sz w:val="21"/>
                <w:szCs w:val="21"/>
                <w:lang w:bidi="ar"/>
              </w:rPr>
              <w:t>（牡政发[2006]5号）</w:t>
            </w:r>
          </w:p>
        </w:tc>
        <w:tc>
          <w:tcPr>
            <w:tcW w:w="1559" w:type="dxa"/>
            <w:vAlign w:val="center"/>
          </w:tcPr>
          <w:p w14:paraId="38CFD302" w14:textId="77777777" w:rsidR="009D12AF" w:rsidRDefault="00000000">
            <w:pPr>
              <w:pStyle w:val="Style2"/>
              <w:adjustRightInd w:val="0"/>
              <w:snapToGrid w:val="0"/>
              <w:spacing w:line="240" w:lineRule="auto"/>
              <w:jc w:val="center"/>
              <w:rPr>
                <w:rFonts w:ascii="宋体" w:hAnsi="宋体" w:hint="eastAsia"/>
                <w:sz w:val="21"/>
                <w:szCs w:val="21"/>
              </w:rPr>
            </w:pPr>
            <w:r>
              <w:rPr>
                <w:rFonts w:ascii="宋体" w:hAnsi="宋体" w:hint="eastAsia"/>
                <w:sz w:val="21"/>
                <w:szCs w:val="21"/>
              </w:rPr>
              <w:t>本项目</w:t>
            </w:r>
          </w:p>
        </w:tc>
        <w:tc>
          <w:tcPr>
            <w:tcW w:w="759" w:type="dxa"/>
            <w:vAlign w:val="center"/>
          </w:tcPr>
          <w:p w14:paraId="17DEC8FF" w14:textId="77777777" w:rsidR="009D12AF" w:rsidRDefault="00000000">
            <w:pPr>
              <w:pStyle w:val="Style2"/>
              <w:adjustRightInd w:val="0"/>
              <w:snapToGrid w:val="0"/>
              <w:spacing w:line="240" w:lineRule="auto"/>
              <w:jc w:val="center"/>
              <w:rPr>
                <w:rFonts w:ascii="宋体" w:hAnsi="宋体" w:hint="eastAsia"/>
                <w:sz w:val="21"/>
                <w:szCs w:val="21"/>
              </w:rPr>
            </w:pPr>
            <w:r>
              <w:rPr>
                <w:rFonts w:ascii="宋体" w:hAnsi="宋体" w:hint="eastAsia"/>
                <w:sz w:val="21"/>
                <w:szCs w:val="21"/>
              </w:rPr>
              <w:t>符合性</w:t>
            </w:r>
          </w:p>
        </w:tc>
      </w:tr>
      <w:tr w:rsidR="009D12AF" w14:paraId="6FD41C5A" w14:textId="77777777">
        <w:trPr>
          <w:trHeight w:val="397"/>
          <w:jc w:val="center"/>
        </w:trPr>
        <w:tc>
          <w:tcPr>
            <w:tcW w:w="6204" w:type="dxa"/>
            <w:vAlign w:val="center"/>
          </w:tcPr>
          <w:p w14:paraId="7EEFC563" w14:textId="77777777" w:rsidR="009D12AF" w:rsidRDefault="00000000">
            <w:pPr>
              <w:shd w:val="clear" w:color="auto" w:fill="FFFFFF"/>
              <w:snapToGrid w:val="0"/>
              <w:spacing w:line="240" w:lineRule="auto"/>
              <w:rPr>
                <w:rFonts w:ascii="宋体" w:hAnsi="宋体" w:cs="宋体" w:hint="eastAsia"/>
                <w:kern w:val="0"/>
                <w:sz w:val="21"/>
                <w:szCs w:val="21"/>
              </w:rPr>
            </w:pPr>
            <w:r>
              <w:rPr>
                <w:rFonts w:ascii="宋体" w:hAnsi="宋体" w:cs="宋体" w:hint="eastAsia"/>
                <w:kern w:val="0"/>
                <w:sz w:val="21"/>
                <w:szCs w:val="21"/>
              </w:rPr>
              <w:t>第十条　在牡丹江市生活饮用水地表水源一级保护区范围内遵守下列规定：</w:t>
            </w:r>
          </w:p>
          <w:p w14:paraId="4F746B10" w14:textId="77777777" w:rsidR="009D12AF" w:rsidRDefault="00000000">
            <w:pPr>
              <w:shd w:val="clear" w:color="auto" w:fill="FFFFFF"/>
              <w:snapToGrid w:val="0"/>
              <w:spacing w:line="240" w:lineRule="auto"/>
              <w:rPr>
                <w:rFonts w:ascii="宋体" w:hAnsi="宋体" w:cs="宋体" w:hint="eastAsia"/>
                <w:kern w:val="0"/>
                <w:sz w:val="21"/>
                <w:szCs w:val="21"/>
              </w:rPr>
            </w:pPr>
            <w:r>
              <w:rPr>
                <w:rFonts w:ascii="宋体" w:hAnsi="宋体" w:cs="宋体" w:hint="eastAsia"/>
                <w:kern w:val="0"/>
                <w:sz w:val="21"/>
                <w:szCs w:val="21"/>
              </w:rPr>
              <w:t>（一）禁止新建、扩建与供水设施和保护水源及防洪工程无关的建设项目；</w:t>
            </w:r>
          </w:p>
          <w:p w14:paraId="403C27A5" w14:textId="77777777" w:rsidR="009D12AF" w:rsidRDefault="00000000">
            <w:pPr>
              <w:shd w:val="clear" w:color="auto" w:fill="FFFFFF"/>
              <w:snapToGrid w:val="0"/>
              <w:spacing w:line="240" w:lineRule="auto"/>
              <w:rPr>
                <w:rFonts w:ascii="宋体" w:hAnsi="宋体" w:cs="宋体" w:hint="eastAsia"/>
                <w:kern w:val="0"/>
                <w:sz w:val="21"/>
                <w:szCs w:val="21"/>
              </w:rPr>
            </w:pPr>
            <w:r>
              <w:rPr>
                <w:rFonts w:ascii="宋体" w:hAnsi="宋体" w:cs="宋体" w:hint="eastAsia"/>
                <w:kern w:val="0"/>
                <w:sz w:val="21"/>
                <w:szCs w:val="21"/>
              </w:rPr>
              <w:t>（二）禁止向水域排放污水，已设置的排污口必须限期拆除或者搬迁；</w:t>
            </w:r>
          </w:p>
          <w:p w14:paraId="5EC9AED2" w14:textId="77777777" w:rsidR="009D12AF" w:rsidRDefault="00000000">
            <w:pPr>
              <w:shd w:val="clear" w:color="auto" w:fill="FFFFFF"/>
              <w:snapToGrid w:val="0"/>
              <w:spacing w:line="240" w:lineRule="auto"/>
              <w:rPr>
                <w:rFonts w:ascii="宋体" w:hAnsi="宋体" w:cs="宋体" w:hint="eastAsia"/>
                <w:kern w:val="0"/>
                <w:sz w:val="21"/>
                <w:szCs w:val="21"/>
              </w:rPr>
            </w:pPr>
            <w:r>
              <w:rPr>
                <w:rFonts w:ascii="宋体" w:hAnsi="宋体" w:cs="宋体" w:hint="eastAsia"/>
                <w:kern w:val="0"/>
                <w:sz w:val="21"/>
                <w:szCs w:val="21"/>
              </w:rPr>
              <w:t>（三）禁止向水域内倾倒工业废渣、城市垃圾、粪便及其他废弃物；</w:t>
            </w:r>
          </w:p>
          <w:p w14:paraId="7A448BDF" w14:textId="77777777" w:rsidR="009D12AF" w:rsidRDefault="00000000">
            <w:pPr>
              <w:shd w:val="clear" w:color="auto" w:fill="FFFFFF"/>
              <w:snapToGrid w:val="0"/>
              <w:spacing w:line="240" w:lineRule="auto"/>
              <w:rPr>
                <w:rFonts w:ascii="宋体" w:hAnsi="宋体" w:cs="宋体" w:hint="eastAsia"/>
                <w:kern w:val="0"/>
                <w:sz w:val="21"/>
                <w:szCs w:val="21"/>
              </w:rPr>
            </w:pPr>
            <w:r>
              <w:rPr>
                <w:rFonts w:ascii="宋体" w:hAnsi="宋体" w:cs="宋体" w:hint="eastAsia"/>
                <w:kern w:val="0"/>
                <w:sz w:val="21"/>
                <w:szCs w:val="21"/>
              </w:rPr>
              <w:t>（四）禁止在滩地和岸坡及引水渠沿岸堆放、存贮固体废弃物和其他可能导致水体污染的物质；</w:t>
            </w:r>
          </w:p>
          <w:p w14:paraId="32B6E532" w14:textId="77777777" w:rsidR="009D12AF" w:rsidRDefault="00000000">
            <w:pPr>
              <w:shd w:val="clear" w:color="auto" w:fill="FFFFFF"/>
              <w:snapToGrid w:val="0"/>
              <w:spacing w:line="240" w:lineRule="auto"/>
              <w:rPr>
                <w:rFonts w:ascii="宋体" w:hAnsi="宋体" w:cs="宋体" w:hint="eastAsia"/>
                <w:kern w:val="0"/>
                <w:sz w:val="21"/>
                <w:szCs w:val="21"/>
              </w:rPr>
            </w:pPr>
            <w:r>
              <w:rPr>
                <w:rFonts w:ascii="宋体" w:hAnsi="宋体" w:cs="宋体" w:hint="eastAsia"/>
                <w:kern w:val="0"/>
                <w:sz w:val="21"/>
                <w:szCs w:val="21"/>
              </w:rPr>
              <w:t>（五）不得设置与供水需要无关的码头，禁止停靠无关船舶；</w:t>
            </w:r>
          </w:p>
          <w:p w14:paraId="2D837A52" w14:textId="77777777" w:rsidR="009D12AF" w:rsidRDefault="00000000">
            <w:pPr>
              <w:shd w:val="clear" w:color="auto" w:fill="FFFFFF"/>
              <w:snapToGrid w:val="0"/>
              <w:spacing w:line="240" w:lineRule="auto"/>
              <w:rPr>
                <w:rFonts w:ascii="宋体" w:hAnsi="宋体" w:cs="宋体" w:hint="eastAsia"/>
                <w:kern w:val="0"/>
                <w:sz w:val="21"/>
                <w:szCs w:val="21"/>
              </w:rPr>
            </w:pPr>
            <w:r>
              <w:rPr>
                <w:rFonts w:ascii="宋体" w:hAnsi="宋体" w:cs="宋体" w:hint="eastAsia"/>
                <w:kern w:val="0"/>
                <w:sz w:val="21"/>
                <w:szCs w:val="21"/>
              </w:rPr>
              <w:t>（六）运输有毒有害物质、油类、粪便的船舶和车辆一般不准进入该保护区，必须进入者应事先申请，并经市环保、水务、卫生部门批准、登记，并设置防渗、防溢、防漏设施；</w:t>
            </w:r>
          </w:p>
          <w:p w14:paraId="27F85663" w14:textId="77777777" w:rsidR="009D12AF" w:rsidRDefault="00000000">
            <w:pPr>
              <w:shd w:val="clear" w:color="auto" w:fill="FFFFFF"/>
              <w:snapToGrid w:val="0"/>
              <w:spacing w:line="240" w:lineRule="auto"/>
              <w:rPr>
                <w:rFonts w:ascii="宋体" w:hAnsi="宋体" w:cs="宋体" w:hint="eastAsia"/>
                <w:kern w:val="0"/>
                <w:sz w:val="21"/>
                <w:szCs w:val="21"/>
              </w:rPr>
            </w:pPr>
            <w:r>
              <w:rPr>
                <w:rFonts w:ascii="宋体" w:hAnsi="宋体" w:cs="宋体" w:hint="eastAsia"/>
                <w:kern w:val="0"/>
                <w:sz w:val="21"/>
                <w:szCs w:val="21"/>
              </w:rPr>
              <w:t>（七）不得在水体内清洗车辆、衣物和其他器具；</w:t>
            </w:r>
          </w:p>
          <w:p w14:paraId="7D16C916" w14:textId="77777777" w:rsidR="009D12AF" w:rsidRDefault="00000000">
            <w:pPr>
              <w:shd w:val="clear" w:color="auto" w:fill="FFFFFF"/>
              <w:snapToGrid w:val="0"/>
              <w:spacing w:line="240" w:lineRule="auto"/>
              <w:rPr>
                <w:rFonts w:ascii="宋体" w:hAnsi="宋体" w:cs="宋体" w:hint="eastAsia"/>
                <w:kern w:val="0"/>
                <w:sz w:val="21"/>
                <w:szCs w:val="21"/>
              </w:rPr>
            </w:pPr>
            <w:r>
              <w:rPr>
                <w:rFonts w:ascii="宋体" w:hAnsi="宋体" w:cs="宋体" w:hint="eastAsia"/>
                <w:kern w:val="0"/>
                <w:sz w:val="21"/>
                <w:szCs w:val="21"/>
              </w:rPr>
              <w:t>（八）禁止从事种植、放养禽畜，严格控制网箱养殖活动，已</w:t>
            </w:r>
            <w:r>
              <w:rPr>
                <w:rFonts w:ascii="宋体" w:hAnsi="宋体" w:cs="宋体" w:hint="eastAsia"/>
                <w:kern w:val="0"/>
                <w:sz w:val="21"/>
                <w:szCs w:val="21"/>
              </w:rPr>
              <w:lastRenderedPageBreak/>
              <w:t>有的种植业由有关部门分期清理；</w:t>
            </w:r>
          </w:p>
          <w:p w14:paraId="6E2D48E0" w14:textId="77777777" w:rsidR="009D12AF" w:rsidRDefault="00000000">
            <w:pPr>
              <w:shd w:val="clear" w:color="auto" w:fill="FFFFFF"/>
              <w:snapToGrid w:val="0"/>
              <w:spacing w:line="240" w:lineRule="auto"/>
              <w:rPr>
                <w:rFonts w:ascii="宋体" w:hAnsi="宋体" w:cs="宋体" w:hint="eastAsia"/>
                <w:kern w:val="0"/>
                <w:sz w:val="21"/>
                <w:szCs w:val="21"/>
              </w:rPr>
            </w:pPr>
            <w:r>
              <w:rPr>
                <w:rFonts w:ascii="宋体" w:hAnsi="宋体" w:cs="宋体" w:hint="eastAsia"/>
                <w:kern w:val="0"/>
                <w:sz w:val="21"/>
                <w:szCs w:val="21"/>
              </w:rPr>
              <w:t>（九）禁止游泳、水上训练、露营、野炊等可能污染水源的体育和娱乐活动；</w:t>
            </w:r>
          </w:p>
          <w:p w14:paraId="5A51AB31" w14:textId="77777777" w:rsidR="009D12AF" w:rsidRDefault="00000000">
            <w:pPr>
              <w:shd w:val="clear" w:color="auto" w:fill="FFFFFF"/>
              <w:snapToGrid w:val="0"/>
              <w:spacing w:line="240" w:lineRule="auto"/>
              <w:rPr>
                <w:rFonts w:ascii="宋体" w:hAnsi="宋体" w:cs="宋体" w:hint="eastAsia"/>
                <w:kern w:val="0"/>
                <w:sz w:val="21"/>
                <w:szCs w:val="21"/>
              </w:rPr>
            </w:pPr>
            <w:r>
              <w:rPr>
                <w:rFonts w:ascii="宋体" w:hAnsi="宋体" w:cs="宋体" w:hint="eastAsia"/>
                <w:kern w:val="0"/>
                <w:sz w:val="21"/>
                <w:szCs w:val="21"/>
              </w:rPr>
              <w:t>（十）禁止毒鱼、炸鱼、电鱼；</w:t>
            </w:r>
          </w:p>
          <w:p w14:paraId="0A214D59" w14:textId="77777777" w:rsidR="009D12AF" w:rsidRDefault="00000000">
            <w:pPr>
              <w:shd w:val="clear" w:color="auto" w:fill="FFFFFF"/>
              <w:snapToGrid w:val="0"/>
              <w:spacing w:line="240" w:lineRule="auto"/>
              <w:rPr>
                <w:rFonts w:ascii="宋体" w:hAnsi="宋体" w:cs="宋体" w:hint="eastAsia"/>
                <w:kern w:val="0"/>
                <w:sz w:val="21"/>
                <w:szCs w:val="21"/>
              </w:rPr>
            </w:pPr>
            <w:r>
              <w:rPr>
                <w:rFonts w:ascii="宋体" w:hAnsi="宋体" w:cs="宋体" w:hint="eastAsia"/>
                <w:kern w:val="0"/>
                <w:sz w:val="21"/>
                <w:szCs w:val="21"/>
              </w:rPr>
              <w:t>（十一）禁止使用剧毒和高残留农药；</w:t>
            </w:r>
          </w:p>
          <w:p w14:paraId="3AA0FAF1" w14:textId="77777777" w:rsidR="009D12AF" w:rsidRDefault="00000000">
            <w:pPr>
              <w:pStyle w:val="Style2"/>
              <w:adjustRightInd w:val="0"/>
              <w:snapToGrid w:val="0"/>
              <w:spacing w:line="240" w:lineRule="auto"/>
              <w:rPr>
                <w:rFonts w:ascii="宋体" w:hAnsi="宋体" w:hint="eastAsia"/>
                <w:sz w:val="21"/>
                <w:szCs w:val="21"/>
              </w:rPr>
            </w:pPr>
            <w:r>
              <w:rPr>
                <w:rFonts w:ascii="宋体" w:hAnsi="宋体" w:cs="宋体" w:hint="eastAsia"/>
                <w:kern w:val="0"/>
                <w:sz w:val="21"/>
                <w:szCs w:val="21"/>
              </w:rPr>
              <w:t>（十二）有关法律、法规和规章规定的其他禁止行为。</w:t>
            </w:r>
          </w:p>
        </w:tc>
        <w:tc>
          <w:tcPr>
            <w:tcW w:w="1559" w:type="dxa"/>
            <w:vMerge w:val="restart"/>
            <w:vAlign w:val="center"/>
          </w:tcPr>
          <w:p w14:paraId="4CC7BE73" w14:textId="77777777" w:rsidR="009D12AF" w:rsidRDefault="00000000">
            <w:pPr>
              <w:pStyle w:val="Style2"/>
              <w:adjustRightInd w:val="0"/>
              <w:snapToGrid w:val="0"/>
              <w:spacing w:line="240" w:lineRule="auto"/>
              <w:rPr>
                <w:rFonts w:ascii="宋体" w:hAnsi="宋体" w:hint="eastAsia"/>
                <w:sz w:val="21"/>
                <w:szCs w:val="21"/>
              </w:rPr>
            </w:pPr>
            <w:r>
              <w:rPr>
                <w:rFonts w:ascii="宋体" w:hAnsi="宋体"/>
                <w:sz w:val="21"/>
                <w:szCs w:val="21"/>
              </w:rPr>
              <w:lastRenderedPageBreak/>
              <w:t>本项目仅在施工期临时占用水源地二级保护区，不占用一级保护区。项目无永久占地工程，</w:t>
            </w:r>
            <w:r>
              <w:rPr>
                <w:rFonts w:ascii="宋体" w:hAnsi="宋体" w:hint="eastAsia"/>
                <w:sz w:val="21"/>
                <w:szCs w:val="21"/>
              </w:rPr>
              <w:t>本项目实施后改善水生态环境</w:t>
            </w:r>
            <w:r>
              <w:rPr>
                <w:rFonts w:ascii="宋体" w:hAnsi="宋体"/>
                <w:sz w:val="21"/>
                <w:szCs w:val="21"/>
              </w:rPr>
              <w:t>，不会造成水体污染。项目的实施有利于</w:t>
            </w:r>
            <w:r>
              <w:rPr>
                <w:rFonts w:ascii="宋体" w:hAnsi="宋体" w:hint="eastAsia"/>
                <w:sz w:val="21"/>
                <w:szCs w:val="21"/>
              </w:rPr>
              <w:t>项目水库、海浪河、莲花湖及水库的</w:t>
            </w:r>
            <w:r>
              <w:rPr>
                <w:rFonts w:ascii="宋体" w:hAnsi="宋体"/>
                <w:sz w:val="21"/>
                <w:szCs w:val="21"/>
              </w:rPr>
              <w:t>水质提升，为生态改</w:t>
            </w:r>
            <w:r>
              <w:rPr>
                <w:rFonts w:ascii="宋体" w:hAnsi="宋体"/>
                <w:sz w:val="21"/>
                <w:szCs w:val="21"/>
              </w:rPr>
              <w:lastRenderedPageBreak/>
              <w:t>善型，有利于改善区域水土流失现状，有利于水源地的保护。</w:t>
            </w:r>
          </w:p>
        </w:tc>
        <w:tc>
          <w:tcPr>
            <w:tcW w:w="759" w:type="dxa"/>
            <w:vMerge w:val="restart"/>
            <w:vAlign w:val="center"/>
          </w:tcPr>
          <w:p w14:paraId="25E225E2" w14:textId="77777777" w:rsidR="009D12AF" w:rsidRDefault="00000000">
            <w:pPr>
              <w:pStyle w:val="Style2"/>
              <w:adjustRightInd w:val="0"/>
              <w:snapToGrid w:val="0"/>
              <w:spacing w:line="240" w:lineRule="auto"/>
              <w:rPr>
                <w:rFonts w:ascii="宋体" w:hAnsi="宋体" w:hint="eastAsia"/>
                <w:sz w:val="21"/>
                <w:szCs w:val="21"/>
              </w:rPr>
            </w:pPr>
            <w:r>
              <w:rPr>
                <w:rFonts w:ascii="宋体" w:hAnsi="宋体" w:hint="eastAsia"/>
                <w:sz w:val="21"/>
                <w:szCs w:val="21"/>
              </w:rPr>
              <w:lastRenderedPageBreak/>
              <w:t>符合</w:t>
            </w:r>
          </w:p>
        </w:tc>
      </w:tr>
      <w:tr w:rsidR="009D12AF" w14:paraId="6F019454" w14:textId="77777777">
        <w:trPr>
          <w:trHeight w:val="397"/>
          <w:jc w:val="center"/>
        </w:trPr>
        <w:tc>
          <w:tcPr>
            <w:tcW w:w="6204" w:type="dxa"/>
            <w:vAlign w:val="center"/>
          </w:tcPr>
          <w:p w14:paraId="37508CF3" w14:textId="77777777" w:rsidR="009D12AF" w:rsidRDefault="00000000">
            <w:pPr>
              <w:shd w:val="clear" w:color="auto" w:fill="FFFFFF"/>
              <w:snapToGrid w:val="0"/>
              <w:spacing w:line="240" w:lineRule="auto"/>
              <w:jc w:val="left"/>
              <w:rPr>
                <w:rFonts w:ascii="宋体" w:hAnsi="宋体" w:cs="宋体" w:hint="eastAsia"/>
                <w:kern w:val="0"/>
                <w:sz w:val="21"/>
                <w:szCs w:val="21"/>
              </w:rPr>
            </w:pPr>
            <w:r>
              <w:rPr>
                <w:rFonts w:ascii="宋体" w:hAnsi="宋体" w:cs="宋体" w:hint="eastAsia"/>
                <w:kern w:val="0"/>
                <w:sz w:val="21"/>
                <w:szCs w:val="21"/>
              </w:rPr>
              <w:t>第十一条　在牡丹江市生活饮用水地表水源二级保护区范围内遵守下列规定：</w:t>
            </w:r>
          </w:p>
          <w:p w14:paraId="283C219E" w14:textId="77777777" w:rsidR="009D12AF" w:rsidRDefault="00000000">
            <w:pPr>
              <w:shd w:val="clear" w:color="auto" w:fill="FFFFFF"/>
              <w:snapToGrid w:val="0"/>
              <w:spacing w:line="240" w:lineRule="auto"/>
              <w:jc w:val="left"/>
              <w:rPr>
                <w:rFonts w:ascii="宋体" w:hAnsi="宋体" w:cs="宋体" w:hint="eastAsia"/>
                <w:kern w:val="0"/>
                <w:sz w:val="21"/>
                <w:szCs w:val="21"/>
              </w:rPr>
            </w:pPr>
            <w:r>
              <w:rPr>
                <w:rFonts w:ascii="宋体" w:hAnsi="宋体" w:cs="宋体" w:hint="eastAsia"/>
                <w:kern w:val="0"/>
                <w:sz w:val="21"/>
                <w:szCs w:val="21"/>
              </w:rPr>
              <w:t>（一）不得新建、扩建向水体排放污染物的建设项目，改建项目必须削减污染物排放量；</w:t>
            </w:r>
          </w:p>
          <w:p w14:paraId="25E26DFC" w14:textId="77777777" w:rsidR="009D12AF" w:rsidRDefault="00000000">
            <w:pPr>
              <w:shd w:val="clear" w:color="auto" w:fill="FFFFFF"/>
              <w:snapToGrid w:val="0"/>
              <w:spacing w:line="240" w:lineRule="auto"/>
              <w:jc w:val="left"/>
              <w:rPr>
                <w:rFonts w:ascii="宋体" w:hAnsi="宋体" w:cs="宋体" w:hint="eastAsia"/>
                <w:kern w:val="0"/>
                <w:sz w:val="21"/>
                <w:szCs w:val="21"/>
              </w:rPr>
            </w:pPr>
            <w:r>
              <w:rPr>
                <w:rFonts w:ascii="宋体" w:hAnsi="宋体" w:cs="宋体" w:hint="eastAsia"/>
                <w:kern w:val="0"/>
                <w:sz w:val="21"/>
                <w:szCs w:val="21"/>
              </w:rPr>
              <w:t>（二）原有排污口必须削减污水排放量，保证保护区内水质满足规定的水质标准；</w:t>
            </w:r>
          </w:p>
          <w:p w14:paraId="7AA2303D" w14:textId="77777777" w:rsidR="009D12AF" w:rsidRDefault="00000000">
            <w:pPr>
              <w:shd w:val="clear" w:color="auto" w:fill="FFFFFF"/>
              <w:snapToGrid w:val="0"/>
              <w:spacing w:line="240" w:lineRule="auto"/>
              <w:jc w:val="left"/>
              <w:rPr>
                <w:rFonts w:ascii="宋体" w:hAnsi="宋体" w:cs="宋体" w:hint="eastAsia"/>
                <w:kern w:val="0"/>
                <w:sz w:val="21"/>
                <w:szCs w:val="21"/>
              </w:rPr>
            </w:pPr>
            <w:r>
              <w:rPr>
                <w:rFonts w:ascii="宋体" w:hAnsi="宋体" w:cs="宋体" w:hint="eastAsia"/>
                <w:kern w:val="0"/>
                <w:sz w:val="21"/>
                <w:szCs w:val="21"/>
              </w:rPr>
              <w:t>（三）禁止设置装卸垃圾、粪便、油类和有毒物品的码头；</w:t>
            </w:r>
          </w:p>
          <w:p w14:paraId="3B21903E" w14:textId="77777777" w:rsidR="009D12AF" w:rsidRDefault="00000000">
            <w:pPr>
              <w:shd w:val="clear" w:color="auto" w:fill="FFFFFF"/>
              <w:snapToGrid w:val="0"/>
              <w:spacing w:line="240" w:lineRule="auto"/>
              <w:jc w:val="left"/>
              <w:rPr>
                <w:rFonts w:ascii="宋体" w:hAnsi="宋体" w:cs="宋体" w:hint="eastAsia"/>
                <w:kern w:val="0"/>
                <w:sz w:val="21"/>
                <w:szCs w:val="21"/>
              </w:rPr>
            </w:pPr>
            <w:r>
              <w:rPr>
                <w:rFonts w:ascii="宋体" w:hAnsi="宋体" w:cs="宋体" w:hint="eastAsia"/>
                <w:kern w:val="0"/>
                <w:sz w:val="21"/>
                <w:szCs w:val="21"/>
              </w:rPr>
              <w:t>（四）第十条　第（三）项、第（六）项、第（十）项、第（十一）项规定内容；</w:t>
            </w:r>
          </w:p>
          <w:p w14:paraId="11A76C93" w14:textId="77777777" w:rsidR="009D12AF" w:rsidRDefault="00000000">
            <w:pPr>
              <w:pStyle w:val="Style2"/>
              <w:adjustRightInd w:val="0"/>
              <w:snapToGrid w:val="0"/>
              <w:spacing w:line="240" w:lineRule="auto"/>
              <w:rPr>
                <w:rFonts w:ascii="宋体" w:hAnsi="宋体" w:hint="eastAsia"/>
                <w:sz w:val="21"/>
                <w:szCs w:val="21"/>
              </w:rPr>
            </w:pPr>
            <w:r>
              <w:rPr>
                <w:rFonts w:ascii="宋体" w:hAnsi="宋体" w:cs="宋体" w:hint="eastAsia"/>
                <w:kern w:val="0"/>
                <w:sz w:val="21"/>
                <w:szCs w:val="21"/>
              </w:rPr>
              <w:t>（五）有关法律、法规和规章规定的其他禁止行为。</w:t>
            </w:r>
          </w:p>
        </w:tc>
        <w:tc>
          <w:tcPr>
            <w:tcW w:w="1559" w:type="dxa"/>
            <w:vMerge/>
            <w:vAlign w:val="center"/>
          </w:tcPr>
          <w:p w14:paraId="5EFCF2E8" w14:textId="77777777" w:rsidR="009D12AF" w:rsidRDefault="009D12AF">
            <w:pPr>
              <w:pStyle w:val="Style2"/>
              <w:adjustRightInd w:val="0"/>
              <w:snapToGrid w:val="0"/>
              <w:spacing w:line="240" w:lineRule="auto"/>
              <w:rPr>
                <w:rFonts w:ascii="宋体" w:hAnsi="宋体" w:hint="eastAsia"/>
                <w:sz w:val="21"/>
                <w:szCs w:val="21"/>
              </w:rPr>
            </w:pPr>
          </w:p>
        </w:tc>
        <w:tc>
          <w:tcPr>
            <w:tcW w:w="759" w:type="dxa"/>
            <w:vMerge/>
            <w:vAlign w:val="center"/>
          </w:tcPr>
          <w:p w14:paraId="28FF8E44" w14:textId="77777777" w:rsidR="009D12AF" w:rsidRDefault="009D12AF">
            <w:pPr>
              <w:pStyle w:val="Style2"/>
              <w:adjustRightInd w:val="0"/>
              <w:snapToGrid w:val="0"/>
              <w:spacing w:line="240" w:lineRule="auto"/>
              <w:rPr>
                <w:rFonts w:ascii="宋体" w:hAnsi="宋体" w:hint="eastAsia"/>
                <w:sz w:val="21"/>
                <w:szCs w:val="21"/>
              </w:rPr>
            </w:pPr>
          </w:p>
        </w:tc>
      </w:tr>
      <w:tr w:rsidR="009D12AF" w14:paraId="27F6E233" w14:textId="77777777">
        <w:trPr>
          <w:trHeight w:val="397"/>
          <w:jc w:val="center"/>
        </w:trPr>
        <w:tc>
          <w:tcPr>
            <w:tcW w:w="6204" w:type="dxa"/>
            <w:vAlign w:val="center"/>
          </w:tcPr>
          <w:p w14:paraId="2AA43B40" w14:textId="77777777" w:rsidR="009D12AF" w:rsidRDefault="00000000">
            <w:pPr>
              <w:shd w:val="clear" w:color="auto" w:fill="FFFFFF"/>
              <w:snapToGrid w:val="0"/>
              <w:spacing w:line="240" w:lineRule="auto"/>
              <w:jc w:val="left"/>
              <w:rPr>
                <w:rFonts w:ascii="宋体" w:hAnsi="宋体" w:cs="宋体" w:hint="eastAsia"/>
                <w:kern w:val="0"/>
                <w:sz w:val="21"/>
                <w:szCs w:val="21"/>
              </w:rPr>
            </w:pPr>
            <w:r>
              <w:rPr>
                <w:rFonts w:ascii="宋体" w:hAnsi="宋体" w:cs="宋体" w:hint="eastAsia"/>
                <w:kern w:val="0"/>
                <w:sz w:val="21"/>
                <w:szCs w:val="21"/>
              </w:rPr>
              <w:t>第十二条　在牡丹江市生活饮用水地表水源准保护区范围内遵守下列规定：</w:t>
            </w:r>
          </w:p>
          <w:p w14:paraId="7981CCE7" w14:textId="77777777" w:rsidR="009D12AF" w:rsidRDefault="00000000">
            <w:pPr>
              <w:shd w:val="clear" w:color="auto" w:fill="FFFFFF"/>
              <w:snapToGrid w:val="0"/>
              <w:spacing w:line="240" w:lineRule="auto"/>
              <w:jc w:val="left"/>
              <w:rPr>
                <w:rFonts w:ascii="宋体" w:hAnsi="宋体" w:cs="宋体" w:hint="eastAsia"/>
                <w:kern w:val="0"/>
                <w:sz w:val="21"/>
                <w:szCs w:val="21"/>
              </w:rPr>
            </w:pPr>
            <w:r>
              <w:rPr>
                <w:rFonts w:ascii="宋体" w:hAnsi="宋体" w:cs="宋体" w:hint="eastAsia"/>
                <w:kern w:val="0"/>
                <w:sz w:val="21"/>
                <w:szCs w:val="21"/>
              </w:rPr>
              <w:t>（一）新建、扩建、改建的直接或者间接向水体排放污染物的建设项目，必须按照《中华人民共和国水污染防治法》的规定办理；</w:t>
            </w:r>
          </w:p>
          <w:p w14:paraId="039EC524" w14:textId="77777777" w:rsidR="009D12AF" w:rsidRDefault="00000000">
            <w:pPr>
              <w:shd w:val="clear" w:color="auto" w:fill="FFFFFF"/>
              <w:snapToGrid w:val="0"/>
              <w:spacing w:line="240" w:lineRule="auto"/>
              <w:jc w:val="left"/>
              <w:rPr>
                <w:rFonts w:ascii="宋体" w:hAnsi="宋体" w:cs="宋体" w:hint="eastAsia"/>
                <w:kern w:val="0"/>
                <w:sz w:val="21"/>
                <w:szCs w:val="21"/>
              </w:rPr>
            </w:pPr>
            <w:r>
              <w:rPr>
                <w:rFonts w:ascii="宋体" w:hAnsi="宋体" w:cs="宋体" w:hint="eastAsia"/>
                <w:kern w:val="0"/>
                <w:sz w:val="21"/>
                <w:szCs w:val="21"/>
              </w:rPr>
              <w:t>（二）不得建设化工、造纸、制药、制革、电镀、印染、冶金及其他对水体有严重污染的新项目；</w:t>
            </w:r>
          </w:p>
          <w:p w14:paraId="7CFD9612" w14:textId="77777777" w:rsidR="009D12AF" w:rsidRDefault="00000000">
            <w:pPr>
              <w:shd w:val="clear" w:color="auto" w:fill="FFFFFF"/>
              <w:snapToGrid w:val="0"/>
              <w:spacing w:line="240" w:lineRule="auto"/>
              <w:jc w:val="left"/>
              <w:rPr>
                <w:rFonts w:ascii="宋体" w:hAnsi="宋体" w:cs="宋体" w:hint="eastAsia"/>
                <w:kern w:val="0"/>
                <w:sz w:val="21"/>
                <w:szCs w:val="21"/>
              </w:rPr>
            </w:pPr>
            <w:r>
              <w:rPr>
                <w:rFonts w:ascii="宋体" w:hAnsi="宋体" w:cs="宋体" w:hint="eastAsia"/>
                <w:kern w:val="0"/>
                <w:sz w:val="21"/>
                <w:szCs w:val="21"/>
              </w:rPr>
              <w:t>（三）直接或者间接向水域排放废水，必须符合国家及地方规定的废水排放标准。同时，排放污染物的总量不能满足保护区内水质规定标准时，必须削减排污负荷；</w:t>
            </w:r>
          </w:p>
          <w:p w14:paraId="27731FE2" w14:textId="77777777" w:rsidR="009D12AF" w:rsidRDefault="00000000">
            <w:pPr>
              <w:shd w:val="clear" w:color="auto" w:fill="FFFFFF"/>
              <w:snapToGrid w:val="0"/>
              <w:spacing w:line="240" w:lineRule="auto"/>
              <w:jc w:val="left"/>
              <w:rPr>
                <w:rFonts w:ascii="宋体" w:hAnsi="宋体" w:cs="宋体" w:hint="eastAsia"/>
                <w:kern w:val="0"/>
                <w:sz w:val="21"/>
                <w:szCs w:val="21"/>
              </w:rPr>
            </w:pPr>
            <w:r>
              <w:rPr>
                <w:rFonts w:ascii="宋体" w:hAnsi="宋体" w:cs="宋体" w:hint="eastAsia"/>
                <w:kern w:val="0"/>
                <w:sz w:val="21"/>
                <w:szCs w:val="21"/>
              </w:rPr>
              <w:t>（四）第十条　第（三）项、第（六）项、第（十）项、第（十一）项规定内容；</w:t>
            </w:r>
          </w:p>
          <w:p w14:paraId="069AF7F3" w14:textId="77777777" w:rsidR="009D12AF" w:rsidRDefault="00000000">
            <w:pPr>
              <w:pStyle w:val="Style2"/>
              <w:adjustRightInd w:val="0"/>
              <w:snapToGrid w:val="0"/>
              <w:spacing w:line="240" w:lineRule="auto"/>
              <w:rPr>
                <w:rFonts w:ascii="宋体" w:hAnsi="宋体" w:hint="eastAsia"/>
                <w:sz w:val="21"/>
                <w:szCs w:val="21"/>
              </w:rPr>
            </w:pPr>
            <w:r>
              <w:rPr>
                <w:rFonts w:ascii="宋体" w:hAnsi="宋体" w:cs="宋体" w:hint="eastAsia"/>
                <w:kern w:val="0"/>
                <w:sz w:val="21"/>
                <w:szCs w:val="21"/>
              </w:rPr>
              <w:t>（五）有关法律、法规和规章规定的其他禁止行为。</w:t>
            </w:r>
          </w:p>
        </w:tc>
        <w:tc>
          <w:tcPr>
            <w:tcW w:w="1559" w:type="dxa"/>
            <w:vMerge/>
            <w:vAlign w:val="center"/>
          </w:tcPr>
          <w:p w14:paraId="0226C666" w14:textId="77777777" w:rsidR="009D12AF" w:rsidRDefault="009D12AF">
            <w:pPr>
              <w:pStyle w:val="Style2"/>
              <w:adjustRightInd w:val="0"/>
              <w:snapToGrid w:val="0"/>
              <w:spacing w:line="240" w:lineRule="auto"/>
              <w:rPr>
                <w:rFonts w:ascii="宋体" w:hAnsi="宋体" w:hint="eastAsia"/>
                <w:sz w:val="21"/>
                <w:szCs w:val="21"/>
              </w:rPr>
            </w:pPr>
          </w:p>
        </w:tc>
        <w:tc>
          <w:tcPr>
            <w:tcW w:w="759" w:type="dxa"/>
            <w:vMerge/>
            <w:vAlign w:val="center"/>
          </w:tcPr>
          <w:p w14:paraId="2495F579" w14:textId="77777777" w:rsidR="009D12AF" w:rsidRDefault="009D12AF">
            <w:pPr>
              <w:pStyle w:val="Style2"/>
              <w:adjustRightInd w:val="0"/>
              <w:snapToGrid w:val="0"/>
              <w:spacing w:line="240" w:lineRule="auto"/>
              <w:rPr>
                <w:rFonts w:ascii="宋体" w:hAnsi="宋体" w:hint="eastAsia"/>
                <w:sz w:val="21"/>
                <w:szCs w:val="21"/>
              </w:rPr>
            </w:pPr>
          </w:p>
        </w:tc>
      </w:tr>
    </w:tbl>
    <w:p w14:paraId="455094B2" w14:textId="77777777" w:rsidR="009D12AF" w:rsidRDefault="00000000">
      <w:pPr>
        <w:pStyle w:val="4"/>
        <w:ind w:firstLineChars="0" w:firstLine="0"/>
        <w:rPr>
          <w:bCs/>
          <w:szCs w:val="22"/>
          <w:lang w:bidi="ar"/>
        </w:rPr>
      </w:pPr>
      <w:r>
        <w:rPr>
          <w:rFonts w:hint="eastAsia"/>
        </w:rPr>
        <w:t>1.3.2.15</w:t>
      </w:r>
      <w:r>
        <w:rPr>
          <w:bCs/>
          <w:szCs w:val="22"/>
          <w:lang w:bidi="ar"/>
        </w:rPr>
        <w:t>与《中共中央国务院关于全面加强生态环境保护坚决打好污染防治攻坚战的意见》符合性分析</w:t>
      </w:r>
    </w:p>
    <w:p w14:paraId="3F654628" w14:textId="77777777" w:rsidR="009D12AF" w:rsidRDefault="00000000">
      <w:pPr>
        <w:ind w:firstLine="480"/>
      </w:pPr>
      <w:r>
        <w:t>根据中共中央国务院《中共中央国务院关于全面加强生态环境保护坚决打好污染防治攻坚战的意见》（</w:t>
      </w:r>
      <w:r>
        <w:t>2018</w:t>
      </w:r>
      <w:r>
        <w:t>年</w:t>
      </w:r>
      <w:r>
        <w:t>6</w:t>
      </w:r>
      <w:r>
        <w:t>月</w:t>
      </w:r>
      <w:r>
        <w:t>16</w:t>
      </w:r>
      <w:r>
        <w:t>日）：</w:t>
      </w:r>
      <w:r>
        <w:t>“</w:t>
      </w:r>
      <w:r>
        <w:t>九、加快生态保护与修复。坚持自然恢复为主，统筹开展全国生态保护与修复，全面划定并严守生态保护红线，提升生态系统质量和稳定性</w:t>
      </w:r>
      <w:r>
        <w:t>......”</w:t>
      </w:r>
      <w:r>
        <w:t>。</w:t>
      </w:r>
    </w:p>
    <w:p w14:paraId="2B41500A" w14:textId="77777777" w:rsidR="009D12AF" w:rsidRDefault="00000000">
      <w:pPr>
        <w:ind w:firstLine="480"/>
      </w:pPr>
      <w:r>
        <w:t>本项目属于河湖整治类项目，本项目的实施</w:t>
      </w:r>
      <w:r>
        <w:rPr>
          <w:rFonts w:hint="eastAsia"/>
          <w:szCs w:val="22"/>
        </w:rPr>
        <w:t>有利于水库、海浪河及莲花湖的</w:t>
      </w:r>
      <w:r>
        <w:rPr>
          <w:rFonts w:ascii="Times New Roman" w:eastAsia="宋体" w:hAnsi="Times New Roman"/>
        </w:rPr>
        <w:t>水质提升</w:t>
      </w:r>
      <w:r>
        <w:t>，为生态改善型，故本项目的建设符合相关要求。</w:t>
      </w:r>
    </w:p>
    <w:p w14:paraId="03A84B81" w14:textId="77777777" w:rsidR="009D12AF" w:rsidRDefault="00000000">
      <w:pPr>
        <w:pStyle w:val="4"/>
        <w:ind w:firstLineChars="0" w:firstLine="0"/>
      </w:pPr>
      <w:r>
        <w:rPr>
          <w:rFonts w:hint="eastAsia"/>
        </w:rPr>
        <w:lastRenderedPageBreak/>
        <w:t>1.3.2.16</w:t>
      </w:r>
      <w:r>
        <w:rPr>
          <w:rFonts w:hint="eastAsia"/>
        </w:rPr>
        <w:t>与《中华人民共和国自然保护区条例》符合性分析</w:t>
      </w:r>
    </w:p>
    <w:p w14:paraId="6A654C5B" w14:textId="77777777" w:rsidR="009D12AF" w:rsidRDefault="00000000">
      <w:pPr>
        <w:ind w:firstLine="480"/>
      </w:pPr>
      <w:r>
        <w:rPr>
          <w:rFonts w:hint="eastAsia"/>
        </w:rPr>
        <w:t>根据《中华人民共和国自然保护区条例》（</w:t>
      </w:r>
      <w:r>
        <w:rPr>
          <w:rFonts w:hint="eastAsia"/>
        </w:rPr>
        <w:t>2017</w:t>
      </w:r>
      <w:r>
        <w:rPr>
          <w:rFonts w:hint="eastAsia"/>
        </w:rPr>
        <w:t>年</w:t>
      </w:r>
      <w:r>
        <w:rPr>
          <w:rFonts w:hint="eastAsia"/>
        </w:rPr>
        <w:t>10</w:t>
      </w:r>
      <w:r>
        <w:rPr>
          <w:rFonts w:hint="eastAsia"/>
        </w:rPr>
        <w:t>月</w:t>
      </w:r>
      <w:r>
        <w:rPr>
          <w:rFonts w:hint="eastAsia"/>
        </w:rPr>
        <w:t>23</w:t>
      </w:r>
      <w:r>
        <w:rPr>
          <w:rFonts w:hint="eastAsia"/>
        </w:rPr>
        <w:t>日）：“第十八条：自然保护区可以分为核心区、缓冲区和实验区。</w:t>
      </w:r>
    </w:p>
    <w:p w14:paraId="4B2F3D9D" w14:textId="77777777" w:rsidR="009D12AF" w:rsidRDefault="00000000">
      <w:pPr>
        <w:ind w:firstLine="480"/>
      </w:pPr>
      <w:r>
        <w:rPr>
          <w:rFonts w:hint="eastAsia"/>
        </w:rPr>
        <w:t>自然保护区内保存完好的天然状态的生态系统以及珍稀、濒危动植物的集中分布地，应当划为核心区，禁止任何单位和个人进入；除依照本条例第二十七条的规定经批准外，也不允许进入从事科学研究活动。</w:t>
      </w:r>
    </w:p>
    <w:p w14:paraId="6E5B81DB" w14:textId="77777777" w:rsidR="009D12AF" w:rsidRDefault="00000000">
      <w:pPr>
        <w:ind w:firstLine="480"/>
      </w:pPr>
      <w:r>
        <w:rPr>
          <w:rFonts w:hint="eastAsia"/>
        </w:rPr>
        <w:t>核心区外围可以划定一定面积的缓冲区，只准进入从事科学研究观测活动。</w:t>
      </w:r>
    </w:p>
    <w:p w14:paraId="479195E2" w14:textId="77777777" w:rsidR="009D12AF" w:rsidRDefault="00000000">
      <w:pPr>
        <w:ind w:firstLine="480"/>
      </w:pPr>
      <w:r>
        <w:rPr>
          <w:rFonts w:hint="eastAsia"/>
        </w:rPr>
        <w:t>缓冲区外围划为实验区，可以进入从事科学试验、教学实习、参观考察、旅游以及驯化、繁殖珍稀、濒危野生动植物等活动。</w:t>
      </w:r>
    </w:p>
    <w:p w14:paraId="372FEB86" w14:textId="77777777" w:rsidR="009D12AF" w:rsidRDefault="00000000">
      <w:pPr>
        <w:ind w:firstLine="480"/>
      </w:pPr>
      <w:r>
        <w:rPr>
          <w:rFonts w:hint="eastAsia"/>
        </w:rPr>
        <w:t>原批准建立自然保护区的人民政府认为必要时，可以在自然保护区的外围划定一定面积的外围保护地带。</w:t>
      </w:r>
    </w:p>
    <w:p w14:paraId="446B4726" w14:textId="77777777" w:rsidR="009D12AF" w:rsidRDefault="00000000">
      <w:pPr>
        <w:ind w:firstLine="480"/>
      </w:pPr>
      <w:r>
        <w:rPr>
          <w:rFonts w:hint="eastAsia"/>
        </w:rPr>
        <w:t>第二十六条：禁止在自然保护区内进行砍伐、放牧、狩猎、捕捞、采药、开垦、烧荒、开矿、采石、挖沙等活动；但是，法律、行政法规另有规定的除外。”</w:t>
      </w:r>
    </w:p>
    <w:p w14:paraId="629563FB" w14:textId="77777777" w:rsidR="009D12AF" w:rsidRDefault="00000000">
      <w:pPr>
        <w:ind w:firstLine="480"/>
      </w:pPr>
      <w:r>
        <w:rPr>
          <w:rFonts w:hint="eastAsia"/>
        </w:rPr>
        <w:t>本项目属于清淤项目，为生态改善型项目，群力水库清淤范围位于黑龙江海林市莲花湖省级自然保护区实验区，本项目不属于自然保护区内禁止类行为，且本项目均为临时占地，本项目的主体工程属于无法避让的施工项目。因此，本项目的建设符合其相关要求。</w:t>
      </w:r>
    </w:p>
    <w:p w14:paraId="18297299" w14:textId="77777777" w:rsidR="009D12AF" w:rsidRDefault="00000000">
      <w:pPr>
        <w:pStyle w:val="3"/>
      </w:pPr>
      <w:bookmarkStart w:id="30" w:name="_Toc9733"/>
      <w:r>
        <w:rPr>
          <w:rFonts w:hint="eastAsia"/>
        </w:rPr>
        <w:t>1.3.3</w:t>
      </w:r>
      <w:r>
        <w:rPr>
          <w:rFonts w:hint="eastAsia"/>
        </w:rPr>
        <w:t>选址合理性分析</w:t>
      </w:r>
      <w:bookmarkEnd w:id="30"/>
    </w:p>
    <w:p w14:paraId="091E05F7" w14:textId="77777777" w:rsidR="009D12AF" w:rsidRDefault="00000000">
      <w:pPr>
        <w:ind w:firstLine="480"/>
      </w:pPr>
      <w:r>
        <w:t>本项目清淤范围包括海林市长石水库、万丈水库、向阳水电站前池、新安晒水池，以及群力水库</w:t>
      </w:r>
      <w:r>
        <w:rPr>
          <w:rFonts w:hint="eastAsia"/>
        </w:rPr>
        <w:t>，以上清淤范围不属于重要水生生物的自然产卵场、索饵场、越冬场和</w:t>
      </w:r>
      <w:r>
        <w:rPr>
          <w:rFonts w:ascii="Times New Roman" w:hAnsi="Times New Roman" w:cs="Times New Roman"/>
          <w:color w:val="000000" w:themeColor="text1"/>
        </w:rPr>
        <w:t>洄游通道</w:t>
      </w:r>
      <w:r>
        <w:rPr>
          <w:rFonts w:hint="eastAsia"/>
        </w:rPr>
        <w:t>。水库库区没有珍稀特有鱼类分布，绝大多数为可人工养殖的经济鱼类，其抗干扰能力较强，施工结束后鱼类可以回到工程水域。随着水体中浮游生物及底栖生物的逐渐恢复，供饵潜力增大大，对主食藻类及浮游动物的鱼类的自然生长有利，损失的资源量在较短的时间内可得到恢复。</w:t>
      </w:r>
    </w:p>
    <w:p w14:paraId="5FD798EA" w14:textId="77777777" w:rsidR="009D12AF" w:rsidRDefault="00000000">
      <w:pPr>
        <w:ind w:firstLine="480"/>
      </w:pPr>
      <w:r>
        <w:rPr>
          <w:rFonts w:hint="eastAsia"/>
        </w:rPr>
        <w:t>向阳水电站前池清淤范围和临时占地位于</w:t>
      </w:r>
      <w:r>
        <w:rPr>
          <w:rFonts w:hint="eastAsia"/>
          <w:smallCaps/>
        </w:rPr>
        <w:t>海林市二水厂（改扩建）饮用水水源二级保护区。</w:t>
      </w:r>
      <w:r>
        <w:rPr>
          <w:rFonts w:ascii="宋体" w:eastAsia="宋体" w:hAnsi="宋体" w:cs="宋体" w:hint="eastAsia"/>
          <w:color w:val="000000"/>
          <w:kern w:val="0"/>
          <w:lang w:bidi="ar"/>
        </w:rPr>
        <w:t>为防止底泥临时处理过程对水库产生不良影响，要求施工单位对</w:t>
      </w:r>
      <w:r>
        <w:rPr>
          <w:rFonts w:ascii="宋体" w:eastAsia="宋体" w:hAnsi="宋体" w:cs="宋体" w:hint="eastAsia"/>
          <w:color w:val="000000"/>
          <w:kern w:val="0"/>
          <w:lang w:bidi="ar"/>
        </w:rPr>
        <w:lastRenderedPageBreak/>
        <w:t xml:space="preserve">底泥临时生产区的临时堆场布置挡墙，在临时生产区周围设置截水沟和排水沟，且临时底泥生产区铺设复合防渗层，防渗层采用双层 </w:t>
      </w:r>
      <w:r>
        <w:rPr>
          <w:rFonts w:ascii="Times New Roman" w:eastAsia="宋体" w:hAnsi="Times New Roman" w:cs="Times New Roman"/>
          <w:color w:val="000000"/>
          <w:kern w:val="0"/>
          <w:lang w:bidi="ar"/>
        </w:rPr>
        <w:t xml:space="preserve">HDPE </w:t>
      </w:r>
      <w:r>
        <w:rPr>
          <w:rFonts w:ascii="宋体" w:eastAsia="宋体" w:hAnsi="宋体" w:cs="宋体" w:hint="eastAsia"/>
          <w:color w:val="000000"/>
          <w:kern w:val="0"/>
          <w:lang w:bidi="ar"/>
        </w:rPr>
        <w:t>膜</w:t>
      </w:r>
      <w:r>
        <w:rPr>
          <w:rFonts w:ascii="Times New Roman" w:eastAsia="宋体" w:hAnsi="Times New Roman" w:cs="Times New Roman"/>
          <w:color w:val="000000"/>
          <w:kern w:val="0"/>
          <w:lang w:bidi="ar"/>
        </w:rPr>
        <w:t>+</w:t>
      </w:r>
      <w:r>
        <w:rPr>
          <w:rFonts w:ascii="宋体" w:eastAsia="宋体" w:hAnsi="宋体" w:cs="宋体" w:hint="eastAsia"/>
          <w:color w:val="000000"/>
          <w:kern w:val="0"/>
          <w:lang w:bidi="ar"/>
        </w:rPr>
        <w:t xml:space="preserve">无纺土工布，防渗系数不小于 </w:t>
      </w:r>
      <w:r>
        <w:rPr>
          <w:rFonts w:ascii="Times New Roman" w:eastAsia="宋体" w:hAnsi="Times New Roman" w:cs="Times New Roman"/>
          <w:color w:val="000000"/>
          <w:kern w:val="0"/>
          <w:lang w:bidi="ar"/>
        </w:rPr>
        <w:t>1×10</w:t>
      </w:r>
      <w:r>
        <w:rPr>
          <w:rFonts w:ascii="Times New Roman" w:eastAsia="宋体" w:hAnsi="Times New Roman" w:cs="Times New Roman" w:hint="eastAsia"/>
          <w:color w:val="000000"/>
          <w:kern w:val="0"/>
          <w:vertAlign w:val="superscript"/>
          <w:lang w:bidi="ar"/>
        </w:rPr>
        <w:t>-7</w:t>
      </w:r>
      <w:r>
        <w:rPr>
          <w:rFonts w:ascii="Times New Roman" w:eastAsia="宋体" w:hAnsi="Times New Roman" w:cs="Times New Roman"/>
          <w:color w:val="000000"/>
          <w:kern w:val="0"/>
          <w:lang w:bidi="ar"/>
        </w:rPr>
        <w:t>cm/s</w:t>
      </w:r>
      <w:r>
        <w:rPr>
          <w:rFonts w:ascii="宋体" w:eastAsia="宋体" w:hAnsi="宋体" w:cs="宋体" w:hint="eastAsia"/>
          <w:color w:val="000000"/>
          <w:kern w:val="0"/>
          <w:lang w:bidi="ar"/>
        </w:rPr>
        <w:t>。施工过程中加强质量监管，尽量控制可能出现渗漏的裂缝产生。</w:t>
      </w:r>
    </w:p>
    <w:p w14:paraId="6D122E15" w14:textId="77777777" w:rsidR="009D12AF" w:rsidRDefault="00000000">
      <w:pPr>
        <w:ind w:firstLine="480"/>
        <w:rPr>
          <w:rFonts w:eastAsia="宋体"/>
        </w:rPr>
      </w:pPr>
      <w:r>
        <w:rPr>
          <w:rFonts w:hint="eastAsia"/>
        </w:rPr>
        <w:t>群力水库清淤范围和临时占地位于黑龙江海林市莲花湖省级自然保护区实验区、黑龙江省莲花湖地质公园、</w:t>
      </w:r>
      <w:r>
        <w:rPr>
          <w:rFonts w:ascii="Times New Roman" w:eastAsia="宋体" w:hAnsi="Times New Roman" w:cs="Times New Roman"/>
          <w:szCs w:val="21"/>
        </w:rPr>
        <w:t>海林莲花湖</w:t>
      </w:r>
      <w:r>
        <w:rPr>
          <w:rFonts w:ascii="Times New Roman" w:eastAsia="宋体" w:hAnsi="Times New Roman" w:cs="Times New Roman" w:hint="eastAsia"/>
          <w:szCs w:val="21"/>
        </w:rPr>
        <w:t>风景名胜区、</w:t>
      </w:r>
      <w:r>
        <w:rPr>
          <w:rFonts w:ascii="Times New Roman" w:eastAsia="宋体" w:hAnsi="Times New Roman" w:cs="Times New Roman"/>
          <w:szCs w:val="21"/>
        </w:rPr>
        <w:t>威虎山国家森林公园</w:t>
      </w:r>
      <w:r>
        <w:rPr>
          <w:rFonts w:ascii="Times New Roman" w:eastAsia="宋体" w:hAnsi="Times New Roman" w:cs="Times New Roman" w:hint="eastAsia"/>
        </w:rPr>
        <w:t>。</w:t>
      </w:r>
    </w:p>
    <w:p w14:paraId="6D7EDD1A" w14:textId="77777777" w:rsidR="009D12AF" w:rsidRDefault="00000000">
      <w:pPr>
        <w:ind w:firstLine="480"/>
      </w:pPr>
      <w:r>
        <w:rPr>
          <w:rFonts w:hint="eastAsia"/>
        </w:rPr>
        <w:t>1</w:t>
      </w:r>
      <w:r>
        <w:rPr>
          <w:rFonts w:hint="eastAsia"/>
        </w:rPr>
        <w:t>、黑龙江海林市莲花湖省级自然保护区实验区</w:t>
      </w:r>
    </w:p>
    <w:p w14:paraId="36F529DA" w14:textId="77777777" w:rsidR="009D12AF" w:rsidRDefault="00000000">
      <w:pPr>
        <w:ind w:firstLine="480"/>
      </w:pPr>
      <w:r>
        <w:t>根据本工程与环境敏感区的区位关系可知，本工程占用黑龙江海林莲花湖省级自然保护区，面积约</w:t>
      </w:r>
      <w:r>
        <w:t>1.26hm</w:t>
      </w:r>
      <w:r>
        <w:rPr>
          <w:vertAlign w:val="superscript"/>
        </w:rPr>
        <w:t>2</w:t>
      </w:r>
      <w:r>
        <w:t>，为居住区、淤泥堆放区、机械设备停放区、施工便道。</w:t>
      </w:r>
    </w:p>
    <w:p w14:paraId="76537053" w14:textId="77777777" w:rsidR="009D12AF" w:rsidRDefault="00000000">
      <w:pPr>
        <w:ind w:firstLine="480"/>
      </w:pPr>
      <w:r>
        <w:t>1</w:t>
      </w:r>
      <w:r>
        <w:t>）对保护区植物资源的影响</w:t>
      </w:r>
    </w:p>
    <w:p w14:paraId="7A092213" w14:textId="77777777" w:rsidR="009D12AF" w:rsidRDefault="00000000">
      <w:pPr>
        <w:ind w:firstLine="480"/>
      </w:pPr>
      <w:r>
        <w:t>施工前期通过遥感监测与实地踏查，已实现保护植物生境的精准避让，居住区、淤泥堆放区等重点作业区选址避开了</w:t>
      </w:r>
      <w:r>
        <w:t xml:space="preserve">4 </w:t>
      </w:r>
      <w:r>
        <w:t>种国家二级保护植物的个体或群落，仅涉及松、椴等常见乔木及芦苇、稗草等广布性草本植被。针对不同功能区的植被影响差异，采取差异化保护措施：淤泥堆放区及机械设备停放区需硬化处理，对表层</w:t>
      </w:r>
      <w:r>
        <w:t xml:space="preserve"> 0-30cm </w:t>
      </w:r>
      <w:r>
        <w:t>富含根系的耕作层土壤进行单独剥离、防雨覆膜储存，最大限度保留植物再生基础，施工便道则采用临时钢板铺设，减少对地表植被的碾压破坏，对植被群落的影响局限于临时占地范围内的短期扰动，且可通过生态修复实现功能复原，整体未改变保护区植物资源的多样性与完整性特征。</w:t>
      </w:r>
    </w:p>
    <w:p w14:paraId="4B6D31E8" w14:textId="77777777" w:rsidR="009D12AF" w:rsidRDefault="00000000">
      <w:pPr>
        <w:ind w:firstLine="480"/>
      </w:pPr>
      <w:r>
        <w:t>2</w:t>
      </w:r>
      <w:r>
        <w:t>）对保护区野生动物的影响</w:t>
      </w:r>
    </w:p>
    <w:p w14:paraId="372066A0" w14:textId="77777777" w:rsidR="009D12AF" w:rsidRDefault="00000000">
      <w:pPr>
        <w:ind w:firstLine="480"/>
      </w:pPr>
      <w:r>
        <w:t>根据现场调查和历史资料分析，评价区可能存在国家重点保护野生动物东方白鹳、中华秋沙鸭、鸳鸯、红隼、极北鲵，项目实施过程中对野生动物的影响主要表现在两个方面：一是土方开挖、机器震动、人员活动等产生的噪声，影响其在施工区域内的觅食、求偶等活动：二是施工人员的捕猎。本项目建设对保护物种栖息地面积影响较小，且保护区内野生动物对环境变化有较好的感知能力，受到干扰后会迁移到附近相似的生境，噪声和废弃物对保护物种的影响会随着施工结束后消失。</w:t>
      </w:r>
      <w:r>
        <w:rPr>
          <w:rFonts w:hint="eastAsia"/>
        </w:rPr>
        <w:t>运行期</w:t>
      </w:r>
      <w:r>
        <w:t>内不侵占保护区野生动物活动的主要栖息地，各施工机械退出评价区，灰尘、噪音和震动对保护物种的影响大大降低，对保护区内野生动物</w:t>
      </w:r>
      <w:r>
        <w:lastRenderedPageBreak/>
        <w:t>栖息地影响小。</w:t>
      </w:r>
    </w:p>
    <w:p w14:paraId="710DDDB1" w14:textId="77777777" w:rsidR="009D12AF" w:rsidRDefault="00000000">
      <w:pPr>
        <w:ind w:firstLine="480"/>
      </w:pPr>
      <w:r>
        <w:t>3</w:t>
      </w:r>
      <w:r>
        <w:t>）对生态系统的影响</w:t>
      </w:r>
    </w:p>
    <w:p w14:paraId="3BFEB9C6" w14:textId="77777777" w:rsidR="009D12AF" w:rsidRDefault="00000000">
      <w:pPr>
        <w:ind w:firstLine="480"/>
      </w:pPr>
      <w:r>
        <w:t>保护区内主要以湿地生态系统和农田生态系统为主，本项目的施工对地表植被、土壤结构、动物栖息地的影响较小，因此项目建设对保护区内生态系统类型的影响较小。</w:t>
      </w:r>
    </w:p>
    <w:p w14:paraId="3629BF1E" w14:textId="77777777" w:rsidR="009D12AF" w:rsidRDefault="00000000">
      <w:pPr>
        <w:ind w:firstLine="480"/>
      </w:pPr>
      <w:r>
        <w:rPr>
          <w:rFonts w:hint="eastAsia"/>
        </w:rPr>
        <w:t>2</w:t>
      </w:r>
      <w:r>
        <w:rPr>
          <w:rFonts w:hint="eastAsia"/>
        </w:rPr>
        <w:t>、黑龙江省莲花湖地质公园</w:t>
      </w:r>
    </w:p>
    <w:p w14:paraId="7A95A1BC" w14:textId="77777777" w:rsidR="009D12AF" w:rsidRDefault="00000000">
      <w:pPr>
        <w:ind w:firstLine="480"/>
      </w:pPr>
      <w:r>
        <w:t>黑龙江省莲花湖地质公园核心保护对象为花岗岩构造侵蚀地貌、湖蚀地貌系统、区域地质演化剖面构成的地质遗迹体系，以及花岗岩山地针阔混交林</w:t>
      </w:r>
      <w:r>
        <w:t xml:space="preserve"> - </w:t>
      </w:r>
      <w:r>
        <w:t>湖岸湿地复合生态系统、珍稀野生动植物。项目以环保绞吸式挖泥船开展清淤作业，临时占地远离地质科普展示区与核心保护区边界，未进入地质遗迹核心视域范围，不影响地质景观的完整性与观赏性。</w:t>
      </w:r>
    </w:p>
    <w:p w14:paraId="596AA035" w14:textId="77777777" w:rsidR="009D12AF" w:rsidRDefault="00000000">
      <w:pPr>
        <w:ind w:firstLine="480"/>
      </w:pPr>
      <w:r>
        <w:t>施工结束后，临时占地将拆除所有设施，回覆表层土壤并按原生植被结构补植乡土植物，补植区域避开地质遗迹敏感区，不改变花岗岩山地与湖岸的地质形态；清淤后湖水透明度提升，进一步凸显湖蚀崖、金龟岛等地质景观的视觉效果，且底泥内源污染减少有助于保护湖阶地的古环境记录完整性。总体来看，项目对黑龙江省莲花湖地质公园的影响局限于施工期临时占地的轻微扰动，未触及核心地质遗迹与生态系统底线，实现了工程建设与地质遗迹保护的协调发展。</w:t>
      </w:r>
    </w:p>
    <w:p w14:paraId="6A90F548" w14:textId="77777777" w:rsidR="009D12AF" w:rsidRDefault="00000000">
      <w:pPr>
        <w:ind w:firstLine="480"/>
      </w:pPr>
      <w:r>
        <w:rPr>
          <w:rFonts w:hint="eastAsia"/>
        </w:rPr>
        <w:t>3</w:t>
      </w:r>
      <w:r>
        <w:rPr>
          <w:rFonts w:hint="eastAsia"/>
        </w:rPr>
        <w:t>、海林莲花湖风景名胜区</w:t>
      </w:r>
    </w:p>
    <w:p w14:paraId="561EB7CD" w14:textId="77777777" w:rsidR="009D12AF" w:rsidRDefault="00000000">
      <w:pPr>
        <w:ind w:firstLine="480"/>
      </w:pPr>
      <w:r>
        <w:t>海林莲花湖风景名胜区核心保护对象为</w:t>
      </w:r>
      <w:r>
        <w:t xml:space="preserve"> “</w:t>
      </w:r>
      <w:r>
        <w:t>湖光山色、林海雪原、历史遗存</w:t>
      </w:r>
      <w:r>
        <w:t>”</w:t>
      </w:r>
      <w:r>
        <w:t>构成的景观资源体系，以及依托该景观的湿地</w:t>
      </w:r>
      <w:r>
        <w:t xml:space="preserve"> - </w:t>
      </w:r>
      <w:r>
        <w:t>森林复合生态系统、珍稀野生动植物（东方白鹳、中华秋沙鸭等）。项目以环保绞吸式挖泥船开展清淤作业，临时占地（居住区、淤泥堆放区、机械设备停放区、施工便道共</w:t>
      </w:r>
      <w:r>
        <w:t>1.26hm²</w:t>
      </w:r>
      <w:r>
        <w:t>均位于群力湖湾西侧隐蔽区域，避开鹰嘴峰、一线天等核心景观节点及</w:t>
      </w:r>
      <w:r>
        <w:t xml:space="preserve"> “</w:t>
      </w:r>
      <w:r>
        <w:t>百里丹江小三峡</w:t>
      </w:r>
      <w:r>
        <w:t xml:space="preserve">” </w:t>
      </w:r>
      <w:r>
        <w:t>核心视域范围。海林莲花湖风景名胜区生态系统以</w:t>
      </w:r>
      <w:r>
        <w:t xml:space="preserve"> “</w:t>
      </w:r>
      <w:r>
        <w:t>湖泊湿地</w:t>
      </w:r>
      <w:r>
        <w:t xml:space="preserve"> - </w:t>
      </w:r>
      <w:r>
        <w:t>针阔混交林</w:t>
      </w:r>
      <w:r>
        <w:t xml:space="preserve"> - </w:t>
      </w:r>
      <w:r>
        <w:t>草甸</w:t>
      </w:r>
      <w:r>
        <w:t xml:space="preserve">” </w:t>
      </w:r>
      <w:r>
        <w:t>为核心复合结构，是支撑景区景观价值与生物多样性的基础。本项目清淤作业采用分段施工模式，无大规模地表开挖临时占地仅涉及少量灌草植被区域。清淤穿越河流段采用环保绞吸式作业，不占用自然植物群落面积，也未破坏景区动物群落的栖息生境，减少了地面挖掘和土地扰动，最大限度保护了景区</w:t>
      </w:r>
      <w:r>
        <w:lastRenderedPageBreak/>
        <w:t>原有地形地貌与植被覆盖。</w:t>
      </w:r>
    </w:p>
    <w:p w14:paraId="737E1BD8" w14:textId="77777777" w:rsidR="009D12AF" w:rsidRDefault="00000000">
      <w:pPr>
        <w:ind w:firstLine="480"/>
      </w:pPr>
      <w:r>
        <w:rPr>
          <w:rFonts w:hint="eastAsia"/>
        </w:rPr>
        <w:t>4</w:t>
      </w:r>
      <w:r>
        <w:rPr>
          <w:rFonts w:hint="eastAsia"/>
        </w:rPr>
        <w:t>、威虎山国家森林公园</w:t>
      </w:r>
    </w:p>
    <w:p w14:paraId="47FF2EA5" w14:textId="77777777" w:rsidR="009D12AF" w:rsidRDefault="00000000">
      <w:pPr>
        <w:ind w:firstLine="480"/>
      </w:pPr>
      <w:r>
        <w:t>威虎山国家森林公园核心保护对象为温带针阔混交林生态系统、珍稀野生动物、特色景观资源等人文景观，兼具水源涵养与生物多样性维护核心功能。本项目临时占用威虎山国家森林公园占用</w:t>
      </w:r>
      <w:r>
        <w:t>0.99 hm</w:t>
      </w:r>
      <w:r>
        <w:rPr>
          <w:vertAlign w:val="superscript"/>
        </w:rPr>
        <w:t>2</w:t>
      </w:r>
      <w:r>
        <w:t>，项目对森林公园的影响集中于施工期，不占用核心保护用地、不破坏人文景观本体，不改变森林生态系统与景观格局的稳定性，仅施工机械运行产生的噪声、少量扬尘可能对局部声环境、大气环境及野生动物产生短期干扰，通过加装隔声罩、每日</w:t>
      </w:r>
      <w:r>
        <w:t>3</w:t>
      </w:r>
      <w:r>
        <w:t>次洒水降尘、设置生态隔离带等措施可有效减免，且此类影响仅局限于施工期，待机械撤离、植被恢复后即完全消失。</w:t>
      </w:r>
    </w:p>
    <w:p w14:paraId="23AD4F7A" w14:textId="77777777" w:rsidR="009D12AF" w:rsidRDefault="00000000">
      <w:pPr>
        <w:ind w:firstLine="480"/>
      </w:pPr>
      <w:r>
        <w:t>在严格落实报告书提出的各项保护措施和要求后，施工期对</w:t>
      </w:r>
      <w:r>
        <w:rPr>
          <w:rFonts w:hint="eastAsia"/>
        </w:rPr>
        <w:t>自然保护区和优先保护单元影响较小，</w:t>
      </w:r>
      <w:r>
        <w:t>且本工程属于河湖整治的社会公益性项目，项目建设有利于提升</w:t>
      </w:r>
      <w:r>
        <w:rPr>
          <w:rFonts w:hint="eastAsia"/>
        </w:rPr>
        <w:t>清淤段</w:t>
      </w:r>
      <w:r>
        <w:t>水质，满足城市建设的高标准要求</w:t>
      </w:r>
      <w:r>
        <w:rPr>
          <w:rFonts w:hint="eastAsia"/>
        </w:rPr>
        <w:t>，具</w:t>
      </w:r>
      <w:r>
        <w:t>有较强的经济和社会效益。综上所述，本项目的选址是合理的。</w:t>
      </w:r>
    </w:p>
    <w:p w14:paraId="4ACEC580" w14:textId="77777777" w:rsidR="009D12AF" w:rsidRDefault="00000000">
      <w:pPr>
        <w:pStyle w:val="2"/>
      </w:pPr>
      <w:bookmarkStart w:id="31" w:name="_Toc23568"/>
      <w:r>
        <w:rPr>
          <w:rFonts w:hint="eastAsia"/>
        </w:rPr>
        <w:t>1.</w:t>
      </w:r>
      <w:r>
        <w:t>4</w:t>
      </w:r>
      <w:r>
        <w:t>关注的主要环境问题及环境影响</w:t>
      </w:r>
      <w:bookmarkEnd w:id="31"/>
    </w:p>
    <w:p w14:paraId="797B9298" w14:textId="77777777" w:rsidR="009D12AF" w:rsidRDefault="00000000">
      <w:pPr>
        <w:ind w:firstLine="480"/>
      </w:pPr>
      <w:r>
        <w:t>本项目为水利工程，属于非污染生态项目，环境影响集中在施工期，主要环境问题是</w:t>
      </w:r>
      <w:r>
        <w:rPr>
          <w:rFonts w:hint="eastAsia"/>
        </w:rPr>
        <w:t>临时生产区</w:t>
      </w:r>
      <w:r>
        <w:t>地表开挖及施工占地对周围生态环境的破坏，施工扬尘、施工废水、施工噪声对空气环境、地表水环境和声环境的影响。</w:t>
      </w:r>
    </w:p>
    <w:p w14:paraId="14B3BBEB" w14:textId="77777777" w:rsidR="009D12AF" w:rsidRDefault="00000000">
      <w:pPr>
        <w:ind w:firstLine="480"/>
      </w:pPr>
      <w:r>
        <w:t>（</w:t>
      </w:r>
      <w:r>
        <w:t>1</w:t>
      </w:r>
      <w:r>
        <w:t>）废气</w:t>
      </w:r>
    </w:p>
    <w:p w14:paraId="4E3CF306" w14:textId="77777777" w:rsidR="009D12AF" w:rsidRDefault="00000000">
      <w:pPr>
        <w:ind w:firstLine="480"/>
      </w:pPr>
      <w:r>
        <w:t>本工程环境空气污染包括施工现场、</w:t>
      </w:r>
      <w:r>
        <w:rPr>
          <w:rFonts w:hint="eastAsia"/>
        </w:rPr>
        <w:t>临时生产区</w:t>
      </w:r>
      <w:r>
        <w:t>及运输过程产生的扬尘污染，</w:t>
      </w:r>
      <w:r>
        <w:rPr>
          <w:rFonts w:hint="eastAsia"/>
        </w:rPr>
        <w:t>水库</w:t>
      </w:r>
      <w:r>
        <w:t>清淤、</w:t>
      </w:r>
      <w:r>
        <w:rPr>
          <w:rFonts w:hint="eastAsia"/>
        </w:rPr>
        <w:t>临时生产区</w:t>
      </w:r>
      <w:r>
        <w:t>、弃土场及运输过程产生的恶臭污染，燃油机械和运输车辆产生的尾气污染；</w:t>
      </w:r>
    </w:p>
    <w:p w14:paraId="1344000E" w14:textId="77777777" w:rsidR="009D12AF" w:rsidRDefault="00000000">
      <w:pPr>
        <w:ind w:firstLine="480"/>
      </w:pPr>
      <w:r>
        <w:t>（</w:t>
      </w:r>
      <w:r>
        <w:t>2</w:t>
      </w:r>
      <w:r>
        <w:t>）噪声</w:t>
      </w:r>
    </w:p>
    <w:p w14:paraId="32C2C884" w14:textId="77777777" w:rsidR="009D12AF" w:rsidRDefault="00000000">
      <w:pPr>
        <w:ind w:firstLine="480"/>
      </w:pPr>
      <w:r>
        <w:t>施工</w:t>
      </w:r>
      <w:r>
        <w:rPr>
          <w:rFonts w:hint="eastAsia"/>
        </w:rPr>
        <w:t>期</w:t>
      </w:r>
      <w:r>
        <w:t>的噪声主要来源于包括施工现场噪声和淤泥等物料运输的交通噪声；</w:t>
      </w:r>
    </w:p>
    <w:p w14:paraId="759348F7" w14:textId="77777777" w:rsidR="009D12AF" w:rsidRDefault="00000000">
      <w:pPr>
        <w:ind w:firstLine="480"/>
      </w:pPr>
      <w:r>
        <w:t>（</w:t>
      </w:r>
      <w:r>
        <w:t>3</w:t>
      </w:r>
      <w:r>
        <w:t>）生态环境</w:t>
      </w:r>
    </w:p>
    <w:p w14:paraId="2E6323D8" w14:textId="77777777" w:rsidR="009D12AF" w:rsidRDefault="00000000">
      <w:pPr>
        <w:ind w:firstLine="480"/>
      </w:pPr>
      <w:r>
        <w:t>工程</w:t>
      </w:r>
      <w:r>
        <w:rPr>
          <w:rFonts w:hint="eastAsia"/>
        </w:rPr>
        <w:t>运行期</w:t>
      </w:r>
      <w:r>
        <w:t>，永久占地导致区域生境类型发生一定程度变化，造成植物生物量损失，在采取生态护岸及绿化恢复措施后，对生物量的损失得到有效补偿；本</w:t>
      </w:r>
      <w:r>
        <w:lastRenderedPageBreak/>
        <w:t>项目施工完毕后所有施工机械设备撤离；水域清淤水体也不再受到扰动，水体环境将趋于稳定，水域中的水生生物也将逐渐恢复正常生境；</w:t>
      </w:r>
    </w:p>
    <w:p w14:paraId="2C62CF8A" w14:textId="77777777" w:rsidR="009D12AF" w:rsidRDefault="00000000">
      <w:pPr>
        <w:ind w:firstLine="480"/>
      </w:pPr>
      <w:r>
        <w:t>（</w:t>
      </w:r>
      <w:r>
        <w:t>4</w:t>
      </w:r>
      <w:r>
        <w:t>）水环境</w:t>
      </w:r>
    </w:p>
    <w:p w14:paraId="65C0B234" w14:textId="77777777" w:rsidR="009D12AF" w:rsidRDefault="00000000">
      <w:pPr>
        <w:ind w:firstLine="480"/>
      </w:pPr>
      <w:r>
        <w:t>本项目施工期对水环境的影响主要为施工废水来自施工人员生活污水</w:t>
      </w:r>
      <w:r>
        <w:rPr>
          <w:rFonts w:hint="eastAsia"/>
        </w:rPr>
        <w:t>、施工机械设备冲洗废水、挖泥船舶底油污水</w:t>
      </w:r>
      <w:r>
        <w:t>与清淤工程</w:t>
      </w:r>
      <w:r>
        <w:rPr>
          <w:rFonts w:hint="eastAsia"/>
        </w:rPr>
        <w:t>临时生产区</w:t>
      </w:r>
      <w:r>
        <w:t>渗滤水。运行期工程本身对水环境不会产生影响，可能会对水文环境产生影响；</w:t>
      </w:r>
    </w:p>
    <w:p w14:paraId="2C816343" w14:textId="77777777" w:rsidR="009D12AF" w:rsidRDefault="00000000">
      <w:pPr>
        <w:ind w:firstLine="480"/>
      </w:pPr>
      <w:r>
        <w:t>（</w:t>
      </w:r>
      <w:r>
        <w:t>5</w:t>
      </w:r>
      <w:r>
        <w:t>）固体废物</w:t>
      </w:r>
    </w:p>
    <w:p w14:paraId="7AC9CA2B" w14:textId="77777777" w:rsidR="009D12AF" w:rsidRDefault="00000000">
      <w:pPr>
        <w:ind w:firstLine="480"/>
      </w:pPr>
      <w:r>
        <w:t>施工期固体废物主要包括</w:t>
      </w:r>
      <w:r>
        <w:rPr>
          <w:rFonts w:hint="eastAsia"/>
        </w:rPr>
        <w:t>清淤底泥、</w:t>
      </w:r>
      <w:r>
        <w:t>建筑垃圾、弃渣、</w:t>
      </w:r>
      <w:r>
        <w:rPr>
          <w:rFonts w:hint="eastAsia"/>
        </w:rPr>
        <w:t>水库</w:t>
      </w:r>
      <w:r>
        <w:t>清理垃圾及施工人员生活垃圾。</w:t>
      </w:r>
    </w:p>
    <w:p w14:paraId="2A5DC2BE" w14:textId="77777777" w:rsidR="009D12AF" w:rsidRDefault="00000000">
      <w:pPr>
        <w:pStyle w:val="2"/>
      </w:pPr>
      <w:bookmarkStart w:id="32" w:name="_Toc22919"/>
      <w:r>
        <w:rPr>
          <w:rFonts w:hint="eastAsia"/>
        </w:rPr>
        <w:t>1.</w:t>
      </w:r>
      <w:r>
        <w:t>5</w:t>
      </w:r>
      <w:r>
        <w:t>主要工作过程</w:t>
      </w:r>
      <w:bookmarkEnd w:id="32"/>
    </w:p>
    <w:p w14:paraId="6A04B4E2" w14:textId="77777777" w:rsidR="009D12AF" w:rsidRDefault="00000000">
      <w:pPr>
        <w:pStyle w:val="a9"/>
        <w:ind w:firstLine="480"/>
      </w:pPr>
      <w:r>
        <w:t>本次评价通过对项目周围的环境空气、地表水、地下水、声环境、生态环境、土壤环境质量现状进行的调查评价，预测评价项目实施后对周围的环境影响范围和程度，分析和论证了工程拟采取的环境保护措施以及在技术上的可行性和经济上的合理性。同时提出了较为切实可行的环保措施和防治污染对策，为有关部门进行项目决策、工程设计施工、环境管理提供科学的依据，使工程对环境的不良影响降到最低程度。</w:t>
      </w:r>
    </w:p>
    <w:p w14:paraId="519C3557" w14:textId="77777777" w:rsidR="009D12AF" w:rsidRDefault="00000000">
      <w:pPr>
        <w:pStyle w:val="a9"/>
        <w:ind w:firstLine="480"/>
      </w:pPr>
      <w:r>
        <w:t>根据环境保护法律、环境影响评价技术导则等文件的基础上，进行了初步工程分析，在初步了解项目工程之后，进行了现场调查，初步了解了区域敏感目标分布（居民分布、水体分布）、环境质量现状（环境空气、声环境、地下水等）。</w:t>
      </w:r>
    </w:p>
    <w:p w14:paraId="70B73261" w14:textId="77777777" w:rsidR="009D12AF" w:rsidRDefault="00000000">
      <w:pPr>
        <w:pStyle w:val="a9"/>
        <w:ind w:firstLine="480"/>
      </w:pPr>
      <w:r>
        <w:t>在调查了同类项目工程实例的基础上，识别并筛选了项目环境影响评价因子，明确了评价重点和环境保护目标。根据工程特征及区域环境调查，确定了工作等级、评价范围及评价标准。</w:t>
      </w:r>
    </w:p>
    <w:p w14:paraId="3F14A308" w14:textId="77777777" w:rsidR="009D12AF" w:rsidRDefault="00000000">
      <w:pPr>
        <w:pStyle w:val="a9"/>
        <w:ind w:firstLine="480"/>
      </w:pPr>
      <w:r>
        <w:t>在确定评价工作等级、评价范围之后，根据环境影响评价技术导则要求进行环境现状调查监测与评价，根据企业提供的资料、查阅资料等完成项目工程组成、污染因素分析、污染源核算等内容。</w:t>
      </w:r>
    </w:p>
    <w:p w14:paraId="15BF440C" w14:textId="77777777" w:rsidR="009D12AF" w:rsidRDefault="00000000">
      <w:pPr>
        <w:pStyle w:val="a9"/>
        <w:ind w:firstLine="480"/>
      </w:pPr>
      <w:r>
        <w:t>在工程分析及环境现状调查的基础上，开展环境各个要素环境影响预测与评价。</w:t>
      </w:r>
    </w:p>
    <w:p w14:paraId="65A2478A" w14:textId="77777777" w:rsidR="009D12AF" w:rsidRDefault="00000000">
      <w:pPr>
        <w:pStyle w:val="a9"/>
        <w:ind w:firstLine="480"/>
      </w:pPr>
      <w:r>
        <w:lastRenderedPageBreak/>
        <w:t>在工程分析的基础上，明确了项目采取的污染防治措施、风险防范措施，并论证采取措施的可行性及合理性，同时给出污染物排放清单。</w:t>
      </w:r>
    </w:p>
    <w:p w14:paraId="1D9F6867" w14:textId="77777777" w:rsidR="009D12AF" w:rsidRDefault="00000000">
      <w:pPr>
        <w:pStyle w:val="a9"/>
        <w:ind w:firstLine="480"/>
      </w:pPr>
      <w:r>
        <w:t>在建设项目工程内容、环境质量现状、污染物排放情况、主要环境影响、环境保护措施等基础上，给出了项目建设的可行性的结论。工作程序见图</w:t>
      </w:r>
      <w:r>
        <w:rPr>
          <w:rFonts w:hint="eastAsia"/>
        </w:rPr>
        <w:t>1.5-1</w:t>
      </w:r>
      <w:r>
        <w:t>。</w:t>
      </w:r>
    </w:p>
    <w:p w14:paraId="07750725" w14:textId="77777777" w:rsidR="009D12AF" w:rsidRDefault="00000000">
      <w:pPr>
        <w:ind w:firstLineChars="0" w:firstLine="0"/>
        <w:jc w:val="center"/>
        <w:rPr>
          <w:rFonts w:cs="Times New Roman"/>
        </w:rPr>
      </w:pPr>
      <w:r>
        <w:rPr>
          <w:noProof/>
        </w:rPr>
        <w:drawing>
          <wp:inline distT="0" distB="0" distL="114300" distR="114300" wp14:anchorId="1EA07233" wp14:editId="0C49BFFC">
            <wp:extent cx="5086350" cy="7001510"/>
            <wp:effectExtent l="0" t="0" r="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8"/>
                    <a:stretch>
                      <a:fillRect/>
                    </a:stretch>
                  </pic:blipFill>
                  <pic:spPr>
                    <a:xfrm>
                      <a:off x="0" y="0"/>
                      <a:ext cx="5086350" cy="7001510"/>
                    </a:xfrm>
                    <a:prstGeom prst="rect">
                      <a:avLst/>
                    </a:prstGeom>
                    <a:noFill/>
                    <a:ln>
                      <a:noFill/>
                    </a:ln>
                  </pic:spPr>
                </pic:pic>
              </a:graphicData>
            </a:graphic>
          </wp:inline>
        </w:drawing>
      </w:r>
    </w:p>
    <w:p w14:paraId="2F9FD41C" w14:textId="77777777" w:rsidR="009D12AF" w:rsidRDefault="00000000">
      <w:pPr>
        <w:ind w:firstLineChars="0" w:firstLine="0"/>
        <w:jc w:val="center"/>
      </w:pPr>
      <w:r>
        <w:rPr>
          <w:rFonts w:hint="eastAsia"/>
          <w:b/>
          <w:bCs/>
        </w:rPr>
        <w:t>图</w:t>
      </w:r>
      <w:r>
        <w:rPr>
          <w:rFonts w:hint="eastAsia"/>
          <w:b/>
          <w:bCs/>
        </w:rPr>
        <w:t>1.5-1</w:t>
      </w:r>
      <w:r>
        <w:rPr>
          <w:rFonts w:hint="eastAsia"/>
          <w:b/>
          <w:bCs/>
        </w:rPr>
        <w:t>项目环境影响评价工作程序图</w:t>
      </w:r>
    </w:p>
    <w:p w14:paraId="2198FC75" w14:textId="77777777" w:rsidR="009D12AF" w:rsidRDefault="00000000">
      <w:pPr>
        <w:pStyle w:val="2"/>
      </w:pPr>
      <w:bookmarkStart w:id="33" w:name="_Toc18504"/>
      <w:r>
        <w:rPr>
          <w:rFonts w:hint="eastAsia"/>
        </w:rPr>
        <w:lastRenderedPageBreak/>
        <w:t>1.</w:t>
      </w:r>
      <w:r>
        <w:t>6</w:t>
      </w:r>
      <w:r>
        <w:t>环境影响报告书主要结论</w:t>
      </w:r>
      <w:bookmarkEnd w:id="33"/>
    </w:p>
    <w:p w14:paraId="0519D685" w14:textId="77777777" w:rsidR="009D12AF" w:rsidRDefault="00000000">
      <w:pPr>
        <w:ind w:firstLine="480"/>
        <w:rPr>
          <w:highlight w:val="yellow"/>
        </w:rPr>
      </w:pPr>
      <w:r>
        <w:t>本项目建设符合国家产业政策，工程建设以有利影响为主，工程建设完成后，将改善农业生产条件和农村生态环境，促进农业经济的发展，有利于区内水土资源的可持续利用，其社会效益、经济效益、环境效益显著。</w:t>
      </w:r>
      <w:r>
        <w:rPr>
          <w:rFonts w:hint="eastAsia"/>
        </w:rPr>
        <w:t>本</w:t>
      </w:r>
      <w:r>
        <w:t>工程</w:t>
      </w:r>
      <w:r>
        <w:rPr>
          <w:rFonts w:hint="eastAsia"/>
        </w:rPr>
        <w:t>运行期无影响，仅在</w:t>
      </w:r>
      <w:r>
        <w:t>施工期对周围环境产生不利影响，这些影响大多数是暂时的，采取一定的环境保护措施可以减轻或避免工程实施对环境产生的不利影响。因此，从可持续发展与环保角度考虑，只要加强环境管理，认真落实本报告所提出的各项污染防治措施和生态恢复措施，确保各污染物达标排放的前提下，项目可行。</w:t>
      </w:r>
    </w:p>
    <w:p w14:paraId="4B4760C4" w14:textId="77777777" w:rsidR="009D12AF" w:rsidRDefault="00000000">
      <w:pPr>
        <w:ind w:firstLine="480"/>
        <w:rPr>
          <w:highlight w:val="yellow"/>
        </w:rPr>
      </w:pPr>
      <w:r>
        <w:rPr>
          <w:highlight w:val="yellow"/>
        </w:rPr>
        <w:br w:type="page"/>
      </w:r>
    </w:p>
    <w:p w14:paraId="0C581EBD" w14:textId="77777777" w:rsidR="009D12AF" w:rsidRDefault="00000000">
      <w:pPr>
        <w:pStyle w:val="1"/>
      </w:pPr>
      <w:bookmarkStart w:id="34" w:name="_Toc13509"/>
      <w:r>
        <w:rPr>
          <w:rFonts w:hint="eastAsia"/>
        </w:rPr>
        <w:lastRenderedPageBreak/>
        <w:t>2</w:t>
      </w:r>
      <w:r>
        <w:rPr>
          <w:rFonts w:hint="eastAsia"/>
        </w:rPr>
        <w:t>总则</w:t>
      </w:r>
      <w:bookmarkEnd w:id="34"/>
    </w:p>
    <w:p w14:paraId="2BA002D7" w14:textId="77777777" w:rsidR="009D12AF" w:rsidRDefault="00000000">
      <w:pPr>
        <w:pStyle w:val="2"/>
      </w:pPr>
      <w:bookmarkStart w:id="35" w:name="_Toc14978"/>
      <w:r>
        <w:rPr>
          <w:rFonts w:hint="eastAsia"/>
        </w:rPr>
        <w:t>2.1</w:t>
      </w:r>
      <w:r>
        <w:rPr>
          <w:rFonts w:hint="eastAsia"/>
        </w:rPr>
        <w:t>编制依据</w:t>
      </w:r>
      <w:bookmarkEnd w:id="35"/>
    </w:p>
    <w:p w14:paraId="3499C534" w14:textId="77777777" w:rsidR="009D12AF" w:rsidRDefault="00000000">
      <w:pPr>
        <w:pStyle w:val="3"/>
      </w:pPr>
      <w:bookmarkStart w:id="36" w:name="_Toc7566"/>
      <w:bookmarkStart w:id="37" w:name="_Toc16987"/>
      <w:bookmarkStart w:id="38" w:name="_Toc12279"/>
      <w:bookmarkStart w:id="39" w:name="_Toc10078"/>
      <w:r>
        <w:rPr>
          <w:rFonts w:hint="eastAsia"/>
        </w:rPr>
        <w:t xml:space="preserve">2.1.1 </w:t>
      </w:r>
      <w:r>
        <w:rPr>
          <w:rFonts w:hint="eastAsia"/>
        </w:rPr>
        <w:t>法律、法规与国务院规范性文件</w:t>
      </w:r>
      <w:bookmarkEnd w:id="36"/>
      <w:bookmarkEnd w:id="37"/>
      <w:bookmarkEnd w:id="38"/>
      <w:bookmarkEnd w:id="39"/>
    </w:p>
    <w:p w14:paraId="0A2F203B" w14:textId="77777777" w:rsidR="009D12AF" w:rsidRDefault="00000000">
      <w:pPr>
        <w:ind w:firstLine="480"/>
      </w:pPr>
      <w:r>
        <w:rPr>
          <w:rFonts w:hint="eastAsia"/>
        </w:rPr>
        <w:t>（</w:t>
      </w:r>
      <w:r>
        <w:rPr>
          <w:rFonts w:hint="eastAsia"/>
        </w:rPr>
        <w:t>1</w:t>
      </w:r>
      <w:r>
        <w:rPr>
          <w:rFonts w:hint="eastAsia"/>
        </w:rPr>
        <w:t>）《中华人民共和国环境保护法》（</w:t>
      </w:r>
      <w:r>
        <w:rPr>
          <w:rFonts w:ascii="Times New Roman" w:hAnsi="Times New Roman" w:cs="Times New Roman"/>
        </w:rPr>
        <w:t>2015.1.1</w:t>
      </w:r>
      <w:r>
        <w:rPr>
          <w:rFonts w:hint="eastAsia"/>
        </w:rPr>
        <w:t>）；</w:t>
      </w:r>
    </w:p>
    <w:p w14:paraId="4CF41DB9" w14:textId="77777777" w:rsidR="009D12AF" w:rsidRDefault="00000000">
      <w:pPr>
        <w:ind w:firstLine="480"/>
      </w:pPr>
      <w:r>
        <w:rPr>
          <w:rFonts w:hint="eastAsia"/>
        </w:rPr>
        <w:t>（</w:t>
      </w:r>
      <w:r>
        <w:rPr>
          <w:rFonts w:hint="eastAsia"/>
        </w:rPr>
        <w:t>2</w:t>
      </w:r>
      <w:r>
        <w:rPr>
          <w:rFonts w:hint="eastAsia"/>
        </w:rPr>
        <w:t>）《中华人民共和国环境影响评价法》（</w:t>
      </w:r>
      <w:r>
        <w:rPr>
          <w:rFonts w:hint="eastAsia"/>
        </w:rPr>
        <w:t xml:space="preserve">2018 </w:t>
      </w:r>
      <w:r>
        <w:rPr>
          <w:rFonts w:hint="eastAsia"/>
        </w:rPr>
        <w:t>年</w:t>
      </w:r>
      <w:r>
        <w:rPr>
          <w:rFonts w:hint="eastAsia"/>
        </w:rPr>
        <w:t xml:space="preserve"> 12 </w:t>
      </w:r>
      <w:r>
        <w:rPr>
          <w:rFonts w:hint="eastAsia"/>
        </w:rPr>
        <w:t>月</w:t>
      </w:r>
      <w:r>
        <w:rPr>
          <w:rFonts w:hint="eastAsia"/>
        </w:rPr>
        <w:t xml:space="preserve"> 29 </w:t>
      </w:r>
      <w:r>
        <w:rPr>
          <w:rFonts w:hint="eastAsia"/>
        </w:rPr>
        <w:t>日修订）；</w:t>
      </w:r>
    </w:p>
    <w:p w14:paraId="4C251514" w14:textId="77777777" w:rsidR="009D12AF" w:rsidRDefault="00000000">
      <w:pPr>
        <w:ind w:firstLine="480"/>
      </w:pPr>
      <w:r>
        <w:rPr>
          <w:rFonts w:hint="eastAsia"/>
        </w:rPr>
        <w:t>（</w:t>
      </w:r>
      <w:r>
        <w:rPr>
          <w:rFonts w:hint="eastAsia"/>
        </w:rPr>
        <w:t>3</w:t>
      </w:r>
      <w:r>
        <w:rPr>
          <w:rFonts w:hint="eastAsia"/>
        </w:rPr>
        <w:t>）《中华人民共和国大气污染防治法》（</w:t>
      </w:r>
      <w:r>
        <w:rPr>
          <w:rFonts w:hint="eastAsia"/>
        </w:rPr>
        <w:t xml:space="preserve">2018.12.26 </w:t>
      </w:r>
      <w:r>
        <w:rPr>
          <w:rFonts w:hint="eastAsia"/>
        </w:rPr>
        <w:t>修订）；</w:t>
      </w:r>
    </w:p>
    <w:p w14:paraId="45A6760F" w14:textId="77777777" w:rsidR="009D12AF" w:rsidRDefault="00000000">
      <w:pPr>
        <w:ind w:firstLine="480"/>
      </w:pPr>
      <w:r>
        <w:rPr>
          <w:rFonts w:hint="eastAsia"/>
        </w:rPr>
        <w:t>（</w:t>
      </w:r>
      <w:r>
        <w:rPr>
          <w:rFonts w:hint="eastAsia"/>
        </w:rPr>
        <w:t>4</w:t>
      </w:r>
      <w:r>
        <w:rPr>
          <w:rFonts w:hint="eastAsia"/>
        </w:rPr>
        <w:t>）《中华人民共和国水污染防治法》（</w:t>
      </w:r>
      <w:r>
        <w:rPr>
          <w:rFonts w:hint="eastAsia"/>
        </w:rPr>
        <w:t xml:space="preserve">2018 </w:t>
      </w:r>
      <w:r>
        <w:rPr>
          <w:rFonts w:hint="eastAsia"/>
        </w:rPr>
        <w:t>年</w:t>
      </w:r>
      <w:r>
        <w:rPr>
          <w:rFonts w:hint="eastAsia"/>
        </w:rPr>
        <w:t xml:space="preserve"> 1 </w:t>
      </w:r>
      <w:r>
        <w:rPr>
          <w:rFonts w:hint="eastAsia"/>
        </w:rPr>
        <w:t>月</w:t>
      </w:r>
      <w:r>
        <w:rPr>
          <w:rFonts w:hint="eastAsia"/>
        </w:rPr>
        <w:t xml:space="preserve"> 1 </w:t>
      </w:r>
      <w:r>
        <w:rPr>
          <w:rFonts w:hint="eastAsia"/>
        </w:rPr>
        <w:t>日修订）；</w:t>
      </w:r>
    </w:p>
    <w:p w14:paraId="1E0BF677" w14:textId="77777777" w:rsidR="009D12AF" w:rsidRDefault="00000000">
      <w:pPr>
        <w:ind w:firstLine="480"/>
      </w:pPr>
      <w:r>
        <w:rPr>
          <w:rFonts w:hint="eastAsia"/>
        </w:rPr>
        <w:t>（</w:t>
      </w:r>
      <w:r>
        <w:rPr>
          <w:rFonts w:hint="eastAsia"/>
        </w:rPr>
        <w:t>5</w:t>
      </w:r>
      <w:r>
        <w:rPr>
          <w:rFonts w:hint="eastAsia"/>
        </w:rPr>
        <w:t>）《中华人民共和国噪声污染防治法》（</w:t>
      </w:r>
      <w:r>
        <w:rPr>
          <w:rFonts w:hint="eastAsia"/>
        </w:rPr>
        <w:t xml:space="preserve">2022 </w:t>
      </w:r>
      <w:r>
        <w:rPr>
          <w:rFonts w:hint="eastAsia"/>
        </w:rPr>
        <w:t>年</w:t>
      </w:r>
      <w:r>
        <w:rPr>
          <w:rFonts w:hint="eastAsia"/>
        </w:rPr>
        <w:t xml:space="preserve"> 6 </w:t>
      </w:r>
      <w:r>
        <w:rPr>
          <w:rFonts w:hint="eastAsia"/>
        </w:rPr>
        <w:t>月</w:t>
      </w:r>
      <w:r>
        <w:rPr>
          <w:rFonts w:hint="eastAsia"/>
        </w:rPr>
        <w:t xml:space="preserve"> 5 </w:t>
      </w:r>
      <w:r>
        <w:rPr>
          <w:rFonts w:hint="eastAsia"/>
        </w:rPr>
        <w:t>日实施）；</w:t>
      </w:r>
    </w:p>
    <w:p w14:paraId="4BFB04FA" w14:textId="77777777" w:rsidR="009D12AF" w:rsidRDefault="00000000">
      <w:pPr>
        <w:ind w:firstLine="480"/>
      </w:pPr>
      <w:r>
        <w:rPr>
          <w:rFonts w:hint="eastAsia"/>
        </w:rPr>
        <w:t>（</w:t>
      </w:r>
      <w:r>
        <w:rPr>
          <w:rFonts w:hint="eastAsia"/>
        </w:rPr>
        <w:t>6</w:t>
      </w:r>
      <w:r>
        <w:rPr>
          <w:rFonts w:hint="eastAsia"/>
        </w:rPr>
        <w:t>）《中华人民共和国固体废物污染环境防治法》（</w:t>
      </w:r>
      <w:r>
        <w:rPr>
          <w:rFonts w:hint="eastAsia"/>
        </w:rPr>
        <w:t>2020.9.1</w:t>
      </w:r>
      <w:r>
        <w:rPr>
          <w:rFonts w:hint="eastAsia"/>
        </w:rPr>
        <w:t>）；</w:t>
      </w:r>
    </w:p>
    <w:p w14:paraId="77FACB2D" w14:textId="77777777" w:rsidR="009D12AF" w:rsidRDefault="00000000">
      <w:pPr>
        <w:ind w:firstLine="480"/>
      </w:pPr>
      <w:r>
        <w:rPr>
          <w:rFonts w:hint="eastAsia"/>
        </w:rPr>
        <w:t>（</w:t>
      </w:r>
      <w:r>
        <w:rPr>
          <w:rFonts w:hint="eastAsia"/>
        </w:rPr>
        <w:t>7</w:t>
      </w:r>
      <w:r>
        <w:rPr>
          <w:rFonts w:hint="eastAsia"/>
        </w:rPr>
        <w:t>）《中华人民共和国循环经济促进法》（</w:t>
      </w:r>
      <w:r>
        <w:rPr>
          <w:rFonts w:hint="eastAsia"/>
        </w:rPr>
        <w:t>2009.1.1</w:t>
      </w:r>
      <w:r>
        <w:rPr>
          <w:rFonts w:hint="eastAsia"/>
        </w:rPr>
        <w:t>）；</w:t>
      </w:r>
    </w:p>
    <w:p w14:paraId="6B516DD0" w14:textId="77777777" w:rsidR="009D12AF" w:rsidRDefault="00000000">
      <w:pPr>
        <w:ind w:firstLine="480"/>
      </w:pPr>
      <w:r>
        <w:rPr>
          <w:rFonts w:hint="eastAsia"/>
        </w:rPr>
        <w:t>（</w:t>
      </w:r>
      <w:r>
        <w:rPr>
          <w:rFonts w:hint="eastAsia"/>
        </w:rPr>
        <w:t>8</w:t>
      </w:r>
      <w:r>
        <w:rPr>
          <w:rFonts w:hint="eastAsia"/>
        </w:rPr>
        <w:t>）《中华人民共和国清洁生产促进法》（</w:t>
      </w:r>
      <w:r>
        <w:rPr>
          <w:rFonts w:hint="eastAsia"/>
        </w:rPr>
        <w:t>2012.7.1</w:t>
      </w:r>
      <w:r>
        <w:rPr>
          <w:rFonts w:hint="eastAsia"/>
        </w:rPr>
        <w:t>）；</w:t>
      </w:r>
    </w:p>
    <w:p w14:paraId="2DEEB721" w14:textId="77777777" w:rsidR="009D12AF" w:rsidRDefault="00000000">
      <w:pPr>
        <w:ind w:firstLine="480"/>
      </w:pPr>
      <w:r>
        <w:rPr>
          <w:rFonts w:hint="eastAsia"/>
        </w:rPr>
        <w:t>（</w:t>
      </w:r>
      <w:r>
        <w:rPr>
          <w:rFonts w:hint="eastAsia"/>
        </w:rPr>
        <w:t>9</w:t>
      </w:r>
      <w:r>
        <w:rPr>
          <w:rFonts w:hint="eastAsia"/>
        </w:rPr>
        <w:t>）《中华人民共和国水法》（</w:t>
      </w:r>
      <w:r>
        <w:rPr>
          <w:rFonts w:hint="eastAsia"/>
        </w:rPr>
        <w:t xml:space="preserve">2016 </w:t>
      </w:r>
      <w:r>
        <w:rPr>
          <w:rFonts w:hint="eastAsia"/>
        </w:rPr>
        <w:t>年</w:t>
      </w:r>
      <w:r>
        <w:rPr>
          <w:rFonts w:hint="eastAsia"/>
        </w:rPr>
        <w:t xml:space="preserve"> 7 </w:t>
      </w:r>
      <w:r>
        <w:rPr>
          <w:rFonts w:hint="eastAsia"/>
        </w:rPr>
        <w:t>月修订）；</w:t>
      </w:r>
    </w:p>
    <w:p w14:paraId="39F43C7D" w14:textId="77777777" w:rsidR="009D12AF" w:rsidRDefault="00000000">
      <w:pPr>
        <w:ind w:firstLine="480"/>
      </w:pPr>
      <w:r>
        <w:rPr>
          <w:rFonts w:hint="eastAsia"/>
        </w:rPr>
        <w:t>（</w:t>
      </w:r>
      <w:r>
        <w:rPr>
          <w:rFonts w:hint="eastAsia"/>
        </w:rPr>
        <w:t>10</w:t>
      </w:r>
      <w:r>
        <w:rPr>
          <w:rFonts w:hint="eastAsia"/>
        </w:rPr>
        <w:t>）《中华人民共和国土地管理法》（</w:t>
      </w:r>
      <w:r>
        <w:rPr>
          <w:rFonts w:hint="eastAsia"/>
        </w:rPr>
        <w:t>2019.8.26</w:t>
      </w:r>
      <w:r>
        <w:rPr>
          <w:rFonts w:hint="eastAsia"/>
        </w:rPr>
        <w:t>）；</w:t>
      </w:r>
    </w:p>
    <w:p w14:paraId="69C15688" w14:textId="77777777" w:rsidR="009D12AF" w:rsidRDefault="00000000">
      <w:pPr>
        <w:ind w:firstLine="480"/>
      </w:pPr>
      <w:r>
        <w:rPr>
          <w:rFonts w:hint="eastAsia"/>
        </w:rPr>
        <w:t>（</w:t>
      </w:r>
      <w:r>
        <w:rPr>
          <w:rFonts w:hint="eastAsia"/>
        </w:rPr>
        <w:t>11</w:t>
      </w:r>
      <w:r>
        <w:rPr>
          <w:rFonts w:hint="eastAsia"/>
        </w:rPr>
        <w:t>）《建设项目环境保护管理条例》（国务院令第</w:t>
      </w:r>
      <w:r>
        <w:rPr>
          <w:rFonts w:hint="eastAsia"/>
        </w:rPr>
        <w:t>682</w:t>
      </w:r>
      <w:r>
        <w:rPr>
          <w:rFonts w:hint="eastAsia"/>
        </w:rPr>
        <w:t>号）；</w:t>
      </w:r>
    </w:p>
    <w:p w14:paraId="3921986B" w14:textId="77777777" w:rsidR="009D12AF" w:rsidRDefault="00000000">
      <w:pPr>
        <w:ind w:firstLine="480"/>
      </w:pPr>
      <w:r>
        <w:rPr>
          <w:rFonts w:hint="eastAsia"/>
        </w:rPr>
        <w:t>（</w:t>
      </w:r>
      <w:r>
        <w:rPr>
          <w:rFonts w:hint="eastAsia"/>
        </w:rPr>
        <w:t>12</w:t>
      </w:r>
      <w:r>
        <w:rPr>
          <w:rFonts w:hint="eastAsia"/>
        </w:rPr>
        <w:t>）《危险化学品安全管理条例》（国务院令第</w:t>
      </w:r>
      <w:r>
        <w:rPr>
          <w:rFonts w:hint="eastAsia"/>
        </w:rPr>
        <w:t>591</w:t>
      </w:r>
      <w:r>
        <w:rPr>
          <w:rFonts w:hint="eastAsia"/>
        </w:rPr>
        <w:t>号）；</w:t>
      </w:r>
    </w:p>
    <w:p w14:paraId="58E101C2" w14:textId="77777777" w:rsidR="009D12AF" w:rsidRDefault="00000000">
      <w:pPr>
        <w:ind w:firstLine="480"/>
      </w:pPr>
      <w:r>
        <w:rPr>
          <w:rFonts w:hint="eastAsia"/>
        </w:rPr>
        <w:t>（</w:t>
      </w:r>
      <w:r>
        <w:rPr>
          <w:rFonts w:hint="eastAsia"/>
        </w:rPr>
        <w:t>13</w:t>
      </w:r>
      <w:r>
        <w:rPr>
          <w:rFonts w:hint="eastAsia"/>
        </w:rPr>
        <w:t>）《国务院关于印发大气污染防治行动计划的通知》（国发</w:t>
      </w:r>
      <w:r>
        <w:rPr>
          <w:rFonts w:hint="eastAsia"/>
        </w:rPr>
        <w:t>[2013]37</w:t>
      </w:r>
      <w:r>
        <w:rPr>
          <w:rFonts w:hint="eastAsia"/>
        </w:rPr>
        <w:t>号）；</w:t>
      </w:r>
    </w:p>
    <w:p w14:paraId="4B0D54DB" w14:textId="77777777" w:rsidR="009D12AF" w:rsidRDefault="00000000">
      <w:pPr>
        <w:ind w:firstLine="480"/>
      </w:pPr>
      <w:r>
        <w:rPr>
          <w:rFonts w:hint="eastAsia"/>
        </w:rPr>
        <w:t>（</w:t>
      </w:r>
      <w:r>
        <w:rPr>
          <w:rFonts w:hint="eastAsia"/>
        </w:rPr>
        <w:t>14</w:t>
      </w:r>
      <w:r>
        <w:rPr>
          <w:rFonts w:hint="eastAsia"/>
        </w:rPr>
        <w:t>）《国务院办公厅关于加强环境监管执法的通知》（国办发</w:t>
      </w:r>
      <w:r>
        <w:rPr>
          <w:rFonts w:hint="eastAsia"/>
        </w:rPr>
        <w:t>[2014]56</w:t>
      </w:r>
      <w:r>
        <w:rPr>
          <w:rFonts w:hint="eastAsia"/>
        </w:rPr>
        <w:t>号）；</w:t>
      </w:r>
    </w:p>
    <w:p w14:paraId="597D262E" w14:textId="77777777" w:rsidR="009D12AF" w:rsidRDefault="00000000">
      <w:pPr>
        <w:ind w:firstLine="480"/>
      </w:pPr>
      <w:r>
        <w:rPr>
          <w:rFonts w:hint="eastAsia"/>
        </w:rPr>
        <w:t>（</w:t>
      </w:r>
      <w:r>
        <w:rPr>
          <w:rFonts w:hint="eastAsia"/>
        </w:rPr>
        <w:t>15</w:t>
      </w:r>
      <w:r>
        <w:rPr>
          <w:rFonts w:hint="eastAsia"/>
        </w:rPr>
        <w:t>）《国务院关于印发水污染防治行动计划的通知》（国发</w:t>
      </w:r>
      <w:r>
        <w:rPr>
          <w:rFonts w:hint="eastAsia"/>
        </w:rPr>
        <w:t>[2015]17</w:t>
      </w:r>
      <w:r>
        <w:rPr>
          <w:rFonts w:hint="eastAsia"/>
        </w:rPr>
        <w:t>号）；</w:t>
      </w:r>
    </w:p>
    <w:p w14:paraId="312E9DA3" w14:textId="77777777" w:rsidR="009D12AF" w:rsidRDefault="00000000">
      <w:pPr>
        <w:ind w:firstLine="480"/>
      </w:pPr>
      <w:r>
        <w:rPr>
          <w:rFonts w:hint="eastAsia"/>
        </w:rPr>
        <w:t>（</w:t>
      </w:r>
      <w:r>
        <w:rPr>
          <w:rFonts w:hint="eastAsia"/>
        </w:rPr>
        <w:t>16</w:t>
      </w:r>
      <w:r>
        <w:rPr>
          <w:rFonts w:hint="eastAsia"/>
        </w:rPr>
        <w:t>）《国务院关于印发土壤污染防治行动计划的通知》（国发</w:t>
      </w:r>
      <w:r>
        <w:rPr>
          <w:rFonts w:hint="eastAsia"/>
        </w:rPr>
        <w:t>[2016]31</w:t>
      </w:r>
      <w:r>
        <w:rPr>
          <w:rFonts w:hint="eastAsia"/>
        </w:rPr>
        <w:t>号）；</w:t>
      </w:r>
    </w:p>
    <w:p w14:paraId="64623168" w14:textId="77777777" w:rsidR="009D12AF" w:rsidRDefault="00000000">
      <w:pPr>
        <w:ind w:firstLine="480"/>
      </w:pPr>
      <w:r>
        <w:rPr>
          <w:rFonts w:hint="eastAsia"/>
        </w:rPr>
        <w:t>（</w:t>
      </w:r>
      <w:r>
        <w:rPr>
          <w:rFonts w:hint="eastAsia"/>
        </w:rPr>
        <w:t>17</w:t>
      </w:r>
      <w:r>
        <w:rPr>
          <w:rFonts w:hint="eastAsia"/>
        </w:rPr>
        <w:t>）《排污许可管理办法（试行）》（部令第</w:t>
      </w:r>
      <w:r>
        <w:rPr>
          <w:rFonts w:hint="eastAsia"/>
        </w:rPr>
        <w:t>48</w:t>
      </w:r>
      <w:r>
        <w:rPr>
          <w:rFonts w:hint="eastAsia"/>
        </w:rPr>
        <w:t>号）；</w:t>
      </w:r>
    </w:p>
    <w:p w14:paraId="260E4FA7" w14:textId="77777777" w:rsidR="009D12AF" w:rsidRDefault="00000000">
      <w:pPr>
        <w:ind w:firstLine="480"/>
      </w:pPr>
      <w:r>
        <w:rPr>
          <w:rFonts w:hint="eastAsia"/>
        </w:rPr>
        <w:t>（</w:t>
      </w:r>
      <w:r>
        <w:rPr>
          <w:rFonts w:hint="eastAsia"/>
        </w:rPr>
        <w:t>18</w:t>
      </w:r>
      <w:r>
        <w:rPr>
          <w:rFonts w:hint="eastAsia"/>
        </w:rPr>
        <w:t>）《全国重要江河湖泊水功能区划（</w:t>
      </w:r>
      <w:r>
        <w:rPr>
          <w:rFonts w:hint="eastAsia"/>
        </w:rPr>
        <w:t>2011-2030</w:t>
      </w:r>
      <w:r>
        <w:rPr>
          <w:rFonts w:hint="eastAsia"/>
        </w:rPr>
        <w:t>年）》；</w:t>
      </w:r>
    </w:p>
    <w:p w14:paraId="0E129097" w14:textId="77777777" w:rsidR="009D12AF" w:rsidRDefault="00000000">
      <w:pPr>
        <w:ind w:firstLine="480"/>
      </w:pPr>
      <w:r>
        <w:rPr>
          <w:rFonts w:hint="eastAsia"/>
        </w:rPr>
        <w:t>（</w:t>
      </w:r>
      <w:r>
        <w:rPr>
          <w:rFonts w:hint="eastAsia"/>
        </w:rPr>
        <w:t>19</w:t>
      </w:r>
      <w:r>
        <w:rPr>
          <w:rFonts w:hint="eastAsia"/>
        </w:rPr>
        <w:t>）《国务院关于全国重要江河湖泊水功能区划（</w:t>
      </w:r>
      <w:r>
        <w:rPr>
          <w:rFonts w:hint="eastAsia"/>
        </w:rPr>
        <w:t xml:space="preserve">2011-2030 </w:t>
      </w:r>
      <w:r>
        <w:rPr>
          <w:rFonts w:hint="eastAsia"/>
        </w:rPr>
        <w:t>年）的批复》（国函</w:t>
      </w:r>
      <w:r>
        <w:rPr>
          <w:rFonts w:hint="eastAsia"/>
        </w:rPr>
        <w:t xml:space="preserve">[2011]167 </w:t>
      </w:r>
      <w:r>
        <w:rPr>
          <w:rFonts w:hint="eastAsia"/>
        </w:rPr>
        <w:t>号）；</w:t>
      </w:r>
    </w:p>
    <w:p w14:paraId="794198F0" w14:textId="77777777" w:rsidR="009D12AF" w:rsidRDefault="00000000">
      <w:pPr>
        <w:ind w:firstLine="480"/>
      </w:pPr>
      <w:r>
        <w:rPr>
          <w:rFonts w:hint="eastAsia"/>
        </w:rPr>
        <w:t>（</w:t>
      </w:r>
      <w:r>
        <w:rPr>
          <w:rFonts w:hint="eastAsia"/>
        </w:rPr>
        <w:t>20</w:t>
      </w:r>
      <w:r>
        <w:rPr>
          <w:rFonts w:hint="eastAsia"/>
        </w:rPr>
        <w:t>）《中华人民共和国土壤污染防治法》（</w:t>
      </w:r>
      <w:r>
        <w:rPr>
          <w:rFonts w:hint="eastAsia"/>
        </w:rPr>
        <w:t>2019.1.1</w:t>
      </w:r>
      <w:r>
        <w:rPr>
          <w:rFonts w:hint="eastAsia"/>
        </w:rPr>
        <w:t>）；</w:t>
      </w:r>
    </w:p>
    <w:p w14:paraId="64953635" w14:textId="77777777" w:rsidR="009D12AF" w:rsidRDefault="00000000">
      <w:pPr>
        <w:ind w:firstLine="480"/>
      </w:pPr>
      <w:r>
        <w:t>（</w:t>
      </w:r>
      <w:r>
        <w:t>2</w:t>
      </w:r>
      <w:r>
        <w:rPr>
          <w:rFonts w:hint="eastAsia"/>
        </w:rPr>
        <w:t>1</w:t>
      </w:r>
      <w:r>
        <w:t>）《地下水管理条例》（</w:t>
      </w:r>
      <w:r>
        <w:t>2021</w:t>
      </w:r>
      <w:r>
        <w:t>年</w:t>
      </w:r>
      <w:r>
        <w:t>12</w:t>
      </w:r>
      <w:r>
        <w:t>月</w:t>
      </w:r>
      <w:r>
        <w:t>1</w:t>
      </w:r>
      <w:r>
        <w:t>日）</w:t>
      </w:r>
      <w:r>
        <w:rPr>
          <w:rFonts w:hint="eastAsia"/>
        </w:rPr>
        <w:t>；</w:t>
      </w:r>
    </w:p>
    <w:p w14:paraId="4B4D7561" w14:textId="77777777" w:rsidR="009D12AF" w:rsidRDefault="00000000">
      <w:pPr>
        <w:ind w:firstLine="480"/>
      </w:pPr>
      <w:r>
        <w:rPr>
          <w:rFonts w:hint="eastAsia"/>
        </w:rPr>
        <w:lastRenderedPageBreak/>
        <w:t>（</w:t>
      </w:r>
      <w:r>
        <w:rPr>
          <w:rFonts w:ascii="Times New Roman" w:hAnsi="Times New Roman" w:cs="Times New Roman"/>
        </w:rPr>
        <w:t>22</w:t>
      </w:r>
      <w:r>
        <w:rPr>
          <w:rFonts w:hint="eastAsia"/>
        </w:rPr>
        <w:t>）</w:t>
      </w:r>
      <w:r>
        <w:t>《中华人民共和国黑土地保护法》（</w:t>
      </w:r>
      <w:r>
        <w:rPr>
          <w:rFonts w:ascii="Times New Roman" w:hAnsi="Times New Roman" w:cs="Times New Roman"/>
        </w:rPr>
        <w:t>2022</w:t>
      </w:r>
      <w:r>
        <w:t>年</w:t>
      </w:r>
      <w:r>
        <w:rPr>
          <w:rFonts w:ascii="Times New Roman" w:hAnsi="Times New Roman" w:cs="Times New Roman"/>
        </w:rPr>
        <w:t>8</w:t>
      </w:r>
      <w:r>
        <w:t>月实施）</w:t>
      </w:r>
      <w:r>
        <w:rPr>
          <w:rFonts w:hint="eastAsia"/>
        </w:rPr>
        <w:t>；</w:t>
      </w:r>
    </w:p>
    <w:p w14:paraId="759CFA2E" w14:textId="77777777" w:rsidR="009D12AF" w:rsidRDefault="00000000">
      <w:pPr>
        <w:ind w:firstLine="480"/>
      </w:pPr>
      <w:r>
        <w:rPr>
          <w:rFonts w:hint="eastAsia"/>
        </w:rPr>
        <w:t>（</w:t>
      </w:r>
      <w:r>
        <w:rPr>
          <w:rFonts w:ascii="Times New Roman" w:hAnsi="Times New Roman" w:cs="Times New Roman" w:hint="eastAsia"/>
        </w:rPr>
        <w:t>23</w:t>
      </w:r>
      <w:r>
        <w:rPr>
          <w:rFonts w:hint="eastAsia"/>
        </w:rPr>
        <w:t>）</w:t>
      </w:r>
      <w:r>
        <w:t>《中共中央、国务院关于加强耕地保护和改进占补平衡的意见》（</w:t>
      </w:r>
      <w:r>
        <w:rPr>
          <w:rFonts w:ascii="Times New Roman" w:hAnsi="Times New Roman" w:cs="Times New Roman" w:hint="eastAsia"/>
        </w:rPr>
        <w:t>2017</w:t>
      </w:r>
      <w:r>
        <w:t>年</w:t>
      </w:r>
      <w:r>
        <w:rPr>
          <w:rFonts w:ascii="Times New Roman" w:hAnsi="Times New Roman" w:cs="Times New Roman" w:hint="eastAsia"/>
        </w:rPr>
        <w:t>1</w:t>
      </w:r>
      <w:r>
        <w:t>月）</w:t>
      </w:r>
      <w:r>
        <w:rPr>
          <w:rFonts w:hint="eastAsia"/>
        </w:rPr>
        <w:t>；</w:t>
      </w:r>
    </w:p>
    <w:p w14:paraId="22369ECA" w14:textId="77777777" w:rsidR="009D12AF" w:rsidRDefault="00000000">
      <w:pPr>
        <w:pStyle w:val="3"/>
      </w:pPr>
      <w:bookmarkStart w:id="40" w:name="_Toc27022"/>
      <w:bookmarkStart w:id="41" w:name="_Toc20541"/>
      <w:bookmarkStart w:id="42" w:name="_Toc28787"/>
      <w:bookmarkStart w:id="43" w:name="_Toc1919"/>
      <w:r>
        <w:rPr>
          <w:rFonts w:hint="eastAsia"/>
        </w:rPr>
        <w:t>2</w:t>
      </w:r>
      <w:r>
        <w:t xml:space="preserve">.1.2 </w:t>
      </w:r>
      <w:r>
        <w:rPr>
          <w:rFonts w:hint="eastAsia"/>
        </w:rPr>
        <w:t>导则</w:t>
      </w:r>
      <w:r>
        <w:t>及规范性文件</w:t>
      </w:r>
      <w:bookmarkEnd w:id="40"/>
      <w:bookmarkEnd w:id="41"/>
      <w:bookmarkEnd w:id="42"/>
      <w:bookmarkEnd w:id="43"/>
    </w:p>
    <w:p w14:paraId="24766A66" w14:textId="77777777" w:rsidR="009D12AF" w:rsidRDefault="00000000">
      <w:pPr>
        <w:ind w:firstLine="480"/>
      </w:pPr>
      <w:r>
        <w:rPr>
          <w:rFonts w:ascii="Times New Roman" w:hAnsi="Times New Roman" w:cs="Times New Roman"/>
        </w:rPr>
        <w:t>（</w:t>
      </w:r>
      <w:r>
        <w:rPr>
          <w:rFonts w:ascii="Times New Roman" w:hAnsi="Times New Roman" w:cs="Times New Roman"/>
        </w:rPr>
        <w:t>1</w:t>
      </w:r>
      <w:r>
        <w:rPr>
          <w:rFonts w:ascii="Times New Roman" w:hAnsi="Times New Roman" w:cs="Times New Roman"/>
        </w:rPr>
        <w:t>）</w:t>
      </w:r>
      <w:r>
        <w:t>《建设项目环境影响评价分类管理名录（</w:t>
      </w:r>
      <w:r>
        <w:rPr>
          <w:rFonts w:ascii="Times New Roman" w:hAnsi="Times New Roman" w:cs="Times New Roman"/>
        </w:rPr>
        <w:t>2021</w:t>
      </w:r>
      <w:r>
        <w:t xml:space="preserve"> </w:t>
      </w:r>
      <w:r>
        <w:t>年版）》（生态环境部部令第</w:t>
      </w:r>
      <w:r>
        <w:rPr>
          <w:rFonts w:ascii="Times New Roman" w:hAnsi="Times New Roman" w:cs="Times New Roman"/>
        </w:rPr>
        <w:t>16</w:t>
      </w:r>
      <w:r>
        <w:t>号）；</w:t>
      </w:r>
    </w:p>
    <w:p w14:paraId="6DDC9BAD" w14:textId="77777777" w:rsidR="009D12AF" w:rsidRDefault="00000000">
      <w:pPr>
        <w:ind w:firstLine="480"/>
      </w:pPr>
      <w:r>
        <w:rPr>
          <w:rFonts w:ascii="Times New Roman" w:hAnsi="Times New Roman" w:cs="Times New Roman"/>
        </w:rPr>
        <w:t>（</w:t>
      </w:r>
      <w:r>
        <w:rPr>
          <w:rFonts w:ascii="Times New Roman" w:hAnsi="Times New Roman" w:cs="Times New Roman"/>
        </w:rPr>
        <w:t>2</w:t>
      </w:r>
      <w:r>
        <w:rPr>
          <w:rFonts w:ascii="Times New Roman" w:hAnsi="Times New Roman" w:cs="Times New Roman"/>
        </w:rPr>
        <w:t>）</w:t>
      </w:r>
      <w:r>
        <w:t>《环境影响评价公众参与办法》（生态环境部</w:t>
      </w:r>
      <w:r>
        <w:t xml:space="preserve"> </w:t>
      </w:r>
      <w:r>
        <w:rPr>
          <w:rFonts w:ascii="Times New Roman" w:hAnsi="Times New Roman" w:cs="Times New Roman"/>
        </w:rPr>
        <w:t>2018.7.16</w:t>
      </w:r>
      <w:r>
        <w:t>）；</w:t>
      </w:r>
    </w:p>
    <w:p w14:paraId="434D26C5" w14:textId="77777777" w:rsidR="009D12AF" w:rsidRDefault="00000000">
      <w:pPr>
        <w:ind w:firstLine="480"/>
      </w:pPr>
      <w:r>
        <w:t>（</w:t>
      </w:r>
      <w:r>
        <w:rPr>
          <w:rFonts w:ascii="Times New Roman" w:hAnsi="Times New Roman" w:cs="Times New Roman"/>
        </w:rPr>
        <w:t>3</w:t>
      </w:r>
      <w:r>
        <w:rPr>
          <w:rFonts w:ascii="Times New Roman" w:hAnsi="Times New Roman" w:cs="Times New Roman"/>
        </w:rPr>
        <w:t>）</w:t>
      </w:r>
      <w:r>
        <w:t>《产业结构调整指导目录（</w:t>
      </w:r>
      <w:r>
        <w:rPr>
          <w:rFonts w:ascii="Times New Roman" w:hAnsi="Times New Roman" w:cs="Times New Roman"/>
        </w:rPr>
        <w:t>20</w:t>
      </w:r>
      <w:r>
        <w:rPr>
          <w:rFonts w:ascii="Times New Roman" w:hAnsi="Times New Roman" w:cs="Times New Roman" w:hint="eastAsia"/>
        </w:rPr>
        <w:t>24</w:t>
      </w:r>
      <w:r>
        <w:t>年本）》；</w:t>
      </w:r>
    </w:p>
    <w:p w14:paraId="01D53534" w14:textId="77777777" w:rsidR="009D12AF" w:rsidRDefault="00000000">
      <w:pPr>
        <w:ind w:firstLine="480"/>
      </w:pPr>
      <w:r>
        <w:rPr>
          <w:rFonts w:ascii="Times New Roman" w:hAnsi="Times New Roman" w:cs="Times New Roman"/>
        </w:rPr>
        <w:t>（</w:t>
      </w:r>
      <w:r>
        <w:rPr>
          <w:rFonts w:ascii="Times New Roman" w:hAnsi="Times New Roman" w:cs="Times New Roman"/>
        </w:rPr>
        <w:t>4</w:t>
      </w:r>
      <w:r>
        <w:rPr>
          <w:rFonts w:ascii="Times New Roman" w:hAnsi="Times New Roman" w:cs="Times New Roman"/>
        </w:rPr>
        <w:t>）</w:t>
      </w:r>
      <w:r>
        <w:t>《关于以改善环境质量为核心加强环境影响评价管理的通知》（环评〔</w:t>
      </w:r>
      <w:r>
        <w:rPr>
          <w:rFonts w:ascii="Times New Roman" w:hAnsi="Times New Roman" w:cs="Times New Roman"/>
        </w:rPr>
        <w:t>2016</w:t>
      </w:r>
      <w:r>
        <w:t>〕</w:t>
      </w:r>
      <w:r>
        <w:rPr>
          <w:rFonts w:ascii="Times New Roman" w:hAnsi="Times New Roman" w:cs="Times New Roman"/>
        </w:rPr>
        <w:t>150</w:t>
      </w:r>
      <w:r>
        <w:t>号）；</w:t>
      </w:r>
    </w:p>
    <w:p w14:paraId="6B66B300" w14:textId="77777777" w:rsidR="009D12AF" w:rsidRDefault="00000000">
      <w:pPr>
        <w:ind w:firstLine="480"/>
      </w:pPr>
      <w:r>
        <w:rPr>
          <w:rFonts w:ascii="Times New Roman" w:hAnsi="Times New Roman" w:cs="Times New Roman"/>
        </w:rPr>
        <w:t>（</w:t>
      </w:r>
      <w:r>
        <w:rPr>
          <w:rFonts w:ascii="Times New Roman" w:hAnsi="Times New Roman" w:cs="Times New Roman" w:hint="eastAsia"/>
        </w:rPr>
        <w:t>5</w:t>
      </w:r>
      <w:r>
        <w:rPr>
          <w:rFonts w:ascii="Times New Roman" w:hAnsi="Times New Roman" w:cs="Times New Roman"/>
        </w:rPr>
        <w:t>）</w:t>
      </w:r>
      <w:r>
        <w:t>《国家危险废物名录（</w:t>
      </w:r>
      <w:r>
        <w:rPr>
          <w:rFonts w:ascii="Times New Roman" w:hAnsi="Times New Roman" w:cs="Times New Roman"/>
        </w:rPr>
        <w:t>202</w:t>
      </w:r>
      <w:r>
        <w:rPr>
          <w:rFonts w:ascii="Times New Roman" w:hAnsi="Times New Roman" w:cs="Times New Roman" w:hint="eastAsia"/>
        </w:rPr>
        <w:t>5</w:t>
      </w:r>
      <w:r>
        <w:t>年版）》（生态环境部部令第</w:t>
      </w:r>
      <w:r>
        <w:rPr>
          <w:rFonts w:ascii="Times New Roman" w:hAnsi="Times New Roman" w:cs="Times New Roman" w:hint="eastAsia"/>
        </w:rPr>
        <w:t>36</w:t>
      </w:r>
      <w:r>
        <w:t>号）；</w:t>
      </w:r>
    </w:p>
    <w:p w14:paraId="5DEE0029" w14:textId="77777777" w:rsidR="009D12AF" w:rsidRDefault="00000000">
      <w:pPr>
        <w:ind w:firstLine="480"/>
      </w:pPr>
      <w:r>
        <w:rPr>
          <w:rFonts w:ascii="Times New Roman" w:hAnsi="Times New Roman" w:cs="Times New Roman"/>
        </w:rPr>
        <w:t>（</w:t>
      </w:r>
      <w:r>
        <w:rPr>
          <w:rFonts w:ascii="Times New Roman" w:hAnsi="Times New Roman" w:cs="Times New Roman" w:hint="eastAsia"/>
        </w:rPr>
        <w:t>6</w:t>
      </w:r>
      <w:r>
        <w:rPr>
          <w:rFonts w:ascii="Times New Roman" w:hAnsi="Times New Roman" w:cs="Times New Roman"/>
        </w:rPr>
        <w:t>）</w:t>
      </w:r>
      <w:r>
        <w:t>《农药包装废弃物回收处理管理办法》（农业农村部生态环境部令</w:t>
      </w:r>
      <w:r>
        <w:t xml:space="preserve"> </w:t>
      </w:r>
      <w:r>
        <w:rPr>
          <w:rFonts w:ascii="Times New Roman" w:hAnsi="Times New Roman" w:cs="Times New Roman"/>
        </w:rPr>
        <w:t>2020</w:t>
      </w:r>
      <w:r>
        <w:t xml:space="preserve"> </w:t>
      </w:r>
      <w:r>
        <w:t>年第</w:t>
      </w:r>
      <w:r>
        <w:rPr>
          <w:rFonts w:ascii="Times New Roman" w:hAnsi="Times New Roman" w:cs="Times New Roman"/>
        </w:rPr>
        <w:t>6</w:t>
      </w:r>
      <w:r>
        <w:t>号）；</w:t>
      </w:r>
    </w:p>
    <w:p w14:paraId="0E890ABA" w14:textId="77777777" w:rsidR="009D12AF" w:rsidRDefault="00000000">
      <w:pPr>
        <w:ind w:firstLine="480"/>
        <w:rPr>
          <w:rFonts w:ascii="宋体" w:eastAsia="宋体" w:hAnsi="宋体" w:cs="宋体" w:hint="eastAsia"/>
        </w:rPr>
      </w:pPr>
      <w:r>
        <w:rPr>
          <w:rFonts w:ascii="Times New Roman" w:hAnsi="Times New Roman" w:cs="Times New Roman"/>
        </w:rPr>
        <w:t>（</w:t>
      </w:r>
      <w:r>
        <w:rPr>
          <w:rFonts w:ascii="Times New Roman" w:hAnsi="Times New Roman" w:cs="Times New Roman" w:hint="eastAsia"/>
        </w:rPr>
        <w:t>7</w:t>
      </w:r>
      <w:r>
        <w:rPr>
          <w:rFonts w:ascii="Times New Roman" w:hAnsi="Times New Roman" w:cs="Times New Roman"/>
        </w:rPr>
        <w:t>）</w:t>
      </w:r>
      <w:r>
        <w:rPr>
          <w:rFonts w:ascii="宋体" w:eastAsia="宋体" w:hAnsi="宋体" w:cs="宋体" w:hint="eastAsia"/>
        </w:rPr>
        <w:t>《关于强化建设项目环境影响评价事中事后监管的实施意见》（环环评</w:t>
      </w:r>
      <w:r>
        <w:rPr>
          <w:rFonts w:ascii="Times New Roman" w:hAnsi="Times New Roman" w:cs="Times New Roman" w:hint="eastAsia"/>
        </w:rPr>
        <w:t>2018</w:t>
      </w:r>
      <w:r>
        <w:rPr>
          <w:rFonts w:ascii="宋体" w:eastAsia="宋体" w:hAnsi="宋体" w:cs="宋体" w:hint="eastAsia"/>
        </w:rPr>
        <w:t xml:space="preserve"> 年</w:t>
      </w:r>
      <w:r>
        <w:rPr>
          <w:rFonts w:ascii="Times New Roman" w:hAnsi="Times New Roman" w:cs="Times New Roman" w:hint="eastAsia"/>
        </w:rPr>
        <w:t>11</w:t>
      </w:r>
      <w:r>
        <w:rPr>
          <w:rFonts w:ascii="宋体" w:eastAsia="宋体" w:hAnsi="宋体" w:cs="宋体" w:hint="eastAsia"/>
        </w:rPr>
        <w:t>号）；</w:t>
      </w:r>
    </w:p>
    <w:p w14:paraId="3A6D2F47" w14:textId="77777777" w:rsidR="009D12AF" w:rsidRDefault="00000000">
      <w:pPr>
        <w:widowControl/>
        <w:ind w:firstLine="480"/>
        <w:jc w:val="left"/>
        <w:rPr>
          <w:rFonts w:ascii="宋体" w:eastAsia="宋体" w:hAnsi="宋体" w:cs="宋体" w:hint="eastAsia"/>
        </w:rPr>
      </w:pPr>
      <w:r>
        <w:rPr>
          <w:rFonts w:ascii="Times New Roman" w:hAnsi="Times New Roman" w:cs="Times New Roman" w:hint="eastAsia"/>
        </w:rPr>
        <w:t>（</w:t>
      </w:r>
      <w:r>
        <w:rPr>
          <w:rFonts w:ascii="Times New Roman" w:hAnsi="Times New Roman" w:cs="Times New Roman" w:hint="eastAsia"/>
        </w:rPr>
        <w:t>8</w:t>
      </w:r>
      <w:r>
        <w:rPr>
          <w:rFonts w:ascii="Times New Roman" w:hAnsi="Times New Roman" w:cs="Times New Roman" w:hint="eastAsia"/>
        </w:rPr>
        <w:t>）</w:t>
      </w:r>
      <w:r>
        <w:rPr>
          <w:rFonts w:ascii="宋体" w:eastAsia="宋体" w:hAnsi="宋体" w:cs="宋体" w:hint="eastAsia"/>
          <w:color w:val="000000"/>
          <w:kern w:val="0"/>
          <w:lang w:bidi="ar"/>
        </w:rPr>
        <w:t>《建设项目环境影响评价技术导则 总纲》（</w:t>
      </w:r>
      <w:r>
        <w:rPr>
          <w:rFonts w:ascii="Times New Roman" w:hAnsi="Times New Roman" w:cs="Times New Roman" w:hint="eastAsia"/>
        </w:rPr>
        <w:t>HJ2.1-2016</w:t>
      </w:r>
      <w:r>
        <w:rPr>
          <w:rFonts w:ascii="Times New Roman" w:hAnsi="Times New Roman" w:cs="Times New Roman" w:hint="eastAsia"/>
        </w:rPr>
        <w:t>）</w:t>
      </w:r>
      <w:r>
        <w:rPr>
          <w:rFonts w:ascii="宋体" w:eastAsia="宋体" w:hAnsi="宋体" w:cs="宋体" w:hint="eastAsia"/>
          <w:color w:val="000000"/>
          <w:kern w:val="0"/>
          <w:lang w:bidi="ar"/>
        </w:rPr>
        <w:t xml:space="preserve">； </w:t>
      </w:r>
    </w:p>
    <w:p w14:paraId="09BB88FE" w14:textId="77777777" w:rsidR="009D12AF" w:rsidRDefault="00000000">
      <w:pPr>
        <w:widowControl/>
        <w:ind w:firstLine="480"/>
        <w:jc w:val="left"/>
        <w:rPr>
          <w:rFonts w:ascii="宋体" w:eastAsia="宋体" w:hAnsi="宋体" w:cs="宋体" w:hint="eastAsia"/>
        </w:rPr>
      </w:pPr>
      <w:r>
        <w:rPr>
          <w:rFonts w:ascii="Times New Roman" w:hAnsi="Times New Roman" w:cs="Times New Roman" w:hint="eastAsia"/>
        </w:rPr>
        <w:t>（</w:t>
      </w:r>
      <w:r>
        <w:rPr>
          <w:rFonts w:ascii="Times New Roman" w:hAnsi="Times New Roman" w:cs="Times New Roman" w:hint="eastAsia"/>
        </w:rPr>
        <w:t>9</w:t>
      </w:r>
      <w:r>
        <w:rPr>
          <w:rFonts w:ascii="Times New Roman" w:hAnsi="Times New Roman" w:cs="Times New Roman" w:hint="eastAsia"/>
        </w:rPr>
        <w:t>）</w:t>
      </w:r>
      <w:r>
        <w:rPr>
          <w:rFonts w:ascii="宋体" w:eastAsia="宋体" w:hAnsi="宋体" w:cs="宋体" w:hint="eastAsia"/>
          <w:color w:val="000000"/>
          <w:kern w:val="0"/>
          <w:lang w:bidi="ar"/>
        </w:rPr>
        <w:t>《环境影响评价技术导则 大气环境》</w:t>
      </w:r>
      <w:r>
        <w:rPr>
          <w:rFonts w:ascii="Times New Roman" w:hAnsi="Times New Roman" w:cs="Times New Roman" w:hint="eastAsia"/>
        </w:rPr>
        <w:t>（</w:t>
      </w:r>
      <w:r>
        <w:rPr>
          <w:rFonts w:ascii="Times New Roman" w:hAnsi="Times New Roman" w:cs="Times New Roman" w:hint="eastAsia"/>
        </w:rPr>
        <w:t>HJ2.2-2018</w:t>
      </w:r>
      <w:r>
        <w:rPr>
          <w:rFonts w:ascii="Times New Roman" w:hAnsi="Times New Roman" w:cs="Times New Roman" w:hint="eastAsia"/>
        </w:rPr>
        <w:t>）</w:t>
      </w:r>
      <w:r>
        <w:rPr>
          <w:rFonts w:ascii="宋体" w:eastAsia="宋体" w:hAnsi="宋体" w:cs="宋体" w:hint="eastAsia"/>
          <w:color w:val="000000"/>
          <w:kern w:val="0"/>
          <w:lang w:bidi="ar"/>
        </w:rPr>
        <w:t xml:space="preserve">； </w:t>
      </w:r>
    </w:p>
    <w:p w14:paraId="7A8335B6" w14:textId="77777777" w:rsidR="009D12AF" w:rsidRDefault="00000000">
      <w:pPr>
        <w:widowControl/>
        <w:ind w:firstLine="480"/>
        <w:jc w:val="left"/>
        <w:rPr>
          <w:rFonts w:ascii="宋体" w:eastAsia="宋体" w:hAnsi="宋体" w:cs="宋体" w:hint="eastAsia"/>
        </w:rPr>
      </w:pPr>
      <w:r>
        <w:rPr>
          <w:rFonts w:ascii="Times New Roman" w:hAnsi="Times New Roman" w:cs="Times New Roman" w:hint="eastAsia"/>
        </w:rPr>
        <w:t>（</w:t>
      </w:r>
      <w:r>
        <w:rPr>
          <w:rFonts w:ascii="Times New Roman" w:hAnsi="Times New Roman" w:cs="Times New Roman" w:hint="eastAsia"/>
        </w:rPr>
        <w:t>10</w:t>
      </w:r>
      <w:r>
        <w:rPr>
          <w:rFonts w:ascii="Times New Roman" w:hAnsi="Times New Roman" w:cs="Times New Roman" w:hint="eastAsia"/>
        </w:rPr>
        <w:t>）</w:t>
      </w:r>
      <w:r>
        <w:rPr>
          <w:rFonts w:ascii="宋体" w:eastAsia="宋体" w:hAnsi="宋体" w:cs="宋体" w:hint="eastAsia"/>
          <w:color w:val="000000"/>
          <w:kern w:val="0"/>
          <w:lang w:bidi="ar"/>
        </w:rPr>
        <w:t>《环境影响评价技术导则 地表水环境》</w:t>
      </w:r>
      <w:r>
        <w:rPr>
          <w:rFonts w:ascii="Times New Roman" w:hAnsi="Times New Roman" w:cs="Times New Roman" w:hint="eastAsia"/>
        </w:rPr>
        <w:t>（</w:t>
      </w:r>
      <w:r>
        <w:rPr>
          <w:rFonts w:ascii="Times New Roman" w:hAnsi="Times New Roman" w:cs="Times New Roman" w:hint="eastAsia"/>
        </w:rPr>
        <w:t>HJ2.3-2018</w:t>
      </w:r>
      <w:r>
        <w:rPr>
          <w:rFonts w:ascii="Times New Roman" w:hAnsi="Times New Roman" w:cs="Times New Roman" w:hint="eastAsia"/>
        </w:rPr>
        <w:t>）</w:t>
      </w:r>
      <w:r>
        <w:rPr>
          <w:rFonts w:ascii="宋体" w:eastAsia="宋体" w:hAnsi="宋体" w:cs="宋体" w:hint="eastAsia"/>
          <w:color w:val="000000"/>
          <w:kern w:val="0"/>
          <w:lang w:bidi="ar"/>
        </w:rPr>
        <w:t xml:space="preserve">； </w:t>
      </w:r>
    </w:p>
    <w:p w14:paraId="16B08539" w14:textId="77777777" w:rsidR="009D12AF" w:rsidRDefault="00000000">
      <w:pPr>
        <w:widowControl/>
        <w:ind w:firstLine="480"/>
        <w:jc w:val="left"/>
        <w:rPr>
          <w:rFonts w:ascii="宋体" w:eastAsia="宋体" w:hAnsi="宋体" w:cs="宋体" w:hint="eastAsia"/>
        </w:rPr>
      </w:pPr>
      <w:r>
        <w:rPr>
          <w:rFonts w:ascii="Times New Roman" w:hAnsi="Times New Roman" w:cs="Times New Roman" w:hint="eastAsia"/>
        </w:rPr>
        <w:t>（</w:t>
      </w:r>
      <w:r>
        <w:rPr>
          <w:rFonts w:ascii="Times New Roman" w:hAnsi="Times New Roman" w:cs="Times New Roman" w:hint="eastAsia"/>
        </w:rPr>
        <w:t>11</w:t>
      </w:r>
      <w:r>
        <w:rPr>
          <w:rFonts w:ascii="Times New Roman" w:hAnsi="Times New Roman" w:cs="Times New Roman" w:hint="eastAsia"/>
        </w:rPr>
        <w:t>）</w:t>
      </w:r>
      <w:r>
        <w:rPr>
          <w:rFonts w:ascii="宋体" w:eastAsia="宋体" w:hAnsi="宋体" w:cs="宋体" w:hint="eastAsia"/>
          <w:color w:val="000000"/>
          <w:kern w:val="0"/>
          <w:lang w:bidi="ar"/>
        </w:rPr>
        <w:t>《环境影响评价技术导则 声环境》</w:t>
      </w:r>
      <w:r>
        <w:rPr>
          <w:rFonts w:ascii="Times New Roman" w:hAnsi="Times New Roman" w:cs="Times New Roman" w:hint="eastAsia"/>
        </w:rPr>
        <w:t>（</w:t>
      </w:r>
      <w:r>
        <w:rPr>
          <w:rFonts w:ascii="Times New Roman" w:hAnsi="Times New Roman" w:cs="Times New Roman" w:hint="eastAsia"/>
        </w:rPr>
        <w:t>HJ2.4-2021</w:t>
      </w:r>
      <w:r>
        <w:rPr>
          <w:rFonts w:ascii="Times New Roman" w:hAnsi="Times New Roman" w:cs="Times New Roman" w:hint="eastAsia"/>
        </w:rPr>
        <w:t>）</w:t>
      </w:r>
      <w:r>
        <w:rPr>
          <w:rFonts w:ascii="宋体" w:eastAsia="宋体" w:hAnsi="宋体" w:cs="宋体" w:hint="eastAsia"/>
          <w:color w:val="000000"/>
          <w:kern w:val="0"/>
          <w:lang w:bidi="ar"/>
        </w:rPr>
        <w:t xml:space="preserve">； </w:t>
      </w:r>
    </w:p>
    <w:p w14:paraId="0CF3AA29" w14:textId="77777777" w:rsidR="009D12AF" w:rsidRDefault="00000000">
      <w:pPr>
        <w:widowControl/>
        <w:ind w:firstLine="480"/>
        <w:jc w:val="left"/>
        <w:rPr>
          <w:rFonts w:ascii="宋体" w:eastAsia="宋体" w:hAnsi="宋体" w:cs="宋体" w:hint="eastAsia"/>
        </w:rPr>
      </w:pPr>
      <w:r>
        <w:rPr>
          <w:rFonts w:ascii="Times New Roman" w:hAnsi="Times New Roman" w:cs="Times New Roman" w:hint="eastAsia"/>
        </w:rPr>
        <w:t>（</w:t>
      </w:r>
      <w:r>
        <w:rPr>
          <w:rFonts w:ascii="Times New Roman" w:hAnsi="Times New Roman" w:cs="Times New Roman" w:hint="eastAsia"/>
        </w:rPr>
        <w:t>12</w:t>
      </w:r>
      <w:r>
        <w:rPr>
          <w:rFonts w:ascii="Times New Roman" w:hAnsi="Times New Roman" w:cs="Times New Roman" w:hint="eastAsia"/>
        </w:rPr>
        <w:t>）</w:t>
      </w:r>
      <w:r>
        <w:rPr>
          <w:rFonts w:ascii="宋体" w:eastAsia="宋体" w:hAnsi="宋体" w:cs="宋体" w:hint="eastAsia"/>
          <w:color w:val="000000"/>
          <w:kern w:val="0"/>
          <w:lang w:bidi="ar"/>
        </w:rPr>
        <w:t>《环境影响评价技术导则 地下水环境》</w:t>
      </w:r>
      <w:r>
        <w:rPr>
          <w:rFonts w:ascii="Times New Roman" w:hAnsi="Times New Roman" w:cs="Times New Roman" w:hint="eastAsia"/>
        </w:rPr>
        <w:t>（</w:t>
      </w:r>
      <w:r>
        <w:rPr>
          <w:rFonts w:ascii="Times New Roman" w:hAnsi="Times New Roman" w:cs="Times New Roman" w:hint="eastAsia"/>
        </w:rPr>
        <w:t>HJ610-2016</w:t>
      </w:r>
      <w:r>
        <w:rPr>
          <w:rFonts w:ascii="Times New Roman" w:hAnsi="Times New Roman" w:cs="Times New Roman" w:hint="eastAsia"/>
        </w:rPr>
        <w:t>）</w:t>
      </w:r>
      <w:r>
        <w:rPr>
          <w:rFonts w:ascii="宋体" w:eastAsia="宋体" w:hAnsi="宋体" w:cs="宋体" w:hint="eastAsia"/>
          <w:color w:val="000000"/>
          <w:kern w:val="0"/>
          <w:lang w:bidi="ar"/>
        </w:rPr>
        <w:t xml:space="preserve">； </w:t>
      </w:r>
    </w:p>
    <w:p w14:paraId="7AD3A12F" w14:textId="77777777" w:rsidR="009D12AF" w:rsidRDefault="00000000">
      <w:pPr>
        <w:widowControl/>
        <w:ind w:firstLine="480"/>
        <w:jc w:val="left"/>
        <w:rPr>
          <w:rFonts w:ascii="宋体" w:eastAsia="宋体" w:hAnsi="宋体" w:cs="宋体" w:hint="eastAsia"/>
        </w:rPr>
      </w:pPr>
      <w:r>
        <w:rPr>
          <w:rFonts w:ascii="Times New Roman" w:hAnsi="Times New Roman" w:cs="Times New Roman" w:hint="eastAsia"/>
        </w:rPr>
        <w:t>（</w:t>
      </w:r>
      <w:r>
        <w:rPr>
          <w:rFonts w:ascii="Times New Roman" w:hAnsi="Times New Roman" w:cs="Times New Roman" w:hint="eastAsia"/>
        </w:rPr>
        <w:t>13</w:t>
      </w:r>
      <w:r>
        <w:rPr>
          <w:rFonts w:ascii="Times New Roman" w:hAnsi="Times New Roman" w:cs="Times New Roman" w:hint="eastAsia"/>
        </w:rPr>
        <w:t>）</w:t>
      </w:r>
      <w:r>
        <w:rPr>
          <w:rFonts w:ascii="宋体" w:eastAsia="宋体" w:hAnsi="宋体" w:cs="宋体" w:hint="eastAsia"/>
          <w:color w:val="000000"/>
          <w:kern w:val="0"/>
          <w:lang w:bidi="ar"/>
        </w:rPr>
        <w:t>《环境影响评价技术导则 生态影响》</w:t>
      </w:r>
      <w:r>
        <w:rPr>
          <w:rFonts w:ascii="Times New Roman" w:hAnsi="Times New Roman" w:cs="Times New Roman" w:hint="eastAsia"/>
        </w:rPr>
        <w:t>（</w:t>
      </w:r>
      <w:r>
        <w:rPr>
          <w:rFonts w:ascii="Times New Roman" w:hAnsi="Times New Roman" w:cs="Times New Roman" w:hint="eastAsia"/>
        </w:rPr>
        <w:t>HJ19-2022</w:t>
      </w:r>
      <w:r>
        <w:rPr>
          <w:rFonts w:ascii="Times New Roman" w:hAnsi="Times New Roman" w:cs="Times New Roman" w:hint="eastAsia"/>
        </w:rPr>
        <w:t>）</w:t>
      </w:r>
      <w:r>
        <w:rPr>
          <w:rFonts w:ascii="宋体" w:eastAsia="宋体" w:hAnsi="宋体" w:cs="宋体" w:hint="eastAsia"/>
          <w:color w:val="000000"/>
          <w:kern w:val="0"/>
          <w:lang w:bidi="ar"/>
        </w:rPr>
        <w:t xml:space="preserve">； </w:t>
      </w:r>
    </w:p>
    <w:p w14:paraId="23DB946B" w14:textId="77777777" w:rsidR="009D12AF" w:rsidRDefault="00000000">
      <w:pPr>
        <w:widowControl/>
        <w:ind w:firstLine="480"/>
        <w:jc w:val="left"/>
        <w:rPr>
          <w:rFonts w:ascii="宋体" w:eastAsia="宋体" w:hAnsi="宋体" w:cs="宋体" w:hint="eastAsia"/>
        </w:rPr>
      </w:pPr>
      <w:r>
        <w:rPr>
          <w:rFonts w:ascii="Times New Roman" w:hAnsi="Times New Roman" w:cs="Times New Roman" w:hint="eastAsia"/>
        </w:rPr>
        <w:t>（</w:t>
      </w:r>
      <w:r>
        <w:rPr>
          <w:rFonts w:ascii="Times New Roman" w:hAnsi="Times New Roman" w:cs="Times New Roman" w:hint="eastAsia"/>
        </w:rPr>
        <w:t>14</w:t>
      </w:r>
      <w:r>
        <w:rPr>
          <w:rFonts w:ascii="Times New Roman" w:hAnsi="Times New Roman" w:cs="Times New Roman" w:hint="eastAsia"/>
        </w:rPr>
        <w:t>）</w:t>
      </w:r>
      <w:r>
        <w:rPr>
          <w:rFonts w:ascii="宋体" w:eastAsia="宋体" w:hAnsi="宋体" w:cs="宋体" w:hint="eastAsia"/>
          <w:color w:val="000000"/>
          <w:kern w:val="0"/>
          <w:lang w:bidi="ar"/>
        </w:rPr>
        <w:t>《环境影响评价技术导则 土壤影响（试行）》</w:t>
      </w:r>
      <w:r>
        <w:rPr>
          <w:rFonts w:ascii="Times New Roman" w:hAnsi="Times New Roman" w:cs="Times New Roman" w:hint="eastAsia"/>
        </w:rPr>
        <w:t>（</w:t>
      </w:r>
      <w:r>
        <w:rPr>
          <w:rFonts w:ascii="Times New Roman" w:hAnsi="Times New Roman" w:cs="Times New Roman" w:hint="eastAsia"/>
        </w:rPr>
        <w:t>HJ964-2018</w:t>
      </w:r>
      <w:r>
        <w:rPr>
          <w:rFonts w:ascii="Times New Roman" w:hAnsi="Times New Roman" w:cs="Times New Roman" w:hint="eastAsia"/>
        </w:rPr>
        <w:t>）</w:t>
      </w:r>
      <w:r>
        <w:rPr>
          <w:rFonts w:ascii="宋体" w:eastAsia="宋体" w:hAnsi="宋体" w:cs="宋体" w:hint="eastAsia"/>
          <w:color w:val="000000"/>
          <w:kern w:val="0"/>
          <w:lang w:bidi="ar"/>
        </w:rPr>
        <w:t xml:space="preserve">； </w:t>
      </w:r>
    </w:p>
    <w:p w14:paraId="39D98897" w14:textId="77777777" w:rsidR="009D12AF" w:rsidRDefault="00000000">
      <w:pPr>
        <w:widowControl/>
        <w:ind w:firstLine="480"/>
        <w:jc w:val="left"/>
        <w:rPr>
          <w:rFonts w:ascii="宋体" w:eastAsia="宋体" w:hAnsi="宋体" w:cs="宋体" w:hint="eastAsia"/>
        </w:rPr>
      </w:pPr>
      <w:r>
        <w:rPr>
          <w:rFonts w:ascii="Times New Roman" w:hAnsi="Times New Roman" w:cs="Times New Roman" w:hint="eastAsia"/>
        </w:rPr>
        <w:t>（</w:t>
      </w:r>
      <w:r>
        <w:rPr>
          <w:rFonts w:ascii="Times New Roman" w:hAnsi="Times New Roman" w:cs="Times New Roman" w:hint="eastAsia"/>
        </w:rPr>
        <w:t>15</w:t>
      </w:r>
      <w:r>
        <w:rPr>
          <w:rFonts w:ascii="Times New Roman" w:hAnsi="Times New Roman" w:cs="Times New Roman" w:hint="eastAsia"/>
        </w:rPr>
        <w:t>）</w:t>
      </w:r>
      <w:r>
        <w:rPr>
          <w:rFonts w:ascii="宋体" w:eastAsia="宋体" w:hAnsi="宋体" w:cs="宋体" w:hint="eastAsia"/>
          <w:color w:val="000000"/>
          <w:kern w:val="0"/>
          <w:lang w:bidi="ar"/>
        </w:rPr>
        <w:t>《环境影响评价技术导则 水利水电工程》</w:t>
      </w:r>
      <w:r>
        <w:rPr>
          <w:rFonts w:ascii="Times New Roman" w:hAnsi="Times New Roman" w:cs="Times New Roman" w:hint="eastAsia"/>
        </w:rPr>
        <w:t>（</w:t>
      </w:r>
      <w:r>
        <w:rPr>
          <w:rFonts w:ascii="Times New Roman" w:hAnsi="Times New Roman" w:cs="Times New Roman" w:hint="eastAsia"/>
        </w:rPr>
        <w:t>HJ/T88-2003</w:t>
      </w:r>
      <w:r>
        <w:rPr>
          <w:rFonts w:ascii="Times New Roman" w:hAnsi="Times New Roman" w:cs="Times New Roman" w:hint="eastAsia"/>
        </w:rPr>
        <w:t>）</w:t>
      </w:r>
      <w:r>
        <w:rPr>
          <w:rFonts w:ascii="宋体" w:eastAsia="宋体" w:hAnsi="宋体" w:cs="宋体" w:hint="eastAsia"/>
          <w:color w:val="000000"/>
          <w:kern w:val="0"/>
          <w:lang w:bidi="ar"/>
        </w:rPr>
        <w:t xml:space="preserve">； </w:t>
      </w:r>
    </w:p>
    <w:p w14:paraId="6959D9C7" w14:textId="77777777" w:rsidR="009D12AF" w:rsidRDefault="00000000">
      <w:pPr>
        <w:widowControl/>
        <w:ind w:firstLine="480"/>
        <w:jc w:val="left"/>
        <w:rPr>
          <w:rFonts w:ascii="宋体" w:eastAsia="宋体" w:hAnsi="宋体" w:cs="宋体" w:hint="eastAsia"/>
        </w:rPr>
      </w:pPr>
      <w:r>
        <w:rPr>
          <w:rFonts w:ascii="Times New Roman" w:hAnsi="Times New Roman" w:cs="Times New Roman" w:hint="eastAsia"/>
        </w:rPr>
        <w:t>（</w:t>
      </w:r>
      <w:r>
        <w:rPr>
          <w:rFonts w:ascii="Times New Roman" w:hAnsi="Times New Roman" w:cs="Times New Roman" w:hint="eastAsia"/>
        </w:rPr>
        <w:t>16</w:t>
      </w:r>
      <w:r>
        <w:rPr>
          <w:rFonts w:ascii="Times New Roman" w:hAnsi="Times New Roman" w:cs="Times New Roman" w:hint="eastAsia"/>
        </w:rPr>
        <w:t>）</w:t>
      </w:r>
      <w:r>
        <w:rPr>
          <w:rFonts w:ascii="宋体" w:eastAsia="宋体" w:hAnsi="宋体" w:cs="宋体" w:hint="eastAsia"/>
          <w:color w:val="000000"/>
          <w:kern w:val="0"/>
          <w:lang w:bidi="ar"/>
        </w:rPr>
        <w:t xml:space="preserve">《建设项目环境风险评价技术导则》 </w:t>
      </w:r>
      <w:r>
        <w:rPr>
          <w:rFonts w:ascii="Times New Roman" w:hAnsi="Times New Roman" w:cs="Times New Roman" w:hint="eastAsia"/>
        </w:rPr>
        <w:t>（</w:t>
      </w:r>
      <w:r>
        <w:rPr>
          <w:rFonts w:ascii="Times New Roman" w:hAnsi="Times New Roman" w:cs="Times New Roman" w:hint="eastAsia"/>
        </w:rPr>
        <w:t>HJ169-2018</w:t>
      </w:r>
      <w:r>
        <w:rPr>
          <w:rFonts w:ascii="Times New Roman" w:hAnsi="Times New Roman" w:cs="Times New Roman" w:hint="eastAsia"/>
        </w:rPr>
        <w:t>）</w:t>
      </w:r>
      <w:r>
        <w:rPr>
          <w:rFonts w:ascii="宋体" w:eastAsia="宋体" w:hAnsi="宋体" w:cs="宋体" w:hint="eastAsia"/>
          <w:color w:val="000000"/>
          <w:kern w:val="0"/>
          <w:lang w:bidi="ar"/>
        </w:rPr>
        <w:t xml:space="preserve">； </w:t>
      </w:r>
    </w:p>
    <w:p w14:paraId="370487BA" w14:textId="77777777" w:rsidR="009D12AF" w:rsidRDefault="00000000">
      <w:pPr>
        <w:widowControl/>
        <w:ind w:firstLine="480"/>
        <w:jc w:val="left"/>
        <w:rPr>
          <w:rFonts w:ascii="宋体" w:eastAsia="宋体" w:hAnsi="宋体" w:cs="宋体" w:hint="eastAsia"/>
        </w:rPr>
      </w:pPr>
      <w:r>
        <w:rPr>
          <w:rFonts w:ascii="Times New Roman" w:hAnsi="Times New Roman" w:cs="Times New Roman" w:hint="eastAsia"/>
        </w:rPr>
        <w:t>（</w:t>
      </w:r>
      <w:r>
        <w:rPr>
          <w:rFonts w:ascii="Times New Roman" w:hAnsi="Times New Roman" w:cs="Times New Roman" w:hint="eastAsia"/>
        </w:rPr>
        <w:t>17</w:t>
      </w:r>
      <w:r>
        <w:rPr>
          <w:rFonts w:ascii="Times New Roman" w:hAnsi="Times New Roman" w:cs="Times New Roman" w:hint="eastAsia"/>
        </w:rPr>
        <w:t>）</w:t>
      </w:r>
      <w:r>
        <w:rPr>
          <w:rFonts w:ascii="宋体" w:eastAsia="宋体" w:hAnsi="宋体" w:cs="宋体" w:hint="eastAsia"/>
          <w:color w:val="000000"/>
          <w:kern w:val="0"/>
          <w:lang w:bidi="ar"/>
        </w:rPr>
        <w:t>《固体废物鉴别标准 通则》</w:t>
      </w:r>
      <w:r>
        <w:rPr>
          <w:rFonts w:ascii="Times New Roman" w:hAnsi="Times New Roman" w:cs="Times New Roman" w:hint="eastAsia"/>
        </w:rPr>
        <w:t>（</w:t>
      </w:r>
      <w:r>
        <w:rPr>
          <w:rFonts w:ascii="Times New Roman" w:hAnsi="Times New Roman" w:cs="Times New Roman" w:hint="eastAsia"/>
        </w:rPr>
        <w:t>GB 34330-2017</w:t>
      </w:r>
      <w:r>
        <w:rPr>
          <w:rFonts w:ascii="Times New Roman" w:hAnsi="Times New Roman" w:cs="Times New Roman" w:hint="eastAsia"/>
        </w:rPr>
        <w:t>）</w:t>
      </w:r>
      <w:r>
        <w:rPr>
          <w:rFonts w:ascii="宋体" w:eastAsia="宋体" w:hAnsi="宋体" w:cs="宋体" w:hint="eastAsia"/>
          <w:color w:val="000000"/>
          <w:kern w:val="0"/>
          <w:lang w:bidi="ar"/>
        </w:rPr>
        <w:t xml:space="preserve">； </w:t>
      </w:r>
    </w:p>
    <w:p w14:paraId="43D7BBA5" w14:textId="77777777" w:rsidR="009D12AF" w:rsidRDefault="00000000">
      <w:pPr>
        <w:widowControl/>
        <w:ind w:firstLine="480"/>
        <w:jc w:val="left"/>
      </w:pPr>
      <w:r>
        <w:rPr>
          <w:rFonts w:ascii="Times New Roman" w:hAnsi="Times New Roman" w:cs="Times New Roman" w:hint="eastAsia"/>
        </w:rPr>
        <w:lastRenderedPageBreak/>
        <w:t>（</w:t>
      </w:r>
      <w:r>
        <w:rPr>
          <w:rFonts w:ascii="Times New Roman" w:hAnsi="Times New Roman" w:cs="Times New Roman" w:hint="eastAsia"/>
        </w:rPr>
        <w:t>18</w:t>
      </w:r>
      <w:r>
        <w:rPr>
          <w:rFonts w:ascii="Times New Roman" w:hAnsi="Times New Roman" w:cs="Times New Roman" w:hint="eastAsia"/>
        </w:rPr>
        <w:t>）</w:t>
      </w:r>
      <w:r>
        <w:rPr>
          <w:rFonts w:ascii="宋体" w:eastAsia="宋体" w:hAnsi="宋体" w:cs="宋体" w:hint="eastAsia"/>
          <w:color w:val="000000"/>
          <w:kern w:val="0"/>
          <w:lang w:bidi="ar"/>
        </w:rPr>
        <w:t>《关于印发机场、港口、水利（河湖整治与防洪除涝工程）三个行业建设项目环境影响评价文件审批原则的通知—水利建设项目（河湖整治与防洪除涝工程）环境影响评价文件审批原则（试行）》（环办环评〔</w:t>
      </w:r>
      <w:r>
        <w:rPr>
          <w:rFonts w:ascii="Times New Roman" w:hAnsi="Times New Roman" w:cs="Times New Roman" w:hint="eastAsia"/>
        </w:rPr>
        <w:t>2018</w:t>
      </w:r>
      <w:r>
        <w:rPr>
          <w:rFonts w:ascii="宋体" w:eastAsia="宋体" w:hAnsi="宋体" w:cs="宋体" w:hint="eastAsia"/>
          <w:color w:val="000000"/>
          <w:kern w:val="0"/>
          <w:lang w:bidi="ar"/>
        </w:rPr>
        <w:t>〕</w:t>
      </w:r>
      <w:r>
        <w:rPr>
          <w:rFonts w:ascii="Times New Roman" w:hAnsi="Times New Roman" w:cs="Times New Roman" w:hint="eastAsia"/>
        </w:rPr>
        <w:t>2</w:t>
      </w:r>
      <w:r>
        <w:rPr>
          <w:rFonts w:ascii="宋体" w:eastAsia="宋体" w:hAnsi="宋体" w:cs="宋体" w:hint="eastAsia"/>
          <w:color w:val="000000"/>
          <w:kern w:val="0"/>
          <w:lang w:bidi="ar"/>
        </w:rPr>
        <w:t>号）；</w:t>
      </w:r>
    </w:p>
    <w:p w14:paraId="464670F3" w14:textId="77777777" w:rsidR="009D12AF" w:rsidRDefault="00000000">
      <w:pPr>
        <w:ind w:firstLine="480"/>
      </w:pPr>
      <w:r>
        <w:rPr>
          <w:rFonts w:ascii="Times New Roman" w:hAnsi="Times New Roman" w:cs="Times New Roman" w:hint="eastAsia"/>
        </w:rPr>
        <w:t>（</w:t>
      </w:r>
      <w:r>
        <w:rPr>
          <w:rFonts w:ascii="Times New Roman" w:hAnsi="Times New Roman" w:cs="Times New Roman" w:hint="eastAsia"/>
        </w:rPr>
        <w:t>19</w:t>
      </w:r>
      <w:r>
        <w:rPr>
          <w:rFonts w:ascii="Times New Roman" w:hAnsi="Times New Roman" w:cs="Times New Roman" w:hint="eastAsia"/>
        </w:rPr>
        <w:t>）</w:t>
      </w:r>
      <w:r>
        <w:rPr>
          <w:rFonts w:hint="eastAsia"/>
        </w:rPr>
        <w:t>《水利建设项目（河湖整治与防洪除涝工程）环境影响评价文件审批原则》（环办环评</w:t>
      </w:r>
      <w:r>
        <w:rPr>
          <w:rFonts w:ascii="Times New Roman" w:hAnsi="Times New Roman" w:cs="Times New Roman" w:hint="eastAsia"/>
        </w:rPr>
        <w:t>[2018]2</w:t>
      </w:r>
      <w:r>
        <w:rPr>
          <w:rFonts w:hint="eastAsia"/>
        </w:rPr>
        <w:t>号）；</w:t>
      </w:r>
    </w:p>
    <w:p w14:paraId="1767E31C" w14:textId="77777777" w:rsidR="009D12AF" w:rsidRDefault="00000000">
      <w:pPr>
        <w:ind w:firstLine="480"/>
      </w:pPr>
      <w:r>
        <w:rPr>
          <w:rFonts w:ascii="Times New Roman" w:hAnsi="Times New Roman" w:cs="Times New Roman" w:hint="eastAsia"/>
        </w:rPr>
        <w:t>（</w:t>
      </w:r>
      <w:r>
        <w:rPr>
          <w:rFonts w:ascii="Times New Roman" w:hAnsi="Times New Roman" w:cs="Times New Roman" w:hint="eastAsia"/>
        </w:rPr>
        <w:t>20</w:t>
      </w:r>
      <w:r>
        <w:rPr>
          <w:rFonts w:ascii="Times New Roman" w:hAnsi="Times New Roman" w:cs="Times New Roman" w:hint="eastAsia"/>
        </w:rPr>
        <w:t>）</w:t>
      </w:r>
      <w:r>
        <w:t>《自然资源部关于规范临时用地管理的通知》（自然资规</w:t>
      </w:r>
      <w:r>
        <w:rPr>
          <w:rFonts w:ascii="Times New Roman" w:hAnsi="Times New Roman" w:cs="Times New Roman" w:hint="eastAsia"/>
        </w:rPr>
        <w:t>〔</w:t>
      </w:r>
      <w:r>
        <w:rPr>
          <w:rFonts w:ascii="Times New Roman" w:hAnsi="Times New Roman" w:cs="Times New Roman" w:hint="eastAsia"/>
        </w:rPr>
        <w:t>2021</w:t>
      </w:r>
      <w:r>
        <w:rPr>
          <w:rFonts w:ascii="Times New Roman" w:hAnsi="Times New Roman" w:cs="Times New Roman" w:hint="eastAsia"/>
        </w:rPr>
        <w:t>〕</w:t>
      </w:r>
      <w:r>
        <w:rPr>
          <w:rFonts w:ascii="Times New Roman" w:hAnsi="Times New Roman" w:cs="Times New Roman" w:hint="eastAsia"/>
        </w:rPr>
        <w:t>2</w:t>
      </w:r>
      <w:r>
        <w:t>号）</w:t>
      </w:r>
      <w:r>
        <w:rPr>
          <w:rFonts w:hint="eastAsia"/>
        </w:rPr>
        <w:t>；</w:t>
      </w:r>
    </w:p>
    <w:p w14:paraId="078071EE" w14:textId="77777777" w:rsidR="009D12AF" w:rsidRDefault="00000000">
      <w:pPr>
        <w:ind w:firstLine="480"/>
      </w:pPr>
      <w:r>
        <w:rPr>
          <w:rFonts w:ascii="Times New Roman" w:hAnsi="Times New Roman" w:cs="Times New Roman" w:hint="eastAsia"/>
        </w:rPr>
        <w:t>（</w:t>
      </w:r>
      <w:r>
        <w:rPr>
          <w:rFonts w:ascii="Times New Roman" w:hAnsi="Times New Roman" w:cs="Times New Roman" w:hint="eastAsia"/>
        </w:rPr>
        <w:t>21</w:t>
      </w:r>
      <w:r>
        <w:rPr>
          <w:rFonts w:ascii="Times New Roman" w:hAnsi="Times New Roman" w:cs="Times New Roman" w:hint="eastAsia"/>
        </w:rPr>
        <w:t>）</w:t>
      </w:r>
      <w:r>
        <w:t>《自然资源部</w:t>
      </w:r>
      <w:r>
        <w:t xml:space="preserve"> </w:t>
      </w:r>
      <w:r>
        <w:t>生态环境部</w:t>
      </w:r>
      <w:r>
        <w:t xml:space="preserve"> </w:t>
      </w:r>
      <w:r>
        <w:t>国家林业和草原局关于加强生态保护红线管理的通知（试行）》（自然资发</w:t>
      </w:r>
      <w:r>
        <w:rPr>
          <w:rFonts w:ascii="Times New Roman" w:hAnsi="Times New Roman" w:cs="Times New Roman" w:hint="eastAsia"/>
        </w:rPr>
        <w:t>〔</w:t>
      </w:r>
      <w:r>
        <w:rPr>
          <w:rFonts w:ascii="Times New Roman" w:hAnsi="Times New Roman" w:cs="Times New Roman" w:hint="eastAsia"/>
        </w:rPr>
        <w:t>2022</w:t>
      </w:r>
      <w:r>
        <w:rPr>
          <w:rFonts w:ascii="Times New Roman" w:hAnsi="Times New Roman" w:cs="Times New Roman" w:hint="eastAsia"/>
        </w:rPr>
        <w:t>〕</w:t>
      </w:r>
      <w:r>
        <w:rPr>
          <w:rFonts w:ascii="Times New Roman" w:hAnsi="Times New Roman" w:cs="Times New Roman" w:hint="eastAsia"/>
        </w:rPr>
        <w:t>142</w:t>
      </w:r>
      <w:r>
        <w:t>号）</w:t>
      </w:r>
      <w:r>
        <w:rPr>
          <w:rFonts w:hint="eastAsia"/>
        </w:rPr>
        <w:t>；</w:t>
      </w:r>
    </w:p>
    <w:p w14:paraId="659F793F" w14:textId="77777777" w:rsidR="009D12AF" w:rsidRDefault="00000000">
      <w:pPr>
        <w:pStyle w:val="3"/>
      </w:pPr>
      <w:bookmarkStart w:id="44" w:name="_Toc17152"/>
      <w:bookmarkStart w:id="45" w:name="_Toc5527"/>
      <w:bookmarkStart w:id="46" w:name="_Toc31098"/>
      <w:bookmarkStart w:id="47" w:name="_Toc20524"/>
      <w:r>
        <w:rPr>
          <w:rFonts w:hint="eastAsia"/>
        </w:rPr>
        <w:t>2</w:t>
      </w:r>
      <w:r>
        <w:t xml:space="preserve">.1.3 </w:t>
      </w:r>
      <w:r>
        <w:t>地方法规与规划</w:t>
      </w:r>
      <w:bookmarkEnd w:id="44"/>
      <w:bookmarkEnd w:id="45"/>
      <w:bookmarkEnd w:id="46"/>
      <w:bookmarkEnd w:id="47"/>
    </w:p>
    <w:p w14:paraId="31FB5229" w14:textId="77777777" w:rsidR="009D12AF" w:rsidRDefault="00000000">
      <w:pPr>
        <w:ind w:firstLine="480"/>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w:t>
      </w:r>
      <w:r>
        <w:rPr>
          <w:rFonts w:hint="eastAsia"/>
        </w:rPr>
        <w:t>《黑龙江省人民政府关于实施“三线一单”生态环境分区管控的意见》（黑政发</w:t>
      </w:r>
      <w:r>
        <w:rPr>
          <w:rFonts w:ascii="Times New Roman" w:hAnsi="Times New Roman" w:cs="Times New Roman" w:hint="eastAsia"/>
        </w:rPr>
        <w:t>[2020]14</w:t>
      </w:r>
      <w:r>
        <w:rPr>
          <w:rFonts w:hint="eastAsia"/>
        </w:rPr>
        <w:t xml:space="preserve"> </w:t>
      </w:r>
      <w:r>
        <w:rPr>
          <w:rFonts w:hint="eastAsia"/>
        </w:rPr>
        <w:t>号）；</w:t>
      </w:r>
    </w:p>
    <w:p w14:paraId="118BB46E" w14:textId="77777777" w:rsidR="009D12AF" w:rsidRDefault="00000000">
      <w:pPr>
        <w:ind w:firstLine="480"/>
      </w:pP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hint="eastAsia"/>
        </w:rPr>
        <w:t>）</w:t>
      </w:r>
      <w:r>
        <w:rPr>
          <w:rFonts w:hint="eastAsia"/>
        </w:rPr>
        <w:t>《牡丹江市人民政府关于实施“三线一单”生态环境分区管控的意见》（牡政发</w:t>
      </w:r>
      <w:r>
        <w:rPr>
          <w:rFonts w:ascii="Times New Roman" w:hAnsi="Times New Roman" w:cs="Times New Roman" w:hint="eastAsia"/>
        </w:rPr>
        <w:t>〔</w:t>
      </w:r>
      <w:r>
        <w:rPr>
          <w:rFonts w:ascii="Times New Roman" w:hAnsi="Times New Roman" w:cs="Times New Roman" w:hint="eastAsia"/>
        </w:rPr>
        <w:t>2021</w:t>
      </w:r>
      <w:r>
        <w:rPr>
          <w:rFonts w:ascii="Times New Roman" w:hAnsi="Times New Roman" w:cs="Times New Roman" w:hint="eastAsia"/>
        </w:rPr>
        <w:t>〕</w:t>
      </w:r>
      <w:r>
        <w:rPr>
          <w:rFonts w:ascii="Times New Roman" w:hAnsi="Times New Roman" w:cs="Times New Roman" w:hint="eastAsia"/>
        </w:rPr>
        <w:t>5</w:t>
      </w:r>
      <w:r>
        <w:rPr>
          <w:rFonts w:hint="eastAsia"/>
        </w:rPr>
        <w:t>号）；</w:t>
      </w:r>
    </w:p>
    <w:p w14:paraId="3795A904" w14:textId="77777777" w:rsidR="009D12AF" w:rsidRDefault="00000000">
      <w:pPr>
        <w:ind w:firstLine="480"/>
      </w:pPr>
      <w:r>
        <w:rPr>
          <w:rFonts w:ascii="Times New Roman" w:hAnsi="Times New Roman" w:cs="Times New Roman" w:hint="eastAsia"/>
        </w:rPr>
        <w:t>（</w:t>
      </w:r>
      <w:r>
        <w:rPr>
          <w:rFonts w:ascii="Times New Roman" w:hAnsi="Times New Roman" w:cs="Times New Roman"/>
        </w:rPr>
        <w:t>3</w:t>
      </w:r>
      <w:r>
        <w:rPr>
          <w:rFonts w:ascii="Times New Roman" w:hAnsi="Times New Roman" w:cs="Times New Roman"/>
        </w:rPr>
        <w:t>）</w:t>
      </w:r>
      <w:r>
        <w:rPr>
          <w:rFonts w:hint="eastAsia"/>
        </w:rPr>
        <w:t>《牡丹江</w:t>
      </w:r>
      <w:r>
        <w:t>市生态环境准入清单（</w:t>
      </w:r>
      <w:r>
        <w:rPr>
          <w:rFonts w:ascii="Times New Roman" w:hAnsi="Times New Roman" w:cs="Times New Roman"/>
        </w:rPr>
        <w:t>2023</w:t>
      </w:r>
      <w:r>
        <w:t>年版）</w:t>
      </w:r>
      <w:r>
        <w:rPr>
          <w:rFonts w:hint="eastAsia"/>
        </w:rPr>
        <w:t>》；</w:t>
      </w:r>
    </w:p>
    <w:p w14:paraId="0381DC1E" w14:textId="77777777" w:rsidR="009D12AF" w:rsidRDefault="00000000">
      <w:pPr>
        <w:ind w:firstLine="480"/>
        <w:rPr>
          <w:rFonts w:ascii="Times New Roman" w:eastAsia="宋体" w:hAnsi="Times New Roman" w:cs="Times New Roman"/>
        </w:rPr>
      </w:pPr>
      <w:r>
        <w:rPr>
          <w:rFonts w:ascii="Times New Roman" w:hAnsi="Times New Roman" w:cs="Times New Roman" w:hint="eastAsia"/>
        </w:rPr>
        <w:t>（</w:t>
      </w:r>
      <w:r>
        <w:rPr>
          <w:rFonts w:ascii="Times New Roman" w:hAnsi="Times New Roman" w:cs="Times New Roman" w:hint="eastAsia"/>
        </w:rPr>
        <w:t>4</w:t>
      </w:r>
      <w:r>
        <w:rPr>
          <w:rFonts w:ascii="Times New Roman" w:hAnsi="Times New Roman" w:cs="Times New Roman" w:hint="eastAsia"/>
        </w:rPr>
        <w:t>）</w:t>
      </w:r>
      <w:r>
        <w:rPr>
          <w:rFonts w:ascii="Times New Roman" w:eastAsia="宋体" w:hAnsi="Times New Roman" w:cs="Times New Roman" w:hint="eastAsia"/>
        </w:rPr>
        <w:t>《牡丹江“十四五”生态环境保护规划》（</w:t>
      </w:r>
      <w:r>
        <w:rPr>
          <w:rFonts w:ascii="Times New Roman" w:eastAsia="宋体" w:hAnsi="Times New Roman" w:cs="Times New Roman" w:hint="eastAsia"/>
        </w:rPr>
        <w:t>2022</w:t>
      </w:r>
      <w:r>
        <w:rPr>
          <w:rFonts w:ascii="Times New Roman" w:eastAsia="宋体" w:hAnsi="Times New Roman" w:cs="Times New Roman" w:hint="eastAsia"/>
        </w:rPr>
        <w:t>年</w:t>
      </w:r>
      <w:r>
        <w:rPr>
          <w:rFonts w:ascii="Times New Roman" w:eastAsia="宋体" w:hAnsi="Times New Roman" w:cs="Times New Roman" w:hint="eastAsia"/>
        </w:rPr>
        <w:t>10</w:t>
      </w:r>
      <w:r>
        <w:rPr>
          <w:rFonts w:ascii="Times New Roman" w:eastAsia="宋体" w:hAnsi="Times New Roman" w:cs="Times New Roman" w:hint="eastAsia"/>
        </w:rPr>
        <w:t>月</w:t>
      </w:r>
      <w:r>
        <w:rPr>
          <w:rFonts w:ascii="Times New Roman" w:eastAsia="宋体" w:hAnsi="Times New Roman" w:cs="Times New Roman" w:hint="eastAsia"/>
        </w:rPr>
        <w:t>12</w:t>
      </w:r>
      <w:r>
        <w:rPr>
          <w:rFonts w:ascii="Times New Roman" w:eastAsia="宋体" w:hAnsi="Times New Roman" w:cs="Times New Roman" w:hint="eastAsia"/>
        </w:rPr>
        <w:t>日）</w:t>
      </w:r>
    </w:p>
    <w:p w14:paraId="27E62053" w14:textId="77777777" w:rsidR="009D12AF" w:rsidRDefault="00000000">
      <w:pPr>
        <w:ind w:firstLine="480"/>
      </w:pPr>
      <w:r>
        <w:rPr>
          <w:rFonts w:ascii="Times New Roman" w:hAnsi="Times New Roman" w:cs="Times New Roman" w:hint="eastAsia"/>
        </w:rPr>
        <w:t>（</w:t>
      </w:r>
      <w:r>
        <w:rPr>
          <w:rFonts w:ascii="Times New Roman" w:hAnsi="Times New Roman" w:cs="Times New Roman" w:hint="eastAsia"/>
        </w:rPr>
        <w:t>5</w:t>
      </w:r>
      <w:r>
        <w:rPr>
          <w:rFonts w:ascii="Times New Roman" w:hAnsi="Times New Roman" w:cs="Times New Roman" w:hint="eastAsia"/>
        </w:rPr>
        <w:t>）</w:t>
      </w:r>
      <w:r>
        <w:rPr>
          <w:rFonts w:hint="eastAsia"/>
        </w:rPr>
        <w:t>《黑龙江省生态环境保护“十四五”规划》</w:t>
      </w:r>
    </w:p>
    <w:p w14:paraId="4272D72F" w14:textId="77777777" w:rsidR="009D12AF" w:rsidRDefault="00000000">
      <w:pPr>
        <w:ind w:firstLine="480"/>
      </w:pPr>
      <w:r>
        <w:rPr>
          <w:rFonts w:ascii="Times New Roman" w:hAnsi="Times New Roman" w:cs="Times New Roman" w:hint="eastAsia"/>
        </w:rPr>
        <w:t>（</w:t>
      </w:r>
      <w:r>
        <w:rPr>
          <w:rFonts w:ascii="Times New Roman" w:hAnsi="Times New Roman" w:cs="Times New Roman" w:hint="eastAsia"/>
        </w:rPr>
        <w:t>6</w:t>
      </w:r>
      <w:r>
        <w:rPr>
          <w:rFonts w:ascii="Times New Roman" w:hAnsi="Times New Roman" w:cs="Times New Roman" w:hint="eastAsia"/>
        </w:rPr>
        <w:t>）</w:t>
      </w:r>
      <w:r>
        <w:rPr>
          <w:rFonts w:hint="eastAsia"/>
        </w:rPr>
        <w:t>《黑龙江省水资源保护“十四五”规划》</w:t>
      </w:r>
    </w:p>
    <w:p w14:paraId="4AB60768" w14:textId="77777777" w:rsidR="009D12AF" w:rsidRDefault="00000000">
      <w:pPr>
        <w:ind w:firstLine="480"/>
      </w:pPr>
      <w:r>
        <w:rPr>
          <w:rFonts w:ascii="Times New Roman" w:hAnsi="Times New Roman" w:cs="Times New Roman" w:hint="eastAsia"/>
        </w:rPr>
        <w:t>（</w:t>
      </w:r>
      <w:r>
        <w:rPr>
          <w:rFonts w:ascii="Times New Roman" w:hAnsi="Times New Roman" w:cs="Times New Roman" w:hint="eastAsia"/>
        </w:rPr>
        <w:t>7</w:t>
      </w:r>
      <w:r>
        <w:rPr>
          <w:rFonts w:ascii="Times New Roman" w:hAnsi="Times New Roman" w:cs="Times New Roman" w:hint="eastAsia"/>
        </w:rPr>
        <w:t>）</w:t>
      </w:r>
      <w:r>
        <w:rPr>
          <w:rFonts w:hint="eastAsia"/>
        </w:rPr>
        <w:t>《黑龙江省国民经济和社会发展第十四个五年规划和二〇三五年远景目标纲要》</w:t>
      </w:r>
    </w:p>
    <w:p w14:paraId="4446F8BF" w14:textId="77777777" w:rsidR="009D12AF" w:rsidRDefault="00000000">
      <w:pPr>
        <w:ind w:firstLine="480"/>
      </w:pPr>
      <w:r>
        <w:rPr>
          <w:rFonts w:ascii="Times New Roman" w:hAnsi="Times New Roman" w:cs="Times New Roman" w:hint="eastAsia"/>
        </w:rPr>
        <w:t>（</w:t>
      </w:r>
      <w:r>
        <w:rPr>
          <w:rFonts w:ascii="Times New Roman" w:hAnsi="Times New Roman" w:cs="Times New Roman" w:hint="eastAsia"/>
        </w:rPr>
        <w:t>8</w:t>
      </w:r>
      <w:r>
        <w:rPr>
          <w:rFonts w:ascii="Times New Roman" w:hAnsi="Times New Roman" w:cs="Times New Roman" w:hint="eastAsia"/>
        </w:rPr>
        <w:t>）</w:t>
      </w:r>
      <w:r>
        <w:t>《黑龙江省主体功能区规划》</w:t>
      </w:r>
    </w:p>
    <w:p w14:paraId="71C19AAA" w14:textId="77777777" w:rsidR="009D12AF" w:rsidRDefault="00000000">
      <w:pPr>
        <w:ind w:firstLine="480"/>
      </w:pPr>
      <w:r>
        <w:rPr>
          <w:rFonts w:ascii="Times New Roman" w:hAnsi="Times New Roman" w:cs="Times New Roman" w:hint="eastAsia"/>
        </w:rPr>
        <w:t>（</w:t>
      </w:r>
      <w:r>
        <w:rPr>
          <w:rFonts w:ascii="Times New Roman" w:hAnsi="Times New Roman" w:cs="Times New Roman" w:hint="eastAsia"/>
        </w:rPr>
        <w:t>9</w:t>
      </w:r>
      <w:r>
        <w:rPr>
          <w:rFonts w:ascii="Times New Roman" w:hAnsi="Times New Roman" w:cs="Times New Roman" w:hint="eastAsia"/>
        </w:rPr>
        <w:t>）</w:t>
      </w:r>
      <w:r>
        <w:t>《黑龙江省生态功能区划》</w:t>
      </w:r>
    </w:p>
    <w:p w14:paraId="2B575F73" w14:textId="77777777" w:rsidR="009D12AF" w:rsidRDefault="00000000">
      <w:pPr>
        <w:ind w:firstLine="480"/>
      </w:pPr>
      <w:r>
        <w:rPr>
          <w:rFonts w:ascii="Times New Roman" w:hAnsi="Times New Roman" w:cs="Times New Roman" w:hint="eastAsia"/>
        </w:rPr>
        <w:t>（</w:t>
      </w:r>
      <w:r>
        <w:rPr>
          <w:rFonts w:ascii="Times New Roman" w:hAnsi="Times New Roman" w:cs="Times New Roman" w:hint="eastAsia"/>
        </w:rPr>
        <w:t>10</w:t>
      </w:r>
      <w:r>
        <w:rPr>
          <w:rFonts w:ascii="Times New Roman" w:hAnsi="Times New Roman" w:cs="Times New Roman" w:hint="eastAsia"/>
        </w:rPr>
        <w:t>）《</w:t>
      </w:r>
      <w:r>
        <w:t>黑龙江省水</w:t>
      </w:r>
      <w:bookmarkStart w:id="48" w:name="_Hlk104901269"/>
      <w:r>
        <w:t>土保持规划</w:t>
      </w:r>
      <w:bookmarkEnd w:id="48"/>
      <w:r>
        <w:t>（</w:t>
      </w:r>
      <w:r>
        <w:rPr>
          <w:rFonts w:ascii="Times New Roman" w:eastAsia="宋体" w:hAnsi="Times New Roman" w:cs="Times New Roman" w:hint="eastAsia"/>
        </w:rPr>
        <w:t>2015-2030</w:t>
      </w:r>
      <w:r>
        <w:t>年）》</w:t>
      </w:r>
    </w:p>
    <w:p w14:paraId="51F583A3" w14:textId="77777777" w:rsidR="009D12AF" w:rsidRDefault="00000000">
      <w:pPr>
        <w:ind w:firstLine="480"/>
        <w:rPr>
          <w:spacing w:val="-4"/>
        </w:rPr>
      </w:pPr>
      <w:r>
        <w:rPr>
          <w:rFonts w:ascii="Times New Roman" w:hAnsi="Times New Roman" w:cs="Times New Roman" w:hint="eastAsia"/>
        </w:rPr>
        <w:t>（</w:t>
      </w:r>
      <w:r>
        <w:rPr>
          <w:rFonts w:ascii="Times New Roman" w:hAnsi="Times New Roman" w:cs="Times New Roman" w:hint="eastAsia"/>
        </w:rPr>
        <w:t>11</w:t>
      </w:r>
      <w:r>
        <w:rPr>
          <w:rFonts w:ascii="Times New Roman" w:hAnsi="Times New Roman" w:cs="Times New Roman" w:hint="eastAsia"/>
        </w:rPr>
        <w:t>）</w:t>
      </w:r>
      <w:r>
        <w:rPr>
          <w:spacing w:val="-4"/>
        </w:rPr>
        <w:t>《牡丹江市水土保持规划（</w:t>
      </w:r>
      <w:r>
        <w:rPr>
          <w:rFonts w:ascii="Times New Roman" w:eastAsia="宋体" w:hAnsi="Times New Roman" w:cs="Times New Roman" w:hint="eastAsia"/>
        </w:rPr>
        <w:t>2019~2030</w:t>
      </w:r>
      <w:r>
        <w:rPr>
          <w:spacing w:val="-4"/>
        </w:rPr>
        <w:t>年）》</w:t>
      </w:r>
    </w:p>
    <w:p w14:paraId="52C7DB48" w14:textId="77777777" w:rsidR="009D12AF" w:rsidRDefault="00000000">
      <w:pPr>
        <w:ind w:firstLine="480"/>
      </w:pPr>
      <w:r>
        <w:rPr>
          <w:rFonts w:hint="eastAsia"/>
        </w:rPr>
        <w:t>（</w:t>
      </w:r>
      <w:r>
        <w:rPr>
          <w:rFonts w:ascii="Times New Roman" w:eastAsia="宋体" w:hAnsi="Times New Roman" w:cs="Times New Roman" w:hint="eastAsia"/>
        </w:rPr>
        <w:t>12</w:t>
      </w:r>
      <w:r>
        <w:rPr>
          <w:rFonts w:ascii="Times New Roman" w:eastAsia="宋体" w:hAnsi="Times New Roman" w:cs="Times New Roman" w:hint="eastAsia"/>
        </w:rPr>
        <w:t>）</w:t>
      </w:r>
      <w:r>
        <w:rPr>
          <w:rFonts w:hint="eastAsia"/>
        </w:rPr>
        <w:t>黑龙江省人民政府办公厅《关于建设占用耕地耕作层土壤剥离利用工作的指导意见（试行）》</w:t>
      </w:r>
    </w:p>
    <w:p w14:paraId="5834358B" w14:textId="77777777" w:rsidR="009D12AF" w:rsidRDefault="00000000">
      <w:pPr>
        <w:ind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13</w:t>
      </w:r>
      <w:r>
        <w:rPr>
          <w:rFonts w:ascii="Times New Roman" w:hAnsi="Times New Roman" w:cs="Times New Roman"/>
        </w:rPr>
        <w:t>）《黑龙江省黑土地保护工程实施方案（</w:t>
      </w:r>
      <w:r>
        <w:rPr>
          <w:rFonts w:ascii="Times New Roman" w:hAnsi="Times New Roman" w:cs="Times New Roman"/>
        </w:rPr>
        <w:t>2021—2025</w:t>
      </w:r>
      <w:r>
        <w:rPr>
          <w:rFonts w:ascii="Times New Roman" w:hAnsi="Times New Roman" w:cs="Times New Roman"/>
        </w:rPr>
        <w:t>年）》</w:t>
      </w:r>
      <w:r>
        <w:rPr>
          <w:rFonts w:ascii="Times New Roman" w:hAnsi="Times New Roman" w:cs="Times New Roman" w:hint="eastAsia"/>
        </w:rPr>
        <w:t>；</w:t>
      </w:r>
    </w:p>
    <w:p w14:paraId="65F6EDE9" w14:textId="77777777" w:rsidR="009D12AF" w:rsidRDefault="00000000">
      <w:pPr>
        <w:ind w:firstLine="480"/>
        <w:rPr>
          <w:rFonts w:ascii="Times New Roman" w:hAnsi="Times New Roman" w:cs="Times New Roman"/>
        </w:rPr>
      </w:pPr>
      <w:r>
        <w:rPr>
          <w:rFonts w:ascii="Times New Roman" w:hAnsi="Times New Roman" w:cs="Times New Roman" w:hint="eastAsia"/>
        </w:rPr>
        <w:lastRenderedPageBreak/>
        <w:t>（</w:t>
      </w:r>
      <w:r>
        <w:rPr>
          <w:rFonts w:ascii="Times New Roman" w:hAnsi="Times New Roman" w:cs="Times New Roman" w:hint="eastAsia"/>
        </w:rPr>
        <w:t>14</w:t>
      </w:r>
      <w:r>
        <w:rPr>
          <w:rFonts w:ascii="Times New Roman" w:hAnsi="Times New Roman" w:cs="Times New Roman"/>
        </w:rPr>
        <w:t>）《黑龙江省黑土地保护利用条例》</w:t>
      </w:r>
      <w:r>
        <w:rPr>
          <w:rFonts w:ascii="Times New Roman" w:hAnsi="Times New Roman" w:cs="Times New Roman" w:hint="eastAsia"/>
        </w:rPr>
        <w:t>；</w:t>
      </w:r>
    </w:p>
    <w:p w14:paraId="4D11EA5F" w14:textId="77777777" w:rsidR="009D12AF" w:rsidRDefault="00000000">
      <w:pPr>
        <w:ind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15</w:t>
      </w:r>
      <w:r>
        <w:rPr>
          <w:rFonts w:ascii="Times New Roman" w:hAnsi="Times New Roman" w:cs="Times New Roman" w:hint="eastAsia"/>
        </w:rPr>
        <w:t>）</w:t>
      </w:r>
      <w:r>
        <w:rPr>
          <w:rFonts w:ascii="Times New Roman" w:hAnsi="Times New Roman" w:cs="Times New Roman"/>
        </w:rPr>
        <w:t>《东北黑土地保护规划纲要（</w:t>
      </w:r>
      <w:r>
        <w:rPr>
          <w:rFonts w:ascii="Times New Roman" w:hAnsi="Times New Roman" w:cs="Times New Roman"/>
        </w:rPr>
        <w:t>2017—2030</w:t>
      </w:r>
      <w:r>
        <w:rPr>
          <w:rFonts w:ascii="Times New Roman" w:hAnsi="Times New Roman" w:cs="Times New Roman"/>
        </w:rPr>
        <w:t>年）》</w:t>
      </w:r>
      <w:r>
        <w:rPr>
          <w:rFonts w:ascii="Times New Roman" w:hAnsi="Times New Roman" w:cs="Times New Roman" w:hint="eastAsia"/>
        </w:rPr>
        <w:t>；</w:t>
      </w:r>
    </w:p>
    <w:p w14:paraId="4359197A" w14:textId="77777777" w:rsidR="009D12AF" w:rsidRDefault="00000000">
      <w:pPr>
        <w:ind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16</w:t>
      </w:r>
      <w:r>
        <w:rPr>
          <w:rFonts w:ascii="Times New Roman" w:hAnsi="Times New Roman" w:cs="Times New Roman" w:hint="eastAsia"/>
        </w:rPr>
        <w:t>）</w:t>
      </w:r>
      <w:r>
        <w:rPr>
          <w:rFonts w:ascii="Times New Roman" w:hAnsi="Times New Roman" w:cs="Times New Roman"/>
        </w:rPr>
        <w:t>《东北黑土地保护性耕作行动计划（</w:t>
      </w:r>
      <w:r>
        <w:rPr>
          <w:rFonts w:ascii="Times New Roman" w:hAnsi="Times New Roman" w:cs="Times New Roman"/>
        </w:rPr>
        <w:t>2020—2025</w:t>
      </w:r>
      <w:r>
        <w:rPr>
          <w:rFonts w:ascii="Times New Roman" w:hAnsi="Times New Roman" w:cs="Times New Roman"/>
        </w:rPr>
        <w:t>年）》</w:t>
      </w:r>
      <w:r>
        <w:rPr>
          <w:rFonts w:ascii="Times New Roman" w:hAnsi="Times New Roman" w:cs="Times New Roman" w:hint="eastAsia"/>
        </w:rPr>
        <w:t>；</w:t>
      </w:r>
    </w:p>
    <w:p w14:paraId="4C33246D" w14:textId="77777777" w:rsidR="009D12AF" w:rsidRDefault="00000000">
      <w:pPr>
        <w:ind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17</w:t>
      </w:r>
      <w:r>
        <w:rPr>
          <w:rFonts w:ascii="Times New Roman" w:hAnsi="Times New Roman" w:cs="Times New Roman" w:hint="eastAsia"/>
        </w:rPr>
        <w:t>）</w:t>
      </w:r>
      <w:r>
        <w:rPr>
          <w:rFonts w:ascii="Times New Roman" w:hAnsi="Times New Roman" w:cs="Times New Roman"/>
        </w:rPr>
        <w:t>《黑龙江省</w:t>
      </w:r>
      <w:r>
        <w:rPr>
          <w:rFonts w:ascii="Times New Roman" w:hAnsi="Times New Roman" w:cs="Times New Roman"/>
        </w:rPr>
        <w:t>“</w:t>
      </w:r>
      <w:r>
        <w:rPr>
          <w:rFonts w:ascii="Times New Roman" w:hAnsi="Times New Roman" w:cs="Times New Roman"/>
        </w:rPr>
        <w:t>十四五</w:t>
      </w:r>
      <w:r>
        <w:rPr>
          <w:rFonts w:ascii="Times New Roman" w:hAnsi="Times New Roman" w:cs="Times New Roman"/>
        </w:rPr>
        <w:t>”</w:t>
      </w:r>
      <w:r>
        <w:rPr>
          <w:rFonts w:ascii="Times New Roman" w:hAnsi="Times New Roman" w:cs="Times New Roman"/>
        </w:rPr>
        <w:t>黑土地保护规划》</w:t>
      </w:r>
      <w:r>
        <w:rPr>
          <w:rFonts w:ascii="Times New Roman" w:hAnsi="Times New Roman" w:cs="Times New Roman" w:hint="eastAsia"/>
        </w:rPr>
        <w:t>；</w:t>
      </w:r>
    </w:p>
    <w:p w14:paraId="610951E5" w14:textId="77777777" w:rsidR="009D12AF" w:rsidRDefault="00000000">
      <w:pPr>
        <w:pStyle w:val="3"/>
      </w:pPr>
      <w:bookmarkStart w:id="49" w:name="_Toc25448"/>
      <w:r>
        <w:rPr>
          <w:rFonts w:hint="eastAsia"/>
        </w:rPr>
        <w:t>2.1.4</w:t>
      </w:r>
      <w:r>
        <w:rPr>
          <w:rFonts w:hint="eastAsia"/>
        </w:rPr>
        <w:t>其他技术资料</w:t>
      </w:r>
      <w:bookmarkEnd w:id="49"/>
    </w:p>
    <w:p w14:paraId="3D97B866" w14:textId="77777777" w:rsidR="009D12AF" w:rsidRDefault="00000000">
      <w:pPr>
        <w:ind w:firstLine="480"/>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w:t>
      </w:r>
      <w:r>
        <w:rPr>
          <w:rFonts w:hint="eastAsia"/>
        </w:rPr>
        <w:t>《海林市水库清淤与水生态治理项目清淤工程方案》</w:t>
      </w:r>
    </w:p>
    <w:p w14:paraId="008A04B7" w14:textId="77777777" w:rsidR="009D12AF" w:rsidRDefault="00000000">
      <w:pPr>
        <w:ind w:firstLine="480"/>
      </w:pP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hint="eastAsia"/>
        </w:rPr>
        <w:t>）</w:t>
      </w:r>
      <w:r>
        <w:rPr>
          <w:rFonts w:hint="eastAsia"/>
        </w:rPr>
        <w:t>《海林市水库水生态治理项目可行性研究报告》</w:t>
      </w:r>
    </w:p>
    <w:p w14:paraId="49E383EC" w14:textId="77777777" w:rsidR="009D12AF" w:rsidRDefault="00000000">
      <w:pPr>
        <w:pStyle w:val="2"/>
      </w:pPr>
      <w:bookmarkStart w:id="50" w:name="_Toc10398"/>
      <w:bookmarkStart w:id="51" w:name="_Toc9968"/>
      <w:bookmarkStart w:id="52" w:name="_Toc24181"/>
      <w:bookmarkStart w:id="53" w:name="_Toc27067"/>
      <w:r>
        <w:rPr>
          <w:rFonts w:hint="eastAsia"/>
        </w:rPr>
        <w:t>2</w:t>
      </w:r>
      <w:r>
        <w:t xml:space="preserve">.2 </w:t>
      </w:r>
      <w:r>
        <w:t>评价目的</w:t>
      </w:r>
      <w:bookmarkEnd w:id="50"/>
    </w:p>
    <w:p w14:paraId="3848CB5A" w14:textId="77777777" w:rsidR="009D12AF" w:rsidRDefault="00000000">
      <w:pPr>
        <w:ind w:firstLine="480"/>
      </w:pPr>
      <w:r>
        <w:t>1</w:t>
      </w:r>
      <w:r>
        <w:t>、根据区域的资源情况，结合国家相关产业政策、环境保护政策，分析论证本项目的环境可行性。</w:t>
      </w:r>
    </w:p>
    <w:p w14:paraId="5BAE2019" w14:textId="77777777" w:rsidR="009D12AF" w:rsidRDefault="00000000">
      <w:pPr>
        <w:ind w:firstLine="480"/>
      </w:pPr>
      <w:r>
        <w:t>2</w:t>
      </w:r>
      <w:r>
        <w:t>、通过调查及现场监测，了解项目所在地的自然环境特征，以及环境空气、地下水、声环境、土壤环境等主要环境要素的质量现状。</w:t>
      </w:r>
    </w:p>
    <w:p w14:paraId="42124835" w14:textId="77777777" w:rsidR="009D12AF" w:rsidRDefault="00000000">
      <w:pPr>
        <w:ind w:firstLine="480"/>
      </w:pPr>
      <w:r>
        <w:t>3</w:t>
      </w:r>
      <w:r>
        <w:t>、通过对建设项目建设地点及周围环境的综合现状调查和现场监测，了解和掌握该地区的环境污染现状。</w:t>
      </w:r>
    </w:p>
    <w:p w14:paraId="5268ED06" w14:textId="77777777" w:rsidR="009D12AF" w:rsidRDefault="00000000">
      <w:pPr>
        <w:ind w:firstLine="480"/>
      </w:pPr>
      <w:r>
        <w:t>4</w:t>
      </w:r>
      <w:r>
        <w:t>、对本项目建设与运行产生的不利影响有针对性提出生态保护措施、生态恢复措施以及污染防治措施等并进行可行性分析，预测污染物排放对周围环境可能造成的影响。</w:t>
      </w:r>
    </w:p>
    <w:p w14:paraId="1E59DBDE" w14:textId="77777777" w:rsidR="009D12AF" w:rsidRDefault="00000000">
      <w:pPr>
        <w:ind w:firstLine="480"/>
      </w:pPr>
      <w:r>
        <w:t>5</w:t>
      </w:r>
      <w:r>
        <w:t>、预测或分析本项目排放的污染物对周围环境造成的影响程度及范围。</w:t>
      </w:r>
    </w:p>
    <w:p w14:paraId="7854A192" w14:textId="77777777" w:rsidR="009D12AF" w:rsidRDefault="00000000">
      <w:pPr>
        <w:ind w:firstLine="480"/>
      </w:pPr>
      <w:r>
        <w:t>6</w:t>
      </w:r>
      <w:r>
        <w:t>、结合当前技术经济条件，提出技术经济可行的污染防治措施和生态保护措施。</w:t>
      </w:r>
    </w:p>
    <w:p w14:paraId="61C75AA5" w14:textId="77777777" w:rsidR="009D12AF" w:rsidRDefault="00000000">
      <w:pPr>
        <w:ind w:firstLine="480"/>
      </w:pPr>
      <w:r>
        <w:t>7</w:t>
      </w:r>
      <w:r>
        <w:t>、通过公众参与，引导公众参与到项目建设期和运行期的环境保护监督中，避免因项目建设的影响而产生社会公众矛盾。</w:t>
      </w:r>
    </w:p>
    <w:p w14:paraId="37ED487B" w14:textId="77777777" w:rsidR="009D12AF" w:rsidRDefault="00000000">
      <w:pPr>
        <w:ind w:firstLine="480"/>
        <w:rPr>
          <w:color w:val="FF0000"/>
          <w:highlight w:val="yellow"/>
        </w:rPr>
      </w:pPr>
      <w:r>
        <w:t>8</w:t>
      </w:r>
      <w:r>
        <w:t>、从环境的角度考虑，分析项目环境的可行性；同时为项目的设计及环境管理提供科学依据；促进建设项目经济效益、社会效益、环境效益的协调发展。</w:t>
      </w:r>
      <w:bookmarkEnd w:id="51"/>
      <w:bookmarkEnd w:id="52"/>
      <w:bookmarkEnd w:id="53"/>
    </w:p>
    <w:p w14:paraId="250256AD" w14:textId="77777777" w:rsidR="009D12AF" w:rsidRDefault="009D12AF">
      <w:pPr>
        <w:ind w:firstLine="480"/>
        <w:rPr>
          <w:highlight w:val="yellow"/>
        </w:rPr>
      </w:pPr>
    </w:p>
    <w:p w14:paraId="65C3E2F8" w14:textId="77777777" w:rsidR="009D12AF" w:rsidRDefault="00000000">
      <w:pPr>
        <w:pStyle w:val="2"/>
      </w:pPr>
      <w:bookmarkStart w:id="54" w:name="_Toc18476"/>
      <w:r>
        <w:rPr>
          <w:rFonts w:hint="eastAsia"/>
        </w:rPr>
        <w:lastRenderedPageBreak/>
        <w:t>2</w:t>
      </w:r>
      <w:r>
        <w:t xml:space="preserve">.3 </w:t>
      </w:r>
      <w:r>
        <w:t>评价工作原则</w:t>
      </w:r>
      <w:bookmarkEnd w:id="54"/>
    </w:p>
    <w:p w14:paraId="26E71FCF" w14:textId="77777777" w:rsidR="009D12AF" w:rsidRDefault="00000000">
      <w:pPr>
        <w:ind w:firstLine="480"/>
      </w:pPr>
      <w:r>
        <w:t>1</w:t>
      </w:r>
      <w:r>
        <w:t>、依法评价，评价中认真贯彻执行国家和地方有关环境保护相关法律法规、标准、政策、规范、相关规划等的相关要求，优化建设项目，服务环境管理。</w:t>
      </w:r>
    </w:p>
    <w:p w14:paraId="0BBC0844" w14:textId="77777777" w:rsidR="009D12AF" w:rsidRDefault="00000000">
      <w:pPr>
        <w:ind w:firstLine="480"/>
      </w:pPr>
      <w:r>
        <w:t>2</w:t>
      </w:r>
      <w:r>
        <w:t>、科学评价，规范环境影响评价方法，科学分析项目建设对环境质量的影响。</w:t>
      </w:r>
    </w:p>
    <w:p w14:paraId="4795D7CB" w14:textId="77777777" w:rsidR="009D12AF" w:rsidRDefault="00000000">
      <w:pPr>
        <w:ind w:firstLine="480"/>
      </w:pPr>
      <w:r>
        <w:t>3</w:t>
      </w:r>
      <w:r>
        <w:t>、突出重点，根据建设项目的工程内容及其特点，明确与环境要素间的作用效应关系，充分利用符合时效的数据资料及成果，对建设项目主要环境影响。</w:t>
      </w:r>
    </w:p>
    <w:p w14:paraId="5A845E56" w14:textId="77777777" w:rsidR="009D12AF" w:rsidRDefault="00000000">
      <w:pPr>
        <w:ind w:firstLine="480"/>
      </w:pPr>
      <w:r>
        <w:t>4</w:t>
      </w:r>
      <w:r>
        <w:t>、充分收集和利用评价范围内有效的环境监测资料或背景值资料。</w:t>
      </w:r>
    </w:p>
    <w:p w14:paraId="2323F00C" w14:textId="77777777" w:rsidR="009D12AF" w:rsidRDefault="00000000">
      <w:pPr>
        <w:pStyle w:val="2"/>
      </w:pPr>
      <w:bookmarkStart w:id="55" w:name="_Toc6176"/>
      <w:r>
        <w:rPr>
          <w:rFonts w:hint="eastAsia"/>
        </w:rPr>
        <w:t>2</w:t>
      </w:r>
      <w:r>
        <w:t>.</w:t>
      </w:r>
      <w:r>
        <w:rPr>
          <w:rFonts w:hint="eastAsia"/>
        </w:rPr>
        <w:t>4</w:t>
      </w:r>
      <w:r>
        <w:t xml:space="preserve"> </w:t>
      </w:r>
      <w:r>
        <w:t>环境影响因素与评价因子筛选</w:t>
      </w:r>
      <w:bookmarkEnd w:id="55"/>
    </w:p>
    <w:p w14:paraId="34BCB7EE" w14:textId="77777777" w:rsidR="009D12AF" w:rsidRDefault="00000000">
      <w:pPr>
        <w:pStyle w:val="3"/>
      </w:pPr>
      <w:bookmarkStart w:id="56" w:name="_Toc23239"/>
      <w:bookmarkStart w:id="57" w:name="_Toc11605"/>
      <w:bookmarkStart w:id="58" w:name="_Toc26927"/>
      <w:bookmarkStart w:id="59" w:name="_Toc26591"/>
      <w:r>
        <w:rPr>
          <w:rFonts w:hint="eastAsia"/>
        </w:rPr>
        <w:t>2</w:t>
      </w:r>
      <w:r>
        <w:t>.</w:t>
      </w:r>
      <w:r>
        <w:rPr>
          <w:rFonts w:hint="eastAsia"/>
        </w:rPr>
        <w:t>4</w:t>
      </w:r>
      <w:r>
        <w:t xml:space="preserve">.1 </w:t>
      </w:r>
      <w:r>
        <w:t>环境影响因素</w:t>
      </w:r>
      <w:bookmarkEnd w:id="56"/>
      <w:bookmarkEnd w:id="57"/>
      <w:bookmarkEnd w:id="58"/>
      <w:bookmarkEnd w:id="59"/>
    </w:p>
    <w:p w14:paraId="46E8E872" w14:textId="77777777" w:rsidR="009D12AF" w:rsidRDefault="00000000">
      <w:pPr>
        <w:ind w:firstLine="480"/>
      </w:pPr>
      <w:r>
        <w:t>1</w:t>
      </w:r>
      <w:r>
        <w:t>、环境影响识别和评价指标体系确定</w:t>
      </w:r>
    </w:p>
    <w:p w14:paraId="702A4616" w14:textId="77777777" w:rsidR="009D12AF" w:rsidRDefault="00000000">
      <w:pPr>
        <w:ind w:firstLine="480"/>
      </w:pPr>
      <w:r>
        <w:t>根据本项目的项目特点及项目所在区域的环境特征分析，就本项目对环境的影响进行识别，环境影响因素识别矩阵见下表。</w:t>
      </w:r>
    </w:p>
    <w:p w14:paraId="20CFB0AE" w14:textId="77777777" w:rsidR="009D12AF" w:rsidRDefault="00000000">
      <w:pPr>
        <w:pStyle w:val="a6"/>
        <w:adjustRightInd w:val="0"/>
        <w:snapToGrid w:val="0"/>
        <w:spacing w:line="360" w:lineRule="auto"/>
        <w:ind w:firstLineChars="200" w:firstLine="480"/>
        <w:rPr>
          <w:smallCaps w:val="0"/>
          <w:sz w:val="24"/>
          <w:szCs w:val="28"/>
          <w:lang w:val="zh-CN"/>
        </w:rPr>
      </w:pPr>
      <w:r>
        <w:rPr>
          <w:smallCaps w:val="0"/>
          <w:sz w:val="24"/>
          <w:szCs w:val="28"/>
        </w:rPr>
        <w:t>根据工程建设内容、施工工艺、排放污染物的种类、数量并结合评价区的环境特征，按施工期、运行期</w:t>
      </w:r>
      <w:r>
        <w:rPr>
          <w:smallCaps w:val="0"/>
          <w:sz w:val="24"/>
          <w:szCs w:val="28"/>
        </w:rPr>
        <w:t>2</w:t>
      </w:r>
      <w:r>
        <w:rPr>
          <w:smallCaps w:val="0"/>
          <w:sz w:val="24"/>
          <w:szCs w:val="28"/>
        </w:rPr>
        <w:t>个时段对本项目主要环境影响因素、影响类型和影响程度进行识别，</w:t>
      </w:r>
      <w:r>
        <w:rPr>
          <w:smallCaps w:val="0"/>
          <w:sz w:val="24"/>
          <w:szCs w:val="28"/>
          <w:lang w:val="zh-CN"/>
        </w:rPr>
        <w:t>识别结果见表</w:t>
      </w:r>
      <w:r>
        <w:rPr>
          <w:smallCaps w:val="0"/>
          <w:sz w:val="24"/>
          <w:szCs w:val="28"/>
          <w:lang w:val="zh-CN"/>
        </w:rPr>
        <w:t>2</w:t>
      </w:r>
      <w:r>
        <w:rPr>
          <w:rFonts w:hint="eastAsia"/>
          <w:smallCaps w:val="0"/>
          <w:sz w:val="24"/>
          <w:szCs w:val="28"/>
        </w:rPr>
        <w:t>.</w:t>
      </w:r>
      <w:r>
        <w:rPr>
          <w:smallCaps w:val="0"/>
          <w:sz w:val="24"/>
          <w:szCs w:val="28"/>
          <w:lang w:val="zh-CN"/>
        </w:rPr>
        <w:t>4-1</w:t>
      </w:r>
      <w:r>
        <w:rPr>
          <w:smallCaps w:val="0"/>
          <w:sz w:val="24"/>
          <w:szCs w:val="28"/>
          <w:lang w:val="zh-CN"/>
        </w:rPr>
        <w:t>。</w:t>
      </w:r>
    </w:p>
    <w:p w14:paraId="5AB9D242" w14:textId="77777777" w:rsidR="009D12AF" w:rsidRDefault="00000000">
      <w:pPr>
        <w:pStyle w:val="TOC2"/>
        <w:adjustRightInd w:val="0"/>
        <w:snapToGrid w:val="0"/>
        <w:spacing w:line="240" w:lineRule="auto"/>
        <w:ind w:left="480" w:firstLine="482"/>
        <w:jc w:val="center"/>
        <w:rPr>
          <w:b/>
          <w:snapToGrid w:val="0"/>
        </w:rPr>
      </w:pPr>
      <w:r>
        <w:rPr>
          <w:b/>
          <w:snapToGrid w:val="0"/>
        </w:rPr>
        <w:t>表</w:t>
      </w:r>
      <w:r>
        <w:rPr>
          <w:b/>
          <w:snapToGrid w:val="0"/>
        </w:rPr>
        <w:t>2</w:t>
      </w:r>
      <w:r>
        <w:rPr>
          <w:rFonts w:hint="eastAsia"/>
          <w:b/>
          <w:snapToGrid w:val="0"/>
        </w:rPr>
        <w:t>.</w:t>
      </w:r>
      <w:r>
        <w:rPr>
          <w:b/>
          <w:snapToGrid w:val="0"/>
        </w:rPr>
        <w:t xml:space="preserve">4-1  </w:t>
      </w:r>
      <w:r>
        <w:rPr>
          <w:b/>
          <w:snapToGrid w:val="0"/>
        </w:rPr>
        <w:t>工程环境影响因子识别表</w:t>
      </w:r>
    </w:p>
    <w:tbl>
      <w:tblPr>
        <w:tblW w:w="0" w:type="auto"/>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36"/>
        <w:gridCol w:w="1116"/>
        <w:gridCol w:w="627"/>
        <w:gridCol w:w="708"/>
        <w:gridCol w:w="709"/>
        <w:gridCol w:w="709"/>
        <w:gridCol w:w="708"/>
        <w:gridCol w:w="709"/>
        <w:gridCol w:w="709"/>
        <w:gridCol w:w="617"/>
      </w:tblGrid>
      <w:tr w:rsidR="009D12AF" w14:paraId="1FA8DC2E" w14:textId="77777777">
        <w:trPr>
          <w:trHeight w:val="397"/>
          <w:tblHeader/>
          <w:jc w:val="center"/>
        </w:trPr>
        <w:tc>
          <w:tcPr>
            <w:tcW w:w="2052" w:type="dxa"/>
            <w:gridSpan w:val="2"/>
            <w:vMerge w:val="restart"/>
            <w:vAlign w:val="center"/>
          </w:tcPr>
          <w:p w14:paraId="25C42005" w14:textId="77777777" w:rsidR="009D12AF" w:rsidRDefault="00000000">
            <w:pPr>
              <w:adjustRightInd w:val="0"/>
              <w:snapToGrid w:val="0"/>
              <w:spacing w:line="240" w:lineRule="auto"/>
              <w:ind w:firstLineChars="0" w:firstLine="0"/>
              <w:jc w:val="center"/>
              <w:rPr>
                <w:bCs/>
                <w:sz w:val="18"/>
                <w:szCs w:val="18"/>
              </w:rPr>
            </w:pPr>
            <w:r>
              <w:rPr>
                <w:bCs/>
                <w:sz w:val="18"/>
                <w:szCs w:val="18"/>
              </w:rPr>
              <w:t>环境要素</w:t>
            </w:r>
          </w:p>
        </w:tc>
        <w:tc>
          <w:tcPr>
            <w:tcW w:w="2753" w:type="dxa"/>
            <w:gridSpan w:val="4"/>
            <w:vAlign w:val="center"/>
          </w:tcPr>
          <w:p w14:paraId="700D24D3" w14:textId="77777777" w:rsidR="009D12AF" w:rsidRDefault="00000000">
            <w:pPr>
              <w:adjustRightInd w:val="0"/>
              <w:snapToGrid w:val="0"/>
              <w:spacing w:line="240" w:lineRule="auto"/>
              <w:ind w:firstLineChars="0" w:firstLine="0"/>
              <w:jc w:val="center"/>
              <w:rPr>
                <w:bCs/>
                <w:sz w:val="18"/>
                <w:szCs w:val="18"/>
              </w:rPr>
            </w:pPr>
            <w:r>
              <w:rPr>
                <w:bCs/>
                <w:sz w:val="18"/>
                <w:szCs w:val="18"/>
              </w:rPr>
              <w:t>施工期</w:t>
            </w:r>
          </w:p>
        </w:tc>
        <w:tc>
          <w:tcPr>
            <w:tcW w:w="2743" w:type="dxa"/>
            <w:gridSpan w:val="4"/>
            <w:vAlign w:val="center"/>
          </w:tcPr>
          <w:p w14:paraId="434A97A8" w14:textId="77777777" w:rsidR="009D12AF" w:rsidRDefault="00000000">
            <w:pPr>
              <w:adjustRightInd w:val="0"/>
              <w:snapToGrid w:val="0"/>
              <w:spacing w:line="240" w:lineRule="auto"/>
              <w:ind w:firstLineChars="0" w:firstLine="0"/>
              <w:jc w:val="center"/>
              <w:rPr>
                <w:bCs/>
                <w:sz w:val="18"/>
                <w:szCs w:val="18"/>
              </w:rPr>
            </w:pPr>
            <w:r>
              <w:rPr>
                <w:bCs/>
                <w:sz w:val="18"/>
                <w:szCs w:val="18"/>
              </w:rPr>
              <w:t>运行期</w:t>
            </w:r>
          </w:p>
        </w:tc>
      </w:tr>
      <w:tr w:rsidR="009D12AF" w14:paraId="097B0FB5" w14:textId="77777777">
        <w:trPr>
          <w:trHeight w:val="397"/>
          <w:tblHeader/>
          <w:jc w:val="center"/>
        </w:trPr>
        <w:tc>
          <w:tcPr>
            <w:tcW w:w="2052" w:type="dxa"/>
            <w:gridSpan w:val="2"/>
            <w:vMerge/>
            <w:vAlign w:val="center"/>
          </w:tcPr>
          <w:p w14:paraId="2C138384" w14:textId="77777777" w:rsidR="009D12AF" w:rsidRDefault="009D12AF">
            <w:pPr>
              <w:adjustRightInd w:val="0"/>
              <w:snapToGrid w:val="0"/>
              <w:spacing w:line="240" w:lineRule="auto"/>
              <w:ind w:firstLineChars="0" w:firstLine="0"/>
              <w:jc w:val="center"/>
              <w:rPr>
                <w:bCs/>
                <w:sz w:val="18"/>
                <w:szCs w:val="18"/>
              </w:rPr>
            </w:pPr>
          </w:p>
        </w:tc>
        <w:tc>
          <w:tcPr>
            <w:tcW w:w="627" w:type="dxa"/>
            <w:vAlign w:val="center"/>
          </w:tcPr>
          <w:p w14:paraId="03A91847" w14:textId="77777777" w:rsidR="009D12AF" w:rsidRDefault="00000000">
            <w:pPr>
              <w:adjustRightInd w:val="0"/>
              <w:snapToGrid w:val="0"/>
              <w:spacing w:line="240" w:lineRule="auto"/>
              <w:ind w:firstLineChars="0" w:firstLine="0"/>
              <w:jc w:val="center"/>
              <w:rPr>
                <w:bCs/>
                <w:sz w:val="18"/>
                <w:szCs w:val="18"/>
              </w:rPr>
            </w:pPr>
            <w:r>
              <w:rPr>
                <w:rFonts w:hint="eastAsia"/>
                <w:sz w:val="18"/>
                <w:szCs w:val="18"/>
              </w:rPr>
              <w:t>生态修复工程</w:t>
            </w:r>
          </w:p>
        </w:tc>
        <w:tc>
          <w:tcPr>
            <w:tcW w:w="708" w:type="dxa"/>
            <w:vAlign w:val="center"/>
          </w:tcPr>
          <w:p w14:paraId="09150D8D" w14:textId="77777777" w:rsidR="009D12AF" w:rsidRDefault="00000000">
            <w:pPr>
              <w:adjustRightInd w:val="0"/>
              <w:snapToGrid w:val="0"/>
              <w:spacing w:line="240" w:lineRule="auto"/>
              <w:ind w:firstLineChars="0" w:firstLine="0"/>
              <w:jc w:val="center"/>
              <w:rPr>
                <w:bCs/>
                <w:sz w:val="18"/>
                <w:szCs w:val="18"/>
              </w:rPr>
            </w:pPr>
            <w:r>
              <w:rPr>
                <w:sz w:val="18"/>
                <w:szCs w:val="18"/>
              </w:rPr>
              <w:t>河</w:t>
            </w:r>
            <w:r>
              <w:rPr>
                <w:rFonts w:hint="eastAsia"/>
                <w:sz w:val="18"/>
                <w:szCs w:val="18"/>
              </w:rPr>
              <w:t>库</w:t>
            </w:r>
            <w:r>
              <w:rPr>
                <w:sz w:val="18"/>
                <w:szCs w:val="18"/>
              </w:rPr>
              <w:t>清淤工程</w:t>
            </w:r>
          </w:p>
        </w:tc>
        <w:tc>
          <w:tcPr>
            <w:tcW w:w="709" w:type="dxa"/>
            <w:vAlign w:val="center"/>
          </w:tcPr>
          <w:p w14:paraId="07B57EB7" w14:textId="77777777" w:rsidR="009D12AF" w:rsidRDefault="00000000">
            <w:pPr>
              <w:adjustRightInd w:val="0"/>
              <w:snapToGrid w:val="0"/>
              <w:spacing w:line="240" w:lineRule="auto"/>
              <w:ind w:firstLineChars="0" w:firstLine="0"/>
              <w:jc w:val="center"/>
              <w:rPr>
                <w:bCs/>
                <w:sz w:val="18"/>
                <w:szCs w:val="18"/>
              </w:rPr>
            </w:pPr>
            <w:r>
              <w:rPr>
                <w:rFonts w:hint="eastAsia"/>
                <w:sz w:val="18"/>
                <w:szCs w:val="18"/>
              </w:rPr>
              <w:t>河库</w:t>
            </w:r>
            <w:r>
              <w:rPr>
                <w:sz w:val="18"/>
                <w:szCs w:val="18"/>
              </w:rPr>
              <w:t>垃圾清理工程</w:t>
            </w:r>
          </w:p>
        </w:tc>
        <w:tc>
          <w:tcPr>
            <w:tcW w:w="709" w:type="dxa"/>
            <w:vAlign w:val="center"/>
          </w:tcPr>
          <w:p w14:paraId="58CAF790" w14:textId="77777777" w:rsidR="009D12AF" w:rsidRDefault="00000000">
            <w:pPr>
              <w:adjustRightInd w:val="0"/>
              <w:snapToGrid w:val="0"/>
              <w:spacing w:line="240" w:lineRule="auto"/>
              <w:ind w:firstLineChars="0" w:firstLine="0"/>
              <w:jc w:val="center"/>
              <w:rPr>
                <w:bCs/>
                <w:sz w:val="18"/>
                <w:szCs w:val="18"/>
              </w:rPr>
            </w:pPr>
            <w:r>
              <w:rPr>
                <w:bCs/>
                <w:sz w:val="18"/>
                <w:szCs w:val="18"/>
              </w:rPr>
              <w:t>重要评价因子筛选</w:t>
            </w:r>
          </w:p>
        </w:tc>
        <w:tc>
          <w:tcPr>
            <w:tcW w:w="708" w:type="dxa"/>
            <w:vAlign w:val="center"/>
          </w:tcPr>
          <w:p w14:paraId="7D883B48" w14:textId="77777777" w:rsidR="009D12AF" w:rsidRDefault="00000000">
            <w:pPr>
              <w:adjustRightInd w:val="0"/>
              <w:snapToGrid w:val="0"/>
              <w:spacing w:line="240" w:lineRule="auto"/>
              <w:ind w:firstLineChars="0" w:firstLine="0"/>
              <w:jc w:val="center"/>
              <w:rPr>
                <w:bCs/>
                <w:sz w:val="18"/>
                <w:szCs w:val="18"/>
              </w:rPr>
            </w:pPr>
            <w:r>
              <w:rPr>
                <w:sz w:val="18"/>
                <w:szCs w:val="18"/>
              </w:rPr>
              <w:t>生态</w:t>
            </w:r>
            <w:r>
              <w:rPr>
                <w:rFonts w:hint="eastAsia"/>
                <w:sz w:val="18"/>
                <w:szCs w:val="18"/>
              </w:rPr>
              <w:t>修复</w:t>
            </w:r>
            <w:r>
              <w:rPr>
                <w:sz w:val="18"/>
                <w:szCs w:val="18"/>
              </w:rPr>
              <w:t>工程</w:t>
            </w:r>
          </w:p>
        </w:tc>
        <w:tc>
          <w:tcPr>
            <w:tcW w:w="709" w:type="dxa"/>
            <w:vAlign w:val="center"/>
          </w:tcPr>
          <w:p w14:paraId="6E572F8A" w14:textId="77777777" w:rsidR="009D12AF" w:rsidRDefault="00000000">
            <w:pPr>
              <w:adjustRightInd w:val="0"/>
              <w:snapToGrid w:val="0"/>
              <w:spacing w:line="240" w:lineRule="auto"/>
              <w:ind w:firstLineChars="0" w:firstLine="0"/>
              <w:jc w:val="center"/>
              <w:rPr>
                <w:bCs/>
                <w:sz w:val="18"/>
                <w:szCs w:val="18"/>
              </w:rPr>
            </w:pPr>
            <w:r>
              <w:rPr>
                <w:sz w:val="18"/>
                <w:szCs w:val="18"/>
              </w:rPr>
              <w:t>河</w:t>
            </w:r>
            <w:r>
              <w:rPr>
                <w:rFonts w:hint="eastAsia"/>
                <w:sz w:val="18"/>
                <w:szCs w:val="18"/>
              </w:rPr>
              <w:t>库</w:t>
            </w:r>
            <w:r>
              <w:rPr>
                <w:sz w:val="18"/>
                <w:szCs w:val="18"/>
              </w:rPr>
              <w:t>清淤工程</w:t>
            </w:r>
          </w:p>
        </w:tc>
        <w:tc>
          <w:tcPr>
            <w:tcW w:w="709" w:type="dxa"/>
            <w:vAlign w:val="center"/>
          </w:tcPr>
          <w:p w14:paraId="21C7C10A" w14:textId="77777777" w:rsidR="009D12AF" w:rsidRDefault="00000000">
            <w:pPr>
              <w:adjustRightInd w:val="0"/>
              <w:snapToGrid w:val="0"/>
              <w:spacing w:line="240" w:lineRule="auto"/>
              <w:ind w:firstLineChars="0" w:firstLine="0"/>
              <w:jc w:val="center"/>
              <w:rPr>
                <w:bCs/>
                <w:sz w:val="18"/>
                <w:szCs w:val="18"/>
              </w:rPr>
            </w:pPr>
            <w:r>
              <w:rPr>
                <w:sz w:val="18"/>
                <w:szCs w:val="18"/>
              </w:rPr>
              <w:t>河</w:t>
            </w:r>
            <w:r>
              <w:rPr>
                <w:rFonts w:hint="eastAsia"/>
                <w:sz w:val="18"/>
                <w:szCs w:val="18"/>
              </w:rPr>
              <w:t>库</w:t>
            </w:r>
            <w:r>
              <w:rPr>
                <w:sz w:val="18"/>
                <w:szCs w:val="18"/>
              </w:rPr>
              <w:t>垃圾清理工程</w:t>
            </w:r>
          </w:p>
        </w:tc>
        <w:tc>
          <w:tcPr>
            <w:tcW w:w="617" w:type="dxa"/>
            <w:vAlign w:val="center"/>
          </w:tcPr>
          <w:p w14:paraId="07455283" w14:textId="77777777" w:rsidR="009D12AF" w:rsidRDefault="00000000">
            <w:pPr>
              <w:adjustRightInd w:val="0"/>
              <w:snapToGrid w:val="0"/>
              <w:spacing w:line="240" w:lineRule="auto"/>
              <w:ind w:firstLineChars="0" w:firstLine="0"/>
              <w:jc w:val="center"/>
              <w:rPr>
                <w:bCs/>
                <w:sz w:val="18"/>
                <w:szCs w:val="18"/>
              </w:rPr>
            </w:pPr>
            <w:r>
              <w:rPr>
                <w:bCs/>
                <w:sz w:val="18"/>
                <w:szCs w:val="18"/>
              </w:rPr>
              <w:t>重要评价因子筛选</w:t>
            </w:r>
          </w:p>
        </w:tc>
      </w:tr>
      <w:tr w:rsidR="009D12AF" w14:paraId="4831A614" w14:textId="77777777">
        <w:trPr>
          <w:trHeight w:val="397"/>
          <w:jc w:val="center"/>
        </w:trPr>
        <w:tc>
          <w:tcPr>
            <w:tcW w:w="0" w:type="auto"/>
            <w:vMerge w:val="restart"/>
            <w:vAlign w:val="center"/>
          </w:tcPr>
          <w:p w14:paraId="51165B5C" w14:textId="77777777" w:rsidR="009D12AF" w:rsidRDefault="00000000">
            <w:pPr>
              <w:adjustRightInd w:val="0"/>
              <w:snapToGrid w:val="0"/>
              <w:spacing w:line="240" w:lineRule="auto"/>
              <w:ind w:firstLineChars="0" w:firstLine="0"/>
              <w:jc w:val="center"/>
              <w:rPr>
                <w:bCs/>
                <w:sz w:val="18"/>
                <w:szCs w:val="18"/>
              </w:rPr>
            </w:pPr>
            <w:r>
              <w:rPr>
                <w:bCs/>
                <w:sz w:val="18"/>
                <w:szCs w:val="18"/>
              </w:rPr>
              <w:t>生态环境</w:t>
            </w:r>
          </w:p>
        </w:tc>
        <w:tc>
          <w:tcPr>
            <w:tcW w:w="1116" w:type="dxa"/>
            <w:vAlign w:val="center"/>
          </w:tcPr>
          <w:p w14:paraId="61BBB2A2" w14:textId="77777777" w:rsidR="009D12AF" w:rsidRDefault="00000000">
            <w:pPr>
              <w:adjustRightInd w:val="0"/>
              <w:snapToGrid w:val="0"/>
              <w:spacing w:line="240" w:lineRule="auto"/>
              <w:ind w:firstLineChars="0" w:firstLine="0"/>
              <w:jc w:val="center"/>
              <w:rPr>
                <w:bCs/>
                <w:sz w:val="18"/>
                <w:szCs w:val="18"/>
              </w:rPr>
            </w:pPr>
            <w:r>
              <w:rPr>
                <w:bCs/>
                <w:sz w:val="18"/>
                <w:szCs w:val="18"/>
              </w:rPr>
              <w:t>陆生植物</w:t>
            </w:r>
          </w:p>
        </w:tc>
        <w:tc>
          <w:tcPr>
            <w:tcW w:w="627" w:type="dxa"/>
            <w:noWrap/>
            <w:vAlign w:val="center"/>
          </w:tcPr>
          <w:p w14:paraId="78C0E55D" w14:textId="77777777" w:rsidR="009D12AF" w:rsidRDefault="00000000">
            <w:pPr>
              <w:adjustRightInd w:val="0"/>
              <w:snapToGrid w:val="0"/>
              <w:spacing w:line="240" w:lineRule="auto"/>
              <w:ind w:firstLineChars="0" w:firstLine="0"/>
              <w:jc w:val="center"/>
              <w:rPr>
                <w:sz w:val="18"/>
                <w:szCs w:val="18"/>
              </w:rPr>
            </w:pPr>
            <w:r>
              <w:rPr>
                <w:sz w:val="18"/>
                <w:szCs w:val="18"/>
              </w:rPr>
              <w:t>▲1</w:t>
            </w:r>
          </w:p>
        </w:tc>
        <w:tc>
          <w:tcPr>
            <w:tcW w:w="708" w:type="dxa"/>
            <w:noWrap/>
            <w:vAlign w:val="center"/>
          </w:tcPr>
          <w:p w14:paraId="1B2C0BEF" w14:textId="77777777" w:rsidR="009D12AF" w:rsidRDefault="00000000">
            <w:pPr>
              <w:adjustRightInd w:val="0"/>
              <w:snapToGrid w:val="0"/>
              <w:spacing w:line="240" w:lineRule="auto"/>
              <w:ind w:firstLineChars="0" w:firstLine="0"/>
              <w:jc w:val="center"/>
              <w:rPr>
                <w:sz w:val="18"/>
                <w:szCs w:val="18"/>
              </w:rPr>
            </w:pPr>
            <w:r>
              <w:rPr>
                <w:sz w:val="18"/>
                <w:szCs w:val="18"/>
              </w:rPr>
              <w:t>▲1</w:t>
            </w:r>
          </w:p>
        </w:tc>
        <w:tc>
          <w:tcPr>
            <w:tcW w:w="709" w:type="dxa"/>
            <w:vAlign w:val="center"/>
          </w:tcPr>
          <w:p w14:paraId="03D2A014" w14:textId="77777777" w:rsidR="009D12AF" w:rsidRDefault="00000000">
            <w:pPr>
              <w:adjustRightInd w:val="0"/>
              <w:snapToGrid w:val="0"/>
              <w:spacing w:line="240" w:lineRule="auto"/>
              <w:ind w:firstLineChars="0" w:firstLine="0"/>
              <w:jc w:val="center"/>
              <w:rPr>
                <w:sz w:val="18"/>
                <w:szCs w:val="18"/>
              </w:rPr>
            </w:pPr>
            <w:r>
              <w:rPr>
                <w:b/>
                <w:sz w:val="18"/>
                <w:szCs w:val="18"/>
              </w:rPr>
              <w:t>□2</w:t>
            </w:r>
          </w:p>
        </w:tc>
        <w:tc>
          <w:tcPr>
            <w:tcW w:w="709" w:type="dxa"/>
            <w:vAlign w:val="center"/>
          </w:tcPr>
          <w:p w14:paraId="4253C0FC" w14:textId="77777777" w:rsidR="009D12AF" w:rsidRDefault="00000000">
            <w:pPr>
              <w:adjustRightInd w:val="0"/>
              <w:snapToGrid w:val="0"/>
              <w:spacing w:line="240" w:lineRule="auto"/>
              <w:ind w:firstLineChars="0" w:firstLine="0"/>
              <w:jc w:val="center"/>
              <w:rPr>
                <w:bCs/>
                <w:sz w:val="18"/>
                <w:szCs w:val="18"/>
              </w:rPr>
            </w:pPr>
            <w:r>
              <w:rPr>
                <w:rFonts w:ascii="宋体" w:hAnsi="宋体" w:cs="宋体" w:hint="eastAsia"/>
                <w:bCs/>
                <w:sz w:val="18"/>
                <w:szCs w:val="18"/>
              </w:rPr>
              <w:t>★</w:t>
            </w:r>
          </w:p>
        </w:tc>
        <w:tc>
          <w:tcPr>
            <w:tcW w:w="708" w:type="dxa"/>
            <w:vAlign w:val="center"/>
          </w:tcPr>
          <w:p w14:paraId="221F5359" w14:textId="77777777" w:rsidR="009D12AF" w:rsidRDefault="00000000">
            <w:pPr>
              <w:adjustRightInd w:val="0"/>
              <w:snapToGrid w:val="0"/>
              <w:spacing w:line="240" w:lineRule="auto"/>
              <w:ind w:firstLineChars="0" w:firstLine="0"/>
              <w:jc w:val="center"/>
              <w:rPr>
                <w:sz w:val="18"/>
                <w:szCs w:val="18"/>
              </w:rPr>
            </w:pPr>
            <w:r>
              <w:rPr>
                <w:sz w:val="18"/>
                <w:szCs w:val="18"/>
              </w:rPr>
              <w:t>□2</w:t>
            </w:r>
          </w:p>
        </w:tc>
        <w:tc>
          <w:tcPr>
            <w:tcW w:w="709" w:type="dxa"/>
            <w:vAlign w:val="center"/>
          </w:tcPr>
          <w:p w14:paraId="26CD41F8"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2B688942" w14:textId="77777777" w:rsidR="009D12AF" w:rsidRDefault="009D12AF">
            <w:pPr>
              <w:adjustRightInd w:val="0"/>
              <w:snapToGrid w:val="0"/>
              <w:spacing w:line="240" w:lineRule="auto"/>
              <w:ind w:firstLineChars="0" w:firstLine="0"/>
              <w:jc w:val="center"/>
              <w:rPr>
                <w:bCs/>
                <w:sz w:val="18"/>
                <w:szCs w:val="18"/>
              </w:rPr>
            </w:pPr>
          </w:p>
        </w:tc>
        <w:tc>
          <w:tcPr>
            <w:tcW w:w="617" w:type="dxa"/>
            <w:vAlign w:val="center"/>
          </w:tcPr>
          <w:p w14:paraId="64666B5C" w14:textId="77777777" w:rsidR="009D12AF" w:rsidRDefault="009D12AF">
            <w:pPr>
              <w:adjustRightInd w:val="0"/>
              <w:snapToGrid w:val="0"/>
              <w:spacing w:line="240" w:lineRule="auto"/>
              <w:ind w:firstLineChars="0" w:firstLine="0"/>
              <w:jc w:val="center"/>
              <w:rPr>
                <w:bCs/>
                <w:sz w:val="18"/>
                <w:szCs w:val="18"/>
              </w:rPr>
            </w:pPr>
          </w:p>
        </w:tc>
      </w:tr>
      <w:tr w:rsidR="009D12AF" w14:paraId="43941F89" w14:textId="77777777">
        <w:trPr>
          <w:trHeight w:val="397"/>
          <w:jc w:val="center"/>
        </w:trPr>
        <w:tc>
          <w:tcPr>
            <w:tcW w:w="0" w:type="auto"/>
            <w:vMerge/>
            <w:vAlign w:val="center"/>
          </w:tcPr>
          <w:p w14:paraId="33BD1832" w14:textId="77777777" w:rsidR="009D12AF" w:rsidRDefault="009D12AF">
            <w:pPr>
              <w:adjustRightInd w:val="0"/>
              <w:snapToGrid w:val="0"/>
              <w:spacing w:line="240" w:lineRule="auto"/>
              <w:ind w:firstLineChars="0" w:firstLine="0"/>
              <w:jc w:val="center"/>
              <w:rPr>
                <w:bCs/>
                <w:sz w:val="18"/>
                <w:szCs w:val="18"/>
              </w:rPr>
            </w:pPr>
          </w:p>
        </w:tc>
        <w:tc>
          <w:tcPr>
            <w:tcW w:w="1116" w:type="dxa"/>
            <w:vAlign w:val="center"/>
          </w:tcPr>
          <w:p w14:paraId="78560237" w14:textId="77777777" w:rsidR="009D12AF" w:rsidRDefault="00000000">
            <w:pPr>
              <w:adjustRightInd w:val="0"/>
              <w:snapToGrid w:val="0"/>
              <w:spacing w:line="240" w:lineRule="auto"/>
              <w:ind w:firstLineChars="0" w:firstLine="0"/>
              <w:jc w:val="center"/>
              <w:rPr>
                <w:bCs/>
                <w:sz w:val="18"/>
                <w:szCs w:val="18"/>
              </w:rPr>
            </w:pPr>
            <w:r>
              <w:rPr>
                <w:bCs/>
                <w:sz w:val="18"/>
                <w:szCs w:val="18"/>
              </w:rPr>
              <w:t>陆生动物</w:t>
            </w:r>
          </w:p>
        </w:tc>
        <w:tc>
          <w:tcPr>
            <w:tcW w:w="627" w:type="dxa"/>
            <w:noWrap/>
            <w:vAlign w:val="center"/>
          </w:tcPr>
          <w:p w14:paraId="169FDFD5" w14:textId="77777777" w:rsidR="009D12AF" w:rsidRDefault="00000000">
            <w:pPr>
              <w:adjustRightInd w:val="0"/>
              <w:snapToGrid w:val="0"/>
              <w:spacing w:line="240" w:lineRule="auto"/>
              <w:ind w:firstLineChars="0" w:firstLine="0"/>
              <w:jc w:val="center"/>
              <w:rPr>
                <w:sz w:val="18"/>
                <w:szCs w:val="18"/>
              </w:rPr>
            </w:pPr>
            <w:r>
              <w:rPr>
                <w:sz w:val="18"/>
                <w:szCs w:val="18"/>
              </w:rPr>
              <w:t>▲1</w:t>
            </w:r>
          </w:p>
        </w:tc>
        <w:tc>
          <w:tcPr>
            <w:tcW w:w="708" w:type="dxa"/>
            <w:noWrap/>
            <w:vAlign w:val="center"/>
          </w:tcPr>
          <w:p w14:paraId="0E5ABEEE" w14:textId="77777777" w:rsidR="009D12AF" w:rsidRDefault="00000000">
            <w:pPr>
              <w:adjustRightInd w:val="0"/>
              <w:snapToGrid w:val="0"/>
              <w:spacing w:line="240" w:lineRule="auto"/>
              <w:ind w:firstLineChars="0" w:firstLine="0"/>
              <w:jc w:val="center"/>
              <w:rPr>
                <w:sz w:val="18"/>
                <w:szCs w:val="18"/>
              </w:rPr>
            </w:pPr>
            <w:r>
              <w:rPr>
                <w:sz w:val="18"/>
                <w:szCs w:val="18"/>
              </w:rPr>
              <w:t>▲1</w:t>
            </w:r>
          </w:p>
        </w:tc>
        <w:tc>
          <w:tcPr>
            <w:tcW w:w="709" w:type="dxa"/>
            <w:vAlign w:val="center"/>
          </w:tcPr>
          <w:p w14:paraId="4A5B6E0D" w14:textId="77777777" w:rsidR="009D12AF" w:rsidRDefault="00000000">
            <w:pPr>
              <w:adjustRightInd w:val="0"/>
              <w:snapToGrid w:val="0"/>
              <w:spacing w:line="240" w:lineRule="auto"/>
              <w:ind w:firstLineChars="0" w:firstLine="0"/>
              <w:jc w:val="center"/>
              <w:rPr>
                <w:sz w:val="18"/>
                <w:szCs w:val="18"/>
              </w:rPr>
            </w:pPr>
            <w:r>
              <w:rPr>
                <w:b/>
                <w:sz w:val="18"/>
                <w:szCs w:val="18"/>
              </w:rPr>
              <w:t>□2</w:t>
            </w:r>
          </w:p>
        </w:tc>
        <w:tc>
          <w:tcPr>
            <w:tcW w:w="709" w:type="dxa"/>
            <w:vAlign w:val="center"/>
          </w:tcPr>
          <w:p w14:paraId="3099CE67" w14:textId="77777777" w:rsidR="009D12AF" w:rsidRDefault="009D12AF">
            <w:pPr>
              <w:adjustRightInd w:val="0"/>
              <w:snapToGrid w:val="0"/>
              <w:spacing w:line="240" w:lineRule="auto"/>
              <w:ind w:firstLineChars="0" w:firstLine="0"/>
              <w:jc w:val="center"/>
              <w:rPr>
                <w:bCs/>
                <w:sz w:val="18"/>
                <w:szCs w:val="18"/>
              </w:rPr>
            </w:pPr>
          </w:p>
        </w:tc>
        <w:tc>
          <w:tcPr>
            <w:tcW w:w="708" w:type="dxa"/>
            <w:vAlign w:val="center"/>
          </w:tcPr>
          <w:p w14:paraId="17900B8E" w14:textId="77777777" w:rsidR="009D12AF" w:rsidRDefault="00000000">
            <w:pPr>
              <w:adjustRightInd w:val="0"/>
              <w:snapToGrid w:val="0"/>
              <w:spacing w:line="240" w:lineRule="auto"/>
              <w:ind w:firstLineChars="0" w:firstLine="0"/>
              <w:jc w:val="center"/>
              <w:rPr>
                <w:sz w:val="18"/>
                <w:szCs w:val="18"/>
              </w:rPr>
            </w:pPr>
            <w:r>
              <w:rPr>
                <w:sz w:val="18"/>
                <w:szCs w:val="18"/>
              </w:rPr>
              <w:t>□2</w:t>
            </w:r>
          </w:p>
        </w:tc>
        <w:tc>
          <w:tcPr>
            <w:tcW w:w="709" w:type="dxa"/>
            <w:vAlign w:val="center"/>
          </w:tcPr>
          <w:p w14:paraId="0C17FAAA"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0EF80874" w14:textId="77777777" w:rsidR="009D12AF" w:rsidRDefault="009D12AF">
            <w:pPr>
              <w:adjustRightInd w:val="0"/>
              <w:snapToGrid w:val="0"/>
              <w:spacing w:line="240" w:lineRule="auto"/>
              <w:ind w:firstLineChars="0" w:firstLine="0"/>
              <w:jc w:val="center"/>
              <w:rPr>
                <w:bCs/>
                <w:sz w:val="18"/>
                <w:szCs w:val="18"/>
              </w:rPr>
            </w:pPr>
          </w:p>
        </w:tc>
        <w:tc>
          <w:tcPr>
            <w:tcW w:w="617" w:type="dxa"/>
            <w:vAlign w:val="center"/>
          </w:tcPr>
          <w:p w14:paraId="5C69028F" w14:textId="77777777" w:rsidR="009D12AF" w:rsidRDefault="009D12AF">
            <w:pPr>
              <w:adjustRightInd w:val="0"/>
              <w:snapToGrid w:val="0"/>
              <w:spacing w:line="240" w:lineRule="auto"/>
              <w:ind w:firstLineChars="0" w:firstLine="0"/>
              <w:jc w:val="center"/>
              <w:rPr>
                <w:bCs/>
                <w:sz w:val="18"/>
                <w:szCs w:val="18"/>
              </w:rPr>
            </w:pPr>
          </w:p>
        </w:tc>
      </w:tr>
      <w:tr w:rsidR="009D12AF" w14:paraId="09027B6E" w14:textId="77777777">
        <w:trPr>
          <w:trHeight w:val="397"/>
          <w:jc w:val="center"/>
        </w:trPr>
        <w:tc>
          <w:tcPr>
            <w:tcW w:w="0" w:type="auto"/>
            <w:vMerge/>
            <w:vAlign w:val="center"/>
          </w:tcPr>
          <w:p w14:paraId="248AA0B7" w14:textId="77777777" w:rsidR="009D12AF" w:rsidRDefault="009D12AF">
            <w:pPr>
              <w:adjustRightInd w:val="0"/>
              <w:snapToGrid w:val="0"/>
              <w:spacing w:line="240" w:lineRule="auto"/>
              <w:ind w:firstLineChars="0" w:firstLine="0"/>
              <w:jc w:val="center"/>
              <w:rPr>
                <w:bCs/>
                <w:sz w:val="18"/>
                <w:szCs w:val="18"/>
              </w:rPr>
            </w:pPr>
          </w:p>
        </w:tc>
        <w:tc>
          <w:tcPr>
            <w:tcW w:w="1116" w:type="dxa"/>
            <w:vAlign w:val="center"/>
          </w:tcPr>
          <w:p w14:paraId="75444D11" w14:textId="77777777" w:rsidR="009D12AF" w:rsidRDefault="00000000">
            <w:pPr>
              <w:adjustRightInd w:val="0"/>
              <w:snapToGrid w:val="0"/>
              <w:spacing w:line="240" w:lineRule="auto"/>
              <w:ind w:firstLineChars="0" w:firstLine="0"/>
              <w:jc w:val="center"/>
              <w:rPr>
                <w:bCs/>
                <w:sz w:val="18"/>
                <w:szCs w:val="18"/>
              </w:rPr>
            </w:pPr>
            <w:r>
              <w:rPr>
                <w:bCs/>
                <w:sz w:val="18"/>
                <w:szCs w:val="18"/>
              </w:rPr>
              <w:t>生物多样性</w:t>
            </w:r>
          </w:p>
        </w:tc>
        <w:tc>
          <w:tcPr>
            <w:tcW w:w="627" w:type="dxa"/>
            <w:noWrap/>
            <w:vAlign w:val="center"/>
          </w:tcPr>
          <w:p w14:paraId="584D750B" w14:textId="77777777" w:rsidR="009D12AF" w:rsidRDefault="00000000">
            <w:pPr>
              <w:adjustRightInd w:val="0"/>
              <w:snapToGrid w:val="0"/>
              <w:spacing w:line="240" w:lineRule="auto"/>
              <w:ind w:firstLineChars="0" w:firstLine="0"/>
              <w:jc w:val="center"/>
              <w:rPr>
                <w:sz w:val="18"/>
                <w:szCs w:val="18"/>
              </w:rPr>
            </w:pPr>
            <w:r>
              <w:rPr>
                <w:sz w:val="18"/>
                <w:szCs w:val="18"/>
              </w:rPr>
              <w:t>▲1</w:t>
            </w:r>
          </w:p>
        </w:tc>
        <w:tc>
          <w:tcPr>
            <w:tcW w:w="708" w:type="dxa"/>
            <w:vAlign w:val="center"/>
          </w:tcPr>
          <w:p w14:paraId="2E90082E" w14:textId="77777777" w:rsidR="009D12AF" w:rsidRDefault="00000000">
            <w:pPr>
              <w:adjustRightInd w:val="0"/>
              <w:snapToGrid w:val="0"/>
              <w:spacing w:line="240" w:lineRule="auto"/>
              <w:ind w:firstLineChars="0" w:firstLine="0"/>
              <w:jc w:val="center"/>
              <w:rPr>
                <w:bCs/>
                <w:sz w:val="18"/>
                <w:szCs w:val="18"/>
              </w:rPr>
            </w:pPr>
            <w:r>
              <w:rPr>
                <w:sz w:val="18"/>
                <w:szCs w:val="18"/>
              </w:rPr>
              <w:t>▲1</w:t>
            </w:r>
          </w:p>
        </w:tc>
        <w:tc>
          <w:tcPr>
            <w:tcW w:w="709" w:type="dxa"/>
            <w:vAlign w:val="center"/>
          </w:tcPr>
          <w:p w14:paraId="669696BD"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3A21BC2F" w14:textId="77777777" w:rsidR="009D12AF" w:rsidRDefault="00000000">
            <w:pPr>
              <w:adjustRightInd w:val="0"/>
              <w:snapToGrid w:val="0"/>
              <w:spacing w:line="240" w:lineRule="auto"/>
              <w:ind w:firstLineChars="0" w:firstLine="0"/>
              <w:jc w:val="center"/>
              <w:rPr>
                <w:bCs/>
                <w:sz w:val="18"/>
                <w:szCs w:val="18"/>
              </w:rPr>
            </w:pPr>
            <w:r>
              <w:rPr>
                <w:rFonts w:ascii="宋体" w:hAnsi="宋体" w:cs="宋体" w:hint="eastAsia"/>
                <w:bCs/>
                <w:sz w:val="18"/>
                <w:szCs w:val="18"/>
              </w:rPr>
              <w:t>★</w:t>
            </w:r>
          </w:p>
        </w:tc>
        <w:tc>
          <w:tcPr>
            <w:tcW w:w="708" w:type="dxa"/>
            <w:vAlign w:val="center"/>
          </w:tcPr>
          <w:p w14:paraId="3B3D23A7" w14:textId="77777777" w:rsidR="009D12AF" w:rsidRDefault="00000000">
            <w:pPr>
              <w:adjustRightInd w:val="0"/>
              <w:snapToGrid w:val="0"/>
              <w:spacing w:line="240" w:lineRule="auto"/>
              <w:ind w:firstLineChars="0" w:firstLine="0"/>
              <w:jc w:val="center"/>
              <w:rPr>
                <w:bCs/>
                <w:sz w:val="18"/>
                <w:szCs w:val="18"/>
              </w:rPr>
            </w:pPr>
            <w:r>
              <w:rPr>
                <w:sz w:val="18"/>
                <w:szCs w:val="18"/>
              </w:rPr>
              <w:t>□2</w:t>
            </w:r>
          </w:p>
        </w:tc>
        <w:tc>
          <w:tcPr>
            <w:tcW w:w="709" w:type="dxa"/>
            <w:vAlign w:val="center"/>
          </w:tcPr>
          <w:p w14:paraId="338D8992"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57E37FF4" w14:textId="77777777" w:rsidR="009D12AF" w:rsidRDefault="009D12AF">
            <w:pPr>
              <w:adjustRightInd w:val="0"/>
              <w:snapToGrid w:val="0"/>
              <w:spacing w:line="240" w:lineRule="auto"/>
              <w:ind w:firstLineChars="0" w:firstLine="0"/>
              <w:jc w:val="center"/>
              <w:rPr>
                <w:bCs/>
                <w:sz w:val="18"/>
                <w:szCs w:val="18"/>
              </w:rPr>
            </w:pPr>
          </w:p>
        </w:tc>
        <w:tc>
          <w:tcPr>
            <w:tcW w:w="617" w:type="dxa"/>
            <w:vAlign w:val="center"/>
          </w:tcPr>
          <w:p w14:paraId="4DB08C48" w14:textId="77777777" w:rsidR="009D12AF" w:rsidRDefault="009D12AF">
            <w:pPr>
              <w:adjustRightInd w:val="0"/>
              <w:snapToGrid w:val="0"/>
              <w:spacing w:line="240" w:lineRule="auto"/>
              <w:ind w:firstLineChars="0" w:firstLine="0"/>
              <w:jc w:val="center"/>
              <w:rPr>
                <w:bCs/>
                <w:sz w:val="18"/>
                <w:szCs w:val="18"/>
              </w:rPr>
            </w:pPr>
          </w:p>
        </w:tc>
      </w:tr>
      <w:tr w:rsidR="009D12AF" w14:paraId="17E95CC7" w14:textId="77777777">
        <w:trPr>
          <w:trHeight w:val="397"/>
          <w:jc w:val="center"/>
        </w:trPr>
        <w:tc>
          <w:tcPr>
            <w:tcW w:w="0" w:type="auto"/>
            <w:vMerge/>
            <w:vAlign w:val="center"/>
          </w:tcPr>
          <w:p w14:paraId="3F45D333" w14:textId="77777777" w:rsidR="009D12AF" w:rsidRDefault="009D12AF">
            <w:pPr>
              <w:adjustRightInd w:val="0"/>
              <w:snapToGrid w:val="0"/>
              <w:spacing w:line="240" w:lineRule="auto"/>
              <w:ind w:firstLineChars="0" w:firstLine="0"/>
              <w:jc w:val="center"/>
              <w:rPr>
                <w:bCs/>
                <w:sz w:val="18"/>
                <w:szCs w:val="18"/>
              </w:rPr>
            </w:pPr>
          </w:p>
        </w:tc>
        <w:tc>
          <w:tcPr>
            <w:tcW w:w="1116" w:type="dxa"/>
            <w:vAlign w:val="center"/>
          </w:tcPr>
          <w:p w14:paraId="74C413C1" w14:textId="77777777" w:rsidR="009D12AF" w:rsidRDefault="00000000">
            <w:pPr>
              <w:adjustRightInd w:val="0"/>
              <w:snapToGrid w:val="0"/>
              <w:spacing w:line="240" w:lineRule="auto"/>
              <w:ind w:firstLineChars="0" w:firstLine="0"/>
              <w:jc w:val="center"/>
              <w:rPr>
                <w:bCs/>
                <w:sz w:val="18"/>
                <w:szCs w:val="18"/>
              </w:rPr>
            </w:pPr>
            <w:r>
              <w:rPr>
                <w:bCs/>
                <w:sz w:val="18"/>
                <w:szCs w:val="18"/>
              </w:rPr>
              <w:t>生境连通性</w:t>
            </w:r>
          </w:p>
        </w:tc>
        <w:tc>
          <w:tcPr>
            <w:tcW w:w="627" w:type="dxa"/>
            <w:noWrap/>
            <w:vAlign w:val="center"/>
          </w:tcPr>
          <w:p w14:paraId="2136D737" w14:textId="77777777" w:rsidR="009D12AF" w:rsidRDefault="00000000">
            <w:pPr>
              <w:adjustRightInd w:val="0"/>
              <w:snapToGrid w:val="0"/>
              <w:spacing w:line="240" w:lineRule="auto"/>
              <w:ind w:firstLineChars="0" w:firstLine="0"/>
              <w:jc w:val="center"/>
              <w:rPr>
                <w:sz w:val="18"/>
                <w:szCs w:val="18"/>
              </w:rPr>
            </w:pPr>
            <w:r>
              <w:rPr>
                <w:sz w:val="18"/>
                <w:szCs w:val="18"/>
              </w:rPr>
              <w:t>▲1</w:t>
            </w:r>
          </w:p>
        </w:tc>
        <w:tc>
          <w:tcPr>
            <w:tcW w:w="708" w:type="dxa"/>
            <w:vAlign w:val="center"/>
          </w:tcPr>
          <w:p w14:paraId="4FEB1572" w14:textId="77777777" w:rsidR="009D12AF" w:rsidRDefault="00000000">
            <w:pPr>
              <w:adjustRightInd w:val="0"/>
              <w:snapToGrid w:val="0"/>
              <w:spacing w:line="240" w:lineRule="auto"/>
              <w:ind w:firstLineChars="0" w:firstLine="0"/>
              <w:jc w:val="center"/>
              <w:rPr>
                <w:bCs/>
                <w:sz w:val="18"/>
                <w:szCs w:val="18"/>
              </w:rPr>
            </w:pPr>
            <w:r>
              <w:rPr>
                <w:sz w:val="18"/>
                <w:szCs w:val="18"/>
              </w:rPr>
              <w:t>▲1</w:t>
            </w:r>
          </w:p>
        </w:tc>
        <w:tc>
          <w:tcPr>
            <w:tcW w:w="709" w:type="dxa"/>
            <w:vAlign w:val="center"/>
          </w:tcPr>
          <w:p w14:paraId="08A2A6A9"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62E0589D" w14:textId="77777777" w:rsidR="009D12AF" w:rsidRDefault="00000000">
            <w:pPr>
              <w:adjustRightInd w:val="0"/>
              <w:snapToGrid w:val="0"/>
              <w:spacing w:line="240" w:lineRule="auto"/>
              <w:ind w:firstLineChars="0" w:firstLine="0"/>
              <w:jc w:val="center"/>
              <w:rPr>
                <w:bCs/>
                <w:sz w:val="18"/>
                <w:szCs w:val="18"/>
              </w:rPr>
            </w:pPr>
            <w:r>
              <w:rPr>
                <w:rFonts w:ascii="宋体" w:hAnsi="宋体" w:cs="宋体" w:hint="eastAsia"/>
                <w:bCs/>
                <w:sz w:val="18"/>
                <w:szCs w:val="18"/>
              </w:rPr>
              <w:t>★</w:t>
            </w:r>
          </w:p>
        </w:tc>
        <w:tc>
          <w:tcPr>
            <w:tcW w:w="708" w:type="dxa"/>
            <w:noWrap/>
            <w:vAlign w:val="center"/>
          </w:tcPr>
          <w:p w14:paraId="53B47A37" w14:textId="77777777" w:rsidR="009D12AF" w:rsidRDefault="00000000">
            <w:pPr>
              <w:adjustRightInd w:val="0"/>
              <w:snapToGrid w:val="0"/>
              <w:spacing w:line="240" w:lineRule="auto"/>
              <w:ind w:firstLineChars="0" w:firstLine="0"/>
              <w:jc w:val="center"/>
              <w:rPr>
                <w:sz w:val="18"/>
                <w:szCs w:val="18"/>
              </w:rPr>
            </w:pPr>
            <w:r>
              <w:rPr>
                <w:sz w:val="18"/>
                <w:szCs w:val="18"/>
              </w:rPr>
              <w:t>□2</w:t>
            </w:r>
          </w:p>
        </w:tc>
        <w:tc>
          <w:tcPr>
            <w:tcW w:w="709" w:type="dxa"/>
            <w:vAlign w:val="center"/>
          </w:tcPr>
          <w:p w14:paraId="4DC1817F" w14:textId="77777777" w:rsidR="009D12AF" w:rsidRDefault="00000000">
            <w:pPr>
              <w:adjustRightInd w:val="0"/>
              <w:snapToGrid w:val="0"/>
              <w:spacing w:line="240" w:lineRule="auto"/>
              <w:ind w:firstLineChars="0" w:firstLine="0"/>
              <w:jc w:val="center"/>
              <w:rPr>
                <w:bCs/>
                <w:sz w:val="18"/>
                <w:szCs w:val="18"/>
              </w:rPr>
            </w:pPr>
            <w:r>
              <w:rPr>
                <w:b/>
                <w:sz w:val="21"/>
              </w:rPr>
              <w:t>□2</w:t>
            </w:r>
          </w:p>
        </w:tc>
        <w:tc>
          <w:tcPr>
            <w:tcW w:w="709" w:type="dxa"/>
            <w:vAlign w:val="center"/>
          </w:tcPr>
          <w:p w14:paraId="1391C619" w14:textId="77777777" w:rsidR="009D12AF" w:rsidRDefault="009D12AF">
            <w:pPr>
              <w:adjustRightInd w:val="0"/>
              <w:snapToGrid w:val="0"/>
              <w:spacing w:line="240" w:lineRule="auto"/>
              <w:ind w:firstLineChars="0" w:firstLine="0"/>
              <w:jc w:val="center"/>
              <w:rPr>
                <w:bCs/>
                <w:sz w:val="18"/>
                <w:szCs w:val="18"/>
              </w:rPr>
            </w:pPr>
          </w:p>
        </w:tc>
        <w:tc>
          <w:tcPr>
            <w:tcW w:w="617" w:type="dxa"/>
            <w:vAlign w:val="center"/>
          </w:tcPr>
          <w:p w14:paraId="5A696234" w14:textId="77777777" w:rsidR="009D12AF" w:rsidRDefault="00000000">
            <w:pPr>
              <w:adjustRightInd w:val="0"/>
              <w:snapToGrid w:val="0"/>
              <w:spacing w:line="240" w:lineRule="auto"/>
              <w:ind w:firstLineChars="0" w:firstLine="0"/>
              <w:jc w:val="center"/>
              <w:rPr>
                <w:bCs/>
                <w:sz w:val="18"/>
                <w:szCs w:val="18"/>
              </w:rPr>
            </w:pPr>
            <w:r>
              <w:rPr>
                <w:rFonts w:ascii="宋体" w:hAnsi="宋体" w:cs="宋体" w:hint="eastAsia"/>
                <w:bCs/>
                <w:sz w:val="18"/>
                <w:szCs w:val="18"/>
              </w:rPr>
              <w:t>★</w:t>
            </w:r>
          </w:p>
        </w:tc>
      </w:tr>
      <w:tr w:rsidR="009D12AF" w14:paraId="7BCA6D82" w14:textId="77777777">
        <w:trPr>
          <w:trHeight w:val="397"/>
          <w:jc w:val="center"/>
        </w:trPr>
        <w:tc>
          <w:tcPr>
            <w:tcW w:w="0" w:type="auto"/>
            <w:vMerge/>
            <w:vAlign w:val="center"/>
          </w:tcPr>
          <w:p w14:paraId="6E9909BE" w14:textId="77777777" w:rsidR="009D12AF" w:rsidRDefault="009D12AF">
            <w:pPr>
              <w:adjustRightInd w:val="0"/>
              <w:snapToGrid w:val="0"/>
              <w:spacing w:line="240" w:lineRule="auto"/>
              <w:ind w:firstLineChars="0" w:firstLine="0"/>
              <w:jc w:val="center"/>
              <w:rPr>
                <w:bCs/>
                <w:sz w:val="18"/>
                <w:szCs w:val="18"/>
              </w:rPr>
            </w:pPr>
          </w:p>
        </w:tc>
        <w:tc>
          <w:tcPr>
            <w:tcW w:w="1116" w:type="dxa"/>
            <w:vAlign w:val="center"/>
          </w:tcPr>
          <w:p w14:paraId="0017BADC" w14:textId="77777777" w:rsidR="009D12AF" w:rsidRDefault="00000000">
            <w:pPr>
              <w:adjustRightInd w:val="0"/>
              <w:snapToGrid w:val="0"/>
              <w:spacing w:line="240" w:lineRule="auto"/>
              <w:ind w:firstLineChars="0" w:firstLine="0"/>
              <w:jc w:val="center"/>
              <w:rPr>
                <w:bCs/>
                <w:sz w:val="18"/>
                <w:szCs w:val="18"/>
              </w:rPr>
            </w:pPr>
            <w:r>
              <w:rPr>
                <w:bCs/>
                <w:sz w:val="18"/>
                <w:szCs w:val="18"/>
              </w:rPr>
              <w:t>水生生物</w:t>
            </w:r>
          </w:p>
        </w:tc>
        <w:tc>
          <w:tcPr>
            <w:tcW w:w="627" w:type="dxa"/>
            <w:noWrap/>
            <w:vAlign w:val="center"/>
          </w:tcPr>
          <w:p w14:paraId="29682EB7" w14:textId="77777777" w:rsidR="009D12AF" w:rsidRDefault="009D12AF">
            <w:pPr>
              <w:adjustRightInd w:val="0"/>
              <w:snapToGrid w:val="0"/>
              <w:spacing w:line="240" w:lineRule="auto"/>
              <w:ind w:firstLineChars="0" w:firstLine="0"/>
              <w:jc w:val="center"/>
              <w:rPr>
                <w:sz w:val="18"/>
                <w:szCs w:val="18"/>
              </w:rPr>
            </w:pPr>
          </w:p>
        </w:tc>
        <w:tc>
          <w:tcPr>
            <w:tcW w:w="708" w:type="dxa"/>
            <w:vAlign w:val="center"/>
          </w:tcPr>
          <w:p w14:paraId="1CD4DD14" w14:textId="77777777" w:rsidR="009D12AF" w:rsidRDefault="00000000">
            <w:pPr>
              <w:adjustRightInd w:val="0"/>
              <w:snapToGrid w:val="0"/>
              <w:spacing w:line="240" w:lineRule="auto"/>
              <w:ind w:firstLineChars="0" w:firstLine="0"/>
              <w:jc w:val="center"/>
              <w:rPr>
                <w:bCs/>
                <w:sz w:val="18"/>
                <w:szCs w:val="18"/>
              </w:rPr>
            </w:pPr>
            <w:r>
              <w:rPr>
                <w:sz w:val="18"/>
                <w:szCs w:val="18"/>
              </w:rPr>
              <w:t>▲1</w:t>
            </w:r>
          </w:p>
        </w:tc>
        <w:tc>
          <w:tcPr>
            <w:tcW w:w="709" w:type="dxa"/>
            <w:vAlign w:val="center"/>
          </w:tcPr>
          <w:p w14:paraId="2D320B07" w14:textId="77777777" w:rsidR="009D12AF" w:rsidRDefault="00000000">
            <w:pPr>
              <w:adjustRightInd w:val="0"/>
              <w:snapToGrid w:val="0"/>
              <w:spacing w:line="240" w:lineRule="auto"/>
              <w:ind w:firstLineChars="0" w:firstLine="0"/>
              <w:jc w:val="center"/>
              <w:rPr>
                <w:sz w:val="18"/>
                <w:szCs w:val="18"/>
              </w:rPr>
            </w:pPr>
            <w:r>
              <w:rPr>
                <w:b/>
                <w:sz w:val="18"/>
                <w:szCs w:val="18"/>
              </w:rPr>
              <w:t>□2</w:t>
            </w:r>
          </w:p>
        </w:tc>
        <w:tc>
          <w:tcPr>
            <w:tcW w:w="709" w:type="dxa"/>
            <w:vAlign w:val="center"/>
          </w:tcPr>
          <w:p w14:paraId="73DDDF4F" w14:textId="77777777" w:rsidR="009D12AF" w:rsidRDefault="009D12AF">
            <w:pPr>
              <w:adjustRightInd w:val="0"/>
              <w:snapToGrid w:val="0"/>
              <w:spacing w:line="240" w:lineRule="auto"/>
              <w:ind w:firstLineChars="0" w:firstLine="0"/>
              <w:jc w:val="center"/>
              <w:rPr>
                <w:bCs/>
                <w:sz w:val="18"/>
                <w:szCs w:val="18"/>
              </w:rPr>
            </w:pPr>
          </w:p>
        </w:tc>
        <w:tc>
          <w:tcPr>
            <w:tcW w:w="708" w:type="dxa"/>
            <w:noWrap/>
            <w:vAlign w:val="center"/>
          </w:tcPr>
          <w:p w14:paraId="21CCDCC0" w14:textId="77777777" w:rsidR="009D12AF" w:rsidRDefault="00000000">
            <w:pPr>
              <w:adjustRightInd w:val="0"/>
              <w:snapToGrid w:val="0"/>
              <w:spacing w:line="240" w:lineRule="auto"/>
              <w:ind w:firstLineChars="0" w:firstLine="0"/>
              <w:jc w:val="center"/>
              <w:rPr>
                <w:sz w:val="18"/>
                <w:szCs w:val="18"/>
              </w:rPr>
            </w:pPr>
            <w:r>
              <w:rPr>
                <w:sz w:val="18"/>
                <w:szCs w:val="18"/>
              </w:rPr>
              <w:t>□2</w:t>
            </w:r>
          </w:p>
        </w:tc>
        <w:tc>
          <w:tcPr>
            <w:tcW w:w="709" w:type="dxa"/>
            <w:vAlign w:val="center"/>
          </w:tcPr>
          <w:p w14:paraId="4B3D7FC0"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115AC5F7" w14:textId="77777777" w:rsidR="009D12AF" w:rsidRDefault="009D12AF">
            <w:pPr>
              <w:adjustRightInd w:val="0"/>
              <w:snapToGrid w:val="0"/>
              <w:spacing w:line="240" w:lineRule="auto"/>
              <w:ind w:firstLineChars="0" w:firstLine="0"/>
              <w:jc w:val="center"/>
              <w:rPr>
                <w:bCs/>
                <w:sz w:val="18"/>
                <w:szCs w:val="18"/>
              </w:rPr>
            </w:pPr>
          </w:p>
        </w:tc>
        <w:tc>
          <w:tcPr>
            <w:tcW w:w="617" w:type="dxa"/>
            <w:vAlign w:val="center"/>
          </w:tcPr>
          <w:p w14:paraId="626946B5" w14:textId="77777777" w:rsidR="009D12AF" w:rsidRDefault="009D12AF">
            <w:pPr>
              <w:adjustRightInd w:val="0"/>
              <w:snapToGrid w:val="0"/>
              <w:spacing w:line="240" w:lineRule="auto"/>
              <w:ind w:firstLineChars="0" w:firstLine="0"/>
              <w:jc w:val="center"/>
              <w:rPr>
                <w:bCs/>
                <w:sz w:val="18"/>
                <w:szCs w:val="18"/>
              </w:rPr>
            </w:pPr>
          </w:p>
        </w:tc>
      </w:tr>
      <w:tr w:rsidR="009D12AF" w14:paraId="2D81F01A" w14:textId="77777777">
        <w:trPr>
          <w:trHeight w:val="397"/>
          <w:jc w:val="center"/>
        </w:trPr>
        <w:tc>
          <w:tcPr>
            <w:tcW w:w="0" w:type="auto"/>
            <w:vMerge/>
            <w:vAlign w:val="center"/>
          </w:tcPr>
          <w:p w14:paraId="1FD819AD" w14:textId="77777777" w:rsidR="009D12AF" w:rsidRDefault="009D12AF">
            <w:pPr>
              <w:adjustRightInd w:val="0"/>
              <w:snapToGrid w:val="0"/>
              <w:spacing w:line="240" w:lineRule="auto"/>
              <w:ind w:firstLineChars="0" w:firstLine="0"/>
              <w:jc w:val="center"/>
              <w:rPr>
                <w:bCs/>
                <w:sz w:val="18"/>
                <w:szCs w:val="18"/>
              </w:rPr>
            </w:pPr>
          </w:p>
        </w:tc>
        <w:tc>
          <w:tcPr>
            <w:tcW w:w="1116" w:type="dxa"/>
            <w:vAlign w:val="center"/>
          </w:tcPr>
          <w:p w14:paraId="405DC8A8" w14:textId="77777777" w:rsidR="009D12AF" w:rsidRDefault="00000000">
            <w:pPr>
              <w:adjustRightInd w:val="0"/>
              <w:snapToGrid w:val="0"/>
              <w:spacing w:line="240" w:lineRule="auto"/>
              <w:ind w:firstLineChars="0" w:firstLine="0"/>
              <w:jc w:val="center"/>
              <w:rPr>
                <w:bCs/>
                <w:sz w:val="18"/>
                <w:szCs w:val="18"/>
              </w:rPr>
            </w:pPr>
            <w:r>
              <w:rPr>
                <w:bCs/>
                <w:sz w:val="18"/>
                <w:szCs w:val="18"/>
              </w:rPr>
              <w:t>水土流失</w:t>
            </w:r>
          </w:p>
        </w:tc>
        <w:tc>
          <w:tcPr>
            <w:tcW w:w="627" w:type="dxa"/>
            <w:noWrap/>
            <w:vAlign w:val="center"/>
          </w:tcPr>
          <w:p w14:paraId="68E7A175" w14:textId="77777777" w:rsidR="009D12AF" w:rsidRDefault="00000000">
            <w:pPr>
              <w:adjustRightInd w:val="0"/>
              <w:snapToGrid w:val="0"/>
              <w:spacing w:line="240" w:lineRule="auto"/>
              <w:ind w:firstLineChars="0" w:firstLine="0"/>
              <w:jc w:val="center"/>
              <w:rPr>
                <w:sz w:val="18"/>
                <w:szCs w:val="18"/>
              </w:rPr>
            </w:pPr>
            <w:r>
              <w:rPr>
                <w:sz w:val="18"/>
                <w:szCs w:val="18"/>
              </w:rPr>
              <w:t>▲1</w:t>
            </w:r>
          </w:p>
        </w:tc>
        <w:tc>
          <w:tcPr>
            <w:tcW w:w="708" w:type="dxa"/>
            <w:vAlign w:val="center"/>
          </w:tcPr>
          <w:p w14:paraId="1929E9D6" w14:textId="77777777" w:rsidR="009D12AF" w:rsidRDefault="00000000">
            <w:pPr>
              <w:adjustRightInd w:val="0"/>
              <w:snapToGrid w:val="0"/>
              <w:spacing w:line="240" w:lineRule="auto"/>
              <w:ind w:firstLineChars="0" w:firstLine="0"/>
              <w:jc w:val="center"/>
              <w:rPr>
                <w:bCs/>
                <w:sz w:val="18"/>
                <w:szCs w:val="18"/>
              </w:rPr>
            </w:pPr>
            <w:r>
              <w:rPr>
                <w:sz w:val="18"/>
                <w:szCs w:val="18"/>
              </w:rPr>
              <w:t>▲3</w:t>
            </w:r>
          </w:p>
        </w:tc>
        <w:tc>
          <w:tcPr>
            <w:tcW w:w="709" w:type="dxa"/>
            <w:vAlign w:val="center"/>
          </w:tcPr>
          <w:p w14:paraId="77FC7288"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2AC2C9A9" w14:textId="77777777" w:rsidR="009D12AF" w:rsidRDefault="00000000">
            <w:pPr>
              <w:adjustRightInd w:val="0"/>
              <w:snapToGrid w:val="0"/>
              <w:spacing w:line="240" w:lineRule="auto"/>
              <w:ind w:firstLineChars="0" w:firstLine="0"/>
              <w:jc w:val="center"/>
              <w:rPr>
                <w:bCs/>
                <w:sz w:val="18"/>
                <w:szCs w:val="18"/>
              </w:rPr>
            </w:pPr>
            <w:r>
              <w:rPr>
                <w:rFonts w:ascii="宋体" w:hAnsi="宋体" w:cs="宋体" w:hint="eastAsia"/>
                <w:bCs/>
                <w:sz w:val="18"/>
                <w:szCs w:val="18"/>
              </w:rPr>
              <w:t>★</w:t>
            </w:r>
          </w:p>
        </w:tc>
        <w:tc>
          <w:tcPr>
            <w:tcW w:w="708" w:type="dxa"/>
            <w:vAlign w:val="center"/>
          </w:tcPr>
          <w:p w14:paraId="0DBF34C9" w14:textId="77777777" w:rsidR="009D12AF" w:rsidRDefault="00000000">
            <w:pPr>
              <w:adjustRightInd w:val="0"/>
              <w:snapToGrid w:val="0"/>
              <w:spacing w:line="240" w:lineRule="auto"/>
              <w:ind w:firstLineChars="0" w:firstLine="0"/>
              <w:jc w:val="center"/>
              <w:rPr>
                <w:bCs/>
                <w:sz w:val="18"/>
                <w:szCs w:val="18"/>
              </w:rPr>
            </w:pPr>
            <w:r>
              <w:rPr>
                <w:sz w:val="18"/>
                <w:szCs w:val="18"/>
              </w:rPr>
              <w:t>□2</w:t>
            </w:r>
          </w:p>
        </w:tc>
        <w:tc>
          <w:tcPr>
            <w:tcW w:w="709" w:type="dxa"/>
            <w:vAlign w:val="center"/>
          </w:tcPr>
          <w:p w14:paraId="7B58B511" w14:textId="77777777" w:rsidR="009D12AF" w:rsidRDefault="00000000">
            <w:pPr>
              <w:adjustRightInd w:val="0"/>
              <w:snapToGrid w:val="0"/>
              <w:spacing w:line="240" w:lineRule="auto"/>
              <w:ind w:firstLineChars="0" w:firstLine="0"/>
              <w:jc w:val="center"/>
              <w:rPr>
                <w:bCs/>
                <w:sz w:val="18"/>
                <w:szCs w:val="18"/>
              </w:rPr>
            </w:pPr>
            <w:r>
              <w:rPr>
                <w:b/>
                <w:sz w:val="21"/>
              </w:rPr>
              <w:t>□2</w:t>
            </w:r>
          </w:p>
        </w:tc>
        <w:tc>
          <w:tcPr>
            <w:tcW w:w="709" w:type="dxa"/>
            <w:vAlign w:val="center"/>
          </w:tcPr>
          <w:p w14:paraId="15275A45" w14:textId="77777777" w:rsidR="009D12AF" w:rsidRDefault="009D12AF">
            <w:pPr>
              <w:adjustRightInd w:val="0"/>
              <w:snapToGrid w:val="0"/>
              <w:spacing w:line="240" w:lineRule="auto"/>
              <w:ind w:firstLineChars="0" w:firstLine="0"/>
              <w:jc w:val="center"/>
              <w:rPr>
                <w:bCs/>
                <w:sz w:val="18"/>
                <w:szCs w:val="18"/>
              </w:rPr>
            </w:pPr>
          </w:p>
        </w:tc>
        <w:tc>
          <w:tcPr>
            <w:tcW w:w="617" w:type="dxa"/>
            <w:vAlign w:val="center"/>
          </w:tcPr>
          <w:p w14:paraId="21BEBDBE" w14:textId="77777777" w:rsidR="009D12AF" w:rsidRDefault="009D12AF">
            <w:pPr>
              <w:adjustRightInd w:val="0"/>
              <w:snapToGrid w:val="0"/>
              <w:spacing w:line="240" w:lineRule="auto"/>
              <w:ind w:firstLineChars="0" w:firstLine="0"/>
              <w:jc w:val="center"/>
              <w:rPr>
                <w:bCs/>
                <w:sz w:val="18"/>
                <w:szCs w:val="18"/>
              </w:rPr>
            </w:pPr>
          </w:p>
        </w:tc>
      </w:tr>
      <w:tr w:rsidR="009D12AF" w14:paraId="2F8C8643" w14:textId="77777777">
        <w:trPr>
          <w:trHeight w:val="397"/>
          <w:jc w:val="center"/>
        </w:trPr>
        <w:tc>
          <w:tcPr>
            <w:tcW w:w="0" w:type="auto"/>
            <w:vMerge/>
            <w:vAlign w:val="center"/>
          </w:tcPr>
          <w:p w14:paraId="6CE4D342" w14:textId="77777777" w:rsidR="009D12AF" w:rsidRDefault="009D12AF">
            <w:pPr>
              <w:adjustRightInd w:val="0"/>
              <w:snapToGrid w:val="0"/>
              <w:spacing w:line="240" w:lineRule="auto"/>
              <w:ind w:firstLineChars="0" w:firstLine="0"/>
              <w:jc w:val="center"/>
              <w:rPr>
                <w:bCs/>
                <w:sz w:val="18"/>
                <w:szCs w:val="18"/>
              </w:rPr>
            </w:pPr>
          </w:p>
        </w:tc>
        <w:tc>
          <w:tcPr>
            <w:tcW w:w="1116" w:type="dxa"/>
            <w:vAlign w:val="center"/>
          </w:tcPr>
          <w:p w14:paraId="21898590" w14:textId="77777777" w:rsidR="009D12AF" w:rsidRDefault="00000000">
            <w:pPr>
              <w:adjustRightInd w:val="0"/>
              <w:snapToGrid w:val="0"/>
              <w:spacing w:line="240" w:lineRule="auto"/>
              <w:ind w:firstLineChars="0" w:firstLine="0"/>
              <w:jc w:val="center"/>
              <w:rPr>
                <w:bCs/>
                <w:sz w:val="18"/>
                <w:szCs w:val="18"/>
              </w:rPr>
            </w:pPr>
            <w:r>
              <w:rPr>
                <w:bCs/>
                <w:sz w:val="18"/>
                <w:szCs w:val="18"/>
              </w:rPr>
              <w:t>自然景观</w:t>
            </w:r>
          </w:p>
        </w:tc>
        <w:tc>
          <w:tcPr>
            <w:tcW w:w="627" w:type="dxa"/>
            <w:vAlign w:val="center"/>
          </w:tcPr>
          <w:p w14:paraId="33D59F15" w14:textId="77777777" w:rsidR="009D12AF" w:rsidRDefault="00000000">
            <w:pPr>
              <w:adjustRightInd w:val="0"/>
              <w:snapToGrid w:val="0"/>
              <w:spacing w:line="240" w:lineRule="auto"/>
              <w:ind w:firstLineChars="0" w:firstLine="0"/>
              <w:jc w:val="center"/>
              <w:rPr>
                <w:bCs/>
                <w:sz w:val="18"/>
                <w:szCs w:val="18"/>
              </w:rPr>
            </w:pPr>
            <w:r>
              <w:rPr>
                <w:sz w:val="18"/>
                <w:szCs w:val="18"/>
              </w:rPr>
              <w:t>▲1</w:t>
            </w:r>
          </w:p>
        </w:tc>
        <w:tc>
          <w:tcPr>
            <w:tcW w:w="708" w:type="dxa"/>
            <w:vAlign w:val="center"/>
          </w:tcPr>
          <w:p w14:paraId="2544C431" w14:textId="77777777" w:rsidR="009D12AF" w:rsidRDefault="00000000">
            <w:pPr>
              <w:adjustRightInd w:val="0"/>
              <w:snapToGrid w:val="0"/>
              <w:spacing w:line="240" w:lineRule="auto"/>
              <w:ind w:firstLineChars="0" w:firstLine="0"/>
              <w:jc w:val="center"/>
              <w:rPr>
                <w:bCs/>
                <w:sz w:val="18"/>
                <w:szCs w:val="18"/>
              </w:rPr>
            </w:pPr>
            <w:r>
              <w:rPr>
                <w:sz w:val="18"/>
                <w:szCs w:val="18"/>
              </w:rPr>
              <w:t>▲3</w:t>
            </w:r>
          </w:p>
        </w:tc>
        <w:tc>
          <w:tcPr>
            <w:tcW w:w="709" w:type="dxa"/>
            <w:vAlign w:val="center"/>
          </w:tcPr>
          <w:p w14:paraId="5A27644A"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343F5894" w14:textId="77777777" w:rsidR="009D12AF" w:rsidRDefault="009D12AF">
            <w:pPr>
              <w:adjustRightInd w:val="0"/>
              <w:snapToGrid w:val="0"/>
              <w:spacing w:line="240" w:lineRule="auto"/>
              <w:ind w:firstLineChars="0" w:firstLine="0"/>
              <w:jc w:val="center"/>
              <w:rPr>
                <w:bCs/>
                <w:sz w:val="18"/>
                <w:szCs w:val="18"/>
              </w:rPr>
            </w:pPr>
          </w:p>
        </w:tc>
        <w:tc>
          <w:tcPr>
            <w:tcW w:w="708" w:type="dxa"/>
            <w:vAlign w:val="center"/>
          </w:tcPr>
          <w:p w14:paraId="7D35FC9B" w14:textId="77777777" w:rsidR="009D12AF" w:rsidRDefault="00000000">
            <w:pPr>
              <w:adjustRightInd w:val="0"/>
              <w:snapToGrid w:val="0"/>
              <w:spacing w:line="240" w:lineRule="auto"/>
              <w:ind w:firstLineChars="0" w:firstLine="0"/>
              <w:jc w:val="center"/>
              <w:rPr>
                <w:bCs/>
                <w:sz w:val="18"/>
                <w:szCs w:val="18"/>
              </w:rPr>
            </w:pPr>
            <w:r>
              <w:rPr>
                <w:sz w:val="18"/>
                <w:szCs w:val="18"/>
              </w:rPr>
              <w:t>□2</w:t>
            </w:r>
          </w:p>
        </w:tc>
        <w:tc>
          <w:tcPr>
            <w:tcW w:w="709" w:type="dxa"/>
            <w:vAlign w:val="center"/>
          </w:tcPr>
          <w:p w14:paraId="1B28B428" w14:textId="77777777" w:rsidR="009D12AF" w:rsidRDefault="00000000">
            <w:pPr>
              <w:adjustRightInd w:val="0"/>
              <w:snapToGrid w:val="0"/>
              <w:spacing w:line="240" w:lineRule="auto"/>
              <w:ind w:firstLineChars="0" w:firstLine="0"/>
              <w:jc w:val="center"/>
              <w:rPr>
                <w:bCs/>
                <w:sz w:val="18"/>
                <w:szCs w:val="18"/>
              </w:rPr>
            </w:pPr>
            <w:r>
              <w:rPr>
                <w:b/>
                <w:sz w:val="21"/>
              </w:rPr>
              <w:t>□2</w:t>
            </w:r>
          </w:p>
        </w:tc>
        <w:tc>
          <w:tcPr>
            <w:tcW w:w="709" w:type="dxa"/>
            <w:vAlign w:val="center"/>
          </w:tcPr>
          <w:p w14:paraId="0394211A" w14:textId="77777777" w:rsidR="009D12AF" w:rsidRDefault="009D12AF">
            <w:pPr>
              <w:adjustRightInd w:val="0"/>
              <w:snapToGrid w:val="0"/>
              <w:spacing w:line="240" w:lineRule="auto"/>
              <w:ind w:firstLineChars="0" w:firstLine="0"/>
              <w:jc w:val="center"/>
              <w:rPr>
                <w:bCs/>
                <w:sz w:val="18"/>
                <w:szCs w:val="18"/>
              </w:rPr>
            </w:pPr>
          </w:p>
        </w:tc>
        <w:tc>
          <w:tcPr>
            <w:tcW w:w="617" w:type="dxa"/>
            <w:vAlign w:val="center"/>
          </w:tcPr>
          <w:p w14:paraId="64C68942" w14:textId="77777777" w:rsidR="009D12AF" w:rsidRDefault="009D12AF">
            <w:pPr>
              <w:adjustRightInd w:val="0"/>
              <w:snapToGrid w:val="0"/>
              <w:spacing w:line="240" w:lineRule="auto"/>
              <w:ind w:firstLineChars="0" w:firstLine="0"/>
              <w:jc w:val="center"/>
              <w:rPr>
                <w:bCs/>
                <w:sz w:val="18"/>
                <w:szCs w:val="18"/>
              </w:rPr>
            </w:pPr>
          </w:p>
        </w:tc>
      </w:tr>
      <w:tr w:rsidR="009D12AF" w14:paraId="5DBAB50B" w14:textId="77777777">
        <w:trPr>
          <w:trHeight w:val="397"/>
          <w:jc w:val="center"/>
        </w:trPr>
        <w:tc>
          <w:tcPr>
            <w:tcW w:w="0" w:type="auto"/>
            <w:vMerge/>
            <w:vAlign w:val="center"/>
          </w:tcPr>
          <w:p w14:paraId="3D0797A6" w14:textId="77777777" w:rsidR="009D12AF" w:rsidRDefault="009D12AF">
            <w:pPr>
              <w:adjustRightInd w:val="0"/>
              <w:snapToGrid w:val="0"/>
              <w:spacing w:line="240" w:lineRule="auto"/>
              <w:ind w:firstLineChars="0" w:firstLine="0"/>
              <w:jc w:val="center"/>
              <w:rPr>
                <w:bCs/>
                <w:sz w:val="18"/>
                <w:szCs w:val="18"/>
              </w:rPr>
            </w:pPr>
          </w:p>
        </w:tc>
        <w:tc>
          <w:tcPr>
            <w:tcW w:w="1116" w:type="dxa"/>
            <w:vAlign w:val="center"/>
          </w:tcPr>
          <w:p w14:paraId="675196F1" w14:textId="77777777" w:rsidR="009D12AF" w:rsidRDefault="00000000">
            <w:pPr>
              <w:adjustRightInd w:val="0"/>
              <w:snapToGrid w:val="0"/>
              <w:spacing w:line="240" w:lineRule="auto"/>
              <w:ind w:firstLineChars="0" w:firstLine="0"/>
              <w:jc w:val="center"/>
              <w:rPr>
                <w:bCs/>
                <w:sz w:val="18"/>
                <w:szCs w:val="18"/>
              </w:rPr>
            </w:pPr>
            <w:r>
              <w:rPr>
                <w:bCs/>
                <w:sz w:val="18"/>
                <w:szCs w:val="18"/>
              </w:rPr>
              <w:t>土地资源</w:t>
            </w:r>
          </w:p>
        </w:tc>
        <w:tc>
          <w:tcPr>
            <w:tcW w:w="627" w:type="dxa"/>
            <w:vAlign w:val="center"/>
          </w:tcPr>
          <w:p w14:paraId="40187B02" w14:textId="77777777" w:rsidR="009D12AF" w:rsidRDefault="00000000">
            <w:pPr>
              <w:adjustRightInd w:val="0"/>
              <w:snapToGrid w:val="0"/>
              <w:spacing w:line="240" w:lineRule="auto"/>
              <w:ind w:firstLineChars="0" w:firstLine="0"/>
              <w:jc w:val="center"/>
              <w:rPr>
                <w:bCs/>
                <w:sz w:val="18"/>
                <w:szCs w:val="18"/>
              </w:rPr>
            </w:pPr>
            <w:r>
              <w:rPr>
                <w:sz w:val="18"/>
                <w:szCs w:val="18"/>
              </w:rPr>
              <w:t>▲1</w:t>
            </w:r>
          </w:p>
        </w:tc>
        <w:tc>
          <w:tcPr>
            <w:tcW w:w="708" w:type="dxa"/>
            <w:vAlign w:val="center"/>
          </w:tcPr>
          <w:p w14:paraId="0633E54E" w14:textId="77777777" w:rsidR="009D12AF" w:rsidRDefault="00000000">
            <w:pPr>
              <w:adjustRightInd w:val="0"/>
              <w:snapToGrid w:val="0"/>
              <w:spacing w:line="240" w:lineRule="auto"/>
              <w:ind w:firstLineChars="0" w:firstLine="0"/>
              <w:jc w:val="center"/>
              <w:rPr>
                <w:bCs/>
                <w:sz w:val="18"/>
                <w:szCs w:val="18"/>
              </w:rPr>
            </w:pPr>
            <w:r>
              <w:rPr>
                <w:sz w:val="18"/>
                <w:szCs w:val="18"/>
              </w:rPr>
              <w:t>▲1</w:t>
            </w:r>
          </w:p>
        </w:tc>
        <w:tc>
          <w:tcPr>
            <w:tcW w:w="709" w:type="dxa"/>
            <w:vAlign w:val="center"/>
          </w:tcPr>
          <w:p w14:paraId="0FF09231"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1B2525C3" w14:textId="77777777" w:rsidR="009D12AF" w:rsidRDefault="009D12AF">
            <w:pPr>
              <w:adjustRightInd w:val="0"/>
              <w:snapToGrid w:val="0"/>
              <w:spacing w:line="240" w:lineRule="auto"/>
              <w:ind w:firstLineChars="0" w:firstLine="0"/>
              <w:jc w:val="center"/>
              <w:rPr>
                <w:bCs/>
                <w:sz w:val="18"/>
                <w:szCs w:val="18"/>
              </w:rPr>
            </w:pPr>
          </w:p>
        </w:tc>
        <w:tc>
          <w:tcPr>
            <w:tcW w:w="708" w:type="dxa"/>
            <w:noWrap/>
            <w:vAlign w:val="center"/>
          </w:tcPr>
          <w:p w14:paraId="7B267A03" w14:textId="77777777" w:rsidR="009D12AF" w:rsidRDefault="00000000">
            <w:pPr>
              <w:adjustRightInd w:val="0"/>
              <w:snapToGrid w:val="0"/>
              <w:spacing w:line="240" w:lineRule="auto"/>
              <w:ind w:firstLineChars="0" w:firstLine="0"/>
              <w:jc w:val="center"/>
              <w:rPr>
                <w:sz w:val="18"/>
                <w:szCs w:val="18"/>
              </w:rPr>
            </w:pPr>
            <w:r>
              <w:rPr>
                <w:sz w:val="18"/>
                <w:szCs w:val="18"/>
              </w:rPr>
              <w:t>□2</w:t>
            </w:r>
          </w:p>
        </w:tc>
        <w:tc>
          <w:tcPr>
            <w:tcW w:w="709" w:type="dxa"/>
            <w:vAlign w:val="center"/>
          </w:tcPr>
          <w:p w14:paraId="0E23AC92"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09A00AAD" w14:textId="77777777" w:rsidR="009D12AF" w:rsidRDefault="009D12AF">
            <w:pPr>
              <w:adjustRightInd w:val="0"/>
              <w:snapToGrid w:val="0"/>
              <w:spacing w:line="240" w:lineRule="auto"/>
              <w:ind w:firstLineChars="0" w:firstLine="0"/>
              <w:jc w:val="center"/>
              <w:rPr>
                <w:bCs/>
                <w:sz w:val="18"/>
                <w:szCs w:val="18"/>
              </w:rPr>
            </w:pPr>
          </w:p>
        </w:tc>
        <w:tc>
          <w:tcPr>
            <w:tcW w:w="617" w:type="dxa"/>
            <w:vAlign w:val="center"/>
          </w:tcPr>
          <w:p w14:paraId="5BC633B6" w14:textId="77777777" w:rsidR="009D12AF" w:rsidRDefault="009D12AF">
            <w:pPr>
              <w:adjustRightInd w:val="0"/>
              <w:snapToGrid w:val="0"/>
              <w:spacing w:line="240" w:lineRule="auto"/>
              <w:ind w:firstLineChars="0" w:firstLine="0"/>
              <w:jc w:val="center"/>
              <w:rPr>
                <w:bCs/>
                <w:sz w:val="18"/>
                <w:szCs w:val="18"/>
              </w:rPr>
            </w:pPr>
          </w:p>
        </w:tc>
      </w:tr>
      <w:tr w:rsidR="009D12AF" w14:paraId="1E4534E4" w14:textId="77777777">
        <w:trPr>
          <w:trHeight w:val="397"/>
          <w:jc w:val="center"/>
        </w:trPr>
        <w:tc>
          <w:tcPr>
            <w:tcW w:w="0" w:type="auto"/>
            <w:vMerge/>
            <w:vAlign w:val="center"/>
          </w:tcPr>
          <w:p w14:paraId="5EC03E5C" w14:textId="77777777" w:rsidR="009D12AF" w:rsidRDefault="009D12AF">
            <w:pPr>
              <w:adjustRightInd w:val="0"/>
              <w:snapToGrid w:val="0"/>
              <w:spacing w:line="240" w:lineRule="auto"/>
              <w:ind w:firstLineChars="0" w:firstLine="0"/>
              <w:jc w:val="center"/>
              <w:rPr>
                <w:bCs/>
                <w:sz w:val="18"/>
                <w:szCs w:val="18"/>
              </w:rPr>
            </w:pPr>
          </w:p>
        </w:tc>
        <w:tc>
          <w:tcPr>
            <w:tcW w:w="1116" w:type="dxa"/>
            <w:vAlign w:val="center"/>
          </w:tcPr>
          <w:p w14:paraId="102547AF" w14:textId="77777777" w:rsidR="009D12AF" w:rsidRDefault="00000000">
            <w:pPr>
              <w:adjustRightInd w:val="0"/>
              <w:snapToGrid w:val="0"/>
              <w:spacing w:line="240" w:lineRule="auto"/>
              <w:ind w:firstLineChars="0" w:firstLine="0"/>
              <w:jc w:val="center"/>
              <w:rPr>
                <w:bCs/>
                <w:sz w:val="18"/>
                <w:szCs w:val="18"/>
              </w:rPr>
            </w:pPr>
            <w:r>
              <w:rPr>
                <w:bCs/>
                <w:sz w:val="18"/>
                <w:szCs w:val="18"/>
              </w:rPr>
              <w:t>土地利用方式</w:t>
            </w:r>
          </w:p>
        </w:tc>
        <w:tc>
          <w:tcPr>
            <w:tcW w:w="627" w:type="dxa"/>
            <w:vAlign w:val="center"/>
          </w:tcPr>
          <w:p w14:paraId="013BCC82" w14:textId="77777777" w:rsidR="009D12AF" w:rsidRDefault="00000000">
            <w:pPr>
              <w:adjustRightInd w:val="0"/>
              <w:snapToGrid w:val="0"/>
              <w:spacing w:line="240" w:lineRule="auto"/>
              <w:ind w:firstLineChars="0" w:firstLine="0"/>
              <w:jc w:val="center"/>
              <w:rPr>
                <w:bCs/>
                <w:sz w:val="18"/>
                <w:szCs w:val="18"/>
              </w:rPr>
            </w:pPr>
            <w:r>
              <w:rPr>
                <w:sz w:val="18"/>
                <w:szCs w:val="18"/>
              </w:rPr>
              <w:t>▲1</w:t>
            </w:r>
          </w:p>
        </w:tc>
        <w:tc>
          <w:tcPr>
            <w:tcW w:w="708" w:type="dxa"/>
            <w:vAlign w:val="center"/>
          </w:tcPr>
          <w:p w14:paraId="6E215916" w14:textId="77777777" w:rsidR="009D12AF" w:rsidRDefault="00000000">
            <w:pPr>
              <w:adjustRightInd w:val="0"/>
              <w:snapToGrid w:val="0"/>
              <w:spacing w:line="240" w:lineRule="auto"/>
              <w:ind w:firstLineChars="0" w:firstLine="0"/>
              <w:jc w:val="center"/>
              <w:rPr>
                <w:bCs/>
                <w:sz w:val="18"/>
                <w:szCs w:val="18"/>
              </w:rPr>
            </w:pPr>
            <w:r>
              <w:rPr>
                <w:sz w:val="18"/>
                <w:szCs w:val="18"/>
              </w:rPr>
              <w:t>▲1</w:t>
            </w:r>
          </w:p>
        </w:tc>
        <w:tc>
          <w:tcPr>
            <w:tcW w:w="709" w:type="dxa"/>
            <w:vAlign w:val="center"/>
          </w:tcPr>
          <w:p w14:paraId="1063943C"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573A8EBF" w14:textId="77777777" w:rsidR="009D12AF" w:rsidRDefault="009D12AF">
            <w:pPr>
              <w:adjustRightInd w:val="0"/>
              <w:snapToGrid w:val="0"/>
              <w:spacing w:line="240" w:lineRule="auto"/>
              <w:ind w:firstLineChars="0" w:firstLine="0"/>
              <w:jc w:val="center"/>
              <w:rPr>
                <w:bCs/>
                <w:sz w:val="18"/>
                <w:szCs w:val="18"/>
              </w:rPr>
            </w:pPr>
          </w:p>
        </w:tc>
        <w:tc>
          <w:tcPr>
            <w:tcW w:w="708" w:type="dxa"/>
            <w:vAlign w:val="center"/>
          </w:tcPr>
          <w:p w14:paraId="7C832421" w14:textId="77777777" w:rsidR="009D12AF" w:rsidRDefault="00000000">
            <w:pPr>
              <w:adjustRightInd w:val="0"/>
              <w:snapToGrid w:val="0"/>
              <w:spacing w:line="240" w:lineRule="auto"/>
              <w:ind w:firstLineChars="0" w:firstLine="0"/>
              <w:jc w:val="center"/>
              <w:rPr>
                <w:bCs/>
                <w:sz w:val="18"/>
                <w:szCs w:val="18"/>
              </w:rPr>
            </w:pPr>
            <w:r>
              <w:rPr>
                <w:sz w:val="18"/>
                <w:szCs w:val="18"/>
              </w:rPr>
              <w:t>□2</w:t>
            </w:r>
          </w:p>
        </w:tc>
        <w:tc>
          <w:tcPr>
            <w:tcW w:w="709" w:type="dxa"/>
            <w:vAlign w:val="center"/>
          </w:tcPr>
          <w:p w14:paraId="4E0DF1A9"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07FCBAFD" w14:textId="77777777" w:rsidR="009D12AF" w:rsidRDefault="009D12AF">
            <w:pPr>
              <w:adjustRightInd w:val="0"/>
              <w:snapToGrid w:val="0"/>
              <w:spacing w:line="240" w:lineRule="auto"/>
              <w:ind w:firstLineChars="0" w:firstLine="0"/>
              <w:jc w:val="center"/>
              <w:rPr>
                <w:bCs/>
                <w:sz w:val="18"/>
                <w:szCs w:val="18"/>
              </w:rPr>
            </w:pPr>
          </w:p>
        </w:tc>
        <w:tc>
          <w:tcPr>
            <w:tcW w:w="617" w:type="dxa"/>
            <w:vAlign w:val="center"/>
          </w:tcPr>
          <w:p w14:paraId="059E202E" w14:textId="77777777" w:rsidR="009D12AF" w:rsidRDefault="009D12AF">
            <w:pPr>
              <w:adjustRightInd w:val="0"/>
              <w:snapToGrid w:val="0"/>
              <w:spacing w:line="240" w:lineRule="auto"/>
              <w:ind w:firstLineChars="0" w:firstLine="0"/>
              <w:jc w:val="center"/>
              <w:rPr>
                <w:bCs/>
                <w:sz w:val="18"/>
                <w:szCs w:val="18"/>
              </w:rPr>
            </w:pPr>
          </w:p>
        </w:tc>
      </w:tr>
      <w:tr w:rsidR="009D12AF" w14:paraId="673D84A1" w14:textId="77777777">
        <w:trPr>
          <w:trHeight w:val="397"/>
          <w:jc w:val="center"/>
        </w:trPr>
        <w:tc>
          <w:tcPr>
            <w:tcW w:w="0" w:type="auto"/>
            <w:vMerge w:val="restart"/>
            <w:vAlign w:val="center"/>
          </w:tcPr>
          <w:p w14:paraId="600AE0CC" w14:textId="77777777" w:rsidR="009D12AF" w:rsidRDefault="00000000">
            <w:pPr>
              <w:adjustRightInd w:val="0"/>
              <w:snapToGrid w:val="0"/>
              <w:spacing w:line="240" w:lineRule="auto"/>
              <w:ind w:firstLineChars="0" w:firstLine="0"/>
              <w:jc w:val="center"/>
              <w:rPr>
                <w:bCs/>
                <w:sz w:val="18"/>
                <w:szCs w:val="18"/>
              </w:rPr>
            </w:pPr>
            <w:r>
              <w:rPr>
                <w:bCs/>
                <w:sz w:val="18"/>
                <w:szCs w:val="18"/>
              </w:rPr>
              <w:t>水环境</w:t>
            </w:r>
          </w:p>
        </w:tc>
        <w:tc>
          <w:tcPr>
            <w:tcW w:w="1116" w:type="dxa"/>
            <w:vAlign w:val="center"/>
          </w:tcPr>
          <w:p w14:paraId="1C5EE760" w14:textId="77777777" w:rsidR="009D12AF" w:rsidRDefault="00000000">
            <w:pPr>
              <w:adjustRightInd w:val="0"/>
              <w:snapToGrid w:val="0"/>
              <w:spacing w:line="240" w:lineRule="auto"/>
              <w:ind w:firstLineChars="0" w:firstLine="0"/>
              <w:jc w:val="center"/>
              <w:rPr>
                <w:bCs/>
                <w:sz w:val="18"/>
                <w:szCs w:val="18"/>
              </w:rPr>
            </w:pPr>
            <w:r>
              <w:rPr>
                <w:bCs/>
                <w:sz w:val="18"/>
                <w:szCs w:val="18"/>
              </w:rPr>
              <w:t>水质</w:t>
            </w:r>
          </w:p>
        </w:tc>
        <w:tc>
          <w:tcPr>
            <w:tcW w:w="627" w:type="dxa"/>
            <w:vAlign w:val="center"/>
          </w:tcPr>
          <w:p w14:paraId="7FDF0B9D" w14:textId="77777777" w:rsidR="009D12AF" w:rsidRDefault="00000000">
            <w:pPr>
              <w:adjustRightInd w:val="0"/>
              <w:snapToGrid w:val="0"/>
              <w:spacing w:line="240" w:lineRule="auto"/>
              <w:ind w:firstLineChars="0" w:firstLine="0"/>
              <w:jc w:val="center"/>
              <w:rPr>
                <w:bCs/>
                <w:sz w:val="18"/>
                <w:szCs w:val="18"/>
              </w:rPr>
            </w:pPr>
            <w:r>
              <w:rPr>
                <w:sz w:val="18"/>
                <w:szCs w:val="18"/>
              </w:rPr>
              <w:t>▲1</w:t>
            </w:r>
          </w:p>
        </w:tc>
        <w:tc>
          <w:tcPr>
            <w:tcW w:w="708" w:type="dxa"/>
            <w:vAlign w:val="center"/>
          </w:tcPr>
          <w:p w14:paraId="2ACD79A7" w14:textId="77777777" w:rsidR="009D12AF" w:rsidRDefault="00000000">
            <w:pPr>
              <w:adjustRightInd w:val="0"/>
              <w:snapToGrid w:val="0"/>
              <w:spacing w:line="240" w:lineRule="auto"/>
              <w:ind w:firstLineChars="0" w:firstLine="0"/>
              <w:jc w:val="center"/>
              <w:rPr>
                <w:bCs/>
                <w:sz w:val="18"/>
                <w:szCs w:val="18"/>
              </w:rPr>
            </w:pPr>
            <w:r>
              <w:rPr>
                <w:sz w:val="18"/>
                <w:szCs w:val="18"/>
              </w:rPr>
              <w:t>▲1</w:t>
            </w:r>
          </w:p>
        </w:tc>
        <w:tc>
          <w:tcPr>
            <w:tcW w:w="709" w:type="dxa"/>
            <w:vAlign w:val="center"/>
          </w:tcPr>
          <w:p w14:paraId="27C0B9A3" w14:textId="77777777" w:rsidR="009D12AF" w:rsidRDefault="00000000">
            <w:pPr>
              <w:adjustRightInd w:val="0"/>
              <w:snapToGrid w:val="0"/>
              <w:spacing w:line="240" w:lineRule="auto"/>
              <w:ind w:firstLineChars="0" w:firstLine="0"/>
              <w:jc w:val="center"/>
              <w:rPr>
                <w:sz w:val="18"/>
                <w:szCs w:val="18"/>
              </w:rPr>
            </w:pPr>
            <w:r>
              <w:rPr>
                <w:b/>
                <w:sz w:val="18"/>
                <w:szCs w:val="18"/>
              </w:rPr>
              <w:t>□2</w:t>
            </w:r>
          </w:p>
        </w:tc>
        <w:tc>
          <w:tcPr>
            <w:tcW w:w="709" w:type="dxa"/>
            <w:vAlign w:val="center"/>
          </w:tcPr>
          <w:p w14:paraId="279E5E02" w14:textId="77777777" w:rsidR="009D12AF" w:rsidRDefault="009D12AF">
            <w:pPr>
              <w:adjustRightInd w:val="0"/>
              <w:snapToGrid w:val="0"/>
              <w:spacing w:line="240" w:lineRule="auto"/>
              <w:ind w:firstLineChars="0" w:firstLine="0"/>
              <w:jc w:val="center"/>
              <w:rPr>
                <w:bCs/>
                <w:sz w:val="18"/>
                <w:szCs w:val="18"/>
              </w:rPr>
            </w:pPr>
          </w:p>
        </w:tc>
        <w:tc>
          <w:tcPr>
            <w:tcW w:w="708" w:type="dxa"/>
            <w:noWrap/>
            <w:vAlign w:val="center"/>
          </w:tcPr>
          <w:p w14:paraId="01894A9F" w14:textId="77777777" w:rsidR="009D12AF" w:rsidRDefault="00000000">
            <w:pPr>
              <w:adjustRightInd w:val="0"/>
              <w:snapToGrid w:val="0"/>
              <w:spacing w:line="240" w:lineRule="auto"/>
              <w:ind w:firstLineChars="0" w:firstLine="0"/>
              <w:jc w:val="center"/>
              <w:rPr>
                <w:sz w:val="18"/>
                <w:szCs w:val="18"/>
              </w:rPr>
            </w:pPr>
            <w:r>
              <w:rPr>
                <w:sz w:val="18"/>
                <w:szCs w:val="18"/>
              </w:rPr>
              <w:t>□2</w:t>
            </w:r>
          </w:p>
        </w:tc>
        <w:tc>
          <w:tcPr>
            <w:tcW w:w="709" w:type="dxa"/>
            <w:vAlign w:val="center"/>
          </w:tcPr>
          <w:p w14:paraId="0B006BB7" w14:textId="77777777" w:rsidR="009D12AF" w:rsidRDefault="00000000">
            <w:pPr>
              <w:adjustRightInd w:val="0"/>
              <w:snapToGrid w:val="0"/>
              <w:spacing w:line="240" w:lineRule="auto"/>
              <w:ind w:firstLineChars="0" w:firstLine="0"/>
              <w:jc w:val="center"/>
              <w:rPr>
                <w:bCs/>
                <w:sz w:val="18"/>
                <w:szCs w:val="18"/>
              </w:rPr>
            </w:pPr>
            <w:r>
              <w:rPr>
                <w:b/>
                <w:sz w:val="21"/>
              </w:rPr>
              <w:t>□2</w:t>
            </w:r>
          </w:p>
        </w:tc>
        <w:tc>
          <w:tcPr>
            <w:tcW w:w="709" w:type="dxa"/>
            <w:vAlign w:val="center"/>
          </w:tcPr>
          <w:p w14:paraId="2A30F691" w14:textId="77777777" w:rsidR="009D12AF" w:rsidRDefault="00000000">
            <w:pPr>
              <w:adjustRightInd w:val="0"/>
              <w:snapToGrid w:val="0"/>
              <w:spacing w:line="240" w:lineRule="auto"/>
              <w:ind w:firstLineChars="0" w:firstLine="0"/>
              <w:jc w:val="center"/>
              <w:rPr>
                <w:bCs/>
                <w:sz w:val="18"/>
                <w:szCs w:val="18"/>
              </w:rPr>
            </w:pPr>
            <w:r>
              <w:rPr>
                <w:b/>
                <w:sz w:val="21"/>
              </w:rPr>
              <w:t>□2</w:t>
            </w:r>
          </w:p>
        </w:tc>
        <w:tc>
          <w:tcPr>
            <w:tcW w:w="617" w:type="dxa"/>
            <w:vAlign w:val="center"/>
          </w:tcPr>
          <w:p w14:paraId="336FE8AA" w14:textId="77777777" w:rsidR="009D12AF" w:rsidRDefault="00000000">
            <w:pPr>
              <w:adjustRightInd w:val="0"/>
              <w:snapToGrid w:val="0"/>
              <w:spacing w:line="240" w:lineRule="auto"/>
              <w:ind w:firstLineChars="0" w:firstLine="0"/>
              <w:jc w:val="center"/>
              <w:rPr>
                <w:bCs/>
                <w:sz w:val="18"/>
                <w:szCs w:val="18"/>
              </w:rPr>
            </w:pPr>
            <w:r>
              <w:rPr>
                <w:rFonts w:ascii="宋体" w:hAnsi="宋体" w:cs="宋体" w:hint="eastAsia"/>
                <w:bCs/>
                <w:sz w:val="18"/>
                <w:szCs w:val="18"/>
              </w:rPr>
              <w:t>★</w:t>
            </w:r>
          </w:p>
        </w:tc>
      </w:tr>
      <w:tr w:rsidR="009D12AF" w14:paraId="54726668" w14:textId="77777777">
        <w:trPr>
          <w:trHeight w:val="397"/>
          <w:jc w:val="center"/>
        </w:trPr>
        <w:tc>
          <w:tcPr>
            <w:tcW w:w="0" w:type="auto"/>
            <w:vMerge/>
            <w:vAlign w:val="center"/>
          </w:tcPr>
          <w:p w14:paraId="3E1605E5" w14:textId="77777777" w:rsidR="009D12AF" w:rsidRDefault="009D12AF">
            <w:pPr>
              <w:adjustRightInd w:val="0"/>
              <w:snapToGrid w:val="0"/>
              <w:spacing w:line="240" w:lineRule="auto"/>
              <w:ind w:firstLineChars="0" w:firstLine="0"/>
              <w:jc w:val="center"/>
              <w:rPr>
                <w:bCs/>
                <w:sz w:val="18"/>
                <w:szCs w:val="18"/>
              </w:rPr>
            </w:pPr>
          </w:p>
        </w:tc>
        <w:tc>
          <w:tcPr>
            <w:tcW w:w="1116" w:type="dxa"/>
            <w:vAlign w:val="center"/>
          </w:tcPr>
          <w:p w14:paraId="6DECE579" w14:textId="77777777" w:rsidR="009D12AF" w:rsidRDefault="00000000">
            <w:pPr>
              <w:adjustRightInd w:val="0"/>
              <w:snapToGrid w:val="0"/>
              <w:spacing w:line="240" w:lineRule="auto"/>
              <w:ind w:firstLineChars="0" w:firstLine="0"/>
              <w:jc w:val="center"/>
              <w:rPr>
                <w:bCs/>
                <w:sz w:val="18"/>
                <w:szCs w:val="18"/>
              </w:rPr>
            </w:pPr>
            <w:r>
              <w:rPr>
                <w:bCs/>
                <w:sz w:val="18"/>
                <w:szCs w:val="18"/>
              </w:rPr>
              <w:t>水文情势</w:t>
            </w:r>
          </w:p>
        </w:tc>
        <w:tc>
          <w:tcPr>
            <w:tcW w:w="627" w:type="dxa"/>
            <w:vAlign w:val="center"/>
          </w:tcPr>
          <w:p w14:paraId="342C5782" w14:textId="77777777" w:rsidR="009D12AF" w:rsidRDefault="009D12AF">
            <w:pPr>
              <w:adjustRightInd w:val="0"/>
              <w:snapToGrid w:val="0"/>
              <w:spacing w:line="240" w:lineRule="auto"/>
              <w:ind w:firstLineChars="0" w:firstLine="0"/>
              <w:jc w:val="center"/>
              <w:rPr>
                <w:bCs/>
                <w:sz w:val="18"/>
                <w:szCs w:val="18"/>
              </w:rPr>
            </w:pPr>
          </w:p>
        </w:tc>
        <w:tc>
          <w:tcPr>
            <w:tcW w:w="708" w:type="dxa"/>
            <w:vAlign w:val="center"/>
          </w:tcPr>
          <w:p w14:paraId="2425D624"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5A94FA98" w14:textId="77777777" w:rsidR="009D12AF" w:rsidRDefault="009D12AF">
            <w:pPr>
              <w:adjustRightInd w:val="0"/>
              <w:snapToGrid w:val="0"/>
              <w:spacing w:line="240" w:lineRule="auto"/>
              <w:ind w:firstLineChars="0" w:firstLine="0"/>
              <w:jc w:val="center"/>
              <w:rPr>
                <w:sz w:val="18"/>
                <w:szCs w:val="18"/>
              </w:rPr>
            </w:pPr>
          </w:p>
        </w:tc>
        <w:tc>
          <w:tcPr>
            <w:tcW w:w="709" w:type="dxa"/>
            <w:vAlign w:val="center"/>
          </w:tcPr>
          <w:p w14:paraId="205E790E" w14:textId="77777777" w:rsidR="009D12AF" w:rsidRDefault="009D12AF">
            <w:pPr>
              <w:adjustRightInd w:val="0"/>
              <w:snapToGrid w:val="0"/>
              <w:spacing w:line="240" w:lineRule="auto"/>
              <w:ind w:firstLineChars="0" w:firstLine="0"/>
              <w:jc w:val="center"/>
              <w:rPr>
                <w:bCs/>
                <w:sz w:val="18"/>
                <w:szCs w:val="18"/>
              </w:rPr>
            </w:pPr>
          </w:p>
        </w:tc>
        <w:tc>
          <w:tcPr>
            <w:tcW w:w="708" w:type="dxa"/>
            <w:noWrap/>
            <w:vAlign w:val="center"/>
          </w:tcPr>
          <w:p w14:paraId="6356CDC6" w14:textId="77777777" w:rsidR="009D12AF" w:rsidRDefault="00000000">
            <w:pPr>
              <w:adjustRightInd w:val="0"/>
              <w:snapToGrid w:val="0"/>
              <w:spacing w:line="240" w:lineRule="auto"/>
              <w:ind w:firstLineChars="0" w:firstLine="0"/>
              <w:jc w:val="center"/>
              <w:rPr>
                <w:sz w:val="18"/>
                <w:szCs w:val="18"/>
              </w:rPr>
            </w:pPr>
            <w:r>
              <w:rPr>
                <w:sz w:val="18"/>
                <w:szCs w:val="18"/>
              </w:rPr>
              <w:t>□2</w:t>
            </w:r>
          </w:p>
        </w:tc>
        <w:tc>
          <w:tcPr>
            <w:tcW w:w="709" w:type="dxa"/>
            <w:vAlign w:val="center"/>
          </w:tcPr>
          <w:p w14:paraId="14210DE8" w14:textId="77777777" w:rsidR="009D12AF" w:rsidRDefault="00000000">
            <w:pPr>
              <w:adjustRightInd w:val="0"/>
              <w:snapToGrid w:val="0"/>
              <w:spacing w:line="240" w:lineRule="auto"/>
              <w:ind w:firstLineChars="0" w:firstLine="0"/>
              <w:jc w:val="center"/>
              <w:rPr>
                <w:bCs/>
                <w:sz w:val="18"/>
                <w:szCs w:val="18"/>
              </w:rPr>
            </w:pPr>
            <w:r>
              <w:rPr>
                <w:b/>
                <w:sz w:val="21"/>
              </w:rPr>
              <w:t>□2</w:t>
            </w:r>
          </w:p>
        </w:tc>
        <w:tc>
          <w:tcPr>
            <w:tcW w:w="709" w:type="dxa"/>
            <w:vAlign w:val="center"/>
          </w:tcPr>
          <w:p w14:paraId="531F431D" w14:textId="77777777" w:rsidR="009D12AF" w:rsidRDefault="00000000">
            <w:pPr>
              <w:adjustRightInd w:val="0"/>
              <w:snapToGrid w:val="0"/>
              <w:spacing w:line="240" w:lineRule="auto"/>
              <w:ind w:firstLineChars="0" w:firstLine="0"/>
              <w:jc w:val="center"/>
              <w:rPr>
                <w:bCs/>
                <w:sz w:val="18"/>
                <w:szCs w:val="18"/>
              </w:rPr>
            </w:pPr>
            <w:r>
              <w:rPr>
                <w:b/>
                <w:sz w:val="21"/>
              </w:rPr>
              <w:t>□2</w:t>
            </w:r>
          </w:p>
        </w:tc>
        <w:tc>
          <w:tcPr>
            <w:tcW w:w="617" w:type="dxa"/>
            <w:vAlign w:val="center"/>
          </w:tcPr>
          <w:p w14:paraId="715E9476" w14:textId="77777777" w:rsidR="009D12AF" w:rsidRDefault="00000000">
            <w:pPr>
              <w:adjustRightInd w:val="0"/>
              <w:snapToGrid w:val="0"/>
              <w:spacing w:line="240" w:lineRule="auto"/>
              <w:ind w:firstLineChars="0" w:firstLine="0"/>
              <w:jc w:val="center"/>
              <w:rPr>
                <w:bCs/>
                <w:sz w:val="18"/>
                <w:szCs w:val="18"/>
              </w:rPr>
            </w:pPr>
            <w:r>
              <w:rPr>
                <w:rFonts w:ascii="宋体" w:hAnsi="宋体" w:cs="宋体" w:hint="eastAsia"/>
                <w:bCs/>
                <w:sz w:val="18"/>
                <w:szCs w:val="18"/>
              </w:rPr>
              <w:t>★</w:t>
            </w:r>
          </w:p>
        </w:tc>
      </w:tr>
      <w:tr w:rsidR="009D12AF" w14:paraId="3A046E59" w14:textId="77777777">
        <w:trPr>
          <w:trHeight w:val="397"/>
          <w:jc w:val="center"/>
        </w:trPr>
        <w:tc>
          <w:tcPr>
            <w:tcW w:w="0" w:type="auto"/>
            <w:vMerge/>
            <w:vAlign w:val="center"/>
          </w:tcPr>
          <w:p w14:paraId="43CF8138" w14:textId="77777777" w:rsidR="009D12AF" w:rsidRDefault="009D12AF">
            <w:pPr>
              <w:adjustRightInd w:val="0"/>
              <w:snapToGrid w:val="0"/>
              <w:spacing w:line="240" w:lineRule="auto"/>
              <w:ind w:firstLineChars="0" w:firstLine="0"/>
              <w:jc w:val="center"/>
              <w:rPr>
                <w:bCs/>
                <w:sz w:val="18"/>
                <w:szCs w:val="18"/>
              </w:rPr>
            </w:pPr>
          </w:p>
        </w:tc>
        <w:tc>
          <w:tcPr>
            <w:tcW w:w="1116" w:type="dxa"/>
            <w:vAlign w:val="center"/>
          </w:tcPr>
          <w:p w14:paraId="0A9D083B" w14:textId="77777777" w:rsidR="009D12AF" w:rsidRDefault="00000000">
            <w:pPr>
              <w:adjustRightInd w:val="0"/>
              <w:snapToGrid w:val="0"/>
              <w:spacing w:line="240" w:lineRule="auto"/>
              <w:ind w:firstLineChars="0" w:firstLine="0"/>
              <w:jc w:val="center"/>
              <w:rPr>
                <w:bCs/>
                <w:sz w:val="18"/>
                <w:szCs w:val="18"/>
              </w:rPr>
            </w:pPr>
            <w:r>
              <w:rPr>
                <w:bCs/>
                <w:sz w:val="18"/>
                <w:szCs w:val="18"/>
              </w:rPr>
              <w:t>地下水</w:t>
            </w:r>
          </w:p>
        </w:tc>
        <w:tc>
          <w:tcPr>
            <w:tcW w:w="627" w:type="dxa"/>
            <w:vAlign w:val="center"/>
          </w:tcPr>
          <w:p w14:paraId="45516C77" w14:textId="77777777" w:rsidR="009D12AF" w:rsidRDefault="009D12AF">
            <w:pPr>
              <w:adjustRightInd w:val="0"/>
              <w:snapToGrid w:val="0"/>
              <w:spacing w:line="240" w:lineRule="auto"/>
              <w:ind w:firstLineChars="0" w:firstLine="0"/>
              <w:jc w:val="center"/>
              <w:rPr>
                <w:bCs/>
                <w:sz w:val="18"/>
                <w:szCs w:val="18"/>
              </w:rPr>
            </w:pPr>
          </w:p>
        </w:tc>
        <w:tc>
          <w:tcPr>
            <w:tcW w:w="708" w:type="dxa"/>
            <w:vAlign w:val="center"/>
          </w:tcPr>
          <w:p w14:paraId="5FBAF170" w14:textId="77777777" w:rsidR="009D12AF" w:rsidRDefault="00000000">
            <w:pPr>
              <w:adjustRightInd w:val="0"/>
              <w:snapToGrid w:val="0"/>
              <w:spacing w:line="240" w:lineRule="auto"/>
              <w:ind w:firstLineChars="0" w:firstLine="0"/>
              <w:jc w:val="center"/>
              <w:rPr>
                <w:bCs/>
                <w:sz w:val="18"/>
                <w:szCs w:val="18"/>
              </w:rPr>
            </w:pPr>
            <w:r>
              <w:rPr>
                <w:sz w:val="18"/>
                <w:szCs w:val="18"/>
              </w:rPr>
              <w:t>▲ 1</w:t>
            </w:r>
          </w:p>
        </w:tc>
        <w:tc>
          <w:tcPr>
            <w:tcW w:w="709" w:type="dxa"/>
            <w:vAlign w:val="center"/>
          </w:tcPr>
          <w:p w14:paraId="21CD3838"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58F290B6" w14:textId="77777777" w:rsidR="009D12AF" w:rsidRDefault="009D12AF">
            <w:pPr>
              <w:adjustRightInd w:val="0"/>
              <w:snapToGrid w:val="0"/>
              <w:spacing w:line="240" w:lineRule="auto"/>
              <w:ind w:firstLineChars="0" w:firstLine="0"/>
              <w:jc w:val="center"/>
              <w:rPr>
                <w:bCs/>
                <w:sz w:val="18"/>
                <w:szCs w:val="18"/>
              </w:rPr>
            </w:pPr>
          </w:p>
        </w:tc>
        <w:tc>
          <w:tcPr>
            <w:tcW w:w="708" w:type="dxa"/>
            <w:vAlign w:val="center"/>
          </w:tcPr>
          <w:p w14:paraId="6CA6842F"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4B29F8C2"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243903B8" w14:textId="77777777" w:rsidR="009D12AF" w:rsidRDefault="009D12AF">
            <w:pPr>
              <w:adjustRightInd w:val="0"/>
              <w:snapToGrid w:val="0"/>
              <w:spacing w:line="240" w:lineRule="auto"/>
              <w:ind w:firstLineChars="0" w:firstLine="0"/>
              <w:jc w:val="center"/>
              <w:rPr>
                <w:bCs/>
                <w:sz w:val="18"/>
                <w:szCs w:val="18"/>
              </w:rPr>
            </w:pPr>
          </w:p>
        </w:tc>
        <w:tc>
          <w:tcPr>
            <w:tcW w:w="617" w:type="dxa"/>
            <w:vAlign w:val="center"/>
          </w:tcPr>
          <w:p w14:paraId="3A506A22" w14:textId="77777777" w:rsidR="009D12AF" w:rsidRDefault="009D12AF">
            <w:pPr>
              <w:adjustRightInd w:val="0"/>
              <w:snapToGrid w:val="0"/>
              <w:spacing w:line="240" w:lineRule="auto"/>
              <w:ind w:firstLineChars="0" w:firstLine="0"/>
              <w:jc w:val="center"/>
              <w:rPr>
                <w:bCs/>
                <w:sz w:val="18"/>
                <w:szCs w:val="18"/>
              </w:rPr>
            </w:pPr>
          </w:p>
        </w:tc>
      </w:tr>
      <w:tr w:rsidR="009D12AF" w14:paraId="6EB7751A" w14:textId="77777777">
        <w:trPr>
          <w:trHeight w:val="397"/>
          <w:jc w:val="center"/>
        </w:trPr>
        <w:tc>
          <w:tcPr>
            <w:tcW w:w="2052" w:type="dxa"/>
            <w:gridSpan w:val="2"/>
            <w:vAlign w:val="center"/>
          </w:tcPr>
          <w:p w14:paraId="570A178F" w14:textId="77777777" w:rsidR="009D12AF" w:rsidRDefault="00000000">
            <w:pPr>
              <w:adjustRightInd w:val="0"/>
              <w:snapToGrid w:val="0"/>
              <w:spacing w:line="240" w:lineRule="auto"/>
              <w:ind w:firstLineChars="0" w:firstLine="0"/>
              <w:jc w:val="center"/>
              <w:rPr>
                <w:bCs/>
                <w:sz w:val="18"/>
                <w:szCs w:val="18"/>
              </w:rPr>
            </w:pPr>
            <w:r>
              <w:rPr>
                <w:bCs/>
                <w:sz w:val="18"/>
                <w:szCs w:val="18"/>
              </w:rPr>
              <w:t>环境空气</w:t>
            </w:r>
          </w:p>
        </w:tc>
        <w:tc>
          <w:tcPr>
            <w:tcW w:w="627" w:type="dxa"/>
            <w:noWrap/>
            <w:vAlign w:val="center"/>
          </w:tcPr>
          <w:p w14:paraId="3936B0E0" w14:textId="77777777" w:rsidR="009D12AF" w:rsidRDefault="00000000">
            <w:pPr>
              <w:adjustRightInd w:val="0"/>
              <w:snapToGrid w:val="0"/>
              <w:spacing w:line="240" w:lineRule="auto"/>
              <w:ind w:firstLineChars="0" w:firstLine="0"/>
              <w:jc w:val="center"/>
              <w:rPr>
                <w:sz w:val="18"/>
                <w:szCs w:val="18"/>
              </w:rPr>
            </w:pPr>
            <w:r>
              <w:rPr>
                <w:sz w:val="18"/>
                <w:szCs w:val="18"/>
              </w:rPr>
              <w:t>▲2</w:t>
            </w:r>
          </w:p>
        </w:tc>
        <w:tc>
          <w:tcPr>
            <w:tcW w:w="708" w:type="dxa"/>
            <w:noWrap/>
            <w:vAlign w:val="center"/>
          </w:tcPr>
          <w:p w14:paraId="022C58BF" w14:textId="77777777" w:rsidR="009D12AF" w:rsidRDefault="00000000">
            <w:pPr>
              <w:adjustRightInd w:val="0"/>
              <w:snapToGrid w:val="0"/>
              <w:spacing w:line="240" w:lineRule="auto"/>
              <w:ind w:firstLineChars="0" w:firstLine="0"/>
              <w:jc w:val="center"/>
              <w:rPr>
                <w:sz w:val="18"/>
                <w:szCs w:val="18"/>
              </w:rPr>
            </w:pPr>
            <w:r>
              <w:rPr>
                <w:sz w:val="18"/>
                <w:szCs w:val="18"/>
              </w:rPr>
              <w:t>▲3</w:t>
            </w:r>
          </w:p>
        </w:tc>
        <w:tc>
          <w:tcPr>
            <w:tcW w:w="709" w:type="dxa"/>
            <w:noWrap/>
            <w:vAlign w:val="center"/>
          </w:tcPr>
          <w:p w14:paraId="7A5542EB" w14:textId="77777777" w:rsidR="009D12AF" w:rsidRDefault="009D12AF">
            <w:pPr>
              <w:adjustRightInd w:val="0"/>
              <w:snapToGrid w:val="0"/>
              <w:spacing w:line="240" w:lineRule="auto"/>
              <w:ind w:firstLineChars="0" w:firstLine="0"/>
              <w:jc w:val="center"/>
              <w:rPr>
                <w:sz w:val="18"/>
                <w:szCs w:val="18"/>
              </w:rPr>
            </w:pPr>
          </w:p>
        </w:tc>
        <w:tc>
          <w:tcPr>
            <w:tcW w:w="709" w:type="dxa"/>
            <w:vAlign w:val="center"/>
          </w:tcPr>
          <w:p w14:paraId="33F51FAB" w14:textId="77777777" w:rsidR="009D12AF" w:rsidRDefault="009D12AF">
            <w:pPr>
              <w:adjustRightInd w:val="0"/>
              <w:snapToGrid w:val="0"/>
              <w:spacing w:line="240" w:lineRule="auto"/>
              <w:ind w:firstLineChars="0" w:firstLine="0"/>
              <w:jc w:val="center"/>
              <w:rPr>
                <w:sz w:val="18"/>
                <w:szCs w:val="18"/>
              </w:rPr>
            </w:pPr>
          </w:p>
        </w:tc>
        <w:tc>
          <w:tcPr>
            <w:tcW w:w="708" w:type="dxa"/>
            <w:vAlign w:val="center"/>
          </w:tcPr>
          <w:p w14:paraId="5DCCBC0F"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12577C98"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41539156" w14:textId="77777777" w:rsidR="009D12AF" w:rsidRDefault="009D12AF">
            <w:pPr>
              <w:adjustRightInd w:val="0"/>
              <w:snapToGrid w:val="0"/>
              <w:spacing w:line="240" w:lineRule="auto"/>
              <w:ind w:firstLineChars="0" w:firstLine="0"/>
              <w:jc w:val="center"/>
              <w:rPr>
                <w:bCs/>
                <w:sz w:val="18"/>
                <w:szCs w:val="18"/>
              </w:rPr>
            </w:pPr>
          </w:p>
        </w:tc>
        <w:tc>
          <w:tcPr>
            <w:tcW w:w="617" w:type="dxa"/>
            <w:vAlign w:val="center"/>
          </w:tcPr>
          <w:p w14:paraId="3DFB59F9" w14:textId="77777777" w:rsidR="009D12AF" w:rsidRDefault="009D12AF">
            <w:pPr>
              <w:adjustRightInd w:val="0"/>
              <w:snapToGrid w:val="0"/>
              <w:spacing w:line="240" w:lineRule="auto"/>
              <w:ind w:firstLineChars="0" w:firstLine="0"/>
              <w:jc w:val="center"/>
              <w:rPr>
                <w:bCs/>
                <w:sz w:val="18"/>
                <w:szCs w:val="18"/>
              </w:rPr>
            </w:pPr>
          </w:p>
        </w:tc>
      </w:tr>
      <w:tr w:rsidR="009D12AF" w14:paraId="10A9DAEF" w14:textId="77777777">
        <w:trPr>
          <w:trHeight w:val="397"/>
          <w:jc w:val="center"/>
        </w:trPr>
        <w:tc>
          <w:tcPr>
            <w:tcW w:w="2052" w:type="dxa"/>
            <w:gridSpan w:val="2"/>
            <w:vAlign w:val="center"/>
          </w:tcPr>
          <w:p w14:paraId="0F1469DF" w14:textId="77777777" w:rsidR="009D12AF" w:rsidRDefault="00000000">
            <w:pPr>
              <w:adjustRightInd w:val="0"/>
              <w:snapToGrid w:val="0"/>
              <w:spacing w:line="240" w:lineRule="auto"/>
              <w:ind w:firstLineChars="0" w:firstLine="0"/>
              <w:jc w:val="center"/>
              <w:rPr>
                <w:bCs/>
                <w:sz w:val="18"/>
                <w:szCs w:val="18"/>
              </w:rPr>
            </w:pPr>
            <w:r>
              <w:rPr>
                <w:bCs/>
                <w:sz w:val="18"/>
                <w:szCs w:val="18"/>
              </w:rPr>
              <w:t>声环境</w:t>
            </w:r>
          </w:p>
        </w:tc>
        <w:tc>
          <w:tcPr>
            <w:tcW w:w="627" w:type="dxa"/>
            <w:noWrap/>
            <w:vAlign w:val="center"/>
          </w:tcPr>
          <w:p w14:paraId="1D2E5A91" w14:textId="77777777" w:rsidR="009D12AF" w:rsidRDefault="00000000">
            <w:pPr>
              <w:adjustRightInd w:val="0"/>
              <w:snapToGrid w:val="0"/>
              <w:spacing w:line="240" w:lineRule="auto"/>
              <w:ind w:firstLineChars="0" w:firstLine="0"/>
              <w:jc w:val="center"/>
              <w:rPr>
                <w:sz w:val="18"/>
                <w:szCs w:val="18"/>
              </w:rPr>
            </w:pPr>
            <w:r>
              <w:rPr>
                <w:sz w:val="18"/>
                <w:szCs w:val="18"/>
              </w:rPr>
              <w:t>▲2</w:t>
            </w:r>
          </w:p>
        </w:tc>
        <w:tc>
          <w:tcPr>
            <w:tcW w:w="708" w:type="dxa"/>
            <w:noWrap/>
            <w:vAlign w:val="center"/>
          </w:tcPr>
          <w:p w14:paraId="16553C41" w14:textId="77777777" w:rsidR="009D12AF" w:rsidRDefault="00000000">
            <w:pPr>
              <w:adjustRightInd w:val="0"/>
              <w:snapToGrid w:val="0"/>
              <w:spacing w:line="240" w:lineRule="auto"/>
              <w:ind w:firstLineChars="0" w:firstLine="0"/>
              <w:jc w:val="center"/>
              <w:rPr>
                <w:sz w:val="18"/>
                <w:szCs w:val="18"/>
              </w:rPr>
            </w:pPr>
            <w:r>
              <w:rPr>
                <w:sz w:val="18"/>
                <w:szCs w:val="18"/>
              </w:rPr>
              <w:t>▲2</w:t>
            </w:r>
          </w:p>
        </w:tc>
        <w:tc>
          <w:tcPr>
            <w:tcW w:w="709" w:type="dxa"/>
            <w:noWrap/>
            <w:vAlign w:val="center"/>
          </w:tcPr>
          <w:p w14:paraId="5EF53957" w14:textId="77777777" w:rsidR="009D12AF" w:rsidRDefault="00000000">
            <w:pPr>
              <w:adjustRightInd w:val="0"/>
              <w:snapToGrid w:val="0"/>
              <w:spacing w:line="240" w:lineRule="auto"/>
              <w:ind w:firstLineChars="0" w:firstLine="0"/>
              <w:jc w:val="center"/>
              <w:rPr>
                <w:sz w:val="18"/>
                <w:szCs w:val="18"/>
              </w:rPr>
            </w:pPr>
            <w:r>
              <w:rPr>
                <w:sz w:val="18"/>
                <w:szCs w:val="18"/>
              </w:rPr>
              <w:t>▲2</w:t>
            </w:r>
          </w:p>
        </w:tc>
        <w:tc>
          <w:tcPr>
            <w:tcW w:w="709" w:type="dxa"/>
            <w:vAlign w:val="center"/>
          </w:tcPr>
          <w:p w14:paraId="00A5B37F" w14:textId="77777777" w:rsidR="009D12AF" w:rsidRDefault="009D12AF">
            <w:pPr>
              <w:adjustRightInd w:val="0"/>
              <w:snapToGrid w:val="0"/>
              <w:spacing w:line="240" w:lineRule="auto"/>
              <w:ind w:firstLineChars="0" w:firstLine="0"/>
              <w:jc w:val="center"/>
              <w:rPr>
                <w:sz w:val="18"/>
                <w:szCs w:val="18"/>
              </w:rPr>
            </w:pPr>
          </w:p>
        </w:tc>
        <w:tc>
          <w:tcPr>
            <w:tcW w:w="708" w:type="dxa"/>
            <w:vAlign w:val="center"/>
          </w:tcPr>
          <w:p w14:paraId="6FE3D066"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11BEBAEA" w14:textId="77777777" w:rsidR="009D12AF" w:rsidRDefault="009D12AF">
            <w:pPr>
              <w:adjustRightInd w:val="0"/>
              <w:snapToGrid w:val="0"/>
              <w:spacing w:line="240" w:lineRule="auto"/>
              <w:ind w:firstLineChars="0" w:firstLine="0"/>
              <w:jc w:val="center"/>
              <w:rPr>
                <w:bCs/>
                <w:sz w:val="18"/>
                <w:szCs w:val="18"/>
              </w:rPr>
            </w:pPr>
          </w:p>
        </w:tc>
        <w:tc>
          <w:tcPr>
            <w:tcW w:w="709" w:type="dxa"/>
            <w:vAlign w:val="center"/>
          </w:tcPr>
          <w:p w14:paraId="5D156A90" w14:textId="77777777" w:rsidR="009D12AF" w:rsidRDefault="009D12AF">
            <w:pPr>
              <w:adjustRightInd w:val="0"/>
              <w:snapToGrid w:val="0"/>
              <w:spacing w:line="240" w:lineRule="auto"/>
              <w:ind w:firstLineChars="0" w:firstLine="0"/>
              <w:jc w:val="center"/>
              <w:rPr>
                <w:bCs/>
                <w:sz w:val="18"/>
                <w:szCs w:val="18"/>
              </w:rPr>
            </w:pPr>
          </w:p>
        </w:tc>
        <w:tc>
          <w:tcPr>
            <w:tcW w:w="617" w:type="dxa"/>
            <w:vAlign w:val="center"/>
          </w:tcPr>
          <w:p w14:paraId="19A60210" w14:textId="77777777" w:rsidR="009D12AF" w:rsidRDefault="009D12AF">
            <w:pPr>
              <w:adjustRightInd w:val="0"/>
              <w:snapToGrid w:val="0"/>
              <w:spacing w:line="240" w:lineRule="auto"/>
              <w:ind w:firstLineChars="0" w:firstLine="0"/>
              <w:jc w:val="center"/>
              <w:rPr>
                <w:bCs/>
                <w:sz w:val="18"/>
                <w:szCs w:val="18"/>
              </w:rPr>
            </w:pPr>
          </w:p>
        </w:tc>
      </w:tr>
    </w:tbl>
    <w:p w14:paraId="5F40C25D" w14:textId="77777777" w:rsidR="009D12AF" w:rsidRDefault="00000000">
      <w:pPr>
        <w:ind w:firstLine="422"/>
        <w:rPr>
          <w:b/>
          <w:bCs/>
          <w:sz w:val="21"/>
          <w:szCs w:val="21"/>
        </w:rPr>
      </w:pPr>
      <w:r>
        <w:rPr>
          <w:b/>
          <w:sz w:val="21"/>
        </w:rPr>
        <w:t>注：</w:t>
      </w:r>
      <w:r>
        <w:rPr>
          <w:b/>
          <w:sz w:val="21"/>
        </w:rPr>
        <w:t>■</w:t>
      </w:r>
      <w:r>
        <w:rPr>
          <w:b/>
          <w:sz w:val="21"/>
        </w:rPr>
        <w:t>长期不利影响，</w:t>
      </w:r>
      <w:r>
        <w:rPr>
          <w:b/>
          <w:sz w:val="21"/>
        </w:rPr>
        <w:t>□</w:t>
      </w:r>
      <w:r>
        <w:rPr>
          <w:b/>
          <w:sz w:val="21"/>
        </w:rPr>
        <w:t>长期有利影响；</w:t>
      </w:r>
      <w:r>
        <w:rPr>
          <w:b/>
          <w:sz w:val="21"/>
        </w:rPr>
        <w:t>▲</w:t>
      </w:r>
      <w:r>
        <w:rPr>
          <w:b/>
          <w:sz w:val="21"/>
        </w:rPr>
        <w:t>短期不利影响，</w:t>
      </w:r>
      <w:r>
        <w:rPr>
          <w:rFonts w:ascii="Cambria Math" w:hAnsi="Cambria Math" w:cs="Cambria Math"/>
          <w:b/>
          <w:sz w:val="21"/>
        </w:rPr>
        <w:t>△</w:t>
      </w:r>
      <w:r>
        <w:rPr>
          <w:b/>
          <w:sz w:val="21"/>
        </w:rPr>
        <w:t>短期有利影响；空格为无相互作用；</w:t>
      </w:r>
      <w:r>
        <w:rPr>
          <w:b/>
          <w:sz w:val="21"/>
        </w:rPr>
        <w:t>1</w:t>
      </w:r>
      <w:r>
        <w:rPr>
          <w:b/>
          <w:sz w:val="21"/>
        </w:rPr>
        <w:t>、</w:t>
      </w:r>
      <w:r>
        <w:rPr>
          <w:b/>
          <w:sz w:val="21"/>
        </w:rPr>
        <w:t>2</w:t>
      </w:r>
      <w:r>
        <w:rPr>
          <w:b/>
          <w:sz w:val="21"/>
        </w:rPr>
        <w:t>、</w:t>
      </w:r>
      <w:r>
        <w:rPr>
          <w:b/>
          <w:sz w:val="21"/>
        </w:rPr>
        <w:t>3</w:t>
      </w:r>
      <w:r>
        <w:rPr>
          <w:b/>
          <w:sz w:val="21"/>
        </w:rPr>
        <w:t>表示影响程度从小到大；</w:t>
      </w:r>
      <w:r>
        <w:rPr>
          <w:rFonts w:ascii="宋体" w:hAnsi="宋体" w:cs="宋体" w:hint="eastAsia"/>
          <w:b/>
          <w:sz w:val="21"/>
        </w:rPr>
        <w:t>★</w:t>
      </w:r>
      <w:r>
        <w:rPr>
          <w:b/>
          <w:sz w:val="21"/>
        </w:rPr>
        <w:t>重点评价因子</w:t>
      </w:r>
    </w:p>
    <w:p w14:paraId="526D44D2" w14:textId="77777777" w:rsidR="009D12AF" w:rsidRDefault="00000000">
      <w:pPr>
        <w:pStyle w:val="3"/>
      </w:pPr>
      <w:bookmarkStart w:id="60" w:name="_Toc7249"/>
      <w:bookmarkStart w:id="61" w:name="_Toc14640"/>
      <w:bookmarkStart w:id="62" w:name="_Toc4542"/>
      <w:bookmarkStart w:id="63" w:name="_Toc6013"/>
      <w:r>
        <w:rPr>
          <w:rFonts w:hint="eastAsia"/>
        </w:rPr>
        <w:t>2</w:t>
      </w:r>
      <w:r>
        <w:t>.</w:t>
      </w:r>
      <w:r>
        <w:rPr>
          <w:rFonts w:hint="eastAsia"/>
        </w:rPr>
        <w:t>4</w:t>
      </w:r>
      <w:r>
        <w:t xml:space="preserve">.2 </w:t>
      </w:r>
      <w:r>
        <w:t>评价因子</w:t>
      </w:r>
      <w:bookmarkEnd w:id="60"/>
      <w:bookmarkEnd w:id="61"/>
      <w:bookmarkEnd w:id="62"/>
      <w:bookmarkEnd w:id="63"/>
    </w:p>
    <w:p w14:paraId="44F620BA" w14:textId="77777777" w:rsidR="009D12AF" w:rsidRDefault="00000000">
      <w:pPr>
        <w:ind w:firstLine="480"/>
      </w:pPr>
      <w:r>
        <w:t>根据工程污染排放特点和对环境影响因子的识别，项目评价因子确定如下。</w:t>
      </w:r>
    </w:p>
    <w:p w14:paraId="315263C0" w14:textId="77777777" w:rsidR="009D12AF" w:rsidRDefault="00000000">
      <w:pPr>
        <w:ind w:firstLineChars="0" w:firstLine="0"/>
        <w:jc w:val="center"/>
      </w:pPr>
      <w:r>
        <w:rPr>
          <w:b/>
          <w:bCs/>
        </w:rPr>
        <w:t>表</w:t>
      </w:r>
      <w:r>
        <w:rPr>
          <w:rFonts w:ascii="Times New Roman" w:hAnsi="Times New Roman" w:cs="Times New Roman"/>
          <w:b/>
          <w:bCs/>
        </w:rPr>
        <w:t>2.</w:t>
      </w:r>
      <w:r>
        <w:rPr>
          <w:rFonts w:ascii="Times New Roman" w:hAnsi="Times New Roman" w:cs="Times New Roman" w:hint="eastAsia"/>
          <w:b/>
          <w:bCs/>
        </w:rPr>
        <w:t>4</w:t>
      </w:r>
      <w:r>
        <w:rPr>
          <w:rFonts w:ascii="Times New Roman" w:hAnsi="Times New Roman" w:cs="Times New Roman"/>
          <w:b/>
          <w:bCs/>
        </w:rPr>
        <w:t>-</w:t>
      </w:r>
      <w:r>
        <w:rPr>
          <w:rFonts w:ascii="Times New Roman" w:hAnsi="Times New Roman" w:cs="Times New Roman" w:hint="eastAsia"/>
          <w:b/>
          <w:bCs/>
        </w:rPr>
        <w:t>2</w:t>
      </w:r>
      <w:r>
        <w:rPr>
          <w:b/>
          <w:bCs/>
        </w:rPr>
        <w:t>评价因子</w:t>
      </w:r>
    </w:p>
    <w:tbl>
      <w:tblPr>
        <w:tblW w:w="4997"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071"/>
        <w:gridCol w:w="2240"/>
        <w:gridCol w:w="5206"/>
      </w:tblGrid>
      <w:tr w:rsidR="009D12AF" w14:paraId="52DCA557" w14:textId="77777777">
        <w:trPr>
          <w:jc w:val="center"/>
        </w:trPr>
        <w:tc>
          <w:tcPr>
            <w:tcW w:w="629" w:type="pct"/>
            <w:vAlign w:val="center"/>
          </w:tcPr>
          <w:p w14:paraId="40C990F8"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环境要素</w:t>
            </w:r>
          </w:p>
        </w:tc>
        <w:tc>
          <w:tcPr>
            <w:tcW w:w="1315" w:type="pct"/>
            <w:vAlign w:val="center"/>
          </w:tcPr>
          <w:p w14:paraId="0FCB5A3B"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评价类别</w:t>
            </w:r>
          </w:p>
        </w:tc>
        <w:tc>
          <w:tcPr>
            <w:tcW w:w="3055" w:type="pct"/>
            <w:vAlign w:val="center"/>
          </w:tcPr>
          <w:p w14:paraId="07513EA3"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评价因子</w:t>
            </w:r>
          </w:p>
        </w:tc>
      </w:tr>
      <w:tr w:rsidR="009D12AF" w14:paraId="5CDD576E" w14:textId="77777777">
        <w:trPr>
          <w:jc w:val="center"/>
        </w:trPr>
        <w:tc>
          <w:tcPr>
            <w:tcW w:w="629" w:type="pct"/>
            <w:vMerge w:val="restart"/>
            <w:vAlign w:val="center"/>
          </w:tcPr>
          <w:p w14:paraId="75BFE84C"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环境空气</w:t>
            </w:r>
          </w:p>
        </w:tc>
        <w:tc>
          <w:tcPr>
            <w:tcW w:w="1315" w:type="pct"/>
            <w:vAlign w:val="center"/>
          </w:tcPr>
          <w:p w14:paraId="5E3FA8D0"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环境现状评价</w:t>
            </w:r>
          </w:p>
        </w:tc>
        <w:tc>
          <w:tcPr>
            <w:tcW w:w="3055" w:type="pct"/>
            <w:vAlign w:val="center"/>
          </w:tcPr>
          <w:p w14:paraId="4B3C217B"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SO</w:t>
            </w:r>
            <w:r>
              <w:rPr>
                <w:rFonts w:ascii="Times New Roman" w:eastAsia="宋体" w:hAnsi="Times New Roman" w:cs="Times New Roman"/>
                <w:sz w:val="21"/>
                <w:szCs w:val="18"/>
                <w:vertAlign w:val="subscript"/>
              </w:rPr>
              <w:t>2</w:t>
            </w:r>
            <w:r>
              <w:rPr>
                <w:rFonts w:ascii="Times New Roman" w:eastAsia="宋体" w:hAnsi="Times New Roman" w:cs="Times New Roman"/>
                <w:sz w:val="21"/>
                <w:szCs w:val="18"/>
              </w:rPr>
              <w:t>、</w:t>
            </w:r>
            <w:r>
              <w:rPr>
                <w:rFonts w:ascii="Times New Roman" w:eastAsia="宋体" w:hAnsi="Times New Roman" w:cs="Times New Roman"/>
                <w:sz w:val="21"/>
                <w:szCs w:val="18"/>
              </w:rPr>
              <w:t>NO</w:t>
            </w:r>
            <w:r>
              <w:rPr>
                <w:rFonts w:ascii="Times New Roman" w:eastAsia="宋体" w:hAnsi="Times New Roman" w:cs="Times New Roman"/>
                <w:sz w:val="21"/>
                <w:szCs w:val="18"/>
                <w:vertAlign w:val="subscript"/>
              </w:rPr>
              <w:t>2</w:t>
            </w:r>
            <w:r>
              <w:rPr>
                <w:rFonts w:ascii="Times New Roman" w:eastAsia="宋体" w:hAnsi="Times New Roman" w:cs="Times New Roman"/>
                <w:sz w:val="21"/>
                <w:szCs w:val="18"/>
              </w:rPr>
              <w:t>、</w:t>
            </w:r>
            <w:r>
              <w:rPr>
                <w:rFonts w:ascii="Times New Roman" w:eastAsia="宋体" w:hAnsi="Times New Roman" w:cs="Times New Roman"/>
                <w:sz w:val="21"/>
                <w:szCs w:val="18"/>
              </w:rPr>
              <w:t>PM</w:t>
            </w:r>
            <w:r>
              <w:rPr>
                <w:rFonts w:ascii="Times New Roman" w:eastAsia="宋体" w:hAnsi="Times New Roman" w:cs="Times New Roman"/>
                <w:sz w:val="21"/>
                <w:szCs w:val="18"/>
                <w:vertAlign w:val="subscript"/>
              </w:rPr>
              <w:t>10</w:t>
            </w:r>
            <w:r>
              <w:rPr>
                <w:rFonts w:ascii="Times New Roman" w:eastAsia="宋体" w:hAnsi="Times New Roman" w:cs="Times New Roman"/>
                <w:sz w:val="21"/>
                <w:szCs w:val="18"/>
              </w:rPr>
              <w:t>、</w:t>
            </w:r>
            <w:r>
              <w:rPr>
                <w:rFonts w:ascii="Times New Roman" w:eastAsia="宋体" w:hAnsi="Times New Roman" w:cs="Times New Roman"/>
                <w:sz w:val="21"/>
                <w:szCs w:val="18"/>
              </w:rPr>
              <w:t>PM</w:t>
            </w:r>
            <w:r>
              <w:rPr>
                <w:rFonts w:ascii="Times New Roman" w:eastAsia="宋体" w:hAnsi="Times New Roman" w:cs="Times New Roman"/>
                <w:sz w:val="21"/>
                <w:szCs w:val="18"/>
                <w:vertAlign w:val="subscript"/>
              </w:rPr>
              <w:t>2.5</w:t>
            </w:r>
            <w:r>
              <w:rPr>
                <w:rFonts w:ascii="Times New Roman" w:eastAsia="宋体" w:hAnsi="Times New Roman" w:cs="Times New Roman"/>
                <w:sz w:val="21"/>
                <w:szCs w:val="18"/>
              </w:rPr>
              <w:t>、</w:t>
            </w:r>
            <w:r>
              <w:rPr>
                <w:rFonts w:ascii="Times New Roman" w:eastAsia="宋体" w:hAnsi="Times New Roman" w:cs="Times New Roman"/>
                <w:sz w:val="21"/>
                <w:szCs w:val="18"/>
              </w:rPr>
              <w:t>CO</w:t>
            </w:r>
            <w:r>
              <w:rPr>
                <w:rFonts w:ascii="Times New Roman" w:eastAsia="宋体" w:hAnsi="Times New Roman" w:cs="Times New Roman" w:hint="eastAsia"/>
                <w:sz w:val="21"/>
                <w:szCs w:val="18"/>
              </w:rPr>
              <w:t>、</w:t>
            </w:r>
            <w:r>
              <w:rPr>
                <w:rFonts w:ascii="Times New Roman" w:eastAsia="宋体" w:hAnsi="Times New Roman" w:cs="Times New Roman"/>
                <w:sz w:val="21"/>
                <w:szCs w:val="18"/>
              </w:rPr>
              <w:t>O</w:t>
            </w:r>
            <w:r>
              <w:rPr>
                <w:rFonts w:ascii="Times New Roman" w:eastAsia="宋体" w:hAnsi="Times New Roman" w:cs="Times New Roman"/>
                <w:sz w:val="21"/>
                <w:szCs w:val="18"/>
                <w:vertAlign w:val="subscript"/>
              </w:rPr>
              <w:t>3</w:t>
            </w:r>
            <w:r>
              <w:rPr>
                <w:rFonts w:ascii="Times New Roman" w:eastAsia="宋体" w:hAnsi="Times New Roman" w:cs="Times New Roman" w:hint="eastAsia"/>
                <w:sz w:val="21"/>
                <w:szCs w:val="18"/>
              </w:rPr>
              <w:t>、</w:t>
            </w:r>
            <w:r>
              <w:rPr>
                <w:rFonts w:ascii="Times New Roman" w:eastAsia="宋体" w:hAnsi="Times New Roman" w:cs="Times New Roman"/>
                <w:sz w:val="21"/>
                <w:szCs w:val="18"/>
              </w:rPr>
              <w:t>TSP</w:t>
            </w:r>
            <w:r>
              <w:rPr>
                <w:rFonts w:ascii="Times New Roman" w:eastAsia="宋体" w:hAnsi="Times New Roman" w:cs="Times New Roman" w:hint="eastAsia"/>
                <w:sz w:val="21"/>
                <w:szCs w:val="18"/>
              </w:rPr>
              <w:t>、氨和硫化氢</w:t>
            </w:r>
          </w:p>
        </w:tc>
      </w:tr>
      <w:tr w:rsidR="009D12AF" w14:paraId="2BDC0C4A" w14:textId="77777777">
        <w:trPr>
          <w:jc w:val="center"/>
        </w:trPr>
        <w:tc>
          <w:tcPr>
            <w:tcW w:w="629" w:type="pct"/>
            <w:vMerge/>
            <w:vAlign w:val="center"/>
          </w:tcPr>
          <w:p w14:paraId="326FF872" w14:textId="77777777" w:rsidR="009D12AF" w:rsidRDefault="009D12AF">
            <w:pPr>
              <w:spacing w:line="240" w:lineRule="auto"/>
              <w:ind w:firstLineChars="0" w:firstLine="0"/>
              <w:jc w:val="center"/>
              <w:rPr>
                <w:rFonts w:ascii="Times New Roman" w:eastAsia="宋体" w:hAnsi="Times New Roman" w:cs="Times New Roman"/>
                <w:color w:val="FF0000"/>
                <w:sz w:val="21"/>
                <w:szCs w:val="18"/>
                <w:highlight w:val="yellow"/>
              </w:rPr>
            </w:pPr>
          </w:p>
        </w:tc>
        <w:tc>
          <w:tcPr>
            <w:tcW w:w="1315" w:type="pct"/>
            <w:vAlign w:val="center"/>
          </w:tcPr>
          <w:p w14:paraId="0C9AECF5"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施工期环境影响评价</w:t>
            </w:r>
          </w:p>
        </w:tc>
        <w:tc>
          <w:tcPr>
            <w:tcW w:w="3055" w:type="pct"/>
            <w:vAlign w:val="center"/>
          </w:tcPr>
          <w:p w14:paraId="2E8127AE"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TSP</w:t>
            </w:r>
            <w:r>
              <w:rPr>
                <w:rFonts w:ascii="Times New Roman" w:hAnsi="Times New Roman" w:cs="Times New Roman" w:hint="eastAsia"/>
                <w:sz w:val="21"/>
                <w:szCs w:val="18"/>
              </w:rPr>
              <w:t>、氨、硫化氢</w:t>
            </w:r>
          </w:p>
        </w:tc>
      </w:tr>
      <w:tr w:rsidR="009D12AF" w14:paraId="2C2D1761" w14:textId="77777777">
        <w:trPr>
          <w:jc w:val="center"/>
        </w:trPr>
        <w:tc>
          <w:tcPr>
            <w:tcW w:w="629" w:type="pct"/>
            <w:vMerge/>
            <w:vAlign w:val="center"/>
          </w:tcPr>
          <w:p w14:paraId="33D030B3" w14:textId="77777777" w:rsidR="009D12AF" w:rsidRDefault="009D12AF">
            <w:pPr>
              <w:spacing w:line="240" w:lineRule="auto"/>
              <w:ind w:firstLineChars="0" w:firstLine="0"/>
              <w:jc w:val="center"/>
              <w:rPr>
                <w:rFonts w:ascii="Times New Roman" w:eastAsia="宋体" w:hAnsi="Times New Roman" w:cs="Times New Roman"/>
                <w:color w:val="FF0000"/>
                <w:sz w:val="21"/>
                <w:szCs w:val="18"/>
                <w:highlight w:val="yellow"/>
              </w:rPr>
            </w:pPr>
          </w:p>
        </w:tc>
        <w:tc>
          <w:tcPr>
            <w:tcW w:w="1315" w:type="pct"/>
            <w:vAlign w:val="center"/>
          </w:tcPr>
          <w:p w14:paraId="54E9173F"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hint="eastAsia"/>
                <w:sz w:val="21"/>
                <w:szCs w:val="18"/>
              </w:rPr>
              <w:t>运行期</w:t>
            </w:r>
          </w:p>
        </w:tc>
        <w:tc>
          <w:tcPr>
            <w:tcW w:w="3055" w:type="pct"/>
            <w:vAlign w:val="center"/>
          </w:tcPr>
          <w:p w14:paraId="0D2DAC06"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hAnsi="Times New Roman" w:cs="Times New Roman" w:hint="eastAsia"/>
                <w:sz w:val="21"/>
                <w:szCs w:val="18"/>
              </w:rPr>
              <w:t>/</w:t>
            </w:r>
          </w:p>
        </w:tc>
      </w:tr>
      <w:tr w:rsidR="009D12AF" w14:paraId="40606489" w14:textId="77777777">
        <w:trPr>
          <w:jc w:val="center"/>
        </w:trPr>
        <w:tc>
          <w:tcPr>
            <w:tcW w:w="629" w:type="pct"/>
            <w:vMerge w:val="restart"/>
            <w:vAlign w:val="center"/>
          </w:tcPr>
          <w:p w14:paraId="58E6BCBA"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地表水环境</w:t>
            </w:r>
          </w:p>
        </w:tc>
        <w:tc>
          <w:tcPr>
            <w:tcW w:w="1315" w:type="pct"/>
            <w:vAlign w:val="center"/>
          </w:tcPr>
          <w:p w14:paraId="26E31944"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环境现状评价</w:t>
            </w:r>
          </w:p>
        </w:tc>
        <w:tc>
          <w:tcPr>
            <w:tcW w:w="3055" w:type="pct"/>
            <w:vAlign w:val="center"/>
          </w:tcPr>
          <w:p w14:paraId="714D1C8B"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hint="eastAsia"/>
                <w:sz w:val="21"/>
                <w:szCs w:val="18"/>
              </w:rPr>
              <w:t>水质：</w:t>
            </w:r>
            <w:r>
              <w:rPr>
                <w:rFonts w:ascii="Times New Roman" w:eastAsia="宋体" w:hAnsi="Times New Roman" w:cs="Times New Roman"/>
                <w:sz w:val="21"/>
                <w:szCs w:val="18"/>
              </w:rPr>
              <w:t>水温、</w:t>
            </w:r>
            <w:r>
              <w:rPr>
                <w:rFonts w:ascii="Times New Roman" w:eastAsia="宋体" w:hAnsi="Times New Roman" w:cs="Times New Roman"/>
                <w:sz w:val="21"/>
                <w:szCs w:val="18"/>
              </w:rPr>
              <w:t>pH</w:t>
            </w:r>
            <w:r>
              <w:rPr>
                <w:rFonts w:ascii="Times New Roman" w:eastAsia="宋体" w:hAnsi="Times New Roman" w:cs="Times New Roman"/>
                <w:sz w:val="21"/>
                <w:szCs w:val="18"/>
              </w:rPr>
              <w:t>、溶解氧、高锰酸盐指数、化学需氧量、</w:t>
            </w:r>
            <w:r>
              <w:rPr>
                <w:rFonts w:ascii="Times New Roman" w:eastAsia="宋体" w:hAnsi="Times New Roman" w:cs="Times New Roman"/>
                <w:sz w:val="21"/>
                <w:szCs w:val="18"/>
              </w:rPr>
              <w:t>BOD5</w:t>
            </w:r>
            <w:r>
              <w:rPr>
                <w:rFonts w:ascii="Times New Roman" w:eastAsia="宋体" w:hAnsi="Times New Roman" w:cs="Times New Roman"/>
                <w:sz w:val="21"/>
                <w:szCs w:val="18"/>
              </w:rPr>
              <w:t>、氨氮、总氮、总磷、铜、</w:t>
            </w:r>
            <w:r>
              <w:rPr>
                <w:rFonts w:ascii="Times New Roman" w:eastAsia="宋体" w:hAnsi="Times New Roman" w:cs="Times New Roman"/>
                <w:sz w:val="21"/>
                <w:szCs w:val="18"/>
              </w:rPr>
              <w:t xml:space="preserve"> </w:t>
            </w:r>
            <w:r>
              <w:rPr>
                <w:rFonts w:ascii="Times New Roman" w:eastAsia="宋体" w:hAnsi="Times New Roman" w:cs="Times New Roman"/>
                <w:sz w:val="21"/>
                <w:szCs w:val="18"/>
              </w:rPr>
              <w:t>锌、氟化物、硒、砷、汞、镉、铬（六价）、铅、氰化物、挥发酚、石油类、阴离子表面活性剂、硫化物、粪大肠菌群、硫酸盐、氯化物、硝酸盐、铁、锰、叶绿素</w:t>
            </w:r>
            <w:r>
              <w:rPr>
                <w:rFonts w:ascii="Times New Roman" w:eastAsia="宋体" w:hAnsi="Times New Roman" w:cs="Times New Roman"/>
                <w:sz w:val="21"/>
                <w:szCs w:val="18"/>
              </w:rPr>
              <w:t xml:space="preserve"> a</w:t>
            </w:r>
            <w:r>
              <w:rPr>
                <w:rFonts w:ascii="Times New Roman" w:eastAsia="宋体" w:hAnsi="Times New Roman" w:cs="Times New Roman"/>
                <w:sz w:val="21"/>
                <w:szCs w:val="18"/>
              </w:rPr>
              <w:t>、透明度</w:t>
            </w:r>
          </w:p>
          <w:p w14:paraId="364CEE58" w14:textId="77777777" w:rsidR="009D12AF" w:rsidRDefault="00000000">
            <w:pPr>
              <w:ind w:firstLineChars="0" w:firstLine="0"/>
              <w:jc w:val="center"/>
            </w:pPr>
            <w:r>
              <w:rPr>
                <w:rFonts w:hint="eastAsia"/>
                <w:sz w:val="21"/>
                <w:szCs w:val="21"/>
              </w:rPr>
              <w:t>水文：水位、流速、径流量</w:t>
            </w:r>
          </w:p>
        </w:tc>
      </w:tr>
      <w:tr w:rsidR="009D12AF" w14:paraId="5F36B561" w14:textId="77777777">
        <w:trPr>
          <w:jc w:val="center"/>
        </w:trPr>
        <w:tc>
          <w:tcPr>
            <w:tcW w:w="629" w:type="pct"/>
            <w:vMerge/>
            <w:vAlign w:val="center"/>
          </w:tcPr>
          <w:p w14:paraId="4CFDA8F2" w14:textId="77777777" w:rsidR="009D12AF" w:rsidRDefault="009D12AF">
            <w:pPr>
              <w:spacing w:line="240" w:lineRule="auto"/>
              <w:ind w:firstLineChars="0" w:firstLine="0"/>
              <w:jc w:val="center"/>
              <w:rPr>
                <w:rFonts w:ascii="Times New Roman" w:eastAsia="宋体" w:hAnsi="Times New Roman" w:cs="Times New Roman"/>
                <w:color w:val="FF0000"/>
                <w:sz w:val="21"/>
                <w:szCs w:val="18"/>
                <w:highlight w:val="yellow"/>
              </w:rPr>
            </w:pPr>
          </w:p>
        </w:tc>
        <w:tc>
          <w:tcPr>
            <w:tcW w:w="1315" w:type="pct"/>
            <w:vAlign w:val="center"/>
          </w:tcPr>
          <w:p w14:paraId="3A472933"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施工期环境影响评价</w:t>
            </w:r>
          </w:p>
        </w:tc>
        <w:tc>
          <w:tcPr>
            <w:tcW w:w="3055" w:type="pct"/>
            <w:vAlign w:val="center"/>
          </w:tcPr>
          <w:p w14:paraId="570468D6"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hint="eastAsia"/>
                <w:sz w:val="21"/>
                <w:szCs w:val="18"/>
              </w:rPr>
              <w:t>水文形式、</w:t>
            </w:r>
            <w:r>
              <w:rPr>
                <w:rFonts w:ascii="Times New Roman" w:eastAsia="宋体" w:hAnsi="Times New Roman" w:cs="Times New Roman"/>
                <w:sz w:val="21"/>
                <w:szCs w:val="18"/>
              </w:rPr>
              <w:t>COD</w:t>
            </w:r>
            <w:r>
              <w:rPr>
                <w:rFonts w:ascii="Times New Roman" w:eastAsia="宋体" w:hAnsi="Times New Roman" w:cs="Times New Roman"/>
                <w:sz w:val="21"/>
                <w:szCs w:val="18"/>
              </w:rPr>
              <w:t>、氨氮、</w:t>
            </w:r>
            <w:r>
              <w:rPr>
                <w:rFonts w:ascii="Times New Roman" w:eastAsia="宋体" w:hAnsi="Times New Roman" w:cs="Times New Roman"/>
                <w:sz w:val="21"/>
                <w:szCs w:val="18"/>
              </w:rPr>
              <w:t>SS</w:t>
            </w:r>
            <w:r>
              <w:rPr>
                <w:rFonts w:ascii="Times New Roman" w:eastAsia="宋体" w:hAnsi="Times New Roman" w:cs="Times New Roman" w:hint="eastAsia"/>
                <w:sz w:val="21"/>
                <w:szCs w:val="18"/>
              </w:rPr>
              <w:t>、石油类</w:t>
            </w:r>
          </w:p>
        </w:tc>
      </w:tr>
      <w:tr w:rsidR="009D12AF" w14:paraId="32720F33" w14:textId="77777777">
        <w:trPr>
          <w:jc w:val="center"/>
        </w:trPr>
        <w:tc>
          <w:tcPr>
            <w:tcW w:w="629" w:type="pct"/>
            <w:vMerge/>
            <w:vAlign w:val="center"/>
          </w:tcPr>
          <w:p w14:paraId="50D929B2" w14:textId="77777777" w:rsidR="009D12AF" w:rsidRDefault="009D12AF">
            <w:pPr>
              <w:spacing w:line="240" w:lineRule="auto"/>
              <w:ind w:firstLineChars="0" w:firstLine="0"/>
              <w:jc w:val="center"/>
              <w:rPr>
                <w:rFonts w:ascii="Times New Roman" w:eastAsia="宋体" w:hAnsi="Times New Roman" w:cs="Times New Roman"/>
                <w:color w:val="FF0000"/>
                <w:sz w:val="21"/>
                <w:szCs w:val="18"/>
                <w:highlight w:val="yellow"/>
              </w:rPr>
            </w:pPr>
          </w:p>
        </w:tc>
        <w:tc>
          <w:tcPr>
            <w:tcW w:w="1315" w:type="pct"/>
            <w:vAlign w:val="center"/>
          </w:tcPr>
          <w:p w14:paraId="36217B3D"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运行期环境影响评价</w:t>
            </w:r>
          </w:p>
        </w:tc>
        <w:tc>
          <w:tcPr>
            <w:tcW w:w="3055" w:type="pct"/>
            <w:vAlign w:val="center"/>
          </w:tcPr>
          <w:p w14:paraId="3D81AA61"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hint="eastAsia"/>
                <w:sz w:val="21"/>
                <w:szCs w:val="18"/>
              </w:rPr>
              <w:t>/</w:t>
            </w:r>
          </w:p>
        </w:tc>
      </w:tr>
      <w:tr w:rsidR="009D12AF" w14:paraId="3979F848" w14:textId="77777777">
        <w:trPr>
          <w:jc w:val="center"/>
        </w:trPr>
        <w:tc>
          <w:tcPr>
            <w:tcW w:w="629" w:type="pct"/>
            <w:vMerge w:val="restart"/>
            <w:vAlign w:val="center"/>
          </w:tcPr>
          <w:p w14:paraId="5CBDE7B3"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地下水环境</w:t>
            </w:r>
          </w:p>
        </w:tc>
        <w:tc>
          <w:tcPr>
            <w:tcW w:w="1315" w:type="pct"/>
            <w:vAlign w:val="center"/>
          </w:tcPr>
          <w:p w14:paraId="7C6EA580"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环境现状评价</w:t>
            </w:r>
          </w:p>
        </w:tc>
        <w:tc>
          <w:tcPr>
            <w:tcW w:w="3055" w:type="pct"/>
            <w:vAlign w:val="center"/>
          </w:tcPr>
          <w:p w14:paraId="3BD019C9"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K</w:t>
            </w:r>
            <w:r>
              <w:rPr>
                <w:rFonts w:ascii="Times New Roman" w:eastAsia="宋体" w:hAnsi="Times New Roman" w:cs="Times New Roman"/>
                <w:sz w:val="21"/>
                <w:szCs w:val="18"/>
                <w:vertAlign w:val="superscript"/>
              </w:rPr>
              <w:t>+</w:t>
            </w:r>
            <w:r>
              <w:rPr>
                <w:rFonts w:ascii="Times New Roman" w:eastAsia="宋体" w:hAnsi="Times New Roman" w:cs="Times New Roman"/>
                <w:sz w:val="21"/>
                <w:szCs w:val="18"/>
              </w:rPr>
              <w:t>、</w:t>
            </w:r>
            <w:r>
              <w:rPr>
                <w:rFonts w:ascii="Times New Roman" w:eastAsia="宋体" w:hAnsi="Times New Roman" w:cs="Times New Roman"/>
                <w:sz w:val="21"/>
                <w:szCs w:val="18"/>
              </w:rPr>
              <w:t>Na</w:t>
            </w:r>
            <w:r>
              <w:rPr>
                <w:rFonts w:ascii="Times New Roman" w:eastAsia="宋体" w:hAnsi="Times New Roman" w:cs="Times New Roman"/>
                <w:sz w:val="21"/>
                <w:szCs w:val="18"/>
                <w:vertAlign w:val="superscript"/>
              </w:rPr>
              <w:t>+</w:t>
            </w:r>
            <w:r>
              <w:rPr>
                <w:rFonts w:ascii="Times New Roman" w:eastAsia="宋体" w:hAnsi="Times New Roman" w:cs="Times New Roman"/>
                <w:sz w:val="21"/>
                <w:szCs w:val="18"/>
              </w:rPr>
              <w:t>、</w:t>
            </w:r>
            <w:r>
              <w:rPr>
                <w:rFonts w:ascii="Times New Roman" w:eastAsia="宋体" w:hAnsi="Times New Roman" w:cs="Times New Roman"/>
                <w:sz w:val="21"/>
                <w:szCs w:val="18"/>
              </w:rPr>
              <w:t>Ca</w:t>
            </w:r>
            <w:r>
              <w:rPr>
                <w:rFonts w:ascii="Times New Roman" w:eastAsia="宋体" w:hAnsi="Times New Roman" w:cs="Times New Roman"/>
                <w:sz w:val="21"/>
                <w:szCs w:val="18"/>
                <w:vertAlign w:val="superscript"/>
              </w:rPr>
              <w:t>2+</w:t>
            </w:r>
            <w:r>
              <w:rPr>
                <w:rFonts w:ascii="Times New Roman" w:eastAsia="宋体" w:hAnsi="Times New Roman" w:cs="Times New Roman"/>
                <w:sz w:val="21"/>
                <w:szCs w:val="18"/>
              </w:rPr>
              <w:t>、</w:t>
            </w:r>
            <w:r>
              <w:rPr>
                <w:rFonts w:ascii="Times New Roman" w:eastAsia="宋体" w:hAnsi="Times New Roman" w:cs="Times New Roman"/>
                <w:sz w:val="21"/>
                <w:szCs w:val="18"/>
              </w:rPr>
              <w:t>Mg</w:t>
            </w:r>
            <w:r>
              <w:rPr>
                <w:rFonts w:ascii="Times New Roman" w:eastAsia="宋体" w:hAnsi="Times New Roman" w:cs="Times New Roman"/>
                <w:sz w:val="21"/>
                <w:szCs w:val="18"/>
                <w:vertAlign w:val="superscript"/>
              </w:rPr>
              <w:t>2+</w:t>
            </w:r>
            <w:r>
              <w:rPr>
                <w:rFonts w:ascii="Times New Roman" w:eastAsia="宋体" w:hAnsi="Times New Roman" w:cs="Times New Roman"/>
                <w:sz w:val="21"/>
                <w:szCs w:val="18"/>
              </w:rPr>
              <w:t>、</w:t>
            </w:r>
            <w:r>
              <w:rPr>
                <w:rFonts w:ascii="Times New Roman" w:eastAsia="宋体" w:hAnsi="Times New Roman" w:cs="Times New Roman"/>
                <w:sz w:val="21"/>
                <w:szCs w:val="18"/>
              </w:rPr>
              <w:t>CO</w:t>
            </w:r>
            <w:r>
              <w:rPr>
                <w:rFonts w:ascii="Times New Roman" w:eastAsia="宋体" w:hAnsi="Times New Roman" w:cs="Times New Roman"/>
                <w:sz w:val="21"/>
                <w:szCs w:val="18"/>
                <w:vertAlign w:val="subscript"/>
              </w:rPr>
              <w:t>3</w:t>
            </w:r>
            <w:r>
              <w:rPr>
                <w:rFonts w:ascii="Times New Roman" w:eastAsia="宋体" w:hAnsi="Times New Roman" w:cs="Times New Roman"/>
                <w:sz w:val="21"/>
                <w:szCs w:val="18"/>
                <w:vertAlign w:val="superscript"/>
              </w:rPr>
              <w:t>2-</w:t>
            </w:r>
            <w:r>
              <w:rPr>
                <w:rFonts w:ascii="Times New Roman" w:eastAsia="宋体" w:hAnsi="Times New Roman" w:cs="Times New Roman"/>
                <w:sz w:val="21"/>
                <w:szCs w:val="18"/>
              </w:rPr>
              <w:t>、</w:t>
            </w:r>
            <w:r>
              <w:rPr>
                <w:rFonts w:ascii="Times New Roman" w:eastAsia="宋体" w:hAnsi="Times New Roman" w:cs="Times New Roman"/>
                <w:sz w:val="21"/>
                <w:szCs w:val="18"/>
              </w:rPr>
              <w:t>HCO</w:t>
            </w:r>
            <w:r>
              <w:rPr>
                <w:rFonts w:ascii="Times New Roman" w:eastAsia="宋体" w:hAnsi="Times New Roman" w:cs="Times New Roman"/>
                <w:sz w:val="21"/>
                <w:szCs w:val="18"/>
                <w:vertAlign w:val="subscript"/>
              </w:rPr>
              <w:t>3</w:t>
            </w:r>
            <w:r>
              <w:rPr>
                <w:rFonts w:ascii="Times New Roman" w:eastAsia="宋体" w:hAnsi="Times New Roman" w:cs="Times New Roman"/>
                <w:sz w:val="21"/>
                <w:szCs w:val="18"/>
                <w:vertAlign w:val="superscript"/>
              </w:rPr>
              <w:t>-</w:t>
            </w:r>
            <w:r>
              <w:rPr>
                <w:rFonts w:ascii="Times New Roman" w:eastAsia="宋体" w:hAnsi="Times New Roman" w:cs="Times New Roman"/>
                <w:sz w:val="21"/>
                <w:szCs w:val="18"/>
              </w:rPr>
              <w:t>、</w:t>
            </w:r>
            <w:r>
              <w:rPr>
                <w:rFonts w:ascii="Times New Roman" w:eastAsia="宋体" w:hAnsi="Times New Roman" w:cs="Times New Roman"/>
                <w:sz w:val="21"/>
                <w:szCs w:val="18"/>
              </w:rPr>
              <w:t>Cl</w:t>
            </w:r>
            <w:r>
              <w:rPr>
                <w:rFonts w:ascii="Times New Roman" w:eastAsia="宋体" w:hAnsi="Times New Roman" w:cs="Times New Roman"/>
                <w:sz w:val="21"/>
                <w:szCs w:val="18"/>
                <w:vertAlign w:val="superscript"/>
              </w:rPr>
              <w:t>-</w:t>
            </w:r>
            <w:r>
              <w:rPr>
                <w:rFonts w:ascii="Times New Roman" w:eastAsia="宋体" w:hAnsi="Times New Roman" w:cs="Times New Roman"/>
                <w:sz w:val="21"/>
                <w:szCs w:val="18"/>
              </w:rPr>
              <w:t>、</w:t>
            </w:r>
            <w:r>
              <w:rPr>
                <w:rFonts w:ascii="Times New Roman" w:eastAsia="宋体" w:hAnsi="Times New Roman" w:cs="Times New Roman"/>
                <w:sz w:val="21"/>
                <w:szCs w:val="18"/>
              </w:rPr>
              <w:t>SO</w:t>
            </w:r>
            <w:r>
              <w:rPr>
                <w:rFonts w:ascii="Times New Roman" w:eastAsia="宋体" w:hAnsi="Times New Roman" w:cs="Times New Roman"/>
                <w:sz w:val="21"/>
                <w:szCs w:val="18"/>
                <w:vertAlign w:val="subscript"/>
              </w:rPr>
              <w:t>4</w:t>
            </w:r>
            <w:r>
              <w:rPr>
                <w:rFonts w:ascii="Times New Roman" w:eastAsia="宋体" w:hAnsi="Times New Roman" w:cs="Times New Roman"/>
                <w:sz w:val="21"/>
                <w:szCs w:val="18"/>
                <w:vertAlign w:val="superscript"/>
              </w:rPr>
              <w:t>2-</w:t>
            </w:r>
            <w:r>
              <w:rPr>
                <w:rFonts w:ascii="Times New Roman" w:eastAsia="宋体" w:hAnsi="Times New Roman" w:cs="Times New Roman"/>
                <w:sz w:val="21"/>
                <w:szCs w:val="18"/>
              </w:rPr>
              <w:t>；</w:t>
            </w:r>
            <w:r>
              <w:rPr>
                <w:rFonts w:ascii="Times New Roman" w:eastAsia="宋体" w:hAnsi="Times New Roman" w:cs="Times New Roman"/>
                <w:sz w:val="21"/>
                <w:szCs w:val="18"/>
              </w:rPr>
              <w:t>pH</w:t>
            </w:r>
            <w:r>
              <w:rPr>
                <w:rFonts w:ascii="Times New Roman" w:eastAsia="宋体" w:hAnsi="Times New Roman" w:cs="Times New Roman"/>
                <w:sz w:val="21"/>
                <w:szCs w:val="18"/>
              </w:rPr>
              <w:t>、氨氮、硝酸盐氮、亚硝酸盐氮、挥发性酚类、砷、汞、铬（六价）、总硬度、铅、氟、铁、锰、溶解性总固体、耗氧量（</w:t>
            </w:r>
            <w:r>
              <w:rPr>
                <w:rFonts w:ascii="Times New Roman" w:eastAsia="宋体" w:hAnsi="Times New Roman" w:cs="Times New Roman"/>
                <w:sz w:val="21"/>
                <w:szCs w:val="18"/>
              </w:rPr>
              <w:t>COD</w:t>
            </w:r>
            <w:r>
              <w:rPr>
                <w:rFonts w:ascii="Times New Roman" w:eastAsia="宋体" w:hAnsi="Times New Roman" w:cs="Times New Roman"/>
                <w:sz w:val="21"/>
                <w:szCs w:val="18"/>
                <w:vertAlign w:val="subscript"/>
              </w:rPr>
              <w:t>Mn</w:t>
            </w:r>
            <w:r>
              <w:rPr>
                <w:rFonts w:ascii="Times New Roman" w:eastAsia="宋体" w:hAnsi="Times New Roman" w:cs="Times New Roman"/>
                <w:sz w:val="21"/>
                <w:szCs w:val="18"/>
              </w:rPr>
              <w:t>法，以</w:t>
            </w:r>
            <w:r>
              <w:rPr>
                <w:rFonts w:ascii="Times New Roman" w:eastAsia="宋体" w:hAnsi="Times New Roman" w:cs="Times New Roman"/>
                <w:sz w:val="21"/>
                <w:szCs w:val="18"/>
              </w:rPr>
              <w:t>O</w:t>
            </w:r>
            <w:r>
              <w:rPr>
                <w:rFonts w:ascii="Times New Roman" w:eastAsia="宋体" w:hAnsi="Times New Roman" w:cs="Times New Roman"/>
                <w:sz w:val="21"/>
                <w:szCs w:val="18"/>
                <w:vertAlign w:val="subscript"/>
              </w:rPr>
              <w:t>2</w:t>
            </w:r>
            <w:r>
              <w:rPr>
                <w:rFonts w:ascii="Times New Roman" w:eastAsia="宋体" w:hAnsi="Times New Roman" w:cs="Times New Roman"/>
                <w:sz w:val="21"/>
                <w:szCs w:val="18"/>
              </w:rPr>
              <w:t>计）、总大肠菌群、菌落总数、镉、氰化物</w:t>
            </w:r>
          </w:p>
        </w:tc>
      </w:tr>
      <w:tr w:rsidR="009D12AF" w14:paraId="7D1AD908" w14:textId="77777777">
        <w:trPr>
          <w:jc w:val="center"/>
        </w:trPr>
        <w:tc>
          <w:tcPr>
            <w:tcW w:w="629" w:type="pct"/>
            <w:vMerge/>
            <w:vAlign w:val="center"/>
          </w:tcPr>
          <w:p w14:paraId="1736A7D8" w14:textId="77777777" w:rsidR="009D12AF" w:rsidRDefault="009D12AF">
            <w:pPr>
              <w:spacing w:line="240" w:lineRule="auto"/>
              <w:ind w:firstLineChars="0" w:firstLine="0"/>
              <w:jc w:val="center"/>
              <w:rPr>
                <w:rFonts w:ascii="Times New Roman" w:eastAsia="宋体" w:hAnsi="Times New Roman" w:cs="Times New Roman"/>
                <w:color w:val="FF0000"/>
                <w:sz w:val="21"/>
                <w:szCs w:val="18"/>
                <w:highlight w:val="yellow"/>
              </w:rPr>
            </w:pPr>
          </w:p>
        </w:tc>
        <w:tc>
          <w:tcPr>
            <w:tcW w:w="1315" w:type="pct"/>
            <w:vAlign w:val="center"/>
          </w:tcPr>
          <w:p w14:paraId="26D1BA19"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hint="eastAsia"/>
                <w:sz w:val="21"/>
                <w:szCs w:val="18"/>
              </w:rPr>
              <w:t>施工</w:t>
            </w:r>
            <w:r>
              <w:rPr>
                <w:rFonts w:ascii="Times New Roman" w:eastAsia="宋体" w:hAnsi="Times New Roman" w:cs="Times New Roman"/>
                <w:sz w:val="21"/>
                <w:szCs w:val="18"/>
              </w:rPr>
              <w:t>期环境影响评价</w:t>
            </w:r>
          </w:p>
        </w:tc>
        <w:tc>
          <w:tcPr>
            <w:tcW w:w="3055" w:type="pct"/>
            <w:vAlign w:val="center"/>
          </w:tcPr>
          <w:p w14:paraId="56DD2680"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hint="eastAsia"/>
                <w:sz w:val="21"/>
                <w:szCs w:val="18"/>
              </w:rPr>
              <w:t>定性分析，工程建设期对项目所在区域地下水环境的影响</w:t>
            </w:r>
          </w:p>
        </w:tc>
      </w:tr>
      <w:tr w:rsidR="009D12AF" w14:paraId="790569F0" w14:textId="77777777">
        <w:trPr>
          <w:jc w:val="center"/>
        </w:trPr>
        <w:tc>
          <w:tcPr>
            <w:tcW w:w="629" w:type="pct"/>
            <w:vMerge/>
            <w:vAlign w:val="center"/>
          </w:tcPr>
          <w:p w14:paraId="0A0514A0" w14:textId="77777777" w:rsidR="009D12AF" w:rsidRDefault="009D12AF">
            <w:pPr>
              <w:spacing w:line="240" w:lineRule="auto"/>
              <w:ind w:firstLineChars="0" w:firstLine="0"/>
              <w:jc w:val="center"/>
              <w:rPr>
                <w:rFonts w:ascii="Times New Roman" w:eastAsia="宋体" w:hAnsi="Times New Roman" w:cs="Times New Roman"/>
                <w:color w:val="FF0000"/>
                <w:sz w:val="21"/>
                <w:szCs w:val="18"/>
                <w:highlight w:val="yellow"/>
              </w:rPr>
            </w:pPr>
          </w:p>
        </w:tc>
        <w:tc>
          <w:tcPr>
            <w:tcW w:w="1315" w:type="pct"/>
            <w:vAlign w:val="center"/>
          </w:tcPr>
          <w:p w14:paraId="7FF4F664"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运行期环境影响评价</w:t>
            </w:r>
          </w:p>
        </w:tc>
        <w:tc>
          <w:tcPr>
            <w:tcW w:w="3055" w:type="pct"/>
            <w:vAlign w:val="center"/>
          </w:tcPr>
          <w:p w14:paraId="739D6A56"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hint="eastAsia"/>
                <w:sz w:val="21"/>
                <w:szCs w:val="18"/>
              </w:rPr>
              <w:t>/</w:t>
            </w:r>
          </w:p>
        </w:tc>
      </w:tr>
      <w:tr w:rsidR="009D12AF" w14:paraId="30123301" w14:textId="77777777">
        <w:trPr>
          <w:jc w:val="center"/>
        </w:trPr>
        <w:tc>
          <w:tcPr>
            <w:tcW w:w="629" w:type="pct"/>
            <w:vMerge w:val="restart"/>
            <w:vAlign w:val="center"/>
          </w:tcPr>
          <w:p w14:paraId="5FBE1066"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声环境</w:t>
            </w:r>
          </w:p>
        </w:tc>
        <w:tc>
          <w:tcPr>
            <w:tcW w:w="1315" w:type="pct"/>
            <w:vAlign w:val="center"/>
          </w:tcPr>
          <w:p w14:paraId="19880EC5"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环境现状评价</w:t>
            </w:r>
          </w:p>
        </w:tc>
        <w:tc>
          <w:tcPr>
            <w:tcW w:w="3055" w:type="pct"/>
            <w:vAlign w:val="center"/>
          </w:tcPr>
          <w:p w14:paraId="13AB5CC2"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Leq(A)</w:t>
            </w:r>
          </w:p>
        </w:tc>
      </w:tr>
      <w:tr w:rsidR="009D12AF" w14:paraId="26940A12" w14:textId="77777777">
        <w:trPr>
          <w:jc w:val="center"/>
        </w:trPr>
        <w:tc>
          <w:tcPr>
            <w:tcW w:w="629" w:type="pct"/>
            <w:vMerge/>
            <w:vAlign w:val="center"/>
          </w:tcPr>
          <w:p w14:paraId="453B6D80" w14:textId="77777777" w:rsidR="009D12AF" w:rsidRDefault="009D12AF">
            <w:pPr>
              <w:spacing w:line="240" w:lineRule="auto"/>
              <w:ind w:firstLineChars="0" w:firstLine="0"/>
              <w:jc w:val="center"/>
              <w:rPr>
                <w:rFonts w:ascii="Times New Roman" w:eastAsia="宋体" w:hAnsi="Times New Roman" w:cs="Times New Roman"/>
                <w:sz w:val="21"/>
                <w:szCs w:val="18"/>
              </w:rPr>
            </w:pPr>
          </w:p>
        </w:tc>
        <w:tc>
          <w:tcPr>
            <w:tcW w:w="1315" w:type="pct"/>
            <w:vAlign w:val="center"/>
          </w:tcPr>
          <w:p w14:paraId="13E4B3ED"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施工期环境影响评价</w:t>
            </w:r>
          </w:p>
        </w:tc>
        <w:tc>
          <w:tcPr>
            <w:tcW w:w="3055" w:type="pct"/>
            <w:vAlign w:val="center"/>
          </w:tcPr>
          <w:p w14:paraId="47D73834"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Leq(A)</w:t>
            </w:r>
          </w:p>
        </w:tc>
      </w:tr>
      <w:tr w:rsidR="009D12AF" w14:paraId="428AA00C" w14:textId="77777777">
        <w:trPr>
          <w:jc w:val="center"/>
        </w:trPr>
        <w:tc>
          <w:tcPr>
            <w:tcW w:w="629" w:type="pct"/>
            <w:vMerge/>
            <w:vAlign w:val="center"/>
          </w:tcPr>
          <w:p w14:paraId="18530C97" w14:textId="77777777" w:rsidR="009D12AF" w:rsidRDefault="009D12AF">
            <w:pPr>
              <w:spacing w:line="240" w:lineRule="auto"/>
              <w:ind w:firstLineChars="0" w:firstLine="0"/>
              <w:jc w:val="center"/>
              <w:rPr>
                <w:rFonts w:ascii="Times New Roman" w:eastAsia="宋体" w:hAnsi="Times New Roman" w:cs="Times New Roman"/>
                <w:sz w:val="21"/>
                <w:szCs w:val="18"/>
              </w:rPr>
            </w:pPr>
          </w:p>
        </w:tc>
        <w:tc>
          <w:tcPr>
            <w:tcW w:w="1315" w:type="pct"/>
            <w:vAlign w:val="center"/>
          </w:tcPr>
          <w:p w14:paraId="4516AB3C"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运行期环境影响评价</w:t>
            </w:r>
          </w:p>
        </w:tc>
        <w:tc>
          <w:tcPr>
            <w:tcW w:w="3055" w:type="pct"/>
            <w:vAlign w:val="center"/>
          </w:tcPr>
          <w:p w14:paraId="11B40759"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hint="eastAsia"/>
                <w:sz w:val="21"/>
                <w:szCs w:val="18"/>
              </w:rPr>
              <w:t>/</w:t>
            </w:r>
          </w:p>
        </w:tc>
      </w:tr>
      <w:tr w:rsidR="009D12AF" w14:paraId="00F5460C" w14:textId="77777777">
        <w:trPr>
          <w:jc w:val="center"/>
        </w:trPr>
        <w:tc>
          <w:tcPr>
            <w:tcW w:w="629" w:type="pct"/>
            <w:vMerge w:val="restart"/>
            <w:vAlign w:val="center"/>
          </w:tcPr>
          <w:p w14:paraId="5B2AC779"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固体废物</w:t>
            </w:r>
          </w:p>
        </w:tc>
        <w:tc>
          <w:tcPr>
            <w:tcW w:w="1315" w:type="pct"/>
            <w:vAlign w:val="center"/>
          </w:tcPr>
          <w:p w14:paraId="13334201"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hint="eastAsia"/>
                <w:sz w:val="21"/>
                <w:szCs w:val="18"/>
              </w:rPr>
              <w:t>环境现状评级</w:t>
            </w:r>
          </w:p>
        </w:tc>
        <w:tc>
          <w:tcPr>
            <w:tcW w:w="3055" w:type="pct"/>
            <w:vAlign w:val="center"/>
          </w:tcPr>
          <w:p w14:paraId="3077DA0F"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hint="eastAsia"/>
                <w:sz w:val="21"/>
                <w:szCs w:val="18"/>
              </w:rPr>
              <w:t>/</w:t>
            </w:r>
          </w:p>
        </w:tc>
      </w:tr>
      <w:tr w:rsidR="009D12AF" w14:paraId="49DE747F" w14:textId="77777777">
        <w:trPr>
          <w:jc w:val="center"/>
        </w:trPr>
        <w:tc>
          <w:tcPr>
            <w:tcW w:w="629" w:type="pct"/>
            <w:vMerge/>
            <w:vAlign w:val="center"/>
          </w:tcPr>
          <w:p w14:paraId="5C8CF09B" w14:textId="77777777" w:rsidR="009D12AF" w:rsidRDefault="009D12AF">
            <w:pPr>
              <w:spacing w:line="240" w:lineRule="auto"/>
              <w:ind w:firstLineChars="0" w:firstLine="0"/>
              <w:jc w:val="center"/>
              <w:rPr>
                <w:rFonts w:ascii="Times New Roman" w:eastAsia="宋体" w:hAnsi="Times New Roman" w:cs="Times New Roman"/>
                <w:sz w:val="21"/>
                <w:szCs w:val="18"/>
              </w:rPr>
            </w:pPr>
          </w:p>
        </w:tc>
        <w:tc>
          <w:tcPr>
            <w:tcW w:w="1315" w:type="pct"/>
            <w:vAlign w:val="center"/>
          </w:tcPr>
          <w:p w14:paraId="25F757A2"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施工期环境影响评价</w:t>
            </w:r>
          </w:p>
        </w:tc>
        <w:tc>
          <w:tcPr>
            <w:tcW w:w="3055" w:type="pct"/>
            <w:vAlign w:val="center"/>
          </w:tcPr>
          <w:p w14:paraId="1CE9A151"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hint="eastAsia"/>
                <w:sz w:val="21"/>
                <w:szCs w:val="18"/>
              </w:rPr>
              <w:t>清淤底泥、隔油浮渣、场地清理及土方开挖产生的废渣、</w:t>
            </w:r>
            <w:r>
              <w:rPr>
                <w:rFonts w:ascii="Times New Roman" w:eastAsia="宋体" w:hAnsi="Times New Roman" w:cs="Times New Roman"/>
                <w:sz w:val="21"/>
                <w:szCs w:val="18"/>
              </w:rPr>
              <w:t>生活垃圾</w:t>
            </w:r>
          </w:p>
        </w:tc>
      </w:tr>
      <w:tr w:rsidR="009D12AF" w14:paraId="3E46B4E0" w14:textId="77777777">
        <w:trPr>
          <w:jc w:val="center"/>
        </w:trPr>
        <w:tc>
          <w:tcPr>
            <w:tcW w:w="629" w:type="pct"/>
            <w:vMerge/>
            <w:vAlign w:val="center"/>
          </w:tcPr>
          <w:p w14:paraId="7627FE54" w14:textId="77777777" w:rsidR="009D12AF" w:rsidRDefault="009D12AF">
            <w:pPr>
              <w:spacing w:line="240" w:lineRule="auto"/>
              <w:ind w:firstLineChars="0" w:firstLine="0"/>
              <w:jc w:val="center"/>
              <w:rPr>
                <w:rFonts w:ascii="Times New Roman" w:eastAsia="宋体" w:hAnsi="Times New Roman" w:cs="Times New Roman"/>
                <w:sz w:val="21"/>
                <w:szCs w:val="18"/>
              </w:rPr>
            </w:pPr>
          </w:p>
        </w:tc>
        <w:tc>
          <w:tcPr>
            <w:tcW w:w="1315" w:type="pct"/>
            <w:vAlign w:val="center"/>
          </w:tcPr>
          <w:p w14:paraId="7754E6AE"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运行期环境影响评价</w:t>
            </w:r>
          </w:p>
        </w:tc>
        <w:tc>
          <w:tcPr>
            <w:tcW w:w="3055" w:type="pct"/>
            <w:vAlign w:val="center"/>
          </w:tcPr>
          <w:p w14:paraId="0F229F52"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hint="eastAsia"/>
                <w:sz w:val="21"/>
                <w:szCs w:val="18"/>
              </w:rPr>
              <w:t>/</w:t>
            </w:r>
          </w:p>
        </w:tc>
      </w:tr>
      <w:tr w:rsidR="009D12AF" w14:paraId="0A72C221" w14:textId="77777777">
        <w:trPr>
          <w:jc w:val="center"/>
        </w:trPr>
        <w:tc>
          <w:tcPr>
            <w:tcW w:w="629" w:type="pct"/>
            <w:vMerge w:val="restart"/>
            <w:vAlign w:val="center"/>
          </w:tcPr>
          <w:p w14:paraId="3995D609"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hint="eastAsia"/>
                <w:sz w:val="21"/>
                <w:szCs w:val="18"/>
              </w:rPr>
              <w:t>土壤环境（包括底泥）</w:t>
            </w:r>
          </w:p>
        </w:tc>
        <w:tc>
          <w:tcPr>
            <w:tcW w:w="1315" w:type="pct"/>
            <w:vAlign w:val="center"/>
          </w:tcPr>
          <w:p w14:paraId="4440D6E2"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hint="eastAsia"/>
                <w:sz w:val="21"/>
                <w:szCs w:val="18"/>
              </w:rPr>
              <w:t>环境现状评价</w:t>
            </w:r>
          </w:p>
        </w:tc>
        <w:tc>
          <w:tcPr>
            <w:tcW w:w="3055" w:type="pct"/>
            <w:vAlign w:val="center"/>
          </w:tcPr>
          <w:p w14:paraId="06807E1D"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hint="eastAsia"/>
                <w:sz w:val="21"/>
                <w:szCs w:val="18"/>
              </w:rPr>
              <w:t>pH</w:t>
            </w:r>
            <w:r>
              <w:rPr>
                <w:rFonts w:ascii="Times New Roman" w:eastAsia="宋体" w:hAnsi="Times New Roman" w:cs="Times New Roman" w:hint="eastAsia"/>
                <w:sz w:val="21"/>
                <w:szCs w:val="18"/>
              </w:rPr>
              <w:t>值、砷、镉、铬（六价）、铜、铅、汞、镍、六六六总量、滴滴涕总量、苯并</w:t>
            </w:r>
            <w:r>
              <w:rPr>
                <w:rFonts w:ascii="Times New Roman" w:eastAsia="宋体" w:hAnsi="Times New Roman" w:cs="Times New Roman" w:hint="eastAsia"/>
                <w:sz w:val="21"/>
                <w:szCs w:val="18"/>
              </w:rPr>
              <w:t>[a]</w:t>
            </w:r>
            <w:r>
              <w:rPr>
                <w:rFonts w:ascii="Times New Roman" w:eastAsia="宋体" w:hAnsi="Times New Roman" w:cs="Times New Roman" w:hint="eastAsia"/>
                <w:sz w:val="21"/>
                <w:szCs w:val="18"/>
              </w:rPr>
              <w:t>芘</w:t>
            </w:r>
          </w:p>
        </w:tc>
      </w:tr>
      <w:tr w:rsidR="009D12AF" w14:paraId="67417DCA" w14:textId="77777777">
        <w:trPr>
          <w:jc w:val="center"/>
        </w:trPr>
        <w:tc>
          <w:tcPr>
            <w:tcW w:w="629" w:type="pct"/>
            <w:vMerge/>
            <w:vAlign w:val="center"/>
          </w:tcPr>
          <w:p w14:paraId="6F8E2A2D" w14:textId="77777777" w:rsidR="009D12AF" w:rsidRDefault="009D12AF">
            <w:pPr>
              <w:spacing w:line="240" w:lineRule="auto"/>
              <w:ind w:firstLineChars="0" w:firstLine="0"/>
              <w:jc w:val="center"/>
              <w:rPr>
                <w:rFonts w:ascii="Times New Roman" w:eastAsia="宋体" w:hAnsi="Times New Roman" w:cs="Times New Roman"/>
                <w:sz w:val="21"/>
                <w:szCs w:val="18"/>
              </w:rPr>
            </w:pPr>
          </w:p>
        </w:tc>
        <w:tc>
          <w:tcPr>
            <w:tcW w:w="1315" w:type="pct"/>
            <w:vAlign w:val="center"/>
          </w:tcPr>
          <w:p w14:paraId="3BF4F769"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施工期环境影响评价</w:t>
            </w:r>
          </w:p>
        </w:tc>
        <w:tc>
          <w:tcPr>
            <w:tcW w:w="3055" w:type="pct"/>
            <w:vAlign w:val="center"/>
          </w:tcPr>
          <w:p w14:paraId="3FC442BF"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hint="eastAsia"/>
                <w:sz w:val="21"/>
                <w:szCs w:val="18"/>
              </w:rPr>
              <w:t>/</w:t>
            </w:r>
          </w:p>
        </w:tc>
      </w:tr>
      <w:tr w:rsidR="009D12AF" w14:paraId="5CF65614" w14:textId="77777777">
        <w:trPr>
          <w:jc w:val="center"/>
        </w:trPr>
        <w:tc>
          <w:tcPr>
            <w:tcW w:w="629" w:type="pct"/>
            <w:vMerge/>
            <w:vAlign w:val="center"/>
          </w:tcPr>
          <w:p w14:paraId="56839782" w14:textId="77777777" w:rsidR="009D12AF" w:rsidRDefault="009D12AF">
            <w:pPr>
              <w:spacing w:line="240" w:lineRule="auto"/>
              <w:ind w:firstLineChars="0" w:firstLine="0"/>
              <w:jc w:val="center"/>
              <w:rPr>
                <w:rFonts w:ascii="Times New Roman" w:eastAsia="宋体" w:hAnsi="Times New Roman" w:cs="Times New Roman"/>
                <w:sz w:val="21"/>
                <w:szCs w:val="18"/>
              </w:rPr>
            </w:pPr>
          </w:p>
        </w:tc>
        <w:tc>
          <w:tcPr>
            <w:tcW w:w="1315" w:type="pct"/>
            <w:vAlign w:val="center"/>
          </w:tcPr>
          <w:p w14:paraId="11582A00"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sz w:val="21"/>
                <w:szCs w:val="18"/>
              </w:rPr>
              <w:t>运行期环境影响评价</w:t>
            </w:r>
          </w:p>
        </w:tc>
        <w:tc>
          <w:tcPr>
            <w:tcW w:w="3055" w:type="pct"/>
            <w:vAlign w:val="center"/>
          </w:tcPr>
          <w:p w14:paraId="7E4FF852" w14:textId="77777777" w:rsidR="009D12AF" w:rsidRDefault="00000000">
            <w:pPr>
              <w:spacing w:line="240" w:lineRule="auto"/>
              <w:ind w:firstLineChars="0" w:firstLine="0"/>
              <w:jc w:val="center"/>
              <w:rPr>
                <w:rFonts w:ascii="Times New Roman" w:eastAsia="宋体" w:hAnsi="Times New Roman" w:cs="Times New Roman"/>
                <w:sz w:val="21"/>
                <w:szCs w:val="18"/>
              </w:rPr>
            </w:pPr>
            <w:r>
              <w:rPr>
                <w:rFonts w:ascii="Times New Roman" w:eastAsia="宋体" w:hAnsi="Times New Roman" w:cs="Times New Roman" w:hint="eastAsia"/>
                <w:sz w:val="21"/>
                <w:szCs w:val="18"/>
              </w:rPr>
              <w:t>/</w:t>
            </w:r>
          </w:p>
        </w:tc>
      </w:tr>
      <w:tr w:rsidR="009D12AF" w14:paraId="17C77D24" w14:textId="77777777">
        <w:trPr>
          <w:jc w:val="center"/>
        </w:trPr>
        <w:tc>
          <w:tcPr>
            <w:tcW w:w="1072" w:type="dxa"/>
            <w:vAlign w:val="center"/>
          </w:tcPr>
          <w:p w14:paraId="71511381" w14:textId="77777777" w:rsidR="009D12AF" w:rsidRDefault="00000000">
            <w:pPr>
              <w:pStyle w:val="afb"/>
              <w:adjustRightInd w:val="0"/>
              <w:snapToGrid w:val="0"/>
              <w:ind w:firstLine="0"/>
              <w:rPr>
                <w:rFonts w:ascii="Times New Roman" w:eastAsia="宋体" w:hAnsi="Times New Roman"/>
                <w:szCs w:val="18"/>
              </w:rPr>
            </w:pPr>
            <w:bookmarkStart w:id="64" w:name="_Toc31288"/>
            <w:bookmarkStart w:id="65" w:name="_Toc16696"/>
            <w:bookmarkStart w:id="66" w:name="_Toc2651"/>
            <w:r>
              <w:rPr>
                <w:rFonts w:eastAsia="宋体"/>
              </w:rPr>
              <w:t>环境风险</w:t>
            </w:r>
          </w:p>
        </w:tc>
        <w:tc>
          <w:tcPr>
            <w:tcW w:w="2240" w:type="dxa"/>
            <w:vAlign w:val="center"/>
          </w:tcPr>
          <w:p w14:paraId="4E663EB0" w14:textId="77777777" w:rsidR="009D12AF" w:rsidRDefault="00000000">
            <w:pPr>
              <w:pStyle w:val="afb"/>
              <w:adjustRightInd w:val="0"/>
              <w:snapToGrid w:val="0"/>
              <w:ind w:firstLine="0"/>
              <w:rPr>
                <w:rFonts w:ascii="Times New Roman" w:eastAsia="宋体" w:hAnsi="Times New Roman"/>
                <w:szCs w:val="18"/>
              </w:rPr>
            </w:pPr>
            <w:r>
              <w:rPr>
                <w:rFonts w:eastAsia="宋体"/>
              </w:rPr>
              <w:t>影响评价</w:t>
            </w:r>
          </w:p>
        </w:tc>
        <w:tc>
          <w:tcPr>
            <w:tcW w:w="5205" w:type="dxa"/>
            <w:vAlign w:val="center"/>
          </w:tcPr>
          <w:p w14:paraId="437FC579" w14:textId="77777777" w:rsidR="009D12AF" w:rsidRDefault="00000000">
            <w:pPr>
              <w:pStyle w:val="afb"/>
              <w:adjustRightInd w:val="0"/>
              <w:snapToGrid w:val="0"/>
              <w:ind w:firstLine="0"/>
              <w:rPr>
                <w:rFonts w:ascii="Times New Roman" w:eastAsia="宋体" w:hAnsi="Times New Roman"/>
                <w:szCs w:val="18"/>
              </w:rPr>
            </w:pPr>
            <w:r>
              <w:rPr>
                <w:rFonts w:eastAsia="宋体"/>
              </w:rPr>
              <w:t>预防风险事故</w:t>
            </w:r>
          </w:p>
        </w:tc>
      </w:tr>
    </w:tbl>
    <w:p w14:paraId="5B187ACF" w14:textId="77777777" w:rsidR="009D12AF" w:rsidRDefault="00000000">
      <w:pPr>
        <w:ind w:firstLine="480"/>
        <w:rPr>
          <w:rFonts w:eastAsia="宋体" w:hAnsi="Times New Roman"/>
        </w:rPr>
      </w:pPr>
      <w:r>
        <w:rPr>
          <w:rFonts w:eastAsia="宋体" w:hAnsi="Times New Roman" w:hint="eastAsia"/>
        </w:rPr>
        <w:t>本项目</w:t>
      </w:r>
      <w:r>
        <w:rPr>
          <w:rFonts w:eastAsia="宋体" w:hAnsi="Times New Roman"/>
        </w:rPr>
        <w:t>工程施工期的影响主要通过施工扰动产生的，属于直接影响。施工过程中对水环境、大气环境、声环境、生态环境、土壤环境将产生不利影响，清淤工程在施工过程中可能会对水源地水质产生短暂的不利影响，但是施工期影响范围小，施工过程中通过采取相应环境保护措施、污染防治措施及生态恢复措施后，这种影响可以接受。本工程实施后，</w:t>
      </w:r>
      <w:r>
        <w:rPr>
          <w:rFonts w:eastAsia="宋体" w:hAnsi="Times New Roman" w:hint="eastAsia"/>
        </w:rPr>
        <w:t>水库</w:t>
      </w:r>
      <w:r>
        <w:rPr>
          <w:rFonts w:eastAsia="宋体" w:hAnsi="Times New Roman"/>
        </w:rPr>
        <w:t>内源（底泥）被清除，减少内源污染物释放，改善</w:t>
      </w:r>
      <w:r>
        <w:rPr>
          <w:rFonts w:eastAsia="宋体" w:hAnsi="Times New Roman" w:hint="eastAsia"/>
        </w:rPr>
        <w:t>清淤水库</w:t>
      </w:r>
      <w:r>
        <w:rPr>
          <w:rFonts w:eastAsia="宋体" w:hAnsi="Times New Roman"/>
        </w:rPr>
        <w:t>水质与水生生态环境、美化</w:t>
      </w:r>
      <w:r>
        <w:rPr>
          <w:rFonts w:eastAsia="宋体" w:hAnsi="Times New Roman" w:hint="eastAsia"/>
        </w:rPr>
        <w:t>海林市水库</w:t>
      </w:r>
      <w:r>
        <w:rPr>
          <w:rFonts w:eastAsia="宋体" w:hAnsi="Times New Roman"/>
        </w:rPr>
        <w:t>生态环境。将给区域生态环境和景观带来有利影响，所以对生态环境的负面影响减轻，生态环境得以恢复改善。</w:t>
      </w:r>
    </w:p>
    <w:p w14:paraId="552C41E5" w14:textId="77777777" w:rsidR="009D12AF" w:rsidRDefault="00000000">
      <w:pPr>
        <w:pStyle w:val="TOC2"/>
        <w:adjustRightInd w:val="0"/>
        <w:snapToGrid w:val="0"/>
        <w:spacing w:line="240" w:lineRule="auto"/>
        <w:ind w:left="480" w:firstLine="482"/>
        <w:jc w:val="center"/>
        <w:rPr>
          <w:b/>
          <w:snapToGrid w:val="0"/>
        </w:rPr>
      </w:pPr>
      <w:r>
        <w:rPr>
          <w:b/>
          <w:snapToGrid w:val="0"/>
        </w:rPr>
        <w:t>表</w:t>
      </w:r>
      <w:r>
        <w:rPr>
          <w:b/>
          <w:snapToGrid w:val="0"/>
        </w:rPr>
        <w:t>2</w:t>
      </w:r>
      <w:r>
        <w:rPr>
          <w:rFonts w:hint="eastAsia"/>
          <w:b/>
          <w:snapToGrid w:val="0"/>
        </w:rPr>
        <w:t>.4-3</w:t>
      </w:r>
      <w:r>
        <w:rPr>
          <w:b/>
          <w:snapToGrid w:val="0"/>
        </w:rPr>
        <w:t xml:space="preserve">  </w:t>
      </w:r>
      <w:r>
        <w:rPr>
          <w:b/>
          <w:snapToGrid w:val="0"/>
        </w:rPr>
        <w:t>生态影响评价因子</w:t>
      </w:r>
    </w:p>
    <w:tbl>
      <w:tblPr>
        <w:tblW w:w="8522"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56"/>
        <w:gridCol w:w="953"/>
        <w:gridCol w:w="2977"/>
        <w:gridCol w:w="2126"/>
        <w:gridCol w:w="851"/>
        <w:gridCol w:w="759"/>
      </w:tblGrid>
      <w:tr w:rsidR="009D12AF" w14:paraId="117944ED" w14:textId="77777777">
        <w:trPr>
          <w:trHeight w:val="397"/>
          <w:jc w:val="center"/>
        </w:trPr>
        <w:tc>
          <w:tcPr>
            <w:tcW w:w="856" w:type="dxa"/>
            <w:vAlign w:val="center"/>
          </w:tcPr>
          <w:p w14:paraId="1DE8E135" w14:textId="77777777" w:rsidR="009D12AF" w:rsidRDefault="00000000">
            <w:pPr>
              <w:adjustRightInd w:val="0"/>
              <w:snapToGrid w:val="0"/>
              <w:spacing w:line="240" w:lineRule="auto"/>
              <w:ind w:firstLineChars="0" w:firstLine="0"/>
              <w:jc w:val="center"/>
              <w:rPr>
                <w:b/>
                <w:bCs/>
                <w:sz w:val="21"/>
                <w:szCs w:val="21"/>
                <w:lang w:bidi="ar"/>
              </w:rPr>
            </w:pPr>
            <w:r>
              <w:rPr>
                <w:b/>
                <w:bCs/>
                <w:sz w:val="21"/>
                <w:szCs w:val="21"/>
                <w:lang w:bidi="ar"/>
              </w:rPr>
              <w:t>受影响对象</w:t>
            </w:r>
          </w:p>
        </w:tc>
        <w:tc>
          <w:tcPr>
            <w:tcW w:w="953" w:type="dxa"/>
            <w:vAlign w:val="center"/>
          </w:tcPr>
          <w:p w14:paraId="0A148121" w14:textId="77777777" w:rsidR="009D12AF" w:rsidRDefault="00000000">
            <w:pPr>
              <w:adjustRightInd w:val="0"/>
              <w:snapToGrid w:val="0"/>
              <w:spacing w:line="240" w:lineRule="auto"/>
              <w:ind w:firstLineChars="0" w:firstLine="0"/>
              <w:jc w:val="center"/>
              <w:rPr>
                <w:b/>
                <w:bCs/>
                <w:sz w:val="21"/>
                <w:szCs w:val="21"/>
                <w:lang w:bidi="ar"/>
              </w:rPr>
            </w:pPr>
            <w:r>
              <w:rPr>
                <w:b/>
                <w:bCs/>
                <w:sz w:val="21"/>
                <w:szCs w:val="21"/>
                <w:lang w:bidi="ar"/>
              </w:rPr>
              <w:t>评价时段</w:t>
            </w:r>
          </w:p>
        </w:tc>
        <w:tc>
          <w:tcPr>
            <w:tcW w:w="2977" w:type="dxa"/>
            <w:vAlign w:val="center"/>
          </w:tcPr>
          <w:p w14:paraId="4FAA7E6B" w14:textId="77777777" w:rsidR="009D12AF" w:rsidRDefault="00000000">
            <w:pPr>
              <w:adjustRightInd w:val="0"/>
              <w:snapToGrid w:val="0"/>
              <w:spacing w:line="240" w:lineRule="auto"/>
              <w:ind w:firstLineChars="0" w:firstLine="0"/>
              <w:jc w:val="center"/>
              <w:rPr>
                <w:b/>
                <w:bCs/>
                <w:sz w:val="21"/>
                <w:szCs w:val="21"/>
                <w:lang w:bidi="ar"/>
              </w:rPr>
            </w:pPr>
            <w:r>
              <w:rPr>
                <w:b/>
                <w:bCs/>
                <w:sz w:val="21"/>
                <w:szCs w:val="21"/>
                <w:lang w:bidi="ar"/>
              </w:rPr>
              <w:t>评价因子</w:t>
            </w:r>
          </w:p>
        </w:tc>
        <w:tc>
          <w:tcPr>
            <w:tcW w:w="2126" w:type="dxa"/>
            <w:vAlign w:val="center"/>
          </w:tcPr>
          <w:p w14:paraId="5AC0A7E2" w14:textId="77777777" w:rsidR="009D12AF" w:rsidRDefault="00000000">
            <w:pPr>
              <w:adjustRightInd w:val="0"/>
              <w:snapToGrid w:val="0"/>
              <w:spacing w:line="240" w:lineRule="auto"/>
              <w:ind w:firstLineChars="0" w:firstLine="0"/>
              <w:jc w:val="center"/>
              <w:rPr>
                <w:b/>
                <w:bCs/>
                <w:sz w:val="21"/>
                <w:szCs w:val="21"/>
                <w:lang w:bidi="ar"/>
              </w:rPr>
            </w:pPr>
            <w:r>
              <w:rPr>
                <w:b/>
                <w:bCs/>
                <w:sz w:val="21"/>
                <w:szCs w:val="21"/>
                <w:lang w:bidi="ar"/>
              </w:rPr>
              <w:t>工程内容及影响方式</w:t>
            </w:r>
          </w:p>
        </w:tc>
        <w:tc>
          <w:tcPr>
            <w:tcW w:w="851" w:type="dxa"/>
            <w:vAlign w:val="center"/>
          </w:tcPr>
          <w:p w14:paraId="2BF58137" w14:textId="77777777" w:rsidR="009D12AF" w:rsidRDefault="00000000">
            <w:pPr>
              <w:adjustRightInd w:val="0"/>
              <w:snapToGrid w:val="0"/>
              <w:spacing w:line="240" w:lineRule="auto"/>
              <w:ind w:firstLineChars="0" w:firstLine="0"/>
              <w:jc w:val="center"/>
              <w:rPr>
                <w:b/>
                <w:bCs/>
                <w:sz w:val="21"/>
                <w:szCs w:val="21"/>
                <w:lang w:bidi="ar"/>
              </w:rPr>
            </w:pPr>
            <w:r>
              <w:rPr>
                <w:b/>
                <w:bCs/>
                <w:sz w:val="21"/>
                <w:szCs w:val="21"/>
                <w:lang w:bidi="ar"/>
              </w:rPr>
              <w:t>影响性质</w:t>
            </w:r>
          </w:p>
        </w:tc>
        <w:tc>
          <w:tcPr>
            <w:tcW w:w="759" w:type="dxa"/>
            <w:vAlign w:val="center"/>
          </w:tcPr>
          <w:p w14:paraId="046AD4FB" w14:textId="77777777" w:rsidR="009D12AF" w:rsidRDefault="00000000">
            <w:pPr>
              <w:adjustRightInd w:val="0"/>
              <w:snapToGrid w:val="0"/>
              <w:spacing w:line="240" w:lineRule="auto"/>
              <w:ind w:firstLineChars="0" w:firstLine="0"/>
              <w:jc w:val="center"/>
              <w:rPr>
                <w:b/>
                <w:bCs/>
                <w:sz w:val="21"/>
                <w:szCs w:val="21"/>
                <w:lang w:bidi="ar"/>
              </w:rPr>
            </w:pPr>
            <w:r>
              <w:rPr>
                <w:b/>
                <w:bCs/>
                <w:sz w:val="21"/>
                <w:szCs w:val="21"/>
                <w:lang w:bidi="ar"/>
              </w:rPr>
              <w:t>影响程度</w:t>
            </w:r>
          </w:p>
        </w:tc>
      </w:tr>
      <w:tr w:rsidR="009D12AF" w14:paraId="6FD61791" w14:textId="77777777">
        <w:trPr>
          <w:trHeight w:val="397"/>
          <w:jc w:val="center"/>
        </w:trPr>
        <w:tc>
          <w:tcPr>
            <w:tcW w:w="856" w:type="dxa"/>
            <w:vMerge w:val="restart"/>
            <w:vAlign w:val="center"/>
          </w:tcPr>
          <w:p w14:paraId="74560439"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物种</w:t>
            </w:r>
          </w:p>
        </w:tc>
        <w:tc>
          <w:tcPr>
            <w:tcW w:w="953" w:type="dxa"/>
            <w:vAlign w:val="center"/>
          </w:tcPr>
          <w:p w14:paraId="22ECED87"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施工期</w:t>
            </w:r>
          </w:p>
        </w:tc>
        <w:tc>
          <w:tcPr>
            <w:tcW w:w="2977" w:type="dxa"/>
            <w:vAlign w:val="center"/>
          </w:tcPr>
          <w:p w14:paraId="76612064"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分布范围、种群数量、种群结构和行为</w:t>
            </w:r>
          </w:p>
        </w:tc>
        <w:tc>
          <w:tcPr>
            <w:tcW w:w="2126" w:type="dxa"/>
            <w:vAlign w:val="center"/>
          </w:tcPr>
          <w:p w14:paraId="0724A00E"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工程占用、施工活动、噪声干扰</w:t>
            </w:r>
            <w:r>
              <w:rPr>
                <w:sz w:val="21"/>
                <w:szCs w:val="21"/>
                <w:lang w:bidi="ar"/>
              </w:rPr>
              <w:t>/</w:t>
            </w:r>
            <w:r>
              <w:rPr>
                <w:sz w:val="21"/>
                <w:szCs w:val="21"/>
                <w:lang w:bidi="ar"/>
              </w:rPr>
              <w:t>直接影响</w:t>
            </w:r>
          </w:p>
        </w:tc>
        <w:tc>
          <w:tcPr>
            <w:tcW w:w="851" w:type="dxa"/>
            <w:vAlign w:val="center"/>
          </w:tcPr>
          <w:p w14:paraId="231CF927"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短期、可逆</w:t>
            </w:r>
          </w:p>
        </w:tc>
        <w:tc>
          <w:tcPr>
            <w:tcW w:w="759" w:type="dxa"/>
            <w:vAlign w:val="center"/>
          </w:tcPr>
          <w:p w14:paraId="298F0C42"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弱</w:t>
            </w:r>
          </w:p>
        </w:tc>
      </w:tr>
      <w:tr w:rsidR="009D12AF" w14:paraId="22A5B51C" w14:textId="77777777">
        <w:trPr>
          <w:trHeight w:val="397"/>
          <w:jc w:val="center"/>
        </w:trPr>
        <w:tc>
          <w:tcPr>
            <w:tcW w:w="856" w:type="dxa"/>
            <w:vMerge/>
            <w:vAlign w:val="center"/>
          </w:tcPr>
          <w:p w14:paraId="0352FC7B" w14:textId="77777777" w:rsidR="009D12AF" w:rsidRDefault="009D12AF">
            <w:pPr>
              <w:adjustRightInd w:val="0"/>
              <w:snapToGrid w:val="0"/>
              <w:spacing w:line="240" w:lineRule="auto"/>
              <w:ind w:firstLineChars="0" w:firstLine="0"/>
              <w:jc w:val="center"/>
              <w:rPr>
                <w:sz w:val="21"/>
                <w:szCs w:val="21"/>
                <w:lang w:bidi="ar"/>
              </w:rPr>
            </w:pPr>
          </w:p>
        </w:tc>
        <w:tc>
          <w:tcPr>
            <w:tcW w:w="953" w:type="dxa"/>
            <w:vAlign w:val="center"/>
          </w:tcPr>
          <w:p w14:paraId="21ACB641" w14:textId="77777777" w:rsidR="009D12AF" w:rsidRDefault="00000000">
            <w:pPr>
              <w:adjustRightInd w:val="0"/>
              <w:snapToGrid w:val="0"/>
              <w:spacing w:line="240" w:lineRule="auto"/>
              <w:ind w:firstLineChars="0" w:firstLine="0"/>
              <w:jc w:val="center"/>
              <w:rPr>
                <w:sz w:val="21"/>
                <w:szCs w:val="21"/>
                <w:lang w:bidi="ar"/>
              </w:rPr>
            </w:pPr>
            <w:r>
              <w:rPr>
                <w:rFonts w:hint="eastAsia"/>
                <w:sz w:val="21"/>
                <w:szCs w:val="21"/>
                <w:lang w:bidi="ar"/>
              </w:rPr>
              <w:t>运行期</w:t>
            </w:r>
          </w:p>
        </w:tc>
        <w:tc>
          <w:tcPr>
            <w:tcW w:w="2977" w:type="dxa"/>
            <w:vAlign w:val="center"/>
          </w:tcPr>
          <w:p w14:paraId="79D89E99"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分布范围、种群数量、种群结构和行为</w:t>
            </w:r>
          </w:p>
        </w:tc>
        <w:tc>
          <w:tcPr>
            <w:tcW w:w="2126" w:type="dxa"/>
            <w:vAlign w:val="center"/>
          </w:tcPr>
          <w:p w14:paraId="06495344" w14:textId="77777777" w:rsidR="009D12AF" w:rsidRDefault="00000000">
            <w:pPr>
              <w:adjustRightInd w:val="0"/>
              <w:snapToGrid w:val="0"/>
              <w:spacing w:line="240" w:lineRule="auto"/>
              <w:ind w:firstLineChars="0" w:firstLine="0"/>
              <w:rPr>
                <w:sz w:val="21"/>
                <w:szCs w:val="21"/>
                <w:lang w:bidi="ar"/>
              </w:rPr>
            </w:pPr>
            <w:r>
              <w:rPr>
                <w:rFonts w:hint="eastAsia"/>
                <w:sz w:val="21"/>
                <w:szCs w:val="21"/>
                <w:lang w:bidi="ar"/>
              </w:rPr>
              <w:t>运行期</w:t>
            </w:r>
            <w:r>
              <w:rPr>
                <w:sz w:val="21"/>
                <w:szCs w:val="21"/>
                <w:lang w:bidi="ar"/>
              </w:rPr>
              <w:t>可逐渐恢复</w:t>
            </w:r>
          </w:p>
        </w:tc>
        <w:tc>
          <w:tcPr>
            <w:tcW w:w="851" w:type="dxa"/>
            <w:vAlign w:val="center"/>
          </w:tcPr>
          <w:p w14:paraId="460BF899"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无影响</w:t>
            </w:r>
          </w:p>
        </w:tc>
        <w:tc>
          <w:tcPr>
            <w:tcW w:w="759" w:type="dxa"/>
            <w:vAlign w:val="center"/>
          </w:tcPr>
          <w:p w14:paraId="544CD574"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无</w:t>
            </w:r>
          </w:p>
        </w:tc>
      </w:tr>
      <w:tr w:rsidR="009D12AF" w14:paraId="672F043C" w14:textId="77777777">
        <w:trPr>
          <w:trHeight w:val="397"/>
          <w:jc w:val="center"/>
        </w:trPr>
        <w:tc>
          <w:tcPr>
            <w:tcW w:w="856" w:type="dxa"/>
            <w:vMerge w:val="restart"/>
            <w:vAlign w:val="center"/>
          </w:tcPr>
          <w:p w14:paraId="4A21B136"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生境</w:t>
            </w:r>
          </w:p>
        </w:tc>
        <w:tc>
          <w:tcPr>
            <w:tcW w:w="953" w:type="dxa"/>
            <w:vAlign w:val="center"/>
          </w:tcPr>
          <w:p w14:paraId="09984DBF"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施工期</w:t>
            </w:r>
          </w:p>
        </w:tc>
        <w:tc>
          <w:tcPr>
            <w:tcW w:w="2977" w:type="dxa"/>
            <w:vAlign w:val="center"/>
          </w:tcPr>
          <w:p w14:paraId="32EB45CB"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生境面积、质量连通性</w:t>
            </w:r>
          </w:p>
        </w:tc>
        <w:tc>
          <w:tcPr>
            <w:tcW w:w="2126" w:type="dxa"/>
            <w:vAlign w:val="center"/>
          </w:tcPr>
          <w:p w14:paraId="06E15970"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工程占用、施工活动</w:t>
            </w:r>
            <w:r>
              <w:rPr>
                <w:sz w:val="21"/>
                <w:szCs w:val="21"/>
                <w:lang w:bidi="ar"/>
              </w:rPr>
              <w:t>/</w:t>
            </w:r>
            <w:r>
              <w:rPr>
                <w:sz w:val="21"/>
                <w:szCs w:val="21"/>
                <w:lang w:bidi="ar"/>
              </w:rPr>
              <w:t>直接影响</w:t>
            </w:r>
          </w:p>
        </w:tc>
        <w:tc>
          <w:tcPr>
            <w:tcW w:w="851" w:type="dxa"/>
            <w:vAlign w:val="center"/>
          </w:tcPr>
          <w:p w14:paraId="0E30C541"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短期、可逆</w:t>
            </w:r>
          </w:p>
        </w:tc>
        <w:tc>
          <w:tcPr>
            <w:tcW w:w="759" w:type="dxa"/>
            <w:vAlign w:val="center"/>
          </w:tcPr>
          <w:p w14:paraId="000BFE7F"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弱</w:t>
            </w:r>
          </w:p>
        </w:tc>
      </w:tr>
      <w:tr w:rsidR="009D12AF" w14:paraId="01A2F792" w14:textId="77777777">
        <w:trPr>
          <w:trHeight w:val="397"/>
          <w:jc w:val="center"/>
        </w:trPr>
        <w:tc>
          <w:tcPr>
            <w:tcW w:w="856" w:type="dxa"/>
            <w:vMerge/>
            <w:vAlign w:val="center"/>
          </w:tcPr>
          <w:p w14:paraId="11C2512F" w14:textId="77777777" w:rsidR="009D12AF" w:rsidRDefault="009D12AF">
            <w:pPr>
              <w:adjustRightInd w:val="0"/>
              <w:snapToGrid w:val="0"/>
              <w:spacing w:line="240" w:lineRule="auto"/>
              <w:ind w:firstLineChars="0" w:firstLine="0"/>
              <w:jc w:val="center"/>
              <w:rPr>
                <w:sz w:val="21"/>
                <w:szCs w:val="21"/>
                <w:lang w:bidi="ar"/>
              </w:rPr>
            </w:pPr>
          </w:p>
        </w:tc>
        <w:tc>
          <w:tcPr>
            <w:tcW w:w="953" w:type="dxa"/>
            <w:vAlign w:val="center"/>
          </w:tcPr>
          <w:p w14:paraId="66B141F4" w14:textId="77777777" w:rsidR="009D12AF" w:rsidRDefault="00000000">
            <w:pPr>
              <w:adjustRightInd w:val="0"/>
              <w:snapToGrid w:val="0"/>
              <w:spacing w:line="240" w:lineRule="auto"/>
              <w:ind w:firstLineChars="0" w:firstLine="0"/>
              <w:jc w:val="center"/>
              <w:rPr>
                <w:sz w:val="21"/>
                <w:szCs w:val="21"/>
                <w:lang w:bidi="ar"/>
              </w:rPr>
            </w:pPr>
            <w:r>
              <w:rPr>
                <w:rFonts w:hint="eastAsia"/>
                <w:sz w:val="21"/>
                <w:szCs w:val="21"/>
                <w:lang w:bidi="ar"/>
              </w:rPr>
              <w:t>运行期</w:t>
            </w:r>
          </w:p>
        </w:tc>
        <w:tc>
          <w:tcPr>
            <w:tcW w:w="2977" w:type="dxa"/>
            <w:vAlign w:val="center"/>
          </w:tcPr>
          <w:p w14:paraId="393C0B3A"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生境面积、质量连通性</w:t>
            </w:r>
          </w:p>
        </w:tc>
        <w:tc>
          <w:tcPr>
            <w:tcW w:w="2126" w:type="dxa"/>
            <w:vAlign w:val="center"/>
          </w:tcPr>
          <w:p w14:paraId="4F8784E3" w14:textId="77777777" w:rsidR="009D12AF" w:rsidRDefault="00000000">
            <w:pPr>
              <w:adjustRightInd w:val="0"/>
              <w:snapToGrid w:val="0"/>
              <w:spacing w:line="240" w:lineRule="auto"/>
              <w:ind w:firstLineChars="0" w:firstLine="0"/>
              <w:rPr>
                <w:sz w:val="21"/>
                <w:szCs w:val="21"/>
                <w:lang w:bidi="ar"/>
              </w:rPr>
            </w:pPr>
            <w:r>
              <w:rPr>
                <w:rFonts w:hint="eastAsia"/>
                <w:sz w:val="21"/>
                <w:szCs w:val="21"/>
                <w:lang w:bidi="ar"/>
              </w:rPr>
              <w:t>运行期</w:t>
            </w:r>
            <w:r>
              <w:rPr>
                <w:sz w:val="21"/>
                <w:szCs w:val="21"/>
                <w:lang w:bidi="ar"/>
              </w:rPr>
              <w:t>可逐渐恢复</w:t>
            </w:r>
          </w:p>
        </w:tc>
        <w:tc>
          <w:tcPr>
            <w:tcW w:w="851" w:type="dxa"/>
            <w:vAlign w:val="center"/>
          </w:tcPr>
          <w:p w14:paraId="1D01E9FC"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无影响</w:t>
            </w:r>
          </w:p>
        </w:tc>
        <w:tc>
          <w:tcPr>
            <w:tcW w:w="759" w:type="dxa"/>
            <w:vAlign w:val="center"/>
          </w:tcPr>
          <w:p w14:paraId="6D7A2323"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无</w:t>
            </w:r>
          </w:p>
        </w:tc>
      </w:tr>
      <w:tr w:rsidR="009D12AF" w14:paraId="4340329A" w14:textId="77777777">
        <w:trPr>
          <w:trHeight w:val="397"/>
          <w:jc w:val="center"/>
        </w:trPr>
        <w:tc>
          <w:tcPr>
            <w:tcW w:w="856" w:type="dxa"/>
            <w:vMerge w:val="restart"/>
            <w:vAlign w:val="center"/>
          </w:tcPr>
          <w:p w14:paraId="64004745"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自然景观</w:t>
            </w:r>
          </w:p>
        </w:tc>
        <w:tc>
          <w:tcPr>
            <w:tcW w:w="953" w:type="dxa"/>
            <w:vAlign w:val="center"/>
          </w:tcPr>
          <w:p w14:paraId="79BB1AD9"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施工期</w:t>
            </w:r>
          </w:p>
        </w:tc>
        <w:tc>
          <w:tcPr>
            <w:tcW w:w="2977" w:type="dxa"/>
            <w:vAlign w:val="center"/>
          </w:tcPr>
          <w:p w14:paraId="1A01FB02"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景观多样性、完整性</w:t>
            </w:r>
          </w:p>
        </w:tc>
        <w:tc>
          <w:tcPr>
            <w:tcW w:w="2126" w:type="dxa"/>
            <w:vAlign w:val="center"/>
          </w:tcPr>
          <w:p w14:paraId="59073F16"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工程占用、施工活动</w:t>
            </w:r>
            <w:r>
              <w:rPr>
                <w:sz w:val="21"/>
                <w:szCs w:val="21"/>
                <w:lang w:bidi="ar"/>
              </w:rPr>
              <w:t>/</w:t>
            </w:r>
            <w:r>
              <w:rPr>
                <w:sz w:val="21"/>
                <w:szCs w:val="21"/>
                <w:lang w:bidi="ar"/>
              </w:rPr>
              <w:t>直接影响</w:t>
            </w:r>
          </w:p>
        </w:tc>
        <w:tc>
          <w:tcPr>
            <w:tcW w:w="851" w:type="dxa"/>
            <w:vAlign w:val="center"/>
          </w:tcPr>
          <w:p w14:paraId="060C1426"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短期、可逆</w:t>
            </w:r>
          </w:p>
        </w:tc>
        <w:tc>
          <w:tcPr>
            <w:tcW w:w="759" w:type="dxa"/>
            <w:vAlign w:val="center"/>
          </w:tcPr>
          <w:p w14:paraId="186DB186"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弱</w:t>
            </w:r>
          </w:p>
        </w:tc>
      </w:tr>
      <w:tr w:rsidR="009D12AF" w14:paraId="5BCC9856" w14:textId="77777777">
        <w:trPr>
          <w:trHeight w:val="397"/>
          <w:jc w:val="center"/>
        </w:trPr>
        <w:tc>
          <w:tcPr>
            <w:tcW w:w="856" w:type="dxa"/>
            <w:vMerge/>
            <w:vAlign w:val="center"/>
          </w:tcPr>
          <w:p w14:paraId="10E21E62" w14:textId="77777777" w:rsidR="009D12AF" w:rsidRDefault="009D12AF">
            <w:pPr>
              <w:adjustRightInd w:val="0"/>
              <w:snapToGrid w:val="0"/>
              <w:spacing w:line="240" w:lineRule="auto"/>
              <w:ind w:firstLineChars="0" w:firstLine="0"/>
              <w:jc w:val="center"/>
              <w:rPr>
                <w:sz w:val="21"/>
                <w:szCs w:val="21"/>
                <w:lang w:bidi="ar"/>
              </w:rPr>
            </w:pPr>
          </w:p>
        </w:tc>
        <w:tc>
          <w:tcPr>
            <w:tcW w:w="953" w:type="dxa"/>
            <w:vAlign w:val="center"/>
          </w:tcPr>
          <w:p w14:paraId="4DB4404F" w14:textId="77777777" w:rsidR="009D12AF" w:rsidRDefault="00000000">
            <w:pPr>
              <w:adjustRightInd w:val="0"/>
              <w:snapToGrid w:val="0"/>
              <w:spacing w:line="240" w:lineRule="auto"/>
              <w:ind w:firstLineChars="0" w:firstLine="0"/>
              <w:jc w:val="center"/>
              <w:rPr>
                <w:sz w:val="21"/>
                <w:szCs w:val="21"/>
                <w:lang w:bidi="ar"/>
              </w:rPr>
            </w:pPr>
            <w:r>
              <w:rPr>
                <w:rFonts w:hint="eastAsia"/>
                <w:sz w:val="21"/>
                <w:szCs w:val="21"/>
                <w:lang w:bidi="ar"/>
              </w:rPr>
              <w:t>运行期</w:t>
            </w:r>
          </w:p>
        </w:tc>
        <w:tc>
          <w:tcPr>
            <w:tcW w:w="2977" w:type="dxa"/>
            <w:vAlign w:val="center"/>
          </w:tcPr>
          <w:p w14:paraId="17140512"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景观多样性、完整性</w:t>
            </w:r>
          </w:p>
        </w:tc>
        <w:tc>
          <w:tcPr>
            <w:tcW w:w="2126" w:type="dxa"/>
            <w:vAlign w:val="center"/>
          </w:tcPr>
          <w:p w14:paraId="76134C5E" w14:textId="77777777" w:rsidR="009D12AF" w:rsidRDefault="00000000">
            <w:pPr>
              <w:adjustRightInd w:val="0"/>
              <w:snapToGrid w:val="0"/>
              <w:spacing w:line="240" w:lineRule="auto"/>
              <w:ind w:firstLineChars="0" w:firstLine="0"/>
              <w:rPr>
                <w:sz w:val="21"/>
                <w:szCs w:val="21"/>
                <w:lang w:bidi="ar"/>
              </w:rPr>
            </w:pPr>
            <w:r>
              <w:rPr>
                <w:rFonts w:hint="eastAsia"/>
                <w:sz w:val="21"/>
                <w:szCs w:val="21"/>
                <w:lang w:bidi="ar"/>
              </w:rPr>
              <w:t>运行期</w:t>
            </w:r>
            <w:r>
              <w:rPr>
                <w:sz w:val="21"/>
                <w:szCs w:val="21"/>
                <w:lang w:bidi="ar"/>
              </w:rPr>
              <w:t>可逐渐恢复</w:t>
            </w:r>
          </w:p>
        </w:tc>
        <w:tc>
          <w:tcPr>
            <w:tcW w:w="851" w:type="dxa"/>
            <w:vAlign w:val="center"/>
          </w:tcPr>
          <w:p w14:paraId="5D65A144"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无影响</w:t>
            </w:r>
          </w:p>
        </w:tc>
        <w:tc>
          <w:tcPr>
            <w:tcW w:w="759" w:type="dxa"/>
            <w:vAlign w:val="center"/>
          </w:tcPr>
          <w:p w14:paraId="1EE895EE"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无</w:t>
            </w:r>
          </w:p>
        </w:tc>
      </w:tr>
      <w:tr w:rsidR="009D12AF" w14:paraId="4AA783E5" w14:textId="77777777">
        <w:trPr>
          <w:trHeight w:val="397"/>
          <w:jc w:val="center"/>
        </w:trPr>
        <w:tc>
          <w:tcPr>
            <w:tcW w:w="856" w:type="dxa"/>
            <w:vMerge w:val="restart"/>
            <w:vAlign w:val="center"/>
          </w:tcPr>
          <w:p w14:paraId="52FD0304"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生态系统</w:t>
            </w:r>
          </w:p>
        </w:tc>
        <w:tc>
          <w:tcPr>
            <w:tcW w:w="953" w:type="dxa"/>
            <w:vAlign w:val="center"/>
          </w:tcPr>
          <w:p w14:paraId="4F69A03F"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施工期</w:t>
            </w:r>
          </w:p>
        </w:tc>
        <w:tc>
          <w:tcPr>
            <w:tcW w:w="2977" w:type="dxa"/>
            <w:vAlign w:val="center"/>
          </w:tcPr>
          <w:p w14:paraId="22356B07"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分布情况、生产力、生物量、生态系统功能</w:t>
            </w:r>
          </w:p>
        </w:tc>
        <w:tc>
          <w:tcPr>
            <w:tcW w:w="2126" w:type="dxa"/>
            <w:vAlign w:val="center"/>
          </w:tcPr>
          <w:p w14:paraId="7657B2B9"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工程占用、施工活动</w:t>
            </w:r>
            <w:r>
              <w:rPr>
                <w:sz w:val="21"/>
                <w:szCs w:val="21"/>
                <w:lang w:bidi="ar"/>
              </w:rPr>
              <w:t>/</w:t>
            </w:r>
            <w:r>
              <w:rPr>
                <w:sz w:val="21"/>
                <w:szCs w:val="21"/>
                <w:lang w:bidi="ar"/>
              </w:rPr>
              <w:t>直接影响</w:t>
            </w:r>
          </w:p>
        </w:tc>
        <w:tc>
          <w:tcPr>
            <w:tcW w:w="851" w:type="dxa"/>
            <w:vAlign w:val="center"/>
          </w:tcPr>
          <w:p w14:paraId="1D70527A"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短期、可逆</w:t>
            </w:r>
          </w:p>
        </w:tc>
        <w:tc>
          <w:tcPr>
            <w:tcW w:w="759" w:type="dxa"/>
            <w:vAlign w:val="center"/>
          </w:tcPr>
          <w:p w14:paraId="7918E21E"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弱</w:t>
            </w:r>
          </w:p>
        </w:tc>
      </w:tr>
      <w:tr w:rsidR="009D12AF" w14:paraId="6E9A994C" w14:textId="77777777">
        <w:trPr>
          <w:trHeight w:val="397"/>
          <w:jc w:val="center"/>
        </w:trPr>
        <w:tc>
          <w:tcPr>
            <w:tcW w:w="856" w:type="dxa"/>
            <w:vMerge/>
            <w:vAlign w:val="center"/>
          </w:tcPr>
          <w:p w14:paraId="177BD0B8" w14:textId="77777777" w:rsidR="009D12AF" w:rsidRDefault="009D12AF">
            <w:pPr>
              <w:adjustRightInd w:val="0"/>
              <w:snapToGrid w:val="0"/>
              <w:spacing w:line="240" w:lineRule="auto"/>
              <w:ind w:firstLineChars="0" w:firstLine="0"/>
              <w:jc w:val="center"/>
              <w:rPr>
                <w:sz w:val="21"/>
                <w:szCs w:val="21"/>
                <w:lang w:bidi="ar"/>
              </w:rPr>
            </w:pPr>
          </w:p>
        </w:tc>
        <w:tc>
          <w:tcPr>
            <w:tcW w:w="953" w:type="dxa"/>
            <w:vAlign w:val="center"/>
          </w:tcPr>
          <w:p w14:paraId="0402E53C" w14:textId="77777777" w:rsidR="009D12AF" w:rsidRDefault="00000000">
            <w:pPr>
              <w:adjustRightInd w:val="0"/>
              <w:snapToGrid w:val="0"/>
              <w:spacing w:line="240" w:lineRule="auto"/>
              <w:ind w:firstLineChars="0" w:firstLine="0"/>
              <w:jc w:val="center"/>
              <w:rPr>
                <w:sz w:val="21"/>
                <w:szCs w:val="21"/>
                <w:lang w:bidi="ar"/>
              </w:rPr>
            </w:pPr>
            <w:r>
              <w:rPr>
                <w:rFonts w:hint="eastAsia"/>
                <w:sz w:val="21"/>
                <w:szCs w:val="21"/>
                <w:lang w:bidi="ar"/>
              </w:rPr>
              <w:t>运行期</w:t>
            </w:r>
          </w:p>
        </w:tc>
        <w:tc>
          <w:tcPr>
            <w:tcW w:w="2977" w:type="dxa"/>
            <w:vAlign w:val="center"/>
          </w:tcPr>
          <w:p w14:paraId="7E20DFB9"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分布情况、生产力、生物量、生态系统功能</w:t>
            </w:r>
          </w:p>
        </w:tc>
        <w:tc>
          <w:tcPr>
            <w:tcW w:w="2126" w:type="dxa"/>
            <w:vAlign w:val="center"/>
          </w:tcPr>
          <w:p w14:paraId="4E33AD80" w14:textId="77777777" w:rsidR="009D12AF" w:rsidRDefault="00000000">
            <w:pPr>
              <w:adjustRightInd w:val="0"/>
              <w:snapToGrid w:val="0"/>
              <w:spacing w:line="240" w:lineRule="auto"/>
              <w:ind w:firstLineChars="0" w:firstLine="0"/>
              <w:rPr>
                <w:sz w:val="21"/>
                <w:szCs w:val="21"/>
                <w:lang w:bidi="ar"/>
              </w:rPr>
            </w:pPr>
            <w:r>
              <w:rPr>
                <w:rFonts w:hint="eastAsia"/>
                <w:sz w:val="21"/>
                <w:szCs w:val="21"/>
                <w:lang w:bidi="ar"/>
              </w:rPr>
              <w:t>运行期</w:t>
            </w:r>
            <w:r>
              <w:rPr>
                <w:sz w:val="21"/>
                <w:szCs w:val="21"/>
                <w:lang w:bidi="ar"/>
              </w:rPr>
              <w:t>可逐渐恢复</w:t>
            </w:r>
          </w:p>
        </w:tc>
        <w:tc>
          <w:tcPr>
            <w:tcW w:w="851" w:type="dxa"/>
            <w:vAlign w:val="center"/>
          </w:tcPr>
          <w:p w14:paraId="2F93D38E"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无影响</w:t>
            </w:r>
          </w:p>
        </w:tc>
        <w:tc>
          <w:tcPr>
            <w:tcW w:w="759" w:type="dxa"/>
            <w:vAlign w:val="center"/>
          </w:tcPr>
          <w:p w14:paraId="5527B013"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无</w:t>
            </w:r>
          </w:p>
        </w:tc>
      </w:tr>
      <w:tr w:rsidR="009D12AF" w14:paraId="00210CAF" w14:textId="77777777">
        <w:trPr>
          <w:trHeight w:val="397"/>
          <w:jc w:val="center"/>
        </w:trPr>
        <w:tc>
          <w:tcPr>
            <w:tcW w:w="856" w:type="dxa"/>
            <w:vMerge w:val="restart"/>
            <w:vAlign w:val="center"/>
          </w:tcPr>
          <w:p w14:paraId="3BF7F4FE"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生物多样性</w:t>
            </w:r>
          </w:p>
        </w:tc>
        <w:tc>
          <w:tcPr>
            <w:tcW w:w="953" w:type="dxa"/>
            <w:vAlign w:val="center"/>
          </w:tcPr>
          <w:p w14:paraId="327E7BD5"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施工期</w:t>
            </w:r>
          </w:p>
        </w:tc>
        <w:tc>
          <w:tcPr>
            <w:tcW w:w="2977" w:type="dxa"/>
            <w:vAlign w:val="center"/>
          </w:tcPr>
          <w:p w14:paraId="39615FC3"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物种丰富度、生态系统多样性</w:t>
            </w:r>
          </w:p>
        </w:tc>
        <w:tc>
          <w:tcPr>
            <w:tcW w:w="2126" w:type="dxa"/>
            <w:vAlign w:val="center"/>
          </w:tcPr>
          <w:p w14:paraId="67A39D52"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施工活动</w:t>
            </w:r>
            <w:r>
              <w:rPr>
                <w:sz w:val="21"/>
                <w:szCs w:val="21"/>
                <w:lang w:bidi="ar"/>
              </w:rPr>
              <w:t>/</w:t>
            </w:r>
            <w:r>
              <w:rPr>
                <w:sz w:val="21"/>
                <w:szCs w:val="21"/>
                <w:lang w:bidi="ar"/>
              </w:rPr>
              <w:t>直接影响</w:t>
            </w:r>
          </w:p>
        </w:tc>
        <w:tc>
          <w:tcPr>
            <w:tcW w:w="851" w:type="dxa"/>
            <w:vAlign w:val="center"/>
          </w:tcPr>
          <w:p w14:paraId="0AD738B2"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短期、可逆</w:t>
            </w:r>
          </w:p>
        </w:tc>
        <w:tc>
          <w:tcPr>
            <w:tcW w:w="759" w:type="dxa"/>
            <w:vAlign w:val="center"/>
          </w:tcPr>
          <w:p w14:paraId="7DA6B956"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弱</w:t>
            </w:r>
          </w:p>
        </w:tc>
      </w:tr>
      <w:tr w:rsidR="009D12AF" w14:paraId="538B3532" w14:textId="77777777">
        <w:trPr>
          <w:trHeight w:val="397"/>
          <w:jc w:val="center"/>
        </w:trPr>
        <w:tc>
          <w:tcPr>
            <w:tcW w:w="856" w:type="dxa"/>
            <w:vMerge/>
            <w:vAlign w:val="center"/>
          </w:tcPr>
          <w:p w14:paraId="0EF0538B" w14:textId="77777777" w:rsidR="009D12AF" w:rsidRDefault="009D12AF">
            <w:pPr>
              <w:adjustRightInd w:val="0"/>
              <w:snapToGrid w:val="0"/>
              <w:spacing w:line="240" w:lineRule="auto"/>
              <w:ind w:firstLineChars="0" w:firstLine="0"/>
              <w:jc w:val="center"/>
              <w:rPr>
                <w:sz w:val="21"/>
                <w:szCs w:val="21"/>
                <w:lang w:bidi="ar"/>
              </w:rPr>
            </w:pPr>
          </w:p>
        </w:tc>
        <w:tc>
          <w:tcPr>
            <w:tcW w:w="953" w:type="dxa"/>
            <w:vAlign w:val="center"/>
          </w:tcPr>
          <w:p w14:paraId="34C1B74B" w14:textId="77777777" w:rsidR="009D12AF" w:rsidRDefault="00000000">
            <w:pPr>
              <w:adjustRightInd w:val="0"/>
              <w:snapToGrid w:val="0"/>
              <w:spacing w:line="240" w:lineRule="auto"/>
              <w:ind w:firstLineChars="0" w:firstLine="0"/>
              <w:jc w:val="center"/>
              <w:rPr>
                <w:sz w:val="21"/>
                <w:szCs w:val="21"/>
                <w:lang w:bidi="ar"/>
              </w:rPr>
            </w:pPr>
            <w:r>
              <w:rPr>
                <w:rFonts w:hint="eastAsia"/>
                <w:sz w:val="21"/>
                <w:szCs w:val="21"/>
                <w:lang w:bidi="ar"/>
              </w:rPr>
              <w:t>运行期</w:t>
            </w:r>
          </w:p>
        </w:tc>
        <w:tc>
          <w:tcPr>
            <w:tcW w:w="2977" w:type="dxa"/>
            <w:vAlign w:val="center"/>
          </w:tcPr>
          <w:p w14:paraId="06A17825"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物种丰富度、生态系统多样性</w:t>
            </w:r>
          </w:p>
        </w:tc>
        <w:tc>
          <w:tcPr>
            <w:tcW w:w="2126" w:type="dxa"/>
            <w:vAlign w:val="center"/>
          </w:tcPr>
          <w:p w14:paraId="7B8ADC75" w14:textId="77777777" w:rsidR="009D12AF" w:rsidRDefault="00000000">
            <w:pPr>
              <w:adjustRightInd w:val="0"/>
              <w:snapToGrid w:val="0"/>
              <w:spacing w:line="240" w:lineRule="auto"/>
              <w:ind w:firstLineChars="0" w:firstLine="0"/>
              <w:rPr>
                <w:sz w:val="21"/>
                <w:szCs w:val="21"/>
                <w:lang w:bidi="ar"/>
              </w:rPr>
            </w:pPr>
            <w:r>
              <w:rPr>
                <w:rFonts w:hint="eastAsia"/>
                <w:sz w:val="21"/>
                <w:szCs w:val="21"/>
                <w:lang w:bidi="ar"/>
              </w:rPr>
              <w:t>运行期</w:t>
            </w:r>
            <w:r>
              <w:rPr>
                <w:sz w:val="21"/>
                <w:szCs w:val="21"/>
                <w:lang w:bidi="ar"/>
              </w:rPr>
              <w:t>可逐渐恢复</w:t>
            </w:r>
          </w:p>
        </w:tc>
        <w:tc>
          <w:tcPr>
            <w:tcW w:w="851" w:type="dxa"/>
            <w:vAlign w:val="center"/>
          </w:tcPr>
          <w:p w14:paraId="19387D7A"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无影响</w:t>
            </w:r>
          </w:p>
        </w:tc>
        <w:tc>
          <w:tcPr>
            <w:tcW w:w="759" w:type="dxa"/>
            <w:vAlign w:val="center"/>
          </w:tcPr>
          <w:p w14:paraId="2732664C" w14:textId="77777777" w:rsidR="009D12AF" w:rsidRDefault="00000000">
            <w:pPr>
              <w:adjustRightInd w:val="0"/>
              <w:snapToGrid w:val="0"/>
              <w:spacing w:line="240" w:lineRule="auto"/>
              <w:ind w:firstLineChars="0" w:firstLine="0"/>
              <w:jc w:val="center"/>
              <w:rPr>
                <w:sz w:val="21"/>
                <w:szCs w:val="21"/>
                <w:lang w:bidi="ar"/>
              </w:rPr>
            </w:pPr>
            <w:r>
              <w:rPr>
                <w:sz w:val="21"/>
                <w:szCs w:val="21"/>
                <w:lang w:bidi="ar"/>
              </w:rPr>
              <w:t>无</w:t>
            </w:r>
          </w:p>
        </w:tc>
      </w:tr>
    </w:tbl>
    <w:p w14:paraId="1E8492DD" w14:textId="77777777" w:rsidR="009D12AF" w:rsidRDefault="00000000">
      <w:pPr>
        <w:pStyle w:val="3"/>
      </w:pPr>
      <w:bookmarkStart w:id="67" w:name="_Toc21245"/>
      <w:r>
        <w:rPr>
          <w:rFonts w:hint="eastAsia"/>
        </w:rPr>
        <w:t>2</w:t>
      </w:r>
      <w:r>
        <w:t>.</w:t>
      </w:r>
      <w:r>
        <w:rPr>
          <w:rFonts w:hint="eastAsia"/>
        </w:rPr>
        <w:t>4</w:t>
      </w:r>
      <w:r>
        <w:t xml:space="preserve">.3 </w:t>
      </w:r>
      <w:r>
        <w:t>环境功能区划</w:t>
      </w:r>
      <w:bookmarkEnd w:id="64"/>
      <w:bookmarkEnd w:id="65"/>
      <w:bookmarkEnd w:id="66"/>
      <w:bookmarkEnd w:id="67"/>
    </w:p>
    <w:p w14:paraId="5F02D7A3" w14:textId="77777777" w:rsidR="009D12AF" w:rsidRDefault="00000000">
      <w:pPr>
        <w:pStyle w:val="13"/>
        <w:spacing w:before="81" w:after="81"/>
        <w:rPr>
          <w:rFonts w:ascii="Times New Roman" w:hAnsi="Times New Roman"/>
        </w:rPr>
      </w:pPr>
      <w:r>
        <w:rPr>
          <w:rFonts w:ascii="Times New Roman" w:hAnsi="Times New Roman"/>
        </w:rPr>
        <w:t>本项目环境功能区划见表</w:t>
      </w:r>
      <w:r>
        <w:rPr>
          <w:rFonts w:ascii="Times New Roman" w:hAnsi="Times New Roman"/>
        </w:rPr>
        <w:t>2.</w:t>
      </w:r>
      <w:r>
        <w:rPr>
          <w:rFonts w:ascii="Times New Roman" w:hAnsi="Times New Roman" w:hint="eastAsia"/>
        </w:rPr>
        <w:t>4</w:t>
      </w:r>
      <w:r>
        <w:rPr>
          <w:rFonts w:ascii="Times New Roman" w:hAnsi="Times New Roman"/>
        </w:rPr>
        <w:t>-</w:t>
      </w:r>
      <w:r>
        <w:rPr>
          <w:rFonts w:ascii="Times New Roman" w:hAnsi="Times New Roman" w:hint="eastAsia"/>
        </w:rPr>
        <w:t>4</w:t>
      </w:r>
      <w:r>
        <w:rPr>
          <w:rFonts w:ascii="Times New Roman" w:hAnsi="Times New Roman"/>
        </w:rPr>
        <w:t>。</w:t>
      </w:r>
    </w:p>
    <w:p w14:paraId="0B1780A1" w14:textId="77777777" w:rsidR="009D12AF" w:rsidRDefault="00000000">
      <w:pPr>
        <w:ind w:firstLineChars="0" w:firstLine="0"/>
        <w:jc w:val="center"/>
      </w:pPr>
      <w:r>
        <w:rPr>
          <w:b/>
          <w:bCs/>
        </w:rPr>
        <w:t>表</w:t>
      </w:r>
      <w:r>
        <w:rPr>
          <w:b/>
          <w:bCs/>
        </w:rPr>
        <w:t xml:space="preserve"> 2.</w:t>
      </w:r>
      <w:r>
        <w:rPr>
          <w:rFonts w:hint="eastAsia"/>
          <w:b/>
          <w:bCs/>
        </w:rPr>
        <w:t>4</w:t>
      </w:r>
      <w:r>
        <w:rPr>
          <w:b/>
          <w:bCs/>
        </w:rPr>
        <w:t>-</w:t>
      </w:r>
      <w:r>
        <w:rPr>
          <w:rFonts w:hint="eastAsia"/>
          <w:b/>
          <w:bCs/>
        </w:rPr>
        <w:t>4</w:t>
      </w:r>
      <w:r>
        <w:rPr>
          <w:b/>
          <w:bCs/>
        </w:rPr>
        <w:t>环境功能区划一览表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25"/>
        <w:gridCol w:w="990"/>
        <w:gridCol w:w="1612"/>
        <w:gridCol w:w="1200"/>
        <w:gridCol w:w="3995"/>
      </w:tblGrid>
      <w:tr w:rsidR="009D12AF" w14:paraId="031F3AA3" w14:textId="77777777">
        <w:trPr>
          <w:trHeight w:val="173"/>
        </w:trPr>
        <w:tc>
          <w:tcPr>
            <w:tcW w:w="425" w:type="pct"/>
            <w:vAlign w:val="center"/>
          </w:tcPr>
          <w:p w14:paraId="1FAE4FFF" w14:textId="77777777" w:rsidR="009D12AF" w:rsidRDefault="00000000">
            <w:pPr>
              <w:pStyle w:val="af7"/>
              <w:rPr>
                <w:rFonts w:ascii="Times New Roman" w:hAnsi="Times New Roman"/>
              </w:rPr>
            </w:pPr>
            <w:r>
              <w:rPr>
                <w:rFonts w:ascii="Times New Roman" w:hAnsi="Times New Roman"/>
              </w:rPr>
              <w:t>序号</w:t>
            </w:r>
          </w:p>
        </w:tc>
        <w:tc>
          <w:tcPr>
            <w:tcW w:w="580" w:type="pct"/>
            <w:vAlign w:val="center"/>
          </w:tcPr>
          <w:p w14:paraId="7D3FA341" w14:textId="77777777" w:rsidR="009D12AF" w:rsidRDefault="00000000">
            <w:pPr>
              <w:pStyle w:val="af7"/>
              <w:rPr>
                <w:rFonts w:ascii="Times New Roman" w:hAnsi="Times New Roman"/>
              </w:rPr>
            </w:pPr>
            <w:r>
              <w:rPr>
                <w:rFonts w:ascii="Times New Roman" w:hAnsi="Times New Roman"/>
              </w:rPr>
              <w:t>环境要素</w:t>
            </w:r>
          </w:p>
        </w:tc>
        <w:tc>
          <w:tcPr>
            <w:tcW w:w="946" w:type="pct"/>
            <w:vAlign w:val="center"/>
          </w:tcPr>
          <w:p w14:paraId="0D66E89B" w14:textId="77777777" w:rsidR="009D12AF" w:rsidRDefault="00000000">
            <w:pPr>
              <w:pStyle w:val="af7"/>
              <w:rPr>
                <w:rFonts w:ascii="Times New Roman" w:hAnsi="Times New Roman"/>
              </w:rPr>
            </w:pPr>
            <w:r>
              <w:rPr>
                <w:rFonts w:ascii="Times New Roman" w:hAnsi="Times New Roman"/>
              </w:rPr>
              <w:t>所属区域</w:t>
            </w:r>
          </w:p>
        </w:tc>
        <w:tc>
          <w:tcPr>
            <w:tcW w:w="704" w:type="pct"/>
            <w:vAlign w:val="center"/>
          </w:tcPr>
          <w:p w14:paraId="3FF63CAE" w14:textId="77777777" w:rsidR="009D12AF" w:rsidRDefault="00000000">
            <w:pPr>
              <w:pStyle w:val="af7"/>
              <w:rPr>
                <w:rFonts w:ascii="Times New Roman" w:hAnsi="Times New Roman"/>
              </w:rPr>
            </w:pPr>
            <w:r>
              <w:rPr>
                <w:rFonts w:ascii="Times New Roman" w:hAnsi="Times New Roman"/>
              </w:rPr>
              <w:t>功能区划</w:t>
            </w:r>
          </w:p>
        </w:tc>
        <w:tc>
          <w:tcPr>
            <w:tcW w:w="2343" w:type="pct"/>
            <w:vAlign w:val="center"/>
          </w:tcPr>
          <w:p w14:paraId="6482A5CB" w14:textId="77777777" w:rsidR="009D12AF" w:rsidRDefault="00000000">
            <w:pPr>
              <w:pStyle w:val="af7"/>
              <w:rPr>
                <w:rFonts w:ascii="Times New Roman" w:hAnsi="Times New Roman"/>
              </w:rPr>
            </w:pPr>
            <w:r>
              <w:rPr>
                <w:rFonts w:ascii="Times New Roman" w:hAnsi="Times New Roman"/>
              </w:rPr>
              <w:t>划分依据</w:t>
            </w:r>
          </w:p>
        </w:tc>
      </w:tr>
      <w:tr w:rsidR="009D12AF" w14:paraId="250C01DF" w14:textId="77777777">
        <w:trPr>
          <w:trHeight w:val="70"/>
        </w:trPr>
        <w:tc>
          <w:tcPr>
            <w:tcW w:w="425" w:type="pct"/>
            <w:vMerge w:val="restart"/>
            <w:vAlign w:val="center"/>
          </w:tcPr>
          <w:p w14:paraId="6019232E" w14:textId="77777777" w:rsidR="009D12AF" w:rsidRDefault="00000000">
            <w:pPr>
              <w:pStyle w:val="af7"/>
              <w:rPr>
                <w:rFonts w:ascii="Times New Roman" w:hAnsi="Times New Roman"/>
              </w:rPr>
            </w:pPr>
            <w:r>
              <w:rPr>
                <w:rFonts w:ascii="Times New Roman" w:hAnsi="Times New Roman"/>
              </w:rPr>
              <w:t>1</w:t>
            </w:r>
          </w:p>
        </w:tc>
        <w:tc>
          <w:tcPr>
            <w:tcW w:w="580" w:type="pct"/>
            <w:vMerge w:val="restart"/>
            <w:vAlign w:val="center"/>
          </w:tcPr>
          <w:p w14:paraId="3F677CBF" w14:textId="77777777" w:rsidR="009D12AF" w:rsidRDefault="00000000">
            <w:pPr>
              <w:pStyle w:val="af7"/>
              <w:rPr>
                <w:rFonts w:ascii="Times New Roman" w:hAnsi="Times New Roman"/>
              </w:rPr>
            </w:pPr>
            <w:r>
              <w:rPr>
                <w:rFonts w:ascii="Times New Roman" w:hAnsi="Times New Roman"/>
              </w:rPr>
              <w:t>环境空气</w:t>
            </w:r>
          </w:p>
        </w:tc>
        <w:tc>
          <w:tcPr>
            <w:tcW w:w="946" w:type="pct"/>
            <w:vAlign w:val="center"/>
          </w:tcPr>
          <w:p w14:paraId="00297E7D" w14:textId="77777777" w:rsidR="009D12AF" w:rsidRDefault="00000000">
            <w:pPr>
              <w:pStyle w:val="af7"/>
              <w:rPr>
                <w:rFonts w:ascii="Times New Roman" w:hAnsi="Times New Roman"/>
              </w:rPr>
            </w:pPr>
            <w:r>
              <w:rPr>
                <w:rFonts w:ascii="Times New Roman" w:hAnsi="Times New Roman" w:hint="eastAsia"/>
              </w:rPr>
              <w:t>群力水库</w:t>
            </w:r>
          </w:p>
        </w:tc>
        <w:tc>
          <w:tcPr>
            <w:tcW w:w="704" w:type="pct"/>
            <w:vAlign w:val="center"/>
          </w:tcPr>
          <w:p w14:paraId="52E61F61" w14:textId="77777777" w:rsidR="009D12AF" w:rsidRDefault="00000000">
            <w:pPr>
              <w:pStyle w:val="af7"/>
              <w:rPr>
                <w:rFonts w:ascii="Times New Roman" w:hAnsi="Times New Roman"/>
              </w:rPr>
            </w:pPr>
            <w:r>
              <w:rPr>
                <w:rFonts w:ascii="Times New Roman" w:hAnsi="Times New Roman" w:hint="eastAsia"/>
              </w:rPr>
              <w:t>一</w:t>
            </w:r>
            <w:r>
              <w:rPr>
                <w:rFonts w:ascii="Times New Roman" w:hAnsi="Times New Roman"/>
              </w:rPr>
              <w:t>类区</w:t>
            </w:r>
          </w:p>
        </w:tc>
        <w:tc>
          <w:tcPr>
            <w:tcW w:w="2343" w:type="pct"/>
            <w:vMerge w:val="restart"/>
            <w:vAlign w:val="center"/>
          </w:tcPr>
          <w:p w14:paraId="614EBF41" w14:textId="77777777" w:rsidR="009D12AF" w:rsidRDefault="00000000">
            <w:pPr>
              <w:pStyle w:val="af7"/>
              <w:rPr>
                <w:rFonts w:ascii="Times New Roman" w:hAnsi="Times New Roman"/>
              </w:rPr>
            </w:pPr>
            <w:r>
              <w:rPr>
                <w:rFonts w:ascii="Times New Roman" w:hAnsi="Times New Roman"/>
              </w:rPr>
              <w:t>《环境空气质量标准》（</w:t>
            </w:r>
            <w:r>
              <w:rPr>
                <w:rFonts w:ascii="Times New Roman" w:hAnsi="Times New Roman"/>
              </w:rPr>
              <w:t>GB3095-2012</w:t>
            </w:r>
            <w:r>
              <w:rPr>
                <w:rFonts w:ascii="Times New Roman" w:hAnsi="Times New Roman"/>
              </w:rPr>
              <w:t>）</w:t>
            </w:r>
          </w:p>
        </w:tc>
      </w:tr>
      <w:tr w:rsidR="009D12AF" w14:paraId="2CC70CDE" w14:textId="77777777">
        <w:trPr>
          <w:trHeight w:val="70"/>
        </w:trPr>
        <w:tc>
          <w:tcPr>
            <w:tcW w:w="425" w:type="pct"/>
            <w:vMerge/>
            <w:vAlign w:val="center"/>
          </w:tcPr>
          <w:p w14:paraId="58B09902" w14:textId="77777777" w:rsidR="009D12AF" w:rsidRDefault="009D12AF">
            <w:pPr>
              <w:pStyle w:val="af7"/>
              <w:rPr>
                <w:rFonts w:ascii="Times New Roman" w:hAnsi="Times New Roman"/>
              </w:rPr>
            </w:pPr>
          </w:p>
        </w:tc>
        <w:tc>
          <w:tcPr>
            <w:tcW w:w="580" w:type="pct"/>
            <w:vMerge/>
            <w:vAlign w:val="center"/>
          </w:tcPr>
          <w:p w14:paraId="09EAC922" w14:textId="77777777" w:rsidR="009D12AF" w:rsidRDefault="009D12AF">
            <w:pPr>
              <w:pStyle w:val="af7"/>
              <w:rPr>
                <w:rFonts w:ascii="Times New Roman" w:hAnsi="Times New Roman"/>
              </w:rPr>
            </w:pPr>
          </w:p>
        </w:tc>
        <w:tc>
          <w:tcPr>
            <w:tcW w:w="946" w:type="pct"/>
            <w:vAlign w:val="center"/>
          </w:tcPr>
          <w:p w14:paraId="0F32C3F1" w14:textId="77777777" w:rsidR="009D12AF" w:rsidRDefault="00000000">
            <w:pPr>
              <w:pStyle w:val="af7"/>
              <w:rPr>
                <w:rFonts w:ascii="Times New Roman" w:hAnsi="Times New Roman"/>
              </w:rPr>
            </w:pPr>
            <w:r>
              <w:rPr>
                <w:rFonts w:ascii="Times New Roman" w:hAnsi="Times New Roman" w:hint="eastAsia"/>
              </w:rPr>
              <w:t>长石水库、万丈水库、新安晒水池、向阳水电站前池</w:t>
            </w:r>
          </w:p>
        </w:tc>
        <w:tc>
          <w:tcPr>
            <w:tcW w:w="704" w:type="pct"/>
            <w:vAlign w:val="center"/>
          </w:tcPr>
          <w:p w14:paraId="2993BCEF" w14:textId="77777777" w:rsidR="009D12AF" w:rsidRDefault="00000000">
            <w:pPr>
              <w:pStyle w:val="af7"/>
              <w:rPr>
                <w:rFonts w:ascii="Times New Roman" w:hAnsi="Times New Roman"/>
              </w:rPr>
            </w:pPr>
            <w:r>
              <w:rPr>
                <w:rFonts w:ascii="Times New Roman" w:hAnsi="Times New Roman" w:hint="eastAsia"/>
              </w:rPr>
              <w:t>二类区</w:t>
            </w:r>
          </w:p>
        </w:tc>
        <w:tc>
          <w:tcPr>
            <w:tcW w:w="2343" w:type="pct"/>
            <w:vMerge/>
            <w:vAlign w:val="center"/>
          </w:tcPr>
          <w:p w14:paraId="23C3E223" w14:textId="77777777" w:rsidR="009D12AF" w:rsidRDefault="009D12AF">
            <w:pPr>
              <w:pStyle w:val="af7"/>
              <w:rPr>
                <w:rFonts w:ascii="Times New Roman" w:hAnsi="Times New Roman"/>
              </w:rPr>
            </w:pPr>
          </w:p>
        </w:tc>
      </w:tr>
      <w:tr w:rsidR="009D12AF" w14:paraId="00F36AD5" w14:textId="77777777">
        <w:trPr>
          <w:trHeight w:val="70"/>
        </w:trPr>
        <w:tc>
          <w:tcPr>
            <w:tcW w:w="425" w:type="pct"/>
            <w:vAlign w:val="center"/>
          </w:tcPr>
          <w:p w14:paraId="6B45644E" w14:textId="77777777" w:rsidR="009D12AF" w:rsidRDefault="00000000">
            <w:pPr>
              <w:pStyle w:val="af7"/>
              <w:rPr>
                <w:rFonts w:ascii="Times New Roman" w:hAnsi="Times New Roman"/>
              </w:rPr>
            </w:pPr>
            <w:r>
              <w:rPr>
                <w:rFonts w:ascii="Times New Roman" w:hAnsi="Times New Roman"/>
              </w:rPr>
              <w:t>2</w:t>
            </w:r>
          </w:p>
        </w:tc>
        <w:tc>
          <w:tcPr>
            <w:tcW w:w="580" w:type="pct"/>
            <w:vAlign w:val="center"/>
          </w:tcPr>
          <w:p w14:paraId="6026055C" w14:textId="77777777" w:rsidR="009D12AF" w:rsidRDefault="00000000">
            <w:pPr>
              <w:pStyle w:val="af7"/>
              <w:rPr>
                <w:rFonts w:ascii="Times New Roman" w:hAnsi="Times New Roman"/>
              </w:rPr>
            </w:pPr>
            <w:r>
              <w:rPr>
                <w:rFonts w:ascii="Times New Roman" w:hAnsi="Times New Roman"/>
              </w:rPr>
              <w:t>地表水</w:t>
            </w:r>
          </w:p>
        </w:tc>
        <w:tc>
          <w:tcPr>
            <w:tcW w:w="946" w:type="pct"/>
            <w:vAlign w:val="center"/>
          </w:tcPr>
          <w:p w14:paraId="2DA89289" w14:textId="77777777" w:rsidR="009D12AF" w:rsidRDefault="00000000">
            <w:pPr>
              <w:pStyle w:val="af7"/>
              <w:rPr>
                <w:rFonts w:ascii="Times New Roman" w:hAnsi="Times New Roman"/>
              </w:rPr>
            </w:pPr>
            <w:r>
              <w:rPr>
                <w:rFonts w:ascii="Times New Roman" w:hAnsi="Times New Roman" w:hint="eastAsia"/>
              </w:rPr>
              <w:t>群力水库、长石水库、万丈水库、新安晒水池、向阳水电站前池</w:t>
            </w:r>
          </w:p>
        </w:tc>
        <w:tc>
          <w:tcPr>
            <w:tcW w:w="704" w:type="pct"/>
            <w:vAlign w:val="center"/>
          </w:tcPr>
          <w:p w14:paraId="370A4BC4" w14:textId="77777777" w:rsidR="009D12AF" w:rsidRDefault="00000000">
            <w:pPr>
              <w:pStyle w:val="af7"/>
              <w:rPr>
                <w:rFonts w:ascii="Times New Roman" w:hAnsi="Times New Roman"/>
              </w:rPr>
            </w:pPr>
            <w:r>
              <w:rPr>
                <w:rFonts w:ascii="宋体" w:eastAsia="宋体" w:hAnsi="宋体" w:cs="宋体" w:hint="eastAsia"/>
              </w:rPr>
              <w:t>Ⅲ</w:t>
            </w:r>
            <w:r>
              <w:rPr>
                <w:rFonts w:ascii="Times New Roman" w:hAnsi="Times New Roman"/>
              </w:rPr>
              <w:t>类</w:t>
            </w:r>
          </w:p>
        </w:tc>
        <w:tc>
          <w:tcPr>
            <w:tcW w:w="2343" w:type="pct"/>
            <w:vAlign w:val="center"/>
          </w:tcPr>
          <w:p w14:paraId="2109684F" w14:textId="77777777" w:rsidR="009D12AF" w:rsidRDefault="00000000">
            <w:pPr>
              <w:pStyle w:val="af7"/>
              <w:rPr>
                <w:rFonts w:ascii="Times New Roman" w:hAnsi="Times New Roman"/>
              </w:rPr>
            </w:pPr>
            <w:r>
              <w:rPr>
                <w:rFonts w:ascii="Times New Roman" w:hAnsi="Times New Roman" w:hint="eastAsia"/>
              </w:rPr>
              <w:t>《全国重要江河湖泊水功能区划（</w:t>
            </w:r>
            <w:r>
              <w:rPr>
                <w:rFonts w:ascii="Times New Roman" w:hAnsi="Times New Roman" w:hint="eastAsia"/>
              </w:rPr>
              <w:t>2011-2030</w:t>
            </w:r>
            <w:r>
              <w:rPr>
                <w:rFonts w:ascii="Times New Roman" w:hAnsi="Times New Roman" w:hint="eastAsia"/>
              </w:rPr>
              <w:t>）》及《牡丹江市环境质量公报（</w:t>
            </w:r>
            <w:r>
              <w:rPr>
                <w:rFonts w:ascii="Times New Roman" w:hAnsi="Times New Roman" w:hint="eastAsia"/>
              </w:rPr>
              <w:t>2024</w:t>
            </w:r>
            <w:r>
              <w:rPr>
                <w:rFonts w:ascii="Times New Roman" w:hAnsi="Times New Roman" w:hint="eastAsia"/>
              </w:rPr>
              <w:t>年度）》</w:t>
            </w:r>
          </w:p>
        </w:tc>
      </w:tr>
      <w:tr w:rsidR="009D12AF" w14:paraId="6BA8A89E" w14:textId="77777777">
        <w:trPr>
          <w:trHeight w:val="70"/>
        </w:trPr>
        <w:tc>
          <w:tcPr>
            <w:tcW w:w="425" w:type="pct"/>
            <w:vAlign w:val="center"/>
          </w:tcPr>
          <w:p w14:paraId="15560F79" w14:textId="77777777" w:rsidR="009D12AF" w:rsidRDefault="00000000">
            <w:pPr>
              <w:pStyle w:val="af7"/>
              <w:rPr>
                <w:rFonts w:ascii="Times New Roman" w:hAnsi="Times New Roman"/>
              </w:rPr>
            </w:pPr>
            <w:r>
              <w:rPr>
                <w:rFonts w:ascii="Times New Roman" w:hAnsi="Times New Roman"/>
              </w:rPr>
              <w:t>3</w:t>
            </w:r>
          </w:p>
        </w:tc>
        <w:tc>
          <w:tcPr>
            <w:tcW w:w="580" w:type="pct"/>
            <w:vAlign w:val="center"/>
          </w:tcPr>
          <w:p w14:paraId="219C613D" w14:textId="77777777" w:rsidR="009D12AF" w:rsidRDefault="00000000">
            <w:pPr>
              <w:pStyle w:val="af7"/>
              <w:rPr>
                <w:rFonts w:ascii="Times New Roman" w:hAnsi="Times New Roman"/>
              </w:rPr>
            </w:pPr>
            <w:r>
              <w:rPr>
                <w:rFonts w:ascii="Times New Roman" w:hAnsi="Times New Roman"/>
              </w:rPr>
              <w:t>地下水</w:t>
            </w:r>
          </w:p>
        </w:tc>
        <w:tc>
          <w:tcPr>
            <w:tcW w:w="946" w:type="pct"/>
            <w:vAlign w:val="center"/>
          </w:tcPr>
          <w:p w14:paraId="074B1CB2" w14:textId="77777777" w:rsidR="009D12AF" w:rsidRDefault="00000000">
            <w:pPr>
              <w:pStyle w:val="af7"/>
              <w:rPr>
                <w:rFonts w:ascii="Times New Roman" w:hAnsi="Times New Roman"/>
              </w:rPr>
            </w:pPr>
            <w:r>
              <w:rPr>
                <w:rFonts w:ascii="Times New Roman" w:hAnsi="Times New Roman" w:hint="eastAsia"/>
              </w:rPr>
              <w:t>群力水库、向阳水电站前池项目所在地</w:t>
            </w:r>
          </w:p>
        </w:tc>
        <w:tc>
          <w:tcPr>
            <w:tcW w:w="704" w:type="pct"/>
            <w:vAlign w:val="center"/>
          </w:tcPr>
          <w:p w14:paraId="679884FB" w14:textId="77777777" w:rsidR="009D12AF" w:rsidRDefault="00000000">
            <w:pPr>
              <w:pStyle w:val="af7"/>
              <w:rPr>
                <w:rFonts w:ascii="Times New Roman" w:hAnsi="Times New Roman"/>
              </w:rPr>
            </w:pPr>
            <w:r>
              <w:rPr>
                <w:rFonts w:ascii="宋体" w:eastAsia="宋体" w:hAnsi="宋体" w:cs="宋体" w:hint="eastAsia"/>
              </w:rPr>
              <w:t>Ⅲ</w:t>
            </w:r>
            <w:r>
              <w:rPr>
                <w:rFonts w:ascii="Times New Roman" w:hAnsi="Times New Roman"/>
              </w:rPr>
              <w:t>类</w:t>
            </w:r>
          </w:p>
        </w:tc>
        <w:tc>
          <w:tcPr>
            <w:tcW w:w="2343" w:type="pct"/>
            <w:vAlign w:val="center"/>
          </w:tcPr>
          <w:p w14:paraId="61328F19" w14:textId="77777777" w:rsidR="009D12AF" w:rsidRDefault="00000000">
            <w:pPr>
              <w:pStyle w:val="af7"/>
              <w:rPr>
                <w:rFonts w:ascii="Times New Roman" w:hAnsi="Times New Roman"/>
              </w:rPr>
            </w:pPr>
            <w:r>
              <w:rPr>
                <w:rFonts w:ascii="Times New Roman" w:hAnsi="Times New Roman"/>
              </w:rPr>
              <w:t>《地下水质量标准》（</w:t>
            </w:r>
            <w:r>
              <w:rPr>
                <w:rFonts w:ascii="Times New Roman" w:hAnsi="Times New Roman"/>
              </w:rPr>
              <w:t>GB/T14848-2017</w:t>
            </w:r>
            <w:r>
              <w:rPr>
                <w:rFonts w:ascii="Times New Roman" w:hAnsi="Times New Roman"/>
              </w:rPr>
              <w:t>）</w:t>
            </w:r>
          </w:p>
        </w:tc>
      </w:tr>
      <w:tr w:rsidR="009D12AF" w14:paraId="0D43A4B1" w14:textId="77777777">
        <w:trPr>
          <w:trHeight w:val="1926"/>
        </w:trPr>
        <w:tc>
          <w:tcPr>
            <w:tcW w:w="425" w:type="pct"/>
            <w:vAlign w:val="center"/>
          </w:tcPr>
          <w:p w14:paraId="40599CE0" w14:textId="77777777" w:rsidR="009D12AF" w:rsidRDefault="00000000">
            <w:pPr>
              <w:pStyle w:val="af7"/>
              <w:rPr>
                <w:rFonts w:ascii="Times New Roman" w:hAnsi="Times New Roman"/>
              </w:rPr>
            </w:pPr>
            <w:r>
              <w:rPr>
                <w:rFonts w:ascii="Times New Roman" w:hAnsi="Times New Roman"/>
              </w:rPr>
              <w:t>4</w:t>
            </w:r>
          </w:p>
        </w:tc>
        <w:tc>
          <w:tcPr>
            <w:tcW w:w="580" w:type="pct"/>
            <w:vAlign w:val="center"/>
          </w:tcPr>
          <w:p w14:paraId="48E4115F" w14:textId="77777777" w:rsidR="009D12AF" w:rsidRDefault="00000000">
            <w:pPr>
              <w:pStyle w:val="af7"/>
              <w:rPr>
                <w:rFonts w:ascii="Times New Roman" w:hAnsi="Times New Roman"/>
              </w:rPr>
            </w:pPr>
            <w:r>
              <w:rPr>
                <w:rFonts w:ascii="Times New Roman" w:hAnsi="Times New Roman"/>
              </w:rPr>
              <w:t>噪声</w:t>
            </w:r>
          </w:p>
        </w:tc>
        <w:tc>
          <w:tcPr>
            <w:tcW w:w="946" w:type="pct"/>
            <w:vAlign w:val="center"/>
          </w:tcPr>
          <w:p w14:paraId="707B34BD" w14:textId="77777777" w:rsidR="009D12AF" w:rsidRDefault="00000000">
            <w:pPr>
              <w:pStyle w:val="af7"/>
              <w:rPr>
                <w:rFonts w:ascii="Times New Roman" w:hAnsi="Times New Roman"/>
              </w:rPr>
            </w:pPr>
            <w:r>
              <w:rPr>
                <w:rFonts w:ascii="Times New Roman" w:hAnsi="Times New Roman" w:hint="eastAsia"/>
              </w:rPr>
              <w:t>群力水库、长石水库、万丈水库、新安晒水池、向阳水电站前池项目所在地</w:t>
            </w:r>
          </w:p>
        </w:tc>
        <w:tc>
          <w:tcPr>
            <w:tcW w:w="704" w:type="pct"/>
            <w:vAlign w:val="center"/>
          </w:tcPr>
          <w:p w14:paraId="41A31E96" w14:textId="77777777" w:rsidR="009D12AF" w:rsidRDefault="00000000">
            <w:pPr>
              <w:pStyle w:val="af7"/>
              <w:rPr>
                <w:rFonts w:ascii="Times New Roman" w:hAnsi="Times New Roman"/>
              </w:rPr>
            </w:pPr>
            <w:r>
              <w:rPr>
                <w:rFonts w:ascii="Times New Roman" w:hAnsi="Times New Roman" w:hint="eastAsia"/>
              </w:rPr>
              <w:t>1</w:t>
            </w:r>
            <w:r>
              <w:rPr>
                <w:rFonts w:ascii="Times New Roman" w:hAnsi="Times New Roman" w:hint="eastAsia"/>
              </w:rPr>
              <w:t>类</w:t>
            </w:r>
          </w:p>
        </w:tc>
        <w:tc>
          <w:tcPr>
            <w:tcW w:w="2343" w:type="pct"/>
            <w:vAlign w:val="center"/>
          </w:tcPr>
          <w:p w14:paraId="29D937EF" w14:textId="77777777" w:rsidR="009D12AF" w:rsidRDefault="00000000">
            <w:pPr>
              <w:pStyle w:val="af7"/>
              <w:rPr>
                <w:rFonts w:ascii="Times New Roman" w:hAnsi="Times New Roman"/>
              </w:rPr>
            </w:pPr>
            <w:r>
              <w:rPr>
                <w:rFonts w:ascii="Times New Roman" w:hAnsi="Times New Roman" w:hint="eastAsia"/>
              </w:rPr>
              <w:t>《声环境质量标准》（</w:t>
            </w:r>
            <w:r>
              <w:rPr>
                <w:rFonts w:ascii="Times New Roman" w:hAnsi="Times New Roman" w:hint="eastAsia"/>
              </w:rPr>
              <w:t>GB3096-2008</w:t>
            </w:r>
            <w:r>
              <w:rPr>
                <w:rFonts w:ascii="Times New Roman" w:hAnsi="Times New Roman" w:hint="eastAsia"/>
              </w:rPr>
              <w:t>）</w:t>
            </w:r>
          </w:p>
        </w:tc>
      </w:tr>
      <w:tr w:rsidR="009D12AF" w14:paraId="374C93D7" w14:textId="77777777">
        <w:trPr>
          <w:trHeight w:val="70"/>
        </w:trPr>
        <w:tc>
          <w:tcPr>
            <w:tcW w:w="425" w:type="pct"/>
            <w:vAlign w:val="center"/>
          </w:tcPr>
          <w:p w14:paraId="7711DE1C" w14:textId="77777777" w:rsidR="009D12AF" w:rsidRDefault="00000000">
            <w:pPr>
              <w:pStyle w:val="af7"/>
              <w:rPr>
                <w:rFonts w:ascii="Times New Roman" w:hAnsi="Times New Roman"/>
              </w:rPr>
            </w:pPr>
            <w:r>
              <w:rPr>
                <w:rFonts w:ascii="Times New Roman" w:hAnsi="Times New Roman" w:hint="eastAsia"/>
              </w:rPr>
              <w:t>5</w:t>
            </w:r>
          </w:p>
        </w:tc>
        <w:tc>
          <w:tcPr>
            <w:tcW w:w="580" w:type="pct"/>
            <w:vAlign w:val="center"/>
          </w:tcPr>
          <w:p w14:paraId="0382C0C7" w14:textId="77777777" w:rsidR="009D12AF" w:rsidRDefault="00000000">
            <w:pPr>
              <w:pStyle w:val="af7"/>
              <w:rPr>
                <w:rFonts w:ascii="Times New Roman" w:hAnsi="Times New Roman"/>
              </w:rPr>
            </w:pPr>
            <w:r>
              <w:rPr>
                <w:rFonts w:ascii="Times New Roman" w:hAnsi="Times New Roman" w:hint="eastAsia"/>
              </w:rPr>
              <w:t>土壤（包括底泥）</w:t>
            </w:r>
          </w:p>
        </w:tc>
        <w:tc>
          <w:tcPr>
            <w:tcW w:w="946" w:type="pct"/>
            <w:vAlign w:val="center"/>
          </w:tcPr>
          <w:p w14:paraId="4A2A3549" w14:textId="77777777" w:rsidR="009D12AF" w:rsidRDefault="00000000">
            <w:pPr>
              <w:pStyle w:val="af7"/>
              <w:rPr>
                <w:rFonts w:ascii="Times New Roman" w:hAnsi="Times New Roman"/>
              </w:rPr>
            </w:pPr>
            <w:r>
              <w:rPr>
                <w:rFonts w:ascii="Times New Roman" w:hAnsi="Times New Roman" w:hint="eastAsia"/>
              </w:rPr>
              <w:t>群力水库、长石水库、万丈水库、新安晒水池、向阳水电站前池项目所在地</w:t>
            </w:r>
          </w:p>
        </w:tc>
        <w:tc>
          <w:tcPr>
            <w:tcW w:w="704" w:type="pct"/>
            <w:vAlign w:val="center"/>
          </w:tcPr>
          <w:p w14:paraId="504B04B0" w14:textId="77777777" w:rsidR="009D12AF" w:rsidRDefault="00000000">
            <w:pPr>
              <w:pStyle w:val="af7"/>
              <w:rPr>
                <w:rFonts w:ascii="Times New Roman" w:hAnsi="Times New Roman"/>
              </w:rPr>
            </w:pPr>
            <w:r>
              <w:rPr>
                <w:rFonts w:ascii="Times New Roman" w:hAnsi="Times New Roman" w:hint="eastAsia"/>
              </w:rPr>
              <w:t>/</w:t>
            </w:r>
          </w:p>
        </w:tc>
        <w:tc>
          <w:tcPr>
            <w:tcW w:w="2343" w:type="pct"/>
            <w:vAlign w:val="center"/>
          </w:tcPr>
          <w:p w14:paraId="68FFC59A" w14:textId="77777777" w:rsidR="009D12AF" w:rsidRDefault="00000000">
            <w:pPr>
              <w:pStyle w:val="af7"/>
              <w:rPr>
                <w:rFonts w:ascii="Times New Roman" w:hAnsi="Times New Roman"/>
              </w:rPr>
            </w:pPr>
            <w:r>
              <w:rPr>
                <w:rFonts w:ascii="Times New Roman" w:hAnsi="Times New Roman" w:hint="eastAsia"/>
              </w:rPr>
              <w:t>执行《土壤环境质量</w:t>
            </w:r>
            <w:r>
              <w:rPr>
                <w:rFonts w:ascii="Times New Roman" w:hAnsi="Times New Roman" w:hint="eastAsia"/>
              </w:rPr>
              <w:t xml:space="preserve"> </w:t>
            </w:r>
            <w:r>
              <w:rPr>
                <w:rFonts w:ascii="Times New Roman" w:hAnsi="Times New Roman" w:hint="eastAsia"/>
              </w:rPr>
              <w:t>农用地土壤污染风险管控标准（试行）》（</w:t>
            </w:r>
            <w:r>
              <w:rPr>
                <w:rFonts w:ascii="Times New Roman" w:hAnsi="Times New Roman" w:hint="eastAsia"/>
              </w:rPr>
              <w:t>GB15618-2018</w:t>
            </w:r>
            <w:r>
              <w:rPr>
                <w:rFonts w:ascii="Times New Roman" w:hAnsi="Times New Roman" w:hint="eastAsia"/>
              </w:rPr>
              <w:t>）风险筛选值</w:t>
            </w:r>
          </w:p>
        </w:tc>
      </w:tr>
    </w:tbl>
    <w:p w14:paraId="0FD0725B" w14:textId="77777777" w:rsidR="009D12AF" w:rsidRDefault="00000000">
      <w:pPr>
        <w:pStyle w:val="2"/>
      </w:pPr>
      <w:bookmarkStart w:id="68" w:name="_Toc3235"/>
      <w:r>
        <w:rPr>
          <w:rFonts w:hint="eastAsia"/>
        </w:rPr>
        <w:lastRenderedPageBreak/>
        <w:t>2</w:t>
      </w:r>
      <w:r>
        <w:t>.</w:t>
      </w:r>
      <w:r>
        <w:rPr>
          <w:rFonts w:hint="eastAsia"/>
        </w:rPr>
        <w:t>5</w:t>
      </w:r>
      <w:r>
        <w:t xml:space="preserve"> </w:t>
      </w:r>
      <w:r>
        <w:t>评价工作等级及评价范围</w:t>
      </w:r>
      <w:bookmarkEnd w:id="68"/>
    </w:p>
    <w:p w14:paraId="4ABFB8F7" w14:textId="77777777" w:rsidR="009D12AF" w:rsidRDefault="00000000">
      <w:pPr>
        <w:pStyle w:val="3"/>
        <w:rPr>
          <w:highlight w:val="yellow"/>
        </w:rPr>
      </w:pPr>
      <w:bookmarkStart w:id="69" w:name="_Toc8151"/>
      <w:bookmarkStart w:id="70" w:name="_Toc10244"/>
      <w:bookmarkStart w:id="71" w:name="_Toc16589"/>
      <w:bookmarkStart w:id="72" w:name="_Toc31155"/>
      <w:r>
        <w:rPr>
          <w:rFonts w:hint="eastAsia"/>
        </w:rPr>
        <w:t>2</w:t>
      </w:r>
      <w:r>
        <w:t>.</w:t>
      </w:r>
      <w:r>
        <w:rPr>
          <w:rFonts w:hint="eastAsia"/>
        </w:rPr>
        <w:t>5</w:t>
      </w:r>
      <w:r>
        <w:t xml:space="preserve">.1 </w:t>
      </w:r>
      <w:r>
        <w:t>环境空气</w:t>
      </w:r>
      <w:bookmarkEnd w:id="69"/>
      <w:bookmarkEnd w:id="70"/>
      <w:bookmarkEnd w:id="71"/>
      <w:bookmarkEnd w:id="72"/>
    </w:p>
    <w:p w14:paraId="3827C681" w14:textId="77777777" w:rsidR="009D12AF" w:rsidRDefault="00000000">
      <w:pPr>
        <w:ind w:firstLine="480"/>
      </w:pPr>
      <w:r>
        <w:t>本项目为河湖整治工程，属生态类建设项目，项目运行期本身不排放废气，对大气环境产生影响仅集中在工程施工期，施工结束后，其影响将自行消失。</w:t>
      </w:r>
    </w:p>
    <w:p w14:paraId="68F7167B" w14:textId="77777777" w:rsidR="009D12AF" w:rsidRDefault="00000000">
      <w:pPr>
        <w:ind w:firstLine="480"/>
        <w:rPr>
          <w:highlight w:val="yellow"/>
        </w:rPr>
      </w:pPr>
      <w:r>
        <w:t>本工程环境空气污染包括施工现场、</w:t>
      </w:r>
      <w:r>
        <w:rPr>
          <w:rFonts w:hint="eastAsia"/>
        </w:rPr>
        <w:t>临时生产区</w:t>
      </w:r>
      <w:r>
        <w:t>及运输过程产生的扬尘污染，</w:t>
      </w:r>
      <w:r>
        <w:rPr>
          <w:rFonts w:hint="eastAsia"/>
        </w:rPr>
        <w:t>水库</w:t>
      </w:r>
      <w:r>
        <w:t>清淤、</w:t>
      </w:r>
      <w:r>
        <w:rPr>
          <w:rFonts w:hint="eastAsia"/>
        </w:rPr>
        <w:t>临时生产区</w:t>
      </w:r>
      <w:r>
        <w:t>、弃土场及运输过程产生的恶臭污染，燃油机械和运输车辆产生的尾气污染。污染物主要包括：颗粒物、</w:t>
      </w:r>
      <w:r>
        <w:t>NOx</w:t>
      </w:r>
      <w:r>
        <w:t>、</w:t>
      </w:r>
      <w:r>
        <w:t>HC</w:t>
      </w:r>
      <w:r>
        <w:t>、</w:t>
      </w:r>
      <w:r>
        <w:t>CO</w:t>
      </w:r>
      <w:r>
        <w:t>、氨和硫化氢、臭气浓度等，属于无组织排放，且排放量很小，根据《环境影响评价技术导则</w:t>
      </w:r>
      <w:r>
        <w:t>—</w:t>
      </w:r>
      <w:r>
        <w:t>大气环境》（</w:t>
      </w:r>
      <w:r>
        <w:t>HJ2.2-2018</w:t>
      </w:r>
      <w:r>
        <w:t>）相关规定，本项目环境空气评价等级确定为三级。</w:t>
      </w:r>
      <w:r>
        <w:t xml:space="preserve"> </w:t>
      </w:r>
    </w:p>
    <w:p w14:paraId="6A2661CB" w14:textId="77777777" w:rsidR="009D12AF" w:rsidRDefault="00000000">
      <w:pPr>
        <w:pStyle w:val="3"/>
      </w:pPr>
      <w:bookmarkStart w:id="73" w:name="_Toc4965"/>
      <w:bookmarkStart w:id="74" w:name="_Toc20109"/>
      <w:bookmarkStart w:id="75" w:name="_Toc10238"/>
      <w:bookmarkStart w:id="76" w:name="_Toc2351"/>
      <w:r>
        <w:rPr>
          <w:rFonts w:hint="eastAsia"/>
        </w:rPr>
        <w:t>2</w:t>
      </w:r>
      <w:r>
        <w:t>.</w:t>
      </w:r>
      <w:r>
        <w:rPr>
          <w:rFonts w:hint="eastAsia"/>
        </w:rPr>
        <w:t>5</w:t>
      </w:r>
      <w:r>
        <w:t xml:space="preserve">.2 </w:t>
      </w:r>
      <w:r>
        <w:t>地表水环境</w:t>
      </w:r>
      <w:bookmarkEnd w:id="73"/>
      <w:bookmarkEnd w:id="74"/>
      <w:bookmarkEnd w:id="75"/>
      <w:bookmarkEnd w:id="76"/>
    </w:p>
    <w:p w14:paraId="5D82A547" w14:textId="77777777" w:rsidR="009D12AF" w:rsidRDefault="00000000">
      <w:pPr>
        <w:ind w:firstLine="480"/>
      </w:pPr>
      <w:r>
        <w:rPr>
          <w:rFonts w:hint="eastAsia"/>
        </w:rPr>
        <w:t>（</w:t>
      </w:r>
      <w:r>
        <w:rPr>
          <w:rFonts w:hint="eastAsia"/>
        </w:rPr>
        <w:t>1</w:t>
      </w:r>
      <w:r>
        <w:rPr>
          <w:rFonts w:hint="eastAsia"/>
        </w:rPr>
        <w:t>）评价工作等级</w:t>
      </w:r>
    </w:p>
    <w:p w14:paraId="780B6A48" w14:textId="77777777" w:rsidR="009D12AF" w:rsidRDefault="00000000">
      <w:pPr>
        <w:ind w:firstLine="480"/>
      </w:pPr>
      <w:r>
        <w:t>根据《环境影响评价技术导则</w:t>
      </w:r>
      <w:r>
        <w:t>——</w:t>
      </w:r>
      <w:r>
        <w:t>地表水环境》（</w:t>
      </w:r>
      <w:r>
        <w:t>HJ2.3-2018</w:t>
      </w:r>
      <w:r>
        <w:t>），建设项目地表水环境影响评价等级按照影响类型、排放方式、排放量或影响情况、受纳水体环境质量现状、水环境保</w:t>
      </w:r>
      <w:r>
        <w:t xml:space="preserve"> </w:t>
      </w:r>
      <w:r>
        <w:t>护目标等综合确定。本项目为清淤工程，工程建设对环境的影响以施工期为主，</w:t>
      </w:r>
      <w:r>
        <w:rPr>
          <w:rFonts w:hint="eastAsia"/>
        </w:rPr>
        <w:t>运行期</w:t>
      </w:r>
      <w:r>
        <w:t>无污废水产生，属于水污染影响型及水文要素影响型兼有的复合影响型。</w:t>
      </w:r>
    </w:p>
    <w:p w14:paraId="68F95606" w14:textId="77777777" w:rsidR="009D12AF" w:rsidRDefault="00000000">
      <w:pPr>
        <w:ind w:firstLine="480"/>
      </w:pPr>
      <w:r>
        <w:rPr>
          <w:rFonts w:hint="eastAsia"/>
        </w:rPr>
        <w:t>①水文要素影响型</w:t>
      </w:r>
    </w:p>
    <w:p w14:paraId="40660669" w14:textId="77777777" w:rsidR="009D12AF" w:rsidRDefault="00000000">
      <w:pPr>
        <w:ind w:firstLine="480"/>
      </w:pPr>
      <w:r>
        <w:t>本项目按水文要素型建设项目评价等级划分，工程主要对水库进行</w:t>
      </w:r>
      <w:r>
        <w:rPr>
          <w:rFonts w:hint="eastAsia"/>
        </w:rPr>
        <w:t>底泥清淤</w:t>
      </w:r>
      <w:r>
        <w:t>，</w:t>
      </w:r>
      <w:r>
        <w:rPr>
          <w:rFonts w:hint="eastAsia"/>
        </w:rPr>
        <w:t>清淤后水库恢复原有</w:t>
      </w:r>
      <w:r>
        <w:t>正常蓄水位、死水位不变，相应库容不变，本次评价根据工程扰动水底面积</w:t>
      </w:r>
      <w:r>
        <w:t>A2</w:t>
      </w:r>
      <w:r>
        <w:t>判定评价等级。</w:t>
      </w:r>
    </w:p>
    <w:p w14:paraId="2510C901" w14:textId="77777777" w:rsidR="009D12AF" w:rsidRDefault="00000000">
      <w:pPr>
        <w:ind w:firstLine="482"/>
        <w:jc w:val="center"/>
      </w:pPr>
      <w:r>
        <w:rPr>
          <w:rFonts w:hint="eastAsia"/>
          <w:b/>
          <w:bCs/>
        </w:rPr>
        <w:t>表</w:t>
      </w:r>
      <w:r>
        <w:rPr>
          <w:rFonts w:ascii="Times New Roman" w:hAnsi="Times New Roman" w:cs="Times New Roman"/>
          <w:b/>
          <w:bCs/>
        </w:rPr>
        <w:t>2.</w:t>
      </w:r>
      <w:r>
        <w:rPr>
          <w:rFonts w:ascii="Times New Roman" w:hAnsi="Times New Roman" w:cs="Times New Roman" w:hint="eastAsia"/>
          <w:b/>
          <w:bCs/>
        </w:rPr>
        <w:t>5</w:t>
      </w:r>
      <w:r>
        <w:rPr>
          <w:rFonts w:ascii="Times New Roman" w:hAnsi="Times New Roman" w:cs="Times New Roman"/>
          <w:b/>
          <w:bCs/>
        </w:rPr>
        <w:t>-1</w:t>
      </w:r>
      <w:r>
        <w:rPr>
          <w:rFonts w:hint="eastAsia"/>
          <w:b/>
          <w:bCs/>
        </w:rPr>
        <w:t>水文要素影响型建设项目评价等级判定表</w:t>
      </w:r>
    </w:p>
    <w:tbl>
      <w:tblPr>
        <w:tblStyle w:val="ae"/>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689"/>
        <w:gridCol w:w="1745"/>
        <w:gridCol w:w="1217"/>
        <w:gridCol w:w="1217"/>
        <w:gridCol w:w="1324"/>
        <w:gridCol w:w="1112"/>
        <w:gridCol w:w="1218"/>
      </w:tblGrid>
      <w:tr w:rsidR="009D12AF" w14:paraId="21D9F809" w14:textId="77777777">
        <w:tc>
          <w:tcPr>
            <w:tcW w:w="689" w:type="dxa"/>
            <w:vMerge w:val="restart"/>
            <w:tcBorders>
              <w:tl2br w:val="nil"/>
              <w:tr2bl w:val="nil"/>
            </w:tcBorders>
            <w:vAlign w:val="center"/>
          </w:tcPr>
          <w:p w14:paraId="0FFC038F" w14:textId="77777777" w:rsidR="009D12AF" w:rsidRDefault="00000000">
            <w:pPr>
              <w:ind w:firstLineChars="0" w:firstLine="0"/>
              <w:jc w:val="center"/>
              <w:rPr>
                <w:sz w:val="21"/>
                <w:szCs w:val="21"/>
              </w:rPr>
            </w:pPr>
            <w:r>
              <w:rPr>
                <w:rFonts w:hint="eastAsia"/>
                <w:sz w:val="21"/>
                <w:szCs w:val="21"/>
              </w:rPr>
              <w:t>评价</w:t>
            </w:r>
            <w:r>
              <w:rPr>
                <w:rFonts w:hint="eastAsia"/>
                <w:sz w:val="21"/>
                <w:szCs w:val="21"/>
              </w:rPr>
              <w:lastRenderedPageBreak/>
              <w:t>等级</w:t>
            </w:r>
          </w:p>
        </w:tc>
        <w:tc>
          <w:tcPr>
            <w:tcW w:w="1745" w:type="dxa"/>
            <w:tcBorders>
              <w:tl2br w:val="nil"/>
              <w:tr2bl w:val="nil"/>
            </w:tcBorders>
            <w:vAlign w:val="center"/>
          </w:tcPr>
          <w:p w14:paraId="52213068" w14:textId="77777777" w:rsidR="009D12AF" w:rsidRDefault="00000000">
            <w:pPr>
              <w:ind w:firstLineChars="0" w:firstLine="0"/>
              <w:jc w:val="center"/>
              <w:rPr>
                <w:sz w:val="21"/>
                <w:szCs w:val="21"/>
              </w:rPr>
            </w:pPr>
            <w:r>
              <w:rPr>
                <w:rFonts w:hint="eastAsia"/>
                <w:sz w:val="21"/>
                <w:szCs w:val="21"/>
              </w:rPr>
              <w:lastRenderedPageBreak/>
              <w:t>水温</w:t>
            </w:r>
          </w:p>
        </w:tc>
        <w:tc>
          <w:tcPr>
            <w:tcW w:w="2434" w:type="dxa"/>
            <w:gridSpan w:val="2"/>
            <w:tcBorders>
              <w:tl2br w:val="nil"/>
              <w:tr2bl w:val="nil"/>
            </w:tcBorders>
            <w:vAlign w:val="center"/>
          </w:tcPr>
          <w:p w14:paraId="5E4AED1B" w14:textId="77777777" w:rsidR="009D12AF" w:rsidRDefault="00000000">
            <w:pPr>
              <w:ind w:firstLineChars="0" w:firstLine="0"/>
              <w:jc w:val="center"/>
              <w:rPr>
                <w:sz w:val="21"/>
                <w:szCs w:val="21"/>
              </w:rPr>
            </w:pPr>
            <w:r>
              <w:rPr>
                <w:rFonts w:hint="eastAsia"/>
                <w:sz w:val="21"/>
                <w:szCs w:val="21"/>
              </w:rPr>
              <w:t>径流</w:t>
            </w:r>
          </w:p>
        </w:tc>
        <w:tc>
          <w:tcPr>
            <w:tcW w:w="3654" w:type="dxa"/>
            <w:gridSpan w:val="3"/>
            <w:tcBorders>
              <w:tl2br w:val="nil"/>
              <w:tr2bl w:val="nil"/>
            </w:tcBorders>
            <w:vAlign w:val="center"/>
          </w:tcPr>
          <w:p w14:paraId="7B771127" w14:textId="77777777" w:rsidR="009D12AF" w:rsidRDefault="00000000">
            <w:pPr>
              <w:ind w:firstLineChars="0" w:firstLine="0"/>
              <w:jc w:val="center"/>
              <w:rPr>
                <w:sz w:val="21"/>
                <w:szCs w:val="21"/>
              </w:rPr>
            </w:pPr>
            <w:r>
              <w:rPr>
                <w:rFonts w:hint="eastAsia"/>
                <w:sz w:val="21"/>
                <w:szCs w:val="21"/>
              </w:rPr>
              <w:t>受影响地表水域</w:t>
            </w:r>
          </w:p>
        </w:tc>
      </w:tr>
      <w:tr w:rsidR="009D12AF" w14:paraId="1929730B" w14:textId="77777777">
        <w:trPr>
          <w:trHeight w:val="3212"/>
        </w:trPr>
        <w:tc>
          <w:tcPr>
            <w:tcW w:w="689" w:type="dxa"/>
            <w:vMerge/>
            <w:tcBorders>
              <w:tl2br w:val="nil"/>
              <w:tr2bl w:val="nil"/>
            </w:tcBorders>
            <w:vAlign w:val="center"/>
          </w:tcPr>
          <w:p w14:paraId="420D3647" w14:textId="77777777" w:rsidR="009D12AF" w:rsidRDefault="009D12AF">
            <w:pPr>
              <w:jc w:val="center"/>
              <w:rPr>
                <w:sz w:val="21"/>
                <w:szCs w:val="21"/>
              </w:rPr>
            </w:pPr>
          </w:p>
        </w:tc>
        <w:tc>
          <w:tcPr>
            <w:tcW w:w="1745" w:type="dxa"/>
            <w:vMerge w:val="restart"/>
            <w:tcBorders>
              <w:tl2br w:val="nil"/>
              <w:tr2bl w:val="nil"/>
            </w:tcBorders>
            <w:vAlign w:val="center"/>
          </w:tcPr>
          <w:p w14:paraId="0FE826CD" w14:textId="77777777" w:rsidR="009D12AF" w:rsidRDefault="00000000">
            <w:pPr>
              <w:ind w:firstLineChars="0" w:firstLine="0"/>
              <w:jc w:val="center"/>
              <w:rPr>
                <w:sz w:val="21"/>
                <w:szCs w:val="21"/>
              </w:rPr>
            </w:pPr>
            <w:r>
              <w:rPr>
                <w:rFonts w:hint="eastAsia"/>
                <w:sz w:val="21"/>
                <w:szCs w:val="21"/>
              </w:rPr>
              <w:t>年径流量与总库之比α</w:t>
            </w:r>
          </w:p>
        </w:tc>
        <w:tc>
          <w:tcPr>
            <w:tcW w:w="1217" w:type="dxa"/>
            <w:vMerge w:val="restart"/>
            <w:tcBorders>
              <w:tl2br w:val="nil"/>
              <w:tr2bl w:val="nil"/>
            </w:tcBorders>
            <w:vAlign w:val="center"/>
          </w:tcPr>
          <w:p w14:paraId="58253441" w14:textId="77777777" w:rsidR="009D12AF" w:rsidRDefault="00000000">
            <w:pPr>
              <w:ind w:firstLineChars="0" w:firstLine="0"/>
              <w:jc w:val="center"/>
              <w:rPr>
                <w:sz w:val="21"/>
                <w:szCs w:val="21"/>
              </w:rPr>
            </w:pPr>
            <w:r>
              <w:rPr>
                <w:rFonts w:hint="eastAsia"/>
                <w:sz w:val="21"/>
                <w:szCs w:val="21"/>
              </w:rPr>
              <w:t>兴利库容占年径流量百分比β</w:t>
            </w:r>
            <w:r>
              <w:rPr>
                <w:rFonts w:hint="eastAsia"/>
                <w:sz w:val="21"/>
                <w:szCs w:val="21"/>
              </w:rPr>
              <w:t>%</w:t>
            </w:r>
          </w:p>
        </w:tc>
        <w:tc>
          <w:tcPr>
            <w:tcW w:w="1217" w:type="dxa"/>
            <w:vMerge w:val="restart"/>
            <w:tcBorders>
              <w:tl2br w:val="nil"/>
              <w:tr2bl w:val="nil"/>
            </w:tcBorders>
            <w:vAlign w:val="center"/>
          </w:tcPr>
          <w:p w14:paraId="26527AC8" w14:textId="77777777" w:rsidR="009D12AF" w:rsidRDefault="00000000">
            <w:pPr>
              <w:ind w:firstLineChars="0" w:firstLine="0"/>
              <w:jc w:val="center"/>
              <w:rPr>
                <w:sz w:val="21"/>
                <w:szCs w:val="21"/>
              </w:rPr>
            </w:pPr>
            <w:r>
              <w:rPr>
                <w:rFonts w:hint="eastAsia"/>
                <w:sz w:val="21"/>
                <w:szCs w:val="21"/>
              </w:rPr>
              <w:t>取水量占多年平均径流量百分比γ</w:t>
            </w:r>
            <w:r>
              <w:rPr>
                <w:rFonts w:hint="eastAsia"/>
                <w:sz w:val="21"/>
                <w:szCs w:val="21"/>
              </w:rPr>
              <w:t>%</w:t>
            </w:r>
          </w:p>
        </w:tc>
        <w:tc>
          <w:tcPr>
            <w:tcW w:w="2436" w:type="dxa"/>
            <w:gridSpan w:val="2"/>
            <w:tcBorders>
              <w:bottom w:val="single" w:sz="4" w:space="0" w:color="000000"/>
              <w:tl2br w:val="nil"/>
              <w:tr2bl w:val="nil"/>
            </w:tcBorders>
            <w:vAlign w:val="center"/>
          </w:tcPr>
          <w:p w14:paraId="453D03FA" w14:textId="77777777" w:rsidR="009D12AF" w:rsidRDefault="00000000">
            <w:pPr>
              <w:ind w:firstLineChars="0" w:firstLine="0"/>
              <w:jc w:val="center"/>
              <w:rPr>
                <w:sz w:val="21"/>
                <w:szCs w:val="21"/>
              </w:rPr>
            </w:pPr>
            <w:r>
              <w:rPr>
                <w:sz w:val="21"/>
                <w:szCs w:val="21"/>
              </w:rPr>
              <w:t>工程垂直投影面积及外扩范用</w:t>
            </w:r>
            <w:r>
              <w:rPr>
                <w:sz w:val="21"/>
                <w:szCs w:val="21"/>
              </w:rPr>
              <w:t>A1km</w:t>
            </w:r>
            <w:r>
              <w:rPr>
                <w:sz w:val="21"/>
                <w:szCs w:val="21"/>
                <w:vertAlign w:val="superscript"/>
              </w:rPr>
              <w:t>2</w:t>
            </w:r>
            <w:r>
              <w:rPr>
                <w:rFonts w:hint="eastAsia"/>
                <w:sz w:val="21"/>
                <w:szCs w:val="21"/>
              </w:rPr>
              <w:t>；</w:t>
            </w:r>
            <w:r>
              <w:rPr>
                <w:sz w:val="21"/>
                <w:szCs w:val="21"/>
              </w:rPr>
              <w:t>工程扰动水底面积</w:t>
            </w:r>
            <w:r>
              <w:rPr>
                <w:sz w:val="21"/>
                <w:szCs w:val="21"/>
              </w:rPr>
              <w:t xml:space="preserve"> A2/km</w:t>
            </w:r>
            <w:r>
              <w:rPr>
                <w:sz w:val="21"/>
                <w:szCs w:val="21"/>
                <w:vertAlign w:val="superscript"/>
              </w:rPr>
              <w:t>2</w:t>
            </w:r>
            <w:r>
              <w:rPr>
                <w:rFonts w:hint="eastAsia"/>
                <w:sz w:val="21"/>
                <w:szCs w:val="21"/>
              </w:rPr>
              <w:t>；</w:t>
            </w:r>
            <w:r>
              <w:rPr>
                <w:sz w:val="21"/>
                <w:szCs w:val="21"/>
              </w:rPr>
              <w:t>过水断面宽度占比例或占用水域面积比例</w:t>
            </w:r>
            <w:r>
              <w:rPr>
                <w:sz w:val="21"/>
                <w:szCs w:val="21"/>
              </w:rPr>
              <w:t xml:space="preserve"> R/%</w:t>
            </w:r>
          </w:p>
        </w:tc>
        <w:tc>
          <w:tcPr>
            <w:tcW w:w="1218" w:type="dxa"/>
            <w:tcBorders>
              <w:bottom w:val="single" w:sz="4" w:space="0" w:color="000000"/>
              <w:tl2br w:val="nil"/>
              <w:tr2bl w:val="nil"/>
            </w:tcBorders>
            <w:vAlign w:val="center"/>
          </w:tcPr>
          <w:p w14:paraId="50CE65EF" w14:textId="77777777" w:rsidR="009D12AF" w:rsidRDefault="00000000">
            <w:pPr>
              <w:ind w:firstLineChars="0" w:firstLine="0"/>
              <w:jc w:val="center"/>
              <w:rPr>
                <w:sz w:val="21"/>
                <w:szCs w:val="21"/>
              </w:rPr>
            </w:pPr>
            <w:r>
              <w:rPr>
                <w:sz w:val="21"/>
                <w:szCs w:val="21"/>
              </w:rPr>
              <w:t>工程垂直投影面积及外扩范用</w:t>
            </w:r>
            <w:r>
              <w:rPr>
                <w:sz w:val="21"/>
                <w:szCs w:val="21"/>
              </w:rPr>
              <w:t>A1km</w:t>
            </w:r>
            <w:r>
              <w:rPr>
                <w:sz w:val="21"/>
                <w:szCs w:val="21"/>
                <w:vertAlign w:val="superscript"/>
              </w:rPr>
              <w:t>2</w:t>
            </w:r>
            <w:r>
              <w:rPr>
                <w:sz w:val="21"/>
                <w:szCs w:val="21"/>
              </w:rPr>
              <w:t>:</w:t>
            </w:r>
            <w:r>
              <w:rPr>
                <w:sz w:val="21"/>
                <w:szCs w:val="21"/>
              </w:rPr>
              <w:t>工程扰动水底面积</w:t>
            </w:r>
            <w:r>
              <w:rPr>
                <w:sz w:val="21"/>
                <w:szCs w:val="21"/>
              </w:rPr>
              <w:t xml:space="preserve"> A2/km</w:t>
            </w:r>
            <w:r>
              <w:rPr>
                <w:sz w:val="21"/>
                <w:szCs w:val="21"/>
                <w:vertAlign w:val="superscript"/>
              </w:rPr>
              <w:t>2</w:t>
            </w:r>
          </w:p>
        </w:tc>
      </w:tr>
      <w:tr w:rsidR="009D12AF" w14:paraId="4BB6EB43" w14:textId="77777777">
        <w:trPr>
          <w:trHeight w:val="710"/>
        </w:trPr>
        <w:tc>
          <w:tcPr>
            <w:tcW w:w="689" w:type="dxa"/>
            <w:vMerge/>
            <w:tcBorders>
              <w:tl2br w:val="nil"/>
              <w:tr2bl w:val="nil"/>
            </w:tcBorders>
            <w:vAlign w:val="center"/>
          </w:tcPr>
          <w:p w14:paraId="662F3214" w14:textId="77777777" w:rsidR="009D12AF" w:rsidRDefault="009D12AF">
            <w:pPr>
              <w:jc w:val="center"/>
              <w:rPr>
                <w:sz w:val="21"/>
                <w:szCs w:val="21"/>
              </w:rPr>
            </w:pPr>
          </w:p>
        </w:tc>
        <w:tc>
          <w:tcPr>
            <w:tcW w:w="1745" w:type="dxa"/>
            <w:vMerge/>
            <w:tcBorders>
              <w:tl2br w:val="nil"/>
              <w:tr2bl w:val="nil"/>
            </w:tcBorders>
            <w:vAlign w:val="center"/>
          </w:tcPr>
          <w:p w14:paraId="3BA1153D" w14:textId="77777777" w:rsidR="009D12AF" w:rsidRDefault="009D12AF">
            <w:pPr>
              <w:ind w:firstLineChars="0" w:firstLine="0"/>
              <w:jc w:val="center"/>
              <w:rPr>
                <w:sz w:val="21"/>
                <w:szCs w:val="21"/>
              </w:rPr>
            </w:pPr>
          </w:p>
        </w:tc>
        <w:tc>
          <w:tcPr>
            <w:tcW w:w="1217" w:type="dxa"/>
            <w:vMerge/>
            <w:tcBorders>
              <w:tl2br w:val="nil"/>
              <w:tr2bl w:val="nil"/>
            </w:tcBorders>
            <w:vAlign w:val="center"/>
          </w:tcPr>
          <w:p w14:paraId="2DB8952F" w14:textId="77777777" w:rsidR="009D12AF" w:rsidRDefault="009D12AF">
            <w:pPr>
              <w:ind w:firstLineChars="0" w:firstLine="0"/>
              <w:jc w:val="center"/>
              <w:rPr>
                <w:sz w:val="21"/>
                <w:szCs w:val="21"/>
              </w:rPr>
            </w:pPr>
          </w:p>
        </w:tc>
        <w:tc>
          <w:tcPr>
            <w:tcW w:w="1217" w:type="dxa"/>
            <w:vMerge/>
            <w:tcBorders>
              <w:tl2br w:val="nil"/>
              <w:tr2bl w:val="nil"/>
            </w:tcBorders>
            <w:vAlign w:val="center"/>
          </w:tcPr>
          <w:p w14:paraId="1D40059E" w14:textId="77777777" w:rsidR="009D12AF" w:rsidRDefault="009D12AF">
            <w:pPr>
              <w:ind w:firstLineChars="0" w:firstLine="0"/>
              <w:jc w:val="center"/>
              <w:rPr>
                <w:sz w:val="21"/>
                <w:szCs w:val="21"/>
              </w:rPr>
            </w:pPr>
          </w:p>
        </w:tc>
        <w:tc>
          <w:tcPr>
            <w:tcW w:w="1324" w:type="dxa"/>
            <w:tcBorders>
              <w:top w:val="single" w:sz="4" w:space="0" w:color="000000"/>
              <w:right w:val="single" w:sz="4" w:space="0" w:color="000000"/>
              <w:tl2br w:val="nil"/>
              <w:tr2bl w:val="nil"/>
            </w:tcBorders>
            <w:vAlign w:val="center"/>
          </w:tcPr>
          <w:p w14:paraId="3C243433" w14:textId="77777777" w:rsidR="009D12AF" w:rsidRDefault="00000000">
            <w:pPr>
              <w:ind w:firstLineChars="0" w:firstLine="0"/>
              <w:jc w:val="center"/>
              <w:rPr>
                <w:sz w:val="21"/>
                <w:szCs w:val="21"/>
              </w:rPr>
            </w:pPr>
            <w:r>
              <w:rPr>
                <w:rFonts w:hint="eastAsia"/>
                <w:sz w:val="21"/>
                <w:szCs w:val="21"/>
              </w:rPr>
              <w:t>河流</w:t>
            </w:r>
          </w:p>
        </w:tc>
        <w:tc>
          <w:tcPr>
            <w:tcW w:w="1112" w:type="dxa"/>
            <w:tcBorders>
              <w:top w:val="single" w:sz="4" w:space="0" w:color="000000"/>
              <w:left w:val="single" w:sz="4" w:space="0" w:color="000000"/>
              <w:tl2br w:val="nil"/>
              <w:tr2bl w:val="nil"/>
            </w:tcBorders>
            <w:vAlign w:val="center"/>
          </w:tcPr>
          <w:p w14:paraId="53F34C09" w14:textId="77777777" w:rsidR="009D12AF" w:rsidRDefault="00000000">
            <w:pPr>
              <w:ind w:firstLineChars="0" w:firstLine="0"/>
              <w:jc w:val="center"/>
              <w:rPr>
                <w:sz w:val="21"/>
                <w:szCs w:val="21"/>
              </w:rPr>
            </w:pPr>
            <w:r>
              <w:rPr>
                <w:rFonts w:hint="eastAsia"/>
                <w:sz w:val="21"/>
                <w:szCs w:val="21"/>
              </w:rPr>
              <w:t>湖库</w:t>
            </w:r>
          </w:p>
        </w:tc>
        <w:tc>
          <w:tcPr>
            <w:tcW w:w="1218" w:type="dxa"/>
            <w:tcBorders>
              <w:top w:val="single" w:sz="4" w:space="0" w:color="000000"/>
              <w:tl2br w:val="nil"/>
              <w:tr2bl w:val="nil"/>
            </w:tcBorders>
            <w:vAlign w:val="center"/>
          </w:tcPr>
          <w:p w14:paraId="37B8E85C" w14:textId="77777777" w:rsidR="009D12AF" w:rsidRDefault="00000000">
            <w:pPr>
              <w:ind w:firstLineChars="0" w:firstLine="0"/>
              <w:jc w:val="center"/>
              <w:rPr>
                <w:sz w:val="21"/>
                <w:szCs w:val="21"/>
              </w:rPr>
            </w:pPr>
            <w:r>
              <w:rPr>
                <w:rFonts w:hint="eastAsia"/>
                <w:sz w:val="21"/>
                <w:szCs w:val="21"/>
              </w:rPr>
              <w:t>入海河口、近岸海域</w:t>
            </w:r>
          </w:p>
        </w:tc>
      </w:tr>
      <w:tr w:rsidR="009D12AF" w14:paraId="49E04190" w14:textId="77777777">
        <w:tc>
          <w:tcPr>
            <w:tcW w:w="689" w:type="dxa"/>
            <w:tcBorders>
              <w:tl2br w:val="nil"/>
              <w:tr2bl w:val="nil"/>
            </w:tcBorders>
            <w:vAlign w:val="center"/>
          </w:tcPr>
          <w:p w14:paraId="436C3B03" w14:textId="77777777" w:rsidR="009D12AF" w:rsidRDefault="00000000">
            <w:pPr>
              <w:ind w:firstLineChars="0" w:firstLine="0"/>
              <w:jc w:val="center"/>
              <w:rPr>
                <w:sz w:val="21"/>
                <w:szCs w:val="21"/>
              </w:rPr>
            </w:pPr>
            <w:r>
              <w:rPr>
                <w:rFonts w:hint="eastAsia"/>
                <w:sz w:val="21"/>
                <w:szCs w:val="21"/>
              </w:rPr>
              <w:t>一级</w:t>
            </w:r>
          </w:p>
        </w:tc>
        <w:tc>
          <w:tcPr>
            <w:tcW w:w="1745" w:type="dxa"/>
            <w:tcBorders>
              <w:tl2br w:val="nil"/>
              <w:tr2bl w:val="nil"/>
            </w:tcBorders>
            <w:vAlign w:val="center"/>
          </w:tcPr>
          <w:p w14:paraId="2A20BB7B" w14:textId="77777777" w:rsidR="009D12AF" w:rsidRDefault="00000000">
            <w:pPr>
              <w:ind w:firstLineChars="0" w:firstLine="0"/>
              <w:jc w:val="center"/>
              <w:rPr>
                <w:sz w:val="21"/>
                <w:szCs w:val="21"/>
              </w:rPr>
            </w:pPr>
            <w:r>
              <w:rPr>
                <w:rFonts w:hint="eastAsia"/>
                <w:sz w:val="21"/>
                <w:szCs w:val="21"/>
              </w:rPr>
              <w:t>α</w:t>
            </w:r>
            <w:r>
              <w:rPr>
                <w:sz w:val="21"/>
                <w:szCs w:val="21"/>
              </w:rPr>
              <w:t>≤10;</w:t>
            </w:r>
            <w:r>
              <w:rPr>
                <w:sz w:val="21"/>
                <w:szCs w:val="21"/>
              </w:rPr>
              <w:t>或稳定分层</w:t>
            </w:r>
          </w:p>
        </w:tc>
        <w:tc>
          <w:tcPr>
            <w:tcW w:w="1217" w:type="dxa"/>
            <w:tcBorders>
              <w:tl2br w:val="nil"/>
              <w:tr2bl w:val="nil"/>
            </w:tcBorders>
            <w:vAlign w:val="center"/>
          </w:tcPr>
          <w:p w14:paraId="44C52BE9" w14:textId="77777777" w:rsidR="009D12AF" w:rsidRDefault="00000000">
            <w:pPr>
              <w:ind w:firstLineChars="0" w:firstLine="0"/>
              <w:jc w:val="center"/>
              <w:rPr>
                <w:sz w:val="21"/>
                <w:szCs w:val="21"/>
              </w:rPr>
            </w:pPr>
            <w:r>
              <w:rPr>
                <w:rFonts w:hint="eastAsia"/>
                <w:sz w:val="21"/>
                <w:szCs w:val="21"/>
              </w:rPr>
              <w:t>β</w:t>
            </w:r>
            <w:r>
              <w:rPr>
                <w:sz w:val="21"/>
                <w:szCs w:val="21"/>
              </w:rPr>
              <w:t>&gt;20;</w:t>
            </w:r>
            <w:r>
              <w:rPr>
                <w:sz w:val="21"/>
                <w:szCs w:val="21"/>
              </w:rPr>
              <w:t>或完全年调节与多年调节</w:t>
            </w:r>
          </w:p>
        </w:tc>
        <w:tc>
          <w:tcPr>
            <w:tcW w:w="1217" w:type="dxa"/>
            <w:tcBorders>
              <w:tl2br w:val="nil"/>
              <w:tr2bl w:val="nil"/>
            </w:tcBorders>
            <w:vAlign w:val="center"/>
          </w:tcPr>
          <w:p w14:paraId="5B325565" w14:textId="77777777" w:rsidR="009D12AF" w:rsidRDefault="00000000">
            <w:pPr>
              <w:ind w:firstLineChars="0" w:firstLine="0"/>
              <w:jc w:val="center"/>
              <w:rPr>
                <w:sz w:val="21"/>
                <w:szCs w:val="21"/>
              </w:rPr>
            </w:pPr>
            <w:r>
              <w:rPr>
                <w:rFonts w:hint="eastAsia"/>
                <w:sz w:val="21"/>
                <w:szCs w:val="21"/>
              </w:rPr>
              <w:t>γ≥</w:t>
            </w:r>
            <w:r>
              <w:rPr>
                <w:rFonts w:hint="eastAsia"/>
                <w:sz w:val="21"/>
                <w:szCs w:val="21"/>
              </w:rPr>
              <w:t>30</w:t>
            </w:r>
          </w:p>
        </w:tc>
        <w:tc>
          <w:tcPr>
            <w:tcW w:w="1324" w:type="dxa"/>
            <w:tcBorders>
              <w:tl2br w:val="nil"/>
              <w:tr2bl w:val="nil"/>
            </w:tcBorders>
            <w:vAlign w:val="center"/>
          </w:tcPr>
          <w:p w14:paraId="3502F608" w14:textId="77777777" w:rsidR="009D12AF" w:rsidRDefault="00000000">
            <w:pPr>
              <w:ind w:firstLineChars="0" w:firstLine="0"/>
              <w:jc w:val="center"/>
              <w:rPr>
                <w:sz w:val="21"/>
                <w:szCs w:val="21"/>
              </w:rPr>
            </w:pPr>
            <w:r>
              <w:rPr>
                <w:rFonts w:hint="eastAsia"/>
                <w:sz w:val="21"/>
                <w:szCs w:val="21"/>
              </w:rPr>
              <w:t>A1</w:t>
            </w:r>
            <w:r>
              <w:rPr>
                <w:rFonts w:hint="eastAsia"/>
                <w:sz w:val="21"/>
                <w:szCs w:val="21"/>
              </w:rPr>
              <w:t>≥</w:t>
            </w:r>
            <w:r>
              <w:rPr>
                <w:rFonts w:hint="eastAsia"/>
                <w:sz w:val="21"/>
                <w:szCs w:val="21"/>
              </w:rPr>
              <w:t>0.3</w:t>
            </w:r>
            <w:r>
              <w:rPr>
                <w:rFonts w:hint="eastAsia"/>
                <w:sz w:val="21"/>
                <w:szCs w:val="21"/>
              </w:rPr>
              <w:t>；或</w:t>
            </w:r>
            <w:r>
              <w:rPr>
                <w:rFonts w:hint="eastAsia"/>
                <w:sz w:val="21"/>
                <w:szCs w:val="21"/>
              </w:rPr>
              <w:t>A2</w:t>
            </w:r>
            <w:r>
              <w:rPr>
                <w:rFonts w:hint="eastAsia"/>
                <w:sz w:val="21"/>
                <w:szCs w:val="21"/>
              </w:rPr>
              <w:t>≥</w:t>
            </w:r>
            <w:r>
              <w:rPr>
                <w:rFonts w:hint="eastAsia"/>
                <w:sz w:val="21"/>
                <w:szCs w:val="21"/>
              </w:rPr>
              <w:t>1.5</w:t>
            </w:r>
            <w:r>
              <w:rPr>
                <w:rFonts w:hint="eastAsia"/>
                <w:sz w:val="21"/>
                <w:szCs w:val="21"/>
              </w:rPr>
              <w:t>或</w:t>
            </w:r>
            <w:r>
              <w:rPr>
                <w:rFonts w:hint="eastAsia"/>
                <w:sz w:val="21"/>
                <w:szCs w:val="21"/>
              </w:rPr>
              <w:t>R</w:t>
            </w:r>
            <w:r>
              <w:rPr>
                <w:rFonts w:hint="eastAsia"/>
                <w:sz w:val="21"/>
                <w:szCs w:val="21"/>
              </w:rPr>
              <w:t>≥</w:t>
            </w:r>
            <w:r>
              <w:rPr>
                <w:rFonts w:hint="eastAsia"/>
                <w:sz w:val="21"/>
                <w:szCs w:val="21"/>
              </w:rPr>
              <w:t>10</w:t>
            </w:r>
          </w:p>
        </w:tc>
        <w:tc>
          <w:tcPr>
            <w:tcW w:w="1112" w:type="dxa"/>
            <w:tcBorders>
              <w:tl2br w:val="nil"/>
              <w:tr2bl w:val="nil"/>
            </w:tcBorders>
            <w:vAlign w:val="center"/>
          </w:tcPr>
          <w:p w14:paraId="4DA571CA" w14:textId="77777777" w:rsidR="009D12AF" w:rsidRDefault="00000000">
            <w:pPr>
              <w:ind w:firstLineChars="0" w:firstLine="0"/>
              <w:jc w:val="center"/>
              <w:rPr>
                <w:sz w:val="21"/>
                <w:szCs w:val="21"/>
              </w:rPr>
            </w:pPr>
            <w:r>
              <w:rPr>
                <w:rFonts w:hint="eastAsia"/>
                <w:sz w:val="21"/>
                <w:szCs w:val="21"/>
              </w:rPr>
              <w:t>A1</w:t>
            </w:r>
            <w:r>
              <w:rPr>
                <w:rFonts w:hint="eastAsia"/>
                <w:sz w:val="21"/>
                <w:szCs w:val="21"/>
              </w:rPr>
              <w:t>≥</w:t>
            </w:r>
            <w:r>
              <w:rPr>
                <w:rFonts w:hint="eastAsia"/>
                <w:sz w:val="21"/>
                <w:szCs w:val="21"/>
              </w:rPr>
              <w:t>0.3</w:t>
            </w:r>
            <w:r>
              <w:rPr>
                <w:rFonts w:hint="eastAsia"/>
                <w:sz w:val="21"/>
                <w:szCs w:val="21"/>
              </w:rPr>
              <w:t>；或</w:t>
            </w:r>
            <w:r>
              <w:rPr>
                <w:rFonts w:hint="eastAsia"/>
                <w:sz w:val="21"/>
                <w:szCs w:val="21"/>
              </w:rPr>
              <w:t>A2</w:t>
            </w:r>
            <w:r>
              <w:rPr>
                <w:rFonts w:hint="eastAsia"/>
                <w:sz w:val="21"/>
                <w:szCs w:val="21"/>
              </w:rPr>
              <w:t>≥</w:t>
            </w:r>
            <w:r>
              <w:rPr>
                <w:rFonts w:hint="eastAsia"/>
                <w:sz w:val="21"/>
                <w:szCs w:val="21"/>
              </w:rPr>
              <w:t>1.5</w:t>
            </w:r>
            <w:r>
              <w:rPr>
                <w:rFonts w:hint="eastAsia"/>
                <w:sz w:val="21"/>
                <w:szCs w:val="21"/>
              </w:rPr>
              <w:t>或</w:t>
            </w:r>
            <w:r>
              <w:rPr>
                <w:rFonts w:hint="eastAsia"/>
                <w:sz w:val="21"/>
                <w:szCs w:val="21"/>
              </w:rPr>
              <w:t>R</w:t>
            </w:r>
            <w:r>
              <w:rPr>
                <w:rFonts w:hint="eastAsia"/>
                <w:sz w:val="21"/>
                <w:szCs w:val="21"/>
              </w:rPr>
              <w:t>≥</w:t>
            </w:r>
            <w:r>
              <w:rPr>
                <w:rFonts w:hint="eastAsia"/>
                <w:sz w:val="21"/>
                <w:szCs w:val="21"/>
              </w:rPr>
              <w:t>20</w:t>
            </w:r>
          </w:p>
        </w:tc>
        <w:tc>
          <w:tcPr>
            <w:tcW w:w="1218" w:type="dxa"/>
            <w:tcBorders>
              <w:tl2br w:val="nil"/>
              <w:tr2bl w:val="nil"/>
            </w:tcBorders>
            <w:vAlign w:val="center"/>
          </w:tcPr>
          <w:p w14:paraId="5F0B26E6" w14:textId="77777777" w:rsidR="009D12AF" w:rsidRDefault="00000000">
            <w:pPr>
              <w:ind w:firstLineChars="0" w:firstLine="0"/>
              <w:jc w:val="center"/>
              <w:rPr>
                <w:sz w:val="21"/>
                <w:szCs w:val="21"/>
              </w:rPr>
            </w:pPr>
            <w:r>
              <w:rPr>
                <w:rFonts w:hint="eastAsia"/>
                <w:sz w:val="21"/>
                <w:szCs w:val="21"/>
              </w:rPr>
              <w:t>A1</w:t>
            </w:r>
            <w:r>
              <w:rPr>
                <w:rFonts w:hint="eastAsia"/>
                <w:sz w:val="21"/>
                <w:szCs w:val="21"/>
              </w:rPr>
              <w:t>≥</w:t>
            </w:r>
            <w:r>
              <w:rPr>
                <w:rFonts w:hint="eastAsia"/>
                <w:sz w:val="21"/>
                <w:szCs w:val="21"/>
              </w:rPr>
              <w:t>0.5</w:t>
            </w:r>
            <w:r>
              <w:rPr>
                <w:rFonts w:hint="eastAsia"/>
                <w:sz w:val="21"/>
                <w:szCs w:val="21"/>
              </w:rPr>
              <w:t>；或</w:t>
            </w:r>
            <w:r>
              <w:rPr>
                <w:rFonts w:hint="eastAsia"/>
                <w:sz w:val="21"/>
                <w:szCs w:val="21"/>
              </w:rPr>
              <w:t>A2</w:t>
            </w:r>
            <w:r>
              <w:rPr>
                <w:rFonts w:hint="eastAsia"/>
                <w:sz w:val="21"/>
                <w:szCs w:val="21"/>
              </w:rPr>
              <w:t>≥</w:t>
            </w:r>
            <w:r>
              <w:rPr>
                <w:rFonts w:hint="eastAsia"/>
                <w:sz w:val="21"/>
                <w:szCs w:val="21"/>
              </w:rPr>
              <w:t>3</w:t>
            </w:r>
          </w:p>
        </w:tc>
      </w:tr>
      <w:tr w:rsidR="009D12AF" w14:paraId="0C84870E" w14:textId="77777777">
        <w:tc>
          <w:tcPr>
            <w:tcW w:w="689" w:type="dxa"/>
            <w:tcBorders>
              <w:tl2br w:val="nil"/>
              <w:tr2bl w:val="nil"/>
            </w:tcBorders>
            <w:vAlign w:val="center"/>
          </w:tcPr>
          <w:p w14:paraId="3B3FFC64" w14:textId="77777777" w:rsidR="009D12AF" w:rsidRDefault="00000000">
            <w:pPr>
              <w:ind w:firstLineChars="0" w:firstLine="0"/>
              <w:jc w:val="center"/>
              <w:rPr>
                <w:sz w:val="21"/>
                <w:szCs w:val="21"/>
              </w:rPr>
            </w:pPr>
            <w:r>
              <w:rPr>
                <w:rFonts w:hint="eastAsia"/>
                <w:sz w:val="21"/>
                <w:szCs w:val="21"/>
              </w:rPr>
              <w:t>二级</w:t>
            </w:r>
          </w:p>
        </w:tc>
        <w:tc>
          <w:tcPr>
            <w:tcW w:w="1745" w:type="dxa"/>
            <w:tcBorders>
              <w:tl2br w:val="nil"/>
              <w:tr2bl w:val="nil"/>
            </w:tcBorders>
            <w:vAlign w:val="center"/>
          </w:tcPr>
          <w:p w14:paraId="20C26252" w14:textId="77777777" w:rsidR="009D12AF" w:rsidRDefault="00000000">
            <w:pPr>
              <w:ind w:firstLineChars="0" w:firstLine="0"/>
              <w:jc w:val="center"/>
              <w:rPr>
                <w:sz w:val="21"/>
                <w:szCs w:val="21"/>
              </w:rPr>
            </w:pPr>
            <w:r>
              <w:rPr>
                <w:sz w:val="21"/>
                <w:szCs w:val="21"/>
              </w:rPr>
              <w:t>20&gt;</w:t>
            </w:r>
            <w:r>
              <w:rPr>
                <w:rFonts w:hint="eastAsia"/>
                <w:sz w:val="21"/>
                <w:szCs w:val="21"/>
              </w:rPr>
              <w:t>α</w:t>
            </w:r>
            <w:r>
              <w:rPr>
                <w:sz w:val="21"/>
                <w:szCs w:val="21"/>
              </w:rPr>
              <w:t>&gt;10:</w:t>
            </w:r>
            <w:r>
              <w:rPr>
                <w:sz w:val="21"/>
                <w:szCs w:val="21"/>
              </w:rPr>
              <w:t>或不稳定分层</w:t>
            </w:r>
          </w:p>
        </w:tc>
        <w:tc>
          <w:tcPr>
            <w:tcW w:w="1217" w:type="dxa"/>
            <w:tcBorders>
              <w:tl2br w:val="nil"/>
              <w:tr2bl w:val="nil"/>
            </w:tcBorders>
            <w:vAlign w:val="center"/>
          </w:tcPr>
          <w:p w14:paraId="5C429D08" w14:textId="77777777" w:rsidR="009D12AF" w:rsidRDefault="00000000">
            <w:pPr>
              <w:ind w:firstLineChars="0" w:firstLine="0"/>
              <w:jc w:val="center"/>
              <w:rPr>
                <w:sz w:val="21"/>
                <w:szCs w:val="21"/>
              </w:rPr>
            </w:pPr>
            <w:r>
              <w:rPr>
                <w:sz w:val="21"/>
                <w:szCs w:val="21"/>
              </w:rPr>
              <w:t>20&gt;</w:t>
            </w:r>
            <w:r>
              <w:rPr>
                <w:rFonts w:hint="eastAsia"/>
                <w:sz w:val="21"/>
                <w:szCs w:val="21"/>
              </w:rPr>
              <w:t>β</w:t>
            </w:r>
            <w:r>
              <w:rPr>
                <w:sz w:val="21"/>
                <w:szCs w:val="21"/>
              </w:rPr>
              <w:t>&gt;2;</w:t>
            </w:r>
            <w:r>
              <w:rPr>
                <w:rFonts w:hint="eastAsia"/>
                <w:sz w:val="21"/>
                <w:szCs w:val="21"/>
              </w:rPr>
              <w:t>或季调节与不完全年调节</w:t>
            </w:r>
          </w:p>
        </w:tc>
        <w:tc>
          <w:tcPr>
            <w:tcW w:w="1217" w:type="dxa"/>
            <w:tcBorders>
              <w:tl2br w:val="nil"/>
              <w:tr2bl w:val="nil"/>
            </w:tcBorders>
            <w:vAlign w:val="center"/>
          </w:tcPr>
          <w:p w14:paraId="028F336C" w14:textId="77777777" w:rsidR="009D12AF" w:rsidRDefault="00000000">
            <w:pPr>
              <w:ind w:firstLineChars="0" w:firstLine="0"/>
              <w:jc w:val="center"/>
              <w:rPr>
                <w:sz w:val="21"/>
                <w:szCs w:val="21"/>
              </w:rPr>
            </w:pPr>
            <w:r>
              <w:rPr>
                <w:rFonts w:hint="eastAsia"/>
                <w:sz w:val="21"/>
                <w:szCs w:val="21"/>
              </w:rPr>
              <w:t>30</w:t>
            </w:r>
            <w:r>
              <w:rPr>
                <w:rFonts w:hint="eastAsia"/>
                <w:sz w:val="21"/>
                <w:szCs w:val="21"/>
              </w:rPr>
              <w:t>＞γ＞</w:t>
            </w:r>
            <w:r>
              <w:rPr>
                <w:rFonts w:hint="eastAsia"/>
                <w:sz w:val="21"/>
                <w:szCs w:val="21"/>
              </w:rPr>
              <w:t>10</w:t>
            </w:r>
          </w:p>
        </w:tc>
        <w:tc>
          <w:tcPr>
            <w:tcW w:w="1324" w:type="dxa"/>
            <w:tcBorders>
              <w:tl2br w:val="nil"/>
              <w:tr2bl w:val="nil"/>
            </w:tcBorders>
            <w:vAlign w:val="center"/>
          </w:tcPr>
          <w:p w14:paraId="4AB45ED8" w14:textId="77777777" w:rsidR="009D12AF" w:rsidRDefault="00000000">
            <w:pPr>
              <w:ind w:firstLineChars="0" w:firstLine="0"/>
              <w:jc w:val="center"/>
              <w:rPr>
                <w:sz w:val="21"/>
                <w:szCs w:val="21"/>
              </w:rPr>
            </w:pPr>
            <w:r>
              <w:rPr>
                <w:rFonts w:hint="eastAsia"/>
                <w:sz w:val="21"/>
                <w:szCs w:val="21"/>
              </w:rPr>
              <w:t>0.3</w:t>
            </w:r>
            <w:r>
              <w:rPr>
                <w:rFonts w:hint="eastAsia"/>
                <w:sz w:val="21"/>
                <w:szCs w:val="21"/>
              </w:rPr>
              <w:t>＞</w:t>
            </w:r>
            <w:r>
              <w:rPr>
                <w:rFonts w:hint="eastAsia"/>
                <w:sz w:val="21"/>
                <w:szCs w:val="21"/>
              </w:rPr>
              <w:t>A1</w:t>
            </w:r>
            <w:r>
              <w:rPr>
                <w:rFonts w:hint="eastAsia"/>
                <w:sz w:val="21"/>
                <w:szCs w:val="21"/>
              </w:rPr>
              <w:t>＞</w:t>
            </w:r>
            <w:r>
              <w:rPr>
                <w:rFonts w:hint="eastAsia"/>
                <w:sz w:val="21"/>
                <w:szCs w:val="21"/>
              </w:rPr>
              <w:t>0.05</w:t>
            </w:r>
            <w:r>
              <w:rPr>
                <w:rFonts w:hint="eastAsia"/>
                <w:sz w:val="21"/>
                <w:szCs w:val="21"/>
              </w:rPr>
              <w:t>；或</w:t>
            </w:r>
            <w:r>
              <w:rPr>
                <w:rFonts w:hint="eastAsia"/>
                <w:sz w:val="21"/>
                <w:szCs w:val="21"/>
              </w:rPr>
              <w:t>1.5</w:t>
            </w:r>
            <w:r>
              <w:rPr>
                <w:rFonts w:hint="eastAsia"/>
                <w:sz w:val="21"/>
                <w:szCs w:val="21"/>
              </w:rPr>
              <w:t>＞</w:t>
            </w:r>
            <w:r>
              <w:rPr>
                <w:rFonts w:hint="eastAsia"/>
                <w:sz w:val="21"/>
                <w:szCs w:val="21"/>
              </w:rPr>
              <w:t>A2</w:t>
            </w:r>
            <w:r>
              <w:rPr>
                <w:rFonts w:hint="eastAsia"/>
                <w:sz w:val="21"/>
                <w:szCs w:val="21"/>
              </w:rPr>
              <w:t>＞</w:t>
            </w:r>
            <w:r>
              <w:rPr>
                <w:rFonts w:hint="eastAsia"/>
                <w:sz w:val="21"/>
                <w:szCs w:val="21"/>
              </w:rPr>
              <w:t>0.2</w:t>
            </w:r>
            <w:r>
              <w:rPr>
                <w:rFonts w:hint="eastAsia"/>
                <w:sz w:val="21"/>
                <w:szCs w:val="21"/>
              </w:rPr>
              <w:t>；或</w:t>
            </w:r>
            <w:r>
              <w:rPr>
                <w:rFonts w:hint="eastAsia"/>
                <w:sz w:val="21"/>
                <w:szCs w:val="21"/>
              </w:rPr>
              <w:t>10</w:t>
            </w:r>
            <w:r>
              <w:rPr>
                <w:rFonts w:hint="eastAsia"/>
                <w:sz w:val="21"/>
                <w:szCs w:val="21"/>
              </w:rPr>
              <w:t>＞</w:t>
            </w:r>
            <w:r>
              <w:rPr>
                <w:rFonts w:hint="eastAsia"/>
                <w:sz w:val="21"/>
                <w:szCs w:val="21"/>
              </w:rPr>
              <w:t>R</w:t>
            </w:r>
            <w:r>
              <w:rPr>
                <w:rFonts w:hint="eastAsia"/>
                <w:sz w:val="21"/>
                <w:szCs w:val="21"/>
              </w:rPr>
              <w:t>＞</w:t>
            </w:r>
            <w:r>
              <w:rPr>
                <w:rFonts w:hint="eastAsia"/>
                <w:sz w:val="21"/>
                <w:szCs w:val="21"/>
              </w:rPr>
              <w:t>5</w:t>
            </w:r>
          </w:p>
        </w:tc>
        <w:tc>
          <w:tcPr>
            <w:tcW w:w="1112" w:type="dxa"/>
            <w:tcBorders>
              <w:tl2br w:val="nil"/>
              <w:tr2bl w:val="nil"/>
            </w:tcBorders>
            <w:vAlign w:val="center"/>
          </w:tcPr>
          <w:p w14:paraId="04A76F8C" w14:textId="77777777" w:rsidR="009D12AF" w:rsidRDefault="00000000">
            <w:pPr>
              <w:ind w:firstLineChars="0" w:firstLine="0"/>
              <w:jc w:val="center"/>
              <w:rPr>
                <w:sz w:val="21"/>
                <w:szCs w:val="21"/>
              </w:rPr>
            </w:pPr>
            <w:r>
              <w:rPr>
                <w:rFonts w:hint="eastAsia"/>
                <w:sz w:val="21"/>
                <w:szCs w:val="21"/>
              </w:rPr>
              <w:t>0.3</w:t>
            </w:r>
            <w:r>
              <w:rPr>
                <w:rFonts w:hint="eastAsia"/>
                <w:sz w:val="21"/>
                <w:szCs w:val="21"/>
              </w:rPr>
              <w:t>＞</w:t>
            </w:r>
            <w:r>
              <w:rPr>
                <w:rFonts w:hint="eastAsia"/>
                <w:sz w:val="21"/>
                <w:szCs w:val="21"/>
              </w:rPr>
              <w:t>A1</w:t>
            </w:r>
            <w:r>
              <w:rPr>
                <w:rFonts w:hint="eastAsia"/>
                <w:sz w:val="21"/>
                <w:szCs w:val="21"/>
              </w:rPr>
              <w:t>＞</w:t>
            </w:r>
            <w:r>
              <w:rPr>
                <w:rFonts w:hint="eastAsia"/>
                <w:sz w:val="21"/>
                <w:szCs w:val="21"/>
              </w:rPr>
              <w:t>0.05</w:t>
            </w:r>
            <w:r>
              <w:rPr>
                <w:rFonts w:hint="eastAsia"/>
                <w:sz w:val="21"/>
                <w:szCs w:val="21"/>
              </w:rPr>
              <w:t>；或</w:t>
            </w:r>
            <w:r>
              <w:rPr>
                <w:rFonts w:hint="eastAsia"/>
                <w:sz w:val="21"/>
                <w:szCs w:val="21"/>
              </w:rPr>
              <w:t>1.5</w:t>
            </w:r>
            <w:r>
              <w:rPr>
                <w:rFonts w:hint="eastAsia"/>
                <w:sz w:val="21"/>
                <w:szCs w:val="21"/>
              </w:rPr>
              <w:t>＞</w:t>
            </w:r>
            <w:r>
              <w:rPr>
                <w:rFonts w:hint="eastAsia"/>
                <w:sz w:val="21"/>
                <w:szCs w:val="21"/>
              </w:rPr>
              <w:t>A2</w:t>
            </w:r>
            <w:r>
              <w:rPr>
                <w:rFonts w:hint="eastAsia"/>
                <w:sz w:val="21"/>
                <w:szCs w:val="21"/>
              </w:rPr>
              <w:t>＞</w:t>
            </w:r>
            <w:r>
              <w:rPr>
                <w:rFonts w:hint="eastAsia"/>
                <w:sz w:val="21"/>
                <w:szCs w:val="21"/>
              </w:rPr>
              <w:t>0.2</w:t>
            </w:r>
            <w:r>
              <w:rPr>
                <w:rFonts w:hint="eastAsia"/>
                <w:sz w:val="21"/>
                <w:szCs w:val="21"/>
              </w:rPr>
              <w:t>；或</w:t>
            </w:r>
            <w:r>
              <w:rPr>
                <w:rFonts w:hint="eastAsia"/>
                <w:sz w:val="21"/>
                <w:szCs w:val="21"/>
              </w:rPr>
              <w:t>20</w:t>
            </w:r>
            <w:r>
              <w:rPr>
                <w:rFonts w:hint="eastAsia"/>
                <w:sz w:val="21"/>
                <w:szCs w:val="21"/>
              </w:rPr>
              <w:t>＞</w:t>
            </w:r>
            <w:r>
              <w:rPr>
                <w:rFonts w:hint="eastAsia"/>
                <w:sz w:val="21"/>
                <w:szCs w:val="21"/>
              </w:rPr>
              <w:t>R</w:t>
            </w:r>
            <w:r>
              <w:rPr>
                <w:rFonts w:hint="eastAsia"/>
                <w:sz w:val="21"/>
                <w:szCs w:val="21"/>
              </w:rPr>
              <w:t>＞</w:t>
            </w:r>
            <w:r>
              <w:rPr>
                <w:rFonts w:hint="eastAsia"/>
                <w:sz w:val="21"/>
                <w:szCs w:val="21"/>
              </w:rPr>
              <w:t>5</w:t>
            </w:r>
          </w:p>
        </w:tc>
        <w:tc>
          <w:tcPr>
            <w:tcW w:w="1218" w:type="dxa"/>
            <w:tcBorders>
              <w:tl2br w:val="nil"/>
              <w:tr2bl w:val="nil"/>
            </w:tcBorders>
            <w:vAlign w:val="center"/>
          </w:tcPr>
          <w:p w14:paraId="266F07A2" w14:textId="77777777" w:rsidR="009D12AF" w:rsidRDefault="00000000">
            <w:pPr>
              <w:ind w:firstLineChars="0" w:firstLine="0"/>
              <w:jc w:val="center"/>
              <w:rPr>
                <w:sz w:val="21"/>
                <w:szCs w:val="21"/>
              </w:rPr>
            </w:pPr>
            <w:r>
              <w:rPr>
                <w:rFonts w:hint="eastAsia"/>
                <w:sz w:val="21"/>
                <w:szCs w:val="21"/>
              </w:rPr>
              <w:t>0.5</w:t>
            </w:r>
            <w:r>
              <w:rPr>
                <w:rFonts w:hint="eastAsia"/>
                <w:sz w:val="21"/>
                <w:szCs w:val="21"/>
              </w:rPr>
              <w:t>＞</w:t>
            </w:r>
            <w:r>
              <w:rPr>
                <w:rFonts w:hint="eastAsia"/>
                <w:sz w:val="21"/>
                <w:szCs w:val="21"/>
              </w:rPr>
              <w:t>A1</w:t>
            </w:r>
            <w:r>
              <w:rPr>
                <w:rFonts w:hint="eastAsia"/>
                <w:sz w:val="21"/>
                <w:szCs w:val="21"/>
              </w:rPr>
              <w:t>＞</w:t>
            </w:r>
            <w:r>
              <w:rPr>
                <w:rFonts w:hint="eastAsia"/>
                <w:sz w:val="21"/>
                <w:szCs w:val="21"/>
              </w:rPr>
              <w:t>0.15</w:t>
            </w:r>
            <w:r>
              <w:rPr>
                <w:rFonts w:hint="eastAsia"/>
                <w:sz w:val="21"/>
                <w:szCs w:val="21"/>
              </w:rPr>
              <w:t>；或</w:t>
            </w:r>
            <w:r>
              <w:rPr>
                <w:rFonts w:hint="eastAsia"/>
                <w:sz w:val="21"/>
                <w:szCs w:val="21"/>
              </w:rPr>
              <w:t>3</w:t>
            </w:r>
            <w:r>
              <w:rPr>
                <w:rFonts w:hint="eastAsia"/>
                <w:sz w:val="21"/>
                <w:szCs w:val="21"/>
              </w:rPr>
              <w:t>＞</w:t>
            </w:r>
            <w:r>
              <w:rPr>
                <w:rFonts w:hint="eastAsia"/>
                <w:sz w:val="21"/>
                <w:szCs w:val="21"/>
              </w:rPr>
              <w:t>A2</w:t>
            </w:r>
            <w:r>
              <w:rPr>
                <w:rFonts w:hint="eastAsia"/>
                <w:sz w:val="21"/>
                <w:szCs w:val="21"/>
              </w:rPr>
              <w:t>＞</w:t>
            </w:r>
            <w:r>
              <w:rPr>
                <w:rFonts w:hint="eastAsia"/>
                <w:sz w:val="21"/>
                <w:szCs w:val="21"/>
              </w:rPr>
              <w:t>0.5</w:t>
            </w:r>
          </w:p>
        </w:tc>
      </w:tr>
      <w:tr w:rsidR="009D12AF" w14:paraId="42B48D7E" w14:textId="77777777">
        <w:tc>
          <w:tcPr>
            <w:tcW w:w="689" w:type="dxa"/>
            <w:tcBorders>
              <w:tl2br w:val="nil"/>
              <w:tr2bl w:val="nil"/>
            </w:tcBorders>
            <w:vAlign w:val="center"/>
          </w:tcPr>
          <w:p w14:paraId="533DD636" w14:textId="77777777" w:rsidR="009D12AF" w:rsidRDefault="00000000">
            <w:pPr>
              <w:ind w:firstLineChars="0" w:firstLine="0"/>
              <w:jc w:val="center"/>
              <w:rPr>
                <w:sz w:val="21"/>
                <w:szCs w:val="21"/>
              </w:rPr>
            </w:pPr>
            <w:r>
              <w:rPr>
                <w:rFonts w:hint="eastAsia"/>
                <w:sz w:val="21"/>
                <w:szCs w:val="21"/>
              </w:rPr>
              <w:t>三级</w:t>
            </w:r>
          </w:p>
        </w:tc>
        <w:tc>
          <w:tcPr>
            <w:tcW w:w="1745" w:type="dxa"/>
            <w:tcBorders>
              <w:tl2br w:val="nil"/>
              <w:tr2bl w:val="nil"/>
            </w:tcBorders>
            <w:vAlign w:val="center"/>
          </w:tcPr>
          <w:p w14:paraId="064FC351" w14:textId="77777777" w:rsidR="009D12AF" w:rsidRDefault="00000000">
            <w:pPr>
              <w:ind w:firstLineChars="0" w:firstLine="0"/>
              <w:jc w:val="center"/>
              <w:rPr>
                <w:sz w:val="21"/>
                <w:szCs w:val="21"/>
              </w:rPr>
            </w:pPr>
            <w:r>
              <w:rPr>
                <w:rFonts w:hint="eastAsia"/>
                <w:sz w:val="21"/>
                <w:szCs w:val="21"/>
              </w:rPr>
              <w:t>α</w:t>
            </w:r>
            <w:r>
              <w:rPr>
                <w:sz w:val="21"/>
                <w:szCs w:val="21"/>
              </w:rPr>
              <w:t>&gt;20;</w:t>
            </w:r>
            <w:r>
              <w:rPr>
                <w:sz w:val="21"/>
                <w:szCs w:val="21"/>
              </w:rPr>
              <w:t>或混合型</w:t>
            </w:r>
          </w:p>
        </w:tc>
        <w:tc>
          <w:tcPr>
            <w:tcW w:w="1217" w:type="dxa"/>
            <w:tcBorders>
              <w:tl2br w:val="nil"/>
              <w:tr2bl w:val="nil"/>
            </w:tcBorders>
            <w:vAlign w:val="center"/>
          </w:tcPr>
          <w:p w14:paraId="3D04AAE8" w14:textId="77777777" w:rsidR="009D12AF" w:rsidRDefault="00000000">
            <w:pPr>
              <w:ind w:firstLineChars="0" w:firstLine="0"/>
              <w:jc w:val="center"/>
              <w:rPr>
                <w:sz w:val="21"/>
                <w:szCs w:val="21"/>
              </w:rPr>
            </w:pPr>
            <w:r>
              <w:rPr>
                <w:rFonts w:hint="eastAsia"/>
                <w:sz w:val="21"/>
                <w:szCs w:val="21"/>
              </w:rPr>
              <w:t>β</w:t>
            </w:r>
            <w:r>
              <w:rPr>
                <w:sz w:val="21"/>
                <w:szCs w:val="21"/>
              </w:rPr>
              <w:t>≤2;</w:t>
            </w:r>
            <w:r>
              <w:rPr>
                <w:sz w:val="21"/>
                <w:szCs w:val="21"/>
              </w:rPr>
              <w:t>或无调节</w:t>
            </w:r>
          </w:p>
        </w:tc>
        <w:tc>
          <w:tcPr>
            <w:tcW w:w="1217" w:type="dxa"/>
            <w:tcBorders>
              <w:tl2br w:val="nil"/>
              <w:tr2bl w:val="nil"/>
            </w:tcBorders>
            <w:vAlign w:val="center"/>
          </w:tcPr>
          <w:p w14:paraId="771D4DC3" w14:textId="77777777" w:rsidR="009D12AF" w:rsidRDefault="00000000">
            <w:pPr>
              <w:ind w:firstLineChars="0" w:firstLine="0"/>
              <w:jc w:val="center"/>
              <w:rPr>
                <w:sz w:val="21"/>
                <w:szCs w:val="21"/>
              </w:rPr>
            </w:pPr>
            <w:r>
              <w:rPr>
                <w:rFonts w:hint="eastAsia"/>
                <w:sz w:val="21"/>
                <w:szCs w:val="21"/>
              </w:rPr>
              <w:t>γ≤</w:t>
            </w:r>
            <w:r>
              <w:rPr>
                <w:rFonts w:hint="eastAsia"/>
                <w:sz w:val="21"/>
                <w:szCs w:val="21"/>
              </w:rPr>
              <w:t>10</w:t>
            </w:r>
          </w:p>
        </w:tc>
        <w:tc>
          <w:tcPr>
            <w:tcW w:w="1324" w:type="dxa"/>
            <w:tcBorders>
              <w:tl2br w:val="nil"/>
              <w:tr2bl w:val="nil"/>
            </w:tcBorders>
            <w:vAlign w:val="center"/>
          </w:tcPr>
          <w:p w14:paraId="3A3D169E" w14:textId="77777777" w:rsidR="009D12AF" w:rsidRDefault="00000000">
            <w:pPr>
              <w:ind w:firstLineChars="0" w:firstLine="0"/>
              <w:jc w:val="center"/>
              <w:rPr>
                <w:sz w:val="21"/>
                <w:szCs w:val="21"/>
              </w:rPr>
            </w:pPr>
            <w:r>
              <w:rPr>
                <w:rFonts w:hint="eastAsia"/>
                <w:sz w:val="21"/>
                <w:szCs w:val="21"/>
              </w:rPr>
              <w:t>A1</w:t>
            </w:r>
            <w:r>
              <w:rPr>
                <w:rFonts w:hint="eastAsia"/>
                <w:sz w:val="21"/>
                <w:szCs w:val="21"/>
              </w:rPr>
              <w:t>≤</w:t>
            </w:r>
            <w:r>
              <w:rPr>
                <w:rFonts w:hint="eastAsia"/>
                <w:sz w:val="21"/>
                <w:szCs w:val="21"/>
              </w:rPr>
              <w:t>0.05</w:t>
            </w:r>
            <w:r>
              <w:rPr>
                <w:rFonts w:hint="eastAsia"/>
                <w:sz w:val="21"/>
                <w:szCs w:val="21"/>
              </w:rPr>
              <w:t>；或</w:t>
            </w:r>
            <w:r>
              <w:rPr>
                <w:rFonts w:hint="eastAsia"/>
                <w:sz w:val="21"/>
                <w:szCs w:val="21"/>
              </w:rPr>
              <w:t>A2</w:t>
            </w:r>
            <w:r>
              <w:rPr>
                <w:rFonts w:hint="eastAsia"/>
                <w:sz w:val="21"/>
                <w:szCs w:val="21"/>
              </w:rPr>
              <w:t>≤</w:t>
            </w:r>
            <w:r>
              <w:rPr>
                <w:rFonts w:hint="eastAsia"/>
                <w:sz w:val="21"/>
                <w:szCs w:val="21"/>
              </w:rPr>
              <w:t>0.2</w:t>
            </w:r>
            <w:r>
              <w:rPr>
                <w:rFonts w:hint="eastAsia"/>
                <w:sz w:val="21"/>
                <w:szCs w:val="21"/>
              </w:rPr>
              <w:t>；或</w:t>
            </w:r>
            <w:r>
              <w:rPr>
                <w:rFonts w:hint="eastAsia"/>
                <w:sz w:val="21"/>
                <w:szCs w:val="21"/>
              </w:rPr>
              <w:t>R</w:t>
            </w:r>
            <w:r>
              <w:rPr>
                <w:rFonts w:hint="eastAsia"/>
                <w:sz w:val="21"/>
                <w:szCs w:val="21"/>
              </w:rPr>
              <w:t>≤</w:t>
            </w:r>
            <w:r>
              <w:rPr>
                <w:rFonts w:hint="eastAsia"/>
                <w:sz w:val="21"/>
                <w:szCs w:val="21"/>
              </w:rPr>
              <w:t>5</w:t>
            </w:r>
          </w:p>
        </w:tc>
        <w:tc>
          <w:tcPr>
            <w:tcW w:w="1112" w:type="dxa"/>
            <w:tcBorders>
              <w:tl2br w:val="nil"/>
              <w:tr2bl w:val="nil"/>
            </w:tcBorders>
            <w:vAlign w:val="center"/>
          </w:tcPr>
          <w:p w14:paraId="54999113" w14:textId="77777777" w:rsidR="009D12AF" w:rsidRDefault="00000000">
            <w:pPr>
              <w:ind w:firstLineChars="0" w:firstLine="0"/>
              <w:jc w:val="center"/>
              <w:rPr>
                <w:sz w:val="21"/>
                <w:szCs w:val="21"/>
              </w:rPr>
            </w:pPr>
            <w:r>
              <w:rPr>
                <w:rFonts w:hint="eastAsia"/>
                <w:sz w:val="21"/>
                <w:szCs w:val="21"/>
              </w:rPr>
              <w:t>A1</w:t>
            </w:r>
            <w:r>
              <w:rPr>
                <w:rFonts w:hint="eastAsia"/>
                <w:sz w:val="21"/>
                <w:szCs w:val="21"/>
              </w:rPr>
              <w:t>≤</w:t>
            </w:r>
            <w:r>
              <w:rPr>
                <w:rFonts w:hint="eastAsia"/>
                <w:sz w:val="21"/>
                <w:szCs w:val="21"/>
              </w:rPr>
              <w:t>0.05</w:t>
            </w:r>
            <w:r>
              <w:rPr>
                <w:rFonts w:hint="eastAsia"/>
                <w:sz w:val="21"/>
                <w:szCs w:val="21"/>
              </w:rPr>
              <w:t>；或</w:t>
            </w:r>
            <w:r>
              <w:rPr>
                <w:rFonts w:hint="eastAsia"/>
                <w:sz w:val="21"/>
                <w:szCs w:val="21"/>
              </w:rPr>
              <w:t>A2</w:t>
            </w:r>
            <w:r>
              <w:rPr>
                <w:rFonts w:hint="eastAsia"/>
                <w:sz w:val="21"/>
                <w:szCs w:val="21"/>
              </w:rPr>
              <w:t>≤</w:t>
            </w:r>
            <w:r>
              <w:rPr>
                <w:rFonts w:hint="eastAsia"/>
                <w:sz w:val="21"/>
                <w:szCs w:val="21"/>
              </w:rPr>
              <w:t>0.2</w:t>
            </w:r>
            <w:r>
              <w:rPr>
                <w:rFonts w:hint="eastAsia"/>
                <w:sz w:val="21"/>
                <w:szCs w:val="21"/>
              </w:rPr>
              <w:t>；或</w:t>
            </w:r>
            <w:r>
              <w:rPr>
                <w:rFonts w:hint="eastAsia"/>
                <w:sz w:val="21"/>
                <w:szCs w:val="21"/>
              </w:rPr>
              <w:t>R</w:t>
            </w:r>
            <w:r>
              <w:rPr>
                <w:rFonts w:hint="eastAsia"/>
                <w:sz w:val="21"/>
                <w:szCs w:val="21"/>
              </w:rPr>
              <w:t>≤</w:t>
            </w:r>
            <w:r>
              <w:rPr>
                <w:rFonts w:hint="eastAsia"/>
                <w:sz w:val="21"/>
                <w:szCs w:val="21"/>
              </w:rPr>
              <w:t>5</w:t>
            </w:r>
          </w:p>
        </w:tc>
        <w:tc>
          <w:tcPr>
            <w:tcW w:w="1218" w:type="dxa"/>
            <w:tcBorders>
              <w:tl2br w:val="nil"/>
              <w:tr2bl w:val="nil"/>
            </w:tcBorders>
            <w:vAlign w:val="center"/>
          </w:tcPr>
          <w:p w14:paraId="225F7267" w14:textId="77777777" w:rsidR="009D12AF" w:rsidRDefault="00000000">
            <w:pPr>
              <w:ind w:firstLineChars="0" w:firstLine="0"/>
              <w:jc w:val="center"/>
              <w:rPr>
                <w:sz w:val="21"/>
                <w:szCs w:val="21"/>
              </w:rPr>
            </w:pPr>
            <w:r>
              <w:rPr>
                <w:rFonts w:hint="eastAsia"/>
                <w:sz w:val="21"/>
                <w:szCs w:val="21"/>
              </w:rPr>
              <w:t>A1</w:t>
            </w:r>
            <w:r>
              <w:rPr>
                <w:rFonts w:hint="eastAsia"/>
                <w:sz w:val="21"/>
                <w:szCs w:val="21"/>
              </w:rPr>
              <w:t>≤</w:t>
            </w:r>
            <w:r>
              <w:rPr>
                <w:rFonts w:hint="eastAsia"/>
                <w:sz w:val="21"/>
                <w:szCs w:val="21"/>
              </w:rPr>
              <w:t>0.15</w:t>
            </w:r>
            <w:r>
              <w:rPr>
                <w:rFonts w:hint="eastAsia"/>
                <w:sz w:val="21"/>
                <w:szCs w:val="21"/>
              </w:rPr>
              <w:t>；或</w:t>
            </w:r>
            <w:r>
              <w:rPr>
                <w:rFonts w:hint="eastAsia"/>
                <w:sz w:val="21"/>
                <w:szCs w:val="21"/>
              </w:rPr>
              <w:t>A2</w:t>
            </w:r>
            <w:r>
              <w:rPr>
                <w:rFonts w:hint="eastAsia"/>
                <w:sz w:val="21"/>
                <w:szCs w:val="21"/>
              </w:rPr>
              <w:t>≤</w:t>
            </w:r>
            <w:r>
              <w:rPr>
                <w:rFonts w:hint="eastAsia"/>
                <w:sz w:val="21"/>
                <w:szCs w:val="21"/>
              </w:rPr>
              <w:t>0.5</w:t>
            </w:r>
            <w:r>
              <w:rPr>
                <w:rFonts w:hint="eastAsia"/>
                <w:sz w:val="21"/>
                <w:szCs w:val="21"/>
              </w:rPr>
              <w:t>；</w:t>
            </w:r>
          </w:p>
        </w:tc>
      </w:tr>
      <w:tr w:rsidR="009D12AF" w14:paraId="698DDBFE" w14:textId="77777777">
        <w:tc>
          <w:tcPr>
            <w:tcW w:w="8522" w:type="dxa"/>
            <w:gridSpan w:val="7"/>
            <w:tcBorders>
              <w:tl2br w:val="nil"/>
              <w:tr2bl w:val="nil"/>
            </w:tcBorders>
            <w:vAlign w:val="center"/>
          </w:tcPr>
          <w:p w14:paraId="23A4FDD5" w14:textId="77777777" w:rsidR="009D12AF" w:rsidRDefault="00000000">
            <w:pPr>
              <w:ind w:firstLineChars="0" w:firstLine="0"/>
              <w:jc w:val="left"/>
              <w:rPr>
                <w:sz w:val="21"/>
                <w:szCs w:val="21"/>
              </w:rPr>
            </w:pPr>
            <w:r>
              <w:rPr>
                <w:sz w:val="21"/>
                <w:szCs w:val="21"/>
              </w:rPr>
              <w:t>注</w:t>
            </w:r>
            <w:r>
              <w:rPr>
                <w:sz w:val="21"/>
                <w:szCs w:val="21"/>
              </w:rPr>
              <w:t>1:</w:t>
            </w:r>
            <w:r>
              <w:rPr>
                <w:sz w:val="21"/>
                <w:szCs w:val="21"/>
              </w:rPr>
              <w:t>影响范围涉及饮用水水源保护区、重点保护与珍稀水生生物的栖息地、重要水生生物的自然产卵场、自然保护区等保护目标，评价等级应不低于二级。</w:t>
            </w:r>
          </w:p>
          <w:p w14:paraId="0BAA8CCE" w14:textId="77777777" w:rsidR="009D12AF" w:rsidRDefault="00000000">
            <w:pPr>
              <w:ind w:firstLineChars="0" w:firstLine="0"/>
              <w:jc w:val="left"/>
              <w:rPr>
                <w:sz w:val="21"/>
                <w:szCs w:val="21"/>
              </w:rPr>
            </w:pPr>
            <w:r>
              <w:rPr>
                <w:sz w:val="21"/>
                <w:szCs w:val="21"/>
              </w:rPr>
              <w:t>注</w:t>
            </w:r>
            <w:r>
              <w:rPr>
                <w:sz w:val="21"/>
                <w:szCs w:val="21"/>
              </w:rPr>
              <w:t xml:space="preserve"> 2:</w:t>
            </w:r>
            <w:r>
              <w:rPr>
                <w:sz w:val="21"/>
                <w:szCs w:val="21"/>
              </w:rPr>
              <w:t>跨流域调水、引水式电站、可能受到大型河流感潮河段咸潮影响的建设项目，评价等级不低于二级。</w:t>
            </w:r>
          </w:p>
          <w:p w14:paraId="28E865B2" w14:textId="77777777" w:rsidR="009D12AF" w:rsidRDefault="00000000">
            <w:pPr>
              <w:ind w:firstLineChars="0" w:firstLine="0"/>
              <w:jc w:val="left"/>
              <w:rPr>
                <w:sz w:val="21"/>
                <w:szCs w:val="21"/>
              </w:rPr>
            </w:pPr>
            <w:r>
              <w:rPr>
                <w:sz w:val="21"/>
                <w:szCs w:val="21"/>
              </w:rPr>
              <w:t>注</w:t>
            </w:r>
            <w:r>
              <w:rPr>
                <w:sz w:val="21"/>
                <w:szCs w:val="21"/>
              </w:rPr>
              <w:t>3:</w:t>
            </w:r>
            <w:r>
              <w:rPr>
                <w:sz w:val="21"/>
                <w:szCs w:val="21"/>
              </w:rPr>
              <w:t>造成入海河口</w:t>
            </w:r>
            <w:r>
              <w:rPr>
                <w:sz w:val="21"/>
                <w:szCs w:val="21"/>
              </w:rPr>
              <w:t>(</w:t>
            </w:r>
            <w:r>
              <w:rPr>
                <w:sz w:val="21"/>
                <w:szCs w:val="21"/>
              </w:rPr>
              <w:t>湾口</w:t>
            </w:r>
            <w:r>
              <w:rPr>
                <w:sz w:val="21"/>
                <w:szCs w:val="21"/>
              </w:rPr>
              <w:t>)</w:t>
            </w:r>
            <w:r>
              <w:rPr>
                <w:sz w:val="21"/>
                <w:szCs w:val="21"/>
              </w:rPr>
              <w:t>宽度束窄</w:t>
            </w:r>
            <w:r>
              <w:rPr>
                <w:sz w:val="21"/>
                <w:szCs w:val="21"/>
              </w:rPr>
              <w:t>(</w:t>
            </w:r>
            <w:r>
              <w:rPr>
                <w:sz w:val="21"/>
                <w:szCs w:val="21"/>
              </w:rPr>
              <w:t>窄尺度达到原宽度的</w:t>
            </w:r>
            <w:r>
              <w:rPr>
                <w:sz w:val="21"/>
                <w:szCs w:val="21"/>
              </w:rPr>
              <w:t>5%</w:t>
            </w:r>
            <w:r>
              <w:rPr>
                <w:sz w:val="21"/>
                <w:szCs w:val="21"/>
              </w:rPr>
              <w:t>以上</w:t>
            </w:r>
            <w:r>
              <w:rPr>
                <w:sz w:val="21"/>
                <w:szCs w:val="21"/>
              </w:rPr>
              <w:t>)</w:t>
            </w:r>
            <w:r>
              <w:rPr>
                <w:sz w:val="21"/>
                <w:szCs w:val="21"/>
              </w:rPr>
              <w:t>，评价等级应不低于二级。</w:t>
            </w:r>
            <w:r>
              <w:rPr>
                <w:sz w:val="21"/>
                <w:szCs w:val="21"/>
              </w:rPr>
              <w:lastRenderedPageBreak/>
              <w:t>注</w:t>
            </w:r>
            <w:r>
              <w:rPr>
                <w:sz w:val="21"/>
                <w:szCs w:val="21"/>
              </w:rPr>
              <w:t>4:</w:t>
            </w:r>
            <w:r>
              <w:rPr>
                <w:sz w:val="21"/>
                <w:szCs w:val="21"/>
              </w:rPr>
              <w:t>对不透水的单方向建筑尺度较长的水工建筑物</w:t>
            </w:r>
            <w:r>
              <w:rPr>
                <w:sz w:val="21"/>
                <w:szCs w:val="21"/>
              </w:rPr>
              <w:t>(</w:t>
            </w:r>
            <w:r>
              <w:rPr>
                <w:sz w:val="21"/>
                <w:szCs w:val="21"/>
              </w:rPr>
              <w:t>如防波堤、导流堤等</w:t>
            </w:r>
            <w:r>
              <w:rPr>
                <w:sz w:val="21"/>
                <w:szCs w:val="21"/>
              </w:rPr>
              <w:t>)</w:t>
            </w:r>
            <w:r>
              <w:rPr>
                <w:sz w:val="21"/>
                <w:szCs w:val="21"/>
              </w:rPr>
              <w:t>，其与潮流或水流主流向切线垂直方向投影长度大于</w:t>
            </w:r>
            <w:r>
              <w:rPr>
                <w:sz w:val="21"/>
                <w:szCs w:val="21"/>
              </w:rPr>
              <w:t xml:space="preserve">2km </w:t>
            </w:r>
            <w:r>
              <w:rPr>
                <w:sz w:val="21"/>
                <w:szCs w:val="21"/>
              </w:rPr>
              <w:t>时，评价等级应不低于二级。</w:t>
            </w:r>
          </w:p>
          <w:p w14:paraId="7692339B" w14:textId="77777777" w:rsidR="009D12AF" w:rsidRDefault="00000000">
            <w:pPr>
              <w:ind w:firstLineChars="0" w:firstLine="0"/>
              <w:jc w:val="left"/>
              <w:rPr>
                <w:sz w:val="21"/>
                <w:szCs w:val="21"/>
              </w:rPr>
            </w:pPr>
            <w:r>
              <w:rPr>
                <w:sz w:val="21"/>
                <w:szCs w:val="21"/>
              </w:rPr>
              <w:t>注</w:t>
            </w:r>
            <w:r>
              <w:rPr>
                <w:sz w:val="21"/>
                <w:szCs w:val="21"/>
              </w:rPr>
              <w:t>5:</w:t>
            </w:r>
            <w:r>
              <w:rPr>
                <w:sz w:val="21"/>
                <w:szCs w:val="21"/>
              </w:rPr>
              <w:t>允许在一类海域建设的项目，评价等级为一级。</w:t>
            </w:r>
          </w:p>
          <w:p w14:paraId="61D2A842" w14:textId="77777777" w:rsidR="009D12AF" w:rsidRDefault="00000000">
            <w:pPr>
              <w:ind w:firstLineChars="0" w:firstLine="0"/>
              <w:jc w:val="left"/>
              <w:rPr>
                <w:sz w:val="21"/>
                <w:szCs w:val="21"/>
              </w:rPr>
            </w:pPr>
            <w:r>
              <w:rPr>
                <w:sz w:val="21"/>
                <w:szCs w:val="21"/>
              </w:rPr>
              <w:t>注</w:t>
            </w:r>
            <w:r>
              <w:rPr>
                <w:sz w:val="21"/>
                <w:szCs w:val="21"/>
              </w:rPr>
              <w:t>6:</w:t>
            </w:r>
            <w:r>
              <w:rPr>
                <w:sz w:val="21"/>
                <w:szCs w:val="21"/>
              </w:rPr>
              <w:t>同时存在多个水文要素影响的建设项目，分别判定各水文要素影响评价等级，并取其中最高等级作为水文要素影响型建设项目评价等级。</w:t>
            </w:r>
          </w:p>
        </w:tc>
      </w:tr>
    </w:tbl>
    <w:p w14:paraId="023D8E52" w14:textId="77777777" w:rsidR="009D12AF" w:rsidRDefault="00000000">
      <w:pPr>
        <w:ind w:firstLine="480"/>
        <w:rPr>
          <w:color w:val="000000" w:themeColor="text1"/>
        </w:rPr>
      </w:pPr>
      <w:r>
        <w:lastRenderedPageBreak/>
        <w:t>按水文要素型建设项目评价等级划分，工程主要对水库进行</w:t>
      </w:r>
      <w:r>
        <w:rPr>
          <w:rFonts w:hint="eastAsia"/>
        </w:rPr>
        <w:t>底泥清淤</w:t>
      </w:r>
      <w:r>
        <w:t>，</w:t>
      </w:r>
      <w:r>
        <w:rPr>
          <w:rFonts w:hint="eastAsia"/>
        </w:rPr>
        <w:t>清淤后水库恢复原有</w:t>
      </w:r>
      <w:r>
        <w:t>正常蓄水位、死水位不变，相应库容不变，本次评价根据工程扰动水底面积</w:t>
      </w:r>
      <w:r>
        <w:t>A2</w:t>
      </w:r>
      <w:r>
        <w:t>判定评价等级。</w:t>
      </w:r>
      <w:r>
        <w:rPr>
          <w:rFonts w:hint="eastAsia"/>
        </w:rPr>
        <w:t>群力水库清淤面积为</w:t>
      </w:r>
      <w:r>
        <w:rPr>
          <w:rFonts w:hint="eastAsia"/>
        </w:rPr>
        <w:t>0.91km</w:t>
      </w:r>
      <w:r>
        <w:rPr>
          <w:rFonts w:hint="eastAsia"/>
          <w:vertAlign w:val="superscript"/>
        </w:rPr>
        <w:t>2</w:t>
      </w:r>
      <w:r>
        <w:rPr>
          <w:rFonts w:hint="eastAsia"/>
        </w:rPr>
        <w:t>，涉水面积为</w:t>
      </w:r>
      <w:r>
        <w:rPr>
          <w:rFonts w:hint="eastAsia"/>
        </w:rPr>
        <w:t>0.91km</w:t>
      </w:r>
      <w:r>
        <w:rPr>
          <w:rFonts w:hint="eastAsia"/>
          <w:vertAlign w:val="superscript"/>
        </w:rPr>
        <w:t>2</w:t>
      </w:r>
      <w:r>
        <w:rPr>
          <w:rFonts w:hint="eastAsia"/>
        </w:rPr>
        <w:t>，即</w:t>
      </w:r>
      <w:r>
        <w:rPr>
          <w:rFonts w:hint="eastAsia"/>
        </w:rPr>
        <w:t>A2=0.91km</w:t>
      </w:r>
      <w:r>
        <w:rPr>
          <w:rFonts w:hint="eastAsia"/>
          <w:vertAlign w:val="superscript"/>
        </w:rPr>
        <w:t>2</w:t>
      </w:r>
      <w:r>
        <w:rPr>
          <w:rFonts w:hint="eastAsia"/>
        </w:rPr>
        <w:t>；长石水库清淤面积为</w:t>
      </w:r>
      <w:r>
        <w:rPr>
          <w:rFonts w:hint="eastAsia"/>
        </w:rPr>
        <w:t>0.12km</w:t>
      </w:r>
      <w:r>
        <w:rPr>
          <w:rFonts w:hint="eastAsia"/>
          <w:vertAlign w:val="superscript"/>
        </w:rPr>
        <w:t>2</w:t>
      </w:r>
      <w:r>
        <w:rPr>
          <w:rFonts w:hint="eastAsia"/>
        </w:rPr>
        <w:t>，涉水面积为</w:t>
      </w:r>
      <w:r>
        <w:rPr>
          <w:rFonts w:hint="eastAsia"/>
        </w:rPr>
        <w:t>0.12km</w:t>
      </w:r>
      <w:r>
        <w:rPr>
          <w:rFonts w:hint="eastAsia"/>
          <w:vertAlign w:val="superscript"/>
        </w:rPr>
        <w:t>2</w:t>
      </w:r>
      <w:r>
        <w:rPr>
          <w:rFonts w:hint="eastAsia"/>
        </w:rPr>
        <w:t>，即</w:t>
      </w:r>
      <w:r>
        <w:rPr>
          <w:rFonts w:hint="eastAsia"/>
        </w:rPr>
        <w:t>A2=0.12km</w:t>
      </w:r>
      <w:r>
        <w:rPr>
          <w:rFonts w:hint="eastAsia"/>
          <w:vertAlign w:val="superscript"/>
        </w:rPr>
        <w:t>2</w:t>
      </w:r>
      <w:r>
        <w:rPr>
          <w:rFonts w:hint="eastAsia"/>
        </w:rPr>
        <w:t>；向阳水电站前池清淤面积为</w:t>
      </w:r>
      <w:r>
        <w:rPr>
          <w:rFonts w:hint="eastAsia"/>
        </w:rPr>
        <w:t>0.16km</w:t>
      </w:r>
      <w:r>
        <w:rPr>
          <w:rFonts w:hint="eastAsia"/>
          <w:vertAlign w:val="superscript"/>
        </w:rPr>
        <w:t>2</w:t>
      </w:r>
      <w:r>
        <w:rPr>
          <w:rFonts w:hint="eastAsia"/>
        </w:rPr>
        <w:t>，涉水面积为</w:t>
      </w:r>
      <w:r>
        <w:rPr>
          <w:rFonts w:hint="eastAsia"/>
        </w:rPr>
        <w:t>0.16km</w:t>
      </w:r>
      <w:r>
        <w:rPr>
          <w:rFonts w:hint="eastAsia"/>
          <w:vertAlign w:val="superscript"/>
        </w:rPr>
        <w:t>2</w:t>
      </w:r>
      <w:r>
        <w:rPr>
          <w:rFonts w:hint="eastAsia"/>
        </w:rPr>
        <w:t>，即</w:t>
      </w:r>
      <w:r>
        <w:rPr>
          <w:rFonts w:hint="eastAsia"/>
        </w:rPr>
        <w:t>A2=0.16km</w:t>
      </w:r>
      <w:r>
        <w:rPr>
          <w:rFonts w:hint="eastAsia"/>
          <w:vertAlign w:val="superscript"/>
        </w:rPr>
        <w:t>2</w:t>
      </w:r>
      <w:r>
        <w:rPr>
          <w:rFonts w:hint="eastAsia"/>
        </w:rPr>
        <w:t>；新安晒水池清淤面积为</w:t>
      </w:r>
      <w:r>
        <w:rPr>
          <w:rFonts w:hint="eastAsia"/>
        </w:rPr>
        <w:t>0.36km</w:t>
      </w:r>
      <w:r>
        <w:rPr>
          <w:rFonts w:hint="eastAsia"/>
          <w:vertAlign w:val="superscript"/>
        </w:rPr>
        <w:t>2</w:t>
      </w:r>
      <w:r>
        <w:rPr>
          <w:rFonts w:hint="eastAsia"/>
        </w:rPr>
        <w:t>，涉水面积为</w:t>
      </w:r>
      <w:r>
        <w:rPr>
          <w:rFonts w:hint="eastAsia"/>
        </w:rPr>
        <w:t>0.36km</w:t>
      </w:r>
      <w:r>
        <w:rPr>
          <w:rFonts w:hint="eastAsia"/>
          <w:vertAlign w:val="superscript"/>
        </w:rPr>
        <w:t>2</w:t>
      </w:r>
      <w:r>
        <w:rPr>
          <w:rFonts w:hint="eastAsia"/>
        </w:rPr>
        <w:t>，即</w:t>
      </w:r>
      <w:r>
        <w:rPr>
          <w:rFonts w:hint="eastAsia"/>
        </w:rPr>
        <w:t>A2=0.36km</w:t>
      </w:r>
      <w:r>
        <w:rPr>
          <w:rFonts w:hint="eastAsia"/>
          <w:vertAlign w:val="superscript"/>
        </w:rPr>
        <w:t>2</w:t>
      </w:r>
      <w:r>
        <w:rPr>
          <w:rFonts w:hint="eastAsia"/>
        </w:rPr>
        <w:t>；万丈水库清淤面积为</w:t>
      </w:r>
      <w:r>
        <w:rPr>
          <w:rFonts w:hint="eastAsia"/>
        </w:rPr>
        <w:t>0.3km</w:t>
      </w:r>
      <w:r>
        <w:rPr>
          <w:rFonts w:hint="eastAsia"/>
          <w:vertAlign w:val="superscript"/>
        </w:rPr>
        <w:t>2</w:t>
      </w:r>
      <w:r>
        <w:rPr>
          <w:rFonts w:hint="eastAsia"/>
        </w:rPr>
        <w:t>，涉水面积为</w:t>
      </w:r>
      <w:r>
        <w:rPr>
          <w:rFonts w:hint="eastAsia"/>
        </w:rPr>
        <w:t>0.3km</w:t>
      </w:r>
      <w:r>
        <w:rPr>
          <w:rFonts w:hint="eastAsia"/>
          <w:vertAlign w:val="superscript"/>
        </w:rPr>
        <w:t>2</w:t>
      </w:r>
      <w:r>
        <w:rPr>
          <w:rFonts w:hint="eastAsia"/>
        </w:rPr>
        <w:t>，</w:t>
      </w:r>
      <w:r>
        <w:rPr>
          <w:rFonts w:hint="eastAsia"/>
        </w:rPr>
        <w:t>A2=0.3km</w:t>
      </w:r>
      <w:r>
        <w:rPr>
          <w:rFonts w:hint="eastAsia"/>
          <w:vertAlign w:val="superscript"/>
        </w:rPr>
        <w:t>2</w:t>
      </w:r>
      <w:r>
        <w:rPr>
          <w:rFonts w:hint="eastAsia"/>
        </w:rPr>
        <w:t>，按照上表，群力水库、万丈水库、新安晒水池</w:t>
      </w:r>
      <w:r>
        <w:rPr>
          <w:color w:val="000000" w:themeColor="text1"/>
        </w:rPr>
        <w:t>对应评价等级为</w:t>
      </w:r>
      <w:r>
        <w:rPr>
          <w:rFonts w:hint="eastAsia"/>
          <w:color w:val="000000" w:themeColor="text1"/>
        </w:rPr>
        <w:t>二</w:t>
      </w:r>
      <w:r>
        <w:rPr>
          <w:color w:val="000000" w:themeColor="text1"/>
        </w:rPr>
        <w:t>级</w:t>
      </w:r>
      <w:r>
        <w:rPr>
          <w:rFonts w:hint="eastAsia"/>
          <w:color w:val="000000" w:themeColor="text1"/>
        </w:rPr>
        <w:t>，向阳水电站前池和长石水库对应评价等级为三级。</w:t>
      </w:r>
      <w:r>
        <w:rPr>
          <w:color w:val="000000" w:themeColor="text1"/>
        </w:rPr>
        <w:t>根据导则中备注</w:t>
      </w:r>
      <w:r>
        <w:rPr>
          <w:rFonts w:hint="eastAsia"/>
          <w:color w:val="000000" w:themeColor="text1"/>
        </w:rPr>
        <w:t>1</w:t>
      </w:r>
      <w:r>
        <w:rPr>
          <w:color w:val="000000" w:themeColor="text1"/>
        </w:rPr>
        <w:t>，影响范围涉及饮用水水源保护区、重点保护与珍稀水生生物的栖息地、重要水生生物的自然产卵场、自然保护区等保护目标，评价等级应不低于二级。本项目</w:t>
      </w:r>
      <w:r>
        <w:rPr>
          <w:rFonts w:hint="eastAsia"/>
          <w:color w:val="000000" w:themeColor="text1"/>
        </w:rPr>
        <w:t>群力水库</w:t>
      </w:r>
      <w:r>
        <w:rPr>
          <w:color w:val="000000" w:themeColor="text1"/>
        </w:rPr>
        <w:t>涉及</w:t>
      </w:r>
      <w:r>
        <w:rPr>
          <w:rFonts w:hint="eastAsia"/>
          <w:color w:val="000000" w:themeColor="text1"/>
        </w:rPr>
        <w:t>黑龙江威虎山国家森林公园和黑龙江海林莲花湖省级自然保护区</w:t>
      </w:r>
      <w:r>
        <w:rPr>
          <w:color w:val="000000" w:themeColor="text1"/>
        </w:rPr>
        <w:t>，故水文要素影响评价等级为二级</w:t>
      </w:r>
      <w:r>
        <w:rPr>
          <w:rFonts w:hint="eastAsia"/>
          <w:color w:val="000000" w:themeColor="text1"/>
        </w:rPr>
        <w:t>；根据导则中备注</w:t>
      </w:r>
      <w:r>
        <w:rPr>
          <w:rFonts w:hint="eastAsia"/>
          <w:color w:val="000000" w:themeColor="text1"/>
        </w:rPr>
        <w:t>2</w:t>
      </w:r>
      <w:r>
        <w:rPr>
          <w:rFonts w:hint="eastAsia"/>
          <w:color w:val="000000" w:themeColor="text1"/>
        </w:rPr>
        <w:t>，跨流域调水、引水式电站、可能受到大型河流感潮河段咸潮影响的建设项目，评价等级不低于二级。本项目向阳水电为引水式电站并所在位置处于饮用水水源保护区，故向阳水电站前池水文要素影响等级为二级。</w:t>
      </w:r>
    </w:p>
    <w:p w14:paraId="0E899A9C" w14:textId="77777777" w:rsidR="009D12AF" w:rsidRDefault="00000000">
      <w:pPr>
        <w:ind w:firstLine="480"/>
        <w:rPr>
          <w:color w:val="000000" w:themeColor="text1"/>
        </w:rPr>
      </w:pPr>
      <w:r>
        <w:rPr>
          <w:rFonts w:hint="eastAsia"/>
          <w:color w:val="000000" w:themeColor="text1"/>
        </w:rPr>
        <w:t>因此</w:t>
      </w:r>
      <w:r>
        <w:rPr>
          <w:rFonts w:hint="eastAsia"/>
        </w:rPr>
        <w:t>群力水库、万丈水库、新安晒水池、</w:t>
      </w:r>
      <w:r>
        <w:rPr>
          <w:rFonts w:hint="eastAsia"/>
          <w:color w:val="000000" w:themeColor="text1"/>
        </w:rPr>
        <w:t>向阳水电站前池水文要素影响评价等级均为二级，长石水库评价等级为三级。</w:t>
      </w:r>
    </w:p>
    <w:p w14:paraId="4FFD1CB4" w14:textId="77777777" w:rsidR="009D12AF" w:rsidRDefault="00000000">
      <w:pPr>
        <w:ind w:firstLine="480"/>
      </w:pPr>
      <w:r>
        <w:rPr>
          <w:rFonts w:hint="eastAsia"/>
        </w:rPr>
        <w:t>②水污染影响型</w:t>
      </w:r>
    </w:p>
    <w:p w14:paraId="3C43018E" w14:textId="77777777" w:rsidR="009D12AF" w:rsidRDefault="00000000">
      <w:pPr>
        <w:ind w:firstLine="480"/>
      </w:pPr>
      <w:r>
        <w:t>根据《环境影响评价技术导则</w:t>
      </w:r>
      <w:r>
        <w:t>—</w:t>
      </w:r>
      <w:r>
        <w:t>地表水环境》</w:t>
      </w:r>
      <w:r>
        <w:t>(HJ2.3-2018)</w:t>
      </w:r>
      <w:r>
        <w:t>，水污染影响型建设项目评价等级判定如下</w:t>
      </w:r>
      <w:r>
        <w:rPr>
          <w:rFonts w:hint="eastAsia"/>
        </w:rPr>
        <w:t>。</w:t>
      </w:r>
    </w:p>
    <w:p w14:paraId="719F6818" w14:textId="77777777" w:rsidR="009D12AF" w:rsidRDefault="00000000">
      <w:pPr>
        <w:ind w:firstLine="482"/>
        <w:jc w:val="center"/>
      </w:pPr>
      <w:r>
        <w:rPr>
          <w:rFonts w:hint="eastAsia"/>
          <w:b/>
          <w:bCs/>
        </w:rPr>
        <w:t>表</w:t>
      </w:r>
      <w:r>
        <w:rPr>
          <w:rFonts w:ascii="Times New Roman" w:hAnsi="Times New Roman" w:cs="Times New Roman"/>
          <w:b/>
          <w:bCs/>
        </w:rPr>
        <w:t>2.</w:t>
      </w:r>
      <w:r>
        <w:rPr>
          <w:rFonts w:ascii="Times New Roman" w:hAnsi="Times New Roman" w:cs="Times New Roman" w:hint="eastAsia"/>
          <w:b/>
          <w:bCs/>
        </w:rPr>
        <w:t>5</w:t>
      </w:r>
      <w:r>
        <w:rPr>
          <w:rFonts w:ascii="Times New Roman" w:hAnsi="Times New Roman" w:cs="Times New Roman"/>
          <w:b/>
          <w:bCs/>
        </w:rPr>
        <w:t>-</w:t>
      </w:r>
      <w:r>
        <w:rPr>
          <w:rFonts w:ascii="Times New Roman" w:hAnsi="Times New Roman" w:cs="Times New Roman" w:hint="eastAsia"/>
          <w:b/>
          <w:bCs/>
        </w:rPr>
        <w:t>2</w:t>
      </w:r>
      <w:r>
        <w:rPr>
          <w:rFonts w:hint="eastAsia"/>
          <w:b/>
          <w:bCs/>
        </w:rPr>
        <w:t>水污染型建设项目评价等级判定表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841"/>
        <w:gridCol w:w="2841"/>
        <w:gridCol w:w="2840"/>
      </w:tblGrid>
      <w:tr w:rsidR="009D12AF" w14:paraId="22117F4F" w14:textId="77777777">
        <w:trPr>
          <w:jc w:val="center"/>
        </w:trPr>
        <w:tc>
          <w:tcPr>
            <w:tcW w:w="1667" w:type="pct"/>
            <w:vMerge w:val="restart"/>
            <w:vAlign w:val="center"/>
          </w:tcPr>
          <w:p w14:paraId="0B6953D0" w14:textId="77777777" w:rsidR="009D12AF" w:rsidRDefault="00000000">
            <w:pPr>
              <w:pStyle w:val="af7"/>
              <w:rPr>
                <w:rFonts w:ascii="Times New Roman" w:eastAsia="宋体" w:hAnsi="Times New Roman"/>
              </w:rPr>
            </w:pPr>
            <w:r>
              <w:rPr>
                <w:rFonts w:ascii="Times New Roman" w:eastAsia="宋体" w:hAnsi="Times New Roman"/>
              </w:rPr>
              <w:t>评价等级</w:t>
            </w:r>
          </w:p>
        </w:tc>
        <w:tc>
          <w:tcPr>
            <w:tcW w:w="3333" w:type="pct"/>
            <w:gridSpan w:val="2"/>
            <w:vAlign w:val="center"/>
          </w:tcPr>
          <w:p w14:paraId="62C10609" w14:textId="77777777" w:rsidR="009D12AF" w:rsidRDefault="00000000">
            <w:pPr>
              <w:pStyle w:val="af7"/>
              <w:rPr>
                <w:rFonts w:ascii="Times New Roman" w:eastAsia="宋体" w:hAnsi="Times New Roman"/>
              </w:rPr>
            </w:pPr>
            <w:r>
              <w:rPr>
                <w:rFonts w:ascii="Times New Roman" w:eastAsia="宋体" w:hAnsi="Times New Roman"/>
              </w:rPr>
              <w:t>判定依据</w:t>
            </w:r>
          </w:p>
        </w:tc>
      </w:tr>
      <w:tr w:rsidR="009D12AF" w14:paraId="40C6D63A" w14:textId="77777777">
        <w:trPr>
          <w:jc w:val="center"/>
        </w:trPr>
        <w:tc>
          <w:tcPr>
            <w:tcW w:w="1667" w:type="pct"/>
            <w:vMerge/>
            <w:vAlign w:val="center"/>
          </w:tcPr>
          <w:p w14:paraId="144DACBA" w14:textId="77777777" w:rsidR="009D12AF" w:rsidRDefault="009D12AF">
            <w:pPr>
              <w:pStyle w:val="af7"/>
              <w:rPr>
                <w:rFonts w:ascii="Times New Roman" w:eastAsia="宋体" w:hAnsi="Times New Roman"/>
              </w:rPr>
            </w:pPr>
          </w:p>
        </w:tc>
        <w:tc>
          <w:tcPr>
            <w:tcW w:w="1667" w:type="pct"/>
            <w:vAlign w:val="center"/>
          </w:tcPr>
          <w:p w14:paraId="02E829CD" w14:textId="77777777" w:rsidR="009D12AF" w:rsidRDefault="00000000">
            <w:pPr>
              <w:pStyle w:val="af7"/>
              <w:rPr>
                <w:rFonts w:ascii="Times New Roman" w:eastAsia="宋体" w:hAnsi="Times New Roman"/>
              </w:rPr>
            </w:pPr>
            <w:r>
              <w:rPr>
                <w:rFonts w:ascii="Times New Roman" w:eastAsia="宋体" w:hAnsi="Times New Roman"/>
              </w:rPr>
              <w:t>排放方式</w:t>
            </w:r>
          </w:p>
        </w:tc>
        <w:tc>
          <w:tcPr>
            <w:tcW w:w="1666" w:type="pct"/>
            <w:vAlign w:val="center"/>
          </w:tcPr>
          <w:p w14:paraId="1F9842DD" w14:textId="77777777" w:rsidR="009D12AF" w:rsidRDefault="00000000">
            <w:pPr>
              <w:pStyle w:val="af7"/>
              <w:rPr>
                <w:rFonts w:ascii="Times New Roman" w:eastAsia="宋体" w:hAnsi="Times New Roman"/>
              </w:rPr>
            </w:pPr>
            <w:r>
              <w:rPr>
                <w:rFonts w:ascii="Times New Roman" w:eastAsia="宋体" w:hAnsi="Times New Roman"/>
              </w:rPr>
              <w:t>废水排放量</w:t>
            </w:r>
            <w:r>
              <w:rPr>
                <w:rFonts w:ascii="Times New Roman" w:eastAsia="宋体" w:hAnsi="Times New Roman"/>
              </w:rPr>
              <w:t>Q/</w:t>
            </w:r>
            <w:r>
              <w:rPr>
                <w:rFonts w:ascii="Times New Roman" w:eastAsia="宋体" w:hAnsi="Times New Roman"/>
              </w:rPr>
              <w:t>（</w:t>
            </w:r>
            <w:r>
              <w:rPr>
                <w:rFonts w:ascii="Times New Roman" w:eastAsia="宋体" w:hAnsi="Times New Roman"/>
              </w:rPr>
              <w:t>m</w:t>
            </w:r>
            <w:r>
              <w:rPr>
                <w:rFonts w:ascii="Times New Roman" w:eastAsia="宋体" w:hAnsi="Times New Roman"/>
                <w:vertAlign w:val="superscript"/>
              </w:rPr>
              <w:t>3</w:t>
            </w:r>
            <w:r>
              <w:rPr>
                <w:rFonts w:ascii="Times New Roman" w:eastAsia="宋体" w:hAnsi="Times New Roman"/>
              </w:rPr>
              <w:t>/d</w:t>
            </w:r>
            <w:r>
              <w:rPr>
                <w:rFonts w:ascii="Times New Roman" w:eastAsia="宋体" w:hAnsi="Times New Roman"/>
              </w:rPr>
              <w:t>）</w:t>
            </w:r>
          </w:p>
          <w:p w14:paraId="2F49E444" w14:textId="77777777" w:rsidR="009D12AF" w:rsidRDefault="00000000">
            <w:pPr>
              <w:pStyle w:val="af7"/>
              <w:rPr>
                <w:rFonts w:ascii="Times New Roman" w:eastAsia="宋体" w:hAnsi="Times New Roman"/>
              </w:rPr>
            </w:pPr>
            <w:r>
              <w:rPr>
                <w:rFonts w:ascii="Times New Roman" w:eastAsia="宋体" w:hAnsi="Times New Roman"/>
              </w:rPr>
              <w:t>水污染物当量</w:t>
            </w:r>
            <w:r>
              <w:rPr>
                <w:rFonts w:ascii="Times New Roman" w:eastAsia="宋体" w:hAnsi="Times New Roman"/>
              </w:rPr>
              <w:t>W/</w:t>
            </w:r>
            <w:r>
              <w:rPr>
                <w:rFonts w:ascii="Times New Roman" w:eastAsia="宋体" w:hAnsi="Times New Roman"/>
              </w:rPr>
              <w:t>（无量纲）</w:t>
            </w:r>
          </w:p>
        </w:tc>
      </w:tr>
      <w:tr w:rsidR="009D12AF" w14:paraId="455C894B" w14:textId="77777777">
        <w:trPr>
          <w:jc w:val="center"/>
        </w:trPr>
        <w:tc>
          <w:tcPr>
            <w:tcW w:w="1667" w:type="pct"/>
            <w:vAlign w:val="center"/>
          </w:tcPr>
          <w:p w14:paraId="27153A86" w14:textId="77777777" w:rsidR="009D12AF" w:rsidRDefault="00000000">
            <w:pPr>
              <w:pStyle w:val="af7"/>
              <w:rPr>
                <w:rFonts w:ascii="Times New Roman" w:eastAsia="宋体" w:hAnsi="Times New Roman"/>
              </w:rPr>
            </w:pPr>
            <w:r>
              <w:rPr>
                <w:rFonts w:ascii="Times New Roman" w:eastAsia="宋体" w:hAnsi="Times New Roman"/>
              </w:rPr>
              <w:lastRenderedPageBreak/>
              <w:t>一级</w:t>
            </w:r>
          </w:p>
        </w:tc>
        <w:tc>
          <w:tcPr>
            <w:tcW w:w="1667" w:type="pct"/>
            <w:vAlign w:val="center"/>
          </w:tcPr>
          <w:p w14:paraId="7472FD25" w14:textId="77777777" w:rsidR="009D12AF" w:rsidRDefault="00000000">
            <w:pPr>
              <w:pStyle w:val="af7"/>
              <w:rPr>
                <w:rFonts w:ascii="Times New Roman" w:eastAsia="宋体" w:hAnsi="Times New Roman"/>
              </w:rPr>
            </w:pPr>
            <w:r>
              <w:rPr>
                <w:rFonts w:ascii="Times New Roman" w:eastAsia="宋体" w:hAnsi="Times New Roman"/>
              </w:rPr>
              <w:t>直接排放</w:t>
            </w:r>
          </w:p>
        </w:tc>
        <w:tc>
          <w:tcPr>
            <w:tcW w:w="1666" w:type="pct"/>
            <w:vAlign w:val="center"/>
          </w:tcPr>
          <w:p w14:paraId="7A6665CE" w14:textId="77777777" w:rsidR="009D12AF" w:rsidRDefault="00000000">
            <w:pPr>
              <w:pStyle w:val="af7"/>
              <w:rPr>
                <w:rFonts w:ascii="Times New Roman" w:eastAsia="宋体" w:hAnsi="Times New Roman"/>
              </w:rPr>
            </w:pPr>
            <w:r>
              <w:rPr>
                <w:rFonts w:ascii="Times New Roman" w:eastAsia="宋体" w:hAnsi="Times New Roman"/>
              </w:rPr>
              <w:t>Q≥20000</w:t>
            </w:r>
            <w:r>
              <w:rPr>
                <w:rFonts w:ascii="Times New Roman" w:eastAsia="宋体" w:hAnsi="Times New Roman"/>
              </w:rPr>
              <w:t>或</w:t>
            </w:r>
            <w:r>
              <w:rPr>
                <w:rFonts w:ascii="Times New Roman" w:eastAsia="宋体" w:hAnsi="Times New Roman"/>
              </w:rPr>
              <w:t>W≥600000</w:t>
            </w:r>
          </w:p>
        </w:tc>
      </w:tr>
      <w:tr w:rsidR="009D12AF" w14:paraId="23DA85DB" w14:textId="77777777">
        <w:trPr>
          <w:jc w:val="center"/>
        </w:trPr>
        <w:tc>
          <w:tcPr>
            <w:tcW w:w="1667" w:type="pct"/>
            <w:vAlign w:val="center"/>
          </w:tcPr>
          <w:p w14:paraId="0A0BED06" w14:textId="77777777" w:rsidR="009D12AF" w:rsidRDefault="00000000">
            <w:pPr>
              <w:pStyle w:val="af7"/>
              <w:rPr>
                <w:rFonts w:ascii="Times New Roman" w:eastAsia="宋体" w:hAnsi="Times New Roman"/>
              </w:rPr>
            </w:pPr>
            <w:r>
              <w:rPr>
                <w:rFonts w:ascii="Times New Roman" w:eastAsia="宋体" w:hAnsi="Times New Roman"/>
              </w:rPr>
              <w:t>二级</w:t>
            </w:r>
          </w:p>
        </w:tc>
        <w:tc>
          <w:tcPr>
            <w:tcW w:w="1667" w:type="pct"/>
            <w:vAlign w:val="center"/>
          </w:tcPr>
          <w:p w14:paraId="0690AC71" w14:textId="77777777" w:rsidR="009D12AF" w:rsidRDefault="00000000">
            <w:pPr>
              <w:pStyle w:val="af7"/>
              <w:rPr>
                <w:rFonts w:ascii="Times New Roman" w:eastAsia="宋体" w:hAnsi="Times New Roman"/>
              </w:rPr>
            </w:pPr>
            <w:r>
              <w:rPr>
                <w:rFonts w:ascii="Times New Roman" w:eastAsia="宋体" w:hAnsi="Times New Roman"/>
              </w:rPr>
              <w:t>直接排放</w:t>
            </w:r>
          </w:p>
        </w:tc>
        <w:tc>
          <w:tcPr>
            <w:tcW w:w="1666" w:type="pct"/>
            <w:vAlign w:val="center"/>
          </w:tcPr>
          <w:p w14:paraId="7734136F" w14:textId="77777777" w:rsidR="009D12AF" w:rsidRDefault="00000000">
            <w:pPr>
              <w:pStyle w:val="af7"/>
              <w:rPr>
                <w:rFonts w:ascii="Times New Roman" w:eastAsia="宋体" w:hAnsi="Times New Roman"/>
              </w:rPr>
            </w:pPr>
            <w:r>
              <w:rPr>
                <w:rFonts w:ascii="Times New Roman" w:eastAsia="宋体" w:hAnsi="Times New Roman"/>
              </w:rPr>
              <w:t>其他</w:t>
            </w:r>
          </w:p>
        </w:tc>
      </w:tr>
      <w:tr w:rsidR="009D12AF" w14:paraId="31434E50" w14:textId="77777777">
        <w:trPr>
          <w:jc w:val="center"/>
        </w:trPr>
        <w:tc>
          <w:tcPr>
            <w:tcW w:w="1667" w:type="pct"/>
            <w:vAlign w:val="center"/>
          </w:tcPr>
          <w:p w14:paraId="114DF834" w14:textId="77777777" w:rsidR="009D12AF" w:rsidRDefault="00000000">
            <w:pPr>
              <w:pStyle w:val="af7"/>
              <w:rPr>
                <w:rFonts w:ascii="Times New Roman" w:eastAsia="宋体" w:hAnsi="Times New Roman"/>
              </w:rPr>
            </w:pPr>
            <w:r>
              <w:rPr>
                <w:rFonts w:ascii="Times New Roman" w:eastAsia="宋体" w:hAnsi="Times New Roman"/>
              </w:rPr>
              <w:t>三级</w:t>
            </w:r>
            <w:r>
              <w:rPr>
                <w:rFonts w:ascii="Times New Roman" w:eastAsia="宋体" w:hAnsi="Times New Roman"/>
              </w:rPr>
              <w:t>A</w:t>
            </w:r>
          </w:p>
        </w:tc>
        <w:tc>
          <w:tcPr>
            <w:tcW w:w="1667" w:type="pct"/>
            <w:vAlign w:val="center"/>
          </w:tcPr>
          <w:p w14:paraId="7737ADF7" w14:textId="77777777" w:rsidR="009D12AF" w:rsidRDefault="00000000">
            <w:pPr>
              <w:pStyle w:val="af7"/>
              <w:rPr>
                <w:rFonts w:ascii="Times New Roman" w:eastAsia="宋体" w:hAnsi="Times New Roman"/>
              </w:rPr>
            </w:pPr>
            <w:r>
              <w:rPr>
                <w:rFonts w:ascii="Times New Roman" w:eastAsia="宋体" w:hAnsi="Times New Roman"/>
              </w:rPr>
              <w:t>直接排放</w:t>
            </w:r>
          </w:p>
        </w:tc>
        <w:tc>
          <w:tcPr>
            <w:tcW w:w="1666" w:type="pct"/>
            <w:vAlign w:val="center"/>
          </w:tcPr>
          <w:p w14:paraId="2E19DD16" w14:textId="77777777" w:rsidR="009D12AF" w:rsidRDefault="00000000">
            <w:pPr>
              <w:pStyle w:val="af7"/>
              <w:rPr>
                <w:rFonts w:ascii="Times New Roman" w:eastAsia="宋体" w:hAnsi="Times New Roman"/>
              </w:rPr>
            </w:pPr>
            <w:r>
              <w:rPr>
                <w:rFonts w:ascii="Times New Roman" w:eastAsia="宋体" w:hAnsi="Times New Roman"/>
              </w:rPr>
              <w:t>Q</w:t>
            </w:r>
            <w:r>
              <w:rPr>
                <w:rFonts w:ascii="Times New Roman" w:eastAsia="宋体" w:hAnsi="Times New Roman"/>
              </w:rPr>
              <w:t>＜</w:t>
            </w:r>
            <w:r>
              <w:rPr>
                <w:rFonts w:ascii="Times New Roman" w:eastAsia="宋体" w:hAnsi="Times New Roman"/>
              </w:rPr>
              <w:t>200</w:t>
            </w:r>
            <w:r>
              <w:rPr>
                <w:rFonts w:ascii="Times New Roman" w:eastAsia="宋体" w:hAnsi="Times New Roman"/>
              </w:rPr>
              <w:t>或</w:t>
            </w:r>
            <w:r>
              <w:rPr>
                <w:rFonts w:ascii="Times New Roman" w:eastAsia="宋体" w:hAnsi="Times New Roman"/>
              </w:rPr>
              <w:t>W</w:t>
            </w:r>
            <w:r>
              <w:rPr>
                <w:rFonts w:ascii="Times New Roman" w:eastAsia="宋体" w:hAnsi="Times New Roman"/>
              </w:rPr>
              <w:t>＜</w:t>
            </w:r>
            <w:r>
              <w:rPr>
                <w:rFonts w:ascii="Times New Roman" w:eastAsia="宋体" w:hAnsi="Times New Roman"/>
              </w:rPr>
              <w:t>6000</w:t>
            </w:r>
          </w:p>
        </w:tc>
      </w:tr>
      <w:tr w:rsidR="009D12AF" w14:paraId="7A6F3F51" w14:textId="77777777">
        <w:trPr>
          <w:jc w:val="center"/>
        </w:trPr>
        <w:tc>
          <w:tcPr>
            <w:tcW w:w="1667" w:type="pct"/>
            <w:vAlign w:val="center"/>
          </w:tcPr>
          <w:p w14:paraId="7E202B2D" w14:textId="77777777" w:rsidR="009D12AF" w:rsidRDefault="00000000">
            <w:pPr>
              <w:pStyle w:val="af7"/>
              <w:rPr>
                <w:rFonts w:ascii="Times New Roman" w:eastAsia="宋体" w:hAnsi="Times New Roman"/>
              </w:rPr>
            </w:pPr>
            <w:r>
              <w:rPr>
                <w:rFonts w:ascii="Times New Roman" w:eastAsia="宋体" w:hAnsi="Times New Roman"/>
              </w:rPr>
              <w:t>三级</w:t>
            </w:r>
            <w:r>
              <w:rPr>
                <w:rFonts w:ascii="Times New Roman" w:eastAsia="宋体" w:hAnsi="Times New Roman"/>
              </w:rPr>
              <w:t>B</w:t>
            </w:r>
          </w:p>
        </w:tc>
        <w:tc>
          <w:tcPr>
            <w:tcW w:w="1667" w:type="pct"/>
            <w:vAlign w:val="center"/>
          </w:tcPr>
          <w:p w14:paraId="33254E91" w14:textId="77777777" w:rsidR="009D12AF" w:rsidRDefault="00000000">
            <w:pPr>
              <w:pStyle w:val="af7"/>
              <w:rPr>
                <w:rFonts w:ascii="Times New Roman" w:eastAsia="宋体" w:hAnsi="Times New Roman"/>
              </w:rPr>
            </w:pPr>
            <w:r>
              <w:rPr>
                <w:rFonts w:ascii="Times New Roman" w:eastAsia="宋体" w:hAnsi="Times New Roman"/>
              </w:rPr>
              <w:t>间接排放</w:t>
            </w:r>
          </w:p>
        </w:tc>
        <w:tc>
          <w:tcPr>
            <w:tcW w:w="1666" w:type="pct"/>
            <w:vAlign w:val="center"/>
          </w:tcPr>
          <w:p w14:paraId="3943D5D6" w14:textId="77777777" w:rsidR="009D12AF" w:rsidRDefault="00000000">
            <w:pPr>
              <w:pStyle w:val="af7"/>
              <w:rPr>
                <w:rFonts w:ascii="Times New Roman" w:eastAsia="宋体" w:hAnsi="Times New Roman"/>
              </w:rPr>
            </w:pPr>
            <w:r>
              <w:rPr>
                <w:rFonts w:ascii="Times New Roman" w:eastAsia="宋体" w:hAnsi="Times New Roman"/>
              </w:rPr>
              <w:t>——</w:t>
            </w:r>
          </w:p>
        </w:tc>
      </w:tr>
      <w:tr w:rsidR="009D12AF" w14:paraId="6071CA4C" w14:textId="77777777">
        <w:trPr>
          <w:jc w:val="center"/>
        </w:trPr>
        <w:tc>
          <w:tcPr>
            <w:tcW w:w="5000" w:type="pct"/>
            <w:gridSpan w:val="3"/>
            <w:vAlign w:val="center"/>
          </w:tcPr>
          <w:p w14:paraId="18DCF8B2" w14:textId="77777777" w:rsidR="009D12AF" w:rsidRDefault="00000000">
            <w:pPr>
              <w:pStyle w:val="af7"/>
              <w:jc w:val="both"/>
              <w:rPr>
                <w:rFonts w:ascii="Times New Roman" w:eastAsia="宋体" w:hAnsi="Times New Roman"/>
              </w:rPr>
            </w:pPr>
            <w:r>
              <w:rPr>
                <w:rFonts w:ascii="Times New Roman" w:eastAsia="宋体" w:hAnsi="Times New Roman"/>
                <w:b/>
              </w:rPr>
              <w:t>注</w:t>
            </w:r>
            <w:r>
              <w:rPr>
                <w:rFonts w:ascii="Times New Roman" w:eastAsia="宋体" w:hAnsi="Times New Roman"/>
                <w:b/>
              </w:rPr>
              <w:t>1</w:t>
            </w:r>
            <w:r>
              <w:rPr>
                <w:rFonts w:ascii="Times New Roman" w:eastAsia="宋体" w:hAnsi="Times New Roman"/>
              </w:rPr>
              <w:t>：水污染物当量数等于该污染物的年排放量除以该污染物的污染当量值</w:t>
            </w:r>
            <w:r>
              <w:rPr>
                <w:rFonts w:ascii="Times New Roman" w:eastAsia="宋体" w:hAnsi="Times New Roman"/>
              </w:rPr>
              <w:t>(</w:t>
            </w:r>
            <w:r>
              <w:rPr>
                <w:rFonts w:ascii="Times New Roman" w:eastAsia="宋体" w:hAnsi="Times New Roman"/>
              </w:rPr>
              <w:t>见附录</w:t>
            </w:r>
            <w:r>
              <w:rPr>
                <w:rFonts w:ascii="Times New Roman" w:eastAsia="宋体" w:hAnsi="Times New Roman"/>
              </w:rPr>
              <w:t>A)</w:t>
            </w:r>
            <w:r>
              <w:rPr>
                <w:rFonts w:ascii="Times New Roman" w:eastAsia="宋体" w:hAnsi="Times New Roman"/>
              </w:rPr>
              <w:t>，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703D7849" w14:textId="77777777" w:rsidR="009D12AF" w:rsidRDefault="00000000">
            <w:pPr>
              <w:pStyle w:val="af7"/>
              <w:jc w:val="both"/>
              <w:rPr>
                <w:rFonts w:ascii="Times New Roman" w:eastAsia="宋体" w:hAnsi="Times New Roman"/>
              </w:rPr>
            </w:pPr>
            <w:r>
              <w:rPr>
                <w:rFonts w:ascii="Times New Roman" w:eastAsia="宋体" w:hAnsi="Times New Roman"/>
                <w:b/>
              </w:rPr>
              <w:t>注</w:t>
            </w:r>
            <w:r>
              <w:rPr>
                <w:rFonts w:ascii="Times New Roman" w:eastAsia="宋体" w:hAnsi="Times New Roman"/>
                <w:b/>
              </w:rPr>
              <w:t>2</w:t>
            </w:r>
            <w:r>
              <w:rPr>
                <w:rFonts w:ascii="Times New Roman" w:eastAsia="宋体" w:hAnsi="Times New Roman"/>
              </w:rPr>
              <w:t>：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14:paraId="013C8E7F" w14:textId="77777777" w:rsidR="009D12AF" w:rsidRDefault="00000000">
            <w:pPr>
              <w:pStyle w:val="af7"/>
              <w:jc w:val="both"/>
              <w:rPr>
                <w:rFonts w:ascii="Times New Roman" w:eastAsia="宋体" w:hAnsi="Times New Roman"/>
              </w:rPr>
            </w:pPr>
            <w:r>
              <w:rPr>
                <w:rFonts w:ascii="Times New Roman" w:eastAsia="宋体" w:hAnsi="Times New Roman"/>
                <w:b/>
              </w:rPr>
              <w:t>注</w:t>
            </w:r>
            <w:r>
              <w:rPr>
                <w:rFonts w:ascii="Times New Roman" w:eastAsia="宋体" w:hAnsi="Times New Roman"/>
                <w:b/>
              </w:rPr>
              <w:t>3</w:t>
            </w:r>
            <w:r>
              <w:rPr>
                <w:rFonts w:ascii="Times New Roman" w:eastAsia="宋体" w:hAnsi="Times New Roman"/>
              </w:rPr>
              <w:t>：厂区存在堆积物</w:t>
            </w:r>
            <w:r>
              <w:rPr>
                <w:rFonts w:ascii="Times New Roman" w:eastAsia="宋体" w:hAnsi="Times New Roman"/>
              </w:rPr>
              <w:t>(</w:t>
            </w:r>
            <w:r>
              <w:rPr>
                <w:rFonts w:ascii="Times New Roman" w:eastAsia="宋体" w:hAnsi="Times New Roman"/>
              </w:rPr>
              <w:t>露天堆放的原料、燃料、废渣等以及垃圾堆放场</w:t>
            </w:r>
            <w:r>
              <w:rPr>
                <w:rFonts w:ascii="Times New Roman" w:eastAsia="宋体" w:hAnsi="Times New Roman"/>
              </w:rPr>
              <w:t>)</w:t>
            </w:r>
            <w:r>
              <w:rPr>
                <w:rFonts w:ascii="Times New Roman" w:eastAsia="宋体" w:hAnsi="Times New Roman"/>
              </w:rPr>
              <w:t>、降尘污染的，应将初期雨污水纳入废水排放量，相应的主要污染物纳入水污染当量计算。</w:t>
            </w:r>
          </w:p>
          <w:p w14:paraId="0B3348ED" w14:textId="77777777" w:rsidR="009D12AF" w:rsidRDefault="00000000">
            <w:pPr>
              <w:pStyle w:val="af7"/>
              <w:jc w:val="both"/>
              <w:rPr>
                <w:rFonts w:ascii="Times New Roman" w:eastAsia="宋体" w:hAnsi="Times New Roman"/>
              </w:rPr>
            </w:pPr>
            <w:r>
              <w:rPr>
                <w:rFonts w:ascii="Times New Roman" w:eastAsia="宋体" w:hAnsi="Times New Roman"/>
                <w:b/>
              </w:rPr>
              <w:t>注</w:t>
            </w:r>
            <w:r>
              <w:rPr>
                <w:rFonts w:ascii="Times New Roman" w:eastAsia="宋体" w:hAnsi="Times New Roman"/>
                <w:b/>
              </w:rPr>
              <w:t>4</w:t>
            </w:r>
            <w:r>
              <w:rPr>
                <w:rFonts w:ascii="Times New Roman" w:eastAsia="宋体" w:hAnsi="Times New Roman"/>
              </w:rPr>
              <w:t>：建设项目直接排放第一类污染物的，其评价等级为一级；建设项目直接排放的污染物为受纳水体超标因子的，评价等级不低于二级。</w:t>
            </w:r>
          </w:p>
          <w:p w14:paraId="498154B6" w14:textId="77777777" w:rsidR="009D12AF" w:rsidRDefault="00000000">
            <w:pPr>
              <w:pStyle w:val="af7"/>
              <w:jc w:val="both"/>
              <w:rPr>
                <w:rFonts w:ascii="Times New Roman" w:eastAsia="宋体" w:hAnsi="Times New Roman"/>
              </w:rPr>
            </w:pPr>
            <w:r>
              <w:rPr>
                <w:rFonts w:ascii="Times New Roman" w:eastAsia="宋体" w:hAnsi="Times New Roman"/>
                <w:b/>
              </w:rPr>
              <w:t>注</w:t>
            </w:r>
            <w:r>
              <w:rPr>
                <w:rFonts w:ascii="Times New Roman" w:eastAsia="宋体" w:hAnsi="Times New Roman"/>
                <w:b/>
              </w:rPr>
              <w:t>5</w:t>
            </w:r>
            <w:r>
              <w:rPr>
                <w:rFonts w:ascii="Times New Roman" w:eastAsia="宋体" w:hAnsi="Times New Roman"/>
              </w:rPr>
              <w:t>：直接排放受纳水体影响范围涉及饮用水水源保护区、饮用水取水口、重点保护与珍稀水生生物的栖息地、重要水生生物的自然产卵场等保护目标时，评价等级不低于二级。</w:t>
            </w:r>
          </w:p>
          <w:p w14:paraId="019B9A55" w14:textId="77777777" w:rsidR="009D12AF" w:rsidRDefault="00000000">
            <w:pPr>
              <w:pStyle w:val="af7"/>
              <w:jc w:val="both"/>
              <w:rPr>
                <w:rFonts w:ascii="Times New Roman" w:eastAsia="宋体" w:hAnsi="Times New Roman"/>
              </w:rPr>
            </w:pPr>
            <w:r>
              <w:rPr>
                <w:rFonts w:ascii="Times New Roman" w:eastAsia="宋体" w:hAnsi="Times New Roman"/>
                <w:b/>
              </w:rPr>
              <w:t>注</w:t>
            </w:r>
            <w:r>
              <w:rPr>
                <w:rFonts w:ascii="Times New Roman" w:eastAsia="宋体" w:hAnsi="Times New Roman"/>
                <w:b/>
              </w:rPr>
              <w:t>6</w:t>
            </w:r>
            <w:r>
              <w:rPr>
                <w:rFonts w:ascii="Times New Roman" w:eastAsia="宋体" w:hAnsi="Times New Roman"/>
              </w:rPr>
              <w:t>：建设项目向河流、湖库排放温排水引起受纳水体水温变化超过水环境质量标准要求，且评价范围有水温敏感目标时，评价等级为一级。</w:t>
            </w:r>
          </w:p>
          <w:p w14:paraId="497C6055" w14:textId="77777777" w:rsidR="009D12AF" w:rsidRDefault="00000000">
            <w:pPr>
              <w:pStyle w:val="af7"/>
              <w:jc w:val="both"/>
              <w:rPr>
                <w:rFonts w:ascii="Times New Roman" w:eastAsia="宋体" w:hAnsi="Times New Roman"/>
              </w:rPr>
            </w:pPr>
            <w:r>
              <w:rPr>
                <w:rFonts w:ascii="Times New Roman" w:eastAsia="宋体" w:hAnsi="Times New Roman"/>
                <w:b/>
              </w:rPr>
              <w:t>注</w:t>
            </w:r>
            <w:r>
              <w:rPr>
                <w:rFonts w:ascii="Times New Roman" w:eastAsia="宋体" w:hAnsi="Times New Roman"/>
                <w:b/>
              </w:rPr>
              <w:t>7</w:t>
            </w:r>
            <w:r>
              <w:rPr>
                <w:rFonts w:ascii="Times New Roman" w:eastAsia="宋体" w:hAnsi="Times New Roman"/>
              </w:rPr>
              <w:t>：建设项目利用海水作为调节温度介质，排水量</w:t>
            </w:r>
            <w:r>
              <w:rPr>
                <w:rFonts w:ascii="Times New Roman" w:eastAsia="宋体" w:hAnsi="Times New Roman"/>
              </w:rPr>
              <w:t xml:space="preserve">≥500 </w:t>
            </w:r>
            <w:r>
              <w:rPr>
                <w:rFonts w:ascii="Times New Roman" w:eastAsia="宋体" w:hAnsi="Times New Roman"/>
              </w:rPr>
              <w:t>万</w:t>
            </w:r>
            <w:r>
              <w:rPr>
                <w:rFonts w:ascii="Times New Roman" w:eastAsia="宋体" w:hAnsi="Times New Roman"/>
              </w:rPr>
              <w:t>m</w:t>
            </w:r>
            <w:r>
              <w:rPr>
                <w:rFonts w:ascii="Times New Roman" w:eastAsia="宋体" w:hAnsi="Times New Roman"/>
                <w:vertAlign w:val="superscript"/>
              </w:rPr>
              <w:t>3</w:t>
            </w:r>
            <w:r>
              <w:rPr>
                <w:rFonts w:ascii="Times New Roman" w:eastAsia="宋体" w:hAnsi="Times New Roman"/>
              </w:rPr>
              <w:t>/d</w:t>
            </w:r>
            <w:r>
              <w:rPr>
                <w:rFonts w:ascii="Times New Roman" w:eastAsia="宋体" w:hAnsi="Times New Roman"/>
              </w:rPr>
              <w:t>，评价等级为一级；排水量＜</w:t>
            </w:r>
            <w:r>
              <w:rPr>
                <w:rFonts w:ascii="Times New Roman" w:eastAsia="宋体" w:hAnsi="Times New Roman"/>
              </w:rPr>
              <w:t>500</w:t>
            </w:r>
            <w:r>
              <w:rPr>
                <w:rFonts w:ascii="Times New Roman" w:eastAsia="宋体" w:hAnsi="Times New Roman"/>
              </w:rPr>
              <w:t>万</w:t>
            </w:r>
            <w:r>
              <w:rPr>
                <w:rFonts w:ascii="Times New Roman" w:eastAsia="宋体" w:hAnsi="Times New Roman"/>
              </w:rPr>
              <w:t>m</w:t>
            </w:r>
            <w:r>
              <w:rPr>
                <w:rFonts w:ascii="Times New Roman" w:eastAsia="宋体" w:hAnsi="Times New Roman"/>
                <w:vertAlign w:val="superscript"/>
              </w:rPr>
              <w:t>3</w:t>
            </w:r>
            <w:r>
              <w:rPr>
                <w:rFonts w:ascii="Times New Roman" w:eastAsia="宋体" w:hAnsi="Times New Roman"/>
              </w:rPr>
              <w:t>/d</w:t>
            </w:r>
            <w:r>
              <w:rPr>
                <w:rFonts w:ascii="Times New Roman" w:eastAsia="宋体" w:hAnsi="Times New Roman"/>
              </w:rPr>
              <w:t>，评价等级为二级。</w:t>
            </w:r>
          </w:p>
          <w:p w14:paraId="43887239" w14:textId="77777777" w:rsidR="009D12AF" w:rsidRDefault="00000000">
            <w:pPr>
              <w:pStyle w:val="af7"/>
              <w:jc w:val="both"/>
              <w:rPr>
                <w:rFonts w:ascii="Times New Roman" w:eastAsia="宋体" w:hAnsi="Times New Roman"/>
              </w:rPr>
            </w:pPr>
            <w:r>
              <w:rPr>
                <w:rFonts w:ascii="Times New Roman" w:eastAsia="宋体" w:hAnsi="Times New Roman"/>
                <w:b/>
              </w:rPr>
              <w:t>注</w:t>
            </w:r>
            <w:r>
              <w:rPr>
                <w:rFonts w:ascii="Times New Roman" w:eastAsia="宋体" w:hAnsi="Times New Roman"/>
                <w:b/>
              </w:rPr>
              <w:t>8</w:t>
            </w:r>
            <w:r>
              <w:rPr>
                <w:rFonts w:ascii="Times New Roman" w:eastAsia="宋体" w:hAnsi="Times New Roman"/>
              </w:rPr>
              <w:t>：仅涉及清净下水排放的，如其排放水质满足受纳水体水环境质量标准要求的，评价等级为三级</w:t>
            </w:r>
            <w:r>
              <w:rPr>
                <w:rFonts w:ascii="Times New Roman" w:eastAsia="宋体" w:hAnsi="Times New Roman"/>
              </w:rPr>
              <w:t>A</w:t>
            </w:r>
            <w:r>
              <w:rPr>
                <w:rFonts w:ascii="Times New Roman" w:eastAsia="宋体" w:hAnsi="Times New Roman"/>
              </w:rPr>
              <w:t>。</w:t>
            </w:r>
          </w:p>
          <w:p w14:paraId="6492D5BD" w14:textId="77777777" w:rsidR="009D12AF" w:rsidRDefault="00000000">
            <w:pPr>
              <w:pStyle w:val="af7"/>
              <w:jc w:val="both"/>
              <w:rPr>
                <w:rFonts w:ascii="Times New Roman" w:eastAsia="宋体" w:hAnsi="Times New Roman"/>
              </w:rPr>
            </w:pPr>
            <w:r>
              <w:rPr>
                <w:rFonts w:ascii="Times New Roman" w:eastAsia="宋体" w:hAnsi="Times New Roman"/>
                <w:b/>
              </w:rPr>
              <w:t>注</w:t>
            </w:r>
            <w:r>
              <w:rPr>
                <w:rFonts w:ascii="Times New Roman" w:eastAsia="宋体" w:hAnsi="Times New Roman"/>
                <w:b/>
              </w:rPr>
              <w:t>9</w:t>
            </w:r>
            <w:r>
              <w:rPr>
                <w:rFonts w:ascii="Times New Roman" w:eastAsia="宋体" w:hAnsi="Times New Roman"/>
              </w:rPr>
              <w:t>：依托现有排放口，且对外环境未新增排放污染物的直接排放建设项目，评价等级参照间接排放，定为三级</w:t>
            </w:r>
            <w:r>
              <w:rPr>
                <w:rFonts w:ascii="Times New Roman" w:eastAsia="宋体" w:hAnsi="Times New Roman"/>
              </w:rPr>
              <w:t>B</w:t>
            </w:r>
            <w:r>
              <w:rPr>
                <w:rFonts w:ascii="Times New Roman" w:eastAsia="宋体" w:hAnsi="Times New Roman"/>
              </w:rPr>
              <w:t>。</w:t>
            </w:r>
          </w:p>
          <w:p w14:paraId="701E961D" w14:textId="77777777" w:rsidR="009D12AF" w:rsidRDefault="00000000">
            <w:pPr>
              <w:pStyle w:val="af7"/>
              <w:jc w:val="both"/>
              <w:rPr>
                <w:rFonts w:ascii="Times New Roman" w:eastAsia="宋体" w:hAnsi="Times New Roman"/>
              </w:rPr>
            </w:pPr>
            <w:r>
              <w:rPr>
                <w:rFonts w:ascii="Times New Roman" w:eastAsia="宋体" w:hAnsi="Times New Roman"/>
                <w:b/>
              </w:rPr>
              <w:t>注</w:t>
            </w:r>
            <w:r>
              <w:rPr>
                <w:rFonts w:ascii="Times New Roman" w:eastAsia="宋体" w:hAnsi="Times New Roman"/>
                <w:b/>
              </w:rPr>
              <w:t>10</w:t>
            </w:r>
            <w:r>
              <w:rPr>
                <w:rFonts w:ascii="Times New Roman" w:eastAsia="宋体" w:hAnsi="Times New Roman"/>
              </w:rPr>
              <w:t>：建设项目生产工艺中有废水产生，但作为回水利用，不排放到外环境的，按三级</w:t>
            </w:r>
            <w:r>
              <w:rPr>
                <w:rFonts w:ascii="Times New Roman" w:eastAsia="宋体" w:hAnsi="Times New Roman"/>
              </w:rPr>
              <w:t xml:space="preserve">B </w:t>
            </w:r>
            <w:r>
              <w:rPr>
                <w:rFonts w:ascii="Times New Roman" w:eastAsia="宋体" w:hAnsi="Times New Roman"/>
              </w:rPr>
              <w:t>评价。</w:t>
            </w:r>
          </w:p>
        </w:tc>
      </w:tr>
    </w:tbl>
    <w:p w14:paraId="086AB7E1" w14:textId="77777777" w:rsidR="009D12AF" w:rsidRDefault="00000000">
      <w:pPr>
        <w:ind w:firstLine="480"/>
      </w:pPr>
      <w:r>
        <w:rPr>
          <w:rFonts w:hint="eastAsia"/>
        </w:rPr>
        <w:t>建设项目施工废水为施工机械和车辆的清洗废水，经隔油沉淀池处理后，回用于洒水降尘，不外排；</w:t>
      </w:r>
      <w:r>
        <w:rPr>
          <w:rFonts w:ascii="宋体" w:eastAsia="宋体" w:hAnsi="宋体" w:cs="宋体" w:hint="eastAsia"/>
          <w:color w:val="000000"/>
          <w:kern w:val="0"/>
          <w:lang w:bidi="ar"/>
        </w:rPr>
        <w:t>渗滤水经三级沉淀、过滤、紫外线消毒</w:t>
      </w:r>
      <w:r>
        <w:rPr>
          <w:rFonts w:hint="eastAsia"/>
        </w:rPr>
        <w:t>处理后由牡丹江龙江环保水务有限公司定期拉运处理，处理后达到《城镇污水处理厂污染物综合排放标准》一级</w:t>
      </w:r>
      <w:r>
        <w:rPr>
          <w:rFonts w:hint="eastAsia"/>
        </w:rPr>
        <w:t>A</w:t>
      </w:r>
      <w:r>
        <w:rPr>
          <w:rFonts w:hint="eastAsia"/>
        </w:rPr>
        <w:t>标准排入斗银河，最终汇入海浪河；生活污水排入防渗旱厕，定期清掏外运堆肥，不外排。</w:t>
      </w:r>
    </w:p>
    <w:p w14:paraId="011CE64B" w14:textId="77777777" w:rsidR="009D12AF" w:rsidRDefault="00000000">
      <w:pPr>
        <w:ind w:firstLine="480"/>
      </w:pPr>
      <w:r>
        <w:t>综上所述，本项目地表水</w:t>
      </w:r>
      <w:r>
        <w:rPr>
          <w:rFonts w:hint="eastAsia"/>
        </w:rPr>
        <w:t>水污染影响型判定</w:t>
      </w:r>
      <w:r>
        <w:t>评价等级为三级</w:t>
      </w:r>
      <w:r>
        <w:t>B</w:t>
      </w:r>
      <w:r>
        <w:t>。</w:t>
      </w:r>
    </w:p>
    <w:p w14:paraId="4CBB7D86" w14:textId="77777777" w:rsidR="009D12AF" w:rsidRDefault="00000000">
      <w:pPr>
        <w:ind w:firstLine="480"/>
      </w:pPr>
      <w:r>
        <w:rPr>
          <w:rFonts w:hint="eastAsia"/>
        </w:rPr>
        <w:t>（</w:t>
      </w:r>
      <w:r>
        <w:rPr>
          <w:rFonts w:hint="eastAsia"/>
        </w:rPr>
        <w:t>2</w:t>
      </w:r>
      <w:r>
        <w:rPr>
          <w:rFonts w:hint="eastAsia"/>
        </w:rPr>
        <w:t>）评价范围</w:t>
      </w:r>
    </w:p>
    <w:p w14:paraId="4FCB52F3" w14:textId="77777777" w:rsidR="009D12AF" w:rsidRDefault="00000000">
      <w:pPr>
        <w:ind w:firstLine="480"/>
      </w:pPr>
      <w:r>
        <w:t>根据《环境影响评价技术导则</w:t>
      </w:r>
      <w:r>
        <w:t xml:space="preserve">  </w:t>
      </w:r>
      <w:r>
        <w:t>地表水环境》（</w:t>
      </w:r>
      <w:r>
        <w:rPr>
          <w:rFonts w:ascii="Times New Roman" w:hAnsi="Times New Roman" w:cs="Times New Roman"/>
        </w:rPr>
        <w:t>HJ2.3-2018</w:t>
      </w:r>
      <w:r>
        <w:t>），</w:t>
      </w:r>
      <w:r>
        <w:rPr>
          <w:rFonts w:hint="eastAsia"/>
        </w:rPr>
        <w:t>本项目评价范围为向阳水电站前池、长石水库、万丈水库、新安晒水池及群力水库整片库区，</w:t>
      </w:r>
      <w:r>
        <w:rPr>
          <w:rFonts w:ascii="Times New Roman" w:hAnsi="Times New Roman" w:cs="Times New Roman" w:hint="eastAsia"/>
          <w:color w:val="000000" w:themeColor="text1"/>
        </w:rPr>
        <w:t>群力水库评价范围为</w:t>
      </w:r>
      <w:r>
        <w:rPr>
          <w:rFonts w:ascii="Times New Roman" w:hAnsi="Times New Roman" w:cs="Times New Roman" w:hint="eastAsia"/>
          <w:color w:val="000000" w:themeColor="text1"/>
        </w:rPr>
        <w:t>105.68</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hint="eastAsia"/>
          <w:kern w:val="0"/>
        </w:rPr>
        <w:t>、长石水库评价范围为</w:t>
      </w:r>
      <w:r>
        <w:rPr>
          <w:rFonts w:ascii="Times New Roman" w:hAnsi="Times New Roman" w:cs="Times New Roman" w:hint="eastAsia"/>
          <w:color w:val="000000" w:themeColor="text1"/>
        </w:rPr>
        <w:t>12</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hint="eastAsia"/>
          <w:kern w:val="0"/>
        </w:rPr>
        <w:t>、万丈水库评价范</w:t>
      </w:r>
      <w:r>
        <w:rPr>
          <w:rFonts w:ascii="Times New Roman" w:eastAsia="宋体" w:hAnsi="Times New Roman" w:cs="Times New Roman" w:hint="eastAsia"/>
          <w:kern w:val="0"/>
        </w:rPr>
        <w:lastRenderedPageBreak/>
        <w:t>围为</w:t>
      </w:r>
      <w:r>
        <w:rPr>
          <w:rFonts w:ascii="Times New Roman" w:hAnsi="Times New Roman" w:cs="Times New Roman" w:hint="eastAsia"/>
          <w:color w:val="000000" w:themeColor="text1"/>
        </w:rPr>
        <w:t>30</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hint="eastAsia"/>
          <w:kern w:val="0"/>
        </w:rPr>
        <w:t>、向阳水电站前池评价范围为</w:t>
      </w:r>
      <w:r>
        <w:rPr>
          <w:rFonts w:ascii="Times New Roman" w:hAnsi="Times New Roman" w:cs="Times New Roman" w:hint="eastAsia"/>
          <w:color w:val="000000" w:themeColor="text1"/>
        </w:rPr>
        <w:t>16</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hint="eastAsia"/>
          <w:kern w:val="0"/>
        </w:rPr>
        <w:t>、新安晒水池评价范围为</w:t>
      </w:r>
      <w:r>
        <w:rPr>
          <w:rFonts w:ascii="Times New Roman" w:hAnsi="Times New Roman" w:cs="Times New Roman" w:hint="eastAsia"/>
          <w:color w:val="000000" w:themeColor="text1"/>
        </w:rPr>
        <w:t>36</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hAnsi="Times New Roman" w:cs="Times New Roman"/>
          <w:color w:val="000000" w:themeColor="text1"/>
        </w:rPr>
        <w:t>。</w:t>
      </w:r>
    </w:p>
    <w:p w14:paraId="463A0E57" w14:textId="77777777" w:rsidR="009D12AF" w:rsidRDefault="00000000">
      <w:pPr>
        <w:pStyle w:val="3"/>
      </w:pPr>
      <w:bookmarkStart w:id="77" w:name="_Toc18600"/>
      <w:bookmarkStart w:id="78" w:name="_Toc8471"/>
      <w:bookmarkStart w:id="79" w:name="_Toc18273"/>
      <w:bookmarkStart w:id="80" w:name="_Toc10407"/>
      <w:r>
        <w:rPr>
          <w:rFonts w:hint="eastAsia"/>
        </w:rPr>
        <w:t>2</w:t>
      </w:r>
      <w:r>
        <w:t>.</w:t>
      </w:r>
      <w:r>
        <w:rPr>
          <w:rFonts w:hint="eastAsia"/>
        </w:rPr>
        <w:t>5</w:t>
      </w:r>
      <w:r>
        <w:t xml:space="preserve">.3 </w:t>
      </w:r>
      <w:r>
        <w:t>声环境</w:t>
      </w:r>
      <w:bookmarkEnd w:id="77"/>
      <w:bookmarkEnd w:id="78"/>
      <w:bookmarkEnd w:id="79"/>
      <w:bookmarkEnd w:id="80"/>
    </w:p>
    <w:p w14:paraId="3C45062F" w14:textId="77777777" w:rsidR="009D12AF" w:rsidRDefault="00000000">
      <w:pPr>
        <w:ind w:firstLine="480"/>
      </w:pPr>
      <w:r>
        <w:rPr>
          <w:rFonts w:hint="eastAsia"/>
        </w:rPr>
        <w:t>（</w:t>
      </w:r>
      <w:r>
        <w:rPr>
          <w:rFonts w:hint="eastAsia"/>
        </w:rPr>
        <w:t>1</w:t>
      </w:r>
      <w:r>
        <w:rPr>
          <w:rFonts w:hint="eastAsia"/>
        </w:rPr>
        <w:t>）评价工作等级</w:t>
      </w:r>
    </w:p>
    <w:p w14:paraId="3F0B061A" w14:textId="77777777" w:rsidR="009D12AF" w:rsidRDefault="00000000">
      <w:pPr>
        <w:ind w:firstLine="480"/>
        <w:rPr>
          <w:rFonts w:ascii="Times New Roman" w:hAnsi="Times New Roman"/>
        </w:rPr>
      </w:pPr>
      <w:r>
        <w:rPr>
          <w:rFonts w:ascii="Times New Roman" w:hAnsi="Times New Roman"/>
        </w:rPr>
        <w:t>根据《环境影响评价技术导则</w:t>
      </w:r>
      <w:r>
        <w:rPr>
          <w:rFonts w:ascii="Times New Roman" w:hAnsi="Times New Roman"/>
        </w:rPr>
        <w:t xml:space="preserve">  </w:t>
      </w:r>
      <w:r>
        <w:rPr>
          <w:rFonts w:ascii="Times New Roman" w:hAnsi="Times New Roman"/>
        </w:rPr>
        <w:t>声环境》（</w:t>
      </w:r>
      <w:r>
        <w:rPr>
          <w:rFonts w:ascii="Times New Roman" w:hAnsi="Times New Roman"/>
        </w:rPr>
        <w:t>HJ 2.4—2021</w:t>
      </w:r>
      <w:r>
        <w:rPr>
          <w:rFonts w:ascii="Times New Roman" w:hAnsi="Times New Roman"/>
        </w:rPr>
        <w:t>）将声环境影响评价工作等级分为三级，划分依据见表</w:t>
      </w:r>
      <w:r>
        <w:rPr>
          <w:rFonts w:ascii="Times New Roman" w:hAnsi="Times New Roman"/>
        </w:rPr>
        <w:t>2.</w:t>
      </w:r>
      <w:r>
        <w:rPr>
          <w:rFonts w:ascii="Times New Roman" w:hAnsi="Times New Roman" w:hint="eastAsia"/>
        </w:rPr>
        <w:t>5</w:t>
      </w:r>
      <w:r>
        <w:rPr>
          <w:rFonts w:ascii="Times New Roman" w:hAnsi="Times New Roman"/>
        </w:rPr>
        <w:t>-</w:t>
      </w:r>
      <w:r>
        <w:rPr>
          <w:rFonts w:ascii="Times New Roman" w:hAnsi="Times New Roman" w:hint="eastAsia"/>
        </w:rPr>
        <w:t>3</w:t>
      </w:r>
      <w:r>
        <w:rPr>
          <w:rFonts w:ascii="Times New Roman" w:hAnsi="Times New Roman"/>
        </w:rPr>
        <w:t>。</w:t>
      </w:r>
    </w:p>
    <w:p w14:paraId="24F5E2CC" w14:textId="77777777" w:rsidR="009D12AF" w:rsidRDefault="00000000">
      <w:pPr>
        <w:ind w:firstLine="482"/>
        <w:jc w:val="center"/>
        <w:rPr>
          <w:rFonts w:ascii="黑体" w:eastAsia="黑体" w:hAnsi="黑体" w:cs="黑体" w:hint="eastAsia"/>
        </w:rPr>
      </w:pPr>
      <w:r>
        <w:rPr>
          <w:rFonts w:hint="eastAsia"/>
          <w:b/>
          <w:bCs/>
        </w:rPr>
        <w:t>表</w:t>
      </w:r>
      <w:r>
        <w:rPr>
          <w:rFonts w:hint="eastAsia"/>
          <w:b/>
          <w:bCs/>
        </w:rPr>
        <w:t xml:space="preserve">2.5-3 </w:t>
      </w:r>
      <w:r>
        <w:rPr>
          <w:rFonts w:hint="eastAsia"/>
          <w:b/>
          <w:bCs/>
        </w:rPr>
        <w:t>声环境评价工作等级划分（相关部分）</w:t>
      </w:r>
    </w:p>
    <w:tbl>
      <w:tblPr>
        <w:tblW w:w="5000" w:type="pct"/>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2797"/>
        <w:gridCol w:w="1909"/>
        <w:gridCol w:w="1909"/>
        <w:gridCol w:w="1907"/>
      </w:tblGrid>
      <w:tr w:rsidR="009D12AF" w14:paraId="67FBA6AF" w14:textId="77777777">
        <w:trPr>
          <w:jc w:val="center"/>
        </w:trPr>
        <w:tc>
          <w:tcPr>
            <w:tcW w:w="1641" w:type="pct"/>
            <w:vAlign w:val="center"/>
          </w:tcPr>
          <w:p w14:paraId="080A6D4D" w14:textId="77777777" w:rsidR="009D12AF" w:rsidRDefault="00000000">
            <w:pPr>
              <w:pStyle w:val="af7"/>
              <w:rPr>
                <w:rFonts w:ascii="Times New Roman" w:hAnsi="Times New Roman"/>
              </w:rPr>
            </w:pPr>
            <w:r>
              <w:rPr>
                <w:rFonts w:ascii="Times New Roman" w:hAnsi="Times New Roman"/>
              </w:rPr>
              <w:t>声环境评价工作等级</w:t>
            </w:r>
          </w:p>
        </w:tc>
        <w:tc>
          <w:tcPr>
            <w:tcW w:w="1120" w:type="pct"/>
            <w:vAlign w:val="center"/>
          </w:tcPr>
          <w:p w14:paraId="130FD780" w14:textId="77777777" w:rsidR="009D12AF" w:rsidRDefault="00000000">
            <w:pPr>
              <w:pStyle w:val="af7"/>
              <w:rPr>
                <w:rFonts w:ascii="Times New Roman" w:hAnsi="Times New Roman"/>
              </w:rPr>
            </w:pPr>
            <w:r>
              <w:rPr>
                <w:rFonts w:ascii="Times New Roman" w:hAnsi="Times New Roman"/>
              </w:rPr>
              <w:t>一级</w:t>
            </w:r>
          </w:p>
        </w:tc>
        <w:tc>
          <w:tcPr>
            <w:tcW w:w="1120" w:type="pct"/>
            <w:vAlign w:val="center"/>
          </w:tcPr>
          <w:p w14:paraId="61CB09A3" w14:textId="77777777" w:rsidR="009D12AF" w:rsidRDefault="00000000">
            <w:pPr>
              <w:pStyle w:val="af7"/>
              <w:rPr>
                <w:rFonts w:ascii="Times New Roman" w:hAnsi="Times New Roman"/>
              </w:rPr>
            </w:pPr>
            <w:r>
              <w:rPr>
                <w:rFonts w:ascii="Times New Roman" w:hAnsi="Times New Roman"/>
              </w:rPr>
              <w:t>二级</w:t>
            </w:r>
          </w:p>
        </w:tc>
        <w:tc>
          <w:tcPr>
            <w:tcW w:w="1119" w:type="pct"/>
            <w:vAlign w:val="center"/>
          </w:tcPr>
          <w:p w14:paraId="453D9EA3" w14:textId="77777777" w:rsidR="009D12AF" w:rsidRDefault="00000000">
            <w:pPr>
              <w:pStyle w:val="af7"/>
              <w:rPr>
                <w:rFonts w:ascii="Times New Roman" w:hAnsi="Times New Roman"/>
              </w:rPr>
            </w:pPr>
            <w:r>
              <w:rPr>
                <w:rFonts w:ascii="Times New Roman" w:hAnsi="Times New Roman"/>
              </w:rPr>
              <w:t>三级</w:t>
            </w:r>
          </w:p>
        </w:tc>
      </w:tr>
      <w:tr w:rsidR="009D12AF" w14:paraId="18013BEC" w14:textId="77777777">
        <w:trPr>
          <w:jc w:val="center"/>
        </w:trPr>
        <w:tc>
          <w:tcPr>
            <w:tcW w:w="1641" w:type="pct"/>
            <w:vAlign w:val="center"/>
          </w:tcPr>
          <w:p w14:paraId="3C366EC0" w14:textId="77777777" w:rsidR="009D12AF" w:rsidRDefault="00000000">
            <w:pPr>
              <w:pStyle w:val="af7"/>
              <w:rPr>
                <w:rFonts w:ascii="Times New Roman" w:hAnsi="Times New Roman"/>
              </w:rPr>
            </w:pPr>
            <w:r>
              <w:rPr>
                <w:rFonts w:ascii="Times New Roman" w:hAnsi="Times New Roman"/>
              </w:rPr>
              <w:t>建设项目所在区域的声环境功能区类别</w:t>
            </w:r>
          </w:p>
        </w:tc>
        <w:tc>
          <w:tcPr>
            <w:tcW w:w="1120" w:type="pct"/>
            <w:vAlign w:val="center"/>
          </w:tcPr>
          <w:p w14:paraId="0F439A2A" w14:textId="77777777" w:rsidR="009D12AF" w:rsidRDefault="00000000">
            <w:pPr>
              <w:pStyle w:val="af7"/>
              <w:rPr>
                <w:rFonts w:ascii="Times New Roman" w:hAnsi="Times New Roman"/>
              </w:rPr>
            </w:pPr>
            <w:r>
              <w:rPr>
                <w:rFonts w:ascii="Times New Roman" w:hAnsi="Times New Roman"/>
              </w:rPr>
              <w:t>GB3096</w:t>
            </w:r>
            <w:r>
              <w:rPr>
                <w:rFonts w:ascii="Times New Roman" w:hAnsi="Times New Roman"/>
              </w:rPr>
              <w:t>规定的</w:t>
            </w:r>
            <w:r>
              <w:rPr>
                <w:rFonts w:ascii="Times New Roman" w:hAnsi="Times New Roman"/>
              </w:rPr>
              <w:t>0</w:t>
            </w:r>
            <w:r>
              <w:rPr>
                <w:rFonts w:ascii="Times New Roman" w:hAnsi="Times New Roman"/>
              </w:rPr>
              <w:t>类声环境功能区域</w:t>
            </w:r>
          </w:p>
        </w:tc>
        <w:tc>
          <w:tcPr>
            <w:tcW w:w="1120" w:type="pct"/>
            <w:vAlign w:val="center"/>
          </w:tcPr>
          <w:p w14:paraId="2F7DEBA4" w14:textId="77777777" w:rsidR="009D12AF" w:rsidRDefault="00000000">
            <w:pPr>
              <w:pStyle w:val="af7"/>
              <w:rPr>
                <w:rFonts w:ascii="Times New Roman" w:hAnsi="Times New Roman"/>
              </w:rPr>
            </w:pPr>
            <w:r>
              <w:rPr>
                <w:rFonts w:ascii="Times New Roman" w:hAnsi="Times New Roman"/>
              </w:rPr>
              <w:t>GB3096</w:t>
            </w:r>
            <w:r>
              <w:rPr>
                <w:rFonts w:ascii="Times New Roman" w:hAnsi="Times New Roman"/>
              </w:rPr>
              <w:t>规定的</w:t>
            </w:r>
            <w:r>
              <w:rPr>
                <w:rFonts w:ascii="Times New Roman" w:hAnsi="Times New Roman"/>
              </w:rPr>
              <w:t>1</w:t>
            </w:r>
            <w:r>
              <w:rPr>
                <w:rFonts w:ascii="Times New Roman" w:hAnsi="Times New Roman"/>
              </w:rPr>
              <w:t>类、</w:t>
            </w:r>
            <w:r>
              <w:rPr>
                <w:rFonts w:ascii="Times New Roman" w:hAnsi="Times New Roman"/>
              </w:rPr>
              <w:t>2</w:t>
            </w:r>
            <w:r>
              <w:rPr>
                <w:rFonts w:ascii="Times New Roman" w:hAnsi="Times New Roman"/>
              </w:rPr>
              <w:t>类地区</w:t>
            </w:r>
          </w:p>
        </w:tc>
        <w:tc>
          <w:tcPr>
            <w:tcW w:w="1119" w:type="pct"/>
            <w:vAlign w:val="center"/>
          </w:tcPr>
          <w:p w14:paraId="0CC5B6C4" w14:textId="77777777" w:rsidR="009D12AF" w:rsidRDefault="00000000">
            <w:pPr>
              <w:pStyle w:val="af7"/>
              <w:rPr>
                <w:rFonts w:ascii="Times New Roman" w:hAnsi="Times New Roman"/>
              </w:rPr>
            </w:pPr>
            <w:r>
              <w:rPr>
                <w:rFonts w:ascii="Times New Roman" w:hAnsi="Times New Roman"/>
              </w:rPr>
              <w:t>GB3096</w:t>
            </w:r>
            <w:r>
              <w:rPr>
                <w:rFonts w:ascii="Times New Roman" w:hAnsi="Times New Roman"/>
              </w:rPr>
              <w:t>规定的</w:t>
            </w:r>
            <w:r>
              <w:rPr>
                <w:rFonts w:ascii="Times New Roman" w:hAnsi="Times New Roman"/>
              </w:rPr>
              <w:t>3</w:t>
            </w:r>
            <w:r>
              <w:rPr>
                <w:rFonts w:ascii="Times New Roman" w:hAnsi="Times New Roman"/>
              </w:rPr>
              <w:t>类、</w:t>
            </w:r>
            <w:r>
              <w:rPr>
                <w:rFonts w:ascii="Times New Roman" w:hAnsi="Times New Roman"/>
              </w:rPr>
              <w:t>4</w:t>
            </w:r>
            <w:r>
              <w:rPr>
                <w:rFonts w:ascii="Times New Roman" w:hAnsi="Times New Roman"/>
              </w:rPr>
              <w:t>类地区</w:t>
            </w:r>
          </w:p>
        </w:tc>
      </w:tr>
      <w:tr w:rsidR="009D12AF" w14:paraId="29D77A5B" w14:textId="77777777">
        <w:trPr>
          <w:trHeight w:val="502"/>
          <w:jc w:val="center"/>
        </w:trPr>
        <w:tc>
          <w:tcPr>
            <w:tcW w:w="1641" w:type="pct"/>
            <w:vAlign w:val="center"/>
          </w:tcPr>
          <w:p w14:paraId="0264817D" w14:textId="77777777" w:rsidR="009D12AF" w:rsidRDefault="00000000">
            <w:pPr>
              <w:pStyle w:val="af7"/>
              <w:rPr>
                <w:rFonts w:ascii="Times New Roman" w:hAnsi="Times New Roman"/>
              </w:rPr>
            </w:pPr>
            <w:r>
              <w:rPr>
                <w:rFonts w:ascii="Times New Roman" w:hAnsi="Times New Roman"/>
              </w:rPr>
              <w:t>建设项目建设前后所在区域的声环境质量变化程度</w:t>
            </w:r>
          </w:p>
        </w:tc>
        <w:tc>
          <w:tcPr>
            <w:tcW w:w="1120" w:type="pct"/>
            <w:vAlign w:val="center"/>
          </w:tcPr>
          <w:p w14:paraId="64C84717" w14:textId="77777777" w:rsidR="009D12AF" w:rsidRDefault="00000000">
            <w:pPr>
              <w:pStyle w:val="af7"/>
              <w:rPr>
                <w:rFonts w:ascii="Times New Roman" w:hAnsi="Times New Roman"/>
              </w:rPr>
            </w:pPr>
            <w:r>
              <w:rPr>
                <w:rFonts w:ascii="Times New Roman" w:hAnsi="Times New Roman"/>
              </w:rPr>
              <w:t>敏感目标噪声级增高量＞</w:t>
            </w:r>
            <w:r>
              <w:rPr>
                <w:rFonts w:ascii="Times New Roman" w:hAnsi="Times New Roman"/>
              </w:rPr>
              <w:t>5dB</w:t>
            </w:r>
            <w:r>
              <w:rPr>
                <w:rFonts w:ascii="Times New Roman" w:hAnsi="Times New Roman"/>
              </w:rPr>
              <w:t>（</w:t>
            </w:r>
            <w:r>
              <w:rPr>
                <w:rFonts w:ascii="Times New Roman" w:hAnsi="Times New Roman"/>
              </w:rPr>
              <w:t>A</w:t>
            </w:r>
            <w:r>
              <w:rPr>
                <w:rFonts w:ascii="Times New Roman" w:hAnsi="Times New Roman"/>
              </w:rPr>
              <w:t>）</w:t>
            </w:r>
          </w:p>
        </w:tc>
        <w:tc>
          <w:tcPr>
            <w:tcW w:w="1120" w:type="pct"/>
            <w:vAlign w:val="center"/>
          </w:tcPr>
          <w:p w14:paraId="725C1D6A" w14:textId="77777777" w:rsidR="009D12AF" w:rsidRDefault="00000000">
            <w:pPr>
              <w:pStyle w:val="af7"/>
              <w:rPr>
                <w:rFonts w:ascii="Times New Roman" w:hAnsi="Times New Roman"/>
              </w:rPr>
            </w:pPr>
            <w:r>
              <w:rPr>
                <w:rFonts w:ascii="Times New Roman" w:hAnsi="Times New Roman"/>
              </w:rPr>
              <w:t>敏感目标噪声级增高量达</w:t>
            </w:r>
            <w:r>
              <w:rPr>
                <w:rFonts w:ascii="Times New Roman" w:hAnsi="Times New Roman"/>
              </w:rPr>
              <w:t>3dB</w:t>
            </w:r>
            <w:r>
              <w:rPr>
                <w:rFonts w:ascii="Times New Roman" w:hAnsi="Times New Roman"/>
              </w:rPr>
              <w:t>（</w:t>
            </w:r>
            <w:r>
              <w:rPr>
                <w:rFonts w:ascii="Times New Roman" w:hAnsi="Times New Roman"/>
              </w:rPr>
              <w:t>A</w:t>
            </w:r>
            <w:r>
              <w:rPr>
                <w:rFonts w:ascii="Times New Roman" w:hAnsi="Times New Roman"/>
              </w:rPr>
              <w:t>）～</w:t>
            </w:r>
            <w:r>
              <w:rPr>
                <w:rFonts w:ascii="Times New Roman" w:hAnsi="Times New Roman"/>
              </w:rPr>
              <w:t>5dB</w:t>
            </w:r>
            <w:r>
              <w:rPr>
                <w:rFonts w:ascii="Times New Roman" w:hAnsi="Times New Roman"/>
              </w:rPr>
              <w:t>（</w:t>
            </w:r>
            <w:r>
              <w:rPr>
                <w:rFonts w:ascii="Times New Roman" w:hAnsi="Times New Roman"/>
              </w:rPr>
              <w:t>A</w:t>
            </w:r>
            <w:r>
              <w:rPr>
                <w:rFonts w:ascii="Times New Roman" w:hAnsi="Times New Roman"/>
              </w:rPr>
              <w:t>）</w:t>
            </w:r>
          </w:p>
        </w:tc>
        <w:tc>
          <w:tcPr>
            <w:tcW w:w="1119" w:type="pct"/>
            <w:vAlign w:val="center"/>
          </w:tcPr>
          <w:p w14:paraId="52E1571B" w14:textId="77777777" w:rsidR="009D12AF" w:rsidRDefault="00000000">
            <w:pPr>
              <w:pStyle w:val="af7"/>
              <w:rPr>
                <w:rFonts w:ascii="Times New Roman" w:hAnsi="Times New Roman"/>
              </w:rPr>
            </w:pPr>
            <w:r>
              <w:rPr>
                <w:rFonts w:ascii="Times New Roman" w:hAnsi="Times New Roman"/>
              </w:rPr>
              <w:t>敏感目标噪声级增高量＜</w:t>
            </w:r>
            <w:r>
              <w:rPr>
                <w:rFonts w:ascii="Times New Roman" w:hAnsi="Times New Roman"/>
              </w:rPr>
              <w:t>3dB</w:t>
            </w:r>
            <w:r>
              <w:rPr>
                <w:rFonts w:ascii="Times New Roman" w:hAnsi="Times New Roman"/>
              </w:rPr>
              <w:t>（</w:t>
            </w:r>
            <w:r>
              <w:rPr>
                <w:rFonts w:ascii="Times New Roman" w:hAnsi="Times New Roman"/>
              </w:rPr>
              <w:t>A</w:t>
            </w:r>
            <w:r>
              <w:rPr>
                <w:rFonts w:ascii="Times New Roman" w:hAnsi="Times New Roman"/>
              </w:rPr>
              <w:t>）</w:t>
            </w:r>
          </w:p>
        </w:tc>
      </w:tr>
      <w:tr w:rsidR="009D12AF" w14:paraId="319E028B" w14:textId="77777777">
        <w:trPr>
          <w:trHeight w:val="40"/>
          <w:jc w:val="center"/>
        </w:trPr>
        <w:tc>
          <w:tcPr>
            <w:tcW w:w="1641" w:type="pct"/>
            <w:vAlign w:val="center"/>
          </w:tcPr>
          <w:p w14:paraId="4A7DBCD7" w14:textId="77777777" w:rsidR="009D12AF" w:rsidRDefault="00000000">
            <w:pPr>
              <w:pStyle w:val="af7"/>
              <w:rPr>
                <w:rFonts w:ascii="Times New Roman" w:hAnsi="Times New Roman"/>
              </w:rPr>
            </w:pPr>
            <w:r>
              <w:rPr>
                <w:rFonts w:ascii="Times New Roman" w:hAnsi="Times New Roman"/>
              </w:rPr>
              <w:t>受建设项目影响人口的数量</w:t>
            </w:r>
          </w:p>
        </w:tc>
        <w:tc>
          <w:tcPr>
            <w:tcW w:w="1120" w:type="pct"/>
            <w:vAlign w:val="center"/>
          </w:tcPr>
          <w:p w14:paraId="54C25E65" w14:textId="77777777" w:rsidR="009D12AF" w:rsidRDefault="00000000">
            <w:pPr>
              <w:pStyle w:val="af7"/>
              <w:rPr>
                <w:rFonts w:ascii="Times New Roman" w:hAnsi="Times New Roman"/>
              </w:rPr>
            </w:pPr>
            <w:r>
              <w:rPr>
                <w:rFonts w:ascii="Times New Roman" w:hAnsi="Times New Roman"/>
              </w:rPr>
              <w:t>显著增多</w:t>
            </w:r>
          </w:p>
        </w:tc>
        <w:tc>
          <w:tcPr>
            <w:tcW w:w="1120" w:type="pct"/>
            <w:vAlign w:val="center"/>
          </w:tcPr>
          <w:p w14:paraId="3FAC1DCF" w14:textId="77777777" w:rsidR="009D12AF" w:rsidRDefault="00000000">
            <w:pPr>
              <w:pStyle w:val="af7"/>
              <w:rPr>
                <w:rFonts w:ascii="Times New Roman" w:hAnsi="Times New Roman"/>
              </w:rPr>
            </w:pPr>
            <w:r>
              <w:rPr>
                <w:rFonts w:ascii="Times New Roman" w:hAnsi="Times New Roman"/>
              </w:rPr>
              <w:t>增加较多</w:t>
            </w:r>
          </w:p>
        </w:tc>
        <w:tc>
          <w:tcPr>
            <w:tcW w:w="1119" w:type="pct"/>
            <w:vAlign w:val="center"/>
          </w:tcPr>
          <w:p w14:paraId="4900753A" w14:textId="77777777" w:rsidR="009D12AF" w:rsidRDefault="00000000">
            <w:pPr>
              <w:pStyle w:val="af7"/>
              <w:rPr>
                <w:rFonts w:ascii="Times New Roman" w:hAnsi="Times New Roman"/>
              </w:rPr>
            </w:pPr>
            <w:r>
              <w:rPr>
                <w:rFonts w:ascii="Times New Roman" w:hAnsi="Times New Roman"/>
              </w:rPr>
              <w:t>变化不大</w:t>
            </w:r>
          </w:p>
        </w:tc>
      </w:tr>
    </w:tbl>
    <w:p w14:paraId="15D46B7C" w14:textId="77777777" w:rsidR="009D12AF" w:rsidRDefault="00000000">
      <w:pPr>
        <w:ind w:firstLine="480"/>
        <w:rPr>
          <w:rFonts w:ascii="Times New Roman" w:hAnsi="Times New Roman"/>
        </w:rPr>
      </w:pPr>
      <w:r>
        <w:rPr>
          <w:rFonts w:ascii="Times New Roman" w:hAnsi="Times New Roman"/>
        </w:rPr>
        <w:t>本工程具体情况为：本项目处于《声环境质量标准》</w:t>
      </w:r>
      <w:r>
        <w:rPr>
          <w:rFonts w:ascii="Times New Roman" w:hAnsi="Times New Roman"/>
        </w:rPr>
        <w:t>(GB3096-2008)</w:t>
      </w:r>
      <w:r>
        <w:rPr>
          <w:rFonts w:ascii="Times New Roman" w:hAnsi="Times New Roman"/>
        </w:rPr>
        <w:t>中</w:t>
      </w:r>
      <w:r>
        <w:rPr>
          <w:rFonts w:ascii="Times New Roman" w:hAnsi="Times New Roman" w:hint="eastAsia"/>
        </w:rPr>
        <w:t>1</w:t>
      </w:r>
      <w:r>
        <w:rPr>
          <w:rFonts w:ascii="Times New Roman" w:hAnsi="Times New Roman"/>
        </w:rPr>
        <w:t>类区，敏感目标噪声级增高量达</w:t>
      </w:r>
      <w:r>
        <w:rPr>
          <w:rFonts w:ascii="Times New Roman" w:hAnsi="Times New Roman"/>
        </w:rPr>
        <w:t>3dB</w:t>
      </w:r>
      <w:r>
        <w:rPr>
          <w:rFonts w:ascii="Times New Roman" w:hAnsi="Times New Roman"/>
        </w:rPr>
        <w:t>（</w:t>
      </w:r>
      <w:r>
        <w:rPr>
          <w:rFonts w:ascii="Times New Roman" w:hAnsi="Times New Roman"/>
        </w:rPr>
        <w:t>A</w:t>
      </w:r>
      <w:r>
        <w:rPr>
          <w:rFonts w:ascii="Times New Roman" w:hAnsi="Times New Roman"/>
        </w:rPr>
        <w:t>）～</w:t>
      </w:r>
      <w:r>
        <w:rPr>
          <w:rFonts w:ascii="Times New Roman" w:hAnsi="Times New Roman"/>
        </w:rPr>
        <w:t>5dB</w:t>
      </w:r>
      <w:r>
        <w:rPr>
          <w:rFonts w:ascii="Times New Roman" w:hAnsi="Times New Roman"/>
        </w:rPr>
        <w:t>（</w:t>
      </w:r>
      <w:r>
        <w:rPr>
          <w:rFonts w:ascii="Times New Roman" w:hAnsi="Times New Roman"/>
        </w:rPr>
        <w:t>A</w:t>
      </w:r>
      <w:r>
        <w:rPr>
          <w:rFonts w:ascii="Times New Roman" w:hAnsi="Times New Roman"/>
        </w:rPr>
        <w:t>），</w:t>
      </w:r>
      <w:r>
        <w:rPr>
          <w:rFonts w:ascii="Times New Roman" w:hAnsi="Times New Roman" w:hint="eastAsia"/>
        </w:rPr>
        <w:t>本项目建设后，距厂界距离</w:t>
      </w:r>
      <w:r>
        <w:rPr>
          <w:rFonts w:ascii="Times New Roman" w:hAnsi="Times New Roman" w:hint="eastAsia"/>
        </w:rPr>
        <w:t>200m</w:t>
      </w:r>
      <w:r>
        <w:rPr>
          <w:rFonts w:ascii="Times New Roman" w:hAnsi="Times New Roman" w:hint="eastAsia"/>
        </w:rPr>
        <w:t>范围内，受建设项目影响新增人口的数量变化不大。</w:t>
      </w:r>
      <w:r>
        <w:rPr>
          <w:rFonts w:ascii="Times New Roman" w:hAnsi="Times New Roman"/>
        </w:rPr>
        <w:t>对照上表，确定本次声环境评价等级为</w:t>
      </w:r>
      <w:r>
        <w:rPr>
          <w:rFonts w:ascii="Times New Roman" w:hAnsi="Times New Roman" w:hint="eastAsia"/>
        </w:rPr>
        <w:t>二</w:t>
      </w:r>
      <w:r>
        <w:rPr>
          <w:rFonts w:ascii="Times New Roman" w:hAnsi="Times New Roman"/>
        </w:rPr>
        <w:t>级。</w:t>
      </w:r>
    </w:p>
    <w:p w14:paraId="112C377C" w14:textId="77777777" w:rsidR="009D12AF" w:rsidRDefault="00000000">
      <w:pPr>
        <w:ind w:firstLine="480"/>
        <w:rPr>
          <w:rFonts w:ascii="Times New Roman" w:hAnsi="Times New Roman"/>
        </w:rPr>
      </w:pPr>
      <w:r>
        <w:rPr>
          <w:rFonts w:ascii="Times New Roman" w:hAnsi="Times New Roman"/>
        </w:rPr>
        <w:t>（</w:t>
      </w:r>
      <w:r>
        <w:rPr>
          <w:rFonts w:ascii="Times New Roman" w:hAnsi="Times New Roman"/>
        </w:rPr>
        <w:t>2</w:t>
      </w:r>
      <w:r>
        <w:rPr>
          <w:rFonts w:ascii="Times New Roman" w:hAnsi="Times New Roman"/>
        </w:rPr>
        <w:t>）评价范围</w:t>
      </w:r>
    </w:p>
    <w:p w14:paraId="685955CE" w14:textId="77777777" w:rsidR="009D12AF" w:rsidRDefault="00000000">
      <w:pPr>
        <w:ind w:firstLine="480"/>
      </w:pPr>
      <w:r>
        <w:rPr>
          <w:rFonts w:ascii="Times New Roman" w:hAnsi="Times New Roman"/>
        </w:rPr>
        <w:t>根据《环境影响评价技术导则</w:t>
      </w:r>
      <w:r>
        <w:rPr>
          <w:rFonts w:ascii="Times New Roman" w:hAnsi="Times New Roman"/>
        </w:rPr>
        <w:t xml:space="preserve">  </w:t>
      </w:r>
      <w:r>
        <w:rPr>
          <w:rFonts w:ascii="Times New Roman" w:hAnsi="Times New Roman"/>
        </w:rPr>
        <w:t>声环境》（</w:t>
      </w:r>
      <w:r>
        <w:rPr>
          <w:rFonts w:ascii="Times New Roman" w:hAnsi="Times New Roman"/>
        </w:rPr>
        <w:t>HJ 2.4—2021</w:t>
      </w:r>
      <w:r>
        <w:rPr>
          <w:rFonts w:ascii="Times New Roman" w:hAnsi="Times New Roman"/>
        </w:rPr>
        <w:t>）中关于噪声环境影响评价范围的确定原则，本评价噪声评价范围厂界外</w:t>
      </w:r>
      <w:r>
        <w:rPr>
          <w:rFonts w:ascii="Times New Roman" w:hAnsi="Times New Roman"/>
        </w:rPr>
        <w:t>200m</w:t>
      </w:r>
      <w:r>
        <w:rPr>
          <w:rFonts w:ascii="Times New Roman" w:hAnsi="Times New Roman"/>
        </w:rPr>
        <w:t>。</w:t>
      </w:r>
    </w:p>
    <w:p w14:paraId="463D9DCC" w14:textId="77777777" w:rsidR="009D12AF" w:rsidRDefault="00000000">
      <w:pPr>
        <w:pStyle w:val="3"/>
      </w:pPr>
      <w:bookmarkStart w:id="81" w:name="_Toc12553"/>
      <w:bookmarkStart w:id="82" w:name="_Toc24076"/>
      <w:bookmarkStart w:id="83" w:name="_Toc13242"/>
      <w:bookmarkStart w:id="84" w:name="_Toc10919"/>
      <w:r>
        <w:rPr>
          <w:rFonts w:hint="eastAsia"/>
        </w:rPr>
        <w:t>2</w:t>
      </w:r>
      <w:r>
        <w:t>.</w:t>
      </w:r>
      <w:r>
        <w:rPr>
          <w:rFonts w:hint="eastAsia"/>
        </w:rPr>
        <w:t>5</w:t>
      </w:r>
      <w:r>
        <w:t xml:space="preserve">.4 </w:t>
      </w:r>
      <w:r>
        <w:t>地下水环境</w:t>
      </w:r>
      <w:bookmarkEnd w:id="81"/>
      <w:bookmarkEnd w:id="82"/>
      <w:bookmarkEnd w:id="83"/>
      <w:bookmarkEnd w:id="84"/>
    </w:p>
    <w:p w14:paraId="44DB6C68" w14:textId="77777777" w:rsidR="009D12AF" w:rsidRDefault="00000000">
      <w:pPr>
        <w:ind w:firstLine="480"/>
      </w:pPr>
      <w:r>
        <w:rPr>
          <w:rFonts w:hint="eastAsia"/>
        </w:rPr>
        <w:t>（</w:t>
      </w:r>
      <w:r>
        <w:rPr>
          <w:rFonts w:hint="eastAsia"/>
        </w:rPr>
        <w:t>1</w:t>
      </w:r>
      <w:r>
        <w:rPr>
          <w:rFonts w:hint="eastAsia"/>
        </w:rPr>
        <w:t>）</w:t>
      </w:r>
      <w:r>
        <w:t>项目类别</w:t>
      </w:r>
    </w:p>
    <w:p w14:paraId="30DAAEB2" w14:textId="77777777" w:rsidR="009D12AF" w:rsidRDefault="00000000">
      <w:pPr>
        <w:ind w:firstLine="480"/>
      </w:pPr>
      <w:r>
        <w:t>根据《环境影响评价技术导则</w:t>
      </w:r>
      <w:r>
        <w:rPr>
          <w:rFonts w:hint="eastAsia"/>
        </w:rPr>
        <w:t xml:space="preserve"> </w:t>
      </w:r>
      <w:r>
        <w:t>地下水环境》（</w:t>
      </w:r>
      <w:r>
        <w:t>HJ610-2016</w:t>
      </w:r>
      <w:r>
        <w:t>）附录</w:t>
      </w:r>
      <w:r>
        <w:t>A-</w:t>
      </w:r>
      <w:r>
        <w:t>地下水环境影响评价行业分类表可知，</w:t>
      </w:r>
      <w:r>
        <w:rPr>
          <w:rFonts w:hint="eastAsia"/>
        </w:rPr>
        <w:t>群力水库、向阳水电站前池</w:t>
      </w:r>
      <w:r>
        <w:t>清淤工程属于</w:t>
      </w:r>
      <w:r>
        <w:t>“A</w:t>
      </w:r>
      <w:r>
        <w:t>水利</w:t>
      </w:r>
      <w:r>
        <w:t>”</w:t>
      </w:r>
      <w:r>
        <w:t>中的</w:t>
      </w:r>
      <w:r>
        <w:t>5</w:t>
      </w:r>
      <w:r>
        <w:t>河湖整治工程中的涉及环境敏感区，属于地下水</w:t>
      </w:r>
      <w:r>
        <w:rPr>
          <w:rFonts w:ascii="Times New Roman" w:eastAsia="微软雅黑" w:hAnsi="Times New Roman" w:cs="Times New Roman"/>
        </w:rPr>
        <w:t>Ⅲ</w:t>
      </w:r>
      <w:r>
        <w:t>类项目；</w:t>
      </w:r>
      <w:r>
        <w:rPr>
          <w:rFonts w:hint="eastAsia"/>
        </w:rPr>
        <w:t>长石水库、万丈水库、新安晒水池均不涉及环境敏感区，属于地下水</w:t>
      </w:r>
      <w:r>
        <w:rPr>
          <w:rFonts w:ascii="Times New Roman" w:eastAsia="微软雅黑" w:hAnsi="Times New Roman" w:cs="Times New Roman"/>
        </w:rPr>
        <w:t>Ⅳ</w:t>
      </w:r>
      <w:r>
        <w:rPr>
          <w:rFonts w:hint="eastAsia"/>
        </w:rPr>
        <w:t>类项目。</w:t>
      </w:r>
    </w:p>
    <w:p w14:paraId="506C9F21" w14:textId="77777777" w:rsidR="009D12AF" w:rsidRDefault="00000000">
      <w:pPr>
        <w:ind w:firstLine="480"/>
      </w:pPr>
      <w:r>
        <w:rPr>
          <w:rFonts w:hint="eastAsia"/>
        </w:rPr>
        <w:t>②环境敏感程度</w:t>
      </w:r>
    </w:p>
    <w:p w14:paraId="7221A53A" w14:textId="77777777" w:rsidR="009D12AF" w:rsidRDefault="00000000">
      <w:pPr>
        <w:ind w:firstLine="480"/>
      </w:pPr>
      <w:r>
        <w:rPr>
          <w:rFonts w:hint="eastAsia"/>
        </w:rPr>
        <w:t>群力水库项目建设周边无开采特殊地下水资源（矿泉水、地热等）。地下水</w:t>
      </w:r>
      <w:r>
        <w:rPr>
          <w:rFonts w:hint="eastAsia"/>
        </w:rPr>
        <w:lastRenderedPageBreak/>
        <w:t>流向为西南至东北流向。</w:t>
      </w:r>
      <w:r>
        <w:rPr>
          <w:rFonts w:eastAsia="宋体"/>
        </w:rPr>
        <w:t>本项目评价区域内不属于集中式饮用水水源（包括已建成的在用、备用、应急水源，在建和规划的饮用水水源）准保护区；不属于除集中式饮用水水源以外的国家或地方政府设定的与地下水环境相关的其他保护区，如热水、矿泉水、温泉等特殊地下水资源保护区；不属于集中式饮用水水源（包括已建成的在用、备用、应急水源，在建和规划的饮用水水源）准保护区以外的补给径流区；不属于未划定准保护区的集中水式饮用水水源，其保护区以外的补给径流区；不属于分散式饮用水水源地；不属于特殊地下水资源（如矿泉水、温泉等）保护区以外的分布区等其他未列入上述敏感分级的环境敏感区。因此项目所在地地下水环境敏感特征为</w:t>
      </w:r>
      <w:r>
        <w:rPr>
          <w:rFonts w:eastAsia="宋体"/>
        </w:rPr>
        <w:t>“</w:t>
      </w:r>
      <w:r>
        <w:rPr>
          <w:rFonts w:eastAsia="宋体"/>
        </w:rPr>
        <w:t>不敏感</w:t>
      </w:r>
      <w:r>
        <w:rPr>
          <w:rFonts w:eastAsia="宋体"/>
        </w:rPr>
        <w:t>”</w:t>
      </w:r>
      <w:r>
        <w:rPr>
          <w:rFonts w:hint="eastAsia"/>
        </w:rPr>
        <w:t>；地下水流向为西南至东北流向。</w:t>
      </w:r>
    </w:p>
    <w:p w14:paraId="0FCCA606" w14:textId="77777777" w:rsidR="009D12AF" w:rsidRDefault="00000000">
      <w:pPr>
        <w:ind w:firstLine="482"/>
        <w:jc w:val="center"/>
      </w:pPr>
      <w:r>
        <w:rPr>
          <w:rFonts w:hint="eastAsia"/>
          <w:b/>
          <w:bCs/>
        </w:rPr>
        <w:t>表</w:t>
      </w:r>
      <w:r>
        <w:rPr>
          <w:rFonts w:hint="eastAsia"/>
          <w:b/>
          <w:bCs/>
        </w:rPr>
        <w:t xml:space="preserve"> 2.5-4 </w:t>
      </w:r>
      <w:r>
        <w:rPr>
          <w:rFonts w:hint="eastAsia"/>
          <w:b/>
          <w:bCs/>
        </w:rPr>
        <w:t>地下水环境影响评价工作等级划分依据表</w:t>
      </w:r>
    </w:p>
    <w:tbl>
      <w:tblPr>
        <w:tblW w:w="4998" w:type="pct"/>
        <w:jc w:val="center"/>
        <w:tblBorders>
          <w:top w:val="single" w:sz="12" w:space="0" w:color="auto"/>
          <w:bottom w:val="single" w:sz="12"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815"/>
        <w:gridCol w:w="1324"/>
        <w:gridCol w:w="1531"/>
        <w:gridCol w:w="1653"/>
      </w:tblGrid>
      <w:tr w:rsidR="009D12AF" w14:paraId="01278081" w14:textId="77777777">
        <w:trPr>
          <w:trHeight w:hRule="exact" w:val="581"/>
          <w:jc w:val="center"/>
        </w:trPr>
        <w:tc>
          <w:tcPr>
            <w:tcW w:w="2290" w:type="pct"/>
            <w:tcBorders>
              <w:tl2br w:val="nil"/>
              <w:tr2bl w:val="nil"/>
            </w:tcBorders>
            <w:vAlign w:val="bottom"/>
          </w:tcPr>
          <w:p w14:paraId="3909E2B6" w14:textId="77777777" w:rsidR="009D12AF" w:rsidRDefault="00000000">
            <w:pPr>
              <w:pStyle w:val="af7"/>
              <w:rPr>
                <w:rFonts w:ascii="宋体" w:eastAsia="宋体" w:hAnsi="宋体" w:cs="宋体" w:hint="eastAsia"/>
              </w:rPr>
            </w:pPr>
            <w:r>
              <w:rPr>
                <w:rFonts w:ascii="宋体" w:eastAsia="宋体" w:hAnsi="宋体" w:cs="宋体" w:hint="eastAsia"/>
              </w:rPr>
              <w:t>项目类别 环境敏感程度</w:t>
            </w:r>
          </w:p>
        </w:tc>
        <w:tc>
          <w:tcPr>
            <w:tcW w:w="795" w:type="pct"/>
            <w:tcBorders>
              <w:tl2br w:val="nil"/>
              <w:tr2bl w:val="nil"/>
            </w:tcBorders>
            <w:vAlign w:val="center"/>
          </w:tcPr>
          <w:p w14:paraId="4B4B323D" w14:textId="77777777" w:rsidR="009D12AF" w:rsidRDefault="00000000">
            <w:pPr>
              <w:pStyle w:val="af7"/>
              <w:rPr>
                <w:rFonts w:ascii="宋体" w:eastAsia="宋体" w:hAnsi="宋体" w:cs="宋体" w:hint="eastAsia"/>
              </w:rPr>
            </w:pPr>
            <w:r>
              <w:rPr>
                <w:rFonts w:ascii="宋体" w:eastAsia="宋体" w:hAnsi="宋体" w:cs="宋体" w:hint="eastAsia"/>
              </w:rPr>
              <w:t>I类项目</w:t>
            </w:r>
          </w:p>
        </w:tc>
        <w:tc>
          <w:tcPr>
            <w:tcW w:w="920" w:type="pct"/>
            <w:tcBorders>
              <w:tl2br w:val="nil"/>
              <w:tr2bl w:val="nil"/>
            </w:tcBorders>
            <w:vAlign w:val="center"/>
          </w:tcPr>
          <w:p w14:paraId="1ED32B00" w14:textId="77777777" w:rsidR="009D12AF" w:rsidRDefault="00000000">
            <w:pPr>
              <w:pStyle w:val="af7"/>
              <w:rPr>
                <w:rFonts w:ascii="宋体" w:eastAsia="宋体" w:hAnsi="宋体" w:cs="宋体" w:hint="eastAsia"/>
              </w:rPr>
            </w:pPr>
            <w:r>
              <w:rPr>
                <w:rFonts w:ascii="宋体" w:eastAsia="宋体" w:hAnsi="宋体" w:cs="宋体" w:hint="eastAsia"/>
                <w:lang w:eastAsia="en-US"/>
              </w:rPr>
              <w:t xml:space="preserve">II </w:t>
            </w:r>
            <w:r>
              <w:rPr>
                <w:rFonts w:ascii="宋体" w:eastAsia="宋体" w:hAnsi="宋体" w:cs="宋体" w:hint="eastAsia"/>
              </w:rPr>
              <w:t>类项目</w:t>
            </w:r>
          </w:p>
        </w:tc>
        <w:tc>
          <w:tcPr>
            <w:tcW w:w="993" w:type="pct"/>
            <w:tcBorders>
              <w:tl2br w:val="nil"/>
              <w:tr2bl w:val="nil"/>
            </w:tcBorders>
            <w:vAlign w:val="center"/>
          </w:tcPr>
          <w:p w14:paraId="26255480" w14:textId="77777777" w:rsidR="009D12AF" w:rsidRDefault="00000000">
            <w:pPr>
              <w:pStyle w:val="af7"/>
              <w:rPr>
                <w:rFonts w:ascii="宋体" w:eastAsia="宋体" w:hAnsi="宋体" w:cs="宋体" w:hint="eastAsia"/>
              </w:rPr>
            </w:pPr>
            <w:r>
              <w:rPr>
                <w:rFonts w:ascii="宋体" w:eastAsia="宋体" w:hAnsi="宋体" w:cs="宋体" w:hint="eastAsia"/>
                <w:lang w:eastAsia="en-US"/>
              </w:rPr>
              <w:t xml:space="preserve">III </w:t>
            </w:r>
            <w:r>
              <w:rPr>
                <w:rFonts w:ascii="宋体" w:eastAsia="宋体" w:hAnsi="宋体" w:cs="宋体" w:hint="eastAsia"/>
              </w:rPr>
              <w:t>类项目</w:t>
            </w:r>
          </w:p>
        </w:tc>
      </w:tr>
      <w:tr w:rsidR="009D12AF" w14:paraId="2D22C3C1" w14:textId="77777777">
        <w:trPr>
          <w:trHeight w:hRule="exact" w:val="283"/>
          <w:jc w:val="center"/>
        </w:trPr>
        <w:tc>
          <w:tcPr>
            <w:tcW w:w="2290" w:type="pct"/>
            <w:tcBorders>
              <w:tl2br w:val="nil"/>
              <w:tr2bl w:val="nil"/>
            </w:tcBorders>
            <w:vAlign w:val="center"/>
          </w:tcPr>
          <w:p w14:paraId="63798BB5" w14:textId="77777777" w:rsidR="009D12AF" w:rsidRDefault="00000000">
            <w:pPr>
              <w:pStyle w:val="af7"/>
              <w:rPr>
                <w:rFonts w:ascii="宋体" w:eastAsia="宋体" w:hAnsi="宋体" w:cs="宋体" w:hint="eastAsia"/>
              </w:rPr>
            </w:pPr>
            <w:r>
              <w:rPr>
                <w:rFonts w:ascii="宋体" w:eastAsia="宋体" w:hAnsi="宋体" w:cs="宋体" w:hint="eastAsia"/>
              </w:rPr>
              <w:t>敏感</w:t>
            </w:r>
          </w:p>
        </w:tc>
        <w:tc>
          <w:tcPr>
            <w:tcW w:w="795" w:type="pct"/>
            <w:tcBorders>
              <w:tl2br w:val="nil"/>
              <w:tr2bl w:val="nil"/>
            </w:tcBorders>
            <w:vAlign w:val="center"/>
          </w:tcPr>
          <w:p w14:paraId="48F19D75" w14:textId="77777777" w:rsidR="009D12AF" w:rsidRDefault="00000000">
            <w:pPr>
              <w:pStyle w:val="af7"/>
              <w:rPr>
                <w:rFonts w:ascii="宋体" w:eastAsia="宋体" w:hAnsi="宋体" w:cs="宋体" w:hint="eastAsia"/>
              </w:rPr>
            </w:pPr>
            <w:r>
              <w:rPr>
                <w:rFonts w:ascii="宋体" w:eastAsia="宋体" w:hAnsi="宋体" w:cs="宋体" w:hint="eastAsia"/>
              </w:rPr>
              <w:t>一</w:t>
            </w:r>
          </w:p>
        </w:tc>
        <w:tc>
          <w:tcPr>
            <w:tcW w:w="920" w:type="pct"/>
            <w:tcBorders>
              <w:tl2br w:val="nil"/>
              <w:tr2bl w:val="nil"/>
            </w:tcBorders>
            <w:vAlign w:val="center"/>
          </w:tcPr>
          <w:p w14:paraId="78327CB9" w14:textId="77777777" w:rsidR="009D12AF" w:rsidRDefault="00000000">
            <w:pPr>
              <w:pStyle w:val="af7"/>
              <w:rPr>
                <w:rFonts w:ascii="宋体" w:eastAsia="宋体" w:hAnsi="宋体" w:cs="宋体" w:hint="eastAsia"/>
              </w:rPr>
            </w:pPr>
            <w:r>
              <w:rPr>
                <w:rFonts w:ascii="宋体" w:eastAsia="宋体" w:hAnsi="宋体" w:cs="宋体" w:hint="eastAsia"/>
              </w:rPr>
              <w:t>一</w:t>
            </w:r>
          </w:p>
        </w:tc>
        <w:tc>
          <w:tcPr>
            <w:tcW w:w="993" w:type="pct"/>
            <w:tcBorders>
              <w:tl2br w:val="nil"/>
              <w:tr2bl w:val="nil"/>
            </w:tcBorders>
            <w:vAlign w:val="center"/>
          </w:tcPr>
          <w:p w14:paraId="43E7C2A3" w14:textId="77777777" w:rsidR="009D12AF" w:rsidRDefault="00000000">
            <w:pPr>
              <w:pStyle w:val="af7"/>
              <w:rPr>
                <w:rFonts w:ascii="宋体" w:eastAsia="宋体" w:hAnsi="宋体" w:cs="宋体" w:hint="eastAsia"/>
              </w:rPr>
            </w:pPr>
            <w:r>
              <w:rPr>
                <w:rFonts w:ascii="宋体" w:eastAsia="宋体" w:hAnsi="宋体" w:cs="宋体" w:hint="eastAsia"/>
              </w:rPr>
              <w:t>二</w:t>
            </w:r>
          </w:p>
        </w:tc>
      </w:tr>
      <w:tr w:rsidR="009D12AF" w14:paraId="20345F9A" w14:textId="77777777">
        <w:trPr>
          <w:trHeight w:hRule="exact" w:val="283"/>
          <w:jc w:val="center"/>
        </w:trPr>
        <w:tc>
          <w:tcPr>
            <w:tcW w:w="2290" w:type="pct"/>
            <w:tcBorders>
              <w:tl2br w:val="nil"/>
              <w:tr2bl w:val="nil"/>
            </w:tcBorders>
          </w:tcPr>
          <w:p w14:paraId="29BC831B" w14:textId="77777777" w:rsidR="009D12AF" w:rsidRDefault="00000000">
            <w:pPr>
              <w:pStyle w:val="af7"/>
              <w:rPr>
                <w:rFonts w:ascii="宋体" w:eastAsia="宋体" w:hAnsi="宋体" w:cs="宋体" w:hint="eastAsia"/>
              </w:rPr>
            </w:pPr>
            <w:r>
              <w:rPr>
                <w:rFonts w:ascii="宋体" w:eastAsia="宋体" w:hAnsi="宋体" w:cs="宋体" w:hint="eastAsia"/>
              </w:rPr>
              <w:t>较敏感</w:t>
            </w:r>
          </w:p>
        </w:tc>
        <w:tc>
          <w:tcPr>
            <w:tcW w:w="795" w:type="pct"/>
            <w:tcBorders>
              <w:tl2br w:val="nil"/>
              <w:tr2bl w:val="nil"/>
            </w:tcBorders>
          </w:tcPr>
          <w:p w14:paraId="3FFE5AEE" w14:textId="77777777" w:rsidR="009D12AF" w:rsidRDefault="00000000">
            <w:pPr>
              <w:pStyle w:val="af7"/>
              <w:rPr>
                <w:rFonts w:ascii="宋体" w:eastAsia="宋体" w:hAnsi="宋体" w:cs="宋体" w:hint="eastAsia"/>
              </w:rPr>
            </w:pPr>
            <w:r>
              <w:rPr>
                <w:rFonts w:ascii="宋体" w:eastAsia="宋体" w:hAnsi="宋体" w:cs="宋体" w:hint="eastAsia"/>
              </w:rPr>
              <w:t>一</w:t>
            </w:r>
          </w:p>
        </w:tc>
        <w:tc>
          <w:tcPr>
            <w:tcW w:w="920" w:type="pct"/>
            <w:tcBorders>
              <w:tl2br w:val="nil"/>
              <w:tr2bl w:val="nil"/>
            </w:tcBorders>
          </w:tcPr>
          <w:p w14:paraId="1BF3382D" w14:textId="77777777" w:rsidR="009D12AF" w:rsidRDefault="00000000">
            <w:pPr>
              <w:pStyle w:val="af7"/>
              <w:rPr>
                <w:rFonts w:ascii="宋体" w:eastAsia="宋体" w:hAnsi="宋体" w:cs="宋体" w:hint="eastAsia"/>
              </w:rPr>
            </w:pPr>
            <w:r>
              <w:rPr>
                <w:rFonts w:ascii="宋体" w:eastAsia="宋体" w:hAnsi="宋体" w:cs="宋体" w:hint="eastAsia"/>
              </w:rPr>
              <w:t>二</w:t>
            </w:r>
          </w:p>
        </w:tc>
        <w:tc>
          <w:tcPr>
            <w:tcW w:w="993" w:type="pct"/>
            <w:tcBorders>
              <w:tl2br w:val="nil"/>
              <w:tr2bl w:val="nil"/>
            </w:tcBorders>
          </w:tcPr>
          <w:p w14:paraId="5CBED669" w14:textId="77777777" w:rsidR="009D12AF" w:rsidRDefault="00000000">
            <w:pPr>
              <w:pStyle w:val="af7"/>
              <w:rPr>
                <w:rFonts w:ascii="宋体" w:eastAsia="宋体" w:hAnsi="宋体" w:cs="宋体" w:hint="eastAsia"/>
              </w:rPr>
            </w:pPr>
            <w:r>
              <w:rPr>
                <w:rFonts w:ascii="宋体" w:eastAsia="宋体" w:hAnsi="宋体" w:cs="宋体" w:hint="eastAsia"/>
              </w:rPr>
              <w:t>三</w:t>
            </w:r>
          </w:p>
        </w:tc>
      </w:tr>
      <w:tr w:rsidR="009D12AF" w14:paraId="02AD47CE" w14:textId="77777777">
        <w:trPr>
          <w:trHeight w:hRule="exact" w:val="302"/>
          <w:jc w:val="center"/>
        </w:trPr>
        <w:tc>
          <w:tcPr>
            <w:tcW w:w="2290" w:type="pct"/>
            <w:tcBorders>
              <w:tl2br w:val="nil"/>
              <w:tr2bl w:val="nil"/>
            </w:tcBorders>
          </w:tcPr>
          <w:p w14:paraId="1444482D" w14:textId="77777777" w:rsidR="009D12AF" w:rsidRDefault="00000000">
            <w:pPr>
              <w:pStyle w:val="af7"/>
              <w:rPr>
                <w:rFonts w:ascii="宋体" w:eastAsia="宋体" w:hAnsi="宋体" w:cs="宋体" w:hint="eastAsia"/>
              </w:rPr>
            </w:pPr>
            <w:r>
              <w:rPr>
                <w:rFonts w:ascii="宋体" w:eastAsia="宋体" w:hAnsi="宋体" w:cs="宋体" w:hint="eastAsia"/>
              </w:rPr>
              <w:t>不敏感</w:t>
            </w:r>
          </w:p>
        </w:tc>
        <w:tc>
          <w:tcPr>
            <w:tcW w:w="795" w:type="pct"/>
            <w:tcBorders>
              <w:tl2br w:val="nil"/>
              <w:tr2bl w:val="nil"/>
            </w:tcBorders>
          </w:tcPr>
          <w:p w14:paraId="1A91A6CA" w14:textId="77777777" w:rsidR="009D12AF" w:rsidRDefault="00000000">
            <w:pPr>
              <w:pStyle w:val="af7"/>
              <w:rPr>
                <w:rFonts w:ascii="宋体" w:eastAsia="宋体" w:hAnsi="宋体" w:cs="宋体" w:hint="eastAsia"/>
              </w:rPr>
            </w:pPr>
            <w:r>
              <w:rPr>
                <w:rFonts w:ascii="宋体" w:eastAsia="宋体" w:hAnsi="宋体" w:cs="宋体" w:hint="eastAsia"/>
              </w:rPr>
              <w:t>二</w:t>
            </w:r>
          </w:p>
        </w:tc>
        <w:tc>
          <w:tcPr>
            <w:tcW w:w="920" w:type="pct"/>
            <w:tcBorders>
              <w:tl2br w:val="nil"/>
              <w:tr2bl w:val="nil"/>
            </w:tcBorders>
          </w:tcPr>
          <w:p w14:paraId="60B84EF3" w14:textId="77777777" w:rsidR="009D12AF" w:rsidRDefault="00000000">
            <w:pPr>
              <w:pStyle w:val="af7"/>
              <w:rPr>
                <w:rFonts w:ascii="宋体" w:eastAsia="宋体" w:hAnsi="宋体" w:cs="宋体" w:hint="eastAsia"/>
              </w:rPr>
            </w:pPr>
            <w:r>
              <w:rPr>
                <w:rFonts w:ascii="宋体" w:eastAsia="宋体" w:hAnsi="宋体" w:cs="宋体" w:hint="eastAsia"/>
              </w:rPr>
              <w:t>三</w:t>
            </w:r>
          </w:p>
        </w:tc>
        <w:tc>
          <w:tcPr>
            <w:tcW w:w="993" w:type="pct"/>
            <w:tcBorders>
              <w:tl2br w:val="nil"/>
              <w:tr2bl w:val="nil"/>
            </w:tcBorders>
          </w:tcPr>
          <w:p w14:paraId="19B9A9A1" w14:textId="77777777" w:rsidR="009D12AF" w:rsidRDefault="00000000">
            <w:pPr>
              <w:pStyle w:val="af7"/>
              <w:rPr>
                <w:rFonts w:ascii="宋体" w:eastAsia="宋体" w:hAnsi="宋体" w:cs="宋体" w:hint="eastAsia"/>
              </w:rPr>
            </w:pPr>
            <w:r>
              <w:rPr>
                <w:rFonts w:ascii="宋体" w:eastAsia="宋体" w:hAnsi="宋体" w:cs="宋体" w:hint="eastAsia"/>
              </w:rPr>
              <w:t>三</w:t>
            </w:r>
          </w:p>
        </w:tc>
      </w:tr>
    </w:tbl>
    <w:p w14:paraId="4CA853CC" w14:textId="77777777" w:rsidR="009D12AF" w:rsidRDefault="00000000">
      <w:pPr>
        <w:ind w:firstLine="482"/>
        <w:jc w:val="center"/>
        <w:rPr>
          <w:b/>
          <w:bCs/>
        </w:rPr>
      </w:pPr>
      <w:r>
        <w:rPr>
          <w:rFonts w:hint="eastAsia"/>
          <w:b/>
          <w:bCs/>
        </w:rPr>
        <w:t>表</w:t>
      </w:r>
      <w:r>
        <w:rPr>
          <w:rFonts w:hint="eastAsia"/>
          <w:b/>
          <w:bCs/>
        </w:rPr>
        <w:t xml:space="preserve"> 2.5-5 </w:t>
      </w:r>
      <w:r>
        <w:rPr>
          <w:rFonts w:hint="eastAsia"/>
          <w:b/>
          <w:bCs/>
        </w:rPr>
        <w:t>地下水环境影响评价工作等级划分依据表</w:t>
      </w:r>
    </w:p>
    <w:tbl>
      <w:tblPr>
        <w:tblW w:w="4999" w:type="pct"/>
        <w:jc w:val="center"/>
        <w:tblBorders>
          <w:top w:val="single" w:sz="12" w:space="0" w:color="auto"/>
          <w:bottom w:val="single" w:sz="12"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492"/>
        <w:gridCol w:w="6832"/>
      </w:tblGrid>
      <w:tr w:rsidR="009D12AF" w14:paraId="67E43CC8" w14:textId="77777777">
        <w:trPr>
          <w:trHeight w:hRule="exact" w:val="307"/>
          <w:jc w:val="center"/>
        </w:trPr>
        <w:tc>
          <w:tcPr>
            <w:tcW w:w="896" w:type="pct"/>
            <w:tcBorders>
              <w:tl2br w:val="nil"/>
              <w:tr2bl w:val="nil"/>
            </w:tcBorders>
            <w:vAlign w:val="bottom"/>
          </w:tcPr>
          <w:p w14:paraId="70A38829" w14:textId="77777777" w:rsidR="009D12AF" w:rsidRDefault="00000000">
            <w:pPr>
              <w:pStyle w:val="af7"/>
              <w:rPr>
                <w:rFonts w:ascii="宋体" w:eastAsia="宋体" w:hAnsi="宋体" w:cs="宋体" w:hint="eastAsia"/>
              </w:rPr>
            </w:pPr>
            <w:r>
              <w:rPr>
                <w:rFonts w:ascii="宋体" w:eastAsia="宋体" w:hAnsi="宋体" w:cs="宋体" w:hint="eastAsia"/>
              </w:rPr>
              <w:t>敏感程度</w:t>
            </w:r>
          </w:p>
        </w:tc>
        <w:tc>
          <w:tcPr>
            <w:tcW w:w="4103" w:type="pct"/>
            <w:tcBorders>
              <w:tl2br w:val="nil"/>
              <w:tr2bl w:val="nil"/>
            </w:tcBorders>
            <w:vAlign w:val="bottom"/>
          </w:tcPr>
          <w:p w14:paraId="4CAB6F93" w14:textId="77777777" w:rsidR="009D12AF" w:rsidRDefault="00000000">
            <w:pPr>
              <w:pStyle w:val="af7"/>
              <w:rPr>
                <w:rFonts w:ascii="宋体" w:eastAsia="宋体" w:hAnsi="宋体" w:cs="宋体" w:hint="eastAsia"/>
              </w:rPr>
            </w:pPr>
            <w:r>
              <w:rPr>
                <w:rFonts w:ascii="宋体" w:eastAsia="宋体" w:hAnsi="宋体" w:cs="宋体" w:hint="eastAsia"/>
              </w:rPr>
              <w:t>地下水环境敏感特征</w:t>
            </w:r>
          </w:p>
        </w:tc>
      </w:tr>
      <w:tr w:rsidR="009D12AF" w14:paraId="158867EE" w14:textId="77777777">
        <w:trPr>
          <w:trHeight w:hRule="exact" w:val="1425"/>
          <w:jc w:val="center"/>
        </w:trPr>
        <w:tc>
          <w:tcPr>
            <w:tcW w:w="896" w:type="pct"/>
            <w:tcBorders>
              <w:tl2br w:val="nil"/>
              <w:tr2bl w:val="nil"/>
            </w:tcBorders>
            <w:vAlign w:val="center"/>
          </w:tcPr>
          <w:p w14:paraId="39FCB174" w14:textId="77777777" w:rsidR="009D12AF" w:rsidRDefault="00000000">
            <w:pPr>
              <w:pStyle w:val="af7"/>
              <w:rPr>
                <w:rFonts w:ascii="宋体" w:eastAsia="宋体" w:hAnsi="宋体" w:cs="宋体" w:hint="eastAsia"/>
              </w:rPr>
            </w:pPr>
            <w:r>
              <w:rPr>
                <w:rFonts w:ascii="宋体" w:eastAsia="宋体" w:hAnsi="宋体" w:cs="宋体" w:hint="eastAsia"/>
              </w:rPr>
              <w:t>敏感</w:t>
            </w:r>
          </w:p>
        </w:tc>
        <w:tc>
          <w:tcPr>
            <w:tcW w:w="4103" w:type="pct"/>
            <w:tcBorders>
              <w:tl2br w:val="nil"/>
              <w:tr2bl w:val="nil"/>
            </w:tcBorders>
          </w:tcPr>
          <w:p w14:paraId="2E307F17" w14:textId="77777777" w:rsidR="009D12AF" w:rsidRDefault="00000000">
            <w:pPr>
              <w:pStyle w:val="af7"/>
              <w:rPr>
                <w:rFonts w:ascii="宋体" w:eastAsia="宋体" w:hAnsi="宋体" w:cs="宋体" w:hint="eastAsia"/>
              </w:rPr>
            </w:pPr>
            <w:r>
              <w:rPr>
                <w:rFonts w:ascii="宋体" w:eastAsia="宋体" w:hAnsi="宋体" w:cs="宋体" w:hint="eastAsia"/>
              </w:rPr>
              <w:t>集中式饮用水水源地(包括已建成的在用、备用、应急水源地，在建和规划的水源地)准保护区；除集中式饮用水水源以外的国家或地方政府设定的与地下水环境 相关的其它保护 区，如热水、矿泉水、温泉等特殊地下水资源保护区。</w:t>
            </w:r>
          </w:p>
        </w:tc>
      </w:tr>
      <w:tr w:rsidR="009D12AF" w14:paraId="170213E9" w14:textId="77777777">
        <w:trPr>
          <w:trHeight w:hRule="exact" w:val="2030"/>
          <w:jc w:val="center"/>
        </w:trPr>
        <w:tc>
          <w:tcPr>
            <w:tcW w:w="896" w:type="pct"/>
            <w:tcBorders>
              <w:tl2br w:val="nil"/>
              <w:tr2bl w:val="nil"/>
            </w:tcBorders>
            <w:vAlign w:val="center"/>
          </w:tcPr>
          <w:p w14:paraId="2D07CF62" w14:textId="77777777" w:rsidR="009D12AF" w:rsidRDefault="00000000">
            <w:pPr>
              <w:pStyle w:val="af7"/>
              <w:rPr>
                <w:rFonts w:ascii="宋体" w:eastAsia="宋体" w:hAnsi="宋体" w:cs="宋体" w:hint="eastAsia"/>
              </w:rPr>
            </w:pPr>
            <w:r>
              <w:rPr>
                <w:rFonts w:ascii="宋体" w:eastAsia="宋体" w:hAnsi="宋体" w:cs="宋体" w:hint="eastAsia"/>
              </w:rPr>
              <w:t>较敏感</w:t>
            </w:r>
          </w:p>
        </w:tc>
        <w:tc>
          <w:tcPr>
            <w:tcW w:w="4103" w:type="pct"/>
            <w:tcBorders>
              <w:tl2br w:val="nil"/>
              <w:tr2bl w:val="nil"/>
            </w:tcBorders>
            <w:vAlign w:val="bottom"/>
          </w:tcPr>
          <w:p w14:paraId="1FABA5BD" w14:textId="77777777" w:rsidR="009D12AF" w:rsidRDefault="00000000">
            <w:pPr>
              <w:pStyle w:val="af7"/>
              <w:rPr>
                <w:rFonts w:ascii="宋体" w:eastAsia="宋体" w:hAnsi="宋体" w:cs="宋体" w:hint="eastAsia"/>
              </w:rPr>
            </w:pPr>
            <w:r>
              <w:rPr>
                <w:rFonts w:ascii="宋体" w:eastAsia="宋体" w:hAnsi="宋体" w:cs="宋体" w:hint="eastAsia"/>
              </w:rPr>
              <w:t>集中式饮用水水源地(包括已建成的在用、备用、应急水源，在建和规划的水源 地) 准保 护区以外的补给径流区；未划定准保护区的集中式饮用水水源，其保护区以外的补给径流 区；分散式饮用水水源地；特殊地下水资源(如矿泉水、温泉 等) 保护区以外的分布区等 其它未列入上述敏感分级的环境敏感区 a。</w:t>
            </w:r>
          </w:p>
        </w:tc>
      </w:tr>
      <w:tr w:rsidR="009D12AF" w14:paraId="1A9BB526" w14:textId="77777777">
        <w:trPr>
          <w:trHeight w:hRule="exact" w:val="399"/>
          <w:jc w:val="center"/>
        </w:trPr>
        <w:tc>
          <w:tcPr>
            <w:tcW w:w="896" w:type="pct"/>
            <w:tcBorders>
              <w:tl2br w:val="nil"/>
              <w:tr2bl w:val="nil"/>
            </w:tcBorders>
          </w:tcPr>
          <w:p w14:paraId="45C299BA" w14:textId="77777777" w:rsidR="009D12AF" w:rsidRDefault="00000000">
            <w:pPr>
              <w:pStyle w:val="af7"/>
              <w:rPr>
                <w:rFonts w:ascii="宋体" w:eastAsia="宋体" w:hAnsi="宋体" w:cs="宋体" w:hint="eastAsia"/>
              </w:rPr>
            </w:pPr>
            <w:r>
              <w:rPr>
                <w:rFonts w:ascii="宋体" w:eastAsia="宋体" w:hAnsi="宋体" w:cs="宋体" w:hint="eastAsia"/>
              </w:rPr>
              <w:t>不敏感</w:t>
            </w:r>
          </w:p>
        </w:tc>
        <w:tc>
          <w:tcPr>
            <w:tcW w:w="4103" w:type="pct"/>
            <w:tcBorders>
              <w:tl2br w:val="nil"/>
              <w:tr2bl w:val="nil"/>
            </w:tcBorders>
          </w:tcPr>
          <w:p w14:paraId="5590445E" w14:textId="77777777" w:rsidR="009D12AF" w:rsidRDefault="00000000">
            <w:pPr>
              <w:pStyle w:val="af7"/>
              <w:rPr>
                <w:rFonts w:ascii="宋体" w:eastAsia="宋体" w:hAnsi="宋体" w:cs="宋体" w:hint="eastAsia"/>
              </w:rPr>
            </w:pPr>
            <w:r>
              <w:rPr>
                <w:rFonts w:ascii="宋体" w:eastAsia="宋体" w:hAnsi="宋体" w:cs="宋体" w:hint="eastAsia"/>
              </w:rPr>
              <w:t>上述地区之外的其它地区</w:t>
            </w:r>
          </w:p>
        </w:tc>
      </w:tr>
      <w:tr w:rsidR="009D12AF" w14:paraId="11D9D07C" w14:textId="77777777">
        <w:trPr>
          <w:trHeight w:hRule="exact" w:val="680"/>
          <w:jc w:val="center"/>
        </w:trPr>
        <w:tc>
          <w:tcPr>
            <w:tcW w:w="5000" w:type="pct"/>
            <w:gridSpan w:val="2"/>
            <w:tcBorders>
              <w:tl2br w:val="nil"/>
              <w:tr2bl w:val="nil"/>
            </w:tcBorders>
          </w:tcPr>
          <w:p w14:paraId="628134F7" w14:textId="77777777" w:rsidR="009D12AF" w:rsidRDefault="00000000">
            <w:pPr>
              <w:pStyle w:val="af7"/>
              <w:rPr>
                <w:rFonts w:ascii="宋体" w:eastAsia="宋体" w:hAnsi="宋体" w:cs="宋体" w:hint="eastAsia"/>
              </w:rPr>
            </w:pPr>
            <w:r>
              <w:rPr>
                <w:rFonts w:ascii="宋体" w:eastAsia="宋体" w:hAnsi="宋体" w:cs="宋体" w:hint="eastAsia"/>
              </w:rPr>
              <w:t>注：a“环境敏感区”是指《建设项目环境影响评价分类管理名录》中所界定的涉及地下水的环境敏感区</w:t>
            </w:r>
          </w:p>
        </w:tc>
      </w:tr>
    </w:tbl>
    <w:p w14:paraId="6C1FD5F9" w14:textId="77777777" w:rsidR="009D12AF" w:rsidRDefault="00000000">
      <w:pPr>
        <w:ind w:firstLine="480"/>
      </w:pPr>
      <w:r>
        <w:rPr>
          <w:rFonts w:hint="eastAsia"/>
        </w:rPr>
        <w:t>③评价等级</w:t>
      </w:r>
    </w:p>
    <w:p w14:paraId="1C60A2C0" w14:textId="77777777" w:rsidR="009D12AF" w:rsidRDefault="00000000">
      <w:pPr>
        <w:ind w:firstLine="480"/>
      </w:pPr>
      <w:r>
        <w:rPr>
          <w:rFonts w:hint="eastAsia"/>
        </w:rPr>
        <w:t>根据以上建设项目分类的判别依据，地下水评级等级为三级。</w:t>
      </w:r>
    </w:p>
    <w:p w14:paraId="42506BCD" w14:textId="77777777" w:rsidR="009D12AF" w:rsidRDefault="00000000">
      <w:pPr>
        <w:ind w:firstLine="482"/>
        <w:jc w:val="center"/>
      </w:pPr>
      <w:r>
        <w:rPr>
          <w:rFonts w:hint="eastAsia"/>
          <w:b/>
          <w:bCs/>
        </w:rPr>
        <w:t>表</w:t>
      </w:r>
      <w:r>
        <w:rPr>
          <w:rFonts w:hint="eastAsia"/>
          <w:b/>
          <w:bCs/>
        </w:rPr>
        <w:t xml:space="preserve">2.5-6  </w:t>
      </w:r>
      <w:r>
        <w:rPr>
          <w:rFonts w:hint="eastAsia"/>
          <w:b/>
          <w:bCs/>
        </w:rPr>
        <w:t>地下水环境评价等级</w:t>
      </w:r>
    </w:p>
    <w:tbl>
      <w:tblPr>
        <w:tblW w:w="4999" w:type="pct"/>
        <w:jc w:val="center"/>
        <w:tblBorders>
          <w:top w:val="single" w:sz="12" w:space="0" w:color="000000"/>
          <w:bottom w:val="single" w:sz="12" w:space="0" w:color="000000"/>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715"/>
        <w:gridCol w:w="1801"/>
        <w:gridCol w:w="1922"/>
        <w:gridCol w:w="1922"/>
      </w:tblGrid>
      <w:tr w:rsidR="009D12AF" w14:paraId="4D495316" w14:textId="77777777">
        <w:trPr>
          <w:trHeight w:val="419"/>
          <w:jc w:val="center"/>
        </w:trPr>
        <w:tc>
          <w:tcPr>
            <w:tcW w:w="1624" w:type="pct"/>
            <w:vAlign w:val="center"/>
          </w:tcPr>
          <w:p w14:paraId="22447F53" w14:textId="77777777" w:rsidR="009D12AF" w:rsidRDefault="00000000">
            <w:pPr>
              <w:pStyle w:val="afa"/>
              <w:snapToGrid w:val="0"/>
              <w:spacing w:beforeLines="0" w:before="0" w:afterLines="0" w:after="0"/>
              <w:ind w:firstLineChars="0" w:firstLine="0"/>
              <w:rPr>
                <w:rFonts w:ascii="Times New Roman" w:eastAsia="宋体" w:hAnsi="Times New Roman" w:cs="Times New Roman"/>
                <w:b w:val="0"/>
                <w:color w:val="auto"/>
                <w:spacing w:val="0"/>
                <w:sz w:val="21"/>
                <w:szCs w:val="21"/>
              </w:rPr>
            </w:pPr>
            <w:r>
              <w:rPr>
                <w:rFonts w:ascii="Times New Roman" w:eastAsia="宋体" w:hAnsi="Times New Roman" w:cs="Times New Roman" w:hint="eastAsia"/>
                <w:b w:val="0"/>
                <w:color w:val="auto"/>
                <w:spacing w:val="0"/>
                <w:sz w:val="21"/>
                <w:szCs w:val="21"/>
              </w:rPr>
              <w:t>名称</w:t>
            </w:r>
          </w:p>
        </w:tc>
        <w:tc>
          <w:tcPr>
            <w:tcW w:w="1801" w:type="dxa"/>
            <w:vAlign w:val="center"/>
          </w:tcPr>
          <w:p w14:paraId="38D5638D" w14:textId="77777777" w:rsidR="009D12AF" w:rsidRDefault="00000000">
            <w:pPr>
              <w:pStyle w:val="afa"/>
              <w:snapToGrid w:val="0"/>
              <w:spacing w:beforeLines="0" w:before="0" w:afterLines="0" w:after="0"/>
              <w:ind w:firstLineChars="0" w:firstLine="0"/>
              <w:rPr>
                <w:rFonts w:ascii="Times New Roman" w:eastAsia="宋体" w:hAnsi="Times New Roman" w:cs="Times New Roman"/>
                <w:b w:val="0"/>
                <w:color w:val="auto"/>
                <w:spacing w:val="0"/>
                <w:sz w:val="21"/>
                <w:szCs w:val="21"/>
              </w:rPr>
            </w:pPr>
            <w:r>
              <w:rPr>
                <w:rFonts w:ascii="Times New Roman" w:eastAsia="宋体" w:hAnsi="Times New Roman" w:cs="Times New Roman" w:hint="eastAsia"/>
                <w:b w:val="0"/>
                <w:color w:val="auto"/>
                <w:spacing w:val="0"/>
                <w:sz w:val="21"/>
                <w:szCs w:val="21"/>
              </w:rPr>
              <w:t>地下水环境影响评</w:t>
            </w:r>
            <w:r>
              <w:rPr>
                <w:rFonts w:ascii="Times New Roman" w:eastAsia="宋体" w:hAnsi="Times New Roman" w:cs="Times New Roman" w:hint="eastAsia"/>
                <w:b w:val="0"/>
                <w:color w:val="auto"/>
                <w:spacing w:val="0"/>
                <w:sz w:val="21"/>
                <w:szCs w:val="21"/>
              </w:rPr>
              <w:lastRenderedPageBreak/>
              <w:t>价项目类型</w:t>
            </w:r>
          </w:p>
        </w:tc>
        <w:tc>
          <w:tcPr>
            <w:tcW w:w="1922" w:type="dxa"/>
            <w:vAlign w:val="center"/>
          </w:tcPr>
          <w:p w14:paraId="6D58EE3D" w14:textId="77777777" w:rsidR="009D12AF" w:rsidRDefault="00000000">
            <w:pPr>
              <w:pStyle w:val="afa"/>
              <w:snapToGrid w:val="0"/>
              <w:spacing w:beforeLines="0" w:before="0" w:afterLines="0" w:after="0"/>
              <w:ind w:firstLineChars="0" w:firstLine="0"/>
              <w:rPr>
                <w:rFonts w:ascii="Times New Roman" w:eastAsia="宋体" w:hAnsi="Times New Roman" w:cs="Times New Roman"/>
                <w:b w:val="0"/>
                <w:color w:val="auto"/>
                <w:spacing w:val="0"/>
                <w:sz w:val="21"/>
                <w:szCs w:val="21"/>
              </w:rPr>
            </w:pPr>
            <w:r>
              <w:rPr>
                <w:rFonts w:ascii="Times New Roman" w:eastAsia="宋体" w:hAnsi="Times New Roman" w:cs="Times New Roman" w:hint="eastAsia"/>
                <w:b w:val="0"/>
                <w:color w:val="auto"/>
                <w:spacing w:val="0"/>
                <w:sz w:val="21"/>
                <w:szCs w:val="21"/>
              </w:rPr>
              <w:lastRenderedPageBreak/>
              <w:t>地下水环境敏感程</w:t>
            </w:r>
            <w:r>
              <w:rPr>
                <w:rFonts w:ascii="Times New Roman" w:eastAsia="宋体" w:hAnsi="Times New Roman" w:cs="Times New Roman" w:hint="eastAsia"/>
                <w:b w:val="0"/>
                <w:color w:val="auto"/>
                <w:spacing w:val="0"/>
                <w:sz w:val="21"/>
                <w:szCs w:val="21"/>
              </w:rPr>
              <w:lastRenderedPageBreak/>
              <w:t>度</w:t>
            </w:r>
          </w:p>
        </w:tc>
        <w:tc>
          <w:tcPr>
            <w:tcW w:w="1922" w:type="dxa"/>
            <w:vAlign w:val="center"/>
          </w:tcPr>
          <w:p w14:paraId="07B88815" w14:textId="77777777" w:rsidR="009D12AF" w:rsidRDefault="00000000">
            <w:pPr>
              <w:pStyle w:val="afa"/>
              <w:snapToGrid w:val="0"/>
              <w:spacing w:beforeLines="0" w:before="0" w:afterLines="0" w:after="0"/>
              <w:ind w:firstLineChars="0" w:firstLine="0"/>
              <w:rPr>
                <w:rFonts w:ascii="Times New Roman" w:eastAsia="宋体" w:hAnsi="Times New Roman" w:cs="Times New Roman"/>
                <w:b w:val="0"/>
                <w:color w:val="auto"/>
                <w:spacing w:val="0"/>
                <w:sz w:val="21"/>
                <w:szCs w:val="21"/>
              </w:rPr>
            </w:pPr>
            <w:r>
              <w:rPr>
                <w:rFonts w:ascii="Times New Roman" w:eastAsia="宋体" w:hAnsi="Times New Roman" w:cs="Times New Roman" w:hint="eastAsia"/>
                <w:b w:val="0"/>
                <w:color w:val="auto"/>
                <w:spacing w:val="0"/>
                <w:sz w:val="21"/>
                <w:szCs w:val="21"/>
              </w:rPr>
              <w:lastRenderedPageBreak/>
              <w:t>评价等级</w:t>
            </w:r>
          </w:p>
        </w:tc>
      </w:tr>
      <w:tr w:rsidR="009D12AF" w14:paraId="3135C88C" w14:textId="77777777">
        <w:trPr>
          <w:trHeight w:val="445"/>
          <w:jc w:val="center"/>
        </w:trPr>
        <w:tc>
          <w:tcPr>
            <w:tcW w:w="1624" w:type="pct"/>
            <w:vAlign w:val="center"/>
          </w:tcPr>
          <w:p w14:paraId="11055B72" w14:textId="77777777" w:rsidR="009D12AF" w:rsidRDefault="00000000">
            <w:pPr>
              <w:pStyle w:val="afa"/>
              <w:snapToGrid w:val="0"/>
              <w:spacing w:beforeLines="0" w:before="0" w:afterLines="0" w:after="0"/>
              <w:ind w:firstLineChars="0" w:firstLine="0"/>
              <w:rPr>
                <w:rFonts w:ascii="Times New Roman" w:eastAsia="宋体" w:hAnsi="Times New Roman" w:cs="Times New Roman"/>
                <w:b w:val="0"/>
                <w:color w:val="auto"/>
                <w:spacing w:val="0"/>
                <w:sz w:val="21"/>
                <w:szCs w:val="21"/>
              </w:rPr>
            </w:pPr>
            <w:r>
              <w:rPr>
                <w:rFonts w:ascii="Times New Roman" w:eastAsia="宋体" w:hAnsi="Times New Roman" w:cs="Times New Roman" w:hint="eastAsia"/>
                <w:b w:val="0"/>
                <w:color w:val="auto"/>
                <w:spacing w:val="0"/>
                <w:sz w:val="21"/>
                <w:szCs w:val="21"/>
              </w:rPr>
              <w:t>群力水库</w:t>
            </w:r>
          </w:p>
        </w:tc>
        <w:tc>
          <w:tcPr>
            <w:tcW w:w="1801" w:type="dxa"/>
            <w:vAlign w:val="center"/>
          </w:tcPr>
          <w:p w14:paraId="1591DFD6" w14:textId="77777777" w:rsidR="009D12AF" w:rsidRDefault="00000000">
            <w:pPr>
              <w:pStyle w:val="afa"/>
              <w:snapToGrid w:val="0"/>
              <w:spacing w:beforeLines="0" w:before="0" w:afterLines="0" w:after="0"/>
              <w:ind w:firstLineChars="0" w:firstLine="0"/>
              <w:rPr>
                <w:rFonts w:ascii="Times New Roman" w:eastAsia="宋体" w:hAnsi="Times New Roman" w:cs="Times New Roman"/>
                <w:b w:val="0"/>
                <w:color w:val="auto"/>
                <w:spacing w:val="0"/>
                <w:sz w:val="21"/>
                <w:szCs w:val="21"/>
              </w:rPr>
            </w:pPr>
            <w:r>
              <w:rPr>
                <w:rFonts w:ascii="Times New Roman" w:eastAsia="宋体" w:hAnsi="Times New Roman" w:cs="Times New Roman" w:hint="eastAsia"/>
                <w:b w:val="0"/>
                <w:color w:val="auto"/>
                <w:spacing w:val="0"/>
                <w:sz w:val="21"/>
                <w:szCs w:val="21"/>
              </w:rPr>
              <w:t>Ⅲ类项目</w:t>
            </w:r>
          </w:p>
        </w:tc>
        <w:tc>
          <w:tcPr>
            <w:tcW w:w="1922" w:type="dxa"/>
            <w:vAlign w:val="center"/>
          </w:tcPr>
          <w:p w14:paraId="1844C9CB" w14:textId="77777777" w:rsidR="009D12AF" w:rsidRDefault="00000000">
            <w:pPr>
              <w:pStyle w:val="afa"/>
              <w:snapToGrid w:val="0"/>
              <w:spacing w:beforeLines="0" w:before="0" w:afterLines="0" w:after="0"/>
              <w:ind w:firstLineChars="0" w:firstLine="0"/>
              <w:rPr>
                <w:rFonts w:ascii="Times New Roman" w:eastAsia="宋体" w:hAnsi="Times New Roman" w:cs="Times New Roman"/>
                <w:b w:val="0"/>
                <w:color w:val="auto"/>
                <w:spacing w:val="0"/>
                <w:sz w:val="21"/>
                <w:szCs w:val="21"/>
              </w:rPr>
            </w:pPr>
            <w:r>
              <w:rPr>
                <w:rFonts w:ascii="Times New Roman" w:eastAsia="宋体" w:hAnsi="Times New Roman" w:cs="Times New Roman" w:hint="eastAsia"/>
                <w:b w:val="0"/>
                <w:color w:val="auto"/>
                <w:spacing w:val="0"/>
                <w:sz w:val="21"/>
                <w:szCs w:val="21"/>
              </w:rPr>
              <w:t>不敏感</w:t>
            </w:r>
          </w:p>
        </w:tc>
        <w:tc>
          <w:tcPr>
            <w:tcW w:w="1922" w:type="dxa"/>
            <w:vAlign w:val="center"/>
          </w:tcPr>
          <w:p w14:paraId="21FE3B4D" w14:textId="77777777" w:rsidR="009D12AF" w:rsidRDefault="00000000">
            <w:pPr>
              <w:pStyle w:val="afa"/>
              <w:snapToGrid w:val="0"/>
              <w:spacing w:beforeLines="0" w:before="0" w:afterLines="0" w:after="0"/>
              <w:ind w:firstLineChars="0" w:firstLine="0"/>
              <w:rPr>
                <w:rFonts w:ascii="Times New Roman" w:eastAsia="宋体" w:hAnsi="Times New Roman" w:cs="Times New Roman"/>
                <w:b w:val="0"/>
                <w:color w:val="auto"/>
                <w:spacing w:val="0"/>
                <w:sz w:val="21"/>
                <w:szCs w:val="21"/>
              </w:rPr>
            </w:pPr>
            <w:r>
              <w:rPr>
                <w:rFonts w:ascii="Times New Roman" w:eastAsia="宋体" w:hAnsi="Times New Roman" w:cs="Times New Roman" w:hint="eastAsia"/>
                <w:b w:val="0"/>
                <w:color w:val="auto"/>
                <w:spacing w:val="0"/>
                <w:sz w:val="21"/>
                <w:szCs w:val="21"/>
              </w:rPr>
              <w:t>三级</w:t>
            </w:r>
          </w:p>
        </w:tc>
      </w:tr>
      <w:tr w:rsidR="009D12AF" w14:paraId="4DA71162" w14:textId="77777777">
        <w:trPr>
          <w:trHeight w:val="445"/>
          <w:jc w:val="center"/>
        </w:trPr>
        <w:tc>
          <w:tcPr>
            <w:tcW w:w="1624" w:type="pct"/>
            <w:vAlign w:val="center"/>
          </w:tcPr>
          <w:p w14:paraId="775B78F3" w14:textId="77777777" w:rsidR="009D12AF" w:rsidRDefault="00000000">
            <w:pPr>
              <w:pStyle w:val="afa"/>
              <w:snapToGrid w:val="0"/>
              <w:spacing w:beforeLines="0" w:before="0" w:afterLines="0" w:after="0"/>
              <w:ind w:firstLineChars="0" w:firstLine="0"/>
              <w:rPr>
                <w:rFonts w:ascii="Times New Roman" w:eastAsia="宋体" w:hAnsi="Times New Roman" w:cs="Times New Roman"/>
                <w:b w:val="0"/>
                <w:color w:val="auto"/>
                <w:spacing w:val="0"/>
                <w:sz w:val="21"/>
                <w:szCs w:val="21"/>
              </w:rPr>
            </w:pPr>
            <w:r>
              <w:rPr>
                <w:rFonts w:ascii="Times New Roman" w:eastAsia="宋体" w:hAnsi="Times New Roman" w:cs="Times New Roman" w:hint="eastAsia"/>
                <w:b w:val="0"/>
                <w:color w:val="auto"/>
                <w:spacing w:val="0"/>
                <w:sz w:val="21"/>
                <w:szCs w:val="21"/>
              </w:rPr>
              <w:t>向阳水电站前池</w:t>
            </w:r>
          </w:p>
        </w:tc>
        <w:tc>
          <w:tcPr>
            <w:tcW w:w="1801" w:type="dxa"/>
            <w:vAlign w:val="center"/>
          </w:tcPr>
          <w:p w14:paraId="0B3BF72B" w14:textId="77777777" w:rsidR="009D12AF" w:rsidRDefault="00000000">
            <w:pPr>
              <w:pStyle w:val="afa"/>
              <w:snapToGrid w:val="0"/>
              <w:spacing w:beforeLines="0" w:before="0" w:afterLines="0" w:after="0"/>
              <w:ind w:firstLineChars="0" w:firstLine="0"/>
              <w:rPr>
                <w:rFonts w:ascii="Times New Roman" w:eastAsia="宋体" w:hAnsi="Times New Roman" w:cs="Times New Roman"/>
                <w:b w:val="0"/>
                <w:color w:val="auto"/>
                <w:spacing w:val="0"/>
                <w:sz w:val="21"/>
                <w:szCs w:val="21"/>
              </w:rPr>
            </w:pPr>
            <w:r>
              <w:rPr>
                <w:rFonts w:ascii="Times New Roman" w:eastAsia="宋体" w:hAnsi="Times New Roman" w:cs="Times New Roman" w:hint="eastAsia"/>
                <w:b w:val="0"/>
                <w:color w:val="auto"/>
                <w:spacing w:val="0"/>
                <w:sz w:val="21"/>
                <w:szCs w:val="21"/>
              </w:rPr>
              <w:t>Ⅲ类项目</w:t>
            </w:r>
          </w:p>
        </w:tc>
        <w:tc>
          <w:tcPr>
            <w:tcW w:w="1922" w:type="dxa"/>
            <w:vAlign w:val="center"/>
          </w:tcPr>
          <w:p w14:paraId="1685EDE3" w14:textId="77777777" w:rsidR="009D12AF" w:rsidRDefault="00000000">
            <w:pPr>
              <w:pStyle w:val="afa"/>
              <w:snapToGrid w:val="0"/>
              <w:spacing w:beforeLines="0" w:before="0" w:afterLines="0" w:after="0"/>
              <w:ind w:firstLineChars="0" w:firstLine="0"/>
              <w:rPr>
                <w:rFonts w:ascii="Times New Roman" w:eastAsia="宋体" w:hAnsi="Times New Roman" w:cs="Times New Roman"/>
                <w:b w:val="0"/>
                <w:color w:val="auto"/>
                <w:spacing w:val="0"/>
                <w:sz w:val="21"/>
                <w:szCs w:val="21"/>
              </w:rPr>
            </w:pPr>
            <w:r>
              <w:rPr>
                <w:rFonts w:ascii="Times New Roman" w:eastAsia="宋体" w:hAnsi="Times New Roman" w:cs="Times New Roman" w:hint="eastAsia"/>
                <w:b w:val="0"/>
                <w:color w:val="auto"/>
                <w:spacing w:val="0"/>
                <w:sz w:val="21"/>
                <w:szCs w:val="21"/>
              </w:rPr>
              <w:t>不敏感</w:t>
            </w:r>
          </w:p>
        </w:tc>
        <w:tc>
          <w:tcPr>
            <w:tcW w:w="1922" w:type="dxa"/>
            <w:vAlign w:val="center"/>
          </w:tcPr>
          <w:p w14:paraId="2B03D8F6" w14:textId="77777777" w:rsidR="009D12AF" w:rsidRDefault="00000000">
            <w:pPr>
              <w:pStyle w:val="afa"/>
              <w:snapToGrid w:val="0"/>
              <w:spacing w:beforeLines="0" w:before="0" w:afterLines="0" w:after="0"/>
              <w:ind w:firstLineChars="0" w:firstLine="0"/>
              <w:rPr>
                <w:rFonts w:ascii="Times New Roman" w:eastAsia="宋体" w:hAnsi="Times New Roman" w:cs="Times New Roman"/>
                <w:b w:val="0"/>
                <w:color w:val="auto"/>
                <w:spacing w:val="0"/>
                <w:sz w:val="21"/>
                <w:szCs w:val="21"/>
              </w:rPr>
            </w:pPr>
            <w:r>
              <w:rPr>
                <w:rFonts w:ascii="Times New Roman" w:eastAsia="宋体" w:hAnsi="Times New Roman" w:cs="Times New Roman" w:hint="eastAsia"/>
                <w:b w:val="0"/>
                <w:color w:val="auto"/>
                <w:spacing w:val="0"/>
                <w:sz w:val="21"/>
                <w:szCs w:val="21"/>
              </w:rPr>
              <w:t>三级</w:t>
            </w:r>
          </w:p>
        </w:tc>
      </w:tr>
    </w:tbl>
    <w:p w14:paraId="1D52C966" w14:textId="77777777" w:rsidR="009D12AF" w:rsidRDefault="00000000">
      <w:pPr>
        <w:ind w:firstLine="480"/>
      </w:pPr>
      <w:bookmarkStart w:id="85" w:name="_Toc20897"/>
      <w:bookmarkStart w:id="86" w:name="_Toc21977"/>
      <w:bookmarkStart w:id="87" w:name="_Toc30621"/>
      <w:r>
        <w:rPr>
          <w:rFonts w:hint="eastAsia"/>
        </w:rPr>
        <w:t>④评价范围</w:t>
      </w:r>
    </w:p>
    <w:p w14:paraId="0C051E02" w14:textId="77777777" w:rsidR="009D12AF" w:rsidRDefault="00000000">
      <w:pPr>
        <w:ind w:firstLine="480"/>
      </w:pPr>
      <w:r>
        <w:rPr>
          <w:rFonts w:hint="eastAsia"/>
        </w:rPr>
        <w:t>根据《环境影响评价技术导则</w:t>
      </w:r>
      <w:r>
        <w:rPr>
          <w:rFonts w:hint="eastAsia"/>
        </w:rPr>
        <w:t>-</w:t>
      </w:r>
      <w:r>
        <w:rPr>
          <w:rFonts w:hint="eastAsia"/>
        </w:rPr>
        <w:t>地下水环境部分》</w:t>
      </w:r>
      <w:r>
        <w:rPr>
          <w:rFonts w:hint="eastAsia"/>
        </w:rPr>
        <w:t>(HJ/610-2016)</w:t>
      </w:r>
      <w:r>
        <w:rPr>
          <w:rFonts w:hint="eastAsia"/>
        </w:rPr>
        <w:t>中规定的等级划分方法判定，本项目群力水库、向阳水电站前池地下水环境影响评价等级为三级，地下水评价范围采用查表法确定，经查，三级评价的评价范围为≤</w:t>
      </w:r>
      <w:r>
        <w:rPr>
          <w:rFonts w:hint="eastAsia"/>
        </w:rPr>
        <w:t>6km</w:t>
      </w:r>
      <w:r>
        <w:rPr>
          <w:rFonts w:hint="eastAsia"/>
          <w:vertAlign w:val="superscript"/>
        </w:rPr>
        <w:t>2</w:t>
      </w:r>
      <w:r>
        <w:rPr>
          <w:rFonts w:hint="eastAsia"/>
        </w:rPr>
        <w:t>，本次评价取上限值，以场区为中心，向地下水流向上游外扩</w:t>
      </w:r>
      <w:r>
        <w:rPr>
          <w:rFonts w:hint="eastAsia"/>
        </w:rPr>
        <w:t>1km</w:t>
      </w:r>
      <w:r>
        <w:rPr>
          <w:rFonts w:hint="eastAsia"/>
        </w:rPr>
        <w:t>，向下游外扩</w:t>
      </w:r>
      <w:r>
        <w:rPr>
          <w:rFonts w:hint="eastAsia"/>
        </w:rPr>
        <w:t>2km</w:t>
      </w:r>
      <w:r>
        <w:rPr>
          <w:rFonts w:hint="eastAsia"/>
        </w:rPr>
        <w:t>，向两侧外扩</w:t>
      </w:r>
      <w:r>
        <w:rPr>
          <w:rFonts w:hint="eastAsia"/>
        </w:rPr>
        <w:t>1km</w:t>
      </w:r>
      <w:r>
        <w:rPr>
          <w:rFonts w:hint="eastAsia"/>
        </w:rPr>
        <w:t>，总面积约</w:t>
      </w:r>
      <w:r>
        <w:rPr>
          <w:rFonts w:hint="eastAsia"/>
        </w:rPr>
        <w:t>6km</w:t>
      </w:r>
      <w:r>
        <w:rPr>
          <w:rFonts w:hint="eastAsia"/>
          <w:vertAlign w:val="superscript"/>
        </w:rPr>
        <w:t>2</w:t>
      </w:r>
      <w:r>
        <w:rPr>
          <w:rFonts w:hint="eastAsia"/>
        </w:rPr>
        <w:t>范围内的浅层地下水。</w:t>
      </w:r>
    </w:p>
    <w:p w14:paraId="3B5CDEEF" w14:textId="77777777" w:rsidR="009D12AF" w:rsidRDefault="00000000">
      <w:pPr>
        <w:pStyle w:val="3"/>
      </w:pPr>
      <w:bookmarkStart w:id="88" w:name="_Toc25818"/>
      <w:r>
        <w:rPr>
          <w:rFonts w:hint="eastAsia"/>
        </w:rPr>
        <w:t>2</w:t>
      </w:r>
      <w:r>
        <w:t>.</w:t>
      </w:r>
      <w:r>
        <w:rPr>
          <w:rFonts w:hint="eastAsia"/>
        </w:rPr>
        <w:t>5</w:t>
      </w:r>
      <w:r>
        <w:t xml:space="preserve">.5 </w:t>
      </w:r>
      <w:r>
        <w:t>生态环境</w:t>
      </w:r>
      <w:bookmarkEnd w:id="85"/>
      <w:bookmarkEnd w:id="86"/>
      <w:bookmarkEnd w:id="87"/>
      <w:bookmarkEnd w:id="88"/>
    </w:p>
    <w:p w14:paraId="74E1571B" w14:textId="77777777" w:rsidR="009D12AF" w:rsidRDefault="00000000">
      <w:pPr>
        <w:ind w:firstLine="480"/>
      </w:pPr>
      <w:r>
        <w:t>根据《环境影响评价技术导则</w:t>
      </w:r>
      <w:r>
        <w:t xml:space="preserve"> </w:t>
      </w:r>
      <w:r>
        <w:t>生态影响》（</w:t>
      </w:r>
      <w:r>
        <w:t>HJ19-2022</w:t>
      </w:r>
      <w:r>
        <w:t>）有关规定，生态影</w:t>
      </w:r>
      <w:r>
        <w:t xml:space="preserve"> </w:t>
      </w:r>
      <w:r>
        <w:t>响评价等级的确定依据影响区域的生态敏感性和评价项目的工程占地（含水域）</w:t>
      </w:r>
      <w:r>
        <w:t xml:space="preserve"> </w:t>
      </w:r>
      <w:r>
        <w:t>范围，包括永久占地和临时占地，将生态影响评价工作等级划分为一级、二级和三级。</w:t>
      </w:r>
    </w:p>
    <w:p w14:paraId="03D79050" w14:textId="77777777" w:rsidR="009D12AF" w:rsidRDefault="00000000">
      <w:pPr>
        <w:ind w:firstLine="480"/>
      </w:pPr>
      <w:r>
        <w:t>按以下原则确定评价等级：</w:t>
      </w:r>
    </w:p>
    <w:p w14:paraId="7FC7F6F2" w14:textId="77777777" w:rsidR="009D12AF" w:rsidRDefault="00000000">
      <w:pPr>
        <w:ind w:firstLine="480"/>
      </w:pPr>
      <w:r>
        <w:t>a</w:t>
      </w:r>
      <w:r>
        <w:t>）涉及国家公园、自然保护区、世界自然遗产、重要生境时，评价等级为一级；</w:t>
      </w:r>
    </w:p>
    <w:p w14:paraId="3559905C" w14:textId="77777777" w:rsidR="009D12AF" w:rsidRDefault="00000000">
      <w:pPr>
        <w:ind w:firstLine="480"/>
      </w:pPr>
      <w:r>
        <w:t>b</w:t>
      </w:r>
      <w:r>
        <w:t>）涉及自然公园时，评价等级为二级；</w:t>
      </w:r>
    </w:p>
    <w:p w14:paraId="4803E95F" w14:textId="77777777" w:rsidR="009D12AF" w:rsidRDefault="00000000">
      <w:pPr>
        <w:ind w:firstLine="480"/>
      </w:pPr>
      <w:r>
        <w:t>c</w:t>
      </w:r>
      <w:r>
        <w:t>）涉及生态保护红线时，评价等级不低于二级；</w:t>
      </w:r>
    </w:p>
    <w:p w14:paraId="591CB415" w14:textId="77777777" w:rsidR="009D12AF" w:rsidRDefault="00000000">
      <w:pPr>
        <w:ind w:firstLine="480"/>
      </w:pPr>
      <w:r>
        <w:t>d</w:t>
      </w:r>
      <w:r>
        <w:t>）根据</w:t>
      </w:r>
      <w:r>
        <w:t xml:space="preserve"> HJ2.3 </w:t>
      </w:r>
      <w:r>
        <w:t>判断属于水文要素影响型且地表水评价等级不低于二级的建设项目，生态影响评价等级不低于二级；</w:t>
      </w:r>
    </w:p>
    <w:p w14:paraId="3D3569EA" w14:textId="77777777" w:rsidR="009D12AF" w:rsidRDefault="00000000">
      <w:pPr>
        <w:ind w:firstLine="480"/>
      </w:pPr>
      <w:r>
        <w:t>e</w:t>
      </w:r>
      <w:r>
        <w:t>）根据</w:t>
      </w:r>
      <w:r>
        <w:t xml:space="preserve"> HJ 610 </w:t>
      </w:r>
      <w:r>
        <w:t>、</w:t>
      </w:r>
      <w:r>
        <w:t xml:space="preserve">HJ 964 </w:t>
      </w:r>
      <w:r>
        <w:t>判断地下水水位或土壤影响范围内分布有天然林、</w:t>
      </w:r>
    </w:p>
    <w:p w14:paraId="452CF925" w14:textId="77777777" w:rsidR="009D12AF" w:rsidRDefault="00000000">
      <w:pPr>
        <w:ind w:firstLineChars="0" w:firstLine="0"/>
      </w:pPr>
      <w:r>
        <w:t>公益林、湿地等生态保护目标的建设项目，生态影响评价等级不低于二级；</w:t>
      </w:r>
    </w:p>
    <w:p w14:paraId="695ED0B0" w14:textId="77777777" w:rsidR="009D12AF" w:rsidRDefault="00000000">
      <w:pPr>
        <w:ind w:firstLine="480"/>
      </w:pPr>
      <w:r>
        <w:t>f</w:t>
      </w:r>
      <w:r>
        <w:t>）当工程占地规模大于</w:t>
      </w:r>
      <w:r>
        <w:t xml:space="preserve"> 20km</w:t>
      </w:r>
      <w:r>
        <w:rPr>
          <w:vertAlign w:val="superscript"/>
        </w:rPr>
        <w:t>2</w:t>
      </w:r>
      <w:r>
        <w:t xml:space="preserve"> </w:t>
      </w:r>
      <w:r>
        <w:t>时（包括永久和临时占用陆域和水域），评</w:t>
      </w:r>
    </w:p>
    <w:p w14:paraId="7578DE61" w14:textId="77777777" w:rsidR="009D12AF" w:rsidRDefault="00000000">
      <w:pPr>
        <w:ind w:firstLineChars="0" w:firstLine="0"/>
      </w:pPr>
      <w:r>
        <w:t>价等级不低于二级；改扩建项目的占地范围以新增占地（包括陆域和水域）确定；</w:t>
      </w:r>
    </w:p>
    <w:p w14:paraId="38F82567" w14:textId="77777777" w:rsidR="009D12AF" w:rsidRDefault="00000000">
      <w:pPr>
        <w:ind w:firstLine="480"/>
      </w:pPr>
      <w:r>
        <w:t>g</w:t>
      </w:r>
      <w:r>
        <w:t>）除本条</w:t>
      </w:r>
      <w:r>
        <w:t xml:space="preserve"> a </w:t>
      </w:r>
      <w:r>
        <w:t>）、</w:t>
      </w:r>
      <w:r>
        <w:t>b</w:t>
      </w:r>
      <w:r>
        <w:t>）、</w:t>
      </w:r>
      <w:r>
        <w:t xml:space="preserve">c </w:t>
      </w:r>
      <w:r>
        <w:t>）、</w:t>
      </w:r>
      <w:r>
        <w:t>d</w:t>
      </w:r>
      <w:r>
        <w:t>）、</w:t>
      </w:r>
      <w:r>
        <w:t xml:space="preserve">e </w:t>
      </w:r>
      <w:r>
        <w:t>）、</w:t>
      </w:r>
      <w:r>
        <w:t>f</w:t>
      </w:r>
      <w:r>
        <w:t>）以外的情况，评价等级为三级；</w:t>
      </w:r>
    </w:p>
    <w:p w14:paraId="22BFA521" w14:textId="77777777" w:rsidR="009D12AF" w:rsidRDefault="00000000">
      <w:pPr>
        <w:ind w:firstLine="480"/>
      </w:pPr>
      <w:r>
        <w:lastRenderedPageBreak/>
        <w:t>h</w:t>
      </w:r>
      <w:r>
        <w:t>）当评价等级判定同时符合上述多种情况时，应采用其中最高的评价等级。</w:t>
      </w:r>
    </w:p>
    <w:p w14:paraId="2D2EAC1F" w14:textId="77777777" w:rsidR="009D12AF" w:rsidRDefault="00000000">
      <w:pPr>
        <w:ind w:firstLine="480"/>
      </w:pPr>
      <w:r>
        <w:rPr>
          <w:rFonts w:ascii="宋体" w:eastAsia="宋体" w:hAnsi="宋体" w:cs="宋体"/>
        </w:rPr>
        <w:t>本项目为清淤工程，施工过程对水体和底质产生扰动，清出的淤泥输送至临时</w:t>
      </w:r>
      <w:r>
        <w:rPr>
          <w:rFonts w:ascii="宋体" w:eastAsia="宋体" w:hAnsi="宋体" w:cs="宋体" w:hint="eastAsia"/>
        </w:rPr>
        <w:t>生产区</w:t>
      </w:r>
      <w:r>
        <w:rPr>
          <w:rFonts w:ascii="宋体" w:eastAsia="宋体" w:hAnsi="宋体" w:cs="宋体"/>
        </w:rPr>
        <w:t>，</w:t>
      </w:r>
      <w:r>
        <w:rPr>
          <w:rFonts w:ascii="宋体" w:eastAsia="宋体" w:hAnsi="宋体" w:cs="宋体" w:hint="eastAsia"/>
        </w:rPr>
        <w:t>泥水收集池</w:t>
      </w:r>
      <w:r>
        <w:rPr>
          <w:rFonts w:ascii="宋体" w:eastAsia="宋体" w:hAnsi="宋体" w:cs="宋体"/>
        </w:rPr>
        <w:t>位于清淤区西侧，紧邻清淤区位置，属于水库管理用地范围内，故本项目属于陆生和水生生态影响兼有的复合影响型，根据《环境影响评价技术导则生态影响》</w:t>
      </w:r>
      <w:r>
        <w:t>（</w:t>
      </w:r>
      <w:r>
        <w:t>HJ19-2022</w:t>
      </w:r>
      <w:r>
        <w:t>）中</w:t>
      </w:r>
      <w:r>
        <w:t>“6.1.4”</w:t>
      </w:r>
      <w:r>
        <w:t>，建设项目同时涉及陆生、水生生态影响时，可针对陆生生态、水生生态分别判定评价等级。</w:t>
      </w:r>
    </w:p>
    <w:p w14:paraId="728DDF86" w14:textId="77777777" w:rsidR="009D12AF" w:rsidRDefault="00000000">
      <w:pPr>
        <w:ind w:firstLine="480"/>
      </w:pPr>
      <w:r>
        <w:t>1</w:t>
      </w:r>
      <w:r>
        <w:t>、陆生生态</w:t>
      </w:r>
      <w:r>
        <w:t xml:space="preserve"> </w:t>
      </w:r>
    </w:p>
    <w:p w14:paraId="47C515B5" w14:textId="77777777" w:rsidR="009D12AF" w:rsidRDefault="00000000">
      <w:pPr>
        <w:ind w:firstLine="480"/>
      </w:pPr>
      <w:r>
        <w:t>本工程临时占用陆域面积</w:t>
      </w:r>
      <w:r>
        <w:rPr>
          <w:rFonts w:hint="eastAsia"/>
        </w:rPr>
        <w:t>：向阳水电站前池：</w:t>
      </w:r>
      <w:r>
        <w:rPr>
          <w:rFonts w:hint="eastAsia"/>
        </w:rPr>
        <w:t>1629.69</w:t>
      </w:r>
      <w:r>
        <w:t>m²</w:t>
      </w:r>
      <w:r>
        <w:t>，</w:t>
      </w:r>
      <w:r>
        <w:rPr>
          <w:rFonts w:hint="eastAsia"/>
        </w:rPr>
        <w:t>新安晒水池：</w:t>
      </w:r>
      <w:r>
        <w:rPr>
          <w:rFonts w:hint="eastAsia"/>
        </w:rPr>
        <w:t>4205.1</w:t>
      </w:r>
      <w:r>
        <w:t>m²</w:t>
      </w:r>
      <w:r>
        <w:t>，</w:t>
      </w:r>
      <w:r>
        <w:rPr>
          <w:rFonts w:hint="eastAsia"/>
        </w:rPr>
        <w:t>万丈水库：</w:t>
      </w:r>
      <w:r>
        <w:rPr>
          <w:rFonts w:hint="eastAsia"/>
        </w:rPr>
        <w:t>1393.88</w:t>
      </w:r>
      <w:r>
        <w:t>m²</w:t>
      </w:r>
      <w:r>
        <w:t>，</w:t>
      </w:r>
      <w:r>
        <w:rPr>
          <w:rFonts w:hint="eastAsia"/>
        </w:rPr>
        <w:t>长石水库：</w:t>
      </w:r>
      <w:r>
        <w:rPr>
          <w:rFonts w:hint="eastAsia"/>
        </w:rPr>
        <w:t>11988.05</w:t>
      </w:r>
      <w:r>
        <w:t>m²</w:t>
      </w:r>
      <w:r>
        <w:t>，</w:t>
      </w:r>
      <w:r>
        <w:rPr>
          <w:rFonts w:hint="eastAsia"/>
        </w:rPr>
        <w:t>群力水库：</w:t>
      </w:r>
      <w:r>
        <w:rPr>
          <w:rFonts w:hint="eastAsia"/>
        </w:rPr>
        <w:t>10656.14</w:t>
      </w:r>
      <w:r>
        <w:t>m²</w:t>
      </w:r>
      <w:r>
        <w:t>，</w:t>
      </w:r>
      <w:r>
        <w:rPr>
          <w:rFonts w:hint="eastAsia"/>
        </w:rPr>
        <w:t>均</w:t>
      </w:r>
      <w:r>
        <w:t>小于</w:t>
      </w:r>
      <w:r>
        <w:t>20km</w:t>
      </w:r>
      <w:r>
        <w:rPr>
          <w:vertAlign w:val="superscript"/>
        </w:rPr>
        <w:t>2</w:t>
      </w:r>
      <w:r>
        <w:rPr>
          <w:rFonts w:hint="eastAsia"/>
        </w:rPr>
        <w:t>。</w:t>
      </w:r>
      <w:r>
        <w:t>本项目</w:t>
      </w:r>
      <w:r>
        <w:rPr>
          <w:rFonts w:hint="eastAsia"/>
        </w:rPr>
        <w:t>群力水库</w:t>
      </w:r>
      <w:r>
        <w:t>清淤范围</w:t>
      </w:r>
      <w:r>
        <w:rPr>
          <w:rFonts w:hint="eastAsia"/>
        </w:rPr>
        <w:t>涉及</w:t>
      </w:r>
      <w:r>
        <w:t>黑</w:t>
      </w:r>
      <w:r>
        <w:rPr>
          <w:rFonts w:hint="eastAsia"/>
        </w:rPr>
        <w:t>龙</w:t>
      </w:r>
      <w:r>
        <w:t>江威虎山</w:t>
      </w:r>
      <w:r>
        <w:rPr>
          <w:rFonts w:hint="eastAsia"/>
        </w:rPr>
        <w:t>国</w:t>
      </w:r>
      <w:r>
        <w:t>家森林公园</w:t>
      </w:r>
      <w:r>
        <w:rPr>
          <w:rFonts w:hint="eastAsia"/>
        </w:rPr>
        <w:t>和</w:t>
      </w:r>
      <w:r>
        <w:t>黑</w:t>
      </w:r>
      <w:r>
        <w:t xml:space="preserve"> </w:t>
      </w:r>
      <w:r>
        <w:t>江海林莲花湖省</w:t>
      </w:r>
      <w:r>
        <w:rPr>
          <w:rFonts w:hint="eastAsia"/>
        </w:rPr>
        <w:t>级</w:t>
      </w:r>
      <w:r>
        <w:t>自然保</w:t>
      </w:r>
      <w:r>
        <w:rPr>
          <w:rFonts w:hint="eastAsia"/>
        </w:rPr>
        <w:t>护区；向阳水电站前池、新安晒水池、万丈水库、长石水库均</w:t>
      </w:r>
      <w:r>
        <w:t>不涉及国家公园、自然保护区、世界自然遗产、重要生境、自然公园和生态保护红线；地下水水位或土壤影响范围内无天然林、公益林、湿地等生态保护目标。综上，本项目</w:t>
      </w:r>
      <w:r>
        <w:rPr>
          <w:rFonts w:hint="eastAsia"/>
        </w:rPr>
        <w:t>群力水库</w:t>
      </w:r>
      <w:r>
        <w:t>陆生生态影响评价等级确定为</w:t>
      </w:r>
      <w:r>
        <w:rPr>
          <w:rFonts w:hint="eastAsia"/>
        </w:rPr>
        <w:t>一</w:t>
      </w:r>
      <w:r>
        <w:t>级</w:t>
      </w:r>
      <w:r>
        <w:rPr>
          <w:rFonts w:hint="eastAsia"/>
        </w:rPr>
        <w:t>，向阳水电站前池、新安晒水池、万丈水库、长石水库</w:t>
      </w:r>
      <w:r>
        <w:t>陆生生态影响评价等级确定为</w:t>
      </w:r>
      <w:r>
        <w:rPr>
          <w:rFonts w:hint="eastAsia"/>
        </w:rPr>
        <w:t>三</w:t>
      </w:r>
      <w:r>
        <w:t>级。</w:t>
      </w:r>
    </w:p>
    <w:p w14:paraId="6EDEAEAC" w14:textId="77777777" w:rsidR="009D12AF" w:rsidRDefault="00000000">
      <w:pPr>
        <w:numPr>
          <w:ilvl w:val="0"/>
          <w:numId w:val="1"/>
        </w:numPr>
        <w:ind w:firstLine="480"/>
      </w:pPr>
      <w:r>
        <w:t>水生生态</w:t>
      </w:r>
      <w:r>
        <w:t xml:space="preserve"> </w:t>
      </w:r>
    </w:p>
    <w:p w14:paraId="6FDFE83B" w14:textId="77777777" w:rsidR="009D12AF" w:rsidRDefault="00000000">
      <w:pPr>
        <w:ind w:firstLine="480"/>
      </w:pPr>
      <w:r>
        <w:t>根据《环境影响评价技术导则生态影响》（</w:t>
      </w:r>
      <w:r>
        <w:t>HJ19-2022</w:t>
      </w:r>
      <w:r>
        <w:t>）</w:t>
      </w:r>
      <w:r>
        <w:t xml:space="preserve"> “6.1.2</w:t>
      </w:r>
      <w:r>
        <w:t>中</w:t>
      </w:r>
      <w:r>
        <w:t>e”</w:t>
      </w:r>
      <w:r>
        <w:t>，水文要素影响型且地表水评价等级不低于二级的建设项目，生态影响评价等级不低于二级</w:t>
      </w:r>
      <w:r>
        <w:rPr>
          <w:rFonts w:hint="eastAsia"/>
        </w:rPr>
        <w:t>。</w:t>
      </w:r>
      <w:r>
        <w:t>本项目地表水水文要素型评价等级为二级；本项目为水库清淤工程，不对水库进行扩建，不会明显改变水文情势；</w:t>
      </w:r>
      <w:r>
        <w:rPr>
          <w:rFonts w:hint="eastAsia"/>
        </w:rPr>
        <w:t>鱼类“三场”评价水域无国家重点保护动物和濒危鱼类分布，不涉及重要水生生境，因此，</w:t>
      </w:r>
      <w:r>
        <w:t>项目不涉及水生生态敏感区。综上，水生生态评价等级为二级。</w:t>
      </w:r>
    </w:p>
    <w:p w14:paraId="7BDD0110" w14:textId="77777777" w:rsidR="009D12AF" w:rsidRDefault="00000000">
      <w:pPr>
        <w:ind w:firstLine="480"/>
      </w:pPr>
      <w:r>
        <w:rPr>
          <w:rFonts w:hint="eastAsia"/>
        </w:rPr>
        <w:t>3</w:t>
      </w:r>
      <w:r>
        <w:rPr>
          <w:rFonts w:hint="eastAsia"/>
        </w:rPr>
        <w:t>、评价范围</w:t>
      </w:r>
    </w:p>
    <w:p w14:paraId="687EB6B9" w14:textId="77777777" w:rsidR="009D12AF" w:rsidRDefault="00000000">
      <w:pPr>
        <w:ind w:firstLine="480"/>
      </w:pPr>
      <w:r>
        <w:rPr>
          <w:rFonts w:hint="eastAsia"/>
        </w:rPr>
        <w:t>（</w:t>
      </w:r>
      <w:r>
        <w:rPr>
          <w:rFonts w:hint="eastAsia"/>
        </w:rPr>
        <w:t>1</w:t>
      </w:r>
      <w:r>
        <w:rPr>
          <w:rFonts w:hint="eastAsia"/>
        </w:rPr>
        <w:t>）陆生生态</w:t>
      </w:r>
    </w:p>
    <w:p w14:paraId="6034D768" w14:textId="77777777" w:rsidR="009D12AF" w:rsidRDefault="00000000">
      <w:pPr>
        <w:ind w:firstLine="480"/>
        <w:rPr>
          <w:rFonts w:ascii="Times New Roman" w:eastAsia="宋体" w:hAnsi="Times New Roman" w:cs="Times New Roman"/>
          <w:kern w:val="0"/>
        </w:rPr>
      </w:pPr>
      <w:r>
        <w:rPr>
          <w:rFonts w:ascii="Times New Roman" w:eastAsia="宋体" w:hAnsi="Times New Roman" w:cs="Times New Roman" w:hint="eastAsia"/>
          <w:kern w:val="0"/>
        </w:rPr>
        <w:t>群力水库评价范围</w:t>
      </w:r>
      <w:r>
        <w:rPr>
          <w:rFonts w:ascii="Times New Roman" w:eastAsia="宋体" w:hAnsi="Times New Roman" w:cs="Times New Roman"/>
          <w:kern w:val="0"/>
        </w:rPr>
        <w:t>包括</w:t>
      </w:r>
      <w:r>
        <w:rPr>
          <w:rFonts w:ascii="Times New Roman" w:eastAsia="宋体" w:hAnsi="Times New Roman" w:cs="Times New Roman" w:hint="eastAsia"/>
          <w:kern w:val="0"/>
        </w:rPr>
        <w:t>群力水库和</w:t>
      </w:r>
      <w:r>
        <w:rPr>
          <w:rFonts w:ascii="Times New Roman" w:eastAsia="宋体" w:hAnsi="Times New Roman" w:cs="Times New Roman"/>
          <w:kern w:val="0"/>
        </w:rPr>
        <w:t>工程建设征地范围等在内的连续区域，评价范围总面积</w:t>
      </w:r>
      <w:r>
        <w:rPr>
          <w:rFonts w:ascii="Times New Roman" w:eastAsia="宋体" w:hAnsi="Times New Roman" w:cs="Times New Roman" w:hint="eastAsia"/>
          <w:kern w:val="0"/>
        </w:rPr>
        <w:t>947.18h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kern w:val="0"/>
        </w:rPr>
        <w:t>，其中包括</w:t>
      </w:r>
      <w:r>
        <w:rPr>
          <w:rFonts w:ascii="Times New Roman" w:eastAsia="宋体" w:hAnsi="Times New Roman" w:cs="Times New Roman" w:hint="eastAsia"/>
          <w:kern w:val="0"/>
        </w:rPr>
        <w:t>群力水库</w:t>
      </w:r>
      <w:r>
        <w:rPr>
          <w:rFonts w:ascii="Times New Roman" w:eastAsia="宋体" w:hAnsi="Times New Roman" w:cs="Times New Roman"/>
          <w:kern w:val="0"/>
        </w:rPr>
        <w:t>区（</w:t>
      </w:r>
      <w:r>
        <w:rPr>
          <w:rFonts w:ascii="Times New Roman" w:eastAsia="宋体" w:hAnsi="Times New Roman" w:cs="Times New Roman" w:hint="eastAsia"/>
          <w:kern w:val="0"/>
        </w:rPr>
        <w:t>105.68h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kern w:val="0"/>
        </w:rPr>
        <w:t>）、工程建设区（包括临时占地</w:t>
      </w:r>
      <w:r>
        <w:rPr>
          <w:rFonts w:ascii="Times New Roman" w:eastAsia="宋体" w:hAnsi="Times New Roman" w:cs="Times New Roman" w:hint="eastAsia"/>
          <w:kern w:val="0"/>
        </w:rPr>
        <w:t>1.26h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kern w:val="0"/>
        </w:rPr>
        <w:t>）</w:t>
      </w:r>
      <w:r>
        <w:rPr>
          <w:rFonts w:ascii="Times New Roman" w:eastAsia="宋体" w:hAnsi="Times New Roman" w:cs="Times New Roman" w:hint="eastAsia"/>
          <w:kern w:val="0"/>
        </w:rPr>
        <w:t>，除群力水库外其余清淤区域评价范围为清淤项目及周围</w:t>
      </w:r>
      <w:r>
        <w:rPr>
          <w:rFonts w:ascii="Times New Roman" w:eastAsia="宋体" w:hAnsi="Times New Roman" w:cs="Times New Roman" w:hint="eastAsia"/>
          <w:kern w:val="0"/>
        </w:rPr>
        <w:t>300m</w:t>
      </w:r>
      <w:r>
        <w:rPr>
          <w:rFonts w:ascii="Times New Roman" w:eastAsia="宋体" w:hAnsi="Times New Roman" w:cs="Times New Roman" w:hint="eastAsia"/>
          <w:kern w:val="0"/>
        </w:rPr>
        <w:t>范围区域。</w:t>
      </w:r>
    </w:p>
    <w:p w14:paraId="6638A8D0" w14:textId="77777777" w:rsidR="009D12AF" w:rsidRDefault="00000000">
      <w:pPr>
        <w:ind w:firstLine="480"/>
      </w:pPr>
      <w:r>
        <w:rPr>
          <w:rFonts w:hint="eastAsia"/>
        </w:rPr>
        <w:lastRenderedPageBreak/>
        <w:t>（</w:t>
      </w:r>
      <w:r>
        <w:rPr>
          <w:rFonts w:hint="eastAsia"/>
        </w:rPr>
        <w:t>2</w:t>
      </w:r>
      <w:r>
        <w:rPr>
          <w:rFonts w:hint="eastAsia"/>
        </w:rPr>
        <w:t>）水生生态</w:t>
      </w:r>
    </w:p>
    <w:p w14:paraId="26B13351" w14:textId="77777777" w:rsidR="009D12AF" w:rsidRDefault="00000000">
      <w:pPr>
        <w:ind w:firstLine="480"/>
      </w:pPr>
      <w:r>
        <w:t>水生生态环境影响评价范围：</w:t>
      </w:r>
      <w:r>
        <w:rPr>
          <w:rFonts w:ascii="Times New Roman" w:hAnsi="Times New Roman" w:cs="Times New Roman"/>
          <w:color w:val="000000" w:themeColor="text1"/>
        </w:rPr>
        <w:t>结合项目可能影响到的环境风险目标，确定</w:t>
      </w:r>
      <w:r>
        <w:rPr>
          <w:rFonts w:ascii="Times New Roman" w:hAnsi="Times New Roman" w:cs="Times New Roman" w:hint="eastAsia"/>
          <w:color w:val="000000" w:themeColor="text1"/>
        </w:rPr>
        <w:t>群力水库评价范围为</w:t>
      </w:r>
      <w:r>
        <w:rPr>
          <w:rFonts w:ascii="Times New Roman" w:hAnsi="Times New Roman" w:cs="Times New Roman" w:hint="eastAsia"/>
          <w:color w:val="000000" w:themeColor="text1"/>
        </w:rPr>
        <w:t>105.68</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hint="eastAsia"/>
          <w:kern w:val="0"/>
        </w:rPr>
        <w:t>、长石水库评价范围为</w:t>
      </w:r>
      <w:r>
        <w:rPr>
          <w:rFonts w:ascii="Times New Roman" w:hAnsi="Times New Roman" w:cs="Times New Roman" w:hint="eastAsia"/>
          <w:color w:val="000000" w:themeColor="text1"/>
        </w:rPr>
        <w:t>12</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hint="eastAsia"/>
          <w:kern w:val="0"/>
        </w:rPr>
        <w:t>、万丈水库评价范围为</w:t>
      </w:r>
      <w:r>
        <w:rPr>
          <w:rFonts w:ascii="Times New Roman" w:hAnsi="Times New Roman" w:cs="Times New Roman" w:hint="eastAsia"/>
          <w:color w:val="000000" w:themeColor="text1"/>
        </w:rPr>
        <w:t>30</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hint="eastAsia"/>
          <w:kern w:val="0"/>
        </w:rPr>
        <w:t>、向阳水电站前池评价范围为</w:t>
      </w:r>
      <w:r>
        <w:rPr>
          <w:rFonts w:ascii="Times New Roman" w:hAnsi="Times New Roman" w:cs="Times New Roman" w:hint="eastAsia"/>
          <w:color w:val="000000" w:themeColor="text1"/>
        </w:rPr>
        <w:t>16</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hint="eastAsia"/>
          <w:kern w:val="0"/>
        </w:rPr>
        <w:t>、新安晒水池评价范围为</w:t>
      </w:r>
      <w:r>
        <w:rPr>
          <w:rFonts w:ascii="Times New Roman" w:hAnsi="Times New Roman" w:cs="Times New Roman" w:hint="eastAsia"/>
          <w:color w:val="000000" w:themeColor="text1"/>
        </w:rPr>
        <w:t>36</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hAnsi="Times New Roman" w:cs="Times New Roman"/>
          <w:color w:val="000000" w:themeColor="text1"/>
        </w:rPr>
        <w:t>。</w:t>
      </w:r>
    </w:p>
    <w:p w14:paraId="770A78A6" w14:textId="77777777" w:rsidR="009D12AF" w:rsidRDefault="00000000">
      <w:pPr>
        <w:pStyle w:val="3"/>
      </w:pPr>
      <w:bookmarkStart w:id="89" w:name="_Toc7211"/>
      <w:bookmarkStart w:id="90" w:name="_Toc24311"/>
      <w:bookmarkStart w:id="91" w:name="_Toc4441"/>
      <w:bookmarkStart w:id="92" w:name="_Toc9708"/>
      <w:r>
        <w:rPr>
          <w:rFonts w:hint="eastAsia"/>
        </w:rPr>
        <w:t>2</w:t>
      </w:r>
      <w:r>
        <w:t>.</w:t>
      </w:r>
      <w:r>
        <w:rPr>
          <w:rFonts w:hint="eastAsia"/>
        </w:rPr>
        <w:t>5</w:t>
      </w:r>
      <w:r>
        <w:t>.</w:t>
      </w:r>
      <w:r>
        <w:rPr>
          <w:rFonts w:hint="eastAsia"/>
        </w:rPr>
        <w:t>6</w:t>
      </w:r>
      <w:r>
        <w:t xml:space="preserve"> </w:t>
      </w:r>
      <w:r>
        <w:rPr>
          <w:rFonts w:hint="eastAsia"/>
        </w:rPr>
        <w:t>环境风险</w:t>
      </w:r>
      <w:bookmarkEnd w:id="89"/>
      <w:bookmarkEnd w:id="90"/>
      <w:bookmarkEnd w:id="91"/>
    </w:p>
    <w:p w14:paraId="67C36A6B" w14:textId="77777777" w:rsidR="009D12AF" w:rsidRDefault="00000000">
      <w:pPr>
        <w:ind w:firstLine="480"/>
        <w:rPr>
          <w:highlight w:val="yellow"/>
        </w:rPr>
      </w:pPr>
      <w:r>
        <w:rPr>
          <w:rFonts w:hint="eastAsia"/>
        </w:rPr>
        <w:t>根据《建设项目环境风险评价技术导则》（</w:t>
      </w:r>
      <w:r>
        <w:rPr>
          <w:rFonts w:hint="eastAsia"/>
        </w:rPr>
        <w:t>HJ169-2018</w:t>
      </w:r>
      <w:r>
        <w:rPr>
          <w:rFonts w:hint="eastAsia"/>
        </w:rPr>
        <w:t>）规定，环境风险评价工作等级</w:t>
      </w:r>
      <w:r>
        <w:rPr>
          <w:rFonts w:hint="eastAsia"/>
        </w:rPr>
        <w:t xml:space="preserve"> </w:t>
      </w:r>
      <w:r>
        <w:rPr>
          <w:rFonts w:hint="eastAsia"/>
        </w:rPr>
        <w:t>根据建设项目涉及的物质及工艺系统危险性和所在地的环境敏感性确定环境风险潜势。建设项目环境风险评价工作级别判定按下表判定。</w:t>
      </w:r>
    </w:p>
    <w:p w14:paraId="4ED67D49" w14:textId="77777777" w:rsidR="009D12AF" w:rsidRDefault="00000000">
      <w:pPr>
        <w:ind w:firstLineChars="0" w:firstLine="0"/>
        <w:jc w:val="center"/>
        <w:rPr>
          <w:b/>
          <w:bCs/>
        </w:rPr>
      </w:pPr>
      <w:r>
        <w:rPr>
          <w:rFonts w:hint="eastAsia"/>
          <w:b/>
          <w:bCs/>
        </w:rPr>
        <w:t>表</w:t>
      </w:r>
      <w:r>
        <w:rPr>
          <w:rFonts w:hint="eastAsia"/>
          <w:b/>
          <w:bCs/>
        </w:rPr>
        <w:t>2.5-7</w:t>
      </w:r>
      <w:r>
        <w:rPr>
          <w:rFonts w:hint="eastAsia"/>
          <w:b/>
          <w:bCs/>
        </w:rPr>
        <w:t>项目危险物质存储情况</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561"/>
        <w:gridCol w:w="1668"/>
        <w:gridCol w:w="1558"/>
        <w:gridCol w:w="2037"/>
        <w:gridCol w:w="1698"/>
      </w:tblGrid>
      <w:tr w:rsidR="009D12AF" w14:paraId="1F742CCB" w14:textId="77777777">
        <w:trPr>
          <w:trHeight w:val="628"/>
        </w:trPr>
        <w:tc>
          <w:tcPr>
            <w:tcW w:w="915" w:type="pct"/>
            <w:vAlign w:val="center"/>
          </w:tcPr>
          <w:p w14:paraId="15914160"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环境风险潜势</w:t>
            </w:r>
          </w:p>
        </w:tc>
        <w:tc>
          <w:tcPr>
            <w:tcW w:w="978" w:type="pct"/>
            <w:vAlign w:val="center"/>
          </w:tcPr>
          <w:p w14:paraId="0085A9E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微软雅黑" w:eastAsia="微软雅黑" w:hAnsi="微软雅黑" w:cs="微软雅黑" w:hint="eastAsia"/>
                <w:snapToGrid w:val="0"/>
                <w:kern w:val="0"/>
                <w:sz w:val="21"/>
                <w:szCs w:val="16"/>
                <w:lang w:val="en-GB"/>
              </w:rPr>
              <w:t>Ⅳ</w:t>
            </w:r>
            <w:r>
              <w:rPr>
                <w:rFonts w:ascii="Times New Roman" w:eastAsia="宋体" w:hAnsi="Times New Roman" w:cs="Times New Roman" w:hint="eastAsia"/>
                <w:snapToGrid w:val="0"/>
                <w:kern w:val="0"/>
                <w:sz w:val="21"/>
                <w:szCs w:val="16"/>
                <w:lang w:val="en-GB"/>
              </w:rPr>
              <w:t>、</w:t>
            </w:r>
            <w:r>
              <w:rPr>
                <w:rFonts w:ascii="微软雅黑" w:eastAsia="微软雅黑" w:hAnsi="微软雅黑" w:cs="微软雅黑" w:hint="eastAsia"/>
                <w:snapToGrid w:val="0"/>
                <w:kern w:val="0"/>
                <w:sz w:val="21"/>
                <w:szCs w:val="16"/>
                <w:lang w:val="en-GB"/>
              </w:rPr>
              <w:t>Ⅳ</w:t>
            </w:r>
            <w:r>
              <w:rPr>
                <w:rFonts w:ascii="Times New Roman" w:eastAsia="宋体" w:hAnsi="Times New Roman" w:cs="Times New Roman" w:hint="eastAsia"/>
                <w:snapToGrid w:val="0"/>
                <w:kern w:val="0"/>
                <w:sz w:val="21"/>
                <w:szCs w:val="16"/>
                <w:vertAlign w:val="superscript"/>
              </w:rPr>
              <w:t>+</w:t>
            </w:r>
          </w:p>
        </w:tc>
        <w:tc>
          <w:tcPr>
            <w:tcW w:w="914" w:type="pct"/>
            <w:vAlign w:val="center"/>
          </w:tcPr>
          <w:p w14:paraId="22D425A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微软雅黑" w:eastAsia="微软雅黑" w:hAnsi="微软雅黑" w:cs="微软雅黑" w:hint="eastAsia"/>
                <w:snapToGrid w:val="0"/>
                <w:kern w:val="0"/>
                <w:sz w:val="21"/>
                <w:szCs w:val="16"/>
                <w:lang w:val="en-GB"/>
              </w:rPr>
              <w:t>Ⅲ</w:t>
            </w:r>
          </w:p>
        </w:tc>
        <w:tc>
          <w:tcPr>
            <w:tcW w:w="1195" w:type="pct"/>
            <w:vAlign w:val="center"/>
          </w:tcPr>
          <w:p w14:paraId="3FB5B25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微软雅黑" w:eastAsia="微软雅黑" w:hAnsi="微软雅黑" w:cs="微软雅黑" w:hint="eastAsia"/>
                <w:snapToGrid w:val="0"/>
                <w:kern w:val="0"/>
                <w:sz w:val="21"/>
                <w:szCs w:val="16"/>
                <w:lang w:val="en-GB"/>
              </w:rPr>
              <w:t>Ⅱ</w:t>
            </w:r>
          </w:p>
        </w:tc>
        <w:tc>
          <w:tcPr>
            <w:tcW w:w="996" w:type="pct"/>
            <w:vAlign w:val="center"/>
          </w:tcPr>
          <w:p w14:paraId="38869E50"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宋体" w:eastAsia="宋体" w:hAnsi="宋体" w:cs="宋体" w:hint="eastAsia"/>
                <w:snapToGrid w:val="0"/>
                <w:kern w:val="0"/>
                <w:sz w:val="21"/>
                <w:szCs w:val="16"/>
                <w:lang w:val="en-GB"/>
              </w:rPr>
              <w:t>Ⅰ</w:t>
            </w:r>
          </w:p>
        </w:tc>
      </w:tr>
      <w:tr w:rsidR="009D12AF" w14:paraId="093E4999" w14:textId="77777777">
        <w:tc>
          <w:tcPr>
            <w:tcW w:w="915" w:type="pct"/>
            <w:vAlign w:val="center"/>
          </w:tcPr>
          <w:p w14:paraId="46E7376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评价工作等级</w:t>
            </w:r>
          </w:p>
        </w:tc>
        <w:tc>
          <w:tcPr>
            <w:tcW w:w="978" w:type="pct"/>
            <w:vAlign w:val="center"/>
          </w:tcPr>
          <w:p w14:paraId="2F44FAC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一</w:t>
            </w:r>
          </w:p>
        </w:tc>
        <w:tc>
          <w:tcPr>
            <w:tcW w:w="914" w:type="pct"/>
            <w:vAlign w:val="center"/>
          </w:tcPr>
          <w:p w14:paraId="0454888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二</w:t>
            </w:r>
          </w:p>
        </w:tc>
        <w:tc>
          <w:tcPr>
            <w:tcW w:w="1195" w:type="pct"/>
            <w:vAlign w:val="center"/>
          </w:tcPr>
          <w:p w14:paraId="3A0617F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三</w:t>
            </w:r>
          </w:p>
        </w:tc>
        <w:tc>
          <w:tcPr>
            <w:tcW w:w="996" w:type="pct"/>
            <w:vAlign w:val="center"/>
          </w:tcPr>
          <w:p w14:paraId="16D1C9F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简单分析</w:t>
            </w:r>
          </w:p>
        </w:tc>
      </w:tr>
    </w:tbl>
    <w:p w14:paraId="359A3AE4" w14:textId="77777777" w:rsidR="009D12AF" w:rsidRDefault="00000000">
      <w:pPr>
        <w:ind w:firstLine="480"/>
      </w:pPr>
      <w:r>
        <w:rPr>
          <w:rFonts w:hint="eastAsia"/>
        </w:rPr>
        <w:t>本项目为清淤工程，运行期不排放污染物，也不涉及危险化学品；施工期不设柴油储罐区，施工机械设备到附近加油站加油，存在的风险源主要是施工期机械设备使用的油料，按照《建设项目环境风险评价技术导则》（</w:t>
      </w:r>
      <w:r>
        <w:rPr>
          <w:rFonts w:hint="eastAsia"/>
        </w:rPr>
        <w:t>HJ169-2018</w:t>
      </w:r>
      <w:r>
        <w:rPr>
          <w:rFonts w:hint="eastAsia"/>
        </w:rPr>
        <w:t>），本项目</w:t>
      </w:r>
      <w:r>
        <w:rPr>
          <w:rFonts w:hint="eastAsia"/>
        </w:rPr>
        <w:t>Q</w:t>
      </w:r>
      <w:r>
        <w:rPr>
          <w:rFonts w:hint="eastAsia"/>
        </w:rPr>
        <w:t>＜</w:t>
      </w:r>
      <w:r>
        <w:rPr>
          <w:rFonts w:hint="eastAsia"/>
        </w:rPr>
        <w:t>1</w:t>
      </w:r>
      <w:r>
        <w:rPr>
          <w:rFonts w:hint="eastAsia"/>
        </w:rPr>
        <w:t>，环境风险潜势为Ⅰ，风险评价工作级别定为简单分析。</w:t>
      </w:r>
    </w:p>
    <w:p w14:paraId="78D1FB2A" w14:textId="77777777" w:rsidR="009D12AF" w:rsidRDefault="00000000">
      <w:pPr>
        <w:pStyle w:val="3"/>
      </w:pPr>
      <w:bookmarkStart w:id="93" w:name="_Toc8018"/>
      <w:bookmarkStart w:id="94" w:name="_Toc2147"/>
      <w:bookmarkStart w:id="95" w:name="_Toc26504"/>
      <w:r>
        <w:rPr>
          <w:rFonts w:hint="eastAsia"/>
        </w:rPr>
        <w:t>2</w:t>
      </w:r>
      <w:r>
        <w:t>.</w:t>
      </w:r>
      <w:r>
        <w:rPr>
          <w:rFonts w:hint="eastAsia"/>
        </w:rPr>
        <w:t>5</w:t>
      </w:r>
      <w:r>
        <w:t>.</w:t>
      </w:r>
      <w:r>
        <w:rPr>
          <w:rFonts w:hint="eastAsia"/>
        </w:rPr>
        <w:t>7</w:t>
      </w:r>
      <w:r>
        <w:t xml:space="preserve"> </w:t>
      </w:r>
      <w:r>
        <w:t>土壤环境</w:t>
      </w:r>
      <w:bookmarkEnd w:id="92"/>
      <w:bookmarkEnd w:id="93"/>
      <w:bookmarkEnd w:id="94"/>
      <w:bookmarkEnd w:id="95"/>
    </w:p>
    <w:p w14:paraId="2A9D7F42" w14:textId="77777777" w:rsidR="009D12AF" w:rsidRDefault="00000000">
      <w:pPr>
        <w:ind w:firstLine="480"/>
      </w:pPr>
      <w:r>
        <w:rPr>
          <w:rFonts w:eastAsia="宋体"/>
        </w:rPr>
        <w:t>根据《环境影响评价技术导则土壤环境（试行）》（</w:t>
      </w:r>
      <w:r>
        <w:rPr>
          <w:rFonts w:eastAsia="宋体"/>
        </w:rPr>
        <w:t>HJ964-2018</w:t>
      </w:r>
      <w:r>
        <w:rPr>
          <w:rFonts w:eastAsia="宋体"/>
        </w:rPr>
        <w:t>），本项目评价等级划分应生态影响和污染影响复合型划分。</w:t>
      </w:r>
    </w:p>
    <w:p w14:paraId="7727CA56" w14:textId="77777777" w:rsidR="009D12AF" w:rsidRDefault="00000000">
      <w:pPr>
        <w:ind w:firstLine="480"/>
        <w:rPr>
          <w:rFonts w:ascii="宋体" w:eastAsia="宋体" w:hAnsi="宋体" w:cs="宋体" w:hint="eastAsia"/>
        </w:rPr>
      </w:pPr>
      <w:r>
        <w:rPr>
          <w:rFonts w:ascii="宋体" w:eastAsia="宋体" w:hAnsi="宋体" w:cs="宋体" w:hint="eastAsia"/>
        </w:rPr>
        <w:t>（1）生态影响型评价工作等级</w:t>
      </w:r>
    </w:p>
    <w:p w14:paraId="4C8A2A65" w14:textId="77777777" w:rsidR="009D12AF" w:rsidRDefault="00000000">
      <w:pPr>
        <w:ind w:firstLine="480"/>
        <w:rPr>
          <w:rFonts w:ascii="宋体" w:eastAsia="宋体" w:hAnsi="宋体" w:cs="宋体" w:hint="eastAsia"/>
        </w:rPr>
      </w:pPr>
      <w:r>
        <w:rPr>
          <w:rFonts w:ascii="宋体" w:eastAsia="宋体" w:hAnsi="宋体" w:cs="宋体" w:hint="eastAsia"/>
        </w:rPr>
        <w:t>①根据《环境影响评价技术导则土壤环境（试行）》（HJ964-2018）中规定的环境影响识别方法，根据附录A，本项目属于“水利”中的“其他”类别，属于土壤环境影响评价项目类别中为Ⅲ类项目。</w:t>
      </w:r>
    </w:p>
    <w:p w14:paraId="6B8946EC" w14:textId="77777777" w:rsidR="009D12AF" w:rsidRDefault="00000000">
      <w:pPr>
        <w:ind w:firstLine="480"/>
      </w:pPr>
      <w:r>
        <w:rPr>
          <w:rFonts w:hint="eastAsia"/>
        </w:rPr>
        <w:t>②</w:t>
      </w:r>
      <w:r>
        <w:t>土壤环境敏感程度分析</w:t>
      </w:r>
    </w:p>
    <w:p w14:paraId="0C72AA99" w14:textId="77777777" w:rsidR="009D12AF" w:rsidRDefault="00000000">
      <w:pPr>
        <w:ind w:firstLine="480"/>
      </w:pPr>
      <w:r>
        <w:rPr>
          <w:rFonts w:hint="eastAsia"/>
        </w:rPr>
        <w:t>建设项目</w:t>
      </w:r>
      <w:r>
        <w:t>所在地土壤环境敏感程度分为敏感、较敏感、不敏感，详见表</w:t>
      </w:r>
      <w:r>
        <w:rPr>
          <w:rFonts w:hint="eastAsia"/>
        </w:rPr>
        <w:t>2.5-8</w:t>
      </w:r>
      <w:r>
        <w:t>。</w:t>
      </w:r>
    </w:p>
    <w:p w14:paraId="26076190" w14:textId="77777777" w:rsidR="009D12AF" w:rsidRDefault="009D12AF">
      <w:pPr>
        <w:ind w:firstLineChars="0" w:firstLine="0"/>
        <w:jc w:val="center"/>
        <w:rPr>
          <w:b/>
          <w:bCs/>
        </w:rPr>
      </w:pPr>
    </w:p>
    <w:p w14:paraId="04368AB6" w14:textId="77777777" w:rsidR="009D12AF" w:rsidRDefault="00000000">
      <w:pPr>
        <w:ind w:firstLineChars="0" w:firstLine="0"/>
        <w:jc w:val="center"/>
      </w:pPr>
      <w:r>
        <w:rPr>
          <w:b/>
          <w:bCs/>
        </w:rPr>
        <w:lastRenderedPageBreak/>
        <w:t>表</w:t>
      </w:r>
      <w:r>
        <w:rPr>
          <w:rFonts w:hint="eastAsia"/>
          <w:b/>
          <w:bCs/>
        </w:rPr>
        <w:t>2.5-8</w:t>
      </w:r>
      <w:r>
        <w:rPr>
          <w:b/>
          <w:bCs/>
        </w:rPr>
        <w:t>生态影响型敏感程度分级表</w:t>
      </w:r>
    </w:p>
    <w:tbl>
      <w:tblPr>
        <w:tblStyle w:val="ae"/>
        <w:tblW w:w="4998" w:type="pct"/>
        <w:tblLayout w:type="fixed"/>
        <w:tblLook w:val="04A0" w:firstRow="1" w:lastRow="0" w:firstColumn="1" w:lastColumn="0" w:noHBand="0" w:noVBand="1"/>
      </w:tblPr>
      <w:tblGrid>
        <w:gridCol w:w="1249"/>
        <w:gridCol w:w="4740"/>
        <w:gridCol w:w="1228"/>
        <w:gridCol w:w="1302"/>
      </w:tblGrid>
      <w:tr w:rsidR="009D12AF" w14:paraId="72066390" w14:textId="77777777">
        <w:tc>
          <w:tcPr>
            <w:tcW w:w="733" w:type="pct"/>
            <w:vMerge w:val="restart"/>
            <w:tcBorders>
              <w:top w:val="single" w:sz="12" w:space="0" w:color="auto"/>
              <w:left w:val="nil"/>
            </w:tcBorders>
            <w:vAlign w:val="center"/>
          </w:tcPr>
          <w:p w14:paraId="3B7420D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敏感程度</w:t>
            </w:r>
          </w:p>
        </w:tc>
        <w:tc>
          <w:tcPr>
            <w:tcW w:w="4266" w:type="pct"/>
            <w:gridSpan w:val="3"/>
            <w:tcBorders>
              <w:top w:val="single" w:sz="12" w:space="0" w:color="auto"/>
              <w:right w:val="nil"/>
            </w:tcBorders>
            <w:vAlign w:val="center"/>
          </w:tcPr>
          <w:p w14:paraId="711C9ED6"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判别依据</w:t>
            </w:r>
          </w:p>
        </w:tc>
      </w:tr>
      <w:tr w:rsidR="009D12AF" w14:paraId="317732F5" w14:textId="77777777">
        <w:tc>
          <w:tcPr>
            <w:tcW w:w="733" w:type="pct"/>
            <w:vMerge/>
            <w:tcBorders>
              <w:left w:val="nil"/>
            </w:tcBorders>
            <w:vAlign w:val="center"/>
          </w:tcPr>
          <w:p w14:paraId="7A2673D6"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rPr>
            </w:pPr>
          </w:p>
        </w:tc>
        <w:tc>
          <w:tcPr>
            <w:tcW w:w="2782" w:type="pct"/>
            <w:vAlign w:val="center"/>
          </w:tcPr>
          <w:p w14:paraId="3036C19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盐化</w:t>
            </w:r>
          </w:p>
        </w:tc>
        <w:tc>
          <w:tcPr>
            <w:tcW w:w="721" w:type="pct"/>
            <w:vAlign w:val="center"/>
          </w:tcPr>
          <w:p w14:paraId="3FACB603"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酸化</w:t>
            </w:r>
          </w:p>
        </w:tc>
        <w:tc>
          <w:tcPr>
            <w:tcW w:w="762" w:type="pct"/>
            <w:tcBorders>
              <w:right w:val="nil"/>
            </w:tcBorders>
            <w:vAlign w:val="center"/>
          </w:tcPr>
          <w:p w14:paraId="5FCF5ED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碱化</w:t>
            </w:r>
          </w:p>
        </w:tc>
      </w:tr>
      <w:tr w:rsidR="009D12AF" w14:paraId="5B94C05C" w14:textId="77777777">
        <w:tc>
          <w:tcPr>
            <w:tcW w:w="733" w:type="pct"/>
            <w:tcBorders>
              <w:left w:val="nil"/>
            </w:tcBorders>
            <w:vAlign w:val="center"/>
          </w:tcPr>
          <w:p w14:paraId="44EA9F5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敏感</w:t>
            </w:r>
          </w:p>
        </w:tc>
        <w:tc>
          <w:tcPr>
            <w:tcW w:w="2782" w:type="pct"/>
            <w:vAlign w:val="center"/>
          </w:tcPr>
          <w:p w14:paraId="77EFD19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建设项目所在地干燥度</w:t>
            </w:r>
            <w:r>
              <w:rPr>
                <w:rFonts w:ascii="Times New Roman" w:eastAsia="宋体" w:hAnsi="Times New Roman" w:cs="Times New Roman"/>
                <w:snapToGrid w:val="0"/>
                <w:kern w:val="0"/>
                <w:sz w:val="21"/>
                <w:szCs w:val="16"/>
              </w:rPr>
              <w:t xml:space="preserve"> a&gt;2.5 </w:t>
            </w:r>
            <w:r>
              <w:rPr>
                <w:rFonts w:ascii="Times New Roman" w:eastAsia="宋体" w:hAnsi="Times New Roman" w:cs="Times New Roman"/>
                <w:snapToGrid w:val="0"/>
                <w:kern w:val="0"/>
                <w:sz w:val="21"/>
                <w:szCs w:val="16"/>
              </w:rPr>
              <w:t>且常年地下水位平均埋深</w:t>
            </w:r>
            <w:r>
              <w:rPr>
                <w:rFonts w:ascii="Times New Roman" w:eastAsia="宋体" w:hAnsi="Times New Roman" w:cs="Times New Roman"/>
                <w:snapToGrid w:val="0"/>
                <w:kern w:val="0"/>
                <w:sz w:val="21"/>
                <w:szCs w:val="16"/>
              </w:rPr>
              <w:t>&lt;1.5m</w:t>
            </w:r>
            <w:r>
              <w:rPr>
                <w:rFonts w:ascii="Times New Roman" w:eastAsia="宋体" w:hAnsi="Times New Roman" w:cs="Times New Roman"/>
                <w:snapToGrid w:val="0"/>
                <w:kern w:val="0"/>
                <w:sz w:val="21"/>
                <w:szCs w:val="16"/>
              </w:rPr>
              <w:t>的地势平坦区域；或土壤含盐量</w:t>
            </w:r>
            <w:r>
              <w:rPr>
                <w:rFonts w:ascii="Times New Roman" w:eastAsia="宋体" w:hAnsi="Times New Roman" w:cs="Times New Roman"/>
                <w:snapToGrid w:val="0"/>
                <w:kern w:val="0"/>
                <w:sz w:val="21"/>
                <w:szCs w:val="16"/>
              </w:rPr>
              <w:t xml:space="preserve">&gt;4g/kg </w:t>
            </w:r>
            <w:r>
              <w:rPr>
                <w:rFonts w:ascii="Times New Roman" w:eastAsia="宋体" w:hAnsi="Times New Roman" w:cs="Times New Roman"/>
                <w:snapToGrid w:val="0"/>
                <w:kern w:val="0"/>
                <w:sz w:val="21"/>
                <w:szCs w:val="16"/>
              </w:rPr>
              <w:t>的区域</w:t>
            </w:r>
          </w:p>
        </w:tc>
        <w:tc>
          <w:tcPr>
            <w:tcW w:w="721" w:type="pct"/>
            <w:vAlign w:val="center"/>
          </w:tcPr>
          <w:p w14:paraId="4648EA9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pH≤4.5</w:t>
            </w:r>
          </w:p>
        </w:tc>
        <w:tc>
          <w:tcPr>
            <w:tcW w:w="762" w:type="pct"/>
            <w:tcBorders>
              <w:right w:val="nil"/>
            </w:tcBorders>
            <w:vAlign w:val="center"/>
          </w:tcPr>
          <w:p w14:paraId="765CA78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pH≥9.0</w:t>
            </w:r>
          </w:p>
        </w:tc>
      </w:tr>
      <w:tr w:rsidR="009D12AF" w14:paraId="6CD1B07F" w14:textId="77777777">
        <w:tc>
          <w:tcPr>
            <w:tcW w:w="733" w:type="pct"/>
            <w:tcBorders>
              <w:left w:val="nil"/>
            </w:tcBorders>
            <w:vAlign w:val="center"/>
          </w:tcPr>
          <w:p w14:paraId="74A4783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较敏感</w:t>
            </w:r>
          </w:p>
        </w:tc>
        <w:tc>
          <w:tcPr>
            <w:tcW w:w="2782" w:type="pct"/>
            <w:vAlign w:val="center"/>
          </w:tcPr>
          <w:p w14:paraId="64A5AEC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建设项目所在地干燥度</w:t>
            </w:r>
            <w:r>
              <w:rPr>
                <w:rFonts w:ascii="Times New Roman" w:eastAsia="宋体" w:hAnsi="Times New Roman" w:cs="Times New Roman"/>
                <w:snapToGrid w:val="0"/>
                <w:kern w:val="0"/>
                <w:sz w:val="21"/>
                <w:szCs w:val="16"/>
              </w:rPr>
              <w:t xml:space="preserve">&gt;2.5 </w:t>
            </w:r>
            <w:r>
              <w:rPr>
                <w:rFonts w:ascii="Times New Roman" w:eastAsia="宋体" w:hAnsi="Times New Roman" w:cs="Times New Roman"/>
                <w:snapToGrid w:val="0"/>
                <w:kern w:val="0"/>
                <w:sz w:val="21"/>
                <w:szCs w:val="16"/>
              </w:rPr>
              <w:t>且常年地下水位平均埋深</w:t>
            </w:r>
            <w:r>
              <w:rPr>
                <w:rFonts w:ascii="Times New Roman" w:eastAsia="宋体" w:hAnsi="Times New Roman" w:cs="Times New Roman"/>
                <w:snapToGrid w:val="0"/>
                <w:kern w:val="0"/>
                <w:sz w:val="21"/>
                <w:szCs w:val="16"/>
              </w:rPr>
              <w:t xml:space="preserve">≥1.5m </w:t>
            </w:r>
            <w:r>
              <w:rPr>
                <w:rFonts w:ascii="Times New Roman" w:eastAsia="宋体" w:hAnsi="Times New Roman" w:cs="Times New Roman"/>
                <w:snapToGrid w:val="0"/>
                <w:kern w:val="0"/>
                <w:sz w:val="21"/>
                <w:szCs w:val="16"/>
              </w:rPr>
              <w:t>的，或</w:t>
            </w:r>
            <w:r>
              <w:rPr>
                <w:rFonts w:ascii="Times New Roman" w:eastAsia="宋体" w:hAnsi="Times New Roman" w:cs="Times New Roman"/>
                <w:snapToGrid w:val="0"/>
                <w:kern w:val="0"/>
                <w:sz w:val="21"/>
                <w:szCs w:val="16"/>
              </w:rPr>
              <w:t>1.8&lt;</w:t>
            </w:r>
            <w:r>
              <w:rPr>
                <w:rFonts w:ascii="Times New Roman" w:eastAsia="宋体" w:hAnsi="Times New Roman" w:cs="Times New Roman"/>
                <w:snapToGrid w:val="0"/>
                <w:kern w:val="0"/>
                <w:sz w:val="21"/>
                <w:szCs w:val="16"/>
              </w:rPr>
              <w:t>干燥度</w:t>
            </w:r>
            <w:r>
              <w:rPr>
                <w:rFonts w:ascii="Times New Roman" w:eastAsia="宋体" w:hAnsi="Times New Roman" w:cs="Times New Roman"/>
                <w:snapToGrid w:val="0"/>
                <w:kern w:val="0"/>
                <w:sz w:val="21"/>
                <w:szCs w:val="16"/>
              </w:rPr>
              <w:t xml:space="preserve">≤2.5 </w:t>
            </w:r>
            <w:r>
              <w:rPr>
                <w:rFonts w:ascii="Times New Roman" w:eastAsia="宋体" w:hAnsi="Times New Roman" w:cs="Times New Roman"/>
                <w:snapToGrid w:val="0"/>
                <w:kern w:val="0"/>
                <w:sz w:val="21"/>
                <w:szCs w:val="16"/>
              </w:rPr>
              <w:t>且常年地下水位平均埋深</w:t>
            </w:r>
            <w:r>
              <w:rPr>
                <w:rFonts w:ascii="Times New Roman" w:eastAsia="宋体" w:hAnsi="Times New Roman" w:cs="Times New Roman"/>
                <w:snapToGrid w:val="0"/>
                <w:kern w:val="0"/>
                <w:sz w:val="21"/>
                <w:szCs w:val="16"/>
              </w:rPr>
              <w:t xml:space="preserve">&lt;1.8m </w:t>
            </w:r>
            <w:r>
              <w:rPr>
                <w:rFonts w:ascii="Times New Roman" w:eastAsia="宋体" w:hAnsi="Times New Roman" w:cs="Times New Roman"/>
                <w:snapToGrid w:val="0"/>
                <w:kern w:val="0"/>
                <w:sz w:val="21"/>
                <w:szCs w:val="16"/>
              </w:rPr>
              <w:t>的地势平坦区域；建设项目所在地干燥度</w:t>
            </w:r>
            <w:r>
              <w:rPr>
                <w:rFonts w:ascii="Times New Roman" w:eastAsia="宋体" w:hAnsi="Times New Roman" w:cs="Times New Roman"/>
                <w:snapToGrid w:val="0"/>
                <w:kern w:val="0"/>
                <w:sz w:val="21"/>
                <w:szCs w:val="16"/>
              </w:rPr>
              <w:t>&gt;2.5</w:t>
            </w:r>
            <w:r>
              <w:rPr>
                <w:rFonts w:ascii="Times New Roman" w:eastAsia="宋体" w:hAnsi="Times New Roman" w:cs="Times New Roman"/>
                <w:snapToGrid w:val="0"/>
                <w:kern w:val="0"/>
                <w:sz w:val="21"/>
                <w:szCs w:val="16"/>
              </w:rPr>
              <w:t>或常年地下水位平均埋深</w:t>
            </w:r>
            <w:r>
              <w:rPr>
                <w:rFonts w:ascii="Times New Roman" w:eastAsia="宋体" w:hAnsi="Times New Roman" w:cs="Times New Roman"/>
                <w:snapToGrid w:val="0"/>
                <w:kern w:val="0"/>
                <w:sz w:val="21"/>
                <w:szCs w:val="16"/>
              </w:rPr>
              <w:t>&lt;1.5m</w:t>
            </w:r>
            <w:r>
              <w:rPr>
                <w:rFonts w:ascii="Times New Roman" w:eastAsia="宋体" w:hAnsi="Times New Roman" w:cs="Times New Roman"/>
                <w:snapToGrid w:val="0"/>
                <w:kern w:val="0"/>
                <w:sz w:val="21"/>
                <w:szCs w:val="16"/>
              </w:rPr>
              <w:t>的平原区或</w:t>
            </w:r>
            <w:r>
              <w:rPr>
                <w:rFonts w:ascii="Times New Roman" w:eastAsia="宋体" w:hAnsi="Times New Roman" w:cs="Times New Roman"/>
                <w:snapToGrid w:val="0"/>
                <w:kern w:val="0"/>
                <w:sz w:val="21"/>
                <w:szCs w:val="16"/>
              </w:rPr>
              <w:t xml:space="preserve"> 2g/kg&lt;</w:t>
            </w:r>
            <w:r>
              <w:rPr>
                <w:rFonts w:ascii="Times New Roman" w:eastAsia="宋体" w:hAnsi="Times New Roman" w:cs="Times New Roman"/>
                <w:snapToGrid w:val="0"/>
                <w:kern w:val="0"/>
                <w:sz w:val="21"/>
                <w:szCs w:val="16"/>
              </w:rPr>
              <w:t>土壤含盐量</w:t>
            </w:r>
            <w:r>
              <w:rPr>
                <w:rFonts w:ascii="Times New Roman" w:eastAsia="宋体" w:hAnsi="Times New Roman" w:cs="Times New Roman"/>
                <w:snapToGrid w:val="0"/>
                <w:kern w:val="0"/>
                <w:sz w:val="21"/>
                <w:szCs w:val="16"/>
              </w:rPr>
              <w:t xml:space="preserve">≤4g/kg </w:t>
            </w:r>
            <w:r>
              <w:rPr>
                <w:rFonts w:ascii="Times New Roman" w:eastAsia="宋体" w:hAnsi="Times New Roman" w:cs="Times New Roman"/>
                <w:snapToGrid w:val="0"/>
                <w:kern w:val="0"/>
                <w:sz w:val="21"/>
                <w:szCs w:val="16"/>
              </w:rPr>
              <w:t>的区域</w:t>
            </w:r>
          </w:p>
        </w:tc>
        <w:tc>
          <w:tcPr>
            <w:tcW w:w="721" w:type="pct"/>
            <w:vAlign w:val="center"/>
          </w:tcPr>
          <w:p w14:paraId="432FC50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4.5&lt;pH≤5.5</w:t>
            </w:r>
          </w:p>
        </w:tc>
        <w:tc>
          <w:tcPr>
            <w:tcW w:w="762" w:type="pct"/>
            <w:tcBorders>
              <w:right w:val="nil"/>
            </w:tcBorders>
            <w:vAlign w:val="center"/>
          </w:tcPr>
          <w:p w14:paraId="1AA5FC6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8.5≤pH&lt;9.0</w:t>
            </w:r>
          </w:p>
        </w:tc>
      </w:tr>
      <w:tr w:rsidR="009D12AF" w14:paraId="383D9143" w14:textId="77777777">
        <w:tc>
          <w:tcPr>
            <w:tcW w:w="733" w:type="pct"/>
            <w:tcBorders>
              <w:left w:val="nil"/>
            </w:tcBorders>
            <w:vAlign w:val="center"/>
          </w:tcPr>
          <w:p w14:paraId="436CDC3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不敏感</w:t>
            </w:r>
          </w:p>
        </w:tc>
        <w:tc>
          <w:tcPr>
            <w:tcW w:w="2782" w:type="pct"/>
            <w:vAlign w:val="center"/>
          </w:tcPr>
          <w:p w14:paraId="424A03C6"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其他</w:t>
            </w:r>
          </w:p>
        </w:tc>
        <w:tc>
          <w:tcPr>
            <w:tcW w:w="1484" w:type="pct"/>
            <w:gridSpan w:val="2"/>
            <w:tcBorders>
              <w:right w:val="nil"/>
            </w:tcBorders>
            <w:vAlign w:val="center"/>
          </w:tcPr>
          <w:p w14:paraId="2C7FA72F"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5.5&lt;pH&lt;8.5</w:t>
            </w:r>
          </w:p>
        </w:tc>
      </w:tr>
      <w:tr w:rsidR="009D12AF" w14:paraId="23F3BFA2" w14:textId="77777777">
        <w:tc>
          <w:tcPr>
            <w:tcW w:w="5000" w:type="pct"/>
            <w:gridSpan w:val="4"/>
            <w:tcBorders>
              <w:left w:val="nil"/>
              <w:bottom w:val="single" w:sz="12" w:space="0" w:color="auto"/>
              <w:right w:val="nil"/>
            </w:tcBorders>
            <w:vAlign w:val="center"/>
          </w:tcPr>
          <w:p w14:paraId="2CFA935A" w14:textId="77777777" w:rsidR="009D12AF" w:rsidRDefault="00000000">
            <w:pPr>
              <w:spacing w:line="240" w:lineRule="auto"/>
              <w:ind w:firstLineChars="0" w:firstLine="0"/>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a</w:t>
            </w:r>
            <w:r>
              <w:rPr>
                <w:rFonts w:ascii="Times New Roman" w:eastAsia="宋体" w:hAnsi="Times New Roman" w:cs="Times New Roman"/>
                <w:snapToGrid w:val="0"/>
                <w:kern w:val="0"/>
                <w:sz w:val="21"/>
                <w:szCs w:val="16"/>
              </w:rPr>
              <w:t>是指采用</w:t>
            </w:r>
            <w:r>
              <w:rPr>
                <w:rFonts w:ascii="Times New Roman" w:eastAsia="宋体" w:hAnsi="Times New Roman" w:cs="Times New Roman"/>
                <w:snapToGrid w:val="0"/>
                <w:kern w:val="0"/>
                <w:sz w:val="21"/>
                <w:szCs w:val="16"/>
              </w:rPr>
              <w:t xml:space="preserve"> E601 </w:t>
            </w:r>
            <w:r>
              <w:rPr>
                <w:rFonts w:ascii="Times New Roman" w:eastAsia="宋体" w:hAnsi="Times New Roman" w:cs="Times New Roman"/>
                <w:snapToGrid w:val="0"/>
                <w:kern w:val="0"/>
                <w:sz w:val="21"/>
                <w:szCs w:val="16"/>
              </w:rPr>
              <w:t>观测的多年平均水面蒸发量与降水量的比值，即蒸降比值。</w:t>
            </w:r>
          </w:p>
        </w:tc>
      </w:tr>
    </w:tbl>
    <w:p w14:paraId="590B7ED2" w14:textId="77777777" w:rsidR="009D12AF" w:rsidRDefault="00000000">
      <w:pPr>
        <w:ind w:firstLine="480"/>
      </w:pPr>
      <w:r>
        <w:t>本项目所在地年</w:t>
      </w:r>
      <w:r>
        <w:rPr>
          <w:rFonts w:hint="eastAsia"/>
        </w:rPr>
        <w:t>平均</w:t>
      </w:r>
      <w:r>
        <w:t>降水量在</w:t>
      </w:r>
      <w:r>
        <w:rPr>
          <w:rFonts w:hint="eastAsia"/>
        </w:rPr>
        <w:t>539.9</w:t>
      </w:r>
      <w:r>
        <w:t>毫米</w:t>
      </w:r>
      <w:r>
        <w:rPr>
          <w:rFonts w:hint="eastAsia"/>
        </w:rPr>
        <w:t>，</w:t>
      </w:r>
      <w:r>
        <w:t>根据监测结果，项目区</w:t>
      </w:r>
      <w:r>
        <w:t>5.5</w:t>
      </w:r>
      <w:r>
        <w:t>＜</w:t>
      </w:r>
      <w:r>
        <w:t>pH</w:t>
      </w:r>
      <w:r>
        <w:t>＜</w:t>
      </w:r>
      <w:r>
        <w:t>8.5</w:t>
      </w:r>
      <w:r>
        <w:rPr>
          <w:rFonts w:hint="eastAsia"/>
        </w:rPr>
        <w:t>。</w:t>
      </w:r>
      <w:r>
        <w:t>建设项目所在地土壤环境敏感程度为</w:t>
      </w:r>
      <w:r>
        <w:t>“</w:t>
      </w:r>
      <w:r>
        <w:t>不敏感</w:t>
      </w:r>
      <w:r>
        <w:t>”</w:t>
      </w:r>
      <w:r>
        <w:t>。</w:t>
      </w:r>
    </w:p>
    <w:p w14:paraId="290D1761" w14:textId="77777777" w:rsidR="009D12AF" w:rsidRDefault="00000000">
      <w:pPr>
        <w:ind w:firstLine="480"/>
      </w:pPr>
      <w:r>
        <w:rPr>
          <w:rFonts w:hint="eastAsia"/>
        </w:rPr>
        <w:t>③生态型评价等级确定</w:t>
      </w:r>
    </w:p>
    <w:p w14:paraId="7646BCF3" w14:textId="77777777" w:rsidR="009D12AF" w:rsidRDefault="00000000">
      <w:pPr>
        <w:ind w:firstLine="480"/>
        <w:rPr>
          <w:highlight w:val="yellow"/>
        </w:rPr>
      </w:pPr>
      <w:r>
        <w:t>根据识别的项目类别与敏感程度分级结果划分土壤评价工作等级，详见下表。</w:t>
      </w:r>
    </w:p>
    <w:p w14:paraId="12CBB8E1" w14:textId="77777777" w:rsidR="009D12AF" w:rsidRDefault="00000000">
      <w:pPr>
        <w:ind w:firstLineChars="0" w:firstLine="0"/>
        <w:jc w:val="center"/>
      </w:pPr>
      <w:r>
        <w:rPr>
          <w:b/>
          <w:bCs/>
        </w:rPr>
        <w:t>表</w:t>
      </w:r>
      <w:r>
        <w:rPr>
          <w:rFonts w:hint="eastAsia"/>
          <w:b/>
          <w:bCs/>
        </w:rPr>
        <w:t>2.5-9</w:t>
      </w:r>
      <w:r>
        <w:rPr>
          <w:b/>
          <w:bCs/>
        </w:rPr>
        <w:t>生态影响型评价工作等级划分表</w:t>
      </w:r>
    </w:p>
    <w:tbl>
      <w:tblPr>
        <w:tblStyle w:val="ae"/>
        <w:tblW w:w="0" w:type="auto"/>
        <w:tblLook w:val="04A0" w:firstRow="1" w:lastRow="0" w:firstColumn="1" w:lastColumn="0" w:noHBand="0" w:noVBand="1"/>
      </w:tblPr>
      <w:tblGrid>
        <w:gridCol w:w="2012"/>
        <w:gridCol w:w="2248"/>
        <w:gridCol w:w="2131"/>
        <w:gridCol w:w="2131"/>
      </w:tblGrid>
      <w:tr w:rsidR="009D12AF" w14:paraId="4E8FB63C" w14:textId="77777777">
        <w:trPr>
          <w:trHeight w:val="850"/>
        </w:trPr>
        <w:tc>
          <w:tcPr>
            <w:tcW w:w="2012" w:type="dxa"/>
            <w:tcBorders>
              <w:top w:val="single" w:sz="12" w:space="0" w:color="auto"/>
              <w:left w:val="nil"/>
            </w:tcBorders>
            <w:vAlign w:val="bottom"/>
          </w:tcPr>
          <w:p w14:paraId="2C805A4B"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rPr>
            </w:pPr>
          </w:p>
          <w:p w14:paraId="5314BED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评价工作等级</w:t>
            </w:r>
          </w:p>
          <w:p w14:paraId="5DE9546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敏感程度</w:t>
            </w:r>
          </w:p>
          <w:p w14:paraId="5B570220"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项目类别</w:t>
            </w:r>
          </w:p>
        </w:tc>
        <w:tc>
          <w:tcPr>
            <w:tcW w:w="2248" w:type="dxa"/>
            <w:tcBorders>
              <w:top w:val="single" w:sz="12" w:space="0" w:color="auto"/>
            </w:tcBorders>
            <w:vAlign w:val="center"/>
          </w:tcPr>
          <w:p w14:paraId="33F96D40"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eastAsia="宋体" w:cs="Times New Roman"/>
                <w:snapToGrid w:val="0"/>
                <w:kern w:val="0"/>
                <w:sz w:val="21"/>
                <w:szCs w:val="16"/>
              </w:rPr>
              <w:t>Ⅰ</w:t>
            </w:r>
          </w:p>
        </w:tc>
        <w:tc>
          <w:tcPr>
            <w:tcW w:w="2131" w:type="dxa"/>
            <w:tcBorders>
              <w:top w:val="single" w:sz="12" w:space="0" w:color="auto"/>
            </w:tcBorders>
            <w:vAlign w:val="center"/>
          </w:tcPr>
          <w:p w14:paraId="02E1121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Ⅱ</w:t>
            </w:r>
          </w:p>
        </w:tc>
        <w:tc>
          <w:tcPr>
            <w:tcW w:w="2131" w:type="dxa"/>
            <w:tcBorders>
              <w:top w:val="single" w:sz="12" w:space="0" w:color="auto"/>
              <w:right w:val="nil"/>
            </w:tcBorders>
            <w:vAlign w:val="center"/>
          </w:tcPr>
          <w:p w14:paraId="0F80783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Ⅲ</w:t>
            </w:r>
          </w:p>
        </w:tc>
      </w:tr>
      <w:tr w:rsidR="009D12AF" w14:paraId="03B9113E" w14:textId="77777777">
        <w:tc>
          <w:tcPr>
            <w:tcW w:w="2012" w:type="dxa"/>
            <w:tcBorders>
              <w:left w:val="nil"/>
            </w:tcBorders>
          </w:tcPr>
          <w:p w14:paraId="7A4F02BF"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敏感</w:t>
            </w:r>
          </w:p>
        </w:tc>
        <w:tc>
          <w:tcPr>
            <w:tcW w:w="2248" w:type="dxa"/>
            <w:vAlign w:val="center"/>
          </w:tcPr>
          <w:p w14:paraId="4429494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一级</w:t>
            </w:r>
          </w:p>
        </w:tc>
        <w:tc>
          <w:tcPr>
            <w:tcW w:w="2131" w:type="dxa"/>
            <w:vAlign w:val="center"/>
          </w:tcPr>
          <w:p w14:paraId="7EEC23C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二级</w:t>
            </w:r>
          </w:p>
        </w:tc>
        <w:tc>
          <w:tcPr>
            <w:tcW w:w="2131" w:type="dxa"/>
            <w:tcBorders>
              <w:right w:val="nil"/>
            </w:tcBorders>
            <w:vAlign w:val="center"/>
          </w:tcPr>
          <w:p w14:paraId="44261323"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三级</w:t>
            </w:r>
          </w:p>
        </w:tc>
      </w:tr>
      <w:tr w:rsidR="009D12AF" w14:paraId="185FCB26" w14:textId="77777777">
        <w:tc>
          <w:tcPr>
            <w:tcW w:w="2012" w:type="dxa"/>
            <w:tcBorders>
              <w:left w:val="nil"/>
            </w:tcBorders>
          </w:tcPr>
          <w:p w14:paraId="6DD71DB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较敏感</w:t>
            </w:r>
          </w:p>
        </w:tc>
        <w:tc>
          <w:tcPr>
            <w:tcW w:w="2248" w:type="dxa"/>
            <w:vAlign w:val="center"/>
          </w:tcPr>
          <w:p w14:paraId="709CA78F"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二级</w:t>
            </w:r>
          </w:p>
        </w:tc>
        <w:tc>
          <w:tcPr>
            <w:tcW w:w="2131" w:type="dxa"/>
            <w:vAlign w:val="center"/>
          </w:tcPr>
          <w:p w14:paraId="44D5194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二级</w:t>
            </w:r>
          </w:p>
        </w:tc>
        <w:tc>
          <w:tcPr>
            <w:tcW w:w="2131" w:type="dxa"/>
            <w:tcBorders>
              <w:right w:val="nil"/>
            </w:tcBorders>
            <w:vAlign w:val="center"/>
          </w:tcPr>
          <w:p w14:paraId="3E387EA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三级</w:t>
            </w:r>
          </w:p>
        </w:tc>
      </w:tr>
      <w:tr w:rsidR="009D12AF" w14:paraId="25E26EFE" w14:textId="77777777">
        <w:tc>
          <w:tcPr>
            <w:tcW w:w="2012" w:type="dxa"/>
            <w:tcBorders>
              <w:left w:val="nil"/>
            </w:tcBorders>
          </w:tcPr>
          <w:p w14:paraId="2E013BA9"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不敏感</w:t>
            </w:r>
          </w:p>
        </w:tc>
        <w:tc>
          <w:tcPr>
            <w:tcW w:w="2248" w:type="dxa"/>
            <w:vAlign w:val="center"/>
          </w:tcPr>
          <w:p w14:paraId="005A877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二级</w:t>
            </w:r>
          </w:p>
        </w:tc>
        <w:tc>
          <w:tcPr>
            <w:tcW w:w="2131" w:type="dxa"/>
            <w:vAlign w:val="center"/>
          </w:tcPr>
          <w:p w14:paraId="2C0C3F4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三级</w:t>
            </w:r>
          </w:p>
        </w:tc>
        <w:tc>
          <w:tcPr>
            <w:tcW w:w="2131" w:type="dxa"/>
            <w:tcBorders>
              <w:right w:val="nil"/>
            </w:tcBorders>
            <w:vAlign w:val="center"/>
          </w:tcPr>
          <w:p w14:paraId="6CE4F04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w:t>
            </w:r>
          </w:p>
        </w:tc>
      </w:tr>
      <w:tr w:rsidR="009D12AF" w14:paraId="06EE8E59" w14:textId="77777777">
        <w:tc>
          <w:tcPr>
            <w:tcW w:w="8522" w:type="dxa"/>
            <w:gridSpan w:val="4"/>
            <w:tcBorders>
              <w:left w:val="nil"/>
              <w:bottom w:val="single" w:sz="12" w:space="0" w:color="auto"/>
              <w:right w:val="nil"/>
            </w:tcBorders>
          </w:tcPr>
          <w:p w14:paraId="7AC8DDB6"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注：“—”表示可不开展土壤环境影响评价工作</w:t>
            </w:r>
          </w:p>
        </w:tc>
      </w:tr>
    </w:tbl>
    <w:p w14:paraId="08D7B04C" w14:textId="77777777" w:rsidR="009D12AF" w:rsidRDefault="00000000">
      <w:pPr>
        <w:ind w:firstLine="480"/>
      </w:pPr>
      <w:r>
        <w:t>则由上表可知本工程各工程土壤影响评价工作等级为</w:t>
      </w:r>
      <w:r>
        <w:rPr>
          <w:rFonts w:hint="eastAsia"/>
        </w:rPr>
        <w:t>“—”</w:t>
      </w:r>
      <w:r>
        <w:t>，表示可不开展土壤环境影响评价工作。</w:t>
      </w:r>
    </w:p>
    <w:p w14:paraId="5592FD6B" w14:textId="77777777" w:rsidR="009D12AF" w:rsidRDefault="00000000">
      <w:pPr>
        <w:ind w:firstLine="480"/>
      </w:pPr>
      <w:r>
        <w:rPr>
          <w:rFonts w:ascii="宋体" w:eastAsia="宋体" w:hAnsi="宋体" w:cs="宋体" w:hint="eastAsia"/>
        </w:rPr>
        <w:t>（2）污染型评价工作等级</w:t>
      </w:r>
    </w:p>
    <w:p w14:paraId="0310D95A" w14:textId="77777777" w:rsidR="009D12AF" w:rsidRDefault="00000000">
      <w:pPr>
        <w:ind w:firstLine="480"/>
      </w:pPr>
      <w:r>
        <w:rPr>
          <w:rFonts w:hint="eastAsia"/>
        </w:rPr>
        <w:t>①根据《环境影响评价技术导则土壤环境（试行）》（</w:t>
      </w:r>
      <w:r>
        <w:rPr>
          <w:rFonts w:hint="eastAsia"/>
        </w:rPr>
        <w:t>HJ964-2018</w:t>
      </w:r>
      <w:r>
        <w:rPr>
          <w:rFonts w:hint="eastAsia"/>
        </w:rPr>
        <w:t>）中规定的环境影响识别方法，根据附录</w:t>
      </w:r>
      <w:r>
        <w:t>A</w:t>
      </w:r>
      <w:r>
        <w:rPr>
          <w:rFonts w:hint="eastAsia"/>
        </w:rPr>
        <w:t>，本项目属于“水利”中的“其他”类别，属于土壤环境影响评价项目类别中为Ⅲ类项目。</w:t>
      </w:r>
    </w:p>
    <w:p w14:paraId="386EFF41" w14:textId="77777777" w:rsidR="009D12AF" w:rsidRDefault="00000000">
      <w:pPr>
        <w:ind w:firstLine="480"/>
      </w:pPr>
      <w:r>
        <w:rPr>
          <w:rFonts w:hint="eastAsia"/>
        </w:rPr>
        <w:t>②</w:t>
      </w:r>
      <w:r>
        <w:t>将建设项目占地规模分为大型（</w:t>
      </w:r>
      <w:r>
        <w:t>≥50 hm</w:t>
      </w:r>
      <w:r>
        <w:rPr>
          <w:vertAlign w:val="superscript"/>
        </w:rPr>
        <w:t>2</w:t>
      </w:r>
      <w:r>
        <w:t>）、中型（</w:t>
      </w:r>
      <w:r>
        <w:t>5~50 hm</w:t>
      </w:r>
      <w:r>
        <w:rPr>
          <w:vertAlign w:val="superscript"/>
        </w:rPr>
        <w:t>2</w:t>
      </w:r>
      <w:r>
        <w:t>）、小型（</w:t>
      </w:r>
      <w:r>
        <w:t>≤5 hm</w:t>
      </w:r>
      <w:r>
        <w:rPr>
          <w:vertAlign w:val="superscript"/>
        </w:rPr>
        <w:t>2</w:t>
      </w:r>
      <w:r>
        <w:t>），建设项目</w:t>
      </w:r>
      <w:r>
        <w:rPr>
          <w:rFonts w:hint="eastAsia"/>
        </w:rPr>
        <w:t>群力水库临时占地面积为</w:t>
      </w:r>
      <w:r>
        <w:rPr>
          <w:rFonts w:hint="eastAsia"/>
        </w:rPr>
        <w:t>10656.14m</w:t>
      </w:r>
      <w:r>
        <w:rPr>
          <w:rFonts w:hint="eastAsia"/>
          <w:vertAlign w:val="superscript"/>
        </w:rPr>
        <w:t>2</w:t>
      </w:r>
      <w:r>
        <w:rPr>
          <w:rFonts w:hint="eastAsia"/>
        </w:rPr>
        <w:t>；长石水库临时占地面积</w:t>
      </w:r>
      <w:r>
        <w:rPr>
          <w:rFonts w:hint="eastAsia"/>
        </w:rPr>
        <w:t xml:space="preserve"> </w:t>
      </w:r>
      <w:r>
        <w:rPr>
          <w:rFonts w:hint="eastAsia"/>
        </w:rPr>
        <w:lastRenderedPageBreak/>
        <w:t>20212.08m</w:t>
      </w:r>
      <w:r>
        <w:rPr>
          <w:rFonts w:hint="eastAsia"/>
          <w:vertAlign w:val="superscript"/>
        </w:rPr>
        <w:t>2</w:t>
      </w:r>
      <w:r>
        <w:rPr>
          <w:rFonts w:hint="eastAsia"/>
        </w:rPr>
        <w:t>；向阳水电站前池临时占地面积</w:t>
      </w:r>
      <w:r>
        <w:rPr>
          <w:rFonts w:hint="eastAsia"/>
        </w:rPr>
        <w:t>1626.69m</w:t>
      </w:r>
      <w:r>
        <w:rPr>
          <w:rFonts w:hint="eastAsia"/>
          <w:vertAlign w:val="superscript"/>
        </w:rPr>
        <w:t>2</w:t>
      </w:r>
      <w:r>
        <w:rPr>
          <w:rFonts w:hint="eastAsia"/>
        </w:rPr>
        <w:t>；新安晒水池临时占地面积</w:t>
      </w:r>
      <w:r>
        <w:rPr>
          <w:rFonts w:hint="eastAsia"/>
        </w:rPr>
        <w:t>4205.1m</w:t>
      </w:r>
      <w:r>
        <w:rPr>
          <w:rFonts w:hint="eastAsia"/>
          <w:vertAlign w:val="superscript"/>
        </w:rPr>
        <w:t>2</w:t>
      </w:r>
      <w:r>
        <w:rPr>
          <w:rFonts w:hint="eastAsia"/>
        </w:rPr>
        <w:t>；万丈水库临时占地面积</w:t>
      </w:r>
      <w:r>
        <w:rPr>
          <w:rFonts w:hint="eastAsia"/>
        </w:rPr>
        <w:t>1393.88m</w:t>
      </w:r>
      <w:r>
        <w:rPr>
          <w:rFonts w:hint="eastAsia"/>
          <w:vertAlign w:val="superscript"/>
        </w:rPr>
        <w:t>2</w:t>
      </w:r>
      <w:r>
        <w:rPr>
          <w:rFonts w:hint="eastAsia"/>
        </w:rPr>
        <w:t>，均为临时占地。</w:t>
      </w:r>
    </w:p>
    <w:p w14:paraId="154324E1" w14:textId="77777777" w:rsidR="009D12AF" w:rsidRDefault="00000000">
      <w:pPr>
        <w:ind w:firstLine="480"/>
      </w:pPr>
      <w:r>
        <w:rPr>
          <w:rFonts w:hint="eastAsia"/>
        </w:rPr>
        <w:t>③</w:t>
      </w:r>
      <w:r>
        <w:t>建设项目所在地周边的土壤环境敏感程度分为敏感、较敏感、不敏感，判别依据见表</w:t>
      </w:r>
      <w:r>
        <w:t>2</w:t>
      </w:r>
      <w:r>
        <w:rPr>
          <w:rFonts w:hint="eastAsia"/>
        </w:rPr>
        <w:t>.5</w:t>
      </w:r>
      <w:r>
        <w:t>-</w:t>
      </w:r>
      <w:r>
        <w:rPr>
          <w:rFonts w:hint="eastAsia"/>
        </w:rPr>
        <w:t>10</w:t>
      </w:r>
      <w:r>
        <w:t>。本项目周围存在耕地</w:t>
      </w:r>
      <w:r>
        <w:rPr>
          <w:rFonts w:hint="eastAsia"/>
        </w:rPr>
        <w:t>、饮用水水源地</w:t>
      </w:r>
      <w:r>
        <w:t>属于土壤敏感区域。</w:t>
      </w:r>
    </w:p>
    <w:p w14:paraId="4BEA8210" w14:textId="77777777" w:rsidR="009D12AF" w:rsidRDefault="00000000">
      <w:pPr>
        <w:pStyle w:val="TOC2"/>
        <w:adjustRightInd w:val="0"/>
        <w:snapToGrid w:val="0"/>
        <w:spacing w:line="240" w:lineRule="auto"/>
        <w:ind w:left="480" w:firstLine="482"/>
        <w:jc w:val="center"/>
        <w:rPr>
          <w:b/>
          <w:snapToGrid w:val="0"/>
        </w:rPr>
      </w:pPr>
      <w:r>
        <w:rPr>
          <w:b/>
          <w:snapToGrid w:val="0"/>
        </w:rPr>
        <w:t>表</w:t>
      </w:r>
      <w:r>
        <w:rPr>
          <w:b/>
          <w:snapToGrid w:val="0"/>
        </w:rPr>
        <w:t>2</w:t>
      </w:r>
      <w:r>
        <w:rPr>
          <w:rFonts w:hint="eastAsia"/>
          <w:b/>
          <w:snapToGrid w:val="0"/>
        </w:rPr>
        <w:t>.5-10</w:t>
      </w:r>
      <w:r>
        <w:rPr>
          <w:b/>
          <w:snapToGrid w:val="0"/>
        </w:rPr>
        <w:t xml:space="preserve">  </w:t>
      </w:r>
      <w:r>
        <w:rPr>
          <w:b/>
          <w:snapToGrid w:val="0"/>
        </w:rPr>
        <w:t>污染型影响环境敏感程度分级</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101"/>
        <w:gridCol w:w="7421"/>
      </w:tblGrid>
      <w:tr w:rsidR="009D12AF" w14:paraId="70CD9774" w14:textId="77777777">
        <w:trPr>
          <w:trHeight w:val="397"/>
          <w:tblHeader/>
          <w:jc w:val="center"/>
        </w:trPr>
        <w:tc>
          <w:tcPr>
            <w:tcW w:w="646" w:type="pct"/>
            <w:vAlign w:val="center"/>
          </w:tcPr>
          <w:p w14:paraId="7E8C6DBC" w14:textId="77777777" w:rsidR="009D12AF" w:rsidRDefault="00000000">
            <w:pPr>
              <w:pStyle w:val="Default"/>
              <w:rPr>
                <w:bCs/>
                <w:snapToGrid w:val="0"/>
                <w:color w:val="auto"/>
                <w:sz w:val="21"/>
                <w:szCs w:val="21"/>
              </w:rPr>
            </w:pPr>
            <w:r>
              <w:rPr>
                <w:bCs/>
                <w:snapToGrid w:val="0"/>
                <w:color w:val="auto"/>
                <w:sz w:val="21"/>
                <w:szCs w:val="21"/>
              </w:rPr>
              <w:t>分级</w:t>
            </w:r>
          </w:p>
        </w:tc>
        <w:tc>
          <w:tcPr>
            <w:tcW w:w="4354" w:type="pct"/>
            <w:vAlign w:val="center"/>
          </w:tcPr>
          <w:p w14:paraId="6C5AC1E6" w14:textId="77777777" w:rsidR="009D12AF" w:rsidRDefault="00000000">
            <w:pPr>
              <w:pStyle w:val="Default"/>
              <w:rPr>
                <w:bCs/>
                <w:snapToGrid w:val="0"/>
                <w:color w:val="auto"/>
                <w:sz w:val="21"/>
                <w:szCs w:val="21"/>
              </w:rPr>
            </w:pPr>
            <w:r>
              <w:rPr>
                <w:bCs/>
                <w:snapToGrid w:val="0"/>
                <w:color w:val="auto"/>
                <w:sz w:val="21"/>
                <w:szCs w:val="21"/>
              </w:rPr>
              <w:t>判别依据</w:t>
            </w:r>
          </w:p>
        </w:tc>
      </w:tr>
      <w:tr w:rsidR="009D12AF" w14:paraId="3F534473" w14:textId="77777777">
        <w:trPr>
          <w:trHeight w:val="397"/>
          <w:tblHeader/>
          <w:jc w:val="center"/>
        </w:trPr>
        <w:tc>
          <w:tcPr>
            <w:tcW w:w="646" w:type="pct"/>
            <w:vAlign w:val="center"/>
          </w:tcPr>
          <w:p w14:paraId="1A382392" w14:textId="77777777" w:rsidR="009D12AF" w:rsidRDefault="00000000">
            <w:pPr>
              <w:pStyle w:val="Default"/>
              <w:rPr>
                <w:bCs/>
                <w:snapToGrid w:val="0"/>
                <w:color w:val="auto"/>
                <w:sz w:val="21"/>
                <w:szCs w:val="21"/>
              </w:rPr>
            </w:pPr>
            <w:r>
              <w:rPr>
                <w:bCs/>
                <w:snapToGrid w:val="0"/>
                <w:color w:val="auto"/>
                <w:sz w:val="21"/>
                <w:szCs w:val="21"/>
              </w:rPr>
              <w:t>敏感</w:t>
            </w:r>
          </w:p>
        </w:tc>
        <w:tc>
          <w:tcPr>
            <w:tcW w:w="4354" w:type="pct"/>
            <w:vAlign w:val="center"/>
          </w:tcPr>
          <w:p w14:paraId="76B95733" w14:textId="77777777" w:rsidR="009D12AF" w:rsidRDefault="00000000">
            <w:pPr>
              <w:spacing w:line="240" w:lineRule="auto"/>
              <w:jc w:val="center"/>
              <w:rPr>
                <w:bCs/>
                <w:snapToGrid w:val="0"/>
                <w:sz w:val="21"/>
                <w:szCs w:val="21"/>
              </w:rPr>
            </w:pPr>
            <w:r>
              <w:rPr>
                <w:sz w:val="21"/>
                <w:szCs w:val="21"/>
              </w:rPr>
              <w:t>建设项目周边存在耕地、园地、牧草地、饮用水水源地或居民区、学校、医院、疗养院、养老院等土壤环境敏感目标的</w:t>
            </w:r>
          </w:p>
        </w:tc>
      </w:tr>
      <w:tr w:rsidR="009D12AF" w14:paraId="140D22F6" w14:textId="77777777">
        <w:trPr>
          <w:trHeight w:val="397"/>
          <w:tblHeader/>
          <w:jc w:val="center"/>
        </w:trPr>
        <w:tc>
          <w:tcPr>
            <w:tcW w:w="646" w:type="pct"/>
            <w:vAlign w:val="center"/>
          </w:tcPr>
          <w:p w14:paraId="7875D29B" w14:textId="77777777" w:rsidR="009D12AF" w:rsidRDefault="00000000">
            <w:pPr>
              <w:pStyle w:val="Default"/>
              <w:rPr>
                <w:bCs/>
                <w:snapToGrid w:val="0"/>
                <w:color w:val="auto"/>
                <w:sz w:val="21"/>
                <w:szCs w:val="21"/>
              </w:rPr>
            </w:pPr>
            <w:r>
              <w:rPr>
                <w:bCs/>
                <w:snapToGrid w:val="0"/>
                <w:color w:val="auto"/>
                <w:sz w:val="21"/>
                <w:szCs w:val="21"/>
              </w:rPr>
              <w:t>较敏感</w:t>
            </w:r>
          </w:p>
        </w:tc>
        <w:tc>
          <w:tcPr>
            <w:tcW w:w="4354" w:type="pct"/>
            <w:vAlign w:val="center"/>
          </w:tcPr>
          <w:p w14:paraId="5B1D748D" w14:textId="77777777" w:rsidR="009D12AF" w:rsidRDefault="00000000">
            <w:pPr>
              <w:pStyle w:val="Default"/>
              <w:rPr>
                <w:bCs/>
                <w:snapToGrid w:val="0"/>
                <w:color w:val="auto"/>
                <w:sz w:val="21"/>
                <w:szCs w:val="21"/>
              </w:rPr>
            </w:pPr>
            <w:r>
              <w:rPr>
                <w:color w:val="auto"/>
                <w:sz w:val="21"/>
                <w:szCs w:val="21"/>
              </w:rPr>
              <w:t>建设项目周边存在其他土壤环境敏感目标的</w:t>
            </w:r>
          </w:p>
        </w:tc>
      </w:tr>
      <w:tr w:rsidR="009D12AF" w14:paraId="0063A176" w14:textId="77777777">
        <w:trPr>
          <w:trHeight w:val="397"/>
          <w:tblHeader/>
          <w:jc w:val="center"/>
        </w:trPr>
        <w:tc>
          <w:tcPr>
            <w:tcW w:w="646" w:type="pct"/>
            <w:vAlign w:val="center"/>
          </w:tcPr>
          <w:p w14:paraId="5702F3C2" w14:textId="77777777" w:rsidR="009D12AF" w:rsidRDefault="00000000">
            <w:pPr>
              <w:pStyle w:val="Default"/>
              <w:rPr>
                <w:bCs/>
                <w:snapToGrid w:val="0"/>
                <w:color w:val="auto"/>
                <w:sz w:val="21"/>
                <w:szCs w:val="21"/>
              </w:rPr>
            </w:pPr>
            <w:r>
              <w:rPr>
                <w:bCs/>
                <w:snapToGrid w:val="0"/>
                <w:color w:val="auto"/>
                <w:sz w:val="21"/>
                <w:szCs w:val="21"/>
              </w:rPr>
              <w:t>不敏感</w:t>
            </w:r>
          </w:p>
        </w:tc>
        <w:tc>
          <w:tcPr>
            <w:tcW w:w="4354" w:type="pct"/>
            <w:vAlign w:val="center"/>
          </w:tcPr>
          <w:p w14:paraId="274E42C1" w14:textId="77777777" w:rsidR="009D12AF" w:rsidRDefault="00000000">
            <w:pPr>
              <w:pStyle w:val="Default"/>
              <w:rPr>
                <w:bCs/>
                <w:snapToGrid w:val="0"/>
                <w:color w:val="auto"/>
                <w:sz w:val="21"/>
                <w:szCs w:val="21"/>
              </w:rPr>
            </w:pPr>
            <w:r>
              <w:rPr>
                <w:color w:val="auto"/>
                <w:sz w:val="21"/>
                <w:szCs w:val="21"/>
              </w:rPr>
              <w:t>其他情况</w:t>
            </w:r>
          </w:p>
        </w:tc>
      </w:tr>
    </w:tbl>
    <w:p w14:paraId="0935D9F4" w14:textId="77777777" w:rsidR="009D12AF" w:rsidRDefault="00000000">
      <w:pPr>
        <w:ind w:firstLine="480"/>
      </w:pPr>
      <w:r>
        <w:rPr>
          <w:rFonts w:hint="eastAsia"/>
        </w:rPr>
        <w:t>④污染型评价等级确定</w:t>
      </w:r>
    </w:p>
    <w:p w14:paraId="71F70DF3" w14:textId="77777777" w:rsidR="009D12AF" w:rsidRDefault="00000000">
      <w:pPr>
        <w:ind w:firstLine="480"/>
      </w:pPr>
      <w:r>
        <w:t>建设项目土壤环境影响评价工作等级的划分见表</w:t>
      </w:r>
      <w:r>
        <w:t>2</w:t>
      </w:r>
      <w:r>
        <w:rPr>
          <w:rFonts w:hint="eastAsia"/>
        </w:rPr>
        <w:t>.5</w:t>
      </w:r>
      <w:r>
        <w:t>-</w:t>
      </w:r>
      <w:r>
        <w:rPr>
          <w:rFonts w:hint="eastAsia"/>
        </w:rPr>
        <w:t>11</w:t>
      </w:r>
      <w:r>
        <w:t>。</w:t>
      </w:r>
    </w:p>
    <w:p w14:paraId="2DDF2738" w14:textId="77777777" w:rsidR="009D12AF" w:rsidRDefault="00000000">
      <w:pPr>
        <w:pStyle w:val="TOC2"/>
        <w:adjustRightInd w:val="0"/>
        <w:snapToGrid w:val="0"/>
        <w:spacing w:line="240" w:lineRule="auto"/>
        <w:ind w:left="480" w:firstLine="482"/>
        <w:jc w:val="center"/>
      </w:pPr>
      <w:r>
        <w:rPr>
          <w:b/>
          <w:snapToGrid w:val="0"/>
        </w:rPr>
        <w:t>表</w:t>
      </w:r>
      <w:r>
        <w:rPr>
          <w:b/>
          <w:snapToGrid w:val="0"/>
        </w:rPr>
        <w:t>2</w:t>
      </w:r>
      <w:r>
        <w:rPr>
          <w:rFonts w:hint="eastAsia"/>
          <w:b/>
          <w:snapToGrid w:val="0"/>
        </w:rPr>
        <w:t>.5</w:t>
      </w:r>
      <w:r>
        <w:rPr>
          <w:b/>
          <w:snapToGrid w:val="0"/>
        </w:rPr>
        <w:t>-</w:t>
      </w:r>
      <w:r>
        <w:rPr>
          <w:rFonts w:hint="eastAsia"/>
          <w:b/>
          <w:snapToGrid w:val="0"/>
        </w:rPr>
        <w:t>11</w:t>
      </w:r>
      <w:r>
        <w:rPr>
          <w:b/>
          <w:snapToGrid w:val="0"/>
        </w:rPr>
        <w:t xml:space="preserve">  </w:t>
      </w:r>
      <w:r>
        <w:rPr>
          <w:b/>
          <w:snapToGrid w:val="0"/>
        </w:rPr>
        <w:t>污染型影响环境工作等级划分表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254"/>
        <w:gridCol w:w="808"/>
        <w:gridCol w:w="808"/>
        <w:gridCol w:w="808"/>
        <w:gridCol w:w="808"/>
        <w:gridCol w:w="808"/>
        <w:gridCol w:w="673"/>
        <w:gridCol w:w="943"/>
        <w:gridCol w:w="808"/>
        <w:gridCol w:w="804"/>
      </w:tblGrid>
      <w:tr w:rsidR="009D12AF" w14:paraId="5C89B2AB" w14:textId="77777777">
        <w:trPr>
          <w:trHeight w:val="397"/>
          <w:jc w:val="center"/>
        </w:trPr>
        <w:tc>
          <w:tcPr>
            <w:tcW w:w="736" w:type="pct"/>
            <w:vMerge w:val="restart"/>
            <w:tcBorders>
              <w:tl2br w:val="single" w:sz="4" w:space="0" w:color="auto"/>
            </w:tcBorders>
            <w:vAlign w:val="center"/>
          </w:tcPr>
          <w:p w14:paraId="64F054F3" w14:textId="77777777" w:rsidR="009D12AF" w:rsidRDefault="00000000">
            <w:pPr>
              <w:ind w:firstLineChars="0" w:firstLine="0"/>
              <w:jc w:val="center"/>
              <w:rPr>
                <w:sz w:val="21"/>
                <w:szCs w:val="21"/>
              </w:rPr>
            </w:pPr>
            <w:r>
              <w:rPr>
                <w:sz w:val="21"/>
                <w:szCs w:val="21"/>
              </w:rPr>
              <w:t>敏感程度</w:t>
            </w:r>
          </w:p>
          <w:p w14:paraId="72F7E4A9" w14:textId="77777777" w:rsidR="009D12AF" w:rsidRDefault="00000000">
            <w:pPr>
              <w:ind w:firstLineChars="0" w:firstLine="0"/>
              <w:jc w:val="center"/>
              <w:rPr>
                <w:sz w:val="21"/>
                <w:szCs w:val="21"/>
              </w:rPr>
            </w:pPr>
            <w:r>
              <w:rPr>
                <w:sz w:val="21"/>
                <w:szCs w:val="21"/>
              </w:rPr>
              <w:t>占地规模</w:t>
            </w:r>
          </w:p>
        </w:tc>
        <w:tc>
          <w:tcPr>
            <w:tcW w:w="1421" w:type="pct"/>
            <w:gridSpan w:val="3"/>
            <w:vAlign w:val="center"/>
          </w:tcPr>
          <w:p w14:paraId="2B0C274C" w14:textId="77777777" w:rsidR="009D12AF" w:rsidRDefault="00000000">
            <w:pPr>
              <w:ind w:firstLineChars="0" w:firstLine="0"/>
              <w:jc w:val="center"/>
              <w:rPr>
                <w:sz w:val="21"/>
                <w:szCs w:val="21"/>
              </w:rPr>
            </w:pPr>
            <w:r>
              <w:rPr>
                <w:sz w:val="21"/>
                <w:szCs w:val="21"/>
              </w:rPr>
              <w:t>Ⅰ</w:t>
            </w:r>
            <w:r>
              <w:rPr>
                <w:sz w:val="21"/>
                <w:szCs w:val="21"/>
              </w:rPr>
              <w:t>类</w:t>
            </w:r>
          </w:p>
        </w:tc>
        <w:tc>
          <w:tcPr>
            <w:tcW w:w="1342" w:type="pct"/>
            <w:gridSpan w:val="3"/>
            <w:vAlign w:val="center"/>
          </w:tcPr>
          <w:p w14:paraId="0C4C6AD9" w14:textId="77777777" w:rsidR="009D12AF" w:rsidRDefault="00000000">
            <w:pPr>
              <w:ind w:firstLineChars="0" w:firstLine="0"/>
              <w:jc w:val="center"/>
              <w:rPr>
                <w:sz w:val="21"/>
                <w:szCs w:val="21"/>
              </w:rPr>
            </w:pPr>
            <w:r>
              <w:rPr>
                <w:sz w:val="21"/>
                <w:szCs w:val="21"/>
              </w:rPr>
              <w:t>Ⅱ</w:t>
            </w:r>
            <w:r>
              <w:rPr>
                <w:sz w:val="21"/>
                <w:szCs w:val="21"/>
              </w:rPr>
              <w:t>类</w:t>
            </w:r>
          </w:p>
        </w:tc>
        <w:tc>
          <w:tcPr>
            <w:tcW w:w="1500" w:type="pct"/>
            <w:gridSpan w:val="3"/>
            <w:vAlign w:val="center"/>
          </w:tcPr>
          <w:p w14:paraId="6AABD14F" w14:textId="77777777" w:rsidR="009D12AF" w:rsidRDefault="00000000">
            <w:pPr>
              <w:ind w:firstLineChars="0" w:firstLine="0"/>
              <w:jc w:val="center"/>
              <w:rPr>
                <w:sz w:val="21"/>
                <w:szCs w:val="21"/>
              </w:rPr>
            </w:pPr>
            <w:r>
              <w:rPr>
                <w:sz w:val="21"/>
                <w:szCs w:val="21"/>
              </w:rPr>
              <w:t>Ⅲ</w:t>
            </w:r>
            <w:r>
              <w:rPr>
                <w:sz w:val="21"/>
                <w:szCs w:val="21"/>
              </w:rPr>
              <w:t>类</w:t>
            </w:r>
          </w:p>
        </w:tc>
      </w:tr>
      <w:tr w:rsidR="009D12AF" w14:paraId="4670DB3A" w14:textId="77777777">
        <w:trPr>
          <w:trHeight w:val="397"/>
          <w:jc w:val="center"/>
        </w:trPr>
        <w:tc>
          <w:tcPr>
            <w:tcW w:w="736" w:type="pct"/>
            <w:vMerge/>
            <w:vAlign w:val="center"/>
          </w:tcPr>
          <w:p w14:paraId="29982456" w14:textId="77777777" w:rsidR="009D12AF" w:rsidRDefault="009D12AF">
            <w:pPr>
              <w:ind w:firstLineChars="0" w:firstLine="0"/>
              <w:jc w:val="center"/>
              <w:rPr>
                <w:sz w:val="21"/>
                <w:szCs w:val="21"/>
              </w:rPr>
            </w:pPr>
          </w:p>
        </w:tc>
        <w:tc>
          <w:tcPr>
            <w:tcW w:w="474" w:type="pct"/>
            <w:vAlign w:val="center"/>
          </w:tcPr>
          <w:p w14:paraId="4CB6C564" w14:textId="77777777" w:rsidR="009D12AF" w:rsidRDefault="00000000">
            <w:pPr>
              <w:ind w:firstLineChars="0" w:firstLine="0"/>
              <w:jc w:val="center"/>
              <w:rPr>
                <w:sz w:val="21"/>
                <w:szCs w:val="21"/>
              </w:rPr>
            </w:pPr>
            <w:r>
              <w:rPr>
                <w:sz w:val="21"/>
                <w:szCs w:val="21"/>
              </w:rPr>
              <w:t>大</w:t>
            </w:r>
          </w:p>
        </w:tc>
        <w:tc>
          <w:tcPr>
            <w:tcW w:w="474" w:type="pct"/>
            <w:vAlign w:val="center"/>
          </w:tcPr>
          <w:p w14:paraId="1ABF787A" w14:textId="77777777" w:rsidR="009D12AF" w:rsidRDefault="00000000">
            <w:pPr>
              <w:ind w:firstLineChars="0" w:firstLine="0"/>
              <w:jc w:val="center"/>
              <w:rPr>
                <w:sz w:val="21"/>
                <w:szCs w:val="21"/>
              </w:rPr>
            </w:pPr>
            <w:r>
              <w:rPr>
                <w:sz w:val="21"/>
                <w:szCs w:val="21"/>
              </w:rPr>
              <w:t>中</w:t>
            </w:r>
          </w:p>
        </w:tc>
        <w:tc>
          <w:tcPr>
            <w:tcW w:w="474" w:type="pct"/>
            <w:vAlign w:val="center"/>
          </w:tcPr>
          <w:p w14:paraId="3E7DB06B" w14:textId="77777777" w:rsidR="009D12AF" w:rsidRDefault="00000000">
            <w:pPr>
              <w:ind w:firstLineChars="0" w:firstLine="0"/>
              <w:jc w:val="center"/>
              <w:rPr>
                <w:sz w:val="21"/>
                <w:szCs w:val="21"/>
              </w:rPr>
            </w:pPr>
            <w:r>
              <w:rPr>
                <w:sz w:val="21"/>
                <w:szCs w:val="21"/>
              </w:rPr>
              <w:t>小</w:t>
            </w:r>
          </w:p>
        </w:tc>
        <w:tc>
          <w:tcPr>
            <w:tcW w:w="474" w:type="pct"/>
            <w:vAlign w:val="center"/>
          </w:tcPr>
          <w:p w14:paraId="76E5D960" w14:textId="77777777" w:rsidR="009D12AF" w:rsidRDefault="00000000">
            <w:pPr>
              <w:ind w:firstLineChars="0" w:firstLine="0"/>
              <w:jc w:val="center"/>
              <w:rPr>
                <w:sz w:val="21"/>
                <w:szCs w:val="21"/>
              </w:rPr>
            </w:pPr>
            <w:r>
              <w:rPr>
                <w:sz w:val="21"/>
                <w:szCs w:val="21"/>
              </w:rPr>
              <w:t>大</w:t>
            </w:r>
          </w:p>
        </w:tc>
        <w:tc>
          <w:tcPr>
            <w:tcW w:w="474" w:type="pct"/>
            <w:vAlign w:val="center"/>
          </w:tcPr>
          <w:p w14:paraId="6AD13647" w14:textId="77777777" w:rsidR="009D12AF" w:rsidRDefault="00000000">
            <w:pPr>
              <w:ind w:firstLineChars="0" w:firstLine="0"/>
              <w:jc w:val="center"/>
              <w:rPr>
                <w:sz w:val="21"/>
                <w:szCs w:val="21"/>
              </w:rPr>
            </w:pPr>
            <w:r>
              <w:rPr>
                <w:sz w:val="21"/>
                <w:szCs w:val="21"/>
              </w:rPr>
              <w:t>中</w:t>
            </w:r>
          </w:p>
        </w:tc>
        <w:tc>
          <w:tcPr>
            <w:tcW w:w="395" w:type="pct"/>
            <w:vAlign w:val="center"/>
          </w:tcPr>
          <w:p w14:paraId="771C2C1D" w14:textId="77777777" w:rsidR="009D12AF" w:rsidRDefault="00000000">
            <w:pPr>
              <w:ind w:firstLineChars="0" w:firstLine="0"/>
              <w:jc w:val="center"/>
              <w:rPr>
                <w:sz w:val="21"/>
                <w:szCs w:val="21"/>
              </w:rPr>
            </w:pPr>
            <w:r>
              <w:rPr>
                <w:sz w:val="21"/>
                <w:szCs w:val="21"/>
              </w:rPr>
              <w:t>小</w:t>
            </w:r>
          </w:p>
        </w:tc>
        <w:tc>
          <w:tcPr>
            <w:tcW w:w="553" w:type="pct"/>
            <w:vAlign w:val="center"/>
          </w:tcPr>
          <w:p w14:paraId="0ED54B26" w14:textId="77777777" w:rsidR="009D12AF" w:rsidRDefault="00000000">
            <w:pPr>
              <w:ind w:firstLineChars="0" w:firstLine="0"/>
              <w:jc w:val="center"/>
              <w:rPr>
                <w:sz w:val="21"/>
                <w:szCs w:val="21"/>
              </w:rPr>
            </w:pPr>
            <w:r>
              <w:rPr>
                <w:sz w:val="21"/>
                <w:szCs w:val="21"/>
              </w:rPr>
              <w:t>大</w:t>
            </w:r>
          </w:p>
        </w:tc>
        <w:tc>
          <w:tcPr>
            <w:tcW w:w="474" w:type="pct"/>
            <w:vAlign w:val="center"/>
          </w:tcPr>
          <w:p w14:paraId="27B0B8F6" w14:textId="77777777" w:rsidR="009D12AF" w:rsidRDefault="00000000">
            <w:pPr>
              <w:ind w:firstLineChars="0" w:firstLine="0"/>
              <w:jc w:val="center"/>
              <w:rPr>
                <w:sz w:val="21"/>
                <w:szCs w:val="21"/>
              </w:rPr>
            </w:pPr>
            <w:r>
              <w:rPr>
                <w:sz w:val="21"/>
                <w:szCs w:val="21"/>
              </w:rPr>
              <w:t>中</w:t>
            </w:r>
          </w:p>
        </w:tc>
        <w:tc>
          <w:tcPr>
            <w:tcW w:w="474" w:type="pct"/>
            <w:vAlign w:val="center"/>
          </w:tcPr>
          <w:p w14:paraId="41B48C22" w14:textId="77777777" w:rsidR="009D12AF" w:rsidRDefault="00000000">
            <w:pPr>
              <w:ind w:firstLineChars="0" w:firstLine="0"/>
              <w:jc w:val="center"/>
              <w:rPr>
                <w:sz w:val="21"/>
                <w:szCs w:val="21"/>
              </w:rPr>
            </w:pPr>
            <w:r>
              <w:rPr>
                <w:sz w:val="21"/>
                <w:szCs w:val="21"/>
              </w:rPr>
              <w:t>小</w:t>
            </w:r>
          </w:p>
        </w:tc>
      </w:tr>
      <w:tr w:rsidR="009D12AF" w14:paraId="51E78B3B" w14:textId="77777777">
        <w:trPr>
          <w:trHeight w:val="397"/>
          <w:jc w:val="center"/>
        </w:trPr>
        <w:tc>
          <w:tcPr>
            <w:tcW w:w="736" w:type="pct"/>
            <w:vAlign w:val="center"/>
          </w:tcPr>
          <w:p w14:paraId="729728F8" w14:textId="77777777" w:rsidR="009D12AF" w:rsidRDefault="00000000">
            <w:pPr>
              <w:ind w:firstLineChars="0" w:firstLine="0"/>
              <w:jc w:val="center"/>
              <w:rPr>
                <w:sz w:val="21"/>
                <w:szCs w:val="21"/>
              </w:rPr>
            </w:pPr>
            <w:r>
              <w:rPr>
                <w:sz w:val="21"/>
                <w:szCs w:val="21"/>
              </w:rPr>
              <w:t>敏感</w:t>
            </w:r>
          </w:p>
        </w:tc>
        <w:tc>
          <w:tcPr>
            <w:tcW w:w="474" w:type="pct"/>
            <w:vAlign w:val="center"/>
          </w:tcPr>
          <w:p w14:paraId="2C0B9753" w14:textId="77777777" w:rsidR="009D12AF" w:rsidRDefault="00000000">
            <w:pPr>
              <w:ind w:firstLineChars="0" w:firstLine="0"/>
              <w:jc w:val="center"/>
              <w:rPr>
                <w:sz w:val="21"/>
                <w:szCs w:val="21"/>
              </w:rPr>
            </w:pPr>
            <w:r>
              <w:rPr>
                <w:sz w:val="21"/>
                <w:szCs w:val="21"/>
              </w:rPr>
              <w:t>一级</w:t>
            </w:r>
          </w:p>
        </w:tc>
        <w:tc>
          <w:tcPr>
            <w:tcW w:w="474" w:type="pct"/>
            <w:vAlign w:val="center"/>
          </w:tcPr>
          <w:p w14:paraId="53B90DEA" w14:textId="77777777" w:rsidR="009D12AF" w:rsidRDefault="00000000">
            <w:pPr>
              <w:ind w:firstLineChars="0" w:firstLine="0"/>
              <w:jc w:val="center"/>
              <w:rPr>
                <w:sz w:val="21"/>
                <w:szCs w:val="21"/>
              </w:rPr>
            </w:pPr>
            <w:r>
              <w:rPr>
                <w:sz w:val="21"/>
                <w:szCs w:val="21"/>
              </w:rPr>
              <w:t>一级</w:t>
            </w:r>
          </w:p>
        </w:tc>
        <w:tc>
          <w:tcPr>
            <w:tcW w:w="474" w:type="pct"/>
            <w:vAlign w:val="center"/>
          </w:tcPr>
          <w:p w14:paraId="7D579DC6" w14:textId="77777777" w:rsidR="009D12AF" w:rsidRDefault="00000000">
            <w:pPr>
              <w:ind w:firstLineChars="0" w:firstLine="0"/>
              <w:jc w:val="center"/>
              <w:rPr>
                <w:sz w:val="21"/>
                <w:szCs w:val="21"/>
              </w:rPr>
            </w:pPr>
            <w:r>
              <w:rPr>
                <w:sz w:val="21"/>
                <w:szCs w:val="21"/>
              </w:rPr>
              <w:t>一级</w:t>
            </w:r>
          </w:p>
        </w:tc>
        <w:tc>
          <w:tcPr>
            <w:tcW w:w="474" w:type="pct"/>
            <w:vAlign w:val="center"/>
          </w:tcPr>
          <w:p w14:paraId="254CB7FB" w14:textId="77777777" w:rsidR="009D12AF" w:rsidRDefault="00000000">
            <w:pPr>
              <w:ind w:firstLineChars="0" w:firstLine="0"/>
              <w:jc w:val="center"/>
              <w:rPr>
                <w:sz w:val="21"/>
                <w:szCs w:val="21"/>
              </w:rPr>
            </w:pPr>
            <w:r>
              <w:rPr>
                <w:sz w:val="21"/>
                <w:szCs w:val="21"/>
              </w:rPr>
              <w:t>二级</w:t>
            </w:r>
          </w:p>
        </w:tc>
        <w:tc>
          <w:tcPr>
            <w:tcW w:w="474" w:type="pct"/>
            <w:vAlign w:val="center"/>
          </w:tcPr>
          <w:p w14:paraId="0B3AE630" w14:textId="77777777" w:rsidR="009D12AF" w:rsidRDefault="00000000">
            <w:pPr>
              <w:ind w:firstLineChars="0" w:firstLine="0"/>
              <w:jc w:val="center"/>
              <w:rPr>
                <w:sz w:val="21"/>
                <w:szCs w:val="21"/>
              </w:rPr>
            </w:pPr>
            <w:r>
              <w:rPr>
                <w:sz w:val="21"/>
                <w:szCs w:val="21"/>
              </w:rPr>
              <w:t>二级</w:t>
            </w:r>
          </w:p>
        </w:tc>
        <w:tc>
          <w:tcPr>
            <w:tcW w:w="395" w:type="pct"/>
            <w:vAlign w:val="center"/>
          </w:tcPr>
          <w:p w14:paraId="6D9D7648" w14:textId="77777777" w:rsidR="009D12AF" w:rsidRDefault="00000000">
            <w:pPr>
              <w:ind w:firstLineChars="0" w:firstLine="0"/>
              <w:jc w:val="center"/>
              <w:rPr>
                <w:sz w:val="21"/>
                <w:szCs w:val="21"/>
              </w:rPr>
            </w:pPr>
            <w:r>
              <w:rPr>
                <w:sz w:val="21"/>
                <w:szCs w:val="21"/>
              </w:rPr>
              <w:t>二级</w:t>
            </w:r>
          </w:p>
        </w:tc>
        <w:tc>
          <w:tcPr>
            <w:tcW w:w="553" w:type="pct"/>
            <w:vAlign w:val="center"/>
          </w:tcPr>
          <w:p w14:paraId="4CCFA6DC" w14:textId="77777777" w:rsidR="009D12AF" w:rsidRDefault="00000000">
            <w:pPr>
              <w:ind w:firstLineChars="0" w:firstLine="0"/>
              <w:jc w:val="center"/>
              <w:rPr>
                <w:sz w:val="21"/>
                <w:szCs w:val="21"/>
              </w:rPr>
            </w:pPr>
            <w:r>
              <w:rPr>
                <w:sz w:val="21"/>
                <w:szCs w:val="21"/>
              </w:rPr>
              <w:t>三级</w:t>
            </w:r>
          </w:p>
        </w:tc>
        <w:tc>
          <w:tcPr>
            <w:tcW w:w="474" w:type="pct"/>
            <w:vAlign w:val="center"/>
          </w:tcPr>
          <w:p w14:paraId="554125C1" w14:textId="77777777" w:rsidR="009D12AF" w:rsidRDefault="00000000">
            <w:pPr>
              <w:ind w:firstLineChars="0" w:firstLine="0"/>
              <w:jc w:val="center"/>
              <w:rPr>
                <w:sz w:val="21"/>
                <w:szCs w:val="21"/>
              </w:rPr>
            </w:pPr>
            <w:r>
              <w:rPr>
                <w:sz w:val="21"/>
                <w:szCs w:val="21"/>
              </w:rPr>
              <w:t>三级</w:t>
            </w:r>
          </w:p>
        </w:tc>
        <w:tc>
          <w:tcPr>
            <w:tcW w:w="474" w:type="pct"/>
            <w:vAlign w:val="center"/>
          </w:tcPr>
          <w:p w14:paraId="3F52432A" w14:textId="77777777" w:rsidR="009D12AF" w:rsidRDefault="00000000">
            <w:pPr>
              <w:ind w:firstLineChars="0" w:firstLine="0"/>
              <w:jc w:val="center"/>
              <w:rPr>
                <w:sz w:val="21"/>
                <w:szCs w:val="21"/>
              </w:rPr>
            </w:pPr>
            <w:r>
              <w:rPr>
                <w:sz w:val="21"/>
                <w:szCs w:val="21"/>
              </w:rPr>
              <w:t>三级</w:t>
            </w:r>
          </w:p>
        </w:tc>
      </w:tr>
      <w:tr w:rsidR="009D12AF" w14:paraId="071EE64E" w14:textId="77777777">
        <w:trPr>
          <w:trHeight w:val="397"/>
          <w:jc w:val="center"/>
        </w:trPr>
        <w:tc>
          <w:tcPr>
            <w:tcW w:w="736" w:type="pct"/>
            <w:vAlign w:val="center"/>
          </w:tcPr>
          <w:p w14:paraId="3AD542A1" w14:textId="77777777" w:rsidR="009D12AF" w:rsidRDefault="00000000">
            <w:pPr>
              <w:ind w:firstLineChars="0" w:firstLine="0"/>
              <w:jc w:val="center"/>
              <w:rPr>
                <w:sz w:val="21"/>
                <w:szCs w:val="21"/>
              </w:rPr>
            </w:pPr>
            <w:r>
              <w:rPr>
                <w:sz w:val="21"/>
                <w:szCs w:val="21"/>
              </w:rPr>
              <w:t>较敏感</w:t>
            </w:r>
          </w:p>
        </w:tc>
        <w:tc>
          <w:tcPr>
            <w:tcW w:w="474" w:type="pct"/>
            <w:vAlign w:val="center"/>
          </w:tcPr>
          <w:p w14:paraId="2269FF6B" w14:textId="77777777" w:rsidR="009D12AF" w:rsidRDefault="00000000">
            <w:pPr>
              <w:ind w:firstLineChars="0" w:firstLine="0"/>
              <w:jc w:val="center"/>
              <w:rPr>
                <w:sz w:val="21"/>
                <w:szCs w:val="21"/>
              </w:rPr>
            </w:pPr>
            <w:r>
              <w:rPr>
                <w:sz w:val="21"/>
                <w:szCs w:val="21"/>
              </w:rPr>
              <w:t>一级</w:t>
            </w:r>
          </w:p>
        </w:tc>
        <w:tc>
          <w:tcPr>
            <w:tcW w:w="474" w:type="pct"/>
            <w:vAlign w:val="center"/>
          </w:tcPr>
          <w:p w14:paraId="5778790C" w14:textId="77777777" w:rsidR="009D12AF" w:rsidRDefault="00000000">
            <w:pPr>
              <w:ind w:firstLineChars="0" w:firstLine="0"/>
              <w:jc w:val="center"/>
              <w:rPr>
                <w:sz w:val="21"/>
                <w:szCs w:val="21"/>
              </w:rPr>
            </w:pPr>
            <w:r>
              <w:rPr>
                <w:sz w:val="21"/>
                <w:szCs w:val="21"/>
              </w:rPr>
              <w:t>一级</w:t>
            </w:r>
          </w:p>
        </w:tc>
        <w:tc>
          <w:tcPr>
            <w:tcW w:w="474" w:type="pct"/>
            <w:vAlign w:val="center"/>
          </w:tcPr>
          <w:p w14:paraId="43C89EA5" w14:textId="77777777" w:rsidR="009D12AF" w:rsidRDefault="00000000">
            <w:pPr>
              <w:ind w:firstLineChars="0" w:firstLine="0"/>
              <w:jc w:val="center"/>
              <w:rPr>
                <w:sz w:val="21"/>
                <w:szCs w:val="21"/>
              </w:rPr>
            </w:pPr>
            <w:r>
              <w:rPr>
                <w:sz w:val="21"/>
                <w:szCs w:val="21"/>
              </w:rPr>
              <w:t>二级</w:t>
            </w:r>
          </w:p>
        </w:tc>
        <w:tc>
          <w:tcPr>
            <w:tcW w:w="474" w:type="pct"/>
            <w:vAlign w:val="center"/>
          </w:tcPr>
          <w:p w14:paraId="027AFF41" w14:textId="77777777" w:rsidR="009D12AF" w:rsidRDefault="00000000">
            <w:pPr>
              <w:ind w:firstLineChars="0" w:firstLine="0"/>
              <w:jc w:val="center"/>
              <w:rPr>
                <w:sz w:val="21"/>
                <w:szCs w:val="21"/>
              </w:rPr>
            </w:pPr>
            <w:r>
              <w:rPr>
                <w:sz w:val="21"/>
                <w:szCs w:val="21"/>
              </w:rPr>
              <w:t>二级</w:t>
            </w:r>
          </w:p>
        </w:tc>
        <w:tc>
          <w:tcPr>
            <w:tcW w:w="474" w:type="pct"/>
            <w:vAlign w:val="center"/>
          </w:tcPr>
          <w:p w14:paraId="439F15E3" w14:textId="77777777" w:rsidR="009D12AF" w:rsidRDefault="00000000">
            <w:pPr>
              <w:ind w:firstLineChars="0" w:firstLine="0"/>
              <w:jc w:val="center"/>
              <w:rPr>
                <w:sz w:val="21"/>
                <w:szCs w:val="21"/>
              </w:rPr>
            </w:pPr>
            <w:r>
              <w:rPr>
                <w:sz w:val="21"/>
                <w:szCs w:val="21"/>
              </w:rPr>
              <w:t>二级</w:t>
            </w:r>
          </w:p>
        </w:tc>
        <w:tc>
          <w:tcPr>
            <w:tcW w:w="395" w:type="pct"/>
            <w:vAlign w:val="center"/>
          </w:tcPr>
          <w:p w14:paraId="491784ED" w14:textId="77777777" w:rsidR="009D12AF" w:rsidRDefault="00000000">
            <w:pPr>
              <w:ind w:firstLineChars="0" w:firstLine="0"/>
              <w:jc w:val="center"/>
              <w:rPr>
                <w:sz w:val="21"/>
                <w:szCs w:val="21"/>
              </w:rPr>
            </w:pPr>
            <w:r>
              <w:rPr>
                <w:sz w:val="21"/>
                <w:szCs w:val="21"/>
              </w:rPr>
              <w:t>三级</w:t>
            </w:r>
          </w:p>
        </w:tc>
        <w:tc>
          <w:tcPr>
            <w:tcW w:w="553" w:type="pct"/>
            <w:vAlign w:val="center"/>
          </w:tcPr>
          <w:p w14:paraId="26535250" w14:textId="77777777" w:rsidR="009D12AF" w:rsidRDefault="00000000">
            <w:pPr>
              <w:ind w:firstLineChars="0" w:firstLine="0"/>
              <w:jc w:val="center"/>
              <w:rPr>
                <w:sz w:val="21"/>
                <w:szCs w:val="21"/>
              </w:rPr>
            </w:pPr>
            <w:r>
              <w:rPr>
                <w:sz w:val="21"/>
                <w:szCs w:val="21"/>
              </w:rPr>
              <w:t>三级</w:t>
            </w:r>
          </w:p>
        </w:tc>
        <w:tc>
          <w:tcPr>
            <w:tcW w:w="474" w:type="pct"/>
            <w:vAlign w:val="center"/>
          </w:tcPr>
          <w:p w14:paraId="65899536" w14:textId="77777777" w:rsidR="009D12AF" w:rsidRDefault="00000000">
            <w:pPr>
              <w:ind w:firstLineChars="0" w:firstLine="0"/>
              <w:jc w:val="center"/>
              <w:rPr>
                <w:sz w:val="21"/>
                <w:szCs w:val="21"/>
              </w:rPr>
            </w:pPr>
            <w:r>
              <w:rPr>
                <w:sz w:val="21"/>
                <w:szCs w:val="21"/>
              </w:rPr>
              <w:t>三级</w:t>
            </w:r>
          </w:p>
        </w:tc>
        <w:tc>
          <w:tcPr>
            <w:tcW w:w="474" w:type="pct"/>
            <w:vAlign w:val="center"/>
          </w:tcPr>
          <w:p w14:paraId="6A2E23C3" w14:textId="77777777" w:rsidR="009D12AF" w:rsidRDefault="00000000">
            <w:pPr>
              <w:ind w:firstLineChars="0" w:firstLine="0"/>
              <w:jc w:val="center"/>
              <w:rPr>
                <w:sz w:val="21"/>
                <w:szCs w:val="21"/>
              </w:rPr>
            </w:pPr>
            <w:r>
              <w:rPr>
                <w:sz w:val="21"/>
                <w:szCs w:val="21"/>
              </w:rPr>
              <w:t>-</w:t>
            </w:r>
          </w:p>
        </w:tc>
      </w:tr>
      <w:tr w:rsidR="009D12AF" w14:paraId="0B843AD9" w14:textId="77777777">
        <w:trPr>
          <w:trHeight w:val="397"/>
          <w:jc w:val="center"/>
        </w:trPr>
        <w:tc>
          <w:tcPr>
            <w:tcW w:w="0" w:type="auto"/>
            <w:vAlign w:val="center"/>
          </w:tcPr>
          <w:p w14:paraId="4775F87B" w14:textId="77777777" w:rsidR="009D12AF" w:rsidRDefault="00000000">
            <w:pPr>
              <w:ind w:firstLineChars="0" w:firstLine="0"/>
              <w:jc w:val="center"/>
              <w:rPr>
                <w:sz w:val="21"/>
                <w:szCs w:val="21"/>
              </w:rPr>
            </w:pPr>
            <w:r>
              <w:rPr>
                <w:sz w:val="21"/>
                <w:szCs w:val="21"/>
              </w:rPr>
              <w:t>不敏感</w:t>
            </w:r>
          </w:p>
        </w:tc>
        <w:tc>
          <w:tcPr>
            <w:tcW w:w="0" w:type="auto"/>
            <w:vAlign w:val="center"/>
          </w:tcPr>
          <w:p w14:paraId="13CA5EBA" w14:textId="77777777" w:rsidR="009D12AF" w:rsidRDefault="00000000">
            <w:pPr>
              <w:ind w:firstLineChars="0" w:firstLine="0"/>
              <w:jc w:val="center"/>
              <w:rPr>
                <w:sz w:val="21"/>
                <w:szCs w:val="21"/>
              </w:rPr>
            </w:pPr>
            <w:r>
              <w:rPr>
                <w:sz w:val="21"/>
                <w:szCs w:val="21"/>
              </w:rPr>
              <w:t>一级</w:t>
            </w:r>
          </w:p>
        </w:tc>
        <w:tc>
          <w:tcPr>
            <w:tcW w:w="0" w:type="auto"/>
            <w:vAlign w:val="center"/>
          </w:tcPr>
          <w:p w14:paraId="55A0C974" w14:textId="77777777" w:rsidR="009D12AF" w:rsidRDefault="00000000">
            <w:pPr>
              <w:ind w:firstLineChars="0" w:firstLine="0"/>
              <w:jc w:val="center"/>
              <w:rPr>
                <w:sz w:val="21"/>
                <w:szCs w:val="21"/>
              </w:rPr>
            </w:pPr>
            <w:r>
              <w:rPr>
                <w:sz w:val="21"/>
                <w:szCs w:val="21"/>
              </w:rPr>
              <w:t>二级</w:t>
            </w:r>
          </w:p>
        </w:tc>
        <w:tc>
          <w:tcPr>
            <w:tcW w:w="0" w:type="auto"/>
            <w:vAlign w:val="center"/>
          </w:tcPr>
          <w:p w14:paraId="145D56B6" w14:textId="77777777" w:rsidR="009D12AF" w:rsidRDefault="00000000">
            <w:pPr>
              <w:ind w:firstLineChars="0" w:firstLine="0"/>
              <w:jc w:val="center"/>
              <w:rPr>
                <w:sz w:val="21"/>
                <w:szCs w:val="21"/>
              </w:rPr>
            </w:pPr>
            <w:r>
              <w:rPr>
                <w:sz w:val="21"/>
                <w:szCs w:val="21"/>
              </w:rPr>
              <w:t>二级</w:t>
            </w:r>
          </w:p>
        </w:tc>
        <w:tc>
          <w:tcPr>
            <w:tcW w:w="0" w:type="auto"/>
            <w:vAlign w:val="center"/>
          </w:tcPr>
          <w:p w14:paraId="5BD44959" w14:textId="77777777" w:rsidR="009D12AF" w:rsidRDefault="00000000">
            <w:pPr>
              <w:ind w:firstLineChars="0" w:firstLine="0"/>
              <w:jc w:val="center"/>
              <w:rPr>
                <w:sz w:val="21"/>
                <w:szCs w:val="21"/>
              </w:rPr>
            </w:pPr>
            <w:r>
              <w:rPr>
                <w:sz w:val="21"/>
                <w:szCs w:val="21"/>
              </w:rPr>
              <w:t>二级</w:t>
            </w:r>
          </w:p>
        </w:tc>
        <w:tc>
          <w:tcPr>
            <w:tcW w:w="0" w:type="auto"/>
            <w:vAlign w:val="center"/>
          </w:tcPr>
          <w:p w14:paraId="7A0ED53D" w14:textId="77777777" w:rsidR="009D12AF" w:rsidRDefault="00000000">
            <w:pPr>
              <w:ind w:firstLineChars="0" w:firstLine="0"/>
              <w:jc w:val="center"/>
              <w:rPr>
                <w:sz w:val="21"/>
                <w:szCs w:val="21"/>
              </w:rPr>
            </w:pPr>
            <w:r>
              <w:rPr>
                <w:sz w:val="21"/>
                <w:szCs w:val="21"/>
              </w:rPr>
              <w:t>三级</w:t>
            </w:r>
          </w:p>
        </w:tc>
        <w:tc>
          <w:tcPr>
            <w:tcW w:w="0" w:type="auto"/>
            <w:vAlign w:val="center"/>
          </w:tcPr>
          <w:p w14:paraId="2617734F" w14:textId="77777777" w:rsidR="009D12AF" w:rsidRDefault="00000000">
            <w:pPr>
              <w:ind w:firstLineChars="0" w:firstLine="0"/>
              <w:jc w:val="center"/>
              <w:rPr>
                <w:sz w:val="21"/>
                <w:szCs w:val="21"/>
              </w:rPr>
            </w:pPr>
            <w:r>
              <w:rPr>
                <w:sz w:val="21"/>
                <w:szCs w:val="21"/>
              </w:rPr>
              <w:t>三级</w:t>
            </w:r>
          </w:p>
        </w:tc>
        <w:tc>
          <w:tcPr>
            <w:tcW w:w="0" w:type="auto"/>
            <w:vAlign w:val="center"/>
          </w:tcPr>
          <w:p w14:paraId="6CAF51C6" w14:textId="77777777" w:rsidR="009D12AF" w:rsidRDefault="00000000">
            <w:pPr>
              <w:ind w:firstLineChars="0" w:firstLine="0"/>
              <w:jc w:val="center"/>
              <w:rPr>
                <w:sz w:val="21"/>
                <w:szCs w:val="21"/>
              </w:rPr>
            </w:pPr>
            <w:r>
              <w:rPr>
                <w:sz w:val="21"/>
                <w:szCs w:val="21"/>
              </w:rPr>
              <w:t>三级</w:t>
            </w:r>
          </w:p>
        </w:tc>
        <w:tc>
          <w:tcPr>
            <w:tcW w:w="0" w:type="auto"/>
            <w:vAlign w:val="center"/>
          </w:tcPr>
          <w:p w14:paraId="1CE0FBFD" w14:textId="77777777" w:rsidR="009D12AF" w:rsidRDefault="00000000">
            <w:pPr>
              <w:ind w:firstLineChars="0" w:firstLine="0"/>
              <w:jc w:val="center"/>
              <w:rPr>
                <w:sz w:val="21"/>
                <w:szCs w:val="21"/>
              </w:rPr>
            </w:pPr>
            <w:r>
              <w:rPr>
                <w:sz w:val="21"/>
                <w:szCs w:val="21"/>
              </w:rPr>
              <w:t>-</w:t>
            </w:r>
          </w:p>
        </w:tc>
        <w:tc>
          <w:tcPr>
            <w:tcW w:w="0" w:type="auto"/>
            <w:vAlign w:val="center"/>
          </w:tcPr>
          <w:p w14:paraId="7E2FD17A" w14:textId="77777777" w:rsidR="009D12AF" w:rsidRDefault="00000000">
            <w:pPr>
              <w:ind w:firstLineChars="0" w:firstLine="0"/>
              <w:jc w:val="center"/>
              <w:rPr>
                <w:sz w:val="21"/>
                <w:szCs w:val="21"/>
              </w:rPr>
            </w:pPr>
            <w:r>
              <w:rPr>
                <w:sz w:val="21"/>
                <w:szCs w:val="21"/>
              </w:rPr>
              <w:t>-</w:t>
            </w:r>
          </w:p>
        </w:tc>
      </w:tr>
      <w:tr w:rsidR="009D12AF" w14:paraId="1EAD9F11" w14:textId="77777777">
        <w:trPr>
          <w:trHeight w:val="397"/>
          <w:jc w:val="center"/>
        </w:trPr>
        <w:tc>
          <w:tcPr>
            <w:tcW w:w="5000" w:type="pct"/>
            <w:gridSpan w:val="10"/>
            <w:vAlign w:val="center"/>
          </w:tcPr>
          <w:p w14:paraId="6AD23E51" w14:textId="77777777" w:rsidR="009D12AF" w:rsidRDefault="00000000">
            <w:pPr>
              <w:ind w:firstLineChars="0" w:firstLine="0"/>
              <w:jc w:val="center"/>
              <w:rPr>
                <w:sz w:val="21"/>
                <w:szCs w:val="21"/>
              </w:rPr>
            </w:pPr>
            <w:r>
              <w:rPr>
                <w:sz w:val="21"/>
                <w:szCs w:val="21"/>
              </w:rPr>
              <w:t>注：</w:t>
            </w:r>
            <w:r>
              <w:rPr>
                <w:sz w:val="21"/>
                <w:szCs w:val="21"/>
              </w:rPr>
              <w:t>“-”</w:t>
            </w:r>
            <w:r>
              <w:rPr>
                <w:sz w:val="21"/>
                <w:szCs w:val="21"/>
              </w:rPr>
              <w:t>表示可不开展土壤环境影响评价工作。</w:t>
            </w:r>
          </w:p>
        </w:tc>
      </w:tr>
    </w:tbl>
    <w:p w14:paraId="05BC098C" w14:textId="77777777" w:rsidR="009D12AF" w:rsidRDefault="00000000">
      <w:pPr>
        <w:ind w:firstLine="480"/>
      </w:pPr>
      <w:r>
        <w:rPr>
          <w:rFonts w:hint="eastAsia"/>
        </w:rPr>
        <w:t>本项目五个水库距离较远，因此进行单独评价。</w:t>
      </w:r>
      <w:r>
        <w:t>根据现场勘查并查阅资料，本项目群力水库临时占地面积为</w:t>
      </w:r>
      <w:r>
        <w:t>10656.14m</w:t>
      </w:r>
      <w:r>
        <w:rPr>
          <w:vertAlign w:val="superscript"/>
        </w:rPr>
        <w:t>2</w:t>
      </w:r>
      <w:r>
        <w:t>；长石水库临时占地面积</w:t>
      </w:r>
      <w:r>
        <w:t xml:space="preserve"> 20212.08m</w:t>
      </w:r>
      <w:r>
        <w:rPr>
          <w:vertAlign w:val="superscript"/>
        </w:rPr>
        <w:t>2</w:t>
      </w:r>
      <w:r>
        <w:t>；向阳水电站前池临时占地面积</w:t>
      </w:r>
      <w:r>
        <w:t>1626.69m</w:t>
      </w:r>
      <w:r>
        <w:rPr>
          <w:vertAlign w:val="superscript"/>
        </w:rPr>
        <w:t>2</w:t>
      </w:r>
      <w:r>
        <w:t>；新安晒水池临时占地面积</w:t>
      </w:r>
      <w:r>
        <w:t>4205.1m</w:t>
      </w:r>
      <w:r>
        <w:rPr>
          <w:vertAlign w:val="superscript"/>
        </w:rPr>
        <w:t>2</w:t>
      </w:r>
      <w:r>
        <w:t>；万丈水库临时占地面积</w:t>
      </w:r>
      <w:r>
        <w:t>1393.88m</w:t>
      </w:r>
      <w:r>
        <w:rPr>
          <w:vertAlign w:val="superscript"/>
        </w:rPr>
        <w:t>2</w:t>
      </w:r>
      <w:r>
        <w:t>，</w:t>
      </w:r>
      <w:r>
        <w:rPr>
          <w:rFonts w:hint="eastAsia"/>
        </w:rPr>
        <w:t>五个水库均</w:t>
      </w:r>
      <w:r>
        <w:t>属于</w:t>
      </w:r>
      <w:r>
        <w:rPr>
          <w:rFonts w:hint="eastAsia"/>
        </w:rPr>
        <w:t>小</w:t>
      </w:r>
      <w:r>
        <w:t>型（</w:t>
      </w:r>
      <w:r>
        <w:t>≤5 hm</w:t>
      </w:r>
      <w:r>
        <w:rPr>
          <w:vertAlign w:val="superscript"/>
        </w:rPr>
        <w:t>2</w:t>
      </w:r>
      <w:r>
        <w:t>）建设项目。本项目土壤环境敏感程度属于敏感，占地规模属于</w:t>
      </w:r>
      <w:r>
        <w:rPr>
          <w:rFonts w:hint="eastAsia"/>
        </w:rPr>
        <w:t>小</w:t>
      </w:r>
      <w:r>
        <w:t>型，本项目属于土壤导则规定的</w:t>
      </w:r>
      <w:r>
        <w:t>Ⅲ</w:t>
      </w:r>
      <w:r>
        <w:t>类项目。依据表</w:t>
      </w:r>
      <w:r>
        <w:t>2</w:t>
      </w:r>
      <w:r>
        <w:rPr>
          <w:rFonts w:hint="eastAsia"/>
        </w:rPr>
        <w:t>.6</w:t>
      </w:r>
      <w:r>
        <w:t>-</w:t>
      </w:r>
      <w:r>
        <w:rPr>
          <w:rFonts w:hint="eastAsia"/>
        </w:rPr>
        <w:t>11</w:t>
      </w:r>
      <w:r>
        <w:t>，本项目土壤评价工作等级定为三级。</w:t>
      </w:r>
    </w:p>
    <w:p w14:paraId="19C70672" w14:textId="77777777" w:rsidR="009D12AF" w:rsidRDefault="00000000">
      <w:pPr>
        <w:ind w:firstLine="480"/>
      </w:pPr>
      <w:r>
        <w:rPr>
          <w:rFonts w:hint="eastAsia"/>
        </w:rPr>
        <w:t>（</w:t>
      </w:r>
      <w:r>
        <w:rPr>
          <w:rFonts w:hint="eastAsia"/>
        </w:rPr>
        <w:t>3</w:t>
      </w:r>
      <w:r>
        <w:rPr>
          <w:rFonts w:hint="eastAsia"/>
        </w:rPr>
        <w:t>）评价范围</w:t>
      </w:r>
    </w:p>
    <w:p w14:paraId="034EFAF1" w14:textId="77777777" w:rsidR="009D12AF" w:rsidRDefault="00000000">
      <w:pPr>
        <w:pStyle w:val="13"/>
        <w:spacing w:before="81" w:after="81"/>
      </w:pPr>
      <w:r>
        <w:rPr>
          <w:snapToGrid w:val="0"/>
        </w:rPr>
        <w:t>本项目属于污</w:t>
      </w:r>
      <w:r>
        <w:rPr>
          <w:rFonts w:ascii="Times New Roman"/>
          <w:snapToGrid w:val="0"/>
        </w:rPr>
        <w:t>染影响性项目，对周围土壤可能产生垂直入渗途径影响。综合考虑，确定本项目土壤环境评价范围为</w:t>
      </w:r>
      <w:r>
        <w:rPr>
          <w:rFonts w:ascii="Times New Roman" w:hint="eastAsia"/>
          <w:snapToGrid w:val="0"/>
        </w:rPr>
        <w:t>临时生产区和施工营地</w:t>
      </w:r>
      <w:r>
        <w:rPr>
          <w:rFonts w:ascii="Times New Roman"/>
          <w:snapToGrid w:val="0"/>
        </w:rPr>
        <w:t>占地范围外</w:t>
      </w:r>
      <w:r>
        <w:rPr>
          <w:rFonts w:ascii="Times New Roman" w:hint="eastAsia"/>
          <w:snapToGrid w:val="0"/>
        </w:rPr>
        <w:t>50</w:t>
      </w:r>
      <w:r>
        <w:rPr>
          <w:rFonts w:ascii="Times New Roman"/>
          <w:snapToGrid w:val="0"/>
        </w:rPr>
        <w:t>m</w:t>
      </w:r>
      <w:r>
        <w:rPr>
          <w:rFonts w:ascii="Times New Roman"/>
          <w:snapToGrid w:val="0"/>
        </w:rPr>
        <w:t>范围。</w:t>
      </w:r>
    </w:p>
    <w:p w14:paraId="07FD9385" w14:textId="77777777" w:rsidR="009D12AF" w:rsidRDefault="00000000">
      <w:pPr>
        <w:pStyle w:val="3"/>
      </w:pPr>
      <w:bookmarkStart w:id="96" w:name="_Toc15049"/>
      <w:bookmarkStart w:id="97" w:name="_Toc30300"/>
      <w:bookmarkStart w:id="98" w:name="_Toc3727"/>
      <w:bookmarkStart w:id="99" w:name="_Toc19236"/>
      <w:r>
        <w:rPr>
          <w:rFonts w:hint="eastAsia"/>
        </w:rPr>
        <w:lastRenderedPageBreak/>
        <w:t>2</w:t>
      </w:r>
      <w:r>
        <w:t>.</w:t>
      </w:r>
      <w:r>
        <w:rPr>
          <w:rFonts w:hint="eastAsia"/>
        </w:rPr>
        <w:t>5</w:t>
      </w:r>
      <w:r>
        <w:t>.</w:t>
      </w:r>
      <w:r>
        <w:rPr>
          <w:rFonts w:hint="eastAsia"/>
        </w:rPr>
        <w:t>8</w:t>
      </w:r>
      <w:r>
        <w:t xml:space="preserve"> </w:t>
      </w:r>
      <w:r>
        <w:t>评价范围</w:t>
      </w:r>
      <w:bookmarkEnd w:id="96"/>
      <w:bookmarkEnd w:id="97"/>
      <w:bookmarkEnd w:id="98"/>
      <w:bookmarkEnd w:id="99"/>
    </w:p>
    <w:p w14:paraId="26110FFD" w14:textId="77777777" w:rsidR="009D12AF" w:rsidRDefault="00000000">
      <w:pPr>
        <w:ind w:firstLine="480"/>
      </w:pPr>
      <w:r>
        <w:t>1</w:t>
      </w:r>
      <w:r>
        <w:t>、地表水环境</w:t>
      </w:r>
    </w:p>
    <w:p w14:paraId="779F2FFE" w14:textId="77777777" w:rsidR="009D12AF" w:rsidRDefault="00000000">
      <w:pPr>
        <w:ind w:firstLine="480"/>
      </w:pPr>
      <w:r>
        <w:t>根据《环境影响评价技术导则</w:t>
      </w:r>
      <w:r>
        <w:t xml:space="preserve">  </w:t>
      </w:r>
      <w:r>
        <w:t>地表水环境》（</w:t>
      </w:r>
      <w:r>
        <w:rPr>
          <w:rFonts w:ascii="Times New Roman" w:hAnsi="Times New Roman" w:cs="Times New Roman"/>
        </w:rPr>
        <w:t>HJ2.3-2018</w:t>
      </w:r>
      <w:r>
        <w:t>），根据《环境影响评价技术导则</w:t>
      </w:r>
      <w:r>
        <w:t xml:space="preserve">  </w:t>
      </w:r>
      <w:r>
        <w:t>地表水环境》（</w:t>
      </w:r>
      <w:r>
        <w:rPr>
          <w:rFonts w:ascii="Times New Roman" w:hAnsi="Times New Roman" w:cs="Times New Roman"/>
        </w:rPr>
        <w:t>HJ2.3-2018</w:t>
      </w:r>
      <w:r>
        <w:t>），</w:t>
      </w:r>
      <w:r>
        <w:rPr>
          <w:rFonts w:ascii="Times New Roman" w:hAnsi="Times New Roman" w:cs="Times New Roman" w:hint="eastAsia"/>
          <w:color w:val="000000" w:themeColor="text1"/>
        </w:rPr>
        <w:t>群力水库评价范围为</w:t>
      </w:r>
      <w:r>
        <w:rPr>
          <w:rFonts w:ascii="Times New Roman" w:hAnsi="Times New Roman" w:cs="Times New Roman" w:hint="eastAsia"/>
          <w:color w:val="000000" w:themeColor="text1"/>
        </w:rPr>
        <w:t>105.68</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hint="eastAsia"/>
          <w:kern w:val="0"/>
        </w:rPr>
        <w:t>、长石水库评价范围为</w:t>
      </w:r>
      <w:r>
        <w:rPr>
          <w:rFonts w:ascii="Times New Roman" w:hAnsi="Times New Roman" w:cs="Times New Roman" w:hint="eastAsia"/>
          <w:color w:val="000000" w:themeColor="text1"/>
        </w:rPr>
        <w:t>12</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hint="eastAsia"/>
          <w:kern w:val="0"/>
        </w:rPr>
        <w:t>、万丈水库评价范围为</w:t>
      </w:r>
      <w:r>
        <w:rPr>
          <w:rFonts w:ascii="Times New Roman" w:hAnsi="Times New Roman" w:cs="Times New Roman" w:hint="eastAsia"/>
          <w:color w:val="000000" w:themeColor="text1"/>
        </w:rPr>
        <w:t>30</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hint="eastAsia"/>
          <w:kern w:val="0"/>
        </w:rPr>
        <w:t>、向阳水电站前池评价范围为</w:t>
      </w:r>
      <w:r>
        <w:rPr>
          <w:rFonts w:ascii="Times New Roman" w:hAnsi="Times New Roman" w:cs="Times New Roman" w:hint="eastAsia"/>
          <w:color w:val="000000" w:themeColor="text1"/>
        </w:rPr>
        <w:t>16</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hint="eastAsia"/>
          <w:kern w:val="0"/>
        </w:rPr>
        <w:t>、新安晒水池评价范围为</w:t>
      </w:r>
      <w:r>
        <w:rPr>
          <w:rFonts w:ascii="Times New Roman" w:hAnsi="Times New Roman" w:cs="Times New Roman" w:hint="eastAsia"/>
          <w:color w:val="000000" w:themeColor="text1"/>
        </w:rPr>
        <w:t>36</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hAnsi="Times New Roman" w:cs="Times New Roman"/>
          <w:color w:val="000000" w:themeColor="text1"/>
        </w:rPr>
        <w:t>。</w:t>
      </w:r>
    </w:p>
    <w:p w14:paraId="31012517" w14:textId="77777777" w:rsidR="009D12AF" w:rsidRDefault="00000000">
      <w:pPr>
        <w:ind w:firstLine="480"/>
      </w:pPr>
      <w:r>
        <w:t>2</w:t>
      </w:r>
      <w:r>
        <w:t>、声环境</w:t>
      </w:r>
    </w:p>
    <w:p w14:paraId="13F89E54" w14:textId="77777777" w:rsidR="009D12AF" w:rsidRDefault="00000000">
      <w:pPr>
        <w:ind w:firstLine="480"/>
      </w:pPr>
      <w:r>
        <w:t>根据《环境影响评价技术导则</w:t>
      </w:r>
      <w:r>
        <w:t xml:space="preserve"> </w:t>
      </w:r>
      <w:r>
        <w:t>声环境》（</w:t>
      </w:r>
      <w:r>
        <w:t>HJ2.4-2021</w:t>
      </w:r>
      <w:r>
        <w:t>），本工程临时施工场地边界周围</w:t>
      </w:r>
      <w:r>
        <w:t>200m</w:t>
      </w:r>
      <w:r>
        <w:t>区域内的声环境周围</w:t>
      </w:r>
      <w:r>
        <w:t>200m</w:t>
      </w:r>
      <w:r>
        <w:t>区域。</w:t>
      </w:r>
    </w:p>
    <w:p w14:paraId="43DEAE1E" w14:textId="77777777" w:rsidR="009D12AF" w:rsidRDefault="00000000">
      <w:pPr>
        <w:ind w:firstLine="480"/>
      </w:pPr>
      <w:r>
        <w:t>3</w:t>
      </w:r>
      <w:r>
        <w:t>、地下水</w:t>
      </w:r>
    </w:p>
    <w:p w14:paraId="50CA982D" w14:textId="77777777" w:rsidR="009D12AF" w:rsidRDefault="00000000">
      <w:pPr>
        <w:ind w:firstLine="480"/>
      </w:pPr>
      <w:r>
        <w:rPr>
          <w:rFonts w:hint="eastAsia"/>
        </w:rPr>
        <w:t>根据《环境影响评价技术导则—地下水环境部分》</w:t>
      </w:r>
      <w:r>
        <w:rPr>
          <w:rFonts w:hint="eastAsia"/>
        </w:rPr>
        <w:t>(HJ/610-2016)</w:t>
      </w:r>
      <w:r>
        <w:rPr>
          <w:rFonts w:hint="eastAsia"/>
        </w:rPr>
        <w:t>中规定的等级划分方法判定，项目地下水环境影响评价等级为三级，地下水评价范围采用查表法确定，经查，三级评价的评价范围为≤</w:t>
      </w:r>
      <w:r>
        <w:rPr>
          <w:rFonts w:hint="eastAsia"/>
        </w:rPr>
        <w:t>6km</w:t>
      </w:r>
      <w:r>
        <w:rPr>
          <w:rFonts w:hint="eastAsia"/>
          <w:vertAlign w:val="superscript"/>
        </w:rPr>
        <w:t>2</w:t>
      </w:r>
      <w:r>
        <w:rPr>
          <w:rFonts w:hint="eastAsia"/>
        </w:rPr>
        <w:t>，本次评价取上限值，以场区为中心，向地下水流向上游外扩</w:t>
      </w:r>
      <w:r>
        <w:rPr>
          <w:rFonts w:hint="eastAsia"/>
        </w:rPr>
        <w:t>1km</w:t>
      </w:r>
      <w:r>
        <w:rPr>
          <w:rFonts w:hint="eastAsia"/>
        </w:rPr>
        <w:t>，向下游外扩</w:t>
      </w:r>
      <w:r>
        <w:rPr>
          <w:rFonts w:hint="eastAsia"/>
        </w:rPr>
        <w:t>2km</w:t>
      </w:r>
      <w:r>
        <w:rPr>
          <w:rFonts w:hint="eastAsia"/>
        </w:rPr>
        <w:t>，向两侧外扩</w:t>
      </w:r>
      <w:r>
        <w:rPr>
          <w:rFonts w:hint="eastAsia"/>
        </w:rPr>
        <w:t>1km</w:t>
      </w:r>
      <w:r>
        <w:rPr>
          <w:rFonts w:hint="eastAsia"/>
        </w:rPr>
        <w:t>，总面积约</w:t>
      </w:r>
      <w:r>
        <w:rPr>
          <w:rFonts w:hint="eastAsia"/>
        </w:rPr>
        <w:t>6km</w:t>
      </w:r>
      <w:r>
        <w:rPr>
          <w:rFonts w:hint="eastAsia"/>
          <w:vertAlign w:val="superscript"/>
        </w:rPr>
        <w:t>2</w:t>
      </w:r>
      <w:r>
        <w:rPr>
          <w:rFonts w:hint="eastAsia"/>
        </w:rPr>
        <w:t>范围内的浅层地下水。</w:t>
      </w:r>
    </w:p>
    <w:p w14:paraId="073CEA0A" w14:textId="77777777" w:rsidR="009D12AF" w:rsidRDefault="00000000">
      <w:pPr>
        <w:ind w:firstLine="480"/>
      </w:pPr>
      <w:r>
        <w:rPr>
          <w:rFonts w:hint="eastAsia"/>
        </w:rPr>
        <w:t>4</w:t>
      </w:r>
      <w:r>
        <w:rPr>
          <w:rFonts w:hint="eastAsia"/>
        </w:rPr>
        <w:t>、土壤</w:t>
      </w:r>
    </w:p>
    <w:p w14:paraId="46EB467E" w14:textId="77777777" w:rsidR="009D12AF" w:rsidRDefault="00000000">
      <w:pPr>
        <w:ind w:firstLine="480"/>
      </w:pPr>
      <w:r>
        <w:rPr>
          <w:rFonts w:hint="eastAsia"/>
        </w:rPr>
        <w:t>根据《环境影响评价技术导则—土壤环境部分》（</w:t>
      </w:r>
      <w:r>
        <w:rPr>
          <w:rFonts w:hint="eastAsia"/>
        </w:rPr>
        <w:t>HJ964-2018</w:t>
      </w:r>
      <w:r>
        <w:rPr>
          <w:rFonts w:hint="eastAsia"/>
        </w:rPr>
        <w:t>）中规定的等级划分方法判定，项目土壤环境影响评价等级为三级，</w:t>
      </w:r>
      <w:r>
        <w:rPr>
          <w:rFonts w:ascii="Times New Roman"/>
          <w:snapToGrid w:val="0"/>
        </w:rPr>
        <w:t>综合考虑，确定本项目土壤环境评价范围为</w:t>
      </w:r>
      <w:r>
        <w:rPr>
          <w:rFonts w:ascii="Times New Roman" w:hint="eastAsia"/>
          <w:snapToGrid w:val="0"/>
        </w:rPr>
        <w:t>临时生产区和施工营地</w:t>
      </w:r>
      <w:r>
        <w:rPr>
          <w:rFonts w:ascii="Times New Roman"/>
          <w:snapToGrid w:val="0"/>
        </w:rPr>
        <w:t>占地范围外</w:t>
      </w:r>
      <w:r>
        <w:rPr>
          <w:rFonts w:ascii="Times New Roman" w:hint="eastAsia"/>
          <w:snapToGrid w:val="0"/>
        </w:rPr>
        <w:t>0.05</w:t>
      </w:r>
      <w:r>
        <w:rPr>
          <w:rFonts w:ascii="Times New Roman"/>
          <w:snapToGrid w:val="0"/>
        </w:rPr>
        <w:t>km</w:t>
      </w:r>
      <w:r>
        <w:rPr>
          <w:rFonts w:ascii="Times New Roman"/>
          <w:snapToGrid w:val="0"/>
        </w:rPr>
        <w:t>范围。</w:t>
      </w:r>
    </w:p>
    <w:p w14:paraId="4AFC26D7" w14:textId="77777777" w:rsidR="009D12AF" w:rsidRDefault="00000000">
      <w:pPr>
        <w:ind w:firstLine="480"/>
      </w:pPr>
      <w:r>
        <w:t>4</w:t>
      </w:r>
      <w:r>
        <w:t>、生态环境</w:t>
      </w:r>
    </w:p>
    <w:p w14:paraId="466AE27E" w14:textId="77777777" w:rsidR="009D12AF" w:rsidRDefault="00000000">
      <w:pPr>
        <w:ind w:firstLine="480"/>
      </w:pPr>
      <w:r>
        <w:t>根据《环境影响评价技术导则</w:t>
      </w:r>
      <w:r>
        <w:rPr>
          <w:rFonts w:hint="eastAsia"/>
        </w:rPr>
        <w:t>—</w:t>
      </w:r>
      <w:r>
        <w:t>生态影响》（</w:t>
      </w:r>
      <w:r>
        <w:t>HJ19-2022</w:t>
      </w:r>
      <w:r>
        <w:t>）相关规定，评价范围为建设项目全部活动的直接影响区和间接影响区域，评价工作范围应依据评价项目对生态因子的影响方式、影响程度和生态因子之间的相互影响和相互依存关系确定。可综合考虑评价项目与项目区的气候过程、水文过程、生物过程等生物地球化学循环过程的相互作用关系，以评价项目影响区域所涉及的完整气候单元、水文单元、生态单元、地理单元界限为参照边界。</w:t>
      </w:r>
    </w:p>
    <w:p w14:paraId="0D7FD431" w14:textId="77777777" w:rsidR="009D12AF" w:rsidRDefault="00000000">
      <w:pPr>
        <w:ind w:firstLine="480"/>
      </w:pPr>
      <w:r>
        <w:rPr>
          <w:rFonts w:hint="eastAsia"/>
        </w:rPr>
        <w:t>（</w:t>
      </w:r>
      <w:r>
        <w:rPr>
          <w:rFonts w:hint="eastAsia"/>
        </w:rPr>
        <w:t>1</w:t>
      </w:r>
      <w:r>
        <w:rPr>
          <w:rFonts w:hint="eastAsia"/>
        </w:rPr>
        <w:t>）水生生态</w:t>
      </w:r>
    </w:p>
    <w:p w14:paraId="7BFC1C29"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lastRenderedPageBreak/>
        <w:t>结合项目可能影响到的环境风险目标，确定水生生态评价范围为，</w:t>
      </w:r>
      <w:r>
        <w:t>水生生态环境影响评价范围：</w:t>
      </w:r>
      <w:r>
        <w:rPr>
          <w:rFonts w:ascii="Times New Roman" w:hAnsi="Times New Roman" w:cs="Times New Roman"/>
          <w:color w:val="000000" w:themeColor="text1"/>
        </w:rPr>
        <w:t>结合项目可能影响到的环境风险目标，确定</w:t>
      </w:r>
      <w:r>
        <w:rPr>
          <w:rFonts w:ascii="Times New Roman" w:hAnsi="Times New Roman" w:cs="Times New Roman" w:hint="eastAsia"/>
          <w:color w:val="000000" w:themeColor="text1"/>
        </w:rPr>
        <w:t>群力水库评价范围为</w:t>
      </w:r>
      <w:r>
        <w:rPr>
          <w:rFonts w:ascii="Times New Roman" w:hAnsi="Times New Roman" w:cs="Times New Roman" w:hint="eastAsia"/>
          <w:color w:val="000000" w:themeColor="text1"/>
        </w:rPr>
        <w:t>105.68</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hint="eastAsia"/>
          <w:kern w:val="0"/>
        </w:rPr>
        <w:t>、长石水库评价范围为</w:t>
      </w:r>
      <w:r>
        <w:rPr>
          <w:rFonts w:ascii="Times New Roman" w:hAnsi="Times New Roman" w:cs="Times New Roman" w:hint="eastAsia"/>
          <w:color w:val="000000" w:themeColor="text1"/>
        </w:rPr>
        <w:t>12</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hint="eastAsia"/>
          <w:kern w:val="0"/>
        </w:rPr>
        <w:t>、万丈水库评价范围为</w:t>
      </w:r>
      <w:r>
        <w:rPr>
          <w:rFonts w:ascii="Times New Roman" w:hAnsi="Times New Roman" w:cs="Times New Roman" w:hint="eastAsia"/>
          <w:color w:val="000000" w:themeColor="text1"/>
        </w:rPr>
        <w:t>30</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hint="eastAsia"/>
          <w:kern w:val="0"/>
        </w:rPr>
        <w:t>、向阳水电站前池评价范围为</w:t>
      </w:r>
      <w:r>
        <w:rPr>
          <w:rFonts w:ascii="Times New Roman" w:hAnsi="Times New Roman" w:cs="Times New Roman" w:hint="eastAsia"/>
          <w:color w:val="000000" w:themeColor="text1"/>
        </w:rPr>
        <w:t>16</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hint="eastAsia"/>
          <w:kern w:val="0"/>
        </w:rPr>
        <w:t>、新安晒水池评价范围为</w:t>
      </w:r>
      <w:r>
        <w:rPr>
          <w:rFonts w:ascii="Times New Roman" w:hAnsi="Times New Roman" w:cs="Times New Roman" w:hint="eastAsia"/>
          <w:color w:val="000000" w:themeColor="text1"/>
        </w:rPr>
        <w:t>36</w:t>
      </w:r>
      <w:r>
        <w:rPr>
          <w:rFonts w:ascii="Times New Roman" w:eastAsia="宋体" w:hAnsi="Times New Roman" w:cs="Times New Roman" w:hint="eastAsia"/>
          <w:kern w:val="0"/>
        </w:rPr>
        <w:t>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hAnsi="Times New Roman" w:cs="Times New Roman"/>
          <w:color w:val="000000" w:themeColor="text1"/>
        </w:rPr>
        <w:t>。评价等级为二级。</w:t>
      </w:r>
    </w:p>
    <w:p w14:paraId="11D15239"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hint="eastAsia"/>
          <w:color w:val="000000" w:themeColor="text1"/>
        </w:rPr>
        <w:t>（</w:t>
      </w:r>
      <w:r>
        <w:rPr>
          <w:rFonts w:ascii="Times New Roman" w:hAnsi="Times New Roman" w:cs="Times New Roman" w:hint="eastAsia"/>
          <w:color w:val="000000" w:themeColor="text1"/>
        </w:rPr>
        <w:t>2</w:t>
      </w:r>
      <w:r>
        <w:rPr>
          <w:rFonts w:ascii="Times New Roman" w:hAnsi="Times New Roman" w:cs="Times New Roman" w:hint="eastAsia"/>
          <w:color w:val="000000" w:themeColor="text1"/>
        </w:rPr>
        <w:t>）陆生生态</w:t>
      </w:r>
    </w:p>
    <w:p w14:paraId="264C1BF7" w14:textId="77777777" w:rsidR="009D12AF" w:rsidRDefault="00000000">
      <w:pPr>
        <w:ind w:firstLine="480"/>
      </w:pPr>
      <w:r>
        <w:rPr>
          <w:rFonts w:ascii="Times New Roman" w:eastAsia="宋体" w:hAnsi="Times New Roman" w:cs="Times New Roman" w:hint="eastAsia"/>
          <w:kern w:val="0"/>
        </w:rPr>
        <w:t>群力水库评价范围</w:t>
      </w:r>
      <w:r>
        <w:rPr>
          <w:rFonts w:ascii="Times New Roman" w:eastAsia="宋体" w:hAnsi="Times New Roman" w:cs="Times New Roman"/>
          <w:kern w:val="0"/>
        </w:rPr>
        <w:t>包括</w:t>
      </w:r>
      <w:r>
        <w:rPr>
          <w:rFonts w:ascii="Times New Roman" w:eastAsia="宋体" w:hAnsi="Times New Roman" w:cs="Times New Roman" w:hint="eastAsia"/>
          <w:kern w:val="0"/>
        </w:rPr>
        <w:t>群力水库和</w:t>
      </w:r>
      <w:r>
        <w:rPr>
          <w:rFonts w:ascii="Times New Roman" w:eastAsia="宋体" w:hAnsi="Times New Roman" w:cs="Times New Roman"/>
          <w:kern w:val="0"/>
        </w:rPr>
        <w:t>工程建设征地范围等在内的连续区域，评价范围总面积</w:t>
      </w:r>
      <w:r>
        <w:rPr>
          <w:rFonts w:ascii="Times New Roman" w:eastAsia="宋体" w:hAnsi="Times New Roman" w:cs="Times New Roman" w:hint="eastAsia"/>
          <w:kern w:val="0"/>
        </w:rPr>
        <w:t>947.18h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kern w:val="0"/>
        </w:rPr>
        <w:t>，其中包括</w:t>
      </w:r>
      <w:r>
        <w:rPr>
          <w:rFonts w:ascii="Times New Roman" w:eastAsia="宋体" w:hAnsi="Times New Roman" w:cs="Times New Roman" w:hint="eastAsia"/>
          <w:kern w:val="0"/>
        </w:rPr>
        <w:t>群力水库</w:t>
      </w:r>
      <w:r>
        <w:rPr>
          <w:rFonts w:ascii="Times New Roman" w:eastAsia="宋体" w:hAnsi="Times New Roman" w:cs="Times New Roman"/>
          <w:kern w:val="0"/>
        </w:rPr>
        <w:t>区（</w:t>
      </w:r>
      <w:r>
        <w:rPr>
          <w:rFonts w:ascii="Times New Roman" w:eastAsia="宋体" w:hAnsi="Times New Roman" w:cs="Times New Roman" w:hint="eastAsia"/>
          <w:kern w:val="0"/>
        </w:rPr>
        <w:t>105.68h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kern w:val="0"/>
        </w:rPr>
        <w:t>）、工程建设区（包括临时占地</w:t>
      </w:r>
      <w:r>
        <w:rPr>
          <w:rFonts w:ascii="Times New Roman" w:eastAsia="宋体" w:hAnsi="Times New Roman" w:cs="Times New Roman" w:hint="eastAsia"/>
          <w:kern w:val="0"/>
        </w:rPr>
        <w:t>1.26h</w:t>
      </w:r>
      <w:r>
        <w:rPr>
          <w:rFonts w:ascii="Times New Roman" w:eastAsia="宋体" w:hAnsi="Times New Roman" w:cs="Times New Roman"/>
          <w:kern w:val="0"/>
        </w:rPr>
        <w:t>m</w:t>
      </w:r>
      <w:r>
        <w:rPr>
          <w:rFonts w:ascii="Times New Roman" w:eastAsia="宋体" w:hAnsi="Times New Roman" w:cs="Times New Roman"/>
          <w:kern w:val="0"/>
          <w:vertAlign w:val="superscript"/>
        </w:rPr>
        <w:t>2</w:t>
      </w:r>
      <w:r>
        <w:rPr>
          <w:rFonts w:ascii="Times New Roman" w:eastAsia="宋体" w:hAnsi="Times New Roman" w:cs="Times New Roman"/>
          <w:kern w:val="0"/>
        </w:rPr>
        <w:t>）</w:t>
      </w:r>
      <w:r>
        <w:rPr>
          <w:rFonts w:ascii="Times New Roman" w:eastAsia="宋体" w:hAnsi="Times New Roman" w:cs="Times New Roman" w:hint="eastAsia"/>
          <w:kern w:val="0"/>
        </w:rPr>
        <w:t>，其余清淤区域评价范围为清淤项目周围</w:t>
      </w:r>
      <w:r>
        <w:rPr>
          <w:rFonts w:ascii="Times New Roman" w:eastAsia="宋体" w:hAnsi="Times New Roman" w:cs="Times New Roman" w:hint="eastAsia"/>
          <w:kern w:val="0"/>
        </w:rPr>
        <w:t>300m</w:t>
      </w:r>
      <w:r>
        <w:rPr>
          <w:rFonts w:ascii="Times New Roman" w:eastAsia="宋体" w:hAnsi="Times New Roman" w:cs="Times New Roman" w:hint="eastAsia"/>
          <w:kern w:val="0"/>
        </w:rPr>
        <w:t>范围区域。</w:t>
      </w:r>
    </w:p>
    <w:p w14:paraId="50D9A29A" w14:textId="77777777" w:rsidR="009D12AF" w:rsidRDefault="00000000">
      <w:pPr>
        <w:pStyle w:val="2"/>
      </w:pPr>
      <w:bookmarkStart w:id="100" w:name="_Toc16961"/>
      <w:r>
        <w:rPr>
          <w:rFonts w:hint="eastAsia"/>
        </w:rPr>
        <w:t>2</w:t>
      </w:r>
      <w:r>
        <w:t>.</w:t>
      </w:r>
      <w:r>
        <w:rPr>
          <w:rFonts w:hint="eastAsia"/>
        </w:rPr>
        <w:t>6</w:t>
      </w:r>
      <w:r>
        <w:t xml:space="preserve"> </w:t>
      </w:r>
      <w:r>
        <w:t>评价标准</w:t>
      </w:r>
      <w:bookmarkEnd w:id="100"/>
    </w:p>
    <w:p w14:paraId="483FDFE9" w14:textId="77777777" w:rsidR="009D12AF" w:rsidRDefault="00000000">
      <w:pPr>
        <w:pStyle w:val="3"/>
      </w:pPr>
      <w:bookmarkStart w:id="101" w:name="_Toc11200"/>
      <w:bookmarkStart w:id="102" w:name="_Toc11933"/>
      <w:bookmarkStart w:id="103" w:name="_Toc7113"/>
      <w:bookmarkStart w:id="104" w:name="_Toc14792"/>
      <w:r>
        <w:rPr>
          <w:rFonts w:hint="eastAsia"/>
        </w:rPr>
        <w:t>2</w:t>
      </w:r>
      <w:r>
        <w:t>.</w:t>
      </w:r>
      <w:r>
        <w:rPr>
          <w:rFonts w:hint="eastAsia"/>
        </w:rPr>
        <w:t>6</w:t>
      </w:r>
      <w:r>
        <w:t xml:space="preserve">.1 </w:t>
      </w:r>
      <w:r>
        <w:t>环境质量标准</w:t>
      </w:r>
      <w:bookmarkEnd w:id="101"/>
      <w:bookmarkEnd w:id="102"/>
      <w:bookmarkEnd w:id="103"/>
      <w:bookmarkEnd w:id="104"/>
    </w:p>
    <w:p w14:paraId="557DD20C" w14:textId="77777777" w:rsidR="009D12AF" w:rsidRDefault="00000000">
      <w:pPr>
        <w:ind w:firstLine="480"/>
      </w:pPr>
      <w:r>
        <w:t>（</w:t>
      </w:r>
      <w:r>
        <w:t>1</w:t>
      </w:r>
      <w:r>
        <w:t>）环境空气</w:t>
      </w:r>
    </w:p>
    <w:p w14:paraId="56EFFF7C" w14:textId="77777777" w:rsidR="009D12AF" w:rsidRDefault="00000000">
      <w:pPr>
        <w:ind w:firstLine="480"/>
      </w:pPr>
      <w:r>
        <w:t>项目</w:t>
      </w:r>
      <w:r>
        <w:rPr>
          <w:rFonts w:hint="eastAsia"/>
        </w:rPr>
        <w:t>群力水库</w:t>
      </w:r>
      <w:r>
        <w:t>占地范围处于环境空气</w:t>
      </w:r>
      <w:r>
        <w:rPr>
          <w:rFonts w:hint="eastAsia"/>
        </w:rPr>
        <w:t>一</w:t>
      </w:r>
      <w:r>
        <w:t>类区</w:t>
      </w:r>
      <w:r>
        <w:rPr>
          <w:rFonts w:hint="eastAsia"/>
        </w:rPr>
        <w:t>，其余占地范围处于环境空气二类区</w:t>
      </w:r>
      <w:r>
        <w:t>，环境空气质量执行</w:t>
      </w:r>
      <w:r>
        <w:t>GB3095</w:t>
      </w:r>
      <w:r>
        <w:t>－</w:t>
      </w:r>
      <w:r>
        <w:t>2012</w:t>
      </w:r>
      <w:r>
        <w:t>《环境空气质量标准》中</w:t>
      </w:r>
      <w:r>
        <w:rPr>
          <w:rFonts w:hint="eastAsia"/>
        </w:rPr>
        <w:t>相关</w:t>
      </w:r>
      <w:r>
        <w:t>标准，详见表</w:t>
      </w:r>
      <w:r>
        <w:rPr>
          <w:rFonts w:hint="eastAsia"/>
        </w:rPr>
        <w:t>2.6-1</w:t>
      </w:r>
      <w:r>
        <w:t>。</w:t>
      </w:r>
    </w:p>
    <w:p w14:paraId="50290BD1" w14:textId="77777777" w:rsidR="009D12AF" w:rsidRDefault="00000000">
      <w:pPr>
        <w:ind w:firstLineChars="0" w:firstLine="0"/>
        <w:jc w:val="center"/>
      </w:pPr>
      <w:r>
        <w:rPr>
          <w:rFonts w:hint="eastAsia"/>
          <w:b/>
          <w:bCs/>
        </w:rPr>
        <w:t>表</w:t>
      </w:r>
      <w:r>
        <w:rPr>
          <w:rFonts w:hint="eastAsia"/>
          <w:b/>
          <w:bCs/>
        </w:rPr>
        <w:t>2.6-1</w:t>
      </w:r>
      <w:r>
        <w:rPr>
          <w:rFonts w:hint="eastAsia"/>
          <w:b/>
          <w:bCs/>
        </w:rPr>
        <w:t>环境空气质量标准表</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426"/>
        <w:gridCol w:w="1838"/>
        <w:gridCol w:w="1168"/>
        <w:gridCol w:w="777"/>
        <w:gridCol w:w="1526"/>
        <w:gridCol w:w="1149"/>
        <w:gridCol w:w="1635"/>
      </w:tblGrid>
      <w:tr w:rsidR="009D12AF" w14:paraId="29B00B34" w14:textId="77777777">
        <w:trPr>
          <w:trHeight w:val="155"/>
          <w:jc w:val="center"/>
        </w:trPr>
        <w:tc>
          <w:tcPr>
            <w:tcW w:w="250" w:type="pct"/>
            <w:vMerge w:val="restart"/>
            <w:vAlign w:val="center"/>
          </w:tcPr>
          <w:p w14:paraId="51B72D9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环境</w:t>
            </w:r>
          </w:p>
          <w:p w14:paraId="7B5DADF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要素</w:t>
            </w:r>
          </w:p>
        </w:tc>
        <w:tc>
          <w:tcPr>
            <w:tcW w:w="1078" w:type="pct"/>
            <w:vMerge w:val="restart"/>
            <w:vAlign w:val="center"/>
          </w:tcPr>
          <w:p w14:paraId="53E78C9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标准名称及级别</w:t>
            </w:r>
          </w:p>
        </w:tc>
        <w:tc>
          <w:tcPr>
            <w:tcW w:w="686" w:type="pct"/>
            <w:vMerge w:val="restart"/>
            <w:vAlign w:val="center"/>
          </w:tcPr>
          <w:p w14:paraId="750A193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项目</w:t>
            </w:r>
          </w:p>
        </w:tc>
        <w:tc>
          <w:tcPr>
            <w:tcW w:w="2024" w:type="pct"/>
            <w:gridSpan w:val="3"/>
            <w:vAlign w:val="center"/>
          </w:tcPr>
          <w:p w14:paraId="1F75EC9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标准值</w:t>
            </w:r>
            <w:r>
              <w:rPr>
                <w:rFonts w:ascii="Times New Roman" w:eastAsia="宋体" w:hAnsi="Times New Roman" w:cs="Times New Roman" w:hint="eastAsia"/>
                <w:snapToGrid w:val="0"/>
                <w:kern w:val="0"/>
                <w:sz w:val="21"/>
                <w:szCs w:val="16"/>
                <w:lang w:val="en-GB"/>
              </w:rPr>
              <w:t>（</w:t>
            </w:r>
            <w:r>
              <w:rPr>
                <w:rFonts w:ascii="Times New Roman" w:eastAsia="宋体" w:hAnsi="Times New Roman" w:cs="Times New Roman" w:hint="eastAsia"/>
                <w:snapToGrid w:val="0"/>
                <w:kern w:val="0"/>
                <w:sz w:val="21"/>
                <w:szCs w:val="16"/>
              </w:rPr>
              <w:t>二级</w:t>
            </w:r>
            <w:r>
              <w:rPr>
                <w:rFonts w:ascii="Times New Roman" w:eastAsia="宋体" w:hAnsi="Times New Roman" w:cs="Times New Roman" w:hint="eastAsia"/>
                <w:snapToGrid w:val="0"/>
                <w:kern w:val="0"/>
                <w:sz w:val="21"/>
                <w:szCs w:val="16"/>
                <w:lang w:val="en-GB"/>
              </w:rPr>
              <w:t>）</w:t>
            </w:r>
          </w:p>
        </w:tc>
        <w:tc>
          <w:tcPr>
            <w:tcW w:w="959" w:type="pct"/>
            <w:vAlign w:val="center"/>
          </w:tcPr>
          <w:p w14:paraId="0A02D4F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标准值</w:t>
            </w:r>
            <w:r>
              <w:rPr>
                <w:rFonts w:ascii="Times New Roman" w:eastAsia="宋体" w:hAnsi="Times New Roman" w:cs="Times New Roman" w:hint="eastAsia"/>
                <w:snapToGrid w:val="0"/>
                <w:kern w:val="0"/>
                <w:sz w:val="21"/>
                <w:szCs w:val="16"/>
                <w:lang w:val="en-GB"/>
              </w:rPr>
              <w:t>（</w:t>
            </w:r>
            <w:r>
              <w:rPr>
                <w:rFonts w:ascii="Times New Roman" w:eastAsia="宋体" w:hAnsi="Times New Roman" w:cs="Times New Roman" w:hint="eastAsia"/>
                <w:snapToGrid w:val="0"/>
                <w:kern w:val="0"/>
                <w:sz w:val="21"/>
                <w:szCs w:val="16"/>
              </w:rPr>
              <w:t>一级</w:t>
            </w:r>
            <w:r>
              <w:rPr>
                <w:rFonts w:ascii="Times New Roman" w:eastAsia="宋体" w:hAnsi="Times New Roman" w:cs="Times New Roman" w:hint="eastAsia"/>
                <w:snapToGrid w:val="0"/>
                <w:kern w:val="0"/>
                <w:sz w:val="21"/>
                <w:szCs w:val="16"/>
                <w:lang w:val="en-GB"/>
              </w:rPr>
              <w:t>）</w:t>
            </w:r>
          </w:p>
        </w:tc>
      </w:tr>
      <w:tr w:rsidR="009D12AF" w14:paraId="27E20F42" w14:textId="77777777">
        <w:trPr>
          <w:trHeight w:val="157"/>
          <w:jc w:val="center"/>
        </w:trPr>
        <w:tc>
          <w:tcPr>
            <w:tcW w:w="250" w:type="pct"/>
            <w:vMerge/>
            <w:vAlign w:val="center"/>
          </w:tcPr>
          <w:p w14:paraId="61AA81B6"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078" w:type="pct"/>
            <w:vMerge/>
            <w:vAlign w:val="center"/>
          </w:tcPr>
          <w:p w14:paraId="653F0951"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686" w:type="pct"/>
            <w:vMerge/>
            <w:vAlign w:val="center"/>
          </w:tcPr>
          <w:p w14:paraId="3E555F56"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454" w:type="pct"/>
            <w:vAlign w:val="center"/>
          </w:tcPr>
          <w:p w14:paraId="6C374A3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单位</w:t>
            </w:r>
          </w:p>
        </w:tc>
        <w:tc>
          <w:tcPr>
            <w:tcW w:w="1570" w:type="pct"/>
            <w:gridSpan w:val="2"/>
            <w:vAlign w:val="center"/>
          </w:tcPr>
          <w:p w14:paraId="202645D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数值</w:t>
            </w:r>
          </w:p>
        </w:tc>
        <w:tc>
          <w:tcPr>
            <w:tcW w:w="959" w:type="pct"/>
            <w:vAlign w:val="center"/>
          </w:tcPr>
          <w:p w14:paraId="775235A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数值</w:t>
            </w:r>
          </w:p>
        </w:tc>
      </w:tr>
      <w:tr w:rsidR="009D12AF" w14:paraId="5284C3B1" w14:textId="77777777">
        <w:trPr>
          <w:trHeight w:val="213"/>
          <w:jc w:val="center"/>
        </w:trPr>
        <w:tc>
          <w:tcPr>
            <w:tcW w:w="250" w:type="pct"/>
            <w:vMerge w:val="restart"/>
            <w:vAlign w:val="center"/>
          </w:tcPr>
          <w:p w14:paraId="26700F8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环境空气</w:t>
            </w:r>
          </w:p>
        </w:tc>
        <w:tc>
          <w:tcPr>
            <w:tcW w:w="1078" w:type="pct"/>
            <w:vMerge w:val="restart"/>
            <w:vAlign w:val="center"/>
          </w:tcPr>
          <w:p w14:paraId="34114D0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《环境空气质量标准》（</w:t>
            </w:r>
            <w:r>
              <w:rPr>
                <w:rFonts w:ascii="Times New Roman" w:eastAsia="宋体" w:hAnsi="Times New Roman" w:cs="Times New Roman"/>
                <w:snapToGrid w:val="0"/>
                <w:kern w:val="0"/>
                <w:sz w:val="21"/>
                <w:szCs w:val="16"/>
                <w:lang w:val="en-GB"/>
              </w:rPr>
              <w:t>GB3095-2012</w:t>
            </w:r>
            <w:r>
              <w:rPr>
                <w:rFonts w:ascii="Times New Roman" w:eastAsia="宋体" w:hAnsi="Times New Roman" w:cs="Times New Roman"/>
                <w:snapToGrid w:val="0"/>
                <w:kern w:val="0"/>
                <w:sz w:val="21"/>
                <w:szCs w:val="16"/>
                <w:lang w:val="en-GB"/>
              </w:rPr>
              <w:t>）</w:t>
            </w:r>
          </w:p>
        </w:tc>
        <w:tc>
          <w:tcPr>
            <w:tcW w:w="686" w:type="pct"/>
            <w:vMerge w:val="restart"/>
            <w:vAlign w:val="center"/>
          </w:tcPr>
          <w:p w14:paraId="16C4868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NO</w:t>
            </w:r>
            <w:r>
              <w:rPr>
                <w:rFonts w:ascii="Times New Roman" w:eastAsia="宋体" w:hAnsi="Times New Roman" w:cs="Times New Roman"/>
                <w:snapToGrid w:val="0"/>
                <w:kern w:val="0"/>
                <w:sz w:val="21"/>
                <w:szCs w:val="16"/>
                <w:vertAlign w:val="subscript"/>
                <w:lang w:val="en-GB"/>
              </w:rPr>
              <w:t>2</w:t>
            </w:r>
          </w:p>
        </w:tc>
        <w:tc>
          <w:tcPr>
            <w:tcW w:w="454" w:type="pct"/>
            <w:vMerge w:val="restart"/>
            <w:vAlign w:val="center"/>
          </w:tcPr>
          <w:p w14:paraId="0C695DA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μg/m</w:t>
            </w:r>
            <w:r>
              <w:rPr>
                <w:rFonts w:ascii="Times New Roman" w:eastAsia="宋体" w:hAnsi="Times New Roman" w:cs="Times New Roman"/>
                <w:snapToGrid w:val="0"/>
                <w:kern w:val="0"/>
                <w:sz w:val="21"/>
                <w:szCs w:val="16"/>
                <w:vertAlign w:val="superscript"/>
                <w:lang w:val="en-GB"/>
              </w:rPr>
              <w:t>3</w:t>
            </w:r>
          </w:p>
        </w:tc>
        <w:tc>
          <w:tcPr>
            <w:tcW w:w="895" w:type="pct"/>
            <w:vAlign w:val="center"/>
          </w:tcPr>
          <w:p w14:paraId="413AB87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年平均</w:t>
            </w:r>
          </w:p>
        </w:tc>
        <w:tc>
          <w:tcPr>
            <w:tcW w:w="674" w:type="pct"/>
            <w:vAlign w:val="center"/>
          </w:tcPr>
          <w:p w14:paraId="04C4980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40</w:t>
            </w:r>
          </w:p>
        </w:tc>
        <w:tc>
          <w:tcPr>
            <w:tcW w:w="959" w:type="pct"/>
            <w:vAlign w:val="center"/>
          </w:tcPr>
          <w:p w14:paraId="0509581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40</w:t>
            </w:r>
          </w:p>
        </w:tc>
      </w:tr>
      <w:tr w:rsidR="009D12AF" w14:paraId="526F6098" w14:textId="77777777">
        <w:trPr>
          <w:trHeight w:val="189"/>
          <w:jc w:val="center"/>
        </w:trPr>
        <w:tc>
          <w:tcPr>
            <w:tcW w:w="250" w:type="pct"/>
            <w:vMerge/>
            <w:vAlign w:val="center"/>
          </w:tcPr>
          <w:p w14:paraId="4A5441A1"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078" w:type="pct"/>
            <w:vMerge/>
            <w:vAlign w:val="center"/>
          </w:tcPr>
          <w:p w14:paraId="1D669FA6"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686" w:type="pct"/>
            <w:vMerge/>
            <w:vAlign w:val="center"/>
          </w:tcPr>
          <w:p w14:paraId="050754D6"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454" w:type="pct"/>
            <w:vMerge/>
            <w:vAlign w:val="center"/>
          </w:tcPr>
          <w:p w14:paraId="054E4BB2"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5" w:type="pct"/>
            <w:vAlign w:val="center"/>
          </w:tcPr>
          <w:p w14:paraId="27BA96C0"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24</w:t>
            </w:r>
            <w:r>
              <w:rPr>
                <w:rFonts w:ascii="Times New Roman" w:eastAsia="宋体" w:hAnsi="Times New Roman" w:cs="Times New Roman"/>
                <w:snapToGrid w:val="0"/>
                <w:kern w:val="0"/>
                <w:sz w:val="21"/>
                <w:szCs w:val="16"/>
                <w:lang w:val="en-GB"/>
              </w:rPr>
              <w:t>小时平均</w:t>
            </w:r>
          </w:p>
        </w:tc>
        <w:tc>
          <w:tcPr>
            <w:tcW w:w="674" w:type="pct"/>
            <w:vAlign w:val="center"/>
          </w:tcPr>
          <w:p w14:paraId="3C36083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80</w:t>
            </w:r>
          </w:p>
        </w:tc>
        <w:tc>
          <w:tcPr>
            <w:tcW w:w="959" w:type="pct"/>
            <w:vAlign w:val="center"/>
          </w:tcPr>
          <w:p w14:paraId="7FE6C06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80</w:t>
            </w:r>
          </w:p>
        </w:tc>
      </w:tr>
      <w:tr w:rsidR="009D12AF" w14:paraId="4B69AC05" w14:textId="77777777">
        <w:trPr>
          <w:trHeight w:val="93"/>
          <w:jc w:val="center"/>
        </w:trPr>
        <w:tc>
          <w:tcPr>
            <w:tcW w:w="250" w:type="pct"/>
            <w:vMerge/>
            <w:vAlign w:val="center"/>
          </w:tcPr>
          <w:p w14:paraId="15D97DC4"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078" w:type="pct"/>
            <w:vMerge/>
            <w:vAlign w:val="center"/>
          </w:tcPr>
          <w:p w14:paraId="53BA73CF"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686" w:type="pct"/>
            <w:vMerge w:val="restart"/>
            <w:vAlign w:val="center"/>
          </w:tcPr>
          <w:p w14:paraId="32F9C17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SO</w:t>
            </w:r>
            <w:r>
              <w:rPr>
                <w:rFonts w:ascii="Times New Roman" w:eastAsia="宋体" w:hAnsi="Times New Roman" w:cs="Times New Roman"/>
                <w:snapToGrid w:val="0"/>
                <w:kern w:val="0"/>
                <w:sz w:val="21"/>
                <w:szCs w:val="16"/>
                <w:vertAlign w:val="subscript"/>
                <w:lang w:val="en-GB"/>
              </w:rPr>
              <w:t>2</w:t>
            </w:r>
          </w:p>
        </w:tc>
        <w:tc>
          <w:tcPr>
            <w:tcW w:w="454" w:type="pct"/>
            <w:vMerge/>
            <w:vAlign w:val="center"/>
          </w:tcPr>
          <w:p w14:paraId="327FAFF9"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5" w:type="pct"/>
            <w:vAlign w:val="center"/>
          </w:tcPr>
          <w:p w14:paraId="678EB0B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年平均</w:t>
            </w:r>
          </w:p>
        </w:tc>
        <w:tc>
          <w:tcPr>
            <w:tcW w:w="674" w:type="pct"/>
            <w:vAlign w:val="center"/>
          </w:tcPr>
          <w:p w14:paraId="681DF40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60</w:t>
            </w:r>
          </w:p>
        </w:tc>
        <w:tc>
          <w:tcPr>
            <w:tcW w:w="959" w:type="pct"/>
            <w:vAlign w:val="center"/>
          </w:tcPr>
          <w:p w14:paraId="6026CBE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20</w:t>
            </w:r>
          </w:p>
        </w:tc>
      </w:tr>
      <w:tr w:rsidR="009D12AF" w14:paraId="69D5B811" w14:textId="77777777">
        <w:trPr>
          <w:trHeight w:val="93"/>
          <w:jc w:val="center"/>
        </w:trPr>
        <w:tc>
          <w:tcPr>
            <w:tcW w:w="250" w:type="pct"/>
            <w:vMerge/>
            <w:vAlign w:val="center"/>
          </w:tcPr>
          <w:p w14:paraId="2FF917C1"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078" w:type="pct"/>
            <w:vMerge/>
            <w:vAlign w:val="center"/>
          </w:tcPr>
          <w:p w14:paraId="02111C16"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686" w:type="pct"/>
            <w:vMerge/>
            <w:vAlign w:val="center"/>
          </w:tcPr>
          <w:p w14:paraId="656F2AB7"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454" w:type="pct"/>
            <w:vMerge/>
            <w:vAlign w:val="center"/>
          </w:tcPr>
          <w:p w14:paraId="74C6AD8F"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5" w:type="pct"/>
            <w:vAlign w:val="center"/>
          </w:tcPr>
          <w:p w14:paraId="04FD3A3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24</w:t>
            </w:r>
            <w:r>
              <w:rPr>
                <w:rFonts w:ascii="Times New Roman" w:eastAsia="宋体" w:hAnsi="Times New Roman" w:cs="Times New Roman"/>
                <w:snapToGrid w:val="0"/>
                <w:kern w:val="0"/>
                <w:sz w:val="21"/>
                <w:szCs w:val="16"/>
                <w:lang w:val="en-GB"/>
              </w:rPr>
              <w:t>小时平均</w:t>
            </w:r>
          </w:p>
        </w:tc>
        <w:tc>
          <w:tcPr>
            <w:tcW w:w="674" w:type="pct"/>
            <w:vAlign w:val="center"/>
          </w:tcPr>
          <w:p w14:paraId="01AE2B5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150</w:t>
            </w:r>
          </w:p>
        </w:tc>
        <w:tc>
          <w:tcPr>
            <w:tcW w:w="959" w:type="pct"/>
            <w:vAlign w:val="center"/>
          </w:tcPr>
          <w:p w14:paraId="11C2662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50</w:t>
            </w:r>
          </w:p>
        </w:tc>
      </w:tr>
      <w:tr w:rsidR="009D12AF" w14:paraId="31C7D866" w14:textId="77777777">
        <w:trPr>
          <w:trHeight w:val="93"/>
          <w:jc w:val="center"/>
        </w:trPr>
        <w:tc>
          <w:tcPr>
            <w:tcW w:w="250" w:type="pct"/>
            <w:vMerge/>
            <w:vAlign w:val="center"/>
          </w:tcPr>
          <w:p w14:paraId="4703431C"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078" w:type="pct"/>
            <w:vMerge/>
            <w:vAlign w:val="center"/>
          </w:tcPr>
          <w:p w14:paraId="63326854"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686" w:type="pct"/>
            <w:vAlign w:val="center"/>
          </w:tcPr>
          <w:p w14:paraId="1FD9529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CO</w:t>
            </w:r>
          </w:p>
        </w:tc>
        <w:tc>
          <w:tcPr>
            <w:tcW w:w="454" w:type="pct"/>
            <w:vAlign w:val="center"/>
          </w:tcPr>
          <w:p w14:paraId="6F41DF7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mg/m</w:t>
            </w:r>
            <w:r>
              <w:rPr>
                <w:rFonts w:ascii="Times New Roman" w:eastAsia="宋体" w:hAnsi="Times New Roman" w:cs="Times New Roman"/>
                <w:snapToGrid w:val="0"/>
                <w:kern w:val="0"/>
                <w:sz w:val="21"/>
                <w:szCs w:val="16"/>
                <w:vertAlign w:val="superscript"/>
                <w:lang w:val="en-GB"/>
              </w:rPr>
              <w:t>3</w:t>
            </w:r>
          </w:p>
        </w:tc>
        <w:tc>
          <w:tcPr>
            <w:tcW w:w="895" w:type="pct"/>
            <w:vAlign w:val="center"/>
          </w:tcPr>
          <w:p w14:paraId="4D26C10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24</w:t>
            </w:r>
            <w:r>
              <w:rPr>
                <w:rFonts w:ascii="Times New Roman" w:eastAsia="宋体" w:hAnsi="Times New Roman" w:cs="Times New Roman"/>
                <w:snapToGrid w:val="0"/>
                <w:kern w:val="0"/>
                <w:sz w:val="21"/>
                <w:szCs w:val="16"/>
                <w:lang w:val="en-GB"/>
              </w:rPr>
              <w:t>小时平均</w:t>
            </w:r>
          </w:p>
        </w:tc>
        <w:tc>
          <w:tcPr>
            <w:tcW w:w="674" w:type="pct"/>
            <w:vAlign w:val="center"/>
          </w:tcPr>
          <w:p w14:paraId="62C9146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4</w:t>
            </w:r>
          </w:p>
        </w:tc>
        <w:tc>
          <w:tcPr>
            <w:tcW w:w="959" w:type="pct"/>
            <w:vAlign w:val="center"/>
          </w:tcPr>
          <w:p w14:paraId="5721410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4</w:t>
            </w:r>
          </w:p>
        </w:tc>
      </w:tr>
      <w:tr w:rsidR="009D12AF" w14:paraId="4E45F69D" w14:textId="77777777">
        <w:trPr>
          <w:trHeight w:val="93"/>
          <w:jc w:val="center"/>
        </w:trPr>
        <w:tc>
          <w:tcPr>
            <w:tcW w:w="250" w:type="pct"/>
            <w:vMerge/>
            <w:vAlign w:val="center"/>
          </w:tcPr>
          <w:p w14:paraId="5AC57F65"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078" w:type="pct"/>
            <w:vMerge/>
            <w:vAlign w:val="center"/>
          </w:tcPr>
          <w:p w14:paraId="65B52453"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686" w:type="pct"/>
            <w:vAlign w:val="center"/>
          </w:tcPr>
          <w:p w14:paraId="713F6DC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臭氧</w:t>
            </w:r>
          </w:p>
        </w:tc>
        <w:tc>
          <w:tcPr>
            <w:tcW w:w="454" w:type="pct"/>
            <w:vMerge w:val="restart"/>
            <w:vAlign w:val="center"/>
          </w:tcPr>
          <w:p w14:paraId="29642FA9"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μg/m</w:t>
            </w:r>
            <w:r>
              <w:rPr>
                <w:rFonts w:ascii="Times New Roman" w:eastAsia="宋体" w:hAnsi="Times New Roman" w:cs="Times New Roman"/>
                <w:snapToGrid w:val="0"/>
                <w:kern w:val="0"/>
                <w:sz w:val="21"/>
                <w:szCs w:val="16"/>
                <w:vertAlign w:val="superscript"/>
                <w:lang w:val="en-GB"/>
              </w:rPr>
              <w:t>3</w:t>
            </w:r>
          </w:p>
        </w:tc>
        <w:tc>
          <w:tcPr>
            <w:tcW w:w="895" w:type="pct"/>
            <w:vAlign w:val="center"/>
          </w:tcPr>
          <w:p w14:paraId="03852650"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日最大</w:t>
            </w:r>
            <w:r>
              <w:rPr>
                <w:rFonts w:ascii="Times New Roman" w:eastAsia="宋体" w:hAnsi="Times New Roman" w:cs="Times New Roman"/>
                <w:snapToGrid w:val="0"/>
                <w:kern w:val="0"/>
                <w:sz w:val="21"/>
                <w:szCs w:val="16"/>
                <w:lang w:val="en-GB"/>
              </w:rPr>
              <w:t>8</w:t>
            </w:r>
            <w:r>
              <w:rPr>
                <w:rFonts w:ascii="Times New Roman" w:eastAsia="宋体" w:hAnsi="Times New Roman" w:cs="Times New Roman"/>
                <w:snapToGrid w:val="0"/>
                <w:kern w:val="0"/>
                <w:sz w:val="21"/>
                <w:szCs w:val="16"/>
                <w:lang w:val="en-GB"/>
              </w:rPr>
              <w:t>小时平均</w:t>
            </w:r>
          </w:p>
        </w:tc>
        <w:tc>
          <w:tcPr>
            <w:tcW w:w="674" w:type="pct"/>
            <w:vAlign w:val="center"/>
          </w:tcPr>
          <w:p w14:paraId="261B7C3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160</w:t>
            </w:r>
          </w:p>
        </w:tc>
        <w:tc>
          <w:tcPr>
            <w:tcW w:w="959" w:type="pct"/>
            <w:vAlign w:val="center"/>
          </w:tcPr>
          <w:p w14:paraId="077929D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100</w:t>
            </w:r>
          </w:p>
        </w:tc>
      </w:tr>
      <w:tr w:rsidR="009D12AF" w14:paraId="1FBF6840" w14:textId="77777777">
        <w:trPr>
          <w:trHeight w:val="93"/>
          <w:jc w:val="center"/>
        </w:trPr>
        <w:tc>
          <w:tcPr>
            <w:tcW w:w="250" w:type="pct"/>
            <w:vMerge/>
            <w:vAlign w:val="center"/>
          </w:tcPr>
          <w:p w14:paraId="6D12CE02"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078" w:type="pct"/>
            <w:vMerge/>
            <w:vAlign w:val="center"/>
          </w:tcPr>
          <w:p w14:paraId="05760EED"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686" w:type="pct"/>
            <w:vMerge w:val="restart"/>
            <w:vAlign w:val="center"/>
          </w:tcPr>
          <w:p w14:paraId="1D2758A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颗粒物（</w:t>
            </w:r>
            <w:r>
              <w:rPr>
                <w:rFonts w:ascii="Times New Roman" w:eastAsia="宋体" w:hAnsi="Times New Roman" w:cs="Times New Roman"/>
                <w:snapToGrid w:val="0"/>
                <w:kern w:val="0"/>
                <w:sz w:val="21"/>
                <w:szCs w:val="16"/>
                <w:lang w:val="en-GB"/>
              </w:rPr>
              <w:t>PM</w:t>
            </w:r>
            <w:r>
              <w:rPr>
                <w:rFonts w:ascii="Times New Roman" w:eastAsia="宋体" w:hAnsi="Times New Roman" w:cs="Times New Roman"/>
                <w:snapToGrid w:val="0"/>
                <w:kern w:val="0"/>
                <w:sz w:val="21"/>
                <w:szCs w:val="16"/>
                <w:vertAlign w:val="subscript"/>
                <w:lang w:val="en-GB"/>
              </w:rPr>
              <w:t>10</w:t>
            </w:r>
            <w:r>
              <w:rPr>
                <w:rFonts w:ascii="Times New Roman" w:eastAsia="宋体" w:hAnsi="Times New Roman" w:cs="Times New Roman"/>
                <w:snapToGrid w:val="0"/>
                <w:kern w:val="0"/>
                <w:sz w:val="21"/>
                <w:szCs w:val="16"/>
                <w:lang w:val="en-GB"/>
              </w:rPr>
              <w:t>）</w:t>
            </w:r>
          </w:p>
        </w:tc>
        <w:tc>
          <w:tcPr>
            <w:tcW w:w="454" w:type="pct"/>
            <w:vMerge/>
            <w:vAlign w:val="center"/>
          </w:tcPr>
          <w:p w14:paraId="09813EF0"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5" w:type="pct"/>
            <w:vAlign w:val="center"/>
          </w:tcPr>
          <w:p w14:paraId="3E58341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年平均</w:t>
            </w:r>
          </w:p>
        </w:tc>
        <w:tc>
          <w:tcPr>
            <w:tcW w:w="674" w:type="pct"/>
            <w:vAlign w:val="center"/>
          </w:tcPr>
          <w:p w14:paraId="58D3F57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70</w:t>
            </w:r>
          </w:p>
        </w:tc>
        <w:tc>
          <w:tcPr>
            <w:tcW w:w="959" w:type="pct"/>
            <w:vAlign w:val="center"/>
          </w:tcPr>
          <w:p w14:paraId="567D4B5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40</w:t>
            </w:r>
          </w:p>
        </w:tc>
      </w:tr>
      <w:tr w:rsidR="009D12AF" w14:paraId="4CCFF684" w14:textId="77777777">
        <w:trPr>
          <w:trHeight w:val="93"/>
          <w:jc w:val="center"/>
        </w:trPr>
        <w:tc>
          <w:tcPr>
            <w:tcW w:w="250" w:type="pct"/>
            <w:vMerge/>
            <w:vAlign w:val="center"/>
          </w:tcPr>
          <w:p w14:paraId="0D0F2277"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078" w:type="pct"/>
            <w:vMerge/>
            <w:vAlign w:val="center"/>
          </w:tcPr>
          <w:p w14:paraId="18A9E016"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686" w:type="pct"/>
            <w:vMerge/>
            <w:vAlign w:val="center"/>
          </w:tcPr>
          <w:p w14:paraId="48066FF4"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454" w:type="pct"/>
            <w:vMerge/>
            <w:vAlign w:val="center"/>
          </w:tcPr>
          <w:p w14:paraId="3A01B3D1"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5" w:type="pct"/>
            <w:vAlign w:val="center"/>
          </w:tcPr>
          <w:p w14:paraId="6E5C1A09"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24</w:t>
            </w:r>
            <w:r>
              <w:rPr>
                <w:rFonts w:ascii="Times New Roman" w:eastAsia="宋体" w:hAnsi="Times New Roman" w:cs="Times New Roman"/>
                <w:snapToGrid w:val="0"/>
                <w:kern w:val="0"/>
                <w:sz w:val="21"/>
                <w:szCs w:val="16"/>
                <w:lang w:val="en-GB"/>
              </w:rPr>
              <w:t>小时平均</w:t>
            </w:r>
          </w:p>
        </w:tc>
        <w:tc>
          <w:tcPr>
            <w:tcW w:w="674" w:type="pct"/>
            <w:vAlign w:val="center"/>
          </w:tcPr>
          <w:p w14:paraId="5E5FC58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150</w:t>
            </w:r>
          </w:p>
        </w:tc>
        <w:tc>
          <w:tcPr>
            <w:tcW w:w="959" w:type="pct"/>
            <w:vAlign w:val="center"/>
          </w:tcPr>
          <w:p w14:paraId="1B2A9CD9"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50</w:t>
            </w:r>
          </w:p>
        </w:tc>
      </w:tr>
      <w:tr w:rsidR="009D12AF" w14:paraId="3611230E" w14:textId="77777777">
        <w:trPr>
          <w:trHeight w:val="93"/>
          <w:jc w:val="center"/>
        </w:trPr>
        <w:tc>
          <w:tcPr>
            <w:tcW w:w="250" w:type="pct"/>
            <w:vMerge/>
            <w:vAlign w:val="center"/>
          </w:tcPr>
          <w:p w14:paraId="6130FCF1"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078" w:type="pct"/>
            <w:vMerge/>
            <w:vAlign w:val="center"/>
          </w:tcPr>
          <w:p w14:paraId="2F64A555"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686" w:type="pct"/>
            <w:vMerge w:val="restart"/>
            <w:vAlign w:val="center"/>
          </w:tcPr>
          <w:p w14:paraId="43278A6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颗粒物</w:t>
            </w:r>
            <w:r>
              <w:rPr>
                <w:rFonts w:ascii="Times New Roman" w:eastAsia="宋体" w:hAnsi="Times New Roman" w:cs="Times New Roman"/>
                <w:snapToGrid w:val="0"/>
                <w:kern w:val="0"/>
                <w:sz w:val="21"/>
                <w:szCs w:val="16"/>
                <w:lang w:val="en-GB"/>
              </w:rPr>
              <w:lastRenderedPageBreak/>
              <w:t>（</w:t>
            </w:r>
            <w:r>
              <w:rPr>
                <w:rFonts w:ascii="Times New Roman" w:eastAsia="宋体" w:hAnsi="Times New Roman" w:cs="Times New Roman"/>
                <w:snapToGrid w:val="0"/>
                <w:kern w:val="0"/>
                <w:sz w:val="21"/>
                <w:szCs w:val="16"/>
                <w:lang w:val="en-GB"/>
              </w:rPr>
              <w:t>PM</w:t>
            </w:r>
            <w:r>
              <w:rPr>
                <w:rFonts w:ascii="Times New Roman" w:eastAsia="宋体" w:hAnsi="Times New Roman" w:cs="Times New Roman"/>
                <w:snapToGrid w:val="0"/>
                <w:kern w:val="0"/>
                <w:sz w:val="21"/>
                <w:szCs w:val="16"/>
                <w:vertAlign w:val="subscript"/>
                <w:lang w:val="en-GB"/>
              </w:rPr>
              <w:t>2.5</w:t>
            </w:r>
            <w:r>
              <w:rPr>
                <w:rFonts w:ascii="Times New Roman" w:eastAsia="宋体" w:hAnsi="Times New Roman" w:cs="Times New Roman"/>
                <w:snapToGrid w:val="0"/>
                <w:kern w:val="0"/>
                <w:sz w:val="21"/>
                <w:szCs w:val="16"/>
                <w:lang w:val="en-GB"/>
              </w:rPr>
              <w:t>）</w:t>
            </w:r>
          </w:p>
        </w:tc>
        <w:tc>
          <w:tcPr>
            <w:tcW w:w="454" w:type="pct"/>
            <w:vMerge/>
            <w:vAlign w:val="center"/>
          </w:tcPr>
          <w:p w14:paraId="5EF5EADC"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5" w:type="pct"/>
            <w:vAlign w:val="center"/>
          </w:tcPr>
          <w:p w14:paraId="1B3FD869"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年平均</w:t>
            </w:r>
          </w:p>
        </w:tc>
        <w:tc>
          <w:tcPr>
            <w:tcW w:w="674" w:type="pct"/>
            <w:vAlign w:val="center"/>
          </w:tcPr>
          <w:p w14:paraId="7B5DE97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35</w:t>
            </w:r>
          </w:p>
        </w:tc>
        <w:tc>
          <w:tcPr>
            <w:tcW w:w="959" w:type="pct"/>
            <w:vAlign w:val="center"/>
          </w:tcPr>
          <w:p w14:paraId="5CD36D33"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15</w:t>
            </w:r>
          </w:p>
        </w:tc>
      </w:tr>
      <w:tr w:rsidR="009D12AF" w14:paraId="38181F35" w14:textId="77777777">
        <w:trPr>
          <w:trHeight w:val="476"/>
          <w:jc w:val="center"/>
        </w:trPr>
        <w:tc>
          <w:tcPr>
            <w:tcW w:w="250" w:type="pct"/>
            <w:vMerge/>
            <w:vAlign w:val="center"/>
          </w:tcPr>
          <w:p w14:paraId="4A7AAEA5"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078" w:type="pct"/>
            <w:vMerge/>
            <w:vAlign w:val="center"/>
          </w:tcPr>
          <w:p w14:paraId="5F8AD29F"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686" w:type="pct"/>
            <w:vMerge/>
            <w:vAlign w:val="center"/>
          </w:tcPr>
          <w:p w14:paraId="6BBF0011"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454" w:type="pct"/>
            <w:vMerge/>
            <w:vAlign w:val="center"/>
          </w:tcPr>
          <w:p w14:paraId="19727202"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5" w:type="pct"/>
            <w:vAlign w:val="center"/>
          </w:tcPr>
          <w:p w14:paraId="568C648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24</w:t>
            </w:r>
            <w:r>
              <w:rPr>
                <w:rFonts w:ascii="Times New Roman" w:eastAsia="宋体" w:hAnsi="Times New Roman" w:cs="Times New Roman"/>
                <w:snapToGrid w:val="0"/>
                <w:kern w:val="0"/>
                <w:sz w:val="21"/>
                <w:szCs w:val="16"/>
                <w:lang w:val="en-GB"/>
              </w:rPr>
              <w:t>小时平均</w:t>
            </w:r>
          </w:p>
        </w:tc>
        <w:tc>
          <w:tcPr>
            <w:tcW w:w="674" w:type="pct"/>
            <w:vAlign w:val="center"/>
          </w:tcPr>
          <w:p w14:paraId="62F8A86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75</w:t>
            </w:r>
          </w:p>
        </w:tc>
        <w:tc>
          <w:tcPr>
            <w:tcW w:w="959" w:type="pct"/>
            <w:vAlign w:val="center"/>
          </w:tcPr>
          <w:p w14:paraId="7860E40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35</w:t>
            </w:r>
          </w:p>
        </w:tc>
      </w:tr>
      <w:tr w:rsidR="009D12AF" w14:paraId="0CE835BB" w14:textId="77777777">
        <w:trPr>
          <w:trHeight w:val="496"/>
          <w:jc w:val="center"/>
        </w:trPr>
        <w:tc>
          <w:tcPr>
            <w:tcW w:w="250" w:type="pct"/>
            <w:vMerge/>
            <w:vAlign w:val="center"/>
          </w:tcPr>
          <w:p w14:paraId="1071FF1C"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078" w:type="pct"/>
            <w:vMerge w:val="restart"/>
            <w:vAlign w:val="center"/>
          </w:tcPr>
          <w:p w14:paraId="00549A43" w14:textId="77777777" w:rsidR="009D12AF" w:rsidRDefault="00000000">
            <w:pPr>
              <w:spacing w:line="240" w:lineRule="auto"/>
              <w:ind w:firstLineChars="0" w:firstLine="0"/>
              <w:jc w:val="center"/>
              <w:rPr>
                <w:rFonts w:ascii="Times New Roman" w:hAnsi="Times New Roman" w:cs="Times New Roman"/>
                <w:snapToGrid w:val="0"/>
                <w:color w:val="FF0000"/>
                <w:kern w:val="0"/>
                <w:sz w:val="21"/>
                <w:szCs w:val="16"/>
              </w:rPr>
            </w:pPr>
            <w:r>
              <w:rPr>
                <w:rFonts w:hint="eastAsia"/>
                <w:sz w:val="21"/>
                <w:szCs w:val="21"/>
              </w:rPr>
              <w:t>《环境影响评价技术导则</w:t>
            </w:r>
            <w:r>
              <w:rPr>
                <w:rFonts w:hint="eastAsia"/>
                <w:sz w:val="21"/>
                <w:szCs w:val="21"/>
              </w:rPr>
              <w:t xml:space="preserve"> </w:t>
            </w:r>
            <w:r>
              <w:rPr>
                <w:rFonts w:hint="eastAsia"/>
                <w:sz w:val="21"/>
                <w:szCs w:val="21"/>
              </w:rPr>
              <w:t>大气环境》（</w:t>
            </w:r>
            <w:r>
              <w:rPr>
                <w:rFonts w:hint="eastAsia"/>
                <w:sz w:val="21"/>
                <w:szCs w:val="21"/>
              </w:rPr>
              <w:t>HJ 2.2-2018</w:t>
            </w:r>
            <w:r>
              <w:rPr>
                <w:rFonts w:hint="eastAsia"/>
                <w:sz w:val="21"/>
                <w:szCs w:val="21"/>
              </w:rPr>
              <w:t>）附录</w:t>
            </w:r>
            <w:r>
              <w:rPr>
                <w:rFonts w:hint="eastAsia"/>
                <w:sz w:val="21"/>
                <w:szCs w:val="21"/>
              </w:rPr>
              <w:t>D</w:t>
            </w:r>
          </w:p>
        </w:tc>
        <w:tc>
          <w:tcPr>
            <w:tcW w:w="686" w:type="pct"/>
            <w:vAlign w:val="center"/>
          </w:tcPr>
          <w:p w14:paraId="48AE9B96"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氨</w:t>
            </w:r>
          </w:p>
        </w:tc>
        <w:tc>
          <w:tcPr>
            <w:tcW w:w="454" w:type="pct"/>
            <w:vMerge/>
            <w:vAlign w:val="center"/>
          </w:tcPr>
          <w:p w14:paraId="6D939984" w14:textId="77777777" w:rsidR="009D12AF" w:rsidRDefault="009D12AF">
            <w:pPr>
              <w:spacing w:line="240" w:lineRule="auto"/>
              <w:ind w:firstLineChars="0" w:firstLine="0"/>
              <w:jc w:val="center"/>
              <w:rPr>
                <w:rFonts w:ascii="Times New Roman" w:eastAsia="宋体" w:hAnsi="Times New Roman" w:cs="Times New Roman"/>
                <w:snapToGrid w:val="0"/>
                <w:color w:val="FF0000"/>
                <w:kern w:val="0"/>
                <w:sz w:val="21"/>
                <w:szCs w:val="16"/>
                <w:lang w:val="en-GB"/>
              </w:rPr>
            </w:pPr>
          </w:p>
        </w:tc>
        <w:tc>
          <w:tcPr>
            <w:tcW w:w="895" w:type="pct"/>
            <w:vAlign w:val="center"/>
          </w:tcPr>
          <w:p w14:paraId="527544E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w:t>
            </w:r>
            <w:r>
              <w:rPr>
                <w:rFonts w:ascii="Times New Roman" w:eastAsia="宋体" w:hAnsi="Times New Roman" w:cs="Times New Roman" w:hint="eastAsia"/>
                <w:snapToGrid w:val="0"/>
                <w:kern w:val="0"/>
                <w:sz w:val="21"/>
                <w:szCs w:val="16"/>
              </w:rPr>
              <w:t>小时平均</w:t>
            </w:r>
          </w:p>
        </w:tc>
        <w:tc>
          <w:tcPr>
            <w:tcW w:w="674" w:type="pct"/>
            <w:vAlign w:val="center"/>
          </w:tcPr>
          <w:p w14:paraId="77E0432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200</w:t>
            </w:r>
          </w:p>
        </w:tc>
        <w:tc>
          <w:tcPr>
            <w:tcW w:w="959" w:type="pct"/>
            <w:vAlign w:val="center"/>
          </w:tcPr>
          <w:p w14:paraId="717E1493"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200</w:t>
            </w:r>
          </w:p>
        </w:tc>
      </w:tr>
      <w:tr w:rsidR="009D12AF" w14:paraId="1AE9A8DD" w14:textId="77777777">
        <w:trPr>
          <w:trHeight w:val="476"/>
          <w:jc w:val="center"/>
        </w:trPr>
        <w:tc>
          <w:tcPr>
            <w:tcW w:w="250" w:type="pct"/>
            <w:vMerge/>
            <w:vAlign w:val="center"/>
          </w:tcPr>
          <w:p w14:paraId="4361F0D2"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078" w:type="pct"/>
            <w:vMerge/>
            <w:vAlign w:val="center"/>
          </w:tcPr>
          <w:p w14:paraId="1F60705F" w14:textId="77777777" w:rsidR="009D12AF" w:rsidRDefault="009D12AF">
            <w:pPr>
              <w:spacing w:line="240" w:lineRule="auto"/>
              <w:ind w:firstLineChars="0" w:firstLine="0"/>
              <w:jc w:val="center"/>
              <w:rPr>
                <w:rFonts w:ascii="Times New Roman" w:eastAsia="宋体" w:hAnsi="Times New Roman" w:cs="Times New Roman"/>
                <w:snapToGrid w:val="0"/>
                <w:color w:val="FF0000"/>
                <w:kern w:val="0"/>
                <w:sz w:val="21"/>
                <w:szCs w:val="16"/>
                <w:lang w:val="en-GB"/>
              </w:rPr>
            </w:pPr>
          </w:p>
        </w:tc>
        <w:tc>
          <w:tcPr>
            <w:tcW w:w="686" w:type="pct"/>
            <w:vAlign w:val="center"/>
          </w:tcPr>
          <w:p w14:paraId="51C3BC4F"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硫化氢</w:t>
            </w:r>
          </w:p>
        </w:tc>
        <w:tc>
          <w:tcPr>
            <w:tcW w:w="454" w:type="pct"/>
            <w:vMerge/>
            <w:vAlign w:val="center"/>
          </w:tcPr>
          <w:p w14:paraId="5D1C0DB2" w14:textId="77777777" w:rsidR="009D12AF" w:rsidRDefault="009D12AF">
            <w:pPr>
              <w:spacing w:line="240" w:lineRule="auto"/>
              <w:ind w:firstLineChars="0" w:firstLine="0"/>
              <w:jc w:val="center"/>
              <w:rPr>
                <w:rFonts w:ascii="Times New Roman" w:eastAsia="宋体" w:hAnsi="Times New Roman" w:cs="Times New Roman"/>
                <w:snapToGrid w:val="0"/>
                <w:color w:val="FF0000"/>
                <w:kern w:val="0"/>
                <w:sz w:val="21"/>
                <w:szCs w:val="16"/>
                <w:lang w:val="en-GB"/>
              </w:rPr>
            </w:pPr>
          </w:p>
        </w:tc>
        <w:tc>
          <w:tcPr>
            <w:tcW w:w="895" w:type="pct"/>
            <w:vAlign w:val="center"/>
          </w:tcPr>
          <w:p w14:paraId="18464E3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hint="eastAsia"/>
                <w:snapToGrid w:val="0"/>
                <w:kern w:val="0"/>
                <w:sz w:val="21"/>
                <w:szCs w:val="16"/>
              </w:rPr>
              <w:t>1</w:t>
            </w:r>
            <w:r>
              <w:rPr>
                <w:rFonts w:ascii="Times New Roman" w:eastAsia="宋体" w:hAnsi="Times New Roman" w:cs="Times New Roman" w:hint="eastAsia"/>
                <w:snapToGrid w:val="0"/>
                <w:kern w:val="0"/>
                <w:sz w:val="21"/>
                <w:szCs w:val="16"/>
              </w:rPr>
              <w:t>小时平均</w:t>
            </w:r>
          </w:p>
        </w:tc>
        <w:tc>
          <w:tcPr>
            <w:tcW w:w="674" w:type="pct"/>
            <w:vAlign w:val="center"/>
          </w:tcPr>
          <w:p w14:paraId="5C327030"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10</w:t>
            </w:r>
          </w:p>
        </w:tc>
        <w:tc>
          <w:tcPr>
            <w:tcW w:w="959" w:type="pct"/>
            <w:vAlign w:val="center"/>
          </w:tcPr>
          <w:p w14:paraId="1606B8B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10</w:t>
            </w:r>
          </w:p>
        </w:tc>
      </w:tr>
    </w:tbl>
    <w:p w14:paraId="10FFF257" w14:textId="77777777" w:rsidR="009D12AF" w:rsidRDefault="00000000">
      <w:pPr>
        <w:ind w:firstLine="480"/>
      </w:pPr>
      <w:r>
        <w:t>（</w:t>
      </w:r>
      <w:r>
        <w:t>2</w:t>
      </w:r>
      <w:r>
        <w:t>）声环境</w:t>
      </w:r>
    </w:p>
    <w:p w14:paraId="4600B518" w14:textId="77777777" w:rsidR="009D12AF" w:rsidRDefault="00000000">
      <w:pPr>
        <w:ind w:firstLine="480"/>
      </w:pPr>
      <w:r>
        <w:t>本项目所在地处于农村地区，根据《声环境功能区划分技术规范》（</w:t>
      </w:r>
      <w:r>
        <w:t>GB/T15190- 2014</w:t>
      </w:r>
      <w:r>
        <w:t>），执行《声环境质量标准》（</w:t>
      </w:r>
      <w:r>
        <w:t>GB3096-2008</w:t>
      </w:r>
      <w:r>
        <w:t>）中相应</w:t>
      </w:r>
      <w:r>
        <w:t>1</w:t>
      </w:r>
      <w:r>
        <w:t>类区标准，详见表</w:t>
      </w:r>
      <w:r>
        <w:rPr>
          <w:rFonts w:hint="eastAsia"/>
        </w:rPr>
        <w:t>2.6-2.</w:t>
      </w:r>
    </w:p>
    <w:p w14:paraId="24302A1E" w14:textId="77777777" w:rsidR="009D12AF" w:rsidRDefault="00000000">
      <w:pPr>
        <w:ind w:firstLineChars="0" w:firstLine="0"/>
        <w:jc w:val="center"/>
      </w:pPr>
      <w:r>
        <w:rPr>
          <w:rFonts w:hint="eastAsia"/>
          <w:b/>
          <w:bCs/>
        </w:rPr>
        <w:t>表</w:t>
      </w:r>
      <w:r>
        <w:rPr>
          <w:rFonts w:hint="eastAsia"/>
          <w:b/>
          <w:bCs/>
        </w:rPr>
        <w:t>2.6-2</w:t>
      </w:r>
      <w:r>
        <w:rPr>
          <w:rFonts w:hint="eastAsia"/>
          <w:b/>
          <w:bCs/>
        </w:rPr>
        <w:t>声环境质量标准</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826"/>
        <w:gridCol w:w="2862"/>
        <w:gridCol w:w="1099"/>
        <w:gridCol w:w="1349"/>
        <w:gridCol w:w="1056"/>
        <w:gridCol w:w="1327"/>
      </w:tblGrid>
      <w:tr w:rsidR="009D12AF" w14:paraId="6E966CE6" w14:textId="77777777">
        <w:trPr>
          <w:trHeight w:val="777"/>
          <w:jc w:val="center"/>
        </w:trPr>
        <w:tc>
          <w:tcPr>
            <w:tcW w:w="484" w:type="pct"/>
            <w:vAlign w:val="center"/>
          </w:tcPr>
          <w:p w14:paraId="66CC96E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环境</w:t>
            </w:r>
          </w:p>
          <w:p w14:paraId="51C67CE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要素</w:t>
            </w:r>
          </w:p>
        </w:tc>
        <w:tc>
          <w:tcPr>
            <w:tcW w:w="1678" w:type="pct"/>
            <w:vAlign w:val="center"/>
          </w:tcPr>
          <w:p w14:paraId="46B37BD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标准名称及级别</w:t>
            </w:r>
          </w:p>
        </w:tc>
        <w:tc>
          <w:tcPr>
            <w:tcW w:w="645" w:type="pct"/>
            <w:vAlign w:val="center"/>
          </w:tcPr>
          <w:p w14:paraId="6EA2EEF3"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项目</w:t>
            </w:r>
          </w:p>
        </w:tc>
        <w:tc>
          <w:tcPr>
            <w:tcW w:w="792" w:type="pct"/>
            <w:vAlign w:val="center"/>
          </w:tcPr>
          <w:p w14:paraId="7BB5C62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单位</w:t>
            </w:r>
          </w:p>
        </w:tc>
        <w:tc>
          <w:tcPr>
            <w:tcW w:w="1399" w:type="pct"/>
            <w:gridSpan w:val="2"/>
            <w:vAlign w:val="center"/>
          </w:tcPr>
          <w:p w14:paraId="0780ADC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标准值</w:t>
            </w:r>
          </w:p>
        </w:tc>
      </w:tr>
      <w:tr w:rsidR="009D12AF" w14:paraId="3348E94E" w14:textId="77777777">
        <w:trPr>
          <w:trHeight w:val="403"/>
          <w:jc w:val="center"/>
        </w:trPr>
        <w:tc>
          <w:tcPr>
            <w:tcW w:w="484" w:type="pct"/>
            <w:vMerge w:val="restart"/>
            <w:vAlign w:val="center"/>
          </w:tcPr>
          <w:p w14:paraId="1BDC9EB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声环境</w:t>
            </w:r>
          </w:p>
        </w:tc>
        <w:tc>
          <w:tcPr>
            <w:tcW w:w="1678" w:type="pct"/>
            <w:vMerge w:val="restart"/>
            <w:vAlign w:val="center"/>
          </w:tcPr>
          <w:p w14:paraId="79C12FA3"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《声环境质量标准》（</w:t>
            </w:r>
            <w:r>
              <w:rPr>
                <w:rFonts w:ascii="Times New Roman" w:eastAsia="宋体" w:hAnsi="Times New Roman" w:cs="Times New Roman"/>
                <w:snapToGrid w:val="0"/>
                <w:kern w:val="0"/>
                <w:sz w:val="21"/>
                <w:szCs w:val="16"/>
                <w:lang w:val="en-GB"/>
              </w:rPr>
              <w:t>GB3096-2008</w:t>
            </w:r>
            <w:r>
              <w:rPr>
                <w:rFonts w:ascii="Times New Roman" w:eastAsia="宋体" w:hAnsi="Times New Roman" w:cs="Times New Roman"/>
                <w:snapToGrid w:val="0"/>
                <w:kern w:val="0"/>
                <w:sz w:val="21"/>
                <w:szCs w:val="16"/>
                <w:lang w:val="en-GB"/>
              </w:rPr>
              <w:t>）中</w:t>
            </w:r>
            <w:r>
              <w:rPr>
                <w:rFonts w:ascii="Times New Roman" w:eastAsia="宋体" w:hAnsi="Times New Roman" w:cs="Times New Roman" w:hint="eastAsia"/>
                <w:snapToGrid w:val="0"/>
                <w:kern w:val="0"/>
                <w:sz w:val="21"/>
                <w:szCs w:val="16"/>
              </w:rPr>
              <w:t>1</w:t>
            </w:r>
            <w:r>
              <w:rPr>
                <w:rFonts w:ascii="Times New Roman" w:eastAsia="宋体" w:hAnsi="Times New Roman" w:cs="Times New Roman"/>
                <w:snapToGrid w:val="0"/>
                <w:kern w:val="0"/>
                <w:sz w:val="21"/>
                <w:szCs w:val="16"/>
                <w:lang w:val="en-GB"/>
              </w:rPr>
              <w:t>类标准</w:t>
            </w:r>
          </w:p>
        </w:tc>
        <w:tc>
          <w:tcPr>
            <w:tcW w:w="645" w:type="pct"/>
            <w:vMerge w:val="restart"/>
            <w:vAlign w:val="center"/>
          </w:tcPr>
          <w:p w14:paraId="034D6EA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等效连续</w:t>
            </w:r>
            <w:r>
              <w:rPr>
                <w:rFonts w:ascii="Times New Roman" w:eastAsia="宋体" w:hAnsi="Times New Roman" w:cs="Times New Roman"/>
                <w:snapToGrid w:val="0"/>
                <w:kern w:val="0"/>
                <w:sz w:val="21"/>
                <w:szCs w:val="16"/>
                <w:lang w:val="en-GB"/>
              </w:rPr>
              <w:t>A</w:t>
            </w:r>
            <w:r>
              <w:rPr>
                <w:rFonts w:ascii="Times New Roman" w:eastAsia="宋体" w:hAnsi="Times New Roman" w:cs="Times New Roman"/>
                <w:snapToGrid w:val="0"/>
                <w:kern w:val="0"/>
                <w:sz w:val="21"/>
                <w:szCs w:val="16"/>
                <w:lang w:val="en-GB"/>
              </w:rPr>
              <w:t>声级</w:t>
            </w:r>
          </w:p>
        </w:tc>
        <w:tc>
          <w:tcPr>
            <w:tcW w:w="792" w:type="pct"/>
            <w:vMerge w:val="restart"/>
            <w:vAlign w:val="center"/>
          </w:tcPr>
          <w:p w14:paraId="4C9B195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dB</w:t>
            </w:r>
            <w:r>
              <w:rPr>
                <w:rFonts w:ascii="Times New Roman" w:eastAsia="宋体" w:hAnsi="Times New Roman" w:cs="Times New Roman"/>
                <w:snapToGrid w:val="0"/>
                <w:kern w:val="0"/>
                <w:sz w:val="21"/>
                <w:szCs w:val="16"/>
                <w:lang w:val="en-GB"/>
              </w:rPr>
              <w:t>（</w:t>
            </w:r>
            <w:r>
              <w:rPr>
                <w:rFonts w:ascii="Times New Roman" w:eastAsia="宋体" w:hAnsi="Times New Roman" w:cs="Times New Roman"/>
                <w:snapToGrid w:val="0"/>
                <w:kern w:val="0"/>
                <w:sz w:val="21"/>
                <w:szCs w:val="16"/>
                <w:lang w:val="en-GB"/>
              </w:rPr>
              <w:t>A</w:t>
            </w:r>
            <w:r>
              <w:rPr>
                <w:rFonts w:ascii="Times New Roman" w:eastAsia="宋体" w:hAnsi="Times New Roman" w:cs="Times New Roman"/>
                <w:snapToGrid w:val="0"/>
                <w:kern w:val="0"/>
                <w:sz w:val="21"/>
                <w:szCs w:val="16"/>
                <w:lang w:val="en-GB"/>
              </w:rPr>
              <w:t>）</w:t>
            </w:r>
          </w:p>
        </w:tc>
        <w:tc>
          <w:tcPr>
            <w:tcW w:w="620" w:type="pct"/>
            <w:vAlign w:val="center"/>
          </w:tcPr>
          <w:p w14:paraId="7528178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昼间</w:t>
            </w:r>
          </w:p>
        </w:tc>
        <w:tc>
          <w:tcPr>
            <w:tcW w:w="778" w:type="pct"/>
            <w:vAlign w:val="center"/>
          </w:tcPr>
          <w:p w14:paraId="1E1C006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55</w:t>
            </w:r>
          </w:p>
        </w:tc>
      </w:tr>
      <w:tr w:rsidR="009D12AF" w14:paraId="5B446191" w14:textId="77777777">
        <w:trPr>
          <w:trHeight w:val="476"/>
          <w:jc w:val="center"/>
        </w:trPr>
        <w:tc>
          <w:tcPr>
            <w:tcW w:w="484" w:type="pct"/>
            <w:vMerge/>
            <w:vAlign w:val="center"/>
          </w:tcPr>
          <w:p w14:paraId="0F2B2669"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678" w:type="pct"/>
            <w:vMerge/>
            <w:vAlign w:val="center"/>
          </w:tcPr>
          <w:p w14:paraId="056D5228"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645" w:type="pct"/>
            <w:vMerge/>
            <w:vAlign w:val="center"/>
          </w:tcPr>
          <w:p w14:paraId="4DF56AFF"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92" w:type="pct"/>
            <w:vMerge/>
            <w:vAlign w:val="center"/>
          </w:tcPr>
          <w:p w14:paraId="5B16A7C1"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620" w:type="pct"/>
            <w:vAlign w:val="center"/>
          </w:tcPr>
          <w:p w14:paraId="0F2E7F4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夜间</w:t>
            </w:r>
          </w:p>
        </w:tc>
        <w:tc>
          <w:tcPr>
            <w:tcW w:w="778" w:type="pct"/>
            <w:vAlign w:val="center"/>
          </w:tcPr>
          <w:p w14:paraId="05D5199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45</w:t>
            </w:r>
          </w:p>
        </w:tc>
      </w:tr>
    </w:tbl>
    <w:p w14:paraId="695FE718" w14:textId="77777777" w:rsidR="009D12AF" w:rsidRDefault="00000000">
      <w:pPr>
        <w:ind w:firstLine="480"/>
      </w:pPr>
      <w:r>
        <w:t>（</w:t>
      </w:r>
      <w:r>
        <w:t>3</w:t>
      </w:r>
      <w:r>
        <w:t>）地下水</w:t>
      </w:r>
    </w:p>
    <w:p w14:paraId="1F316162" w14:textId="77777777" w:rsidR="009D12AF" w:rsidRDefault="00000000">
      <w:pPr>
        <w:ind w:firstLine="480"/>
      </w:pPr>
      <w:r>
        <w:t>工程所在区域地下水执行《地下水质量标准》（</w:t>
      </w:r>
      <w:r>
        <w:t>GB/T14848-2017</w:t>
      </w:r>
      <w:r>
        <w:t>）中</w:t>
      </w:r>
      <w:r>
        <w:t>Ⅲ</w:t>
      </w:r>
      <w:r>
        <w:t>类标准，详见表</w:t>
      </w:r>
      <w:r>
        <w:rPr>
          <w:rFonts w:hint="eastAsia"/>
        </w:rPr>
        <w:t>2.6-3</w:t>
      </w:r>
      <w:r>
        <w:t>。</w:t>
      </w:r>
    </w:p>
    <w:p w14:paraId="4471A207" w14:textId="77777777" w:rsidR="009D12AF" w:rsidRDefault="00000000">
      <w:pPr>
        <w:ind w:firstLineChars="0" w:firstLine="0"/>
        <w:jc w:val="center"/>
      </w:pPr>
      <w:r>
        <w:rPr>
          <w:b/>
          <w:bCs/>
        </w:rPr>
        <w:t>表</w:t>
      </w:r>
      <w:r>
        <w:rPr>
          <w:b/>
          <w:bCs/>
        </w:rPr>
        <w:t xml:space="preserve"> </w:t>
      </w:r>
      <w:r>
        <w:rPr>
          <w:rFonts w:hint="eastAsia"/>
          <w:b/>
          <w:bCs/>
        </w:rPr>
        <w:t>2.6-3</w:t>
      </w:r>
      <w:r>
        <w:rPr>
          <w:b/>
          <w:bCs/>
        </w:rPr>
        <w:t>地下水环境质量标准表</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826"/>
        <w:gridCol w:w="1709"/>
        <w:gridCol w:w="2037"/>
        <w:gridCol w:w="1113"/>
        <w:gridCol w:w="2834"/>
      </w:tblGrid>
      <w:tr w:rsidR="009D12AF" w14:paraId="6BD8AB73" w14:textId="77777777">
        <w:trPr>
          <w:trHeight w:val="70"/>
          <w:jc w:val="center"/>
        </w:trPr>
        <w:tc>
          <w:tcPr>
            <w:tcW w:w="826" w:type="dxa"/>
            <w:vAlign w:val="center"/>
          </w:tcPr>
          <w:p w14:paraId="5661AD93"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环境</w:t>
            </w:r>
          </w:p>
          <w:p w14:paraId="7C4CC1B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要素</w:t>
            </w:r>
          </w:p>
        </w:tc>
        <w:tc>
          <w:tcPr>
            <w:tcW w:w="1709" w:type="dxa"/>
            <w:vAlign w:val="center"/>
          </w:tcPr>
          <w:p w14:paraId="27B1214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标准名称及级别</w:t>
            </w:r>
          </w:p>
        </w:tc>
        <w:tc>
          <w:tcPr>
            <w:tcW w:w="2037" w:type="dxa"/>
            <w:vAlign w:val="center"/>
          </w:tcPr>
          <w:p w14:paraId="5155EAC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项目</w:t>
            </w:r>
          </w:p>
        </w:tc>
        <w:tc>
          <w:tcPr>
            <w:tcW w:w="1113" w:type="dxa"/>
            <w:vAlign w:val="center"/>
          </w:tcPr>
          <w:p w14:paraId="681C62D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单位</w:t>
            </w:r>
          </w:p>
        </w:tc>
        <w:tc>
          <w:tcPr>
            <w:tcW w:w="2834" w:type="dxa"/>
            <w:vAlign w:val="center"/>
          </w:tcPr>
          <w:p w14:paraId="240841FF"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标准值</w:t>
            </w:r>
          </w:p>
        </w:tc>
      </w:tr>
      <w:tr w:rsidR="009D12AF" w14:paraId="280DFCA3" w14:textId="77777777">
        <w:trPr>
          <w:trHeight w:val="70"/>
          <w:jc w:val="center"/>
        </w:trPr>
        <w:tc>
          <w:tcPr>
            <w:tcW w:w="826" w:type="dxa"/>
            <w:vMerge w:val="restart"/>
            <w:vAlign w:val="center"/>
          </w:tcPr>
          <w:p w14:paraId="7236567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地下水环境</w:t>
            </w:r>
          </w:p>
        </w:tc>
        <w:tc>
          <w:tcPr>
            <w:tcW w:w="1709" w:type="dxa"/>
            <w:vMerge w:val="restart"/>
            <w:vAlign w:val="center"/>
          </w:tcPr>
          <w:p w14:paraId="29A0A8B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《地下水质量标准》（</w:t>
            </w:r>
            <w:r>
              <w:rPr>
                <w:rFonts w:ascii="Times New Roman" w:eastAsia="宋体" w:hAnsi="Times New Roman" w:cs="Times New Roman"/>
                <w:snapToGrid w:val="0"/>
                <w:kern w:val="0"/>
                <w:sz w:val="21"/>
                <w:szCs w:val="16"/>
                <w:lang w:val="en-GB"/>
              </w:rPr>
              <w:t>GB/T14848-2017</w:t>
            </w:r>
            <w:r>
              <w:rPr>
                <w:rFonts w:ascii="Times New Roman" w:eastAsia="宋体" w:hAnsi="Times New Roman" w:cs="Times New Roman"/>
                <w:snapToGrid w:val="0"/>
                <w:kern w:val="0"/>
                <w:sz w:val="21"/>
                <w:szCs w:val="16"/>
                <w:lang w:val="en-GB"/>
              </w:rPr>
              <w:t>）中</w:t>
            </w:r>
            <w:r>
              <w:rPr>
                <w:rFonts w:ascii="Times New Roman" w:eastAsia="宋体" w:hAnsi="Times New Roman" w:cs="Times New Roman"/>
                <w:snapToGrid w:val="0"/>
                <w:kern w:val="0"/>
                <w:sz w:val="21"/>
                <w:szCs w:val="16"/>
                <w:lang w:val="en-GB"/>
              </w:rPr>
              <w:t>Ⅲ</w:t>
            </w:r>
            <w:r>
              <w:rPr>
                <w:rFonts w:ascii="Times New Roman" w:eastAsia="宋体" w:hAnsi="Times New Roman" w:cs="Times New Roman"/>
                <w:snapToGrid w:val="0"/>
                <w:kern w:val="0"/>
                <w:sz w:val="21"/>
                <w:szCs w:val="16"/>
                <w:lang w:val="en-GB"/>
              </w:rPr>
              <w:t>类标准</w:t>
            </w:r>
          </w:p>
        </w:tc>
        <w:tc>
          <w:tcPr>
            <w:tcW w:w="2037" w:type="dxa"/>
            <w:vAlign w:val="center"/>
          </w:tcPr>
          <w:p w14:paraId="1374597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pH</w:t>
            </w:r>
            <w:r>
              <w:rPr>
                <w:rFonts w:ascii="Times New Roman" w:eastAsia="宋体" w:hAnsi="Times New Roman" w:cs="Times New Roman"/>
                <w:snapToGrid w:val="0"/>
                <w:kern w:val="0"/>
                <w:sz w:val="21"/>
                <w:szCs w:val="16"/>
                <w:lang w:val="en-GB"/>
              </w:rPr>
              <w:t>值</w:t>
            </w:r>
          </w:p>
        </w:tc>
        <w:tc>
          <w:tcPr>
            <w:tcW w:w="1113" w:type="dxa"/>
            <w:vAlign w:val="center"/>
          </w:tcPr>
          <w:p w14:paraId="7198981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无量纲</w:t>
            </w:r>
          </w:p>
        </w:tc>
        <w:tc>
          <w:tcPr>
            <w:tcW w:w="2834" w:type="dxa"/>
            <w:vAlign w:val="center"/>
          </w:tcPr>
          <w:p w14:paraId="060FD293"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6.5</w:t>
            </w:r>
            <w:r>
              <w:rPr>
                <w:rFonts w:ascii="Times New Roman" w:eastAsia="宋体" w:hAnsi="Times New Roman" w:cs="Times New Roman"/>
                <w:snapToGrid w:val="0"/>
                <w:kern w:val="0"/>
                <w:sz w:val="21"/>
                <w:szCs w:val="16"/>
                <w:lang w:val="en-GB"/>
              </w:rPr>
              <w:t>～</w:t>
            </w:r>
            <w:r>
              <w:rPr>
                <w:rFonts w:ascii="Times New Roman" w:eastAsia="宋体" w:hAnsi="Times New Roman" w:cs="Times New Roman"/>
                <w:snapToGrid w:val="0"/>
                <w:kern w:val="0"/>
                <w:sz w:val="21"/>
                <w:szCs w:val="16"/>
                <w:lang w:val="en-GB"/>
              </w:rPr>
              <w:t>8.5</w:t>
            </w:r>
          </w:p>
        </w:tc>
      </w:tr>
      <w:tr w:rsidR="009D12AF" w14:paraId="6B22C13A" w14:textId="77777777">
        <w:trPr>
          <w:trHeight w:val="70"/>
          <w:jc w:val="center"/>
        </w:trPr>
        <w:tc>
          <w:tcPr>
            <w:tcW w:w="826" w:type="dxa"/>
            <w:vMerge/>
            <w:vAlign w:val="center"/>
          </w:tcPr>
          <w:p w14:paraId="3BA1CBA3"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490DFE90"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vAlign w:val="center"/>
          </w:tcPr>
          <w:p w14:paraId="38EBA5B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总硬度</w:t>
            </w:r>
          </w:p>
        </w:tc>
        <w:tc>
          <w:tcPr>
            <w:tcW w:w="1113" w:type="dxa"/>
            <w:vMerge w:val="restart"/>
            <w:vAlign w:val="center"/>
          </w:tcPr>
          <w:p w14:paraId="434046C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mg/L</w:t>
            </w:r>
          </w:p>
        </w:tc>
        <w:tc>
          <w:tcPr>
            <w:tcW w:w="2834" w:type="dxa"/>
            <w:vAlign w:val="center"/>
          </w:tcPr>
          <w:p w14:paraId="13E8F59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≤450</w:t>
            </w:r>
          </w:p>
        </w:tc>
      </w:tr>
      <w:tr w:rsidR="009D12AF" w14:paraId="5732CE7C" w14:textId="77777777">
        <w:trPr>
          <w:trHeight w:val="70"/>
          <w:jc w:val="center"/>
        </w:trPr>
        <w:tc>
          <w:tcPr>
            <w:tcW w:w="826" w:type="dxa"/>
            <w:vMerge/>
            <w:vAlign w:val="center"/>
          </w:tcPr>
          <w:p w14:paraId="2F5BB553"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6C47F051"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vAlign w:val="center"/>
          </w:tcPr>
          <w:p w14:paraId="1EDB31F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溶解性总固体</w:t>
            </w:r>
          </w:p>
        </w:tc>
        <w:tc>
          <w:tcPr>
            <w:tcW w:w="1113" w:type="dxa"/>
            <w:vMerge/>
            <w:vAlign w:val="center"/>
          </w:tcPr>
          <w:p w14:paraId="5A197360"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834" w:type="dxa"/>
            <w:vAlign w:val="center"/>
          </w:tcPr>
          <w:p w14:paraId="1D6C1A1F"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≤1000</w:t>
            </w:r>
          </w:p>
        </w:tc>
      </w:tr>
      <w:tr w:rsidR="009D12AF" w14:paraId="6EC0EC6C" w14:textId="77777777">
        <w:trPr>
          <w:trHeight w:val="70"/>
          <w:jc w:val="center"/>
        </w:trPr>
        <w:tc>
          <w:tcPr>
            <w:tcW w:w="826" w:type="dxa"/>
            <w:vMerge/>
            <w:vAlign w:val="center"/>
          </w:tcPr>
          <w:p w14:paraId="53283FDD"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4A26F2CD"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vAlign w:val="center"/>
          </w:tcPr>
          <w:p w14:paraId="533D836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硫酸盐</w:t>
            </w:r>
          </w:p>
        </w:tc>
        <w:tc>
          <w:tcPr>
            <w:tcW w:w="1113" w:type="dxa"/>
            <w:vMerge/>
            <w:vAlign w:val="center"/>
          </w:tcPr>
          <w:p w14:paraId="79E7EE72"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834" w:type="dxa"/>
            <w:vAlign w:val="center"/>
          </w:tcPr>
          <w:p w14:paraId="51B3834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≤250</w:t>
            </w:r>
          </w:p>
        </w:tc>
      </w:tr>
      <w:tr w:rsidR="009D12AF" w14:paraId="178267D9" w14:textId="77777777">
        <w:trPr>
          <w:trHeight w:val="70"/>
          <w:jc w:val="center"/>
        </w:trPr>
        <w:tc>
          <w:tcPr>
            <w:tcW w:w="826" w:type="dxa"/>
            <w:vMerge/>
            <w:vAlign w:val="center"/>
          </w:tcPr>
          <w:p w14:paraId="7A3AE810"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40E59F54"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vAlign w:val="center"/>
          </w:tcPr>
          <w:p w14:paraId="441E3A8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氯化物</w:t>
            </w:r>
          </w:p>
        </w:tc>
        <w:tc>
          <w:tcPr>
            <w:tcW w:w="1113" w:type="dxa"/>
            <w:vMerge/>
            <w:vAlign w:val="center"/>
          </w:tcPr>
          <w:p w14:paraId="56B8EF50"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834" w:type="dxa"/>
            <w:vAlign w:val="center"/>
          </w:tcPr>
          <w:p w14:paraId="0FC1C3D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≤250</w:t>
            </w:r>
          </w:p>
        </w:tc>
      </w:tr>
      <w:tr w:rsidR="009D12AF" w14:paraId="36066705" w14:textId="77777777">
        <w:trPr>
          <w:trHeight w:val="70"/>
          <w:jc w:val="center"/>
        </w:trPr>
        <w:tc>
          <w:tcPr>
            <w:tcW w:w="826" w:type="dxa"/>
            <w:vMerge/>
            <w:vAlign w:val="center"/>
          </w:tcPr>
          <w:p w14:paraId="00D69C6B"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443B6B45"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vAlign w:val="center"/>
          </w:tcPr>
          <w:p w14:paraId="368F0AF6"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挥发性酚类</w:t>
            </w:r>
          </w:p>
        </w:tc>
        <w:tc>
          <w:tcPr>
            <w:tcW w:w="1113" w:type="dxa"/>
            <w:vMerge/>
            <w:vAlign w:val="center"/>
          </w:tcPr>
          <w:p w14:paraId="28A45CF4"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834" w:type="dxa"/>
            <w:vAlign w:val="center"/>
          </w:tcPr>
          <w:p w14:paraId="448ED176"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≤0.002</w:t>
            </w:r>
          </w:p>
        </w:tc>
      </w:tr>
      <w:tr w:rsidR="009D12AF" w14:paraId="593D78A6" w14:textId="77777777">
        <w:trPr>
          <w:trHeight w:val="70"/>
          <w:jc w:val="center"/>
        </w:trPr>
        <w:tc>
          <w:tcPr>
            <w:tcW w:w="826" w:type="dxa"/>
            <w:vMerge/>
            <w:vAlign w:val="center"/>
          </w:tcPr>
          <w:p w14:paraId="2EAB0BC6"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72EF866A"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vAlign w:val="center"/>
          </w:tcPr>
          <w:p w14:paraId="6A04886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耗氧量</w:t>
            </w:r>
          </w:p>
        </w:tc>
        <w:tc>
          <w:tcPr>
            <w:tcW w:w="1113" w:type="dxa"/>
            <w:vMerge/>
            <w:vAlign w:val="center"/>
          </w:tcPr>
          <w:p w14:paraId="4AF15625"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834" w:type="dxa"/>
            <w:vAlign w:val="center"/>
          </w:tcPr>
          <w:p w14:paraId="27829FE9"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≤3.0</w:t>
            </w:r>
          </w:p>
        </w:tc>
      </w:tr>
      <w:tr w:rsidR="009D12AF" w14:paraId="624964C5" w14:textId="77777777">
        <w:trPr>
          <w:trHeight w:val="70"/>
          <w:jc w:val="center"/>
        </w:trPr>
        <w:tc>
          <w:tcPr>
            <w:tcW w:w="826" w:type="dxa"/>
            <w:vMerge/>
            <w:vAlign w:val="center"/>
          </w:tcPr>
          <w:p w14:paraId="264A4B54"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0B3892E3"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vAlign w:val="center"/>
          </w:tcPr>
          <w:p w14:paraId="1467B8E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硝酸盐</w:t>
            </w:r>
          </w:p>
        </w:tc>
        <w:tc>
          <w:tcPr>
            <w:tcW w:w="1113" w:type="dxa"/>
            <w:vMerge/>
            <w:vAlign w:val="center"/>
          </w:tcPr>
          <w:p w14:paraId="6A2C3BDE"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834" w:type="dxa"/>
            <w:vAlign w:val="center"/>
          </w:tcPr>
          <w:p w14:paraId="3E01B35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≤20.0</w:t>
            </w:r>
          </w:p>
        </w:tc>
      </w:tr>
      <w:tr w:rsidR="009D12AF" w14:paraId="402679D4" w14:textId="77777777">
        <w:trPr>
          <w:trHeight w:val="70"/>
          <w:jc w:val="center"/>
        </w:trPr>
        <w:tc>
          <w:tcPr>
            <w:tcW w:w="826" w:type="dxa"/>
            <w:vMerge/>
            <w:vAlign w:val="center"/>
          </w:tcPr>
          <w:p w14:paraId="34ABCFCE"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3E4FDD70"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vAlign w:val="center"/>
          </w:tcPr>
          <w:p w14:paraId="18EEF61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亚硝酸盐</w:t>
            </w:r>
          </w:p>
        </w:tc>
        <w:tc>
          <w:tcPr>
            <w:tcW w:w="1113" w:type="dxa"/>
            <w:vMerge/>
            <w:vAlign w:val="center"/>
          </w:tcPr>
          <w:p w14:paraId="2263B97B"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834" w:type="dxa"/>
            <w:vAlign w:val="center"/>
          </w:tcPr>
          <w:p w14:paraId="66CF777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≤1.00</w:t>
            </w:r>
          </w:p>
        </w:tc>
      </w:tr>
      <w:tr w:rsidR="009D12AF" w14:paraId="49BEFC7F" w14:textId="77777777">
        <w:trPr>
          <w:trHeight w:val="70"/>
          <w:jc w:val="center"/>
        </w:trPr>
        <w:tc>
          <w:tcPr>
            <w:tcW w:w="826" w:type="dxa"/>
            <w:vMerge/>
            <w:vAlign w:val="center"/>
          </w:tcPr>
          <w:p w14:paraId="1F1C87F2"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2497FECC"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vAlign w:val="center"/>
          </w:tcPr>
          <w:p w14:paraId="76168E3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氨氮</w:t>
            </w:r>
          </w:p>
        </w:tc>
        <w:tc>
          <w:tcPr>
            <w:tcW w:w="1113" w:type="dxa"/>
            <w:vMerge/>
            <w:vAlign w:val="center"/>
          </w:tcPr>
          <w:p w14:paraId="5A5A66A3"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834" w:type="dxa"/>
            <w:vAlign w:val="center"/>
          </w:tcPr>
          <w:p w14:paraId="59205DE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≤0.50</w:t>
            </w:r>
          </w:p>
        </w:tc>
      </w:tr>
      <w:tr w:rsidR="009D12AF" w14:paraId="02102E7C" w14:textId="77777777">
        <w:trPr>
          <w:trHeight w:val="70"/>
          <w:jc w:val="center"/>
        </w:trPr>
        <w:tc>
          <w:tcPr>
            <w:tcW w:w="826" w:type="dxa"/>
            <w:vMerge/>
            <w:vAlign w:val="center"/>
          </w:tcPr>
          <w:p w14:paraId="3EE979F7"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1DF8CCCD"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tcPr>
          <w:p w14:paraId="6CD5A6A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氟化物</w:t>
            </w:r>
          </w:p>
        </w:tc>
        <w:tc>
          <w:tcPr>
            <w:tcW w:w="1113" w:type="dxa"/>
            <w:vMerge/>
          </w:tcPr>
          <w:p w14:paraId="5B67D1ED"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834" w:type="dxa"/>
          </w:tcPr>
          <w:p w14:paraId="38ED48D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≤1.0</w:t>
            </w:r>
          </w:p>
        </w:tc>
      </w:tr>
      <w:tr w:rsidR="009D12AF" w14:paraId="42E17B47" w14:textId="77777777">
        <w:trPr>
          <w:trHeight w:val="70"/>
          <w:jc w:val="center"/>
        </w:trPr>
        <w:tc>
          <w:tcPr>
            <w:tcW w:w="826" w:type="dxa"/>
            <w:vMerge/>
            <w:vAlign w:val="center"/>
          </w:tcPr>
          <w:p w14:paraId="41D3FE5F"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7CD26C9C"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tcPr>
          <w:p w14:paraId="2F9D954F"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氰化物</w:t>
            </w:r>
          </w:p>
        </w:tc>
        <w:tc>
          <w:tcPr>
            <w:tcW w:w="1113" w:type="dxa"/>
            <w:vMerge/>
            <w:vAlign w:val="center"/>
          </w:tcPr>
          <w:p w14:paraId="4B75BC42"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834" w:type="dxa"/>
          </w:tcPr>
          <w:p w14:paraId="7EC4118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≤0.05</w:t>
            </w:r>
          </w:p>
        </w:tc>
      </w:tr>
      <w:tr w:rsidR="009D12AF" w14:paraId="1C41508A" w14:textId="77777777">
        <w:trPr>
          <w:trHeight w:val="70"/>
          <w:jc w:val="center"/>
        </w:trPr>
        <w:tc>
          <w:tcPr>
            <w:tcW w:w="826" w:type="dxa"/>
            <w:vMerge/>
            <w:vAlign w:val="center"/>
          </w:tcPr>
          <w:p w14:paraId="5F4329C8"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2EA6D970"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vAlign w:val="center"/>
          </w:tcPr>
          <w:p w14:paraId="51F07A39"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六价铬</w:t>
            </w:r>
          </w:p>
        </w:tc>
        <w:tc>
          <w:tcPr>
            <w:tcW w:w="1113" w:type="dxa"/>
            <w:vMerge/>
            <w:vAlign w:val="center"/>
          </w:tcPr>
          <w:p w14:paraId="118DC310"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834" w:type="dxa"/>
            <w:vAlign w:val="center"/>
          </w:tcPr>
          <w:p w14:paraId="0680F4F0"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≤0.05</w:t>
            </w:r>
          </w:p>
        </w:tc>
      </w:tr>
      <w:tr w:rsidR="009D12AF" w14:paraId="59769AB5" w14:textId="77777777">
        <w:trPr>
          <w:trHeight w:val="70"/>
          <w:jc w:val="center"/>
        </w:trPr>
        <w:tc>
          <w:tcPr>
            <w:tcW w:w="826" w:type="dxa"/>
            <w:vMerge/>
            <w:vAlign w:val="center"/>
          </w:tcPr>
          <w:p w14:paraId="10BB7E33"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03E5299F"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vAlign w:val="center"/>
          </w:tcPr>
          <w:p w14:paraId="097A69F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铁</w:t>
            </w:r>
          </w:p>
        </w:tc>
        <w:tc>
          <w:tcPr>
            <w:tcW w:w="1113" w:type="dxa"/>
            <w:vMerge/>
            <w:vAlign w:val="center"/>
          </w:tcPr>
          <w:p w14:paraId="3840F5B6"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834" w:type="dxa"/>
            <w:vAlign w:val="center"/>
          </w:tcPr>
          <w:p w14:paraId="2F1F290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≤0.30</w:t>
            </w:r>
          </w:p>
        </w:tc>
      </w:tr>
      <w:tr w:rsidR="009D12AF" w14:paraId="34CC2FF1" w14:textId="77777777">
        <w:trPr>
          <w:trHeight w:val="70"/>
          <w:jc w:val="center"/>
        </w:trPr>
        <w:tc>
          <w:tcPr>
            <w:tcW w:w="826" w:type="dxa"/>
            <w:vMerge/>
            <w:vAlign w:val="center"/>
          </w:tcPr>
          <w:p w14:paraId="3619FA6E"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1DA91E49"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vAlign w:val="center"/>
          </w:tcPr>
          <w:p w14:paraId="7BFBA59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锰</w:t>
            </w:r>
          </w:p>
        </w:tc>
        <w:tc>
          <w:tcPr>
            <w:tcW w:w="1113" w:type="dxa"/>
            <w:vMerge/>
            <w:vAlign w:val="center"/>
          </w:tcPr>
          <w:p w14:paraId="000B9DB9"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834" w:type="dxa"/>
            <w:vAlign w:val="center"/>
          </w:tcPr>
          <w:p w14:paraId="58AE6100"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≤0.10</w:t>
            </w:r>
          </w:p>
        </w:tc>
      </w:tr>
      <w:tr w:rsidR="009D12AF" w14:paraId="60DDF7F5" w14:textId="77777777">
        <w:trPr>
          <w:trHeight w:val="70"/>
          <w:jc w:val="center"/>
        </w:trPr>
        <w:tc>
          <w:tcPr>
            <w:tcW w:w="826" w:type="dxa"/>
            <w:vMerge/>
            <w:vAlign w:val="center"/>
          </w:tcPr>
          <w:p w14:paraId="18580A18"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0487F085"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vAlign w:val="center"/>
          </w:tcPr>
          <w:p w14:paraId="6E22E1D3"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砷</w:t>
            </w:r>
          </w:p>
        </w:tc>
        <w:tc>
          <w:tcPr>
            <w:tcW w:w="1113" w:type="dxa"/>
            <w:vMerge/>
            <w:vAlign w:val="center"/>
          </w:tcPr>
          <w:p w14:paraId="4B3E4EBE"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834" w:type="dxa"/>
            <w:vAlign w:val="center"/>
          </w:tcPr>
          <w:p w14:paraId="305FA8D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≤0.01</w:t>
            </w:r>
          </w:p>
        </w:tc>
      </w:tr>
      <w:tr w:rsidR="009D12AF" w14:paraId="2A653A89" w14:textId="77777777">
        <w:trPr>
          <w:trHeight w:val="70"/>
          <w:jc w:val="center"/>
        </w:trPr>
        <w:tc>
          <w:tcPr>
            <w:tcW w:w="826" w:type="dxa"/>
            <w:vMerge/>
            <w:vAlign w:val="center"/>
          </w:tcPr>
          <w:p w14:paraId="3E7E4B65"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0E1F2FEB"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vAlign w:val="center"/>
          </w:tcPr>
          <w:p w14:paraId="5D7E161F"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汞</w:t>
            </w:r>
          </w:p>
        </w:tc>
        <w:tc>
          <w:tcPr>
            <w:tcW w:w="1113" w:type="dxa"/>
            <w:vMerge/>
            <w:vAlign w:val="center"/>
          </w:tcPr>
          <w:p w14:paraId="4923959A"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834" w:type="dxa"/>
            <w:vAlign w:val="center"/>
          </w:tcPr>
          <w:p w14:paraId="752F15D3"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≤0.001</w:t>
            </w:r>
          </w:p>
        </w:tc>
      </w:tr>
      <w:tr w:rsidR="009D12AF" w14:paraId="219DE9AB" w14:textId="77777777">
        <w:trPr>
          <w:trHeight w:val="194"/>
          <w:jc w:val="center"/>
        </w:trPr>
        <w:tc>
          <w:tcPr>
            <w:tcW w:w="826" w:type="dxa"/>
            <w:vMerge/>
            <w:vAlign w:val="center"/>
          </w:tcPr>
          <w:p w14:paraId="08836F6B"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35560096"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vAlign w:val="center"/>
          </w:tcPr>
          <w:p w14:paraId="3F61547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铅</w:t>
            </w:r>
          </w:p>
        </w:tc>
        <w:tc>
          <w:tcPr>
            <w:tcW w:w="1113" w:type="dxa"/>
            <w:vMerge/>
            <w:vAlign w:val="center"/>
          </w:tcPr>
          <w:p w14:paraId="13F2D24C"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834" w:type="dxa"/>
            <w:vAlign w:val="center"/>
          </w:tcPr>
          <w:p w14:paraId="657A586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≤0.01</w:t>
            </w:r>
          </w:p>
        </w:tc>
      </w:tr>
      <w:tr w:rsidR="009D12AF" w14:paraId="6D1EDCF7" w14:textId="77777777">
        <w:trPr>
          <w:trHeight w:val="302"/>
          <w:jc w:val="center"/>
        </w:trPr>
        <w:tc>
          <w:tcPr>
            <w:tcW w:w="826" w:type="dxa"/>
            <w:vMerge/>
            <w:vAlign w:val="center"/>
          </w:tcPr>
          <w:p w14:paraId="421A09D5"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7BF7F981"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vAlign w:val="center"/>
          </w:tcPr>
          <w:p w14:paraId="732BD4D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镉</w:t>
            </w:r>
          </w:p>
        </w:tc>
        <w:tc>
          <w:tcPr>
            <w:tcW w:w="1113" w:type="dxa"/>
            <w:vMerge/>
            <w:vAlign w:val="center"/>
          </w:tcPr>
          <w:p w14:paraId="7391AD4C"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834" w:type="dxa"/>
            <w:vAlign w:val="center"/>
          </w:tcPr>
          <w:p w14:paraId="36B2316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≤0.005</w:t>
            </w:r>
          </w:p>
        </w:tc>
      </w:tr>
      <w:tr w:rsidR="009D12AF" w14:paraId="62E7F0FA" w14:textId="77777777">
        <w:trPr>
          <w:trHeight w:val="194"/>
          <w:jc w:val="center"/>
        </w:trPr>
        <w:tc>
          <w:tcPr>
            <w:tcW w:w="826" w:type="dxa"/>
            <w:vMerge/>
            <w:vAlign w:val="center"/>
          </w:tcPr>
          <w:p w14:paraId="540FDCAD"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7F91B6E1"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vAlign w:val="center"/>
          </w:tcPr>
          <w:p w14:paraId="1421D45F"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总大肠菌群</w:t>
            </w:r>
          </w:p>
        </w:tc>
        <w:tc>
          <w:tcPr>
            <w:tcW w:w="1113" w:type="dxa"/>
            <w:vAlign w:val="center"/>
          </w:tcPr>
          <w:p w14:paraId="70DCF316"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MPN/100mL</w:t>
            </w:r>
          </w:p>
        </w:tc>
        <w:tc>
          <w:tcPr>
            <w:tcW w:w="2834" w:type="dxa"/>
            <w:vAlign w:val="center"/>
          </w:tcPr>
          <w:p w14:paraId="6766842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≤3.0</w:t>
            </w:r>
          </w:p>
        </w:tc>
      </w:tr>
      <w:tr w:rsidR="009D12AF" w14:paraId="1034235F" w14:textId="77777777">
        <w:trPr>
          <w:trHeight w:val="194"/>
          <w:jc w:val="center"/>
        </w:trPr>
        <w:tc>
          <w:tcPr>
            <w:tcW w:w="826" w:type="dxa"/>
            <w:vMerge/>
            <w:vAlign w:val="center"/>
          </w:tcPr>
          <w:p w14:paraId="7714A4D9"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709" w:type="dxa"/>
            <w:vMerge/>
            <w:vAlign w:val="center"/>
          </w:tcPr>
          <w:p w14:paraId="6E050699"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2037" w:type="dxa"/>
            <w:vAlign w:val="center"/>
          </w:tcPr>
          <w:p w14:paraId="51DB1FD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菌落群数</w:t>
            </w:r>
          </w:p>
        </w:tc>
        <w:tc>
          <w:tcPr>
            <w:tcW w:w="1113" w:type="dxa"/>
            <w:vAlign w:val="center"/>
          </w:tcPr>
          <w:p w14:paraId="5E60F8C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CFU/mL</w:t>
            </w:r>
          </w:p>
        </w:tc>
        <w:tc>
          <w:tcPr>
            <w:tcW w:w="2834" w:type="dxa"/>
            <w:vAlign w:val="center"/>
          </w:tcPr>
          <w:p w14:paraId="4934F8A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≤100</w:t>
            </w:r>
          </w:p>
        </w:tc>
      </w:tr>
    </w:tbl>
    <w:p w14:paraId="3B3D9AED" w14:textId="77777777" w:rsidR="009D12AF" w:rsidRDefault="00000000">
      <w:pPr>
        <w:ind w:firstLineChars="0" w:firstLine="0"/>
        <w:rPr>
          <w:b/>
          <w:bCs/>
          <w:sz w:val="21"/>
          <w:szCs w:val="21"/>
        </w:rPr>
      </w:pPr>
      <w:r>
        <w:rPr>
          <w:b/>
          <w:bCs/>
          <w:sz w:val="21"/>
          <w:szCs w:val="21"/>
        </w:rPr>
        <w:t>注：</w:t>
      </w:r>
      <w:r>
        <w:rPr>
          <w:b/>
          <w:bCs/>
          <w:sz w:val="21"/>
          <w:szCs w:val="21"/>
        </w:rPr>
        <w:t>K</w:t>
      </w:r>
      <w:r>
        <w:rPr>
          <w:b/>
          <w:bCs/>
          <w:sz w:val="21"/>
          <w:szCs w:val="21"/>
          <w:vertAlign w:val="superscript"/>
        </w:rPr>
        <w:t>+</w:t>
      </w:r>
      <w:r>
        <w:rPr>
          <w:b/>
          <w:bCs/>
          <w:sz w:val="21"/>
          <w:szCs w:val="21"/>
        </w:rPr>
        <w:t>、</w:t>
      </w:r>
      <w:r>
        <w:rPr>
          <w:b/>
          <w:bCs/>
          <w:sz w:val="21"/>
          <w:szCs w:val="21"/>
        </w:rPr>
        <w:t>Ca</w:t>
      </w:r>
      <w:r>
        <w:rPr>
          <w:b/>
          <w:bCs/>
          <w:sz w:val="21"/>
          <w:szCs w:val="21"/>
          <w:vertAlign w:val="superscript"/>
        </w:rPr>
        <w:t>2+</w:t>
      </w:r>
      <w:r>
        <w:rPr>
          <w:b/>
          <w:bCs/>
          <w:sz w:val="21"/>
          <w:szCs w:val="21"/>
        </w:rPr>
        <w:t>、</w:t>
      </w:r>
      <w:r>
        <w:rPr>
          <w:b/>
          <w:bCs/>
          <w:sz w:val="21"/>
          <w:szCs w:val="21"/>
        </w:rPr>
        <w:t>Mg</w:t>
      </w:r>
      <w:r>
        <w:rPr>
          <w:b/>
          <w:bCs/>
          <w:sz w:val="21"/>
          <w:szCs w:val="21"/>
          <w:vertAlign w:val="superscript"/>
        </w:rPr>
        <w:t>2+</w:t>
      </w:r>
      <w:r>
        <w:rPr>
          <w:b/>
          <w:bCs/>
          <w:sz w:val="21"/>
          <w:szCs w:val="21"/>
        </w:rPr>
        <w:t>、</w:t>
      </w:r>
      <w:r>
        <w:rPr>
          <w:b/>
          <w:bCs/>
          <w:sz w:val="21"/>
          <w:szCs w:val="21"/>
        </w:rPr>
        <w:t>CO</w:t>
      </w:r>
      <w:r>
        <w:rPr>
          <w:b/>
          <w:bCs/>
          <w:sz w:val="21"/>
          <w:szCs w:val="21"/>
          <w:vertAlign w:val="subscript"/>
        </w:rPr>
        <w:t>3</w:t>
      </w:r>
      <w:r>
        <w:rPr>
          <w:b/>
          <w:bCs/>
          <w:sz w:val="21"/>
          <w:szCs w:val="21"/>
          <w:vertAlign w:val="superscript"/>
        </w:rPr>
        <w:t>2-</w:t>
      </w:r>
      <w:r>
        <w:rPr>
          <w:b/>
          <w:bCs/>
          <w:sz w:val="21"/>
          <w:szCs w:val="21"/>
        </w:rPr>
        <w:t>、</w:t>
      </w:r>
      <w:r>
        <w:rPr>
          <w:b/>
          <w:bCs/>
          <w:sz w:val="21"/>
          <w:szCs w:val="21"/>
        </w:rPr>
        <w:t>HCO</w:t>
      </w:r>
      <w:r>
        <w:rPr>
          <w:b/>
          <w:bCs/>
          <w:sz w:val="21"/>
          <w:szCs w:val="21"/>
          <w:vertAlign w:val="subscript"/>
        </w:rPr>
        <w:t>3</w:t>
      </w:r>
      <w:r>
        <w:rPr>
          <w:b/>
          <w:bCs/>
          <w:sz w:val="21"/>
          <w:szCs w:val="21"/>
          <w:vertAlign w:val="superscript"/>
        </w:rPr>
        <w:t>-</w:t>
      </w:r>
      <w:r>
        <w:rPr>
          <w:b/>
          <w:bCs/>
          <w:sz w:val="21"/>
          <w:szCs w:val="21"/>
        </w:rPr>
        <w:t>等离子无质量标准</w:t>
      </w:r>
      <w:r>
        <w:rPr>
          <w:rFonts w:hint="eastAsia"/>
          <w:b/>
          <w:bCs/>
          <w:sz w:val="21"/>
          <w:szCs w:val="21"/>
        </w:rPr>
        <w:t>。</w:t>
      </w:r>
    </w:p>
    <w:p w14:paraId="456D3E67" w14:textId="77777777" w:rsidR="009D12AF" w:rsidRDefault="00000000">
      <w:pPr>
        <w:ind w:firstLine="480"/>
      </w:pPr>
      <w:r>
        <w:t>（</w:t>
      </w:r>
      <w:r>
        <w:t>4</w:t>
      </w:r>
      <w:r>
        <w:t>）地表水</w:t>
      </w:r>
    </w:p>
    <w:p w14:paraId="0AFFDA20" w14:textId="77777777" w:rsidR="009D12AF" w:rsidRDefault="00000000">
      <w:pPr>
        <w:ind w:firstLine="480"/>
        <w:rPr>
          <w:color w:val="00B050"/>
          <w:highlight w:val="yellow"/>
        </w:rPr>
      </w:pPr>
      <w:r>
        <w:t>根据《全国重要江河湖泊水功能区划（</w:t>
      </w:r>
      <w:r>
        <w:t>2011-2030</w:t>
      </w:r>
      <w:r>
        <w:t>）》</w:t>
      </w:r>
      <w:r>
        <w:rPr>
          <w:rFonts w:hint="eastAsia"/>
        </w:rPr>
        <w:t>及《牡丹江市环境质量公报（</w:t>
      </w:r>
      <w:r>
        <w:rPr>
          <w:rFonts w:hint="eastAsia"/>
        </w:rPr>
        <w:t>2024</w:t>
      </w:r>
      <w:r>
        <w:rPr>
          <w:rFonts w:hint="eastAsia"/>
        </w:rPr>
        <w:t>年度）》可知</w:t>
      </w:r>
      <w:r>
        <w:t>，本项目评价水体海浪河海林市开发利用区水质类别执行《地表水环境质量标准》（</w:t>
      </w:r>
      <w:r>
        <w:t>GB3838-2002</w:t>
      </w:r>
      <w:r>
        <w:t>）中的</w:t>
      </w:r>
      <w:r>
        <w:t>Ⅲ</w:t>
      </w:r>
      <w:r>
        <w:t>类标准</w:t>
      </w:r>
      <w:r>
        <w:rPr>
          <w:rFonts w:hint="eastAsia"/>
        </w:rPr>
        <w:t>，牡丹江莲花湖自然保护区水质类别执行</w:t>
      </w:r>
      <w:r>
        <w:t>《地表水环境质量标准》（</w:t>
      </w:r>
      <w:r>
        <w:t>GB3838-2002</w:t>
      </w:r>
      <w:r>
        <w:t>）中的</w:t>
      </w:r>
      <w:r>
        <w:rPr>
          <w:rFonts w:hint="eastAsia"/>
        </w:rPr>
        <w:t>Ⅱ</w:t>
      </w:r>
      <w:r>
        <w:t>类标准。具体标准限值见表</w:t>
      </w:r>
      <w:r>
        <w:rPr>
          <w:rFonts w:hint="eastAsia"/>
        </w:rPr>
        <w:t>2.6-4</w:t>
      </w:r>
      <w:r>
        <w:t>。</w:t>
      </w:r>
    </w:p>
    <w:p w14:paraId="145FB5E6" w14:textId="77777777" w:rsidR="009D12AF" w:rsidRDefault="00000000">
      <w:pPr>
        <w:ind w:firstLineChars="0" w:firstLine="0"/>
        <w:jc w:val="center"/>
      </w:pPr>
      <w:r>
        <w:rPr>
          <w:b/>
          <w:bCs/>
        </w:rPr>
        <w:t>表</w:t>
      </w:r>
      <w:r>
        <w:rPr>
          <w:rFonts w:hint="eastAsia"/>
          <w:b/>
          <w:bCs/>
        </w:rPr>
        <w:t>2.6-4</w:t>
      </w:r>
      <w:r>
        <w:rPr>
          <w:b/>
          <w:bCs/>
        </w:rPr>
        <w:t>《地表水环境质量标准》（</w:t>
      </w:r>
      <w:r>
        <w:rPr>
          <w:b/>
          <w:bCs/>
        </w:rPr>
        <w:t>GB3838-2002</w:t>
      </w:r>
      <w:r>
        <w:rPr>
          <w:b/>
          <w:bCs/>
        </w:rPr>
        <w:t>）</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507"/>
        <w:gridCol w:w="1838"/>
        <w:gridCol w:w="1417"/>
        <w:gridCol w:w="725"/>
        <w:gridCol w:w="2016"/>
        <w:gridCol w:w="2016"/>
      </w:tblGrid>
      <w:tr w:rsidR="009D12AF" w14:paraId="0BCE11F1" w14:textId="77777777">
        <w:trPr>
          <w:trHeight w:val="194"/>
          <w:jc w:val="center"/>
        </w:trPr>
        <w:tc>
          <w:tcPr>
            <w:tcW w:w="363" w:type="pct"/>
            <w:vAlign w:val="center"/>
          </w:tcPr>
          <w:p w14:paraId="36D1FBD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环境要素</w:t>
            </w:r>
          </w:p>
        </w:tc>
        <w:tc>
          <w:tcPr>
            <w:tcW w:w="752" w:type="pct"/>
            <w:vAlign w:val="center"/>
          </w:tcPr>
          <w:p w14:paraId="30B7454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标准名称及级别</w:t>
            </w:r>
          </w:p>
        </w:tc>
        <w:tc>
          <w:tcPr>
            <w:tcW w:w="897" w:type="pct"/>
            <w:vAlign w:val="center"/>
          </w:tcPr>
          <w:p w14:paraId="01EA0E1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项目</w:t>
            </w:r>
          </w:p>
        </w:tc>
        <w:tc>
          <w:tcPr>
            <w:tcW w:w="490" w:type="pct"/>
            <w:vAlign w:val="center"/>
          </w:tcPr>
          <w:p w14:paraId="0B2B328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单位</w:t>
            </w:r>
          </w:p>
        </w:tc>
        <w:tc>
          <w:tcPr>
            <w:tcW w:w="1248" w:type="pct"/>
            <w:vAlign w:val="center"/>
          </w:tcPr>
          <w:p w14:paraId="133EBC1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标准值</w:t>
            </w:r>
            <w:r>
              <w:rPr>
                <w:rFonts w:ascii="Times New Roman" w:eastAsia="宋体" w:hAnsi="Times New Roman" w:cs="Times New Roman" w:hint="eastAsia"/>
                <w:snapToGrid w:val="0"/>
                <w:kern w:val="0"/>
                <w:sz w:val="21"/>
                <w:szCs w:val="16"/>
                <w:lang w:val="en-GB"/>
              </w:rPr>
              <w:t>（</w:t>
            </w:r>
            <w:r>
              <w:rPr>
                <w:rFonts w:ascii="Times New Roman" w:eastAsia="宋体" w:hAnsi="Times New Roman" w:cs="Times New Roman"/>
                <w:snapToGrid w:val="0"/>
                <w:kern w:val="0"/>
                <w:sz w:val="21"/>
                <w:szCs w:val="16"/>
                <w:lang w:val="en-GB"/>
              </w:rPr>
              <w:t>Ⅲ</w:t>
            </w:r>
            <w:r>
              <w:rPr>
                <w:rFonts w:ascii="Times New Roman" w:eastAsia="宋体" w:hAnsi="Times New Roman" w:cs="Times New Roman" w:hint="eastAsia"/>
                <w:snapToGrid w:val="0"/>
                <w:kern w:val="0"/>
                <w:sz w:val="21"/>
                <w:szCs w:val="16"/>
                <w:lang w:val="en-GB"/>
              </w:rPr>
              <w:t>）</w:t>
            </w:r>
          </w:p>
        </w:tc>
        <w:tc>
          <w:tcPr>
            <w:tcW w:w="1248" w:type="pct"/>
            <w:vAlign w:val="center"/>
          </w:tcPr>
          <w:p w14:paraId="68C294A9"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标准值</w:t>
            </w:r>
            <w:r>
              <w:rPr>
                <w:rFonts w:ascii="Times New Roman" w:eastAsia="宋体" w:hAnsi="Times New Roman" w:cs="Times New Roman" w:hint="eastAsia"/>
                <w:snapToGrid w:val="0"/>
                <w:kern w:val="0"/>
                <w:sz w:val="21"/>
                <w:szCs w:val="16"/>
                <w:lang w:val="en-GB"/>
              </w:rPr>
              <w:t>（</w:t>
            </w:r>
            <w:r>
              <w:rPr>
                <w:rFonts w:ascii="Times New Roman" w:eastAsia="宋体" w:hAnsi="Times New Roman" w:cs="Times New Roman" w:hint="eastAsia"/>
                <w:snapToGrid w:val="0"/>
                <w:kern w:val="0"/>
                <w:sz w:val="21"/>
                <w:szCs w:val="16"/>
              </w:rPr>
              <w:t>Ⅱ</w:t>
            </w:r>
            <w:r>
              <w:rPr>
                <w:rFonts w:ascii="Times New Roman" w:eastAsia="宋体" w:hAnsi="Times New Roman" w:cs="Times New Roman" w:hint="eastAsia"/>
                <w:snapToGrid w:val="0"/>
                <w:kern w:val="0"/>
                <w:sz w:val="21"/>
                <w:szCs w:val="16"/>
                <w:lang w:val="en-GB"/>
              </w:rPr>
              <w:t>）</w:t>
            </w:r>
          </w:p>
        </w:tc>
      </w:tr>
      <w:tr w:rsidR="009D12AF" w14:paraId="1E974B8E" w14:textId="77777777">
        <w:trPr>
          <w:trHeight w:val="194"/>
          <w:jc w:val="center"/>
        </w:trPr>
        <w:tc>
          <w:tcPr>
            <w:tcW w:w="363" w:type="pct"/>
            <w:vMerge w:val="restart"/>
            <w:vAlign w:val="center"/>
          </w:tcPr>
          <w:p w14:paraId="7B9313F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地表水环境</w:t>
            </w:r>
          </w:p>
        </w:tc>
        <w:tc>
          <w:tcPr>
            <w:tcW w:w="752" w:type="pct"/>
            <w:vMerge w:val="restart"/>
            <w:vAlign w:val="center"/>
          </w:tcPr>
          <w:p w14:paraId="54725E5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《地表水环境质量标准》（</w:t>
            </w:r>
            <w:r>
              <w:rPr>
                <w:rFonts w:ascii="Times New Roman" w:eastAsia="宋体" w:hAnsi="Times New Roman" w:cs="Times New Roman"/>
                <w:snapToGrid w:val="0"/>
                <w:kern w:val="0"/>
                <w:sz w:val="21"/>
                <w:szCs w:val="16"/>
                <w:lang w:val="en-GB"/>
              </w:rPr>
              <w:t>GB3838-2002</w:t>
            </w:r>
            <w:r>
              <w:rPr>
                <w:rFonts w:ascii="Times New Roman" w:eastAsia="宋体" w:hAnsi="Times New Roman" w:cs="Times New Roman"/>
                <w:snapToGrid w:val="0"/>
                <w:kern w:val="0"/>
                <w:sz w:val="21"/>
                <w:szCs w:val="16"/>
                <w:lang w:val="en-GB"/>
              </w:rPr>
              <w:t>）中</w:t>
            </w:r>
            <w:r>
              <w:rPr>
                <w:rFonts w:ascii="Times New Roman" w:eastAsia="宋体" w:hAnsi="Times New Roman" w:cs="Times New Roman"/>
                <w:snapToGrid w:val="0"/>
                <w:kern w:val="0"/>
                <w:sz w:val="21"/>
                <w:szCs w:val="16"/>
                <w:lang w:val="en-GB"/>
              </w:rPr>
              <w:t>Ⅲ</w:t>
            </w:r>
            <w:r>
              <w:rPr>
                <w:rFonts w:ascii="Times New Roman" w:eastAsia="宋体" w:hAnsi="Times New Roman" w:cs="Times New Roman"/>
                <w:snapToGrid w:val="0"/>
                <w:kern w:val="0"/>
                <w:sz w:val="21"/>
                <w:szCs w:val="16"/>
                <w:lang w:val="en-GB"/>
              </w:rPr>
              <w:t>类标准</w:t>
            </w:r>
          </w:p>
        </w:tc>
        <w:tc>
          <w:tcPr>
            <w:tcW w:w="897" w:type="pct"/>
            <w:vAlign w:val="center"/>
          </w:tcPr>
          <w:p w14:paraId="42995D69" w14:textId="77777777" w:rsidR="009D12AF" w:rsidRDefault="00000000">
            <w:pPr>
              <w:pStyle w:val="afb"/>
              <w:adjustRightInd w:val="0"/>
              <w:snapToGrid w:val="0"/>
              <w:ind w:firstLine="0"/>
              <w:rPr>
                <w:rFonts w:ascii="Times New Roman" w:eastAsia="宋体" w:hAnsi="Times New Roman"/>
                <w:snapToGrid w:val="0"/>
                <w:kern w:val="0"/>
                <w:szCs w:val="16"/>
                <w:lang w:val="en-GB"/>
              </w:rPr>
            </w:pPr>
            <w:r>
              <w:rPr>
                <w:rFonts w:eastAsia="宋体"/>
                <w:szCs w:val="21"/>
              </w:rPr>
              <w:t>pH</w:t>
            </w:r>
            <w:r>
              <w:rPr>
                <w:rFonts w:eastAsia="宋体"/>
                <w:szCs w:val="21"/>
              </w:rPr>
              <w:t>值（无量纲）</w:t>
            </w:r>
          </w:p>
        </w:tc>
        <w:tc>
          <w:tcPr>
            <w:tcW w:w="490" w:type="pct"/>
            <w:vAlign w:val="center"/>
          </w:tcPr>
          <w:p w14:paraId="10A1550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（无量纲）</w:t>
            </w:r>
          </w:p>
        </w:tc>
        <w:tc>
          <w:tcPr>
            <w:tcW w:w="1248" w:type="pct"/>
            <w:vAlign w:val="center"/>
          </w:tcPr>
          <w:p w14:paraId="18476C6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6-9</w:t>
            </w:r>
          </w:p>
        </w:tc>
        <w:tc>
          <w:tcPr>
            <w:tcW w:w="1248" w:type="pct"/>
            <w:vAlign w:val="center"/>
          </w:tcPr>
          <w:p w14:paraId="0717294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6-9</w:t>
            </w:r>
          </w:p>
        </w:tc>
      </w:tr>
      <w:tr w:rsidR="009D12AF" w14:paraId="07EF3675" w14:textId="77777777">
        <w:trPr>
          <w:trHeight w:val="194"/>
          <w:jc w:val="center"/>
        </w:trPr>
        <w:tc>
          <w:tcPr>
            <w:tcW w:w="363" w:type="pct"/>
            <w:vMerge/>
            <w:vAlign w:val="center"/>
          </w:tcPr>
          <w:p w14:paraId="2D3A5A5B"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32A931BF"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1FE63A50"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lang w:bidi="ar"/>
              </w:rPr>
              <w:t>高锰酸盐指数</w:t>
            </w:r>
            <w:r>
              <w:rPr>
                <w:sz w:val="21"/>
                <w:lang w:bidi="ar"/>
              </w:rPr>
              <w:t>≤</w:t>
            </w:r>
          </w:p>
        </w:tc>
        <w:tc>
          <w:tcPr>
            <w:tcW w:w="490" w:type="pct"/>
            <w:vMerge w:val="restart"/>
            <w:vAlign w:val="center"/>
          </w:tcPr>
          <w:p w14:paraId="5E57E54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mg/L</w:t>
            </w:r>
          </w:p>
        </w:tc>
        <w:tc>
          <w:tcPr>
            <w:tcW w:w="1248" w:type="pct"/>
            <w:vAlign w:val="center"/>
          </w:tcPr>
          <w:p w14:paraId="6D04BDC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6</w:t>
            </w:r>
          </w:p>
        </w:tc>
        <w:tc>
          <w:tcPr>
            <w:tcW w:w="1248" w:type="pct"/>
            <w:vAlign w:val="center"/>
          </w:tcPr>
          <w:p w14:paraId="69F21A7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4</w:t>
            </w:r>
          </w:p>
        </w:tc>
      </w:tr>
      <w:tr w:rsidR="009D12AF" w14:paraId="62FCEA94" w14:textId="77777777">
        <w:trPr>
          <w:trHeight w:val="194"/>
          <w:jc w:val="center"/>
        </w:trPr>
        <w:tc>
          <w:tcPr>
            <w:tcW w:w="363" w:type="pct"/>
            <w:vMerge/>
            <w:vAlign w:val="center"/>
          </w:tcPr>
          <w:p w14:paraId="7F08E271"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12E4153F"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530FBFAB"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lang w:bidi="ar"/>
              </w:rPr>
              <w:t>溶解氧</w:t>
            </w:r>
            <w:r>
              <w:rPr>
                <w:sz w:val="21"/>
                <w:lang w:bidi="ar"/>
              </w:rPr>
              <w:t>≥</w:t>
            </w:r>
          </w:p>
        </w:tc>
        <w:tc>
          <w:tcPr>
            <w:tcW w:w="490" w:type="pct"/>
            <w:vMerge/>
            <w:vAlign w:val="center"/>
          </w:tcPr>
          <w:p w14:paraId="1E38DC4A"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0667BC3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5</w:t>
            </w:r>
          </w:p>
        </w:tc>
        <w:tc>
          <w:tcPr>
            <w:tcW w:w="1248" w:type="pct"/>
            <w:vAlign w:val="center"/>
          </w:tcPr>
          <w:p w14:paraId="54ABEF0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6</w:t>
            </w:r>
          </w:p>
        </w:tc>
      </w:tr>
      <w:tr w:rsidR="009D12AF" w14:paraId="66F54CAD" w14:textId="77777777">
        <w:trPr>
          <w:trHeight w:val="194"/>
          <w:jc w:val="center"/>
        </w:trPr>
        <w:tc>
          <w:tcPr>
            <w:tcW w:w="363" w:type="pct"/>
            <w:vMerge/>
            <w:vAlign w:val="center"/>
          </w:tcPr>
          <w:p w14:paraId="1BC01B37"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33E0D297"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52FBBAE1"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lang w:bidi="ar"/>
              </w:rPr>
              <w:t>COD≤</w:t>
            </w:r>
          </w:p>
        </w:tc>
        <w:tc>
          <w:tcPr>
            <w:tcW w:w="490" w:type="pct"/>
            <w:vMerge/>
            <w:vAlign w:val="center"/>
          </w:tcPr>
          <w:p w14:paraId="1E3D2348"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2A7F36F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20</w:t>
            </w:r>
          </w:p>
        </w:tc>
        <w:tc>
          <w:tcPr>
            <w:tcW w:w="1248" w:type="pct"/>
            <w:vAlign w:val="center"/>
          </w:tcPr>
          <w:p w14:paraId="6D6C1883"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15</w:t>
            </w:r>
          </w:p>
        </w:tc>
      </w:tr>
      <w:tr w:rsidR="009D12AF" w14:paraId="28D0A941" w14:textId="77777777">
        <w:trPr>
          <w:trHeight w:val="194"/>
          <w:jc w:val="center"/>
        </w:trPr>
        <w:tc>
          <w:tcPr>
            <w:tcW w:w="363" w:type="pct"/>
            <w:vMerge/>
            <w:vAlign w:val="center"/>
          </w:tcPr>
          <w:p w14:paraId="6B8B890C"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63158965"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4C44C13B"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lang w:bidi="ar"/>
              </w:rPr>
              <w:t>BOD</w:t>
            </w:r>
            <w:r>
              <w:rPr>
                <w:sz w:val="21"/>
                <w:vertAlign w:val="subscript"/>
                <w:lang w:bidi="ar"/>
              </w:rPr>
              <w:t>5</w:t>
            </w:r>
            <w:r>
              <w:rPr>
                <w:sz w:val="21"/>
                <w:lang w:bidi="ar"/>
              </w:rPr>
              <w:t>≤</w:t>
            </w:r>
          </w:p>
        </w:tc>
        <w:tc>
          <w:tcPr>
            <w:tcW w:w="490" w:type="pct"/>
            <w:vMerge/>
            <w:vAlign w:val="center"/>
          </w:tcPr>
          <w:p w14:paraId="04B5D099"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4E10411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4</w:t>
            </w:r>
          </w:p>
        </w:tc>
        <w:tc>
          <w:tcPr>
            <w:tcW w:w="1248" w:type="pct"/>
            <w:vAlign w:val="center"/>
          </w:tcPr>
          <w:p w14:paraId="609E027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3</w:t>
            </w:r>
          </w:p>
        </w:tc>
      </w:tr>
      <w:tr w:rsidR="009D12AF" w14:paraId="20C91ED1" w14:textId="77777777">
        <w:trPr>
          <w:trHeight w:val="194"/>
          <w:jc w:val="center"/>
        </w:trPr>
        <w:tc>
          <w:tcPr>
            <w:tcW w:w="363" w:type="pct"/>
            <w:vMerge/>
            <w:vAlign w:val="center"/>
          </w:tcPr>
          <w:p w14:paraId="67F9F448"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bookmarkStart w:id="105" w:name="_Toc24203"/>
            <w:bookmarkStart w:id="106" w:name="_Toc31413"/>
            <w:bookmarkStart w:id="107" w:name="_Toc15387"/>
          </w:p>
        </w:tc>
        <w:tc>
          <w:tcPr>
            <w:tcW w:w="752" w:type="pct"/>
            <w:vMerge/>
            <w:vAlign w:val="center"/>
          </w:tcPr>
          <w:p w14:paraId="7B1D6DE8"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330E51DF"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lang w:bidi="ar"/>
              </w:rPr>
              <w:t>氨氮</w:t>
            </w:r>
            <w:r>
              <w:rPr>
                <w:sz w:val="21"/>
              </w:rPr>
              <w:t>≤</w:t>
            </w:r>
          </w:p>
        </w:tc>
        <w:tc>
          <w:tcPr>
            <w:tcW w:w="490" w:type="pct"/>
            <w:vMerge/>
            <w:vAlign w:val="center"/>
          </w:tcPr>
          <w:p w14:paraId="4767A3C4"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6E02622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1.0</w:t>
            </w:r>
          </w:p>
        </w:tc>
        <w:tc>
          <w:tcPr>
            <w:tcW w:w="1248" w:type="pct"/>
            <w:vAlign w:val="center"/>
          </w:tcPr>
          <w:p w14:paraId="6C7D5F9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0.5</w:t>
            </w:r>
          </w:p>
        </w:tc>
      </w:tr>
      <w:tr w:rsidR="009D12AF" w14:paraId="7FDF1B1E" w14:textId="77777777">
        <w:trPr>
          <w:trHeight w:val="194"/>
          <w:jc w:val="center"/>
        </w:trPr>
        <w:tc>
          <w:tcPr>
            <w:tcW w:w="363" w:type="pct"/>
            <w:vMerge/>
            <w:vAlign w:val="center"/>
          </w:tcPr>
          <w:p w14:paraId="5EAFEE3F"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1E53DB2E"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120C2398"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lang w:bidi="ar"/>
              </w:rPr>
              <w:t>总磷</w:t>
            </w:r>
            <w:r>
              <w:rPr>
                <w:sz w:val="21"/>
              </w:rPr>
              <w:t>≤</w:t>
            </w:r>
          </w:p>
        </w:tc>
        <w:tc>
          <w:tcPr>
            <w:tcW w:w="490" w:type="pct"/>
            <w:vMerge/>
            <w:vAlign w:val="center"/>
          </w:tcPr>
          <w:p w14:paraId="76BE3450"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79E9E6C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0.2</w:t>
            </w:r>
            <w:r>
              <w:rPr>
                <w:rFonts w:ascii="Times New Roman" w:eastAsia="宋体" w:hAnsi="Times New Roman" w:cs="Times New Roman" w:hint="eastAsia"/>
                <w:snapToGrid w:val="0"/>
                <w:kern w:val="0"/>
                <w:sz w:val="21"/>
                <w:szCs w:val="16"/>
                <w:lang w:val="en-GB"/>
              </w:rPr>
              <w:t>（</w:t>
            </w:r>
            <w:r>
              <w:rPr>
                <w:rFonts w:ascii="Times New Roman" w:eastAsia="宋体" w:hAnsi="Times New Roman" w:cs="Times New Roman" w:hint="eastAsia"/>
                <w:snapToGrid w:val="0"/>
                <w:kern w:val="0"/>
                <w:sz w:val="21"/>
                <w:szCs w:val="16"/>
              </w:rPr>
              <w:t>湖库</w:t>
            </w:r>
            <w:r>
              <w:rPr>
                <w:rFonts w:ascii="Times New Roman" w:eastAsia="宋体" w:hAnsi="Times New Roman" w:cs="Times New Roman" w:hint="eastAsia"/>
                <w:snapToGrid w:val="0"/>
                <w:kern w:val="0"/>
                <w:sz w:val="21"/>
                <w:szCs w:val="16"/>
              </w:rPr>
              <w:t>0.05</w:t>
            </w:r>
            <w:r>
              <w:rPr>
                <w:rFonts w:ascii="Times New Roman" w:eastAsia="宋体" w:hAnsi="Times New Roman" w:cs="Times New Roman" w:hint="eastAsia"/>
                <w:snapToGrid w:val="0"/>
                <w:kern w:val="0"/>
                <w:sz w:val="21"/>
                <w:szCs w:val="16"/>
                <w:lang w:val="en-GB"/>
              </w:rPr>
              <w:t>）</w:t>
            </w:r>
          </w:p>
        </w:tc>
        <w:tc>
          <w:tcPr>
            <w:tcW w:w="1248" w:type="pct"/>
            <w:vAlign w:val="center"/>
          </w:tcPr>
          <w:p w14:paraId="1D4875E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0.1</w:t>
            </w:r>
            <w:r>
              <w:rPr>
                <w:rFonts w:ascii="Times New Roman" w:eastAsia="宋体" w:hAnsi="Times New Roman" w:cs="Times New Roman" w:hint="eastAsia"/>
                <w:snapToGrid w:val="0"/>
                <w:kern w:val="0"/>
                <w:sz w:val="21"/>
                <w:szCs w:val="16"/>
              </w:rPr>
              <w:t>（湖库</w:t>
            </w:r>
            <w:r>
              <w:rPr>
                <w:rFonts w:ascii="Times New Roman" w:eastAsia="宋体" w:hAnsi="Times New Roman" w:cs="Times New Roman" w:hint="eastAsia"/>
                <w:snapToGrid w:val="0"/>
                <w:kern w:val="0"/>
                <w:sz w:val="21"/>
                <w:szCs w:val="16"/>
              </w:rPr>
              <w:t>0.025</w:t>
            </w:r>
            <w:r>
              <w:rPr>
                <w:rFonts w:ascii="Times New Roman" w:eastAsia="宋体" w:hAnsi="Times New Roman" w:cs="Times New Roman" w:hint="eastAsia"/>
                <w:snapToGrid w:val="0"/>
                <w:kern w:val="0"/>
                <w:sz w:val="21"/>
                <w:szCs w:val="16"/>
              </w:rPr>
              <w:t>）</w:t>
            </w:r>
          </w:p>
        </w:tc>
      </w:tr>
      <w:tr w:rsidR="009D12AF" w14:paraId="18F360C9" w14:textId="77777777">
        <w:trPr>
          <w:trHeight w:val="194"/>
          <w:jc w:val="center"/>
        </w:trPr>
        <w:tc>
          <w:tcPr>
            <w:tcW w:w="363" w:type="pct"/>
            <w:vMerge/>
            <w:vAlign w:val="center"/>
          </w:tcPr>
          <w:p w14:paraId="2D203AB2"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48788E9D"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5403EF9B"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lang w:bidi="ar"/>
              </w:rPr>
              <w:t>总氮</w:t>
            </w:r>
            <w:r>
              <w:rPr>
                <w:sz w:val="21"/>
              </w:rPr>
              <w:t>≤</w:t>
            </w:r>
          </w:p>
        </w:tc>
        <w:tc>
          <w:tcPr>
            <w:tcW w:w="490" w:type="pct"/>
            <w:vMerge/>
            <w:vAlign w:val="center"/>
          </w:tcPr>
          <w:p w14:paraId="360BED98"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02A6A35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1.0</w:t>
            </w:r>
          </w:p>
        </w:tc>
        <w:tc>
          <w:tcPr>
            <w:tcW w:w="1248" w:type="pct"/>
            <w:vAlign w:val="center"/>
          </w:tcPr>
          <w:p w14:paraId="4DD5AA4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0.5</w:t>
            </w:r>
          </w:p>
        </w:tc>
      </w:tr>
      <w:tr w:rsidR="009D12AF" w14:paraId="01A08160" w14:textId="77777777">
        <w:trPr>
          <w:trHeight w:val="194"/>
          <w:jc w:val="center"/>
        </w:trPr>
        <w:tc>
          <w:tcPr>
            <w:tcW w:w="363" w:type="pct"/>
            <w:vMerge/>
            <w:vAlign w:val="center"/>
          </w:tcPr>
          <w:p w14:paraId="4BD4BF75"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3BC1CD70"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14F304AD"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rPr>
              <w:t>铜</w:t>
            </w:r>
            <w:r>
              <w:rPr>
                <w:sz w:val="21"/>
              </w:rPr>
              <w:t>≤</w:t>
            </w:r>
          </w:p>
        </w:tc>
        <w:tc>
          <w:tcPr>
            <w:tcW w:w="490" w:type="pct"/>
            <w:vMerge/>
            <w:vAlign w:val="center"/>
          </w:tcPr>
          <w:p w14:paraId="4A072329"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0EDCAC39"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1.0</w:t>
            </w:r>
          </w:p>
        </w:tc>
        <w:tc>
          <w:tcPr>
            <w:tcW w:w="1248" w:type="pct"/>
            <w:vAlign w:val="center"/>
          </w:tcPr>
          <w:p w14:paraId="42C7AF6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1.0</w:t>
            </w:r>
          </w:p>
        </w:tc>
      </w:tr>
      <w:tr w:rsidR="009D12AF" w14:paraId="7F2F800A" w14:textId="77777777">
        <w:trPr>
          <w:trHeight w:val="194"/>
          <w:jc w:val="center"/>
        </w:trPr>
        <w:tc>
          <w:tcPr>
            <w:tcW w:w="363" w:type="pct"/>
            <w:vMerge/>
            <w:vAlign w:val="center"/>
          </w:tcPr>
          <w:p w14:paraId="058FDE86"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7B587951"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0C331E6F"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rPr>
              <w:t>锌</w:t>
            </w:r>
            <w:r>
              <w:rPr>
                <w:sz w:val="21"/>
              </w:rPr>
              <w:t>≤</w:t>
            </w:r>
          </w:p>
        </w:tc>
        <w:tc>
          <w:tcPr>
            <w:tcW w:w="490" w:type="pct"/>
            <w:vMerge/>
            <w:vAlign w:val="center"/>
          </w:tcPr>
          <w:p w14:paraId="2023423F"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03B12E0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1.0</w:t>
            </w:r>
          </w:p>
        </w:tc>
        <w:tc>
          <w:tcPr>
            <w:tcW w:w="1248" w:type="pct"/>
            <w:vAlign w:val="center"/>
          </w:tcPr>
          <w:p w14:paraId="3F3F6C6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1.0</w:t>
            </w:r>
          </w:p>
        </w:tc>
      </w:tr>
      <w:tr w:rsidR="009D12AF" w14:paraId="3BA98ECA" w14:textId="77777777">
        <w:trPr>
          <w:trHeight w:val="194"/>
          <w:jc w:val="center"/>
        </w:trPr>
        <w:tc>
          <w:tcPr>
            <w:tcW w:w="363" w:type="pct"/>
            <w:vMerge/>
            <w:vAlign w:val="center"/>
          </w:tcPr>
          <w:p w14:paraId="5C4FF5CB"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029557D3"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3656DC6C"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lang w:bidi="ar"/>
              </w:rPr>
              <w:t>氟化物</w:t>
            </w:r>
            <w:r>
              <w:rPr>
                <w:sz w:val="21"/>
              </w:rPr>
              <w:t>≤</w:t>
            </w:r>
          </w:p>
        </w:tc>
        <w:tc>
          <w:tcPr>
            <w:tcW w:w="490" w:type="pct"/>
            <w:vMerge/>
            <w:vAlign w:val="center"/>
          </w:tcPr>
          <w:p w14:paraId="3D52D981"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2E6EF22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1.0</w:t>
            </w:r>
          </w:p>
        </w:tc>
        <w:tc>
          <w:tcPr>
            <w:tcW w:w="1248" w:type="pct"/>
            <w:vAlign w:val="center"/>
          </w:tcPr>
          <w:p w14:paraId="714D405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1.0</w:t>
            </w:r>
          </w:p>
        </w:tc>
      </w:tr>
      <w:tr w:rsidR="009D12AF" w14:paraId="09AF8B37" w14:textId="77777777">
        <w:trPr>
          <w:trHeight w:val="194"/>
          <w:jc w:val="center"/>
        </w:trPr>
        <w:tc>
          <w:tcPr>
            <w:tcW w:w="363" w:type="pct"/>
            <w:vMerge/>
            <w:vAlign w:val="center"/>
          </w:tcPr>
          <w:p w14:paraId="72D79EBE"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54F1C42D"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59FFD494"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lang w:bidi="ar"/>
              </w:rPr>
              <w:t>硒</w:t>
            </w:r>
            <w:r>
              <w:rPr>
                <w:sz w:val="21"/>
              </w:rPr>
              <w:t>≤</w:t>
            </w:r>
          </w:p>
        </w:tc>
        <w:tc>
          <w:tcPr>
            <w:tcW w:w="490" w:type="pct"/>
            <w:vMerge/>
            <w:vAlign w:val="center"/>
          </w:tcPr>
          <w:p w14:paraId="468B10A0"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6009A250"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0.01</w:t>
            </w:r>
          </w:p>
        </w:tc>
        <w:tc>
          <w:tcPr>
            <w:tcW w:w="1248" w:type="pct"/>
            <w:vAlign w:val="center"/>
          </w:tcPr>
          <w:p w14:paraId="6CA4CF3F"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0.01</w:t>
            </w:r>
          </w:p>
        </w:tc>
      </w:tr>
      <w:tr w:rsidR="009D12AF" w14:paraId="39888A2E" w14:textId="77777777">
        <w:trPr>
          <w:trHeight w:val="194"/>
          <w:jc w:val="center"/>
        </w:trPr>
        <w:tc>
          <w:tcPr>
            <w:tcW w:w="363" w:type="pct"/>
            <w:vMerge/>
            <w:vAlign w:val="center"/>
          </w:tcPr>
          <w:p w14:paraId="2E7C830A"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79BBEA1A"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3910CE9F"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lang w:bidi="ar"/>
              </w:rPr>
              <w:t>砷</w:t>
            </w:r>
            <w:r>
              <w:rPr>
                <w:sz w:val="21"/>
              </w:rPr>
              <w:t>≤</w:t>
            </w:r>
          </w:p>
        </w:tc>
        <w:tc>
          <w:tcPr>
            <w:tcW w:w="490" w:type="pct"/>
            <w:vMerge/>
            <w:vAlign w:val="center"/>
          </w:tcPr>
          <w:p w14:paraId="54D3883F"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521EB499"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0.05</w:t>
            </w:r>
          </w:p>
        </w:tc>
        <w:tc>
          <w:tcPr>
            <w:tcW w:w="1248" w:type="pct"/>
            <w:vAlign w:val="center"/>
          </w:tcPr>
          <w:p w14:paraId="7F03380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0.05</w:t>
            </w:r>
          </w:p>
        </w:tc>
      </w:tr>
      <w:tr w:rsidR="009D12AF" w14:paraId="1B5881B1" w14:textId="77777777">
        <w:trPr>
          <w:trHeight w:val="194"/>
          <w:jc w:val="center"/>
        </w:trPr>
        <w:tc>
          <w:tcPr>
            <w:tcW w:w="363" w:type="pct"/>
            <w:vMerge/>
            <w:vAlign w:val="center"/>
          </w:tcPr>
          <w:p w14:paraId="4629DE74"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4F47D684"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11FD5FA5"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lang w:bidi="ar"/>
              </w:rPr>
              <w:t>汞</w:t>
            </w:r>
            <w:r>
              <w:rPr>
                <w:sz w:val="21"/>
              </w:rPr>
              <w:t>≤</w:t>
            </w:r>
          </w:p>
        </w:tc>
        <w:tc>
          <w:tcPr>
            <w:tcW w:w="490" w:type="pct"/>
            <w:vMerge/>
            <w:vAlign w:val="center"/>
          </w:tcPr>
          <w:p w14:paraId="404B00AD"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1865CE7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0.0001</w:t>
            </w:r>
          </w:p>
        </w:tc>
        <w:tc>
          <w:tcPr>
            <w:tcW w:w="1248" w:type="pct"/>
            <w:vAlign w:val="center"/>
          </w:tcPr>
          <w:p w14:paraId="14AF122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0.00005</w:t>
            </w:r>
          </w:p>
        </w:tc>
      </w:tr>
      <w:tr w:rsidR="009D12AF" w14:paraId="54A3EA0E" w14:textId="77777777">
        <w:trPr>
          <w:trHeight w:val="194"/>
          <w:jc w:val="center"/>
        </w:trPr>
        <w:tc>
          <w:tcPr>
            <w:tcW w:w="363" w:type="pct"/>
            <w:vMerge/>
            <w:vAlign w:val="center"/>
          </w:tcPr>
          <w:p w14:paraId="2D743220"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5DB3D2C2"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56A95436"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lang w:bidi="ar"/>
              </w:rPr>
              <w:t>镉</w:t>
            </w:r>
            <w:r>
              <w:rPr>
                <w:sz w:val="21"/>
              </w:rPr>
              <w:t>≤</w:t>
            </w:r>
          </w:p>
        </w:tc>
        <w:tc>
          <w:tcPr>
            <w:tcW w:w="490" w:type="pct"/>
            <w:vMerge/>
            <w:vAlign w:val="center"/>
          </w:tcPr>
          <w:p w14:paraId="39107F7F"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48F809D9"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0.005</w:t>
            </w:r>
          </w:p>
        </w:tc>
        <w:tc>
          <w:tcPr>
            <w:tcW w:w="1248" w:type="pct"/>
            <w:vAlign w:val="center"/>
          </w:tcPr>
          <w:p w14:paraId="6E9E941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0.005</w:t>
            </w:r>
          </w:p>
        </w:tc>
      </w:tr>
      <w:tr w:rsidR="009D12AF" w14:paraId="3F639DF6" w14:textId="77777777">
        <w:trPr>
          <w:trHeight w:val="194"/>
          <w:jc w:val="center"/>
        </w:trPr>
        <w:tc>
          <w:tcPr>
            <w:tcW w:w="363" w:type="pct"/>
            <w:vMerge/>
            <w:vAlign w:val="center"/>
          </w:tcPr>
          <w:p w14:paraId="2F5701D0"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37ED6387"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290FF927"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lang w:bidi="ar"/>
              </w:rPr>
              <w:t>铬（六价）</w:t>
            </w:r>
            <w:r>
              <w:rPr>
                <w:sz w:val="21"/>
              </w:rPr>
              <w:t>≤</w:t>
            </w:r>
          </w:p>
        </w:tc>
        <w:tc>
          <w:tcPr>
            <w:tcW w:w="490" w:type="pct"/>
            <w:vMerge/>
            <w:vAlign w:val="center"/>
          </w:tcPr>
          <w:p w14:paraId="64D60F1A"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030E52A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0.05</w:t>
            </w:r>
          </w:p>
        </w:tc>
        <w:tc>
          <w:tcPr>
            <w:tcW w:w="1248" w:type="pct"/>
            <w:vAlign w:val="center"/>
          </w:tcPr>
          <w:p w14:paraId="5785B45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0.05</w:t>
            </w:r>
          </w:p>
        </w:tc>
      </w:tr>
      <w:tr w:rsidR="009D12AF" w14:paraId="64DB45B9" w14:textId="77777777">
        <w:trPr>
          <w:trHeight w:val="194"/>
          <w:jc w:val="center"/>
        </w:trPr>
        <w:tc>
          <w:tcPr>
            <w:tcW w:w="363" w:type="pct"/>
            <w:vMerge/>
            <w:vAlign w:val="center"/>
          </w:tcPr>
          <w:p w14:paraId="6BAFAD9F"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4DA4A300"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400E02C1"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lang w:bidi="ar"/>
              </w:rPr>
              <w:t>铅</w:t>
            </w:r>
            <w:r>
              <w:rPr>
                <w:sz w:val="21"/>
              </w:rPr>
              <w:t>≤</w:t>
            </w:r>
          </w:p>
        </w:tc>
        <w:tc>
          <w:tcPr>
            <w:tcW w:w="490" w:type="pct"/>
            <w:vMerge/>
            <w:vAlign w:val="center"/>
          </w:tcPr>
          <w:p w14:paraId="748C7216"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4B01BD3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0.05</w:t>
            </w:r>
          </w:p>
        </w:tc>
        <w:tc>
          <w:tcPr>
            <w:tcW w:w="1248" w:type="pct"/>
            <w:vAlign w:val="center"/>
          </w:tcPr>
          <w:p w14:paraId="1CC5A1C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0.01</w:t>
            </w:r>
          </w:p>
        </w:tc>
      </w:tr>
      <w:tr w:rsidR="009D12AF" w14:paraId="30D9F594" w14:textId="77777777">
        <w:trPr>
          <w:trHeight w:val="194"/>
          <w:jc w:val="center"/>
        </w:trPr>
        <w:tc>
          <w:tcPr>
            <w:tcW w:w="363" w:type="pct"/>
            <w:vMerge/>
            <w:vAlign w:val="center"/>
          </w:tcPr>
          <w:p w14:paraId="4B0EB787"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0EA39069"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33E7C1DF"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lang w:bidi="ar"/>
              </w:rPr>
              <w:t>氰化物</w:t>
            </w:r>
            <w:r>
              <w:rPr>
                <w:sz w:val="21"/>
              </w:rPr>
              <w:t>≤</w:t>
            </w:r>
          </w:p>
        </w:tc>
        <w:tc>
          <w:tcPr>
            <w:tcW w:w="490" w:type="pct"/>
            <w:vMerge/>
            <w:vAlign w:val="center"/>
          </w:tcPr>
          <w:p w14:paraId="5D05448D"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2E23CC6F"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0.2</w:t>
            </w:r>
          </w:p>
        </w:tc>
        <w:tc>
          <w:tcPr>
            <w:tcW w:w="1248" w:type="pct"/>
            <w:vAlign w:val="center"/>
          </w:tcPr>
          <w:p w14:paraId="2E6697C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0.05</w:t>
            </w:r>
          </w:p>
        </w:tc>
      </w:tr>
      <w:tr w:rsidR="009D12AF" w14:paraId="2FBD69DA" w14:textId="77777777">
        <w:trPr>
          <w:trHeight w:val="194"/>
          <w:jc w:val="center"/>
        </w:trPr>
        <w:tc>
          <w:tcPr>
            <w:tcW w:w="363" w:type="pct"/>
            <w:vMerge/>
            <w:vAlign w:val="center"/>
          </w:tcPr>
          <w:p w14:paraId="34AEF666"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372F7368"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326B3A25"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lang w:bidi="ar"/>
              </w:rPr>
              <w:t>挥发酚</w:t>
            </w:r>
            <w:r>
              <w:rPr>
                <w:sz w:val="21"/>
              </w:rPr>
              <w:t>≤</w:t>
            </w:r>
          </w:p>
        </w:tc>
        <w:tc>
          <w:tcPr>
            <w:tcW w:w="490" w:type="pct"/>
            <w:vMerge/>
            <w:vAlign w:val="center"/>
          </w:tcPr>
          <w:p w14:paraId="56A25D5B"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2DE4439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0.005</w:t>
            </w:r>
          </w:p>
        </w:tc>
        <w:tc>
          <w:tcPr>
            <w:tcW w:w="1248" w:type="pct"/>
            <w:vAlign w:val="center"/>
          </w:tcPr>
          <w:p w14:paraId="29013E3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0.002</w:t>
            </w:r>
          </w:p>
        </w:tc>
      </w:tr>
      <w:tr w:rsidR="009D12AF" w14:paraId="6BD9433E" w14:textId="77777777">
        <w:trPr>
          <w:trHeight w:val="194"/>
          <w:jc w:val="center"/>
        </w:trPr>
        <w:tc>
          <w:tcPr>
            <w:tcW w:w="363" w:type="pct"/>
            <w:vMerge/>
            <w:vAlign w:val="center"/>
          </w:tcPr>
          <w:p w14:paraId="109292CF"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6216D508"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20F778D6"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lang w:bidi="ar"/>
              </w:rPr>
              <w:t>石油类</w:t>
            </w:r>
            <w:r>
              <w:rPr>
                <w:sz w:val="21"/>
              </w:rPr>
              <w:t>≤</w:t>
            </w:r>
          </w:p>
        </w:tc>
        <w:tc>
          <w:tcPr>
            <w:tcW w:w="490" w:type="pct"/>
            <w:vMerge/>
            <w:vAlign w:val="center"/>
          </w:tcPr>
          <w:p w14:paraId="50E376EB"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4155F2A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0.05</w:t>
            </w:r>
          </w:p>
        </w:tc>
        <w:tc>
          <w:tcPr>
            <w:tcW w:w="1248" w:type="pct"/>
            <w:vAlign w:val="center"/>
          </w:tcPr>
          <w:p w14:paraId="194AF65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0.05</w:t>
            </w:r>
          </w:p>
        </w:tc>
      </w:tr>
      <w:tr w:rsidR="009D12AF" w14:paraId="533975CD" w14:textId="77777777">
        <w:trPr>
          <w:trHeight w:val="194"/>
          <w:jc w:val="center"/>
        </w:trPr>
        <w:tc>
          <w:tcPr>
            <w:tcW w:w="363" w:type="pct"/>
            <w:vMerge/>
            <w:vAlign w:val="center"/>
          </w:tcPr>
          <w:p w14:paraId="08F580FC"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4D6206E8"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44AFD76F"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lang w:bidi="ar"/>
              </w:rPr>
              <w:t>阴离子表面活性剂</w:t>
            </w:r>
            <w:r>
              <w:rPr>
                <w:sz w:val="21"/>
              </w:rPr>
              <w:t>≤</w:t>
            </w:r>
          </w:p>
        </w:tc>
        <w:tc>
          <w:tcPr>
            <w:tcW w:w="490" w:type="pct"/>
            <w:vMerge/>
            <w:vAlign w:val="center"/>
          </w:tcPr>
          <w:p w14:paraId="28E89F68"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7F3829B3"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0.2</w:t>
            </w:r>
          </w:p>
        </w:tc>
        <w:tc>
          <w:tcPr>
            <w:tcW w:w="1248" w:type="pct"/>
            <w:vAlign w:val="center"/>
          </w:tcPr>
          <w:p w14:paraId="28A4BED3"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0.2</w:t>
            </w:r>
          </w:p>
        </w:tc>
      </w:tr>
      <w:tr w:rsidR="009D12AF" w14:paraId="559614A9" w14:textId="77777777">
        <w:trPr>
          <w:trHeight w:val="194"/>
          <w:jc w:val="center"/>
        </w:trPr>
        <w:tc>
          <w:tcPr>
            <w:tcW w:w="363" w:type="pct"/>
            <w:vMerge/>
            <w:vAlign w:val="center"/>
          </w:tcPr>
          <w:p w14:paraId="5E690872"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7E75E87C"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0C64CC8B" w14:textId="77777777" w:rsidR="009D12AF" w:rsidRDefault="00000000">
            <w:pPr>
              <w:adjustRightInd w:val="0"/>
              <w:snapToGrid w:val="0"/>
              <w:spacing w:line="240" w:lineRule="auto"/>
              <w:ind w:firstLineChars="0" w:firstLine="0"/>
              <w:jc w:val="center"/>
              <w:rPr>
                <w:rFonts w:ascii="Times New Roman" w:eastAsia="宋体" w:hAnsi="Times New Roman" w:cs="Times New Roman"/>
                <w:snapToGrid w:val="0"/>
                <w:kern w:val="0"/>
                <w:sz w:val="21"/>
                <w:szCs w:val="16"/>
                <w:lang w:val="en-GB"/>
              </w:rPr>
            </w:pPr>
            <w:r>
              <w:rPr>
                <w:sz w:val="21"/>
                <w:lang w:bidi="ar"/>
              </w:rPr>
              <w:t>硫化物</w:t>
            </w:r>
            <w:r>
              <w:rPr>
                <w:sz w:val="21"/>
              </w:rPr>
              <w:t>≤</w:t>
            </w:r>
          </w:p>
        </w:tc>
        <w:tc>
          <w:tcPr>
            <w:tcW w:w="490" w:type="pct"/>
            <w:vMerge/>
            <w:vAlign w:val="center"/>
          </w:tcPr>
          <w:p w14:paraId="1207AEC4"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1248" w:type="pct"/>
            <w:vAlign w:val="center"/>
          </w:tcPr>
          <w:p w14:paraId="4BC8468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0.2</w:t>
            </w:r>
          </w:p>
        </w:tc>
        <w:tc>
          <w:tcPr>
            <w:tcW w:w="1248" w:type="pct"/>
            <w:vAlign w:val="center"/>
          </w:tcPr>
          <w:p w14:paraId="5D45B0A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0.1</w:t>
            </w:r>
          </w:p>
        </w:tc>
      </w:tr>
      <w:tr w:rsidR="009D12AF" w14:paraId="53F37A85" w14:textId="77777777">
        <w:trPr>
          <w:trHeight w:val="194"/>
          <w:jc w:val="center"/>
        </w:trPr>
        <w:tc>
          <w:tcPr>
            <w:tcW w:w="363" w:type="pct"/>
            <w:vMerge/>
            <w:vAlign w:val="center"/>
          </w:tcPr>
          <w:p w14:paraId="79A3811D"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752" w:type="pct"/>
            <w:vMerge/>
            <w:vAlign w:val="center"/>
          </w:tcPr>
          <w:p w14:paraId="109D410E"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897" w:type="pct"/>
            <w:vAlign w:val="center"/>
          </w:tcPr>
          <w:p w14:paraId="7BD571F3" w14:textId="77777777" w:rsidR="009D12AF" w:rsidRDefault="00000000">
            <w:pPr>
              <w:adjustRightInd w:val="0"/>
              <w:snapToGrid w:val="0"/>
              <w:spacing w:line="240" w:lineRule="auto"/>
              <w:ind w:firstLineChars="0" w:firstLine="0"/>
              <w:rPr>
                <w:sz w:val="21"/>
                <w:lang w:bidi="ar"/>
              </w:rPr>
            </w:pPr>
            <w:r>
              <w:rPr>
                <w:sz w:val="21"/>
                <w:lang w:bidi="ar"/>
              </w:rPr>
              <w:t>粪大肠菌群</w:t>
            </w:r>
            <w:r>
              <w:rPr>
                <w:sz w:val="21"/>
              </w:rPr>
              <w:t>≤</w:t>
            </w:r>
          </w:p>
        </w:tc>
        <w:tc>
          <w:tcPr>
            <w:tcW w:w="490" w:type="pct"/>
            <w:vAlign w:val="center"/>
          </w:tcPr>
          <w:p w14:paraId="46817C80" w14:textId="77777777" w:rsidR="009D12AF" w:rsidRDefault="00000000">
            <w:pPr>
              <w:pStyle w:val="af3"/>
              <w:adjustRightInd w:val="0"/>
              <w:snapToGrid w:val="0"/>
              <w:spacing w:line="240" w:lineRule="auto"/>
              <w:rPr>
                <w:rFonts w:ascii="Times New Roman" w:eastAsia="宋体" w:hAnsi="Times New Roman"/>
                <w:snapToGrid w:val="0"/>
                <w:kern w:val="0"/>
                <w:szCs w:val="16"/>
                <w:lang w:val="en-GB"/>
              </w:rPr>
            </w:pPr>
            <w:r>
              <w:rPr>
                <w:rFonts w:ascii="Times New Roman" w:eastAsia="宋体"/>
                <w:lang w:bidi="ar"/>
              </w:rPr>
              <w:t>个</w:t>
            </w:r>
            <w:r>
              <w:rPr>
                <w:rFonts w:ascii="Times New Roman" w:eastAsia="宋体"/>
                <w:lang w:bidi="ar"/>
              </w:rPr>
              <w:t>/L</w:t>
            </w:r>
          </w:p>
        </w:tc>
        <w:tc>
          <w:tcPr>
            <w:tcW w:w="1248" w:type="pct"/>
            <w:vAlign w:val="center"/>
          </w:tcPr>
          <w:p w14:paraId="709212D6"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10000</w:t>
            </w:r>
          </w:p>
        </w:tc>
        <w:tc>
          <w:tcPr>
            <w:tcW w:w="1248" w:type="pct"/>
            <w:vAlign w:val="center"/>
          </w:tcPr>
          <w:p w14:paraId="2EE9A1D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2000</w:t>
            </w:r>
          </w:p>
        </w:tc>
      </w:tr>
    </w:tbl>
    <w:p w14:paraId="3EB014FC" w14:textId="77777777" w:rsidR="009D12AF" w:rsidRDefault="00000000">
      <w:pPr>
        <w:pStyle w:val="3"/>
      </w:pPr>
      <w:bookmarkStart w:id="108" w:name="_Toc13451"/>
      <w:r>
        <w:rPr>
          <w:rFonts w:hint="eastAsia"/>
        </w:rPr>
        <w:t>2</w:t>
      </w:r>
      <w:r>
        <w:t>.</w:t>
      </w:r>
      <w:r>
        <w:rPr>
          <w:rFonts w:hint="eastAsia"/>
        </w:rPr>
        <w:t>6</w:t>
      </w:r>
      <w:r>
        <w:t xml:space="preserve">.2 </w:t>
      </w:r>
      <w:r>
        <w:t>污染物排放标准</w:t>
      </w:r>
      <w:bookmarkEnd w:id="105"/>
      <w:bookmarkEnd w:id="106"/>
      <w:bookmarkEnd w:id="107"/>
      <w:bookmarkEnd w:id="108"/>
    </w:p>
    <w:p w14:paraId="0421EB21" w14:textId="77777777" w:rsidR="009D12AF" w:rsidRDefault="00000000">
      <w:pPr>
        <w:ind w:firstLine="480"/>
      </w:pPr>
      <w:r>
        <w:t>1</w:t>
      </w:r>
      <w:r>
        <w:t>、废气</w:t>
      </w:r>
    </w:p>
    <w:p w14:paraId="244613D4" w14:textId="77777777" w:rsidR="009D12AF" w:rsidRDefault="00000000">
      <w:pPr>
        <w:ind w:firstLine="480"/>
      </w:pPr>
      <w:r>
        <w:t>本项目施工期无组织扬尘执行《大气污染物综合排放标准》（</w:t>
      </w:r>
      <w:r>
        <w:t>GB16297-1996</w:t>
      </w:r>
      <w:r>
        <w:t>）中无组织排放浓度限值，</w:t>
      </w:r>
      <w:r>
        <w:rPr>
          <w:rFonts w:hint="eastAsia"/>
        </w:rPr>
        <w:t>群力水库</w:t>
      </w:r>
      <w:r>
        <w:t>施工期淤泥临时处置产生的氨、硫化氢、臭气浓度执行《恶臭污染物排放标准》</w:t>
      </w:r>
      <w:r>
        <w:rPr>
          <w:rFonts w:hint="eastAsia"/>
        </w:rPr>
        <w:t>（</w:t>
      </w:r>
      <w:r>
        <w:t>GB14554-93</w:t>
      </w:r>
      <w:r>
        <w:rPr>
          <w:rFonts w:hint="eastAsia"/>
        </w:rPr>
        <w:t>）</w:t>
      </w:r>
      <w:r>
        <w:t>厂界</w:t>
      </w:r>
      <w:r>
        <w:rPr>
          <w:rFonts w:hint="eastAsia"/>
        </w:rPr>
        <w:t>一级</w:t>
      </w:r>
      <w:r>
        <w:t>级浓度限值要求</w:t>
      </w:r>
      <w:r>
        <w:rPr>
          <w:rFonts w:hint="eastAsia"/>
        </w:rPr>
        <w:t>，其余水库施工期</w:t>
      </w:r>
      <w:r>
        <w:t>淤泥临时处置产生的氨、硫化氢、臭气浓度执行《恶臭污染物排放标准》</w:t>
      </w:r>
      <w:r>
        <w:rPr>
          <w:rFonts w:hint="eastAsia"/>
        </w:rPr>
        <w:t>（</w:t>
      </w:r>
      <w:r>
        <w:t>GB14554-93</w:t>
      </w:r>
      <w:r>
        <w:rPr>
          <w:rFonts w:hint="eastAsia"/>
        </w:rPr>
        <w:t>）</w:t>
      </w:r>
      <w:r>
        <w:t>厂界</w:t>
      </w:r>
      <w:r>
        <w:rPr>
          <w:rFonts w:hint="eastAsia"/>
        </w:rPr>
        <w:t>二级</w:t>
      </w:r>
      <w:r>
        <w:t>浓度限值要求</w:t>
      </w:r>
    </w:p>
    <w:p w14:paraId="2F736064" w14:textId="77777777" w:rsidR="009D12AF" w:rsidRDefault="00000000">
      <w:pPr>
        <w:ind w:firstLine="480"/>
      </w:pPr>
      <w:r>
        <w:t>具体限值详见下表。</w:t>
      </w:r>
    </w:p>
    <w:p w14:paraId="7845B4E4" w14:textId="77777777" w:rsidR="009D12AF" w:rsidRDefault="00000000">
      <w:pPr>
        <w:ind w:firstLineChars="0" w:firstLine="0"/>
        <w:jc w:val="center"/>
      </w:pPr>
      <w:r>
        <w:rPr>
          <w:b/>
          <w:bCs/>
        </w:rPr>
        <w:t>表</w:t>
      </w:r>
      <w:r>
        <w:rPr>
          <w:b/>
          <w:bCs/>
        </w:rPr>
        <w:t>2.</w:t>
      </w:r>
      <w:r>
        <w:rPr>
          <w:rFonts w:hint="eastAsia"/>
          <w:b/>
          <w:bCs/>
        </w:rPr>
        <w:t>6</w:t>
      </w:r>
      <w:r>
        <w:rPr>
          <w:b/>
          <w:bCs/>
        </w:rPr>
        <w:t>-</w:t>
      </w:r>
      <w:r>
        <w:rPr>
          <w:rFonts w:hint="eastAsia"/>
          <w:b/>
          <w:bCs/>
        </w:rPr>
        <w:t>5</w:t>
      </w:r>
      <w:r>
        <w:rPr>
          <w:b/>
          <w:bCs/>
        </w:rPr>
        <w:t>大气污染物排放标准</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419"/>
        <w:gridCol w:w="1544"/>
        <w:gridCol w:w="1668"/>
        <w:gridCol w:w="1443"/>
        <w:gridCol w:w="1445"/>
      </w:tblGrid>
      <w:tr w:rsidR="009D12AF" w14:paraId="513BD730" w14:textId="77777777">
        <w:trPr>
          <w:cantSplit/>
          <w:trHeight w:val="90"/>
          <w:jc w:val="center"/>
        </w:trPr>
        <w:tc>
          <w:tcPr>
            <w:tcW w:w="1419" w:type="pct"/>
            <w:vAlign w:val="center"/>
          </w:tcPr>
          <w:p w14:paraId="2539837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标准名称</w:t>
            </w:r>
          </w:p>
        </w:tc>
        <w:tc>
          <w:tcPr>
            <w:tcW w:w="906" w:type="pct"/>
            <w:vAlign w:val="center"/>
          </w:tcPr>
          <w:p w14:paraId="2A764B9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排放方式</w:t>
            </w:r>
          </w:p>
        </w:tc>
        <w:tc>
          <w:tcPr>
            <w:tcW w:w="979" w:type="pct"/>
            <w:vAlign w:val="center"/>
          </w:tcPr>
          <w:p w14:paraId="173DEED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污染物</w:t>
            </w:r>
          </w:p>
        </w:tc>
        <w:tc>
          <w:tcPr>
            <w:tcW w:w="847" w:type="pct"/>
            <w:vAlign w:val="center"/>
          </w:tcPr>
          <w:p w14:paraId="3E01716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排放浓度限值</w:t>
            </w:r>
            <w:r>
              <w:rPr>
                <w:rFonts w:ascii="Times New Roman" w:eastAsia="宋体" w:hAnsi="Times New Roman" w:cs="Times New Roman" w:hint="eastAsia"/>
                <w:snapToGrid w:val="0"/>
                <w:kern w:val="0"/>
                <w:sz w:val="21"/>
                <w:szCs w:val="16"/>
                <w:lang w:val="en-GB"/>
              </w:rPr>
              <w:t>（</w:t>
            </w:r>
            <w:r>
              <w:rPr>
                <w:rFonts w:ascii="Times New Roman" w:eastAsia="宋体" w:hAnsi="Times New Roman" w:cs="Times New Roman" w:hint="eastAsia"/>
                <w:snapToGrid w:val="0"/>
                <w:kern w:val="0"/>
                <w:sz w:val="21"/>
                <w:szCs w:val="16"/>
              </w:rPr>
              <w:t>一级</w:t>
            </w:r>
            <w:r>
              <w:rPr>
                <w:rFonts w:ascii="Times New Roman" w:eastAsia="宋体" w:hAnsi="Times New Roman" w:cs="Times New Roman" w:hint="eastAsia"/>
                <w:snapToGrid w:val="0"/>
                <w:kern w:val="0"/>
                <w:sz w:val="21"/>
                <w:szCs w:val="16"/>
                <w:lang w:val="en-GB"/>
              </w:rPr>
              <w:t>）</w:t>
            </w:r>
          </w:p>
        </w:tc>
        <w:tc>
          <w:tcPr>
            <w:tcW w:w="847" w:type="pct"/>
            <w:vAlign w:val="center"/>
          </w:tcPr>
          <w:p w14:paraId="58690D9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排放浓度限值</w:t>
            </w:r>
            <w:r>
              <w:rPr>
                <w:rFonts w:ascii="Times New Roman" w:eastAsia="宋体" w:hAnsi="Times New Roman" w:cs="Times New Roman" w:hint="eastAsia"/>
                <w:snapToGrid w:val="0"/>
                <w:kern w:val="0"/>
                <w:sz w:val="21"/>
                <w:szCs w:val="16"/>
                <w:lang w:val="en-GB"/>
              </w:rPr>
              <w:t>（</w:t>
            </w:r>
            <w:r>
              <w:rPr>
                <w:rFonts w:ascii="Times New Roman" w:eastAsia="宋体" w:hAnsi="Times New Roman" w:cs="Times New Roman" w:hint="eastAsia"/>
                <w:snapToGrid w:val="0"/>
                <w:kern w:val="0"/>
                <w:sz w:val="21"/>
                <w:szCs w:val="16"/>
              </w:rPr>
              <w:t>二级</w:t>
            </w:r>
            <w:r>
              <w:rPr>
                <w:rFonts w:ascii="Times New Roman" w:eastAsia="宋体" w:hAnsi="Times New Roman" w:cs="Times New Roman" w:hint="eastAsia"/>
                <w:snapToGrid w:val="0"/>
                <w:kern w:val="0"/>
                <w:sz w:val="21"/>
                <w:szCs w:val="16"/>
                <w:lang w:val="en-GB"/>
              </w:rPr>
              <w:t>）</w:t>
            </w:r>
          </w:p>
        </w:tc>
      </w:tr>
      <w:tr w:rsidR="009D12AF" w14:paraId="66023889" w14:textId="77777777">
        <w:trPr>
          <w:cantSplit/>
          <w:trHeight w:val="352"/>
          <w:jc w:val="center"/>
        </w:trPr>
        <w:tc>
          <w:tcPr>
            <w:tcW w:w="1419" w:type="pct"/>
            <w:vAlign w:val="center"/>
          </w:tcPr>
          <w:p w14:paraId="7FBB2B2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《大气污染物综合排放标准》（</w:t>
            </w:r>
            <w:r>
              <w:rPr>
                <w:rFonts w:ascii="Times New Roman" w:eastAsia="宋体" w:hAnsi="Times New Roman" w:cs="Times New Roman"/>
                <w:snapToGrid w:val="0"/>
                <w:kern w:val="0"/>
                <w:sz w:val="21"/>
                <w:szCs w:val="16"/>
                <w:lang w:val="en-GB"/>
              </w:rPr>
              <w:t>GB16297-1996</w:t>
            </w:r>
            <w:r>
              <w:rPr>
                <w:rFonts w:ascii="Times New Roman" w:eastAsia="宋体" w:hAnsi="Times New Roman" w:cs="Times New Roman"/>
                <w:snapToGrid w:val="0"/>
                <w:kern w:val="0"/>
                <w:sz w:val="21"/>
                <w:szCs w:val="16"/>
                <w:lang w:val="en-GB"/>
              </w:rPr>
              <w:t>）</w:t>
            </w:r>
          </w:p>
        </w:tc>
        <w:tc>
          <w:tcPr>
            <w:tcW w:w="906" w:type="pct"/>
            <w:vMerge w:val="restart"/>
            <w:vAlign w:val="center"/>
          </w:tcPr>
          <w:p w14:paraId="4A731B0F"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厂界无组织排放</w:t>
            </w:r>
          </w:p>
        </w:tc>
        <w:tc>
          <w:tcPr>
            <w:tcW w:w="979" w:type="pct"/>
            <w:vAlign w:val="center"/>
          </w:tcPr>
          <w:p w14:paraId="3CE1E89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颗粒物</w:t>
            </w:r>
          </w:p>
        </w:tc>
        <w:tc>
          <w:tcPr>
            <w:tcW w:w="1695" w:type="pct"/>
            <w:gridSpan w:val="2"/>
            <w:vAlign w:val="center"/>
          </w:tcPr>
          <w:p w14:paraId="41A4B00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1.0mg/m</w:t>
            </w:r>
            <w:r>
              <w:rPr>
                <w:rFonts w:ascii="Times New Roman" w:eastAsia="宋体" w:hAnsi="Times New Roman" w:cs="Times New Roman"/>
                <w:snapToGrid w:val="0"/>
                <w:kern w:val="0"/>
                <w:sz w:val="21"/>
                <w:szCs w:val="16"/>
                <w:vertAlign w:val="superscript"/>
                <w:lang w:val="en-GB"/>
              </w:rPr>
              <w:t>3</w:t>
            </w:r>
          </w:p>
        </w:tc>
      </w:tr>
      <w:tr w:rsidR="009D12AF" w14:paraId="5EDF7C1E" w14:textId="77777777">
        <w:trPr>
          <w:cantSplit/>
          <w:trHeight w:val="352"/>
          <w:jc w:val="center"/>
        </w:trPr>
        <w:tc>
          <w:tcPr>
            <w:tcW w:w="1419" w:type="pct"/>
            <w:vMerge w:val="restart"/>
            <w:vAlign w:val="center"/>
          </w:tcPr>
          <w:p w14:paraId="7E3FD5D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《恶臭污染物排放标准》</w:t>
            </w:r>
            <w:r>
              <w:rPr>
                <w:rFonts w:ascii="Times New Roman" w:eastAsia="宋体" w:hAnsi="Times New Roman" w:cs="Times New Roman"/>
                <w:snapToGrid w:val="0"/>
                <w:kern w:val="0"/>
                <w:sz w:val="21"/>
                <w:szCs w:val="16"/>
                <w:lang w:val="en-GB"/>
              </w:rPr>
              <w:t>(GB14554-93)</w:t>
            </w:r>
          </w:p>
        </w:tc>
        <w:tc>
          <w:tcPr>
            <w:tcW w:w="906" w:type="pct"/>
            <w:vMerge/>
            <w:vAlign w:val="center"/>
          </w:tcPr>
          <w:p w14:paraId="71FC1696"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979" w:type="pct"/>
            <w:vAlign w:val="center"/>
          </w:tcPr>
          <w:p w14:paraId="6EFB6536"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氨</w:t>
            </w:r>
          </w:p>
        </w:tc>
        <w:tc>
          <w:tcPr>
            <w:tcW w:w="847" w:type="pct"/>
            <w:vAlign w:val="center"/>
          </w:tcPr>
          <w:p w14:paraId="3D66B809"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1.0</w:t>
            </w:r>
          </w:p>
        </w:tc>
        <w:tc>
          <w:tcPr>
            <w:tcW w:w="847" w:type="pct"/>
            <w:vAlign w:val="center"/>
          </w:tcPr>
          <w:p w14:paraId="28AF0F0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1.5</w:t>
            </w:r>
          </w:p>
        </w:tc>
      </w:tr>
      <w:tr w:rsidR="009D12AF" w14:paraId="7DE8DAC7" w14:textId="77777777">
        <w:trPr>
          <w:cantSplit/>
          <w:trHeight w:val="352"/>
          <w:jc w:val="center"/>
        </w:trPr>
        <w:tc>
          <w:tcPr>
            <w:tcW w:w="1419" w:type="pct"/>
            <w:vMerge/>
            <w:vAlign w:val="center"/>
          </w:tcPr>
          <w:p w14:paraId="3EA9742C"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906" w:type="pct"/>
            <w:vMerge/>
            <w:vAlign w:val="center"/>
          </w:tcPr>
          <w:p w14:paraId="05DA9DB2"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979" w:type="pct"/>
            <w:vAlign w:val="center"/>
          </w:tcPr>
          <w:p w14:paraId="2EE063BF"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硫化氢</w:t>
            </w:r>
          </w:p>
        </w:tc>
        <w:tc>
          <w:tcPr>
            <w:tcW w:w="847" w:type="pct"/>
            <w:vAlign w:val="center"/>
          </w:tcPr>
          <w:p w14:paraId="715F650F"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0.03</w:t>
            </w:r>
          </w:p>
        </w:tc>
        <w:tc>
          <w:tcPr>
            <w:tcW w:w="847" w:type="pct"/>
            <w:vAlign w:val="center"/>
          </w:tcPr>
          <w:p w14:paraId="73B4E60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0.06</w:t>
            </w:r>
          </w:p>
        </w:tc>
      </w:tr>
      <w:tr w:rsidR="009D12AF" w14:paraId="67F56374" w14:textId="77777777">
        <w:trPr>
          <w:cantSplit/>
          <w:trHeight w:val="352"/>
          <w:jc w:val="center"/>
        </w:trPr>
        <w:tc>
          <w:tcPr>
            <w:tcW w:w="1419" w:type="pct"/>
            <w:vMerge/>
            <w:vAlign w:val="center"/>
          </w:tcPr>
          <w:p w14:paraId="691DEE77"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906" w:type="pct"/>
            <w:vMerge/>
            <w:vAlign w:val="center"/>
          </w:tcPr>
          <w:p w14:paraId="3C5233E8" w14:textId="77777777" w:rsidR="009D12AF" w:rsidRDefault="009D12AF">
            <w:pPr>
              <w:spacing w:line="240" w:lineRule="auto"/>
              <w:ind w:firstLineChars="0" w:firstLine="0"/>
              <w:jc w:val="center"/>
              <w:rPr>
                <w:rFonts w:ascii="Times New Roman" w:eastAsia="宋体" w:hAnsi="Times New Roman" w:cs="Times New Roman"/>
                <w:snapToGrid w:val="0"/>
                <w:kern w:val="0"/>
                <w:sz w:val="21"/>
                <w:szCs w:val="16"/>
                <w:lang w:val="en-GB"/>
              </w:rPr>
            </w:pPr>
          </w:p>
        </w:tc>
        <w:tc>
          <w:tcPr>
            <w:tcW w:w="979" w:type="pct"/>
            <w:vAlign w:val="center"/>
          </w:tcPr>
          <w:p w14:paraId="389E1B9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臭气浓度</w:t>
            </w:r>
          </w:p>
        </w:tc>
        <w:tc>
          <w:tcPr>
            <w:tcW w:w="847" w:type="pct"/>
            <w:vAlign w:val="center"/>
          </w:tcPr>
          <w:p w14:paraId="2495D85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10</w:t>
            </w:r>
          </w:p>
        </w:tc>
        <w:tc>
          <w:tcPr>
            <w:tcW w:w="847" w:type="pct"/>
            <w:vAlign w:val="center"/>
          </w:tcPr>
          <w:p w14:paraId="239A0D1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20</w:t>
            </w:r>
          </w:p>
        </w:tc>
      </w:tr>
    </w:tbl>
    <w:p w14:paraId="4BF53E25" w14:textId="77777777" w:rsidR="009D12AF" w:rsidRDefault="00000000">
      <w:pPr>
        <w:ind w:firstLine="480"/>
      </w:pPr>
      <w:r>
        <w:t>2</w:t>
      </w:r>
      <w:r>
        <w:t>、噪声</w:t>
      </w:r>
    </w:p>
    <w:p w14:paraId="1A5DE597" w14:textId="77777777" w:rsidR="009D12AF" w:rsidRDefault="00000000">
      <w:pPr>
        <w:ind w:firstLine="480"/>
      </w:pPr>
      <w:r>
        <w:t>施工期场界噪声执行《建筑施工场界环境噪声排放标准》（</w:t>
      </w:r>
      <w:r>
        <w:t>GB12523-20</w:t>
      </w:r>
      <w:r>
        <w:rPr>
          <w:rFonts w:hint="eastAsia"/>
        </w:rPr>
        <w:t>25</w:t>
      </w:r>
      <w:r>
        <w:t>）</w:t>
      </w:r>
      <w:r>
        <w:rPr>
          <w:rFonts w:hint="eastAsia"/>
        </w:rPr>
        <w:t>，</w:t>
      </w:r>
      <w:r>
        <w:t>详见表</w:t>
      </w:r>
      <w:r>
        <w:rPr>
          <w:rFonts w:hint="eastAsia"/>
        </w:rPr>
        <w:t>2.6-6</w:t>
      </w:r>
      <w:r>
        <w:t>。</w:t>
      </w:r>
    </w:p>
    <w:p w14:paraId="1F3D84A9" w14:textId="77777777" w:rsidR="009D12AF" w:rsidRDefault="00000000">
      <w:pPr>
        <w:ind w:firstLineChars="0" w:firstLine="0"/>
        <w:jc w:val="center"/>
      </w:pPr>
      <w:r>
        <w:rPr>
          <w:rFonts w:hint="eastAsia"/>
          <w:b/>
          <w:bCs/>
        </w:rPr>
        <w:t>表</w:t>
      </w:r>
      <w:r>
        <w:rPr>
          <w:rFonts w:hint="eastAsia"/>
          <w:b/>
          <w:bCs/>
        </w:rPr>
        <w:t>2.6-6</w:t>
      </w:r>
      <w:r>
        <w:rPr>
          <w:rFonts w:hint="eastAsia"/>
          <w:b/>
          <w:bCs/>
        </w:rPr>
        <w:t>噪声排放标准单位：</w:t>
      </w:r>
      <w:r>
        <w:rPr>
          <w:rFonts w:hint="eastAsia"/>
          <w:b/>
          <w:bCs/>
        </w:rPr>
        <w:t>dB(A)</w:t>
      </w:r>
    </w:p>
    <w:tbl>
      <w:tblPr>
        <w:tblW w:w="4998" w:type="pct"/>
        <w:jc w:val="center"/>
        <w:tblBorders>
          <w:top w:val="single" w:sz="12" w:space="0" w:color="000000"/>
          <w:bottom w:val="single" w:sz="12" w:space="0" w:color="000000"/>
          <w:insideH w:val="single" w:sz="4" w:space="0" w:color="000000"/>
          <w:insideV w:val="single" w:sz="4" w:space="0" w:color="000000"/>
        </w:tblBorders>
        <w:tblLook w:val="04A0" w:firstRow="1" w:lastRow="0" w:firstColumn="1" w:lastColumn="0" w:noHBand="0" w:noVBand="1"/>
      </w:tblPr>
      <w:tblGrid>
        <w:gridCol w:w="1575"/>
        <w:gridCol w:w="1224"/>
        <w:gridCol w:w="1377"/>
        <w:gridCol w:w="1039"/>
        <w:gridCol w:w="3304"/>
      </w:tblGrid>
      <w:tr w:rsidR="009D12AF" w14:paraId="62985C3B" w14:textId="77777777">
        <w:trPr>
          <w:jc w:val="center"/>
        </w:trPr>
        <w:tc>
          <w:tcPr>
            <w:tcW w:w="924" w:type="pct"/>
            <w:vAlign w:val="center"/>
          </w:tcPr>
          <w:p w14:paraId="161700B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声环境功能区</w:t>
            </w:r>
          </w:p>
        </w:tc>
        <w:tc>
          <w:tcPr>
            <w:tcW w:w="718" w:type="pct"/>
            <w:vAlign w:val="center"/>
          </w:tcPr>
          <w:p w14:paraId="0B83449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评价时段</w:t>
            </w:r>
          </w:p>
        </w:tc>
        <w:tc>
          <w:tcPr>
            <w:tcW w:w="808" w:type="pct"/>
            <w:vAlign w:val="center"/>
          </w:tcPr>
          <w:p w14:paraId="45EB6C6F"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昼间</w:t>
            </w:r>
          </w:p>
        </w:tc>
        <w:tc>
          <w:tcPr>
            <w:tcW w:w="610" w:type="pct"/>
            <w:vAlign w:val="center"/>
          </w:tcPr>
          <w:p w14:paraId="73ABC9C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夜间</w:t>
            </w:r>
          </w:p>
        </w:tc>
        <w:tc>
          <w:tcPr>
            <w:tcW w:w="1938" w:type="pct"/>
          </w:tcPr>
          <w:p w14:paraId="2068768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标准来源</w:t>
            </w:r>
          </w:p>
        </w:tc>
      </w:tr>
      <w:tr w:rsidR="009D12AF" w14:paraId="0562B97D" w14:textId="77777777">
        <w:trPr>
          <w:jc w:val="center"/>
        </w:trPr>
        <w:tc>
          <w:tcPr>
            <w:tcW w:w="924" w:type="pct"/>
            <w:vAlign w:val="center"/>
          </w:tcPr>
          <w:p w14:paraId="0A1723F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hint="eastAsia"/>
                <w:snapToGrid w:val="0"/>
                <w:kern w:val="0"/>
                <w:sz w:val="21"/>
                <w:szCs w:val="16"/>
              </w:rPr>
              <w:t>1</w:t>
            </w:r>
            <w:r>
              <w:rPr>
                <w:rFonts w:ascii="Times New Roman" w:eastAsia="宋体" w:hAnsi="Times New Roman" w:cs="Times New Roman"/>
                <w:snapToGrid w:val="0"/>
                <w:kern w:val="0"/>
                <w:sz w:val="21"/>
                <w:szCs w:val="16"/>
                <w:lang w:val="en-GB"/>
              </w:rPr>
              <w:t>类</w:t>
            </w:r>
          </w:p>
        </w:tc>
        <w:tc>
          <w:tcPr>
            <w:tcW w:w="718" w:type="pct"/>
            <w:vAlign w:val="center"/>
          </w:tcPr>
          <w:p w14:paraId="34CAAC9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施工期</w:t>
            </w:r>
          </w:p>
        </w:tc>
        <w:tc>
          <w:tcPr>
            <w:tcW w:w="808" w:type="pct"/>
            <w:vAlign w:val="center"/>
          </w:tcPr>
          <w:p w14:paraId="5E4C071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70</w:t>
            </w:r>
          </w:p>
        </w:tc>
        <w:tc>
          <w:tcPr>
            <w:tcW w:w="610" w:type="pct"/>
            <w:vAlign w:val="center"/>
          </w:tcPr>
          <w:p w14:paraId="25B9600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55</w:t>
            </w:r>
          </w:p>
        </w:tc>
        <w:tc>
          <w:tcPr>
            <w:tcW w:w="1938" w:type="pct"/>
          </w:tcPr>
          <w:p w14:paraId="53A53EB0"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lang w:val="en-GB"/>
              </w:rPr>
            </w:pPr>
            <w:r>
              <w:rPr>
                <w:rFonts w:ascii="Times New Roman" w:eastAsia="宋体" w:hAnsi="Times New Roman" w:cs="Times New Roman"/>
                <w:snapToGrid w:val="0"/>
                <w:kern w:val="0"/>
                <w:sz w:val="21"/>
                <w:szCs w:val="16"/>
                <w:lang w:val="en-GB"/>
              </w:rPr>
              <w:t>《建筑施工场界环境噪声排放标准》（</w:t>
            </w:r>
            <w:r>
              <w:rPr>
                <w:rFonts w:ascii="Times New Roman" w:eastAsia="宋体" w:hAnsi="Times New Roman" w:cs="Times New Roman"/>
                <w:snapToGrid w:val="0"/>
                <w:kern w:val="0"/>
                <w:sz w:val="21"/>
                <w:szCs w:val="16"/>
                <w:lang w:val="en-GB"/>
              </w:rPr>
              <w:t>GB12523-20</w:t>
            </w:r>
            <w:r>
              <w:rPr>
                <w:rFonts w:ascii="Times New Roman" w:eastAsia="宋体" w:hAnsi="Times New Roman" w:cs="Times New Roman" w:hint="eastAsia"/>
                <w:snapToGrid w:val="0"/>
                <w:kern w:val="0"/>
                <w:sz w:val="21"/>
                <w:szCs w:val="16"/>
              </w:rPr>
              <w:t>25</w:t>
            </w:r>
            <w:r>
              <w:rPr>
                <w:rFonts w:ascii="Times New Roman" w:eastAsia="宋体" w:hAnsi="Times New Roman" w:cs="Times New Roman"/>
                <w:snapToGrid w:val="0"/>
                <w:kern w:val="0"/>
                <w:sz w:val="21"/>
                <w:szCs w:val="16"/>
                <w:lang w:val="en-GB"/>
              </w:rPr>
              <w:t>）</w:t>
            </w:r>
          </w:p>
        </w:tc>
      </w:tr>
    </w:tbl>
    <w:p w14:paraId="377291D4" w14:textId="77777777" w:rsidR="009D12AF" w:rsidRDefault="00000000">
      <w:pPr>
        <w:numPr>
          <w:ilvl w:val="0"/>
          <w:numId w:val="1"/>
        </w:numPr>
        <w:ind w:firstLine="480"/>
      </w:pPr>
      <w:r>
        <w:rPr>
          <w:rFonts w:hint="eastAsia"/>
        </w:rPr>
        <w:t>废水</w:t>
      </w:r>
    </w:p>
    <w:p w14:paraId="41514C4E"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lastRenderedPageBreak/>
        <w:t>本项目为清淤工程项目，运行期无废水排放。施工期不设置施工营地，施工人员产生的生活污水分散排入防渗旱厕，定期清掏，外运堆肥。建设项目施工废水为施工机械和车辆的清洗废水，经隔油沉淀池处理后，回用于洒水降尘，不外排；含油废水由有资质单位回收处置；渗滤水经三级沉淀、过滤、紫外线消毒后混凝剂处理后达到《污水综合排放标准》（GB8978-1996）一级标准，由牡丹江龙江环保水务有限公司定期拉运处理，处理后达到《城镇污水处理厂污染物综合排放标准》一级A标准排入斗银河，最终汇入海浪河。</w:t>
      </w:r>
    </w:p>
    <w:p w14:paraId="66E92174" w14:textId="77777777" w:rsidR="009D12AF" w:rsidRDefault="00000000">
      <w:pPr>
        <w:ind w:firstLine="482"/>
        <w:jc w:val="center"/>
      </w:pPr>
      <w:r>
        <w:rPr>
          <w:b/>
          <w:bCs/>
        </w:rPr>
        <w:t>表</w:t>
      </w:r>
      <w:r>
        <w:rPr>
          <w:b/>
          <w:bCs/>
        </w:rPr>
        <w:t>2.</w:t>
      </w:r>
      <w:r>
        <w:rPr>
          <w:rFonts w:hint="eastAsia"/>
          <w:b/>
          <w:bCs/>
        </w:rPr>
        <w:t>6</w:t>
      </w:r>
      <w:r>
        <w:rPr>
          <w:b/>
          <w:bCs/>
        </w:rPr>
        <w:t>-</w:t>
      </w:r>
      <w:r>
        <w:rPr>
          <w:rFonts w:hint="eastAsia"/>
          <w:b/>
          <w:bCs/>
        </w:rPr>
        <w:t>7</w:t>
      </w:r>
      <w:r>
        <w:rPr>
          <w:rFonts w:hint="eastAsia"/>
          <w:b/>
          <w:bCs/>
        </w:rPr>
        <w:t>废水</w:t>
      </w:r>
      <w:r>
        <w:rPr>
          <w:b/>
          <w:bCs/>
        </w:rPr>
        <w:t>污染物排放标准</w:t>
      </w:r>
    </w:p>
    <w:tbl>
      <w:tblPr>
        <w:tblStyle w:val="ae"/>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2420"/>
        <w:gridCol w:w="1840"/>
        <w:gridCol w:w="1474"/>
        <w:gridCol w:w="2788"/>
      </w:tblGrid>
      <w:tr w:rsidR="009D12AF" w14:paraId="69ABC16D" w14:textId="77777777">
        <w:tc>
          <w:tcPr>
            <w:tcW w:w="2420" w:type="dxa"/>
            <w:tcBorders>
              <w:tl2br w:val="nil"/>
              <w:tr2bl w:val="nil"/>
            </w:tcBorders>
            <w:vAlign w:val="center"/>
          </w:tcPr>
          <w:p w14:paraId="18B5462B" w14:textId="77777777" w:rsidR="009D12AF" w:rsidRDefault="00000000">
            <w:pPr>
              <w:ind w:firstLineChars="0" w:firstLine="0"/>
              <w:jc w:val="center"/>
              <w:rPr>
                <w:sz w:val="21"/>
                <w:szCs w:val="21"/>
              </w:rPr>
            </w:pPr>
            <w:r>
              <w:rPr>
                <w:rFonts w:hint="eastAsia"/>
                <w:sz w:val="21"/>
                <w:szCs w:val="21"/>
              </w:rPr>
              <w:t>标准名称</w:t>
            </w:r>
          </w:p>
        </w:tc>
        <w:tc>
          <w:tcPr>
            <w:tcW w:w="1840" w:type="dxa"/>
            <w:tcBorders>
              <w:tl2br w:val="nil"/>
              <w:tr2bl w:val="nil"/>
            </w:tcBorders>
            <w:vAlign w:val="center"/>
          </w:tcPr>
          <w:p w14:paraId="7D51B017" w14:textId="77777777" w:rsidR="009D12AF" w:rsidRDefault="00000000">
            <w:pPr>
              <w:ind w:firstLineChars="0" w:firstLine="0"/>
              <w:jc w:val="center"/>
              <w:rPr>
                <w:sz w:val="21"/>
                <w:szCs w:val="21"/>
              </w:rPr>
            </w:pPr>
            <w:r>
              <w:rPr>
                <w:rFonts w:hint="eastAsia"/>
                <w:sz w:val="21"/>
                <w:szCs w:val="21"/>
              </w:rPr>
              <w:t>污染物</w:t>
            </w:r>
          </w:p>
        </w:tc>
        <w:tc>
          <w:tcPr>
            <w:tcW w:w="1474" w:type="dxa"/>
            <w:tcBorders>
              <w:tl2br w:val="nil"/>
              <w:tr2bl w:val="nil"/>
            </w:tcBorders>
            <w:vAlign w:val="center"/>
          </w:tcPr>
          <w:p w14:paraId="41DD65B4" w14:textId="77777777" w:rsidR="009D12AF" w:rsidRDefault="00000000">
            <w:pPr>
              <w:ind w:firstLineChars="0" w:firstLine="0"/>
              <w:jc w:val="center"/>
              <w:rPr>
                <w:sz w:val="21"/>
                <w:szCs w:val="21"/>
              </w:rPr>
            </w:pPr>
            <w:r>
              <w:rPr>
                <w:rFonts w:hint="eastAsia"/>
                <w:sz w:val="21"/>
                <w:szCs w:val="21"/>
              </w:rPr>
              <w:t>排放限值</w:t>
            </w:r>
          </w:p>
        </w:tc>
        <w:tc>
          <w:tcPr>
            <w:tcW w:w="2788" w:type="dxa"/>
            <w:tcBorders>
              <w:tl2br w:val="nil"/>
              <w:tr2bl w:val="nil"/>
            </w:tcBorders>
            <w:vAlign w:val="center"/>
          </w:tcPr>
          <w:p w14:paraId="65939443" w14:textId="77777777" w:rsidR="009D12AF" w:rsidRDefault="00000000">
            <w:pPr>
              <w:ind w:firstLineChars="0" w:firstLine="0"/>
              <w:jc w:val="center"/>
              <w:rPr>
                <w:sz w:val="21"/>
                <w:szCs w:val="21"/>
              </w:rPr>
            </w:pPr>
            <w:r>
              <w:rPr>
                <w:rFonts w:hint="eastAsia"/>
                <w:sz w:val="21"/>
                <w:szCs w:val="21"/>
              </w:rPr>
              <w:t>排放方式</w:t>
            </w:r>
          </w:p>
        </w:tc>
      </w:tr>
      <w:tr w:rsidR="009D12AF" w14:paraId="693756D7" w14:textId="77777777">
        <w:tc>
          <w:tcPr>
            <w:tcW w:w="2420" w:type="dxa"/>
            <w:vMerge w:val="restart"/>
            <w:tcBorders>
              <w:tl2br w:val="nil"/>
              <w:tr2bl w:val="nil"/>
            </w:tcBorders>
            <w:vAlign w:val="center"/>
          </w:tcPr>
          <w:p w14:paraId="7D2872CC" w14:textId="77777777" w:rsidR="009D12AF" w:rsidRDefault="00000000">
            <w:pPr>
              <w:ind w:firstLineChars="0" w:firstLine="0"/>
              <w:jc w:val="center"/>
              <w:rPr>
                <w:sz w:val="21"/>
                <w:szCs w:val="21"/>
              </w:rPr>
            </w:pPr>
            <w:r>
              <w:rPr>
                <w:rFonts w:hint="eastAsia"/>
                <w:sz w:val="21"/>
                <w:szCs w:val="21"/>
              </w:rPr>
              <w:t>《污水综合排放标准》（</w:t>
            </w:r>
            <w:r>
              <w:rPr>
                <w:rFonts w:hint="eastAsia"/>
                <w:sz w:val="21"/>
                <w:szCs w:val="21"/>
              </w:rPr>
              <w:t>GB8978-1996</w:t>
            </w:r>
            <w:r>
              <w:rPr>
                <w:rFonts w:hint="eastAsia"/>
                <w:sz w:val="21"/>
                <w:szCs w:val="21"/>
              </w:rPr>
              <w:t>）</w:t>
            </w:r>
          </w:p>
        </w:tc>
        <w:tc>
          <w:tcPr>
            <w:tcW w:w="1840" w:type="dxa"/>
            <w:tcBorders>
              <w:tl2br w:val="nil"/>
              <w:tr2bl w:val="nil"/>
            </w:tcBorders>
            <w:vAlign w:val="center"/>
          </w:tcPr>
          <w:p w14:paraId="13C8F426" w14:textId="77777777" w:rsidR="009D12AF" w:rsidRDefault="00000000">
            <w:pPr>
              <w:ind w:firstLineChars="0" w:firstLine="0"/>
              <w:jc w:val="center"/>
              <w:rPr>
                <w:sz w:val="21"/>
                <w:szCs w:val="21"/>
              </w:rPr>
            </w:pPr>
            <w:r>
              <w:rPr>
                <w:rFonts w:hint="eastAsia"/>
                <w:sz w:val="21"/>
                <w:szCs w:val="21"/>
              </w:rPr>
              <w:t>COD</w:t>
            </w:r>
          </w:p>
        </w:tc>
        <w:tc>
          <w:tcPr>
            <w:tcW w:w="1474" w:type="dxa"/>
            <w:tcBorders>
              <w:tl2br w:val="nil"/>
              <w:tr2bl w:val="nil"/>
            </w:tcBorders>
            <w:vAlign w:val="center"/>
          </w:tcPr>
          <w:p w14:paraId="1F4B08FC" w14:textId="77777777" w:rsidR="009D12AF" w:rsidRDefault="00000000">
            <w:pPr>
              <w:ind w:firstLineChars="0" w:firstLine="0"/>
              <w:jc w:val="center"/>
              <w:rPr>
                <w:sz w:val="21"/>
                <w:szCs w:val="21"/>
              </w:rPr>
            </w:pPr>
            <w:r>
              <w:rPr>
                <w:rFonts w:hint="eastAsia"/>
                <w:sz w:val="21"/>
                <w:szCs w:val="21"/>
              </w:rPr>
              <w:t>100</w:t>
            </w:r>
          </w:p>
        </w:tc>
        <w:tc>
          <w:tcPr>
            <w:tcW w:w="2788" w:type="dxa"/>
            <w:vMerge w:val="restart"/>
            <w:tcBorders>
              <w:tl2br w:val="nil"/>
              <w:tr2bl w:val="nil"/>
            </w:tcBorders>
            <w:vAlign w:val="center"/>
          </w:tcPr>
          <w:p w14:paraId="1CA46159" w14:textId="77777777" w:rsidR="009D12AF" w:rsidRDefault="00000000">
            <w:pPr>
              <w:ind w:firstLineChars="0" w:firstLine="0"/>
              <w:jc w:val="center"/>
              <w:rPr>
                <w:sz w:val="21"/>
                <w:szCs w:val="21"/>
              </w:rPr>
            </w:pPr>
            <w:r>
              <w:rPr>
                <w:rFonts w:hint="eastAsia"/>
                <w:sz w:val="21"/>
                <w:szCs w:val="21"/>
              </w:rPr>
              <w:t>牡丹江龙江环保水务有限公司定期拉运处理</w:t>
            </w:r>
          </w:p>
        </w:tc>
      </w:tr>
      <w:tr w:rsidR="009D12AF" w14:paraId="12B6749F" w14:textId="77777777">
        <w:tc>
          <w:tcPr>
            <w:tcW w:w="2420" w:type="dxa"/>
            <w:vMerge/>
            <w:tcBorders>
              <w:tl2br w:val="nil"/>
              <w:tr2bl w:val="nil"/>
            </w:tcBorders>
            <w:vAlign w:val="center"/>
          </w:tcPr>
          <w:p w14:paraId="0B0B6933" w14:textId="77777777" w:rsidR="009D12AF" w:rsidRDefault="009D12AF">
            <w:pPr>
              <w:ind w:firstLineChars="0" w:firstLine="0"/>
              <w:jc w:val="center"/>
              <w:rPr>
                <w:sz w:val="21"/>
                <w:szCs w:val="21"/>
              </w:rPr>
            </w:pPr>
          </w:p>
        </w:tc>
        <w:tc>
          <w:tcPr>
            <w:tcW w:w="1840" w:type="dxa"/>
            <w:tcBorders>
              <w:tl2br w:val="nil"/>
              <w:tr2bl w:val="nil"/>
            </w:tcBorders>
            <w:vAlign w:val="center"/>
          </w:tcPr>
          <w:p w14:paraId="4FCF7D01" w14:textId="77777777" w:rsidR="009D12AF" w:rsidRDefault="00000000">
            <w:pPr>
              <w:ind w:firstLineChars="0" w:firstLine="0"/>
              <w:jc w:val="center"/>
              <w:rPr>
                <w:sz w:val="21"/>
                <w:szCs w:val="21"/>
              </w:rPr>
            </w:pPr>
            <w:r>
              <w:rPr>
                <w:rFonts w:hint="eastAsia"/>
                <w:sz w:val="21"/>
                <w:szCs w:val="21"/>
              </w:rPr>
              <w:t>BOD5</w:t>
            </w:r>
          </w:p>
        </w:tc>
        <w:tc>
          <w:tcPr>
            <w:tcW w:w="1474" w:type="dxa"/>
            <w:tcBorders>
              <w:tl2br w:val="nil"/>
              <w:tr2bl w:val="nil"/>
            </w:tcBorders>
            <w:vAlign w:val="center"/>
          </w:tcPr>
          <w:p w14:paraId="65FB6108" w14:textId="77777777" w:rsidR="009D12AF" w:rsidRDefault="00000000">
            <w:pPr>
              <w:ind w:firstLineChars="0" w:firstLine="0"/>
              <w:jc w:val="center"/>
              <w:rPr>
                <w:sz w:val="21"/>
                <w:szCs w:val="21"/>
              </w:rPr>
            </w:pPr>
            <w:r>
              <w:rPr>
                <w:rFonts w:hint="eastAsia"/>
                <w:sz w:val="21"/>
                <w:szCs w:val="21"/>
              </w:rPr>
              <w:t>20</w:t>
            </w:r>
          </w:p>
        </w:tc>
        <w:tc>
          <w:tcPr>
            <w:tcW w:w="2788" w:type="dxa"/>
            <w:vMerge/>
            <w:tcBorders>
              <w:tl2br w:val="nil"/>
              <w:tr2bl w:val="nil"/>
            </w:tcBorders>
            <w:vAlign w:val="center"/>
          </w:tcPr>
          <w:p w14:paraId="77C66FA8" w14:textId="77777777" w:rsidR="009D12AF" w:rsidRDefault="009D12AF">
            <w:pPr>
              <w:ind w:firstLineChars="0" w:firstLine="0"/>
              <w:jc w:val="center"/>
              <w:rPr>
                <w:sz w:val="21"/>
                <w:szCs w:val="21"/>
              </w:rPr>
            </w:pPr>
          </w:p>
        </w:tc>
      </w:tr>
      <w:tr w:rsidR="009D12AF" w14:paraId="21E70DD6" w14:textId="77777777">
        <w:tc>
          <w:tcPr>
            <w:tcW w:w="2420" w:type="dxa"/>
            <w:vMerge/>
            <w:tcBorders>
              <w:tl2br w:val="nil"/>
              <w:tr2bl w:val="nil"/>
            </w:tcBorders>
            <w:vAlign w:val="center"/>
          </w:tcPr>
          <w:p w14:paraId="7CA4C383" w14:textId="77777777" w:rsidR="009D12AF" w:rsidRDefault="009D12AF">
            <w:pPr>
              <w:ind w:firstLineChars="0" w:firstLine="0"/>
              <w:jc w:val="center"/>
              <w:rPr>
                <w:sz w:val="21"/>
                <w:szCs w:val="21"/>
              </w:rPr>
            </w:pPr>
          </w:p>
        </w:tc>
        <w:tc>
          <w:tcPr>
            <w:tcW w:w="1840" w:type="dxa"/>
            <w:tcBorders>
              <w:tl2br w:val="nil"/>
              <w:tr2bl w:val="nil"/>
            </w:tcBorders>
            <w:vAlign w:val="center"/>
          </w:tcPr>
          <w:p w14:paraId="57ED6AEE" w14:textId="77777777" w:rsidR="009D12AF" w:rsidRDefault="00000000">
            <w:pPr>
              <w:ind w:firstLineChars="0" w:firstLine="0"/>
              <w:jc w:val="center"/>
              <w:rPr>
                <w:sz w:val="21"/>
                <w:szCs w:val="21"/>
              </w:rPr>
            </w:pPr>
            <w:r>
              <w:rPr>
                <w:rFonts w:hint="eastAsia"/>
                <w:sz w:val="21"/>
                <w:szCs w:val="21"/>
              </w:rPr>
              <w:t>氨氮</w:t>
            </w:r>
          </w:p>
        </w:tc>
        <w:tc>
          <w:tcPr>
            <w:tcW w:w="1474" w:type="dxa"/>
            <w:tcBorders>
              <w:tl2br w:val="nil"/>
              <w:tr2bl w:val="nil"/>
            </w:tcBorders>
            <w:vAlign w:val="center"/>
          </w:tcPr>
          <w:p w14:paraId="4A2C0D7E" w14:textId="77777777" w:rsidR="009D12AF" w:rsidRDefault="00000000">
            <w:pPr>
              <w:ind w:firstLineChars="0" w:firstLine="0"/>
              <w:jc w:val="center"/>
              <w:rPr>
                <w:sz w:val="21"/>
                <w:szCs w:val="21"/>
              </w:rPr>
            </w:pPr>
            <w:r>
              <w:rPr>
                <w:rFonts w:hint="eastAsia"/>
                <w:sz w:val="21"/>
                <w:szCs w:val="21"/>
              </w:rPr>
              <w:t>——</w:t>
            </w:r>
          </w:p>
        </w:tc>
        <w:tc>
          <w:tcPr>
            <w:tcW w:w="2788" w:type="dxa"/>
            <w:vMerge/>
            <w:tcBorders>
              <w:tl2br w:val="nil"/>
              <w:tr2bl w:val="nil"/>
            </w:tcBorders>
            <w:vAlign w:val="center"/>
          </w:tcPr>
          <w:p w14:paraId="170E7D3B" w14:textId="77777777" w:rsidR="009D12AF" w:rsidRDefault="009D12AF">
            <w:pPr>
              <w:ind w:firstLineChars="0" w:firstLine="0"/>
              <w:jc w:val="center"/>
              <w:rPr>
                <w:sz w:val="21"/>
                <w:szCs w:val="21"/>
              </w:rPr>
            </w:pPr>
          </w:p>
        </w:tc>
      </w:tr>
      <w:tr w:rsidR="009D12AF" w14:paraId="26DF4D58" w14:textId="77777777">
        <w:tc>
          <w:tcPr>
            <w:tcW w:w="2420" w:type="dxa"/>
            <w:vMerge/>
            <w:tcBorders>
              <w:tl2br w:val="nil"/>
              <w:tr2bl w:val="nil"/>
            </w:tcBorders>
            <w:vAlign w:val="center"/>
          </w:tcPr>
          <w:p w14:paraId="380A9692" w14:textId="77777777" w:rsidR="009D12AF" w:rsidRDefault="009D12AF">
            <w:pPr>
              <w:ind w:firstLineChars="0" w:firstLine="0"/>
              <w:jc w:val="center"/>
              <w:rPr>
                <w:sz w:val="21"/>
                <w:szCs w:val="21"/>
              </w:rPr>
            </w:pPr>
          </w:p>
        </w:tc>
        <w:tc>
          <w:tcPr>
            <w:tcW w:w="1840" w:type="dxa"/>
            <w:tcBorders>
              <w:tl2br w:val="nil"/>
              <w:tr2bl w:val="nil"/>
            </w:tcBorders>
            <w:vAlign w:val="center"/>
          </w:tcPr>
          <w:p w14:paraId="093F31FD" w14:textId="77777777" w:rsidR="009D12AF" w:rsidRDefault="00000000">
            <w:pPr>
              <w:ind w:firstLineChars="0" w:firstLine="0"/>
              <w:jc w:val="center"/>
              <w:rPr>
                <w:sz w:val="21"/>
                <w:szCs w:val="21"/>
              </w:rPr>
            </w:pPr>
            <w:r>
              <w:rPr>
                <w:rFonts w:hint="eastAsia"/>
                <w:sz w:val="21"/>
                <w:szCs w:val="21"/>
              </w:rPr>
              <w:t>SS</w:t>
            </w:r>
          </w:p>
        </w:tc>
        <w:tc>
          <w:tcPr>
            <w:tcW w:w="1474" w:type="dxa"/>
            <w:tcBorders>
              <w:tl2br w:val="nil"/>
              <w:tr2bl w:val="nil"/>
            </w:tcBorders>
            <w:vAlign w:val="center"/>
          </w:tcPr>
          <w:p w14:paraId="586D6D4F" w14:textId="77777777" w:rsidR="009D12AF" w:rsidRDefault="00000000">
            <w:pPr>
              <w:ind w:firstLineChars="0" w:firstLine="0"/>
              <w:jc w:val="center"/>
              <w:rPr>
                <w:sz w:val="21"/>
                <w:szCs w:val="21"/>
              </w:rPr>
            </w:pPr>
            <w:r>
              <w:rPr>
                <w:rFonts w:hint="eastAsia"/>
                <w:sz w:val="21"/>
                <w:szCs w:val="21"/>
              </w:rPr>
              <w:t>70</w:t>
            </w:r>
          </w:p>
        </w:tc>
        <w:tc>
          <w:tcPr>
            <w:tcW w:w="2788" w:type="dxa"/>
            <w:vMerge/>
            <w:tcBorders>
              <w:tl2br w:val="nil"/>
              <w:tr2bl w:val="nil"/>
            </w:tcBorders>
            <w:vAlign w:val="center"/>
          </w:tcPr>
          <w:p w14:paraId="79074497" w14:textId="77777777" w:rsidR="009D12AF" w:rsidRDefault="009D12AF">
            <w:pPr>
              <w:ind w:firstLineChars="0" w:firstLine="0"/>
              <w:jc w:val="center"/>
              <w:rPr>
                <w:sz w:val="21"/>
                <w:szCs w:val="21"/>
              </w:rPr>
            </w:pPr>
          </w:p>
        </w:tc>
      </w:tr>
      <w:tr w:rsidR="009D12AF" w14:paraId="5AA1CC87" w14:textId="77777777">
        <w:tc>
          <w:tcPr>
            <w:tcW w:w="2420" w:type="dxa"/>
            <w:vMerge/>
            <w:tcBorders>
              <w:tl2br w:val="nil"/>
              <w:tr2bl w:val="nil"/>
            </w:tcBorders>
            <w:vAlign w:val="center"/>
          </w:tcPr>
          <w:p w14:paraId="5FA6DF71" w14:textId="77777777" w:rsidR="009D12AF" w:rsidRDefault="009D12AF">
            <w:pPr>
              <w:ind w:firstLineChars="0" w:firstLine="0"/>
              <w:jc w:val="center"/>
              <w:rPr>
                <w:sz w:val="21"/>
                <w:szCs w:val="21"/>
              </w:rPr>
            </w:pPr>
          </w:p>
        </w:tc>
        <w:tc>
          <w:tcPr>
            <w:tcW w:w="1840" w:type="dxa"/>
            <w:tcBorders>
              <w:tl2br w:val="nil"/>
              <w:tr2bl w:val="nil"/>
            </w:tcBorders>
            <w:vAlign w:val="center"/>
          </w:tcPr>
          <w:p w14:paraId="1FD6CDEA" w14:textId="77777777" w:rsidR="009D12AF" w:rsidRDefault="00000000">
            <w:pPr>
              <w:ind w:firstLineChars="0" w:firstLine="0"/>
              <w:jc w:val="center"/>
              <w:rPr>
                <w:sz w:val="21"/>
                <w:szCs w:val="21"/>
              </w:rPr>
            </w:pPr>
            <w:r>
              <w:rPr>
                <w:rFonts w:hint="eastAsia"/>
                <w:sz w:val="21"/>
                <w:szCs w:val="21"/>
              </w:rPr>
              <w:t>石油类</w:t>
            </w:r>
          </w:p>
        </w:tc>
        <w:tc>
          <w:tcPr>
            <w:tcW w:w="1474" w:type="dxa"/>
            <w:tcBorders>
              <w:tl2br w:val="nil"/>
              <w:tr2bl w:val="nil"/>
            </w:tcBorders>
            <w:vAlign w:val="center"/>
          </w:tcPr>
          <w:p w14:paraId="0EA65803" w14:textId="77777777" w:rsidR="009D12AF" w:rsidRDefault="00000000">
            <w:pPr>
              <w:ind w:firstLineChars="0" w:firstLine="0"/>
              <w:jc w:val="center"/>
              <w:rPr>
                <w:sz w:val="21"/>
                <w:szCs w:val="21"/>
              </w:rPr>
            </w:pPr>
            <w:r>
              <w:rPr>
                <w:rFonts w:hint="eastAsia"/>
                <w:sz w:val="21"/>
                <w:szCs w:val="21"/>
              </w:rPr>
              <w:t>5</w:t>
            </w:r>
          </w:p>
        </w:tc>
        <w:tc>
          <w:tcPr>
            <w:tcW w:w="2788" w:type="dxa"/>
            <w:vMerge/>
            <w:tcBorders>
              <w:tl2br w:val="nil"/>
              <w:tr2bl w:val="nil"/>
            </w:tcBorders>
            <w:vAlign w:val="center"/>
          </w:tcPr>
          <w:p w14:paraId="1E8B21F1" w14:textId="77777777" w:rsidR="009D12AF" w:rsidRDefault="009D12AF">
            <w:pPr>
              <w:ind w:firstLineChars="0" w:firstLine="0"/>
              <w:jc w:val="center"/>
              <w:rPr>
                <w:sz w:val="21"/>
                <w:szCs w:val="21"/>
              </w:rPr>
            </w:pPr>
          </w:p>
        </w:tc>
      </w:tr>
    </w:tbl>
    <w:p w14:paraId="0C3036CE" w14:textId="77777777" w:rsidR="009D12AF" w:rsidRDefault="00000000">
      <w:pPr>
        <w:ind w:firstLine="480"/>
      </w:pPr>
      <w:r>
        <w:rPr>
          <w:rFonts w:hint="eastAsia"/>
        </w:rPr>
        <w:t>4</w:t>
      </w:r>
      <w:r>
        <w:t>、固体废物</w:t>
      </w:r>
    </w:p>
    <w:p w14:paraId="30B3358F" w14:textId="77777777" w:rsidR="009D12AF" w:rsidRDefault="00000000">
      <w:pPr>
        <w:ind w:firstLine="480"/>
      </w:pPr>
      <w:r>
        <w:t>危险废物执行《危险废物鉴别标准》（</w:t>
      </w:r>
      <w:r>
        <w:t>GB5085.1~5085.3-2007</w:t>
      </w:r>
      <w:r>
        <w:t>）、《危险废物贮存污染控制标准》（</w:t>
      </w:r>
      <w:r>
        <w:t>GB18597-</w:t>
      </w:r>
      <w:r>
        <w:rPr>
          <w:rFonts w:hint="eastAsia"/>
        </w:rPr>
        <w:t>2023</w:t>
      </w:r>
      <w:r>
        <w:t>）。一般工业废物贮存过程应满足相应防渗漏、防雨淋、防扬尘等环境保护要求。</w:t>
      </w:r>
    </w:p>
    <w:p w14:paraId="661A75AE" w14:textId="77777777" w:rsidR="009D12AF" w:rsidRDefault="00000000">
      <w:pPr>
        <w:ind w:firstLine="480"/>
      </w:pPr>
      <w:r>
        <w:t>一般固体废物执行《一般工业固体废物贮存、处置场污染控制标准》（</w:t>
      </w:r>
      <w:r>
        <w:t>GB18599-2020</w:t>
      </w:r>
      <w:r>
        <w:t>）。</w:t>
      </w:r>
    </w:p>
    <w:p w14:paraId="20218009" w14:textId="77777777" w:rsidR="009D12AF" w:rsidRDefault="00000000">
      <w:pPr>
        <w:pStyle w:val="2"/>
      </w:pPr>
      <w:bookmarkStart w:id="109" w:name="_Toc30825"/>
      <w:r>
        <w:rPr>
          <w:rFonts w:hint="eastAsia"/>
        </w:rPr>
        <w:t>2</w:t>
      </w:r>
      <w:r>
        <w:t>.</w:t>
      </w:r>
      <w:r>
        <w:rPr>
          <w:rFonts w:hint="eastAsia"/>
        </w:rPr>
        <w:t>7</w:t>
      </w:r>
      <w:r>
        <w:t xml:space="preserve"> </w:t>
      </w:r>
      <w:r>
        <w:t>评价时段</w:t>
      </w:r>
      <w:bookmarkEnd w:id="109"/>
    </w:p>
    <w:p w14:paraId="40399B5B" w14:textId="77777777" w:rsidR="009D12AF" w:rsidRDefault="00000000">
      <w:pPr>
        <w:ind w:firstLine="480"/>
      </w:pPr>
      <w:r>
        <w:t>根据拟建项目实施的不同阶段，环境影响评价包括施工期、</w:t>
      </w:r>
      <w:r>
        <w:rPr>
          <w:rFonts w:hint="eastAsia"/>
        </w:rPr>
        <w:t>运行期</w:t>
      </w:r>
      <w:r>
        <w:t>两个时段。本项目以施工期</w:t>
      </w:r>
      <w:r>
        <w:rPr>
          <w:rFonts w:hint="eastAsia"/>
        </w:rPr>
        <w:t>为</w:t>
      </w:r>
      <w:r>
        <w:t>评价为重点</w:t>
      </w:r>
      <w:r>
        <w:rPr>
          <w:rFonts w:hint="eastAsia"/>
        </w:rPr>
        <w:t>，运行期无污染物排放。</w:t>
      </w:r>
    </w:p>
    <w:p w14:paraId="7D09D3D6" w14:textId="77777777" w:rsidR="009D12AF" w:rsidRDefault="00000000">
      <w:pPr>
        <w:pStyle w:val="2"/>
      </w:pPr>
      <w:bookmarkStart w:id="110" w:name="_Toc18380"/>
      <w:r>
        <w:rPr>
          <w:rFonts w:hint="eastAsia"/>
        </w:rPr>
        <w:t>2.8</w:t>
      </w:r>
      <w:r>
        <w:rPr>
          <w:rFonts w:hint="eastAsia"/>
        </w:rPr>
        <w:t>环境保护目标</w:t>
      </w:r>
      <w:bookmarkEnd w:id="110"/>
    </w:p>
    <w:p w14:paraId="7D10BA84" w14:textId="77777777" w:rsidR="009D12AF" w:rsidRDefault="00000000">
      <w:pPr>
        <w:ind w:firstLine="480"/>
      </w:pPr>
      <w:r>
        <w:rPr>
          <w:rFonts w:hint="eastAsia"/>
        </w:rPr>
        <w:t>本项目清淤共涉及</w:t>
      </w:r>
      <w:r>
        <w:rPr>
          <w:rFonts w:hint="eastAsia"/>
        </w:rPr>
        <w:t>5</w:t>
      </w:r>
      <w:r>
        <w:rPr>
          <w:rFonts w:hint="eastAsia"/>
        </w:rPr>
        <w:t>处，分别为长石水库、万丈水库、新安晒水池、向阳水</w:t>
      </w:r>
      <w:r>
        <w:rPr>
          <w:rFonts w:hint="eastAsia"/>
        </w:rPr>
        <w:lastRenderedPageBreak/>
        <w:t>电站前池、群力水库。</w:t>
      </w:r>
    </w:p>
    <w:p w14:paraId="05D04AE0" w14:textId="77777777" w:rsidR="009D12AF" w:rsidRDefault="00000000">
      <w:pPr>
        <w:ind w:firstLine="480"/>
        <w:rPr>
          <w:rFonts w:eastAsia="宋体"/>
          <w:highlight w:val="yellow"/>
        </w:rPr>
      </w:pPr>
      <w:r>
        <w:t>通过现场踏查，</w:t>
      </w:r>
      <w:r>
        <w:rPr>
          <w:rFonts w:ascii="Times New Roman" w:eastAsia="宋体" w:hAnsi="Times New Roman" w:cs="Times New Roman" w:hint="eastAsia"/>
        </w:rPr>
        <w:t>本项目涉及生态敏感区</w:t>
      </w:r>
      <w:r>
        <w:rPr>
          <w:rFonts w:ascii="Times New Roman" w:eastAsia="宋体" w:hAnsi="Times New Roman" w:cs="Times New Roman" w:hint="eastAsia"/>
        </w:rPr>
        <w:t>8</w:t>
      </w:r>
      <w:r>
        <w:rPr>
          <w:rFonts w:ascii="Times New Roman" w:eastAsia="宋体" w:hAnsi="Times New Roman" w:cs="Times New Roman"/>
        </w:rPr>
        <w:t>处，分别为：</w:t>
      </w:r>
      <w:r>
        <w:rPr>
          <w:rFonts w:ascii="Times New Roman" w:eastAsia="宋体" w:hAnsi="Times New Roman" w:cs="Times New Roman" w:hint="eastAsia"/>
          <w:kern w:val="0"/>
          <w:lang w:bidi="ar"/>
        </w:rPr>
        <w:t>黑龙江海林莲花湖省级自然保护区、海林莲花湖风景名胜区、黑龙江省莲花湖地质公园、</w:t>
      </w:r>
      <w:r>
        <w:rPr>
          <w:rFonts w:ascii="Times New Roman" w:eastAsia="宋体" w:hAnsi="Times New Roman" w:cs="Times New Roman"/>
          <w:kern w:val="0"/>
          <w:lang w:bidi="ar"/>
        </w:rPr>
        <w:t>威虎山国家森林公园</w:t>
      </w:r>
      <w:r>
        <w:rPr>
          <w:rFonts w:ascii="Times New Roman" w:eastAsia="宋体" w:hAnsi="Times New Roman" w:cs="Times New Roman" w:hint="eastAsia"/>
          <w:kern w:val="0"/>
          <w:lang w:bidi="ar"/>
        </w:rPr>
        <w:t>、</w:t>
      </w:r>
      <w:r>
        <w:rPr>
          <w:rFonts w:ascii="Times New Roman" w:eastAsia="宋体" w:hAnsi="Times New Roman" w:cs="Times New Roman"/>
          <w:kern w:val="0"/>
          <w:lang w:bidi="ar"/>
        </w:rPr>
        <w:t>生态保护红线</w:t>
      </w:r>
      <w:r>
        <w:rPr>
          <w:rFonts w:ascii="Times New Roman" w:eastAsia="宋体" w:hAnsi="Times New Roman" w:cs="Times New Roman" w:hint="eastAsia"/>
          <w:kern w:val="0"/>
          <w:lang w:bidi="ar"/>
        </w:rPr>
        <w:t>、</w:t>
      </w:r>
      <w:r>
        <w:rPr>
          <w:rFonts w:ascii="Times New Roman" w:eastAsia="宋体" w:hAnsi="Times New Roman" w:cs="Times New Roman"/>
        </w:rPr>
        <w:t>永久基本农田、生态公益林、黑土地</w:t>
      </w:r>
      <w:r>
        <w:rPr>
          <w:rFonts w:ascii="Times New Roman" w:eastAsia="宋体" w:hAnsi="Times New Roman" w:cs="Times New Roman" w:hint="eastAsia"/>
        </w:rPr>
        <w:t>；本项目涉及</w:t>
      </w:r>
      <w:r>
        <w:rPr>
          <w:rFonts w:hint="eastAsia"/>
          <w:smallCaps/>
        </w:rPr>
        <w:t>海林市二水厂（改扩建）饮用水水源二级保护区及居民。</w:t>
      </w:r>
    </w:p>
    <w:p w14:paraId="22D51CAA" w14:textId="77777777" w:rsidR="009D12AF" w:rsidRDefault="00000000">
      <w:pPr>
        <w:ind w:firstLineChars="0" w:firstLine="0"/>
        <w:jc w:val="center"/>
        <w:rPr>
          <w:b/>
          <w:bCs/>
          <w:highlight w:val="yellow"/>
        </w:rPr>
      </w:pPr>
      <w:r>
        <w:rPr>
          <w:rFonts w:hint="eastAsia"/>
          <w:b/>
          <w:bCs/>
        </w:rPr>
        <w:t>表</w:t>
      </w:r>
      <w:r>
        <w:rPr>
          <w:rFonts w:hint="eastAsia"/>
          <w:b/>
          <w:bCs/>
        </w:rPr>
        <w:t xml:space="preserve">2.8-1 </w:t>
      </w:r>
      <w:r>
        <w:rPr>
          <w:rFonts w:hint="eastAsia"/>
          <w:b/>
          <w:bCs/>
        </w:rPr>
        <w:t>生态环境敏感目标一览表</w:t>
      </w:r>
    </w:p>
    <w:tbl>
      <w:tblPr>
        <w:tblStyle w:val="ae"/>
        <w:tblW w:w="4998" w:type="pct"/>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475"/>
        <w:gridCol w:w="476"/>
        <w:gridCol w:w="654"/>
        <w:gridCol w:w="1908"/>
        <w:gridCol w:w="1033"/>
        <w:gridCol w:w="1225"/>
        <w:gridCol w:w="1048"/>
        <w:gridCol w:w="1700"/>
      </w:tblGrid>
      <w:tr w:rsidR="009D12AF" w14:paraId="2552EEE5" w14:textId="77777777">
        <w:tc>
          <w:tcPr>
            <w:tcW w:w="278" w:type="pct"/>
            <w:tcBorders>
              <w:tl2br w:val="nil"/>
              <w:tr2bl w:val="nil"/>
            </w:tcBorders>
            <w:vAlign w:val="center"/>
          </w:tcPr>
          <w:p w14:paraId="64B95C74" w14:textId="77777777" w:rsidR="009D12AF" w:rsidRDefault="00000000">
            <w:pPr>
              <w:spacing w:line="240" w:lineRule="auto"/>
              <w:ind w:firstLineChars="0" w:firstLine="0"/>
              <w:jc w:val="center"/>
              <w:rPr>
                <w:sz w:val="21"/>
                <w:szCs w:val="21"/>
              </w:rPr>
            </w:pPr>
            <w:r>
              <w:rPr>
                <w:sz w:val="21"/>
                <w:szCs w:val="21"/>
              </w:rPr>
              <w:t>环境要素</w:t>
            </w:r>
          </w:p>
        </w:tc>
        <w:tc>
          <w:tcPr>
            <w:tcW w:w="279" w:type="pct"/>
            <w:tcBorders>
              <w:tl2br w:val="nil"/>
              <w:tr2bl w:val="nil"/>
            </w:tcBorders>
            <w:vAlign w:val="center"/>
          </w:tcPr>
          <w:p w14:paraId="361CBEE9" w14:textId="77777777" w:rsidR="009D12AF" w:rsidRDefault="00000000">
            <w:pPr>
              <w:spacing w:line="240" w:lineRule="auto"/>
              <w:ind w:firstLineChars="0" w:firstLine="0"/>
              <w:jc w:val="center"/>
              <w:rPr>
                <w:sz w:val="21"/>
                <w:szCs w:val="21"/>
              </w:rPr>
            </w:pPr>
            <w:r>
              <w:rPr>
                <w:rFonts w:hint="eastAsia"/>
                <w:sz w:val="21"/>
                <w:szCs w:val="21"/>
              </w:rPr>
              <w:t>清淤位置</w:t>
            </w:r>
          </w:p>
        </w:tc>
        <w:tc>
          <w:tcPr>
            <w:tcW w:w="1503" w:type="pct"/>
            <w:gridSpan w:val="2"/>
            <w:tcBorders>
              <w:tl2br w:val="nil"/>
              <w:tr2bl w:val="nil"/>
            </w:tcBorders>
            <w:vAlign w:val="center"/>
          </w:tcPr>
          <w:p w14:paraId="07D4B249" w14:textId="77777777" w:rsidR="009D12AF" w:rsidRDefault="00000000">
            <w:pPr>
              <w:spacing w:line="240" w:lineRule="auto"/>
              <w:ind w:firstLineChars="0" w:firstLine="0"/>
              <w:jc w:val="center"/>
              <w:rPr>
                <w:sz w:val="21"/>
                <w:szCs w:val="21"/>
              </w:rPr>
            </w:pPr>
            <w:r>
              <w:rPr>
                <w:sz w:val="21"/>
                <w:szCs w:val="21"/>
              </w:rPr>
              <w:t>环境保护目标</w:t>
            </w:r>
          </w:p>
        </w:tc>
        <w:tc>
          <w:tcPr>
            <w:tcW w:w="606" w:type="pct"/>
            <w:tcBorders>
              <w:tl2br w:val="nil"/>
              <w:tr2bl w:val="nil"/>
            </w:tcBorders>
            <w:vAlign w:val="center"/>
          </w:tcPr>
          <w:p w14:paraId="05C8527F" w14:textId="77777777" w:rsidR="009D12AF" w:rsidRDefault="00000000">
            <w:pPr>
              <w:spacing w:line="240" w:lineRule="auto"/>
              <w:ind w:firstLineChars="0" w:firstLine="0"/>
              <w:jc w:val="center"/>
              <w:rPr>
                <w:sz w:val="21"/>
                <w:szCs w:val="21"/>
              </w:rPr>
            </w:pPr>
            <w:r>
              <w:rPr>
                <w:sz w:val="21"/>
                <w:szCs w:val="21"/>
              </w:rPr>
              <w:t>距离（</w:t>
            </w:r>
            <w:r>
              <w:rPr>
                <w:sz w:val="21"/>
                <w:szCs w:val="21"/>
              </w:rPr>
              <w:t>m</w:t>
            </w:r>
            <w:r>
              <w:rPr>
                <w:sz w:val="21"/>
                <w:szCs w:val="21"/>
              </w:rPr>
              <w:t>）</w:t>
            </w:r>
          </w:p>
        </w:tc>
        <w:tc>
          <w:tcPr>
            <w:tcW w:w="719" w:type="pct"/>
            <w:tcBorders>
              <w:tl2br w:val="nil"/>
              <w:tr2bl w:val="nil"/>
            </w:tcBorders>
            <w:vAlign w:val="center"/>
          </w:tcPr>
          <w:p w14:paraId="7111798C" w14:textId="77777777" w:rsidR="009D12AF" w:rsidRDefault="00000000">
            <w:pPr>
              <w:spacing w:line="240" w:lineRule="auto"/>
              <w:ind w:firstLineChars="0" w:firstLine="0"/>
              <w:jc w:val="center"/>
              <w:rPr>
                <w:sz w:val="21"/>
                <w:szCs w:val="21"/>
              </w:rPr>
            </w:pPr>
            <w:r>
              <w:rPr>
                <w:sz w:val="21"/>
                <w:szCs w:val="21"/>
              </w:rPr>
              <w:t>方位</w:t>
            </w:r>
          </w:p>
        </w:tc>
        <w:tc>
          <w:tcPr>
            <w:tcW w:w="614" w:type="pct"/>
            <w:tcBorders>
              <w:tl2br w:val="nil"/>
              <w:tr2bl w:val="nil"/>
            </w:tcBorders>
            <w:vAlign w:val="center"/>
          </w:tcPr>
          <w:p w14:paraId="4670DE87" w14:textId="77777777" w:rsidR="009D12AF" w:rsidRDefault="00000000">
            <w:pPr>
              <w:spacing w:line="240" w:lineRule="auto"/>
              <w:ind w:firstLineChars="0" w:firstLine="0"/>
              <w:jc w:val="center"/>
              <w:rPr>
                <w:sz w:val="21"/>
                <w:szCs w:val="21"/>
              </w:rPr>
            </w:pPr>
            <w:r>
              <w:rPr>
                <w:rFonts w:hint="eastAsia"/>
                <w:sz w:val="21"/>
                <w:szCs w:val="21"/>
              </w:rPr>
              <w:t>保护对象</w:t>
            </w:r>
          </w:p>
        </w:tc>
        <w:tc>
          <w:tcPr>
            <w:tcW w:w="998" w:type="pct"/>
            <w:tcBorders>
              <w:tl2br w:val="nil"/>
              <w:tr2bl w:val="nil"/>
            </w:tcBorders>
            <w:vAlign w:val="center"/>
          </w:tcPr>
          <w:p w14:paraId="7315C5D2" w14:textId="77777777" w:rsidR="009D12AF" w:rsidRDefault="00000000">
            <w:pPr>
              <w:spacing w:line="240" w:lineRule="auto"/>
              <w:ind w:firstLineChars="0" w:firstLine="0"/>
              <w:jc w:val="center"/>
              <w:rPr>
                <w:sz w:val="21"/>
                <w:szCs w:val="21"/>
              </w:rPr>
            </w:pPr>
            <w:r>
              <w:rPr>
                <w:rFonts w:hint="eastAsia"/>
                <w:sz w:val="21"/>
                <w:szCs w:val="21"/>
              </w:rPr>
              <w:t>保护要求</w:t>
            </w:r>
          </w:p>
        </w:tc>
      </w:tr>
      <w:tr w:rsidR="009D12AF" w14:paraId="06969AB0" w14:textId="77777777">
        <w:tc>
          <w:tcPr>
            <w:tcW w:w="278" w:type="pct"/>
            <w:vMerge w:val="restart"/>
            <w:tcBorders>
              <w:tl2br w:val="nil"/>
              <w:tr2bl w:val="nil"/>
            </w:tcBorders>
            <w:vAlign w:val="center"/>
          </w:tcPr>
          <w:p w14:paraId="79A3865A" w14:textId="77777777" w:rsidR="009D12AF" w:rsidRDefault="00000000">
            <w:pPr>
              <w:spacing w:line="240" w:lineRule="auto"/>
              <w:ind w:firstLineChars="0" w:firstLine="0"/>
              <w:jc w:val="center"/>
              <w:rPr>
                <w:sz w:val="21"/>
                <w:szCs w:val="21"/>
              </w:rPr>
            </w:pPr>
            <w:r>
              <w:rPr>
                <w:rFonts w:hint="eastAsia"/>
                <w:sz w:val="21"/>
                <w:szCs w:val="21"/>
              </w:rPr>
              <w:t>陆生生态</w:t>
            </w:r>
          </w:p>
        </w:tc>
        <w:tc>
          <w:tcPr>
            <w:tcW w:w="279" w:type="pct"/>
            <w:vMerge w:val="restart"/>
            <w:tcBorders>
              <w:tl2br w:val="nil"/>
              <w:tr2bl w:val="nil"/>
            </w:tcBorders>
            <w:vAlign w:val="center"/>
          </w:tcPr>
          <w:p w14:paraId="11662F9F" w14:textId="77777777" w:rsidR="009D12AF" w:rsidRDefault="00000000">
            <w:pPr>
              <w:spacing w:line="240" w:lineRule="auto"/>
              <w:ind w:firstLineChars="0" w:firstLine="0"/>
              <w:jc w:val="center"/>
              <w:rPr>
                <w:sz w:val="21"/>
                <w:szCs w:val="21"/>
              </w:rPr>
            </w:pPr>
            <w:r>
              <w:rPr>
                <w:rFonts w:hint="eastAsia"/>
                <w:sz w:val="21"/>
                <w:szCs w:val="21"/>
              </w:rPr>
              <w:t>群力水库</w:t>
            </w:r>
          </w:p>
        </w:tc>
        <w:tc>
          <w:tcPr>
            <w:tcW w:w="1503" w:type="pct"/>
            <w:gridSpan w:val="2"/>
            <w:tcBorders>
              <w:tl2br w:val="nil"/>
              <w:tr2bl w:val="nil"/>
            </w:tcBorders>
            <w:vAlign w:val="center"/>
          </w:tcPr>
          <w:p w14:paraId="183DA33B" w14:textId="77777777" w:rsidR="009D12AF" w:rsidRDefault="00000000">
            <w:pPr>
              <w:spacing w:line="240" w:lineRule="auto"/>
              <w:ind w:firstLineChars="0" w:firstLine="0"/>
              <w:jc w:val="center"/>
              <w:rPr>
                <w:sz w:val="21"/>
                <w:szCs w:val="21"/>
              </w:rPr>
            </w:pPr>
            <w:r>
              <w:rPr>
                <w:sz w:val="21"/>
                <w:szCs w:val="21"/>
              </w:rPr>
              <w:t>黑龙江海林莲花湖省级自然保护区</w:t>
            </w:r>
            <w:r>
              <w:rPr>
                <w:rFonts w:hint="eastAsia"/>
                <w:sz w:val="21"/>
                <w:szCs w:val="21"/>
              </w:rPr>
              <w:t>（实验区）</w:t>
            </w:r>
          </w:p>
        </w:tc>
        <w:tc>
          <w:tcPr>
            <w:tcW w:w="606" w:type="pct"/>
            <w:tcBorders>
              <w:tl2br w:val="nil"/>
              <w:tr2bl w:val="nil"/>
            </w:tcBorders>
            <w:vAlign w:val="center"/>
          </w:tcPr>
          <w:p w14:paraId="0FABD851" w14:textId="77777777" w:rsidR="009D12AF" w:rsidRDefault="00000000">
            <w:pPr>
              <w:spacing w:line="240" w:lineRule="auto"/>
              <w:ind w:firstLineChars="0" w:firstLine="0"/>
              <w:jc w:val="center"/>
              <w:rPr>
                <w:sz w:val="21"/>
                <w:szCs w:val="21"/>
              </w:rPr>
            </w:pPr>
            <w:r>
              <w:rPr>
                <w:rFonts w:ascii="Times New Roman" w:eastAsia="宋体" w:hAnsi="Times New Roman" w:cs="Times New Roman" w:hint="eastAsia"/>
                <w:sz w:val="21"/>
                <w:szCs w:val="21"/>
              </w:rPr>
              <w:t>占用</w:t>
            </w:r>
            <w:r>
              <w:rPr>
                <w:rFonts w:ascii="Times New Roman" w:eastAsia="宋体" w:hAnsi="Times New Roman" w:cs="Times New Roman" w:hint="eastAsia"/>
                <w:sz w:val="21"/>
                <w:szCs w:val="21"/>
              </w:rPr>
              <w:t>1.26hm</w:t>
            </w:r>
            <w:r>
              <w:rPr>
                <w:rFonts w:ascii="Times New Roman" w:eastAsia="宋体" w:hAnsi="Times New Roman" w:cs="Times New Roman" w:hint="eastAsia"/>
                <w:sz w:val="21"/>
                <w:szCs w:val="21"/>
                <w:vertAlign w:val="superscript"/>
              </w:rPr>
              <w:t>2</w:t>
            </w:r>
          </w:p>
        </w:tc>
        <w:tc>
          <w:tcPr>
            <w:tcW w:w="719" w:type="pct"/>
            <w:tcBorders>
              <w:tl2br w:val="nil"/>
              <w:tr2bl w:val="nil"/>
            </w:tcBorders>
            <w:vAlign w:val="center"/>
          </w:tcPr>
          <w:p w14:paraId="4E9652A6" w14:textId="77777777" w:rsidR="009D12AF" w:rsidRDefault="00000000">
            <w:pPr>
              <w:spacing w:line="240" w:lineRule="auto"/>
              <w:ind w:firstLineChars="0" w:firstLine="0"/>
              <w:jc w:val="center"/>
              <w:rPr>
                <w:sz w:val="21"/>
                <w:szCs w:val="21"/>
              </w:rPr>
            </w:pPr>
            <w:r>
              <w:rPr>
                <w:sz w:val="21"/>
                <w:szCs w:val="21"/>
              </w:rPr>
              <w:t>居住区、淤泥堆放区、机械设备停放区、施工便道</w:t>
            </w:r>
          </w:p>
        </w:tc>
        <w:tc>
          <w:tcPr>
            <w:tcW w:w="614" w:type="pct"/>
            <w:vMerge w:val="restart"/>
            <w:tcBorders>
              <w:tl2br w:val="nil"/>
              <w:tr2bl w:val="nil"/>
            </w:tcBorders>
            <w:vAlign w:val="center"/>
          </w:tcPr>
          <w:p w14:paraId="77ED7F1F" w14:textId="77777777" w:rsidR="009D12AF" w:rsidRDefault="00000000">
            <w:pPr>
              <w:spacing w:line="240" w:lineRule="auto"/>
              <w:ind w:firstLineChars="0" w:firstLine="0"/>
              <w:jc w:val="center"/>
              <w:rPr>
                <w:sz w:val="21"/>
                <w:szCs w:val="21"/>
              </w:rPr>
            </w:pPr>
            <w:r>
              <w:rPr>
                <w:rFonts w:hint="eastAsia"/>
                <w:sz w:val="21"/>
                <w:szCs w:val="21"/>
              </w:rPr>
              <w:t>植物：红松、樟子松、黄檗、水曲柳</w:t>
            </w:r>
          </w:p>
          <w:p w14:paraId="6D32B9C7" w14:textId="77777777" w:rsidR="009D12AF" w:rsidRDefault="00000000">
            <w:pPr>
              <w:spacing w:line="240" w:lineRule="auto"/>
              <w:ind w:firstLineChars="0" w:firstLine="0"/>
              <w:jc w:val="center"/>
              <w:rPr>
                <w:sz w:val="21"/>
                <w:szCs w:val="21"/>
              </w:rPr>
            </w:pPr>
            <w:r>
              <w:rPr>
                <w:rFonts w:hint="eastAsia"/>
                <w:sz w:val="21"/>
                <w:szCs w:val="21"/>
              </w:rPr>
              <w:t>动物：东方白鹳、中华秋沙鸭、鸳鸯、红隼、极北鲵、黑龙江草蜥、红点锦蛇、虎斑颈槽蛇、太平鸟、朱顶雀、金翅雀、远东刺猬、香鼬、黄鼬、东北兔、松鼠</w:t>
            </w:r>
          </w:p>
        </w:tc>
        <w:tc>
          <w:tcPr>
            <w:tcW w:w="998" w:type="pct"/>
            <w:tcBorders>
              <w:tl2br w:val="nil"/>
              <w:tr2bl w:val="nil"/>
            </w:tcBorders>
            <w:vAlign w:val="center"/>
          </w:tcPr>
          <w:p w14:paraId="4E0DE853" w14:textId="77777777" w:rsidR="009D12AF" w:rsidRDefault="00000000">
            <w:pPr>
              <w:ind w:firstLineChars="0" w:firstLine="0"/>
              <w:jc w:val="center"/>
              <w:rPr>
                <w:sz w:val="21"/>
                <w:szCs w:val="21"/>
              </w:rPr>
            </w:pPr>
            <w:r>
              <w:rPr>
                <w:rFonts w:ascii="Times New Roman" w:eastAsia="宋体" w:hAnsi="Times New Roman" w:cs="Times New Roman" w:hint="eastAsia"/>
                <w:sz w:val="21"/>
                <w:szCs w:val="21"/>
              </w:rPr>
              <w:t>严格保护、科学规划、统一管理、合理利用、协调发展</w:t>
            </w:r>
          </w:p>
        </w:tc>
      </w:tr>
      <w:tr w:rsidR="009D12AF" w14:paraId="2B5105B7" w14:textId="77777777">
        <w:tc>
          <w:tcPr>
            <w:tcW w:w="278" w:type="pct"/>
            <w:vMerge/>
            <w:tcBorders>
              <w:tl2br w:val="nil"/>
              <w:tr2bl w:val="nil"/>
            </w:tcBorders>
            <w:vAlign w:val="center"/>
          </w:tcPr>
          <w:p w14:paraId="5AB8FFF1" w14:textId="77777777" w:rsidR="009D12AF" w:rsidRDefault="009D12AF">
            <w:pPr>
              <w:spacing w:line="240" w:lineRule="auto"/>
              <w:ind w:firstLineChars="0" w:firstLine="0"/>
              <w:jc w:val="center"/>
              <w:rPr>
                <w:sz w:val="21"/>
                <w:szCs w:val="21"/>
              </w:rPr>
            </w:pPr>
          </w:p>
        </w:tc>
        <w:tc>
          <w:tcPr>
            <w:tcW w:w="279" w:type="pct"/>
            <w:vMerge/>
            <w:tcBorders>
              <w:tl2br w:val="nil"/>
              <w:tr2bl w:val="nil"/>
            </w:tcBorders>
            <w:vAlign w:val="center"/>
          </w:tcPr>
          <w:p w14:paraId="063FAEA0" w14:textId="77777777" w:rsidR="009D12AF" w:rsidRDefault="009D12AF">
            <w:pPr>
              <w:spacing w:line="240" w:lineRule="auto"/>
              <w:ind w:firstLineChars="0" w:firstLine="0"/>
              <w:jc w:val="center"/>
              <w:rPr>
                <w:sz w:val="21"/>
                <w:szCs w:val="21"/>
              </w:rPr>
            </w:pPr>
          </w:p>
        </w:tc>
        <w:tc>
          <w:tcPr>
            <w:tcW w:w="1503" w:type="pct"/>
            <w:gridSpan w:val="2"/>
            <w:tcBorders>
              <w:tl2br w:val="nil"/>
              <w:tr2bl w:val="nil"/>
            </w:tcBorders>
            <w:vAlign w:val="center"/>
          </w:tcPr>
          <w:p w14:paraId="541ADD15" w14:textId="77777777" w:rsidR="009D12AF" w:rsidRDefault="00000000">
            <w:pPr>
              <w:spacing w:line="240" w:lineRule="auto"/>
              <w:ind w:firstLineChars="0" w:firstLine="0"/>
              <w:jc w:val="center"/>
              <w:rPr>
                <w:sz w:val="21"/>
                <w:szCs w:val="21"/>
              </w:rPr>
            </w:pPr>
            <w:r>
              <w:rPr>
                <w:rFonts w:hint="eastAsia"/>
                <w:sz w:val="21"/>
                <w:szCs w:val="21"/>
              </w:rPr>
              <w:t>黑龙江省莲花湖地质公园</w:t>
            </w:r>
          </w:p>
        </w:tc>
        <w:tc>
          <w:tcPr>
            <w:tcW w:w="606" w:type="pct"/>
            <w:tcBorders>
              <w:tl2br w:val="nil"/>
              <w:tr2bl w:val="nil"/>
            </w:tcBorders>
            <w:vAlign w:val="center"/>
          </w:tcPr>
          <w:p w14:paraId="25A047DF" w14:textId="77777777" w:rsidR="009D12AF" w:rsidRDefault="00000000">
            <w:pPr>
              <w:spacing w:line="240" w:lineRule="auto"/>
              <w:ind w:firstLineChars="0" w:firstLine="0"/>
              <w:jc w:val="center"/>
              <w:rPr>
                <w:sz w:val="21"/>
                <w:szCs w:val="21"/>
              </w:rPr>
            </w:pPr>
            <w:r>
              <w:rPr>
                <w:rFonts w:ascii="Times New Roman" w:eastAsia="宋体" w:hAnsi="Times New Roman" w:cs="Times New Roman" w:hint="eastAsia"/>
                <w:sz w:val="21"/>
                <w:szCs w:val="21"/>
              </w:rPr>
              <w:t>占用</w:t>
            </w:r>
            <w:r>
              <w:rPr>
                <w:rFonts w:ascii="Times New Roman" w:eastAsia="宋体" w:hAnsi="Times New Roman" w:cs="Times New Roman" w:hint="eastAsia"/>
                <w:sz w:val="21"/>
                <w:szCs w:val="21"/>
              </w:rPr>
              <w:t>1.26hm</w:t>
            </w:r>
            <w:r>
              <w:rPr>
                <w:rFonts w:ascii="Times New Roman" w:eastAsia="宋体" w:hAnsi="Times New Roman" w:cs="Times New Roman" w:hint="eastAsia"/>
                <w:sz w:val="21"/>
                <w:szCs w:val="21"/>
                <w:vertAlign w:val="superscript"/>
              </w:rPr>
              <w:t>2</w:t>
            </w:r>
          </w:p>
        </w:tc>
        <w:tc>
          <w:tcPr>
            <w:tcW w:w="719" w:type="pct"/>
            <w:tcBorders>
              <w:tl2br w:val="nil"/>
              <w:tr2bl w:val="nil"/>
            </w:tcBorders>
            <w:vAlign w:val="center"/>
          </w:tcPr>
          <w:p w14:paraId="10F1F64E" w14:textId="77777777" w:rsidR="009D12AF" w:rsidRDefault="00000000">
            <w:pPr>
              <w:spacing w:line="240" w:lineRule="auto"/>
              <w:ind w:firstLineChars="0" w:firstLine="0"/>
              <w:jc w:val="center"/>
              <w:rPr>
                <w:sz w:val="21"/>
                <w:szCs w:val="21"/>
              </w:rPr>
            </w:pPr>
            <w:r>
              <w:rPr>
                <w:sz w:val="21"/>
                <w:szCs w:val="21"/>
              </w:rPr>
              <w:t>居住区、淤泥堆放区、机械设备停放区、施工便道</w:t>
            </w:r>
          </w:p>
        </w:tc>
        <w:tc>
          <w:tcPr>
            <w:tcW w:w="614" w:type="pct"/>
            <w:vMerge/>
            <w:tcBorders>
              <w:tl2br w:val="nil"/>
              <w:tr2bl w:val="nil"/>
            </w:tcBorders>
            <w:vAlign w:val="center"/>
          </w:tcPr>
          <w:p w14:paraId="2D82BBF8" w14:textId="77777777" w:rsidR="009D12AF" w:rsidRDefault="009D12AF">
            <w:pPr>
              <w:spacing w:line="240" w:lineRule="auto"/>
              <w:ind w:firstLineChars="0" w:firstLine="0"/>
              <w:jc w:val="center"/>
              <w:rPr>
                <w:sz w:val="21"/>
                <w:szCs w:val="21"/>
              </w:rPr>
            </w:pPr>
          </w:p>
        </w:tc>
        <w:tc>
          <w:tcPr>
            <w:tcW w:w="998" w:type="pct"/>
            <w:tcBorders>
              <w:tl2br w:val="nil"/>
              <w:tr2bl w:val="nil"/>
            </w:tcBorders>
            <w:vAlign w:val="center"/>
          </w:tcPr>
          <w:p w14:paraId="0B71E453" w14:textId="77777777" w:rsidR="009D12AF" w:rsidRDefault="00000000">
            <w:pPr>
              <w:ind w:firstLineChars="0" w:firstLine="0"/>
              <w:jc w:val="center"/>
              <w:rPr>
                <w:sz w:val="21"/>
                <w:szCs w:val="21"/>
              </w:rPr>
            </w:pPr>
            <w:r>
              <w:rPr>
                <w:rFonts w:ascii="Times New Roman" w:eastAsia="宋体" w:hAnsi="Times New Roman" w:cs="Times New Roman"/>
                <w:bCs/>
                <w:kern w:val="0"/>
                <w:sz w:val="21"/>
                <w:szCs w:val="21"/>
              </w:rPr>
              <w:t>施工活动不得影响</w:t>
            </w:r>
            <w:r>
              <w:rPr>
                <w:rFonts w:ascii="Times New Roman" w:eastAsia="宋体" w:hAnsi="Times New Roman" w:cs="Times New Roman" w:hint="eastAsia"/>
                <w:sz w:val="21"/>
                <w:szCs w:val="21"/>
              </w:rPr>
              <w:t>黑龙江省莲花湖地质公园</w:t>
            </w:r>
            <w:r>
              <w:rPr>
                <w:rFonts w:ascii="Times New Roman" w:eastAsia="宋体" w:hAnsi="Times New Roman" w:cs="Times New Roman"/>
                <w:bCs/>
                <w:kern w:val="0"/>
                <w:sz w:val="21"/>
                <w:szCs w:val="21"/>
              </w:rPr>
              <w:t>环境功能</w:t>
            </w:r>
            <w:r>
              <w:rPr>
                <w:rFonts w:ascii="Times New Roman" w:eastAsia="宋体" w:hAnsi="Times New Roman" w:cs="Times New Roman" w:hint="eastAsia"/>
                <w:bCs/>
                <w:kern w:val="0"/>
                <w:sz w:val="21"/>
                <w:szCs w:val="21"/>
              </w:rPr>
              <w:t>，</w:t>
            </w:r>
            <w:r>
              <w:rPr>
                <w:rFonts w:ascii="Times New Roman" w:eastAsia="宋体" w:hAnsi="Times New Roman" w:cs="Times New Roman" w:hint="eastAsia"/>
                <w:sz w:val="21"/>
                <w:szCs w:val="21"/>
              </w:rPr>
              <w:t>严格保护、科学规划、统一管理、合理利用、协调发展</w:t>
            </w:r>
          </w:p>
        </w:tc>
      </w:tr>
      <w:tr w:rsidR="009D12AF" w14:paraId="2A0C6A4F" w14:textId="77777777">
        <w:tc>
          <w:tcPr>
            <w:tcW w:w="278" w:type="pct"/>
            <w:vMerge/>
            <w:tcBorders>
              <w:tl2br w:val="nil"/>
              <w:tr2bl w:val="nil"/>
            </w:tcBorders>
            <w:vAlign w:val="center"/>
          </w:tcPr>
          <w:p w14:paraId="5E5514D8" w14:textId="77777777" w:rsidR="009D12AF" w:rsidRDefault="009D12AF">
            <w:pPr>
              <w:spacing w:line="240" w:lineRule="auto"/>
              <w:ind w:firstLineChars="0" w:firstLine="0"/>
              <w:jc w:val="center"/>
              <w:rPr>
                <w:sz w:val="21"/>
                <w:szCs w:val="21"/>
              </w:rPr>
            </w:pPr>
          </w:p>
        </w:tc>
        <w:tc>
          <w:tcPr>
            <w:tcW w:w="279" w:type="pct"/>
            <w:vMerge/>
            <w:tcBorders>
              <w:tl2br w:val="nil"/>
              <w:tr2bl w:val="nil"/>
            </w:tcBorders>
            <w:vAlign w:val="center"/>
          </w:tcPr>
          <w:p w14:paraId="010D9ABC" w14:textId="77777777" w:rsidR="009D12AF" w:rsidRDefault="009D12AF">
            <w:pPr>
              <w:spacing w:line="240" w:lineRule="auto"/>
              <w:ind w:firstLineChars="0" w:firstLine="0"/>
              <w:jc w:val="center"/>
              <w:rPr>
                <w:sz w:val="21"/>
                <w:szCs w:val="21"/>
              </w:rPr>
            </w:pPr>
          </w:p>
        </w:tc>
        <w:tc>
          <w:tcPr>
            <w:tcW w:w="1503" w:type="pct"/>
            <w:gridSpan w:val="2"/>
            <w:tcBorders>
              <w:tl2br w:val="nil"/>
              <w:tr2bl w:val="nil"/>
            </w:tcBorders>
            <w:vAlign w:val="center"/>
          </w:tcPr>
          <w:p w14:paraId="01F5BFDE" w14:textId="77777777" w:rsidR="009D12AF" w:rsidRDefault="00000000">
            <w:pPr>
              <w:spacing w:line="240" w:lineRule="auto"/>
              <w:ind w:firstLineChars="0" w:firstLine="0"/>
              <w:jc w:val="center"/>
              <w:rPr>
                <w:sz w:val="21"/>
                <w:szCs w:val="21"/>
              </w:rPr>
            </w:pPr>
            <w:r>
              <w:rPr>
                <w:rFonts w:hint="eastAsia"/>
                <w:sz w:val="21"/>
                <w:szCs w:val="21"/>
              </w:rPr>
              <w:t>海林莲花湖风景名胜区</w:t>
            </w:r>
          </w:p>
        </w:tc>
        <w:tc>
          <w:tcPr>
            <w:tcW w:w="606" w:type="pct"/>
            <w:tcBorders>
              <w:tl2br w:val="nil"/>
              <w:tr2bl w:val="nil"/>
            </w:tcBorders>
            <w:vAlign w:val="center"/>
          </w:tcPr>
          <w:p w14:paraId="4BCE6983" w14:textId="77777777" w:rsidR="009D12AF" w:rsidRDefault="00000000">
            <w:pPr>
              <w:spacing w:line="240" w:lineRule="auto"/>
              <w:ind w:firstLineChars="0" w:firstLine="0"/>
              <w:jc w:val="center"/>
              <w:rPr>
                <w:sz w:val="21"/>
                <w:szCs w:val="21"/>
              </w:rPr>
            </w:pPr>
            <w:r>
              <w:rPr>
                <w:rFonts w:ascii="Times New Roman" w:eastAsia="宋体" w:hAnsi="Times New Roman" w:cs="Times New Roman" w:hint="eastAsia"/>
                <w:sz w:val="21"/>
                <w:szCs w:val="21"/>
              </w:rPr>
              <w:t>占用</w:t>
            </w:r>
            <w:r>
              <w:rPr>
                <w:rFonts w:ascii="Times New Roman" w:eastAsia="宋体" w:hAnsi="Times New Roman" w:cs="Times New Roman" w:hint="eastAsia"/>
                <w:sz w:val="21"/>
                <w:szCs w:val="21"/>
              </w:rPr>
              <w:t>1.26hm</w:t>
            </w:r>
            <w:r>
              <w:rPr>
                <w:rFonts w:ascii="Times New Roman" w:eastAsia="宋体" w:hAnsi="Times New Roman" w:cs="Times New Roman" w:hint="eastAsia"/>
                <w:sz w:val="21"/>
                <w:szCs w:val="21"/>
                <w:vertAlign w:val="superscript"/>
              </w:rPr>
              <w:t>2</w:t>
            </w:r>
          </w:p>
        </w:tc>
        <w:tc>
          <w:tcPr>
            <w:tcW w:w="719" w:type="pct"/>
            <w:tcBorders>
              <w:tl2br w:val="nil"/>
              <w:tr2bl w:val="nil"/>
            </w:tcBorders>
            <w:vAlign w:val="center"/>
          </w:tcPr>
          <w:p w14:paraId="48B29EF7" w14:textId="77777777" w:rsidR="009D12AF" w:rsidRDefault="00000000">
            <w:pPr>
              <w:spacing w:line="240" w:lineRule="auto"/>
              <w:ind w:firstLineChars="0" w:firstLine="0"/>
              <w:jc w:val="center"/>
              <w:rPr>
                <w:sz w:val="21"/>
                <w:szCs w:val="21"/>
              </w:rPr>
            </w:pPr>
            <w:r>
              <w:rPr>
                <w:sz w:val="21"/>
                <w:szCs w:val="21"/>
              </w:rPr>
              <w:t>居住区、淤泥堆放区、机械设备停放区、施工便道</w:t>
            </w:r>
          </w:p>
        </w:tc>
        <w:tc>
          <w:tcPr>
            <w:tcW w:w="614" w:type="pct"/>
            <w:vMerge/>
            <w:tcBorders>
              <w:tl2br w:val="nil"/>
              <w:tr2bl w:val="nil"/>
            </w:tcBorders>
            <w:vAlign w:val="center"/>
          </w:tcPr>
          <w:p w14:paraId="07894931" w14:textId="77777777" w:rsidR="009D12AF" w:rsidRDefault="009D12AF">
            <w:pPr>
              <w:spacing w:line="240" w:lineRule="auto"/>
              <w:ind w:firstLineChars="0" w:firstLine="0"/>
              <w:jc w:val="center"/>
              <w:rPr>
                <w:sz w:val="21"/>
                <w:szCs w:val="21"/>
              </w:rPr>
            </w:pPr>
          </w:p>
        </w:tc>
        <w:tc>
          <w:tcPr>
            <w:tcW w:w="998" w:type="pct"/>
            <w:tcBorders>
              <w:tl2br w:val="nil"/>
              <w:tr2bl w:val="nil"/>
            </w:tcBorders>
            <w:vAlign w:val="center"/>
          </w:tcPr>
          <w:p w14:paraId="38C9A003" w14:textId="77777777" w:rsidR="009D12AF" w:rsidRDefault="00000000">
            <w:pPr>
              <w:ind w:firstLineChars="0" w:firstLine="0"/>
              <w:jc w:val="center"/>
              <w:rPr>
                <w:sz w:val="21"/>
                <w:szCs w:val="21"/>
              </w:rPr>
            </w:pPr>
            <w:r>
              <w:rPr>
                <w:rFonts w:ascii="Times New Roman" w:eastAsia="宋体" w:hAnsi="Times New Roman" w:cs="Times New Roman"/>
                <w:bCs/>
                <w:kern w:val="0"/>
                <w:sz w:val="21"/>
                <w:szCs w:val="21"/>
              </w:rPr>
              <w:t>施工活动不得影响海林莲花湖</w:t>
            </w:r>
            <w:r>
              <w:rPr>
                <w:rFonts w:ascii="Times New Roman" w:eastAsia="宋体" w:hAnsi="Times New Roman" w:cs="Times New Roman" w:hint="eastAsia"/>
                <w:bCs/>
                <w:kern w:val="0"/>
                <w:sz w:val="21"/>
                <w:szCs w:val="21"/>
              </w:rPr>
              <w:t>风景名胜区</w:t>
            </w:r>
            <w:r>
              <w:rPr>
                <w:rFonts w:ascii="Times New Roman" w:eastAsia="宋体" w:hAnsi="Times New Roman" w:cs="Times New Roman"/>
                <w:bCs/>
                <w:kern w:val="0"/>
                <w:sz w:val="21"/>
                <w:szCs w:val="21"/>
              </w:rPr>
              <w:t>环境功能</w:t>
            </w:r>
            <w:r>
              <w:rPr>
                <w:rFonts w:ascii="Times New Roman" w:eastAsia="宋体" w:hAnsi="Times New Roman" w:cs="Times New Roman" w:hint="eastAsia"/>
                <w:bCs/>
                <w:kern w:val="0"/>
                <w:sz w:val="21"/>
                <w:szCs w:val="21"/>
              </w:rPr>
              <w:t>，</w:t>
            </w:r>
            <w:r>
              <w:rPr>
                <w:rFonts w:ascii="Times New Roman" w:eastAsia="宋体" w:hAnsi="Times New Roman" w:cs="Times New Roman" w:hint="eastAsia"/>
                <w:sz w:val="21"/>
                <w:szCs w:val="21"/>
              </w:rPr>
              <w:t>严格保护、科学规划、统一管理、合理利用、协调发展</w:t>
            </w:r>
          </w:p>
        </w:tc>
      </w:tr>
      <w:tr w:rsidR="009D12AF" w14:paraId="2617F4F1" w14:textId="77777777">
        <w:tc>
          <w:tcPr>
            <w:tcW w:w="278" w:type="pct"/>
            <w:vMerge/>
            <w:tcBorders>
              <w:tl2br w:val="nil"/>
              <w:tr2bl w:val="nil"/>
            </w:tcBorders>
            <w:vAlign w:val="center"/>
          </w:tcPr>
          <w:p w14:paraId="39571CA9" w14:textId="77777777" w:rsidR="009D12AF" w:rsidRDefault="009D12AF">
            <w:pPr>
              <w:spacing w:line="240" w:lineRule="auto"/>
              <w:ind w:firstLineChars="0" w:firstLine="0"/>
              <w:jc w:val="center"/>
              <w:rPr>
                <w:sz w:val="21"/>
                <w:szCs w:val="21"/>
              </w:rPr>
            </w:pPr>
          </w:p>
        </w:tc>
        <w:tc>
          <w:tcPr>
            <w:tcW w:w="279" w:type="pct"/>
            <w:vMerge/>
            <w:tcBorders>
              <w:tl2br w:val="nil"/>
              <w:tr2bl w:val="nil"/>
            </w:tcBorders>
            <w:vAlign w:val="center"/>
          </w:tcPr>
          <w:p w14:paraId="5DF34F91" w14:textId="77777777" w:rsidR="009D12AF" w:rsidRDefault="009D12AF">
            <w:pPr>
              <w:spacing w:line="240" w:lineRule="auto"/>
              <w:ind w:firstLineChars="0" w:firstLine="0"/>
              <w:jc w:val="center"/>
              <w:rPr>
                <w:sz w:val="21"/>
                <w:szCs w:val="21"/>
              </w:rPr>
            </w:pPr>
          </w:p>
        </w:tc>
        <w:tc>
          <w:tcPr>
            <w:tcW w:w="1503" w:type="pct"/>
            <w:gridSpan w:val="2"/>
            <w:tcBorders>
              <w:tl2br w:val="nil"/>
              <w:tr2bl w:val="nil"/>
            </w:tcBorders>
            <w:vAlign w:val="center"/>
          </w:tcPr>
          <w:p w14:paraId="5A405527" w14:textId="77777777" w:rsidR="009D12AF" w:rsidRDefault="00000000">
            <w:pPr>
              <w:spacing w:line="240" w:lineRule="auto"/>
              <w:ind w:firstLineChars="0" w:firstLine="0"/>
              <w:jc w:val="center"/>
              <w:rPr>
                <w:sz w:val="21"/>
                <w:szCs w:val="21"/>
              </w:rPr>
            </w:pPr>
            <w:r>
              <w:rPr>
                <w:rFonts w:hint="eastAsia"/>
                <w:sz w:val="21"/>
                <w:szCs w:val="21"/>
              </w:rPr>
              <w:t>威虎山国家森林公园</w:t>
            </w:r>
          </w:p>
        </w:tc>
        <w:tc>
          <w:tcPr>
            <w:tcW w:w="606" w:type="pct"/>
            <w:tcBorders>
              <w:tl2br w:val="nil"/>
              <w:tr2bl w:val="nil"/>
            </w:tcBorders>
            <w:vAlign w:val="center"/>
          </w:tcPr>
          <w:p w14:paraId="710F8D16" w14:textId="77777777" w:rsidR="009D12AF" w:rsidRDefault="00000000">
            <w:pPr>
              <w:spacing w:line="240" w:lineRule="auto"/>
              <w:ind w:firstLineChars="0" w:firstLine="0"/>
              <w:jc w:val="center"/>
              <w:rPr>
                <w:sz w:val="21"/>
                <w:szCs w:val="21"/>
              </w:rPr>
            </w:pPr>
            <w:r>
              <w:rPr>
                <w:rFonts w:hint="eastAsia"/>
                <w:sz w:val="21"/>
                <w:szCs w:val="21"/>
              </w:rPr>
              <w:t>占用</w:t>
            </w:r>
            <w:r>
              <w:rPr>
                <w:rFonts w:ascii="Times New Roman" w:eastAsia="宋体" w:hAnsi="Times New Roman" w:cs="Times New Roman" w:hint="eastAsia"/>
                <w:sz w:val="21"/>
                <w:szCs w:val="21"/>
              </w:rPr>
              <w:t>0.99hm</w:t>
            </w:r>
            <w:r>
              <w:rPr>
                <w:rFonts w:ascii="Times New Roman" w:eastAsia="宋体" w:hAnsi="Times New Roman" w:cs="Times New Roman" w:hint="eastAsia"/>
                <w:sz w:val="21"/>
                <w:szCs w:val="21"/>
                <w:vertAlign w:val="superscript"/>
              </w:rPr>
              <w:t>2</w:t>
            </w:r>
          </w:p>
        </w:tc>
        <w:tc>
          <w:tcPr>
            <w:tcW w:w="719" w:type="pct"/>
            <w:tcBorders>
              <w:tl2br w:val="nil"/>
              <w:tr2bl w:val="nil"/>
            </w:tcBorders>
            <w:vAlign w:val="center"/>
          </w:tcPr>
          <w:p w14:paraId="7CA46F9D" w14:textId="77777777" w:rsidR="009D12AF" w:rsidRDefault="00000000">
            <w:pPr>
              <w:spacing w:line="240" w:lineRule="auto"/>
              <w:ind w:firstLineChars="0" w:firstLine="0"/>
              <w:jc w:val="center"/>
              <w:rPr>
                <w:sz w:val="21"/>
                <w:szCs w:val="21"/>
              </w:rPr>
            </w:pPr>
            <w:r>
              <w:rPr>
                <w:sz w:val="21"/>
                <w:szCs w:val="21"/>
              </w:rPr>
              <w:t>居住区、淤泥堆放区、</w:t>
            </w:r>
            <w:r>
              <w:rPr>
                <w:sz w:val="21"/>
                <w:szCs w:val="21"/>
              </w:rPr>
              <w:lastRenderedPageBreak/>
              <w:t>机械设备停放区、施工便道</w:t>
            </w:r>
          </w:p>
        </w:tc>
        <w:tc>
          <w:tcPr>
            <w:tcW w:w="614" w:type="pct"/>
            <w:vMerge/>
            <w:tcBorders>
              <w:tl2br w:val="nil"/>
              <w:tr2bl w:val="nil"/>
            </w:tcBorders>
            <w:vAlign w:val="center"/>
          </w:tcPr>
          <w:p w14:paraId="4B5AC628" w14:textId="77777777" w:rsidR="009D12AF" w:rsidRDefault="009D12AF">
            <w:pPr>
              <w:spacing w:line="240" w:lineRule="auto"/>
              <w:ind w:firstLineChars="0" w:firstLine="0"/>
              <w:jc w:val="center"/>
              <w:rPr>
                <w:sz w:val="21"/>
                <w:szCs w:val="21"/>
              </w:rPr>
            </w:pPr>
          </w:p>
        </w:tc>
        <w:tc>
          <w:tcPr>
            <w:tcW w:w="998" w:type="pct"/>
            <w:tcBorders>
              <w:tl2br w:val="nil"/>
              <w:tr2bl w:val="nil"/>
            </w:tcBorders>
            <w:vAlign w:val="center"/>
          </w:tcPr>
          <w:p w14:paraId="7470CA90" w14:textId="77777777" w:rsidR="009D12AF" w:rsidRDefault="00000000">
            <w:pPr>
              <w:ind w:firstLineChars="0" w:firstLine="0"/>
              <w:jc w:val="center"/>
              <w:rPr>
                <w:sz w:val="21"/>
                <w:szCs w:val="21"/>
              </w:rPr>
            </w:pPr>
            <w:r>
              <w:rPr>
                <w:rFonts w:ascii="Times New Roman" w:eastAsia="宋体" w:hAnsi="Times New Roman" w:cs="Times New Roman"/>
                <w:bCs/>
                <w:kern w:val="0"/>
                <w:sz w:val="21"/>
                <w:szCs w:val="21"/>
              </w:rPr>
              <w:t>严格保护、科学</w:t>
            </w:r>
            <w:r>
              <w:rPr>
                <w:rFonts w:ascii="Times New Roman" w:eastAsia="宋体" w:hAnsi="Times New Roman" w:cs="Times New Roman"/>
                <w:bCs/>
                <w:kern w:val="0"/>
                <w:sz w:val="21"/>
                <w:szCs w:val="21"/>
              </w:rPr>
              <w:lastRenderedPageBreak/>
              <w:t>规划、统一管理、合理利用、协调发展</w:t>
            </w:r>
          </w:p>
        </w:tc>
      </w:tr>
      <w:tr w:rsidR="009D12AF" w14:paraId="49CD1A8F" w14:textId="77777777">
        <w:trPr>
          <w:trHeight w:val="462"/>
        </w:trPr>
        <w:tc>
          <w:tcPr>
            <w:tcW w:w="278" w:type="pct"/>
            <w:vMerge/>
            <w:tcBorders>
              <w:tl2br w:val="nil"/>
              <w:tr2bl w:val="nil"/>
            </w:tcBorders>
            <w:vAlign w:val="center"/>
          </w:tcPr>
          <w:p w14:paraId="001C9A7F" w14:textId="77777777" w:rsidR="009D12AF" w:rsidRDefault="009D12AF">
            <w:pPr>
              <w:spacing w:line="240" w:lineRule="auto"/>
              <w:ind w:firstLineChars="0" w:firstLine="0"/>
              <w:jc w:val="center"/>
              <w:rPr>
                <w:sz w:val="21"/>
                <w:szCs w:val="21"/>
              </w:rPr>
            </w:pPr>
          </w:p>
        </w:tc>
        <w:tc>
          <w:tcPr>
            <w:tcW w:w="279" w:type="pct"/>
            <w:vMerge/>
            <w:tcBorders>
              <w:tl2br w:val="nil"/>
              <w:tr2bl w:val="nil"/>
            </w:tcBorders>
            <w:vAlign w:val="center"/>
          </w:tcPr>
          <w:p w14:paraId="645F9E8D" w14:textId="77777777" w:rsidR="009D12AF" w:rsidRDefault="009D12AF">
            <w:pPr>
              <w:spacing w:line="240" w:lineRule="auto"/>
              <w:ind w:firstLineChars="0" w:firstLine="0"/>
              <w:jc w:val="center"/>
              <w:rPr>
                <w:sz w:val="21"/>
                <w:szCs w:val="21"/>
              </w:rPr>
            </w:pPr>
          </w:p>
        </w:tc>
        <w:tc>
          <w:tcPr>
            <w:tcW w:w="383" w:type="pct"/>
            <w:vMerge w:val="restart"/>
            <w:tcBorders>
              <w:tl2br w:val="nil"/>
              <w:tr2bl w:val="nil"/>
            </w:tcBorders>
            <w:vAlign w:val="center"/>
          </w:tcPr>
          <w:p w14:paraId="43526BB4" w14:textId="77777777" w:rsidR="009D12AF" w:rsidRDefault="00000000">
            <w:pPr>
              <w:spacing w:line="240" w:lineRule="auto"/>
              <w:ind w:firstLineChars="0" w:firstLine="0"/>
              <w:jc w:val="center"/>
              <w:rPr>
                <w:sz w:val="21"/>
                <w:szCs w:val="21"/>
              </w:rPr>
            </w:pPr>
            <w:r>
              <w:rPr>
                <w:rFonts w:hint="eastAsia"/>
                <w:sz w:val="21"/>
                <w:szCs w:val="21"/>
              </w:rPr>
              <w:t>生态保护红线</w:t>
            </w:r>
          </w:p>
        </w:tc>
        <w:tc>
          <w:tcPr>
            <w:tcW w:w="1120" w:type="pct"/>
            <w:tcBorders>
              <w:tl2br w:val="nil"/>
              <w:tr2bl w:val="nil"/>
            </w:tcBorders>
            <w:vAlign w:val="center"/>
          </w:tcPr>
          <w:p w14:paraId="4BFAB082" w14:textId="77777777" w:rsidR="009D12AF" w:rsidRDefault="00000000">
            <w:pPr>
              <w:ind w:firstLineChars="0" w:firstLine="0"/>
              <w:rPr>
                <w:sz w:val="21"/>
                <w:szCs w:val="21"/>
              </w:rPr>
            </w:pPr>
            <w:r>
              <w:rPr>
                <w:rFonts w:ascii="Times New Roman" w:eastAsia="宋体" w:hAnsi="Times New Roman" w:cs="Times New Roman"/>
                <w:color w:val="000000"/>
                <w:kern w:val="0"/>
                <w:sz w:val="21"/>
                <w:szCs w:val="21"/>
              </w:rPr>
              <w:t>海林市张广才岭</w:t>
            </w:r>
            <w:r>
              <w:rPr>
                <w:rFonts w:ascii="Times New Roman" w:eastAsia="宋体" w:hAnsi="Times New Roman" w:cs="Times New Roman"/>
                <w:color w:val="000000"/>
                <w:kern w:val="0"/>
                <w:sz w:val="21"/>
                <w:szCs w:val="21"/>
              </w:rPr>
              <w:t>-</w:t>
            </w:r>
            <w:r>
              <w:rPr>
                <w:rFonts w:ascii="Times New Roman" w:eastAsia="宋体" w:hAnsi="Times New Roman" w:cs="Times New Roman"/>
                <w:color w:val="000000"/>
                <w:kern w:val="0"/>
                <w:sz w:val="21"/>
                <w:szCs w:val="21"/>
              </w:rPr>
              <w:t>老爷岭水源涵养与生物多样性维护功能生态保护红线</w:t>
            </w:r>
            <w:r>
              <w:rPr>
                <w:rFonts w:ascii="Times New Roman" w:eastAsia="宋体" w:hAnsi="Times New Roman" w:cs="Times New Roman"/>
                <w:color w:val="000000"/>
                <w:kern w:val="0"/>
                <w:sz w:val="21"/>
                <w:szCs w:val="21"/>
              </w:rPr>
              <w:t>-</w:t>
            </w:r>
            <w:r>
              <w:rPr>
                <w:rFonts w:ascii="Times New Roman" w:eastAsia="宋体" w:hAnsi="Times New Roman" w:cs="Times New Roman"/>
                <w:color w:val="000000"/>
                <w:kern w:val="0"/>
                <w:sz w:val="21"/>
                <w:szCs w:val="21"/>
              </w:rPr>
              <w:t>水土保持生态功能重要区</w:t>
            </w:r>
          </w:p>
        </w:tc>
        <w:tc>
          <w:tcPr>
            <w:tcW w:w="606" w:type="pct"/>
            <w:tcBorders>
              <w:tl2br w:val="nil"/>
              <w:tr2bl w:val="nil"/>
            </w:tcBorders>
            <w:vAlign w:val="center"/>
          </w:tcPr>
          <w:p w14:paraId="6B523614" w14:textId="77777777" w:rsidR="009D12AF" w:rsidRDefault="00000000">
            <w:pPr>
              <w:ind w:firstLineChars="0" w:firstLine="0"/>
              <w:jc w:val="center"/>
              <w:rPr>
                <w:sz w:val="21"/>
                <w:szCs w:val="21"/>
              </w:rPr>
            </w:pPr>
            <w:r>
              <w:rPr>
                <w:rFonts w:hint="eastAsia"/>
                <w:sz w:val="21"/>
                <w:szCs w:val="21"/>
              </w:rPr>
              <w:t>不占用</w:t>
            </w:r>
          </w:p>
        </w:tc>
        <w:tc>
          <w:tcPr>
            <w:tcW w:w="719" w:type="pct"/>
            <w:tcBorders>
              <w:tl2br w:val="nil"/>
              <w:tr2bl w:val="nil"/>
            </w:tcBorders>
            <w:vAlign w:val="center"/>
          </w:tcPr>
          <w:p w14:paraId="4BF188B6" w14:textId="77777777" w:rsidR="009D12AF" w:rsidRDefault="00000000">
            <w:pPr>
              <w:ind w:firstLineChars="0" w:firstLine="0"/>
              <w:jc w:val="center"/>
              <w:rPr>
                <w:sz w:val="21"/>
                <w:szCs w:val="21"/>
              </w:rPr>
            </w:pPr>
            <w:r>
              <w:rPr>
                <w:rFonts w:ascii="Times New Roman" w:eastAsia="宋体" w:hAnsi="Times New Roman" w:cs="Times New Roman" w:hint="eastAsia"/>
                <w:sz w:val="21"/>
                <w:szCs w:val="21"/>
              </w:rPr>
              <w:t>位于评价范围内，处于项目周边，距离项目临时占地边界最近</w:t>
            </w:r>
            <w:r>
              <w:rPr>
                <w:rFonts w:ascii="Times New Roman" w:eastAsia="宋体" w:hAnsi="Times New Roman" w:cs="Times New Roman" w:hint="eastAsia"/>
                <w:sz w:val="21"/>
                <w:szCs w:val="21"/>
              </w:rPr>
              <w:t>1741</w:t>
            </w:r>
            <w:r>
              <w:rPr>
                <w:rFonts w:ascii="Times New Roman" w:eastAsia="宋体" w:hAnsi="Times New Roman" w:cs="Times New Roman"/>
                <w:sz w:val="21"/>
                <w:szCs w:val="21"/>
              </w:rPr>
              <w:t>m</w:t>
            </w:r>
          </w:p>
        </w:tc>
        <w:tc>
          <w:tcPr>
            <w:tcW w:w="614" w:type="pct"/>
            <w:vMerge/>
            <w:tcBorders>
              <w:tl2br w:val="nil"/>
              <w:tr2bl w:val="nil"/>
            </w:tcBorders>
            <w:vAlign w:val="center"/>
          </w:tcPr>
          <w:p w14:paraId="0C169A3E" w14:textId="77777777" w:rsidR="009D12AF" w:rsidRDefault="009D12AF">
            <w:pPr>
              <w:spacing w:line="240" w:lineRule="auto"/>
              <w:ind w:firstLineChars="0" w:firstLine="0"/>
              <w:jc w:val="center"/>
              <w:rPr>
                <w:sz w:val="21"/>
                <w:szCs w:val="21"/>
              </w:rPr>
            </w:pPr>
          </w:p>
        </w:tc>
        <w:tc>
          <w:tcPr>
            <w:tcW w:w="998" w:type="pct"/>
            <w:tcBorders>
              <w:tl2br w:val="nil"/>
              <w:tr2bl w:val="nil"/>
            </w:tcBorders>
            <w:vAlign w:val="center"/>
          </w:tcPr>
          <w:p w14:paraId="5A27F41E" w14:textId="77777777" w:rsidR="009D12AF" w:rsidRDefault="00000000">
            <w:pPr>
              <w:ind w:firstLineChars="0" w:firstLine="0"/>
              <w:jc w:val="center"/>
              <w:rPr>
                <w:sz w:val="21"/>
                <w:szCs w:val="21"/>
              </w:rPr>
            </w:pPr>
            <w:r>
              <w:rPr>
                <w:rFonts w:ascii="Times New Roman" w:eastAsia="宋体" w:hAnsi="Times New Roman" w:cs="Times New Roman" w:hint="eastAsia"/>
                <w:sz w:val="21"/>
                <w:szCs w:val="21"/>
              </w:rPr>
              <w:t>严格保护、科学规划、统一管理、合理利用、协调发展</w:t>
            </w:r>
          </w:p>
        </w:tc>
      </w:tr>
      <w:tr w:rsidR="009D12AF" w14:paraId="2BDCDA40" w14:textId="77777777">
        <w:tc>
          <w:tcPr>
            <w:tcW w:w="278" w:type="pct"/>
            <w:vMerge/>
            <w:tcBorders>
              <w:tl2br w:val="nil"/>
              <w:tr2bl w:val="nil"/>
            </w:tcBorders>
            <w:vAlign w:val="center"/>
          </w:tcPr>
          <w:p w14:paraId="5C80BCDC" w14:textId="77777777" w:rsidR="009D12AF" w:rsidRDefault="009D12AF">
            <w:pPr>
              <w:spacing w:line="240" w:lineRule="auto"/>
              <w:ind w:firstLineChars="0" w:firstLine="0"/>
              <w:jc w:val="center"/>
              <w:rPr>
                <w:sz w:val="21"/>
                <w:szCs w:val="21"/>
              </w:rPr>
            </w:pPr>
          </w:p>
        </w:tc>
        <w:tc>
          <w:tcPr>
            <w:tcW w:w="279" w:type="pct"/>
            <w:vMerge/>
            <w:tcBorders>
              <w:tl2br w:val="nil"/>
              <w:tr2bl w:val="nil"/>
            </w:tcBorders>
            <w:vAlign w:val="center"/>
          </w:tcPr>
          <w:p w14:paraId="51DA26C0" w14:textId="77777777" w:rsidR="009D12AF" w:rsidRDefault="009D12AF">
            <w:pPr>
              <w:spacing w:line="240" w:lineRule="auto"/>
              <w:ind w:firstLineChars="0" w:firstLine="0"/>
              <w:jc w:val="center"/>
              <w:rPr>
                <w:sz w:val="21"/>
                <w:szCs w:val="21"/>
              </w:rPr>
            </w:pPr>
          </w:p>
        </w:tc>
        <w:tc>
          <w:tcPr>
            <w:tcW w:w="383" w:type="pct"/>
            <w:vMerge/>
            <w:tcBorders>
              <w:tl2br w:val="nil"/>
              <w:tr2bl w:val="nil"/>
            </w:tcBorders>
            <w:vAlign w:val="center"/>
          </w:tcPr>
          <w:p w14:paraId="390D83FE" w14:textId="77777777" w:rsidR="009D12AF" w:rsidRDefault="009D12AF">
            <w:pPr>
              <w:spacing w:line="240" w:lineRule="auto"/>
              <w:ind w:firstLineChars="0" w:firstLine="0"/>
              <w:jc w:val="center"/>
              <w:rPr>
                <w:sz w:val="21"/>
                <w:szCs w:val="21"/>
              </w:rPr>
            </w:pPr>
          </w:p>
        </w:tc>
        <w:tc>
          <w:tcPr>
            <w:tcW w:w="1120" w:type="pct"/>
            <w:tcBorders>
              <w:tl2br w:val="nil"/>
              <w:tr2bl w:val="nil"/>
            </w:tcBorders>
            <w:vAlign w:val="center"/>
          </w:tcPr>
          <w:p w14:paraId="568D84DC" w14:textId="77777777" w:rsidR="009D12AF" w:rsidRDefault="00000000">
            <w:pPr>
              <w:ind w:firstLineChars="0" w:firstLine="0"/>
              <w:rPr>
                <w:sz w:val="21"/>
                <w:szCs w:val="21"/>
              </w:rPr>
            </w:pPr>
            <w:r>
              <w:rPr>
                <w:rFonts w:ascii="Times New Roman" w:eastAsia="宋体" w:hAnsi="Times New Roman" w:cs="Times New Roman"/>
                <w:color w:val="000000"/>
                <w:kern w:val="0"/>
                <w:sz w:val="21"/>
                <w:szCs w:val="21"/>
              </w:rPr>
              <w:t>海林市张广才岭</w:t>
            </w:r>
            <w:r>
              <w:rPr>
                <w:rFonts w:ascii="Times New Roman" w:eastAsia="宋体" w:hAnsi="Times New Roman" w:cs="Times New Roman"/>
                <w:color w:val="000000"/>
                <w:kern w:val="0"/>
                <w:sz w:val="21"/>
                <w:szCs w:val="21"/>
              </w:rPr>
              <w:t>-</w:t>
            </w:r>
            <w:r>
              <w:rPr>
                <w:rFonts w:ascii="Times New Roman" w:eastAsia="宋体" w:hAnsi="Times New Roman" w:cs="Times New Roman"/>
                <w:color w:val="000000"/>
                <w:kern w:val="0"/>
                <w:sz w:val="21"/>
                <w:szCs w:val="21"/>
              </w:rPr>
              <w:t>老爷岭水源涵养与生物多样性维护功能生态保护红线</w:t>
            </w:r>
            <w:r>
              <w:rPr>
                <w:rFonts w:ascii="Times New Roman" w:eastAsia="宋体" w:hAnsi="Times New Roman" w:cs="Times New Roman"/>
                <w:color w:val="000000"/>
                <w:kern w:val="0"/>
                <w:sz w:val="21"/>
                <w:szCs w:val="21"/>
              </w:rPr>
              <w:t>-</w:t>
            </w:r>
            <w:r>
              <w:rPr>
                <w:rFonts w:ascii="Times New Roman" w:eastAsia="宋体" w:hAnsi="Times New Roman" w:cs="Times New Roman"/>
                <w:color w:val="000000"/>
                <w:kern w:val="0"/>
                <w:sz w:val="21"/>
                <w:szCs w:val="21"/>
              </w:rPr>
              <w:t>生物多样性维护生态功能重要区</w:t>
            </w:r>
          </w:p>
        </w:tc>
        <w:tc>
          <w:tcPr>
            <w:tcW w:w="606" w:type="pct"/>
            <w:tcBorders>
              <w:tl2br w:val="nil"/>
              <w:tr2bl w:val="nil"/>
            </w:tcBorders>
            <w:vAlign w:val="center"/>
          </w:tcPr>
          <w:p w14:paraId="0E2EC0BE" w14:textId="77777777" w:rsidR="009D12AF" w:rsidRDefault="00000000">
            <w:pPr>
              <w:ind w:firstLineChars="0" w:firstLine="0"/>
              <w:jc w:val="center"/>
              <w:rPr>
                <w:sz w:val="21"/>
                <w:szCs w:val="21"/>
              </w:rPr>
            </w:pPr>
            <w:r>
              <w:rPr>
                <w:rFonts w:hint="eastAsia"/>
                <w:sz w:val="21"/>
                <w:szCs w:val="21"/>
              </w:rPr>
              <w:t>占用</w:t>
            </w:r>
            <w:r>
              <w:rPr>
                <w:rFonts w:ascii="Times New Roman" w:eastAsia="宋体" w:hAnsi="Times New Roman" w:cs="Times New Roman" w:hint="eastAsia"/>
                <w:sz w:val="21"/>
                <w:szCs w:val="21"/>
              </w:rPr>
              <w:t>0.69hm</w:t>
            </w:r>
            <w:r>
              <w:rPr>
                <w:rFonts w:ascii="Times New Roman" w:eastAsia="宋体" w:hAnsi="Times New Roman" w:cs="Times New Roman" w:hint="eastAsia"/>
                <w:sz w:val="21"/>
                <w:szCs w:val="21"/>
                <w:vertAlign w:val="superscript"/>
              </w:rPr>
              <w:t>2</w:t>
            </w:r>
          </w:p>
        </w:tc>
        <w:tc>
          <w:tcPr>
            <w:tcW w:w="719" w:type="pct"/>
            <w:tcBorders>
              <w:tl2br w:val="nil"/>
              <w:tr2bl w:val="nil"/>
            </w:tcBorders>
            <w:vAlign w:val="center"/>
          </w:tcPr>
          <w:p w14:paraId="32A5042D" w14:textId="77777777" w:rsidR="009D12AF" w:rsidRDefault="00000000">
            <w:pPr>
              <w:ind w:firstLineChars="0" w:firstLine="0"/>
              <w:jc w:val="center"/>
              <w:rPr>
                <w:sz w:val="21"/>
                <w:szCs w:val="21"/>
              </w:rPr>
            </w:pPr>
            <w:r>
              <w:rPr>
                <w:rFonts w:ascii="Times New Roman" w:eastAsia="宋体" w:hAnsi="Times New Roman" w:cs="Times New Roman" w:hint="eastAsia"/>
                <w:sz w:val="21"/>
                <w:szCs w:val="21"/>
              </w:rPr>
              <w:t>机械设备停放区、施工便道</w:t>
            </w:r>
          </w:p>
        </w:tc>
        <w:tc>
          <w:tcPr>
            <w:tcW w:w="614" w:type="pct"/>
            <w:vMerge/>
            <w:tcBorders>
              <w:tl2br w:val="nil"/>
              <w:tr2bl w:val="nil"/>
            </w:tcBorders>
            <w:vAlign w:val="center"/>
          </w:tcPr>
          <w:p w14:paraId="7F9E134D" w14:textId="77777777" w:rsidR="009D12AF" w:rsidRDefault="009D12AF">
            <w:pPr>
              <w:spacing w:line="240" w:lineRule="auto"/>
              <w:ind w:firstLineChars="0" w:firstLine="0"/>
              <w:jc w:val="center"/>
              <w:rPr>
                <w:sz w:val="21"/>
                <w:szCs w:val="21"/>
              </w:rPr>
            </w:pPr>
          </w:p>
        </w:tc>
        <w:tc>
          <w:tcPr>
            <w:tcW w:w="998" w:type="pct"/>
            <w:tcBorders>
              <w:tl2br w:val="nil"/>
              <w:tr2bl w:val="nil"/>
            </w:tcBorders>
            <w:vAlign w:val="center"/>
          </w:tcPr>
          <w:p w14:paraId="6E5772D2" w14:textId="77777777" w:rsidR="009D12AF" w:rsidRDefault="00000000">
            <w:pPr>
              <w:ind w:firstLineChars="0" w:firstLine="0"/>
              <w:jc w:val="center"/>
              <w:rPr>
                <w:sz w:val="21"/>
                <w:szCs w:val="21"/>
              </w:rPr>
            </w:pPr>
            <w:r>
              <w:rPr>
                <w:rFonts w:ascii="Times New Roman" w:eastAsia="宋体" w:hAnsi="Times New Roman" w:cs="Times New Roman" w:hint="eastAsia"/>
                <w:sz w:val="21"/>
                <w:szCs w:val="21"/>
              </w:rPr>
              <w:t>严格保护、科学规划、统一管理、合理利用、协调发展</w:t>
            </w:r>
          </w:p>
        </w:tc>
      </w:tr>
      <w:tr w:rsidR="009D12AF" w14:paraId="360274D4" w14:textId="77777777">
        <w:tc>
          <w:tcPr>
            <w:tcW w:w="278" w:type="pct"/>
            <w:vMerge/>
            <w:tcBorders>
              <w:tl2br w:val="nil"/>
              <w:tr2bl w:val="nil"/>
            </w:tcBorders>
            <w:vAlign w:val="center"/>
          </w:tcPr>
          <w:p w14:paraId="52AD9BBF" w14:textId="77777777" w:rsidR="009D12AF" w:rsidRDefault="009D12AF">
            <w:pPr>
              <w:spacing w:line="240" w:lineRule="auto"/>
              <w:ind w:firstLineChars="0" w:firstLine="0"/>
              <w:jc w:val="center"/>
              <w:rPr>
                <w:sz w:val="21"/>
                <w:szCs w:val="21"/>
              </w:rPr>
            </w:pPr>
          </w:p>
        </w:tc>
        <w:tc>
          <w:tcPr>
            <w:tcW w:w="279" w:type="pct"/>
            <w:vMerge/>
            <w:tcBorders>
              <w:tl2br w:val="nil"/>
              <w:tr2bl w:val="nil"/>
            </w:tcBorders>
            <w:vAlign w:val="center"/>
          </w:tcPr>
          <w:p w14:paraId="693CC7B3" w14:textId="77777777" w:rsidR="009D12AF" w:rsidRDefault="009D12AF">
            <w:pPr>
              <w:spacing w:line="240" w:lineRule="auto"/>
              <w:ind w:firstLineChars="0" w:firstLine="0"/>
              <w:jc w:val="center"/>
              <w:rPr>
                <w:sz w:val="21"/>
                <w:szCs w:val="21"/>
              </w:rPr>
            </w:pPr>
          </w:p>
        </w:tc>
        <w:tc>
          <w:tcPr>
            <w:tcW w:w="1503" w:type="pct"/>
            <w:gridSpan w:val="2"/>
            <w:tcBorders>
              <w:tl2br w:val="nil"/>
              <w:tr2bl w:val="nil"/>
            </w:tcBorders>
            <w:vAlign w:val="center"/>
          </w:tcPr>
          <w:p w14:paraId="5BC60BA5"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永久基本农田</w:t>
            </w:r>
          </w:p>
        </w:tc>
        <w:tc>
          <w:tcPr>
            <w:tcW w:w="606" w:type="pct"/>
            <w:tcBorders>
              <w:tl2br w:val="nil"/>
              <w:tr2bl w:val="nil"/>
            </w:tcBorders>
            <w:vAlign w:val="center"/>
          </w:tcPr>
          <w:p w14:paraId="57B9AF2D" w14:textId="77777777" w:rsidR="009D12AF" w:rsidRDefault="00000000">
            <w:pPr>
              <w:ind w:firstLineChars="0" w:firstLine="0"/>
              <w:jc w:val="center"/>
              <w:rPr>
                <w:rFonts w:ascii="Times New Roman" w:eastAsia="宋体" w:hAnsi="Times New Roman" w:cs="Times New Roman"/>
                <w:sz w:val="21"/>
                <w:szCs w:val="21"/>
              </w:rPr>
            </w:pPr>
            <w:r>
              <w:rPr>
                <w:rFonts w:hint="eastAsia"/>
                <w:sz w:val="21"/>
                <w:szCs w:val="21"/>
              </w:rPr>
              <w:t>占用</w:t>
            </w:r>
            <w:r>
              <w:rPr>
                <w:rFonts w:ascii="Times New Roman" w:eastAsia="宋体" w:hAnsi="Times New Roman" w:cs="Times New Roman" w:hint="eastAsia"/>
                <w:sz w:val="21"/>
                <w:szCs w:val="21"/>
              </w:rPr>
              <w:t>1.03 hm</w:t>
            </w:r>
            <w:r>
              <w:rPr>
                <w:rFonts w:ascii="Times New Roman" w:eastAsia="宋体" w:hAnsi="Times New Roman" w:cs="Times New Roman" w:hint="eastAsia"/>
                <w:sz w:val="21"/>
                <w:szCs w:val="21"/>
                <w:vertAlign w:val="superscript"/>
              </w:rPr>
              <w:t>2</w:t>
            </w:r>
          </w:p>
        </w:tc>
        <w:tc>
          <w:tcPr>
            <w:tcW w:w="719" w:type="pct"/>
            <w:tcBorders>
              <w:tl2br w:val="nil"/>
              <w:tr2bl w:val="nil"/>
            </w:tcBorders>
            <w:vAlign w:val="center"/>
          </w:tcPr>
          <w:p w14:paraId="09824351"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淤泥堆放区、机械设备停放区</w:t>
            </w:r>
          </w:p>
        </w:tc>
        <w:tc>
          <w:tcPr>
            <w:tcW w:w="614" w:type="pct"/>
            <w:vMerge/>
            <w:tcBorders>
              <w:tl2br w:val="nil"/>
              <w:tr2bl w:val="nil"/>
            </w:tcBorders>
            <w:vAlign w:val="center"/>
          </w:tcPr>
          <w:p w14:paraId="655D3877" w14:textId="77777777" w:rsidR="009D12AF" w:rsidRDefault="009D12AF">
            <w:pPr>
              <w:spacing w:line="240" w:lineRule="auto"/>
              <w:ind w:firstLineChars="0" w:firstLine="0"/>
              <w:jc w:val="center"/>
              <w:rPr>
                <w:sz w:val="21"/>
                <w:szCs w:val="21"/>
              </w:rPr>
            </w:pPr>
          </w:p>
        </w:tc>
        <w:tc>
          <w:tcPr>
            <w:tcW w:w="998" w:type="pct"/>
            <w:tcBorders>
              <w:tl2br w:val="nil"/>
              <w:tr2bl w:val="nil"/>
            </w:tcBorders>
            <w:vAlign w:val="center"/>
          </w:tcPr>
          <w:p w14:paraId="444C165B"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严格保护、科学规划、统一管理、合理利用、协调发展、占补平衡</w:t>
            </w:r>
          </w:p>
        </w:tc>
      </w:tr>
      <w:tr w:rsidR="009D12AF" w14:paraId="4A23D357" w14:textId="77777777">
        <w:tc>
          <w:tcPr>
            <w:tcW w:w="278" w:type="pct"/>
            <w:vMerge/>
            <w:tcBorders>
              <w:tl2br w:val="nil"/>
              <w:tr2bl w:val="nil"/>
            </w:tcBorders>
            <w:vAlign w:val="center"/>
          </w:tcPr>
          <w:p w14:paraId="1748C5B4" w14:textId="77777777" w:rsidR="009D12AF" w:rsidRDefault="009D12AF">
            <w:pPr>
              <w:spacing w:line="240" w:lineRule="auto"/>
              <w:ind w:firstLineChars="0" w:firstLine="0"/>
              <w:jc w:val="center"/>
              <w:rPr>
                <w:sz w:val="21"/>
                <w:szCs w:val="21"/>
              </w:rPr>
            </w:pPr>
          </w:p>
        </w:tc>
        <w:tc>
          <w:tcPr>
            <w:tcW w:w="279" w:type="pct"/>
            <w:vMerge/>
            <w:tcBorders>
              <w:tl2br w:val="nil"/>
              <w:tr2bl w:val="nil"/>
            </w:tcBorders>
            <w:vAlign w:val="center"/>
          </w:tcPr>
          <w:p w14:paraId="5DD55851" w14:textId="77777777" w:rsidR="009D12AF" w:rsidRDefault="009D12AF">
            <w:pPr>
              <w:spacing w:line="240" w:lineRule="auto"/>
              <w:ind w:firstLineChars="0" w:firstLine="0"/>
              <w:jc w:val="center"/>
              <w:rPr>
                <w:sz w:val="21"/>
                <w:szCs w:val="21"/>
              </w:rPr>
            </w:pPr>
          </w:p>
        </w:tc>
        <w:tc>
          <w:tcPr>
            <w:tcW w:w="1503" w:type="pct"/>
            <w:gridSpan w:val="2"/>
            <w:tcBorders>
              <w:tl2br w:val="nil"/>
              <w:tr2bl w:val="nil"/>
            </w:tcBorders>
            <w:vAlign w:val="center"/>
          </w:tcPr>
          <w:p w14:paraId="5CA9F1AB"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黑土地</w:t>
            </w:r>
          </w:p>
        </w:tc>
        <w:tc>
          <w:tcPr>
            <w:tcW w:w="606" w:type="pct"/>
            <w:tcBorders>
              <w:tl2br w:val="nil"/>
              <w:tr2bl w:val="nil"/>
            </w:tcBorders>
            <w:vAlign w:val="center"/>
          </w:tcPr>
          <w:p w14:paraId="7EA90994" w14:textId="77777777" w:rsidR="009D12AF" w:rsidRDefault="00000000">
            <w:pPr>
              <w:ind w:firstLineChars="0" w:firstLine="0"/>
              <w:jc w:val="center"/>
              <w:rPr>
                <w:sz w:val="21"/>
                <w:szCs w:val="21"/>
              </w:rPr>
            </w:pPr>
            <w:r>
              <w:rPr>
                <w:rFonts w:hint="eastAsia"/>
                <w:sz w:val="21"/>
                <w:szCs w:val="21"/>
              </w:rPr>
              <w:t>占用</w:t>
            </w:r>
            <w:r>
              <w:rPr>
                <w:rFonts w:ascii="Times New Roman" w:eastAsia="宋体" w:hAnsi="Times New Roman" w:cs="Times New Roman" w:hint="eastAsia"/>
                <w:sz w:val="21"/>
                <w:szCs w:val="21"/>
              </w:rPr>
              <w:t>1.03 hm</w:t>
            </w:r>
            <w:r>
              <w:rPr>
                <w:rFonts w:ascii="Times New Roman" w:eastAsia="宋体" w:hAnsi="Times New Roman" w:cs="Times New Roman" w:hint="eastAsia"/>
                <w:sz w:val="21"/>
                <w:szCs w:val="21"/>
                <w:vertAlign w:val="superscript"/>
              </w:rPr>
              <w:t>2</w:t>
            </w:r>
          </w:p>
        </w:tc>
        <w:tc>
          <w:tcPr>
            <w:tcW w:w="719" w:type="pct"/>
            <w:tcBorders>
              <w:tl2br w:val="nil"/>
              <w:tr2bl w:val="nil"/>
            </w:tcBorders>
            <w:vAlign w:val="center"/>
          </w:tcPr>
          <w:p w14:paraId="35E17883"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工程所占耕地</w:t>
            </w:r>
          </w:p>
        </w:tc>
        <w:tc>
          <w:tcPr>
            <w:tcW w:w="614" w:type="pct"/>
            <w:vMerge/>
            <w:tcBorders>
              <w:tl2br w:val="nil"/>
              <w:tr2bl w:val="nil"/>
            </w:tcBorders>
            <w:vAlign w:val="center"/>
          </w:tcPr>
          <w:p w14:paraId="25D91C46" w14:textId="77777777" w:rsidR="009D12AF" w:rsidRDefault="009D12AF">
            <w:pPr>
              <w:spacing w:line="240" w:lineRule="auto"/>
              <w:ind w:firstLineChars="0" w:firstLine="0"/>
              <w:jc w:val="center"/>
              <w:rPr>
                <w:sz w:val="21"/>
                <w:szCs w:val="21"/>
              </w:rPr>
            </w:pPr>
          </w:p>
        </w:tc>
        <w:tc>
          <w:tcPr>
            <w:tcW w:w="998" w:type="pct"/>
            <w:tcBorders>
              <w:tl2br w:val="nil"/>
              <w:tr2bl w:val="nil"/>
            </w:tcBorders>
            <w:vAlign w:val="center"/>
          </w:tcPr>
          <w:p w14:paraId="151E6560" w14:textId="77777777" w:rsidR="009D12AF" w:rsidRDefault="00000000">
            <w:pPr>
              <w:ind w:firstLineChars="0" w:firstLine="0"/>
              <w:jc w:val="center"/>
              <w:rPr>
                <w:rFonts w:ascii="Times New Roman" w:eastAsia="宋体" w:hAnsi="Times New Roman" w:cs="Times New Roman"/>
                <w:szCs w:val="21"/>
              </w:rPr>
            </w:pPr>
            <w:r>
              <w:rPr>
                <w:rFonts w:ascii="Times New Roman" w:eastAsia="宋体" w:hAnsi="Times New Roman" w:cs="Times New Roman" w:hint="eastAsia"/>
                <w:sz w:val="21"/>
                <w:szCs w:val="21"/>
              </w:rPr>
              <w:t>耕作层表土剥离，严格保护，合理利用，占补平衡</w:t>
            </w:r>
          </w:p>
        </w:tc>
      </w:tr>
      <w:tr w:rsidR="009D12AF" w14:paraId="2D18B3AE" w14:textId="77777777">
        <w:tc>
          <w:tcPr>
            <w:tcW w:w="278" w:type="pct"/>
            <w:vMerge/>
            <w:tcBorders>
              <w:tl2br w:val="nil"/>
              <w:tr2bl w:val="nil"/>
            </w:tcBorders>
            <w:vAlign w:val="center"/>
          </w:tcPr>
          <w:p w14:paraId="5B6F84AC" w14:textId="77777777" w:rsidR="009D12AF" w:rsidRDefault="009D12AF">
            <w:pPr>
              <w:spacing w:line="240" w:lineRule="auto"/>
              <w:ind w:firstLineChars="0" w:firstLine="0"/>
              <w:jc w:val="center"/>
              <w:rPr>
                <w:sz w:val="21"/>
                <w:szCs w:val="21"/>
              </w:rPr>
            </w:pPr>
          </w:p>
        </w:tc>
        <w:tc>
          <w:tcPr>
            <w:tcW w:w="279" w:type="pct"/>
            <w:vMerge/>
            <w:tcBorders>
              <w:tl2br w:val="nil"/>
              <w:tr2bl w:val="nil"/>
            </w:tcBorders>
            <w:vAlign w:val="center"/>
          </w:tcPr>
          <w:p w14:paraId="6041B30B" w14:textId="77777777" w:rsidR="009D12AF" w:rsidRDefault="009D12AF">
            <w:pPr>
              <w:spacing w:line="240" w:lineRule="auto"/>
              <w:ind w:firstLineChars="0" w:firstLine="0"/>
              <w:jc w:val="center"/>
              <w:rPr>
                <w:sz w:val="21"/>
                <w:szCs w:val="21"/>
              </w:rPr>
            </w:pPr>
          </w:p>
        </w:tc>
        <w:tc>
          <w:tcPr>
            <w:tcW w:w="1503" w:type="pct"/>
            <w:gridSpan w:val="2"/>
            <w:tcBorders>
              <w:tl2br w:val="nil"/>
              <w:tr2bl w:val="nil"/>
            </w:tcBorders>
            <w:vAlign w:val="center"/>
          </w:tcPr>
          <w:p w14:paraId="537E90CD"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生态公益林</w:t>
            </w:r>
          </w:p>
        </w:tc>
        <w:tc>
          <w:tcPr>
            <w:tcW w:w="606" w:type="pct"/>
            <w:tcBorders>
              <w:tl2br w:val="nil"/>
              <w:tr2bl w:val="nil"/>
            </w:tcBorders>
            <w:vAlign w:val="center"/>
          </w:tcPr>
          <w:p w14:paraId="3985E037" w14:textId="77777777" w:rsidR="009D12AF" w:rsidRDefault="00000000">
            <w:pPr>
              <w:ind w:firstLineChars="0" w:firstLine="0"/>
              <w:jc w:val="center"/>
              <w:rPr>
                <w:sz w:val="21"/>
                <w:szCs w:val="21"/>
              </w:rPr>
            </w:pPr>
            <w:r>
              <w:rPr>
                <w:rFonts w:hint="eastAsia"/>
                <w:sz w:val="21"/>
                <w:szCs w:val="21"/>
              </w:rPr>
              <w:t>不占用</w:t>
            </w:r>
          </w:p>
        </w:tc>
        <w:tc>
          <w:tcPr>
            <w:tcW w:w="719" w:type="pct"/>
            <w:tcBorders>
              <w:tl2br w:val="nil"/>
              <w:tr2bl w:val="nil"/>
            </w:tcBorders>
            <w:vAlign w:val="center"/>
          </w:tcPr>
          <w:p w14:paraId="5FF76C5B"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位于评价范围内，处于项目周边，距离项</w:t>
            </w:r>
            <w:r>
              <w:rPr>
                <w:rFonts w:ascii="Times New Roman" w:eastAsia="宋体" w:hAnsi="Times New Roman" w:cs="Times New Roman" w:hint="eastAsia"/>
                <w:sz w:val="21"/>
                <w:szCs w:val="21"/>
              </w:rPr>
              <w:lastRenderedPageBreak/>
              <w:t>目临时占地边界最近</w:t>
            </w:r>
            <w:r>
              <w:rPr>
                <w:rFonts w:ascii="Times New Roman" w:eastAsia="宋体" w:hAnsi="Times New Roman" w:cs="Times New Roman" w:hint="eastAsia"/>
                <w:sz w:val="21"/>
                <w:szCs w:val="21"/>
              </w:rPr>
              <w:t>102m</w:t>
            </w:r>
          </w:p>
        </w:tc>
        <w:tc>
          <w:tcPr>
            <w:tcW w:w="614" w:type="pct"/>
            <w:vMerge/>
            <w:tcBorders>
              <w:bottom w:val="single" w:sz="4" w:space="0" w:color="000000"/>
              <w:tl2br w:val="nil"/>
              <w:tr2bl w:val="nil"/>
            </w:tcBorders>
            <w:vAlign w:val="center"/>
          </w:tcPr>
          <w:p w14:paraId="3204B8C0" w14:textId="77777777" w:rsidR="009D12AF" w:rsidRDefault="009D12AF">
            <w:pPr>
              <w:spacing w:line="240" w:lineRule="auto"/>
              <w:ind w:firstLineChars="0" w:firstLine="0"/>
              <w:jc w:val="center"/>
              <w:rPr>
                <w:sz w:val="21"/>
                <w:szCs w:val="21"/>
              </w:rPr>
            </w:pPr>
          </w:p>
        </w:tc>
        <w:tc>
          <w:tcPr>
            <w:tcW w:w="998" w:type="pct"/>
            <w:tcBorders>
              <w:tl2br w:val="nil"/>
              <w:tr2bl w:val="nil"/>
            </w:tcBorders>
            <w:vAlign w:val="center"/>
          </w:tcPr>
          <w:p w14:paraId="7A30617B"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按照法律规定开展抚育和更新性质的采伐。总量控制、区域稳定、</w:t>
            </w:r>
            <w:r>
              <w:rPr>
                <w:rFonts w:ascii="Times New Roman" w:eastAsia="宋体" w:hAnsi="Times New Roman" w:cs="Times New Roman" w:hint="eastAsia"/>
                <w:sz w:val="21"/>
                <w:szCs w:val="21"/>
              </w:rPr>
              <w:lastRenderedPageBreak/>
              <w:t>动态管理、增减平衡</w:t>
            </w:r>
          </w:p>
        </w:tc>
      </w:tr>
      <w:tr w:rsidR="009D12AF" w14:paraId="06EDFE47" w14:textId="77777777">
        <w:tc>
          <w:tcPr>
            <w:tcW w:w="278" w:type="pct"/>
            <w:vMerge w:val="restart"/>
            <w:tcBorders>
              <w:tl2br w:val="nil"/>
              <w:tr2bl w:val="nil"/>
            </w:tcBorders>
            <w:vAlign w:val="center"/>
          </w:tcPr>
          <w:p w14:paraId="27B1E7C3" w14:textId="77777777" w:rsidR="009D12AF" w:rsidRDefault="00000000">
            <w:pPr>
              <w:spacing w:line="240" w:lineRule="auto"/>
              <w:ind w:firstLineChars="0" w:firstLine="0"/>
              <w:jc w:val="center"/>
              <w:rPr>
                <w:sz w:val="21"/>
                <w:szCs w:val="21"/>
              </w:rPr>
            </w:pPr>
            <w:r>
              <w:rPr>
                <w:rFonts w:hint="eastAsia"/>
                <w:sz w:val="21"/>
                <w:szCs w:val="21"/>
              </w:rPr>
              <w:lastRenderedPageBreak/>
              <w:t>水生生态</w:t>
            </w:r>
          </w:p>
        </w:tc>
        <w:tc>
          <w:tcPr>
            <w:tcW w:w="279" w:type="pct"/>
            <w:vMerge w:val="restart"/>
            <w:tcBorders>
              <w:tl2br w:val="nil"/>
              <w:tr2bl w:val="nil"/>
            </w:tcBorders>
            <w:vAlign w:val="center"/>
          </w:tcPr>
          <w:p w14:paraId="6F14FD9A" w14:textId="77777777" w:rsidR="009D12AF" w:rsidRDefault="00000000">
            <w:pPr>
              <w:spacing w:line="240" w:lineRule="auto"/>
              <w:ind w:firstLineChars="0" w:firstLine="0"/>
              <w:jc w:val="center"/>
              <w:rPr>
                <w:sz w:val="21"/>
                <w:szCs w:val="21"/>
              </w:rPr>
            </w:pPr>
            <w:r>
              <w:rPr>
                <w:rFonts w:hint="eastAsia"/>
                <w:sz w:val="21"/>
                <w:szCs w:val="21"/>
              </w:rPr>
              <w:t>五处清淤</w:t>
            </w:r>
          </w:p>
        </w:tc>
        <w:tc>
          <w:tcPr>
            <w:tcW w:w="1503" w:type="pct"/>
            <w:gridSpan w:val="2"/>
            <w:tcBorders>
              <w:tl2br w:val="nil"/>
              <w:tr2bl w:val="nil"/>
            </w:tcBorders>
            <w:vAlign w:val="center"/>
          </w:tcPr>
          <w:p w14:paraId="1351EE04" w14:textId="77777777" w:rsidR="009D12AF" w:rsidRDefault="00000000">
            <w:pPr>
              <w:snapToGrid w:val="0"/>
              <w:spacing w:line="240" w:lineRule="auto"/>
              <w:ind w:firstLineChars="0" w:firstLine="0"/>
              <w:jc w:val="center"/>
              <w:rPr>
                <w:rFonts w:ascii="Times New Roman" w:eastAsia="宋体" w:hAnsi="Times New Roman" w:cs="Times New Roman"/>
                <w:color w:val="000000"/>
                <w:kern w:val="0"/>
                <w:sz w:val="21"/>
                <w:szCs w:val="21"/>
              </w:rPr>
            </w:pPr>
            <w:r>
              <w:rPr>
                <w:sz w:val="21"/>
                <w:szCs w:val="21"/>
              </w:rPr>
              <w:t>鱼类产卵场</w:t>
            </w:r>
          </w:p>
        </w:tc>
        <w:tc>
          <w:tcPr>
            <w:tcW w:w="1940" w:type="pct"/>
            <w:gridSpan w:val="3"/>
            <w:tcBorders>
              <w:tl2br w:val="nil"/>
              <w:tr2bl w:val="nil"/>
            </w:tcBorders>
            <w:vAlign w:val="center"/>
          </w:tcPr>
          <w:p w14:paraId="4924C6AD" w14:textId="77777777" w:rsidR="009D12AF" w:rsidRDefault="00000000">
            <w:pPr>
              <w:spacing w:line="240" w:lineRule="auto"/>
              <w:ind w:firstLineChars="0" w:firstLine="0"/>
              <w:jc w:val="center"/>
              <w:rPr>
                <w:sz w:val="21"/>
                <w:szCs w:val="21"/>
              </w:rPr>
            </w:pPr>
            <w:r>
              <w:rPr>
                <w:rFonts w:ascii="Times New Roman" w:eastAsia="宋体" w:hAnsi="Times New Roman" w:cs="Times New Roman" w:hint="eastAsia"/>
                <w:sz w:val="21"/>
                <w:szCs w:val="21"/>
              </w:rPr>
              <w:t>评价水域分布有多处产粘性卵鱼类产卵场。</w:t>
            </w:r>
          </w:p>
        </w:tc>
        <w:tc>
          <w:tcPr>
            <w:tcW w:w="998" w:type="pct"/>
            <w:vMerge w:val="restart"/>
            <w:tcBorders>
              <w:tl2br w:val="nil"/>
              <w:tr2bl w:val="nil"/>
            </w:tcBorders>
            <w:vAlign w:val="center"/>
          </w:tcPr>
          <w:p w14:paraId="22E6AFAB" w14:textId="77777777" w:rsidR="009D12AF" w:rsidRDefault="00000000">
            <w:pPr>
              <w:ind w:firstLineChars="0" w:firstLine="0"/>
              <w:jc w:val="center"/>
              <w:rPr>
                <w:rFonts w:ascii="Times New Roman" w:eastAsia="宋体" w:hAnsi="Times New Roman" w:cs="Times New Roman"/>
                <w:sz w:val="21"/>
                <w:szCs w:val="21"/>
              </w:rPr>
            </w:pPr>
            <w:r>
              <w:rPr>
                <w:sz w:val="21"/>
                <w:szCs w:val="21"/>
              </w:rPr>
              <w:t>评价水域无国家重点保护动物和濒危鱼类分布</w:t>
            </w:r>
            <w:r>
              <w:rPr>
                <w:rFonts w:hint="eastAsia"/>
                <w:sz w:val="21"/>
                <w:szCs w:val="21"/>
              </w:rPr>
              <w:t>，</w:t>
            </w:r>
            <w:r>
              <w:rPr>
                <w:sz w:val="21"/>
                <w:szCs w:val="21"/>
              </w:rPr>
              <w:t>施工结束后恢复索饵场、产卵场、越冬场环境</w:t>
            </w:r>
          </w:p>
        </w:tc>
      </w:tr>
      <w:tr w:rsidR="009D12AF" w14:paraId="4ED15E33" w14:textId="77777777">
        <w:tc>
          <w:tcPr>
            <w:tcW w:w="278" w:type="pct"/>
            <w:vMerge/>
            <w:tcBorders>
              <w:tl2br w:val="nil"/>
              <w:tr2bl w:val="nil"/>
            </w:tcBorders>
            <w:vAlign w:val="center"/>
          </w:tcPr>
          <w:p w14:paraId="7340A462" w14:textId="77777777" w:rsidR="009D12AF" w:rsidRDefault="009D12AF">
            <w:pPr>
              <w:spacing w:line="240" w:lineRule="auto"/>
              <w:ind w:firstLineChars="0" w:firstLine="0"/>
              <w:jc w:val="center"/>
              <w:rPr>
                <w:sz w:val="21"/>
                <w:szCs w:val="21"/>
              </w:rPr>
            </w:pPr>
          </w:p>
        </w:tc>
        <w:tc>
          <w:tcPr>
            <w:tcW w:w="279" w:type="pct"/>
            <w:vMerge/>
            <w:tcBorders>
              <w:tl2br w:val="nil"/>
              <w:tr2bl w:val="nil"/>
            </w:tcBorders>
            <w:vAlign w:val="center"/>
          </w:tcPr>
          <w:p w14:paraId="11EF4575" w14:textId="77777777" w:rsidR="009D12AF" w:rsidRDefault="009D12AF">
            <w:pPr>
              <w:spacing w:line="240" w:lineRule="auto"/>
              <w:ind w:firstLineChars="0" w:firstLine="0"/>
              <w:jc w:val="center"/>
              <w:rPr>
                <w:sz w:val="21"/>
                <w:szCs w:val="21"/>
              </w:rPr>
            </w:pPr>
          </w:p>
        </w:tc>
        <w:tc>
          <w:tcPr>
            <w:tcW w:w="1503" w:type="pct"/>
            <w:gridSpan w:val="2"/>
            <w:tcBorders>
              <w:tl2br w:val="nil"/>
              <w:tr2bl w:val="nil"/>
            </w:tcBorders>
            <w:vAlign w:val="center"/>
          </w:tcPr>
          <w:p w14:paraId="234844BD" w14:textId="77777777" w:rsidR="009D12AF" w:rsidRDefault="00000000">
            <w:pPr>
              <w:snapToGrid w:val="0"/>
              <w:spacing w:line="240" w:lineRule="auto"/>
              <w:ind w:firstLineChars="0" w:firstLine="0"/>
              <w:jc w:val="center"/>
              <w:rPr>
                <w:rFonts w:ascii="Times New Roman" w:eastAsia="宋体" w:hAnsi="Times New Roman" w:cs="Times New Roman"/>
                <w:color w:val="000000"/>
                <w:kern w:val="0"/>
                <w:sz w:val="21"/>
                <w:szCs w:val="21"/>
              </w:rPr>
            </w:pPr>
            <w:r>
              <w:rPr>
                <w:sz w:val="21"/>
                <w:szCs w:val="21"/>
              </w:rPr>
              <w:t>鱼类索饵场</w:t>
            </w:r>
          </w:p>
        </w:tc>
        <w:tc>
          <w:tcPr>
            <w:tcW w:w="1940" w:type="pct"/>
            <w:gridSpan w:val="3"/>
            <w:tcBorders>
              <w:tl2br w:val="nil"/>
              <w:tr2bl w:val="nil"/>
            </w:tcBorders>
            <w:vAlign w:val="center"/>
          </w:tcPr>
          <w:p w14:paraId="2681D915" w14:textId="77777777" w:rsidR="009D12AF" w:rsidRDefault="00000000">
            <w:pPr>
              <w:spacing w:line="240" w:lineRule="auto"/>
              <w:ind w:firstLineChars="0" w:firstLine="0"/>
              <w:jc w:val="center"/>
              <w:rPr>
                <w:sz w:val="21"/>
                <w:szCs w:val="21"/>
              </w:rPr>
            </w:pPr>
            <w:r>
              <w:rPr>
                <w:rFonts w:ascii="Times New Roman" w:eastAsia="宋体" w:hAnsi="Times New Roman" w:cs="Times New Roman" w:hint="eastAsia"/>
                <w:sz w:val="21"/>
                <w:szCs w:val="21"/>
              </w:rPr>
              <w:t>新安晒水池有</w:t>
            </w:r>
            <w:r>
              <w:rPr>
                <w:rFonts w:ascii="Times New Roman" w:eastAsia="宋体" w:hAnsi="Times New Roman" w:cs="Times New Roman" w:hint="eastAsia"/>
                <w:sz w:val="21"/>
                <w:szCs w:val="21"/>
              </w:rPr>
              <w:t>3</w:t>
            </w:r>
            <w:r>
              <w:rPr>
                <w:rFonts w:ascii="Times New Roman" w:eastAsia="宋体" w:hAnsi="Times New Roman" w:cs="Times New Roman" w:hint="eastAsia"/>
                <w:sz w:val="21"/>
                <w:szCs w:val="21"/>
              </w:rPr>
              <w:t>处鱼类索饵场；群力水库有</w:t>
            </w:r>
            <w:r>
              <w:rPr>
                <w:rFonts w:ascii="Times New Roman" w:eastAsia="宋体" w:hAnsi="Times New Roman" w:cs="Times New Roman" w:hint="eastAsia"/>
                <w:sz w:val="21"/>
                <w:szCs w:val="21"/>
              </w:rPr>
              <w:t>2</w:t>
            </w:r>
            <w:r>
              <w:rPr>
                <w:rFonts w:ascii="Times New Roman" w:eastAsia="宋体" w:hAnsi="Times New Roman" w:cs="Times New Roman" w:hint="eastAsia"/>
                <w:sz w:val="21"/>
                <w:szCs w:val="21"/>
              </w:rPr>
              <w:t>处鱼类索饵场；长石水库有</w:t>
            </w:r>
            <w:r>
              <w:rPr>
                <w:rFonts w:ascii="Times New Roman" w:eastAsia="宋体" w:hAnsi="Times New Roman" w:cs="Times New Roman" w:hint="eastAsia"/>
                <w:sz w:val="21"/>
                <w:szCs w:val="21"/>
              </w:rPr>
              <w:t>2</w:t>
            </w:r>
            <w:r>
              <w:rPr>
                <w:rFonts w:ascii="Times New Roman" w:eastAsia="宋体" w:hAnsi="Times New Roman" w:cs="Times New Roman" w:hint="eastAsia"/>
                <w:sz w:val="21"/>
                <w:szCs w:val="21"/>
              </w:rPr>
              <w:t>处鱼类索饵场；万丈水库有</w:t>
            </w:r>
            <w:r>
              <w:rPr>
                <w:rFonts w:ascii="Times New Roman" w:eastAsia="宋体" w:hAnsi="Times New Roman" w:cs="Times New Roman" w:hint="eastAsia"/>
                <w:sz w:val="21"/>
                <w:szCs w:val="21"/>
              </w:rPr>
              <w:t>2</w:t>
            </w:r>
            <w:r>
              <w:rPr>
                <w:rFonts w:ascii="Times New Roman" w:eastAsia="宋体" w:hAnsi="Times New Roman" w:cs="Times New Roman" w:hint="eastAsia"/>
                <w:sz w:val="21"/>
                <w:szCs w:val="21"/>
              </w:rPr>
              <w:t>处鱼类索饵场；向阳水电站前池有</w:t>
            </w:r>
            <w:r>
              <w:rPr>
                <w:rFonts w:ascii="Times New Roman" w:eastAsia="宋体" w:hAnsi="Times New Roman" w:cs="Times New Roman" w:hint="eastAsia"/>
                <w:sz w:val="21"/>
                <w:szCs w:val="21"/>
              </w:rPr>
              <w:t>3</w:t>
            </w:r>
            <w:r>
              <w:rPr>
                <w:rFonts w:ascii="Times New Roman" w:eastAsia="宋体" w:hAnsi="Times New Roman" w:cs="Times New Roman" w:hint="eastAsia"/>
                <w:sz w:val="21"/>
                <w:szCs w:val="21"/>
              </w:rPr>
              <w:t>处鱼类索饵场</w:t>
            </w:r>
          </w:p>
        </w:tc>
        <w:tc>
          <w:tcPr>
            <w:tcW w:w="998" w:type="pct"/>
            <w:vMerge/>
            <w:tcBorders>
              <w:tl2br w:val="nil"/>
              <w:tr2bl w:val="nil"/>
            </w:tcBorders>
            <w:vAlign w:val="center"/>
          </w:tcPr>
          <w:p w14:paraId="5E71CCF9" w14:textId="77777777" w:rsidR="009D12AF" w:rsidRDefault="009D12AF">
            <w:pPr>
              <w:ind w:firstLineChars="0" w:firstLine="0"/>
              <w:jc w:val="center"/>
              <w:rPr>
                <w:rFonts w:ascii="Times New Roman" w:eastAsia="宋体" w:hAnsi="Times New Roman" w:cs="Times New Roman"/>
                <w:sz w:val="21"/>
                <w:szCs w:val="21"/>
              </w:rPr>
            </w:pPr>
          </w:p>
        </w:tc>
      </w:tr>
      <w:tr w:rsidR="009D12AF" w14:paraId="5BBDD6C1" w14:textId="77777777">
        <w:tc>
          <w:tcPr>
            <w:tcW w:w="278" w:type="pct"/>
            <w:vMerge/>
            <w:tcBorders>
              <w:tl2br w:val="nil"/>
              <w:tr2bl w:val="nil"/>
            </w:tcBorders>
            <w:vAlign w:val="center"/>
          </w:tcPr>
          <w:p w14:paraId="51179A07" w14:textId="77777777" w:rsidR="009D12AF" w:rsidRDefault="009D12AF">
            <w:pPr>
              <w:spacing w:line="240" w:lineRule="auto"/>
              <w:ind w:firstLineChars="0" w:firstLine="0"/>
              <w:jc w:val="center"/>
              <w:rPr>
                <w:sz w:val="21"/>
                <w:szCs w:val="21"/>
              </w:rPr>
            </w:pPr>
          </w:p>
        </w:tc>
        <w:tc>
          <w:tcPr>
            <w:tcW w:w="279" w:type="pct"/>
            <w:vMerge/>
            <w:tcBorders>
              <w:tl2br w:val="nil"/>
              <w:tr2bl w:val="nil"/>
            </w:tcBorders>
            <w:vAlign w:val="center"/>
          </w:tcPr>
          <w:p w14:paraId="117CCDAC" w14:textId="77777777" w:rsidR="009D12AF" w:rsidRDefault="009D12AF">
            <w:pPr>
              <w:spacing w:line="240" w:lineRule="auto"/>
              <w:ind w:firstLineChars="0" w:firstLine="0"/>
              <w:jc w:val="center"/>
              <w:rPr>
                <w:sz w:val="21"/>
                <w:szCs w:val="21"/>
              </w:rPr>
            </w:pPr>
          </w:p>
        </w:tc>
        <w:tc>
          <w:tcPr>
            <w:tcW w:w="1503" w:type="pct"/>
            <w:gridSpan w:val="2"/>
            <w:tcBorders>
              <w:tl2br w:val="nil"/>
              <w:tr2bl w:val="nil"/>
            </w:tcBorders>
            <w:vAlign w:val="center"/>
          </w:tcPr>
          <w:p w14:paraId="7BEAEBC3" w14:textId="77777777" w:rsidR="009D12AF" w:rsidRDefault="00000000">
            <w:pPr>
              <w:snapToGrid w:val="0"/>
              <w:spacing w:line="240" w:lineRule="auto"/>
              <w:ind w:firstLineChars="0" w:firstLine="0"/>
              <w:jc w:val="center"/>
              <w:rPr>
                <w:rFonts w:ascii="Times New Roman" w:eastAsia="宋体" w:hAnsi="Times New Roman" w:cs="Times New Roman"/>
                <w:color w:val="000000"/>
                <w:kern w:val="0"/>
                <w:sz w:val="21"/>
                <w:szCs w:val="21"/>
              </w:rPr>
            </w:pPr>
            <w:r>
              <w:rPr>
                <w:sz w:val="21"/>
                <w:szCs w:val="21"/>
              </w:rPr>
              <w:t>鱼类越冬场</w:t>
            </w:r>
          </w:p>
        </w:tc>
        <w:tc>
          <w:tcPr>
            <w:tcW w:w="1940" w:type="pct"/>
            <w:gridSpan w:val="3"/>
            <w:tcBorders>
              <w:tl2br w:val="nil"/>
              <w:tr2bl w:val="nil"/>
            </w:tcBorders>
            <w:vAlign w:val="center"/>
          </w:tcPr>
          <w:p w14:paraId="7E63A573" w14:textId="77777777" w:rsidR="009D12AF" w:rsidRDefault="00000000">
            <w:pPr>
              <w:spacing w:line="240" w:lineRule="auto"/>
              <w:ind w:firstLineChars="0" w:firstLine="0"/>
              <w:jc w:val="center"/>
              <w:rPr>
                <w:sz w:val="21"/>
                <w:szCs w:val="21"/>
              </w:rPr>
            </w:pPr>
            <w:r>
              <w:rPr>
                <w:rFonts w:ascii="Times New Roman" w:eastAsia="宋体" w:hAnsi="Times New Roman" w:cs="Times New Roman" w:hint="eastAsia"/>
                <w:sz w:val="21"/>
                <w:szCs w:val="21"/>
              </w:rPr>
              <w:t>新安晒水池、群力水库、长石水库、万丈水库、向阳水电站前池各有</w:t>
            </w:r>
            <w:r>
              <w:rPr>
                <w:rFonts w:ascii="Times New Roman" w:eastAsia="宋体" w:hAnsi="Times New Roman" w:cs="Times New Roman" w:hint="eastAsia"/>
                <w:sz w:val="21"/>
                <w:szCs w:val="21"/>
              </w:rPr>
              <w:t>2</w:t>
            </w:r>
            <w:r>
              <w:rPr>
                <w:rFonts w:ascii="Times New Roman" w:eastAsia="宋体" w:hAnsi="Times New Roman" w:cs="Times New Roman" w:hint="eastAsia"/>
                <w:sz w:val="21"/>
                <w:szCs w:val="21"/>
              </w:rPr>
              <w:t>处鱼类越冬场</w:t>
            </w:r>
          </w:p>
        </w:tc>
        <w:tc>
          <w:tcPr>
            <w:tcW w:w="998" w:type="pct"/>
            <w:vMerge/>
            <w:tcBorders>
              <w:tl2br w:val="nil"/>
              <w:tr2bl w:val="nil"/>
            </w:tcBorders>
            <w:vAlign w:val="center"/>
          </w:tcPr>
          <w:p w14:paraId="4FCF38AB" w14:textId="77777777" w:rsidR="009D12AF" w:rsidRDefault="009D12AF">
            <w:pPr>
              <w:ind w:firstLineChars="0" w:firstLine="0"/>
              <w:jc w:val="center"/>
              <w:rPr>
                <w:rFonts w:ascii="Times New Roman" w:eastAsia="宋体" w:hAnsi="Times New Roman" w:cs="Times New Roman"/>
                <w:sz w:val="21"/>
                <w:szCs w:val="21"/>
              </w:rPr>
            </w:pPr>
          </w:p>
        </w:tc>
      </w:tr>
      <w:tr w:rsidR="009D12AF" w14:paraId="3DF27328" w14:textId="77777777">
        <w:tc>
          <w:tcPr>
            <w:tcW w:w="278" w:type="pct"/>
            <w:vMerge/>
            <w:tcBorders>
              <w:tl2br w:val="nil"/>
              <w:tr2bl w:val="nil"/>
            </w:tcBorders>
            <w:vAlign w:val="center"/>
          </w:tcPr>
          <w:p w14:paraId="1CE493C4" w14:textId="77777777" w:rsidR="009D12AF" w:rsidRDefault="009D12AF">
            <w:pPr>
              <w:spacing w:line="240" w:lineRule="auto"/>
              <w:ind w:firstLineChars="0" w:firstLine="0"/>
              <w:jc w:val="center"/>
              <w:rPr>
                <w:sz w:val="21"/>
                <w:szCs w:val="21"/>
              </w:rPr>
            </w:pPr>
          </w:p>
        </w:tc>
        <w:tc>
          <w:tcPr>
            <w:tcW w:w="279" w:type="pct"/>
            <w:vMerge/>
            <w:tcBorders>
              <w:tl2br w:val="nil"/>
              <w:tr2bl w:val="nil"/>
            </w:tcBorders>
            <w:vAlign w:val="center"/>
          </w:tcPr>
          <w:p w14:paraId="08057E07" w14:textId="77777777" w:rsidR="009D12AF" w:rsidRDefault="009D12AF">
            <w:pPr>
              <w:spacing w:line="240" w:lineRule="auto"/>
              <w:ind w:firstLineChars="0" w:firstLine="0"/>
              <w:jc w:val="center"/>
              <w:rPr>
                <w:sz w:val="21"/>
                <w:szCs w:val="21"/>
              </w:rPr>
            </w:pPr>
          </w:p>
        </w:tc>
        <w:tc>
          <w:tcPr>
            <w:tcW w:w="1503" w:type="pct"/>
            <w:gridSpan w:val="2"/>
            <w:tcBorders>
              <w:tl2br w:val="nil"/>
              <w:tr2bl w:val="nil"/>
            </w:tcBorders>
            <w:vAlign w:val="center"/>
          </w:tcPr>
          <w:p w14:paraId="55C09262" w14:textId="77777777" w:rsidR="009D12AF" w:rsidRDefault="00000000">
            <w:pPr>
              <w:snapToGrid w:val="0"/>
              <w:spacing w:line="240" w:lineRule="auto"/>
              <w:ind w:firstLineChars="0" w:firstLine="0"/>
              <w:jc w:val="center"/>
              <w:rPr>
                <w:rFonts w:ascii="Times New Roman" w:eastAsia="宋体" w:hAnsi="Times New Roman" w:cs="Times New Roman"/>
                <w:color w:val="000000"/>
                <w:kern w:val="0"/>
                <w:sz w:val="21"/>
                <w:szCs w:val="21"/>
              </w:rPr>
            </w:pPr>
            <w:r>
              <w:rPr>
                <w:sz w:val="21"/>
                <w:szCs w:val="21"/>
              </w:rPr>
              <w:t>鱼类洄游通道</w:t>
            </w:r>
          </w:p>
        </w:tc>
        <w:tc>
          <w:tcPr>
            <w:tcW w:w="1940" w:type="pct"/>
            <w:gridSpan w:val="3"/>
            <w:tcBorders>
              <w:tl2br w:val="nil"/>
              <w:tr2bl w:val="nil"/>
            </w:tcBorders>
            <w:vAlign w:val="center"/>
          </w:tcPr>
          <w:p w14:paraId="57BC8A26" w14:textId="77777777" w:rsidR="009D12AF" w:rsidRDefault="00000000">
            <w:pPr>
              <w:spacing w:line="240" w:lineRule="auto"/>
              <w:ind w:firstLineChars="0" w:firstLine="0"/>
              <w:jc w:val="center"/>
              <w:rPr>
                <w:sz w:val="21"/>
                <w:szCs w:val="21"/>
              </w:rPr>
            </w:pPr>
            <w:r>
              <w:rPr>
                <w:rFonts w:ascii="Times New Roman" w:eastAsia="宋体" w:hAnsi="Times New Roman" w:cs="Times New Roman" w:hint="eastAsia"/>
                <w:sz w:val="21"/>
                <w:szCs w:val="21"/>
              </w:rPr>
              <w:t>评价水域无鲢、草鱼等产漂流性卵鱼类洄游通道。</w:t>
            </w:r>
          </w:p>
        </w:tc>
        <w:tc>
          <w:tcPr>
            <w:tcW w:w="998" w:type="pct"/>
            <w:tcBorders>
              <w:tl2br w:val="nil"/>
              <w:tr2bl w:val="nil"/>
            </w:tcBorders>
            <w:vAlign w:val="center"/>
          </w:tcPr>
          <w:p w14:paraId="770CB7C2"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w:t>
            </w:r>
          </w:p>
        </w:tc>
      </w:tr>
    </w:tbl>
    <w:p w14:paraId="19388BBE" w14:textId="77777777" w:rsidR="009D12AF" w:rsidRDefault="00000000">
      <w:pPr>
        <w:ind w:firstLine="480"/>
      </w:pPr>
      <w:r>
        <w:rPr>
          <w:rFonts w:hint="eastAsia"/>
        </w:rPr>
        <w:t>注：群力水库鱼类种类主要为翘嘴鲌、蒙古鲌、鲤、鲫、䱗、黄颡鱼、鲢、鳙、鲇、花䱻和马口鱼；长石水库鱼类种类主要为鲤、鲫、黄颡鱼、麦穗鱼、䱗和鲇；新安晒水池鱼类种类主要为克氏鳈、棒花鱼、褐栉鰕虎鱼、麦穗鱼、黑龙江鳑鲏和大鳍鱊；向阳水电站前池鱼类种类主要为克氏鳈、棒花鱼、褐栉鰕虎鱼、麦穗鱼、黑龙江鳑鲏、大鳍鱊、北方泥鳅和拉氏鱥；万丈水库鱼类种类主要为鲤、鲫、棒花鱼、麦穗鱼、北方泥鳅和鲇。</w:t>
      </w:r>
    </w:p>
    <w:p w14:paraId="2955B312" w14:textId="77777777" w:rsidR="009D12AF" w:rsidRDefault="00000000">
      <w:pPr>
        <w:ind w:firstLineChars="0" w:firstLine="0"/>
        <w:jc w:val="center"/>
        <w:rPr>
          <w:highlight w:val="yellow"/>
        </w:rPr>
      </w:pPr>
      <w:r>
        <w:rPr>
          <w:rFonts w:hint="eastAsia"/>
          <w:b/>
          <w:bCs/>
        </w:rPr>
        <w:t>表</w:t>
      </w:r>
      <w:r>
        <w:rPr>
          <w:rFonts w:hint="eastAsia"/>
          <w:b/>
          <w:bCs/>
        </w:rPr>
        <w:t>2.8-2</w:t>
      </w:r>
      <w:r>
        <w:rPr>
          <w:rFonts w:hint="eastAsia"/>
          <w:b/>
          <w:bCs/>
        </w:rPr>
        <w:t>大气环境、声环境保护目标一览表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61"/>
        <w:gridCol w:w="1843"/>
        <w:gridCol w:w="849"/>
        <w:gridCol w:w="849"/>
        <w:gridCol w:w="2241"/>
        <w:gridCol w:w="891"/>
        <w:gridCol w:w="888"/>
      </w:tblGrid>
      <w:tr w:rsidR="009D12AF" w14:paraId="786720DF" w14:textId="77777777">
        <w:trPr>
          <w:jc w:val="center"/>
        </w:trPr>
        <w:tc>
          <w:tcPr>
            <w:tcW w:w="563" w:type="pct"/>
            <w:vAlign w:val="center"/>
          </w:tcPr>
          <w:p w14:paraId="57C3721C" w14:textId="77777777" w:rsidR="009D12AF" w:rsidRDefault="00000000">
            <w:pPr>
              <w:pStyle w:val="afe"/>
              <w:widowControl w:val="0"/>
              <w:spacing w:line="240" w:lineRule="auto"/>
              <w:rPr>
                <w:rStyle w:val="aff"/>
                <w:rFonts w:ascii="Times New Roman" w:hAnsi="Times New Roman" w:cs="Times New Roman"/>
                <w:b w:val="0"/>
                <w:smallCaps w:val="0"/>
              </w:rPr>
            </w:pPr>
            <w:r>
              <w:rPr>
                <w:rStyle w:val="aff"/>
                <w:rFonts w:cs="Times New Roman" w:hint="eastAsia"/>
                <w:b w:val="0"/>
                <w:smallCaps w:val="0"/>
              </w:rPr>
              <w:t>清淤位置</w:t>
            </w:r>
          </w:p>
        </w:tc>
        <w:tc>
          <w:tcPr>
            <w:tcW w:w="1080" w:type="pct"/>
            <w:vAlign w:val="center"/>
          </w:tcPr>
          <w:p w14:paraId="7FFD7B54" w14:textId="77777777" w:rsidR="009D12AF" w:rsidRDefault="00000000">
            <w:pPr>
              <w:pStyle w:val="afe"/>
              <w:widowControl w:val="0"/>
              <w:spacing w:line="240" w:lineRule="auto"/>
              <w:rPr>
                <w:rStyle w:val="aff"/>
                <w:rFonts w:ascii="Times New Roman" w:hAnsi="Times New Roman" w:cs="Times New Roman"/>
                <w:b w:val="0"/>
                <w:smallCaps w:val="0"/>
              </w:rPr>
            </w:pPr>
            <w:r>
              <w:rPr>
                <w:rStyle w:val="aff"/>
                <w:rFonts w:cs="Times New Roman" w:hint="eastAsia"/>
                <w:b w:val="0"/>
                <w:smallCaps w:val="0"/>
              </w:rPr>
              <w:t>名称</w:t>
            </w:r>
          </w:p>
        </w:tc>
        <w:tc>
          <w:tcPr>
            <w:tcW w:w="498" w:type="pct"/>
            <w:vAlign w:val="center"/>
          </w:tcPr>
          <w:p w14:paraId="3A713995" w14:textId="77777777" w:rsidR="009D12AF" w:rsidRDefault="00000000">
            <w:pPr>
              <w:pStyle w:val="afe"/>
              <w:widowControl w:val="0"/>
              <w:spacing w:line="240" w:lineRule="auto"/>
              <w:rPr>
                <w:rStyle w:val="aff"/>
                <w:rFonts w:ascii="Times New Roman" w:hAnsi="Times New Roman" w:cs="Times New Roman"/>
                <w:b w:val="0"/>
                <w:smallCaps w:val="0"/>
              </w:rPr>
            </w:pPr>
            <w:r>
              <w:rPr>
                <w:rStyle w:val="aff"/>
                <w:rFonts w:ascii="Times New Roman" w:hAnsi="Times New Roman" w:cs="Times New Roman"/>
                <w:b w:val="0"/>
                <w:smallCaps w:val="0"/>
              </w:rPr>
              <w:t>保护对象</w:t>
            </w:r>
          </w:p>
        </w:tc>
        <w:tc>
          <w:tcPr>
            <w:tcW w:w="498" w:type="pct"/>
            <w:vAlign w:val="center"/>
          </w:tcPr>
          <w:p w14:paraId="24BACA8B" w14:textId="77777777" w:rsidR="009D12AF" w:rsidRDefault="00000000">
            <w:pPr>
              <w:pStyle w:val="afe"/>
              <w:widowControl w:val="0"/>
              <w:spacing w:line="240" w:lineRule="auto"/>
              <w:rPr>
                <w:rStyle w:val="aff"/>
                <w:rFonts w:ascii="Times New Roman" w:hAnsi="Times New Roman" w:cs="Times New Roman"/>
                <w:b w:val="0"/>
                <w:smallCaps w:val="0"/>
              </w:rPr>
            </w:pPr>
            <w:r>
              <w:rPr>
                <w:rStyle w:val="aff"/>
                <w:rFonts w:ascii="Times New Roman" w:hAnsi="Times New Roman" w:cs="Times New Roman"/>
                <w:b w:val="0"/>
                <w:smallCaps w:val="0"/>
              </w:rPr>
              <w:t>保护内容</w:t>
            </w:r>
          </w:p>
        </w:tc>
        <w:tc>
          <w:tcPr>
            <w:tcW w:w="1314" w:type="pct"/>
            <w:vAlign w:val="center"/>
          </w:tcPr>
          <w:p w14:paraId="2CF8FFED" w14:textId="77777777" w:rsidR="009D12AF" w:rsidRDefault="00000000">
            <w:pPr>
              <w:pStyle w:val="afe"/>
              <w:widowControl w:val="0"/>
              <w:spacing w:line="240" w:lineRule="auto"/>
              <w:rPr>
                <w:rStyle w:val="aff"/>
                <w:rFonts w:ascii="Times New Roman" w:hAnsi="Times New Roman" w:cs="Times New Roman"/>
                <w:b w:val="0"/>
                <w:smallCaps w:val="0"/>
              </w:rPr>
            </w:pPr>
            <w:r>
              <w:rPr>
                <w:rStyle w:val="aff"/>
                <w:rFonts w:ascii="Times New Roman" w:hAnsi="Times New Roman" w:cs="Times New Roman"/>
                <w:b w:val="0"/>
                <w:smallCaps w:val="0"/>
              </w:rPr>
              <w:t>环境功能区</w:t>
            </w:r>
          </w:p>
        </w:tc>
        <w:tc>
          <w:tcPr>
            <w:tcW w:w="523" w:type="pct"/>
            <w:vAlign w:val="center"/>
          </w:tcPr>
          <w:p w14:paraId="677F013C" w14:textId="77777777" w:rsidR="009D12AF" w:rsidRDefault="00000000">
            <w:pPr>
              <w:pStyle w:val="afe"/>
              <w:widowControl w:val="0"/>
              <w:spacing w:line="240" w:lineRule="auto"/>
              <w:rPr>
                <w:rStyle w:val="aff"/>
                <w:rFonts w:ascii="Times New Roman" w:hAnsi="Times New Roman" w:cs="Times New Roman"/>
                <w:b w:val="0"/>
                <w:smallCaps w:val="0"/>
              </w:rPr>
            </w:pPr>
            <w:r>
              <w:rPr>
                <w:rStyle w:val="aff"/>
                <w:rFonts w:ascii="Times New Roman" w:hAnsi="Times New Roman" w:cs="Times New Roman"/>
                <w:b w:val="0"/>
                <w:smallCaps w:val="0"/>
              </w:rPr>
              <w:t>相对</w:t>
            </w:r>
            <w:r>
              <w:rPr>
                <w:rStyle w:val="aff"/>
                <w:rFonts w:ascii="Times New Roman" w:hAnsi="Times New Roman" w:cs="Times New Roman" w:hint="eastAsia"/>
                <w:b w:val="0"/>
                <w:smallCaps w:val="0"/>
              </w:rPr>
              <w:t>工程</w:t>
            </w:r>
            <w:r>
              <w:rPr>
                <w:rStyle w:val="aff"/>
                <w:rFonts w:ascii="Times New Roman" w:hAnsi="Times New Roman" w:cs="Times New Roman"/>
                <w:b w:val="0"/>
                <w:smallCaps w:val="0"/>
              </w:rPr>
              <w:t>方位</w:t>
            </w:r>
          </w:p>
        </w:tc>
        <w:tc>
          <w:tcPr>
            <w:tcW w:w="521" w:type="pct"/>
            <w:vAlign w:val="center"/>
          </w:tcPr>
          <w:p w14:paraId="0E5F4858" w14:textId="77777777" w:rsidR="009D12AF" w:rsidRDefault="00000000">
            <w:pPr>
              <w:pStyle w:val="afe"/>
              <w:widowControl w:val="0"/>
              <w:spacing w:line="240" w:lineRule="auto"/>
              <w:rPr>
                <w:rStyle w:val="aff"/>
                <w:rFonts w:ascii="Times New Roman" w:hAnsi="Times New Roman" w:cs="Times New Roman"/>
                <w:b w:val="0"/>
                <w:smallCaps w:val="0"/>
              </w:rPr>
            </w:pPr>
            <w:r>
              <w:rPr>
                <w:rStyle w:val="aff"/>
                <w:rFonts w:ascii="Times New Roman" w:hAnsi="Times New Roman" w:cs="Times New Roman"/>
                <w:b w:val="0"/>
                <w:smallCaps w:val="0"/>
              </w:rPr>
              <w:t>相对河道距离</w:t>
            </w:r>
            <w:r>
              <w:rPr>
                <w:rStyle w:val="aff"/>
                <w:rFonts w:ascii="Times New Roman" w:hAnsi="Times New Roman" w:cs="Times New Roman"/>
                <w:b w:val="0"/>
                <w:smallCaps w:val="0"/>
              </w:rPr>
              <w:t>/m</w:t>
            </w:r>
          </w:p>
        </w:tc>
      </w:tr>
      <w:tr w:rsidR="009D12AF" w14:paraId="18EBE173" w14:textId="77777777">
        <w:trPr>
          <w:jc w:val="center"/>
        </w:trPr>
        <w:tc>
          <w:tcPr>
            <w:tcW w:w="563" w:type="pct"/>
            <w:vMerge w:val="restart"/>
            <w:vAlign w:val="center"/>
          </w:tcPr>
          <w:p w14:paraId="2765011A" w14:textId="77777777" w:rsidR="009D12AF" w:rsidRDefault="00000000">
            <w:pPr>
              <w:pStyle w:val="aff0"/>
              <w:widowControl w:val="0"/>
              <w:adjustRightInd w:val="0"/>
              <w:snapToGrid w:val="0"/>
              <w:rPr>
                <w:smallCaps w:val="0"/>
                <w:sz w:val="21"/>
              </w:rPr>
            </w:pPr>
            <w:r>
              <w:rPr>
                <w:rFonts w:hint="eastAsia"/>
                <w:smallCaps w:val="0"/>
                <w:sz w:val="21"/>
              </w:rPr>
              <w:t>新安晒水池</w:t>
            </w:r>
          </w:p>
        </w:tc>
        <w:tc>
          <w:tcPr>
            <w:tcW w:w="1080" w:type="pct"/>
            <w:vAlign w:val="center"/>
          </w:tcPr>
          <w:p w14:paraId="68E8001C" w14:textId="77777777" w:rsidR="009D12AF" w:rsidRDefault="00000000">
            <w:pPr>
              <w:pStyle w:val="aff0"/>
              <w:widowControl w:val="0"/>
              <w:adjustRightInd w:val="0"/>
              <w:snapToGrid w:val="0"/>
              <w:rPr>
                <w:smallCaps w:val="0"/>
                <w:sz w:val="21"/>
                <w:highlight w:val="yellow"/>
              </w:rPr>
            </w:pPr>
            <w:r>
              <w:rPr>
                <w:rFonts w:hint="eastAsia"/>
                <w:smallCaps w:val="0"/>
                <w:sz w:val="21"/>
                <w:szCs w:val="21"/>
              </w:rPr>
              <w:t>山咀子村</w:t>
            </w:r>
          </w:p>
        </w:tc>
        <w:tc>
          <w:tcPr>
            <w:tcW w:w="498" w:type="pct"/>
            <w:vAlign w:val="center"/>
          </w:tcPr>
          <w:p w14:paraId="27591ED2" w14:textId="77777777" w:rsidR="009D12AF" w:rsidRDefault="00000000">
            <w:pPr>
              <w:pStyle w:val="aff0"/>
              <w:widowControl w:val="0"/>
              <w:adjustRightInd w:val="0"/>
              <w:snapToGrid w:val="0"/>
              <w:rPr>
                <w:smallCaps w:val="0"/>
                <w:sz w:val="21"/>
              </w:rPr>
            </w:pPr>
            <w:r>
              <w:rPr>
                <w:rFonts w:hint="eastAsia"/>
                <w:smallCaps w:val="0"/>
                <w:sz w:val="21"/>
                <w:szCs w:val="21"/>
              </w:rPr>
              <w:t>居民</w:t>
            </w:r>
          </w:p>
        </w:tc>
        <w:tc>
          <w:tcPr>
            <w:tcW w:w="498" w:type="pct"/>
            <w:vAlign w:val="center"/>
          </w:tcPr>
          <w:p w14:paraId="2100204E" w14:textId="77777777" w:rsidR="009D12AF" w:rsidRDefault="00000000">
            <w:pPr>
              <w:pStyle w:val="afe"/>
              <w:widowControl w:val="0"/>
              <w:spacing w:line="240" w:lineRule="auto"/>
              <w:rPr>
                <w:rStyle w:val="aff"/>
                <w:rFonts w:ascii="Times New Roman" w:hAnsi="Times New Roman" w:cs="Times New Roman"/>
                <w:b w:val="0"/>
                <w:smallCaps w:val="0"/>
              </w:rPr>
            </w:pPr>
            <w:r>
              <w:rPr>
                <w:rStyle w:val="aff"/>
                <w:rFonts w:ascii="Times New Roman" w:hAnsi="Times New Roman" w:cs="Times New Roman"/>
                <w:b w:val="0"/>
                <w:smallCaps w:val="0"/>
              </w:rPr>
              <w:t>环境空气质量</w:t>
            </w:r>
          </w:p>
        </w:tc>
        <w:tc>
          <w:tcPr>
            <w:tcW w:w="1314" w:type="pct"/>
            <w:vAlign w:val="center"/>
          </w:tcPr>
          <w:p w14:paraId="1CE404CA" w14:textId="77777777" w:rsidR="009D12AF" w:rsidRDefault="00000000">
            <w:pPr>
              <w:pStyle w:val="aff0"/>
              <w:widowControl w:val="0"/>
              <w:adjustRightInd w:val="0"/>
              <w:snapToGrid w:val="0"/>
              <w:rPr>
                <w:rStyle w:val="aff"/>
                <w:rFonts w:ascii="Times New Roman" w:hAnsi="Times New Roman" w:cs="Times New Roman"/>
                <w:b/>
                <w:smallCaps w:val="0"/>
              </w:rPr>
            </w:pPr>
            <w:r>
              <w:rPr>
                <w:smallCaps w:val="0"/>
                <w:sz w:val="21"/>
              </w:rPr>
              <w:t>《环境空气质量标准》</w:t>
            </w:r>
            <w:r>
              <w:rPr>
                <w:smallCaps w:val="0"/>
                <w:sz w:val="21"/>
              </w:rPr>
              <w:t xml:space="preserve"> </w:t>
            </w:r>
            <w:r>
              <w:rPr>
                <w:smallCaps w:val="0"/>
                <w:sz w:val="21"/>
              </w:rPr>
              <w:t>（</w:t>
            </w:r>
            <w:r>
              <w:rPr>
                <w:smallCaps w:val="0"/>
                <w:sz w:val="21"/>
              </w:rPr>
              <w:t>GB3095-2 012</w:t>
            </w:r>
            <w:r>
              <w:rPr>
                <w:smallCaps w:val="0"/>
                <w:sz w:val="21"/>
              </w:rPr>
              <w:t>）二类功能区</w:t>
            </w:r>
          </w:p>
        </w:tc>
        <w:tc>
          <w:tcPr>
            <w:tcW w:w="523" w:type="pct"/>
            <w:vAlign w:val="center"/>
          </w:tcPr>
          <w:p w14:paraId="7298728D" w14:textId="77777777" w:rsidR="009D12AF" w:rsidRDefault="00000000">
            <w:pPr>
              <w:pStyle w:val="aff0"/>
              <w:widowControl w:val="0"/>
              <w:adjustRightInd w:val="0"/>
              <w:snapToGrid w:val="0"/>
              <w:rPr>
                <w:smallCaps w:val="0"/>
                <w:sz w:val="21"/>
              </w:rPr>
            </w:pPr>
            <w:r>
              <w:rPr>
                <w:rFonts w:hint="eastAsia"/>
                <w:smallCaps w:val="0"/>
                <w:sz w:val="21"/>
              </w:rPr>
              <w:t>W</w:t>
            </w:r>
          </w:p>
        </w:tc>
        <w:tc>
          <w:tcPr>
            <w:tcW w:w="521" w:type="pct"/>
            <w:vAlign w:val="center"/>
          </w:tcPr>
          <w:p w14:paraId="5D6F7BC3" w14:textId="77777777" w:rsidR="009D12AF" w:rsidRDefault="00000000">
            <w:pPr>
              <w:pStyle w:val="afe"/>
              <w:widowControl w:val="0"/>
              <w:spacing w:line="240" w:lineRule="auto"/>
              <w:rPr>
                <w:rStyle w:val="aff"/>
                <w:rFonts w:ascii="Times New Roman" w:hAnsi="Times New Roman" w:cs="Times New Roman"/>
                <w:b w:val="0"/>
                <w:smallCaps w:val="0"/>
              </w:rPr>
            </w:pPr>
            <w:r>
              <w:rPr>
                <w:rFonts w:cs="Times New Roman" w:hint="eastAsia"/>
                <w:b w:val="0"/>
                <w:smallCaps w:val="0"/>
                <w:sz w:val="21"/>
              </w:rPr>
              <w:t>50</w:t>
            </w:r>
            <w:r>
              <w:rPr>
                <w:rFonts w:cs="Times New Roman"/>
                <w:b w:val="0"/>
                <w:smallCaps w:val="0"/>
                <w:sz w:val="21"/>
              </w:rPr>
              <w:t>m</w:t>
            </w:r>
          </w:p>
        </w:tc>
      </w:tr>
      <w:tr w:rsidR="009D12AF" w14:paraId="40512411" w14:textId="77777777">
        <w:trPr>
          <w:jc w:val="center"/>
        </w:trPr>
        <w:tc>
          <w:tcPr>
            <w:tcW w:w="563" w:type="pct"/>
            <w:vMerge/>
            <w:vAlign w:val="center"/>
          </w:tcPr>
          <w:p w14:paraId="2C34CB0D" w14:textId="77777777" w:rsidR="009D12AF" w:rsidRDefault="009D12AF">
            <w:pPr>
              <w:pStyle w:val="aff0"/>
              <w:widowControl w:val="0"/>
              <w:adjustRightInd w:val="0"/>
              <w:snapToGrid w:val="0"/>
              <w:rPr>
                <w:smallCaps w:val="0"/>
                <w:sz w:val="21"/>
              </w:rPr>
            </w:pPr>
          </w:p>
        </w:tc>
        <w:tc>
          <w:tcPr>
            <w:tcW w:w="1080" w:type="pct"/>
            <w:vAlign w:val="center"/>
          </w:tcPr>
          <w:p w14:paraId="005E7623" w14:textId="77777777" w:rsidR="009D12AF" w:rsidRDefault="00000000">
            <w:pPr>
              <w:pStyle w:val="aff0"/>
              <w:widowControl w:val="0"/>
              <w:adjustRightInd w:val="0"/>
              <w:snapToGrid w:val="0"/>
              <w:rPr>
                <w:smallCaps w:val="0"/>
                <w:sz w:val="21"/>
                <w:szCs w:val="21"/>
              </w:rPr>
            </w:pPr>
            <w:r>
              <w:rPr>
                <w:rFonts w:hint="eastAsia"/>
                <w:smallCaps w:val="0"/>
                <w:sz w:val="21"/>
                <w:szCs w:val="21"/>
              </w:rPr>
              <w:t>山咀子村</w:t>
            </w:r>
          </w:p>
        </w:tc>
        <w:tc>
          <w:tcPr>
            <w:tcW w:w="498" w:type="pct"/>
            <w:vAlign w:val="center"/>
          </w:tcPr>
          <w:p w14:paraId="42E6C9F9" w14:textId="77777777" w:rsidR="009D12AF" w:rsidRDefault="00000000">
            <w:pPr>
              <w:pStyle w:val="aff0"/>
              <w:widowControl w:val="0"/>
              <w:adjustRightInd w:val="0"/>
              <w:snapToGrid w:val="0"/>
              <w:rPr>
                <w:smallCaps w:val="0"/>
                <w:sz w:val="21"/>
                <w:szCs w:val="21"/>
              </w:rPr>
            </w:pPr>
            <w:r>
              <w:rPr>
                <w:rFonts w:hint="eastAsia"/>
                <w:smallCaps w:val="0"/>
                <w:sz w:val="21"/>
                <w:szCs w:val="21"/>
              </w:rPr>
              <w:t>居民</w:t>
            </w:r>
          </w:p>
        </w:tc>
        <w:tc>
          <w:tcPr>
            <w:tcW w:w="498" w:type="pct"/>
            <w:vAlign w:val="center"/>
          </w:tcPr>
          <w:p w14:paraId="2ADF2436" w14:textId="77777777" w:rsidR="009D12AF" w:rsidRDefault="00000000">
            <w:pPr>
              <w:pStyle w:val="afe"/>
              <w:widowControl w:val="0"/>
              <w:spacing w:line="240" w:lineRule="auto"/>
              <w:rPr>
                <w:rStyle w:val="aff"/>
                <w:rFonts w:ascii="Times New Roman" w:hAnsi="Times New Roman" w:cs="Times New Roman"/>
                <w:b w:val="0"/>
                <w:smallCaps w:val="0"/>
              </w:rPr>
            </w:pPr>
            <w:r>
              <w:rPr>
                <w:rStyle w:val="aff"/>
                <w:rFonts w:cs="Times New Roman" w:hint="eastAsia"/>
                <w:b w:val="0"/>
                <w:smallCaps w:val="0"/>
              </w:rPr>
              <w:t>声环境质量</w:t>
            </w:r>
          </w:p>
        </w:tc>
        <w:tc>
          <w:tcPr>
            <w:tcW w:w="1314" w:type="pct"/>
            <w:vAlign w:val="center"/>
          </w:tcPr>
          <w:p w14:paraId="4D7CE9CF" w14:textId="77777777" w:rsidR="009D12AF" w:rsidRDefault="00000000">
            <w:pPr>
              <w:pStyle w:val="aff0"/>
              <w:widowControl w:val="0"/>
              <w:adjustRightInd w:val="0"/>
              <w:snapToGrid w:val="0"/>
              <w:rPr>
                <w:smallCaps w:val="0"/>
                <w:sz w:val="21"/>
              </w:rPr>
            </w:pPr>
            <w:r>
              <w:rPr>
                <w:smallCaps w:val="0"/>
                <w:sz w:val="21"/>
              </w:rPr>
              <w:t>《声环境质量标准》（</w:t>
            </w:r>
            <w:r>
              <w:rPr>
                <w:smallCaps w:val="0"/>
                <w:sz w:val="21"/>
              </w:rPr>
              <w:t>GB3096-2008</w:t>
            </w:r>
            <w:r>
              <w:rPr>
                <w:smallCaps w:val="0"/>
                <w:sz w:val="21"/>
              </w:rPr>
              <w:t>）</w:t>
            </w:r>
            <w:r>
              <w:rPr>
                <w:smallCaps w:val="0"/>
                <w:sz w:val="21"/>
              </w:rPr>
              <w:t>1</w:t>
            </w:r>
            <w:r>
              <w:rPr>
                <w:smallCaps w:val="0"/>
                <w:sz w:val="21"/>
              </w:rPr>
              <w:t>类功能区</w:t>
            </w:r>
          </w:p>
        </w:tc>
        <w:tc>
          <w:tcPr>
            <w:tcW w:w="523" w:type="pct"/>
            <w:vAlign w:val="center"/>
          </w:tcPr>
          <w:p w14:paraId="4C227AE6" w14:textId="77777777" w:rsidR="009D12AF" w:rsidRDefault="00000000">
            <w:pPr>
              <w:pStyle w:val="aff0"/>
              <w:widowControl w:val="0"/>
              <w:adjustRightInd w:val="0"/>
              <w:snapToGrid w:val="0"/>
              <w:rPr>
                <w:smallCaps w:val="0"/>
                <w:sz w:val="21"/>
              </w:rPr>
            </w:pPr>
            <w:r>
              <w:rPr>
                <w:rFonts w:hint="eastAsia"/>
                <w:smallCaps w:val="0"/>
                <w:sz w:val="21"/>
              </w:rPr>
              <w:t>W</w:t>
            </w:r>
          </w:p>
        </w:tc>
        <w:tc>
          <w:tcPr>
            <w:tcW w:w="521" w:type="pct"/>
            <w:vAlign w:val="center"/>
          </w:tcPr>
          <w:p w14:paraId="61D19515" w14:textId="77777777" w:rsidR="009D12AF" w:rsidRDefault="00000000">
            <w:pPr>
              <w:pStyle w:val="afe"/>
              <w:widowControl w:val="0"/>
              <w:spacing w:line="240" w:lineRule="auto"/>
              <w:rPr>
                <w:rFonts w:cs="Times New Roman"/>
                <w:b w:val="0"/>
                <w:smallCaps w:val="0"/>
                <w:sz w:val="21"/>
              </w:rPr>
            </w:pPr>
            <w:r>
              <w:rPr>
                <w:rFonts w:cs="Times New Roman" w:hint="eastAsia"/>
                <w:b w:val="0"/>
                <w:smallCaps w:val="0"/>
                <w:sz w:val="21"/>
              </w:rPr>
              <w:t>50</w:t>
            </w:r>
            <w:r>
              <w:rPr>
                <w:rFonts w:cs="Times New Roman"/>
                <w:b w:val="0"/>
                <w:smallCaps w:val="0"/>
                <w:sz w:val="21"/>
              </w:rPr>
              <w:t>m</w:t>
            </w:r>
          </w:p>
        </w:tc>
      </w:tr>
      <w:tr w:rsidR="009D12AF" w14:paraId="3AE4D678" w14:textId="77777777">
        <w:trPr>
          <w:jc w:val="center"/>
        </w:trPr>
        <w:tc>
          <w:tcPr>
            <w:tcW w:w="563" w:type="pct"/>
            <w:vMerge w:val="restart"/>
            <w:vAlign w:val="center"/>
          </w:tcPr>
          <w:p w14:paraId="03E16710" w14:textId="77777777" w:rsidR="009D12AF" w:rsidRDefault="00000000">
            <w:pPr>
              <w:pStyle w:val="aff0"/>
              <w:widowControl w:val="0"/>
              <w:adjustRightInd w:val="0"/>
              <w:snapToGrid w:val="0"/>
              <w:rPr>
                <w:smallCaps w:val="0"/>
                <w:sz w:val="21"/>
              </w:rPr>
            </w:pPr>
            <w:r>
              <w:rPr>
                <w:rFonts w:hint="eastAsia"/>
                <w:smallCaps w:val="0"/>
                <w:sz w:val="21"/>
                <w:szCs w:val="21"/>
              </w:rPr>
              <w:t>群力水库</w:t>
            </w:r>
          </w:p>
        </w:tc>
        <w:tc>
          <w:tcPr>
            <w:tcW w:w="1080" w:type="pct"/>
            <w:vAlign w:val="center"/>
          </w:tcPr>
          <w:p w14:paraId="793B7DD7"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群力村</w:t>
            </w:r>
          </w:p>
        </w:tc>
        <w:tc>
          <w:tcPr>
            <w:tcW w:w="498" w:type="pct"/>
            <w:vAlign w:val="center"/>
          </w:tcPr>
          <w:p w14:paraId="7A57A7AC" w14:textId="77777777" w:rsidR="009D12AF" w:rsidRDefault="00000000">
            <w:pPr>
              <w:pStyle w:val="aff0"/>
              <w:widowControl w:val="0"/>
              <w:adjustRightInd w:val="0"/>
              <w:snapToGrid w:val="0"/>
              <w:rPr>
                <w:smallCaps w:val="0"/>
                <w:sz w:val="21"/>
              </w:rPr>
            </w:pPr>
            <w:r>
              <w:rPr>
                <w:rFonts w:hint="eastAsia"/>
                <w:smallCaps w:val="0"/>
                <w:sz w:val="21"/>
                <w:szCs w:val="21"/>
              </w:rPr>
              <w:t>居民</w:t>
            </w:r>
          </w:p>
        </w:tc>
        <w:tc>
          <w:tcPr>
            <w:tcW w:w="498" w:type="pct"/>
            <w:vAlign w:val="center"/>
          </w:tcPr>
          <w:p w14:paraId="0FC87A62" w14:textId="77777777" w:rsidR="009D12AF" w:rsidRDefault="00000000">
            <w:pPr>
              <w:pStyle w:val="afe"/>
              <w:widowControl w:val="0"/>
              <w:spacing w:line="240" w:lineRule="auto"/>
              <w:rPr>
                <w:rStyle w:val="aff"/>
                <w:rFonts w:ascii="Times New Roman" w:hAnsi="Times New Roman" w:cs="Times New Roman"/>
                <w:b w:val="0"/>
                <w:smallCaps w:val="0"/>
              </w:rPr>
            </w:pPr>
            <w:r>
              <w:rPr>
                <w:rStyle w:val="aff"/>
                <w:rFonts w:ascii="Times New Roman" w:hAnsi="Times New Roman" w:cs="Times New Roman"/>
                <w:b w:val="0"/>
                <w:smallCaps w:val="0"/>
              </w:rPr>
              <w:t>环境空气质量</w:t>
            </w:r>
          </w:p>
        </w:tc>
        <w:tc>
          <w:tcPr>
            <w:tcW w:w="1314" w:type="pct"/>
            <w:vAlign w:val="center"/>
          </w:tcPr>
          <w:p w14:paraId="190BAFAF" w14:textId="77777777" w:rsidR="009D12AF" w:rsidRDefault="00000000">
            <w:pPr>
              <w:pStyle w:val="aff0"/>
              <w:widowControl w:val="0"/>
              <w:adjustRightInd w:val="0"/>
              <w:snapToGrid w:val="0"/>
              <w:rPr>
                <w:rStyle w:val="aff"/>
                <w:rFonts w:ascii="Times New Roman" w:hAnsi="Times New Roman" w:cs="Times New Roman"/>
                <w:smallCaps w:val="0"/>
              </w:rPr>
            </w:pPr>
            <w:r>
              <w:rPr>
                <w:smallCaps w:val="0"/>
                <w:sz w:val="21"/>
              </w:rPr>
              <w:t>《环境空气质量标准》</w:t>
            </w:r>
            <w:r>
              <w:rPr>
                <w:smallCaps w:val="0"/>
                <w:sz w:val="21"/>
              </w:rPr>
              <w:t xml:space="preserve"> </w:t>
            </w:r>
            <w:r>
              <w:rPr>
                <w:smallCaps w:val="0"/>
                <w:sz w:val="21"/>
              </w:rPr>
              <w:t>（</w:t>
            </w:r>
            <w:r>
              <w:rPr>
                <w:smallCaps w:val="0"/>
                <w:sz w:val="21"/>
              </w:rPr>
              <w:t>GB3095-2 012</w:t>
            </w:r>
            <w:r>
              <w:rPr>
                <w:smallCaps w:val="0"/>
                <w:sz w:val="21"/>
              </w:rPr>
              <w:t>）</w:t>
            </w:r>
            <w:r>
              <w:rPr>
                <w:rFonts w:hint="eastAsia"/>
                <w:smallCaps w:val="0"/>
                <w:sz w:val="21"/>
              </w:rPr>
              <w:t>一</w:t>
            </w:r>
            <w:r>
              <w:rPr>
                <w:smallCaps w:val="0"/>
                <w:sz w:val="21"/>
              </w:rPr>
              <w:t>类功能区</w:t>
            </w:r>
          </w:p>
        </w:tc>
        <w:tc>
          <w:tcPr>
            <w:tcW w:w="523" w:type="pct"/>
            <w:vAlign w:val="center"/>
          </w:tcPr>
          <w:p w14:paraId="705F9B3F" w14:textId="77777777" w:rsidR="009D12AF" w:rsidRDefault="00000000">
            <w:pPr>
              <w:pStyle w:val="aff0"/>
              <w:widowControl w:val="0"/>
              <w:adjustRightInd w:val="0"/>
              <w:snapToGrid w:val="0"/>
              <w:rPr>
                <w:smallCaps w:val="0"/>
                <w:sz w:val="21"/>
              </w:rPr>
            </w:pPr>
            <w:r>
              <w:rPr>
                <w:rFonts w:hint="eastAsia"/>
                <w:smallCaps w:val="0"/>
                <w:sz w:val="21"/>
                <w:szCs w:val="21"/>
              </w:rPr>
              <w:t>N</w:t>
            </w:r>
          </w:p>
        </w:tc>
        <w:tc>
          <w:tcPr>
            <w:tcW w:w="521" w:type="pct"/>
            <w:vAlign w:val="center"/>
          </w:tcPr>
          <w:p w14:paraId="1ED3B574" w14:textId="77777777" w:rsidR="009D12AF" w:rsidRDefault="00000000">
            <w:pPr>
              <w:pStyle w:val="afe"/>
              <w:widowControl w:val="0"/>
              <w:spacing w:line="240" w:lineRule="auto"/>
              <w:rPr>
                <w:rStyle w:val="aff"/>
                <w:rFonts w:ascii="Times New Roman" w:hAnsi="Times New Roman" w:cs="Times New Roman"/>
                <w:b w:val="0"/>
                <w:smallCaps w:val="0"/>
              </w:rPr>
            </w:pPr>
            <w:r>
              <w:rPr>
                <w:rFonts w:cs="Times New Roman" w:hint="eastAsia"/>
                <w:b w:val="0"/>
                <w:smallCaps w:val="0"/>
                <w:sz w:val="21"/>
              </w:rPr>
              <w:t>30</w:t>
            </w:r>
            <w:r>
              <w:rPr>
                <w:rFonts w:cs="Times New Roman"/>
                <w:b w:val="0"/>
                <w:smallCaps w:val="0"/>
                <w:sz w:val="21"/>
              </w:rPr>
              <w:t>m</w:t>
            </w:r>
          </w:p>
        </w:tc>
      </w:tr>
      <w:tr w:rsidR="009D12AF" w14:paraId="63A5851A" w14:textId="77777777">
        <w:trPr>
          <w:jc w:val="center"/>
        </w:trPr>
        <w:tc>
          <w:tcPr>
            <w:tcW w:w="563" w:type="pct"/>
            <w:vMerge/>
            <w:vAlign w:val="center"/>
          </w:tcPr>
          <w:p w14:paraId="78047D53" w14:textId="77777777" w:rsidR="009D12AF" w:rsidRDefault="009D12AF">
            <w:pPr>
              <w:pStyle w:val="aff0"/>
              <w:widowControl w:val="0"/>
              <w:adjustRightInd w:val="0"/>
              <w:snapToGrid w:val="0"/>
              <w:rPr>
                <w:smallCaps w:val="0"/>
                <w:sz w:val="21"/>
                <w:szCs w:val="21"/>
              </w:rPr>
            </w:pPr>
          </w:p>
        </w:tc>
        <w:tc>
          <w:tcPr>
            <w:tcW w:w="1080" w:type="pct"/>
            <w:vAlign w:val="center"/>
          </w:tcPr>
          <w:p w14:paraId="5F48E125"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群力村</w:t>
            </w:r>
          </w:p>
        </w:tc>
        <w:tc>
          <w:tcPr>
            <w:tcW w:w="498" w:type="pct"/>
            <w:vAlign w:val="center"/>
          </w:tcPr>
          <w:p w14:paraId="09F23C5C" w14:textId="77777777" w:rsidR="009D12AF" w:rsidRDefault="00000000">
            <w:pPr>
              <w:pStyle w:val="aff0"/>
              <w:widowControl w:val="0"/>
              <w:adjustRightInd w:val="0"/>
              <w:snapToGrid w:val="0"/>
              <w:rPr>
                <w:smallCaps w:val="0"/>
                <w:sz w:val="21"/>
                <w:szCs w:val="21"/>
              </w:rPr>
            </w:pPr>
            <w:r>
              <w:rPr>
                <w:rFonts w:hint="eastAsia"/>
                <w:smallCaps w:val="0"/>
                <w:sz w:val="21"/>
                <w:szCs w:val="21"/>
              </w:rPr>
              <w:t>居民</w:t>
            </w:r>
          </w:p>
        </w:tc>
        <w:tc>
          <w:tcPr>
            <w:tcW w:w="498" w:type="pct"/>
            <w:vAlign w:val="center"/>
          </w:tcPr>
          <w:p w14:paraId="2D0248D3" w14:textId="77777777" w:rsidR="009D12AF" w:rsidRDefault="00000000">
            <w:pPr>
              <w:pStyle w:val="afe"/>
              <w:widowControl w:val="0"/>
              <w:spacing w:line="240" w:lineRule="auto"/>
              <w:rPr>
                <w:rStyle w:val="aff"/>
                <w:rFonts w:ascii="Times New Roman" w:hAnsi="Times New Roman" w:cs="Times New Roman"/>
                <w:b w:val="0"/>
                <w:smallCaps w:val="0"/>
              </w:rPr>
            </w:pPr>
            <w:r>
              <w:rPr>
                <w:rStyle w:val="aff"/>
                <w:rFonts w:cs="Times New Roman" w:hint="eastAsia"/>
                <w:b w:val="0"/>
                <w:smallCaps w:val="0"/>
              </w:rPr>
              <w:t>声环境质量</w:t>
            </w:r>
          </w:p>
        </w:tc>
        <w:tc>
          <w:tcPr>
            <w:tcW w:w="1314" w:type="pct"/>
            <w:vAlign w:val="center"/>
          </w:tcPr>
          <w:p w14:paraId="4BB0915B" w14:textId="77777777" w:rsidR="009D12AF" w:rsidRDefault="00000000">
            <w:pPr>
              <w:pStyle w:val="aff0"/>
              <w:widowControl w:val="0"/>
              <w:adjustRightInd w:val="0"/>
              <w:snapToGrid w:val="0"/>
              <w:rPr>
                <w:smallCaps w:val="0"/>
                <w:sz w:val="21"/>
              </w:rPr>
            </w:pPr>
            <w:r>
              <w:rPr>
                <w:smallCaps w:val="0"/>
                <w:sz w:val="21"/>
              </w:rPr>
              <w:t>《声环境质量标准》（</w:t>
            </w:r>
            <w:r>
              <w:rPr>
                <w:smallCaps w:val="0"/>
                <w:sz w:val="21"/>
              </w:rPr>
              <w:t>GB3096-2008</w:t>
            </w:r>
            <w:r>
              <w:rPr>
                <w:smallCaps w:val="0"/>
                <w:sz w:val="21"/>
              </w:rPr>
              <w:t>）</w:t>
            </w:r>
            <w:r>
              <w:rPr>
                <w:smallCaps w:val="0"/>
                <w:sz w:val="21"/>
              </w:rPr>
              <w:t>1</w:t>
            </w:r>
            <w:r>
              <w:rPr>
                <w:smallCaps w:val="0"/>
                <w:sz w:val="21"/>
              </w:rPr>
              <w:t>类功能区</w:t>
            </w:r>
          </w:p>
        </w:tc>
        <w:tc>
          <w:tcPr>
            <w:tcW w:w="523" w:type="pct"/>
            <w:vAlign w:val="center"/>
          </w:tcPr>
          <w:p w14:paraId="4FC52D92" w14:textId="77777777" w:rsidR="009D12AF" w:rsidRDefault="00000000">
            <w:pPr>
              <w:pStyle w:val="aff0"/>
              <w:widowControl w:val="0"/>
              <w:adjustRightInd w:val="0"/>
              <w:snapToGrid w:val="0"/>
              <w:rPr>
                <w:smallCaps w:val="0"/>
                <w:sz w:val="21"/>
                <w:szCs w:val="21"/>
              </w:rPr>
            </w:pPr>
            <w:r>
              <w:rPr>
                <w:rFonts w:hint="eastAsia"/>
                <w:smallCaps w:val="0"/>
                <w:sz w:val="21"/>
                <w:szCs w:val="21"/>
              </w:rPr>
              <w:t>N</w:t>
            </w:r>
          </w:p>
        </w:tc>
        <w:tc>
          <w:tcPr>
            <w:tcW w:w="521" w:type="pct"/>
            <w:vAlign w:val="center"/>
          </w:tcPr>
          <w:p w14:paraId="5A7207E3" w14:textId="77777777" w:rsidR="009D12AF" w:rsidRDefault="00000000">
            <w:pPr>
              <w:pStyle w:val="afe"/>
              <w:widowControl w:val="0"/>
              <w:spacing w:line="240" w:lineRule="auto"/>
              <w:rPr>
                <w:rFonts w:cs="Times New Roman"/>
                <w:b w:val="0"/>
                <w:smallCaps w:val="0"/>
                <w:sz w:val="21"/>
              </w:rPr>
            </w:pPr>
            <w:r>
              <w:rPr>
                <w:rFonts w:cs="Times New Roman" w:hint="eastAsia"/>
                <w:b w:val="0"/>
                <w:smallCaps w:val="0"/>
                <w:sz w:val="21"/>
              </w:rPr>
              <w:t>30</w:t>
            </w:r>
            <w:r>
              <w:rPr>
                <w:rFonts w:cs="Times New Roman"/>
                <w:b w:val="0"/>
                <w:smallCaps w:val="0"/>
                <w:sz w:val="21"/>
              </w:rPr>
              <w:t>m</w:t>
            </w:r>
          </w:p>
        </w:tc>
      </w:tr>
    </w:tbl>
    <w:p w14:paraId="5FF01707" w14:textId="77777777" w:rsidR="009D12AF" w:rsidRDefault="00000000">
      <w:pPr>
        <w:ind w:firstLine="480"/>
      </w:pPr>
      <w:r>
        <w:rPr>
          <w:rFonts w:hint="eastAsia"/>
        </w:rPr>
        <w:t>本项目地下水评价范围内无集中式饮用水源地及《建设项目环境影响评价分类管理名录》中所界定的涉及地下水的环境敏感区，本项目实施后主要对周围分</w:t>
      </w:r>
      <w:r>
        <w:rPr>
          <w:rFonts w:hint="eastAsia"/>
        </w:rPr>
        <w:lastRenderedPageBreak/>
        <w:t>散式引用水井水位可能有部分影响。</w:t>
      </w:r>
    </w:p>
    <w:p w14:paraId="18B0468E" w14:textId="77777777" w:rsidR="009D12AF" w:rsidRDefault="00000000">
      <w:pPr>
        <w:ind w:firstLineChars="0" w:firstLine="0"/>
        <w:jc w:val="center"/>
        <w:rPr>
          <w:b/>
          <w:bCs/>
        </w:rPr>
      </w:pPr>
      <w:r>
        <w:rPr>
          <w:rFonts w:hint="eastAsia"/>
          <w:b/>
          <w:bCs/>
        </w:rPr>
        <w:t>表</w:t>
      </w:r>
      <w:r>
        <w:rPr>
          <w:rFonts w:hint="eastAsia"/>
          <w:b/>
          <w:bCs/>
        </w:rPr>
        <w:t>2.8-3</w:t>
      </w:r>
      <w:r>
        <w:rPr>
          <w:rFonts w:hint="eastAsia"/>
          <w:b/>
          <w:bCs/>
        </w:rPr>
        <w:t>本项目水环境保护目标一览表</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92"/>
        <w:gridCol w:w="1356"/>
        <w:gridCol w:w="547"/>
        <w:gridCol w:w="4048"/>
        <w:gridCol w:w="1763"/>
      </w:tblGrid>
      <w:tr w:rsidR="009D12AF" w14:paraId="06AAD57A" w14:textId="77777777">
        <w:trPr>
          <w:trHeight w:val="397"/>
          <w:jc w:val="center"/>
        </w:trPr>
        <w:tc>
          <w:tcPr>
            <w:tcW w:w="356" w:type="pct"/>
            <w:vAlign w:val="center"/>
          </w:tcPr>
          <w:p w14:paraId="3D8F755A" w14:textId="77777777" w:rsidR="009D12AF" w:rsidRDefault="00000000">
            <w:pPr>
              <w:snapToGrid w:val="0"/>
              <w:spacing w:line="240" w:lineRule="auto"/>
              <w:ind w:firstLineChars="0" w:firstLine="0"/>
              <w:jc w:val="center"/>
              <w:rPr>
                <w:kern w:val="0"/>
                <w:sz w:val="21"/>
                <w:szCs w:val="21"/>
              </w:rPr>
            </w:pPr>
            <w:r>
              <w:rPr>
                <w:kern w:val="0"/>
                <w:sz w:val="21"/>
                <w:szCs w:val="21"/>
              </w:rPr>
              <w:t>环境要素</w:t>
            </w:r>
          </w:p>
        </w:tc>
        <w:tc>
          <w:tcPr>
            <w:tcW w:w="816" w:type="pct"/>
            <w:vAlign w:val="center"/>
          </w:tcPr>
          <w:p w14:paraId="4395C746" w14:textId="77777777" w:rsidR="009D12AF" w:rsidRDefault="00000000">
            <w:pPr>
              <w:snapToGrid w:val="0"/>
              <w:spacing w:line="240" w:lineRule="auto"/>
              <w:ind w:firstLineChars="0" w:firstLine="0"/>
              <w:jc w:val="center"/>
              <w:rPr>
                <w:kern w:val="0"/>
                <w:sz w:val="21"/>
                <w:szCs w:val="21"/>
              </w:rPr>
            </w:pPr>
            <w:r>
              <w:rPr>
                <w:kern w:val="0"/>
                <w:sz w:val="21"/>
                <w:szCs w:val="21"/>
              </w:rPr>
              <w:t>敏感点名称</w:t>
            </w:r>
          </w:p>
        </w:tc>
        <w:tc>
          <w:tcPr>
            <w:tcW w:w="329" w:type="pct"/>
            <w:vAlign w:val="center"/>
          </w:tcPr>
          <w:p w14:paraId="640AB081" w14:textId="77777777" w:rsidR="009D12AF" w:rsidRDefault="00000000">
            <w:pPr>
              <w:snapToGrid w:val="0"/>
              <w:spacing w:line="240" w:lineRule="auto"/>
              <w:ind w:firstLineChars="0" w:firstLine="0"/>
              <w:jc w:val="center"/>
              <w:rPr>
                <w:kern w:val="0"/>
                <w:sz w:val="21"/>
                <w:szCs w:val="21"/>
              </w:rPr>
            </w:pPr>
            <w:r>
              <w:rPr>
                <w:kern w:val="0"/>
                <w:sz w:val="21"/>
                <w:szCs w:val="21"/>
              </w:rPr>
              <w:t>保护对象</w:t>
            </w:r>
          </w:p>
        </w:tc>
        <w:tc>
          <w:tcPr>
            <w:tcW w:w="2436" w:type="pct"/>
            <w:vAlign w:val="center"/>
          </w:tcPr>
          <w:p w14:paraId="09222A2C" w14:textId="77777777" w:rsidR="009D12AF" w:rsidRDefault="00000000">
            <w:pPr>
              <w:snapToGrid w:val="0"/>
              <w:spacing w:line="240" w:lineRule="auto"/>
              <w:jc w:val="center"/>
              <w:rPr>
                <w:kern w:val="0"/>
                <w:sz w:val="21"/>
                <w:szCs w:val="21"/>
              </w:rPr>
            </w:pPr>
            <w:r>
              <w:rPr>
                <w:kern w:val="0"/>
                <w:sz w:val="21"/>
                <w:szCs w:val="21"/>
              </w:rPr>
              <w:t>工程区与保护区位置关系及距离</w:t>
            </w:r>
            <w:r>
              <w:rPr>
                <w:kern w:val="0"/>
                <w:sz w:val="21"/>
                <w:szCs w:val="21"/>
              </w:rPr>
              <w:t>(m)</w:t>
            </w:r>
          </w:p>
        </w:tc>
        <w:tc>
          <w:tcPr>
            <w:tcW w:w="1061" w:type="pct"/>
            <w:vAlign w:val="center"/>
          </w:tcPr>
          <w:p w14:paraId="7EB87D46" w14:textId="77777777" w:rsidR="009D12AF" w:rsidRDefault="00000000">
            <w:pPr>
              <w:snapToGrid w:val="0"/>
              <w:spacing w:line="240" w:lineRule="auto"/>
              <w:rPr>
                <w:kern w:val="0"/>
                <w:sz w:val="21"/>
                <w:szCs w:val="21"/>
              </w:rPr>
            </w:pPr>
            <w:r>
              <w:rPr>
                <w:rFonts w:hint="eastAsia"/>
                <w:kern w:val="0"/>
                <w:sz w:val="21"/>
                <w:szCs w:val="21"/>
              </w:rPr>
              <w:t>备注</w:t>
            </w:r>
          </w:p>
        </w:tc>
      </w:tr>
      <w:tr w:rsidR="009D12AF" w14:paraId="0F4DD083" w14:textId="77777777">
        <w:trPr>
          <w:trHeight w:val="397"/>
          <w:jc w:val="center"/>
        </w:trPr>
        <w:tc>
          <w:tcPr>
            <w:tcW w:w="356" w:type="pct"/>
            <w:vAlign w:val="center"/>
          </w:tcPr>
          <w:p w14:paraId="62CC6449" w14:textId="77777777" w:rsidR="009D12AF" w:rsidRDefault="00000000">
            <w:pPr>
              <w:snapToGrid w:val="0"/>
              <w:spacing w:line="240" w:lineRule="auto"/>
              <w:ind w:firstLineChars="0" w:firstLine="0"/>
              <w:jc w:val="center"/>
              <w:rPr>
                <w:kern w:val="0"/>
                <w:sz w:val="21"/>
                <w:szCs w:val="21"/>
              </w:rPr>
            </w:pPr>
            <w:r>
              <w:rPr>
                <w:kern w:val="0"/>
                <w:sz w:val="21"/>
                <w:szCs w:val="21"/>
              </w:rPr>
              <w:t>地表水环境</w:t>
            </w:r>
          </w:p>
        </w:tc>
        <w:tc>
          <w:tcPr>
            <w:tcW w:w="816" w:type="pct"/>
            <w:vAlign w:val="center"/>
          </w:tcPr>
          <w:p w14:paraId="563042D9" w14:textId="77777777" w:rsidR="009D12AF" w:rsidRDefault="00000000">
            <w:pPr>
              <w:snapToGrid w:val="0"/>
              <w:spacing w:line="240" w:lineRule="auto"/>
              <w:ind w:firstLineChars="0" w:firstLine="0"/>
              <w:jc w:val="center"/>
              <w:rPr>
                <w:kern w:val="0"/>
                <w:sz w:val="21"/>
                <w:szCs w:val="21"/>
              </w:rPr>
            </w:pPr>
            <w:r>
              <w:rPr>
                <w:rFonts w:hint="eastAsia"/>
                <w:kern w:val="0"/>
                <w:sz w:val="21"/>
                <w:szCs w:val="21"/>
              </w:rPr>
              <w:t>海林市二水厂（改扩建）饮用水水源二级保护区内</w:t>
            </w:r>
          </w:p>
        </w:tc>
        <w:tc>
          <w:tcPr>
            <w:tcW w:w="329" w:type="pct"/>
            <w:vAlign w:val="center"/>
          </w:tcPr>
          <w:p w14:paraId="1481621D" w14:textId="77777777" w:rsidR="009D12AF" w:rsidRDefault="00000000">
            <w:pPr>
              <w:snapToGrid w:val="0"/>
              <w:spacing w:line="240" w:lineRule="auto"/>
              <w:ind w:firstLineChars="0" w:firstLine="0"/>
              <w:jc w:val="center"/>
              <w:rPr>
                <w:kern w:val="0"/>
                <w:sz w:val="21"/>
                <w:szCs w:val="21"/>
              </w:rPr>
            </w:pPr>
            <w:r>
              <w:rPr>
                <w:sz w:val="21"/>
                <w:szCs w:val="21"/>
              </w:rPr>
              <w:t>河流水质、水量</w:t>
            </w:r>
          </w:p>
        </w:tc>
        <w:tc>
          <w:tcPr>
            <w:tcW w:w="2436" w:type="pct"/>
            <w:vAlign w:val="center"/>
          </w:tcPr>
          <w:p w14:paraId="429DBFDC" w14:textId="77777777" w:rsidR="009D12AF" w:rsidRDefault="00000000">
            <w:pPr>
              <w:snapToGrid w:val="0"/>
              <w:spacing w:line="240" w:lineRule="auto"/>
              <w:jc w:val="center"/>
              <w:rPr>
                <w:kern w:val="0"/>
                <w:sz w:val="21"/>
                <w:szCs w:val="21"/>
              </w:rPr>
            </w:pPr>
            <w:r>
              <w:rPr>
                <w:rFonts w:hint="eastAsia"/>
                <w:kern w:val="0"/>
                <w:sz w:val="21"/>
                <w:szCs w:val="21"/>
              </w:rPr>
              <w:t>向阳水电站前池</w:t>
            </w:r>
            <w:r>
              <w:rPr>
                <w:kern w:val="0"/>
                <w:sz w:val="21"/>
                <w:szCs w:val="21"/>
              </w:rPr>
              <w:t>内部</w:t>
            </w:r>
          </w:p>
        </w:tc>
        <w:tc>
          <w:tcPr>
            <w:tcW w:w="1061" w:type="pct"/>
            <w:vAlign w:val="center"/>
          </w:tcPr>
          <w:p w14:paraId="38D64625" w14:textId="77777777" w:rsidR="009D12AF" w:rsidRDefault="00000000">
            <w:pPr>
              <w:snapToGrid w:val="0"/>
              <w:spacing w:line="240" w:lineRule="auto"/>
              <w:ind w:firstLineChars="0" w:firstLine="0"/>
              <w:jc w:val="center"/>
              <w:rPr>
                <w:kern w:val="0"/>
                <w:sz w:val="21"/>
                <w:szCs w:val="21"/>
              </w:rPr>
            </w:pPr>
            <w:r>
              <w:rPr>
                <w:sz w:val="21"/>
                <w:szCs w:val="21"/>
              </w:rPr>
              <w:t>水环境质量不低于现状水质</w:t>
            </w:r>
            <w:r>
              <w:rPr>
                <w:rFonts w:hint="eastAsia"/>
                <w:sz w:val="21"/>
                <w:szCs w:val="21"/>
              </w:rPr>
              <w:t>，</w:t>
            </w:r>
            <w:r>
              <w:rPr>
                <w:sz w:val="21"/>
                <w:szCs w:val="21"/>
              </w:rPr>
              <w:t>满足《地表水环境质量标准》（</w:t>
            </w:r>
            <w:r>
              <w:rPr>
                <w:sz w:val="21"/>
                <w:szCs w:val="21"/>
              </w:rPr>
              <w:t>GB3838-2002</w:t>
            </w:r>
            <w:r>
              <w:rPr>
                <w:sz w:val="21"/>
                <w:szCs w:val="21"/>
              </w:rPr>
              <w:t>）</w:t>
            </w:r>
            <w:r>
              <w:rPr>
                <w:rFonts w:ascii="宋体" w:hAnsi="宋体" w:cs="宋体" w:hint="eastAsia"/>
                <w:sz w:val="21"/>
                <w:szCs w:val="21"/>
              </w:rPr>
              <w:t>Ⅲ</w:t>
            </w:r>
            <w:r>
              <w:rPr>
                <w:sz w:val="21"/>
                <w:szCs w:val="21"/>
              </w:rPr>
              <w:t>类标准</w:t>
            </w:r>
          </w:p>
        </w:tc>
      </w:tr>
    </w:tbl>
    <w:p w14:paraId="3744E79D" w14:textId="77777777" w:rsidR="009D12AF" w:rsidRDefault="00000000">
      <w:pPr>
        <w:ind w:firstLine="480"/>
      </w:pPr>
      <w:r>
        <w:br w:type="page"/>
      </w:r>
    </w:p>
    <w:p w14:paraId="69764A73" w14:textId="77777777" w:rsidR="009D12AF" w:rsidRDefault="00000000">
      <w:pPr>
        <w:pStyle w:val="1"/>
      </w:pPr>
      <w:bookmarkStart w:id="111" w:name="_Toc8803"/>
      <w:r>
        <w:rPr>
          <w:rFonts w:hint="eastAsia"/>
        </w:rPr>
        <w:lastRenderedPageBreak/>
        <w:t>3</w:t>
      </w:r>
      <w:r>
        <w:t xml:space="preserve"> </w:t>
      </w:r>
      <w:r>
        <w:t>建设项目工程分析</w:t>
      </w:r>
      <w:bookmarkEnd w:id="111"/>
    </w:p>
    <w:p w14:paraId="7A130480" w14:textId="77777777" w:rsidR="009D12AF" w:rsidRDefault="00000000">
      <w:pPr>
        <w:pStyle w:val="2"/>
      </w:pPr>
      <w:bookmarkStart w:id="112" w:name="_Toc11085"/>
      <w:r>
        <w:rPr>
          <w:rFonts w:hint="eastAsia"/>
        </w:rPr>
        <w:t>3.1</w:t>
      </w:r>
      <w:r>
        <w:rPr>
          <w:rFonts w:hint="eastAsia"/>
        </w:rPr>
        <w:t>项目区现有情况</w:t>
      </w:r>
      <w:bookmarkEnd w:id="112"/>
    </w:p>
    <w:p w14:paraId="46A0A3D3" w14:textId="77777777" w:rsidR="009D12AF" w:rsidRDefault="00000000">
      <w:pPr>
        <w:ind w:firstLine="480"/>
      </w:pPr>
      <w:r>
        <w:rPr>
          <w:rFonts w:hint="eastAsia"/>
        </w:rPr>
        <w:t>一、本项目清淤水库现有情况分析：</w:t>
      </w:r>
    </w:p>
    <w:p w14:paraId="1BB9C346" w14:textId="77777777" w:rsidR="009D12AF" w:rsidRDefault="00000000">
      <w:pPr>
        <w:ind w:firstLine="480"/>
      </w:pPr>
      <w:r>
        <w:rPr>
          <w:rFonts w:hint="eastAsia"/>
        </w:rPr>
        <w:t>（一）长石水库现状</w:t>
      </w:r>
    </w:p>
    <w:p w14:paraId="4085244E" w14:textId="77777777" w:rsidR="009D12AF" w:rsidRDefault="00000000">
      <w:pPr>
        <w:ind w:firstLine="480"/>
      </w:pPr>
      <w:r>
        <w:rPr>
          <w:rFonts w:hint="eastAsia"/>
        </w:rPr>
        <w:t>长石水库是</w:t>
      </w:r>
      <w:r>
        <w:rPr>
          <w:rFonts w:hint="eastAsia"/>
        </w:rPr>
        <w:t xml:space="preserve"> 1956 </w:t>
      </w:r>
      <w:r>
        <w:rPr>
          <w:rFonts w:hint="eastAsia"/>
        </w:rPr>
        <w:t>年开始施工，</w:t>
      </w:r>
      <w:r>
        <w:rPr>
          <w:rFonts w:hint="eastAsia"/>
        </w:rPr>
        <w:t xml:space="preserve">1958 </w:t>
      </w:r>
      <w:r>
        <w:rPr>
          <w:rFonts w:hint="eastAsia"/>
        </w:rPr>
        <w:t>年竣工的小</w:t>
      </w:r>
      <w:r>
        <w:rPr>
          <w:rFonts w:hint="eastAsia"/>
        </w:rPr>
        <w:t xml:space="preserve"> I </w:t>
      </w:r>
      <w:r>
        <w:rPr>
          <w:rFonts w:hint="eastAsia"/>
        </w:rPr>
        <w:t>型水库。水库是灌溉、防洪为主，兼顾养鱼综合利用效益的年调节水库。通过引水渠道灌溉沿途</w:t>
      </w:r>
      <w:r>
        <w:rPr>
          <w:rFonts w:hint="eastAsia"/>
        </w:rPr>
        <w:t xml:space="preserve"> 0.2 </w:t>
      </w:r>
      <w:r>
        <w:rPr>
          <w:rFonts w:hint="eastAsia"/>
        </w:rPr>
        <w:t>万亩水田，水库大坝下游有专门供灌溉的引水工程，放水洞不直接与灌溉渠道相接，设计保证率为</w:t>
      </w:r>
      <w:r>
        <w:rPr>
          <w:rFonts w:hint="eastAsia"/>
        </w:rPr>
        <w:t xml:space="preserve"> 75%</w:t>
      </w:r>
      <w:r>
        <w:rPr>
          <w:rFonts w:hint="eastAsia"/>
        </w:rPr>
        <w:t>。水库原设计标准为</w:t>
      </w:r>
      <w:r>
        <w:rPr>
          <w:rFonts w:hint="eastAsia"/>
        </w:rPr>
        <w:t xml:space="preserve"> 20 </w:t>
      </w:r>
      <w:r>
        <w:rPr>
          <w:rFonts w:hint="eastAsia"/>
        </w:rPr>
        <w:t>年一遇洪水设计，</w:t>
      </w:r>
      <w:r>
        <w:rPr>
          <w:rFonts w:hint="eastAsia"/>
        </w:rPr>
        <w:t xml:space="preserve">200 </w:t>
      </w:r>
      <w:r>
        <w:rPr>
          <w:rFonts w:hint="eastAsia"/>
        </w:rPr>
        <w:t>年一遇洪水校核，兴利水位</w:t>
      </w:r>
      <w:r>
        <w:rPr>
          <w:rFonts w:hint="eastAsia"/>
        </w:rPr>
        <w:t>265.00m</w:t>
      </w:r>
      <w:r>
        <w:rPr>
          <w:rFonts w:hint="eastAsia"/>
        </w:rPr>
        <w:t>，兴利库容</w:t>
      </w:r>
      <w:r>
        <w:rPr>
          <w:rFonts w:hint="eastAsia"/>
        </w:rPr>
        <w:t>94.50</w:t>
      </w:r>
      <w:r>
        <w:rPr>
          <w:rFonts w:hint="eastAsia"/>
        </w:rPr>
        <w:t>万</w:t>
      </w:r>
      <w:r>
        <w:rPr>
          <w:rFonts w:hint="eastAsia"/>
        </w:rPr>
        <w:t>m3</w:t>
      </w:r>
      <w:r>
        <w:rPr>
          <w:rFonts w:hint="eastAsia"/>
        </w:rPr>
        <w:t>，校核洪水位</w:t>
      </w:r>
      <w:r>
        <w:rPr>
          <w:rFonts w:hint="eastAsia"/>
        </w:rPr>
        <w:t xml:space="preserve"> 266.20m</w:t>
      </w:r>
      <w:r>
        <w:rPr>
          <w:rFonts w:hint="eastAsia"/>
        </w:rPr>
        <w:t>，总库容</w:t>
      </w:r>
      <w:r>
        <w:rPr>
          <w:rFonts w:hint="eastAsia"/>
        </w:rPr>
        <w:t xml:space="preserve"> 130</w:t>
      </w:r>
      <w:r>
        <w:rPr>
          <w:rFonts w:hint="eastAsia"/>
        </w:rPr>
        <w:t>万</w:t>
      </w:r>
      <w:r>
        <w:rPr>
          <w:rFonts w:hint="eastAsia"/>
        </w:rPr>
        <w:t>m</w:t>
      </w:r>
      <w:r>
        <w:rPr>
          <w:rFonts w:hint="eastAsia"/>
          <w:vertAlign w:val="superscript"/>
        </w:rPr>
        <w:t>3</w:t>
      </w:r>
      <w:r>
        <w:rPr>
          <w:rFonts w:hint="eastAsia"/>
        </w:rPr>
        <w:t>，死水位</w:t>
      </w:r>
      <w:r>
        <w:rPr>
          <w:rFonts w:hint="eastAsia"/>
        </w:rPr>
        <w:t>260.30m</w:t>
      </w:r>
      <w:r>
        <w:rPr>
          <w:rFonts w:hint="eastAsia"/>
        </w:rPr>
        <w:t>，死库容</w:t>
      </w:r>
      <w:r>
        <w:rPr>
          <w:rFonts w:hint="eastAsia"/>
        </w:rPr>
        <w:t xml:space="preserve">19.50 </w:t>
      </w:r>
      <w:r>
        <w:rPr>
          <w:rFonts w:hint="eastAsia"/>
        </w:rPr>
        <w:t>万</w:t>
      </w:r>
      <w:r>
        <w:rPr>
          <w:rFonts w:hint="eastAsia"/>
        </w:rPr>
        <w:t>m</w:t>
      </w:r>
      <w:r>
        <w:rPr>
          <w:rFonts w:hint="eastAsia"/>
          <w:vertAlign w:val="superscript"/>
        </w:rPr>
        <w:t>3</w:t>
      </w:r>
      <w:r>
        <w:rPr>
          <w:rFonts w:hint="eastAsia"/>
        </w:rPr>
        <w:t>。</w:t>
      </w:r>
    </w:p>
    <w:p w14:paraId="4ECE8FF0" w14:textId="77777777" w:rsidR="009D12AF" w:rsidRDefault="00000000">
      <w:pPr>
        <w:ind w:firstLine="480"/>
        <w:rPr>
          <w:rFonts w:ascii="宋体" w:eastAsia="宋体" w:hAnsi="宋体" w:cs="宋体" w:hint="eastAsia"/>
        </w:rPr>
      </w:pPr>
      <w:r>
        <w:rPr>
          <w:rFonts w:hint="eastAsia"/>
        </w:rPr>
        <w:t>水库枢纽工程由土坝、溢洪道、放水洞组成。土坝坝身均为均质坝，现坝顶平均高</w:t>
      </w:r>
      <w:r>
        <w:rPr>
          <w:rFonts w:hint="eastAsia"/>
        </w:rPr>
        <w:t xml:space="preserve"> 266.75m</w:t>
      </w:r>
      <w:r>
        <w:rPr>
          <w:rFonts w:hint="eastAsia"/>
        </w:rPr>
        <w:t>，坝长</w:t>
      </w:r>
      <w:r>
        <w:rPr>
          <w:rFonts w:hint="eastAsia"/>
        </w:rPr>
        <w:t xml:space="preserve"> 220m</w:t>
      </w:r>
      <w:r>
        <w:rPr>
          <w:rFonts w:hint="eastAsia"/>
        </w:rPr>
        <w:t>，最大坝高</w:t>
      </w:r>
      <w:r>
        <w:rPr>
          <w:rFonts w:hint="eastAsia"/>
        </w:rPr>
        <w:t xml:space="preserve"> 10.8m</w:t>
      </w:r>
      <w:r>
        <w:rPr>
          <w:rFonts w:hint="eastAsia"/>
        </w:rPr>
        <w:t>，上游坝坡为</w:t>
      </w:r>
      <w:r>
        <w:rPr>
          <w:rFonts w:hint="eastAsia"/>
        </w:rPr>
        <w:t xml:space="preserve"> 1:2.5</w:t>
      </w:r>
      <w:r>
        <w:rPr>
          <w:rFonts w:hint="eastAsia"/>
        </w:rPr>
        <w:t>，下游坝坡为</w:t>
      </w:r>
      <w:r>
        <w:rPr>
          <w:rFonts w:hint="eastAsia"/>
        </w:rPr>
        <w:t xml:space="preserve"> 1</w:t>
      </w:r>
      <w:r>
        <w:rPr>
          <w:rFonts w:hint="eastAsia"/>
        </w:rPr>
        <w:t>：</w:t>
      </w:r>
      <w:r>
        <w:rPr>
          <w:rFonts w:hint="eastAsia"/>
        </w:rPr>
        <w:t>2.0</w:t>
      </w:r>
      <w:r>
        <w:rPr>
          <w:rFonts w:hint="eastAsia"/>
        </w:rPr>
        <w:t>。溢洪道采用开敞式正堰溢洪道。堰宽</w:t>
      </w:r>
      <w:r>
        <w:rPr>
          <w:rFonts w:hint="eastAsia"/>
        </w:rPr>
        <w:t xml:space="preserve"> 25m</w:t>
      </w:r>
      <w:r>
        <w:rPr>
          <w:rFonts w:hint="eastAsia"/>
        </w:rPr>
        <w:t>，堰顶高程</w:t>
      </w:r>
      <w:r>
        <w:rPr>
          <w:rFonts w:hint="eastAsia"/>
        </w:rPr>
        <w:t xml:space="preserve"> 265.00m</w:t>
      </w:r>
      <w:r>
        <w:rPr>
          <w:rFonts w:hint="eastAsia"/>
        </w:rPr>
        <w:t>，放水洞为</w:t>
      </w:r>
      <w:r>
        <w:rPr>
          <w:rFonts w:hint="eastAsia"/>
        </w:rPr>
        <w:t xml:space="preserve"> 1 </w:t>
      </w:r>
      <w:r>
        <w:rPr>
          <w:rFonts w:hint="eastAsia"/>
        </w:rPr>
        <w:t>孔</w:t>
      </w:r>
      <w:r>
        <w:rPr>
          <w:rFonts w:hint="eastAsia"/>
        </w:rPr>
        <w:t xml:space="preserve"> 1.0m</w:t>
      </w:r>
      <w:r>
        <w:rPr>
          <w:rFonts w:hint="eastAsia"/>
        </w:rPr>
        <w:t>×</w:t>
      </w:r>
      <w:r>
        <w:rPr>
          <w:rFonts w:hint="eastAsia"/>
        </w:rPr>
        <w:t xml:space="preserve">1.0m </w:t>
      </w:r>
      <w:r>
        <w:rPr>
          <w:rFonts w:hint="eastAsia"/>
        </w:rPr>
        <w:t>方涵。长石水库保护耕地面积</w:t>
      </w:r>
      <w:r>
        <w:rPr>
          <w:rFonts w:hint="eastAsia"/>
        </w:rPr>
        <w:t xml:space="preserve"> 1.0 </w:t>
      </w:r>
      <w:r>
        <w:rPr>
          <w:rFonts w:hint="eastAsia"/>
        </w:rPr>
        <w:t>万亩，保护村屯</w:t>
      </w:r>
      <w:r>
        <w:rPr>
          <w:rFonts w:hint="eastAsia"/>
        </w:rPr>
        <w:t xml:space="preserve"> 4 </w:t>
      </w:r>
      <w:r>
        <w:rPr>
          <w:rFonts w:hint="eastAsia"/>
        </w:rPr>
        <w:t>个，乡政府</w:t>
      </w:r>
      <w:r>
        <w:rPr>
          <w:rFonts w:hint="eastAsia"/>
        </w:rPr>
        <w:t xml:space="preserve"> 1</w:t>
      </w:r>
      <w:r>
        <w:rPr>
          <w:rFonts w:hint="eastAsia"/>
        </w:rPr>
        <w:t>个，总人口</w:t>
      </w:r>
      <w:r>
        <w:rPr>
          <w:rFonts w:hint="eastAsia"/>
        </w:rPr>
        <w:t xml:space="preserve"> 6.0 </w:t>
      </w:r>
      <w:r>
        <w:rPr>
          <w:rFonts w:hint="eastAsia"/>
        </w:rPr>
        <w:t>万人。保护森铁</w:t>
      </w:r>
      <w:r>
        <w:rPr>
          <w:rFonts w:hint="eastAsia"/>
        </w:rPr>
        <w:t xml:space="preserve"> 10km</w:t>
      </w:r>
      <w:r>
        <w:rPr>
          <w:rFonts w:hint="eastAsia"/>
        </w:rPr>
        <w:t>，三道关公路</w:t>
      </w:r>
      <w:r>
        <w:rPr>
          <w:rFonts w:hint="eastAsia"/>
        </w:rPr>
        <w:t xml:space="preserve"> 5km</w:t>
      </w:r>
      <w:r>
        <w:rPr>
          <w:rFonts w:hint="eastAsia"/>
        </w:rPr>
        <w:t>。</w:t>
      </w:r>
    </w:p>
    <w:p w14:paraId="6574CE97" w14:textId="77777777" w:rsidR="009D12AF" w:rsidRDefault="00000000">
      <w:pPr>
        <w:ind w:firstLine="480"/>
        <w:rPr>
          <w:rFonts w:ascii="宋体" w:eastAsia="宋体" w:hAnsi="宋体" w:cs="宋体" w:hint="eastAsia"/>
        </w:rPr>
      </w:pPr>
      <w:r>
        <w:rPr>
          <w:rFonts w:ascii="宋体" w:eastAsia="宋体" w:hAnsi="宋体" w:cs="宋体" w:hint="eastAsia"/>
        </w:rPr>
        <w:t>（二）万丈水库现状</w:t>
      </w:r>
    </w:p>
    <w:p w14:paraId="4D265FFB" w14:textId="77777777" w:rsidR="009D12AF" w:rsidRDefault="00000000">
      <w:pPr>
        <w:ind w:firstLine="480"/>
      </w:pPr>
      <w:r>
        <w:rPr>
          <w:rFonts w:hint="eastAsia"/>
        </w:rPr>
        <w:t>万丈水库是</w:t>
      </w:r>
      <w:r>
        <w:rPr>
          <w:rFonts w:hint="eastAsia"/>
        </w:rPr>
        <w:t xml:space="preserve"> </w:t>
      </w:r>
      <w:r>
        <w:t xml:space="preserve">1954 </w:t>
      </w:r>
      <w:r>
        <w:rPr>
          <w:rFonts w:hint="eastAsia"/>
        </w:rPr>
        <w:t>年开始施工，</w:t>
      </w:r>
      <w:r>
        <w:t xml:space="preserve">1957 </w:t>
      </w:r>
      <w:r>
        <w:rPr>
          <w:rFonts w:hint="eastAsia"/>
        </w:rPr>
        <w:t>年竣工的小（</w:t>
      </w:r>
      <w:r>
        <w:t>I</w:t>
      </w:r>
      <w:r>
        <w:rPr>
          <w:rFonts w:hint="eastAsia"/>
        </w:rPr>
        <w:t>）型水库。水库是灌溉为主，兼顾防洪、养殖和旅游综合利用的年调节水库。通过引水渠道灌溉沿途</w:t>
      </w:r>
      <w:r>
        <w:rPr>
          <w:rFonts w:hint="eastAsia"/>
        </w:rPr>
        <w:t xml:space="preserve"> </w:t>
      </w:r>
      <w:r>
        <w:t xml:space="preserve">5000 </w:t>
      </w:r>
      <w:r>
        <w:rPr>
          <w:rFonts w:hint="eastAsia"/>
        </w:rPr>
        <w:t>亩水田，设计保证率为</w:t>
      </w:r>
      <w:r>
        <w:rPr>
          <w:rFonts w:hint="eastAsia"/>
        </w:rPr>
        <w:t xml:space="preserve"> </w:t>
      </w:r>
      <w:r>
        <w:t>75%</w:t>
      </w:r>
      <w:r>
        <w:rPr>
          <w:rFonts w:hint="eastAsia"/>
        </w:rPr>
        <w:t>。水库原设计标准为</w:t>
      </w:r>
      <w:r>
        <w:rPr>
          <w:rFonts w:hint="eastAsia"/>
        </w:rPr>
        <w:t xml:space="preserve"> </w:t>
      </w:r>
      <w:r>
        <w:t xml:space="preserve">10 </w:t>
      </w:r>
      <w:r>
        <w:rPr>
          <w:rFonts w:hint="eastAsia"/>
        </w:rPr>
        <w:t>年一遇洪水设计，</w:t>
      </w:r>
      <w:r>
        <w:t xml:space="preserve">30 </w:t>
      </w:r>
      <w:r>
        <w:rPr>
          <w:rFonts w:hint="eastAsia"/>
        </w:rPr>
        <w:t>年一遇洪水校核。兴利水位</w:t>
      </w:r>
      <w:r>
        <w:t>336.20m</w:t>
      </w:r>
      <w:r>
        <w:rPr>
          <w:rFonts w:hint="eastAsia"/>
        </w:rPr>
        <w:t>，相应库容</w:t>
      </w:r>
      <w:r>
        <w:rPr>
          <w:rFonts w:hint="eastAsia"/>
        </w:rPr>
        <w:t xml:space="preserve"> </w:t>
      </w:r>
      <w:r>
        <w:t xml:space="preserve">105 </w:t>
      </w:r>
      <w:r>
        <w:rPr>
          <w:rFonts w:hint="eastAsia"/>
        </w:rPr>
        <w:t>万</w:t>
      </w:r>
      <w:r>
        <w:t>m</w:t>
      </w:r>
      <w:r>
        <w:rPr>
          <w:vertAlign w:val="superscript"/>
        </w:rPr>
        <w:t>3</w:t>
      </w:r>
      <w:r>
        <w:rPr>
          <w:rFonts w:hint="eastAsia"/>
        </w:rPr>
        <w:t>，校核水位</w:t>
      </w:r>
      <w:r>
        <w:rPr>
          <w:rFonts w:hint="eastAsia"/>
        </w:rPr>
        <w:t xml:space="preserve"> </w:t>
      </w:r>
      <w:r>
        <w:t>337.40m</w:t>
      </w:r>
      <w:r>
        <w:rPr>
          <w:rFonts w:hint="eastAsia"/>
        </w:rPr>
        <w:t>，总库容</w:t>
      </w:r>
      <w:r>
        <w:rPr>
          <w:rFonts w:hint="eastAsia"/>
        </w:rPr>
        <w:t xml:space="preserve"> </w:t>
      </w:r>
      <w:r>
        <w:t xml:space="preserve">160 </w:t>
      </w:r>
      <w:r>
        <w:rPr>
          <w:rFonts w:hint="eastAsia"/>
        </w:rPr>
        <w:t>万</w:t>
      </w:r>
      <w:r>
        <w:t>m</w:t>
      </w:r>
      <w:r>
        <w:rPr>
          <w:vertAlign w:val="superscript"/>
        </w:rPr>
        <w:t>3</w:t>
      </w:r>
      <w:r>
        <w:rPr>
          <w:rFonts w:hint="eastAsia"/>
        </w:rPr>
        <w:t>。</w:t>
      </w:r>
      <w:r>
        <w:rPr>
          <w:rFonts w:hint="eastAsia"/>
        </w:rPr>
        <w:t xml:space="preserve"> </w:t>
      </w:r>
    </w:p>
    <w:p w14:paraId="543CF3F4" w14:textId="77777777" w:rsidR="009D12AF" w:rsidRDefault="00000000">
      <w:pPr>
        <w:ind w:firstLine="480"/>
      </w:pPr>
      <w:r>
        <w:rPr>
          <w:rFonts w:hint="eastAsia"/>
        </w:rPr>
        <w:t>水库枢纽工程由土坝、溢洪道、输水洞组成。土坝坝体均为均质坝，现坝顶平均高程</w:t>
      </w:r>
      <w:r>
        <w:rPr>
          <w:rFonts w:hint="eastAsia"/>
        </w:rPr>
        <w:t xml:space="preserve"> </w:t>
      </w:r>
      <w:r>
        <w:t>338.20m</w:t>
      </w:r>
      <w:r>
        <w:rPr>
          <w:rFonts w:hint="eastAsia"/>
        </w:rPr>
        <w:t>，坝长</w:t>
      </w:r>
      <w:r>
        <w:rPr>
          <w:rFonts w:hint="eastAsia"/>
        </w:rPr>
        <w:t xml:space="preserve"> </w:t>
      </w:r>
      <w:r>
        <w:t>620m</w:t>
      </w:r>
      <w:r>
        <w:rPr>
          <w:rFonts w:hint="eastAsia"/>
        </w:rPr>
        <w:t>，最大坝高</w:t>
      </w:r>
      <w:r>
        <w:rPr>
          <w:rFonts w:hint="eastAsia"/>
        </w:rPr>
        <w:t xml:space="preserve"> </w:t>
      </w:r>
      <w:r>
        <w:t>8.0m</w:t>
      </w:r>
      <w:r>
        <w:rPr>
          <w:rFonts w:hint="eastAsia"/>
        </w:rPr>
        <w:t>，上游坝坡平均为</w:t>
      </w:r>
      <w:r>
        <w:rPr>
          <w:rFonts w:hint="eastAsia"/>
        </w:rPr>
        <w:t xml:space="preserve"> </w:t>
      </w:r>
      <w:r>
        <w:t>1:3</w:t>
      </w:r>
      <w:r>
        <w:rPr>
          <w:rFonts w:hint="eastAsia"/>
        </w:rPr>
        <w:t>，下游坝坡为</w:t>
      </w:r>
      <w:r>
        <w:rPr>
          <w:rFonts w:hint="eastAsia"/>
        </w:rPr>
        <w:t xml:space="preserve"> </w:t>
      </w:r>
      <w:r>
        <w:t>1</w:t>
      </w:r>
      <w:r>
        <w:rPr>
          <w:rFonts w:hint="eastAsia"/>
        </w:rPr>
        <w:t>：</w:t>
      </w:r>
      <w:r>
        <w:t>2.5</w:t>
      </w:r>
      <w:r>
        <w:rPr>
          <w:rFonts w:hint="eastAsia"/>
        </w:rPr>
        <w:t>。溢洪道原为开敞式侧堰溢洪道，堰宽</w:t>
      </w:r>
      <w:r>
        <w:rPr>
          <w:rFonts w:hint="eastAsia"/>
        </w:rPr>
        <w:t xml:space="preserve"> </w:t>
      </w:r>
      <w:r>
        <w:t>40m</w:t>
      </w:r>
      <w:r>
        <w:rPr>
          <w:rFonts w:hint="eastAsia"/>
        </w:rPr>
        <w:t>，堰顶高程</w:t>
      </w:r>
      <w:r>
        <w:rPr>
          <w:rFonts w:hint="eastAsia"/>
        </w:rPr>
        <w:t xml:space="preserve"> </w:t>
      </w:r>
      <w:r>
        <w:t>336.60m</w:t>
      </w:r>
      <w:r>
        <w:rPr>
          <w:rFonts w:hint="eastAsia"/>
        </w:rPr>
        <w:t>，放水洞为</w:t>
      </w:r>
      <w:r>
        <w:rPr>
          <w:rFonts w:hint="eastAsia"/>
        </w:rPr>
        <w:t xml:space="preserve"> </w:t>
      </w:r>
      <w:r>
        <w:t xml:space="preserve">1 </w:t>
      </w:r>
      <w:r>
        <w:rPr>
          <w:rFonts w:hint="eastAsia"/>
        </w:rPr>
        <w:t>孔</w:t>
      </w:r>
      <w:r>
        <w:rPr>
          <w:rFonts w:hint="eastAsia"/>
        </w:rPr>
        <w:t xml:space="preserve"> </w:t>
      </w:r>
      <w:r>
        <w:t>1.0m</w:t>
      </w:r>
      <w:r>
        <w:rPr>
          <w:rFonts w:hint="eastAsia"/>
        </w:rPr>
        <w:t>×</w:t>
      </w:r>
      <w:r>
        <w:t xml:space="preserve">1.0m </w:t>
      </w:r>
      <w:r>
        <w:rPr>
          <w:rFonts w:hint="eastAsia"/>
        </w:rPr>
        <w:t>方涵。洞进口底高程</w:t>
      </w:r>
      <w:r>
        <w:rPr>
          <w:rFonts w:hint="eastAsia"/>
        </w:rPr>
        <w:t xml:space="preserve"> </w:t>
      </w:r>
      <w:r>
        <w:t>331.40m</w:t>
      </w:r>
      <w:r>
        <w:rPr>
          <w:rFonts w:hint="eastAsia"/>
        </w:rPr>
        <w:t>。万丈水库保护耕地面积</w:t>
      </w:r>
      <w:r>
        <w:rPr>
          <w:rFonts w:hint="eastAsia"/>
        </w:rPr>
        <w:t xml:space="preserve"> </w:t>
      </w:r>
      <w:r>
        <w:t xml:space="preserve">3.0 </w:t>
      </w:r>
      <w:r>
        <w:rPr>
          <w:rFonts w:hint="eastAsia"/>
        </w:rPr>
        <w:t>万亩，保护旧街乡政府及</w:t>
      </w:r>
      <w:r>
        <w:rPr>
          <w:rFonts w:hint="eastAsia"/>
        </w:rPr>
        <w:t xml:space="preserve"> </w:t>
      </w:r>
      <w:r>
        <w:t xml:space="preserve">4 </w:t>
      </w:r>
      <w:r>
        <w:rPr>
          <w:rFonts w:hint="eastAsia"/>
        </w:rPr>
        <w:t>个村屯</w:t>
      </w:r>
      <w:r>
        <w:t xml:space="preserve">1.8 </w:t>
      </w:r>
      <w:r>
        <w:rPr>
          <w:rFonts w:hint="eastAsia"/>
        </w:rPr>
        <w:t>万人口的生命财产安全，保护</w:t>
      </w:r>
      <w:r>
        <w:rPr>
          <w:rFonts w:hint="eastAsia"/>
        </w:rPr>
        <w:lastRenderedPageBreak/>
        <w:t>海林至长汀旅游公路的安全，具有重要的防洪作用。</w:t>
      </w:r>
    </w:p>
    <w:p w14:paraId="4167B454" w14:textId="77777777" w:rsidR="009D12AF" w:rsidRDefault="00000000">
      <w:pPr>
        <w:ind w:firstLine="480"/>
        <w:rPr>
          <w:rFonts w:ascii="宋体" w:eastAsia="宋体" w:hAnsi="宋体" w:cs="宋体" w:hint="eastAsia"/>
        </w:rPr>
      </w:pPr>
      <w:r>
        <w:rPr>
          <w:rFonts w:ascii="宋体" w:eastAsia="宋体" w:hAnsi="宋体" w:cs="宋体" w:hint="eastAsia"/>
        </w:rPr>
        <w:t>（三）向阳水电站前池情况</w:t>
      </w:r>
    </w:p>
    <w:p w14:paraId="427DC871" w14:textId="77777777" w:rsidR="009D12AF" w:rsidRDefault="00000000">
      <w:pPr>
        <w:ind w:firstLine="480"/>
      </w:pPr>
      <w:r>
        <w:rPr>
          <w:rFonts w:hint="eastAsia"/>
        </w:rPr>
        <w:t>向阳水电站于</w:t>
      </w:r>
      <w:r>
        <w:rPr>
          <w:rFonts w:hint="eastAsia"/>
        </w:rPr>
        <w:t xml:space="preserve"> </w:t>
      </w:r>
      <w:r>
        <w:t xml:space="preserve">1976 </w:t>
      </w:r>
      <w:r>
        <w:rPr>
          <w:rFonts w:hint="eastAsia"/>
        </w:rPr>
        <w:t>年建厂，</w:t>
      </w:r>
      <w:r>
        <w:t xml:space="preserve">1979 </w:t>
      </w:r>
      <w:r>
        <w:rPr>
          <w:rFonts w:hint="eastAsia"/>
        </w:rPr>
        <w:t>年生产发电，装机</w:t>
      </w:r>
      <w:r>
        <w:rPr>
          <w:rFonts w:hint="eastAsia"/>
        </w:rPr>
        <w:t xml:space="preserve"> </w:t>
      </w:r>
      <w:r>
        <w:t>1400KW</w:t>
      </w:r>
      <w:r>
        <w:rPr>
          <w:rFonts w:hint="eastAsia"/>
        </w:rPr>
        <w:t>，</w:t>
      </w:r>
      <w:r>
        <w:rPr>
          <w:rFonts w:hint="eastAsia"/>
        </w:rPr>
        <w:t xml:space="preserve"> </w:t>
      </w:r>
      <w:r>
        <w:rPr>
          <w:rFonts w:hint="eastAsia"/>
        </w:rPr>
        <w:t>年发电量</w:t>
      </w:r>
      <w:r>
        <w:rPr>
          <w:rFonts w:hint="eastAsia"/>
        </w:rPr>
        <w:t xml:space="preserve"> </w:t>
      </w:r>
      <w:r>
        <w:t xml:space="preserve">400 </w:t>
      </w:r>
      <w:r>
        <w:rPr>
          <w:rFonts w:hint="eastAsia"/>
        </w:rPr>
        <w:t>万度。电站前池兼作灌区晒水池用来储水用于发电及农田灌溉，灌区灌溉面积</w:t>
      </w:r>
      <w:r>
        <w:rPr>
          <w:rFonts w:hint="eastAsia"/>
        </w:rPr>
        <w:t xml:space="preserve"> </w:t>
      </w:r>
      <w:r>
        <w:t xml:space="preserve">10000 </w:t>
      </w:r>
      <w:r>
        <w:rPr>
          <w:rFonts w:hint="eastAsia"/>
        </w:rPr>
        <w:t>亩，前池占地面积约</w:t>
      </w:r>
      <w:r>
        <w:rPr>
          <w:rFonts w:hint="eastAsia"/>
        </w:rPr>
        <w:t xml:space="preserve"> </w:t>
      </w:r>
      <w:r>
        <w:t xml:space="preserve">13.5 </w:t>
      </w:r>
      <w:r>
        <w:rPr>
          <w:rFonts w:hint="eastAsia"/>
        </w:rPr>
        <w:t>公顷。</w:t>
      </w:r>
    </w:p>
    <w:p w14:paraId="6E7F6D4A" w14:textId="77777777" w:rsidR="009D12AF" w:rsidRDefault="00000000">
      <w:pPr>
        <w:ind w:firstLine="480"/>
        <w:rPr>
          <w:rFonts w:ascii="宋体" w:eastAsia="宋体" w:hAnsi="宋体" w:cs="宋体" w:hint="eastAsia"/>
        </w:rPr>
      </w:pPr>
      <w:r>
        <w:rPr>
          <w:rFonts w:ascii="宋体" w:eastAsia="宋体" w:hAnsi="宋体" w:cs="宋体" w:hint="eastAsia"/>
        </w:rPr>
        <w:t>（四）新安晒水池现状</w:t>
      </w:r>
    </w:p>
    <w:p w14:paraId="2990B2B6" w14:textId="77777777" w:rsidR="009D12AF" w:rsidRDefault="00000000">
      <w:pPr>
        <w:ind w:firstLine="480"/>
      </w:pPr>
      <w:r>
        <w:t>新安晒水池位于海林市旧街乡北侧，水面面积</w:t>
      </w:r>
      <w:r>
        <w:t xml:space="preserve"> 36 </w:t>
      </w:r>
      <w:r>
        <w:t>公顷，主要用于储水、晒水、农田灌溉和渔业养殖，灌溉面积</w:t>
      </w:r>
      <w:r>
        <w:t xml:space="preserve"> 3.3 </w:t>
      </w:r>
      <w:r>
        <w:t>万亩。</w:t>
      </w:r>
    </w:p>
    <w:p w14:paraId="2F24A94A" w14:textId="77777777" w:rsidR="009D12AF" w:rsidRDefault="00000000">
      <w:pPr>
        <w:ind w:firstLine="480"/>
        <w:rPr>
          <w:rFonts w:ascii="宋体" w:eastAsia="宋体" w:hAnsi="宋体" w:cs="宋体" w:hint="eastAsia"/>
        </w:rPr>
      </w:pPr>
      <w:r>
        <w:rPr>
          <w:rFonts w:ascii="宋体" w:eastAsia="宋体" w:hAnsi="宋体" w:cs="宋体" w:hint="eastAsia"/>
        </w:rPr>
        <w:t>（五）群力水库现状</w:t>
      </w:r>
    </w:p>
    <w:p w14:paraId="2C7F4610" w14:textId="77777777" w:rsidR="009D12AF" w:rsidRDefault="00000000">
      <w:pPr>
        <w:ind w:firstLine="480"/>
      </w:pPr>
      <w:r>
        <w:rPr>
          <w:rFonts w:hint="eastAsia"/>
        </w:rPr>
        <w:t>群力水库位于黑龙江省海林市柴河镇群力村北侧，群力水库储水用于农田灌溉。群力水库水来自莲花水库，莲花水库以发电为主，兼顾下游灌溉（</w:t>
      </w:r>
      <w:r>
        <w:rPr>
          <w:rFonts w:hint="eastAsia"/>
        </w:rPr>
        <w:t>5</w:t>
      </w:r>
      <w:r>
        <w:rPr>
          <w:rFonts w:hint="eastAsia"/>
        </w:rPr>
        <w:t>～</w:t>
      </w:r>
      <w:r>
        <w:rPr>
          <w:rFonts w:hint="eastAsia"/>
        </w:rPr>
        <w:t xml:space="preserve">8 </w:t>
      </w:r>
      <w:r>
        <w:rPr>
          <w:rFonts w:hint="eastAsia"/>
        </w:rPr>
        <w:t>月份，水库出流量不小于</w:t>
      </w:r>
      <w:r>
        <w:rPr>
          <w:rFonts w:hint="eastAsia"/>
        </w:rPr>
        <w:t xml:space="preserve"> 50 m3 /s</w:t>
      </w:r>
      <w:r>
        <w:rPr>
          <w:rFonts w:hint="eastAsia"/>
        </w:rPr>
        <w:t>），城市生活及工业用水（冰期不小于</w:t>
      </w:r>
      <w:r>
        <w:rPr>
          <w:rFonts w:hint="eastAsia"/>
        </w:rPr>
        <w:t xml:space="preserve"> 20 m3 /s</w:t>
      </w:r>
      <w:r>
        <w:rPr>
          <w:rFonts w:hint="eastAsia"/>
        </w:rPr>
        <w:t>）等综合利用的大型水库。莲花水电站装机容量</w:t>
      </w:r>
      <w:r>
        <w:rPr>
          <w:rFonts w:hint="eastAsia"/>
        </w:rPr>
        <w:t xml:space="preserve"> 550MW</w:t>
      </w:r>
      <w:r>
        <w:rPr>
          <w:rFonts w:hint="eastAsia"/>
        </w:rPr>
        <w:t>，是黑龙江省电网起主导作用的调峰电源，可缓解黑龙江省电网调峰困难的局面，担负调峰、调相、事故备用等任务</w:t>
      </w:r>
      <w:r>
        <w:rPr>
          <w:rFonts w:hint="eastAsia"/>
        </w:rPr>
        <w:t xml:space="preserve"> </w:t>
      </w:r>
    </w:p>
    <w:p w14:paraId="29AFA6E9" w14:textId="77777777" w:rsidR="009D12AF" w:rsidRDefault="00000000">
      <w:pPr>
        <w:ind w:firstLine="480"/>
      </w:pPr>
      <w:r>
        <w:rPr>
          <w:rFonts w:hint="eastAsia"/>
        </w:rPr>
        <w:t>莲花水库正常蓄水位</w:t>
      </w:r>
      <w:r>
        <w:rPr>
          <w:rFonts w:hint="eastAsia"/>
        </w:rPr>
        <w:t xml:space="preserve"> 218.00m</w:t>
      </w:r>
      <w:r>
        <w:rPr>
          <w:rFonts w:hint="eastAsia"/>
        </w:rPr>
        <w:t>，水库面积</w:t>
      </w:r>
      <w:r>
        <w:rPr>
          <w:rFonts w:hint="eastAsia"/>
        </w:rPr>
        <w:t xml:space="preserve"> 126 km</w:t>
      </w:r>
      <w:r>
        <w:rPr>
          <w:rFonts w:hint="eastAsia"/>
          <w:vertAlign w:val="superscript"/>
        </w:rPr>
        <w:t>2</w:t>
      </w:r>
      <w:r>
        <w:rPr>
          <w:rFonts w:hint="eastAsia"/>
        </w:rPr>
        <w:t>，水库库区主</w:t>
      </w:r>
      <w:r>
        <w:rPr>
          <w:rFonts w:hint="eastAsia"/>
        </w:rPr>
        <w:t xml:space="preserve"> </w:t>
      </w:r>
      <w:r>
        <w:rPr>
          <w:rFonts w:hint="eastAsia"/>
        </w:rPr>
        <w:t>要涉及海林市，林口县、柴河林业局、林口林业局以及林海选矿厂等。水库淹没按</w:t>
      </w:r>
      <w:r>
        <w:rPr>
          <w:rFonts w:hint="eastAsia"/>
        </w:rPr>
        <w:t xml:space="preserve"> 5 </w:t>
      </w:r>
      <w:r>
        <w:rPr>
          <w:rFonts w:hint="eastAsia"/>
        </w:rPr>
        <w:t>年一遇洪水回水位征用耕地，按</w:t>
      </w:r>
      <w:r>
        <w:rPr>
          <w:rFonts w:hint="eastAsia"/>
        </w:rPr>
        <w:t xml:space="preserve"> 20 </w:t>
      </w:r>
      <w:r>
        <w:rPr>
          <w:rFonts w:hint="eastAsia"/>
        </w:rPr>
        <w:t>年一遇洪水回水位</w:t>
      </w:r>
      <w:r>
        <w:rPr>
          <w:rFonts w:hint="eastAsia"/>
        </w:rPr>
        <w:t>4</w:t>
      </w:r>
      <w:r>
        <w:rPr>
          <w:rFonts w:hint="eastAsia"/>
        </w:rPr>
        <w:t>进行移民和专项设施（如房屋等），林地按正常蓄水位</w:t>
      </w:r>
      <w:r>
        <w:rPr>
          <w:rFonts w:hint="eastAsia"/>
        </w:rPr>
        <w:t xml:space="preserve"> 218.0m </w:t>
      </w:r>
      <w:r>
        <w:rPr>
          <w:rFonts w:hint="eastAsia"/>
        </w:rPr>
        <w:t>征用，公路按</w:t>
      </w:r>
      <w:r>
        <w:rPr>
          <w:rFonts w:hint="eastAsia"/>
        </w:rPr>
        <w:t xml:space="preserve"> 20 </w:t>
      </w:r>
      <w:r>
        <w:rPr>
          <w:rFonts w:hint="eastAsia"/>
        </w:rPr>
        <w:t>年一遇洪水回水位修建，森铁按</w:t>
      </w:r>
      <w:r>
        <w:rPr>
          <w:rFonts w:hint="eastAsia"/>
        </w:rPr>
        <w:t xml:space="preserve"> 50 </w:t>
      </w:r>
      <w:r>
        <w:rPr>
          <w:rFonts w:hint="eastAsia"/>
        </w:rPr>
        <w:t>年一遇洪水回水位。水库长</w:t>
      </w:r>
      <w:r>
        <w:rPr>
          <w:rFonts w:hint="eastAsia"/>
        </w:rPr>
        <w:t xml:space="preserve"> 99.9km</w:t>
      </w:r>
      <w:r>
        <w:rPr>
          <w:rFonts w:hint="eastAsia"/>
        </w:rPr>
        <w:t>，宽</w:t>
      </w:r>
      <w:r>
        <w:rPr>
          <w:rFonts w:hint="eastAsia"/>
        </w:rPr>
        <w:t xml:space="preserve"> 0.3</w:t>
      </w:r>
      <w:r>
        <w:rPr>
          <w:rFonts w:hint="eastAsia"/>
        </w:rPr>
        <w:t>～</w:t>
      </w:r>
      <w:r>
        <w:rPr>
          <w:rFonts w:hint="eastAsia"/>
        </w:rPr>
        <w:t>3.4km</w:t>
      </w:r>
      <w:r>
        <w:rPr>
          <w:rFonts w:hint="eastAsia"/>
        </w:rPr>
        <w:t>，最大水深约</w:t>
      </w:r>
      <w:r>
        <w:rPr>
          <w:rFonts w:hint="eastAsia"/>
        </w:rPr>
        <w:t xml:space="preserve"> 60m</w:t>
      </w:r>
      <w:r>
        <w:rPr>
          <w:rFonts w:hint="eastAsia"/>
        </w:rPr>
        <w:t>。水库设计洪水位（</w:t>
      </w:r>
      <w:r>
        <w:rPr>
          <w:rFonts w:hint="eastAsia"/>
        </w:rPr>
        <w:t>P=0.2%</w:t>
      </w:r>
      <w:r>
        <w:rPr>
          <w:rFonts w:hint="eastAsia"/>
        </w:rPr>
        <w:t>）</w:t>
      </w:r>
      <w:r>
        <w:rPr>
          <w:rFonts w:hint="eastAsia"/>
        </w:rPr>
        <w:t>220.58m</w:t>
      </w:r>
      <w:r>
        <w:rPr>
          <w:rFonts w:hint="eastAsia"/>
        </w:rPr>
        <w:t>，相应库容</w:t>
      </w:r>
      <w:r>
        <w:rPr>
          <w:rFonts w:hint="eastAsia"/>
        </w:rPr>
        <w:t xml:space="preserve"> 32.9 </w:t>
      </w:r>
      <w:r>
        <w:rPr>
          <w:rFonts w:hint="eastAsia"/>
        </w:rPr>
        <w:t>亿</w:t>
      </w:r>
      <w:r>
        <w:rPr>
          <w:rFonts w:hint="eastAsia"/>
        </w:rPr>
        <w:t xml:space="preserve"> m3</w:t>
      </w:r>
      <w:r>
        <w:rPr>
          <w:rFonts w:hint="eastAsia"/>
        </w:rPr>
        <w:t>，水库正常蓄水位</w:t>
      </w:r>
      <w:r>
        <w:rPr>
          <w:rFonts w:hint="eastAsia"/>
        </w:rPr>
        <w:t xml:space="preserve"> 218.00m</w:t>
      </w:r>
      <w:r>
        <w:rPr>
          <w:rFonts w:hint="eastAsia"/>
        </w:rPr>
        <w:t>，相应库容</w:t>
      </w:r>
      <w:r>
        <w:rPr>
          <w:rFonts w:hint="eastAsia"/>
        </w:rPr>
        <w:t xml:space="preserve"> 29.5 </w:t>
      </w:r>
      <w:r>
        <w:rPr>
          <w:rFonts w:hint="eastAsia"/>
        </w:rPr>
        <w:t>亿</w:t>
      </w:r>
      <w:r>
        <w:rPr>
          <w:rFonts w:hint="eastAsia"/>
        </w:rPr>
        <w:t xml:space="preserve"> m</w:t>
      </w:r>
      <w:r>
        <w:rPr>
          <w:rFonts w:hint="eastAsia"/>
          <w:vertAlign w:val="superscript"/>
        </w:rPr>
        <w:t>3</w:t>
      </w:r>
      <w:r>
        <w:rPr>
          <w:rFonts w:hint="eastAsia"/>
        </w:rPr>
        <w:t>，兴利库容</w:t>
      </w:r>
      <w:r>
        <w:rPr>
          <w:rFonts w:hint="eastAsia"/>
        </w:rPr>
        <w:t xml:space="preserve"> 14.9 </w:t>
      </w:r>
      <w:r>
        <w:rPr>
          <w:rFonts w:hint="eastAsia"/>
        </w:rPr>
        <w:t>亿</w:t>
      </w:r>
      <w:r>
        <w:rPr>
          <w:rFonts w:hint="eastAsia"/>
        </w:rPr>
        <w:t xml:space="preserve"> m</w:t>
      </w:r>
      <w:r>
        <w:rPr>
          <w:rFonts w:hint="eastAsia"/>
          <w:vertAlign w:val="superscript"/>
        </w:rPr>
        <w:t>3</w:t>
      </w:r>
      <w:r>
        <w:rPr>
          <w:rFonts w:hint="eastAsia"/>
        </w:rPr>
        <w:t>，死水位</w:t>
      </w:r>
      <w:r>
        <w:rPr>
          <w:rFonts w:hint="eastAsia"/>
        </w:rPr>
        <w:t xml:space="preserve"> 203.00m</w:t>
      </w:r>
      <w:r>
        <w:rPr>
          <w:rFonts w:hint="eastAsia"/>
        </w:rPr>
        <w:t>，相应库容</w:t>
      </w:r>
      <w:r>
        <w:rPr>
          <w:rFonts w:hint="eastAsia"/>
        </w:rPr>
        <w:t xml:space="preserve"> 14.6 </w:t>
      </w:r>
      <w:r>
        <w:rPr>
          <w:rFonts w:hint="eastAsia"/>
        </w:rPr>
        <w:t>亿</w:t>
      </w:r>
      <w:r>
        <w:rPr>
          <w:rFonts w:hint="eastAsia"/>
        </w:rPr>
        <w:t xml:space="preserve"> m</w:t>
      </w:r>
      <w:r>
        <w:rPr>
          <w:rFonts w:hint="eastAsia"/>
          <w:vertAlign w:val="superscript"/>
        </w:rPr>
        <w:t>3</w:t>
      </w:r>
      <w:r>
        <w:rPr>
          <w:rFonts w:hint="eastAsia"/>
        </w:rPr>
        <w:t>；设计保证出力</w:t>
      </w:r>
      <w:r>
        <w:rPr>
          <w:rFonts w:hint="eastAsia"/>
        </w:rPr>
        <w:t xml:space="preserve"> 55.8MW</w:t>
      </w:r>
      <w:r>
        <w:rPr>
          <w:rFonts w:hint="eastAsia"/>
        </w:rPr>
        <w:t>，多年发电量</w:t>
      </w:r>
      <w:r>
        <w:rPr>
          <w:rFonts w:hint="eastAsia"/>
        </w:rPr>
        <w:t xml:space="preserve"> 7.97 </w:t>
      </w:r>
      <w:r>
        <w:rPr>
          <w:rFonts w:hint="eastAsia"/>
        </w:rPr>
        <w:t>亿</w:t>
      </w:r>
      <w:r>
        <w:rPr>
          <w:rFonts w:hint="eastAsia"/>
        </w:rPr>
        <w:t xml:space="preserve"> kwh</w:t>
      </w:r>
      <w:r>
        <w:rPr>
          <w:rFonts w:hint="eastAsia"/>
        </w:rPr>
        <w:t>，年利用小时数</w:t>
      </w:r>
      <w:r>
        <w:rPr>
          <w:rFonts w:hint="eastAsia"/>
        </w:rPr>
        <w:t xml:space="preserve"> 1449h</w:t>
      </w:r>
      <w:r>
        <w:rPr>
          <w:rFonts w:hint="eastAsia"/>
        </w:rPr>
        <w:t>，水量利用系数</w:t>
      </w:r>
      <w:r>
        <w:rPr>
          <w:rFonts w:hint="eastAsia"/>
        </w:rPr>
        <w:t xml:space="preserve"> 98%</w:t>
      </w:r>
      <w:r>
        <w:rPr>
          <w:rFonts w:hint="eastAsia"/>
        </w:rPr>
        <w:t>，库容系数</w:t>
      </w:r>
      <w:r>
        <w:rPr>
          <w:rFonts w:hint="eastAsia"/>
        </w:rPr>
        <w:t xml:space="preserve"> 0.21</w:t>
      </w:r>
      <w:r>
        <w:rPr>
          <w:rFonts w:hint="eastAsia"/>
        </w:rPr>
        <w:t>，是不完全多年调节水库；多年平均流量</w:t>
      </w:r>
      <w:r>
        <w:rPr>
          <w:rFonts w:hint="eastAsia"/>
        </w:rPr>
        <w:t xml:space="preserve"> 226 m3 /s</w:t>
      </w:r>
      <w:r>
        <w:rPr>
          <w:rFonts w:hint="eastAsia"/>
        </w:rPr>
        <w:t>，多年平均径流量</w:t>
      </w:r>
      <w:r>
        <w:rPr>
          <w:rFonts w:hint="eastAsia"/>
        </w:rPr>
        <w:t xml:space="preserve"> 71.3 </w:t>
      </w:r>
      <w:r>
        <w:rPr>
          <w:rFonts w:hint="eastAsia"/>
        </w:rPr>
        <w:t>亿</w:t>
      </w:r>
      <w:r>
        <w:rPr>
          <w:rFonts w:hint="eastAsia"/>
        </w:rPr>
        <w:t xml:space="preserve"> m</w:t>
      </w:r>
      <w:r>
        <w:rPr>
          <w:rFonts w:hint="eastAsia"/>
          <w:vertAlign w:val="superscript"/>
        </w:rPr>
        <w:t>3</w:t>
      </w:r>
      <w:r>
        <w:rPr>
          <w:rFonts w:hint="eastAsia"/>
        </w:rPr>
        <w:t>，设计洪峰流量</w:t>
      </w:r>
      <w:r>
        <w:rPr>
          <w:rFonts w:hint="eastAsia"/>
        </w:rPr>
        <w:t>(P=0.2%)17500m</w:t>
      </w:r>
      <w:r>
        <w:rPr>
          <w:rFonts w:hint="eastAsia"/>
          <w:vertAlign w:val="superscript"/>
        </w:rPr>
        <w:t>3</w:t>
      </w:r>
      <w:r>
        <w:rPr>
          <w:rFonts w:hint="eastAsia"/>
        </w:rPr>
        <w:t xml:space="preserve"> /s</w:t>
      </w:r>
      <w:r>
        <w:rPr>
          <w:rFonts w:hint="eastAsia"/>
        </w:rPr>
        <w:t>，校核洪峰流量</w:t>
      </w:r>
      <w:r>
        <w:rPr>
          <w:rFonts w:hint="eastAsia"/>
        </w:rPr>
        <w:t>(PMF)29800 m</w:t>
      </w:r>
      <w:r>
        <w:rPr>
          <w:rFonts w:hint="eastAsia"/>
          <w:vertAlign w:val="superscript"/>
        </w:rPr>
        <w:t>3</w:t>
      </w:r>
      <w:r>
        <w:rPr>
          <w:rFonts w:hint="eastAsia"/>
        </w:rPr>
        <w:t xml:space="preserve"> /s</w:t>
      </w:r>
      <w:r>
        <w:rPr>
          <w:rFonts w:hint="eastAsia"/>
        </w:rPr>
        <w:t>，多年平均输沙量</w:t>
      </w:r>
      <w:r>
        <w:rPr>
          <w:rFonts w:hint="eastAsia"/>
        </w:rPr>
        <w:t xml:space="preserve"> 102 </w:t>
      </w:r>
      <w:r>
        <w:rPr>
          <w:rFonts w:hint="eastAsia"/>
        </w:rPr>
        <w:t>万</w:t>
      </w:r>
      <w:r>
        <w:rPr>
          <w:rFonts w:hint="eastAsia"/>
        </w:rPr>
        <w:t xml:space="preserve"> t</w:t>
      </w:r>
      <w:r>
        <w:rPr>
          <w:rFonts w:hint="eastAsia"/>
        </w:rPr>
        <w:t>，多年平均含沙量为</w:t>
      </w:r>
      <w:r>
        <w:rPr>
          <w:rFonts w:hint="eastAsia"/>
        </w:rPr>
        <w:t xml:space="preserve"> 0.14kg/ m</w:t>
      </w:r>
      <w:r>
        <w:rPr>
          <w:rFonts w:hint="eastAsia"/>
          <w:vertAlign w:val="superscript"/>
        </w:rPr>
        <w:t>3</w:t>
      </w:r>
      <w:r>
        <w:rPr>
          <w:rFonts w:hint="eastAsia"/>
        </w:rPr>
        <w:t xml:space="preserve"> </w:t>
      </w:r>
      <w:r>
        <w:rPr>
          <w:rFonts w:hint="eastAsia"/>
        </w:rPr>
        <w:t>。</w:t>
      </w:r>
    </w:p>
    <w:p w14:paraId="52A2FCFA" w14:textId="77777777" w:rsidR="009D12AF" w:rsidRDefault="00000000">
      <w:pPr>
        <w:ind w:firstLine="480"/>
      </w:pPr>
      <w:r>
        <w:rPr>
          <w:rFonts w:hint="eastAsia"/>
        </w:rPr>
        <w:t>二、本项目水库当前存在问题</w:t>
      </w:r>
    </w:p>
    <w:p w14:paraId="51CFF5D6" w14:textId="77777777" w:rsidR="009D12AF" w:rsidRDefault="00000000">
      <w:pPr>
        <w:ind w:firstLine="480"/>
      </w:pPr>
      <w:r>
        <w:rPr>
          <w:rFonts w:hint="eastAsia"/>
        </w:rPr>
        <w:lastRenderedPageBreak/>
        <w:t>根据《海林市水库清淤及水生态综合治理项目岩土工程勘察报告》，长石水库淤积厚度为</w:t>
      </w:r>
      <w:r>
        <w:rPr>
          <w:rFonts w:hint="eastAsia"/>
        </w:rPr>
        <w:t xml:space="preserve"> </w:t>
      </w:r>
      <w:r>
        <w:t>2.27m</w:t>
      </w:r>
      <w:r>
        <w:rPr>
          <w:rFonts w:hint="eastAsia"/>
        </w:rPr>
        <w:t>；向阳水电站前池淤积厚度为</w:t>
      </w:r>
      <w:r>
        <w:t>2.8m</w:t>
      </w:r>
      <w:r>
        <w:rPr>
          <w:rFonts w:hint="eastAsia"/>
        </w:rPr>
        <w:t>；新安晒水池淤积厚度为</w:t>
      </w:r>
      <w:r>
        <w:rPr>
          <w:rFonts w:hint="eastAsia"/>
        </w:rPr>
        <w:t xml:space="preserve"> </w:t>
      </w:r>
      <w:r>
        <w:t>0.87m</w:t>
      </w:r>
      <w:r>
        <w:rPr>
          <w:rFonts w:hint="eastAsia"/>
        </w:rPr>
        <w:t>；万丈水库淤积厚度为</w:t>
      </w:r>
      <w:r>
        <w:rPr>
          <w:rFonts w:hint="eastAsia"/>
        </w:rPr>
        <w:t xml:space="preserve"> </w:t>
      </w:r>
      <w:r>
        <w:t>3.05m</w:t>
      </w:r>
      <w:r>
        <w:rPr>
          <w:rFonts w:hint="eastAsia"/>
        </w:rPr>
        <w:t>。若不清淤，会进一步减小水库蓄水能力，对水库水生态造成一定影响，并且影响防洪效益发挥。</w:t>
      </w:r>
      <w:r>
        <w:rPr>
          <w:rFonts w:hint="eastAsia"/>
        </w:rPr>
        <w:t xml:space="preserve"> </w:t>
      </w:r>
    </w:p>
    <w:p w14:paraId="3216E59D" w14:textId="77777777" w:rsidR="009D12AF" w:rsidRDefault="00000000">
      <w:pPr>
        <w:ind w:firstLine="480"/>
      </w:pPr>
      <w:r>
        <w:rPr>
          <w:rFonts w:hint="eastAsia"/>
        </w:rPr>
        <w:t>向阳水电站前池长时间运行后，随着库区水位抬升，流速减缓，水流挟沙力降低，库区泥沙逐渐淤积。泥沙淤积将侵占防洪库容，降低水库调节能力，影响发电，挟沙水流导致发电设备加速磨损与报废，影响发电站运行安全。此外，泥沙淤积导致水库库容损失率较高，直接影响到水库兴利调节和安全度汛，减弱了水库对农业灌溉的调蓄能力，急需开展清淤扩容工程。同样的，万丈水库、长石水库、新安晒水池均因泥沙淤积，造成水库进水口淤堵，妨碍泄水、输水设施正常运行。淤泥中含有大量厌氧细菌，在发酵过程中产生一些酸性或碱性物质，对大坝具有腐蚀作用。长此以往水库的根基会变得脆弱，影响大坝安全。水库淤积后会导致大坝受力结构发生变化，不利于大坝结构稳定。尤其是坝前长时间泥沙淤积会带来库容损失和泥沙富集，一方面减少了有效库容，严重影响水库蓄水、防洪、灌溉等功能的正常发挥；另一方面，泥沙淤积会裹挟颗粒性污染物沉积在库底，会引起库区水文水质和水生态环境的变化，同时库区地下水位大幅上升会引起土地盐碱化破坏生态环境。</w:t>
      </w:r>
      <w:r>
        <w:rPr>
          <w:rFonts w:hint="eastAsia"/>
        </w:rPr>
        <w:t xml:space="preserve"> </w:t>
      </w:r>
    </w:p>
    <w:p w14:paraId="33738DD4" w14:textId="77777777" w:rsidR="009D12AF" w:rsidRDefault="00000000">
      <w:pPr>
        <w:ind w:firstLine="480"/>
        <w:rPr>
          <w:sz w:val="28"/>
          <w:szCs w:val="28"/>
        </w:rPr>
      </w:pPr>
      <w:r>
        <w:rPr>
          <w:rFonts w:hint="eastAsia"/>
        </w:rPr>
        <w:t>通过水库清淤，可以达到贮水、泄洪、改善景观等目的，同时有利于恢复水库原有功能和生态环境，有效改善水库水质状况，增大水环境容量，对于提升水库防洪、灌溉、供水、发电、河道整治、水质改善和生态修复等综合效益具有重要作用。</w:t>
      </w:r>
    </w:p>
    <w:p w14:paraId="7314D707" w14:textId="77777777" w:rsidR="009D12AF" w:rsidRDefault="00000000">
      <w:pPr>
        <w:pStyle w:val="2"/>
      </w:pPr>
      <w:bookmarkStart w:id="113" w:name="_Toc11696"/>
      <w:r>
        <w:rPr>
          <w:rFonts w:hint="eastAsia"/>
        </w:rPr>
        <w:t>3</w:t>
      </w:r>
      <w:r>
        <w:t>.</w:t>
      </w:r>
      <w:r>
        <w:rPr>
          <w:rFonts w:hint="eastAsia"/>
        </w:rPr>
        <w:t>2</w:t>
      </w:r>
      <w:r>
        <w:t xml:space="preserve"> </w:t>
      </w:r>
      <w:r>
        <w:t>工程概况</w:t>
      </w:r>
      <w:bookmarkEnd w:id="113"/>
    </w:p>
    <w:p w14:paraId="018A1FA8" w14:textId="77777777" w:rsidR="009D12AF" w:rsidRDefault="00000000">
      <w:pPr>
        <w:pStyle w:val="3"/>
      </w:pPr>
      <w:bookmarkStart w:id="114" w:name="_Toc8003"/>
      <w:bookmarkStart w:id="115" w:name="_Toc16631"/>
      <w:bookmarkStart w:id="116" w:name="_Toc30560"/>
      <w:bookmarkStart w:id="117" w:name="_Toc22936"/>
      <w:bookmarkStart w:id="118" w:name="_Toc31747"/>
      <w:bookmarkStart w:id="119" w:name="_Toc5535"/>
      <w:bookmarkStart w:id="120" w:name="_Toc10922"/>
      <w:r>
        <w:rPr>
          <w:rFonts w:hint="eastAsia"/>
        </w:rPr>
        <w:t>3</w:t>
      </w:r>
      <w:r>
        <w:t>.</w:t>
      </w:r>
      <w:r>
        <w:rPr>
          <w:rFonts w:hint="eastAsia"/>
        </w:rPr>
        <w:t>2</w:t>
      </w:r>
      <w:r>
        <w:t xml:space="preserve">.1 </w:t>
      </w:r>
      <w:r>
        <w:t>项目名称、建设单位、建设性质及建设地点</w:t>
      </w:r>
      <w:bookmarkEnd w:id="114"/>
      <w:bookmarkEnd w:id="115"/>
      <w:bookmarkEnd w:id="116"/>
      <w:bookmarkEnd w:id="117"/>
    </w:p>
    <w:p w14:paraId="2AED2A1A" w14:textId="77777777" w:rsidR="009D12AF" w:rsidRDefault="00000000">
      <w:pPr>
        <w:ind w:firstLine="480"/>
      </w:pPr>
      <w:r>
        <w:t>项目名称：海林市水库清淤与水生态治理建设项目</w:t>
      </w:r>
    </w:p>
    <w:p w14:paraId="6774F884" w14:textId="77777777" w:rsidR="009D12AF" w:rsidRDefault="00000000">
      <w:pPr>
        <w:ind w:firstLine="480"/>
      </w:pPr>
      <w:r>
        <w:t>建设单位：</w:t>
      </w:r>
      <w:r>
        <w:rPr>
          <w:rFonts w:hint="eastAsia"/>
        </w:rPr>
        <w:t>黑龙江省荣春科技环保有限公司</w:t>
      </w:r>
    </w:p>
    <w:p w14:paraId="0D6ED9D4" w14:textId="77777777" w:rsidR="009D12AF" w:rsidRDefault="00000000">
      <w:pPr>
        <w:ind w:firstLine="480"/>
      </w:pPr>
      <w:r>
        <w:t>建设性质：新建</w:t>
      </w:r>
    </w:p>
    <w:p w14:paraId="70A74B2A" w14:textId="77777777" w:rsidR="009D12AF" w:rsidRDefault="00000000">
      <w:pPr>
        <w:ind w:firstLine="480"/>
      </w:pPr>
      <w:r>
        <w:lastRenderedPageBreak/>
        <w:t>总投资：项目总投资</w:t>
      </w:r>
      <w:r>
        <w:rPr>
          <w:rFonts w:hint="eastAsia"/>
        </w:rPr>
        <w:t>69827.6</w:t>
      </w:r>
      <w:r>
        <w:t>万元。</w:t>
      </w:r>
    </w:p>
    <w:p w14:paraId="5CFB9074" w14:textId="77777777" w:rsidR="009D12AF" w:rsidRDefault="00000000">
      <w:pPr>
        <w:ind w:firstLine="480"/>
      </w:pPr>
      <w:r>
        <w:rPr>
          <w:rFonts w:hint="eastAsia"/>
        </w:rPr>
        <w:t>工程内容：本次清淤方案主要考虑满足水库扩容需求与水生态综合治理要求，确定清淤方式、清淤区域划分以及转存区范围与位置。群力水库平均清淤厚度为</w:t>
      </w:r>
      <w:r>
        <w:rPr>
          <w:rFonts w:hint="eastAsia"/>
        </w:rPr>
        <w:t xml:space="preserve"> 4.95m</w:t>
      </w:r>
      <w:r>
        <w:rPr>
          <w:rFonts w:hint="eastAsia"/>
        </w:rPr>
        <w:t>，清淤面积</w:t>
      </w:r>
      <w:r>
        <w:rPr>
          <w:rFonts w:hint="eastAsia"/>
        </w:rPr>
        <w:t xml:space="preserve"> 0.91km</w:t>
      </w:r>
      <w:r>
        <w:rPr>
          <w:rFonts w:hint="eastAsia"/>
          <w:vertAlign w:val="superscript"/>
        </w:rPr>
        <w:t>2</w:t>
      </w:r>
      <w:r>
        <w:rPr>
          <w:rFonts w:hint="eastAsia"/>
        </w:rPr>
        <w:t>，清淤量</w:t>
      </w:r>
      <w:r>
        <w:rPr>
          <w:rFonts w:hint="eastAsia"/>
        </w:rPr>
        <w:t xml:space="preserve"> 445 </w:t>
      </w:r>
      <w:r>
        <w:rPr>
          <w:rFonts w:hint="eastAsia"/>
        </w:rPr>
        <w:t>万</w:t>
      </w:r>
      <w:r>
        <w:rPr>
          <w:rFonts w:hint="eastAsia"/>
        </w:rPr>
        <w:t xml:space="preserve"> m</w:t>
      </w:r>
      <w:r>
        <w:rPr>
          <w:rFonts w:hint="eastAsia"/>
          <w:vertAlign w:val="superscript"/>
        </w:rPr>
        <w:t>3</w:t>
      </w:r>
      <w:r>
        <w:rPr>
          <w:rFonts w:hint="eastAsia"/>
        </w:rPr>
        <w:t>；长石水库平均清淤厚度为</w:t>
      </w:r>
      <w:r>
        <w:rPr>
          <w:rFonts w:hint="eastAsia"/>
        </w:rPr>
        <w:t xml:space="preserve"> 1.67m</w:t>
      </w:r>
      <w:r>
        <w:rPr>
          <w:rFonts w:hint="eastAsia"/>
        </w:rPr>
        <w:t>，清淤面积</w:t>
      </w:r>
      <w:r>
        <w:rPr>
          <w:rFonts w:hint="eastAsia"/>
        </w:rPr>
        <w:t xml:space="preserve"> 0.12km</w:t>
      </w:r>
      <w:r>
        <w:rPr>
          <w:rFonts w:hint="eastAsia"/>
          <w:vertAlign w:val="superscript"/>
        </w:rPr>
        <w:t>2</w:t>
      </w:r>
      <w:r>
        <w:rPr>
          <w:rFonts w:hint="eastAsia"/>
        </w:rPr>
        <w:t>，清淤量</w:t>
      </w:r>
      <w:r>
        <w:rPr>
          <w:rFonts w:hint="eastAsia"/>
        </w:rPr>
        <w:t xml:space="preserve"> 20 </w:t>
      </w:r>
      <w:r>
        <w:rPr>
          <w:rFonts w:hint="eastAsia"/>
        </w:rPr>
        <w:t>万</w:t>
      </w:r>
      <w:r>
        <w:rPr>
          <w:rFonts w:hint="eastAsia"/>
        </w:rPr>
        <w:t xml:space="preserve"> m</w:t>
      </w:r>
      <w:r>
        <w:rPr>
          <w:rFonts w:hint="eastAsia"/>
          <w:vertAlign w:val="superscript"/>
        </w:rPr>
        <w:t>3</w:t>
      </w:r>
      <w:r>
        <w:rPr>
          <w:rFonts w:hint="eastAsia"/>
        </w:rPr>
        <w:t>；向阳水电站前池平均清淤厚度为</w:t>
      </w:r>
      <w:r>
        <w:rPr>
          <w:rFonts w:hint="eastAsia"/>
        </w:rPr>
        <w:t xml:space="preserve"> 2.25m</w:t>
      </w:r>
      <w:r>
        <w:rPr>
          <w:rFonts w:hint="eastAsia"/>
        </w:rPr>
        <w:t>，清淤面积</w:t>
      </w:r>
      <w:r>
        <w:rPr>
          <w:rFonts w:hint="eastAsia"/>
        </w:rPr>
        <w:t xml:space="preserve"> 0.16km</w:t>
      </w:r>
      <w:r>
        <w:rPr>
          <w:rFonts w:hint="eastAsia"/>
          <w:vertAlign w:val="superscript"/>
        </w:rPr>
        <w:t>2</w:t>
      </w:r>
      <w:r>
        <w:rPr>
          <w:rFonts w:hint="eastAsia"/>
        </w:rPr>
        <w:t>，清淤量</w:t>
      </w:r>
      <w:r>
        <w:rPr>
          <w:rFonts w:hint="eastAsia"/>
        </w:rPr>
        <w:t xml:space="preserve">36 </w:t>
      </w:r>
      <w:r>
        <w:rPr>
          <w:rFonts w:hint="eastAsia"/>
        </w:rPr>
        <w:t>万</w:t>
      </w:r>
      <w:r>
        <w:rPr>
          <w:rFonts w:hint="eastAsia"/>
        </w:rPr>
        <w:t xml:space="preserve"> m</w:t>
      </w:r>
      <w:r>
        <w:rPr>
          <w:rFonts w:hint="eastAsia"/>
          <w:vertAlign w:val="superscript"/>
        </w:rPr>
        <w:t>3</w:t>
      </w:r>
      <w:r>
        <w:rPr>
          <w:rFonts w:hint="eastAsia"/>
        </w:rPr>
        <w:t>；新安晒水池平均清淤厚度为</w:t>
      </w:r>
      <w:r>
        <w:rPr>
          <w:rFonts w:hint="eastAsia"/>
        </w:rPr>
        <w:t xml:space="preserve"> 0.67m</w:t>
      </w:r>
      <w:r>
        <w:rPr>
          <w:rFonts w:hint="eastAsia"/>
        </w:rPr>
        <w:t>，清淤面积</w:t>
      </w:r>
      <w:r>
        <w:rPr>
          <w:rFonts w:hint="eastAsia"/>
        </w:rPr>
        <w:t xml:space="preserve"> 0.36km</w:t>
      </w:r>
      <w:r>
        <w:rPr>
          <w:rFonts w:hint="eastAsia"/>
          <w:vertAlign w:val="superscript"/>
        </w:rPr>
        <w:t>2</w:t>
      </w:r>
      <w:r>
        <w:rPr>
          <w:rFonts w:hint="eastAsia"/>
        </w:rPr>
        <w:t>，清淤量</w:t>
      </w:r>
      <w:r>
        <w:rPr>
          <w:rFonts w:hint="eastAsia"/>
        </w:rPr>
        <w:t xml:space="preserve"> 24 </w:t>
      </w:r>
      <w:r>
        <w:rPr>
          <w:rFonts w:hint="eastAsia"/>
        </w:rPr>
        <w:t>万</w:t>
      </w:r>
      <w:r>
        <w:rPr>
          <w:rFonts w:hint="eastAsia"/>
        </w:rPr>
        <w:t xml:space="preserve"> m</w:t>
      </w:r>
      <w:r>
        <w:rPr>
          <w:rFonts w:hint="eastAsia"/>
          <w:vertAlign w:val="superscript"/>
        </w:rPr>
        <w:t>3</w:t>
      </w:r>
      <w:r>
        <w:rPr>
          <w:rFonts w:hint="eastAsia"/>
        </w:rPr>
        <w:t>；万丈水库平均清淤厚度为</w:t>
      </w:r>
      <w:r>
        <w:rPr>
          <w:rFonts w:hint="eastAsia"/>
        </w:rPr>
        <w:t xml:space="preserve"> 2.5m</w:t>
      </w:r>
      <w:r>
        <w:rPr>
          <w:rFonts w:hint="eastAsia"/>
        </w:rPr>
        <w:t>，清淤面积</w:t>
      </w:r>
      <w:r>
        <w:rPr>
          <w:rFonts w:hint="eastAsia"/>
        </w:rPr>
        <w:t>0.3km</w:t>
      </w:r>
      <w:r>
        <w:rPr>
          <w:rFonts w:hint="eastAsia"/>
          <w:vertAlign w:val="superscript"/>
        </w:rPr>
        <w:t>2</w:t>
      </w:r>
      <w:r>
        <w:rPr>
          <w:rFonts w:hint="eastAsia"/>
        </w:rPr>
        <w:t>，清淤量</w:t>
      </w:r>
      <w:r>
        <w:rPr>
          <w:rFonts w:hint="eastAsia"/>
        </w:rPr>
        <w:t xml:space="preserve"> 75 </w:t>
      </w:r>
      <w:r>
        <w:rPr>
          <w:rFonts w:hint="eastAsia"/>
        </w:rPr>
        <w:t>万</w:t>
      </w:r>
      <w:r>
        <w:rPr>
          <w:rFonts w:hint="eastAsia"/>
        </w:rPr>
        <w:t xml:space="preserve"> m</w:t>
      </w:r>
      <w:r>
        <w:rPr>
          <w:rFonts w:hint="eastAsia"/>
          <w:vertAlign w:val="superscript"/>
        </w:rPr>
        <w:t>3</w:t>
      </w:r>
      <w:r>
        <w:rPr>
          <w:rFonts w:hint="eastAsia"/>
        </w:rPr>
        <w:t>，总计清淤量</w:t>
      </w:r>
      <w:r>
        <w:rPr>
          <w:rFonts w:hint="eastAsia"/>
        </w:rPr>
        <w:t xml:space="preserve"> 600 </w:t>
      </w:r>
      <w:r>
        <w:rPr>
          <w:rFonts w:hint="eastAsia"/>
        </w:rPr>
        <w:t>万</w:t>
      </w:r>
      <w:r>
        <w:rPr>
          <w:rFonts w:hint="eastAsia"/>
        </w:rPr>
        <w:t xml:space="preserve"> m</w:t>
      </w:r>
      <w:r>
        <w:rPr>
          <w:rFonts w:hint="eastAsia"/>
          <w:vertAlign w:val="superscript"/>
        </w:rPr>
        <w:t>3</w:t>
      </w:r>
      <w:r>
        <w:rPr>
          <w:rFonts w:hint="eastAsia"/>
        </w:rPr>
        <w:t>。</w:t>
      </w:r>
      <w:r>
        <w:rPr>
          <w:rFonts w:hint="eastAsia"/>
        </w:rPr>
        <w:t>1.</w:t>
      </w:r>
      <w:r>
        <w:rPr>
          <w:rFonts w:hint="eastAsia"/>
        </w:rPr>
        <w:t>本项目计划对向阳水电站前池、新安晒水池坝体进行维修，维修坝体长度</w:t>
      </w:r>
      <w:r>
        <w:rPr>
          <w:rFonts w:hint="eastAsia"/>
        </w:rPr>
        <w:t xml:space="preserve"> 3000 </w:t>
      </w:r>
      <w:r>
        <w:rPr>
          <w:rFonts w:hint="eastAsia"/>
        </w:rPr>
        <w:t>米，其中向阳水电站前池</w:t>
      </w:r>
      <w:r>
        <w:rPr>
          <w:rFonts w:hint="eastAsia"/>
        </w:rPr>
        <w:t xml:space="preserve"> 1000 </w:t>
      </w:r>
      <w:r>
        <w:rPr>
          <w:rFonts w:hint="eastAsia"/>
        </w:rPr>
        <w:t>米，新安晒水池</w:t>
      </w:r>
      <w:r>
        <w:rPr>
          <w:rFonts w:hint="eastAsia"/>
        </w:rPr>
        <w:t xml:space="preserve">2000 </w:t>
      </w:r>
      <w:r>
        <w:rPr>
          <w:rFonts w:hint="eastAsia"/>
        </w:rPr>
        <w:t>米。坝坡长平均</w:t>
      </w:r>
      <w:r>
        <w:rPr>
          <w:rFonts w:hint="eastAsia"/>
        </w:rPr>
        <w:t xml:space="preserve"> 7.5 </w:t>
      </w:r>
      <w:r>
        <w:rPr>
          <w:rFonts w:hint="eastAsia"/>
        </w:rPr>
        <w:t>米，设计坝体边坡整形后采用土工膜加砼预制板衬砌，下铺土工膜防渗。水泥板宽</w:t>
      </w:r>
      <w:r>
        <w:rPr>
          <w:rFonts w:hint="eastAsia"/>
        </w:rPr>
        <w:t xml:space="preserve"> 0.6m</w:t>
      </w:r>
      <w:r>
        <w:rPr>
          <w:rFonts w:hint="eastAsia"/>
        </w:rPr>
        <w:t>，长</w:t>
      </w:r>
      <w:r>
        <w:rPr>
          <w:rFonts w:hint="eastAsia"/>
        </w:rPr>
        <w:t xml:space="preserve"> 0.9m</w:t>
      </w:r>
      <w:r>
        <w:rPr>
          <w:rFonts w:hint="eastAsia"/>
        </w:rPr>
        <w:t>，厚</w:t>
      </w:r>
      <w:r>
        <w:rPr>
          <w:rFonts w:hint="eastAsia"/>
        </w:rPr>
        <w:t>0.15m</w:t>
      </w:r>
      <w:r>
        <w:rPr>
          <w:rFonts w:hint="eastAsia"/>
        </w:rPr>
        <w:t>，向上维修长度</w:t>
      </w:r>
      <w:r>
        <w:rPr>
          <w:rFonts w:hint="eastAsia"/>
        </w:rPr>
        <w:t xml:space="preserve"> 3 </w:t>
      </w:r>
      <w:r>
        <w:rPr>
          <w:rFonts w:hint="eastAsia"/>
        </w:rPr>
        <w:t>米，单侧需要维修分别为</w:t>
      </w:r>
      <w:r>
        <w:rPr>
          <w:rFonts w:hint="eastAsia"/>
        </w:rPr>
        <w:t xml:space="preserve"> 1000 </w:t>
      </w:r>
      <w:r>
        <w:rPr>
          <w:rFonts w:hint="eastAsia"/>
        </w:rPr>
        <w:t>米，</w:t>
      </w:r>
      <w:r>
        <w:rPr>
          <w:rFonts w:hint="eastAsia"/>
        </w:rPr>
        <w:t>2000</w:t>
      </w:r>
      <w:r>
        <w:rPr>
          <w:rFonts w:hint="eastAsia"/>
        </w:rPr>
        <w:t>米；</w:t>
      </w:r>
      <w:r>
        <w:rPr>
          <w:rFonts w:hint="eastAsia"/>
        </w:rPr>
        <w:t>2.</w:t>
      </w:r>
      <w:r>
        <w:rPr>
          <w:rFonts w:hint="eastAsia"/>
        </w:rPr>
        <w:t>在水库上游入库河口利用地形优势建设前置库，利用前置库的蓄水功能及水生植物的吸附过滤作用，将入库水体中污染物经过滤拦截后再进入水库；</w:t>
      </w:r>
      <w:r>
        <w:rPr>
          <w:rFonts w:hint="eastAsia"/>
        </w:rPr>
        <w:t>3</w:t>
      </w:r>
      <w:r>
        <w:rPr>
          <w:rFonts w:hint="eastAsia"/>
        </w:rPr>
        <w:t>为确保入库水质实现实时监控，在水库入库河道附近建设水质自动监测浮标</w:t>
      </w:r>
      <w:r>
        <w:rPr>
          <w:rFonts w:hint="eastAsia"/>
        </w:rPr>
        <w:t>1</w:t>
      </w:r>
      <w:r>
        <w:rPr>
          <w:rFonts w:hint="eastAsia"/>
        </w:rPr>
        <w:t>个；</w:t>
      </w:r>
      <w:r>
        <w:rPr>
          <w:rFonts w:hint="eastAsia"/>
        </w:rPr>
        <w:t>4.</w:t>
      </w:r>
      <w:r>
        <w:rPr>
          <w:rFonts w:hint="eastAsia"/>
        </w:rPr>
        <w:t>本项目计划在清淤水库周围外延</w:t>
      </w:r>
      <w:r>
        <w:rPr>
          <w:rFonts w:hint="eastAsia"/>
        </w:rPr>
        <w:t>50m</w:t>
      </w:r>
      <w:r>
        <w:rPr>
          <w:rFonts w:hint="eastAsia"/>
        </w:rPr>
        <w:t>范围，清理碎石、杂草、白色垃圾等。</w:t>
      </w:r>
    </w:p>
    <w:p w14:paraId="39E19845" w14:textId="77777777" w:rsidR="009D12AF" w:rsidRDefault="00000000">
      <w:pPr>
        <w:widowControl/>
        <w:ind w:firstLine="480"/>
        <w:jc w:val="left"/>
        <w:rPr>
          <w:sz w:val="28"/>
          <w:szCs w:val="28"/>
        </w:rPr>
      </w:pPr>
      <w:r>
        <w:t>建设地点：</w:t>
      </w:r>
      <w:r>
        <w:rPr>
          <w:rFonts w:hint="eastAsia"/>
        </w:rPr>
        <w:t>长石水库位于海林市柴河镇长石村西</w:t>
      </w:r>
      <w:r>
        <w:rPr>
          <w:rFonts w:hint="eastAsia"/>
        </w:rPr>
        <w:t xml:space="preserve"> </w:t>
      </w:r>
      <w:r>
        <w:t xml:space="preserve">4km </w:t>
      </w:r>
      <w:r>
        <w:rPr>
          <w:rFonts w:hint="eastAsia"/>
        </w:rPr>
        <w:t>处，水面面积约</w:t>
      </w:r>
      <w:r>
        <w:t>0.12km</w:t>
      </w:r>
      <w:r>
        <w:rPr>
          <w:rFonts w:hint="eastAsia"/>
        </w:rPr>
        <w:t>²，控制集雨面积</w:t>
      </w:r>
      <w:r>
        <w:rPr>
          <w:rFonts w:hint="eastAsia"/>
        </w:rPr>
        <w:t xml:space="preserve"> </w:t>
      </w:r>
      <w:r>
        <w:t>15km</w:t>
      </w:r>
      <w:r>
        <w:rPr>
          <w:vertAlign w:val="superscript"/>
        </w:rPr>
        <w:t>2</w:t>
      </w:r>
      <w:r>
        <w:rPr>
          <w:rFonts w:hint="eastAsia"/>
        </w:rPr>
        <w:t>。水库坝址地理坐标为：东经</w:t>
      </w:r>
      <w:r>
        <w:rPr>
          <w:rFonts w:hint="eastAsia"/>
        </w:rPr>
        <w:t xml:space="preserve"> </w:t>
      </w:r>
      <w:r>
        <w:t>129</w:t>
      </w:r>
      <w:r>
        <w:rPr>
          <w:rFonts w:hint="eastAsia"/>
        </w:rPr>
        <w:t>°</w:t>
      </w:r>
      <w:r>
        <w:t>37</w:t>
      </w:r>
      <w:r>
        <w:rPr>
          <w:rFonts w:hint="eastAsia"/>
        </w:rPr>
        <w:t>′</w:t>
      </w:r>
      <w:r>
        <w:t>30</w:t>
      </w:r>
      <w:r>
        <w:rPr>
          <w:rFonts w:hint="eastAsia"/>
        </w:rPr>
        <w:t>″，北纬</w:t>
      </w:r>
      <w:r>
        <w:rPr>
          <w:rFonts w:hint="eastAsia"/>
        </w:rPr>
        <w:t xml:space="preserve"> </w:t>
      </w:r>
      <w:r>
        <w:t>44</w:t>
      </w:r>
      <w:r>
        <w:rPr>
          <w:rFonts w:hint="eastAsia"/>
        </w:rPr>
        <w:t>°</w:t>
      </w:r>
      <w:r>
        <w:t>43</w:t>
      </w:r>
      <w:r>
        <w:rPr>
          <w:rFonts w:hint="eastAsia"/>
        </w:rPr>
        <w:t>′</w:t>
      </w:r>
      <w:r>
        <w:t>10</w:t>
      </w:r>
      <w:r>
        <w:rPr>
          <w:rFonts w:hint="eastAsia"/>
        </w:rPr>
        <w:t>″。库区交通方便，牡丹江市至三道关公路在大坝下游通过，向东</w:t>
      </w:r>
      <w:r>
        <w:rPr>
          <w:rFonts w:hint="eastAsia"/>
        </w:rPr>
        <w:t xml:space="preserve">4km </w:t>
      </w:r>
      <w:r>
        <w:rPr>
          <w:rFonts w:hint="eastAsia"/>
        </w:rPr>
        <w:t>到牡丹江市至柴河镇公路。</w:t>
      </w:r>
      <w:r>
        <w:t>万丈水库位于海林市长汀镇万丈村西北</w:t>
      </w:r>
      <w:r>
        <w:t xml:space="preserve"> 2 km </w:t>
      </w:r>
      <w:r>
        <w:rPr>
          <w:rFonts w:hint="eastAsia"/>
        </w:rPr>
        <w:t>处，水库控制集雨面积</w:t>
      </w:r>
      <w:r>
        <w:rPr>
          <w:rFonts w:hint="eastAsia"/>
        </w:rPr>
        <w:t xml:space="preserve"> </w:t>
      </w:r>
      <w:r>
        <w:t>30km²</w:t>
      </w:r>
      <w:r>
        <w:rPr>
          <w:rFonts w:hint="eastAsia"/>
        </w:rPr>
        <w:t>，该水库</w:t>
      </w:r>
      <w:r>
        <w:rPr>
          <w:rFonts w:hint="eastAsia"/>
        </w:rPr>
        <w:t xml:space="preserve"> </w:t>
      </w:r>
      <w:r>
        <w:t xml:space="preserve">2007 </w:t>
      </w:r>
      <w:r>
        <w:rPr>
          <w:rFonts w:hint="eastAsia"/>
        </w:rPr>
        <w:t>年被列为国家第二批消险水库，面积约</w:t>
      </w:r>
      <w:r>
        <w:t>0.3km²</w:t>
      </w:r>
      <w:r>
        <w:rPr>
          <w:rFonts w:hint="eastAsia"/>
        </w:rPr>
        <w:t>。水库坝址地理坐标为：东经</w:t>
      </w:r>
      <w:r>
        <w:rPr>
          <w:rFonts w:hint="eastAsia"/>
        </w:rPr>
        <w:t xml:space="preserve"> </w:t>
      </w:r>
      <w:r>
        <w:t>129</w:t>
      </w:r>
      <w:r>
        <w:rPr>
          <w:rFonts w:hint="eastAsia"/>
        </w:rPr>
        <w:t>°</w:t>
      </w:r>
      <w:r>
        <w:t>37</w:t>
      </w:r>
      <w:r>
        <w:rPr>
          <w:rFonts w:hint="eastAsia"/>
        </w:rPr>
        <w:t>′</w:t>
      </w:r>
      <w:r>
        <w:t>30</w:t>
      </w:r>
      <w:r>
        <w:rPr>
          <w:rFonts w:hint="eastAsia"/>
        </w:rPr>
        <w:t>″，北纬</w:t>
      </w:r>
      <w:r>
        <w:rPr>
          <w:rFonts w:hint="eastAsia"/>
        </w:rPr>
        <w:t xml:space="preserve"> </w:t>
      </w:r>
      <w:r>
        <w:t>44</w:t>
      </w:r>
      <w:r>
        <w:rPr>
          <w:rFonts w:hint="eastAsia"/>
        </w:rPr>
        <w:t>°</w:t>
      </w:r>
      <w:r>
        <w:t>43</w:t>
      </w:r>
      <w:r>
        <w:rPr>
          <w:rFonts w:hint="eastAsia"/>
        </w:rPr>
        <w:t>′</w:t>
      </w:r>
      <w:r>
        <w:t>10</w:t>
      </w:r>
      <w:r>
        <w:rPr>
          <w:rFonts w:hint="eastAsia"/>
        </w:rPr>
        <w:t>″。库区交通方便，有入库公路，为新建通乡公路，混凝土路面。新安晒水池位于海林市旧街乡北侧，面积约</w:t>
      </w:r>
      <w:r>
        <w:rPr>
          <w:rFonts w:hint="eastAsia"/>
        </w:rPr>
        <w:t xml:space="preserve"> 0.36km</w:t>
      </w:r>
      <w:r>
        <w:rPr>
          <w:rFonts w:hint="eastAsia"/>
        </w:rPr>
        <w:t>²。向阳水电站位于海林市向阳村东北侧，冬季水库干涸。群力水库位于海林市柴河镇群力村北侧。</w:t>
      </w:r>
    </w:p>
    <w:p w14:paraId="1E9B58A6" w14:textId="77777777" w:rsidR="009D12AF" w:rsidRDefault="00000000">
      <w:pPr>
        <w:pStyle w:val="3"/>
      </w:pPr>
      <w:bookmarkStart w:id="121" w:name="_Toc23902"/>
      <w:r>
        <w:rPr>
          <w:rFonts w:hint="eastAsia"/>
        </w:rPr>
        <w:t>3</w:t>
      </w:r>
      <w:r>
        <w:t xml:space="preserve">.2.2 </w:t>
      </w:r>
      <w:r>
        <w:t>项目投资及筹措方式</w:t>
      </w:r>
      <w:bookmarkEnd w:id="118"/>
      <w:bookmarkEnd w:id="119"/>
      <w:bookmarkEnd w:id="120"/>
      <w:bookmarkEnd w:id="121"/>
    </w:p>
    <w:p w14:paraId="48A49A04" w14:textId="77777777" w:rsidR="009D12AF" w:rsidRDefault="00000000">
      <w:pPr>
        <w:ind w:firstLine="480"/>
        <w:rPr>
          <w:highlight w:val="yellow"/>
        </w:rPr>
      </w:pPr>
      <w:r>
        <w:t>项目总投资为</w:t>
      </w:r>
      <w:r>
        <w:rPr>
          <w:rFonts w:hint="eastAsia"/>
        </w:rPr>
        <w:t>69827.6</w:t>
      </w:r>
      <w:r>
        <w:t>万元</w:t>
      </w:r>
      <w:r>
        <w:rPr>
          <w:rFonts w:hint="eastAsia"/>
        </w:rPr>
        <w:t>。</w:t>
      </w:r>
    </w:p>
    <w:p w14:paraId="6DB570C1" w14:textId="77777777" w:rsidR="009D12AF" w:rsidRDefault="00000000">
      <w:pPr>
        <w:pStyle w:val="3"/>
      </w:pPr>
      <w:bookmarkStart w:id="122" w:name="_Toc13708"/>
      <w:bookmarkStart w:id="123" w:name="_Toc31574"/>
      <w:bookmarkStart w:id="124" w:name="_Toc4383"/>
      <w:bookmarkStart w:id="125" w:name="_Toc6526"/>
      <w:r>
        <w:rPr>
          <w:rFonts w:hint="eastAsia"/>
        </w:rPr>
        <w:lastRenderedPageBreak/>
        <w:t>3</w:t>
      </w:r>
      <w:r>
        <w:t>.2.</w:t>
      </w:r>
      <w:r>
        <w:rPr>
          <w:rFonts w:hint="eastAsia"/>
        </w:rPr>
        <w:t>3</w:t>
      </w:r>
      <w:r>
        <w:t xml:space="preserve"> </w:t>
      </w:r>
      <w:bookmarkEnd w:id="122"/>
      <w:bookmarkEnd w:id="123"/>
      <w:bookmarkEnd w:id="124"/>
      <w:r>
        <w:rPr>
          <w:rFonts w:hint="eastAsia"/>
        </w:rPr>
        <w:t>建设内容与规模</w:t>
      </w:r>
      <w:bookmarkEnd w:id="125"/>
    </w:p>
    <w:p w14:paraId="64B38C21" w14:textId="77777777" w:rsidR="009D12AF" w:rsidRDefault="00000000">
      <w:pPr>
        <w:ind w:firstLine="480"/>
      </w:pPr>
      <w:r>
        <w:rPr>
          <w:rFonts w:ascii="Times New Roman" w:eastAsia="宋体" w:hAnsi="Times New Roman" w:cs="Times New Roman"/>
        </w:rPr>
        <w:t>本次工程对库区范围内进行清淤疏浚</w:t>
      </w:r>
      <w:r>
        <w:rPr>
          <w:rFonts w:ascii="Times New Roman" w:eastAsia="宋体" w:hAnsi="Times New Roman" w:cs="Times New Roman" w:hint="eastAsia"/>
        </w:rPr>
        <w:t>及生态修复</w:t>
      </w:r>
      <w:r>
        <w:rPr>
          <w:rFonts w:ascii="Times New Roman" w:eastAsia="宋体" w:hAnsi="Times New Roman" w:cs="Times New Roman"/>
        </w:rPr>
        <w:t>，</w:t>
      </w:r>
      <w:r>
        <w:rPr>
          <w:rFonts w:hint="eastAsia"/>
        </w:rPr>
        <w:t>本次清淤方案主要考虑满足水库扩容需求与水生态综合治理要求，确定清淤方式、清淤区域划分以及转存区范围与位置。群力水库平均清淤厚度为</w:t>
      </w:r>
      <w:r>
        <w:rPr>
          <w:rFonts w:hint="eastAsia"/>
        </w:rPr>
        <w:t xml:space="preserve"> 4.95m</w:t>
      </w:r>
      <w:r>
        <w:rPr>
          <w:rFonts w:hint="eastAsia"/>
        </w:rPr>
        <w:t>，清淤面积</w:t>
      </w:r>
      <w:r>
        <w:rPr>
          <w:rFonts w:hint="eastAsia"/>
        </w:rPr>
        <w:t xml:space="preserve"> 0.91km</w:t>
      </w:r>
      <w:r>
        <w:rPr>
          <w:rFonts w:hint="eastAsia"/>
          <w:vertAlign w:val="superscript"/>
        </w:rPr>
        <w:t>2</w:t>
      </w:r>
      <w:r>
        <w:rPr>
          <w:rFonts w:hint="eastAsia"/>
        </w:rPr>
        <w:t>，清淤量</w:t>
      </w:r>
      <w:r>
        <w:rPr>
          <w:rFonts w:hint="eastAsia"/>
        </w:rPr>
        <w:t xml:space="preserve"> 445 </w:t>
      </w:r>
      <w:r>
        <w:rPr>
          <w:rFonts w:hint="eastAsia"/>
        </w:rPr>
        <w:t>万</w:t>
      </w:r>
      <w:r>
        <w:rPr>
          <w:rFonts w:hint="eastAsia"/>
        </w:rPr>
        <w:t xml:space="preserve"> m</w:t>
      </w:r>
      <w:r>
        <w:rPr>
          <w:rFonts w:hint="eastAsia"/>
          <w:vertAlign w:val="superscript"/>
        </w:rPr>
        <w:t>3</w:t>
      </w:r>
      <w:r>
        <w:rPr>
          <w:rFonts w:hint="eastAsia"/>
        </w:rPr>
        <w:t>；长石水库平均清淤厚度为</w:t>
      </w:r>
      <w:r>
        <w:rPr>
          <w:rFonts w:hint="eastAsia"/>
        </w:rPr>
        <w:t xml:space="preserve"> 1.67m</w:t>
      </w:r>
      <w:r>
        <w:rPr>
          <w:rFonts w:hint="eastAsia"/>
        </w:rPr>
        <w:t>，清淤面积</w:t>
      </w:r>
      <w:r>
        <w:rPr>
          <w:rFonts w:hint="eastAsia"/>
        </w:rPr>
        <w:t xml:space="preserve"> 0.12km</w:t>
      </w:r>
      <w:r>
        <w:rPr>
          <w:rFonts w:hint="eastAsia"/>
          <w:vertAlign w:val="superscript"/>
        </w:rPr>
        <w:t>2</w:t>
      </w:r>
      <w:r>
        <w:rPr>
          <w:rFonts w:hint="eastAsia"/>
        </w:rPr>
        <w:t>，清淤量</w:t>
      </w:r>
      <w:r>
        <w:rPr>
          <w:rFonts w:hint="eastAsia"/>
        </w:rPr>
        <w:t xml:space="preserve"> 20 </w:t>
      </w:r>
      <w:r>
        <w:rPr>
          <w:rFonts w:hint="eastAsia"/>
        </w:rPr>
        <w:t>万</w:t>
      </w:r>
      <w:r>
        <w:rPr>
          <w:rFonts w:hint="eastAsia"/>
        </w:rPr>
        <w:t xml:space="preserve"> m</w:t>
      </w:r>
      <w:r>
        <w:rPr>
          <w:rFonts w:hint="eastAsia"/>
          <w:vertAlign w:val="superscript"/>
        </w:rPr>
        <w:t>3</w:t>
      </w:r>
      <w:r>
        <w:rPr>
          <w:rFonts w:hint="eastAsia"/>
        </w:rPr>
        <w:t>；向阳水电站前池平均清淤厚度为</w:t>
      </w:r>
      <w:r>
        <w:rPr>
          <w:rFonts w:hint="eastAsia"/>
        </w:rPr>
        <w:t xml:space="preserve"> 2.25m</w:t>
      </w:r>
      <w:r>
        <w:rPr>
          <w:rFonts w:hint="eastAsia"/>
        </w:rPr>
        <w:t>，清淤面积</w:t>
      </w:r>
      <w:r>
        <w:rPr>
          <w:rFonts w:hint="eastAsia"/>
        </w:rPr>
        <w:t xml:space="preserve"> 0.16km</w:t>
      </w:r>
      <w:r>
        <w:rPr>
          <w:rFonts w:hint="eastAsia"/>
          <w:vertAlign w:val="superscript"/>
        </w:rPr>
        <w:t>2</w:t>
      </w:r>
      <w:r>
        <w:rPr>
          <w:rFonts w:hint="eastAsia"/>
        </w:rPr>
        <w:t>，清淤量</w:t>
      </w:r>
      <w:r>
        <w:rPr>
          <w:rFonts w:hint="eastAsia"/>
        </w:rPr>
        <w:t xml:space="preserve">36 </w:t>
      </w:r>
      <w:r>
        <w:rPr>
          <w:rFonts w:hint="eastAsia"/>
        </w:rPr>
        <w:t>万</w:t>
      </w:r>
      <w:r>
        <w:rPr>
          <w:rFonts w:hint="eastAsia"/>
        </w:rPr>
        <w:t xml:space="preserve"> m</w:t>
      </w:r>
      <w:r>
        <w:rPr>
          <w:rFonts w:hint="eastAsia"/>
          <w:vertAlign w:val="superscript"/>
        </w:rPr>
        <w:t>3</w:t>
      </w:r>
      <w:r>
        <w:rPr>
          <w:rFonts w:hint="eastAsia"/>
        </w:rPr>
        <w:t>；新安晒水池平均清淤厚度为</w:t>
      </w:r>
      <w:r>
        <w:rPr>
          <w:rFonts w:hint="eastAsia"/>
        </w:rPr>
        <w:t xml:space="preserve"> 0.67m</w:t>
      </w:r>
      <w:r>
        <w:rPr>
          <w:rFonts w:hint="eastAsia"/>
        </w:rPr>
        <w:t>，清淤面积</w:t>
      </w:r>
      <w:r>
        <w:rPr>
          <w:rFonts w:hint="eastAsia"/>
        </w:rPr>
        <w:t xml:space="preserve"> 0.36km</w:t>
      </w:r>
      <w:r>
        <w:rPr>
          <w:rFonts w:hint="eastAsia"/>
          <w:vertAlign w:val="superscript"/>
        </w:rPr>
        <w:t>2</w:t>
      </w:r>
      <w:r>
        <w:rPr>
          <w:rFonts w:hint="eastAsia"/>
        </w:rPr>
        <w:t>，清淤量</w:t>
      </w:r>
      <w:r>
        <w:rPr>
          <w:rFonts w:hint="eastAsia"/>
        </w:rPr>
        <w:t xml:space="preserve"> 24 </w:t>
      </w:r>
      <w:r>
        <w:rPr>
          <w:rFonts w:hint="eastAsia"/>
        </w:rPr>
        <w:t>万</w:t>
      </w:r>
      <w:r>
        <w:rPr>
          <w:rFonts w:hint="eastAsia"/>
        </w:rPr>
        <w:t xml:space="preserve"> m</w:t>
      </w:r>
      <w:r>
        <w:rPr>
          <w:rFonts w:hint="eastAsia"/>
          <w:vertAlign w:val="superscript"/>
        </w:rPr>
        <w:t>3</w:t>
      </w:r>
      <w:r>
        <w:rPr>
          <w:rFonts w:hint="eastAsia"/>
        </w:rPr>
        <w:t>；万丈水库平均清淤厚度为</w:t>
      </w:r>
      <w:r>
        <w:rPr>
          <w:rFonts w:hint="eastAsia"/>
        </w:rPr>
        <w:t xml:space="preserve"> 2.5m</w:t>
      </w:r>
      <w:r>
        <w:rPr>
          <w:rFonts w:hint="eastAsia"/>
        </w:rPr>
        <w:t>，清淤面积</w:t>
      </w:r>
      <w:r>
        <w:rPr>
          <w:rFonts w:hint="eastAsia"/>
        </w:rPr>
        <w:t xml:space="preserve"> 0.3km</w:t>
      </w:r>
      <w:r>
        <w:rPr>
          <w:rFonts w:hint="eastAsia"/>
          <w:vertAlign w:val="superscript"/>
        </w:rPr>
        <w:t>2</w:t>
      </w:r>
      <w:r>
        <w:rPr>
          <w:rFonts w:hint="eastAsia"/>
        </w:rPr>
        <w:t>，清淤量</w:t>
      </w:r>
      <w:r>
        <w:rPr>
          <w:rFonts w:hint="eastAsia"/>
        </w:rPr>
        <w:t xml:space="preserve"> 75 </w:t>
      </w:r>
      <w:r>
        <w:rPr>
          <w:rFonts w:hint="eastAsia"/>
        </w:rPr>
        <w:t>万</w:t>
      </w:r>
      <w:r>
        <w:rPr>
          <w:rFonts w:hint="eastAsia"/>
        </w:rPr>
        <w:t xml:space="preserve"> m</w:t>
      </w:r>
      <w:r>
        <w:rPr>
          <w:rFonts w:hint="eastAsia"/>
          <w:vertAlign w:val="superscript"/>
        </w:rPr>
        <w:t>3</w:t>
      </w:r>
      <w:r>
        <w:rPr>
          <w:rFonts w:hint="eastAsia"/>
        </w:rPr>
        <w:t>，总计清淤量</w:t>
      </w:r>
      <w:r>
        <w:rPr>
          <w:rFonts w:hint="eastAsia"/>
        </w:rPr>
        <w:t xml:space="preserve"> 600 </w:t>
      </w:r>
      <w:r>
        <w:rPr>
          <w:rFonts w:hint="eastAsia"/>
        </w:rPr>
        <w:t>万</w:t>
      </w:r>
      <w:r>
        <w:rPr>
          <w:rFonts w:hint="eastAsia"/>
        </w:rPr>
        <w:t xml:space="preserve"> m</w:t>
      </w:r>
      <w:r>
        <w:rPr>
          <w:rFonts w:hint="eastAsia"/>
          <w:vertAlign w:val="superscript"/>
        </w:rPr>
        <w:t>3</w:t>
      </w:r>
      <w:r>
        <w:rPr>
          <w:rFonts w:hint="eastAsia"/>
        </w:rPr>
        <w:t>。生态修复工程：</w:t>
      </w:r>
      <w:r>
        <w:rPr>
          <w:rFonts w:hint="eastAsia"/>
        </w:rPr>
        <w:t>1.</w:t>
      </w:r>
      <w:r>
        <w:rPr>
          <w:rFonts w:hint="eastAsia"/>
        </w:rPr>
        <w:t>本项目计划对向阳水电站前池、新安晒水池坝体进行维修，维修坝体长度</w:t>
      </w:r>
      <w:r>
        <w:rPr>
          <w:rFonts w:hint="eastAsia"/>
        </w:rPr>
        <w:t xml:space="preserve"> 3000 </w:t>
      </w:r>
      <w:r>
        <w:rPr>
          <w:rFonts w:hint="eastAsia"/>
        </w:rPr>
        <w:t>米，其中向阳水电站前池</w:t>
      </w:r>
      <w:r>
        <w:rPr>
          <w:rFonts w:hint="eastAsia"/>
        </w:rPr>
        <w:t xml:space="preserve"> 1000 </w:t>
      </w:r>
      <w:r>
        <w:rPr>
          <w:rFonts w:hint="eastAsia"/>
        </w:rPr>
        <w:t>米，新安晒水池</w:t>
      </w:r>
      <w:r>
        <w:rPr>
          <w:rFonts w:hint="eastAsia"/>
        </w:rPr>
        <w:t xml:space="preserve">2000 </w:t>
      </w:r>
      <w:r>
        <w:rPr>
          <w:rFonts w:hint="eastAsia"/>
        </w:rPr>
        <w:t>米。坝坡长平均</w:t>
      </w:r>
      <w:r>
        <w:rPr>
          <w:rFonts w:hint="eastAsia"/>
        </w:rPr>
        <w:t xml:space="preserve"> 7.5 </w:t>
      </w:r>
      <w:r>
        <w:rPr>
          <w:rFonts w:hint="eastAsia"/>
        </w:rPr>
        <w:t>米，设计坝体边坡整形后采用土工膜加砼预制板衬砌，下铺土工膜防渗。水泥板宽</w:t>
      </w:r>
      <w:r>
        <w:rPr>
          <w:rFonts w:hint="eastAsia"/>
        </w:rPr>
        <w:t xml:space="preserve"> 0.6m</w:t>
      </w:r>
      <w:r>
        <w:rPr>
          <w:rFonts w:hint="eastAsia"/>
        </w:rPr>
        <w:t>，长</w:t>
      </w:r>
      <w:r>
        <w:rPr>
          <w:rFonts w:hint="eastAsia"/>
        </w:rPr>
        <w:t xml:space="preserve"> 0.9m</w:t>
      </w:r>
      <w:r>
        <w:rPr>
          <w:rFonts w:hint="eastAsia"/>
        </w:rPr>
        <w:t>，厚</w:t>
      </w:r>
      <w:r>
        <w:rPr>
          <w:rFonts w:hint="eastAsia"/>
        </w:rPr>
        <w:t>0.15m</w:t>
      </w:r>
      <w:r>
        <w:rPr>
          <w:rFonts w:hint="eastAsia"/>
        </w:rPr>
        <w:t>，向上维修长度</w:t>
      </w:r>
      <w:r>
        <w:rPr>
          <w:rFonts w:hint="eastAsia"/>
        </w:rPr>
        <w:t xml:space="preserve"> 3 </w:t>
      </w:r>
      <w:r>
        <w:rPr>
          <w:rFonts w:hint="eastAsia"/>
        </w:rPr>
        <w:t>米，单侧需要维修分别为</w:t>
      </w:r>
      <w:r>
        <w:rPr>
          <w:rFonts w:hint="eastAsia"/>
        </w:rPr>
        <w:t xml:space="preserve"> 1000 </w:t>
      </w:r>
      <w:r>
        <w:rPr>
          <w:rFonts w:hint="eastAsia"/>
        </w:rPr>
        <w:t>米，</w:t>
      </w:r>
      <w:r>
        <w:rPr>
          <w:rFonts w:hint="eastAsia"/>
        </w:rPr>
        <w:t>2000</w:t>
      </w:r>
      <w:r>
        <w:rPr>
          <w:rFonts w:hint="eastAsia"/>
        </w:rPr>
        <w:t>米；</w:t>
      </w:r>
      <w:r>
        <w:rPr>
          <w:rFonts w:hint="eastAsia"/>
        </w:rPr>
        <w:t>2.</w:t>
      </w:r>
      <w:r>
        <w:rPr>
          <w:rFonts w:hint="eastAsia"/>
        </w:rPr>
        <w:t>在水库上游入库河口利用地形优势建设前置库，利用前置库的蓄水功能及水生植物的吸附过滤作用，将入库水体中污染物经过滤拦截后再进入水库；</w:t>
      </w:r>
      <w:r>
        <w:rPr>
          <w:rFonts w:hint="eastAsia"/>
        </w:rPr>
        <w:t>3</w:t>
      </w:r>
      <w:r>
        <w:rPr>
          <w:rFonts w:hint="eastAsia"/>
        </w:rPr>
        <w:t>为确保入库水质实现实时监控，在水库入库河道附近建设水质自动监测浮标</w:t>
      </w:r>
      <w:r>
        <w:rPr>
          <w:rFonts w:hint="eastAsia"/>
        </w:rPr>
        <w:t>1</w:t>
      </w:r>
      <w:r>
        <w:rPr>
          <w:rFonts w:hint="eastAsia"/>
        </w:rPr>
        <w:t>个；</w:t>
      </w:r>
      <w:r>
        <w:rPr>
          <w:rFonts w:hint="eastAsia"/>
        </w:rPr>
        <w:t>4.</w:t>
      </w:r>
      <w:r>
        <w:rPr>
          <w:rFonts w:hint="eastAsia"/>
        </w:rPr>
        <w:t>本项目计划在清淤水库周围外延</w:t>
      </w:r>
      <w:r>
        <w:rPr>
          <w:rFonts w:hint="eastAsia"/>
        </w:rPr>
        <w:t>50m</w:t>
      </w:r>
      <w:r>
        <w:rPr>
          <w:rFonts w:hint="eastAsia"/>
        </w:rPr>
        <w:t>范围，</w:t>
      </w:r>
      <w:r>
        <w:t>清理碎石、杂草、白色垃圾等</w:t>
      </w:r>
      <w:r>
        <w:rPr>
          <w:rFonts w:hint="eastAsia"/>
        </w:rPr>
        <w:t>。</w:t>
      </w:r>
      <w:r>
        <w:t>具体项目组成详见表</w:t>
      </w:r>
      <w:r>
        <w:rPr>
          <w:rFonts w:hint="eastAsia"/>
        </w:rPr>
        <w:t>3.2-2</w:t>
      </w:r>
      <w:r>
        <w:t>。</w:t>
      </w:r>
    </w:p>
    <w:p w14:paraId="5713BD1B" w14:textId="77777777" w:rsidR="009D12AF" w:rsidRDefault="00000000">
      <w:pPr>
        <w:ind w:firstLineChars="0" w:firstLine="0"/>
        <w:jc w:val="center"/>
        <w:rPr>
          <w:b/>
          <w:bCs/>
        </w:rPr>
      </w:pPr>
      <w:r>
        <w:rPr>
          <w:rFonts w:hint="eastAsia"/>
          <w:b/>
          <w:bCs/>
        </w:rPr>
        <w:t>表</w:t>
      </w:r>
      <w:r>
        <w:rPr>
          <w:rFonts w:hint="eastAsia"/>
          <w:b/>
          <w:bCs/>
        </w:rPr>
        <w:t>3.2-1</w:t>
      </w:r>
      <w:r>
        <w:rPr>
          <w:rFonts w:hint="eastAsia"/>
          <w:b/>
          <w:bCs/>
        </w:rPr>
        <w:t>水库清淤拐点坐标</w:t>
      </w:r>
    </w:p>
    <w:tbl>
      <w:tblPr>
        <w:tblStyle w:val="ae"/>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961"/>
        <w:gridCol w:w="1363"/>
        <w:gridCol w:w="4279"/>
        <w:gridCol w:w="1919"/>
      </w:tblGrid>
      <w:tr w:rsidR="009D12AF" w14:paraId="21583DB4" w14:textId="77777777">
        <w:tc>
          <w:tcPr>
            <w:tcW w:w="961" w:type="dxa"/>
            <w:tcBorders>
              <w:tl2br w:val="nil"/>
              <w:tr2bl w:val="nil"/>
            </w:tcBorders>
            <w:vAlign w:val="center"/>
          </w:tcPr>
          <w:p w14:paraId="2B4A9CF6" w14:textId="77777777" w:rsidR="009D12AF" w:rsidRDefault="00000000">
            <w:pPr>
              <w:ind w:firstLineChars="0" w:firstLine="0"/>
              <w:jc w:val="center"/>
              <w:rPr>
                <w:sz w:val="21"/>
                <w:szCs w:val="21"/>
              </w:rPr>
            </w:pPr>
            <w:r>
              <w:rPr>
                <w:rFonts w:hint="eastAsia"/>
                <w:sz w:val="21"/>
                <w:szCs w:val="21"/>
              </w:rPr>
              <w:t>序号</w:t>
            </w:r>
          </w:p>
        </w:tc>
        <w:tc>
          <w:tcPr>
            <w:tcW w:w="1363" w:type="dxa"/>
            <w:tcBorders>
              <w:tl2br w:val="nil"/>
              <w:tr2bl w:val="nil"/>
            </w:tcBorders>
            <w:vAlign w:val="center"/>
          </w:tcPr>
          <w:p w14:paraId="68744F46" w14:textId="77777777" w:rsidR="009D12AF" w:rsidRDefault="00000000">
            <w:pPr>
              <w:ind w:firstLineChars="0" w:firstLine="0"/>
              <w:jc w:val="center"/>
              <w:rPr>
                <w:sz w:val="21"/>
                <w:szCs w:val="21"/>
              </w:rPr>
            </w:pPr>
            <w:r>
              <w:rPr>
                <w:rFonts w:hint="eastAsia"/>
                <w:sz w:val="21"/>
                <w:szCs w:val="21"/>
              </w:rPr>
              <w:t>清淤区域</w:t>
            </w:r>
          </w:p>
        </w:tc>
        <w:tc>
          <w:tcPr>
            <w:tcW w:w="4279" w:type="dxa"/>
            <w:tcBorders>
              <w:tl2br w:val="nil"/>
              <w:tr2bl w:val="nil"/>
            </w:tcBorders>
            <w:vAlign w:val="center"/>
          </w:tcPr>
          <w:p w14:paraId="51121C53" w14:textId="77777777" w:rsidR="009D12AF" w:rsidRDefault="00000000">
            <w:pPr>
              <w:ind w:firstLineChars="0" w:firstLine="0"/>
              <w:jc w:val="center"/>
              <w:rPr>
                <w:sz w:val="21"/>
                <w:szCs w:val="21"/>
              </w:rPr>
            </w:pPr>
            <w:r>
              <w:rPr>
                <w:rFonts w:hint="eastAsia"/>
                <w:sz w:val="21"/>
                <w:szCs w:val="21"/>
              </w:rPr>
              <w:t>坐标点</w:t>
            </w:r>
          </w:p>
        </w:tc>
        <w:tc>
          <w:tcPr>
            <w:tcW w:w="1919" w:type="dxa"/>
            <w:tcBorders>
              <w:tl2br w:val="nil"/>
              <w:tr2bl w:val="nil"/>
            </w:tcBorders>
            <w:vAlign w:val="center"/>
          </w:tcPr>
          <w:p w14:paraId="3ED58B92" w14:textId="77777777" w:rsidR="009D12AF" w:rsidRDefault="00000000">
            <w:pPr>
              <w:ind w:firstLineChars="0" w:firstLine="0"/>
              <w:jc w:val="center"/>
              <w:rPr>
                <w:sz w:val="21"/>
                <w:szCs w:val="21"/>
              </w:rPr>
            </w:pPr>
            <w:r>
              <w:rPr>
                <w:rFonts w:hint="eastAsia"/>
                <w:sz w:val="21"/>
                <w:szCs w:val="21"/>
              </w:rPr>
              <w:t>清淤方量</w:t>
            </w:r>
            <w:r>
              <w:rPr>
                <w:rFonts w:hint="eastAsia"/>
                <w:sz w:val="21"/>
                <w:szCs w:val="21"/>
              </w:rPr>
              <w:t>/</w:t>
            </w:r>
            <w:r>
              <w:rPr>
                <w:rFonts w:hint="eastAsia"/>
                <w:sz w:val="21"/>
                <w:szCs w:val="21"/>
              </w:rPr>
              <w:t>万</w:t>
            </w:r>
            <w:r>
              <w:rPr>
                <w:rFonts w:hint="eastAsia"/>
                <w:sz w:val="21"/>
                <w:szCs w:val="21"/>
              </w:rPr>
              <w:t>m</w:t>
            </w:r>
            <w:r>
              <w:rPr>
                <w:rFonts w:hint="eastAsia"/>
                <w:sz w:val="21"/>
                <w:szCs w:val="21"/>
                <w:vertAlign w:val="superscript"/>
              </w:rPr>
              <w:t>3</w:t>
            </w:r>
          </w:p>
        </w:tc>
      </w:tr>
      <w:tr w:rsidR="009D12AF" w14:paraId="6D5A85BF" w14:textId="77777777">
        <w:tc>
          <w:tcPr>
            <w:tcW w:w="961" w:type="dxa"/>
            <w:tcBorders>
              <w:tl2br w:val="nil"/>
              <w:tr2bl w:val="nil"/>
            </w:tcBorders>
            <w:vAlign w:val="center"/>
          </w:tcPr>
          <w:p w14:paraId="5143D7D0" w14:textId="77777777" w:rsidR="009D12AF" w:rsidRDefault="00000000">
            <w:pPr>
              <w:ind w:firstLineChars="0" w:firstLine="0"/>
              <w:jc w:val="center"/>
              <w:rPr>
                <w:sz w:val="21"/>
                <w:szCs w:val="21"/>
              </w:rPr>
            </w:pPr>
            <w:r>
              <w:rPr>
                <w:rFonts w:hint="eastAsia"/>
                <w:sz w:val="21"/>
                <w:szCs w:val="21"/>
              </w:rPr>
              <w:t>1</w:t>
            </w:r>
          </w:p>
        </w:tc>
        <w:tc>
          <w:tcPr>
            <w:tcW w:w="1363" w:type="dxa"/>
            <w:tcBorders>
              <w:tl2br w:val="nil"/>
              <w:tr2bl w:val="nil"/>
            </w:tcBorders>
            <w:vAlign w:val="center"/>
          </w:tcPr>
          <w:p w14:paraId="32BB33F5" w14:textId="77777777" w:rsidR="009D12AF" w:rsidRDefault="00000000">
            <w:pPr>
              <w:widowControl/>
              <w:ind w:firstLineChars="0" w:firstLine="0"/>
              <w:jc w:val="center"/>
              <w:rPr>
                <w:sz w:val="21"/>
                <w:szCs w:val="21"/>
              </w:rPr>
            </w:pPr>
            <w:r>
              <w:rPr>
                <w:rFonts w:hint="eastAsia"/>
                <w:color w:val="0C0C0C"/>
                <w:sz w:val="21"/>
                <w:szCs w:val="21"/>
              </w:rPr>
              <w:t>群力水库区域</w:t>
            </w:r>
            <w:r>
              <w:rPr>
                <w:rFonts w:hint="eastAsia"/>
                <w:color w:val="0C0C0C"/>
                <w:sz w:val="21"/>
                <w:szCs w:val="21"/>
              </w:rPr>
              <w:t>1</w:t>
            </w:r>
          </w:p>
        </w:tc>
        <w:tc>
          <w:tcPr>
            <w:tcW w:w="4279" w:type="dxa"/>
            <w:tcBorders>
              <w:tl2br w:val="nil"/>
              <w:tr2bl w:val="nil"/>
            </w:tcBorders>
            <w:vAlign w:val="center"/>
          </w:tcPr>
          <w:p w14:paraId="52C51F56"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1</w:t>
            </w:r>
            <w:r>
              <w:rPr>
                <w:rFonts w:hint="eastAsia"/>
                <w:color w:val="0C0C0C"/>
                <w:sz w:val="21"/>
                <w:szCs w:val="21"/>
              </w:rPr>
              <w:t>：</w:t>
            </w:r>
            <w:r>
              <w:rPr>
                <w:rFonts w:hint="eastAsia"/>
                <w:color w:val="0C0C0C"/>
                <w:sz w:val="21"/>
                <w:szCs w:val="21"/>
              </w:rPr>
              <w:t>129.660310/44.906090</w:t>
            </w:r>
          </w:p>
          <w:p w14:paraId="6F4FFE35"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2</w:t>
            </w:r>
            <w:r>
              <w:rPr>
                <w:rFonts w:hint="eastAsia"/>
                <w:color w:val="0C0C0C"/>
                <w:sz w:val="21"/>
                <w:szCs w:val="21"/>
              </w:rPr>
              <w:t>：</w:t>
            </w:r>
            <w:r>
              <w:rPr>
                <w:rFonts w:hint="eastAsia"/>
                <w:color w:val="0C0C0C"/>
                <w:sz w:val="21"/>
                <w:szCs w:val="21"/>
              </w:rPr>
              <w:t>129.661760/44.904930</w:t>
            </w:r>
          </w:p>
          <w:p w14:paraId="6AD81A88"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3</w:t>
            </w:r>
            <w:r>
              <w:rPr>
                <w:rFonts w:hint="eastAsia"/>
                <w:color w:val="0C0C0C"/>
                <w:sz w:val="21"/>
                <w:szCs w:val="21"/>
              </w:rPr>
              <w:t>：</w:t>
            </w:r>
            <w:r>
              <w:rPr>
                <w:rFonts w:hint="eastAsia"/>
                <w:color w:val="0C0C0C"/>
                <w:sz w:val="21"/>
                <w:szCs w:val="21"/>
              </w:rPr>
              <w:t>129.658580/44.899280</w:t>
            </w:r>
          </w:p>
          <w:p w14:paraId="7F7EC72B"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4</w:t>
            </w:r>
            <w:r>
              <w:rPr>
                <w:rFonts w:hint="eastAsia"/>
                <w:color w:val="0C0C0C"/>
                <w:sz w:val="21"/>
                <w:szCs w:val="21"/>
              </w:rPr>
              <w:t>：</w:t>
            </w:r>
            <w:r>
              <w:rPr>
                <w:rFonts w:hint="eastAsia"/>
                <w:color w:val="0C0C0C"/>
                <w:sz w:val="21"/>
                <w:szCs w:val="21"/>
              </w:rPr>
              <w:t>129.658660/44.905300</w:t>
            </w:r>
          </w:p>
          <w:p w14:paraId="3DABAEE3" w14:textId="77777777" w:rsidR="009D12AF" w:rsidRDefault="00000000">
            <w:pPr>
              <w:widowControl/>
              <w:ind w:firstLineChars="0" w:firstLine="0"/>
              <w:jc w:val="center"/>
              <w:rPr>
                <w:sz w:val="21"/>
                <w:szCs w:val="21"/>
              </w:rPr>
            </w:pPr>
            <w:r>
              <w:rPr>
                <w:rFonts w:hint="eastAsia"/>
                <w:color w:val="0C0C0C"/>
                <w:sz w:val="21"/>
                <w:szCs w:val="21"/>
              </w:rPr>
              <w:t>拐点</w:t>
            </w:r>
            <w:r>
              <w:rPr>
                <w:rFonts w:hint="eastAsia"/>
                <w:color w:val="0C0C0C"/>
                <w:sz w:val="21"/>
                <w:szCs w:val="21"/>
              </w:rPr>
              <w:t>5</w:t>
            </w:r>
            <w:r>
              <w:rPr>
                <w:rFonts w:hint="eastAsia"/>
                <w:color w:val="0C0C0C"/>
                <w:sz w:val="21"/>
                <w:szCs w:val="21"/>
              </w:rPr>
              <w:t>：</w:t>
            </w:r>
            <w:r>
              <w:rPr>
                <w:rFonts w:hint="eastAsia"/>
                <w:color w:val="0C0C0C"/>
                <w:sz w:val="21"/>
                <w:szCs w:val="21"/>
              </w:rPr>
              <w:t>129.661710/44.903500</w:t>
            </w:r>
          </w:p>
        </w:tc>
        <w:tc>
          <w:tcPr>
            <w:tcW w:w="1919" w:type="dxa"/>
            <w:tcBorders>
              <w:tl2br w:val="nil"/>
              <w:tr2bl w:val="nil"/>
            </w:tcBorders>
            <w:vAlign w:val="center"/>
          </w:tcPr>
          <w:p w14:paraId="7E611473" w14:textId="77777777" w:rsidR="009D12AF" w:rsidRDefault="00000000">
            <w:pPr>
              <w:widowControl/>
              <w:ind w:firstLineChars="0" w:firstLine="0"/>
              <w:jc w:val="center"/>
              <w:rPr>
                <w:sz w:val="21"/>
                <w:szCs w:val="21"/>
              </w:rPr>
            </w:pPr>
            <w:r>
              <w:rPr>
                <w:rFonts w:hint="eastAsia"/>
                <w:sz w:val="21"/>
                <w:szCs w:val="21"/>
              </w:rPr>
              <w:t>37.00</w:t>
            </w:r>
          </w:p>
        </w:tc>
      </w:tr>
      <w:tr w:rsidR="009D12AF" w14:paraId="45863825" w14:textId="77777777">
        <w:tc>
          <w:tcPr>
            <w:tcW w:w="961" w:type="dxa"/>
            <w:tcBorders>
              <w:tl2br w:val="nil"/>
              <w:tr2bl w:val="nil"/>
            </w:tcBorders>
            <w:vAlign w:val="center"/>
          </w:tcPr>
          <w:p w14:paraId="44C9E7E6" w14:textId="77777777" w:rsidR="009D12AF" w:rsidRDefault="00000000">
            <w:pPr>
              <w:ind w:firstLineChars="0" w:firstLine="0"/>
              <w:jc w:val="center"/>
              <w:rPr>
                <w:sz w:val="21"/>
                <w:szCs w:val="21"/>
              </w:rPr>
            </w:pPr>
            <w:r>
              <w:rPr>
                <w:rFonts w:hint="eastAsia"/>
                <w:sz w:val="21"/>
                <w:szCs w:val="21"/>
              </w:rPr>
              <w:t>2</w:t>
            </w:r>
          </w:p>
        </w:tc>
        <w:tc>
          <w:tcPr>
            <w:tcW w:w="1363" w:type="dxa"/>
            <w:tcBorders>
              <w:tl2br w:val="nil"/>
              <w:tr2bl w:val="nil"/>
            </w:tcBorders>
            <w:vAlign w:val="center"/>
          </w:tcPr>
          <w:p w14:paraId="10D2319B" w14:textId="77777777" w:rsidR="009D12AF" w:rsidRDefault="00000000">
            <w:pPr>
              <w:widowControl/>
              <w:ind w:firstLineChars="0" w:firstLine="0"/>
              <w:jc w:val="center"/>
              <w:rPr>
                <w:sz w:val="21"/>
                <w:szCs w:val="21"/>
              </w:rPr>
            </w:pPr>
            <w:r>
              <w:rPr>
                <w:rFonts w:hint="eastAsia"/>
                <w:color w:val="0C0C0C"/>
                <w:sz w:val="21"/>
                <w:szCs w:val="21"/>
              </w:rPr>
              <w:t>群力水库区域</w:t>
            </w:r>
            <w:r>
              <w:rPr>
                <w:rFonts w:hint="eastAsia"/>
                <w:color w:val="0C0C0C"/>
                <w:sz w:val="21"/>
                <w:szCs w:val="21"/>
              </w:rPr>
              <w:t>2</w:t>
            </w:r>
          </w:p>
        </w:tc>
        <w:tc>
          <w:tcPr>
            <w:tcW w:w="4279" w:type="dxa"/>
            <w:tcBorders>
              <w:tl2br w:val="nil"/>
              <w:tr2bl w:val="nil"/>
            </w:tcBorders>
            <w:vAlign w:val="center"/>
          </w:tcPr>
          <w:p w14:paraId="6AC5D2FC"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1</w:t>
            </w:r>
            <w:r>
              <w:rPr>
                <w:rFonts w:hint="eastAsia"/>
                <w:color w:val="0C0C0C"/>
                <w:sz w:val="21"/>
                <w:szCs w:val="21"/>
              </w:rPr>
              <w:t>：</w:t>
            </w:r>
            <w:r>
              <w:rPr>
                <w:rFonts w:hint="eastAsia"/>
                <w:color w:val="0C0C0C"/>
                <w:sz w:val="21"/>
                <w:szCs w:val="21"/>
              </w:rPr>
              <w:t>129.658660/44.905300</w:t>
            </w:r>
          </w:p>
          <w:p w14:paraId="423BF8EB"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2</w:t>
            </w:r>
            <w:r>
              <w:rPr>
                <w:rFonts w:hint="eastAsia"/>
                <w:color w:val="0C0C0C"/>
                <w:sz w:val="21"/>
                <w:szCs w:val="21"/>
              </w:rPr>
              <w:t>：</w:t>
            </w:r>
            <w:r>
              <w:rPr>
                <w:rFonts w:hint="eastAsia"/>
                <w:color w:val="0C0C0C"/>
                <w:sz w:val="21"/>
                <w:szCs w:val="21"/>
              </w:rPr>
              <w:t>129.655640/44.907100</w:t>
            </w:r>
          </w:p>
          <w:p w14:paraId="11C93474"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3</w:t>
            </w:r>
            <w:r>
              <w:rPr>
                <w:rFonts w:hint="eastAsia"/>
                <w:color w:val="0C0C0C"/>
                <w:sz w:val="21"/>
                <w:szCs w:val="21"/>
              </w:rPr>
              <w:t>：</w:t>
            </w:r>
            <w:r>
              <w:rPr>
                <w:rFonts w:hint="eastAsia"/>
                <w:color w:val="0C0C0C"/>
                <w:sz w:val="21"/>
                <w:szCs w:val="21"/>
              </w:rPr>
              <w:t>129.658580/44.899280</w:t>
            </w:r>
          </w:p>
          <w:p w14:paraId="6EEDFAE3" w14:textId="77777777" w:rsidR="009D12AF" w:rsidRDefault="00000000">
            <w:pPr>
              <w:widowControl/>
              <w:ind w:firstLineChars="0" w:firstLine="0"/>
              <w:jc w:val="center"/>
              <w:rPr>
                <w:sz w:val="21"/>
                <w:szCs w:val="21"/>
              </w:rPr>
            </w:pPr>
            <w:r>
              <w:rPr>
                <w:rFonts w:hint="eastAsia"/>
                <w:color w:val="0C0C0C"/>
                <w:sz w:val="21"/>
                <w:szCs w:val="21"/>
              </w:rPr>
              <w:lastRenderedPageBreak/>
              <w:t>拐点</w:t>
            </w:r>
            <w:r>
              <w:rPr>
                <w:rFonts w:hint="eastAsia"/>
                <w:color w:val="0C0C0C"/>
                <w:sz w:val="21"/>
                <w:szCs w:val="21"/>
              </w:rPr>
              <w:t>4</w:t>
            </w:r>
            <w:r>
              <w:rPr>
                <w:rFonts w:hint="eastAsia"/>
                <w:color w:val="0C0C0C"/>
                <w:sz w:val="21"/>
                <w:szCs w:val="21"/>
              </w:rPr>
              <w:t>：</w:t>
            </w:r>
            <w:r>
              <w:rPr>
                <w:rFonts w:hint="eastAsia"/>
                <w:color w:val="0C0C0C"/>
                <w:sz w:val="21"/>
                <w:szCs w:val="21"/>
              </w:rPr>
              <w:t>129.655930/44.898940</w:t>
            </w:r>
          </w:p>
        </w:tc>
        <w:tc>
          <w:tcPr>
            <w:tcW w:w="1919" w:type="dxa"/>
            <w:tcBorders>
              <w:tl2br w:val="nil"/>
              <w:tr2bl w:val="nil"/>
            </w:tcBorders>
            <w:vAlign w:val="center"/>
          </w:tcPr>
          <w:p w14:paraId="3ABED1DF" w14:textId="77777777" w:rsidR="009D12AF" w:rsidRDefault="00000000">
            <w:pPr>
              <w:widowControl/>
              <w:ind w:firstLineChars="0" w:firstLine="0"/>
              <w:jc w:val="center"/>
              <w:rPr>
                <w:sz w:val="21"/>
                <w:szCs w:val="21"/>
              </w:rPr>
            </w:pPr>
            <w:r>
              <w:rPr>
                <w:rFonts w:hint="eastAsia"/>
                <w:sz w:val="21"/>
                <w:szCs w:val="21"/>
              </w:rPr>
              <w:lastRenderedPageBreak/>
              <w:t>79.50</w:t>
            </w:r>
          </w:p>
        </w:tc>
      </w:tr>
      <w:tr w:rsidR="009D12AF" w14:paraId="2ADEEB4C" w14:textId="77777777">
        <w:tc>
          <w:tcPr>
            <w:tcW w:w="961" w:type="dxa"/>
            <w:tcBorders>
              <w:tl2br w:val="nil"/>
              <w:tr2bl w:val="nil"/>
            </w:tcBorders>
            <w:vAlign w:val="center"/>
          </w:tcPr>
          <w:p w14:paraId="4924BF01" w14:textId="77777777" w:rsidR="009D12AF" w:rsidRDefault="00000000">
            <w:pPr>
              <w:ind w:firstLineChars="0" w:firstLine="0"/>
              <w:jc w:val="center"/>
              <w:rPr>
                <w:sz w:val="21"/>
                <w:szCs w:val="21"/>
              </w:rPr>
            </w:pPr>
            <w:r>
              <w:rPr>
                <w:rFonts w:hint="eastAsia"/>
                <w:sz w:val="21"/>
                <w:szCs w:val="21"/>
              </w:rPr>
              <w:t>3</w:t>
            </w:r>
          </w:p>
        </w:tc>
        <w:tc>
          <w:tcPr>
            <w:tcW w:w="1363" w:type="dxa"/>
            <w:tcBorders>
              <w:tl2br w:val="nil"/>
              <w:tr2bl w:val="nil"/>
            </w:tcBorders>
            <w:vAlign w:val="center"/>
          </w:tcPr>
          <w:p w14:paraId="21C061DB" w14:textId="77777777" w:rsidR="009D12AF" w:rsidRDefault="00000000">
            <w:pPr>
              <w:widowControl/>
              <w:ind w:firstLineChars="0" w:firstLine="0"/>
              <w:jc w:val="center"/>
              <w:rPr>
                <w:sz w:val="21"/>
                <w:szCs w:val="21"/>
              </w:rPr>
            </w:pPr>
            <w:r>
              <w:rPr>
                <w:rFonts w:hint="eastAsia"/>
                <w:color w:val="0C0C0C"/>
                <w:sz w:val="21"/>
                <w:szCs w:val="21"/>
              </w:rPr>
              <w:t>群力水库区域</w:t>
            </w:r>
            <w:r>
              <w:rPr>
                <w:rFonts w:hint="eastAsia"/>
                <w:color w:val="0C0C0C"/>
                <w:sz w:val="21"/>
                <w:szCs w:val="21"/>
              </w:rPr>
              <w:t>3</w:t>
            </w:r>
          </w:p>
        </w:tc>
        <w:tc>
          <w:tcPr>
            <w:tcW w:w="4279" w:type="dxa"/>
            <w:tcBorders>
              <w:tl2br w:val="nil"/>
              <w:tr2bl w:val="nil"/>
            </w:tcBorders>
            <w:vAlign w:val="center"/>
          </w:tcPr>
          <w:p w14:paraId="6C76D5E3"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1</w:t>
            </w:r>
            <w:r>
              <w:rPr>
                <w:rFonts w:hint="eastAsia"/>
                <w:color w:val="0C0C0C"/>
                <w:sz w:val="21"/>
                <w:szCs w:val="21"/>
              </w:rPr>
              <w:t>：</w:t>
            </w:r>
            <w:r>
              <w:rPr>
                <w:rFonts w:hint="eastAsia"/>
                <w:color w:val="0C0C0C"/>
                <w:sz w:val="21"/>
                <w:szCs w:val="21"/>
              </w:rPr>
              <w:t>129.655640/44.907100</w:t>
            </w:r>
          </w:p>
          <w:p w14:paraId="25F862AC"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2</w:t>
            </w:r>
            <w:r>
              <w:rPr>
                <w:rFonts w:hint="eastAsia"/>
                <w:color w:val="0C0C0C"/>
                <w:sz w:val="21"/>
                <w:szCs w:val="21"/>
              </w:rPr>
              <w:t>：</w:t>
            </w:r>
            <w:r>
              <w:rPr>
                <w:rFonts w:hint="eastAsia"/>
                <w:color w:val="0C0C0C"/>
                <w:sz w:val="21"/>
                <w:szCs w:val="21"/>
              </w:rPr>
              <w:t>129.654240/44.908830</w:t>
            </w:r>
          </w:p>
          <w:p w14:paraId="44EE280A"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3</w:t>
            </w:r>
            <w:r>
              <w:rPr>
                <w:rFonts w:hint="eastAsia"/>
                <w:color w:val="0C0C0C"/>
                <w:sz w:val="21"/>
                <w:szCs w:val="21"/>
              </w:rPr>
              <w:t>：</w:t>
            </w:r>
            <w:r>
              <w:rPr>
                <w:rFonts w:hint="eastAsia"/>
                <w:color w:val="0C0C0C"/>
                <w:sz w:val="21"/>
                <w:szCs w:val="21"/>
              </w:rPr>
              <w:t>129.652980/44.907840</w:t>
            </w:r>
          </w:p>
          <w:p w14:paraId="7F82F360"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4</w:t>
            </w:r>
            <w:r>
              <w:rPr>
                <w:rFonts w:hint="eastAsia"/>
                <w:color w:val="0C0C0C"/>
                <w:sz w:val="21"/>
                <w:szCs w:val="21"/>
              </w:rPr>
              <w:t>：</w:t>
            </w:r>
            <w:r>
              <w:rPr>
                <w:rFonts w:hint="eastAsia"/>
                <w:color w:val="0C0C0C"/>
                <w:sz w:val="21"/>
                <w:szCs w:val="21"/>
              </w:rPr>
              <w:t>129.653930/44.898940</w:t>
            </w:r>
          </w:p>
          <w:p w14:paraId="5DBFB1B8" w14:textId="77777777" w:rsidR="009D12AF" w:rsidRDefault="00000000">
            <w:pPr>
              <w:widowControl/>
              <w:ind w:firstLineChars="0" w:firstLine="0"/>
              <w:jc w:val="center"/>
              <w:rPr>
                <w:sz w:val="21"/>
                <w:szCs w:val="21"/>
              </w:rPr>
            </w:pPr>
            <w:r>
              <w:rPr>
                <w:rFonts w:hint="eastAsia"/>
                <w:color w:val="0C0C0C"/>
                <w:sz w:val="21"/>
                <w:szCs w:val="21"/>
              </w:rPr>
              <w:t>拐点</w:t>
            </w:r>
            <w:r>
              <w:rPr>
                <w:rFonts w:hint="eastAsia"/>
                <w:color w:val="0C0C0C"/>
                <w:sz w:val="21"/>
                <w:szCs w:val="21"/>
              </w:rPr>
              <w:t>5</w:t>
            </w:r>
            <w:r>
              <w:rPr>
                <w:rFonts w:hint="eastAsia"/>
                <w:color w:val="0C0C0C"/>
                <w:sz w:val="21"/>
                <w:szCs w:val="21"/>
              </w:rPr>
              <w:t>：</w:t>
            </w:r>
            <w:r>
              <w:rPr>
                <w:rFonts w:hint="eastAsia"/>
                <w:color w:val="0C0C0C"/>
                <w:sz w:val="21"/>
                <w:szCs w:val="21"/>
              </w:rPr>
              <w:t>129.653990/44.899170</w:t>
            </w:r>
          </w:p>
        </w:tc>
        <w:tc>
          <w:tcPr>
            <w:tcW w:w="1919" w:type="dxa"/>
            <w:tcBorders>
              <w:tl2br w:val="nil"/>
              <w:tr2bl w:val="nil"/>
            </w:tcBorders>
            <w:vAlign w:val="center"/>
          </w:tcPr>
          <w:p w14:paraId="1E11C5D3" w14:textId="77777777" w:rsidR="009D12AF" w:rsidRDefault="00000000">
            <w:pPr>
              <w:widowControl/>
              <w:ind w:firstLineChars="0" w:firstLine="0"/>
              <w:jc w:val="center"/>
              <w:rPr>
                <w:sz w:val="21"/>
                <w:szCs w:val="21"/>
              </w:rPr>
            </w:pPr>
            <w:r>
              <w:rPr>
                <w:rFonts w:hint="eastAsia"/>
                <w:sz w:val="21"/>
                <w:szCs w:val="21"/>
              </w:rPr>
              <w:t>96.00</w:t>
            </w:r>
          </w:p>
        </w:tc>
      </w:tr>
      <w:tr w:rsidR="009D12AF" w14:paraId="48E24C24" w14:textId="77777777">
        <w:tc>
          <w:tcPr>
            <w:tcW w:w="961" w:type="dxa"/>
            <w:tcBorders>
              <w:tl2br w:val="nil"/>
              <w:tr2bl w:val="nil"/>
            </w:tcBorders>
            <w:vAlign w:val="center"/>
          </w:tcPr>
          <w:p w14:paraId="44F58C90" w14:textId="77777777" w:rsidR="009D12AF" w:rsidRDefault="00000000">
            <w:pPr>
              <w:ind w:firstLineChars="0" w:firstLine="0"/>
              <w:jc w:val="center"/>
              <w:rPr>
                <w:sz w:val="21"/>
                <w:szCs w:val="21"/>
              </w:rPr>
            </w:pPr>
            <w:r>
              <w:rPr>
                <w:rFonts w:hint="eastAsia"/>
                <w:sz w:val="21"/>
                <w:szCs w:val="21"/>
              </w:rPr>
              <w:t>4</w:t>
            </w:r>
          </w:p>
        </w:tc>
        <w:tc>
          <w:tcPr>
            <w:tcW w:w="1363" w:type="dxa"/>
            <w:tcBorders>
              <w:tl2br w:val="nil"/>
              <w:tr2bl w:val="nil"/>
            </w:tcBorders>
            <w:vAlign w:val="center"/>
          </w:tcPr>
          <w:p w14:paraId="1B1E54DE" w14:textId="77777777" w:rsidR="009D12AF" w:rsidRDefault="00000000">
            <w:pPr>
              <w:widowControl/>
              <w:ind w:firstLineChars="0" w:firstLine="0"/>
              <w:jc w:val="center"/>
              <w:rPr>
                <w:sz w:val="21"/>
                <w:szCs w:val="21"/>
              </w:rPr>
            </w:pPr>
            <w:r>
              <w:rPr>
                <w:rFonts w:hint="eastAsia"/>
                <w:color w:val="0C0C0C"/>
                <w:sz w:val="21"/>
                <w:szCs w:val="21"/>
              </w:rPr>
              <w:t>群力水库区域</w:t>
            </w:r>
            <w:r>
              <w:rPr>
                <w:rFonts w:hint="eastAsia"/>
                <w:color w:val="0C0C0C"/>
                <w:sz w:val="21"/>
                <w:szCs w:val="21"/>
              </w:rPr>
              <w:t>4</w:t>
            </w:r>
          </w:p>
        </w:tc>
        <w:tc>
          <w:tcPr>
            <w:tcW w:w="4279" w:type="dxa"/>
            <w:tcBorders>
              <w:tl2br w:val="nil"/>
              <w:tr2bl w:val="nil"/>
            </w:tcBorders>
            <w:vAlign w:val="center"/>
          </w:tcPr>
          <w:p w14:paraId="75AA9958"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1</w:t>
            </w:r>
            <w:r>
              <w:rPr>
                <w:rFonts w:hint="eastAsia"/>
                <w:color w:val="0C0C0C"/>
                <w:sz w:val="21"/>
                <w:szCs w:val="21"/>
              </w:rPr>
              <w:t>：</w:t>
            </w:r>
            <w:r>
              <w:rPr>
                <w:rFonts w:hint="eastAsia"/>
                <w:color w:val="0C0C0C"/>
                <w:sz w:val="21"/>
                <w:szCs w:val="21"/>
              </w:rPr>
              <w:t>129.652980/44.907840</w:t>
            </w:r>
          </w:p>
          <w:p w14:paraId="2CC9B6DC"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2</w:t>
            </w:r>
            <w:r>
              <w:rPr>
                <w:rFonts w:hint="eastAsia"/>
                <w:color w:val="0C0C0C"/>
                <w:sz w:val="21"/>
                <w:szCs w:val="21"/>
              </w:rPr>
              <w:t>：</w:t>
            </w:r>
            <w:r>
              <w:rPr>
                <w:rFonts w:hint="eastAsia"/>
                <w:color w:val="0C0C0C"/>
                <w:sz w:val="21"/>
                <w:szCs w:val="21"/>
              </w:rPr>
              <w:t>129.650570/44.906170</w:t>
            </w:r>
          </w:p>
          <w:p w14:paraId="5178F35B"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3</w:t>
            </w:r>
            <w:r>
              <w:rPr>
                <w:rFonts w:hint="eastAsia"/>
                <w:color w:val="0C0C0C"/>
                <w:sz w:val="21"/>
                <w:szCs w:val="21"/>
              </w:rPr>
              <w:t>：</w:t>
            </w:r>
            <w:r>
              <w:rPr>
                <w:rFonts w:hint="eastAsia"/>
                <w:color w:val="0C0C0C"/>
                <w:sz w:val="21"/>
                <w:szCs w:val="21"/>
              </w:rPr>
              <w:t>129.653990/44.899170</w:t>
            </w:r>
          </w:p>
          <w:p w14:paraId="281CD74E" w14:textId="77777777" w:rsidR="009D12AF" w:rsidRDefault="00000000">
            <w:pPr>
              <w:widowControl/>
              <w:ind w:firstLineChars="0" w:firstLine="0"/>
              <w:jc w:val="center"/>
              <w:rPr>
                <w:sz w:val="21"/>
                <w:szCs w:val="21"/>
              </w:rPr>
            </w:pPr>
            <w:r>
              <w:rPr>
                <w:rFonts w:hint="eastAsia"/>
                <w:color w:val="0C0C0C"/>
                <w:sz w:val="21"/>
                <w:szCs w:val="21"/>
              </w:rPr>
              <w:t>拐点</w:t>
            </w:r>
            <w:r>
              <w:rPr>
                <w:rFonts w:hint="eastAsia"/>
                <w:color w:val="0C0C0C"/>
                <w:sz w:val="21"/>
                <w:szCs w:val="21"/>
              </w:rPr>
              <w:t>4</w:t>
            </w:r>
            <w:r>
              <w:rPr>
                <w:rFonts w:hint="eastAsia"/>
                <w:color w:val="0C0C0C"/>
                <w:sz w:val="21"/>
                <w:szCs w:val="21"/>
              </w:rPr>
              <w:t>：</w:t>
            </w:r>
            <w:r>
              <w:rPr>
                <w:rFonts w:hint="eastAsia"/>
                <w:color w:val="0C0C0C"/>
                <w:sz w:val="21"/>
                <w:szCs w:val="21"/>
              </w:rPr>
              <w:t>129.646360/44.899410</w:t>
            </w:r>
          </w:p>
        </w:tc>
        <w:tc>
          <w:tcPr>
            <w:tcW w:w="1919" w:type="dxa"/>
            <w:tcBorders>
              <w:tl2br w:val="nil"/>
              <w:tr2bl w:val="nil"/>
            </w:tcBorders>
            <w:vAlign w:val="center"/>
          </w:tcPr>
          <w:p w14:paraId="757C9EBA" w14:textId="77777777" w:rsidR="009D12AF" w:rsidRDefault="00000000">
            <w:pPr>
              <w:widowControl/>
              <w:ind w:firstLineChars="0" w:firstLine="0"/>
              <w:jc w:val="center"/>
              <w:rPr>
                <w:sz w:val="21"/>
                <w:szCs w:val="21"/>
              </w:rPr>
            </w:pPr>
            <w:r>
              <w:rPr>
                <w:rFonts w:hint="eastAsia"/>
                <w:sz w:val="21"/>
                <w:szCs w:val="21"/>
              </w:rPr>
              <w:t>96.00</w:t>
            </w:r>
          </w:p>
        </w:tc>
      </w:tr>
      <w:tr w:rsidR="009D12AF" w14:paraId="01E602C4" w14:textId="77777777">
        <w:tc>
          <w:tcPr>
            <w:tcW w:w="961" w:type="dxa"/>
            <w:tcBorders>
              <w:tl2br w:val="nil"/>
              <w:tr2bl w:val="nil"/>
            </w:tcBorders>
            <w:vAlign w:val="center"/>
          </w:tcPr>
          <w:p w14:paraId="2C8FE39C" w14:textId="77777777" w:rsidR="009D12AF" w:rsidRDefault="00000000">
            <w:pPr>
              <w:ind w:firstLineChars="0" w:firstLine="0"/>
              <w:jc w:val="center"/>
              <w:rPr>
                <w:sz w:val="21"/>
                <w:szCs w:val="21"/>
              </w:rPr>
            </w:pPr>
            <w:r>
              <w:rPr>
                <w:rFonts w:hint="eastAsia"/>
                <w:sz w:val="21"/>
                <w:szCs w:val="21"/>
              </w:rPr>
              <w:t>5</w:t>
            </w:r>
          </w:p>
        </w:tc>
        <w:tc>
          <w:tcPr>
            <w:tcW w:w="1363" w:type="dxa"/>
            <w:tcBorders>
              <w:tl2br w:val="nil"/>
              <w:tr2bl w:val="nil"/>
            </w:tcBorders>
            <w:vAlign w:val="center"/>
          </w:tcPr>
          <w:p w14:paraId="271BAC0B" w14:textId="77777777" w:rsidR="009D12AF" w:rsidRDefault="00000000">
            <w:pPr>
              <w:widowControl/>
              <w:ind w:firstLineChars="0" w:firstLine="0"/>
              <w:jc w:val="center"/>
              <w:rPr>
                <w:sz w:val="21"/>
                <w:szCs w:val="21"/>
              </w:rPr>
            </w:pPr>
            <w:r>
              <w:rPr>
                <w:rFonts w:hint="eastAsia"/>
                <w:color w:val="0C0C0C"/>
                <w:sz w:val="21"/>
                <w:szCs w:val="21"/>
              </w:rPr>
              <w:t>群力水库区域</w:t>
            </w:r>
            <w:r>
              <w:rPr>
                <w:rFonts w:hint="eastAsia"/>
                <w:color w:val="0C0C0C"/>
                <w:sz w:val="21"/>
                <w:szCs w:val="21"/>
              </w:rPr>
              <w:t>5</w:t>
            </w:r>
          </w:p>
        </w:tc>
        <w:tc>
          <w:tcPr>
            <w:tcW w:w="4279" w:type="dxa"/>
            <w:tcBorders>
              <w:tl2br w:val="nil"/>
              <w:tr2bl w:val="nil"/>
            </w:tcBorders>
            <w:vAlign w:val="center"/>
          </w:tcPr>
          <w:p w14:paraId="6BA3E9B3"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1</w:t>
            </w:r>
            <w:r>
              <w:rPr>
                <w:rFonts w:hint="eastAsia"/>
                <w:color w:val="0C0C0C"/>
                <w:sz w:val="21"/>
                <w:szCs w:val="21"/>
              </w:rPr>
              <w:t>：</w:t>
            </w:r>
            <w:r>
              <w:rPr>
                <w:rFonts w:hint="eastAsia"/>
                <w:color w:val="0C0C0C"/>
                <w:sz w:val="21"/>
                <w:szCs w:val="21"/>
              </w:rPr>
              <w:t>129.650570/44.906170</w:t>
            </w:r>
          </w:p>
          <w:p w14:paraId="0A4971B7"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2</w:t>
            </w:r>
            <w:r>
              <w:rPr>
                <w:rFonts w:hint="eastAsia"/>
                <w:color w:val="0C0C0C"/>
                <w:sz w:val="21"/>
                <w:szCs w:val="21"/>
              </w:rPr>
              <w:t>：</w:t>
            </w:r>
            <w:r>
              <w:rPr>
                <w:rFonts w:hint="eastAsia"/>
                <w:color w:val="0C0C0C"/>
                <w:sz w:val="21"/>
                <w:szCs w:val="21"/>
              </w:rPr>
              <w:t>129.647190/44.905280</w:t>
            </w:r>
          </w:p>
          <w:p w14:paraId="3E9C2C5B"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3</w:t>
            </w:r>
            <w:r>
              <w:rPr>
                <w:rFonts w:hint="eastAsia"/>
                <w:color w:val="0C0C0C"/>
                <w:sz w:val="21"/>
                <w:szCs w:val="21"/>
              </w:rPr>
              <w:t>：</w:t>
            </w:r>
            <w:r>
              <w:rPr>
                <w:rFonts w:hint="eastAsia"/>
                <w:color w:val="0C0C0C"/>
                <w:sz w:val="21"/>
                <w:szCs w:val="21"/>
              </w:rPr>
              <w:t>129.646360/44.899410</w:t>
            </w:r>
          </w:p>
          <w:p w14:paraId="085E85B7" w14:textId="77777777" w:rsidR="009D12AF" w:rsidRDefault="00000000">
            <w:pPr>
              <w:widowControl/>
              <w:ind w:firstLineChars="0" w:firstLine="0"/>
              <w:jc w:val="center"/>
              <w:rPr>
                <w:sz w:val="21"/>
                <w:szCs w:val="21"/>
              </w:rPr>
            </w:pPr>
            <w:r>
              <w:rPr>
                <w:rFonts w:hint="eastAsia"/>
                <w:color w:val="0C0C0C"/>
                <w:sz w:val="21"/>
                <w:szCs w:val="21"/>
              </w:rPr>
              <w:t>拐点</w:t>
            </w:r>
            <w:r>
              <w:rPr>
                <w:rFonts w:hint="eastAsia"/>
                <w:color w:val="0C0C0C"/>
                <w:sz w:val="21"/>
                <w:szCs w:val="21"/>
              </w:rPr>
              <w:t>4</w:t>
            </w:r>
            <w:r>
              <w:rPr>
                <w:rFonts w:hint="eastAsia"/>
                <w:color w:val="0C0C0C"/>
                <w:sz w:val="21"/>
                <w:szCs w:val="21"/>
              </w:rPr>
              <w:t>：</w:t>
            </w:r>
            <w:r>
              <w:rPr>
                <w:rFonts w:hint="eastAsia"/>
                <w:color w:val="0C0C0C"/>
                <w:sz w:val="21"/>
                <w:szCs w:val="21"/>
              </w:rPr>
              <w:t>129.646360/44.899410</w:t>
            </w:r>
          </w:p>
        </w:tc>
        <w:tc>
          <w:tcPr>
            <w:tcW w:w="1919" w:type="dxa"/>
            <w:tcBorders>
              <w:tl2br w:val="nil"/>
              <w:tr2bl w:val="nil"/>
            </w:tcBorders>
            <w:vAlign w:val="center"/>
          </w:tcPr>
          <w:p w14:paraId="2D3C6B1D" w14:textId="77777777" w:rsidR="009D12AF" w:rsidRDefault="00000000">
            <w:pPr>
              <w:widowControl/>
              <w:ind w:firstLineChars="0" w:firstLine="0"/>
              <w:jc w:val="center"/>
              <w:rPr>
                <w:sz w:val="21"/>
                <w:szCs w:val="21"/>
              </w:rPr>
            </w:pPr>
            <w:r>
              <w:rPr>
                <w:rFonts w:hint="eastAsia"/>
                <w:sz w:val="21"/>
                <w:szCs w:val="21"/>
              </w:rPr>
              <w:t>79.50</w:t>
            </w:r>
          </w:p>
        </w:tc>
      </w:tr>
      <w:tr w:rsidR="009D12AF" w14:paraId="750A2667" w14:textId="77777777">
        <w:tc>
          <w:tcPr>
            <w:tcW w:w="961" w:type="dxa"/>
            <w:tcBorders>
              <w:tl2br w:val="nil"/>
              <w:tr2bl w:val="nil"/>
            </w:tcBorders>
            <w:vAlign w:val="center"/>
          </w:tcPr>
          <w:p w14:paraId="7004DAC3" w14:textId="77777777" w:rsidR="009D12AF" w:rsidRDefault="00000000">
            <w:pPr>
              <w:ind w:firstLineChars="0" w:firstLine="0"/>
              <w:jc w:val="center"/>
              <w:rPr>
                <w:sz w:val="21"/>
                <w:szCs w:val="21"/>
              </w:rPr>
            </w:pPr>
            <w:r>
              <w:rPr>
                <w:rFonts w:hint="eastAsia"/>
                <w:sz w:val="21"/>
                <w:szCs w:val="21"/>
              </w:rPr>
              <w:t>6</w:t>
            </w:r>
          </w:p>
        </w:tc>
        <w:tc>
          <w:tcPr>
            <w:tcW w:w="1363" w:type="dxa"/>
            <w:tcBorders>
              <w:tl2br w:val="nil"/>
              <w:tr2bl w:val="nil"/>
            </w:tcBorders>
            <w:vAlign w:val="center"/>
          </w:tcPr>
          <w:p w14:paraId="05496893" w14:textId="77777777" w:rsidR="009D12AF" w:rsidRDefault="00000000">
            <w:pPr>
              <w:widowControl/>
              <w:ind w:firstLineChars="0" w:firstLine="0"/>
              <w:jc w:val="center"/>
              <w:rPr>
                <w:sz w:val="21"/>
                <w:szCs w:val="21"/>
              </w:rPr>
            </w:pPr>
            <w:r>
              <w:rPr>
                <w:rFonts w:hint="eastAsia"/>
                <w:color w:val="0C0C0C"/>
                <w:sz w:val="21"/>
                <w:szCs w:val="21"/>
              </w:rPr>
              <w:t>群力水库区域</w:t>
            </w:r>
            <w:r>
              <w:rPr>
                <w:rFonts w:hint="eastAsia"/>
                <w:color w:val="0C0C0C"/>
                <w:sz w:val="21"/>
                <w:szCs w:val="21"/>
              </w:rPr>
              <w:t>6</w:t>
            </w:r>
          </w:p>
        </w:tc>
        <w:tc>
          <w:tcPr>
            <w:tcW w:w="4279" w:type="dxa"/>
            <w:tcBorders>
              <w:tl2br w:val="nil"/>
              <w:tr2bl w:val="nil"/>
            </w:tcBorders>
            <w:vAlign w:val="center"/>
          </w:tcPr>
          <w:p w14:paraId="6C3D9203"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1</w:t>
            </w:r>
            <w:r>
              <w:rPr>
                <w:rFonts w:hint="eastAsia"/>
                <w:color w:val="0C0C0C"/>
                <w:sz w:val="21"/>
                <w:szCs w:val="21"/>
              </w:rPr>
              <w:t>：</w:t>
            </w:r>
            <w:r>
              <w:rPr>
                <w:rFonts w:hint="eastAsia"/>
                <w:color w:val="0C0C0C"/>
                <w:sz w:val="21"/>
                <w:szCs w:val="21"/>
              </w:rPr>
              <w:t>129.647190/44.905280</w:t>
            </w:r>
          </w:p>
          <w:p w14:paraId="1117694A"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2</w:t>
            </w:r>
            <w:r>
              <w:rPr>
                <w:rFonts w:hint="eastAsia"/>
                <w:color w:val="0C0C0C"/>
                <w:sz w:val="21"/>
                <w:szCs w:val="21"/>
              </w:rPr>
              <w:t>：</w:t>
            </w:r>
            <w:r>
              <w:rPr>
                <w:rFonts w:hint="eastAsia"/>
                <w:color w:val="0C0C0C"/>
                <w:sz w:val="21"/>
                <w:szCs w:val="21"/>
              </w:rPr>
              <w:t>129.641170/44.902350</w:t>
            </w:r>
          </w:p>
          <w:p w14:paraId="4A2EFA73" w14:textId="77777777" w:rsidR="009D12AF" w:rsidRDefault="00000000">
            <w:pPr>
              <w:widowControl/>
              <w:ind w:firstLineChars="0" w:firstLine="0"/>
              <w:jc w:val="center"/>
              <w:rPr>
                <w:color w:val="0C0C0C"/>
                <w:sz w:val="21"/>
                <w:szCs w:val="21"/>
              </w:rPr>
            </w:pPr>
            <w:r>
              <w:rPr>
                <w:rFonts w:hint="eastAsia"/>
                <w:color w:val="0C0C0C"/>
                <w:sz w:val="21"/>
                <w:szCs w:val="21"/>
              </w:rPr>
              <w:t>拐点</w:t>
            </w:r>
            <w:r>
              <w:rPr>
                <w:rFonts w:hint="eastAsia"/>
                <w:color w:val="0C0C0C"/>
                <w:sz w:val="21"/>
                <w:szCs w:val="21"/>
              </w:rPr>
              <w:t>3</w:t>
            </w:r>
            <w:r>
              <w:rPr>
                <w:rFonts w:hint="eastAsia"/>
                <w:color w:val="0C0C0C"/>
                <w:sz w:val="21"/>
                <w:szCs w:val="21"/>
              </w:rPr>
              <w:t>：</w:t>
            </w:r>
            <w:r>
              <w:rPr>
                <w:rFonts w:hint="eastAsia"/>
                <w:color w:val="0C0C0C"/>
                <w:sz w:val="21"/>
                <w:szCs w:val="21"/>
              </w:rPr>
              <w:t>129.642970/44.900920</w:t>
            </w:r>
          </w:p>
          <w:p w14:paraId="074ADAF5" w14:textId="77777777" w:rsidR="009D12AF" w:rsidRDefault="00000000">
            <w:pPr>
              <w:widowControl/>
              <w:ind w:firstLineChars="0" w:firstLine="0"/>
              <w:jc w:val="center"/>
              <w:rPr>
                <w:sz w:val="21"/>
                <w:szCs w:val="21"/>
              </w:rPr>
            </w:pPr>
            <w:r>
              <w:rPr>
                <w:rFonts w:hint="eastAsia"/>
                <w:color w:val="0C0C0C"/>
                <w:sz w:val="21"/>
                <w:szCs w:val="21"/>
              </w:rPr>
              <w:t>拐点</w:t>
            </w:r>
            <w:r>
              <w:rPr>
                <w:rFonts w:hint="eastAsia"/>
                <w:color w:val="0C0C0C"/>
                <w:sz w:val="21"/>
                <w:szCs w:val="21"/>
              </w:rPr>
              <w:t>4</w:t>
            </w:r>
            <w:r>
              <w:rPr>
                <w:rFonts w:hint="eastAsia"/>
                <w:color w:val="0C0C0C"/>
                <w:sz w:val="21"/>
                <w:szCs w:val="21"/>
              </w:rPr>
              <w:t>：</w:t>
            </w:r>
            <w:r>
              <w:rPr>
                <w:rFonts w:hint="eastAsia"/>
                <w:color w:val="0C0C0C"/>
                <w:sz w:val="21"/>
                <w:szCs w:val="21"/>
              </w:rPr>
              <w:t>129.646360/44.899410</w:t>
            </w:r>
          </w:p>
        </w:tc>
        <w:tc>
          <w:tcPr>
            <w:tcW w:w="1919" w:type="dxa"/>
            <w:tcBorders>
              <w:tl2br w:val="nil"/>
              <w:tr2bl w:val="nil"/>
            </w:tcBorders>
            <w:vAlign w:val="center"/>
          </w:tcPr>
          <w:p w14:paraId="5DBE9FED" w14:textId="77777777" w:rsidR="009D12AF" w:rsidRDefault="00000000">
            <w:pPr>
              <w:widowControl/>
              <w:ind w:firstLineChars="0" w:firstLine="0"/>
              <w:jc w:val="center"/>
              <w:rPr>
                <w:sz w:val="21"/>
                <w:szCs w:val="21"/>
              </w:rPr>
            </w:pPr>
            <w:r>
              <w:rPr>
                <w:rFonts w:hint="eastAsia"/>
                <w:sz w:val="21"/>
                <w:szCs w:val="21"/>
              </w:rPr>
              <w:t>57.00</w:t>
            </w:r>
          </w:p>
        </w:tc>
      </w:tr>
      <w:tr w:rsidR="009D12AF" w14:paraId="5B4CCA05" w14:textId="77777777">
        <w:tc>
          <w:tcPr>
            <w:tcW w:w="961" w:type="dxa"/>
            <w:tcBorders>
              <w:tl2br w:val="nil"/>
              <w:tr2bl w:val="nil"/>
            </w:tcBorders>
            <w:vAlign w:val="center"/>
          </w:tcPr>
          <w:p w14:paraId="21703F6C" w14:textId="77777777" w:rsidR="009D12AF" w:rsidRDefault="00000000">
            <w:pPr>
              <w:ind w:firstLineChars="0" w:firstLine="0"/>
              <w:jc w:val="center"/>
              <w:rPr>
                <w:sz w:val="21"/>
                <w:szCs w:val="21"/>
              </w:rPr>
            </w:pPr>
            <w:r>
              <w:rPr>
                <w:rFonts w:hint="eastAsia"/>
                <w:sz w:val="21"/>
                <w:szCs w:val="21"/>
              </w:rPr>
              <w:t>7</w:t>
            </w:r>
          </w:p>
        </w:tc>
        <w:tc>
          <w:tcPr>
            <w:tcW w:w="1363" w:type="dxa"/>
            <w:tcBorders>
              <w:tl2br w:val="nil"/>
              <w:tr2bl w:val="nil"/>
            </w:tcBorders>
            <w:vAlign w:val="center"/>
          </w:tcPr>
          <w:p w14:paraId="6A3DCB67" w14:textId="77777777" w:rsidR="009D12AF" w:rsidRDefault="00000000">
            <w:pPr>
              <w:ind w:firstLineChars="0" w:firstLine="0"/>
              <w:jc w:val="center"/>
              <w:rPr>
                <w:sz w:val="21"/>
                <w:szCs w:val="21"/>
              </w:rPr>
            </w:pPr>
            <w:r>
              <w:rPr>
                <w:rFonts w:hint="eastAsia"/>
                <w:sz w:val="21"/>
                <w:szCs w:val="21"/>
              </w:rPr>
              <w:t>万丈水库</w:t>
            </w:r>
          </w:p>
        </w:tc>
        <w:tc>
          <w:tcPr>
            <w:tcW w:w="4279" w:type="dxa"/>
            <w:tcBorders>
              <w:tl2br w:val="nil"/>
              <w:tr2bl w:val="nil"/>
            </w:tcBorders>
            <w:vAlign w:val="center"/>
          </w:tcPr>
          <w:p w14:paraId="5FB11EF5" w14:textId="77777777" w:rsidR="009D12AF" w:rsidRDefault="00000000">
            <w:pPr>
              <w:ind w:firstLineChars="0" w:firstLine="0"/>
              <w:jc w:val="center"/>
              <w:rPr>
                <w:sz w:val="21"/>
                <w:szCs w:val="21"/>
              </w:rPr>
            </w:pPr>
            <w:r>
              <w:rPr>
                <w:rFonts w:hint="eastAsia"/>
                <w:sz w:val="21"/>
                <w:szCs w:val="21"/>
              </w:rPr>
              <w:t>拐点</w:t>
            </w:r>
            <w:r>
              <w:rPr>
                <w:rFonts w:hint="eastAsia"/>
                <w:sz w:val="21"/>
                <w:szCs w:val="21"/>
              </w:rPr>
              <w:t>1:128.947996/44.355889</w:t>
            </w:r>
          </w:p>
          <w:p w14:paraId="28FD9677" w14:textId="77777777" w:rsidR="009D12AF" w:rsidRDefault="00000000">
            <w:pPr>
              <w:rPr>
                <w:sz w:val="21"/>
                <w:szCs w:val="21"/>
              </w:rPr>
            </w:pPr>
            <w:r>
              <w:rPr>
                <w:rFonts w:hint="eastAsia"/>
                <w:sz w:val="21"/>
                <w:szCs w:val="21"/>
              </w:rPr>
              <w:t>拐点</w:t>
            </w:r>
            <w:r>
              <w:rPr>
                <w:rFonts w:hint="eastAsia"/>
                <w:sz w:val="21"/>
                <w:szCs w:val="21"/>
              </w:rPr>
              <w:t>2:128.949605/44.355953</w:t>
            </w:r>
          </w:p>
          <w:p w14:paraId="23821791" w14:textId="77777777" w:rsidR="009D12AF" w:rsidRDefault="00000000">
            <w:pPr>
              <w:rPr>
                <w:sz w:val="21"/>
                <w:szCs w:val="21"/>
              </w:rPr>
            </w:pPr>
            <w:r>
              <w:rPr>
                <w:rFonts w:hint="eastAsia"/>
                <w:sz w:val="21"/>
                <w:szCs w:val="21"/>
              </w:rPr>
              <w:t>拐点</w:t>
            </w:r>
            <w:r>
              <w:rPr>
                <w:rFonts w:hint="eastAsia"/>
                <w:sz w:val="21"/>
                <w:szCs w:val="21"/>
              </w:rPr>
              <w:t>3:128.950764/44.356468</w:t>
            </w:r>
          </w:p>
          <w:p w14:paraId="50CEE254" w14:textId="77777777" w:rsidR="009D12AF" w:rsidRDefault="00000000">
            <w:pPr>
              <w:rPr>
                <w:sz w:val="21"/>
                <w:szCs w:val="21"/>
              </w:rPr>
            </w:pPr>
            <w:r>
              <w:rPr>
                <w:rFonts w:hint="eastAsia"/>
                <w:sz w:val="21"/>
                <w:szCs w:val="21"/>
              </w:rPr>
              <w:t>拐点</w:t>
            </w:r>
            <w:r>
              <w:rPr>
                <w:rFonts w:hint="eastAsia"/>
                <w:sz w:val="21"/>
                <w:szCs w:val="21"/>
              </w:rPr>
              <w:t>4:128.955806/44.356318</w:t>
            </w:r>
          </w:p>
          <w:p w14:paraId="2BCD8363" w14:textId="77777777" w:rsidR="009D12AF" w:rsidRDefault="00000000">
            <w:pPr>
              <w:rPr>
                <w:sz w:val="21"/>
                <w:szCs w:val="21"/>
              </w:rPr>
            </w:pPr>
            <w:r>
              <w:rPr>
                <w:rFonts w:hint="eastAsia"/>
                <w:sz w:val="21"/>
                <w:szCs w:val="21"/>
              </w:rPr>
              <w:t>拐点</w:t>
            </w:r>
            <w:r>
              <w:rPr>
                <w:rFonts w:hint="eastAsia"/>
                <w:sz w:val="21"/>
                <w:szCs w:val="21"/>
              </w:rPr>
              <w:t>5:128.956986/44.355803</w:t>
            </w:r>
          </w:p>
          <w:p w14:paraId="063642C3" w14:textId="77777777" w:rsidR="009D12AF" w:rsidRDefault="00000000">
            <w:pPr>
              <w:rPr>
                <w:sz w:val="21"/>
                <w:szCs w:val="21"/>
              </w:rPr>
            </w:pPr>
            <w:r>
              <w:rPr>
                <w:rFonts w:hint="eastAsia"/>
                <w:sz w:val="21"/>
                <w:szCs w:val="21"/>
              </w:rPr>
              <w:t>拐点</w:t>
            </w:r>
            <w:r>
              <w:rPr>
                <w:rFonts w:hint="eastAsia"/>
                <w:sz w:val="21"/>
                <w:szCs w:val="21"/>
              </w:rPr>
              <w:t>6:128.958403/44.355803</w:t>
            </w:r>
          </w:p>
          <w:p w14:paraId="6AABE57D" w14:textId="77777777" w:rsidR="009D12AF" w:rsidRDefault="00000000">
            <w:pPr>
              <w:rPr>
                <w:sz w:val="21"/>
                <w:szCs w:val="21"/>
              </w:rPr>
            </w:pPr>
            <w:r>
              <w:rPr>
                <w:rFonts w:hint="eastAsia"/>
                <w:sz w:val="21"/>
                <w:szCs w:val="21"/>
              </w:rPr>
              <w:t>拐点</w:t>
            </w:r>
            <w:r>
              <w:rPr>
                <w:rFonts w:hint="eastAsia"/>
                <w:sz w:val="21"/>
                <w:szCs w:val="21"/>
              </w:rPr>
              <w:t>7:128.958746/44.359966</w:t>
            </w:r>
          </w:p>
          <w:p w14:paraId="5F8FE485" w14:textId="77777777" w:rsidR="009D12AF" w:rsidRDefault="00000000">
            <w:pPr>
              <w:rPr>
                <w:sz w:val="21"/>
                <w:szCs w:val="21"/>
              </w:rPr>
            </w:pPr>
            <w:r>
              <w:rPr>
                <w:rFonts w:hint="eastAsia"/>
                <w:sz w:val="21"/>
                <w:szCs w:val="21"/>
              </w:rPr>
              <w:t>拐点</w:t>
            </w:r>
            <w:r>
              <w:rPr>
                <w:rFonts w:hint="eastAsia"/>
                <w:sz w:val="21"/>
                <w:szCs w:val="21"/>
              </w:rPr>
              <w:t>8:128.952051/44.359859</w:t>
            </w:r>
          </w:p>
          <w:p w14:paraId="2E3EA2AD" w14:textId="77777777" w:rsidR="009D12AF" w:rsidRDefault="00000000">
            <w:pPr>
              <w:rPr>
                <w:sz w:val="21"/>
                <w:szCs w:val="21"/>
              </w:rPr>
            </w:pPr>
            <w:r>
              <w:rPr>
                <w:rFonts w:hint="eastAsia"/>
                <w:sz w:val="21"/>
                <w:szCs w:val="21"/>
              </w:rPr>
              <w:t>拐点</w:t>
            </w:r>
            <w:r>
              <w:rPr>
                <w:rFonts w:hint="eastAsia"/>
                <w:sz w:val="21"/>
                <w:szCs w:val="21"/>
              </w:rPr>
              <w:t>9:128.950914/44.359022</w:t>
            </w:r>
          </w:p>
          <w:p w14:paraId="33F390F4" w14:textId="77777777" w:rsidR="009D12AF" w:rsidRDefault="00000000">
            <w:pPr>
              <w:rPr>
                <w:sz w:val="21"/>
                <w:szCs w:val="21"/>
              </w:rPr>
            </w:pPr>
            <w:r>
              <w:rPr>
                <w:rFonts w:hint="eastAsia"/>
                <w:sz w:val="21"/>
                <w:szCs w:val="21"/>
              </w:rPr>
              <w:t>拐点</w:t>
            </w:r>
            <w:r>
              <w:rPr>
                <w:rFonts w:hint="eastAsia"/>
                <w:sz w:val="21"/>
                <w:szCs w:val="21"/>
              </w:rPr>
              <w:t>10:128.948639/44.358271</w:t>
            </w:r>
          </w:p>
        </w:tc>
        <w:tc>
          <w:tcPr>
            <w:tcW w:w="1919" w:type="dxa"/>
            <w:tcBorders>
              <w:tl2br w:val="nil"/>
              <w:tr2bl w:val="nil"/>
            </w:tcBorders>
            <w:vAlign w:val="center"/>
          </w:tcPr>
          <w:p w14:paraId="220CACC5" w14:textId="77777777" w:rsidR="009D12AF" w:rsidRDefault="00000000">
            <w:pPr>
              <w:ind w:firstLineChars="0" w:firstLine="0"/>
              <w:jc w:val="center"/>
              <w:rPr>
                <w:sz w:val="21"/>
                <w:szCs w:val="21"/>
              </w:rPr>
            </w:pPr>
            <w:r>
              <w:rPr>
                <w:rFonts w:hint="eastAsia"/>
                <w:sz w:val="21"/>
                <w:szCs w:val="21"/>
              </w:rPr>
              <w:t>75</w:t>
            </w:r>
          </w:p>
        </w:tc>
      </w:tr>
      <w:tr w:rsidR="009D12AF" w14:paraId="641BC416" w14:textId="77777777">
        <w:tc>
          <w:tcPr>
            <w:tcW w:w="961" w:type="dxa"/>
            <w:tcBorders>
              <w:tl2br w:val="nil"/>
              <w:tr2bl w:val="nil"/>
            </w:tcBorders>
            <w:vAlign w:val="center"/>
          </w:tcPr>
          <w:p w14:paraId="2BEF1475" w14:textId="77777777" w:rsidR="009D12AF" w:rsidRDefault="00000000">
            <w:pPr>
              <w:ind w:firstLineChars="0" w:firstLine="0"/>
              <w:jc w:val="center"/>
              <w:rPr>
                <w:sz w:val="21"/>
                <w:szCs w:val="21"/>
              </w:rPr>
            </w:pPr>
            <w:r>
              <w:rPr>
                <w:rFonts w:hint="eastAsia"/>
                <w:sz w:val="21"/>
                <w:szCs w:val="21"/>
              </w:rPr>
              <w:lastRenderedPageBreak/>
              <w:t>8</w:t>
            </w:r>
          </w:p>
        </w:tc>
        <w:tc>
          <w:tcPr>
            <w:tcW w:w="1363" w:type="dxa"/>
            <w:tcBorders>
              <w:tl2br w:val="nil"/>
              <w:tr2bl w:val="nil"/>
            </w:tcBorders>
            <w:vAlign w:val="center"/>
          </w:tcPr>
          <w:p w14:paraId="0DF0A2E6" w14:textId="77777777" w:rsidR="009D12AF" w:rsidRDefault="00000000">
            <w:pPr>
              <w:ind w:firstLineChars="0" w:firstLine="0"/>
              <w:jc w:val="center"/>
              <w:rPr>
                <w:sz w:val="21"/>
                <w:szCs w:val="21"/>
              </w:rPr>
            </w:pPr>
            <w:r>
              <w:rPr>
                <w:rFonts w:hint="eastAsia"/>
                <w:sz w:val="21"/>
                <w:szCs w:val="21"/>
              </w:rPr>
              <w:t>长石水库</w:t>
            </w:r>
          </w:p>
        </w:tc>
        <w:tc>
          <w:tcPr>
            <w:tcW w:w="4279" w:type="dxa"/>
            <w:tcBorders>
              <w:tl2br w:val="nil"/>
              <w:tr2bl w:val="nil"/>
            </w:tcBorders>
            <w:vAlign w:val="center"/>
          </w:tcPr>
          <w:p w14:paraId="63A61596" w14:textId="77777777" w:rsidR="009D12AF" w:rsidRDefault="00000000">
            <w:pPr>
              <w:ind w:firstLineChars="0" w:firstLine="0"/>
              <w:jc w:val="center"/>
              <w:rPr>
                <w:sz w:val="21"/>
                <w:szCs w:val="21"/>
              </w:rPr>
            </w:pPr>
            <w:r>
              <w:rPr>
                <w:rFonts w:hint="eastAsia"/>
                <w:sz w:val="21"/>
                <w:szCs w:val="21"/>
              </w:rPr>
              <w:t>拐点</w:t>
            </w:r>
            <w:r>
              <w:rPr>
                <w:rFonts w:hint="eastAsia"/>
                <w:sz w:val="21"/>
                <w:szCs w:val="21"/>
              </w:rPr>
              <w:t>1:129.625749/44.719049</w:t>
            </w:r>
          </w:p>
          <w:p w14:paraId="759718FE" w14:textId="77777777" w:rsidR="009D12AF" w:rsidRDefault="00000000">
            <w:pPr>
              <w:rPr>
                <w:sz w:val="21"/>
                <w:szCs w:val="21"/>
              </w:rPr>
            </w:pPr>
            <w:r>
              <w:rPr>
                <w:rFonts w:hint="eastAsia"/>
                <w:sz w:val="21"/>
                <w:szCs w:val="21"/>
              </w:rPr>
              <w:t>拐点</w:t>
            </w:r>
            <w:r>
              <w:rPr>
                <w:rFonts w:hint="eastAsia"/>
                <w:sz w:val="21"/>
                <w:szCs w:val="21"/>
              </w:rPr>
              <w:t>2:129.626623/44.720481</w:t>
            </w:r>
          </w:p>
          <w:p w14:paraId="40A6D1FE" w14:textId="77777777" w:rsidR="009D12AF" w:rsidRDefault="00000000">
            <w:pPr>
              <w:rPr>
                <w:sz w:val="21"/>
                <w:szCs w:val="21"/>
              </w:rPr>
            </w:pPr>
            <w:r>
              <w:rPr>
                <w:rFonts w:hint="eastAsia"/>
                <w:sz w:val="21"/>
                <w:szCs w:val="21"/>
              </w:rPr>
              <w:t>拐点</w:t>
            </w:r>
            <w:r>
              <w:rPr>
                <w:rFonts w:hint="eastAsia"/>
                <w:sz w:val="21"/>
                <w:szCs w:val="21"/>
              </w:rPr>
              <w:t>3:129.622337/44.721052</w:t>
            </w:r>
          </w:p>
          <w:p w14:paraId="5AD2D1B7" w14:textId="77777777" w:rsidR="009D12AF" w:rsidRDefault="00000000">
            <w:pPr>
              <w:rPr>
                <w:sz w:val="21"/>
                <w:szCs w:val="21"/>
              </w:rPr>
            </w:pPr>
            <w:r>
              <w:rPr>
                <w:rFonts w:hint="eastAsia"/>
                <w:sz w:val="21"/>
                <w:szCs w:val="21"/>
              </w:rPr>
              <w:t>拐点</w:t>
            </w:r>
            <w:r>
              <w:rPr>
                <w:rFonts w:hint="eastAsia"/>
                <w:sz w:val="21"/>
                <w:szCs w:val="21"/>
              </w:rPr>
              <w:t>4:129.617930/44.719481</w:t>
            </w:r>
          </w:p>
          <w:p w14:paraId="64C44E84" w14:textId="77777777" w:rsidR="009D12AF" w:rsidRDefault="00000000">
            <w:pPr>
              <w:rPr>
                <w:sz w:val="21"/>
                <w:szCs w:val="21"/>
              </w:rPr>
            </w:pPr>
            <w:r>
              <w:rPr>
                <w:rFonts w:hint="eastAsia"/>
                <w:sz w:val="21"/>
                <w:szCs w:val="21"/>
              </w:rPr>
              <w:t>拐点</w:t>
            </w:r>
            <w:r>
              <w:rPr>
                <w:rFonts w:hint="eastAsia"/>
                <w:sz w:val="21"/>
                <w:szCs w:val="21"/>
              </w:rPr>
              <w:t>5:129.617308/44.718949</w:t>
            </w:r>
          </w:p>
          <w:p w14:paraId="5A051384" w14:textId="77777777" w:rsidR="009D12AF" w:rsidRDefault="00000000">
            <w:pPr>
              <w:rPr>
                <w:sz w:val="21"/>
                <w:szCs w:val="21"/>
              </w:rPr>
            </w:pPr>
            <w:r>
              <w:rPr>
                <w:rFonts w:hint="eastAsia"/>
                <w:sz w:val="21"/>
                <w:szCs w:val="21"/>
              </w:rPr>
              <w:t>拐点</w:t>
            </w:r>
            <w:r>
              <w:rPr>
                <w:rFonts w:hint="eastAsia"/>
                <w:sz w:val="21"/>
                <w:szCs w:val="21"/>
              </w:rPr>
              <w:t>6:129.616085/44.718354</w:t>
            </w:r>
          </w:p>
          <w:p w14:paraId="0FCA8892" w14:textId="77777777" w:rsidR="009D12AF" w:rsidRDefault="00000000">
            <w:pPr>
              <w:rPr>
                <w:sz w:val="21"/>
                <w:szCs w:val="21"/>
              </w:rPr>
            </w:pPr>
            <w:r>
              <w:rPr>
                <w:rFonts w:hint="eastAsia"/>
                <w:sz w:val="21"/>
                <w:szCs w:val="21"/>
              </w:rPr>
              <w:t>拐点</w:t>
            </w:r>
            <w:r>
              <w:rPr>
                <w:rFonts w:hint="eastAsia"/>
                <w:sz w:val="21"/>
                <w:szCs w:val="21"/>
              </w:rPr>
              <w:t>7:129.614977/44.718346</w:t>
            </w:r>
          </w:p>
          <w:p w14:paraId="67E605CE" w14:textId="77777777" w:rsidR="009D12AF" w:rsidRDefault="00000000">
            <w:pPr>
              <w:rPr>
                <w:sz w:val="21"/>
                <w:szCs w:val="21"/>
              </w:rPr>
            </w:pPr>
            <w:r>
              <w:rPr>
                <w:rFonts w:hint="eastAsia"/>
                <w:sz w:val="21"/>
                <w:szCs w:val="21"/>
              </w:rPr>
              <w:t>拐点</w:t>
            </w:r>
            <w:r>
              <w:rPr>
                <w:rFonts w:hint="eastAsia"/>
                <w:sz w:val="21"/>
                <w:szCs w:val="21"/>
              </w:rPr>
              <w:t>8:129.613593/44.718679</w:t>
            </w:r>
          </w:p>
          <w:p w14:paraId="7E799596" w14:textId="77777777" w:rsidR="009D12AF" w:rsidRDefault="00000000">
            <w:pPr>
              <w:rPr>
                <w:sz w:val="21"/>
                <w:szCs w:val="21"/>
              </w:rPr>
            </w:pPr>
            <w:r>
              <w:rPr>
                <w:rFonts w:hint="eastAsia"/>
                <w:sz w:val="21"/>
                <w:szCs w:val="21"/>
              </w:rPr>
              <w:t>拐点</w:t>
            </w:r>
            <w:r>
              <w:rPr>
                <w:rFonts w:hint="eastAsia"/>
                <w:sz w:val="21"/>
                <w:szCs w:val="21"/>
              </w:rPr>
              <w:t>9:129.613411/44.718164</w:t>
            </w:r>
          </w:p>
          <w:p w14:paraId="196C8EF6" w14:textId="77777777" w:rsidR="009D12AF" w:rsidRDefault="00000000">
            <w:pPr>
              <w:rPr>
                <w:sz w:val="21"/>
                <w:szCs w:val="21"/>
              </w:rPr>
            </w:pPr>
            <w:r>
              <w:rPr>
                <w:rFonts w:hint="eastAsia"/>
                <w:sz w:val="21"/>
                <w:szCs w:val="21"/>
              </w:rPr>
              <w:t>拐点</w:t>
            </w:r>
            <w:r>
              <w:rPr>
                <w:rFonts w:hint="eastAsia"/>
                <w:sz w:val="21"/>
                <w:szCs w:val="21"/>
              </w:rPr>
              <w:t>10:129.615954/44.717380</w:t>
            </w:r>
          </w:p>
        </w:tc>
        <w:tc>
          <w:tcPr>
            <w:tcW w:w="1919" w:type="dxa"/>
            <w:tcBorders>
              <w:tl2br w:val="nil"/>
              <w:tr2bl w:val="nil"/>
            </w:tcBorders>
            <w:vAlign w:val="center"/>
          </w:tcPr>
          <w:p w14:paraId="74B52365" w14:textId="77777777" w:rsidR="009D12AF" w:rsidRDefault="00000000">
            <w:pPr>
              <w:ind w:firstLineChars="0" w:firstLine="0"/>
              <w:jc w:val="center"/>
              <w:rPr>
                <w:sz w:val="21"/>
                <w:szCs w:val="21"/>
              </w:rPr>
            </w:pPr>
            <w:r>
              <w:rPr>
                <w:rFonts w:hint="eastAsia"/>
                <w:sz w:val="21"/>
                <w:szCs w:val="21"/>
              </w:rPr>
              <w:t>20</w:t>
            </w:r>
          </w:p>
        </w:tc>
      </w:tr>
      <w:tr w:rsidR="009D12AF" w14:paraId="1914B79F" w14:textId="77777777">
        <w:tc>
          <w:tcPr>
            <w:tcW w:w="961" w:type="dxa"/>
            <w:tcBorders>
              <w:tl2br w:val="nil"/>
              <w:tr2bl w:val="nil"/>
            </w:tcBorders>
            <w:vAlign w:val="center"/>
          </w:tcPr>
          <w:p w14:paraId="183E7D80" w14:textId="77777777" w:rsidR="009D12AF" w:rsidRDefault="00000000">
            <w:pPr>
              <w:ind w:firstLineChars="0" w:firstLine="0"/>
              <w:jc w:val="center"/>
              <w:rPr>
                <w:sz w:val="21"/>
                <w:szCs w:val="21"/>
              </w:rPr>
            </w:pPr>
            <w:r>
              <w:rPr>
                <w:rFonts w:hint="eastAsia"/>
                <w:sz w:val="21"/>
                <w:szCs w:val="21"/>
              </w:rPr>
              <w:t>9</w:t>
            </w:r>
          </w:p>
        </w:tc>
        <w:tc>
          <w:tcPr>
            <w:tcW w:w="1363" w:type="dxa"/>
            <w:tcBorders>
              <w:tl2br w:val="nil"/>
              <w:tr2bl w:val="nil"/>
            </w:tcBorders>
            <w:vAlign w:val="center"/>
          </w:tcPr>
          <w:p w14:paraId="3061547E" w14:textId="77777777" w:rsidR="009D12AF" w:rsidRDefault="00000000">
            <w:pPr>
              <w:ind w:firstLineChars="0" w:firstLine="0"/>
              <w:jc w:val="center"/>
              <w:rPr>
                <w:sz w:val="21"/>
                <w:szCs w:val="21"/>
              </w:rPr>
            </w:pPr>
            <w:r>
              <w:rPr>
                <w:rFonts w:hint="eastAsia"/>
                <w:sz w:val="21"/>
                <w:szCs w:val="21"/>
              </w:rPr>
              <w:t>新安晒水池</w:t>
            </w:r>
          </w:p>
        </w:tc>
        <w:tc>
          <w:tcPr>
            <w:tcW w:w="4279" w:type="dxa"/>
            <w:tcBorders>
              <w:tl2br w:val="nil"/>
              <w:tr2bl w:val="nil"/>
            </w:tcBorders>
            <w:vAlign w:val="center"/>
          </w:tcPr>
          <w:p w14:paraId="20F33A12" w14:textId="77777777" w:rsidR="009D12AF" w:rsidRDefault="00000000">
            <w:pPr>
              <w:rPr>
                <w:sz w:val="21"/>
                <w:szCs w:val="21"/>
              </w:rPr>
            </w:pPr>
            <w:r>
              <w:rPr>
                <w:rFonts w:hint="eastAsia"/>
                <w:sz w:val="21"/>
                <w:szCs w:val="21"/>
              </w:rPr>
              <w:t>拐点</w:t>
            </w:r>
            <w:r>
              <w:rPr>
                <w:rFonts w:hint="eastAsia"/>
                <w:sz w:val="21"/>
                <w:szCs w:val="21"/>
              </w:rPr>
              <w:t>1:129.075760/44.408341</w:t>
            </w:r>
          </w:p>
          <w:p w14:paraId="2E078547" w14:textId="77777777" w:rsidR="009D12AF" w:rsidRDefault="00000000">
            <w:pPr>
              <w:rPr>
                <w:sz w:val="21"/>
                <w:szCs w:val="21"/>
              </w:rPr>
            </w:pPr>
            <w:r>
              <w:rPr>
                <w:rFonts w:hint="eastAsia"/>
                <w:sz w:val="21"/>
                <w:szCs w:val="21"/>
              </w:rPr>
              <w:t>拐点</w:t>
            </w:r>
            <w:r>
              <w:rPr>
                <w:rFonts w:hint="eastAsia"/>
                <w:sz w:val="21"/>
                <w:szCs w:val="21"/>
              </w:rPr>
              <w:t>2:129.076747/44.410337</w:t>
            </w:r>
          </w:p>
          <w:p w14:paraId="7190CC3B" w14:textId="77777777" w:rsidR="009D12AF" w:rsidRDefault="00000000">
            <w:pPr>
              <w:rPr>
                <w:sz w:val="21"/>
                <w:szCs w:val="21"/>
              </w:rPr>
            </w:pPr>
            <w:r>
              <w:rPr>
                <w:rFonts w:hint="eastAsia"/>
                <w:sz w:val="21"/>
                <w:szCs w:val="21"/>
              </w:rPr>
              <w:t>拐点</w:t>
            </w:r>
            <w:r>
              <w:rPr>
                <w:rFonts w:hint="eastAsia"/>
                <w:sz w:val="21"/>
                <w:szCs w:val="21"/>
              </w:rPr>
              <w:t>3:129.080073/44.410873</w:t>
            </w:r>
          </w:p>
          <w:p w14:paraId="5AF7F2A9" w14:textId="77777777" w:rsidR="009D12AF" w:rsidRDefault="00000000">
            <w:pPr>
              <w:rPr>
                <w:sz w:val="21"/>
                <w:szCs w:val="21"/>
              </w:rPr>
            </w:pPr>
            <w:r>
              <w:rPr>
                <w:rFonts w:hint="eastAsia"/>
                <w:sz w:val="21"/>
                <w:szCs w:val="21"/>
              </w:rPr>
              <w:t>拐点</w:t>
            </w:r>
            <w:r>
              <w:rPr>
                <w:rFonts w:hint="eastAsia"/>
                <w:sz w:val="21"/>
                <w:szCs w:val="21"/>
              </w:rPr>
              <w:t>4:129.080288/44.411689</w:t>
            </w:r>
          </w:p>
          <w:p w14:paraId="752527B7" w14:textId="77777777" w:rsidR="009D12AF" w:rsidRDefault="00000000">
            <w:pPr>
              <w:rPr>
                <w:sz w:val="21"/>
                <w:szCs w:val="21"/>
              </w:rPr>
            </w:pPr>
            <w:r>
              <w:rPr>
                <w:rFonts w:hint="eastAsia"/>
                <w:sz w:val="21"/>
                <w:szCs w:val="21"/>
              </w:rPr>
              <w:t>拐点</w:t>
            </w:r>
            <w:r>
              <w:rPr>
                <w:rFonts w:hint="eastAsia"/>
                <w:sz w:val="21"/>
                <w:szCs w:val="21"/>
              </w:rPr>
              <w:t>5:129.081811/44.413620</w:t>
            </w:r>
          </w:p>
          <w:p w14:paraId="2D718E05" w14:textId="77777777" w:rsidR="009D12AF" w:rsidRDefault="00000000">
            <w:pPr>
              <w:rPr>
                <w:sz w:val="21"/>
                <w:szCs w:val="21"/>
              </w:rPr>
            </w:pPr>
            <w:r>
              <w:rPr>
                <w:rFonts w:hint="eastAsia"/>
                <w:sz w:val="21"/>
                <w:szCs w:val="21"/>
              </w:rPr>
              <w:t>拐点</w:t>
            </w:r>
            <w:r>
              <w:rPr>
                <w:rFonts w:hint="eastAsia"/>
                <w:sz w:val="21"/>
                <w:szCs w:val="21"/>
              </w:rPr>
              <w:t>6:129.082798/44.413577</w:t>
            </w:r>
          </w:p>
          <w:p w14:paraId="78621713" w14:textId="77777777" w:rsidR="009D12AF" w:rsidRDefault="00000000">
            <w:pPr>
              <w:rPr>
                <w:sz w:val="21"/>
                <w:szCs w:val="21"/>
              </w:rPr>
            </w:pPr>
            <w:r>
              <w:rPr>
                <w:rFonts w:hint="eastAsia"/>
                <w:sz w:val="21"/>
                <w:szCs w:val="21"/>
              </w:rPr>
              <w:t>拐点</w:t>
            </w:r>
            <w:r>
              <w:rPr>
                <w:rFonts w:hint="eastAsia"/>
                <w:sz w:val="21"/>
                <w:szCs w:val="21"/>
              </w:rPr>
              <w:t>7:129.085910/44.408213</w:t>
            </w:r>
          </w:p>
          <w:p w14:paraId="661C3C1F" w14:textId="77777777" w:rsidR="009D12AF" w:rsidRDefault="00000000">
            <w:pPr>
              <w:rPr>
                <w:sz w:val="21"/>
                <w:szCs w:val="21"/>
              </w:rPr>
            </w:pPr>
            <w:r>
              <w:rPr>
                <w:rFonts w:hint="eastAsia"/>
                <w:sz w:val="21"/>
                <w:szCs w:val="21"/>
              </w:rPr>
              <w:t>拐点</w:t>
            </w:r>
            <w:r>
              <w:rPr>
                <w:rFonts w:hint="eastAsia"/>
                <w:sz w:val="21"/>
                <w:szCs w:val="21"/>
              </w:rPr>
              <w:t>8:129.083034/44.406475</w:t>
            </w:r>
          </w:p>
          <w:p w14:paraId="643B53CA" w14:textId="77777777" w:rsidR="009D12AF" w:rsidRDefault="00000000">
            <w:pPr>
              <w:rPr>
                <w:sz w:val="21"/>
                <w:szCs w:val="21"/>
              </w:rPr>
            </w:pPr>
            <w:r>
              <w:rPr>
                <w:rFonts w:hint="eastAsia"/>
                <w:sz w:val="21"/>
                <w:szCs w:val="21"/>
              </w:rPr>
              <w:t>拐点</w:t>
            </w:r>
            <w:r>
              <w:rPr>
                <w:rFonts w:hint="eastAsia"/>
                <w:sz w:val="21"/>
                <w:szCs w:val="21"/>
              </w:rPr>
              <w:t>9:128.081811/44.406947</w:t>
            </w:r>
          </w:p>
          <w:p w14:paraId="530A671D" w14:textId="77777777" w:rsidR="009D12AF" w:rsidRDefault="00000000">
            <w:pPr>
              <w:rPr>
                <w:sz w:val="21"/>
                <w:szCs w:val="21"/>
              </w:rPr>
            </w:pPr>
            <w:r>
              <w:rPr>
                <w:rFonts w:hint="eastAsia"/>
                <w:sz w:val="21"/>
                <w:szCs w:val="21"/>
              </w:rPr>
              <w:t>拐点</w:t>
            </w:r>
            <w:r>
              <w:rPr>
                <w:rFonts w:hint="eastAsia"/>
                <w:sz w:val="21"/>
                <w:szCs w:val="21"/>
              </w:rPr>
              <w:t>10:129.081634/44.407116</w:t>
            </w:r>
          </w:p>
          <w:p w14:paraId="5122B19B" w14:textId="77777777" w:rsidR="009D12AF" w:rsidRDefault="00000000">
            <w:pPr>
              <w:rPr>
                <w:sz w:val="21"/>
                <w:szCs w:val="21"/>
              </w:rPr>
            </w:pPr>
            <w:r>
              <w:rPr>
                <w:rFonts w:hint="eastAsia"/>
                <w:sz w:val="21"/>
                <w:szCs w:val="21"/>
              </w:rPr>
              <w:t>拐点</w:t>
            </w:r>
            <w:r>
              <w:rPr>
                <w:rFonts w:hint="eastAsia"/>
                <w:sz w:val="21"/>
                <w:szCs w:val="21"/>
              </w:rPr>
              <w:t>11:129.081296/44.407156</w:t>
            </w:r>
          </w:p>
          <w:p w14:paraId="3B045AA1" w14:textId="77777777" w:rsidR="009D12AF" w:rsidRDefault="00000000">
            <w:pPr>
              <w:rPr>
                <w:sz w:val="21"/>
                <w:szCs w:val="21"/>
              </w:rPr>
            </w:pPr>
            <w:r>
              <w:rPr>
                <w:rFonts w:hint="eastAsia"/>
                <w:sz w:val="21"/>
                <w:szCs w:val="21"/>
              </w:rPr>
              <w:t>拐点</w:t>
            </w:r>
            <w:r>
              <w:rPr>
                <w:rFonts w:hint="eastAsia"/>
                <w:sz w:val="21"/>
                <w:szCs w:val="21"/>
              </w:rPr>
              <w:t>12:129.081200/44.407097</w:t>
            </w:r>
          </w:p>
          <w:p w14:paraId="3115ABBB" w14:textId="77777777" w:rsidR="009D12AF" w:rsidRDefault="00000000">
            <w:pPr>
              <w:rPr>
                <w:sz w:val="21"/>
                <w:szCs w:val="21"/>
              </w:rPr>
            </w:pPr>
            <w:r>
              <w:rPr>
                <w:rFonts w:hint="eastAsia"/>
                <w:sz w:val="21"/>
                <w:szCs w:val="21"/>
              </w:rPr>
              <w:t>拐点</w:t>
            </w:r>
            <w:r>
              <w:rPr>
                <w:rFonts w:hint="eastAsia"/>
                <w:sz w:val="21"/>
                <w:szCs w:val="21"/>
              </w:rPr>
              <w:t>13:129.077809/44.407049</w:t>
            </w:r>
          </w:p>
          <w:p w14:paraId="2769E539" w14:textId="77777777" w:rsidR="009D12AF" w:rsidRDefault="00000000">
            <w:pPr>
              <w:rPr>
                <w:sz w:val="21"/>
                <w:szCs w:val="21"/>
              </w:rPr>
            </w:pPr>
            <w:r>
              <w:rPr>
                <w:rFonts w:hint="eastAsia"/>
                <w:sz w:val="21"/>
                <w:szCs w:val="21"/>
              </w:rPr>
              <w:t>拐点</w:t>
            </w:r>
            <w:r>
              <w:rPr>
                <w:rFonts w:hint="eastAsia"/>
                <w:sz w:val="21"/>
                <w:szCs w:val="21"/>
              </w:rPr>
              <w:t>14:129.075701/44.408320</w:t>
            </w:r>
          </w:p>
        </w:tc>
        <w:tc>
          <w:tcPr>
            <w:tcW w:w="1919" w:type="dxa"/>
            <w:tcBorders>
              <w:tl2br w:val="nil"/>
              <w:tr2bl w:val="nil"/>
            </w:tcBorders>
            <w:vAlign w:val="center"/>
          </w:tcPr>
          <w:p w14:paraId="248B8FB4" w14:textId="77777777" w:rsidR="009D12AF" w:rsidRDefault="00000000">
            <w:pPr>
              <w:ind w:firstLineChars="0" w:firstLine="0"/>
              <w:jc w:val="center"/>
              <w:rPr>
                <w:sz w:val="21"/>
                <w:szCs w:val="21"/>
              </w:rPr>
            </w:pPr>
            <w:r>
              <w:rPr>
                <w:rFonts w:hint="eastAsia"/>
                <w:sz w:val="21"/>
                <w:szCs w:val="21"/>
              </w:rPr>
              <w:t>24</w:t>
            </w:r>
          </w:p>
        </w:tc>
      </w:tr>
      <w:tr w:rsidR="009D12AF" w14:paraId="264D8D82" w14:textId="77777777">
        <w:tc>
          <w:tcPr>
            <w:tcW w:w="961" w:type="dxa"/>
            <w:tcBorders>
              <w:tl2br w:val="nil"/>
              <w:tr2bl w:val="nil"/>
            </w:tcBorders>
            <w:vAlign w:val="center"/>
          </w:tcPr>
          <w:p w14:paraId="4AD51053" w14:textId="77777777" w:rsidR="009D12AF" w:rsidRDefault="00000000">
            <w:pPr>
              <w:ind w:firstLineChars="0" w:firstLine="0"/>
              <w:jc w:val="center"/>
              <w:rPr>
                <w:sz w:val="21"/>
                <w:szCs w:val="21"/>
              </w:rPr>
            </w:pPr>
            <w:r>
              <w:rPr>
                <w:rFonts w:hint="eastAsia"/>
                <w:sz w:val="21"/>
                <w:szCs w:val="21"/>
              </w:rPr>
              <w:t>10</w:t>
            </w:r>
          </w:p>
        </w:tc>
        <w:tc>
          <w:tcPr>
            <w:tcW w:w="1363" w:type="dxa"/>
            <w:tcBorders>
              <w:tl2br w:val="nil"/>
              <w:tr2bl w:val="nil"/>
            </w:tcBorders>
            <w:vAlign w:val="center"/>
          </w:tcPr>
          <w:p w14:paraId="6AE01784" w14:textId="77777777" w:rsidR="009D12AF" w:rsidRDefault="00000000">
            <w:pPr>
              <w:ind w:firstLineChars="0" w:firstLine="0"/>
              <w:jc w:val="center"/>
              <w:rPr>
                <w:sz w:val="21"/>
                <w:szCs w:val="21"/>
              </w:rPr>
            </w:pPr>
            <w:r>
              <w:rPr>
                <w:rFonts w:hint="eastAsia"/>
                <w:sz w:val="21"/>
                <w:szCs w:val="21"/>
              </w:rPr>
              <w:t>向阳水电站前池</w:t>
            </w:r>
          </w:p>
        </w:tc>
        <w:tc>
          <w:tcPr>
            <w:tcW w:w="4279" w:type="dxa"/>
            <w:tcBorders>
              <w:tl2br w:val="nil"/>
              <w:tr2bl w:val="nil"/>
            </w:tcBorders>
            <w:vAlign w:val="center"/>
          </w:tcPr>
          <w:p w14:paraId="31F31B37" w14:textId="77777777" w:rsidR="009D12AF" w:rsidRDefault="00000000">
            <w:pPr>
              <w:rPr>
                <w:sz w:val="21"/>
                <w:szCs w:val="21"/>
              </w:rPr>
            </w:pPr>
            <w:r>
              <w:rPr>
                <w:rFonts w:hint="eastAsia"/>
                <w:sz w:val="21"/>
                <w:szCs w:val="21"/>
              </w:rPr>
              <w:t>拐点</w:t>
            </w:r>
            <w:r>
              <w:rPr>
                <w:rFonts w:hint="eastAsia"/>
                <w:sz w:val="21"/>
                <w:szCs w:val="21"/>
              </w:rPr>
              <w:t>1:129.284650/44.560664</w:t>
            </w:r>
          </w:p>
          <w:p w14:paraId="5667D4FC" w14:textId="77777777" w:rsidR="009D12AF" w:rsidRDefault="00000000">
            <w:pPr>
              <w:rPr>
                <w:sz w:val="21"/>
                <w:szCs w:val="21"/>
              </w:rPr>
            </w:pPr>
            <w:r>
              <w:rPr>
                <w:rFonts w:hint="eastAsia"/>
                <w:sz w:val="21"/>
                <w:szCs w:val="21"/>
              </w:rPr>
              <w:t>拐点</w:t>
            </w:r>
            <w:r>
              <w:rPr>
                <w:rFonts w:hint="eastAsia"/>
                <w:sz w:val="21"/>
                <w:szCs w:val="21"/>
              </w:rPr>
              <w:t>2:129.287654/44.561609</w:t>
            </w:r>
          </w:p>
          <w:p w14:paraId="6862B6BD" w14:textId="77777777" w:rsidR="009D12AF" w:rsidRDefault="00000000">
            <w:pPr>
              <w:rPr>
                <w:sz w:val="21"/>
                <w:szCs w:val="21"/>
              </w:rPr>
            </w:pPr>
            <w:r>
              <w:rPr>
                <w:rFonts w:hint="eastAsia"/>
                <w:sz w:val="21"/>
                <w:szCs w:val="21"/>
              </w:rPr>
              <w:t>拐点</w:t>
            </w:r>
            <w:r>
              <w:rPr>
                <w:rFonts w:hint="eastAsia"/>
                <w:sz w:val="21"/>
                <w:szCs w:val="21"/>
              </w:rPr>
              <w:t>3:129.288963/44.562381</w:t>
            </w:r>
          </w:p>
          <w:p w14:paraId="2E095FC8" w14:textId="77777777" w:rsidR="009D12AF" w:rsidRDefault="00000000">
            <w:pPr>
              <w:rPr>
                <w:sz w:val="21"/>
                <w:szCs w:val="21"/>
              </w:rPr>
            </w:pPr>
            <w:r>
              <w:rPr>
                <w:rFonts w:hint="eastAsia"/>
                <w:sz w:val="21"/>
                <w:szCs w:val="21"/>
              </w:rPr>
              <w:t>拐点</w:t>
            </w:r>
            <w:r>
              <w:rPr>
                <w:rFonts w:hint="eastAsia"/>
                <w:sz w:val="21"/>
                <w:szCs w:val="21"/>
              </w:rPr>
              <w:t>4:129.291570/44.564645</w:t>
            </w:r>
          </w:p>
          <w:p w14:paraId="38AC3D72" w14:textId="77777777" w:rsidR="009D12AF" w:rsidRDefault="00000000">
            <w:pPr>
              <w:rPr>
                <w:sz w:val="21"/>
                <w:szCs w:val="21"/>
              </w:rPr>
            </w:pPr>
            <w:r>
              <w:rPr>
                <w:rFonts w:hint="eastAsia"/>
                <w:sz w:val="21"/>
                <w:szCs w:val="21"/>
              </w:rPr>
              <w:lastRenderedPageBreak/>
              <w:t>拐点</w:t>
            </w:r>
            <w:r>
              <w:rPr>
                <w:rFonts w:hint="eastAsia"/>
                <w:sz w:val="21"/>
                <w:szCs w:val="21"/>
              </w:rPr>
              <w:t>5:129.291216/44.564902</w:t>
            </w:r>
          </w:p>
          <w:p w14:paraId="42BE0453" w14:textId="77777777" w:rsidR="009D12AF" w:rsidRDefault="00000000">
            <w:pPr>
              <w:rPr>
                <w:sz w:val="21"/>
                <w:szCs w:val="21"/>
              </w:rPr>
            </w:pPr>
            <w:r>
              <w:rPr>
                <w:rFonts w:hint="eastAsia"/>
                <w:sz w:val="21"/>
                <w:szCs w:val="21"/>
              </w:rPr>
              <w:t>拐点</w:t>
            </w:r>
            <w:r>
              <w:rPr>
                <w:rFonts w:hint="eastAsia"/>
                <w:sz w:val="21"/>
                <w:szCs w:val="21"/>
              </w:rPr>
              <w:t>6:129.290497/44.565095</w:t>
            </w:r>
          </w:p>
          <w:p w14:paraId="0EB8A9B0" w14:textId="77777777" w:rsidR="009D12AF" w:rsidRDefault="00000000">
            <w:pPr>
              <w:rPr>
                <w:sz w:val="21"/>
                <w:szCs w:val="21"/>
              </w:rPr>
            </w:pPr>
            <w:r>
              <w:rPr>
                <w:rFonts w:hint="eastAsia"/>
                <w:sz w:val="21"/>
                <w:szCs w:val="21"/>
              </w:rPr>
              <w:t>拐点</w:t>
            </w:r>
            <w:r>
              <w:rPr>
                <w:rFonts w:hint="eastAsia"/>
                <w:sz w:val="21"/>
                <w:szCs w:val="21"/>
              </w:rPr>
              <w:t>7:129.287944/44.565031</w:t>
            </w:r>
          </w:p>
          <w:p w14:paraId="5D528DFE" w14:textId="77777777" w:rsidR="009D12AF" w:rsidRDefault="00000000">
            <w:pPr>
              <w:rPr>
                <w:sz w:val="21"/>
                <w:szCs w:val="21"/>
              </w:rPr>
            </w:pPr>
            <w:r>
              <w:rPr>
                <w:rFonts w:hint="eastAsia"/>
                <w:sz w:val="21"/>
                <w:szCs w:val="21"/>
              </w:rPr>
              <w:t>拐点</w:t>
            </w:r>
            <w:r>
              <w:rPr>
                <w:rFonts w:hint="eastAsia"/>
                <w:sz w:val="21"/>
                <w:szCs w:val="21"/>
              </w:rPr>
              <w:t>8:129.284489/44.564065</w:t>
            </w:r>
          </w:p>
          <w:p w14:paraId="431E26EF" w14:textId="77777777" w:rsidR="009D12AF" w:rsidRDefault="00000000">
            <w:pPr>
              <w:rPr>
                <w:sz w:val="21"/>
                <w:szCs w:val="21"/>
              </w:rPr>
            </w:pPr>
            <w:r>
              <w:rPr>
                <w:rFonts w:hint="eastAsia"/>
                <w:sz w:val="21"/>
                <w:szCs w:val="21"/>
              </w:rPr>
              <w:t>拐点</w:t>
            </w:r>
            <w:r>
              <w:rPr>
                <w:rFonts w:hint="eastAsia"/>
                <w:sz w:val="21"/>
                <w:szCs w:val="21"/>
              </w:rPr>
              <w:t>9:129.283599/44.563121</w:t>
            </w:r>
          </w:p>
          <w:p w14:paraId="76C87A9C" w14:textId="77777777" w:rsidR="009D12AF" w:rsidRDefault="00000000">
            <w:pPr>
              <w:rPr>
                <w:sz w:val="21"/>
                <w:szCs w:val="21"/>
              </w:rPr>
            </w:pPr>
            <w:r>
              <w:rPr>
                <w:rFonts w:hint="eastAsia"/>
                <w:sz w:val="21"/>
                <w:szCs w:val="21"/>
              </w:rPr>
              <w:t>拐点</w:t>
            </w:r>
            <w:r>
              <w:rPr>
                <w:rFonts w:hint="eastAsia"/>
                <w:sz w:val="21"/>
                <w:szCs w:val="21"/>
              </w:rPr>
              <w:t>10:129.283727/44.562252</w:t>
            </w:r>
          </w:p>
        </w:tc>
        <w:tc>
          <w:tcPr>
            <w:tcW w:w="1919" w:type="dxa"/>
            <w:tcBorders>
              <w:tl2br w:val="nil"/>
              <w:tr2bl w:val="nil"/>
            </w:tcBorders>
            <w:vAlign w:val="center"/>
          </w:tcPr>
          <w:p w14:paraId="0414A012" w14:textId="77777777" w:rsidR="009D12AF" w:rsidRDefault="00000000">
            <w:pPr>
              <w:ind w:firstLineChars="0" w:firstLine="0"/>
              <w:jc w:val="center"/>
              <w:rPr>
                <w:sz w:val="21"/>
                <w:szCs w:val="21"/>
              </w:rPr>
            </w:pPr>
            <w:r>
              <w:rPr>
                <w:rFonts w:hint="eastAsia"/>
                <w:sz w:val="21"/>
                <w:szCs w:val="21"/>
              </w:rPr>
              <w:lastRenderedPageBreak/>
              <w:t>36</w:t>
            </w:r>
          </w:p>
        </w:tc>
      </w:tr>
    </w:tbl>
    <w:p w14:paraId="083A8C32" w14:textId="77777777" w:rsidR="009D12AF" w:rsidRDefault="00000000">
      <w:pPr>
        <w:ind w:firstLineChars="0" w:firstLine="0"/>
        <w:jc w:val="center"/>
        <w:rPr>
          <w:b/>
          <w:bCs/>
          <w:highlight w:val="yellow"/>
        </w:rPr>
      </w:pPr>
      <w:r>
        <w:rPr>
          <w:b/>
          <w:bCs/>
        </w:rPr>
        <w:t>表</w:t>
      </w:r>
      <w:r>
        <w:rPr>
          <w:rFonts w:hint="eastAsia"/>
          <w:b/>
          <w:bCs/>
        </w:rPr>
        <w:t>3.2-2</w:t>
      </w:r>
      <w:r>
        <w:rPr>
          <w:b/>
          <w:bCs/>
        </w:rPr>
        <w:t>项目组成一览表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21"/>
        <w:gridCol w:w="1563"/>
        <w:gridCol w:w="6238"/>
      </w:tblGrid>
      <w:tr w:rsidR="009D12AF" w14:paraId="4FDE74DD" w14:textId="77777777">
        <w:trPr>
          <w:trHeight w:val="340"/>
          <w:jc w:val="center"/>
        </w:trPr>
        <w:tc>
          <w:tcPr>
            <w:tcW w:w="1340" w:type="pct"/>
            <w:gridSpan w:val="2"/>
            <w:tcBorders>
              <w:tl2br w:val="nil"/>
              <w:tr2bl w:val="nil"/>
            </w:tcBorders>
            <w:vAlign w:val="center"/>
          </w:tcPr>
          <w:p w14:paraId="4921171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项目名称</w:t>
            </w:r>
          </w:p>
        </w:tc>
        <w:tc>
          <w:tcPr>
            <w:tcW w:w="3659" w:type="pct"/>
            <w:tcBorders>
              <w:tl2br w:val="nil"/>
              <w:tr2bl w:val="nil"/>
            </w:tcBorders>
            <w:vAlign w:val="center"/>
          </w:tcPr>
          <w:p w14:paraId="157F4DF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建设内容</w:t>
            </w:r>
          </w:p>
        </w:tc>
      </w:tr>
      <w:tr w:rsidR="009D12AF" w14:paraId="058D30BA" w14:textId="77777777">
        <w:trPr>
          <w:trHeight w:val="340"/>
          <w:jc w:val="center"/>
        </w:trPr>
        <w:tc>
          <w:tcPr>
            <w:tcW w:w="423" w:type="pct"/>
            <w:tcBorders>
              <w:tl2br w:val="nil"/>
              <w:tr2bl w:val="nil"/>
            </w:tcBorders>
            <w:vAlign w:val="center"/>
          </w:tcPr>
          <w:p w14:paraId="2436195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主体工程</w:t>
            </w:r>
          </w:p>
        </w:tc>
        <w:tc>
          <w:tcPr>
            <w:tcW w:w="917" w:type="pct"/>
            <w:tcBorders>
              <w:tl2br w:val="nil"/>
              <w:tr2bl w:val="nil"/>
            </w:tcBorders>
            <w:vAlign w:val="center"/>
          </w:tcPr>
          <w:p w14:paraId="4A776E1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淤泥疏浚工程</w:t>
            </w:r>
          </w:p>
        </w:tc>
        <w:tc>
          <w:tcPr>
            <w:tcW w:w="3659" w:type="pct"/>
            <w:tcBorders>
              <w:tl2br w:val="nil"/>
              <w:tr2bl w:val="nil"/>
            </w:tcBorders>
            <w:vAlign w:val="center"/>
          </w:tcPr>
          <w:p w14:paraId="62C6F40B"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群力水库清淤量为</w:t>
            </w:r>
            <w:r>
              <w:rPr>
                <w:rFonts w:ascii="Times New Roman" w:eastAsia="宋体" w:hAnsi="Times New Roman" w:cs="Times New Roman"/>
                <w:sz w:val="21"/>
                <w:szCs w:val="21"/>
              </w:rPr>
              <w:t xml:space="preserve"> 445 </w:t>
            </w:r>
            <w:r>
              <w:rPr>
                <w:rFonts w:ascii="Times New Roman" w:eastAsia="宋体" w:hAnsi="Times New Roman" w:cs="Times New Roman"/>
                <w:sz w:val="21"/>
                <w:szCs w:val="21"/>
              </w:rPr>
              <w:t>万</w:t>
            </w:r>
            <w:r>
              <w:rPr>
                <w:rFonts w:ascii="Times New Roman" w:eastAsia="宋体" w:hAnsi="Times New Roman" w:cs="Times New Roman"/>
                <w:sz w:val="21"/>
                <w:szCs w:val="21"/>
              </w:rPr>
              <w:t xml:space="preserve"> m</w:t>
            </w:r>
            <w:r>
              <w:rPr>
                <w:rFonts w:ascii="Times New Roman" w:eastAsia="宋体" w:hAnsi="Times New Roman" w:cs="Times New Roman"/>
                <w:sz w:val="21"/>
                <w:szCs w:val="21"/>
                <w:vertAlign w:val="superscript"/>
              </w:rPr>
              <w:t>3</w:t>
            </w:r>
            <w:r>
              <w:rPr>
                <w:rFonts w:ascii="Times New Roman" w:eastAsia="宋体" w:hAnsi="Times New Roman" w:cs="Times New Roman" w:hint="eastAsia"/>
                <w:sz w:val="21"/>
                <w:szCs w:val="21"/>
              </w:rPr>
              <w:t>（区域</w:t>
            </w:r>
            <w:r>
              <w:rPr>
                <w:rFonts w:ascii="Times New Roman" w:eastAsia="宋体" w:hAnsi="Times New Roman" w:cs="Times New Roman" w:hint="eastAsia"/>
                <w:sz w:val="21"/>
                <w:szCs w:val="21"/>
              </w:rPr>
              <w:t>1</w:t>
            </w:r>
            <w:r>
              <w:rPr>
                <w:rFonts w:ascii="Times New Roman" w:eastAsia="宋体" w:hAnsi="Times New Roman" w:cs="Times New Roman" w:hint="eastAsia"/>
                <w:sz w:val="21"/>
                <w:szCs w:val="21"/>
              </w:rPr>
              <w:t>清淤深度：</w:t>
            </w:r>
            <w:r>
              <w:rPr>
                <w:rFonts w:ascii="Times New Roman" w:eastAsia="宋体" w:hAnsi="Times New Roman" w:cs="Times New Roman" w:hint="eastAsia"/>
                <w:sz w:val="21"/>
                <w:szCs w:val="21"/>
              </w:rPr>
              <w:t>2.80m</w:t>
            </w:r>
            <w:r>
              <w:rPr>
                <w:rFonts w:ascii="Times New Roman" w:eastAsia="宋体" w:hAnsi="Times New Roman" w:cs="Times New Roman" w:hint="eastAsia"/>
                <w:sz w:val="21"/>
                <w:szCs w:val="21"/>
              </w:rPr>
              <w:t>；区域</w:t>
            </w:r>
            <w:r>
              <w:rPr>
                <w:rFonts w:ascii="Times New Roman" w:eastAsia="宋体" w:hAnsi="Times New Roman" w:cs="Times New Roman" w:hint="eastAsia"/>
                <w:sz w:val="21"/>
                <w:szCs w:val="21"/>
              </w:rPr>
              <w:t>2</w:t>
            </w:r>
            <w:r>
              <w:rPr>
                <w:rFonts w:ascii="Times New Roman" w:eastAsia="宋体" w:hAnsi="Times New Roman" w:cs="Times New Roman" w:hint="eastAsia"/>
                <w:sz w:val="21"/>
                <w:szCs w:val="21"/>
              </w:rPr>
              <w:t>清淤深度：</w:t>
            </w:r>
            <w:r>
              <w:rPr>
                <w:rFonts w:ascii="Times New Roman" w:eastAsia="宋体" w:hAnsi="Times New Roman" w:cs="Times New Roman" w:hint="eastAsia"/>
                <w:sz w:val="21"/>
                <w:szCs w:val="21"/>
              </w:rPr>
              <w:t>4.30m</w:t>
            </w:r>
            <w:r>
              <w:rPr>
                <w:rFonts w:ascii="Times New Roman" w:eastAsia="宋体" w:hAnsi="Times New Roman" w:cs="Times New Roman" w:hint="eastAsia"/>
                <w:sz w:val="21"/>
                <w:szCs w:val="21"/>
              </w:rPr>
              <w:t>；区域</w:t>
            </w:r>
            <w:r>
              <w:rPr>
                <w:rFonts w:ascii="Times New Roman" w:eastAsia="宋体" w:hAnsi="Times New Roman" w:cs="Times New Roman" w:hint="eastAsia"/>
                <w:sz w:val="21"/>
                <w:szCs w:val="21"/>
              </w:rPr>
              <w:t>3</w:t>
            </w:r>
            <w:r>
              <w:rPr>
                <w:rFonts w:ascii="Times New Roman" w:eastAsia="宋体" w:hAnsi="Times New Roman" w:cs="Times New Roman" w:hint="eastAsia"/>
                <w:sz w:val="21"/>
                <w:szCs w:val="21"/>
              </w:rPr>
              <w:t>清淤深度：</w:t>
            </w:r>
            <w:r>
              <w:rPr>
                <w:rFonts w:ascii="Times New Roman" w:eastAsia="宋体" w:hAnsi="Times New Roman" w:cs="Times New Roman" w:hint="eastAsia"/>
                <w:sz w:val="21"/>
                <w:szCs w:val="21"/>
              </w:rPr>
              <w:t>4.81m</w:t>
            </w:r>
            <w:r>
              <w:rPr>
                <w:rFonts w:ascii="Times New Roman" w:eastAsia="宋体" w:hAnsi="Times New Roman" w:cs="Times New Roman" w:hint="eastAsia"/>
                <w:sz w:val="21"/>
                <w:szCs w:val="21"/>
              </w:rPr>
              <w:t>；区域</w:t>
            </w:r>
            <w:r>
              <w:rPr>
                <w:rFonts w:ascii="Times New Roman" w:eastAsia="宋体" w:hAnsi="Times New Roman" w:cs="Times New Roman" w:hint="eastAsia"/>
                <w:sz w:val="21"/>
                <w:szCs w:val="21"/>
              </w:rPr>
              <w:t>4</w:t>
            </w:r>
            <w:r>
              <w:rPr>
                <w:rFonts w:ascii="Times New Roman" w:eastAsia="宋体" w:hAnsi="Times New Roman" w:cs="Times New Roman" w:hint="eastAsia"/>
                <w:sz w:val="21"/>
                <w:szCs w:val="21"/>
              </w:rPr>
              <w:t>清淤深度：</w:t>
            </w:r>
            <w:r>
              <w:rPr>
                <w:rFonts w:ascii="Times New Roman" w:eastAsia="宋体" w:hAnsi="Times New Roman" w:cs="Times New Roman" w:hint="eastAsia"/>
                <w:sz w:val="21"/>
                <w:szCs w:val="21"/>
              </w:rPr>
              <w:t>5.14m</w:t>
            </w:r>
            <w:r>
              <w:rPr>
                <w:rFonts w:ascii="Times New Roman" w:eastAsia="宋体" w:hAnsi="Times New Roman" w:cs="Times New Roman" w:hint="eastAsia"/>
                <w:sz w:val="21"/>
                <w:szCs w:val="21"/>
              </w:rPr>
              <w:t>；区域</w:t>
            </w:r>
            <w:r>
              <w:rPr>
                <w:rFonts w:ascii="Times New Roman" w:eastAsia="宋体" w:hAnsi="Times New Roman" w:cs="Times New Roman" w:hint="eastAsia"/>
                <w:sz w:val="21"/>
                <w:szCs w:val="21"/>
              </w:rPr>
              <w:t>5</w:t>
            </w:r>
            <w:r>
              <w:rPr>
                <w:rFonts w:ascii="Times New Roman" w:eastAsia="宋体" w:hAnsi="Times New Roman" w:cs="Times New Roman" w:hint="eastAsia"/>
                <w:sz w:val="21"/>
                <w:szCs w:val="21"/>
              </w:rPr>
              <w:t>清淤深度为：</w:t>
            </w:r>
            <w:r>
              <w:rPr>
                <w:rFonts w:ascii="Times New Roman" w:eastAsia="宋体" w:hAnsi="Times New Roman" w:cs="Times New Roman" w:hint="eastAsia"/>
                <w:sz w:val="21"/>
                <w:szCs w:val="21"/>
              </w:rPr>
              <w:t>4.46m</w:t>
            </w:r>
            <w:r>
              <w:rPr>
                <w:rFonts w:ascii="Times New Roman" w:eastAsia="宋体" w:hAnsi="Times New Roman" w:cs="Times New Roman" w:hint="eastAsia"/>
                <w:sz w:val="21"/>
                <w:szCs w:val="21"/>
              </w:rPr>
              <w:t>；区域</w:t>
            </w:r>
            <w:r>
              <w:rPr>
                <w:rFonts w:ascii="Times New Roman" w:eastAsia="宋体" w:hAnsi="Times New Roman" w:cs="Times New Roman" w:hint="eastAsia"/>
                <w:sz w:val="21"/>
                <w:szCs w:val="21"/>
              </w:rPr>
              <w:t>6</w:t>
            </w:r>
            <w:r>
              <w:rPr>
                <w:rFonts w:ascii="Times New Roman" w:eastAsia="宋体" w:hAnsi="Times New Roman" w:cs="Times New Roman" w:hint="eastAsia"/>
                <w:sz w:val="21"/>
                <w:szCs w:val="21"/>
              </w:rPr>
              <w:t>清淤深度为</w:t>
            </w:r>
            <w:r>
              <w:rPr>
                <w:rFonts w:ascii="Times New Roman" w:eastAsia="宋体" w:hAnsi="Times New Roman" w:cs="Times New Roman" w:hint="eastAsia"/>
                <w:sz w:val="21"/>
                <w:szCs w:val="21"/>
              </w:rPr>
              <w:t>3.35m</w:t>
            </w:r>
            <w:r>
              <w:rPr>
                <w:rFonts w:ascii="Times New Roman" w:eastAsia="宋体" w:hAnsi="Times New Roman" w:cs="Times New Roman" w:hint="eastAsia"/>
                <w:sz w:val="21"/>
                <w:szCs w:val="21"/>
              </w:rPr>
              <w:t>）</w:t>
            </w:r>
            <w:r>
              <w:rPr>
                <w:rFonts w:ascii="Times New Roman" w:eastAsia="宋体" w:hAnsi="Times New Roman" w:cs="Times New Roman"/>
                <w:sz w:val="21"/>
                <w:szCs w:val="21"/>
              </w:rPr>
              <w:t>；长石水库清淤量为</w:t>
            </w:r>
            <w:r>
              <w:rPr>
                <w:rFonts w:ascii="Times New Roman" w:eastAsia="宋体" w:hAnsi="Times New Roman" w:cs="Times New Roman"/>
                <w:sz w:val="21"/>
                <w:szCs w:val="21"/>
              </w:rPr>
              <w:t xml:space="preserve"> 20 </w:t>
            </w:r>
            <w:r>
              <w:rPr>
                <w:rFonts w:ascii="Times New Roman" w:eastAsia="宋体" w:hAnsi="Times New Roman" w:cs="Times New Roman"/>
                <w:sz w:val="21"/>
                <w:szCs w:val="21"/>
              </w:rPr>
              <w:t>万</w:t>
            </w:r>
            <w:r>
              <w:rPr>
                <w:rFonts w:ascii="Times New Roman" w:eastAsia="宋体" w:hAnsi="Times New Roman" w:cs="Times New Roman"/>
                <w:sz w:val="21"/>
                <w:szCs w:val="21"/>
              </w:rPr>
              <w:t xml:space="preserve"> m</w:t>
            </w:r>
            <w:r>
              <w:rPr>
                <w:rFonts w:ascii="Times New Roman" w:eastAsia="宋体" w:hAnsi="Times New Roman" w:cs="Times New Roman"/>
                <w:sz w:val="21"/>
                <w:szCs w:val="21"/>
                <w:vertAlign w:val="superscript"/>
              </w:rPr>
              <w:t>3</w:t>
            </w:r>
            <w:r>
              <w:rPr>
                <w:rFonts w:ascii="Times New Roman" w:eastAsia="宋体" w:hAnsi="Times New Roman" w:cs="Times New Roman" w:hint="eastAsia"/>
                <w:sz w:val="21"/>
                <w:szCs w:val="21"/>
              </w:rPr>
              <w:t>（清淤深度为</w:t>
            </w:r>
            <w:r>
              <w:rPr>
                <w:rFonts w:ascii="Times New Roman" w:eastAsia="宋体" w:hAnsi="Times New Roman" w:cs="Times New Roman" w:hint="eastAsia"/>
                <w:sz w:val="21"/>
                <w:szCs w:val="21"/>
              </w:rPr>
              <w:t>1.7m</w:t>
            </w:r>
            <w:r>
              <w:rPr>
                <w:rFonts w:ascii="Times New Roman" w:eastAsia="宋体" w:hAnsi="Times New Roman" w:cs="Times New Roman" w:hint="eastAsia"/>
                <w:sz w:val="21"/>
                <w:szCs w:val="21"/>
              </w:rPr>
              <w:t>）</w:t>
            </w:r>
            <w:r>
              <w:rPr>
                <w:rFonts w:ascii="Times New Roman" w:eastAsia="宋体" w:hAnsi="Times New Roman" w:cs="Times New Roman"/>
                <w:sz w:val="21"/>
                <w:szCs w:val="21"/>
              </w:rPr>
              <w:t>；向阳水电站前池清淤量为</w:t>
            </w:r>
            <w:r>
              <w:rPr>
                <w:rFonts w:ascii="Times New Roman" w:eastAsia="宋体" w:hAnsi="Times New Roman" w:cs="Times New Roman"/>
                <w:sz w:val="21"/>
                <w:szCs w:val="21"/>
              </w:rPr>
              <w:t xml:space="preserve"> 36 </w:t>
            </w:r>
            <w:r>
              <w:rPr>
                <w:rFonts w:ascii="Times New Roman" w:eastAsia="宋体" w:hAnsi="Times New Roman" w:cs="Times New Roman"/>
                <w:sz w:val="21"/>
                <w:szCs w:val="21"/>
              </w:rPr>
              <w:t>万</w:t>
            </w:r>
            <w:r>
              <w:rPr>
                <w:rFonts w:ascii="Times New Roman" w:eastAsia="宋体" w:hAnsi="Times New Roman" w:cs="Times New Roman"/>
                <w:sz w:val="21"/>
                <w:szCs w:val="21"/>
              </w:rPr>
              <w:t xml:space="preserve"> m</w:t>
            </w:r>
            <w:r>
              <w:rPr>
                <w:rFonts w:ascii="Times New Roman" w:eastAsia="宋体" w:hAnsi="Times New Roman" w:cs="Times New Roman"/>
                <w:sz w:val="21"/>
                <w:szCs w:val="21"/>
                <w:vertAlign w:val="superscript"/>
              </w:rPr>
              <w:t>3</w:t>
            </w:r>
            <w:r>
              <w:rPr>
                <w:rFonts w:ascii="Times New Roman" w:eastAsia="宋体" w:hAnsi="Times New Roman" w:cs="Times New Roman" w:hint="eastAsia"/>
                <w:sz w:val="21"/>
                <w:szCs w:val="21"/>
              </w:rPr>
              <w:t>（清淤深度为</w:t>
            </w:r>
            <w:r>
              <w:rPr>
                <w:rFonts w:ascii="Times New Roman" w:eastAsia="宋体" w:hAnsi="Times New Roman" w:cs="Times New Roman" w:hint="eastAsia"/>
                <w:sz w:val="21"/>
                <w:szCs w:val="21"/>
              </w:rPr>
              <w:t>2.25m</w:t>
            </w:r>
            <w:r>
              <w:rPr>
                <w:rFonts w:ascii="Times New Roman" w:eastAsia="宋体" w:hAnsi="Times New Roman" w:cs="Times New Roman" w:hint="eastAsia"/>
                <w:sz w:val="21"/>
                <w:szCs w:val="21"/>
              </w:rPr>
              <w:t>）</w:t>
            </w:r>
            <w:r>
              <w:rPr>
                <w:rFonts w:ascii="Times New Roman" w:eastAsia="宋体" w:hAnsi="Times New Roman" w:cs="Times New Roman"/>
                <w:sz w:val="21"/>
                <w:szCs w:val="21"/>
              </w:rPr>
              <w:t>；新安晒水池清淤量</w:t>
            </w:r>
            <w:r>
              <w:rPr>
                <w:rFonts w:ascii="Times New Roman" w:eastAsia="宋体" w:hAnsi="Times New Roman" w:cs="Times New Roman"/>
                <w:sz w:val="21"/>
                <w:szCs w:val="21"/>
              </w:rPr>
              <w:t xml:space="preserve"> 24 </w:t>
            </w:r>
            <w:r>
              <w:rPr>
                <w:rFonts w:ascii="Times New Roman" w:eastAsia="宋体" w:hAnsi="Times New Roman" w:cs="Times New Roman"/>
                <w:sz w:val="21"/>
                <w:szCs w:val="21"/>
              </w:rPr>
              <w:t>万</w:t>
            </w:r>
            <w:r>
              <w:rPr>
                <w:rFonts w:ascii="Times New Roman" w:eastAsia="宋体" w:hAnsi="Times New Roman" w:cs="Times New Roman"/>
                <w:sz w:val="21"/>
                <w:szCs w:val="21"/>
              </w:rPr>
              <w:t xml:space="preserve"> m</w:t>
            </w:r>
            <w:r>
              <w:rPr>
                <w:rFonts w:ascii="Times New Roman" w:eastAsia="宋体" w:hAnsi="Times New Roman" w:cs="Times New Roman"/>
                <w:sz w:val="21"/>
                <w:szCs w:val="21"/>
                <w:vertAlign w:val="superscript"/>
              </w:rPr>
              <w:t>3</w:t>
            </w:r>
            <w:r>
              <w:rPr>
                <w:rFonts w:ascii="Times New Roman" w:eastAsia="宋体" w:hAnsi="Times New Roman" w:cs="Times New Roman" w:hint="eastAsia"/>
                <w:sz w:val="21"/>
                <w:szCs w:val="21"/>
              </w:rPr>
              <w:t>（清淤深度为</w:t>
            </w:r>
            <w:r>
              <w:rPr>
                <w:rFonts w:ascii="Times New Roman" w:eastAsia="宋体" w:hAnsi="Times New Roman" w:cs="Times New Roman" w:hint="eastAsia"/>
                <w:sz w:val="21"/>
                <w:szCs w:val="21"/>
              </w:rPr>
              <w:t>0.67m</w:t>
            </w:r>
            <w:r>
              <w:rPr>
                <w:rFonts w:ascii="Times New Roman" w:eastAsia="宋体" w:hAnsi="Times New Roman" w:cs="Times New Roman" w:hint="eastAsia"/>
                <w:sz w:val="21"/>
                <w:szCs w:val="21"/>
              </w:rPr>
              <w:t>）</w:t>
            </w:r>
            <w:r>
              <w:rPr>
                <w:rFonts w:ascii="Times New Roman" w:eastAsia="宋体" w:hAnsi="Times New Roman" w:cs="Times New Roman"/>
                <w:sz w:val="21"/>
                <w:szCs w:val="21"/>
              </w:rPr>
              <w:t>；万丈水库清淤量为</w:t>
            </w:r>
            <w:r>
              <w:rPr>
                <w:rFonts w:ascii="Times New Roman" w:eastAsia="宋体" w:hAnsi="Times New Roman" w:cs="Times New Roman"/>
                <w:sz w:val="21"/>
                <w:szCs w:val="21"/>
              </w:rPr>
              <w:t xml:space="preserve"> 75 </w:t>
            </w:r>
            <w:r>
              <w:rPr>
                <w:rFonts w:ascii="Times New Roman" w:eastAsia="宋体" w:hAnsi="Times New Roman" w:cs="Times New Roman"/>
                <w:sz w:val="21"/>
                <w:szCs w:val="21"/>
              </w:rPr>
              <w:t>万</w:t>
            </w:r>
            <w:r>
              <w:rPr>
                <w:rFonts w:ascii="Times New Roman" w:eastAsia="宋体" w:hAnsi="Times New Roman" w:cs="Times New Roman"/>
                <w:sz w:val="21"/>
                <w:szCs w:val="21"/>
              </w:rPr>
              <w:t xml:space="preserve"> m</w:t>
            </w:r>
            <w:r>
              <w:rPr>
                <w:rFonts w:ascii="Times New Roman" w:eastAsia="宋体" w:hAnsi="Times New Roman" w:cs="Times New Roman"/>
                <w:sz w:val="21"/>
                <w:szCs w:val="21"/>
                <w:vertAlign w:val="superscript"/>
              </w:rPr>
              <w:t>3</w:t>
            </w:r>
            <w:r>
              <w:rPr>
                <w:rFonts w:ascii="Times New Roman" w:eastAsia="宋体" w:hAnsi="Times New Roman" w:cs="Times New Roman" w:hint="eastAsia"/>
                <w:sz w:val="21"/>
                <w:szCs w:val="21"/>
              </w:rPr>
              <w:t>（清淤深度为</w:t>
            </w:r>
            <w:r>
              <w:rPr>
                <w:rFonts w:ascii="Times New Roman" w:eastAsia="宋体" w:hAnsi="Times New Roman" w:cs="Times New Roman" w:hint="eastAsia"/>
                <w:sz w:val="21"/>
                <w:szCs w:val="21"/>
              </w:rPr>
              <w:t>2.5m</w:t>
            </w:r>
            <w:r>
              <w:rPr>
                <w:rFonts w:ascii="Times New Roman" w:eastAsia="宋体" w:hAnsi="Times New Roman" w:cs="Times New Roman" w:hint="eastAsia"/>
                <w:sz w:val="21"/>
                <w:szCs w:val="21"/>
              </w:rPr>
              <w:t>）</w:t>
            </w:r>
            <w:r>
              <w:rPr>
                <w:rFonts w:ascii="Times New Roman" w:eastAsia="宋体" w:hAnsi="Times New Roman" w:cs="Times New Roman"/>
                <w:sz w:val="21"/>
                <w:szCs w:val="21"/>
              </w:rPr>
              <w:t>。</w:t>
            </w:r>
          </w:p>
        </w:tc>
      </w:tr>
      <w:tr w:rsidR="009D12AF" w14:paraId="5BCA5DE0" w14:textId="77777777">
        <w:trPr>
          <w:trHeight w:val="340"/>
          <w:jc w:val="center"/>
        </w:trPr>
        <w:tc>
          <w:tcPr>
            <w:tcW w:w="423" w:type="pct"/>
            <w:tcBorders>
              <w:tl2br w:val="nil"/>
              <w:tr2bl w:val="nil"/>
            </w:tcBorders>
            <w:vAlign w:val="center"/>
          </w:tcPr>
          <w:p w14:paraId="1493042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辅助工程</w:t>
            </w:r>
          </w:p>
        </w:tc>
        <w:tc>
          <w:tcPr>
            <w:tcW w:w="917" w:type="pct"/>
            <w:tcBorders>
              <w:tl2br w:val="nil"/>
              <w:tr2bl w:val="nil"/>
            </w:tcBorders>
            <w:vAlign w:val="center"/>
          </w:tcPr>
          <w:p w14:paraId="6713D31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生态修复工程</w:t>
            </w:r>
          </w:p>
        </w:tc>
        <w:tc>
          <w:tcPr>
            <w:tcW w:w="3659" w:type="pct"/>
            <w:tcBorders>
              <w:tl2br w:val="nil"/>
              <w:tr2bl w:val="nil"/>
            </w:tcBorders>
            <w:vAlign w:val="center"/>
          </w:tcPr>
          <w:p w14:paraId="7E9601A7"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本项目计划对向阳水电站前池、新安晒水池坝体进行维修，维修坝体长度</w:t>
            </w:r>
            <w:r>
              <w:rPr>
                <w:rFonts w:ascii="Times New Roman" w:eastAsia="宋体" w:hAnsi="Times New Roman" w:cs="Times New Roman"/>
                <w:sz w:val="21"/>
                <w:szCs w:val="21"/>
              </w:rPr>
              <w:t xml:space="preserve"> 3000 </w:t>
            </w:r>
            <w:r>
              <w:rPr>
                <w:rFonts w:ascii="Times New Roman" w:eastAsia="宋体" w:hAnsi="Times New Roman" w:cs="Times New Roman"/>
                <w:sz w:val="21"/>
                <w:szCs w:val="21"/>
              </w:rPr>
              <w:t>米，其中向阳水电站前池</w:t>
            </w:r>
            <w:r>
              <w:rPr>
                <w:rFonts w:ascii="Times New Roman" w:eastAsia="宋体" w:hAnsi="Times New Roman" w:cs="Times New Roman"/>
                <w:sz w:val="21"/>
                <w:szCs w:val="21"/>
              </w:rPr>
              <w:t xml:space="preserve"> 1000 </w:t>
            </w:r>
            <w:r>
              <w:rPr>
                <w:rFonts w:ascii="Times New Roman" w:eastAsia="宋体" w:hAnsi="Times New Roman" w:cs="Times New Roman"/>
                <w:sz w:val="21"/>
                <w:szCs w:val="21"/>
              </w:rPr>
              <w:t>米，新安晒水池</w:t>
            </w:r>
            <w:r>
              <w:rPr>
                <w:rFonts w:ascii="Times New Roman" w:eastAsia="宋体" w:hAnsi="Times New Roman" w:cs="Times New Roman"/>
                <w:sz w:val="21"/>
                <w:szCs w:val="21"/>
              </w:rPr>
              <w:t xml:space="preserve">2000 </w:t>
            </w:r>
            <w:r>
              <w:rPr>
                <w:rFonts w:ascii="Times New Roman" w:eastAsia="宋体" w:hAnsi="Times New Roman" w:cs="Times New Roman"/>
                <w:sz w:val="21"/>
                <w:szCs w:val="21"/>
              </w:rPr>
              <w:t>米。坝坡长平均</w:t>
            </w:r>
            <w:r>
              <w:rPr>
                <w:rFonts w:ascii="Times New Roman" w:eastAsia="宋体" w:hAnsi="Times New Roman" w:cs="Times New Roman"/>
                <w:sz w:val="21"/>
                <w:szCs w:val="21"/>
              </w:rPr>
              <w:t xml:space="preserve"> 7.5 </w:t>
            </w:r>
            <w:r>
              <w:rPr>
                <w:rFonts w:ascii="Times New Roman" w:eastAsia="宋体" w:hAnsi="Times New Roman" w:cs="Times New Roman"/>
                <w:sz w:val="21"/>
                <w:szCs w:val="21"/>
              </w:rPr>
              <w:t>米，设计坝体边坡整形后采用土工膜加砼预制板衬砌，下铺土工膜防渗。水泥板宽</w:t>
            </w:r>
            <w:r>
              <w:rPr>
                <w:rFonts w:ascii="Times New Roman" w:eastAsia="宋体" w:hAnsi="Times New Roman" w:cs="Times New Roman"/>
                <w:sz w:val="21"/>
                <w:szCs w:val="21"/>
              </w:rPr>
              <w:t xml:space="preserve"> 0.6m</w:t>
            </w:r>
            <w:r>
              <w:rPr>
                <w:rFonts w:ascii="Times New Roman" w:eastAsia="宋体" w:hAnsi="Times New Roman" w:cs="Times New Roman"/>
                <w:sz w:val="21"/>
                <w:szCs w:val="21"/>
              </w:rPr>
              <w:t>，长</w:t>
            </w:r>
            <w:r>
              <w:rPr>
                <w:rFonts w:ascii="Times New Roman" w:eastAsia="宋体" w:hAnsi="Times New Roman" w:cs="Times New Roman"/>
                <w:sz w:val="21"/>
                <w:szCs w:val="21"/>
              </w:rPr>
              <w:t xml:space="preserve"> 0.9m</w:t>
            </w:r>
            <w:r>
              <w:rPr>
                <w:rFonts w:ascii="Times New Roman" w:eastAsia="宋体" w:hAnsi="Times New Roman" w:cs="Times New Roman"/>
                <w:sz w:val="21"/>
                <w:szCs w:val="21"/>
              </w:rPr>
              <w:t>，厚</w:t>
            </w:r>
            <w:r>
              <w:rPr>
                <w:rFonts w:ascii="Times New Roman" w:eastAsia="宋体" w:hAnsi="Times New Roman" w:cs="Times New Roman"/>
                <w:sz w:val="21"/>
                <w:szCs w:val="21"/>
              </w:rPr>
              <w:t>0.15m</w:t>
            </w:r>
            <w:r>
              <w:rPr>
                <w:rFonts w:ascii="Times New Roman" w:eastAsia="宋体" w:hAnsi="Times New Roman" w:cs="Times New Roman"/>
                <w:sz w:val="21"/>
                <w:szCs w:val="21"/>
              </w:rPr>
              <w:t>，向上维修长度</w:t>
            </w:r>
            <w:r>
              <w:rPr>
                <w:rFonts w:ascii="Times New Roman" w:eastAsia="宋体" w:hAnsi="Times New Roman" w:cs="Times New Roman"/>
                <w:sz w:val="21"/>
                <w:szCs w:val="21"/>
              </w:rPr>
              <w:t xml:space="preserve"> 3 </w:t>
            </w:r>
            <w:r>
              <w:rPr>
                <w:rFonts w:ascii="Times New Roman" w:eastAsia="宋体" w:hAnsi="Times New Roman" w:cs="Times New Roman"/>
                <w:sz w:val="21"/>
                <w:szCs w:val="21"/>
              </w:rPr>
              <w:t>米，单侧需要维修分别为</w:t>
            </w:r>
            <w:r>
              <w:rPr>
                <w:rFonts w:ascii="Times New Roman" w:eastAsia="宋体" w:hAnsi="Times New Roman" w:cs="Times New Roman"/>
                <w:sz w:val="21"/>
                <w:szCs w:val="21"/>
              </w:rPr>
              <w:t xml:space="preserve"> 1000 </w:t>
            </w:r>
            <w:r>
              <w:rPr>
                <w:rFonts w:ascii="Times New Roman" w:eastAsia="宋体" w:hAnsi="Times New Roman" w:cs="Times New Roman"/>
                <w:sz w:val="21"/>
                <w:szCs w:val="21"/>
              </w:rPr>
              <w:t>米，</w:t>
            </w:r>
            <w:r>
              <w:rPr>
                <w:rFonts w:ascii="Times New Roman" w:eastAsia="宋体" w:hAnsi="Times New Roman" w:cs="Times New Roman"/>
                <w:sz w:val="21"/>
                <w:szCs w:val="21"/>
              </w:rPr>
              <w:t>2000</w:t>
            </w:r>
            <w:r>
              <w:rPr>
                <w:rFonts w:ascii="Times New Roman" w:eastAsia="宋体" w:hAnsi="Times New Roman" w:cs="Times New Roman"/>
                <w:sz w:val="21"/>
                <w:szCs w:val="21"/>
              </w:rPr>
              <w:t>米；</w:t>
            </w:r>
            <w:r>
              <w:rPr>
                <w:rFonts w:ascii="Times New Roman" w:eastAsia="宋体" w:hAnsi="Times New Roman" w:cs="Times New Roman"/>
                <w:sz w:val="21"/>
                <w:szCs w:val="21"/>
              </w:rPr>
              <w:t>2.</w:t>
            </w:r>
            <w:r>
              <w:rPr>
                <w:rFonts w:ascii="Times New Roman" w:eastAsia="宋体" w:hAnsi="Times New Roman" w:cs="Times New Roman"/>
                <w:sz w:val="21"/>
                <w:szCs w:val="21"/>
              </w:rPr>
              <w:t>在水库上游入库河口利用地形优势建设前置库，利用前置库的蓄水功能及水生植物的吸附过滤作用，将入库水体中污染物经过滤拦截后再进入水库；</w:t>
            </w:r>
            <w:r>
              <w:rPr>
                <w:rFonts w:ascii="Times New Roman" w:eastAsia="宋体" w:hAnsi="Times New Roman" w:cs="Times New Roman"/>
                <w:sz w:val="21"/>
                <w:szCs w:val="21"/>
              </w:rPr>
              <w:t>3</w:t>
            </w:r>
            <w:r>
              <w:rPr>
                <w:rFonts w:ascii="Times New Roman" w:eastAsia="宋体" w:hAnsi="Times New Roman" w:cs="Times New Roman"/>
                <w:sz w:val="21"/>
                <w:szCs w:val="21"/>
              </w:rPr>
              <w:t>为确保入库水质实现实时监控，在水库入库河道附近建设水质自动监测浮标</w:t>
            </w:r>
            <w:r>
              <w:rPr>
                <w:rFonts w:ascii="Times New Roman" w:eastAsia="宋体" w:hAnsi="Times New Roman" w:cs="Times New Roman"/>
                <w:sz w:val="21"/>
                <w:szCs w:val="21"/>
              </w:rPr>
              <w:t>1</w:t>
            </w:r>
            <w:r>
              <w:rPr>
                <w:rFonts w:ascii="Times New Roman" w:eastAsia="宋体" w:hAnsi="Times New Roman" w:cs="Times New Roman"/>
                <w:sz w:val="21"/>
                <w:szCs w:val="21"/>
              </w:rPr>
              <w:t>个；</w:t>
            </w:r>
            <w:r>
              <w:rPr>
                <w:rFonts w:ascii="Times New Roman" w:eastAsia="宋体" w:hAnsi="Times New Roman" w:cs="Times New Roman"/>
                <w:sz w:val="21"/>
                <w:szCs w:val="21"/>
              </w:rPr>
              <w:t>4.</w:t>
            </w:r>
            <w:r>
              <w:rPr>
                <w:rFonts w:ascii="Times New Roman" w:eastAsia="宋体" w:hAnsi="Times New Roman" w:cs="Times New Roman"/>
                <w:sz w:val="21"/>
                <w:szCs w:val="21"/>
              </w:rPr>
              <w:t>本项目计划在清淤水库周围外延</w:t>
            </w:r>
            <w:r>
              <w:rPr>
                <w:rFonts w:ascii="Times New Roman" w:eastAsia="宋体" w:hAnsi="Times New Roman" w:cs="Times New Roman"/>
                <w:sz w:val="21"/>
                <w:szCs w:val="21"/>
              </w:rPr>
              <w:t>50m</w:t>
            </w:r>
            <w:r>
              <w:rPr>
                <w:rFonts w:ascii="Times New Roman" w:eastAsia="宋体" w:hAnsi="Times New Roman" w:cs="Times New Roman"/>
                <w:sz w:val="21"/>
                <w:szCs w:val="21"/>
              </w:rPr>
              <w:t>范围，清理碎石、杂草、白色垃圾等。</w:t>
            </w:r>
          </w:p>
        </w:tc>
      </w:tr>
      <w:tr w:rsidR="009D12AF" w14:paraId="432D532E" w14:textId="77777777">
        <w:trPr>
          <w:trHeight w:val="340"/>
          <w:jc w:val="center"/>
        </w:trPr>
        <w:tc>
          <w:tcPr>
            <w:tcW w:w="423" w:type="pct"/>
            <w:vMerge w:val="restart"/>
            <w:tcBorders>
              <w:tl2br w:val="nil"/>
              <w:tr2bl w:val="nil"/>
            </w:tcBorders>
            <w:vAlign w:val="center"/>
          </w:tcPr>
          <w:p w14:paraId="7D803E1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napToGrid w:val="0"/>
                <w:kern w:val="0"/>
                <w:sz w:val="21"/>
                <w:szCs w:val="21"/>
              </w:rPr>
              <w:t>临时工程</w:t>
            </w:r>
          </w:p>
        </w:tc>
        <w:tc>
          <w:tcPr>
            <w:tcW w:w="917" w:type="pct"/>
            <w:tcBorders>
              <w:tl2br w:val="nil"/>
              <w:tr2bl w:val="nil"/>
            </w:tcBorders>
            <w:vAlign w:val="center"/>
          </w:tcPr>
          <w:p w14:paraId="3BDB629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临时占地</w:t>
            </w:r>
          </w:p>
        </w:tc>
        <w:tc>
          <w:tcPr>
            <w:tcW w:w="3659" w:type="pct"/>
            <w:tcBorders>
              <w:tl2br w:val="nil"/>
              <w:tr2bl w:val="nil"/>
            </w:tcBorders>
            <w:vAlign w:val="center"/>
          </w:tcPr>
          <w:p w14:paraId="6A61C0C6"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向阳水电站前池临时用地分为五个地块，分别为</w:t>
            </w:r>
            <w:r>
              <w:rPr>
                <w:rFonts w:ascii="Times New Roman" w:eastAsia="宋体" w:hAnsi="Times New Roman" w:cs="Times New Roman"/>
                <w:sz w:val="21"/>
                <w:szCs w:val="21"/>
              </w:rPr>
              <w:t>448.84m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w:t>
            </w:r>
            <w:r>
              <w:rPr>
                <w:rFonts w:ascii="Times New Roman" w:eastAsia="宋体" w:hAnsi="Times New Roman" w:cs="Times New Roman"/>
                <w:sz w:val="21"/>
                <w:szCs w:val="21"/>
              </w:rPr>
              <w:t>271.06m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w:t>
            </w:r>
            <w:r>
              <w:rPr>
                <w:rFonts w:ascii="Times New Roman" w:eastAsia="宋体" w:hAnsi="Times New Roman" w:cs="Times New Roman"/>
                <w:sz w:val="21"/>
                <w:szCs w:val="21"/>
              </w:rPr>
              <w:t>539.16m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w:t>
            </w:r>
            <w:r>
              <w:rPr>
                <w:rFonts w:ascii="Times New Roman" w:eastAsia="宋体" w:hAnsi="Times New Roman" w:cs="Times New Roman"/>
                <w:sz w:val="21"/>
                <w:szCs w:val="21"/>
              </w:rPr>
              <w:t>367.63m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w:t>
            </w:r>
            <w:r>
              <w:rPr>
                <w:rFonts w:ascii="Times New Roman" w:eastAsia="宋体" w:hAnsi="Times New Roman" w:cs="Times New Roman"/>
                <w:sz w:val="21"/>
                <w:szCs w:val="21"/>
              </w:rPr>
              <w:t>3177.6m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，合计临时占地面积</w:t>
            </w:r>
            <w:r>
              <w:rPr>
                <w:rFonts w:ascii="Times New Roman" w:eastAsia="宋体" w:hAnsi="Times New Roman" w:cs="Times New Roman"/>
                <w:sz w:val="21"/>
                <w:szCs w:val="21"/>
              </w:rPr>
              <w:t>4804.29m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；新安晒水池临时用地分为四个地块，分别为</w:t>
            </w:r>
            <w:r>
              <w:rPr>
                <w:rFonts w:ascii="Times New Roman" w:eastAsia="宋体" w:hAnsi="Times New Roman" w:cs="Times New Roman"/>
                <w:sz w:val="21"/>
                <w:szCs w:val="21"/>
              </w:rPr>
              <w:t>806.69m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w:t>
            </w:r>
            <w:r>
              <w:rPr>
                <w:rFonts w:ascii="Times New Roman" w:eastAsia="宋体" w:hAnsi="Times New Roman" w:cs="Times New Roman"/>
                <w:sz w:val="21"/>
                <w:szCs w:val="21"/>
              </w:rPr>
              <w:t>2390.22m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w:t>
            </w:r>
            <w:r>
              <w:rPr>
                <w:rFonts w:ascii="Times New Roman" w:eastAsia="宋体" w:hAnsi="Times New Roman" w:cs="Times New Roman"/>
                <w:sz w:val="21"/>
                <w:szCs w:val="21"/>
              </w:rPr>
              <w:t>1008.19m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w:t>
            </w:r>
            <w:r>
              <w:rPr>
                <w:rFonts w:ascii="Times New Roman" w:eastAsia="宋体" w:hAnsi="Times New Roman" w:cs="Times New Roman"/>
                <w:sz w:val="21"/>
                <w:szCs w:val="21"/>
              </w:rPr>
              <w:t>4032.76m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，合计临时占地面积</w:t>
            </w:r>
            <w:r>
              <w:rPr>
                <w:rFonts w:ascii="Times New Roman" w:eastAsia="宋体" w:hAnsi="Times New Roman" w:cs="Times New Roman"/>
                <w:sz w:val="21"/>
                <w:szCs w:val="21"/>
              </w:rPr>
              <w:t>8237.86m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；万丈水库临时用地分为四个地块，分别为</w:t>
            </w:r>
            <w:r>
              <w:rPr>
                <w:rFonts w:ascii="Times New Roman" w:eastAsia="宋体" w:hAnsi="Times New Roman" w:cs="Times New Roman"/>
                <w:sz w:val="21"/>
                <w:szCs w:val="21"/>
              </w:rPr>
              <w:t>95m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w:t>
            </w:r>
            <w:r>
              <w:rPr>
                <w:rFonts w:ascii="Times New Roman" w:eastAsia="宋体" w:hAnsi="Times New Roman" w:cs="Times New Roman"/>
                <w:sz w:val="21"/>
                <w:szCs w:val="21"/>
              </w:rPr>
              <w:t>1051.47m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w:t>
            </w:r>
            <w:r>
              <w:rPr>
                <w:rFonts w:ascii="Times New Roman" w:eastAsia="宋体" w:hAnsi="Times New Roman" w:cs="Times New Roman"/>
                <w:sz w:val="21"/>
                <w:szCs w:val="21"/>
              </w:rPr>
              <w:t>247.41m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w:t>
            </w:r>
            <w:r>
              <w:rPr>
                <w:rFonts w:ascii="Times New Roman" w:eastAsia="宋体" w:hAnsi="Times New Roman" w:cs="Times New Roman"/>
                <w:sz w:val="21"/>
                <w:szCs w:val="21"/>
              </w:rPr>
              <w:t>2592.88m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，合计临时占地面积</w:t>
            </w:r>
            <w:r>
              <w:rPr>
                <w:rFonts w:ascii="Times New Roman" w:eastAsia="宋体" w:hAnsi="Times New Roman" w:cs="Times New Roman"/>
                <w:sz w:val="21"/>
                <w:szCs w:val="21"/>
              </w:rPr>
              <w:t>3987.26m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；长石水库临时用地分为四个地块，分别为</w:t>
            </w:r>
            <w:r>
              <w:rPr>
                <w:rFonts w:ascii="Times New Roman" w:eastAsia="宋体" w:hAnsi="Times New Roman" w:cs="Times New Roman"/>
                <w:sz w:val="21"/>
                <w:szCs w:val="21"/>
              </w:rPr>
              <w:t>628.48m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w:t>
            </w:r>
            <w:r>
              <w:rPr>
                <w:rFonts w:ascii="Times New Roman" w:eastAsia="宋体" w:hAnsi="Times New Roman" w:cs="Times New Roman"/>
                <w:sz w:val="21"/>
                <w:szCs w:val="21"/>
              </w:rPr>
              <w:t>9347.49m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w:t>
            </w:r>
            <w:r>
              <w:rPr>
                <w:rFonts w:ascii="Times New Roman" w:eastAsia="宋体" w:hAnsi="Times New Roman" w:cs="Times New Roman"/>
                <w:sz w:val="21"/>
                <w:szCs w:val="21"/>
              </w:rPr>
              <w:t>2012.08m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w:t>
            </w:r>
            <w:r>
              <w:rPr>
                <w:rFonts w:ascii="Times New Roman" w:eastAsia="宋体" w:hAnsi="Times New Roman" w:cs="Times New Roman"/>
                <w:sz w:val="21"/>
                <w:szCs w:val="21"/>
              </w:rPr>
              <w:t>5456m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，合计临时占地面积</w:t>
            </w:r>
            <w:r>
              <w:rPr>
                <w:rFonts w:ascii="Times New Roman" w:eastAsia="宋体" w:hAnsi="Times New Roman" w:cs="Times New Roman"/>
                <w:sz w:val="21"/>
                <w:szCs w:val="21"/>
              </w:rPr>
              <w:t>17444.05m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；群力水库临时用地分为四个地块，分别为</w:t>
            </w:r>
            <w:r>
              <w:rPr>
                <w:rFonts w:ascii="Times New Roman" w:eastAsia="宋体" w:hAnsi="Times New Roman" w:cs="Times New Roman"/>
                <w:sz w:val="21"/>
                <w:szCs w:val="21"/>
              </w:rPr>
              <w:t>313.83m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w:t>
            </w:r>
            <w:r>
              <w:rPr>
                <w:rFonts w:ascii="Times New Roman" w:eastAsia="宋体" w:hAnsi="Times New Roman" w:cs="Times New Roman"/>
                <w:sz w:val="21"/>
                <w:szCs w:val="21"/>
              </w:rPr>
              <w:t>7147.21m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w:t>
            </w:r>
            <w:r>
              <w:rPr>
                <w:rFonts w:ascii="Times New Roman" w:eastAsia="宋体" w:hAnsi="Times New Roman" w:cs="Times New Roman"/>
                <w:sz w:val="21"/>
                <w:szCs w:val="21"/>
              </w:rPr>
              <w:t>3195.1m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w:t>
            </w:r>
            <w:r>
              <w:rPr>
                <w:rFonts w:ascii="Times New Roman" w:eastAsia="宋体" w:hAnsi="Times New Roman" w:cs="Times New Roman"/>
                <w:sz w:val="21"/>
                <w:szCs w:val="21"/>
              </w:rPr>
              <w:t>2017.52m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，合计临时占地面积</w:t>
            </w:r>
            <w:r>
              <w:rPr>
                <w:rFonts w:ascii="Times New Roman" w:eastAsia="宋体" w:hAnsi="Times New Roman" w:cs="Times New Roman"/>
                <w:sz w:val="21"/>
                <w:szCs w:val="21"/>
              </w:rPr>
              <w:t>12673.6m</w:t>
            </w:r>
            <w:r>
              <w:rPr>
                <w:rFonts w:ascii="Times New Roman" w:eastAsia="宋体" w:hAnsi="Times New Roman" w:cs="Times New Roman"/>
                <w:sz w:val="21"/>
                <w:szCs w:val="21"/>
                <w:vertAlign w:val="superscript"/>
              </w:rPr>
              <w:t>2</w:t>
            </w:r>
            <w:r>
              <w:rPr>
                <w:rFonts w:ascii="Times New Roman" w:eastAsia="宋体" w:hAnsi="Times New Roman" w:cs="Times New Roman"/>
                <w:sz w:val="21"/>
                <w:szCs w:val="21"/>
              </w:rPr>
              <w:t>，用于建设施工临时区域。</w:t>
            </w:r>
          </w:p>
        </w:tc>
      </w:tr>
      <w:tr w:rsidR="009D12AF" w14:paraId="64F31E95" w14:textId="77777777">
        <w:trPr>
          <w:trHeight w:val="340"/>
          <w:jc w:val="center"/>
        </w:trPr>
        <w:tc>
          <w:tcPr>
            <w:tcW w:w="423" w:type="pct"/>
            <w:vMerge/>
            <w:tcBorders>
              <w:tl2br w:val="nil"/>
              <w:tr2bl w:val="nil"/>
            </w:tcBorders>
            <w:vAlign w:val="center"/>
          </w:tcPr>
          <w:p w14:paraId="3CDCF117" w14:textId="77777777" w:rsidR="009D12AF" w:rsidRDefault="009D12AF">
            <w:pPr>
              <w:adjustRightInd w:val="0"/>
              <w:snapToGrid w:val="0"/>
              <w:spacing w:line="240" w:lineRule="auto"/>
              <w:ind w:firstLineChars="0" w:firstLine="0"/>
              <w:jc w:val="center"/>
              <w:rPr>
                <w:rFonts w:ascii="Times New Roman" w:eastAsia="宋体" w:hAnsi="Times New Roman" w:cs="Times New Roman"/>
                <w:snapToGrid w:val="0"/>
                <w:kern w:val="0"/>
                <w:sz w:val="21"/>
                <w:szCs w:val="21"/>
              </w:rPr>
            </w:pPr>
          </w:p>
        </w:tc>
        <w:tc>
          <w:tcPr>
            <w:tcW w:w="917" w:type="pct"/>
            <w:tcBorders>
              <w:tl2br w:val="nil"/>
              <w:tr2bl w:val="nil"/>
            </w:tcBorders>
            <w:vAlign w:val="center"/>
          </w:tcPr>
          <w:p w14:paraId="0319CFF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临时生产区</w:t>
            </w:r>
          </w:p>
        </w:tc>
        <w:tc>
          <w:tcPr>
            <w:tcW w:w="3659" w:type="pct"/>
            <w:tcBorders>
              <w:tl2br w:val="nil"/>
              <w:tr2bl w:val="nil"/>
            </w:tcBorders>
            <w:vAlign w:val="center"/>
          </w:tcPr>
          <w:p w14:paraId="104C94BF" w14:textId="77777777" w:rsidR="009D12AF" w:rsidRDefault="00000000">
            <w:pPr>
              <w:adjustRightInd w:val="0"/>
              <w:snapToGrid w:val="0"/>
              <w:spacing w:line="240" w:lineRule="auto"/>
              <w:ind w:firstLineChars="0" w:firstLine="0"/>
              <w:rPr>
                <w:rFonts w:ascii="Times New Roman" w:hAnsi="Times New Roman" w:cs="Times New Roman"/>
                <w:sz w:val="21"/>
                <w:szCs w:val="21"/>
              </w:rPr>
            </w:pPr>
            <w:r>
              <w:rPr>
                <w:rFonts w:ascii="Times New Roman" w:eastAsia="宋体" w:hAnsi="Times New Roman" w:cs="Times New Roman" w:hint="eastAsia"/>
                <w:sz w:val="21"/>
                <w:szCs w:val="21"/>
              </w:rPr>
              <w:t>每个水库各设置</w:t>
            </w:r>
            <w:r>
              <w:rPr>
                <w:rFonts w:ascii="Times New Roman" w:eastAsia="宋体" w:hAnsi="Times New Roman" w:cs="Times New Roman" w:hint="eastAsia"/>
                <w:sz w:val="21"/>
                <w:szCs w:val="21"/>
              </w:rPr>
              <w:t>1</w:t>
            </w:r>
            <w:r>
              <w:rPr>
                <w:rFonts w:ascii="Times New Roman" w:eastAsia="宋体" w:hAnsi="Times New Roman" w:cs="Times New Roman" w:hint="eastAsia"/>
                <w:sz w:val="21"/>
                <w:szCs w:val="21"/>
              </w:rPr>
              <w:t>个临时生产区（向阳水电站前池临时生产区占地为</w:t>
            </w:r>
            <w:r>
              <w:rPr>
                <w:rFonts w:ascii="Times New Roman" w:eastAsia="宋体" w:hAnsi="Times New Roman" w:cs="Times New Roman" w:hint="eastAsia"/>
                <w:sz w:val="21"/>
                <w:szCs w:val="21"/>
              </w:rPr>
              <w:t>539.16m</w:t>
            </w:r>
            <w:r>
              <w:rPr>
                <w:rFonts w:ascii="Times New Roman" w:eastAsia="宋体" w:hAnsi="Times New Roman" w:cs="Times New Roman" w:hint="eastAsia"/>
                <w:sz w:val="21"/>
                <w:szCs w:val="21"/>
                <w:vertAlign w:val="superscript"/>
              </w:rPr>
              <w:t>2</w:t>
            </w:r>
            <w:r>
              <w:rPr>
                <w:rFonts w:ascii="Times New Roman" w:eastAsia="宋体" w:hAnsi="Times New Roman" w:cs="Times New Roman" w:hint="eastAsia"/>
                <w:sz w:val="21"/>
                <w:szCs w:val="21"/>
              </w:rPr>
              <w:t>，新安晒水池临时生产区占地为</w:t>
            </w:r>
            <w:r>
              <w:rPr>
                <w:rFonts w:ascii="Times New Roman" w:eastAsia="宋体" w:hAnsi="Times New Roman" w:cs="Times New Roman" w:hint="eastAsia"/>
                <w:sz w:val="21"/>
                <w:szCs w:val="21"/>
              </w:rPr>
              <w:t>2390.22m</w:t>
            </w:r>
            <w:r>
              <w:rPr>
                <w:rFonts w:ascii="Times New Roman" w:eastAsia="宋体" w:hAnsi="Times New Roman" w:cs="Times New Roman" w:hint="eastAsia"/>
                <w:sz w:val="21"/>
                <w:szCs w:val="21"/>
                <w:vertAlign w:val="superscript"/>
              </w:rPr>
              <w:t>2</w:t>
            </w:r>
            <w:r>
              <w:rPr>
                <w:rFonts w:ascii="Times New Roman" w:eastAsia="宋体" w:hAnsi="Times New Roman" w:cs="Times New Roman" w:hint="eastAsia"/>
                <w:sz w:val="21"/>
                <w:szCs w:val="21"/>
              </w:rPr>
              <w:t>，万丈水库临时生产区占地为</w:t>
            </w:r>
            <w:r>
              <w:rPr>
                <w:rFonts w:ascii="Times New Roman" w:eastAsia="宋体" w:hAnsi="Times New Roman" w:cs="Times New Roman" w:hint="eastAsia"/>
                <w:sz w:val="21"/>
                <w:szCs w:val="21"/>
              </w:rPr>
              <w:t>1051.47m</w:t>
            </w:r>
            <w:r>
              <w:rPr>
                <w:rFonts w:ascii="Times New Roman" w:eastAsia="宋体" w:hAnsi="Times New Roman" w:cs="Times New Roman" w:hint="eastAsia"/>
                <w:sz w:val="21"/>
                <w:szCs w:val="21"/>
                <w:vertAlign w:val="superscript"/>
              </w:rPr>
              <w:t>2</w:t>
            </w:r>
            <w:r>
              <w:rPr>
                <w:rFonts w:ascii="Times New Roman" w:eastAsia="宋体" w:hAnsi="Times New Roman" w:cs="Times New Roman" w:hint="eastAsia"/>
                <w:sz w:val="21"/>
                <w:szCs w:val="21"/>
              </w:rPr>
              <w:t>，长石水库临时生产区占地为</w:t>
            </w:r>
            <w:r>
              <w:rPr>
                <w:rFonts w:ascii="Times New Roman" w:eastAsia="宋体" w:hAnsi="Times New Roman" w:cs="Times New Roman" w:hint="eastAsia"/>
                <w:sz w:val="21"/>
                <w:szCs w:val="21"/>
              </w:rPr>
              <w:t>9347.49m</w:t>
            </w:r>
            <w:r>
              <w:rPr>
                <w:rFonts w:ascii="Times New Roman" w:eastAsia="宋体" w:hAnsi="Times New Roman" w:cs="Times New Roman" w:hint="eastAsia"/>
                <w:sz w:val="21"/>
                <w:szCs w:val="21"/>
                <w:vertAlign w:val="superscript"/>
              </w:rPr>
              <w:t>2</w:t>
            </w:r>
            <w:r>
              <w:rPr>
                <w:rFonts w:ascii="Times New Roman" w:eastAsia="宋体" w:hAnsi="Times New Roman" w:cs="Times New Roman" w:hint="eastAsia"/>
                <w:sz w:val="21"/>
                <w:szCs w:val="21"/>
              </w:rPr>
              <w:t>，群力水库临时生产区占地为</w:t>
            </w:r>
            <w:r>
              <w:rPr>
                <w:rFonts w:ascii="Times New Roman" w:eastAsia="宋体" w:hAnsi="Times New Roman" w:cs="Times New Roman" w:hint="eastAsia"/>
                <w:sz w:val="21"/>
                <w:szCs w:val="21"/>
              </w:rPr>
              <w:t>7147.21m</w:t>
            </w:r>
            <w:r>
              <w:rPr>
                <w:rFonts w:ascii="Times New Roman" w:eastAsia="宋体" w:hAnsi="Times New Roman" w:cs="Times New Roman" w:hint="eastAsia"/>
                <w:sz w:val="21"/>
                <w:szCs w:val="21"/>
                <w:vertAlign w:val="superscript"/>
              </w:rPr>
              <w:t>2</w:t>
            </w:r>
            <w:r>
              <w:rPr>
                <w:rFonts w:ascii="Times New Roman" w:eastAsia="宋体" w:hAnsi="Times New Roman" w:cs="Times New Roman" w:hint="eastAsia"/>
                <w:sz w:val="21"/>
                <w:szCs w:val="21"/>
              </w:rPr>
              <w:t>），</w:t>
            </w:r>
            <w:r>
              <w:rPr>
                <w:rFonts w:ascii="Times New Roman" w:eastAsia="宋体" w:hAnsi="Times New Roman" w:cs="Times New Roman"/>
                <w:sz w:val="21"/>
                <w:szCs w:val="21"/>
              </w:rPr>
              <w:t>本工程清淤工程共计</w:t>
            </w:r>
            <w:r>
              <w:rPr>
                <w:rFonts w:ascii="Times New Roman" w:eastAsia="宋体" w:hAnsi="Times New Roman" w:cs="Times New Roman" w:hint="eastAsia"/>
                <w:sz w:val="21"/>
                <w:szCs w:val="21"/>
              </w:rPr>
              <w:t>600</w:t>
            </w:r>
            <w:r>
              <w:rPr>
                <w:rFonts w:ascii="Times New Roman" w:eastAsia="宋体" w:hAnsi="Times New Roman" w:cs="Times New Roman"/>
                <w:sz w:val="21"/>
                <w:szCs w:val="21"/>
              </w:rPr>
              <w:t>万</w:t>
            </w:r>
            <w:r>
              <w:rPr>
                <w:rFonts w:ascii="Times New Roman" w:eastAsia="宋体" w:hAnsi="Times New Roman" w:cs="Times New Roman"/>
                <w:sz w:val="21"/>
                <w:szCs w:val="21"/>
              </w:rPr>
              <w:t>m</w:t>
            </w:r>
            <w:r>
              <w:rPr>
                <w:rFonts w:ascii="Times New Roman" w:eastAsia="宋体" w:hAnsi="Times New Roman" w:cs="Times New Roman"/>
                <w:sz w:val="21"/>
                <w:szCs w:val="21"/>
                <w:vertAlign w:val="superscript"/>
              </w:rPr>
              <w:t>3</w:t>
            </w:r>
            <w:r>
              <w:rPr>
                <w:rFonts w:ascii="Times New Roman" w:eastAsia="宋体" w:hAnsi="Times New Roman" w:cs="Times New Roman"/>
                <w:sz w:val="21"/>
                <w:szCs w:val="21"/>
              </w:rPr>
              <w:t>，水库</w:t>
            </w:r>
            <w:r>
              <w:rPr>
                <w:rFonts w:ascii="Times New Roman" w:eastAsia="宋体" w:hAnsi="Times New Roman" w:cs="Times New Roman" w:hint="eastAsia"/>
                <w:sz w:val="21"/>
                <w:szCs w:val="21"/>
              </w:rPr>
              <w:t>淤泥经</w:t>
            </w:r>
            <w:r>
              <w:rPr>
                <w:rFonts w:ascii="Times New Roman" w:eastAsia="宋体" w:hAnsi="Times New Roman" w:cs="Times New Roman"/>
                <w:sz w:val="21"/>
                <w:szCs w:val="21"/>
              </w:rPr>
              <w:t>环保绞吸船</w:t>
            </w:r>
            <w:r>
              <w:rPr>
                <w:rFonts w:ascii="Times New Roman" w:eastAsia="宋体" w:hAnsi="Times New Roman" w:cs="Times New Roman" w:hint="eastAsia"/>
                <w:sz w:val="21"/>
                <w:szCs w:val="21"/>
              </w:rPr>
              <w:t>吸出</w:t>
            </w:r>
            <w:r>
              <w:rPr>
                <w:rFonts w:ascii="Times New Roman" w:eastAsia="宋体" w:hAnsi="Times New Roman" w:cs="Times New Roman"/>
                <w:sz w:val="21"/>
                <w:szCs w:val="21"/>
              </w:rPr>
              <w:t>后</w:t>
            </w:r>
            <w:r>
              <w:rPr>
                <w:rFonts w:ascii="Times New Roman" w:eastAsia="宋体" w:hAnsi="Times New Roman" w:cs="Times New Roman" w:hint="eastAsia"/>
                <w:sz w:val="21"/>
                <w:szCs w:val="21"/>
              </w:rPr>
              <w:t>经管道泵入</w:t>
            </w:r>
            <w:r>
              <w:rPr>
                <w:rFonts w:ascii="Times New Roman" w:eastAsia="宋体" w:hAnsi="Times New Roman" w:cs="Times New Roman"/>
                <w:sz w:val="21"/>
                <w:szCs w:val="21"/>
              </w:rPr>
              <w:t>就近的临时生产区，淤泥</w:t>
            </w:r>
            <w:r>
              <w:rPr>
                <w:rFonts w:ascii="Times New Roman" w:eastAsia="宋体" w:hAnsi="Times New Roman" w:cs="Times New Roman" w:hint="eastAsia"/>
                <w:sz w:val="21"/>
                <w:szCs w:val="21"/>
              </w:rPr>
              <w:t>经真空预压技术脱水，淤泥水经沉淀处理后回流到水库，脱水后的淤泥</w:t>
            </w:r>
            <w:r>
              <w:rPr>
                <w:rFonts w:ascii="Times New Roman" w:eastAsia="宋体" w:hAnsi="Times New Roman" w:cs="Times New Roman"/>
                <w:sz w:val="21"/>
                <w:szCs w:val="21"/>
              </w:rPr>
              <w:t>利用</w:t>
            </w:r>
            <w:r>
              <w:rPr>
                <w:rFonts w:ascii="Times New Roman" w:hAnsi="Times New Roman" w:cs="Times New Roman"/>
                <w:bCs/>
                <w:sz w:val="21"/>
                <w:szCs w:val="21"/>
              </w:rPr>
              <w:t>农用复合编织袋打包储存，淤泥脱水后综合外售用于绿化土</w:t>
            </w:r>
            <w:r>
              <w:rPr>
                <w:rFonts w:ascii="Times New Roman" w:hAnsi="Times New Roman" w:cs="Times New Roman" w:hint="eastAsia"/>
                <w:bCs/>
                <w:sz w:val="21"/>
                <w:szCs w:val="21"/>
              </w:rPr>
              <w:t>。</w:t>
            </w:r>
          </w:p>
        </w:tc>
      </w:tr>
      <w:tr w:rsidR="009D12AF" w14:paraId="7A57B960" w14:textId="77777777">
        <w:trPr>
          <w:trHeight w:val="340"/>
          <w:jc w:val="center"/>
        </w:trPr>
        <w:tc>
          <w:tcPr>
            <w:tcW w:w="423" w:type="pct"/>
            <w:vMerge/>
            <w:tcBorders>
              <w:tl2br w:val="nil"/>
              <w:tr2bl w:val="nil"/>
            </w:tcBorders>
            <w:vAlign w:val="center"/>
          </w:tcPr>
          <w:p w14:paraId="5DE917A3" w14:textId="77777777" w:rsidR="009D12AF" w:rsidRDefault="009D12AF">
            <w:pPr>
              <w:adjustRightInd w:val="0"/>
              <w:snapToGrid w:val="0"/>
              <w:spacing w:line="240" w:lineRule="auto"/>
              <w:ind w:firstLineChars="0" w:firstLine="0"/>
              <w:jc w:val="center"/>
              <w:rPr>
                <w:rFonts w:ascii="Times New Roman" w:eastAsia="宋体" w:hAnsi="Times New Roman" w:cs="Times New Roman"/>
                <w:snapToGrid w:val="0"/>
                <w:kern w:val="0"/>
                <w:sz w:val="21"/>
                <w:szCs w:val="21"/>
              </w:rPr>
            </w:pPr>
          </w:p>
        </w:tc>
        <w:tc>
          <w:tcPr>
            <w:tcW w:w="917" w:type="pct"/>
            <w:tcBorders>
              <w:tl2br w:val="nil"/>
              <w:tr2bl w:val="nil"/>
            </w:tcBorders>
            <w:vAlign w:val="center"/>
          </w:tcPr>
          <w:p w14:paraId="523CBC6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施工便道</w:t>
            </w:r>
          </w:p>
        </w:tc>
        <w:tc>
          <w:tcPr>
            <w:tcW w:w="3659" w:type="pct"/>
            <w:tcBorders>
              <w:tl2br w:val="nil"/>
              <w:tr2bl w:val="nil"/>
            </w:tcBorders>
            <w:vAlign w:val="center"/>
          </w:tcPr>
          <w:p w14:paraId="7F15973B"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本项目施工便道依托库区内现有道路，不单独新建施工便道</w:t>
            </w:r>
            <w:r>
              <w:rPr>
                <w:rFonts w:ascii="Times New Roman" w:eastAsia="宋体" w:hAnsi="Times New Roman" w:cs="Times New Roman" w:hint="eastAsia"/>
                <w:sz w:val="21"/>
                <w:szCs w:val="21"/>
              </w:rPr>
              <w:t>。现有</w:t>
            </w:r>
            <w:r>
              <w:rPr>
                <w:rFonts w:ascii="Times New Roman" w:eastAsia="宋体" w:hAnsi="Times New Roman" w:cs="Times New Roman" w:hint="eastAsia"/>
                <w:sz w:val="21"/>
                <w:szCs w:val="21"/>
              </w:rPr>
              <w:lastRenderedPageBreak/>
              <w:t>道路长度为：向阳水电站前池道路长度为</w:t>
            </w:r>
            <w:r>
              <w:rPr>
                <w:rFonts w:ascii="Times New Roman" w:eastAsia="宋体" w:hAnsi="Times New Roman" w:cs="Times New Roman" w:hint="eastAsia"/>
                <w:sz w:val="21"/>
                <w:szCs w:val="21"/>
              </w:rPr>
              <w:t>794.4m</w:t>
            </w:r>
            <w:r>
              <w:rPr>
                <w:rFonts w:ascii="Times New Roman" w:eastAsia="宋体" w:hAnsi="Times New Roman" w:cs="Times New Roman" w:hint="eastAsia"/>
                <w:sz w:val="21"/>
                <w:szCs w:val="21"/>
              </w:rPr>
              <w:t>（面积为</w:t>
            </w:r>
            <w:r>
              <w:rPr>
                <w:rFonts w:ascii="Times New Roman" w:eastAsia="宋体" w:hAnsi="Times New Roman" w:cs="Times New Roman" w:hint="eastAsia"/>
                <w:sz w:val="21"/>
                <w:szCs w:val="21"/>
              </w:rPr>
              <w:t>3177.6m</w:t>
            </w:r>
            <w:r>
              <w:rPr>
                <w:rFonts w:ascii="Times New Roman" w:eastAsia="宋体" w:hAnsi="Times New Roman" w:cs="Times New Roman" w:hint="eastAsia"/>
                <w:sz w:val="21"/>
                <w:szCs w:val="21"/>
                <w:vertAlign w:val="superscript"/>
              </w:rPr>
              <w:t>2</w:t>
            </w:r>
            <w:r>
              <w:rPr>
                <w:rFonts w:ascii="Times New Roman" w:eastAsia="宋体" w:hAnsi="Times New Roman" w:cs="Times New Roman" w:hint="eastAsia"/>
                <w:sz w:val="21"/>
                <w:szCs w:val="21"/>
              </w:rPr>
              <w:t>）；新安晒水池道路长度为</w:t>
            </w:r>
            <w:r>
              <w:rPr>
                <w:rFonts w:ascii="Times New Roman" w:eastAsia="宋体" w:hAnsi="Times New Roman" w:cs="Times New Roman" w:hint="eastAsia"/>
                <w:sz w:val="21"/>
                <w:szCs w:val="21"/>
              </w:rPr>
              <w:t>1008.19m</w:t>
            </w:r>
            <w:r>
              <w:rPr>
                <w:rFonts w:ascii="Times New Roman" w:eastAsia="宋体" w:hAnsi="Times New Roman" w:cs="Times New Roman" w:hint="eastAsia"/>
                <w:sz w:val="21"/>
                <w:szCs w:val="21"/>
              </w:rPr>
              <w:t>（面积为</w:t>
            </w:r>
            <w:r>
              <w:rPr>
                <w:rFonts w:ascii="Times New Roman" w:eastAsia="宋体" w:hAnsi="Times New Roman" w:cs="Times New Roman" w:hint="eastAsia"/>
                <w:sz w:val="21"/>
                <w:szCs w:val="21"/>
              </w:rPr>
              <w:t>8237.66m</w:t>
            </w:r>
            <w:r>
              <w:rPr>
                <w:rFonts w:ascii="Times New Roman" w:eastAsia="宋体" w:hAnsi="Times New Roman" w:cs="Times New Roman" w:hint="eastAsia"/>
                <w:sz w:val="21"/>
                <w:szCs w:val="21"/>
                <w:vertAlign w:val="superscript"/>
              </w:rPr>
              <w:t>2</w:t>
            </w:r>
            <w:r>
              <w:rPr>
                <w:rFonts w:ascii="Times New Roman" w:eastAsia="宋体" w:hAnsi="Times New Roman" w:cs="Times New Roman" w:hint="eastAsia"/>
                <w:sz w:val="21"/>
                <w:szCs w:val="21"/>
              </w:rPr>
              <w:t>）；万丈水库道路长度为</w:t>
            </w:r>
            <w:r>
              <w:rPr>
                <w:rFonts w:ascii="Times New Roman" w:eastAsia="宋体" w:hAnsi="Times New Roman" w:cs="Times New Roman" w:hint="eastAsia"/>
                <w:sz w:val="21"/>
                <w:szCs w:val="21"/>
              </w:rPr>
              <w:t>648.22m</w:t>
            </w:r>
            <w:r>
              <w:rPr>
                <w:rFonts w:ascii="Times New Roman" w:eastAsia="宋体" w:hAnsi="Times New Roman" w:cs="Times New Roman" w:hint="eastAsia"/>
                <w:sz w:val="21"/>
                <w:szCs w:val="21"/>
              </w:rPr>
              <w:t>（</w:t>
            </w:r>
            <w:r>
              <w:rPr>
                <w:rFonts w:ascii="Times New Roman" w:eastAsia="宋体" w:hAnsi="Times New Roman" w:cs="Times New Roman" w:hint="eastAsia"/>
                <w:sz w:val="21"/>
                <w:szCs w:val="21"/>
              </w:rPr>
              <w:t>3987.26m</w:t>
            </w:r>
            <w:r>
              <w:rPr>
                <w:rFonts w:ascii="Times New Roman" w:eastAsia="宋体" w:hAnsi="Times New Roman" w:cs="Times New Roman" w:hint="eastAsia"/>
                <w:sz w:val="21"/>
                <w:szCs w:val="21"/>
                <w:vertAlign w:val="superscript"/>
              </w:rPr>
              <w:t>2</w:t>
            </w:r>
            <w:r>
              <w:rPr>
                <w:rFonts w:ascii="Times New Roman" w:eastAsia="宋体" w:hAnsi="Times New Roman" w:cs="Times New Roman" w:hint="eastAsia"/>
                <w:sz w:val="21"/>
                <w:szCs w:val="21"/>
              </w:rPr>
              <w:t>）；长石水库道路长度为</w:t>
            </w:r>
            <w:r>
              <w:rPr>
                <w:rFonts w:ascii="Times New Roman" w:eastAsia="宋体" w:hAnsi="Times New Roman" w:cs="Times New Roman" w:hint="eastAsia"/>
                <w:sz w:val="21"/>
                <w:szCs w:val="21"/>
              </w:rPr>
              <w:t>1364m</w:t>
            </w:r>
            <w:r>
              <w:rPr>
                <w:rFonts w:ascii="Times New Roman" w:eastAsia="宋体" w:hAnsi="Times New Roman" w:cs="Times New Roman" w:hint="eastAsia"/>
                <w:sz w:val="21"/>
                <w:szCs w:val="21"/>
              </w:rPr>
              <w:t>（面积为</w:t>
            </w:r>
            <w:r>
              <w:rPr>
                <w:rFonts w:ascii="Times New Roman" w:eastAsia="宋体" w:hAnsi="Times New Roman" w:cs="Times New Roman" w:hint="eastAsia"/>
                <w:sz w:val="21"/>
                <w:szCs w:val="21"/>
              </w:rPr>
              <w:t>5456m</w:t>
            </w:r>
            <w:r>
              <w:rPr>
                <w:rFonts w:ascii="Times New Roman" w:eastAsia="宋体" w:hAnsi="Times New Roman" w:cs="Times New Roman" w:hint="eastAsia"/>
                <w:sz w:val="21"/>
                <w:szCs w:val="21"/>
                <w:vertAlign w:val="superscript"/>
              </w:rPr>
              <w:t>2</w:t>
            </w:r>
            <w:r>
              <w:rPr>
                <w:rFonts w:ascii="Times New Roman" w:eastAsia="宋体" w:hAnsi="Times New Roman" w:cs="Times New Roman" w:hint="eastAsia"/>
                <w:sz w:val="21"/>
                <w:szCs w:val="21"/>
              </w:rPr>
              <w:t>）；群力水库道路长度为</w:t>
            </w:r>
            <w:r>
              <w:rPr>
                <w:rFonts w:ascii="Times New Roman" w:eastAsia="宋体" w:hAnsi="Times New Roman" w:cs="Times New Roman" w:hint="eastAsia"/>
                <w:sz w:val="21"/>
                <w:szCs w:val="21"/>
              </w:rPr>
              <w:t>504.38m</w:t>
            </w:r>
            <w:r>
              <w:rPr>
                <w:rFonts w:ascii="Times New Roman" w:eastAsia="宋体" w:hAnsi="Times New Roman" w:cs="Times New Roman" w:hint="eastAsia"/>
                <w:sz w:val="21"/>
                <w:szCs w:val="21"/>
              </w:rPr>
              <w:t>（面积为</w:t>
            </w:r>
            <w:r>
              <w:rPr>
                <w:rFonts w:ascii="Times New Roman" w:eastAsia="宋体" w:hAnsi="Times New Roman" w:cs="Times New Roman" w:hint="eastAsia"/>
                <w:sz w:val="21"/>
                <w:szCs w:val="21"/>
              </w:rPr>
              <w:t>2017.52m</w:t>
            </w:r>
            <w:r>
              <w:rPr>
                <w:rFonts w:ascii="Times New Roman" w:eastAsia="宋体" w:hAnsi="Times New Roman" w:cs="Times New Roman" w:hint="eastAsia"/>
                <w:sz w:val="21"/>
                <w:szCs w:val="21"/>
                <w:vertAlign w:val="superscript"/>
              </w:rPr>
              <w:t>2</w:t>
            </w:r>
            <w:r>
              <w:rPr>
                <w:rFonts w:ascii="Times New Roman" w:eastAsia="宋体" w:hAnsi="Times New Roman" w:cs="Times New Roman" w:hint="eastAsia"/>
                <w:sz w:val="21"/>
                <w:szCs w:val="21"/>
              </w:rPr>
              <w:t>）。</w:t>
            </w:r>
          </w:p>
        </w:tc>
      </w:tr>
      <w:tr w:rsidR="009D12AF" w14:paraId="7ECB2C12" w14:textId="77777777">
        <w:trPr>
          <w:trHeight w:val="340"/>
          <w:jc w:val="center"/>
        </w:trPr>
        <w:tc>
          <w:tcPr>
            <w:tcW w:w="423" w:type="pct"/>
            <w:vMerge/>
            <w:tcBorders>
              <w:tl2br w:val="nil"/>
              <w:tr2bl w:val="nil"/>
            </w:tcBorders>
            <w:vAlign w:val="center"/>
          </w:tcPr>
          <w:p w14:paraId="126F9D53" w14:textId="77777777" w:rsidR="009D12AF" w:rsidRDefault="009D12AF">
            <w:pPr>
              <w:adjustRightInd w:val="0"/>
              <w:snapToGrid w:val="0"/>
              <w:spacing w:line="240" w:lineRule="auto"/>
              <w:ind w:firstLineChars="0" w:firstLine="0"/>
              <w:jc w:val="center"/>
              <w:rPr>
                <w:rFonts w:ascii="Times New Roman" w:eastAsia="宋体" w:hAnsi="Times New Roman" w:cs="Times New Roman"/>
                <w:snapToGrid w:val="0"/>
                <w:kern w:val="0"/>
                <w:sz w:val="21"/>
                <w:szCs w:val="21"/>
              </w:rPr>
            </w:pPr>
          </w:p>
        </w:tc>
        <w:tc>
          <w:tcPr>
            <w:tcW w:w="917" w:type="pct"/>
            <w:tcBorders>
              <w:tl2br w:val="nil"/>
              <w:tr2bl w:val="nil"/>
            </w:tcBorders>
            <w:vAlign w:val="center"/>
          </w:tcPr>
          <w:p w14:paraId="5EF33FF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排泥管线</w:t>
            </w:r>
          </w:p>
        </w:tc>
        <w:tc>
          <w:tcPr>
            <w:tcW w:w="3659" w:type="pct"/>
            <w:tcBorders>
              <w:tl2br w:val="nil"/>
              <w:tr2bl w:val="nil"/>
            </w:tcBorders>
            <w:vAlign w:val="center"/>
          </w:tcPr>
          <w:p w14:paraId="34E98CCC"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hint="eastAsia"/>
                <w:sz w:val="21"/>
                <w:szCs w:val="21"/>
              </w:rPr>
              <w:t>群力水库排泥管线主管线长度为</w:t>
            </w:r>
            <w:r>
              <w:rPr>
                <w:rFonts w:ascii="Times New Roman" w:eastAsia="宋体" w:hAnsi="Times New Roman" w:cs="Times New Roman" w:hint="eastAsia"/>
                <w:sz w:val="21"/>
                <w:szCs w:val="21"/>
              </w:rPr>
              <w:t>2800m</w:t>
            </w:r>
            <w:r>
              <w:rPr>
                <w:rFonts w:ascii="Times New Roman" w:eastAsia="宋体" w:hAnsi="Times New Roman" w:cs="Times New Roman" w:hint="eastAsia"/>
                <w:sz w:val="21"/>
                <w:szCs w:val="21"/>
              </w:rPr>
              <w:t>，支管线长度为</w:t>
            </w:r>
            <w:r>
              <w:rPr>
                <w:rFonts w:ascii="Times New Roman" w:eastAsia="宋体" w:hAnsi="Times New Roman" w:cs="Times New Roman" w:hint="eastAsia"/>
                <w:sz w:val="21"/>
                <w:szCs w:val="21"/>
              </w:rPr>
              <w:t>4500m</w:t>
            </w:r>
            <w:r>
              <w:rPr>
                <w:rFonts w:ascii="Times New Roman" w:eastAsia="宋体" w:hAnsi="Times New Roman" w:cs="Times New Roman" w:hint="eastAsia"/>
                <w:sz w:val="21"/>
                <w:szCs w:val="21"/>
              </w:rPr>
              <w:t>；长石水库排泥管线主管线长度为</w:t>
            </w:r>
            <w:r>
              <w:rPr>
                <w:rFonts w:ascii="Times New Roman" w:eastAsia="宋体" w:hAnsi="Times New Roman" w:cs="Times New Roman" w:hint="eastAsia"/>
                <w:sz w:val="21"/>
                <w:szCs w:val="21"/>
              </w:rPr>
              <w:t>800m</w:t>
            </w:r>
            <w:r>
              <w:rPr>
                <w:rFonts w:ascii="Times New Roman" w:eastAsia="宋体" w:hAnsi="Times New Roman" w:cs="Times New Roman" w:hint="eastAsia"/>
                <w:sz w:val="21"/>
                <w:szCs w:val="21"/>
              </w:rPr>
              <w:t>，支管线长度为</w:t>
            </w:r>
            <w:r>
              <w:rPr>
                <w:rFonts w:ascii="Times New Roman" w:eastAsia="宋体" w:hAnsi="Times New Roman" w:cs="Times New Roman" w:hint="eastAsia"/>
                <w:sz w:val="21"/>
                <w:szCs w:val="21"/>
              </w:rPr>
              <w:t>1200m</w:t>
            </w:r>
            <w:r>
              <w:rPr>
                <w:rFonts w:ascii="Times New Roman" w:eastAsia="宋体" w:hAnsi="Times New Roman" w:cs="Times New Roman" w:hint="eastAsia"/>
                <w:sz w:val="21"/>
                <w:szCs w:val="21"/>
              </w:rPr>
              <w:t>；向阳水电站前池排泥管线主管线长度为</w:t>
            </w:r>
            <w:r>
              <w:rPr>
                <w:rFonts w:ascii="Times New Roman" w:eastAsia="宋体" w:hAnsi="Times New Roman" w:cs="Times New Roman" w:hint="eastAsia"/>
                <w:sz w:val="21"/>
                <w:szCs w:val="21"/>
              </w:rPr>
              <w:t>600m</w:t>
            </w:r>
            <w:r>
              <w:rPr>
                <w:rFonts w:ascii="Times New Roman" w:eastAsia="宋体" w:hAnsi="Times New Roman" w:cs="Times New Roman" w:hint="eastAsia"/>
                <w:sz w:val="21"/>
                <w:szCs w:val="21"/>
              </w:rPr>
              <w:t>，支管线长度为</w:t>
            </w:r>
            <w:r>
              <w:rPr>
                <w:rFonts w:ascii="Times New Roman" w:eastAsia="宋体" w:hAnsi="Times New Roman" w:cs="Times New Roman" w:hint="eastAsia"/>
                <w:sz w:val="21"/>
                <w:szCs w:val="21"/>
              </w:rPr>
              <w:t>900m</w:t>
            </w:r>
            <w:r>
              <w:rPr>
                <w:rFonts w:ascii="Times New Roman" w:eastAsia="宋体" w:hAnsi="Times New Roman" w:cs="Times New Roman" w:hint="eastAsia"/>
                <w:sz w:val="21"/>
                <w:szCs w:val="21"/>
              </w:rPr>
              <w:t>；新安晒水池排泥管线主管线长度为</w:t>
            </w:r>
            <w:r>
              <w:rPr>
                <w:rFonts w:ascii="Times New Roman" w:eastAsia="宋体" w:hAnsi="Times New Roman" w:cs="Times New Roman" w:hint="eastAsia"/>
                <w:sz w:val="21"/>
                <w:szCs w:val="21"/>
              </w:rPr>
              <w:t>700m</w:t>
            </w:r>
            <w:r>
              <w:rPr>
                <w:rFonts w:ascii="Times New Roman" w:eastAsia="宋体" w:hAnsi="Times New Roman" w:cs="Times New Roman" w:hint="eastAsia"/>
                <w:sz w:val="21"/>
                <w:szCs w:val="21"/>
              </w:rPr>
              <w:t>，支管线长度为</w:t>
            </w:r>
            <w:r>
              <w:rPr>
                <w:rFonts w:ascii="Times New Roman" w:eastAsia="宋体" w:hAnsi="Times New Roman" w:cs="Times New Roman" w:hint="eastAsia"/>
                <w:sz w:val="21"/>
                <w:szCs w:val="21"/>
              </w:rPr>
              <w:t>1000m</w:t>
            </w:r>
            <w:r>
              <w:rPr>
                <w:rFonts w:ascii="Times New Roman" w:eastAsia="宋体" w:hAnsi="Times New Roman" w:cs="Times New Roman" w:hint="eastAsia"/>
                <w:sz w:val="21"/>
                <w:szCs w:val="21"/>
              </w:rPr>
              <w:t>；万丈水库排泥管线主管线长度为</w:t>
            </w:r>
            <w:r>
              <w:rPr>
                <w:rFonts w:ascii="Times New Roman" w:eastAsia="宋体" w:hAnsi="Times New Roman" w:cs="Times New Roman" w:hint="eastAsia"/>
                <w:sz w:val="21"/>
                <w:szCs w:val="21"/>
              </w:rPr>
              <w:t>1200m</w:t>
            </w:r>
            <w:r>
              <w:rPr>
                <w:rFonts w:ascii="Times New Roman" w:eastAsia="宋体" w:hAnsi="Times New Roman" w:cs="Times New Roman" w:hint="eastAsia"/>
                <w:sz w:val="21"/>
                <w:szCs w:val="21"/>
              </w:rPr>
              <w:t>，支管线长度为</w:t>
            </w:r>
            <w:r>
              <w:rPr>
                <w:rFonts w:ascii="Times New Roman" w:eastAsia="宋体" w:hAnsi="Times New Roman" w:cs="Times New Roman" w:hint="eastAsia"/>
                <w:sz w:val="21"/>
                <w:szCs w:val="21"/>
              </w:rPr>
              <w:t>1800m</w:t>
            </w:r>
            <w:r>
              <w:rPr>
                <w:rFonts w:ascii="Times New Roman" w:eastAsia="宋体" w:hAnsi="Times New Roman" w:cs="Times New Roman" w:hint="eastAsia"/>
                <w:sz w:val="21"/>
                <w:szCs w:val="21"/>
              </w:rPr>
              <w:t>。</w:t>
            </w:r>
          </w:p>
        </w:tc>
      </w:tr>
      <w:tr w:rsidR="009D12AF" w14:paraId="68F0AF99" w14:textId="77777777">
        <w:trPr>
          <w:trHeight w:val="340"/>
          <w:jc w:val="center"/>
        </w:trPr>
        <w:tc>
          <w:tcPr>
            <w:tcW w:w="423" w:type="pct"/>
            <w:vMerge/>
            <w:tcBorders>
              <w:tl2br w:val="nil"/>
              <w:tr2bl w:val="nil"/>
            </w:tcBorders>
            <w:vAlign w:val="center"/>
          </w:tcPr>
          <w:p w14:paraId="5366B70F" w14:textId="77777777" w:rsidR="009D12AF" w:rsidRDefault="009D12AF">
            <w:pPr>
              <w:adjustRightInd w:val="0"/>
              <w:snapToGrid w:val="0"/>
              <w:spacing w:line="240" w:lineRule="auto"/>
              <w:ind w:firstLineChars="0" w:firstLine="0"/>
              <w:jc w:val="center"/>
              <w:rPr>
                <w:rFonts w:ascii="Times New Roman" w:eastAsia="宋体" w:hAnsi="Times New Roman" w:cs="Times New Roman"/>
                <w:snapToGrid w:val="0"/>
                <w:kern w:val="0"/>
                <w:sz w:val="21"/>
                <w:szCs w:val="21"/>
              </w:rPr>
            </w:pPr>
          </w:p>
        </w:tc>
        <w:tc>
          <w:tcPr>
            <w:tcW w:w="917" w:type="pct"/>
            <w:tcBorders>
              <w:tl2br w:val="nil"/>
              <w:tr2bl w:val="nil"/>
            </w:tcBorders>
            <w:vAlign w:val="center"/>
          </w:tcPr>
          <w:p w14:paraId="2689927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泥水收集池</w:t>
            </w:r>
          </w:p>
        </w:tc>
        <w:tc>
          <w:tcPr>
            <w:tcW w:w="3659" w:type="pct"/>
            <w:tcBorders>
              <w:tl2br w:val="nil"/>
              <w:tr2bl w:val="nil"/>
            </w:tcBorders>
            <w:vAlign w:val="center"/>
          </w:tcPr>
          <w:p w14:paraId="06C5AFAA"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本项目</w:t>
            </w:r>
            <w:r>
              <w:rPr>
                <w:rFonts w:ascii="Times New Roman" w:eastAsia="宋体" w:hAnsi="Times New Roman" w:cs="Times New Roman" w:hint="eastAsia"/>
                <w:sz w:val="21"/>
                <w:szCs w:val="21"/>
              </w:rPr>
              <w:t>共</w:t>
            </w:r>
            <w:r>
              <w:rPr>
                <w:rFonts w:ascii="Times New Roman" w:eastAsia="宋体" w:hAnsi="Times New Roman" w:cs="Times New Roman"/>
                <w:sz w:val="21"/>
                <w:szCs w:val="21"/>
              </w:rPr>
              <w:t>设置</w:t>
            </w:r>
            <w:r>
              <w:rPr>
                <w:rFonts w:ascii="Times New Roman" w:eastAsia="宋体" w:hAnsi="Times New Roman" w:cs="Times New Roman" w:hint="eastAsia"/>
                <w:sz w:val="21"/>
                <w:szCs w:val="21"/>
              </w:rPr>
              <w:t>13</w:t>
            </w:r>
            <w:r>
              <w:rPr>
                <w:rFonts w:ascii="Times New Roman" w:eastAsia="宋体" w:hAnsi="Times New Roman" w:cs="Times New Roman" w:hint="eastAsia"/>
                <w:sz w:val="21"/>
                <w:szCs w:val="21"/>
              </w:rPr>
              <w:t>座泥水收集池</w:t>
            </w:r>
            <w:r>
              <w:rPr>
                <w:rFonts w:ascii="Times New Roman" w:eastAsia="宋体" w:hAnsi="Times New Roman" w:cs="Times New Roman"/>
                <w:sz w:val="21"/>
                <w:szCs w:val="21"/>
              </w:rPr>
              <w:t>，</w:t>
            </w:r>
            <w:r>
              <w:rPr>
                <w:rFonts w:ascii="Times New Roman" w:eastAsia="宋体" w:hAnsi="Times New Roman" w:cs="Times New Roman" w:hint="eastAsia"/>
                <w:sz w:val="21"/>
                <w:szCs w:val="21"/>
              </w:rPr>
              <w:t>其中群力水库设置</w:t>
            </w:r>
            <w:r>
              <w:rPr>
                <w:rFonts w:ascii="Times New Roman" w:eastAsia="宋体" w:hAnsi="Times New Roman" w:cs="Times New Roman" w:hint="eastAsia"/>
                <w:sz w:val="21"/>
                <w:szCs w:val="21"/>
              </w:rPr>
              <w:t>5</w:t>
            </w:r>
            <w:r>
              <w:rPr>
                <w:rFonts w:ascii="Times New Roman" w:eastAsia="宋体" w:hAnsi="Times New Roman" w:cs="Times New Roman" w:hint="eastAsia"/>
                <w:sz w:val="21"/>
                <w:szCs w:val="21"/>
              </w:rPr>
              <w:t>座（容积为</w:t>
            </w:r>
            <w:r>
              <w:rPr>
                <w:rFonts w:ascii="Times New Roman" w:eastAsia="宋体" w:hAnsi="Times New Roman" w:cs="Times New Roman" w:hint="eastAsia"/>
                <w:sz w:val="21"/>
                <w:szCs w:val="21"/>
              </w:rPr>
              <w:t>15000m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w:t>
            </w:r>
            <w:r>
              <w:rPr>
                <w:rFonts w:ascii="Times New Roman" w:eastAsia="宋体" w:hAnsi="Times New Roman" w:cs="Times New Roman" w:hint="eastAsia"/>
                <w:sz w:val="21"/>
                <w:szCs w:val="21"/>
              </w:rPr>
              <w:t>2</w:t>
            </w:r>
            <w:r>
              <w:rPr>
                <w:rFonts w:ascii="Times New Roman" w:eastAsia="宋体" w:hAnsi="Times New Roman" w:cs="Times New Roman" w:hint="eastAsia"/>
                <w:sz w:val="21"/>
                <w:szCs w:val="21"/>
              </w:rPr>
              <w:t>座）和</w:t>
            </w:r>
            <w:r>
              <w:rPr>
                <w:rFonts w:ascii="Times New Roman" w:eastAsia="宋体" w:hAnsi="Times New Roman" w:cs="Times New Roman" w:hint="eastAsia"/>
                <w:sz w:val="21"/>
                <w:szCs w:val="21"/>
              </w:rPr>
              <w:t>8000m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w:t>
            </w:r>
            <w:r>
              <w:rPr>
                <w:rFonts w:ascii="Times New Roman" w:eastAsia="宋体" w:hAnsi="Times New Roman" w:cs="Times New Roman" w:hint="eastAsia"/>
                <w:sz w:val="21"/>
                <w:szCs w:val="21"/>
              </w:rPr>
              <w:t>3</w:t>
            </w:r>
            <w:r>
              <w:rPr>
                <w:rFonts w:ascii="Times New Roman" w:eastAsia="宋体" w:hAnsi="Times New Roman" w:cs="Times New Roman" w:hint="eastAsia"/>
                <w:sz w:val="21"/>
                <w:szCs w:val="21"/>
              </w:rPr>
              <w:t>座））、长石水库（容积为</w:t>
            </w:r>
            <w:r>
              <w:rPr>
                <w:rFonts w:ascii="Times New Roman" w:eastAsia="宋体" w:hAnsi="Times New Roman" w:cs="Times New Roman" w:hint="eastAsia"/>
                <w:sz w:val="21"/>
                <w:szCs w:val="21"/>
              </w:rPr>
              <w:t>6000m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和</w:t>
            </w:r>
            <w:r>
              <w:rPr>
                <w:rFonts w:ascii="Times New Roman" w:eastAsia="宋体" w:hAnsi="Times New Roman" w:cs="Times New Roman" w:hint="eastAsia"/>
                <w:sz w:val="21"/>
                <w:szCs w:val="21"/>
              </w:rPr>
              <w:t>3000m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）、万丈水库（容积为</w:t>
            </w:r>
            <w:r>
              <w:rPr>
                <w:rFonts w:ascii="Times New Roman" w:eastAsia="宋体" w:hAnsi="Times New Roman" w:cs="Times New Roman" w:hint="eastAsia"/>
                <w:sz w:val="21"/>
                <w:szCs w:val="21"/>
              </w:rPr>
              <w:t>8000m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和</w:t>
            </w:r>
            <w:r>
              <w:rPr>
                <w:rFonts w:ascii="Times New Roman" w:eastAsia="宋体" w:hAnsi="Times New Roman" w:cs="Times New Roman" w:hint="eastAsia"/>
                <w:sz w:val="21"/>
                <w:szCs w:val="21"/>
              </w:rPr>
              <w:t>4000m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）、新安晒水池（容积为</w:t>
            </w:r>
            <w:r>
              <w:rPr>
                <w:rFonts w:ascii="Times New Roman" w:eastAsia="宋体" w:hAnsi="Times New Roman" w:cs="Times New Roman" w:hint="eastAsia"/>
                <w:sz w:val="21"/>
                <w:szCs w:val="21"/>
              </w:rPr>
              <w:t>5000m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和</w:t>
            </w:r>
            <w:r>
              <w:rPr>
                <w:rFonts w:ascii="Times New Roman" w:eastAsia="宋体" w:hAnsi="Times New Roman" w:cs="Times New Roman" w:hint="eastAsia"/>
                <w:sz w:val="21"/>
                <w:szCs w:val="21"/>
              </w:rPr>
              <w:t>2000m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）、向阳水电站前池（容积为</w:t>
            </w:r>
            <w:r>
              <w:rPr>
                <w:rFonts w:ascii="Times New Roman" w:eastAsia="宋体" w:hAnsi="Times New Roman" w:cs="Times New Roman" w:hint="eastAsia"/>
                <w:sz w:val="21"/>
                <w:szCs w:val="21"/>
              </w:rPr>
              <w:t>6000m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和</w:t>
            </w:r>
            <w:r>
              <w:rPr>
                <w:rFonts w:ascii="Times New Roman" w:eastAsia="宋体" w:hAnsi="Times New Roman" w:cs="Times New Roman" w:hint="eastAsia"/>
                <w:sz w:val="21"/>
                <w:szCs w:val="21"/>
              </w:rPr>
              <w:t>3000m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）各设置</w:t>
            </w:r>
            <w:r>
              <w:rPr>
                <w:rFonts w:ascii="Times New Roman" w:eastAsia="宋体" w:hAnsi="Times New Roman" w:cs="Times New Roman" w:hint="eastAsia"/>
                <w:sz w:val="21"/>
                <w:szCs w:val="21"/>
              </w:rPr>
              <w:t>2</w:t>
            </w:r>
            <w:r>
              <w:rPr>
                <w:rFonts w:ascii="Times New Roman" w:eastAsia="宋体" w:hAnsi="Times New Roman" w:cs="Times New Roman" w:hint="eastAsia"/>
                <w:sz w:val="21"/>
                <w:szCs w:val="21"/>
              </w:rPr>
              <w:t>座。容积为</w:t>
            </w:r>
            <w:r>
              <w:rPr>
                <w:rFonts w:ascii="Times New Roman" w:eastAsia="宋体" w:hAnsi="Times New Roman" w:cs="Times New Roman"/>
                <w:sz w:val="21"/>
                <w:szCs w:val="21"/>
              </w:rPr>
              <w:t>50m</w:t>
            </w:r>
            <w:r>
              <w:rPr>
                <w:rFonts w:ascii="Times New Roman" w:eastAsia="宋体" w:hAnsi="Times New Roman" w:cs="Times New Roman"/>
                <w:sz w:val="21"/>
                <w:szCs w:val="21"/>
                <w:vertAlign w:val="superscript"/>
              </w:rPr>
              <w:t>3</w:t>
            </w:r>
            <w:r>
              <w:rPr>
                <w:rFonts w:ascii="Times New Roman" w:eastAsia="宋体" w:hAnsi="Times New Roman" w:cs="Times New Roman"/>
                <w:sz w:val="21"/>
                <w:szCs w:val="21"/>
              </w:rPr>
              <w:t>，施工废水经隔油池沉淀后回用于洒水降尘，不外排</w:t>
            </w:r>
            <w:r>
              <w:rPr>
                <w:rFonts w:ascii="Times New Roman" w:eastAsia="宋体" w:hAnsi="Times New Roman" w:cs="Times New Roman" w:hint="eastAsia"/>
                <w:sz w:val="21"/>
                <w:szCs w:val="21"/>
              </w:rPr>
              <w:t>；污泥交由有资质单位回收处理</w:t>
            </w:r>
            <w:r>
              <w:rPr>
                <w:rFonts w:ascii="Times New Roman" w:eastAsia="宋体" w:hAnsi="Times New Roman" w:cs="Times New Roman"/>
                <w:sz w:val="21"/>
                <w:szCs w:val="21"/>
              </w:rPr>
              <w:t>。</w:t>
            </w:r>
          </w:p>
        </w:tc>
      </w:tr>
      <w:tr w:rsidR="009D12AF" w14:paraId="30417FB6" w14:textId="77777777">
        <w:trPr>
          <w:trHeight w:val="340"/>
          <w:jc w:val="center"/>
        </w:trPr>
        <w:tc>
          <w:tcPr>
            <w:tcW w:w="423" w:type="pct"/>
            <w:vMerge/>
            <w:tcBorders>
              <w:tl2br w:val="nil"/>
              <w:tr2bl w:val="nil"/>
            </w:tcBorders>
            <w:vAlign w:val="center"/>
          </w:tcPr>
          <w:p w14:paraId="748D6C2D" w14:textId="77777777" w:rsidR="009D12AF" w:rsidRDefault="009D12AF">
            <w:pPr>
              <w:adjustRightInd w:val="0"/>
              <w:snapToGrid w:val="0"/>
              <w:spacing w:line="240" w:lineRule="auto"/>
              <w:ind w:firstLineChars="0" w:firstLine="0"/>
              <w:jc w:val="center"/>
              <w:rPr>
                <w:rFonts w:ascii="Times New Roman" w:eastAsia="宋体" w:hAnsi="Times New Roman" w:cs="Times New Roman"/>
                <w:snapToGrid w:val="0"/>
                <w:kern w:val="0"/>
                <w:sz w:val="21"/>
                <w:szCs w:val="21"/>
              </w:rPr>
            </w:pPr>
          </w:p>
        </w:tc>
        <w:tc>
          <w:tcPr>
            <w:tcW w:w="917" w:type="pct"/>
            <w:tcBorders>
              <w:tl2br w:val="nil"/>
              <w:tr2bl w:val="nil"/>
            </w:tcBorders>
            <w:vAlign w:val="center"/>
          </w:tcPr>
          <w:p w14:paraId="707BF44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澄清余水收集池</w:t>
            </w:r>
          </w:p>
        </w:tc>
        <w:tc>
          <w:tcPr>
            <w:tcW w:w="3659" w:type="pct"/>
            <w:tcBorders>
              <w:tl2br w:val="nil"/>
              <w:tr2bl w:val="nil"/>
            </w:tcBorders>
            <w:vAlign w:val="center"/>
          </w:tcPr>
          <w:p w14:paraId="5E564FD5"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hint="eastAsia"/>
                <w:sz w:val="21"/>
                <w:szCs w:val="21"/>
              </w:rPr>
              <w:t>本项目共设置</w:t>
            </w:r>
            <w:r>
              <w:rPr>
                <w:rFonts w:ascii="Times New Roman" w:eastAsia="宋体" w:hAnsi="Times New Roman" w:cs="Times New Roman" w:hint="eastAsia"/>
                <w:sz w:val="21"/>
                <w:szCs w:val="21"/>
              </w:rPr>
              <w:t>5</w:t>
            </w:r>
            <w:r>
              <w:rPr>
                <w:rFonts w:ascii="Times New Roman" w:eastAsia="宋体" w:hAnsi="Times New Roman" w:cs="Times New Roman" w:hint="eastAsia"/>
                <w:sz w:val="21"/>
                <w:szCs w:val="21"/>
              </w:rPr>
              <w:t>座澄清余水收集池，其中群力水库设置</w:t>
            </w:r>
            <w:r>
              <w:rPr>
                <w:rFonts w:ascii="Times New Roman" w:eastAsia="宋体" w:hAnsi="Times New Roman" w:cs="Times New Roman" w:hint="eastAsia"/>
                <w:sz w:val="21"/>
                <w:szCs w:val="21"/>
              </w:rPr>
              <w:t>2</w:t>
            </w:r>
            <w:r>
              <w:rPr>
                <w:rFonts w:ascii="Times New Roman" w:eastAsia="宋体" w:hAnsi="Times New Roman" w:cs="Times New Roman" w:hint="eastAsia"/>
                <w:sz w:val="21"/>
                <w:szCs w:val="21"/>
              </w:rPr>
              <w:t>座（</w:t>
            </w:r>
            <w:r>
              <w:rPr>
                <w:rFonts w:ascii="Times New Roman" w:eastAsia="宋体" w:hAnsi="Times New Roman" w:cs="Times New Roman" w:hint="eastAsia"/>
                <w:sz w:val="21"/>
                <w:szCs w:val="21"/>
              </w:rPr>
              <w:t>1</w:t>
            </w:r>
            <w:r>
              <w:rPr>
                <w:rFonts w:ascii="Times New Roman" w:eastAsia="宋体" w:hAnsi="Times New Roman" w:cs="Times New Roman" w:hint="eastAsia"/>
                <w:sz w:val="21"/>
                <w:szCs w:val="21"/>
              </w:rPr>
              <w:t>座容积为</w:t>
            </w:r>
            <w:r>
              <w:rPr>
                <w:rFonts w:ascii="Times New Roman" w:eastAsia="宋体" w:hAnsi="Times New Roman" w:cs="Times New Roman" w:hint="eastAsia"/>
                <w:sz w:val="21"/>
                <w:szCs w:val="21"/>
              </w:rPr>
              <w:t>12000m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），长石水库（容积为</w:t>
            </w:r>
            <w:r>
              <w:rPr>
                <w:rFonts w:ascii="Times New Roman" w:eastAsia="宋体" w:hAnsi="Times New Roman" w:cs="Times New Roman" w:hint="eastAsia"/>
                <w:sz w:val="21"/>
                <w:szCs w:val="21"/>
              </w:rPr>
              <w:t>5000m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）、万丈水库（容积为</w:t>
            </w:r>
            <w:r>
              <w:rPr>
                <w:rFonts w:ascii="Times New Roman" w:eastAsia="宋体" w:hAnsi="Times New Roman" w:cs="Times New Roman" w:hint="eastAsia"/>
                <w:sz w:val="21"/>
                <w:szCs w:val="21"/>
              </w:rPr>
              <w:t>6000m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）、新安晒水池（容积为</w:t>
            </w:r>
            <w:r>
              <w:rPr>
                <w:rFonts w:ascii="Times New Roman" w:eastAsia="宋体" w:hAnsi="Times New Roman" w:cs="Times New Roman" w:hint="eastAsia"/>
                <w:sz w:val="21"/>
                <w:szCs w:val="21"/>
              </w:rPr>
              <w:t>4000m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）、向阳水电站前池（容积为</w:t>
            </w:r>
            <w:r>
              <w:rPr>
                <w:rFonts w:ascii="Times New Roman" w:eastAsia="宋体" w:hAnsi="Times New Roman" w:cs="Times New Roman" w:hint="eastAsia"/>
                <w:sz w:val="21"/>
                <w:szCs w:val="21"/>
              </w:rPr>
              <w:t>5000m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）各设置</w:t>
            </w:r>
            <w:r>
              <w:rPr>
                <w:rFonts w:ascii="Times New Roman" w:eastAsia="宋体" w:hAnsi="Times New Roman" w:cs="Times New Roman" w:hint="eastAsia"/>
                <w:sz w:val="21"/>
                <w:szCs w:val="21"/>
              </w:rPr>
              <w:t>1</w:t>
            </w:r>
            <w:r>
              <w:rPr>
                <w:rFonts w:ascii="Times New Roman" w:eastAsia="宋体" w:hAnsi="Times New Roman" w:cs="Times New Roman" w:hint="eastAsia"/>
                <w:sz w:val="21"/>
                <w:szCs w:val="21"/>
              </w:rPr>
              <w:t>座。</w:t>
            </w:r>
          </w:p>
        </w:tc>
      </w:tr>
      <w:tr w:rsidR="009D12AF" w14:paraId="56FA1D51" w14:textId="77777777">
        <w:trPr>
          <w:trHeight w:val="340"/>
          <w:jc w:val="center"/>
        </w:trPr>
        <w:tc>
          <w:tcPr>
            <w:tcW w:w="423" w:type="pct"/>
            <w:vMerge/>
            <w:tcBorders>
              <w:tl2br w:val="nil"/>
              <w:tr2bl w:val="nil"/>
            </w:tcBorders>
            <w:vAlign w:val="center"/>
          </w:tcPr>
          <w:p w14:paraId="5BCD4115" w14:textId="77777777" w:rsidR="009D12AF" w:rsidRDefault="009D12AF">
            <w:pPr>
              <w:adjustRightInd w:val="0"/>
              <w:snapToGrid w:val="0"/>
              <w:spacing w:line="240" w:lineRule="auto"/>
              <w:ind w:firstLineChars="0" w:firstLine="0"/>
              <w:jc w:val="center"/>
              <w:rPr>
                <w:rFonts w:ascii="Times New Roman" w:eastAsia="宋体" w:hAnsi="Times New Roman" w:cs="Times New Roman"/>
                <w:snapToGrid w:val="0"/>
                <w:kern w:val="0"/>
                <w:sz w:val="21"/>
                <w:szCs w:val="21"/>
              </w:rPr>
            </w:pPr>
          </w:p>
        </w:tc>
        <w:tc>
          <w:tcPr>
            <w:tcW w:w="917" w:type="pct"/>
            <w:tcBorders>
              <w:tl2br w:val="nil"/>
              <w:tr2bl w:val="nil"/>
            </w:tcBorders>
            <w:vAlign w:val="center"/>
          </w:tcPr>
          <w:p w14:paraId="6C46A5E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隔油池</w:t>
            </w:r>
          </w:p>
        </w:tc>
        <w:tc>
          <w:tcPr>
            <w:tcW w:w="3659" w:type="pct"/>
            <w:tcBorders>
              <w:tl2br w:val="nil"/>
              <w:tr2bl w:val="nil"/>
            </w:tcBorders>
            <w:vAlign w:val="center"/>
          </w:tcPr>
          <w:p w14:paraId="6D57A8F8"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hint="eastAsia"/>
                <w:sz w:val="21"/>
                <w:szCs w:val="21"/>
              </w:rPr>
              <w:t>本项目设置</w:t>
            </w:r>
            <w:r>
              <w:rPr>
                <w:rFonts w:ascii="Times New Roman" w:eastAsia="宋体" w:hAnsi="Times New Roman" w:cs="Times New Roman" w:hint="eastAsia"/>
                <w:sz w:val="21"/>
                <w:szCs w:val="21"/>
              </w:rPr>
              <w:t>5</w:t>
            </w:r>
            <w:r>
              <w:rPr>
                <w:rFonts w:ascii="Times New Roman" w:eastAsia="宋体" w:hAnsi="Times New Roman" w:cs="Times New Roman" w:hint="eastAsia"/>
                <w:sz w:val="21"/>
                <w:szCs w:val="21"/>
              </w:rPr>
              <w:t>个隔油沉淀池，容积为</w:t>
            </w:r>
            <w:r>
              <w:rPr>
                <w:rFonts w:ascii="Times New Roman" w:eastAsia="宋体" w:hAnsi="Times New Roman" w:cs="Times New Roman" w:hint="eastAsia"/>
                <w:sz w:val="21"/>
                <w:szCs w:val="21"/>
              </w:rPr>
              <w:t>50m3</w:t>
            </w:r>
            <w:r>
              <w:rPr>
                <w:rFonts w:ascii="Times New Roman" w:eastAsia="宋体" w:hAnsi="Times New Roman" w:cs="Times New Roman" w:hint="eastAsia"/>
                <w:sz w:val="21"/>
                <w:szCs w:val="21"/>
              </w:rPr>
              <w:t>，施工废水经隔油池沉淀后回用于洒水降尘，不外排；污泥交由有资质单位回收处理。</w:t>
            </w:r>
          </w:p>
        </w:tc>
      </w:tr>
      <w:tr w:rsidR="009D12AF" w14:paraId="1FB4B3A2" w14:textId="77777777">
        <w:trPr>
          <w:trHeight w:val="340"/>
          <w:jc w:val="center"/>
        </w:trPr>
        <w:tc>
          <w:tcPr>
            <w:tcW w:w="423" w:type="pct"/>
            <w:vMerge/>
            <w:tcBorders>
              <w:tl2br w:val="nil"/>
              <w:tr2bl w:val="nil"/>
            </w:tcBorders>
            <w:vAlign w:val="center"/>
          </w:tcPr>
          <w:p w14:paraId="54438391" w14:textId="77777777" w:rsidR="009D12AF" w:rsidRDefault="009D12AF">
            <w:pPr>
              <w:adjustRightInd w:val="0"/>
              <w:snapToGrid w:val="0"/>
              <w:spacing w:line="240" w:lineRule="auto"/>
              <w:ind w:firstLineChars="0" w:firstLine="0"/>
              <w:jc w:val="center"/>
              <w:rPr>
                <w:rFonts w:ascii="Times New Roman" w:eastAsia="宋体" w:hAnsi="Times New Roman" w:cs="Times New Roman"/>
                <w:snapToGrid w:val="0"/>
                <w:kern w:val="0"/>
                <w:sz w:val="21"/>
                <w:szCs w:val="21"/>
              </w:rPr>
            </w:pPr>
          </w:p>
        </w:tc>
        <w:tc>
          <w:tcPr>
            <w:tcW w:w="917" w:type="pct"/>
            <w:tcBorders>
              <w:tl2br w:val="nil"/>
              <w:tr2bl w:val="nil"/>
            </w:tcBorders>
            <w:vAlign w:val="center"/>
          </w:tcPr>
          <w:p w14:paraId="3D1B350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施工营地</w:t>
            </w:r>
          </w:p>
        </w:tc>
        <w:tc>
          <w:tcPr>
            <w:tcW w:w="3659" w:type="pct"/>
            <w:tcBorders>
              <w:tl2br w:val="nil"/>
              <w:tr2bl w:val="nil"/>
            </w:tcBorders>
            <w:vAlign w:val="center"/>
          </w:tcPr>
          <w:p w14:paraId="57CE4833"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hint="eastAsia"/>
                <w:sz w:val="21"/>
                <w:szCs w:val="21"/>
              </w:rPr>
              <w:t>每个水库各</w:t>
            </w:r>
            <w:r>
              <w:rPr>
                <w:rFonts w:ascii="Times New Roman" w:eastAsia="宋体" w:hAnsi="Times New Roman" w:cs="Times New Roman"/>
                <w:sz w:val="21"/>
                <w:szCs w:val="21"/>
              </w:rPr>
              <w:t>设置一处施工营地</w:t>
            </w:r>
            <w:r>
              <w:rPr>
                <w:rFonts w:ascii="Times New Roman" w:eastAsia="宋体" w:hAnsi="Times New Roman" w:cs="Times New Roman" w:hint="eastAsia"/>
                <w:sz w:val="21"/>
                <w:szCs w:val="21"/>
              </w:rPr>
              <w:t>（向阳水电站前池施工营地占地为</w:t>
            </w:r>
            <w:r>
              <w:rPr>
                <w:rFonts w:ascii="Times New Roman" w:eastAsia="宋体" w:hAnsi="Times New Roman" w:cs="Times New Roman" w:hint="eastAsia"/>
                <w:sz w:val="21"/>
                <w:szCs w:val="21"/>
              </w:rPr>
              <w:t>367.63m</w:t>
            </w:r>
            <w:r>
              <w:rPr>
                <w:rFonts w:ascii="Times New Roman" w:eastAsia="宋体" w:hAnsi="Times New Roman" w:cs="Times New Roman" w:hint="eastAsia"/>
                <w:sz w:val="21"/>
                <w:szCs w:val="21"/>
                <w:vertAlign w:val="superscript"/>
              </w:rPr>
              <w:t>2</w:t>
            </w:r>
            <w:r>
              <w:rPr>
                <w:rFonts w:ascii="Times New Roman" w:eastAsia="宋体" w:hAnsi="Times New Roman" w:cs="Times New Roman" w:hint="eastAsia"/>
                <w:sz w:val="21"/>
                <w:szCs w:val="21"/>
              </w:rPr>
              <w:t>，新安晒水池施工营地占地为</w:t>
            </w:r>
            <w:r>
              <w:rPr>
                <w:rFonts w:ascii="Times New Roman" w:eastAsia="宋体" w:hAnsi="Times New Roman" w:cs="Times New Roman" w:hint="eastAsia"/>
                <w:sz w:val="21"/>
                <w:szCs w:val="21"/>
              </w:rPr>
              <w:t>1008.19m</w:t>
            </w:r>
            <w:r>
              <w:rPr>
                <w:rFonts w:ascii="Times New Roman" w:eastAsia="宋体" w:hAnsi="Times New Roman" w:cs="Times New Roman" w:hint="eastAsia"/>
                <w:sz w:val="21"/>
                <w:szCs w:val="21"/>
                <w:vertAlign w:val="superscript"/>
              </w:rPr>
              <w:t>2</w:t>
            </w:r>
            <w:r>
              <w:rPr>
                <w:rFonts w:ascii="Times New Roman" w:eastAsia="宋体" w:hAnsi="Times New Roman" w:cs="Times New Roman" w:hint="eastAsia"/>
                <w:sz w:val="21"/>
                <w:szCs w:val="21"/>
              </w:rPr>
              <w:t>，万丈水库施工营地占地为</w:t>
            </w:r>
            <w:r>
              <w:rPr>
                <w:rFonts w:ascii="Times New Roman" w:eastAsia="宋体" w:hAnsi="Times New Roman" w:cs="Times New Roman" w:hint="eastAsia"/>
                <w:sz w:val="21"/>
                <w:szCs w:val="21"/>
              </w:rPr>
              <w:t>247.41m</w:t>
            </w:r>
            <w:r>
              <w:rPr>
                <w:rFonts w:ascii="Times New Roman" w:eastAsia="宋体" w:hAnsi="Times New Roman" w:cs="Times New Roman" w:hint="eastAsia"/>
                <w:sz w:val="21"/>
                <w:szCs w:val="21"/>
                <w:vertAlign w:val="superscript"/>
              </w:rPr>
              <w:t>2</w:t>
            </w:r>
            <w:r>
              <w:rPr>
                <w:rFonts w:ascii="Times New Roman" w:eastAsia="宋体" w:hAnsi="Times New Roman" w:cs="Times New Roman" w:hint="eastAsia"/>
                <w:sz w:val="21"/>
                <w:szCs w:val="21"/>
              </w:rPr>
              <w:t>，长石水库施工营地占地为</w:t>
            </w:r>
            <w:r>
              <w:rPr>
                <w:rFonts w:ascii="Times New Roman" w:eastAsia="宋体" w:hAnsi="Times New Roman" w:cs="Times New Roman" w:hint="eastAsia"/>
                <w:sz w:val="21"/>
                <w:szCs w:val="21"/>
              </w:rPr>
              <w:t>2012.08m</w:t>
            </w:r>
            <w:r>
              <w:rPr>
                <w:rFonts w:ascii="Times New Roman" w:eastAsia="宋体" w:hAnsi="Times New Roman" w:cs="Times New Roman" w:hint="eastAsia"/>
                <w:sz w:val="21"/>
                <w:szCs w:val="21"/>
                <w:vertAlign w:val="superscript"/>
              </w:rPr>
              <w:t>2</w:t>
            </w:r>
            <w:r>
              <w:rPr>
                <w:rFonts w:ascii="Times New Roman" w:eastAsia="宋体" w:hAnsi="Times New Roman" w:cs="Times New Roman" w:hint="eastAsia"/>
                <w:sz w:val="21"/>
                <w:szCs w:val="21"/>
              </w:rPr>
              <w:t>，群力水库施工营地占地为</w:t>
            </w:r>
            <w:r>
              <w:rPr>
                <w:rFonts w:ascii="Times New Roman" w:eastAsia="宋体" w:hAnsi="Times New Roman" w:cs="Times New Roman" w:hint="eastAsia"/>
                <w:sz w:val="21"/>
                <w:szCs w:val="21"/>
              </w:rPr>
              <w:t>3195.1m</w:t>
            </w:r>
            <w:r>
              <w:rPr>
                <w:rFonts w:ascii="Times New Roman" w:eastAsia="宋体" w:hAnsi="Times New Roman" w:cs="Times New Roman" w:hint="eastAsia"/>
                <w:sz w:val="21"/>
                <w:szCs w:val="21"/>
                <w:vertAlign w:val="superscript"/>
              </w:rPr>
              <w:t>2</w:t>
            </w:r>
            <w:r>
              <w:rPr>
                <w:rFonts w:ascii="Times New Roman" w:eastAsia="宋体" w:hAnsi="Times New Roman" w:cs="Times New Roman" w:hint="eastAsia"/>
                <w:sz w:val="21"/>
                <w:szCs w:val="21"/>
              </w:rPr>
              <w:t>）</w:t>
            </w:r>
            <w:r>
              <w:rPr>
                <w:rFonts w:ascii="Times New Roman" w:hAnsi="Times New Roman" w:cs="Times New Roman"/>
                <w:sz w:val="21"/>
                <w:szCs w:val="21"/>
              </w:rPr>
              <w:t>。</w:t>
            </w:r>
            <w:r>
              <w:rPr>
                <w:rFonts w:ascii="Times New Roman" w:eastAsia="宋体" w:hAnsi="Times New Roman" w:cs="Times New Roman"/>
                <w:sz w:val="21"/>
                <w:szCs w:val="21"/>
              </w:rPr>
              <w:t>用于暂存施工器械</w:t>
            </w:r>
            <w:r>
              <w:rPr>
                <w:rFonts w:ascii="Times New Roman" w:eastAsia="宋体" w:hAnsi="Times New Roman" w:cs="Times New Roman" w:hint="eastAsia"/>
                <w:sz w:val="21"/>
                <w:szCs w:val="21"/>
              </w:rPr>
              <w:t>、</w:t>
            </w:r>
            <w:r>
              <w:rPr>
                <w:rFonts w:ascii="Times New Roman" w:eastAsia="宋体" w:hAnsi="Times New Roman" w:cs="Times New Roman"/>
                <w:sz w:val="21"/>
                <w:szCs w:val="21"/>
              </w:rPr>
              <w:t>施工杂物</w:t>
            </w:r>
            <w:r>
              <w:rPr>
                <w:rFonts w:ascii="Times New Roman" w:eastAsia="宋体" w:hAnsi="Times New Roman" w:cs="Times New Roman" w:hint="eastAsia"/>
                <w:sz w:val="21"/>
                <w:szCs w:val="21"/>
              </w:rPr>
              <w:t>、机械维修站、干化后的袋装淤泥</w:t>
            </w:r>
            <w:r>
              <w:rPr>
                <w:rFonts w:ascii="Times New Roman" w:eastAsia="宋体" w:hAnsi="Times New Roman" w:cs="Times New Roman"/>
                <w:sz w:val="21"/>
                <w:szCs w:val="21"/>
              </w:rPr>
              <w:t>，不设置预制场及拌合站。施工营地表土剥离</w:t>
            </w:r>
            <w:r>
              <w:rPr>
                <w:rFonts w:ascii="Times New Roman" w:eastAsia="宋体" w:hAnsi="Times New Roman" w:cs="Times New Roman" w:hint="eastAsia"/>
                <w:sz w:val="21"/>
                <w:szCs w:val="21"/>
              </w:rPr>
              <w:t>后</w:t>
            </w:r>
            <w:r>
              <w:rPr>
                <w:rFonts w:ascii="Times New Roman" w:eastAsia="宋体" w:hAnsi="Times New Roman" w:cs="Times New Roman"/>
                <w:sz w:val="21"/>
                <w:szCs w:val="21"/>
              </w:rPr>
              <w:t>集中堆置在临时施工区的侧边，采用编织袋装土围挡，</w:t>
            </w:r>
            <w:r>
              <w:rPr>
                <w:rFonts w:ascii="Times New Roman" w:eastAsia="宋体" w:hAnsi="Times New Roman" w:cs="Times New Roman"/>
                <w:bCs/>
                <w:sz w:val="21"/>
                <w:szCs w:val="21"/>
              </w:rPr>
              <w:t>外表面覆盖密目网</w:t>
            </w:r>
            <w:r>
              <w:rPr>
                <w:rFonts w:ascii="Times New Roman" w:eastAsia="宋体" w:hAnsi="Times New Roman" w:cs="Times New Roman"/>
                <w:sz w:val="21"/>
                <w:szCs w:val="21"/>
              </w:rPr>
              <w:t>，</w:t>
            </w:r>
            <w:r>
              <w:rPr>
                <w:sz w:val="21"/>
                <w:szCs w:val="21"/>
              </w:rPr>
              <w:t>表土全部用于临时占地复垦用土</w:t>
            </w:r>
            <w:r>
              <w:rPr>
                <w:rFonts w:ascii="Times New Roman" w:eastAsia="宋体" w:hAnsi="Times New Roman" w:cs="Times New Roman"/>
                <w:sz w:val="21"/>
                <w:szCs w:val="21"/>
              </w:rPr>
              <w:t>。</w:t>
            </w:r>
          </w:p>
        </w:tc>
      </w:tr>
      <w:tr w:rsidR="009D12AF" w14:paraId="65EB5F79" w14:textId="77777777">
        <w:trPr>
          <w:trHeight w:val="340"/>
          <w:jc w:val="center"/>
        </w:trPr>
        <w:tc>
          <w:tcPr>
            <w:tcW w:w="1340" w:type="pct"/>
            <w:gridSpan w:val="2"/>
            <w:tcBorders>
              <w:tl2br w:val="nil"/>
              <w:tr2bl w:val="nil"/>
            </w:tcBorders>
            <w:vAlign w:val="center"/>
          </w:tcPr>
          <w:p w14:paraId="725BFEE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土石方工程</w:t>
            </w:r>
          </w:p>
        </w:tc>
        <w:tc>
          <w:tcPr>
            <w:tcW w:w="3659" w:type="pct"/>
            <w:tcBorders>
              <w:tl2br w:val="nil"/>
              <w:tr2bl w:val="nil"/>
            </w:tcBorders>
            <w:vAlign w:val="center"/>
          </w:tcPr>
          <w:p w14:paraId="4E4FC953"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hint="eastAsia"/>
                <w:sz w:val="21"/>
                <w:szCs w:val="21"/>
              </w:rPr>
              <w:t>本项目</w:t>
            </w:r>
            <w:r>
              <w:rPr>
                <w:rFonts w:hint="eastAsia"/>
                <w:sz w:val="21"/>
                <w:szCs w:val="21"/>
              </w:rPr>
              <w:t>水库清淤</w:t>
            </w:r>
            <w:r>
              <w:rPr>
                <w:rFonts w:ascii="Times New Roman" w:hAnsi="Times New Roman" w:cs="Times New Roman" w:hint="eastAsia"/>
                <w:sz w:val="21"/>
                <w:szCs w:val="21"/>
              </w:rPr>
              <w:t>挖方</w:t>
            </w:r>
            <w:r>
              <w:rPr>
                <w:sz w:val="21"/>
                <w:szCs w:val="21"/>
              </w:rPr>
              <w:t>量为</w:t>
            </w:r>
            <w:r>
              <w:rPr>
                <w:rFonts w:hint="eastAsia"/>
                <w:sz w:val="21"/>
                <w:szCs w:val="21"/>
              </w:rPr>
              <w:t>600</w:t>
            </w:r>
            <w:r>
              <w:rPr>
                <w:sz w:val="21"/>
                <w:szCs w:val="21"/>
              </w:rPr>
              <w:t>万</w:t>
            </w:r>
            <w:r>
              <w:rPr>
                <w:sz w:val="21"/>
                <w:szCs w:val="21"/>
              </w:rPr>
              <w:t>m</w:t>
            </w:r>
            <w:r>
              <w:rPr>
                <w:sz w:val="21"/>
                <w:szCs w:val="21"/>
                <w:vertAlign w:val="superscript"/>
              </w:rPr>
              <w:t>3</w:t>
            </w:r>
            <w:r>
              <w:rPr>
                <w:rFonts w:hint="eastAsia"/>
                <w:sz w:val="21"/>
                <w:szCs w:val="21"/>
              </w:rPr>
              <w:t>，</w:t>
            </w:r>
            <w:r>
              <w:rPr>
                <w:rFonts w:ascii="Times New Roman" w:eastAsia="宋体" w:hAnsi="Times New Roman" w:cs="Times New Roman" w:hint="eastAsia"/>
                <w:sz w:val="21"/>
                <w:szCs w:val="21"/>
              </w:rPr>
              <w:t>干化</w:t>
            </w:r>
            <w:r>
              <w:rPr>
                <w:rFonts w:ascii="Times New Roman" w:eastAsia="宋体" w:hAnsi="Times New Roman" w:cs="Times New Roman"/>
                <w:sz w:val="21"/>
                <w:szCs w:val="21"/>
              </w:rPr>
              <w:t>后淤泥量为</w:t>
            </w:r>
            <w:r>
              <w:rPr>
                <w:rFonts w:ascii="Times New Roman" w:eastAsia="宋体" w:hAnsi="Times New Roman" w:cs="Times New Roman" w:hint="eastAsia"/>
                <w:sz w:val="21"/>
                <w:szCs w:val="21"/>
              </w:rPr>
              <w:t>360</w:t>
            </w:r>
            <w:r>
              <w:rPr>
                <w:sz w:val="21"/>
                <w:szCs w:val="21"/>
              </w:rPr>
              <w:t>万</w:t>
            </w:r>
            <w:r>
              <w:rPr>
                <w:sz w:val="21"/>
                <w:szCs w:val="21"/>
              </w:rPr>
              <w:t>m</w:t>
            </w:r>
            <w:r>
              <w:rPr>
                <w:sz w:val="21"/>
                <w:szCs w:val="21"/>
                <w:vertAlign w:val="superscript"/>
              </w:rPr>
              <w:t>3</w:t>
            </w:r>
            <w:r>
              <w:rPr>
                <w:sz w:val="21"/>
                <w:szCs w:val="21"/>
              </w:rPr>
              <w:t>，</w:t>
            </w:r>
            <w:r>
              <w:rPr>
                <w:rFonts w:ascii="Times New Roman" w:eastAsia="宋体" w:hAnsi="Times New Roman" w:cs="Times New Roman" w:hint="eastAsia"/>
                <w:sz w:val="21"/>
                <w:szCs w:val="21"/>
              </w:rPr>
              <w:t>脱水</w:t>
            </w:r>
            <w:r>
              <w:rPr>
                <w:rFonts w:ascii="Times New Roman" w:eastAsia="宋体" w:hAnsi="Times New Roman" w:cs="Times New Roman"/>
                <w:sz w:val="21"/>
                <w:szCs w:val="21"/>
              </w:rPr>
              <w:t>后淤泥</w:t>
            </w:r>
            <w:r>
              <w:rPr>
                <w:rFonts w:ascii="Times New Roman" w:eastAsia="宋体" w:hAnsi="Times New Roman" w:cs="Times New Roman" w:hint="eastAsia"/>
                <w:sz w:val="21"/>
                <w:szCs w:val="21"/>
              </w:rPr>
              <w:t>综合外售</w:t>
            </w:r>
            <w:r>
              <w:rPr>
                <w:rFonts w:ascii="Times New Roman" w:eastAsia="宋体" w:hAnsi="Times New Roman" w:cs="Times New Roman"/>
                <w:sz w:val="21"/>
                <w:szCs w:val="21"/>
              </w:rPr>
              <w:t>。</w:t>
            </w:r>
          </w:p>
        </w:tc>
      </w:tr>
      <w:tr w:rsidR="009D12AF" w14:paraId="6CBC1D92" w14:textId="77777777">
        <w:trPr>
          <w:trHeight w:val="340"/>
          <w:jc w:val="center"/>
        </w:trPr>
        <w:tc>
          <w:tcPr>
            <w:tcW w:w="423" w:type="pct"/>
            <w:vMerge w:val="restart"/>
            <w:tcBorders>
              <w:tl2br w:val="nil"/>
              <w:tr2bl w:val="nil"/>
            </w:tcBorders>
            <w:vAlign w:val="center"/>
          </w:tcPr>
          <w:p w14:paraId="11BA9B7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公用工程</w:t>
            </w:r>
          </w:p>
        </w:tc>
        <w:tc>
          <w:tcPr>
            <w:tcW w:w="917" w:type="pct"/>
            <w:tcBorders>
              <w:tl2br w:val="nil"/>
              <w:tr2bl w:val="nil"/>
            </w:tcBorders>
            <w:vAlign w:val="center"/>
          </w:tcPr>
          <w:p w14:paraId="3EEC184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给水</w:t>
            </w:r>
          </w:p>
        </w:tc>
        <w:tc>
          <w:tcPr>
            <w:tcW w:w="3659" w:type="pct"/>
            <w:tcBorders>
              <w:tl2br w:val="nil"/>
              <w:tr2bl w:val="nil"/>
            </w:tcBorders>
            <w:vAlign w:val="center"/>
          </w:tcPr>
          <w:p w14:paraId="026B232C"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本项目施工生产和生活用水取自周边村庄自来水。</w:t>
            </w:r>
          </w:p>
          <w:p w14:paraId="6331133E"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本项目生产无需用水，</w:t>
            </w:r>
            <w:r>
              <w:rPr>
                <w:rFonts w:ascii="Times New Roman" w:eastAsia="宋体" w:hAnsi="Times New Roman" w:cs="Times New Roman" w:hint="eastAsia"/>
                <w:sz w:val="21"/>
                <w:szCs w:val="21"/>
              </w:rPr>
              <w:t>运行期</w:t>
            </w:r>
            <w:r>
              <w:rPr>
                <w:rFonts w:ascii="Times New Roman" w:eastAsia="宋体" w:hAnsi="Times New Roman" w:cs="Times New Roman"/>
                <w:sz w:val="21"/>
                <w:szCs w:val="21"/>
              </w:rPr>
              <w:t>不设常驻工作人员，无生活用水。</w:t>
            </w:r>
          </w:p>
        </w:tc>
      </w:tr>
      <w:tr w:rsidR="009D12AF" w14:paraId="1FBC9D8B" w14:textId="77777777">
        <w:trPr>
          <w:trHeight w:val="340"/>
          <w:jc w:val="center"/>
        </w:trPr>
        <w:tc>
          <w:tcPr>
            <w:tcW w:w="423" w:type="pct"/>
            <w:vMerge/>
            <w:tcBorders>
              <w:tl2br w:val="nil"/>
              <w:tr2bl w:val="nil"/>
            </w:tcBorders>
            <w:vAlign w:val="center"/>
          </w:tcPr>
          <w:p w14:paraId="07C7580A" w14:textId="77777777" w:rsidR="009D12AF" w:rsidRDefault="009D12AF">
            <w:pPr>
              <w:adjustRightInd w:val="0"/>
              <w:snapToGrid w:val="0"/>
              <w:spacing w:line="240" w:lineRule="auto"/>
              <w:ind w:firstLineChars="0" w:firstLine="0"/>
              <w:jc w:val="center"/>
              <w:rPr>
                <w:rFonts w:ascii="Times New Roman" w:eastAsia="宋体" w:hAnsi="Times New Roman" w:cs="Times New Roman"/>
                <w:sz w:val="21"/>
                <w:szCs w:val="21"/>
              </w:rPr>
            </w:pPr>
          </w:p>
        </w:tc>
        <w:tc>
          <w:tcPr>
            <w:tcW w:w="917" w:type="pct"/>
            <w:tcBorders>
              <w:tl2br w:val="nil"/>
              <w:tr2bl w:val="nil"/>
            </w:tcBorders>
            <w:vAlign w:val="center"/>
          </w:tcPr>
          <w:p w14:paraId="05891DA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排水</w:t>
            </w:r>
          </w:p>
        </w:tc>
        <w:tc>
          <w:tcPr>
            <w:tcW w:w="3659" w:type="pct"/>
            <w:tcBorders>
              <w:tl2br w:val="nil"/>
              <w:tr2bl w:val="nil"/>
            </w:tcBorders>
            <w:vAlign w:val="center"/>
          </w:tcPr>
          <w:p w14:paraId="78423A1F"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施工废水为施工机械和车辆的清洗废水，</w:t>
            </w:r>
            <w:r>
              <w:rPr>
                <w:rFonts w:ascii="Times New Roman" w:eastAsia="宋体" w:hAnsi="Times New Roman" w:cs="Times New Roman" w:hint="eastAsia"/>
                <w:sz w:val="21"/>
                <w:szCs w:val="21"/>
              </w:rPr>
              <w:t>经隔油沉淀池处理</w:t>
            </w:r>
            <w:r>
              <w:rPr>
                <w:rFonts w:ascii="Times New Roman" w:eastAsia="宋体" w:hAnsi="Times New Roman" w:cs="Times New Roman"/>
                <w:sz w:val="21"/>
                <w:szCs w:val="21"/>
              </w:rPr>
              <w:t>后，回用于洒水降尘，不外排</w:t>
            </w:r>
            <w:r>
              <w:rPr>
                <w:rFonts w:ascii="Times New Roman" w:eastAsia="宋体" w:hAnsi="Times New Roman" w:cs="Times New Roman" w:hint="eastAsia"/>
                <w:sz w:val="21"/>
                <w:szCs w:val="21"/>
              </w:rPr>
              <w:t>；渗滤水经三级沉淀、过滤、紫外线消毒处理后达到《污水综合排放标准》（</w:t>
            </w:r>
            <w:r>
              <w:rPr>
                <w:rFonts w:ascii="Times New Roman" w:eastAsia="宋体" w:hAnsi="Times New Roman" w:cs="Times New Roman" w:hint="eastAsia"/>
                <w:sz w:val="21"/>
                <w:szCs w:val="21"/>
              </w:rPr>
              <w:t>GB8978-1996</w:t>
            </w:r>
            <w:r>
              <w:rPr>
                <w:rFonts w:ascii="Times New Roman" w:eastAsia="宋体" w:hAnsi="Times New Roman" w:cs="Times New Roman" w:hint="eastAsia"/>
                <w:sz w:val="21"/>
                <w:szCs w:val="21"/>
              </w:rPr>
              <w:t>）一级标准，由牡丹江龙江环保水务有限公司定期拉运处理；</w:t>
            </w:r>
            <w:r>
              <w:rPr>
                <w:rFonts w:ascii="Times New Roman" w:eastAsia="宋体" w:hAnsi="Times New Roman" w:cs="Times New Roman"/>
                <w:sz w:val="21"/>
                <w:szCs w:val="21"/>
              </w:rPr>
              <w:t>生活污水排</w:t>
            </w:r>
            <w:r>
              <w:rPr>
                <w:rFonts w:ascii="Times New Roman" w:eastAsia="宋体" w:hAnsi="Times New Roman" w:cs="Times New Roman" w:hint="eastAsia"/>
                <w:sz w:val="21"/>
                <w:szCs w:val="21"/>
              </w:rPr>
              <w:t>入</w:t>
            </w:r>
            <w:r>
              <w:rPr>
                <w:rFonts w:ascii="Times New Roman" w:eastAsia="宋体" w:hAnsi="Times New Roman" w:cs="Times New Roman"/>
                <w:sz w:val="21"/>
                <w:szCs w:val="21"/>
              </w:rPr>
              <w:t>防渗旱厕，定期清掏</w:t>
            </w:r>
            <w:r>
              <w:rPr>
                <w:rFonts w:ascii="Times New Roman" w:eastAsia="宋体" w:hAnsi="Times New Roman" w:cs="Times New Roman" w:hint="eastAsia"/>
                <w:sz w:val="21"/>
                <w:szCs w:val="21"/>
              </w:rPr>
              <w:t>外运堆肥，不外排</w:t>
            </w:r>
            <w:r>
              <w:rPr>
                <w:rFonts w:ascii="Times New Roman" w:eastAsia="宋体" w:hAnsi="Times New Roman" w:cs="Times New Roman"/>
                <w:sz w:val="21"/>
                <w:szCs w:val="21"/>
              </w:rPr>
              <w:t>。</w:t>
            </w:r>
          </w:p>
        </w:tc>
      </w:tr>
      <w:tr w:rsidR="009D12AF" w14:paraId="57803261" w14:textId="77777777">
        <w:trPr>
          <w:trHeight w:val="340"/>
          <w:jc w:val="center"/>
        </w:trPr>
        <w:tc>
          <w:tcPr>
            <w:tcW w:w="423" w:type="pct"/>
            <w:vMerge/>
            <w:tcBorders>
              <w:tl2br w:val="nil"/>
              <w:tr2bl w:val="nil"/>
            </w:tcBorders>
            <w:vAlign w:val="center"/>
          </w:tcPr>
          <w:p w14:paraId="21F48EBA" w14:textId="77777777" w:rsidR="009D12AF" w:rsidRDefault="009D12AF">
            <w:pPr>
              <w:adjustRightInd w:val="0"/>
              <w:snapToGrid w:val="0"/>
              <w:spacing w:line="240" w:lineRule="auto"/>
              <w:ind w:firstLineChars="0" w:firstLine="0"/>
              <w:jc w:val="center"/>
              <w:rPr>
                <w:rFonts w:ascii="Times New Roman" w:eastAsia="宋体" w:hAnsi="Times New Roman" w:cs="Times New Roman"/>
                <w:sz w:val="21"/>
                <w:szCs w:val="21"/>
              </w:rPr>
            </w:pPr>
          </w:p>
        </w:tc>
        <w:tc>
          <w:tcPr>
            <w:tcW w:w="917" w:type="pct"/>
            <w:tcBorders>
              <w:tl2br w:val="nil"/>
              <w:tr2bl w:val="nil"/>
            </w:tcBorders>
            <w:vAlign w:val="center"/>
          </w:tcPr>
          <w:p w14:paraId="3E14360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供电</w:t>
            </w:r>
          </w:p>
        </w:tc>
        <w:tc>
          <w:tcPr>
            <w:tcW w:w="3659" w:type="pct"/>
            <w:tcBorders>
              <w:tl2br w:val="nil"/>
              <w:tr2bl w:val="nil"/>
            </w:tcBorders>
            <w:vAlign w:val="center"/>
          </w:tcPr>
          <w:p w14:paraId="2868CCA9"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本项目用使用</w:t>
            </w:r>
            <w:r>
              <w:rPr>
                <w:rFonts w:ascii="Times New Roman" w:eastAsia="宋体" w:hAnsi="Times New Roman" w:cs="Times New Roman"/>
                <w:sz w:val="21"/>
                <w:szCs w:val="21"/>
              </w:rPr>
              <w:t>60kw</w:t>
            </w:r>
            <w:r>
              <w:rPr>
                <w:rFonts w:ascii="Times New Roman" w:eastAsia="宋体" w:hAnsi="Times New Roman" w:cs="Times New Roman"/>
                <w:sz w:val="21"/>
                <w:szCs w:val="21"/>
              </w:rPr>
              <w:t>柴油发电机自发电，不设置</w:t>
            </w:r>
            <w:r>
              <w:rPr>
                <w:rFonts w:ascii="Times New Roman" w:eastAsia="宋体" w:hAnsi="Times New Roman" w:cs="Times New Roman" w:hint="eastAsia"/>
                <w:sz w:val="21"/>
                <w:szCs w:val="21"/>
              </w:rPr>
              <w:t>储油库</w:t>
            </w:r>
            <w:r>
              <w:rPr>
                <w:rFonts w:ascii="Times New Roman" w:eastAsia="宋体" w:hAnsi="Times New Roman" w:cs="Times New Roman"/>
                <w:sz w:val="21"/>
                <w:szCs w:val="21"/>
              </w:rPr>
              <w:t>，所需油料从附近城镇加油站购买</w:t>
            </w:r>
            <w:r>
              <w:rPr>
                <w:rFonts w:ascii="Times New Roman" w:eastAsia="宋体" w:hAnsi="Times New Roman" w:cs="Times New Roman" w:hint="eastAsia"/>
                <w:sz w:val="21"/>
                <w:szCs w:val="21"/>
              </w:rPr>
              <w:t>。</w:t>
            </w:r>
          </w:p>
        </w:tc>
      </w:tr>
      <w:tr w:rsidR="009D12AF" w14:paraId="2D66A524" w14:textId="77777777">
        <w:trPr>
          <w:trHeight w:val="340"/>
          <w:jc w:val="center"/>
        </w:trPr>
        <w:tc>
          <w:tcPr>
            <w:tcW w:w="423" w:type="pct"/>
            <w:vMerge/>
            <w:tcBorders>
              <w:tl2br w:val="nil"/>
              <w:tr2bl w:val="nil"/>
            </w:tcBorders>
            <w:vAlign w:val="center"/>
          </w:tcPr>
          <w:p w14:paraId="6C199BE9" w14:textId="77777777" w:rsidR="009D12AF" w:rsidRDefault="009D12AF">
            <w:pPr>
              <w:adjustRightInd w:val="0"/>
              <w:snapToGrid w:val="0"/>
              <w:spacing w:line="240" w:lineRule="auto"/>
              <w:ind w:firstLineChars="0" w:firstLine="0"/>
              <w:jc w:val="center"/>
              <w:rPr>
                <w:rFonts w:ascii="Times New Roman" w:eastAsia="宋体" w:hAnsi="Times New Roman" w:cs="Times New Roman"/>
                <w:sz w:val="21"/>
                <w:szCs w:val="21"/>
              </w:rPr>
            </w:pPr>
          </w:p>
        </w:tc>
        <w:tc>
          <w:tcPr>
            <w:tcW w:w="917" w:type="pct"/>
            <w:tcBorders>
              <w:tl2br w:val="nil"/>
              <w:tr2bl w:val="nil"/>
            </w:tcBorders>
            <w:vAlign w:val="center"/>
          </w:tcPr>
          <w:p w14:paraId="2D7F305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供热</w:t>
            </w:r>
          </w:p>
        </w:tc>
        <w:tc>
          <w:tcPr>
            <w:tcW w:w="3659" w:type="pct"/>
            <w:tcBorders>
              <w:tl2br w:val="nil"/>
              <w:tr2bl w:val="nil"/>
            </w:tcBorders>
            <w:vAlign w:val="center"/>
          </w:tcPr>
          <w:p w14:paraId="036DFBEF"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本项目施工无需供暖。</w:t>
            </w:r>
          </w:p>
        </w:tc>
      </w:tr>
      <w:tr w:rsidR="009D12AF" w14:paraId="48F319F9" w14:textId="77777777">
        <w:trPr>
          <w:trHeight w:val="340"/>
          <w:jc w:val="center"/>
        </w:trPr>
        <w:tc>
          <w:tcPr>
            <w:tcW w:w="423" w:type="pct"/>
            <w:vMerge w:val="restart"/>
            <w:tcBorders>
              <w:tl2br w:val="nil"/>
              <w:tr2bl w:val="nil"/>
            </w:tcBorders>
            <w:vAlign w:val="center"/>
          </w:tcPr>
          <w:p w14:paraId="55DA1B1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环保</w:t>
            </w:r>
          </w:p>
          <w:p w14:paraId="2B4DFFF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工程</w:t>
            </w:r>
          </w:p>
        </w:tc>
        <w:tc>
          <w:tcPr>
            <w:tcW w:w="917" w:type="pct"/>
            <w:tcBorders>
              <w:tl2br w:val="nil"/>
              <w:tr2bl w:val="nil"/>
            </w:tcBorders>
            <w:vAlign w:val="center"/>
          </w:tcPr>
          <w:p w14:paraId="6A62ADC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废气治理</w:t>
            </w:r>
          </w:p>
        </w:tc>
        <w:tc>
          <w:tcPr>
            <w:tcW w:w="3659" w:type="pct"/>
            <w:tcBorders>
              <w:tl2br w:val="nil"/>
              <w:tr2bl w:val="nil"/>
            </w:tcBorders>
            <w:vAlign w:val="center"/>
          </w:tcPr>
          <w:p w14:paraId="66B1AAD2" w14:textId="77777777" w:rsidR="009D12AF" w:rsidRDefault="00000000">
            <w:pPr>
              <w:adjustRightInd w:val="0"/>
              <w:snapToGrid w:val="0"/>
              <w:spacing w:line="240" w:lineRule="auto"/>
              <w:ind w:firstLineChars="0" w:firstLine="0"/>
              <w:rPr>
                <w:sz w:val="21"/>
                <w:szCs w:val="21"/>
              </w:rPr>
            </w:pPr>
            <w:r>
              <w:rPr>
                <w:sz w:val="21"/>
                <w:szCs w:val="21"/>
              </w:rPr>
              <w:t>底泥清淤现场产生的恶臭</w:t>
            </w:r>
            <w:r>
              <w:rPr>
                <w:rFonts w:hint="eastAsia"/>
                <w:sz w:val="21"/>
                <w:szCs w:val="21"/>
              </w:rPr>
              <w:t>采取</w:t>
            </w:r>
            <w:r>
              <w:rPr>
                <w:sz w:val="21"/>
                <w:szCs w:val="21"/>
              </w:rPr>
              <w:t>淤泥挖掘过程喷洒除臭剂，减少影响；施工扬尘采用围挡施工、苫布遮盖、定期洒水，减少影响。</w:t>
            </w:r>
          </w:p>
        </w:tc>
      </w:tr>
      <w:tr w:rsidR="009D12AF" w14:paraId="2D82A36C" w14:textId="77777777">
        <w:trPr>
          <w:trHeight w:val="340"/>
          <w:jc w:val="center"/>
        </w:trPr>
        <w:tc>
          <w:tcPr>
            <w:tcW w:w="423" w:type="pct"/>
            <w:vMerge/>
            <w:tcBorders>
              <w:tl2br w:val="nil"/>
              <w:tr2bl w:val="nil"/>
            </w:tcBorders>
            <w:vAlign w:val="center"/>
          </w:tcPr>
          <w:p w14:paraId="31383D93" w14:textId="77777777" w:rsidR="009D12AF" w:rsidRDefault="009D12AF">
            <w:pPr>
              <w:adjustRightInd w:val="0"/>
              <w:snapToGrid w:val="0"/>
              <w:spacing w:line="240" w:lineRule="auto"/>
              <w:ind w:firstLineChars="0" w:firstLine="0"/>
              <w:jc w:val="center"/>
              <w:rPr>
                <w:rFonts w:ascii="Times New Roman" w:eastAsia="宋体" w:hAnsi="Times New Roman" w:cs="Times New Roman"/>
                <w:sz w:val="21"/>
                <w:szCs w:val="21"/>
              </w:rPr>
            </w:pPr>
          </w:p>
        </w:tc>
        <w:tc>
          <w:tcPr>
            <w:tcW w:w="917" w:type="pct"/>
            <w:tcBorders>
              <w:tl2br w:val="nil"/>
              <w:tr2bl w:val="nil"/>
            </w:tcBorders>
            <w:vAlign w:val="center"/>
          </w:tcPr>
          <w:p w14:paraId="559EFB4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噪声治理</w:t>
            </w:r>
          </w:p>
        </w:tc>
        <w:tc>
          <w:tcPr>
            <w:tcW w:w="3659" w:type="pct"/>
            <w:tcBorders>
              <w:tl2br w:val="nil"/>
              <w:tr2bl w:val="nil"/>
            </w:tcBorders>
            <w:vAlign w:val="center"/>
          </w:tcPr>
          <w:p w14:paraId="4F19D80F"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施工期设置临时声屏障，设备均采用减振设施</w:t>
            </w:r>
            <w:r>
              <w:rPr>
                <w:rFonts w:ascii="Times New Roman" w:eastAsia="宋体" w:hAnsi="Times New Roman" w:cs="Times New Roman" w:hint="eastAsia"/>
                <w:sz w:val="21"/>
                <w:szCs w:val="21"/>
              </w:rPr>
              <w:t>；</w:t>
            </w:r>
            <w:r>
              <w:rPr>
                <w:rFonts w:ascii="Times New Roman" w:eastAsia="宋体" w:hAnsi="Times New Roman" w:cs="Times New Roman"/>
                <w:sz w:val="21"/>
                <w:szCs w:val="21"/>
              </w:rPr>
              <w:t>满足《建筑施工场界环境噪声排放标准》（</w:t>
            </w:r>
            <w:r>
              <w:rPr>
                <w:rFonts w:ascii="Times New Roman" w:eastAsia="宋体" w:hAnsi="Times New Roman" w:cs="Times New Roman"/>
                <w:sz w:val="21"/>
                <w:szCs w:val="21"/>
              </w:rPr>
              <w:t>GB12523-</w:t>
            </w:r>
            <w:r>
              <w:rPr>
                <w:rFonts w:ascii="Times New Roman" w:eastAsia="宋体" w:hAnsi="Times New Roman" w:cs="Times New Roman" w:hint="eastAsia"/>
                <w:sz w:val="21"/>
                <w:szCs w:val="21"/>
              </w:rPr>
              <w:t>2025</w:t>
            </w:r>
            <w:r>
              <w:rPr>
                <w:rFonts w:ascii="Times New Roman" w:eastAsia="宋体" w:hAnsi="Times New Roman" w:cs="Times New Roman"/>
                <w:sz w:val="21"/>
                <w:szCs w:val="21"/>
              </w:rPr>
              <w:t>）。</w:t>
            </w:r>
          </w:p>
        </w:tc>
      </w:tr>
      <w:tr w:rsidR="009D12AF" w14:paraId="52AD4968" w14:textId="77777777">
        <w:trPr>
          <w:trHeight w:val="340"/>
          <w:jc w:val="center"/>
        </w:trPr>
        <w:tc>
          <w:tcPr>
            <w:tcW w:w="423" w:type="pct"/>
            <w:vMerge/>
            <w:tcBorders>
              <w:tl2br w:val="nil"/>
              <w:tr2bl w:val="nil"/>
            </w:tcBorders>
            <w:vAlign w:val="center"/>
          </w:tcPr>
          <w:p w14:paraId="07C43643" w14:textId="77777777" w:rsidR="009D12AF" w:rsidRDefault="009D12AF">
            <w:pPr>
              <w:adjustRightInd w:val="0"/>
              <w:snapToGrid w:val="0"/>
              <w:spacing w:line="240" w:lineRule="auto"/>
              <w:ind w:firstLineChars="0" w:firstLine="0"/>
              <w:jc w:val="center"/>
              <w:rPr>
                <w:rFonts w:ascii="Times New Roman" w:eastAsia="宋体" w:hAnsi="Times New Roman" w:cs="Times New Roman"/>
                <w:sz w:val="21"/>
                <w:szCs w:val="21"/>
              </w:rPr>
            </w:pPr>
          </w:p>
        </w:tc>
        <w:tc>
          <w:tcPr>
            <w:tcW w:w="917" w:type="pct"/>
            <w:tcBorders>
              <w:tl2br w:val="nil"/>
              <w:tr2bl w:val="nil"/>
            </w:tcBorders>
            <w:vAlign w:val="center"/>
          </w:tcPr>
          <w:p w14:paraId="0D625B8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废水治理</w:t>
            </w:r>
          </w:p>
        </w:tc>
        <w:tc>
          <w:tcPr>
            <w:tcW w:w="3659" w:type="pct"/>
            <w:tcBorders>
              <w:tl2br w:val="nil"/>
              <w:tr2bl w:val="nil"/>
            </w:tcBorders>
            <w:vAlign w:val="center"/>
          </w:tcPr>
          <w:p w14:paraId="115DB31E"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施工废水为施工机械和车辆的清洗废水，</w:t>
            </w:r>
            <w:r>
              <w:rPr>
                <w:rFonts w:ascii="Times New Roman" w:eastAsia="宋体" w:hAnsi="Times New Roman" w:cs="Times New Roman" w:hint="eastAsia"/>
                <w:sz w:val="21"/>
                <w:szCs w:val="21"/>
              </w:rPr>
              <w:t>经隔油沉淀池处理</w:t>
            </w:r>
            <w:r>
              <w:rPr>
                <w:rFonts w:ascii="Times New Roman" w:eastAsia="宋体" w:hAnsi="Times New Roman" w:cs="Times New Roman"/>
                <w:sz w:val="21"/>
                <w:szCs w:val="21"/>
              </w:rPr>
              <w:t>后，回用于洒水降尘，不外排</w:t>
            </w:r>
            <w:r>
              <w:rPr>
                <w:rFonts w:ascii="Times New Roman" w:eastAsia="宋体" w:hAnsi="Times New Roman" w:cs="Times New Roman" w:hint="eastAsia"/>
                <w:sz w:val="21"/>
                <w:szCs w:val="21"/>
              </w:rPr>
              <w:t>；淤渗滤水经三级沉淀、过滤、紫外线消毒处理后达到《污水综合排放标准》（</w:t>
            </w:r>
            <w:r>
              <w:rPr>
                <w:rFonts w:ascii="Times New Roman" w:eastAsia="宋体" w:hAnsi="Times New Roman" w:cs="Times New Roman" w:hint="eastAsia"/>
                <w:sz w:val="21"/>
                <w:szCs w:val="21"/>
              </w:rPr>
              <w:t>GB8978-1996</w:t>
            </w:r>
            <w:r>
              <w:rPr>
                <w:rFonts w:ascii="Times New Roman" w:eastAsia="宋体" w:hAnsi="Times New Roman" w:cs="Times New Roman" w:hint="eastAsia"/>
                <w:sz w:val="21"/>
                <w:szCs w:val="21"/>
              </w:rPr>
              <w:t>）一级标准，由牡丹江龙江环保水务有限公司定期拉运处理；</w:t>
            </w:r>
            <w:r>
              <w:rPr>
                <w:rFonts w:ascii="Times New Roman" w:eastAsia="宋体" w:hAnsi="Times New Roman" w:cs="Times New Roman"/>
                <w:sz w:val="21"/>
                <w:szCs w:val="21"/>
              </w:rPr>
              <w:t>生活污水排</w:t>
            </w:r>
            <w:r>
              <w:rPr>
                <w:rFonts w:ascii="Times New Roman" w:eastAsia="宋体" w:hAnsi="Times New Roman" w:cs="Times New Roman" w:hint="eastAsia"/>
                <w:sz w:val="21"/>
                <w:szCs w:val="21"/>
              </w:rPr>
              <w:t>入</w:t>
            </w:r>
            <w:r>
              <w:rPr>
                <w:rFonts w:ascii="Times New Roman" w:eastAsia="宋体" w:hAnsi="Times New Roman" w:cs="Times New Roman"/>
                <w:sz w:val="21"/>
                <w:szCs w:val="21"/>
              </w:rPr>
              <w:t>防渗旱厕，定期清掏</w:t>
            </w:r>
            <w:r>
              <w:rPr>
                <w:rFonts w:ascii="Times New Roman" w:eastAsia="宋体" w:hAnsi="Times New Roman" w:cs="Times New Roman" w:hint="eastAsia"/>
                <w:sz w:val="21"/>
                <w:szCs w:val="21"/>
              </w:rPr>
              <w:t>外运堆肥，不外排</w:t>
            </w:r>
            <w:r>
              <w:rPr>
                <w:rFonts w:ascii="Times New Roman" w:eastAsia="宋体" w:hAnsi="Times New Roman" w:cs="Times New Roman"/>
                <w:sz w:val="21"/>
                <w:szCs w:val="21"/>
              </w:rPr>
              <w:t>。</w:t>
            </w:r>
          </w:p>
        </w:tc>
      </w:tr>
      <w:tr w:rsidR="009D12AF" w14:paraId="4E0A5919" w14:textId="77777777">
        <w:trPr>
          <w:trHeight w:val="340"/>
          <w:jc w:val="center"/>
        </w:trPr>
        <w:tc>
          <w:tcPr>
            <w:tcW w:w="423" w:type="pct"/>
            <w:vMerge/>
            <w:tcBorders>
              <w:tl2br w:val="nil"/>
              <w:tr2bl w:val="nil"/>
            </w:tcBorders>
            <w:vAlign w:val="center"/>
          </w:tcPr>
          <w:p w14:paraId="5CE60DDF" w14:textId="77777777" w:rsidR="009D12AF" w:rsidRDefault="009D12AF">
            <w:pPr>
              <w:adjustRightInd w:val="0"/>
              <w:snapToGrid w:val="0"/>
              <w:spacing w:line="240" w:lineRule="auto"/>
              <w:ind w:firstLineChars="0" w:firstLine="0"/>
              <w:jc w:val="center"/>
              <w:rPr>
                <w:rFonts w:ascii="Times New Roman" w:eastAsia="宋体" w:hAnsi="Times New Roman" w:cs="Times New Roman"/>
                <w:sz w:val="21"/>
                <w:szCs w:val="21"/>
              </w:rPr>
            </w:pPr>
          </w:p>
        </w:tc>
        <w:tc>
          <w:tcPr>
            <w:tcW w:w="917" w:type="pct"/>
            <w:tcBorders>
              <w:tl2br w:val="nil"/>
              <w:tr2bl w:val="nil"/>
            </w:tcBorders>
            <w:vAlign w:val="center"/>
          </w:tcPr>
          <w:p w14:paraId="00AEFDD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固废治理</w:t>
            </w:r>
          </w:p>
        </w:tc>
        <w:tc>
          <w:tcPr>
            <w:tcW w:w="3659" w:type="pct"/>
            <w:tcBorders>
              <w:tl2br w:val="nil"/>
              <w:tr2bl w:val="nil"/>
            </w:tcBorders>
            <w:vAlign w:val="center"/>
          </w:tcPr>
          <w:p w14:paraId="544D65DE"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施工生活垃圾</w:t>
            </w:r>
            <w:r>
              <w:rPr>
                <w:rFonts w:ascii="Times New Roman" w:eastAsia="宋体" w:hAnsi="Times New Roman" w:cs="Times New Roman" w:hint="eastAsia"/>
                <w:sz w:val="21"/>
                <w:szCs w:val="21"/>
              </w:rPr>
              <w:t>经</w:t>
            </w:r>
            <w:r>
              <w:rPr>
                <w:rFonts w:ascii="Times New Roman" w:eastAsia="宋体" w:hAnsi="Times New Roman" w:cs="Times New Roman"/>
                <w:sz w:val="21"/>
                <w:szCs w:val="21"/>
              </w:rPr>
              <w:t>垃圾箱统一收集，</w:t>
            </w:r>
            <w:r>
              <w:rPr>
                <w:rFonts w:ascii="Times New Roman" w:eastAsia="宋体" w:hAnsi="Times New Roman" w:cs="Times New Roman" w:hint="eastAsia"/>
                <w:sz w:val="21"/>
                <w:szCs w:val="21"/>
              </w:rPr>
              <w:t>交由</w:t>
            </w:r>
            <w:r>
              <w:rPr>
                <w:rFonts w:ascii="Times New Roman" w:eastAsia="宋体" w:hAnsi="Times New Roman" w:cs="Times New Roman"/>
                <w:sz w:val="21"/>
                <w:szCs w:val="21"/>
              </w:rPr>
              <w:t>环卫清运</w:t>
            </w:r>
            <w:r>
              <w:rPr>
                <w:rFonts w:ascii="Times New Roman" w:eastAsia="宋体" w:hAnsi="Times New Roman" w:cs="Times New Roman" w:hint="eastAsia"/>
                <w:sz w:val="21"/>
                <w:szCs w:val="21"/>
              </w:rPr>
              <w:t>；</w:t>
            </w:r>
          </w:p>
          <w:p w14:paraId="3849CF0A"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隔油池污泥由专用容器</w:t>
            </w:r>
            <w:r>
              <w:rPr>
                <w:rFonts w:ascii="Times New Roman" w:eastAsia="宋体" w:hAnsi="Times New Roman" w:cs="Times New Roman" w:hint="eastAsia"/>
                <w:sz w:val="21"/>
                <w:szCs w:val="21"/>
              </w:rPr>
              <w:t>收集</w:t>
            </w:r>
            <w:r>
              <w:rPr>
                <w:rFonts w:ascii="Times New Roman" w:eastAsia="宋体" w:hAnsi="Times New Roman" w:cs="Times New Roman"/>
                <w:sz w:val="21"/>
                <w:szCs w:val="21"/>
              </w:rPr>
              <w:t>，</w:t>
            </w:r>
            <w:r>
              <w:rPr>
                <w:rFonts w:ascii="Times New Roman" w:eastAsia="宋体" w:hAnsi="Times New Roman" w:cs="Times New Roman" w:hint="eastAsia"/>
                <w:sz w:val="21"/>
                <w:szCs w:val="21"/>
              </w:rPr>
              <w:t>直接</w:t>
            </w:r>
            <w:r>
              <w:rPr>
                <w:rFonts w:ascii="Times New Roman" w:eastAsia="宋体" w:hAnsi="Times New Roman" w:cs="Times New Roman"/>
                <w:sz w:val="21"/>
                <w:szCs w:val="21"/>
              </w:rPr>
              <w:t>由有资质单位回收处理</w:t>
            </w:r>
            <w:r>
              <w:rPr>
                <w:rFonts w:ascii="Times New Roman" w:eastAsia="宋体" w:hAnsi="Times New Roman" w:cs="Times New Roman" w:hint="eastAsia"/>
                <w:sz w:val="21"/>
                <w:szCs w:val="21"/>
              </w:rPr>
              <w:t>，不在施工场地内暂存；</w:t>
            </w:r>
          </w:p>
          <w:p w14:paraId="02988C53"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hint="eastAsia"/>
                <w:sz w:val="21"/>
                <w:szCs w:val="21"/>
              </w:rPr>
              <w:t>清淤产生的淤泥运至临时生产区干化处理后含水率控制在</w:t>
            </w:r>
            <w:r>
              <w:rPr>
                <w:rFonts w:ascii="Times New Roman" w:eastAsia="宋体" w:hAnsi="Times New Roman" w:cs="Times New Roman" w:hint="eastAsia"/>
                <w:sz w:val="21"/>
                <w:szCs w:val="21"/>
              </w:rPr>
              <w:t>60%</w:t>
            </w:r>
            <w:r>
              <w:rPr>
                <w:rFonts w:ascii="Times New Roman" w:eastAsia="宋体" w:hAnsi="Times New Roman" w:cs="Times New Roman" w:hint="eastAsia"/>
                <w:sz w:val="21"/>
                <w:szCs w:val="21"/>
              </w:rPr>
              <w:t>左右，委托牡丹江金达农化有限公司对其清淤底泥进行加工制作生物肥，由企业售卖。</w:t>
            </w:r>
          </w:p>
          <w:p w14:paraId="314C0FE4"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sz w:val="21"/>
                <w:szCs w:val="21"/>
              </w:rPr>
              <w:t>拆除的废弃建筑垃圾</w:t>
            </w:r>
            <w:r>
              <w:rPr>
                <w:rFonts w:ascii="Times New Roman" w:eastAsia="宋体" w:hAnsi="Times New Roman" w:cs="Times New Roman" w:hint="eastAsia"/>
                <w:sz w:val="21"/>
                <w:szCs w:val="21"/>
              </w:rPr>
              <w:t>（包括隔油沉淀池和机械维修站）</w:t>
            </w:r>
            <w:r>
              <w:rPr>
                <w:rFonts w:ascii="Times New Roman" w:eastAsia="宋体" w:hAnsi="Times New Roman" w:cs="Times New Roman"/>
                <w:sz w:val="21"/>
                <w:szCs w:val="21"/>
              </w:rPr>
              <w:t>，收集后送市政指定的地点处理。</w:t>
            </w:r>
          </w:p>
        </w:tc>
      </w:tr>
      <w:tr w:rsidR="009D12AF" w14:paraId="4412BE01" w14:textId="77777777">
        <w:trPr>
          <w:trHeight w:val="340"/>
          <w:jc w:val="center"/>
        </w:trPr>
        <w:tc>
          <w:tcPr>
            <w:tcW w:w="423" w:type="pct"/>
            <w:vMerge/>
            <w:tcBorders>
              <w:tl2br w:val="nil"/>
              <w:tr2bl w:val="nil"/>
            </w:tcBorders>
            <w:vAlign w:val="center"/>
          </w:tcPr>
          <w:p w14:paraId="7E08F88F" w14:textId="77777777" w:rsidR="009D12AF" w:rsidRDefault="009D12AF">
            <w:pPr>
              <w:adjustRightInd w:val="0"/>
              <w:snapToGrid w:val="0"/>
              <w:spacing w:line="240" w:lineRule="auto"/>
              <w:ind w:firstLineChars="0" w:firstLine="0"/>
              <w:jc w:val="center"/>
              <w:rPr>
                <w:rFonts w:ascii="Times New Roman" w:eastAsia="宋体" w:hAnsi="Times New Roman" w:cs="Times New Roman"/>
                <w:sz w:val="21"/>
                <w:szCs w:val="21"/>
              </w:rPr>
            </w:pPr>
          </w:p>
        </w:tc>
        <w:tc>
          <w:tcPr>
            <w:tcW w:w="917" w:type="pct"/>
            <w:tcBorders>
              <w:tl2br w:val="nil"/>
              <w:tr2bl w:val="nil"/>
            </w:tcBorders>
            <w:vAlign w:val="center"/>
          </w:tcPr>
          <w:p w14:paraId="3934760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生态恢复</w:t>
            </w:r>
          </w:p>
        </w:tc>
        <w:tc>
          <w:tcPr>
            <w:tcW w:w="3659" w:type="pct"/>
            <w:tcBorders>
              <w:tl2br w:val="nil"/>
              <w:tr2bl w:val="nil"/>
            </w:tcBorders>
            <w:vAlign w:val="center"/>
          </w:tcPr>
          <w:p w14:paraId="2CA153A5" w14:textId="77777777" w:rsidR="009D12AF" w:rsidRDefault="00000000">
            <w:pPr>
              <w:adjustRightInd w:val="0"/>
              <w:snapToGrid w:val="0"/>
              <w:spacing w:line="240" w:lineRule="auto"/>
              <w:ind w:firstLineChars="0" w:firstLine="0"/>
              <w:rPr>
                <w:rFonts w:ascii="Times New Roman" w:eastAsia="宋体" w:hAnsi="Times New Roman" w:cs="Times New Roman"/>
                <w:sz w:val="21"/>
                <w:szCs w:val="21"/>
              </w:rPr>
            </w:pPr>
            <w:r>
              <w:rPr>
                <w:rFonts w:ascii="Times New Roman" w:eastAsia="宋体" w:hAnsi="Times New Roman" w:cs="Times New Roman" w:hint="eastAsia"/>
                <w:sz w:val="21"/>
                <w:szCs w:val="21"/>
              </w:rPr>
              <w:t>施工结束后对临时占地进行生态修复，恢复原有状态。</w:t>
            </w:r>
          </w:p>
        </w:tc>
      </w:tr>
    </w:tbl>
    <w:p w14:paraId="1E0FF6C5" w14:textId="77777777" w:rsidR="009D12AF" w:rsidRDefault="00000000">
      <w:pPr>
        <w:ind w:firstLine="480"/>
        <w:rPr>
          <w:highlight w:val="yellow"/>
        </w:rPr>
      </w:pPr>
      <w:r>
        <w:rPr>
          <w:rFonts w:hint="eastAsia"/>
        </w:rPr>
        <w:t>排泥管线合理性分析：群力水库清淤区域</w:t>
      </w:r>
      <w:r>
        <w:rPr>
          <w:rFonts w:hint="eastAsia"/>
        </w:rPr>
        <w:t>1</w:t>
      </w:r>
      <w:r>
        <w:rPr>
          <w:rFonts w:hint="eastAsia"/>
        </w:rPr>
        <w:t>至临时堆场约</w:t>
      </w:r>
      <w:r>
        <w:rPr>
          <w:rFonts w:hint="eastAsia"/>
        </w:rPr>
        <w:t>1000m</w:t>
      </w:r>
      <w:r>
        <w:rPr>
          <w:rFonts w:hint="eastAsia"/>
        </w:rPr>
        <w:t>，此部分铺设主管线，主管线长度为</w:t>
      </w:r>
      <w:r>
        <w:rPr>
          <w:rFonts w:hint="eastAsia"/>
        </w:rPr>
        <w:t>2800m</w:t>
      </w:r>
      <w:r>
        <w:rPr>
          <w:rFonts w:hint="eastAsia"/>
        </w:rPr>
        <w:t>，支管线为连接清淤区域</w:t>
      </w:r>
      <w:r>
        <w:rPr>
          <w:rFonts w:hint="eastAsia"/>
        </w:rPr>
        <w:t>2</w:t>
      </w:r>
      <w:r>
        <w:rPr>
          <w:rFonts w:hint="eastAsia"/>
        </w:rPr>
        <w:t>至区域</w:t>
      </w:r>
      <w:r>
        <w:rPr>
          <w:rFonts w:hint="eastAsia"/>
        </w:rPr>
        <w:t>5</w:t>
      </w:r>
      <w:r>
        <w:rPr>
          <w:rFonts w:hint="eastAsia"/>
        </w:rPr>
        <w:t>分区至主管线，支管线长度为</w:t>
      </w:r>
      <w:r>
        <w:rPr>
          <w:rFonts w:hint="eastAsia"/>
        </w:rPr>
        <w:t>4500m</w:t>
      </w:r>
      <w:r>
        <w:rPr>
          <w:rFonts w:hint="eastAsia"/>
        </w:rPr>
        <w:t>；长石水库清淤区域至临时堆场约</w:t>
      </w:r>
      <w:r>
        <w:rPr>
          <w:rFonts w:hint="eastAsia"/>
        </w:rPr>
        <w:t>600m</w:t>
      </w:r>
      <w:r>
        <w:rPr>
          <w:rFonts w:hint="eastAsia"/>
        </w:rPr>
        <w:t>，此部分铺设主管线，主管线长度为</w:t>
      </w:r>
      <w:r>
        <w:rPr>
          <w:rFonts w:hint="eastAsia"/>
        </w:rPr>
        <w:t>800m</w:t>
      </w:r>
      <w:r>
        <w:rPr>
          <w:rFonts w:hint="eastAsia"/>
        </w:rPr>
        <w:t>，支管线为清淤区边缘区域连接至主管线，支管线长度为</w:t>
      </w:r>
      <w:r>
        <w:rPr>
          <w:rFonts w:hint="eastAsia"/>
        </w:rPr>
        <w:t>1200m</w:t>
      </w:r>
      <w:r>
        <w:rPr>
          <w:rFonts w:hint="eastAsia"/>
        </w:rPr>
        <w:t>；向阳水电站前池清淤区域至临时堆场约</w:t>
      </w:r>
      <w:r>
        <w:rPr>
          <w:rFonts w:hint="eastAsia"/>
        </w:rPr>
        <w:t>400m</w:t>
      </w:r>
      <w:r>
        <w:rPr>
          <w:rFonts w:hint="eastAsia"/>
        </w:rPr>
        <w:t>，此部分铺设主管线，此部分铺设主管线，主管线长度为</w:t>
      </w:r>
      <w:r>
        <w:rPr>
          <w:rFonts w:hint="eastAsia"/>
        </w:rPr>
        <w:t>900m</w:t>
      </w:r>
      <w:r>
        <w:rPr>
          <w:rFonts w:hint="eastAsia"/>
        </w:rPr>
        <w:t>，支管线铺设整个清淤区域连接至主管线，支管线长度为</w:t>
      </w:r>
      <w:r>
        <w:rPr>
          <w:rFonts w:hint="eastAsia"/>
        </w:rPr>
        <w:t>900m</w:t>
      </w:r>
      <w:r>
        <w:rPr>
          <w:rFonts w:hint="eastAsia"/>
        </w:rPr>
        <w:t>；新安晒水池清淤区域至临时堆场约</w:t>
      </w:r>
      <w:r>
        <w:rPr>
          <w:rFonts w:hint="eastAsia"/>
        </w:rPr>
        <w:t>200m</w:t>
      </w:r>
      <w:r>
        <w:rPr>
          <w:rFonts w:hint="eastAsia"/>
        </w:rPr>
        <w:t>，此不部分铺设主管线，主管线长度为</w:t>
      </w:r>
      <w:r>
        <w:rPr>
          <w:rFonts w:hint="eastAsia"/>
        </w:rPr>
        <w:t>700m</w:t>
      </w:r>
      <w:r>
        <w:rPr>
          <w:rFonts w:hint="eastAsia"/>
        </w:rPr>
        <w:t>，支管线为覆盖晒水池周边浅水区连接至主管线，支管线长度为</w:t>
      </w:r>
      <w:r>
        <w:rPr>
          <w:rFonts w:hint="eastAsia"/>
        </w:rPr>
        <w:t>1000m</w:t>
      </w:r>
      <w:r>
        <w:rPr>
          <w:rFonts w:hint="eastAsia"/>
        </w:rPr>
        <w:t>；万丈水库清淤区域至临时堆场约</w:t>
      </w:r>
      <w:r>
        <w:rPr>
          <w:rFonts w:hint="eastAsia"/>
        </w:rPr>
        <w:t>800m</w:t>
      </w:r>
      <w:r>
        <w:rPr>
          <w:rFonts w:hint="eastAsia"/>
        </w:rPr>
        <w:t>，此部分铺设主管线，主管线长度为</w:t>
      </w:r>
      <w:r>
        <w:rPr>
          <w:rFonts w:hint="eastAsia"/>
        </w:rPr>
        <w:t>1200m</w:t>
      </w:r>
      <w:r>
        <w:rPr>
          <w:rFonts w:hint="eastAsia"/>
        </w:rPr>
        <w:t>，支管线铺设整个清淤区域连接至主管线，支管线长度为</w:t>
      </w:r>
      <w:r>
        <w:rPr>
          <w:rFonts w:hint="eastAsia"/>
        </w:rPr>
        <w:t>1800m</w:t>
      </w:r>
      <w:r>
        <w:rPr>
          <w:rFonts w:hint="eastAsia"/>
        </w:rPr>
        <w:t>，因此本项目排泥管线能到达临时堆场。</w:t>
      </w:r>
    </w:p>
    <w:p w14:paraId="657AA534" w14:textId="77777777" w:rsidR="009D12AF" w:rsidRDefault="00000000">
      <w:pPr>
        <w:ind w:firstLine="480"/>
        <w:rPr>
          <w:highlight w:val="yellow"/>
        </w:rPr>
      </w:pPr>
      <w:r>
        <w:rPr>
          <w:highlight w:val="yellow"/>
        </w:rPr>
        <w:br w:type="page"/>
      </w:r>
    </w:p>
    <w:p w14:paraId="2D209A3A" w14:textId="77777777" w:rsidR="009D12AF" w:rsidRDefault="00000000">
      <w:pPr>
        <w:pStyle w:val="3"/>
        <w:rPr>
          <w:highlight w:val="yellow"/>
        </w:rPr>
      </w:pPr>
      <w:bookmarkStart w:id="126" w:name="_Toc6800"/>
      <w:bookmarkStart w:id="127" w:name="_Toc25708"/>
      <w:bookmarkStart w:id="128" w:name="_Toc16089"/>
      <w:bookmarkStart w:id="129" w:name="_Toc13556"/>
      <w:r>
        <w:rPr>
          <w:rFonts w:hint="eastAsia"/>
        </w:rPr>
        <w:lastRenderedPageBreak/>
        <w:t>3</w:t>
      </w:r>
      <w:r>
        <w:t xml:space="preserve">.2.5 </w:t>
      </w:r>
      <w:bookmarkEnd w:id="126"/>
      <w:bookmarkEnd w:id="127"/>
      <w:bookmarkEnd w:id="128"/>
      <w:r>
        <w:rPr>
          <w:rFonts w:hint="eastAsia"/>
        </w:rPr>
        <w:t>占地情况</w:t>
      </w:r>
      <w:bookmarkEnd w:id="129"/>
    </w:p>
    <w:p w14:paraId="56C970D8"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本项目不涉及永久占地和征地移民。</w:t>
      </w:r>
    </w:p>
    <w:p w14:paraId="08FAFD24" w14:textId="77777777" w:rsidR="009D12AF" w:rsidRDefault="00000000">
      <w:pPr>
        <w:pBdr>
          <w:right w:val="none" w:sz="0" w:space="0" w:color="000000"/>
        </w:pBdr>
        <w:ind w:firstLine="480"/>
        <w:rPr>
          <w:rFonts w:ascii="Times New Roman" w:eastAsia="宋体" w:hAnsi="Times New Roman" w:cs="Times New Roman"/>
        </w:rPr>
      </w:pPr>
      <w:r>
        <w:rPr>
          <w:rFonts w:ascii="Times New Roman" w:eastAsia="宋体" w:hAnsi="Times New Roman" w:cs="Times New Roman" w:hint="eastAsia"/>
        </w:rPr>
        <w:t>向阳水电站前池</w:t>
      </w:r>
      <w:r>
        <w:rPr>
          <w:rFonts w:ascii="Times New Roman" w:eastAsia="宋体" w:hAnsi="Times New Roman" w:cs="Times New Roman"/>
        </w:rPr>
        <w:t>临时</w:t>
      </w:r>
      <w:r>
        <w:rPr>
          <w:rFonts w:ascii="Times New Roman" w:eastAsia="宋体" w:hAnsi="Times New Roman" w:cs="Times New Roman" w:hint="eastAsia"/>
        </w:rPr>
        <w:t>用地</w:t>
      </w:r>
      <w:r>
        <w:rPr>
          <w:rFonts w:ascii="Times New Roman" w:eastAsia="宋体" w:hAnsi="Times New Roman" w:cs="Times New Roman"/>
        </w:rPr>
        <w:t>分为</w:t>
      </w:r>
      <w:r>
        <w:rPr>
          <w:rFonts w:ascii="Times New Roman" w:eastAsia="宋体" w:hAnsi="Times New Roman" w:cs="Times New Roman" w:hint="eastAsia"/>
        </w:rPr>
        <w:t>五</w:t>
      </w:r>
      <w:r>
        <w:rPr>
          <w:rFonts w:ascii="Times New Roman" w:eastAsia="宋体" w:hAnsi="Times New Roman" w:cs="Times New Roman"/>
        </w:rPr>
        <w:t>个地块，分别为</w:t>
      </w:r>
      <w:r>
        <w:rPr>
          <w:rFonts w:ascii="Times New Roman" w:eastAsia="宋体" w:hAnsi="Times New Roman" w:cs="Times New Roman" w:hint="eastAsia"/>
        </w:rPr>
        <w:t>448.84</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271.06</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539.16</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367.63</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3177.6</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，合计临时占地面积</w:t>
      </w:r>
      <w:r>
        <w:rPr>
          <w:rFonts w:ascii="Times New Roman" w:eastAsia="宋体" w:hAnsi="Times New Roman" w:cs="Times New Roman" w:hint="eastAsia"/>
        </w:rPr>
        <w:t>4804.29</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hint="eastAsia"/>
        </w:rPr>
        <w:t>；新安晒水池</w:t>
      </w:r>
      <w:r>
        <w:rPr>
          <w:rFonts w:ascii="Times New Roman" w:eastAsia="宋体" w:hAnsi="Times New Roman" w:cs="Times New Roman"/>
        </w:rPr>
        <w:t>临时</w:t>
      </w:r>
      <w:r>
        <w:rPr>
          <w:rFonts w:ascii="Times New Roman" w:eastAsia="宋体" w:hAnsi="Times New Roman" w:cs="Times New Roman" w:hint="eastAsia"/>
        </w:rPr>
        <w:t>用地</w:t>
      </w:r>
      <w:r>
        <w:rPr>
          <w:rFonts w:ascii="Times New Roman" w:eastAsia="宋体" w:hAnsi="Times New Roman" w:cs="Times New Roman"/>
        </w:rPr>
        <w:t>分为</w:t>
      </w:r>
      <w:r>
        <w:rPr>
          <w:rFonts w:ascii="Times New Roman" w:eastAsia="宋体" w:hAnsi="Times New Roman" w:cs="Times New Roman" w:hint="eastAsia"/>
        </w:rPr>
        <w:t>四</w:t>
      </w:r>
      <w:r>
        <w:rPr>
          <w:rFonts w:ascii="Times New Roman" w:eastAsia="宋体" w:hAnsi="Times New Roman" w:cs="Times New Roman"/>
        </w:rPr>
        <w:t>个地块，分别为</w:t>
      </w:r>
      <w:r>
        <w:rPr>
          <w:rFonts w:ascii="Times New Roman" w:eastAsia="宋体" w:hAnsi="Times New Roman" w:cs="Times New Roman" w:hint="eastAsia"/>
        </w:rPr>
        <w:t>806.69</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2390.22</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1008.19</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4032.76</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，合计临时占地面积</w:t>
      </w:r>
      <w:r>
        <w:rPr>
          <w:rFonts w:ascii="Times New Roman" w:eastAsia="宋体" w:hAnsi="Times New Roman" w:cs="Times New Roman" w:hint="eastAsia"/>
        </w:rPr>
        <w:t>8237.86</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hint="eastAsia"/>
        </w:rPr>
        <w:t>；万丈水库</w:t>
      </w:r>
      <w:r>
        <w:rPr>
          <w:rFonts w:ascii="Times New Roman" w:eastAsia="宋体" w:hAnsi="Times New Roman" w:cs="Times New Roman"/>
        </w:rPr>
        <w:t>临时</w:t>
      </w:r>
      <w:r>
        <w:rPr>
          <w:rFonts w:ascii="Times New Roman" w:eastAsia="宋体" w:hAnsi="Times New Roman" w:cs="Times New Roman" w:hint="eastAsia"/>
        </w:rPr>
        <w:t>用地</w:t>
      </w:r>
      <w:r>
        <w:rPr>
          <w:rFonts w:ascii="Times New Roman" w:eastAsia="宋体" w:hAnsi="Times New Roman" w:cs="Times New Roman"/>
        </w:rPr>
        <w:t>分为</w:t>
      </w:r>
      <w:r>
        <w:rPr>
          <w:rFonts w:ascii="Times New Roman" w:eastAsia="宋体" w:hAnsi="Times New Roman" w:cs="Times New Roman" w:hint="eastAsia"/>
        </w:rPr>
        <w:t>四</w:t>
      </w:r>
      <w:r>
        <w:rPr>
          <w:rFonts w:ascii="Times New Roman" w:eastAsia="宋体" w:hAnsi="Times New Roman" w:cs="Times New Roman"/>
        </w:rPr>
        <w:t>个地块，分别为</w:t>
      </w:r>
      <w:r>
        <w:rPr>
          <w:rFonts w:ascii="Times New Roman" w:eastAsia="宋体" w:hAnsi="Times New Roman" w:cs="Times New Roman" w:hint="eastAsia"/>
        </w:rPr>
        <w:t>95</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1051.47</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247.41</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2592.88</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，合计临时占地面积</w:t>
      </w:r>
      <w:r>
        <w:rPr>
          <w:rFonts w:ascii="Times New Roman" w:eastAsia="宋体" w:hAnsi="Times New Roman" w:cs="Times New Roman" w:hint="eastAsia"/>
        </w:rPr>
        <w:t>3987.26</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hint="eastAsia"/>
        </w:rPr>
        <w:t>；长石水库</w:t>
      </w:r>
      <w:r>
        <w:rPr>
          <w:rFonts w:ascii="Times New Roman" w:eastAsia="宋体" w:hAnsi="Times New Roman" w:cs="Times New Roman"/>
        </w:rPr>
        <w:t>临时</w:t>
      </w:r>
      <w:r>
        <w:rPr>
          <w:rFonts w:ascii="Times New Roman" w:eastAsia="宋体" w:hAnsi="Times New Roman" w:cs="Times New Roman" w:hint="eastAsia"/>
        </w:rPr>
        <w:t>用地</w:t>
      </w:r>
      <w:r>
        <w:rPr>
          <w:rFonts w:ascii="Times New Roman" w:eastAsia="宋体" w:hAnsi="Times New Roman" w:cs="Times New Roman"/>
        </w:rPr>
        <w:t>分为</w:t>
      </w:r>
      <w:r>
        <w:rPr>
          <w:rFonts w:ascii="Times New Roman" w:eastAsia="宋体" w:hAnsi="Times New Roman" w:cs="Times New Roman" w:hint="eastAsia"/>
        </w:rPr>
        <w:t>四</w:t>
      </w:r>
      <w:r>
        <w:rPr>
          <w:rFonts w:ascii="Times New Roman" w:eastAsia="宋体" w:hAnsi="Times New Roman" w:cs="Times New Roman"/>
        </w:rPr>
        <w:t>个地块，分别为</w:t>
      </w:r>
      <w:r>
        <w:rPr>
          <w:rFonts w:ascii="Times New Roman" w:eastAsia="宋体" w:hAnsi="Times New Roman" w:cs="Times New Roman" w:hint="eastAsia"/>
        </w:rPr>
        <w:t>628.48</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9347.49</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2012.08</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5456</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，合计临时占地面积</w:t>
      </w:r>
      <w:r>
        <w:rPr>
          <w:rFonts w:ascii="Times New Roman" w:eastAsia="宋体" w:hAnsi="Times New Roman" w:cs="Times New Roman" w:hint="eastAsia"/>
        </w:rPr>
        <w:t>17444.05</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hint="eastAsia"/>
        </w:rPr>
        <w:t>；群力水库</w:t>
      </w:r>
      <w:r>
        <w:rPr>
          <w:rFonts w:ascii="Times New Roman" w:eastAsia="宋体" w:hAnsi="Times New Roman" w:cs="Times New Roman"/>
        </w:rPr>
        <w:t>临时</w:t>
      </w:r>
      <w:r>
        <w:rPr>
          <w:rFonts w:ascii="Times New Roman" w:eastAsia="宋体" w:hAnsi="Times New Roman" w:cs="Times New Roman" w:hint="eastAsia"/>
        </w:rPr>
        <w:t>用地</w:t>
      </w:r>
      <w:r>
        <w:rPr>
          <w:rFonts w:ascii="Times New Roman" w:eastAsia="宋体" w:hAnsi="Times New Roman" w:cs="Times New Roman"/>
        </w:rPr>
        <w:t>分为</w:t>
      </w:r>
      <w:r>
        <w:rPr>
          <w:rFonts w:ascii="Times New Roman" w:eastAsia="宋体" w:hAnsi="Times New Roman" w:cs="Times New Roman" w:hint="eastAsia"/>
        </w:rPr>
        <w:t>四</w:t>
      </w:r>
      <w:r>
        <w:rPr>
          <w:rFonts w:ascii="Times New Roman" w:eastAsia="宋体" w:hAnsi="Times New Roman" w:cs="Times New Roman"/>
        </w:rPr>
        <w:t>个地块，分别为</w:t>
      </w:r>
      <w:r>
        <w:rPr>
          <w:rFonts w:ascii="Times New Roman" w:eastAsia="宋体" w:hAnsi="Times New Roman" w:cs="Times New Roman" w:hint="eastAsia"/>
        </w:rPr>
        <w:t>313.83</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7147.21</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3195.1</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2017.52</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，合计临时占地面积</w:t>
      </w:r>
      <w:r>
        <w:rPr>
          <w:rFonts w:ascii="Times New Roman" w:eastAsia="宋体" w:hAnsi="Times New Roman" w:cs="Times New Roman" w:hint="eastAsia"/>
        </w:rPr>
        <w:t>12673.6</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hint="eastAsia"/>
        </w:rPr>
        <w:t>，用于建设施工临时区域。</w:t>
      </w:r>
      <w:bookmarkStart w:id="130" w:name="_Toc6576"/>
      <w:bookmarkStart w:id="131" w:name="_Toc14144"/>
    </w:p>
    <w:p w14:paraId="1FCE0C6C" w14:textId="77777777" w:rsidR="009D12AF" w:rsidRDefault="00000000">
      <w:pPr>
        <w:spacing w:line="240" w:lineRule="auto"/>
        <w:ind w:firstLineChars="0" w:firstLine="0"/>
        <w:jc w:val="center"/>
        <w:rPr>
          <w:b/>
          <w:bCs/>
        </w:rPr>
      </w:pPr>
      <w:r>
        <w:rPr>
          <w:rFonts w:hint="eastAsia"/>
          <w:b/>
          <w:bCs/>
        </w:rPr>
        <w:t>表</w:t>
      </w:r>
      <w:r>
        <w:rPr>
          <w:rFonts w:hint="eastAsia"/>
          <w:b/>
          <w:bCs/>
        </w:rPr>
        <w:t>3.2-3</w:t>
      </w:r>
      <w:r>
        <w:rPr>
          <w:rFonts w:hint="eastAsia"/>
          <w:b/>
          <w:bCs/>
        </w:rPr>
        <w:t>施工临时占地表</w:t>
      </w:r>
    </w:p>
    <w:tbl>
      <w:tblPr>
        <w:tblW w:w="8202" w:type="dxa"/>
        <w:tblInd w:w="107" w:type="dxa"/>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365"/>
        <w:gridCol w:w="2279"/>
        <w:gridCol w:w="2279"/>
        <w:gridCol w:w="2279"/>
      </w:tblGrid>
      <w:tr w:rsidR="009D12AF" w14:paraId="36A792E6" w14:textId="77777777">
        <w:trPr>
          <w:trHeight w:hRule="exact" w:val="405"/>
        </w:trPr>
        <w:tc>
          <w:tcPr>
            <w:tcW w:w="1365" w:type="dxa"/>
            <w:vAlign w:val="center"/>
          </w:tcPr>
          <w:p w14:paraId="3EBF4382" w14:textId="77777777" w:rsidR="009D12AF" w:rsidRDefault="00000000">
            <w:pPr>
              <w:spacing w:line="240" w:lineRule="auto"/>
              <w:ind w:firstLineChars="0" w:firstLine="0"/>
              <w:jc w:val="center"/>
              <w:rPr>
                <w:sz w:val="21"/>
              </w:rPr>
            </w:pPr>
            <w:r>
              <w:rPr>
                <w:rFonts w:hint="eastAsia"/>
                <w:sz w:val="21"/>
              </w:rPr>
              <w:t>清淤区</w:t>
            </w:r>
          </w:p>
        </w:tc>
        <w:tc>
          <w:tcPr>
            <w:tcW w:w="2279" w:type="dxa"/>
            <w:vAlign w:val="center"/>
          </w:tcPr>
          <w:p w14:paraId="4A8D9583" w14:textId="77777777" w:rsidR="009D12AF" w:rsidRDefault="00000000">
            <w:pPr>
              <w:spacing w:line="240" w:lineRule="auto"/>
              <w:ind w:firstLineChars="0" w:firstLine="0"/>
              <w:jc w:val="center"/>
              <w:rPr>
                <w:sz w:val="21"/>
              </w:rPr>
            </w:pPr>
            <w:r>
              <w:rPr>
                <w:sz w:val="21"/>
              </w:rPr>
              <w:t>项目</w:t>
            </w:r>
          </w:p>
        </w:tc>
        <w:tc>
          <w:tcPr>
            <w:tcW w:w="2279" w:type="dxa"/>
            <w:vAlign w:val="center"/>
          </w:tcPr>
          <w:p w14:paraId="34ADA0C7" w14:textId="77777777" w:rsidR="009D12AF" w:rsidRDefault="00000000">
            <w:pPr>
              <w:spacing w:line="240" w:lineRule="auto"/>
              <w:ind w:firstLineChars="0" w:firstLine="0"/>
              <w:jc w:val="center"/>
              <w:rPr>
                <w:sz w:val="21"/>
              </w:rPr>
            </w:pPr>
            <w:r>
              <w:rPr>
                <w:sz w:val="21"/>
              </w:rPr>
              <w:t>占地面积（</w:t>
            </w:r>
            <w:r>
              <w:rPr>
                <w:sz w:val="21"/>
              </w:rPr>
              <w:t>m</w:t>
            </w:r>
            <w:r>
              <w:rPr>
                <w:sz w:val="21"/>
                <w:vertAlign w:val="superscript"/>
              </w:rPr>
              <w:t>2</w:t>
            </w:r>
            <w:r>
              <w:rPr>
                <w:sz w:val="21"/>
              </w:rPr>
              <w:t>）</w:t>
            </w:r>
          </w:p>
        </w:tc>
        <w:tc>
          <w:tcPr>
            <w:tcW w:w="2279" w:type="dxa"/>
            <w:vAlign w:val="center"/>
          </w:tcPr>
          <w:p w14:paraId="03FDB223" w14:textId="77777777" w:rsidR="009D12AF" w:rsidRDefault="00000000">
            <w:pPr>
              <w:spacing w:line="240" w:lineRule="auto"/>
              <w:ind w:firstLineChars="0" w:firstLine="0"/>
              <w:jc w:val="center"/>
              <w:rPr>
                <w:sz w:val="21"/>
              </w:rPr>
            </w:pPr>
            <w:r>
              <w:rPr>
                <w:sz w:val="21"/>
              </w:rPr>
              <w:t>占地性质</w:t>
            </w:r>
          </w:p>
        </w:tc>
      </w:tr>
      <w:tr w:rsidR="009D12AF" w14:paraId="160121F9" w14:textId="77777777">
        <w:trPr>
          <w:trHeight w:hRule="exact" w:val="405"/>
        </w:trPr>
        <w:tc>
          <w:tcPr>
            <w:tcW w:w="1365" w:type="dxa"/>
            <w:vMerge w:val="restart"/>
            <w:vAlign w:val="center"/>
          </w:tcPr>
          <w:p w14:paraId="55BB6582" w14:textId="77777777" w:rsidR="009D12AF" w:rsidRDefault="00000000">
            <w:pPr>
              <w:spacing w:line="240" w:lineRule="auto"/>
              <w:ind w:firstLineChars="0" w:firstLine="0"/>
              <w:jc w:val="center"/>
              <w:rPr>
                <w:sz w:val="21"/>
              </w:rPr>
            </w:pPr>
            <w:r>
              <w:rPr>
                <w:rFonts w:hint="eastAsia"/>
                <w:sz w:val="21"/>
              </w:rPr>
              <w:t>向阳水电站前池</w:t>
            </w:r>
          </w:p>
        </w:tc>
        <w:tc>
          <w:tcPr>
            <w:tcW w:w="2279" w:type="dxa"/>
            <w:vAlign w:val="center"/>
          </w:tcPr>
          <w:p w14:paraId="113211E8" w14:textId="77777777" w:rsidR="009D12AF" w:rsidRDefault="00000000">
            <w:pPr>
              <w:spacing w:line="240" w:lineRule="auto"/>
              <w:ind w:firstLineChars="0" w:firstLine="0"/>
              <w:jc w:val="center"/>
              <w:rPr>
                <w:sz w:val="21"/>
              </w:rPr>
            </w:pPr>
            <w:r>
              <w:rPr>
                <w:rFonts w:hint="eastAsia"/>
                <w:sz w:val="21"/>
              </w:rPr>
              <w:t>居住区</w:t>
            </w:r>
          </w:p>
        </w:tc>
        <w:tc>
          <w:tcPr>
            <w:tcW w:w="2279" w:type="dxa"/>
            <w:vAlign w:val="center"/>
          </w:tcPr>
          <w:p w14:paraId="48E5B76A" w14:textId="77777777" w:rsidR="009D12AF" w:rsidRDefault="00000000">
            <w:pPr>
              <w:spacing w:line="240" w:lineRule="auto"/>
              <w:ind w:firstLineChars="0" w:firstLine="0"/>
              <w:jc w:val="center"/>
              <w:rPr>
                <w:sz w:val="21"/>
              </w:rPr>
            </w:pPr>
            <w:r>
              <w:rPr>
                <w:rFonts w:hint="eastAsia"/>
                <w:sz w:val="21"/>
              </w:rPr>
              <w:t>719.9</w:t>
            </w:r>
          </w:p>
        </w:tc>
        <w:tc>
          <w:tcPr>
            <w:tcW w:w="2279" w:type="dxa"/>
            <w:vAlign w:val="center"/>
          </w:tcPr>
          <w:p w14:paraId="2FBA37F3" w14:textId="77777777" w:rsidR="009D12AF" w:rsidRDefault="00000000">
            <w:pPr>
              <w:spacing w:line="240" w:lineRule="auto"/>
              <w:ind w:firstLineChars="0" w:firstLine="0"/>
              <w:jc w:val="center"/>
              <w:rPr>
                <w:sz w:val="21"/>
              </w:rPr>
            </w:pPr>
            <w:r>
              <w:rPr>
                <w:rFonts w:hint="eastAsia"/>
                <w:sz w:val="21"/>
              </w:rPr>
              <w:t>利旧</w:t>
            </w:r>
          </w:p>
        </w:tc>
      </w:tr>
      <w:tr w:rsidR="009D12AF" w14:paraId="27DDC12D" w14:textId="77777777">
        <w:trPr>
          <w:trHeight w:hRule="exact" w:val="405"/>
        </w:trPr>
        <w:tc>
          <w:tcPr>
            <w:tcW w:w="1365" w:type="dxa"/>
            <w:vMerge/>
            <w:vAlign w:val="center"/>
          </w:tcPr>
          <w:p w14:paraId="448105E1" w14:textId="77777777" w:rsidR="009D12AF" w:rsidRDefault="009D12AF">
            <w:pPr>
              <w:spacing w:line="240" w:lineRule="auto"/>
              <w:ind w:firstLineChars="0" w:firstLine="0"/>
              <w:jc w:val="center"/>
              <w:rPr>
                <w:sz w:val="21"/>
              </w:rPr>
            </w:pPr>
          </w:p>
        </w:tc>
        <w:tc>
          <w:tcPr>
            <w:tcW w:w="2279" w:type="dxa"/>
            <w:vAlign w:val="center"/>
          </w:tcPr>
          <w:p w14:paraId="24CB59F6" w14:textId="77777777" w:rsidR="009D12AF" w:rsidRDefault="00000000">
            <w:pPr>
              <w:spacing w:line="240" w:lineRule="auto"/>
              <w:ind w:firstLineChars="0" w:firstLine="0"/>
              <w:jc w:val="center"/>
              <w:rPr>
                <w:sz w:val="21"/>
              </w:rPr>
            </w:pPr>
            <w:r>
              <w:rPr>
                <w:rFonts w:hint="eastAsia"/>
                <w:sz w:val="21"/>
              </w:rPr>
              <w:t>淤泥堆放区</w:t>
            </w:r>
          </w:p>
        </w:tc>
        <w:tc>
          <w:tcPr>
            <w:tcW w:w="2279" w:type="dxa"/>
            <w:vAlign w:val="center"/>
          </w:tcPr>
          <w:p w14:paraId="28470850" w14:textId="77777777" w:rsidR="009D12AF" w:rsidRDefault="00000000">
            <w:pPr>
              <w:spacing w:line="240" w:lineRule="auto"/>
              <w:ind w:firstLineChars="0" w:firstLine="0"/>
              <w:jc w:val="center"/>
              <w:rPr>
                <w:sz w:val="21"/>
              </w:rPr>
            </w:pPr>
            <w:r>
              <w:rPr>
                <w:sz w:val="21"/>
              </w:rPr>
              <w:t>4500</w:t>
            </w:r>
          </w:p>
        </w:tc>
        <w:tc>
          <w:tcPr>
            <w:tcW w:w="2279" w:type="dxa"/>
            <w:vAlign w:val="center"/>
          </w:tcPr>
          <w:p w14:paraId="4816A5A7" w14:textId="77777777" w:rsidR="009D12AF" w:rsidRDefault="00000000">
            <w:pPr>
              <w:spacing w:line="240" w:lineRule="auto"/>
              <w:ind w:firstLineChars="0" w:firstLine="0"/>
              <w:jc w:val="center"/>
              <w:rPr>
                <w:sz w:val="21"/>
              </w:rPr>
            </w:pPr>
            <w:r>
              <w:rPr>
                <w:sz w:val="21"/>
              </w:rPr>
              <w:t>耕地</w:t>
            </w:r>
          </w:p>
        </w:tc>
      </w:tr>
      <w:tr w:rsidR="009D12AF" w14:paraId="6E9134F6" w14:textId="77777777">
        <w:trPr>
          <w:trHeight w:hRule="exact" w:val="405"/>
        </w:trPr>
        <w:tc>
          <w:tcPr>
            <w:tcW w:w="1365" w:type="dxa"/>
            <w:vMerge/>
            <w:vAlign w:val="center"/>
          </w:tcPr>
          <w:p w14:paraId="01489618" w14:textId="77777777" w:rsidR="009D12AF" w:rsidRDefault="009D12AF">
            <w:pPr>
              <w:spacing w:line="240" w:lineRule="auto"/>
              <w:ind w:firstLineChars="0" w:firstLine="0"/>
              <w:jc w:val="center"/>
              <w:rPr>
                <w:sz w:val="21"/>
              </w:rPr>
            </w:pPr>
          </w:p>
        </w:tc>
        <w:tc>
          <w:tcPr>
            <w:tcW w:w="2279" w:type="dxa"/>
            <w:vAlign w:val="center"/>
          </w:tcPr>
          <w:p w14:paraId="58B2D9C7" w14:textId="77777777" w:rsidR="009D12AF" w:rsidRDefault="00000000">
            <w:pPr>
              <w:spacing w:line="240" w:lineRule="auto"/>
              <w:ind w:firstLineChars="0" w:firstLine="0"/>
              <w:jc w:val="center"/>
              <w:rPr>
                <w:sz w:val="21"/>
              </w:rPr>
            </w:pPr>
            <w:r>
              <w:rPr>
                <w:rFonts w:hint="eastAsia"/>
                <w:sz w:val="21"/>
              </w:rPr>
              <w:t>机械设备停放区</w:t>
            </w:r>
          </w:p>
        </w:tc>
        <w:tc>
          <w:tcPr>
            <w:tcW w:w="2279" w:type="dxa"/>
            <w:vAlign w:val="center"/>
          </w:tcPr>
          <w:p w14:paraId="605996F0" w14:textId="77777777" w:rsidR="009D12AF" w:rsidRDefault="00000000">
            <w:pPr>
              <w:spacing w:line="240" w:lineRule="auto"/>
              <w:ind w:firstLineChars="0" w:firstLine="0"/>
              <w:jc w:val="center"/>
              <w:rPr>
                <w:sz w:val="21"/>
              </w:rPr>
            </w:pPr>
            <w:r>
              <w:rPr>
                <w:rFonts w:hint="eastAsia"/>
                <w:sz w:val="21"/>
              </w:rPr>
              <w:t>367.63</w:t>
            </w:r>
          </w:p>
        </w:tc>
        <w:tc>
          <w:tcPr>
            <w:tcW w:w="2279" w:type="dxa"/>
            <w:vAlign w:val="center"/>
          </w:tcPr>
          <w:p w14:paraId="68004CDA" w14:textId="77777777" w:rsidR="009D12AF" w:rsidRDefault="00000000">
            <w:pPr>
              <w:spacing w:line="240" w:lineRule="auto"/>
              <w:ind w:firstLineChars="0" w:firstLine="0"/>
              <w:jc w:val="center"/>
              <w:rPr>
                <w:sz w:val="21"/>
              </w:rPr>
            </w:pPr>
            <w:r>
              <w:rPr>
                <w:rFonts w:hint="eastAsia"/>
                <w:sz w:val="21"/>
              </w:rPr>
              <w:t>耕地</w:t>
            </w:r>
          </w:p>
        </w:tc>
      </w:tr>
      <w:tr w:rsidR="009D12AF" w14:paraId="4559AB86" w14:textId="77777777">
        <w:trPr>
          <w:trHeight w:hRule="exact" w:val="405"/>
        </w:trPr>
        <w:tc>
          <w:tcPr>
            <w:tcW w:w="1365" w:type="dxa"/>
            <w:vMerge/>
            <w:vAlign w:val="center"/>
          </w:tcPr>
          <w:p w14:paraId="53A9C58A" w14:textId="77777777" w:rsidR="009D12AF" w:rsidRDefault="009D12AF">
            <w:pPr>
              <w:spacing w:line="240" w:lineRule="auto"/>
              <w:ind w:firstLineChars="0" w:firstLine="0"/>
              <w:jc w:val="center"/>
              <w:rPr>
                <w:sz w:val="21"/>
              </w:rPr>
            </w:pPr>
          </w:p>
        </w:tc>
        <w:tc>
          <w:tcPr>
            <w:tcW w:w="2279" w:type="dxa"/>
            <w:vAlign w:val="center"/>
          </w:tcPr>
          <w:p w14:paraId="330C28DC" w14:textId="77777777" w:rsidR="009D12AF" w:rsidRDefault="00000000">
            <w:pPr>
              <w:spacing w:line="240" w:lineRule="auto"/>
              <w:ind w:firstLineChars="0" w:firstLine="0"/>
              <w:jc w:val="center"/>
              <w:rPr>
                <w:sz w:val="21"/>
              </w:rPr>
            </w:pPr>
            <w:r>
              <w:rPr>
                <w:sz w:val="21"/>
                <w:szCs w:val="21"/>
              </w:rPr>
              <w:t>临时施工道路</w:t>
            </w:r>
          </w:p>
        </w:tc>
        <w:tc>
          <w:tcPr>
            <w:tcW w:w="2279" w:type="dxa"/>
            <w:vAlign w:val="center"/>
          </w:tcPr>
          <w:p w14:paraId="74883EB5" w14:textId="77777777" w:rsidR="009D12AF" w:rsidRDefault="00000000">
            <w:pPr>
              <w:spacing w:line="240" w:lineRule="auto"/>
              <w:ind w:firstLineChars="0" w:firstLine="0"/>
              <w:jc w:val="center"/>
              <w:rPr>
                <w:sz w:val="21"/>
              </w:rPr>
            </w:pPr>
            <w:r>
              <w:rPr>
                <w:rFonts w:hint="eastAsia"/>
                <w:sz w:val="21"/>
              </w:rPr>
              <w:t>3177.6</w:t>
            </w:r>
          </w:p>
        </w:tc>
        <w:tc>
          <w:tcPr>
            <w:tcW w:w="2279" w:type="dxa"/>
            <w:vAlign w:val="center"/>
          </w:tcPr>
          <w:p w14:paraId="29DAAE33" w14:textId="77777777" w:rsidR="009D12AF" w:rsidRDefault="00000000">
            <w:pPr>
              <w:spacing w:line="240" w:lineRule="auto"/>
              <w:ind w:firstLineChars="0" w:firstLine="0"/>
              <w:jc w:val="center"/>
              <w:rPr>
                <w:sz w:val="21"/>
              </w:rPr>
            </w:pPr>
            <w:r>
              <w:rPr>
                <w:rFonts w:hint="eastAsia"/>
                <w:sz w:val="21"/>
              </w:rPr>
              <w:t>现有道路</w:t>
            </w:r>
          </w:p>
        </w:tc>
      </w:tr>
      <w:tr w:rsidR="009D12AF" w14:paraId="089E2112" w14:textId="77777777">
        <w:trPr>
          <w:trHeight w:hRule="exact" w:val="405"/>
        </w:trPr>
        <w:tc>
          <w:tcPr>
            <w:tcW w:w="1365" w:type="dxa"/>
            <w:vMerge/>
            <w:vAlign w:val="center"/>
          </w:tcPr>
          <w:p w14:paraId="1C161B15" w14:textId="77777777" w:rsidR="009D12AF" w:rsidRDefault="009D12AF">
            <w:pPr>
              <w:spacing w:line="240" w:lineRule="auto"/>
              <w:ind w:firstLineChars="0" w:firstLine="0"/>
              <w:jc w:val="center"/>
              <w:rPr>
                <w:sz w:val="21"/>
              </w:rPr>
            </w:pPr>
          </w:p>
        </w:tc>
        <w:tc>
          <w:tcPr>
            <w:tcW w:w="2279" w:type="dxa"/>
            <w:vAlign w:val="center"/>
          </w:tcPr>
          <w:p w14:paraId="1719C195" w14:textId="77777777" w:rsidR="009D12AF" w:rsidRDefault="00000000">
            <w:pPr>
              <w:spacing w:line="240" w:lineRule="auto"/>
              <w:ind w:firstLineChars="0" w:firstLine="0"/>
              <w:jc w:val="center"/>
              <w:rPr>
                <w:sz w:val="21"/>
              </w:rPr>
            </w:pPr>
            <w:r>
              <w:rPr>
                <w:sz w:val="21"/>
              </w:rPr>
              <w:t>合计</w:t>
            </w:r>
          </w:p>
        </w:tc>
        <w:tc>
          <w:tcPr>
            <w:tcW w:w="2279" w:type="dxa"/>
            <w:vAlign w:val="center"/>
          </w:tcPr>
          <w:p w14:paraId="52243982" w14:textId="77777777" w:rsidR="009D12AF" w:rsidRDefault="00000000">
            <w:pPr>
              <w:spacing w:line="240" w:lineRule="auto"/>
              <w:ind w:firstLineChars="0" w:firstLine="0"/>
              <w:jc w:val="center"/>
              <w:rPr>
                <w:sz w:val="21"/>
              </w:rPr>
            </w:pPr>
            <w:r>
              <w:rPr>
                <w:rFonts w:hint="eastAsia"/>
                <w:sz w:val="21"/>
              </w:rPr>
              <w:t>4804.29</w:t>
            </w:r>
          </w:p>
        </w:tc>
        <w:tc>
          <w:tcPr>
            <w:tcW w:w="2279" w:type="dxa"/>
            <w:vAlign w:val="center"/>
          </w:tcPr>
          <w:p w14:paraId="52BF1BE6" w14:textId="77777777" w:rsidR="009D12AF" w:rsidRDefault="00000000">
            <w:pPr>
              <w:spacing w:line="240" w:lineRule="auto"/>
              <w:ind w:firstLineChars="0" w:firstLine="0"/>
              <w:jc w:val="center"/>
              <w:rPr>
                <w:sz w:val="21"/>
              </w:rPr>
            </w:pPr>
            <w:r>
              <w:rPr>
                <w:sz w:val="21"/>
              </w:rPr>
              <w:t>/</w:t>
            </w:r>
          </w:p>
        </w:tc>
      </w:tr>
      <w:tr w:rsidR="009D12AF" w14:paraId="2CC878AB" w14:textId="77777777">
        <w:trPr>
          <w:trHeight w:hRule="exact" w:val="405"/>
        </w:trPr>
        <w:tc>
          <w:tcPr>
            <w:tcW w:w="1365" w:type="dxa"/>
            <w:vMerge w:val="restart"/>
            <w:vAlign w:val="center"/>
          </w:tcPr>
          <w:p w14:paraId="35677333" w14:textId="77777777" w:rsidR="009D12AF" w:rsidRDefault="00000000">
            <w:pPr>
              <w:spacing w:line="240" w:lineRule="auto"/>
              <w:ind w:firstLineChars="0" w:firstLine="0"/>
              <w:jc w:val="center"/>
              <w:rPr>
                <w:sz w:val="21"/>
              </w:rPr>
            </w:pPr>
            <w:r>
              <w:rPr>
                <w:rFonts w:hint="eastAsia"/>
                <w:sz w:val="21"/>
              </w:rPr>
              <w:t>新安晒水池</w:t>
            </w:r>
          </w:p>
        </w:tc>
        <w:tc>
          <w:tcPr>
            <w:tcW w:w="2279" w:type="dxa"/>
            <w:vAlign w:val="center"/>
          </w:tcPr>
          <w:p w14:paraId="5CBB4630" w14:textId="77777777" w:rsidR="009D12AF" w:rsidRDefault="00000000">
            <w:pPr>
              <w:spacing w:line="240" w:lineRule="auto"/>
              <w:ind w:firstLineChars="0" w:firstLine="0"/>
              <w:jc w:val="center"/>
              <w:rPr>
                <w:sz w:val="21"/>
              </w:rPr>
            </w:pPr>
            <w:r>
              <w:rPr>
                <w:rFonts w:hint="eastAsia"/>
                <w:sz w:val="21"/>
              </w:rPr>
              <w:t>居住区</w:t>
            </w:r>
          </w:p>
        </w:tc>
        <w:tc>
          <w:tcPr>
            <w:tcW w:w="2279" w:type="dxa"/>
            <w:vAlign w:val="center"/>
          </w:tcPr>
          <w:p w14:paraId="17809767" w14:textId="77777777" w:rsidR="009D12AF" w:rsidRDefault="00000000">
            <w:pPr>
              <w:spacing w:line="240" w:lineRule="auto"/>
              <w:ind w:firstLineChars="0" w:firstLine="0"/>
              <w:jc w:val="center"/>
              <w:rPr>
                <w:sz w:val="21"/>
              </w:rPr>
            </w:pPr>
            <w:r>
              <w:rPr>
                <w:rFonts w:hint="eastAsia"/>
                <w:sz w:val="21"/>
              </w:rPr>
              <w:t>806.69</w:t>
            </w:r>
          </w:p>
        </w:tc>
        <w:tc>
          <w:tcPr>
            <w:tcW w:w="2279" w:type="dxa"/>
            <w:vAlign w:val="center"/>
          </w:tcPr>
          <w:p w14:paraId="3B3CF67A" w14:textId="77777777" w:rsidR="009D12AF" w:rsidRDefault="00000000">
            <w:pPr>
              <w:spacing w:line="240" w:lineRule="auto"/>
              <w:ind w:firstLineChars="0" w:firstLine="0"/>
              <w:jc w:val="center"/>
              <w:rPr>
                <w:sz w:val="21"/>
              </w:rPr>
            </w:pPr>
            <w:r>
              <w:rPr>
                <w:rFonts w:hint="eastAsia"/>
                <w:sz w:val="21"/>
              </w:rPr>
              <w:t>利旧</w:t>
            </w:r>
          </w:p>
        </w:tc>
      </w:tr>
      <w:tr w:rsidR="009D12AF" w14:paraId="4E049451" w14:textId="77777777">
        <w:trPr>
          <w:trHeight w:hRule="exact" w:val="405"/>
        </w:trPr>
        <w:tc>
          <w:tcPr>
            <w:tcW w:w="1365" w:type="dxa"/>
            <w:vMerge/>
            <w:vAlign w:val="center"/>
          </w:tcPr>
          <w:p w14:paraId="21CA0380" w14:textId="77777777" w:rsidR="009D12AF" w:rsidRDefault="009D12AF">
            <w:pPr>
              <w:spacing w:line="240" w:lineRule="auto"/>
              <w:ind w:firstLineChars="0" w:firstLine="0"/>
              <w:jc w:val="center"/>
              <w:rPr>
                <w:sz w:val="21"/>
              </w:rPr>
            </w:pPr>
          </w:p>
        </w:tc>
        <w:tc>
          <w:tcPr>
            <w:tcW w:w="2279" w:type="dxa"/>
            <w:vAlign w:val="center"/>
          </w:tcPr>
          <w:p w14:paraId="5DF514FF" w14:textId="77777777" w:rsidR="009D12AF" w:rsidRDefault="00000000">
            <w:pPr>
              <w:spacing w:line="240" w:lineRule="auto"/>
              <w:ind w:firstLineChars="0" w:firstLine="0"/>
              <w:jc w:val="center"/>
              <w:rPr>
                <w:sz w:val="21"/>
              </w:rPr>
            </w:pPr>
            <w:r>
              <w:rPr>
                <w:rFonts w:hint="eastAsia"/>
                <w:sz w:val="21"/>
              </w:rPr>
              <w:t>淤泥堆放区</w:t>
            </w:r>
          </w:p>
        </w:tc>
        <w:tc>
          <w:tcPr>
            <w:tcW w:w="2279" w:type="dxa"/>
            <w:vAlign w:val="center"/>
          </w:tcPr>
          <w:p w14:paraId="1E337020" w14:textId="77777777" w:rsidR="009D12AF" w:rsidRDefault="00000000">
            <w:pPr>
              <w:spacing w:line="240" w:lineRule="auto"/>
              <w:ind w:firstLineChars="0" w:firstLine="0"/>
              <w:jc w:val="center"/>
              <w:rPr>
                <w:sz w:val="21"/>
              </w:rPr>
            </w:pPr>
            <w:r>
              <w:rPr>
                <w:rFonts w:hint="eastAsia"/>
                <w:sz w:val="21"/>
              </w:rPr>
              <w:t>2390.22</w:t>
            </w:r>
          </w:p>
        </w:tc>
        <w:tc>
          <w:tcPr>
            <w:tcW w:w="2279" w:type="dxa"/>
            <w:vAlign w:val="center"/>
          </w:tcPr>
          <w:p w14:paraId="36614E46" w14:textId="77777777" w:rsidR="009D12AF" w:rsidRDefault="00000000">
            <w:pPr>
              <w:spacing w:line="240" w:lineRule="auto"/>
              <w:ind w:firstLineChars="0" w:firstLine="0"/>
              <w:jc w:val="center"/>
              <w:rPr>
                <w:sz w:val="21"/>
              </w:rPr>
            </w:pPr>
            <w:r>
              <w:rPr>
                <w:rFonts w:hint="eastAsia"/>
                <w:sz w:val="21"/>
              </w:rPr>
              <w:t>商业设施用地</w:t>
            </w:r>
          </w:p>
        </w:tc>
      </w:tr>
      <w:tr w:rsidR="009D12AF" w14:paraId="23D0020A" w14:textId="77777777">
        <w:trPr>
          <w:trHeight w:hRule="exact" w:val="405"/>
        </w:trPr>
        <w:tc>
          <w:tcPr>
            <w:tcW w:w="1365" w:type="dxa"/>
            <w:vMerge/>
            <w:vAlign w:val="center"/>
          </w:tcPr>
          <w:p w14:paraId="20BACCCE" w14:textId="77777777" w:rsidR="009D12AF" w:rsidRDefault="009D12AF">
            <w:pPr>
              <w:spacing w:line="240" w:lineRule="auto"/>
              <w:ind w:firstLineChars="0" w:firstLine="0"/>
              <w:jc w:val="center"/>
              <w:rPr>
                <w:sz w:val="21"/>
              </w:rPr>
            </w:pPr>
          </w:p>
        </w:tc>
        <w:tc>
          <w:tcPr>
            <w:tcW w:w="2279" w:type="dxa"/>
            <w:vAlign w:val="center"/>
          </w:tcPr>
          <w:p w14:paraId="394FCB76" w14:textId="77777777" w:rsidR="009D12AF" w:rsidRDefault="00000000">
            <w:pPr>
              <w:spacing w:line="240" w:lineRule="auto"/>
              <w:ind w:firstLineChars="0" w:firstLine="0"/>
              <w:jc w:val="center"/>
              <w:rPr>
                <w:sz w:val="21"/>
              </w:rPr>
            </w:pPr>
            <w:r>
              <w:rPr>
                <w:rFonts w:hint="eastAsia"/>
                <w:sz w:val="21"/>
              </w:rPr>
              <w:t>机械设备停放区</w:t>
            </w:r>
          </w:p>
        </w:tc>
        <w:tc>
          <w:tcPr>
            <w:tcW w:w="2279" w:type="dxa"/>
            <w:vAlign w:val="center"/>
          </w:tcPr>
          <w:p w14:paraId="453D326D" w14:textId="77777777" w:rsidR="009D12AF" w:rsidRDefault="00000000">
            <w:pPr>
              <w:spacing w:line="240" w:lineRule="auto"/>
              <w:ind w:firstLineChars="0" w:firstLine="0"/>
              <w:jc w:val="center"/>
              <w:rPr>
                <w:sz w:val="21"/>
              </w:rPr>
            </w:pPr>
            <w:r>
              <w:rPr>
                <w:rFonts w:hint="eastAsia"/>
                <w:sz w:val="21"/>
              </w:rPr>
              <w:t>1008.19</w:t>
            </w:r>
          </w:p>
        </w:tc>
        <w:tc>
          <w:tcPr>
            <w:tcW w:w="2279" w:type="dxa"/>
            <w:vAlign w:val="center"/>
          </w:tcPr>
          <w:p w14:paraId="57C46127" w14:textId="77777777" w:rsidR="009D12AF" w:rsidRDefault="00000000">
            <w:pPr>
              <w:spacing w:line="240" w:lineRule="auto"/>
              <w:ind w:firstLineChars="0" w:firstLine="0"/>
              <w:jc w:val="center"/>
              <w:rPr>
                <w:sz w:val="21"/>
              </w:rPr>
            </w:pPr>
            <w:r>
              <w:rPr>
                <w:rFonts w:hint="eastAsia"/>
                <w:sz w:val="21"/>
              </w:rPr>
              <w:t>商业设施用地</w:t>
            </w:r>
          </w:p>
        </w:tc>
      </w:tr>
      <w:tr w:rsidR="009D12AF" w14:paraId="717A7DFB" w14:textId="77777777">
        <w:trPr>
          <w:trHeight w:hRule="exact" w:val="405"/>
        </w:trPr>
        <w:tc>
          <w:tcPr>
            <w:tcW w:w="1365" w:type="dxa"/>
            <w:vMerge/>
            <w:vAlign w:val="center"/>
          </w:tcPr>
          <w:p w14:paraId="7DEB108C" w14:textId="77777777" w:rsidR="009D12AF" w:rsidRDefault="009D12AF">
            <w:pPr>
              <w:spacing w:line="240" w:lineRule="auto"/>
              <w:ind w:firstLineChars="0" w:firstLine="0"/>
              <w:jc w:val="center"/>
              <w:rPr>
                <w:sz w:val="21"/>
              </w:rPr>
            </w:pPr>
          </w:p>
        </w:tc>
        <w:tc>
          <w:tcPr>
            <w:tcW w:w="2279" w:type="dxa"/>
            <w:vAlign w:val="center"/>
          </w:tcPr>
          <w:p w14:paraId="3DE6BFAC" w14:textId="77777777" w:rsidR="009D12AF" w:rsidRDefault="00000000">
            <w:pPr>
              <w:spacing w:line="240" w:lineRule="auto"/>
              <w:ind w:firstLineChars="0" w:firstLine="0"/>
              <w:jc w:val="center"/>
              <w:rPr>
                <w:sz w:val="21"/>
              </w:rPr>
            </w:pPr>
            <w:r>
              <w:rPr>
                <w:sz w:val="21"/>
                <w:szCs w:val="21"/>
              </w:rPr>
              <w:t>临时施工道路</w:t>
            </w:r>
          </w:p>
        </w:tc>
        <w:tc>
          <w:tcPr>
            <w:tcW w:w="2279" w:type="dxa"/>
            <w:vAlign w:val="center"/>
          </w:tcPr>
          <w:p w14:paraId="58540A37" w14:textId="77777777" w:rsidR="009D12AF" w:rsidRDefault="00000000">
            <w:pPr>
              <w:spacing w:line="240" w:lineRule="auto"/>
              <w:ind w:firstLineChars="0" w:firstLine="0"/>
              <w:jc w:val="center"/>
              <w:rPr>
                <w:sz w:val="21"/>
              </w:rPr>
            </w:pPr>
            <w:r>
              <w:rPr>
                <w:rFonts w:hint="eastAsia"/>
                <w:sz w:val="21"/>
              </w:rPr>
              <w:t>4032.76</w:t>
            </w:r>
          </w:p>
        </w:tc>
        <w:tc>
          <w:tcPr>
            <w:tcW w:w="2279" w:type="dxa"/>
            <w:vAlign w:val="center"/>
          </w:tcPr>
          <w:p w14:paraId="2B18CCEE" w14:textId="77777777" w:rsidR="009D12AF" w:rsidRDefault="00000000">
            <w:pPr>
              <w:spacing w:line="240" w:lineRule="auto"/>
              <w:ind w:firstLineChars="0" w:firstLine="0"/>
              <w:jc w:val="center"/>
              <w:rPr>
                <w:sz w:val="21"/>
              </w:rPr>
            </w:pPr>
            <w:r>
              <w:rPr>
                <w:rFonts w:hint="eastAsia"/>
                <w:sz w:val="21"/>
              </w:rPr>
              <w:t>现有道路</w:t>
            </w:r>
          </w:p>
        </w:tc>
      </w:tr>
      <w:tr w:rsidR="009D12AF" w14:paraId="776FAD6F" w14:textId="77777777">
        <w:trPr>
          <w:trHeight w:hRule="exact" w:val="405"/>
        </w:trPr>
        <w:tc>
          <w:tcPr>
            <w:tcW w:w="1365" w:type="dxa"/>
            <w:vMerge/>
            <w:vAlign w:val="center"/>
          </w:tcPr>
          <w:p w14:paraId="033FF6E1" w14:textId="77777777" w:rsidR="009D12AF" w:rsidRDefault="009D12AF">
            <w:pPr>
              <w:spacing w:line="240" w:lineRule="auto"/>
              <w:ind w:firstLineChars="0" w:firstLine="0"/>
              <w:jc w:val="center"/>
              <w:rPr>
                <w:sz w:val="21"/>
              </w:rPr>
            </w:pPr>
          </w:p>
        </w:tc>
        <w:tc>
          <w:tcPr>
            <w:tcW w:w="2279" w:type="dxa"/>
            <w:vAlign w:val="center"/>
          </w:tcPr>
          <w:p w14:paraId="47EED068" w14:textId="77777777" w:rsidR="009D12AF" w:rsidRDefault="00000000">
            <w:pPr>
              <w:spacing w:line="240" w:lineRule="auto"/>
              <w:ind w:firstLineChars="0" w:firstLine="0"/>
              <w:jc w:val="center"/>
              <w:rPr>
                <w:sz w:val="21"/>
              </w:rPr>
            </w:pPr>
            <w:r>
              <w:rPr>
                <w:sz w:val="21"/>
              </w:rPr>
              <w:t>合计</w:t>
            </w:r>
          </w:p>
        </w:tc>
        <w:tc>
          <w:tcPr>
            <w:tcW w:w="2279" w:type="dxa"/>
            <w:vAlign w:val="center"/>
          </w:tcPr>
          <w:p w14:paraId="2FBE083E" w14:textId="77777777" w:rsidR="009D12AF" w:rsidRDefault="00000000">
            <w:pPr>
              <w:spacing w:line="240" w:lineRule="auto"/>
              <w:ind w:firstLineChars="0" w:firstLine="0"/>
              <w:jc w:val="center"/>
              <w:rPr>
                <w:sz w:val="21"/>
              </w:rPr>
            </w:pPr>
            <w:r>
              <w:rPr>
                <w:rFonts w:hint="eastAsia"/>
                <w:sz w:val="21"/>
              </w:rPr>
              <w:t>8237.86</w:t>
            </w:r>
          </w:p>
        </w:tc>
        <w:tc>
          <w:tcPr>
            <w:tcW w:w="2279" w:type="dxa"/>
            <w:vAlign w:val="center"/>
          </w:tcPr>
          <w:p w14:paraId="284EF091" w14:textId="77777777" w:rsidR="009D12AF" w:rsidRDefault="00000000">
            <w:pPr>
              <w:spacing w:line="240" w:lineRule="auto"/>
              <w:ind w:firstLineChars="0" w:firstLine="0"/>
              <w:jc w:val="center"/>
              <w:rPr>
                <w:sz w:val="21"/>
              </w:rPr>
            </w:pPr>
            <w:r>
              <w:rPr>
                <w:rFonts w:hint="eastAsia"/>
                <w:sz w:val="21"/>
              </w:rPr>
              <w:t>/</w:t>
            </w:r>
          </w:p>
        </w:tc>
      </w:tr>
      <w:tr w:rsidR="009D12AF" w14:paraId="056DF46F" w14:textId="77777777">
        <w:trPr>
          <w:trHeight w:hRule="exact" w:val="405"/>
        </w:trPr>
        <w:tc>
          <w:tcPr>
            <w:tcW w:w="1365" w:type="dxa"/>
            <w:vMerge w:val="restart"/>
            <w:vAlign w:val="center"/>
          </w:tcPr>
          <w:p w14:paraId="125D7576" w14:textId="77777777" w:rsidR="009D12AF" w:rsidRDefault="00000000">
            <w:pPr>
              <w:spacing w:line="240" w:lineRule="auto"/>
              <w:ind w:firstLineChars="0" w:firstLine="0"/>
              <w:jc w:val="center"/>
              <w:rPr>
                <w:sz w:val="21"/>
              </w:rPr>
            </w:pPr>
            <w:r>
              <w:rPr>
                <w:rFonts w:hint="eastAsia"/>
                <w:sz w:val="21"/>
              </w:rPr>
              <w:t>万丈水库</w:t>
            </w:r>
          </w:p>
        </w:tc>
        <w:tc>
          <w:tcPr>
            <w:tcW w:w="2279" w:type="dxa"/>
            <w:vAlign w:val="center"/>
          </w:tcPr>
          <w:p w14:paraId="266FE658" w14:textId="77777777" w:rsidR="009D12AF" w:rsidRDefault="00000000">
            <w:pPr>
              <w:spacing w:line="240" w:lineRule="auto"/>
              <w:ind w:firstLineChars="0" w:firstLine="0"/>
              <w:jc w:val="center"/>
              <w:rPr>
                <w:sz w:val="21"/>
              </w:rPr>
            </w:pPr>
            <w:r>
              <w:rPr>
                <w:rFonts w:hint="eastAsia"/>
                <w:sz w:val="21"/>
              </w:rPr>
              <w:t>居住区</w:t>
            </w:r>
          </w:p>
        </w:tc>
        <w:tc>
          <w:tcPr>
            <w:tcW w:w="2279" w:type="dxa"/>
            <w:vAlign w:val="center"/>
          </w:tcPr>
          <w:p w14:paraId="2DE47378" w14:textId="77777777" w:rsidR="009D12AF" w:rsidRDefault="00000000">
            <w:pPr>
              <w:spacing w:line="240" w:lineRule="auto"/>
              <w:ind w:firstLineChars="0" w:firstLine="0"/>
              <w:jc w:val="center"/>
              <w:rPr>
                <w:sz w:val="21"/>
              </w:rPr>
            </w:pPr>
            <w:r>
              <w:rPr>
                <w:rFonts w:hint="eastAsia"/>
                <w:sz w:val="21"/>
              </w:rPr>
              <w:t>95.50</w:t>
            </w:r>
          </w:p>
        </w:tc>
        <w:tc>
          <w:tcPr>
            <w:tcW w:w="2279" w:type="dxa"/>
            <w:vAlign w:val="center"/>
          </w:tcPr>
          <w:p w14:paraId="302E9098" w14:textId="77777777" w:rsidR="009D12AF" w:rsidRDefault="00000000">
            <w:pPr>
              <w:spacing w:line="240" w:lineRule="auto"/>
              <w:ind w:firstLineChars="0" w:firstLine="0"/>
              <w:jc w:val="center"/>
              <w:rPr>
                <w:sz w:val="21"/>
              </w:rPr>
            </w:pPr>
            <w:r>
              <w:rPr>
                <w:rFonts w:hint="eastAsia"/>
                <w:sz w:val="21"/>
              </w:rPr>
              <w:t>利旧</w:t>
            </w:r>
          </w:p>
        </w:tc>
      </w:tr>
      <w:tr w:rsidR="009D12AF" w14:paraId="0256E6AF" w14:textId="77777777">
        <w:trPr>
          <w:trHeight w:hRule="exact" w:val="405"/>
        </w:trPr>
        <w:tc>
          <w:tcPr>
            <w:tcW w:w="1365" w:type="dxa"/>
            <w:vMerge/>
            <w:vAlign w:val="center"/>
          </w:tcPr>
          <w:p w14:paraId="6646F84D" w14:textId="77777777" w:rsidR="009D12AF" w:rsidRDefault="009D12AF">
            <w:pPr>
              <w:spacing w:line="240" w:lineRule="auto"/>
              <w:ind w:firstLineChars="0" w:firstLine="0"/>
              <w:jc w:val="center"/>
              <w:rPr>
                <w:sz w:val="21"/>
              </w:rPr>
            </w:pPr>
          </w:p>
        </w:tc>
        <w:tc>
          <w:tcPr>
            <w:tcW w:w="2279" w:type="dxa"/>
            <w:vAlign w:val="center"/>
          </w:tcPr>
          <w:p w14:paraId="4BB081BB" w14:textId="77777777" w:rsidR="009D12AF" w:rsidRDefault="00000000">
            <w:pPr>
              <w:spacing w:line="240" w:lineRule="auto"/>
              <w:ind w:firstLineChars="0" w:firstLine="0"/>
              <w:jc w:val="center"/>
              <w:rPr>
                <w:sz w:val="21"/>
              </w:rPr>
            </w:pPr>
            <w:r>
              <w:rPr>
                <w:rFonts w:hint="eastAsia"/>
                <w:sz w:val="21"/>
              </w:rPr>
              <w:t>淤泥堆放区</w:t>
            </w:r>
          </w:p>
        </w:tc>
        <w:tc>
          <w:tcPr>
            <w:tcW w:w="2279" w:type="dxa"/>
            <w:vAlign w:val="center"/>
          </w:tcPr>
          <w:p w14:paraId="4D6DC204" w14:textId="77777777" w:rsidR="009D12AF" w:rsidRDefault="00000000">
            <w:pPr>
              <w:spacing w:line="240" w:lineRule="auto"/>
              <w:ind w:firstLineChars="0" w:firstLine="0"/>
              <w:jc w:val="center"/>
              <w:rPr>
                <w:sz w:val="21"/>
              </w:rPr>
            </w:pPr>
            <w:r>
              <w:rPr>
                <w:rFonts w:hint="eastAsia"/>
                <w:sz w:val="21"/>
              </w:rPr>
              <w:t>1051.47</w:t>
            </w:r>
          </w:p>
        </w:tc>
        <w:tc>
          <w:tcPr>
            <w:tcW w:w="2279" w:type="dxa"/>
            <w:vAlign w:val="center"/>
          </w:tcPr>
          <w:p w14:paraId="06B9008D" w14:textId="77777777" w:rsidR="009D12AF" w:rsidRDefault="00000000">
            <w:pPr>
              <w:spacing w:line="240" w:lineRule="auto"/>
              <w:ind w:firstLineChars="0" w:firstLine="0"/>
              <w:jc w:val="center"/>
              <w:rPr>
                <w:sz w:val="21"/>
              </w:rPr>
            </w:pPr>
            <w:r>
              <w:rPr>
                <w:sz w:val="21"/>
              </w:rPr>
              <w:t>耕地</w:t>
            </w:r>
          </w:p>
        </w:tc>
      </w:tr>
      <w:tr w:rsidR="009D12AF" w14:paraId="6EEC08B3" w14:textId="77777777">
        <w:trPr>
          <w:trHeight w:hRule="exact" w:val="405"/>
        </w:trPr>
        <w:tc>
          <w:tcPr>
            <w:tcW w:w="1365" w:type="dxa"/>
            <w:vMerge/>
            <w:vAlign w:val="center"/>
          </w:tcPr>
          <w:p w14:paraId="5ADC89A9" w14:textId="77777777" w:rsidR="009D12AF" w:rsidRDefault="009D12AF">
            <w:pPr>
              <w:spacing w:line="240" w:lineRule="auto"/>
              <w:ind w:firstLineChars="0" w:firstLine="0"/>
              <w:jc w:val="center"/>
              <w:rPr>
                <w:sz w:val="21"/>
              </w:rPr>
            </w:pPr>
          </w:p>
        </w:tc>
        <w:tc>
          <w:tcPr>
            <w:tcW w:w="2279" w:type="dxa"/>
            <w:vAlign w:val="center"/>
          </w:tcPr>
          <w:p w14:paraId="5999FA2D" w14:textId="77777777" w:rsidR="009D12AF" w:rsidRDefault="00000000">
            <w:pPr>
              <w:spacing w:line="240" w:lineRule="auto"/>
              <w:ind w:firstLineChars="0" w:firstLine="0"/>
              <w:jc w:val="center"/>
              <w:rPr>
                <w:sz w:val="21"/>
              </w:rPr>
            </w:pPr>
            <w:r>
              <w:rPr>
                <w:rFonts w:hint="eastAsia"/>
                <w:sz w:val="21"/>
              </w:rPr>
              <w:t>机械设备停放区</w:t>
            </w:r>
          </w:p>
        </w:tc>
        <w:tc>
          <w:tcPr>
            <w:tcW w:w="2279" w:type="dxa"/>
            <w:vAlign w:val="center"/>
          </w:tcPr>
          <w:p w14:paraId="031F82C4" w14:textId="77777777" w:rsidR="009D12AF" w:rsidRDefault="00000000">
            <w:pPr>
              <w:spacing w:line="240" w:lineRule="auto"/>
              <w:ind w:firstLineChars="0" w:firstLine="0"/>
              <w:jc w:val="center"/>
              <w:rPr>
                <w:sz w:val="21"/>
              </w:rPr>
            </w:pPr>
            <w:r>
              <w:rPr>
                <w:rFonts w:hint="eastAsia"/>
                <w:sz w:val="21"/>
              </w:rPr>
              <w:t>247.41</w:t>
            </w:r>
          </w:p>
        </w:tc>
        <w:tc>
          <w:tcPr>
            <w:tcW w:w="2279" w:type="dxa"/>
            <w:vAlign w:val="center"/>
          </w:tcPr>
          <w:p w14:paraId="6AE85AB0" w14:textId="77777777" w:rsidR="009D12AF" w:rsidRDefault="00000000">
            <w:pPr>
              <w:spacing w:line="240" w:lineRule="auto"/>
              <w:ind w:firstLineChars="0" w:firstLine="0"/>
              <w:jc w:val="center"/>
              <w:rPr>
                <w:sz w:val="21"/>
              </w:rPr>
            </w:pPr>
            <w:r>
              <w:rPr>
                <w:rFonts w:hint="eastAsia"/>
                <w:sz w:val="21"/>
              </w:rPr>
              <w:t>耕地</w:t>
            </w:r>
          </w:p>
        </w:tc>
      </w:tr>
      <w:tr w:rsidR="009D12AF" w14:paraId="25D34280" w14:textId="77777777">
        <w:trPr>
          <w:trHeight w:hRule="exact" w:val="405"/>
        </w:trPr>
        <w:tc>
          <w:tcPr>
            <w:tcW w:w="1365" w:type="dxa"/>
            <w:vMerge/>
            <w:vAlign w:val="center"/>
          </w:tcPr>
          <w:p w14:paraId="7016A80C" w14:textId="77777777" w:rsidR="009D12AF" w:rsidRDefault="009D12AF">
            <w:pPr>
              <w:spacing w:line="240" w:lineRule="auto"/>
              <w:ind w:firstLineChars="0" w:firstLine="0"/>
              <w:jc w:val="center"/>
              <w:rPr>
                <w:sz w:val="21"/>
              </w:rPr>
            </w:pPr>
          </w:p>
        </w:tc>
        <w:tc>
          <w:tcPr>
            <w:tcW w:w="2279" w:type="dxa"/>
            <w:vAlign w:val="center"/>
          </w:tcPr>
          <w:p w14:paraId="3039B94A" w14:textId="77777777" w:rsidR="009D12AF" w:rsidRDefault="00000000">
            <w:pPr>
              <w:spacing w:line="240" w:lineRule="auto"/>
              <w:ind w:firstLineChars="0" w:firstLine="0"/>
              <w:jc w:val="center"/>
              <w:rPr>
                <w:sz w:val="21"/>
              </w:rPr>
            </w:pPr>
            <w:r>
              <w:rPr>
                <w:sz w:val="21"/>
                <w:szCs w:val="21"/>
              </w:rPr>
              <w:t>临时施工道路</w:t>
            </w:r>
          </w:p>
        </w:tc>
        <w:tc>
          <w:tcPr>
            <w:tcW w:w="2279" w:type="dxa"/>
            <w:vAlign w:val="center"/>
          </w:tcPr>
          <w:p w14:paraId="31861923" w14:textId="77777777" w:rsidR="009D12AF" w:rsidRDefault="00000000">
            <w:pPr>
              <w:spacing w:line="240" w:lineRule="auto"/>
              <w:ind w:firstLineChars="0" w:firstLine="0"/>
              <w:jc w:val="center"/>
              <w:rPr>
                <w:sz w:val="21"/>
              </w:rPr>
            </w:pPr>
            <w:r>
              <w:rPr>
                <w:rFonts w:hint="eastAsia"/>
                <w:sz w:val="21"/>
              </w:rPr>
              <w:t>2592.88</w:t>
            </w:r>
          </w:p>
        </w:tc>
        <w:tc>
          <w:tcPr>
            <w:tcW w:w="2279" w:type="dxa"/>
            <w:vAlign w:val="center"/>
          </w:tcPr>
          <w:p w14:paraId="007F119C" w14:textId="77777777" w:rsidR="009D12AF" w:rsidRDefault="00000000">
            <w:pPr>
              <w:spacing w:line="240" w:lineRule="auto"/>
              <w:ind w:firstLineChars="0" w:firstLine="0"/>
              <w:jc w:val="center"/>
              <w:rPr>
                <w:sz w:val="21"/>
              </w:rPr>
            </w:pPr>
            <w:r>
              <w:rPr>
                <w:rFonts w:hint="eastAsia"/>
                <w:sz w:val="21"/>
              </w:rPr>
              <w:t>现有道路</w:t>
            </w:r>
          </w:p>
        </w:tc>
      </w:tr>
      <w:tr w:rsidR="009D12AF" w14:paraId="450DF8AA" w14:textId="77777777">
        <w:trPr>
          <w:trHeight w:hRule="exact" w:val="405"/>
        </w:trPr>
        <w:tc>
          <w:tcPr>
            <w:tcW w:w="1365" w:type="dxa"/>
            <w:vMerge/>
            <w:vAlign w:val="center"/>
          </w:tcPr>
          <w:p w14:paraId="34AADE27" w14:textId="77777777" w:rsidR="009D12AF" w:rsidRDefault="009D12AF">
            <w:pPr>
              <w:spacing w:line="240" w:lineRule="auto"/>
              <w:ind w:firstLineChars="0" w:firstLine="0"/>
              <w:jc w:val="center"/>
              <w:rPr>
                <w:sz w:val="21"/>
              </w:rPr>
            </w:pPr>
          </w:p>
        </w:tc>
        <w:tc>
          <w:tcPr>
            <w:tcW w:w="2279" w:type="dxa"/>
            <w:vAlign w:val="center"/>
          </w:tcPr>
          <w:p w14:paraId="1A193F3F" w14:textId="77777777" w:rsidR="009D12AF" w:rsidRDefault="00000000">
            <w:pPr>
              <w:spacing w:line="240" w:lineRule="auto"/>
              <w:ind w:firstLineChars="0" w:firstLine="0"/>
              <w:jc w:val="center"/>
              <w:rPr>
                <w:sz w:val="21"/>
                <w:szCs w:val="21"/>
              </w:rPr>
            </w:pPr>
            <w:r>
              <w:rPr>
                <w:rFonts w:hint="eastAsia"/>
                <w:sz w:val="21"/>
                <w:szCs w:val="21"/>
              </w:rPr>
              <w:t>合计</w:t>
            </w:r>
          </w:p>
        </w:tc>
        <w:tc>
          <w:tcPr>
            <w:tcW w:w="2279" w:type="dxa"/>
            <w:vAlign w:val="center"/>
          </w:tcPr>
          <w:p w14:paraId="559C1124" w14:textId="77777777" w:rsidR="009D12AF" w:rsidRDefault="00000000">
            <w:pPr>
              <w:spacing w:line="240" w:lineRule="auto"/>
              <w:ind w:firstLineChars="0" w:firstLine="0"/>
              <w:jc w:val="center"/>
              <w:rPr>
                <w:sz w:val="21"/>
              </w:rPr>
            </w:pPr>
            <w:r>
              <w:rPr>
                <w:rFonts w:hint="eastAsia"/>
                <w:sz w:val="21"/>
              </w:rPr>
              <w:t>3987.26</w:t>
            </w:r>
          </w:p>
        </w:tc>
        <w:tc>
          <w:tcPr>
            <w:tcW w:w="2279" w:type="dxa"/>
            <w:vAlign w:val="center"/>
          </w:tcPr>
          <w:p w14:paraId="5F4A6B94" w14:textId="77777777" w:rsidR="009D12AF" w:rsidRDefault="00000000">
            <w:pPr>
              <w:spacing w:line="240" w:lineRule="auto"/>
              <w:ind w:firstLineChars="0" w:firstLine="0"/>
              <w:jc w:val="center"/>
              <w:rPr>
                <w:sz w:val="21"/>
              </w:rPr>
            </w:pPr>
            <w:r>
              <w:rPr>
                <w:rFonts w:hint="eastAsia"/>
                <w:sz w:val="21"/>
              </w:rPr>
              <w:t>/</w:t>
            </w:r>
          </w:p>
        </w:tc>
      </w:tr>
      <w:tr w:rsidR="009D12AF" w14:paraId="413342F4" w14:textId="77777777">
        <w:trPr>
          <w:trHeight w:hRule="exact" w:val="405"/>
        </w:trPr>
        <w:tc>
          <w:tcPr>
            <w:tcW w:w="1365" w:type="dxa"/>
            <w:vMerge w:val="restart"/>
            <w:vAlign w:val="center"/>
          </w:tcPr>
          <w:p w14:paraId="44095AD0" w14:textId="77777777" w:rsidR="009D12AF" w:rsidRDefault="00000000">
            <w:pPr>
              <w:spacing w:line="240" w:lineRule="auto"/>
              <w:ind w:firstLineChars="0" w:firstLine="0"/>
              <w:jc w:val="center"/>
              <w:rPr>
                <w:sz w:val="21"/>
              </w:rPr>
            </w:pPr>
            <w:r>
              <w:rPr>
                <w:rFonts w:hint="eastAsia"/>
                <w:sz w:val="21"/>
              </w:rPr>
              <w:t>长石水库</w:t>
            </w:r>
          </w:p>
        </w:tc>
        <w:tc>
          <w:tcPr>
            <w:tcW w:w="2279" w:type="dxa"/>
            <w:vAlign w:val="center"/>
          </w:tcPr>
          <w:p w14:paraId="35EDBB39" w14:textId="77777777" w:rsidR="009D12AF" w:rsidRDefault="00000000">
            <w:pPr>
              <w:spacing w:line="240" w:lineRule="auto"/>
              <w:ind w:firstLineChars="0" w:firstLine="0"/>
              <w:jc w:val="center"/>
              <w:rPr>
                <w:sz w:val="21"/>
                <w:szCs w:val="21"/>
              </w:rPr>
            </w:pPr>
            <w:r>
              <w:rPr>
                <w:rFonts w:hint="eastAsia"/>
                <w:sz w:val="21"/>
              </w:rPr>
              <w:t>居住区</w:t>
            </w:r>
          </w:p>
        </w:tc>
        <w:tc>
          <w:tcPr>
            <w:tcW w:w="2279" w:type="dxa"/>
            <w:vAlign w:val="center"/>
          </w:tcPr>
          <w:p w14:paraId="7C34557E" w14:textId="77777777" w:rsidR="009D12AF" w:rsidRDefault="00000000">
            <w:pPr>
              <w:spacing w:line="240" w:lineRule="auto"/>
              <w:ind w:firstLineChars="0" w:firstLine="0"/>
              <w:jc w:val="center"/>
              <w:rPr>
                <w:sz w:val="21"/>
              </w:rPr>
            </w:pPr>
            <w:r>
              <w:rPr>
                <w:rFonts w:hint="eastAsia"/>
                <w:sz w:val="21"/>
              </w:rPr>
              <w:t>628.48</w:t>
            </w:r>
          </w:p>
        </w:tc>
        <w:tc>
          <w:tcPr>
            <w:tcW w:w="2279" w:type="dxa"/>
            <w:vAlign w:val="center"/>
          </w:tcPr>
          <w:p w14:paraId="7EC0B02A" w14:textId="77777777" w:rsidR="009D12AF" w:rsidRDefault="00000000">
            <w:pPr>
              <w:spacing w:line="240" w:lineRule="auto"/>
              <w:ind w:firstLineChars="0" w:firstLine="0"/>
              <w:jc w:val="center"/>
              <w:rPr>
                <w:sz w:val="21"/>
              </w:rPr>
            </w:pPr>
            <w:r>
              <w:rPr>
                <w:rFonts w:hint="eastAsia"/>
                <w:sz w:val="21"/>
              </w:rPr>
              <w:t>利旧</w:t>
            </w:r>
          </w:p>
        </w:tc>
      </w:tr>
      <w:tr w:rsidR="009D12AF" w14:paraId="083BA343" w14:textId="77777777">
        <w:trPr>
          <w:trHeight w:hRule="exact" w:val="405"/>
        </w:trPr>
        <w:tc>
          <w:tcPr>
            <w:tcW w:w="1365" w:type="dxa"/>
            <w:vMerge/>
            <w:vAlign w:val="center"/>
          </w:tcPr>
          <w:p w14:paraId="669C62AE" w14:textId="77777777" w:rsidR="009D12AF" w:rsidRDefault="009D12AF">
            <w:pPr>
              <w:spacing w:line="240" w:lineRule="auto"/>
              <w:ind w:firstLineChars="0" w:firstLine="0"/>
              <w:jc w:val="center"/>
              <w:rPr>
                <w:sz w:val="21"/>
              </w:rPr>
            </w:pPr>
          </w:p>
        </w:tc>
        <w:tc>
          <w:tcPr>
            <w:tcW w:w="2279" w:type="dxa"/>
            <w:vAlign w:val="center"/>
          </w:tcPr>
          <w:p w14:paraId="18829776" w14:textId="77777777" w:rsidR="009D12AF" w:rsidRDefault="00000000">
            <w:pPr>
              <w:spacing w:line="240" w:lineRule="auto"/>
              <w:ind w:firstLineChars="0" w:firstLine="0"/>
              <w:jc w:val="center"/>
              <w:rPr>
                <w:sz w:val="21"/>
                <w:szCs w:val="21"/>
              </w:rPr>
            </w:pPr>
            <w:r>
              <w:rPr>
                <w:rFonts w:hint="eastAsia"/>
                <w:sz w:val="21"/>
              </w:rPr>
              <w:t>淤泥堆放区</w:t>
            </w:r>
          </w:p>
        </w:tc>
        <w:tc>
          <w:tcPr>
            <w:tcW w:w="2279" w:type="dxa"/>
            <w:vAlign w:val="center"/>
          </w:tcPr>
          <w:p w14:paraId="64F95312" w14:textId="77777777" w:rsidR="009D12AF" w:rsidRDefault="00000000">
            <w:pPr>
              <w:spacing w:line="240" w:lineRule="auto"/>
              <w:ind w:firstLineChars="0" w:firstLine="0"/>
              <w:jc w:val="center"/>
              <w:rPr>
                <w:sz w:val="21"/>
              </w:rPr>
            </w:pPr>
            <w:r>
              <w:rPr>
                <w:rFonts w:hint="eastAsia"/>
                <w:sz w:val="21"/>
              </w:rPr>
              <w:t>9347.49</w:t>
            </w:r>
          </w:p>
        </w:tc>
        <w:tc>
          <w:tcPr>
            <w:tcW w:w="2279" w:type="dxa"/>
            <w:vAlign w:val="center"/>
          </w:tcPr>
          <w:p w14:paraId="4BF4C523" w14:textId="77777777" w:rsidR="009D12AF" w:rsidRDefault="00000000">
            <w:pPr>
              <w:spacing w:line="240" w:lineRule="auto"/>
              <w:ind w:firstLineChars="0" w:firstLine="0"/>
              <w:jc w:val="center"/>
              <w:rPr>
                <w:sz w:val="21"/>
              </w:rPr>
            </w:pPr>
            <w:r>
              <w:rPr>
                <w:sz w:val="21"/>
              </w:rPr>
              <w:t>耕地</w:t>
            </w:r>
          </w:p>
        </w:tc>
      </w:tr>
      <w:tr w:rsidR="009D12AF" w14:paraId="465B8B29" w14:textId="77777777">
        <w:trPr>
          <w:trHeight w:hRule="exact" w:val="405"/>
        </w:trPr>
        <w:tc>
          <w:tcPr>
            <w:tcW w:w="1365" w:type="dxa"/>
            <w:vMerge/>
            <w:vAlign w:val="center"/>
          </w:tcPr>
          <w:p w14:paraId="72F3091E" w14:textId="77777777" w:rsidR="009D12AF" w:rsidRDefault="009D12AF">
            <w:pPr>
              <w:spacing w:line="240" w:lineRule="auto"/>
              <w:ind w:firstLineChars="0" w:firstLine="0"/>
              <w:jc w:val="center"/>
              <w:rPr>
                <w:sz w:val="21"/>
              </w:rPr>
            </w:pPr>
          </w:p>
        </w:tc>
        <w:tc>
          <w:tcPr>
            <w:tcW w:w="2279" w:type="dxa"/>
            <w:vAlign w:val="center"/>
          </w:tcPr>
          <w:p w14:paraId="70B1C48C" w14:textId="77777777" w:rsidR="009D12AF" w:rsidRDefault="00000000">
            <w:pPr>
              <w:spacing w:line="240" w:lineRule="auto"/>
              <w:ind w:firstLineChars="0" w:firstLine="0"/>
              <w:jc w:val="center"/>
              <w:rPr>
                <w:sz w:val="21"/>
                <w:szCs w:val="21"/>
              </w:rPr>
            </w:pPr>
            <w:r>
              <w:rPr>
                <w:rFonts w:hint="eastAsia"/>
                <w:sz w:val="21"/>
              </w:rPr>
              <w:t>机械设备停放区</w:t>
            </w:r>
          </w:p>
        </w:tc>
        <w:tc>
          <w:tcPr>
            <w:tcW w:w="2279" w:type="dxa"/>
            <w:vAlign w:val="center"/>
          </w:tcPr>
          <w:p w14:paraId="6ECE2A6A" w14:textId="77777777" w:rsidR="009D12AF" w:rsidRDefault="00000000">
            <w:pPr>
              <w:spacing w:line="240" w:lineRule="auto"/>
              <w:ind w:firstLineChars="0" w:firstLine="0"/>
              <w:jc w:val="center"/>
              <w:rPr>
                <w:sz w:val="21"/>
              </w:rPr>
            </w:pPr>
            <w:r>
              <w:rPr>
                <w:rFonts w:hint="eastAsia"/>
                <w:sz w:val="21"/>
              </w:rPr>
              <w:t>2012.08</w:t>
            </w:r>
          </w:p>
        </w:tc>
        <w:tc>
          <w:tcPr>
            <w:tcW w:w="2279" w:type="dxa"/>
            <w:vAlign w:val="center"/>
          </w:tcPr>
          <w:p w14:paraId="763E1293" w14:textId="77777777" w:rsidR="009D12AF" w:rsidRDefault="00000000">
            <w:pPr>
              <w:spacing w:line="240" w:lineRule="auto"/>
              <w:ind w:firstLineChars="0" w:firstLine="0"/>
              <w:jc w:val="center"/>
              <w:rPr>
                <w:sz w:val="21"/>
              </w:rPr>
            </w:pPr>
            <w:r>
              <w:rPr>
                <w:rFonts w:hint="eastAsia"/>
                <w:sz w:val="21"/>
              </w:rPr>
              <w:t>耕地</w:t>
            </w:r>
          </w:p>
        </w:tc>
      </w:tr>
      <w:tr w:rsidR="009D12AF" w14:paraId="45AFF2EA" w14:textId="77777777">
        <w:trPr>
          <w:trHeight w:hRule="exact" w:val="405"/>
        </w:trPr>
        <w:tc>
          <w:tcPr>
            <w:tcW w:w="1365" w:type="dxa"/>
            <w:vMerge/>
            <w:vAlign w:val="center"/>
          </w:tcPr>
          <w:p w14:paraId="40F6842D" w14:textId="77777777" w:rsidR="009D12AF" w:rsidRDefault="009D12AF">
            <w:pPr>
              <w:spacing w:line="240" w:lineRule="auto"/>
              <w:ind w:firstLineChars="0" w:firstLine="0"/>
              <w:jc w:val="center"/>
              <w:rPr>
                <w:sz w:val="21"/>
              </w:rPr>
            </w:pPr>
          </w:p>
        </w:tc>
        <w:tc>
          <w:tcPr>
            <w:tcW w:w="2279" w:type="dxa"/>
            <w:vAlign w:val="center"/>
          </w:tcPr>
          <w:p w14:paraId="4C399BD9" w14:textId="77777777" w:rsidR="009D12AF" w:rsidRDefault="00000000">
            <w:pPr>
              <w:spacing w:line="240" w:lineRule="auto"/>
              <w:ind w:firstLineChars="0" w:firstLine="0"/>
              <w:jc w:val="center"/>
              <w:rPr>
                <w:sz w:val="21"/>
                <w:szCs w:val="21"/>
              </w:rPr>
            </w:pPr>
            <w:r>
              <w:rPr>
                <w:sz w:val="21"/>
                <w:szCs w:val="21"/>
              </w:rPr>
              <w:t>临时施工道路</w:t>
            </w:r>
          </w:p>
        </w:tc>
        <w:tc>
          <w:tcPr>
            <w:tcW w:w="2279" w:type="dxa"/>
            <w:vAlign w:val="center"/>
          </w:tcPr>
          <w:p w14:paraId="591CA414" w14:textId="77777777" w:rsidR="009D12AF" w:rsidRDefault="00000000">
            <w:pPr>
              <w:spacing w:line="240" w:lineRule="auto"/>
              <w:ind w:firstLineChars="0" w:firstLine="0"/>
              <w:jc w:val="center"/>
              <w:rPr>
                <w:sz w:val="21"/>
              </w:rPr>
            </w:pPr>
            <w:r>
              <w:rPr>
                <w:rFonts w:hint="eastAsia"/>
                <w:sz w:val="21"/>
              </w:rPr>
              <w:t>5456</w:t>
            </w:r>
          </w:p>
        </w:tc>
        <w:tc>
          <w:tcPr>
            <w:tcW w:w="2279" w:type="dxa"/>
            <w:vAlign w:val="center"/>
          </w:tcPr>
          <w:p w14:paraId="3ACF81B6" w14:textId="77777777" w:rsidR="009D12AF" w:rsidRDefault="00000000">
            <w:pPr>
              <w:spacing w:line="240" w:lineRule="auto"/>
              <w:ind w:firstLineChars="0" w:firstLine="0"/>
              <w:jc w:val="center"/>
              <w:rPr>
                <w:sz w:val="21"/>
              </w:rPr>
            </w:pPr>
            <w:r>
              <w:rPr>
                <w:rFonts w:hint="eastAsia"/>
                <w:sz w:val="21"/>
              </w:rPr>
              <w:t>现有道路</w:t>
            </w:r>
          </w:p>
        </w:tc>
      </w:tr>
      <w:tr w:rsidR="009D12AF" w14:paraId="5D0C0A6E" w14:textId="77777777">
        <w:trPr>
          <w:trHeight w:hRule="exact" w:val="405"/>
        </w:trPr>
        <w:tc>
          <w:tcPr>
            <w:tcW w:w="1365" w:type="dxa"/>
            <w:vMerge/>
            <w:vAlign w:val="center"/>
          </w:tcPr>
          <w:p w14:paraId="0A06E602" w14:textId="77777777" w:rsidR="009D12AF" w:rsidRDefault="009D12AF">
            <w:pPr>
              <w:spacing w:line="240" w:lineRule="auto"/>
              <w:ind w:firstLineChars="0" w:firstLine="0"/>
              <w:jc w:val="center"/>
              <w:rPr>
                <w:sz w:val="21"/>
              </w:rPr>
            </w:pPr>
          </w:p>
        </w:tc>
        <w:tc>
          <w:tcPr>
            <w:tcW w:w="2279" w:type="dxa"/>
            <w:vAlign w:val="center"/>
          </w:tcPr>
          <w:p w14:paraId="45B29CE3" w14:textId="77777777" w:rsidR="009D12AF" w:rsidRDefault="00000000">
            <w:pPr>
              <w:spacing w:line="240" w:lineRule="auto"/>
              <w:ind w:firstLineChars="0" w:firstLine="0"/>
              <w:jc w:val="center"/>
              <w:rPr>
                <w:sz w:val="21"/>
                <w:szCs w:val="21"/>
              </w:rPr>
            </w:pPr>
            <w:r>
              <w:rPr>
                <w:rFonts w:hint="eastAsia"/>
                <w:sz w:val="21"/>
                <w:szCs w:val="21"/>
              </w:rPr>
              <w:t>合计</w:t>
            </w:r>
          </w:p>
        </w:tc>
        <w:tc>
          <w:tcPr>
            <w:tcW w:w="2279" w:type="dxa"/>
            <w:vAlign w:val="center"/>
          </w:tcPr>
          <w:p w14:paraId="70399936" w14:textId="77777777" w:rsidR="009D12AF" w:rsidRDefault="00000000">
            <w:pPr>
              <w:spacing w:line="240" w:lineRule="auto"/>
              <w:ind w:firstLineChars="0" w:firstLine="0"/>
              <w:jc w:val="center"/>
              <w:rPr>
                <w:sz w:val="21"/>
              </w:rPr>
            </w:pPr>
            <w:r>
              <w:rPr>
                <w:rFonts w:hint="eastAsia"/>
                <w:sz w:val="21"/>
              </w:rPr>
              <w:t>17444.05</w:t>
            </w:r>
          </w:p>
        </w:tc>
        <w:tc>
          <w:tcPr>
            <w:tcW w:w="2279" w:type="dxa"/>
            <w:vAlign w:val="center"/>
          </w:tcPr>
          <w:p w14:paraId="6CB7AA45" w14:textId="77777777" w:rsidR="009D12AF" w:rsidRDefault="00000000">
            <w:pPr>
              <w:spacing w:line="240" w:lineRule="auto"/>
              <w:ind w:firstLineChars="0" w:firstLine="0"/>
              <w:jc w:val="center"/>
              <w:rPr>
                <w:sz w:val="21"/>
              </w:rPr>
            </w:pPr>
            <w:r>
              <w:rPr>
                <w:rFonts w:hint="eastAsia"/>
                <w:sz w:val="21"/>
              </w:rPr>
              <w:t>/</w:t>
            </w:r>
          </w:p>
        </w:tc>
      </w:tr>
      <w:tr w:rsidR="009D12AF" w14:paraId="1D8D1DC8" w14:textId="77777777">
        <w:trPr>
          <w:trHeight w:hRule="exact" w:val="405"/>
        </w:trPr>
        <w:tc>
          <w:tcPr>
            <w:tcW w:w="1365" w:type="dxa"/>
            <w:vMerge w:val="restart"/>
            <w:vAlign w:val="center"/>
          </w:tcPr>
          <w:p w14:paraId="31F9176C" w14:textId="77777777" w:rsidR="009D12AF" w:rsidRDefault="00000000">
            <w:pPr>
              <w:spacing w:line="240" w:lineRule="auto"/>
              <w:ind w:firstLineChars="0" w:firstLine="0"/>
              <w:jc w:val="center"/>
              <w:rPr>
                <w:sz w:val="21"/>
              </w:rPr>
            </w:pPr>
            <w:r>
              <w:rPr>
                <w:rFonts w:hint="eastAsia"/>
                <w:sz w:val="21"/>
              </w:rPr>
              <w:t>群力水库</w:t>
            </w:r>
          </w:p>
        </w:tc>
        <w:tc>
          <w:tcPr>
            <w:tcW w:w="2279" w:type="dxa"/>
            <w:vAlign w:val="center"/>
          </w:tcPr>
          <w:p w14:paraId="3C044E92" w14:textId="77777777" w:rsidR="009D12AF" w:rsidRDefault="00000000">
            <w:pPr>
              <w:spacing w:line="240" w:lineRule="auto"/>
              <w:ind w:firstLineChars="0" w:firstLine="0"/>
              <w:jc w:val="center"/>
              <w:rPr>
                <w:sz w:val="21"/>
                <w:szCs w:val="21"/>
              </w:rPr>
            </w:pPr>
            <w:r>
              <w:rPr>
                <w:rFonts w:hint="eastAsia"/>
                <w:sz w:val="21"/>
              </w:rPr>
              <w:t>居住区</w:t>
            </w:r>
          </w:p>
        </w:tc>
        <w:tc>
          <w:tcPr>
            <w:tcW w:w="2279" w:type="dxa"/>
            <w:vAlign w:val="center"/>
          </w:tcPr>
          <w:p w14:paraId="0C4703B2" w14:textId="77777777" w:rsidR="009D12AF" w:rsidRDefault="00000000">
            <w:pPr>
              <w:spacing w:line="240" w:lineRule="auto"/>
              <w:ind w:firstLineChars="0" w:firstLine="0"/>
              <w:jc w:val="center"/>
              <w:rPr>
                <w:sz w:val="21"/>
              </w:rPr>
            </w:pPr>
            <w:r>
              <w:rPr>
                <w:rFonts w:hint="eastAsia"/>
                <w:sz w:val="21"/>
              </w:rPr>
              <w:t>313.83</w:t>
            </w:r>
          </w:p>
        </w:tc>
        <w:tc>
          <w:tcPr>
            <w:tcW w:w="2279" w:type="dxa"/>
            <w:vAlign w:val="center"/>
          </w:tcPr>
          <w:p w14:paraId="1B65702D" w14:textId="77777777" w:rsidR="009D12AF" w:rsidRDefault="00000000">
            <w:pPr>
              <w:spacing w:line="240" w:lineRule="auto"/>
              <w:ind w:firstLineChars="0" w:firstLine="0"/>
              <w:jc w:val="center"/>
              <w:rPr>
                <w:sz w:val="21"/>
              </w:rPr>
            </w:pPr>
            <w:r>
              <w:rPr>
                <w:rFonts w:hint="eastAsia"/>
                <w:sz w:val="21"/>
              </w:rPr>
              <w:t>利旧</w:t>
            </w:r>
          </w:p>
        </w:tc>
      </w:tr>
      <w:tr w:rsidR="009D12AF" w14:paraId="28B31C66" w14:textId="77777777">
        <w:trPr>
          <w:trHeight w:hRule="exact" w:val="405"/>
        </w:trPr>
        <w:tc>
          <w:tcPr>
            <w:tcW w:w="1365" w:type="dxa"/>
            <w:vMerge/>
            <w:vAlign w:val="center"/>
          </w:tcPr>
          <w:p w14:paraId="49BC344F" w14:textId="77777777" w:rsidR="009D12AF" w:rsidRDefault="009D12AF">
            <w:pPr>
              <w:spacing w:line="240" w:lineRule="auto"/>
              <w:ind w:firstLineChars="0" w:firstLine="0"/>
              <w:jc w:val="center"/>
              <w:rPr>
                <w:sz w:val="21"/>
              </w:rPr>
            </w:pPr>
          </w:p>
        </w:tc>
        <w:tc>
          <w:tcPr>
            <w:tcW w:w="2279" w:type="dxa"/>
            <w:vAlign w:val="center"/>
          </w:tcPr>
          <w:p w14:paraId="542F8C72" w14:textId="77777777" w:rsidR="009D12AF" w:rsidRDefault="00000000">
            <w:pPr>
              <w:spacing w:line="240" w:lineRule="auto"/>
              <w:ind w:firstLineChars="0" w:firstLine="0"/>
              <w:jc w:val="center"/>
              <w:rPr>
                <w:sz w:val="21"/>
                <w:szCs w:val="21"/>
              </w:rPr>
            </w:pPr>
            <w:r>
              <w:rPr>
                <w:rFonts w:hint="eastAsia"/>
                <w:sz w:val="21"/>
              </w:rPr>
              <w:t>淤泥堆放区</w:t>
            </w:r>
          </w:p>
        </w:tc>
        <w:tc>
          <w:tcPr>
            <w:tcW w:w="2279" w:type="dxa"/>
            <w:vAlign w:val="center"/>
          </w:tcPr>
          <w:p w14:paraId="3F2BD1C6" w14:textId="77777777" w:rsidR="009D12AF" w:rsidRDefault="00000000">
            <w:pPr>
              <w:spacing w:line="240" w:lineRule="auto"/>
              <w:ind w:firstLineChars="0" w:firstLine="0"/>
              <w:jc w:val="center"/>
              <w:rPr>
                <w:sz w:val="21"/>
              </w:rPr>
            </w:pPr>
            <w:r>
              <w:rPr>
                <w:rFonts w:hint="eastAsia"/>
                <w:sz w:val="21"/>
              </w:rPr>
              <w:t>7147.21</w:t>
            </w:r>
          </w:p>
        </w:tc>
        <w:tc>
          <w:tcPr>
            <w:tcW w:w="2279" w:type="dxa"/>
            <w:vAlign w:val="center"/>
          </w:tcPr>
          <w:p w14:paraId="0F1B6309" w14:textId="77777777" w:rsidR="009D12AF" w:rsidRDefault="00000000">
            <w:pPr>
              <w:spacing w:line="240" w:lineRule="auto"/>
              <w:ind w:firstLineChars="0" w:firstLine="0"/>
              <w:jc w:val="center"/>
              <w:rPr>
                <w:sz w:val="21"/>
              </w:rPr>
            </w:pPr>
            <w:r>
              <w:rPr>
                <w:sz w:val="21"/>
              </w:rPr>
              <w:t>耕地</w:t>
            </w:r>
          </w:p>
        </w:tc>
      </w:tr>
      <w:tr w:rsidR="009D12AF" w14:paraId="74A180D4" w14:textId="77777777">
        <w:trPr>
          <w:trHeight w:hRule="exact" w:val="405"/>
        </w:trPr>
        <w:tc>
          <w:tcPr>
            <w:tcW w:w="1365" w:type="dxa"/>
            <w:vMerge/>
            <w:vAlign w:val="center"/>
          </w:tcPr>
          <w:p w14:paraId="7A553D82" w14:textId="77777777" w:rsidR="009D12AF" w:rsidRDefault="009D12AF">
            <w:pPr>
              <w:spacing w:line="240" w:lineRule="auto"/>
              <w:ind w:firstLineChars="0" w:firstLine="0"/>
              <w:jc w:val="center"/>
              <w:rPr>
                <w:sz w:val="21"/>
              </w:rPr>
            </w:pPr>
          </w:p>
        </w:tc>
        <w:tc>
          <w:tcPr>
            <w:tcW w:w="2279" w:type="dxa"/>
            <w:vAlign w:val="center"/>
          </w:tcPr>
          <w:p w14:paraId="332596DE" w14:textId="77777777" w:rsidR="009D12AF" w:rsidRDefault="00000000">
            <w:pPr>
              <w:spacing w:line="240" w:lineRule="auto"/>
              <w:ind w:firstLineChars="0" w:firstLine="0"/>
              <w:jc w:val="center"/>
              <w:rPr>
                <w:sz w:val="21"/>
                <w:szCs w:val="21"/>
              </w:rPr>
            </w:pPr>
            <w:r>
              <w:rPr>
                <w:rFonts w:hint="eastAsia"/>
                <w:sz w:val="21"/>
              </w:rPr>
              <w:t>机械设备停放区</w:t>
            </w:r>
          </w:p>
        </w:tc>
        <w:tc>
          <w:tcPr>
            <w:tcW w:w="2279" w:type="dxa"/>
            <w:vAlign w:val="center"/>
          </w:tcPr>
          <w:p w14:paraId="44199931" w14:textId="77777777" w:rsidR="009D12AF" w:rsidRDefault="00000000">
            <w:pPr>
              <w:spacing w:line="240" w:lineRule="auto"/>
              <w:ind w:firstLineChars="0" w:firstLine="0"/>
              <w:jc w:val="center"/>
              <w:rPr>
                <w:sz w:val="21"/>
              </w:rPr>
            </w:pPr>
            <w:r>
              <w:rPr>
                <w:rFonts w:hint="eastAsia"/>
                <w:sz w:val="21"/>
              </w:rPr>
              <w:t>3195.1</w:t>
            </w:r>
          </w:p>
        </w:tc>
        <w:tc>
          <w:tcPr>
            <w:tcW w:w="2279" w:type="dxa"/>
            <w:vAlign w:val="center"/>
          </w:tcPr>
          <w:p w14:paraId="2516BEC6" w14:textId="77777777" w:rsidR="009D12AF" w:rsidRDefault="00000000">
            <w:pPr>
              <w:spacing w:line="240" w:lineRule="auto"/>
              <w:ind w:firstLineChars="0" w:firstLine="0"/>
              <w:jc w:val="center"/>
              <w:rPr>
                <w:sz w:val="21"/>
              </w:rPr>
            </w:pPr>
            <w:r>
              <w:rPr>
                <w:rFonts w:hint="eastAsia"/>
                <w:sz w:val="21"/>
              </w:rPr>
              <w:t>耕地</w:t>
            </w:r>
          </w:p>
        </w:tc>
      </w:tr>
      <w:tr w:rsidR="009D12AF" w14:paraId="226947F0" w14:textId="77777777">
        <w:trPr>
          <w:trHeight w:hRule="exact" w:val="405"/>
        </w:trPr>
        <w:tc>
          <w:tcPr>
            <w:tcW w:w="1365" w:type="dxa"/>
            <w:vMerge/>
            <w:vAlign w:val="center"/>
          </w:tcPr>
          <w:p w14:paraId="72D8291E" w14:textId="77777777" w:rsidR="009D12AF" w:rsidRDefault="009D12AF">
            <w:pPr>
              <w:spacing w:line="240" w:lineRule="auto"/>
              <w:ind w:firstLineChars="0" w:firstLine="0"/>
              <w:jc w:val="center"/>
              <w:rPr>
                <w:sz w:val="21"/>
              </w:rPr>
            </w:pPr>
          </w:p>
        </w:tc>
        <w:tc>
          <w:tcPr>
            <w:tcW w:w="2279" w:type="dxa"/>
            <w:vAlign w:val="center"/>
          </w:tcPr>
          <w:p w14:paraId="69AE5783" w14:textId="77777777" w:rsidR="009D12AF" w:rsidRDefault="00000000">
            <w:pPr>
              <w:spacing w:line="240" w:lineRule="auto"/>
              <w:ind w:firstLineChars="0" w:firstLine="0"/>
              <w:jc w:val="center"/>
              <w:rPr>
                <w:sz w:val="21"/>
                <w:szCs w:val="21"/>
              </w:rPr>
            </w:pPr>
            <w:r>
              <w:rPr>
                <w:sz w:val="21"/>
                <w:szCs w:val="21"/>
              </w:rPr>
              <w:t>临时施工道路</w:t>
            </w:r>
          </w:p>
        </w:tc>
        <w:tc>
          <w:tcPr>
            <w:tcW w:w="2279" w:type="dxa"/>
            <w:vAlign w:val="center"/>
          </w:tcPr>
          <w:p w14:paraId="606020EB" w14:textId="77777777" w:rsidR="009D12AF" w:rsidRDefault="00000000">
            <w:pPr>
              <w:spacing w:line="240" w:lineRule="auto"/>
              <w:ind w:firstLineChars="0" w:firstLine="0"/>
              <w:jc w:val="center"/>
              <w:rPr>
                <w:sz w:val="21"/>
              </w:rPr>
            </w:pPr>
            <w:r>
              <w:rPr>
                <w:rFonts w:hint="eastAsia"/>
                <w:sz w:val="21"/>
              </w:rPr>
              <w:t>2017.52</w:t>
            </w:r>
          </w:p>
        </w:tc>
        <w:tc>
          <w:tcPr>
            <w:tcW w:w="2279" w:type="dxa"/>
            <w:vAlign w:val="center"/>
          </w:tcPr>
          <w:p w14:paraId="62DBB986" w14:textId="77777777" w:rsidR="009D12AF" w:rsidRDefault="00000000">
            <w:pPr>
              <w:spacing w:line="240" w:lineRule="auto"/>
              <w:ind w:firstLineChars="0" w:firstLine="0"/>
              <w:jc w:val="center"/>
              <w:rPr>
                <w:sz w:val="21"/>
              </w:rPr>
            </w:pPr>
            <w:r>
              <w:rPr>
                <w:rFonts w:hint="eastAsia"/>
                <w:sz w:val="21"/>
              </w:rPr>
              <w:t>现有道路</w:t>
            </w:r>
          </w:p>
        </w:tc>
      </w:tr>
      <w:tr w:rsidR="009D12AF" w14:paraId="4A56477B" w14:textId="77777777">
        <w:trPr>
          <w:trHeight w:hRule="exact" w:val="405"/>
        </w:trPr>
        <w:tc>
          <w:tcPr>
            <w:tcW w:w="1365" w:type="dxa"/>
            <w:vMerge/>
            <w:vAlign w:val="center"/>
          </w:tcPr>
          <w:p w14:paraId="3BF97823" w14:textId="77777777" w:rsidR="009D12AF" w:rsidRDefault="009D12AF">
            <w:pPr>
              <w:spacing w:line="240" w:lineRule="auto"/>
              <w:ind w:firstLineChars="0" w:firstLine="0"/>
              <w:jc w:val="center"/>
              <w:rPr>
                <w:sz w:val="21"/>
              </w:rPr>
            </w:pPr>
          </w:p>
        </w:tc>
        <w:tc>
          <w:tcPr>
            <w:tcW w:w="2279" w:type="dxa"/>
            <w:vAlign w:val="center"/>
          </w:tcPr>
          <w:p w14:paraId="6C82A829" w14:textId="77777777" w:rsidR="009D12AF" w:rsidRDefault="00000000">
            <w:pPr>
              <w:spacing w:line="240" w:lineRule="auto"/>
              <w:ind w:firstLineChars="0" w:firstLine="0"/>
              <w:jc w:val="center"/>
              <w:rPr>
                <w:sz w:val="21"/>
                <w:szCs w:val="21"/>
              </w:rPr>
            </w:pPr>
            <w:r>
              <w:rPr>
                <w:rFonts w:hint="eastAsia"/>
                <w:sz w:val="21"/>
                <w:szCs w:val="21"/>
              </w:rPr>
              <w:t>合计</w:t>
            </w:r>
          </w:p>
        </w:tc>
        <w:tc>
          <w:tcPr>
            <w:tcW w:w="2279" w:type="dxa"/>
            <w:vAlign w:val="center"/>
          </w:tcPr>
          <w:p w14:paraId="6B7A17BD" w14:textId="77777777" w:rsidR="009D12AF" w:rsidRDefault="00000000">
            <w:pPr>
              <w:spacing w:line="240" w:lineRule="auto"/>
              <w:ind w:firstLineChars="0" w:firstLine="0"/>
              <w:jc w:val="center"/>
              <w:rPr>
                <w:sz w:val="21"/>
              </w:rPr>
            </w:pPr>
            <w:r>
              <w:rPr>
                <w:rFonts w:hint="eastAsia"/>
                <w:sz w:val="21"/>
              </w:rPr>
              <w:t>12673.6</w:t>
            </w:r>
          </w:p>
        </w:tc>
        <w:tc>
          <w:tcPr>
            <w:tcW w:w="2279" w:type="dxa"/>
            <w:vAlign w:val="center"/>
          </w:tcPr>
          <w:p w14:paraId="45EDAEC3" w14:textId="77777777" w:rsidR="009D12AF" w:rsidRDefault="00000000">
            <w:pPr>
              <w:spacing w:line="240" w:lineRule="auto"/>
              <w:ind w:firstLineChars="0" w:firstLine="0"/>
              <w:jc w:val="center"/>
              <w:rPr>
                <w:sz w:val="21"/>
              </w:rPr>
            </w:pPr>
            <w:r>
              <w:rPr>
                <w:rFonts w:hint="eastAsia"/>
                <w:sz w:val="21"/>
              </w:rPr>
              <w:t>/</w:t>
            </w:r>
          </w:p>
        </w:tc>
      </w:tr>
    </w:tbl>
    <w:p w14:paraId="6B010EF3" w14:textId="77777777" w:rsidR="009D12AF" w:rsidRDefault="00000000">
      <w:pPr>
        <w:pStyle w:val="3"/>
      </w:pPr>
      <w:bookmarkStart w:id="132" w:name="_Toc6554"/>
      <w:bookmarkStart w:id="133" w:name="_Toc20910"/>
      <w:bookmarkStart w:id="134" w:name="_Toc30817"/>
      <w:bookmarkStart w:id="135" w:name="_Toc16515"/>
      <w:r>
        <w:rPr>
          <w:rFonts w:hint="eastAsia"/>
        </w:rPr>
        <w:t>3</w:t>
      </w:r>
      <w:r>
        <w:t>.2.</w:t>
      </w:r>
      <w:r>
        <w:rPr>
          <w:rFonts w:hint="eastAsia"/>
        </w:rPr>
        <w:t>8</w:t>
      </w:r>
      <w:r>
        <w:t xml:space="preserve"> </w:t>
      </w:r>
      <w:r>
        <w:t>土方平衡</w:t>
      </w:r>
      <w:bookmarkEnd w:id="132"/>
      <w:bookmarkEnd w:id="133"/>
      <w:bookmarkEnd w:id="134"/>
      <w:bookmarkEnd w:id="135"/>
    </w:p>
    <w:p w14:paraId="22A7753E" w14:textId="77777777" w:rsidR="009D12AF" w:rsidRDefault="00000000">
      <w:pPr>
        <w:widowControl/>
        <w:ind w:firstLine="480"/>
        <w:jc w:val="left"/>
        <w:rPr>
          <w:highlight w:val="yellow"/>
        </w:rPr>
      </w:pPr>
      <w:r>
        <w:rPr>
          <w:rFonts w:ascii="瀹嬩綋" w:eastAsia="瀹嬩綋" w:hAnsi="瀹嬩綋" w:cs="瀹嬩綋"/>
          <w:color w:val="000000"/>
          <w:kern w:val="0"/>
          <w:lang w:bidi="ar"/>
        </w:rPr>
        <w:t>根据水土保持方案，工程挖填土方总量</w:t>
      </w:r>
      <w:r>
        <w:rPr>
          <w:rFonts w:ascii="Times New Roman" w:eastAsia="宋体" w:hAnsi="Times New Roman" w:cs="Times New Roman" w:hint="eastAsia"/>
          <w:color w:val="000000"/>
          <w:kern w:val="0"/>
          <w:lang w:bidi="ar"/>
        </w:rPr>
        <w:t>6139345.11</w:t>
      </w:r>
      <w:r>
        <w:rPr>
          <w:rFonts w:ascii="Times New Roman" w:eastAsia="宋体" w:hAnsi="Times New Roman" w:cs="Times New Roman"/>
          <w:color w:val="000000"/>
          <w:kern w:val="0"/>
          <w:lang w:bidi="ar"/>
        </w:rPr>
        <w:t>m</w:t>
      </w:r>
      <w:r>
        <w:rPr>
          <w:rFonts w:ascii="Times New Roman" w:eastAsia="宋体" w:hAnsi="Times New Roman" w:cs="Times New Roman" w:hint="eastAsia"/>
          <w:color w:val="000000"/>
          <w:kern w:val="0"/>
          <w:vertAlign w:val="superscript"/>
          <w:lang w:bidi="ar"/>
        </w:rPr>
        <w:t>3</w:t>
      </w:r>
      <w:r>
        <w:rPr>
          <w:rFonts w:ascii="瀹嬩綋" w:eastAsia="瀹嬩綋" w:hAnsi="瀹嬩綋" w:cs="瀹嬩綋"/>
          <w:color w:val="000000"/>
          <w:kern w:val="0"/>
          <w:lang w:bidi="ar"/>
        </w:rPr>
        <w:t>，</w:t>
      </w:r>
      <w:r>
        <w:rPr>
          <w:rFonts w:ascii="瀹嬩綋" w:eastAsia="瀹嬩綋" w:hAnsi="瀹嬩綋" w:cs="瀹嬩綋" w:hint="eastAsia"/>
          <w:color w:val="000000"/>
          <w:kern w:val="0"/>
          <w:lang w:bidi="ar"/>
        </w:rPr>
        <w:t>其中</w:t>
      </w:r>
      <w:r>
        <w:rPr>
          <w:rFonts w:ascii="瀹嬩綋" w:eastAsia="瀹嬩綋" w:hAnsi="瀹嬩綋" w:cs="瀹嬩綋"/>
          <w:color w:val="000000"/>
          <w:kern w:val="0"/>
          <w:lang w:bidi="ar"/>
        </w:rPr>
        <w:t>淤泥</w:t>
      </w:r>
      <w:r>
        <w:rPr>
          <w:rFonts w:ascii="Times New Roman" w:eastAsia="宋体" w:hAnsi="Times New Roman" w:cs="Times New Roman" w:hint="eastAsia"/>
          <w:color w:val="000000"/>
          <w:kern w:val="0"/>
          <w:lang w:bidi="ar"/>
        </w:rPr>
        <w:t>600</w:t>
      </w:r>
      <w:r>
        <w:rPr>
          <w:rFonts w:ascii="瀹嬩綋" w:eastAsia="瀹嬩綋" w:hAnsi="瀹嬩綋" w:cs="瀹嬩綋"/>
          <w:color w:val="000000"/>
          <w:kern w:val="0"/>
          <w:lang w:bidi="ar"/>
        </w:rPr>
        <w:t>万</w:t>
      </w:r>
      <w:r>
        <w:rPr>
          <w:rFonts w:ascii="Times New Roman" w:eastAsia="宋体" w:hAnsi="Times New Roman" w:cs="Times New Roman"/>
          <w:color w:val="000000"/>
          <w:kern w:val="0"/>
          <w:lang w:bidi="ar"/>
        </w:rPr>
        <w:t>m</w:t>
      </w:r>
      <w:r>
        <w:rPr>
          <w:rFonts w:ascii="Times New Roman" w:eastAsia="宋体" w:hAnsi="Times New Roman" w:cs="Times New Roman" w:hint="eastAsia"/>
          <w:color w:val="000000"/>
          <w:kern w:val="0"/>
          <w:vertAlign w:val="superscript"/>
          <w:lang w:bidi="ar"/>
        </w:rPr>
        <w:t>3</w:t>
      </w:r>
      <w:r>
        <w:rPr>
          <w:rFonts w:ascii="瀹嬩綋" w:eastAsia="瀹嬩綋" w:hAnsi="瀹嬩綋" w:cs="瀹嬩綋"/>
          <w:color w:val="000000"/>
          <w:kern w:val="0"/>
          <w:lang w:bidi="ar"/>
        </w:rPr>
        <w:t>（淤泥干化后按渣土外运）</w:t>
      </w:r>
      <w:r>
        <w:rPr>
          <w:rFonts w:ascii="瀹嬩綋" w:eastAsia="瀹嬩綋" w:hAnsi="瀹嬩綋" w:cs="瀹嬩綋" w:hint="eastAsia"/>
          <w:color w:val="000000"/>
          <w:kern w:val="0"/>
          <w:lang w:bidi="ar"/>
        </w:rPr>
        <w:t>，临时生产区挖方量为</w:t>
      </w:r>
      <w:r>
        <w:rPr>
          <w:rFonts w:ascii="Times New Roman" w:eastAsia="宋体" w:hAnsi="Times New Roman" w:cs="Times New Roman" w:hint="eastAsia"/>
          <w:color w:val="000000"/>
          <w:kern w:val="0"/>
          <w:lang w:bidi="ar"/>
        </w:rPr>
        <w:t>139345.11m</w:t>
      </w:r>
      <w:r>
        <w:rPr>
          <w:rFonts w:ascii="Times New Roman" w:eastAsia="宋体" w:hAnsi="Times New Roman" w:cs="Times New Roman" w:hint="eastAsia"/>
          <w:color w:val="000000"/>
          <w:kern w:val="0"/>
          <w:vertAlign w:val="superscript"/>
          <w:lang w:bidi="ar"/>
        </w:rPr>
        <w:t>3</w:t>
      </w:r>
      <w:r>
        <w:rPr>
          <w:rFonts w:ascii="瀹嬩綋" w:eastAsia="瀹嬩綋" w:hAnsi="瀹嬩綋" w:cs="瀹嬩綋"/>
          <w:color w:val="000000"/>
          <w:kern w:val="0"/>
          <w:lang w:bidi="ar"/>
        </w:rPr>
        <w:t>。本工程余方总量</w:t>
      </w:r>
      <w:r>
        <w:rPr>
          <w:rFonts w:ascii="Times New Roman" w:eastAsia="宋体" w:hAnsi="Times New Roman" w:cs="Times New Roman" w:hint="eastAsia"/>
          <w:color w:val="000000"/>
          <w:kern w:val="0"/>
          <w:lang w:bidi="ar"/>
        </w:rPr>
        <w:t>600</w:t>
      </w:r>
      <w:r>
        <w:rPr>
          <w:rFonts w:ascii="瀹嬩綋" w:eastAsia="瀹嬩綋" w:hAnsi="瀹嬩綋" w:cs="瀹嬩綋"/>
          <w:color w:val="000000"/>
          <w:kern w:val="0"/>
          <w:lang w:bidi="ar"/>
        </w:rPr>
        <w:t>万</w:t>
      </w:r>
      <w:r>
        <w:rPr>
          <w:rFonts w:ascii="Times New Roman" w:eastAsia="宋体" w:hAnsi="Times New Roman" w:cs="Times New Roman"/>
          <w:color w:val="000000"/>
          <w:kern w:val="0"/>
          <w:lang w:bidi="ar"/>
        </w:rPr>
        <w:t>m</w:t>
      </w:r>
      <w:r>
        <w:rPr>
          <w:rFonts w:ascii="Times New Roman" w:eastAsia="宋体" w:hAnsi="Times New Roman" w:cs="Times New Roman" w:hint="eastAsia"/>
          <w:color w:val="000000"/>
          <w:kern w:val="0"/>
          <w:vertAlign w:val="superscript"/>
          <w:lang w:bidi="ar"/>
        </w:rPr>
        <w:t>3</w:t>
      </w:r>
      <w:r>
        <w:rPr>
          <w:rFonts w:ascii="瀹嬩綋" w:eastAsia="瀹嬩綋" w:hAnsi="瀹嬩綋" w:cs="瀹嬩綋"/>
          <w:color w:val="000000"/>
          <w:kern w:val="0"/>
          <w:lang w:bidi="ar"/>
        </w:rPr>
        <w:t>，本工程不单独设置弃土（石、渣、灰、矸石、尾矿）场。</w:t>
      </w:r>
    </w:p>
    <w:p w14:paraId="0D4993D5" w14:textId="77777777" w:rsidR="009D12AF" w:rsidRDefault="00000000">
      <w:pPr>
        <w:spacing w:line="240" w:lineRule="auto"/>
        <w:ind w:firstLineChars="0" w:firstLine="0"/>
        <w:jc w:val="center"/>
      </w:pPr>
      <w:r>
        <w:rPr>
          <w:b/>
          <w:bCs/>
        </w:rPr>
        <w:t>表</w:t>
      </w:r>
      <w:r>
        <w:rPr>
          <w:rFonts w:hint="eastAsia"/>
          <w:b/>
          <w:bCs/>
        </w:rPr>
        <w:t>3.2-4</w:t>
      </w:r>
      <w:r>
        <w:rPr>
          <w:rFonts w:hint="eastAsia"/>
          <w:b/>
          <w:bCs/>
        </w:rPr>
        <w:t>主要施工机械设备表</w:t>
      </w:r>
    </w:p>
    <w:tbl>
      <w:tblPr>
        <w:tblStyle w:val="ae"/>
        <w:tblW w:w="0" w:type="auto"/>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526"/>
        <w:gridCol w:w="1360"/>
        <w:gridCol w:w="604"/>
        <w:gridCol w:w="1360"/>
        <w:gridCol w:w="1360"/>
        <w:gridCol w:w="526"/>
        <w:gridCol w:w="526"/>
        <w:gridCol w:w="526"/>
        <w:gridCol w:w="526"/>
        <w:gridCol w:w="604"/>
        <w:gridCol w:w="604"/>
      </w:tblGrid>
      <w:tr w:rsidR="009D12AF" w14:paraId="52B91A2F" w14:textId="77777777">
        <w:trPr>
          <w:trHeight w:val="848"/>
          <w:jc w:val="center"/>
        </w:trPr>
        <w:tc>
          <w:tcPr>
            <w:tcW w:w="774" w:type="dxa"/>
            <w:vMerge w:val="restart"/>
            <w:tcBorders>
              <w:bottom w:val="single" w:sz="4" w:space="0" w:color="000000"/>
              <w:tl2br w:val="nil"/>
              <w:tr2bl w:val="nil"/>
            </w:tcBorders>
            <w:vAlign w:val="center"/>
          </w:tcPr>
          <w:p w14:paraId="5AB910B8" w14:textId="77777777" w:rsidR="009D12AF" w:rsidRDefault="00000000">
            <w:pPr>
              <w:spacing w:line="240" w:lineRule="auto"/>
              <w:ind w:firstLineChars="0" w:firstLine="0"/>
              <w:jc w:val="center"/>
              <w:rPr>
                <w:sz w:val="21"/>
                <w:szCs w:val="21"/>
              </w:rPr>
            </w:pPr>
            <w:r>
              <w:rPr>
                <w:rFonts w:hint="eastAsia"/>
                <w:sz w:val="21"/>
                <w:szCs w:val="21"/>
              </w:rPr>
              <w:t>项目</w:t>
            </w:r>
          </w:p>
        </w:tc>
        <w:tc>
          <w:tcPr>
            <w:tcW w:w="2322" w:type="dxa"/>
            <w:gridSpan w:val="3"/>
            <w:tcBorders>
              <w:bottom w:val="single" w:sz="4" w:space="0" w:color="000000"/>
            </w:tcBorders>
            <w:vAlign w:val="center"/>
          </w:tcPr>
          <w:p w14:paraId="08C3417B" w14:textId="77777777" w:rsidR="009D12AF" w:rsidRDefault="00000000">
            <w:pPr>
              <w:spacing w:line="240" w:lineRule="auto"/>
              <w:ind w:firstLineChars="0" w:firstLine="0"/>
              <w:jc w:val="center"/>
              <w:rPr>
                <w:sz w:val="21"/>
                <w:szCs w:val="21"/>
              </w:rPr>
            </w:pPr>
            <w:r>
              <w:rPr>
                <w:rFonts w:hint="eastAsia"/>
                <w:sz w:val="21"/>
                <w:szCs w:val="21"/>
              </w:rPr>
              <w:t>挖方</w:t>
            </w:r>
          </w:p>
        </w:tc>
        <w:tc>
          <w:tcPr>
            <w:tcW w:w="2322" w:type="dxa"/>
            <w:gridSpan w:val="3"/>
            <w:tcBorders>
              <w:bottom w:val="single" w:sz="4" w:space="0" w:color="000000"/>
            </w:tcBorders>
            <w:vAlign w:val="center"/>
          </w:tcPr>
          <w:p w14:paraId="45B3CEF8" w14:textId="77777777" w:rsidR="009D12AF" w:rsidRDefault="00000000">
            <w:pPr>
              <w:spacing w:line="240" w:lineRule="auto"/>
              <w:ind w:firstLineChars="0" w:firstLine="0"/>
              <w:jc w:val="center"/>
              <w:rPr>
                <w:sz w:val="21"/>
                <w:szCs w:val="21"/>
              </w:rPr>
            </w:pPr>
            <w:r>
              <w:rPr>
                <w:rFonts w:hint="eastAsia"/>
                <w:sz w:val="21"/>
                <w:szCs w:val="21"/>
              </w:rPr>
              <w:t>填方</w:t>
            </w:r>
          </w:p>
        </w:tc>
        <w:tc>
          <w:tcPr>
            <w:tcW w:w="774" w:type="dxa"/>
            <w:vMerge w:val="restart"/>
            <w:tcBorders>
              <w:bottom w:val="single" w:sz="4" w:space="0" w:color="000000"/>
              <w:tl2br w:val="nil"/>
              <w:tr2bl w:val="nil"/>
            </w:tcBorders>
            <w:vAlign w:val="center"/>
          </w:tcPr>
          <w:p w14:paraId="1E17DE48" w14:textId="77777777" w:rsidR="009D12AF" w:rsidRDefault="00000000">
            <w:pPr>
              <w:spacing w:line="240" w:lineRule="auto"/>
              <w:ind w:firstLineChars="0" w:firstLine="0"/>
              <w:jc w:val="center"/>
              <w:rPr>
                <w:sz w:val="21"/>
                <w:szCs w:val="21"/>
              </w:rPr>
            </w:pPr>
            <w:r>
              <w:rPr>
                <w:rFonts w:hint="eastAsia"/>
                <w:sz w:val="21"/>
                <w:szCs w:val="21"/>
              </w:rPr>
              <w:t>自身利用</w:t>
            </w:r>
          </w:p>
        </w:tc>
        <w:tc>
          <w:tcPr>
            <w:tcW w:w="2325" w:type="dxa"/>
            <w:gridSpan w:val="3"/>
            <w:tcBorders>
              <w:bottom w:val="single" w:sz="4" w:space="0" w:color="000000"/>
              <w:tl2br w:val="nil"/>
              <w:tr2bl w:val="nil"/>
            </w:tcBorders>
            <w:vAlign w:val="center"/>
          </w:tcPr>
          <w:p w14:paraId="14B73000" w14:textId="77777777" w:rsidR="009D12AF" w:rsidRDefault="00000000">
            <w:pPr>
              <w:spacing w:line="240" w:lineRule="auto"/>
              <w:ind w:firstLineChars="0" w:firstLine="0"/>
              <w:jc w:val="center"/>
              <w:rPr>
                <w:sz w:val="21"/>
                <w:szCs w:val="21"/>
              </w:rPr>
            </w:pPr>
            <w:r>
              <w:rPr>
                <w:rFonts w:hint="eastAsia"/>
                <w:sz w:val="21"/>
                <w:szCs w:val="21"/>
              </w:rPr>
              <w:t>余方</w:t>
            </w:r>
          </w:p>
        </w:tc>
      </w:tr>
      <w:tr w:rsidR="009D12AF" w14:paraId="68E05FA0" w14:textId="77777777">
        <w:trPr>
          <w:trHeight w:val="541"/>
          <w:jc w:val="center"/>
        </w:trPr>
        <w:tc>
          <w:tcPr>
            <w:tcW w:w="774" w:type="dxa"/>
            <w:vMerge/>
            <w:tcBorders>
              <w:top w:val="single" w:sz="4" w:space="0" w:color="000000"/>
              <w:tl2br w:val="nil"/>
              <w:tr2bl w:val="nil"/>
            </w:tcBorders>
            <w:vAlign w:val="center"/>
          </w:tcPr>
          <w:p w14:paraId="222E6108" w14:textId="77777777" w:rsidR="009D12AF" w:rsidRDefault="009D12AF">
            <w:pPr>
              <w:spacing w:line="240" w:lineRule="auto"/>
              <w:ind w:firstLineChars="0" w:firstLine="0"/>
              <w:jc w:val="center"/>
              <w:rPr>
                <w:sz w:val="21"/>
                <w:szCs w:val="21"/>
              </w:rPr>
            </w:pPr>
          </w:p>
        </w:tc>
        <w:tc>
          <w:tcPr>
            <w:tcW w:w="774" w:type="dxa"/>
            <w:tcBorders>
              <w:top w:val="single" w:sz="4" w:space="0" w:color="000000"/>
              <w:tl2br w:val="nil"/>
              <w:tr2bl w:val="nil"/>
            </w:tcBorders>
            <w:vAlign w:val="center"/>
          </w:tcPr>
          <w:p w14:paraId="684D2F38" w14:textId="77777777" w:rsidR="009D12AF" w:rsidRDefault="00000000">
            <w:pPr>
              <w:spacing w:line="240" w:lineRule="auto"/>
              <w:ind w:firstLineChars="0" w:firstLine="0"/>
              <w:jc w:val="center"/>
              <w:rPr>
                <w:sz w:val="21"/>
                <w:szCs w:val="21"/>
              </w:rPr>
            </w:pPr>
            <w:r>
              <w:rPr>
                <w:rFonts w:hint="eastAsia"/>
                <w:sz w:val="21"/>
                <w:szCs w:val="21"/>
              </w:rPr>
              <w:t>土方</w:t>
            </w:r>
          </w:p>
        </w:tc>
        <w:tc>
          <w:tcPr>
            <w:tcW w:w="774" w:type="dxa"/>
            <w:tcBorders>
              <w:top w:val="single" w:sz="4" w:space="0" w:color="000000"/>
              <w:tl2br w:val="nil"/>
              <w:tr2bl w:val="nil"/>
            </w:tcBorders>
            <w:vAlign w:val="center"/>
          </w:tcPr>
          <w:p w14:paraId="741963D6" w14:textId="77777777" w:rsidR="009D12AF" w:rsidRDefault="00000000">
            <w:pPr>
              <w:spacing w:line="240" w:lineRule="auto"/>
              <w:ind w:firstLineChars="0" w:firstLine="0"/>
              <w:jc w:val="center"/>
              <w:rPr>
                <w:sz w:val="21"/>
                <w:szCs w:val="21"/>
              </w:rPr>
            </w:pPr>
            <w:r>
              <w:rPr>
                <w:rFonts w:hint="eastAsia"/>
                <w:sz w:val="21"/>
                <w:szCs w:val="21"/>
              </w:rPr>
              <w:t>淤泥</w:t>
            </w:r>
          </w:p>
        </w:tc>
        <w:tc>
          <w:tcPr>
            <w:tcW w:w="774" w:type="dxa"/>
            <w:tcBorders>
              <w:top w:val="single" w:sz="4" w:space="0" w:color="000000"/>
              <w:tl2br w:val="nil"/>
              <w:tr2bl w:val="nil"/>
            </w:tcBorders>
            <w:vAlign w:val="center"/>
          </w:tcPr>
          <w:p w14:paraId="0D18098C" w14:textId="77777777" w:rsidR="009D12AF" w:rsidRDefault="00000000">
            <w:pPr>
              <w:spacing w:line="240" w:lineRule="auto"/>
              <w:ind w:firstLineChars="0" w:firstLine="0"/>
              <w:jc w:val="center"/>
              <w:rPr>
                <w:sz w:val="21"/>
                <w:szCs w:val="21"/>
              </w:rPr>
            </w:pPr>
            <w:r>
              <w:rPr>
                <w:rFonts w:hint="eastAsia"/>
                <w:sz w:val="21"/>
                <w:szCs w:val="21"/>
              </w:rPr>
              <w:t>合计</w:t>
            </w:r>
          </w:p>
        </w:tc>
        <w:tc>
          <w:tcPr>
            <w:tcW w:w="774" w:type="dxa"/>
            <w:tcBorders>
              <w:top w:val="single" w:sz="4" w:space="0" w:color="000000"/>
              <w:tl2br w:val="nil"/>
              <w:tr2bl w:val="nil"/>
            </w:tcBorders>
            <w:vAlign w:val="center"/>
          </w:tcPr>
          <w:p w14:paraId="6E32FCA0" w14:textId="77777777" w:rsidR="009D12AF" w:rsidRDefault="00000000">
            <w:pPr>
              <w:spacing w:line="240" w:lineRule="auto"/>
              <w:ind w:firstLineChars="0" w:firstLine="0"/>
              <w:jc w:val="center"/>
              <w:rPr>
                <w:sz w:val="21"/>
                <w:szCs w:val="21"/>
              </w:rPr>
            </w:pPr>
            <w:r>
              <w:rPr>
                <w:rFonts w:hint="eastAsia"/>
                <w:sz w:val="21"/>
                <w:szCs w:val="21"/>
              </w:rPr>
              <w:t>土方</w:t>
            </w:r>
          </w:p>
        </w:tc>
        <w:tc>
          <w:tcPr>
            <w:tcW w:w="774" w:type="dxa"/>
            <w:tcBorders>
              <w:top w:val="single" w:sz="4" w:space="0" w:color="000000"/>
              <w:tl2br w:val="nil"/>
              <w:tr2bl w:val="nil"/>
            </w:tcBorders>
            <w:vAlign w:val="center"/>
          </w:tcPr>
          <w:p w14:paraId="35126BE1" w14:textId="77777777" w:rsidR="009D12AF" w:rsidRDefault="00000000">
            <w:pPr>
              <w:spacing w:line="240" w:lineRule="auto"/>
              <w:ind w:firstLineChars="0" w:firstLine="0"/>
              <w:jc w:val="center"/>
              <w:rPr>
                <w:sz w:val="21"/>
                <w:szCs w:val="21"/>
              </w:rPr>
            </w:pPr>
            <w:r>
              <w:rPr>
                <w:rFonts w:hint="eastAsia"/>
                <w:sz w:val="21"/>
                <w:szCs w:val="21"/>
              </w:rPr>
              <w:t>石方</w:t>
            </w:r>
          </w:p>
        </w:tc>
        <w:tc>
          <w:tcPr>
            <w:tcW w:w="774" w:type="dxa"/>
            <w:tcBorders>
              <w:top w:val="single" w:sz="4" w:space="0" w:color="000000"/>
              <w:tl2br w:val="nil"/>
              <w:tr2bl w:val="nil"/>
            </w:tcBorders>
            <w:vAlign w:val="center"/>
          </w:tcPr>
          <w:p w14:paraId="1EC163FE" w14:textId="77777777" w:rsidR="009D12AF" w:rsidRDefault="00000000">
            <w:pPr>
              <w:spacing w:line="240" w:lineRule="auto"/>
              <w:ind w:firstLineChars="0" w:firstLine="0"/>
              <w:jc w:val="center"/>
              <w:rPr>
                <w:sz w:val="21"/>
                <w:szCs w:val="21"/>
              </w:rPr>
            </w:pPr>
            <w:r>
              <w:rPr>
                <w:rFonts w:hint="eastAsia"/>
                <w:sz w:val="21"/>
                <w:szCs w:val="21"/>
              </w:rPr>
              <w:t>合计</w:t>
            </w:r>
          </w:p>
        </w:tc>
        <w:tc>
          <w:tcPr>
            <w:tcW w:w="774" w:type="dxa"/>
            <w:vMerge/>
            <w:tcBorders>
              <w:top w:val="single" w:sz="4" w:space="0" w:color="000000"/>
              <w:tl2br w:val="nil"/>
              <w:tr2bl w:val="nil"/>
            </w:tcBorders>
            <w:vAlign w:val="center"/>
          </w:tcPr>
          <w:p w14:paraId="7C25C529" w14:textId="77777777" w:rsidR="009D12AF" w:rsidRDefault="009D12AF">
            <w:pPr>
              <w:spacing w:line="240" w:lineRule="auto"/>
              <w:ind w:firstLineChars="0" w:firstLine="0"/>
              <w:jc w:val="center"/>
              <w:rPr>
                <w:sz w:val="21"/>
                <w:szCs w:val="21"/>
              </w:rPr>
            </w:pPr>
          </w:p>
        </w:tc>
        <w:tc>
          <w:tcPr>
            <w:tcW w:w="775" w:type="dxa"/>
            <w:tcBorders>
              <w:top w:val="single" w:sz="4" w:space="0" w:color="000000"/>
              <w:tl2br w:val="nil"/>
              <w:tr2bl w:val="nil"/>
            </w:tcBorders>
            <w:vAlign w:val="center"/>
          </w:tcPr>
          <w:p w14:paraId="5009B772" w14:textId="77777777" w:rsidR="009D12AF" w:rsidRDefault="00000000">
            <w:pPr>
              <w:spacing w:line="240" w:lineRule="auto"/>
              <w:ind w:firstLineChars="0" w:firstLine="0"/>
              <w:jc w:val="center"/>
              <w:rPr>
                <w:sz w:val="21"/>
                <w:szCs w:val="21"/>
              </w:rPr>
            </w:pPr>
            <w:r>
              <w:rPr>
                <w:rFonts w:hint="eastAsia"/>
                <w:sz w:val="21"/>
                <w:szCs w:val="21"/>
              </w:rPr>
              <w:t>土方</w:t>
            </w:r>
          </w:p>
        </w:tc>
        <w:tc>
          <w:tcPr>
            <w:tcW w:w="775" w:type="dxa"/>
            <w:tcBorders>
              <w:top w:val="single" w:sz="4" w:space="0" w:color="000000"/>
              <w:tl2br w:val="nil"/>
              <w:tr2bl w:val="nil"/>
            </w:tcBorders>
            <w:vAlign w:val="center"/>
          </w:tcPr>
          <w:p w14:paraId="1FCF6C81" w14:textId="77777777" w:rsidR="009D12AF" w:rsidRDefault="00000000">
            <w:pPr>
              <w:spacing w:line="240" w:lineRule="auto"/>
              <w:ind w:firstLineChars="0" w:firstLine="0"/>
              <w:jc w:val="center"/>
              <w:rPr>
                <w:sz w:val="21"/>
                <w:szCs w:val="21"/>
              </w:rPr>
            </w:pPr>
            <w:r>
              <w:rPr>
                <w:rFonts w:hint="eastAsia"/>
                <w:sz w:val="21"/>
                <w:szCs w:val="21"/>
              </w:rPr>
              <w:t>淤泥</w:t>
            </w:r>
          </w:p>
        </w:tc>
        <w:tc>
          <w:tcPr>
            <w:tcW w:w="775" w:type="dxa"/>
            <w:tcBorders>
              <w:top w:val="single" w:sz="4" w:space="0" w:color="000000"/>
              <w:tl2br w:val="nil"/>
              <w:tr2bl w:val="nil"/>
            </w:tcBorders>
            <w:vAlign w:val="center"/>
          </w:tcPr>
          <w:p w14:paraId="73824D67" w14:textId="77777777" w:rsidR="009D12AF" w:rsidRDefault="00000000">
            <w:pPr>
              <w:spacing w:line="240" w:lineRule="auto"/>
              <w:ind w:firstLineChars="0" w:firstLine="0"/>
              <w:jc w:val="center"/>
              <w:rPr>
                <w:sz w:val="21"/>
                <w:szCs w:val="21"/>
              </w:rPr>
            </w:pPr>
            <w:r>
              <w:rPr>
                <w:rFonts w:hint="eastAsia"/>
                <w:sz w:val="21"/>
                <w:szCs w:val="21"/>
              </w:rPr>
              <w:t>合计</w:t>
            </w:r>
          </w:p>
        </w:tc>
      </w:tr>
      <w:tr w:rsidR="009D12AF" w14:paraId="0A433B29" w14:textId="77777777">
        <w:trPr>
          <w:jc w:val="center"/>
        </w:trPr>
        <w:tc>
          <w:tcPr>
            <w:tcW w:w="774" w:type="dxa"/>
            <w:tcBorders>
              <w:tl2br w:val="nil"/>
              <w:tr2bl w:val="nil"/>
            </w:tcBorders>
            <w:vAlign w:val="center"/>
          </w:tcPr>
          <w:p w14:paraId="02C17D08" w14:textId="77777777" w:rsidR="009D12AF" w:rsidRDefault="00000000">
            <w:pPr>
              <w:spacing w:line="240" w:lineRule="auto"/>
              <w:ind w:firstLineChars="0" w:firstLine="0"/>
              <w:jc w:val="center"/>
              <w:rPr>
                <w:sz w:val="21"/>
                <w:szCs w:val="21"/>
              </w:rPr>
            </w:pPr>
            <w:r>
              <w:rPr>
                <w:rFonts w:hint="eastAsia"/>
                <w:sz w:val="21"/>
                <w:szCs w:val="21"/>
              </w:rPr>
              <w:t>清淤工程</w:t>
            </w:r>
          </w:p>
        </w:tc>
        <w:tc>
          <w:tcPr>
            <w:tcW w:w="774" w:type="dxa"/>
            <w:tcBorders>
              <w:tl2br w:val="nil"/>
              <w:tr2bl w:val="nil"/>
            </w:tcBorders>
            <w:vAlign w:val="center"/>
          </w:tcPr>
          <w:p w14:paraId="53E651B4" w14:textId="77777777" w:rsidR="009D12AF" w:rsidRDefault="00000000">
            <w:pPr>
              <w:spacing w:line="240" w:lineRule="auto"/>
              <w:ind w:firstLineChars="0" w:firstLine="0"/>
              <w:jc w:val="center"/>
              <w:rPr>
                <w:sz w:val="21"/>
                <w:szCs w:val="21"/>
              </w:rPr>
            </w:pPr>
            <w:r>
              <w:rPr>
                <w:rFonts w:hint="eastAsia"/>
                <w:sz w:val="21"/>
                <w:szCs w:val="21"/>
              </w:rPr>
              <w:t>/</w:t>
            </w:r>
          </w:p>
        </w:tc>
        <w:tc>
          <w:tcPr>
            <w:tcW w:w="774" w:type="dxa"/>
            <w:tcBorders>
              <w:tl2br w:val="nil"/>
              <w:tr2bl w:val="nil"/>
            </w:tcBorders>
            <w:vAlign w:val="center"/>
          </w:tcPr>
          <w:p w14:paraId="45D95044" w14:textId="77777777" w:rsidR="009D12AF" w:rsidRDefault="00000000">
            <w:pPr>
              <w:spacing w:line="240" w:lineRule="auto"/>
              <w:ind w:firstLineChars="0" w:firstLine="0"/>
              <w:jc w:val="center"/>
              <w:rPr>
                <w:sz w:val="21"/>
                <w:szCs w:val="21"/>
              </w:rPr>
            </w:pPr>
            <w:r>
              <w:rPr>
                <w:rFonts w:hint="eastAsia"/>
                <w:sz w:val="21"/>
                <w:szCs w:val="21"/>
              </w:rPr>
              <w:t>600</w:t>
            </w:r>
            <w:r>
              <w:rPr>
                <w:rFonts w:hint="eastAsia"/>
                <w:sz w:val="21"/>
                <w:szCs w:val="21"/>
              </w:rPr>
              <w:t>万</w:t>
            </w:r>
            <w:r>
              <w:rPr>
                <w:rFonts w:hint="eastAsia"/>
                <w:sz w:val="21"/>
                <w:szCs w:val="21"/>
              </w:rPr>
              <w:t>m</w:t>
            </w:r>
            <w:r>
              <w:rPr>
                <w:rFonts w:hint="eastAsia"/>
                <w:sz w:val="21"/>
                <w:szCs w:val="21"/>
                <w:vertAlign w:val="superscript"/>
              </w:rPr>
              <w:t>3</w:t>
            </w:r>
          </w:p>
        </w:tc>
        <w:tc>
          <w:tcPr>
            <w:tcW w:w="774" w:type="dxa"/>
            <w:tcBorders>
              <w:tl2br w:val="nil"/>
              <w:tr2bl w:val="nil"/>
            </w:tcBorders>
            <w:vAlign w:val="center"/>
          </w:tcPr>
          <w:p w14:paraId="3CE9246F" w14:textId="77777777" w:rsidR="009D12AF" w:rsidRDefault="00000000">
            <w:pPr>
              <w:spacing w:line="240" w:lineRule="auto"/>
              <w:ind w:firstLineChars="0" w:firstLine="0"/>
              <w:jc w:val="center"/>
              <w:rPr>
                <w:sz w:val="21"/>
                <w:szCs w:val="21"/>
              </w:rPr>
            </w:pPr>
            <w:r>
              <w:rPr>
                <w:rFonts w:hint="eastAsia"/>
                <w:sz w:val="21"/>
                <w:szCs w:val="21"/>
              </w:rPr>
              <w:t>600</w:t>
            </w:r>
            <w:r>
              <w:rPr>
                <w:rFonts w:hint="eastAsia"/>
                <w:sz w:val="21"/>
                <w:szCs w:val="21"/>
              </w:rPr>
              <w:t>万</w:t>
            </w:r>
            <w:r>
              <w:rPr>
                <w:rFonts w:hint="eastAsia"/>
                <w:sz w:val="21"/>
                <w:szCs w:val="21"/>
              </w:rPr>
              <w:t>m</w:t>
            </w:r>
            <w:r>
              <w:rPr>
                <w:rFonts w:hint="eastAsia"/>
                <w:sz w:val="21"/>
                <w:szCs w:val="21"/>
                <w:vertAlign w:val="superscript"/>
              </w:rPr>
              <w:t>3</w:t>
            </w:r>
          </w:p>
        </w:tc>
        <w:tc>
          <w:tcPr>
            <w:tcW w:w="774" w:type="dxa"/>
            <w:tcBorders>
              <w:tl2br w:val="nil"/>
              <w:tr2bl w:val="nil"/>
            </w:tcBorders>
            <w:vAlign w:val="center"/>
          </w:tcPr>
          <w:p w14:paraId="57278719" w14:textId="77777777" w:rsidR="009D12AF" w:rsidRDefault="00000000">
            <w:pPr>
              <w:spacing w:line="240" w:lineRule="auto"/>
              <w:ind w:firstLineChars="0" w:firstLine="0"/>
              <w:jc w:val="center"/>
              <w:rPr>
                <w:sz w:val="21"/>
                <w:szCs w:val="21"/>
              </w:rPr>
            </w:pPr>
            <w:r>
              <w:rPr>
                <w:rFonts w:hint="eastAsia"/>
                <w:sz w:val="21"/>
                <w:szCs w:val="21"/>
              </w:rPr>
              <w:t>/</w:t>
            </w:r>
          </w:p>
        </w:tc>
        <w:tc>
          <w:tcPr>
            <w:tcW w:w="774" w:type="dxa"/>
            <w:tcBorders>
              <w:tl2br w:val="nil"/>
              <w:tr2bl w:val="nil"/>
            </w:tcBorders>
            <w:vAlign w:val="center"/>
          </w:tcPr>
          <w:p w14:paraId="22769C95" w14:textId="77777777" w:rsidR="009D12AF" w:rsidRDefault="00000000">
            <w:pPr>
              <w:spacing w:line="240" w:lineRule="auto"/>
              <w:ind w:firstLineChars="0" w:firstLine="0"/>
              <w:jc w:val="center"/>
              <w:rPr>
                <w:sz w:val="21"/>
                <w:szCs w:val="21"/>
              </w:rPr>
            </w:pPr>
            <w:r>
              <w:rPr>
                <w:rFonts w:hint="eastAsia"/>
                <w:sz w:val="21"/>
                <w:szCs w:val="21"/>
              </w:rPr>
              <w:t>/</w:t>
            </w:r>
          </w:p>
        </w:tc>
        <w:tc>
          <w:tcPr>
            <w:tcW w:w="774" w:type="dxa"/>
            <w:tcBorders>
              <w:tl2br w:val="nil"/>
              <w:tr2bl w:val="nil"/>
            </w:tcBorders>
            <w:vAlign w:val="center"/>
          </w:tcPr>
          <w:p w14:paraId="3B61B315" w14:textId="77777777" w:rsidR="009D12AF" w:rsidRDefault="00000000">
            <w:pPr>
              <w:spacing w:line="240" w:lineRule="auto"/>
              <w:ind w:firstLineChars="0" w:firstLine="0"/>
              <w:jc w:val="center"/>
              <w:rPr>
                <w:sz w:val="21"/>
                <w:szCs w:val="21"/>
              </w:rPr>
            </w:pPr>
            <w:r>
              <w:rPr>
                <w:rFonts w:hint="eastAsia"/>
                <w:sz w:val="21"/>
                <w:szCs w:val="21"/>
              </w:rPr>
              <w:t>/</w:t>
            </w:r>
          </w:p>
        </w:tc>
        <w:tc>
          <w:tcPr>
            <w:tcW w:w="774" w:type="dxa"/>
            <w:tcBorders>
              <w:tl2br w:val="nil"/>
              <w:tr2bl w:val="nil"/>
            </w:tcBorders>
            <w:vAlign w:val="center"/>
          </w:tcPr>
          <w:p w14:paraId="2E1FF3E3" w14:textId="77777777" w:rsidR="009D12AF" w:rsidRDefault="00000000">
            <w:pPr>
              <w:spacing w:line="240" w:lineRule="auto"/>
              <w:ind w:firstLineChars="0" w:firstLine="0"/>
              <w:jc w:val="center"/>
              <w:rPr>
                <w:sz w:val="21"/>
                <w:szCs w:val="21"/>
              </w:rPr>
            </w:pPr>
            <w:r>
              <w:rPr>
                <w:rFonts w:hint="eastAsia"/>
                <w:sz w:val="21"/>
                <w:szCs w:val="21"/>
              </w:rPr>
              <w:t>/</w:t>
            </w:r>
          </w:p>
        </w:tc>
        <w:tc>
          <w:tcPr>
            <w:tcW w:w="775" w:type="dxa"/>
            <w:tcBorders>
              <w:tl2br w:val="nil"/>
              <w:tr2bl w:val="nil"/>
            </w:tcBorders>
            <w:vAlign w:val="center"/>
          </w:tcPr>
          <w:p w14:paraId="1ADC1B57" w14:textId="77777777" w:rsidR="009D12AF" w:rsidRDefault="00000000">
            <w:pPr>
              <w:spacing w:line="240" w:lineRule="auto"/>
              <w:ind w:firstLineChars="0" w:firstLine="0"/>
              <w:jc w:val="center"/>
              <w:rPr>
                <w:sz w:val="21"/>
                <w:szCs w:val="21"/>
              </w:rPr>
            </w:pPr>
            <w:r>
              <w:rPr>
                <w:rFonts w:hint="eastAsia"/>
                <w:sz w:val="21"/>
                <w:szCs w:val="21"/>
              </w:rPr>
              <w:t>/</w:t>
            </w:r>
          </w:p>
        </w:tc>
        <w:tc>
          <w:tcPr>
            <w:tcW w:w="775" w:type="dxa"/>
            <w:tcBorders>
              <w:tl2br w:val="nil"/>
              <w:tr2bl w:val="nil"/>
            </w:tcBorders>
            <w:vAlign w:val="center"/>
          </w:tcPr>
          <w:p w14:paraId="0911A436" w14:textId="77777777" w:rsidR="009D12AF" w:rsidRDefault="00000000">
            <w:pPr>
              <w:spacing w:line="240" w:lineRule="auto"/>
              <w:ind w:firstLineChars="0" w:firstLine="0"/>
              <w:jc w:val="center"/>
              <w:rPr>
                <w:sz w:val="21"/>
                <w:szCs w:val="21"/>
              </w:rPr>
            </w:pPr>
            <w:r>
              <w:rPr>
                <w:rFonts w:hint="eastAsia"/>
                <w:sz w:val="21"/>
                <w:szCs w:val="21"/>
              </w:rPr>
              <w:t>600</w:t>
            </w:r>
            <w:r>
              <w:rPr>
                <w:rFonts w:hint="eastAsia"/>
                <w:sz w:val="21"/>
                <w:szCs w:val="21"/>
              </w:rPr>
              <w:t>万</w:t>
            </w:r>
            <w:r>
              <w:rPr>
                <w:rFonts w:hint="eastAsia"/>
                <w:sz w:val="21"/>
                <w:szCs w:val="21"/>
              </w:rPr>
              <w:t>m</w:t>
            </w:r>
            <w:r>
              <w:rPr>
                <w:rFonts w:hint="eastAsia"/>
                <w:sz w:val="21"/>
                <w:szCs w:val="21"/>
                <w:vertAlign w:val="superscript"/>
              </w:rPr>
              <w:t>3</w:t>
            </w:r>
          </w:p>
        </w:tc>
        <w:tc>
          <w:tcPr>
            <w:tcW w:w="775" w:type="dxa"/>
            <w:tcBorders>
              <w:tl2br w:val="nil"/>
              <w:tr2bl w:val="nil"/>
            </w:tcBorders>
            <w:vAlign w:val="center"/>
          </w:tcPr>
          <w:p w14:paraId="04D569A9" w14:textId="77777777" w:rsidR="009D12AF" w:rsidRDefault="00000000">
            <w:pPr>
              <w:spacing w:line="240" w:lineRule="auto"/>
              <w:ind w:firstLineChars="0" w:firstLine="0"/>
              <w:jc w:val="center"/>
              <w:rPr>
                <w:sz w:val="21"/>
                <w:szCs w:val="21"/>
              </w:rPr>
            </w:pPr>
            <w:r>
              <w:rPr>
                <w:rFonts w:hint="eastAsia"/>
                <w:sz w:val="21"/>
                <w:szCs w:val="21"/>
              </w:rPr>
              <w:t>600</w:t>
            </w:r>
            <w:r>
              <w:rPr>
                <w:rFonts w:hint="eastAsia"/>
                <w:sz w:val="21"/>
                <w:szCs w:val="21"/>
              </w:rPr>
              <w:t>万</w:t>
            </w:r>
            <w:r>
              <w:rPr>
                <w:rFonts w:hint="eastAsia"/>
                <w:sz w:val="21"/>
                <w:szCs w:val="21"/>
              </w:rPr>
              <w:t>m</w:t>
            </w:r>
            <w:r>
              <w:rPr>
                <w:rFonts w:hint="eastAsia"/>
                <w:sz w:val="21"/>
                <w:szCs w:val="21"/>
                <w:vertAlign w:val="superscript"/>
              </w:rPr>
              <w:t>3</w:t>
            </w:r>
          </w:p>
        </w:tc>
      </w:tr>
      <w:tr w:rsidR="009D12AF" w14:paraId="74B34661" w14:textId="77777777">
        <w:trPr>
          <w:jc w:val="center"/>
        </w:trPr>
        <w:tc>
          <w:tcPr>
            <w:tcW w:w="774" w:type="dxa"/>
            <w:tcBorders>
              <w:tl2br w:val="nil"/>
              <w:tr2bl w:val="nil"/>
            </w:tcBorders>
            <w:vAlign w:val="center"/>
          </w:tcPr>
          <w:p w14:paraId="5041414D" w14:textId="77777777" w:rsidR="009D12AF" w:rsidRDefault="00000000">
            <w:pPr>
              <w:spacing w:line="240" w:lineRule="auto"/>
              <w:ind w:firstLineChars="0" w:firstLine="0"/>
              <w:jc w:val="center"/>
              <w:rPr>
                <w:sz w:val="21"/>
                <w:szCs w:val="21"/>
              </w:rPr>
            </w:pPr>
            <w:r>
              <w:rPr>
                <w:rFonts w:hint="eastAsia"/>
                <w:sz w:val="21"/>
                <w:szCs w:val="21"/>
              </w:rPr>
              <w:t>施工临时设施</w:t>
            </w:r>
          </w:p>
        </w:tc>
        <w:tc>
          <w:tcPr>
            <w:tcW w:w="774" w:type="dxa"/>
            <w:tcBorders>
              <w:tl2br w:val="nil"/>
              <w:tr2bl w:val="nil"/>
            </w:tcBorders>
            <w:vAlign w:val="center"/>
          </w:tcPr>
          <w:p w14:paraId="727303A8" w14:textId="77777777" w:rsidR="009D12AF" w:rsidRDefault="00000000">
            <w:pPr>
              <w:spacing w:line="240" w:lineRule="auto"/>
              <w:ind w:firstLineChars="0" w:firstLine="0"/>
              <w:jc w:val="center"/>
              <w:rPr>
                <w:sz w:val="21"/>
                <w:szCs w:val="21"/>
              </w:rPr>
            </w:pPr>
            <w:r>
              <w:rPr>
                <w:rFonts w:hint="eastAsia"/>
                <w:sz w:val="21"/>
                <w:szCs w:val="21"/>
              </w:rPr>
              <w:t>139345.11m</w:t>
            </w:r>
            <w:r>
              <w:rPr>
                <w:rFonts w:hint="eastAsia"/>
                <w:sz w:val="21"/>
                <w:szCs w:val="21"/>
                <w:vertAlign w:val="superscript"/>
              </w:rPr>
              <w:t>3</w:t>
            </w:r>
          </w:p>
        </w:tc>
        <w:tc>
          <w:tcPr>
            <w:tcW w:w="774" w:type="dxa"/>
            <w:tcBorders>
              <w:tl2br w:val="nil"/>
              <w:tr2bl w:val="nil"/>
            </w:tcBorders>
            <w:vAlign w:val="center"/>
          </w:tcPr>
          <w:p w14:paraId="41603852" w14:textId="77777777" w:rsidR="009D12AF" w:rsidRDefault="00000000">
            <w:pPr>
              <w:spacing w:line="240" w:lineRule="auto"/>
              <w:ind w:firstLineChars="0" w:firstLine="0"/>
              <w:jc w:val="center"/>
              <w:rPr>
                <w:sz w:val="21"/>
                <w:szCs w:val="21"/>
              </w:rPr>
            </w:pPr>
            <w:r>
              <w:rPr>
                <w:rFonts w:hint="eastAsia"/>
                <w:sz w:val="21"/>
                <w:szCs w:val="21"/>
              </w:rPr>
              <w:t>/</w:t>
            </w:r>
          </w:p>
        </w:tc>
        <w:tc>
          <w:tcPr>
            <w:tcW w:w="774" w:type="dxa"/>
            <w:tcBorders>
              <w:tl2br w:val="nil"/>
              <w:tr2bl w:val="nil"/>
            </w:tcBorders>
            <w:vAlign w:val="center"/>
          </w:tcPr>
          <w:p w14:paraId="235D7809" w14:textId="77777777" w:rsidR="009D12AF" w:rsidRDefault="00000000">
            <w:pPr>
              <w:spacing w:line="240" w:lineRule="auto"/>
              <w:ind w:firstLineChars="0" w:firstLine="0"/>
              <w:jc w:val="center"/>
              <w:rPr>
                <w:sz w:val="21"/>
                <w:szCs w:val="21"/>
              </w:rPr>
            </w:pPr>
            <w:r>
              <w:rPr>
                <w:rFonts w:hint="eastAsia"/>
                <w:sz w:val="21"/>
                <w:szCs w:val="21"/>
              </w:rPr>
              <w:t>139345.11m</w:t>
            </w:r>
            <w:r>
              <w:rPr>
                <w:rFonts w:hint="eastAsia"/>
                <w:sz w:val="21"/>
                <w:szCs w:val="21"/>
                <w:vertAlign w:val="superscript"/>
              </w:rPr>
              <w:t>3</w:t>
            </w:r>
          </w:p>
        </w:tc>
        <w:tc>
          <w:tcPr>
            <w:tcW w:w="774" w:type="dxa"/>
            <w:tcBorders>
              <w:tl2br w:val="nil"/>
              <w:tr2bl w:val="nil"/>
            </w:tcBorders>
            <w:vAlign w:val="center"/>
          </w:tcPr>
          <w:p w14:paraId="53D2A75E" w14:textId="77777777" w:rsidR="009D12AF" w:rsidRDefault="00000000">
            <w:pPr>
              <w:spacing w:line="240" w:lineRule="auto"/>
              <w:ind w:firstLineChars="0" w:firstLine="0"/>
              <w:jc w:val="center"/>
              <w:rPr>
                <w:sz w:val="21"/>
                <w:szCs w:val="21"/>
              </w:rPr>
            </w:pPr>
            <w:r>
              <w:rPr>
                <w:rFonts w:hint="eastAsia"/>
                <w:sz w:val="21"/>
                <w:szCs w:val="21"/>
              </w:rPr>
              <w:t>139345.11m</w:t>
            </w:r>
            <w:r>
              <w:rPr>
                <w:rFonts w:hint="eastAsia"/>
                <w:sz w:val="21"/>
                <w:szCs w:val="21"/>
                <w:vertAlign w:val="superscript"/>
              </w:rPr>
              <w:t>3</w:t>
            </w:r>
          </w:p>
        </w:tc>
        <w:tc>
          <w:tcPr>
            <w:tcW w:w="774" w:type="dxa"/>
            <w:tcBorders>
              <w:tl2br w:val="nil"/>
              <w:tr2bl w:val="nil"/>
            </w:tcBorders>
            <w:vAlign w:val="center"/>
          </w:tcPr>
          <w:p w14:paraId="536BA088" w14:textId="77777777" w:rsidR="009D12AF" w:rsidRDefault="00000000">
            <w:pPr>
              <w:spacing w:line="240" w:lineRule="auto"/>
              <w:ind w:firstLineChars="0" w:firstLine="0"/>
              <w:jc w:val="center"/>
              <w:rPr>
                <w:sz w:val="21"/>
                <w:szCs w:val="21"/>
              </w:rPr>
            </w:pPr>
            <w:r>
              <w:rPr>
                <w:rFonts w:hint="eastAsia"/>
                <w:sz w:val="21"/>
                <w:szCs w:val="21"/>
              </w:rPr>
              <w:t>/</w:t>
            </w:r>
          </w:p>
        </w:tc>
        <w:tc>
          <w:tcPr>
            <w:tcW w:w="774" w:type="dxa"/>
            <w:tcBorders>
              <w:tl2br w:val="nil"/>
              <w:tr2bl w:val="nil"/>
            </w:tcBorders>
            <w:vAlign w:val="center"/>
          </w:tcPr>
          <w:p w14:paraId="62FA6403" w14:textId="77777777" w:rsidR="009D12AF" w:rsidRDefault="00000000">
            <w:pPr>
              <w:spacing w:line="240" w:lineRule="auto"/>
              <w:ind w:firstLineChars="0" w:firstLine="0"/>
              <w:jc w:val="center"/>
              <w:rPr>
                <w:sz w:val="21"/>
                <w:szCs w:val="21"/>
              </w:rPr>
            </w:pPr>
            <w:r>
              <w:rPr>
                <w:rFonts w:hint="eastAsia"/>
                <w:sz w:val="21"/>
                <w:szCs w:val="21"/>
              </w:rPr>
              <w:t>/</w:t>
            </w:r>
          </w:p>
        </w:tc>
        <w:tc>
          <w:tcPr>
            <w:tcW w:w="774" w:type="dxa"/>
            <w:tcBorders>
              <w:tl2br w:val="nil"/>
              <w:tr2bl w:val="nil"/>
            </w:tcBorders>
            <w:vAlign w:val="center"/>
          </w:tcPr>
          <w:p w14:paraId="3ADBA26E" w14:textId="77777777" w:rsidR="009D12AF" w:rsidRDefault="00000000">
            <w:pPr>
              <w:spacing w:line="240" w:lineRule="auto"/>
              <w:ind w:firstLineChars="0" w:firstLine="0"/>
              <w:jc w:val="center"/>
              <w:rPr>
                <w:sz w:val="21"/>
                <w:szCs w:val="21"/>
              </w:rPr>
            </w:pPr>
            <w:r>
              <w:rPr>
                <w:rFonts w:hint="eastAsia"/>
                <w:sz w:val="21"/>
                <w:szCs w:val="21"/>
              </w:rPr>
              <w:t>/</w:t>
            </w:r>
          </w:p>
        </w:tc>
        <w:tc>
          <w:tcPr>
            <w:tcW w:w="775" w:type="dxa"/>
            <w:tcBorders>
              <w:tl2br w:val="nil"/>
              <w:tr2bl w:val="nil"/>
            </w:tcBorders>
            <w:vAlign w:val="center"/>
          </w:tcPr>
          <w:p w14:paraId="16F3198D" w14:textId="77777777" w:rsidR="009D12AF" w:rsidRDefault="00000000">
            <w:pPr>
              <w:spacing w:line="240" w:lineRule="auto"/>
              <w:ind w:firstLineChars="0" w:firstLine="0"/>
              <w:jc w:val="center"/>
              <w:rPr>
                <w:sz w:val="21"/>
                <w:szCs w:val="21"/>
              </w:rPr>
            </w:pPr>
            <w:r>
              <w:rPr>
                <w:rFonts w:hint="eastAsia"/>
                <w:sz w:val="21"/>
                <w:szCs w:val="21"/>
              </w:rPr>
              <w:t>/</w:t>
            </w:r>
          </w:p>
        </w:tc>
        <w:tc>
          <w:tcPr>
            <w:tcW w:w="775" w:type="dxa"/>
            <w:tcBorders>
              <w:tl2br w:val="nil"/>
              <w:tr2bl w:val="nil"/>
            </w:tcBorders>
            <w:vAlign w:val="center"/>
          </w:tcPr>
          <w:p w14:paraId="0727E38F" w14:textId="77777777" w:rsidR="009D12AF" w:rsidRDefault="00000000">
            <w:pPr>
              <w:spacing w:line="240" w:lineRule="auto"/>
              <w:ind w:firstLineChars="0" w:firstLine="0"/>
              <w:jc w:val="center"/>
              <w:rPr>
                <w:sz w:val="21"/>
                <w:szCs w:val="21"/>
              </w:rPr>
            </w:pPr>
            <w:r>
              <w:rPr>
                <w:rFonts w:hint="eastAsia"/>
                <w:sz w:val="21"/>
                <w:szCs w:val="21"/>
              </w:rPr>
              <w:t>/</w:t>
            </w:r>
          </w:p>
        </w:tc>
        <w:tc>
          <w:tcPr>
            <w:tcW w:w="775" w:type="dxa"/>
            <w:tcBorders>
              <w:tl2br w:val="nil"/>
              <w:tr2bl w:val="nil"/>
            </w:tcBorders>
            <w:vAlign w:val="center"/>
          </w:tcPr>
          <w:p w14:paraId="2051944E" w14:textId="77777777" w:rsidR="009D12AF" w:rsidRDefault="00000000">
            <w:pPr>
              <w:spacing w:line="240" w:lineRule="auto"/>
              <w:ind w:firstLineChars="0" w:firstLine="0"/>
              <w:jc w:val="center"/>
              <w:rPr>
                <w:sz w:val="21"/>
                <w:szCs w:val="21"/>
              </w:rPr>
            </w:pPr>
            <w:r>
              <w:rPr>
                <w:rFonts w:hint="eastAsia"/>
                <w:sz w:val="21"/>
                <w:szCs w:val="21"/>
              </w:rPr>
              <w:t>/</w:t>
            </w:r>
          </w:p>
        </w:tc>
      </w:tr>
      <w:tr w:rsidR="009D12AF" w14:paraId="299985E2" w14:textId="77777777">
        <w:trPr>
          <w:jc w:val="center"/>
        </w:trPr>
        <w:tc>
          <w:tcPr>
            <w:tcW w:w="774" w:type="dxa"/>
            <w:tcBorders>
              <w:tl2br w:val="nil"/>
              <w:tr2bl w:val="nil"/>
            </w:tcBorders>
            <w:vAlign w:val="center"/>
          </w:tcPr>
          <w:p w14:paraId="1C9FF379" w14:textId="77777777" w:rsidR="009D12AF" w:rsidRDefault="00000000">
            <w:pPr>
              <w:spacing w:line="240" w:lineRule="auto"/>
              <w:ind w:firstLineChars="0" w:firstLine="0"/>
              <w:jc w:val="center"/>
              <w:rPr>
                <w:sz w:val="21"/>
                <w:szCs w:val="21"/>
              </w:rPr>
            </w:pPr>
            <w:r>
              <w:rPr>
                <w:rFonts w:hint="eastAsia"/>
                <w:sz w:val="21"/>
                <w:szCs w:val="21"/>
              </w:rPr>
              <w:t>合计</w:t>
            </w:r>
          </w:p>
        </w:tc>
        <w:tc>
          <w:tcPr>
            <w:tcW w:w="774" w:type="dxa"/>
            <w:tcBorders>
              <w:tl2br w:val="nil"/>
              <w:tr2bl w:val="nil"/>
            </w:tcBorders>
            <w:vAlign w:val="center"/>
          </w:tcPr>
          <w:p w14:paraId="3F4C22BA" w14:textId="77777777" w:rsidR="009D12AF" w:rsidRDefault="00000000">
            <w:pPr>
              <w:spacing w:line="240" w:lineRule="auto"/>
              <w:ind w:firstLineChars="0" w:firstLine="0"/>
              <w:jc w:val="center"/>
              <w:rPr>
                <w:sz w:val="21"/>
                <w:szCs w:val="21"/>
              </w:rPr>
            </w:pPr>
            <w:r>
              <w:rPr>
                <w:rFonts w:hint="eastAsia"/>
                <w:sz w:val="21"/>
                <w:szCs w:val="21"/>
              </w:rPr>
              <w:t>139345.11m</w:t>
            </w:r>
            <w:r>
              <w:rPr>
                <w:rFonts w:hint="eastAsia"/>
                <w:sz w:val="21"/>
                <w:szCs w:val="21"/>
                <w:vertAlign w:val="superscript"/>
              </w:rPr>
              <w:t>3</w:t>
            </w:r>
          </w:p>
        </w:tc>
        <w:tc>
          <w:tcPr>
            <w:tcW w:w="774" w:type="dxa"/>
            <w:tcBorders>
              <w:tl2br w:val="nil"/>
              <w:tr2bl w:val="nil"/>
            </w:tcBorders>
            <w:vAlign w:val="center"/>
          </w:tcPr>
          <w:p w14:paraId="66DD1521" w14:textId="77777777" w:rsidR="009D12AF" w:rsidRDefault="00000000">
            <w:pPr>
              <w:spacing w:line="240" w:lineRule="auto"/>
              <w:ind w:firstLineChars="0" w:firstLine="0"/>
              <w:jc w:val="center"/>
              <w:rPr>
                <w:sz w:val="21"/>
                <w:szCs w:val="21"/>
              </w:rPr>
            </w:pPr>
            <w:r>
              <w:rPr>
                <w:rFonts w:hint="eastAsia"/>
                <w:sz w:val="21"/>
                <w:szCs w:val="21"/>
              </w:rPr>
              <w:t>600</w:t>
            </w:r>
            <w:r>
              <w:rPr>
                <w:rFonts w:hint="eastAsia"/>
                <w:sz w:val="21"/>
                <w:szCs w:val="21"/>
              </w:rPr>
              <w:t>万</w:t>
            </w:r>
            <w:r>
              <w:rPr>
                <w:rFonts w:hint="eastAsia"/>
                <w:sz w:val="21"/>
                <w:szCs w:val="21"/>
              </w:rPr>
              <w:t>m</w:t>
            </w:r>
            <w:r>
              <w:rPr>
                <w:rFonts w:hint="eastAsia"/>
                <w:sz w:val="21"/>
                <w:szCs w:val="21"/>
                <w:vertAlign w:val="superscript"/>
              </w:rPr>
              <w:t>3</w:t>
            </w:r>
          </w:p>
        </w:tc>
        <w:tc>
          <w:tcPr>
            <w:tcW w:w="774" w:type="dxa"/>
            <w:tcBorders>
              <w:tl2br w:val="nil"/>
              <w:tr2bl w:val="nil"/>
            </w:tcBorders>
            <w:vAlign w:val="center"/>
          </w:tcPr>
          <w:p w14:paraId="4A8091D7" w14:textId="77777777" w:rsidR="009D12AF" w:rsidRDefault="00000000">
            <w:pPr>
              <w:spacing w:line="240" w:lineRule="auto"/>
              <w:ind w:firstLineChars="0" w:firstLine="0"/>
              <w:jc w:val="center"/>
              <w:rPr>
                <w:sz w:val="21"/>
                <w:szCs w:val="21"/>
              </w:rPr>
            </w:pPr>
            <w:r>
              <w:rPr>
                <w:rFonts w:hint="eastAsia"/>
                <w:sz w:val="21"/>
                <w:szCs w:val="21"/>
              </w:rPr>
              <w:t>613.934511</w:t>
            </w:r>
            <w:r>
              <w:rPr>
                <w:rFonts w:hint="eastAsia"/>
                <w:sz w:val="21"/>
                <w:szCs w:val="21"/>
              </w:rPr>
              <w:t>万</w:t>
            </w:r>
            <w:r>
              <w:rPr>
                <w:rFonts w:hint="eastAsia"/>
                <w:sz w:val="21"/>
                <w:szCs w:val="21"/>
              </w:rPr>
              <w:t>m</w:t>
            </w:r>
            <w:r>
              <w:rPr>
                <w:rFonts w:hint="eastAsia"/>
                <w:sz w:val="21"/>
                <w:szCs w:val="21"/>
                <w:vertAlign w:val="superscript"/>
              </w:rPr>
              <w:t>3</w:t>
            </w:r>
          </w:p>
        </w:tc>
        <w:tc>
          <w:tcPr>
            <w:tcW w:w="774" w:type="dxa"/>
            <w:tcBorders>
              <w:tl2br w:val="nil"/>
              <w:tr2bl w:val="nil"/>
            </w:tcBorders>
            <w:vAlign w:val="center"/>
          </w:tcPr>
          <w:p w14:paraId="4167D2CD" w14:textId="77777777" w:rsidR="009D12AF" w:rsidRDefault="00000000">
            <w:pPr>
              <w:spacing w:line="240" w:lineRule="auto"/>
              <w:ind w:firstLineChars="0" w:firstLine="0"/>
              <w:jc w:val="center"/>
              <w:rPr>
                <w:sz w:val="21"/>
                <w:szCs w:val="21"/>
              </w:rPr>
            </w:pPr>
            <w:r>
              <w:rPr>
                <w:rFonts w:hint="eastAsia"/>
                <w:sz w:val="21"/>
                <w:szCs w:val="21"/>
              </w:rPr>
              <w:t>139345.11m</w:t>
            </w:r>
            <w:r>
              <w:rPr>
                <w:rFonts w:hint="eastAsia"/>
                <w:sz w:val="21"/>
                <w:szCs w:val="21"/>
                <w:vertAlign w:val="superscript"/>
              </w:rPr>
              <w:t>3</w:t>
            </w:r>
          </w:p>
        </w:tc>
        <w:tc>
          <w:tcPr>
            <w:tcW w:w="774" w:type="dxa"/>
            <w:tcBorders>
              <w:tl2br w:val="nil"/>
              <w:tr2bl w:val="nil"/>
            </w:tcBorders>
            <w:vAlign w:val="center"/>
          </w:tcPr>
          <w:p w14:paraId="470ED950" w14:textId="77777777" w:rsidR="009D12AF" w:rsidRDefault="00000000">
            <w:pPr>
              <w:spacing w:line="240" w:lineRule="auto"/>
              <w:ind w:firstLineChars="0" w:firstLine="0"/>
              <w:jc w:val="center"/>
              <w:rPr>
                <w:sz w:val="21"/>
                <w:szCs w:val="21"/>
              </w:rPr>
            </w:pPr>
            <w:r>
              <w:rPr>
                <w:rFonts w:hint="eastAsia"/>
                <w:sz w:val="21"/>
                <w:szCs w:val="21"/>
              </w:rPr>
              <w:t>/</w:t>
            </w:r>
          </w:p>
        </w:tc>
        <w:tc>
          <w:tcPr>
            <w:tcW w:w="774" w:type="dxa"/>
            <w:tcBorders>
              <w:tl2br w:val="nil"/>
              <w:tr2bl w:val="nil"/>
            </w:tcBorders>
            <w:vAlign w:val="center"/>
          </w:tcPr>
          <w:p w14:paraId="1FB3BFE9" w14:textId="77777777" w:rsidR="009D12AF" w:rsidRDefault="00000000">
            <w:pPr>
              <w:spacing w:line="240" w:lineRule="auto"/>
              <w:ind w:firstLineChars="0" w:firstLine="0"/>
              <w:jc w:val="center"/>
              <w:rPr>
                <w:sz w:val="21"/>
                <w:szCs w:val="21"/>
              </w:rPr>
            </w:pPr>
            <w:r>
              <w:rPr>
                <w:rFonts w:hint="eastAsia"/>
                <w:sz w:val="21"/>
                <w:szCs w:val="21"/>
              </w:rPr>
              <w:t>/</w:t>
            </w:r>
          </w:p>
        </w:tc>
        <w:tc>
          <w:tcPr>
            <w:tcW w:w="774" w:type="dxa"/>
            <w:tcBorders>
              <w:tl2br w:val="nil"/>
              <w:tr2bl w:val="nil"/>
            </w:tcBorders>
            <w:vAlign w:val="center"/>
          </w:tcPr>
          <w:p w14:paraId="4DD60C0F" w14:textId="77777777" w:rsidR="009D12AF" w:rsidRDefault="00000000">
            <w:pPr>
              <w:spacing w:line="240" w:lineRule="auto"/>
              <w:ind w:firstLineChars="0" w:firstLine="0"/>
              <w:jc w:val="center"/>
              <w:rPr>
                <w:sz w:val="21"/>
                <w:szCs w:val="21"/>
              </w:rPr>
            </w:pPr>
            <w:r>
              <w:rPr>
                <w:rFonts w:hint="eastAsia"/>
                <w:sz w:val="21"/>
                <w:szCs w:val="21"/>
              </w:rPr>
              <w:t>/</w:t>
            </w:r>
          </w:p>
        </w:tc>
        <w:tc>
          <w:tcPr>
            <w:tcW w:w="775" w:type="dxa"/>
            <w:tcBorders>
              <w:tl2br w:val="nil"/>
              <w:tr2bl w:val="nil"/>
            </w:tcBorders>
            <w:vAlign w:val="center"/>
          </w:tcPr>
          <w:p w14:paraId="2799810E" w14:textId="77777777" w:rsidR="009D12AF" w:rsidRDefault="00000000">
            <w:pPr>
              <w:spacing w:line="240" w:lineRule="auto"/>
              <w:ind w:firstLineChars="0" w:firstLine="0"/>
              <w:jc w:val="center"/>
              <w:rPr>
                <w:sz w:val="21"/>
                <w:szCs w:val="21"/>
              </w:rPr>
            </w:pPr>
            <w:r>
              <w:rPr>
                <w:rFonts w:hint="eastAsia"/>
                <w:sz w:val="21"/>
                <w:szCs w:val="21"/>
              </w:rPr>
              <w:t>/</w:t>
            </w:r>
          </w:p>
        </w:tc>
        <w:tc>
          <w:tcPr>
            <w:tcW w:w="775" w:type="dxa"/>
            <w:tcBorders>
              <w:tl2br w:val="nil"/>
              <w:tr2bl w:val="nil"/>
            </w:tcBorders>
            <w:vAlign w:val="center"/>
          </w:tcPr>
          <w:p w14:paraId="46F8B540" w14:textId="77777777" w:rsidR="009D12AF" w:rsidRDefault="00000000">
            <w:pPr>
              <w:spacing w:line="240" w:lineRule="auto"/>
              <w:ind w:firstLineChars="0" w:firstLine="0"/>
              <w:jc w:val="center"/>
              <w:rPr>
                <w:sz w:val="21"/>
                <w:szCs w:val="21"/>
              </w:rPr>
            </w:pPr>
            <w:r>
              <w:rPr>
                <w:rFonts w:hint="eastAsia"/>
                <w:sz w:val="21"/>
                <w:szCs w:val="21"/>
              </w:rPr>
              <w:t>600</w:t>
            </w:r>
            <w:r>
              <w:rPr>
                <w:rFonts w:hint="eastAsia"/>
                <w:sz w:val="21"/>
                <w:szCs w:val="21"/>
              </w:rPr>
              <w:t>万</w:t>
            </w:r>
            <w:r>
              <w:rPr>
                <w:rFonts w:hint="eastAsia"/>
                <w:sz w:val="21"/>
                <w:szCs w:val="21"/>
              </w:rPr>
              <w:t>m</w:t>
            </w:r>
            <w:r>
              <w:rPr>
                <w:rFonts w:hint="eastAsia"/>
                <w:sz w:val="21"/>
                <w:szCs w:val="21"/>
                <w:vertAlign w:val="superscript"/>
              </w:rPr>
              <w:t>3</w:t>
            </w:r>
          </w:p>
        </w:tc>
        <w:tc>
          <w:tcPr>
            <w:tcW w:w="775" w:type="dxa"/>
            <w:tcBorders>
              <w:tl2br w:val="nil"/>
              <w:tr2bl w:val="nil"/>
            </w:tcBorders>
            <w:vAlign w:val="center"/>
          </w:tcPr>
          <w:p w14:paraId="4E4E36CF" w14:textId="77777777" w:rsidR="009D12AF" w:rsidRDefault="00000000">
            <w:pPr>
              <w:spacing w:line="240" w:lineRule="auto"/>
              <w:ind w:firstLineChars="0" w:firstLine="0"/>
              <w:jc w:val="center"/>
              <w:rPr>
                <w:sz w:val="21"/>
                <w:szCs w:val="21"/>
              </w:rPr>
            </w:pPr>
            <w:r>
              <w:rPr>
                <w:rFonts w:hint="eastAsia"/>
                <w:sz w:val="21"/>
                <w:szCs w:val="21"/>
              </w:rPr>
              <w:t>600</w:t>
            </w:r>
            <w:r>
              <w:rPr>
                <w:rFonts w:hint="eastAsia"/>
                <w:sz w:val="21"/>
                <w:szCs w:val="21"/>
              </w:rPr>
              <w:t>万</w:t>
            </w:r>
            <w:r>
              <w:rPr>
                <w:rFonts w:hint="eastAsia"/>
                <w:sz w:val="21"/>
                <w:szCs w:val="21"/>
              </w:rPr>
              <w:t>m</w:t>
            </w:r>
            <w:r>
              <w:rPr>
                <w:rFonts w:hint="eastAsia"/>
                <w:sz w:val="21"/>
                <w:szCs w:val="21"/>
                <w:vertAlign w:val="superscript"/>
              </w:rPr>
              <w:t>3</w:t>
            </w:r>
          </w:p>
        </w:tc>
      </w:tr>
    </w:tbl>
    <w:p w14:paraId="01B1EB0C" w14:textId="77777777" w:rsidR="009D12AF" w:rsidRDefault="00000000">
      <w:pPr>
        <w:widowControl/>
        <w:ind w:firstLine="480"/>
        <w:jc w:val="left"/>
      </w:pPr>
      <w:r>
        <w:rPr>
          <w:rFonts w:ascii="Times New Roman" w:eastAsia="宋体" w:hAnsi="Times New Roman" w:cs="Times New Roman"/>
          <w:color w:val="000000"/>
          <w:kern w:val="0"/>
          <w:lang w:bidi="ar"/>
        </w:rPr>
        <w:t>1</w:t>
      </w:r>
      <w:r>
        <w:rPr>
          <w:rFonts w:ascii="瀹嬩綋" w:eastAsia="瀹嬩綋" w:hAnsi="瀹嬩綋" w:cs="瀹嬩綋"/>
          <w:color w:val="000000"/>
          <w:kern w:val="0"/>
          <w:lang w:bidi="ar"/>
        </w:rPr>
        <w:t>）</w:t>
      </w:r>
      <w:r>
        <w:rPr>
          <w:rFonts w:ascii="瀹嬩綋" w:eastAsia="瀹嬩綋" w:hAnsi="瀹嬩綋" w:cs="瀹嬩綋" w:hint="eastAsia"/>
          <w:color w:val="000000"/>
          <w:kern w:val="0"/>
          <w:lang w:bidi="ar"/>
        </w:rPr>
        <w:t>临时施工区挖方量</w:t>
      </w:r>
      <w:r>
        <w:rPr>
          <w:rFonts w:ascii="瀹嬩綋" w:eastAsia="瀹嬩綋" w:hAnsi="瀹嬩綋" w:cs="瀹嬩綋"/>
          <w:color w:val="000000"/>
          <w:kern w:val="0"/>
          <w:lang w:bidi="ar"/>
        </w:rPr>
        <w:t xml:space="preserve"> </w:t>
      </w:r>
    </w:p>
    <w:p w14:paraId="2192EAD3" w14:textId="77777777" w:rsidR="009D12AF" w:rsidRDefault="00000000">
      <w:pPr>
        <w:widowControl/>
        <w:ind w:firstLine="480"/>
        <w:jc w:val="left"/>
      </w:pPr>
      <w:r>
        <w:rPr>
          <w:rFonts w:ascii="瀹嬩綋" w:eastAsia="瀹嬩綋" w:hAnsi="瀹嬩綋" w:cs="瀹嬩綋" w:hint="eastAsia"/>
          <w:color w:val="000000"/>
          <w:kern w:val="0"/>
          <w:lang w:bidi="ar"/>
        </w:rPr>
        <w:t>临时生产区挖方量为</w:t>
      </w:r>
      <w:r>
        <w:rPr>
          <w:rFonts w:ascii="Times New Roman" w:eastAsia="宋体" w:hAnsi="Times New Roman" w:cs="Times New Roman" w:hint="eastAsia"/>
          <w:color w:val="000000"/>
          <w:kern w:val="0"/>
          <w:lang w:bidi="ar"/>
        </w:rPr>
        <w:t>139345.11m</w:t>
      </w:r>
      <w:r>
        <w:rPr>
          <w:rFonts w:ascii="Times New Roman" w:eastAsia="宋体" w:hAnsi="Times New Roman" w:cs="Times New Roman" w:hint="eastAsia"/>
          <w:color w:val="000000"/>
          <w:kern w:val="0"/>
          <w:vertAlign w:val="superscript"/>
          <w:lang w:bidi="ar"/>
        </w:rPr>
        <w:t>3</w:t>
      </w:r>
      <w:r>
        <w:rPr>
          <w:rFonts w:ascii="Times New Roman" w:eastAsia="宋体" w:hAnsi="Times New Roman" w:cs="Times New Roman" w:hint="eastAsia"/>
          <w:color w:val="000000"/>
          <w:kern w:val="0"/>
          <w:lang w:bidi="ar"/>
        </w:rPr>
        <w:t>。</w:t>
      </w:r>
      <w:r>
        <w:rPr>
          <w:rFonts w:hint="eastAsia"/>
        </w:rPr>
        <w:t>施工结束后，进行全面整地、表土回覆、土地复垦及植被恢复。</w:t>
      </w:r>
    </w:p>
    <w:p w14:paraId="1C4774BA" w14:textId="77777777" w:rsidR="009D12AF" w:rsidRDefault="00000000">
      <w:pPr>
        <w:widowControl/>
        <w:ind w:firstLine="480"/>
        <w:jc w:val="left"/>
      </w:pPr>
      <w:r>
        <w:t>2</w:t>
      </w:r>
      <w:r>
        <w:t>）清淤工程</w:t>
      </w:r>
      <w:r>
        <w:t xml:space="preserve"> </w:t>
      </w:r>
    </w:p>
    <w:p w14:paraId="7C55C667" w14:textId="77777777" w:rsidR="009D12AF" w:rsidRDefault="00000000">
      <w:pPr>
        <w:widowControl/>
        <w:ind w:firstLine="480"/>
        <w:jc w:val="left"/>
      </w:pPr>
      <w:r>
        <w:lastRenderedPageBreak/>
        <w:t>清淤工程施工时产生挖方</w:t>
      </w:r>
      <w:r>
        <w:rPr>
          <w:rFonts w:hint="eastAsia"/>
        </w:rPr>
        <w:t>600</w:t>
      </w:r>
      <w:r>
        <w:t>万</w:t>
      </w:r>
      <w:r>
        <w:t>m</w:t>
      </w:r>
      <w:r>
        <w:rPr>
          <w:rFonts w:hint="eastAsia"/>
          <w:vertAlign w:val="superscript"/>
        </w:rPr>
        <w:t>3</w:t>
      </w:r>
      <w:r>
        <w:t>，均为淤泥；无填方、借方；余方</w:t>
      </w:r>
      <w:r>
        <w:rPr>
          <w:rFonts w:hint="eastAsia"/>
        </w:rPr>
        <w:t>600</w:t>
      </w:r>
      <w:r>
        <w:t>万</w:t>
      </w:r>
      <w:r>
        <w:t>m</w:t>
      </w:r>
      <w:r>
        <w:rPr>
          <w:rFonts w:hint="eastAsia"/>
          <w:vertAlign w:val="superscript"/>
        </w:rPr>
        <w:t>3</w:t>
      </w:r>
      <w:r>
        <w:t>淤泥输送至临时设施区固化处置</w:t>
      </w:r>
      <w:r>
        <w:rPr>
          <w:rFonts w:hint="eastAsia"/>
        </w:rPr>
        <w:t>，</w:t>
      </w:r>
      <w:r>
        <w:rPr>
          <w:rFonts w:ascii="宋体" w:eastAsia="宋体" w:hAnsi="宋体" w:cs="宋体" w:hint="eastAsia"/>
          <w:color w:val="000000"/>
          <w:kern w:val="0"/>
          <w:lang w:bidi="ar"/>
        </w:rPr>
        <w:t>脱水后干泥量为</w:t>
      </w:r>
      <w:r>
        <w:rPr>
          <w:rFonts w:ascii="Times New Roman" w:eastAsia="宋体" w:hAnsi="Times New Roman" w:cs="Times New Roman" w:hint="eastAsia"/>
        </w:rPr>
        <w:t>360</w:t>
      </w:r>
      <w:r>
        <w:rPr>
          <w:rFonts w:ascii="Times New Roman" w:eastAsia="宋体" w:hAnsi="Times New Roman" w:cs="Times New Roman"/>
        </w:rPr>
        <w:t>m</w:t>
      </w:r>
      <w:r>
        <w:rPr>
          <w:rFonts w:ascii="Times New Roman" w:eastAsia="宋体" w:hAnsi="Times New Roman" w:cs="Times New Roman"/>
          <w:vertAlign w:val="superscript"/>
        </w:rPr>
        <w:t>3</w:t>
      </w:r>
      <w:r>
        <w:rPr>
          <w:rFonts w:ascii="宋体" w:eastAsia="宋体" w:hAnsi="宋体" w:cs="宋体" w:hint="eastAsia"/>
          <w:color w:val="000000"/>
          <w:kern w:val="0"/>
          <w:lang w:bidi="ar"/>
        </w:rPr>
        <w:t>，项目清淤底泥运至临时堆场暂存，后期委托</w:t>
      </w:r>
      <w:r>
        <w:rPr>
          <w:rFonts w:hint="eastAsia"/>
        </w:rPr>
        <w:t>牡丹江金达农化有限公司对其清淤底泥进行加工制作生物肥，由企业售卖</w:t>
      </w:r>
      <w:r>
        <w:rPr>
          <w:rFonts w:ascii="宋体" w:eastAsia="宋体" w:hAnsi="宋体" w:cs="宋体" w:hint="eastAsia"/>
          <w:color w:val="000000"/>
          <w:kern w:val="0"/>
          <w:lang w:bidi="ar"/>
        </w:rPr>
        <w:t>。</w:t>
      </w:r>
    </w:p>
    <w:p w14:paraId="01A95E86" w14:textId="77777777" w:rsidR="009D12AF" w:rsidRDefault="00000000">
      <w:pPr>
        <w:pStyle w:val="3"/>
      </w:pPr>
      <w:bookmarkStart w:id="136" w:name="_Toc23473"/>
      <w:r>
        <w:rPr>
          <w:rFonts w:hint="eastAsia"/>
        </w:rPr>
        <w:t>3.2.6</w:t>
      </w:r>
      <w:bookmarkEnd w:id="130"/>
      <w:bookmarkEnd w:id="131"/>
      <w:r>
        <w:rPr>
          <w:rFonts w:hint="eastAsia"/>
        </w:rPr>
        <w:t>设备方案</w:t>
      </w:r>
      <w:bookmarkEnd w:id="136"/>
    </w:p>
    <w:p w14:paraId="599BECF5" w14:textId="77777777" w:rsidR="009D12AF" w:rsidRDefault="00000000">
      <w:pPr>
        <w:ind w:firstLine="480"/>
      </w:pPr>
      <w:r>
        <w:rPr>
          <w:rFonts w:hint="eastAsia"/>
        </w:rPr>
        <w:t>本工程主要施工机械设备见下表：</w:t>
      </w:r>
    </w:p>
    <w:p w14:paraId="4DDE4846" w14:textId="77777777" w:rsidR="009D12AF" w:rsidRDefault="00000000">
      <w:pPr>
        <w:ind w:firstLineChars="0" w:firstLine="0"/>
        <w:jc w:val="center"/>
        <w:rPr>
          <w:b/>
          <w:bCs/>
          <w:color w:val="FF0000"/>
          <w:highlight w:val="yellow"/>
        </w:rPr>
      </w:pPr>
      <w:r>
        <w:rPr>
          <w:b/>
          <w:bCs/>
        </w:rPr>
        <w:t>表</w:t>
      </w:r>
      <w:r>
        <w:rPr>
          <w:rFonts w:hint="eastAsia"/>
          <w:b/>
          <w:bCs/>
        </w:rPr>
        <w:t>3.2-5</w:t>
      </w:r>
      <w:r>
        <w:rPr>
          <w:rFonts w:hint="eastAsia"/>
          <w:b/>
          <w:bCs/>
        </w:rPr>
        <w:t>主要施工机械设备表</w:t>
      </w:r>
    </w:p>
    <w:tbl>
      <w:tblPr>
        <w:tblStyle w:val="ae"/>
        <w:tblW w:w="4997" w:type="pct"/>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772"/>
        <w:gridCol w:w="1772"/>
        <w:gridCol w:w="1639"/>
        <w:gridCol w:w="1627"/>
        <w:gridCol w:w="1707"/>
      </w:tblGrid>
      <w:tr w:rsidR="009D12AF" w14:paraId="625C3C9A" w14:textId="77777777">
        <w:tc>
          <w:tcPr>
            <w:tcW w:w="1040" w:type="pct"/>
            <w:tcBorders>
              <w:tl2br w:val="nil"/>
              <w:tr2bl w:val="nil"/>
            </w:tcBorders>
            <w:vAlign w:val="center"/>
          </w:tcPr>
          <w:p w14:paraId="63877F7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序号</w:t>
            </w:r>
          </w:p>
        </w:tc>
        <w:tc>
          <w:tcPr>
            <w:tcW w:w="1040" w:type="pct"/>
            <w:tcBorders>
              <w:tl2br w:val="nil"/>
              <w:tr2bl w:val="nil"/>
            </w:tcBorders>
            <w:vAlign w:val="center"/>
          </w:tcPr>
          <w:p w14:paraId="6032EB59"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设备名称</w:t>
            </w:r>
          </w:p>
        </w:tc>
        <w:tc>
          <w:tcPr>
            <w:tcW w:w="962" w:type="pct"/>
            <w:tcBorders>
              <w:tl2br w:val="nil"/>
              <w:tr2bl w:val="nil"/>
            </w:tcBorders>
            <w:vAlign w:val="center"/>
          </w:tcPr>
          <w:p w14:paraId="1C7BA8B9"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规格规模</w:t>
            </w:r>
          </w:p>
        </w:tc>
        <w:tc>
          <w:tcPr>
            <w:tcW w:w="954" w:type="pct"/>
            <w:tcBorders>
              <w:tl2br w:val="nil"/>
              <w:tr2bl w:val="nil"/>
            </w:tcBorders>
            <w:vAlign w:val="center"/>
          </w:tcPr>
          <w:p w14:paraId="4F04908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数量</w:t>
            </w:r>
          </w:p>
        </w:tc>
        <w:tc>
          <w:tcPr>
            <w:tcW w:w="1001" w:type="pct"/>
            <w:tcBorders>
              <w:tl2br w:val="nil"/>
              <w:tr2bl w:val="nil"/>
            </w:tcBorders>
            <w:vAlign w:val="center"/>
          </w:tcPr>
          <w:p w14:paraId="7D2A7F2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单位</w:t>
            </w:r>
          </w:p>
        </w:tc>
      </w:tr>
      <w:tr w:rsidR="009D12AF" w14:paraId="5386FE41" w14:textId="77777777">
        <w:tc>
          <w:tcPr>
            <w:tcW w:w="1040" w:type="pct"/>
            <w:tcBorders>
              <w:tl2br w:val="nil"/>
              <w:tr2bl w:val="nil"/>
            </w:tcBorders>
            <w:vAlign w:val="center"/>
          </w:tcPr>
          <w:p w14:paraId="078DC68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w:t>
            </w:r>
          </w:p>
        </w:tc>
        <w:tc>
          <w:tcPr>
            <w:tcW w:w="1040" w:type="pct"/>
            <w:tcBorders>
              <w:tl2br w:val="nil"/>
              <w:tr2bl w:val="nil"/>
            </w:tcBorders>
            <w:vAlign w:val="center"/>
          </w:tcPr>
          <w:p w14:paraId="6505CFB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挖掘机</w:t>
            </w:r>
          </w:p>
        </w:tc>
        <w:tc>
          <w:tcPr>
            <w:tcW w:w="962" w:type="pct"/>
            <w:tcBorders>
              <w:tl2br w:val="nil"/>
              <w:tr2bl w:val="nil"/>
            </w:tcBorders>
            <w:vAlign w:val="center"/>
          </w:tcPr>
          <w:p w14:paraId="2AFE221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1.0-1.8m</w:t>
            </w:r>
            <w:r>
              <w:rPr>
                <w:rFonts w:ascii="Times New Roman" w:eastAsia="宋体" w:hAnsi="Times New Roman" w:cs="Times New Roman" w:hint="eastAsia"/>
                <w:snapToGrid w:val="0"/>
                <w:kern w:val="0"/>
                <w:sz w:val="21"/>
                <w:szCs w:val="16"/>
                <w:vertAlign w:val="superscript"/>
              </w:rPr>
              <w:t>3</w:t>
            </w:r>
          </w:p>
        </w:tc>
        <w:tc>
          <w:tcPr>
            <w:tcW w:w="954" w:type="pct"/>
            <w:tcBorders>
              <w:tl2br w:val="nil"/>
              <w:tr2bl w:val="nil"/>
            </w:tcBorders>
            <w:vAlign w:val="center"/>
          </w:tcPr>
          <w:p w14:paraId="726F26F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w:t>
            </w:r>
          </w:p>
        </w:tc>
        <w:tc>
          <w:tcPr>
            <w:tcW w:w="1001" w:type="pct"/>
            <w:tcBorders>
              <w:tl2br w:val="nil"/>
              <w:tr2bl w:val="nil"/>
            </w:tcBorders>
            <w:vAlign w:val="center"/>
          </w:tcPr>
          <w:p w14:paraId="2D37DF8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台</w:t>
            </w:r>
          </w:p>
        </w:tc>
      </w:tr>
      <w:tr w:rsidR="009D12AF" w14:paraId="2D6998C5" w14:textId="77777777">
        <w:tc>
          <w:tcPr>
            <w:tcW w:w="1040" w:type="pct"/>
            <w:tcBorders>
              <w:tl2br w:val="nil"/>
              <w:tr2bl w:val="nil"/>
            </w:tcBorders>
            <w:vAlign w:val="center"/>
          </w:tcPr>
          <w:p w14:paraId="7CD4F700"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2</w:t>
            </w:r>
          </w:p>
        </w:tc>
        <w:tc>
          <w:tcPr>
            <w:tcW w:w="1040" w:type="pct"/>
            <w:tcBorders>
              <w:tl2br w:val="nil"/>
              <w:tr2bl w:val="nil"/>
            </w:tcBorders>
            <w:vAlign w:val="center"/>
          </w:tcPr>
          <w:p w14:paraId="1114B0B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装载机</w:t>
            </w:r>
          </w:p>
        </w:tc>
        <w:tc>
          <w:tcPr>
            <w:tcW w:w="962" w:type="pct"/>
            <w:tcBorders>
              <w:tl2br w:val="nil"/>
              <w:tr2bl w:val="nil"/>
            </w:tcBorders>
            <w:vAlign w:val="center"/>
          </w:tcPr>
          <w:p w14:paraId="61CC1DB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ZL50</w:t>
            </w:r>
          </w:p>
        </w:tc>
        <w:tc>
          <w:tcPr>
            <w:tcW w:w="954" w:type="pct"/>
            <w:tcBorders>
              <w:tl2br w:val="nil"/>
              <w:tr2bl w:val="nil"/>
            </w:tcBorders>
            <w:vAlign w:val="center"/>
          </w:tcPr>
          <w:p w14:paraId="6E9DE3E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w:t>
            </w:r>
          </w:p>
        </w:tc>
        <w:tc>
          <w:tcPr>
            <w:tcW w:w="1001" w:type="pct"/>
            <w:tcBorders>
              <w:tl2br w:val="nil"/>
              <w:tr2bl w:val="nil"/>
            </w:tcBorders>
            <w:vAlign w:val="center"/>
          </w:tcPr>
          <w:p w14:paraId="3A3C111F"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台</w:t>
            </w:r>
          </w:p>
        </w:tc>
      </w:tr>
      <w:tr w:rsidR="009D12AF" w14:paraId="0D924EF0" w14:textId="77777777">
        <w:tc>
          <w:tcPr>
            <w:tcW w:w="1040" w:type="pct"/>
            <w:tcBorders>
              <w:tl2br w:val="nil"/>
              <w:tr2bl w:val="nil"/>
            </w:tcBorders>
            <w:vAlign w:val="center"/>
          </w:tcPr>
          <w:p w14:paraId="4716947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3</w:t>
            </w:r>
          </w:p>
        </w:tc>
        <w:tc>
          <w:tcPr>
            <w:tcW w:w="1040" w:type="pct"/>
            <w:tcBorders>
              <w:tl2br w:val="nil"/>
              <w:tr2bl w:val="nil"/>
            </w:tcBorders>
            <w:vAlign w:val="center"/>
          </w:tcPr>
          <w:p w14:paraId="484B277F"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自卸汽车</w:t>
            </w:r>
          </w:p>
        </w:tc>
        <w:tc>
          <w:tcPr>
            <w:tcW w:w="962" w:type="pct"/>
            <w:tcBorders>
              <w:tl2br w:val="nil"/>
              <w:tr2bl w:val="nil"/>
            </w:tcBorders>
            <w:vAlign w:val="center"/>
          </w:tcPr>
          <w:p w14:paraId="063713C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15t</w:t>
            </w:r>
          </w:p>
        </w:tc>
        <w:tc>
          <w:tcPr>
            <w:tcW w:w="954" w:type="pct"/>
            <w:tcBorders>
              <w:tl2br w:val="nil"/>
              <w:tr2bl w:val="nil"/>
            </w:tcBorders>
            <w:vAlign w:val="center"/>
          </w:tcPr>
          <w:p w14:paraId="09FF38B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4</w:t>
            </w:r>
          </w:p>
        </w:tc>
        <w:tc>
          <w:tcPr>
            <w:tcW w:w="1001" w:type="pct"/>
            <w:tcBorders>
              <w:tl2br w:val="nil"/>
              <w:tr2bl w:val="nil"/>
            </w:tcBorders>
            <w:vAlign w:val="center"/>
          </w:tcPr>
          <w:p w14:paraId="1F2FF33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台</w:t>
            </w:r>
          </w:p>
        </w:tc>
      </w:tr>
      <w:tr w:rsidR="009D12AF" w14:paraId="1A13CA03" w14:textId="77777777">
        <w:tc>
          <w:tcPr>
            <w:tcW w:w="1040" w:type="pct"/>
            <w:tcBorders>
              <w:tl2br w:val="nil"/>
              <w:tr2bl w:val="nil"/>
            </w:tcBorders>
            <w:vAlign w:val="center"/>
          </w:tcPr>
          <w:p w14:paraId="40EB0B6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4</w:t>
            </w:r>
          </w:p>
        </w:tc>
        <w:tc>
          <w:tcPr>
            <w:tcW w:w="1040" w:type="pct"/>
            <w:tcBorders>
              <w:tl2br w:val="nil"/>
              <w:tr2bl w:val="nil"/>
            </w:tcBorders>
            <w:vAlign w:val="center"/>
          </w:tcPr>
          <w:p w14:paraId="142058F0"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洒水车</w:t>
            </w:r>
          </w:p>
        </w:tc>
        <w:tc>
          <w:tcPr>
            <w:tcW w:w="962" w:type="pct"/>
            <w:tcBorders>
              <w:tl2br w:val="nil"/>
              <w:tr2bl w:val="nil"/>
            </w:tcBorders>
            <w:vAlign w:val="center"/>
          </w:tcPr>
          <w:p w14:paraId="3800BAB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12t</w:t>
            </w:r>
          </w:p>
        </w:tc>
        <w:tc>
          <w:tcPr>
            <w:tcW w:w="954" w:type="pct"/>
            <w:tcBorders>
              <w:tl2br w:val="nil"/>
              <w:tr2bl w:val="nil"/>
            </w:tcBorders>
            <w:vAlign w:val="center"/>
          </w:tcPr>
          <w:p w14:paraId="0F07DBE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w:t>
            </w:r>
          </w:p>
        </w:tc>
        <w:tc>
          <w:tcPr>
            <w:tcW w:w="1001" w:type="pct"/>
            <w:tcBorders>
              <w:tl2br w:val="nil"/>
              <w:tr2bl w:val="nil"/>
            </w:tcBorders>
            <w:vAlign w:val="center"/>
          </w:tcPr>
          <w:p w14:paraId="3B8C8D4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台</w:t>
            </w:r>
          </w:p>
        </w:tc>
      </w:tr>
      <w:tr w:rsidR="009D12AF" w14:paraId="346EF629" w14:textId="77777777">
        <w:tc>
          <w:tcPr>
            <w:tcW w:w="1040" w:type="pct"/>
            <w:tcBorders>
              <w:tl2br w:val="nil"/>
              <w:tr2bl w:val="nil"/>
            </w:tcBorders>
            <w:vAlign w:val="center"/>
          </w:tcPr>
          <w:p w14:paraId="04398EF0"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5</w:t>
            </w:r>
          </w:p>
        </w:tc>
        <w:tc>
          <w:tcPr>
            <w:tcW w:w="1040" w:type="pct"/>
            <w:tcBorders>
              <w:tl2br w:val="nil"/>
              <w:tr2bl w:val="nil"/>
            </w:tcBorders>
            <w:vAlign w:val="center"/>
          </w:tcPr>
          <w:p w14:paraId="2F2D495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蛙式打夯</w:t>
            </w:r>
          </w:p>
        </w:tc>
        <w:tc>
          <w:tcPr>
            <w:tcW w:w="962" w:type="pct"/>
            <w:tcBorders>
              <w:tl2br w:val="nil"/>
              <w:tr2bl w:val="nil"/>
            </w:tcBorders>
            <w:vAlign w:val="center"/>
          </w:tcPr>
          <w:p w14:paraId="7763FC6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HW-40</w:t>
            </w:r>
          </w:p>
        </w:tc>
        <w:tc>
          <w:tcPr>
            <w:tcW w:w="954" w:type="pct"/>
            <w:tcBorders>
              <w:tl2br w:val="nil"/>
              <w:tr2bl w:val="nil"/>
            </w:tcBorders>
            <w:vAlign w:val="center"/>
          </w:tcPr>
          <w:p w14:paraId="51D7CFA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4</w:t>
            </w:r>
          </w:p>
        </w:tc>
        <w:tc>
          <w:tcPr>
            <w:tcW w:w="1001" w:type="pct"/>
            <w:tcBorders>
              <w:tl2br w:val="nil"/>
              <w:tr2bl w:val="nil"/>
            </w:tcBorders>
            <w:vAlign w:val="center"/>
          </w:tcPr>
          <w:p w14:paraId="5F46A68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台</w:t>
            </w:r>
          </w:p>
        </w:tc>
      </w:tr>
      <w:tr w:rsidR="009D12AF" w14:paraId="23D83033" w14:textId="77777777">
        <w:tc>
          <w:tcPr>
            <w:tcW w:w="1040" w:type="pct"/>
            <w:tcBorders>
              <w:tl2br w:val="nil"/>
              <w:tr2bl w:val="nil"/>
            </w:tcBorders>
            <w:vAlign w:val="center"/>
          </w:tcPr>
          <w:p w14:paraId="1FE6656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6</w:t>
            </w:r>
          </w:p>
        </w:tc>
        <w:tc>
          <w:tcPr>
            <w:tcW w:w="1040" w:type="pct"/>
            <w:tcBorders>
              <w:tl2br w:val="nil"/>
              <w:tr2bl w:val="nil"/>
            </w:tcBorders>
            <w:vAlign w:val="center"/>
          </w:tcPr>
          <w:p w14:paraId="64CDDAF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发电机</w:t>
            </w:r>
          </w:p>
        </w:tc>
        <w:tc>
          <w:tcPr>
            <w:tcW w:w="962" w:type="pct"/>
            <w:tcBorders>
              <w:tl2br w:val="nil"/>
              <w:tr2bl w:val="nil"/>
            </w:tcBorders>
            <w:vAlign w:val="center"/>
          </w:tcPr>
          <w:p w14:paraId="485623C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15kw</w:t>
            </w:r>
          </w:p>
        </w:tc>
        <w:tc>
          <w:tcPr>
            <w:tcW w:w="954" w:type="pct"/>
            <w:tcBorders>
              <w:tl2br w:val="nil"/>
              <w:tr2bl w:val="nil"/>
            </w:tcBorders>
            <w:vAlign w:val="center"/>
          </w:tcPr>
          <w:p w14:paraId="2BA842C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4</w:t>
            </w:r>
          </w:p>
        </w:tc>
        <w:tc>
          <w:tcPr>
            <w:tcW w:w="1001" w:type="pct"/>
            <w:tcBorders>
              <w:tl2br w:val="nil"/>
              <w:tr2bl w:val="nil"/>
            </w:tcBorders>
            <w:vAlign w:val="center"/>
          </w:tcPr>
          <w:p w14:paraId="71173EF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台</w:t>
            </w:r>
          </w:p>
        </w:tc>
      </w:tr>
      <w:tr w:rsidR="009D12AF" w14:paraId="56C6CD23" w14:textId="77777777">
        <w:tc>
          <w:tcPr>
            <w:tcW w:w="1040" w:type="pct"/>
            <w:tcBorders>
              <w:tl2br w:val="nil"/>
              <w:tr2bl w:val="nil"/>
            </w:tcBorders>
            <w:vAlign w:val="center"/>
          </w:tcPr>
          <w:p w14:paraId="37BDE8A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7</w:t>
            </w:r>
          </w:p>
        </w:tc>
        <w:tc>
          <w:tcPr>
            <w:tcW w:w="1040" w:type="pct"/>
            <w:tcBorders>
              <w:tl2br w:val="nil"/>
              <w:tr2bl w:val="nil"/>
            </w:tcBorders>
            <w:vAlign w:val="center"/>
          </w:tcPr>
          <w:p w14:paraId="0B93E7A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拌合机</w:t>
            </w:r>
          </w:p>
        </w:tc>
        <w:tc>
          <w:tcPr>
            <w:tcW w:w="962" w:type="pct"/>
            <w:tcBorders>
              <w:tl2br w:val="nil"/>
              <w:tr2bl w:val="nil"/>
            </w:tcBorders>
            <w:vAlign w:val="center"/>
          </w:tcPr>
          <w:p w14:paraId="442AAAF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350</w:t>
            </w:r>
            <w:r>
              <w:rPr>
                <w:rFonts w:ascii="Times New Roman" w:eastAsia="宋体" w:hAnsi="Times New Roman" w:cs="Times New Roman" w:hint="eastAsia"/>
                <w:snapToGrid w:val="0"/>
                <w:kern w:val="0"/>
                <w:sz w:val="21"/>
                <w:szCs w:val="16"/>
              </w:rPr>
              <w:t>型</w:t>
            </w:r>
          </w:p>
        </w:tc>
        <w:tc>
          <w:tcPr>
            <w:tcW w:w="954" w:type="pct"/>
            <w:tcBorders>
              <w:tl2br w:val="nil"/>
              <w:tr2bl w:val="nil"/>
            </w:tcBorders>
            <w:vAlign w:val="center"/>
          </w:tcPr>
          <w:p w14:paraId="33EE840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4</w:t>
            </w:r>
          </w:p>
        </w:tc>
        <w:tc>
          <w:tcPr>
            <w:tcW w:w="1001" w:type="pct"/>
            <w:tcBorders>
              <w:tl2br w:val="nil"/>
              <w:tr2bl w:val="nil"/>
            </w:tcBorders>
            <w:vAlign w:val="center"/>
          </w:tcPr>
          <w:p w14:paraId="604BCB6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台</w:t>
            </w:r>
          </w:p>
        </w:tc>
      </w:tr>
      <w:tr w:rsidR="009D12AF" w14:paraId="5594A6DD" w14:textId="77777777">
        <w:tc>
          <w:tcPr>
            <w:tcW w:w="1040" w:type="pct"/>
            <w:tcBorders>
              <w:tl2br w:val="nil"/>
              <w:tr2bl w:val="nil"/>
            </w:tcBorders>
            <w:vAlign w:val="center"/>
          </w:tcPr>
          <w:p w14:paraId="23B8A3B0"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8</w:t>
            </w:r>
          </w:p>
        </w:tc>
        <w:tc>
          <w:tcPr>
            <w:tcW w:w="1040" w:type="pct"/>
            <w:tcBorders>
              <w:tl2br w:val="nil"/>
              <w:tr2bl w:val="nil"/>
            </w:tcBorders>
            <w:vAlign w:val="center"/>
          </w:tcPr>
          <w:p w14:paraId="7D6C66F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平板振捣器</w:t>
            </w:r>
          </w:p>
        </w:tc>
        <w:tc>
          <w:tcPr>
            <w:tcW w:w="962" w:type="pct"/>
            <w:tcBorders>
              <w:tl2br w:val="nil"/>
              <w:tr2bl w:val="nil"/>
            </w:tcBorders>
            <w:vAlign w:val="center"/>
          </w:tcPr>
          <w:p w14:paraId="42B6C4E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2.1kw</w:t>
            </w:r>
          </w:p>
        </w:tc>
        <w:tc>
          <w:tcPr>
            <w:tcW w:w="954" w:type="pct"/>
            <w:tcBorders>
              <w:tl2br w:val="nil"/>
              <w:tr2bl w:val="nil"/>
            </w:tcBorders>
            <w:vAlign w:val="center"/>
          </w:tcPr>
          <w:p w14:paraId="78ACD48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4</w:t>
            </w:r>
          </w:p>
        </w:tc>
        <w:tc>
          <w:tcPr>
            <w:tcW w:w="1001" w:type="pct"/>
            <w:tcBorders>
              <w:tl2br w:val="nil"/>
              <w:tr2bl w:val="nil"/>
            </w:tcBorders>
            <w:vAlign w:val="center"/>
          </w:tcPr>
          <w:p w14:paraId="1961BCC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台</w:t>
            </w:r>
          </w:p>
        </w:tc>
      </w:tr>
      <w:tr w:rsidR="009D12AF" w14:paraId="73924BC2" w14:textId="77777777">
        <w:tc>
          <w:tcPr>
            <w:tcW w:w="1040" w:type="pct"/>
            <w:tcBorders>
              <w:tl2br w:val="nil"/>
              <w:tr2bl w:val="nil"/>
            </w:tcBorders>
            <w:vAlign w:val="center"/>
          </w:tcPr>
          <w:p w14:paraId="42D25470"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9</w:t>
            </w:r>
          </w:p>
        </w:tc>
        <w:tc>
          <w:tcPr>
            <w:tcW w:w="1040" w:type="pct"/>
            <w:tcBorders>
              <w:tl2br w:val="nil"/>
              <w:tr2bl w:val="nil"/>
            </w:tcBorders>
            <w:vAlign w:val="center"/>
          </w:tcPr>
          <w:p w14:paraId="19FE1299"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绞吸式挖泥船</w:t>
            </w:r>
          </w:p>
        </w:tc>
        <w:tc>
          <w:tcPr>
            <w:tcW w:w="962" w:type="pct"/>
            <w:tcBorders>
              <w:tl2br w:val="nil"/>
              <w:tr2bl w:val="nil"/>
            </w:tcBorders>
            <w:vAlign w:val="center"/>
          </w:tcPr>
          <w:p w14:paraId="431C3D1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w:t>
            </w:r>
          </w:p>
        </w:tc>
        <w:tc>
          <w:tcPr>
            <w:tcW w:w="954" w:type="pct"/>
            <w:tcBorders>
              <w:tl2br w:val="nil"/>
              <w:tr2bl w:val="nil"/>
            </w:tcBorders>
            <w:vAlign w:val="center"/>
          </w:tcPr>
          <w:p w14:paraId="2D6170F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1</w:t>
            </w:r>
          </w:p>
        </w:tc>
        <w:tc>
          <w:tcPr>
            <w:tcW w:w="1001" w:type="pct"/>
            <w:tcBorders>
              <w:tl2br w:val="nil"/>
              <w:tr2bl w:val="nil"/>
            </w:tcBorders>
            <w:vAlign w:val="center"/>
          </w:tcPr>
          <w:p w14:paraId="0E371E4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台</w:t>
            </w:r>
          </w:p>
        </w:tc>
      </w:tr>
    </w:tbl>
    <w:p w14:paraId="4E713EDF" w14:textId="77777777" w:rsidR="009D12AF" w:rsidRDefault="00000000">
      <w:pPr>
        <w:widowControl/>
        <w:ind w:firstLine="480"/>
        <w:jc w:val="left"/>
      </w:pPr>
      <w:r>
        <w:rPr>
          <w:rFonts w:hint="eastAsia"/>
        </w:rPr>
        <w:t>本工程劳动力安排：平均人数约</w:t>
      </w:r>
      <w:r>
        <w:rPr>
          <w:rFonts w:hint="eastAsia"/>
        </w:rPr>
        <w:t>10</w:t>
      </w:r>
      <w:r>
        <w:t>人</w:t>
      </w:r>
      <w:r>
        <w:t>/</w:t>
      </w:r>
      <w:r>
        <w:t>日</w:t>
      </w:r>
      <w:r>
        <w:rPr>
          <w:rFonts w:hint="eastAsia"/>
        </w:rPr>
        <w:t>。</w:t>
      </w:r>
    </w:p>
    <w:p w14:paraId="6985D257" w14:textId="77777777" w:rsidR="009D12AF" w:rsidRDefault="00000000">
      <w:pPr>
        <w:pStyle w:val="3"/>
      </w:pPr>
      <w:bookmarkStart w:id="137" w:name="_Toc2441"/>
      <w:r>
        <w:rPr>
          <w:rFonts w:hint="eastAsia"/>
        </w:rPr>
        <w:t>3.2.7</w:t>
      </w:r>
      <w:r>
        <w:rPr>
          <w:rFonts w:hint="eastAsia"/>
        </w:rPr>
        <w:t>公用工程</w:t>
      </w:r>
      <w:bookmarkEnd w:id="137"/>
    </w:p>
    <w:p w14:paraId="4DE351EF" w14:textId="77777777" w:rsidR="009D12AF" w:rsidRDefault="00000000">
      <w:pPr>
        <w:ind w:firstLine="482"/>
      </w:pPr>
      <w:r>
        <w:rPr>
          <w:rFonts w:hint="eastAsia"/>
          <w:b/>
          <w:bCs/>
        </w:rPr>
        <w:t>供水</w:t>
      </w:r>
    </w:p>
    <w:p w14:paraId="24CB211B" w14:textId="77777777" w:rsidR="009D12AF" w:rsidRDefault="00000000">
      <w:pPr>
        <w:ind w:firstLine="480"/>
      </w:pPr>
      <w:r>
        <w:t>本项目施工生产和生活用水取自周边村庄自来水。本项目生产无需用水，</w:t>
      </w:r>
      <w:r>
        <w:rPr>
          <w:rFonts w:hint="eastAsia"/>
        </w:rPr>
        <w:t>运行期</w:t>
      </w:r>
      <w:r>
        <w:t>不设常驻工作人员，无生活用水。</w:t>
      </w:r>
    </w:p>
    <w:p w14:paraId="1FC1D623" w14:textId="77777777" w:rsidR="009D12AF" w:rsidRDefault="00000000">
      <w:pPr>
        <w:pStyle w:val="3"/>
      </w:pPr>
      <w:bookmarkStart w:id="138" w:name="_Toc5895"/>
      <w:r>
        <w:rPr>
          <w:rFonts w:hint="eastAsia"/>
        </w:rPr>
        <w:t>3.2.8</w:t>
      </w:r>
      <w:r>
        <w:rPr>
          <w:rFonts w:hint="eastAsia"/>
        </w:rPr>
        <w:t>建设周期</w:t>
      </w:r>
      <w:bookmarkEnd w:id="138"/>
    </w:p>
    <w:p w14:paraId="6A40C192" w14:textId="77777777" w:rsidR="009D12AF" w:rsidRDefault="00000000">
      <w:pPr>
        <w:widowControl/>
        <w:ind w:firstLine="480"/>
        <w:jc w:val="left"/>
      </w:pPr>
      <w:r>
        <w:rPr>
          <w:rFonts w:hint="eastAsia"/>
        </w:rPr>
        <w:t>本工程建设周期约</w:t>
      </w:r>
      <w:r>
        <w:rPr>
          <w:rFonts w:hint="eastAsia"/>
        </w:rPr>
        <w:t>7</w:t>
      </w:r>
      <w:r>
        <w:rPr>
          <w:rFonts w:hint="eastAsia"/>
        </w:rPr>
        <w:t>年（仅</w:t>
      </w:r>
      <w:r>
        <w:rPr>
          <w:rFonts w:hint="eastAsia"/>
        </w:rPr>
        <w:t>2</w:t>
      </w:r>
      <w:r>
        <w:t>~</w:t>
      </w:r>
      <w:r>
        <w:rPr>
          <w:rFonts w:hint="eastAsia"/>
        </w:rPr>
        <w:t>4</w:t>
      </w:r>
      <w:r>
        <w:rPr>
          <w:rFonts w:hint="eastAsia"/>
        </w:rPr>
        <w:t>月，</w:t>
      </w:r>
      <w:r>
        <w:rPr>
          <w:rFonts w:hint="eastAsia"/>
        </w:rPr>
        <w:t>7</w:t>
      </w:r>
      <w:r>
        <w:t>~11</w:t>
      </w:r>
      <w:r>
        <w:rPr>
          <w:rFonts w:hint="eastAsia"/>
        </w:rPr>
        <w:t>月可进行疏浚及脱水施工，故共计年可施工</w:t>
      </w:r>
      <w:r>
        <w:rPr>
          <w:rFonts w:hint="eastAsia"/>
        </w:rPr>
        <w:t>8</w:t>
      </w:r>
      <w:r>
        <w:rPr>
          <w:rFonts w:hint="eastAsia"/>
        </w:rPr>
        <w:t>个月，共施工</w:t>
      </w:r>
      <w:r>
        <w:rPr>
          <w:rFonts w:hint="eastAsia"/>
        </w:rPr>
        <w:t>63</w:t>
      </w:r>
      <w:r>
        <w:rPr>
          <w:rFonts w:hint="eastAsia"/>
        </w:rPr>
        <w:t>个月）。群力水库施工工期为</w:t>
      </w:r>
      <w:r>
        <w:rPr>
          <w:rFonts w:hint="eastAsia"/>
        </w:rPr>
        <w:t>2</w:t>
      </w:r>
      <w:r>
        <w:rPr>
          <w:rFonts w:hint="eastAsia"/>
        </w:rPr>
        <w:t>年，长石水库、万丈水库、向阳水电站前池施工工期为均为</w:t>
      </w:r>
      <w:r>
        <w:rPr>
          <w:rFonts w:hint="eastAsia"/>
        </w:rPr>
        <w:t>1</w:t>
      </w:r>
      <w:r>
        <w:rPr>
          <w:rFonts w:hint="eastAsia"/>
        </w:rPr>
        <w:t>年，新安晒水池施工工期为</w:t>
      </w:r>
      <w:r>
        <w:rPr>
          <w:rFonts w:hint="eastAsia"/>
        </w:rPr>
        <w:t>2</w:t>
      </w:r>
      <w:r>
        <w:rPr>
          <w:rFonts w:hint="eastAsia"/>
        </w:rPr>
        <w:t>年。</w:t>
      </w:r>
    </w:p>
    <w:p w14:paraId="514EFB78" w14:textId="77777777" w:rsidR="009D12AF" w:rsidRDefault="00000000">
      <w:pPr>
        <w:pStyle w:val="3"/>
      </w:pPr>
      <w:bookmarkStart w:id="139" w:name="_Toc10734"/>
      <w:r>
        <w:rPr>
          <w:rFonts w:hint="eastAsia"/>
        </w:rPr>
        <w:lastRenderedPageBreak/>
        <w:t>3.2.9</w:t>
      </w:r>
      <w:r>
        <w:rPr>
          <w:rFonts w:hint="eastAsia"/>
        </w:rPr>
        <w:t>工程设计</w:t>
      </w:r>
      <w:bookmarkEnd w:id="139"/>
    </w:p>
    <w:p w14:paraId="5E1206FB" w14:textId="77777777" w:rsidR="009D12AF" w:rsidRDefault="00000000">
      <w:pPr>
        <w:ind w:firstLine="480"/>
      </w:pPr>
      <w:r>
        <w:rPr>
          <w:rFonts w:hint="eastAsia"/>
        </w:rPr>
        <w:t>一、水库清淤工程</w:t>
      </w:r>
    </w:p>
    <w:p w14:paraId="74A2A399" w14:textId="77777777" w:rsidR="009D12AF" w:rsidRDefault="00000000">
      <w:pPr>
        <w:ind w:firstLine="480"/>
      </w:pPr>
      <w:r>
        <w:rPr>
          <w:rFonts w:hint="eastAsia"/>
        </w:rPr>
        <w:t>1</w:t>
      </w:r>
      <w:r>
        <w:rPr>
          <w:rFonts w:hint="eastAsia"/>
        </w:rPr>
        <w:t>、清淤工程的布置</w:t>
      </w:r>
    </w:p>
    <w:p w14:paraId="1E6B0B50" w14:textId="77777777" w:rsidR="009D12AF" w:rsidRDefault="00000000">
      <w:pPr>
        <w:ind w:firstLine="480"/>
      </w:pPr>
      <w:r>
        <w:t>本项目水库清淤工程共涉及海林市万丈水库、长石水库、向阳水电站前池、新安晒水池、群力水库，该</w:t>
      </w:r>
      <w:r>
        <w:t xml:space="preserve"> 5 </w:t>
      </w:r>
      <w:r>
        <w:t>处水库运行至今从未进行过清淤工作，库区淤积非常严重，随着有效库容逐年减少，已严重影响到水库防洪减灾、排水输沙、供水灌溉、水力发电、维护生态等综合效益的发挥。为此，亟需对该</w:t>
      </w:r>
      <w:r>
        <w:t xml:space="preserve"> 5 </w:t>
      </w:r>
      <w:r>
        <w:t>处水库进行清淤，恢复库区原有功能，提高综合效益。</w:t>
      </w:r>
    </w:p>
    <w:p w14:paraId="0B9DB0BE" w14:textId="77777777" w:rsidR="009D12AF" w:rsidRDefault="00000000">
      <w:pPr>
        <w:ind w:firstLine="480"/>
      </w:pPr>
      <w:r>
        <w:rPr>
          <w:rFonts w:hint="eastAsia"/>
        </w:rPr>
        <w:t>2</w:t>
      </w:r>
      <w:r>
        <w:rPr>
          <w:rFonts w:hint="eastAsia"/>
        </w:rPr>
        <w:t>、平面布置设计</w:t>
      </w:r>
    </w:p>
    <w:p w14:paraId="3B9210BC" w14:textId="77777777" w:rsidR="009D12AF" w:rsidRDefault="00000000">
      <w:pPr>
        <w:ind w:firstLine="480"/>
      </w:pPr>
      <w:r>
        <w:t>根据工期控制、施工要求，采用环保绞吸挖泥船、接力泵站组织施工，挖泥船分区、分条开挖。在施工附近合适位置设置转存区用于存储疏挖底泥，转存区布置在工程附近适宜地块，便于疏浚施工、底泥输送，转存区布设底泥干化与尾水处理工艺区等。</w:t>
      </w:r>
    </w:p>
    <w:p w14:paraId="6D98E079" w14:textId="77777777" w:rsidR="009D12AF" w:rsidRDefault="00000000">
      <w:pPr>
        <w:ind w:firstLine="480"/>
      </w:pPr>
      <w:r>
        <w:rPr>
          <w:rFonts w:hint="eastAsia"/>
        </w:rPr>
        <w:t>3</w:t>
      </w:r>
      <w:r>
        <w:rPr>
          <w:rFonts w:hint="eastAsia"/>
        </w:rPr>
        <w:t>、工程量</w:t>
      </w:r>
    </w:p>
    <w:p w14:paraId="1CE87C8B" w14:textId="77777777" w:rsidR="009D12AF" w:rsidRDefault="00000000">
      <w:pPr>
        <w:ind w:firstLine="480"/>
      </w:pPr>
      <w:r>
        <w:t>本次清淤方案主要考虑满足水库扩容需求与水生态综合治理要求，确定清淤方式、清淤区域划分以及转存区范围与位置。群力水库平均清淤厚度为</w:t>
      </w:r>
      <w:r>
        <w:t xml:space="preserve"> 4.95m</w:t>
      </w:r>
      <w:r>
        <w:t>，清淤面积</w:t>
      </w:r>
      <w:r>
        <w:t>0.91km</w:t>
      </w:r>
      <w:r>
        <w:rPr>
          <w:vertAlign w:val="superscript"/>
        </w:rPr>
        <w:t>2</w:t>
      </w:r>
      <w:r>
        <w:t>，清淤量</w:t>
      </w:r>
      <w:r>
        <w:t xml:space="preserve"> 445 </w:t>
      </w:r>
      <w:r>
        <w:t>万</w:t>
      </w:r>
      <w:r>
        <w:t xml:space="preserve"> m</w:t>
      </w:r>
      <w:r>
        <w:rPr>
          <w:vertAlign w:val="superscript"/>
        </w:rPr>
        <w:t>3</w:t>
      </w:r>
      <w:r>
        <w:t>；长石水库平均清淤厚度为</w:t>
      </w:r>
      <w:r>
        <w:t xml:space="preserve"> 1.67m</w:t>
      </w:r>
      <w:r>
        <w:t>，清淤面积</w:t>
      </w:r>
      <w:r>
        <w:t xml:space="preserve"> 0.12km</w:t>
      </w:r>
      <w:r>
        <w:rPr>
          <w:vertAlign w:val="superscript"/>
        </w:rPr>
        <w:t>2</w:t>
      </w:r>
      <w:r>
        <w:t>，清淤量</w:t>
      </w:r>
      <w:r>
        <w:t xml:space="preserve"> 20 </w:t>
      </w:r>
      <w:r>
        <w:t>万</w:t>
      </w:r>
      <w:r>
        <w:t xml:space="preserve"> m</w:t>
      </w:r>
      <w:r>
        <w:rPr>
          <w:vertAlign w:val="superscript"/>
        </w:rPr>
        <w:t>3</w:t>
      </w:r>
      <w:r>
        <w:t>；向阳水电站前池平均清淤厚度为</w:t>
      </w:r>
      <w:r>
        <w:t xml:space="preserve"> 2.25m</w:t>
      </w:r>
      <w:r>
        <w:t>，清淤面积</w:t>
      </w:r>
      <w:r>
        <w:t xml:space="preserve"> 0.16km</w:t>
      </w:r>
      <w:r>
        <w:rPr>
          <w:vertAlign w:val="superscript"/>
        </w:rPr>
        <w:t>2</w:t>
      </w:r>
      <w:r>
        <w:t>，清淤量</w:t>
      </w:r>
      <w:r>
        <w:t xml:space="preserve">36 </w:t>
      </w:r>
      <w:r>
        <w:t>万</w:t>
      </w:r>
      <w:r>
        <w:t xml:space="preserve"> m</w:t>
      </w:r>
      <w:r>
        <w:rPr>
          <w:vertAlign w:val="superscript"/>
        </w:rPr>
        <w:t>3</w:t>
      </w:r>
      <w:r>
        <w:t>；新安晒水池平均清淤厚度为</w:t>
      </w:r>
      <w:r>
        <w:t xml:space="preserve"> 0.67m</w:t>
      </w:r>
      <w:r>
        <w:t>，清淤面积</w:t>
      </w:r>
      <w:r>
        <w:t xml:space="preserve"> 0.36km</w:t>
      </w:r>
      <w:r>
        <w:rPr>
          <w:vertAlign w:val="superscript"/>
        </w:rPr>
        <w:t>2</w:t>
      </w:r>
      <w:r>
        <w:t>，清淤量</w:t>
      </w:r>
      <w:r>
        <w:t xml:space="preserve"> 24 </w:t>
      </w:r>
      <w:r>
        <w:t>万</w:t>
      </w:r>
      <w:r>
        <w:t xml:space="preserve"> m</w:t>
      </w:r>
      <w:r>
        <w:rPr>
          <w:vertAlign w:val="superscript"/>
        </w:rPr>
        <w:t>3</w:t>
      </w:r>
      <w:r>
        <w:t>；万丈水库平均清淤厚度为</w:t>
      </w:r>
      <w:r>
        <w:t xml:space="preserve"> 2.5m</w:t>
      </w:r>
      <w:r>
        <w:t>，清淤面积</w:t>
      </w:r>
      <w:r>
        <w:t xml:space="preserve"> 0.3km</w:t>
      </w:r>
      <w:r>
        <w:rPr>
          <w:vertAlign w:val="superscript"/>
        </w:rPr>
        <w:t>2</w:t>
      </w:r>
      <w:r>
        <w:t>，清淤量</w:t>
      </w:r>
      <w:r>
        <w:t xml:space="preserve"> 75 </w:t>
      </w:r>
      <w:r>
        <w:t>万</w:t>
      </w:r>
      <w:r>
        <w:t xml:space="preserve"> m</w:t>
      </w:r>
      <w:r>
        <w:rPr>
          <w:vertAlign w:val="superscript"/>
        </w:rPr>
        <w:t>3</w:t>
      </w:r>
      <w:r>
        <w:t>，总计清淤量</w:t>
      </w:r>
      <w:r>
        <w:t xml:space="preserve"> 600 </w:t>
      </w:r>
      <w:r>
        <w:t>万</w:t>
      </w:r>
      <w:r>
        <w:t xml:space="preserve"> m</w:t>
      </w:r>
      <w:r>
        <w:rPr>
          <w:vertAlign w:val="superscript"/>
        </w:rPr>
        <w:t>3</w:t>
      </w:r>
      <w:r>
        <w:t>。清淤采用带水环保绞吸式的施工工艺，环保绞吸式施工过程中对清淤区外水质基本无影响，且施工简单，效率高</w:t>
      </w:r>
      <w:r>
        <w:rPr>
          <w:rFonts w:hint="eastAsia"/>
        </w:rPr>
        <w:t>。本次生态修复方案</w:t>
      </w:r>
      <w:r>
        <w:rPr>
          <w:rFonts w:hint="eastAsia"/>
        </w:rPr>
        <w:t>1.</w:t>
      </w:r>
      <w:r>
        <w:rPr>
          <w:rFonts w:hint="eastAsia"/>
        </w:rPr>
        <w:t>通过建设水库周边农业生态截污缓冲带，有效拦截和湖岸带坡地农村生活污水、农业种植污染；</w:t>
      </w:r>
      <w:r>
        <w:rPr>
          <w:rFonts w:hint="eastAsia"/>
        </w:rPr>
        <w:t>2.</w:t>
      </w:r>
      <w:r>
        <w:rPr>
          <w:rFonts w:hint="eastAsia"/>
        </w:rPr>
        <w:t>在水库上游入库河口利用地形优势建设前置库，利用前置库的蓄水功能及水生植物的吸附过滤作用，将入库水体中污染物经过滤拦截后再进入水库；</w:t>
      </w:r>
      <w:r>
        <w:rPr>
          <w:rFonts w:hint="eastAsia"/>
        </w:rPr>
        <w:t>3.</w:t>
      </w:r>
      <w:r>
        <w:rPr>
          <w:rFonts w:hint="eastAsia"/>
        </w:rPr>
        <w:t>通过对水库入库道进行岸线生态护坡建设，减少河道两侧岸线侵蚀，起到既能消减河道两侧农业种植污染，又可稳固堤岸、</w:t>
      </w:r>
      <w:r>
        <w:rPr>
          <w:rFonts w:hint="eastAsia"/>
        </w:rPr>
        <w:lastRenderedPageBreak/>
        <w:t>美化河道环境，确保入库河道水系畅通的目的；</w:t>
      </w:r>
      <w:r>
        <w:rPr>
          <w:rFonts w:hint="eastAsia"/>
        </w:rPr>
        <w:t>4.</w:t>
      </w:r>
      <w:r>
        <w:rPr>
          <w:rFonts w:hint="eastAsia"/>
        </w:rPr>
        <w:t>为确保入库水质实现实时监控，在水库入库河道附近建设水质自动监测浮标</w:t>
      </w:r>
      <w:r>
        <w:rPr>
          <w:rFonts w:hint="eastAsia"/>
        </w:rPr>
        <w:t>1</w:t>
      </w:r>
      <w:r>
        <w:rPr>
          <w:rFonts w:hint="eastAsia"/>
        </w:rPr>
        <w:t>个。</w:t>
      </w:r>
    </w:p>
    <w:p w14:paraId="1DFE9A45" w14:textId="77777777" w:rsidR="009D12AF" w:rsidRDefault="00000000">
      <w:pPr>
        <w:ind w:firstLine="480"/>
      </w:pPr>
      <w:r>
        <w:rPr>
          <w:rFonts w:hint="eastAsia"/>
        </w:rPr>
        <w:t>4</w:t>
      </w:r>
      <w:r>
        <w:rPr>
          <w:rFonts w:hint="eastAsia"/>
        </w:rPr>
        <w:t>、清淤方案比选</w:t>
      </w:r>
    </w:p>
    <w:p w14:paraId="4B70FE44" w14:textId="77777777" w:rsidR="009D12AF" w:rsidRDefault="00000000">
      <w:pPr>
        <w:ind w:firstLine="480"/>
      </w:pPr>
      <w:r>
        <w:rPr>
          <w:rFonts w:hint="eastAsia"/>
        </w:rPr>
        <w:t>现有清淤方案主要为干挖清淤和挖泥船两种方案，对于具体的河湖淤泥清淤工程，要根据当地实际情况来选择采用何种淤泥处置方式。</w:t>
      </w:r>
    </w:p>
    <w:p w14:paraId="48D74F31" w14:textId="77777777" w:rsidR="009D12AF" w:rsidRDefault="00000000">
      <w:pPr>
        <w:ind w:firstLine="482"/>
        <w:jc w:val="center"/>
      </w:pPr>
      <w:r>
        <w:rPr>
          <w:rFonts w:hint="eastAsia"/>
          <w:b/>
          <w:bCs/>
        </w:rPr>
        <w:t>表</w:t>
      </w:r>
      <w:r>
        <w:rPr>
          <w:rFonts w:hint="eastAsia"/>
          <w:b/>
          <w:bCs/>
        </w:rPr>
        <w:t>3.2-6</w:t>
      </w:r>
      <w:r>
        <w:rPr>
          <w:rFonts w:hint="eastAsia"/>
          <w:b/>
          <w:bCs/>
        </w:rPr>
        <w:t>清淤方案比选表</w:t>
      </w:r>
    </w:p>
    <w:tbl>
      <w:tblPr>
        <w:tblStyle w:val="ae"/>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349"/>
        <w:gridCol w:w="3487"/>
        <w:gridCol w:w="3686"/>
      </w:tblGrid>
      <w:tr w:rsidR="009D12AF" w14:paraId="2115D88A" w14:textId="77777777">
        <w:tc>
          <w:tcPr>
            <w:tcW w:w="1349" w:type="dxa"/>
            <w:tcBorders>
              <w:tl2br w:val="nil"/>
              <w:tr2bl w:val="nil"/>
            </w:tcBorders>
            <w:vAlign w:val="center"/>
          </w:tcPr>
          <w:p w14:paraId="0705F880"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清淤方式</w:t>
            </w:r>
          </w:p>
        </w:tc>
        <w:tc>
          <w:tcPr>
            <w:tcW w:w="3487" w:type="dxa"/>
            <w:tcBorders>
              <w:tl2br w:val="nil"/>
              <w:tr2bl w:val="nil"/>
            </w:tcBorders>
            <w:vAlign w:val="center"/>
          </w:tcPr>
          <w:p w14:paraId="0B1AF6F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优点</w:t>
            </w:r>
          </w:p>
        </w:tc>
        <w:tc>
          <w:tcPr>
            <w:tcW w:w="3686" w:type="dxa"/>
            <w:tcBorders>
              <w:tl2br w:val="nil"/>
              <w:tr2bl w:val="nil"/>
            </w:tcBorders>
            <w:vAlign w:val="center"/>
          </w:tcPr>
          <w:p w14:paraId="2481C2A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缺点</w:t>
            </w:r>
          </w:p>
        </w:tc>
      </w:tr>
      <w:tr w:rsidR="009D12AF" w14:paraId="679CE0BA" w14:textId="77777777">
        <w:tc>
          <w:tcPr>
            <w:tcW w:w="1349" w:type="dxa"/>
            <w:tcBorders>
              <w:tl2br w:val="nil"/>
              <w:tr2bl w:val="nil"/>
            </w:tcBorders>
            <w:vAlign w:val="center"/>
          </w:tcPr>
          <w:p w14:paraId="5E20E55F"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干挖清淤</w:t>
            </w:r>
          </w:p>
        </w:tc>
        <w:tc>
          <w:tcPr>
            <w:tcW w:w="3487" w:type="dxa"/>
            <w:tcBorders>
              <w:tl2br w:val="nil"/>
              <w:tr2bl w:val="nil"/>
            </w:tcBorders>
            <w:vAlign w:val="center"/>
          </w:tcPr>
          <w:p w14:paraId="2F0C530A"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1</w:t>
            </w:r>
            <w:r>
              <w:rPr>
                <w:rFonts w:ascii="Times New Roman" w:eastAsia="宋体" w:hAnsi="Times New Roman" w:cs="Times New Roman"/>
                <w:snapToGrid w:val="0"/>
                <w:kern w:val="0"/>
                <w:sz w:val="21"/>
                <w:szCs w:val="16"/>
              </w:rPr>
              <w:t>、清淤彻底，避免淤泥在水中扩散而形成二次污染，对水质影响较小；</w:t>
            </w:r>
          </w:p>
        </w:tc>
        <w:tc>
          <w:tcPr>
            <w:tcW w:w="3686" w:type="dxa"/>
            <w:tcBorders>
              <w:tl2br w:val="nil"/>
              <w:tr2bl w:val="nil"/>
            </w:tcBorders>
            <w:vAlign w:val="center"/>
          </w:tcPr>
          <w:p w14:paraId="06DA8532" w14:textId="77777777" w:rsidR="009D12AF" w:rsidRDefault="00000000">
            <w:pPr>
              <w:spacing w:line="240" w:lineRule="auto"/>
              <w:ind w:firstLineChars="0" w:firstLine="0"/>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1</w:t>
            </w:r>
            <w:r>
              <w:rPr>
                <w:rFonts w:ascii="Times New Roman" w:eastAsia="宋体" w:hAnsi="Times New Roman" w:cs="Times New Roman"/>
                <w:snapToGrid w:val="0"/>
                <w:kern w:val="0"/>
                <w:sz w:val="21"/>
                <w:szCs w:val="16"/>
              </w:rPr>
              <w:t>、需分区放空水域，浪费水资源；</w:t>
            </w:r>
          </w:p>
          <w:p w14:paraId="08348B7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2</w:t>
            </w:r>
            <w:r>
              <w:rPr>
                <w:rFonts w:ascii="Times New Roman" w:eastAsia="宋体" w:hAnsi="Times New Roman" w:cs="Times New Roman"/>
                <w:snapToGrid w:val="0"/>
                <w:kern w:val="0"/>
                <w:sz w:val="21"/>
                <w:szCs w:val="16"/>
              </w:rPr>
              <w:t>、淤泥量较大，根据施工组织，需跨汛期施工，汛期无法开展工作；</w:t>
            </w:r>
          </w:p>
          <w:p w14:paraId="62D7CFF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3</w:t>
            </w:r>
            <w:r>
              <w:rPr>
                <w:rFonts w:ascii="Times New Roman" w:eastAsia="宋体" w:hAnsi="Times New Roman" w:cs="Times New Roman"/>
                <w:snapToGrid w:val="0"/>
                <w:kern w:val="0"/>
                <w:sz w:val="21"/>
                <w:szCs w:val="16"/>
              </w:rPr>
              <w:t>、年平均径流大，临时工程费用大；</w:t>
            </w:r>
          </w:p>
          <w:p w14:paraId="0C5302BE"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4</w:t>
            </w:r>
            <w:r>
              <w:rPr>
                <w:rFonts w:ascii="Times New Roman" w:eastAsia="宋体" w:hAnsi="Times New Roman" w:cs="Times New Roman"/>
                <w:snapToGrid w:val="0"/>
                <w:kern w:val="0"/>
                <w:sz w:val="21"/>
                <w:szCs w:val="16"/>
              </w:rPr>
              <w:t>、对鱼类、鸟类产生极其不利的影响；</w:t>
            </w:r>
          </w:p>
        </w:tc>
      </w:tr>
      <w:tr w:rsidR="009D12AF" w14:paraId="4DC6669C" w14:textId="77777777">
        <w:tc>
          <w:tcPr>
            <w:tcW w:w="1349" w:type="dxa"/>
            <w:tcBorders>
              <w:tl2br w:val="nil"/>
              <w:tr2bl w:val="nil"/>
            </w:tcBorders>
            <w:vAlign w:val="center"/>
          </w:tcPr>
          <w:p w14:paraId="0866382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挖泥船</w:t>
            </w:r>
          </w:p>
        </w:tc>
        <w:tc>
          <w:tcPr>
            <w:tcW w:w="3487" w:type="dxa"/>
            <w:tcBorders>
              <w:tl2br w:val="nil"/>
              <w:tr2bl w:val="nil"/>
            </w:tcBorders>
            <w:vAlign w:val="center"/>
          </w:tcPr>
          <w:p w14:paraId="54842DC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1</w:t>
            </w:r>
            <w:r>
              <w:rPr>
                <w:rFonts w:ascii="Times New Roman" w:eastAsia="宋体" w:hAnsi="Times New Roman" w:cs="Times New Roman"/>
                <w:snapToGrid w:val="0"/>
                <w:kern w:val="0"/>
                <w:sz w:val="21"/>
                <w:szCs w:val="16"/>
              </w:rPr>
              <w:t>、不必放空水域及导流；</w:t>
            </w:r>
          </w:p>
          <w:p w14:paraId="6DDD9C7C"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2</w:t>
            </w:r>
            <w:r>
              <w:rPr>
                <w:rFonts w:ascii="Times New Roman" w:eastAsia="宋体" w:hAnsi="Times New Roman" w:cs="Times New Roman"/>
                <w:snapToGrid w:val="0"/>
                <w:kern w:val="0"/>
                <w:sz w:val="21"/>
                <w:szCs w:val="16"/>
              </w:rPr>
              <w:t>、不影响汛期施工；</w:t>
            </w:r>
          </w:p>
          <w:p w14:paraId="69C935C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3</w:t>
            </w:r>
            <w:r>
              <w:rPr>
                <w:rFonts w:ascii="Times New Roman" w:eastAsia="宋体" w:hAnsi="Times New Roman" w:cs="Times New Roman"/>
                <w:snapToGrid w:val="0"/>
                <w:kern w:val="0"/>
                <w:sz w:val="21"/>
                <w:szCs w:val="16"/>
              </w:rPr>
              <w:t>、临时工程费用小。</w:t>
            </w:r>
          </w:p>
        </w:tc>
        <w:tc>
          <w:tcPr>
            <w:tcW w:w="3686" w:type="dxa"/>
            <w:tcBorders>
              <w:tl2br w:val="nil"/>
              <w:tr2bl w:val="nil"/>
            </w:tcBorders>
            <w:vAlign w:val="center"/>
          </w:tcPr>
          <w:p w14:paraId="672139D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1</w:t>
            </w:r>
            <w:r>
              <w:rPr>
                <w:rFonts w:ascii="Times New Roman" w:eastAsia="宋体" w:hAnsi="Times New Roman" w:cs="Times New Roman"/>
                <w:snapToGrid w:val="0"/>
                <w:kern w:val="0"/>
                <w:sz w:val="21"/>
                <w:szCs w:val="16"/>
              </w:rPr>
              <w:t>、存在因淤泥在水中扩散而形成二次污染的可能性；</w:t>
            </w:r>
          </w:p>
          <w:p w14:paraId="00B57E99"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snapToGrid w:val="0"/>
                <w:kern w:val="0"/>
                <w:sz w:val="21"/>
                <w:szCs w:val="16"/>
              </w:rPr>
              <w:t>2</w:t>
            </w:r>
            <w:r>
              <w:rPr>
                <w:rFonts w:ascii="Times New Roman" w:eastAsia="宋体" w:hAnsi="Times New Roman" w:cs="Times New Roman"/>
                <w:snapToGrid w:val="0"/>
                <w:kern w:val="0"/>
                <w:sz w:val="21"/>
                <w:szCs w:val="16"/>
              </w:rPr>
              <w:t>、需控制施工时序，非汛期进行库尾施工；</w:t>
            </w:r>
          </w:p>
        </w:tc>
      </w:tr>
    </w:tbl>
    <w:p w14:paraId="4F5B3CE6" w14:textId="77777777" w:rsidR="009D12AF" w:rsidRDefault="00000000">
      <w:pPr>
        <w:ind w:firstLine="480"/>
      </w:pPr>
      <w:r>
        <w:t>通过方案比选，考虑到各个区域水深条件，本次水库清淤工程推荐清淤船清淤的方案。</w:t>
      </w:r>
    </w:p>
    <w:p w14:paraId="7A3C1AC5" w14:textId="77777777" w:rsidR="009D12AF" w:rsidRDefault="00000000">
      <w:pPr>
        <w:ind w:firstLine="480"/>
      </w:pPr>
      <w:r>
        <w:rPr>
          <w:rFonts w:hint="eastAsia"/>
        </w:rPr>
        <w:t>5</w:t>
      </w:r>
      <w:r>
        <w:rPr>
          <w:rFonts w:hint="eastAsia"/>
        </w:rPr>
        <w:t>、淤泥处置工艺比选</w:t>
      </w:r>
    </w:p>
    <w:p w14:paraId="6EDBE1E3" w14:textId="77777777" w:rsidR="009D12AF" w:rsidRDefault="00000000">
      <w:pPr>
        <w:pStyle w:val="af1"/>
        <w:adjustRightInd w:val="0"/>
        <w:snapToGrid w:val="0"/>
      </w:pPr>
      <w:r>
        <w:rPr>
          <w:rFonts w:hint="eastAsia"/>
        </w:rPr>
        <w:t>现有淤泥处理技术主要分为脱水和固化，脱水有自然脱水干燥法、真空预压脱水法、土工管袋法、机械脱水法，固化有脱水固结一体化法。对于具体的河湖淤泥清淤工程，要根据当地实际情况来选择采用何种淤泥处置方式。此外，河湖淤泥的处理处置应根据地区经济条件和环境条件，优先进行减量化和无害化，有条件时应考虑淤泥的资源化利用。</w:t>
      </w:r>
    </w:p>
    <w:p w14:paraId="0475B815" w14:textId="77777777" w:rsidR="009D12AF" w:rsidRDefault="00000000">
      <w:pPr>
        <w:ind w:firstLine="482"/>
        <w:jc w:val="center"/>
        <w:rPr>
          <w:b/>
          <w:bCs/>
        </w:rPr>
      </w:pPr>
      <w:r>
        <w:rPr>
          <w:rFonts w:hint="eastAsia"/>
          <w:b/>
          <w:bCs/>
        </w:rPr>
        <w:t>表</w:t>
      </w:r>
      <w:r>
        <w:rPr>
          <w:rFonts w:hint="eastAsia"/>
          <w:b/>
          <w:bCs/>
        </w:rPr>
        <w:t>3.2-7</w:t>
      </w:r>
      <w:r>
        <w:rPr>
          <w:rFonts w:hint="eastAsia"/>
          <w:b/>
          <w:bCs/>
        </w:rPr>
        <w:t>淤泥干化工艺比选表</w:t>
      </w:r>
    </w:p>
    <w:tbl>
      <w:tblPr>
        <w:tblW w:w="8515" w:type="dxa"/>
        <w:tblInd w:w="240" w:type="dxa"/>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19"/>
        <w:gridCol w:w="1740"/>
        <w:gridCol w:w="1520"/>
        <w:gridCol w:w="1380"/>
        <w:gridCol w:w="1437"/>
        <w:gridCol w:w="1719"/>
      </w:tblGrid>
      <w:tr w:rsidR="009D12AF" w14:paraId="56D17AF8" w14:textId="77777777">
        <w:trPr>
          <w:trHeight w:val="370"/>
        </w:trPr>
        <w:tc>
          <w:tcPr>
            <w:tcW w:w="719" w:type="dxa"/>
            <w:vMerge w:val="restart"/>
            <w:vAlign w:val="center"/>
          </w:tcPr>
          <w:p w14:paraId="33239F6C" w14:textId="77777777" w:rsidR="009D12AF" w:rsidRDefault="00000000">
            <w:pPr>
              <w:spacing w:line="240" w:lineRule="auto"/>
              <w:ind w:firstLineChars="0" w:firstLine="0"/>
              <w:jc w:val="center"/>
              <w:rPr>
                <w:sz w:val="21"/>
              </w:rPr>
            </w:pPr>
            <w:r>
              <w:rPr>
                <w:rFonts w:hint="eastAsia"/>
                <w:sz w:val="21"/>
              </w:rPr>
              <w:t>方法</w:t>
            </w:r>
          </w:p>
        </w:tc>
        <w:tc>
          <w:tcPr>
            <w:tcW w:w="1740" w:type="dxa"/>
            <w:vMerge w:val="restart"/>
            <w:vAlign w:val="center"/>
          </w:tcPr>
          <w:p w14:paraId="78A7C900" w14:textId="77777777" w:rsidR="009D12AF" w:rsidRDefault="00000000">
            <w:pPr>
              <w:spacing w:line="240" w:lineRule="auto"/>
              <w:ind w:firstLineChars="0" w:firstLine="0"/>
              <w:jc w:val="center"/>
              <w:rPr>
                <w:sz w:val="21"/>
              </w:rPr>
            </w:pPr>
            <w:r>
              <w:rPr>
                <w:rFonts w:hint="eastAsia"/>
                <w:sz w:val="21"/>
              </w:rPr>
              <w:t>土工管袋法</w:t>
            </w:r>
          </w:p>
        </w:tc>
        <w:tc>
          <w:tcPr>
            <w:tcW w:w="1520" w:type="dxa"/>
            <w:vMerge w:val="restart"/>
            <w:vAlign w:val="center"/>
          </w:tcPr>
          <w:p w14:paraId="57D6EBE0" w14:textId="77777777" w:rsidR="009D12AF" w:rsidRDefault="00000000">
            <w:pPr>
              <w:spacing w:line="240" w:lineRule="auto"/>
              <w:ind w:firstLineChars="0" w:firstLine="0"/>
              <w:jc w:val="center"/>
              <w:rPr>
                <w:sz w:val="21"/>
              </w:rPr>
            </w:pPr>
            <w:r>
              <w:rPr>
                <w:rFonts w:hint="eastAsia"/>
                <w:sz w:val="21"/>
              </w:rPr>
              <w:t>机械脱水法</w:t>
            </w:r>
          </w:p>
        </w:tc>
        <w:tc>
          <w:tcPr>
            <w:tcW w:w="1380" w:type="dxa"/>
            <w:vMerge w:val="restart"/>
            <w:vAlign w:val="center"/>
          </w:tcPr>
          <w:p w14:paraId="6B23D959" w14:textId="77777777" w:rsidR="009D12AF" w:rsidRDefault="00000000">
            <w:pPr>
              <w:spacing w:line="240" w:lineRule="auto"/>
              <w:ind w:firstLineChars="0" w:firstLine="0"/>
              <w:jc w:val="center"/>
              <w:rPr>
                <w:sz w:val="21"/>
              </w:rPr>
            </w:pPr>
            <w:r>
              <w:rPr>
                <w:rFonts w:hint="eastAsia"/>
                <w:sz w:val="21"/>
              </w:rPr>
              <w:t>化学加固法</w:t>
            </w:r>
          </w:p>
        </w:tc>
        <w:tc>
          <w:tcPr>
            <w:tcW w:w="3156" w:type="dxa"/>
            <w:gridSpan w:val="2"/>
            <w:tcBorders>
              <w:bottom w:val="single" w:sz="4" w:space="0" w:color="auto"/>
            </w:tcBorders>
            <w:vAlign w:val="center"/>
          </w:tcPr>
          <w:p w14:paraId="59561787" w14:textId="77777777" w:rsidR="009D12AF" w:rsidRDefault="00000000">
            <w:pPr>
              <w:spacing w:line="240" w:lineRule="auto"/>
              <w:ind w:firstLineChars="0" w:firstLine="0"/>
              <w:jc w:val="center"/>
              <w:rPr>
                <w:sz w:val="21"/>
              </w:rPr>
            </w:pPr>
            <w:r>
              <w:rPr>
                <w:rFonts w:hint="eastAsia"/>
                <w:sz w:val="21"/>
              </w:rPr>
              <w:t>真空预压法</w:t>
            </w:r>
          </w:p>
        </w:tc>
      </w:tr>
      <w:tr w:rsidR="009D12AF" w14:paraId="22B51191" w14:textId="77777777">
        <w:trPr>
          <w:trHeight w:val="312"/>
        </w:trPr>
        <w:tc>
          <w:tcPr>
            <w:tcW w:w="719" w:type="dxa"/>
            <w:vMerge/>
            <w:vAlign w:val="center"/>
          </w:tcPr>
          <w:p w14:paraId="3D676FA2" w14:textId="77777777" w:rsidR="009D12AF" w:rsidRDefault="009D12AF">
            <w:pPr>
              <w:spacing w:line="240" w:lineRule="auto"/>
              <w:ind w:firstLineChars="0" w:firstLine="0"/>
              <w:jc w:val="center"/>
              <w:rPr>
                <w:sz w:val="21"/>
              </w:rPr>
            </w:pPr>
          </w:p>
        </w:tc>
        <w:tc>
          <w:tcPr>
            <w:tcW w:w="1740" w:type="dxa"/>
            <w:vMerge/>
            <w:vAlign w:val="center"/>
          </w:tcPr>
          <w:p w14:paraId="44327723" w14:textId="77777777" w:rsidR="009D12AF" w:rsidRDefault="009D12AF">
            <w:pPr>
              <w:spacing w:line="240" w:lineRule="auto"/>
              <w:ind w:firstLineChars="0" w:firstLine="0"/>
              <w:jc w:val="center"/>
              <w:rPr>
                <w:sz w:val="21"/>
              </w:rPr>
            </w:pPr>
          </w:p>
        </w:tc>
        <w:tc>
          <w:tcPr>
            <w:tcW w:w="1520" w:type="dxa"/>
            <w:vMerge/>
            <w:vAlign w:val="center"/>
          </w:tcPr>
          <w:p w14:paraId="5F115906" w14:textId="77777777" w:rsidR="009D12AF" w:rsidRDefault="009D12AF">
            <w:pPr>
              <w:spacing w:line="240" w:lineRule="auto"/>
              <w:ind w:firstLineChars="0" w:firstLine="0"/>
              <w:jc w:val="center"/>
              <w:rPr>
                <w:sz w:val="21"/>
              </w:rPr>
            </w:pPr>
          </w:p>
        </w:tc>
        <w:tc>
          <w:tcPr>
            <w:tcW w:w="1380" w:type="dxa"/>
            <w:vMerge/>
            <w:vAlign w:val="center"/>
          </w:tcPr>
          <w:p w14:paraId="379116D1" w14:textId="77777777" w:rsidR="009D12AF" w:rsidRDefault="009D12AF">
            <w:pPr>
              <w:spacing w:line="240" w:lineRule="auto"/>
              <w:ind w:firstLineChars="0" w:firstLine="0"/>
              <w:jc w:val="center"/>
              <w:rPr>
                <w:sz w:val="21"/>
              </w:rPr>
            </w:pPr>
          </w:p>
        </w:tc>
        <w:tc>
          <w:tcPr>
            <w:tcW w:w="1437" w:type="dxa"/>
            <w:tcBorders>
              <w:top w:val="single" w:sz="4" w:space="0" w:color="auto"/>
            </w:tcBorders>
            <w:vAlign w:val="center"/>
          </w:tcPr>
          <w:p w14:paraId="54252F62" w14:textId="77777777" w:rsidR="009D12AF" w:rsidRDefault="00000000">
            <w:pPr>
              <w:spacing w:line="240" w:lineRule="auto"/>
              <w:ind w:firstLineChars="0" w:firstLine="0"/>
              <w:jc w:val="center"/>
              <w:rPr>
                <w:sz w:val="21"/>
              </w:rPr>
            </w:pPr>
            <w:r>
              <w:rPr>
                <w:rFonts w:hint="eastAsia"/>
                <w:sz w:val="21"/>
              </w:rPr>
              <w:t>常规</w:t>
            </w:r>
          </w:p>
        </w:tc>
        <w:tc>
          <w:tcPr>
            <w:tcW w:w="1719" w:type="dxa"/>
            <w:tcBorders>
              <w:top w:val="single" w:sz="4" w:space="0" w:color="auto"/>
            </w:tcBorders>
            <w:vAlign w:val="center"/>
          </w:tcPr>
          <w:p w14:paraId="3197AC2D" w14:textId="77777777" w:rsidR="009D12AF" w:rsidRDefault="00000000">
            <w:pPr>
              <w:spacing w:line="240" w:lineRule="auto"/>
              <w:ind w:firstLineChars="0" w:firstLine="0"/>
              <w:jc w:val="center"/>
              <w:rPr>
                <w:sz w:val="21"/>
              </w:rPr>
            </w:pPr>
            <w:r>
              <w:rPr>
                <w:rFonts w:hint="eastAsia"/>
                <w:sz w:val="21"/>
              </w:rPr>
              <w:t>相变式真空预压</w:t>
            </w:r>
          </w:p>
        </w:tc>
      </w:tr>
      <w:tr w:rsidR="009D12AF" w14:paraId="273A1EEC" w14:textId="77777777">
        <w:trPr>
          <w:trHeight w:val="397"/>
        </w:trPr>
        <w:tc>
          <w:tcPr>
            <w:tcW w:w="719" w:type="dxa"/>
            <w:vAlign w:val="center"/>
          </w:tcPr>
          <w:p w14:paraId="176FABA3" w14:textId="77777777" w:rsidR="009D12AF" w:rsidRDefault="00000000">
            <w:pPr>
              <w:spacing w:line="240" w:lineRule="auto"/>
              <w:ind w:firstLineChars="0" w:firstLine="0"/>
              <w:jc w:val="center"/>
              <w:rPr>
                <w:sz w:val="21"/>
              </w:rPr>
            </w:pPr>
            <w:r>
              <w:rPr>
                <w:rFonts w:hint="eastAsia"/>
                <w:sz w:val="21"/>
              </w:rPr>
              <w:t>主要工艺</w:t>
            </w:r>
          </w:p>
        </w:tc>
        <w:tc>
          <w:tcPr>
            <w:tcW w:w="1740" w:type="dxa"/>
            <w:vAlign w:val="center"/>
          </w:tcPr>
          <w:p w14:paraId="32185C64" w14:textId="77777777" w:rsidR="009D12AF" w:rsidRDefault="00000000">
            <w:pPr>
              <w:spacing w:line="240" w:lineRule="auto"/>
              <w:ind w:firstLineChars="0" w:firstLine="0"/>
              <w:jc w:val="center"/>
              <w:rPr>
                <w:sz w:val="21"/>
              </w:rPr>
            </w:pPr>
            <w:r>
              <w:rPr>
                <w:rFonts w:hint="eastAsia"/>
                <w:sz w:val="21"/>
              </w:rPr>
              <w:t>在输送泥浆管道中注入一定量的调理剂，经管道充分混合</w:t>
            </w:r>
            <w:r>
              <w:rPr>
                <w:rFonts w:hint="eastAsia"/>
                <w:sz w:val="21"/>
              </w:rPr>
              <w:t xml:space="preserve"> </w:t>
            </w:r>
          </w:p>
          <w:p w14:paraId="6B9D2970" w14:textId="77777777" w:rsidR="009D12AF" w:rsidRDefault="00000000">
            <w:pPr>
              <w:spacing w:line="240" w:lineRule="auto"/>
              <w:ind w:firstLineChars="0" w:firstLine="0"/>
              <w:jc w:val="center"/>
              <w:rPr>
                <w:sz w:val="21"/>
              </w:rPr>
            </w:pPr>
            <w:r>
              <w:rPr>
                <w:rFonts w:hint="eastAsia"/>
                <w:sz w:val="21"/>
              </w:rPr>
              <w:t>后充填进土工管袋中渗滤脱水，可用于重金属污染底泥脱水。</w:t>
            </w:r>
          </w:p>
        </w:tc>
        <w:tc>
          <w:tcPr>
            <w:tcW w:w="1520" w:type="dxa"/>
            <w:vAlign w:val="center"/>
          </w:tcPr>
          <w:p w14:paraId="074BA7F9" w14:textId="77777777" w:rsidR="009D12AF" w:rsidRDefault="00000000">
            <w:pPr>
              <w:spacing w:line="240" w:lineRule="auto"/>
              <w:ind w:firstLineChars="0" w:firstLine="0"/>
              <w:jc w:val="center"/>
              <w:rPr>
                <w:sz w:val="21"/>
              </w:rPr>
            </w:pPr>
            <w:r>
              <w:rPr>
                <w:rFonts w:hint="eastAsia"/>
                <w:sz w:val="21"/>
              </w:rPr>
              <w:t>使用带式压滤机将搅拌后的污泥压滤成泥饼，需要使用絮凝剂进行泥浆调理。</w:t>
            </w:r>
          </w:p>
        </w:tc>
        <w:tc>
          <w:tcPr>
            <w:tcW w:w="1380" w:type="dxa"/>
            <w:vAlign w:val="center"/>
          </w:tcPr>
          <w:p w14:paraId="7C77BFB7" w14:textId="77777777" w:rsidR="009D12AF" w:rsidRDefault="00000000">
            <w:pPr>
              <w:spacing w:line="240" w:lineRule="auto"/>
              <w:ind w:firstLineChars="0" w:firstLine="0"/>
              <w:jc w:val="center"/>
              <w:rPr>
                <w:sz w:val="21"/>
              </w:rPr>
            </w:pPr>
            <w:r>
              <w:rPr>
                <w:rFonts w:hint="eastAsia"/>
                <w:sz w:val="21"/>
              </w:rPr>
              <w:t>掺入固化剂搅拌固化，常用固化剂：水泥、生石灰、粉煤灰、石粉等，掺入量</w:t>
            </w:r>
            <w:r>
              <w:rPr>
                <w:rFonts w:hint="eastAsia"/>
                <w:sz w:val="21"/>
              </w:rPr>
              <w:t xml:space="preserve"> 40%</w:t>
            </w:r>
            <w:r>
              <w:rPr>
                <w:rFonts w:hint="eastAsia"/>
                <w:sz w:val="21"/>
              </w:rPr>
              <w:t>左右。</w:t>
            </w:r>
          </w:p>
        </w:tc>
        <w:tc>
          <w:tcPr>
            <w:tcW w:w="1437" w:type="dxa"/>
            <w:vAlign w:val="center"/>
          </w:tcPr>
          <w:p w14:paraId="1902BB88" w14:textId="77777777" w:rsidR="009D12AF" w:rsidRDefault="00000000">
            <w:pPr>
              <w:spacing w:line="240" w:lineRule="auto"/>
              <w:ind w:firstLineChars="0" w:firstLine="0"/>
              <w:jc w:val="center"/>
              <w:rPr>
                <w:sz w:val="21"/>
              </w:rPr>
            </w:pPr>
            <w:r>
              <w:rPr>
                <w:rFonts w:hint="eastAsia"/>
                <w:sz w:val="21"/>
              </w:rPr>
              <w:t>在待加固的土体中，插入</w:t>
            </w:r>
            <w:r>
              <w:rPr>
                <w:rFonts w:hint="eastAsia"/>
                <w:sz w:val="21"/>
              </w:rPr>
              <w:t xml:space="preserve"> </w:t>
            </w:r>
          </w:p>
          <w:p w14:paraId="18E10130" w14:textId="77777777" w:rsidR="009D12AF" w:rsidRDefault="00000000">
            <w:pPr>
              <w:spacing w:line="240" w:lineRule="auto"/>
              <w:ind w:firstLineChars="0" w:firstLine="0"/>
              <w:jc w:val="center"/>
              <w:rPr>
                <w:sz w:val="21"/>
              </w:rPr>
            </w:pPr>
            <w:r>
              <w:rPr>
                <w:rFonts w:hint="eastAsia"/>
                <w:sz w:val="21"/>
              </w:rPr>
              <w:t>竖向排水通道，在真空负</w:t>
            </w:r>
            <w:r>
              <w:rPr>
                <w:rFonts w:hint="eastAsia"/>
                <w:sz w:val="21"/>
              </w:rPr>
              <w:t xml:space="preserve"> </w:t>
            </w:r>
          </w:p>
          <w:p w14:paraId="0AF74B6F" w14:textId="77777777" w:rsidR="009D12AF" w:rsidRDefault="00000000">
            <w:pPr>
              <w:spacing w:line="240" w:lineRule="auto"/>
              <w:ind w:firstLineChars="0" w:firstLine="0"/>
              <w:jc w:val="center"/>
              <w:rPr>
                <w:sz w:val="21"/>
              </w:rPr>
            </w:pPr>
            <w:r>
              <w:rPr>
                <w:rFonts w:hint="eastAsia"/>
                <w:sz w:val="21"/>
              </w:rPr>
              <w:t>压的条件下，使土体中的</w:t>
            </w:r>
            <w:r>
              <w:rPr>
                <w:rFonts w:hint="eastAsia"/>
                <w:sz w:val="21"/>
              </w:rPr>
              <w:t xml:space="preserve"> </w:t>
            </w:r>
          </w:p>
          <w:p w14:paraId="4C158F41" w14:textId="77777777" w:rsidR="009D12AF" w:rsidRDefault="00000000">
            <w:pPr>
              <w:spacing w:line="240" w:lineRule="auto"/>
              <w:ind w:firstLineChars="0" w:firstLine="0"/>
              <w:jc w:val="center"/>
              <w:rPr>
                <w:sz w:val="21"/>
              </w:rPr>
            </w:pPr>
            <w:r>
              <w:rPr>
                <w:rFonts w:hint="eastAsia"/>
                <w:sz w:val="21"/>
              </w:rPr>
              <w:t>自由水排出。</w:t>
            </w:r>
          </w:p>
        </w:tc>
        <w:tc>
          <w:tcPr>
            <w:tcW w:w="1719" w:type="dxa"/>
            <w:vAlign w:val="center"/>
          </w:tcPr>
          <w:p w14:paraId="722597B6" w14:textId="77777777" w:rsidR="009D12AF" w:rsidRDefault="00000000">
            <w:pPr>
              <w:spacing w:line="240" w:lineRule="auto"/>
              <w:ind w:firstLineChars="0" w:firstLine="0"/>
              <w:jc w:val="center"/>
              <w:rPr>
                <w:sz w:val="21"/>
              </w:rPr>
            </w:pPr>
            <w:r>
              <w:rPr>
                <w:rFonts w:hint="eastAsia"/>
                <w:sz w:val="21"/>
              </w:rPr>
              <w:t>在常规真空预压技术的条件上，土体中水分在真空负压和土体增温双控条件下发生相变汽化后快速抽出，使淤泥在原位脱水固</w:t>
            </w:r>
            <w:r>
              <w:rPr>
                <w:rFonts w:hint="eastAsia"/>
                <w:sz w:val="21"/>
              </w:rPr>
              <w:lastRenderedPageBreak/>
              <w:t>结。</w:t>
            </w:r>
          </w:p>
        </w:tc>
      </w:tr>
      <w:tr w:rsidR="009D12AF" w14:paraId="1A5C20C3" w14:textId="77777777">
        <w:trPr>
          <w:trHeight w:val="397"/>
        </w:trPr>
        <w:tc>
          <w:tcPr>
            <w:tcW w:w="719" w:type="dxa"/>
            <w:vAlign w:val="center"/>
          </w:tcPr>
          <w:p w14:paraId="7BC11CAC" w14:textId="77777777" w:rsidR="009D12AF" w:rsidRDefault="00000000">
            <w:pPr>
              <w:spacing w:line="240" w:lineRule="auto"/>
              <w:ind w:firstLineChars="0" w:firstLine="0"/>
              <w:jc w:val="center"/>
              <w:rPr>
                <w:sz w:val="21"/>
              </w:rPr>
            </w:pPr>
            <w:r>
              <w:rPr>
                <w:rFonts w:hint="eastAsia"/>
                <w:sz w:val="21"/>
              </w:rPr>
              <w:lastRenderedPageBreak/>
              <w:t>处理效果</w:t>
            </w:r>
          </w:p>
        </w:tc>
        <w:tc>
          <w:tcPr>
            <w:tcW w:w="1740" w:type="dxa"/>
            <w:vAlign w:val="center"/>
          </w:tcPr>
          <w:p w14:paraId="3A75E3A0" w14:textId="77777777" w:rsidR="009D12AF" w:rsidRDefault="00000000">
            <w:pPr>
              <w:spacing w:line="240" w:lineRule="auto"/>
              <w:ind w:firstLineChars="0" w:firstLine="0"/>
              <w:jc w:val="center"/>
              <w:rPr>
                <w:sz w:val="21"/>
              </w:rPr>
            </w:pPr>
            <w:r>
              <w:rPr>
                <w:rFonts w:hint="eastAsia"/>
                <w:sz w:val="21"/>
              </w:rPr>
              <w:t>工艺成熟，操作简单，不改变</w:t>
            </w:r>
            <w:r>
              <w:rPr>
                <w:rFonts w:hint="eastAsia"/>
                <w:sz w:val="21"/>
              </w:rPr>
              <w:t xml:space="preserve"> </w:t>
            </w:r>
          </w:p>
          <w:p w14:paraId="57AA55C1" w14:textId="77777777" w:rsidR="009D12AF" w:rsidRDefault="00000000">
            <w:pPr>
              <w:spacing w:line="240" w:lineRule="auto"/>
              <w:ind w:firstLineChars="0" w:firstLine="0"/>
              <w:jc w:val="center"/>
              <w:rPr>
                <w:sz w:val="21"/>
              </w:rPr>
            </w:pPr>
            <w:r>
              <w:rPr>
                <w:rFonts w:hint="eastAsia"/>
                <w:sz w:val="21"/>
              </w:rPr>
              <w:t>底泥理化性质，便于资源化利</w:t>
            </w:r>
            <w:r>
              <w:rPr>
                <w:rFonts w:hint="eastAsia"/>
                <w:sz w:val="21"/>
              </w:rPr>
              <w:t xml:space="preserve"> </w:t>
            </w:r>
          </w:p>
          <w:p w14:paraId="3CA8A4C8" w14:textId="77777777" w:rsidR="009D12AF" w:rsidRDefault="00000000">
            <w:pPr>
              <w:spacing w:line="240" w:lineRule="auto"/>
              <w:ind w:firstLineChars="0" w:firstLine="0"/>
              <w:jc w:val="center"/>
              <w:rPr>
                <w:sz w:val="21"/>
              </w:rPr>
            </w:pPr>
            <w:r>
              <w:rPr>
                <w:rFonts w:hint="eastAsia"/>
                <w:sz w:val="21"/>
              </w:rPr>
              <w:t>用。</w:t>
            </w:r>
          </w:p>
        </w:tc>
        <w:tc>
          <w:tcPr>
            <w:tcW w:w="1520" w:type="dxa"/>
            <w:vAlign w:val="center"/>
          </w:tcPr>
          <w:p w14:paraId="2CC65410" w14:textId="77777777" w:rsidR="009D12AF" w:rsidRDefault="00000000">
            <w:pPr>
              <w:spacing w:line="240" w:lineRule="auto"/>
              <w:ind w:firstLineChars="0" w:firstLine="0"/>
              <w:jc w:val="center"/>
              <w:rPr>
                <w:sz w:val="21"/>
              </w:rPr>
            </w:pPr>
            <w:r>
              <w:rPr>
                <w:rFonts w:hint="eastAsia"/>
                <w:sz w:val="21"/>
              </w:rPr>
              <w:t>生产能力大、连续化生产、底泥脱水后可资源化利用。</w:t>
            </w:r>
          </w:p>
        </w:tc>
        <w:tc>
          <w:tcPr>
            <w:tcW w:w="1380" w:type="dxa"/>
            <w:vAlign w:val="center"/>
          </w:tcPr>
          <w:p w14:paraId="4F93C79F" w14:textId="77777777" w:rsidR="009D12AF" w:rsidRDefault="00000000">
            <w:pPr>
              <w:spacing w:line="240" w:lineRule="auto"/>
              <w:ind w:firstLineChars="0" w:firstLine="0"/>
              <w:jc w:val="center"/>
              <w:rPr>
                <w:sz w:val="21"/>
              </w:rPr>
            </w:pPr>
            <w:r>
              <w:rPr>
                <w:rFonts w:hint="eastAsia"/>
                <w:sz w:val="21"/>
              </w:rPr>
              <w:t>搅拌均匀后处理效果好、强度高、处理深度受限。</w:t>
            </w:r>
          </w:p>
        </w:tc>
        <w:tc>
          <w:tcPr>
            <w:tcW w:w="1437" w:type="dxa"/>
            <w:vAlign w:val="center"/>
          </w:tcPr>
          <w:p w14:paraId="735E087C" w14:textId="77777777" w:rsidR="009D12AF" w:rsidRDefault="00000000">
            <w:pPr>
              <w:spacing w:line="240" w:lineRule="auto"/>
              <w:ind w:firstLineChars="0" w:firstLine="0"/>
              <w:jc w:val="center"/>
              <w:rPr>
                <w:sz w:val="21"/>
              </w:rPr>
            </w:pPr>
            <w:r>
              <w:rPr>
                <w:rFonts w:hint="eastAsia"/>
                <w:sz w:val="21"/>
              </w:rPr>
              <w:t>工艺成熟，操作简单，脱水效果较好，批处理量较大，但工期冗长。</w:t>
            </w:r>
          </w:p>
        </w:tc>
        <w:tc>
          <w:tcPr>
            <w:tcW w:w="1719" w:type="dxa"/>
            <w:vAlign w:val="center"/>
          </w:tcPr>
          <w:p w14:paraId="79786232" w14:textId="77777777" w:rsidR="009D12AF" w:rsidRDefault="00000000">
            <w:pPr>
              <w:spacing w:line="240" w:lineRule="auto"/>
              <w:ind w:firstLineChars="0" w:firstLine="0"/>
              <w:jc w:val="center"/>
              <w:rPr>
                <w:sz w:val="21"/>
              </w:rPr>
            </w:pPr>
            <w:r>
              <w:rPr>
                <w:rFonts w:hint="eastAsia"/>
                <w:sz w:val="21"/>
              </w:rPr>
              <w:t>工序较简单、操作简单，批处理量较大，处理后土质均匀，工期短，处理效果好。</w:t>
            </w:r>
          </w:p>
        </w:tc>
      </w:tr>
      <w:tr w:rsidR="009D12AF" w14:paraId="5A65A7A1" w14:textId="77777777">
        <w:trPr>
          <w:trHeight w:val="397"/>
        </w:trPr>
        <w:tc>
          <w:tcPr>
            <w:tcW w:w="719" w:type="dxa"/>
            <w:vAlign w:val="center"/>
          </w:tcPr>
          <w:p w14:paraId="5B619169" w14:textId="77777777" w:rsidR="009D12AF" w:rsidRDefault="00000000">
            <w:pPr>
              <w:spacing w:line="240" w:lineRule="auto"/>
              <w:ind w:firstLineChars="0" w:firstLine="0"/>
              <w:jc w:val="center"/>
              <w:rPr>
                <w:sz w:val="21"/>
              </w:rPr>
            </w:pPr>
            <w:r>
              <w:rPr>
                <w:rFonts w:hint="eastAsia"/>
                <w:sz w:val="21"/>
              </w:rPr>
              <w:t>施工可行性</w:t>
            </w:r>
          </w:p>
        </w:tc>
        <w:tc>
          <w:tcPr>
            <w:tcW w:w="1740" w:type="dxa"/>
            <w:vAlign w:val="center"/>
          </w:tcPr>
          <w:p w14:paraId="4914484E" w14:textId="77777777" w:rsidR="009D12AF" w:rsidRDefault="00000000">
            <w:pPr>
              <w:spacing w:line="240" w:lineRule="auto"/>
              <w:ind w:firstLineChars="0" w:firstLine="0"/>
              <w:jc w:val="center"/>
              <w:rPr>
                <w:sz w:val="21"/>
              </w:rPr>
            </w:pPr>
            <w:r>
              <w:rPr>
                <w:rFonts w:hint="eastAsia"/>
                <w:sz w:val="21"/>
              </w:rPr>
              <w:t>技术相对成熟，适应性较强，国内应用案例较多，施工可行</w:t>
            </w:r>
            <w:r>
              <w:rPr>
                <w:rFonts w:hint="eastAsia"/>
                <w:sz w:val="21"/>
              </w:rPr>
              <w:t xml:space="preserve"> </w:t>
            </w:r>
          </w:p>
          <w:p w14:paraId="2A26A60A" w14:textId="77777777" w:rsidR="009D12AF" w:rsidRDefault="00000000">
            <w:pPr>
              <w:spacing w:line="240" w:lineRule="auto"/>
              <w:ind w:firstLineChars="0" w:firstLine="0"/>
              <w:jc w:val="center"/>
              <w:rPr>
                <w:sz w:val="21"/>
              </w:rPr>
            </w:pPr>
            <w:r>
              <w:rPr>
                <w:rFonts w:hint="eastAsia"/>
                <w:sz w:val="21"/>
              </w:rPr>
              <w:t>性强。</w:t>
            </w:r>
          </w:p>
        </w:tc>
        <w:tc>
          <w:tcPr>
            <w:tcW w:w="1520" w:type="dxa"/>
            <w:vAlign w:val="center"/>
          </w:tcPr>
          <w:p w14:paraId="27BC8EF9" w14:textId="77777777" w:rsidR="009D12AF" w:rsidRDefault="00000000">
            <w:pPr>
              <w:spacing w:line="240" w:lineRule="auto"/>
              <w:ind w:firstLineChars="0" w:firstLine="0"/>
              <w:jc w:val="center"/>
              <w:rPr>
                <w:sz w:val="21"/>
              </w:rPr>
            </w:pPr>
            <w:r>
              <w:rPr>
                <w:rFonts w:hint="eastAsia"/>
                <w:sz w:val="21"/>
              </w:rPr>
              <w:t>技术相对成熟，国内应</w:t>
            </w:r>
            <w:r>
              <w:rPr>
                <w:rFonts w:hint="eastAsia"/>
                <w:sz w:val="21"/>
              </w:rPr>
              <w:t xml:space="preserve"> </w:t>
            </w:r>
          </w:p>
          <w:p w14:paraId="07C5A8EC" w14:textId="77777777" w:rsidR="009D12AF" w:rsidRDefault="00000000">
            <w:pPr>
              <w:spacing w:line="240" w:lineRule="auto"/>
              <w:ind w:firstLineChars="0" w:firstLine="0"/>
              <w:jc w:val="center"/>
              <w:rPr>
                <w:sz w:val="21"/>
              </w:rPr>
            </w:pPr>
            <w:r>
              <w:rPr>
                <w:rFonts w:hint="eastAsia"/>
                <w:sz w:val="21"/>
              </w:rPr>
              <w:t>用案例较多，施工可行性强。</w:t>
            </w:r>
          </w:p>
        </w:tc>
        <w:tc>
          <w:tcPr>
            <w:tcW w:w="1380" w:type="dxa"/>
            <w:vAlign w:val="center"/>
          </w:tcPr>
          <w:p w14:paraId="44EE1DA2" w14:textId="77777777" w:rsidR="009D12AF" w:rsidRDefault="00000000">
            <w:pPr>
              <w:spacing w:line="240" w:lineRule="auto"/>
              <w:ind w:firstLineChars="0" w:firstLine="0"/>
              <w:jc w:val="center"/>
              <w:rPr>
                <w:sz w:val="21"/>
              </w:rPr>
            </w:pPr>
            <w:r>
              <w:rPr>
                <w:rFonts w:hint="eastAsia"/>
                <w:sz w:val="21"/>
              </w:rPr>
              <w:t>在淤泥掺入固化剂进行搅拌，难度大，产能低、效率低，底泥固化后无法资源化利用。</w:t>
            </w:r>
          </w:p>
        </w:tc>
        <w:tc>
          <w:tcPr>
            <w:tcW w:w="1437" w:type="dxa"/>
            <w:vAlign w:val="center"/>
          </w:tcPr>
          <w:p w14:paraId="7DF396A8" w14:textId="77777777" w:rsidR="009D12AF" w:rsidRDefault="00000000">
            <w:pPr>
              <w:spacing w:line="240" w:lineRule="auto"/>
              <w:ind w:firstLineChars="0" w:firstLine="0"/>
              <w:jc w:val="center"/>
              <w:rPr>
                <w:sz w:val="21"/>
              </w:rPr>
            </w:pPr>
            <w:r>
              <w:rPr>
                <w:rFonts w:hint="eastAsia"/>
                <w:sz w:val="21"/>
              </w:rPr>
              <w:t>原位处理，批处理量大，量处理效果较</w:t>
            </w:r>
            <w:r>
              <w:rPr>
                <w:rFonts w:hint="eastAsia"/>
                <w:sz w:val="21"/>
              </w:rPr>
              <w:t xml:space="preserve"> </w:t>
            </w:r>
          </w:p>
          <w:p w14:paraId="04E79DD3" w14:textId="77777777" w:rsidR="009D12AF" w:rsidRDefault="00000000">
            <w:pPr>
              <w:spacing w:line="240" w:lineRule="auto"/>
              <w:ind w:firstLineChars="0" w:firstLine="0"/>
              <w:rPr>
                <w:sz w:val="21"/>
              </w:rPr>
            </w:pPr>
            <w:r>
              <w:rPr>
                <w:rFonts w:hint="eastAsia"/>
                <w:sz w:val="21"/>
              </w:rPr>
              <w:t>好，可行性受工期冗长限制。</w:t>
            </w:r>
          </w:p>
        </w:tc>
        <w:tc>
          <w:tcPr>
            <w:tcW w:w="1719" w:type="dxa"/>
            <w:vAlign w:val="center"/>
          </w:tcPr>
          <w:p w14:paraId="449E659E" w14:textId="77777777" w:rsidR="009D12AF" w:rsidRDefault="00000000">
            <w:pPr>
              <w:spacing w:line="240" w:lineRule="auto"/>
              <w:ind w:firstLineChars="0" w:firstLine="0"/>
              <w:jc w:val="center"/>
              <w:rPr>
                <w:sz w:val="21"/>
              </w:rPr>
            </w:pPr>
            <w:r>
              <w:rPr>
                <w:rFonts w:hint="eastAsia"/>
                <w:sz w:val="21"/>
              </w:rPr>
              <w:t>采用温压双控条件下土中水分</w:t>
            </w:r>
            <w:r>
              <w:rPr>
                <w:rFonts w:hint="eastAsia"/>
                <w:sz w:val="21"/>
              </w:rPr>
              <w:t xml:space="preserve"> </w:t>
            </w:r>
          </w:p>
          <w:p w14:paraId="0BAD408F" w14:textId="77777777" w:rsidR="009D12AF" w:rsidRDefault="00000000">
            <w:pPr>
              <w:spacing w:line="240" w:lineRule="auto"/>
              <w:ind w:firstLineChars="0" w:firstLine="0"/>
              <w:jc w:val="center"/>
              <w:rPr>
                <w:sz w:val="21"/>
              </w:rPr>
            </w:pPr>
            <w:r>
              <w:rPr>
                <w:rFonts w:hint="eastAsia"/>
                <w:sz w:val="21"/>
              </w:rPr>
              <w:t>发生温致相变作用，实现大批</w:t>
            </w:r>
            <w:r>
              <w:rPr>
                <w:rFonts w:hint="eastAsia"/>
                <w:sz w:val="21"/>
              </w:rPr>
              <w:t xml:space="preserve"> </w:t>
            </w:r>
          </w:p>
          <w:p w14:paraId="10925F7B" w14:textId="77777777" w:rsidR="009D12AF" w:rsidRDefault="00000000">
            <w:pPr>
              <w:spacing w:line="240" w:lineRule="auto"/>
              <w:ind w:firstLineChars="0" w:firstLine="0"/>
              <w:jc w:val="center"/>
              <w:rPr>
                <w:sz w:val="21"/>
              </w:rPr>
            </w:pPr>
            <w:r>
              <w:rPr>
                <w:rFonts w:hint="eastAsia"/>
                <w:sz w:val="21"/>
              </w:rPr>
              <w:t>量快速脱水。施工可行性强。</w:t>
            </w:r>
          </w:p>
        </w:tc>
      </w:tr>
      <w:tr w:rsidR="009D12AF" w14:paraId="74C3AB3B" w14:textId="77777777">
        <w:trPr>
          <w:trHeight w:val="397"/>
        </w:trPr>
        <w:tc>
          <w:tcPr>
            <w:tcW w:w="719" w:type="dxa"/>
            <w:vAlign w:val="center"/>
          </w:tcPr>
          <w:p w14:paraId="08DCC34D" w14:textId="77777777" w:rsidR="009D12AF" w:rsidRDefault="00000000">
            <w:pPr>
              <w:spacing w:line="240" w:lineRule="auto"/>
              <w:ind w:firstLineChars="0" w:firstLine="0"/>
              <w:jc w:val="center"/>
              <w:rPr>
                <w:sz w:val="21"/>
              </w:rPr>
            </w:pPr>
            <w:r>
              <w:rPr>
                <w:rFonts w:hint="eastAsia"/>
                <w:sz w:val="21"/>
              </w:rPr>
              <w:t>处理方式</w:t>
            </w:r>
          </w:p>
        </w:tc>
        <w:tc>
          <w:tcPr>
            <w:tcW w:w="1740" w:type="dxa"/>
            <w:vAlign w:val="center"/>
          </w:tcPr>
          <w:p w14:paraId="183D2576" w14:textId="77777777" w:rsidR="009D12AF" w:rsidRDefault="00000000">
            <w:pPr>
              <w:spacing w:line="240" w:lineRule="auto"/>
              <w:ind w:firstLineChars="0" w:firstLine="0"/>
              <w:jc w:val="center"/>
              <w:rPr>
                <w:sz w:val="21"/>
              </w:rPr>
            </w:pPr>
            <w:r>
              <w:rPr>
                <w:rFonts w:hint="eastAsia"/>
                <w:sz w:val="21"/>
              </w:rPr>
              <w:t>异位处理</w:t>
            </w:r>
          </w:p>
        </w:tc>
        <w:tc>
          <w:tcPr>
            <w:tcW w:w="1520" w:type="dxa"/>
            <w:vAlign w:val="center"/>
          </w:tcPr>
          <w:p w14:paraId="7CD2D417" w14:textId="77777777" w:rsidR="009D12AF" w:rsidRDefault="00000000">
            <w:pPr>
              <w:spacing w:line="240" w:lineRule="auto"/>
              <w:ind w:firstLineChars="0" w:firstLine="0"/>
              <w:jc w:val="center"/>
              <w:rPr>
                <w:sz w:val="21"/>
              </w:rPr>
            </w:pPr>
            <w:r>
              <w:rPr>
                <w:rFonts w:hint="eastAsia"/>
                <w:sz w:val="21"/>
              </w:rPr>
              <w:t>异位处理</w:t>
            </w:r>
          </w:p>
        </w:tc>
        <w:tc>
          <w:tcPr>
            <w:tcW w:w="1380" w:type="dxa"/>
            <w:vAlign w:val="center"/>
          </w:tcPr>
          <w:p w14:paraId="3F1F6759" w14:textId="77777777" w:rsidR="009D12AF" w:rsidRDefault="00000000">
            <w:pPr>
              <w:spacing w:line="240" w:lineRule="auto"/>
              <w:ind w:firstLineChars="0" w:firstLine="0"/>
              <w:jc w:val="center"/>
              <w:rPr>
                <w:sz w:val="21"/>
              </w:rPr>
            </w:pPr>
            <w:r>
              <w:rPr>
                <w:rFonts w:hint="eastAsia"/>
                <w:sz w:val="21"/>
              </w:rPr>
              <w:t>原位或异位处理</w:t>
            </w:r>
          </w:p>
        </w:tc>
        <w:tc>
          <w:tcPr>
            <w:tcW w:w="1437" w:type="dxa"/>
            <w:vAlign w:val="center"/>
          </w:tcPr>
          <w:p w14:paraId="32CC97E0" w14:textId="77777777" w:rsidR="009D12AF" w:rsidRDefault="00000000">
            <w:pPr>
              <w:spacing w:line="240" w:lineRule="auto"/>
              <w:ind w:firstLineChars="0" w:firstLine="0"/>
              <w:jc w:val="center"/>
              <w:rPr>
                <w:sz w:val="21"/>
              </w:rPr>
            </w:pPr>
            <w:r>
              <w:rPr>
                <w:rFonts w:hint="eastAsia"/>
                <w:sz w:val="21"/>
              </w:rPr>
              <w:t>原位或异位处理</w:t>
            </w:r>
          </w:p>
        </w:tc>
        <w:tc>
          <w:tcPr>
            <w:tcW w:w="1719" w:type="dxa"/>
            <w:vAlign w:val="center"/>
          </w:tcPr>
          <w:p w14:paraId="6DEB3E58" w14:textId="77777777" w:rsidR="009D12AF" w:rsidRDefault="00000000">
            <w:pPr>
              <w:spacing w:line="240" w:lineRule="auto"/>
              <w:ind w:firstLineChars="0" w:firstLine="0"/>
              <w:jc w:val="center"/>
              <w:rPr>
                <w:sz w:val="21"/>
              </w:rPr>
            </w:pPr>
            <w:r>
              <w:rPr>
                <w:rFonts w:hint="eastAsia"/>
                <w:sz w:val="21"/>
              </w:rPr>
              <w:t>原位或异位处理</w:t>
            </w:r>
          </w:p>
        </w:tc>
      </w:tr>
      <w:tr w:rsidR="009D12AF" w14:paraId="69C01760" w14:textId="77777777">
        <w:trPr>
          <w:trHeight w:val="397"/>
        </w:trPr>
        <w:tc>
          <w:tcPr>
            <w:tcW w:w="719" w:type="dxa"/>
            <w:vAlign w:val="center"/>
          </w:tcPr>
          <w:p w14:paraId="118CDA9E" w14:textId="77777777" w:rsidR="009D12AF" w:rsidRDefault="00000000">
            <w:pPr>
              <w:spacing w:line="240" w:lineRule="auto"/>
              <w:ind w:firstLineChars="0" w:firstLine="0"/>
              <w:jc w:val="center"/>
              <w:rPr>
                <w:sz w:val="21"/>
              </w:rPr>
            </w:pPr>
            <w:r>
              <w:rPr>
                <w:rFonts w:hint="eastAsia"/>
                <w:sz w:val="21"/>
              </w:rPr>
              <w:t>工程造价</w:t>
            </w:r>
          </w:p>
        </w:tc>
        <w:tc>
          <w:tcPr>
            <w:tcW w:w="1740" w:type="dxa"/>
            <w:vAlign w:val="center"/>
          </w:tcPr>
          <w:p w14:paraId="63AB8D54" w14:textId="77777777" w:rsidR="009D12AF" w:rsidRDefault="00000000">
            <w:pPr>
              <w:spacing w:line="240" w:lineRule="auto"/>
              <w:ind w:firstLineChars="0" w:firstLine="0"/>
              <w:jc w:val="center"/>
              <w:rPr>
                <w:sz w:val="21"/>
              </w:rPr>
            </w:pPr>
            <w:r>
              <w:rPr>
                <w:rFonts w:hint="eastAsia"/>
                <w:sz w:val="21"/>
              </w:rPr>
              <w:t>适中</w:t>
            </w:r>
          </w:p>
        </w:tc>
        <w:tc>
          <w:tcPr>
            <w:tcW w:w="1520" w:type="dxa"/>
            <w:vAlign w:val="center"/>
          </w:tcPr>
          <w:p w14:paraId="4759B69E" w14:textId="77777777" w:rsidR="009D12AF" w:rsidRDefault="00000000">
            <w:pPr>
              <w:spacing w:line="240" w:lineRule="auto"/>
              <w:ind w:firstLineChars="0" w:firstLine="0"/>
              <w:jc w:val="center"/>
              <w:rPr>
                <w:sz w:val="21"/>
              </w:rPr>
            </w:pPr>
            <w:r>
              <w:rPr>
                <w:rFonts w:hint="eastAsia"/>
                <w:sz w:val="21"/>
              </w:rPr>
              <w:t>适中</w:t>
            </w:r>
          </w:p>
        </w:tc>
        <w:tc>
          <w:tcPr>
            <w:tcW w:w="1380" w:type="dxa"/>
            <w:vAlign w:val="center"/>
          </w:tcPr>
          <w:p w14:paraId="57BFA2D7" w14:textId="77777777" w:rsidR="009D12AF" w:rsidRDefault="00000000">
            <w:pPr>
              <w:spacing w:line="240" w:lineRule="auto"/>
              <w:ind w:firstLineChars="0" w:firstLine="0"/>
              <w:jc w:val="center"/>
              <w:rPr>
                <w:sz w:val="21"/>
              </w:rPr>
            </w:pPr>
            <w:r>
              <w:rPr>
                <w:rFonts w:hint="eastAsia"/>
                <w:sz w:val="21"/>
              </w:rPr>
              <w:t>较高</w:t>
            </w:r>
          </w:p>
        </w:tc>
        <w:tc>
          <w:tcPr>
            <w:tcW w:w="1437" w:type="dxa"/>
            <w:vAlign w:val="center"/>
          </w:tcPr>
          <w:p w14:paraId="6DD6EAF8" w14:textId="77777777" w:rsidR="009D12AF" w:rsidRDefault="00000000">
            <w:pPr>
              <w:spacing w:line="240" w:lineRule="auto"/>
              <w:ind w:firstLineChars="0" w:firstLine="0"/>
              <w:jc w:val="center"/>
              <w:rPr>
                <w:sz w:val="21"/>
              </w:rPr>
            </w:pPr>
            <w:r>
              <w:rPr>
                <w:rFonts w:hint="eastAsia"/>
                <w:sz w:val="21"/>
              </w:rPr>
              <w:t>较低</w:t>
            </w:r>
          </w:p>
        </w:tc>
        <w:tc>
          <w:tcPr>
            <w:tcW w:w="1719" w:type="dxa"/>
            <w:vAlign w:val="center"/>
          </w:tcPr>
          <w:p w14:paraId="69011644" w14:textId="77777777" w:rsidR="009D12AF" w:rsidRDefault="00000000">
            <w:pPr>
              <w:spacing w:line="240" w:lineRule="auto"/>
              <w:ind w:firstLineChars="0" w:firstLine="0"/>
              <w:jc w:val="center"/>
              <w:rPr>
                <w:sz w:val="21"/>
              </w:rPr>
            </w:pPr>
            <w:r>
              <w:rPr>
                <w:rFonts w:hint="eastAsia"/>
                <w:sz w:val="21"/>
              </w:rPr>
              <w:t>适中</w:t>
            </w:r>
          </w:p>
        </w:tc>
      </w:tr>
      <w:tr w:rsidR="009D12AF" w14:paraId="4B33EE6B" w14:textId="77777777">
        <w:trPr>
          <w:trHeight w:val="397"/>
        </w:trPr>
        <w:tc>
          <w:tcPr>
            <w:tcW w:w="719" w:type="dxa"/>
            <w:vAlign w:val="center"/>
          </w:tcPr>
          <w:p w14:paraId="094DB491" w14:textId="77777777" w:rsidR="009D12AF" w:rsidRDefault="00000000">
            <w:pPr>
              <w:spacing w:line="240" w:lineRule="auto"/>
              <w:ind w:firstLineChars="0" w:firstLine="0"/>
              <w:jc w:val="center"/>
              <w:rPr>
                <w:sz w:val="21"/>
              </w:rPr>
            </w:pPr>
            <w:r>
              <w:rPr>
                <w:rFonts w:hint="eastAsia"/>
                <w:sz w:val="21"/>
              </w:rPr>
              <w:t>环境影响</w:t>
            </w:r>
          </w:p>
        </w:tc>
        <w:tc>
          <w:tcPr>
            <w:tcW w:w="1740" w:type="dxa"/>
            <w:vAlign w:val="center"/>
          </w:tcPr>
          <w:p w14:paraId="0514C75E" w14:textId="77777777" w:rsidR="009D12AF" w:rsidRDefault="00000000">
            <w:pPr>
              <w:spacing w:line="240" w:lineRule="auto"/>
              <w:ind w:firstLineChars="0" w:firstLine="0"/>
              <w:jc w:val="center"/>
              <w:rPr>
                <w:sz w:val="21"/>
              </w:rPr>
            </w:pPr>
            <w:r>
              <w:rPr>
                <w:rFonts w:hint="eastAsia"/>
                <w:sz w:val="21"/>
              </w:rPr>
              <w:t>环保性高，无臭味，二次污染</w:t>
            </w:r>
            <w:r>
              <w:rPr>
                <w:rFonts w:hint="eastAsia"/>
                <w:sz w:val="21"/>
              </w:rPr>
              <w:t xml:space="preserve"> </w:t>
            </w:r>
          </w:p>
          <w:p w14:paraId="09310677" w14:textId="77777777" w:rsidR="009D12AF" w:rsidRDefault="00000000">
            <w:pPr>
              <w:spacing w:line="240" w:lineRule="auto"/>
              <w:ind w:firstLineChars="0" w:firstLine="0"/>
              <w:jc w:val="center"/>
              <w:rPr>
                <w:sz w:val="21"/>
              </w:rPr>
            </w:pPr>
            <w:r>
              <w:rPr>
                <w:rFonts w:hint="eastAsia"/>
                <w:sz w:val="21"/>
              </w:rPr>
              <w:t>风险小</w:t>
            </w:r>
          </w:p>
        </w:tc>
        <w:tc>
          <w:tcPr>
            <w:tcW w:w="1520" w:type="dxa"/>
            <w:vAlign w:val="center"/>
          </w:tcPr>
          <w:p w14:paraId="38D1C83D" w14:textId="77777777" w:rsidR="009D12AF" w:rsidRDefault="00000000">
            <w:pPr>
              <w:spacing w:line="240" w:lineRule="auto"/>
              <w:ind w:firstLineChars="0" w:firstLine="0"/>
              <w:jc w:val="center"/>
              <w:rPr>
                <w:sz w:val="21"/>
              </w:rPr>
            </w:pPr>
            <w:r>
              <w:rPr>
                <w:rFonts w:hint="eastAsia"/>
                <w:sz w:val="21"/>
              </w:rPr>
              <w:t>二次污染风险小</w:t>
            </w:r>
          </w:p>
        </w:tc>
        <w:tc>
          <w:tcPr>
            <w:tcW w:w="1380" w:type="dxa"/>
            <w:vAlign w:val="center"/>
          </w:tcPr>
          <w:p w14:paraId="62FBB129" w14:textId="77777777" w:rsidR="009D12AF" w:rsidRDefault="00000000">
            <w:pPr>
              <w:spacing w:line="240" w:lineRule="auto"/>
              <w:ind w:firstLineChars="0" w:firstLine="0"/>
              <w:jc w:val="center"/>
              <w:rPr>
                <w:sz w:val="21"/>
              </w:rPr>
            </w:pPr>
            <w:r>
              <w:rPr>
                <w:rFonts w:hint="eastAsia"/>
                <w:sz w:val="21"/>
              </w:rPr>
              <w:t>掺入固化剂，存在二次</w:t>
            </w:r>
            <w:r>
              <w:rPr>
                <w:rFonts w:hint="eastAsia"/>
                <w:sz w:val="21"/>
              </w:rPr>
              <w:t xml:space="preserve"> </w:t>
            </w:r>
          </w:p>
          <w:p w14:paraId="6CC86C66" w14:textId="77777777" w:rsidR="009D12AF" w:rsidRDefault="00000000">
            <w:pPr>
              <w:spacing w:line="240" w:lineRule="auto"/>
              <w:ind w:firstLineChars="0" w:firstLine="0"/>
              <w:jc w:val="center"/>
              <w:rPr>
                <w:sz w:val="21"/>
              </w:rPr>
            </w:pPr>
            <w:r>
              <w:rPr>
                <w:rFonts w:hint="eastAsia"/>
                <w:sz w:val="21"/>
              </w:rPr>
              <w:t>污染的风险</w:t>
            </w:r>
          </w:p>
        </w:tc>
        <w:tc>
          <w:tcPr>
            <w:tcW w:w="1437" w:type="dxa"/>
            <w:vAlign w:val="center"/>
          </w:tcPr>
          <w:p w14:paraId="5FF38495" w14:textId="77777777" w:rsidR="009D12AF" w:rsidRDefault="00000000">
            <w:pPr>
              <w:spacing w:line="240" w:lineRule="auto"/>
              <w:ind w:firstLineChars="0" w:firstLine="0"/>
              <w:jc w:val="center"/>
              <w:rPr>
                <w:sz w:val="21"/>
              </w:rPr>
            </w:pPr>
            <w:r>
              <w:rPr>
                <w:rFonts w:hint="eastAsia"/>
                <w:sz w:val="21"/>
              </w:rPr>
              <w:t>无害化处理</w:t>
            </w:r>
          </w:p>
        </w:tc>
        <w:tc>
          <w:tcPr>
            <w:tcW w:w="1719" w:type="dxa"/>
            <w:vAlign w:val="center"/>
          </w:tcPr>
          <w:p w14:paraId="1C3227F7" w14:textId="77777777" w:rsidR="009D12AF" w:rsidRDefault="00000000">
            <w:pPr>
              <w:spacing w:line="240" w:lineRule="auto"/>
              <w:ind w:firstLineChars="0" w:firstLine="0"/>
              <w:jc w:val="center"/>
              <w:rPr>
                <w:sz w:val="21"/>
              </w:rPr>
            </w:pPr>
            <w:r>
              <w:rPr>
                <w:rFonts w:hint="eastAsia"/>
                <w:sz w:val="21"/>
              </w:rPr>
              <w:t>无害化处理</w:t>
            </w:r>
          </w:p>
        </w:tc>
      </w:tr>
      <w:tr w:rsidR="009D12AF" w14:paraId="6A7E1116" w14:textId="77777777">
        <w:trPr>
          <w:trHeight w:val="397"/>
        </w:trPr>
        <w:tc>
          <w:tcPr>
            <w:tcW w:w="719" w:type="dxa"/>
            <w:vAlign w:val="center"/>
          </w:tcPr>
          <w:p w14:paraId="224E67D9" w14:textId="77777777" w:rsidR="009D12AF" w:rsidRDefault="00000000">
            <w:pPr>
              <w:spacing w:line="240" w:lineRule="auto"/>
              <w:ind w:firstLineChars="0" w:firstLine="0"/>
              <w:jc w:val="center"/>
              <w:rPr>
                <w:sz w:val="21"/>
              </w:rPr>
            </w:pPr>
            <w:r>
              <w:rPr>
                <w:rFonts w:hint="eastAsia"/>
                <w:sz w:val="21"/>
              </w:rPr>
              <w:t>处理工期</w:t>
            </w:r>
          </w:p>
        </w:tc>
        <w:tc>
          <w:tcPr>
            <w:tcW w:w="1740" w:type="dxa"/>
            <w:vAlign w:val="center"/>
          </w:tcPr>
          <w:p w14:paraId="34F2B5AB" w14:textId="77777777" w:rsidR="009D12AF" w:rsidRDefault="00000000">
            <w:pPr>
              <w:spacing w:line="240" w:lineRule="auto"/>
              <w:ind w:firstLineChars="0" w:firstLine="0"/>
              <w:jc w:val="center"/>
              <w:rPr>
                <w:sz w:val="21"/>
              </w:rPr>
            </w:pPr>
            <w:r>
              <w:rPr>
                <w:rFonts w:hint="eastAsia"/>
                <w:sz w:val="21"/>
              </w:rPr>
              <w:t xml:space="preserve">90 </w:t>
            </w:r>
            <w:r>
              <w:rPr>
                <w:rFonts w:hint="eastAsia"/>
                <w:sz w:val="21"/>
              </w:rPr>
              <w:t>天，含水率降至</w:t>
            </w:r>
            <w:r>
              <w:rPr>
                <w:rFonts w:hint="eastAsia"/>
                <w:sz w:val="21"/>
              </w:rPr>
              <w:t xml:space="preserve"> 60%</w:t>
            </w:r>
            <w:r>
              <w:rPr>
                <w:rFonts w:hint="eastAsia"/>
                <w:sz w:val="21"/>
              </w:rPr>
              <w:t>左右。</w:t>
            </w:r>
          </w:p>
        </w:tc>
        <w:tc>
          <w:tcPr>
            <w:tcW w:w="1520" w:type="dxa"/>
            <w:vAlign w:val="center"/>
          </w:tcPr>
          <w:p w14:paraId="5E301FAF" w14:textId="77777777" w:rsidR="009D12AF" w:rsidRDefault="00000000">
            <w:pPr>
              <w:spacing w:line="240" w:lineRule="auto"/>
              <w:ind w:firstLineChars="0" w:firstLine="0"/>
              <w:jc w:val="center"/>
              <w:rPr>
                <w:sz w:val="21"/>
              </w:rPr>
            </w:pPr>
            <w:r>
              <w:rPr>
                <w:rFonts w:hint="eastAsia"/>
                <w:sz w:val="21"/>
              </w:rPr>
              <w:t>工期短，含水率降至</w:t>
            </w:r>
            <w:r>
              <w:rPr>
                <w:rFonts w:hint="eastAsia"/>
                <w:sz w:val="21"/>
              </w:rPr>
              <w:t xml:space="preserve"> 60%</w:t>
            </w:r>
            <w:r>
              <w:rPr>
                <w:rFonts w:hint="eastAsia"/>
                <w:sz w:val="21"/>
              </w:rPr>
              <w:t>左右</w:t>
            </w:r>
          </w:p>
        </w:tc>
        <w:tc>
          <w:tcPr>
            <w:tcW w:w="1380" w:type="dxa"/>
            <w:vAlign w:val="center"/>
          </w:tcPr>
          <w:p w14:paraId="773C701C" w14:textId="77777777" w:rsidR="009D12AF" w:rsidRDefault="00000000">
            <w:pPr>
              <w:widowControl/>
              <w:ind w:firstLineChars="0" w:firstLine="0"/>
              <w:jc w:val="left"/>
              <w:rPr>
                <w:sz w:val="21"/>
              </w:rPr>
            </w:pPr>
            <w:r>
              <w:rPr>
                <w:rFonts w:ascii="宋体" w:eastAsia="宋体" w:hAnsi="宋体" w:cs="宋体" w:hint="eastAsia"/>
                <w:color w:val="0C0C0C"/>
                <w:kern w:val="0"/>
                <w:sz w:val="20"/>
                <w:szCs w:val="20"/>
                <w:lang w:bidi="ar"/>
              </w:rPr>
              <w:t>工期短，含水率降至</w:t>
            </w:r>
            <w:r>
              <w:rPr>
                <w:rFonts w:ascii="Times New Roman" w:eastAsia="宋体" w:hAnsi="Times New Roman" w:cs="Times New Roman"/>
                <w:color w:val="0C0C0C"/>
                <w:kern w:val="0"/>
                <w:sz w:val="20"/>
                <w:szCs w:val="20"/>
                <w:lang w:bidi="ar"/>
              </w:rPr>
              <w:t>60%</w:t>
            </w:r>
          </w:p>
        </w:tc>
        <w:tc>
          <w:tcPr>
            <w:tcW w:w="1437" w:type="dxa"/>
            <w:vAlign w:val="center"/>
          </w:tcPr>
          <w:p w14:paraId="64A5E5D2" w14:textId="77777777" w:rsidR="009D12AF" w:rsidRDefault="00000000">
            <w:pPr>
              <w:spacing w:line="240" w:lineRule="auto"/>
              <w:ind w:firstLineChars="0" w:firstLine="0"/>
              <w:jc w:val="center"/>
              <w:rPr>
                <w:sz w:val="21"/>
              </w:rPr>
            </w:pPr>
            <w:r>
              <w:rPr>
                <w:rFonts w:hint="eastAsia"/>
                <w:sz w:val="21"/>
              </w:rPr>
              <w:t xml:space="preserve">150-180 </w:t>
            </w:r>
            <w:r>
              <w:rPr>
                <w:rFonts w:hint="eastAsia"/>
                <w:sz w:val="21"/>
              </w:rPr>
              <w:t>天，含水率降至</w:t>
            </w:r>
            <w:r>
              <w:rPr>
                <w:rFonts w:hint="eastAsia"/>
                <w:sz w:val="21"/>
              </w:rPr>
              <w:t>60%-80%</w:t>
            </w:r>
            <w:r>
              <w:rPr>
                <w:rFonts w:hint="eastAsia"/>
                <w:sz w:val="21"/>
              </w:rPr>
              <w:t>。</w:t>
            </w:r>
          </w:p>
        </w:tc>
        <w:tc>
          <w:tcPr>
            <w:tcW w:w="1719" w:type="dxa"/>
            <w:vAlign w:val="center"/>
          </w:tcPr>
          <w:p w14:paraId="4B6E88AC" w14:textId="77777777" w:rsidR="009D12AF" w:rsidRDefault="00000000">
            <w:pPr>
              <w:spacing w:line="240" w:lineRule="auto"/>
              <w:ind w:firstLineChars="0" w:firstLine="0"/>
              <w:jc w:val="center"/>
              <w:rPr>
                <w:sz w:val="21"/>
              </w:rPr>
            </w:pPr>
            <w:r>
              <w:rPr>
                <w:rFonts w:hint="eastAsia"/>
                <w:sz w:val="21"/>
              </w:rPr>
              <w:t xml:space="preserve">60 </w:t>
            </w:r>
            <w:r>
              <w:rPr>
                <w:rFonts w:hint="eastAsia"/>
                <w:sz w:val="21"/>
              </w:rPr>
              <w:t>天左右，含水率降至</w:t>
            </w:r>
            <w:r>
              <w:rPr>
                <w:rFonts w:hint="eastAsia"/>
                <w:sz w:val="21"/>
              </w:rPr>
              <w:t>60%</w:t>
            </w:r>
            <w:r>
              <w:rPr>
                <w:rFonts w:hint="eastAsia"/>
                <w:sz w:val="21"/>
              </w:rPr>
              <w:t>下。</w:t>
            </w:r>
          </w:p>
        </w:tc>
      </w:tr>
      <w:tr w:rsidR="009D12AF" w14:paraId="361E703E" w14:textId="77777777">
        <w:trPr>
          <w:trHeight w:val="397"/>
        </w:trPr>
        <w:tc>
          <w:tcPr>
            <w:tcW w:w="719" w:type="dxa"/>
            <w:vAlign w:val="center"/>
          </w:tcPr>
          <w:p w14:paraId="01627AB2" w14:textId="77777777" w:rsidR="009D12AF" w:rsidRDefault="00000000">
            <w:pPr>
              <w:spacing w:line="240" w:lineRule="auto"/>
              <w:ind w:firstLineChars="0" w:firstLine="0"/>
              <w:jc w:val="center"/>
              <w:rPr>
                <w:sz w:val="21"/>
              </w:rPr>
            </w:pPr>
            <w:r>
              <w:rPr>
                <w:rFonts w:hint="eastAsia"/>
                <w:sz w:val="21"/>
              </w:rPr>
              <w:t>推荐</w:t>
            </w:r>
          </w:p>
        </w:tc>
        <w:tc>
          <w:tcPr>
            <w:tcW w:w="1740" w:type="dxa"/>
            <w:vAlign w:val="center"/>
          </w:tcPr>
          <w:p w14:paraId="3A09C240" w14:textId="77777777" w:rsidR="009D12AF" w:rsidRDefault="00000000">
            <w:pPr>
              <w:spacing w:line="240" w:lineRule="auto"/>
              <w:ind w:firstLineChars="0" w:firstLine="0"/>
              <w:jc w:val="center"/>
              <w:rPr>
                <w:sz w:val="21"/>
              </w:rPr>
            </w:pPr>
            <w:r>
              <w:rPr>
                <w:rFonts w:hint="eastAsia"/>
                <w:sz w:val="21"/>
              </w:rPr>
              <w:t>可选</w:t>
            </w:r>
          </w:p>
        </w:tc>
        <w:tc>
          <w:tcPr>
            <w:tcW w:w="1520" w:type="dxa"/>
            <w:vAlign w:val="center"/>
          </w:tcPr>
          <w:p w14:paraId="236DE4F3" w14:textId="77777777" w:rsidR="009D12AF" w:rsidRDefault="00000000">
            <w:pPr>
              <w:spacing w:line="240" w:lineRule="auto"/>
              <w:ind w:firstLineChars="0" w:firstLine="0"/>
              <w:jc w:val="center"/>
              <w:rPr>
                <w:sz w:val="21"/>
              </w:rPr>
            </w:pPr>
            <w:r>
              <w:rPr>
                <w:rFonts w:hint="eastAsia"/>
                <w:sz w:val="21"/>
              </w:rPr>
              <w:t>可选</w:t>
            </w:r>
            <w:r>
              <w:rPr>
                <w:rFonts w:hint="eastAsia"/>
                <w:sz w:val="21"/>
              </w:rPr>
              <w:t xml:space="preserve"> </w:t>
            </w:r>
          </w:p>
        </w:tc>
        <w:tc>
          <w:tcPr>
            <w:tcW w:w="1380" w:type="dxa"/>
            <w:vAlign w:val="center"/>
          </w:tcPr>
          <w:p w14:paraId="49F4F919" w14:textId="77777777" w:rsidR="009D12AF" w:rsidRDefault="00000000">
            <w:pPr>
              <w:spacing w:line="240" w:lineRule="auto"/>
              <w:ind w:firstLineChars="0" w:firstLine="0"/>
              <w:jc w:val="center"/>
              <w:rPr>
                <w:sz w:val="21"/>
              </w:rPr>
            </w:pPr>
            <w:r>
              <w:rPr>
                <w:rFonts w:hint="eastAsia"/>
                <w:sz w:val="21"/>
              </w:rPr>
              <w:t>不推建</w:t>
            </w:r>
          </w:p>
        </w:tc>
        <w:tc>
          <w:tcPr>
            <w:tcW w:w="1437" w:type="dxa"/>
            <w:vAlign w:val="center"/>
          </w:tcPr>
          <w:p w14:paraId="5604FE1C" w14:textId="77777777" w:rsidR="009D12AF" w:rsidRDefault="00000000">
            <w:pPr>
              <w:spacing w:line="240" w:lineRule="auto"/>
              <w:ind w:firstLineChars="0" w:firstLine="0"/>
              <w:jc w:val="center"/>
              <w:rPr>
                <w:sz w:val="21"/>
              </w:rPr>
            </w:pPr>
            <w:r>
              <w:rPr>
                <w:rFonts w:hint="eastAsia"/>
                <w:sz w:val="21"/>
              </w:rPr>
              <w:t>可选</w:t>
            </w:r>
          </w:p>
        </w:tc>
        <w:tc>
          <w:tcPr>
            <w:tcW w:w="1719" w:type="dxa"/>
            <w:vAlign w:val="center"/>
          </w:tcPr>
          <w:p w14:paraId="189563B2" w14:textId="77777777" w:rsidR="009D12AF" w:rsidRDefault="00000000">
            <w:pPr>
              <w:spacing w:line="240" w:lineRule="auto"/>
              <w:ind w:firstLineChars="0" w:firstLine="0"/>
              <w:jc w:val="center"/>
              <w:rPr>
                <w:sz w:val="21"/>
              </w:rPr>
            </w:pPr>
            <w:r>
              <w:rPr>
                <w:rFonts w:hint="eastAsia"/>
                <w:sz w:val="21"/>
              </w:rPr>
              <w:t>推荐</w:t>
            </w:r>
          </w:p>
        </w:tc>
      </w:tr>
    </w:tbl>
    <w:p w14:paraId="48C4C66D" w14:textId="77777777" w:rsidR="009D12AF" w:rsidRDefault="00000000">
      <w:pPr>
        <w:ind w:firstLine="480"/>
      </w:pPr>
      <w:r>
        <w:t>综合考虑，本次脱水底泥工程量大、工期紧张的特点，最终推荐采用相变式真空预压技术进行底泥脱水干化。</w:t>
      </w:r>
    </w:p>
    <w:p w14:paraId="3FFD1D83" w14:textId="77777777" w:rsidR="009D12AF" w:rsidRDefault="00000000">
      <w:pPr>
        <w:ind w:firstLine="480"/>
      </w:pPr>
      <w:r>
        <w:rPr>
          <w:rFonts w:hint="eastAsia"/>
        </w:rPr>
        <w:t>二、水库坝体除险加固工程</w:t>
      </w:r>
    </w:p>
    <w:p w14:paraId="6C62033A" w14:textId="77777777" w:rsidR="009D12AF" w:rsidRDefault="00000000">
      <w:pPr>
        <w:ind w:firstLine="480"/>
      </w:pPr>
      <w:r>
        <w:rPr>
          <w:rFonts w:hint="eastAsia"/>
        </w:rPr>
        <w:t>1</w:t>
      </w:r>
      <w:r>
        <w:rPr>
          <w:rFonts w:hint="eastAsia"/>
        </w:rPr>
        <w:t>、工程概况</w:t>
      </w:r>
    </w:p>
    <w:p w14:paraId="0722C3B5" w14:textId="77777777" w:rsidR="009D12AF" w:rsidRDefault="00000000">
      <w:pPr>
        <w:ind w:firstLine="480"/>
      </w:pPr>
      <w:r>
        <w:t>本项目计划对向阳水电站前池、新安晒水池坝体进行维修，维修坝体长度</w:t>
      </w:r>
      <w:r>
        <w:t xml:space="preserve"> 3000 </w:t>
      </w:r>
      <w:r>
        <w:t>米，其中向阳水电站前池</w:t>
      </w:r>
      <w:r>
        <w:t xml:space="preserve"> 1000 </w:t>
      </w:r>
      <w:r>
        <w:t>米，新安晒水池</w:t>
      </w:r>
      <w:r>
        <w:t xml:space="preserve">2000 </w:t>
      </w:r>
      <w:r>
        <w:t>米。坝坡长平均</w:t>
      </w:r>
      <w:r>
        <w:t xml:space="preserve"> 7.5 </w:t>
      </w:r>
      <w:r>
        <w:t>米，设计坝体边坡整形后采用土工膜加砼预制板衬砌，下铺土工膜防渗。水泥板宽</w:t>
      </w:r>
      <w:r>
        <w:t xml:space="preserve"> 0.6m</w:t>
      </w:r>
      <w:r>
        <w:t>，长</w:t>
      </w:r>
      <w:r>
        <w:t xml:space="preserve"> 0.9m</w:t>
      </w:r>
      <w:r>
        <w:t>，厚</w:t>
      </w:r>
      <w:r>
        <w:t>0.15m</w:t>
      </w:r>
      <w:r>
        <w:t>，向上维修长度</w:t>
      </w:r>
      <w:r>
        <w:t xml:space="preserve"> 3 </w:t>
      </w:r>
      <w:r>
        <w:t>米，单侧需要维修分别为</w:t>
      </w:r>
      <w:r>
        <w:t xml:space="preserve"> 1000 </w:t>
      </w:r>
      <w:r>
        <w:t>米，</w:t>
      </w:r>
      <w:r>
        <w:t>2000</w:t>
      </w:r>
      <w:r>
        <w:t>米。</w:t>
      </w:r>
    </w:p>
    <w:p w14:paraId="5BBA9F24" w14:textId="77777777" w:rsidR="009D12AF" w:rsidRDefault="00000000">
      <w:pPr>
        <w:ind w:firstLine="480"/>
      </w:pPr>
      <w:r>
        <w:rPr>
          <w:rFonts w:hint="eastAsia"/>
        </w:rPr>
        <w:t>三、水库垃圾清理工程</w:t>
      </w:r>
    </w:p>
    <w:p w14:paraId="2177FE3F" w14:textId="77777777" w:rsidR="009D12AF" w:rsidRDefault="00000000">
      <w:pPr>
        <w:ind w:firstLine="480"/>
      </w:pPr>
      <w:r>
        <w:rPr>
          <w:rFonts w:hint="eastAsia"/>
        </w:rPr>
        <w:t>本项目计划在清淤水库周围外延</w:t>
      </w:r>
      <w:r>
        <w:rPr>
          <w:rFonts w:hint="eastAsia"/>
        </w:rPr>
        <w:t>50m</w:t>
      </w:r>
      <w:r>
        <w:rPr>
          <w:rFonts w:hint="eastAsia"/>
        </w:rPr>
        <w:t>范围，</w:t>
      </w:r>
      <w:r>
        <w:t>清理碎石、杂草、白色垃圾等</w:t>
      </w:r>
      <w:r>
        <w:rPr>
          <w:rFonts w:hint="eastAsia"/>
        </w:rPr>
        <w:t>。</w:t>
      </w:r>
    </w:p>
    <w:p w14:paraId="13618C62" w14:textId="77777777" w:rsidR="009D12AF" w:rsidRDefault="00000000">
      <w:pPr>
        <w:ind w:firstLine="480"/>
        <w:rPr>
          <w:highlight w:val="yellow"/>
        </w:rPr>
      </w:pPr>
      <w:r>
        <w:rPr>
          <w:highlight w:val="yellow"/>
        </w:rPr>
        <w:br w:type="page"/>
      </w:r>
    </w:p>
    <w:p w14:paraId="205348BF" w14:textId="77777777" w:rsidR="009D12AF" w:rsidRDefault="00000000">
      <w:pPr>
        <w:pStyle w:val="2"/>
      </w:pPr>
      <w:bookmarkStart w:id="140" w:name="_Toc32201"/>
      <w:r>
        <w:rPr>
          <w:rFonts w:hint="eastAsia"/>
        </w:rPr>
        <w:lastRenderedPageBreak/>
        <w:t>3</w:t>
      </w:r>
      <w:r>
        <w:t xml:space="preserve">.3 </w:t>
      </w:r>
      <w:r>
        <w:rPr>
          <w:rFonts w:hint="eastAsia"/>
        </w:rPr>
        <w:t>工程分析</w:t>
      </w:r>
      <w:bookmarkEnd w:id="140"/>
    </w:p>
    <w:p w14:paraId="361A8341" w14:textId="77777777" w:rsidR="009D12AF" w:rsidRDefault="00000000">
      <w:pPr>
        <w:pStyle w:val="3"/>
      </w:pPr>
      <w:bookmarkStart w:id="141" w:name="_Toc975"/>
      <w:bookmarkStart w:id="142" w:name="_Toc6500"/>
      <w:bookmarkStart w:id="143" w:name="_Toc18235"/>
      <w:bookmarkStart w:id="144" w:name="_Toc24695"/>
      <w:r>
        <w:rPr>
          <w:rFonts w:hint="eastAsia"/>
        </w:rPr>
        <w:t>3</w:t>
      </w:r>
      <w:r>
        <w:t xml:space="preserve">.3.1 </w:t>
      </w:r>
      <w:r>
        <w:t>施工期产污环节及污染物排放特征分析</w:t>
      </w:r>
      <w:bookmarkEnd w:id="141"/>
      <w:bookmarkEnd w:id="142"/>
      <w:bookmarkEnd w:id="143"/>
      <w:bookmarkEnd w:id="144"/>
    </w:p>
    <w:p w14:paraId="322A3379" w14:textId="77777777" w:rsidR="009D12AF" w:rsidRDefault="00000000">
      <w:pPr>
        <w:ind w:firstLine="480"/>
      </w:pPr>
      <w:r>
        <w:rPr>
          <w:bCs/>
        </w:rPr>
        <w:t>工程的主要建设内容为清淤工程、</w:t>
      </w:r>
      <w:r>
        <w:rPr>
          <w:rFonts w:hint="eastAsia"/>
        </w:rPr>
        <w:t>坝体修护</w:t>
      </w:r>
      <w:r>
        <w:rPr>
          <w:bCs/>
        </w:rPr>
        <w:t>工程及</w:t>
      </w:r>
      <w:r>
        <w:t>垃圾清运工程</w:t>
      </w:r>
      <w:r>
        <w:rPr>
          <w:rFonts w:hint="eastAsia"/>
          <w:bCs/>
        </w:rPr>
        <w:t>。</w:t>
      </w:r>
      <w:r>
        <w:t>为了减少对淤积物清淤</w:t>
      </w:r>
      <w:r>
        <w:rPr>
          <w:rFonts w:hint="eastAsia"/>
        </w:rPr>
        <w:t>水库</w:t>
      </w:r>
      <w:r>
        <w:t>水环境水生态的影响及环保节能</w:t>
      </w:r>
      <w:r>
        <w:t>,</w:t>
      </w:r>
      <w:r>
        <w:t>本工程采用环保型绞吸式挖泥船进行绞吸式疏浚施工。</w:t>
      </w:r>
    </w:p>
    <w:p w14:paraId="18058127" w14:textId="77777777" w:rsidR="009D12AF" w:rsidRDefault="00000000">
      <w:pPr>
        <w:ind w:firstLine="480"/>
      </w:pPr>
      <w:r>
        <w:rPr>
          <w:rFonts w:hint="eastAsia"/>
        </w:rPr>
        <w:t>（</w:t>
      </w:r>
      <w:r>
        <w:rPr>
          <w:rFonts w:hint="eastAsia"/>
        </w:rPr>
        <w:t>1</w:t>
      </w:r>
      <w:r>
        <w:rPr>
          <w:rFonts w:hint="eastAsia"/>
        </w:rPr>
        <w:t>）清淤工程</w:t>
      </w:r>
    </w:p>
    <w:p w14:paraId="263860A1" w14:textId="77777777" w:rsidR="009D12AF" w:rsidRDefault="00000000">
      <w:pPr>
        <w:ind w:firstLine="480"/>
      </w:pPr>
      <w:r>
        <w:rPr>
          <w:noProof/>
        </w:rPr>
        <w:drawing>
          <wp:inline distT="0" distB="0" distL="114300" distR="114300" wp14:anchorId="0456EC89" wp14:editId="15BCE9E9">
            <wp:extent cx="4767580" cy="1013460"/>
            <wp:effectExtent l="0" t="0" r="13970" b="15240"/>
            <wp:docPr id="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
                    <pic:cNvPicPr>
                      <a:picLocks noChangeAspect="1"/>
                    </pic:cNvPicPr>
                  </pic:nvPicPr>
                  <pic:blipFill>
                    <a:blip r:embed="rId19"/>
                    <a:stretch>
                      <a:fillRect/>
                    </a:stretch>
                  </pic:blipFill>
                  <pic:spPr>
                    <a:xfrm>
                      <a:off x="0" y="0"/>
                      <a:ext cx="4767580" cy="1013460"/>
                    </a:xfrm>
                    <a:prstGeom prst="rect">
                      <a:avLst/>
                    </a:prstGeom>
                    <a:noFill/>
                    <a:ln>
                      <a:noFill/>
                    </a:ln>
                  </pic:spPr>
                </pic:pic>
              </a:graphicData>
            </a:graphic>
          </wp:inline>
        </w:drawing>
      </w:r>
    </w:p>
    <w:p w14:paraId="5BDFC173" w14:textId="77777777" w:rsidR="009D12AF" w:rsidRDefault="00000000">
      <w:pPr>
        <w:widowControl/>
        <w:jc w:val="left"/>
        <w:rPr>
          <w:rFonts w:ascii="宋体" w:eastAsia="宋体" w:hAnsi="宋体" w:cs="宋体" w:hint="eastAsia"/>
        </w:rPr>
      </w:pPr>
      <w:r>
        <w:rPr>
          <w:rFonts w:ascii="宋体" w:eastAsia="宋体" w:hAnsi="宋体" w:cs="宋体" w:hint="eastAsia"/>
          <w:color w:val="000000"/>
          <w:kern w:val="0"/>
          <w:sz w:val="21"/>
          <w:szCs w:val="21"/>
          <w:lang w:bidi="ar"/>
        </w:rPr>
        <w:t>注：整个生产过程中均有一定量的噪声产生。</w:t>
      </w:r>
    </w:p>
    <w:p w14:paraId="320D4520" w14:textId="77777777" w:rsidR="009D12AF" w:rsidRDefault="00000000">
      <w:pPr>
        <w:ind w:firstLine="482"/>
        <w:jc w:val="center"/>
        <w:rPr>
          <w:b/>
          <w:bCs/>
        </w:rPr>
      </w:pPr>
      <w:r>
        <w:rPr>
          <w:rFonts w:hint="eastAsia"/>
          <w:b/>
          <w:bCs/>
        </w:rPr>
        <w:t>图</w:t>
      </w:r>
      <w:r>
        <w:rPr>
          <w:rFonts w:ascii="Times New Roman" w:eastAsia="宋体" w:hAnsi="Times New Roman" w:cs="Times New Roman" w:hint="eastAsia"/>
          <w:b/>
          <w:bCs/>
        </w:rPr>
        <w:t>3.3-1</w:t>
      </w:r>
      <w:r>
        <w:rPr>
          <w:rFonts w:hint="eastAsia"/>
          <w:b/>
          <w:bCs/>
        </w:rPr>
        <w:t>施工期清淤工程工艺流程图</w:t>
      </w:r>
    </w:p>
    <w:p w14:paraId="4221A921" w14:textId="77777777" w:rsidR="009D12AF" w:rsidRDefault="00000000">
      <w:pPr>
        <w:ind w:firstLine="480"/>
      </w:pPr>
      <w:r>
        <w:rPr>
          <w:rFonts w:hint="eastAsia"/>
        </w:rPr>
        <w:t>（</w:t>
      </w:r>
      <w:r>
        <w:rPr>
          <w:rFonts w:hint="eastAsia"/>
        </w:rPr>
        <w:t>2</w:t>
      </w:r>
      <w:r>
        <w:rPr>
          <w:rFonts w:hint="eastAsia"/>
        </w:rPr>
        <w:t>）坝体修护工程</w:t>
      </w:r>
    </w:p>
    <w:p w14:paraId="20621BED" w14:textId="77777777" w:rsidR="009D12AF" w:rsidRDefault="00000000">
      <w:pPr>
        <w:ind w:firstLine="480"/>
      </w:pPr>
      <w:r>
        <w:rPr>
          <w:noProof/>
        </w:rPr>
        <w:drawing>
          <wp:inline distT="0" distB="0" distL="114300" distR="114300" wp14:anchorId="0B665495" wp14:editId="7F91D7CF">
            <wp:extent cx="4943475" cy="1915160"/>
            <wp:effectExtent l="0" t="0" r="0" b="0"/>
            <wp:docPr id="175" name="ECB019B1-382A-4266-B25C-5B523AA43C14-1" descr="C:/Users/Administrator/AppData/Local/Temp/wps.BOdRoe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ECB019B1-382A-4266-B25C-5B523AA43C14-1" descr="C:/Users/Administrator/AppData/Local/Temp/wps.BOdRoewps"/>
                    <pic:cNvPicPr>
                      <a:picLocks noChangeAspect="1"/>
                    </pic:cNvPicPr>
                  </pic:nvPicPr>
                  <pic:blipFill>
                    <a:blip r:embed="rId20" cstate="screen">
                      <a:extLst>
                        <a:ext uri="{28A0092B-C50C-407E-A947-70E740481C1C}">
                          <a14:useLocalDpi xmlns:a14="http://schemas.microsoft.com/office/drawing/2010/main"/>
                        </a:ext>
                      </a:extLst>
                    </a:blip>
                    <a:stretch>
                      <a:fillRect/>
                    </a:stretch>
                  </pic:blipFill>
                  <pic:spPr>
                    <a:xfrm>
                      <a:off x="0" y="0"/>
                      <a:ext cx="4943475" cy="1915160"/>
                    </a:xfrm>
                    <a:prstGeom prst="rect">
                      <a:avLst/>
                    </a:prstGeom>
                  </pic:spPr>
                </pic:pic>
              </a:graphicData>
            </a:graphic>
          </wp:inline>
        </w:drawing>
      </w:r>
    </w:p>
    <w:p w14:paraId="6ED60AC4" w14:textId="77777777" w:rsidR="009D12AF" w:rsidRDefault="00000000">
      <w:pPr>
        <w:ind w:firstLine="482"/>
        <w:jc w:val="center"/>
        <w:rPr>
          <w:b/>
          <w:bCs/>
        </w:rPr>
      </w:pPr>
      <w:r>
        <w:rPr>
          <w:rFonts w:hint="eastAsia"/>
          <w:b/>
          <w:bCs/>
        </w:rPr>
        <w:t>图</w:t>
      </w:r>
      <w:r>
        <w:rPr>
          <w:rFonts w:ascii="Times New Roman" w:eastAsia="宋体" w:hAnsi="Times New Roman" w:cs="Times New Roman" w:hint="eastAsia"/>
          <w:b/>
          <w:bCs/>
        </w:rPr>
        <w:t>3.3-2</w:t>
      </w:r>
      <w:r>
        <w:rPr>
          <w:rFonts w:hint="eastAsia"/>
          <w:b/>
          <w:bCs/>
        </w:rPr>
        <w:t>施工期坝体修护工程工艺流程图</w:t>
      </w:r>
    </w:p>
    <w:p w14:paraId="2467FFD5" w14:textId="77777777" w:rsidR="009D12AF" w:rsidRDefault="00000000">
      <w:pPr>
        <w:ind w:firstLine="480"/>
      </w:pPr>
      <w:r>
        <w:rPr>
          <w:rFonts w:hint="eastAsia"/>
        </w:rPr>
        <w:t>（</w:t>
      </w:r>
      <w:r>
        <w:rPr>
          <w:rFonts w:hint="eastAsia"/>
        </w:rPr>
        <w:t>3</w:t>
      </w:r>
      <w:r>
        <w:rPr>
          <w:rFonts w:hint="eastAsia"/>
        </w:rPr>
        <w:t>）垃圾清运工程</w:t>
      </w:r>
    </w:p>
    <w:p w14:paraId="44CE6752" w14:textId="77777777" w:rsidR="009D12AF" w:rsidRDefault="00000000">
      <w:pPr>
        <w:pStyle w:val="TOC2"/>
        <w:ind w:left="480" w:firstLine="480"/>
      </w:pPr>
      <w:r>
        <w:rPr>
          <w:noProof/>
        </w:rPr>
        <w:drawing>
          <wp:inline distT="0" distB="0" distL="114300" distR="114300" wp14:anchorId="55E483BD" wp14:editId="2AB51275">
            <wp:extent cx="4624070" cy="1323340"/>
            <wp:effectExtent l="0" t="0" r="0" b="0"/>
            <wp:docPr id="176" name="ECB019B1-382A-4266-B25C-5B523AA43C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ECB019B1-382A-4266-B25C-5B523AA43C14-2"/>
                    <pic:cNvPicPr>
                      <a:picLocks noChangeAspect="1"/>
                    </pic:cNvPicPr>
                  </pic:nvPicPr>
                  <pic:blipFill>
                    <a:blip r:embed="rId21" cstate="screen">
                      <a:extLst>
                        <a:ext uri="{28A0092B-C50C-407E-A947-70E740481C1C}">
                          <a14:useLocalDpi xmlns:a14="http://schemas.microsoft.com/office/drawing/2010/main"/>
                        </a:ext>
                      </a:extLst>
                    </a:blip>
                    <a:stretch>
                      <a:fillRect/>
                    </a:stretch>
                  </pic:blipFill>
                  <pic:spPr>
                    <a:xfrm>
                      <a:off x="0" y="0"/>
                      <a:ext cx="4624070" cy="1323340"/>
                    </a:xfrm>
                    <a:prstGeom prst="rect">
                      <a:avLst/>
                    </a:prstGeom>
                  </pic:spPr>
                </pic:pic>
              </a:graphicData>
            </a:graphic>
          </wp:inline>
        </w:drawing>
      </w:r>
    </w:p>
    <w:p w14:paraId="3D5E7F91" w14:textId="77777777" w:rsidR="009D12AF" w:rsidRDefault="00000000">
      <w:pPr>
        <w:ind w:firstLine="482"/>
        <w:jc w:val="center"/>
        <w:rPr>
          <w:b/>
          <w:bCs/>
        </w:rPr>
      </w:pPr>
      <w:r>
        <w:rPr>
          <w:rFonts w:hint="eastAsia"/>
          <w:b/>
          <w:bCs/>
        </w:rPr>
        <w:t>图</w:t>
      </w:r>
      <w:r>
        <w:rPr>
          <w:rFonts w:ascii="Times New Roman" w:eastAsia="宋体" w:hAnsi="Times New Roman" w:cs="Times New Roman" w:hint="eastAsia"/>
          <w:b/>
          <w:bCs/>
        </w:rPr>
        <w:t>3.3-3</w:t>
      </w:r>
      <w:r>
        <w:rPr>
          <w:rFonts w:hint="eastAsia"/>
          <w:b/>
          <w:bCs/>
        </w:rPr>
        <w:t>施工期垃圾清运工程工艺流程图</w:t>
      </w:r>
    </w:p>
    <w:p w14:paraId="6D50C227" w14:textId="77777777" w:rsidR="009D12AF" w:rsidRDefault="00000000">
      <w:pPr>
        <w:ind w:firstLineChars="0" w:firstLine="0"/>
        <w:rPr>
          <w:rStyle w:val="aff"/>
          <w:rFonts w:ascii="Times New Roman" w:hAnsi="Times New Roman" w:cs="Times New Roman"/>
          <w:smallCaps/>
        </w:rPr>
      </w:pPr>
      <w:r>
        <w:rPr>
          <w:rStyle w:val="aff"/>
          <w:rFonts w:ascii="Times New Roman" w:hAnsi="Times New Roman" w:cs="Times New Roman"/>
          <w:smallCaps/>
          <w:noProof/>
        </w:rPr>
        <w:lastRenderedPageBreak/>
        <mc:AlternateContent>
          <mc:Choice Requires="wpc">
            <w:drawing>
              <wp:inline distT="0" distB="0" distL="114300" distR="114300" wp14:anchorId="779C58B8" wp14:editId="440495B0">
                <wp:extent cx="5278120" cy="1360170"/>
                <wp:effectExtent l="0" t="0" r="0" b="0"/>
                <wp:docPr id="425" name="画布 42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77" name="矩形 177"/>
                        <wps:cNvSpPr/>
                        <wps:spPr>
                          <a:xfrm>
                            <a:off x="298450" y="848360"/>
                            <a:ext cx="872490" cy="33591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9484A73" w14:textId="77777777" w:rsidR="009D12AF" w:rsidRDefault="00000000">
                              <w:pPr>
                                <w:ind w:firstLineChars="0" w:firstLine="0"/>
                                <w:rPr>
                                  <w:sz w:val="21"/>
                                  <w:szCs w:val="21"/>
                                </w:rPr>
                              </w:pPr>
                              <w:r>
                                <w:rPr>
                                  <w:sz w:val="21"/>
                                  <w:szCs w:val="21"/>
                                </w:rPr>
                                <w:t>施工围堰</w:t>
                              </w:r>
                            </w:p>
                          </w:txbxContent>
                        </wps:txbx>
                        <wps:bodyPr upright="1"/>
                      </wps:wsp>
                      <wps:wsp>
                        <wps:cNvPr id="178" name="直接箭头连接符 178"/>
                        <wps:cNvCnPr/>
                        <wps:spPr>
                          <a:xfrm>
                            <a:off x="1170940" y="1016635"/>
                            <a:ext cx="404495" cy="3175"/>
                          </a:xfrm>
                          <a:prstGeom prst="straightConnector1">
                            <a:avLst/>
                          </a:prstGeom>
                          <a:ln w="9525" cap="flat" cmpd="sng">
                            <a:solidFill>
                              <a:srgbClr val="000000"/>
                            </a:solidFill>
                            <a:prstDash val="solid"/>
                            <a:headEnd type="none" w="med" len="med"/>
                            <a:tailEnd type="triangle" w="med" len="med"/>
                          </a:ln>
                        </wps:spPr>
                        <wps:bodyPr/>
                      </wps:wsp>
                      <wps:wsp>
                        <wps:cNvPr id="179" name="矩形 179"/>
                        <wps:cNvSpPr/>
                        <wps:spPr>
                          <a:xfrm>
                            <a:off x="1575435" y="848995"/>
                            <a:ext cx="872490" cy="3352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B6BE760" w14:textId="77777777" w:rsidR="009D12AF" w:rsidRDefault="00000000">
                              <w:pPr>
                                <w:ind w:firstLineChars="0" w:firstLine="0"/>
                                <w:rPr>
                                  <w:sz w:val="21"/>
                                  <w:szCs w:val="21"/>
                                </w:rPr>
                              </w:pPr>
                              <w:r>
                                <w:rPr>
                                  <w:rFonts w:hint="eastAsia"/>
                                  <w:sz w:val="21"/>
                                  <w:szCs w:val="21"/>
                                </w:rPr>
                                <w:t>基</w:t>
                              </w:r>
                              <w:r>
                                <w:rPr>
                                  <w:sz w:val="21"/>
                                  <w:szCs w:val="21"/>
                                </w:rPr>
                                <w:t>坑排水</w:t>
                              </w:r>
                            </w:p>
                          </w:txbxContent>
                        </wps:txbx>
                        <wps:bodyPr upright="1"/>
                      </wps:wsp>
                      <wps:wsp>
                        <wps:cNvPr id="180" name="直接箭头连接符 180"/>
                        <wps:cNvCnPr/>
                        <wps:spPr>
                          <a:xfrm>
                            <a:off x="2469515" y="1002030"/>
                            <a:ext cx="404495" cy="3175"/>
                          </a:xfrm>
                          <a:prstGeom prst="straightConnector1">
                            <a:avLst/>
                          </a:prstGeom>
                          <a:ln w="9525" cap="flat" cmpd="sng">
                            <a:solidFill>
                              <a:srgbClr val="000000"/>
                            </a:solidFill>
                            <a:prstDash val="solid"/>
                            <a:headEnd type="none" w="med" len="med"/>
                            <a:tailEnd type="triangle" w="med" len="med"/>
                          </a:ln>
                        </wps:spPr>
                        <wps:bodyPr/>
                      </wps:wsp>
                      <wps:wsp>
                        <wps:cNvPr id="181" name="矩形 181"/>
                        <wps:cNvSpPr/>
                        <wps:spPr>
                          <a:xfrm>
                            <a:off x="2874010" y="834390"/>
                            <a:ext cx="968375" cy="3346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777FD54" w14:textId="77777777" w:rsidR="009D12AF" w:rsidRDefault="00000000">
                              <w:pPr>
                                <w:ind w:firstLineChars="0" w:firstLine="0"/>
                                <w:rPr>
                                  <w:sz w:val="21"/>
                                  <w:szCs w:val="21"/>
                                </w:rPr>
                              </w:pPr>
                              <w:r>
                                <w:rPr>
                                  <w:rFonts w:hint="eastAsia"/>
                                  <w:sz w:val="21"/>
                                  <w:szCs w:val="21"/>
                                </w:rPr>
                                <w:t>建筑物施工</w:t>
                              </w:r>
                            </w:p>
                          </w:txbxContent>
                        </wps:txbx>
                        <wps:bodyPr upright="1"/>
                      </wps:wsp>
                      <wps:wsp>
                        <wps:cNvPr id="182" name="直接箭头连接符 182"/>
                        <wps:cNvCnPr/>
                        <wps:spPr>
                          <a:xfrm>
                            <a:off x="3842385" y="1005205"/>
                            <a:ext cx="356870" cy="635"/>
                          </a:xfrm>
                          <a:prstGeom prst="straightConnector1">
                            <a:avLst/>
                          </a:prstGeom>
                          <a:ln w="9525" cap="flat" cmpd="sng">
                            <a:solidFill>
                              <a:srgbClr val="000000"/>
                            </a:solidFill>
                            <a:prstDash val="solid"/>
                            <a:headEnd type="none" w="med" len="med"/>
                            <a:tailEnd type="triangle" w="med" len="med"/>
                          </a:ln>
                        </wps:spPr>
                        <wps:bodyPr/>
                      </wps:wsp>
                      <wps:wsp>
                        <wps:cNvPr id="183" name="矩形 183"/>
                        <wps:cNvSpPr/>
                        <wps:spPr>
                          <a:xfrm>
                            <a:off x="4150995" y="849630"/>
                            <a:ext cx="872490" cy="3346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E811A8A" w14:textId="77777777" w:rsidR="009D12AF" w:rsidRDefault="00000000">
                              <w:pPr>
                                <w:ind w:firstLineChars="0" w:firstLine="0"/>
                                <w:rPr>
                                  <w:sz w:val="21"/>
                                  <w:szCs w:val="21"/>
                                </w:rPr>
                              </w:pPr>
                              <w:r>
                                <w:rPr>
                                  <w:rFonts w:hint="eastAsia"/>
                                  <w:sz w:val="21"/>
                                  <w:szCs w:val="21"/>
                                </w:rPr>
                                <w:t>围堰拆除</w:t>
                              </w:r>
                            </w:p>
                          </w:txbxContent>
                        </wps:txbx>
                        <wps:bodyPr upright="1"/>
                      </wps:wsp>
                      <wps:wsp>
                        <wps:cNvPr id="340" name="直接箭头连接符 340"/>
                        <wps:cNvCnPr/>
                        <wps:spPr>
                          <a:xfrm flipV="1">
                            <a:off x="703580" y="451485"/>
                            <a:ext cx="635" cy="302260"/>
                          </a:xfrm>
                          <a:prstGeom prst="straightConnector1">
                            <a:avLst/>
                          </a:prstGeom>
                          <a:ln w="9525" cap="flat" cmpd="sng">
                            <a:solidFill>
                              <a:srgbClr val="000000"/>
                            </a:solidFill>
                            <a:prstDash val="sysDot"/>
                            <a:headEnd type="none" w="med" len="med"/>
                            <a:tailEnd type="triangle" w="med" len="med"/>
                          </a:ln>
                        </wps:spPr>
                        <wps:bodyPr/>
                      </wps:wsp>
                      <wps:wsp>
                        <wps:cNvPr id="341" name="矩形 341"/>
                        <wps:cNvSpPr/>
                        <wps:spPr>
                          <a:xfrm>
                            <a:off x="298450" y="43815"/>
                            <a:ext cx="872490" cy="335915"/>
                          </a:xfrm>
                          <a:prstGeom prst="rect">
                            <a:avLst/>
                          </a:prstGeom>
                          <a:solidFill>
                            <a:srgbClr val="FFFFFF"/>
                          </a:solidFill>
                          <a:ln>
                            <a:noFill/>
                          </a:ln>
                        </wps:spPr>
                        <wps:txbx>
                          <w:txbxContent>
                            <w:p w14:paraId="7F745817" w14:textId="77777777" w:rsidR="009D12AF" w:rsidRDefault="00000000">
                              <w:pPr>
                                <w:ind w:firstLineChars="0" w:firstLine="0"/>
                                <w:rPr>
                                  <w:sz w:val="21"/>
                                  <w:szCs w:val="21"/>
                                </w:rPr>
                              </w:pPr>
                              <w:r>
                                <w:rPr>
                                  <w:rFonts w:hint="eastAsia"/>
                                  <w:sz w:val="21"/>
                                  <w:szCs w:val="21"/>
                                </w:rPr>
                                <w:t>噪声</w:t>
                              </w:r>
                              <w:r>
                                <w:rPr>
                                  <w:sz w:val="21"/>
                                  <w:szCs w:val="21"/>
                                </w:rPr>
                                <w:t>、废水</w:t>
                              </w:r>
                            </w:p>
                          </w:txbxContent>
                        </wps:txbx>
                        <wps:bodyPr upright="1"/>
                      </wps:wsp>
                      <wps:wsp>
                        <wps:cNvPr id="342" name="直接箭头连接符 342"/>
                        <wps:cNvCnPr/>
                        <wps:spPr>
                          <a:xfrm flipV="1">
                            <a:off x="1980565" y="452120"/>
                            <a:ext cx="635" cy="302260"/>
                          </a:xfrm>
                          <a:prstGeom prst="straightConnector1">
                            <a:avLst/>
                          </a:prstGeom>
                          <a:ln w="9525" cap="flat" cmpd="sng">
                            <a:solidFill>
                              <a:srgbClr val="000000"/>
                            </a:solidFill>
                            <a:prstDash val="sysDot"/>
                            <a:headEnd type="none" w="med" len="med"/>
                            <a:tailEnd type="triangle" w="med" len="med"/>
                          </a:ln>
                        </wps:spPr>
                        <wps:bodyPr/>
                      </wps:wsp>
                      <wps:wsp>
                        <wps:cNvPr id="343" name="矩形 343"/>
                        <wps:cNvSpPr/>
                        <wps:spPr>
                          <a:xfrm>
                            <a:off x="1575435" y="44450"/>
                            <a:ext cx="872490" cy="335915"/>
                          </a:xfrm>
                          <a:prstGeom prst="rect">
                            <a:avLst/>
                          </a:prstGeom>
                          <a:solidFill>
                            <a:srgbClr val="FFFFFF"/>
                          </a:solidFill>
                          <a:ln>
                            <a:noFill/>
                          </a:ln>
                        </wps:spPr>
                        <wps:txbx>
                          <w:txbxContent>
                            <w:p w14:paraId="7EE5F273" w14:textId="77777777" w:rsidR="009D12AF" w:rsidRDefault="00000000">
                              <w:pPr>
                                <w:ind w:firstLineChars="0" w:firstLine="0"/>
                                <w:rPr>
                                  <w:sz w:val="21"/>
                                  <w:szCs w:val="21"/>
                                </w:rPr>
                              </w:pPr>
                              <w:r>
                                <w:rPr>
                                  <w:rFonts w:hint="eastAsia"/>
                                  <w:sz w:val="21"/>
                                  <w:szCs w:val="21"/>
                                </w:rPr>
                                <w:t>噪声</w:t>
                              </w:r>
                              <w:r>
                                <w:rPr>
                                  <w:sz w:val="21"/>
                                  <w:szCs w:val="21"/>
                                </w:rPr>
                                <w:t>、废水</w:t>
                              </w:r>
                            </w:p>
                          </w:txbxContent>
                        </wps:txbx>
                        <wps:bodyPr upright="1"/>
                      </wps:wsp>
                      <wps:wsp>
                        <wps:cNvPr id="344" name="直接箭头连接符 344"/>
                        <wps:cNvCnPr/>
                        <wps:spPr>
                          <a:xfrm flipV="1">
                            <a:off x="3279140" y="469900"/>
                            <a:ext cx="635" cy="302260"/>
                          </a:xfrm>
                          <a:prstGeom prst="straightConnector1">
                            <a:avLst/>
                          </a:prstGeom>
                          <a:ln w="9525" cap="flat" cmpd="sng">
                            <a:solidFill>
                              <a:srgbClr val="000000"/>
                            </a:solidFill>
                            <a:prstDash val="sysDot"/>
                            <a:headEnd type="none" w="med" len="med"/>
                            <a:tailEnd type="triangle" w="med" len="med"/>
                          </a:ln>
                        </wps:spPr>
                        <wps:bodyPr/>
                      </wps:wsp>
                      <wps:wsp>
                        <wps:cNvPr id="422" name="矩形 422"/>
                        <wps:cNvSpPr/>
                        <wps:spPr>
                          <a:xfrm>
                            <a:off x="2874010" y="62230"/>
                            <a:ext cx="872490" cy="335915"/>
                          </a:xfrm>
                          <a:prstGeom prst="rect">
                            <a:avLst/>
                          </a:prstGeom>
                          <a:solidFill>
                            <a:srgbClr val="FFFFFF"/>
                          </a:solidFill>
                          <a:ln>
                            <a:noFill/>
                          </a:ln>
                        </wps:spPr>
                        <wps:txbx>
                          <w:txbxContent>
                            <w:p w14:paraId="6758722A" w14:textId="77777777" w:rsidR="009D12AF" w:rsidRDefault="00000000">
                              <w:pPr>
                                <w:ind w:firstLineChars="0" w:firstLine="0"/>
                                <w:rPr>
                                  <w:sz w:val="21"/>
                                  <w:szCs w:val="21"/>
                                </w:rPr>
                              </w:pPr>
                              <w:r>
                                <w:rPr>
                                  <w:rFonts w:hint="eastAsia"/>
                                  <w:sz w:val="21"/>
                                  <w:szCs w:val="21"/>
                                </w:rPr>
                                <w:t>噪声</w:t>
                              </w:r>
                              <w:r>
                                <w:rPr>
                                  <w:sz w:val="21"/>
                                  <w:szCs w:val="21"/>
                                </w:rPr>
                                <w:t>、</w:t>
                              </w:r>
                              <w:r>
                                <w:rPr>
                                  <w:rFonts w:hint="eastAsia"/>
                                  <w:sz w:val="21"/>
                                  <w:szCs w:val="21"/>
                                </w:rPr>
                                <w:t>扬</w:t>
                              </w:r>
                              <w:r>
                                <w:rPr>
                                  <w:sz w:val="21"/>
                                  <w:szCs w:val="21"/>
                                </w:rPr>
                                <w:t>尘</w:t>
                              </w:r>
                            </w:p>
                          </w:txbxContent>
                        </wps:txbx>
                        <wps:bodyPr upright="1"/>
                      </wps:wsp>
                      <wps:wsp>
                        <wps:cNvPr id="423" name="直接箭头连接符 423"/>
                        <wps:cNvCnPr/>
                        <wps:spPr>
                          <a:xfrm flipV="1">
                            <a:off x="4556125" y="469900"/>
                            <a:ext cx="635" cy="302260"/>
                          </a:xfrm>
                          <a:prstGeom prst="straightConnector1">
                            <a:avLst/>
                          </a:prstGeom>
                          <a:ln w="9525" cap="flat" cmpd="sng">
                            <a:solidFill>
                              <a:srgbClr val="000000"/>
                            </a:solidFill>
                            <a:prstDash val="sysDot"/>
                            <a:headEnd type="none" w="med" len="med"/>
                            <a:tailEnd type="triangle" w="med" len="med"/>
                          </a:ln>
                        </wps:spPr>
                        <wps:bodyPr/>
                      </wps:wsp>
                      <wps:wsp>
                        <wps:cNvPr id="424" name="矩形 424"/>
                        <wps:cNvSpPr/>
                        <wps:spPr>
                          <a:xfrm>
                            <a:off x="4150995" y="62230"/>
                            <a:ext cx="872490" cy="335915"/>
                          </a:xfrm>
                          <a:prstGeom prst="rect">
                            <a:avLst/>
                          </a:prstGeom>
                          <a:solidFill>
                            <a:srgbClr val="FFFFFF"/>
                          </a:solidFill>
                          <a:ln>
                            <a:noFill/>
                          </a:ln>
                        </wps:spPr>
                        <wps:txbx>
                          <w:txbxContent>
                            <w:p w14:paraId="4C0C6AFB" w14:textId="77777777" w:rsidR="009D12AF" w:rsidRDefault="00000000">
                              <w:pPr>
                                <w:ind w:firstLineChars="0" w:firstLine="0"/>
                                <w:rPr>
                                  <w:sz w:val="21"/>
                                  <w:szCs w:val="21"/>
                                </w:rPr>
                              </w:pPr>
                              <w:r>
                                <w:rPr>
                                  <w:rFonts w:hint="eastAsia"/>
                                  <w:sz w:val="21"/>
                                  <w:szCs w:val="21"/>
                                </w:rPr>
                                <w:t>弃土、扬尘</w:t>
                              </w:r>
                            </w:p>
                          </w:txbxContent>
                        </wps:txbx>
                        <wps:bodyPr upright="1"/>
                      </wps:wsp>
                    </wpc:wpc>
                  </a:graphicData>
                </a:graphic>
              </wp:inline>
            </w:drawing>
          </mc:Choice>
          <mc:Fallback>
            <w:pict>
              <v:group w14:anchorId="779C58B8" id="画布 425" o:spid="_x0000_s1028" editas="canvas" style="width:415.6pt;height:107.1pt;mso-position-horizontal-relative:char;mso-position-vertical-relative:line" coordsize="52781,13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52781;height:13601;visibility:visible;mso-wrap-style:square">
                  <v:fill o:detectmouseclick="t"/>
                  <v:path o:connecttype="none"/>
                </v:shape>
                <v:rect id="矩形 177" o:spid="_x0000_s1030" style="position:absolute;left:2984;top:8483;width:8725;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">
                  <v:textbox>
                    <w:txbxContent>
                      <w:p w14:paraId="69484A73" w14:textId="77777777" w:rsidR="009D12AF" w:rsidRDefault="00000000">
                        <w:pPr>
                          <w:ind w:firstLineChars="0" w:firstLine="0"/>
                          <w:rPr>
                            <w:sz w:val="21"/>
                            <w:szCs w:val="21"/>
                          </w:rPr>
                        </w:pPr>
                        <w:r>
                          <w:rPr>
                            <w:sz w:val="21"/>
                            <w:szCs w:val="21"/>
                          </w:rPr>
                          <w:t>施工围堰</w:t>
                        </w:r>
                      </w:p>
                    </w:txbxContent>
                  </v:textbox>
                </v:rect>
                <v:shapetype id="_x0000_t32" coordsize="21600,21600" o:spt="32" o:oned="t" path="m,l21600,21600e" filled="f">
                  <v:path arrowok="t" fillok="f" o:connecttype="none"/>
                  <o:lock v:ext="edit" shapetype="t"/>
                </v:shapetype>
                <v:shape id="直接箭头连接符 178" o:spid="_x0000_s1031" type="#_x0000_t32" style="position:absolute;left:11709;top:10166;width:4045;height: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">
                  <v:stroke endarrow="block"/>
                </v:shape>
                <v:rect id="矩形 179" o:spid="_x0000_s1032" style="position:absolute;left:15754;top:8489;width:8725;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">
                  <v:textbox>
                    <w:txbxContent>
                      <w:p w14:paraId="2B6BE760" w14:textId="77777777" w:rsidR="009D12AF" w:rsidRDefault="00000000">
                        <w:pPr>
                          <w:ind w:firstLineChars="0" w:firstLine="0"/>
                          <w:rPr>
                            <w:sz w:val="21"/>
                            <w:szCs w:val="21"/>
                          </w:rPr>
                        </w:pPr>
                        <w:r>
                          <w:rPr>
                            <w:rFonts w:hint="eastAsia"/>
                            <w:sz w:val="21"/>
                            <w:szCs w:val="21"/>
                          </w:rPr>
                          <w:t>基</w:t>
                        </w:r>
                        <w:r>
                          <w:rPr>
                            <w:sz w:val="21"/>
                            <w:szCs w:val="21"/>
                          </w:rPr>
                          <w:t>坑排水</w:t>
                        </w:r>
                      </w:p>
                    </w:txbxContent>
                  </v:textbox>
                </v:rect>
                <v:shape id="直接箭头连接符 180" o:spid="_x0000_s1033" type="#_x0000_t32" style="position:absolute;left:24695;top:10020;width:4045;height: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">
                  <v:stroke endarrow="block"/>
                </v:shape>
                <v:rect id="矩形 181" o:spid="_x0000_s1034" style="position:absolute;left:28740;top:8343;width:9683;height:3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">
                  <v:textbox>
                    <w:txbxContent>
                      <w:p w14:paraId="1777FD54" w14:textId="77777777" w:rsidR="009D12AF" w:rsidRDefault="00000000">
                        <w:pPr>
                          <w:ind w:firstLineChars="0" w:firstLine="0"/>
                          <w:rPr>
                            <w:sz w:val="21"/>
                            <w:szCs w:val="21"/>
                          </w:rPr>
                        </w:pPr>
                        <w:r>
                          <w:rPr>
                            <w:rFonts w:hint="eastAsia"/>
                            <w:sz w:val="21"/>
                            <w:szCs w:val="21"/>
                          </w:rPr>
                          <w:t>建筑物施工</w:t>
                        </w:r>
                      </w:p>
                    </w:txbxContent>
                  </v:textbox>
                </v:rect>
                <v:shape id="直接箭头连接符 182" o:spid="_x0000_s1035" type="#_x0000_t32" style="position:absolute;left:38423;top:10052;width:3569;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">
                  <v:stroke endarrow="block"/>
                </v:shape>
                <v:rect id="矩形 183" o:spid="_x0000_s1036" style="position:absolute;left:41509;top:8496;width:8725;height:3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">
                  <v:textbox>
                    <w:txbxContent>
                      <w:p w14:paraId="7E811A8A" w14:textId="77777777" w:rsidR="009D12AF" w:rsidRDefault="00000000">
                        <w:pPr>
                          <w:ind w:firstLineChars="0" w:firstLine="0"/>
                          <w:rPr>
                            <w:sz w:val="21"/>
                            <w:szCs w:val="21"/>
                          </w:rPr>
                        </w:pPr>
                        <w:r>
                          <w:rPr>
                            <w:rFonts w:hint="eastAsia"/>
                            <w:sz w:val="21"/>
                            <w:szCs w:val="21"/>
                          </w:rPr>
                          <w:t>围堰拆除</w:t>
                        </w:r>
                      </w:p>
                    </w:txbxContent>
                  </v:textbox>
                </v:rect>
                <v:shape id="直接箭头连接符 340" o:spid="_x0000_s1037" type="#_x0000_t32" style="position:absolute;left:7035;top:4514;width:7;height:30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">
                  <v:stroke dashstyle="1 1" endarrow="block"/>
                </v:shape>
                <v:rect id="矩形 341" o:spid="_x0000_s1038" style="position:absolute;left:2984;top:438;width:8725;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" stroked="f">
                  <v:textbox>
                    <w:txbxContent>
                      <w:p w14:paraId="7F745817" w14:textId="77777777" w:rsidR="009D12AF" w:rsidRDefault="00000000">
                        <w:pPr>
                          <w:ind w:firstLineChars="0" w:firstLine="0"/>
                          <w:rPr>
                            <w:sz w:val="21"/>
                            <w:szCs w:val="21"/>
                          </w:rPr>
                        </w:pPr>
                        <w:r>
                          <w:rPr>
                            <w:rFonts w:hint="eastAsia"/>
                            <w:sz w:val="21"/>
                            <w:szCs w:val="21"/>
                          </w:rPr>
                          <w:t>噪声</w:t>
                        </w:r>
                        <w:r>
                          <w:rPr>
                            <w:sz w:val="21"/>
                            <w:szCs w:val="21"/>
                          </w:rPr>
                          <w:t>、废水</w:t>
                        </w:r>
                      </w:p>
                    </w:txbxContent>
                  </v:textbox>
                </v:rect>
                <v:shape id="直接箭头连接符 342" o:spid="_x0000_s1039" type="#_x0000_t32" style="position:absolute;left:19805;top:4521;width:7;height:302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">
                  <v:stroke dashstyle="1 1" endarrow="block"/>
                </v:shape>
                <v:rect id="矩形 343" o:spid="_x0000_s1040" style="position:absolute;left:15754;top:444;width:8725;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" stroked="f">
                  <v:textbox>
                    <w:txbxContent>
                      <w:p w14:paraId="7EE5F273" w14:textId="77777777" w:rsidR="009D12AF" w:rsidRDefault="00000000">
                        <w:pPr>
                          <w:ind w:firstLineChars="0" w:firstLine="0"/>
                          <w:rPr>
                            <w:sz w:val="21"/>
                            <w:szCs w:val="21"/>
                          </w:rPr>
                        </w:pPr>
                        <w:r>
                          <w:rPr>
                            <w:rFonts w:hint="eastAsia"/>
                            <w:sz w:val="21"/>
                            <w:szCs w:val="21"/>
                          </w:rPr>
                          <w:t>噪声</w:t>
                        </w:r>
                        <w:r>
                          <w:rPr>
                            <w:sz w:val="21"/>
                            <w:szCs w:val="21"/>
                          </w:rPr>
                          <w:t>、废水</w:t>
                        </w:r>
                      </w:p>
                    </w:txbxContent>
                  </v:textbox>
                </v:rect>
                <v:shape id="直接箭头连接符 344" o:spid="_x0000_s1041" type="#_x0000_t32" style="position:absolute;left:32791;top:4699;width:6;height:302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">
                  <v:stroke dashstyle="1 1" endarrow="block"/>
                </v:shape>
                <v:rect id="矩形 422" o:spid="_x0000_s1042" style="position:absolute;left:28740;top:622;width:8725;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" stroked="f">
                  <v:textbox>
                    <w:txbxContent>
                      <w:p w14:paraId="6758722A" w14:textId="77777777" w:rsidR="009D12AF" w:rsidRDefault="00000000">
                        <w:pPr>
                          <w:ind w:firstLineChars="0" w:firstLine="0"/>
                          <w:rPr>
                            <w:sz w:val="21"/>
                            <w:szCs w:val="21"/>
                          </w:rPr>
                        </w:pPr>
                        <w:r>
                          <w:rPr>
                            <w:rFonts w:hint="eastAsia"/>
                            <w:sz w:val="21"/>
                            <w:szCs w:val="21"/>
                          </w:rPr>
                          <w:t>噪声</w:t>
                        </w:r>
                        <w:r>
                          <w:rPr>
                            <w:sz w:val="21"/>
                            <w:szCs w:val="21"/>
                          </w:rPr>
                          <w:t>、</w:t>
                        </w:r>
                        <w:r>
                          <w:rPr>
                            <w:rFonts w:hint="eastAsia"/>
                            <w:sz w:val="21"/>
                            <w:szCs w:val="21"/>
                          </w:rPr>
                          <w:t>扬</w:t>
                        </w:r>
                        <w:r>
                          <w:rPr>
                            <w:sz w:val="21"/>
                            <w:szCs w:val="21"/>
                          </w:rPr>
                          <w:t>尘</w:t>
                        </w:r>
                      </w:p>
                    </w:txbxContent>
                  </v:textbox>
                </v:rect>
                <v:shape id="直接箭头连接符 423" o:spid="_x0000_s1043" type="#_x0000_t32" style="position:absolute;left:45561;top:4699;width:6;height:302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">
                  <v:stroke dashstyle="1 1" endarrow="block"/>
                </v:shape>
                <v:rect id="矩形 424" o:spid="_x0000_s1044" style="position:absolute;left:41509;top:622;width:8725;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" stroked="f">
                  <v:textbox>
                    <w:txbxContent>
                      <w:p w14:paraId="4C0C6AFB" w14:textId="77777777" w:rsidR="009D12AF" w:rsidRDefault="00000000">
                        <w:pPr>
                          <w:ind w:firstLineChars="0" w:firstLine="0"/>
                          <w:rPr>
                            <w:sz w:val="21"/>
                            <w:szCs w:val="21"/>
                          </w:rPr>
                        </w:pPr>
                        <w:r>
                          <w:rPr>
                            <w:rFonts w:hint="eastAsia"/>
                            <w:sz w:val="21"/>
                            <w:szCs w:val="21"/>
                          </w:rPr>
                          <w:t>弃土、扬尘</w:t>
                        </w:r>
                      </w:p>
                    </w:txbxContent>
                  </v:textbox>
                </v:rect>
                <w10:wrap anchorx="page" anchory="page"/>
                <w10:anchorlock/>
              </v:group>
            </w:pict>
          </mc:Fallback>
        </mc:AlternateContent>
      </w:r>
    </w:p>
    <w:p w14:paraId="4E354243" w14:textId="77777777" w:rsidR="009D12AF" w:rsidRDefault="00000000">
      <w:pPr>
        <w:ind w:firstLine="482"/>
        <w:jc w:val="center"/>
      </w:pPr>
      <w:r>
        <w:rPr>
          <w:rFonts w:hint="eastAsia"/>
          <w:b/>
          <w:bCs/>
        </w:rPr>
        <w:t>图</w:t>
      </w:r>
      <w:r>
        <w:rPr>
          <w:rFonts w:ascii="Times New Roman" w:eastAsia="宋体" w:hAnsi="Times New Roman" w:cs="Times New Roman" w:hint="eastAsia"/>
          <w:b/>
          <w:bCs/>
        </w:rPr>
        <w:t>3.3-4</w:t>
      </w:r>
      <w:r>
        <w:rPr>
          <w:b/>
          <w:bCs/>
        </w:rPr>
        <w:t>建筑物施工工艺流程及产污环节图</w:t>
      </w:r>
    </w:p>
    <w:p w14:paraId="6C3BD3FC" w14:textId="77777777" w:rsidR="009D12AF" w:rsidRDefault="00000000">
      <w:pPr>
        <w:ind w:firstLine="480"/>
      </w:pPr>
      <w:r>
        <w:rPr>
          <w:rFonts w:ascii="Times New Roman" w:eastAsia="宋体" w:hAnsi="Times New Roman" w:cs="Times New Roman" w:hint="eastAsia"/>
        </w:rPr>
        <w:t>1.</w:t>
      </w:r>
      <w:r>
        <w:rPr>
          <w:rFonts w:ascii="Times New Roman" w:eastAsia="宋体" w:hAnsi="Times New Roman" w:cs="Times New Roman" w:hint="eastAsia"/>
        </w:rPr>
        <w:t>河道清淤</w:t>
      </w:r>
      <w:r>
        <w:rPr>
          <w:rFonts w:hint="eastAsia"/>
        </w:rPr>
        <w:t>工艺流程分析：</w:t>
      </w:r>
    </w:p>
    <w:p w14:paraId="4E406DF8" w14:textId="77777777" w:rsidR="009D12AF" w:rsidRDefault="00000000">
      <w:pPr>
        <w:ind w:firstLine="480"/>
      </w:pPr>
      <w:r>
        <w:t>清淤施工主要采用绞吸式挖泥工艺，尽可能减少对水库生态系统的干扰和其他不利影响。清淤施工工艺如下：</w:t>
      </w:r>
    </w:p>
    <w:p w14:paraId="18C7B403" w14:textId="77777777" w:rsidR="009D12AF" w:rsidRDefault="00000000">
      <w:pPr>
        <w:ind w:firstLine="480"/>
      </w:pPr>
      <w:r>
        <w:rPr>
          <w:rFonts w:ascii="瀹嬩綋" w:eastAsia="瀹嬩綋" w:hAnsi="瀹嬩綋" w:cs="瀹嬩綋"/>
          <w:color w:val="000000"/>
          <w:kern w:val="0"/>
          <w:lang w:bidi="ar"/>
        </w:rPr>
        <w:t>（</w:t>
      </w:r>
      <w:r>
        <w:rPr>
          <w:rFonts w:ascii="Times New Roman" w:eastAsia="宋体" w:hAnsi="Times New Roman" w:cs="Times New Roman"/>
          <w:color w:val="000000"/>
          <w:kern w:val="0"/>
          <w:lang w:bidi="ar"/>
        </w:rPr>
        <w:t>1</w:t>
      </w:r>
      <w:r>
        <w:rPr>
          <w:rFonts w:ascii="瀹嬩綋" w:eastAsia="瀹嬩綋" w:hAnsi="瀹嬩綋" w:cs="瀹嬩綋"/>
          <w:color w:val="000000"/>
          <w:kern w:val="0"/>
          <w:lang w:bidi="ar"/>
        </w:rPr>
        <w:t>）</w:t>
      </w:r>
      <w:r>
        <w:t>绞刀定位：绞吸式挖泥船在清淤施工区内定位后，松放挖泥船船前斗桥绞车钢缆，绞刀头呈垂直扇形慢速下放入水，按设计开挖，再按照分层开挖厚度及深度数据，通过深度监控仪表操作，对绞刀放设深度进行精确复位，并调整绞刀头开挖倾角。</w:t>
      </w:r>
    </w:p>
    <w:p w14:paraId="4051A6AA" w14:textId="77777777" w:rsidR="009D12AF" w:rsidRDefault="00000000">
      <w:pPr>
        <w:widowControl/>
        <w:ind w:firstLine="480"/>
        <w:jc w:val="left"/>
      </w:pPr>
      <w:r>
        <w:rPr>
          <w:rFonts w:ascii="瀹嬩綋" w:eastAsia="瀹嬩綋" w:hAnsi="瀹嬩綋" w:cs="瀹嬩綋"/>
          <w:color w:val="000000"/>
          <w:kern w:val="0"/>
          <w:lang w:bidi="ar"/>
        </w:rPr>
        <w:t>（</w:t>
      </w:r>
      <w:r>
        <w:rPr>
          <w:rFonts w:ascii="Times New Roman" w:eastAsia="宋体" w:hAnsi="Times New Roman" w:cs="Times New Roman"/>
          <w:color w:val="000000"/>
          <w:kern w:val="0"/>
          <w:lang w:bidi="ar"/>
        </w:rPr>
        <w:t>2</w:t>
      </w:r>
      <w:r>
        <w:rPr>
          <w:rFonts w:ascii="瀹嬩綋" w:eastAsia="瀹嬩綋" w:hAnsi="瀹嬩綋" w:cs="瀹嬩綋"/>
          <w:color w:val="000000"/>
          <w:kern w:val="0"/>
          <w:lang w:bidi="ar"/>
        </w:rPr>
        <w:t>）</w:t>
      </w:r>
      <w:r>
        <w:t>绞刀开挖：即开始启动绞车液压马达，绞刀头低速旋转，切削挖掘淤泥。</w:t>
      </w:r>
    </w:p>
    <w:p w14:paraId="17739DDA" w14:textId="77777777" w:rsidR="009D12AF" w:rsidRDefault="00000000">
      <w:pPr>
        <w:widowControl/>
        <w:ind w:firstLine="480"/>
        <w:jc w:val="left"/>
      </w:pPr>
      <w:r>
        <w:rPr>
          <w:rFonts w:ascii="瀹嬩綋" w:eastAsia="瀹嬩綋" w:hAnsi="瀹嬩綋" w:cs="瀹嬩綋"/>
          <w:color w:val="000000"/>
          <w:kern w:val="0"/>
          <w:lang w:bidi="ar"/>
        </w:rPr>
        <w:t>（</w:t>
      </w:r>
      <w:r>
        <w:rPr>
          <w:rFonts w:ascii="Times New Roman" w:eastAsia="宋体" w:hAnsi="Times New Roman" w:cs="Times New Roman"/>
          <w:color w:val="000000"/>
          <w:kern w:val="0"/>
          <w:lang w:bidi="ar"/>
        </w:rPr>
        <w:t>3</w:t>
      </w:r>
      <w:r>
        <w:rPr>
          <w:rFonts w:ascii="瀹嬩綋" w:eastAsia="瀹嬩綋" w:hAnsi="瀹嬩綋" w:cs="瀹嬩綋"/>
          <w:color w:val="000000"/>
          <w:kern w:val="0"/>
          <w:lang w:bidi="ar"/>
        </w:rPr>
        <w:t>）</w:t>
      </w:r>
      <w:r>
        <w:rPr>
          <w:rFonts w:ascii="宋体" w:eastAsia="宋体" w:hAnsi="宋体" w:cs="宋体" w:hint="eastAsia"/>
        </w:rPr>
        <w:t>泥浆输送及排弃：通过挖泥船上离心泵的作用吸取绞刀切削挖掘的淤泥，并</w:t>
      </w:r>
      <w:r>
        <w:rPr>
          <w:rFonts w:ascii="宋体" w:eastAsia="宋体" w:hAnsi="宋体" w:cs="宋体" w:hint="eastAsia"/>
          <w:color w:val="000000"/>
          <w:kern w:val="0"/>
          <w:lang w:bidi="ar"/>
        </w:rPr>
        <w:t>提升、加压，泥浆通过排泥管线全封闭输送，泥浆在进泥口区域排弃入临时脱水场。</w:t>
      </w:r>
      <w:r>
        <w:t>本工程施工布设一条与绞吸式挖泥船配套的排泥管线。排泥管线设计以尽量缩短</w:t>
      </w:r>
      <w:r>
        <w:t xml:space="preserve"> </w:t>
      </w:r>
      <w:r>
        <w:t>施工排距为原则，并应尽量减小对环境的影响，以采用潜管为主，</w:t>
      </w:r>
    </w:p>
    <w:p w14:paraId="497B82B8" w14:textId="77777777" w:rsidR="009D12AF" w:rsidRDefault="00000000">
      <w:pPr>
        <w:ind w:firstLineChars="0" w:firstLine="0"/>
        <w:jc w:val="left"/>
      </w:pPr>
      <w:r>
        <w:t>配以生产必需的少量浮管和岸管。在挖泥船尾根据实际需要连接水上浮管，浮管后接水下潜管沿河道和陆地管线一直延伸至堆土围护区，进入排泥堆积场内。</w:t>
      </w:r>
      <w:r>
        <w:t xml:space="preserve"> </w:t>
      </w:r>
    </w:p>
    <w:p w14:paraId="2252B479" w14:textId="77777777" w:rsidR="009D12AF" w:rsidRDefault="00000000">
      <w:pPr>
        <w:widowControl/>
        <w:ind w:firstLine="480"/>
        <w:jc w:val="left"/>
      </w:pPr>
      <w:r>
        <w:rPr>
          <w:rFonts w:ascii="瀹嬩綋" w:eastAsia="瀹嬩綋" w:hAnsi="瀹嬩綋" w:cs="瀹嬩綋"/>
          <w:color w:val="000000"/>
          <w:kern w:val="0"/>
          <w:lang w:bidi="ar"/>
        </w:rPr>
        <w:t>（</w:t>
      </w:r>
      <w:r>
        <w:rPr>
          <w:rFonts w:ascii="Times New Roman" w:eastAsia="宋体" w:hAnsi="Times New Roman" w:cs="Times New Roman"/>
          <w:color w:val="000000"/>
          <w:kern w:val="0"/>
          <w:lang w:bidi="ar"/>
        </w:rPr>
        <w:t>4</w:t>
      </w:r>
      <w:r>
        <w:rPr>
          <w:rFonts w:ascii="瀹嬩綋" w:eastAsia="瀹嬩綋" w:hAnsi="瀹嬩綋" w:cs="瀹嬩綋"/>
          <w:color w:val="000000"/>
          <w:kern w:val="0"/>
          <w:lang w:bidi="ar"/>
        </w:rPr>
        <w:t>）</w:t>
      </w:r>
      <w:r>
        <w:t>临时脱水场尾水排放：清淤泥浆经过管道输送至临时脱水场后，通过原堆泥场内间隔布设的格埂作用，泥浆呈</w:t>
      </w:r>
      <w:r>
        <w:t xml:space="preserve"> S </w:t>
      </w:r>
      <w:r>
        <w:t>形流淌及铺展，并自然地利用临时脱水场进行了泥浆离析，泥浆以较长的排水流径和停留时间进行了物理处理，泥质逐渐沉淀堆积，低浓度的尾水通过退水口排放。</w:t>
      </w:r>
      <w:r>
        <w:t xml:space="preserve"> </w:t>
      </w:r>
    </w:p>
    <w:p w14:paraId="59E24173" w14:textId="77777777" w:rsidR="009D12AF" w:rsidRDefault="00000000">
      <w:pPr>
        <w:widowControl/>
        <w:ind w:firstLine="480"/>
        <w:jc w:val="left"/>
      </w:pPr>
      <w:r>
        <w:t>定期观察水位并保持泥浆水有</w:t>
      </w:r>
      <w:r>
        <w:t xml:space="preserve"> 0.5~1m </w:t>
      </w:r>
      <w:r>
        <w:t>以上的水深，在退水口处流速控制在扰动流以下。退水口后设置余水沉淀池，最后的退水先进入余水沉淀池，经沉淀后再由沉淀池退水口退入水库。</w:t>
      </w:r>
    </w:p>
    <w:p w14:paraId="57F5BB28" w14:textId="77777777" w:rsidR="009D12AF" w:rsidRDefault="00000000">
      <w:pPr>
        <w:widowControl/>
        <w:ind w:firstLineChars="0" w:firstLine="0"/>
        <w:jc w:val="center"/>
      </w:pPr>
      <w:r>
        <w:rPr>
          <w:noProof/>
        </w:rPr>
        <w:lastRenderedPageBreak/>
        <w:drawing>
          <wp:inline distT="0" distB="0" distL="114300" distR="114300" wp14:anchorId="7EEF4ABD" wp14:editId="3D1331A4">
            <wp:extent cx="4653280" cy="1876425"/>
            <wp:effectExtent l="0" t="0" r="13970" b="9525"/>
            <wp:docPr id="6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9"/>
                    <pic:cNvPicPr>
                      <a:picLocks noChangeAspect="1"/>
                    </pic:cNvPicPr>
                  </pic:nvPicPr>
                  <pic:blipFill>
                    <a:blip r:embed="rId22"/>
                    <a:stretch>
                      <a:fillRect/>
                    </a:stretch>
                  </pic:blipFill>
                  <pic:spPr>
                    <a:xfrm>
                      <a:off x="0" y="0"/>
                      <a:ext cx="4653280" cy="1876425"/>
                    </a:xfrm>
                    <a:prstGeom prst="rect">
                      <a:avLst/>
                    </a:prstGeom>
                    <a:noFill/>
                    <a:ln>
                      <a:noFill/>
                    </a:ln>
                  </pic:spPr>
                </pic:pic>
              </a:graphicData>
            </a:graphic>
          </wp:inline>
        </w:drawing>
      </w:r>
    </w:p>
    <w:p w14:paraId="0919DA55" w14:textId="77777777" w:rsidR="009D12AF" w:rsidRDefault="00000000">
      <w:pPr>
        <w:ind w:firstLine="482"/>
        <w:jc w:val="center"/>
      </w:pPr>
      <w:r>
        <w:rPr>
          <w:rFonts w:hint="eastAsia"/>
          <w:b/>
          <w:bCs/>
        </w:rPr>
        <w:t>图</w:t>
      </w:r>
      <w:r>
        <w:rPr>
          <w:rFonts w:ascii="Times New Roman" w:eastAsia="宋体" w:hAnsi="Times New Roman" w:cs="Times New Roman" w:hint="eastAsia"/>
          <w:b/>
          <w:bCs/>
        </w:rPr>
        <w:t>3.3-2</w:t>
      </w:r>
      <w:r>
        <w:rPr>
          <w:rFonts w:hint="eastAsia"/>
          <w:b/>
          <w:bCs/>
        </w:rPr>
        <w:t>临时生产区平面布置及余水处理图</w:t>
      </w:r>
    </w:p>
    <w:p w14:paraId="3FD99877" w14:textId="77777777" w:rsidR="009D12AF" w:rsidRDefault="00000000">
      <w:pPr>
        <w:widowControl/>
        <w:ind w:firstLine="480"/>
        <w:jc w:val="left"/>
      </w:pPr>
      <w:r>
        <w:rPr>
          <w:rFonts w:ascii="瀹嬩綋" w:eastAsia="瀹嬩綋" w:hAnsi="瀹嬩綋" w:cs="瀹嬩綋"/>
          <w:color w:val="000000"/>
          <w:kern w:val="0"/>
          <w:lang w:bidi="ar"/>
        </w:rPr>
        <w:t>（</w:t>
      </w:r>
      <w:r>
        <w:rPr>
          <w:rFonts w:ascii="Times New Roman" w:eastAsia="宋体" w:hAnsi="Times New Roman" w:cs="Times New Roman"/>
          <w:color w:val="000000"/>
          <w:kern w:val="0"/>
          <w:lang w:bidi="ar"/>
        </w:rPr>
        <w:t>5</w:t>
      </w:r>
      <w:r>
        <w:rPr>
          <w:rFonts w:ascii="瀹嬩綋" w:eastAsia="瀹嬩綋" w:hAnsi="瀹嬩綋" w:cs="瀹嬩綋"/>
          <w:color w:val="000000"/>
          <w:kern w:val="0"/>
          <w:lang w:bidi="ar"/>
        </w:rPr>
        <w:t>）</w:t>
      </w:r>
      <w:r>
        <w:t>船体短线爬行、扇形横挖、直线前进挖泥船在施工生产时，定位桩打设在湖底泥层中，实现对船体中心定位，并通过两个定位桩交替落桩，推动挖泥船位移，使船体在反作用力下短线爬行。挖泥船依靠挖泥船前端左右绞车收放锚缆，使船身以船尾定位桩为中心，船长为半径，绞刀头左右扇形移动，实现挖泥船扇形横挖法作业。</w:t>
      </w:r>
    </w:p>
    <w:p w14:paraId="19BADFCE" w14:textId="77777777" w:rsidR="009D12AF" w:rsidRDefault="00000000">
      <w:pPr>
        <w:ind w:firstLine="480"/>
      </w:pPr>
      <w:r>
        <w:rPr>
          <w:rFonts w:ascii="Times New Roman" w:eastAsia="宋体" w:hAnsi="Times New Roman" w:cs="Times New Roman" w:hint="eastAsia"/>
        </w:rPr>
        <w:t>2.</w:t>
      </w:r>
      <w:r>
        <w:rPr>
          <w:rFonts w:hint="eastAsia"/>
        </w:rPr>
        <w:t>产污环节</w:t>
      </w:r>
    </w:p>
    <w:p w14:paraId="31289BC2" w14:textId="77777777" w:rsidR="009D12AF" w:rsidRDefault="00000000">
      <w:pPr>
        <w:ind w:firstLine="480"/>
      </w:pPr>
      <w:r>
        <w:rPr>
          <w:rFonts w:hint="eastAsia"/>
        </w:rPr>
        <w:t>本项目主要产污环节见表</w:t>
      </w:r>
      <w:r>
        <w:rPr>
          <w:rFonts w:ascii="Times New Roman" w:eastAsia="宋体" w:hAnsi="Times New Roman" w:cs="Times New Roman" w:hint="eastAsia"/>
        </w:rPr>
        <w:t>3.3-1</w:t>
      </w:r>
      <w:r>
        <w:rPr>
          <w:rFonts w:hint="eastAsia"/>
        </w:rPr>
        <w:t>。</w:t>
      </w:r>
    </w:p>
    <w:p w14:paraId="7DEC249C" w14:textId="77777777" w:rsidR="009D12AF" w:rsidRDefault="00000000">
      <w:pPr>
        <w:ind w:firstLine="482"/>
        <w:jc w:val="center"/>
        <w:rPr>
          <w:b/>
          <w:bCs/>
        </w:rPr>
      </w:pPr>
      <w:r>
        <w:rPr>
          <w:rFonts w:hint="eastAsia"/>
          <w:b/>
          <w:bCs/>
        </w:rPr>
        <w:t>表</w:t>
      </w:r>
      <w:r>
        <w:rPr>
          <w:rFonts w:ascii="Times New Roman" w:eastAsia="宋体" w:hAnsi="Times New Roman" w:cs="Times New Roman" w:hint="eastAsia"/>
          <w:b/>
          <w:bCs/>
        </w:rPr>
        <w:t>3.3-1</w:t>
      </w:r>
      <w:r>
        <w:rPr>
          <w:rFonts w:hint="eastAsia"/>
          <w:b/>
          <w:bCs/>
        </w:rPr>
        <w:t>项目产污环节一览表</w:t>
      </w:r>
    </w:p>
    <w:tbl>
      <w:tblPr>
        <w:tblStyle w:val="ae"/>
        <w:tblW w:w="0" w:type="auto"/>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223"/>
        <w:gridCol w:w="1706"/>
        <w:gridCol w:w="5593"/>
      </w:tblGrid>
      <w:tr w:rsidR="009D12AF" w14:paraId="3A95D410" w14:textId="77777777">
        <w:trPr>
          <w:trHeight w:val="498"/>
          <w:jc w:val="center"/>
        </w:trPr>
        <w:tc>
          <w:tcPr>
            <w:tcW w:w="1223" w:type="dxa"/>
            <w:tcBorders>
              <w:tl2br w:val="nil"/>
              <w:tr2bl w:val="nil"/>
            </w:tcBorders>
            <w:vAlign w:val="center"/>
          </w:tcPr>
          <w:p w14:paraId="67456B48" w14:textId="77777777" w:rsidR="009D12AF" w:rsidRDefault="00000000">
            <w:pPr>
              <w:ind w:firstLineChars="0" w:firstLine="0"/>
              <w:jc w:val="center"/>
              <w:rPr>
                <w:rFonts w:ascii="宋体" w:eastAsia="宋体" w:hAnsi="宋体" w:cs="宋体" w:hint="eastAsia"/>
                <w:sz w:val="21"/>
                <w:szCs w:val="21"/>
              </w:rPr>
            </w:pPr>
            <w:r>
              <w:rPr>
                <w:rFonts w:ascii="宋体" w:eastAsia="宋体" w:hAnsi="宋体" w:cs="宋体" w:hint="eastAsia"/>
                <w:sz w:val="21"/>
                <w:szCs w:val="21"/>
              </w:rPr>
              <w:t>排污节点</w:t>
            </w:r>
          </w:p>
        </w:tc>
        <w:tc>
          <w:tcPr>
            <w:tcW w:w="1706" w:type="dxa"/>
            <w:tcBorders>
              <w:tl2br w:val="nil"/>
              <w:tr2bl w:val="nil"/>
            </w:tcBorders>
            <w:vAlign w:val="center"/>
          </w:tcPr>
          <w:p w14:paraId="6D3197AC" w14:textId="77777777" w:rsidR="009D12AF" w:rsidRDefault="00000000">
            <w:pPr>
              <w:ind w:firstLineChars="0" w:firstLine="0"/>
              <w:jc w:val="center"/>
              <w:rPr>
                <w:rFonts w:ascii="宋体" w:eastAsia="宋体" w:hAnsi="宋体" w:cs="宋体" w:hint="eastAsia"/>
                <w:sz w:val="21"/>
                <w:szCs w:val="21"/>
              </w:rPr>
            </w:pPr>
            <w:r>
              <w:rPr>
                <w:rFonts w:ascii="宋体" w:eastAsia="宋体" w:hAnsi="宋体" w:cs="宋体" w:hint="eastAsia"/>
                <w:sz w:val="21"/>
                <w:szCs w:val="21"/>
              </w:rPr>
              <w:t>主要污染因子</w:t>
            </w:r>
          </w:p>
        </w:tc>
        <w:tc>
          <w:tcPr>
            <w:tcW w:w="5593" w:type="dxa"/>
            <w:tcBorders>
              <w:tl2br w:val="nil"/>
              <w:tr2bl w:val="nil"/>
            </w:tcBorders>
            <w:vAlign w:val="center"/>
          </w:tcPr>
          <w:p w14:paraId="22949E9E" w14:textId="77777777" w:rsidR="009D12AF" w:rsidRDefault="00000000">
            <w:pPr>
              <w:ind w:firstLineChars="0" w:firstLine="0"/>
              <w:jc w:val="center"/>
              <w:rPr>
                <w:rFonts w:ascii="宋体" w:eastAsia="宋体" w:hAnsi="宋体" w:cs="宋体" w:hint="eastAsia"/>
                <w:sz w:val="21"/>
                <w:szCs w:val="21"/>
              </w:rPr>
            </w:pPr>
            <w:r>
              <w:rPr>
                <w:rFonts w:ascii="宋体" w:eastAsia="宋体" w:hAnsi="宋体" w:cs="宋体" w:hint="eastAsia"/>
                <w:sz w:val="21"/>
                <w:szCs w:val="21"/>
              </w:rPr>
              <w:t>污染物排放点</w:t>
            </w:r>
          </w:p>
        </w:tc>
      </w:tr>
      <w:tr w:rsidR="009D12AF" w14:paraId="1233DC85" w14:textId="77777777">
        <w:trPr>
          <w:jc w:val="center"/>
        </w:trPr>
        <w:tc>
          <w:tcPr>
            <w:tcW w:w="1223" w:type="dxa"/>
            <w:tcBorders>
              <w:tl2br w:val="nil"/>
              <w:tr2bl w:val="nil"/>
            </w:tcBorders>
            <w:vAlign w:val="center"/>
          </w:tcPr>
          <w:p w14:paraId="20F53A4A"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W1</w:t>
            </w:r>
          </w:p>
        </w:tc>
        <w:tc>
          <w:tcPr>
            <w:tcW w:w="1706" w:type="dxa"/>
            <w:tcBorders>
              <w:tl2br w:val="nil"/>
              <w:tr2bl w:val="nil"/>
            </w:tcBorders>
            <w:vAlign w:val="center"/>
          </w:tcPr>
          <w:p w14:paraId="7AC9DF81" w14:textId="77777777" w:rsidR="009D12AF" w:rsidRDefault="00000000">
            <w:pPr>
              <w:ind w:firstLineChars="0" w:firstLine="0"/>
              <w:jc w:val="center"/>
              <w:rPr>
                <w:rFonts w:ascii="宋体" w:eastAsia="宋体" w:hAnsi="宋体" w:cs="宋体" w:hint="eastAsia"/>
                <w:sz w:val="21"/>
                <w:szCs w:val="21"/>
              </w:rPr>
            </w:pPr>
            <w:r>
              <w:rPr>
                <w:rFonts w:ascii="Times New Roman" w:eastAsia="宋体" w:hAnsi="Times New Roman" w:cs="Times New Roman" w:hint="eastAsia"/>
                <w:sz w:val="21"/>
                <w:szCs w:val="21"/>
              </w:rPr>
              <w:t>SS</w:t>
            </w:r>
            <w:r>
              <w:rPr>
                <w:rFonts w:ascii="Times New Roman" w:eastAsia="宋体" w:hAnsi="Times New Roman" w:cs="Times New Roman" w:hint="eastAsia"/>
                <w:sz w:val="21"/>
                <w:szCs w:val="21"/>
              </w:rPr>
              <w:t>、</w:t>
            </w:r>
            <w:r>
              <w:rPr>
                <w:rFonts w:ascii="宋体" w:eastAsia="宋体" w:hAnsi="宋体" w:cs="宋体" w:hint="eastAsia"/>
                <w:sz w:val="21"/>
                <w:szCs w:val="21"/>
              </w:rPr>
              <w:t>总磷、总氮</w:t>
            </w:r>
          </w:p>
        </w:tc>
        <w:tc>
          <w:tcPr>
            <w:tcW w:w="5593" w:type="dxa"/>
            <w:tcBorders>
              <w:tl2br w:val="nil"/>
              <w:tr2bl w:val="nil"/>
            </w:tcBorders>
            <w:vAlign w:val="center"/>
          </w:tcPr>
          <w:p w14:paraId="2D9041AA" w14:textId="77777777" w:rsidR="009D12AF" w:rsidRDefault="00000000">
            <w:pPr>
              <w:ind w:firstLineChars="0" w:firstLine="0"/>
              <w:jc w:val="center"/>
              <w:rPr>
                <w:rFonts w:ascii="宋体" w:eastAsia="宋体" w:hAnsi="宋体" w:cs="宋体" w:hint="eastAsia"/>
                <w:sz w:val="21"/>
                <w:szCs w:val="21"/>
              </w:rPr>
            </w:pPr>
            <w:r>
              <w:rPr>
                <w:rFonts w:ascii="宋体" w:eastAsia="宋体" w:hAnsi="宋体" w:cs="宋体" w:hint="eastAsia"/>
                <w:sz w:val="21"/>
                <w:szCs w:val="21"/>
              </w:rPr>
              <w:t>清淤扰动、临时生产区等产生的含泥沙量大的泥浆废水、渗滤水</w:t>
            </w:r>
          </w:p>
        </w:tc>
      </w:tr>
      <w:tr w:rsidR="009D12AF" w14:paraId="29C7D3B8" w14:textId="77777777">
        <w:trPr>
          <w:jc w:val="center"/>
        </w:trPr>
        <w:tc>
          <w:tcPr>
            <w:tcW w:w="1223" w:type="dxa"/>
            <w:tcBorders>
              <w:tl2br w:val="nil"/>
              <w:tr2bl w:val="nil"/>
            </w:tcBorders>
            <w:vAlign w:val="center"/>
          </w:tcPr>
          <w:p w14:paraId="6A9F91E9"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W2</w:t>
            </w:r>
          </w:p>
        </w:tc>
        <w:tc>
          <w:tcPr>
            <w:tcW w:w="1706" w:type="dxa"/>
            <w:tcBorders>
              <w:tl2br w:val="nil"/>
              <w:tr2bl w:val="nil"/>
            </w:tcBorders>
            <w:vAlign w:val="center"/>
          </w:tcPr>
          <w:p w14:paraId="06AD8F4F" w14:textId="77777777" w:rsidR="009D12AF" w:rsidRDefault="00000000">
            <w:pPr>
              <w:ind w:firstLineChars="0" w:firstLine="0"/>
              <w:jc w:val="center"/>
              <w:rPr>
                <w:rFonts w:ascii="宋体" w:eastAsia="宋体" w:hAnsi="宋体" w:cs="宋体" w:hint="eastAsia"/>
                <w:sz w:val="21"/>
                <w:szCs w:val="21"/>
              </w:rPr>
            </w:pPr>
            <w:r>
              <w:rPr>
                <w:rFonts w:ascii="Times New Roman" w:eastAsia="宋体" w:hAnsi="Times New Roman" w:cs="Times New Roman" w:hint="eastAsia"/>
                <w:sz w:val="21"/>
                <w:szCs w:val="21"/>
              </w:rPr>
              <w:t>SS</w:t>
            </w:r>
            <w:r>
              <w:rPr>
                <w:rFonts w:ascii="Times New Roman" w:eastAsia="宋体" w:hAnsi="Times New Roman" w:cs="Times New Roman" w:hint="eastAsia"/>
                <w:sz w:val="21"/>
                <w:szCs w:val="21"/>
              </w:rPr>
              <w:t>、</w:t>
            </w:r>
            <w:r>
              <w:rPr>
                <w:rFonts w:ascii="宋体" w:eastAsia="宋体" w:hAnsi="宋体" w:cs="宋体" w:hint="eastAsia"/>
                <w:sz w:val="21"/>
                <w:szCs w:val="21"/>
              </w:rPr>
              <w:t>石油类</w:t>
            </w:r>
          </w:p>
        </w:tc>
        <w:tc>
          <w:tcPr>
            <w:tcW w:w="5593" w:type="dxa"/>
            <w:tcBorders>
              <w:tl2br w:val="nil"/>
              <w:tr2bl w:val="nil"/>
            </w:tcBorders>
            <w:vAlign w:val="center"/>
          </w:tcPr>
          <w:p w14:paraId="4B5F803F" w14:textId="77777777" w:rsidR="009D12AF" w:rsidRDefault="00000000">
            <w:pPr>
              <w:ind w:firstLineChars="0" w:firstLine="0"/>
              <w:jc w:val="center"/>
              <w:rPr>
                <w:rFonts w:ascii="宋体" w:eastAsia="宋体" w:hAnsi="宋体" w:cs="宋体" w:hint="eastAsia"/>
                <w:sz w:val="21"/>
                <w:szCs w:val="21"/>
              </w:rPr>
            </w:pPr>
            <w:r>
              <w:rPr>
                <w:rFonts w:ascii="宋体" w:eastAsia="宋体" w:hAnsi="宋体" w:cs="宋体" w:hint="eastAsia"/>
                <w:sz w:val="21"/>
                <w:szCs w:val="21"/>
              </w:rPr>
              <w:t>各类施工机械设备、车辆、船舶产生的含油污水、机械冲洗废水</w:t>
            </w:r>
          </w:p>
        </w:tc>
      </w:tr>
      <w:tr w:rsidR="009D12AF" w14:paraId="5EA97AB3" w14:textId="77777777">
        <w:trPr>
          <w:jc w:val="center"/>
        </w:trPr>
        <w:tc>
          <w:tcPr>
            <w:tcW w:w="1223" w:type="dxa"/>
            <w:tcBorders>
              <w:tl2br w:val="nil"/>
              <w:tr2bl w:val="nil"/>
            </w:tcBorders>
            <w:vAlign w:val="center"/>
          </w:tcPr>
          <w:p w14:paraId="721203B8"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W3</w:t>
            </w:r>
          </w:p>
        </w:tc>
        <w:tc>
          <w:tcPr>
            <w:tcW w:w="1706" w:type="dxa"/>
            <w:tcBorders>
              <w:tl2br w:val="nil"/>
              <w:tr2bl w:val="nil"/>
            </w:tcBorders>
            <w:vAlign w:val="center"/>
          </w:tcPr>
          <w:p w14:paraId="3825ADCB" w14:textId="77777777" w:rsidR="009D12AF" w:rsidRDefault="00000000">
            <w:pPr>
              <w:ind w:firstLineChars="0" w:firstLine="0"/>
              <w:jc w:val="center"/>
              <w:rPr>
                <w:rFonts w:ascii="宋体" w:eastAsia="宋体" w:hAnsi="宋体" w:cs="宋体" w:hint="eastAsia"/>
                <w:sz w:val="21"/>
                <w:szCs w:val="21"/>
              </w:rPr>
            </w:pPr>
            <w:r>
              <w:rPr>
                <w:rFonts w:ascii="Times New Roman" w:eastAsia="宋体" w:hAnsi="Times New Roman" w:cs="Times New Roman" w:hint="eastAsia"/>
                <w:sz w:val="21"/>
                <w:szCs w:val="21"/>
              </w:rPr>
              <w:t>COD</w:t>
            </w:r>
            <w:r>
              <w:rPr>
                <w:rFonts w:ascii="Times New Roman" w:eastAsia="宋体" w:hAnsi="Times New Roman" w:cs="Times New Roman" w:hint="eastAsia"/>
                <w:sz w:val="21"/>
                <w:szCs w:val="21"/>
              </w:rPr>
              <w:t>、</w:t>
            </w:r>
            <w:r>
              <w:rPr>
                <w:rFonts w:ascii="Times New Roman" w:eastAsia="宋体" w:hAnsi="Times New Roman" w:cs="Times New Roman" w:hint="eastAsia"/>
                <w:sz w:val="21"/>
                <w:szCs w:val="21"/>
              </w:rPr>
              <w:t>BOD</w:t>
            </w:r>
            <w:r>
              <w:rPr>
                <w:rFonts w:ascii="Times New Roman" w:eastAsia="宋体" w:hAnsi="Times New Roman" w:cs="Times New Roman" w:hint="eastAsia"/>
                <w:sz w:val="21"/>
                <w:szCs w:val="21"/>
                <w:vertAlign w:val="subscript"/>
              </w:rPr>
              <w:t>5</w:t>
            </w:r>
            <w:r>
              <w:rPr>
                <w:rFonts w:ascii="Times New Roman" w:eastAsia="宋体" w:hAnsi="Times New Roman" w:cs="Times New Roman" w:hint="eastAsia"/>
                <w:sz w:val="21"/>
                <w:szCs w:val="21"/>
              </w:rPr>
              <w:t>、</w:t>
            </w:r>
            <w:r>
              <w:rPr>
                <w:rFonts w:ascii="宋体" w:eastAsia="宋体" w:hAnsi="宋体" w:cs="宋体" w:hint="eastAsia"/>
                <w:sz w:val="21"/>
                <w:szCs w:val="21"/>
              </w:rPr>
              <w:t>氨氮、</w:t>
            </w:r>
            <w:r>
              <w:rPr>
                <w:rFonts w:ascii="Times New Roman" w:eastAsia="宋体" w:hAnsi="Times New Roman" w:cs="Times New Roman" w:hint="eastAsia"/>
                <w:sz w:val="21"/>
                <w:szCs w:val="21"/>
              </w:rPr>
              <w:t>SS</w:t>
            </w:r>
          </w:p>
        </w:tc>
        <w:tc>
          <w:tcPr>
            <w:tcW w:w="5593" w:type="dxa"/>
            <w:tcBorders>
              <w:tl2br w:val="nil"/>
              <w:tr2bl w:val="nil"/>
            </w:tcBorders>
            <w:vAlign w:val="center"/>
          </w:tcPr>
          <w:p w14:paraId="188919A5" w14:textId="77777777" w:rsidR="009D12AF" w:rsidRDefault="00000000">
            <w:pPr>
              <w:ind w:firstLineChars="0" w:firstLine="0"/>
              <w:jc w:val="center"/>
              <w:rPr>
                <w:rFonts w:ascii="宋体" w:eastAsia="宋体" w:hAnsi="宋体" w:cs="宋体" w:hint="eastAsia"/>
                <w:sz w:val="21"/>
                <w:szCs w:val="21"/>
              </w:rPr>
            </w:pPr>
            <w:r>
              <w:rPr>
                <w:rFonts w:ascii="宋体" w:eastAsia="宋体" w:hAnsi="宋体" w:cs="宋体" w:hint="eastAsia"/>
                <w:sz w:val="21"/>
                <w:szCs w:val="21"/>
              </w:rPr>
              <w:t>施工人员生活污水</w:t>
            </w:r>
          </w:p>
        </w:tc>
      </w:tr>
      <w:tr w:rsidR="009D12AF" w14:paraId="7C5A2E0B" w14:textId="77777777">
        <w:trPr>
          <w:jc w:val="center"/>
        </w:trPr>
        <w:tc>
          <w:tcPr>
            <w:tcW w:w="1223" w:type="dxa"/>
            <w:tcBorders>
              <w:tl2br w:val="nil"/>
              <w:tr2bl w:val="nil"/>
            </w:tcBorders>
            <w:vAlign w:val="center"/>
          </w:tcPr>
          <w:p w14:paraId="26D501DE"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G1</w:t>
            </w:r>
          </w:p>
        </w:tc>
        <w:tc>
          <w:tcPr>
            <w:tcW w:w="1706" w:type="dxa"/>
            <w:tcBorders>
              <w:tl2br w:val="nil"/>
              <w:tr2bl w:val="nil"/>
            </w:tcBorders>
            <w:vAlign w:val="center"/>
          </w:tcPr>
          <w:p w14:paraId="54B55725"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NO</w:t>
            </w:r>
            <w:r>
              <w:rPr>
                <w:rFonts w:ascii="Times New Roman" w:eastAsia="宋体" w:hAnsi="Times New Roman" w:cs="Times New Roman" w:hint="eastAsia"/>
                <w:sz w:val="21"/>
                <w:szCs w:val="21"/>
                <w:vertAlign w:val="subscript"/>
              </w:rPr>
              <w:t>2</w:t>
            </w:r>
            <w:r>
              <w:rPr>
                <w:rFonts w:ascii="Times New Roman" w:eastAsia="宋体" w:hAnsi="Times New Roman" w:cs="Times New Roman" w:hint="eastAsia"/>
                <w:sz w:val="21"/>
                <w:szCs w:val="21"/>
              </w:rPr>
              <w:t>、</w:t>
            </w:r>
            <w:r>
              <w:rPr>
                <w:rFonts w:ascii="Times New Roman" w:eastAsia="宋体" w:hAnsi="Times New Roman" w:cs="Times New Roman" w:hint="eastAsia"/>
                <w:sz w:val="21"/>
                <w:szCs w:val="21"/>
              </w:rPr>
              <w:t>SO</w:t>
            </w:r>
            <w:r>
              <w:rPr>
                <w:rFonts w:ascii="Times New Roman" w:eastAsia="宋体" w:hAnsi="Times New Roman" w:cs="Times New Roman" w:hint="eastAsia"/>
                <w:sz w:val="21"/>
                <w:szCs w:val="21"/>
                <w:vertAlign w:val="subscript"/>
              </w:rPr>
              <w:t>2</w:t>
            </w:r>
            <w:r>
              <w:rPr>
                <w:rFonts w:ascii="Times New Roman" w:eastAsia="宋体" w:hAnsi="Times New Roman" w:cs="Times New Roman" w:hint="eastAsia"/>
                <w:sz w:val="21"/>
                <w:szCs w:val="21"/>
              </w:rPr>
              <w:t>、</w:t>
            </w:r>
            <w:r>
              <w:rPr>
                <w:rFonts w:ascii="Times New Roman" w:eastAsia="宋体" w:hAnsi="Times New Roman" w:cs="Times New Roman" w:hint="eastAsia"/>
                <w:sz w:val="21"/>
                <w:szCs w:val="21"/>
              </w:rPr>
              <w:t>CO</w:t>
            </w:r>
            <w:r>
              <w:rPr>
                <w:rFonts w:ascii="Times New Roman" w:eastAsia="宋体" w:hAnsi="Times New Roman" w:cs="Times New Roman" w:hint="eastAsia"/>
                <w:sz w:val="21"/>
                <w:szCs w:val="21"/>
              </w:rPr>
              <w:t>、</w:t>
            </w:r>
            <w:r>
              <w:rPr>
                <w:rFonts w:ascii="Times New Roman" w:eastAsia="宋体" w:hAnsi="Times New Roman" w:cs="Times New Roman" w:hint="eastAsia"/>
                <w:sz w:val="21"/>
                <w:szCs w:val="21"/>
              </w:rPr>
              <w:t>THC</w:t>
            </w:r>
          </w:p>
        </w:tc>
        <w:tc>
          <w:tcPr>
            <w:tcW w:w="5593" w:type="dxa"/>
            <w:tcBorders>
              <w:tl2br w:val="nil"/>
              <w:tr2bl w:val="nil"/>
            </w:tcBorders>
            <w:vAlign w:val="center"/>
          </w:tcPr>
          <w:p w14:paraId="4BDD1ACE" w14:textId="77777777" w:rsidR="009D12AF" w:rsidRDefault="00000000">
            <w:pPr>
              <w:ind w:firstLineChars="0" w:firstLine="0"/>
              <w:jc w:val="center"/>
              <w:rPr>
                <w:rFonts w:ascii="宋体" w:eastAsia="宋体" w:hAnsi="宋体" w:cs="宋体" w:hint="eastAsia"/>
                <w:sz w:val="21"/>
                <w:szCs w:val="21"/>
              </w:rPr>
            </w:pPr>
            <w:r>
              <w:rPr>
                <w:rFonts w:ascii="宋体" w:eastAsia="宋体" w:hAnsi="宋体" w:cs="宋体" w:hint="eastAsia"/>
                <w:sz w:val="21"/>
                <w:szCs w:val="21"/>
              </w:rPr>
              <w:t>各类施工机械设备、车辆、船舶产生的燃油废气</w:t>
            </w:r>
          </w:p>
        </w:tc>
      </w:tr>
      <w:tr w:rsidR="009D12AF" w14:paraId="69C9066E" w14:textId="77777777">
        <w:trPr>
          <w:jc w:val="center"/>
        </w:trPr>
        <w:tc>
          <w:tcPr>
            <w:tcW w:w="1223" w:type="dxa"/>
            <w:tcBorders>
              <w:tl2br w:val="nil"/>
              <w:tr2bl w:val="nil"/>
            </w:tcBorders>
            <w:vAlign w:val="center"/>
          </w:tcPr>
          <w:p w14:paraId="2AA55AB4"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G2</w:t>
            </w:r>
          </w:p>
        </w:tc>
        <w:tc>
          <w:tcPr>
            <w:tcW w:w="1706" w:type="dxa"/>
            <w:tcBorders>
              <w:tl2br w:val="nil"/>
              <w:tr2bl w:val="nil"/>
            </w:tcBorders>
            <w:vAlign w:val="center"/>
          </w:tcPr>
          <w:p w14:paraId="249564DD"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TSP</w:t>
            </w:r>
          </w:p>
        </w:tc>
        <w:tc>
          <w:tcPr>
            <w:tcW w:w="5593" w:type="dxa"/>
            <w:tcBorders>
              <w:tl2br w:val="nil"/>
              <w:tr2bl w:val="nil"/>
            </w:tcBorders>
            <w:vAlign w:val="center"/>
          </w:tcPr>
          <w:p w14:paraId="124B31FA" w14:textId="77777777" w:rsidR="009D12AF" w:rsidRDefault="00000000">
            <w:pPr>
              <w:ind w:firstLineChars="0" w:firstLine="0"/>
              <w:jc w:val="center"/>
              <w:rPr>
                <w:rFonts w:ascii="宋体" w:eastAsia="宋体" w:hAnsi="宋体" w:cs="宋体" w:hint="eastAsia"/>
                <w:sz w:val="21"/>
                <w:szCs w:val="21"/>
              </w:rPr>
            </w:pPr>
            <w:r>
              <w:rPr>
                <w:rFonts w:ascii="宋体" w:eastAsia="宋体" w:hAnsi="宋体" w:cs="宋体" w:hint="eastAsia"/>
                <w:sz w:val="21"/>
                <w:szCs w:val="21"/>
              </w:rPr>
              <w:t>材料装卸、车辆行驶等产生的扬尘</w:t>
            </w:r>
          </w:p>
        </w:tc>
      </w:tr>
      <w:tr w:rsidR="009D12AF" w14:paraId="434FB848" w14:textId="77777777">
        <w:trPr>
          <w:jc w:val="center"/>
        </w:trPr>
        <w:tc>
          <w:tcPr>
            <w:tcW w:w="1223" w:type="dxa"/>
            <w:tcBorders>
              <w:tl2br w:val="nil"/>
              <w:tr2bl w:val="nil"/>
            </w:tcBorders>
            <w:vAlign w:val="center"/>
          </w:tcPr>
          <w:p w14:paraId="60089628"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G3</w:t>
            </w:r>
          </w:p>
        </w:tc>
        <w:tc>
          <w:tcPr>
            <w:tcW w:w="1706" w:type="dxa"/>
            <w:tcBorders>
              <w:tl2br w:val="nil"/>
              <w:tr2bl w:val="nil"/>
            </w:tcBorders>
            <w:vAlign w:val="center"/>
          </w:tcPr>
          <w:p w14:paraId="44756176" w14:textId="77777777" w:rsidR="009D12AF" w:rsidRDefault="00000000">
            <w:pPr>
              <w:ind w:firstLineChars="0" w:firstLine="0"/>
              <w:jc w:val="center"/>
              <w:rPr>
                <w:rFonts w:ascii="宋体" w:eastAsia="宋体" w:hAnsi="宋体" w:cs="宋体" w:hint="eastAsia"/>
                <w:sz w:val="21"/>
                <w:szCs w:val="21"/>
              </w:rPr>
            </w:pPr>
            <w:r>
              <w:rPr>
                <w:rFonts w:ascii="宋体" w:eastAsia="宋体" w:hAnsi="宋体" w:cs="宋体" w:hint="eastAsia"/>
                <w:sz w:val="21"/>
                <w:szCs w:val="21"/>
              </w:rPr>
              <w:t>恶臭气体</w:t>
            </w:r>
          </w:p>
        </w:tc>
        <w:tc>
          <w:tcPr>
            <w:tcW w:w="5593" w:type="dxa"/>
            <w:tcBorders>
              <w:tl2br w:val="nil"/>
              <w:tr2bl w:val="nil"/>
            </w:tcBorders>
            <w:vAlign w:val="center"/>
          </w:tcPr>
          <w:p w14:paraId="6628B90B" w14:textId="77777777" w:rsidR="009D12AF" w:rsidRDefault="00000000">
            <w:pPr>
              <w:ind w:firstLineChars="0" w:firstLine="0"/>
              <w:jc w:val="center"/>
              <w:rPr>
                <w:rFonts w:ascii="宋体" w:eastAsia="宋体" w:hAnsi="宋体" w:cs="宋体" w:hint="eastAsia"/>
                <w:sz w:val="21"/>
                <w:szCs w:val="21"/>
              </w:rPr>
            </w:pPr>
            <w:r>
              <w:rPr>
                <w:rFonts w:ascii="宋体" w:eastAsia="宋体" w:hAnsi="宋体" w:cs="宋体" w:hint="eastAsia"/>
                <w:sz w:val="21"/>
                <w:szCs w:val="21"/>
              </w:rPr>
              <w:t>疏浚清淤、临时生产区底泥堆置产生的臭气</w:t>
            </w:r>
          </w:p>
        </w:tc>
      </w:tr>
      <w:tr w:rsidR="009D12AF" w14:paraId="6CCFBE88" w14:textId="77777777">
        <w:trPr>
          <w:jc w:val="center"/>
        </w:trPr>
        <w:tc>
          <w:tcPr>
            <w:tcW w:w="1223" w:type="dxa"/>
            <w:tcBorders>
              <w:tl2br w:val="nil"/>
              <w:tr2bl w:val="nil"/>
            </w:tcBorders>
            <w:vAlign w:val="center"/>
          </w:tcPr>
          <w:p w14:paraId="645D8177"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N1</w:t>
            </w:r>
          </w:p>
        </w:tc>
        <w:tc>
          <w:tcPr>
            <w:tcW w:w="1706" w:type="dxa"/>
            <w:tcBorders>
              <w:tl2br w:val="nil"/>
              <w:tr2bl w:val="nil"/>
            </w:tcBorders>
            <w:vAlign w:val="center"/>
          </w:tcPr>
          <w:p w14:paraId="723C8DDD" w14:textId="77777777" w:rsidR="009D12AF" w:rsidRDefault="00000000">
            <w:pPr>
              <w:ind w:firstLineChars="0" w:firstLine="0"/>
              <w:jc w:val="center"/>
              <w:rPr>
                <w:rFonts w:ascii="宋体" w:eastAsia="宋体" w:hAnsi="宋体" w:cs="宋体" w:hint="eastAsia"/>
                <w:sz w:val="21"/>
                <w:szCs w:val="21"/>
              </w:rPr>
            </w:pPr>
            <w:r>
              <w:rPr>
                <w:rFonts w:ascii="宋体" w:eastAsia="宋体" w:hAnsi="宋体" w:cs="宋体" w:hint="eastAsia"/>
                <w:sz w:val="21"/>
                <w:szCs w:val="21"/>
              </w:rPr>
              <w:t>噪声</w:t>
            </w:r>
          </w:p>
        </w:tc>
        <w:tc>
          <w:tcPr>
            <w:tcW w:w="5593" w:type="dxa"/>
            <w:tcBorders>
              <w:tl2br w:val="nil"/>
              <w:tr2bl w:val="nil"/>
            </w:tcBorders>
            <w:vAlign w:val="center"/>
          </w:tcPr>
          <w:p w14:paraId="181B5D1C" w14:textId="77777777" w:rsidR="009D12AF" w:rsidRDefault="00000000">
            <w:pPr>
              <w:ind w:firstLineChars="0" w:firstLine="0"/>
              <w:jc w:val="center"/>
              <w:rPr>
                <w:rFonts w:ascii="宋体" w:eastAsia="宋体" w:hAnsi="宋体" w:cs="宋体" w:hint="eastAsia"/>
                <w:sz w:val="21"/>
                <w:szCs w:val="21"/>
              </w:rPr>
            </w:pPr>
            <w:r>
              <w:rPr>
                <w:rFonts w:ascii="宋体" w:eastAsia="宋体" w:hAnsi="宋体" w:cs="宋体" w:hint="eastAsia"/>
                <w:sz w:val="21"/>
                <w:szCs w:val="21"/>
              </w:rPr>
              <w:t>各类施工机械设备、车辆、船舶运转产生的噪声</w:t>
            </w:r>
          </w:p>
        </w:tc>
      </w:tr>
      <w:tr w:rsidR="009D12AF" w14:paraId="16A8BC2E" w14:textId="77777777">
        <w:trPr>
          <w:jc w:val="center"/>
        </w:trPr>
        <w:tc>
          <w:tcPr>
            <w:tcW w:w="1223" w:type="dxa"/>
            <w:tcBorders>
              <w:tl2br w:val="nil"/>
              <w:tr2bl w:val="nil"/>
            </w:tcBorders>
            <w:vAlign w:val="center"/>
          </w:tcPr>
          <w:p w14:paraId="78CD4C8E"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lastRenderedPageBreak/>
              <w:t>S1</w:t>
            </w:r>
          </w:p>
        </w:tc>
        <w:tc>
          <w:tcPr>
            <w:tcW w:w="1706" w:type="dxa"/>
            <w:tcBorders>
              <w:tl2br w:val="nil"/>
              <w:tr2bl w:val="nil"/>
            </w:tcBorders>
            <w:vAlign w:val="center"/>
          </w:tcPr>
          <w:p w14:paraId="76FEEC2D" w14:textId="77777777" w:rsidR="009D12AF" w:rsidRDefault="00000000">
            <w:pPr>
              <w:ind w:firstLineChars="0" w:firstLine="0"/>
              <w:jc w:val="center"/>
              <w:rPr>
                <w:rFonts w:ascii="宋体" w:eastAsia="宋体" w:hAnsi="宋体" w:cs="宋体" w:hint="eastAsia"/>
                <w:sz w:val="21"/>
                <w:szCs w:val="21"/>
              </w:rPr>
            </w:pPr>
            <w:r>
              <w:rPr>
                <w:rFonts w:ascii="宋体" w:eastAsia="宋体" w:hAnsi="宋体" w:cs="宋体" w:hint="eastAsia"/>
                <w:sz w:val="21"/>
                <w:szCs w:val="21"/>
              </w:rPr>
              <w:t>固废</w:t>
            </w:r>
          </w:p>
        </w:tc>
        <w:tc>
          <w:tcPr>
            <w:tcW w:w="5593" w:type="dxa"/>
            <w:tcBorders>
              <w:tl2br w:val="nil"/>
              <w:tr2bl w:val="nil"/>
            </w:tcBorders>
            <w:vAlign w:val="center"/>
          </w:tcPr>
          <w:p w14:paraId="2CB77FA6" w14:textId="77777777" w:rsidR="009D12AF" w:rsidRDefault="00000000">
            <w:pPr>
              <w:ind w:firstLineChars="0" w:firstLine="0"/>
              <w:jc w:val="center"/>
              <w:rPr>
                <w:rFonts w:ascii="宋体" w:eastAsia="宋体" w:hAnsi="宋体" w:cs="宋体" w:hint="eastAsia"/>
                <w:sz w:val="21"/>
                <w:szCs w:val="21"/>
              </w:rPr>
            </w:pPr>
            <w:r>
              <w:rPr>
                <w:rFonts w:ascii="宋体" w:eastAsia="宋体" w:hAnsi="宋体" w:cs="宋体" w:hint="eastAsia"/>
                <w:sz w:val="21"/>
                <w:szCs w:val="21"/>
              </w:rPr>
              <w:t>场地清理、土方开挖产生的废渣</w:t>
            </w:r>
          </w:p>
        </w:tc>
      </w:tr>
      <w:tr w:rsidR="009D12AF" w14:paraId="5BD8928C" w14:textId="77777777">
        <w:trPr>
          <w:jc w:val="center"/>
        </w:trPr>
        <w:tc>
          <w:tcPr>
            <w:tcW w:w="1223" w:type="dxa"/>
            <w:tcBorders>
              <w:tl2br w:val="nil"/>
              <w:tr2bl w:val="nil"/>
            </w:tcBorders>
            <w:vAlign w:val="center"/>
          </w:tcPr>
          <w:p w14:paraId="6247DF04"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S2</w:t>
            </w:r>
          </w:p>
        </w:tc>
        <w:tc>
          <w:tcPr>
            <w:tcW w:w="1706" w:type="dxa"/>
            <w:tcBorders>
              <w:tl2br w:val="nil"/>
              <w:tr2bl w:val="nil"/>
            </w:tcBorders>
            <w:vAlign w:val="center"/>
          </w:tcPr>
          <w:p w14:paraId="7A438008" w14:textId="77777777" w:rsidR="009D12AF" w:rsidRDefault="00000000">
            <w:pPr>
              <w:ind w:firstLineChars="0" w:firstLine="0"/>
              <w:jc w:val="center"/>
              <w:rPr>
                <w:rFonts w:ascii="宋体" w:eastAsia="宋体" w:hAnsi="宋体" w:cs="宋体" w:hint="eastAsia"/>
                <w:sz w:val="21"/>
                <w:szCs w:val="21"/>
              </w:rPr>
            </w:pPr>
            <w:r>
              <w:rPr>
                <w:rFonts w:ascii="宋体" w:eastAsia="宋体" w:hAnsi="宋体" w:cs="宋体" w:hint="eastAsia"/>
                <w:sz w:val="21"/>
                <w:szCs w:val="21"/>
              </w:rPr>
              <w:t>固废</w:t>
            </w:r>
          </w:p>
        </w:tc>
        <w:tc>
          <w:tcPr>
            <w:tcW w:w="5593" w:type="dxa"/>
            <w:tcBorders>
              <w:tl2br w:val="nil"/>
              <w:tr2bl w:val="nil"/>
            </w:tcBorders>
            <w:vAlign w:val="center"/>
          </w:tcPr>
          <w:p w14:paraId="0A939C1C" w14:textId="77777777" w:rsidR="009D12AF" w:rsidRDefault="00000000">
            <w:pPr>
              <w:ind w:firstLineChars="0" w:firstLine="0"/>
              <w:jc w:val="center"/>
              <w:rPr>
                <w:rFonts w:ascii="宋体" w:eastAsia="宋体" w:hAnsi="宋体" w:cs="宋体" w:hint="eastAsia"/>
                <w:sz w:val="21"/>
                <w:szCs w:val="21"/>
              </w:rPr>
            </w:pPr>
            <w:r>
              <w:rPr>
                <w:rFonts w:ascii="宋体" w:eastAsia="宋体" w:hAnsi="宋体" w:cs="宋体" w:hint="eastAsia"/>
                <w:sz w:val="21"/>
                <w:szCs w:val="21"/>
              </w:rPr>
              <w:t>施工人员生活垃圾</w:t>
            </w:r>
          </w:p>
        </w:tc>
      </w:tr>
      <w:tr w:rsidR="009D12AF" w14:paraId="260719A7" w14:textId="77777777">
        <w:trPr>
          <w:jc w:val="center"/>
        </w:trPr>
        <w:tc>
          <w:tcPr>
            <w:tcW w:w="1223" w:type="dxa"/>
            <w:tcBorders>
              <w:tl2br w:val="nil"/>
              <w:tr2bl w:val="nil"/>
            </w:tcBorders>
            <w:vAlign w:val="center"/>
          </w:tcPr>
          <w:p w14:paraId="1E7ADD6D"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S3</w:t>
            </w:r>
          </w:p>
        </w:tc>
        <w:tc>
          <w:tcPr>
            <w:tcW w:w="1706" w:type="dxa"/>
            <w:tcBorders>
              <w:tl2br w:val="nil"/>
              <w:tr2bl w:val="nil"/>
            </w:tcBorders>
            <w:vAlign w:val="center"/>
          </w:tcPr>
          <w:p w14:paraId="6A8D6CE5" w14:textId="77777777" w:rsidR="009D12AF" w:rsidRDefault="00000000">
            <w:pPr>
              <w:ind w:firstLineChars="0" w:firstLine="0"/>
              <w:jc w:val="center"/>
              <w:rPr>
                <w:rFonts w:ascii="宋体" w:eastAsia="宋体" w:hAnsi="宋体" w:cs="宋体" w:hint="eastAsia"/>
                <w:sz w:val="21"/>
                <w:szCs w:val="21"/>
              </w:rPr>
            </w:pPr>
            <w:r>
              <w:rPr>
                <w:rFonts w:ascii="宋体" w:eastAsia="宋体" w:hAnsi="宋体" w:cs="宋体" w:hint="eastAsia"/>
                <w:sz w:val="21"/>
                <w:szCs w:val="21"/>
              </w:rPr>
              <w:t>固废</w:t>
            </w:r>
          </w:p>
        </w:tc>
        <w:tc>
          <w:tcPr>
            <w:tcW w:w="5593" w:type="dxa"/>
            <w:tcBorders>
              <w:tl2br w:val="nil"/>
              <w:tr2bl w:val="nil"/>
            </w:tcBorders>
            <w:vAlign w:val="center"/>
          </w:tcPr>
          <w:p w14:paraId="4E978646" w14:textId="77777777" w:rsidR="009D12AF" w:rsidRDefault="00000000">
            <w:pPr>
              <w:ind w:firstLineChars="0" w:firstLine="0"/>
              <w:jc w:val="center"/>
              <w:rPr>
                <w:rFonts w:ascii="宋体" w:eastAsia="宋体" w:hAnsi="宋体" w:cs="宋体" w:hint="eastAsia"/>
                <w:sz w:val="21"/>
                <w:szCs w:val="21"/>
              </w:rPr>
            </w:pPr>
            <w:r>
              <w:rPr>
                <w:rFonts w:ascii="宋体" w:eastAsia="宋体" w:hAnsi="宋体" w:cs="宋体" w:hint="eastAsia"/>
                <w:sz w:val="21"/>
                <w:szCs w:val="21"/>
              </w:rPr>
              <w:t>清淤的库底淤泥</w:t>
            </w:r>
          </w:p>
        </w:tc>
      </w:tr>
    </w:tbl>
    <w:p w14:paraId="796FD68F" w14:textId="77777777" w:rsidR="009D12AF" w:rsidRDefault="00000000">
      <w:pPr>
        <w:pStyle w:val="3"/>
      </w:pPr>
      <w:bookmarkStart w:id="145" w:name="_Toc20959"/>
      <w:r>
        <w:rPr>
          <w:rFonts w:hint="eastAsia"/>
        </w:rPr>
        <w:t>3.3.2</w:t>
      </w:r>
      <w:r>
        <w:rPr>
          <w:rFonts w:hint="eastAsia"/>
        </w:rPr>
        <w:t>施工期工程污染源强分析</w:t>
      </w:r>
      <w:bookmarkEnd w:id="145"/>
    </w:p>
    <w:p w14:paraId="5287234F" w14:textId="77777777" w:rsidR="009D12AF" w:rsidRDefault="00000000">
      <w:pPr>
        <w:pStyle w:val="4"/>
        <w:spacing w:before="0" w:after="0"/>
        <w:ind w:firstLineChars="0" w:firstLine="0"/>
      </w:pPr>
      <w:r>
        <w:rPr>
          <w:rFonts w:hint="eastAsia"/>
        </w:rPr>
        <w:t>3.3.2.1</w:t>
      </w:r>
      <w:r>
        <w:rPr>
          <w:rFonts w:hint="eastAsia"/>
        </w:rPr>
        <w:t>废水</w:t>
      </w:r>
    </w:p>
    <w:p w14:paraId="2562752D" w14:textId="77777777" w:rsidR="009D12AF" w:rsidRDefault="00000000">
      <w:pPr>
        <w:widowControl/>
        <w:ind w:firstLine="480"/>
        <w:jc w:val="left"/>
      </w:pPr>
      <w:r>
        <w:rPr>
          <w:rFonts w:ascii="瀹嬩綋" w:eastAsia="瀹嬩綋" w:hAnsi="瀹嬩綋" w:cs="瀹嬩綋"/>
          <w:color w:val="000000"/>
          <w:kern w:val="0"/>
          <w:lang w:bidi="ar"/>
        </w:rPr>
        <w:t>本工程施工期产生的废水主要包括施工人员生活污水、施工机械设备维修冲洗废水、</w:t>
      </w:r>
      <w:r>
        <w:rPr>
          <w:rFonts w:ascii="瀹嬩綋" w:eastAsia="瀹嬩綋" w:hAnsi="瀹嬩綋" w:cs="瀹嬩綋" w:hint="eastAsia"/>
          <w:color w:val="000000"/>
          <w:kern w:val="0"/>
          <w:lang w:bidi="ar"/>
        </w:rPr>
        <w:t>挖泥船船</w:t>
      </w:r>
      <w:r>
        <w:rPr>
          <w:rFonts w:ascii="瀹嬩綋" w:eastAsia="瀹嬩綋" w:hAnsi="瀹嬩綋" w:cs="瀹嬩綋"/>
          <w:color w:val="000000"/>
          <w:kern w:val="0"/>
          <w:lang w:bidi="ar"/>
        </w:rPr>
        <w:t>底油污水、</w:t>
      </w:r>
      <w:r>
        <w:rPr>
          <w:rFonts w:hint="eastAsia"/>
        </w:rPr>
        <w:t>清淤工程临时生产区渗滤水</w:t>
      </w:r>
      <w:r>
        <w:rPr>
          <w:rFonts w:ascii="瀹嬩綋" w:eastAsia="瀹嬩綋" w:hAnsi="瀹嬩綋" w:cs="瀹嬩綋"/>
          <w:color w:val="000000"/>
          <w:kern w:val="0"/>
          <w:lang w:bidi="ar"/>
        </w:rPr>
        <w:t>等。</w:t>
      </w:r>
    </w:p>
    <w:p w14:paraId="4D361344" w14:textId="77777777" w:rsidR="009D12AF" w:rsidRDefault="00000000">
      <w:pPr>
        <w:widowControl/>
        <w:ind w:firstLine="480"/>
        <w:jc w:val="left"/>
      </w:pPr>
      <w:r>
        <w:rPr>
          <w:rFonts w:hint="eastAsia"/>
        </w:rPr>
        <w:t>1</w:t>
      </w:r>
      <w:r>
        <w:rPr>
          <w:rFonts w:hint="eastAsia"/>
        </w:rPr>
        <w:t>、施工人员生活污水</w:t>
      </w:r>
    </w:p>
    <w:p w14:paraId="2E8E0254" w14:textId="77777777" w:rsidR="009D12AF" w:rsidRDefault="00000000">
      <w:pPr>
        <w:ind w:firstLine="480"/>
      </w:pPr>
      <w:r>
        <w:rPr>
          <w:rFonts w:ascii="Times New Roman" w:eastAsia="宋体" w:hAnsi="Times New Roman" w:cs="Times New Roman" w:hint="eastAsia"/>
        </w:rPr>
        <w:t>本项目</w:t>
      </w:r>
      <w:r>
        <w:rPr>
          <w:rFonts w:ascii="Times New Roman" w:eastAsia="宋体" w:hAnsi="Times New Roman" w:cs="Times New Roman"/>
        </w:rPr>
        <w:t>用水来源于</w:t>
      </w:r>
      <w:r>
        <w:rPr>
          <w:rFonts w:ascii="Times New Roman" w:eastAsia="宋体" w:hAnsi="Times New Roman" w:cs="Times New Roman" w:hint="eastAsia"/>
        </w:rPr>
        <w:t>附近村屯</w:t>
      </w:r>
      <w:r>
        <w:rPr>
          <w:rFonts w:ascii="Times New Roman" w:eastAsia="宋体" w:hAnsi="Times New Roman" w:cs="Times New Roman"/>
        </w:rPr>
        <w:t>自来水管网。项目员工共</w:t>
      </w:r>
      <w:r>
        <w:rPr>
          <w:rFonts w:ascii="Times New Roman" w:eastAsia="宋体" w:hAnsi="Times New Roman" w:cs="Times New Roman" w:hint="eastAsia"/>
        </w:rPr>
        <w:t>10</w:t>
      </w:r>
      <w:r>
        <w:rPr>
          <w:rFonts w:ascii="Times New Roman" w:eastAsia="宋体" w:hAnsi="Times New Roman" w:cs="Times New Roman"/>
        </w:rPr>
        <w:t>人，根据《用水定额》（黑龙江省地方标准</w:t>
      </w:r>
      <w:r>
        <w:rPr>
          <w:rFonts w:ascii="Times New Roman" w:eastAsia="宋体" w:hAnsi="Times New Roman" w:cs="Times New Roman"/>
        </w:rPr>
        <w:t>DB23/T727-2021</w:t>
      </w:r>
      <w:r>
        <w:rPr>
          <w:rFonts w:ascii="Times New Roman" w:eastAsia="宋体" w:hAnsi="Times New Roman" w:cs="Times New Roman"/>
        </w:rPr>
        <w:t>）中表</w:t>
      </w:r>
      <w:r>
        <w:rPr>
          <w:rFonts w:ascii="Times New Roman" w:eastAsia="宋体" w:hAnsi="Times New Roman" w:cs="Times New Roman"/>
        </w:rPr>
        <w:t>H.2</w:t>
      </w:r>
      <w:r>
        <w:rPr>
          <w:rFonts w:ascii="Times New Roman" w:eastAsia="宋体" w:hAnsi="Times New Roman" w:cs="Times New Roman"/>
        </w:rPr>
        <w:t>居民生活用水定额，按每人每天用水量</w:t>
      </w:r>
      <w:r>
        <w:rPr>
          <w:rFonts w:ascii="Times New Roman" w:eastAsia="宋体" w:hAnsi="Times New Roman" w:cs="Times New Roman"/>
        </w:rPr>
        <w:t>80L</w:t>
      </w:r>
      <w:r>
        <w:rPr>
          <w:rFonts w:ascii="Times New Roman" w:eastAsia="宋体" w:hAnsi="Times New Roman" w:cs="Times New Roman"/>
        </w:rPr>
        <w:t>，</w:t>
      </w:r>
      <w:r>
        <w:rPr>
          <w:rFonts w:ascii="Times New Roman" w:eastAsia="宋体" w:hAnsi="Times New Roman" w:cs="Times New Roman" w:hint="eastAsia"/>
        </w:rPr>
        <w:t>总工期</w:t>
      </w:r>
      <w:r>
        <w:rPr>
          <w:rFonts w:ascii="Times New Roman" w:eastAsia="宋体" w:hAnsi="Times New Roman" w:cs="Times New Roman"/>
        </w:rPr>
        <w:t>工作日</w:t>
      </w:r>
      <w:r>
        <w:rPr>
          <w:rFonts w:ascii="Times New Roman" w:eastAsia="宋体" w:hAnsi="Times New Roman" w:cs="Times New Roman" w:hint="eastAsia"/>
        </w:rPr>
        <w:t>1890</w:t>
      </w:r>
      <w:r>
        <w:rPr>
          <w:rFonts w:ascii="Times New Roman" w:eastAsia="宋体" w:hAnsi="Times New Roman" w:cs="Times New Roman"/>
        </w:rPr>
        <w:t>d</w:t>
      </w:r>
      <w:r>
        <w:rPr>
          <w:rFonts w:ascii="Times New Roman" w:eastAsia="宋体" w:hAnsi="Times New Roman" w:cs="Times New Roman"/>
        </w:rPr>
        <w:t>，用水量为</w:t>
      </w:r>
      <w:r>
        <w:rPr>
          <w:rFonts w:ascii="Times New Roman" w:eastAsia="宋体" w:hAnsi="Times New Roman" w:cs="Times New Roman" w:hint="eastAsia"/>
        </w:rPr>
        <w:t>0.8</w:t>
      </w:r>
      <w:r>
        <w:rPr>
          <w:rFonts w:ascii="Times New Roman" w:eastAsia="宋体" w:hAnsi="Times New Roman" w:cs="Times New Roman"/>
        </w:rPr>
        <w:t>t/d</w:t>
      </w:r>
      <w:r>
        <w:rPr>
          <w:rFonts w:ascii="Times New Roman" w:eastAsia="宋体" w:hAnsi="Times New Roman" w:cs="Times New Roman"/>
        </w:rPr>
        <w:t>、</w:t>
      </w:r>
      <w:r>
        <w:rPr>
          <w:rFonts w:ascii="Times New Roman" w:eastAsia="宋体" w:hAnsi="Times New Roman" w:cs="Times New Roman" w:hint="eastAsia"/>
        </w:rPr>
        <w:t>1512</w:t>
      </w:r>
      <w:r>
        <w:rPr>
          <w:rFonts w:ascii="Times New Roman" w:eastAsia="宋体" w:hAnsi="Times New Roman" w:cs="Times New Roman"/>
        </w:rPr>
        <w:t>t/</w:t>
      </w:r>
      <w:r>
        <w:rPr>
          <w:rFonts w:ascii="Times New Roman" w:eastAsia="宋体" w:hAnsi="Times New Roman" w:cs="Times New Roman" w:hint="eastAsia"/>
        </w:rPr>
        <w:t>总工期</w:t>
      </w:r>
      <w:r>
        <w:rPr>
          <w:rFonts w:ascii="Times New Roman" w:eastAsia="宋体" w:hAnsi="Times New Roman" w:cs="Times New Roman"/>
        </w:rPr>
        <w:t>。</w:t>
      </w:r>
      <w:r>
        <w:t>生活污水产生量按日用水量的</w:t>
      </w:r>
      <w:r>
        <w:t>80%</w:t>
      </w:r>
      <w:r>
        <w:t>计，</w:t>
      </w:r>
      <w:r>
        <w:rPr>
          <w:rFonts w:hint="eastAsia"/>
        </w:rPr>
        <w:t>则</w:t>
      </w:r>
      <w:r>
        <w:t>生活污水产生量为</w:t>
      </w:r>
      <w:r>
        <w:rPr>
          <w:rFonts w:hint="eastAsia"/>
        </w:rPr>
        <w:t>0.64</w:t>
      </w:r>
      <w:r>
        <w:t>m</w:t>
      </w:r>
      <w:r>
        <w:rPr>
          <w:vertAlign w:val="superscript"/>
        </w:rPr>
        <w:t>3</w:t>
      </w:r>
      <w:r>
        <w:t>/d</w:t>
      </w:r>
      <w:r>
        <w:rPr>
          <w:rFonts w:hint="eastAsia"/>
        </w:rPr>
        <w:t>、</w:t>
      </w:r>
      <w:r>
        <w:rPr>
          <w:rFonts w:ascii="Times New Roman" w:eastAsia="宋体" w:hAnsi="Times New Roman" w:cs="Times New Roman" w:hint="eastAsia"/>
        </w:rPr>
        <w:t>1209.6</w:t>
      </w:r>
      <w:r>
        <w:rPr>
          <w:rFonts w:ascii="Times New Roman" w:eastAsia="宋体" w:hAnsi="Times New Roman" w:cs="Times New Roman"/>
        </w:rPr>
        <w:t>t/</w:t>
      </w:r>
      <w:r>
        <w:rPr>
          <w:rFonts w:ascii="Times New Roman" w:eastAsia="宋体" w:hAnsi="Times New Roman" w:cs="Times New Roman" w:hint="eastAsia"/>
        </w:rPr>
        <w:t>总工期</w:t>
      </w:r>
      <w:r>
        <w:rPr>
          <w:rFonts w:hint="eastAsia"/>
        </w:rPr>
        <w:t>，</w:t>
      </w:r>
      <w:r>
        <w:t>污水中主要污染物有</w:t>
      </w:r>
      <w:r>
        <w:t>COD</w:t>
      </w:r>
      <w:r>
        <w:t>、</w:t>
      </w:r>
      <w:r>
        <w:t>SS</w:t>
      </w:r>
      <w:r>
        <w:t>、</w:t>
      </w:r>
      <w:r>
        <w:t>NH</w:t>
      </w:r>
      <w:r>
        <w:rPr>
          <w:vertAlign w:val="subscript"/>
        </w:rPr>
        <w:t>3</w:t>
      </w:r>
      <w:r>
        <w:t>-N</w:t>
      </w:r>
      <w:r>
        <w:t>等，其浓度一般为</w:t>
      </w:r>
      <w:r>
        <w:t>300mg/L</w:t>
      </w:r>
      <w:r>
        <w:t>、</w:t>
      </w:r>
      <w:r>
        <w:t>200mg/L</w:t>
      </w:r>
      <w:r>
        <w:t>、</w:t>
      </w:r>
      <w:r>
        <w:t>25mg/L</w:t>
      </w:r>
      <w:r>
        <w:t>。生活污水排入移动卫生厕所，定期清掏，外运堆肥。</w:t>
      </w:r>
    </w:p>
    <w:p w14:paraId="18FC1634" w14:textId="77777777" w:rsidR="009D12AF" w:rsidRDefault="00000000">
      <w:pPr>
        <w:ind w:firstLine="480"/>
      </w:pPr>
      <w:r>
        <w:rPr>
          <w:rFonts w:hint="eastAsia"/>
        </w:rPr>
        <w:t>2</w:t>
      </w:r>
      <w:r>
        <w:rPr>
          <w:rFonts w:hint="eastAsia"/>
        </w:rPr>
        <w:t>、清淤工程临时生产区渗滤水</w:t>
      </w:r>
    </w:p>
    <w:p w14:paraId="19EC7986" w14:textId="77777777" w:rsidR="009D12AF" w:rsidRDefault="00000000">
      <w:pPr>
        <w:pStyle w:val="w"/>
        <w:ind w:firstLine="480"/>
        <w:rPr>
          <w:smallCaps w:val="0"/>
        </w:rPr>
      </w:pPr>
      <w:r>
        <w:rPr>
          <w:smallCaps w:val="0"/>
        </w:rPr>
        <w:t>清淤</w:t>
      </w:r>
      <w:r>
        <w:t>工程</w:t>
      </w:r>
      <w:r>
        <w:rPr>
          <w:smallCaps w:val="0"/>
        </w:rPr>
        <w:t>淤泥</w:t>
      </w:r>
      <w:r>
        <w:rPr>
          <w:rFonts w:hint="eastAsia"/>
          <w:smallCaps w:val="0"/>
        </w:rPr>
        <w:t>总</w:t>
      </w:r>
      <w:r>
        <w:rPr>
          <w:smallCaps w:val="0"/>
        </w:rPr>
        <w:t>产生量为</w:t>
      </w:r>
      <w:r>
        <w:rPr>
          <w:rFonts w:hint="eastAsia"/>
          <w:smallCaps w:val="0"/>
        </w:rPr>
        <w:t>600</w:t>
      </w:r>
      <w:r>
        <w:rPr>
          <w:smallCaps w:val="0"/>
        </w:rPr>
        <w:t>万</w:t>
      </w:r>
      <w:r>
        <w:rPr>
          <w:smallCaps w:val="0"/>
        </w:rPr>
        <w:t>m</w:t>
      </w:r>
      <w:r>
        <w:rPr>
          <w:smallCaps w:val="0"/>
          <w:vertAlign w:val="superscript"/>
        </w:rPr>
        <w:t>3</w:t>
      </w:r>
      <w:r>
        <w:rPr>
          <w:rFonts w:hint="eastAsia"/>
          <w:smallCaps w:val="0"/>
        </w:rPr>
        <w:t>（</w:t>
      </w:r>
      <w:r>
        <w:rPr>
          <w:rFonts w:hint="eastAsia"/>
        </w:rPr>
        <w:t>群力水库清淤量</w:t>
      </w:r>
      <w:r>
        <w:rPr>
          <w:rFonts w:hint="eastAsia"/>
        </w:rPr>
        <w:t xml:space="preserve"> 445</w:t>
      </w:r>
      <w:r>
        <w:rPr>
          <w:rFonts w:hint="eastAsia"/>
        </w:rPr>
        <w:t>万</w:t>
      </w:r>
      <w:r>
        <w:rPr>
          <w:smallCaps w:val="0"/>
        </w:rPr>
        <w:t>m</w:t>
      </w:r>
      <w:r>
        <w:rPr>
          <w:smallCaps w:val="0"/>
          <w:vertAlign w:val="superscript"/>
        </w:rPr>
        <w:t>3</w:t>
      </w:r>
      <w:r>
        <w:rPr>
          <w:rFonts w:hint="eastAsia"/>
        </w:rPr>
        <w:t>；长石水库清淤量</w:t>
      </w:r>
      <w:r>
        <w:rPr>
          <w:rFonts w:hint="eastAsia"/>
        </w:rPr>
        <w:t xml:space="preserve"> 20 </w:t>
      </w:r>
      <w:r>
        <w:rPr>
          <w:rFonts w:hint="eastAsia"/>
        </w:rPr>
        <w:t>万</w:t>
      </w:r>
      <w:r>
        <w:rPr>
          <w:smallCaps w:val="0"/>
        </w:rPr>
        <w:t>m</w:t>
      </w:r>
      <w:r>
        <w:rPr>
          <w:smallCaps w:val="0"/>
          <w:vertAlign w:val="superscript"/>
        </w:rPr>
        <w:t>3</w:t>
      </w:r>
      <w:r>
        <w:rPr>
          <w:rFonts w:hint="eastAsia"/>
        </w:rPr>
        <w:t>；向阳水电站前池清淤量</w:t>
      </w:r>
      <w:r>
        <w:rPr>
          <w:rFonts w:hint="eastAsia"/>
        </w:rPr>
        <w:t xml:space="preserve">36 </w:t>
      </w:r>
      <w:r>
        <w:rPr>
          <w:rFonts w:hint="eastAsia"/>
        </w:rPr>
        <w:t>万</w:t>
      </w:r>
      <w:r>
        <w:rPr>
          <w:rFonts w:hint="eastAsia"/>
        </w:rPr>
        <w:t xml:space="preserve"> </w:t>
      </w:r>
      <w:r>
        <w:rPr>
          <w:smallCaps w:val="0"/>
        </w:rPr>
        <w:t>m</w:t>
      </w:r>
      <w:r>
        <w:rPr>
          <w:smallCaps w:val="0"/>
          <w:vertAlign w:val="superscript"/>
        </w:rPr>
        <w:t>3</w:t>
      </w:r>
      <w:r>
        <w:rPr>
          <w:rFonts w:hint="eastAsia"/>
        </w:rPr>
        <w:t>；新安晒水池清淤量</w:t>
      </w:r>
      <w:r>
        <w:rPr>
          <w:rFonts w:hint="eastAsia"/>
        </w:rPr>
        <w:t xml:space="preserve"> 24 </w:t>
      </w:r>
      <w:r>
        <w:rPr>
          <w:rFonts w:hint="eastAsia"/>
        </w:rPr>
        <w:t>万</w:t>
      </w:r>
      <w:r>
        <w:rPr>
          <w:smallCaps w:val="0"/>
        </w:rPr>
        <w:t>m</w:t>
      </w:r>
      <w:r>
        <w:rPr>
          <w:smallCaps w:val="0"/>
          <w:vertAlign w:val="superscript"/>
        </w:rPr>
        <w:t>3</w:t>
      </w:r>
      <w:r>
        <w:rPr>
          <w:rFonts w:hint="eastAsia"/>
        </w:rPr>
        <w:t>；万丈水库清淤量</w:t>
      </w:r>
      <w:r>
        <w:rPr>
          <w:rFonts w:hint="eastAsia"/>
        </w:rPr>
        <w:t xml:space="preserve"> 75 </w:t>
      </w:r>
      <w:r>
        <w:rPr>
          <w:rFonts w:hint="eastAsia"/>
        </w:rPr>
        <w:t>万</w:t>
      </w:r>
      <w:r>
        <w:rPr>
          <w:smallCaps w:val="0"/>
        </w:rPr>
        <w:t>m</w:t>
      </w:r>
      <w:r>
        <w:rPr>
          <w:smallCaps w:val="0"/>
          <w:vertAlign w:val="superscript"/>
        </w:rPr>
        <w:t>3</w:t>
      </w:r>
      <w:r>
        <w:rPr>
          <w:rFonts w:hint="eastAsia"/>
          <w:smallCaps w:val="0"/>
        </w:rPr>
        <w:t>，</w:t>
      </w:r>
      <w:r>
        <w:rPr>
          <w:rFonts w:hint="eastAsia"/>
        </w:rPr>
        <w:t>群力水库施工工期为</w:t>
      </w:r>
      <w:r>
        <w:rPr>
          <w:rFonts w:hint="eastAsia"/>
        </w:rPr>
        <w:t>2</w:t>
      </w:r>
      <w:r>
        <w:rPr>
          <w:rFonts w:hint="eastAsia"/>
        </w:rPr>
        <w:t>年，长石水库、万丈水库、向阳水电站前池施工工期为均为</w:t>
      </w:r>
      <w:r>
        <w:rPr>
          <w:rFonts w:hint="eastAsia"/>
        </w:rPr>
        <w:t>1</w:t>
      </w:r>
      <w:r>
        <w:rPr>
          <w:rFonts w:hint="eastAsia"/>
        </w:rPr>
        <w:t>年，新安晒水池施工工期为</w:t>
      </w:r>
      <w:r>
        <w:rPr>
          <w:rFonts w:hint="eastAsia"/>
        </w:rPr>
        <w:t>2</w:t>
      </w:r>
      <w:r>
        <w:rPr>
          <w:rFonts w:hint="eastAsia"/>
        </w:rPr>
        <w:t>年</w:t>
      </w:r>
      <w:r>
        <w:rPr>
          <w:rFonts w:hint="eastAsia"/>
          <w:smallCaps w:val="0"/>
        </w:rPr>
        <w:t>）</w:t>
      </w:r>
      <w:r>
        <w:rPr>
          <w:smallCaps w:val="0"/>
        </w:rPr>
        <w:t>，淤泥</w:t>
      </w:r>
      <w:r>
        <w:rPr>
          <w:szCs w:val="24"/>
        </w:rPr>
        <w:t>含水率约</w:t>
      </w:r>
      <w:r>
        <w:rPr>
          <w:szCs w:val="24"/>
        </w:rPr>
        <w:t>90%</w:t>
      </w:r>
      <w:r>
        <w:rPr>
          <w:szCs w:val="24"/>
        </w:rPr>
        <w:t>，</w:t>
      </w:r>
      <w:r>
        <w:rPr>
          <w:smallCaps w:val="0"/>
        </w:rPr>
        <w:t>淤泥</w:t>
      </w:r>
      <w:r>
        <w:rPr>
          <w:rFonts w:hint="eastAsia"/>
          <w:smallCaps w:val="0"/>
        </w:rPr>
        <w:t>输送采用管道输送至就近集中晾晒地点的</w:t>
      </w:r>
      <w:r>
        <w:rPr>
          <w:rFonts w:hint="eastAsia"/>
          <w:smallCaps w:val="0"/>
        </w:rPr>
        <w:t>5</w:t>
      </w:r>
      <w:r>
        <w:rPr>
          <w:rFonts w:hint="eastAsia"/>
          <w:smallCaps w:val="0"/>
        </w:rPr>
        <w:t>个临时生产区，进行晾晒</w:t>
      </w:r>
      <w:r>
        <w:rPr>
          <w:rFonts w:hint="eastAsia"/>
          <w:snapToGrid w:val="0"/>
        </w:rPr>
        <w:t>风干</w:t>
      </w:r>
      <w:r>
        <w:rPr>
          <w:rFonts w:hint="eastAsia"/>
          <w:smallCaps w:val="0"/>
        </w:rPr>
        <w:t>脱水</w:t>
      </w:r>
      <w:r>
        <w:rPr>
          <w:rFonts w:hint="eastAsia"/>
          <w:snapToGrid w:val="0"/>
        </w:rPr>
        <w:t>后</w:t>
      </w:r>
      <w:r>
        <w:rPr>
          <w:szCs w:val="24"/>
        </w:rPr>
        <w:t>，含水率降至</w:t>
      </w:r>
      <w:r>
        <w:rPr>
          <w:szCs w:val="24"/>
        </w:rPr>
        <w:t>60%</w:t>
      </w:r>
      <w:r>
        <w:rPr>
          <w:rFonts w:hint="eastAsia"/>
          <w:szCs w:val="24"/>
        </w:rPr>
        <w:t>及</w:t>
      </w:r>
      <w:r>
        <w:rPr>
          <w:szCs w:val="24"/>
        </w:rPr>
        <w:t>以下，</w:t>
      </w:r>
      <w:r>
        <w:t>用于</w:t>
      </w:r>
      <w:r>
        <w:rPr>
          <w:rFonts w:hint="eastAsia"/>
        </w:rPr>
        <w:t>制作有机肥。</w:t>
      </w:r>
    </w:p>
    <w:p w14:paraId="1FFEB8BD" w14:textId="77777777" w:rsidR="009D12AF" w:rsidRDefault="00000000">
      <w:pPr>
        <w:pStyle w:val="w"/>
        <w:ind w:firstLine="480"/>
        <w:rPr>
          <w:smallCaps w:val="0"/>
        </w:rPr>
      </w:pPr>
      <w:r>
        <w:rPr>
          <w:rFonts w:hint="eastAsia"/>
          <w:smallCaps w:val="0"/>
        </w:rPr>
        <w:t>参照《康平县水系连通及水美乡村建设项目二标段环境影响报告书》中关于黑龙江隆嘉环境检测有限公司</w:t>
      </w:r>
      <w:r>
        <w:rPr>
          <w:rFonts w:hint="eastAsia"/>
          <w:smallCaps w:val="0"/>
        </w:rPr>
        <w:t>2022</w:t>
      </w:r>
      <w:r>
        <w:rPr>
          <w:rFonts w:hint="eastAsia"/>
          <w:smallCaps w:val="0"/>
        </w:rPr>
        <w:t>年</w:t>
      </w:r>
      <w:r>
        <w:rPr>
          <w:rFonts w:hint="eastAsia"/>
          <w:smallCaps w:val="0"/>
        </w:rPr>
        <w:t>1</w:t>
      </w:r>
      <w:r>
        <w:rPr>
          <w:rFonts w:hint="eastAsia"/>
          <w:smallCaps w:val="0"/>
        </w:rPr>
        <w:t>月</w:t>
      </w:r>
      <w:r>
        <w:rPr>
          <w:rFonts w:hint="eastAsia"/>
          <w:smallCaps w:val="0"/>
        </w:rPr>
        <w:t>4</w:t>
      </w:r>
      <w:r>
        <w:rPr>
          <w:rFonts w:hint="eastAsia"/>
          <w:smallCaps w:val="0"/>
        </w:rPr>
        <w:t>日土壤采样含水量检测结果（土壤检测需实验室环境无风条件阴干至检测需求含水量，不允许加热烘干），样品含水率在</w:t>
      </w:r>
      <w:r>
        <w:rPr>
          <w:rFonts w:hint="eastAsia"/>
          <w:smallCaps w:val="0"/>
        </w:rPr>
        <w:t>85-90%</w:t>
      </w:r>
      <w:r>
        <w:rPr>
          <w:rFonts w:hint="eastAsia"/>
          <w:smallCaps w:val="0"/>
        </w:rPr>
        <w:t>之间，阴干至土壤含水率</w:t>
      </w:r>
      <w:r>
        <w:rPr>
          <w:rFonts w:hint="eastAsia"/>
          <w:smallCaps w:val="0"/>
        </w:rPr>
        <w:t>25-35%</w:t>
      </w:r>
      <w:r>
        <w:rPr>
          <w:rFonts w:hint="eastAsia"/>
          <w:smallCaps w:val="0"/>
        </w:rPr>
        <w:t>需</w:t>
      </w:r>
      <w:r>
        <w:rPr>
          <w:rFonts w:hint="eastAsia"/>
          <w:smallCaps w:val="0"/>
        </w:rPr>
        <w:t>2-3</w:t>
      </w:r>
      <w:r>
        <w:rPr>
          <w:rFonts w:hint="eastAsia"/>
          <w:smallCaps w:val="0"/>
        </w:rPr>
        <w:t>天。项目区晾晒淤泥条件要好于实验室（风干、日晒），所需时间按实验室不利条件计算为</w:t>
      </w:r>
      <w:r>
        <w:rPr>
          <w:rFonts w:hint="eastAsia"/>
          <w:smallCaps w:val="0"/>
        </w:rPr>
        <w:t>3</w:t>
      </w:r>
      <w:r>
        <w:rPr>
          <w:rFonts w:hint="eastAsia"/>
          <w:smallCaps w:val="0"/>
        </w:rPr>
        <w:t>天。</w:t>
      </w:r>
    </w:p>
    <w:p w14:paraId="0A01E0D6" w14:textId="77777777" w:rsidR="009D12AF" w:rsidRDefault="00000000">
      <w:pPr>
        <w:pStyle w:val="w"/>
        <w:ind w:firstLine="480"/>
      </w:pPr>
      <w:r>
        <w:rPr>
          <w:rFonts w:hint="eastAsia"/>
          <w:smallCaps w:val="0"/>
        </w:rPr>
        <w:lastRenderedPageBreak/>
        <w:t>淤泥晾晒风干过程中会产生少量</w:t>
      </w:r>
      <w:r>
        <w:rPr>
          <w:rFonts w:ascii="宋体" w:hAnsi="宋体"/>
          <w:smallCaps w:val="0"/>
          <w:szCs w:val="24"/>
        </w:rPr>
        <w:t>渗滤水</w:t>
      </w:r>
      <w:r>
        <w:rPr>
          <w:rFonts w:hint="eastAsia"/>
          <w:smallCaps w:val="0"/>
        </w:rPr>
        <w:t>，</w:t>
      </w:r>
      <w:r>
        <w:rPr>
          <w:rFonts w:ascii="宋体" w:hAnsi="宋体"/>
          <w:smallCaps w:val="0"/>
          <w:szCs w:val="24"/>
        </w:rPr>
        <w:t>渗滤水</w:t>
      </w:r>
      <w:r>
        <w:rPr>
          <w:smallCaps w:val="0"/>
        </w:rPr>
        <w:t>产生量按淤泥量的</w:t>
      </w:r>
      <w:r>
        <w:rPr>
          <w:smallCaps w:val="0"/>
        </w:rPr>
        <w:t>5%</w:t>
      </w:r>
      <w:r>
        <w:rPr>
          <w:smallCaps w:val="0"/>
        </w:rPr>
        <w:t>估算，</w:t>
      </w:r>
      <w:r>
        <w:rPr>
          <w:rFonts w:ascii="宋体" w:hAnsi="宋体"/>
          <w:smallCaps w:val="0"/>
          <w:szCs w:val="24"/>
        </w:rPr>
        <w:t>约为</w:t>
      </w:r>
      <w:r>
        <w:rPr>
          <w:rFonts w:ascii="TimesNewRomanPSMT" w:hAnsi="TimesNewRomanPSMT" w:hint="eastAsia"/>
          <w:smallCaps w:val="0"/>
          <w:szCs w:val="24"/>
        </w:rPr>
        <w:t>30</w:t>
      </w:r>
      <w:r>
        <w:rPr>
          <w:rFonts w:ascii="TimesNewRomanPSMT" w:hAnsi="TimesNewRomanPSMT" w:hint="eastAsia"/>
          <w:smallCaps w:val="0"/>
          <w:szCs w:val="24"/>
        </w:rPr>
        <w:t>万</w:t>
      </w:r>
      <w:r>
        <w:rPr>
          <w:smallCaps w:val="0"/>
        </w:rPr>
        <w:t>m</w:t>
      </w:r>
      <w:r>
        <w:rPr>
          <w:smallCaps w:val="0"/>
          <w:vertAlign w:val="superscript"/>
        </w:rPr>
        <w:t>3</w:t>
      </w:r>
      <w:r>
        <w:rPr>
          <w:rFonts w:hint="eastAsia"/>
          <w:smallCaps w:val="0"/>
        </w:rPr>
        <w:t>（群力水库渗滤水产生量为</w:t>
      </w:r>
      <w:r>
        <w:rPr>
          <w:rFonts w:hint="eastAsia"/>
          <w:smallCaps w:val="0"/>
        </w:rPr>
        <w:t>22.25</w:t>
      </w:r>
      <w:r>
        <w:rPr>
          <w:rFonts w:ascii="TimesNewRomanPSMT" w:hAnsi="TimesNewRomanPSMT" w:hint="eastAsia"/>
          <w:smallCaps w:val="0"/>
          <w:szCs w:val="24"/>
        </w:rPr>
        <w:t>万</w:t>
      </w:r>
      <w:r>
        <w:rPr>
          <w:smallCaps w:val="0"/>
        </w:rPr>
        <w:t>m</w:t>
      </w:r>
      <w:r>
        <w:rPr>
          <w:smallCaps w:val="0"/>
          <w:vertAlign w:val="superscript"/>
        </w:rPr>
        <w:t>3</w:t>
      </w:r>
      <w:r>
        <w:rPr>
          <w:rFonts w:hint="eastAsia"/>
          <w:smallCaps w:val="0"/>
        </w:rPr>
        <w:t>/</w:t>
      </w:r>
      <w:r>
        <w:rPr>
          <w:rFonts w:hint="eastAsia"/>
          <w:smallCaps w:val="0"/>
        </w:rPr>
        <w:t>总工期，</w:t>
      </w:r>
      <w:r>
        <w:rPr>
          <w:rFonts w:hint="eastAsia"/>
          <w:smallCaps w:val="0"/>
        </w:rPr>
        <w:t>412.037</w:t>
      </w:r>
      <w:r>
        <w:rPr>
          <w:smallCaps w:val="0"/>
        </w:rPr>
        <w:t>m</w:t>
      </w:r>
      <w:r>
        <w:rPr>
          <w:smallCaps w:val="0"/>
          <w:vertAlign w:val="superscript"/>
        </w:rPr>
        <w:t>3</w:t>
      </w:r>
      <w:r>
        <w:rPr>
          <w:rFonts w:hint="eastAsia"/>
          <w:smallCaps w:val="0"/>
        </w:rPr>
        <w:t>/d</w:t>
      </w:r>
      <w:r>
        <w:rPr>
          <w:rFonts w:hint="eastAsia"/>
          <w:smallCaps w:val="0"/>
        </w:rPr>
        <w:t>；万丈水库渗滤水产生量为</w:t>
      </w:r>
      <w:r>
        <w:rPr>
          <w:rFonts w:hint="eastAsia"/>
          <w:smallCaps w:val="0"/>
        </w:rPr>
        <w:t>3.75</w:t>
      </w:r>
      <w:r>
        <w:rPr>
          <w:rFonts w:ascii="TimesNewRomanPSMT" w:hAnsi="TimesNewRomanPSMT" w:hint="eastAsia"/>
          <w:smallCaps w:val="0"/>
          <w:szCs w:val="24"/>
        </w:rPr>
        <w:t>万</w:t>
      </w:r>
      <w:r>
        <w:rPr>
          <w:smallCaps w:val="0"/>
        </w:rPr>
        <w:t>m</w:t>
      </w:r>
      <w:r>
        <w:rPr>
          <w:smallCaps w:val="0"/>
          <w:vertAlign w:val="superscript"/>
        </w:rPr>
        <w:t>3</w:t>
      </w:r>
      <w:r>
        <w:rPr>
          <w:rFonts w:hint="eastAsia"/>
          <w:smallCaps w:val="0"/>
        </w:rPr>
        <w:t>/</w:t>
      </w:r>
      <w:r>
        <w:rPr>
          <w:rFonts w:hint="eastAsia"/>
          <w:smallCaps w:val="0"/>
        </w:rPr>
        <w:t>总工期，</w:t>
      </w:r>
      <w:r>
        <w:rPr>
          <w:rFonts w:hint="eastAsia"/>
          <w:smallCaps w:val="0"/>
        </w:rPr>
        <w:t>69.4</w:t>
      </w:r>
      <w:r>
        <w:rPr>
          <w:smallCaps w:val="0"/>
        </w:rPr>
        <w:t>m</w:t>
      </w:r>
      <w:r>
        <w:rPr>
          <w:smallCaps w:val="0"/>
          <w:vertAlign w:val="superscript"/>
        </w:rPr>
        <w:t>3</w:t>
      </w:r>
      <w:r>
        <w:rPr>
          <w:rFonts w:hint="eastAsia"/>
          <w:smallCaps w:val="0"/>
        </w:rPr>
        <w:t>/d</w:t>
      </w:r>
      <w:r>
        <w:rPr>
          <w:rFonts w:hint="eastAsia"/>
          <w:smallCaps w:val="0"/>
        </w:rPr>
        <w:t>；长石水库渗滤水产生量为</w:t>
      </w:r>
      <w:r>
        <w:rPr>
          <w:rFonts w:hint="eastAsia"/>
          <w:smallCaps w:val="0"/>
        </w:rPr>
        <w:t>1</w:t>
      </w:r>
      <w:r>
        <w:rPr>
          <w:rFonts w:ascii="TimesNewRomanPSMT" w:hAnsi="TimesNewRomanPSMT" w:hint="eastAsia"/>
          <w:smallCaps w:val="0"/>
          <w:szCs w:val="24"/>
        </w:rPr>
        <w:t>万</w:t>
      </w:r>
      <w:r>
        <w:rPr>
          <w:smallCaps w:val="0"/>
        </w:rPr>
        <w:t>m</w:t>
      </w:r>
      <w:r>
        <w:rPr>
          <w:smallCaps w:val="0"/>
          <w:vertAlign w:val="superscript"/>
        </w:rPr>
        <w:t>3</w:t>
      </w:r>
      <w:r>
        <w:rPr>
          <w:rFonts w:hint="eastAsia"/>
          <w:smallCaps w:val="0"/>
        </w:rPr>
        <w:t>/</w:t>
      </w:r>
      <w:r>
        <w:rPr>
          <w:rFonts w:hint="eastAsia"/>
          <w:smallCaps w:val="0"/>
        </w:rPr>
        <w:t>总工期，</w:t>
      </w:r>
      <w:r>
        <w:rPr>
          <w:rFonts w:hint="eastAsia"/>
          <w:smallCaps w:val="0"/>
        </w:rPr>
        <w:t>37</w:t>
      </w:r>
      <w:r>
        <w:rPr>
          <w:smallCaps w:val="0"/>
        </w:rPr>
        <w:t>m</w:t>
      </w:r>
      <w:r>
        <w:rPr>
          <w:smallCaps w:val="0"/>
          <w:vertAlign w:val="superscript"/>
        </w:rPr>
        <w:t>3</w:t>
      </w:r>
      <w:r>
        <w:rPr>
          <w:rFonts w:hint="eastAsia"/>
          <w:smallCaps w:val="0"/>
        </w:rPr>
        <w:t>/d</w:t>
      </w:r>
      <w:r>
        <w:rPr>
          <w:rFonts w:hint="eastAsia"/>
          <w:smallCaps w:val="0"/>
        </w:rPr>
        <w:t>；新安晒水池渗滤水产生量为</w:t>
      </w:r>
      <w:r>
        <w:rPr>
          <w:rFonts w:hint="eastAsia"/>
          <w:smallCaps w:val="0"/>
        </w:rPr>
        <w:t>1.2</w:t>
      </w:r>
      <w:r>
        <w:rPr>
          <w:rFonts w:ascii="TimesNewRomanPSMT" w:hAnsi="TimesNewRomanPSMT" w:hint="eastAsia"/>
          <w:smallCaps w:val="0"/>
          <w:szCs w:val="24"/>
        </w:rPr>
        <w:t>万</w:t>
      </w:r>
      <w:r>
        <w:rPr>
          <w:smallCaps w:val="0"/>
        </w:rPr>
        <w:t>m</w:t>
      </w:r>
      <w:r>
        <w:rPr>
          <w:smallCaps w:val="0"/>
          <w:vertAlign w:val="superscript"/>
        </w:rPr>
        <w:t>3</w:t>
      </w:r>
      <w:r>
        <w:rPr>
          <w:rFonts w:hint="eastAsia"/>
          <w:smallCaps w:val="0"/>
        </w:rPr>
        <w:t>/</w:t>
      </w:r>
      <w:r>
        <w:rPr>
          <w:rFonts w:hint="eastAsia"/>
          <w:smallCaps w:val="0"/>
        </w:rPr>
        <w:t>总工期，</w:t>
      </w:r>
      <w:r>
        <w:rPr>
          <w:rFonts w:hint="eastAsia"/>
          <w:smallCaps w:val="0"/>
        </w:rPr>
        <w:t>44.4</w:t>
      </w:r>
      <w:r>
        <w:rPr>
          <w:smallCaps w:val="0"/>
        </w:rPr>
        <w:t>m</w:t>
      </w:r>
      <w:r>
        <w:rPr>
          <w:smallCaps w:val="0"/>
          <w:vertAlign w:val="superscript"/>
        </w:rPr>
        <w:t>3</w:t>
      </w:r>
      <w:r>
        <w:rPr>
          <w:rFonts w:hint="eastAsia"/>
          <w:smallCaps w:val="0"/>
        </w:rPr>
        <w:t>/d</w:t>
      </w:r>
      <w:r>
        <w:rPr>
          <w:rFonts w:hint="eastAsia"/>
          <w:smallCaps w:val="0"/>
        </w:rPr>
        <w:t>；向阳水电站前池渗滤水产生量为</w:t>
      </w:r>
      <w:r>
        <w:rPr>
          <w:rFonts w:hint="eastAsia"/>
          <w:smallCaps w:val="0"/>
        </w:rPr>
        <w:t>1.8</w:t>
      </w:r>
      <w:r>
        <w:rPr>
          <w:rFonts w:ascii="TimesNewRomanPSMT" w:hAnsi="TimesNewRomanPSMT" w:hint="eastAsia"/>
          <w:smallCaps w:val="0"/>
          <w:szCs w:val="24"/>
        </w:rPr>
        <w:t>万</w:t>
      </w:r>
      <w:r>
        <w:rPr>
          <w:smallCaps w:val="0"/>
        </w:rPr>
        <w:t>m</w:t>
      </w:r>
      <w:r>
        <w:rPr>
          <w:smallCaps w:val="0"/>
          <w:vertAlign w:val="superscript"/>
        </w:rPr>
        <w:t>3</w:t>
      </w:r>
      <w:r>
        <w:rPr>
          <w:rFonts w:hint="eastAsia"/>
          <w:smallCaps w:val="0"/>
        </w:rPr>
        <w:t>/</w:t>
      </w:r>
      <w:r>
        <w:rPr>
          <w:rFonts w:hint="eastAsia"/>
          <w:smallCaps w:val="0"/>
        </w:rPr>
        <w:t>总工期，</w:t>
      </w:r>
      <w:r>
        <w:rPr>
          <w:rFonts w:hint="eastAsia"/>
          <w:smallCaps w:val="0"/>
        </w:rPr>
        <w:t>66.6</w:t>
      </w:r>
      <w:r>
        <w:rPr>
          <w:smallCaps w:val="0"/>
        </w:rPr>
        <w:t>m</w:t>
      </w:r>
      <w:r>
        <w:rPr>
          <w:smallCaps w:val="0"/>
          <w:vertAlign w:val="superscript"/>
        </w:rPr>
        <w:t>3</w:t>
      </w:r>
      <w:r>
        <w:rPr>
          <w:rFonts w:hint="eastAsia"/>
          <w:smallCaps w:val="0"/>
        </w:rPr>
        <w:t>/d</w:t>
      </w:r>
      <w:r>
        <w:rPr>
          <w:rFonts w:hint="eastAsia"/>
          <w:smallCaps w:val="0"/>
        </w:rPr>
        <w:t>）</w:t>
      </w:r>
      <w:r>
        <w:rPr>
          <w:rFonts w:ascii="宋体" w:hAnsi="宋体"/>
          <w:smallCaps w:val="0"/>
          <w:szCs w:val="24"/>
        </w:rPr>
        <w:t>，</w:t>
      </w:r>
      <w:r>
        <w:rPr>
          <w:smallCaps w:val="0"/>
        </w:rPr>
        <w:t>淤泥</w:t>
      </w:r>
      <w:r>
        <w:rPr>
          <w:rFonts w:ascii="宋体" w:hAnsi="宋体"/>
          <w:smallCaps w:val="0"/>
          <w:szCs w:val="24"/>
        </w:rPr>
        <w:t>渗滤水</w:t>
      </w:r>
      <w:r>
        <w:rPr>
          <w:smallCaps w:val="0"/>
        </w:rPr>
        <w:t>一般含有浓度较高的</w:t>
      </w:r>
      <w:r>
        <w:rPr>
          <w:smallCaps w:val="0"/>
        </w:rPr>
        <w:t>SS</w:t>
      </w:r>
      <w:r>
        <w:rPr>
          <w:smallCaps w:val="0"/>
        </w:rPr>
        <w:t>（浓度在</w:t>
      </w:r>
      <w:r>
        <w:rPr>
          <w:smallCaps w:val="0"/>
        </w:rPr>
        <w:t>1500~2000mg/L</w:t>
      </w:r>
      <w:r>
        <w:rPr>
          <w:smallCaps w:val="0"/>
        </w:rPr>
        <w:t>）以及淤泥中释放出来的</w:t>
      </w:r>
      <w:r>
        <w:rPr>
          <w:smallCaps w:val="0"/>
        </w:rPr>
        <w:t>TP</w:t>
      </w:r>
      <w:r>
        <w:rPr>
          <w:smallCaps w:val="0"/>
        </w:rPr>
        <w:t>、</w:t>
      </w:r>
      <w:r>
        <w:rPr>
          <w:smallCaps w:val="0"/>
        </w:rPr>
        <w:t>TN</w:t>
      </w:r>
      <w:r>
        <w:rPr>
          <w:smallCaps w:val="0"/>
        </w:rPr>
        <w:t>等，淤泥</w:t>
      </w:r>
      <w:r>
        <w:rPr>
          <w:rFonts w:ascii="宋体" w:hAnsi="宋体"/>
          <w:smallCaps w:val="0"/>
          <w:szCs w:val="24"/>
        </w:rPr>
        <w:t>渗滤水</w:t>
      </w:r>
      <w:r>
        <w:rPr>
          <w:smallCaps w:val="0"/>
        </w:rPr>
        <w:t>经</w:t>
      </w:r>
      <w:r>
        <w:rPr>
          <w:rFonts w:hint="eastAsia"/>
          <w:smallCaps w:val="0"/>
        </w:rPr>
        <w:t>临时生产区</w:t>
      </w:r>
      <w:r>
        <w:rPr>
          <w:smallCaps w:val="0"/>
        </w:rPr>
        <w:t>周边的</w:t>
      </w:r>
      <w:r>
        <w:rPr>
          <w:rFonts w:hint="eastAsia"/>
          <w:smallCaps w:val="0"/>
        </w:rPr>
        <w:t>导水渠</w:t>
      </w:r>
      <w:r>
        <w:rPr>
          <w:smallCaps w:val="0"/>
        </w:rPr>
        <w:t>排入</w:t>
      </w:r>
      <w:r>
        <w:rPr>
          <w:rFonts w:hint="eastAsia"/>
          <w:smallCaps w:val="0"/>
        </w:rPr>
        <w:t>澄清余水收集池</w:t>
      </w:r>
      <w:r>
        <w:rPr>
          <w:rFonts w:hint="eastAsia"/>
        </w:rPr>
        <w:t>。</w:t>
      </w:r>
      <w:r>
        <w:t>根据《太湖生态清淤关键技术及效果研究》（南京大学研究生毕业论文），临时</w:t>
      </w:r>
      <w:r>
        <w:rPr>
          <w:rFonts w:hint="eastAsia"/>
        </w:rPr>
        <w:t>生产区</w:t>
      </w:r>
      <w:r>
        <w:t>采用沉淀处理后出口</w:t>
      </w:r>
      <w:r>
        <w:t xml:space="preserve"> SS </w:t>
      </w:r>
      <w:r>
        <w:t>浓度最低监测值为</w:t>
      </w:r>
      <w:r>
        <w:t xml:space="preserve"> 734</w:t>
      </w:r>
      <w:r>
        <w:rPr>
          <w:smallCaps w:val="0"/>
        </w:rPr>
        <w:t>mg/L</w:t>
      </w:r>
      <w:r>
        <w:t>，无法达到排放标准。因此本工程沉淀池也需要加絮凝剂处理达标后排放。根据《太湖生态清淤关键技术及效果研究》，加药剂沉淀处理后，出水口</w:t>
      </w:r>
      <w:r>
        <w:t xml:space="preserve"> SS </w:t>
      </w:r>
      <w:r>
        <w:t>平均值约为</w:t>
      </w:r>
      <w:r>
        <w:t xml:space="preserve"> 40</w:t>
      </w:r>
      <w:r>
        <w:rPr>
          <w:smallCaps w:val="0"/>
        </w:rPr>
        <w:t>mg/L</w:t>
      </w:r>
      <w:r>
        <w:t>，</w:t>
      </w:r>
      <w:r>
        <w:t xml:space="preserve">COD </w:t>
      </w:r>
      <w:r>
        <w:t>在</w:t>
      </w:r>
      <w:r>
        <w:t>50</w:t>
      </w:r>
      <w:r>
        <w:rPr>
          <w:smallCaps w:val="0"/>
        </w:rPr>
        <w:t>mg/L</w:t>
      </w:r>
      <w:r>
        <w:t xml:space="preserve"> </w:t>
      </w:r>
      <w:r>
        <w:t>以下，总磷在</w:t>
      </w:r>
      <w:r>
        <w:t xml:space="preserve"> 0.2</w:t>
      </w:r>
      <w:r>
        <w:rPr>
          <w:smallCaps w:val="0"/>
        </w:rPr>
        <w:t>mg/L</w:t>
      </w:r>
      <w:r>
        <w:t xml:space="preserve"> </w:t>
      </w:r>
      <w:r>
        <w:t>以下，总氮在</w:t>
      </w:r>
      <w:r>
        <w:t xml:space="preserve"> 6.0</w:t>
      </w:r>
      <w:r>
        <w:rPr>
          <w:smallCaps w:val="0"/>
        </w:rPr>
        <w:t>mg/L</w:t>
      </w:r>
      <w:r>
        <w:t xml:space="preserve"> </w:t>
      </w:r>
      <w:r>
        <w:t>以下，可达到《污水综合排放标准》</w:t>
      </w:r>
      <w:r>
        <w:t>(GB8978-1996</w:t>
      </w:r>
      <w:r>
        <w:t>）中一级标准。本次源强保守估算，临时</w:t>
      </w:r>
      <w:r>
        <w:rPr>
          <w:rFonts w:hint="eastAsia"/>
        </w:rPr>
        <w:t>生产区</w:t>
      </w:r>
      <w:r>
        <w:t>尾水悬浮物</w:t>
      </w:r>
      <w:r>
        <w:t xml:space="preserve"> SS </w:t>
      </w:r>
      <w:r>
        <w:t>排放浓度按《污水综合排放标准（</w:t>
      </w:r>
      <w:r>
        <w:t>GB8978-1996</w:t>
      </w:r>
      <w:r>
        <w:t>）》一级标准</w:t>
      </w:r>
      <w:r>
        <w:t xml:space="preserve"> 70</w:t>
      </w:r>
      <w:r>
        <w:rPr>
          <w:smallCaps w:val="0"/>
        </w:rPr>
        <w:t>mg/L</w:t>
      </w:r>
      <w:r>
        <w:t xml:space="preserve"> </w:t>
      </w:r>
      <w:r>
        <w:t>控制。</w:t>
      </w:r>
      <w:r>
        <w:rPr>
          <w:rFonts w:hint="eastAsia"/>
        </w:rPr>
        <w:t>渗滤水</w:t>
      </w:r>
      <w:r>
        <w:t>在临时</w:t>
      </w:r>
      <w:r>
        <w:rPr>
          <w:rFonts w:hint="eastAsia"/>
        </w:rPr>
        <w:t>生产</w:t>
      </w:r>
      <w:r>
        <w:t>内经自然沉淀后进入余水沉淀池进行环保混凝沉淀处理，</w:t>
      </w:r>
      <w:r>
        <w:rPr>
          <w:rFonts w:hint="eastAsia"/>
        </w:rPr>
        <w:t>达到《污水综合排放标准》（</w:t>
      </w:r>
      <w:r>
        <w:rPr>
          <w:rFonts w:hint="eastAsia"/>
        </w:rPr>
        <w:t>GB8978-1996</w:t>
      </w:r>
      <w:r>
        <w:rPr>
          <w:rFonts w:hint="eastAsia"/>
        </w:rPr>
        <w:t>）一级标准，由牡丹江龙江环保水务有限公司定期拉运处理</w:t>
      </w:r>
      <w:r>
        <w:t>，不直接排入水体。</w:t>
      </w:r>
    </w:p>
    <w:p w14:paraId="051B31BC" w14:textId="77777777" w:rsidR="009D12AF" w:rsidRDefault="00000000">
      <w:pPr>
        <w:ind w:firstLine="480"/>
      </w:pPr>
      <w:r>
        <w:rPr>
          <w:rFonts w:hint="eastAsia"/>
        </w:rPr>
        <w:t>3</w:t>
      </w:r>
      <w:r>
        <w:rPr>
          <w:rFonts w:hint="eastAsia"/>
        </w:rPr>
        <w:t>、施工机械设备冲洗废水</w:t>
      </w:r>
    </w:p>
    <w:p w14:paraId="7F4FB16A" w14:textId="77777777" w:rsidR="009D12AF" w:rsidRDefault="00000000">
      <w:pPr>
        <w:widowControl/>
        <w:ind w:firstLine="480"/>
        <w:jc w:val="left"/>
        <w:rPr>
          <w:rFonts w:ascii="Times New Roman" w:eastAsia="宋体" w:hAnsi="Times New Roman" w:cs="Times New Roman"/>
        </w:rPr>
      </w:pPr>
      <w:r>
        <w:rPr>
          <w:rFonts w:ascii="Times New Roman" w:eastAsia="宋体" w:hAnsi="Times New Roman" w:cs="Times New Roman" w:hint="eastAsia"/>
        </w:rPr>
        <w:t>施工机械设备日常保养、清洗过程中会产生冲洗废水。根据《环境影响评价技术手</w:t>
      </w:r>
      <w:r>
        <w:rPr>
          <w:rFonts w:ascii="Times New Roman" w:eastAsia="宋体" w:hAnsi="Times New Roman" w:cs="Times New Roman"/>
        </w:rPr>
        <w:t>册</w:t>
      </w:r>
      <w:r>
        <w:rPr>
          <w:rFonts w:ascii="Times New Roman" w:eastAsia="宋体" w:hAnsi="Times New Roman" w:cs="Times New Roman"/>
        </w:rPr>
        <w:t xml:space="preserve"> </w:t>
      </w:r>
      <w:r>
        <w:rPr>
          <w:rFonts w:ascii="Times New Roman" w:eastAsia="宋体" w:hAnsi="Times New Roman" w:cs="Times New Roman"/>
        </w:rPr>
        <w:t>水利水电工程》施工期环境影响预测评价，冲洗用水量为</w:t>
      </w:r>
      <w:r>
        <w:rPr>
          <w:rFonts w:ascii="Times New Roman" w:eastAsia="宋体" w:hAnsi="Times New Roman" w:cs="Times New Roman"/>
        </w:rPr>
        <w:t>400L/</w:t>
      </w:r>
      <w:r>
        <w:rPr>
          <w:rFonts w:ascii="Times New Roman" w:eastAsia="宋体" w:hAnsi="Times New Roman" w:cs="Times New Roman"/>
        </w:rPr>
        <w:t>辆</w:t>
      </w:r>
      <w:r>
        <w:rPr>
          <w:rFonts w:ascii="Times New Roman" w:eastAsia="宋体" w:hAnsi="Times New Roman" w:cs="Times New Roman"/>
        </w:rPr>
        <w:t>•</w:t>
      </w:r>
      <w:r>
        <w:rPr>
          <w:rFonts w:ascii="Times New Roman" w:eastAsia="宋体" w:hAnsi="Times New Roman" w:cs="Times New Roman"/>
        </w:rPr>
        <w:t>次，冲洗时间为</w:t>
      </w:r>
      <w:r>
        <w:rPr>
          <w:rFonts w:ascii="Times New Roman" w:eastAsia="宋体" w:hAnsi="Times New Roman" w:cs="Times New Roman"/>
        </w:rPr>
        <w:t>15min/</w:t>
      </w:r>
      <w:r>
        <w:rPr>
          <w:rFonts w:ascii="Times New Roman" w:eastAsia="宋体" w:hAnsi="Times New Roman" w:cs="Times New Roman"/>
        </w:rPr>
        <w:t>辆</w:t>
      </w:r>
      <w:r>
        <w:rPr>
          <w:rFonts w:ascii="Times New Roman" w:eastAsia="宋体" w:hAnsi="Times New Roman" w:cs="Times New Roman"/>
        </w:rPr>
        <w:t>•</w:t>
      </w:r>
      <w:r>
        <w:rPr>
          <w:rFonts w:ascii="Times New Roman" w:eastAsia="宋体" w:hAnsi="Times New Roman" w:cs="Times New Roman"/>
        </w:rPr>
        <w:t>次，产污系数为</w:t>
      </w:r>
      <w:r>
        <w:rPr>
          <w:rFonts w:ascii="Times New Roman" w:eastAsia="宋体" w:hAnsi="Times New Roman" w:cs="Times New Roman"/>
        </w:rPr>
        <w:t>90%</w:t>
      </w:r>
      <w:r>
        <w:rPr>
          <w:rFonts w:ascii="Times New Roman" w:eastAsia="宋体" w:hAnsi="Times New Roman" w:cs="Times New Roman"/>
        </w:rPr>
        <w:t>，主要污染物为石油类和</w:t>
      </w:r>
      <w:r>
        <w:rPr>
          <w:rFonts w:ascii="Times New Roman" w:eastAsia="宋体" w:hAnsi="Times New Roman" w:cs="Times New Roman"/>
        </w:rPr>
        <w:t>SS</w:t>
      </w:r>
      <w:r>
        <w:rPr>
          <w:rFonts w:ascii="Times New Roman" w:eastAsia="宋体" w:hAnsi="Times New Roman" w:cs="Times New Roman"/>
        </w:rPr>
        <w:t>，其中石油类浓度为</w:t>
      </w:r>
      <w:r>
        <w:rPr>
          <w:rFonts w:ascii="Times New Roman" w:eastAsia="宋体" w:hAnsi="Times New Roman" w:cs="Times New Roman"/>
        </w:rPr>
        <w:t>10~30mg/L</w:t>
      </w:r>
      <w:r>
        <w:rPr>
          <w:rFonts w:ascii="Times New Roman" w:eastAsia="宋体" w:hAnsi="Times New Roman" w:cs="Times New Roman"/>
        </w:rPr>
        <w:t>，</w:t>
      </w:r>
      <w:r>
        <w:rPr>
          <w:rFonts w:ascii="Times New Roman" w:eastAsia="宋体" w:hAnsi="Times New Roman" w:cs="Times New Roman"/>
        </w:rPr>
        <w:t>SS</w:t>
      </w:r>
      <w:r>
        <w:rPr>
          <w:rFonts w:ascii="Times New Roman" w:eastAsia="宋体" w:hAnsi="Times New Roman" w:cs="Times New Roman"/>
        </w:rPr>
        <w:t>浓度为</w:t>
      </w:r>
      <w:r>
        <w:rPr>
          <w:rFonts w:ascii="Times New Roman" w:eastAsia="宋体" w:hAnsi="Times New Roman" w:cs="Times New Roman"/>
        </w:rPr>
        <w:t>500~4000mg/L</w:t>
      </w:r>
      <w:r>
        <w:rPr>
          <w:rFonts w:ascii="Times New Roman" w:eastAsia="宋体" w:hAnsi="Times New Roman" w:cs="Times New Roman"/>
        </w:rPr>
        <w:t>。根据本工程施工设备清单及同类型施工营地实际使用情况，</w:t>
      </w:r>
      <w:r>
        <w:rPr>
          <w:rFonts w:ascii="Times New Roman" w:eastAsia="宋体" w:hAnsi="Times New Roman" w:cs="Times New Roman" w:hint="eastAsia"/>
        </w:rPr>
        <w:t>共</w:t>
      </w:r>
      <w:r>
        <w:rPr>
          <w:rFonts w:ascii="Times New Roman" w:eastAsia="宋体" w:hAnsi="Times New Roman" w:cs="Times New Roman" w:hint="eastAsia"/>
        </w:rPr>
        <w:t>19</w:t>
      </w:r>
      <w:r>
        <w:rPr>
          <w:rFonts w:ascii="Times New Roman" w:eastAsia="宋体" w:hAnsi="Times New Roman" w:cs="Times New Roman"/>
        </w:rPr>
        <w:t>台设备</w:t>
      </w:r>
      <w:r>
        <w:rPr>
          <w:rFonts w:ascii="Times New Roman" w:eastAsia="宋体" w:hAnsi="Times New Roman" w:cs="Times New Roman" w:hint="eastAsia"/>
        </w:rPr>
        <w:t>需清洗，</w:t>
      </w:r>
      <w:r>
        <w:rPr>
          <w:rFonts w:ascii="Times New Roman" w:eastAsia="宋体" w:hAnsi="Times New Roman" w:cs="Times New Roman"/>
        </w:rPr>
        <w:t>按每</w:t>
      </w:r>
      <w:r>
        <w:rPr>
          <w:rFonts w:ascii="Times New Roman" w:eastAsia="宋体" w:hAnsi="Times New Roman" w:cs="Times New Roman" w:hint="eastAsia"/>
        </w:rPr>
        <w:t>2</w:t>
      </w:r>
      <w:r>
        <w:rPr>
          <w:rFonts w:ascii="Times New Roman" w:eastAsia="宋体" w:hAnsi="Times New Roman" w:cs="Times New Roman"/>
        </w:rPr>
        <w:t>周清洗一次考虑，则冲洗废水产生量为</w:t>
      </w:r>
      <w:r>
        <w:rPr>
          <w:rFonts w:ascii="Times New Roman" w:eastAsia="宋体" w:hAnsi="Times New Roman" w:cs="Times New Roman" w:hint="eastAsia"/>
        </w:rPr>
        <w:t>100.8</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 xml:space="preserve"> /</w:t>
      </w:r>
      <w:r>
        <w:rPr>
          <w:rFonts w:ascii="Times New Roman" w:eastAsia="宋体" w:hAnsi="Times New Roman" w:cs="Times New Roman"/>
        </w:rPr>
        <w:t>总工期。施工机械设备冲洗废水收集后经隔油沉淀处理回用于施工场地洒水抑尘及施工设备冲洗，不外排。</w:t>
      </w:r>
    </w:p>
    <w:p w14:paraId="2F563196" w14:textId="77777777" w:rsidR="009D12AF" w:rsidRDefault="00000000">
      <w:pPr>
        <w:ind w:firstLine="480"/>
      </w:pPr>
      <w:r>
        <w:rPr>
          <w:rFonts w:hint="eastAsia"/>
        </w:rPr>
        <w:t>4</w:t>
      </w:r>
      <w:r>
        <w:rPr>
          <w:rFonts w:hint="eastAsia"/>
        </w:rPr>
        <w:t>、挖泥船船底油污水</w:t>
      </w:r>
    </w:p>
    <w:p w14:paraId="18B9078F"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挖泥船在运行过程中，机舱内各种阀件、轮机会滴漏出润滑油、燃油等油污，油污滴到船舱内形成含油废水沉积在舱底，一般一艘船每日含油废水产生量大约</w:t>
      </w:r>
      <w:r>
        <w:rPr>
          <w:rFonts w:ascii="宋体" w:eastAsia="宋体" w:hAnsi="宋体" w:cs="宋体" w:hint="eastAsia"/>
          <w:color w:val="000000"/>
          <w:kern w:val="0"/>
          <w:lang w:bidi="ar"/>
        </w:rPr>
        <w:lastRenderedPageBreak/>
        <w:t xml:space="preserve">是船舶总吨位的 </w:t>
      </w:r>
      <w:r>
        <w:rPr>
          <w:rFonts w:ascii="Times New Roman" w:eastAsia="宋体" w:hAnsi="Times New Roman" w:cs="Times New Roman" w:hint="eastAsia"/>
        </w:rPr>
        <w:t>0.02%</w:t>
      </w:r>
      <w:r>
        <w:rPr>
          <w:rFonts w:ascii="Times New Roman" w:eastAsia="宋体" w:hAnsi="Times New Roman" w:cs="Times New Roman" w:hint="eastAsia"/>
        </w:rPr>
        <w:t>—</w:t>
      </w:r>
      <w:r>
        <w:rPr>
          <w:rFonts w:ascii="Times New Roman" w:eastAsia="宋体" w:hAnsi="Times New Roman" w:cs="Times New Roman" w:hint="eastAsia"/>
        </w:rPr>
        <w:t>0.05%</w:t>
      </w:r>
      <w:r>
        <w:rPr>
          <w:rFonts w:ascii="宋体" w:eastAsia="宋体" w:hAnsi="宋体" w:cs="宋体" w:hint="eastAsia"/>
          <w:color w:val="000000"/>
          <w:kern w:val="0"/>
          <w:lang w:bidi="ar"/>
        </w:rPr>
        <w:t xml:space="preserve">，本次选取的系数为 </w:t>
      </w:r>
      <w:r>
        <w:rPr>
          <w:rFonts w:ascii="Times New Roman" w:eastAsia="宋体" w:hAnsi="Times New Roman" w:cs="Times New Roman" w:hint="eastAsia"/>
        </w:rPr>
        <w:t>0.05%</w:t>
      </w:r>
      <w:r>
        <w:rPr>
          <w:rFonts w:ascii="宋体" w:eastAsia="宋体" w:hAnsi="宋体" w:cs="宋体" w:hint="eastAsia"/>
          <w:color w:val="000000"/>
          <w:kern w:val="0"/>
          <w:lang w:bidi="ar"/>
        </w:rPr>
        <w:t xml:space="preserve">，绞吸式挖泥船的吨位一般在 </w:t>
      </w:r>
      <w:r>
        <w:rPr>
          <w:rFonts w:ascii="Times New Roman" w:eastAsia="宋体" w:hAnsi="Times New Roman" w:cs="Times New Roman" w:hint="eastAsia"/>
        </w:rPr>
        <w:t>640t</w:t>
      </w:r>
      <w:r>
        <w:rPr>
          <w:rFonts w:ascii="宋体" w:eastAsia="宋体" w:hAnsi="宋体" w:cs="宋体" w:hint="eastAsia"/>
          <w:color w:val="000000"/>
          <w:kern w:val="0"/>
          <w:lang w:bidi="ar"/>
        </w:rPr>
        <w:t xml:space="preserve"> 左右，挖泥船工作主要集中于水下清淤期内，工作约</w:t>
      </w:r>
      <w:r>
        <w:rPr>
          <w:rFonts w:ascii="Times New Roman" w:eastAsia="宋体" w:hAnsi="Times New Roman" w:cs="Times New Roman" w:hint="eastAsia"/>
        </w:rPr>
        <w:t>63</w:t>
      </w:r>
      <w:r>
        <w:rPr>
          <w:rFonts w:ascii="宋体" w:eastAsia="宋体" w:hAnsi="宋体" w:cs="宋体" w:hint="eastAsia"/>
          <w:color w:val="000000"/>
          <w:kern w:val="0"/>
          <w:lang w:bidi="ar"/>
        </w:rPr>
        <w:t>个月（不含汛期、施工准备期、施工完建期），单船机舱内含油废水产生量为</w:t>
      </w:r>
      <w:r>
        <w:rPr>
          <w:rFonts w:ascii="Times New Roman" w:eastAsia="宋体" w:hAnsi="Times New Roman" w:cs="Times New Roman" w:hint="eastAsia"/>
        </w:rPr>
        <w:t>2016t</w:t>
      </w:r>
      <w:r>
        <w:rPr>
          <w:rFonts w:ascii="宋体" w:eastAsia="宋体" w:hAnsi="宋体" w:cs="宋体" w:hint="eastAsia"/>
          <w:color w:val="000000"/>
          <w:kern w:val="0"/>
          <w:lang w:bidi="ar"/>
        </w:rPr>
        <w:t>/施工期。</w:t>
      </w:r>
    </w:p>
    <w:p w14:paraId="0D63B80B" w14:textId="77777777" w:rsidR="009D12AF" w:rsidRDefault="00000000">
      <w:pPr>
        <w:widowControl/>
        <w:wordWrap w:val="0"/>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含油废水中主要含有石油类物质，根据初步设计资料，浓度一般在</w:t>
      </w:r>
      <w:r>
        <w:rPr>
          <w:rFonts w:ascii="Times New Roman" w:eastAsia="宋体" w:hAnsi="Times New Roman" w:cs="Times New Roman" w:hint="eastAsia"/>
        </w:rPr>
        <w:t>200-3000mg/L</w:t>
      </w:r>
      <w:r>
        <w:rPr>
          <w:rFonts w:ascii="宋体" w:eastAsia="宋体" w:hAnsi="宋体" w:cs="宋体" w:hint="eastAsia"/>
          <w:color w:val="000000"/>
          <w:kern w:val="0"/>
          <w:lang w:bidi="ar"/>
        </w:rPr>
        <w:t>。挖泥船船底油污水由从事船舶污染物接收的单位接收处置。</w:t>
      </w:r>
    </w:p>
    <w:p w14:paraId="45982F39" w14:textId="77777777" w:rsidR="009D12AF" w:rsidRDefault="00000000">
      <w:pPr>
        <w:pStyle w:val="4"/>
        <w:ind w:firstLineChars="0" w:firstLine="0"/>
      </w:pPr>
      <w:r>
        <w:rPr>
          <w:rFonts w:hint="eastAsia"/>
        </w:rPr>
        <w:t>3.3.2.2</w:t>
      </w:r>
      <w:r>
        <w:rPr>
          <w:rFonts w:hint="eastAsia"/>
        </w:rPr>
        <w:t>废气</w:t>
      </w:r>
    </w:p>
    <w:p w14:paraId="7A588481" w14:textId="77777777" w:rsidR="009D12AF" w:rsidRDefault="00000000">
      <w:pPr>
        <w:widowControl/>
        <w:ind w:firstLine="480"/>
        <w:jc w:val="left"/>
      </w:pPr>
      <w:r>
        <w:rPr>
          <w:rFonts w:ascii="宋体" w:eastAsia="宋体" w:hAnsi="宋体" w:cs="宋体" w:hint="eastAsia"/>
          <w:color w:val="000000"/>
          <w:kern w:val="0"/>
          <w:lang w:bidi="ar"/>
        </w:rPr>
        <w:t>施工期废气包括施工扬尘、施工机械船舶的燃油废气和堆场疏浚底泥臭气。</w:t>
      </w:r>
    </w:p>
    <w:p w14:paraId="30E05129"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color w:val="000000"/>
          <w:kern w:val="0"/>
          <w:lang w:bidi="ar"/>
        </w:rPr>
        <w:t>1</w:t>
      </w:r>
      <w:r>
        <w:rPr>
          <w:rFonts w:ascii="宋体" w:eastAsia="宋体" w:hAnsi="宋体" w:cs="宋体" w:hint="eastAsia"/>
          <w:color w:val="000000"/>
          <w:kern w:val="0"/>
          <w:lang w:bidi="ar"/>
        </w:rPr>
        <w:t xml:space="preserve">、施工扬尘 </w:t>
      </w:r>
    </w:p>
    <w:p w14:paraId="289654F5"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color w:val="000000"/>
          <w:kern w:val="0"/>
          <w:lang w:bidi="ar"/>
        </w:rPr>
        <w:t xml:space="preserve">施工扬尘主要包括临时固化场地建筑材料和土方临时堆放过程逸散的扬尘、车辆运输过程产生的扬尘、土方开挖及夯填作业扬尘。 </w:t>
      </w:r>
    </w:p>
    <w:p w14:paraId="2A460449"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color w:val="000000"/>
          <w:kern w:val="0"/>
          <w:lang w:bidi="ar"/>
        </w:rPr>
        <w:t xml:space="preserve">1）施工车辆行驶扬尘 </w:t>
      </w:r>
    </w:p>
    <w:p w14:paraId="5B1F30B8" w14:textId="77777777" w:rsidR="009D12AF" w:rsidRDefault="00000000">
      <w:pPr>
        <w:widowControl/>
        <w:ind w:firstLine="480"/>
        <w:jc w:val="left"/>
      </w:pPr>
      <w:r>
        <w:rPr>
          <w:rFonts w:ascii="宋体" w:eastAsia="宋体" w:hAnsi="宋体" w:cs="宋体"/>
          <w:color w:val="000000"/>
          <w:kern w:val="0"/>
          <w:lang w:bidi="ar"/>
        </w:rPr>
        <w:t>施工运输车辆的往来将产生道路二次扬尘污染。在同样路面清洁程度条件下，车速越快，扬尘量越大；在同样车速条件下，路面尘土量越大，扬尘越大。因此，限制施工车辆速度和保持路面清洁是减小扬尘的有效手段。根据类似施工现场运输引起扬尘的现场监测结果，灰土运输车辆下风向</w:t>
      </w:r>
      <w:r>
        <w:rPr>
          <w:rFonts w:ascii="Times New Roman" w:eastAsia="宋体" w:hAnsi="Times New Roman" w:cs="Times New Roman"/>
        </w:rPr>
        <w:t>50m</w:t>
      </w:r>
      <w:r>
        <w:rPr>
          <w:rFonts w:ascii="宋体" w:eastAsia="宋体" w:hAnsi="宋体" w:cs="宋体"/>
          <w:color w:val="000000"/>
          <w:kern w:val="0"/>
          <w:lang w:bidi="ar"/>
        </w:rPr>
        <w:t>处</w:t>
      </w:r>
      <w:r>
        <w:rPr>
          <w:rFonts w:ascii="Times New Roman" w:eastAsia="宋体" w:hAnsi="Times New Roman" w:cs="Times New Roman"/>
        </w:rPr>
        <w:t>TSP</w:t>
      </w:r>
      <w:r>
        <w:rPr>
          <w:rFonts w:ascii="宋体" w:eastAsia="宋体" w:hAnsi="宋体" w:cs="宋体"/>
          <w:color w:val="000000"/>
          <w:kern w:val="0"/>
          <w:lang w:bidi="ar"/>
        </w:rPr>
        <w:t>浓度</w:t>
      </w:r>
      <w:r>
        <w:rPr>
          <w:rFonts w:ascii="Times New Roman" w:eastAsia="宋体" w:hAnsi="Times New Roman" w:cs="Times New Roman"/>
        </w:rPr>
        <w:t>11.625mg/m</w:t>
      </w:r>
      <w:r>
        <w:rPr>
          <w:rFonts w:ascii="Times New Roman" w:eastAsia="宋体" w:hAnsi="Times New Roman" w:cs="Times New Roman"/>
          <w:vertAlign w:val="superscript"/>
        </w:rPr>
        <w:t>3</w:t>
      </w:r>
      <w:r>
        <w:rPr>
          <w:rFonts w:ascii="宋体" w:eastAsia="宋体" w:hAnsi="宋体" w:cs="宋体"/>
          <w:color w:val="000000"/>
          <w:kern w:val="0"/>
          <w:lang w:bidi="ar"/>
        </w:rPr>
        <w:t>，下风向</w:t>
      </w:r>
      <w:r>
        <w:rPr>
          <w:rFonts w:ascii="Times New Roman" w:eastAsia="宋体" w:hAnsi="Times New Roman" w:cs="Times New Roman"/>
        </w:rPr>
        <w:t>100m</w:t>
      </w:r>
      <w:r>
        <w:rPr>
          <w:rFonts w:ascii="Times New Roman" w:eastAsia="宋体" w:hAnsi="Times New Roman" w:cs="Times New Roman"/>
        </w:rPr>
        <w:t>处</w:t>
      </w:r>
      <w:r>
        <w:rPr>
          <w:rFonts w:ascii="Times New Roman" w:eastAsia="宋体" w:hAnsi="Times New Roman" w:cs="Times New Roman"/>
        </w:rPr>
        <w:t>TSP</w:t>
      </w:r>
      <w:r>
        <w:rPr>
          <w:rFonts w:ascii="宋体" w:eastAsia="宋体" w:hAnsi="宋体" w:cs="宋体"/>
          <w:color w:val="000000"/>
          <w:kern w:val="0"/>
          <w:lang w:bidi="ar"/>
        </w:rPr>
        <w:t>浓度为</w:t>
      </w:r>
      <w:r>
        <w:rPr>
          <w:rFonts w:ascii="Times New Roman" w:eastAsia="宋体" w:hAnsi="Times New Roman" w:cs="Times New Roman"/>
        </w:rPr>
        <w:t>9.694mg/m</w:t>
      </w:r>
      <w:r>
        <w:rPr>
          <w:rFonts w:ascii="Times New Roman" w:eastAsia="宋体" w:hAnsi="Times New Roman" w:cs="Times New Roman"/>
          <w:vertAlign w:val="superscript"/>
        </w:rPr>
        <w:t>3</w:t>
      </w:r>
      <w:r>
        <w:rPr>
          <w:rFonts w:ascii="宋体" w:eastAsia="宋体" w:hAnsi="宋体" w:cs="宋体"/>
          <w:color w:val="000000"/>
          <w:kern w:val="0"/>
          <w:lang w:bidi="ar"/>
        </w:rPr>
        <w:t>，下风向</w:t>
      </w:r>
      <w:r>
        <w:rPr>
          <w:rFonts w:ascii="Times New Roman" w:eastAsia="宋体" w:hAnsi="Times New Roman" w:cs="Times New Roman"/>
        </w:rPr>
        <w:t>150m</w:t>
      </w:r>
      <w:r>
        <w:rPr>
          <w:rFonts w:ascii="宋体" w:eastAsia="宋体" w:hAnsi="宋体" w:cs="宋体"/>
          <w:color w:val="000000"/>
          <w:kern w:val="0"/>
          <w:lang w:bidi="ar"/>
        </w:rPr>
        <w:t>处</w:t>
      </w:r>
      <w:r>
        <w:rPr>
          <w:rFonts w:ascii="Times New Roman" w:eastAsia="宋体" w:hAnsi="Times New Roman" w:cs="Times New Roman"/>
        </w:rPr>
        <w:t>TSP</w:t>
      </w:r>
      <w:r>
        <w:rPr>
          <w:rFonts w:ascii="宋体" w:eastAsia="宋体" w:hAnsi="宋体" w:cs="宋体"/>
          <w:color w:val="000000"/>
          <w:kern w:val="0"/>
          <w:lang w:bidi="ar"/>
        </w:rPr>
        <w:t>浓度为</w:t>
      </w:r>
      <w:r>
        <w:rPr>
          <w:rFonts w:ascii="Times New Roman" w:eastAsia="宋体" w:hAnsi="Times New Roman" w:cs="Times New Roman"/>
        </w:rPr>
        <w:t>5.093mg/m</w:t>
      </w:r>
      <w:r>
        <w:rPr>
          <w:rFonts w:ascii="Times New Roman" w:eastAsia="宋体" w:hAnsi="Times New Roman" w:cs="Times New Roman"/>
          <w:vertAlign w:val="superscript"/>
        </w:rPr>
        <w:t>3</w:t>
      </w:r>
      <w:r>
        <w:rPr>
          <w:rFonts w:ascii="宋体" w:eastAsia="宋体" w:hAnsi="宋体" w:cs="宋体"/>
          <w:color w:val="000000"/>
          <w:kern w:val="0"/>
          <w:lang w:bidi="ar"/>
        </w:rPr>
        <w:t>。</w:t>
      </w:r>
    </w:p>
    <w:p w14:paraId="569CF8A1" w14:textId="77777777" w:rsidR="009D12AF" w:rsidRDefault="00000000">
      <w:pPr>
        <w:ind w:firstLine="480"/>
      </w:pPr>
      <w:r>
        <w:t>2</w:t>
      </w:r>
      <w:r>
        <w:t>）建筑材料、开挖土方堆放产生的扬尘</w:t>
      </w:r>
      <w:r>
        <w:t xml:space="preserve"> </w:t>
      </w:r>
    </w:p>
    <w:p w14:paraId="5EFB2702" w14:textId="77777777" w:rsidR="009D12AF" w:rsidRDefault="00000000">
      <w:pPr>
        <w:ind w:firstLine="480"/>
      </w:pPr>
      <w:r>
        <w:t>由于施工需要，一些建筑材料和开挖的土方需临时堆放，在气候干燥及有风的情况下，会产生扬尘，其扬尘量可按堆场起尘的经验公式计算：</w:t>
      </w:r>
    </w:p>
    <w:p w14:paraId="64144E7E" w14:textId="77777777" w:rsidR="009D12AF" w:rsidRDefault="00000000">
      <w:pPr>
        <w:ind w:firstLine="480"/>
      </w:pPr>
      <w:r>
        <w:rPr>
          <w:noProof/>
        </w:rPr>
        <w:drawing>
          <wp:inline distT="0" distB="0" distL="114300" distR="114300" wp14:anchorId="24643985" wp14:editId="33FF6E19">
            <wp:extent cx="2152650" cy="542925"/>
            <wp:effectExtent l="0" t="0" r="0" b="9525"/>
            <wp:docPr id="5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
                    <pic:cNvPicPr>
                      <a:picLocks noChangeAspect="1"/>
                    </pic:cNvPicPr>
                  </pic:nvPicPr>
                  <pic:blipFill>
                    <a:blip r:embed="rId23"/>
                    <a:stretch>
                      <a:fillRect/>
                    </a:stretch>
                  </pic:blipFill>
                  <pic:spPr>
                    <a:xfrm>
                      <a:off x="0" y="0"/>
                      <a:ext cx="2152650" cy="542925"/>
                    </a:xfrm>
                    <a:prstGeom prst="rect">
                      <a:avLst/>
                    </a:prstGeom>
                    <a:noFill/>
                    <a:ln>
                      <a:noFill/>
                    </a:ln>
                  </pic:spPr>
                </pic:pic>
              </a:graphicData>
            </a:graphic>
          </wp:inline>
        </w:drawing>
      </w:r>
    </w:p>
    <w:p w14:paraId="7A141EA6" w14:textId="77777777" w:rsidR="009D12AF" w:rsidRDefault="00000000">
      <w:pPr>
        <w:ind w:firstLine="480"/>
      </w:pPr>
      <w:r>
        <w:t>式中：</w:t>
      </w:r>
      <w:r>
        <w:t>Q ——</w:t>
      </w:r>
      <w:r>
        <w:t>起尘量，</w:t>
      </w:r>
      <w:r>
        <w:rPr>
          <w:rFonts w:ascii="Times New Roman" w:eastAsia="宋体" w:hAnsi="Times New Roman" w:cs="Times New Roman"/>
        </w:rPr>
        <w:t>kg/t.a</w:t>
      </w:r>
      <w:r>
        <w:t>；</w:t>
      </w:r>
      <w:r>
        <w:t xml:space="preserve"> </w:t>
      </w:r>
    </w:p>
    <w:p w14:paraId="70E8AF34" w14:textId="77777777" w:rsidR="009D12AF" w:rsidRDefault="00000000">
      <w:pPr>
        <w:ind w:firstLine="480"/>
      </w:pPr>
      <w:r>
        <w:t>V50 ——</w:t>
      </w:r>
      <w:r>
        <w:t>距地面</w:t>
      </w:r>
      <w:r>
        <w:rPr>
          <w:rFonts w:ascii="Times New Roman" w:eastAsia="宋体" w:hAnsi="Times New Roman" w:cs="Times New Roman"/>
        </w:rPr>
        <w:t>50m</w:t>
      </w:r>
      <w:r>
        <w:t>风速，</w:t>
      </w:r>
      <w:r>
        <w:rPr>
          <w:rFonts w:ascii="Times New Roman" w:eastAsia="宋体" w:hAnsi="Times New Roman" w:cs="Times New Roman"/>
        </w:rPr>
        <w:t>m/s</w:t>
      </w:r>
      <w:r>
        <w:t>；</w:t>
      </w:r>
      <w:r>
        <w:t xml:space="preserve"> </w:t>
      </w:r>
    </w:p>
    <w:p w14:paraId="2996431F" w14:textId="77777777" w:rsidR="009D12AF" w:rsidRDefault="00000000">
      <w:pPr>
        <w:ind w:firstLine="480"/>
      </w:pPr>
      <w:r>
        <w:t>V0 ——</w:t>
      </w:r>
      <w:r>
        <w:t>起尘风速，</w:t>
      </w:r>
      <w:r>
        <w:rPr>
          <w:rFonts w:ascii="Times New Roman" w:eastAsia="宋体" w:hAnsi="Times New Roman" w:cs="Times New Roman"/>
        </w:rPr>
        <w:t>m/s</w:t>
      </w:r>
      <w:r>
        <w:t>；</w:t>
      </w:r>
      <w:r>
        <w:t xml:space="preserve"> </w:t>
      </w:r>
    </w:p>
    <w:p w14:paraId="0499BF07" w14:textId="77777777" w:rsidR="009D12AF" w:rsidRDefault="00000000">
      <w:pPr>
        <w:ind w:firstLine="480"/>
      </w:pPr>
      <w:r>
        <w:t>W ——</w:t>
      </w:r>
      <w:r>
        <w:t>尘粒的含水率，</w:t>
      </w:r>
      <w:r>
        <w:rPr>
          <w:rFonts w:ascii="Times New Roman" w:eastAsia="宋体" w:hAnsi="Times New Roman" w:cs="Times New Roman"/>
        </w:rPr>
        <w:t>%</w:t>
      </w:r>
      <w:r>
        <w:t>。</w:t>
      </w:r>
    </w:p>
    <w:p w14:paraId="19421CF4"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color w:val="000000"/>
          <w:kern w:val="0"/>
          <w:lang w:bidi="ar"/>
        </w:rPr>
        <w:lastRenderedPageBreak/>
        <w:t xml:space="preserve">起尘风速与粒径和含水率有关，因此减小露天堆场和保证一定的含水率及减少裸露地面是减少风力起尘的有效手段。 </w:t>
      </w:r>
    </w:p>
    <w:p w14:paraId="185D72F7" w14:textId="77777777" w:rsidR="009D12AF" w:rsidRDefault="00000000">
      <w:pPr>
        <w:widowControl/>
        <w:ind w:firstLine="480"/>
        <w:jc w:val="left"/>
      </w:pPr>
      <w:r>
        <w:rPr>
          <w:rFonts w:ascii="宋体" w:eastAsia="宋体" w:hAnsi="宋体" w:cs="宋体"/>
          <w:color w:val="000000"/>
          <w:kern w:val="0"/>
          <w:lang w:bidi="ar"/>
        </w:rPr>
        <w:t>通常施工场地和道路采用洒水的方式，配置洒水车，每天洒水次数一般为</w:t>
      </w:r>
      <w:r>
        <w:rPr>
          <w:rFonts w:ascii="Times New Roman" w:eastAsia="宋体" w:hAnsi="Times New Roman" w:cs="Times New Roman"/>
        </w:rPr>
        <w:t>4-5</w:t>
      </w:r>
      <w:r>
        <w:rPr>
          <w:rFonts w:ascii="宋体" w:eastAsia="宋体" w:hAnsi="宋体" w:cs="宋体"/>
          <w:color w:val="000000"/>
          <w:kern w:val="0"/>
          <w:lang w:bidi="ar"/>
        </w:rPr>
        <w:t>次。如果施工阶段对汽车行驶路面勤洒水（每天</w:t>
      </w:r>
      <w:r>
        <w:rPr>
          <w:rFonts w:ascii="Times New Roman" w:eastAsia="宋体" w:hAnsi="Times New Roman" w:cs="Times New Roman"/>
        </w:rPr>
        <w:t>4</w:t>
      </w:r>
      <w:r>
        <w:rPr>
          <w:rFonts w:ascii="Times New Roman" w:eastAsia="宋体" w:hAnsi="Times New Roman" w:cs="Times New Roman"/>
        </w:rPr>
        <w:t>～</w:t>
      </w:r>
      <w:r>
        <w:rPr>
          <w:rFonts w:ascii="Times New Roman" w:eastAsia="宋体" w:hAnsi="Times New Roman" w:cs="Times New Roman"/>
        </w:rPr>
        <w:t>5</w:t>
      </w:r>
      <w:r>
        <w:rPr>
          <w:rFonts w:ascii="宋体" w:eastAsia="宋体" w:hAnsi="宋体" w:cs="宋体"/>
          <w:color w:val="000000"/>
          <w:kern w:val="0"/>
          <w:lang w:bidi="ar"/>
        </w:rPr>
        <w:t>次），可使扬尘产生量减少</w:t>
      </w:r>
      <w:r>
        <w:rPr>
          <w:rFonts w:ascii="Times New Roman" w:eastAsia="宋体" w:hAnsi="Times New Roman" w:cs="Times New Roman"/>
        </w:rPr>
        <w:t>70%</w:t>
      </w:r>
      <w:r>
        <w:rPr>
          <w:rFonts w:ascii="宋体" w:eastAsia="宋体" w:hAnsi="宋体" w:cs="宋体"/>
          <w:color w:val="000000"/>
          <w:kern w:val="0"/>
          <w:lang w:bidi="ar"/>
        </w:rPr>
        <w:t xml:space="preserve">左右，收到很好的降尘效果。洒水的试验资料见表 </w:t>
      </w:r>
      <w:r>
        <w:rPr>
          <w:rFonts w:ascii="Times New Roman" w:eastAsia="宋体" w:hAnsi="Times New Roman" w:cs="Times New Roman" w:hint="eastAsia"/>
        </w:rPr>
        <w:t>3.3-2</w:t>
      </w:r>
      <w:r>
        <w:rPr>
          <w:rFonts w:ascii="宋体" w:eastAsia="宋体" w:hAnsi="宋体" w:cs="宋体"/>
          <w:color w:val="000000"/>
          <w:kern w:val="0"/>
          <w:lang w:bidi="ar"/>
        </w:rPr>
        <w:t>。当洒水频率为</w:t>
      </w:r>
      <w:r>
        <w:rPr>
          <w:rFonts w:ascii="Times New Roman" w:eastAsia="宋体" w:hAnsi="Times New Roman" w:cs="Times New Roman"/>
        </w:rPr>
        <w:t>4</w:t>
      </w:r>
      <w:r>
        <w:rPr>
          <w:rFonts w:ascii="Times New Roman" w:eastAsia="宋体" w:hAnsi="Times New Roman" w:cs="Times New Roman"/>
        </w:rPr>
        <w:t>～</w:t>
      </w:r>
      <w:r>
        <w:rPr>
          <w:rFonts w:ascii="Times New Roman" w:eastAsia="宋体" w:hAnsi="Times New Roman" w:cs="Times New Roman"/>
        </w:rPr>
        <w:t>5</w:t>
      </w:r>
      <w:r>
        <w:rPr>
          <w:rFonts w:ascii="宋体" w:eastAsia="宋体" w:hAnsi="宋体" w:cs="宋体"/>
          <w:color w:val="000000"/>
          <w:kern w:val="0"/>
          <w:lang w:bidi="ar"/>
        </w:rPr>
        <w:t>次/天时，扬尘造成的</w:t>
      </w:r>
      <w:r>
        <w:rPr>
          <w:rFonts w:ascii="Times New Roman" w:eastAsia="宋体" w:hAnsi="Times New Roman" w:cs="Times New Roman"/>
        </w:rPr>
        <w:t>TSP</w:t>
      </w:r>
      <w:r>
        <w:rPr>
          <w:rFonts w:ascii="宋体" w:eastAsia="宋体" w:hAnsi="宋体" w:cs="宋体"/>
          <w:color w:val="000000"/>
          <w:kern w:val="0"/>
          <w:lang w:bidi="ar"/>
        </w:rPr>
        <w:t>污染距离可缩小到</w:t>
      </w:r>
      <w:r>
        <w:rPr>
          <w:rFonts w:ascii="Times New Roman" w:eastAsia="宋体" w:hAnsi="Times New Roman" w:cs="Times New Roman"/>
        </w:rPr>
        <w:t>20</w:t>
      </w:r>
      <w:r>
        <w:rPr>
          <w:rFonts w:ascii="Times New Roman" w:eastAsia="宋体" w:hAnsi="Times New Roman" w:cs="Times New Roman"/>
        </w:rPr>
        <w:t>～</w:t>
      </w:r>
      <w:r>
        <w:rPr>
          <w:rFonts w:ascii="Times New Roman" w:eastAsia="宋体" w:hAnsi="Times New Roman" w:cs="Times New Roman"/>
        </w:rPr>
        <w:t>50m</w:t>
      </w:r>
      <w:r>
        <w:rPr>
          <w:rFonts w:ascii="宋体" w:eastAsia="宋体" w:hAnsi="宋体" w:cs="宋体"/>
          <w:color w:val="000000"/>
          <w:kern w:val="0"/>
          <w:lang w:bidi="ar"/>
        </w:rPr>
        <w:t>范围内。</w:t>
      </w:r>
    </w:p>
    <w:p w14:paraId="54103BA8" w14:textId="77777777" w:rsidR="009D12AF" w:rsidRDefault="00000000">
      <w:pPr>
        <w:widowControl/>
        <w:ind w:firstLine="482"/>
        <w:jc w:val="center"/>
        <w:rPr>
          <w:b/>
          <w:bCs/>
        </w:rPr>
      </w:pPr>
      <w:r>
        <w:rPr>
          <w:rFonts w:hint="eastAsia"/>
          <w:b/>
          <w:bCs/>
        </w:rPr>
        <w:t>表</w:t>
      </w:r>
      <w:r>
        <w:rPr>
          <w:rFonts w:ascii="Times New Roman" w:eastAsia="宋体" w:hAnsi="Times New Roman" w:cs="Times New Roman" w:hint="eastAsia"/>
          <w:b/>
          <w:bCs/>
        </w:rPr>
        <w:t>3.3-2</w:t>
      </w:r>
      <w:r>
        <w:rPr>
          <w:rFonts w:ascii="宋体" w:eastAsia="宋体" w:hAnsi="宋体" w:cs="宋体" w:hint="eastAsia"/>
          <w:b/>
          <w:bCs/>
          <w:color w:val="000000"/>
          <w:kern w:val="0"/>
          <w:lang w:bidi="ar"/>
        </w:rPr>
        <w:t>施工阶段采用洒水车降尘试验结果</w:t>
      </w:r>
    </w:p>
    <w:tbl>
      <w:tblPr>
        <w:tblStyle w:val="ae"/>
        <w:tblW w:w="0" w:type="auto"/>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420"/>
        <w:gridCol w:w="1420"/>
        <w:gridCol w:w="1420"/>
        <w:gridCol w:w="1420"/>
        <w:gridCol w:w="1421"/>
        <w:gridCol w:w="1421"/>
      </w:tblGrid>
      <w:tr w:rsidR="009D12AF" w14:paraId="30874CF2" w14:textId="77777777">
        <w:trPr>
          <w:jc w:val="center"/>
        </w:trPr>
        <w:tc>
          <w:tcPr>
            <w:tcW w:w="2840" w:type="dxa"/>
            <w:gridSpan w:val="2"/>
            <w:tcBorders>
              <w:tl2br w:val="nil"/>
              <w:tr2bl w:val="nil"/>
            </w:tcBorders>
            <w:vAlign w:val="center"/>
          </w:tcPr>
          <w:p w14:paraId="0DCD7247" w14:textId="77777777" w:rsidR="009D12AF" w:rsidRDefault="00000000">
            <w:pPr>
              <w:ind w:firstLineChars="0" w:firstLine="0"/>
              <w:jc w:val="center"/>
            </w:pPr>
            <w:r>
              <w:rPr>
                <w:rFonts w:hint="eastAsia"/>
              </w:rPr>
              <w:t>距路边距离（</w:t>
            </w:r>
            <w:r>
              <w:rPr>
                <w:rFonts w:hint="eastAsia"/>
              </w:rPr>
              <w:t>m</w:t>
            </w:r>
            <w:r>
              <w:rPr>
                <w:rFonts w:hint="eastAsia"/>
              </w:rPr>
              <w:t>）</w:t>
            </w:r>
          </w:p>
        </w:tc>
        <w:tc>
          <w:tcPr>
            <w:tcW w:w="1420" w:type="dxa"/>
            <w:tcBorders>
              <w:tl2br w:val="nil"/>
              <w:tr2bl w:val="nil"/>
            </w:tcBorders>
            <w:vAlign w:val="center"/>
          </w:tcPr>
          <w:p w14:paraId="1DA5C3E5" w14:textId="77777777" w:rsidR="009D12AF" w:rsidRDefault="00000000">
            <w:pPr>
              <w:widowControl/>
              <w:ind w:firstLineChars="0" w:firstLine="0"/>
              <w:jc w:val="center"/>
              <w:rPr>
                <w:rFonts w:ascii="Times New Roman" w:eastAsia="宋体" w:hAnsi="Times New Roman" w:cs="Times New Roman"/>
              </w:rPr>
            </w:pPr>
            <w:r>
              <w:rPr>
                <w:rFonts w:ascii="Times New Roman" w:eastAsia="宋体" w:hAnsi="Times New Roman" w:cs="Times New Roman" w:hint="eastAsia"/>
              </w:rPr>
              <w:t>5</w:t>
            </w:r>
          </w:p>
        </w:tc>
        <w:tc>
          <w:tcPr>
            <w:tcW w:w="1420" w:type="dxa"/>
            <w:tcBorders>
              <w:tl2br w:val="nil"/>
              <w:tr2bl w:val="nil"/>
            </w:tcBorders>
            <w:vAlign w:val="center"/>
          </w:tcPr>
          <w:p w14:paraId="7B58E135" w14:textId="77777777" w:rsidR="009D12AF" w:rsidRDefault="00000000">
            <w:pPr>
              <w:widowControl/>
              <w:ind w:firstLineChars="0" w:firstLine="0"/>
              <w:jc w:val="center"/>
              <w:rPr>
                <w:rFonts w:ascii="Times New Roman" w:eastAsia="宋体" w:hAnsi="Times New Roman" w:cs="Times New Roman"/>
              </w:rPr>
            </w:pPr>
            <w:r>
              <w:rPr>
                <w:rFonts w:ascii="Times New Roman" w:eastAsia="宋体" w:hAnsi="Times New Roman" w:cs="Times New Roman" w:hint="eastAsia"/>
              </w:rPr>
              <w:t>20</w:t>
            </w:r>
          </w:p>
        </w:tc>
        <w:tc>
          <w:tcPr>
            <w:tcW w:w="1421" w:type="dxa"/>
            <w:tcBorders>
              <w:tl2br w:val="nil"/>
              <w:tr2bl w:val="nil"/>
            </w:tcBorders>
            <w:vAlign w:val="center"/>
          </w:tcPr>
          <w:p w14:paraId="1BC4B73A" w14:textId="77777777" w:rsidR="009D12AF" w:rsidRDefault="00000000">
            <w:pPr>
              <w:widowControl/>
              <w:ind w:firstLineChars="0" w:firstLine="0"/>
              <w:jc w:val="center"/>
              <w:rPr>
                <w:rFonts w:ascii="Times New Roman" w:eastAsia="宋体" w:hAnsi="Times New Roman" w:cs="Times New Roman"/>
              </w:rPr>
            </w:pPr>
            <w:r>
              <w:rPr>
                <w:rFonts w:ascii="Times New Roman" w:eastAsia="宋体" w:hAnsi="Times New Roman" w:cs="Times New Roman" w:hint="eastAsia"/>
              </w:rPr>
              <w:t>50</w:t>
            </w:r>
          </w:p>
        </w:tc>
        <w:tc>
          <w:tcPr>
            <w:tcW w:w="1421" w:type="dxa"/>
            <w:tcBorders>
              <w:tl2br w:val="nil"/>
              <w:tr2bl w:val="nil"/>
            </w:tcBorders>
            <w:vAlign w:val="center"/>
          </w:tcPr>
          <w:p w14:paraId="64B5E10B" w14:textId="77777777" w:rsidR="009D12AF" w:rsidRDefault="00000000">
            <w:pPr>
              <w:widowControl/>
              <w:ind w:firstLineChars="0" w:firstLine="0"/>
              <w:jc w:val="center"/>
              <w:rPr>
                <w:rFonts w:ascii="Times New Roman" w:eastAsia="宋体" w:hAnsi="Times New Roman" w:cs="Times New Roman"/>
              </w:rPr>
            </w:pPr>
            <w:r>
              <w:rPr>
                <w:rFonts w:ascii="Times New Roman" w:eastAsia="宋体" w:hAnsi="Times New Roman" w:cs="Times New Roman" w:hint="eastAsia"/>
              </w:rPr>
              <w:t>100</w:t>
            </w:r>
          </w:p>
        </w:tc>
      </w:tr>
      <w:tr w:rsidR="009D12AF" w14:paraId="4F44BFA1" w14:textId="77777777">
        <w:trPr>
          <w:jc w:val="center"/>
        </w:trPr>
        <w:tc>
          <w:tcPr>
            <w:tcW w:w="1420" w:type="dxa"/>
            <w:tcBorders>
              <w:tl2br w:val="nil"/>
              <w:tr2bl w:val="nil"/>
            </w:tcBorders>
            <w:vAlign w:val="center"/>
          </w:tcPr>
          <w:p w14:paraId="519FB39C" w14:textId="77777777" w:rsidR="009D12AF" w:rsidRDefault="00000000">
            <w:pPr>
              <w:ind w:firstLineChars="0" w:firstLine="0"/>
              <w:jc w:val="center"/>
            </w:pPr>
            <w:r>
              <w:rPr>
                <w:rFonts w:ascii="Times New Roman" w:eastAsia="宋体" w:hAnsi="Times New Roman" w:cs="Times New Roman" w:hint="eastAsia"/>
              </w:rPr>
              <w:t>TSP</w:t>
            </w:r>
            <w:r>
              <w:rPr>
                <w:rFonts w:hint="eastAsia"/>
              </w:rPr>
              <w:t>浓度</w:t>
            </w:r>
          </w:p>
        </w:tc>
        <w:tc>
          <w:tcPr>
            <w:tcW w:w="1420" w:type="dxa"/>
            <w:tcBorders>
              <w:tl2br w:val="nil"/>
              <w:tr2bl w:val="nil"/>
            </w:tcBorders>
            <w:vAlign w:val="center"/>
          </w:tcPr>
          <w:p w14:paraId="76BA3D63" w14:textId="77777777" w:rsidR="009D12AF" w:rsidRDefault="00000000">
            <w:pPr>
              <w:ind w:firstLineChars="0" w:firstLine="0"/>
              <w:jc w:val="center"/>
            </w:pPr>
            <w:r>
              <w:rPr>
                <w:rFonts w:hint="eastAsia"/>
              </w:rPr>
              <w:t>不洒水</w:t>
            </w:r>
          </w:p>
        </w:tc>
        <w:tc>
          <w:tcPr>
            <w:tcW w:w="1420" w:type="dxa"/>
            <w:tcBorders>
              <w:tl2br w:val="nil"/>
              <w:tr2bl w:val="nil"/>
            </w:tcBorders>
            <w:vAlign w:val="center"/>
          </w:tcPr>
          <w:p w14:paraId="61D1F75F" w14:textId="77777777" w:rsidR="009D12AF" w:rsidRDefault="00000000">
            <w:pPr>
              <w:widowControl/>
              <w:ind w:firstLineChars="0" w:firstLine="0"/>
              <w:jc w:val="center"/>
              <w:rPr>
                <w:rFonts w:ascii="Times New Roman" w:eastAsia="宋体" w:hAnsi="Times New Roman" w:cs="Times New Roman"/>
              </w:rPr>
            </w:pPr>
            <w:r>
              <w:rPr>
                <w:rFonts w:ascii="Times New Roman" w:eastAsia="宋体" w:hAnsi="Times New Roman" w:cs="Times New Roman" w:hint="eastAsia"/>
              </w:rPr>
              <w:t>10.14</w:t>
            </w:r>
          </w:p>
        </w:tc>
        <w:tc>
          <w:tcPr>
            <w:tcW w:w="1420" w:type="dxa"/>
            <w:tcBorders>
              <w:tl2br w:val="nil"/>
              <w:tr2bl w:val="nil"/>
            </w:tcBorders>
            <w:vAlign w:val="center"/>
          </w:tcPr>
          <w:p w14:paraId="4F0BF3D1" w14:textId="77777777" w:rsidR="009D12AF" w:rsidRDefault="00000000">
            <w:pPr>
              <w:widowControl/>
              <w:ind w:firstLineChars="0" w:firstLine="0"/>
              <w:jc w:val="center"/>
              <w:rPr>
                <w:rFonts w:ascii="Times New Roman" w:eastAsia="宋体" w:hAnsi="Times New Roman" w:cs="Times New Roman"/>
              </w:rPr>
            </w:pPr>
            <w:r>
              <w:rPr>
                <w:rFonts w:ascii="Times New Roman" w:eastAsia="宋体" w:hAnsi="Times New Roman" w:cs="Times New Roman" w:hint="eastAsia"/>
              </w:rPr>
              <w:t>2.81</w:t>
            </w:r>
          </w:p>
        </w:tc>
        <w:tc>
          <w:tcPr>
            <w:tcW w:w="1421" w:type="dxa"/>
            <w:tcBorders>
              <w:tl2br w:val="nil"/>
              <w:tr2bl w:val="nil"/>
            </w:tcBorders>
            <w:vAlign w:val="center"/>
          </w:tcPr>
          <w:p w14:paraId="18957FE1" w14:textId="77777777" w:rsidR="009D12AF" w:rsidRDefault="00000000">
            <w:pPr>
              <w:widowControl/>
              <w:ind w:firstLineChars="0" w:firstLine="0"/>
              <w:jc w:val="center"/>
              <w:rPr>
                <w:rFonts w:ascii="Times New Roman" w:eastAsia="宋体" w:hAnsi="Times New Roman" w:cs="Times New Roman"/>
              </w:rPr>
            </w:pPr>
            <w:r>
              <w:rPr>
                <w:rFonts w:ascii="Times New Roman" w:eastAsia="宋体" w:hAnsi="Times New Roman" w:cs="Times New Roman" w:hint="eastAsia"/>
              </w:rPr>
              <w:t>1.15</w:t>
            </w:r>
          </w:p>
        </w:tc>
        <w:tc>
          <w:tcPr>
            <w:tcW w:w="1421" w:type="dxa"/>
            <w:tcBorders>
              <w:tl2br w:val="nil"/>
              <w:tr2bl w:val="nil"/>
            </w:tcBorders>
            <w:vAlign w:val="center"/>
          </w:tcPr>
          <w:p w14:paraId="3A57A43E" w14:textId="77777777" w:rsidR="009D12AF" w:rsidRDefault="00000000">
            <w:pPr>
              <w:widowControl/>
              <w:ind w:firstLineChars="0" w:firstLine="0"/>
              <w:jc w:val="center"/>
              <w:rPr>
                <w:rFonts w:ascii="Times New Roman" w:eastAsia="宋体" w:hAnsi="Times New Roman" w:cs="Times New Roman"/>
              </w:rPr>
            </w:pPr>
            <w:r>
              <w:rPr>
                <w:rFonts w:ascii="Times New Roman" w:eastAsia="宋体" w:hAnsi="Times New Roman" w:cs="Times New Roman" w:hint="eastAsia"/>
              </w:rPr>
              <w:t>0.86</w:t>
            </w:r>
          </w:p>
        </w:tc>
      </w:tr>
      <w:tr w:rsidR="009D12AF" w14:paraId="1734D5C8" w14:textId="77777777">
        <w:trPr>
          <w:jc w:val="center"/>
        </w:trPr>
        <w:tc>
          <w:tcPr>
            <w:tcW w:w="1420" w:type="dxa"/>
            <w:tcBorders>
              <w:tl2br w:val="nil"/>
              <w:tr2bl w:val="nil"/>
            </w:tcBorders>
            <w:vAlign w:val="center"/>
          </w:tcPr>
          <w:p w14:paraId="1B786CEA" w14:textId="77777777" w:rsidR="009D12AF" w:rsidRDefault="00000000">
            <w:pPr>
              <w:ind w:firstLineChars="0" w:firstLine="0"/>
              <w:jc w:val="center"/>
            </w:pPr>
            <w:r>
              <w:rPr>
                <w:rFonts w:ascii="Times New Roman" w:eastAsia="宋体" w:hAnsi="Times New Roman" w:cs="Times New Roman" w:hint="eastAsia"/>
              </w:rPr>
              <w:t>mg/m</w:t>
            </w:r>
            <w:r>
              <w:rPr>
                <w:rFonts w:ascii="Times New Roman" w:eastAsia="宋体" w:hAnsi="Times New Roman" w:cs="Times New Roman" w:hint="eastAsia"/>
                <w:vertAlign w:val="superscript"/>
              </w:rPr>
              <w:t>3</w:t>
            </w:r>
          </w:p>
        </w:tc>
        <w:tc>
          <w:tcPr>
            <w:tcW w:w="1420" w:type="dxa"/>
            <w:tcBorders>
              <w:tl2br w:val="nil"/>
              <w:tr2bl w:val="nil"/>
            </w:tcBorders>
            <w:vAlign w:val="center"/>
          </w:tcPr>
          <w:p w14:paraId="75F71649" w14:textId="77777777" w:rsidR="009D12AF" w:rsidRDefault="00000000">
            <w:pPr>
              <w:ind w:firstLineChars="0" w:firstLine="0"/>
              <w:jc w:val="center"/>
            </w:pPr>
            <w:r>
              <w:rPr>
                <w:rFonts w:hint="eastAsia"/>
              </w:rPr>
              <w:t>洒水</w:t>
            </w:r>
          </w:p>
        </w:tc>
        <w:tc>
          <w:tcPr>
            <w:tcW w:w="1420" w:type="dxa"/>
            <w:tcBorders>
              <w:tl2br w:val="nil"/>
              <w:tr2bl w:val="nil"/>
            </w:tcBorders>
            <w:vAlign w:val="center"/>
          </w:tcPr>
          <w:p w14:paraId="231EE116" w14:textId="77777777" w:rsidR="009D12AF" w:rsidRDefault="00000000">
            <w:pPr>
              <w:widowControl/>
              <w:ind w:firstLineChars="0" w:firstLine="0"/>
              <w:jc w:val="center"/>
              <w:rPr>
                <w:rFonts w:ascii="Times New Roman" w:eastAsia="宋体" w:hAnsi="Times New Roman" w:cs="Times New Roman"/>
              </w:rPr>
            </w:pPr>
            <w:r>
              <w:rPr>
                <w:rFonts w:ascii="Times New Roman" w:eastAsia="宋体" w:hAnsi="Times New Roman" w:cs="Times New Roman" w:hint="eastAsia"/>
              </w:rPr>
              <w:t>2.01</w:t>
            </w:r>
          </w:p>
        </w:tc>
        <w:tc>
          <w:tcPr>
            <w:tcW w:w="1420" w:type="dxa"/>
            <w:tcBorders>
              <w:tl2br w:val="nil"/>
              <w:tr2bl w:val="nil"/>
            </w:tcBorders>
            <w:vAlign w:val="center"/>
          </w:tcPr>
          <w:p w14:paraId="72ADD87D" w14:textId="77777777" w:rsidR="009D12AF" w:rsidRDefault="00000000">
            <w:pPr>
              <w:widowControl/>
              <w:ind w:firstLineChars="0" w:firstLine="0"/>
              <w:jc w:val="center"/>
              <w:rPr>
                <w:rFonts w:ascii="Times New Roman" w:eastAsia="宋体" w:hAnsi="Times New Roman" w:cs="Times New Roman"/>
              </w:rPr>
            </w:pPr>
            <w:r>
              <w:rPr>
                <w:rFonts w:ascii="Times New Roman" w:eastAsia="宋体" w:hAnsi="Times New Roman" w:cs="Times New Roman" w:hint="eastAsia"/>
              </w:rPr>
              <w:t>1.4</w:t>
            </w:r>
          </w:p>
        </w:tc>
        <w:tc>
          <w:tcPr>
            <w:tcW w:w="1421" w:type="dxa"/>
            <w:tcBorders>
              <w:tl2br w:val="nil"/>
              <w:tr2bl w:val="nil"/>
            </w:tcBorders>
            <w:vAlign w:val="center"/>
          </w:tcPr>
          <w:p w14:paraId="125728E7" w14:textId="77777777" w:rsidR="009D12AF" w:rsidRDefault="00000000">
            <w:pPr>
              <w:widowControl/>
              <w:ind w:firstLineChars="0" w:firstLine="0"/>
              <w:jc w:val="center"/>
              <w:rPr>
                <w:rFonts w:ascii="Times New Roman" w:eastAsia="宋体" w:hAnsi="Times New Roman" w:cs="Times New Roman"/>
              </w:rPr>
            </w:pPr>
            <w:r>
              <w:rPr>
                <w:rFonts w:ascii="Times New Roman" w:eastAsia="宋体" w:hAnsi="Times New Roman" w:cs="Times New Roman" w:hint="eastAsia"/>
              </w:rPr>
              <w:t>0.68</w:t>
            </w:r>
          </w:p>
        </w:tc>
        <w:tc>
          <w:tcPr>
            <w:tcW w:w="1421" w:type="dxa"/>
            <w:tcBorders>
              <w:tl2br w:val="nil"/>
              <w:tr2bl w:val="nil"/>
            </w:tcBorders>
            <w:vAlign w:val="center"/>
          </w:tcPr>
          <w:p w14:paraId="34C8D234" w14:textId="77777777" w:rsidR="009D12AF" w:rsidRDefault="00000000">
            <w:pPr>
              <w:widowControl/>
              <w:ind w:firstLineChars="0" w:firstLine="0"/>
              <w:jc w:val="center"/>
              <w:rPr>
                <w:rFonts w:ascii="Times New Roman" w:eastAsia="宋体" w:hAnsi="Times New Roman" w:cs="Times New Roman"/>
              </w:rPr>
            </w:pPr>
            <w:r>
              <w:rPr>
                <w:rFonts w:ascii="Times New Roman" w:eastAsia="宋体" w:hAnsi="Times New Roman" w:cs="Times New Roman" w:hint="eastAsia"/>
              </w:rPr>
              <w:t>0.6</w:t>
            </w:r>
          </w:p>
        </w:tc>
      </w:tr>
    </w:tbl>
    <w:p w14:paraId="60FA18AB"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color w:val="000000"/>
          <w:kern w:val="0"/>
          <w:lang w:bidi="ar"/>
        </w:rPr>
        <w:t xml:space="preserve">2、施工机械、船舶燃油废气 </w:t>
      </w:r>
    </w:p>
    <w:p w14:paraId="75914F1B"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color w:val="000000"/>
          <w:kern w:val="0"/>
          <w:lang w:bidi="ar"/>
        </w:rPr>
        <w:t>施工期燃油废气主要来自于运输船舶及机械作业等燃油燃烧产生的废气,主要集中于清淤工程。参考《排放源统计调查产排污核算方法和系数手册》，柴油锅炉排污系数为:</w:t>
      </w:r>
      <w:r>
        <w:rPr>
          <w:rFonts w:ascii="Times New Roman" w:eastAsia="宋体" w:hAnsi="Times New Roman" w:cs="Times New Roman"/>
        </w:rPr>
        <w:t>SO</w:t>
      </w:r>
      <w:r>
        <w:rPr>
          <w:rFonts w:ascii="Times New Roman" w:eastAsia="宋体" w:hAnsi="Times New Roman" w:cs="Times New Roman" w:hint="eastAsia"/>
          <w:vertAlign w:val="subscript"/>
        </w:rPr>
        <w:t>2</w:t>
      </w:r>
      <w:r>
        <w:rPr>
          <w:rFonts w:ascii="宋体" w:eastAsia="宋体" w:hAnsi="宋体" w:cs="宋体"/>
          <w:color w:val="000000"/>
          <w:kern w:val="0"/>
          <w:lang w:bidi="ar"/>
        </w:rPr>
        <w:t xml:space="preserve">排放量 </w:t>
      </w:r>
      <w:r>
        <w:rPr>
          <w:rFonts w:ascii="Times New Roman" w:eastAsia="宋体" w:hAnsi="Times New Roman" w:cs="Times New Roman" w:hint="eastAsia"/>
        </w:rPr>
        <w:t>3.8</w:t>
      </w:r>
      <w:r>
        <w:rPr>
          <w:rFonts w:ascii="Times New Roman" w:eastAsia="宋体" w:hAnsi="Times New Roman" w:cs="Times New Roman"/>
        </w:rPr>
        <w:t>kg</w:t>
      </w:r>
      <w:r>
        <w:rPr>
          <w:rFonts w:ascii="Times New Roman" w:eastAsia="宋体" w:hAnsi="Times New Roman" w:cs="Times New Roman" w:hint="eastAsia"/>
        </w:rPr>
        <w:t>/</w:t>
      </w:r>
      <w:r>
        <w:rPr>
          <w:rFonts w:ascii="Times New Roman" w:eastAsia="宋体" w:hAnsi="Times New Roman" w:cs="Times New Roman"/>
        </w:rPr>
        <w:t>t</w:t>
      </w:r>
      <w:r>
        <w:rPr>
          <w:rFonts w:ascii="宋体" w:eastAsia="宋体" w:hAnsi="宋体" w:cs="宋体"/>
          <w:color w:val="000000"/>
          <w:kern w:val="0"/>
          <w:lang w:bidi="ar"/>
        </w:rPr>
        <w:t xml:space="preserve"> 柴油，</w:t>
      </w:r>
      <w:r>
        <w:rPr>
          <w:rFonts w:ascii="Times New Roman" w:eastAsia="宋体" w:hAnsi="Times New Roman" w:cs="Times New Roman"/>
        </w:rPr>
        <w:t>NOx</w:t>
      </w:r>
      <w:r>
        <w:rPr>
          <w:rFonts w:ascii="宋体" w:eastAsia="宋体" w:hAnsi="宋体" w:cs="宋体"/>
          <w:color w:val="000000"/>
          <w:kern w:val="0"/>
          <w:lang w:bidi="ar"/>
        </w:rPr>
        <w:t xml:space="preserve">排放量 </w:t>
      </w:r>
      <w:r>
        <w:rPr>
          <w:rFonts w:ascii="Times New Roman" w:eastAsia="宋体" w:hAnsi="Times New Roman" w:cs="Times New Roman"/>
        </w:rPr>
        <w:t>3.03kg/t</w:t>
      </w:r>
      <w:r>
        <w:rPr>
          <w:rFonts w:ascii="宋体" w:eastAsia="宋体" w:hAnsi="宋体" w:cs="宋体"/>
          <w:color w:val="000000"/>
          <w:kern w:val="0"/>
          <w:lang w:bidi="ar"/>
        </w:rPr>
        <w:t>柴油，烟尘</w:t>
      </w:r>
      <w:r>
        <w:rPr>
          <w:rFonts w:ascii="Times New Roman" w:eastAsia="宋体" w:hAnsi="Times New Roman" w:cs="Times New Roman"/>
        </w:rPr>
        <w:t>0.26kg/t</w:t>
      </w:r>
      <w:r>
        <w:rPr>
          <w:rFonts w:ascii="宋体" w:eastAsia="宋体" w:hAnsi="宋体" w:cs="宋体"/>
          <w:color w:val="000000"/>
          <w:kern w:val="0"/>
          <w:lang w:bidi="ar"/>
        </w:rPr>
        <w:t xml:space="preserve">柴油，项目作业期(约 </w:t>
      </w:r>
      <w:r>
        <w:rPr>
          <w:rFonts w:ascii="Times New Roman" w:eastAsia="宋体" w:hAnsi="Times New Roman" w:cs="Times New Roman" w:hint="eastAsia"/>
        </w:rPr>
        <w:t>1890</w:t>
      </w:r>
      <w:r>
        <w:rPr>
          <w:rFonts w:ascii="Times New Roman" w:eastAsia="宋体" w:hAnsi="Times New Roman" w:cs="Times New Roman"/>
        </w:rPr>
        <w:t xml:space="preserve"> </w:t>
      </w:r>
      <w:r>
        <w:rPr>
          <w:rFonts w:ascii="宋体" w:eastAsia="宋体" w:hAnsi="宋体" w:cs="宋体"/>
          <w:color w:val="000000"/>
          <w:kern w:val="0"/>
          <w:lang w:bidi="ar"/>
        </w:rPr>
        <w:t xml:space="preserve">天)内柴油用量约 </w:t>
      </w:r>
      <w:r>
        <w:rPr>
          <w:rFonts w:ascii="Times New Roman" w:eastAsia="宋体" w:hAnsi="Times New Roman" w:cs="Times New Roman"/>
        </w:rPr>
        <w:t>3700t</w:t>
      </w:r>
      <w:r>
        <w:rPr>
          <w:rFonts w:ascii="宋体" w:eastAsia="宋体" w:hAnsi="宋体" w:cs="宋体"/>
          <w:color w:val="000000"/>
          <w:kern w:val="0"/>
          <w:lang w:bidi="ar"/>
        </w:rPr>
        <w:t>，由此可计算出项目船舶发动机及其他柴油机械废气污染物排放量为:</w:t>
      </w:r>
      <w:r>
        <w:rPr>
          <w:rFonts w:ascii="Times New Roman" w:eastAsia="宋体" w:hAnsi="Times New Roman" w:cs="Times New Roman"/>
        </w:rPr>
        <w:t>SO₂14.06t</w:t>
      </w:r>
      <w:r>
        <w:rPr>
          <w:rFonts w:ascii="Times New Roman" w:eastAsia="宋体" w:hAnsi="Times New Roman" w:cs="Times New Roman"/>
        </w:rPr>
        <w:t>、</w:t>
      </w:r>
      <w:r>
        <w:rPr>
          <w:rFonts w:ascii="Times New Roman" w:eastAsia="宋体" w:hAnsi="Times New Roman" w:cs="Times New Roman"/>
        </w:rPr>
        <w:t>NOx11.211t</w:t>
      </w:r>
      <w:r>
        <w:rPr>
          <w:rFonts w:ascii="Times New Roman" w:eastAsia="宋体" w:hAnsi="Times New Roman" w:cs="Times New Roman"/>
        </w:rPr>
        <w:t>、</w:t>
      </w:r>
      <w:r>
        <w:rPr>
          <w:rFonts w:ascii="宋体" w:eastAsia="宋体" w:hAnsi="宋体" w:cs="宋体"/>
          <w:color w:val="000000"/>
          <w:kern w:val="0"/>
          <w:lang w:bidi="ar"/>
        </w:rPr>
        <w:t xml:space="preserve">烟尘 </w:t>
      </w:r>
      <w:r>
        <w:rPr>
          <w:rFonts w:ascii="Times New Roman" w:eastAsia="宋体" w:hAnsi="Times New Roman" w:cs="Times New Roman"/>
        </w:rPr>
        <w:t>0.962t</w:t>
      </w:r>
      <w:r>
        <w:rPr>
          <w:rFonts w:ascii="宋体" w:eastAsia="宋体" w:hAnsi="宋体" w:cs="宋体"/>
          <w:color w:val="000000"/>
          <w:kern w:val="0"/>
          <w:lang w:bidi="ar"/>
        </w:rPr>
        <w:t xml:space="preserve">，均为无组织排放。 </w:t>
      </w:r>
    </w:p>
    <w:p w14:paraId="6294A9BB" w14:textId="77777777" w:rsidR="009D12AF" w:rsidRDefault="00000000">
      <w:pPr>
        <w:ind w:firstLine="480"/>
      </w:pPr>
      <w:r>
        <w:t>由于项目选用的均为符合环保要求的船舶发动机、机械设备和柴油，且所处水库水面地形较为开阔、扩散条件较好，船舶发动机及其他柴油机械废气污染物经大气稀释扩散后，对周边环境影响较小，不会明显加重区域环境空气质量的污染程度。但为进一步降低影响，评价建议各类运输船舶及施工机械选用含硫量低的燃油，运输船舶及施工机械应定期检修与保养，确保运输船舶及施工机械始终处于良好的工作状态</w:t>
      </w:r>
      <w:r>
        <w:t>,</w:t>
      </w:r>
      <w:r>
        <w:t>减少有害气体排放量</w:t>
      </w:r>
      <w:r>
        <w:t>,</w:t>
      </w:r>
      <w:r>
        <w:t>确保施工机械废气排放符合环保要求</w:t>
      </w:r>
      <w:r>
        <w:rPr>
          <w:rFonts w:hint="eastAsia"/>
        </w:rPr>
        <w:t>。</w:t>
      </w:r>
    </w:p>
    <w:p w14:paraId="7C404C90"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color w:val="000000"/>
          <w:kern w:val="0"/>
          <w:lang w:bidi="ar"/>
        </w:rPr>
        <w:t>3、</w:t>
      </w:r>
      <w:r>
        <w:rPr>
          <w:rFonts w:ascii="宋体" w:eastAsia="宋体" w:hAnsi="宋体" w:cs="宋体" w:hint="eastAsia"/>
          <w:color w:val="000000"/>
          <w:kern w:val="0"/>
          <w:lang w:bidi="ar"/>
        </w:rPr>
        <w:t>清淤及临时生产区的恶臭</w:t>
      </w:r>
      <w:r>
        <w:rPr>
          <w:rFonts w:ascii="宋体" w:eastAsia="宋体" w:hAnsi="宋体" w:cs="宋体"/>
          <w:color w:val="000000"/>
          <w:kern w:val="0"/>
          <w:lang w:bidi="ar"/>
        </w:rPr>
        <w:t xml:space="preserve"> </w:t>
      </w:r>
    </w:p>
    <w:p w14:paraId="49C62427"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color w:val="000000"/>
          <w:kern w:val="0"/>
          <w:lang w:bidi="ar"/>
        </w:rPr>
        <w:t>底泥疏浚过程中，由于含有机腐殖物，其中含有的恶臭物质（主要为氨、硫化氢</w:t>
      </w:r>
      <w:r>
        <w:rPr>
          <w:rFonts w:ascii="宋体" w:eastAsia="宋体" w:hAnsi="宋体" w:cs="宋体" w:hint="eastAsia"/>
          <w:color w:val="000000"/>
          <w:kern w:val="0"/>
          <w:lang w:bidi="ar"/>
        </w:rPr>
        <w:t>、臭气浓度</w:t>
      </w:r>
      <w:r>
        <w:rPr>
          <w:rFonts w:ascii="宋体" w:eastAsia="宋体" w:hAnsi="宋体" w:cs="宋体"/>
          <w:color w:val="000000"/>
          <w:kern w:val="0"/>
          <w:lang w:bidi="ar"/>
        </w:rPr>
        <w:t>等）将呈无组织状态释放。疏浚底泥中有机物含量通常较高，在</w:t>
      </w:r>
      <w:r>
        <w:rPr>
          <w:rFonts w:ascii="宋体" w:eastAsia="宋体" w:hAnsi="宋体" w:cs="宋体" w:hint="eastAsia"/>
          <w:color w:val="000000"/>
          <w:kern w:val="0"/>
          <w:lang w:bidi="ar"/>
        </w:rPr>
        <w:t>临时生产区</w:t>
      </w:r>
      <w:r>
        <w:rPr>
          <w:rFonts w:ascii="宋体" w:eastAsia="宋体" w:hAnsi="宋体" w:cs="宋体"/>
          <w:color w:val="000000"/>
          <w:kern w:val="0"/>
          <w:lang w:bidi="ar"/>
        </w:rPr>
        <w:t>堆存过程中，在无氧条件下有机物可分解产生氨、硫化氢等恶臭气体。</w:t>
      </w:r>
      <w:r>
        <w:rPr>
          <w:rFonts w:ascii="宋体" w:eastAsia="宋体" w:hAnsi="宋体" w:cs="宋体"/>
          <w:color w:val="000000"/>
          <w:kern w:val="0"/>
          <w:lang w:bidi="ar"/>
        </w:rPr>
        <w:lastRenderedPageBreak/>
        <w:t>由于本项目施工周期较短，且施工完毕后对场地进行复植复耕，因此臭气对周边环境空气的影响是暂时的。</w:t>
      </w:r>
    </w:p>
    <w:p w14:paraId="5165BF1D" w14:textId="77777777" w:rsidR="009D12AF" w:rsidRDefault="00000000">
      <w:pPr>
        <w:ind w:firstLine="480"/>
      </w:pPr>
      <w:r>
        <w:t>结合本项目的特点和周围环境状况，本次评价将参考《恶臭污染物排放标准》（</w:t>
      </w:r>
      <w:r>
        <w:t>GB14554-93</w:t>
      </w:r>
      <w:r>
        <w:t>）中的二级标准要求，采用控制恶臭强度的方法进行。</w:t>
      </w:r>
    </w:p>
    <w:p w14:paraId="4761984C" w14:textId="77777777" w:rsidR="009D12AF" w:rsidRDefault="00000000">
      <w:pPr>
        <w:ind w:firstLine="480"/>
      </w:pPr>
      <w:r>
        <w:fldChar w:fldCharType="begin"/>
      </w:r>
      <w:r>
        <w:instrText xml:space="preserve"> = 1 \* GB3 </w:instrText>
      </w:r>
      <w:r>
        <w:fldChar w:fldCharType="separate"/>
      </w:r>
      <w:r>
        <w:rPr>
          <w:rFonts w:ascii="宋体" w:hAnsi="宋体" w:cs="宋体" w:hint="eastAsia"/>
        </w:rPr>
        <w:t>①</w:t>
      </w:r>
      <w:r>
        <w:fldChar w:fldCharType="end"/>
      </w:r>
      <w:r>
        <w:t>恶臭强度等级分类</w:t>
      </w:r>
    </w:p>
    <w:p w14:paraId="061C7082" w14:textId="77777777" w:rsidR="009D12AF" w:rsidRDefault="00000000">
      <w:pPr>
        <w:ind w:firstLine="480"/>
      </w:pPr>
      <w:r>
        <w:t>恶臭强度是以臭味的嗅觉阈值为基准划分等级的。目前，我国把恶臭强度划分为</w:t>
      </w:r>
      <w:r>
        <w:t>6</w:t>
      </w:r>
      <w:r>
        <w:t>级，详见表</w:t>
      </w:r>
      <w:r>
        <w:rPr>
          <w:rFonts w:hint="eastAsia"/>
        </w:rPr>
        <w:t>3.3-3</w:t>
      </w:r>
      <w:r>
        <w:t>。限制标准一般相当于恶臭强度</w:t>
      </w:r>
      <w:r>
        <w:t>2.5</w:t>
      </w:r>
      <w:r>
        <w:t>～</w:t>
      </w:r>
      <w:r>
        <w:t>3.5</w:t>
      </w:r>
      <w:r>
        <w:t>级，超出该强度范围，即认为发生恶臭污染，需要采取防护措施。</w:t>
      </w:r>
    </w:p>
    <w:p w14:paraId="0C14D6FD" w14:textId="77777777" w:rsidR="009D12AF" w:rsidRDefault="00000000">
      <w:pPr>
        <w:ind w:firstLine="482"/>
        <w:jc w:val="center"/>
        <w:rPr>
          <w:b/>
          <w:bCs/>
        </w:rPr>
      </w:pPr>
      <w:r>
        <w:rPr>
          <w:b/>
          <w:bCs/>
        </w:rPr>
        <w:t>表</w:t>
      </w:r>
      <w:r>
        <w:rPr>
          <w:rFonts w:hint="eastAsia"/>
          <w:b/>
          <w:bCs/>
        </w:rPr>
        <w:t>3.3-3</w:t>
      </w:r>
      <w:r>
        <w:rPr>
          <w:b/>
          <w:bCs/>
        </w:rPr>
        <w:t>恶臭强度分类一览表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817"/>
        <w:gridCol w:w="6705"/>
      </w:tblGrid>
      <w:tr w:rsidR="009D12AF" w14:paraId="0B39F03C" w14:textId="77777777">
        <w:trPr>
          <w:trHeight w:val="397"/>
          <w:jc w:val="center"/>
        </w:trPr>
        <w:tc>
          <w:tcPr>
            <w:tcW w:w="1066" w:type="pct"/>
            <w:vAlign w:val="center"/>
          </w:tcPr>
          <w:p w14:paraId="16885E63" w14:textId="77777777" w:rsidR="009D12AF" w:rsidRDefault="00000000">
            <w:pPr>
              <w:spacing w:line="240" w:lineRule="auto"/>
              <w:jc w:val="center"/>
              <w:rPr>
                <w:sz w:val="21"/>
              </w:rPr>
            </w:pPr>
            <w:r>
              <w:rPr>
                <w:sz w:val="21"/>
              </w:rPr>
              <w:t>强度分类</w:t>
            </w:r>
          </w:p>
        </w:tc>
        <w:tc>
          <w:tcPr>
            <w:tcW w:w="3934" w:type="pct"/>
            <w:vAlign w:val="center"/>
          </w:tcPr>
          <w:p w14:paraId="0899B178" w14:textId="77777777" w:rsidR="009D12AF" w:rsidRDefault="00000000">
            <w:pPr>
              <w:spacing w:line="240" w:lineRule="auto"/>
              <w:jc w:val="center"/>
              <w:rPr>
                <w:sz w:val="21"/>
              </w:rPr>
            </w:pPr>
            <w:r>
              <w:rPr>
                <w:sz w:val="21"/>
              </w:rPr>
              <w:t>臭气感觉强度</w:t>
            </w:r>
          </w:p>
        </w:tc>
      </w:tr>
      <w:tr w:rsidR="009D12AF" w14:paraId="6CF9B7EA" w14:textId="77777777">
        <w:trPr>
          <w:trHeight w:val="397"/>
          <w:jc w:val="center"/>
        </w:trPr>
        <w:tc>
          <w:tcPr>
            <w:tcW w:w="1066" w:type="pct"/>
            <w:vAlign w:val="center"/>
          </w:tcPr>
          <w:p w14:paraId="48C1E4A5" w14:textId="77777777" w:rsidR="009D12AF" w:rsidRDefault="00000000">
            <w:pPr>
              <w:spacing w:line="240" w:lineRule="auto"/>
              <w:jc w:val="center"/>
              <w:rPr>
                <w:sz w:val="21"/>
              </w:rPr>
            </w:pPr>
            <w:r>
              <w:rPr>
                <w:sz w:val="21"/>
              </w:rPr>
              <w:t>0</w:t>
            </w:r>
          </w:p>
        </w:tc>
        <w:tc>
          <w:tcPr>
            <w:tcW w:w="3934" w:type="pct"/>
            <w:vAlign w:val="center"/>
          </w:tcPr>
          <w:p w14:paraId="516D6648" w14:textId="77777777" w:rsidR="009D12AF" w:rsidRDefault="00000000">
            <w:pPr>
              <w:spacing w:line="240" w:lineRule="auto"/>
              <w:jc w:val="center"/>
              <w:rPr>
                <w:sz w:val="21"/>
              </w:rPr>
            </w:pPr>
            <w:r>
              <w:rPr>
                <w:sz w:val="21"/>
              </w:rPr>
              <w:t>无气味</w:t>
            </w:r>
          </w:p>
        </w:tc>
      </w:tr>
      <w:tr w:rsidR="009D12AF" w14:paraId="37D98D78" w14:textId="77777777">
        <w:trPr>
          <w:trHeight w:val="397"/>
          <w:jc w:val="center"/>
        </w:trPr>
        <w:tc>
          <w:tcPr>
            <w:tcW w:w="1066" w:type="pct"/>
            <w:vAlign w:val="center"/>
          </w:tcPr>
          <w:p w14:paraId="43116B18" w14:textId="77777777" w:rsidR="009D12AF" w:rsidRDefault="00000000">
            <w:pPr>
              <w:spacing w:line="240" w:lineRule="auto"/>
              <w:jc w:val="center"/>
              <w:rPr>
                <w:sz w:val="21"/>
              </w:rPr>
            </w:pPr>
            <w:r>
              <w:rPr>
                <w:sz w:val="21"/>
              </w:rPr>
              <w:t>1</w:t>
            </w:r>
          </w:p>
        </w:tc>
        <w:tc>
          <w:tcPr>
            <w:tcW w:w="3934" w:type="pct"/>
            <w:vAlign w:val="center"/>
          </w:tcPr>
          <w:p w14:paraId="0E463E88" w14:textId="77777777" w:rsidR="009D12AF" w:rsidRDefault="00000000">
            <w:pPr>
              <w:spacing w:line="240" w:lineRule="auto"/>
              <w:jc w:val="center"/>
              <w:rPr>
                <w:sz w:val="21"/>
              </w:rPr>
            </w:pPr>
            <w:r>
              <w:rPr>
                <w:sz w:val="21"/>
              </w:rPr>
              <w:t>勉强感觉到气味（检知阈值浓度）</w:t>
            </w:r>
          </w:p>
        </w:tc>
      </w:tr>
      <w:tr w:rsidR="009D12AF" w14:paraId="6057BDB8" w14:textId="77777777">
        <w:trPr>
          <w:trHeight w:val="397"/>
          <w:jc w:val="center"/>
        </w:trPr>
        <w:tc>
          <w:tcPr>
            <w:tcW w:w="1066" w:type="pct"/>
            <w:vAlign w:val="center"/>
          </w:tcPr>
          <w:p w14:paraId="301518ED" w14:textId="77777777" w:rsidR="009D12AF" w:rsidRDefault="00000000">
            <w:pPr>
              <w:spacing w:line="240" w:lineRule="auto"/>
              <w:jc w:val="center"/>
              <w:rPr>
                <w:sz w:val="21"/>
              </w:rPr>
            </w:pPr>
            <w:r>
              <w:rPr>
                <w:sz w:val="21"/>
              </w:rPr>
              <w:t>2</w:t>
            </w:r>
          </w:p>
        </w:tc>
        <w:tc>
          <w:tcPr>
            <w:tcW w:w="3934" w:type="pct"/>
            <w:vAlign w:val="center"/>
          </w:tcPr>
          <w:p w14:paraId="3469F7E4" w14:textId="77777777" w:rsidR="009D12AF" w:rsidRDefault="00000000">
            <w:pPr>
              <w:spacing w:line="240" w:lineRule="auto"/>
              <w:jc w:val="center"/>
              <w:rPr>
                <w:sz w:val="21"/>
              </w:rPr>
            </w:pPr>
            <w:r>
              <w:rPr>
                <w:sz w:val="21"/>
              </w:rPr>
              <w:t>能够确定气味性质的较弱气体（确认阈值浓度）</w:t>
            </w:r>
          </w:p>
        </w:tc>
      </w:tr>
      <w:tr w:rsidR="009D12AF" w14:paraId="6DD26CAA" w14:textId="77777777">
        <w:trPr>
          <w:trHeight w:val="397"/>
          <w:jc w:val="center"/>
        </w:trPr>
        <w:tc>
          <w:tcPr>
            <w:tcW w:w="1066" w:type="pct"/>
            <w:vAlign w:val="center"/>
          </w:tcPr>
          <w:p w14:paraId="21161828" w14:textId="77777777" w:rsidR="009D12AF" w:rsidRDefault="00000000">
            <w:pPr>
              <w:spacing w:line="240" w:lineRule="auto"/>
              <w:jc w:val="center"/>
              <w:rPr>
                <w:sz w:val="21"/>
              </w:rPr>
            </w:pPr>
            <w:r>
              <w:rPr>
                <w:sz w:val="21"/>
              </w:rPr>
              <w:t>3</w:t>
            </w:r>
          </w:p>
        </w:tc>
        <w:tc>
          <w:tcPr>
            <w:tcW w:w="3934" w:type="pct"/>
            <w:vAlign w:val="center"/>
          </w:tcPr>
          <w:p w14:paraId="67A987FA" w14:textId="77777777" w:rsidR="009D12AF" w:rsidRDefault="00000000">
            <w:pPr>
              <w:spacing w:line="240" w:lineRule="auto"/>
              <w:jc w:val="center"/>
              <w:rPr>
                <w:sz w:val="21"/>
              </w:rPr>
            </w:pPr>
            <w:r>
              <w:rPr>
                <w:sz w:val="21"/>
              </w:rPr>
              <w:t>容易闻到有明显气味</w:t>
            </w:r>
          </w:p>
        </w:tc>
      </w:tr>
      <w:tr w:rsidR="009D12AF" w14:paraId="37DE0BCD" w14:textId="77777777">
        <w:trPr>
          <w:trHeight w:val="397"/>
          <w:jc w:val="center"/>
        </w:trPr>
        <w:tc>
          <w:tcPr>
            <w:tcW w:w="1066" w:type="pct"/>
            <w:vAlign w:val="center"/>
          </w:tcPr>
          <w:p w14:paraId="3C9FB6B6" w14:textId="77777777" w:rsidR="009D12AF" w:rsidRDefault="00000000">
            <w:pPr>
              <w:spacing w:line="240" w:lineRule="auto"/>
              <w:jc w:val="center"/>
              <w:rPr>
                <w:sz w:val="21"/>
              </w:rPr>
            </w:pPr>
            <w:r>
              <w:rPr>
                <w:sz w:val="21"/>
              </w:rPr>
              <w:t>4</w:t>
            </w:r>
          </w:p>
        </w:tc>
        <w:tc>
          <w:tcPr>
            <w:tcW w:w="3934" w:type="pct"/>
            <w:vAlign w:val="center"/>
          </w:tcPr>
          <w:p w14:paraId="56312ED2" w14:textId="77777777" w:rsidR="009D12AF" w:rsidRDefault="00000000">
            <w:pPr>
              <w:spacing w:line="240" w:lineRule="auto"/>
              <w:jc w:val="center"/>
              <w:rPr>
                <w:sz w:val="21"/>
              </w:rPr>
            </w:pPr>
            <w:r>
              <w:rPr>
                <w:sz w:val="21"/>
              </w:rPr>
              <w:t>很容易闻到有明显气味</w:t>
            </w:r>
          </w:p>
        </w:tc>
      </w:tr>
      <w:tr w:rsidR="009D12AF" w14:paraId="44AB862E" w14:textId="77777777">
        <w:trPr>
          <w:trHeight w:val="397"/>
          <w:jc w:val="center"/>
        </w:trPr>
        <w:tc>
          <w:tcPr>
            <w:tcW w:w="1066" w:type="pct"/>
            <w:vAlign w:val="center"/>
          </w:tcPr>
          <w:p w14:paraId="5C778552" w14:textId="77777777" w:rsidR="009D12AF" w:rsidRDefault="00000000">
            <w:pPr>
              <w:spacing w:line="240" w:lineRule="auto"/>
              <w:jc w:val="center"/>
              <w:rPr>
                <w:sz w:val="21"/>
              </w:rPr>
            </w:pPr>
            <w:r>
              <w:rPr>
                <w:sz w:val="21"/>
              </w:rPr>
              <w:t>5</w:t>
            </w:r>
          </w:p>
        </w:tc>
        <w:tc>
          <w:tcPr>
            <w:tcW w:w="3934" w:type="pct"/>
            <w:vAlign w:val="center"/>
          </w:tcPr>
          <w:p w14:paraId="7042906D" w14:textId="77777777" w:rsidR="009D12AF" w:rsidRDefault="00000000">
            <w:pPr>
              <w:spacing w:line="240" w:lineRule="auto"/>
              <w:jc w:val="center"/>
              <w:rPr>
                <w:sz w:val="21"/>
              </w:rPr>
            </w:pPr>
            <w:r>
              <w:rPr>
                <w:sz w:val="21"/>
              </w:rPr>
              <w:t>极强的气味</w:t>
            </w:r>
          </w:p>
        </w:tc>
      </w:tr>
    </w:tbl>
    <w:p w14:paraId="034771CD" w14:textId="77777777" w:rsidR="009D12AF" w:rsidRDefault="00000000">
      <w:pPr>
        <w:ind w:firstLine="480"/>
      </w:pPr>
      <w:r>
        <w:t>本评价参照国内类似工程（南泡子河排污整治工程）的恶臭资料进行分析。南泡子位于牡丹江市东南部，是牡丹江市的一个排污纳污河道，由于生活污水的肆意排放，水质严重恶化，水质现状为劣</w:t>
      </w:r>
      <w:r>
        <w:t>V</w:t>
      </w:r>
      <w:r>
        <w:t>类水体，南泡子进行治理时采用的是夏季干塘施工方式，本项目清淤也是采用干法施工。根据对牡丹江南泡子疏挖工程污染源恶臭级别调查分析，其结果见表</w:t>
      </w:r>
      <w:r>
        <w:rPr>
          <w:rFonts w:hint="eastAsia"/>
        </w:rPr>
        <w:t>3.3-4</w:t>
      </w:r>
      <w:r>
        <w:t>。</w:t>
      </w:r>
    </w:p>
    <w:p w14:paraId="66E565D7" w14:textId="77777777" w:rsidR="009D12AF" w:rsidRDefault="00000000">
      <w:pPr>
        <w:ind w:firstLine="482"/>
        <w:jc w:val="center"/>
        <w:rPr>
          <w:b/>
          <w:bCs/>
        </w:rPr>
      </w:pPr>
      <w:r>
        <w:rPr>
          <w:b/>
          <w:bCs/>
        </w:rPr>
        <w:t>表</w:t>
      </w:r>
      <w:r>
        <w:rPr>
          <w:rFonts w:hint="eastAsia"/>
          <w:b/>
          <w:bCs/>
        </w:rPr>
        <w:t>3.3-4</w:t>
      </w:r>
      <w:r>
        <w:rPr>
          <w:b/>
          <w:bCs/>
        </w:rPr>
        <w:t>牡丹江南泡子底泥疏挖（干塘干挖）臭气强度</w:t>
      </w:r>
    </w:p>
    <w:tbl>
      <w:tblPr>
        <w:tblW w:w="0" w:type="auto"/>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852"/>
        <w:gridCol w:w="2835"/>
        <w:gridCol w:w="2835"/>
      </w:tblGrid>
      <w:tr w:rsidR="009D12AF" w14:paraId="7970476C" w14:textId="77777777">
        <w:trPr>
          <w:trHeight w:val="397"/>
          <w:jc w:val="center"/>
        </w:trPr>
        <w:tc>
          <w:tcPr>
            <w:tcW w:w="2983" w:type="dxa"/>
            <w:vAlign w:val="center"/>
          </w:tcPr>
          <w:p w14:paraId="0980D4EF" w14:textId="77777777" w:rsidR="009D12AF" w:rsidRDefault="00000000">
            <w:pPr>
              <w:spacing w:line="240" w:lineRule="auto"/>
              <w:jc w:val="center"/>
              <w:rPr>
                <w:sz w:val="21"/>
              </w:rPr>
            </w:pPr>
            <w:r>
              <w:rPr>
                <w:sz w:val="21"/>
              </w:rPr>
              <w:t>距离</w:t>
            </w:r>
          </w:p>
        </w:tc>
        <w:tc>
          <w:tcPr>
            <w:tcW w:w="2983" w:type="dxa"/>
            <w:vAlign w:val="center"/>
          </w:tcPr>
          <w:p w14:paraId="2E75878D" w14:textId="77777777" w:rsidR="009D12AF" w:rsidRDefault="00000000">
            <w:pPr>
              <w:spacing w:line="240" w:lineRule="auto"/>
              <w:jc w:val="center"/>
              <w:rPr>
                <w:sz w:val="21"/>
              </w:rPr>
            </w:pPr>
            <w:r>
              <w:rPr>
                <w:sz w:val="21"/>
              </w:rPr>
              <w:t>臭气感觉强度</w:t>
            </w:r>
          </w:p>
        </w:tc>
        <w:tc>
          <w:tcPr>
            <w:tcW w:w="2983" w:type="dxa"/>
            <w:vAlign w:val="center"/>
          </w:tcPr>
          <w:p w14:paraId="6DDE04EF" w14:textId="77777777" w:rsidR="009D12AF" w:rsidRDefault="00000000">
            <w:pPr>
              <w:spacing w:line="240" w:lineRule="auto"/>
              <w:jc w:val="center"/>
              <w:rPr>
                <w:sz w:val="21"/>
              </w:rPr>
            </w:pPr>
            <w:r>
              <w:rPr>
                <w:sz w:val="21"/>
              </w:rPr>
              <w:t>级别</w:t>
            </w:r>
          </w:p>
        </w:tc>
      </w:tr>
      <w:tr w:rsidR="009D12AF" w14:paraId="02D02078" w14:textId="77777777">
        <w:trPr>
          <w:trHeight w:val="397"/>
          <w:jc w:val="center"/>
        </w:trPr>
        <w:tc>
          <w:tcPr>
            <w:tcW w:w="2983" w:type="dxa"/>
            <w:vAlign w:val="center"/>
          </w:tcPr>
          <w:p w14:paraId="6370EB26" w14:textId="77777777" w:rsidR="009D12AF" w:rsidRDefault="00000000">
            <w:pPr>
              <w:spacing w:line="240" w:lineRule="auto"/>
              <w:jc w:val="center"/>
              <w:rPr>
                <w:sz w:val="21"/>
              </w:rPr>
            </w:pPr>
            <w:r>
              <w:rPr>
                <w:sz w:val="21"/>
              </w:rPr>
              <w:t>弃淤区</w:t>
            </w:r>
          </w:p>
        </w:tc>
        <w:tc>
          <w:tcPr>
            <w:tcW w:w="2983" w:type="dxa"/>
            <w:vAlign w:val="center"/>
          </w:tcPr>
          <w:p w14:paraId="7DFA06D0" w14:textId="77777777" w:rsidR="009D12AF" w:rsidRDefault="00000000">
            <w:pPr>
              <w:spacing w:line="240" w:lineRule="auto"/>
              <w:jc w:val="center"/>
              <w:rPr>
                <w:sz w:val="21"/>
              </w:rPr>
            </w:pPr>
            <w:r>
              <w:rPr>
                <w:sz w:val="21"/>
              </w:rPr>
              <w:t>有较明显臭味</w:t>
            </w:r>
          </w:p>
        </w:tc>
        <w:tc>
          <w:tcPr>
            <w:tcW w:w="2983" w:type="dxa"/>
            <w:vAlign w:val="center"/>
          </w:tcPr>
          <w:p w14:paraId="7BE45CFC" w14:textId="77777777" w:rsidR="009D12AF" w:rsidRDefault="00000000">
            <w:pPr>
              <w:spacing w:line="240" w:lineRule="auto"/>
              <w:jc w:val="center"/>
              <w:rPr>
                <w:sz w:val="21"/>
              </w:rPr>
            </w:pPr>
            <w:r>
              <w:rPr>
                <w:sz w:val="21"/>
              </w:rPr>
              <w:t>3</w:t>
            </w:r>
            <w:r>
              <w:rPr>
                <w:sz w:val="21"/>
              </w:rPr>
              <w:t>级</w:t>
            </w:r>
          </w:p>
        </w:tc>
      </w:tr>
      <w:tr w:rsidR="009D12AF" w14:paraId="461457A9" w14:textId="77777777">
        <w:trPr>
          <w:trHeight w:val="397"/>
          <w:jc w:val="center"/>
        </w:trPr>
        <w:tc>
          <w:tcPr>
            <w:tcW w:w="2983" w:type="dxa"/>
            <w:vAlign w:val="center"/>
          </w:tcPr>
          <w:p w14:paraId="057A44E2" w14:textId="77777777" w:rsidR="009D12AF" w:rsidRDefault="00000000">
            <w:pPr>
              <w:spacing w:line="240" w:lineRule="auto"/>
              <w:jc w:val="center"/>
              <w:rPr>
                <w:sz w:val="21"/>
              </w:rPr>
            </w:pPr>
            <w:r>
              <w:rPr>
                <w:sz w:val="21"/>
              </w:rPr>
              <w:t>弃淤区</w:t>
            </w:r>
            <w:r>
              <w:rPr>
                <w:sz w:val="21"/>
              </w:rPr>
              <w:t>30m</w:t>
            </w:r>
          </w:p>
        </w:tc>
        <w:tc>
          <w:tcPr>
            <w:tcW w:w="2983" w:type="dxa"/>
            <w:vAlign w:val="center"/>
          </w:tcPr>
          <w:p w14:paraId="3EB148CD" w14:textId="77777777" w:rsidR="009D12AF" w:rsidRDefault="00000000">
            <w:pPr>
              <w:spacing w:line="240" w:lineRule="auto"/>
              <w:jc w:val="center"/>
              <w:rPr>
                <w:sz w:val="21"/>
              </w:rPr>
            </w:pPr>
            <w:r>
              <w:rPr>
                <w:sz w:val="21"/>
              </w:rPr>
              <w:t>轻微</w:t>
            </w:r>
          </w:p>
        </w:tc>
        <w:tc>
          <w:tcPr>
            <w:tcW w:w="2983" w:type="dxa"/>
            <w:vAlign w:val="center"/>
          </w:tcPr>
          <w:p w14:paraId="3242C1DF" w14:textId="77777777" w:rsidR="009D12AF" w:rsidRDefault="00000000">
            <w:pPr>
              <w:spacing w:line="240" w:lineRule="auto"/>
              <w:jc w:val="center"/>
              <w:rPr>
                <w:sz w:val="21"/>
              </w:rPr>
            </w:pPr>
            <w:r>
              <w:rPr>
                <w:sz w:val="21"/>
              </w:rPr>
              <w:t>2</w:t>
            </w:r>
            <w:r>
              <w:rPr>
                <w:sz w:val="21"/>
              </w:rPr>
              <w:t>级</w:t>
            </w:r>
          </w:p>
        </w:tc>
      </w:tr>
      <w:tr w:rsidR="009D12AF" w14:paraId="1D247D7E" w14:textId="77777777">
        <w:trPr>
          <w:trHeight w:val="397"/>
          <w:jc w:val="center"/>
        </w:trPr>
        <w:tc>
          <w:tcPr>
            <w:tcW w:w="2983" w:type="dxa"/>
            <w:vAlign w:val="center"/>
          </w:tcPr>
          <w:p w14:paraId="1573CB75" w14:textId="77777777" w:rsidR="009D12AF" w:rsidRDefault="00000000">
            <w:pPr>
              <w:spacing w:line="240" w:lineRule="auto"/>
              <w:jc w:val="center"/>
              <w:rPr>
                <w:sz w:val="21"/>
              </w:rPr>
            </w:pPr>
            <w:r>
              <w:rPr>
                <w:sz w:val="21"/>
              </w:rPr>
              <w:t>弃淤区</w:t>
            </w:r>
            <w:r>
              <w:rPr>
                <w:sz w:val="21"/>
              </w:rPr>
              <w:t>80m</w:t>
            </w:r>
          </w:p>
        </w:tc>
        <w:tc>
          <w:tcPr>
            <w:tcW w:w="2983" w:type="dxa"/>
            <w:vAlign w:val="center"/>
          </w:tcPr>
          <w:p w14:paraId="165111E9" w14:textId="77777777" w:rsidR="009D12AF" w:rsidRDefault="00000000">
            <w:pPr>
              <w:spacing w:line="240" w:lineRule="auto"/>
              <w:jc w:val="center"/>
              <w:rPr>
                <w:sz w:val="21"/>
              </w:rPr>
            </w:pPr>
            <w:r>
              <w:rPr>
                <w:sz w:val="21"/>
              </w:rPr>
              <w:t>极微</w:t>
            </w:r>
          </w:p>
        </w:tc>
        <w:tc>
          <w:tcPr>
            <w:tcW w:w="2983" w:type="dxa"/>
            <w:vAlign w:val="center"/>
          </w:tcPr>
          <w:p w14:paraId="3F28D948" w14:textId="77777777" w:rsidR="009D12AF" w:rsidRDefault="00000000">
            <w:pPr>
              <w:spacing w:line="240" w:lineRule="auto"/>
              <w:jc w:val="center"/>
              <w:rPr>
                <w:sz w:val="21"/>
              </w:rPr>
            </w:pPr>
            <w:r>
              <w:rPr>
                <w:sz w:val="21"/>
              </w:rPr>
              <w:t>1</w:t>
            </w:r>
            <w:r>
              <w:rPr>
                <w:sz w:val="21"/>
              </w:rPr>
              <w:t>级</w:t>
            </w:r>
          </w:p>
        </w:tc>
      </w:tr>
      <w:tr w:rsidR="009D12AF" w14:paraId="2CDC2A06" w14:textId="77777777">
        <w:trPr>
          <w:trHeight w:val="397"/>
          <w:jc w:val="center"/>
        </w:trPr>
        <w:tc>
          <w:tcPr>
            <w:tcW w:w="2983" w:type="dxa"/>
            <w:vAlign w:val="center"/>
          </w:tcPr>
          <w:p w14:paraId="1BEF188D" w14:textId="77777777" w:rsidR="009D12AF" w:rsidRDefault="00000000">
            <w:pPr>
              <w:spacing w:line="240" w:lineRule="auto"/>
              <w:jc w:val="center"/>
              <w:rPr>
                <w:sz w:val="21"/>
              </w:rPr>
            </w:pPr>
            <w:r>
              <w:rPr>
                <w:sz w:val="21"/>
              </w:rPr>
              <w:t>100m</w:t>
            </w:r>
            <w:r>
              <w:rPr>
                <w:sz w:val="21"/>
              </w:rPr>
              <w:t>外</w:t>
            </w:r>
          </w:p>
        </w:tc>
        <w:tc>
          <w:tcPr>
            <w:tcW w:w="2983" w:type="dxa"/>
            <w:vAlign w:val="center"/>
          </w:tcPr>
          <w:p w14:paraId="3E8DA187" w14:textId="77777777" w:rsidR="009D12AF" w:rsidRDefault="00000000">
            <w:pPr>
              <w:spacing w:line="240" w:lineRule="auto"/>
              <w:jc w:val="center"/>
              <w:rPr>
                <w:sz w:val="21"/>
              </w:rPr>
            </w:pPr>
            <w:r>
              <w:rPr>
                <w:sz w:val="21"/>
              </w:rPr>
              <w:t>无</w:t>
            </w:r>
          </w:p>
        </w:tc>
        <w:tc>
          <w:tcPr>
            <w:tcW w:w="2983" w:type="dxa"/>
            <w:vAlign w:val="center"/>
          </w:tcPr>
          <w:p w14:paraId="5A7A9CBF" w14:textId="77777777" w:rsidR="009D12AF" w:rsidRDefault="00000000">
            <w:pPr>
              <w:spacing w:line="240" w:lineRule="auto"/>
              <w:jc w:val="center"/>
              <w:rPr>
                <w:sz w:val="21"/>
              </w:rPr>
            </w:pPr>
            <w:r>
              <w:rPr>
                <w:sz w:val="21"/>
              </w:rPr>
              <w:t>0</w:t>
            </w:r>
            <w:r>
              <w:rPr>
                <w:sz w:val="21"/>
              </w:rPr>
              <w:t>级</w:t>
            </w:r>
          </w:p>
        </w:tc>
      </w:tr>
    </w:tbl>
    <w:p w14:paraId="1544EB78" w14:textId="77777777" w:rsidR="009D12AF" w:rsidRDefault="00000000">
      <w:pPr>
        <w:ind w:firstLine="480"/>
      </w:pPr>
      <w:r>
        <w:t>由表可知，河道清淤恶臭的影响主要发生于清淤河段</w:t>
      </w:r>
      <w:r>
        <w:rPr>
          <w:rFonts w:hint="eastAsia"/>
        </w:rPr>
        <w:t>临时生产区</w:t>
      </w:r>
      <w:r>
        <w:t>。</w:t>
      </w:r>
    </w:p>
    <w:p w14:paraId="100A126B" w14:textId="77777777" w:rsidR="009D12AF" w:rsidRDefault="00000000">
      <w:pPr>
        <w:ind w:firstLine="480"/>
      </w:pPr>
      <w:r>
        <w:t>根据现状监测可知，海浪河监测水质现状为</w:t>
      </w:r>
      <w:r>
        <w:t>Ⅲ</w:t>
      </w:r>
      <w:r>
        <w:t>类水体，项目所在区域水质现状较好，且本项目清淤选择在枯水期清淤，因此清淤底泥恶臭强度应在</w:t>
      </w:r>
      <w:r>
        <w:t>1</w:t>
      </w:r>
      <w:r>
        <w:t>～</w:t>
      </w:r>
      <w:r>
        <w:t>2</w:t>
      </w:r>
      <w:r>
        <w:t>级</w:t>
      </w:r>
      <w:r>
        <w:lastRenderedPageBreak/>
        <w:t>之间，在</w:t>
      </w:r>
      <w:r>
        <w:rPr>
          <w:rFonts w:hint="eastAsia"/>
          <w:spacing w:val="-1"/>
        </w:rPr>
        <w:t>临时生产区</w:t>
      </w:r>
      <w:r>
        <w:rPr>
          <w:spacing w:val="-1"/>
        </w:rPr>
        <w:t>喷</w:t>
      </w:r>
      <w:r>
        <w:rPr>
          <w:spacing w:val="-3"/>
        </w:rPr>
        <w:t>洒</w:t>
      </w:r>
      <w:r>
        <w:rPr>
          <w:spacing w:val="-1"/>
        </w:rPr>
        <w:t>除臭剂，</w:t>
      </w:r>
      <w:r>
        <w:rPr>
          <w:rFonts w:hint="eastAsia"/>
        </w:rPr>
        <w:t>临时生产区</w:t>
      </w:r>
      <w:r>
        <w:t>30m</w:t>
      </w:r>
      <w:r>
        <w:t>左右可以达到《恶臭污染物排放标准》（</w:t>
      </w:r>
      <w:r>
        <w:t>GB14554-93</w:t>
      </w:r>
      <w:r>
        <w:t>）中二级标准要求，有风时，下风向影响范围会大一些；但由于恶臭气体产生总量较小，且向周围环境散发，</w:t>
      </w:r>
      <w:r>
        <w:rPr>
          <w:rFonts w:hint="eastAsia"/>
        </w:rPr>
        <w:t>临时生产区</w:t>
      </w:r>
      <w:r>
        <w:t>30m</w:t>
      </w:r>
      <w:r>
        <w:t>之外将仅有轻微臭味，恶臭强度约为</w:t>
      </w:r>
      <w:r>
        <w:t>2</w:t>
      </w:r>
      <w:r>
        <w:t>级左右，低于恶臭强度的限值标准（</w:t>
      </w:r>
      <w:r>
        <w:t>2.5~3.5</w:t>
      </w:r>
      <w:r>
        <w:t>级）；</w:t>
      </w:r>
      <w:r>
        <w:t>50m</w:t>
      </w:r>
      <w:r>
        <w:t>之外基本无气味。</w:t>
      </w:r>
    </w:p>
    <w:p w14:paraId="6D7152B5" w14:textId="77777777" w:rsidR="009D12AF" w:rsidRDefault="00000000">
      <w:pPr>
        <w:ind w:firstLine="480"/>
      </w:pPr>
      <w:r>
        <w:rPr>
          <w:rFonts w:ascii="宋体" w:hAnsi="宋体" w:cs="宋体" w:hint="eastAsia"/>
        </w:rPr>
        <w:t>③</w:t>
      </w:r>
      <w:r>
        <w:t>干化后底泥运输储存过程中的恶臭</w:t>
      </w:r>
    </w:p>
    <w:p w14:paraId="2F7EE0AB" w14:textId="77777777" w:rsidR="009D12AF" w:rsidRDefault="00000000">
      <w:pPr>
        <w:ind w:firstLine="480"/>
      </w:pPr>
      <w:r>
        <w:t>清淤工程</w:t>
      </w:r>
      <w:r>
        <w:rPr>
          <w:rFonts w:hint="eastAsia"/>
        </w:rPr>
        <w:t>所产生的底泥</w:t>
      </w:r>
      <w:r>
        <w:t>，</w:t>
      </w:r>
      <w:r>
        <w:rPr>
          <w:rFonts w:hint="eastAsia"/>
        </w:rPr>
        <w:t>运至临时生产区</w:t>
      </w:r>
      <w:r>
        <w:t>经</w:t>
      </w:r>
      <w:r>
        <w:rPr>
          <w:rFonts w:hint="eastAsia"/>
        </w:rPr>
        <w:t>晾晒脱水</w:t>
      </w:r>
      <w:r>
        <w:t>干化后，</w:t>
      </w:r>
      <w:r>
        <w:rPr>
          <w:rFonts w:ascii="宋体" w:eastAsia="宋体" w:hAnsi="宋体" w:cs="宋体" w:hint="eastAsia"/>
          <w:color w:val="000000"/>
          <w:kern w:val="0"/>
          <w:lang w:bidi="ar"/>
        </w:rPr>
        <w:t>脱水后干泥量为</w:t>
      </w:r>
      <w:r>
        <w:rPr>
          <w:rFonts w:ascii="Times New Roman" w:eastAsia="宋体" w:hAnsi="Times New Roman" w:cs="Times New Roman" w:hint="eastAsia"/>
        </w:rPr>
        <w:t>360</w:t>
      </w:r>
      <w:r>
        <w:rPr>
          <w:rFonts w:ascii="Times New Roman" w:eastAsia="宋体" w:hAnsi="Times New Roman" w:cs="Times New Roman"/>
        </w:rPr>
        <w:t>m</w:t>
      </w:r>
      <w:r>
        <w:rPr>
          <w:rFonts w:ascii="Times New Roman" w:eastAsia="宋体" w:hAnsi="Times New Roman" w:cs="Times New Roman"/>
          <w:vertAlign w:val="superscript"/>
        </w:rPr>
        <w:t>3</w:t>
      </w:r>
      <w:r>
        <w:rPr>
          <w:rFonts w:ascii="宋体" w:eastAsia="宋体" w:hAnsi="宋体" w:cs="宋体" w:hint="eastAsia"/>
          <w:color w:val="000000"/>
          <w:kern w:val="0"/>
          <w:lang w:bidi="ar"/>
        </w:rPr>
        <w:t>，委托</w:t>
      </w:r>
      <w:r>
        <w:rPr>
          <w:rFonts w:hint="eastAsia"/>
        </w:rPr>
        <w:t>牡丹江金达农化有限公司对其清淤底泥进行加工制作生物肥，由企业售卖</w:t>
      </w:r>
      <w:r>
        <w:t>。在运输过程中，底泥已经干化为泥土，含水率约</w:t>
      </w:r>
      <w:r>
        <w:rPr>
          <w:rFonts w:hint="eastAsia"/>
        </w:rPr>
        <w:t>60</w:t>
      </w:r>
      <w:r>
        <w:t>%</w:t>
      </w:r>
      <w:r>
        <w:t>，不会发生淤泥渗漏等现象，也基本不散发恶臭物质。</w:t>
      </w:r>
    </w:p>
    <w:p w14:paraId="317DBDCA" w14:textId="77777777" w:rsidR="009D12AF" w:rsidRDefault="00000000">
      <w:pPr>
        <w:ind w:firstLine="480"/>
      </w:pPr>
      <w:r>
        <w:rPr>
          <w:rFonts w:hint="eastAsia"/>
        </w:rPr>
        <w:t>清淤</w:t>
      </w:r>
      <w:r>
        <w:t>过程中产生的恶臭对周边敏感点的影响有限。随着项目施工结束，恶臭气味将会消失。</w:t>
      </w:r>
    </w:p>
    <w:p w14:paraId="3FE6B4AA" w14:textId="77777777" w:rsidR="009D12AF" w:rsidRDefault="00000000">
      <w:pPr>
        <w:pStyle w:val="4"/>
        <w:ind w:firstLineChars="0" w:firstLine="0"/>
      </w:pPr>
      <w:r>
        <w:rPr>
          <w:rFonts w:hint="eastAsia"/>
        </w:rPr>
        <w:t>3.3.2.3</w:t>
      </w:r>
      <w:r>
        <w:rPr>
          <w:rFonts w:hint="eastAsia"/>
        </w:rPr>
        <w:t>噪声</w:t>
      </w:r>
    </w:p>
    <w:p w14:paraId="10ADC623" w14:textId="77777777" w:rsidR="009D12AF" w:rsidRDefault="00000000">
      <w:pPr>
        <w:ind w:firstLine="480"/>
      </w:pPr>
      <w:r>
        <w:rPr>
          <w:rFonts w:hint="eastAsia"/>
        </w:rPr>
        <w:t>（</w:t>
      </w:r>
      <w:r>
        <w:rPr>
          <w:rFonts w:hint="eastAsia"/>
        </w:rPr>
        <w:t>1</w:t>
      </w:r>
      <w:r>
        <w:rPr>
          <w:rFonts w:hint="eastAsia"/>
        </w:rPr>
        <w:t>）施工场地噪声</w:t>
      </w:r>
    </w:p>
    <w:p w14:paraId="7596E129"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color w:val="000000"/>
          <w:kern w:val="0"/>
          <w:lang w:bidi="ar"/>
        </w:rPr>
        <w:t>施工期的噪声主要来源为施工现场噪声和交通噪声。项目噪声可能对周边居民点的声环境产生一定的影响。噪声影响均会随着施工过程的结束而降低或消失。根据工程施工特点，并结合周边敏感点分布，通过采用低噪声机械、禁止夜间施工、设置临时降噪声屏障、加强管理等措施后，施工期噪声可得到有效控制，其影响距离也将进一步缩小，施工场界噪声能够满足《建筑施工场界环境噪声排放标准》</w:t>
      </w:r>
      <w:r>
        <w:rPr>
          <w:rFonts w:ascii="Times New Roman" w:eastAsia="宋体" w:hAnsi="Times New Roman" w:cs="Times New Roman"/>
        </w:rPr>
        <w:t>(GB12523-20</w:t>
      </w:r>
      <w:r>
        <w:rPr>
          <w:rFonts w:ascii="Times New Roman" w:eastAsia="宋体" w:hAnsi="Times New Roman" w:cs="Times New Roman" w:hint="eastAsia"/>
        </w:rPr>
        <w:t>25</w:t>
      </w:r>
      <w:r>
        <w:rPr>
          <w:rFonts w:ascii="Times New Roman" w:eastAsia="宋体" w:hAnsi="Times New Roman" w:cs="Times New Roman"/>
        </w:rPr>
        <w:t>)</w:t>
      </w:r>
      <w:r>
        <w:rPr>
          <w:rFonts w:ascii="宋体" w:eastAsia="宋体" w:hAnsi="宋体" w:cs="宋体"/>
          <w:color w:val="000000"/>
          <w:kern w:val="0"/>
          <w:lang w:bidi="ar"/>
        </w:rPr>
        <w:t>要求。</w:t>
      </w:r>
    </w:p>
    <w:p w14:paraId="3848E7CB" w14:textId="77777777" w:rsidR="009D12AF" w:rsidRDefault="00000000">
      <w:pPr>
        <w:ind w:firstLine="482"/>
        <w:jc w:val="center"/>
      </w:pPr>
      <w:r>
        <w:rPr>
          <w:rFonts w:hint="eastAsia"/>
          <w:b/>
          <w:bCs/>
        </w:rPr>
        <w:t>表</w:t>
      </w:r>
      <w:r>
        <w:rPr>
          <w:rFonts w:ascii="Times New Roman" w:eastAsia="宋体" w:hAnsi="Times New Roman" w:cs="Times New Roman" w:hint="eastAsia"/>
          <w:b/>
          <w:bCs/>
        </w:rPr>
        <w:t>3.3-5</w:t>
      </w:r>
      <w:r>
        <w:rPr>
          <w:rFonts w:hint="eastAsia"/>
          <w:b/>
          <w:bCs/>
        </w:rPr>
        <w:t>工程机械噪声源强统计</w:t>
      </w:r>
      <w:r>
        <w:rPr>
          <w:rFonts w:hint="eastAsia"/>
        </w:rPr>
        <w:t>表</w:t>
      </w:r>
    </w:p>
    <w:tbl>
      <w:tblPr>
        <w:tblStyle w:val="ae"/>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703"/>
        <w:gridCol w:w="1703"/>
        <w:gridCol w:w="1704"/>
        <w:gridCol w:w="1091"/>
        <w:gridCol w:w="2317"/>
      </w:tblGrid>
      <w:tr w:rsidR="009D12AF" w14:paraId="1831BB56" w14:textId="77777777">
        <w:tc>
          <w:tcPr>
            <w:tcW w:w="1703" w:type="dxa"/>
            <w:tcBorders>
              <w:tl2br w:val="nil"/>
              <w:tr2bl w:val="nil"/>
            </w:tcBorders>
          </w:tcPr>
          <w:p w14:paraId="5FF12100" w14:textId="77777777" w:rsidR="009D12AF" w:rsidRDefault="00000000">
            <w:pPr>
              <w:ind w:firstLineChars="0" w:firstLine="0"/>
              <w:jc w:val="center"/>
            </w:pPr>
            <w:r>
              <w:rPr>
                <w:rFonts w:hint="eastAsia"/>
              </w:rPr>
              <w:t>序号</w:t>
            </w:r>
          </w:p>
        </w:tc>
        <w:tc>
          <w:tcPr>
            <w:tcW w:w="1703" w:type="dxa"/>
            <w:tcBorders>
              <w:tl2br w:val="nil"/>
              <w:tr2bl w:val="nil"/>
            </w:tcBorders>
          </w:tcPr>
          <w:p w14:paraId="408BD710" w14:textId="77777777" w:rsidR="009D12AF" w:rsidRDefault="00000000">
            <w:pPr>
              <w:ind w:firstLineChars="0" w:firstLine="0"/>
              <w:jc w:val="center"/>
            </w:pPr>
            <w:r>
              <w:rPr>
                <w:rFonts w:hint="eastAsia"/>
              </w:rPr>
              <w:t>设备</w:t>
            </w:r>
          </w:p>
        </w:tc>
        <w:tc>
          <w:tcPr>
            <w:tcW w:w="1704" w:type="dxa"/>
            <w:tcBorders>
              <w:tl2br w:val="nil"/>
              <w:tr2bl w:val="nil"/>
            </w:tcBorders>
          </w:tcPr>
          <w:p w14:paraId="4FC66764" w14:textId="77777777" w:rsidR="009D12AF" w:rsidRDefault="00000000">
            <w:pPr>
              <w:ind w:firstLineChars="0" w:firstLine="0"/>
              <w:jc w:val="center"/>
            </w:pPr>
            <w:r>
              <w:rPr>
                <w:rFonts w:hint="eastAsia"/>
              </w:rPr>
              <w:t>测距</w:t>
            </w:r>
            <w:r>
              <w:rPr>
                <w:rFonts w:ascii="Times New Roman" w:eastAsia="宋体" w:hAnsi="Times New Roman" w:cs="Times New Roman" w:hint="eastAsia"/>
              </w:rPr>
              <w:t>（</w:t>
            </w:r>
            <w:r>
              <w:rPr>
                <w:rFonts w:ascii="Times New Roman" w:eastAsia="宋体" w:hAnsi="Times New Roman" w:cs="Times New Roman" w:hint="eastAsia"/>
              </w:rPr>
              <w:t>m</w:t>
            </w:r>
            <w:r>
              <w:rPr>
                <w:rFonts w:ascii="Times New Roman" w:eastAsia="宋体" w:hAnsi="Times New Roman" w:cs="Times New Roman" w:hint="eastAsia"/>
              </w:rPr>
              <w:t>）</w:t>
            </w:r>
          </w:p>
        </w:tc>
        <w:tc>
          <w:tcPr>
            <w:tcW w:w="1091" w:type="dxa"/>
            <w:tcBorders>
              <w:tl2br w:val="nil"/>
              <w:tr2bl w:val="nil"/>
            </w:tcBorders>
          </w:tcPr>
          <w:p w14:paraId="0979345C" w14:textId="77777777" w:rsidR="009D12AF" w:rsidRDefault="00000000">
            <w:pPr>
              <w:ind w:firstLineChars="0" w:firstLine="0"/>
              <w:jc w:val="center"/>
            </w:pPr>
            <w:r>
              <w:rPr>
                <w:rFonts w:hint="eastAsia"/>
              </w:rPr>
              <w:t>数量</w:t>
            </w:r>
          </w:p>
        </w:tc>
        <w:tc>
          <w:tcPr>
            <w:tcW w:w="2317" w:type="dxa"/>
            <w:tcBorders>
              <w:tl2br w:val="nil"/>
              <w:tr2bl w:val="nil"/>
            </w:tcBorders>
          </w:tcPr>
          <w:p w14:paraId="09DA5669" w14:textId="77777777" w:rsidR="009D12AF" w:rsidRDefault="00000000">
            <w:pPr>
              <w:ind w:firstLineChars="0" w:firstLine="0"/>
              <w:jc w:val="center"/>
            </w:pPr>
            <w:r>
              <w:rPr>
                <w:rFonts w:hint="eastAsia"/>
              </w:rPr>
              <w:t>噪声级</w:t>
            </w:r>
            <w:r>
              <w:rPr>
                <w:rFonts w:ascii="Times New Roman" w:eastAsia="宋体" w:hAnsi="Times New Roman" w:cs="Times New Roman" w:hint="eastAsia"/>
              </w:rPr>
              <w:t>（</w:t>
            </w:r>
            <w:r>
              <w:rPr>
                <w:rFonts w:ascii="Times New Roman" w:eastAsia="宋体" w:hAnsi="Times New Roman" w:cs="Times New Roman" w:hint="eastAsia"/>
              </w:rPr>
              <w:t>dB</w:t>
            </w:r>
            <w:r>
              <w:rPr>
                <w:rFonts w:ascii="Times New Roman" w:eastAsia="宋体" w:hAnsi="Times New Roman" w:cs="Times New Roman" w:hint="eastAsia"/>
              </w:rPr>
              <w:t>（</w:t>
            </w:r>
            <w:r>
              <w:rPr>
                <w:rFonts w:ascii="Times New Roman" w:eastAsia="宋体" w:hAnsi="Times New Roman" w:cs="Times New Roman" w:hint="eastAsia"/>
              </w:rPr>
              <w:t>A</w:t>
            </w:r>
            <w:r>
              <w:rPr>
                <w:rFonts w:ascii="Times New Roman" w:eastAsia="宋体" w:hAnsi="Times New Roman" w:cs="Times New Roman" w:hint="eastAsia"/>
              </w:rPr>
              <w:t>））</w:t>
            </w:r>
          </w:p>
        </w:tc>
      </w:tr>
      <w:tr w:rsidR="009D12AF" w14:paraId="3774F2EE" w14:textId="77777777">
        <w:tc>
          <w:tcPr>
            <w:tcW w:w="1703" w:type="dxa"/>
            <w:tcBorders>
              <w:tl2br w:val="nil"/>
              <w:tr2bl w:val="nil"/>
            </w:tcBorders>
            <w:vAlign w:val="center"/>
          </w:tcPr>
          <w:p w14:paraId="46EC86C4"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1</w:t>
            </w:r>
          </w:p>
        </w:tc>
        <w:tc>
          <w:tcPr>
            <w:tcW w:w="1703" w:type="dxa"/>
            <w:tcBorders>
              <w:tl2br w:val="nil"/>
              <w:tr2bl w:val="nil"/>
            </w:tcBorders>
            <w:vAlign w:val="center"/>
          </w:tcPr>
          <w:p w14:paraId="7AFAF3B4"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挖掘机</w:t>
            </w:r>
          </w:p>
        </w:tc>
        <w:tc>
          <w:tcPr>
            <w:tcW w:w="1704" w:type="dxa"/>
            <w:tcBorders>
              <w:tl2br w:val="nil"/>
              <w:tr2bl w:val="nil"/>
            </w:tcBorders>
          </w:tcPr>
          <w:p w14:paraId="08642CD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5</w:t>
            </w:r>
          </w:p>
        </w:tc>
        <w:tc>
          <w:tcPr>
            <w:tcW w:w="1091" w:type="dxa"/>
            <w:tcBorders>
              <w:tl2br w:val="nil"/>
              <w:tr2bl w:val="nil"/>
            </w:tcBorders>
            <w:vAlign w:val="center"/>
          </w:tcPr>
          <w:p w14:paraId="0617FB1D"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1</w:t>
            </w:r>
          </w:p>
        </w:tc>
        <w:tc>
          <w:tcPr>
            <w:tcW w:w="2317" w:type="dxa"/>
            <w:tcBorders>
              <w:tl2br w:val="nil"/>
              <w:tr2bl w:val="nil"/>
            </w:tcBorders>
          </w:tcPr>
          <w:p w14:paraId="610928F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85</w:t>
            </w:r>
          </w:p>
        </w:tc>
      </w:tr>
      <w:tr w:rsidR="009D12AF" w14:paraId="7BA9070D" w14:textId="77777777">
        <w:tc>
          <w:tcPr>
            <w:tcW w:w="1703" w:type="dxa"/>
            <w:tcBorders>
              <w:tl2br w:val="nil"/>
              <w:tr2bl w:val="nil"/>
            </w:tcBorders>
            <w:vAlign w:val="center"/>
          </w:tcPr>
          <w:p w14:paraId="1C986995"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2</w:t>
            </w:r>
          </w:p>
        </w:tc>
        <w:tc>
          <w:tcPr>
            <w:tcW w:w="1703" w:type="dxa"/>
            <w:tcBorders>
              <w:tl2br w:val="nil"/>
              <w:tr2bl w:val="nil"/>
            </w:tcBorders>
            <w:vAlign w:val="center"/>
          </w:tcPr>
          <w:p w14:paraId="1E1739CB"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装载机</w:t>
            </w:r>
          </w:p>
        </w:tc>
        <w:tc>
          <w:tcPr>
            <w:tcW w:w="1704" w:type="dxa"/>
            <w:tcBorders>
              <w:tl2br w:val="nil"/>
              <w:tr2bl w:val="nil"/>
            </w:tcBorders>
          </w:tcPr>
          <w:p w14:paraId="7C10F13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5</w:t>
            </w:r>
          </w:p>
        </w:tc>
        <w:tc>
          <w:tcPr>
            <w:tcW w:w="1091" w:type="dxa"/>
            <w:tcBorders>
              <w:tl2br w:val="nil"/>
              <w:tr2bl w:val="nil"/>
            </w:tcBorders>
            <w:vAlign w:val="center"/>
          </w:tcPr>
          <w:p w14:paraId="3102CE55"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1</w:t>
            </w:r>
          </w:p>
        </w:tc>
        <w:tc>
          <w:tcPr>
            <w:tcW w:w="2317" w:type="dxa"/>
            <w:tcBorders>
              <w:tl2br w:val="nil"/>
              <w:tr2bl w:val="nil"/>
            </w:tcBorders>
          </w:tcPr>
          <w:p w14:paraId="53B25663"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90</w:t>
            </w:r>
          </w:p>
        </w:tc>
      </w:tr>
      <w:tr w:rsidR="009D12AF" w14:paraId="41816CC9" w14:textId="77777777">
        <w:tc>
          <w:tcPr>
            <w:tcW w:w="1703" w:type="dxa"/>
            <w:tcBorders>
              <w:tl2br w:val="nil"/>
              <w:tr2bl w:val="nil"/>
            </w:tcBorders>
            <w:vAlign w:val="center"/>
          </w:tcPr>
          <w:p w14:paraId="1E807DED"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3</w:t>
            </w:r>
          </w:p>
        </w:tc>
        <w:tc>
          <w:tcPr>
            <w:tcW w:w="1703" w:type="dxa"/>
            <w:tcBorders>
              <w:tl2br w:val="nil"/>
              <w:tr2bl w:val="nil"/>
            </w:tcBorders>
            <w:vAlign w:val="center"/>
          </w:tcPr>
          <w:p w14:paraId="426BBED8"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自卸汽车</w:t>
            </w:r>
          </w:p>
        </w:tc>
        <w:tc>
          <w:tcPr>
            <w:tcW w:w="1704" w:type="dxa"/>
            <w:tcBorders>
              <w:tl2br w:val="nil"/>
              <w:tr2bl w:val="nil"/>
            </w:tcBorders>
          </w:tcPr>
          <w:p w14:paraId="3A8544D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5</w:t>
            </w:r>
          </w:p>
        </w:tc>
        <w:tc>
          <w:tcPr>
            <w:tcW w:w="1091" w:type="dxa"/>
            <w:tcBorders>
              <w:tl2br w:val="nil"/>
              <w:tr2bl w:val="nil"/>
            </w:tcBorders>
            <w:vAlign w:val="center"/>
          </w:tcPr>
          <w:p w14:paraId="25AE431F"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4</w:t>
            </w:r>
          </w:p>
        </w:tc>
        <w:tc>
          <w:tcPr>
            <w:tcW w:w="2317" w:type="dxa"/>
            <w:tcBorders>
              <w:tl2br w:val="nil"/>
              <w:tr2bl w:val="nil"/>
            </w:tcBorders>
          </w:tcPr>
          <w:p w14:paraId="2951C864"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90</w:t>
            </w:r>
          </w:p>
        </w:tc>
      </w:tr>
      <w:tr w:rsidR="009D12AF" w14:paraId="0D84269D" w14:textId="77777777">
        <w:tc>
          <w:tcPr>
            <w:tcW w:w="1703" w:type="dxa"/>
            <w:tcBorders>
              <w:tl2br w:val="nil"/>
              <w:tr2bl w:val="nil"/>
            </w:tcBorders>
            <w:vAlign w:val="center"/>
          </w:tcPr>
          <w:p w14:paraId="1D37274D"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4</w:t>
            </w:r>
          </w:p>
        </w:tc>
        <w:tc>
          <w:tcPr>
            <w:tcW w:w="1703" w:type="dxa"/>
            <w:tcBorders>
              <w:tl2br w:val="nil"/>
              <w:tr2bl w:val="nil"/>
            </w:tcBorders>
            <w:vAlign w:val="center"/>
          </w:tcPr>
          <w:p w14:paraId="67EB6500"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洒水车</w:t>
            </w:r>
          </w:p>
        </w:tc>
        <w:tc>
          <w:tcPr>
            <w:tcW w:w="1704" w:type="dxa"/>
            <w:tcBorders>
              <w:tl2br w:val="nil"/>
              <w:tr2bl w:val="nil"/>
            </w:tcBorders>
          </w:tcPr>
          <w:p w14:paraId="4C8E9B66"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5</w:t>
            </w:r>
          </w:p>
        </w:tc>
        <w:tc>
          <w:tcPr>
            <w:tcW w:w="1091" w:type="dxa"/>
            <w:tcBorders>
              <w:tl2br w:val="nil"/>
              <w:tr2bl w:val="nil"/>
            </w:tcBorders>
            <w:vAlign w:val="center"/>
          </w:tcPr>
          <w:p w14:paraId="15EC6F33"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1</w:t>
            </w:r>
          </w:p>
        </w:tc>
        <w:tc>
          <w:tcPr>
            <w:tcW w:w="2317" w:type="dxa"/>
            <w:tcBorders>
              <w:tl2br w:val="nil"/>
              <w:tr2bl w:val="nil"/>
            </w:tcBorders>
          </w:tcPr>
          <w:p w14:paraId="2A72B485"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70</w:t>
            </w:r>
          </w:p>
        </w:tc>
      </w:tr>
      <w:tr w:rsidR="009D12AF" w14:paraId="1E644CB9" w14:textId="77777777">
        <w:tc>
          <w:tcPr>
            <w:tcW w:w="1703" w:type="dxa"/>
            <w:tcBorders>
              <w:tl2br w:val="nil"/>
              <w:tr2bl w:val="nil"/>
            </w:tcBorders>
            <w:vAlign w:val="center"/>
          </w:tcPr>
          <w:p w14:paraId="21CA15C6"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5</w:t>
            </w:r>
          </w:p>
        </w:tc>
        <w:tc>
          <w:tcPr>
            <w:tcW w:w="1703" w:type="dxa"/>
            <w:tcBorders>
              <w:tl2br w:val="nil"/>
              <w:tr2bl w:val="nil"/>
            </w:tcBorders>
            <w:vAlign w:val="center"/>
          </w:tcPr>
          <w:p w14:paraId="60B2245F"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蛙式打夯</w:t>
            </w:r>
          </w:p>
        </w:tc>
        <w:tc>
          <w:tcPr>
            <w:tcW w:w="1704" w:type="dxa"/>
            <w:tcBorders>
              <w:tl2br w:val="nil"/>
              <w:tr2bl w:val="nil"/>
            </w:tcBorders>
          </w:tcPr>
          <w:p w14:paraId="2D2A2961"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5</w:t>
            </w:r>
          </w:p>
        </w:tc>
        <w:tc>
          <w:tcPr>
            <w:tcW w:w="1091" w:type="dxa"/>
            <w:tcBorders>
              <w:tl2br w:val="nil"/>
              <w:tr2bl w:val="nil"/>
            </w:tcBorders>
            <w:vAlign w:val="center"/>
          </w:tcPr>
          <w:p w14:paraId="4582320C"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4</w:t>
            </w:r>
          </w:p>
        </w:tc>
        <w:tc>
          <w:tcPr>
            <w:tcW w:w="2317" w:type="dxa"/>
            <w:tcBorders>
              <w:tl2br w:val="nil"/>
              <w:tr2bl w:val="nil"/>
            </w:tcBorders>
          </w:tcPr>
          <w:p w14:paraId="2EC6DEF6"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85</w:t>
            </w:r>
          </w:p>
        </w:tc>
      </w:tr>
      <w:tr w:rsidR="009D12AF" w14:paraId="120F1072" w14:textId="77777777">
        <w:tc>
          <w:tcPr>
            <w:tcW w:w="1703" w:type="dxa"/>
            <w:tcBorders>
              <w:tl2br w:val="nil"/>
              <w:tr2bl w:val="nil"/>
            </w:tcBorders>
            <w:vAlign w:val="center"/>
          </w:tcPr>
          <w:p w14:paraId="08E02862"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6</w:t>
            </w:r>
          </w:p>
        </w:tc>
        <w:tc>
          <w:tcPr>
            <w:tcW w:w="1703" w:type="dxa"/>
            <w:tcBorders>
              <w:tl2br w:val="nil"/>
              <w:tr2bl w:val="nil"/>
            </w:tcBorders>
            <w:vAlign w:val="center"/>
          </w:tcPr>
          <w:p w14:paraId="1A79DC8B"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发电机</w:t>
            </w:r>
          </w:p>
        </w:tc>
        <w:tc>
          <w:tcPr>
            <w:tcW w:w="1704" w:type="dxa"/>
            <w:tcBorders>
              <w:tl2br w:val="nil"/>
              <w:tr2bl w:val="nil"/>
            </w:tcBorders>
          </w:tcPr>
          <w:p w14:paraId="500E890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5</w:t>
            </w:r>
          </w:p>
        </w:tc>
        <w:tc>
          <w:tcPr>
            <w:tcW w:w="1091" w:type="dxa"/>
            <w:tcBorders>
              <w:tl2br w:val="nil"/>
              <w:tr2bl w:val="nil"/>
            </w:tcBorders>
            <w:vAlign w:val="center"/>
          </w:tcPr>
          <w:p w14:paraId="58ABA4CA"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4</w:t>
            </w:r>
          </w:p>
        </w:tc>
        <w:tc>
          <w:tcPr>
            <w:tcW w:w="2317" w:type="dxa"/>
            <w:tcBorders>
              <w:tl2br w:val="nil"/>
              <w:tr2bl w:val="nil"/>
            </w:tcBorders>
          </w:tcPr>
          <w:p w14:paraId="4BDDABA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85</w:t>
            </w:r>
          </w:p>
        </w:tc>
      </w:tr>
      <w:tr w:rsidR="009D12AF" w14:paraId="1DBF4A5A" w14:textId="77777777">
        <w:tc>
          <w:tcPr>
            <w:tcW w:w="1703" w:type="dxa"/>
            <w:tcBorders>
              <w:tl2br w:val="nil"/>
              <w:tr2bl w:val="nil"/>
            </w:tcBorders>
            <w:vAlign w:val="center"/>
          </w:tcPr>
          <w:p w14:paraId="66F692AB"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7</w:t>
            </w:r>
          </w:p>
        </w:tc>
        <w:tc>
          <w:tcPr>
            <w:tcW w:w="1703" w:type="dxa"/>
            <w:tcBorders>
              <w:tl2br w:val="nil"/>
              <w:tr2bl w:val="nil"/>
            </w:tcBorders>
            <w:vAlign w:val="center"/>
          </w:tcPr>
          <w:p w14:paraId="1C659F3D"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拌合机</w:t>
            </w:r>
          </w:p>
        </w:tc>
        <w:tc>
          <w:tcPr>
            <w:tcW w:w="1704" w:type="dxa"/>
            <w:tcBorders>
              <w:tl2br w:val="nil"/>
              <w:tr2bl w:val="nil"/>
            </w:tcBorders>
          </w:tcPr>
          <w:p w14:paraId="019A96F8"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5</w:t>
            </w:r>
          </w:p>
        </w:tc>
        <w:tc>
          <w:tcPr>
            <w:tcW w:w="1091" w:type="dxa"/>
            <w:tcBorders>
              <w:tl2br w:val="nil"/>
              <w:tr2bl w:val="nil"/>
            </w:tcBorders>
            <w:vAlign w:val="center"/>
          </w:tcPr>
          <w:p w14:paraId="229E573A"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4</w:t>
            </w:r>
          </w:p>
        </w:tc>
        <w:tc>
          <w:tcPr>
            <w:tcW w:w="2317" w:type="dxa"/>
            <w:tcBorders>
              <w:tl2br w:val="nil"/>
              <w:tr2bl w:val="nil"/>
            </w:tcBorders>
          </w:tcPr>
          <w:p w14:paraId="2F850937"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85</w:t>
            </w:r>
          </w:p>
        </w:tc>
      </w:tr>
      <w:tr w:rsidR="009D12AF" w14:paraId="5E32DAC8" w14:textId="77777777">
        <w:tc>
          <w:tcPr>
            <w:tcW w:w="1703" w:type="dxa"/>
            <w:tcBorders>
              <w:tl2br w:val="nil"/>
              <w:tr2bl w:val="nil"/>
            </w:tcBorders>
            <w:vAlign w:val="center"/>
          </w:tcPr>
          <w:p w14:paraId="4E9425D7"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lastRenderedPageBreak/>
              <w:t>8</w:t>
            </w:r>
          </w:p>
        </w:tc>
        <w:tc>
          <w:tcPr>
            <w:tcW w:w="1703" w:type="dxa"/>
            <w:tcBorders>
              <w:tl2br w:val="nil"/>
              <w:tr2bl w:val="nil"/>
            </w:tcBorders>
            <w:vAlign w:val="center"/>
          </w:tcPr>
          <w:p w14:paraId="247C81B6"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平板振捣器</w:t>
            </w:r>
          </w:p>
        </w:tc>
        <w:tc>
          <w:tcPr>
            <w:tcW w:w="1704" w:type="dxa"/>
            <w:tcBorders>
              <w:tl2br w:val="nil"/>
              <w:tr2bl w:val="nil"/>
            </w:tcBorders>
          </w:tcPr>
          <w:p w14:paraId="5788E1C2"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5</w:t>
            </w:r>
          </w:p>
        </w:tc>
        <w:tc>
          <w:tcPr>
            <w:tcW w:w="1091" w:type="dxa"/>
            <w:tcBorders>
              <w:tl2br w:val="nil"/>
              <w:tr2bl w:val="nil"/>
            </w:tcBorders>
            <w:vAlign w:val="center"/>
          </w:tcPr>
          <w:p w14:paraId="3949A39F"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4</w:t>
            </w:r>
          </w:p>
        </w:tc>
        <w:tc>
          <w:tcPr>
            <w:tcW w:w="2317" w:type="dxa"/>
            <w:tcBorders>
              <w:tl2br w:val="nil"/>
              <w:tr2bl w:val="nil"/>
            </w:tcBorders>
          </w:tcPr>
          <w:p w14:paraId="5916E3ED"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80</w:t>
            </w:r>
          </w:p>
        </w:tc>
      </w:tr>
      <w:tr w:rsidR="009D12AF" w14:paraId="695C3383" w14:textId="77777777">
        <w:tc>
          <w:tcPr>
            <w:tcW w:w="1703" w:type="dxa"/>
            <w:tcBorders>
              <w:tl2br w:val="nil"/>
              <w:tr2bl w:val="nil"/>
            </w:tcBorders>
            <w:vAlign w:val="center"/>
          </w:tcPr>
          <w:p w14:paraId="600002C5"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9</w:t>
            </w:r>
          </w:p>
        </w:tc>
        <w:tc>
          <w:tcPr>
            <w:tcW w:w="1703" w:type="dxa"/>
            <w:tcBorders>
              <w:tl2br w:val="nil"/>
              <w:tr2bl w:val="nil"/>
            </w:tcBorders>
            <w:vAlign w:val="center"/>
          </w:tcPr>
          <w:p w14:paraId="7B7730C8"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绞吸式挖泥船</w:t>
            </w:r>
          </w:p>
        </w:tc>
        <w:tc>
          <w:tcPr>
            <w:tcW w:w="1704" w:type="dxa"/>
            <w:tcBorders>
              <w:tl2br w:val="nil"/>
              <w:tr2bl w:val="nil"/>
            </w:tcBorders>
          </w:tcPr>
          <w:p w14:paraId="2697541B"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5</w:t>
            </w:r>
          </w:p>
        </w:tc>
        <w:tc>
          <w:tcPr>
            <w:tcW w:w="1091" w:type="dxa"/>
            <w:tcBorders>
              <w:tl2br w:val="nil"/>
              <w:tr2bl w:val="nil"/>
            </w:tcBorders>
            <w:vAlign w:val="center"/>
          </w:tcPr>
          <w:p w14:paraId="16825592" w14:textId="77777777" w:rsidR="009D12AF" w:rsidRDefault="00000000">
            <w:pPr>
              <w:spacing w:line="240" w:lineRule="auto"/>
              <w:ind w:firstLineChars="0" w:firstLine="0"/>
              <w:jc w:val="center"/>
            </w:pPr>
            <w:r>
              <w:rPr>
                <w:rFonts w:ascii="Times New Roman" w:eastAsia="宋体" w:hAnsi="Times New Roman" w:cs="Times New Roman" w:hint="eastAsia"/>
                <w:snapToGrid w:val="0"/>
                <w:kern w:val="0"/>
                <w:sz w:val="21"/>
                <w:szCs w:val="16"/>
              </w:rPr>
              <w:t>1</w:t>
            </w:r>
          </w:p>
        </w:tc>
        <w:tc>
          <w:tcPr>
            <w:tcW w:w="2317" w:type="dxa"/>
            <w:tcBorders>
              <w:tl2br w:val="nil"/>
              <w:tr2bl w:val="nil"/>
            </w:tcBorders>
          </w:tcPr>
          <w:p w14:paraId="211979A3" w14:textId="77777777" w:rsidR="009D12AF" w:rsidRDefault="00000000">
            <w:pPr>
              <w:spacing w:line="240" w:lineRule="auto"/>
              <w:ind w:firstLineChars="0" w:firstLine="0"/>
              <w:jc w:val="center"/>
              <w:rPr>
                <w:rFonts w:ascii="Times New Roman" w:eastAsia="宋体" w:hAnsi="Times New Roman" w:cs="Times New Roman"/>
                <w:snapToGrid w:val="0"/>
                <w:kern w:val="0"/>
                <w:sz w:val="21"/>
                <w:szCs w:val="16"/>
              </w:rPr>
            </w:pPr>
            <w:r>
              <w:rPr>
                <w:rFonts w:ascii="Times New Roman" w:eastAsia="宋体" w:hAnsi="Times New Roman" w:cs="Times New Roman" w:hint="eastAsia"/>
                <w:snapToGrid w:val="0"/>
                <w:kern w:val="0"/>
                <w:sz w:val="21"/>
                <w:szCs w:val="16"/>
              </w:rPr>
              <w:t>70</w:t>
            </w:r>
          </w:p>
        </w:tc>
      </w:tr>
    </w:tbl>
    <w:p w14:paraId="11310581"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color w:val="000000"/>
          <w:kern w:val="0"/>
          <w:lang w:bidi="ar"/>
        </w:rPr>
        <w:t>施工期间，噪声必须按《建筑施工场界环境噪声排放标准》</w:t>
      </w:r>
      <w:r>
        <w:rPr>
          <w:rFonts w:ascii="Times New Roman" w:eastAsia="宋体" w:hAnsi="Times New Roman" w:cs="Times New Roman"/>
        </w:rPr>
        <w:t>（</w:t>
      </w:r>
      <w:r>
        <w:rPr>
          <w:rFonts w:ascii="Times New Roman" w:eastAsia="宋体" w:hAnsi="Times New Roman" w:cs="Times New Roman"/>
        </w:rPr>
        <w:t>GB12523-20</w:t>
      </w:r>
      <w:r>
        <w:rPr>
          <w:rFonts w:ascii="Times New Roman" w:eastAsia="宋体" w:hAnsi="Times New Roman" w:cs="Times New Roman" w:hint="eastAsia"/>
        </w:rPr>
        <w:t>25</w:t>
      </w:r>
      <w:r>
        <w:rPr>
          <w:rFonts w:ascii="Times New Roman" w:eastAsia="宋体" w:hAnsi="Times New Roman" w:cs="Times New Roman"/>
        </w:rPr>
        <w:t>）</w:t>
      </w:r>
      <w:r>
        <w:rPr>
          <w:rFonts w:ascii="宋体" w:eastAsia="宋体" w:hAnsi="宋体" w:cs="宋体"/>
          <w:color w:val="000000"/>
          <w:kern w:val="0"/>
          <w:lang w:bidi="ar"/>
        </w:rPr>
        <w:t>施工时间和施工噪声限制进行控制。</w:t>
      </w:r>
    </w:p>
    <w:p w14:paraId="20ACE255" w14:textId="77777777" w:rsidR="009D12AF" w:rsidRDefault="00000000">
      <w:pPr>
        <w:ind w:firstLine="480"/>
      </w:pPr>
      <w:r>
        <w:rPr>
          <w:rFonts w:hint="eastAsia"/>
        </w:rPr>
        <w:t>（</w:t>
      </w:r>
      <w:r>
        <w:rPr>
          <w:rFonts w:hint="eastAsia"/>
        </w:rPr>
        <w:t>2</w:t>
      </w:r>
      <w:r>
        <w:rPr>
          <w:rFonts w:hint="eastAsia"/>
        </w:rPr>
        <w:t>）物料运输的交通噪声</w:t>
      </w:r>
    </w:p>
    <w:p w14:paraId="2373A0C3" w14:textId="77777777" w:rsidR="009D12AF" w:rsidRDefault="00000000">
      <w:pPr>
        <w:ind w:firstLine="480"/>
      </w:pPr>
      <w:r>
        <w:t>物料运输的交通噪声主要是施工阶段物料运输车辆引起的噪声，汽车流量最大的施工阶段是淤泥运输及铺装材料运输阶段，噪声级约为</w:t>
      </w:r>
      <w:r>
        <w:t>88dB</w:t>
      </w:r>
      <w:r>
        <w:t>（</w:t>
      </w:r>
      <w:r>
        <w:t>A</w:t>
      </w:r>
      <w:r>
        <w:t>），各阶段的车辆类型及声级见表</w:t>
      </w:r>
      <w:r>
        <w:rPr>
          <w:rFonts w:hint="eastAsia"/>
        </w:rPr>
        <w:t>3.3-6</w:t>
      </w:r>
      <w:r>
        <w:t>。</w:t>
      </w:r>
    </w:p>
    <w:p w14:paraId="25EB1010" w14:textId="77777777" w:rsidR="009D12AF" w:rsidRDefault="00000000">
      <w:pPr>
        <w:ind w:firstLine="482"/>
        <w:jc w:val="center"/>
        <w:rPr>
          <w:b/>
          <w:bCs/>
        </w:rPr>
      </w:pPr>
      <w:r>
        <w:rPr>
          <w:b/>
          <w:bCs/>
        </w:rPr>
        <w:t>表</w:t>
      </w:r>
      <w:r>
        <w:rPr>
          <w:rFonts w:hint="eastAsia"/>
          <w:b/>
          <w:bCs/>
        </w:rPr>
        <w:t>3.3-6</w:t>
      </w:r>
      <w:r>
        <w:rPr>
          <w:b/>
          <w:bCs/>
        </w:rPr>
        <w:t xml:space="preserve">  </w:t>
      </w:r>
      <w:r>
        <w:rPr>
          <w:b/>
          <w:bCs/>
        </w:rPr>
        <w:t>施工期交通运输车辆声级</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129"/>
        <w:gridCol w:w="2128"/>
        <w:gridCol w:w="2131"/>
        <w:gridCol w:w="2131"/>
      </w:tblGrid>
      <w:tr w:rsidR="009D12AF" w14:paraId="290EA90F" w14:textId="77777777">
        <w:trPr>
          <w:trHeight w:val="397"/>
          <w:jc w:val="center"/>
        </w:trPr>
        <w:tc>
          <w:tcPr>
            <w:tcW w:w="1249" w:type="pct"/>
            <w:tcBorders>
              <w:top w:val="single" w:sz="12" w:space="0" w:color="auto"/>
              <w:bottom w:val="single" w:sz="4" w:space="0" w:color="auto"/>
              <w:right w:val="single" w:sz="4" w:space="0" w:color="auto"/>
            </w:tcBorders>
            <w:vAlign w:val="center"/>
          </w:tcPr>
          <w:p w14:paraId="45D40AA2" w14:textId="77777777" w:rsidR="009D12AF" w:rsidRDefault="00000000">
            <w:pPr>
              <w:spacing w:line="240" w:lineRule="auto"/>
              <w:jc w:val="center"/>
              <w:rPr>
                <w:sz w:val="21"/>
              </w:rPr>
            </w:pPr>
            <w:r>
              <w:rPr>
                <w:sz w:val="21"/>
              </w:rPr>
              <w:t>施工阶段</w:t>
            </w:r>
          </w:p>
        </w:tc>
        <w:tc>
          <w:tcPr>
            <w:tcW w:w="1249" w:type="pct"/>
            <w:tcBorders>
              <w:top w:val="single" w:sz="12" w:space="0" w:color="auto"/>
              <w:left w:val="single" w:sz="4" w:space="0" w:color="auto"/>
              <w:bottom w:val="single" w:sz="4" w:space="0" w:color="auto"/>
              <w:right w:val="single" w:sz="4" w:space="0" w:color="auto"/>
            </w:tcBorders>
            <w:vAlign w:val="center"/>
          </w:tcPr>
          <w:p w14:paraId="72A8B400" w14:textId="77777777" w:rsidR="009D12AF" w:rsidRDefault="00000000">
            <w:pPr>
              <w:spacing w:line="240" w:lineRule="auto"/>
              <w:jc w:val="center"/>
              <w:rPr>
                <w:sz w:val="21"/>
              </w:rPr>
            </w:pPr>
            <w:r>
              <w:rPr>
                <w:sz w:val="21"/>
              </w:rPr>
              <w:t>运输内容</w:t>
            </w:r>
          </w:p>
        </w:tc>
        <w:tc>
          <w:tcPr>
            <w:tcW w:w="1250" w:type="pct"/>
            <w:tcBorders>
              <w:top w:val="single" w:sz="12" w:space="0" w:color="auto"/>
              <w:left w:val="single" w:sz="4" w:space="0" w:color="auto"/>
              <w:bottom w:val="single" w:sz="4" w:space="0" w:color="auto"/>
              <w:right w:val="single" w:sz="4" w:space="0" w:color="auto"/>
            </w:tcBorders>
            <w:vAlign w:val="center"/>
          </w:tcPr>
          <w:p w14:paraId="4D0E6B52" w14:textId="77777777" w:rsidR="009D12AF" w:rsidRDefault="00000000">
            <w:pPr>
              <w:spacing w:line="240" w:lineRule="auto"/>
              <w:jc w:val="center"/>
              <w:rPr>
                <w:sz w:val="21"/>
              </w:rPr>
            </w:pPr>
            <w:r>
              <w:rPr>
                <w:sz w:val="21"/>
              </w:rPr>
              <w:t>车辆类型</w:t>
            </w:r>
          </w:p>
        </w:tc>
        <w:tc>
          <w:tcPr>
            <w:tcW w:w="1250" w:type="pct"/>
            <w:tcBorders>
              <w:top w:val="single" w:sz="12" w:space="0" w:color="auto"/>
              <w:left w:val="single" w:sz="4" w:space="0" w:color="auto"/>
              <w:bottom w:val="single" w:sz="4" w:space="0" w:color="auto"/>
            </w:tcBorders>
            <w:vAlign w:val="center"/>
          </w:tcPr>
          <w:p w14:paraId="3D38046D" w14:textId="77777777" w:rsidR="009D12AF" w:rsidRDefault="00000000">
            <w:pPr>
              <w:spacing w:line="240" w:lineRule="auto"/>
              <w:jc w:val="center"/>
              <w:rPr>
                <w:sz w:val="21"/>
              </w:rPr>
            </w:pPr>
            <w:r>
              <w:rPr>
                <w:sz w:val="21"/>
              </w:rPr>
              <w:t>声级</w:t>
            </w:r>
            <w:r>
              <w:rPr>
                <w:sz w:val="21"/>
              </w:rPr>
              <w:t xml:space="preserve"> dB</w:t>
            </w:r>
            <w:r>
              <w:rPr>
                <w:sz w:val="21"/>
              </w:rPr>
              <w:t>（</w:t>
            </w:r>
            <w:r>
              <w:rPr>
                <w:sz w:val="21"/>
              </w:rPr>
              <w:t>A</w:t>
            </w:r>
            <w:r>
              <w:rPr>
                <w:sz w:val="21"/>
              </w:rPr>
              <w:t>）</w:t>
            </w:r>
          </w:p>
        </w:tc>
      </w:tr>
      <w:tr w:rsidR="009D12AF" w14:paraId="5C051DD3" w14:textId="77777777">
        <w:trPr>
          <w:trHeight w:val="397"/>
          <w:jc w:val="center"/>
        </w:trPr>
        <w:tc>
          <w:tcPr>
            <w:tcW w:w="1249" w:type="pct"/>
            <w:tcBorders>
              <w:top w:val="single" w:sz="4" w:space="0" w:color="auto"/>
              <w:bottom w:val="single" w:sz="4" w:space="0" w:color="auto"/>
              <w:right w:val="single" w:sz="4" w:space="0" w:color="auto"/>
            </w:tcBorders>
            <w:vAlign w:val="center"/>
          </w:tcPr>
          <w:p w14:paraId="327867A9" w14:textId="77777777" w:rsidR="009D12AF" w:rsidRDefault="00000000">
            <w:pPr>
              <w:spacing w:line="240" w:lineRule="auto"/>
              <w:jc w:val="center"/>
              <w:rPr>
                <w:sz w:val="21"/>
              </w:rPr>
            </w:pPr>
            <w:r>
              <w:rPr>
                <w:sz w:val="21"/>
              </w:rPr>
              <w:t>土方阶段</w:t>
            </w:r>
          </w:p>
        </w:tc>
        <w:tc>
          <w:tcPr>
            <w:tcW w:w="1249" w:type="pct"/>
            <w:tcBorders>
              <w:top w:val="single" w:sz="4" w:space="0" w:color="auto"/>
              <w:left w:val="single" w:sz="4" w:space="0" w:color="auto"/>
              <w:bottom w:val="single" w:sz="4" w:space="0" w:color="auto"/>
              <w:right w:val="single" w:sz="4" w:space="0" w:color="auto"/>
            </w:tcBorders>
            <w:vAlign w:val="center"/>
          </w:tcPr>
          <w:p w14:paraId="502D959C" w14:textId="77777777" w:rsidR="009D12AF" w:rsidRDefault="00000000">
            <w:pPr>
              <w:spacing w:line="240" w:lineRule="auto"/>
              <w:jc w:val="center"/>
              <w:rPr>
                <w:sz w:val="21"/>
              </w:rPr>
            </w:pPr>
            <w:r>
              <w:rPr>
                <w:sz w:val="21"/>
              </w:rPr>
              <w:t>土方运输</w:t>
            </w:r>
          </w:p>
        </w:tc>
        <w:tc>
          <w:tcPr>
            <w:tcW w:w="1250" w:type="pct"/>
            <w:tcBorders>
              <w:top w:val="single" w:sz="4" w:space="0" w:color="auto"/>
              <w:left w:val="single" w:sz="4" w:space="0" w:color="auto"/>
              <w:bottom w:val="single" w:sz="4" w:space="0" w:color="auto"/>
              <w:right w:val="single" w:sz="4" w:space="0" w:color="auto"/>
            </w:tcBorders>
            <w:vAlign w:val="center"/>
          </w:tcPr>
          <w:p w14:paraId="7FD16BFE" w14:textId="77777777" w:rsidR="009D12AF" w:rsidRDefault="00000000">
            <w:pPr>
              <w:spacing w:line="240" w:lineRule="auto"/>
              <w:jc w:val="center"/>
              <w:rPr>
                <w:sz w:val="21"/>
              </w:rPr>
            </w:pPr>
            <w:r>
              <w:rPr>
                <w:sz w:val="21"/>
              </w:rPr>
              <w:t>大型载重车</w:t>
            </w:r>
          </w:p>
        </w:tc>
        <w:tc>
          <w:tcPr>
            <w:tcW w:w="1250" w:type="pct"/>
            <w:tcBorders>
              <w:top w:val="single" w:sz="4" w:space="0" w:color="auto"/>
              <w:left w:val="single" w:sz="4" w:space="0" w:color="auto"/>
              <w:bottom w:val="single" w:sz="4" w:space="0" w:color="auto"/>
            </w:tcBorders>
            <w:vAlign w:val="center"/>
          </w:tcPr>
          <w:p w14:paraId="2028E5D0" w14:textId="77777777" w:rsidR="009D12AF" w:rsidRDefault="00000000">
            <w:pPr>
              <w:spacing w:line="240" w:lineRule="auto"/>
              <w:jc w:val="center"/>
              <w:rPr>
                <w:sz w:val="21"/>
              </w:rPr>
            </w:pPr>
            <w:r>
              <w:rPr>
                <w:sz w:val="21"/>
              </w:rPr>
              <w:t>88</w:t>
            </w:r>
          </w:p>
        </w:tc>
      </w:tr>
      <w:tr w:rsidR="009D12AF" w14:paraId="401F3D0C" w14:textId="77777777">
        <w:trPr>
          <w:trHeight w:val="397"/>
          <w:jc w:val="center"/>
        </w:trPr>
        <w:tc>
          <w:tcPr>
            <w:tcW w:w="1249" w:type="pct"/>
            <w:tcBorders>
              <w:top w:val="single" w:sz="4" w:space="0" w:color="auto"/>
              <w:bottom w:val="single" w:sz="12" w:space="0" w:color="auto"/>
              <w:right w:val="single" w:sz="4" w:space="0" w:color="auto"/>
            </w:tcBorders>
            <w:vAlign w:val="center"/>
          </w:tcPr>
          <w:p w14:paraId="4B560982" w14:textId="77777777" w:rsidR="009D12AF" w:rsidRDefault="00000000">
            <w:pPr>
              <w:spacing w:line="240" w:lineRule="auto"/>
              <w:jc w:val="center"/>
              <w:rPr>
                <w:sz w:val="21"/>
              </w:rPr>
            </w:pPr>
            <w:r>
              <w:rPr>
                <w:sz w:val="21"/>
              </w:rPr>
              <w:t>其他阶段</w:t>
            </w:r>
          </w:p>
        </w:tc>
        <w:tc>
          <w:tcPr>
            <w:tcW w:w="1249" w:type="pct"/>
            <w:tcBorders>
              <w:top w:val="single" w:sz="4" w:space="0" w:color="auto"/>
              <w:left w:val="single" w:sz="4" w:space="0" w:color="auto"/>
              <w:bottom w:val="single" w:sz="12" w:space="0" w:color="auto"/>
              <w:right w:val="single" w:sz="4" w:space="0" w:color="auto"/>
            </w:tcBorders>
            <w:vAlign w:val="center"/>
          </w:tcPr>
          <w:p w14:paraId="3EB7A29C" w14:textId="77777777" w:rsidR="009D12AF" w:rsidRDefault="00000000">
            <w:pPr>
              <w:spacing w:line="240" w:lineRule="auto"/>
              <w:jc w:val="center"/>
              <w:rPr>
                <w:sz w:val="21"/>
              </w:rPr>
            </w:pPr>
            <w:r>
              <w:rPr>
                <w:sz w:val="21"/>
              </w:rPr>
              <w:t>物料、建筑材料</w:t>
            </w:r>
          </w:p>
        </w:tc>
        <w:tc>
          <w:tcPr>
            <w:tcW w:w="1250" w:type="pct"/>
            <w:tcBorders>
              <w:top w:val="single" w:sz="4" w:space="0" w:color="auto"/>
              <w:left w:val="single" w:sz="4" w:space="0" w:color="auto"/>
              <w:bottom w:val="single" w:sz="12" w:space="0" w:color="auto"/>
              <w:right w:val="single" w:sz="4" w:space="0" w:color="auto"/>
            </w:tcBorders>
            <w:vAlign w:val="center"/>
          </w:tcPr>
          <w:p w14:paraId="25E6011B" w14:textId="77777777" w:rsidR="009D12AF" w:rsidRDefault="00000000">
            <w:pPr>
              <w:spacing w:line="240" w:lineRule="auto"/>
              <w:jc w:val="center"/>
              <w:rPr>
                <w:sz w:val="21"/>
              </w:rPr>
            </w:pPr>
            <w:r>
              <w:rPr>
                <w:sz w:val="21"/>
              </w:rPr>
              <w:t>载重车</w:t>
            </w:r>
          </w:p>
        </w:tc>
        <w:tc>
          <w:tcPr>
            <w:tcW w:w="1250" w:type="pct"/>
            <w:tcBorders>
              <w:top w:val="single" w:sz="4" w:space="0" w:color="auto"/>
              <w:left w:val="single" w:sz="4" w:space="0" w:color="auto"/>
              <w:bottom w:val="single" w:sz="12" w:space="0" w:color="auto"/>
            </w:tcBorders>
            <w:vAlign w:val="center"/>
          </w:tcPr>
          <w:p w14:paraId="03C538C3" w14:textId="77777777" w:rsidR="009D12AF" w:rsidRDefault="00000000">
            <w:pPr>
              <w:spacing w:line="240" w:lineRule="auto"/>
              <w:jc w:val="center"/>
              <w:rPr>
                <w:sz w:val="21"/>
              </w:rPr>
            </w:pPr>
            <w:r>
              <w:rPr>
                <w:sz w:val="21"/>
              </w:rPr>
              <w:t>80</w:t>
            </w:r>
            <w:r>
              <w:rPr>
                <w:sz w:val="21"/>
              </w:rPr>
              <w:t>～</w:t>
            </w:r>
            <w:r>
              <w:rPr>
                <w:sz w:val="21"/>
              </w:rPr>
              <w:t>88</w:t>
            </w:r>
          </w:p>
        </w:tc>
      </w:tr>
    </w:tbl>
    <w:p w14:paraId="0975D5A5" w14:textId="77777777" w:rsidR="009D12AF" w:rsidRDefault="00000000">
      <w:pPr>
        <w:pStyle w:val="4"/>
        <w:ind w:firstLineChars="0" w:firstLine="0"/>
      </w:pPr>
      <w:r>
        <w:rPr>
          <w:rFonts w:hint="eastAsia"/>
        </w:rPr>
        <w:t>3.3.2.4</w:t>
      </w:r>
      <w:r>
        <w:rPr>
          <w:rFonts w:hint="eastAsia"/>
        </w:rPr>
        <w:t>固体废物</w:t>
      </w:r>
    </w:p>
    <w:p w14:paraId="0891DE15"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 xml:space="preserve">施工期间固体废物主要为施工人员生活垃圾、清淤淤泥、场地清理及土方开挖产生的废渣以及隔油浮渣。 </w:t>
      </w:r>
    </w:p>
    <w:p w14:paraId="5F017583" w14:textId="77777777" w:rsidR="009D12AF" w:rsidRDefault="00000000">
      <w:pPr>
        <w:widowControl/>
        <w:ind w:firstLine="480"/>
        <w:jc w:val="left"/>
        <w:rPr>
          <w:rFonts w:ascii="宋体" w:eastAsia="宋体" w:hAnsi="宋体" w:cs="宋体" w:hint="eastAsia"/>
          <w:color w:val="000000"/>
          <w:kern w:val="0"/>
          <w:lang w:bidi="ar"/>
        </w:rPr>
      </w:pPr>
      <w:r>
        <w:rPr>
          <w:rFonts w:ascii="Times New Roman" w:eastAsia="宋体" w:hAnsi="Times New Roman" w:cs="Times New Roman" w:hint="eastAsia"/>
        </w:rPr>
        <w:t>（</w:t>
      </w:r>
      <w:r>
        <w:rPr>
          <w:rFonts w:ascii="Times New Roman" w:eastAsia="宋体" w:hAnsi="Times New Roman" w:cs="Times New Roman"/>
        </w:rPr>
        <w:t>1</w:t>
      </w:r>
      <w:r>
        <w:rPr>
          <w:rFonts w:ascii="Times New Roman" w:eastAsia="宋体" w:hAnsi="Times New Roman" w:cs="Times New Roman" w:hint="eastAsia"/>
        </w:rPr>
        <w:t>）</w:t>
      </w:r>
      <w:r>
        <w:rPr>
          <w:rFonts w:ascii="宋体" w:eastAsia="宋体" w:hAnsi="宋体" w:cs="宋体" w:hint="eastAsia"/>
          <w:color w:val="000000"/>
          <w:kern w:val="0"/>
          <w:lang w:bidi="ar"/>
        </w:rPr>
        <w:t xml:space="preserve">生活垃圾 </w:t>
      </w:r>
    </w:p>
    <w:p w14:paraId="56061108"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 xml:space="preserve">本项目施工人员约为 </w:t>
      </w:r>
      <w:r>
        <w:rPr>
          <w:rFonts w:ascii="Times New Roman" w:eastAsia="宋体" w:hAnsi="Times New Roman" w:cs="Times New Roman" w:hint="eastAsia"/>
        </w:rPr>
        <w:t>10</w:t>
      </w:r>
      <w:r>
        <w:rPr>
          <w:rFonts w:ascii="宋体" w:eastAsia="宋体" w:hAnsi="宋体" w:cs="宋体"/>
          <w:color w:val="000000"/>
          <w:kern w:val="0"/>
          <w:lang w:bidi="ar"/>
        </w:rPr>
        <w:t xml:space="preserve"> </w:t>
      </w:r>
      <w:r>
        <w:rPr>
          <w:rFonts w:ascii="宋体" w:eastAsia="宋体" w:hAnsi="宋体" w:cs="宋体" w:hint="eastAsia"/>
          <w:color w:val="000000"/>
          <w:kern w:val="0"/>
          <w:lang w:bidi="ar"/>
        </w:rPr>
        <w:t xml:space="preserve">人，生活垃圾量按 </w:t>
      </w:r>
      <w:r>
        <w:rPr>
          <w:rFonts w:ascii="Times New Roman" w:eastAsia="宋体" w:hAnsi="Times New Roman" w:cs="Times New Roman"/>
        </w:rPr>
        <w:t>0.5kg/</w:t>
      </w:r>
      <w:r>
        <w:rPr>
          <w:rFonts w:ascii="宋体" w:eastAsia="宋体" w:hAnsi="宋体" w:cs="宋体" w:hint="eastAsia"/>
          <w:color w:val="000000"/>
          <w:kern w:val="0"/>
          <w:lang w:bidi="ar"/>
        </w:rPr>
        <w:t>人</w:t>
      </w:r>
      <w:r>
        <w:rPr>
          <w:rFonts w:ascii="宋体" w:eastAsia="宋体" w:hAnsi="宋体" w:cs="宋体"/>
          <w:color w:val="000000"/>
          <w:kern w:val="0"/>
          <w:lang w:bidi="ar"/>
        </w:rPr>
        <w:t xml:space="preserve">•d </w:t>
      </w:r>
      <w:r>
        <w:rPr>
          <w:rFonts w:ascii="宋体" w:eastAsia="宋体" w:hAnsi="宋体" w:cs="宋体" w:hint="eastAsia"/>
          <w:color w:val="000000"/>
          <w:kern w:val="0"/>
          <w:lang w:bidi="ar"/>
        </w:rPr>
        <w:t>计算，则施工人员生活垃圾产生量为</w:t>
      </w:r>
      <w:r>
        <w:rPr>
          <w:rFonts w:ascii="Times New Roman" w:eastAsia="宋体" w:hAnsi="Times New Roman" w:cs="Times New Roman" w:hint="eastAsia"/>
        </w:rPr>
        <w:t>5</w:t>
      </w:r>
      <w:r>
        <w:rPr>
          <w:rFonts w:ascii="Times New Roman" w:eastAsia="宋体" w:hAnsi="Times New Roman" w:cs="Times New Roman"/>
        </w:rPr>
        <w:t>kg/d</w:t>
      </w:r>
      <w:r>
        <w:rPr>
          <w:rFonts w:ascii="宋体" w:eastAsia="宋体" w:hAnsi="宋体" w:cs="宋体" w:hint="eastAsia"/>
          <w:color w:val="000000"/>
          <w:kern w:val="0"/>
          <w:lang w:bidi="ar"/>
        </w:rPr>
        <w:t>；计划施工期（</w:t>
      </w:r>
      <w:r>
        <w:rPr>
          <w:rFonts w:ascii="Times New Roman" w:eastAsia="宋体" w:hAnsi="Times New Roman" w:cs="Times New Roman" w:hint="eastAsia"/>
        </w:rPr>
        <w:t>63</w:t>
      </w:r>
      <w:r>
        <w:rPr>
          <w:rFonts w:ascii="宋体" w:eastAsia="宋体" w:hAnsi="宋体" w:cs="宋体" w:hint="eastAsia"/>
          <w:color w:val="000000"/>
          <w:kern w:val="0"/>
          <w:lang w:bidi="ar"/>
        </w:rPr>
        <w:t>个月），因此本项目施工人员生活垃圾产生量为</w:t>
      </w:r>
      <w:r>
        <w:rPr>
          <w:rFonts w:ascii="Times New Roman" w:eastAsia="宋体" w:hAnsi="Times New Roman" w:cs="Times New Roman" w:hint="eastAsia"/>
        </w:rPr>
        <w:t>9.45</w:t>
      </w:r>
      <w:r>
        <w:rPr>
          <w:rFonts w:ascii="Times New Roman" w:eastAsia="宋体" w:hAnsi="Times New Roman" w:cs="Times New Roman"/>
        </w:rPr>
        <w:t>t</w:t>
      </w:r>
      <w:r>
        <w:rPr>
          <w:rFonts w:ascii="宋体" w:eastAsia="宋体" w:hAnsi="宋体" w:cs="宋体" w:hint="eastAsia"/>
          <w:color w:val="000000"/>
          <w:kern w:val="0"/>
          <w:lang w:bidi="ar"/>
        </w:rPr>
        <w:t>。</w:t>
      </w:r>
    </w:p>
    <w:p w14:paraId="41C85612" w14:textId="77777777" w:rsidR="009D12AF" w:rsidRDefault="00000000">
      <w:pPr>
        <w:widowControl/>
        <w:ind w:firstLine="480"/>
        <w:jc w:val="left"/>
      </w:pPr>
      <w:r>
        <w:rPr>
          <w:rFonts w:ascii="宋体" w:eastAsia="宋体" w:hAnsi="宋体" w:cs="宋体" w:hint="eastAsia"/>
          <w:color w:val="000000"/>
          <w:kern w:val="0"/>
          <w:lang w:bidi="ar"/>
        </w:rPr>
        <w:t>本项目施工人员生活垃圾由环卫部门清运处理。</w:t>
      </w:r>
    </w:p>
    <w:p w14:paraId="3D9AB52D" w14:textId="77777777" w:rsidR="009D12AF" w:rsidRDefault="00000000">
      <w:pPr>
        <w:widowControl/>
        <w:ind w:firstLineChars="100" w:firstLine="240"/>
        <w:jc w:val="left"/>
        <w:rPr>
          <w:rFonts w:ascii="宋体" w:eastAsia="宋体" w:hAnsi="宋体" w:cs="宋体" w:hint="eastAsia"/>
          <w:color w:val="000000"/>
          <w:kern w:val="0"/>
          <w:lang w:bidi="ar"/>
        </w:rPr>
      </w:pPr>
      <w:r>
        <w:rPr>
          <w:rFonts w:ascii="Times New Roman" w:eastAsia="宋体" w:hAnsi="Times New Roman" w:cs="Times New Roman" w:hint="eastAsia"/>
        </w:rPr>
        <w:t>（</w:t>
      </w:r>
      <w:r>
        <w:rPr>
          <w:rFonts w:ascii="Times New Roman" w:eastAsia="宋体" w:hAnsi="Times New Roman" w:cs="Times New Roman" w:hint="eastAsia"/>
        </w:rPr>
        <w:t>2</w:t>
      </w:r>
      <w:r>
        <w:rPr>
          <w:rFonts w:ascii="Times New Roman" w:eastAsia="宋体" w:hAnsi="Times New Roman" w:cs="Times New Roman" w:hint="eastAsia"/>
        </w:rPr>
        <w:t>）</w:t>
      </w:r>
      <w:r>
        <w:rPr>
          <w:rFonts w:ascii="宋体" w:eastAsia="宋体" w:hAnsi="宋体" w:cs="宋体" w:hint="eastAsia"/>
          <w:color w:val="000000"/>
          <w:kern w:val="0"/>
          <w:lang w:bidi="ar"/>
        </w:rPr>
        <w:t>清淤底泥</w:t>
      </w:r>
    </w:p>
    <w:p w14:paraId="73254182"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本项目清淤底泥产生量约</w:t>
      </w:r>
      <w:r>
        <w:rPr>
          <w:rFonts w:ascii="Times New Roman" w:eastAsia="宋体" w:hAnsi="Times New Roman" w:cs="Times New Roman" w:hint="eastAsia"/>
        </w:rPr>
        <w:t>600</w:t>
      </w:r>
      <w:r>
        <w:rPr>
          <w:rFonts w:ascii="Times New Roman" w:eastAsia="宋体" w:hAnsi="Times New Roman" w:cs="Times New Roman" w:hint="eastAsia"/>
        </w:rPr>
        <w:t>万</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hint="eastAsia"/>
        </w:rPr>
        <w:t>，</w:t>
      </w:r>
      <w:r>
        <w:rPr>
          <w:rFonts w:ascii="宋体" w:eastAsia="宋体" w:hAnsi="宋体" w:cs="宋体" w:hint="eastAsia"/>
          <w:color w:val="000000"/>
          <w:kern w:val="0"/>
          <w:lang w:bidi="ar"/>
        </w:rPr>
        <w:t>本工程清淤底泥在施工区采用压滤脱水方式固化，经固化后的干泥含水率由</w:t>
      </w:r>
      <w:r>
        <w:rPr>
          <w:rFonts w:ascii="Times New Roman" w:eastAsia="宋体" w:hAnsi="Times New Roman" w:cs="Times New Roman" w:hint="eastAsia"/>
        </w:rPr>
        <w:t>9</w:t>
      </w:r>
      <w:r>
        <w:rPr>
          <w:rFonts w:ascii="Times New Roman" w:eastAsia="宋体" w:hAnsi="Times New Roman" w:cs="Times New Roman"/>
        </w:rPr>
        <w:t>5%</w:t>
      </w:r>
      <w:r>
        <w:rPr>
          <w:rFonts w:ascii="宋体" w:eastAsia="宋体" w:hAnsi="宋体" w:cs="宋体" w:hint="eastAsia"/>
          <w:color w:val="000000"/>
          <w:kern w:val="0"/>
          <w:lang w:bidi="ar"/>
        </w:rPr>
        <w:t>降低控制在</w:t>
      </w:r>
      <w:r>
        <w:rPr>
          <w:rFonts w:ascii="Times New Roman" w:eastAsia="宋体" w:hAnsi="Times New Roman" w:cs="Times New Roman" w:hint="eastAsia"/>
        </w:rPr>
        <w:t>60</w:t>
      </w:r>
      <w:r>
        <w:rPr>
          <w:rFonts w:ascii="Times New Roman" w:eastAsia="宋体" w:hAnsi="Times New Roman" w:cs="Times New Roman"/>
        </w:rPr>
        <w:t>%</w:t>
      </w:r>
      <w:r>
        <w:rPr>
          <w:rFonts w:ascii="宋体" w:eastAsia="宋体" w:hAnsi="宋体" w:cs="宋体" w:hint="eastAsia"/>
          <w:color w:val="000000"/>
          <w:kern w:val="0"/>
          <w:lang w:bidi="ar"/>
        </w:rPr>
        <w:t>左右，脱水后干泥量为</w:t>
      </w:r>
      <w:r>
        <w:rPr>
          <w:rFonts w:ascii="Times New Roman" w:eastAsia="宋体" w:hAnsi="Times New Roman" w:cs="Times New Roman" w:hint="eastAsia"/>
        </w:rPr>
        <w:t>360</w:t>
      </w:r>
      <w:r>
        <w:rPr>
          <w:rFonts w:ascii="Times New Roman" w:eastAsia="宋体" w:hAnsi="Times New Roman" w:cs="Times New Roman"/>
        </w:rPr>
        <w:t>m</w:t>
      </w:r>
      <w:r>
        <w:rPr>
          <w:rFonts w:ascii="Times New Roman" w:eastAsia="宋体" w:hAnsi="Times New Roman" w:cs="Times New Roman"/>
          <w:vertAlign w:val="superscript"/>
        </w:rPr>
        <w:t>3</w:t>
      </w:r>
      <w:r>
        <w:rPr>
          <w:rFonts w:ascii="宋体" w:eastAsia="宋体" w:hAnsi="宋体" w:cs="宋体" w:hint="eastAsia"/>
          <w:color w:val="000000"/>
          <w:kern w:val="0"/>
          <w:lang w:bidi="ar"/>
        </w:rPr>
        <w:t>，项目清淤底泥运至临时生产区干化处理后含水率控制在60%左右，委托</w:t>
      </w:r>
      <w:r>
        <w:rPr>
          <w:rFonts w:hint="eastAsia"/>
        </w:rPr>
        <w:t>牡丹江金达农化有限公司对其清淤底泥进行加工制作生物肥，由企业售卖</w:t>
      </w:r>
      <w:r>
        <w:rPr>
          <w:rFonts w:ascii="宋体" w:eastAsia="宋体" w:hAnsi="宋体" w:cs="宋体" w:hint="eastAsia"/>
          <w:color w:val="000000"/>
          <w:kern w:val="0"/>
          <w:lang w:bidi="ar"/>
        </w:rPr>
        <w:t>。</w:t>
      </w:r>
    </w:p>
    <w:p w14:paraId="774F00F9" w14:textId="77777777" w:rsidR="009D12AF" w:rsidRDefault="00000000">
      <w:pPr>
        <w:widowControl/>
        <w:ind w:firstLineChars="100" w:firstLine="240"/>
        <w:jc w:val="left"/>
        <w:rPr>
          <w:rFonts w:ascii="宋体" w:eastAsia="宋体" w:hAnsi="宋体" w:cs="宋体" w:hint="eastAsia"/>
          <w:color w:val="000000"/>
          <w:kern w:val="0"/>
          <w:lang w:bidi="ar"/>
        </w:rPr>
      </w:pPr>
      <w:r>
        <w:rPr>
          <w:rFonts w:ascii="Times New Roman" w:eastAsia="宋体" w:hAnsi="Times New Roman" w:cs="Times New Roman" w:hint="eastAsia"/>
        </w:rPr>
        <w:t>（</w:t>
      </w:r>
      <w:r>
        <w:rPr>
          <w:rFonts w:ascii="Times New Roman" w:eastAsia="宋体" w:hAnsi="Times New Roman" w:cs="Times New Roman" w:hint="eastAsia"/>
        </w:rPr>
        <w:t>3</w:t>
      </w:r>
      <w:r>
        <w:rPr>
          <w:rFonts w:ascii="Times New Roman" w:eastAsia="宋体" w:hAnsi="Times New Roman" w:cs="Times New Roman" w:hint="eastAsia"/>
        </w:rPr>
        <w:t>）</w:t>
      </w:r>
      <w:r>
        <w:rPr>
          <w:rFonts w:ascii="宋体" w:eastAsia="宋体" w:hAnsi="宋体" w:cs="宋体" w:hint="eastAsia"/>
          <w:color w:val="000000"/>
          <w:kern w:val="0"/>
          <w:lang w:bidi="ar"/>
        </w:rPr>
        <w:t>隔油浮渣</w:t>
      </w:r>
    </w:p>
    <w:p w14:paraId="2CE54E43"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本项目车辆机械冲洗废水经隔油沉淀池处理时会产生浮油浮渣，根据同类型项目类比，废水处理浮油约为废水处理量的</w:t>
      </w:r>
      <w:r>
        <w:rPr>
          <w:rFonts w:ascii="Times New Roman" w:eastAsia="宋体" w:hAnsi="Times New Roman" w:cs="Times New Roman"/>
          <w:color w:val="000000"/>
          <w:kern w:val="0"/>
          <w:lang w:bidi="ar"/>
        </w:rPr>
        <w:t>3</w:t>
      </w:r>
      <w:r>
        <w:rPr>
          <w:rFonts w:ascii="Times New Roman" w:eastAsia="宋体" w:hAnsi="Times New Roman" w:cs="Times New Roman" w:hint="eastAsia"/>
          <w:color w:val="000000"/>
          <w:kern w:val="0"/>
          <w:lang w:bidi="ar"/>
        </w:rPr>
        <w:t>%</w:t>
      </w:r>
      <w:r>
        <w:rPr>
          <w:rFonts w:ascii="宋体" w:eastAsia="宋体" w:hAnsi="宋体" w:cs="宋体" w:hint="eastAsia"/>
          <w:color w:val="000000"/>
          <w:kern w:val="0"/>
          <w:lang w:bidi="ar"/>
        </w:rPr>
        <w:t>，则其产生量约</w:t>
      </w:r>
      <w:r>
        <w:rPr>
          <w:rFonts w:ascii="Times New Roman" w:eastAsia="宋体" w:hAnsi="Times New Roman" w:cs="Times New Roman" w:hint="eastAsia"/>
          <w:color w:val="000000"/>
          <w:kern w:val="0"/>
          <w:lang w:bidi="ar"/>
        </w:rPr>
        <w:t>5.856</w:t>
      </w:r>
      <w:r>
        <w:rPr>
          <w:rFonts w:ascii="Times New Roman" w:eastAsia="宋体" w:hAnsi="Times New Roman" w:cs="Times New Roman"/>
          <w:color w:val="000000"/>
          <w:kern w:val="0"/>
          <w:lang w:bidi="ar"/>
        </w:rPr>
        <w:t>t</w:t>
      </w:r>
      <w:r>
        <w:rPr>
          <w:rFonts w:ascii="宋体" w:eastAsia="宋体" w:hAnsi="宋体" w:cs="宋体" w:hint="eastAsia"/>
          <w:color w:val="000000"/>
          <w:kern w:val="0"/>
          <w:lang w:bidi="ar"/>
        </w:rPr>
        <w:t>，废水处</w:t>
      </w:r>
      <w:r>
        <w:rPr>
          <w:rFonts w:ascii="宋体" w:eastAsia="宋体" w:hAnsi="宋体" w:cs="宋体" w:hint="eastAsia"/>
          <w:color w:val="000000"/>
          <w:kern w:val="0"/>
          <w:lang w:bidi="ar"/>
        </w:rPr>
        <w:lastRenderedPageBreak/>
        <w:t>理浮油为危险废物，废物类别为</w:t>
      </w:r>
      <w:r>
        <w:rPr>
          <w:rFonts w:ascii="Times New Roman" w:eastAsia="宋体" w:hAnsi="Times New Roman" w:cs="Times New Roman"/>
          <w:color w:val="000000"/>
          <w:kern w:val="0"/>
          <w:lang w:bidi="ar"/>
        </w:rPr>
        <w:t>HW08</w:t>
      </w:r>
      <w:r>
        <w:rPr>
          <w:rFonts w:ascii="宋体" w:eastAsia="宋体" w:hAnsi="宋体" w:cs="宋体" w:hint="eastAsia"/>
          <w:color w:val="000000"/>
          <w:kern w:val="0"/>
          <w:lang w:bidi="ar"/>
        </w:rPr>
        <w:t>废矿物油与含矿物油废物，废物代码为</w:t>
      </w:r>
      <w:r>
        <w:rPr>
          <w:rFonts w:ascii="Times New Roman" w:eastAsia="宋体" w:hAnsi="Times New Roman" w:cs="Times New Roman"/>
          <w:color w:val="000000"/>
          <w:kern w:val="0"/>
          <w:lang w:bidi="ar"/>
        </w:rPr>
        <w:t>900-210-08</w:t>
      </w:r>
      <w:r>
        <w:rPr>
          <w:rFonts w:ascii="宋体" w:eastAsia="宋体" w:hAnsi="宋体" w:cs="宋体" w:hint="eastAsia"/>
          <w:color w:val="000000"/>
          <w:kern w:val="0"/>
          <w:lang w:bidi="ar"/>
        </w:rPr>
        <w:t>，危险特性为</w:t>
      </w:r>
      <w:r>
        <w:rPr>
          <w:rFonts w:ascii="Times New Roman" w:eastAsia="宋体" w:hAnsi="Times New Roman" w:cs="Times New Roman"/>
          <w:color w:val="000000"/>
          <w:kern w:val="0"/>
          <w:lang w:bidi="ar"/>
        </w:rPr>
        <w:t>T</w:t>
      </w:r>
      <w:r>
        <w:rPr>
          <w:rFonts w:ascii="宋体" w:eastAsia="宋体" w:hAnsi="宋体" w:cs="宋体" w:hint="eastAsia"/>
          <w:color w:val="000000"/>
          <w:kern w:val="0"/>
          <w:lang w:bidi="ar"/>
        </w:rPr>
        <w:t>，</w:t>
      </w:r>
      <w:r>
        <w:rPr>
          <w:rFonts w:ascii="Times New Roman" w:eastAsia="宋体" w:hAnsi="Times New Roman" w:cs="Times New Roman"/>
          <w:color w:val="000000"/>
          <w:kern w:val="0"/>
          <w:lang w:bidi="ar"/>
        </w:rPr>
        <w:t>I</w:t>
      </w:r>
      <w:r>
        <w:rPr>
          <w:rFonts w:ascii="宋体" w:eastAsia="宋体" w:hAnsi="宋体" w:cs="宋体" w:hint="eastAsia"/>
          <w:color w:val="000000"/>
          <w:kern w:val="0"/>
          <w:lang w:bidi="ar"/>
        </w:rPr>
        <w:t>，废水处理浮油交由有资质的单位处理。</w:t>
      </w:r>
    </w:p>
    <w:p w14:paraId="73F83947" w14:textId="77777777" w:rsidR="009D12AF" w:rsidRDefault="00000000">
      <w:pPr>
        <w:numPr>
          <w:ilvl w:val="0"/>
          <w:numId w:val="2"/>
        </w:numPr>
        <w:ind w:firstLine="480"/>
        <w:rPr>
          <w:rFonts w:ascii="宋体" w:eastAsia="宋体" w:hAnsi="宋体" w:cs="宋体" w:hint="eastAsia"/>
          <w:color w:val="000000"/>
          <w:kern w:val="0"/>
          <w:lang w:bidi="ar"/>
        </w:rPr>
      </w:pPr>
      <w:r>
        <w:rPr>
          <w:rFonts w:ascii="宋体" w:eastAsia="宋体" w:hAnsi="宋体" w:cs="宋体" w:hint="eastAsia"/>
          <w:color w:val="000000"/>
          <w:kern w:val="0"/>
          <w:lang w:bidi="ar"/>
        </w:rPr>
        <w:t>场地清理及土方开挖产生的废渣</w:t>
      </w:r>
    </w:p>
    <w:p w14:paraId="14BA49F0" w14:textId="77777777" w:rsidR="009D12AF" w:rsidRDefault="00000000">
      <w:pPr>
        <w:ind w:firstLine="480"/>
      </w:pPr>
      <w:r>
        <w:rPr>
          <w:rFonts w:hint="eastAsia"/>
        </w:rPr>
        <w:t>区内分布的表土均为可剥离表土，</w:t>
      </w:r>
      <w:r>
        <w:rPr>
          <w:rFonts w:ascii="瀹嬩綋" w:eastAsia="瀹嬩綋" w:hAnsi="瀹嬩綋" w:cs="瀹嬩綋" w:hint="eastAsia"/>
          <w:color w:val="000000"/>
          <w:kern w:val="0"/>
          <w:lang w:bidi="ar"/>
        </w:rPr>
        <w:t>临时生产区表土剥离及挖方量为</w:t>
      </w:r>
      <w:r>
        <w:rPr>
          <w:rFonts w:ascii="Times New Roman" w:eastAsia="宋体" w:hAnsi="Times New Roman" w:cs="Times New Roman" w:hint="eastAsia"/>
          <w:color w:val="000000"/>
          <w:kern w:val="0"/>
          <w:lang w:bidi="ar"/>
        </w:rPr>
        <w:t>139345.11m</w:t>
      </w:r>
      <w:r>
        <w:rPr>
          <w:rFonts w:ascii="Times New Roman" w:eastAsia="宋体" w:hAnsi="Times New Roman" w:cs="Times New Roman" w:hint="eastAsia"/>
          <w:color w:val="000000"/>
          <w:kern w:val="0"/>
          <w:vertAlign w:val="superscript"/>
          <w:lang w:bidi="ar"/>
        </w:rPr>
        <w:t>3</w:t>
      </w:r>
      <w:r>
        <w:rPr>
          <w:rFonts w:hint="eastAsia"/>
        </w:rPr>
        <w:t>。待施工结束后，进行全面整地、表土回覆、土地复垦及植被恢复</w:t>
      </w:r>
    </w:p>
    <w:p w14:paraId="49B33A74" w14:textId="77777777" w:rsidR="009D12AF" w:rsidRDefault="00000000">
      <w:pPr>
        <w:pStyle w:val="4"/>
        <w:ind w:firstLineChars="0" w:firstLine="0"/>
      </w:pPr>
      <w:r>
        <w:rPr>
          <w:rFonts w:hint="eastAsia"/>
        </w:rPr>
        <w:t>3.3.2.5</w:t>
      </w:r>
      <w:r>
        <w:rPr>
          <w:rFonts w:hint="eastAsia"/>
        </w:rPr>
        <w:t>生态影响分析</w:t>
      </w:r>
    </w:p>
    <w:p w14:paraId="7BD64BCE" w14:textId="77777777" w:rsidR="009D12AF" w:rsidRDefault="00000000">
      <w:pPr>
        <w:numPr>
          <w:ilvl w:val="0"/>
          <w:numId w:val="3"/>
        </w:numPr>
        <w:ind w:firstLine="480"/>
      </w:pPr>
      <w:r>
        <w:rPr>
          <w:rFonts w:hint="eastAsia"/>
        </w:rPr>
        <w:t>工程占地影响</w:t>
      </w:r>
    </w:p>
    <w:p w14:paraId="67270B9B" w14:textId="77777777" w:rsidR="009D12AF" w:rsidRDefault="00000000">
      <w:pPr>
        <w:widowControl/>
        <w:wordWrap w:val="0"/>
        <w:ind w:firstLine="480"/>
        <w:jc w:val="left"/>
      </w:pPr>
      <w:r>
        <w:rPr>
          <w:rFonts w:ascii="宋体" w:eastAsia="宋体" w:hAnsi="宋体" w:cs="宋体" w:hint="eastAsia"/>
          <w:color w:val="000000"/>
          <w:kern w:val="0"/>
          <w:lang w:bidi="ar"/>
        </w:rPr>
        <w:t>本工程不涉及永久占地。</w:t>
      </w:r>
      <w:r>
        <w:rPr>
          <w:rFonts w:ascii="Times New Roman" w:eastAsia="宋体" w:hAnsi="Times New Roman" w:cs="Times New Roman" w:hint="eastAsia"/>
        </w:rPr>
        <w:t>向阳水电站前池</w:t>
      </w:r>
      <w:r>
        <w:rPr>
          <w:rFonts w:ascii="Times New Roman" w:eastAsia="宋体" w:hAnsi="Times New Roman" w:cs="Times New Roman"/>
        </w:rPr>
        <w:t>临时</w:t>
      </w:r>
      <w:r>
        <w:rPr>
          <w:rFonts w:ascii="Times New Roman" w:eastAsia="宋体" w:hAnsi="Times New Roman" w:cs="Times New Roman" w:hint="eastAsia"/>
        </w:rPr>
        <w:t>用地</w:t>
      </w:r>
      <w:r>
        <w:rPr>
          <w:rFonts w:ascii="Times New Roman" w:eastAsia="宋体" w:hAnsi="Times New Roman" w:cs="Times New Roman"/>
        </w:rPr>
        <w:t>分为</w:t>
      </w:r>
      <w:r>
        <w:rPr>
          <w:rFonts w:ascii="Times New Roman" w:eastAsia="宋体" w:hAnsi="Times New Roman" w:cs="Times New Roman" w:hint="eastAsia"/>
        </w:rPr>
        <w:t>五</w:t>
      </w:r>
      <w:r>
        <w:rPr>
          <w:rFonts w:ascii="Times New Roman" w:eastAsia="宋体" w:hAnsi="Times New Roman" w:cs="Times New Roman"/>
        </w:rPr>
        <w:t>个地块，分别为</w:t>
      </w:r>
      <w:r>
        <w:rPr>
          <w:rFonts w:ascii="Times New Roman" w:eastAsia="宋体" w:hAnsi="Times New Roman" w:cs="Times New Roman" w:hint="eastAsia"/>
        </w:rPr>
        <w:t>448.84</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271.06</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539.16</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367.63</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3177.6</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，合计临时占地面积</w:t>
      </w:r>
      <w:r>
        <w:rPr>
          <w:rFonts w:ascii="Times New Roman" w:eastAsia="宋体" w:hAnsi="Times New Roman" w:cs="Times New Roman" w:hint="eastAsia"/>
        </w:rPr>
        <w:t>4804.29</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hint="eastAsia"/>
        </w:rPr>
        <w:t>；新安晒水池</w:t>
      </w:r>
      <w:r>
        <w:rPr>
          <w:rFonts w:ascii="Times New Roman" w:eastAsia="宋体" w:hAnsi="Times New Roman" w:cs="Times New Roman"/>
        </w:rPr>
        <w:t>临时</w:t>
      </w:r>
      <w:r>
        <w:rPr>
          <w:rFonts w:ascii="Times New Roman" w:eastAsia="宋体" w:hAnsi="Times New Roman" w:cs="Times New Roman" w:hint="eastAsia"/>
        </w:rPr>
        <w:t>用地</w:t>
      </w:r>
      <w:r>
        <w:rPr>
          <w:rFonts w:ascii="Times New Roman" w:eastAsia="宋体" w:hAnsi="Times New Roman" w:cs="Times New Roman"/>
        </w:rPr>
        <w:t>分为</w:t>
      </w:r>
      <w:r>
        <w:rPr>
          <w:rFonts w:ascii="Times New Roman" w:eastAsia="宋体" w:hAnsi="Times New Roman" w:cs="Times New Roman" w:hint="eastAsia"/>
        </w:rPr>
        <w:t>四</w:t>
      </w:r>
      <w:r>
        <w:rPr>
          <w:rFonts w:ascii="Times New Roman" w:eastAsia="宋体" w:hAnsi="Times New Roman" w:cs="Times New Roman"/>
        </w:rPr>
        <w:t>个地块，分别为</w:t>
      </w:r>
      <w:r>
        <w:rPr>
          <w:rFonts w:ascii="Times New Roman" w:eastAsia="宋体" w:hAnsi="Times New Roman" w:cs="Times New Roman" w:hint="eastAsia"/>
        </w:rPr>
        <w:t>806.69</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2390.22</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1008.19</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4032.76</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，合计临时占地面积</w:t>
      </w:r>
      <w:r>
        <w:rPr>
          <w:rFonts w:ascii="Times New Roman" w:eastAsia="宋体" w:hAnsi="Times New Roman" w:cs="Times New Roman" w:hint="eastAsia"/>
        </w:rPr>
        <w:t>8237.86</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hint="eastAsia"/>
        </w:rPr>
        <w:t>；万丈水库</w:t>
      </w:r>
      <w:r>
        <w:rPr>
          <w:rFonts w:ascii="Times New Roman" w:eastAsia="宋体" w:hAnsi="Times New Roman" w:cs="Times New Roman"/>
        </w:rPr>
        <w:t>临时</w:t>
      </w:r>
      <w:r>
        <w:rPr>
          <w:rFonts w:ascii="Times New Roman" w:eastAsia="宋体" w:hAnsi="Times New Roman" w:cs="Times New Roman" w:hint="eastAsia"/>
        </w:rPr>
        <w:t>用地</w:t>
      </w:r>
      <w:r>
        <w:rPr>
          <w:rFonts w:ascii="Times New Roman" w:eastAsia="宋体" w:hAnsi="Times New Roman" w:cs="Times New Roman"/>
        </w:rPr>
        <w:t>分为</w:t>
      </w:r>
      <w:r>
        <w:rPr>
          <w:rFonts w:ascii="Times New Roman" w:eastAsia="宋体" w:hAnsi="Times New Roman" w:cs="Times New Roman" w:hint="eastAsia"/>
        </w:rPr>
        <w:t>四</w:t>
      </w:r>
      <w:r>
        <w:rPr>
          <w:rFonts w:ascii="Times New Roman" w:eastAsia="宋体" w:hAnsi="Times New Roman" w:cs="Times New Roman"/>
        </w:rPr>
        <w:t>个地块，分别为</w:t>
      </w:r>
      <w:r>
        <w:rPr>
          <w:rFonts w:ascii="Times New Roman" w:eastAsia="宋体" w:hAnsi="Times New Roman" w:cs="Times New Roman" w:hint="eastAsia"/>
        </w:rPr>
        <w:t>95</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1051.47</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247.41</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2592.88</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，合计临时占地面积</w:t>
      </w:r>
      <w:r>
        <w:rPr>
          <w:rFonts w:ascii="Times New Roman" w:eastAsia="宋体" w:hAnsi="Times New Roman" w:cs="Times New Roman" w:hint="eastAsia"/>
        </w:rPr>
        <w:t>3987.26</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hint="eastAsia"/>
        </w:rPr>
        <w:t>；长石水库</w:t>
      </w:r>
      <w:r>
        <w:rPr>
          <w:rFonts w:ascii="Times New Roman" w:eastAsia="宋体" w:hAnsi="Times New Roman" w:cs="Times New Roman"/>
        </w:rPr>
        <w:t>临时</w:t>
      </w:r>
      <w:r>
        <w:rPr>
          <w:rFonts w:ascii="Times New Roman" w:eastAsia="宋体" w:hAnsi="Times New Roman" w:cs="Times New Roman" w:hint="eastAsia"/>
        </w:rPr>
        <w:t>用地</w:t>
      </w:r>
      <w:r>
        <w:rPr>
          <w:rFonts w:ascii="Times New Roman" w:eastAsia="宋体" w:hAnsi="Times New Roman" w:cs="Times New Roman"/>
        </w:rPr>
        <w:t>分为</w:t>
      </w:r>
      <w:r>
        <w:rPr>
          <w:rFonts w:ascii="Times New Roman" w:eastAsia="宋体" w:hAnsi="Times New Roman" w:cs="Times New Roman" w:hint="eastAsia"/>
        </w:rPr>
        <w:t>四</w:t>
      </w:r>
      <w:r>
        <w:rPr>
          <w:rFonts w:ascii="Times New Roman" w:eastAsia="宋体" w:hAnsi="Times New Roman" w:cs="Times New Roman"/>
        </w:rPr>
        <w:t>个地块，分别为</w:t>
      </w:r>
      <w:r>
        <w:rPr>
          <w:rFonts w:ascii="Times New Roman" w:eastAsia="宋体" w:hAnsi="Times New Roman" w:cs="Times New Roman" w:hint="eastAsia"/>
        </w:rPr>
        <w:t>628.48</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9347.49</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2012.08</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5456</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，合计临时占地面积</w:t>
      </w:r>
      <w:r>
        <w:rPr>
          <w:rFonts w:ascii="Times New Roman" w:eastAsia="宋体" w:hAnsi="Times New Roman" w:cs="Times New Roman" w:hint="eastAsia"/>
        </w:rPr>
        <w:t>17444.05</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hint="eastAsia"/>
        </w:rPr>
        <w:t>；群力水库</w:t>
      </w:r>
      <w:r>
        <w:rPr>
          <w:rFonts w:ascii="Times New Roman" w:eastAsia="宋体" w:hAnsi="Times New Roman" w:cs="Times New Roman"/>
        </w:rPr>
        <w:t>临时</w:t>
      </w:r>
      <w:r>
        <w:rPr>
          <w:rFonts w:ascii="Times New Roman" w:eastAsia="宋体" w:hAnsi="Times New Roman" w:cs="Times New Roman" w:hint="eastAsia"/>
        </w:rPr>
        <w:t>用地</w:t>
      </w:r>
      <w:r>
        <w:rPr>
          <w:rFonts w:ascii="Times New Roman" w:eastAsia="宋体" w:hAnsi="Times New Roman" w:cs="Times New Roman"/>
        </w:rPr>
        <w:t>分为</w:t>
      </w:r>
      <w:r>
        <w:rPr>
          <w:rFonts w:ascii="Times New Roman" w:eastAsia="宋体" w:hAnsi="Times New Roman" w:cs="Times New Roman" w:hint="eastAsia"/>
        </w:rPr>
        <w:t>四</w:t>
      </w:r>
      <w:r>
        <w:rPr>
          <w:rFonts w:ascii="Times New Roman" w:eastAsia="宋体" w:hAnsi="Times New Roman" w:cs="Times New Roman"/>
        </w:rPr>
        <w:t>个地块，分别为</w:t>
      </w:r>
      <w:r>
        <w:rPr>
          <w:rFonts w:ascii="Times New Roman" w:eastAsia="宋体" w:hAnsi="Times New Roman" w:cs="Times New Roman" w:hint="eastAsia"/>
        </w:rPr>
        <w:t>313.83</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7147.21</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3195.1</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2017.52</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，合计临时占地面积</w:t>
      </w:r>
      <w:r>
        <w:rPr>
          <w:rFonts w:ascii="Times New Roman" w:eastAsia="宋体" w:hAnsi="Times New Roman" w:cs="Times New Roman" w:hint="eastAsia"/>
        </w:rPr>
        <w:t>12673.6</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hint="eastAsia"/>
        </w:rPr>
        <w:t>，用于建设施工临时区域。</w:t>
      </w:r>
      <w:r>
        <w:t>临时占地对地表植被的影响是暂时的，工程结束后，通过生态恢复措施可以得到减免。</w:t>
      </w:r>
    </w:p>
    <w:p w14:paraId="5FF51731" w14:textId="77777777" w:rsidR="009D12AF" w:rsidRDefault="00000000">
      <w:pPr>
        <w:ind w:firstLine="480"/>
      </w:pPr>
      <w:r>
        <w:rPr>
          <w:rFonts w:hint="eastAsia"/>
        </w:rPr>
        <w:t>（</w:t>
      </w:r>
      <w:r>
        <w:rPr>
          <w:rFonts w:hint="eastAsia"/>
        </w:rPr>
        <w:t>2</w:t>
      </w:r>
      <w:r>
        <w:rPr>
          <w:rFonts w:hint="eastAsia"/>
        </w:rPr>
        <w:t>）对陆生生态的影响</w:t>
      </w:r>
    </w:p>
    <w:p w14:paraId="5887A37E" w14:textId="77777777" w:rsidR="009D12AF" w:rsidRDefault="00000000">
      <w:pPr>
        <w:pStyle w:val="w"/>
        <w:ind w:firstLine="480"/>
        <w:rPr>
          <w:smallCaps w:val="0"/>
        </w:rPr>
      </w:pPr>
      <w:r>
        <w:rPr>
          <w:smallCaps w:val="0"/>
        </w:rPr>
        <w:t>本工程临时占地主要为耕地，耕地施工结束后恢复原地类。</w:t>
      </w:r>
    </w:p>
    <w:p w14:paraId="6697F9CE" w14:textId="77777777" w:rsidR="009D12AF" w:rsidRDefault="00000000">
      <w:pPr>
        <w:ind w:firstLine="480"/>
      </w:pPr>
      <w:r>
        <w:t>工程施工活动将使施工区附近的陆生野生动物的栖息地以及活动范围缩小；施工噪声的干扰将使栖息在施工区附近的陆生野生动物和鸟类产生趋避反应，对野生动物将产生不利影响。根据调查，施工区野生动物多为常见种，施工影响范围在两侧</w:t>
      </w:r>
      <w:r>
        <w:t>200m</w:t>
      </w:r>
      <w:r>
        <w:t>范围内，施工活动对陆生野生动物生存的空间影响范围与程度有限，并且随着施工活动的结束这些影响也将结束，离开施工区的野生动物将陆续返回施工区，这种影响可以接受。</w:t>
      </w:r>
    </w:p>
    <w:p w14:paraId="6F57364A" w14:textId="77777777" w:rsidR="009D12AF" w:rsidRDefault="00000000">
      <w:pPr>
        <w:ind w:firstLine="480"/>
      </w:pPr>
      <w:r>
        <w:rPr>
          <w:rFonts w:hint="eastAsia"/>
        </w:rPr>
        <w:t>（</w:t>
      </w:r>
      <w:r>
        <w:rPr>
          <w:rFonts w:hint="eastAsia"/>
        </w:rPr>
        <w:t>3</w:t>
      </w:r>
      <w:r>
        <w:rPr>
          <w:rFonts w:hint="eastAsia"/>
        </w:rPr>
        <w:t>）对水生生态的影响</w:t>
      </w:r>
    </w:p>
    <w:p w14:paraId="7FCAA8A5" w14:textId="77777777" w:rsidR="009D12AF" w:rsidRDefault="00000000">
      <w:pPr>
        <w:ind w:firstLine="480"/>
        <w:rPr>
          <w:rFonts w:ascii="宋体" w:eastAsia="宋体" w:hAnsi="宋体" w:cs="宋体" w:hint="eastAsia"/>
          <w:color w:val="000000"/>
          <w:kern w:val="0"/>
          <w:lang w:bidi="ar"/>
        </w:rPr>
      </w:pPr>
      <w:r>
        <w:rPr>
          <w:rFonts w:ascii="宋体" w:eastAsia="宋体" w:hAnsi="宋体" w:cs="宋体" w:hint="eastAsia"/>
          <w:color w:val="000000"/>
          <w:kern w:val="0"/>
          <w:lang w:bidi="ar"/>
        </w:rPr>
        <w:t>经现场调查，本次清淤水库不涉及珍稀鱼类自然保护区，本次清淤活动在涉</w:t>
      </w:r>
      <w:r>
        <w:rPr>
          <w:rFonts w:ascii="宋体" w:eastAsia="宋体" w:hAnsi="宋体" w:cs="宋体" w:hint="eastAsia"/>
          <w:color w:val="000000"/>
          <w:kern w:val="0"/>
          <w:lang w:bidi="ar"/>
        </w:rPr>
        <w:lastRenderedPageBreak/>
        <w:t>水水库采用挖泥船清淤、水力冲淤两种方式，对水生生态产生一定损失，施工结束后，水生生态可以慢慢恢复。</w:t>
      </w:r>
    </w:p>
    <w:p w14:paraId="1CB4B436" w14:textId="77777777" w:rsidR="009D12AF" w:rsidRDefault="00000000">
      <w:pPr>
        <w:ind w:firstLine="480"/>
      </w:pPr>
      <w:r>
        <w:rPr>
          <w:rFonts w:hint="eastAsia"/>
        </w:rPr>
        <w:t>（</w:t>
      </w:r>
      <w:r>
        <w:rPr>
          <w:rFonts w:hint="eastAsia"/>
        </w:rPr>
        <w:t>4</w:t>
      </w:r>
      <w:r>
        <w:rPr>
          <w:rFonts w:hint="eastAsia"/>
        </w:rPr>
        <w:t>）对土壤环境的影响</w:t>
      </w:r>
    </w:p>
    <w:p w14:paraId="5B722F3E" w14:textId="77777777" w:rsidR="009D12AF" w:rsidRDefault="00000000">
      <w:pPr>
        <w:ind w:firstLine="480"/>
      </w:pPr>
      <w:r>
        <w:t>本工程临时占地占用耕地，对黑土地表土将产生不利影响。为了保护表土，临时占地前，应对表土进行剥离，整形堆置，并做好水土流失防护措施，严禁表土随意丢弃。通过采取表土保护措施后对黑土地影响不大。</w:t>
      </w:r>
    </w:p>
    <w:p w14:paraId="468B3D22" w14:textId="77777777" w:rsidR="009D12AF" w:rsidRDefault="00000000">
      <w:pPr>
        <w:ind w:leftChars="200" w:left="480" w:firstLineChars="0" w:firstLine="0"/>
      </w:pPr>
      <w:r>
        <w:rPr>
          <w:rFonts w:hint="eastAsia"/>
        </w:rPr>
        <w:t>（</w:t>
      </w:r>
      <w:r>
        <w:rPr>
          <w:rFonts w:hint="eastAsia"/>
        </w:rPr>
        <w:t>5</w:t>
      </w:r>
      <w:r>
        <w:rPr>
          <w:rFonts w:hint="eastAsia"/>
        </w:rPr>
        <w:t>）对水质影响</w:t>
      </w:r>
    </w:p>
    <w:p w14:paraId="66B5127F" w14:textId="77777777" w:rsidR="009D12AF" w:rsidRDefault="00000000">
      <w:pPr>
        <w:widowControl/>
        <w:ind w:firstLine="480"/>
        <w:jc w:val="left"/>
      </w:pPr>
      <w:r>
        <w:rPr>
          <w:rFonts w:ascii="宋体" w:eastAsia="宋体" w:hAnsi="宋体" w:cs="宋体" w:hint="eastAsia"/>
          <w:color w:val="000000"/>
          <w:kern w:val="0"/>
          <w:lang w:bidi="ar"/>
        </w:rPr>
        <w:t>水库清淤施工过程中，由于清淤活动将扰动河床，直接扰动底泥造成底泥中的污染物二次释放进入水库中，对流域水质有轻微影响。</w:t>
      </w:r>
    </w:p>
    <w:p w14:paraId="4B938779" w14:textId="77777777" w:rsidR="009D12AF" w:rsidRDefault="00000000">
      <w:pPr>
        <w:ind w:leftChars="200" w:left="480" w:firstLineChars="0" w:firstLine="0"/>
      </w:pPr>
      <w:r>
        <w:rPr>
          <w:rFonts w:hint="eastAsia"/>
        </w:rPr>
        <w:t>（</w:t>
      </w:r>
      <w:r>
        <w:rPr>
          <w:rFonts w:hint="eastAsia"/>
        </w:rPr>
        <w:t>6</w:t>
      </w:r>
      <w:r>
        <w:rPr>
          <w:rFonts w:hint="eastAsia"/>
        </w:rPr>
        <w:t>）对水文情势的影响</w:t>
      </w:r>
    </w:p>
    <w:p w14:paraId="75C11807"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本次工程项目不改变水位和流速，清淤后有利于流速改善。</w:t>
      </w:r>
    </w:p>
    <w:p w14:paraId="0BC3B40A" w14:textId="77777777" w:rsidR="009D12AF" w:rsidRDefault="00000000">
      <w:pPr>
        <w:ind w:firstLine="480"/>
      </w:pPr>
      <w:r>
        <w:rPr>
          <w:rFonts w:hint="eastAsia"/>
        </w:rPr>
        <w:t>（</w:t>
      </w:r>
      <w:r>
        <w:rPr>
          <w:rFonts w:hint="eastAsia"/>
        </w:rPr>
        <w:t>7</w:t>
      </w:r>
      <w:r>
        <w:rPr>
          <w:rFonts w:hint="eastAsia"/>
        </w:rPr>
        <w:t>）生态敏感区</w:t>
      </w:r>
    </w:p>
    <w:p w14:paraId="6DDEA1E5" w14:textId="77777777" w:rsidR="009D12AF" w:rsidRDefault="00000000">
      <w:pPr>
        <w:ind w:firstLine="480"/>
      </w:pPr>
      <w:r>
        <w:rPr>
          <w:rFonts w:hint="eastAsia"/>
        </w:rPr>
        <w:t>1</w:t>
      </w:r>
      <w:r>
        <w:rPr>
          <w:rFonts w:hint="eastAsia"/>
        </w:rPr>
        <w:t>）海林市二水厂（改扩建）饮用水水源保护区内</w:t>
      </w:r>
    </w:p>
    <w:p w14:paraId="10F5CC39" w14:textId="77777777" w:rsidR="009D12AF" w:rsidRDefault="00000000">
      <w:pPr>
        <w:pStyle w:val="w"/>
        <w:ind w:firstLine="480"/>
        <w:rPr>
          <w:smallCaps w:val="0"/>
        </w:rPr>
      </w:pPr>
      <w:r>
        <w:rPr>
          <w:smallCaps w:val="0"/>
        </w:rPr>
        <w:t>根据工程布置与</w:t>
      </w:r>
      <w:r>
        <w:rPr>
          <w:rFonts w:hint="eastAsia"/>
        </w:rPr>
        <w:t>海林市二水厂（改扩建）饮用水水源保护区</w:t>
      </w:r>
      <w:r>
        <w:rPr>
          <w:smallCaps w:val="0"/>
        </w:rPr>
        <w:t>的位置关系可知，本项目</w:t>
      </w:r>
      <w:r>
        <w:rPr>
          <w:rFonts w:hint="eastAsia"/>
          <w:smallCaps w:val="0"/>
        </w:rPr>
        <w:t>向阳水电站前池清淤</w:t>
      </w:r>
      <w:r>
        <w:rPr>
          <w:smallCaps w:val="0"/>
        </w:rPr>
        <w:t>工程位于饮用水水源保护区二级保护区内</w:t>
      </w:r>
      <w:r>
        <w:rPr>
          <w:rFonts w:hint="eastAsia"/>
          <w:smallCaps w:val="0"/>
        </w:rPr>
        <w:t>。</w:t>
      </w:r>
    </w:p>
    <w:p w14:paraId="40A86E44" w14:textId="77777777" w:rsidR="009D12AF" w:rsidRDefault="00000000">
      <w:pPr>
        <w:ind w:firstLine="480"/>
      </w:pPr>
      <w:r>
        <w:rPr>
          <w:rFonts w:hint="eastAsia"/>
        </w:rPr>
        <w:t>本项目</w:t>
      </w:r>
      <w:r>
        <w:t>在枯水期施工，</w:t>
      </w:r>
      <w:r>
        <w:rPr>
          <w:rFonts w:hint="eastAsia"/>
        </w:rPr>
        <w:t>清淤工程</w:t>
      </w:r>
      <w:r>
        <w:t>对水体的扰动较小，悬浮物短期增加，在采取有效的措施后，工程施工本身不会影响水源地水质。</w:t>
      </w:r>
    </w:p>
    <w:p w14:paraId="189AEC17" w14:textId="77777777" w:rsidR="009D12AF" w:rsidRDefault="00000000">
      <w:pPr>
        <w:ind w:firstLine="480"/>
      </w:pPr>
      <w:r>
        <w:rPr>
          <w:rFonts w:hint="eastAsia"/>
        </w:rPr>
        <w:t>2</w:t>
      </w:r>
      <w:r>
        <w:rPr>
          <w:rFonts w:hint="eastAsia"/>
        </w:rPr>
        <w:t>）黑龙江莲花湖省级自然保护区</w:t>
      </w:r>
    </w:p>
    <w:p w14:paraId="0A5FE97A" w14:textId="77777777" w:rsidR="009D12AF" w:rsidRDefault="00000000">
      <w:pPr>
        <w:ind w:firstLine="480"/>
      </w:pPr>
      <w:r>
        <w:rPr>
          <w:rFonts w:hint="eastAsia"/>
        </w:rPr>
        <w:t>根据本工程与环境敏感区的区位关系可知，本工程群力水库清淤工程占用黑龙江海林莲花湖省级自然保护区，面积约</w:t>
      </w:r>
      <w:r>
        <w:t>1.26hm</w:t>
      </w:r>
      <w:r>
        <w:rPr>
          <w:vertAlign w:val="superscript"/>
        </w:rPr>
        <w:t>2</w:t>
      </w:r>
      <w:r>
        <w:rPr>
          <w:rFonts w:hint="eastAsia"/>
        </w:rPr>
        <w:t>，为居住区、淤泥堆放区、机械设备停放区、施工便道。</w:t>
      </w:r>
    </w:p>
    <w:p w14:paraId="1C8CACDD" w14:textId="77777777" w:rsidR="009D12AF" w:rsidRDefault="00000000">
      <w:pPr>
        <w:pStyle w:val="afd"/>
        <w:spacing w:beforeLines="0" w:before="0"/>
      </w:pPr>
      <w:r>
        <w:rPr>
          <w:rFonts w:hint="eastAsia"/>
        </w:rPr>
        <w:t>①对保护区植物资源的影响</w:t>
      </w:r>
    </w:p>
    <w:p w14:paraId="5BD04EF5" w14:textId="77777777" w:rsidR="009D12AF" w:rsidRDefault="00000000">
      <w:pPr>
        <w:pStyle w:val="afd"/>
        <w:spacing w:beforeLines="0" w:before="0"/>
      </w:pPr>
      <w:r>
        <w:rPr>
          <w:rFonts w:hint="eastAsia"/>
        </w:rPr>
        <w:t>施工前期通过遥感监测与实地踏查，已实现保护植物生境的精准避让，居住区、淤泥堆放区等重点作业区选址避开了</w:t>
      </w:r>
      <w:r>
        <w:rPr>
          <w:rFonts w:hint="eastAsia"/>
        </w:rPr>
        <w:t xml:space="preserve">4 </w:t>
      </w:r>
      <w:r>
        <w:rPr>
          <w:rFonts w:hint="eastAsia"/>
        </w:rPr>
        <w:t>种国家二级保护植物的个体或群落，仅涉及松、椴等常见乔木及芦苇、稗草等广布性草本植被。针对不同功能区的植被影响差异，采取差异化保护措施：淤泥堆放区及机械设备停放区需硬化处理，对表层</w:t>
      </w:r>
      <w:r>
        <w:rPr>
          <w:rFonts w:hint="eastAsia"/>
        </w:rPr>
        <w:t xml:space="preserve"> 0-30cm </w:t>
      </w:r>
      <w:r>
        <w:rPr>
          <w:rFonts w:hint="eastAsia"/>
        </w:rPr>
        <w:t>富含根系的耕作层土壤进行单独剥离、防雨覆膜储存，最大限度保留植物再生基础，施工便道则采用临时钢板铺设，减少对地表植被的碾压破坏，对植被群落的影响局限于临时占地范围内的短期扰动，且可通过生态修复实现功</w:t>
      </w:r>
      <w:r>
        <w:rPr>
          <w:rFonts w:hint="eastAsia"/>
        </w:rPr>
        <w:lastRenderedPageBreak/>
        <w:t>能复原，整体未改变保护区植物资源的多样性与完整性特征。</w:t>
      </w:r>
    </w:p>
    <w:p w14:paraId="61720171" w14:textId="77777777" w:rsidR="009D12AF" w:rsidRDefault="00000000">
      <w:pPr>
        <w:pStyle w:val="afd"/>
        <w:spacing w:beforeLines="0" w:before="0"/>
      </w:pPr>
      <w:r>
        <w:rPr>
          <w:rFonts w:hint="eastAsia"/>
        </w:rPr>
        <w:t>②对保护区野生动物的影响</w:t>
      </w:r>
    </w:p>
    <w:p w14:paraId="6DAE303A" w14:textId="77777777" w:rsidR="009D12AF" w:rsidRDefault="00000000">
      <w:pPr>
        <w:pStyle w:val="afd"/>
        <w:spacing w:beforeLines="0" w:before="0"/>
      </w:pPr>
      <w:r>
        <w:rPr>
          <w:rFonts w:hint="eastAsia"/>
        </w:rPr>
        <w:t>根据现场调查和历史资料分析，评价区可能存在国家重点保护野生动物东方白鹳、中华秋沙鸭、鸳鸯、红隼、极北鲵，项目实施过程中对野生动物的影响主要表现在两个方面：一是土方开挖、机器震动、人员活动等产生的噪声，影响其在施工区域内的觅食、求偶等活动：二是施工人员的捕猎。本项目建设对保护物种栖息地面积影响较小，且保护区内野生动物对环境变化有较好的感知能力，受到干扰后会迁移到附近相似的生境，噪声和废弃物对保护物种的影响会随着施工结束后消失。运行期内不侵占保护区野生动物活动的主要栖息地，各施工机械退出评价区，灰尘、噪音和震动对保护物种的影响大大降低，对保护区内野生动物栖息地影响小。</w:t>
      </w:r>
    </w:p>
    <w:p w14:paraId="4E7D1BA7" w14:textId="77777777" w:rsidR="009D12AF" w:rsidRDefault="00000000">
      <w:pPr>
        <w:pStyle w:val="afd"/>
      </w:pPr>
      <w:r>
        <w:rPr>
          <w:rFonts w:hint="eastAsia"/>
        </w:rPr>
        <w:t>③对生态系统的影响</w:t>
      </w:r>
    </w:p>
    <w:p w14:paraId="309AB5CD" w14:textId="77777777" w:rsidR="009D12AF" w:rsidRDefault="00000000">
      <w:pPr>
        <w:ind w:firstLine="480"/>
      </w:pPr>
      <w:r>
        <w:rPr>
          <w:rFonts w:hint="eastAsia"/>
        </w:rPr>
        <w:t>保护区内主要以湿地生态系统和农田生态系统为主，本项目的施工对地表植被、土壤结构、动物栖息地的影响较小，因此项目建设对保护区内生态系统类型的影响较小。</w:t>
      </w:r>
    </w:p>
    <w:p w14:paraId="3A3D5509" w14:textId="77777777" w:rsidR="009D12AF" w:rsidRDefault="00000000">
      <w:pPr>
        <w:ind w:firstLine="480"/>
      </w:pPr>
      <w:r>
        <w:rPr>
          <w:rFonts w:hint="eastAsia"/>
        </w:rPr>
        <w:t>3</w:t>
      </w:r>
      <w:r>
        <w:rPr>
          <w:rFonts w:hint="eastAsia"/>
        </w:rPr>
        <w:t>）黑龙江省莲花湖地质公园</w:t>
      </w:r>
    </w:p>
    <w:p w14:paraId="5DF412C2" w14:textId="77777777" w:rsidR="009D12AF" w:rsidRDefault="00000000">
      <w:pPr>
        <w:pStyle w:val="afd"/>
        <w:spacing w:beforeLines="0" w:before="0"/>
      </w:pPr>
      <w:r>
        <w:rPr>
          <w:rFonts w:hint="eastAsia"/>
        </w:rPr>
        <w:t>根据本工程与环境敏感区的区位关系可知，本工程群力水库清淤工程占用黑龙江省莲花湖地质公园，面积约</w:t>
      </w:r>
      <w:r>
        <w:t>1.26hm</w:t>
      </w:r>
      <w:r>
        <w:rPr>
          <w:vertAlign w:val="superscript"/>
        </w:rPr>
        <w:t>2</w:t>
      </w:r>
      <w:r>
        <w:rPr>
          <w:rFonts w:hint="eastAsia"/>
        </w:rPr>
        <w:t>，为居住区、淤泥堆放区、机械设备停放区、施工便道。黑龙江省莲花湖地质公园核心保护对象为花岗岩构造侵蚀地貌、湖蚀地貌系统、区域地质演化剖面构成的地质遗迹体系，以及花岗岩山地针阔混交林</w:t>
      </w:r>
      <w:r>
        <w:rPr>
          <w:rFonts w:hint="eastAsia"/>
        </w:rPr>
        <w:t xml:space="preserve"> - </w:t>
      </w:r>
      <w:r>
        <w:rPr>
          <w:rFonts w:hint="eastAsia"/>
        </w:rPr>
        <w:t>湖岸湿地复合生态系统、珍稀野生动植物。项目以环保绞吸式挖泥船开展清淤作业，临时占地远离地质科普展示区与核心保护区边界，未进入地质遗迹核心视域范围，不影响地质景观的完整性与观赏性。</w:t>
      </w:r>
    </w:p>
    <w:p w14:paraId="77808A2B" w14:textId="77777777" w:rsidR="009D12AF" w:rsidRDefault="00000000">
      <w:pPr>
        <w:ind w:firstLine="480"/>
      </w:pPr>
      <w:r>
        <w:rPr>
          <w:rFonts w:hint="eastAsia"/>
        </w:rPr>
        <w:t>施工结束后，临时占地将拆除所有设施，回覆表层土壤并按原生植被结构补植乡土植物，补植区域避开地质遗迹敏感区，不改变花岗岩山地与湖岸的地质形态；清淤后湖水透明度提升，进一步凸显湖蚀崖、金龟岛等地质景观的视觉效果，且底泥内源污染减少有助于保护湖阶地的古环境记录完整性。总体来看，项目对黑龙江省莲花湖地质公园的影响局限于施工期临时占地的轻微扰动，未触及核心地质遗迹与生态系统底线，实现了工程建设与地质遗迹保护的协调发展。</w:t>
      </w:r>
    </w:p>
    <w:p w14:paraId="194190D4" w14:textId="77777777" w:rsidR="009D12AF" w:rsidRDefault="00000000">
      <w:pPr>
        <w:ind w:firstLine="480"/>
      </w:pPr>
      <w:r>
        <w:rPr>
          <w:rFonts w:hint="eastAsia"/>
        </w:rPr>
        <w:lastRenderedPageBreak/>
        <w:t>4</w:t>
      </w:r>
      <w:r>
        <w:rPr>
          <w:rFonts w:hint="eastAsia"/>
        </w:rPr>
        <w:t>）海林莲花湖风景名胜区</w:t>
      </w:r>
    </w:p>
    <w:p w14:paraId="035DDC94"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海林莲花湖风景名胜区核心保护对象为</w:t>
      </w:r>
      <w:r>
        <w:rPr>
          <w:rFonts w:ascii="Times New Roman" w:eastAsia="宋体" w:hAnsi="Times New Roman" w:cs="Times New Roman" w:hint="eastAsia"/>
        </w:rPr>
        <w:t xml:space="preserve"> </w:t>
      </w:r>
      <w:r>
        <w:rPr>
          <w:rFonts w:ascii="Times New Roman" w:eastAsia="宋体" w:hAnsi="Times New Roman" w:cs="Times New Roman" w:hint="eastAsia"/>
        </w:rPr>
        <w:t>“湖光山色、林海雪原、历史遗存”构成的景观资源体系，以及依托该景观的湿地</w:t>
      </w:r>
      <w:r>
        <w:rPr>
          <w:rFonts w:ascii="Times New Roman" w:eastAsia="宋体" w:hAnsi="Times New Roman" w:cs="Times New Roman" w:hint="eastAsia"/>
        </w:rPr>
        <w:t xml:space="preserve"> - </w:t>
      </w:r>
      <w:r>
        <w:rPr>
          <w:rFonts w:ascii="Times New Roman" w:eastAsia="宋体" w:hAnsi="Times New Roman" w:cs="Times New Roman" w:hint="eastAsia"/>
        </w:rPr>
        <w:t>森林复合生态系统、珍稀野生动植物（东方白鹳、中华秋沙鸭等）。项目以环保绞吸式挖泥船开展清淤作业，群力水库临时占地（居住区、淤泥堆放区、机械设备停放区、施工便道共</w:t>
      </w:r>
      <w:r>
        <w:rPr>
          <w:rFonts w:ascii="Times New Roman" w:eastAsia="宋体" w:hAnsi="Times New Roman" w:cs="Times New Roman" w:hint="eastAsia"/>
        </w:rPr>
        <w:t>1.26hm</w:t>
      </w:r>
      <w:r>
        <w:rPr>
          <w:rFonts w:ascii="Times New Roman" w:eastAsia="宋体" w:hAnsi="Times New Roman" w:cs="Times New Roman" w:hint="eastAsia"/>
        </w:rPr>
        <w:t>²均位于群力湖湾西侧隐蔽区域，避开鹰嘴峰、一线天等核心景观节点及</w:t>
      </w:r>
      <w:r>
        <w:rPr>
          <w:rFonts w:ascii="Times New Roman" w:eastAsia="宋体" w:hAnsi="Times New Roman" w:cs="Times New Roman" w:hint="eastAsia"/>
        </w:rPr>
        <w:t xml:space="preserve"> </w:t>
      </w:r>
      <w:r>
        <w:rPr>
          <w:rFonts w:ascii="Times New Roman" w:eastAsia="宋体" w:hAnsi="Times New Roman" w:cs="Times New Roman" w:hint="eastAsia"/>
        </w:rPr>
        <w:t>“百里丹江小三峡”</w:t>
      </w:r>
      <w:r>
        <w:rPr>
          <w:rFonts w:ascii="Times New Roman" w:eastAsia="宋体" w:hAnsi="Times New Roman" w:cs="Times New Roman" w:hint="eastAsia"/>
        </w:rPr>
        <w:t xml:space="preserve"> </w:t>
      </w:r>
      <w:r>
        <w:rPr>
          <w:rFonts w:ascii="Times New Roman" w:eastAsia="宋体" w:hAnsi="Times New Roman" w:cs="Times New Roman" w:hint="eastAsia"/>
        </w:rPr>
        <w:t>核心视域范围。海林莲花湖风景名胜区生态系统以</w:t>
      </w:r>
      <w:r>
        <w:rPr>
          <w:rFonts w:ascii="Times New Roman" w:eastAsia="宋体" w:hAnsi="Times New Roman" w:cs="Times New Roman" w:hint="eastAsia"/>
        </w:rPr>
        <w:t xml:space="preserve"> </w:t>
      </w:r>
      <w:r>
        <w:rPr>
          <w:rFonts w:ascii="Times New Roman" w:eastAsia="宋体" w:hAnsi="Times New Roman" w:cs="Times New Roman" w:hint="eastAsia"/>
        </w:rPr>
        <w:t>“湖泊湿地</w:t>
      </w:r>
      <w:r>
        <w:rPr>
          <w:rFonts w:ascii="Times New Roman" w:eastAsia="宋体" w:hAnsi="Times New Roman" w:cs="Times New Roman" w:hint="eastAsia"/>
        </w:rPr>
        <w:t xml:space="preserve"> - </w:t>
      </w:r>
      <w:r>
        <w:rPr>
          <w:rFonts w:ascii="Times New Roman" w:eastAsia="宋体" w:hAnsi="Times New Roman" w:cs="Times New Roman" w:hint="eastAsia"/>
        </w:rPr>
        <w:t>针阔混交林</w:t>
      </w:r>
      <w:r>
        <w:rPr>
          <w:rFonts w:ascii="Times New Roman" w:eastAsia="宋体" w:hAnsi="Times New Roman" w:cs="Times New Roman" w:hint="eastAsia"/>
        </w:rPr>
        <w:t xml:space="preserve"> - </w:t>
      </w:r>
      <w:r>
        <w:rPr>
          <w:rFonts w:ascii="Times New Roman" w:eastAsia="宋体" w:hAnsi="Times New Roman" w:cs="Times New Roman" w:hint="eastAsia"/>
        </w:rPr>
        <w:t>草甸”</w:t>
      </w:r>
      <w:r>
        <w:rPr>
          <w:rFonts w:ascii="Times New Roman" w:eastAsia="宋体" w:hAnsi="Times New Roman" w:cs="Times New Roman" w:hint="eastAsia"/>
        </w:rPr>
        <w:t xml:space="preserve"> </w:t>
      </w:r>
      <w:r>
        <w:rPr>
          <w:rFonts w:ascii="Times New Roman" w:eastAsia="宋体" w:hAnsi="Times New Roman" w:cs="Times New Roman" w:hint="eastAsia"/>
        </w:rPr>
        <w:t>为核心复合结构，是支撑景区景观价值与生物多样性的基础。本项目清淤作业采用分段施工模式，无大规模地表开挖临时占地仅涉及少量灌草植被区域。清淤穿越河流段采用环保绞吸式作业，不占用自然植物群落面积，也未破坏景区动物群落的栖息生境，减少了地面挖掘和土地扰动，最大限度保护了景区原有地形地貌与植被覆盖。</w:t>
      </w:r>
    </w:p>
    <w:p w14:paraId="42E3B8C9"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5</w:t>
      </w:r>
      <w:r>
        <w:rPr>
          <w:rFonts w:ascii="Times New Roman" w:eastAsia="宋体" w:hAnsi="Times New Roman" w:cs="Times New Roman" w:hint="eastAsia"/>
        </w:rPr>
        <w:t>）威虎山国家森林公园</w:t>
      </w:r>
    </w:p>
    <w:p w14:paraId="3534D881"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威虎山国家森林公园核心保护对象为温带针阔混交林生态系统、珍稀野生动物、特色景观资源等人文景观，兼具水源涵养与生物多样性维护核心功能。本项目群力水库临时占用威虎山国家森林公园占用</w:t>
      </w:r>
      <w:r>
        <w:rPr>
          <w:rFonts w:ascii="Times New Roman" w:eastAsia="宋体" w:hAnsi="Times New Roman" w:cs="Times New Roman" w:hint="eastAsia"/>
        </w:rPr>
        <w:t>0.99 hm</w:t>
      </w:r>
      <w:r>
        <w:rPr>
          <w:rFonts w:ascii="Times New Roman" w:eastAsia="宋体" w:hAnsi="Times New Roman" w:cs="Times New Roman" w:hint="eastAsia"/>
          <w:vertAlign w:val="superscript"/>
        </w:rPr>
        <w:t>2</w:t>
      </w:r>
      <w:r>
        <w:rPr>
          <w:rFonts w:ascii="Times New Roman" w:eastAsia="宋体" w:hAnsi="Times New Roman" w:cs="Times New Roman" w:hint="eastAsia"/>
        </w:rPr>
        <w:t>，项目对森林公园的影响集中于施工期，不占用核心保护用地、不破坏人文景观本体，不改变森林生态系统与景观格局的稳定性，仅施工机械运行产生的噪声、少量扬尘可能对局部声环境、大气环境及野生动物产生短期干扰，通过加装隔声罩、每日</w:t>
      </w:r>
      <w:r>
        <w:rPr>
          <w:rFonts w:ascii="Times New Roman" w:eastAsia="宋体" w:hAnsi="Times New Roman" w:cs="Times New Roman" w:hint="eastAsia"/>
        </w:rPr>
        <w:t>3</w:t>
      </w:r>
      <w:r>
        <w:rPr>
          <w:rFonts w:ascii="Times New Roman" w:eastAsia="宋体" w:hAnsi="Times New Roman" w:cs="Times New Roman" w:hint="eastAsia"/>
        </w:rPr>
        <w:t>次洒水降尘、设置生态隔离带等措施可有效减免，且此类影响仅局限于施工期，待机械撤离、植被恢复后即完全消失。</w:t>
      </w:r>
    </w:p>
    <w:p w14:paraId="47628C67"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6</w:t>
      </w:r>
      <w:r>
        <w:rPr>
          <w:rFonts w:ascii="Times New Roman" w:eastAsia="宋体" w:hAnsi="Times New Roman" w:cs="Times New Roman" w:hint="eastAsia"/>
        </w:rPr>
        <w:t>）生态保护红线</w:t>
      </w:r>
    </w:p>
    <w:p w14:paraId="2AB12675" w14:textId="77777777" w:rsidR="009D12AF" w:rsidRDefault="00000000">
      <w:pPr>
        <w:spacing w:line="300" w:lineRule="auto"/>
        <w:ind w:firstLineChars="150" w:firstLine="360"/>
        <w:jc w:val="left"/>
        <w:rPr>
          <w:rFonts w:ascii="Times New Roman" w:eastAsia="宋体" w:hAnsi="Times New Roman" w:cs="Times New Roman"/>
        </w:rPr>
      </w:pPr>
      <w:r>
        <w:rPr>
          <w:rFonts w:ascii="Times New Roman" w:eastAsia="宋体" w:hAnsi="Times New Roman" w:cs="Times New Roman" w:hint="eastAsia"/>
        </w:rPr>
        <w:t>本工程群力水库评价范围内涉及两处生态保护红线，分别为海林市张广才岭</w:t>
      </w:r>
      <w:r>
        <w:rPr>
          <w:rFonts w:ascii="Times New Roman" w:eastAsia="宋体" w:hAnsi="Times New Roman" w:cs="Times New Roman" w:hint="eastAsia"/>
        </w:rPr>
        <w:t>-</w:t>
      </w:r>
      <w:r>
        <w:rPr>
          <w:rFonts w:ascii="Times New Roman" w:eastAsia="宋体" w:hAnsi="Times New Roman" w:cs="Times New Roman" w:hint="eastAsia"/>
        </w:rPr>
        <w:t>老爷岭水源涵养与生物多样性维护功能生态保护红线</w:t>
      </w:r>
      <w:r>
        <w:rPr>
          <w:rFonts w:ascii="Times New Roman" w:eastAsia="宋体" w:hAnsi="Times New Roman" w:cs="Times New Roman" w:hint="eastAsia"/>
        </w:rPr>
        <w:t>-</w:t>
      </w:r>
      <w:r>
        <w:rPr>
          <w:rFonts w:ascii="Times New Roman" w:eastAsia="宋体" w:hAnsi="Times New Roman" w:cs="Times New Roman" w:hint="eastAsia"/>
        </w:rPr>
        <w:t>水土保持生态功能重要区、海林市张广才岭</w:t>
      </w:r>
      <w:r>
        <w:rPr>
          <w:rFonts w:ascii="Times New Roman" w:eastAsia="宋体" w:hAnsi="Times New Roman" w:cs="Times New Roman" w:hint="eastAsia"/>
        </w:rPr>
        <w:t>-</w:t>
      </w:r>
      <w:r>
        <w:rPr>
          <w:rFonts w:ascii="Times New Roman" w:eastAsia="宋体" w:hAnsi="Times New Roman" w:cs="Times New Roman" w:hint="eastAsia"/>
        </w:rPr>
        <w:t>老爷岭水源涵养与生物多样性维护功能生态保护红线</w:t>
      </w:r>
      <w:r>
        <w:rPr>
          <w:rFonts w:ascii="Times New Roman" w:eastAsia="宋体" w:hAnsi="Times New Roman" w:cs="Times New Roman" w:hint="eastAsia"/>
        </w:rPr>
        <w:t>-</w:t>
      </w:r>
      <w:r>
        <w:rPr>
          <w:rFonts w:ascii="Times New Roman" w:eastAsia="宋体" w:hAnsi="Times New Roman" w:cs="Times New Roman" w:hint="eastAsia"/>
        </w:rPr>
        <w:t>生物多样性维护生态功能重要区。</w:t>
      </w:r>
    </w:p>
    <w:p w14:paraId="691D2494"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两处生态保护红线的环境功能均为生物多样性与水源涵养，工程避开了保护区内珍稀濒危植物群落，仅涉及少量芦苇常见湿生草本植被。临时占地边界采用警示带隔离，避免施工机械误碾压周边植被，施工过程中表层土壤单独剥离存放</w:t>
      </w:r>
      <w:r>
        <w:rPr>
          <w:rFonts w:ascii="Times New Roman" w:eastAsia="宋体" w:hAnsi="Times New Roman" w:cs="Times New Roman" w:hint="eastAsia"/>
        </w:rPr>
        <w:lastRenderedPageBreak/>
        <w:t>并覆盖防雨布保护，待施工结束后优先回覆，同时根据湿地植被原生群落结构，撒播芦苇等本土草种；明确施工区域及周边</w:t>
      </w:r>
      <w:r>
        <w:rPr>
          <w:rFonts w:ascii="Times New Roman" w:eastAsia="宋体" w:hAnsi="Times New Roman" w:cs="Times New Roman" w:hint="eastAsia"/>
        </w:rPr>
        <w:t>500m</w:t>
      </w:r>
      <w:r>
        <w:rPr>
          <w:rFonts w:ascii="Times New Roman" w:eastAsia="宋体" w:hAnsi="Times New Roman" w:cs="Times New Roman" w:hint="eastAsia"/>
        </w:rPr>
        <w:t>范围内无鸟类集中繁殖地、巢区、觅食核心区，也无兽类、两栖爬行动物的洞穴集中分布区，施工时间严格避开鸟类迁徙高峰期且定期对设备进行维护以减少异常噪声，本项目为水库清淤项目，不会阻断动物迁徙通道，且临时占地范围小、恢复快，不会形成永久性生境阻隔，对保护区内鸟类、兽类、两栖爬行动物的种群数量、活动节律及栖息地利用无显著影响，也不会对生物多样性维护极重要区的核心功能造成干扰，对水源涵养极重要区的水文调节与水质维护功能无负面影响，对生态保护红线区的动物、植被及湿地生态系统影响极小，所有影响均在生态系统自我修复能力范围内。</w:t>
      </w:r>
    </w:p>
    <w:p w14:paraId="1E1125F2"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7</w:t>
      </w:r>
      <w:r>
        <w:rPr>
          <w:rFonts w:ascii="Times New Roman" w:eastAsia="宋体" w:hAnsi="Times New Roman" w:cs="Times New Roman" w:hint="eastAsia"/>
        </w:rPr>
        <w:t>）基本农田</w:t>
      </w:r>
    </w:p>
    <w:p w14:paraId="12E98923"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根据《基本农田保护条例》中第十五、十六条规定：基本农田划定后，任何单位和个人不得改变或者占用。国家能源、交通、水利、军事设施等重点建设项目选址确实无法避开基本农田保护区，需要占用基本农田，涉及农用地转用或者征用土地的，必须经国务院批准。经国务院批准占用基本农田的，当地人民政府应当按照国务院的批准文件修改土地利用总体规划，并补充划入数量和质量相当的基本农田。占用单位应当按照占多少、垦多少的原则，负责开垦与所占用基本农田数量与质量相当的耕地；没有条件开垦或者开垦的耕地不符合要求的，应当按照省、自治区、直辖市的规定缴纳耕地开垦费，专款用于开垦新的耕地。</w:t>
      </w:r>
    </w:p>
    <w:p w14:paraId="243EBD7D"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本工程群力水库临时占用基本农田</w:t>
      </w:r>
      <w:r>
        <w:rPr>
          <w:rFonts w:ascii="Times New Roman" w:eastAsia="宋体" w:hAnsi="Times New Roman" w:cs="Times New Roman" w:hint="eastAsia"/>
        </w:rPr>
        <w:t>1.03 hm</w:t>
      </w:r>
      <w:r>
        <w:rPr>
          <w:rFonts w:ascii="Times New Roman" w:eastAsia="宋体" w:hAnsi="Times New Roman" w:cs="Times New Roman" w:hint="eastAsia"/>
          <w:vertAlign w:val="superscript"/>
        </w:rPr>
        <w:t>2</w:t>
      </w:r>
      <w:r>
        <w:rPr>
          <w:rFonts w:ascii="Times New Roman" w:eastAsia="宋体" w:hAnsi="Times New Roman" w:cs="Times New Roman" w:hint="eastAsia"/>
        </w:rPr>
        <w:t>，所产生的影响主要体现为耽误一季农作物生产，并且在施工结束后由于熟化土壤受到扰动而影响</w:t>
      </w:r>
      <w:r>
        <w:rPr>
          <w:rFonts w:ascii="Times New Roman" w:eastAsia="宋体" w:hAnsi="Times New Roman" w:cs="Times New Roman" w:hint="eastAsia"/>
        </w:rPr>
        <w:t>2</w:t>
      </w:r>
      <w:r>
        <w:rPr>
          <w:rFonts w:ascii="Times New Roman" w:eastAsia="宋体" w:hAnsi="Times New Roman" w:cs="Times New Roman" w:hint="eastAsia"/>
        </w:rPr>
        <w:t>～</w:t>
      </w:r>
      <w:r>
        <w:rPr>
          <w:rFonts w:ascii="Times New Roman" w:eastAsia="宋体" w:hAnsi="Times New Roman" w:cs="Times New Roman" w:hint="eastAsia"/>
        </w:rPr>
        <w:t>3</w:t>
      </w:r>
      <w:r>
        <w:rPr>
          <w:rFonts w:ascii="Times New Roman" w:eastAsia="宋体" w:hAnsi="Times New Roman" w:cs="Times New Roman" w:hint="eastAsia"/>
        </w:rPr>
        <w:t>季的农作物产量，导致减产。根据有关研究，工程施工将导致基本农田土壤有机碳和全量养分的普遍降低，土壤结构发生变化，进而影响到农作物的生长，导致土地生产潜力降低。本工程涉及主要基本农田作物包括水稻、中晚熟大豆、玉米等，生长情况普遍良好。施工临时占用基本农田会耽误一季农作物生长，并在后续</w:t>
      </w:r>
      <w:r>
        <w:rPr>
          <w:rFonts w:ascii="Times New Roman" w:eastAsia="宋体" w:hAnsi="Times New Roman" w:cs="Times New Roman" w:hint="eastAsia"/>
        </w:rPr>
        <w:t>2</w:t>
      </w:r>
      <w:r>
        <w:rPr>
          <w:rFonts w:ascii="Times New Roman" w:eastAsia="宋体" w:hAnsi="Times New Roman" w:cs="Times New Roman" w:hint="eastAsia"/>
        </w:rPr>
        <w:t>～</w:t>
      </w:r>
      <w:r>
        <w:rPr>
          <w:rFonts w:ascii="Times New Roman" w:eastAsia="宋体" w:hAnsi="Times New Roman" w:cs="Times New Roman" w:hint="eastAsia"/>
        </w:rPr>
        <w:t>3</w:t>
      </w:r>
      <w:r>
        <w:rPr>
          <w:rFonts w:ascii="Times New Roman" w:eastAsia="宋体" w:hAnsi="Times New Roman" w:cs="Times New Roman" w:hint="eastAsia"/>
        </w:rPr>
        <w:t>季影响农作物的生长，直至土壤结构和养分逐渐复原，农业生产能力才可得以恢复。因此建设单位应与农户及相关管理部门做好沟通，按照基本农田作物的实际损失给予经济补偿，并在工程施工结束后及时恢复地貌和耕种，配合农户做好基本农田及作物产量恢复工作。</w:t>
      </w:r>
    </w:p>
    <w:p w14:paraId="15F8199D"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lastRenderedPageBreak/>
        <w:t>8</w:t>
      </w:r>
      <w:r>
        <w:rPr>
          <w:rFonts w:ascii="Times New Roman" w:eastAsia="宋体" w:hAnsi="Times New Roman" w:cs="Times New Roman" w:hint="eastAsia"/>
        </w:rPr>
        <w:t>）黑土地</w:t>
      </w:r>
    </w:p>
    <w:p w14:paraId="69FB4E29"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本</w:t>
      </w:r>
      <w:r>
        <w:rPr>
          <w:rFonts w:ascii="Times New Roman" w:eastAsia="宋体" w:hAnsi="Times New Roman" w:cs="Times New Roman"/>
        </w:rPr>
        <w:t>工程</w:t>
      </w:r>
      <w:r>
        <w:rPr>
          <w:rFonts w:ascii="Times New Roman" w:eastAsia="宋体" w:hAnsi="Times New Roman" w:cs="Times New Roman" w:hint="eastAsia"/>
        </w:rPr>
        <w:t>群力水库</w:t>
      </w:r>
      <w:r>
        <w:rPr>
          <w:rFonts w:ascii="Times New Roman" w:eastAsia="宋体" w:hAnsi="Times New Roman" w:cs="Times New Roman"/>
        </w:rPr>
        <w:t>临时占用的黑土地</w:t>
      </w:r>
      <w:r>
        <w:rPr>
          <w:rFonts w:ascii="Times New Roman" w:eastAsia="宋体" w:hAnsi="Times New Roman" w:cs="Times New Roman"/>
        </w:rPr>
        <w:t>1.03 hm2</w:t>
      </w:r>
      <w:r>
        <w:rPr>
          <w:rFonts w:ascii="Times New Roman" w:eastAsia="宋体" w:hAnsi="Times New Roman" w:cs="Times New Roman"/>
        </w:rPr>
        <w:t>，在分层开挖、分层堆存、分层回填的情况下，在工程结束后</w:t>
      </w:r>
      <w:r>
        <w:rPr>
          <w:rFonts w:ascii="Times New Roman" w:eastAsia="宋体" w:hAnsi="Times New Roman" w:cs="Times New Roman"/>
        </w:rPr>
        <w:t>2</w:t>
      </w:r>
      <w:r>
        <w:rPr>
          <w:rFonts w:ascii="Times New Roman" w:eastAsia="宋体" w:hAnsi="Times New Roman" w:cs="Times New Roman"/>
        </w:rPr>
        <w:t>～</w:t>
      </w:r>
      <w:r>
        <w:rPr>
          <w:rFonts w:ascii="Times New Roman" w:eastAsia="宋体" w:hAnsi="Times New Roman" w:cs="Times New Roman"/>
        </w:rPr>
        <w:t>3</w:t>
      </w:r>
      <w:r>
        <w:rPr>
          <w:rFonts w:ascii="Times New Roman" w:eastAsia="宋体" w:hAnsi="Times New Roman" w:cs="Times New Roman"/>
        </w:rPr>
        <w:t>年耕作可恢复其原有使用功能。但因重型施工机械的碾压、施工人员的践踏、土体的扰动等原因，施工的耕作土壤或自然土壤的理化性质、肥力水平将受到一定的影响，进而影响地表植被的恢复情况。这种影响随着时间的推移逐渐消失，最终使农作物产量和品质恢复到原来的水平。具体表现如下：</w:t>
      </w:r>
    </w:p>
    <w:p w14:paraId="68F26896"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①</w:t>
      </w:r>
      <w:r>
        <w:rPr>
          <w:rFonts w:ascii="Times New Roman" w:eastAsia="宋体" w:hAnsi="Times New Roman" w:cs="Times New Roman"/>
        </w:rPr>
        <w:t>扰乱土壤耕作层、破坏黑土地土壤结构</w:t>
      </w:r>
      <w:r>
        <w:rPr>
          <w:rFonts w:ascii="Times New Roman" w:eastAsia="宋体" w:hAnsi="Times New Roman" w:cs="Times New Roman"/>
        </w:rPr>
        <w:t xml:space="preserve"> </w:t>
      </w:r>
    </w:p>
    <w:p w14:paraId="36A33FB3" w14:textId="77777777" w:rsidR="009D12AF" w:rsidRDefault="00000000">
      <w:pPr>
        <w:ind w:firstLine="480"/>
        <w:rPr>
          <w:rFonts w:ascii="Times New Roman" w:eastAsia="宋体" w:hAnsi="Times New Roman" w:cs="Times New Roman"/>
        </w:rPr>
      </w:pPr>
      <w:r>
        <w:rPr>
          <w:rFonts w:ascii="Times New Roman" w:eastAsia="宋体" w:hAnsi="Times New Roman" w:cs="Times New Roman"/>
        </w:rPr>
        <w:t>黑土地土壤结构是经过较长的历史时期形成的，工程的占用必将破坏土壤的结构，尤其是土壤中的团粒结构，一旦遭到破坏，将需要经过较长的时间才能恢复，对农田土壤影响更大，农田土壤耕作层是保证农业生产的基础，深度一般在</w:t>
      </w:r>
      <w:r>
        <w:rPr>
          <w:rFonts w:ascii="Times New Roman" w:eastAsia="宋体" w:hAnsi="Times New Roman" w:cs="Times New Roman"/>
        </w:rPr>
        <w:t xml:space="preserve"> 15~25cm</w:t>
      </w:r>
      <w:r>
        <w:rPr>
          <w:rFonts w:ascii="Times New Roman" w:eastAsia="宋体" w:hAnsi="Times New Roman" w:cs="Times New Roman"/>
        </w:rPr>
        <w:t>，是农作物根系生长和发达的层次。此外，土层的混合和扰动，同样会改变原有农田耕作层的性质。因此，在整个施工过程中，对黑土地土壤耕作层的影响较严重。</w:t>
      </w:r>
    </w:p>
    <w:p w14:paraId="2FCF7D83"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②</w:t>
      </w:r>
      <w:r>
        <w:rPr>
          <w:rFonts w:ascii="Times New Roman" w:eastAsia="宋体" w:hAnsi="Times New Roman" w:cs="Times New Roman"/>
        </w:rPr>
        <w:t>影响黑土地土壤养分</w:t>
      </w:r>
    </w:p>
    <w:p w14:paraId="460EC901" w14:textId="77777777" w:rsidR="009D12AF" w:rsidRDefault="00000000">
      <w:pPr>
        <w:ind w:firstLine="480"/>
        <w:rPr>
          <w:rFonts w:ascii="Times New Roman" w:eastAsia="宋体" w:hAnsi="Times New Roman" w:cs="Times New Roman"/>
        </w:rPr>
      </w:pPr>
      <w:r>
        <w:rPr>
          <w:rFonts w:ascii="Times New Roman" w:eastAsia="宋体" w:hAnsi="Times New Roman" w:cs="Times New Roman"/>
        </w:rPr>
        <w:t>土体构型是土壤剖面中各种土层的组合情况。不同土层的特征及理化性质差异较大。就养分而言，表土层远较深土层好，其有机、全氮、速效磷、钾等含量高，</w:t>
      </w:r>
      <w:r>
        <w:rPr>
          <w:rFonts w:ascii="Times New Roman" w:eastAsia="宋体" w:hAnsi="Times New Roman" w:cs="Times New Roman"/>
        </w:rPr>
        <w:t xml:space="preserve"> </w:t>
      </w:r>
      <w:r>
        <w:rPr>
          <w:rFonts w:ascii="Times New Roman" w:eastAsia="宋体" w:hAnsi="Times New Roman" w:cs="Times New Roman"/>
        </w:rPr>
        <w:t>紧实度、孔隙状况适中，适耕性强。施工对原有土体构型势必扰动，使土壤养分状况受到影响，严重者使土壤性质恶化，并影响其上生长的植被，甚至难以恢复。</w:t>
      </w:r>
    </w:p>
    <w:p w14:paraId="404210F7"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③</w:t>
      </w:r>
      <w:r>
        <w:rPr>
          <w:rFonts w:ascii="Times New Roman" w:eastAsia="宋体" w:hAnsi="Times New Roman" w:cs="Times New Roman"/>
        </w:rPr>
        <w:t>影响黑土地土壤紧实度</w:t>
      </w:r>
    </w:p>
    <w:p w14:paraId="4191B942" w14:textId="77777777" w:rsidR="009D12AF" w:rsidRDefault="00000000">
      <w:pPr>
        <w:ind w:firstLine="480"/>
        <w:rPr>
          <w:rFonts w:ascii="Times New Roman" w:eastAsia="宋体" w:hAnsi="Times New Roman" w:cs="Times New Roman"/>
        </w:rPr>
      </w:pPr>
      <w:r>
        <w:rPr>
          <w:rFonts w:ascii="Times New Roman" w:eastAsia="宋体" w:hAnsi="Times New Roman" w:cs="Times New Roman"/>
        </w:rPr>
        <w:t>施工中机械碾压，人员践踏等都会影响黑土地土壤的紧实度。土层过松，易引起水土流失，土体过紧，又会影响作物生长。</w:t>
      </w:r>
    </w:p>
    <w:p w14:paraId="0E7CF78A"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④</w:t>
      </w:r>
      <w:r>
        <w:rPr>
          <w:rFonts w:ascii="Times New Roman" w:eastAsia="宋体" w:hAnsi="Times New Roman" w:cs="Times New Roman"/>
        </w:rPr>
        <w:t>黑土地土壤污染</w:t>
      </w:r>
    </w:p>
    <w:p w14:paraId="6B312573" w14:textId="77777777" w:rsidR="009D12AF" w:rsidRDefault="00000000">
      <w:pPr>
        <w:ind w:firstLine="480"/>
        <w:rPr>
          <w:rFonts w:ascii="Times New Roman" w:eastAsia="宋体" w:hAnsi="Times New Roman" w:cs="Times New Roman"/>
        </w:rPr>
      </w:pPr>
      <w:r>
        <w:rPr>
          <w:rFonts w:ascii="Times New Roman" w:eastAsia="宋体" w:hAnsi="Times New Roman" w:cs="Times New Roman"/>
        </w:rPr>
        <w:t>施工过程中将产生施工垃圾、清管废渣等废物。这些固体垃圾可能含有难于分解的物质，如不妥善管理，将影响土壤质量。若在农田中，将影响土壤耕作和农作物生长。</w:t>
      </w:r>
      <w:r>
        <w:rPr>
          <w:rFonts w:ascii="Times New Roman" w:eastAsia="宋体" w:hAnsi="Times New Roman" w:cs="Times New Roman"/>
        </w:rPr>
        <w:t xml:space="preserve"> </w:t>
      </w:r>
      <w:r>
        <w:rPr>
          <w:rFonts w:ascii="Times New Roman" w:eastAsia="宋体" w:hAnsi="Times New Roman" w:cs="Times New Roman"/>
        </w:rPr>
        <w:t>总之，工程施工由于改变了黑土地土壤结构和养分状况，该工程可采取相应的措施来缓解工程施工的影响，土壤质量将会逐渐得到恢复。</w:t>
      </w:r>
    </w:p>
    <w:p w14:paraId="57768F15"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lastRenderedPageBreak/>
        <w:t>9</w:t>
      </w:r>
      <w:r>
        <w:rPr>
          <w:rFonts w:ascii="Times New Roman" w:eastAsia="宋体" w:hAnsi="Times New Roman" w:cs="Times New Roman" w:hint="eastAsia"/>
        </w:rPr>
        <w:t>）公益林</w:t>
      </w:r>
    </w:p>
    <w:p w14:paraId="7A5BFE74" w14:textId="77777777" w:rsidR="009D12AF" w:rsidRDefault="00000000">
      <w:pPr>
        <w:ind w:firstLine="480"/>
        <w:rPr>
          <w:rFonts w:ascii="Times New Roman" w:eastAsia="宋体" w:hAnsi="Times New Roman" w:cs="Times New Roman"/>
        </w:rPr>
      </w:pPr>
      <w:r>
        <w:rPr>
          <w:rFonts w:ascii="Times New Roman" w:eastAsia="宋体" w:hAnsi="Times New Roman" w:cs="Times New Roman"/>
        </w:rPr>
        <w:t>根据海林市林业与草原局提供的生态公益林矢量数据，本工程占地不涉及生态公益林</w:t>
      </w:r>
      <w:r>
        <w:rPr>
          <w:rFonts w:ascii="Times New Roman" w:eastAsia="宋体" w:hAnsi="Times New Roman" w:cs="Times New Roman"/>
        </w:rPr>
        <w:t xml:space="preserve">, </w:t>
      </w:r>
      <w:r>
        <w:rPr>
          <w:rFonts w:ascii="Times New Roman" w:eastAsia="宋体" w:hAnsi="Times New Roman" w:cs="Times New Roman"/>
        </w:rPr>
        <w:t>距离项目边界最近</w:t>
      </w:r>
      <w:r>
        <w:rPr>
          <w:rFonts w:ascii="Times New Roman" w:eastAsia="宋体" w:hAnsi="Times New Roman" w:cs="Times New Roman"/>
        </w:rPr>
        <w:t>102m</w:t>
      </w:r>
      <w:r>
        <w:rPr>
          <w:rFonts w:ascii="Times New Roman" w:eastAsia="宋体" w:hAnsi="Times New Roman" w:cs="Times New Roman"/>
        </w:rPr>
        <w:t>。</w:t>
      </w:r>
    </w:p>
    <w:p w14:paraId="363DA293" w14:textId="77777777" w:rsidR="009D12AF" w:rsidRDefault="00000000">
      <w:pPr>
        <w:ind w:firstLine="480"/>
        <w:rPr>
          <w:rFonts w:ascii="Times New Roman" w:eastAsia="宋体" w:hAnsi="Times New Roman" w:cs="Times New Roman"/>
        </w:rPr>
      </w:pPr>
      <w:r>
        <w:rPr>
          <w:rFonts w:ascii="Times New Roman" w:eastAsia="宋体" w:hAnsi="Times New Roman" w:cs="Times New Roman"/>
        </w:rPr>
        <w:t>项目对公益林敏感区域造成的影响主要是对动物造成的影响，施工期间施工机械产生的噪声对邻近野生动物的恫吓及人为活动将对毗邻林地中的鸟类产生一定影响，可能产生趋避反映，鸟类主要有麻雀、喜雀等；工程的噪声和振动也会对两栖类和爬行类动物有一定的驱赶作用，在一定程度上间接减少了两栖类和爬行类动物生活栖息的区域；施工期间产生的噪声、震动、废水、扬尘等也会对影响区内的兽类造成一定影响，施工噪声等迫使其迁徙到施工区外影响较小的替代生境，在一定程度上间接减少了兽类生活栖息的区域。但随着施工的结束，人为活动的减少，这种影响将消失。</w:t>
      </w:r>
    </w:p>
    <w:p w14:paraId="7592B3BF" w14:textId="77777777" w:rsidR="009D12AF" w:rsidRDefault="00000000">
      <w:pPr>
        <w:pStyle w:val="3"/>
      </w:pPr>
      <w:bookmarkStart w:id="146" w:name="_Toc4345"/>
      <w:bookmarkStart w:id="147" w:name="_Toc22217"/>
      <w:bookmarkStart w:id="148" w:name="_Toc32093"/>
      <w:bookmarkStart w:id="149" w:name="_Toc21697"/>
      <w:r>
        <w:rPr>
          <w:rFonts w:hint="eastAsia"/>
        </w:rPr>
        <w:t>3</w:t>
      </w:r>
      <w:r>
        <w:t>.3.</w:t>
      </w:r>
      <w:r>
        <w:rPr>
          <w:rFonts w:hint="eastAsia"/>
        </w:rPr>
        <w:t>3</w:t>
      </w:r>
      <w:r>
        <w:t xml:space="preserve"> </w:t>
      </w:r>
      <w:r>
        <w:rPr>
          <w:rFonts w:hint="eastAsia"/>
        </w:rPr>
        <w:t>运行期</w:t>
      </w:r>
      <w:r>
        <w:t>产污环节及污染物排放特征分析</w:t>
      </w:r>
      <w:bookmarkEnd w:id="146"/>
      <w:bookmarkEnd w:id="147"/>
      <w:bookmarkEnd w:id="148"/>
      <w:bookmarkEnd w:id="149"/>
    </w:p>
    <w:p w14:paraId="18069821" w14:textId="77777777" w:rsidR="009D12AF" w:rsidRDefault="00000000">
      <w:pPr>
        <w:widowControl/>
        <w:ind w:firstLine="480"/>
        <w:jc w:val="left"/>
      </w:pPr>
      <w:r>
        <w:rPr>
          <w:rFonts w:ascii="宋体" w:eastAsia="宋体" w:hAnsi="宋体" w:cs="宋体" w:hint="eastAsia"/>
          <w:color w:val="000000"/>
          <w:kern w:val="0"/>
          <w:lang w:bidi="ar"/>
        </w:rPr>
        <w:t xml:space="preserve">水库清淤是环境保护工程，具有较大的社会效益和环境效益。施工结束后， </w:t>
      </w:r>
      <w:r>
        <w:rPr>
          <w:rFonts w:ascii="宋体" w:eastAsia="宋体" w:hAnsi="宋体" w:cs="宋体"/>
          <w:color w:val="000000"/>
          <w:kern w:val="0"/>
          <w:lang w:bidi="ar"/>
        </w:rPr>
        <w:t>临时占地，临时建筑拆除后，恢复原样或者绿化，将不再产生污染。</w:t>
      </w:r>
    </w:p>
    <w:p w14:paraId="5006F9A3" w14:textId="77777777" w:rsidR="009D12AF" w:rsidRDefault="00000000">
      <w:pPr>
        <w:pStyle w:val="3"/>
      </w:pPr>
      <w:bookmarkStart w:id="150" w:name="_Toc4880"/>
      <w:r>
        <w:rPr>
          <w:rFonts w:hint="eastAsia"/>
        </w:rPr>
        <w:t>3.3.4</w:t>
      </w:r>
      <w:r>
        <w:rPr>
          <w:rFonts w:hint="eastAsia"/>
        </w:rPr>
        <w:t>运行期工程污染源强分析</w:t>
      </w:r>
      <w:bookmarkEnd w:id="150"/>
    </w:p>
    <w:p w14:paraId="36A3BF47"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水库清淤是环境保护工程，具有较大的社会效益和环境效益。施工结束后，临时占地，临时建筑拆除后，恢复原样或者绿化，将不再产生污染。</w:t>
      </w:r>
    </w:p>
    <w:p w14:paraId="42EDD132" w14:textId="77777777" w:rsidR="009D12AF" w:rsidRDefault="00000000">
      <w:pPr>
        <w:widowControl/>
        <w:ind w:firstLine="480"/>
        <w:jc w:val="left"/>
      </w:pPr>
      <w:r>
        <w:rPr>
          <w:rFonts w:ascii="宋体" w:eastAsia="宋体" w:hAnsi="宋体" w:cs="宋体" w:hint="eastAsia"/>
          <w:color w:val="000000"/>
          <w:kern w:val="0"/>
          <w:lang w:bidi="ar"/>
        </w:rPr>
        <w:t>项目运营过程中无废水、废气、噪声及固体废物产生，不会对周边声环境产生不良影响。清淤工程完成后，通过底泥的疏浚去除水库底泥所含的污染物，清除污染水体的内源，减少底泥污染物向水体的释放，并为水生生态系统的恢复创造条件，可以较大程度地削减底泥对上覆水体的污染贡献率，从而起到改善水环境质量的作用。项目临时脱水场地等施工结束后将采取生态恢复措施，恢复原状，进一步减少对周边生态环境的影响。</w:t>
      </w:r>
    </w:p>
    <w:p w14:paraId="387F532A" w14:textId="77777777" w:rsidR="009D12AF" w:rsidRDefault="00000000">
      <w:pPr>
        <w:pStyle w:val="3"/>
      </w:pPr>
      <w:bookmarkStart w:id="151" w:name="_Toc21130"/>
      <w:bookmarkStart w:id="152" w:name="_Toc29937"/>
      <w:bookmarkStart w:id="153" w:name="_Toc31522"/>
      <w:bookmarkStart w:id="154" w:name="_Toc18736"/>
      <w:r>
        <w:rPr>
          <w:rFonts w:hint="eastAsia"/>
        </w:rPr>
        <w:lastRenderedPageBreak/>
        <w:t>3</w:t>
      </w:r>
      <w:r>
        <w:t xml:space="preserve">.3.3 </w:t>
      </w:r>
      <w:r>
        <w:t>总量控制</w:t>
      </w:r>
      <w:bookmarkEnd w:id="151"/>
      <w:bookmarkEnd w:id="152"/>
      <w:bookmarkEnd w:id="153"/>
      <w:bookmarkEnd w:id="154"/>
    </w:p>
    <w:p w14:paraId="07A65099" w14:textId="77777777" w:rsidR="009D12AF" w:rsidRDefault="00000000">
      <w:pPr>
        <w:ind w:firstLine="480"/>
      </w:pPr>
      <w:r>
        <w:t>根据本项目的排污特征，本项目</w:t>
      </w:r>
      <w:r>
        <w:rPr>
          <w:rFonts w:hint="eastAsia"/>
        </w:rPr>
        <w:t>运行期</w:t>
      </w:r>
      <w:r>
        <w:t>无废水</w:t>
      </w:r>
      <w:r>
        <w:rPr>
          <w:rFonts w:hint="eastAsia"/>
        </w:rPr>
        <w:t>、废气</w:t>
      </w:r>
      <w:r>
        <w:t>产生。结合当地总量控制要求及本项目的特点，本项目无需申请总量控制指标。</w:t>
      </w:r>
    </w:p>
    <w:p w14:paraId="126EA4FF" w14:textId="77777777" w:rsidR="009D12AF" w:rsidRDefault="00000000">
      <w:pPr>
        <w:ind w:firstLine="480"/>
        <w:rPr>
          <w:highlight w:val="yellow"/>
        </w:rPr>
      </w:pPr>
      <w:r>
        <w:rPr>
          <w:highlight w:val="yellow"/>
        </w:rPr>
        <w:br w:type="page"/>
      </w:r>
    </w:p>
    <w:p w14:paraId="39BC92F1" w14:textId="77777777" w:rsidR="009D12AF" w:rsidRDefault="00000000">
      <w:pPr>
        <w:pStyle w:val="1"/>
      </w:pPr>
      <w:bookmarkStart w:id="155" w:name="_Toc4016"/>
      <w:r>
        <w:rPr>
          <w:rFonts w:hint="eastAsia"/>
        </w:rPr>
        <w:lastRenderedPageBreak/>
        <w:t>4</w:t>
      </w:r>
      <w:r>
        <w:t xml:space="preserve"> </w:t>
      </w:r>
      <w:r>
        <w:t>建设项目区域环境概况</w:t>
      </w:r>
      <w:bookmarkEnd w:id="155"/>
    </w:p>
    <w:p w14:paraId="125E0C42" w14:textId="77777777" w:rsidR="009D12AF" w:rsidRDefault="00000000">
      <w:pPr>
        <w:pStyle w:val="2"/>
      </w:pPr>
      <w:bookmarkStart w:id="156" w:name="_Toc7747"/>
      <w:r>
        <w:rPr>
          <w:rFonts w:hint="eastAsia"/>
        </w:rPr>
        <w:t>4</w:t>
      </w:r>
      <w:r>
        <w:t xml:space="preserve">.1 </w:t>
      </w:r>
      <w:r>
        <w:t>区域自然条件</w:t>
      </w:r>
      <w:bookmarkEnd w:id="156"/>
    </w:p>
    <w:p w14:paraId="3D08F840" w14:textId="77777777" w:rsidR="009D12AF" w:rsidRDefault="00000000">
      <w:pPr>
        <w:pStyle w:val="3"/>
        <w:rPr>
          <w:highlight w:val="yellow"/>
        </w:rPr>
      </w:pPr>
      <w:bookmarkStart w:id="157" w:name="_Toc4486"/>
      <w:bookmarkStart w:id="158" w:name="_Toc4737"/>
      <w:bookmarkStart w:id="159" w:name="_Toc22295"/>
      <w:bookmarkStart w:id="160" w:name="_Toc13892"/>
      <w:r>
        <w:rPr>
          <w:rFonts w:hint="eastAsia"/>
        </w:rPr>
        <w:t>4</w:t>
      </w:r>
      <w:r>
        <w:t xml:space="preserve">.1.1 </w:t>
      </w:r>
      <w:r>
        <w:t>地理位置</w:t>
      </w:r>
      <w:bookmarkEnd w:id="157"/>
      <w:bookmarkEnd w:id="158"/>
      <w:bookmarkEnd w:id="159"/>
      <w:bookmarkEnd w:id="160"/>
    </w:p>
    <w:p w14:paraId="1C28728A" w14:textId="77777777" w:rsidR="009D12AF" w:rsidRDefault="00000000">
      <w:pPr>
        <w:ind w:firstLine="480"/>
      </w:pPr>
      <w:r>
        <w:rPr>
          <w:rFonts w:hint="eastAsia"/>
        </w:rPr>
        <w:t>海林市</w:t>
      </w:r>
      <w:r>
        <w:t>，位于黑龙江省东南部、牡丹江市西部，地理坐标介于东经</w:t>
      </w:r>
      <w:r>
        <w:t>128°03′—129°57′</w:t>
      </w:r>
      <w:r>
        <w:t>，北纬</w:t>
      </w:r>
      <w:r>
        <w:t>44°02′—45°38′</w:t>
      </w:r>
      <w:r>
        <w:t>之间。</w:t>
      </w:r>
      <w:r>
        <w:t xml:space="preserve"> </w:t>
      </w:r>
      <w:r>
        <w:t>行政区域面积</w:t>
      </w:r>
      <w:r>
        <w:t>8711</w:t>
      </w:r>
      <w:r>
        <w:t>平方千米。</w:t>
      </w:r>
      <w:r>
        <w:t xml:space="preserve"> [15-16]</w:t>
      </w:r>
      <w:r>
        <w:t>海林市地处北半球中纬度地区，属于中温带大陆季风性气候，全市呈现明显的季节性气候、四季变化分明。</w:t>
      </w:r>
    </w:p>
    <w:p w14:paraId="56BECFF4" w14:textId="77777777" w:rsidR="009D12AF" w:rsidRDefault="00000000">
      <w:pPr>
        <w:ind w:firstLineChars="0" w:firstLine="0"/>
        <w:jc w:val="center"/>
        <w:rPr>
          <w:rFonts w:ascii="宋体" w:eastAsia="宋体" w:hAnsi="宋体" w:cs="宋体" w:hint="eastAsia"/>
        </w:rPr>
      </w:pPr>
      <w:r>
        <w:rPr>
          <w:noProof/>
        </w:rPr>
        <mc:AlternateContent>
          <mc:Choice Requires="wps">
            <w:drawing>
              <wp:anchor distT="0" distB="0" distL="114300" distR="114300" simplePos="0" relativeHeight="251666432" behindDoc="0" locked="0" layoutInCell="1" allowOverlap="1" wp14:anchorId="692F7332" wp14:editId="5C633541">
                <wp:simplePos x="0" y="0"/>
                <wp:positionH relativeFrom="column">
                  <wp:posOffset>2999740</wp:posOffset>
                </wp:positionH>
                <wp:positionV relativeFrom="paragraph">
                  <wp:posOffset>2768600</wp:posOffset>
                </wp:positionV>
                <wp:extent cx="137160" cy="95250"/>
                <wp:effectExtent l="25400" t="15875" r="27940" b="22225"/>
                <wp:wrapNone/>
                <wp:docPr id="130" name="五角星 130"/>
                <wp:cNvGraphicFramePr/>
                <a:graphic xmlns:a="http://schemas.openxmlformats.org/drawingml/2006/main">
                  <a:graphicData uri="http://schemas.microsoft.com/office/word/2010/wordprocessingShape">
                    <wps:wsp>
                      <wps:cNvSpPr/>
                      <wps:spPr>
                        <a:xfrm>
                          <a:off x="4166870" y="6830695"/>
                          <a:ext cx="137160" cy="95250"/>
                        </a:xfrm>
                        <a:prstGeom prst="star5">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046CE0FD" id="五角星 130" o:spid="_x0000_s1026" style="position:absolute;margin-left:236.2pt;margin-top:218pt;width:10.8pt;height:7.5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137160,95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" path="m,36382r52391,l68580,,84769,36382r52391,l94775,58867r16190,36383l68580,72764,26195,95250,42385,58867,,36382xe" fillcolor="#4874cb [3204]" strokecolor="#2d53a0 [2404]" strokeweight="1pt">
                <v:stroke joinstyle="miter"/>
                <v:path arrowok="t" o:connecttype="custom" o:connectlocs="0,36382;52391,36382;68580,0;84769,36382;137160,36382;94775,58867;110965,95250;68580,72764;26195,95250;42385,58867;0,36382" o:connectangles="0,0,0,0,0,0,0,0,0,0,0"/>
              </v:shape>
            </w:pict>
          </mc:Fallback>
        </mc:AlternateContent>
      </w:r>
      <w:r>
        <w:rPr>
          <w:rFonts w:ascii="宋体" w:eastAsia="宋体" w:hAnsi="宋体" w:cs="宋体"/>
          <w:noProof/>
        </w:rPr>
        <w:drawing>
          <wp:inline distT="0" distB="0" distL="114300" distR="114300" wp14:anchorId="64FEF4A0" wp14:editId="23FB7B30">
            <wp:extent cx="304800" cy="304800"/>
            <wp:effectExtent l="0" t="0" r="0" b="0"/>
            <wp:docPr id="116"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 descr="IMG_256"/>
                    <pic:cNvPicPr>
                      <a:picLocks noChangeAspect="1"/>
                    </pic:cNvPicPr>
                  </pic:nvPicPr>
                  <pic:blipFill>
                    <a:blip r:embed="rId24" cstate="screen">
                      <a:extLst>
                        <a:ext uri="{28A0092B-C50C-407E-A947-70E740481C1C}">
                          <a14:useLocalDpi xmlns:a14="http://schemas.microsoft.com/office/drawing/2010/main"/>
                        </a:ext>
                      </a:extLst>
                    </a:blip>
                    <a:stretch>
                      <a:fillRect/>
                    </a:stretch>
                  </pic:blipFill>
                  <pic:spPr>
                    <a:xfrm>
                      <a:off x="0" y="0"/>
                      <a:ext cx="304800" cy="304800"/>
                    </a:xfrm>
                    <a:prstGeom prst="rect">
                      <a:avLst/>
                    </a:prstGeom>
                    <a:noFill/>
                    <a:ln w="9525">
                      <a:noFill/>
                    </a:ln>
                  </pic:spPr>
                </pic:pic>
              </a:graphicData>
            </a:graphic>
          </wp:inline>
        </w:drawing>
      </w:r>
      <w:r>
        <w:rPr>
          <w:noProof/>
        </w:rPr>
        <w:drawing>
          <wp:inline distT="0" distB="0" distL="114300" distR="114300" wp14:anchorId="01B1AAD8" wp14:editId="07B44B30">
            <wp:extent cx="4656455" cy="3157220"/>
            <wp:effectExtent l="0" t="0" r="10795" b="5080"/>
            <wp:docPr id="1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
                    <pic:cNvPicPr>
                      <a:picLocks noChangeAspect="1"/>
                    </pic:cNvPicPr>
                  </pic:nvPicPr>
                  <pic:blipFill>
                    <a:blip r:embed="rId25" cstate="screen">
                      <a:extLst>
                        <a:ext uri="{28A0092B-C50C-407E-A947-70E740481C1C}">
                          <a14:useLocalDpi xmlns:a14="http://schemas.microsoft.com/office/drawing/2010/main"/>
                        </a:ext>
                      </a:extLst>
                    </a:blip>
                    <a:stretch>
                      <a:fillRect/>
                    </a:stretch>
                  </pic:blipFill>
                  <pic:spPr>
                    <a:xfrm>
                      <a:off x="0" y="0"/>
                      <a:ext cx="4656455" cy="3157220"/>
                    </a:xfrm>
                    <a:prstGeom prst="rect">
                      <a:avLst/>
                    </a:prstGeom>
                    <a:noFill/>
                    <a:ln>
                      <a:noFill/>
                    </a:ln>
                  </pic:spPr>
                </pic:pic>
              </a:graphicData>
            </a:graphic>
          </wp:inline>
        </w:drawing>
      </w:r>
    </w:p>
    <w:p w14:paraId="713CA9D7" w14:textId="77777777" w:rsidR="009D12AF" w:rsidRDefault="00000000">
      <w:pPr>
        <w:ind w:firstLineChars="0" w:firstLine="0"/>
        <w:jc w:val="center"/>
      </w:pPr>
      <w:r>
        <w:rPr>
          <w:rFonts w:hint="eastAsia"/>
        </w:rPr>
        <w:t>图</w:t>
      </w:r>
      <w:r>
        <w:rPr>
          <w:rFonts w:ascii="Times New Roman" w:hAnsi="Times New Roman" w:cs="Times New Roman"/>
        </w:rPr>
        <w:t>4.1-1</w:t>
      </w:r>
      <w:r>
        <w:rPr>
          <w:rFonts w:hint="eastAsia"/>
        </w:rPr>
        <w:t>地理位置图</w:t>
      </w:r>
    </w:p>
    <w:p w14:paraId="3F4C9404" w14:textId="77777777" w:rsidR="009D12AF" w:rsidRDefault="00000000">
      <w:pPr>
        <w:pStyle w:val="3"/>
      </w:pPr>
      <w:bookmarkStart w:id="161" w:name="_Toc18177"/>
      <w:bookmarkStart w:id="162" w:name="_Toc8580"/>
      <w:bookmarkStart w:id="163" w:name="_Toc17404"/>
      <w:bookmarkStart w:id="164" w:name="_Toc9537"/>
      <w:r>
        <w:rPr>
          <w:rFonts w:hint="eastAsia"/>
        </w:rPr>
        <w:t>4</w:t>
      </w:r>
      <w:r>
        <w:t xml:space="preserve">.1.2 </w:t>
      </w:r>
      <w:r>
        <w:t>地形、地貌</w:t>
      </w:r>
      <w:bookmarkEnd w:id="161"/>
      <w:bookmarkEnd w:id="162"/>
      <w:bookmarkEnd w:id="163"/>
      <w:bookmarkEnd w:id="164"/>
    </w:p>
    <w:p w14:paraId="77D7417B" w14:textId="77777777" w:rsidR="009D12AF" w:rsidRDefault="00000000">
      <w:pPr>
        <w:ind w:firstLine="480"/>
      </w:pPr>
      <w:r>
        <w:t>海林市属山区和丘陵浅山区，地貌特征为</w:t>
      </w:r>
      <w:r>
        <w:t>“</w:t>
      </w:r>
      <w:r>
        <w:t>九山半水半分田</w:t>
      </w:r>
      <w:r>
        <w:t>”</w:t>
      </w:r>
      <w:r>
        <w:t>。</w:t>
      </w:r>
      <w:r>
        <w:t xml:space="preserve"> </w:t>
      </w:r>
      <w:r>
        <w:t>境内南北宽、东西狭，由东北向西南斜伸略呈弯曲，形如卧蚕。</w:t>
      </w:r>
      <w:r>
        <w:t xml:space="preserve"> </w:t>
      </w:r>
      <w:r>
        <w:t>地势西高东低，最高西南部老秃顶子海拔</w:t>
      </w:r>
      <w:r>
        <w:t>1689.9</w:t>
      </w:r>
      <w:r>
        <w:t>米，最低东北部木兰集村海拔</w:t>
      </w:r>
      <w:r>
        <w:t>160</w:t>
      </w:r>
      <w:r>
        <w:t>米，平均海拔为</w:t>
      </w:r>
      <w:r>
        <w:t>400</w:t>
      </w:r>
      <w:r>
        <w:t>－</w:t>
      </w:r>
      <w:r>
        <w:t>500</w:t>
      </w:r>
      <w:r>
        <w:t>米。</w:t>
      </w:r>
      <w:r>
        <w:t xml:space="preserve"> </w:t>
      </w:r>
      <w:r>
        <w:t>海林市属寒温带大陆性季风气候，四季分明，气候宜人，无霜期短。</w:t>
      </w:r>
      <w:r>
        <w:t xml:space="preserve"> </w:t>
      </w:r>
      <w:r>
        <w:t>春秋</w:t>
      </w:r>
      <w:r>
        <w:lastRenderedPageBreak/>
        <w:t>季短、气候多变，夏季高温多雨，冬季漫长而寒冷。</w:t>
      </w:r>
    </w:p>
    <w:p w14:paraId="17F7F855" w14:textId="77777777" w:rsidR="009D12AF" w:rsidRDefault="00000000">
      <w:pPr>
        <w:pStyle w:val="3"/>
      </w:pPr>
      <w:bookmarkStart w:id="165" w:name="_Toc13102"/>
      <w:bookmarkStart w:id="166" w:name="_Toc27324"/>
      <w:bookmarkStart w:id="167" w:name="_Toc26256"/>
      <w:bookmarkStart w:id="168" w:name="_Toc27837"/>
      <w:r>
        <w:rPr>
          <w:rFonts w:hint="eastAsia"/>
        </w:rPr>
        <w:t>4</w:t>
      </w:r>
      <w:r>
        <w:t xml:space="preserve">.1.3 </w:t>
      </w:r>
      <w:r>
        <w:t>气候与气象</w:t>
      </w:r>
      <w:bookmarkEnd w:id="165"/>
      <w:bookmarkEnd w:id="166"/>
      <w:bookmarkEnd w:id="167"/>
      <w:bookmarkEnd w:id="168"/>
    </w:p>
    <w:p w14:paraId="1EFE970B" w14:textId="77777777" w:rsidR="009D12AF" w:rsidRDefault="00000000">
      <w:pPr>
        <w:ind w:firstLine="480"/>
        <w:rPr>
          <w:rFonts w:ascii="Times New Roman" w:hAnsi="Times New Roman" w:cs="Times New Roman"/>
        </w:rPr>
      </w:pPr>
      <w:r>
        <w:rPr>
          <w:rFonts w:ascii="Times New Roman" w:hAnsi="Times New Roman" w:cs="Times New Roman"/>
        </w:rPr>
        <w:t>海林市位于黑龙江省东南部，地处长白山脉张广才岭东麓，素有</w:t>
      </w:r>
      <w:r>
        <w:rPr>
          <w:rFonts w:ascii="Times New Roman" w:hAnsi="Times New Roman" w:cs="Times New Roman"/>
        </w:rPr>
        <w:t xml:space="preserve"> “</w:t>
      </w:r>
      <w:r>
        <w:rPr>
          <w:rFonts w:ascii="Times New Roman" w:hAnsi="Times New Roman" w:cs="Times New Roman"/>
        </w:rPr>
        <w:t>林海雪原</w:t>
      </w:r>
      <w:r>
        <w:rPr>
          <w:rFonts w:ascii="Times New Roman" w:hAnsi="Times New Roman" w:cs="Times New Roman"/>
        </w:rPr>
        <w:t>”</w:t>
      </w:r>
      <w:r>
        <w:rPr>
          <w:rFonts w:ascii="Times New Roman" w:hAnsi="Times New Roman" w:cs="Times New Roman"/>
        </w:rPr>
        <w:t>之称。地貌特征属山区和丘陵浅山区，地貌特征为</w:t>
      </w:r>
      <w:r>
        <w:rPr>
          <w:rFonts w:ascii="Times New Roman" w:hAnsi="Times New Roman" w:cs="Times New Roman"/>
        </w:rPr>
        <w:t>“</w:t>
      </w:r>
      <w:r>
        <w:rPr>
          <w:rFonts w:ascii="Times New Roman" w:hAnsi="Times New Roman" w:cs="Times New Roman"/>
        </w:rPr>
        <w:t>九山半水半分田</w:t>
      </w:r>
      <w:r>
        <w:rPr>
          <w:rFonts w:ascii="Times New Roman" w:hAnsi="Times New Roman" w:cs="Times New Roman"/>
        </w:rPr>
        <w:t>”</w:t>
      </w:r>
      <w:r>
        <w:rPr>
          <w:rFonts w:ascii="Times New Roman" w:hAnsi="Times New Roman" w:cs="Times New Roman"/>
        </w:rPr>
        <w:t>。属寒温带大陆性季风气候，四季分明，气候宜人，无霜期短。春秋季短、气候多变，夏季高温多雨，冬季漫长而寒冷。年平均气温</w:t>
      </w:r>
      <w:r>
        <w:rPr>
          <w:rFonts w:ascii="Times New Roman" w:hAnsi="Times New Roman" w:cs="Times New Roman"/>
        </w:rPr>
        <w:t xml:space="preserve"> 4.2℃</w:t>
      </w:r>
      <w:r>
        <w:rPr>
          <w:rFonts w:ascii="Times New Roman" w:hAnsi="Times New Roman" w:cs="Times New Roman"/>
        </w:rPr>
        <w:t>，历年极端最低、最高气温分别为</w:t>
      </w:r>
      <w:r>
        <w:rPr>
          <w:rFonts w:ascii="Times New Roman" w:hAnsi="Times New Roman" w:cs="Times New Roman"/>
        </w:rPr>
        <w:t>-38.8℃</w:t>
      </w:r>
      <w:r>
        <w:rPr>
          <w:rFonts w:ascii="Times New Roman" w:hAnsi="Times New Roman" w:cs="Times New Roman"/>
        </w:rPr>
        <w:t>和</w:t>
      </w:r>
      <w:r>
        <w:rPr>
          <w:rFonts w:ascii="Times New Roman" w:hAnsi="Times New Roman" w:cs="Times New Roman"/>
        </w:rPr>
        <w:t xml:space="preserve"> 37.6℃</w:t>
      </w:r>
      <w:r>
        <w:rPr>
          <w:rFonts w:ascii="Times New Roman" w:hAnsi="Times New Roman" w:cs="Times New Roman"/>
        </w:rPr>
        <w:t>。降水充沛，但分布不均，年平均降雨量</w:t>
      </w:r>
      <w:r>
        <w:rPr>
          <w:rFonts w:ascii="Times New Roman" w:hAnsi="Times New Roman" w:cs="Times New Roman"/>
        </w:rPr>
        <w:t xml:space="preserve"> 536.3 </w:t>
      </w:r>
      <w:r>
        <w:rPr>
          <w:rFonts w:ascii="Times New Roman" w:hAnsi="Times New Roman" w:cs="Times New Roman"/>
        </w:rPr>
        <w:t>毫米。年平均日照</w:t>
      </w:r>
      <w:r>
        <w:rPr>
          <w:rFonts w:ascii="Times New Roman" w:hAnsi="Times New Roman" w:cs="Times New Roman"/>
        </w:rPr>
        <w:t xml:space="preserve"> 2388.9</w:t>
      </w:r>
      <w:r>
        <w:rPr>
          <w:rFonts w:ascii="Times New Roman" w:hAnsi="Times New Roman" w:cs="Times New Roman"/>
        </w:rPr>
        <w:t>小时。年平均风速</w:t>
      </w:r>
      <w:r>
        <w:rPr>
          <w:rFonts w:ascii="Times New Roman" w:hAnsi="Times New Roman" w:cs="Times New Roman"/>
        </w:rPr>
        <w:t xml:space="preserve"> 1.7 </w:t>
      </w:r>
      <w:r>
        <w:rPr>
          <w:rFonts w:ascii="Times New Roman" w:hAnsi="Times New Roman" w:cs="Times New Roman"/>
        </w:rPr>
        <w:t>米</w:t>
      </w:r>
      <w:r>
        <w:rPr>
          <w:rFonts w:ascii="Times New Roman" w:hAnsi="Times New Roman" w:cs="Times New Roman"/>
        </w:rPr>
        <w:t>/</w:t>
      </w:r>
      <w:r>
        <w:rPr>
          <w:rFonts w:ascii="Times New Roman" w:hAnsi="Times New Roman" w:cs="Times New Roman"/>
        </w:rPr>
        <w:t>秒，最多风向为西北（</w:t>
      </w:r>
      <w:r>
        <w:rPr>
          <w:rFonts w:ascii="Times New Roman" w:hAnsi="Times New Roman" w:cs="Times New Roman"/>
        </w:rPr>
        <w:t>NW</w:t>
      </w:r>
      <w:r>
        <w:rPr>
          <w:rFonts w:ascii="Times New Roman" w:hAnsi="Times New Roman" w:cs="Times New Roman"/>
        </w:rPr>
        <w:t>）风。横跨二、三、四积温带，平均活动积温</w:t>
      </w:r>
      <w:r>
        <w:rPr>
          <w:rFonts w:ascii="Times New Roman" w:hAnsi="Times New Roman" w:cs="Times New Roman"/>
        </w:rPr>
        <w:t xml:space="preserve"> 2100–2500 </w:t>
      </w:r>
      <w:r>
        <w:rPr>
          <w:rFonts w:ascii="Times New Roman" w:hAnsi="Times New Roman" w:cs="Times New Roman"/>
        </w:rPr>
        <w:t>度，无霜期</w:t>
      </w:r>
      <w:r>
        <w:rPr>
          <w:rFonts w:ascii="Times New Roman" w:hAnsi="Times New Roman" w:cs="Times New Roman"/>
        </w:rPr>
        <w:t xml:space="preserve"> 85–130 </w:t>
      </w:r>
      <w:r>
        <w:rPr>
          <w:rFonts w:ascii="Times New Roman" w:hAnsi="Times New Roman" w:cs="Times New Roman"/>
        </w:rPr>
        <w:t>天，年平均降水</w:t>
      </w:r>
      <w:r>
        <w:rPr>
          <w:rFonts w:ascii="Times New Roman" w:hAnsi="Times New Roman" w:cs="Times New Roman"/>
        </w:rPr>
        <w:t xml:space="preserve"> 450–1000 </w:t>
      </w:r>
      <w:r>
        <w:rPr>
          <w:rFonts w:ascii="Times New Roman" w:hAnsi="Times New Roman" w:cs="Times New Roman"/>
        </w:rPr>
        <w:t>毫米。共有大小河流</w:t>
      </w:r>
      <w:r>
        <w:rPr>
          <w:rFonts w:ascii="Times New Roman" w:hAnsi="Times New Roman" w:cs="Times New Roman"/>
        </w:rPr>
        <w:t xml:space="preserve"> 144 </w:t>
      </w:r>
      <w:r>
        <w:rPr>
          <w:rFonts w:ascii="Times New Roman" w:hAnsi="Times New Roman" w:cs="Times New Roman"/>
        </w:rPr>
        <w:t>条。土壤以暗棕壤为主，占陆地面积的</w:t>
      </w:r>
      <w:r>
        <w:rPr>
          <w:rFonts w:ascii="Times New Roman" w:hAnsi="Times New Roman" w:cs="Times New Roman"/>
        </w:rPr>
        <w:t xml:space="preserve"> 88.8%</w:t>
      </w:r>
      <w:r>
        <w:rPr>
          <w:rFonts w:ascii="Times New Roman" w:hAnsi="Times New Roman" w:cs="Times New Roman"/>
        </w:rPr>
        <w:t>，草甸土、黑土、白浆土分别占</w:t>
      </w:r>
      <w:r>
        <w:rPr>
          <w:rFonts w:ascii="Times New Roman" w:hAnsi="Times New Roman" w:cs="Times New Roman"/>
        </w:rPr>
        <w:t xml:space="preserve"> 4.2%</w:t>
      </w:r>
      <w:r>
        <w:rPr>
          <w:rFonts w:ascii="Times New Roman" w:hAnsi="Times New Roman" w:cs="Times New Roman"/>
        </w:rPr>
        <w:t>、</w:t>
      </w:r>
      <w:r>
        <w:rPr>
          <w:rFonts w:ascii="Times New Roman" w:hAnsi="Times New Roman" w:cs="Times New Roman"/>
        </w:rPr>
        <w:t>1.6%</w:t>
      </w:r>
      <w:r>
        <w:rPr>
          <w:rFonts w:ascii="Times New Roman" w:hAnsi="Times New Roman" w:cs="Times New Roman"/>
        </w:rPr>
        <w:t>、</w:t>
      </w:r>
      <w:r>
        <w:rPr>
          <w:rFonts w:ascii="Times New Roman" w:hAnsi="Times New Roman" w:cs="Times New Roman"/>
        </w:rPr>
        <w:t>1.5%</w:t>
      </w:r>
      <w:r>
        <w:rPr>
          <w:rFonts w:ascii="Times New Roman" w:hAnsi="Times New Roman" w:cs="Times New Roman"/>
        </w:rPr>
        <w:t>，其余为水稻土、沼泽土等。全市除海林镇上空为二级空气以外，其它区域均为一级空气。海浪河流域水质符合无公害、绿色食品生产环境标准，土质肥沃，有机质含量高（</w:t>
      </w:r>
      <w:r>
        <w:rPr>
          <w:rFonts w:ascii="Times New Roman" w:hAnsi="Times New Roman" w:cs="Times New Roman"/>
        </w:rPr>
        <w:t>2%–4%</w:t>
      </w:r>
      <w:r>
        <w:rPr>
          <w:rFonts w:ascii="Times New Roman" w:hAnsi="Times New Roman" w:cs="Times New Roman"/>
        </w:rPr>
        <w:t>），无污染，为开发有机、绿色和无公害食品提供了良好的生态环境。</w:t>
      </w:r>
    </w:p>
    <w:p w14:paraId="27F54362" w14:textId="77777777" w:rsidR="009D12AF" w:rsidRDefault="00000000">
      <w:pPr>
        <w:pStyle w:val="3"/>
      </w:pPr>
      <w:bookmarkStart w:id="169" w:name="_Toc16042"/>
      <w:bookmarkStart w:id="170" w:name="_Toc3957"/>
      <w:bookmarkStart w:id="171" w:name="_Toc3743"/>
      <w:bookmarkStart w:id="172" w:name="_Toc27812"/>
      <w:r>
        <w:rPr>
          <w:rFonts w:hint="eastAsia"/>
        </w:rPr>
        <w:t>4</w:t>
      </w:r>
      <w:r>
        <w:t xml:space="preserve">.1.4 </w:t>
      </w:r>
      <w:bookmarkEnd w:id="169"/>
      <w:bookmarkEnd w:id="170"/>
      <w:bookmarkEnd w:id="171"/>
      <w:r>
        <w:rPr>
          <w:rFonts w:hint="eastAsia"/>
        </w:rPr>
        <w:t>水文地质</w:t>
      </w:r>
      <w:bookmarkEnd w:id="172"/>
    </w:p>
    <w:p w14:paraId="0726DDE6" w14:textId="77777777" w:rsidR="009D12AF" w:rsidRDefault="00000000">
      <w:pPr>
        <w:ind w:firstLine="480"/>
        <w:rPr>
          <w:rFonts w:ascii="Times New Roman" w:hAnsi="Times New Roman" w:cs="Times New Roman"/>
        </w:rPr>
      </w:pPr>
      <w:r>
        <w:rPr>
          <w:rFonts w:ascii="Times New Roman" w:hAnsi="Times New Roman" w:cs="Times New Roman" w:hint="eastAsia"/>
        </w:rPr>
        <w:t>一、地质概况</w:t>
      </w:r>
    </w:p>
    <w:p w14:paraId="791B651E" w14:textId="77777777" w:rsidR="009D12AF" w:rsidRDefault="00000000">
      <w:pPr>
        <w:ind w:firstLine="480"/>
        <w:rPr>
          <w:rFonts w:ascii="Times New Roman" w:hAnsi="Times New Roman" w:cs="Times New Roman"/>
        </w:rPr>
      </w:pPr>
      <w:r>
        <w:rPr>
          <w:rFonts w:ascii="Times New Roman" w:hAnsi="Times New Roman" w:cs="Times New Roman" w:hint="eastAsia"/>
        </w:rPr>
        <w:t>海林市位于吉黑褶皱系（或称吉黑造山带）的东缘，敦化</w:t>
      </w:r>
      <w:r>
        <w:rPr>
          <w:rFonts w:ascii="Times New Roman" w:hAnsi="Times New Roman" w:cs="Times New Roman" w:hint="eastAsia"/>
        </w:rPr>
        <w:t>-</w:t>
      </w:r>
      <w:r>
        <w:rPr>
          <w:rFonts w:ascii="Times New Roman" w:hAnsi="Times New Roman" w:cs="Times New Roman" w:hint="eastAsia"/>
        </w:rPr>
        <w:t>密山深大断裂带的西侧，地质历史复杂，是研究东北亚地质演化的重要区域。其详细地质概况可从以下几个核心方面展开：</w:t>
      </w:r>
    </w:p>
    <w:p w14:paraId="2B032251" w14:textId="77777777" w:rsidR="009D12AF" w:rsidRDefault="00000000">
      <w:pPr>
        <w:ind w:firstLine="480"/>
        <w:rPr>
          <w:rFonts w:ascii="Times New Roman" w:hAnsi="Times New Roman" w:cs="Times New Roman"/>
        </w:rPr>
      </w:pPr>
      <w:r>
        <w:rPr>
          <w:rFonts w:ascii="Times New Roman" w:hAnsi="Times New Roman" w:cs="Times New Roman" w:hint="eastAsia"/>
        </w:rPr>
        <w:t>1</w:t>
      </w:r>
      <w:r>
        <w:rPr>
          <w:rFonts w:ascii="Times New Roman" w:hAnsi="Times New Roman" w:cs="Times New Roman" w:hint="eastAsia"/>
        </w:rPr>
        <w:t>、</w:t>
      </w:r>
      <w:r>
        <w:rPr>
          <w:rFonts w:ascii="Times New Roman" w:hAnsi="Times New Roman" w:cs="Times New Roman"/>
        </w:rPr>
        <w:t>古生界（</w:t>
      </w:r>
      <w:r>
        <w:rPr>
          <w:rFonts w:ascii="Times New Roman" w:hAnsi="Times New Roman" w:cs="Times New Roman"/>
        </w:rPr>
        <w:t>Pz</w:t>
      </w:r>
      <w:r>
        <w:rPr>
          <w:rFonts w:ascii="Times New Roman" w:hAnsi="Times New Roman" w:cs="Times New Roman"/>
        </w:rPr>
        <w:t>）</w:t>
      </w:r>
    </w:p>
    <w:p w14:paraId="32483EFD" w14:textId="77777777" w:rsidR="009D12AF" w:rsidRDefault="00000000">
      <w:pPr>
        <w:ind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w:t>
      </w:r>
      <w:r>
        <w:rPr>
          <w:rFonts w:ascii="Times New Roman" w:hAnsi="Times New Roman" w:cs="Times New Roman"/>
        </w:rPr>
        <w:t>泥盆系（</w:t>
      </w:r>
      <w:r>
        <w:rPr>
          <w:rFonts w:ascii="Times New Roman" w:hAnsi="Times New Roman" w:cs="Times New Roman"/>
        </w:rPr>
        <w:t>D</w:t>
      </w:r>
      <w:r>
        <w:rPr>
          <w:rFonts w:ascii="Times New Roman" w:hAnsi="Times New Roman" w:cs="Times New Roman"/>
        </w:rPr>
        <w:t>）：主要为浅海相沉积的板岩、千枚岩、大理岩及砂岩，遭受了区域变质作用，分布于西部张广才岭地区。</w:t>
      </w:r>
    </w:p>
    <w:p w14:paraId="18A54747" w14:textId="77777777" w:rsidR="009D12AF" w:rsidRDefault="00000000">
      <w:pPr>
        <w:ind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hint="eastAsia"/>
        </w:rPr>
        <w:t>）</w:t>
      </w:r>
      <w:r>
        <w:rPr>
          <w:rFonts w:ascii="Times New Roman" w:hAnsi="Times New Roman" w:cs="Times New Roman"/>
        </w:rPr>
        <w:t>石炭系</w:t>
      </w:r>
      <w:r>
        <w:rPr>
          <w:rFonts w:ascii="Times New Roman" w:hAnsi="Times New Roman" w:cs="Times New Roman"/>
        </w:rPr>
        <w:t>-</w:t>
      </w:r>
      <w:r>
        <w:rPr>
          <w:rFonts w:ascii="Times New Roman" w:hAnsi="Times New Roman" w:cs="Times New Roman"/>
        </w:rPr>
        <w:t>二叠系（</w:t>
      </w:r>
      <w:r>
        <w:rPr>
          <w:rFonts w:ascii="Times New Roman" w:hAnsi="Times New Roman" w:cs="Times New Roman"/>
        </w:rPr>
        <w:t>C-P</w:t>
      </w:r>
      <w:r>
        <w:rPr>
          <w:rFonts w:ascii="Times New Roman" w:hAnsi="Times New Roman" w:cs="Times New Roman"/>
        </w:rPr>
        <w:t>）：这是一套重要的基底地层，包括变质砂岩、板岩、千枚岩和石灰岩，同样经历了华力西期构造运动的改造。其中蕴含煤炭等沉积矿产。</w:t>
      </w:r>
    </w:p>
    <w:p w14:paraId="17AC40B1" w14:textId="77777777" w:rsidR="009D12AF" w:rsidRDefault="00000000">
      <w:pPr>
        <w:ind w:firstLine="480"/>
        <w:rPr>
          <w:rFonts w:ascii="Times New Roman" w:hAnsi="Times New Roman" w:cs="Times New Roman"/>
        </w:rPr>
      </w:pPr>
      <w:r>
        <w:rPr>
          <w:rFonts w:ascii="Times New Roman" w:hAnsi="Times New Roman" w:cs="Times New Roman" w:hint="eastAsia"/>
        </w:rPr>
        <w:lastRenderedPageBreak/>
        <w:t>2</w:t>
      </w:r>
      <w:r>
        <w:rPr>
          <w:rFonts w:ascii="Times New Roman" w:hAnsi="Times New Roman" w:cs="Times New Roman" w:hint="eastAsia"/>
        </w:rPr>
        <w:t>、</w:t>
      </w:r>
      <w:r>
        <w:rPr>
          <w:rFonts w:ascii="Times New Roman" w:hAnsi="Times New Roman" w:cs="Times New Roman"/>
        </w:rPr>
        <w:t>中生界（</w:t>
      </w:r>
      <w:r>
        <w:rPr>
          <w:rFonts w:ascii="Times New Roman" w:hAnsi="Times New Roman" w:cs="Times New Roman"/>
        </w:rPr>
        <w:t>Mz</w:t>
      </w:r>
      <w:r>
        <w:rPr>
          <w:rFonts w:ascii="Times New Roman" w:hAnsi="Times New Roman" w:cs="Times New Roman"/>
        </w:rPr>
        <w:t>）</w:t>
      </w:r>
    </w:p>
    <w:p w14:paraId="463A8E3B" w14:textId="77777777" w:rsidR="009D12AF" w:rsidRDefault="00000000">
      <w:pPr>
        <w:ind w:firstLine="480"/>
        <w:rPr>
          <w:rFonts w:ascii="Times New Roman" w:hAnsi="Times New Roman" w:cs="Times New Roman"/>
        </w:rPr>
      </w:pPr>
      <w:r>
        <w:rPr>
          <w:rFonts w:ascii="Times New Roman" w:hAnsi="Times New Roman" w:cs="Times New Roman"/>
        </w:rPr>
        <w:t>这是区内最发育、最重要的地层，与强烈的火山</w:t>
      </w:r>
      <w:r>
        <w:rPr>
          <w:rFonts w:ascii="Times New Roman" w:hAnsi="Times New Roman" w:cs="Times New Roman"/>
        </w:rPr>
        <w:t>-</w:t>
      </w:r>
      <w:r>
        <w:rPr>
          <w:rFonts w:ascii="Times New Roman" w:hAnsi="Times New Roman" w:cs="Times New Roman"/>
        </w:rPr>
        <w:t>沉积作用相关。</w:t>
      </w:r>
    </w:p>
    <w:p w14:paraId="4F6F55A9" w14:textId="77777777" w:rsidR="009D12AF" w:rsidRDefault="00000000">
      <w:pPr>
        <w:ind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w:t>
      </w:r>
      <w:r>
        <w:rPr>
          <w:rFonts w:ascii="Times New Roman" w:hAnsi="Times New Roman" w:cs="Times New Roman"/>
        </w:rPr>
        <w:t>侏罗系（</w:t>
      </w:r>
      <w:r>
        <w:rPr>
          <w:rFonts w:ascii="Times New Roman" w:hAnsi="Times New Roman" w:cs="Times New Roman"/>
        </w:rPr>
        <w:t>J</w:t>
      </w:r>
      <w:r>
        <w:rPr>
          <w:rFonts w:ascii="Times New Roman" w:hAnsi="Times New Roman" w:cs="Times New Roman"/>
        </w:rPr>
        <w:t>）：广泛出露，以火山岩和陆相碎屑岩为主。</w:t>
      </w:r>
    </w:p>
    <w:p w14:paraId="7D360144" w14:textId="77777777" w:rsidR="009D12AF" w:rsidRDefault="00000000">
      <w:pPr>
        <w:ind w:firstLine="480"/>
        <w:rPr>
          <w:rFonts w:ascii="Times New Roman" w:hAnsi="Times New Roman" w:cs="Times New Roman"/>
        </w:rPr>
      </w:pPr>
      <w:r>
        <w:rPr>
          <w:rFonts w:ascii="Times New Roman" w:hAnsi="Times New Roman" w:cs="Times New Roman"/>
        </w:rPr>
        <w:t>太安屯组（</w:t>
      </w:r>
      <w:r>
        <w:rPr>
          <w:rFonts w:ascii="Times New Roman" w:hAnsi="Times New Roman" w:cs="Times New Roman"/>
        </w:rPr>
        <w:t>J₂t</w:t>
      </w:r>
      <w:r>
        <w:rPr>
          <w:rFonts w:ascii="Times New Roman" w:hAnsi="Times New Roman" w:cs="Times New Roman"/>
        </w:rPr>
        <w:t>）：中性、中酸性火山岩，如安山岩、英安岩及其凝灰岩。</w:t>
      </w:r>
    </w:p>
    <w:p w14:paraId="1BDB9BD8" w14:textId="77777777" w:rsidR="009D12AF" w:rsidRDefault="00000000">
      <w:pPr>
        <w:ind w:firstLine="480"/>
        <w:rPr>
          <w:rFonts w:ascii="Times New Roman" w:hAnsi="Times New Roman" w:cs="Times New Roman"/>
        </w:rPr>
      </w:pPr>
      <w:r>
        <w:rPr>
          <w:rFonts w:ascii="Times New Roman" w:hAnsi="Times New Roman" w:cs="Times New Roman"/>
        </w:rPr>
        <w:t>宁远村组（</w:t>
      </w:r>
      <w:r>
        <w:rPr>
          <w:rFonts w:ascii="Times New Roman" w:hAnsi="Times New Roman" w:cs="Times New Roman"/>
        </w:rPr>
        <w:t>J₃n</w:t>
      </w:r>
      <w:r>
        <w:rPr>
          <w:rFonts w:ascii="Times New Roman" w:hAnsi="Times New Roman" w:cs="Times New Roman"/>
        </w:rPr>
        <w:t>）：酸性火山岩，如流纹岩、流纹质凝灰岩。</w:t>
      </w:r>
    </w:p>
    <w:p w14:paraId="52F676F9" w14:textId="77777777" w:rsidR="009D12AF" w:rsidRDefault="00000000">
      <w:pPr>
        <w:ind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hint="eastAsia"/>
        </w:rPr>
        <w:t>）</w:t>
      </w:r>
      <w:r>
        <w:rPr>
          <w:rFonts w:ascii="Times New Roman" w:hAnsi="Times New Roman" w:cs="Times New Roman"/>
        </w:rPr>
        <w:t>白垩系（</w:t>
      </w:r>
      <w:r>
        <w:rPr>
          <w:rFonts w:ascii="Times New Roman" w:hAnsi="Times New Roman" w:cs="Times New Roman"/>
        </w:rPr>
        <w:t>K</w:t>
      </w:r>
      <w:r>
        <w:rPr>
          <w:rFonts w:ascii="Times New Roman" w:hAnsi="Times New Roman" w:cs="Times New Roman"/>
        </w:rPr>
        <w:t>）：主要为河湖相沉积的</w:t>
      </w:r>
      <w:r>
        <w:rPr>
          <w:rFonts w:ascii="Times New Roman" w:hAnsi="Times New Roman" w:cs="Times New Roman"/>
        </w:rPr>
        <w:t xml:space="preserve"> </w:t>
      </w:r>
      <w:r>
        <w:rPr>
          <w:rFonts w:ascii="Times New Roman" w:hAnsi="Times New Roman" w:cs="Times New Roman"/>
        </w:rPr>
        <w:t>砂砾岩、砂岩、页岩，常含有煤层，是重要的含煤地层。代表地层为</w:t>
      </w:r>
      <w:r>
        <w:rPr>
          <w:rFonts w:ascii="Times New Roman" w:hAnsi="Times New Roman" w:cs="Times New Roman"/>
        </w:rPr>
        <w:t xml:space="preserve"> </w:t>
      </w:r>
      <w:r>
        <w:rPr>
          <w:rFonts w:ascii="Times New Roman" w:hAnsi="Times New Roman" w:cs="Times New Roman"/>
        </w:rPr>
        <w:t>穆棱组（</w:t>
      </w:r>
      <w:r>
        <w:rPr>
          <w:rFonts w:ascii="Times New Roman" w:hAnsi="Times New Roman" w:cs="Times New Roman"/>
        </w:rPr>
        <w:t>K₁m</w:t>
      </w:r>
      <w:r>
        <w:rPr>
          <w:rFonts w:ascii="Times New Roman" w:hAnsi="Times New Roman" w:cs="Times New Roman"/>
        </w:rPr>
        <w:t>）、东山组（</w:t>
      </w:r>
      <w:r>
        <w:rPr>
          <w:rFonts w:ascii="Times New Roman" w:hAnsi="Times New Roman" w:cs="Times New Roman"/>
        </w:rPr>
        <w:t>K₁d</w:t>
      </w:r>
      <w:r>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t>等。</w:t>
      </w:r>
    </w:p>
    <w:p w14:paraId="543F0F90" w14:textId="77777777" w:rsidR="009D12AF" w:rsidRDefault="00000000">
      <w:pPr>
        <w:ind w:firstLine="480"/>
        <w:rPr>
          <w:rFonts w:ascii="Times New Roman" w:hAnsi="Times New Roman" w:cs="Times New Roman"/>
        </w:rPr>
      </w:pPr>
      <w:r>
        <w:rPr>
          <w:rFonts w:ascii="Times New Roman" w:hAnsi="Times New Roman" w:cs="Times New Roman" w:hint="eastAsia"/>
        </w:rPr>
        <w:t>3</w:t>
      </w:r>
      <w:r>
        <w:rPr>
          <w:rFonts w:ascii="Times New Roman" w:hAnsi="Times New Roman" w:cs="Times New Roman" w:hint="eastAsia"/>
        </w:rPr>
        <w:t>、</w:t>
      </w:r>
      <w:r>
        <w:rPr>
          <w:rFonts w:ascii="Times New Roman" w:hAnsi="Times New Roman" w:cs="Times New Roman"/>
        </w:rPr>
        <w:t>新生界（</w:t>
      </w:r>
      <w:r>
        <w:rPr>
          <w:rFonts w:ascii="Times New Roman" w:hAnsi="Times New Roman" w:cs="Times New Roman"/>
        </w:rPr>
        <w:t>Cz</w:t>
      </w:r>
      <w:r>
        <w:rPr>
          <w:rFonts w:ascii="Times New Roman" w:hAnsi="Times New Roman" w:cs="Times New Roman"/>
        </w:rPr>
        <w:t>）</w:t>
      </w:r>
    </w:p>
    <w:p w14:paraId="1244F0BD" w14:textId="77777777" w:rsidR="009D12AF" w:rsidRDefault="00000000">
      <w:pPr>
        <w:ind w:firstLine="480"/>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w:t>
      </w:r>
      <w:r>
        <w:rPr>
          <w:rFonts w:ascii="Times New Roman" w:hAnsi="Times New Roman" w:cs="Times New Roman"/>
        </w:rPr>
        <w:t>第四系（</w:t>
      </w:r>
      <w:r>
        <w:rPr>
          <w:rFonts w:ascii="Times New Roman" w:hAnsi="Times New Roman" w:cs="Times New Roman"/>
        </w:rPr>
        <w:t>Q</w:t>
      </w:r>
      <w:r>
        <w:rPr>
          <w:rFonts w:ascii="Times New Roman" w:hAnsi="Times New Roman" w:cs="Times New Roman"/>
        </w:rPr>
        <w:t>）：广泛分布于海浪河、牡丹江河谷地带，构成冲积平原和山间谷地。</w:t>
      </w:r>
    </w:p>
    <w:p w14:paraId="79D44BF0" w14:textId="77777777" w:rsidR="009D12AF" w:rsidRDefault="00000000">
      <w:pPr>
        <w:ind w:firstLine="480"/>
        <w:rPr>
          <w:rFonts w:ascii="Times New Roman" w:hAnsi="Times New Roman" w:cs="Times New Roman"/>
        </w:rPr>
      </w:pPr>
      <w:r>
        <w:rPr>
          <w:rFonts w:ascii="Times New Roman" w:hAnsi="Times New Roman" w:cs="Times New Roman"/>
        </w:rPr>
        <w:t>全新统（</w:t>
      </w:r>
      <w:r>
        <w:rPr>
          <w:rFonts w:ascii="Times New Roman" w:hAnsi="Times New Roman" w:cs="Times New Roman"/>
        </w:rPr>
        <w:t>Qh</w:t>
      </w:r>
      <w:r>
        <w:rPr>
          <w:rFonts w:ascii="Times New Roman" w:hAnsi="Times New Roman" w:cs="Times New Roman"/>
        </w:rPr>
        <w:t>）：现代河床的</w:t>
      </w:r>
      <w:r>
        <w:rPr>
          <w:rFonts w:ascii="Times New Roman" w:hAnsi="Times New Roman" w:cs="Times New Roman"/>
        </w:rPr>
        <w:t xml:space="preserve"> </w:t>
      </w:r>
      <w:r>
        <w:rPr>
          <w:rFonts w:ascii="Times New Roman" w:hAnsi="Times New Roman" w:cs="Times New Roman"/>
        </w:rPr>
        <w:t>砂、砾石</w:t>
      </w:r>
      <w:r>
        <w:rPr>
          <w:rFonts w:ascii="Times New Roman" w:hAnsi="Times New Roman" w:cs="Times New Roman"/>
        </w:rPr>
        <w:t xml:space="preserve"> </w:t>
      </w:r>
      <w:r>
        <w:rPr>
          <w:rFonts w:ascii="Times New Roman" w:hAnsi="Times New Roman" w:cs="Times New Roman"/>
        </w:rPr>
        <w:t>以及河漫滩的</w:t>
      </w:r>
      <w:r>
        <w:rPr>
          <w:rFonts w:ascii="Times New Roman" w:hAnsi="Times New Roman" w:cs="Times New Roman"/>
        </w:rPr>
        <w:t xml:space="preserve"> </w:t>
      </w:r>
      <w:r>
        <w:rPr>
          <w:rFonts w:ascii="Times New Roman" w:hAnsi="Times New Roman" w:cs="Times New Roman"/>
        </w:rPr>
        <w:t>亚砂土、亚粘土。</w:t>
      </w:r>
    </w:p>
    <w:p w14:paraId="607228C0" w14:textId="77777777" w:rsidR="009D12AF" w:rsidRDefault="00000000">
      <w:pPr>
        <w:ind w:firstLine="480"/>
        <w:rPr>
          <w:rFonts w:ascii="Times New Roman" w:hAnsi="Times New Roman" w:cs="Times New Roman"/>
        </w:rPr>
      </w:pPr>
      <w:r>
        <w:rPr>
          <w:rFonts w:ascii="Times New Roman" w:hAnsi="Times New Roman" w:cs="Times New Roman"/>
        </w:rPr>
        <w:t>上更新统（</w:t>
      </w:r>
      <w:r>
        <w:rPr>
          <w:rFonts w:ascii="Times New Roman" w:hAnsi="Times New Roman" w:cs="Times New Roman"/>
        </w:rPr>
        <w:t>Qp³</w:t>
      </w:r>
      <w:r>
        <w:rPr>
          <w:rFonts w:ascii="Times New Roman" w:hAnsi="Times New Roman" w:cs="Times New Roman"/>
        </w:rPr>
        <w:t>）：黄土状粘土，构成阶地。</w:t>
      </w:r>
    </w:p>
    <w:p w14:paraId="1692439D" w14:textId="77777777" w:rsidR="009D12AF" w:rsidRDefault="00000000">
      <w:pPr>
        <w:ind w:firstLine="480"/>
        <w:rPr>
          <w:rFonts w:ascii="Times New Roman" w:hAnsi="Times New Roman" w:cs="Times New Roman"/>
        </w:rPr>
      </w:pPr>
      <w:r>
        <w:rPr>
          <w:rFonts w:ascii="Times New Roman" w:hAnsi="Times New Roman" w:cs="Times New Roman" w:hint="eastAsia"/>
        </w:rPr>
        <w:t>二、</w:t>
      </w:r>
      <w:r>
        <w:rPr>
          <w:rFonts w:ascii="Times New Roman" w:hAnsi="Times New Roman" w:cs="Times New Roman"/>
        </w:rPr>
        <w:t>地质构造</w:t>
      </w:r>
    </w:p>
    <w:p w14:paraId="0438AD2A" w14:textId="77777777" w:rsidR="009D12AF" w:rsidRDefault="00000000">
      <w:pPr>
        <w:ind w:firstLine="480"/>
        <w:rPr>
          <w:rFonts w:ascii="Times New Roman" w:hAnsi="Times New Roman" w:cs="Times New Roman"/>
        </w:rPr>
      </w:pPr>
      <w:r>
        <w:rPr>
          <w:rFonts w:ascii="Times New Roman" w:hAnsi="Times New Roman" w:cs="Times New Roman"/>
        </w:rPr>
        <w:t>该区域地质构造复杂，以断裂（断层）构造为主导，褶皱构造多被后期改造而不甚明显。主要断裂带：区域上受敦化</w:t>
      </w:r>
      <w:r>
        <w:rPr>
          <w:rFonts w:ascii="Times New Roman" w:hAnsi="Times New Roman" w:cs="Times New Roman"/>
        </w:rPr>
        <w:t>-</w:t>
      </w:r>
      <w:r>
        <w:rPr>
          <w:rFonts w:ascii="Times New Roman" w:hAnsi="Times New Roman" w:cs="Times New Roman"/>
        </w:rPr>
        <w:t>密山大断裂带（一条贯穿东北的重要深大断裂）的影响和控制。该断裂带控制了沿线地区的岩浆活动、矿产分布和盆地发育。境内发育一系列北东向、北北东向的断裂，这些断裂控制了山脉、河流的走向以及盆地的格局。</w:t>
      </w:r>
    </w:p>
    <w:p w14:paraId="0D57D08B" w14:textId="77777777" w:rsidR="009D12AF" w:rsidRDefault="00000000">
      <w:pPr>
        <w:ind w:firstLine="480"/>
        <w:rPr>
          <w:rFonts w:ascii="Times New Roman" w:hAnsi="Times New Roman" w:cs="Times New Roman"/>
        </w:rPr>
      </w:pPr>
      <w:r>
        <w:rPr>
          <w:rFonts w:ascii="Times New Roman" w:hAnsi="Times New Roman" w:cs="Times New Roman"/>
        </w:rPr>
        <w:t>构造特征：经历了华力西期、印支期、燕山期等多期构造运动，其中燕山运动（中生代）的影响最为显著，造成了大规模的岩浆侵入和火山喷发，塑造了现代地貌的基本骨架。</w:t>
      </w:r>
    </w:p>
    <w:p w14:paraId="7CE82561" w14:textId="77777777" w:rsidR="009D12AF" w:rsidRDefault="00000000">
      <w:pPr>
        <w:ind w:firstLine="480"/>
        <w:rPr>
          <w:rFonts w:ascii="Times New Roman" w:hAnsi="Times New Roman" w:cs="Times New Roman"/>
        </w:rPr>
      </w:pPr>
      <w:r>
        <w:rPr>
          <w:rFonts w:ascii="Times New Roman" w:hAnsi="Times New Roman" w:cs="Times New Roman" w:hint="eastAsia"/>
        </w:rPr>
        <w:t>三、水文地质条件及地下水类型</w:t>
      </w:r>
    </w:p>
    <w:p w14:paraId="70EF05FA" w14:textId="77777777" w:rsidR="009D12AF" w:rsidRDefault="00000000">
      <w:pPr>
        <w:ind w:firstLine="480"/>
        <w:rPr>
          <w:rFonts w:ascii="Times New Roman" w:hAnsi="Times New Roman" w:cs="Times New Roman"/>
        </w:rPr>
      </w:pPr>
      <w:r>
        <w:rPr>
          <w:rFonts w:ascii="Times New Roman" w:hAnsi="Times New Roman" w:cs="Times New Roman"/>
        </w:rPr>
        <w:t>山地丘陵区（西部张广才岭）：该区域基岩广泛出露，主要为花岗岩等岩浆岩。地下水主要赋存在岩石的风化裂隙和构造裂隙中。其富水性（出水能力）极不均匀，取决于裂隙的发育程度。通常，山谷和断裂带附近的裂隙更发育，富水性更好。</w:t>
      </w:r>
    </w:p>
    <w:p w14:paraId="1CC53EE2" w14:textId="77777777" w:rsidR="009D12AF" w:rsidRDefault="00000000">
      <w:pPr>
        <w:ind w:firstLine="480"/>
        <w:rPr>
          <w:rFonts w:ascii="Times New Roman" w:hAnsi="Times New Roman" w:cs="Times New Roman"/>
        </w:rPr>
      </w:pPr>
      <w:r>
        <w:rPr>
          <w:rFonts w:ascii="Times New Roman" w:hAnsi="Times New Roman" w:cs="Times New Roman"/>
        </w:rPr>
        <w:t>山前倾斜平原区（中部丘陵岗地）：是山区向平原的过渡带，地形波状起伏。地下水主要赋存在第四纪砂、砾石层的孔隙中，同时也接受下部基岩裂隙水的补</w:t>
      </w:r>
      <w:r>
        <w:rPr>
          <w:rFonts w:ascii="Times New Roman" w:hAnsi="Times New Roman" w:cs="Times New Roman"/>
        </w:rPr>
        <w:lastRenderedPageBreak/>
        <w:t>给。含水层厚度逐渐变厚，富水性优于山区。</w:t>
      </w:r>
    </w:p>
    <w:p w14:paraId="560A2FB4" w14:textId="77777777" w:rsidR="009D12AF" w:rsidRDefault="00000000">
      <w:pPr>
        <w:ind w:firstLine="480"/>
        <w:rPr>
          <w:rFonts w:ascii="Times New Roman" w:hAnsi="Times New Roman" w:cs="Times New Roman"/>
        </w:rPr>
      </w:pPr>
      <w:r>
        <w:rPr>
          <w:rFonts w:ascii="Times New Roman" w:hAnsi="Times New Roman" w:cs="Times New Roman"/>
        </w:rPr>
        <w:t>河谷平原区（东部海浪河、牡丹江沿岸）：这是海林市地下水最丰富的地区。赋存于巨厚的第四纪冲积、冲洪积砂、砾石层孔隙中。含水层结构好，厚度大，渗透性强，易于接受降水和河水的入渗补给，是主要的供水水源地。</w:t>
      </w:r>
    </w:p>
    <w:p w14:paraId="5FD4F0CB" w14:textId="77777777" w:rsidR="009D12AF" w:rsidRDefault="00000000">
      <w:pPr>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）松散岩类孔隙水</w:t>
      </w:r>
    </w:p>
    <w:p w14:paraId="072684E0" w14:textId="77777777" w:rsidR="009D12AF" w:rsidRDefault="00000000">
      <w:pPr>
        <w:ind w:firstLine="480"/>
        <w:rPr>
          <w:rFonts w:ascii="Times New Roman" w:hAnsi="Times New Roman" w:cs="Times New Roman"/>
        </w:rPr>
      </w:pPr>
      <w:r>
        <w:rPr>
          <w:rFonts w:ascii="Times New Roman" w:hAnsi="Times New Roman" w:cs="Times New Roman"/>
        </w:rPr>
        <w:t>分布：主要分布于东部海浪河、牡丹江及其支流的河谷平原和山前倾斜平原。</w:t>
      </w:r>
    </w:p>
    <w:p w14:paraId="6BC432C7" w14:textId="77777777" w:rsidR="009D12AF" w:rsidRDefault="00000000">
      <w:pPr>
        <w:ind w:firstLine="480"/>
        <w:rPr>
          <w:rFonts w:ascii="Times New Roman" w:hAnsi="Times New Roman" w:cs="Times New Roman"/>
        </w:rPr>
      </w:pPr>
      <w:r>
        <w:rPr>
          <w:rFonts w:ascii="Times New Roman" w:hAnsi="Times New Roman" w:cs="Times New Roman"/>
        </w:rPr>
        <w:t>特征：赋存于第四系砂、砾石孔隙中。含水层层次多，厚度大，透水性强，水量丰富。单井涌水量大，是海林市最重要的地下水开采类型。水质普遍较好，多为</w:t>
      </w:r>
      <w:r>
        <w:rPr>
          <w:rFonts w:ascii="Times New Roman" w:hAnsi="Times New Roman" w:cs="Times New Roman"/>
        </w:rPr>
        <w:t>HCO₃-Ca·Mg</w:t>
      </w:r>
      <w:r>
        <w:rPr>
          <w:rFonts w:ascii="Times New Roman" w:hAnsi="Times New Roman" w:cs="Times New Roman"/>
        </w:rPr>
        <w:t>型淡水。</w:t>
      </w:r>
    </w:p>
    <w:p w14:paraId="60DCFF57" w14:textId="77777777" w:rsidR="009D12AF" w:rsidRDefault="00000000">
      <w:pPr>
        <w:ind w:firstLine="480"/>
        <w:rPr>
          <w:rFonts w:ascii="Times New Roman" w:hAnsi="Times New Roman" w:cs="Times New Roman"/>
        </w:rPr>
      </w:pPr>
      <w:r>
        <w:rPr>
          <w:rFonts w:ascii="Times New Roman" w:hAnsi="Times New Roman" w:cs="Times New Roman"/>
        </w:rPr>
        <w:t>重要性：是海林市城镇供水、农业灌溉和工业用水的主要水源。</w:t>
      </w:r>
    </w:p>
    <w:p w14:paraId="193CA0F9" w14:textId="77777777" w:rsidR="009D12AF" w:rsidRDefault="00000000">
      <w:pPr>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）基岩裂隙水</w:t>
      </w:r>
    </w:p>
    <w:p w14:paraId="45F8274E" w14:textId="77777777" w:rsidR="009D12AF" w:rsidRDefault="00000000">
      <w:pPr>
        <w:ind w:firstLine="480"/>
        <w:rPr>
          <w:rFonts w:ascii="Times New Roman" w:hAnsi="Times New Roman" w:cs="Times New Roman"/>
        </w:rPr>
      </w:pPr>
      <w:r>
        <w:rPr>
          <w:rFonts w:ascii="Times New Roman" w:hAnsi="Times New Roman" w:cs="Times New Roman"/>
        </w:rPr>
        <w:t>分布：广泛分布于西部和北部的张广才岭山区及丘陵地带。</w:t>
      </w:r>
    </w:p>
    <w:p w14:paraId="5C08B3AD" w14:textId="77777777" w:rsidR="009D12AF" w:rsidRDefault="00000000">
      <w:pPr>
        <w:ind w:firstLine="480"/>
        <w:rPr>
          <w:rFonts w:ascii="Times New Roman" w:hAnsi="Times New Roman" w:cs="Times New Roman"/>
        </w:rPr>
      </w:pPr>
      <w:r>
        <w:rPr>
          <w:rFonts w:ascii="Times New Roman" w:hAnsi="Times New Roman" w:cs="Times New Roman"/>
        </w:rPr>
        <w:t>特征：赋存于花岗岩、变质岩等坚硬岩石的风化裂隙和构造裂隙中。其分布极不均匀，富水性差异很大。通常，构造断裂带、岩石风化壳底层是富水地段。单井涌水量远小于孔隙水。水质较好，矿化度低。</w:t>
      </w:r>
    </w:p>
    <w:p w14:paraId="54E1D39B" w14:textId="77777777" w:rsidR="009D12AF" w:rsidRDefault="00000000">
      <w:pPr>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）碎屑岩类孔隙裂隙水</w:t>
      </w:r>
    </w:p>
    <w:p w14:paraId="767FC064" w14:textId="77777777" w:rsidR="009D12AF" w:rsidRDefault="00000000">
      <w:pPr>
        <w:ind w:firstLine="480"/>
        <w:rPr>
          <w:rFonts w:ascii="Times New Roman" w:hAnsi="Times New Roman" w:cs="Times New Roman"/>
        </w:rPr>
      </w:pPr>
      <w:r>
        <w:rPr>
          <w:rFonts w:ascii="Times New Roman" w:hAnsi="Times New Roman" w:cs="Times New Roman"/>
        </w:rPr>
        <w:t>分布：分布相对局限，主要存在于一些中生代白垩系、古近系的砂岩、砾岩地层中（如含煤地层）。</w:t>
      </w:r>
    </w:p>
    <w:p w14:paraId="1E04A96D" w14:textId="77777777" w:rsidR="009D12AF" w:rsidRDefault="00000000">
      <w:pPr>
        <w:ind w:firstLine="480"/>
        <w:rPr>
          <w:rFonts w:ascii="Times New Roman" w:hAnsi="Times New Roman" w:cs="Times New Roman"/>
        </w:rPr>
      </w:pPr>
      <w:r>
        <w:rPr>
          <w:rFonts w:ascii="Times New Roman" w:hAnsi="Times New Roman" w:cs="Times New Roman"/>
        </w:rPr>
        <w:t>特征：地下水既赋存于岩石的成岩孔隙中，也赋存在构造裂隙中。富水性一般弱于松散孔隙水，但强于大部分基岩裂隙水。其水质变化较大，取决于其所处的地层环境和埋藏深度。</w:t>
      </w:r>
    </w:p>
    <w:p w14:paraId="33E4800F" w14:textId="77777777" w:rsidR="009D12AF" w:rsidRDefault="00000000">
      <w:pPr>
        <w:ind w:firstLine="480"/>
      </w:pPr>
      <w:r>
        <w:t>综上所述，海林市的水文地质条件具有明显的分带规律：西部山区：以基岩裂隙水为主，是区域地下水的补给区和水源涵养区。中部过渡区：地下水类型过渡，由裂隙水逐渐变为孔隙水，水位埋深变浅。东部平原区：以松散岩类孔隙水为主，是地下水的主要径流、富集和开采区。</w:t>
      </w:r>
    </w:p>
    <w:p w14:paraId="60118189" w14:textId="77777777" w:rsidR="009D12AF" w:rsidRDefault="00000000">
      <w:pPr>
        <w:ind w:firstLine="480"/>
      </w:pPr>
      <w:r>
        <w:rPr>
          <w:rFonts w:hint="eastAsia"/>
        </w:rPr>
        <w:t>四、地下水的补给、径流及排泄条件</w:t>
      </w:r>
    </w:p>
    <w:p w14:paraId="1AA3468E" w14:textId="77777777" w:rsidR="009D12AF" w:rsidRDefault="00000000">
      <w:pPr>
        <w:ind w:firstLine="480"/>
      </w:pPr>
      <w:r>
        <w:t>（</w:t>
      </w:r>
      <w:r>
        <w:t>1</w:t>
      </w:r>
      <w:r>
        <w:t>）地下水的补给</w:t>
      </w:r>
    </w:p>
    <w:p w14:paraId="04D66AA4" w14:textId="77777777" w:rsidR="009D12AF" w:rsidRDefault="00000000">
      <w:pPr>
        <w:ind w:firstLine="480"/>
      </w:pPr>
      <w:r>
        <w:t>地下水的补给来源主要是指水分从外界进入地下水系统的过程。海林市地下</w:t>
      </w:r>
      <w:r>
        <w:lastRenderedPageBreak/>
        <w:t>水补给主要依靠</w:t>
      </w:r>
      <w:r>
        <w:t xml:space="preserve"> </w:t>
      </w:r>
      <w:r>
        <w:t>大气降水，其次是地表水体的入渗。</w:t>
      </w:r>
    </w:p>
    <w:p w14:paraId="30C5B9C5" w14:textId="77777777" w:rsidR="009D12AF" w:rsidRDefault="00000000">
      <w:pPr>
        <w:ind w:firstLine="480"/>
        <w:rPr>
          <w:highlight w:val="yellow"/>
        </w:rPr>
      </w:pPr>
      <w:r>
        <w:rPr>
          <w:rFonts w:hint="eastAsia"/>
        </w:rPr>
        <w:t>海林市</w:t>
      </w:r>
      <w:r>
        <w:t>地下水的补给主要为大气降水、地表水入渗补给潜水，其中大气降水入渗，是最主要的补给方式。</w:t>
      </w:r>
    </w:p>
    <w:p w14:paraId="2C748A24" w14:textId="77777777" w:rsidR="009D12AF" w:rsidRDefault="00000000">
      <w:pPr>
        <w:ind w:firstLine="480"/>
      </w:pPr>
      <w:r>
        <w:t>（</w:t>
      </w:r>
      <w:r>
        <w:t>2</w:t>
      </w:r>
      <w:r>
        <w:t>）地下水的径流</w:t>
      </w:r>
    </w:p>
    <w:p w14:paraId="0DE45D2D" w14:textId="77777777" w:rsidR="009D12AF" w:rsidRDefault="00000000">
      <w:pPr>
        <w:ind w:firstLine="480"/>
      </w:pPr>
      <w:r>
        <w:t>地下水径流是指地下水在含水层中流动的过程。其径流条件受地形、含水层介质和构造控制，方向总体上与地表水流向一致。总体趋势：受地势控制，地下水总体径流方向为自西向东、自北向南，即从西部张广才岭山区流向东部海浪河河谷平原，并最终汇向牡丹江干流。</w:t>
      </w:r>
    </w:p>
    <w:p w14:paraId="0CD72F83" w14:textId="77777777" w:rsidR="009D12AF" w:rsidRDefault="00000000">
      <w:pPr>
        <w:ind w:firstLine="480"/>
      </w:pPr>
      <w:r>
        <w:t>（</w:t>
      </w:r>
      <w:r>
        <w:t>3</w:t>
      </w:r>
      <w:r>
        <w:t>）地下水的排泄</w:t>
      </w:r>
    </w:p>
    <w:p w14:paraId="364675DA" w14:textId="77777777" w:rsidR="009D12AF" w:rsidRDefault="00000000">
      <w:pPr>
        <w:ind w:firstLine="480"/>
      </w:pPr>
      <w:r>
        <w:t>蒸发是潜水浅埋藏区地下水的主要排泄方式之一，此外，一部分地下水径流排泄于</w:t>
      </w:r>
      <w:r>
        <w:rPr>
          <w:rFonts w:hint="eastAsia"/>
        </w:rPr>
        <w:t>牡丹江</w:t>
      </w:r>
      <w:r>
        <w:t>干流，人工开采也是地下水主要排泄方式。</w:t>
      </w:r>
    </w:p>
    <w:p w14:paraId="48240E0D" w14:textId="77777777" w:rsidR="009D12AF" w:rsidRDefault="00000000">
      <w:pPr>
        <w:pStyle w:val="3"/>
      </w:pPr>
      <w:bookmarkStart w:id="173" w:name="_Toc31796"/>
      <w:bookmarkStart w:id="174" w:name="_Toc17680"/>
      <w:bookmarkStart w:id="175" w:name="_Toc32101"/>
      <w:bookmarkStart w:id="176" w:name="_Toc28362"/>
      <w:r>
        <w:rPr>
          <w:rFonts w:hint="eastAsia"/>
        </w:rPr>
        <w:t>4</w:t>
      </w:r>
      <w:r>
        <w:t xml:space="preserve">.1.6 </w:t>
      </w:r>
      <w:r>
        <w:t>土壤与植被情况</w:t>
      </w:r>
      <w:bookmarkEnd w:id="173"/>
      <w:bookmarkEnd w:id="174"/>
      <w:bookmarkEnd w:id="175"/>
      <w:bookmarkEnd w:id="176"/>
    </w:p>
    <w:p w14:paraId="2A3BEB1B" w14:textId="77777777" w:rsidR="009D12AF" w:rsidRDefault="00000000">
      <w:pPr>
        <w:ind w:firstLine="480"/>
      </w:pPr>
      <w:r>
        <w:t>（</w:t>
      </w:r>
      <w:r>
        <w:t>1</w:t>
      </w:r>
      <w:r>
        <w:t>）土壤</w:t>
      </w:r>
    </w:p>
    <w:p w14:paraId="57B7313D" w14:textId="77777777" w:rsidR="009D12AF" w:rsidRDefault="00000000">
      <w:pPr>
        <w:ind w:firstLine="480"/>
      </w:pPr>
      <w:r>
        <w:rPr>
          <w:rFonts w:hint="eastAsia"/>
        </w:rPr>
        <w:t>海林市土壤类型较为复杂，主要包括暗棕壤、白浆土、草甸土、黑土、沼泽土、水稻土、泥炭土等共</w:t>
      </w:r>
      <w:r>
        <w:rPr>
          <w:rFonts w:hint="eastAsia"/>
        </w:rPr>
        <w:t>8</w:t>
      </w:r>
      <w:r>
        <w:rPr>
          <w:rFonts w:hint="eastAsia"/>
        </w:rPr>
        <w:t>个土类。</w:t>
      </w:r>
    </w:p>
    <w:p w14:paraId="29E8E779" w14:textId="77777777" w:rsidR="009D12AF" w:rsidRDefault="00000000">
      <w:pPr>
        <w:ind w:firstLine="480"/>
      </w:pPr>
      <w:r>
        <w:t>（</w:t>
      </w:r>
      <w:r>
        <w:t>2</w:t>
      </w:r>
      <w:r>
        <w:t>）植被</w:t>
      </w:r>
    </w:p>
    <w:p w14:paraId="6704DF87" w14:textId="77777777" w:rsidR="009D12AF" w:rsidRDefault="00000000">
      <w:pPr>
        <w:ind w:firstLine="480"/>
      </w:pPr>
      <w:r>
        <w:t>海林市的植被状况是其</w:t>
      </w:r>
      <w:r>
        <w:t xml:space="preserve"> “</w:t>
      </w:r>
      <w:r>
        <w:t>七山二水一分田</w:t>
      </w:r>
      <w:r>
        <w:t xml:space="preserve">” </w:t>
      </w:r>
      <w:r>
        <w:t>地貌格局、温带大陆性季风气候以及丰富土壤类型的直接反映。植被分布具有极其明显的垂直地带性和水平地带性规律，整体上属于温带针阔叶混交林区域，是中国东北地区森林资源的富集区之一。</w:t>
      </w:r>
    </w:p>
    <w:p w14:paraId="41001E53" w14:textId="77777777" w:rsidR="009D12AF" w:rsidRDefault="00000000">
      <w:pPr>
        <w:ind w:firstLine="480"/>
      </w:pPr>
      <w:r>
        <w:t>海林市的植被可以划分为以下几个主要类型：</w:t>
      </w:r>
    </w:p>
    <w:p w14:paraId="3C983FA7" w14:textId="77777777" w:rsidR="009D12AF" w:rsidRDefault="00000000">
      <w:pPr>
        <w:ind w:firstLine="480"/>
      </w:pPr>
      <w:r>
        <w:t xml:space="preserve">1. </w:t>
      </w:r>
      <w:r>
        <w:t>山地森林植被（核心植被类型）</w:t>
      </w:r>
      <w:r>
        <w:t xml:space="preserve"> </w:t>
      </w:r>
      <w:r>
        <w:t>这是海林市分布最广、最重要的植被类型，主要覆盖西部的张广才岭。</w:t>
      </w:r>
    </w:p>
    <w:p w14:paraId="37CEB9EB" w14:textId="77777777" w:rsidR="009D12AF" w:rsidRDefault="00000000">
      <w:pPr>
        <w:ind w:firstLine="480"/>
      </w:pPr>
      <w:r>
        <w:t>寒温性针叶林：通常分布在海拔较高（约</w:t>
      </w:r>
      <w:r>
        <w:t>800-1000</w:t>
      </w:r>
      <w:r>
        <w:t>米以上）的山脊或阴坡。代表树种：鱼鳞云杉、红皮云杉、臭冷杉等。这些树种耐寒性强，形成的林分郁闭度高，林下较阴暗。</w:t>
      </w:r>
    </w:p>
    <w:p w14:paraId="10BF3475" w14:textId="77777777" w:rsidR="009D12AF" w:rsidRDefault="00000000">
      <w:pPr>
        <w:ind w:firstLine="480"/>
      </w:pPr>
      <w:r>
        <w:t>温性针阔叶混交林：这是海林市最具代表性的森林类型，分布于中低山（海</w:t>
      </w:r>
      <w:r>
        <w:lastRenderedPageBreak/>
        <w:t>拔</w:t>
      </w:r>
      <w:r>
        <w:t>300-800</w:t>
      </w:r>
      <w:r>
        <w:t>米）的广大区域。是</w:t>
      </w:r>
      <w:r>
        <w:t>“</w:t>
      </w:r>
      <w:r>
        <w:t>红松阔叶林</w:t>
      </w:r>
      <w:r>
        <w:t>”</w:t>
      </w:r>
      <w:r>
        <w:t>的分布中心。代表树种：针叶树：红松（标志性树种）、杉松冷杉。</w:t>
      </w:r>
    </w:p>
    <w:p w14:paraId="124C15F1" w14:textId="77777777" w:rsidR="009D12AF" w:rsidRDefault="00000000">
      <w:pPr>
        <w:ind w:firstLine="480"/>
      </w:pPr>
      <w:r>
        <w:t>阔叶树：非常丰富，包括蒙古栎（柞树）、紫椴、水曲柳、黄檗（黄菠萝）、胡桃楸、白桦、枫桦、色木槭等。这些树种混交生长，构成了复杂稳定的森林生态系统，生物多样性极高。</w:t>
      </w:r>
    </w:p>
    <w:p w14:paraId="0BF28330" w14:textId="77777777" w:rsidR="009D12AF" w:rsidRDefault="00000000">
      <w:pPr>
        <w:ind w:firstLine="480"/>
      </w:pPr>
      <w:r>
        <w:t>次生阔叶林：广泛存在于低山丘陵地区。这是由于原始红松针阔混交林经过多年采伐或破坏后，演替形成的次生林。代表树种：以蒙古栎林（柞树林）、白桦林、山杨林为主。这些树种萌蘖能力强，是森林恢复的先锋树种。</w:t>
      </w:r>
    </w:p>
    <w:p w14:paraId="719F8A99" w14:textId="77777777" w:rsidR="009D12AF" w:rsidRDefault="00000000">
      <w:pPr>
        <w:numPr>
          <w:ilvl w:val="0"/>
          <w:numId w:val="4"/>
        </w:numPr>
        <w:ind w:firstLine="480"/>
      </w:pPr>
      <w:r>
        <w:t>丘陵岗地植被</w:t>
      </w:r>
    </w:p>
    <w:p w14:paraId="1094F856" w14:textId="77777777" w:rsidR="009D12AF" w:rsidRDefault="00000000">
      <w:pPr>
        <w:ind w:firstLine="480"/>
      </w:pPr>
      <w:r>
        <w:rPr>
          <w:rFonts w:hint="eastAsia"/>
        </w:rPr>
        <w:t>主要分布在</w:t>
      </w:r>
      <w:r>
        <w:t>山区向平原过渡的丘陵漫岗地带。植被类型：灌丛</w:t>
      </w:r>
      <w:r>
        <w:rPr>
          <w:rFonts w:hint="eastAsia"/>
        </w:rPr>
        <w:t>、</w:t>
      </w:r>
      <w:r>
        <w:t>疏林草地</w:t>
      </w:r>
      <w:r>
        <w:rPr>
          <w:rFonts w:hint="eastAsia"/>
        </w:rPr>
        <w:t>、</w:t>
      </w:r>
      <w:r>
        <w:t>人工林</w:t>
      </w:r>
      <w:r>
        <w:rPr>
          <w:rFonts w:hint="eastAsia"/>
        </w:rPr>
        <w:t>。</w:t>
      </w:r>
    </w:p>
    <w:p w14:paraId="3E07AC52" w14:textId="77777777" w:rsidR="009D12AF" w:rsidRDefault="00000000">
      <w:pPr>
        <w:ind w:firstLine="480"/>
      </w:pPr>
      <w:r>
        <w:t xml:space="preserve">3. </w:t>
      </w:r>
      <w:r>
        <w:t>河谷平原植被</w:t>
      </w:r>
    </w:p>
    <w:p w14:paraId="476A9EA7" w14:textId="77777777" w:rsidR="009D12AF" w:rsidRDefault="00000000">
      <w:pPr>
        <w:ind w:firstLine="480"/>
      </w:pPr>
      <w:r>
        <w:rPr>
          <w:rFonts w:hint="eastAsia"/>
        </w:rPr>
        <w:t>主要分布在</w:t>
      </w:r>
      <w:r>
        <w:t>海浪河、牡丹江等河流沿岸的平原和低阶地。</w:t>
      </w:r>
    </w:p>
    <w:p w14:paraId="605556D7" w14:textId="77777777" w:rsidR="009D12AF" w:rsidRDefault="00000000">
      <w:pPr>
        <w:ind w:firstLine="480"/>
      </w:pPr>
      <w:r>
        <w:t>植被类型：农业植被</w:t>
      </w:r>
      <w:r>
        <w:rPr>
          <w:rFonts w:hint="eastAsia"/>
        </w:rPr>
        <w:t>、</w:t>
      </w:r>
      <w:r>
        <w:t>草甸植被</w:t>
      </w:r>
      <w:r>
        <w:rPr>
          <w:rFonts w:hint="eastAsia"/>
        </w:rPr>
        <w:t>、</w:t>
      </w:r>
      <w:r>
        <w:t>河岸植被。</w:t>
      </w:r>
    </w:p>
    <w:p w14:paraId="44F15EB5" w14:textId="77777777" w:rsidR="009D12AF" w:rsidRDefault="00000000">
      <w:pPr>
        <w:ind w:firstLine="480"/>
      </w:pPr>
      <w:r>
        <w:t xml:space="preserve">4. </w:t>
      </w:r>
      <w:r>
        <w:t>沼泽与水生植被</w:t>
      </w:r>
    </w:p>
    <w:p w14:paraId="7ACB0F1B" w14:textId="77777777" w:rsidR="009D12AF" w:rsidRDefault="00000000">
      <w:pPr>
        <w:ind w:firstLine="480"/>
      </w:pPr>
      <w:r>
        <w:rPr>
          <w:rFonts w:hint="eastAsia"/>
        </w:rPr>
        <w:t>主要</w:t>
      </w:r>
      <w:r>
        <w:t>分布</w:t>
      </w:r>
      <w:r>
        <w:rPr>
          <w:rFonts w:hint="eastAsia"/>
        </w:rPr>
        <w:t>在</w:t>
      </w:r>
      <w:r>
        <w:t>山间沟谷、河流洼地等积水区域。</w:t>
      </w:r>
    </w:p>
    <w:p w14:paraId="5B0F7857" w14:textId="77777777" w:rsidR="009D12AF" w:rsidRDefault="00000000">
      <w:pPr>
        <w:ind w:firstLine="480"/>
      </w:pPr>
      <w:r>
        <w:t>植被类型：生长着苔草、芦苇、香蒲、菖蒲等沼生植物，以及睡莲、浮萍等水生植物。</w:t>
      </w:r>
    </w:p>
    <w:p w14:paraId="7B88936B" w14:textId="77777777" w:rsidR="009D12AF" w:rsidRDefault="00000000">
      <w:pPr>
        <w:pStyle w:val="3"/>
      </w:pPr>
      <w:bookmarkStart w:id="177" w:name="_Toc29603"/>
      <w:bookmarkStart w:id="178" w:name="_Toc3105"/>
      <w:bookmarkStart w:id="179" w:name="_Toc23893"/>
      <w:bookmarkStart w:id="180" w:name="_Toc5112"/>
      <w:r>
        <w:t xml:space="preserve">4.1.7 </w:t>
      </w:r>
      <w:r>
        <w:t>野生动物分布</w:t>
      </w:r>
      <w:bookmarkEnd w:id="177"/>
      <w:bookmarkEnd w:id="178"/>
      <w:bookmarkEnd w:id="179"/>
      <w:bookmarkEnd w:id="180"/>
      <w:r>
        <w:t xml:space="preserve"> </w:t>
      </w:r>
    </w:p>
    <w:p w14:paraId="418C6CB4" w14:textId="77777777" w:rsidR="009D12AF" w:rsidRDefault="00000000">
      <w:pPr>
        <w:ind w:firstLine="480"/>
      </w:pPr>
      <w:r>
        <w:t>区域内野生动物种类和数量均较少，伴随人类生存的耕地小型鼠类、麻雀、家燕等种群数量较多，使陆生动物区系具有典型的耕地动物群色彩。</w:t>
      </w:r>
    </w:p>
    <w:p w14:paraId="4333008B" w14:textId="77777777" w:rsidR="009D12AF" w:rsidRDefault="00000000">
      <w:pPr>
        <w:pStyle w:val="2"/>
      </w:pPr>
      <w:bookmarkStart w:id="181" w:name="_Toc19966"/>
      <w:r>
        <w:t>4.2</w:t>
      </w:r>
      <w:r>
        <w:t>环境保护目标调查</w:t>
      </w:r>
      <w:bookmarkEnd w:id="181"/>
    </w:p>
    <w:p w14:paraId="16A8B575" w14:textId="77777777" w:rsidR="009D12AF" w:rsidRDefault="00000000">
      <w:pPr>
        <w:pStyle w:val="3"/>
      </w:pPr>
      <w:bookmarkStart w:id="182" w:name="_Toc12393"/>
      <w:bookmarkStart w:id="183" w:name="_Toc32501"/>
      <w:bookmarkStart w:id="184" w:name="_Toc11752"/>
      <w:bookmarkStart w:id="185" w:name="_Toc24045"/>
      <w:r>
        <w:t xml:space="preserve">4.2.1 </w:t>
      </w:r>
      <w:r>
        <w:t>环境功能区划</w:t>
      </w:r>
      <w:bookmarkEnd w:id="182"/>
      <w:bookmarkEnd w:id="183"/>
      <w:bookmarkEnd w:id="184"/>
      <w:bookmarkEnd w:id="185"/>
    </w:p>
    <w:p w14:paraId="6145FEA0" w14:textId="77777777" w:rsidR="009D12AF" w:rsidRDefault="00000000">
      <w:pPr>
        <w:ind w:firstLine="480"/>
        <w:rPr>
          <w:rFonts w:eastAsia="宋体"/>
          <w:kern w:val="0"/>
        </w:rPr>
      </w:pPr>
      <w:r>
        <w:rPr>
          <w:rFonts w:eastAsia="宋体" w:hint="eastAsia"/>
          <w:kern w:val="0"/>
        </w:rPr>
        <w:t>1</w:t>
      </w:r>
      <w:r>
        <w:rPr>
          <w:rFonts w:eastAsia="宋体" w:hint="eastAsia"/>
          <w:kern w:val="0"/>
        </w:rPr>
        <w:t>、环境空气</w:t>
      </w:r>
    </w:p>
    <w:p w14:paraId="55463802" w14:textId="77777777" w:rsidR="009D12AF" w:rsidRDefault="00000000">
      <w:pPr>
        <w:ind w:firstLine="480"/>
        <w:rPr>
          <w:rFonts w:eastAsia="宋体"/>
          <w:snapToGrid w:val="0"/>
          <w:kern w:val="0"/>
        </w:rPr>
      </w:pPr>
      <w:r>
        <w:rPr>
          <w:rFonts w:eastAsia="宋体"/>
          <w:kern w:val="0"/>
        </w:rPr>
        <w:t>本项目施工区域位于</w:t>
      </w:r>
      <w:r>
        <w:rPr>
          <w:rFonts w:eastAsia="宋体" w:hint="eastAsia"/>
          <w:kern w:val="0"/>
        </w:rPr>
        <w:t>海林市</w:t>
      </w:r>
      <w:r>
        <w:rPr>
          <w:rFonts w:eastAsia="宋体"/>
          <w:kern w:val="0"/>
        </w:rPr>
        <w:t>，根据环境空气质量功能区划，本评价范围内</w:t>
      </w:r>
      <w:r>
        <w:rPr>
          <w:rFonts w:eastAsia="宋体" w:hint="eastAsia"/>
          <w:kern w:val="0"/>
        </w:rPr>
        <w:t>群</w:t>
      </w:r>
      <w:r>
        <w:rPr>
          <w:rFonts w:eastAsia="宋体" w:hint="eastAsia"/>
          <w:kern w:val="0"/>
        </w:rPr>
        <w:lastRenderedPageBreak/>
        <w:t>力水库</w:t>
      </w:r>
      <w:r>
        <w:rPr>
          <w:rFonts w:eastAsia="宋体"/>
          <w:kern w:val="0"/>
        </w:rPr>
        <w:t>环境空气质量功能为</w:t>
      </w:r>
      <w:r>
        <w:rPr>
          <w:rFonts w:eastAsia="宋体" w:hint="eastAsia"/>
          <w:kern w:val="0"/>
        </w:rPr>
        <w:t>一</w:t>
      </w:r>
      <w:r>
        <w:rPr>
          <w:rFonts w:eastAsia="宋体"/>
          <w:kern w:val="0"/>
        </w:rPr>
        <w:t>类区</w:t>
      </w:r>
      <w:r>
        <w:rPr>
          <w:rFonts w:eastAsia="宋体" w:hint="eastAsia"/>
          <w:kern w:val="0"/>
        </w:rPr>
        <w:t>，万丈水库、长石水库、新安晒水池、向阳水电站前池环境空气质量功能均为二类区</w:t>
      </w:r>
      <w:r>
        <w:rPr>
          <w:rFonts w:eastAsia="宋体"/>
          <w:kern w:val="0"/>
        </w:rPr>
        <w:t>。评价区环境空气质量标准执行国家《环境空气质量标准》（</w:t>
      </w:r>
      <w:r>
        <w:rPr>
          <w:rFonts w:eastAsia="宋体"/>
          <w:kern w:val="0"/>
        </w:rPr>
        <w:t>GB3095-2012</w:t>
      </w:r>
      <w:r>
        <w:rPr>
          <w:rFonts w:eastAsia="宋体"/>
          <w:kern w:val="0"/>
        </w:rPr>
        <w:t>）中二级标准。</w:t>
      </w:r>
      <w:r>
        <w:rPr>
          <w:rFonts w:eastAsia="宋体"/>
          <w:snapToGrid w:val="0"/>
          <w:kern w:val="0"/>
        </w:rPr>
        <w:t>本项目所在区域不在酸雨和二氧化硫控制区内。</w:t>
      </w:r>
    </w:p>
    <w:p w14:paraId="01DF968C" w14:textId="77777777" w:rsidR="009D12AF" w:rsidRDefault="00000000">
      <w:pPr>
        <w:ind w:firstLine="480"/>
      </w:pPr>
      <w:r>
        <w:rPr>
          <w:rFonts w:hint="eastAsia"/>
        </w:rPr>
        <w:t>2</w:t>
      </w:r>
      <w:r>
        <w:rPr>
          <w:rFonts w:hint="eastAsia"/>
        </w:rPr>
        <w:t>、声环境</w:t>
      </w:r>
    </w:p>
    <w:p w14:paraId="799F28F6" w14:textId="77777777" w:rsidR="009D12AF" w:rsidRDefault="00000000">
      <w:pPr>
        <w:ind w:firstLine="480"/>
        <w:rPr>
          <w:rFonts w:eastAsia="宋体"/>
          <w:snapToGrid w:val="0"/>
          <w:kern w:val="0"/>
        </w:rPr>
      </w:pPr>
      <w:r>
        <w:rPr>
          <w:rFonts w:eastAsia="宋体"/>
          <w:szCs w:val="30"/>
        </w:rPr>
        <w:t>根据《声环境质量标准》的相关要求</w:t>
      </w:r>
      <w:r>
        <w:rPr>
          <w:rFonts w:eastAsia="宋体" w:hint="eastAsia"/>
          <w:szCs w:val="30"/>
        </w:rPr>
        <w:t>，</w:t>
      </w:r>
      <w:r>
        <w:rPr>
          <w:rFonts w:eastAsia="宋体"/>
          <w:szCs w:val="30"/>
        </w:rPr>
        <w:t>本项目施工所在区域执行《声环境质量标准》（</w:t>
      </w:r>
      <w:r>
        <w:rPr>
          <w:rFonts w:eastAsia="宋体"/>
          <w:szCs w:val="30"/>
        </w:rPr>
        <w:t>GB3096-2008</w:t>
      </w:r>
      <w:r>
        <w:rPr>
          <w:rFonts w:eastAsia="宋体"/>
          <w:szCs w:val="30"/>
        </w:rPr>
        <w:t>）</w:t>
      </w:r>
      <w:r>
        <w:rPr>
          <w:rFonts w:eastAsia="宋体" w:hint="eastAsia"/>
          <w:szCs w:val="30"/>
        </w:rPr>
        <w:t>1</w:t>
      </w:r>
      <w:r>
        <w:rPr>
          <w:rFonts w:eastAsia="宋体"/>
          <w:szCs w:val="30"/>
        </w:rPr>
        <w:t>类标准</w:t>
      </w:r>
      <w:r>
        <w:rPr>
          <w:rFonts w:eastAsia="宋体"/>
          <w:snapToGrid w:val="0"/>
          <w:kern w:val="0"/>
        </w:rPr>
        <w:t>。</w:t>
      </w:r>
    </w:p>
    <w:p w14:paraId="69F356BC" w14:textId="77777777" w:rsidR="009D12AF" w:rsidRDefault="00000000">
      <w:pPr>
        <w:ind w:firstLine="480"/>
      </w:pPr>
      <w:r>
        <w:rPr>
          <w:rFonts w:hint="eastAsia"/>
        </w:rPr>
        <w:t>3</w:t>
      </w:r>
      <w:r>
        <w:rPr>
          <w:rFonts w:hint="eastAsia"/>
        </w:rPr>
        <w:t>、地表水环境</w:t>
      </w:r>
    </w:p>
    <w:p w14:paraId="37535452" w14:textId="77777777" w:rsidR="009D12AF" w:rsidRDefault="00000000">
      <w:pPr>
        <w:ind w:firstLine="480"/>
        <w:rPr>
          <w:rFonts w:eastAsia="宋体"/>
        </w:rPr>
      </w:pPr>
      <w:r>
        <w:rPr>
          <w:rFonts w:eastAsia="宋体"/>
        </w:rPr>
        <w:t>根据《全国重要江河湖泊水功能区划（</w:t>
      </w:r>
      <w:r>
        <w:rPr>
          <w:rFonts w:eastAsia="宋体"/>
        </w:rPr>
        <w:t>2011-2030</w:t>
      </w:r>
      <w:r>
        <w:rPr>
          <w:rFonts w:eastAsia="宋体"/>
        </w:rPr>
        <w:t>年）》，海浪河属于</w:t>
      </w:r>
      <w:r>
        <w:rPr>
          <w:rFonts w:eastAsia="宋体"/>
        </w:rPr>
        <w:t>“</w:t>
      </w:r>
      <w:r>
        <w:rPr>
          <w:rFonts w:eastAsia="宋体"/>
        </w:rPr>
        <w:t>牡丹江（三岔口以下）</w:t>
      </w:r>
      <w:r>
        <w:rPr>
          <w:rFonts w:eastAsia="宋体"/>
        </w:rPr>
        <w:t>”</w:t>
      </w:r>
      <w:r>
        <w:rPr>
          <w:rFonts w:eastAsia="宋体"/>
        </w:rPr>
        <w:t>江段，涉及水功能一级区为</w:t>
      </w:r>
      <w:r>
        <w:rPr>
          <w:rFonts w:eastAsia="宋体"/>
        </w:rPr>
        <w:t>“</w:t>
      </w:r>
      <w:r>
        <w:rPr>
          <w:rFonts w:eastAsia="宋体"/>
        </w:rPr>
        <w:t>海浪河海林市开发利用区</w:t>
      </w:r>
      <w:r>
        <w:rPr>
          <w:rFonts w:eastAsia="宋体"/>
        </w:rPr>
        <w:t>”</w:t>
      </w:r>
      <w:r>
        <w:rPr>
          <w:rFonts w:eastAsia="宋体"/>
        </w:rPr>
        <w:t>，涉及水功能二级区为</w:t>
      </w:r>
      <w:r>
        <w:rPr>
          <w:rFonts w:eastAsia="宋体"/>
        </w:rPr>
        <w:t>“</w:t>
      </w:r>
      <w:r>
        <w:rPr>
          <w:rFonts w:eastAsia="宋体"/>
        </w:rPr>
        <w:t>海浪河海林市饮用、工业用水利用区</w:t>
      </w:r>
      <w:r>
        <w:rPr>
          <w:rFonts w:eastAsia="宋体"/>
        </w:rPr>
        <w:t>”</w:t>
      </w:r>
      <w:r>
        <w:rPr>
          <w:rFonts w:eastAsia="宋体"/>
        </w:rPr>
        <w:t>。施工区域属于海浪河</w:t>
      </w:r>
      <w:r>
        <w:rPr>
          <w:rFonts w:eastAsia="宋体"/>
        </w:rPr>
        <w:t>“</w:t>
      </w:r>
      <w:r>
        <w:rPr>
          <w:rFonts w:eastAsia="宋体"/>
        </w:rPr>
        <w:t>石河水文站</w:t>
      </w:r>
      <w:r>
        <w:rPr>
          <w:rFonts w:eastAsia="宋体"/>
        </w:rPr>
        <w:t>”</w:t>
      </w:r>
      <w:r>
        <w:rPr>
          <w:rFonts w:eastAsia="宋体"/>
        </w:rPr>
        <w:t>至</w:t>
      </w:r>
      <w:r>
        <w:rPr>
          <w:rFonts w:eastAsia="宋体"/>
        </w:rPr>
        <w:t>“</w:t>
      </w:r>
      <w:r>
        <w:rPr>
          <w:rFonts w:eastAsia="宋体"/>
        </w:rPr>
        <w:t>入牡丹江口</w:t>
      </w:r>
      <w:r>
        <w:rPr>
          <w:rFonts w:eastAsia="宋体"/>
        </w:rPr>
        <w:t>”</w:t>
      </w:r>
      <w:r>
        <w:rPr>
          <w:rFonts w:eastAsia="宋体"/>
        </w:rPr>
        <w:t>河段，水质目标为</w:t>
      </w:r>
      <w:r>
        <w:rPr>
          <w:rFonts w:ascii="宋体" w:eastAsia="宋体" w:hAnsi="宋体" w:cs="宋体" w:hint="eastAsia"/>
        </w:rPr>
        <w:t>Ⅱ</w:t>
      </w:r>
      <w:r>
        <w:rPr>
          <w:rFonts w:eastAsia="宋体"/>
        </w:rPr>
        <w:t>~</w:t>
      </w:r>
      <w:r>
        <w:rPr>
          <w:rFonts w:ascii="宋体" w:eastAsia="宋体" w:hAnsi="宋体" w:cs="宋体" w:hint="eastAsia"/>
        </w:rPr>
        <w:t>Ⅲ</w:t>
      </w:r>
      <w:r>
        <w:rPr>
          <w:rFonts w:eastAsia="宋体"/>
        </w:rPr>
        <w:t>类。</w:t>
      </w:r>
      <w:r>
        <w:rPr>
          <w:rFonts w:eastAsia="宋体"/>
          <w:kern w:val="0"/>
        </w:rPr>
        <w:t>根据牡丹江市人民政府发布的《</w:t>
      </w:r>
      <w:r>
        <w:rPr>
          <w:rFonts w:eastAsia="宋体"/>
          <w:kern w:val="0"/>
        </w:rPr>
        <w:t>202</w:t>
      </w:r>
      <w:r>
        <w:rPr>
          <w:rFonts w:eastAsia="宋体" w:hint="eastAsia"/>
          <w:kern w:val="0"/>
        </w:rPr>
        <w:t>4</w:t>
      </w:r>
      <w:r>
        <w:rPr>
          <w:rFonts w:eastAsia="宋体"/>
          <w:kern w:val="0"/>
        </w:rPr>
        <w:t>年度牡丹江市环境质量公报》牡丹江海浪河口内</w:t>
      </w:r>
      <w:r>
        <w:rPr>
          <w:rFonts w:eastAsia="宋体"/>
          <w:kern w:val="0"/>
        </w:rPr>
        <w:t>202</w:t>
      </w:r>
      <w:r>
        <w:rPr>
          <w:rFonts w:eastAsia="宋体" w:hint="eastAsia"/>
          <w:kern w:val="0"/>
        </w:rPr>
        <w:t>4</w:t>
      </w:r>
      <w:r>
        <w:rPr>
          <w:rFonts w:eastAsia="宋体"/>
          <w:kern w:val="0"/>
        </w:rPr>
        <w:t>年水质目标为</w:t>
      </w:r>
      <w:r>
        <w:rPr>
          <w:rFonts w:ascii="宋体" w:eastAsia="宋体" w:hAnsi="宋体" w:cs="宋体" w:hint="eastAsia"/>
        </w:rPr>
        <w:t>Ⅲ</w:t>
      </w:r>
      <w:r>
        <w:rPr>
          <w:rFonts w:eastAsia="宋体"/>
          <w:kern w:val="0"/>
        </w:rPr>
        <w:t>类，因此本项目执行《地表水环境质量标准》（</w:t>
      </w:r>
      <w:r>
        <w:rPr>
          <w:rFonts w:eastAsia="宋体"/>
          <w:kern w:val="0"/>
        </w:rPr>
        <w:t>GB3939-2002</w:t>
      </w:r>
      <w:r>
        <w:rPr>
          <w:rFonts w:eastAsia="宋体"/>
          <w:kern w:val="0"/>
        </w:rPr>
        <w:t>）</w:t>
      </w:r>
      <w:r>
        <w:rPr>
          <w:rFonts w:ascii="宋体" w:eastAsia="宋体" w:hAnsi="宋体" w:cs="宋体" w:hint="eastAsia"/>
        </w:rPr>
        <w:t>Ⅲ</w:t>
      </w:r>
      <w:r>
        <w:rPr>
          <w:rFonts w:eastAsia="宋体"/>
        </w:rPr>
        <w:t>类标准。</w:t>
      </w:r>
    </w:p>
    <w:p w14:paraId="12D6A875" w14:textId="77777777" w:rsidR="009D12AF" w:rsidRDefault="00000000">
      <w:pPr>
        <w:ind w:firstLine="480"/>
      </w:pPr>
      <w:r>
        <w:rPr>
          <w:rFonts w:hint="eastAsia"/>
        </w:rPr>
        <w:t>4</w:t>
      </w:r>
      <w:r>
        <w:rPr>
          <w:rFonts w:hint="eastAsia"/>
        </w:rPr>
        <w:t>、地下水环境</w:t>
      </w:r>
    </w:p>
    <w:p w14:paraId="50093BBD" w14:textId="77777777" w:rsidR="009D12AF" w:rsidRDefault="00000000">
      <w:pPr>
        <w:ind w:firstLine="480"/>
      </w:pPr>
      <w:r>
        <w:t>本项目治理区域地下水执行《地下水质量标准》（</w:t>
      </w:r>
      <w:r>
        <w:t>GB/T14848-2017</w:t>
      </w:r>
      <w:r>
        <w:t>）中</w:t>
      </w:r>
      <w:r>
        <w:fldChar w:fldCharType="begin"/>
      </w:r>
      <w:r>
        <w:instrText xml:space="preserve"> = 3 \* ROMAN </w:instrText>
      </w:r>
      <w:r>
        <w:fldChar w:fldCharType="separate"/>
      </w:r>
      <w:r>
        <w:t>III</w:t>
      </w:r>
      <w:r>
        <w:fldChar w:fldCharType="end"/>
      </w:r>
      <w:r>
        <w:t>类标准。</w:t>
      </w:r>
    </w:p>
    <w:p w14:paraId="0D459416" w14:textId="77777777" w:rsidR="009D12AF" w:rsidRDefault="00000000">
      <w:pPr>
        <w:pStyle w:val="3"/>
      </w:pPr>
      <w:bookmarkStart w:id="186" w:name="_Toc14927"/>
      <w:bookmarkStart w:id="187" w:name="_Toc32276"/>
      <w:bookmarkStart w:id="188" w:name="_Toc4846"/>
      <w:bookmarkStart w:id="189" w:name="_Toc1031"/>
      <w:r>
        <w:t xml:space="preserve">4.2.2 </w:t>
      </w:r>
      <w:r>
        <w:t>主要环境敏感区</w:t>
      </w:r>
      <w:bookmarkEnd w:id="186"/>
      <w:bookmarkEnd w:id="187"/>
      <w:bookmarkEnd w:id="188"/>
      <w:bookmarkEnd w:id="189"/>
    </w:p>
    <w:p w14:paraId="414EBBFA" w14:textId="77777777" w:rsidR="009D12AF" w:rsidRDefault="00000000">
      <w:pPr>
        <w:ind w:firstLine="480"/>
      </w:pPr>
      <w:r>
        <w:t>依据生态环境部令第</w:t>
      </w:r>
      <w:r>
        <w:t>16</w:t>
      </w:r>
      <w:r>
        <w:t>号，所称环境敏感区，是指依法设立的各级各类保护区域和对建设项目产生的环境影响特别敏感的区域，主要包括下列区域：</w:t>
      </w:r>
    </w:p>
    <w:p w14:paraId="048E3134" w14:textId="77777777" w:rsidR="009D12AF" w:rsidRDefault="00000000">
      <w:pPr>
        <w:ind w:firstLine="480"/>
      </w:pPr>
      <w:r>
        <w:t>（一）国家公园、自然保护区、风景名胜区、世界文化和自然遗产地、饮用水水源保护区；</w:t>
      </w:r>
    </w:p>
    <w:p w14:paraId="5E024106" w14:textId="77777777" w:rsidR="009D12AF" w:rsidRDefault="00000000">
      <w:pPr>
        <w:ind w:firstLine="480"/>
      </w:pPr>
      <w:r>
        <w:t>（二）除（一）外的生态保护红线管控范围，永久基本农田、基本草原、自然公园（森林公园、地质公园、海洋公园等）、重要湿地、天然林，重点保护野生动物栖息地，重点保护野生植物生长繁殖地，重要水生生物的自然产卵场、索饵场、越冬场和洄游通道，天然渔场，水土流失重点预防区和重点治理区、沙化土地封禁保护区、封闭及半封闭海域；</w:t>
      </w:r>
    </w:p>
    <w:p w14:paraId="178578AC" w14:textId="77777777" w:rsidR="009D12AF" w:rsidRDefault="00000000">
      <w:pPr>
        <w:ind w:firstLine="480"/>
      </w:pPr>
      <w:r>
        <w:lastRenderedPageBreak/>
        <w:t>（三）以居住、医疗卫生、文化教育、科研、行政办公等为主要功能的区域，文物保护单位，具有特殊历史、文化、科学、民族意义的保护地。</w:t>
      </w:r>
    </w:p>
    <w:p w14:paraId="76730AC4" w14:textId="77777777" w:rsidR="009D12AF" w:rsidRDefault="00000000">
      <w:pPr>
        <w:ind w:firstLine="480"/>
      </w:pPr>
      <w:r>
        <w:t>调查过程：根据《建设项目环境影响评价技术导则总纲》（</w:t>
      </w:r>
      <w:r>
        <w:t>HJ2.1-2016</w:t>
      </w:r>
      <w:r>
        <w:t>），环境保护目标调查应调查评价范围内的环境功能区划和主要的环境敏感区，详细了解环境保护目标的地理位置、服务功能、四至范围、保护对象和保护要求等，项目区不在自然遗产地、国家风景名胜区、文化遗产地及自然保护区范围内。</w:t>
      </w:r>
    </w:p>
    <w:p w14:paraId="3670E875" w14:textId="77777777" w:rsidR="009D12AF" w:rsidRDefault="00000000">
      <w:pPr>
        <w:ind w:firstLine="480"/>
      </w:pPr>
      <w:r>
        <w:t>本项目</w:t>
      </w:r>
      <w:r>
        <w:rPr>
          <w:rFonts w:hint="eastAsia"/>
        </w:rPr>
        <w:t>群力水库部分</w:t>
      </w:r>
      <w:r>
        <w:t>施工区域位于</w:t>
      </w:r>
      <w:r>
        <w:rPr>
          <w:rFonts w:hint="eastAsia"/>
        </w:rPr>
        <w:t>黑龙江威虎山国家森林公园、黑龙江海林莲花湖省级自然保护区、海林莲花湖风景名胜区、</w:t>
      </w:r>
      <w:r>
        <w:rPr>
          <w:rFonts w:ascii="Times New Roman" w:eastAsia="宋体" w:hAnsi="Times New Roman" w:cs="Times New Roman" w:hint="eastAsia"/>
        </w:rPr>
        <w:t>海林市张广才岭</w:t>
      </w:r>
      <w:r>
        <w:rPr>
          <w:rFonts w:ascii="Times New Roman" w:eastAsia="宋体" w:hAnsi="Times New Roman" w:cs="Times New Roman" w:hint="eastAsia"/>
        </w:rPr>
        <w:t>-</w:t>
      </w:r>
      <w:r>
        <w:rPr>
          <w:rFonts w:ascii="Times New Roman" w:eastAsia="宋体" w:hAnsi="Times New Roman" w:cs="Times New Roman" w:hint="eastAsia"/>
        </w:rPr>
        <w:t>老爷岭水源涵养与生物多样性维护功能生态保护红线</w:t>
      </w:r>
      <w:r>
        <w:rPr>
          <w:rFonts w:ascii="Times New Roman" w:eastAsia="宋体" w:hAnsi="Times New Roman" w:cs="Times New Roman" w:hint="eastAsia"/>
        </w:rPr>
        <w:t>-</w:t>
      </w:r>
      <w:r>
        <w:rPr>
          <w:rFonts w:ascii="Times New Roman" w:eastAsia="宋体" w:hAnsi="Times New Roman" w:cs="Times New Roman" w:hint="eastAsia"/>
        </w:rPr>
        <w:t>水土保持生态功能重要区及永久基本农田</w:t>
      </w:r>
      <w:r>
        <w:t>；</w:t>
      </w:r>
      <w:r>
        <w:rPr>
          <w:rFonts w:hint="eastAsia"/>
        </w:rPr>
        <w:t>向阳水电站前池</w:t>
      </w:r>
      <w:r>
        <w:t>位于</w:t>
      </w:r>
      <w:r>
        <w:rPr>
          <w:rFonts w:hint="eastAsia"/>
        </w:rPr>
        <w:t>海林市二水厂（改扩建）</w:t>
      </w:r>
      <w:r>
        <w:t>饮用水水源</w:t>
      </w:r>
      <w:r>
        <w:rPr>
          <w:rFonts w:hint="eastAsia"/>
        </w:rPr>
        <w:t>二级保护区</w:t>
      </w:r>
      <w:r>
        <w:t>内（均不位于一级保护区内）。因此本次调查环境敏感区为</w:t>
      </w:r>
      <w:r>
        <w:rPr>
          <w:rFonts w:hint="eastAsia"/>
        </w:rPr>
        <w:t>黑龙江威虎山国家森林公园、黑龙江海林莲花湖省级自然保护区、海林莲花湖风景名胜区、</w:t>
      </w:r>
      <w:r>
        <w:rPr>
          <w:rFonts w:ascii="Times New Roman" w:eastAsia="宋体" w:hAnsi="Times New Roman" w:cs="Times New Roman" w:hint="eastAsia"/>
        </w:rPr>
        <w:t>海林市张广才岭</w:t>
      </w:r>
      <w:r>
        <w:rPr>
          <w:rFonts w:ascii="Times New Roman" w:eastAsia="宋体" w:hAnsi="Times New Roman" w:cs="Times New Roman" w:hint="eastAsia"/>
        </w:rPr>
        <w:t>-</w:t>
      </w:r>
      <w:r>
        <w:rPr>
          <w:rFonts w:ascii="Times New Roman" w:eastAsia="宋体" w:hAnsi="Times New Roman" w:cs="Times New Roman" w:hint="eastAsia"/>
        </w:rPr>
        <w:t>老爷岭水源涵养与生物多样性维护功能生态保护红线</w:t>
      </w:r>
      <w:r>
        <w:rPr>
          <w:rFonts w:ascii="Times New Roman" w:eastAsia="宋体" w:hAnsi="Times New Roman" w:cs="Times New Roman" w:hint="eastAsia"/>
        </w:rPr>
        <w:t>-</w:t>
      </w:r>
      <w:r>
        <w:rPr>
          <w:rFonts w:ascii="Times New Roman" w:eastAsia="宋体" w:hAnsi="Times New Roman" w:cs="Times New Roman" w:hint="eastAsia"/>
        </w:rPr>
        <w:t>水土保持生态功能重要区、永久基本农田</w:t>
      </w:r>
      <w:r>
        <w:t>及</w:t>
      </w:r>
      <w:r>
        <w:rPr>
          <w:rFonts w:hint="eastAsia"/>
        </w:rPr>
        <w:t>海林市二水厂（改扩建）</w:t>
      </w:r>
      <w:r>
        <w:t>饮用水水源地。</w:t>
      </w:r>
    </w:p>
    <w:p w14:paraId="24928FAC" w14:textId="77777777" w:rsidR="009D12AF" w:rsidRDefault="00000000">
      <w:pPr>
        <w:ind w:firstLine="480"/>
        <w:rPr>
          <w:highlight w:val="yellow"/>
        </w:rPr>
      </w:pPr>
      <w:r>
        <w:rPr>
          <w:highlight w:val="yellow"/>
        </w:rPr>
        <w:br w:type="page"/>
      </w:r>
    </w:p>
    <w:p w14:paraId="259E71AF" w14:textId="77777777" w:rsidR="009D12AF" w:rsidRDefault="00000000">
      <w:pPr>
        <w:pStyle w:val="2"/>
      </w:pPr>
      <w:bookmarkStart w:id="190" w:name="_Toc8246"/>
      <w:r>
        <w:lastRenderedPageBreak/>
        <w:t xml:space="preserve">4.3 </w:t>
      </w:r>
      <w:r>
        <w:t>环境质量现状调查与评价</w:t>
      </w:r>
      <w:bookmarkEnd w:id="190"/>
      <w:r>
        <w:t xml:space="preserve"> </w:t>
      </w:r>
    </w:p>
    <w:p w14:paraId="4A7C02E4" w14:textId="77777777" w:rsidR="009D12AF" w:rsidRDefault="00000000">
      <w:pPr>
        <w:pStyle w:val="3"/>
      </w:pPr>
      <w:bookmarkStart w:id="191" w:name="_Toc16049"/>
      <w:bookmarkStart w:id="192" w:name="_Toc26866"/>
      <w:bookmarkStart w:id="193" w:name="_Toc29886"/>
      <w:bookmarkStart w:id="194" w:name="_Toc12193"/>
      <w:r>
        <w:t xml:space="preserve">4.3.1 </w:t>
      </w:r>
      <w:r>
        <w:t>环境空气现状调查与评价</w:t>
      </w:r>
      <w:bookmarkEnd w:id="191"/>
      <w:bookmarkEnd w:id="192"/>
      <w:bookmarkEnd w:id="193"/>
      <w:bookmarkEnd w:id="194"/>
      <w:r>
        <w:t xml:space="preserve"> </w:t>
      </w:r>
    </w:p>
    <w:p w14:paraId="1287C723" w14:textId="77777777" w:rsidR="009D12AF" w:rsidRDefault="00000000">
      <w:pPr>
        <w:ind w:firstLine="480"/>
      </w:pPr>
      <w:r>
        <w:rPr>
          <w:rFonts w:hint="eastAsia"/>
        </w:rPr>
        <w:t>一、</w:t>
      </w:r>
      <w:r>
        <w:t>基本污染物环境空气质量现状</w:t>
      </w:r>
    </w:p>
    <w:p w14:paraId="7DEF492D" w14:textId="77777777" w:rsidR="009D12AF" w:rsidRDefault="00000000">
      <w:pPr>
        <w:ind w:firstLine="480"/>
      </w:pPr>
      <w:r>
        <w:t>根据《环境影响评价技术导则</w:t>
      </w:r>
      <w:r>
        <w:t xml:space="preserve"> </w:t>
      </w:r>
      <w:r>
        <w:t>大气环境》（</w:t>
      </w:r>
      <w:r>
        <w:t>HJ2.2-2018</w:t>
      </w:r>
      <w:r>
        <w:t>），项目所在区域达标判定，优先采用国家或地方生态环境主管部门公开发布的评价基准年环境质量公告或环境质量报告中的数据或结论。</w:t>
      </w:r>
    </w:p>
    <w:p w14:paraId="5FD73DC7" w14:textId="77777777" w:rsidR="009D12AF" w:rsidRDefault="00000000">
      <w:pPr>
        <w:ind w:firstLine="480"/>
      </w:pPr>
      <w:r>
        <w:t>本工程位于黑龙江省</w:t>
      </w:r>
      <w:r>
        <w:rPr>
          <w:rFonts w:hint="eastAsia"/>
        </w:rPr>
        <w:t>牡丹江海林市内</w:t>
      </w:r>
      <w:r>
        <w:t>，根据</w:t>
      </w:r>
      <w:r>
        <w:rPr>
          <w:rFonts w:hint="eastAsia"/>
        </w:rPr>
        <w:t>牡丹江</w:t>
      </w:r>
      <w:r>
        <w:t>市生态环境局发布的《</w:t>
      </w:r>
      <w:r>
        <w:t>202</w:t>
      </w:r>
      <w:r>
        <w:rPr>
          <w:rFonts w:hint="eastAsia"/>
        </w:rPr>
        <w:t>4</w:t>
      </w:r>
      <w:r>
        <w:t>年</w:t>
      </w:r>
      <w:r>
        <w:rPr>
          <w:rFonts w:hint="eastAsia"/>
        </w:rPr>
        <w:t>牡丹江市</w:t>
      </w:r>
      <w:r>
        <w:t>生态环境状况公报》可知，</w:t>
      </w:r>
      <w:r>
        <w:t>202</w:t>
      </w:r>
      <w:r>
        <w:rPr>
          <w:rFonts w:hint="eastAsia"/>
        </w:rPr>
        <w:t>4</w:t>
      </w:r>
      <w:r>
        <w:t>年</w:t>
      </w:r>
      <w:r>
        <w:rPr>
          <w:rFonts w:hint="eastAsia"/>
        </w:rPr>
        <w:t>牡丹江</w:t>
      </w:r>
      <w:r>
        <w:t>市城区环境空气质量优良天数为</w:t>
      </w:r>
      <w:r>
        <w:rPr>
          <w:rFonts w:hint="eastAsia"/>
        </w:rPr>
        <w:t>354</w:t>
      </w:r>
      <w:r>
        <w:t>天，环境空气质量优良率为</w:t>
      </w:r>
      <w:r>
        <w:rPr>
          <w:rFonts w:hint="eastAsia"/>
        </w:rPr>
        <w:t>96.7</w:t>
      </w:r>
      <w:r>
        <w:t>%</w:t>
      </w:r>
      <w:r>
        <w:t>，</w:t>
      </w:r>
      <w:r>
        <w:rPr>
          <w:rFonts w:hint="eastAsia"/>
        </w:rPr>
        <w:t>牡丹江</w:t>
      </w:r>
      <w:r>
        <w:t>市</w:t>
      </w:r>
      <w:r>
        <w:t>202</w:t>
      </w:r>
      <w:r>
        <w:rPr>
          <w:rFonts w:hint="eastAsia"/>
        </w:rPr>
        <w:t>4</w:t>
      </w:r>
      <w:r>
        <w:t>年环境空气质量统计数据见表</w:t>
      </w:r>
      <w:r>
        <w:t>4.3-1</w:t>
      </w:r>
      <w:r>
        <w:t>。</w:t>
      </w:r>
    </w:p>
    <w:p w14:paraId="5F69F400" w14:textId="77777777" w:rsidR="009D12AF" w:rsidRDefault="00000000">
      <w:pPr>
        <w:ind w:firstLineChars="0" w:firstLine="0"/>
        <w:jc w:val="center"/>
        <w:rPr>
          <w:b/>
          <w:bCs/>
          <w:vertAlign w:val="superscript"/>
        </w:rPr>
      </w:pPr>
      <w:r>
        <w:rPr>
          <w:b/>
          <w:bCs/>
        </w:rPr>
        <w:t>表</w:t>
      </w:r>
      <w:r>
        <w:rPr>
          <w:rFonts w:hint="eastAsia"/>
          <w:b/>
          <w:bCs/>
        </w:rPr>
        <w:t>4.3-1</w:t>
      </w:r>
      <w:r>
        <w:rPr>
          <w:b/>
          <w:bCs/>
        </w:rPr>
        <w:t>区域空气质量现状评价表</w:t>
      </w:r>
      <w:r>
        <w:rPr>
          <w:b/>
          <w:bCs/>
        </w:rPr>
        <w:t xml:space="preserve">   </w:t>
      </w:r>
      <w:r>
        <w:rPr>
          <w:b/>
          <w:bCs/>
        </w:rPr>
        <w:t>单位：</w:t>
      </w:r>
      <w:r>
        <w:rPr>
          <w:b/>
          <w:bCs/>
        </w:rPr>
        <w:t>mg/m</w:t>
      </w:r>
      <w:r>
        <w:rPr>
          <w:b/>
          <w:bCs/>
          <w:vertAlign w:val="superscript"/>
        </w:rPr>
        <w:t>3</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059"/>
        <w:gridCol w:w="2584"/>
        <w:gridCol w:w="1503"/>
        <w:gridCol w:w="1295"/>
        <w:gridCol w:w="1153"/>
        <w:gridCol w:w="925"/>
      </w:tblGrid>
      <w:tr w:rsidR="009D12AF" w14:paraId="601F6A4D" w14:textId="77777777">
        <w:trPr>
          <w:trHeight w:val="20"/>
          <w:jc w:val="center"/>
        </w:trPr>
        <w:tc>
          <w:tcPr>
            <w:tcW w:w="621" w:type="pct"/>
            <w:tcBorders>
              <w:top w:val="single" w:sz="12" w:space="0" w:color="auto"/>
              <w:left w:val="nil"/>
              <w:bottom w:val="single" w:sz="4" w:space="0" w:color="auto"/>
              <w:right w:val="single" w:sz="4" w:space="0" w:color="auto"/>
            </w:tcBorders>
            <w:vAlign w:val="center"/>
          </w:tcPr>
          <w:p w14:paraId="7EC295BD"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污染物</w:t>
            </w:r>
          </w:p>
        </w:tc>
        <w:tc>
          <w:tcPr>
            <w:tcW w:w="1515" w:type="pct"/>
            <w:tcBorders>
              <w:top w:val="single" w:sz="12" w:space="0" w:color="auto"/>
              <w:left w:val="single" w:sz="4" w:space="0" w:color="auto"/>
              <w:bottom w:val="single" w:sz="4" w:space="0" w:color="auto"/>
              <w:right w:val="single" w:sz="4" w:space="0" w:color="auto"/>
            </w:tcBorders>
            <w:vAlign w:val="center"/>
          </w:tcPr>
          <w:p w14:paraId="09F76987" w14:textId="77777777" w:rsidR="009D12AF" w:rsidRDefault="00000000">
            <w:pPr>
              <w:tabs>
                <w:tab w:val="left" w:pos="871"/>
                <w:tab w:val="center" w:pos="1483"/>
              </w:tabs>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评价指标</w:t>
            </w:r>
          </w:p>
        </w:tc>
        <w:tc>
          <w:tcPr>
            <w:tcW w:w="881" w:type="pct"/>
            <w:tcBorders>
              <w:top w:val="single" w:sz="12" w:space="0" w:color="auto"/>
              <w:left w:val="single" w:sz="4" w:space="0" w:color="auto"/>
              <w:bottom w:val="single" w:sz="4" w:space="0" w:color="auto"/>
              <w:right w:val="single" w:sz="4" w:space="0" w:color="auto"/>
            </w:tcBorders>
            <w:vAlign w:val="center"/>
          </w:tcPr>
          <w:p w14:paraId="739808E0"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现状浓度（</w:t>
            </w:r>
            <w:r>
              <w:rPr>
                <w:rFonts w:ascii="Times New Roman" w:eastAsia="宋体" w:hAnsi="Times New Roman" w:cs="Times New Roman"/>
                <w:sz w:val="21"/>
                <w:szCs w:val="21"/>
              </w:rPr>
              <w:t>μg/m</w:t>
            </w:r>
            <w:r>
              <w:rPr>
                <w:rFonts w:ascii="Times New Roman" w:eastAsia="宋体" w:hAnsi="Times New Roman" w:cs="Times New Roman"/>
                <w:sz w:val="21"/>
                <w:szCs w:val="21"/>
                <w:vertAlign w:val="superscript"/>
              </w:rPr>
              <w:t>3</w:t>
            </w:r>
            <w:r>
              <w:rPr>
                <w:rFonts w:ascii="Times New Roman" w:eastAsia="宋体" w:hAnsi="Times New Roman" w:cs="Times New Roman"/>
                <w:sz w:val="21"/>
                <w:szCs w:val="21"/>
              </w:rPr>
              <w:t>）</w:t>
            </w:r>
          </w:p>
        </w:tc>
        <w:tc>
          <w:tcPr>
            <w:tcW w:w="760" w:type="pct"/>
            <w:tcBorders>
              <w:top w:val="single" w:sz="12" w:space="0" w:color="auto"/>
              <w:left w:val="single" w:sz="4" w:space="0" w:color="auto"/>
              <w:bottom w:val="single" w:sz="4" w:space="0" w:color="auto"/>
              <w:right w:val="single" w:sz="4" w:space="0" w:color="auto"/>
            </w:tcBorders>
            <w:vAlign w:val="center"/>
          </w:tcPr>
          <w:p w14:paraId="2A99795B"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标准值</w:t>
            </w:r>
          </w:p>
          <w:p w14:paraId="5CD154D3"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r>
              <w:rPr>
                <w:rFonts w:ascii="Times New Roman" w:eastAsia="宋体" w:hAnsi="Times New Roman" w:cs="Times New Roman"/>
                <w:sz w:val="21"/>
                <w:szCs w:val="21"/>
              </w:rPr>
              <w:t>μg/m</w:t>
            </w:r>
            <w:r>
              <w:rPr>
                <w:rFonts w:ascii="Times New Roman" w:eastAsia="宋体" w:hAnsi="Times New Roman" w:cs="Times New Roman"/>
                <w:sz w:val="21"/>
                <w:szCs w:val="21"/>
                <w:vertAlign w:val="superscript"/>
              </w:rPr>
              <w:t>3</w:t>
            </w:r>
            <w:r>
              <w:rPr>
                <w:rFonts w:ascii="Times New Roman" w:eastAsia="宋体" w:hAnsi="Times New Roman" w:cs="Times New Roman"/>
                <w:sz w:val="21"/>
                <w:szCs w:val="21"/>
              </w:rPr>
              <w:t>）</w:t>
            </w:r>
          </w:p>
        </w:tc>
        <w:tc>
          <w:tcPr>
            <w:tcW w:w="677" w:type="pct"/>
            <w:tcBorders>
              <w:top w:val="single" w:sz="12" w:space="0" w:color="auto"/>
              <w:left w:val="single" w:sz="4" w:space="0" w:color="auto"/>
              <w:bottom w:val="single" w:sz="4" w:space="0" w:color="auto"/>
              <w:right w:val="single" w:sz="4" w:space="0" w:color="auto"/>
            </w:tcBorders>
            <w:vAlign w:val="center"/>
          </w:tcPr>
          <w:p w14:paraId="65B00867"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占标率（</w:t>
            </w:r>
            <w:r>
              <w:rPr>
                <w:rFonts w:ascii="Times New Roman" w:eastAsia="宋体" w:hAnsi="Times New Roman" w:cs="Times New Roman"/>
                <w:sz w:val="21"/>
                <w:szCs w:val="21"/>
              </w:rPr>
              <w:t>%</w:t>
            </w:r>
            <w:r>
              <w:rPr>
                <w:rFonts w:ascii="Times New Roman" w:eastAsia="宋体" w:hAnsi="Times New Roman" w:cs="Times New Roman"/>
                <w:sz w:val="21"/>
                <w:szCs w:val="21"/>
              </w:rPr>
              <w:t>）</w:t>
            </w:r>
          </w:p>
        </w:tc>
        <w:tc>
          <w:tcPr>
            <w:tcW w:w="543" w:type="pct"/>
            <w:tcBorders>
              <w:top w:val="single" w:sz="12" w:space="0" w:color="auto"/>
              <w:left w:val="single" w:sz="4" w:space="0" w:color="auto"/>
              <w:bottom w:val="single" w:sz="4" w:space="0" w:color="auto"/>
              <w:right w:val="nil"/>
            </w:tcBorders>
            <w:vAlign w:val="center"/>
          </w:tcPr>
          <w:p w14:paraId="2D3F4AE2"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达标</w:t>
            </w:r>
          </w:p>
          <w:p w14:paraId="7028966B"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情况</w:t>
            </w:r>
          </w:p>
        </w:tc>
      </w:tr>
      <w:tr w:rsidR="009D12AF" w14:paraId="6F467CA5" w14:textId="77777777">
        <w:trPr>
          <w:trHeight w:val="250"/>
          <w:jc w:val="center"/>
        </w:trPr>
        <w:tc>
          <w:tcPr>
            <w:tcW w:w="621" w:type="pct"/>
            <w:tcBorders>
              <w:top w:val="single" w:sz="4" w:space="0" w:color="auto"/>
              <w:left w:val="nil"/>
              <w:bottom w:val="single" w:sz="4" w:space="0" w:color="auto"/>
              <w:right w:val="single" w:sz="4" w:space="0" w:color="auto"/>
            </w:tcBorders>
            <w:vAlign w:val="center"/>
          </w:tcPr>
          <w:p w14:paraId="303DE750"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PM</w:t>
            </w:r>
            <w:r>
              <w:rPr>
                <w:rFonts w:ascii="Times New Roman" w:eastAsia="宋体" w:hAnsi="Times New Roman" w:cs="Times New Roman"/>
                <w:sz w:val="21"/>
                <w:szCs w:val="21"/>
                <w:vertAlign w:val="subscript"/>
              </w:rPr>
              <w:t>2.5</w:t>
            </w:r>
          </w:p>
        </w:tc>
        <w:tc>
          <w:tcPr>
            <w:tcW w:w="1515" w:type="pct"/>
            <w:tcBorders>
              <w:top w:val="single" w:sz="4" w:space="0" w:color="auto"/>
              <w:left w:val="single" w:sz="4" w:space="0" w:color="auto"/>
              <w:bottom w:val="single" w:sz="4" w:space="0" w:color="auto"/>
              <w:right w:val="single" w:sz="4" w:space="0" w:color="auto"/>
            </w:tcBorders>
            <w:vAlign w:val="center"/>
          </w:tcPr>
          <w:p w14:paraId="51DFABA6"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年平均</w:t>
            </w:r>
            <w:r>
              <w:rPr>
                <w:rFonts w:ascii="Times New Roman" w:eastAsia="宋体" w:hAnsi="Times New Roman" w:cs="Times New Roman" w:hint="eastAsia"/>
                <w:sz w:val="21"/>
                <w:szCs w:val="21"/>
              </w:rPr>
              <w:t>质量浓度</w:t>
            </w:r>
          </w:p>
        </w:tc>
        <w:tc>
          <w:tcPr>
            <w:tcW w:w="881" w:type="pct"/>
            <w:tcBorders>
              <w:top w:val="single" w:sz="4" w:space="0" w:color="auto"/>
              <w:left w:val="single" w:sz="4" w:space="0" w:color="auto"/>
              <w:bottom w:val="single" w:sz="4" w:space="0" w:color="auto"/>
              <w:right w:val="single" w:sz="4" w:space="0" w:color="auto"/>
            </w:tcBorders>
            <w:vAlign w:val="center"/>
          </w:tcPr>
          <w:p w14:paraId="0CC8D301"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31</w:t>
            </w:r>
          </w:p>
        </w:tc>
        <w:tc>
          <w:tcPr>
            <w:tcW w:w="760" w:type="pct"/>
            <w:tcBorders>
              <w:top w:val="single" w:sz="4" w:space="0" w:color="auto"/>
              <w:left w:val="single" w:sz="4" w:space="0" w:color="auto"/>
              <w:bottom w:val="single" w:sz="4" w:space="0" w:color="auto"/>
              <w:right w:val="single" w:sz="4" w:space="0" w:color="auto"/>
            </w:tcBorders>
            <w:vAlign w:val="center"/>
          </w:tcPr>
          <w:p w14:paraId="0F537CB9"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35</w:t>
            </w:r>
          </w:p>
        </w:tc>
        <w:tc>
          <w:tcPr>
            <w:tcW w:w="677" w:type="pct"/>
            <w:tcBorders>
              <w:top w:val="single" w:sz="4" w:space="0" w:color="auto"/>
              <w:left w:val="single" w:sz="4" w:space="0" w:color="auto"/>
              <w:bottom w:val="single" w:sz="4" w:space="0" w:color="auto"/>
              <w:right w:val="single" w:sz="4" w:space="0" w:color="auto"/>
            </w:tcBorders>
            <w:vAlign w:val="center"/>
          </w:tcPr>
          <w:p w14:paraId="10E470E5"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88.57</w:t>
            </w:r>
          </w:p>
        </w:tc>
        <w:tc>
          <w:tcPr>
            <w:tcW w:w="543" w:type="pct"/>
            <w:tcBorders>
              <w:top w:val="single" w:sz="4" w:space="0" w:color="auto"/>
              <w:left w:val="single" w:sz="4" w:space="0" w:color="auto"/>
              <w:bottom w:val="single" w:sz="4" w:space="0" w:color="auto"/>
              <w:right w:val="nil"/>
            </w:tcBorders>
            <w:vAlign w:val="center"/>
          </w:tcPr>
          <w:p w14:paraId="26CBB0B3"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达标</w:t>
            </w:r>
          </w:p>
        </w:tc>
      </w:tr>
      <w:tr w:rsidR="009D12AF" w14:paraId="37BC4041" w14:textId="77777777">
        <w:trPr>
          <w:trHeight w:val="20"/>
          <w:jc w:val="center"/>
        </w:trPr>
        <w:tc>
          <w:tcPr>
            <w:tcW w:w="621" w:type="pct"/>
            <w:tcBorders>
              <w:top w:val="single" w:sz="4" w:space="0" w:color="auto"/>
              <w:left w:val="nil"/>
              <w:bottom w:val="single" w:sz="4" w:space="0" w:color="auto"/>
              <w:right w:val="single" w:sz="4" w:space="0" w:color="auto"/>
            </w:tcBorders>
            <w:vAlign w:val="center"/>
          </w:tcPr>
          <w:p w14:paraId="7E28B9ED"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PM</w:t>
            </w:r>
            <w:r>
              <w:rPr>
                <w:rFonts w:ascii="Times New Roman" w:eastAsia="宋体" w:hAnsi="Times New Roman" w:cs="Times New Roman"/>
                <w:sz w:val="21"/>
                <w:szCs w:val="21"/>
                <w:vertAlign w:val="subscript"/>
              </w:rPr>
              <w:t>10</w:t>
            </w:r>
          </w:p>
        </w:tc>
        <w:tc>
          <w:tcPr>
            <w:tcW w:w="1515" w:type="pct"/>
            <w:tcBorders>
              <w:top w:val="single" w:sz="4" w:space="0" w:color="auto"/>
              <w:left w:val="single" w:sz="4" w:space="0" w:color="auto"/>
              <w:bottom w:val="single" w:sz="4" w:space="0" w:color="auto"/>
              <w:right w:val="single" w:sz="4" w:space="0" w:color="auto"/>
            </w:tcBorders>
            <w:vAlign w:val="center"/>
          </w:tcPr>
          <w:p w14:paraId="7B71C031"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年平均</w:t>
            </w:r>
            <w:r>
              <w:rPr>
                <w:rFonts w:ascii="Times New Roman" w:eastAsia="宋体" w:hAnsi="Times New Roman" w:cs="Times New Roman" w:hint="eastAsia"/>
                <w:sz w:val="21"/>
                <w:szCs w:val="21"/>
              </w:rPr>
              <w:t>质量浓度</w:t>
            </w:r>
          </w:p>
        </w:tc>
        <w:tc>
          <w:tcPr>
            <w:tcW w:w="881" w:type="pct"/>
            <w:tcBorders>
              <w:top w:val="single" w:sz="4" w:space="0" w:color="auto"/>
              <w:left w:val="single" w:sz="4" w:space="0" w:color="auto"/>
              <w:bottom w:val="single" w:sz="4" w:space="0" w:color="auto"/>
              <w:right w:val="single" w:sz="4" w:space="0" w:color="auto"/>
            </w:tcBorders>
            <w:vAlign w:val="center"/>
          </w:tcPr>
          <w:p w14:paraId="55E704D2"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44</w:t>
            </w:r>
          </w:p>
        </w:tc>
        <w:tc>
          <w:tcPr>
            <w:tcW w:w="760" w:type="pct"/>
            <w:tcBorders>
              <w:top w:val="single" w:sz="4" w:space="0" w:color="auto"/>
              <w:left w:val="single" w:sz="4" w:space="0" w:color="auto"/>
              <w:bottom w:val="single" w:sz="4" w:space="0" w:color="auto"/>
              <w:right w:val="single" w:sz="4" w:space="0" w:color="auto"/>
            </w:tcBorders>
            <w:vAlign w:val="center"/>
          </w:tcPr>
          <w:p w14:paraId="1AB0D138"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70</w:t>
            </w:r>
          </w:p>
        </w:tc>
        <w:tc>
          <w:tcPr>
            <w:tcW w:w="677" w:type="pct"/>
            <w:tcBorders>
              <w:top w:val="single" w:sz="4" w:space="0" w:color="auto"/>
              <w:left w:val="single" w:sz="4" w:space="0" w:color="auto"/>
              <w:bottom w:val="single" w:sz="4" w:space="0" w:color="auto"/>
              <w:right w:val="single" w:sz="4" w:space="0" w:color="auto"/>
            </w:tcBorders>
            <w:vAlign w:val="center"/>
          </w:tcPr>
          <w:p w14:paraId="0C571E86"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62.86</w:t>
            </w:r>
          </w:p>
        </w:tc>
        <w:tc>
          <w:tcPr>
            <w:tcW w:w="543" w:type="pct"/>
            <w:tcBorders>
              <w:top w:val="single" w:sz="4" w:space="0" w:color="auto"/>
              <w:left w:val="single" w:sz="4" w:space="0" w:color="auto"/>
              <w:bottom w:val="single" w:sz="4" w:space="0" w:color="auto"/>
              <w:right w:val="nil"/>
            </w:tcBorders>
            <w:vAlign w:val="center"/>
          </w:tcPr>
          <w:p w14:paraId="053AB19B"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达标</w:t>
            </w:r>
          </w:p>
        </w:tc>
      </w:tr>
      <w:tr w:rsidR="009D12AF" w14:paraId="7F7D5647" w14:textId="77777777">
        <w:trPr>
          <w:trHeight w:val="20"/>
          <w:jc w:val="center"/>
        </w:trPr>
        <w:tc>
          <w:tcPr>
            <w:tcW w:w="621" w:type="pct"/>
            <w:tcBorders>
              <w:top w:val="single" w:sz="4" w:space="0" w:color="auto"/>
              <w:left w:val="nil"/>
              <w:bottom w:val="single" w:sz="4" w:space="0" w:color="auto"/>
              <w:right w:val="single" w:sz="4" w:space="0" w:color="auto"/>
            </w:tcBorders>
            <w:vAlign w:val="center"/>
          </w:tcPr>
          <w:p w14:paraId="4BF9D940"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NO</w:t>
            </w:r>
            <w:r>
              <w:rPr>
                <w:rFonts w:ascii="Times New Roman" w:eastAsia="宋体" w:hAnsi="Times New Roman" w:cs="Times New Roman"/>
                <w:sz w:val="21"/>
                <w:szCs w:val="21"/>
                <w:vertAlign w:val="subscript"/>
              </w:rPr>
              <w:t>2</w:t>
            </w:r>
          </w:p>
        </w:tc>
        <w:tc>
          <w:tcPr>
            <w:tcW w:w="1515" w:type="pct"/>
            <w:tcBorders>
              <w:top w:val="single" w:sz="4" w:space="0" w:color="auto"/>
              <w:left w:val="single" w:sz="4" w:space="0" w:color="auto"/>
              <w:bottom w:val="single" w:sz="4" w:space="0" w:color="auto"/>
              <w:right w:val="single" w:sz="4" w:space="0" w:color="auto"/>
            </w:tcBorders>
            <w:vAlign w:val="center"/>
          </w:tcPr>
          <w:p w14:paraId="4B104BB5"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年平均</w:t>
            </w:r>
            <w:r>
              <w:rPr>
                <w:rFonts w:ascii="Times New Roman" w:eastAsia="宋体" w:hAnsi="Times New Roman" w:cs="Times New Roman" w:hint="eastAsia"/>
                <w:sz w:val="21"/>
                <w:szCs w:val="21"/>
              </w:rPr>
              <w:t>质量浓度</w:t>
            </w:r>
          </w:p>
        </w:tc>
        <w:tc>
          <w:tcPr>
            <w:tcW w:w="881" w:type="pct"/>
            <w:tcBorders>
              <w:top w:val="single" w:sz="4" w:space="0" w:color="auto"/>
              <w:left w:val="single" w:sz="4" w:space="0" w:color="auto"/>
              <w:bottom w:val="single" w:sz="4" w:space="0" w:color="auto"/>
              <w:right w:val="single" w:sz="4" w:space="0" w:color="auto"/>
            </w:tcBorders>
            <w:vAlign w:val="center"/>
          </w:tcPr>
          <w:p w14:paraId="4B354854"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20</w:t>
            </w:r>
          </w:p>
        </w:tc>
        <w:tc>
          <w:tcPr>
            <w:tcW w:w="760" w:type="pct"/>
            <w:tcBorders>
              <w:top w:val="single" w:sz="4" w:space="0" w:color="auto"/>
              <w:left w:val="single" w:sz="4" w:space="0" w:color="auto"/>
              <w:bottom w:val="single" w:sz="4" w:space="0" w:color="auto"/>
              <w:right w:val="single" w:sz="4" w:space="0" w:color="auto"/>
            </w:tcBorders>
            <w:vAlign w:val="center"/>
          </w:tcPr>
          <w:p w14:paraId="562495BB"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40</w:t>
            </w:r>
          </w:p>
        </w:tc>
        <w:tc>
          <w:tcPr>
            <w:tcW w:w="677" w:type="pct"/>
            <w:tcBorders>
              <w:top w:val="single" w:sz="4" w:space="0" w:color="auto"/>
              <w:left w:val="single" w:sz="4" w:space="0" w:color="auto"/>
              <w:bottom w:val="single" w:sz="4" w:space="0" w:color="auto"/>
              <w:right w:val="single" w:sz="4" w:space="0" w:color="auto"/>
            </w:tcBorders>
            <w:vAlign w:val="center"/>
          </w:tcPr>
          <w:p w14:paraId="54911142"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50</w:t>
            </w:r>
          </w:p>
        </w:tc>
        <w:tc>
          <w:tcPr>
            <w:tcW w:w="543" w:type="pct"/>
            <w:tcBorders>
              <w:top w:val="single" w:sz="4" w:space="0" w:color="auto"/>
              <w:left w:val="single" w:sz="4" w:space="0" w:color="auto"/>
              <w:bottom w:val="single" w:sz="4" w:space="0" w:color="auto"/>
              <w:right w:val="nil"/>
            </w:tcBorders>
            <w:vAlign w:val="center"/>
          </w:tcPr>
          <w:p w14:paraId="5C4FE126"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达标</w:t>
            </w:r>
          </w:p>
        </w:tc>
      </w:tr>
      <w:tr w:rsidR="009D12AF" w14:paraId="1546FDF3" w14:textId="77777777">
        <w:trPr>
          <w:trHeight w:val="20"/>
          <w:jc w:val="center"/>
        </w:trPr>
        <w:tc>
          <w:tcPr>
            <w:tcW w:w="621" w:type="pct"/>
            <w:tcBorders>
              <w:top w:val="single" w:sz="4" w:space="0" w:color="auto"/>
              <w:left w:val="nil"/>
              <w:bottom w:val="single" w:sz="4" w:space="0" w:color="auto"/>
              <w:right w:val="single" w:sz="4" w:space="0" w:color="auto"/>
            </w:tcBorders>
            <w:vAlign w:val="center"/>
          </w:tcPr>
          <w:p w14:paraId="0663DC14"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SO</w:t>
            </w:r>
            <w:r>
              <w:rPr>
                <w:rFonts w:ascii="Times New Roman" w:eastAsia="宋体" w:hAnsi="Times New Roman" w:cs="Times New Roman"/>
                <w:sz w:val="21"/>
                <w:szCs w:val="21"/>
                <w:vertAlign w:val="subscript"/>
              </w:rPr>
              <w:t>2</w:t>
            </w:r>
          </w:p>
        </w:tc>
        <w:tc>
          <w:tcPr>
            <w:tcW w:w="1515" w:type="pct"/>
            <w:tcBorders>
              <w:top w:val="single" w:sz="4" w:space="0" w:color="auto"/>
              <w:left w:val="single" w:sz="4" w:space="0" w:color="auto"/>
              <w:bottom w:val="single" w:sz="4" w:space="0" w:color="auto"/>
              <w:right w:val="single" w:sz="4" w:space="0" w:color="auto"/>
            </w:tcBorders>
            <w:vAlign w:val="center"/>
          </w:tcPr>
          <w:p w14:paraId="3FFEAF87"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年平均</w:t>
            </w:r>
            <w:r>
              <w:rPr>
                <w:rFonts w:ascii="Times New Roman" w:eastAsia="宋体" w:hAnsi="Times New Roman" w:cs="Times New Roman" w:hint="eastAsia"/>
                <w:sz w:val="21"/>
                <w:szCs w:val="21"/>
              </w:rPr>
              <w:t>质量浓度</w:t>
            </w:r>
          </w:p>
        </w:tc>
        <w:tc>
          <w:tcPr>
            <w:tcW w:w="881" w:type="pct"/>
            <w:tcBorders>
              <w:top w:val="single" w:sz="4" w:space="0" w:color="auto"/>
              <w:left w:val="single" w:sz="4" w:space="0" w:color="auto"/>
              <w:bottom w:val="single" w:sz="4" w:space="0" w:color="auto"/>
              <w:right w:val="single" w:sz="4" w:space="0" w:color="auto"/>
            </w:tcBorders>
            <w:vAlign w:val="center"/>
          </w:tcPr>
          <w:p w14:paraId="28A093BA"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9</w:t>
            </w:r>
          </w:p>
        </w:tc>
        <w:tc>
          <w:tcPr>
            <w:tcW w:w="760" w:type="pct"/>
            <w:tcBorders>
              <w:top w:val="single" w:sz="4" w:space="0" w:color="auto"/>
              <w:left w:val="single" w:sz="4" w:space="0" w:color="auto"/>
              <w:bottom w:val="single" w:sz="4" w:space="0" w:color="auto"/>
              <w:right w:val="single" w:sz="4" w:space="0" w:color="auto"/>
            </w:tcBorders>
            <w:vAlign w:val="center"/>
          </w:tcPr>
          <w:p w14:paraId="33501D90"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60</w:t>
            </w:r>
          </w:p>
        </w:tc>
        <w:tc>
          <w:tcPr>
            <w:tcW w:w="677" w:type="pct"/>
            <w:tcBorders>
              <w:top w:val="single" w:sz="4" w:space="0" w:color="auto"/>
              <w:left w:val="single" w:sz="4" w:space="0" w:color="auto"/>
              <w:bottom w:val="single" w:sz="4" w:space="0" w:color="auto"/>
              <w:right w:val="single" w:sz="4" w:space="0" w:color="auto"/>
            </w:tcBorders>
            <w:vAlign w:val="center"/>
          </w:tcPr>
          <w:p w14:paraId="238AF2BC"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15</w:t>
            </w:r>
          </w:p>
        </w:tc>
        <w:tc>
          <w:tcPr>
            <w:tcW w:w="543" w:type="pct"/>
            <w:tcBorders>
              <w:top w:val="single" w:sz="4" w:space="0" w:color="auto"/>
              <w:left w:val="single" w:sz="4" w:space="0" w:color="auto"/>
              <w:bottom w:val="single" w:sz="4" w:space="0" w:color="auto"/>
              <w:right w:val="nil"/>
            </w:tcBorders>
            <w:vAlign w:val="center"/>
          </w:tcPr>
          <w:p w14:paraId="248ECC79"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达标</w:t>
            </w:r>
          </w:p>
        </w:tc>
      </w:tr>
      <w:tr w:rsidR="009D12AF" w14:paraId="72FD0AAB" w14:textId="77777777">
        <w:trPr>
          <w:trHeight w:val="20"/>
          <w:jc w:val="center"/>
        </w:trPr>
        <w:tc>
          <w:tcPr>
            <w:tcW w:w="621" w:type="pct"/>
            <w:tcBorders>
              <w:top w:val="single" w:sz="4" w:space="0" w:color="auto"/>
              <w:left w:val="nil"/>
              <w:bottom w:val="single" w:sz="4" w:space="0" w:color="auto"/>
              <w:right w:val="single" w:sz="4" w:space="0" w:color="auto"/>
            </w:tcBorders>
            <w:vAlign w:val="center"/>
          </w:tcPr>
          <w:p w14:paraId="5F890B66"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CO</w:t>
            </w:r>
          </w:p>
        </w:tc>
        <w:tc>
          <w:tcPr>
            <w:tcW w:w="1515" w:type="pct"/>
            <w:tcBorders>
              <w:top w:val="single" w:sz="4" w:space="0" w:color="auto"/>
              <w:left w:val="single" w:sz="4" w:space="0" w:color="auto"/>
              <w:bottom w:val="single" w:sz="4" w:space="0" w:color="auto"/>
              <w:right w:val="single" w:sz="4" w:space="0" w:color="auto"/>
            </w:tcBorders>
            <w:vAlign w:val="center"/>
          </w:tcPr>
          <w:p w14:paraId="278723C5"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百分位数日平均</w:t>
            </w:r>
          </w:p>
        </w:tc>
        <w:tc>
          <w:tcPr>
            <w:tcW w:w="881" w:type="pct"/>
            <w:tcBorders>
              <w:top w:val="single" w:sz="4" w:space="0" w:color="auto"/>
              <w:left w:val="single" w:sz="4" w:space="0" w:color="auto"/>
              <w:bottom w:val="single" w:sz="4" w:space="0" w:color="auto"/>
              <w:right w:val="single" w:sz="4" w:space="0" w:color="auto"/>
            </w:tcBorders>
            <w:vAlign w:val="center"/>
          </w:tcPr>
          <w:p w14:paraId="0673FCA2"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900</w:t>
            </w:r>
          </w:p>
        </w:tc>
        <w:tc>
          <w:tcPr>
            <w:tcW w:w="760" w:type="pct"/>
            <w:tcBorders>
              <w:top w:val="single" w:sz="4" w:space="0" w:color="auto"/>
              <w:left w:val="single" w:sz="4" w:space="0" w:color="auto"/>
              <w:bottom w:val="single" w:sz="4" w:space="0" w:color="auto"/>
              <w:right w:val="single" w:sz="4" w:space="0" w:color="auto"/>
            </w:tcBorders>
            <w:vAlign w:val="center"/>
          </w:tcPr>
          <w:p w14:paraId="2AAF91F1"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4000</w:t>
            </w:r>
          </w:p>
        </w:tc>
        <w:tc>
          <w:tcPr>
            <w:tcW w:w="677" w:type="pct"/>
            <w:tcBorders>
              <w:top w:val="single" w:sz="4" w:space="0" w:color="auto"/>
              <w:left w:val="single" w:sz="4" w:space="0" w:color="auto"/>
              <w:bottom w:val="single" w:sz="4" w:space="0" w:color="auto"/>
              <w:right w:val="single" w:sz="4" w:space="0" w:color="auto"/>
            </w:tcBorders>
            <w:vAlign w:val="center"/>
          </w:tcPr>
          <w:p w14:paraId="2C7EA225"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22.5</w:t>
            </w:r>
          </w:p>
        </w:tc>
        <w:tc>
          <w:tcPr>
            <w:tcW w:w="543" w:type="pct"/>
            <w:tcBorders>
              <w:top w:val="single" w:sz="4" w:space="0" w:color="auto"/>
              <w:left w:val="single" w:sz="4" w:space="0" w:color="auto"/>
              <w:bottom w:val="single" w:sz="4" w:space="0" w:color="auto"/>
              <w:right w:val="nil"/>
            </w:tcBorders>
            <w:vAlign w:val="center"/>
          </w:tcPr>
          <w:p w14:paraId="111F25E2"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达标</w:t>
            </w:r>
          </w:p>
        </w:tc>
      </w:tr>
      <w:tr w:rsidR="009D12AF" w14:paraId="1C8A405F" w14:textId="77777777">
        <w:trPr>
          <w:trHeight w:val="20"/>
          <w:jc w:val="center"/>
        </w:trPr>
        <w:tc>
          <w:tcPr>
            <w:tcW w:w="621" w:type="pct"/>
            <w:tcBorders>
              <w:top w:val="single" w:sz="4" w:space="0" w:color="auto"/>
              <w:left w:val="nil"/>
              <w:bottom w:val="single" w:sz="12" w:space="0" w:color="auto"/>
              <w:right w:val="single" w:sz="4" w:space="0" w:color="auto"/>
            </w:tcBorders>
            <w:vAlign w:val="center"/>
          </w:tcPr>
          <w:p w14:paraId="708F2B78"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O</w:t>
            </w:r>
            <w:r>
              <w:rPr>
                <w:rFonts w:ascii="Times New Roman" w:eastAsia="宋体" w:hAnsi="Times New Roman" w:cs="Times New Roman"/>
                <w:sz w:val="21"/>
                <w:szCs w:val="21"/>
                <w:vertAlign w:val="subscript"/>
              </w:rPr>
              <w:t>3</w:t>
            </w:r>
          </w:p>
        </w:tc>
        <w:tc>
          <w:tcPr>
            <w:tcW w:w="1515" w:type="pct"/>
            <w:tcBorders>
              <w:top w:val="single" w:sz="4" w:space="0" w:color="auto"/>
              <w:left w:val="single" w:sz="4" w:space="0" w:color="auto"/>
              <w:bottom w:val="single" w:sz="12" w:space="0" w:color="auto"/>
              <w:right w:val="single" w:sz="4" w:space="0" w:color="auto"/>
            </w:tcBorders>
            <w:vAlign w:val="center"/>
          </w:tcPr>
          <w:p w14:paraId="3F83836B"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8</w:t>
            </w:r>
            <w:r>
              <w:rPr>
                <w:rFonts w:ascii="Times New Roman" w:eastAsia="宋体" w:hAnsi="Times New Roman" w:cs="Times New Roman"/>
                <w:sz w:val="21"/>
                <w:szCs w:val="21"/>
              </w:rPr>
              <w:t>小时平均</w:t>
            </w:r>
            <w:r>
              <w:rPr>
                <w:rFonts w:ascii="Times New Roman" w:eastAsia="宋体" w:hAnsi="Times New Roman" w:cs="Times New Roman" w:hint="eastAsia"/>
                <w:sz w:val="21"/>
                <w:szCs w:val="21"/>
              </w:rPr>
              <w:t>质量浓度</w:t>
            </w:r>
          </w:p>
        </w:tc>
        <w:tc>
          <w:tcPr>
            <w:tcW w:w="881" w:type="pct"/>
            <w:tcBorders>
              <w:top w:val="single" w:sz="4" w:space="0" w:color="auto"/>
              <w:left w:val="single" w:sz="4" w:space="0" w:color="auto"/>
              <w:bottom w:val="single" w:sz="12" w:space="0" w:color="auto"/>
              <w:right w:val="single" w:sz="4" w:space="0" w:color="auto"/>
            </w:tcBorders>
            <w:vAlign w:val="center"/>
          </w:tcPr>
          <w:p w14:paraId="33557E35"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108</w:t>
            </w:r>
          </w:p>
        </w:tc>
        <w:tc>
          <w:tcPr>
            <w:tcW w:w="760" w:type="pct"/>
            <w:tcBorders>
              <w:top w:val="single" w:sz="4" w:space="0" w:color="auto"/>
              <w:left w:val="single" w:sz="4" w:space="0" w:color="auto"/>
              <w:bottom w:val="single" w:sz="12" w:space="0" w:color="auto"/>
              <w:right w:val="single" w:sz="4" w:space="0" w:color="auto"/>
            </w:tcBorders>
            <w:vAlign w:val="center"/>
          </w:tcPr>
          <w:p w14:paraId="71D78507"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160</w:t>
            </w:r>
          </w:p>
        </w:tc>
        <w:tc>
          <w:tcPr>
            <w:tcW w:w="677" w:type="pct"/>
            <w:tcBorders>
              <w:top w:val="single" w:sz="4" w:space="0" w:color="auto"/>
              <w:left w:val="single" w:sz="4" w:space="0" w:color="auto"/>
              <w:bottom w:val="single" w:sz="12" w:space="0" w:color="auto"/>
              <w:right w:val="single" w:sz="4" w:space="0" w:color="auto"/>
            </w:tcBorders>
            <w:vAlign w:val="center"/>
          </w:tcPr>
          <w:p w14:paraId="74174C36"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67.5</w:t>
            </w:r>
          </w:p>
        </w:tc>
        <w:tc>
          <w:tcPr>
            <w:tcW w:w="543" w:type="pct"/>
            <w:tcBorders>
              <w:top w:val="single" w:sz="4" w:space="0" w:color="auto"/>
              <w:left w:val="single" w:sz="4" w:space="0" w:color="auto"/>
              <w:bottom w:val="single" w:sz="12" w:space="0" w:color="auto"/>
              <w:right w:val="nil"/>
            </w:tcBorders>
            <w:vAlign w:val="center"/>
          </w:tcPr>
          <w:p w14:paraId="3CD39865"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达标</w:t>
            </w:r>
          </w:p>
        </w:tc>
      </w:tr>
    </w:tbl>
    <w:p w14:paraId="7ED442A4" w14:textId="77777777" w:rsidR="009D12AF" w:rsidRDefault="00000000">
      <w:pPr>
        <w:ind w:firstLine="480"/>
      </w:pPr>
      <w:r>
        <w:t>根据表</w:t>
      </w:r>
      <w:r>
        <w:t>4.3-1</w:t>
      </w:r>
      <w:r>
        <w:t>可知，</w:t>
      </w:r>
      <w:r>
        <w:t>202</w:t>
      </w:r>
      <w:r>
        <w:rPr>
          <w:rFonts w:hint="eastAsia"/>
        </w:rPr>
        <w:t>4</w:t>
      </w:r>
      <w:r>
        <w:t>年</w:t>
      </w:r>
      <w:r>
        <w:rPr>
          <w:rFonts w:hint="eastAsia"/>
        </w:rPr>
        <w:t>牡丹江</w:t>
      </w:r>
      <w:r>
        <w:t>市基本污染物</w:t>
      </w:r>
      <w:r>
        <w:t>PM</w:t>
      </w:r>
      <w:r>
        <w:rPr>
          <w:vertAlign w:val="subscript"/>
        </w:rPr>
        <w:t>10</w:t>
      </w:r>
      <w:r>
        <w:t>、</w:t>
      </w:r>
      <w:r>
        <w:t>PM</w:t>
      </w:r>
      <w:r>
        <w:rPr>
          <w:vertAlign w:val="subscript"/>
        </w:rPr>
        <w:t>2.5</w:t>
      </w:r>
      <w:r>
        <w:t>、</w:t>
      </w:r>
      <w:r>
        <w:t>NO</w:t>
      </w:r>
      <w:r>
        <w:rPr>
          <w:vertAlign w:val="subscript"/>
        </w:rPr>
        <w:t>2</w:t>
      </w:r>
      <w:r>
        <w:t>、</w:t>
      </w:r>
      <w:r>
        <w:t>SO</w:t>
      </w:r>
      <w:r>
        <w:rPr>
          <w:vertAlign w:val="subscript"/>
        </w:rPr>
        <w:t>2</w:t>
      </w:r>
      <w:r>
        <w:t>、</w:t>
      </w:r>
      <w:r>
        <w:t>CO</w:t>
      </w:r>
      <w:r>
        <w:t>、</w:t>
      </w:r>
      <w:r>
        <w:t>O</w:t>
      </w:r>
      <w:r>
        <w:rPr>
          <w:vertAlign w:val="subscript"/>
        </w:rPr>
        <w:t>3</w:t>
      </w:r>
      <w:r>
        <w:t>均能够满足《环境空气质量标准》（</w:t>
      </w:r>
      <w:r>
        <w:t>GB3095-2012</w:t>
      </w:r>
      <w:r>
        <w:t>）及修改单二级标准要求，可确定项目所在区域为达标区。</w:t>
      </w:r>
    </w:p>
    <w:p w14:paraId="300D8E62" w14:textId="77777777" w:rsidR="009D12AF" w:rsidRDefault="00000000">
      <w:pPr>
        <w:ind w:firstLine="480"/>
      </w:pPr>
      <w:r>
        <w:rPr>
          <w:rFonts w:hint="eastAsia"/>
        </w:rPr>
        <w:t>二、环境空气质量现状补充监测</w:t>
      </w:r>
    </w:p>
    <w:p w14:paraId="131C025F" w14:textId="77777777" w:rsidR="009D12AF" w:rsidRDefault="00000000">
      <w:pPr>
        <w:ind w:firstLine="480"/>
        <w:rPr>
          <w:color w:val="FF0000"/>
          <w:highlight w:val="yellow"/>
        </w:rPr>
      </w:pPr>
      <w:r>
        <w:t>根据《环境影响评价技术导则</w:t>
      </w:r>
      <w:r>
        <w:t>-</w:t>
      </w:r>
      <w:r>
        <w:t>大气环境》（</w:t>
      </w:r>
      <w:r>
        <w:t>HJ2.2-2018</w:t>
      </w:r>
      <w:r>
        <w:t>）中补充监测要求，在</w:t>
      </w:r>
      <w:r>
        <w:rPr>
          <w:rFonts w:hint="eastAsia"/>
        </w:rPr>
        <w:t>本项目五个清淤位置</w:t>
      </w:r>
      <w:r>
        <w:t>下风向共设置</w:t>
      </w:r>
      <w:r>
        <w:rPr>
          <w:rFonts w:hint="eastAsia"/>
        </w:rPr>
        <w:t>10</w:t>
      </w:r>
      <w:r>
        <w:t>个监测点，</w:t>
      </w:r>
      <w:r>
        <w:rPr>
          <w:rFonts w:eastAsia="宋体"/>
        </w:rPr>
        <w:t>监测</w:t>
      </w:r>
      <w:r>
        <w:rPr>
          <w:rFonts w:eastAsia="宋体" w:hint="eastAsia"/>
        </w:rPr>
        <w:t>因子选择</w:t>
      </w:r>
      <w:r>
        <w:rPr>
          <w:rFonts w:eastAsia="宋体"/>
        </w:rPr>
        <w:t>TSP</w:t>
      </w:r>
      <w:r>
        <w:rPr>
          <w:rFonts w:eastAsia="宋体"/>
        </w:rPr>
        <w:t>、</w:t>
      </w:r>
      <w:r>
        <w:rPr>
          <w:rFonts w:eastAsia="宋体"/>
        </w:rPr>
        <w:t>NH</w:t>
      </w:r>
      <w:r>
        <w:rPr>
          <w:rFonts w:eastAsia="宋体"/>
          <w:vertAlign w:val="subscript"/>
        </w:rPr>
        <w:t>4</w:t>
      </w:r>
      <w:r>
        <w:rPr>
          <w:rFonts w:eastAsia="宋体"/>
        </w:rPr>
        <w:t>、</w:t>
      </w:r>
      <w:r>
        <w:rPr>
          <w:rFonts w:eastAsia="宋体"/>
        </w:rPr>
        <w:t>H</w:t>
      </w:r>
      <w:r>
        <w:rPr>
          <w:rFonts w:eastAsia="宋体"/>
          <w:vertAlign w:val="subscript"/>
        </w:rPr>
        <w:t>2</w:t>
      </w:r>
      <w:r>
        <w:rPr>
          <w:rFonts w:eastAsia="宋体"/>
        </w:rPr>
        <w:t>S</w:t>
      </w:r>
      <w:r>
        <w:rPr>
          <w:rFonts w:eastAsia="宋体"/>
        </w:rPr>
        <w:t>、臭气浓度</w:t>
      </w:r>
      <w:r>
        <w:rPr>
          <w:rFonts w:eastAsia="宋体" w:hint="eastAsia"/>
        </w:rPr>
        <w:t>进行</w:t>
      </w:r>
      <w:r>
        <w:t>现状补充监测。</w:t>
      </w:r>
    </w:p>
    <w:p w14:paraId="3493B5E7" w14:textId="77777777" w:rsidR="009D12AF" w:rsidRDefault="00000000">
      <w:pPr>
        <w:ind w:firstLine="480"/>
      </w:pPr>
      <w:r>
        <w:lastRenderedPageBreak/>
        <w:t>（</w:t>
      </w:r>
      <w:r>
        <w:t>1</w:t>
      </w:r>
      <w:r>
        <w:t>）监测项目</w:t>
      </w:r>
    </w:p>
    <w:p w14:paraId="21B62C05" w14:textId="77777777" w:rsidR="009D12AF" w:rsidRDefault="00000000">
      <w:pPr>
        <w:ind w:firstLine="480"/>
      </w:pPr>
      <w:r>
        <w:t>TSP</w:t>
      </w:r>
      <w:r>
        <w:t>、</w:t>
      </w:r>
      <w:r>
        <w:t>NH</w:t>
      </w:r>
      <w:r>
        <w:rPr>
          <w:vertAlign w:val="subscript"/>
        </w:rPr>
        <w:t>4</w:t>
      </w:r>
      <w:r>
        <w:t>、</w:t>
      </w:r>
      <w:r>
        <w:t>H</w:t>
      </w:r>
      <w:r>
        <w:rPr>
          <w:vertAlign w:val="subscript"/>
        </w:rPr>
        <w:t>2</w:t>
      </w:r>
      <w:r>
        <w:t>S</w:t>
      </w:r>
      <w:r>
        <w:t>、臭气浓度</w:t>
      </w:r>
    </w:p>
    <w:p w14:paraId="64C39222" w14:textId="77777777" w:rsidR="009D12AF" w:rsidRDefault="00000000">
      <w:pPr>
        <w:ind w:firstLine="480"/>
      </w:pPr>
      <w:r>
        <w:rPr>
          <w:rFonts w:hint="eastAsia"/>
        </w:rPr>
        <w:t>（</w:t>
      </w:r>
      <w:r>
        <w:rPr>
          <w:rFonts w:hint="eastAsia"/>
        </w:rPr>
        <w:t>2</w:t>
      </w:r>
      <w:r>
        <w:rPr>
          <w:rFonts w:hint="eastAsia"/>
        </w:rPr>
        <w:t>）监测单位</w:t>
      </w:r>
    </w:p>
    <w:p w14:paraId="3DCA05C8" w14:textId="77777777" w:rsidR="009D12AF" w:rsidRDefault="00000000">
      <w:pPr>
        <w:ind w:firstLine="480"/>
      </w:pPr>
      <w:r>
        <w:rPr>
          <w:rFonts w:hint="eastAsia"/>
        </w:rPr>
        <w:t>黑龙江克巽检测技术有限公司</w:t>
      </w:r>
    </w:p>
    <w:p w14:paraId="0A4CA4EC" w14:textId="77777777" w:rsidR="009D12AF" w:rsidRDefault="00000000">
      <w:pPr>
        <w:ind w:firstLine="480"/>
        <w:rPr>
          <w:rFonts w:eastAsia="宋体"/>
        </w:rPr>
      </w:pPr>
      <w:r>
        <w:t>（</w:t>
      </w:r>
      <w:r>
        <w:rPr>
          <w:rFonts w:hint="eastAsia"/>
        </w:rPr>
        <w:t>3</w:t>
      </w:r>
      <w:r>
        <w:t>）</w:t>
      </w:r>
      <w:r>
        <w:rPr>
          <w:rFonts w:eastAsia="宋体"/>
        </w:rPr>
        <w:t>监测采样时间及分析方法</w:t>
      </w:r>
    </w:p>
    <w:p w14:paraId="395FAE5A" w14:textId="77777777" w:rsidR="009D12AF" w:rsidRDefault="00000000">
      <w:pPr>
        <w:pStyle w:val="21"/>
        <w:adjustRightInd w:val="0"/>
        <w:snapToGrid w:val="0"/>
        <w:ind w:firstLine="480"/>
        <w:rPr>
          <w:rFonts w:eastAsia="宋体"/>
          <w:smallCaps w:val="0"/>
        </w:rPr>
      </w:pPr>
      <w:r>
        <w:rPr>
          <w:rFonts w:eastAsia="宋体"/>
          <w:smallCaps w:val="0"/>
        </w:rPr>
        <w:t>监测时间为</w:t>
      </w:r>
      <w:r>
        <w:rPr>
          <w:rFonts w:eastAsia="宋体"/>
          <w:smallCaps w:val="0"/>
        </w:rPr>
        <w:t>202</w:t>
      </w:r>
      <w:r>
        <w:rPr>
          <w:rFonts w:eastAsia="宋体" w:hint="eastAsia"/>
          <w:smallCaps w:val="0"/>
        </w:rPr>
        <w:t>5</w:t>
      </w:r>
      <w:r>
        <w:rPr>
          <w:rFonts w:eastAsia="宋体"/>
          <w:smallCaps w:val="0"/>
        </w:rPr>
        <w:t>年</w:t>
      </w:r>
      <w:r>
        <w:rPr>
          <w:rFonts w:eastAsia="宋体" w:hint="eastAsia"/>
          <w:smallCaps w:val="0"/>
        </w:rPr>
        <w:t>8</w:t>
      </w:r>
      <w:r>
        <w:rPr>
          <w:rFonts w:eastAsia="宋体"/>
          <w:smallCaps w:val="0"/>
        </w:rPr>
        <w:t>月</w:t>
      </w:r>
      <w:r>
        <w:rPr>
          <w:rFonts w:eastAsia="宋体" w:hint="eastAsia"/>
          <w:smallCaps w:val="0"/>
        </w:rPr>
        <w:t>17</w:t>
      </w:r>
      <w:r>
        <w:rPr>
          <w:rFonts w:eastAsia="宋体"/>
          <w:smallCaps w:val="0"/>
        </w:rPr>
        <w:t>日～</w:t>
      </w:r>
      <w:r>
        <w:rPr>
          <w:rFonts w:eastAsia="宋体"/>
          <w:smallCaps w:val="0"/>
        </w:rPr>
        <w:t>202</w:t>
      </w:r>
      <w:r>
        <w:rPr>
          <w:rFonts w:eastAsia="宋体" w:hint="eastAsia"/>
          <w:smallCaps w:val="0"/>
        </w:rPr>
        <w:t>5</w:t>
      </w:r>
      <w:r>
        <w:rPr>
          <w:rFonts w:eastAsia="宋体"/>
          <w:smallCaps w:val="0"/>
        </w:rPr>
        <w:t>年</w:t>
      </w:r>
      <w:r>
        <w:rPr>
          <w:rFonts w:eastAsia="宋体" w:hint="eastAsia"/>
          <w:smallCaps w:val="0"/>
        </w:rPr>
        <w:t>8</w:t>
      </w:r>
      <w:r>
        <w:rPr>
          <w:rFonts w:eastAsia="宋体"/>
          <w:smallCaps w:val="0"/>
        </w:rPr>
        <w:t>月</w:t>
      </w:r>
      <w:r>
        <w:rPr>
          <w:rFonts w:eastAsia="宋体" w:hint="eastAsia"/>
          <w:smallCaps w:val="0"/>
        </w:rPr>
        <w:t>23</w:t>
      </w:r>
      <w:r>
        <w:rPr>
          <w:rFonts w:eastAsia="宋体"/>
          <w:smallCaps w:val="0"/>
        </w:rPr>
        <w:t>日，连续监测</w:t>
      </w:r>
      <w:r>
        <w:rPr>
          <w:rFonts w:eastAsia="宋体"/>
          <w:smallCaps w:val="0"/>
        </w:rPr>
        <w:t>7</w:t>
      </w:r>
      <w:r>
        <w:rPr>
          <w:rFonts w:eastAsia="宋体"/>
          <w:smallCaps w:val="0"/>
        </w:rPr>
        <w:t>天。采样及分析方法按照相关规定的方法进行，详见表</w:t>
      </w:r>
      <w:r>
        <w:rPr>
          <w:rFonts w:eastAsia="宋体" w:hint="eastAsia"/>
          <w:smallCaps w:val="0"/>
        </w:rPr>
        <w:t>4.3-2</w:t>
      </w:r>
      <w:r>
        <w:rPr>
          <w:rFonts w:eastAsia="宋体"/>
          <w:smallCaps w:val="0"/>
        </w:rPr>
        <w:t>。</w:t>
      </w:r>
    </w:p>
    <w:p w14:paraId="26B08A83" w14:textId="77777777" w:rsidR="009D12AF" w:rsidRDefault="00000000">
      <w:pPr>
        <w:ind w:firstLineChars="0" w:firstLine="0"/>
        <w:jc w:val="center"/>
      </w:pPr>
      <w:r>
        <w:rPr>
          <w:b/>
          <w:bCs/>
        </w:rPr>
        <w:t>表</w:t>
      </w:r>
      <w:r>
        <w:rPr>
          <w:rFonts w:hint="eastAsia"/>
          <w:b/>
          <w:bCs/>
        </w:rPr>
        <w:t>4.3-2</w:t>
      </w:r>
      <w:r>
        <w:rPr>
          <w:b/>
          <w:bCs/>
        </w:rPr>
        <w:t xml:space="preserve">  </w:t>
      </w:r>
      <w:r>
        <w:rPr>
          <w:b/>
          <w:bCs/>
        </w:rPr>
        <w:t>本项目环境空气监测方法</w:t>
      </w:r>
      <w:r>
        <w:rPr>
          <w:rFonts w:hint="eastAsia"/>
          <w:b/>
          <w:bCs/>
        </w:rPr>
        <w:t>及仪器</w:t>
      </w:r>
    </w:p>
    <w:tbl>
      <w:tblPr>
        <w:tblW w:w="4998"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16"/>
        <w:gridCol w:w="1314"/>
        <w:gridCol w:w="3607"/>
        <w:gridCol w:w="2966"/>
      </w:tblGrid>
      <w:tr w:rsidR="009D12AF" w14:paraId="39AB72A9" w14:textId="77777777">
        <w:trPr>
          <w:trHeight w:val="454"/>
          <w:jc w:val="center"/>
        </w:trPr>
        <w:tc>
          <w:tcPr>
            <w:tcW w:w="1042" w:type="pct"/>
            <w:gridSpan w:val="2"/>
            <w:tcBorders>
              <w:tl2br w:val="nil"/>
              <w:tr2bl w:val="nil"/>
            </w:tcBorders>
            <w:vAlign w:val="center"/>
          </w:tcPr>
          <w:p w14:paraId="5DBE98EF" w14:textId="77777777" w:rsidR="009D12AF" w:rsidRDefault="00000000">
            <w:pPr>
              <w:ind w:firstLineChars="0" w:firstLine="0"/>
              <w:jc w:val="center"/>
              <w:rPr>
                <w:rFonts w:ascii="Times New Roman" w:hAnsi="Times New Roman"/>
                <w:b/>
                <w:bCs/>
                <w:sz w:val="21"/>
                <w:szCs w:val="21"/>
              </w:rPr>
            </w:pPr>
            <w:r>
              <w:rPr>
                <w:rFonts w:ascii="Times New Roman" w:hAnsi="Times New Roman"/>
                <w:b/>
                <w:bCs/>
                <w:sz w:val="21"/>
                <w:szCs w:val="21"/>
              </w:rPr>
              <w:t>检测项目</w:t>
            </w:r>
          </w:p>
        </w:tc>
        <w:tc>
          <w:tcPr>
            <w:tcW w:w="2171" w:type="pct"/>
            <w:tcBorders>
              <w:tl2br w:val="nil"/>
              <w:tr2bl w:val="nil"/>
            </w:tcBorders>
            <w:vAlign w:val="center"/>
          </w:tcPr>
          <w:p w14:paraId="73FDDE64" w14:textId="77777777" w:rsidR="009D12AF" w:rsidRDefault="00000000">
            <w:pPr>
              <w:ind w:firstLineChars="0" w:firstLine="0"/>
              <w:jc w:val="center"/>
              <w:rPr>
                <w:rFonts w:ascii="Times New Roman" w:hAnsi="Times New Roman"/>
                <w:b/>
                <w:bCs/>
                <w:sz w:val="21"/>
                <w:szCs w:val="21"/>
              </w:rPr>
            </w:pPr>
            <w:r>
              <w:rPr>
                <w:rFonts w:ascii="Times New Roman" w:hAnsi="Times New Roman"/>
                <w:b/>
                <w:bCs/>
                <w:sz w:val="21"/>
                <w:szCs w:val="21"/>
              </w:rPr>
              <w:t>检测方法名称及标准号</w:t>
            </w:r>
          </w:p>
        </w:tc>
        <w:tc>
          <w:tcPr>
            <w:tcW w:w="1785" w:type="pct"/>
            <w:tcBorders>
              <w:tl2br w:val="nil"/>
              <w:tr2bl w:val="nil"/>
            </w:tcBorders>
            <w:vAlign w:val="center"/>
          </w:tcPr>
          <w:p w14:paraId="6D498CCC" w14:textId="77777777" w:rsidR="009D12AF" w:rsidRDefault="00000000">
            <w:pPr>
              <w:ind w:firstLineChars="0" w:firstLine="0"/>
              <w:jc w:val="center"/>
              <w:rPr>
                <w:rFonts w:ascii="Times New Roman" w:hAnsi="Times New Roman"/>
                <w:b/>
                <w:bCs/>
                <w:sz w:val="21"/>
                <w:szCs w:val="21"/>
              </w:rPr>
            </w:pPr>
            <w:r>
              <w:rPr>
                <w:rFonts w:ascii="Times New Roman" w:hAnsi="Times New Roman"/>
                <w:b/>
                <w:bCs/>
                <w:sz w:val="21"/>
                <w:szCs w:val="21"/>
              </w:rPr>
              <w:t>仪器名称</w:t>
            </w:r>
            <w:r>
              <w:rPr>
                <w:rFonts w:ascii="Times New Roman" w:hAnsi="Times New Roman"/>
                <w:b/>
                <w:bCs/>
                <w:sz w:val="21"/>
                <w:szCs w:val="21"/>
              </w:rPr>
              <w:t>/</w:t>
            </w:r>
            <w:r>
              <w:rPr>
                <w:rFonts w:ascii="Times New Roman" w:hAnsi="Times New Roman"/>
                <w:b/>
                <w:bCs/>
                <w:sz w:val="21"/>
                <w:szCs w:val="21"/>
              </w:rPr>
              <w:t>仪器型号</w:t>
            </w:r>
            <w:r>
              <w:rPr>
                <w:rFonts w:ascii="Times New Roman" w:hAnsi="Times New Roman"/>
                <w:b/>
                <w:bCs/>
                <w:sz w:val="21"/>
                <w:szCs w:val="21"/>
              </w:rPr>
              <w:t>/</w:t>
            </w:r>
            <w:r>
              <w:rPr>
                <w:rFonts w:ascii="Times New Roman" w:hAnsi="Times New Roman"/>
                <w:b/>
                <w:bCs/>
                <w:sz w:val="21"/>
                <w:szCs w:val="21"/>
              </w:rPr>
              <w:t>仪器编号</w:t>
            </w:r>
          </w:p>
        </w:tc>
      </w:tr>
      <w:tr w:rsidR="009D12AF" w14:paraId="73CBB9D7" w14:textId="77777777">
        <w:trPr>
          <w:trHeight w:val="454"/>
          <w:jc w:val="center"/>
        </w:trPr>
        <w:tc>
          <w:tcPr>
            <w:tcW w:w="251" w:type="pct"/>
            <w:vMerge w:val="restart"/>
            <w:tcBorders>
              <w:tl2br w:val="nil"/>
              <w:tr2bl w:val="nil"/>
            </w:tcBorders>
            <w:vAlign w:val="center"/>
          </w:tcPr>
          <w:p w14:paraId="015A7D50"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1</w:t>
            </w:r>
          </w:p>
        </w:tc>
        <w:tc>
          <w:tcPr>
            <w:tcW w:w="791" w:type="pct"/>
            <w:vMerge w:val="restart"/>
            <w:tcBorders>
              <w:tl2br w:val="nil"/>
              <w:tr2bl w:val="nil"/>
            </w:tcBorders>
            <w:vAlign w:val="center"/>
          </w:tcPr>
          <w:p w14:paraId="07861738" w14:textId="77777777" w:rsidR="009D12AF" w:rsidRDefault="00000000">
            <w:pPr>
              <w:widowControl/>
              <w:adjustRightIn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总悬浮颗粒物</w:t>
            </w:r>
          </w:p>
        </w:tc>
        <w:tc>
          <w:tcPr>
            <w:tcW w:w="2171" w:type="pct"/>
            <w:vMerge w:val="restart"/>
            <w:tcBorders>
              <w:tl2br w:val="nil"/>
              <w:tr2bl w:val="nil"/>
            </w:tcBorders>
            <w:vAlign w:val="center"/>
          </w:tcPr>
          <w:p w14:paraId="3E3578D1" w14:textId="77777777" w:rsidR="009D12AF" w:rsidRDefault="00000000">
            <w:pPr>
              <w:widowControl/>
              <w:adjustRightIn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环境空气</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总悬浮颗粒物的测定</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重量法</w:t>
            </w:r>
            <w:r>
              <w:rPr>
                <w:rFonts w:ascii="Times New Roman" w:eastAsia="宋体" w:hAnsi="Times New Roman" w:cs="Times New Roman"/>
                <w:sz w:val="21"/>
                <w:szCs w:val="21"/>
              </w:rPr>
              <w:t xml:space="preserve"> </w:t>
            </w:r>
          </w:p>
          <w:p w14:paraId="2468B51E" w14:textId="77777777" w:rsidR="009D12AF" w:rsidRDefault="00000000">
            <w:pPr>
              <w:widowControl/>
              <w:adjustRightIn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HJ</w:t>
            </w:r>
            <w:r>
              <w:rPr>
                <w:rFonts w:ascii="Times New Roman" w:hAnsi="Times New Roman" w:cs="Times New Roman" w:hint="eastAsia"/>
                <w:sz w:val="21"/>
                <w:szCs w:val="21"/>
              </w:rPr>
              <w:t xml:space="preserve"> </w:t>
            </w:r>
            <w:r>
              <w:rPr>
                <w:rFonts w:ascii="Times New Roman" w:eastAsia="宋体" w:hAnsi="Times New Roman" w:cs="Times New Roman"/>
                <w:sz w:val="21"/>
                <w:szCs w:val="21"/>
              </w:rPr>
              <w:t>1263-2022</w:t>
            </w:r>
          </w:p>
        </w:tc>
        <w:tc>
          <w:tcPr>
            <w:tcW w:w="1785" w:type="pct"/>
            <w:tcBorders>
              <w:tl2br w:val="nil"/>
              <w:tr2bl w:val="nil"/>
            </w:tcBorders>
            <w:vAlign w:val="center"/>
          </w:tcPr>
          <w:p w14:paraId="5FF9111E" w14:textId="77777777" w:rsidR="009D12AF" w:rsidRDefault="00000000">
            <w:pPr>
              <w:widowControl/>
              <w:adjustRightIn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智能</w:t>
            </w:r>
            <w:r>
              <w:rPr>
                <w:rFonts w:ascii="Times New Roman" w:eastAsia="宋体" w:hAnsi="Times New Roman" w:cs="Times New Roman"/>
                <w:sz w:val="21"/>
                <w:szCs w:val="21"/>
              </w:rPr>
              <w:t>TSP</w:t>
            </w:r>
            <w:r>
              <w:rPr>
                <w:rFonts w:ascii="Times New Roman" w:eastAsia="宋体" w:hAnsi="Times New Roman" w:cs="Times New Roman"/>
                <w:sz w:val="21"/>
                <w:szCs w:val="21"/>
              </w:rPr>
              <w:t>采样器</w:t>
            </w:r>
            <w:r>
              <w:rPr>
                <w:rFonts w:ascii="Times New Roman" w:eastAsia="宋体" w:hAnsi="Times New Roman" w:cs="Times New Roman"/>
                <w:sz w:val="21"/>
                <w:szCs w:val="21"/>
              </w:rPr>
              <w:t>/</w:t>
            </w:r>
            <w:r>
              <w:rPr>
                <w:rFonts w:ascii="Times New Roman" w:eastAsia="宋体" w:hAnsi="Times New Roman" w:cs="Times New Roman" w:hint="eastAsia"/>
                <w:sz w:val="21"/>
                <w:szCs w:val="21"/>
              </w:rPr>
              <w:t>ZR-392</w:t>
            </w:r>
            <w:r>
              <w:rPr>
                <w:rFonts w:ascii="Times New Roman" w:hAnsi="Times New Roman" w:cs="Times New Roman" w:hint="eastAsia"/>
                <w:sz w:val="21"/>
                <w:szCs w:val="21"/>
              </w:rPr>
              <w:t>0</w:t>
            </w:r>
            <w:r>
              <w:rPr>
                <w:rFonts w:ascii="Times New Roman" w:eastAsia="宋体" w:hAnsi="Times New Roman" w:cs="Times New Roman" w:hint="eastAsia"/>
                <w:sz w:val="21"/>
                <w:szCs w:val="21"/>
              </w:rPr>
              <w:t>型</w:t>
            </w:r>
            <w:r>
              <w:rPr>
                <w:rFonts w:ascii="Times New Roman" w:eastAsia="宋体" w:hAnsi="Times New Roman" w:cs="Times New Roman"/>
                <w:sz w:val="21"/>
                <w:szCs w:val="21"/>
              </w:rPr>
              <w:t>/</w:t>
            </w:r>
            <w:r>
              <w:rPr>
                <w:rFonts w:ascii="Times New Roman" w:eastAsia="宋体" w:hAnsi="Times New Roman" w:cs="Times New Roman"/>
                <w:kern w:val="0"/>
                <w:sz w:val="21"/>
                <w:szCs w:val="21"/>
                <w:lang w:bidi="ar"/>
              </w:rPr>
              <w:t>KXYQ</w:t>
            </w:r>
            <w:r>
              <w:rPr>
                <w:rFonts w:ascii="Times New Roman" w:hAnsi="Times New Roman" w:cs="Times New Roman" w:hint="eastAsia"/>
                <w:kern w:val="0"/>
                <w:sz w:val="21"/>
                <w:szCs w:val="21"/>
                <w:lang w:bidi="ar"/>
              </w:rPr>
              <w:t>-147</w:t>
            </w:r>
          </w:p>
          <w:p w14:paraId="7112A834" w14:textId="77777777" w:rsidR="009D12AF" w:rsidRDefault="00000000">
            <w:pPr>
              <w:widowControl/>
              <w:adjustRightIn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智能</w:t>
            </w:r>
            <w:r>
              <w:rPr>
                <w:rFonts w:ascii="Times New Roman" w:eastAsia="宋体" w:hAnsi="Times New Roman" w:cs="Times New Roman"/>
                <w:sz w:val="21"/>
                <w:szCs w:val="21"/>
              </w:rPr>
              <w:t>TSP</w:t>
            </w:r>
            <w:r>
              <w:rPr>
                <w:rFonts w:ascii="Times New Roman" w:eastAsia="宋体" w:hAnsi="Times New Roman" w:cs="Times New Roman"/>
                <w:sz w:val="21"/>
                <w:szCs w:val="21"/>
              </w:rPr>
              <w:t>采样器</w:t>
            </w:r>
            <w:r>
              <w:rPr>
                <w:rFonts w:ascii="Times New Roman" w:eastAsia="宋体" w:hAnsi="Times New Roman" w:cs="Times New Roman"/>
                <w:sz w:val="21"/>
                <w:szCs w:val="21"/>
              </w:rPr>
              <w:t>/</w:t>
            </w:r>
            <w:r>
              <w:rPr>
                <w:rFonts w:ascii="Times New Roman" w:eastAsia="宋体" w:hAnsi="Times New Roman" w:cs="Times New Roman" w:hint="eastAsia"/>
                <w:sz w:val="21"/>
                <w:szCs w:val="21"/>
              </w:rPr>
              <w:t>ZR-3922</w:t>
            </w:r>
            <w:r>
              <w:rPr>
                <w:rFonts w:ascii="Times New Roman" w:eastAsia="宋体" w:hAnsi="Times New Roman" w:cs="Times New Roman" w:hint="eastAsia"/>
                <w:sz w:val="21"/>
                <w:szCs w:val="21"/>
              </w:rPr>
              <w:t>型</w:t>
            </w:r>
            <w:r>
              <w:rPr>
                <w:rFonts w:ascii="Times New Roman" w:eastAsia="宋体" w:hAnsi="Times New Roman" w:cs="Times New Roman"/>
                <w:sz w:val="21"/>
                <w:szCs w:val="21"/>
              </w:rPr>
              <w:t>/</w:t>
            </w:r>
            <w:r>
              <w:rPr>
                <w:rFonts w:ascii="Times New Roman" w:eastAsia="宋体" w:hAnsi="Times New Roman" w:cs="Times New Roman"/>
                <w:kern w:val="0"/>
                <w:sz w:val="21"/>
                <w:szCs w:val="21"/>
                <w:lang w:bidi="ar"/>
              </w:rPr>
              <w:t>KXYQ</w:t>
            </w:r>
            <w:r>
              <w:rPr>
                <w:rFonts w:ascii="Times New Roman" w:hAnsi="Times New Roman" w:cs="Times New Roman" w:hint="eastAsia"/>
                <w:kern w:val="0"/>
                <w:sz w:val="21"/>
                <w:szCs w:val="21"/>
                <w:lang w:bidi="ar"/>
              </w:rPr>
              <w:t>-148~156</w:t>
            </w:r>
          </w:p>
        </w:tc>
      </w:tr>
      <w:tr w:rsidR="009D12AF" w14:paraId="1453EDC6" w14:textId="77777777">
        <w:trPr>
          <w:trHeight w:val="454"/>
          <w:jc w:val="center"/>
        </w:trPr>
        <w:tc>
          <w:tcPr>
            <w:tcW w:w="251" w:type="pct"/>
            <w:vMerge/>
            <w:tcBorders>
              <w:tl2br w:val="nil"/>
              <w:tr2bl w:val="nil"/>
            </w:tcBorders>
            <w:vAlign w:val="center"/>
          </w:tcPr>
          <w:p w14:paraId="69A55D1F" w14:textId="77777777" w:rsidR="009D12AF" w:rsidRDefault="009D12AF">
            <w:pPr>
              <w:widowControl/>
              <w:ind w:firstLineChars="0" w:firstLine="0"/>
              <w:jc w:val="center"/>
              <w:textAlignment w:val="center"/>
              <w:rPr>
                <w:sz w:val="21"/>
                <w:szCs w:val="21"/>
              </w:rPr>
            </w:pPr>
          </w:p>
        </w:tc>
        <w:tc>
          <w:tcPr>
            <w:tcW w:w="791" w:type="pct"/>
            <w:vMerge/>
            <w:tcBorders>
              <w:tl2br w:val="nil"/>
              <w:tr2bl w:val="nil"/>
            </w:tcBorders>
            <w:vAlign w:val="center"/>
          </w:tcPr>
          <w:p w14:paraId="07F25D62" w14:textId="77777777" w:rsidR="009D12AF" w:rsidRDefault="009D12AF">
            <w:pPr>
              <w:widowControl/>
              <w:ind w:firstLineChars="0" w:firstLine="0"/>
              <w:jc w:val="center"/>
              <w:textAlignment w:val="center"/>
              <w:rPr>
                <w:sz w:val="21"/>
                <w:szCs w:val="21"/>
              </w:rPr>
            </w:pPr>
          </w:p>
        </w:tc>
        <w:tc>
          <w:tcPr>
            <w:tcW w:w="2171" w:type="pct"/>
            <w:vMerge/>
            <w:tcBorders>
              <w:tl2br w:val="nil"/>
              <w:tr2bl w:val="nil"/>
            </w:tcBorders>
            <w:vAlign w:val="center"/>
          </w:tcPr>
          <w:p w14:paraId="77F53A63" w14:textId="77777777" w:rsidR="009D12AF" w:rsidRDefault="009D12AF">
            <w:pPr>
              <w:widowControl/>
              <w:ind w:firstLineChars="0" w:firstLine="0"/>
              <w:jc w:val="center"/>
              <w:textAlignment w:val="center"/>
              <w:rPr>
                <w:sz w:val="21"/>
                <w:szCs w:val="21"/>
              </w:rPr>
            </w:pPr>
          </w:p>
        </w:tc>
        <w:tc>
          <w:tcPr>
            <w:tcW w:w="1785" w:type="pct"/>
            <w:tcBorders>
              <w:tl2br w:val="nil"/>
              <w:tr2bl w:val="nil"/>
            </w:tcBorders>
            <w:vAlign w:val="center"/>
          </w:tcPr>
          <w:p w14:paraId="15CDD43D"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eastAsia="宋体" w:hAnsi="Times New Roman" w:cs="Times New Roman"/>
                <w:kern w:val="0"/>
                <w:sz w:val="21"/>
                <w:szCs w:val="21"/>
                <w:lang w:bidi="ar"/>
              </w:rPr>
              <w:t>电子天平</w:t>
            </w:r>
            <w:r>
              <w:rPr>
                <w:rFonts w:ascii="Times New Roman" w:eastAsia="宋体" w:hAnsi="Times New Roman" w:cs="Times New Roman"/>
                <w:kern w:val="0"/>
                <w:sz w:val="21"/>
                <w:szCs w:val="21"/>
                <w:lang w:bidi="ar"/>
              </w:rPr>
              <w:t>/AUW120D/KXYQ-017</w:t>
            </w:r>
          </w:p>
        </w:tc>
      </w:tr>
      <w:tr w:rsidR="009D12AF" w14:paraId="4F05B3A8" w14:textId="77777777">
        <w:trPr>
          <w:trHeight w:val="454"/>
          <w:jc w:val="center"/>
        </w:trPr>
        <w:tc>
          <w:tcPr>
            <w:tcW w:w="251" w:type="pct"/>
            <w:vMerge/>
            <w:tcBorders>
              <w:tl2br w:val="nil"/>
              <w:tr2bl w:val="nil"/>
            </w:tcBorders>
            <w:vAlign w:val="center"/>
          </w:tcPr>
          <w:p w14:paraId="72D56E96" w14:textId="77777777" w:rsidR="009D12AF" w:rsidRDefault="009D12AF">
            <w:pPr>
              <w:widowControl/>
              <w:ind w:firstLineChars="0" w:firstLine="0"/>
              <w:jc w:val="center"/>
              <w:textAlignment w:val="center"/>
              <w:rPr>
                <w:sz w:val="21"/>
                <w:szCs w:val="21"/>
              </w:rPr>
            </w:pPr>
          </w:p>
        </w:tc>
        <w:tc>
          <w:tcPr>
            <w:tcW w:w="791" w:type="pct"/>
            <w:vMerge/>
            <w:tcBorders>
              <w:tl2br w:val="nil"/>
              <w:tr2bl w:val="nil"/>
            </w:tcBorders>
            <w:vAlign w:val="center"/>
          </w:tcPr>
          <w:p w14:paraId="01007066" w14:textId="77777777" w:rsidR="009D12AF" w:rsidRDefault="009D12AF">
            <w:pPr>
              <w:widowControl/>
              <w:ind w:firstLineChars="0" w:firstLine="0"/>
              <w:jc w:val="center"/>
              <w:textAlignment w:val="center"/>
              <w:rPr>
                <w:sz w:val="21"/>
                <w:szCs w:val="21"/>
              </w:rPr>
            </w:pPr>
          </w:p>
        </w:tc>
        <w:tc>
          <w:tcPr>
            <w:tcW w:w="2171" w:type="pct"/>
            <w:vMerge/>
            <w:tcBorders>
              <w:tl2br w:val="nil"/>
              <w:tr2bl w:val="nil"/>
            </w:tcBorders>
            <w:vAlign w:val="center"/>
          </w:tcPr>
          <w:p w14:paraId="08E4AEEF" w14:textId="77777777" w:rsidR="009D12AF" w:rsidRDefault="009D12AF">
            <w:pPr>
              <w:widowControl/>
              <w:ind w:firstLineChars="0" w:firstLine="0"/>
              <w:jc w:val="center"/>
              <w:textAlignment w:val="center"/>
              <w:rPr>
                <w:sz w:val="21"/>
                <w:szCs w:val="21"/>
              </w:rPr>
            </w:pPr>
          </w:p>
        </w:tc>
        <w:tc>
          <w:tcPr>
            <w:tcW w:w="1785" w:type="pct"/>
            <w:tcBorders>
              <w:tl2br w:val="nil"/>
              <w:tr2bl w:val="nil"/>
            </w:tcBorders>
            <w:vAlign w:val="center"/>
          </w:tcPr>
          <w:p w14:paraId="4817AAF1"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eastAsia="宋体" w:hAnsi="Times New Roman" w:cs="Times New Roman"/>
                <w:kern w:val="0"/>
                <w:sz w:val="21"/>
                <w:szCs w:val="21"/>
                <w:lang w:bidi="ar"/>
              </w:rPr>
              <w:t>恒温恒湿称重系统</w:t>
            </w:r>
            <w:r>
              <w:rPr>
                <w:rFonts w:ascii="Times New Roman" w:eastAsia="宋体" w:hAnsi="Times New Roman" w:cs="Times New Roman"/>
                <w:kern w:val="0"/>
                <w:sz w:val="21"/>
                <w:szCs w:val="21"/>
                <w:lang w:bidi="ar"/>
              </w:rPr>
              <w:t>/JC-AWS9-2/KXYQ-029</w:t>
            </w:r>
          </w:p>
        </w:tc>
      </w:tr>
      <w:tr w:rsidR="009D12AF" w14:paraId="4403EC94" w14:textId="77777777">
        <w:trPr>
          <w:trHeight w:val="454"/>
          <w:jc w:val="center"/>
        </w:trPr>
        <w:tc>
          <w:tcPr>
            <w:tcW w:w="251" w:type="pct"/>
            <w:vMerge w:val="restart"/>
            <w:tcBorders>
              <w:tl2br w:val="nil"/>
              <w:tr2bl w:val="nil"/>
            </w:tcBorders>
            <w:vAlign w:val="center"/>
          </w:tcPr>
          <w:p w14:paraId="28CA1CEF" w14:textId="77777777" w:rsidR="009D12AF" w:rsidRDefault="00000000">
            <w:pPr>
              <w:widowControl/>
              <w:ind w:firstLineChars="0" w:firstLine="0"/>
              <w:jc w:val="center"/>
              <w:textAlignment w:val="center"/>
              <w:rPr>
                <w:rFonts w:eastAsia="宋体"/>
                <w:sz w:val="21"/>
                <w:szCs w:val="21"/>
              </w:rPr>
            </w:pPr>
            <w:r>
              <w:rPr>
                <w:rFonts w:hint="eastAsia"/>
                <w:sz w:val="21"/>
                <w:szCs w:val="21"/>
              </w:rPr>
              <w:t>2</w:t>
            </w:r>
          </w:p>
        </w:tc>
        <w:tc>
          <w:tcPr>
            <w:tcW w:w="791" w:type="pct"/>
            <w:vMerge w:val="restart"/>
            <w:tcBorders>
              <w:tl2br w:val="nil"/>
              <w:tr2bl w:val="nil"/>
            </w:tcBorders>
            <w:vAlign w:val="center"/>
          </w:tcPr>
          <w:p w14:paraId="6CC4BBB0" w14:textId="77777777" w:rsidR="009D12AF" w:rsidRDefault="00000000">
            <w:pPr>
              <w:widowControl/>
              <w:ind w:firstLineChars="0" w:firstLine="0"/>
              <w:jc w:val="center"/>
              <w:textAlignment w:val="center"/>
              <w:rPr>
                <w:rFonts w:eastAsia="宋体"/>
                <w:sz w:val="21"/>
                <w:szCs w:val="21"/>
              </w:rPr>
            </w:pPr>
            <w:r>
              <w:rPr>
                <w:rFonts w:hint="eastAsia"/>
                <w:sz w:val="21"/>
                <w:szCs w:val="21"/>
              </w:rPr>
              <w:t>氨</w:t>
            </w:r>
          </w:p>
        </w:tc>
        <w:tc>
          <w:tcPr>
            <w:tcW w:w="2171" w:type="pct"/>
            <w:vMerge w:val="restart"/>
            <w:tcBorders>
              <w:tl2br w:val="nil"/>
              <w:tr2bl w:val="nil"/>
            </w:tcBorders>
            <w:vAlign w:val="center"/>
          </w:tcPr>
          <w:p w14:paraId="526137FC" w14:textId="77777777" w:rsidR="009D12AF" w:rsidRDefault="00000000">
            <w:pPr>
              <w:widowControl/>
              <w:adjustRightIn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环境空气和废气</w:t>
            </w:r>
            <w:r>
              <w:rPr>
                <w:rFonts w:ascii="Times New Roman" w:eastAsia="宋体" w:hAnsi="Times New Roman" w:cs="Times New Roman" w:hint="eastAsia"/>
                <w:sz w:val="21"/>
                <w:szCs w:val="21"/>
              </w:rPr>
              <w:t xml:space="preserve"> </w:t>
            </w:r>
            <w:r>
              <w:rPr>
                <w:rFonts w:ascii="Times New Roman" w:eastAsia="宋体" w:hAnsi="Times New Roman" w:cs="Times New Roman" w:hint="eastAsia"/>
                <w:sz w:val="21"/>
                <w:szCs w:val="21"/>
              </w:rPr>
              <w:t>氨的测定</w:t>
            </w:r>
            <w:r>
              <w:rPr>
                <w:rFonts w:ascii="Times New Roman" w:eastAsia="宋体" w:hAnsi="Times New Roman" w:cs="Times New Roman" w:hint="eastAsia"/>
                <w:sz w:val="21"/>
                <w:szCs w:val="21"/>
              </w:rPr>
              <w:t xml:space="preserve"> </w:t>
            </w:r>
            <w:r>
              <w:rPr>
                <w:rFonts w:ascii="Times New Roman" w:eastAsia="宋体" w:hAnsi="Times New Roman" w:cs="Times New Roman" w:hint="eastAsia"/>
                <w:sz w:val="21"/>
                <w:szCs w:val="21"/>
              </w:rPr>
              <w:t>纳氏试剂分光光度法</w:t>
            </w:r>
            <w:r>
              <w:rPr>
                <w:rFonts w:ascii="Times New Roman" w:eastAsia="宋体" w:hAnsi="Times New Roman" w:cs="Times New Roman" w:hint="eastAsia"/>
                <w:sz w:val="21"/>
                <w:szCs w:val="21"/>
              </w:rPr>
              <w:t xml:space="preserve"> HJ 533-2009</w:t>
            </w:r>
          </w:p>
        </w:tc>
        <w:tc>
          <w:tcPr>
            <w:tcW w:w="1785" w:type="pct"/>
            <w:tcBorders>
              <w:tl2br w:val="nil"/>
              <w:tr2bl w:val="nil"/>
            </w:tcBorders>
            <w:vAlign w:val="center"/>
          </w:tcPr>
          <w:p w14:paraId="76ADB1DC" w14:textId="77777777" w:rsidR="009D12AF" w:rsidRDefault="00000000">
            <w:pPr>
              <w:widowControl/>
              <w:adjustRightIn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智能</w:t>
            </w:r>
            <w:r>
              <w:rPr>
                <w:rFonts w:ascii="Times New Roman" w:eastAsia="宋体" w:hAnsi="Times New Roman" w:cs="Times New Roman"/>
                <w:sz w:val="21"/>
                <w:szCs w:val="21"/>
              </w:rPr>
              <w:t>TSP</w:t>
            </w:r>
            <w:r>
              <w:rPr>
                <w:rFonts w:ascii="Times New Roman" w:eastAsia="宋体" w:hAnsi="Times New Roman" w:cs="Times New Roman"/>
                <w:sz w:val="21"/>
                <w:szCs w:val="21"/>
              </w:rPr>
              <w:t>采样器</w:t>
            </w:r>
            <w:r>
              <w:rPr>
                <w:rFonts w:ascii="Times New Roman" w:eastAsia="宋体" w:hAnsi="Times New Roman" w:cs="Times New Roman"/>
                <w:sz w:val="21"/>
                <w:szCs w:val="21"/>
              </w:rPr>
              <w:t>/</w:t>
            </w:r>
            <w:r>
              <w:rPr>
                <w:rFonts w:ascii="Times New Roman" w:eastAsia="宋体" w:hAnsi="Times New Roman" w:cs="Times New Roman" w:hint="eastAsia"/>
                <w:sz w:val="21"/>
                <w:szCs w:val="21"/>
              </w:rPr>
              <w:t>ZR-392</w:t>
            </w:r>
            <w:r>
              <w:rPr>
                <w:rFonts w:ascii="Times New Roman" w:hAnsi="Times New Roman" w:cs="Times New Roman" w:hint="eastAsia"/>
                <w:sz w:val="21"/>
                <w:szCs w:val="21"/>
              </w:rPr>
              <w:t>0</w:t>
            </w:r>
            <w:r>
              <w:rPr>
                <w:rFonts w:ascii="Times New Roman" w:eastAsia="宋体" w:hAnsi="Times New Roman" w:cs="Times New Roman" w:hint="eastAsia"/>
                <w:sz w:val="21"/>
                <w:szCs w:val="21"/>
              </w:rPr>
              <w:t>型</w:t>
            </w:r>
            <w:r>
              <w:rPr>
                <w:rFonts w:ascii="Times New Roman" w:eastAsia="宋体" w:hAnsi="Times New Roman" w:cs="Times New Roman"/>
                <w:sz w:val="21"/>
                <w:szCs w:val="21"/>
              </w:rPr>
              <w:t>/</w:t>
            </w:r>
            <w:r>
              <w:rPr>
                <w:rFonts w:ascii="Times New Roman" w:eastAsia="宋体" w:hAnsi="Times New Roman" w:cs="Times New Roman"/>
                <w:kern w:val="0"/>
                <w:sz w:val="21"/>
                <w:szCs w:val="21"/>
                <w:lang w:bidi="ar"/>
              </w:rPr>
              <w:t>KXYQ</w:t>
            </w:r>
            <w:r>
              <w:rPr>
                <w:rFonts w:ascii="Times New Roman" w:hAnsi="Times New Roman" w:cs="Times New Roman" w:hint="eastAsia"/>
                <w:kern w:val="0"/>
                <w:sz w:val="21"/>
                <w:szCs w:val="21"/>
                <w:lang w:bidi="ar"/>
              </w:rPr>
              <w:t>-147</w:t>
            </w:r>
          </w:p>
          <w:p w14:paraId="008D33A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sz w:val="21"/>
                <w:szCs w:val="21"/>
              </w:rPr>
              <w:t>智能</w:t>
            </w:r>
            <w:r>
              <w:rPr>
                <w:rFonts w:ascii="Times New Roman" w:eastAsia="宋体" w:hAnsi="Times New Roman" w:cs="Times New Roman"/>
                <w:sz w:val="21"/>
                <w:szCs w:val="21"/>
              </w:rPr>
              <w:t>TSP</w:t>
            </w:r>
            <w:r>
              <w:rPr>
                <w:rFonts w:ascii="Times New Roman" w:eastAsia="宋体" w:hAnsi="Times New Roman" w:cs="Times New Roman"/>
                <w:sz w:val="21"/>
                <w:szCs w:val="21"/>
              </w:rPr>
              <w:t>采样器</w:t>
            </w:r>
            <w:r>
              <w:rPr>
                <w:rFonts w:ascii="Times New Roman" w:eastAsia="宋体" w:hAnsi="Times New Roman" w:cs="Times New Roman"/>
                <w:sz w:val="21"/>
                <w:szCs w:val="21"/>
              </w:rPr>
              <w:t>/</w:t>
            </w:r>
            <w:r>
              <w:rPr>
                <w:rFonts w:ascii="Times New Roman" w:eastAsia="宋体" w:hAnsi="Times New Roman" w:cs="Times New Roman" w:hint="eastAsia"/>
                <w:sz w:val="21"/>
                <w:szCs w:val="21"/>
              </w:rPr>
              <w:t>ZR-3922</w:t>
            </w:r>
            <w:r>
              <w:rPr>
                <w:rFonts w:ascii="Times New Roman" w:eastAsia="宋体" w:hAnsi="Times New Roman" w:cs="Times New Roman" w:hint="eastAsia"/>
                <w:sz w:val="21"/>
                <w:szCs w:val="21"/>
              </w:rPr>
              <w:t>型</w:t>
            </w:r>
            <w:r>
              <w:rPr>
                <w:rFonts w:ascii="Times New Roman" w:eastAsia="宋体" w:hAnsi="Times New Roman" w:cs="Times New Roman"/>
                <w:sz w:val="21"/>
                <w:szCs w:val="21"/>
              </w:rPr>
              <w:t>/</w:t>
            </w:r>
            <w:r>
              <w:rPr>
                <w:rFonts w:ascii="Times New Roman" w:eastAsia="宋体" w:hAnsi="Times New Roman" w:cs="Times New Roman"/>
                <w:kern w:val="0"/>
                <w:sz w:val="21"/>
                <w:szCs w:val="21"/>
                <w:lang w:bidi="ar"/>
              </w:rPr>
              <w:t>KXYQ</w:t>
            </w:r>
            <w:r>
              <w:rPr>
                <w:rFonts w:ascii="Times New Roman" w:hAnsi="Times New Roman" w:cs="Times New Roman" w:hint="eastAsia"/>
                <w:kern w:val="0"/>
                <w:sz w:val="21"/>
                <w:szCs w:val="21"/>
                <w:lang w:bidi="ar"/>
              </w:rPr>
              <w:t>-148~156</w:t>
            </w:r>
          </w:p>
        </w:tc>
      </w:tr>
      <w:tr w:rsidR="009D12AF" w14:paraId="6EEE5937" w14:textId="77777777">
        <w:trPr>
          <w:trHeight w:val="454"/>
          <w:jc w:val="center"/>
        </w:trPr>
        <w:tc>
          <w:tcPr>
            <w:tcW w:w="251" w:type="pct"/>
            <w:vMerge/>
            <w:tcBorders>
              <w:tl2br w:val="nil"/>
              <w:tr2bl w:val="nil"/>
            </w:tcBorders>
            <w:vAlign w:val="center"/>
          </w:tcPr>
          <w:p w14:paraId="6597D237" w14:textId="77777777" w:rsidR="009D12AF" w:rsidRDefault="009D12AF">
            <w:pPr>
              <w:widowControl/>
              <w:ind w:firstLineChars="0" w:firstLine="0"/>
              <w:jc w:val="center"/>
              <w:textAlignment w:val="center"/>
              <w:rPr>
                <w:sz w:val="21"/>
                <w:szCs w:val="21"/>
              </w:rPr>
            </w:pPr>
          </w:p>
        </w:tc>
        <w:tc>
          <w:tcPr>
            <w:tcW w:w="791" w:type="pct"/>
            <w:vMerge/>
            <w:tcBorders>
              <w:tl2br w:val="nil"/>
              <w:tr2bl w:val="nil"/>
            </w:tcBorders>
            <w:vAlign w:val="center"/>
          </w:tcPr>
          <w:p w14:paraId="0C68753B" w14:textId="77777777" w:rsidR="009D12AF" w:rsidRDefault="009D12AF">
            <w:pPr>
              <w:widowControl/>
              <w:ind w:firstLineChars="0" w:firstLine="0"/>
              <w:jc w:val="center"/>
              <w:textAlignment w:val="center"/>
              <w:rPr>
                <w:sz w:val="21"/>
                <w:szCs w:val="21"/>
              </w:rPr>
            </w:pPr>
          </w:p>
        </w:tc>
        <w:tc>
          <w:tcPr>
            <w:tcW w:w="2171" w:type="pct"/>
            <w:vMerge/>
            <w:tcBorders>
              <w:tl2br w:val="nil"/>
              <w:tr2bl w:val="nil"/>
            </w:tcBorders>
            <w:vAlign w:val="center"/>
          </w:tcPr>
          <w:p w14:paraId="1E660578" w14:textId="77777777" w:rsidR="009D12AF" w:rsidRDefault="009D12AF">
            <w:pPr>
              <w:widowControl/>
              <w:adjustRightInd w:val="0"/>
              <w:spacing w:line="240" w:lineRule="auto"/>
              <w:ind w:firstLineChars="0" w:firstLine="0"/>
              <w:jc w:val="center"/>
              <w:rPr>
                <w:rFonts w:ascii="Times New Roman" w:eastAsia="宋体" w:hAnsi="Times New Roman" w:cs="Times New Roman"/>
                <w:sz w:val="21"/>
                <w:szCs w:val="21"/>
              </w:rPr>
            </w:pPr>
          </w:p>
        </w:tc>
        <w:tc>
          <w:tcPr>
            <w:tcW w:w="1785" w:type="pct"/>
            <w:tcBorders>
              <w:tl2br w:val="nil"/>
              <w:tr2bl w:val="nil"/>
            </w:tcBorders>
            <w:vAlign w:val="center"/>
          </w:tcPr>
          <w:p w14:paraId="4AEC8670"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eastAsia="宋体" w:hAnsi="Times New Roman" w:cs="Times New Roman" w:hint="eastAsia"/>
                <w:sz w:val="21"/>
                <w:szCs w:val="21"/>
              </w:rPr>
              <w:t>紫外可见分光光度计</w:t>
            </w:r>
            <w:r>
              <w:rPr>
                <w:rFonts w:ascii="Times New Roman" w:eastAsia="宋体" w:hAnsi="Times New Roman" w:cs="Times New Roman" w:hint="eastAsia"/>
                <w:sz w:val="21"/>
                <w:szCs w:val="21"/>
              </w:rPr>
              <w:t>/UV-1800D/KXYQ-015</w:t>
            </w:r>
          </w:p>
        </w:tc>
      </w:tr>
      <w:tr w:rsidR="009D12AF" w14:paraId="5F525615" w14:textId="77777777">
        <w:trPr>
          <w:trHeight w:val="454"/>
          <w:jc w:val="center"/>
        </w:trPr>
        <w:tc>
          <w:tcPr>
            <w:tcW w:w="251" w:type="pct"/>
            <w:vMerge w:val="restart"/>
            <w:tcBorders>
              <w:tl2br w:val="nil"/>
              <w:tr2bl w:val="nil"/>
            </w:tcBorders>
            <w:vAlign w:val="center"/>
          </w:tcPr>
          <w:p w14:paraId="48E18DB6" w14:textId="77777777" w:rsidR="009D12AF" w:rsidRDefault="00000000">
            <w:pPr>
              <w:widowControl/>
              <w:ind w:firstLineChars="0" w:firstLine="0"/>
              <w:jc w:val="center"/>
              <w:textAlignment w:val="center"/>
              <w:rPr>
                <w:rFonts w:eastAsia="宋体"/>
                <w:sz w:val="21"/>
                <w:szCs w:val="21"/>
              </w:rPr>
            </w:pPr>
            <w:r>
              <w:rPr>
                <w:rFonts w:hint="eastAsia"/>
                <w:sz w:val="21"/>
                <w:szCs w:val="21"/>
              </w:rPr>
              <w:t>3</w:t>
            </w:r>
          </w:p>
        </w:tc>
        <w:tc>
          <w:tcPr>
            <w:tcW w:w="791" w:type="pct"/>
            <w:vMerge w:val="restart"/>
            <w:tcBorders>
              <w:tl2br w:val="nil"/>
              <w:tr2bl w:val="nil"/>
            </w:tcBorders>
            <w:vAlign w:val="center"/>
          </w:tcPr>
          <w:p w14:paraId="10066D57" w14:textId="77777777" w:rsidR="009D12AF" w:rsidRDefault="00000000">
            <w:pPr>
              <w:widowControl/>
              <w:ind w:firstLineChars="0" w:firstLine="0"/>
              <w:jc w:val="center"/>
              <w:textAlignment w:val="center"/>
              <w:rPr>
                <w:rFonts w:eastAsia="宋体"/>
                <w:sz w:val="21"/>
                <w:szCs w:val="21"/>
              </w:rPr>
            </w:pPr>
            <w:r>
              <w:rPr>
                <w:rFonts w:hint="eastAsia"/>
                <w:sz w:val="21"/>
                <w:szCs w:val="21"/>
              </w:rPr>
              <w:t>硫化氢</w:t>
            </w:r>
          </w:p>
        </w:tc>
        <w:tc>
          <w:tcPr>
            <w:tcW w:w="2171" w:type="pct"/>
            <w:vMerge w:val="restart"/>
            <w:tcBorders>
              <w:tl2br w:val="nil"/>
              <w:tr2bl w:val="nil"/>
            </w:tcBorders>
            <w:vAlign w:val="center"/>
          </w:tcPr>
          <w:p w14:paraId="619D5D7F" w14:textId="77777777" w:rsidR="009D12AF" w:rsidRDefault="00000000">
            <w:pPr>
              <w:widowControl/>
              <w:adjustRightIn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环境空气</w:t>
            </w:r>
            <w:r>
              <w:rPr>
                <w:rFonts w:ascii="Times New Roman" w:eastAsia="宋体" w:hAnsi="Times New Roman" w:cs="Times New Roman" w:hint="eastAsia"/>
                <w:sz w:val="21"/>
                <w:szCs w:val="21"/>
              </w:rPr>
              <w:t xml:space="preserve"> </w:t>
            </w:r>
            <w:r>
              <w:rPr>
                <w:rFonts w:ascii="Times New Roman" w:eastAsia="宋体" w:hAnsi="Times New Roman" w:cs="Times New Roman" w:hint="eastAsia"/>
                <w:sz w:val="21"/>
                <w:szCs w:val="21"/>
              </w:rPr>
              <w:t>硫化氢</w:t>
            </w:r>
            <w:r>
              <w:rPr>
                <w:rFonts w:ascii="Times New Roman" w:eastAsia="宋体" w:hAnsi="Times New Roman" w:cs="Times New Roman" w:hint="eastAsia"/>
                <w:sz w:val="21"/>
                <w:szCs w:val="21"/>
              </w:rPr>
              <w:t xml:space="preserve"> </w:t>
            </w:r>
            <w:r>
              <w:rPr>
                <w:rFonts w:ascii="Times New Roman" w:eastAsia="宋体" w:hAnsi="Times New Roman" w:cs="Times New Roman" w:hint="eastAsia"/>
                <w:sz w:val="21"/>
                <w:szCs w:val="21"/>
              </w:rPr>
              <w:t>亚甲基蓝分光光度法</w:t>
            </w:r>
            <w:r>
              <w:rPr>
                <w:rFonts w:ascii="Times New Roman" w:eastAsia="宋体" w:hAnsi="Times New Roman" w:cs="Times New Roman" w:hint="eastAsia"/>
                <w:sz w:val="21"/>
                <w:szCs w:val="21"/>
              </w:rPr>
              <w:t xml:space="preserve"> </w:t>
            </w:r>
            <w:r>
              <w:rPr>
                <w:rFonts w:ascii="Times New Roman" w:eastAsia="宋体" w:hAnsi="Times New Roman" w:cs="Times New Roman" w:hint="eastAsia"/>
                <w:sz w:val="21"/>
                <w:szCs w:val="21"/>
              </w:rPr>
              <w:t>《空气和废气监测分析方法》（第四版）国家环境保护总局</w:t>
            </w:r>
            <w:r>
              <w:rPr>
                <w:rFonts w:ascii="Times New Roman" w:eastAsia="宋体" w:hAnsi="Times New Roman" w:cs="Times New Roman" w:hint="eastAsia"/>
                <w:sz w:val="21"/>
                <w:szCs w:val="21"/>
              </w:rPr>
              <w:t xml:space="preserve"> </w:t>
            </w:r>
            <w:r>
              <w:rPr>
                <w:rFonts w:ascii="Times New Roman" w:eastAsia="宋体" w:hAnsi="Times New Roman" w:cs="Times New Roman" w:hint="eastAsia"/>
                <w:sz w:val="21"/>
                <w:szCs w:val="21"/>
              </w:rPr>
              <w:t>（</w:t>
            </w:r>
            <w:r>
              <w:rPr>
                <w:rFonts w:ascii="Times New Roman" w:eastAsia="宋体" w:hAnsi="Times New Roman" w:cs="Times New Roman" w:hint="eastAsia"/>
                <w:sz w:val="21"/>
                <w:szCs w:val="21"/>
              </w:rPr>
              <w:t xml:space="preserve">2003 </w:t>
            </w:r>
            <w:r>
              <w:rPr>
                <w:rFonts w:ascii="Times New Roman" w:eastAsia="宋体" w:hAnsi="Times New Roman" w:cs="Times New Roman" w:hint="eastAsia"/>
                <w:sz w:val="21"/>
                <w:szCs w:val="21"/>
              </w:rPr>
              <w:t>年）</w:t>
            </w:r>
          </w:p>
        </w:tc>
        <w:tc>
          <w:tcPr>
            <w:tcW w:w="1785" w:type="pct"/>
            <w:tcBorders>
              <w:tl2br w:val="nil"/>
              <w:tr2bl w:val="nil"/>
            </w:tcBorders>
            <w:vAlign w:val="center"/>
          </w:tcPr>
          <w:p w14:paraId="6D18C87F" w14:textId="77777777" w:rsidR="009D12AF" w:rsidRDefault="00000000">
            <w:pPr>
              <w:widowControl/>
              <w:adjustRightIn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智能</w:t>
            </w:r>
            <w:r>
              <w:rPr>
                <w:rFonts w:ascii="Times New Roman" w:eastAsia="宋体" w:hAnsi="Times New Roman" w:cs="Times New Roman"/>
                <w:sz w:val="21"/>
                <w:szCs w:val="21"/>
              </w:rPr>
              <w:t>TSP</w:t>
            </w:r>
            <w:r>
              <w:rPr>
                <w:rFonts w:ascii="Times New Roman" w:eastAsia="宋体" w:hAnsi="Times New Roman" w:cs="Times New Roman"/>
                <w:sz w:val="21"/>
                <w:szCs w:val="21"/>
              </w:rPr>
              <w:t>采样器</w:t>
            </w:r>
            <w:r>
              <w:rPr>
                <w:rFonts w:ascii="Times New Roman" w:eastAsia="宋体" w:hAnsi="Times New Roman" w:cs="Times New Roman"/>
                <w:sz w:val="21"/>
                <w:szCs w:val="21"/>
              </w:rPr>
              <w:t>/</w:t>
            </w:r>
            <w:r>
              <w:rPr>
                <w:rFonts w:ascii="Times New Roman" w:eastAsia="宋体" w:hAnsi="Times New Roman" w:cs="Times New Roman" w:hint="eastAsia"/>
                <w:sz w:val="21"/>
                <w:szCs w:val="21"/>
              </w:rPr>
              <w:t>ZR-392</w:t>
            </w:r>
            <w:r>
              <w:rPr>
                <w:rFonts w:ascii="Times New Roman" w:hAnsi="Times New Roman" w:cs="Times New Roman" w:hint="eastAsia"/>
                <w:sz w:val="21"/>
                <w:szCs w:val="21"/>
              </w:rPr>
              <w:t>0</w:t>
            </w:r>
            <w:r>
              <w:rPr>
                <w:rFonts w:ascii="Times New Roman" w:eastAsia="宋体" w:hAnsi="Times New Roman" w:cs="Times New Roman" w:hint="eastAsia"/>
                <w:sz w:val="21"/>
                <w:szCs w:val="21"/>
              </w:rPr>
              <w:t>型</w:t>
            </w:r>
            <w:r>
              <w:rPr>
                <w:rFonts w:ascii="Times New Roman" w:eastAsia="宋体" w:hAnsi="Times New Roman" w:cs="Times New Roman"/>
                <w:sz w:val="21"/>
                <w:szCs w:val="21"/>
              </w:rPr>
              <w:t>/</w:t>
            </w:r>
            <w:r>
              <w:rPr>
                <w:rFonts w:ascii="Times New Roman" w:eastAsia="宋体" w:hAnsi="Times New Roman" w:cs="Times New Roman"/>
                <w:kern w:val="0"/>
                <w:sz w:val="21"/>
                <w:szCs w:val="21"/>
                <w:lang w:bidi="ar"/>
              </w:rPr>
              <w:t>KXYQ</w:t>
            </w:r>
            <w:r>
              <w:rPr>
                <w:rFonts w:ascii="Times New Roman" w:hAnsi="Times New Roman" w:cs="Times New Roman" w:hint="eastAsia"/>
                <w:kern w:val="0"/>
                <w:sz w:val="21"/>
                <w:szCs w:val="21"/>
                <w:lang w:bidi="ar"/>
              </w:rPr>
              <w:t>-147</w:t>
            </w:r>
          </w:p>
          <w:p w14:paraId="6AD0978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sz w:val="21"/>
                <w:szCs w:val="21"/>
              </w:rPr>
              <w:t>智能</w:t>
            </w:r>
            <w:r>
              <w:rPr>
                <w:rFonts w:ascii="Times New Roman" w:eastAsia="宋体" w:hAnsi="Times New Roman" w:cs="Times New Roman"/>
                <w:sz w:val="21"/>
                <w:szCs w:val="21"/>
              </w:rPr>
              <w:t>TSP</w:t>
            </w:r>
            <w:r>
              <w:rPr>
                <w:rFonts w:ascii="Times New Roman" w:eastAsia="宋体" w:hAnsi="Times New Roman" w:cs="Times New Roman"/>
                <w:sz w:val="21"/>
                <w:szCs w:val="21"/>
              </w:rPr>
              <w:t>采样器</w:t>
            </w:r>
            <w:r>
              <w:rPr>
                <w:rFonts w:ascii="Times New Roman" w:eastAsia="宋体" w:hAnsi="Times New Roman" w:cs="Times New Roman"/>
                <w:sz w:val="21"/>
                <w:szCs w:val="21"/>
              </w:rPr>
              <w:t>/</w:t>
            </w:r>
            <w:r>
              <w:rPr>
                <w:rFonts w:ascii="Times New Roman" w:eastAsia="宋体" w:hAnsi="Times New Roman" w:cs="Times New Roman" w:hint="eastAsia"/>
                <w:sz w:val="21"/>
                <w:szCs w:val="21"/>
              </w:rPr>
              <w:t>ZR-3922</w:t>
            </w:r>
            <w:r>
              <w:rPr>
                <w:rFonts w:ascii="Times New Roman" w:eastAsia="宋体" w:hAnsi="Times New Roman" w:cs="Times New Roman" w:hint="eastAsia"/>
                <w:sz w:val="21"/>
                <w:szCs w:val="21"/>
              </w:rPr>
              <w:t>型</w:t>
            </w:r>
            <w:r>
              <w:rPr>
                <w:rFonts w:ascii="Times New Roman" w:eastAsia="宋体" w:hAnsi="Times New Roman" w:cs="Times New Roman"/>
                <w:sz w:val="21"/>
                <w:szCs w:val="21"/>
              </w:rPr>
              <w:t>/</w:t>
            </w:r>
            <w:r>
              <w:rPr>
                <w:rFonts w:ascii="Times New Roman" w:eastAsia="宋体" w:hAnsi="Times New Roman" w:cs="Times New Roman"/>
                <w:kern w:val="0"/>
                <w:sz w:val="21"/>
                <w:szCs w:val="21"/>
                <w:lang w:bidi="ar"/>
              </w:rPr>
              <w:t>KXYQ</w:t>
            </w:r>
            <w:r>
              <w:rPr>
                <w:rFonts w:ascii="Times New Roman" w:hAnsi="Times New Roman" w:cs="Times New Roman" w:hint="eastAsia"/>
                <w:kern w:val="0"/>
                <w:sz w:val="21"/>
                <w:szCs w:val="21"/>
                <w:lang w:bidi="ar"/>
              </w:rPr>
              <w:t>-148~156</w:t>
            </w:r>
          </w:p>
        </w:tc>
      </w:tr>
      <w:tr w:rsidR="009D12AF" w14:paraId="5A0728C4" w14:textId="77777777">
        <w:trPr>
          <w:trHeight w:val="454"/>
          <w:jc w:val="center"/>
        </w:trPr>
        <w:tc>
          <w:tcPr>
            <w:tcW w:w="251" w:type="pct"/>
            <w:vMerge/>
            <w:tcBorders>
              <w:tl2br w:val="nil"/>
              <w:tr2bl w:val="nil"/>
            </w:tcBorders>
            <w:vAlign w:val="center"/>
          </w:tcPr>
          <w:p w14:paraId="74BD5272" w14:textId="77777777" w:rsidR="009D12AF" w:rsidRDefault="009D12AF">
            <w:pPr>
              <w:widowControl/>
              <w:ind w:firstLineChars="0" w:firstLine="0"/>
              <w:jc w:val="center"/>
              <w:textAlignment w:val="center"/>
              <w:rPr>
                <w:sz w:val="21"/>
                <w:szCs w:val="21"/>
              </w:rPr>
            </w:pPr>
          </w:p>
        </w:tc>
        <w:tc>
          <w:tcPr>
            <w:tcW w:w="791" w:type="pct"/>
            <w:vMerge/>
            <w:tcBorders>
              <w:tl2br w:val="nil"/>
              <w:tr2bl w:val="nil"/>
            </w:tcBorders>
            <w:vAlign w:val="center"/>
          </w:tcPr>
          <w:p w14:paraId="1E10D20F" w14:textId="77777777" w:rsidR="009D12AF" w:rsidRDefault="009D12AF">
            <w:pPr>
              <w:widowControl/>
              <w:ind w:firstLineChars="0" w:firstLine="0"/>
              <w:jc w:val="center"/>
              <w:textAlignment w:val="center"/>
              <w:rPr>
                <w:rFonts w:eastAsia="宋体"/>
                <w:sz w:val="21"/>
                <w:szCs w:val="21"/>
              </w:rPr>
            </w:pPr>
          </w:p>
        </w:tc>
        <w:tc>
          <w:tcPr>
            <w:tcW w:w="2171" w:type="pct"/>
            <w:vMerge/>
            <w:tcBorders>
              <w:tl2br w:val="nil"/>
              <w:tr2bl w:val="nil"/>
            </w:tcBorders>
            <w:vAlign w:val="center"/>
          </w:tcPr>
          <w:p w14:paraId="065739A2" w14:textId="77777777" w:rsidR="009D12AF" w:rsidRDefault="009D12AF">
            <w:pPr>
              <w:widowControl/>
              <w:adjustRightInd w:val="0"/>
              <w:spacing w:line="240" w:lineRule="auto"/>
              <w:ind w:firstLineChars="0" w:firstLine="0"/>
              <w:jc w:val="center"/>
              <w:rPr>
                <w:rFonts w:ascii="Times New Roman" w:eastAsia="宋体" w:hAnsi="Times New Roman" w:cs="Times New Roman"/>
                <w:sz w:val="21"/>
                <w:szCs w:val="21"/>
              </w:rPr>
            </w:pPr>
          </w:p>
        </w:tc>
        <w:tc>
          <w:tcPr>
            <w:tcW w:w="1785" w:type="pct"/>
            <w:tcBorders>
              <w:tl2br w:val="nil"/>
              <w:tr2bl w:val="nil"/>
            </w:tcBorders>
            <w:vAlign w:val="center"/>
          </w:tcPr>
          <w:p w14:paraId="5B4AA775"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eastAsia="宋体" w:hAnsi="Times New Roman" w:cs="Times New Roman" w:hint="eastAsia"/>
                <w:sz w:val="21"/>
                <w:szCs w:val="21"/>
              </w:rPr>
              <w:t>紫外可见分光光度计</w:t>
            </w:r>
            <w:r>
              <w:rPr>
                <w:rFonts w:ascii="Times New Roman" w:eastAsia="宋体" w:hAnsi="Times New Roman" w:cs="Times New Roman" w:hint="eastAsia"/>
                <w:sz w:val="21"/>
                <w:szCs w:val="21"/>
              </w:rPr>
              <w:t>/UV-1800D/KXYQ-015</w:t>
            </w:r>
          </w:p>
        </w:tc>
      </w:tr>
      <w:tr w:rsidR="009D12AF" w14:paraId="4FB3974E" w14:textId="77777777">
        <w:trPr>
          <w:trHeight w:val="454"/>
          <w:jc w:val="center"/>
        </w:trPr>
        <w:tc>
          <w:tcPr>
            <w:tcW w:w="251" w:type="pct"/>
            <w:tcBorders>
              <w:tl2br w:val="nil"/>
              <w:tr2bl w:val="nil"/>
            </w:tcBorders>
            <w:vAlign w:val="center"/>
          </w:tcPr>
          <w:p w14:paraId="5FB3CB4E" w14:textId="77777777" w:rsidR="009D12AF" w:rsidRDefault="00000000">
            <w:pPr>
              <w:widowControl/>
              <w:ind w:firstLineChars="0" w:firstLine="0"/>
              <w:jc w:val="center"/>
              <w:textAlignment w:val="center"/>
              <w:rPr>
                <w:rFonts w:eastAsia="宋体"/>
                <w:sz w:val="21"/>
                <w:szCs w:val="21"/>
              </w:rPr>
            </w:pPr>
            <w:r>
              <w:rPr>
                <w:rFonts w:hint="eastAsia"/>
                <w:sz w:val="21"/>
                <w:szCs w:val="21"/>
              </w:rPr>
              <w:t>4</w:t>
            </w:r>
          </w:p>
        </w:tc>
        <w:tc>
          <w:tcPr>
            <w:tcW w:w="791" w:type="pct"/>
            <w:tcBorders>
              <w:tl2br w:val="nil"/>
              <w:tr2bl w:val="nil"/>
            </w:tcBorders>
            <w:vAlign w:val="center"/>
          </w:tcPr>
          <w:p w14:paraId="0F8B62F4" w14:textId="77777777" w:rsidR="009D12AF" w:rsidRDefault="00000000">
            <w:pPr>
              <w:widowControl/>
              <w:ind w:firstLineChars="0" w:firstLine="0"/>
              <w:jc w:val="center"/>
              <w:textAlignment w:val="center"/>
              <w:rPr>
                <w:sz w:val="21"/>
                <w:szCs w:val="21"/>
              </w:rPr>
            </w:pPr>
            <w:r>
              <w:rPr>
                <w:rFonts w:hint="eastAsia"/>
                <w:sz w:val="21"/>
                <w:szCs w:val="21"/>
              </w:rPr>
              <w:t>臭气</w:t>
            </w:r>
          </w:p>
        </w:tc>
        <w:tc>
          <w:tcPr>
            <w:tcW w:w="2171" w:type="pct"/>
            <w:tcBorders>
              <w:tl2br w:val="nil"/>
              <w:tr2bl w:val="nil"/>
            </w:tcBorders>
            <w:vAlign w:val="center"/>
          </w:tcPr>
          <w:p w14:paraId="715FE887" w14:textId="77777777" w:rsidR="009D12AF" w:rsidRDefault="00000000">
            <w:pPr>
              <w:widowControl/>
              <w:adjustRightInd w:val="0"/>
              <w:spacing w:line="240" w:lineRule="auto"/>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环境空气和废气</w:t>
            </w:r>
            <w:r>
              <w:rPr>
                <w:rFonts w:ascii="Times New Roman" w:eastAsia="宋体" w:hAnsi="Times New Roman" w:cs="Times New Roman" w:hint="eastAsia"/>
                <w:sz w:val="21"/>
                <w:szCs w:val="21"/>
              </w:rPr>
              <w:t xml:space="preserve"> </w:t>
            </w:r>
            <w:r>
              <w:rPr>
                <w:rFonts w:ascii="Times New Roman" w:eastAsia="宋体" w:hAnsi="Times New Roman" w:cs="Times New Roman" w:hint="eastAsia"/>
                <w:sz w:val="21"/>
                <w:szCs w:val="21"/>
              </w:rPr>
              <w:t>臭气的测定</w:t>
            </w:r>
            <w:r>
              <w:rPr>
                <w:rFonts w:ascii="Times New Roman" w:eastAsia="宋体" w:hAnsi="Times New Roman" w:cs="Times New Roman" w:hint="eastAsia"/>
                <w:sz w:val="21"/>
                <w:szCs w:val="21"/>
              </w:rPr>
              <w:t xml:space="preserve"> </w:t>
            </w:r>
            <w:r>
              <w:rPr>
                <w:rFonts w:ascii="Times New Roman" w:eastAsia="宋体" w:hAnsi="Times New Roman" w:cs="Times New Roman" w:hint="eastAsia"/>
                <w:sz w:val="21"/>
                <w:szCs w:val="21"/>
              </w:rPr>
              <w:t>三点比较式臭袋法</w:t>
            </w:r>
            <w:r>
              <w:rPr>
                <w:rFonts w:ascii="Times New Roman" w:eastAsia="宋体" w:hAnsi="Times New Roman" w:cs="Times New Roman" w:hint="eastAsia"/>
                <w:sz w:val="21"/>
                <w:szCs w:val="21"/>
              </w:rPr>
              <w:t xml:space="preserve"> HJ 1262-2022</w:t>
            </w:r>
          </w:p>
        </w:tc>
        <w:tc>
          <w:tcPr>
            <w:tcW w:w="1785" w:type="pct"/>
            <w:tcBorders>
              <w:tl2br w:val="nil"/>
              <w:tr2bl w:val="nil"/>
            </w:tcBorders>
            <w:vAlign w:val="center"/>
          </w:tcPr>
          <w:p w14:paraId="0768849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臭气瓶</w:t>
            </w:r>
          </w:p>
        </w:tc>
      </w:tr>
    </w:tbl>
    <w:p w14:paraId="37C06E3E" w14:textId="77777777" w:rsidR="009D12AF" w:rsidRDefault="009D12AF">
      <w:pPr>
        <w:ind w:firstLine="480"/>
      </w:pPr>
    </w:p>
    <w:p w14:paraId="6C52115E" w14:textId="77777777" w:rsidR="009D12AF" w:rsidRDefault="00000000">
      <w:pPr>
        <w:ind w:firstLine="480"/>
      </w:pPr>
      <w:r>
        <w:lastRenderedPageBreak/>
        <w:t>（</w:t>
      </w:r>
      <w:r>
        <w:rPr>
          <w:rFonts w:hint="eastAsia"/>
        </w:rPr>
        <w:t>4</w:t>
      </w:r>
      <w:r>
        <w:t>）</w:t>
      </w:r>
      <w:r>
        <w:rPr>
          <w:rFonts w:hint="eastAsia"/>
        </w:rPr>
        <w:t>补充</w:t>
      </w:r>
      <w:r>
        <w:t>监测点位</w:t>
      </w:r>
    </w:p>
    <w:p w14:paraId="237142FA" w14:textId="77777777" w:rsidR="009D12AF" w:rsidRDefault="00000000">
      <w:pPr>
        <w:ind w:firstLine="480"/>
      </w:pPr>
      <w:r>
        <w:t>监测点位置具体见表</w:t>
      </w:r>
      <w:r>
        <w:t>4.</w:t>
      </w:r>
      <w:r>
        <w:rPr>
          <w:rFonts w:hint="eastAsia"/>
        </w:rPr>
        <w:t>3</w:t>
      </w:r>
      <w:r>
        <w:t>-</w:t>
      </w:r>
      <w:r>
        <w:rPr>
          <w:rFonts w:hint="eastAsia"/>
        </w:rPr>
        <w:t>3</w:t>
      </w:r>
      <w:r>
        <w:t>。</w:t>
      </w:r>
    </w:p>
    <w:p w14:paraId="4B23462A" w14:textId="77777777" w:rsidR="009D12AF" w:rsidRDefault="00000000">
      <w:pPr>
        <w:ind w:firstLineChars="0" w:firstLine="0"/>
        <w:jc w:val="center"/>
        <w:rPr>
          <w:b/>
          <w:bCs/>
        </w:rPr>
      </w:pPr>
      <w:r>
        <w:rPr>
          <w:rFonts w:hint="eastAsia"/>
          <w:b/>
          <w:bCs/>
        </w:rPr>
        <w:t>表</w:t>
      </w:r>
      <w:r>
        <w:rPr>
          <w:rFonts w:hint="eastAsia"/>
          <w:b/>
          <w:bCs/>
        </w:rPr>
        <w:t>4.3-3</w:t>
      </w:r>
      <w:r>
        <w:rPr>
          <w:rFonts w:hint="eastAsia"/>
          <w:b/>
          <w:bCs/>
        </w:rPr>
        <w:t>大气监测点位</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69"/>
        <w:gridCol w:w="1426"/>
        <w:gridCol w:w="1321"/>
        <w:gridCol w:w="1156"/>
        <w:gridCol w:w="1231"/>
        <w:gridCol w:w="1074"/>
        <w:gridCol w:w="1145"/>
      </w:tblGrid>
      <w:tr w:rsidR="009D12AF" w14:paraId="35B2ECE2" w14:textId="77777777">
        <w:trPr>
          <w:trHeight w:val="285"/>
          <w:jc w:val="center"/>
        </w:trPr>
        <w:tc>
          <w:tcPr>
            <w:tcW w:w="685" w:type="pct"/>
            <w:vMerge w:val="restart"/>
            <w:tcBorders>
              <w:top w:val="single" w:sz="12" w:space="0" w:color="000000"/>
              <w:left w:val="nil"/>
            </w:tcBorders>
            <w:vAlign w:val="center"/>
          </w:tcPr>
          <w:p w14:paraId="23478ED4" w14:textId="77777777" w:rsidR="009D12AF" w:rsidRDefault="00000000">
            <w:pPr>
              <w:spacing w:line="240" w:lineRule="auto"/>
              <w:ind w:firstLineChars="0" w:firstLine="0"/>
              <w:jc w:val="center"/>
              <w:rPr>
                <w:rFonts w:ascii="Times New Roman" w:hAnsi="Times New Roman"/>
                <w:sz w:val="21"/>
              </w:rPr>
            </w:pPr>
            <w:r>
              <w:rPr>
                <w:rFonts w:ascii="Times New Roman" w:hAnsi="Times New Roman"/>
                <w:sz w:val="21"/>
              </w:rPr>
              <w:t>监测点名称</w:t>
            </w:r>
          </w:p>
        </w:tc>
        <w:tc>
          <w:tcPr>
            <w:tcW w:w="1611" w:type="pct"/>
            <w:gridSpan w:val="2"/>
            <w:tcBorders>
              <w:top w:val="single" w:sz="12" w:space="0" w:color="000000"/>
              <w:bottom w:val="single" w:sz="4" w:space="0" w:color="auto"/>
            </w:tcBorders>
            <w:vAlign w:val="center"/>
          </w:tcPr>
          <w:p w14:paraId="0B3F1F21"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监测点坐标</w:t>
            </w:r>
          </w:p>
        </w:tc>
        <w:tc>
          <w:tcPr>
            <w:tcW w:w="678" w:type="pct"/>
            <w:vMerge w:val="restart"/>
            <w:tcBorders>
              <w:top w:val="single" w:sz="12" w:space="0" w:color="000000"/>
            </w:tcBorders>
            <w:vAlign w:val="center"/>
          </w:tcPr>
          <w:p w14:paraId="0F99ECBD"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监测因子</w:t>
            </w:r>
          </w:p>
        </w:tc>
        <w:tc>
          <w:tcPr>
            <w:tcW w:w="722" w:type="pct"/>
            <w:vMerge w:val="restart"/>
            <w:tcBorders>
              <w:top w:val="single" w:sz="12" w:space="0" w:color="000000"/>
            </w:tcBorders>
            <w:vAlign w:val="center"/>
          </w:tcPr>
          <w:p w14:paraId="1F1BC788" w14:textId="77777777" w:rsidR="009D12AF" w:rsidRDefault="00000000">
            <w:pPr>
              <w:spacing w:line="240" w:lineRule="auto"/>
              <w:ind w:firstLineChars="0" w:firstLine="0"/>
              <w:jc w:val="center"/>
              <w:rPr>
                <w:rFonts w:ascii="Times New Roman" w:hAnsi="Times New Roman"/>
                <w:sz w:val="21"/>
              </w:rPr>
            </w:pPr>
            <w:r>
              <w:rPr>
                <w:rFonts w:ascii="Times New Roman" w:hAnsi="Times New Roman"/>
                <w:sz w:val="21"/>
              </w:rPr>
              <w:t>监测时段</w:t>
            </w:r>
          </w:p>
        </w:tc>
        <w:tc>
          <w:tcPr>
            <w:tcW w:w="630" w:type="pct"/>
            <w:vMerge w:val="restart"/>
            <w:tcBorders>
              <w:top w:val="single" w:sz="12" w:space="0" w:color="000000"/>
            </w:tcBorders>
            <w:vAlign w:val="center"/>
          </w:tcPr>
          <w:p w14:paraId="07C28114" w14:textId="77777777" w:rsidR="009D12AF" w:rsidRDefault="00000000">
            <w:pPr>
              <w:spacing w:line="240" w:lineRule="auto"/>
              <w:ind w:firstLineChars="0" w:firstLine="0"/>
              <w:jc w:val="center"/>
              <w:rPr>
                <w:rFonts w:ascii="Times New Roman" w:hAnsi="Times New Roman"/>
                <w:sz w:val="21"/>
              </w:rPr>
            </w:pPr>
            <w:r>
              <w:rPr>
                <w:rFonts w:ascii="Times New Roman" w:hAnsi="Times New Roman"/>
                <w:sz w:val="21"/>
              </w:rPr>
              <w:t>相对厂址方位</w:t>
            </w:r>
          </w:p>
        </w:tc>
        <w:tc>
          <w:tcPr>
            <w:tcW w:w="672" w:type="pct"/>
            <w:vMerge w:val="restart"/>
            <w:tcBorders>
              <w:top w:val="single" w:sz="12" w:space="0" w:color="000000"/>
              <w:right w:val="nil"/>
            </w:tcBorders>
            <w:vAlign w:val="center"/>
          </w:tcPr>
          <w:p w14:paraId="4BDE997B" w14:textId="77777777" w:rsidR="009D12AF" w:rsidRDefault="00000000">
            <w:pPr>
              <w:spacing w:line="240" w:lineRule="auto"/>
              <w:ind w:firstLineChars="0" w:firstLine="0"/>
              <w:jc w:val="center"/>
              <w:rPr>
                <w:rFonts w:ascii="Times New Roman" w:hAnsi="Times New Roman"/>
                <w:sz w:val="21"/>
              </w:rPr>
            </w:pPr>
            <w:r>
              <w:rPr>
                <w:rFonts w:ascii="Times New Roman" w:hAnsi="Times New Roman"/>
                <w:sz w:val="21"/>
              </w:rPr>
              <w:t>相对厂界距离</w:t>
            </w:r>
            <w:r>
              <w:rPr>
                <w:rFonts w:ascii="Times New Roman" w:hAnsi="Times New Roman"/>
                <w:sz w:val="21"/>
              </w:rPr>
              <w:t>/m</w:t>
            </w:r>
          </w:p>
        </w:tc>
      </w:tr>
      <w:tr w:rsidR="009D12AF" w14:paraId="5E70E9FE" w14:textId="77777777">
        <w:trPr>
          <w:trHeight w:val="190"/>
          <w:jc w:val="center"/>
        </w:trPr>
        <w:tc>
          <w:tcPr>
            <w:tcW w:w="685" w:type="pct"/>
            <w:vMerge/>
            <w:tcBorders>
              <w:left w:val="nil"/>
            </w:tcBorders>
            <w:vAlign w:val="center"/>
          </w:tcPr>
          <w:p w14:paraId="2C3674D7" w14:textId="77777777" w:rsidR="009D12AF" w:rsidRDefault="009D12AF">
            <w:pPr>
              <w:spacing w:line="240" w:lineRule="auto"/>
              <w:ind w:firstLineChars="0" w:firstLine="0"/>
              <w:jc w:val="center"/>
              <w:rPr>
                <w:rFonts w:ascii="Times New Roman" w:hAnsi="Times New Roman"/>
                <w:sz w:val="21"/>
              </w:rPr>
            </w:pPr>
          </w:p>
        </w:tc>
        <w:tc>
          <w:tcPr>
            <w:tcW w:w="836" w:type="pct"/>
            <w:tcBorders>
              <w:top w:val="single" w:sz="4" w:space="0" w:color="auto"/>
              <w:right w:val="single" w:sz="4" w:space="0" w:color="auto"/>
            </w:tcBorders>
            <w:vAlign w:val="center"/>
          </w:tcPr>
          <w:p w14:paraId="402D34AC"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东经</w:t>
            </w:r>
          </w:p>
        </w:tc>
        <w:tc>
          <w:tcPr>
            <w:tcW w:w="775" w:type="pct"/>
            <w:tcBorders>
              <w:top w:val="single" w:sz="4" w:space="0" w:color="auto"/>
              <w:left w:val="single" w:sz="4" w:space="0" w:color="auto"/>
            </w:tcBorders>
            <w:vAlign w:val="center"/>
          </w:tcPr>
          <w:p w14:paraId="214A78C9"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北纬</w:t>
            </w:r>
          </w:p>
        </w:tc>
        <w:tc>
          <w:tcPr>
            <w:tcW w:w="678" w:type="pct"/>
            <w:vMerge/>
            <w:tcBorders>
              <w:bottom w:val="single" w:sz="2" w:space="0" w:color="auto"/>
            </w:tcBorders>
            <w:vAlign w:val="center"/>
          </w:tcPr>
          <w:p w14:paraId="410889BE" w14:textId="77777777" w:rsidR="009D12AF" w:rsidRDefault="009D12AF">
            <w:pPr>
              <w:spacing w:line="240" w:lineRule="auto"/>
              <w:ind w:firstLineChars="0" w:firstLine="0"/>
              <w:jc w:val="center"/>
              <w:rPr>
                <w:rFonts w:ascii="Times New Roman" w:hAnsi="Times New Roman"/>
                <w:sz w:val="21"/>
              </w:rPr>
            </w:pPr>
          </w:p>
        </w:tc>
        <w:tc>
          <w:tcPr>
            <w:tcW w:w="722" w:type="pct"/>
            <w:vMerge/>
            <w:vAlign w:val="center"/>
          </w:tcPr>
          <w:p w14:paraId="7F9905E0" w14:textId="77777777" w:rsidR="009D12AF" w:rsidRDefault="009D12AF">
            <w:pPr>
              <w:spacing w:line="240" w:lineRule="auto"/>
              <w:ind w:firstLineChars="0" w:firstLine="0"/>
              <w:jc w:val="center"/>
              <w:rPr>
                <w:rFonts w:ascii="Times New Roman" w:hAnsi="Times New Roman"/>
                <w:sz w:val="21"/>
              </w:rPr>
            </w:pPr>
          </w:p>
        </w:tc>
        <w:tc>
          <w:tcPr>
            <w:tcW w:w="630" w:type="pct"/>
            <w:vMerge/>
            <w:vAlign w:val="center"/>
          </w:tcPr>
          <w:p w14:paraId="2C8369FF" w14:textId="77777777" w:rsidR="009D12AF" w:rsidRDefault="009D12AF">
            <w:pPr>
              <w:spacing w:line="240" w:lineRule="auto"/>
              <w:ind w:firstLineChars="0" w:firstLine="0"/>
              <w:jc w:val="center"/>
              <w:rPr>
                <w:rFonts w:ascii="Times New Roman" w:hAnsi="Times New Roman"/>
                <w:sz w:val="21"/>
              </w:rPr>
            </w:pPr>
          </w:p>
        </w:tc>
        <w:tc>
          <w:tcPr>
            <w:tcW w:w="672" w:type="pct"/>
            <w:vMerge/>
            <w:tcBorders>
              <w:right w:val="nil"/>
            </w:tcBorders>
            <w:vAlign w:val="center"/>
          </w:tcPr>
          <w:p w14:paraId="48862CC9" w14:textId="77777777" w:rsidR="009D12AF" w:rsidRDefault="009D12AF">
            <w:pPr>
              <w:spacing w:line="240" w:lineRule="auto"/>
              <w:ind w:firstLineChars="0" w:firstLine="0"/>
              <w:jc w:val="center"/>
              <w:rPr>
                <w:rFonts w:ascii="Times New Roman" w:hAnsi="Times New Roman"/>
                <w:sz w:val="21"/>
              </w:rPr>
            </w:pPr>
          </w:p>
        </w:tc>
      </w:tr>
      <w:tr w:rsidR="009D12AF" w14:paraId="198C3A2D" w14:textId="77777777">
        <w:trPr>
          <w:trHeight w:val="160"/>
          <w:jc w:val="center"/>
        </w:trPr>
        <w:tc>
          <w:tcPr>
            <w:tcW w:w="685" w:type="pct"/>
            <w:vMerge w:val="restart"/>
            <w:tcBorders>
              <w:left w:val="nil"/>
            </w:tcBorders>
            <w:vAlign w:val="center"/>
          </w:tcPr>
          <w:p w14:paraId="2CCDA059"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群力水库</w:t>
            </w:r>
            <w:r>
              <w:rPr>
                <w:rFonts w:ascii="Times New Roman" w:hAnsi="Times New Roman"/>
                <w:kern w:val="0"/>
                <w:sz w:val="21"/>
              </w:rPr>
              <w:t xml:space="preserve">1# </w:t>
            </w:r>
          </w:p>
        </w:tc>
        <w:tc>
          <w:tcPr>
            <w:tcW w:w="836" w:type="pct"/>
            <w:vMerge w:val="restart"/>
            <w:tcBorders>
              <w:right w:val="single" w:sz="4" w:space="0" w:color="auto"/>
            </w:tcBorders>
            <w:vAlign w:val="center"/>
          </w:tcPr>
          <w:p w14:paraId="678D3F76"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129.651914</w:t>
            </w:r>
          </w:p>
        </w:tc>
        <w:tc>
          <w:tcPr>
            <w:tcW w:w="775" w:type="pct"/>
            <w:vMerge w:val="restart"/>
            <w:tcBorders>
              <w:left w:val="single" w:sz="4" w:space="0" w:color="auto"/>
            </w:tcBorders>
            <w:vAlign w:val="center"/>
          </w:tcPr>
          <w:p w14:paraId="30C8767F" w14:textId="77777777" w:rsidR="009D12AF" w:rsidRDefault="00000000">
            <w:pPr>
              <w:spacing w:line="240" w:lineRule="auto"/>
              <w:ind w:firstLineChars="0" w:firstLine="0"/>
              <w:rPr>
                <w:rFonts w:ascii="Times New Roman" w:hAnsi="Times New Roman"/>
                <w:kern w:val="0"/>
                <w:sz w:val="21"/>
              </w:rPr>
            </w:pPr>
            <w:r>
              <w:rPr>
                <w:rFonts w:ascii="Times New Roman" w:hAnsi="Times New Roman" w:hint="eastAsia"/>
                <w:kern w:val="0"/>
                <w:sz w:val="21"/>
              </w:rPr>
              <w:t>44.898259</w:t>
            </w:r>
          </w:p>
        </w:tc>
        <w:tc>
          <w:tcPr>
            <w:tcW w:w="678" w:type="pct"/>
            <w:tcBorders>
              <w:top w:val="single" w:sz="2" w:space="0" w:color="auto"/>
              <w:bottom w:val="single" w:sz="2" w:space="0" w:color="auto"/>
            </w:tcBorders>
            <w:vAlign w:val="center"/>
          </w:tcPr>
          <w:p w14:paraId="1576BDCE"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总悬浮颗粒物</w:t>
            </w:r>
          </w:p>
        </w:tc>
        <w:tc>
          <w:tcPr>
            <w:tcW w:w="722" w:type="pct"/>
            <w:vMerge w:val="restart"/>
            <w:vAlign w:val="center"/>
          </w:tcPr>
          <w:p w14:paraId="075C4F3F" w14:textId="77777777" w:rsidR="009D12AF" w:rsidRDefault="00000000">
            <w:pPr>
              <w:spacing w:line="240" w:lineRule="auto"/>
              <w:ind w:firstLineChars="0" w:firstLine="0"/>
              <w:jc w:val="center"/>
              <w:rPr>
                <w:rFonts w:ascii="Times New Roman" w:hAnsi="Times New Roman"/>
                <w:sz w:val="21"/>
              </w:rPr>
            </w:pPr>
            <w:r>
              <w:rPr>
                <w:rFonts w:ascii="Times New Roman" w:hAnsi="Times New Roman"/>
                <w:sz w:val="21"/>
              </w:rPr>
              <w:t>202</w:t>
            </w:r>
            <w:r>
              <w:rPr>
                <w:rFonts w:ascii="Times New Roman" w:hAnsi="Times New Roman" w:hint="eastAsia"/>
                <w:sz w:val="21"/>
              </w:rPr>
              <w:t>5</w:t>
            </w:r>
            <w:r>
              <w:rPr>
                <w:rFonts w:ascii="Times New Roman" w:hAnsi="Times New Roman"/>
                <w:sz w:val="21"/>
              </w:rPr>
              <w:t>年</w:t>
            </w:r>
            <w:r>
              <w:rPr>
                <w:rFonts w:ascii="Times New Roman" w:hAnsi="Times New Roman" w:hint="eastAsia"/>
                <w:sz w:val="21"/>
              </w:rPr>
              <w:t>8</w:t>
            </w:r>
            <w:r>
              <w:rPr>
                <w:rFonts w:ascii="Times New Roman" w:hAnsi="Times New Roman"/>
                <w:sz w:val="21"/>
              </w:rPr>
              <w:t>月</w:t>
            </w:r>
            <w:r>
              <w:rPr>
                <w:rFonts w:ascii="Times New Roman" w:hAnsi="Times New Roman" w:hint="eastAsia"/>
                <w:sz w:val="21"/>
              </w:rPr>
              <w:t>17</w:t>
            </w:r>
            <w:r>
              <w:rPr>
                <w:rFonts w:ascii="Times New Roman" w:hAnsi="Times New Roman"/>
                <w:sz w:val="21"/>
              </w:rPr>
              <w:t>日～</w:t>
            </w:r>
            <w:r>
              <w:rPr>
                <w:rFonts w:ascii="Times New Roman" w:hAnsi="Times New Roman"/>
                <w:sz w:val="21"/>
              </w:rPr>
              <w:t>202</w:t>
            </w:r>
            <w:r>
              <w:rPr>
                <w:rFonts w:ascii="Times New Roman" w:hAnsi="Times New Roman" w:hint="eastAsia"/>
                <w:sz w:val="21"/>
              </w:rPr>
              <w:t>5</w:t>
            </w:r>
            <w:r>
              <w:rPr>
                <w:rFonts w:ascii="Times New Roman" w:hAnsi="Times New Roman"/>
                <w:sz w:val="21"/>
              </w:rPr>
              <w:t>年</w:t>
            </w:r>
            <w:r>
              <w:rPr>
                <w:rFonts w:ascii="Times New Roman" w:hAnsi="Times New Roman" w:hint="eastAsia"/>
                <w:sz w:val="21"/>
              </w:rPr>
              <w:t>8</w:t>
            </w:r>
            <w:r>
              <w:rPr>
                <w:rFonts w:ascii="Times New Roman" w:hAnsi="Times New Roman"/>
                <w:sz w:val="21"/>
              </w:rPr>
              <w:t>月</w:t>
            </w:r>
            <w:r>
              <w:rPr>
                <w:rFonts w:ascii="Times New Roman" w:hAnsi="Times New Roman" w:hint="eastAsia"/>
                <w:sz w:val="21"/>
              </w:rPr>
              <w:t>23</w:t>
            </w:r>
            <w:r>
              <w:rPr>
                <w:rFonts w:ascii="Times New Roman" w:hAnsi="Times New Roman"/>
                <w:sz w:val="21"/>
              </w:rPr>
              <w:t>日</w:t>
            </w:r>
          </w:p>
        </w:tc>
        <w:tc>
          <w:tcPr>
            <w:tcW w:w="630" w:type="pct"/>
            <w:vMerge w:val="restart"/>
            <w:vAlign w:val="center"/>
          </w:tcPr>
          <w:p w14:paraId="7B58DB55" w14:textId="77777777" w:rsidR="009D12AF" w:rsidRDefault="00000000">
            <w:pPr>
              <w:spacing w:line="240" w:lineRule="auto"/>
              <w:ind w:firstLineChars="0" w:firstLine="0"/>
              <w:jc w:val="center"/>
              <w:rPr>
                <w:rFonts w:ascii="Times New Roman" w:hAnsi="Times New Roman"/>
                <w:sz w:val="21"/>
              </w:rPr>
            </w:pPr>
            <w:r>
              <w:rPr>
                <w:rFonts w:ascii="Times New Roman" w:hAnsi="Times New Roman"/>
                <w:sz w:val="21"/>
              </w:rPr>
              <w:t>--</w:t>
            </w:r>
          </w:p>
        </w:tc>
        <w:tc>
          <w:tcPr>
            <w:tcW w:w="672" w:type="pct"/>
            <w:vMerge w:val="restart"/>
            <w:tcBorders>
              <w:right w:val="nil"/>
            </w:tcBorders>
            <w:vAlign w:val="center"/>
          </w:tcPr>
          <w:p w14:paraId="1AE3359B" w14:textId="77777777" w:rsidR="009D12AF" w:rsidRDefault="00000000">
            <w:pPr>
              <w:spacing w:line="240" w:lineRule="auto"/>
              <w:ind w:firstLineChars="0" w:firstLine="0"/>
              <w:jc w:val="center"/>
              <w:rPr>
                <w:rFonts w:ascii="Times New Roman" w:hAnsi="Times New Roman"/>
                <w:sz w:val="21"/>
              </w:rPr>
            </w:pPr>
            <w:r>
              <w:rPr>
                <w:rFonts w:ascii="Times New Roman" w:hAnsi="Times New Roman"/>
                <w:sz w:val="21"/>
              </w:rPr>
              <w:t>--</w:t>
            </w:r>
          </w:p>
        </w:tc>
      </w:tr>
      <w:tr w:rsidR="009D12AF" w14:paraId="58B73A1A" w14:textId="77777777">
        <w:trPr>
          <w:trHeight w:val="152"/>
          <w:jc w:val="center"/>
        </w:trPr>
        <w:tc>
          <w:tcPr>
            <w:tcW w:w="685" w:type="pct"/>
            <w:vMerge/>
            <w:tcBorders>
              <w:left w:val="nil"/>
            </w:tcBorders>
            <w:vAlign w:val="center"/>
          </w:tcPr>
          <w:p w14:paraId="33A09309"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32358D12"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4B71CC59"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2" w:space="0" w:color="auto"/>
              <w:bottom w:val="single" w:sz="2" w:space="0" w:color="auto"/>
            </w:tcBorders>
            <w:vAlign w:val="center"/>
          </w:tcPr>
          <w:p w14:paraId="67B93FE1"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氨</w:t>
            </w:r>
          </w:p>
        </w:tc>
        <w:tc>
          <w:tcPr>
            <w:tcW w:w="722" w:type="pct"/>
            <w:vMerge/>
            <w:vAlign w:val="center"/>
          </w:tcPr>
          <w:p w14:paraId="48D49ADE" w14:textId="77777777" w:rsidR="009D12AF" w:rsidRDefault="009D12AF">
            <w:pPr>
              <w:spacing w:line="240" w:lineRule="auto"/>
              <w:ind w:firstLineChars="0" w:firstLine="0"/>
              <w:jc w:val="center"/>
              <w:rPr>
                <w:rFonts w:ascii="Times New Roman" w:hAnsi="Times New Roman"/>
                <w:sz w:val="21"/>
              </w:rPr>
            </w:pPr>
          </w:p>
        </w:tc>
        <w:tc>
          <w:tcPr>
            <w:tcW w:w="630" w:type="pct"/>
            <w:vMerge/>
            <w:vAlign w:val="center"/>
          </w:tcPr>
          <w:p w14:paraId="1F46015B" w14:textId="77777777" w:rsidR="009D12AF" w:rsidRDefault="009D12AF">
            <w:pPr>
              <w:spacing w:line="240" w:lineRule="auto"/>
              <w:ind w:firstLineChars="0" w:firstLine="0"/>
              <w:jc w:val="center"/>
              <w:rPr>
                <w:rFonts w:ascii="Times New Roman" w:hAnsi="Times New Roman"/>
                <w:sz w:val="21"/>
              </w:rPr>
            </w:pPr>
          </w:p>
        </w:tc>
        <w:tc>
          <w:tcPr>
            <w:tcW w:w="672" w:type="pct"/>
            <w:vMerge/>
            <w:tcBorders>
              <w:right w:val="nil"/>
            </w:tcBorders>
            <w:vAlign w:val="center"/>
          </w:tcPr>
          <w:p w14:paraId="5BAEB734" w14:textId="77777777" w:rsidR="009D12AF" w:rsidRDefault="009D12AF">
            <w:pPr>
              <w:spacing w:line="240" w:lineRule="auto"/>
              <w:ind w:firstLineChars="0" w:firstLine="0"/>
              <w:jc w:val="center"/>
              <w:rPr>
                <w:rFonts w:ascii="Times New Roman" w:hAnsi="Times New Roman"/>
                <w:sz w:val="21"/>
              </w:rPr>
            </w:pPr>
          </w:p>
        </w:tc>
      </w:tr>
      <w:tr w:rsidR="009D12AF" w14:paraId="68BA79DD" w14:textId="77777777">
        <w:trPr>
          <w:trHeight w:val="152"/>
          <w:jc w:val="center"/>
        </w:trPr>
        <w:tc>
          <w:tcPr>
            <w:tcW w:w="685" w:type="pct"/>
            <w:vMerge/>
            <w:tcBorders>
              <w:left w:val="nil"/>
            </w:tcBorders>
            <w:vAlign w:val="center"/>
          </w:tcPr>
          <w:p w14:paraId="083CED16"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24601F37"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169A39A1"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2" w:space="0" w:color="auto"/>
              <w:bottom w:val="single" w:sz="2" w:space="0" w:color="auto"/>
            </w:tcBorders>
            <w:vAlign w:val="center"/>
          </w:tcPr>
          <w:p w14:paraId="35A19541"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硫化氢</w:t>
            </w:r>
          </w:p>
        </w:tc>
        <w:tc>
          <w:tcPr>
            <w:tcW w:w="722" w:type="pct"/>
            <w:vMerge/>
            <w:vAlign w:val="center"/>
          </w:tcPr>
          <w:p w14:paraId="12E7A832" w14:textId="77777777" w:rsidR="009D12AF" w:rsidRDefault="009D12AF">
            <w:pPr>
              <w:spacing w:line="240" w:lineRule="auto"/>
              <w:ind w:firstLineChars="0" w:firstLine="0"/>
              <w:jc w:val="center"/>
              <w:rPr>
                <w:rFonts w:ascii="Times New Roman" w:hAnsi="Times New Roman"/>
                <w:sz w:val="21"/>
              </w:rPr>
            </w:pPr>
          </w:p>
        </w:tc>
        <w:tc>
          <w:tcPr>
            <w:tcW w:w="630" w:type="pct"/>
            <w:vMerge/>
            <w:vAlign w:val="center"/>
          </w:tcPr>
          <w:p w14:paraId="5C2C47E0" w14:textId="77777777" w:rsidR="009D12AF" w:rsidRDefault="009D12AF">
            <w:pPr>
              <w:spacing w:line="240" w:lineRule="auto"/>
              <w:ind w:firstLineChars="0" w:firstLine="0"/>
              <w:jc w:val="center"/>
              <w:rPr>
                <w:rFonts w:ascii="Times New Roman" w:hAnsi="Times New Roman"/>
                <w:sz w:val="21"/>
              </w:rPr>
            </w:pPr>
          </w:p>
        </w:tc>
        <w:tc>
          <w:tcPr>
            <w:tcW w:w="672" w:type="pct"/>
            <w:vMerge/>
            <w:tcBorders>
              <w:right w:val="nil"/>
            </w:tcBorders>
            <w:vAlign w:val="center"/>
          </w:tcPr>
          <w:p w14:paraId="29CE41AE" w14:textId="77777777" w:rsidR="009D12AF" w:rsidRDefault="009D12AF">
            <w:pPr>
              <w:spacing w:line="240" w:lineRule="auto"/>
              <w:ind w:firstLineChars="0" w:firstLine="0"/>
              <w:jc w:val="center"/>
              <w:rPr>
                <w:rFonts w:ascii="Times New Roman" w:hAnsi="Times New Roman"/>
                <w:sz w:val="21"/>
              </w:rPr>
            </w:pPr>
          </w:p>
        </w:tc>
      </w:tr>
      <w:tr w:rsidR="009D12AF" w14:paraId="32F9AA45" w14:textId="77777777">
        <w:trPr>
          <w:trHeight w:val="152"/>
          <w:jc w:val="center"/>
        </w:trPr>
        <w:tc>
          <w:tcPr>
            <w:tcW w:w="685" w:type="pct"/>
            <w:vMerge/>
            <w:tcBorders>
              <w:left w:val="nil"/>
            </w:tcBorders>
            <w:vAlign w:val="center"/>
          </w:tcPr>
          <w:p w14:paraId="54E20254"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7D8031B2"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39FF6A0F"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2" w:space="0" w:color="auto"/>
              <w:bottom w:val="single" w:sz="2" w:space="0" w:color="auto"/>
            </w:tcBorders>
            <w:vAlign w:val="center"/>
          </w:tcPr>
          <w:p w14:paraId="1694869C"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臭气浓度</w:t>
            </w:r>
          </w:p>
        </w:tc>
        <w:tc>
          <w:tcPr>
            <w:tcW w:w="722" w:type="pct"/>
            <w:vMerge/>
            <w:vAlign w:val="center"/>
          </w:tcPr>
          <w:p w14:paraId="5AFCDB3F" w14:textId="77777777" w:rsidR="009D12AF" w:rsidRDefault="009D12AF">
            <w:pPr>
              <w:spacing w:line="240" w:lineRule="auto"/>
              <w:ind w:firstLineChars="0" w:firstLine="0"/>
              <w:jc w:val="center"/>
              <w:rPr>
                <w:rFonts w:ascii="Times New Roman" w:hAnsi="Times New Roman"/>
                <w:sz w:val="21"/>
              </w:rPr>
            </w:pPr>
          </w:p>
        </w:tc>
        <w:tc>
          <w:tcPr>
            <w:tcW w:w="630" w:type="pct"/>
            <w:vMerge/>
            <w:vAlign w:val="center"/>
          </w:tcPr>
          <w:p w14:paraId="3173F227" w14:textId="77777777" w:rsidR="009D12AF" w:rsidRDefault="009D12AF">
            <w:pPr>
              <w:spacing w:line="240" w:lineRule="auto"/>
              <w:ind w:firstLineChars="0" w:firstLine="0"/>
              <w:jc w:val="center"/>
              <w:rPr>
                <w:rFonts w:ascii="Times New Roman" w:hAnsi="Times New Roman"/>
                <w:sz w:val="21"/>
              </w:rPr>
            </w:pPr>
          </w:p>
        </w:tc>
        <w:tc>
          <w:tcPr>
            <w:tcW w:w="672" w:type="pct"/>
            <w:vMerge/>
            <w:tcBorders>
              <w:right w:val="nil"/>
            </w:tcBorders>
            <w:vAlign w:val="center"/>
          </w:tcPr>
          <w:p w14:paraId="481D9C15" w14:textId="77777777" w:rsidR="009D12AF" w:rsidRDefault="009D12AF">
            <w:pPr>
              <w:spacing w:line="240" w:lineRule="auto"/>
              <w:ind w:firstLineChars="0" w:firstLine="0"/>
              <w:jc w:val="center"/>
              <w:rPr>
                <w:rFonts w:ascii="Times New Roman" w:hAnsi="Times New Roman"/>
                <w:sz w:val="21"/>
              </w:rPr>
            </w:pPr>
          </w:p>
        </w:tc>
      </w:tr>
      <w:tr w:rsidR="009D12AF" w14:paraId="44A67E21" w14:textId="77777777">
        <w:trPr>
          <w:trHeight w:val="270"/>
          <w:jc w:val="center"/>
        </w:trPr>
        <w:tc>
          <w:tcPr>
            <w:tcW w:w="685" w:type="pct"/>
            <w:vMerge w:val="restart"/>
            <w:tcBorders>
              <w:left w:val="nil"/>
            </w:tcBorders>
            <w:vAlign w:val="center"/>
          </w:tcPr>
          <w:p w14:paraId="2F05EE56"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群力水库</w:t>
            </w:r>
            <w:r>
              <w:rPr>
                <w:rFonts w:ascii="Times New Roman" w:hAnsi="Times New Roman"/>
                <w:kern w:val="0"/>
                <w:sz w:val="21"/>
              </w:rPr>
              <w:t xml:space="preserve">2# </w:t>
            </w:r>
          </w:p>
        </w:tc>
        <w:tc>
          <w:tcPr>
            <w:tcW w:w="836" w:type="pct"/>
            <w:vMerge w:val="restart"/>
            <w:tcBorders>
              <w:right w:val="single" w:sz="4" w:space="0" w:color="auto"/>
            </w:tcBorders>
            <w:vAlign w:val="center"/>
          </w:tcPr>
          <w:p w14:paraId="119527D8"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129.658437</w:t>
            </w:r>
          </w:p>
        </w:tc>
        <w:tc>
          <w:tcPr>
            <w:tcW w:w="775" w:type="pct"/>
            <w:vMerge w:val="restart"/>
            <w:tcBorders>
              <w:left w:val="single" w:sz="4" w:space="0" w:color="auto"/>
            </w:tcBorders>
            <w:vAlign w:val="center"/>
          </w:tcPr>
          <w:p w14:paraId="222651B4"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44.908451</w:t>
            </w:r>
          </w:p>
        </w:tc>
        <w:tc>
          <w:tcPr>
            <w:tcW w:w="678" w:type="pct"/>
            <w:tcBorders>
              <w:top w:val="single" w:sz="2" w:space="0" w:color="auto"/>
              <w:bottom w:val="single" w:sz="2" w:space="0" w:color="auto"/>
            </w:tcBorders>
            <w:vAlign w:val="center"/>
          </w:tcPr>
          <w:p w14:paraId="33191DC4" w14:textId="77777777" w:rsidR="009D12AF" w:rsidRDefault="00000000">
            <w:pPr>
              <w:spacing w:line="240" w:lineRule="auto"/>
              <w:ind w:firstLineChars="0" w:firstLine="0"/>
              <w:jc w:val="center"/>
              <w:rPr>
                <w:rFonts w:ascii="Times New Roman" w:hAnsi="Times New Roman"/>
                <w:sz w:val="21"/>
              </w:rPr>
            </w:pPr>
            <w:r>
              <w:rPr>
                <w:rFonts w:ascii="Times New Roman" w:hAnsi="Times New Roman"/>
                <w:kern w:val="0"/>
                <w:sz w:val="21"/>
              </w:rPr>
              <w:t>总悬浮颗粒物</w:t>
            </w:r>
          </w:p>
        </w:tc>
        <w:tc>
          <w:tcPr>
            <w:tcW w:w="722" w:type="pct"/>
            <w:vMerge/>
            <w:vAlign w:val="center"/>
          </w:tcPr>
          <w:p w14:paraId="6597A498" w14:textId="77777777" w:rsidR="009D12AF" w:rsidRDefault="009D12AF">
            <w:pPr>
              <w:spacing w:line="240" w:lineRule="auto"/>
              <w:ind w:firstLineChars="0" w:firstLine="0"/>
              <w:jc w:val="center"/>
              <w:rPr>
                <w:rFonts w:ascii="Times New Roman" w:hAnsi="Times New Roman"/>
                <w:sz w:val="21"/>
              </w:rPr>
            </w:pPr>
          </w:p>
        </w:tc>
        <w:tc>
          <w:tcPr>
            <w:tcW w:w="630" w:type="pct"/>
            <w:vMerge w:val="restart"/>
            <w:vAlign w:val="center"/>
          </w:tcPr>
          <w:p w14:paraId="0592447F" w14:textId="77777777" w:rsidR="009D12AF" w:rsidRDefault="00000000">
            <w:pPr>
              <w:spacing w:line="240" w:lineRule="auto"/>
              <w:ind w:firstLineChars="0" w:firstLine="0"/>
              <w:jc w:val="center"/>
              <w:rPr>
                <w:rFonts w:ascii="Times New Roman" w:hAnsi="Times New Roman"/>
                <w:sz w:val="21"/>
              </w:rPr>
            </w:pPr>
            <w:r>
              <w:rPr>
                <w:rFonts w:ascii="Times New Roman" w:hAnsi="Times New Roman"/>
                <w:sz w:val="21"/>
              </w:rPr>
              <w:t>NE</w:t>
            </w:r>
          </w:p>
        </w:tc>
        <w:tc>
          <w:tcPr>
            <w:tcW w:w="672" w:type="pct"/>
            <w:vMerge w:val="restart"/>
            <w:tcBorders>
              <w:right w:val="nil"/>
            </w:tcBorders>
            <w:vAlign w:val="center"/>
          </w:tcPr>
          <w:p w14:paraId="575A777B" w14:textId="77777777" w:rsidR="009D12AF" w:rsidRDefault="00000000">
            <w:pPr>
              <w:spacing w:line="240" w:lineRule="auto"/>
              <w:ind w:firstLineChars="0" w:firstLine="0"/>
              <w:jc w:val="center"/>
              <w:rPr>
                <w:rFonts w:ascii="Times New Roman" w:hAnsi="Times New Roman"/>
                <w:sz w:val="21"/>
              </w:rPr>
            </w:pPr>
            <w:r>
              <w:rPr>
                <w:rFonts w:ascii="Times New Roman" w:hAnsi="Times New Roman" w:hint="eastAsia"/>
                <w:kern w:val="0"/>
              </w:rPr>
              <w:t>100</w:t>
            </w:r>
          </w:p>
        </w:tc>
      </w:tr>
      <w:tr w:rsidR="009D12AF" w14:paraId="3331EA41" w14:textId="77777777">
        <w:trPr>
          <w:trHeight w:val="120"/>
          <w:jc w:val="center"/>
        </w:trPr>
        <w:tc>
          <w:tcPr>
            <w:tcW w:w="685" w:type="pct"/>
            <w:vMerge/>
            <w:tcBorders>
              <w:left w:val="nil"/>
            </w:tcBorders>
            <w:vAlign w:val="center"/>
          </w:tcPr>
          <w:p w14:paraId="424186AA"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66D7F6F4"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0629EE9F"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2" w:space="0" w:color="auto"/>
              <w:bottom w:val="single" w:sz="2" w:space="0" w:color="auto"/>
            </w:tcBorders>
            <w:vAlign w:val="center"/>
          </w:tcPr>
          <w:p w14:paraId="11B40688"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氨</w:t>
            </w:r>
          </w:p>
        </w:tc>
        <w:tc>
          <w:tcPr>
            <w:tcW w:w="722" w:type="pct"/>
            <w:vMerge/>
            <w:vAlign w:val="center"/>
          </w:tcPr>
          <w:p w14:paraId="426B4ECC"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29BAB536"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7AC6AEEE"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6738C99F" w14:textId="77777777">
        <w:trPr>
          <w:trHeight w:val="120"/>
          <w:jc w:val="center"/>
        </w:trPr>
        <w:tc>
          <w:tcPr>
            <w:tcW w:w="685" w:type="pct"/>
            <w:vMerge/>
            <w:tcBorders>
              <w:left w:val="nil"/>
            </w:tcBorders>
            <w:vAlign w:val="center"/>
          </w:tcPr>
          <w:p w14:paraId="1CF49AF4"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6EE94639"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0637F2C5"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2" w:space="0" w:color="auto"/>
              <w:bottom w:val="single" w:sz="2" w:space="0" w:color="auto"/>
            </w:tcBorders>
            <w:vAlign w:val="center"/>
          </w:tcPr>
          <w:p w14:paraId="2B691EFF"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氮氧化物</w:t>
            </w:r>
          </w:p>
        </w:tc>
        <w:tc>
          <w:tcPr>
            <w:tcW w:w="722" w:type="pct"/>
            <w:vMerge/>
            <w:vAlign w:val="center"/>
          </w:tcPr>
          <w:p w14:paraId="7AD6F5A6"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239AD96B"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069397F2"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689A6EF8" w14:textId="77777777">
        <w:trPr>
          <w:trHeight w:val="90"/>
          <w:jc w:val="center"/>
        </w:trPr>
        <w:tc>
          <w:tcPr>
            <w:tcW w:w="685" w:type="pct"/>
            <w:vMerge/>
            <w:tcBorders>
              <w:left w:val="nil"/>
            </w:tcBorders>
            <w:vAlign w:val="center"/>
          </w:tcPr>
          <w:p w14:paraId="089BC723"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5B332C2E"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5532CFD4"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2" w:space="0" w:color="auto"/>
              <w:bottom w:val="single" w:sz="2" w:space="0" w:color="auto"/>
            </w:tcBorders>
            <w:vAlign w:val="center"/>
          </w:tcPr>
          <w:p w14:paraId="195BE02B"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汞</w:t>
            </w:r>
          </w:p>
        </w:tc>
        <w:tc>
          <w:tcPr>
            <w:tcW w:w="722" w:type="pct"/>
            <w:vMerge/>
            <w:vAlign w:val="center"/>
          </w:tcPr>
          <w:p w14:paraId="74B39787"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28C901F1"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425C439B"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38012432" w14:textId="77777777">
        <w:trPr>
          <w:trHeight w:val="226"/>
          <w:jc w:val="center"/>
        </w:trPr>
        <w:tc>
          <w:tcPr>
            <w:tcW w:w="685" w:type="pct"/>
            <w:vMerge w:val="restart"/>
            <w:tcBorders>
              <w:left w:val="nil"/>
            </w:tcBorders>
            <w:vAlign w:val="center"/>
          </w:tcPr>
          <w:p w14:paraId="079FFBE2"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万丈水库</w:t>
            </w:r>
            <w:r>
              <w:rPr>
                <w:rFonts w:ascii="Times New Roman" w:hAnsi="Times New Roman" w:hint="eastAsia"/>
                <w:kern w:val="0"/>
                <w:sz w:val="21"/>
              </w:rPr>
              <w:t>1#</w:t>
            </w:r>
          </w:p>
        </w:tc>
        <w:tc>
          <w:tcPr>
            <w:tcW w:w="836" w:type="pct"/>
            <w:vMerge w:val="restart"/>
            <w:tcBorders>
              <w:right w:val="single" w:sz="4" w:space="0" w:color="auto"/>
            </w:tcBorders>
            <w:vAlign w:val="center"/>
          </w:tcPr>
          <w:p w14:paraId="1F8ED423"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128.949519</w:t>
            </w:r>
          </w:p>
        </w:tc>
        <w:tc>
          <w:tcPr>
            <w:tcW w:w="775" w:type="pct"/>
            <w:vMerge w:val="restart"/>
            <w:tcBorders>
              <w:left w:val="single" w:sz="4" w:space="0" w:color="auto"/>
            </w:tcBorders>
            <w:vAlign w:val="center"/>
          </w:tcPr>
          <w:p w14:paraId="456CFDAF"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44.360073</w:t>
            </w:r>
          </w:p>
        </w:tc>
        <w:tc>
          <w:tcPr>
            <w:tcW w:w="678" w:type="pct"/>
            <w:tcBorders>
              <w:top w:val="single" w:sz="2" w:space="0" w:color="auto"/>
              <w:bottom w:val="single" w:sz="4" w:space="0" w:color="auto"/>
            </w:tcBorders>
            <w:vAlign w:val="center"/>
          </w:tcPr>
          <w:p w14:paraId="014CFA8B"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总悬浮颗粒物</w:t>
            </w:r>
          </w:p>
        </w:tc>
        <w:tc>
          <w:tcPr>
            <w:tcW w:w="722" w:type="pct"/>
            <w:vMerge/>
            <w:vAlign w:val="center"/>
          </w:tcPr>
          <w:p w14:paraId="0134636B" w14:textId="77777777" w:rsidR="009D12AF" w:rsidRDefault="009D12AF">
            <w:pPr>
              <w:spacing w:line="240" w:lineRule="auto"/>
              <w:ind w:firstLineChars="0" w:firstLine="0"/>
              <w:jc w:val="center"/>
              <w:rPr>
                <w:rFonts w:ascii="Times New Roman" w:hAnsi="Times New Roman"/>
                <w:sz w:val="21"/>
                <w:highlight w:val="yellow"/>
              </w:rPr>
            </w:pPr>
          </w:p>
        </w:tc>
        <w:tc>
          <w:tcPr>
            <w:tcW w:w="1074" w:type="dxa"/>
            <w:vMerge w:val="restart"/>
            <w:vAlign w:val="center"/>
          </w:tcPr>
          <w:p w14:paraId="51D6A6D6" w14:textId="77777777" w:rsidR="009D12AF" w:rsidRDefault="00000000">
            <w:pPr>
              <w:spacing w:line="240" w:lineRule="auto"/>
              <w:ind w:firstLineChars="0" w:firstLine="0"/>
              <w:jc w:val="center"/>
              <w:rPr>
                <w:rFonts w:ascii="Times New Roman" w:hAnsi="Times New Roman"/>
                <w:sz w:val="21"/>
                <w:highlight w:val="yellow"/>
              </w:rPr>
            </w:pPr>
            <w:r>
              <w:rPr>
                <w:rFonts w:ascii="Times New Roman" w:hAnsi="Times New Roman"/>
                <w:sz w:val="21"/>
              </w:rPr>
              <w:t>--</w:t>
            </w:r>
          </w:p>
        </w:tc>
        <w:tc>
          <w:tcPr>
            <w:tcW w:w="1147" w:type="dxa"/>
            <w:vMerge w:val="restart"/>
            <w:tcBorders>
              <w:right w:val="nil"/>
            </w:tcBorders>
            <w:vAlign w:val="center"/>
          </w:tcPr>
          <w:p w14:paraId="32CB301A" w14:textId="77777777" w:rsidR="009D12AF" w:rsidRDefault="00000000">
            <w:pPr>
              <w:spacing w:line="240" w:lineRule="auto"/>
              <w:ind w:firstLineChars="0" w:firstLine="0"/>
              <w:jc w:val="center"/>
              <w:rPr>
                <w:rFonts w:ascii="Times New Roman" w:hAnsi="Times New Roman"/>
                <w:sz w:val="21"/>
                <w:highlight w:val="yellow"/>
              </w:rPr>
            </w:pPr>
            <w:r>
              <w:rPr>
                <w:rFonts w:ascii="Times New Roman" w:hAnsi="Times New Roman"/>
                <w:sz w:val="21"/>
              </w:rPr>
              <w:t>--</w:t>
            </w:r>
          </w:p>
        </w:tc>
      </w:tr>
      <w:tr w:rsidR="009D12AF" w14:paraId="585B3F41" w14:textId="77777777">
        <w:trPr>
          <w:trHeight w:val="215"/>
          <w:jc w:val="center"/>
        </w:trPr>
        <w:tc>
          <w:tcPr>
            <w:tcW w:w="685" w:type="pct"/>
            <w:vMerge/>
            <w:tcBorders>
              <w:left w:val="nil"/>
            </w:tcBorders>
            <w:vAlign w:val="center"/>
          </w:tcPr>
          <w:p w14:paraId="1ED66855"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226D5A60"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5830D204"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4" w:space="0" w:color="auto"/>
            </w:tcBorders>
            <w:vAlign w:val="center"/>
          </w:tcPr>
          <w:p w14:paraId="63F5C5AF"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氨</w:t>
            </w:r>
          </w:p>
        </w:tc>
        <w:tc>
          <w:tcPr>
            <w:tcW w:w="722" w:type="pct"/>
            <w:vMerge/>
            <w:vAlign w:val="center"/>
          </w:tcPr>
          <w:p w14:paraId="66ADA96E"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2F49DF84"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40109CC6"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3B31DCEE" w14:textId="77777777">
        <w:trPr>
          <w:trHeight w:val="192"/>
          <w:jc w:val="center"/>
        </w:trPr>
        <w:tc>
          <w:tcPr>
            <w:tcW w:w="685" w:type="pct"/>
            <w:vMerge/>
            <w:tcBorders>
              <w:left w:val="nil"/>
            </w:tcBorders>
            <w:vAlign w:val="center"/>
          </w:tcPr>
          <w:p w14:paraId="3F968CF6"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0DAA85DF"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61DE80F2"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4" w:space="0" w:color="auto"/>
            </w:tcBorders>
            <w:vAlign w:val="center"/>
          </w:tcPr>
          <w:p w14:paraId="3005A1F3"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硫化氢</w:t>
            </w:r>
          </w:p>
        </w:tc>
        <w:tc>
          <w:tcPr>
            <w:tcW w:w="722" w:type="pct"/>
            <w:vMerge/>
            <w:vAlign w:val="center"/>
          </w:tcPr>
          <w:p w14:paraId="6322BF8B"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471B1049"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744CA3B9"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72F1F202" w14:textId="77777777">
        <w:trPr>
          <w:trHeight w:val="144"/>
          <w:jc w:val="center"/>
        </w:trPr>
        <w:tc>
          <w:tcPr>
            <w:tcW w:w="685" w:type="pct"/>
            <w:vMerge/>
            <w:tcBorders>
              <w:left w:val="nil"/>
            </w:tcBorders>
            <w:vAlign w:val="center"/>
          </w:tcPr>
          <w:p w14:paraId="02F55F85"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1A5E289E"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2948EAD4"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2" w:space="0" w:color="auto"/>
            </w:tcBorders>
            <w:vAlign w:val="center"/>
          </w:tcPr>
          <w:p w14:paraId="6D657EAF"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臭气浓度</w:t>
            </w:r>
          </w:p>
        </w:tc>
        <w:tc>
          <w:tcPr>
            <w:tcW w:w="722" w:type="pct"/>
            <w:vMerge/>
            <w:vAlign w:val="center"/>
          </w:tcPr>
          <w:p w14:paraId="69B9FE33"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1F59E9D5"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576C5B28"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47F6C655" w14:textId="77777777">
        <w:trPr>
          <w:trHeight w:val="220"/>
          <w:jc w:val="center"/>
        </w:trPr>
        <w:tc>
          <w:tcPr>
            <w:tcW w:w="685" w:type="pct"/>
            <w:vMerge w:val="restart"/>
            <w:tcBorders>
              <w:left w:val="nil"/>
            </w:tcBorders>
            <w:vAlign w:val="center"/>
          </w:tcPr>
          <w:p w14:paraId="46DE26D2"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万丈水库</w:t>
            </w:r>
            <w:r>
              <w:rPr>
                <w:rFonts w:ascii="Times New Roman" w:hAnsi="Times New Roman" w:hint="eastAsia"/>
                <w:kern w:val="0"/>
                <w:sz w:val="21"/>
              </w:rPr>
              <w:t>2#</w:t>
            </w:r>
          </w:p>
        </w:tc>
        <w:tc>
          <w:tcPr>
            <w:tcW w:w="836" w:type="pct"/>
            <w:vMerge w:val="restart"/>
            <w:tcBorders>
              <w:right w:val="single" w:sz="4" w:space="0" w:color="auto"/>
            </w:tcBorders>
            <w:vAlign w:val="center"/>
          </w:tcPr>
          <w:p w14:paraId="538415F0"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128.955613</w:t>
            </w:r>
          </w:p>
        </w:tc>
        <w:tc>
          <w:tcPr>
            <w:tcW w:w="775" w:type="pct"/>
            <w:vMerge w:val="restart"/>
            <w:tcBorders>
              <w:left w:val="single" w:sz="4" w:space="0" w:color="auto"/>
            </w:tcBorders>
            <w:vAlign w:val="center"/>
          </w:tcPr>
          <w:p w14:paraId="0D4A7540"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44.356211</w:t>
            </w:r>
          </w:p>
        </w:tc>
        <w:tc>
          <w:tcPr>
            <w:tcW w:w="678" w:type="pct"/>
            <w:tcBorders>
              <w:top w:val="single" w:sz="2" w:space="0" w:color="auto"/>
              <w:bottom w:val="single" w:sz="4" w:space="0" w:color="auto"/>
            </w:tcBorders>
            <w:vAlign w:val="center"/>
          </w:tcPr>
          <w:p w14:paraId="7C80E2A7"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总悬浮颗粒物</w:t>
            </w:r>
          </w:p>
        </w:tc>
        <w:tc>
          <w:tcPr>
            <w:tcW w:w="722" w:type="pct"/>
            <w:vMerge/>
            <w:vAlign w:val="center"/>
          </w:tcPr>
          <w:p w14:paraId="778408AA" w14:textId="77777777" w:rsidR="009D12AF" w:rsidRDefault="009D12AF">
            <w:pPr>
              <w:spacing w:line="240" w:lineRule="auto"/>
              <w:ind w:firstLineChars="0" w:firstLine="0"/>
              <w:jc w:val="center"/>
              <w:rPr>
                <w:rFonts w:ascii="Times New Roman" w:hAnsi="Times New Roman"/>
                <w:sz w:val="21"/>
                <w:highlight w:val="yellow"/>
              </w:rPr>
            </w:pPr>
          </w:p>
        </w:tc>
        <w:tc>
          <w:tcPr>
            <w:tcW w:w="1074" w:type="dxa"/>
            <w:vMerge w:val="restart"/>
            <w:vAlign w:val="center"/>
          </w:tcPr>
          <w:p w14:paraId="1F4D6675" w14:textId="77777777" w:rsidR="009D12AF" w:rsidRDefault="00000000">
            <w:pPr>
              <w:spacing w:line="240" w:lineRule="auto"/>
              <w:ind w:firstLineChars="0" w:firstLine="0"/>
              <w:jc w:val="center"/>
              <w:rPr>
                <w:rFonts w:ascii="Times New Roman" w:hAnsi="Times New Roman"/>
                <w:sz w:val="21"/>
                <w:highlight w:val="yellow"/>
              </w:rPr>
            </w:pPr>
            <w:r>
              <w:rPr>
                <w:rFonts w:ascii="Times New Roman" w:hAnsi="Times New Roman"/>
                <w:sz w:val="21"/>
              </w:rPr>
              <w:t>NE</w:t>
            </w:r>
          </w:p>
        </w:tc>
        <w:tc>
          <w:tcPr>
            <w:tcW w:w="1147" w:type="dxa"/>
            <w:vMerge w:val="restart"/>
            <w:tcBorders>
              <w:right w:val="nil"/>
            </w:tcBorders>
            <w:vAlign w:val="center"/>
          </w:tcPr>
          <w:p w14:paraId="7760645A" w14:textId="77777777" w:rsidR="009D12AF" w:rsidRDefault="00000000">
            <w:pPr>
              <w:spacing w:line="240" w:lineRule="auto"/>
              <w:ind w:firstLineChars="0" w:firstLine="0"/>
              <w:jc w:val="center"/>
              <w:rPr>
                <w:rFonts w:ascii="Times New Roman" w:hAnsi="Times New Roman"/>
                <w:sz w:val="21"/>
                <w:highlight w:val="yellow"/>
              </w:rPr>
            </w:pPr>
            <w:r>
              <w:rPr>
                <w:rFonts w:ascii="Times New Roman" w:hAnsi="Times New Roman" w:hint="eastAsia"/>
                <w:kern w:val="0"/>
              </w:rPr>
              <w:t>100</w:t>
            </w:r>
          </w:p>
        </w:tc>
      </w:tr>
      <w:tr w:rsidR="009D12AF" w14:paraId="1570FD6E" w14:textId="77777777">
        <w:trPr>
          <w:trHeight w:val="159"/>
          <w:jc w:val="center"/>
        </w:trPr>
        <w:tc>
          <w:tcPr>
            <w:tcW w:w="685" w:type="pct"/>
            <w:vMerge/>
            <w:tcBorders>
              <w:left w:val="nil"/>
            </w:tcBorders>
            <w:vAlign w:val="center"/>
          </w:tcPr>
          <w:p w14:paraId="61238B9C"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2BAFCC9F"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1249A749"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4" w:space="0" w:color="auto"/>
            </w:tcBorders>
            <w:vAlign w:val="center"/>
          </w:tcPr>
          <w:p w14:paraId="2EA365DA"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氨</w:t>
            </w:r>
          </w:p>
        </w:tc>
        <w:tc>
          <w:tcPr>
            <w:tcW w:w="722" w:type="pct"/>
            <w:vMerge/>
            <w:vAlign w:val="center"/>
          </w:tcPr>
          <w:p w14:paraId="4D8716DD"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5284FEBD"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532D8C6C"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7824038E" w14:textId="77777777">
        <w:trPr>
          <w:trHeight w:val="210"/>
          <w:jc w:val="center"/>
        </w:trPr>
        <w:tc>
          <w:tcPr>
            <w:tcW w:w="685" w:type="pct"/>
            <w:vMerge/>
            <w:tcBorders>
              <w:left w:val="nil"/>
            </w:tcBorders>
            <w:vAlign w:val="center"/>
          </w:tcPr>
          <w:p w14:paraId="2AB7118B"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4C28DE42"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56E35EDF"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4" w:space="0" w:color="auto"/>
            </w:tcBorders>
            <w:vAlign w:val="center"/>
          </w:tcPr>
          <w:p w14:paraId="6BBB6321"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硫化氢</w:t>
            </w:r>
          </w:p>
        </w:tc>
        <w:tc>
          <w:tcPr>
            <w:tcW w:w="722" w:type="pct"/>
            <w:vMerge/>
            <w:vAlign w:val="center"/>
          </w:tcPr>
          <w:p w14:paraId="0ED6EC31"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662FC95F"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524D3CD8"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00767856" w14:textId="77777777">
        <w:trPr>
          <w:trHeight w:val="126"/>
          <w:jc w:val="center"/>
        </w:trPr>
        <w:tc>
          <w:tcPr>
            <w:tcW w:w="685" w:type="pct"/>
            <w:vMerge/>
            <w:tcBorders>
              <w:left w:val="nil"/>
            </w:tcBorders>
            <w:vAlign w:val="center"/>
          </w:tcPr>
          <w:p w14:paraId="18A95DAB"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347B1EFF"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7260E71D"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2" w:space="0" w:color="auto"/>
            </w:tcBorders>
            <w:vAlign w:val="center"/>
          </w:tcPr>
          <w:p w14:paraId="0A8F3282"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臭气浓度</w:t>
            </w:r>
          </w:p>
        </w:tc>
        <w:tc>
          <w:tcPr>
            <w:tcW w:w="722" w:type="pct"/>
            <w:vMerge/>
            <w:vAlign w:val="center"/>
          </w:tcPr>
          <w:p w14:paraId="32915927"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0D16024A"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2062918C"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5A0105D3" w14:textId="77777777">
        <w:trPr>
          <w:trHeight w:val="216"/>
          <w:jc w:val="center"/>
        </w:trPr>
        <w:tc>
          <w:tcPr>
            <w:tcW w:w="685" w:type="pct"/>
            <w:vMerge w:val="restart"/>
            <w:tcBorders>
              <w:left w:val="nil"/>
            </w:tcBorders>
            <w:vAlign w:val="center"/>
          </w:tcPr>
          <w:p w14:paraId="5BF331DD"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新安晒水池</w:t>
            </w:r>
            <w:r>
              <w:rPr>
                <w:rFonts w:ascii="Times New Roman" w:hAnsi="Times New Roman" w:hint="eastAsia"/>
                <w:kern w:val="0"/>
                <w:sz w:val="21"/>
              </w:rPr>
              <w:t>1#</w:t>
            </w:r>
          </w:p>
        </w:tc>
        <w:tc>
          <w:tcPr>
            <w:tcW w:w="836" w:type="pct"/>
            <w:vMerge w:val="restart"/>
            <w:tcBorders>
              <w:right w:val="single" w:sz="4" w:space="0" w:color="auto"/>
            </w:tcBorders>
            <w:vAlign w:val="center"/>
          </w:tcPr>
          <w:p w14:paraId="1BCCD516"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129.083666</w:t>
            </w:r>
          </w:p>
        </w:tc>
        <w:tc>
          <w:tcPr>
            <w:tcW w:w="775" w:type="pct"/>
            <w:vMerge w:val="restart"/>
            <w:tcBorders>
              <w:left w:val="single" w:sz="4" w:space="0" w:color="auto"/>
            </w:tcBorders>
            <w:vAlign w:val="center"/>
          </w:tcPr>
          <w:p w14:paraId="1C177E38"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44.412588</w:t>
            </w:r>
          </w:p>
        </w:tc>
        <w:tc>
          <w:tcPr>
            <w:tcW w:w="678" w:type="pct"/>
            <w:tcBorders>
              <w:top w:val="single" w:sz="2" w:space="0" w:color="auto"/>
              <w:bottom w:val="single" w:sz="4" w:space="0" w:color="auto"/>
            </w:tcBorders>
            <w:vAlign w:val="center"/>
          </w:tcPr>
          <w:p w14:paraId="4C51D9EC"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总悬浮颗粒物</w:t>
            </w:r>
          </w:p>
        </w:tc>
        <w:tc>
          <w:tcPr>
            <w:tcW w:w="722" w:type="pct"/>
            <w:vMerge/>
            <w:vAlign w:val="center"/>
          </w:tcPr>
          <w:p w14:paraId="7B2219AF" w14:textId="77777777" w:rsidR="009D12AF" w:rsidRDefault="009D12AF">
            <w:pPr>
              <w:spacing w:line="240" w:lineRule="auto"/>
              <w:ind w:firstLineChars="0" w:firstLine="0"/>
              <w:jc w:val="center"/>
              <w:rPr>
                <w:rFonts w:ascii="Times New Roman" w:hAnsi="Times New Roman"/>
                <w:sz w:val="21"/>
                <w:highlight w:val="yellow"/>
              </w:rPr>
            </w:pPr>
          </w:p>
        </w:tc>
        <w:tc>
          <w:tcPr>
            <w:tcW w:w="1074" w:type="dxa"/>
            <w:vMerge w:val="restart"/>
            <w:vAlign w:val="center"/>
          </w:tcPr>
          <w:p w14:paraId="66403E71" w14:textId="77777777" w:rsidR="009D12AF" w:rsidRDefault="00000000">
            <w:pPr>
              <w:spacing w:line="240" w:lineRule="auto"/>
              <w:ind w:firstLineChars="0" w:firstLine="0"/>
              <w:jc w:val="center"/>
              <w:rPr>
                <w:rFonts w:ascii="Times New Roman" w:hAnsi="Times New Roman"/>
                <w:sz w:val="21"/>
                <w:highlight w:val="yellow"/>
              </w:rPr>
            </w:pPr>
            <w:r>
              <w:rPr>
                <w:rFonts w:ascii="Times New Roman" w:hAnsi="Times New Roman"/>
                <w:sz w:val="21"/>
              </w:rPr>
              <w:t>--</w:t>
            </w:r>
          </w:p>
        </w:tc>
        <w:tc>
          <w:tcPr>
            <w:tcW w:w="1147" w:type="dxa"/>
            <w:vMerge w:val="restart"/>
            <w:tcBorders>
              <w:right w:val="nil"/>
            </w:tcBorders>
            <w:vAlign w:val="center"/>
          </w:tcPr>
          <w:p w14:paraId="49A8563C" w14:textId="77777777" w:rsidR="009D12AF" w:rsidRDefault="00000000">
            <w:pPr>
              <w:spacing w:line="240" w:lineRule="auto"/>
              <w:ind w:firstLineChars="0" w:firstLine="0"/>
              <w:jc w:val="center"/>
              <w:rPr>
                <w:rFonts w:ascii="Times New Roman" w:hAnsi="Times New Roman"/>
                <w:sz w:val="21"/>
                <w:highlight w:val="yellow"/>
              </w:rPr>
            </w:pPr>
            <w:r>
              <w:rPr>
                <w:rFonts w:ascii="Times New Roman" w:hAnsi="Times New Roman"/>
                <w:sz w:val="21"/>
              </w:rPr>
              <w:t>--</w:t>
            </w:r>
          </w:p>
        </w:tc>
      </w:tr>
      <w:tr w:rsidR="009D12AF" w14:paraId="31E10669" w14:textId="77777777">
        <w:trPr>
          <w:trHeight w:val="217"/>
          <w:jc w:val="center"/>
        </w:trPr>
        <w:tc>
          <w:tcPr>
            <w:tcW w:w="685" w:type="pct"/>
            <w:vMerge/>
            <w:tcBorders>
              <w:left w:val="nil"/>
            </w:tcBorders>
            <w:vAlign w:val="center"/>
          </w:tcPr>
          <w:p w14:paraId="74495B2C"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3D3B99ED"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328CE527"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4" w:space="0" w:color="auto"/>
            </w:tcBorders>
            <w:vAlign w:val="center"/>
          </w:tcPr>
          <w:p w14:paraId="623FCAA7"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氨</w:t>
            </w:r>
          </w:p>
        </w:tc>
        <w:tc>
          <w:tcPr>
            <w:tcW w:w="722" w:type="pct"/>
            <w:vMerge/>
            <w:vAlign w:val="center"/>
          </w:tcPr>
          <w:p w14:paraId="444E5F6E"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0DAFD4FB"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2D8A68BE"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60ABE9F9" w14:textId="77777777">
        <w:trPr>
          <w:trHeight w:val="206"/>
          <w:jc w:val="center"/>
        </w:trPr>
        <w:tc>
          <w:tcPr>
            <w:tcW w:w="685" w:type="pct"/>
            <w:vMerge/>
            <w:tcBorders>
              <w:left w:val="nil"/>
            </w:tcBorders>
            <w:vAlign w:val="center"/>
          </w:tcPr>
          <w:p w14:paraId="20BFA544"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7333E13D"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2854E290"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4" w:space="0" w:color="auto"/>
            </w:tcBorders>
            <w:vAlign w:val="center"/>
          </w:tcPr>
          <w:p w14:paraId="5B847C76"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硫化氢</w:t>
            </w:r>
          </w:p>
        </w:tc>
        <w:tc>
          <w:tcPr>
            <w:tcW w:w="722" w:type="pct"/>
            <w:vMerge/>
            <w:vAlign w:val="center"/>
          </w:tcPr>
          <w:p w14:paraId="04A7A605"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2E98B78E"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33C67CBB"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723990CC" w14:textId="77777777">
        <w:trPr>
          <w:trHeight w:val="130"/>
          <w:jc w:val="center"/>
        </w:trPr>
        <w:tc>
          <w:tcPr>
            <w:tcW w:w="685" w:type="pct"/>
            <w:vMerge/>
            <w:tcBorders>
              <w:left w:val="nil"/>
            </w:tcBorders>
            <w:vAlign w:val="center"/>
          </w:tcPr>
          <w:p w14:paraId="3E3BDFB5"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1A01EBF6"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56C6019A"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2" w:space="0" w:color="auto"/>
            </w:tcBorders>
            <w:vAlign w:val="center"/>
          </w:tcPr>
          <w:p w14:paraId="0538447F"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臭气浓度</w:t>
            </w:r>
          </w:p>
        </w:tc>
        <w:tc>
          <w:tcPr>
            <w:tcW w:w="722" w:type="pct"/>
            <w:vMerge/>
            <w:vAlign w:val="center"/>
          </w:tcPr>
          <w:p w14:paraId="5AA85D8E"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0819EAE1"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6554687E"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45E25EC3" w14:textId="77777777">
        <w:trPr>
          <w:trHeight w:val="209"/>
          <w:jc w:val="center"/>
        </w:trPr>
        <w:tc>
          <w:tcPr>
            <w:tcW w:w="685" w:type="pct"/>
            <w:vMerge w:val="restart"/>
            <w:tcBorders>
              <w:left w:val="nil"/>
            </w:tcBorders>
            <w:vAlign w:val="center"/>
          </w:tcPr>
          <w:p w14:paraId="2574D8F3"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新安晒水池</w:t>
            </w:r>
            <w:r>
              <w:rPr>
                <w:rFonts w:ascii="Times New Roman" w:hAnsi="Times New Roman" w:hint="eastAsia"/>
                <w:kern w:val="0"/>
                <w:sz w:val="21"/>
              </w:rPr>
              <w:t>2#</w:t>
            </w:r>
          </w:p>
        </w:tc>
        <w:tc>
          <w:tcPr>
            <w:tcW w:w="836" w:type="pct"/>
            <w:vMerge w:val="restart"/>
            <w:tcBorders>
              <w:right w:val="single" w:sz="4" w:space="0" w:color="auto"/>
            </w:tcBorders>
            <w:vAlign w:val="center"/>
          </w:tcPr>
          <w:p w14:paraId="0EB3990E"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129.082615</w:t>
            </w:r>
          </w:p>
        </w:tc>
        <w:tc>
          <w:tcPr>
            <w:tcW w:w="775" w:type="pct"/>
            <w:vMerge w:val="restart"/>
            <w:tcBorders>
              <w:left w:val="single" w:sz="4" w:space="0" w:color="auto"/>
            </w:tcBorders>
            <w:vAlign w:val="center"/>
          </w:tcPr>
          <w:p w14:paraId="1B035919"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44.414992</w:t>
            </w:r>
          </w:p>
        </w:tc>
        <w:tc>
          <w:tcPr>
            <w:tcW w:w="678" w:type="pct"/>
            <w:tcBorders>
              <w:top w:val="single" w:sz="2" w:space="0" w:color="auto"/>
              <w:bottom w:val="single" w:sz="4" w:space="0" w:color="auto"/>
            </w:tcBorders>
            <w:vAlign w:val="center"/>
          </w:tcPr>
          <w:p w14:paraId="6A7DD199"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总悬浮颗粒物</w:t>
            </w:r>
          </w:p>
        </w:tc>
        <w:tc>
          <w:tcPr>
            <w:tcW w:w="722" w:type="pct"/>
            <w:vMerge/>
            <w:vAlign w:val="center"/>
          </w:tcPr>
          <w:p w14:paraId="77DEB94A" w14:textId="77777777" w:rsidR="009D12AF" w:rsidRDefault="009D12AF">
            <w:pPr>
              <w:spacing w:line="240" w:lineRule="auto"/>
              <w:ind w:firstLineChars="0" w:firstLine="0"/>
              <w:jc w:val="center"/>
              <w:rPr>
                <w:rFonts w:ascii="Times New Roman" w:hAnsi="Times New Roman"/>
                <w:sz w:val="21"/>
                <w:highlight w:val="yellow"/>
              </w:rPr>
            </w:pPr>
          </w:p>
        </w:tc>
        <w:tc>
          <w:tcPr>
            <w:tcW w:w="1074" w:type="dxa"/>
            <w:vMerge w:val="restart"/>
            <w:vAlign w:val="center"/>
          </w:tcPr>
          <w:p w14:paraId="36773C80" w14:textId="77777777" w:rsidR="009D12AF" w:rsidRDefault="00000000">
            <w:pPr>
              <w:spacing w:line="240" w:lineRule="auto"/>
              <w:ind w:firstLineChars="0" w:firstLine="0"/>
              <w:jc w:val="center"/>
              <w:rPr>
                <w:rFonts w:ascii="Times New Roman" w:hAnsi="Times New Roman"/>
                <w:sz w:val="21"/>
                <w:highlight w:val="yellow"/>
              </w:rPr>
            </w:pPr>
            <w:r>
              <w:rPr>
                <w:rFonts w:ascii="Times New Roman" w:hAnsi="Times New Roman"/>
                <w:sz w:val="21"/>
              </w:rPr>
              <w:t>NE</w:t>
            </w:r>
          </w:p>
        </w:tc>
        <w:tc>
          <w:tcPr>
            <w:tcW w:w="1147" w:type="dxa"/>
            <w:vMerge w:val="restart"/>
            <w:tcBorders>
              <w:right w:val="nil"/>
            </w:tcBorders>
            <w:vAlign w:val="center"/>
          </w:tcPr>
          <w:p w14:paraId="1758D4A4" w14:textId="77777777" w:rsidR="009D12AF" w:rsidRDefault="00000000">
            <w:pPr>
              <w:spacing w:line="240" w:lineRule="auto"/>
              <w:ind w:firstLineChars="0" w:firstLine="0"/>
              <w:jc w:val="center"/>
              <w:rPr>
                <w:rFonts w:ascii="Times New Roman" w:hAnsi="Times New Roman"/>
                <w:sz w:val="21"/>
                <w:highlight w:val="yellow"/>
              </w:rPr>
            </w:pPr>
            <w:r>
              <w:rPr>
                <w:rFonts w:ascii="Times New Roman" w:hAnsi="Times New Roman" w:hint="eastAsia"/>
                <w:kern w:val="0"/>
              </w:rPr>
              <w:t>100</w:t>
            </w:r>
          </w:p>
        </w:tc>
      </w:tr>
      <w:tr w:rsidR="009D12AF" w14:paraId="21FDDD23" w14:textId="77777777">
        <w:trPr>
          <w:trHeight w:val="161"/>
          <w:jc w:val="center"/>
        </w:trPr>
        <w:tc>
          <w:tcPr>
            <w:tcW w:w="685" w:type="pct"/>
            <w:vMerge/>
            <w:tcBorders>
              <w:left w:val="nil"/>
            </w:tcBorders>
            <w:vAlign w:val="center"/>
          </w:tcPr>
          <w:p w14:paraId="185A27BF"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55B39A1C"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662C0833"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4" w:space="0" w:color="auto"/>
            </w:tcBorders>
            <w:vAlign w:val="center"/>
          </w:tcPr>
          <w:p w14:paraId="4243792C"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氨</w:t>
            </w:r>
          </w:p>
        </w:tc>
        <w:tc>
          <w:tcPr>
            <w:tcW w:w="722" w:type="pct"/>
            <w:vMerge/>
            <w:vAlign w:val="center"/>
          </w:tcPr>
          <w:p w14:paraId="318C755C"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747F253B"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4CC44E54"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5A417E65" w14:textId="77777777">
        <w:trPr>
          <w:trHeight w:val="200"/>
          <w:jc w:val="center"/>
        </w:trPr>
        <w:tc>
          <w:tcPr>
            <w:tcW w:w="685" w:type="pct"/>
            <w:vMerge/>
            <w:tcBorders>
              <w:left w:val="nil"/>
            </w:tcBorders>
            <w:vAlign w:val="center"/>
          </w:tcPr>
          <w:p w14:paraId="23193B6B"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1A093816"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6EB97104"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4" w:space="0" w:color="auto"/>
            </w:tcBorders>
            <w:vAlign w:val="center"/>
          </w:tcPr>
          <w:p w14:paraId="5B319C2A"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硫化氢</w:t>
            </w:r>
          </w:p>
        </w:tc>
        <w:tc>
          <w:tcPr>
            <w:tcW w:w="722" w:type="pct"/>
            <w:vMerge/>
            <w:vAlign w:val="center"/>
          </w:tcPr>
          <w:p w14:paraId="1940DEE3"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68B365F5"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455B4A62"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6F35333B" w14:textId="77777777">
        <w:trPr>
          <w:trHeight w:val="136"/>
          <w:jc w:val="center"/>
        </w:trPr>
        <w:tc>
          <w:tcPr>
            <w:tcW w:w="685" w:type="pct"/>
            <w:vMerge/>
            <w:tcBorders>
              <w:left w:val="nil"/>
            </w:tcBorders>
            <w:vAlign w:val="center"/>
          </w:tcPr>
          <w:p w14:paraId="1D9ADF01"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5969FBEF"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51F2E01B"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2" w:space="0" w:color="auto"/>
            </w:tcBorders>
            <w:vAlign w:val="center"/>
          </w:tcPr>
          <w:p w14:paraId="6D8C554E"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臭气浓度</w:t>
            </w:r>
          </w:p>
        </w:tc>
        <w:tc>
          <w:tcPr>
            <w:tcW w:w="722" w:type="pct"/>
            <w:vMerge/>
            <w:vAlign w:val="center"/>
          </w:tcPr>
          <w:p w14:paraId="3BB187F3"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24B93D6F"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7176A217"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615C97C5" w14:textId="77777777">
        <w:trPr>
          <w:trHeight w:val="165"/>
          <w:jc w:val="center"/>
        </w:trPr>
        <w:tc>
          <w:tcPr>
            <w:tcW w:w="685" w:type="pct"/>
            <w:vMerge w:val="restart"/>
            <w:tcBorders>
              <w:left w:val="nil"/>
            </w:tcBorders>
            <w:vAlign w:val="center"/>
          </w:tcPr>
          <w:p w14:paraId="66FB4768"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长石水库</w:t>
            </w:r>
            <w:r>
              <w:rPr>
                <w:rFonts w:ascii="Times New Roman" w:hAnsi="Times New Roman" w:hint="eastAsia"/>
                <w:kern w:val="0"/>
                <w:sz w:val="21"/>
              </w:rPr>
              <w:t>1#</w:t>
            </w:r>
          </w:p>
        </w:tc>
        <w:tc>
          <w:tcPr>
            <w:tcW w:w="836" w:type="pct"/>
            <w:vMerge w:val="restart"/>
            <w:tcBorders>
              <w:right w:val="single" w:sz="4" w:space="0" w:color="auto"/>
            </w:tcBorders>
            <w:vAlign w:val="center"/>
          </w:tcPr>
          <w:p w14:paraId="50EF4D0D"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129.615156</w:t>
            </w:r>
          </w:p>
        </w:tc>
        <w:tc>
          <w:tcPr>
            <w:tcW w:w="775" w:type="pct"/>
            <w:vMerge w:val="restart"/>
            <w:tcBorders>
              <w:left w:val="single" w:sz="4" w:space="0" w:color="auto"/>
            </w:tcBorders>
            <w:vAlign w:val="center"/>
          </w:tcPr>
          <w:p w14:paraId="076BD7A0"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44.717359</w:t>
            </w:r>
          </w:p>
        </w:tc>
        <w:tc>
          <w:tcPr>
            <w:tcW w:w="678" w:type="pct"/>
            <w:tcBorders>
              <w:top w:val="single" w:sz="2" w:space="0" w:color="auto"/>
              <w:bottom w:val="single" w:sz="4" w:space="0" w:color="auto"/>
            </w:tcBorders>
            <w:vAlign w:val="center"/>
          </w:tcPr>
          <w:p w14:paraId="4F3BB7D1"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总悬浮颗粒物</w:t>
            </w:r>
          </w:p>
        </w:tc>
        <w:tc>
          <w:tcPr>
            <w:tcW w:w="722" w:type="pct"/>
            <w:vMerge/>
            <w:vAlign w:val="center"/>
          </w:tcPr>
          <w:p w14:paraId="4107AA96" w14:textId="77777777" w:rsidR="009D12AF" w:rsidRDefault="009D12AF">
            <w:pPr>
              <w:spacing w:line="240" w:lineRule="auto"/>
              <w:ind w:firstLineChars="0" w:firstLine="0"/>
              <w:jc w:val="center"/>
              <w:rPr>
                <w:rFonts w:ascii="Times New Roman" w:hAnsi="Times New Roman"/>
                <w:sz w:val="21"/>
                <w:highlight w:val="yellow"/>
              </w:rPr>
            </w:pPr>
          </w:p>
        </w:tc>
        <w:tc>
          <w:tcPr>
            <w:tcW w:w="1074" w:type="dxa"/>
            <w:vMerge w:val="restart"/>
            <w:vAlign w:val="center"/>
          </w:tcPr>
          <w:p w14:paraId="5E281847" w14:textId="77777777" w:rsidR="009D12AF" w:rsidRDefault="00000000">
            <w:pPr>
              <w:spacing w:line="240" w:lineRule="auto"/>
              <w:ind w:firstLineChars="0" w:firstLine="0"/>
              <w:jc w:val="center"/>
              <w:rPr>
                <w:rFonts w:ascii="Times New Roman" w:hAnsi="Times New Roman"/>
                <w:sz w:val="21"/>
                <w:highlight w:val="yellow"/>
              </w:rPr>
            </w:pPr>
            <w:r>
              <w:rPr>
                <w:rFonts w:ascii="Times New Roman" w:hAnsi="Times New Roman"/>
                <w:sz w:val="21"/>
              </w:rPr>
              <w:t>--</w:t>
            </w:r>
          </w:p>
        </w:tc>
        <w:tc>
          <w:tcPr>
            <w:tcW w:w="1147" w:type="dxa"/>
            <w:vMerge w:val="restart"/>
            <w:tcBorders>
              <w:right w:val="nil"/>
            </w:tcBorders>
            <w:vAlign w:val="center"/>
          </w:tcPr>
          <w:p w14:paraId="43384930" w14:textId="77777777" w:rsidR="009D12AF" w:rsidRDefault="00000000">
            <w:pPr>
              <w:spacing w:line="240" w:lineRule="auto"/>
              <w:ind w:firstLineChars="0" w:firstLine="0"/>
              <w:jc w:val="center"/>
              <w:rPr>
                <w:rFonts w:ascii="Times New Roman" w:hAnsi="Times New Roman"/>
                <w:sz w:val="21"/>
                <w:highlight w:val="yellow"/>
              </w:rPr>
            </w:pPr>
            <w:r>
              <w:rPr>
                <w:rFonts w:ascii="Times New Roman" w:hAnsi="Times New Roman"/>
                <w:sz w:val="21"/>
              </w:rPr>
              <w:t>--</w:t>
            </w:r>
          </w:p>
        </w:tc>
      </w:tr>
      <w:tr w:rsidR="009D12AF" w14:paraId="08F62CDD" w14:textId="77777777">
        <w:trPr>
          <w:trHeight w:val="192"/>
          <w:jc w:val="center"/>
        </w:trPr>
        <w:tc>
          <w:tcPr>
            <w:tcW w:w="685" w:type="pct"/>
            <w:vMerge/>
            <w:tcBorders>
              <w:left w:val="nil"/>
            </w:tcBorders>
            <w:vAlign w:val="center"/>
          </w:tcPr>
          <w:p w14:paraId="38373888"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39809CB0"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1607D944"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4" w:space="0" w:color="auto"/>
            </w:tcBorders>
            <w:vAlign w:val="center"/>
          </w:tcPr>
          <w:p w14:paraId="4626CA90"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氨</w:t>
            </w:r>
          </w:p>
        </w:tc>
        <w:tc>
          <w:tcPr>
            <w:tcW w:w="722" w:type="pct"/>
            <w:vMerge/>
            <w:vAlign w:val="center"/>
          </w:tcPr>
          <w:p w14:paraId="5935CD61"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0014DEA1"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3BAD788A"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3F3B9D75" w14:textId="77777777">
        <w:trPr>
          <w:trHeight w:val="281"/>
          <w:jc w:val="center"/>
        </w:trPr>
        <w:tc>
          <w:tcPr>
            <w:tcW w:w="685" w:type="pct"/>
            <w:vMerge/>
            <w:tcBorders>
              <w:left w:val="nil"/>
            </w:tcBorders>
            <w:vAlign w:val="center"/>
          </w:tcPr>
          <w:p w14:paraId="6723DC85"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65CFCA08"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6F868E70"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4" w:space="0" w:color="auto"/>
            </w:tcBorders>
            <w:vAlign w:val="center"/>
          </w:tcPr>
          <w:p w14:paraId="1813505B"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硫化氢</w:t>
            </w:r>
          </w:p>
        </w:tc>
        <w:tc>
          <w:tcPr>
            <w:tcW w:w="722" w:type="pct"/>
            <w:vMerge/>
            <w:vAlign w:val="center"/>
          </w:tcPr>
          <w:p w14:paraId="37FE7BAA"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38DB02F9"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450DD89B"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3FC7539F" w14:textId="77777777">
        <w:trPr>
          <w:trHeight w:val="55"/>
          <w:jc w:val="center"/>
        </w:trPr>
        <w:tc>
          <w:tcPr>
            <w:tcW w:w="685" w:type="pct"/>
            <w:vMerge/>
            <w:tcBorders>
              <w:left w:val="nil"/>
            </w:tcBorders>
            <w:vAlign w:val="center"/>
          </w:tcPr>
          <w:p w14:paraId="6D14619A"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41F13174"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5D03072E"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2" w:space="0" w:color="auto"/>
            </w:tcBorders>
            <w:vAlign w:val="center"/>
          </w:tcPr>
          <w:p w14:paraId="583759F5"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臭气浓度</w:t>
            </w:r>
          </w:p>
        </w:tc>
        <w:tc>
          <w:tcPr>
            <w:tcW w:w="722" w:type="pct"/>
            <w:vMerge/>
            <w:vAlign w:val="center"/>
          </w:tcPr>
          <w:p w14:paraId="5E82FB92"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61F9FBA2"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4E376FC2"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44463194" w14:textId="77777777">
        <w:trPr>
          <w:trHeight w:val="131"/>
          <w:jc w:val="center"/>
        </w:trPr>
        <w:tc>
          <w:tcPr>
            <w:tcW w:w="685" w:type="pct"/>
            <w:vMerge w:val="restart"/>
            <w:tcBorders>
              <w:left w:val="nil"/>
            </w:tcBorders>
            <w:vAlign w:val="center"/>
          </w:tcPr>
          <w:p w14:paraId="5CDFD50D"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lastRenderedPageBreak/>
              <w:t>长石水库</w:t>
            </w:r>
            <w:r>
              <w:rPr>
                <w:rFonts w:ascii="Times New Roman" w:hAnsi="Times New Roman" w:hint="eastAsia"/>
                <w:kern w:val="0"/>
                <w:sz w:val="21"/>
              </w:rPr>
              <w:t>2#</w:t>
            </w:r>
          </w:p>
        </w:tc>
        <w:tc>
          <w:tcPr>
            <w:tcW w:w="836" w:type="pct"/>
            <w:vMerge w:val="restart"/>
            <w:tcBorders>
              <w:right w:val="single" w:sz="4" w:space="0" w:color="auto"/>
            </w:tcBorders>
            <w:vAlign w:val="center"/>
          </w:tcPr>
          <w:p w14:paraId="11FD28D8"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129.616830</w:t>
            </w:r>
          </w:p>
        </w:tc>
        <w:tc>
          <w:tcPr>
            <w:tcW w:w="775" w:type="pct"/>
            <w:vMerge w:val="restart"/>
            <w:tcBorders>
              <w:left w:val="single" w:sz="4" w:space="0" w:color="auto"/>
            </w:tcBorders>
            <w:vAlign w:val="center"/>
          </w:tcPr>
          <w:p w14:paraId="3814A722"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44.718925</w:t>
            </w:r>
          </w:p>
        </w:tc>
        <w:tc>
          <w:tcPr>
            <w:tcW w:w="678" w:type="pct"/>
            <w:tcBorders>
              <w:top w:val="single" w:sz="2" w:space="0" w:color="auto"/>
              <w:bottom w:val="single" w:sz="4" w:space="0" w:color="auto"/>
            </w:tcBorders>
            <w:vAlign w:val="center"/>
          </w:tcPr>
          <w:p w14:paraId="0B5C93D4"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总悬浮颗粒物</w:t>
            </w:r>
          </w:p>
        </w:tc>
        <w:tc>
          <w:tcPr>
            <w:tcW w:w="722" w:type="pct"/>
            <w:vMerge/>
            <w:vAlign w:val="center"/>
          </w:tcPr>
          <w:p w14:paraId="799FE2A3" w14:textId="77777777" w:rsidR="009D12AF" w:rsidRDefault="009D12AF">
            <w:pPr>
              <w:spacing w:line="240" w:lineRule="auto"/>
              <w:ind w:firstLineChars="0" w:firstLine="0"/>
              <w:jc w:val="center"/>
              <w:rPr>
                <w:rFonts w:ascii="Times New Roman" w:hAnsi="Times New Roman"/>
                <w:sz w:val="21"/>
                <w:highlight w:val="yellow"/>
              </w:rPr>
            </w:pPr>
          </w:p>
        </w:tc>
        <w:tc>
          <w:tcPr>
            <w:tcW w:w="1074" w:type="dxa"/>
            <w:vMerge w:val="restart"/>
            <w:vAlign w:val="center"/>
          </w:tcPr>
          <w:p w14:paraId="05C67104" w14:textId="77777777" w:rsidR="009D12AF" w:rsidRDefault="00000000">
            <w:pPr>
              <w:spacing w:line="240" w:lineRule="auto"/>
              <w:ind w:firstLineChars="0" w:firstLine="0"/>
              <w:jc w:val="center"/>
              <w:rPr>
                <w:rFonts w:ascii="Times New Roman" w:hAnsi="Times New Roman"/>
                <w:sz w:val="21"/>
                <w:highlight w:val="yellow"/>
              </w:rPr>
            </w:pPr>
            <w:r>
              <w:rPr>
                <w:rFonts w:ascii="Times New Roman" w:hAnsi="Times New Roman"/>
                <w:sz w:val="21"/>
              </w:rPr>
              <w:t>NE</w:t>
            </w:r>
          </w:p>
        </w:tc>
        <w:tc>
          <w:tcPr>
            <w:tcW w:w="1147" w:type="dxa"/>
            <w:vMerge w:val="restart"/>
            <w:tcBorders>
              <w:right w:val="nil"/>
            </w:tcBorders>
            <w:vAlign w:val="center"/>
          </w:tcPr>
          <w:p w14:paraId="28EA6C37" w14:textId="77777777" w:rsidR="009D12AF" w:rsidRDefault="00000000">
            <w:pPr>
              <w:spacing w:line="240" w:lineRule="auto"/>
              <w:ind w:firstLineChars="0" w:firstLine="0"/>
              <w:jc w:val="center"/>
              <w:rPr>
                <w:rFonts w:ascii="Times New Roman" w:hAnsi="Times New Roman"/>
                <w:sz w:val="21"/>
                <w:highlight w:val="yellow"/>
              </w:rPr>
            </w:pPr>
            <w:r>
              <w:rPr>
                <w:rFonts w:ascii="Times New Roman" w:hAnsi="Times New Roman" w:hint="eastAsia"/>
                <w:kern w:val="0"/>
              </w:rPr>
              <w:t>100</w:t>
            </w:r>
          </w:p>
        </w:tc>
      </w:tr>
      <w:tr w:rsidR="009D12AF" w14:paraId="492A71E3" w14:textId="77777777">
        <w:trPr>
          <w:trHeight w:val="145"/>
          <w:jc w:val="center"/>
        </w:trPr>
        <w:tc>
          <w:tcPr>
            <w:tcW w:w="685" w:type="pct"/>
            <w:vMerge/>
            <w:tcBorders>
              <w:left w:val="nil"/>
            </w:tcBorders>
            <w:vAlign w:val="center"/>
          </w:tcPr>
          <w:p w14:paraId="53E8CC10"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24E95EBA"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27E3C20A"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4" w:space="0" w:color="auto"/>
            </w:tcBorders>
            <w:vAlign w:val="center"/>
          </w:tcPr>
          <w:p w14:paraId="6797C383"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氨</w:t>
            </w:r>
          </w:p>
        </w:tc>
        <w:tc>
          <w:tcPr>
            <w:tcW w:w="722" w:type="pct"/>
            <w:vMerge/>
            <w:vAlign w:val="center"/>
          </w:tcPr>
          <w:p w14:paraId="4434562D"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26DAD12B"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339729C6"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3FC4691D" w14:textId="77777777">
        <w:trPr>
          <w:trHeight w:val="209"/>
          <w:jc w:val="center"/>
        </w:trPr>
        <w:tc>
          <w:tcPr>
            <w:tcW w:w="685" w:type="pct"/>
            <w:vMerge/>
            <w:tcBorders>
              <w:left w:val="nil"/>
            </w:tcBorders>
            <w:vAlign w:val="center"/>
          </w:tcPr>
          <w:p w14:paraId="7C5FECF3"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07121E2B"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5D1BFCB6"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4" w:space="0" w:color="auto"/>
            </w:tcBorders>
            <w:vAlign w:val="center"/>
          </w:tcPr>
          <w:p w14:paraId="15BAA896"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硫化氢</w:t>
            </w:r>
          </w:p>
        </w:tc>
        <w:tc>
          <w:tcPr>
            <w:tcW w:w="722" w:type="pct"/>
            <w:vMerge/>
            <w:vAlign w:val="center"/>
          </w:tcPr>
          <w:p w14:paraId="34E24D7F"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68C3D428"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3BAEE643"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0902C5D2" w14:textId="77777777">
        <w:trPr>
          <w:trHeight w:val="127"/>
          <w:jc w:val="center"/>
        </w:trPr>
        <w:tc>
          <w:tcPr>
            <w:tcW w:w="685" w:type="pct"/>
            <w:vMerge/>
            <w:tcBorders>
              <w:left w:val="nil"/>
            </w:tcBorders>
            <w:vAlign w:val="center"/>
          </w:tcPr>
          <w:p w14:paraId="6D015007"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66681C38"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430F7DF7"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2" w:space="0" w:color="auto"/>
            </w:tcBorders>
            <w:vAlign w:val="center"/>
          </w:tcPr>
          <w:p w14:paraId="44603C9B"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臭气浓度</w:t>
            </w:r>
          </w:p>
        </w:tc>
        <w:tc>
          <w:tcPr>
            <w:tcW w:w="722" w:type="pct"/>
            <w:vMerge/>
            <w:vAlign w:val="center"/>
          </w:tcPr>
          <w:p w14:paraId="3B01D1E9"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4FDEBC0C"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2EE1017C"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1E5AD090" w14:textId="77777777">
        <w:trPr>
          <w:trHeight w:val="170"/>
          <w:jc w:val="center"/>
        </w:trPr>
        <w:tc>
          <w:tcPr>
            <w:tcW w:w="685" w:type="pct"/>
            <w:vMerge w:val="restart"/>
            <w:tcBorders>
              <w:left w:val="nil"/>
            </w:tcBorders>
            <w:vAlign w:val="center"/>
          </w:tcPr>
          <w:p w14:paraId="4A6BBF9D"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向阳水电站</w:t>
            </w:r>
            <w:r>
              <w:rPr>
                <w:rFonts w:ascii="Times New Roman" w:hAnsi="Times New Roman" w:hint="eastAsia"/>
                <w:kern w:val="0"/>
                <w:sz w:val="21"/>
              </w:rPr>
              <w:t>1#</w:t>
            </w:r>
          </w:p>
        </w:tc>
        <w:tc>
          <w:tcPr>
            <w:tcW w:w="836" w:type="pct"/>
            <w:vMerge w:val="restart"/>
            <w:tcBorders>
              <w:right w:val="single" w:sz="4" w:space="0" w:color="auto"/>
            </w:tcBorders>
            <w:vAlign w:val="center"/>
          </w:tcPr>
          <w:p w14:paraId="22A2B7F6"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129.291834</w:t>
            </w:r>
          </w:p>
        </w:tc>
        <w:tc>
          <w:tcPr>
            <w:tcW w:w="775" w:type="pct"/>
            <w:vMerge w:val="restart"/>
            <w:tcBorders>
              <w:left w:val="single" w:sz="4" w:space="0" w:color="auto"/>
            </w:tcBorders>
            <w:vAlign w:val="center"/>
          </w:tcPr>
          <w:p w14:paraId="57782E9C"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44.564843</w:t>
            </w:r>
          </w:p>
        </w:tc>
        <w:tc>
          <w:tcPr>
            <w:tcW w:w="678" w:type="pct"/>
            <w:tcBorders>
              <w:top w:val="single" w:sz="2" w:space="0" w:color="auto"/>
              <w:bottom w:val="single" w:sz="4" w:space="0" w:color="auto"/>
            </w:tcBorders>
            <w:vAlign w:val="center"/>
          </w:tcPr>
          <w:p w14:paraId="38A0F322"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总悬浮颗粒物</w:t>
            </w:r>
          </w:p>
        </w:tc>
        <w:tc>
          <w:tcPr>
            <w:tcW w:w="722" w:type="pct"/>
            <w:vMerge/>
            <w:vAlign w:val="center"/>
          </w:tcPr>
          <w:p w14:paraId="119C3EBD" w14:textId="77777777" w:rsidR="009D12AF" w:rsidRDefault="009D12AF">
            <w:pPr>
              <w:spacing w:line="240" w:lineRule="auto"/>
              <w:ind w:firstLineChars="0" w:firstLine="0"/>
              <w:jc w:val="center"/>
              <w:rPr>
                <w:rFonts w:ascii="Times New Roman" w:hAnsi="Times New Roman"/>
                <w:sz w:val="21"/>
                <w:highlight w:val="yellow"/>
              </w:rPr>
            </w:pPr>
          </w:p>
        </w:tc>
        <w:tc>
          <w:tcPr>
            <w:tcW w:w="1074" w:type="dxa"/>
            <w:vMerge w:val="restart"/>
            <w:vAlign w:val="center"/>
          </w:tcPr>
          <w:p w14:paraId="321F94E7" w14:textId="77777777" w:rsidR="009D12AF" w:rsidRDefault="00000000">
            <w:pPr>
              <w:spacing w:line="240" w:lineRule="auto"/>
              <w:ind w:firstLineChars="0" w:firstLine="0"/>
              <w:jc w:val="center"/>
              <w:rPr>
                <w:rFonts w:ascii="Times New Roman" w:hAnsi="Times New Roman"/>
                <w:sz w:val="21"/>
                <w:highlight w:val="yellow"/>
              </w:rPr>
            </w:pPr>
            <w:r>
              <w:rPr>
                <w:rFonts w:ascii="Times New Roman" w:hAnsi="Times New Roman"/>
                <w:sz w:val="21"/>
              </w:rPr>
              <w:t>--</w:t>
            </w:r>
          </w:p>
        </w:tc>
        <w:tc>
          <w:tcPr>
            <w:tcW w:w="1147" w:type="dxa"/>
            <w:vMerge w:val="restart"/>
            <w:tcBorders>
              <w:right w:val="nil"/>
            </w:tcBorders>
            <w:vAlign w:val="center"/>
          </w:tcPr>
          <w:p w14:paraId="00A03D42" w14:textId="77777777" w:rsidR="009D12AF" w:rsidRDefault="00000000">
            <w:pPr>
              <w:spacing w:line="240" w:lineRule="auto"/>
              <w:ind w:firstLineChars="0" w:firstLine="0"/>
              <w:jc w:val="center"/>
              <w:rPr>
                <w:rFonts w:ascii="Times New Roman" w:hAnsi="Times New Roman"/>
                <w:sz w:val="21"/>
                <w:highlight w:val="yellow"/>
              </w:rPr>
            </w:pPr>
            <w:r>
              <w:rPr>
                <w:rFonts w:ascii="Times New Roman" w:hAnsi="Times New Roman"/>
                <w:sz w:val="21"/>
              </w:rPr>
              <w:t>--</w:t>
            </w:r>
          </w:p>
        </w:tc>
      </w:tr>
      <w:tr w:rsidR="009D12AF" w14:paraId="05ED1892" w14:textId="77777777">
        <w:trPr>
          <w:trHeight w:val="149"/>
          <w:jc w:val="center"/>
        </w:trPr>
        <w:tc>
          <w:tcPr>
            <w:tcW w:w="685" w:type="pct"/>
            <w:vMerge/>
            <w:tcBorders>
              <w:left w:val="nil"/>
            </w:tcBorders>
            <w:vAlign w:val="center"/>
          </w:tcPr>
          <w:p w14:paraId="1CFFF803"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22DA45F3"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2ABA359C"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4" w:space="0" w:color="auto"/>
            </w:tcBorders>
            <w:vAlign w:val="center"/>
          </w:tcPr>
          <w:p w14:paraId="44A777F4"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氨</w:t>
            </w:r>
          </w:p>
        </w:tc>
        <w:tc>
          <w:tcPr>
            <w:tcW w:w="722" w:type="pct"/>
            <w:vMerge/>
            <w:vAlign w:val="center"/>
          </w:tcPr>
          <w:p w14:paraId="67B19867"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233097F6"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1A428B77"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28433D79" w14:textId="77777777">
        <w:trPr>
          <w:trHeight w:val="161"/>
          <w:jc w:val="center"/>
        </w:trPr>
        <w:tc>
          <w:tcPr>
            <w:tcW w:w="685" w:type="pct"/>
            <w:vMerge/>
            <w:tcBorders>
              <w:left w:val="nil"/>
            </w:tcBorders>
            <w:vAlign w:val="center"/>
          </w:tcPr>
          <w:p w14:paraId="73D43F53"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308E4C63"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5E1547E8"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4" w:space="0" w:color="auto"/>
            </w:tcBorders>
            <w:vAlign w:val="center"/>
          </w:tcPr>
          <w:p w14:paraId="7174763B"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硫化氢</w:t>
            </w:r>
          </w:p>
        </w:tc>
        <w:tc>
          <w:tcPr>
            <w:tcW w:w="722" w:type="pct"/>
            <w:vMerge/>
            <w:vAlign w:val="center"/>
          </w:tcPr>
          <w:p w14:paraId="1BE8A54E"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471A5C28"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594E348F"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6EA66A88" w14:textId="77777777">
        <w:trPr>
          <w:trHeight w:val="175"/>
          <w:jc w:val="center"/>
        </w:trPr>
        <w:tc>
          <w:tcPr>
            <w:tcW w:w="685" w:type="pct"/>
            <w:vMerge/>
            <w:tcBorders>
              <w:left w:val="nil"/>
            </w:tcBorders>
            <w:vAlign w:val="center"/>
          </w:tcPr>
          <w:p w14:paraId="369A1789"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5085AEAC"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338AD666"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2" w:space="0" w:color="auto"/>
            </w:tcBorders>
            <w:vAlign w:val="center"/>
          </w:tcPr>
          <w:p w14:paraId="704FDFB1"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臭气浓度</w:t>
            </w:r>
          </w:p>
        </w:tc>
        <w:tc>
          <w:tcPr>
            <w:tcW w:w="722" w:type="pct"/>
            <w:vMerge/>
            <w:vAlign w:val="center"/>
          </w:tcPr>
          <w:p w14:paraId="434584EF"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5D099393"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536F4492"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2E91FF1D" w14:textId="77777777">
        <w:trPr>
          <w:trHeight w:val="124"/>
          <w:jc w:val="center"/>
        </w:trPr>
        <w:tc>
          <w:tcPr>
            <w:tcW w:w="685" w:type="pct"/>
            <w:vMerge w:val="restart"/>
            <w:tcBorders>
              <w:left w:val="nil"/>
            </w:tcBorders>
            <w:vAlign w:val="center"/>
          </w:tcPr>
          <w:p w14:paraId="0151C6EA"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向阳水电站</w:t>
            </w:r>
            <w:r>
              <w:rPr>
                <w:rFonts w:ascii="Times New Roman" w:hAnsi="Times New Roman" w:hint="eastAsia"/>
                <w:kern w:val="0"/>
                <w:sz w:val="21"/>
              </w:rPr>
              <w:t>2#</w:t>
            </w:r>
          </w:p>
        </w:tc>
        <w:tc>
          <w:tcPr>
            <w:tcW w:w="836" w:type="pct"/>
            <w:vMerge w:val="restart"/>
            <w:tcBorders>
              <w:right w:val="single" w:sz="4" w:space="0" w:color="auto"/>
            </w:tcBorders>
            <w:vAlign w:val="center"/>
          </w:tcPr>
          <w:p w14:paraId="3948BAE0"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129.292864</w:t>
            </w:r>
          </w:p>
        </w:tc>
        <w:tc>
          <w:tcPr>
            <w:tcW w:w="775" w:type="pct"/>
            <w:vMerge w:val="restart"/>
            <w:tcBorders>
              <w:left w:val="single" w:sz="4" w:space="0" w:color="auto"/>
            </w:tcBorders>
            <w:vAlign w:val="center"/>
          </w:tcPr>
          <w:p w14:paraId="3636023C"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44.566495</w:t>
            </w:r>
          </w:p>
        </w:tc>
        <w:tc>
          <w:tcPr>
            <w:tcW w:w="678" w:type="pct"/>
            <w:tcBorders>
              <w:top w:val="single" w:sz="2" w:space="0" w:color="auto"/>
              <w:bottom w:val="single" w:sz="4" w:space="0" w:color="auto"/>
            </w:tcBorders>
            <w:vAlign w:val="center"/>
          </w:tcPr>
          <w:p w14:paraId="51009B73"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总悬浮颗粒物</w:t>
            </w:r>
          </w:p>
        </w:tc>
        <w:tc>
          <w:tcPr>
            <w:tcW w:w="722" w:type="pct"/>
            <w:vMerge/>
            <w:vAlign w:val="center"/>
          </w:tcPr>
          <w:p w14:paraId="1F587AF3" w14:textId="77777777" w:rsidR="009D12AF" w:rsidRDefault="009D12AF">
            <w:pPr>
              <w:spacing w:line="240" w:lineRule="auto"/>
              <w:ind w:firstLineChars="0" w:firstLine="0"/>
              <w:jc w:val="center"/>
              <w:rPr>
                <w:rFonts w:ascii="Times New Roman" w:hAnsi="Times New Roman"/>
                <w:sz w:val="21"/>
                <w:highlight w:val="yellow"/>
              </w:rPr>
            </w:pPr>
          </w:p>
        </w:tc>
        <w:tc>
          <w:tcPr>
            <w:tcW w:w="1074" w:type="dxa"/>
            <w:vMerge w:val="restart"/>
            <w:vAlign w:val="center"/>
          </w:tcPr>
          <w:p w14:paraId="20716C89" w14:textId="77777777" w:rsidR="009D12AF" w:rsidRDefault="00000000">
            <w:pPr>
              <w:spacing w:line="240" w:lineRule="auto"/>
              <w:ind w:firstLineChars="0" w:firstLine="0"/>
              <w:jc w:val="center"/>
              <w:rPr>
                <w:rFonts w:ascii="Times New Roman" w:hAnsi="Times New Roman"/>
                <w:sz w:val="21"/>
                <w:highlight w:val="yellow"/>
              </w:rPr>
            </w:pPr>
            <w:r>
              <w:rPr>
                <w:rFonts w:ascii="Times New Roman" w:hAnsi="Times New Roman"/>
                <w:sz w:val="21"/>
              </w:rPr>
              <w:t>NE</w:t>
            </w:r>
          </w:p>
        </w:tc>
        <w:tc>
          <w:tcPr>
            <w:tcW w:w="1147" w:type="dxa"/>
            <w:vMerge w:val="restart"/>
            <w:tcBorders>
              <w:right w:val="nil"/>
            </w:tcBorders>
            <w:vAlign w:val="center"/>
          </w:tcPr>
          <w:p w14:paraId="3A5D7659" w14:textId="77777777" w:rsidR="009D12AF" w:rsidRDefault="00000000">
            <w:pPr>
              <w:spacing w:line="240" w:lineRule="auto"/>
              <w:ind w:firstLineChars="0" w:firstLine="0"/>
              <w:jc w:val="center"/>
              <w:rPr>
                <w:rFonts w:ascii="Times New Roman" w:hAnsi="Times New Roman"/>
                <w:sz w:val="21"/>
                <w:highlight w:val="yellow"/>
              </w:rPr>
            </w:pPr>
            <w:r>
              <w:rPr>
                <w:rFonts w:ascii="Times New Roman" w:hAnsi="Times New Roman" w:hint="eastAsia"/>
                <w:kern w:val="0"/>
              </w:rPr>
              <w:t>100</w:t>
            </w:r>
          </w:p>
        </w:tc>
      </w:tr>
      <w:tr w:rsidR="009D12AF" w14:paraId="336EDEF3" w14:textId="77777777">
        <w:trPr>
          <w:trHeight w:val="163"/>
          <w:jc w:val="center"/>
        </w:trPr>
        <w:tc>
          <w:tcPr>
            <w:tcW w:w="685" w:type="pct"/>
            <w:vMerge/>
            <w:tcBorders>
              <w:left w:val="nil"/>
            </w:tcBorders>
            <w:vAlign w:val="center"/>
          </w:tcPr>
          <w:p w14:paraId="31F4B9A7"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14830566"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0172E9B5"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4" w:space="0" w:color="auto"/>
            </w:tcBorders>
            <w:vAlign w:val="center"/>
          </w:tcPr>
          <w:p w14:paraId="307C7B74"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kern w:val="0"/>
                <w:sz w:val="21"/>
              </w:rPr>
              <w:t>氨</w:t>
            </w:r>
          </w:p>
        </w:tc>
        <w:tc>
          <w:tcPr>
            <w:tcW w:w="722" w:type="pct"/>
            <w:vMerge/>
            <w:vAlign w:val="center"/>
          </w:tcPr>
          <w:p w14:paraId="3298DB8C"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2D2B5700"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72B5619E"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2B62802D" w14:textId="77777777">
        <w:trPr>
          <w:trHeight w:val="227"/>
          <w:jc w:val="center"/>
        </w:trPr>
        <w:tc>
          <w:tcPr>
            <w:tcW w:w="685" w:type="pct"/>
            <w:vMerge/>
            <w:tcBorders>
              <w:left w:val="nil"/>
            </w:tcBorders>
            <w:vAlign w:val="center"/>
          </w:tcPr>
          <w:p w14:paraId="3F6BEBC4"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right w:val="single" w:sz="4" w:space="0" w:color="auto"/>
            </w:tcBorders>
            <w:vAlign w:val="center"/>
          </w:tcPr>
          <w:p w14:paraId="2A408FBA"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tcBorders>
            <w:vAlign w:val="center"/>
          </w:tcPr>
          <w:p w14:paraId="09D69E07"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4" w:space="0" w:color="auto"/>
            </w:tcBorders>
            <w:vAlign w:val="center"/>
          </w:tcPr>
          <w:p w14:paraId="097922A7"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硫化氢</w:t>
            </w:r>
          </w:p>
        </w:tc>
        <w:tc>
          <w:tcPr>
            <w:tcW w:w="722" w:type="pct"/>
            <w:vMerge/>
            <w:vAlign w:val="center"/>
          </w:tcPr>
          <w:p w14:paraId="07330550"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vAlign w:val="center"/>
          </w:tcPr>
          <w:p w14:paraId="4B5F7AB8"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right w:val="nil"/>
            </w:tcBorders>
            <w:vAlign w:val="center"/>
          </w:tcPr>
          <w:p w14:paraId="28F3C893" w14:textId="77777777" w:rsidR="009D12AF" w:rsidRDefault="009D12AF">
            <w:pPr>
              <w:spacing w:line="240" w:lineRule="auto"/>
              <w:ind w:firstLineChars="0" w:firstLine="0"/>
              <w:jc w:val="center"/>
              <w:rPr>
                <w:rFonts w:ascii="Times New Roman" w:hAnsi="Times New Roman"/>
                <w:sz w:val="21"/>
                <w:highlight w:val="yellow"/>
              </w:rPr>
            </w:pPr>
          </w:p>
        </w:tc>
      </w:tr>
      <w:tr w:rsidR="009D12AF" w14:paraId="0F74C6E2" w14:textId="77777777">
        <w:trPr>
          <w:trHeight w:val="139"/>
          <w:jc w:val="center"/>
        </w:trPr>
        <w:tc>
          <w:tcPr>
            <w:tcW w:w="685" w:type="pct"/>
            <w:vMerge/>
            <w:tcBorders>
              <w:left w:val="nil"/>
              <w:bottom w:val="single" w:sz="12" w:space="0" w:color="000000"/>
            </w:tcBorders>
            <w:vAlign w:val="center"/>
          </w:tcPr>
          <w:p w14:paraId="7CDC10D7" w14:textId="77777777" w:rsidR="009D12AF" w:rsidRDefault="009D12AF">
            <w:pPr>
              <w:spacing w:line="240" w:lineRule="auto"/>
              <w:ind w:firstLineChars="0" w:firstLine="0"/>
              <w:jc w:val="center"/>
              <w:rPr>
                <w:rFonts w:ascii="Times New Roman" w:hAnsi="Times New Roman"/>
                <w:kern w:val="0"/>
                <w:sz w:val="21"/>
              </w:rPr>
            </w:pPr>
          </w:p>
        </w:tc>
        <w:tc>
          <w:tcPr>
            <w:tcW w:w="836" w:type="pct"/>
            <w:vMerge/>
            <w:tcBorders>
              <w:bottom w:val="single" w:sz="12" w:space="0" w:color="000000"/>
              <w:right w:val="single" w:sz="4" w:space="0" w:color="auto"/>
            </w:tcBorders>
            <w:vAlign w:val="center"/>
          </w:tcPr>
          <w:p w14:paraId="217F07C9" w14:textId="77777777" w:rsidR="009D12AF" w:rsidRDefault="009D12AF">
            <w:pPr>
              <w:spacing w:line="240" w:lineRule="auto"/>
              <w:ind w:firstLineChars="0" w:firstLine="0"/>
              <w:jc w:val="center"/>
              <w:rPr>
                <w:rFonts w:ascii="Times New Roman" w:hAnsi="Times New Roman"/>
                <w:kern w:val="0"/>
                <w:sz w:val="21"/>
              </w:rPr>
            </w:pPr>
          </w:p>
        </w:tc>
        <w:tc>
          <w:tcPr>
            <w:tcW w:w="775" w:type="pct"/>
            <w:vMerge/>
            <w:tcBorders>
              <w:left w:val="single" w:sz="4" w:space="0" w:color="auto"/>
              <w:bottom w:val="single" w:sz="12" w:space="0" w:color="000000"/>
            </w:tcBorders>
            <w:vAlign w:val="center"/>
          </w:tcPr>
          <w:p w14:paraId="215A7147" w14:textId="77777777" w:rsidR="009D12AF" w:rsidRDefault="009D12AF">
            <w:pPr>
              <w:spacing w:line="240" w:lineRule="auto"/>
              <w:ind w:firstLineChars="0" w:firstLine="0"/>
              <w:jc w:val="center"/>
              <w:rPr>
                <w:rFonts w:ascii="Times New Roman" w:hAnsi="Times New Roman"/>
                <w:kern w:val="0"/>
                <w:sz w:val="21"/>
              </w:rPr>
            </w:pPr>
          </w:p>
        </w:tc>
        <w:tc>
          <w:tcPr>
            <w:tcW w:w="678" w:type="pct"/>
            <w:tcBorders>
              <w:top w:val="single" w:sz="4" w:space="0" w:color="auto"/>
              <w:bottom w:val="single" w:sz="12" w:space="0" w:color="000000"/>
            </w:tcBorders>
            <w:vAlign w:val="center"/>
          </w:tcPr>
          <w:p w14:paraId="25B880AB" w14:textId="77777777" w:rsidR="009D12AF" w:rsidRDefault="00000000">
            <w:pPr>
              <w:spacing w:line="240" w:lineRule="auto"/>
              <w:ind w:firstLineChars="0" w:firstLine="0"/>
              <w:jc w:val="center"/>
              <w:rPr>
                <w:rFonts w:ascii="Times New Roman" w:hAnsi="Times New Roman"/>
                <w:kern w:val="0"/>
                <w:sz w:val="21"/>
              </w:rPr>
            </w:pPr>
            <w:r>
              <w:rPr>
                <w:rFonts w:ascii="Times New Roman" w:hAnsi="Times New Roman" w:hint="eastAsia"/>
                <w:kern w:val="0"/>
                <w:sz w:val="21"/>
              </w:rPr>
              <w:t>臭气浓度</w:t>
            </w:r>
          </w:p>
        </w:tc>
        <w:tc>
          <w:tcPr>
            <w:tcW w:w="722" w:type="pct"/>
            <w:vMerge/>
            <w:tcBorders>
              <w:bottom w:val="single" w:sz="12" w:space="0" w:color="000000"/>
            </w:tcBorders>
            <w:vAlign w:val="center"/>
          </w:tcPr>
          <w:p w14:paraId="322CEBBA" w14:textId="77777777" w:rsidR="009D12AF" w:rsidRDefault="009D12AF">
            <w:pPr>
              <w:spacing w:line="240" w:lineRule="auto"/>
              <w:ind w:firstLineChars="0" w:firstLine="0"/>
              <w:jc w:val="center"/>
              <w:rPr>
                <w:rFonts w:ascii="Times New Roman" w:hAnsi="Times New Roman"/>
                <w:sz w:val="21"/>
                <w:highlight w:val="yellow"/>
              </w:rPr>
            </w:pPr>
          </w:p>
        </w:tc>
        <w:tc>
          <w:tcPr>
            <w:tcW w:w="630" w:type="pct"/>
            <w:vMerge/>
            <w:tcBorders>
              <w:bottom w:val="single" w:sz="12" w:space="0" w:color="000000"/>
            </w:tcBorders>
            <w:vAlign w:val="center"/>
          </w:tcPr>
          <w:p w14:paraId="005BFC9D" w14:textId="77777777" w:rsidR="009D12AF" w:rsidRDefault="009D12AF">
            <w:pPr>
              <w:spacing w:line="240" w:lineRule="auto"/>
              <w:ind w:firstLineChars="0" w:firstLine="0"/>
              <w:jc w:val="center"/>
              <w:rPr>
                <w:rFonts w:ascii="Times New Roman" w:hAnsi="Times New Roman"/>
                <w:sz w:val="21"/>
                <w:highlight w:val="yellow"/>
              </w:rPr>
            </w:pPr>
          </w:p>
        </w:tc>
        <w:tc>
          <w:tcPr>
            <w:tcW w:w="672" w:type="pct"/>
            <w:vMerge/>
            <w:tcBorders>
              <w:bottom w:val="single" w:sz="12" w:space="0" w:color="000000"/>
              <w:right w:val="nil"/>
            </w:tcBorders>
            <w:vAlign w:val="center"/>
          </w:tcPr>
          <w:p w14:paraId="63F6D5CB" w14:textId="77777777" w:rsidR="009D12AF" w:rsidRDefault="009D12AF">
            <w:pPr>
              <w:spacing w:line="240" w:lineRule="auto"/>
              <w:ind w:firstLineChars="0" w:firstLine="0"/>
              <w:jc w:val="center"/>
              <w:rPr>
                <w:rFonts w:ascii="Times New Roman" w:hAnsi="Times New Roman"/>
                <w:sz w:val="21"/>
                <w:highlight w:val="yellow"/>
              </w:rPr>
            </w:pPr>
          </w:p>
        </w:tc>
      </w:tr>
    </w:tbl>
    <w:p w14:paraId="0DFE90D0" w14:textId="77777777" w:rsidR="009D12AF" w:rsidRDefault="009D12AF">
      <w:pPr>
        <w:spacing w:line="240" w:lineRule="auto"/>
        <w:ind w:firstLineChars="0" w:firstLine="0"/>
        <w:jc w:val="center"/>
        <w:rPr>
          <w:color w:val="FF0000"/>
          <w:highlight w:val="yellow"/>
        </w:rPr>
      </w:pPr>
    </w:p>
    <w:p w14:paraId="7A0644B0" w14:textId="77777777" w:rsidR="009D12AF" w:rsidRDefault="00000000">
      <w:pPr>
        <w:spacing w:line="240" w:lineRule="auto"/>
        <w:ind w:firstLineChars="0" w:firstLine="0"/>
        <w:jc w:val="center"/>
        <w:rPr>
          <w:rFonts w:ascii="Times New Roman" w:eastAsia="宋体"/>
          <w:b/>
          <w:bCs/>
        </w:rPr>
      </w:pPr>
      <w:r>
        <w:rPr>
          <w:rFonts w:ascii="Times New Roman" w:eastAsia="宋体"/>
          <w:b/>
          <w:bCs/>
          <w:noProof/>
        </w:rPr>
        <w:drawing>
          <wp:inline distT="0" distB="0" distL="114300" distR="114300" wp14:anchorId="02360426" wp14:editId="6D49E438">
            <wp:extent cx="5263515" cy="3332480"/>
            <wp:effectExtent l="0" t="0" r="13335" b="1270"/>
            <wp:docPr id="194" name="图片 194" descr="625b539826d53a655c436c2fbad70d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625b539826d53a655c436c2fbad70d0b"/>
                    <pic:cNvPicPr>
                      <a:picLocks noChangeAspect="1"/>
                    </pic:cNvPicPr>
                  </pic:nvPicPr>
                  <pic:blipFill>
                    <a:blip r:embed="rId26"/>
                    <a:stretch>
                      <a:fillRect/>
                    </a:stretch>
                  </pic:blipFill>
                  <pic:spPr>
                    <a:xfrm>
                      <a:off x="0" y="0"/>
                      <a:ext cx="5263515" cy="3332480"/>
                    </a:xfrm>
                    <a:prstGeom prst="rect">
                      <a:avLst/>
                    </a:prstGeom>
                  </pic:spPr>
                </pic:pic>
              </a:graphicData>
            </a:graphic>
          </wp:inline>
        </w:drawing>
      </w:r>
    </w:p>
    <w:p w14:paraId="5D861EEE" w14:textId="77777777" w:rsidR="009D12AF" w:rsidRDefault="00000000">
      <w:pPr>
        <w:ind w:firstLine="482"/>
        <w:jc w:val="center"/>
      </w:pPr>
      <w:r>
        <w:rPr>
          <w:rFonts w:hint="eastAsia"/>
          <w:b/>
          <w:bCs/>
        </w:rPr>
        <w:t>图</w:t>
      </w:r>
      <w:r>
        <w:rPr>
          <w:rFonts w:hint="eastAsia"/>
          <w:b/>
          <w:bCs/>
        </w:rPr>
        <w:t>4.3-1</w:t>
      </w:r>
      <w:r>
        <w:rPr>
          <w:rFonts w:hint="eastAsia"/>
          <w:b/>
          <w:bCs/>
        </w:rPr>
        <w:t>群力水库大气监测点位</w:t>
      </w:r>
    </w:p>
    <w:p w14:paraId="7D5D6833" w14:textId="77777777" w:rsidR="009D12AF" w:rsidRDefault="00000000">
      <w:pPr>
        <w:ind w:firstLineChars="0" w:firstLine="0"/>
        <w:rPr>
          <w:rFonts w:ascii="Times New Roman" w:eastAsia="宋体"/>
          <w:b/>
          <w:bCs/>
        </w:rPr>
      </w:pPr>
      <w:r>
        <w:rPr>
          <w:rFonts w:ascii="Times New Roman" w:eastAsia="宋体"/>
          <w:b/>
          <w:bCs/>
          <w:noProof/>
        </w:rPr>
        <w:lastRenderedPageBreak/>
        <w:drawing>
          <wp:inline distT="0" distB="0" distL="114300" distR="114300" wp14:anchorId="46C51DF3" wp14:editId="131AC986">
            <wp:extent cx="5267325" cy="3374390"/>
            <wp:effectExtent l="0" t="0" r="9525" b="16510"/>
            <wp:docPr id="202" name="图片 202" descr="a8202b2f2ee9cdfa0c16654ce08355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a8202b2f2ee9cdfa0c16654ce08355c6"/>
                    <pic:cNvPicPr>
                      <a:picLocks noChangeAspect="1"/>
                    </pic:cNvPicPr>
                  </pic:nvPicPr>
                  <pic:blipFill>
                    <a:blip r:embed="rId27"/>
                    <a:stretch>
                      <a:fillRect/>
                    </a:stretch>
                  </pic:blipFill>
                  <pic:spPr>
                    <a:xfrm>
                      <a:off x="0" y="0"/>
                      <a:ext cx="5267325" cy="3374390"/>
                    </a:xfrm>
                    <a:prstGeom prst="rect">
                      <a:avLst/>
                    </a:prstGeom>
                  </pic:spPr>
                </pic:pic>
              </a:graphicData>
            </a:graphic>
          </wp:inline>
        </w:drawing>
      </w:r>
    </w:p>
    <w:p w14:paraId="03736145" w14:textId="77777777" w:rsidR="009D12AF" w:rsidRDefault="00000000">
      <w:pPr>
        <w:ind w:firstLine="482"/>
        <w:jc w:val="center"/>
      </w:pPr>
      <w:r>
        <w:rPr>
          <w:rFonts w:hint="eastAsia"/>
          <w:b/>
          <w:bCs/>
        </w:rPr>
        <w:t>图</w:t>
      </w:r>
      <w:r>
        <w:rPr>
          <w:rFonts w:hint="eastAsia"/>
          <w:b/>
          <w:bCs/>
        </w:rPr>
        <w:t>4.3-2</w:t>
      </w:r>
      <w:r>
        <w:rPr>
          <w:rFonts w:hint="eastAsia"/>
          <w:b/>
          <w:bCs/>
        </w:rPr>
        <w:t>长石水库大气监测点位</w:t>
      </w:r>
    </w:p>
    <w:p w14:paraId="7C67478A" w14:textId="77777777" w:rsidR="009D12AF" w:rsidRDefault="00000000">
      <w:pPr>
        <w:ind w:firstLineChars="0" w:firstLine="0"/>
        <w:rPr>
          <w:rFonts w:ascii="Times New Roman" w:eastAsia="宋体"/>
          <w:b/>
          <w:bCs/>
        </w:rPr>
      </w:pPr>
      <w:r>
        <w:rPr>
          <w:rFonts w:ascii="Times New Roman" w:eastAsia="宋体"/>
          <w:b/>
          <w:bCs/>
          <w:noProof/>
        </w:rPr>
        <w:drawing>
          <wp:inline distT="0" distB="0" distL="114300" distR="114300" wp14:anchorId="05B1CFC8" wp14:editId="117CE4AE">
            <wp:extent cx="5264785" cy="3352800"/>
            <wp:effectExtent l="0" t="0" r="12065" b="0"/>
            <wp:docPr id="203" name="图片 203" descr="d4711eddd975c492a1808e95ea3aa2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d4711eddd975c492a1808e95ea3aa25f"/>
                    <pic:cNvPicPr>
                      <a:picLocks noChangeAspect="1"/>
                    </pic:cNvPicPr>
                  </pic:nvPicPr>
                  <pic:blipFill>
                    <a:blip r:embed="rId28"/>
                    <a:stretch>
                      <a:fillRect/>
                    </a:stretch>
                  </pic:blipFill>
                  <pic:spPr>
                    <a:xfrm>
                      <a:off x="0" y="0"/>
                      <a:ext cx="5264785" cy="3352800"/>
                    </a:xfrm>
                    <a:prstGeom prst="rect">
                      <a:avLst/>
                    </a:prstGeom>
                  </pic:spPr>
                </pic:pic>
              </a:graphicData>
            </a:graphic>
          </wp:inline>
        </w:drawing>
      </w:r>
    </w:p>
    <w:p w14:paraId="2130712C" w14:textId="77777777" w:rsidR="009D12AF" w:rsidRDefault="00000000">
      <w:pPr>
        <w:ind w:firstLine="482"/>
        <w:jc w:val="center"/>
        <w:rPr>
          <w:b/>
          <w:bCs/>
        </w:rPr>
      </w:pPr>
      <w:r>
        <w:rPr>
          <w:rFonts w:hint="eastAsia"/>
          <w:b/>
          <w:bCs/>
        </w:rPr>
        <w:t>图</w:t>
      </w:r>
      <w:r>
        <w:rPr>
          <w:rFonts w:hint="eastAsia"/>
          <w:b/>
          <w:bCs/>
        </w:rPr>
        <w:t>4.3-3</w:t>
      </w:r>
      <w:r>
        <w:rPr>
          <w:rFonts w:hint="eastAsia"/>
          <w:b/>
          <w:bCs/>
        </w:rPr>
        <w:t>万丈水库大气监测点位</w:t>
      </w:r>
    </w:p>
    <w:p w14:paraId="5A725829" w14:textId="77777777" w:rsidR="009D12AF" w:rsidRDefault="00000000">
      <w:pPr>
        <w:ind w:firstLineChars="0" w:firstLine="0"/>
        <w:rPr>
          <w:rFonts w:ascii="Times New Roman" w:eastAsia="宋体"/>
          <w:b/>
          <w:bCs/>
        </w:rPr>
      </w:pPr>
      <w:r>
        <w:rPr>
          <w:rFonts w:ascii="Times New Roman" w:eastAsia="宋体"/>
          <w:b/>
          <w:bCs/>
          <w:noProof/>
        </w:rPr>
        <w:lastRenderedPageBreak/>
        <w:drawing>
          <wp:inline distT="0" distB="0" distL="114300" distR="114300" wp14:anchorId="7F5DA373" wp14:editId="4654747A">
            <wp:extent cx="5262880" cy="3343275"/>
            <wp:effectExtent l="0" t="0" r="13970" b="9525"/>
            <wp:docPr id="204" name="图片 204" descr="fd3894e6ea3136f02aeca9e2b1bb8c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fd3894e6ea3136f02aeca9e2b1bb8c1d"/>
                    <pic:cNvPicPr>
                      <a:picLocks noChangeAspect="1"/>
                    </pic:cNvPicPr>
                  </pic:nvPicPr>
                  <pic:blipFill>
                    <a:blip r:embed="rId29"/>
                    <a:stretch>
                      <a:fillRect/>
                    </a:stretch>
                  </pic:blipFill>
                  <pic:spPr>
                    <a:xfrm>
                      <a:off x="0" y="0"/>
                      <a:ext cx="5262880" cy="3343275"/>
                    </a:xfrm>
                    <a:prstGeom prst="rect">
                      <a:avLst/>
                    </a:prstGeom>
                  </pic:spPr>
                </pic:pic>
              </a:graphicData>
            </a:graphic>
          </wp:inline>
        </w:drawing>
      </w:r>
    </w:p>
    <w:p w14:paraId="6FACF90E" w14:textId="77777777" w:rsidR="009D12AF" w:rsidRDefault="00000000">
      <w:pPr>
        <w:ind w:firstLine="482"/>
        <w:jc w:val="center"/>
      </w:pPr>
      <w:r>
        <w:rPr>
          <w:rFonts w:hint="eastAsia"/>
          <w:b/>
          <w:bCs/>
        </w:rPr>
        <w:t>图</w:t>
      </w:r>
      <w:r>
        <w:rPr>
          <w:rFonts w:hint="eastAsia"/>
          <w:b/>
          <w:bCs/>
        </w:rPr>
        <w:t>4.3-4</w:t>
      </w:r>
      <w:r>
        <w:rPr>
          <w:rFonts w:hint="eastAsia"/>
          <w:b/>
          <w:bCs/>
        </w:rPr>
        <w:t>新安晒水池大气监测点位</w:t>
      </w:r>
    </w:p>
    <w:p w14:paraId="59DB77F5" w14:textId="77777777" w:rsidR="009D12AF" w:rsidRDefault="00000000">
      <w:pPr>
        <w:ind w:firstLineChars="0" w:firstLine="0"/>
      </w:pPr>
      <w:r>
        <w:rPr>
          <w:rFonts w:ascii="Times New Roman" w:eastAsia="宋体"/>
          <w:b/>
          <w:bCs/>
          <w:noProof/>
        </w:rPr>
        <w:drawing>
          <wp:inline distT="0" distB="0" distL="114300" distR="114300" wp14:anchorId="31055658" wp14:editId="34CE48A2">
            <wp:extent cx="5267325" cy="3348990"/>
            <wp:effectExtent l="0" t="0" r="9525" b="3810"/>
            <wp:docPr id="205" name="图片 205" descr="a4da17d3333f4de961851bd88e2ab0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a4da17d3333f4de961851bd88e2ab0de"/>
                    <pic:cNvPicPr>
                      <a:picLocks noChangeAspect="1"/>
                    </pic:cNvPicPr>
                  </pic:nvPicPr>
                  <pic:blipFill>
                    <a:blip r:embed="rId30"/>
                    <a:stretch>
                      <a:fillRect/>
                    </a:stretch>
                  </pic:blipFill>
                  <pic:spPr>
                    <a:xfrm>
                      <a:off x="0" y="0"/>
                      <a:ext cx="5267325" cy="3348990"/>
                    </a:xfrm>
                    <a:prstGeom prst="rect">
                      <a:avLst/>
                    </a:prstGeom>
                  </pic:spPr>
                </pic:pic>
              </a:graphicData>
            </a:graphic>
          </wp:inline>
        </w:drawing>
      </w:r>
    </w:p>
    <w:p w14:paraId="5395E52B" w14:textId="77777777" w:rsidR="009D12AF" w:rsidRDefault="00000000">
      <w:pPr>
        <w:ind w:firstLine="482"/>
        <w:jc w:val="center"/>
        <w:rPr>
          <w:color w:val="000000" w:themeColor="text1"/>
        </w:rPr>
      </w:pPr>
      <w:r>
        <w:rPr>
          <w:rFonts w:hint="eastAsia"/>
          <w:b/>
          <w:bCs/>
          <w:color w:val="000000" w:themeColor="text1"/>
        </w:rPr>
        <w:t>图</w:t>
      </w:r>
      <w:r>
        <w:rPr>
          <w:rFonts w:hint="eastAsia"/>
          <w:b/>
          <w:bCs/>
          <w:color w:val="000000" w:themeColor="text1"/>
        </w:rPr>
        <w:t>4.3-5</w:t>
      </w:r>
      <w:r>
        <w:rPr>
          <w:rFonts w:hint="eastAsia"/>
          <w:b/>
          <w:bCs/>
          <w:color w:val="000000" w:themeColor="text1"/>
        </w:rPr>
        <w:t>向阳水电站前池大气监测点位</w:t>
      </w:r>
    </w:p>
    <w:p w14:paraId="3885836E" w14:textId="77777777" w:rsidR="009D12AF" w:rsidRDefault="00000000">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）评价方法</w:t>
      </w:r>
    </w:p>
    <w:p w14:paraId="750FE082" w14:textId="77777777" w:rsidR="009D12AF" w:rsidRDefault="00000000">
      <w:pPr>
        <w:ind w:firstLine="480"/>
        <w:rPr>
          <w:color w:val="000000" w:themeColor="text1"/>
        </w:rPr>
      </w:pPr>
      <w:r>
        <w:rPr>
          <w:rFonts w:hint="eastAsia"/>
          <w:color w:val="000000" w:themeColor="text1"/>
        </w:rPr>
        <w:t>建设项目采用占标百分比对环境空气现状进行评价。计算公式：</w:t>
      </w:r>
    </w:p>
    <w:p w14:paraId="7D24DB5A" w14:textId="77777777" w:rsidR="009D12AF" w:rsidRDefault="00000000">
      <w:pPr>
        <w:ind w:firstLineChars="0" w:firstLine="0"/>
        <w:jc w:val="center"/>
        <w:rPr>
          <w:color w:val="000000" w:themeColor="text1"/>
        </w:rPr>
      </w:pPr>
      <w:r>
        <w:rPr>
          <w:rFonts w:ascii="Times New Roman" w:eastAsia="宋体" w:hAnsi="Times New Roman" w:cs="Times New Roman"/>
          <w:noProof/>
          <w:color w:val="000000" w:themeColor="text1"/>
          <w:szCs w:val="20"/>
        </w:rPr>
        <w:drawing>
          <wp:inline distT="0" distB="0" distL="0" distR="0" wp14:anchorId="68C54072" wp14:editId="72464E32">
            <wp:extent cx="1381125" cy="466725"/>
            <wp:effectExtent l="0" t="0" r="9525" b="9525"/>
            <wp:docPr id="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
                    <pic:cNvPicPr>
                      <a:picLocks noChangeAspect="1" noChangeArrowheads="1"/>
                    </pic:cNvPicPr>
                  </pic:nvPicPr>
                  <pic:blipFill>
                    <a:blip r:embed="rId31" cstate="print"/>
                    <a:srcRect/>
                    <a:stretch>
                      <a:fillRect/>
                    </a:stretch>
                  </pic:blipFill>
                  <pic:spPr>
                    <a:xfrm>
                      <a:off x="0" y="0"/>
                      <a:ext cx="1381125" cy="466725"/>
                    </a:xfrm>
                    <a:prstGeom prst="rect">
                      <a:avLst/>
                    </a:prstGeom>
                    <a:noFill/>
                    <a:ln w="9525" cmpd="sng">
                      <a:noFill/>
                      <a:miter lim="800000"/>
                      <a:headEnd/>
                      <a:tailEnd/>
                    </a:ln>
                  </pic:spPr>
                </pic:pic>
              </a:graphicData>
            </a:graphic>
          </wp:inline>
        </w:drawing>
      </w:r>
    </w:p>
    <w:p w14:paraId="09FFFCEA" w14:textId="77777777" w:rsidR="009D12AF" w:rsidRDefault="00000000">
      <w:pPr>
        <w:ind w:firstLine="480"/>
        <w:rPr>
          <w:color w:val="000000" w:themeColor="text1"/>
        </w:rPr>
      </w:pPr>
      <w:r>
        <w:rPr>
          <w:rFonts w:hint="eastAsia"/>
          <w:color w:val="000000" w:themeColor="text1"/>
        </w:rPr>
        <w:lastRenderedPageBreak/>
        <w:t>式中：</w:t>
      </w:r>
      <w:r>
        <w:rPr>
          <w:rFonts w:hint="eastAsia"/>
          <w:color w:val="000000" w:themeColor="text1"/>
        </w:rPr>
        <w:t>Sij</w:t>
      </w:r>
      <w:r>
        <w:rPr>
          <w:rFonts w:hint="eastAsia"/>
          <w:color w:val="000000" w:themeColor="text1"/>
        </w:rPr>
        <w:t>—代表单项大气参数</w:t>
      </w:r>
      <w:r>
        <w:rPr>
          <w:rFonts w:hint="eastAsia"/>
          <w:color w:val="000000" w:themeColor="text1"/>
        </w:rPr>
        <w:t>i</w:t>
      </w:r>
      <w:r>
        <w:rPr>
          <w:rFonts w:hint="eastAsia"/>
          <w:color w:val="000000" w:themeColor="text1"/>
        </w:rPr>
        <w:t>在第</w:t>
      </w:r>
      <w:r>
        <w:rPr>
          <w:rFonts w:hint="eastAsia"/>
          <w:color w:val="000000" w:themeColor="text1"/>
        </w:rPr>
        <w:t>j</w:t>
      </w:r>
      <w:r>
        <w:rPr>
          <w:rFonts w:hint="eastAsia"/>
          <w:color w:val="000000" w:themeColor="text1"/>
        </w:rPr>
        <w:t>点的占标百分比；</w:t>
      </w:r>
    </w:p>
    <w:p w14:paraId="3C96622B" w14:textId="77777777" w:rsidR="009D12AF" w:rsidRDefault="00000000">
      <w:pPr>
        <w:ind w:firstLine="480"/>
        <w:rPr>
          <w:color w:val="000000" w:themeColor="text1"/>
        </w:rPr>
      </w:pPr>
      <w:r>
        <w:rPr>
          <w:rFonts w:hint="eastAsia"/>
          <w:color w:val="000000" w:themeColor="text1"/>
        </w:rPr>
        <w:t>Cij</w:t>
      </w:r>
      <w:r>
        <w:rPr>
          <w:rFonts w:hint="eastAsia"/>
          <w:color w:val="000000" w:themeColor="text1"/>
        </w:rPr>
        <w:t>—代表第</w:t>
      </w:r>
      <w:r>
        <w:rPr>
          <w:rFonts w:hint="eastAsia"/>
          <w:color w:val="000000" w:themeColor="text1"/>
        </w:rPr>
        <w:t>i</w:t>
      </w:r>
      <w:r>
        <w:rPr>
          <w:rFonts w:hint="eastAsia"/>
          <w:color w:val="000000" w:themeColor="text1"/>
        </w:rPr>
        <w:t>中大气污染物监测结果，</w:t>
      </w:r>
      <w:r>
        <w:rPr>
          <w:rFonts w:hint="eastAsia"/>
          <w:color w:val="000000" w:themeColor="text1"/>
        </w:rPr>
        <w:t>mg/Nm</w:t>
      </w:r>
      <w:r>
        <w:rPr>
          <w:rFonts w:hint="eastAsia"/>
          <w:color w:val="000000" w:themeColor="text1"/>
          <w:vertAlign w:val="superscript"/>
        </w:rPr>
        <w:t>3</w:t>
      </w:r>
      <w:r>
        <w:rPr>
          <w:rFonts w:hint="eastAsia"/>
          <w:color w:val="000000" w:themeColor="text1"/>
        </w:rPr>
        <w:t>；</w:t>
      </w:r>
    </w:p>
    <w:p w14:paraId="7040D832" w14:textId="77777777" w:rsidR="009D12AF" w:rsidRDefault="00000000">
      <w:pPr>
        <w:ind w:firstLine="480"/>
        <w:rPr>
          <w:color w:val="000000" w:themeColor="text1"/>
        </w:rPr>
      </w:pPr>
      <w:r>
        <w:rPr>
          <w:rFonts w:hint="eastAsia"/>
          <w:color w:val="000000" w:themeColor="text1"/>
        </w:rPr>
        <w:t>Co</w:t>
      </w:r>
      <w:r>
        <w:rPr>
          <w:rFonts w:hint="eastAsia"/>
          <w:color w:val="000000" w:themeColor="text1"/>
        </w:rPr>
        <w:t>—代表第</w:t>
      </w:r>
      <w:r>
        <w:rPr>
          <w:rFonts w:hint="eastAsia"/>
          <w:color w:val="000000" w:themeColor="text1"/>
        </w:rPr>
        <w:t>i</w:t>
      </w:r>
      <w:r>
        <w:rPr>
          <w:rFonts w:hint="eastAsia"/>
          <w:color w:val="000000" w:themeColor="text1"/>
        </w:rPr>
        <w:t>中大气污染物评价标准，</w:t>
      </w:r>
      <w:r>
        <w:rPr>
          <w:rFonts w:hint="eastAsia"/>
          <w:color w:val="000000" w:themeColor="text1"/>
        </w:rPr>
        <w:t>mg/m</w:t>
      </w:r>
      <w:r>
        <w:rPr>
          <w:rFonts w:hint="eastAsia"/>
          <w:color w:val="000000" w:themeColor="text1"/>
          <w:vertAlign w:val="superscript"/>
        </w:rPr>
        <w:t>3</w:t>
      </w:r>
      <w:r>
        <w:rPr>
          <w:rFonts w:hint="eastAsia"/>
          <w:color w:val="000000" w:themeColor="text1"/>
        </w:rPr>
        <w:t>。</w:t>
      </w:r>
    </w:p>
    <w:p w14:paraId="02B2E86F" w14:textId="77777777" w:rsidR="009D12AF" w:rsidRDefault="00000000">
      <w:pPr>
        <w:ind w:firstLine="480"/>
        <w:rPr>
          <w:color w:val="000000" w:themeColor="text1"/>
        </w:rPr>
      </w:pPr>
      <w:r>
        <w:rPr>
          <w:rFonts w:hint="eastAsia"/>
          <w:color w:val="000000" w:themeColor="text1"/>
        </w:rPr>
        <w:t>当评价因子的占标百分比</w:t>
      </w:r>
      <w:r>
        <w:rPr>
          <w:rFonts w:hint="eastAsia"/>
          <w:color w:val="000000" w:themeColor="text1"/>
        </w:rPr>
        <w:t>Sij</w:t>
      </w:r>
      <w:r>
        <w:rPr>
          <w:rFonts w:hint="eastAsia"/>
          <w:color w:val="000000" w:themeColor="text1"/>
        </w:rPr>
        <w:t>＞</w:t>
      </w:r>
      <w:r>
        <w:rPr>
          <w:rFonts w:hint="eastAsia"/>
          <w:color w:val="000000" w:themeColor="text1"/>
        </w:rPr>
        <w:t>100%</w:t>
      </w:r>
      <w:r>
        <w:rPr>
          <w:rFonts w:hint="eastAsia"/>
          <w:color w:val="000000" w:themeColor="text1"/>
        </w:rPr>
        <w:t>时，表明该参数超过了规定的环境空气标准，已不能满足使用要求；当</w:t>
      </w:r>
      <w:r>
        <w:rPr>
          <w:rFonts w:hint="eastAsia"/>
          <w:color w:val="000000" w:themeColor="text1"/>
        </w:rPr>
        <w:t>Sij</w:t>
      </w:r>
      <w:r>
        <w:rPr>
          <w:rFonts w:hint="eastAsia"/>
          <w:color w:val="000000" w:themeColor="text1"/>
        </w:rPr>
        <w:t>≤</w:t>
      </w:r>
      <w:r>
        <w:rPr>
          <w:rFonts w:hint="eastAsia"/>
          <w:color w:val="000000" w:themeColor="text1"/>
        </w:rPr>
        <w:t>100%</w:t>
      </w:r>
      <w:r>
        <w:rPr>
          <w:rFonts w:hint="eastAsia"/>
          <w:color w:val="000000" w:themeColor="text1"/>
        </w:rPr>
        <w:t>时，表明该参数未超过规定的环境空气标准。</w:t>
      </w:r>
    </w:p>
    <w:p w14:paraId="248B9DF4" w14:textId="77777777" w:rsidR="009D12AF" w:rsidRDefault="00000000">
      <w:pPr>
        <w:ind w:firstLine="480"/>
        <w:rPr>
          <w:color w:val="000000" w:themeColor="text1"/>
          <w:lang w:val="zh-CN"/>
        </w:rPr>
      </w:pPr>
      <w:r>
        <w:rPr>
          <w:color w:val="000000" w:themeColor="text1"/>
          <w:lang w:val="zh-CN"/>
        </w:rPr>
        <w:t>（</w:t>
      </w:r>
      <w:r>
        <w:rPr>
          <w:rFonts w:hint="eastAsia"/>
          <w:color w:val="000000" w:themeColor="text1"/>
        </w:rPr>
        <w:t>5</w:t>
      </w:r>
      <w:r>
        <w:rPr>
          <w:color w:val="000000" w:themeColor="text1"/>
          <w:lang w:val="zh-CN"/>
        </w:rPr>
        <w:t>）</w:t>
      </w:r>
      <w:r>
        <w:rPr>
          <w:rFonts w:hint="eastAsia"/>
          <w:color w:val="000000" w:themeColor="text1"/>
        </w:rPr>
        <w:t>监测</w:t>
      </w:r>
      <w:r>
        <w:rPr>
          <w:color w:val="000000" w:themeColor="text1"/>
          <w:lang w:val="zh-CN"/>
        </w:rPr>
        <w:t>结果</w:t>
      </w:r>
    </w:p>
    <w:p w14:paraId="1B3752E4" w14:textId="77777777" w:rsidR="009D12AF" w:rsidRDefault="00000000">
      <w:pPr>
        <w:ind w:firstLine="480"/>
        <w:rPr>
          <w:color w:val="000000" w:themeColor="text1"/>
          <w:lang w:val="zh-CN"/>
        </w:rPr>
      </w:pPr>
      <w:r>
        <w:rPr>
          <w:color w:val="000000" w:themeColor="text1"/>
          <w:lang w:val="zh-CN"/>
        </w:rPr>
        <w:t>本次环境空气质量现状监测结果见</w:t>
      </w:r>
      <w:r>
        <w:rPr>
          <w:rFonts w:hint="eastAsia"/>
          <w:color w:val="000000" w:themeColor="text1"/>
        </w:rPr>
        <w:t>下</w:t>
      </w:r>
      <w:r>
        <w:rPr>
          <w:color w:val="000000" w:themeColor="text1"/>
          <w:lang w:val="zh-CN"/>
        </w:rPr>
        <w:t>表。</w:t>
      </w:r>
    </w:p>
    <w:p w14:paraId="3473B69E" w14:textId="77777777" w:rsidR="009D12AF" w:rsidRDefault="00000000">
      <w:pPr>
        <w:ind w:firstLineChars="0" w:firstLine="0"/>
        <w:jc w:val="center"/>
        <w:rPr>
          <w:color w:val="000000" w:themeColor="text1"/>
          <w:lang w:val="zh-CN"/>
        </w:rPr>
      </w:pPr>
      <w:r>
        <w:rPr>
          <w:b/>
          <w:bCs/>
          <w:color w:val="000000" w:themeColor="text1"/>
          <w:lang w:val="zh-CN"/>
        </w:rPr>
        <w:t>表</w:t>
      </w:r>
      <w:r>
        <w:rPr>
          <w:b/>
          <w:bCs/>
          <w:color w:val="000000" w:themeColor="text1"/>
          <w:lang w:val="zh-CN"/>
        </w:rPr>
        <w:t>4.</w:t>
      </w:r>
      <w:r>
        <w:rPr>
          <w:rFonts w:hint="eastAsia"/>
          <w:b/>
          <w:bCs/>
          <w:color w:val="000000" w:themeColor="text1"/>
        </w:rPr>
        <w:t>3</w:t>
      </w:r>
      <w:r>
        <w:rPr>
          <w:b/>
          <w:bCs/>
          <w:color w:val="000000" w:themeColor="text1"/>
          <w:lang w:val="zh-CN"/>
        </w:rPr>
        <w:t>-</w:t>
      </w:r>
      <w:r>
        <w:rPr>
          <w:rFonts w:hint="eastAsia"/>
          <w:b/>
          <w:bCs/>
          <w:color w:val="000000" w:themeColor="text1"/>
        </w:rPr>
        <w:t>4</w:t>
      </w:r>
      <w:r>
        <w:rPr>
          <w:b/>
          <w:bCs/>
          <w:color w:val="000000" w:themeColor="text1"/>
          <w:lang w:val="zh-CN"/>
        </w:rPr>
        <w:t>环境空气质量现状监测结果（单位：</w:t>
      </w:r>
      <w:r>
        <w:rPr>
          <w:b/>
          <w:bCs/>
          <w:color w:val="000000" w:themeColor="text1"/>
          <w:lang w:val="zh-CN"/>
        </w:rPr>
        <w:t>mg/m</w:t>
      </w:r>
      <w:r>
        <w:rPr>
          <w:b/>
          <w:bCs/>
          <w:color w:val="000000" w:themeColor="text1"/>
          <w:vertAlign w:val="superscript"/>
          <w:lang w:val="zh-CN"/>
        </w:rPr>
        <w:t>3</w:t>
      </w:r>
      <w:r>
        <w:rPr>
          <w:b/>
          <w:bCs/>
          <w:color w:val="000000" w:themeColor="text1"/>
          <w:lang w:val="zh-CN"/>
        </w:rPr>
        <w:t>）</w:t>
      </w:r>
    </w:p>
    <w:tbl>
      <w:tblPr>
        <w:tblW w:w="4995"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74"/>
        <w:gridCol w:w="747"/>
        <w:gridCol w:w="812"/>
        <w:gridCol w:w="964"/>
        <w:gridCol w:w="1137"/>
        <w:gridCol w:w="877"/>
        <w:gridCol w:w="1134"/>
        <w:gridCol w:w="926"/>
        <w:gridCol w:w="627"/>
        <w:gridCol w:w="615"/>
      </w:tblGrid>
      <w:tr w:rsidR="009D12AF" w14:paraId="09632906" w14:textId="77777777">
        <w:tc>
          <w:tcPr>
            <w:tcW w:w="396" w:type="pct"/>
            <w:vMerge w:val="restart"/>
            <w:vAlign w:val="center"/>
          </w:tcPr>
          <w:p w14:paraId="5631914E"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监测点位</w:t>
            </w:r>
          </w:p>
        </w:tc>
        <w:tc>
          <w:tcPr>
            <w:tcW w:w="916" w:type="pct"/>
            <w:gridSpan w:val="2"/>
            <w:vAlign w:val="center"/>
          </w:tcPr>
          <w:p w14:paraId="46A0493C"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监测点坐标</w:t>
            </w:r>
          </w:p>
        </w:tc>
        <w:tc>
          <w:tcPr>
            <w:tcW w:w="565" w:type="pct"/>
            <w:vMerge w:val="restart"/>
            <w:vAlign w:val="center"/>
          </w:tcPr>
          <w:p w14:paraId="0E264BDB"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污染物</w:t>
            </w:r>
          </w:p>
        </w:tc>
        <w:tc>
          <w:tcPr>
            <w:tcW w:w="667" w:type="pct"/>
            <w:vMerge w:val="restart"/>
            <w:vAlign w:val="center"/>
          </w:tcPr>
          <w:p w14:paraId="6E38C7DA"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平均时间</w:t>
            </w:r>
          </w:p>
        </w:tc>
        <w:tc>
          <w:tcPr>
            <w:tcW w:w="514" w:type="pct"/>
            <w:vMerge w:val="restart"/>
            <w:vAlign w:val="center"/>
          </w:tcPr>
          <w:p w14:paraId="1357F859"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评价标准</w:t>
            </w:r>
            <w:r>
              <w:rPr>
                <w:rFonts w:ascii="Times New Roman" w:hAnsi="Times New Roman"/>
                <w:szCs w:val="21"/>
              </w:rPr>
              <w:t>/</w:t>
            </w:r>
            <w:r>
              <w:rPr>
                <w:rFonts w:ascii="Times New Roman" w:hAnsi="Times New Roman"/>
                <w:szCs w:val="21"/>
              </w:rPr>
              <w:t>（</w:t>
            </w:r>
            <w:r>
              <w:rPr>
                <w:rFonts w:ascii="Times New Roman" w:hAnsi="Times New Roman"/>
                <w:szCs w:val="21"/>
              </w:rPr>
              <w:t>µg/m</w:t>
            </w:r>
            <w:r>
              <w:rPr>
                <w:rFonts w:ascii="Times New Roman" w:hAnsi="Times New Roman"/>
                <w:szCs w:val="21"/>
                <w:vertAlign w:val="superscript"/>
              </w:rPr>
              <w:t>3</w:t>
            </w:r>
            <w:r>
              <w:rPr>
                <w:rFonts w:ascii="Times New Roman" w:hAnsi="Times New Roman"/>
                <w:szCs w:val="21"/>
              </w:rPr>
              <w:t>）</w:t>
            </w:r>
          </w:p>
        </w:tc>
        <w:tc>
          <w:tcPr>
            <w:tcW w:w="665" w:type="pct"/>
            <w:vMerge w:val="restart"/>
            <w:vAlign w:val="center"/>
          </w:tcPr>
          <w:p w14:paraId="30DF3571"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监测浓度范围</w:t>
            </w:r>
            <w:r>
              <w:rPr>
                <w:rFonts w:ascii="Times New Roman" w:hAnsi="Times New Roman"/>
                <w:szCs w:val="21"/>
              </w:rPr>
              <w:t>/</w:t>
            </w:r>
            <w:r>
              <w:rPr>
                <w:rFonts w:ascii="Times New Roman" w:hAnsi="Times New Roman"/>
                <w:szCs w:val="21"/>
              </w:rPr>
              <w:t>（</w:t>
            </w:r>
            <w:r>
              <w:rPr>
                <w:rFonts w:ascii="Times New Roman" w:hAnsi="Times New Roman"/>
                <w:szCs w:val="21"/>
              </w:rPr>
              <w:t>µg/m</w:t>
            </w:r>
            <w:r>
              <w:rPr>
                <w:rFonts w:ascii="Times New Roman" w:hAnsi="Times New Roman"/>
                <w:szCs w:val="21"/>
                <w:vertAlign w:val="superscript"/>
              </w:rPr>
              <w:t>3</w:t>
            </w:r>
            <w:r>
              <w:rPr>
                <w:rFonts w:ascii="Times New Roman" w:hAnsi="Times New Roman"/>
                <w:szCs w:val="21"/>
              </w:rPr>
              <w:t>）</w:t>
            </w:r>
          </w:p>
        </w:tc>
        <w:tc>
          <w:tcPr>
            <w:tcW w:w="543" w:type="pct"/>
            <w:vMerge w:val="restart"/>
            <w:vAlign w:val="center"/>
          </w:tcPr>
          <w:p w14:paraId="7E11F1FC"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最大浓度占标率</w:t>
            </w:r>
            <w:r>
              <w:rPr>
                <w:rFonts w:ascii="Times New Roman" w:hAnsi="Times New Roman"/>
                <w:szCs w:val="21"/>
              </w:rPr>
              <w:t>%</w:t>
            </w:r>
          </w:p>
        </w:tc>
        <w:tc>
          <w:tcPr>
            <w:tcW w:w="368" w:type="pct"/>
            <w:vMerge w:val="restart"/>
            <w:vAlign w:val="center"/>
          </w:tcPr>
          <w:p w14:paraId="117D4AC2"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超标率</w:t>
            </w:r>
            <w:r>
              <w:rPr>
                <w:rFonts w:ascii="Times New Roman" w:hAnsi="Times New Roman"/>
                <w:szCs w:val="21"/>
              </w:rPr>
              <w:t>%</w:t>
            </w:r>
          </w:p>
        </w:tc>
        <w:tc>
          <w:tcPr>
            <w:tcW w:w="361" w:type="pct"/>
            <w:vMerge w:val="restart"/>
            <w:vAlign w:val="center"/>
          </w:tcPr>
          <w:p w14:paraId="0EA9B1D9"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p w14:paraId="1F187C3E"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情况</w:t>
            </w:r>
          </w:p>
        </w:tc>
      </w:tr>
      <w:tr w:rsidR="009D12AF" w14:paraId="2306D312" w14:textId="77777777">
        <w:tc>
          <w:tcPr>
            <w:tcW w:w="396" w:type="pct"/>
            <w:vMerge/>
            <w:vAlign w:val="center"/>
          </w:tcPr>
          <w:p w14:paraId="3C297E22" w14:textId="77777777" w:rsidR="009D12AF" w:rsidRDefault="009D12AF">
            <w:pPr>
              <w:pStyle w:val="af4"/>
              <w:snapToGrid w:val="0"/>
              <w:ind w:firstLineChars="0" w:firstLine="0"/>
              <w:rPr>
                <w:rFonts w:ascii="Times New Roman" w:hAnsi="Times New Roman"/>
                <w:szCs w:val="21"/>
              </w:rPr>
            </w:pPr>
          </w:p>
        </w:tc>
        <w:tc>
          <w:tcPr>
            <w:tcW w:w="439" w:type="pct"/>
            <w:vAlign w:val="center"/>
          </w:tcPr>
          <w:p w14:paraId="1ED8A59C"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X</w:t>
            </w:r>
          </w:p>
        </w:tc>
        <w:tc>
          <w:tcPr>
            <w:tcW w:w="476" w:type="pct"/>
            <w:vAlign w:val="center"/>
          </w:tcPr>
          <w:p w14:paraId="7856218B"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Y</w:t>
            </w:r>
          </w:p>
        </w:tc>
        <w:tc>
          <w:tcPr>
            <w:tcW w:w="565" w:type="pct"/>
            <w:vMerge/>
            <w:vAlign w:val="center"/>
          </w:tcPr>
          <w:p w14:paraId="1B51C377" w14:textId="77777777" w:rsidR="009D12AF" w:rsidRDefault="009D12AF">
            <w:pPr>
              <w:pStyle w:val="af4"/>
              <w:snapToGrid w:val="0"/>
              <w:ind w:firstLineChars="0" w:firstLine="0"/>
              <w:rPr>
                <w:rFonts w:ascii="Times New Roman" w:hAnsi="Times New Roman"/>
                <w:szCs w:val="21"/>
              </w:rPr>
            </w:pPr>
          </w:p>
        </w:tc>
        <w:tc>
          <w:tcPr>
            <w:tcW w:w="667" w:type="pct"/>
            <w:vMerge/>
            <w:vAlign w:val="center"/>
          </w:tcPr>
          <w:p w14:paraId="2AC46A59" w14:textId="77777777" w:rsidR="009D12AF" w:rsidRDefault="009D12AF">
            <w:pPr>
              <w:pStyle w:val="af4"/>
              <w:snapToGrid w:val="0"/>
              <w:ind w:firstLineChars="0" w:firstLine="0"/>
              <w:rPr>
                <w:rFonts w:ascii="Times New Roman" w:hAnsi="Times New Roman"/>
                <w:szCs w:val="21"/>
              </w:rPr>
            </w:pPr>
          </w:p>
        </w:tc>
        <w:tc>
          <w:tcPr>
            <w:tcW w:w="514" w:type="pct"/>
            <w:vMerge/>
            <w:vAlign w:val="center"/>
          </w:tcPr>
          <w:p w14:paraId="4C30A210" w14:textId="77777777" w:rsidR="009D12AF" w:rsidRDefault="009D12AF">
            <w:pPr>
              <w:pStyle w:val="af4"/>
              <w:snapToGrid w:val="0"/>
              <w:ind w:firstLineChars="0" w:firstLine="0"/>
              <w:rPr>
                <w:rFonts w:ascii="Times New Roman" w:hAnsi="Times New Roman"/>
                <w:szCs w:val="21"/>
              </w:rPr>
            </w:pPr>
          </w:p>
        </w:tc>
        <w:tc>
          <w:tcPr>
            <w:tcW w:w="665" w:type="pct"/>
            <w:vMerge/>
            <w:vAlign w:val="center"/>
          </w:tcPr>
          <w:p w14:paraId="00C60F77" w14:textId="77777777" w:rsidR="009D12AF" w:rsidRDefault="009D12AF">
            <w:pPr>
              <w:pStyle w:val="af4"/>
              <w:snapToGrid w:val="0"/>
              <w:ind w:firstLineChars="0" w:firstLine="0"/>
              <w:rPr>
                <w:rFonts w:ascii="Times New Roman" w:hAnsi="Times New Roman"/>
                <w:szCs w:val="21"/>
              </w:rPr>
            </w:pPr>
          </w:p>
        </w:tc>
        <w:tc>
          <w:tcPr>
            <w:tcW w:w="543" w:type="pct"/>
            <w:vMerge/>
            <w:vAlign w:val="center"/>
          </w:tcPr>
          <w:p w14:paraId="494BFEEE" w14:textId="77777777" w:rsidR="009D12AF" w:rsidRDefault="009D12AF">
            <w:pPr>
              <w:pStyle w:val="af4"/>
              <w:snapToGrid w:val="0"/>
              <w:ind w:firstLineChars="0" w:firstLine="0"/>
              <w:rPr>
                <w:rFonts w:ascii="Times New Roman" w:hAnsi="Times New Roman"/>
                <w:szCs w:val="21"/>
              </w:rPr>
            </w:pPr>
          </w:p>
        </w:tc>
        <w:tc>
          <w:tcPr>
            <w:tcW w:w="368" w:type="pct"/>
            <w:vMerge/>
            <w:vAlign w:val="center"/>
          </w:tcPr>
          <w:p w14:paraId="037FBADF" w14:textId="77777777" w:rsidR="009D12AF" w:rsidRDefault="009D12AF">
            <w:pPr>
              <w:pStyle w:val="af4"/>
              <w:snapToGrid w:val="0"/>
              <w:ind w:firstLineChars="0" w:firstLine="0"/>
              <w:rPr>
                <w:rFonts w:ascii="Times New Roman" w:hAnsi="Times New Roman"/>
                <w:szCs w:val="21"/>
              </w:rPr>
            </w:pPr>
          </w:p>
        </w:tc>
        <w:tc>
          <w:tcPr>
            <w:tcW w:w="361" w:type="pct"/>
            <w:vMerge/>
            <w:vAlign w:val="center"/>
          </w:tcPr>
          <w:p w14:paraId="5630A3C0" w14:textId="77777777" w:rsidR="009D12AF" w:rsidRDefault="009D12AF">
            <w:pPr>
              <w:pStyle w:val="af4"/>
              <w:snapToGrid w:val="0"/>
              <w:ind w:firstLineChars="0" w:firstLine="0"/>
              <w:rPr>
                <w:rFonts w:ascii="Times New Roman" w:hAnsi="Times New Roman"/>
                <w:szCs w:val="21"/>
              </w:rPr>
            </w:pPr>
          </w:p>
        </w:tc>
      </w:tr>
      <w:tr w:rsidR="009D12AF" w14:paraId="764BEE43" w14:textId="77777777">
        <w:trPr>
          <w:trHeight w:val="288"/>
        </w:trPr>
        <w:tc>
          <w:tcPr>
            <w:tcW w:w="396" w:type="pct"/>
            <w:vMerge w:val="restart"/>
            <w:vAlign w:val="center"/>
          </w:tcPr>
          <w:p w14:paraId="57DC169B" w14:textId="77777777" w:rsidR="009D12AF" w:rsidRDefault="00000000">
            <w:pPr>
              <w:spacing w:line="240" w:lineRule="auto"/>
              <w:ind w:firstLineChars="0" w:firstLine="0"/>
              <w:jc w:val="center"/>
              <w:rPr>
                <w:sz w:val="21"/>
                <w:szCs w:val="21"/>
              </w:rPr>
            </w:pPr>
            <w:r>
              <w:rPr>
                <w:rFonts w:ascii="Times New Roman" w:hAnsi="Times New Roman" w:hint="eastAsia"/>
                <w:kern w:val="0"/>
                <w:sz w:val="21"/>
              </w:rPr>
              <w:t>群力水库</w:t>
            </w:r>
            <w:r>
              <w:rPr>
                <w:rFonts w:ascii="Times New Roman" w:hAnsi="Times New Roman"/>
                <w:kern w:val="0"/>
                <w:sz w:val="21"/>
              </w:rPr>
              <w:t xml:space="preserve">1# </w:t>
            </w:r>
          </w:p>
        </w:tc>
        <w:tc>
          <w:tcPr>
            <w:tcW w:w="439" w:type="pct"/>
            <w:vMerge w:val="restart"/>
            <w:vAlign w:val="center"/>
          </w:tcPr>
          <w:p w14:paraId="315C1393" w14:textId="77777777" w:rsidR="009D12AF" w:rsidRDefault="00000000">
            <w:pPr>
              <w:spacing w:line="240" w:lineRule="auto"/>
              <w:ind w:firstLineChars="0" w:firstLine="0"/>
              <w:jc w:val="center"/>
              <w:rPr>
                <w:rFonts w:ascii="Times New Roman" w:eastAsia="宋体" w:hAnsi="Times New Roman"/>
                <w:sz w:val="21"/>
                <w:szCs w:val="21"/>
              </w:rPr>
            </w:pPr>
            <w:r>
              <w:rPr>
                <w:rFonts w:ascii="Times New Roman" w:hAnsi="Times New Roman" w:hint="eastAsia"/>
                <w:kern w:val="0"/>
                <w:sz w:val="21"/>
              </w:rPr>
              <w:t>129.651914</w:t>
            </w:r>
          </w:p>
        </w:tc>
        <w:tc>
          <w:tcPr>
            <w:tcW w:w="476" w:type="pct"/>
            <w:vMerge w:val="restart"/>
            <w:vAlign w:val="center"/>
          </w:tcPr>
          <w:p w14:paraId="3467AB05" w14:textId="77777777" w:rsidR="009D12AF" w:rsidRDefault="00000000">
            <w:pPr>
              <w:spacing w:line="240" w:lineRule="auto"/>
              <w:ind w:firstLineChars="0" w:firstLine="0"/>
              <w:rPr>
                <w:rFonts w:ascii="Times New Roman" w:eastAsia="宋体" w:hAnsi="Times New Roman"/>
                <w:sz w:val="21"/>
                <w:szCs w:val="21"/>
              </w:rPr>
            </w:pPr>
            <w:r>
              <w:rPr>
                <w:rFonts w:ascii="Times New Roman" w:hAnsi="Times New Roman" w:hint="eastAsia"/>
                <w:kern w:val="0"/>
                <w:sz w:val="21"/>
              </w:rPr>
              <w:t>44.898259</w:t>
            </w:r>
          </w:p>
        </w:tc>
        <w:tc>
          <w:tcPr>
            <w:tcW w:w="565" w:type="pct"/>
            <w:vAlign w:val="center"/>
          </w:tcPr>
          <w:p w14:paraId="0818B6A3" w14:textId="77777777" w:rsidR="009D12AF" w:rsidRDefault="00000000">
            <w:pPr>
              <w:adjustRightInd w:val="0"/>
              <w:snapToGrid w:val="0"/>
              <w:spacing w:line="240" w:lineRule="auto"/>
              <w:ind w:firstLineChars="0" w:firstLine="0"/>
              <w:jc w:val="center"/>
              <w:rPr>
                <w:sz w:val="21"/>
                <w:szCs w:val="21"/>
              </w:rPr>
            </w:pPr>
            <w:r>
              <w:rPr>
                <w:sz w:val="21"/>
                <w:szCs w:val="21"/>
              </w:rPr>
              <w:t>总悬浮颗粒物</w:t>
            </w:r>
          </w:p>
        </w:tc>
        <w:tc>
          <w:tcPr>
            <w:tcW w:w="667" w:type="pct"/>
            <w:vAlign w:val="center"/>
          </w:tcPr>
          <w:p w14:paraId="37233A32" w14:textId="77777777" w:rsidR="009D12AF" w:rsidRDefault="00000000">
            <w:pPr>
              <w:adjustRightInd w:val="0"/>
              <w:snapToGrid w:val="0"/>
              <w:spacing w:line="240" w:lineRule="auto"/>
              <w:ind w:firstLineChars="0" w:firstLine="0"/>
              <w:jc w:val="center"/>
              <w:rPr>
                <w:sz w:val="21"/>
                <w:szCs w:val="21"/>
              </w:rPr>
            </w:pPr>
            <w:r>
              <w:rPr>
                <w:snapToGrid w:val="0"/>
                <w:sz w:val="21"/>
                <w:szCs w:val="21"/>
              </w:rPr>
              <w:t>24</w:t>
            </w:r>
            <w:r>
              <w:rPr>
                <w:snapToGrid w:val="0"/>
                <w:sz w:val="21"/>
                <w:szCs w:val="21"/>
              </w:rPr>
              <w:t>小时平均</w:t>
            </w:r>
          </w:p>
        </w:tc>
        <w:tc>
          <w:tcPr>
            <w:tcW w:w="514" w:type="pct"/>
            <w:vAlign w:val="center"/>
          </w:tcPr>
          <w:p w14:paraId="5D7C65BB" w14:textId="77777777" w:rsidR="009D12AF" w:rsidRDefault="00000000">
            <w:pPr>
              <w:pStyle w:val="af4"/>
              <w:snapToGrid w:val="0"/>
              <w:ind w:firstLineChars="0" w:firstLine="0"/>
              <w:rPr>
                <w:rFonts w:ascii="Times New Roman" w:hAnsi="Times New Roman"/>
                <w:szCs w:val="21"/>
              </w:rPr>
            </w:pPr>
            <w:r>
              <w:rPr>
                <w:rFonts w:ascii="Times New Roman" w:hAnsi="Times New Roman"/>
                <w:snapToGrid w:val="0"/>
                <w:szCs w:val="21"/>
              </w:rPr>
              <w:t>300</w:t>
            </w:r>
          </w:p>
        </w:tc>
        <w:tc>
          <w:tcPr>
            <w:tcW w:w="665" w:type="pct"/>
            <w:vAlign w:val="center"/>
          </w:tcPr>
          <w:p w14:paraId="0857A169" w14:textId="77777777" w:rsidR="009D12AF" w:rsidRDefault="00000000">
            <w:pPr>
              <w:pStyle w:val="af4"/>
              <w:snapToGrid w:val="0"/>
              <w:ind w:firstLineChars="0" w:firstLine="0"/>
              <w:rPr>
                <w:rFonts w:ascii="Times New Roman" w:hAnsi="Times New Roman"/>
                <w:szCs w:val="21"/>
              </w:rPr>
            </w:pPr>
            <w:r>
              <w:rPr>
                <w:rFonts w:ascii="Times New Roman" w:hAnsi="Times New Roman" w:hint="eastAsia"/>
                <w:szCs w:val="21"/>
              </w:rPr>
              <w:t>181</w:t>
            </w:r>
            <w:r>
              <w:rPr>
                <w:rFonts w:ascii="Times New Roman" w:hAnsi="Times New Roman"/>
                <w:szCs w:val="21"/>
              </w:rPr>
              <w:t>-</w:t>
            </w:r>
            <w:r>
              <w:rPr>
                <w:rFonts w:ascii="Times New Roman" w:hAnsi="Times New Roman" w:hint="eastAsia"/>
                <w:szCs w:val="21"/>
              </w:rPr>
              <w:t>242</w:t>
            </w:r>
          </w:p>
        </w:tc>
        <w:tc>
          <w:tcPr>
            <w:tcW w:w="543" w:type="pct"/>
            <w:vAlign w:val="center"/>
          </w:tcPr>
          <w:p w14:paraId="24D7F0E5"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80.67</w:t>
            </w:r>
          </w:p>
        </w:tc>
        <w:tc>
          <w:tcPr>
            <w:tcW w:w="368" w:type="pct"/>
            <w:vAlign w:val="center"/>
          </w:tcPr>
          <w:p w14:paraId="0B413A11"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361" w:type="pct"/>
            <w:vAlign w:val="center"/>
          </w:tcPr>
          <w:p w14:paraId="605D4C7B"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6DD037F6" w14:textId="77777777">
        <w:trPr>
          <w:trHeight w:val="103"/>
        </w:trPr>
        <w:tc>
          <w:tcPr>
            <w:tcW w:w="396" w:type="pct"/>
            <w:vMerge/>
            <w:vAlign w:val="center"/>
          </w:tcPr>
          <w:p w14:paraId="5A00698A"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5CDDADDF"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3F641C94" w14:textId="77777777" w:rsidR="009D12AF" w:rsidRDefault="009D12AF">
            <w:pPr>
              <w:pStyle w:val="af4"/>
              <w:snapToGrid w:val="0"/>
              <w:ind w:firstLineChars="0" w:firstLine="0"/>
              <w:rPr>
                <w:rFonts w:ascii="Times New Roman" w:hAnsi="Times New Roman"/>
                <w:szCs w:val="21"/>
              </w:rPr>
            </w:pPr>
          </w:p>
        </w:tc>
        <w:tc>
          <w:tcPr>
            <w:tcW w:w="565" w:type="pct"/>
            <w:vAlign w:val="center"/>
          </w:tcPr>
          <w:p w14:paraId="7EA92810" w14:textId="77777777" w:rsidR="009D12AF" w:rsidRDefault="00000000">
            <w:pPr>
              <w:adjustRightInd w:val="0"/>
              <w:snapToGrid w:val="0"/>
              <w:spacing w:line="240" w:lineRule="auto"/>
              <w:ind w:firstLineChars="0" w:firstLine="0"/>
              <w:jc w:val="center"/>
              <w:rPr>
                <w:bCs/>
                <w:sz w:val="21"/>
                <w:szCs w:val="21"/>
              </w:rPr>
            </w:pPr>
            <w:r>
              <w:rPr>
                <w:sz w:val="21"/>
                <w:szCs w:val="21"/>
              </w:rPr>
              <w:t>氨</w:t>
            </w:r>
          </w:p>
        </w:tc>
        <w:tc>
          <w:tcPr>
            <w:tcW w:w="667" w:type="pct"/>
            <w:vAlign w:val="center"/>
          </w:tcPr>
          <w:p w14:paraId="3A72E6E6" w14:textId="77777777" w:rsidR="009D12AF" w:rsidRDefault="00000000">
            <w:pPr>
              <w:adjustRightInd w:val="0"/>
              <w:snapToGrid w:val="0"/>
              <w:spacing w:line="240" w:lineRule="auto"/>
              <w:ind w:firstLineChars="0" w:firstLine="0"/>
              <w:jc w:val="center"/>
              <w:rPr>
                <w:sz w:val="21"/>
                <w:szCs w:val="21"/>
              </w:rPr>
            </w:pPr>
            <w:r>
              <w:rPr>
                <w:sz w:val="21"/>
                <w:szCs w:val="21"/>
              </w:rPr>
              <w:t>1</w:t>
            </w:r>
            <w:r>
              <w:rPr>
                <w:sz w:val="21"/>
                <w:szCs w:val="21"/>
              </w:rPr>
              <w:t>小时平均</w:t>
            </w:r>
          </w:p>
        </w:tc>
        <w:tc>
          <w:tcPr>
            <w:tcW w:w="514" w:type="pct"/>
            <w:vAlign w:val="center"/>
          </w:tcPr>
          <w:p w14:paraId="6510CD69" w14:textId="77777777" w:rsidR="009D12AF" w:rsidRDefault="00000000">
            <w:pPr>
              <w:pStyle w:val="af3"/>
              <w:adjustRightInd w:val="0"/>
              <w:snapToGrid w:val="0"/>
              <w:spacing w:line="240" w:lineRule="auto"/>
              <w:rPr>
                <w:rFonts w:ascii="Times New Roman" w:eastAsia="宋体"/>
                <w:szCs w:val="21"/>
              </w:rPr>
            </w:pPr>
            <w:r>
              <w:rPr>
                <w:rFonts w:ascii="Times New Roman" w:eastAsia="宋体"/>
                <w:szCs w:val="21"/>
              </w:rPr>
              <w:t>200</w:t>
            </w:r>
          </w:p>
        </w:tc>
        <w:tc>
          <w:tcPr>
            <w:tcW w:w="665" w:type="pct"/>
            <w:vAlign w:val="center"/>
          </w:tcPr>
          <w:p w14:paraId="50A51667"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lang w:bidi="ar"/>
              </w:rPr>
              <w:t>ND</w:t>
            </w:r>
          </w:p>
        </w:tc>
        <w:tc>
          <w:tcPr>
            <w:tcW w:w="543" w:type="pct"/>
            <w:vAlign w:val="center"/>
          </w:tcPr>
          <w:p w14:paraId="68593E6A"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w:t>
            </w:r>
          </w:p>
        </w:tc>
        <w:tc>
          <w:tcPr>
            <w:tcW w:w="368" w:type="pct"/>
            <w:vAlign w:val="center"/>
          </w:tcPr>
          <w:p w14:paraId="42BC4FE9"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361" w:type="pct"/>
            <w:vAlign w:val="center"/>
          </w:tcPr>
          <w:p w14:paraId="4D526A98"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1A29A629" w14:textId="77777777">
        <w:trPr>
          <w:trHeight w:val="161"/>
        </w:trPr>
        <w:tc>
          <w:tcPr>
            <w:tcW w:w="396" w:type="pct"/>
            <w:vMerge/>
            <w:vAlign w:val="center"/>
          </w:tcPr>
          <w:p w14:paraId="67FFC409"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5A108E38"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482CEB56" w14:textId="77777777" w:rsidR="009D12AF" w:rsidRDefault="009D12AF">
            <w:pPr>
              <w:pStyle w:val="af4"/>
              <w:snapToGrid w:val="0"/>
              <w:ind w:firstLineChars="0" w:firstLine="0"/>
              <w:rPr>
                <w:rFonts w:ascii="Times New Roman" w:hAnsi="Times New Roman"/>
                <w:szCs w:val="21"/>
              </w:rPr>
            </w:pPr>
          </w:p>
        </w:tc>
        <w:tc>
          <w:tcPr>
            <w:tcW w:w="565" w:type="pct"/>
            <w:vAlign w:val="center"/>
          </w:tcPr>
          <w:p w14:paraId="7E4D18C8" w14:textId="77777777" w:rsidR="009D12AF" w:rsidRDefault="00000000">
            <w:pPr>
              <w:adjustRightInd w:val="0"/>
              <w:snapToGrid w:val="0"/>
              <w:spacing w:line="240" w:lineRule="auto"/>
              <w:ind w:firstLineChars="0" w:firstLine="0"/>
              <w:jc w:val="center"/>
              <w:rPr>
                <w:bCs/>
                <w:sz w:val="21"/>
                <w:szCs w:val="21"/>
              </w:rPr>
            </w:pPr>
            <w:r>
              <w:rPr>
                <w:sz w:val="21"/>
                <w:szCs w:val="21"/>
              </w:rPr>
              <w:t>硫化氢</w:t>
            </w:r>
          </w:p>
        </w:tc>
        <w:tc>
          <w:tcPr>
            <w:tcW w:w="667" w:type="pct"/>
            <w:vAlign w:val="center"/>
          </w:tcPr>
          <w:p w14:paraId="6EBCA8FD" w14:textId="77777777" w:rsidR="009D12AF" w:rsidRDefault="00000000">
            <w:pPr>
              <w:adjustRightInd w:val="0"/>
              <w:snapToGrid w:val="0"/>
              <w:spacing w:line="240" w:lineRule="auto"/>
              <w:ind w:firstLineChars="0" w:firstLine="0"/>
              <w:jc w:val="center"/>
              <w:rPr>
                <w:sz w:val="21"/>
                <w:szCs w:val="21"/>
              </w:rPr>
            </w:pPr>
            <w:r>
              <w:rPr>
                <w:sz w:val="21"/>
                <w:szCs w:val="21"/>
              </w:rPr>
              <w:t>1</w:t>
            </w:r>
            <w:r>
              <w:rPr>
                <w:sz w:val="21"/>
                <w:szCs w:val="21"/>
              </w:rPr>
              <w:t>小时平均</w:t>
            </w:r>
          </w:p>
        </w:tc>
        <w:tc>
          <w:tcPr>
            <w:tcW w:w="514" w:type="pct"/>
            <w:vAlign w:val="center"/>
          </w:tcPr>
          <w:p w14:paraId="56ABE752" w14:textId="77777777" w:rsidR="009D12AF" w:rsidRDefault="00000000">
            <w:pPr>
              <w:pStyle w:val="af3"/>
              <w:adjustRightInd w:val="0"/>
              <w:snapToGrid w:val="0"/>
              <w:spacing w:line="240" w:lineRule="auto"/>
              <w:rPr>
                <w:rFonts w:ascii="Times New Roman" w:eastAsia="宋体"/>
                <w:szCs w:val="21"/>
              </w:rPr>
            </w:pPr>
            <w:r>
              <w:rPr>
                <w:rFonts w:ascii="Times New Roman" w:eastAsia="宋体"/>
                <w:szCs w:val="21"/>
              </w:rPr>
              <w:t>10</w:t>
            </w:r>
          </w:p>
        </w:tc>
        <w:tc>
          <w:tcPr>
            <w:tcW w:w="665" w:type="pct"/>
            <w:vAlign w:val="center"/>
          </w:tcPr>
          <w:p w14:paraId="1BD626E8"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lang w:bidi="ar"/>
              </w:rPr>
              <w:t>ND</w:t>
            </w:r>
          </w:p>
        </w:tc>
        <w:tc>
          <w:tcPr>
            <w:tcW w:w="543" w:type="pct"/>
            <w:vAlign w:val="center"/>
          </w:tcPr>
          <w:p w14:paraId="019F5E43"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368" w:type="pct"/>
            <w:vAlign w:val="center"/>
          </w:tcPr>
          <w:p w14:paraId="59EFEADC"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361" w:type="pct"/>
            <w:vAlign w:val="center"/>
          </w:tcPr>
          <w:p w14:paraId="6411CE71"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15DEB76F" w14:textId="77777777">
        <w:trPr>
          <w:trHeight w:val="161"/>
        </w:trPr>
        <w:tc>
          <w:tcPr>
            <w:tcW w:w="396" w:type="pct"/>
            <w:vMerge/>
            <w:vAlign w:val="center"/>
          </w:tcPr>
          <w:p w14:paraId="4AD835F4"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639AC148"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42F5D9B9" w14:textId="77777777" w:rsidR="009D12AF" w:rsidRDefault="009D12AF">
            <w:pPr>
              <w:pStyle w:val="af4"/>
              <w:snapToGrid w:val="0"/>
              <w:ind w:firstLineChars="0" w:firstLine="0"/>
              <w:rPr>
                <w:rFonts w:ascii="Times New Roman" w:hAnsi="Times New Roman"/>
                <w:szCs w:val="21"/>
              </w:rPr>
            </w:pPr>
          </w:p>
        </w:tc>
        <w:tc>
          <w:tcPr>
            <w:tcW w:w="565" w:type="pct"/>
            <w:vAlign w:val="center"/>
          </w:tcPr>
          <w:p w14:paraId="6CAE5DA1" w14:textId="77777777" w:rsidR="009D12AF" w:rsidRDefault="00000000">
            <w:pPr>
              <w:adjustRightInd w:val="0"/>
              <w:snapToGrid w:val="0"/>
              <w:spacing w:line="240" w:lineRule="auto"/>
              <w:ind w:firstLineChars="0" w:firstLine="0"/>
              <w:jc w:val="center"/>
              <w:rPr>
                <w:bCs/>
                <w:sz w:val="21"/>
                <w:szCs w:val="21"/>
              </w:rPr>
            </w:pPr>
            <w:r>
              <w:rPr>
                <w:sz w:val="21"/>
                <w:szCs w:val="21"/>
              </w:rPr>
              <w:t>臭气浓度</w:t>
            </w:r>
          </w:p>
        </w:tc>
        <w:tc>
          <w:tcPr>
            <w:tcW w:w="667" w:type="pct"/>
            <w:vAlign w:val="center"/>
          </w:tcPr>
          <w:p w14:paraId="784AD801" w14:textId="77777777" w:rsidR="009D12AF" w:rsidRDefault="00000000">
            <w:pPr>
              <w:adjustRightInd w:val="0"/>
              <w:snapToGrid w:val="0"/>
              <w:spacing w:line="240" w:lineRule="auto"/>
              <w:ind w:firstLineChars="0" w:firstLine="0"/>
              <w:jc w:val="center"/>
              <w:rPr>
                <w:snapToGrid w:val="0"/>
                <w:sz w:val="21"/>
                <w:szCs w:val="21"/>
              </w:rPr>
            </w:pPr>
            <w:r>
              <w:rPr>
                <w:snapToGrid w:val="0"/>
                <w:sz w:val="21"/>
                <w:szCs w:val="21"/>
              </w:rPr>
              <w:t>一次值</w:t>
            </w:r>
          </w:p>
        </w:tc>
        <w:tc>
          <w:tcPr>
            <w:tcW w:w="514" w:type="pct"/>
            <w:vAlign w:val="center"/>
          </w:tcPr>
          <w:p w14:paraId="6A4D9B91" w14:textId="77777777" w:rsidR="009D12AF" w:rsidRDefault="00000000">
            <w:pPr>
              <w:pStyle w:val="af4"/>
              <w:snapToGrid w:val="0"/>
              <w:ind w:firstLineChars="0" w:firstLine="0"/>
              <w:rPr>
                <w:rFonts w:ascii="Times New Roman" w:hAnsi="Times New Roman"/>
                <w:snapToGrid w:val="0"/>
                <w:szCs w:val="21"/>
              </w:rPr>
            </w:pPr>
            <w:r>
              <w:rPr>
                <w:rFonts w:ascii="Times New Roman" w:hAnsi="Times New Roman"/>
                <w:snapToGrid w:val="0"/>
                <w:szCs w:val="21"/>
              </w:rPr>
              <w:t>20</w:t>
            </w:r>
          </w:p>
        </w:tc>
        <w:tc>
          <w:tcPr>
            <w:tcW w:w="665" w:type="pct"/>
            <w:vAlign w:val="center"/>
          </w:tcPr>
          <w:p w14:paraId="3E55F799"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lang w:bidi="ar"/>
              </w:rPr>
              <w:t>＜</w:t>
            </w:r>
            <w:r>
              <w:rPr>
                <w:rFonts w:ascii="Times New Roman" w:hAnsi="Times New Roman"/>
                <w:szCs w:val="21"/>
                <w:lang w:bidi="ar"/>
              </w:rPr>
              <w:t>10</w:t>
            </w:r>
          </w:p>
        </w:tc>
        <w:tc>
          <w:tcPr>
            <w:tcW w:w="543" w:type="pct"/>
            <w:vAlign w:val="center"/>
          </w:tcPr>
          <w:p w14:paraId="03086DF8"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368" w:type="pct"/>
            <w:vAlign w:val="center"/>
          </w:tcPr>
          <w:p w14:paraId="756F7E36"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361" w:type="pct"/>
            <w:vAlign w:val="center"/>
          </w:tcPr>
          <w:p w14:paraId="5149C385"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66C136ED" w14:textId="77777777">
        <w:trPr>
          <w:trHeight w:val="161"/>
        </w:trPr>
        <w:tc>
          <w:tcPr>
            <w:tcW w:w="396" w:type="pct"/>
            <w:vMerge w:val="restart"/>
            <w:vAlign w:val="center"/>
          </w:tcPr>
          <w:p w14:paraId="1C2FE94E" w14:textId="77777777" w:rsidR="009D12AF" w:rsidRDefault="00000000">
            <w:pPr>
              <w:spacing w:line="240" w:lineRule="auto"/>
              <w:ind w:firstLineChars="0" w:firstLine="0"/>
              <w:jc w:val="center"/>
              <w:rPr>
                <w:sz w:val="21"/>
                <w:szCs w:val="21"/>
              </w:rPr>
            </w:pPr>
            <w:r>
              <w:rPr>
                <w:rFonts w:ascii="Times New Roman" w:hAnsi="Times New Roman" w:hint="eastAsia"/>
                <w:kern w:val="0"/>
                <w:sz w:val="21"/>
              </w:rPr>
              <w:t>群力水库</w:t>
            </w:r>
            <w:r>
              <w:rPr>
                <w:rFonts w:ascii="Times New Roman" w:hAnsi="Times New Roman"/>
                <w:kern w:val="0"/>
                <w:sz w:val="21"/>
              </w:rPr>
              <w:t xml:space="preserve">2# </w:t>
            </w:r>
          </w:p>
        </w:tc>
        <w:tc>
          <w:tcPr>
            <w:tcW w:w="439" w:type="pct"/>
            <w:vMerge w:val="restart"/>
            <w:vAlign w:val="center"/>
          </w:tcPr>
          <w:p w14:paraId="75160FDA" w14:textId="77777777" w:rsidR="009D12AF" w:rsidRDefault="00000000">
            <w:pPr>
              <w:spacing w:line="240" w:lineRule="auto"/>
              <w:ind w:firstLineChars="0" w:firstLine="0"/>
              <w:jc w:val="center"/>
              <w:rPr>
                <w:rFonts w:ascii="Times New Roman" w:eastAsia="宋体" w:hAnsi="Times New Roman"/>
                <w:sz w:val="21"/>
                <w:szCs w:val="21"/>
              </w:rPr>
            </w:pPr>
            <w:r>
              <w:rPr>
                <w:rFonts w:ascii="Times New Roman" w:hAnsi="Times New Roman" w:hint="eastAsia"/>
                <w:kern w:val="0"/>
                <w:sz w:val="21"/>
              </w:rPr>
              <w:t>129.658437</w:t>
            </w:r>
          </w:p>
        </w:tc>
        <w:tc>
          <w:tcPr>
            <w:tcW w:w="476" w:type="pct"/>
            <w:vMerge w:val="restart"/>
            <w:vAlign w:val="center"/>
          </w:tcPr>
          <w:p w14:paraId="6A6B1913" w14:textId="77777777" w:rsidR="009D12AF" w:rsidRDefault="00000000">
            <w:pPr>
              <w:spacing w:line="240" w:lineRule="auto"/>
              <w:ind w:firstLineChars="0" w:firstLine="0"/>
              <w:jc w:val="center"/>
              <w:rPr>
                <w:rFonts w:ascii="Times New Roman" w:eastAsia="宋体" w:hAnsi="Times New Roman"/>
                <w:sz w:val="21"/>
                <w:szCs w:val="21"/>
              </w:rPr>
            </w:pPr>
            <w:r>
              <w:rPr>
                <w:rFonts w:ascii="Times New Roman" w:hAnsi="Times New Roman" w:hint="eastAsia"/>
                <w:kern w:val="0"/>
                <w:sz w:val="21"/>
              </w:rPr>
              <w:t>44.908451</w:t>
            </w:r>
          </w:p>
        </w:tc>
        <w:tc>
          <w:tcPr>
            <w:tcW w:w="963" w:type="dxa"/>
            <w:vAlign w:val="center"/>
          </w:tcPr>
          <w:p w14:paraId="29ADE9E9" w14:textId="77777777" w:rsidR="009D12AF" w:rsidRDefault="00000000">
            <w:pPr>
              <w:adjustRightInd w:val="0"/>
              <w:snapToGrid w:val="0"/>
              <w:spacing w:line="240" w:lineRule="auto"/>
              <w:ind w:firstLineChars="0" w:firstLine="0"/>
              <w:jc w:val="center"/>
              <w:rPr>
                <w:sz w:val="21"/>
                <w:szCs w:val="21"/>
              </w:rPr>
            </w:pPr>
            <w:r>
              <w:rPr>
                <w:sz w:val="21"/>
                <w:szCs w:val="21"/>
              </w:rPr>
              <w:t>总悬浮颗粒物</w:t>
            </w:r>
          </w:p>
        </w:tc>
        <w:tc>
          <w:tcPr>
            <w:tcW w:w="1137" w:type="dxa"/>
            <w:vAlign w:val="center"/>
          </w:tcPr>
          <w:p w14:paraId="0FF35ABA" w14:textId="77777777" w:rsidR="009D12AF" w:rsidRDefault="00000000">
            <w:pPr>
              <w:adjustRightInd w:val="0"/>
              <w:snapToGrid w:val="0"/>
              <w:spacing w:line="240" w:lineRule="auto"/>
              <w:ind w:firstLineChars="0" w:firstLine="0"/>
              <w:jc w:val="center"/>
              <w:rPr>
                <w:snapToGrid w:val="0"/>
                <w:sz w:val="21"/>
                <w:szCs w:val="21"/>
              </w:rPr>
            </w:pPr>
            <w:r>
              <w:rPr>
                <w:snapToGrid w:val="0"/>
                <w:sz w:val="21"/>
                <w:szCs w:val="21"/>
              </w:rPr>
              <w:t>24</w:t>
            </w:r>
            <w:r>
              <w:rPr>
                <w:snapToGrid w:val="0"/>
                <w:sz w:val="21"/>
                <w:szCs w:val="21"/>
              </w:rPr>
              <w:t>小时平均</w:t>
            </w:r>
          </w:p>
        </w:tc>
        <w:tc>
          <w:tcPr>
            <w:tcW w:w="876" w:type="dxa"/>
            <w:vAlign w:val="center"/>
          </w:tcPr>
          <w:p w14:paraId="05EC4533" w14:textId="77777777" w:rsidR="009D12AF" w:rsidRDefault="00000000">
            <w:pPr>
              <w:pStyle w:val="af4"/>
              <w:snapToGrid w:val="0"/>
              <w:ind w:firstLineChars="0" w:firstLine="0"/>
              <w:rPr>
                <w:rFonts w:ascii="Times New Roman" w:hAnsi="Times New Roman"/>
                <w:snapToGrid w:val="0"/>
                <w:szCs w:val="21"/>
              </w:rPr>
            </w:pPr>
            <w:r>
              <w:rPr>
                <w:rFonts w:ascii="Times New Roman" w:hAnsi="Times New Roman"/>
                <w:snapToGrid w:val="0"/>
                <w:szCs w:val="21"/>
              </w:rPr>
              <w:t>300</w:t>
            </w:r>
          </w:p>
        </w:tc>
        <w:tc>
          <w:tcPr>
            <w:tcW w:w="665" w:type="pct"/>
            <w:vAlign w:val="center"/>
          </w:tcPr>
          <w:p w14:paraId="54276EC6"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hint="eastAsia"/>
                <w:szCs w:val="21"/>
                <w:lang w:bidi="ar"/>
              </w:rPr>
              <w:t>193-248</w:t>
            </w:r>
          </w:p>
        </w:tc>
        <w:tc>
          <w:tcPr>
            <w:tcW w:w="543" w:type="pct"/>
            <w:vAlign w:val="center"/>
          </w:tcPr>
          <w:p w14:paraId="07D17315"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82.67</w:t>
            </w:r>
          </w:p>
        </w:tc>
        <w:tc>
          <w:tcPr>
            <w:tcW w:w="628" w:type="dxa"/>
            <w:vAlign w:val="center"/>
          </w:tcPr>
          <w:p w14:paraId="0938953E"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5AC2303B"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636403AD" w14:textId="77777777">
        <w:trPr>
          <w:trHeight w:val="161"/>
        </w:trPr>
        <w:tc>
          <w:tcPr>
            <w:tcW w:w="396" w:type="pct"/>
            <w:vMerge/>
            <w:vAlign w:val="center"/>
          </w:tcPr>
          <w:p w14:paraId="1D6506BB"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47BFE53C"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27CA1C92"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0FB6C47D" w14:textId="77777777" w:rsidR="009D12AF" w:rsidRDefault="00000000">
            <w:pPr>
              <w:adjustRightInd w:val="0"/>
              <w:snapToGrid w:val="0"/>
              <w:spacing w:line="240" w:lineRule="auto"/>
              <w:ind w:firstLineChars="0" w:firstLine="0"/>
              <w:jc w:val="center"/>
              <w:rPr>
                <w:sz w:val="21"/>
                <w:szCs w:val="21"/>
              </w:rPr>
            </w:pPr>
            <w:r>
              <w:rPr>
                <w:sz w:val="21"/>
                <w:szCs w:val="21"/>
              </w:rPr>
              <w:t>氨</w:t>
            </w:r>
          </w:p>
        </w:tc>
        <w:tc>
          <w:tcPr>
            <w:tcW w:w="1137" w:type="dxa"/>
            <w:vAlign w:val="center"/>
          </w:tcPr>
          <w:p w14:paraId="719CB2C5" w14:textId="77777777" w:rsidR="009D12AF" w:rsidRDefault="00000000">
            <w:pPr>
              <w:adjustRightInd w:val="0"/>
              <w:snapToGrid w:val="0"/>
              <w:spacing w:line="240" w:lineRule="auto"/>
              <w:ind w:firstLineChars="0" w:firstLine="0"/>
              <w:jc w:val="center"/>
              <w:rPr>
                <w:snapToGrid w:val="0"/>
                <w:sz w:val="21"/>
                <w:szCs w:val="21"/>
              </w:rPr>
            </w:pPr>
            <w:r>
              <w:rPr>
                <w:sz w:val="21"/>
                <w:szCs w:val="21"/>
              </w:rPr>
              <w:t>1</w:t>
            </w:r>
            <w:r>
              <w:rPr>
                <w:sz w:val="21"/>
                <w:szCs w:val="21"/>
              </w:rPr>
              <w:t>小时平均</w:t>
            </w:r>
          </w:p>
        </w:tc>
        <w:tc>
          <w:tcPr>
            <w:tcW w:w="876" w:type="dxa"/>
            <w:vAlign w:val="center"/>
          </w:tcPr>
          <w:p w14:paraId="238314B9" w14:textId="77777777" w:rsidR="009D12AF" w:rsidRDefault="00000000">
            <w:pPr>
              <w:pStyle w:val="af3"/>
              <w:adjustRightInd w:val="0"/>
              <w:snapToGrid w:val="0"/>
              <w:spacing w:line="240" w:lineRule="auto"/>
              <w:rPr>
                <w:rFonts w:ascii="Times New Roman" w:eastAsia="宋体" w:hAnsi="Times New Roman"/>
                <w:snapToGrid w:val="0"/>
                <w:szCs w:val="21"/>
              </w:rPr>
            </w:pPr>
            <w:r>
              <w:rPr>
                <w:rFonts w:ascii="Times New Roman" w:eastAsia="宋体"/>
                <w:szCs w:val="21"/>
              </w:rPr>
              <w:t>200</w:t>
            </w:r>
          </w:p>
        </w:tc>
        <w:tc>
          <w:tcPr>
            <w:tcW w:w="1134" w:type="dxa"/>
            <w:vAlign w:val="center"/>
          </w:tcPr>
          <w:p w14:paraId="76BEB912"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ND</w:t>
            </w:r>
          </w:p>
        </w:tc>
        <w:tc>
          <w:tcPr>
            <w:tcW w:w="926" w:type="dxa"/>
            <w:vAlign w:val="center"/>
          </w:tcPr>
          <w:p w14:paraId="0DCEECC4"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w:t>
            </w:r>
          </w:p>
        </w:tc>
        <w:tc>
          <w:tcPr>
            <w:tcW w:w="628" w:type="dxa"/>
            <w:vAlign w:val="center"/>
          </w:tcPr>
          <w:p w14:paraId="565DCD2E"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67953D78"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10ADA29B" w14:textId="77777777">
        <w:trPr>
          <w:trHeight w:val="161"/>
        </w:trPr>
        <w:tc>
          <w:tcPr>
            <w:tcW w:w="396" w:type="pct"/>
            <w:vMerge/>
            <w:vAlign w:val="center"/>
          </w:tcPr>
          <w:p w14:paraId="0EEDF0F2"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5941395F"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3642D9F6"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3DB09426" w14:textId="77777777" w:rsidR="009D12AF" w:rsidRDefault="00000000">
            <w:pPr>
              <w:adjustRightInd w:val="0"/>
              <w:snapToGrid w:val="0"/>
              <w:spacing w:line="240" w:lineRule="auto"/>
              <w:ind w:firstLineChars="0" w:firstLine="0"/>
              <w:jc w:val="center"/>
              <w:rPr>
                <w:sz w:val="21"/>
                <w:szCs w:val="21"/>
              </w:rPr>
            </w:pPr>
            <w:r>
              <w:rPr>
                <w:sz w:val="21"/>
                <w:szCs w:val="21"/>
              </w:rPr>
              <w:t>硫化氢</w:t>
            </w:r>
          </w:p>
        </w:tc>
        <w:tc>
          <w:tcPr>
            <w:tcW w:w="1137" w:type="dxa"/>
            <w:vAlign w:val="center"/>
          </w:tcPr>
          <w:p w14:paraId="3A305138" w14:textId="77777777" w:rsidR="009D12AF" w:rsidRDefault="00000000">
            <w:pPr>
              <w:adjustRightInd w:val="0"/>
              <w:snapToGrid w:val="0"/>
              <w:spacing w:line="240" w:lineRule="auto"/>
              <w:ind w:firstLineChars="0" w:firstLine="0"/>
              <w:jc w:val="center"/>
              <w:rPr>
                <w:snapToGrid w:val="0"/>
                <w:sz w:val="21"/>
                <w:szCs w:val="21"/>
              </w:rPr>
            </w:pPr>
            <w:r>
              <w:rPr>
                <w:sz w:val="21"/>
                <w:szCs w:val="21"/>
              </w:rPr>
              <w:t>1</w:t>
            </w:r>
            <w:r>
              <w:rPr>
                <w:sz w:val="21"/>
                <w:szCs w:val="21"/>
              </w:rPr>
              <w:t>小时平均</w:t>
            </w:r>
          </w:p>
        </w:tc>
        <w:tc>
          <w:tcPr>
            <w:tcW w:w="876" w:type="dxa"/>
            <w:vAlign w:val="center"/>
          </w:tcPr>
          <w:p w14:paraId="6AA89BE5" w14:textId="77777777" w:rsidR="009D12AF" w:rsidRDefault="00000000">
            <w:pPr>
              <w:pStyle w:val="af3"/>
              <w:adjustRightInd w:val="0"/>
              <w:snapToGrid w:val="0"/>
              <w:spacing w:line="240" w:lineRule="auto"/>
              <w:rPr>
                <w:rFonts w:ascii="Times New Roman" w:eastAsia="宋体" w:hAnsi="Times New Roman"/>
                <w:snapToGrid w:val="0"/>
                <w:szCs w:val="21"/>
              </w:rPr>
            </w:pPr>
            <w:r>
              <w:rPr>
                <w:rFonts w:ascii="Times New Roman" w:eastAsia="宋体"/>
                <w:szCs w:val="21"/>
              </w:rPr>
              <w:t>10</w:t>
            </w:r>
          </w:p>
        </w:tc>
        <w:tc>
          <w:tcPr>
            <w:tcW w:w="1134" w:type="dxa"/>
            <w:vAlign w:val="center"/>
          </w:tcPr>
          <w:p w14:paraId="61719620"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ND</w:t>
            </w:r>
          </w:p>
        </w:tc>
        <w:tc>
          <w:tcPr>
            <w:tcW w:w="926" w:type="dxa"/>
            <w:vAlign w:val="center"/>
          </w:tcPr>
          <w:p w14:paraId="5D994614"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628" w:type="dxa"/>
            <w:vAlign w:val="center"/>
          </w:tcPr>
          <w:p w14:paraId="5C226227"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2E1C59CC"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3B9FD7CC" w14:textId="77777777">
        <w:trPr>
          <w:trHeight w:val="161"/>
        </w:trPr>
        <w:tc>
          <w:tcPr>
            <w:tcW w:w="396" w:type="pct"/>
            <w:vMerge/>
            <w:vAlign w:val="center"/>
          </w:tcPr>
          <w:p w14:paraId="7043D053"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749BECF2"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1CDDF63A"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0A3BE1B8" w14:textId="77777777" w:rsidR="009D12AF" w:rsidRDefault="00000000">
            <w:pPr>
              <w:adjustRightInd w:val="0"/>
              <w:snapToGrid w:val="0"/>
              <w:spacing w:line="240" w:lineRule="auto"/>
              <w:ind w:firstLineChars="0" w:firstLine="0"/>
              <w:jc w:val="center"/>
              <w:rPr>
                <w:sz w:val="21"/>
                <w:szCs w:val="21"/>
              </w:rPr>
            </w:pPr>
            <w:r>
              <w:rPr>
                <w:sz w:val="21"/>
                <w:szCs w:val="21"/>
              </w:rPr>
              <w:t>臭气浓度</w:t>
            </w:r>
          </w:p>
        </w:tc>
        <w:tc>
          <w:tcPr>
            <w:tcW w:w="1137" w:type="dxa"/>
            <w:vAlign w:val="center"/>
          </w:tcPr>
          <w:p w14:paraId="364F10BC" w14:textId="77777777" w:rsidR="009D12AF" w:rsidRDefault="00000000">
            <w:pPr>
              <w:adjustRightInd w:val="0"/>
              <w:snapToGrid w:val="0"/>
              <w:spacing w:line="240" w:lineRule="auto"/>
              <w:ind w:firstLineChars="0" w:firstLine="0"/>
              <w:jc w:val="center"/>
              <w:rPr>
                <w:snapToGrid w:val="0"/>
                <w:sz w:val="21"/>
                <w:szCs w:val="21"/>
              </w:rPr>
            </w:pPr>
            <w:r>
              <w:rPr>
                <w:snapToGrid w:val="0"/>
                <w:sz w:val="21"/>
                <w:szCs w:val="21"/>
              </w:rPr>
              <w:t>一次值</w:t>
            </w:r>
          </w:p>
        </w:tc>
        <w:tc>
          <w:tcPr>
            <w:tcW w:w="876" w:type="dxa"/>
            <w:vAlign w:val="center"/>
          </w:tcPr>
          <w:p w14:paraId="1241BB51" w14:textId="77777777" w:rsidR="009D12AF" w:rsidRDefault="00000000">
            <w:pPr>
              <w:pStyle w:val="af4"/>
              <w:snapToGrid w:val="0"/>
              <w:ind w:firstLineChars="0" w:firstLine="0"/>
              <w:rPr>
                <w:rFonts w:ascii="Times New Roman" w:hAnsi="Times New Roman"/>
                <w:snapToGrid w:val="0"/>
                <w:szCs w:val="21"/>
              </w:rPr>
            </w:pPr>
            <w:r>
              <w:rPr>
                <w:rFonts w:ascii="Times New Roman" w:hAnsi="Times New Roman"/>
                <w:snapToGrid w:val="0"/>
                <w:szCs w:val="21"/>
              </w:rPr>
              <w:t>20</w:t>
            </w:r>
          </w:p>
        </w:tc>
        <w:tc>
          <w:tcPr>
            <w:tcW w:w="1134" w:type="dxa"/>
            <w:vAlign w:val="center"/>
          </w:tcPr>
          <w:p w14:paraId="7EBBBCAF"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w:t>
            </w:r>
            <w:r>
              <w:rPr>
                <w:rFonts w:ascii="Times New Roman" w:hAnsi="Times New Roman"/>
                <w:szCs w:val="21"/>
                <w:lang w:bidi="ar"/>
              </w:rPr>
              <w:t>10</w:t>
            </w:r>
          </w:p>
        </w:tc>
        <w:tc>
          <w:tcPr>
            <w:tcW w:w="926" w:type="dxa"/>
            <w:vAlign w:val="center"/>
          </w:tcPr>
          <w:p w14:paraId="03427080"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628" w:type="dxa"/>
            <w:vAlign w:val="center"/>
          </w:tcPr>
          <w:p w14:paraId="26E299C5"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5E31E80B"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28CCCB54" w14:textId="77777777">
        <w:trPr>
          <w:trHeight w:val="161"/>
        </w:trPr>
        <w:tc>
          <w:tcPr>
            <w:tcW w:w="396" w:type="pct"/>
            <w:vMerge w:val="restart"/>
            <w:vAlign w:val="center"/>
          </w:tcPr>
          <w:p w14:paraId="7E2672DD" w14:textId="77777777" w:rsidR="009D12AF" w:rsidRDefault="00000000">
            <w:pPr>
              <w:spacing w:line="240" w:lineRule="auto"/>
              <w:ind w:firstLineChars="0" w:firstLine="0"/>
              <w:jc w:val="center"/>
              <w:rPr>
                <w:sz w:val="21"/>
                <w:szCs w:val="21"/>
              </w:rPr>
            </w:pPr>
            <w:r>
              <w:rPr>
                <w:rFonts w:ascii="Times New Roman" w:hAnsi="Times New Roman" w:hint="eastAsia"/>
                <w:kern w:val="0"/>
                <w:sz w:val="21"/>
              </w:rPr>
              <w:t>万丈水库</w:t>
            </w:r>
            <w:r>
              <w:rPr>
                <w:rFonts w:ascii="Times New Roman" w:hAnsi="Times New Roman" w:hint="eastAsia"/>
                <w:kern w:val="0"/>
                <w:sz w:val="21"/>
              </w:rPr>
              <w:t>1#</w:t>
            </w:r>
          </w:p>
        </w:tc>
        <w:tc>
          <w:tcPr>
            <w:tcW w:w="439" w:type="pct"/>
            <w:vMerge w:val="restart"/>
            <w:vAlign w:val="center"/>
          </w:tcPr>
          <w:p w14:paraId="24118C9C" w14:textId="77777777" w:rsidR="009D12AF" w:rsidRDefault="00000000">
            <w:pPr>
              <w:spacing w:line="240" w:lineRule="auto"/>
              <w:ind w:firstLineChars="0" w:firstLine="0"/>
              <w:jc w:val="center"/>
              <w:rPr>
                <w:rFonts w:ascii="Times New Roman" w:eastAsia="宋体" w:hAnsi="Times New Roman"/>
                <w:sz w:val="21"/>
                <w:szCs w:val="21"/>
              </w:rPr>
            </w:pPr>
            <w:r>
              <w:rPr>
                <w:rFonts w:ascii="Times New Roman" w:hAnsi="Times New Roman" w:hint="eastAsia"/>
                <w:kern w:val="0"/>
                <w:sz w:val="21"/>
              </w:rPr>
              <w:t>128.949519</w:t>
            </w:r>
          </w:p>
        </w:tc>
        <w:tc>
          <w:tcPr>
            <w:tcW w:w="476" w:type="pct"/>
            <w:vMerge w:val="restart"/>
            <w:vAlign w:val="center"/>
          </w:tcPr>
          <w:p w14:paraId="504C0E1E" w14:textId="77777777" w:rsidR="009D12AF" w:rsidRDefault="00000000">
            <w:pPr>
              <w:spacing w:line="240" w:lineRule="auto"/>
              <w:ind w:firstLineChars="0" w:firstLine="0"/>
              <w:jc w:val="center"/>
              <w:rPr>
                <w:rFonts w:ascii="Times New Roman" w:eastAsia="宋体" w:hAnsi="Times New Roman"/>
                <w:sz w:val="21"/>
                <w:szCs w:val="21"/>
              </w:rPr>
            </w:pPr>
            <w:r>
              <w:rPr>
                <w:rFonts w:ascii="Times New Roman" w:hAnsi="Times New Roman" w:hint="eastAsia"/>
                <w:kern w:val="0"/>
                <w:sz w:val="21"/>
              </w:rPr>
              <w:t>44.360073</w:t>
            </w:r>
          </w:p>
        </w:tc>
        <w:tc>
          <w:tcPr>
            <w:tcW w:w="963" w:type="dxa"/>
            <w:vAlign w:val="center"/>
          </w:tcPr>
          <w:p w14:paraId="10C67FC0" w14:textId="77777777" w:rsidR="009D12AF" w:rsidRDefault="00000000">
            <w:pPr>
              <w:adjustRightInd w:val="0"/>
              <w:snapToGrid w:val="0"/>
              <w:spacing w:line="240" w:lineRule="auto"/>
              <w:ind w:firstLineChars="0" w:firstLine="0"/>
              <w:jc w:val="center"/>
              <w:rPr>
                <w:sz w:val="21"/>
                <w:szCs w:val="21"/>
              </w:rPr>
            </w:pPr>
            <w:r>
              <w:rPr>
                <w:sz w:val="21"/>
                <w:szCs w:val="21"/>
              </w:rPr>
              <w:t>总悬浮颗粒物</w:t>
            </w:r>
          </w:p>
        </w:tc>
        <w:tc>
          <w:tcPr>
            <w:tcW w:w="1137" w:type="dxa"/>
            <w:vAlign w:val="center"/>
          </w:tcPr>
          <w:p w14:paraId="2A1F9CFA" w14:textId="77777777" w:rsidR="009D12AF" w:rsidRDefault="00000000">
            <w:pPr>
              <w:adjustRightInd w:val="0"/>
              <w:snapToGrid w:val="0"/>
              <w:spacing w:line="240" w:lineRule="auto"/>
              <w:ind w:firstLineChars="0" w:firstLine="0"/>
              <w:jc w:val="center"/>
              <w:rPr>
                <w:snapToGrid w:val="0"/>
                <w:sz w:val="21"/>
                <w:szCs w:val="21"/>
              </w:rPr>
            </w:pPr>
            <w:r>
              <w:rPr>
                <w:snapToGrid w:val="0"/>
                <w:sz w:val="21"/>
                <w:szCs w:val="21"/>
              </w:rPr>
              <w:t>24</w:t>
            </w:r>
            <w:r>
              <w:rPr>
                <w:snapToGrid w:val="0"/>
                <w:sz w:val="21"/>
                <w:szCs w:val="21"/>
              </w:rPr>
              <w:t>小时平均</w:t>
            </w:r>
          </w:p>
        </w:tc>
        <w:tc>
          <w:tcPr>
            <w:tcW w:w="876" w:type="dxa"/>
            <w:vAlign w:val="center"/>
          </w:tcPr>
          <w:p w14:paraId="19D5ED74" w14:textId="77777777" w:rsidR="009D12AF" w:rsidRDefault="00000000">
            <w:pPr>
              <w:pStyle w:val="af4"/>
              <w:snapToGrid w:val="0"/>
              <w:ind w:firstLineChars="0" w:firstLine="0"/>
              <w:rPr>
                <w:rFonts w:ascii="Times New Roman" w:hAnsi="Times New Roman"/>
                <w:snapToGrid w:val="0"/>
                <w:szCs w:val="21"/>
              </w:rPr>
            </w:pPr>
            <w:r>
              <w:rPr>
                <w:rFonts w:ascii="Times New Roman" w:hAnsi="Times New Roman"/>
                <w:snapToGrid w:val="0"/>
                <w:szCs w:val="21"/>
              </w:rPr>
              <w:t>300</w:t>
            </w:r>
          </w:p>
        </w:tc>
        <w:tc>
          <w:tcPr>
            <w:tcW w:w="665" w:type="pct"/>
            <w:vAlign w:val="center"/>
          </w:tcPr>
          <w:p w14:paraId="3F032B52"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hint="eastAsia"/>
                <w:szCs w:val="21"/>
                <w:lang w:bidi="ar"/>
              </w:rPr>
              <w:t>193-244</w:t>
            </w:r>
          </w:p>
        </w:tc>
        <w:tc>
          <w:tcPr>
            <w:tcW w:w="543" w:type="pct"/>
            <w:vAlign w:val="center"/>
          </w:tcPr>
          <w:p w14:paraId="77A1BAC2"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81.33</w:t>
            </w:r>
          </w:p>
        </w:tc>
        <w:tc>
          <w:tcPr>
            <w:tcW w:w="628" w:type="dxa"/>
            <w:vAlign w:val="center"/>
          </w:tcPr>
          <w:p w14:paraId="128699BE"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50C4CBD7"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4AE24988" w14:textId="77777777">
        <w:trPr>
          <w:trHeight w:val="161"/>
        </w:trPr>
        <w:tc>
          <w:tcPr>
            <w:tcW w:w="396" w:type="pct"/>
            <w:vMerge/>
            <w:vAlign w:val="center"/>
          </w:tcPr>
          <w:p w14:paraId="53A10F49"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64D43F14"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3D84E11F"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2DBD2998" w14:textId="77777777" w:rsidR="009D12AF" w:rsidRDefault="00000000">
            <w:pPr>
              <w:adjustRightInd w:val="0"/>
              <w:snapToGrid w:val="0"/>
              <w:spacing w:line="240" w:lineRule="auto"/>
              <w:ind w:firstLineChars="0" w:firstLine="0"/>
              <w:jc w:val="center"/>
              <w:rPr>
                <w:sz w:val="21"/>
                <w:szCs w:val="21"/>
              </w:rPr>
            </w:pPr>
            <w:r>
              <w:rPr>
                <w:sz w:val="21"/>
                <w:szCs w:val="21"/>
              </w:rPr>
              <w:t>氨</w:t>
            </w:r>
          </w:p>
        </w:tc>
        <w:tc>
          <w:tcPr>
            <w:tcW w:w="1137" w:type="dxa"/>
            <w:vAlign w:val="center"/>
          </w:tcPr>
          <w:p w14:paraId="4CF1830F" w14:textId="77777777" w:rsidR="009D12AF" w:rsidRDefault="00000000">
            <w:pPr>
              <w:adjustRightInd w:val="0"/>
              <w:snapToGrid w:val="0"/>
              <w:spacing w:line="240" w:lineRule="auto"/>
              <w:ind w:firstLineChars="0" w:firstLine="0"/>
              <w:jc w:val="center"/>
              <w:rPr>
                <w:snapToGrid w:val="0"/>
                <w:sz w:val="21"/>
                <w:szCs w:val="21"/>
              </w:rPr>
            </w:pPr>
            <w:r>
              <w:rPr>
                <w:sz w:val="21"/>
                <w:szCs w:val="21"/>
              </w:rPr>
              <w:t>1</w:t>
            </w:r>
            <w:r>
              <w:rPr>
                <w:sz w:val="21"/>
                <w:szCs w:val="21"/>
              </w:rPr>
              <w:t>小时平均</w:t>
            </w:r>
          </w:p>
        </w:tc>
        <w:tc>
          <w:tcPr>
            <w:tcW w:w="876" w:type="dxa"/>
            <w:vAlign w:val="center"/>
          </w:tcPr>
          <w:p w14:paraId="683DC44B" w14:textId="77777777" w:rsidR="009D12AF" w:rsidRDefault="00000000">
            <w:pPr>
              <w:pStyle w:val="af3"/>
              <w:adjustRightInd w:val="0"/>
              <w:snapToGrid w:val="0"/>
              <w:spacing w:line="240" w:lineRule="auto"/>
              <w:rPr>
                <w:rFonts w:ascii="Times New Roman" w:eastAsia="宋体" w:hAnsi="Times New Roman"/>
                <w:snapToGrid w:val="0"/>
                <w:szCs w:val="21"/>
              </w:rPr>
            </w:pPr>
            <w:r>
              <w:rPr>
                <w:rFonts w:ascii="Times New Roman" w:eastAsia="宋体"/>
                <w:szCs w:val="21"/>
              </w:rPr>
              <w:t>200</w:t>
            </w:r>
          </w:p>
        </w:tc>
        <w:tc>
          <w:tcPr>
            <w:tcW w:w="1134" w:type="dxa"/>
            <w:vAlign w:val="center"/>
          </w:tcPr>
          <w:p w14:paraId="24A05607"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ND</w:t>
            </w:r>
          </w:p>
        </w:tc>
        <w:tc>
          <w:tcPr>
            <w:tcW w:w="926" w:type="dxa"/>
            <w:vAlign w:val="center"/>
          </w:tcPr>
          <w:p w14:paraId="361109C9"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w:t>
            </w:r>
          </w:p>
        </w:tc>
        <w:tc>
          <w:tcPr>
            <w:tcW w:w="628" w:type="dxa"/>
            <w:vAlign w:val="center"/>
          </w:tcPr>
          <w:p w14:paraId="46B1232F"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149FA0A3"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48233B5F" w14:textId="77777777">
        <w:trPr>
          <w:trHeight w:val="161"/>
        </w:trPr>
        <w:tc>
          <w:tcPr>
            <w:tcW w:w="396" w:type="pct"/>
            <w:vMerge/>
            <w:vAlign w:val="center"/>
          </w:tcPr>
          <w:p w14:paraId="662BC8B6"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38BFD3F2"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3232BEFC"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5FD59BBE" w14:textId="77777777" w:rsidR="009D12AF" w:rsidRDefault="00000000">
            <w:pPr>
              <w:adjustRightInd w:val="0"/>
              <w:snapToGrid w:val="0"/>
              <w:spacing w:line="240" w:lineRule="auto"/>
              <w:ind w:firstLineChars="0" w:firstLine="0"/>
              <w:jc w:val="center"/>
              <w:rPr>
                <w:sz w:val="21"/>
                <w:szCs w:val="21"/>
              </w:rPr>
            </w:pPr>
            <w:r>
              <w:rPr>
                <w:sz w:val="21"/>
                <w:szCs w:val="21"/>
              </w:rPr>
              <w:t>硫化氢</w:t>
            </w:r>
          </w:p>
        </w:tc>
        <w:tc>
          <w:tcPr>
            <w:tcW w:w="1137" w:type="dxa"/>
            <w:vAlign w:val="center"/>
          </w:tcPr>
          <w:p w14:paraId="20C4ABD5" w14:textId="77777777" w:rsidR="009D12AF" w:rsidRDefault="00000000">
            <w:pPr>
              <w:adjustRightInd w:val="0"/>
              <w:snapToGrid w:val="0"/>
              <w:spacing w:line="240" w:lineRule="auto"/>
              <w:ind w:firstLineChars="0" w:firstLine="0"/>
              <w:jc w:val="center"/>
              <w:rPr>
                <w:snapToGrid w:val="0"/>
                <w:sz w:val="21"/>
                <w:szCs w:val="21"/>
              </w:rPr>
            </w:pPr>
            <w:r>
              <w:rPr>
                <w:sz w:val="21"/>
                <w:szCs w:val="21"/>
              </w:rPr>
              <w:t>1</w:t>
            </w:r>
            <w:r>
              <w:rPr>
                <w:sz w:val="21"/>
                <w:szCs w:val="21"/>
              </w:rPr>
              <w:t>小时平均</w:t>
            </w:r>
          </w:p>
        </w:tc>
        <w:tc>
          <w:tcPr>
            <w:tcW w:w="876" w:type="dxa"/>
            <w:vAlign w:val="center"/>
          </w:tcPr>
          <w:p w14:paraId="3400BBC2" w14:textId="77777777" w:rsidR="009D12AF" w:rsidRDefault="00000000">
            <w:pPr>
              <w:pStyle w:val="af3"/>
              <w:adjustRightInd w:val="0"/>
              <w:snapToGrid w:val="0"/>
              <w:spacing w:line="240" w:lineRule="auto"/>
              <w:rPr>
                <w:rFonts w:ascii="Times New Roman" w:eastAsia="宋体" w:hAnsi="Times New Roman"/>
                <w:snapToGrid w:val="0"/>
                <w:szCs w:val="21"/>
              </w:rPr>
            </w:pPr>
            <w:r>
              <w:rPr>
                <w:rFonts w:ascii="Times New Roman" w:eastAsia="宋体"/>
                <w:szCs w:val="21"/>
              </w:rPr>
              <w:t>10</w:t>
            </w:r>
          </w:p>
        </w:tc>
        <w:tc>
          <w:tcPr>
            <w:tcW w:w="1134" w:type="dxa"/>
            <w:vAlign w:val="center"/>
          </w:tcPr>
          <w:p w14:paraId="1B2FCFDB"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ND</w:t>
            </w:r>
          </w:p>
        </w:tc>
        <w:tc>
          <w:tcPr>
            <w:tcW w:w="926" w:type="dxa"/>
            <w:vAlign w:val="center"/>
          </w:tcPr>
          <w:p w14:paraId="1445B7E3"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628" w:type="dxa"/>
            <w:vAlign w:val="center"/>
          </w:tcPr>
          <w:p w14:paraId="51AC4333"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589ADD28"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4454BC2C" w14:textId="77777777">
        <w:trPr>
          <w:trHeight w:val="161"/>
        </w:trPr>
        <w:tc>
          <w:tcPr>
            <w:tcW w:w="396" w:type="pct"/>
            <w:vMerge/>
            <w:vAlign w:val="center"/>
          </w:tcPr>
          <w:p w14:paraId="0AA97E50"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235F6B87"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1EACD0D1"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66D3B34C" w14:textId="77777777" w:rsidR="009D12AF" w:rsidRDefault="00000000">
            <w:pPr>
              <w:adjustRightInd w:val="0"/>
              <w:snapToGrid w:val="0"/>
              <w:spacing w:line="240" w:lineRule="auto"/>
              <w:ind w:firstLineChars="0" w:firstLine="0"/>
              <w:jc w:val="center"/>
              <w:rPr>
                <w:sz w:val="21"/>
                <w:szCs w:val="21"/>
              </w:rPr>
            </w:pPr>
            <w:r>
              <w:rPr>
                <w:sz w:val="21"/>
                <w:szCs w:val="21"/>
              </w:rPr>
              <w:t>臭气浓度</w:t>
            </w:r>
          </w:p>
        </w:tc>
        <w:tc>
          <w:tcPr>
            <w:tcW w:w="1137" w:type="dxa"/>
            <w:vAlign w:val="center"/>
          </w:tcPr>
          <w:p w14:paraId="62924E7D" w14:textId="77777777" w:rsidR="009D12AF" w:rsidRDefault="00000000">
            <w:pPr>
              <w:adjustRightInd w:val="0"/>
              <w:snapToGrid w:val="0"/>
              <w:spacing w:line="240" w:lineRule="auto"/>
              <w:ind w:firstLineChars="0" w:firstLine="0"/>
              <w:jc w:val="center"/>
              <w:rPr>
                <w:snapToGrid w:val="0"/>
                <w:sz w:val="21"/>
                <w:szCs w:val="21"/>
              </w:rPr>
            </w:pPr>
            <w:r>
              <w:rPr>
                <w:snapToGrid w:val="0"/>
                <w:sz w:val="21"/>
                <w:szCs w:val="21"/>
              </w:rPr>
              <w:t>一次值</w:t>
            </w:r>
          </w:p>
        </w:tc>
        <w:tc>
          <w:tcPr>
            <w:tcW w:w="876" w:type="dxa"/>
            <w:vAlign w:val="center"/>
          </w:tcPr>
          <w:p w14:paraId="21D9F01F" w14:textId="77777777" w:rsidR="009D12AF" w:rsidRDefault="00000000">
            <w:pPr>
              <w:pStyle w:val="af4"/>
              <w:snapToGrid w:val="0"/>
              <w:ind w:firstLineChars="0" w:firstLine="0"/>
              <w:rPr>
                <w:rFonts w:ascii="Times New Roman" w:hAnsi="Times New Roman"/>
                <w:snapToGrid w:val="0"/>
                <w:szCs w:val="21"/>
              </w:rPr>
            </w:pPr>
            <w:r>
              <w:rPr>
                <w:rFonts w:ascii="Times New Roman" w:hAnsi="Times New Roman"/>
                <w:snapToGrid w:val="0"/>
                <w:szCs w:val="21"/>
              </w:rPr>
              <w:t>20</w:t>
            </w:r>
          </w:p>
        </w:tc>
        <w:tc>
          <w:tcPr>
            <w:tcW w:w="1134" w:type="dxa"/>
            <w:vAlign w:val="center"/>
          </w:tcPr>
          <w:p w14:paraId="40DD9F84"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w:t>
            </w:r>
            <w:r>
              <w:rPr>
                <w:rFonts w:ascii="Times New Roman" w:hAnsi="Times New Roman"/>
                <w:szCs w:val="21"/>
                <w:lang w:bidi="ar"/>
              </w:rPr>
              <w:t>10</w:t>
            </w:r>
          </w:p>
        </w:tc>
        <w:tc>
          <w:tcPr>
            <w:tcW w:w="926" w:type="dxa"/>
            <w:vAlign w:val="center"/>
          </w:tcPr>
          <w:p w14:paraId="113D6505"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628" w:type="dxa"/>
            <w:vAlign w:val="center"/>
          </w:tcPr>
          <w:p w14:paraId="7B593107"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27BACCEF"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45EB8952" w14:textId="77777777">
        <w:trPr>
          <w:trHeight w:val="161"/>
        </w:trPr>
        <w:tc>
          <w:tcPr>
            <w:tcW w:w="396" w:type="pct"/>
            <w:vMerge w:val="restart"/>
            <w:vAlign w:val="center"/>
          </w:tcPr>
          <w:p w14:paraId="01C3CB8A" w14:textId="77777777" w:rsidR="009D12AF" w:rsidRDefault="00000000">
            <w:pPr>
              <w:spacing w:line="240" w:lineRule="auto"/>
              <w:ind w:firstLineChars="0" w:firstLine="0"/>
              <w:jc w:val="center"/>
              <w:rPr>
                <w:sz w:val="21"/>
                <w:szCs w:val="21"/>
              </w:rPr>
            </w:pPr>
            <w:r>
              <w:rPr>
                <w:rFonts w:ascii="Times New Roman" w:hAnsi="Times New Roman" w:hint="eastAsia"/>
                <w:kern w:val="0"/>
                <w:sz w:val="21"/>
              </w:rPr>
              <w:t>万丈</w:t>
            </w:r>
            <w:r>
              <w:rPr>
                <w:rFonts w:ascii="Times New Roman" w:hAnsi="Times New Roman" w:hint="eastAsia"/>
                <w:kern w:val="0"/>
                <w:sz w:val="21"/>
              </w:rPr>
              <w:lastRenderedPageBreak/>
              <w:t>水库</w:t>
            </w:r>
            <w:r>
              <w:rPr>
                <w:rFonts w:ascii="Times New Roman" w:hAnsi="Times New Roman" w:hint="eastAsia"/>
                <w:kern w:val="0"/>
                <w:sz w:val="21"/>
              </w:rPr>
              <w:t>2#</w:t>
            </w:r>
          </w:p>
        </w:tc>
        <w:tc>
          <w:tcPr>
            <w:tcW w:w="439" w:type="pct"/>
            <w:vMerge w:val="restart"/>
            <w:vAlign w:val="center"/>
          </w:tcPr>
          <w:p w14:paraId="4F6421A8" w14:textId="77777777" w:rsidR="009D12AF" w:rsidRDefault="00000000">
            <w:pPr>
              <w:spacing w:line="240" w:lineRule="auto"/>
              <w:ind w:firstLineChars="0" w:firstLine="0"/>
              <w:jc w:val="center"/>
              <w:rPr>
                <w:rFonts w:ascii="Times New Roman" w:eastAsia="宋体" w:hAnsi="Times New Roman"/>
                <w:sz w:val="21"/>
                <w:szCs w:val="21"/>
              </w:rPr>
            </w:pPr>
            <w:r>
              <w:rPr>
                <w:rFonts w:ascii="Times New Roman" w:hAnsi="Times New Roman" w:hint="eastAsia"/>
                <w:kern w:val="0"/>
                <w:sz w:val="21"/>
              </w:rPr>
              <w:lastRenderedPageBreak/>
              <w:t>128.9</w:t>
            </w:r>
            <w:r>
              <w:rPr>
                <w:rFonts w:ascii="Times New Roman" w:hAnsi="Times New Roman" w:hint="eastAsia"/>
                <w:kern w:val="0"/>
                <w:sz w:val="21"/>
              </w:rPr>
              <w:lastRenderedPageBreak/>
              <w:t>55613</w:t>
            </w:r>
          </w:p>
        </w:tc>
        <w:tc>
          <w:tcPr>
            <w:tcW w:w="476" w:type="pct"/>
            <w:vMerge w:val="restart"/>
            <w:vAlign w:val="center"/>
          </w:tcPr>
          <w:p w14:paraId="4F6C1089" w14:textId="77777777" w:rsidR="009D12AF" w:rsidRDefault="00000000">
            <w:pPr>
              <w:spacing w:line="240" w:lineRule="auto"/>
              <w:ind w:firstLineChars="0" w:firstLine="0"/>
              <w:jc w:val="center"/>
              <w:rPr>
                <w:rFonts w:ascii="Times New Roman" w:eastAsia="宋体" w:hAnsi="Times New Roman"/>
                <w:sz w:val="21"/>
                <w:szCs w:val="21"/>
              </w:rPr>
            </w:pPr>
            <w:r>
              <w:rPr>
                <w:rFonts w:ascii="Times New Roman" w:hAnsi="Times New Roman" w:hint="eastAsia"/>
                <w:kern w:val="0"/>
                <w:sz w:val="21"/>
              </w:rPr>
              <w:lastRenderedPageBreak/>
              <w:t>44.356</w:t>
            </w:r>
            <w:r>
              <w:rPr>
                <w:rFonts w:ascii="Times New Roman" w:hAnsi="Times New Roman" w:hint="eastAsia"/>
                <w:kern w:val="0"/>
                <w:sz w:val="21"/>
              </w:rPr>
              <w:lastRenderedPageBreak/>
              <w:t>211</w:t>
            </w:r>
          </w:p>
        </w:tc>
        <w:tc>
          <w:tcPr>
            <w:tcW w:w="963" w:type="dxa"/>
            <w:vAlign w:val="center"/>
          </w:tcPr>
          <w:p w14:paraId="7FC334D4" w14:textId="77777777" w:rsidR="009D12AF" w:rsidRDefault="00000000">
            <w:pPr>
              <w:adjustRightInd w:val="0"/>
              <w:snapToGrid w:val="0"/>
              <w:spacing w:line="240" w:lineRule="auto"/>
              <w:ind w:firstLineChars="0" w:firstLine="0"/>
              <w:jc w:val="center"/>
              <w:rPr>
                <w:sz w:val="21"/>
                <w:szCs w:val="21"/>
              </w:rPr>
            </w:pPr>
            <w:r>
              <w:rPr>
                <w:sz w:val="21"/>
                <w:szCs w:val="21"/>
              </w:rPr>
              <w:lastRenderedPageBreak/>
              <w:t>总悬浮</w:t>
            </w:r>
            <w:r>
              <w:rPr>
                <w:sz w:val="21"/>
                <w:szCs w:val="21"/>
              </w:rPr>
              <w:lastRenderedPageBreak/>
              <w:t>颗粒物</w:t>
            </w:r>
          </w:p>
        </w:tc>
        <w:tc>
          <w:tcPr>
            <w:tcW w:w="1137" w:type="dxa"/>
            <w:vAlign w:val="center"/>
          </w:tcPr>
          <w:p w14:paraId="7ECE99C7" w14:textId="77777777" w:rsidR="009D12AF" w:rsidRDefault="00000000">
            <w:pPr>
              <w:adjustRightInd w:val="0"/>
              <w:snapToGrid w:val="0"/>
              <w:spacing w:line="240" w:lineRule="auto"/>
              <w:ind w:firstLineChars="0" w:firstLine="0"/>
              <w:jc w:val="center"/>
              <w:rPr>
                <w:snapToGrid w:val="0"/>
                <w:sz w:val="21"/>
                <w:szCs w:val="21"/>
              </w:rPr>
            </w:pPr>
            <w:r>
              <w:rPr>
                <w:snapToGrid w:val="0"/>
                <w:sz w:val="21"/>
                <w:szCs w:val="21"/>
              </w:rPr>
              <w:lastRenderedPageBreak/>
              <w:t>24</w:t>
            </w:r>
            <w:r>
              <w:rPr>
                <w:snapToGrid w:val="0"/>
                <w:sz w:val="21"/>
                <w:szCs w:val="21"/>
              </w:rPr>
              <w:t>小时平</w:t>
            </w:r>
            <w:r>
              <w:rPr>
                <w:snapToGrid w:val="0"/>
                <w:sz w:val="21"/>
                <w:szCs w:val="21"/>
              </w:rPr>
              <w:lastRenderedPageBreak/>
              <w:t>均</w:t>
            </w:r>
          </w:p>
        </w:tc>
        <w:tc>
          <w:tcPr>
            <w:tcW w:w="876" w:type="dxa"/>
            <w:vAlign w:val="center"/>
          </w:tcPr>
          <w:p w14:paraId="56EE75BB" w14:textId="77777777" w:rsidR="009D12AF" w:rsidRDefault="00000000">
            <w:pPr>
              <w:pStyle w:val="af4"/>
              <w:snapToGrid w:val="0"/>
              <w:ind w:firstLineChars="0" w:firstLine="0"/>
              <w:rPr>
                <w:rFonts w:ascii="Times New Roman" w:hAnsi="Times New Roman"/>
                <w:snapToGrid w:val="0"/>
                <w:szCs w:val="21"/>
              </w:rPr>
            </w:pPr>
            <w:r>
              <w:rPr>
                <w:rFonts w:ascii="Times New Roman" w:hAnsi="Times New Roman"/>
                <w:snapToGrid w:val="0"/>
                <w:szCs w:val="21"/>
              </w:rPr>
              <w:lastRenderedPageBreak/>
              <w:t>300</w:t>
            </w:r>
          </w:p>
        </w:tc>
        <w:tc>
          <w:tcPr>
            <w:tcW w:w="665" w:type="pct"/>
            <w:vAlign w:val="center"/>
          </w:tcPr>
          <w:p w14:paraId="15276C51"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hint="eastAsia"/>
                <w:szCs w:val="21"/>
                <w:lang w:bidi="ar"/>
              </w:rPr>
              <w:t>189-226</w:t>
            </w:r>
          </w:p>
        </w:tc>
        <w:tc>
          <w:tcPr>
            <w:tcW w:w="543" w:type="pct"/>
            <w:vAlign w:val="center"/>
          </w:tcPr>
          <w:p w14:paraId="247309B0"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75.33</w:t>
            </w:r>
          </w:p>
        </w:tc>
        <w:tc>
          <w:tcPr>
            <w:tcW w:w="628" w:type="dxa"/>
            <w:vAlign w:val="center"/>
          </w:tcPr>
          <w:p w14:paraId="6C47697F"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0AA70EB2"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w:t>
            </w:r>
            <w:r>
              <w:rPr>
                <w:rFonts w:ascii="Times New Roman" w:hAnsi="Times New Roman"/>
                <w:szCs w:val="21"/>
              </w:rPr>
              <w:lastRenderedPageBreak/>
              <w:t>标</w:t>
            </w:r>
          </w:p>
        </w:tc>
      </w:tr>
      <w:tr w:rsidR="009D12AF" w14:paraId="5327D9C6" w14:textId="77777777">
        <w:trPr>
          <w:trHeight w:val="161"/>
        </w:trPr>
        <w:tc>
          <w:tcPr>
            <w:tcW w:w="396" w:type="pct"/>
            <w:vMerge/>
            <w:vAlign w:val="center"/>
          </w:tcPr>
          <w:p w14:paraId="77FFF3A4"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3132C727"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040EDE4A"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49727C6C" w14:textId="77777777" w:rsidR="009D12AF" w:rsidRDefault="00000000">
            <w:pPr>
              <w:adjustRightInd w:val="0"/>
              <w:snapToGrid w:val="0"/>
              <w:spacing w:line="240" w:lineRule="auto"/>
              <w:ind w:firstLineChars="0" w:firstLine="0"/>
              <w:jc w:val="center"/>
              <w:rPr>
                <w:sz w:val="21"/>
                <w:szCs w:val="21"/>
              </w:rPr>
            </w:pPr>
            <w:r>
              <w:rPr>
                <w:sz w:val="21"/>
                <w:szCs w:val="21"/>
              </w:rPr>
              <w:t>氨</w:t>
            </w:r>
          </w:p>
        </w:tc>
        <w:tc>
          <w:tcPr>
            <w:tcW w:w="1137" w:type="dxa"/>
            <w:vAlign w:val="center"/>
          </w:tcPr>
          <w:p w14:paraId="481C1646" w14:textId="77777777" w:rsidR="009D12AF" w:rsidRDefault="00000000">
            <w:pPr>
              <w:adjustRightInd w:val="0"/>
              <w:snapToGrid w:val="0"/>
              <w:spacing w:line="240" w:lineRule="auto"/>
              <w:ind w:firstLineChars="0" w:firstLine="0"/>
              <w:jc w:val="center"/>
              <w:rPr>
                <w:snapToGrid w:val="0"/>
                <w:sz w:val="21"/>
                <w:szCs w:val="21"/>
              </w:rPr>
            </w:pPr>
            <w:r>
              <w:rPr>
                <w:sz w:val="21"/>
                <w:szCs w:val="21"/>
              </w:rPr>
              <w:t>1</w:t>
            </w:r>
            <w:r>
              <w:rPr>
                <w:sz w:val="21"/>
                <w:szCs w:val="21"/>
              </w:rPr>
              <w:t>小时平均</w:t>
            </w:r>
          </w:p>
        </w:tc>
        <w:tc>
          <w:tcPr>
            <w:tcW w:w="876" w:type="dxa"/>
            <w:vAlign w:val="center"/>
          </w:tcPr>
          <w:p w14:paraId="788F4980" w14:textId="77777777" w:rsidR="009D12AF" w:rsidRDefault="00000000">
            <w:pPr>
              <w:pStyle w:val="af3"/>
              <w:adjustRightInd w:val="0"/>
              <w:snapToGrid w:val="0"/>
              <w:spacing w:line="240" w:lineRule="auto"/>
              <w:rPr>
                <w:rFonts w:ascii="Times New Roman" w:eastAsia="宋体" w:hAnsi="Times New Roman"/>
                <w:snapToGrid w:val="0"/>
                <w:szCs w:val="21"/>
              </w:rPr>
            </w:pPr>
            <w:r>
              <w:rPr>
                <w:rFonts w:ascii="Times New Roman" w:eastAsia="宋体"/>
                <w:szCs w:val="21"/>
              </w:rPr>
              <w:t>200</w:t>
            </w:r>
          </w:p>
        </w:tc>
        <w:tc>
          <w:tcPr>
            <w:tcW w:w="1134" w:type="dxa"/>
            <w:vAlign w:val="center"/>
          </w:tcPr>
          <w:p w14:paraId="2C03BE0B"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ND</w:t>
            </w:r>
          </w:p>
        </w:tc>
        <w:tc>
          <w:tcPr>
            <w:tcW w:w="926" w:type="dxa"/>
            <w:vAlign w:val="center"/>
          </w:tcPr>
          <w:p w14:paraId="269E804B"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w:t>
            </w:r>
          </w:p>
        </w:tc>
        <w:tc>
          <w:tcPr>
            <w:tcW w:w="628" w:type="dxa"/>
            <w:vAlign w:val="center"/>
          </w:tcPr>
          <w:p w14:paraId="29AC7DFC"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596A03FD"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267392E2" w14:textId="77777777">
        <w:trPr>
          <w:trHeight w:val="161"/>
        </w:trPr>
        <w:tc>
          <w:tcPr>
            <w:tcW w:w="396" w:type="pct"/>
            <w:vMerge/>
            <w:vAlign w:val="center"/>
          </w:tcPr>
          <w:p w14:paraId="3ADA6B1B"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684BAD0B"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3A3A6EB7"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6EB635A6" w14:textId="77777777" w:rsidR="009D12AF" w:rsidRDefault="00000000">
            <w:pPr>
              <w:adjustRightInd w:val="0"/>
              <w:snapToGrid w:val="0"/>
              <w:spacing w:line="240" w:lineRule="auto"/>
              <w:ind w:firstLineChars="0" w:firstLine="0"/>
              <w:jc w:val="center"/>
              <w:rPr>
                <w:sz w:val="21"/>
                <w:szCs w:val="21"/>
              </w:rPr>
            </w:pPr>
            <w:r>
              <w:rPr>
                <w:sz w:val="21"/>
                <w:szCs w:val="21"/>
              </w:rPr>
              <w:t>硫化氢</w:t>
            </w:r>
          </w:p>
        </w:tc>
        <w:tc>
          <w:tcPr>
            <w:tcW w:w="1137" w:type="dxa"/>
            <w:vAlign w:val="center"/>
          </w:tcPr>
          <w:p w14:paraId="5F3512F8" w14:textId="77777777" w:rsidR="009D12AF" w:rsidRDefault="00000000">
            <w:pPr>
              <w:adjustRightInd w:val="0"/>
              <w:snapToGrid w:val="0"/>
              <w:spacing w:line="240" w:lineRule="auto"/>
              <w:ind w:firstLineChars="0" w:firstLine="0"/>
              <w:jc w:val="center"/>
              <w:rPr>
                <w:snapToGrid w:val="0"/>
                <w:sz w:val="21"/>
                <w:szCs w:val="21"/>
              </w:rPr>
            </w:pPr>
            <w:r>
              <w:rPr>
                <w:sz w:val="21"/>
                <w:szCs w:val="21"/>
              </w:rPr>
              <w:t>1</w:t>
            </w:r>
            <w:r>
              <w:rPr>
                <w:sz w:val="21"/>
                <w:szCs w:val="21"/>
              </w:rPr>
              <w:t>小时平均</w:t>
            </w:r>
          </w:p>
        </w:tc>
        <w:tc>
          <w:tcPr>
            <w:tcW w:w="876" w:type="dxa"/>
            <w:vAlign w:val="center"/>
          </w:tcPr>
          <w:p w14:paraId="1225A311" w14:textId="77777777" w:rsidR="009D12AF" w:rsidRDefault="00000000">
            <w:pPr>
              <w:pStyle w:val="af3"/>
              <w:adjustRightInd w:val="0"/>
              <w:snapToGrid w:val="0"/>
              <w:spacing w:line="240" w:lineRule="auto"/>
              <w:rPr>
                <w:rFonts w:ascii="Times New Roman" w:eastAsia="宋体" w:hAnsi="Times New Roman"/>
                <w:snapToGrid w:val="0"/>
                <w:szCs w:val="21"/>
              </w:rPr>
            </w:pPr>
            <w:r>
              <w:rPr>
                <w:rFonts w:ascii="Times New Roman" w:eastAsia="宋体"/>
                <w:szCs w:val="21"/>
              </w:rPr>
              <w:t>10</w:t>
            </w:r>
          </w:p>
        </w:tc>
        <w:tc>
          <w:tcPr>
            <w:tcW w:w="1134" w:type="dxa"/>
            <w:vAlign w:val="center"/>
          </w:tcPr>
          <w:p w14:paraId="48ED7707"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ND</w:t>
            </w:r>
          </w:p>
        </w:tc>
        <w:tc>
          <w:tcPr>
            <w:tcW w:w="926" w:type="dxa"/>
            <w:vAlign w:val="center"/>
          </w:tcPr>
          <w:p w14:paraId="58FC15B1"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628" w:type="dxa"/>
            <w:vAlign w:val="center"/>
          </w:tcPr>
          <w:p w14:paraId="59D91272"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77A595DF"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1A1B217C" w14:textId="77777777">
        <w:trPr>
          <w:trHeight w:val="161"/>
        </w:trPr>
        <w:tc>
          <w:tcPr>
            <w:tcW w:w="396" w:type="pct"/>
            <w:vMerge/>
            <w:vAlign w:val="center"/>
          </w:tcPr>
          <w:p w14:paraId="3AD6C025"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5B960F53"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26D6D2B9"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1A5EC872" w14:textId="77777777" w:rsidR="009D12AF" w:rsidRDefault="00000000">
            <w:pPr>
              <w:adjustRightInd w:val="0"/>
              <w:snapToGrid w:val="0"/>
              <w:spacing w:line="240" w:lineRule="auto"/>
              <w:ind w:firstLineChars="0" w:firstLine="0"/>
              <w:jc w:val="center"/>
              <w:rPr>
                <w:sz w:val="21"/>
                <w:szCs w:val="21"/>
              </w:rPr>
            </w:pPr>
            <w:r>
              <w:rPr>
                <w:sz w:val="21"/>
                <w:szCs w:val="21"/>
              </w:rPr>
              <w:t>臭气浓度</w:t>
            </w:r>
          </w:p>
        </w:tc>
        <w:tc>
          <w:tcPr>
            <w:tcW w:w="1137" w:type="dxa"/>
            <w:vAlign w:val="center"/>
          </w:tcPr>
          <w:p w14:paraId="413C6A99" w14:textId="77777777" w:rsidR="009D12AF" w:rsidRDefault="00000000">
            <w:pPr>
              <w:adjustRightInd w:val="0"/>
              <w:snapToGrid w:val="0"/>
              <w:spacing w:line="240" w:lineRule="auto"/>
              <w:ind w:firstLineChars="0" w:firstLine="0"/>
              <w:jc w:val="center"/>
              <w:rPr>
                <w:snapToGrid w:val="0"/>
                <w:sz w:val="21"/>
                <w:szCs w:val="21"/>
              </w:rPr>
            </w:pPr>
            <w:r>
              <w:rPr>
                <w:snapToGrid w:val="0"/>
                <w:sz w:val="21"/>
                <w:szCs w:val="21"/>
              </w:rPr>
              <w:t>一次值</w:t>
            </w:r>
          </w:p>
        </w:tc>
        <w:tc>
          <w:tcPr>
            <w:tcW w:w="876" w:type="dxa"/>
            <w:vAlign w:val="center"/>
          </w:tcPr>
          <w:p w14:paraId="45D2375D" w14:textId="77777777" w:rsidR="009D12AF" w:rsidRDefault="00000000">
            <w:pPr>
              <w:pStyle w:val="af4"/>
              <w:snapToGrid w:val="0"/>
              <w:ind w:firstLineChars="0" w:firstLine="0"/>
              <w:rPr>
                <w:rFonts w:ascii="Times New Roman" w:hAnsi="Times New Roman"/>
                <w:snapToGrid w:val="0"/>
                <w:szCs w:val="21"/>
              </w:rPr>
            </w:pPr>
            <w:r>
              <w:rPr>
                <w:rFonts w:ascii="Times New Roman" w:hAnsi="Times New Roman"/>
                <w:snapToGrid w:val="0"/>
                <w:szCs w:val="21"/>
              </w:rPr>
              <w:t>20</w:t>
            </w:r>
          </w:p>
        </w:tc>
        <w:tc>
          <w:tcPr>
            <w:tcW w:w="1134" w:type="dxa"/>
            <w:vAlign w:val="center"/>
          </w:tcPr>
          <w:p w14:paraId="2CA2C513"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w:t>
            </w:r>
            <w:r>
              <w:rPr>
                <w:rFonts w:ascii="Times New Roman" w:hAnsi="Times New Roman"/>
                <w:szCs w:val="21"/>
                <w:lang w:bidi="ar"/>
              </w:rPr>
              <w:t>10</w:t>
            </w:r>
          </w:p>
        </w:tc>
        <w:tc>
          <w:tcPr>
            <w:tcW w:w="926" w:type="dxa"/>
            <w:vAlign w:val="center"/>
          </w:tcPr>
          <w:p w14:paraId="7B6F3F05"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628" w:type="dxa"/>
            <w:vAlign w:val="center"/>
          </w:tcPr>
          <w:p w14:paraId="75D189D7"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02A1F405"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7A924BCC" w14:textId="77777777">
        <w:trPr>
          <w:trHeight w:val="161"/>
        </w:trPr>
        <w:tc>
          <w:tcPr>
            <w:tcW w:w="396" w:type="pct"/>
            <w:vMerge w:val="restart"/>
            <w:vAlign w:val="center"/>
          </w:tcPr>
          <w:p w14:paraId="1DE05856" w14:textId="77777777" w:rsidR="009D12AF" w:rsidRDefault="00000000">
            <w:pPr>
              <w:spacing w:line="240" w:lineRule="auto"/>
              <w:ind w:firstLineChars="0" w:firstLine="0"/>
              <w:jc w:val="center"/>
              <w:rPr>
                <w:sz w:val="21"/>
                <w:szCs w:val="21"/>
              </w:rPr>
            </w:pPr>
            <w:r>
              <w:rPr>
                <w:rFonts w:ascii="Times New Roman" w:hAnsi="Times New Roman" w:hint="eastAsia"/>
                <w:kern w:val="0"/>
                <w:sz w:val="21"/>
              </w:rPr>
              <w:t>新安晒水池</w:t>
            </w:r>
            <w:r>
              <w:rPr>
                <w:rFonts w:ascii="Times New Roman" w:hAnsi="Times New Roman" w:hint="eastAsia"/>
                <w:kern w:val="0"/>
                <w:sz w:val="21"/>
              </w:rPr>
              <w:t>1#</w:t>
            </w:r>
          </w:p>
        </w:tc>
        <w:tc>
          <w:tcPr>
            <w:tcW w:w="439" w:type="pct"/>
            <w:vMerge w:val="restart"/>
            <w:vAlign w:val="center"/>
          </w:tcPr>
          <w:p w14:paraId="42A98DE5" w14:textId="77777777" w:rsidR="009D12AF" w:rsidRDefault="00000000">
            <w:pPr>
              <w:spacing w:line="240" w:lineRule="auto"/>
              <w:ind w:firstLineChars="0" w:firstLine="0"/>
              <w:jc w:val="center"/>
              <w:rPr>
                <w:rFonts w:ascii="Times New Roman" w:eastAsia="宋体" w:hAnsi="Times New Roman"/>
                <w:sz w:val="21"/>
                <w:szCs w:val="21"/>
              </w:rPr>
            </w:pPr>
            <w:r>
              <w:rPr>
                <w:rFonts w:ascii="Times New Roman" w:hAnsi="Times New Roman" w:hint="eastAsia"/>
                <w:kern w:val="0"/>
                <w:sz w:val="21"/>
              </w:rPr>
              <w:t>129.083666</w:t>
            </w:r>
          </w:p>
        </w:tc>
        <w:tc>
          <w:tcPr>
            <w:tcW w:w="476" w:type="pct"/>
            <w:vMerge w:val="restart"/>
            <w:vAlign w:val="center"/>
          </w:tcPr>
          <w:p w14:paraId="7DB55BEF" w14:textId="77777777" w:rsidR="009D12AF" w:rsidRDefault="00000000">
            <w:pPr>
              <w:spacing w:line="240" w:lineRule="auto"/>
              <w:ind w:firstLineChars="0" w:firstLine="0"/>
              <w:jc w:val="center"/>
              <w:rPr>
                <w:rFonts w:ascii="Times New Roman" w:eastAsia="宋体" w:hAnsi="Times New Roman"/>
                <w:sz w:val="21"/>
                <w:szCs w:val="21"/>
              </w:rPr>
            </w:pPr>
            <w:r>
              <w:rPr>
                <w:rFonts w:ascii="Times New Roman" w:hAnsi="Times New Roman" w:hint="eastAsia"/>
                <w:kern w:val="0"/>
                <w:sz w:val="21"/>
              </w:rPr>
              <w:t>44.412588</w:t>
            </w:r>
          </w:p>
        </w:tc>
        <w:tc>
          <w:tcPr>
            <w:tcW w:w="963" w:type="dxa"/>
            <w:vAlign w:val="center"/>
          </w:tcPr>
          <w:p w14:paraId="3194E68C" w14:textId="77777777" w:rsidR="009D12AF" w:rsidRDefault="00000000">
            <w:pPr>
              <w:adjustRightInd w:val="0"/>
              <w:snapToGrid w:val="0"/>
              <w:spacing w:line="240" w:lineRule="auto"/>
              <w:ind w:firstLineChars="0" w:firstLine="0"/>
              <w:jc w:val="center"/>
              <w:rPr>
                <w:sz w:val="21"/>
                <w:szCs w:val="21"/>
              </w:rPr>
            </w:pPr>
            <w:r>
              <w:rPr>
                <w:sz w:val="21"/>
                <w:szCs w:val="21"/>
              </w:rPr>
              <w:t>总悬浮颗粒物</w:t>
            </w:r>
          </w:p>
        </w:tc>
        <w:tc>
          <w:tcPr>
            <w:tcW w:w="1137" w:type="dxa"/>
            <w:vAlign w:val="center"/>
          </w:tcPr>
          <w:p w14:paraId="385D531D" w14:textId="77777777" w:rsidR="009D12AF" w:rsidRDefault="00000000">
            <w:pPr>
              <w:adjustRightInd w:val="0"/>
              <w:snapToGrid w:val="0"/>
              <w:spacing w:line="240" w:lineRule="auto"/>
              <w:ind w:firstLineChars="0" w:firstLine="0"/>
              <w:jc w:val="center"/>
              <w:rPr>
                <w:snapToGrid w:val="0"/>
                <w:sz w:val="21"/>
                <w:szCs w:val="21"/>
              </w:rPr>
            </w:pPr>
            <w:r>
              <w:rPr>
                <w:snapToGrid w:val="0"/>
                <w:sz w:val="21"/>
                <w:szCs w:val="21"/>
              </w:rPr>
              <w:t>24</w:t>
            </w:r>
            <w:r>
              <w:rPr>
                <w:snapToGrid w:val="0"/>
                <w:sz w:val="21"/>
                <w:szCs w:val="21"/>
              </w:rPr>
              <w:t>小时平均</w:t>
            </w:r>
          </w:p>
        </w:tc>
        <w:tc>
          <w:tcPr>
            <w:tcW w:w="876" w:type="dxa"/>
            <w:vAlign w:val="center"/>
          </w:tcPr>
          <w:p w14:paraId="6F4A5999" w14:textId="77777777" w:rsidR="009D12AF" w:rsidRDefault="00000000">
            <w:pPr>
              <w:pStyle w:val="af4"/>
              <w:snapToGrid w:val="0"/>
              <w:ind w:firstLineChars="0" w:firstLine="0"/>
              <w:rPr>
                <w:rFonts w:ascii="Times New Roman" w:hAnsi="Times New Roman"/>
                <w:snapToGrid w:val="0"/>
                <w:szCs w:val="21"/>
              </w:rPr>
            </w:pPr>
            <w:r>
              <w:rPr>
                <w:rFonts w:ascii="Times New Roman" w:hAnsi="Times New Roman"/>
                <w:snapToGrid w:val="0"/>
                <w:szCs w:val="21"/>
              </w:rPr>
              <w:t>300</w:t>
            </w:r>
          </w:p>
        </w:tc>
        <w:tc>
          <w:tcPr>
            <w:tcW w:w="665" w:type="pct"/>
            <w:vAlign w:val="center"/>
          </w:tcPr>
          <w:p w14:paraId="125C2929"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hint="eastAsia"/>
                <w:szCs w:val="21"/>
                <w:lang w:bidi="ar"/>
              </w:rPr>
              <w:t>205-243</w:t>
            </w:r>
          </w:p>
        </w:tc>
        <w:tc>
          <w:tcPr>
            <w:tcW w:w="543" w:type="pct"/>
            <w:vAlign w:val="center"/>
          </w:tcPr>
          <w:p w14:paraId="74A3D6FE"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81</w:t>
            </w:r>
          </w:p>
        </w:tc>
        <w:tc>
          <w:tcPr>
            <w:tcW w:w="628" w:type="dxa"/>
            <w:vAlign w:val="center"/>
          </w:tcPr>
          <w:p w14:paraId="4C7BCAF4"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4425D612"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533E4BF3" w14:textId="77777777">
        <w:trPr>
          <w:trHeight w:val="161"/>
        </w:trPr>
        <w:tc>
          <w:tcPr>
            <w:tcW w:w="396" w:type="pct"/>
            <w:vMerge/>
            <w:vAlign w:val="center"/>
          </w:tcPr>
          <w:p w14:paraId="5972DA74"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26336C09"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1DC44B38"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0E8674CB" w14:textId="77777777" w:rsidR="009D12AF" w:rsidRDefault="00000000">
            <w:pPr>
              <w:adjustRightInd w:val="0"/>
              <w:snapToGrid w:val="0"/>
              <w:spacing w:line="240" w:lineRule="auto"/>
              <w:ind w:firstLineChars="0" w:firstLine="0"/>
              <w:jc w:val="center"/>
              <w:rPr>
                <w:sz w:val="21"/>
                <w:szCs w:val="21"/>
              </w:rPr>
            </w:pPr>
            <w:r>
              <w:rPr>
                <w:sz w:val="21"/>
                <w:szCs w:val="21"/>
              </w:rPr>
              <w:t>氨</w:t>
            </w:r>
          </w:p>
        </w:tc>
        <w:tc>
          <w:tcPr>
            <w:tcW w:w="1137" w:type="dxa"/>
            <w:vAlign w:val="center"/>
          </w:tcPr>
          <w:p w14:paraId="573B543B" w14:textId="77777777" w:rsidR="009D12AF" w:rsidRDefault="00000000">
            <w:pPr>
              <w:adjustRightInd w:val="0"/>
              <w:snapToGrid w:val="0"/>
              <w:spacing w:line="240" w:lineRule="auto"/>
              <w:ind w:firstLineChars="0" w:firstLine="0"/>
              <w:jc w:val="center"/>
              <w:rPr>
                <w:snapToGrid w:val="0"/>
                <w:sz w:val="21"/>
                <w:szCs w:val="21"/>
              </w:rPr>
            </w:pPr>
            <w:r>
              <w:rPr>
                <w:sz w:val="21"/>
                <w:szCs w:val="21"/>
              </w:rPr>
              <w:t>1</w:t>
            </w:r>
            <w:r>
              <w:rPr>
                <w:sz w:val="21"/>
                <w:szCs w:val="21"/>
              </w:rPr>
              <w:t>小时平均</w:t>
            </w:r>
          </w:p>
        </w:tc>
        <w:tc>
          <w:tcPr>
            <w:tcW w:w="876" w:type="dxa"/>
            <w:vAlign w:val="center"/>
          </w:tcPr>
          <w:p w14:paraId="1A1B3606" w14:textId="77777777" w:rsidR="009D12AF" w:rsidRDefault="00000000">
            <w:pPr>
              <w:pStyle w:val="af3"/>
              <w:adjustRightInd w:val="0"/>
              <w:snapToGrid w:val="0"/>
              <w:spacing w:line="240" w:lineRule="auto"/>
              <w:rPr>
                <w:rFonts w:ascii="Times New Roman" w:eastAsia="宋体" w:hAnsi="Times New Roman"/>
                <w:snapToGrid w:val="0"/>
                <w:szCs w:val="21"/>
              </w:rPr>
            </w:pPr>
            <w:r>
              <w:rPr>
                <w:rFonts w:ascii="Times New Roman" w:eastAsia="宋体"/>
                <w:szCs w:val="21"/>
              </w:rPr>
              <w:t>200</w:t>
            </w:r>
          </w:p>
        </w:tc>
        <w:tc>
          <w:tcPr>
            <w:tcW w:w="1134" w:type="dxa"/>
            <w:vAlign w:val="center"/>
          </w:tcPr>
          <w:p w14:paraId="20F44ECF"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ND</w:t>
            </w:r>
          </w:p>
        </w:tc>
        <w:tc>
          <w:tcPr>
            <w:tcW w:w="926" w:type="dxa"/>
            <w:vAlign w:val="center"/>
          </w:tcPr>
          <w:p w14:paraId="578031BE"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w:t>
            </w:r>
          </w:p>
        </w:tc>
        <w:tc>
          <w:tcPr>
            <w:tcW w:w="628" w:type="dxa"/>
            <w:vAlign w:val="center"/>
          </w:tcPr>
          <w:p w14:paraId="6C0117FE"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0102608A"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0684AD6C" w14:textId="77777777">
        <w:trPr>
          <w:trHeight w:val="161"/>
        </w:trPr>
        <w:tc>
          <w:tcPr>
            <w:tcW w:w="396" w:type="pct"/>
            <w:vMerge/>
            <w:vAlign w:val="center"/>
          </w:tcPr>
          <w:p w14:paraId="17F47D80"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197F5CBD"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46156BD8"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3ED70540" w14:textId="77777777" w:rsidR="009D12AF" w:rsidRDefault="00000000">
            <w:pPr>
              <w:adjustRightInd w:val="0"/>
              <w:snapToGrid w:val="0"/>
              <w:spacing w:line="240" w:lineRule="auto"/>
              <w:ind w:firstLineChars="0" w:firstLine="0"/>
              <w:jc w:val="center"/>
              <w:rPr>
                <w:sz w:val="21"/>
                <w:szCs w:val="21"/>
              </w:rPr>
            </w:pPr>
            <w:r>
              <w:rPr>
                <w:sz w:val="21"/>
                <w:szCs w:val="21"/>
              </w:rPr>
              <w:t>硫化氢</w:t>
            </w:r>
          </w:p>
        </w:tc>
        <w:tc>
          <w:tcPr>
            <w:tcW w:w="1137" w:type="dxa"/>
            <w:vAlign w:val="center"/>
          </w:tcPr>
          <w:p w14:paraId="59F1428A" w14:textId="77777777" w:rsidR="009D12AF" w:rsidRDefault="00000000">
            <w:pPr>
              <w:adjustRightInd w:val="0"/>
              <w:snapToGrid w:val="0"/>
              <w:spacing w:line="240" w:lineRule="auto"/>
              <w:ind w:firstLineChars="0" w:firstLine="0"/>
              <w:jc w:val="center"/>
              <w:rPr>
                <w:snapToGrid w:val="0"/>
                <w:sz w:val="21"/>
                <w:szCs w:val="21"/>
              </w:rPr>
            </w:pPr>
            <w:r>
              <w:rPr>
                <w:sz w:val="21"/>
                <w:szCs w:val="21"/>
              </w:rPr>
              <w:t>1</w:t>
            </w:r>
            <w:r>
              <w:rPr>
                <w:sz w:val="21"/>
                <w:szCs w:val="21"/>
              </w:rPr>
              <w:t>小时平均</w:t>
            </w:r>
          </w:p>
        </w:tc>
        <w:tc>
          <w:tcPr>
            <w:tcW w:w="876" w:type="dxa"/>
            <w:vAlign w:val="center"/>
          </w:tcPr>
          <w:p w14:paraId="17927D41" w14:textId="77777777" w:rsidR="009D12AF" w:rsidRDefault="00000000">
            <w:pPr>
              <w:pStyle w:val="af3"/>
              <w:adjustRightInd w:val="0"/>
              <w:snapToGrid w:val="0"/>
              <w:spacing w:line="240" w:lineRule="auto"/>
              <w:rPr>
                <w:rFonts w:ascii="Times New Roman" w:eastAsia="宋体" w:hAnsi="Times New Roman"/>
                <w:snapToGrid w:val="0"/>
                <w:szCs w:val="21"/>
              </w:rPr>
            </w:pPr>
            <w:r>
              <w:rPr>
                <w:rFonts w:ascii="Times New Roman" w:eastAsia="宋体"/>
                <w:szCs w:val="21"/>
              </w:rPr>
              <w:t>10</w:t>
            </w:r>
          </w:p>
        </w:tc>
        <w:tc>
          <w:tcPr>
            <w:tcW w:w="1134" w:type="dxa"/>
            <w:vAlign w:val="center"/>
          </w:tcPr>
          <w:p w14:paraId="69DBE746"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ND</w:t>
            </w:r>
          </w:p>
        </w:tc>
        <w:tc>
          <w:tcPr>
            <w:tcW w:w="926" w:type="dxa"/>
            <w:vAlign w:val="center"/>
          </w:tcPr>
          <w:p w14:paraId="34445F44"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628" w:type="dxa"/>
            <w:vAlign w:val="center"/>
          </w:tcPr>
          <w:p w14:paraId="3E0790B1"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434699BD"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51FB29D2" w14:textId="77777777">
        <w:trPr>
          <w:trHeight w:val="161"/>
        </w:trPr>
        <w:tc>
          <w:tcPr>
            <w:tcW w:w="396" w:type="pct"/>
            <w:vMerge/>
            <w:vAlign w:val="center"/>
          </w:tcPr>
          <w:p w14:paraId="2AFDBFD5"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63B51FAD"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368D0CC2"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5C2F514E" w14:textId="77777777" w:rsidR="009D12AF" w:rsidRDefault="00000000">
            <w:pPr>
              <w:adjustRightInd w:val="0"/>
              <w:snapToGrid w:val="0"/>
              <w:spacing w:line="240" w:lineRule="auto"/>
              <w:ind w:firstLineChars="0" w:firstLine="0"/>
              <w:jc w:val="center"/>
              <w:rPr>
                <w:sz w:val="21"/>
                <w:szCs w:val="21"/>
              </w:rPr>
            </w:pPr>
            <w:r>
              <w:rPr>
                <w:sz w:val="21"/>
                <w:szCs w:val="21"/>
              </w:rPr>
              <w:t>臭气浓度</w:t>
            </w:r>
          </w:p>
        </w:tc>
        <w:tc>
          <w:tcPr>
            <w:tcW w:w="1137" w:type="dxa"/>
            <w:vAlign w:val="center"/>
          </w:tcPr>
          <w:p w14:paraId="1E4F0D95" w14:textId="77777777" w:rsidR="009D12AF" w:rsidRDefault="00000000">
            <w:pPr>
              <w:adjustRightInd w:val="0"/>
              <w:snapToGrid w:val="0"/>
              <w:spacing w:line="240" w:lineRule="auto"/>
              <w:ind w:firstLineChars="0" w:firstLine="0"/>
              <w:jc w:val="center"/>
              <w:rPr>
                <w:snapToGrid w:val="0"/>
                <w:sz w:val="21"/>
                <w:szCs w:val="21"/>
              </w:rPr>
            </w:pPr>
            <w:r>
              <w:rPr>
                <w:snapToGrid w:val="0"/>
                <w:sz w:val="21"/>
                <w:szCs w:val="21"/>
              </w:rPr>
              <w:t>一次值</w:t>
            </w:r>
          </w:p>
        </w:tc>
        <w:tc>
          <w:tcPr>
            <w:tcW w:w="876" w:type="dxa"/>
            <w:vAlign w:val="center"/>
          </w:tcPr>
          <w:p w14:paraId="59C8C45A" w14:textId="77777777" w:rsidR="009D12AF" w:rsidRDefault="00000000">
            <w:pPr>
              <w:pStyle w:val="af4"/>
              <w:snapToGrid w:val="0"/>
              <w:ind w:firstLineChars="0" w:firstLine="0"/>
              <w:rPr>
                <w:rFonts w:ascii="Times New Roman" w:hAnsi="Times New Roman"/>
                <w:snapToGrid w:val="0"/>
                <w:szCs w:val="21"/>
              </w:rPr>
            </w:pPr>
            <w:r>
              <w:rPr>
                <w:rFonts w:ascii="Times New Roman" w:hAnsi="Times New Roman"/>
                <w:snapToGrid w:val="0"/>
                <w:szCs w:val="21"/>
              </w:rPr>
              <w:t>20</w:t>
            </w:r>
          </w:p>
        </w:tc>
        <w:tc>
          <w:tcPr>
            <w:tcW w:w="1134" w:type="dxa"/>
            <w:vAlign w:val="center"/>
          </w:tcPr>
          <w:p w14:paraId="06218585"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w:t>
            </w:r>
            <w:r>
              <w:rPr>
                <w:rFonts w:ascii="Times New Roman" w:hAnsi="Times New Roman"/>
                <w:szCs w:val="21"/>
                <w:lang w:bidi="ar"/>
              </w:rPr>
              <w:t>10</w:t>
            </w:r>
          </w:p>
        </w:tc>
        <w:tc>
          <w:tcPr>
            <w:tcW w:w="926" w:type="dxa"/>
            <w:vAlign w:val="center"/>
          </w:tcPr>
          <w:p w14:paraId="4F0BE41B"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628" w:type="dxa"/>
            <w:vAlign w:val="center"/>
          </w:tcPr>
          <w:p w14:paraId="163AC0C5"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6701FAB0"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06652944" w14:textId="77777777">
        <w:trPr>
          <w:trHeight w:val="161"/>
        </w:trPr>
        <w:tc>
          <w:tcPr>
            <w:tcW w:w="396" w:type="pct"/>
            <w:vMerge w:val="restart"/>
            <w:vAlign w:val="center"/>
          </w:tcPr>
          <w:p w14:paraId="2B804F1B" w14:textId="77777777" w:rsidR="009D12AF" w:rsidRDefault="00000000">
            <w:pPr>
              <w:spacing w:line="240" w:lineRule="auto"/>
              <w:ind w:firstLineChars="0" w:firstLine="0"/>
              <w:jc w:val="center"/>
              <w:rPr>
                <w:sz w:val="21"/>
                <w:szCs w:val="21"/>
              </w:rPr>
            </w:pPr>
            <w:r>
              <w:rPr>
                <w:rFonts w:ascii="Times New Roman" w:hAnsi="Times New Roman" w:hint="eastAsia"/>
                <w:kern w:val="0"/>
                <w:sz w:val="21"/>
              </w:rPr>
              <w:t>新安晒水池</w:t>
            </w:r>
            <w:r>
              <w:rPr>
                <w:rFonts w:ascii="Times New Roman" w:hAnsi="Times New Roman" w:hint="eastAsia"/>
                <w:kern w:val="0"/>
                <w:sz w:val="21"/>
              </w:rPr>
              <w:t>2#</w:t>
            </w:r>
          </w:p>
        </w:tc>
        <w:tc>
          <w:tcPr>
            <w:tcW w:w="439" w:type="pct"/>
            <w:vMerge w:val="restart"/>
            <w:vAlign w:val="center"/>
          </w:tcPr>
          <w:p w14:paraId="74679546" w14:textId="77777777" w:rsidR="009D12AF" w:rsidRDefault="00000000">
            <w:pPr>
              <w:spacing w:line="240" w:lineRule="auto"/>
              <w:ind w:firstLineChars="0" w:firstLine="0"/>
              <w:jc w:val="center"/>
              <w:rPr>
                <w:rFonts w:ascii="Times New Roman" w:eastAsia="宋体" w:hAnsi="Times New Roman"/>
                <w:sz w:val="21"/>
                <w:szCs w:val="21"/>
              </w:rPr>
            </w:pPr>
            <w:r>
              <w:rPr>
                <w:rFonts w:ascii="Times New Roman" w:hAnsi="Times New Roman" w:hint="eastAsia"/>
                <w:kern w:val="0"/>
                <w:sz w:val="21"/>
              </w:rPr>
              <w:t>129.082615</w:t>
            </w:r>
          </w:p>
        </w:tc>
        <w:tc>
          <w:tcPr>
            <w:tcW w:w="476" w:type="pct"/>
            <w:vMerge w:val="restart"/>
            <w:vAlign w:val="center"/>
          </w:tcPr>
          <w:p w14:paraId="44D68FCC" w14:textId="77777777" w:rsidR="009D12AF" w:rsidRDefault="00000000">
            <w:pPr>
              <w:spacing w:line="240" w:lineRule="auto"/>
              <w:ind w:firstLineChars="0" w:firstLine="0"/>
              <w:jc w:val="center"/>
              <w:rPr>
                <w:rFonts w:ascii="Times New Roman" w:eastAsia="宋体" w:hAnsi="Times New Roman"/>
                <w:sz w:val="21"/>
                <w:szCs w:val="21"/>
              </w:rPr>
            </w:pPr>
            <w:r>
              <w:rPr>
                <w:rFonts w:ascii="Times New Roman" w:hAnsi="Times New Roman" w:hint="eastAsia"/>
                <w:kern w:val="0"/>
                <w:sz w:val="21"/>
              </w:rPr>
              <w:t>44.414992</w:t>
            </w:r>
          </w:p>
        </w:tc>
        <w:tc>
          <w:tcPr>
            <w:tcW w:w="963" w:type="dxa"/>
            <w:vAlign w:val="center"/>
          </w:tcPr>
          <w:p w14:paraId="76575834" w14:textId="77777777" w:rsidR="009D12AF" w:rsidRDefault="00000000">
            <w:pPr>
              <w:adjustRightInd w:val="0"/>
              <w:snapToGrid w:val="0"/>
              <w:spacing w:line="240" w:lineRule="auto"/>
              <w:ind w:firstLineChars="0" w:firstLine="0"/>
              <w:jc w:val="center"/>
              <w:rPr>
                <w:sz w:val="21"/>
                <w:szCs w:val="21"/>
              </w:rPr>
            </w:pPr>
            <w:r>
              <w:rPr>
                <w:sz w:val="21"/>
                <w:szCs w:val="21"/>
              </w:rPr>
              <w:t>总悬浮颗粒物</w:t>
            </w:r>
          </w:p>
        </w:tc>
        <w:tc>
          <w:tcPr>
            <w:tcW w:w="1137" w:type="dxa"/>
            <w:vAlign w:val="center"/>
          </w:tcPr>
          <w:p w14:paraId="0FDFAD97" w14:textId="77777777" w:rsidR="009D12AF" w:rsidRDefault="00000000">
            <w:pPr>
              <w:adjustRightInd w:val="0"/>
              <w:snapToGrid w:val="0"/>
              <w:spacing w:line="240" w:lineRule="auto"/>
              <w:ind w:firstLineChars="0" w:firstLine="0"/>
              <w:jc w:val="center"/>
              <w:rPr>
                <w:snapToGrid w:val="0"/>
                <w:sz w:val="21"/>
                <w:szCs w:val="21"/>
              </w:rPr>
            </w:pPr>
            <w:r>
              <w:rPr>
                <w:snapToGrid w:val="0"/>
                <w:sz w:val="21"/>
                <w:szCs w:val="21"/>
              </w:rPr>
              <w:t>24</w:t>
            </w:r>
            <w:r>
              <w:rPr>
                <w:snapToGrid w:val="0"/>
                <w:sz w:val="21"/>
                <w:szCs w:val="21"/>
              </w:rPr>
              <w:t>小时平均</w:t>
            </w:r>
          </w:p>
        </w:tc>
        <w:tc>
          <w:tcPr>
            <w:tcW w:w="876" w:type="dxa"/>
            <w:vAlign w:val="center"/>
          </w:tcPr>
          <w:p w14:paraId="13134683" w14:textId="77777777" w:rsidR="009D12AF" w:rsidRDefault="00000000">
            <w:pPr>
              <w:pStyle w:val="af4"/>
              <w:snapToGrid w:val="0"/>
              <w:ind w:firstLineChars="0" w:firstLine="0"/>
              <w:rPr>
                <w:rFonts w:ascii="Times New Roman" w:hAnsi="Times New Roman"/>
                <w:snapToGrid w:val="0"/>
                <w:szCs w:val="21"/>
              </w:rPr>
            </w:pPr>
            <w:r>
              <w:rPr>
                <w:rFonts w:ascii="Times New Roman" w:hAnsi="Times New Roman"/>
                <w:snapToGrid w:val="0"/>
                <w:szCs w:val="21"/>
              </w:rPr>
              <w:t>300</w:t>
            </w:r>
          </w:p>
        </w:tc>
        <w:tc>
          <w:tcPr>
            <w:tcW w:w="665" w:type="pct"/>
            <w:vAlign w:val="center"/>
          </w:tcPr>
          <w:p w14:paraId="6584BC18"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hint="eastAsia"/>
                <w:szCs w:val="21"/>
                <w:lang w:bidi="ar"/>
              </w:rPr>
              <w:t>189-249</w:t>
            </w:r>
          </w:p>
        </w:tc>
        <w:tc>
          <w:tcPr>
            <w:tcW w:w="543" w:type="pct"/>
            <w:vAlign w:val="center"/>
          </w:tcPr>
          <w:p w14:paraId="3030E0E0"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83</w:t>
            </w:r>
          </w:p>
        </w:tc>
        <w:tc>
          <w:tcPr>
            <w:tcW w:w="628" w:type="dxa"/>
            <w:vAlign w:val="center"/>
          </w:tcPr>
          <w:p w14:paraId="5E2FCA63"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6A743013"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06E9756B" w14:textId="77777777">
        <w:trPr>
          <w:trHeight w:val="161"/>
        </w:trPr>
        <w:tc>
          <w:tcPr>
            <w:tcW w:w="396" w:type="pct"/>
            <w:vMerge/>
            <w:vAlign w:val="center"/>
          </w:tcPr>
          <w:p w14:paraId="71ECB971"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2193168B"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22D49AF4"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51494EEB" w14:textId="77777777" w:rsidR="009D12AF" w:rsidRDefault="00000000">
            <w:pPr>
              <w:adjustRightInd w:val="0"/>
              <w:snapToGrid w:val="0"/>
              <w:spacing w:line="240" w:lineRule="auto"/>
              <w:ind w:firstLineChars="0" w:firstLine="0"/>
              <w:jc w:val="center"/>
              <w:rPr>
                <w:sz w:val="21"/>
                <w:szCs w:val="21"/>
              </w:rPr>
            </w:pPr>
            <w:r>
              <w:rPr>
                <w:sz w:val="21"/>
                <w:szCs w:val="21"/>
              </w:rPr>
              <w:t>氨</w:t>
            </w:r>
          </w:p>
        </w:tc>
        <w:tc>
          <w:tcPr>
            <w:tcW w:w="1137" w:type="dxa"/>
            <w:vAlign w:val="center"/>
          </w:tcPr>
          <w:p w14:paraId="046563C4" w14:textId="77777777" w:rsidR="009D12AF" w:rsidRDefault="00000000">
            <w:pPr>
              <w:adjustRightInd w:val="0"/>
              <w:snapToGrid w:val="0"/>
              <w:spacing w:line="240" w:lineRule="auto"/>
              <w:ind w:firstLineChars="0" w:firstLine="0"/>
              <w:jc w:val="center"/>
              <w:rPr>
                <w:snapToGrid w:val="0"/>
                <w:sz w:val="21"/>
                <w:szCs w:val="21"/>
              </w:rPr>
            </w:pPr>
            <w:r>
              <w:rPr>
                <w:sz w:val="21"/>
                <w:szCs w:val="21"/>
              </w:rPr>
              <w:t>1</w:t>
            </w:r>
            <w:r>
              <w:rPr>
                <w:sz w:val="21"/>
                <w:szCs w:val="21"/>
              </w:rPr>
              <w:t>小时平均</w:t>
            </w:r>
          </w:p>
        </w:tc>
        <w:tc>
          <w:tcPr>
            <w:tcW w:w="876" w:type="dxa"/>
            <w:vAlign w:val="center"/>
          </w:tcPr>
          <w:p w14:paraId="40B11A3D" w14:textId="77777777" w:rsidR="009D12AF" w:rsidRDefault="00000000">
            <w:pPr>
              <w:pStyle w:val="af3"/>
              <w:adjustRightInd w:val="0"/>
              <w:snapToGrid w:val="0"/>
              <w:spacing w:line="240" w:lineRule="auto"/>
              <w:rPr>
                <w:rFonts w:ascii="Times New Roman" w:eastAsia="宋体" w:hAnsi="Times New Roman"/>
                <w:snapToGrid w:val="0"/>
                <w:szCs w:val="21"/>
              </w:rPr>
            </w:pPr>
            <w:r>
              <w:rPr>
                <w:rFonts w:ascii="Times New Roman" w:eastAsia="宋体"/>
                <w:szCs w:val="21"/>
              </w:rPr>
              <w:t>200</w:t>
            </w:r>
          </w:p>
        </w:tc>
        <w:tc>
          <w:tcPr>
            <w:tcW w:w="1134" w:type="dxa"/>
            <w:vAlign w:val="center"/>
          </w:tcPr>
          <w:p w14:paraId="65486D4D"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ND</w:t>
            </w:r>
          </w:p>
        </w:tc>
        <w:tc>
          <w:tcPr>
            <w:tcW w:w="926" w:type="dxa"/>
            <w:vAlign w:val="center"/>
          </w:tcPr>
          <w:p w14:paraId="26960654"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w:t>
            </w:r>
          </w:p>
        </w:tc>
        <w:tc>
          <w:tcPr>
            <w:tcW w:w="628" w:type="dxa"/>
            <w:vAlign w:val="center"/>
          </w:tcPr>
          <w:p w14:paraId="647D98CF"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415C244D"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49A32A6A" w14:textId="77777777">
        <w:trPr>
          <w:trHeight w:val="161"/>
        </w:trPr>
        <w:tc>
          <w:tcPr>
            <w:tcW w:w="396" w:type="pct"/>
            <w:vMerge/>
            <w:vAlign w:val="center"/>
          </w:tcPr>
          <w:p w14:paraId="454A3C5F"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4BFAF2AF"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753D0C2C"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4208E3B4" w14:textId="77777777" w:rsidR="009D12AF" w:rsidRDefault="00000000">
            <w:pPr>
              <w:adjustRightInd w:val="0"/>
              <w:snapToGrid w:val="0"/>
              <w:spacing w:line="240" w:lineRule="auto"/>
              <w:ind w:firstLineChars="0" w:firstLine="0"/>
              <w:jc w:val="center"/>
              <w:rPr>
                <w:sz w:val="21"/>
                <w:szCs w:val="21"/>
              </w:rPr>
            </w:pPr>
            <w:r>
              <w:rPr>
                <w:sz w:val="21"/>
                <w:szCs w:val="21"/>
              </w:rPr>
              <w:t>硫化氢</w:t>
            </w:r>
          </w:p>
        </w:tc>
        <w:tc>
          <w:tcPr>
            <w:tcW w:w="1137" w:type="dxa"/>
            <w:vAlign w:val="center"/>
          </w:tcPr>
          <w:p w14:paraId="6A1443A2" w14:textId="77777777" w:rsidR="009D12AF" w:rsidRDefault="00000000">
            <w:pPr>
              <w:adjustRightInd w:val="0"/>
              <w:snapToGrid w:val="0"/>
              <w:spacing w:line="240" w:lineRule="auto"/>
              <w:ind w:firstLineChars="0" w:firstLine="0"/>
              <w:jc w:val="center"/>
              <w:rPr>
                <w:snapToGrid w:val="0"/>
                <w:sz w:val="21"/>
                <w:szCs w:val="21"/>
              </w:rPr>
            </w:pPr>
            <w:r>
              <w:rPr>
                <w:sz w:val="21"/>
                <w:szCs w:val="21"/>
              </w:rPr>
              <w:t>1</w:t>
            </w:r>
            <w:r>
              <w:rPr>
                <w:sz w:val="21"/>
                <w:szCs w:val="21"/>
              </w:rPr>
              <w:t>小时平均</w:t>
            </w:r>
          </w:p>
        </w:tc>
        <w:tc>
          <w:tcPr>
            <w:tcW w:w="876" w:type="dxa"/>
            <w:vAlign w:val="center"/>
          </w:tcPr>
          <w:p w14:paraId="2673967D" w14:textId="77777777" w:rsidR="009D12AF" w:rsidRDefault="00000000">
            <w:pPr>
              <w:pStyle w:val="af3"/>
              <w:adjustRightInd w:val="0"/>
              <w:snapToGrid w:val="0"/>
              <w:spacing w:line="240" w:lineRule="auto"/>
              <w:rPr>
                <w:rFonts w:ascii="Times New Roman" w:eastAsia="宋体" w:hAnsi="Times New Roman"/>
                <w:snapToGrid w:val="0"/>
                <w:szCs w:val="21"/>
              </w:rPr>
            </w:pPr>
            <w:r>
              <w:rPr>
                <w:rFonts w:ascii="Times New Roman" w:eastAsia="宋体"/>
                <w:szCs w:val="21"/>
              </w:rPr>
              <w:t>10</w:t>
            </w:r>
          </w:p>
        </w:tc>
        <w:tc>
          <w:tcPr>
            <w:tcW w:w="1134" w:type="dxa"/>
            <w:vAlign w:val="center"/>
          </w:tcPr>
          <w:p w14:paraId="3B60FDD2"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ND</w:t>
            </w:r>
          </w:p>
        </w:tc>
        <w:tc>
          <w:tcPr>
            <w:tcW w:w="926" w:type="dxa"/>
            <w:vAlign w:val="center"/>
          </w:tcPr>
          <w:p w14:paraId="12F634EA"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628" w:type="dxa"/>
            <w:vAlign w:val="center"/>
          </w:tcPr>
          <w:p w14:paraId="0A589D66"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049B01DD"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38FFF222" w14:textId="77777777">
        <w:trPr>
          <w:trHeight w:val="161"/>
        </w:trPr>
        <w:tc>
          <w:tcPr>
            <w:tcW w:w="396" w:type="pct"/>
            <w:vMerge/>
            <w:vAlign w:val="center"/>
          </w:tcPr>
          <w:p w14:paraId="139F0804"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57033D52"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325451A6"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67CD257E" w14:textId="77777777" w:rsidR="009D12AF" w:rsidRDefault="00000000">
            <w:pPr>
              <w:adjustRightInd w:val="0"/>
              <w:snapToGrid w:val="0"/>
              <w:spacing w:line="240" w:lineRule="auto"/>
              <w:ind w:firstLineChars="0" w:firstLine="0"/>
              <w:jc w:val="center"/>
              <w:rPr>
                <w:sz w:val="21"/>
                <w:szCs w:val="21"/>
              </w:rPr>
            </w:pPr>
            <w:r>
              <w:rPr>
                <w:sz w:val="21"/>
                <w:szCs w:val="21"/>
              </w:rPr>
              <w:t>臭气浓度</w:t>
            </w:r>
          </w:p>
        </w:tc>
        <w:tc>
          <w:tcPr>
            <w:tcW w:w="1137" w:type="dxa"/>
            <w:vAlign w:val="center"/>
          </w:tcPr>
          <w:p w14:paraId="44244AF5" w14:textId="77777777" w:rsidR="009D12AF" w:rsidRDefault="00000000">
            <w:pPr>
              <w:adjustRightInd w:val="0"/>
              <w:snapToGrid w:val="0"/>
              <w:spacing w:line="240" w:lineRule="auto"/>
              <w:ind w:firstLineChars="0" w:firstLine="0"/>
              <w:jc w:val="center"/>
              <w:rPr>
                <w:snapToGrid w:val="0"/>
                <w:sz w:val="21"/>
                <w:szCs w:val="21"/>
              </w:rPr>
            </w:pPr>
            <w:r>
              <w:rPr>
                <w:snapToGrid w:val="0"/>
                <w:sz w:val="21"/>
                <w:szCs w:val="21"/>
              </w:rPr>
              <w:t>一次值</w:t>
            </w:r>
          </w:p>
        </w:tc>
        <w:tc>
          <w:tcPr>
            <w:tcW w:w="876" w:type="dxa"/>
            <w:vAlign w:val="center"/>
          </w:tcPr>
          <w:p w14:paraId="3F5C8055" w14:textId="77777777" w:rsidR="009D12AF" w:rsidRDefault="00000000">
            <w:pPr>
              <w:pStyle w:val="af4"/>
              <w:snapToGrid w:val="0"/>
              <w:ind w:firstLineChars="0" w:firstLine="0"/>
              <w:rPr>
                <w:rFonts w:ascii="Times New Roman" w:hAnsi="Times New Roman"/>
                <w:snapToGrid w:val="0"/>
                <w:szCs w:val="21"/>
              </w:rPr>
            </w:pPr>
            <w:r>
              <w:rPr>
                <w:rFonts w:ascii="Times New Roman" w:hAnsi="Times New Roman"/>
                <w:snapToGrid w:val="0"/>
                <w:szCs w:val="21"/>
              </w:rPr>
              <w:t>20</w:t>
            </w:r>
          </w:p>
        </w:tc>
        <w:tc>
          <w:tcPr>
            <w:tcW w:w="1134" w:type="dxa"/>
            <w:vAlign w:val="center"/>
          </w:tcPr>
          <w:p w14:paraId="5AB402DC"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w:t>
            </w:r>
            <w:r>
              <w:rPr>
                <w:rFonts w:ascii="Times New Roman" w:hAnsi="Times New Roman"/>
                <w:szCs w:val="21"/>
                <w:lang w:bidi="ar"/>
              </w:rPr>
              <w:t>10</w:t>
            </w:r>
          </w:p>
        </w:tc>
        <w:tc>
          <w:tcPr>
            <w:tcW w:w="926" w:type="dxa"/>
            <w:vAlign w:val="center"/>
          </w:tcPr>
          <w:p w14:paraId="46DEA4C9"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628" w:type="dxa"/>
            <w:vAlign w:val="center"/>
          </w:tcPr>
          <w:p w14:paraId="66649E51"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3D1A6776"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2977105D" w14:textId="77777777">
        <w:trPr>
          <w:trHeight w:val="161"/>
        </w:trPr>
        <w:tc>
          <w:tcPr>
            <w:tcW w:w="396" w:type="pct"/>
            <w:vMerge w:val="restart"/>
            <w:vAlign w:val="center"/>
          </w:tcPr>
          <w:p w14:paraId="4DF8DB24" w14:textId="77777777" w:rsidR="009D12AF" w:rsidRDefault="00000000">
            <w:pPr>
              <w:spacing w:line="240" w:lineRule="auto"/>
              <w:ind w:firstLineChars="0" w:firstLine="0"/>
              <w:jc w:val="center"/>
              <w:rPr>
                <w:sz w:val="21"/>
                <w:szCs w:val="21"/>
              </w:rPr>
            </w:pPr>
            <w:r>
              <w:rPr>
                <w:rFonts w:ascii="Times New Roman" w:hAnsi="Times New Roman" w:hint="eastAsia"/>
                <w:kern w:val="0"/>
                <w:sz w:val="21"/>
              </w:rPr>
              <w:t>长石水库</w:t>
            </w:r>
            <w:r>
              <w:rPr>
                <w:rFonts w:ascii="Times New Roman" w:hAnsi="Times New Roman" w:hint="eastAsia"/>
                <w:kern w:val="0"/>
                <w:sz w:val="21"/>
              </w:rPr>
              <w:t>1#</w:t>
            </w:r>
          </w:p>
        </w:tc>
        <w:tc>
          <w:tcPr>
            <w:tcW w:w="439" w:type="pct"/>
            <w:vMerge w:val="restart"/>
            <w:vAlign w:val="center"/>
          </w:tcPr>
          <w:p w14:paraId="5EFBD748" w14:textId="77777777" w:rsidR="009D12AF" w:rsidRDefault="00000000">
            <w:pPr>
              <w:spacing w:line="240" w:lineRule="auto"/>
              <w:ind w:firstLineChars="0" w:firstLine="0"/>
              <w:jc w:val="center"/>
              <w:rPr>
                <w:rFonts w:ascii="Times New Roman" w:eastAsia="宋体" w:hAnsi="Times New Roman"/>
                <w:sz w:val="21"/>
                <w:szCs w:val="21"/>
              </w:rPr>
            </w:pPr>
            <w:r>
              <w:rPr>
                <w:rFonts w:ascii="Times New Roman" w:hAnsi="Times New Roman" w:hint="eastAsia"/>
                <w:kern w:val="0"/>
                <w:sz w:val="21"/>
              </w:rPr>
              <w:t>129.615156</w:t>
            </w:r>
          </w:p>
        </w:tc>
        <w:tc>
          <w:tcPr>
            <w:tcW w:w="476" w:type="pct"/>
            <w:vMerge w:val="restart"/>
            <w:vAlign w:val="center"/>
          </w:tcPr>
          <w:p w14:paraId="7E7ED1E0" w14:textId="77777777" w:rsidR="009D12AF" w:rsidRDefault="00000000">
            <w:pPr>
              <w:spacing w:line="240" w:lineRule="auto"/>
              <w:ind w:firstLineChars="0" w:firstLine="0"/>
              <w:jc w:val="center"/>
              <w:rPr>
                <w:rFonts w:ascii="Times New Roman" w:eastAsia="宋体" w:hAnsi="Times New Roman"/>
                <w:sz w:val="21"/>
                <w:szCs w:val="21"/>
              </w:rPr>
            </w:pPr>
            <w:r>
              <w:rPr>
                <w:rFonts w:ascii="Times New Roman" w:hAnsi="Times New Roman" w:hint="eastAsia"/>
                <w:kern w:val="0"/>
                <w:sz w:val="21"/>
              </w:rPr>
              <w:t>44.717359</w:t>
            </w:r>
          </w:p>
        </w:tc>
        <w:tc>
          <w:tcPr>
            <w:tcW w:w="963" w:type="dxa"/>
            <w:vAlign w:val="center"/>
          </w:tcPr>
          <w:p w14:paraId="62466DB7" w14:textId="77777777" w:rsidR="009D12AF" w:rsidRDefault="00000000">
            <w:pPr>
              <w:adjustRightInd w:val="0"/>
              <w:snapToGrid w:val="0"/>
              <w:spacing w:line="240" w:lineRule="auto"/>
              <w:ind w:firstLineChars="0" w:firstLine="0"/>
              <w:jc w:val="center"/>
              <w:rPr>
                <w:sz w:val="21"/>
                <w:szCs w:val="21"/>
              </w:rPr>
            </w:pPr>
            <w:r>
              <w:rPr>
                <w:sz w:val="21"/>
                <w:szCs w:val="21"/>
              </w:rPr>
              <w:t>总悬浮颗粒物</w:t>
            </w:r>
          </w:p>
        </w:tc>
        <w:tc>
          <w:tcPr>
            <w:tcW w:w="1137" w:type="dxa"/>
            <w:vAlign w:val="center"/>
          </w:tcPr>
          <w:p w14:paraId="42EC02B0" w14:textId="77777777" w:rsidR="009D12AF" w:rsidRDefault="00000000">
            <w:pPr>
              <w:adjustRightInd w:val="0"/>
              <w:snapToGrid w:val="0"/>
              <w:spacing w:line="240" w:lineRule="auto"/>
              <w:ind w:firstLineChars="0" w:firstLine="0"/>
              <w:jc w:val="center"/>
              <w:rPr>
                <w:snapToGrid w:val="0"/>
                <w:sz w:val="21"/>
                <w:szCs w:val="21"/>
              </w:rPr>
            </w:pPr>
            <w:r>
              <w:rPr>
                <w:snapToGrid w:val="0"/>
                <w:sz w:val="21"/>
                <w:szCs w:val="21"/>
              </w:rPr>
              <w:t>24</w:t>
            </w:r>
            <w:r>
              <w:rPr>
                <w:snapToGrid w:val="0"/>
                <w:sz w:val="21"/>
                <w:szCs w:val="21"/>
              </w:rPr>
              <w:t>小时平均</w:t>
            </w:r>
          </w:p>
        </w:tc>
        <w:tc>
          <w:tcPr>
            <w:tcW w:w="876" w:type="dxa"/>
            <w:vAlign w:val="center"/>
          </w:tcPr>
          <w:p w14:paraId="732FE16B" w14:textId="77777777" w:rsidR="009D12AF" w:rsidRDefault="00000000">
            <w:pPr>
              <w:pStyle w:val="af4"/>
              <w:snapToGrid w:val="0"/>
              <w:ind w:firstLineChars="0" w:firstLine="0"/>
              <w:rPr>
                <w:rFonts w:ascii="Times New Roman" w:hAnsi="Times New Roman"/>
                <w:snapToGrid w:val="0"/>
                <w:szCs w:val="21"/>
              </w:rPr>
            </w:pPr>
            <w:r>
              <w:rPr>
                <w:rFonts w:ascii="Times New Roman" w:hAnsi="Times New Roman"/>
                <w:snapToGrid w:val="0"/>
                <w:szCs w:val="21"/>
              </w:rPr>
              <w:t>300</w:t>
            </w:r>
          </w:p>
        </w:tc>
        <w:tc>
          <w:tcPr>
            <w:tcW w:w="665" w:type="pct"/>
            <w:vAlign w:val="center"/>
          </w:tcPr>
          <w:p w14:paraId="0EE7AAA7"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hint="eastAsia"/>
                <w:szCs w:val="21"/>
                <w:lang w:bidi="ar"/>
              </w:rPr>
              <w:t>185-245</w:t>
            </w:r>
          </w:p>
        </w:tc>
        <w:tc>
          <w:tcPr>
            <w:tcW w:w="543" w:type="pct"/>
            <w:vAlign w:val="center"/>
          </w:tcPr>
          <w:p w14:paraId="688A87FB"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81.67</w:t>
            </w:r>
          </w:p>
        </w:tc>
        <w:tc>
          <w:tcPr>
            <w:tcW w:w="628" w:type="dxa"/>
            <w:vAlign w:val="center"/>
          </w:tcPr>
          <w:p w14:paraId="258F94AF"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1047B1A7"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7F595FA0" w14:textId="77777777">
        <w:trPr>
          <w:trHeight w:val="161"/>
        </w:trPr>
        <w:tc>
          <w:tcPr>
            <w:tcW w:w="396" w:type="pct"/>
            <w:vMerge/>
            <w:vAlign w:val="center"/>
          </w:tcPr>
          <w:p w14:paraId="57BB7834"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4DFF5A7A"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583ED043"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7CC8814A" w14:textId="77777777" w:rsidR="009D12AF" w:rsidRDefault="00000000">
            <w:pPr>
              <w:adjustRightInd w:val="0"/>
              <w:snapToGrid w:val="0"/>
              <w:spacing w:line="240" w:lineRule="auto"/>
              <w:ind w:firstLineChars="0" w:firstLine="0"/>
              <w:jc w:val="center"/>
              <w:rPr>
                <w:sz w:val="21"/>
                <w:szCs w:val="21"/>
              </w:rPr>
            </w:pPr>
            <w:r>
              <w:rPr>
                <w:sz w:val="21"/>
                <w:szCs w:val="21"/>
              </w:rPr>
              <w:t>氨</w:t>
            </w:r>
          </w:p>
        </w:tc>
        <w:tc>
          <w:tcPr>
            <w:tcW w:w="1137" w:type="dxa"/>
            <w:vAlign w:val="center"/>
          </w:tcPr>
          <w:p w14:paraId="3314E3C0" w14:textId="77777777" w:rsidR="009D12AF" w:rsidRDefault="00000000">
            <w:pPr>
              <w:adjustRightInd w:val="0"/>
              <w:snapToGrid w:val="0"/>
              <w:spacing w:line="240" w:lineRule="auto"/>
              <w:ind w:firstLineChars="0" w:firstLine="0"/>
              <w:jc w:val="center"/>
              <w:rPr>
                <w:snapToGrid w:val="0"/>
                <w:sz w:val="21"/>
                <w:szCs w:val="21"/>
              </w:rPr>
            </w:pPr>
            <w:r>
              <w:rPr>
                <w:sz w:val="21"/>
                <w:szCs w:val="21"/>
              </w:rPr>
              <w:t>1</w:t>
            </w:r>
            <w:r>
              <w:rPr>
                <w:sz w:val="21"/>
                <w:szCs w:val="21"/>
              </w:rPr>
              <w:t>小时平均</w:t>
            </w:r>
          </w:p>
        </w:tc>
        <w:tc>
          <w:tcPr>
            <w:tcW w:w="876" w:type="dxa"/>
            <w:vAlign w:val="center"/>
          </w:tcPr>
          <w:p w14:paraId="43721DEF" w14:textId="77777777" w:rsidR="009D12AF" w:rsidRDefault="00000000">
            <w:pPr>
              <w:pStyle w:val="af3"/>
              <w:adjustRightInd w:val="0"/>
              <w:snapToGrid w:val="0"/>
              <w:spacing w:line="240" w:lineRule="auto"/>
              <w:rPr>
                <w:rFonts w:ascii="Times New Roman" w:eastAsia="宋体" w:hAnsi="Times New Roman"/>
                <w:snapToGrid w:val="0"/>
                <w:szCs w:val="21"/>
              </w:rPr>
            </w:pPr>
            <w:r>
              <w:rPr>
                <w:rFonts w:ascii="Times New Roman" w:eastAsia="宋体"/>
                <w:szCs w:val="21"/>
              </w:rPr>
              <w:t>200</w:t>
            </w:r>
          </w:p>
        </w:tc>
        <w:tc>
          <w:tcPr>
            <w:tcW w:w="1134" w:type="dxa"/>
            <w:vAlign w:val="center"/>
          </w:tcPr>
          <w:p w14:paraId="0BF323DB"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ND</w:t>
            </w:r>
          </w:p>
        </w:tc>
        <w:tc>
          <w:tcPr>
            <w:tcW w:w="926" w:type="dxa"/>
            <w:vAlign w:val="center"/>
          </w:tcPr>
          <w:p w14:paraId="09B34DB9"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w:t>
            </w:r>
          </w:p>
        </w:tc>
        <w:tc>
          <w:tcPr>
            <w:tcW w:w="628" w:type="dxa"/>
            <w:vAlign w:val="center"/>
          </w:tcPr>
          <w:p w14:paraId="3EB9586C"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6781F322"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6742F46D" w14:textId="77777777">
        <w:trPr>
          <w:trHeight w:val="161"/>
        </w:trPr>
        <w:tc>
          <w:tcPr>
            <w:tcW w:w="396" w:type="pct"/>
            <w:vMerge/>
            <w:vAlign w:val="center"/>
          </w:tcPr>
          <w:p w14:paraId="22B67C21"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4DC4D355"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12EC3973"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0B64B4E4" w14:textId="77777777" w:rsidR="009D12AF" w:rsidRDefault="00000000">
            <w:pPr>
              <w:adjustRightInd w:val="0"/>
              <w:snapToGrid w:val="0"/>
              <w:spacing w:line="240" w:lineRule="auto"/>
              <w:ind w:firstLineChars="0" w:firstLine="0"/>
              <w:jc w:val="center"/>
              <w:rPr>
                <w:sz w:val="21"/>
                <w:szCs w:val="21"/>
              </w:rPr>
            </w:pPr>
            <w:r>
              <w:rPr>
                <w:sz w:val="21"/>
                <w:szCs w:val="21"/>
              </w:rPr>
              <w:t>硫化氢</w:t>
            </w:r>
          </w:p>
        </w:tc>
        <w:tc>
          <w:tcPr>
            <w:tcW w:w="1137" w:type="dxa"/>
            <w:vAlign w:val="center"/>
          </w:tcPr>
          <w:p w14:paraId="317C4693" w14:textId="77777777" w:rsidR="009D12AF" w:rsidRDefault="00000000">
            <w:pPr>
              <w:adjustRightInd w:val="0"/>
              <w:snapToGrid w:val="0"/>
              <w:spacing w:line="240" w:lineRule="auto"/>
              <w:ind w:firstLineChars="0" w:firstLine="0"/>
              <w:jc w:val="center"/>
              <w:rPr>
                <w:snapToGrid w:val="0"/>
                <w:sz w:val="21"/>
                <w:szCs w:val="21"/>
              </w:rPr>
            </w:pPr>
            <w:r>
              <w:rPr>
                <w:sz w:val="21"/>
                <w:szCs w:val="21"/>
              </w:rPr>
              <w:t>1</w:t>
            </w:r>
            <w:r>
              <w:rPr>
                <w:sz w:val="21"/>
                <w:szCs w:val="21"/>
              </w:rPr>
              <w:t>小时平均</w:t>
            </w:r>
          </w:p>
        </w:tc>
        <w:tc>
          <w:tcPr>
            <w:tcW w:w="876" w:type="dxa"/>
            <w:vAlign w:val="center"/>
          </w:tcPr>
          <w:p w14:paraId="07AC54A4" w14:textId="77777777" w:rsidR="009D12AF" w:rsidRDefault="00000000">
            <w:pPr>
              <w:pStyle w:val="af3"/>
              <w:adjustRightInd w:val="0"/>
              <w:snapToGrid w:val="0"/>
              <w:spacing w:line="240" w:lineRule="auto"/>
              <w:rPr>
                <w:rFonts w:ascii="Times New Roman" w:eastAsia="宋体" w:hAnsi="Times New Roman"/>
                <w:snapToGrid w:val="0"/>
                <w:szCs w:val="21"/>
              </w:rPr>
            </w:pPr>
            <w:r>
              <w:rPr>
                <w:rFonts w:ascii="Times New Roman" w:eastAsia="宋体"/>
                <w:szCs w:val="21"/>
              </w:rPr>
              <w:t>10</w:t>
            </w:r>
          </w:p>
        </w:tc>
        <w:tc>
          <w:tcPr>
            <w:tcW w:w="1134" w:type="dxa"/>
            <w:vAlign w:val="center"/>
          </w:tcPr>
          <w:p w14:paraId="7937C5E1"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ND</w:t>
            </w:r>
          </w:p>
        </w:tc>
        <w:tc>
          <w:tcPr>
            <w:tcW w:w="926" w:type="dxa"/>
            <w:vAlign w:val="center"/>
          </w:tcPr>
          <w:p w14:paraId="6BAF52AE"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628" w:type="dxa"/>
            <w:vAlign w:val="center"/>
          </w:tcPr>
          <w:p w14:paraId="4003C67C"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6BE264D3"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74BFB9DE" w14:textId="77777777">
        <w:trPr>
          <w:trHeight w:val="161"/>
        </w:trPr>
        <w:tc>
          <w:tcPr>
            <w:tcW w:w="396" w:type="pct"/>
            <w:vMerge/>
            <w:vAlign w:val="center"/>
          </w:tcPr>
          <w:p w14:paraId="0EA7EA85"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5ADC9987"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5BFAA622"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39C45B3E" w14:textId="77777777" w:rsidR="009D12AF" w:rsidRDefault="00000000">
            <w:pPr>
              <w:adjustRightInd w:val="0"/>
              <w:snapToGrid w:val="0"/>
              <w:spacing w:line="240" w:lineRule="auto"/>
              <w:ind w:firstLineChars="0" w:firstLine="0"/>
              <w:jc w:val="center"/>
              <w:rPr>
                <w:sz w:val="21"/>
                <w:szCs w:val="21"/>
              </w:rPr>
            </w:pPr>
            <w:r>
              <w:rPr>
                <w:sz w:val="21"/>
                <w:szCs w:val="21"/>
              </w:rPr>
              <w:t>臭气浓度</w:t>
            </w:r>
          </w:p>
        </w:tc>
        <w:tc>
          <w:tcPr>
            <w:tcW w:w="1137" w:type="dxa"/>
            <w:vAlign w:val="center"/>
          </w:tcPr>
          <w:p w14:paraId="3CED1AC9" w14:textId="77777777" w:rsidR="009D12AF" w:rsidRDefault="00000000">
            <w:pPr>
              <w:adjustRightInd w:val="0"/>
              <w:snapToGrid w:val="0"/>
              <w:spacing w:line="240" w:lineRule="auto"/>
              <w:ind w:firstLineChars="0" w:firstLine="0"/>
              <w:jc w:val="center"/>
              <w:rPr>
                <w:snapToGrid w:val="0"/>
                <w:sz w:val="21"/>
                <w:szCs w:val="21"/>
              </w:rPr>
            </w:pPr>
            <w:r>
              <w:rPr>
                <w:snapToGrid w:val="0"/>
                <w:sz w:val="21"/>
                <w:szCs w:val="21"/>
              </w:rPr>
              <w:t>一次值</w:t>
            </w:r>
          </w:p>
        </w:tc>
        <w:tc>
          <w:tcPr>
            <w:tcW w:w="876" w:type="dxa"/>
            <w:vAlign w:val="center"/>
          </w:tcPr>
          <w:p w14:paraId="6F2972E0" w14:textId="77777777" w:rsidR="009D12AF" w:rsidRDefault="00000000">
            <w:pPr>
              <w:pStyle w:val="af4"/>
              <w:snapToGrid w:val="0"/>
              <w:ind w:firstLineChars="0" w:firstLine="0"/>
              <w:rPr>
                <w:rFonts w:ascii="Times New Roman" w:hAnsi="Times New Roman"/>
                <w:snapToGrid w:val="0"/>
                <w:szCs w:val="21"/>
              </w:rPr>
            </w:pPr>
            <w:r>
              <w:rPr>
                <w:rFonts w:ascii="Times New Roman" w:hAnsi="Times New Roman"/>
                <w:snapToGrid w:val="0"/>
                <w:szCs w:val="21"/>
              </w:rPr>
              <w:t>20</w:t>
            </w:r>
          </w:p>
        </w:tc>
        <w:tc>
          <w:tcPr>
            <w:tcW w:w="1134" w:type="dxa"/>
            <w:vAlign w:val="center"/>
          </w:tcPr>
          <w:p w14:paraId="2428DDC2"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w:t>
            </w:r>
            <w:r>
              <w:rPr>
                <w:rFonts w:ascii="Times New Roman" w:hAnsi="Times New Roman"/>
                <w:szCs w:val="21"/>
                <w:lang w:bidi="ar"/>
              </w:rPr>
              <w:t>10</w:t>
            </w:r>
          </w:p>
        </w:tc>
        <w:tc>
          <w:tcPr>
            <w:tcW w:w="926" w:type="dxa"/>
            <w:vAlign w:val="center"/>
          </w:tcPr>
          <w:p w14:paraId="4ED021FC"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628" w:type="dxa"/>
            <w:vAlign w:val="center"/>
          </w:tcPr>
          <w:p w14:paraId="21B49777"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28237EAF"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38C3C075" w14:textId="77777777">
        <w:trPr>
          <w:trHeight w:val="169"/>
        </w:trPr>
        <w:tc>
          <w:tcPr>
            <w:tcW w:w="396" w:type="pct"/>
            <w:vMerge w:val="restart"/>
            <w:vAlign w:val="center"/>
          </w:tcPr>
          <w:p w14:paraId="7A4A5F9F" w14:textId="77777777" w:rsidR="009D12AF" w:rsidRDefault="00000000">
            <w:pPr>
              <w:spacing w:line="240" w:lineRule="auto"/>
              <w:ind w:firstLineChars="0" w:firstLine="0"/>
              <w:jc w:val="center"/>
              <w:rPr>
                <w:sz w:val="21"/>
                <w:szCs w:val="21"/>
              </w:rPr>
            </w:pPr>
            <w:r>
              <w:rPr>
                <w:rFonts w:ascii="Times New Roman" w:hAnsi="Times New Roman" w:hint="eastAsia"/>
                <w:kern w:val="0"/>
                <w:sz w:val="21"/>
              </w:rPr>
              <w:t>长石水库</w:t>
            </w:r>
            <w:r>
              <w:rPr>
                <w:rFonts w:ascii="Times New Roman" w:hAnsi="Times New Roman" w:hint="eastAsia"/>
                <w:kern w:val="0"/>
                <w:sz w:val="21"/>
              </w:rPr>
              <w:t>2#</w:t>
            </w:r>
          </w:p>
        </w:tc>
        <w:tc>
          <w:tcPr>
            <w:tcW w:w="439" w:type="pct"/>
            <w:vMerge w:val="restart"/>
            <w:vAlign w:val="center"/>
          </w:tcPr>
          <w:p w14:paraId="12435F36" w14:textId="77777777" w:rsidR="009D12AF" w:rsidRDefault="00000000">
            <w:pPr>
              <w:spacing w:line="240" w:lineRule="auto"/>
              <w:ind w:firstLineChars="0" w:firstLine="0"/>
              <w:jc w:val="center"/>
              <w:rPr>
                <w:rFonts w:ascii="Times New Roman" w:eastAsia="宋体" w:hAnsi="Times New Roman"/>
                <w:sz w:val="21"/>
                <w:szCs w:val="21"/>
              </w:rPr>
            </w:pPr>
            <w:r>
              <w:rPr>
                <w:rFonts w:ascii="Times New Roman" w:hAnsi="Times New Roman" w:hint="eastAsia"/>
                <w:kern w:val="0"/>
                <w:sz w:val="21"/>
              </w:rPr>
              <w:t>129.616830</w:t>
            </w:r>
          </w:p>
        </w:tc>
        <w:tc>
          <w:tcPr>
            <w:tcW w:w="476" w:type="pct"/>
            <w:vMerge w:val="restart"/>
            <w:vAlign w:val="center"/>
          </w:tcPr>
          <w:p w14:paraId="3DA84540" w14:textId="77777777" w:rsidR="009D12AF" w:rsidRDefault="00000000">
            <w:pPr>
              <w:spacing w:line="240" w:lineRule="auto"/>
              <w:ind w:firstLineChars="0" w:firstLine="0"/>
              <w:jc w:val="center"/>
              <w:rPr>
                <w:rFonts w:ascii="Times New Roman" w:eastAsia="宋体" w:hAnsi="Times New Roman"/>
                <w:sz w:val="21"/>
                <w:szCs w:val="21"/>
              </w:rPr>
            </w:pPr>
            <w:r>
              <w:rPr>
                <w:rFonts w:ascii="Times New Roman" w:hAnsi="Times New Roman" w:hint="eastAsia"/>
                <w:kern w:val="0"/>
                <w:sz w:val="21"/>
              </w:rPr>
              <w:t>44.718925</w:t>
            </w:r>
          </w:p>
        </w:tc>
        <w:tc>
          <w:tcPr>
            <w:tcW w:w="963" w:type="dxa"/>
            <w:vAlign w:val="center"/>
          </w:tcPr>
          <w:p w14:paraId="7B758FA6" w14:textId="77777777" w:rsidR="009D12AF" w:rsidRDefault="00000000">
            <w:pPr>
              <w:adjustRightInd w:val="0"/>
              <w:snapToGrid w:val="0"/>
              <w:spacing w:line="240" w:lineRule="auto"/>
              <w:ind w:firstLineChars="0" w:firstLine="0"/>
              <w:jc w:val="center"/>
              <w:rPr>
                <w:sz w:val="21"/>
                <w:szCs w:val="21"/>
              </w:rPr>
            </w:pPr>
            <w:r>
              <w:rPr>
                <w:sz w:val="21"/>
                <w:szCs w:val="21"/>
              </w:rPr>
              <w:t>总悬浮颗粒物</w:t>
            </w:r>
          </w:p>
        </w:tc>
        <w:tc>
          <w:tcPr>
            <w:tcW w:w="1137" w:type="dxa"/>
            <w:vAlign w:val="center"/>
          </w:tcPr>
          <w:p w14:paraId="6814C69E" w14:textId="77777777" w:rsidR="009D12AF" w:rsidRDefault="00000000">
            <w:pPr>
              <w:adjustRightInd w:val="0"/>
              <w:snapToGrid w:val="0"/>
              <w:spacing w:line="240" w:lineRule="auto"/>
              <w:ind w:firstLineChars="0" w:firstLine="0"/>
              <w:jc w:val="center"/>
              <w:rPr>
                <w:snapToGrid w:val="0"/>
                <w:sz w:val="21"/>
                <w:szCs w:val="21"/>
              </w:rPr>
            </w:pPr>
            <w:r>
              <w:rPr>
                <w:snapToGrid w:val="0"/>
                <w:sz w:val="21"/>
                <w:szCs w:val="21"/>
              </w:rPr>
              <w:t>24</w:t>
            </w:r>
            <w:r>
              <w:rPr>
                <w:snapToGrid w:val="0"/>
                <w:sz w:val="21"/>
                <w:szCs w:val="21"/>
              </w:rPr>
              <w:t>小时平均</w:t>
            </w:r>
          </w:p>
        </w:tc>
        <w:tc>
          <w:tcPr>
            <w:tcW w:w="876" w:type="dxa"/>
            <w:vAlign w:val="center"/>
          </w:tcPr>
          <w:p w14:paraId="00148A39" w14:textId="77777777" w:rsidR="009D12AF" w:rsidRDefault="00000000">
            <w:pPr>
              <w:pStyle w:val="af4"/>
              <w:snapToGrid w:val="0"/>
              <w:ind w:firstLineChars="0" w:firstLine="0"/>
              <w:rPr>
                <w:rFonts w:ascii="Times New Roman" w:hAnsi="Times New Roman"/>
                <w:snapToGrid w:val="0"/>
                <w:szCs w:val="21"/>
              </w:rPr>
            </w:pPr>
            <w:r>
              <w:rPr>
                <w:rFonts w:ascii="Times New Roman" w:hAnsi="Times New Roman"/>
                <w:snapToGrid w:val="0"/>
                <w:szCs w:val="21"/>
              </w:rPr>
              <w:t>300</w:t>
            </w:r>
          </w:p>
        </w:tc>
        <w:tc>
          <w:tcPr>
            <w:tcW w:w="665" w:type="pct"/>
            <w:vAlign w:val="center"/>
          </w:tcPr>
          <w:p w14:paraId="2F07529F"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hint="eastAsia"/>
                <w:szCs w:val="21"/>
                <w:lang w:bidi="ar"/>
              </w:rPr>
              <w:t>181-245</w:t>
            </w:r>
          </w:p>
        </w:tc>
        <w:tc>
          <w:tcPr>
            <w:tcW w:w="543" w:type="pct"/>
            <w:vAlign w:val="center"/>
          </w:tcPr>
          <w:p w14:paraId="46F97428"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81.67</w:t>
            </w:r>
          </w:p>
        </w:tc>
        <w:tc>
          <w:tcPr>
            <w:tcW w:w="628" w:type="dxa"/>
            <w:vAlign w:val="center"/>
          </w:tcPr>
          <w:p w14:paraId="6AE9F433"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2C4A4848"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19CE417F" w14:textId="77777777">
        <w:trPr>
          <w:trHeight w:val="161"/>
        </w:trPr>
        <w:tc>
          <w:tcPr>
            <w:tcW w:w="396" w:type="pct"/>
            <w:vMerge/>
            <w:vAlign w:val="center"/>
          </w:tcPr>
          <w:p w14:paraId="48BB1B39"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4D1047ED"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04A4305C"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29DFE40F" w14:textId="77777777" w:rsidR="009D12AF" w:rsidRDefault="00000000">
            <w:pPr>
              <w:adjustRightInd w:val="0"/>
              <w:snapToGrid w:val="0"/>
              <w:spacing w:line="240" w:lineRule="auto"/>
              <w:ind w:firstLineChars="0" w:firstLine="0"/>
              <w:jc w:val="center"/>
              <w:rPr>
                <w:sz w:val="21"/>
                <w:szCs w:val="21"/>
              </w:rPr>
            </w:pPr>
            <w:r>
              <w:rPr>
                <w:sz w:val="21"/>
                <w:szCs w:val="21"/>
              </w:rPr>
              <w:t>氨</w:t>
            </w:r>
          </w:p>
        </w:tc>
        <w:tc>
          <w:tcPr>
            <w:tcW w:w="1137" w:type="dxa"/>
            <w:vAlign w:val="center"/>
          </w:tcPr>
          <w:p w14:paraId="0D3CD47E" w14:textId="77777777" w:rsidR="009D12AF" w:rsidRDefault="00000000">
            <w:pPr>
              <w:adjustRightInd w:val="0"/>
              <w:snapToGrid w:val="0"/>
              <w:spacing w:line="240" w:lineRule="auto"/>
              <w:ind w:firstLineChars="0" w:firstLine="0"/>
              <w:jc w:val="center"/>
              <w:rPr>
                <w:snapToGrid w:val="0"/>
                <w:sz w:val="21"/>
                <w:szCs w:val="21"/>
              </w:rPr>
            </w:pPr>
            <w:r>
              <w:rPr>
                <w:sz w:val="21"/>
                <w:szCs w:val="21"/>
              </w:rPr>
              <w:t>1</w:t>
            </w:r>
            <w:r>
              <w:rPr>
                <w:sz w:val="21"/>
                <w:szCs w:val="21"/>
              </w:rPr>
              <w:t>小时平均</w:t>
            </w:r>
          </w:p>
        </w:tc>
        <w:tc>
          <w:tcPr>
            <w:tcW w:w="876" w:type="dxa"/>
            <w:vAlign w:val="center"/>
          </w:tcPr>
          <w:p w14:paraId="71B08C5C" w14:textId="77777777" w:rsidR="009D12AF" w:rsidRDefault="00000000">
            <w:pPr>
              <w:pStyle w:val="af3"/>
              <w:adjustRightInd w:val="0"/>
              <w:snapToGrid w:val="0"/>
              <w:spacing w:line="240" w:lineRule="auto"/>
              <w:rPr>
                <w:rFonts w:ascii="Times New Roman" w:eastAsia="宋体" w:hAnsi="Times New Roman"/>
                <w:snapToGrid w:val="0"/>
                <w:szCs w:val="21"/>
              </w:rPr>
            </w:pPr>
            <w:r>
              <w:rPr>
                <w:rFonts w:ascii="Times New Roman" w:eastAsia="宋体"/>
                <w:szCs w:val="21"/>
              </w:rPr>
              <w:t>200</w:t>
            </w:r>
          </w:p>
        </w:tc>
        <w:tc>
          <w:tcPr>
            <w:tcW w:w="1134" w:type="dxa"/>
            <w:vAlign w:val="center"/>
          </w:tcPr>
          <w:p w14:paraId="1D05942B"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ND</w:t>
            </w:r>
          </w:p>
        </w:tc>
        <w:tc>
          <w:tcPr>
            <w:tcW w:w="926" w:type="dxa"/>
            <w:vAlign w:val="center"/>
          </w:tcPr>
          <w:p w14:paraId="7A11FB14"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w:t>
            </w:r>
          </w:p>
        </w:tc>
        <w:tc>
          <w:tcPr>
            <w:tcW w:w="628" w:type="dxa"/>
            <w:vAlign w:val="center"/>
          </w:tcPr>
          <w:p w14:paraId="1EDA16B8"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2FA64C6A"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653E8172" w14:textId="77777777">
        <w:trPr>
          <w:trHeight w:val="161"/>
        </w:trPr>
        <w:tc>
          <w:tcPr>
            <w:tcW w:w="396" w:type="pct"/>
            <w:vMerge/>
            <w:vAlign w:val="center"/>
          </w:tcPr>
          <w:p w14:paraId="18B36773"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3594771A"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1BA9EF7F"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6155A6D0" w14:textId="77777777" w:rsidR="009D12AF" w:rsidRDefault="00000000">
            <w:pPr>
              <w:adjustRightInd w:val="0"/>
              <w:snapToGrid w:val="0"/>
              <w:spacing w:line="240" w:lineRule="auto"/>
              <w:ind w:firstLineChars="0" w:firstLine="0"/>
              <w:jc w:val="center"/>
              <w:rPr>
                <w:sz w:val="21"/>
                <w:szCs w:val="21"/>
              </w:rPr>
            </w:pPr>
            <w:r>
              <w:rPr>
                <w:sz w:val="21"/>
                <w:szCs w:val="21"/>
              </w:rPr>
              <w:t>硫化氢</w:t>
            </w:r>
          </w:p>
        </w:tc>
        <w:tc>
          <w:tcPr>
            <w:tcW w:w="1137" w:type="dxa"/>
            <w:vAlign w:val="center"/>
          </w:tcPr>
          <w:p w14:paraId="2DED64F0" w14:textId="77777777" w:rsidR="009D12AF" w:rsidRDefault="00000000">
            <w:pPr>
              <w:adjustRightInd w:val="0"/>
              <w:snapToGrid w:val="0"/>
              <w:spacing w:line="240" w:lineRule="auto"/>
              <w:ind w:firstLineChars="0" w:firstLine="0"/>
              <w:jc w:val="center"/>
              <w:rPr>
                <w:snapToGrid w:val="0"/>
                <w:sz w:val="21"/>
                <w:szCs w:val="21"/>
              </w:rPr>
            </w:pPr>
            <w:r>
              <w:rPr>
                <w:sz w:val="21"/>
                <w:szCs w:val="21"/>
              </w:rPr>
              <w:t>1</w:t>
            </w:r>
            <w:r>
              <w:rPr>
                <w:sz w:val="21"/>
                <w:szCs w:val="21"/>
              </w:rPr>
              <w:t>小时平均</w:t>
            </w:r>
          </w:p>
        </w:tc>
        <w:tc>
          <w:tcPr>
            <w:tcW w:w="876" w:type="dxa"/>
            <w:vAlign w:val="center"/>
          </w:tcPr>
          <w:p w14:paraId="074609D5" w14:textId="77777777" w:rsidR="009D12AF" w:rsidRDefault="00000000">
            <w:pPr>
              <w:pStyle w:val="af3"/>
              <w:adjustRightInd w:val="0"/>
              <w:snapToGrid w:val="0"/>
              <w:spacing w:line="240" w:lineRule="auto"/>
              <w:rPr>
                <w:rFonts w:ascii="Times New Roman" w:eastAsia="宋体" w:hAnsi="Times New Roman"/>
                <w:snapToGrid w:val="0"/>
                <w:szCs w:val="21"/>
              </w:rPr>
            </w:pPr>
            <w:r>
              <w:rPr>
                <w:rFonts w:ascii="Times New Roman" w:eastAsia="宋体"/>
                <w:szCs w:val="21"/>
              </w:rPr>
              <w:t>10</w:t>
            </w:r>
          </w:p>
        </w:tc>
        <w:tc>
          <w:tcPr>
            <w:tcW w:w="1134" w:type="dxa"/>
            <w:vAlign w:val="center"/>
          </w:tcPr>
          <w:p w14:paraId="24F3DE29"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ND</w:t>
            </w:r>
          </w:p>
        </w:tc>
        <w:tc>
          <w:tcPr>
            <w:tcW w:w="926" w:type="dxa"/>
            <w:vAlign w:val="center"/>
          </w:tcPr>
          <w:p w14:paraId="3A9EA40F"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628" w:type="dxa"/>
            <w:vAlign w:val="center"/>
          </w:tcPr>
          <w:p w14:paraId="7308B321"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2FCCF778"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0817FEC2" w14:textId="77777777">
        <w:trPr>
          <w:trHeight w:val="161"/>
        </w:trPr>
        <w:tc>
          <w:tcPr>
            <w:tcW w:w="396" w:type="pct"/>
            <w:vMerge/>
            <w:vAlign w:val="center"/>
          </w:tcPr>
          <w:p w14:paraId="29F8DDDD"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4B642CE5"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5D1B1D37"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743CA084" w14:textId="77777777" w:rsidR="009D12AF" w:rsidRDefault="00000000">
            <w:pPr>
              <w:adjustRightInd w:val="0"/>
              <w:snapToGrid w:val="0"/>
              <w:spacing w:line="240" w:lineRule="auto"/>
              <w:ind w:firstLineChars="0" w:firstLine="0"/>
              <w:jc w:val="center"/>
              <w:rPr>
                <w:sz w:val="21"/>
                <w:szCs w:val="21"/>
              </w:rPr>
            </w:pPr>
            <w:r>
              <w:rPr>
                <w:sz w:val="21"/>
                <w:szCs w:val="21"/>
              </w:rPr>
              <w:t>臭气浓度</w:t>
            </w:r>
          </w:p>
        </w:tc>
        <w:tc>
          <w:tcPr>
            <w:tcW w:w="1137" w:type="dxa"/>
            <w:vAlign w:val="center"/>
          </w:tcPr>
          <w:p w14:paraId="54E6EA7A" w14:textId="77777777" w:rsidR="009D12AF" w:rsidRDefault="00000000">
            <w:pPr>
              <w:adjustRightInd w:val="0"/>
              <w:snapToGrid w:val="0"/>
              <w:spacing w:line="240" w:lineRule="auto"/>
              <w:ind w:firstLineChars="0" w:firstLine="0"/>
              <w:jc w:val="center"/>
              <w:rPr>
                <w:snapToGrid w:val="0"/>
                <w:sz w:val="21"/>
                <w:szCs w:val="21"/>
              </w:rPr>
            </w:pPr>
            <w:r>
              <w:rPr>
                <w:snapToGrid w:val="0"/>
                <w:sz w:val="21"/>
                <w:szCs w:val="21"/>
              </w:rPr>
              <w:t>一次值</w:t>
            </w:r>
          </w:p>
        </w:tc>
        <w:tc>
          <w:tcPr>
            <w:tcW w:w="876" w:type="dxa"/>
            <w:vAlign w:val="center"/>
          </w:tcPr>
          <w:p w14:paraId="39BE3458" w14:textId="77777777" w:rsidR="009D12AF" w:rsidRDefault="00000000">
            <w:pPr>
              <w:pStyle w:val="af4"/>
              <w:snapToGrid w:val="0"/>
              <w:ind w:firstLineChars="0" w:firstLine="0"/>
              <w:rPr>
                <w:rFonts w:ascii="Times New Roman" w:hAnsi="Times New Roman"/>
                <w:snapToGrid w:val="0"/>
                <w:szCs w:val="21"/>
              </w:rPr>
            </w:pPr>
            <w:r>
              <w:rPr>
                <w:rFonts w:ascii="Times New Roman" w:hAnsi="Times New Roman"/>
                <w:snapToGrid w:val="0"/>
                <w:szCs w:val="21"/>
              </w:rPr>
              <w:t>20</w:t>
            </w:r>
          </w:p>
        </w:tc>
        <w:tc>
          <w:tcPr>
            <w:tcW w:w="1134" w:type="dxa"/>
            <w:vAlign w:val="center"/>
          </w:tcPr>
          <w:p w14:paraId="50EAEEA2"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w:t>
            </w:r>
            <w:r>
              <w:rPr>
                <w:rFonts w:ascii="Times New Roman" w:hAnsi="Times New Roman"/>
                <w:szCs w:val="21"/>
                <w:lang w:bidi="ar"/>
              </w:rPr>
              <w:t>10</w:t>
            </w:r>
          </w:p>
        </w:tc>
        <w:tc>
          <w:tcPr>
            <w:tcW w:w="926" w:type="dxa"/>
            <w:vAlign w:val="center"/>
          </w:tcPr>
          <w:p w14:paraId="5FD18E72"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628" w:type="dxa"/>
            <w:vAlign w:val="center"/>
          </w:tcPr>
          <w:p w14:paraId="0552A434"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4E720ADF"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0A4FD312" w14:textId="77777777">
        <w:trPr>
          <w:trHeight w:val="161"/>
        </w:trPr>
        <w:tc>
          <w:tcPr>
            <w:tcW w:w="396" w:type="pct"/>
            <w:vMerge w:val="restart"/>
            <w:vAlign w:val="center"/>
          </w:tcPr>
          <w:p w14:paraId="1B95019D" w14:textId="77777777" w:rsidR="009D12AF" w:rsidRDefault="00000000">
            <w:pPr>
              <w:spacing w:line="240" w:lineRule="auto"/>
              <w:ind w:firstLineChars="0" w:firstLine="0"/>
              <w:jc w:val="center"/>
              <w:rPr>
                <w:sz w:val="21"/>
                <w:szCs w:val="21"/>
              </w:rPr>
            </w:pPr>
            <w:r>
              <w:rPr>
                <w:rFonts w:ascii="Times New Roman" w:hAnsi="Times New Roman" w:hint="eastAsia"/>
                <w:kern w:val="0"/>
                <w:sz w:val="21"/>
              </w:rPr>
              <w:t>向阳水电站</w:t>
            </w:r>
            <w:r>
              <w:rPr>
                <w:rFonts w:ascii="Times New Roman" w:hAnsi="Times New Roman" w:hint="eastAsia"/>
                <w:kern w:val="0"/>
                <w:sz w:val="21"/>
              </w:rPr>
              <w:t>1#</w:t>
            </w:r>
          </w:p>
        </w:tc>
        <w:tc>
          <w:tcPr>
            <w:tcW w:w="439" w:type="pct"/>
            <w:vMerge w:val="restart"/>
            <w:vAlign w:val="center"/>
          </w:tcPr>
          <w:p w14:paraId="3E6BB329" w14:textId="77777777" w:rsidR="009D12AF" w:rsidRDefault="00000000">
            <w:pPr>
              <w:spacing w:line="240" w:lineRule="auto"/>
              <w:ind w:firstLineChars="0" w:firstLine="0"/>
              <w:jc w:val="center"/>
              <w:rPr>
                <w:rFonts w:ascii="Times New Roman" w:eastAsia="宋体" w:hAnsi="Times New Roman"/>
                <w:sz w:val="21"/>
                <w:szCs w:val="21"/>
              </w:rPr>
            </w:pPr>
            <w:r>
              <w:rPr>
                <w:rFonts w:ascii="Times New Roman" w:hAnsi="Times New Roman" w:hint="eastAsia"/>
                <w:kern w:val="0"/>
                <w:sz w:val="21"/>
              </w:rPr>
              <w:t>129.291834</w:t>
            </w:r>
          </w:p>
        </w:tc>
        <w:tc>
          <w:tcPr>
            <w:tcW w:w="476" w:type="pct"/>
            <w:vMerge w:val="restart"/>
            <w:vAlign w:val="center"/>
          </w:tcPr>
          <w:p w14:paraId="44C4FE8A" w14:textId="77777777" w:rsidR="009D12AF" w:rsidRDefault="00000000">
            <w:pPr>
              <w:spacing w:line="240" w:lineRule="auto"/>
              <w:ind w:firstLineChars="0" w:firstLine="0"/>
              <w:jc w:val="center"/>
              <w:rPr>
                <w:rFonts w:ascii="Times New Roman" w:eastAsia="宋体" w:hAnsi="Times New Roman"/>
                <w:sz w:val="21"/>
                <w:szCs w:val="21"/>
              </w:rPr>
            </w:pPr>
            <w:r>
              <w:rPr>
                <w:rFonts w:ascii="Times New Roman" w:hAnsi="Times New Roman" w:hint="eastAsia"/>
                <w:kern w:val="0"/>
                <w:sz w:val="21"/>
              </w:rPr>
              <w:t>44.564843</w:t>
            </w:r>
          </w:p>
        </w:tc>
        <w:tc>
          <w:tcPr>
            <w:tcW w:w="963" w:type="dxa"/>
            <w:vAlign w:val="center"/>
          </w:tcPr>
          <w:p w14:paraId="5465DB62" w14:textId="77777777" w:rsidR="009D12AF" w:rsidRDefault="00000000">
            <w:pPr>
              <w:adjustRightInd w:val="0"/>
              <w:snapToGrid w:val="0"/>
              <w:spacing w:line="240" w:lineRule="auto"/>
              <w:ind w:firstLineChars="0" w:firstLine="0"/>
              <w:jc w:val="center"/>
              <w:rPr>
                <w:sz w:val="21"/>
                <w:szCs w:val="21"/>
              </w:rPr>
            </w:pPr>
            <w:r>
              <w:rPr>
                <w:sz w:val="21"/>
                <w:szCs w:val="21"/>
              </w:rPr>
              <w:t>总悬浮颗粒物</w:t>
            </w:r>
          </w:p>
        </w:tc>
        <w:tc>
          <w:tcPr>
            <w:tcW w:w="1137" w:type="dxa"/>
            <w:vAlign w:val="center"/>
          </w:tcPr>
          <w:p w14:paraId="629E23FA" w14:textId="77777777" w:rsidR="009D12AF" w:rsidRDefault="00000000">
            <w:pPr>
              <w:adjustRightInd w:val="0"/>
              <w:snapToGrid w:val="0"/>
              <w:spacing w:line="240" w:lineRule="auto"/>
              <w:ind w:firstLineChars="0" w:firstLine="0"/>
              <w:jc w:val="center"/>
              <w:rPr>
                <w:snapToGrid w:val="0"/>
                <w:sz w:val="21"/>
                <w:szCs w:val="21"/>
              </w:rPr>
            </w:pPr>
            <w:r>
              <w:rPr>
                <w:snapToGrid w:val="0"/>
                <w:sz w:val="21"/>
                <w:szCs w:val="21"/>
              </w:rPr>
              <w:t>24</w:t>
            </w:r>
            <w:r>
              <w:rPr>
                <w:snapToGrid w:val="0"/>
                <w:sz w:val="21"/>
                <w:szCs w:val="21"/>
              </w:rPr>
              <w:t>小时平均</w:t>
            </w:r>
          </w:p>
        </w:tc>
        <w:tc>
          <w:tcPr>
            <w:tcW w:w="876" w:type="dxa"/>
            <w:vAlign w:val="center"/>
          </w:tcPr>
          <w:p w14:paraId="67D724CE" w14:textId="77777777" w:rsidR="009D12AF" w:rsidRDefault="00000000">
            <w:pPr>
              <w:pStyle w:val="af4"/>
              <w:snapToGrid w:val="0"/>
              <w:ind w:firstLineChars="0" w:firstLine="0"/>
              <w:rPr>
                <w:rFonts w:ascii="Times New Roman" w:hAnsi="Times New Roman"/>
                <w:snapToGrid w:val="0"/>
                <w:szCs w:val="21"/>
              </w:rPr>
            </w:pPr>
            <w:r>
              <w:rPr>
                <w:rFonts w:ascii="Times New Roman" w:hAnsi="Times New Roman"/>
                <w:snapToGrid w:val="0"/>
                <w:szCs w:val="21"/>
              </w:rPr>
              <w:t>300</w:t>
            </w:r>
          </w:p>
        </w:tc>
        <w:tc>
          <w:tcPr>
            <w:tcW w:w="665" w:type="pct"/>
            <w:vAlign w:val="center"/>
          </w:tcPr>
          <w:p w14:paraId="43ABDDC2"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hint="eastAsia"/>
                <w:szCs w:val="21"/>
                <w:lang w:bidi="ar"/>
              </w:rPr>
              <w:t>183-215</w:t>
            </w:r>
          </w:p>
        </w:tc>
        <w:tc>
          <w:tcPr>
            <w:tcW w:w="543" w:type="pct"/>
            <w:vAlign w:val="center"/>
          </w:tcPr>
          <w:p w14:paraId="33673D09"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71.67</w:t>
            </w:r>
          </w:p>
        </w:tc>
        <w:tc>
          <w:tcPr>
            <w:tcW w:w="628" w:type="dxa"/>
            <w:vAlign w:val="center"/>
          </w:tcPr>
          <w:p w14:paraId="1A9D48C8"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1EFDD136"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1B0DE868" w14:textId="77777777">
        <w:trPr>
          <w:trHeight w:val="161"/>
        </w:trPr>
        <w:tc>
          <w:tcPr>
            <w:tcW w:w="396" w:type="pct"/>
            <w:vMerge/>
            <w:vAlign w:val="center"/>
          </w:tcPr>
          <w:p w14:paraId="336113D6"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2E42B85C"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50A75D10"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3FAA1F21" w14:textId="77777777" w:rsidR="009D12AF" w:rsidRDefault="00000000">
            <w:pPr>
              <w:adjustRightInd w:val="0"/>
              <w:snapToGrid w:val="0"/>
              <w:spacing w:line="240" w:lineRule="auto"/>
              <w:ind w:firstLineChars="0" w:firstLine="0"/>
              <w:jc w:val="center"/>
              <w:rPr>
                <w:sz w:val="21"/>
                <w:szCs w:val="21"/>
              </w:rPr>
            </w:pPr>
            <w:r>
              <w:rPr>
                <w:sz w:val="21"/>
                <w:szCs w:val="21"/>
              </w:rPr>
              <w:t>氨</w:t>
            </w:r>
          </w:p>
        </w:tc>
        <w:tc>
          <w:tcPr>
            <w:tcW w:w="1137" w:type="dxa"/>
            <w:vAlign w:val="center"/>
          </w:tcPr>
          <w:p w14:paraId="7C79198A" w14:textId="77777777" w:rsidR="009D12AF" w:rsidRDefault="00000000">
            <w:pPr>
              <w:adjustRightInd w:val="0"/>
              <w:snapToGrid w:val="0"/>
              <w:spacing w:line="240" w:lineRule="auto"/>
              <w:ind w:firstLineChars="0" w:firstLine="0"/>
              <w:jc w:val="center"/>
              <w:rPr>
                <w:snapToGrid w:val="0"/>
                <w:sz w:val="21"/>
                <w:szCs w:val="21"/>
              </w:rPr>
            </w:pPr>
            <w:r>
              <w:rPr>
                <w:sz w:val="21"/>
                <w:szCs w:val="21"/>
              </w:rPr>
              <w:t>1</w:t>
            </w:r>
            <w:r>
              <w:rPr>
                <w:sz w:val="21"/>
                <w:szCs w:val="21"/>
              </w:rPr>
              <w:t>小时平</w:t>
            </w:r>
            <w:r>
              <w:rPr>
                <w:sz w:val="21"/>
                <w:szCs w:val="21"/>
              </w:rPr>
              <w:lastRenderedPageBreak/>
              <w:t>均</w:t>
            </w:r>
          </w:p>
        </w:tc>
        <w:tc>
          <w:tcPr>
            <w:tcW w:w="876" w:type="dxa"/>
            <w:vAlign w:val="center"/>
          </w:tcPr>
          <w:p w14:paraId="4CD5BA32" w14:textId="77777777" w:rsidR="009D12AF" w:rsidRDefault="00000000">
            <w:pPr>
              <w:pStyle w:val="af3"/>
              <w:adjustRightInd w:val="0"/>
              <w:snapToGrid w:val="0"/>
              <w:spacing w:line="240" w:lineRule="auto"/>
              <w:rPr>
                <w:rFonts w:ascii="Times New Roman" w:eastAsia="宋体" w:hAnsi="Times New Roman"/>
                <w:snapToGrid w:val="0"/>
                <w:szCs w:val="21"/>
              </w:rPr>
            </w:pPr>
            <w:r>
              <w:rPr>
                <w:rFonts w:ascii="Times New Roman" w:eastAsia="宋体"/>
                <w:szCs w:val="21"/>
              </w:rPr>
              <w:lastRenderedPageBreak/>
              <w:t>200</w:t>
            </w:r>
          </w:p>
        </w:tc>
        <w:tc>
          <w:tcPr>
            <w:tcW w:w="1134" w:type="dxa"/>
            <w:vAlign w:val="center"/>
          </w:tcPr>
          <w:p w14:paraId="3E54DBC4"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ND</w:t>
            </w:r>
          </w:p>
        </w:tc>
        <w:tc>
          <w:tcPr>
            <w:tcW w:w="926" w:type="dxa"/>
            <w:vAlign w:val="center"/>
          </w:tcPr>
          <w:p w14:paraId="587FD29B"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w:t>
            </w:r>
          </w:p>
        </w:tc>
        <w:tc>
          <w:tcPr>
            <w:tcW w:w="628" w:type="dxa"/>
            <w:vAlign w:val="center"/>
          </w:tcPr>
          <w:p w14:paraId="3ABF6D6F"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5CD60F18"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w:t>
            </w:r>
            <w:r>
              <w:rPr>
                <w:rFonts w:ascii="Times New Roman" w:hAnsi="Times New Roman"/>
                <w:szCs w:val="21"/>
              </w:rPr>
              <w:lastRenderedPageBreak/>
              <w:t>标</w:t>
            </w:r>
          </w:p>
        </w:tc>
      </w:tr>
      <w:tr w:rsidR="009D12AF" w14:paraId="0ADC25E0" w14:textId="77777777">
        <w:trPr>
          <w:trHeight w:val="161"/>
        </w:trPr>
        <w:tc>
          <w:tcPr>
            <w:tcW w:w="396" w:type="pct"/>
            <w:vMerge/>
            <w:vAlign w:val="center"/>
          </w:tcPr>
          <w:p w14:paraId="7F99ABB4"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455D14FF"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1EFB572D"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2B4C1957" w14:textId="77777777" w:rsidR="009D12AF" w:rsidRDefault="00000000">
            <w:pPr>
              <w:adjustRightInd w:val="0"/>
              <w:snapToGrid w:val="0"/>
              <w:spacing w:line="240" w:lineRule="auto"/>
              <w:ind w:firstLineChars="0" w:firstLine="0"/>
              <w:jc w:val="center"/>
              <w:rPr>
                <w:sz w:val="21"/>
                <w:szCs w:val="21"/>
              </w:rPr>
            </w:pPr>
            <w:r>
              <w:rPr>
                <w:sz w:val="21"/>
                <w:szCs w:val="21"/>
              </w:rPr>
              <w:t>硫化氢</w:t>
            </w:r>
          </w:p>
        </w:tc>
        <w:tc>
          <w:tcPr>
            <w:tcW w:w="1137" w:type="dxa"/>
            <w:vAlign w:val="center"/>
          </w:tcPr>
          <w:p w14:paraId="2174D6BB" w14:textId="77777777" w:rsidR="009D12AF" w:rsidRDefault="00000000">
            <w:pPr>
              <w:adjustRightInd w:val="0"/>
              <w:snapToGrid w:val="0"/>
              <w:spacing w:line="240" w:lineRule="auto"/>
              <w:ind w:firstLineChars="0" w:firstLine="0"/>
              <w:jc w:val="center"/>
              <w:rPr>
                <w:snapToGrid w:val="0"/>
                <w:sz w:val="21"/>
                <w:szCs w:val="21"/>
              </w:rPr>
            </w:pPr>
            <w:r>
              <w:rPr>
                <w:sz w:val="21"/>
                <w:szCs w:val="21"/>
              </w:rPr>
              <w:t>1</w:t>
            </w:r>
            <w:r>
              <w:rPr>
                <w:sz w:val="21"/>
                <w:szCs w:val="21"/>
              </w:rPr>
              <w:t>小时平均</w:t>
            </w:r>
          </w:p>
        </w:tc>
        <w:tc>
          <w:tcPr>
            <w:tcW w:w="876" w:type="dxa"/>
            <w:vAlign w:val="center"/>
          </w:tcPr>
          <w:p w14:paraId="1A5E7949" w14:textId="77777777" w:rsidR="009D12AF" w:rsidRDefault="00000000">
            <w:pPr>
              <w:pStyle w:val="af3"/>
              <w:adjustRightInd w:val="0"/>
              <w:snapToGrid w:val="0"/>
              <w:spacing w:line="240" w:lineRule="auto"/>
              <w:rPr>
                <w:rFonts w:ascii="Times New Roman" w:eastAsia="宋体" w:hAnsi="Times New Roman"/>
                <w:snapToGrid w:val="0"/>
                <w:szCs w:val="21"/>
              </w:rPr>
            </w:pPr>
            <w:r>
              <w:rPr>
                <w:rFonts w:ascii="Times New Roman" w:eastAsia="宋体"/>
                <w:szCs w:val="21"/>
              </w:rPr>
              <w:t>10</w:t>
            </w:r>
          </w:p>
        </w:tc>
        <w:tc>
          <w:tcPr>
            <w:tcW w:w="1134" w:type="dxa"/>
            <w:vAlign w:val="center"/>
          </w:tcPr>
          <w:p w14:paraId="355FA596"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ND</w:t>
            </w:r>
          </w:p>
        </w:tc>
        <w:tc>
          <w:tcPr>
            <w:tcW w:w="926" w:type="dxa"/>
            <w:vAlign w:val="center"/>
          </w:tcPr>
          <w:p w14:paraId="31602A95"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628" w:type="dxa"/>
            <w:vAlign w:val="center"/>
          </w:tcPr>
          <w:p w14:paraId="514E6DB8"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48D412A5"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382DC799" w14:textId="77777777">
        <w:trPr>
          <w:trHeight w:val="161"/>
        </w:trPr>
        <w:tc>
          <w:tcPr>
            <w:tcW w:w="396" w:type="pct"/>
            <w:vMerge/>
            <w:vAlign w:val="center"/>
          </w:tcPr>
          <w:p w14:paraId="3AA5C55D"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0491431A"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53C7E667"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36DEF2D5" w14:textId="77777777" w:rsidR="009D12AF" w:rsidRDefault="00000000">
            <w:pPr>
              <w:adjustRightInd w:val="0"/>
              <w:snapToGrid w:val="0"/>
              <w:spacing w:line="240" w:lineRule="auto"/>
              <w:ind w:firstLineChars="0" w:firstLine="0"/>
              <w:jc w:val="center"/>
              <w:rPr>
                <w:sz w:val="21"/>
                <w:szCs w:val="21"/>
              </w:rPr>
            </w:pPr>
            <w:r>
              <w:rPr>
                <w:sz w:val="21"/>
                <w:szCs w:val="21"/>
              </w:rPr>
              <w:t>臭气浓度</w:t>
            </w:r>
          </w:p>
        </w:tc>
        <w:tc>
          <w:tcPr>
            <w:tcW w:w="1137" w:type="dxa"/>
            <w:vAlign w:val="center"/>
          </w:tcPr>
          <w:p w14:paraId="2216A10F" w14:textId="77777777" w:rsidR="009D12AF" w:rsidRDefault="00000000">
            <w:pPr>
              <w:adjustRightInd w:val="0"/>
              <w:snapToGrid w:val="0"/>
              <w:spacing w:line="240" w:lineRule="auto"/>
              <w:ind w:firstLineChars="0" w:firstLine="0"/>
              <w:jc w:val="center"/>
              <w:rPr>
                <w:snapToGrid w:val="0"/>
                <w:sz w:val="21"/>
                <w:szCs w:val="21"/>
              </w:rPr>
            </w:pPr>
            <w:r>
              <w:rPr>
                <w:snapToGrid w:val="0"/>
                <w:sz w:val="21"/>
                <w:szCs w:val="21"/>
              </w:rPr>
              <w:t>一次值</w:t>
            </w:r>
          </w:p>
        </w:tc>
        <w:tc>
          <w:tcPr>
            <w:tcW w:w="876" w:type="dxa"/>
            <w:vAlign w:val="center"/>
          </w:tcPr>
          <w:p w14:paraId="592D8175" w14:textId="77777777" w:rsidR="009D12AF" w:rsidRDefault="00000000">
            <w:pPr>
              <w:pStyle w:val="af4"/>
              <w:snapToGrid w:val="0"/>
              <w:ind w:firstLineChars="0" w:firstLine="0"/>
              <w:rPr>
                <w:rFonts w:ascii="Times New Roman" w:hAnsi="Times New Roman"/>
                <w:snapToGrid w:val="0"/>
                <w:szCs w:val="21"/>
              </w:rPr>
            </w:pPr>
            <w:r>
              <w:rPr>
                <w:rFonts w:ascii="Times New Roman" w:hAnsi="Times New Roman"/>
                <w:snapToGrid w:val="0"/>
                <w:szCs w:val="21"/>
              </w:rPr>
              <w:t>20</w:t>
            </w:r>
          </w:p>
        </w:tc>
        <w:tc>
          <w:tcPr>
            <w:tcW w:w="1134" w:type="dxa"/>
            <w:vAlign w:val="center"/>
          </w:tcPr>
          <w:p w14:paraId="41CC4A82"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w:t>
            </w:r>
            <w:r>
              <w:rPr>
                <w:rFonts w:ascii="Times New Roman" w:hAnsi="Times New Roman"/>
                <w:szCs w:val="21"/>
                <w:lang w:bidi="ar"/>
              </w:rPr>
              <w:t>10</w:t>
            </w:r>
          </w:p>
        </w:tc>
        <w:tc>
          <w:tcPr>
            <w:tcW w:w="926" w:type="dxa"/>
            <w:vAlign w:val="center"/>
          </w:tcPr>
          <w:p w14:paraId="5553315F"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628" w:type="dxa"/>
            <w:vAlign w:val="center"/>
          </w:tcPr>
          <w:p w14:paraId="7399E2AC"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7199E687"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5B6B827B" w14:textId="77777777">
        <w:trPr>
          <w:trHeight w:val="161"/>
        </w:trPr>
        <w:tc>
          <w:tcPr>
            <w:tcW w:w="396" w:type="pct"/>
            <w:vMerge w:val="restart"/>
            <w:vAlign w:val="center"/>
          </w:tcPr>
          <w:p w14:paraId="4F4F0A7A" w14:textId="77777777" w:rsidR="009D12AF" w:rsidRDefault="00000000">
            <w:pPr>
              <w:spacing w:line="240" w:lineRule="auto"/>
              <w:ind w:firstLineChars="0" w:firstLine="0"/>
              <w:jc w:val="center"/>
              <w:rPr>
                <w:sz w:val="21"/>
                <w:szCs w:val="21"/>
              </w:rPr>
            </w:pPr>
            <w:r>
              <w:rPr>
                <w:rFonts w:ascii="Times New Roman" w:hAnsi="Times New Roman" w:hint="eastAsia"/>
                <w:kern w:val="0"/>
                <w:sz w:val="21"/>
              </w:rPr>
              <w:t>向阳水电站</w:t>
            </w:r>
            <w:r>
              <w:rPr>
                <w:rFonts w:ascii="Times New Roman" w:hAnsi="Times New Roman" w:hint="eastAsia"/>
                <w:kern w:val="0"/>
                <w:sz w:val="21"/>
              </w:rPr>
              <w:t>2#</w:t>
            </w:r>
          </w:p>
        </w:tc>
        <w:tc>
          <w:tcPr>
            <w:tcW w:w="439" w:type="pct"/>
            <w:vMerge w:val="restart"/>
            <w:vAlign w:val="center"/>
          </w:tcPr>
          <w:p w14:paraId="2651D89E" w14:textId="77777777" w:rsidR="009D12AF" w:rsidRDefault="00000000">
            <w:pPr>
              <w:spacing w:line="240" w:lineRule="auto"/>
              <w:ind w:firstLineChars="0" w:firstLine="0"/>
              <w:jc w:val="center"/>
              <w:rPr>
                <w:rFonts w:ascii="Times New Roman" w:eastAsia="宋体" w:hAnsi="Times New Roman"/>
                <w:sz w:val="21"/>
                <w:szCs w:val="21"/>
              </w:rPr>
            </w:pPr>
            <w:r>
              <w:rPr>
                <w:rFonts w:ascii="Times New Roman" w:hAnsi="Times New Roman" w:hint="eastAsia"/>
                <w:kern w:val="0"/>
                <w:sz w:val="21"/>
              </w:rPr>
              <w:t>129.292864</w:t>
            </w:r>
          </w:p>
        </w:tc>
        <w:tc>
          <w:tcPr>
            <w:tcW w:w="476" w:type="pct"/>
            <w:vMerge w:val="restart"/>
            <w:vAlign w:val="center"/>
          </w:tcPr>
          <w:p w14:paraId="2CEFE743" w14:textId="77777777" w:rsidR="009D12AF" w:rsidRDefault="00000000">
            <w:pPr>
              <w:spacing w:line="240" w:lineRule="auto"/>
              <w:ind w:firstLineChars="0" w:firstLine="0"/>
              <w:jc w:val="center"/>
              <w:rPr>
                <w:rFonts w:ascii="Times New Roman" w:eastAsia="宋体" w:hAnsi="Times New Roman"/>
                <w:sz w:val="21"/>
                <w:szCs w:val="21"/>
              </w:rPr>
            </w:pPr>
            <w:r>
              <w:rPr>
                <w:rFonts w:ascii="Times New Roman" w:hAnsi="Times New Roman" w:hint="eastAsia"/>
                <w:kern w:val="0"/>
                <w:sz w:val="21"/>
              </w:rPr>
              <w:t>44.566495</w:t>
            </w:r>
          </w:p>
        </w:tc>
        <w:tc>
          <w:tcPr>
            <w:tcW w:w="963" w:type="dxa"/>
            <w:vAlign w:val="center"/>
          </w:tcPr>
          <w:p w14:paraId="0A87C238" w14:textId="77777777" w:rsidR="009D12AF" w:rsidRDefault="00000000">
            <w:pPr>
              <w:adjustRightInd w:val="0"/>
              <w:snapToGrid w:val="0"/>
              <w:spacing w:line="240" w:lineRule="auto"/>
              <w:ind w:firstLineChars="0" w:firstLine="0"/>
              <w:jc w:val="center"/>
              <w:rPr>
                <w:sz w:val="21"/>
                <w:szCs w:val="21"/>
              </w:rPr>
            </w:pPr>
            <w:r>
              <w:rPr>
                <w:sz w:val="21"/>
                <w:szCs w:val="21"/>
              </w:rPr>
              <w:t>总悬浮颗粒物</w:t>
            </w:r>
          </w:p>
        </w:tc>
        <w:tc>
          <w:tcPr>
            <w:tcW w:w="1137" w:type="dxa"/>
            <w:vAlign w:val="center"/>
          </w:tcPr>
          <w:p w14:paraId="15329FC2" w14:textId="77777777" w:rsidR="009D12AF" w:rsidRDefault="00000000">
            <w:pPr>
              <w:adjustRightInd w:val="0"/>
              <w:snapToGrid w:val="0"/>
              <w:spacing w:line="240" w:lineRule="auto"/>
              <w:ind w:firstLineChars="0" w:firstLine="0"/>
              <w:jc w:val="center"/>
              <w:rPr>
                <w:snapToGrid w:val="0"/>
                <w:sz w:val="21"/>
                <w:szCs w:val="21"/>
              </w:rPr>
            </w:pPr>
            <w:r>
              <w:rPr>
                <w:snapToGrid w:val="0"/>
                <w:sz w:val="21"/>
                <w:szCs w:val="21"/>
              </w:rPr>
              <w:t>24</w:t>
            </w:r>
            <w:r>
              <w:rPr>
                <w:snapToGrid w:val="0"/>
                <w:sz w:val="21"/>
                <w:szCs w:val="21"/>
              </w:rPr>
              <w:t>小时平均</w:t>
            </w:r>
          </w:p>
        </w:tc>
        <w:tc>
          <w:tcPr>
            <w:tcW w:w="876" w:type="dxa"/>
            <w:vAlign w:val="center"/>
          </w:tcPr>
          <w:p w14:paraId="52279EE8" w14:textId="77777777" w:rsidR="009D12AF" w:rsidRDefault="00000000">
            <w:pPr>
              <w:pStyle w:val="af4"/>
              <w:snapToGrid w:val="0"/>
              <w:ind w:firstLineChars="0" w:firstLine="0"/>
              <w:rPr>
                <w:rFonts w:ascii="Times New Roman" w:hAnsi="Times New Roman"/>
                <w:snapToGrid w:val="0"/>
                <w:szCs w:val="21"/>
              </w:rPr>
            </w:pPr>
            <w:r>
              <w:rPr>
                <w:rFonts w:ascii="Times New Roman" w:hAnsi="Times New Roman"/>
                <w:snapToGrid w:val="0"/>
                <w:szCs w:val="21"/>
              </w:rPr>
              <w:t>300</w:t>
            </w:r>
          </w:p>
        </w:tc>
        <w:tc>
          <w:tcPr>
            <w:tcW w:w="665" w:type="pct"/>
            <w:vAlign w:val="center"/>
          </w:tcPr>
          <w:p w14:paraId="5508046B"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hint="eastAsia"/>
                <w:szCs w:val="21"/>
                <w:lang w:bidi="ar"/>
              </w:rPr>
              <w:t>181-247</w:t>
            </w:r>
          </w:p>
        </w:tc>
        <w:tc>
          <w:tcPr>
            <w:tcW w:w="543" w:type="pct"/>
            <w:vAlign w:val="center"/>
          </w:tcPr>
          <w:p w14:paraId="2F9E6A6B"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82.33</w:t>
            </w:r>
          </w:p>
        </w:tc>
        <w:tc>
          <w:tcPr>
            <w:tcW w:w="628" w:type="dxa"/>
            <w:vAlign w:val="center"/>
          </w:tcPr>
          <w:p w14:paraId="6B6553C6"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294BC905"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4F5EEA5D" w14:textId="77777777">
        <w:trPr>
          <w:trHeight w:val="161"/>
        </w:trPr>
        <w:tc>
          <w:tcPr>
            <w:tcW w:w="396" w:type="pct"/>
            <w:vMerge/>
            <w:vAlign w:val="center"/>
          </w:tcPr>
          <w:p w14:paraId="46799554"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41629FE4"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7F9CC8A3"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3CCA1B1D" w14:textId="77777777" w:rsidR="009D12AF" w:rsidRDefault="00000000">
            <w:pPr>
              <w:adjustRightInd w:val="0"/>
              <w:snapToGrid w:val="0"/>
              <w:spacing w:line="240" w:lineRule="auto"/>
              <w:ind w:firstLineChars="0" w:firstLine="0"/>
              <w:jc w:val="center"/>
              <w:rPr>
                <w:sz w:val="21"/>
                <w:szCs w:val="21"/>
              </w:rPr>
            </w:pPr>
            <w:r>
              <w:rPr>
                <w:sz w:val="21"/>
                <w:szCs w:val="21"/>
              </w:rPr>
              <w:t>氨</w:t>
            </w:r>
          </w:p>
        </w:tc>
        <w:tc>
          <w:tcPr>
            <w:tcW w:w="1137" w:type="dxa"/>
            <w:vAlign w:val="center"/>
          </w:tcPr>
          <w:p w14:paraId="307EF1CA" w14:textId="77777777" w:rsidR="009D12AF" w:rsidRDefault="00000000">
            <w:pPr>
              <w:adjustRightInd w:val="0"/>
              <w:snapToGrid w:val="0"/>
              <w:spacing w:line="240" w:lineRule="auto"/>
              <w:ind w:firstLineChars="0" w:firstLine="0"/>
              <w:jc w:val="center"/>
              <w:rPr>
                <w:snapToGrid w:val="0"/>
                <w:sz w:val="21"/>
                <w:szCs w:val="21"/>
              </w:rPr>
            </w:pPr>
            <w:r>
              <w:rPr>
                <w:sz w:val="21"/>
                <w:szCs w:val="21"/>
              </w:rPr>
              <w:t>1</w:t>
            </w:r>
            <w:r>
              <w:rPr>
                <w:sz w:val="21"/>
                <w:szCs w:val="21"/>
              </w:rPr>
              <w:t>小时平均</w:t>
            </w:r>
          </w:p>
        </w:tc>
        <w:tc>
          <w:tcPr>
            <w:tcW w:w="876" w:type="dxa"/>
            <w:vAlign w:val="center"/>
          </w:tcPr>
          <w:p w14:paraId="110EAC73" w14:textId="77777777" w:rsidR="009D12AF" w:rsidRDefault="00000000">
            <w:pPr>
              <w:pStyle w:val="af3"/>
              <w:adjustRightInd w:val="0"/>
              <w:snapToGrid w:val="0"/>
              <w:spacing w:line="240" w:lineRule="auto"/>
              <w:rPr>
                <w:rFonts w:ascii="Times New Roman" w:eastAsia="宋体" w:hAnsi="Times New Roman"/>
                <w:snapToGrid w:val="0"/>
                <w:szCs w:val="21"/>
              </w:rPr>
            </w:pPr>
            <w:r>
              <w:rPr>
                <w:rFonts w:ascii="Times New Roman" w:eastAsia="宋体"/>
                <w:szCs w:val="21"/>
              </w:rPr>
              <w:t>200</w:t>
            </w:r>
          </w:p>
        </w:tc>
        <w:tc>
          <w:tcPr>
            <w:tcW w:w="1134" w:type="dxa"/>
            <w:vAlign w:val="center"/>
          </w:tcPr>
          <w:p w14:paraId="7AFA77FD"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ND</w:t>
            </w:r>
          </w:p>
        </w:tc>
        <w:tc>
          <w:tcPr>
            <w:tcW w:w="926" w:type="dxa"/>
            <w:vAlign w:val="center"/>
          </w:tcPr>
          <w:p w14:paraId="75DA184C" w14:textId="77777777" w:rsidR="009D12AF" w:rsidRDefault="00000000">
            <w:pPr>
              <w:adjustRightInd w:val="0"/>
              <w:snapToGrid w:val="0"/>
              <w:spacing w:line="240" w:lineRule="auto"/>
              <w:ind w:firstLineChars="0" w:firstLine="0"/>
              <w:jc w:val="center"/>
              <w:rPr>
                <w:sz w:val="21"/>
                <w:szCs w:val="21"/>
              </w:rPr>
            </w:pPr>
            <w:r>
              <w:rPr>
                <w:rFonts w:hint="eastAsia"/>
                <w:sz w:val="21"/>
                <w:szCs w:val="21"/>
              </w:rPr>
              <w:t>/</w:t>
            </w:r>
          </w:p>
        </w:tc>
        <w:tc>
          <w:tcPr>
            <w:tcW w:w="628" w:type="dxa"/>
            <w:vAlign w:val="center"/>
          </w:tcPr>
          <w:p w14:paraId="4AE31152"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041C5E6B"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2EE90C42" w14:textId="77777777">
        <w:trPr>
          <w:trHeight w:val="161"/>
        </w:trPr>
        <w:tc>
          <w:tcPr>
            <w:tcW w:w="396" w:type="pct"/>
            <w:vMerge/>
            <w:vAlign w:val="center"/>
          </w:tcPr>
          <w:p w14:paraId="0751D42B"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69453C0D"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201DB509"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2EB6ECD8" w14:textId="77777777" w:rsidR="009D12AF" w:rsidRDefault="00000000">
            <w:pPr>
              <w:adjustRightInd w:val="0"/>
              <w:snapToGrid w:val="0"/>
              <w:spacing w:line="240" w:lineRule="auto"/>
              <w:ind w:firstLineChars="0" w:firstLine="0"/>
              <w:jc w:val="center"/>
              <w:rPr>
                <w:sz w:val="21"/>
                <w:szCs w:val="21"/>
              </w:rPr>
            </w:pPr>
            <w:r>
              <w:rPr>
                <w:sz w:val="21"/>
                <w:szCs w:val="21"/>
              </w:rPr>
              <w:t>硫化氢</w:t>
            </w:r>
          </w:p>
        </w:tc>
        <w:tc>
          <w:tcPr>
            <w:tcW w:w="1137" w:type="dxa"/>
            <w:vAlign w:val="center"/>
          </w:tcPr>
          <w:p w14:paraId="3AA8D464" w14:textId="77777777" w:rsidR="009D12AF" w:rsidRDefault="00000000">
            <w:pPr>
              <w:adjustRightInd w:val="0"/>
              <w:snapToGrid w:val="0"/>
              <w:spacing w:line="240" w:lineRule="auto"/>
              <w:ind w:firstLineChars="0" w:firstLine="0"/>
              <w:jc w:val="center"/>
              <w:rPr>
                <w:snapToGrid w:val="0"/>
                <w:sz w:val="21"/>
                <w:szCs w:val="21"/>
              </w:rPr>
            </w:pPr>
            <w:r>
              <w:rPr>
                <w:sz w:val="21"/>
                <w:szCs w:val="21"/>
              </w:rPr>
              <w:t>1</w:t>
            </w:r>
            <w:r>
              <w:rPr>
                <w:sz w:val="21"/>
                <w:szCs w:val="21"/>
              </w:rPr>
              <w:t>小时平均</w:t>
            </w:r>
          </w:p>
        </w:tc>
        <w:tc>
          <w:tcPr>
            <w:tcW w:w="876" w:type="dxa"/>
            <w:vAlign w:val="center"/>
          </w:tcPr>
          <w:p w14:paraId="79E8C376" w14:textId="77777777" w:rsidR="009D12AF" w:rsidRDefault="00000000">
            <w:pPr>
              <w:pStyle w:val="af3"/>
              <w:adjustRightInd w:val="0"/>
              <w:snapToGrid w:val="0"/>
              <w:spacing w:line="240" w:lineRule="auto"/>
              <w:rPr>
                <w:rFonts w:ascii="Times New Roman" w:eastAsia="宋体" w:hAnsi="Times New Roman"/>
                <w:snapToGrid w:val="0"/>
                <w:szCs w:val="21"/>
              </w:rPr>
            </w:pPr>
            <w:r>
              <w:rPr>
                <w:rFonts w:ascii="Times New Roman" w:eastAsia="宋体"/>
                <w:szCs w:val="21"/>
              </w:rPr>
              <w:t>10</w:t>
            </w:r>
          </w:p>
        </w:tc>
        <w:tc>
          <w:tcPr>
            <w:tcW w:w="1134" w:type="dxa"/>
            <w:vAlign w:val="center"/>
          </w:tcPr>
          <w:p w14:paraId="719F7C7A"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ND</w:t>
            </w:r>
          </w:p>
        </w:tc>
        <w:tc>
          <w:tcPr>
            <w:tcW w:w="926" w:type="dxa"/>
            <w:vAlign w:val="center"/>
          </w:tcPr>
          <w:p w14:paraId="0E7742D8"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628" w:type="dxa"/>
            <w:vAlign w:val="center"/>
          </w:tcPr>
          <w:p w14:paraId="104C08F3"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500019C2"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r w:rsidR="009D12AF" w14:paraId="2F7377DC" w14:textId="77777777">
        <w:trPr>
          <w:trHeight w:val="161"/>
        </w:trPr>
        <w:tc>
          <w:tcPr>
            <w:tcW w:w="396" w:type="pct"/>
            <w:vMerge/>
            <w:vAlign w:val="center"/>
          </w:tcPr>
          <w:p w14:paraId="3D87FF37" w14:textId="77777777" w:rsidR="009D12AF" w:rsidRDefault="009D12AF">
            <w:pPr>
              <w:adjustRightInd w:val="0"/>
              <w:snapToGrid w:val="0"/>
              <w:spacing w:line="240" w:lineRule="auto"/>
              <w:ind w:firstLineChars="0" w:firstLine="0"/>
              <w:jc w:val="center"/>
              <w:rPr>
                <w:sz w:val="21"/>
                <w:szCs w:val="21"/>
              </w:rPr>
            </w:pPr>
          </w:p>
        </w:tc>
        <w:tc>
          <w:tcPr>
            <w:tcW w:w="439" w:type="pct"/>
            <w:vMerge/>
            <w:vAlign w:val="center"/>
          </w:tcPr>
          <w:p w14:paraId="2556C683" w14:textId="77777777" w:rsidR="009D12AF" w:rsidRDefault="009D12AF">
            <w:pPr>
              <w:pStyle w:val="af4"/>
              <w:snapToGrid w:val="0"/>
              <w:ind w:firstLineChars="0" w:firstLine="0"/>
              <w:rPr>
                <w:rFonts w:ascii="Times New Roman" w:hAnsi="Times New Roman"/>
                <w:szCs w:val="21"/>
              </w:rPr>
            </w:pPr>
          </w:p>
        </w:tc>
        <w:tc>
          <w:tcPr>
            <w:tcW w:w="476" w:type="pct"/>
            <w:vMerge/>
            <w:vAlign w:val="center"/>
          </w:tcPr>
          <w:p w14:paraId="0D0A47CA" w14:textId="77777777" w:rsidR="009D12AF" w:rsidRDefault="009D12AF">
            <w:pPr>
              <w:pStyle w:val="af4"/>
              <w:snapToGrid w:val="0"/>
              <w:ind w:firstLineChars="0" w:firstLine="0"/>
              <w:rPr>
                <w:rFonts w:ascii="Times New Roman" w:hAnsi="Times New Roman"/>
                <w:szCs w:val="21"/>
              </w:rPr>
            </w:pPr>
          </w:p>
        </w:tc>
        <w:tc>
          <w:tcPr>
            <w:tcW w:w="963" w:type="dxa"/>
            <w:vAlign w:val="center"/>
          </w:tcPr>
          <w:p w14:paraId="5E70CCB3" w14:textId="77777777" w:rsidR="009D12AF" w:rsidRDefault="00000000">
            <w:pPr>
              <w:adjustRightInd w:val="0"/>
              <w:snapToGrid w:val="0"/>
              <w:spacing w:line="240" w:lineRule="auto"/>
              <w:ind w:firstLineChars="0" w:firstLine="0"/>
              <w:jc w:val="center"/>
              <w:rPr>
                <w:sz w:val="21"/>
                <w:szCs w:val="21"/>
              </w:rPr>
            </w:pPr>
            <w:r>
              <w:rPr>
                <w:sz w:val="21"/>
                <w:szCs w:val="21"/>
              </w:rPr>
              <w:t>臭气浓度</w:t>
            </w:r>
          </w:p>
        </w:tc>
        <w:tc>
          <w:tcPr>
            <w:tcW w:w="1137" w:type="dxa"/>
            <w:vAlign w:val="center"/>
          </w:tcPr>
          <w:p w14:paraId="2869D156" w14:textId="77777777" w:rsidR="009D12AF" w:rsidRDefault="00000000">
            <w:pPr>
              <w:adjustRightInd w:val="0"/>
              <w:snapToGrid w:val="0"/>
              <w:spacing w:line="240" w:lineRule="auto"/>
              <w:ind w:firstLineChars="0" w:firstLine="0"/>
              <w:jc w:val="center"/>
              <w:rPr>
                <w:snapToGrid w:val="0"/>
                <w:sz w:val="21"/>
                <w:szCs w:val="21"/>
              </w:rPr>
            </w:pPr>
            <w:r>
              <w:rPr>
                <w:snapToGrid w:val="0"/>
                <w:sz w:val="21"/>
                <w:szCs w:val="21"/>
              </w:rPr>
              <w:t>一次值</w:t>
            </w:r>
          </w:p>
        </w:tc>
        <w:tc>
          <w:tcPr>
            <w:tcW w:w="876" w:type="dxa"/>
            <w:vAlign w:val="center"/>
          </w:tcPr>
          <w:p w14:paraId="7E908FB4" w14:textId="77777777" w:rsidR="009D12AF" w:rsidRDefault="00000000">
            <w:pPr>
              <w:pStyle w:val="af4"/>
              <w:snapToGrid w:val="0"/>
              <w:ind w:firstLineChars="0" w:firstLine="0"/>
              <w:rPr>
                <w:rFonts w:ascii="Times New Roman" w:hAnsi="Times New Roman"/>
                <w:snapToGrid w:val="0"/>
                <w:szCs w:val="21"/>
              </w:rPr>
            </w:pPr>
            <w:r>
              <w:rPr>
                <w:rFonts w:ascii="Times New Roman" w:hAnsi="Times New Roman"/>
                <w:snapToGrid w:val="0"/>
                <w:szCs w:val="21"/>
              </w:rPr>
              <w:t>20</w:t>
            </w:r>
          </w:p>
        </w:tc>
        <w:tc>
          <w:tcPr>
            <w:tcW w:w="1134" w:type="dxa"/>
            <w:vAlign w:val="center"/>
          </w:tcPr>
          <w:p w14:paraId="0AE5E6D4" w14:textId="77777777" w:rsidR="009D12AF" w:rsidRDefault="00000000">
            <w:pPr>
              <w:pStyle w:val="af4"/>
              <w:snapToGrid w:val="0"/>
              <w:ind w:firstLineChars="0" w:firstLine="0"/>
              <w:rPr>
                <w:rFonts w:ascii="Times New Roman" w:hAnsi="Times New Roman"/>
                <w:szCs w:val="21"/>
                <w:lang w:bidi="ar"/>
              </w:rPr>
            </w:pPr>
            <w:r>
              <w:rPr>
                <w:rFonts w:ascii="Times New Roman" w:hAnsi="Times New Roman"/>
                <w:szCs w:val="21"/>
                <w:lang w:bidi="ar"/>
              </w:rPr>
              <w:t>＜</w:t>
            </w:r>
            <w:r>
              <w:rPr>
                <w:rFonts w:ascii="Times New Roman" w:hAnsi="Times New Roman"/>
                <w:szCs w:val="21"/>
                <w:lang w:bidi="ar"/>
              </w:rPr>
              <w:t>10</w:t>
            </w:r>
          </w:p>
        </w:tc>
        <w:tc>
          <w:tcPr>
            <w:tcW w:w="926" w:type="dxa"/>
            <w:vAlign w:val="center"/>
          </w:tcPr>
          <w:p w14:paraId="30D4FF00" w14:textId="77777777" w:rsidR="009D12AF" w:rsidRDefault="00000000">
            <w:pPr>
              <w:adjustRightInd w:val="0"/>
              <w:snapToGrid w:val="0"/>
              <w:spacing w:line="240" w:lineRule="auto"/>
              <w:ind w:firstLineChars="0" w:firstLine="0"/>
              <w:jc w:val="center"/>
              <w:rPr>
                <w:sz w:val="21"/>
                <w:szCs w:val="21"/>
              </w:rPr>
            </w:pPr>
            <w:r>
              <w:rPr>
                <w:sz w:val="21"/>
                <w:szCs w:val="21"/>
              </w:rPr>
              <w:t>/</w:t>
            </w:r>
          </w:p>
        </w:tc>
        <w:tc>
          <w:tcPr>
            <w:tcW w:w="628" w:type="dxa"/>
            <w:vAlign w:val="center"/>
          </w:tcPr>
          <w:p w14:paraId="76476E60"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0</w:t>
            </w:r>
          </w:p>
        </w:tc>
        <w:tc>
          <w:tcPr>
            <w:tcW w:w="615" w:type="dxa"/>
            <w:vAlign w:val="center"/>
          </w:tcPr>
          <w:p w14:paraId="2D624EBD" w14:textId="77777777" w:rsidR="009D12AF" w:rsidRDefault="00000000">
            <w:pPr>
              <w:pStyle w:val="af4"/>
              <w:snapToGrid w:val="0"/>
              <w:ind w:firstLineChars="0" w:firstLine="0"/>
              <w:rPr>
                <w:rFonts w:ascii="Times New Roman" w:hAnsi="Times New Roman"/>
                <w:szCs w:val="21"/>
              </w:rPr>
            </w:pPr>
            <w:r>
              <w:rPr>
                <w:rFonts w:ascii="Times New Roman" w:hAnsi="Times New Roman"/>
                <w:szCs w:val="21"/>
              </w:rPr>
              <w:t>达标</w:t>
            </w:r>
          </w:p>
        </w:tc>
      </w:tr>
    </w:tbl>
    <w:p w14:paraId="7BCA0C88" w14:textId="77777777" w:rsidR="009D12AF" w:rsidRDefault="00000000">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）评价结论</w:t>
      </w:r>
    </w:p>
    <w:p w14:paraId="114FC6E7" w14:textId="77777777" w:rsidR="009D12AF" w:rsidRDefault="00000000">
      <w:pPr>
        <w:ind w:firstLine="480"/>
        <w:rPr>
          <w:color w:val="000000" w:themeColor="text1"/>
        </w:rPr>
      </w:pPr>
      <w:r>
        <w:rPr>
          <w:rFonts w:hint="eastAsia"/>
          <w:color w:val="000000" w:themeColor="text1"/>
        </w:rPr>
        <w:t>评价结果表明，本项目补充监测结果表明，群力水库监测点</w:t>
      </w:r>
      <w:r>
        <w:rPr>
          <w:rFonts w:hint="eastAsia"/>
          <w:color w:val="000000" w:themeColor="text1"/>
        </w:rPr>
        <w:t>TSP</w:t>
      </w:r>
      <w:r>
        <w:rPr>
          <w:rFonts w:hint="eastAsia"/>
          <w:color w:val="000000" w:themeColor="text1"/>
        </w:rPr>
        <w:t>的</w:t>
      </w:r>
      <w:r>
        <w:rPr>
          <w:rFonts w:hint="eastAsia"/>
          <w:color w:val="000000" w:themeColor="text1"/>
        </w:rPr>
        <w:t>24</w:t>
      </w:r>
      <w:r>
        <w:rPr>
          <w:rFonts w:hint="eastAsia"/>
          <w:color w:val="000000" w:themeColor="text1"/>
        </w:rPr>
        <w:t>小时平均值均满足《环境空气质量标准》（</w:t>
      </w:r>
      <w:r>
        <w:rPr>
          <w:rFonts w:hint="eastAsia"/>
          <w:color w:val="000000" w:themeColor="text1"/>
        </w:rPr>
        <w:t>GB3095-2012</w:t>
      </w:r>
      <w:r>
        <w:rPr>
          <w:rFonts w:hint="eastAsia"/>
          <w:color w:val="000000" w:themeColor="text1"/>
        </w:rPr>
        <w:t>）中一级标准，氨、硫化氢满足《环境影响评价技术导则</w:t>
      </w:r>
      <w:r>
        <w:rPr>
          <w:rFonts w:hint="eastAsia"/>
          <w:color w:val="000000" w:themeColor="text1"/>
        </w:rPr>
        <w:t xml:space="preserve"> </w:t>
      </w:r>
      <w:r>
        <w:rPr>
          <w:rFonts w:hint="eastAsia"/>
          <w:color w:val="000000" w:themeColor="text1"/>
        </w:rPr>
        <w:t>大气环境》（</w:t>
      </w:r>
      <w:r>
        <w:rPr>
          <w:rFonts w:hint="eastAsia"/>
          <w:color w:val="000000" w:themeColor="text1"/>
        </w:rPr>
        <w:t>HJ 2.2-2018</w:t>
      </w:r>
      <w:r>
        <w:rPr>
          <w:rFonts w:hint="eastAsia"/>
          <w:color w:val="000000" w:themeColor="text1"/>
        </w:rPr>
        <w:t>）附录</w:t>
      </w:r>
      <w:r>
        <w:rPr>
          <w:rFonts w:hint="eastAsia"/>
          <w:color w:val="000000" w:themeColor="text1"/>
        </w:rPr>
        <w:t>D</w:t>
      </w:r>
      <w:r>
        <w:rPr>
          <w:rFonts w:hint="eastAsia"/>
          <w:color w:val="000000" w:themeColor="text1"/>
        </w:rPr>
        <w:t>中浓度限值，臭气浓度满足《恶臭污染物排放标准》（</w:t>
      </w:r>
      <w:r>
        <w:rPr>
          <w:rFonts w:hint="eastAsia"/>
          <w:color w:val="000000" w:themeColor="text1"/>
        </w:rPr>
        <w:t>GB14554-93</w:t>
      </w:r>
      <w:r>
        <w:rPr>
          <w:rFonts w:hint="eastAsia"/>
          <w:color w:val="000000" w:themeColor="text1"/>
        </w:rPr>
        <w:t>）表</w:t>
      </w:r>
      <w:r>
        <w:rPr>
          <w:rFonts w:hint="eastAsia"/>
          <w:color w:val="000000" w:themeColor="text1"/>
        </w:rPr>
        <w:t>1</w:t>
      </w:r>
      <w:r>
        <w:rPr>
          <w:rFonts w:hint="eastAsia"/>
          <w:color w:val="000000" w:themeColor="text1"/>
        </w:rPr>
        <w:t>中的一级标准；万丈水库、长石水库、新安晒水池、向阳水电站前池均满足《环境空气质量标准》（</w:t>
      </w:r>
      <w:r>
        <w:rPr>
          <w:rFonts w:hint="eastAsia"/>
          <w:color w:val="000000" w:themeColor="text1"/>
        </w:rPr>
        <w:t>GB3095-2012</w:t>
      </w:r>
      <w:r>
        <w:rPr>
          <w:rFonts w:hint="eastAsia"/>
          <w:color w:val="000000" w:themeColor="text1"/>
        </w:rPr>
        <w:t>）中二级标准，氨、硫化氢满足《环境影响评价技术导则</w:t>
      </w:r>
      <w:r>
        <w:rPr>
          <w:rFonts w:hint="eastAsia"/>
          <w:color w:val="000000" w:themeColor="text1"/>
        </w:rPr>
        <w:t xml:space="preserve"> </w:t>
      </w:r>
      <w:r>
        <w:rPr>
          <w:rFonts w:hint="eastAsia"/>
          <w:color w:val="000000" w:themeColor="text1"/>
        </w:rPr>
        <w:t>大气环境》（</w:t>
      </w:r>
      <w:r>
        <w:rPr>
          <w:rFonts w:hint="eastAsia"/>
          <w:color w:val="000000" w:themeColor="text1"/>
        </w:rPr>
        <w:t>HJ 2.2-2018</w:t>
      </w:r>
      <w:r>
        <w:rPr>
          <w:rFonts w:hint="eastAsia"/>
          <w:color w:val="000000" w:themeColor="text1"/>
        </w:rPr>
        <w:t>）附录</w:t>
      </w:r>
      <w:r>
        <w:rPr>
          <w:rFonts w:hint="eastAsia"/>
          <w:color w:val="000000" w:themeColor="text1"/>
        </w:rPr>
        <w:t>D</w:t>
      </w:r>
      <w:r>
        <w:rPr>
          <w:rFonts w:hint="eastAsia"/>
          <w:color w:val="000000" w:themeColor="text1"/>
        </w:rPr>
        <w:t>中浓度限值，臭气浓度满足《恶臭污染物排放标准》（</w:t>
      </w:r>
      <w:r>
        <w:rPr>
          <w:rFonts w:hint="eastAsia"/>
          <w:color w:val="000000" w:themeColor="text1"/>
        </w:rPr>
        <w:t>GB14554-93</w:t>
      </w:r>
      <w:r>
        <w:rPr>
          <w:rFonts w:hint="eastAsia"/>
          <w:color w:val="000000" w:themeColor="text1"/>
        </w:rPr>
        <w:t>）表</w:t>
      </w:r>
      <w:r>
        <w:rPr>
          <w:rFonts w:hint="eastAsia"/>
          <w:color w:val="000000" w:themeColor="text1"/>
        </w:rPr>
        <w:t>1</w:t>
      </w:r>
      <w:r>
        <w:rPr>
          <w:rFonts w:hint="eastAsia"/>
          <w:color w:val="000000" w:themeColor="text1"/>
        </w:rPr>
        <w:t>中的二级标准。</w:t>
      </w:r>
    </w:p>
    <w:p w14:paraId="3C8E4B62" w14:textId="77777777" w:rsidR="009D12AF" w:rsidRDefault="00000000">
      <w:pPr>
        <w:pStyle w:val="3"/>
      </w:pPr>
      <w:bookmarkStart w:id="195" w:name="_Toc20682"/>
      <w:bookmarkStart w:id="196" w:name="_Toc19095"/>
      <w:bookmarkStart w:id="197" w:name="_Toc31420"/>
      <w:bookmarkStart w:id="198" w:name="_Toc26408"/>
      <w:r>
        <w:t>4.3.</w:t>
      </w:r>
      <w:r>
        <w:rPr>
          <w:rFonts w:hint="eastAsia"/>
        </w:rPr>
        <w:t>2</w:t>
      </w:r>
      <w:r>
        <w:t xml:space="preserve"> </w:t>
      </w:r>
      <w:r>
        <w:rPr>
          <w:rFonts w:hint="eastAsia"/>
        </w:rPr>
        <w:t>地表水环境</w:t>
      </w:r>
      <w:r>
        <w:t>现状调查与评价</w:t>
      </w:r>
      <w:bookmarkEnd w:id="195"/>
      <w:bookmarkEnd w:id="196"/>
      <w:bookmarkEnd w:id="197"/>
      <w:bookmarkEnd w:id="198"/>
    </w:p>
    <w:p w14:paraId="39EEC2AC" w14:textId="77777777" w:rsidR="009D12AF" w:rsidRDefault="00000000">
      <w:pPr>
        <w:pStyle w:val="4"/>
        <w:ind w:firstLineChars="0" w:firstLine="0"/>
      </w:pPr>
      <w:r>
        <w:rPr>
          <w:rFonts w:hint="eastAsia"/>
        </w:rPr>
        <w:t>4.3.2.1</w:t>
      </w:r>
      <w:r>
        <w:rPr>
          <w:rFonts w:hint="eastAsia"/>
        </w:rPr>
        <w:t>区域地表水概况</w:t>
      </w:r>
    </w:p>
    <w:p w14:paraId="17AF12AF" w14:textId="77777777" w:rsidR="009D12AF" w:rsidRDefault="00000000">
      <w:pPr>
        <w:ind w:firstLine="480"/>
        <w:rPr>
          <w:rFonts w:ascii="Times New Roman" w:eastAsia="宋体" w:hAnsi="Times New Roman" w:cs="Times New Roman"/>
        </w:rPr>
      </w:pPr>
      <w:r>
        <w:rPr>
          <w:rFonts w:ascii="Times New Roman" w:eastAsia="宋体" w:hAnsi="Times New Roman" w:cs="Times New Roman"/>
        </w:rPr>
        <w:t>根据《牡丹江市环境质量公报</w:t>
      </w:r>
      <w:r>
        <w:rPr>
          <w:rFonts w:ascii="Times New Roman" w:eastAsia="宋体" w:hAnsi="Times New Roman" w:cs="Times New Roman"/>
        </w:rPr>
        <w:t>202</w:t>
      </w:r>
      <w:r>
        <w:rPr>
          <w:rFonts w:ascii="Times New Roman" w:eastAsia="宋体" w:hAnsi="Times New Roman" w:cs="Times New Roman" w:hint="eastAsia"/>
        </w:rPr>
        <w:t>4</w:t>
      </w:r>
      <w:r>
        <w:rPr>
          <w:rFonts w:ascii="Times New Roman" w:eastAsia="宋体" w:hAnsi="Times New Roman" w:cs="Times New Roman"/>
        </w:rPr>
        <w:t>年度》，</w:t>
      </w:r>
      <w:r>
        <w:rPr>
          <w:rFonts w:ascii="Times New Roman" w:eastAsia="宋体" w:hAnsi="Times New Roman" w:cs="Times New Roman"/>
        </w:rPr>
        <w:t>202</w:t>
      </w:r>
      <w:r>
        <w:rPr>
          <w:rFonts w:ascii="Times New Roman" w:eastAsia="宋体" w:hAnsi="Times New Roman" w:cs="Times New Roman" w:hint="eastAsia"/>
        </w:rPr>
        <w:t>4</w:t>
      </w:r>
      <w:r>
        <w:rPr>
          <w:rFonts w:ascii="Times New Roman" w:eastAsia="宋体" w:hAnsi="Times New Roman" w:cs="Times New Roman"/>
        </w:rPr>
        <w:t>年水污染防治考核断面优于</w:t>
      </w:r>
      <w:r>
        <w:rPr>
          <w:rFonts w:ascii="Times New Roman" w:eastAsia="宋体" w:hAnsi="Times New Roman" w:cs="Times New Roman"/>
        </w:rPr>
        <w:t>Ⅲ</w:t>
      </w:r>
      <w:r>
        <w:rPr>
          <w:rFonts w:ascii="Times New Roman" w:eastAsia="宋体" w:hAnsi="Times New Roman" w:cs="Times New Roman"/>
        </w:rPr>
        <w:t>类水质比例为</w:t>
      </w:r>
      <w:r>
        <w:rPr>
          <w:rFonts w:ascii="Times New Roman" w:eastAsia="宋体" w:hAnsi="Times New Roman" w:cs="Times New Roman" w:hint="eastAsia"/>
        </w:rPr>
        <w:t>91.7</w:t>
      </w:r>
      <w:r>
        <w:rPr>
          <w:rFonts w:ascii="Times New Roman" w:eastAsia="宋体" w:hAnsi="Times New Roman" w:cs="Times New Roman"/>
        </w:rPr>
        <w:t>%</w:t>
      </w:r>
      <w:r>
        <w:rPr>
          <w:rFonts w:ascii="Times New Roman" w:eastAsia="宋体" w:hAnsi="Times New Roman" w:cs="Times New Roman"/>
        </w:rPr>
        <w:t>。</w:t>
      </w:r>
      <w:r>
        <w:rPr>
          <w:rFonts w:ascii="Times New Roman" w:eastAsia="宋体" w:hAnsi="Times New Roman" w:cs="Times New Roman" w:hint="eastAsia"/>
        </w:rPr>
        <w:t>2024</w:t>
      </w:r>
      <w:r>
        <w:rPr>
          <w:rFonts w:ascii="Times New Roman" w:eastAsia="宋体" w:hAnsi="Times New Roman" w:cs="Times New Roman" w:hint="eastAsia"/>
        </w:rPr>
        <w:t>年西水源和铁路水源两处饮用水水源地水质均符合集中式饮用水水源地水质要求。与去年同期相比，水源地水质无变化。</w:t>
      </w:r>
    </w:p>
    <w:p w14:paraId="326C8104" w14:textId="77777777" w:rsidR="009D12AF" w:rsidRDefault="00000000">
      <w:pPr>
        <w:ind w:firstLine="480"/>
      </w:pPr>
      <w:r>
        <w:rPr>
          <w:rFonts w:ascii="Times New Roman" w:hAnsi="Times New Roman"/>
        </w:rPr>
        <w:t>牡丹江海浪河口内</w:t>
      </w:r>
      <w:r>
        <w:rPr>
          <w:rFonts w:ascii="Times New Roman" w:hAnsi="Times New Roman" w:hint="eastAsia"/>
        </w:rPr>
        <w:t>和牡丹江柴河铁路桥</w:t>
      </w:r>
      <w:r>
        <w:rPr>
          <w:rFonts w:ascii="Times New Roman" w:hAnsi="Times New Roman"/>
        </w:rPr>
        <w:t>断面水质</w:t>
      </w:r>
      <w:r>
        <w:rPr>
          <w:rFonts w:ascii="Times New Roman" w:hAnsi="Times New Roman" w:hint="eastAsia"/>
        </w:rPr>
        <w:t>均</w:t>
      </w:r>
      <w:r>
        <w:rPr>
          <w:rFonts w:ascii="Times New Roman" w:hAnsi="Times New Roman"/>
        </w:rPr>
        <w:t>满足《地表水环境质量标准》（</w:t>
      </w:r>
      <w:r>
        <w:rPr>
          <w:rFonts w:ascii="Times New Roman" w:hAnsi="Times New Roman"/>
        </w:rPr>
        <w:t>GB3939-2002</w:t>
      </w:r>
      <w:r>
        <w:rPr>
          <w:rFonts w:ascii="Times New Roman" w:hAnsi="Times New Roman"/>
        </w:rPr>
        <w:t>）</w:t>
      </w:r>
      <w:r>
        <w:rPr>
          <w:rFonts w:ascii="Times New Roman" w:hAnsi="Times New Roman"/>
          <w:szCs w:val="21"/>
        </w:rPr>
        <w:fldChar w:fldCharType="begin"/>
      </w:r>
      <w:r>
        <w:rPr>
          <w:rFonts w:ascii="Times New Roman" w:hAnsi="Times New Roman"/>
          <w:szCs w:val="21"/>
        </w:rPr>
        <w:instrText xml:space="preserve"> = 3 \* ROMAN </w:instrText>
      </w:r>
      <w:r>
        <w:rPr>
          <w:rFonts w:ascii="Times New Roman" w:hAnsi="Times New Roman"/>
          <w:szCs w:val="21"/>
        </w:rPr>
        <w:fldChar w:fldCharType="separate"/>
      </w:r>
      <w:r>
        <w:rPr>
          <w:rFonts w:ascii="Times New Roman" w:hAnsi="Times New Roman"/>
          <w:szCs w:val="21"/>
        </w:rPr>
        <w:t>III</w:t>
      </w:r>
      <w:r>
        <w:rPr>
          <w:rFonts w:ascii="Times New Roman" w:hAnsi="Times New Roman"/>
          <w:szCs w:val="21"/>
        </w:rPr>
        <w:fldChar w:fldCharType="end"/>
      </w:r>
      <w:r>
        <w:rPr>
          <w:rFonts w:ascii="Times New Roman" w:hAnsi="Times New Roman"/>
          <w:szCs w:val="21"/>
        </w:rPr>
        <w:t>类水质要求。</w:t>
      </w:r>
    </w:p>
    <w:p w14:paraId="079E4E33" w14:textId="77777777" w:rsidR="009D12AF" w:rsidRDefault="00000000">
      <w:pPr>
        <w:pStyle w:val="4"/>
        <w:ind w:firstLineChars="0" w:firstLine="0"/>
      </w:pPr>
      <w:r>
        <w:rPr>
          <w:rFonts w:hint="eastAsia"/>
        </w:rPr>
        <w:lastRenderedPageBreak/>
        <w:t>4.3.2.2</w:t>
      </w:r>
      <w:r>
        <w:rPr>
          <w:rFonts w:hint="eastAsia"/>
        </w:rPr>
        <w:t>区域地表水开发利用现状</w:t>
      </w:r>
    </w:p>
    <w:p w14:paraId="5F2AA28A" w14:textId="77777777" w:rsidR="009D12AF" w:rsidRDefault="00000000">
      <w:pPr>
        <w:pStyle w:val="00"/>
        <w:adjustRightInd w:val="0"/>
        <w:snapToGrid w:val="0"/>
        <w:rPr>
          <w:rFonts w:ascii="Times New Roman" w:hAnsi="Times New Roman"/>
          <w:smallCaps w:val="0"/>
        </w:rPr>
      </w:pPr>
      <w:r>
        <w:rPr>
          <w:rFonts w:ascii="Times New Roman" w:hAnsi="Times New Roman"/>
          <w:smallCaps w:val="0"/>
        </w:rPr>
        <w:t>本项目地表水环境影响评价范围</w:t>
      </w:r>
      <w:r>
        <w:rPr>
          <w:rFonts w:ascii="Times New Roman" w:hAnsi="Times New Roman" w:hint="eastAsia"/>
          <w:smallCaps w:val="0"/>
        </w:rPr>
        <w:t>中涉及海林市二水厂（改扩建）</w:t>
      </w:r>
      <w:r>
        <w:rPr>
          <w:rFonts w:ascii="Times New Roman" w:hAnsi="Times New Roman"/>
          <w:smallCaps w:val="0"/>
        </w:rPr>
        <w:t>集中式饮用水水源地</w:t>
      </w:r>
      <w:r>
        <w:rPr>
          <w:rFonts w:ascii="Times New Roman" w:hAnsi="Times New Roman" w:hint="eastAsia"/>
          <w:smallCaps w:val="0"/>
        </w:rPr>
        <w:t>二级保护区</w:t>
      </w:r>
      <w:r>
        <w:rPr>
          <w:rFonts w:ascii="Times New Roman" w:hAnsi="Times New Roman"/>
          <w:smallCaps w:val="0"/>
        </w:rPr>
        <w:t>，均位于</w:t>
      </w:r>
      <w:r>
        <w:rPr>
          <w:rFonts w:ascii="Times New Roman" w:hAnsi="Times New Roman" w:hint="eastAsia"/>
          <w:smallCaps w:val="0"/>
        </w:rPr>
        <w:t>海浪河</w:t>
      </w:r>
      <w:r>
        <w:rPr>
          <w:rFonts w:ascii="Times New Roman" w:hAnsi="Times New Roman"/>
          <w:smallCaps w:val="0"/>
        </w:rPr>
        <w:t>。</w:t>
      </w:r>
    </w:p>
    <w:p w14:paraId="01AA61D3" w14:textId="77777777" w:rsidR="009D12AF" w:rsidRDefault="00000000">
      <w:pPr>
        <w:pStyle w:val="00"/>
        <w:adjustRightInd w:val="0"/>
        <w:snapToGrid w:val="0"/>
        <w:rPr>
          <w:rFonts w:ascii="Times New Roman" w:hAnsi="Times New Roman"/>
          <w:smallCaps w:val="0"/>
        </w:rPr>
      </w:pPr>
      <w:r>
        <w:rPr>
          <w:rFonts w:ascii="Times New Roman" w:hAnsi="Times New Roman" w:hint="eastAsia"/>
          <w:smallCaps w:val="0"/>
        </w:rPr>
        <w:t>海浪河</w:t>
      </w:r>
      <w:r>
        <w:rPr>
          <w:rFonts w:ascii="Times New Roman" w:hAnsi="Times New Roman"/>
          <w:smallCaps w:val="0"/>
        </w:rPr>
        <w:t>水源地</w:t>
      </w:r>
      <w:r>
        <w:rPr>
          <w:rFonts w:ascii="Times New Roman" w:hAnsi="Times New Roman" w:hint="eastAsia"/>
          <w:smallCaps w:val="0"/>
        </w:rPr>
        <w:t>于</w:t>
      </w:r>
      <w:r>
        <w:rPr>
          <w:rFonts w:ascii="Times New Roman" w:hAnsi="Times New Roman"/>
          <w:smallCaps w:val="0"/>
        </w:rPr>
        <w:t>19</w:t>
      </w:r>
      <w:r>
        <w:rPr>
          <w:rFonts w:ascii="Times New Roman" w:hAnsi="Times New Roman" w:hint="eastAsia"/>
          <w:smallCaps w:val="0"/>
        </w:rPr>
        <w:t>96</w:t>
      </w:r>
      <w:r>
        <w:rPr>
          <w:rFonts w:ascii="Times New Roman" w:hAnsi="Times New Roman"/>
          <w:smallCaps w:val="0"/>
        </w:rPr>
        <w:t>年</w:t>
      </w:r>
      <w:r>
        <w:rPr>
          <w:rFonts w:ascii="Times New Roman" w:hAnsi="Times New Roman" w:hint="eastAsia"/>
          <w:smallCaps w:val="0"/>
        </w:rPr>
        <w:t>初始</w:t>
      </w:r>
      <w:r>
        <w:rPr>
          <w:rFonts w:ascii="Times New Roman" w:hAnsi="Times New Roman"/>
          <w:smallCaps w:val="0"/>
        </w:rPr>
        <w:t>建成并于同年正式取水，</w:t>
      </w:r>
      <w:r>
        <w:rPr>
          <w:rFonts w:ascii="Times New Roman" w:hAnsi="Times New Roman" w:hint="eastAsia"/>
          <w:smallCaps w:val="0"/>
        </w:rPr>
        <w:t>随着城市发展原有供水能力不足，于</w:t>
      </w:r>
      <w:r>
        <w:rPr>
          <w:rFonts w:ascii="Times New Roman" w:hAnsi="Times New Roman" w:hint="eastAsia"/>
          <w:smallCaps w:val="0"/>
        </w:rPr>
        <w:t>2018</w:t>
      </w:r>
      <w:r>
        <w:rPr>
          <w:rFonts w:ascii="Times New Roman" w:hAnsi="Times New Roman" w:hint="eastAsia"/>
          <w:smallCaps w:val="0"/>
        </w:rPr>
        <w:t>建成并于</w:t>
      </w:r>
      <w:r>
        <w:rPr>
          <w:rFonts w:ascii="Times New Roman" w:hAnsi="Times New Roman" w:hint="eastAsia"/>
          <w:smallCaps w:val="0"/>
        </w:rPr>
        <w:t>2019</w:t>
      </w:r>
      <w:r>
        <w:rPr>
          <w:rFonts w:ascii="Times New Roman" w:hAnsi="Times New Roman" w:hint="eastAsia"/>
          <w:smallCaps w:val="0"/>
        </w:rPr>
        <w:t>年正式取水，</w:t>
      </w:r>
      <w:r>
        <w:rPr>
          <w:rFonts w:ascii="Times New Roman" w:hAnsi="Times New Roman"/>
          <w:smallCaps w:val="0"/>
        </w:rPr>
        <w:t>设计日取水量</w:t>
      </w:r>
      <w:r>
        <w:rPr>
          <w:rFonts w:ascii="Times New Roman" w:hAnsi="Times New Roman" w:hint="eastAsia"/>
          <w:smallCaps w:val="0"/>
        </w:rPr>
        <w:t>1460</w:t>
      </w:r>
      <w:r>
        <w:rPr>
          <w:rFonts w:ascii="Times New Roman" w:hAnsi="Times New Roman"/>
          <w:smallCaps w:val="0"/>
        </w:rPr>
        <w:t>万吨</w:t>
      </w:r>
      <w:r>
        <w:rPr>
          <w:rFonts w:ascii="Times New Roman" w:hAnsi="Times New Roman"/>
          <w:smallCaps w:val="0"/>
        </w:rPr>
        <w:t>/</w:t>
      </w:r>
      <w:r>
        <w:rPr>
          <w:rFonts w:ascii="Times New Roman" w:hAnsi="Times New Roman"/>
          <w:smallCaps w:val="0"/>
        </w:rPr>
        <w:t>年，对应水厂为</w:t>
      </w:r>
      <w:r>
        <w:rPr>
          <w:rFonts w:ascii="Times New Roman" w:hAnsi="Times New Roman" w:hint="eastAsia"/>
          <w:smallCaps w:val="0"/>
        </w:rPr>
        <w:t>海林市二水厂</w:t>
      </w:r>
      <w:r>
        <w:rPr>
          <w:rFonts w:ascii="Times New Roman" w:hAnsi="Times New Roman"/>
          <w:smallCaps w:val="0"/>
        </w:rPr>
        <w:t>。</w:t>
      </w:r>
    </w:p>
    <w:p w14:paraId="00779F64" w14:textId="77777777" w:rsidR="009D12AF" w:rsidRDefault="00000000">
      <w:pPr>
        <w:pStyle w:val="4"/>
        <w:ind w:firstLineChars="0" w:firstLine="0"/>
      </w:pPr>
      <w:r>
        <w:rPr>
          <w:rFonts w:hint="eastAsia"/>
        </w:rPr>
        <w:t>4.3.2.3</w:t>
      </w:r>
      <w:r>
        <w:rPr>
          <w:rFonts w:hint="eastAsia"/>
        </w:rPr>
        <w:t>地表水环境现状监测</w:t>
      </w:r>
    </w:p>
    <w:p w14:paraId="082A7A9A" w14:textId="77777777" w:rsidR="009D12AF" w:rsidRDefault="00000000">
      <w:pPr>
        <w:ind w:firstLine="480"/>
      </w:pPr>
      <w:r>
        <w:t>根据《环境影响评价技术导则</w:t>
      </w:r>
      <w:r>
        <w:t>-</w:t>
      </w:r>
      <w:r>
        <w:t>地表水环境》（</w:t>
      </w:r>
      <w:r>
        <w:t>HJ2.3-2018</w:t>
      </w:r>
      <w:r>
        <w:t>），地表水环境现状调查与评价常规监测数据利用与补充监测互补的原则，除了《</w:t>
      </w:r>
      <w:r>
        <w:t>202</w:t>
      </w:r>
      <w:r>
        <w:rPr>
          <w:rFonts w:hint="eastAsia"/>
        </w:rPr>
        <w:t>4</w:t>
      </w:r>
      <w:r>
        <w:t>年度牡丹江市环境质量公报》公布的对海浪河口内的监测数据之外还布设</w:t>
      </w:r>
      <w:r>
        <w:rPr>
          <w:rFonts w:hint="eastAsia"/>
        </w:rPr>
        <w:t>15</w:t>
      </w:r>
      <w:r>
        <w:t>处点位进行现状监测</w:t>
      </w:r>
      <w:r>
        <w:rPr>
          <w:rFonts w:hint="eastAsia"/>
        </w:rPr>
        <w:t>。</w:t>
      </w:r>
      <w:r>
        <w:t>分别为位于</w:t>
      </w:r>
      <w:r>
        <w:rPr>
          <w:rFonts w:hint="eastAsia"/>
        </w:rPr>
        <w:t>除群力水库其他四处</w:t>
      </w:r>
      <w:r>
        <w:t>清淤工程起点处</w:t>
      </w:r>
      <w:r>
        <w:rPr>
          <w:rFonts w:hint="eastAsia"/>
        </w:rPr>
        <w:t>。</w:t>
      </w:r>
      <w:r>
        <w:t>具体见表</w:t>
      </w:r>
      <w:r>
        <w:t>4</w:t>
      </w:r>
      <w:r>
        <w:rPr>
          <w:rFonts w:hint="eastAsia"/>
        </w:rPr>
        <w:t>.3</w:t>
      </w:r>
      <w:r>
        <w:t>-</w:t>
      </w:r>
      <w:r>
        <w:rPr>
          <w:rFonts w:hint="eastAsia"/>
        </w:rPr>
        <w:t>5</w:t>
      </w:r>
      <w:r>
        <w:rPr>
          <w:rFonts w:hint="eastAsia"/>
        </w:rPr>
        <w:t>。</w:t>
      </w:r>
    </w:p>
    <w:p w14:paraId="60AE240E" w14:textId="77777777" w:rsidR="009D12AF" w:rsidRDefault="00000000">
      <w:pPr>
        <w:ind w:firstLine="480"/>
      </w:pPr>
      <w:r>
        <w:rPr>
          <w:rFonts w:hint="eastAsia"/>
        </w:rPr>
        <w:t>（</w:t>
      </w:r>
      <w:r>
        <w:rPr>
          <w:rFonts w:hint="eastAsia"/>
        </w:rPr>
        <w:t>1</w:t>
      </w:r>
      <w:r>
        <w:rPr>
          <w:rFonts w:hint="eastAsia"/>
        </w:rPr>
        <w:t>）监测频次</w:t>
      </w:r>
    </w:p>
    <w:p w14:paraId="13AA0A0E" w14:textId="77777777" w:rsidR="009D12AF" w:rsidRDefault="00000000">
      <w:pPr>
        <w:ind w:firstLine="480"/>
      </w:pPr>
      <w:r>
        <w:t>连续监测</w:t>
      </w:r>
      <w:r>
        <w:t>3</w:t>
      </w:r>
      <w:r>
        <w:t>天，每天监测</w:t>
      </w:r>
      <w:r>
        <w:t>1</w:t>
      </w:r>
      <w:r>
        <w:t>次。</w:t>
      </w:r>
    </w:p>
    <w:p w14:paraId="7D508663" w14:textId="77777777" w:rsidR="009D12AF" w:rsidRDefault="00000000">
      <w:pPr>
        <w:ind w:firstLine="480"/>
      </w:pPr>
      <w:r>
        <w:rPr>
          <w:rFonts w:hint="eastAsia"/>
        </w:rPr>
        <w:t>（</w:t>
      </w:r>
      <w:r>
        <w:rPr>
          <w:rFonts w:hint="eastAsia"/>
        </w:rPr>
        <w:t>2</w:t>
      </w:r>
      <w:r>
        <w:rPr>
          <w:rFonts w:hint="eastAsia"/>
        </w:rPr>
        <w:t>）监测项目</w:t>
      </w:r>
    </w:p>
    <w:p w14:paraId="154072DD" w14:textId="77777777" w:rsidR="009D12AF" w:rsidRDefault="00000000">
      <w:pPr>
        <w:ind w:firstLine="480"/>
      </w:pPr>
      <w:r>
        <w:t>包括</w:t>
      </w:r>
      <w:r>
        <w:t>pH</w:t>
      </w:r>
      <w:r>
        <w:t>值、</w:t>
      </w:r>
      <w:r>
        <w:t>COD</w:t>
      </w:r>
      <w:r>
        <w:t>、</w:t>
      </w:r>
      <w:r>
        <w:t>NH</w:t>
      </w:r>
      <w:r>
        <w:rPr>
          <w:vertAlign w:val="subscript"/>
        </w:rPr>
        <w:t>3</w:t>
      </w:r>
      <w:r>
        <w:t>-N</w:t>
      </w:r>
      <w:r>
        <w:t>、</w:t>
      </w:r>
      <w:r>
        <w:t>BOD5</w:t>
      </w:r>
      <w:r>
        <w:t>、</w:t>
      </w:r>
      <w:r>
        <w:t>SS</w:t>
      </w:r>
      <w:r>
        <w:t>、</w:t>
      </w:r>
      <w:r>
        <w:t>TP</w:t>
      </w:r>
      <w:r>
        <w:t>、</w:t>
      </w:r>
      <w:r>
        <w:t>TN</w:t>
      </w:r>
      <w:r>
        <w:t>、水温、</w:t>
      </w:r>
      <w:r>
        <w:t>DO</w:t>
      </w:r>
      <w:r>
        <w:t>、高锰酸盐指数、石油类、铜、锌、氟化物、硒、砷、汞、镉、六价铬、铅、氰化物、挥发酚、阴离子表面活性剂、硫化物、粪大肠菌群共</w:t>
      </w:r>
      <w:r>
        <w:t>25</w:t>
      </w:r>
      <w:r>
        <w:t>项</w:t>
      </w:r>
    </w:p>
    <w:p w14:paraId="6483352A" w14:textId="77777777" w:rsidR="009D12AF" w:rsidRDefault="00000000">
      <w:pPr>
        <w:ind w:firstLine="480"/>
      </w:pPr>
      <w:r>
        <w:rPr>
          <w:rFonts w:hint="eastAsia"/>
        </w:rPr>
        <w:t>（</w:t>
      </w:r>
      <w:r>
        <w:rPr>
          <w:rFonts w:hint="eastAsia"/>
        </w:rPr>
        <w:t>3</w:t>
      </w:r>
      <w:r>
        <w:rPr>
          <w:rFonts w:hint="eastAsia"/>
        </w:rPr>
        <w:t>）监测时间</w:t>
      </w:r>
    </w:p>
    <w:p w14:paraId="189B84E5" w14:textId="77777777" w:rsidR="009D12AF" w:rsidRDefault="00000000">
      <w:pPr>
        <w:ind w:firstLine="480"/>
      </w:pPr>
      <w:r>
        <w:t>采样时间为</w:t>
      </w:r>
      <w:r>
        <w:t>202</w:t>
      </w:r>
      <w:r>
        <w:rPr>
          <w:rFonts w:hint="eastAsia"/>
        </w:rPr>
        <w:t>5</w:t>
      </w:r>
      <w:r>
        <w:t>年</w:t>
      </w:r>
      <w:r>
        <w:rPr>
          <w:rFonts w:hint="eastAsia"/>
        </w:rPr>
        <w:t>10</w:t>
      </w:r>
      <w:r>
        <w:t>月</w:t>
      </w:r>
      <w:r>
        <w:rPr>
          <w:rFonts w:hint="eastAsia"/>
        </w:rPr>
        <w:t>07</w:t>
      </w:r>
      <w:r>
        <w:t>日</w:t>
      </w:r>
      <w:r>
        <w:t>~10</w:t>
      </w:r>
      <w:r>
        <w:t>月</w:t>
      </w:r>
      <w:r>
        <w:rPr>
          <w:rFonts w:hint="eastAsia"/>
        </w:rPr>
        <w:t>09</w:t>
      </w:r>
      <w:r>
        <w:t>日。</w:t>
      </w:r>
    </w:p>
    <w:p w14:paraId="2146099A" w14:textId="77777777" w:rsidR="009D12AF" w:rsidRDefault="00000000">
      <w:pPr>
        <w:ind w:firstLine="480"/>
      </w:pPr>
      <w:r>
        <w:rPr>
          <w:rFonts w:hint="eastAsia"/>
        </w:rPr>
        <w:t>（</w:t>
      </w:r>
      <w:r>
        <w:rPr>
          <w:rFonts w:hint="eastAsia"/>
        </w:rPr>
        <w:t>4</w:t>
      </w:r>
      <w:r>
        <w:rPr>
          <w:rFonts w:hint="eastAsia"/>
        </w:rPr>
        <w:t>）补充监测点位</w:t>
      </w:r>
    </w:p>
    <w:p w14:paraId="16EB2C91" w14:textId="77777777" w:rsidR="009D12AF" w:rsidRDefault="00000000">
      <w:pPr>
        <w:ind w:firstLine="482"/>
        <w:jc w:val="center"/>
        <w:rPr>
          <w:b/>
          <w:bCs/>
        </w:rPr>
      </w:pPr>
      <w:r>
        <w:rPr>
          <w:rFonts w:hint="eastAsia"/>
          <w:b/>
          <w:bCs/>
        </w:rPr>
        <w:t>表</w:t>
      </w:r>
      <w:r>
        <w:rPr>
          <w:rFonts w:hint="eastAsia"/>
          <w:b/>
          <w:bCs/>
        </w:rPr>
        <w:t>4.3-5</w:t>
      </w:r>
      <w:r>
        <w:rPr>
          <w:rFonts w:hint="eastAsia"/>
          <w:b/>
          <w:bCs/>
        </w:rPr>
        <w:t>地表水监测点位</w:t>
      </w:r>
    </w:p>
    <w:tbl>
      <w:tblPr>
        <w:tblStyle w:val="ae"/>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3077"/>
        <w:gridCol w:w="1183"/>
        <w:gridCol w:w="2131"/>
        <w:gridCol w:w="2131"/>
      </w:tblGrid>
      <w:tr w:rsidR="009D12AF" w14:paraId="62DBE3DA" w14:textId="77777777">
        <w:tc>
          <w:tcPr>
            <w:tcW w:w="3077" w:type="dxa"/>
            <w:tcBorders>
              <w:tl2br w:val="nil"/>
              <w:tr2bl w:val="nil"/>
            </w:tcBorders>
            <w:vAlign w:val="center"/>
          </w:tcPr>
          <w:p w14:paraId="5719856D" w14:textId="77777777" w:rsidR="009D12AF" w:rsidRDefault="00000000">
            <w:pPr>
              <w:ind w:firstLineChars="0" w:firstLine="0"/>
              <w:jc w:val="center"/>
              <w:rPr>
                <w:sz w:val="21"/>
                <w:szCs w:val="21"/>
              </w:rPr>
            </w:pPr>
            <w:r>
              <w:rPr>
                <w:rFonts w:hint="eastAsia"/>
                <w:sz w:val="21"/>
                <w:szCs w:val="21"/>
              </w:rPr>
              <w:t>监测点位</w:t>
            </w:r>
          </w:p>
        </w:tc>
        <w:tc>
          <w:tcPr>
            <w:tcW w:w="1183" w:type="dxa"/>
            <w:tcBorders>
              <w:tl2br w:val="nil"/>
              <w:tr2bl w:val="nil"/>
            </w:tcBorders>
            <w:vAlign w:val="center"/>
          </w:tcPr>
          <w:p w14:paraId="09207CC5" w14:textId="77777777" w:rsidR="009D12AF" w:rsidRDefault="00000000">
            <w:pPr>
              <w:ind w:firstLineChars="0" w:firstLine="0"/>
              <w:jc w:val="center"/>
              <w:rPr>
                <w:sz w:val="21"/>
                <w:szCs w:val="21"/>
              </w:rPr>
            </w:pPr>
            <w:r>
              <w:rPr>
                <w:rFonts w:hint="eastAsia"/>
                <w:sz w:val="21"/>
                <w:szCs w:val="21"/>
              </w:rPr>
              <w:t>监测频次</w:t>
            </w:r>
          </w:p>
        </w:tc>
        <w:tc>
          <w:tcPr>
            <w:tcW w:w="2131" w:type="dxa"/>
            <w:tcBorders>
              <w:tl2br w:val="nil"/>
              <w:tr2bl w:val="nil"/>
            </w:tcBorders>
            <w:vAlign w:val="center"/>
          </w:tcPr>
          <w:p w14:paraId="3E5F40B2" w14:textId="77777777" w:rsidR="009D12AF" w:rsidRDefault="00000000">
            <w:pPr>
              <w:ind w:firstLineChars="0" w:firstLine="0"/>
              <w:jc w:val="center"/>
              <w:rPr>
                <w:sz w:val="21"/>
                <w:szCs w:val="21"/>
              </w:rPr>
            </w:pPr>
            <w:r>
              <w:rPr>
                <w:rFonts w:hint="eastAsia"/>
                <w:sz w:val="21"/>
                <w:szCs w:val="21"/>
              </w:rPr>
              <w:t>项目</w:t>
            </w:r>
          </w:p>
        </w:tc>
        <w:tc>
          <w:tcPr>
            <w:tcW w:w="2131" w:type="dxa"/>
            <w:tcBorders>
              <w:tl2br w:val="nil"/>
              <w:tr2bl w:val="nil"/>
            </w:tcBorders>
            <w:vAlign w:val="center"/>
          </w:tcPr>
          <w:p w14:paraId="6741D02B" w14:textId="77777777" w:rsidR="009D12AF" w:rsidRDefault="00000000">
            <w:pPr>
              <w:ind w:firstLineChars="0" w:firstLine="0"/>
              <w:jc w:val="center"/>
              <w:rPr>
                <w:sz w:val="21"/>
                <w:szCs w:val="21"/>
              </w:rPr>
            </w:pPr>
            <w:r>
              <w:rPr>
                <w:rFonts w:hint="eastAsia"/>
                <w:sz w:val="21"/>
                <w:szCs w:val="21"/>
              </w:rPr>
              <w:t>执行标准</w:t>
            </w:r>
          </w:p>
        </w:tc>
      </w:tr>
      <w:tr w:rsidR="009D12AF" w14:paraId="25020EC5" w14:textId="77777777">
        <w:tc>
          <w:tcPr>
            <w:tcW w:w="3077" w:type="dxa"/>
            <w:tcBorders>
              <w:tl2br w:val="nil"/>
              <w:tr2bl w:val="nil"/>
            </w:tcBorders>
            <w:vAlign w:val="center"/>
          </w:tcPr>
          <w:p w14:paraId="28C1010E" w14:textId="77777777" w:rsidR="009D12AF" w:rsidRDefault="00000000">
            <w:pPr>
              <w:ind w:firstLineChars="0" w:firstLine="0"/>
              <w:jc w:val="center"/>
              <w:rPr>
                <w:sz w:val="21"/>
                <w:szCs w:val="21"/>
              </w:rPr>
            </w:pPr>
            <w:r>
              <w:rPr>
                <w:rFonts w:hint="eastAsia"/>
                <w:sz w:val="21"/>
                <w:szCs w:val="21"/>
              </w:rPr>
              <w:t>万丈水库上游</w:t>
            </w:r>
            <w:r>
              <w:rPr>
                <w:rFonts w:hint="eastAsia"/>
                <w:sz w:val="21"/>
                <w:szCs w:val="21"/>
              </w:rPr>
              <w:t>500m 1#</w:t>
            </w:r>
            <w:r>
              <w:rPr>
                <w:rFonts w:hint="eastAsia"/>
                <w:sz w:val="21"/>
                <w:szCs w:val="21"/>
              </w:rPr>
              <w:t>（水面下</w:t>
            </w:r>
            <w:r>
              <w:rPr>
                <w:rFonts w:hint="eastAsia"/>
                <w:sz w:val="21"/>
                <w:szCs w:val="21"/>
              </w:rPr>
              <w:t>0.5m</w:t>
            </w:r>
            <w:r>
              <w:rPr>
                <w:rFonts w:hint="eastAsia"/>
                <w:sz w:val="21"/>
                <w:szCs w:val="21"/>
              </w:rPr>
              <w:t>）</w:t>
            </w:r>
          </w:p>
        </w:tc>
        <w:tc>
          <w:tcPr>
            <w:tcW w:w="1183" w:type="dxa"/>
            <w:vMerge w:val="restart"/>
            <w:tcBorders>
              <w:tl2br w:val="nil"/>
              <w:tr2bl w:val="nil"/>
            </w:tcBorders>
            <w:vAlign w:val="center"/>
          </w:tcPr>
          <w:p w14:paraId="0F524E48" w14:textId="77777777" w:rsidR="009D12AF" w:rsidRDefault="00000000">
            <w:pPr>
              <w:ind w:firstLineChars="0" w:firstLine="0"/>
              <w:jc w:val="center"/>
              <w:rPr>
                <w:sz w:val="21"/>
                <w:szCs w:val="21"/>
              </w:rPr>
            </w:pPr>
            <w:r>
              <w:rPr>
                <w:rFonts w:hint="eastAsia"/>
                <w:sz w:val="21"/>
                <w:szCs w:val="21"/>
              </w:rPr>
              <w:t>3</w:t>
            </w:r>
            <w:r>
              <w:rPr>
                <w:rFonts w:hint="eastAsia"/>
                <w:sz w:val="21"/>
                <w:szCs w:val="21"/>
              </w:rPr>
              <w:t>天，每天一次</w:t>
            </w:r>
          </w:p>
        </w:tc>
        <w:tc>
          <w:tcPr>
            <w:tcW w:w="2131" w:type="dxa"/>
            <w:tcBorders>
              <w:tl2br w:val="nil"/>
              <w:tr2bl w:val="nil"/>
            </w:tcBorders>
            <w:vAlign w:val="center"/>
          </w:tcPr>
          <w:p w14:paraId="6391CB9D" w14:textId="77777777" w:rsidR="009D12AF" w:rsidRDefault="00000000">
            <w:pPr>
              <w:pStyle w:val="afb"/>
              <w:adjustRightInd w:val="0"/>
              <w:snapToGrid w:val="0"/>
              <w:ind w:firstLine="0"/>
              <w:rPr>
                <w:szCs w:val="21"/>
              </w:rPr>
            </w:pPr>
            <w:r>
              <w:rPr>
                <w:rFonts w:eastAsia="宋体"/>
                <w:szCs w:val="21"/>
              </w:rPr>
              <w:t>pH</w:t>
            </w:r>
            <w:r>
              <w:rPr>
                <w:rFonts w:eastAsia="宋体"/>
                <w:szCs w:val="21"/>
              </w:rPr>
              <w:t>值（无量纲）</w:t>
            </w:r>
          </w:p>
        </w:tc>
        <w:tc>
          <w:tcPr>
            <w:tcW w:w="2131" w:type="dxa"/>
            <w:vMerge w:val="restart"/>
            <w:tcBorders>
              <w:tl2br w:val="nil"/>
              <w:tr2bl w:val="nil"/>
            </w:tcBorders>
            <w:vAlign w:val="center"/>
          </w:tcPr>
          <w:p w14:paraId="6B3D2D5C" w14:textId="77777777" w:rsidR="009D12AF" w:rsidRDefault="00000000">
            <w:pPr>
              <w:ind w:firstLineChars="0" w:firstLine="0"/>
              <w:jc w:val="center"/>
              <w:rPr>
                <w:sz w:val="21"/>
                <w:szCs w:val="21"/>
              </w:rPr>
            </w:pPr>
            <w:r>
              <w:rPr>
                <w:rFonts w:ascii="Times New Roman" w:eastAsia="宋体" w:hAnsi="Times New Roman" w:cs="Times New Roman"/>
                <w:snapToGrid w:val="0"/>
                <w:kern w:val="0"/>
                <w:sz w:val="21"/>
                <w:szCs w:val="21"/>
                <w:lang w:val="en-GB"/>
              </w:rPr>
              <w:t>《地表水环境质量标准》（</w:t>
            </w:r>
            <w:r>
              <w:rPr>
                <w:rFonts w:ascii="Times New Roman" w:eastAsia="宋体" w:hAnsi="Times New Roman" w:cs="Times New Roman"/>
                <w:snapToGrid w:val="0"/>
                <w:kern w:val="0"/>
                <w:sz w:val="21"/>
                <w:szCs w:val="21"/>
                <w:lang w:val="en-GB"/>
              </w:rPr>
              <w:t>GB3838-2002</w:t>
            </w:r>
            <w:r>
              <w:rPr>
                <w:rFonts w:ascii="Times New Roman" w:eastAsia="宋体" w:hAnsi="Times New Roman" w:cs="Times New Roman"/>
                <w:snapToGrid w:val="0"/>
                <w:kern w:val="0"/>
                <w:sz w:val="21"/>
                <w:szCs w:val="21"/>
                <w:lang w:val="en-GB"/>
              </w:rPr>
              <w:t>）中</w:t>
            </w:r>
            <w:r>
              <w:rPr>
                <w:rFonts w:ascii="Times New Roman" w:eastAsia="宋体" w:hAnsi="Times New Roman" w:cs="Times New Roman"/>
                <w:snapToGrid w:val="0"/>
                <w:kern w:val="0"/>
                <w:sz w:val="21"/>
                <w:szCs w:val="21"/>
                <w:lang w:val="en-GB"/>
              </w:rPr>
              <w:t>Ⅲ</w:t>
            </w:r>
            <w:r>
              <w:rPr>
                <w:rFonts w:ascii="Times New Roman" w:eastAsia="宋体" w:hAnsi="Times New Roman" w:cs="Times New Roman"/>
                <w:snapToGrid w:val="0"/>
                <w:kern w:val="0"/>
                <w:sz w:val="21"/>
                <w:szCs w:val="21"/>
                <w:lang w:val="en-GB"/>
              </w:rPr>
              <w:t>类标准</w:t>
            </w:r>
          </w:p>
        </w:tc>
      </w:tr>
      <w:tr w:rsidR="009D12AF" w14:paraId="75E9EFA8" w14:textId="77777777">
        <w:tc>
          <w:tcPr>
            <w:tcW w:w="3077" w:type="dxa"/>
            <w:tcBorders>
              <w:tl2br w:val="nil"/>
              <w:tr2bl w:val="nil"/>
            </w:tcBorders>
            <w:vAlign w:val="center"/>
          </w:tcPr>
          <w:p w14:paraId="5AFD6837" w14:textId="77777777" w:rsidR="009D12AF" w:rsidRDefault="00000000">
            <w:pPr>
              <w:ind w:firstLineChars="0" w:firstLine="0"/>
              <w:jc w:val="center"/>
              <w:rPr>
                <w:sz w:val="21"/>
                <w:szCs w:val="21"/>
              </w:rPr>
            </w:pPr>
            <w:r>
              <w:rPr>
                <w:rFonts w:hint="eastAsia"/>
                <w:sz w:val="21"/>
                <w:szCs w:val="21"/>
              </w:rPr>
              <w:t>万丈水库</w:t>
            </w:r>
            <w:r>
              <w:rPr>
                <w:rFonts w:hint="eastAsia"/>
                <w:sz w:val="21"/>
                <w:szCs w:val="21"/>
              </w:rPr>
              <w:t>2#</w:t>
            </w:r>
            <w:r>
              <w:rPr>
                <w:rFonts w:hint="eastAsia"/>
                <w:sz w:val="21"/>
                <w:szCs w:val="21"/>
              </w:rPr>
              <w:t>（水面下</w:t>
            </w:r>
            <w:r>
              <w:rPr>
                <w:rFonts w:hint="eastAsia"/>
                <w:sz w:val="21"/>
                <w:szCs w:val="21"/>
              </w:rPr>
              <w:t>0.5m</w:t>
            </w:r>
            <w:r>
              <w:rPr>
                <w:rFonts w:hint="eastAsia"/>
                <w:sz w:val="21"/>
                <w:szCs w:val="21"/>
              </w:rPr>
              <w:t>）</w:t>
            </w:r>
          </w:p>
        </w:tc>
        <w:tc>
          <w:tcPr>
            <w:tcW w:w="1183" w:type="dxa"/>
            <w:vMerge/>
            <w:tcBorders>
              <w:tl2br w:val="nil"/>
              <w:tr2bl w:val="nil"/>
            </w:tcBorders>
            <w:vAlign w:val="center"/>
          </w:tcPr>
          <w:p w14:paraId="4693FF37" w14:textId="77777777" w:rsidR="009D12AF" w:rsidRDefault="009D12AF">
            <w:pPr>
              <w:ind w:firstLineChars="0" w:firstLine="0"/>
              <w:jc w:val="center"/>
              <w:rPr>
                <w:sz w:val="21"/>
                <w:szCs w:val="21"/>
              </w:rPr>
            </w:pPr>
          </w:p>
        </w:tc>
        <w:tc>
          <w:tcPr>
            <w:tcW w:w="2131" w:type="dxa"/>
            <w:tcBorders>
              <w:tl2br w:val="nil"/>
              <w:tr2bl w:val="nil"/>
            </w:tcBorders>
            <w:vAlign w:val="center"/>
          </w:tcPr>
          <w:p w14:paraId="36B2B6C6" w14:textId="77777777" w:rsidR="009D12AF" w:rsidRDefault="00000000">
            <w:pPr>
              <w:adjustRightInd w:val="0"/>
              <w:snapToGrid w:val="0"/>
              <w:spacing w:line="240" w:lineRule="auto"/>
              <w:ind w:firstLineChars="0" w:firstLine="0"/>
              <w:jc w:val="center"/>
              <w:rPr>
                <w:sz w:val="21"/>
                <w:szCs w:val="21"/>
              </w:rPr>
            </w:pPr>
            <w:r>
              <w:rPr>
                <w:sz w:val="21"/>
                <w:szCs w:val="21"/>
                <w:lang w:bidi="ar"/>
              </w:rPr>
              <w:t>高锰酸盐指数</w:t>
            </w:r>
            <w:r>
              <w:rPr>
                <w:sz w:val="21"/>
                <w:szCs w:val="21"/>
                <w:lang w:bidi="ar"/>
              </w:rPr>
              <w:t>≤</w:t>
            </w:r>
          </w:p>
        </w:tc>
        <w:tc>
          <w:tcPr>
            <w:tcW w:w="2131" w:type="dxa"/>
            <w:vMerge/>
            <w:tcBorders>
              <w:tl2br w:val="nil"/>
              <w:tr2bl w:val="nil"/>
            </w:tcBorders>
            <w:vAlign w:val="center"/>
          </w:tcPr>
          <w:p w14:paraId="011AA2F3" w14:textId="77777777" w:rsidR="009D12AF" w:rsidRDefault="009D12AF">
            <w:pPr>
              <w:ind w:firstLineChars="0" w:firstLine="0"/>
              <w:jc w:val="center"/>
              <w:rPr>
                <w:sz w:val="21"/>
                <w:szCs w:val="21"/>
              </w:rPr>
            </w:pPr>
          </w:p>
        </w:tc>
      </w:tr>
      <w:tr w:rsidR="009D12AF" w14:paraId="2FDA1403" w14:textId="77777777">
        <w:tc>
          <w:tcPr>
            <w:tcW w:w="3077" w:type="dxa"/>
            <w:tcBorders>
              <w:tl2br w:val="nil"/>
              <w:tr2bl w:val="nil"/>
            </w:tcBorders>
            <w:vAlign w:val="center"/>
          </w:tcPr>
          <w:p w14:paraId="2A9C06C1" w14:textId="77777777" w:rsidR="009D12AF" w:rsidRDefault="00000000">
            <w:pPr>
              <w:ind w:firstLineChars="0" w:firstLine="0"/>
              <w:jc w:val="center"/>
              <w:rPr>
                <w:sz w:val="21"/>
                <w:szCs w:val="21"/>
              </w:rPr>
            </w:pPr>
            <w:r>
              <w:rPr>
                <w:rFonts w:hint="eastAsia"/>
                <w:sz w:val="21"/>
                <w:szCs w:val="21"/>
              </w:rPr>
              <w:t>万丈水库下游</w:t>
            </w:r>
            <w:r>
              <w:rPr>
                <w:rFonts w:hint="eastAsia"/>
                <w:sz w:val="21"/>
                <w:szCs w:val="21"/>
              </w:rPr>
              <w:t>500m 3#</w:t>
            </w:r>
            <w:r>
              <w:rPr>
                <w:rFonts w:hint="eastAsia"/>
                <w:sz w:val="21"/>
                <w:szCs w:val="21"/>
              </w:rPr>
              <w:t>（水面下</w:t>
            </w:r>
            <w:r>
              <w:rPr>
                <w:rFonts w:hint="eastAsia"/>
                <w:sz w:val="21"/>
                <w:szCs w:val="21"/>
              </w:rPr>
              <w:lastRenderedPageBreak/>
              <w:t>0.5m</w:t>
            </w:r>
            <w:r>
              <w:rPr>
                <w:rFonts w:hint="eastAsia"/>
                <w:sz w:val="21"/>
                <w:szCs w:val="21"/>
              </w:rPr>
              <w:t>）</w:t>
            </w:r>
          </w:p>
        </w:tc>
        <w:tc>
          <w:tcPr>
            <w:tcW w:w="1183" w:type="dxa"/>
            <w:vMerge/>
            <w:tcBorders>
              <w:tl2br w:val="nil"/>
              <w:tr2bl w:val="nil"/>
            </w:tcBorders>
            <w:vAlign w:val="center"/>
          </w:tcPr>
          <w:p w14:paraId="3EBBEFC2" w14:textId="77777777" w:rsidR="009D12AF" w:rsidRDefault="009D12AF">
            <w:pPr>
              <w:ind w:firstLineChars="0" w:firstLine="0"/>
              <w:jc w:val="center"/>
              <w:rPr>
                <w:sz w:val="21"/>
                <w:szCs w:val="21"/>
              </w:rPr>
            </w:pPr>
          </w:p>
        </w:tc>
        <w:tc>
          <w:tcPr>
            <w:tcW w:w="2131" w:type="dxa"/>
            <w:tcBorders>
              <w:tl2br w:val="nil"/>
              <w:tr2bl w:val="nil"/>
            </w:tcBorders>
            <w:vAlign w:val="center"/>
          </w:tcPr>
          <w:p w14:paraId="4AE9B08E" w14:textId="77777777" w:rsidR="009D12AF" w:rsidRDefault="00000000">
            <w:pPr>
              <w:adjustRightInd w:val="0"/>
              <w:snapToGrid w:val="0"/>
              <w:spacing w:line="240" w:lineRule="auto"/>
              <w:ind w:firstLineChars="0" w:firstLine="0"/>
              <w:jc w:val="center"/>
              <w:rPr>
                <w:sz w:val="21"/>
                <w:szCs w:val="21"/>
              </w:rPr>
            </w:pPr>
            <w:r>
              <w:rPr>
                <w:sz w:val="21"/>
                <w:szCs w:val="21"/>
                <w:lang w:bidi="ar"/>
              </w:rPr>
              <w:t>溶解氧</w:t>
            </w:r>
            <w:r>
              <w:rPr>
                <w:sz w:val="21"/>
                <w:szCs w:val="21"/>
                <w:lang w:bidi="ar"/>
              </w:rPr>
              <w:t>≥</w:t>
            </w:r>
          </w:p>
        </w:tc>
        <w:tc>
          <w:tcPr>
            <w:tcW w:w="2131" w:type="dxa"/>
            <w:vMerge/>
            <w:tcBorders>
              <w:tl2br w:val="nil"/>
              <w:tr2bl w:val="nil"/>
            </w:tcBorders>
            <w:vAlign w:val="center"/>
          </w:tcPr>
          <w:p w14:paraId="02271194" w14:textId="77777777" w:rsidR="009D12AF" w:rsidRDefault="009D12AF">
            <w:pPr>
              <w:ind w:firstLineChars="0" w:firstLine="0"/>
              <w:jc w:val="center"/>
              <w:rPr>
                <w:sz w:val="21"/>
                <w:szCs w:val="21"/>
              </w:rPr>
            </w:pPr>
          </w:p>
        </w:tc>
      </w:tr>
      <w:tr w:rsidR="009D12AF" w14:paraId="741AFA72" w14:textId="77777777">
        <w:tc>
          <w:tcPr>
            <w:tcW w:w="3077" w:type="dxa"/>
            <w:tcBorders>
              <w:tl2br w:val="nil"/>
              <w:tr2bl w:val="nil"/>
            </w:tcBorders>
            <w:vAlign w:val="center"/>
          </w:tcPr>
          <w:p w14:paraId="5C3E883D" w14:textId="77777777" w:rsidR="009D12AF" w:rsidRDefault="00000000">
            <w:pPr>
              <w:ind w:firstLineChars="0" w:firstLine="0"/>
              <w:jc w:val="center"/>
              <w:rPr>
                <w:sz w:val="21"/>
                <w:szCs w:val="21"/>
              </w:rPr>
            </w:pPr>
            <w:r>
              <w:rPr>
                <w:rFonts w:hint="eastAsia"/>
                <w:sz w:val="21"/>
                <w:szCs w:val="21"/>
              </w:rPr>
              <w:t>长石水库</w:t>
            </w:r>
            <w:r>
              <w:rPr>
                <w:rFonts w:hint="eastAsia"/>
                <w:sz w:val="21"/>
                <w:szCs w:val="21"/>
              </w:rPr>
              <w:t>1#</w:t>
            </w:r>
            <w:r>
              <w:rPr>
                <w:rFonts w:hint="eastAsia"/>
                <w:sz w:val="21"/>
                <w:szCs w:val="21"/>
              </w:rPr>
              <w:t>（垂直采样</w:t>
            </w:r>
            <w:r>
              <w:rPr>
                <w:rFonts w:hint="eastAsia"/>
                <w:sz w:val="21"/>
                <w:szCs w:val="21"/>
              </w:rPr>
              <w:t>2</w:t>
            </w:r>
            <w:r>
              <w:rPr>
                <w:rFonts w:hint="eastAsia"/>
                <w:sz w:val="21"/>
                <w:szCs w:val="21"/>
              </w:rPr>
              <w:t>点，水面下</w:t>
            </w:r>
            <w:r>
              <w:rPr>
                <w:rFonts w:hint="eastAsia"/>
                <w:sz w:val="21"/>
                <w:szCs w:val="21"/>
              </w:rPr>
              <w:t>0.5m</w:t>
            </w:r>
            <w:r>
              <w:rPr>
                <w:rFonts w:hint="eastAsia"/>
                <w:sz w:val="21"/>
                <w:szCs w:val="21"/>
              </w:rPr>
              <w:t>，水底上</w:t>
            </w:r>
            <w:r>
              <w:rPr>
                <w:rFonts w:hint="eastAsia"/>
                <w:sz w:val="21"/>
                <w:szCs w:val="21"/>
              </w:rPr>
              <w:t>0.5m</w:t>
            </w:r>
            <w:r>
              <w:rPr>
                <w:rFonts w:hint="eastAsia"/>
                <w:sz w:val="21"/>
                <w:szCs w:val="21"/>
              </w:rPr>
              <w:t>）</w:t>
            </w:r>
          </w:p>
        </w:tc>
        <w:tc>
          <w:tcPr>
            <w:tcW w:w="1183" w:type="dxa"/>
            <w:vMerge/>
            <w:tcBorders>
              <w:tl2br w:val="nil"/>
              <w:tr2bl w:val="nil"/>
            </w:tcBorders>
            <w:vAlign w:val="center"/>
          </w:tcPr>
          <w:p w14:paraId="65FD7223" w14:textId="77777777" w:rsidR="009D12AF" w:rsidRDefault="009D12AF">
            <w:pPr>
              <w:ind w:firstLineChars="0" w:firstLine="0"/>
              <w:jc w:val="center"/>
              <w:rPr>
                <w:sz w:val="21"/>
                <w:szCs w:val="21"/>
              </w:rPr>
            </w:pPr>
          </w:p>
        </w:tc>
        <w:tc>
          <w:tcPr>
            <w:tcW w:w="2131" w:type="dxa"/>
            <w:tcBorders>
              <w:tl2br w:val="nil"/>
              <w:tr2bl w:val="nil"/>
            </w:tcBorders>
            <w:vAlign w:val="center"/>
          </w:tcPr>
          <w:p w14:paraId="47108AB9" w14:textId="77777777" w:rsidR="009D12AF" w:rsidRDefault="00000000">
            <w:pPr>
              <w:adjustRightInd w:val="0"/>
              <w:snapToGrid w:val="0"/>
              <w:spacing w:line="240" w:lineRule="auto"/>
              <w:ind w:firstLineChars="0" w:firstLine="0"/>
              <w:jc w:val="center"/>
              <w:rPr>
                <w:sz w:val="21"/>
                <w:szCs w:val="21"/>
              </w:rPr>
            </w:pPr>
            <w:r>
              <w:rPr>
                <w:sz w:val="21"/>
                <w:szCs w:val="21"/>
                <w:lang w:bidi="ar"/>
              </w:rPr>
              <w:t>COD≤</w:t>
            </w:r>
          </w:p>
        </w:tc>
        <w:tc>
          <w:tcPr>
            <w:tcW w:w="2131" w:type="dxa"/>
            <w:vMerge/>
            <w:tcBorders>
              <w:tl2br w:val="nil"/>
              <w:tr2bl w:val="nil"/>
            </w:tcBorders>
            <w:vAlign w:val="center"/>
          </w:tcPr>
          <w:p w14:paraId="60A6A529" w14:textId="77777777" w:rsidR="009D12AF" w:rsidRDefault="009D12AF">
            <w:pPr>
              <w:ind w:firstLineChars="0" w:firstLine="0"/>
              <w:jc w:val="center"/>
              <w:rPr>
                <w:sz w:val="21"/>
                <w:szCs w:val="21"/>
              </w:rPr>
            </w:pPr>
          </w:p>
        </w:tc>
      </w:tr>
      <w:tr w:rsidR="009D12AF" w14:paraId="448DA5E0" w14:textId="77777777">
        <w:tc>
          <w:tcPr>
            <w:tcW w:w="3077" w:type="dxa"/>
            <w:tcBorders>
              <w:tl2br w:val="nil"/>
              <w:tr2bl w:val="nil"/>
            </w:tcBorders>
            <w:vAlign w:val="center"/>
          </w:tcPr>
          <w:p w14:paraId="4A06DE7A" w14:textId="77777777" w:rsidR="009D12AF" w:rsidRDefault="00000000">
            <w:pPr>
              <w:ind w:firstLineChars="0" w:firstLine="0"/>
              <w:jc w:val="center"/>
              <w:rPr>
                <w:sz w:val="21"/>
                <w:szCs w:val="21"/>
              </w:rPr>
            </w:pPr>
            <w:r>
              <w:rPr>
                <w:rFonts w:hint="eastAsia"/>
                <w:sz w:val="21"/>
                <w:szCs w:val="21"/>
              </w:rPr>
              <w:t>长石水库</w:t>
            </w:r>
            <w:r>
              <w:rPr>
                <w:rFonts w:hint="eastAsia"/>
                <w:sz w:val="21"/>
                <w:szCs w:val="21"/>
              </w:rPr>
              <w:t>2#</w:t>
            </w:r>
            <w:r>
              <w:rPr>
                <w:rFonts w:hint="eastAsia"/>
                <w:sz w:val="21"/>
                <w:szCs w:val="21"/>
              </w:rPr>
              <w:t>（垂直采样</w:t>
            </w:r>
            <w:r>
              <w:rPr>
                <w:rFonts w:hint="eastAsia"/>
                <w:sz w:val="21"/>
                <w:szCs w:val="21"/>
              </w:rPr>
              <w:t>2</w:t>
            </w:r>
            <w:r>
              <w:rPr>
                <w:rFonts w:hint="eastAsia"/>
                <w:sz w:val="21"/>
                <w:szCs w:val="21"/>
              </w:rPr>
              <w:t>点，水面下</w:t>
            </w:r>
            <w:r>
              <w:rPr>
                <w:rFonts w:hint="eastAsia"/>
                <w:sz w:val="21"/>
                <w:szCs w:val="21"/>
              </w:rPr>
              <w:t>0.5m</w:t>
            </w:r>
            <w:r>
              <w:rPr>
                <w:rFonts w:hint="eastAsia"/>
                <w:sz w:val="21"/>
                <w:szCs w:val="21"/>
              </w:rPr>
              <w:t>，水底上</w:t>
            </w:r>
            <w:r>
              <w:rPr>
                <w:rFonts w:hint="eastAsia"/>
                <w:sz w:val="21"/>
                <w:szCs w:val="21"/>
              </w:rPr>
              <w:t>0.5m</w:t>
            </w:r>
            <w:r>
              <w:rPr>
                <w:rFonts w:hint="eastAsia"/>
                <w:sz w:val="21"/>
                <w:szCs w:val="21"/>
              </w:rPr>
              <w:t>）</w:t>
            </w:r>
          </w:p>
        </w:tc>
        <w:tc>
          <w:tcPr>
            <w:tcW w:w="1183" w:type="dxa"/>
            <w:vMerge/>
            <w:tcBorders>
              <w:tl2br w:val="nil"/>
              <w:tr2bl w:val="nil"/>
            </w:tcBorders>
            <w:vAlign w:val="center"/>
          </w:tcPr>
          <w:p w14:paraId="0491B9ED" w14:textId="77777777" w:rsidR="009D12AF" w:rsidRDefault="009D12AF">
            <w:pPr>
              <w:ind w:firstLineChars="0" w:firstLine="0"/>
              <w:jc w:val="center"/>
              <w:rPr>
                <w:sz w:val="21"/>
                <w:szCs w:val="21"/>
              </w:rPr>
            </w:pPr>
          </w:p>
        </w:tc>
        <w:tc>
          <w:tcPr>
            <w:tcW w:w="2131" w:type="dxa"/>
            <w:tcBorders>
              <w:tl2br w:val="nil"/>
              <w:tr2bl w:val="nil"/>
            </w:tcBorders>
            <w:vAlign w:val="center"/>
          </w:tcPr>
          <w:p w14:paraId="65967723" w14:textId="77777777" w:rsidR="009D12AF" w:rsidRDefault="00000000">
            <w:pPr>
              <w:adjustRightInd w:val="0"/>
              <w:snapToGrid w:val="0"/>
              <w:spacing w:line="240" w:lineRule="auto"/>
              <w:ind w:firstLineChars="0" w:firstLine="0"/>
              <w:jc w:val="center"/>
              <w:rPr>
                <w:sz w:val="21"/>
                <w:szCs w:val="21"/>
              </w:rPr>
            </w:pPr>
            <w:r>
              <w:rPr>
                <w:sz w:val="21"/>
                <w:szCs w:val="21"/>
                <w:lang w:bidi="ar"/>
              </w:rPr>
              <w:t>BOD</w:t>
            </w:r>
            <w:r>
              <w:rPr>
                <w:sz w:val="21"/>
                <w:szCs w:val="21"/>
                <w:vertAlign w:val="subscript"/>
                <w:lang w:bidi="ar"/>
              </w:rPr>
              <w:t>5</w:t>
            </w:r>
            <w:r>
              <w:rPr>
                <w:sz w:val="21"/>
                <w:szCs w:val="21"/>
                <w:lang w:bidi="ar"/>
              </w:rPr>
              <w:t>≤</w:t>
            </w:r>
          </w:p>
        </w:tc>
        <w:tc>
          <w:tcPr>
            <w:tcW w:w="2131" w:type="dxa"/>
            <w:vMerge/>
            <w:tcBorders>
              <w:tl2br w:val="nil"/>
              <w:tr2bl w:val="nil"/>
            </w:tcBorders>
            <w:vAlign w:val="center"/>
          </w:tcPr>
          <w:p w14:paraId="586562D7" w14:textId="77777777" w:rsidR="009D12AF" w:rsidRDefault="009D12AF">
            <w:pPr>
              <w:ind w:firstLineChars="0" w:firstLine="0"/>
              <w:jc w:val="center"/>
              <w:rPr>
                <w:sz w:val="21"/>
                <w:szCs w:val="21"/>
              </w:rPr>
            </w:pPr>
          </w:p>
        </w:tc>
      </w:tr>
      <w:tr w:rsidR="009D12AF" w14:paraId="46EAB09F" w14:textId="77777777">
        <w:tc>
          <w:tcPr>
            <w:tcW w:w="3077" w:type="dxa"/>
            <w:tcBorders>
              <w:tl2br w:val="nil"/>
              <w:tr2bl w:val="nil"/>
            </w:tcBorders>
            <w:vAlign w:val="center"/>
          </w:tcPr>
          <w:p w14:paraId="09215F11" w14:textId="77777777" w:rsidR="009D12AF" w:rsidRDefault="00000000">
            <w:pPr>
              <w:ind w:firstLineChars="0" w:firstLine="0"/>
              <w:jc w:val="center"/>
              <w:rPr>
                <w:sz w:val="21"/>
                <w:szCs w:val="21"/>
              </w:rPr>
            </w:pPr>
            <w:r>
              <w:rPr>
                <w:rFonts w:hint="eastAsia"/>
                <w:sz w:val="21"/>
                <w:szCs w:val="21"/>
              </w:rPr>
              <w:t>长石水库</w:t>
            </w:r>
            <w:r>
              <w:rPr>
                <w:rFonts w:hint="eastAsia"/>
                <w:sz w:val="21"/>
                <w:szCs w:val="21"/>
              </w:rPr>
              <w:t>3#</w:t>
            </w:r>
            <w:r>
              <w:rPr>
                <w:rFonts w:hint="eastAsia"/>
                <w:sz w:val="21"/>
                <w:szCs w:val="21"/>
              </w:rPr>
              <w:t>（垂直采样</w:t>
            </w:r>
            <w:r>
              <w:rPr>
                <w:rFonts w:hint="eastAsia"/>
                <w:sz w:val="21"/>
                <w:szCs w:val="21"/>
              </w:rPr>
              <w:t>2</w:t>
            </w:r>
            <w:r>
              <w:rPr>
                <w:rFonts w:hint="eastAsia"/>
                <w:sz w:val="21"/>
                <w:szCs w:val="21"/>
              </w:rPr>
              <w:t>点，水面下</w:t>
            </w:r>
            <w:r>
              <w:rPr>
                <w:rFonts w:hint="eastAsia"/>
                <w:sz w:val="21"/>
                <w:szCs w:val="21"/>
              </w:rPr>
              <w:t>0.5m</w:t>
            </w:r>
            <w:r>
              <w:rPr>
                <w:rFonts w:hint="eastAsia"/>
                <w:sz w:val="21"/>
                <w:szCs w:val="21"/>
              </w:rPr>
              <w:t>，水底上</w:t>
            </w:r>
            <w:r>
              <w:rPr>
                <w:rFonts w:hint="eastAsia"/>
                <w:sz w:val="21"/>
                <w:szCs w:val="21"/>
              </w:rPr>
              <w:t>0.5m</w:t>
            </w:r>
            <w:r>
              <w:rPr>
                <w:rFonts w:hint="eastAsia"/>
                <w:sz w:val="21"/>
                <w:szCs w:val="21"/>
              </w:rPr>
              <w:t>）</w:t>
            </w:r>
          </w:p>
        </w:tc>
        <w:tc>
          <w:tcPr>
            <w:tcW w:w="1183" w:type="dxa"/>
            <w:vMerge/>
            <w:tcBorders>
              <w:tl2br w:val="nil"/>
              <w:tr2bl w:val="nil"/>
            </w:tcBorders>
            <w:vAlign w:val="center"/>
          </w:tcPr>
          <w:p w14:paraId="6048B6BC" w14:textId="77777777" w:rsidR="009D12AF" w:rsidRDefault="009D12AF">
            <w:pPr>
              <w:ind w:firstLineChars="0" w:firstLine="0"/>
              <w:jc w:val="center"/>
              <w:rPr>
                <w:sz w:val="21"/>
                <w:szCs w:val="21"/>
              </w:rPr>
            </w:pPr>
          </w:p>
        </w:tc>
        <w:tc>
          <w:tcPr>
            <w:tcW w:w="2131" w:type="dxa"/>
            <w:tcBorders>
              <w:tl2br w:val="nil"/>
              <w:tr2bl w:val="nil"/>
            </w:tcBorders>
            <w:vAlign w:val="center"/>
          </w:tcPr>
          <w:p w14:paraId="609746E7" w14:textId="77777777" w:rsidR="009D12AF" w:rsidRDefault="00000000">
            <w:pPr>
              <w:adjustRightInd w:val="0"/>
              <w:snapToGrid w:val="0"/>
              <w:spacing w:line="240" w:lineRule="auto"/>
              <w:ind w:firstLineChars="0" w:firstLine="0"/>
              <w:jc w:val="center"/>
              <w:rPr>
                <w:sz w:val="21"/>
                <w:szCs w:val="21"/>
              </w:rPr>
            </w:pPr>
            <w:r>
              <w:rPr>
                <w:sz w:val="21"/>
                <w:szCs w:val="21"/>
                <w:lang w:bidi="ar"/>
              </w:rPr>
              <w:t>氨氮</w:t>
            </w:r>
            <w:r>
              <w:rPr>
                <w:sz w:val="21"/>
                <w:szCs w:val="21"/>
              </w:rPr>
              <w:t>≤</w:t>
            </w:r>
          </w:p>
        </w:tc>
        <w:tc>
          <w:tcPr>
            <w:tcW w:w="2131" w:type="dxa"/>
            <w:vMerge/>
            <w:tcBorders>
              <w:tl2br w:val="nil"/>
              <w:tr2bl w:val="nil"/>
            </w:tcBorders>
            <w:vAlign w:val="center"/>
          </w:tcPr>
          <w:p w14:paraId="2687E862" w14:textId="77777777" w:rsidR="009D12AF" w:rsidRDefault="009D12AF">
            <w:pPr>
              <w:ind w:firstLineChars="0" w:firstLine="0"/>
              <w:jc w:val="center"/>
              <w:rPr>
                <w:sz w:val="21"/>
                <w:szCs w:val="21"/>
              </w:rPr>
            </w:pPr>
          </w:p>
        </w:tc>
      </w:tr>
      <w:tr w:rsidR="009D12AF" w14:paraId="23665DAD" w14:textId="77777777">
        <w:tc>
          <w:tcPr>
            <w:tcW w:w="3077" w:type="dxa"/>
            <w:tcBorders>
              <w:tl2br w:val="nil"/>
              <w:tr2bl w:val="nil"/>
            </w:tcBorders>
            <w:vAlign w:val="center"/>
          </w:tcPr>
          <w:p w14:paraId="3486A65E" w14:textId="77777777" w:rsidR="009D12AF" w:rsidRDefault="00000000">
            <w:pPr>
              <w:ind w:firstLineChars="0" w:firstLine="0"/>
              <w:jc w:val="center"/>
              <w:rPr>
                <w:sz w:val="21"/>
                <w:szCs w:val="21"/>
              </w:rPr>
            </w:pPr>
            <w:r>
              <w:rPr>
                <w:rFonts w:hint="eastAsia"/>
                <w:sz w:val="21"/>
                <w:szCs w:val="21"/>
              </w:rPr>
              <w:t>向阳水电站前池上游</w:t>
            </w:r>
            <w:r>
              <w:rPr>
                <w:rFonts w:hint="eastAsia"/>
                <w:sz w:val="21"/>
                <w:szCs w:val="21"/>
              </w:rPr>
              <w:t>500m 1#</w:t>
            </w:r>
            <w:r>
              <w:rPr>
                <w:rFonts w:hint="eastAsia"/>
                <w:sz w:val="21"/>
                <w:szCs w:val="21"/>
              </w:rPr>
              <w:t>（水面下</w:t>
            </w:r>
            <w:r>
              <w:rPr>
                <w:rFonts w:hint="eastAsia"/>
                <w:sz w:val="21"/>
                <w:szCs w:val="21"/>
              </w:rPr>
              <w:t>0.5m</w:t>
            </w:r>
            <w:r>
              <w:rPr>
                <w:rFonts w:hint="eastAsia"/>
                <w:sz w:val="21"/>
                <w:szCs w:val="21"/>
              </w:rPr>
              <w:t>）</w:t>
            </w:r>
          </w:p>
        </w:tc>
        <w:tc>
          <w:tcPr>
            <w:tcW w:w="1183" w:type="dxa"/>
            <w:vMerge/>
            <w:tcBorders>
              <w:tl2br w:val="nil"/>
              <w:tr2bl w:val="nil"/>
            </w:tcBorders>
            <w:vAlign w:val="center"/>
          </w:tcPr>
          <w:p w14:paraId="2CA93F7D" w14:textId="77777777" w:rsidR="009D12AF" w:rsidRDefault="009D12AF">
            <w:pPr>
              <w:ind w:firstLineChars="0" w:firstLine="0"/>
              <w:jc w:val="center"/>
              <w:rPr>
                <w:sz w:val="21"/>
                <w:szCs w:val="21"/>
              </w:rPr>
            </w:pPr>
          </w:p>
        </w:tc>
        <w:tc>
          <w:tcPr>
            <w:tcW w:w="2131" w:type="dxa"/>
            <w:tcBorders>
              <w:tl2br w:val="nil"/>
              <w:tr2bl w:val="nil"/>
            </w:tcBorders>
            <w:vAlign w:val="center"/>
          </w:tcPr>
          <w:p w14:paraId="73F561FE" w14:textId="77777777" w:rsidR="009D12AF" w:rsidRDefault="00000000">
            <w:pPr>
              <w:adjustRightInd w:val="0"/>
              <w:snapToGrid w:val="0"/>
              <w:spacing w:line="240" w:lineRule="auto"/>
              <w:ind w:firstLineChars="0" w:firstLine="0"/>
              <w:jc w:val="center"/>
              <w:rPr>
                <w:sz w:val="21"/>
                <w:szCs w:val="21"/>
              </w:rPr>
            </w:pPr>
            <w:r>
              <w:rPr>
                <w:sz w:val="21"/>
                <w:szCs w:val="21"/>
                <w:lang w:bidi="ar"/>
              </w:rPr>
              <w:t>总磷</w:t>
            </w:r>
            <w:r>
              <w:rPr>
                <w:sz w:val="21"/>
                <w:szCs w:val="21"/>
              </w:rPr>
              <w:t>≤</w:t>
            </w:r>
          </w:p>
        </w:tc>
        <w:tc>
          <w:tcPr>
            <w:tcW w:w="2131" w:type="dxa"/>
            <w:vMerge/>
            <w:tcBorders>
              <w:tl2br w:val="nil"/>
              <w:tr2bl w:val="nil"/>
            </w:tcBorders>
            <w:vAlign w:val="center"/>
          </w:tcPr>
          <w:p w14:paraId="27BD4755" w14:textId="77777777" w:rsidR="009D12AF" w:rsidRDefault="009D12AF">
            <w:pPr>
              <w:ind w:firstLineChars="0" w:firstLine="0"/>
              <w:jc w:val="center"/>
              <w:rPr>
                <w:sz w:val="21"/>
                <w:szCs w:val="21"/>
              </w:rPr>
            </w:pPr>
          </w:p>
        </w:tc>
      </w:tr>
      <w:tr w:rsidR="009D12AF" w14:paraId="306B2F38" w14:textId="77777777">
        <w:tc>
          <w:tcPr>
            <w:tcW w:w="3077" w:type="dxa"/>
            <w:tcBorders>
              <w:tl2br w:val="nil"/>
              <w:tr2bl w:val="nil"/>
            </w:tcBorders>
            <w:vAlign w:val="center"/>
          </w:tcPr>
          <w:p w14:paraId="29246880" w14:textId="77777777" w:rsidR="009D12AF" w:rsidRDefault="00000000">
            <w:pPr>
              <w:ind w:firstLineChars="0" w:firstLine="0"/>
              <w:jc w:val="center"/>
              <w:rPr>
                <w:sz w:val="21"/>
                <w:szCs w:val="21"/>
              </w:rPr>
            </w:pPr>
            <w:r>
              <w:rPr>
                <w:rFonts w:hint="eastAsia"/>
                <w:sz w:val="21"/>
                <w:szCs w:val="21"/>
              </w:rPr>
              <w:t>向阳水电站前池</w:t>
            </w:r>
            <w:r>
              <w:rPr>
                <w:rFonts w:hint="eastAsia"/>
                <w:sz w:val="21"/>
                <w:szCs w:val="21"/>
              </w:rPr>
              <w:t>2#</w:t>
            </w:r>
            <w:r>
              <w:rPr>
                <w:rFonts w:hint="eastAsia"/>
                <w:sz w:val="21"/>
                <w:szCs w:val="21"/>
              </w:rPr>
              <w:t>（水面下</w:t>
            </w:r>
            <w:r>
              <w:rPr>
                <w:rFonts w:hint="eastAsia"/>
                <w:sz w:val="21"/>
                <w:szCs w:val="21"/>
              </w:rPr>
              <w:t>0.5m</w:t>
            </w:r>
            <w:r>
              <w:rPr>
                <w:rFonts w:hint="eastAsia"/>
                <w:sz w:val="21"/>
                <w:szCs w:val="21"/>
              </w:rPr>
              <w:t>）</w:t>
            </w:r>
          </w:p>
        </w:tc>
        <w:tc>
          <w:tcPr>
            <w:tcW w:w="1183" w:type="dxa"/>
            <w:vMerge/>
            <w:tcBorders>
              <w:tl2br w:val="nil"/>
              <w:tr2bl w:val="nil"/>
            </w:tcBorders>
            <w:vAlign w:val="center"/>
          </w:tcPr>
          <w:p w14:paraId="74C9C83E" w14:textId="77777777" w:rsidR="009D12AF" w:rsidRDefault="009D12AF">
            <w:pPr>
              <w:ind w:firstLineChars="0" w:firstLine="0"/>
              <w:jc w:val="center"/>
              <w:rPr>
                <w:sz w:val="21"/>
                <w:szCs w:val="21"/>
              </w:rPr>
            </w:pPr>
          </w:p>
        </w:tc>
        <w:tc>
          <w:tcPr>
            <w:tcW w:w="2131" w:type="dxa"/>
            <w:tcBorders>
              <w:tl2br w:val="nil"/>
              <w:tr2bl w:val="nil"/>
            </w:tcBorders>
            <w:vAlign w:val="center"/>
          </w:tcPr>
          <w:p w14:paraId="7C13F93E" w14:textId="77777777" w:rsidR="009D12AF" w:rsidRDefault="00000000">
            <w:pPr>
              <w:adjustRightInd w:val="0"/>
              <w:snapToGrid w:val="0"/>
              <w:spacing w:line="240" w:lineRule="auto"/>
              <w:ind w:firstLineChars="0" w:firstLine="0"/>
              <w:jc w:val="center"/>
              <w:rPr>
                <w:sz w:val="21"/>
                <w:szCs w:val="21"/>
              </w:rPr>
            </w:pPr>
            <w:r>
              <w:rPr>
                <w:sz w:val="21"/>
                <w:szCs w:val="21"/>
                <w:lang w:bidi="ar"/>
              </w:rPr>
              <w:t>总氮</w:t>
            </w:r>
            <w:r>
              <w:rPr>
                <w:sz w:val="21"/>
                <w:szCs w:val="21"/>
              </w:rPr>
              <w:t>≤</w:t>
            </w:r>
          </w:p>
        </w:tc>
        <w:tc>
          <w:tcPr>
            <w:tcW w:w="2131" w:type="dxa"/>
            <w:vMerge/>
            <w:tcBorders>
              <w:tl2br w:val="nil"/>
              <w:tr2bl w:val="nil"/>
            </w:tcBorders>
            <w:vAlign w:val="center"/>
          </w:tcPr>
          <w:p w14:paraId="254DB025" w14:textId="77777777" w:rsidR="009D12AF" w:rsidRDefault="009D12AF">
            <w:pPr>
              <w:ind w:firstLineChars="0" w:firstLine="0"/>
              <w:jc w:val="center"/>
              <w:rPr>
                <w:sz w:val="21"/>
                <w:szCs w:val="21"/>
              </w:rPr>
            </w:pPr>
          </w:p>
        </w:tc>
      </w:tr>
      <w:tr w:rsidR="009D12AF" w14:paraId="175E0431" w14:textId="77777777">
        <w:tc>
          <w:tcPr>
            <w:tcW w:w="3077" w:type="dxa"/>
            <w:tcBorders>
              <w:tl2br w:val="nil"/>
              <w:tr2bl w:val="nil"/>
            </w:tcBorders>
            <w:vAlign w:val="center"/>
          </w:tcPr>
          <w:p w14:paraId="1AFF3E87" w14:textId="77777777" w:rsidR="009D12AF" w:rsidRDefault="00000000">
            <w:pPr>
              <w:ind w:firstLineChars="0" w:firstLine="0"/>
              <w:jc w:val="center"/>
              <w:rPr>
                <w:sz w:val="21"/>
                <w:szCs w:val="21"/>
              </w:rPr>
            </w:pPr>
            <w:r>
              <w:rPr>
                <w:rFonts w:hint="eastAsia"/>
                <w:sz w:val="21"/>
                <w:szCs w:val="21"/>
              </w:rPr>
              <w:t>向阳水电站下游</w:t>
            </w:r>
            <w:r>
              <w:rPr>
                <w:rFonts w:hint="eastAsia"/>
                <w:sz w:val="21"/>
                <w:szCs w:val="21"/>
              </w:rPr>
              <w:t>500m 3#</w:t>
            </w:r>
            <w:r>
              <w:rPr>
                <w:rFonts w:hint="eastAsia"/>
                <w:sz w:val="21"/>
                <w:szCs w:val="21"/>
              </w:rPr>
              <w:t>（水面下</w:t>
            </w:r>
            <w:r>
              <w:rPr>
                <w:rFonts w:hint="eastAsia"/>
                <w:sz w:val="21"/>
                <w:szCs w:val="21"/>
              </w:rPr>
              <w:t>0.5m</w:t>
            </w:r>
            <w:r>
              <w:rPr>
                <w:rFonts w:hint="eastAsia"/>
                <w:sz w:val="21"/>
                <w:szCs w:val="21"/>
              </w:rPr>
              <w:t>）</w:t>
            </w:r>
          </w:p>
        </w:tc>
        <w:tc>
          <w:tcPr>
            <w:tcW w:w="1183" w:type="dxa"/>
            <w:vMerge/>
            <w:tcBorders>
              <w:tl2br w:val="nil"/>
              <w:tr2bl w:val="nil"/>
            </w:tcBorders>
            <w:vAlign w:val="center"/>
          </w:tcPr>
          <w:p w14:paraId="4D0E89F3" w14:textId="77777777" w:rsidR="009D12AF" w:rsidRDefault="009D12AF">
            <w:pPr>
              <w:ind w:firstLineChars="0" w:firstLine="0"/>
              <w:jc w:val="center"/>
              <w:rPr>
                <w:sz w:val="21"/>
                <w:szCs w:val="21"/>
              </w:rPr>
            </w:pPr>
          </w:p>
        </w:tc>
        <w:tc>
          <w:tcPr>
            <w:tcW w:w="2131" w:type="dxa"/>
            <w:tcBorders>
              <w:tl2br w:val="nil"/>
              <w:tr2bl w:val="nil"/>
            </w:tcBorders>
            <w:vAlign w:val="center"/>
          </w:tcPr>
          <w:p w14:paraId="41CEFF00" w14:textId="77777777" w:rsidR="009D12AF" w:rsidRDefault="00000000">
            <w:pPr>
              <w:adjustRightInd w:val="0"/>
              <w:snapToGrid w:val="0"/>
              <w:spacing w:line="240" w:lineRule="auto"/>
              <w:ind w:firstLineChars="0" w:firstLine="0"/>
              <w:jc w:val="center"/>
              <w:rPr>
                <w:sz w:val="21"/>
                <w:szCs w:val="21"/>
              </w:rPr>
            </w:pPr>
            <w:r>
              <w:rPr>
                <w:sz w:val="21"/>
                <w:szCs w:val="21"/>
              </w:rPr>
              <w:t>铜</w:t>
            </w:r>
            <w:r>
              <w:rPr>
                <w:sz w:val="21"/>
                <w:szCs w:val="21"/>
              </w:rPr>
              <w:t>≤</w:t>
            </w:r>
          </w:p>
        </w:tc>
        <w:tc>
          <w:tcPr>
            <w:tcW w:w="2131" w:type="dxa"/>
            <w:vMerge/>
            <w:tcBorders>
              <w:tl2br w:val="nil"/>
              <w:tr2bl w:val="nil"/>
            </w:tcBorders>
            <w:vAlign w:val="center"/>
          </w:tcPr>
          <w:p w14:paraId="3D198708" w14:textId="77777777" w:rsidR="009D12AF" w:rsidRDefault="009D12AF">
            <w:pPr>
              <w:ind w:firstLineChars="0" w:firstLine="0"/>
              <w:jc w:val="center"/>
              <w:rPr>
                <w:sz w:val="21"/>
                <w:szCs w:val="21"/>
              </w:rPr>
            </w:pPr>
          </w:p>
        </w:tc>
      </w:tr>
      <w:tr w:rsidR="009D12AF" w14:paraId="6B77FE65" w14:textId="77777777">
        <w:tc>
          <w:tcPr>
            <w:tcW w:w="3077" w:type="dxa"/>
            <w:tcBorders>
              <w:tl2br w:val="nil"/>
              <w:tr2bl w:val="nil"/>
            </w:tcBorders>
            <w:vAlign w:val="center"/>
          </w:tcPr>
          <w:p w14:paraId="0CD38DD1" w14:textId="77777777" w:rsidR="009D12AF" w:rsidRDefault="00000000">
            <w:pPr>
              <w:ind w:firstLineChars="0" w:firstLine="0"/>
              <w:jc w:val="center"/>
              <w:rPr>
                <w:sz w:val="21"/>
                <w:szCs w:val="21"/>
              </w:rPr>
            </w:pPr>
            <w:r>
              <w:rPr>
                <w:rFonts w:hint="eastAsia"/>
                <w:sz w:val="21"/>
                <w:szCs w:val="21"/>
              </w:rPr>
              <w:t>群力水库上游</w:t>
            </w:r>
            <w:r>
              <w:rPr>
                <w:rFonts w:hint="eastAsia"/>
                <w:sz w:val="21"/>
                <w:szCs w:val="21"/>
              </w:rPr>
              <w:t>500m 1#</w:t>
            </w:r>
            <w:r>
              <w:rPr>
                <w:rFonts w:hint="eastAsia"/>
                <w:sz w:val="21"/>
                <w:szCs w:val="21"/>
              </w:rPr>
              <w:t>（垂直采样</w:t>
            </w:r>
            <w:r>
              <w:rPr>
                <w:rFonts w:hint="eastAsia"/>
                <w:sz w:val="21"/>
                <w:szCs w:val="21"/>
              </w:rPr>
              <w:t>2</w:t>
            </w:r>
            <w:r>
              <w:rPr>
                <w:rFonts w:hint="eastAsia"/>
                <w:sz w:val="21"/>
                <w:szCs w:val="21"/>
              </w:rPr>
              <w:t>点，水面下</w:t>
            </w:r>
            <w:r>
              <w:rPr>
                <w:rFonts w:hint="eastAsia"/>
                <w:sz w:val="21"/>
                <w:szCs w:val="21"/>
              </w:rPr>
              <w:t>0.5m</w:t>
            </w:r>
            <w:r>
              <w:rPr>
                <w:rFonts w:hint="eastAsia"/>
                <w:sz w:val="21"/>
                <w:szCs w:val="21"/>
              </w:rPr>
              <w:t>，水底上</w:t>
            </w:r>
            <w:r>
              <w:rPr>
                <w:rFonts w:hint="eastAsia"/>
                <w:sz w:val="21"/>
                <w:szCs w:val="21"/>
              </w:rPr>
              <w:t>0.5m</w:t>
            </w:r>
            <w:r>
              <w:rPr>
                <w:rFonts w:hint="eastAsia"/>
                <w:sz w:val="21"/>
                <w:szCs w:val="21"/>
              </w:rPr>
              <w:t>）</w:t>
            </w:r>
          </w:p>
        </w:tc>
        <w:tc>
          <w:tcPr>
            <w:tcW w:w="1183" w:type="dxa"/>
            <w:vMerge/>
            <w:tcBorders>
              <w:tl2br w:val="nil"/>
              <w:tr2bl w:val="nil"/>
            </w:tcBorders>
            <w:vAlign w:val="center"/>
          </w:tcPr>
          <w:p w14:paraId="2AF43F61" w14:textId="77777777" w:rsidR="009D12AF" w:rsidRDefault="009D12AF">
            <w:pPr>
              <w:ind w:firstLineChars="0" w:firstLine="0"/>
              <w:jc w:val="center"/>
              <w:rPr>
                <w:sz w:val="21"/>
                <w:szCs w:val="21"/>
              </w:rPr>
            </w:pPr>
          </w:p>
        </w:tc>
        <w:tc>
          <w:tcPr>
            <w:tcW w:w="2131" w:type="dxa"/>
            <w:tcBorders>
              <w:tl2br w:val="nil"/>
              <w:tr2bl w:val="nil"/>
            </w:tcBorders>
            <w:vAlign w:val="center"/>
          </w:tcPr>
          <w:p w14:paraId="77302568" w14:textId="77777777" w:rsidR="009D12AF" w:rsidRDefault="00000000">
            <w:pPr>
              <w:adjustRightInd w:val="0"/>
              <w:snapToGrid w:val="0"/>
              <w:spacing w:line="240" w:lineRule="auto"/>
              <w:ind w:firstLineChars="0" w:firstLine="0"/>
              <w:jc w:val="center"/>
              <w:rPr>
                <w:sz w:val="21"/>
                <w:szCs w:val="21"/>
              </w:rPr>
            </w:pPr>
            <w:r>
              <w:rPr>
                <w:sz w:val="21"/>
                <w:szCs w:val="21"/>
              </w:rPr>
              <w:t>锌</w:t>
            </w:r>
            <w:r>
              <w:rPr>
                <w:sz w:val="21"/>
                <w:szCs w:val="21"/>
              </w:rPr>
              <w:t>≤</w:t>
            </w:r>
          </w:p>
        </w:tc>
        <w:tc>
          <w:tcPr>
            <w:tcW w:w="2131" w:type="dxa"/>
            <w:vMerge/>
            <w:tcBorders>
              <w:tl2br w:val="nil"/>
              <w:tr2bl w:val="nil"/>
            </w:tcBorders>
            <w:vAlign w:val="center"/>
          </w:tcPr>
          <w:p w14:paraId="0D17F754" w14:textId="77777777" w:rsidR="009D12AF" w:rsidRDefault="009D12AF">
            <w:pPr>
              <w:ind w:firstLineChars="0" w:firstLine="0"/>
              <w:jc w:val="center"/>
              <w:rPr>
                <w:sz w:val="21"/>
                <w:szCs w:val="21"/>
              </w:rPr>
            </w:pPr>
          </w:p>
        </w:tc>
      </w:tr>
      <w:tr w:rsidR="009D12AF" w14:paraId="737F26AE" w14:textId="77777777">
        <w:tc>
          <w:tcPr>
            <w:tcW w:w="3077" w:type="dxa"/>
            <w:tcBorders>
              <w:tl2br w:val="nil"/>
              <w:tr2bl w:val="nil"/>
            </w:tcBorders>
            <w:vAlign w:val="center"/>
          </w:tcPr>
          <w:p w14:paraId="75676153" w14:textId="77777777" w:rsidR="009D12AF" w:rsidRDefault="00000000">
            <w:pPr>
              <w:ind w:firstLineChars="0" w:firstLine="0"/>
              <w:jc w:val="center"/>
              <w:rPr>
                <w:sz w:val="21"/>
                <w:szCs w:val="21"/>
              </w:rPr>
            </w:pPr>
            <w:r>
              <w:rPr>
                <w:rFonts w:hint="eastAsia"/>
                <w:sz w:val="21"/>
                <w:szCs w:val="21"/>
              </w:rPr>
              <w:t>群力水库</w:t>
            </w:r>
            <w:r>
              <w:rPr>
                <w:rFonts w:hint="eastAsia"/>
                <w:sz w:val="21"/>
                <w:szCs w:val="21"/>
              </w:rPr>
              <w:t>2#</w:t>
            </w:r>
            <w:r>
              <w:rPr>
                <w:rFonts w:hint="eastAsia"/>
                <w:sz w:val="21"/>
                <w:szCs w:val="21"/>
              </w:rPr>
              <w:t>（垂直采样</w:t>
            </w:r>
            <w:r>
              <w:rPr>
                <w:rFonts w:hint="eastAsia"/>
                <w:sz w:val="21"/>
                <w:szCs w:val="21"/>
              </w:rPr>
              <w:t>2</w:t>
            </w:r>
            <w:r>
              <w:rPr>
                <w:rFonts w:hint="eastAsia"/>
                <w:sz w:val="21"/>
                <w:szCs w:val="21"/>
              </w:rPr>
              <w:t>点，水面下</w:t>
            </w:r>
            <w:r>
              <w:rPr>
                <w:rFonts w:hint="eastAsia"/>
                <w:sz w:val="21"/>
                <w:szCs w:val="21"/>
              </w:rPr>
              <w:t>0.5m</w:t>
            </w:r>
            <w:r>
              <w:rPr>
                <w:rFonts w:hint="eastAsia"/>
                <w:sz w:val="21"/>
                <w:szCs w:val="21"/>
              </w:rPr>
              <w:t>，水底上</w:t>
            </w:r>
            <w:r>
              <w:rPr>
                <w:rFonts w:hint="eastAsia"/>
                <w:sz w:val="21"/>
                <w:szCs w:val="21"/>
              </w:rPr>
              <w:t>0.5m</w:t>
            </w:r>
            <w:r>
              <w:rPr>
                <w:rFonts w:hint="eastAsia"/>
                <w:sz w:val="21"/>
                <w:szCs w:val="21"/>
              </w:rPr>
              <w:t>）</w:t>
            </w:r>
          </w:p>
        </w:tc>
        <w:tc>
          <w:tcPr>
            <w:tcW w:w="1183" w:type="dxa"/>
            <w:vMerge/>
            <w:tcBorders>
              <w:tl2br w:val="nil"/>
              <w:tr2bl w:val="nil"/>
            </w:tcBorders>
            <w:vAlign w:val="center"/>
          </w:tcPr>
          <w:p w14:paraId="1A0D9814" w14:textId="77777777" w:rsidR="009D12AF" w:rsidRDefault="009D12AF">
            <w:pPr>
              <w:ind w:firstLineChars="0" w:firstLine="0"/>
              <w:jc w:val="center"/>
              <w:rPr>
                <w:sz w:val="21"/>
                <w:szCs w:val="21"/>
              </w:rPr>
            </w:pPr>
          </w:p>
        </w:tc>
        <w:tc>
          <w:tcPr>
            <w:tcW w:w="2131" w:type="dxa"/>
            <w:tcBorders>
              <w:tl2br w:val="nil"/>
              <w:tr2bl w:val="nil"/>
            </w:tcBorders>
            <w:vAlign w:val="center"/>
          </w:tcPr>
          <w:p w14:paraId="168FF289" w14:textId="77777777" w:rsidR="009D12AF" w:rsidRDefault="00000000">
            <w:pPr>
              <w:adjustRightInd w:val="0"/>
              <w:snapToGrid w:val="0"/>
              <w:spacing w:line="240" w:lineRule="auto"/>
              <w:ind w:firstLineChars="0" w:firstLine="0"/>
              <w:jc w:val="center"/>
              <w:rPr>
                <w:sz w:val="21"/>
                <w:szCs w:val="21"/>
              </w:rPr>
            </w:pPr>
            <w:r>
              <w:rPr>
                <w:sz w:val="21"/>
                <w:szCs w:val="21"/>
                <w:lang w:bidi="ar"/>
              </w:rPr>
              <w:t>氟化物</w:t>
            </w:r>
            <w:r>
              <w:rPr>
                <w:sz w:val="21"/>
                <w:szCs w:val="21"/>
              </w:rPr>
              <w:t>≤</w:t>
            </w:r>
          </w:p>
        </w:tc>
        <w:tc>
          <w:tcPr>
            <w:tcW w:w="2131" w:type="dxa"/>
            <w:vMerge/>
            <w:tcBorders>
              <w:tl2br w:val="nil"/>
              <w:tr2bl w:val="nil"/>
            </w:tcBorders>
            <w:vAlign w:val="center"/>
          </w:tcPr>
          <w:p w14:paraId="2B583F3F" w14:textId="77777777" w:rsidR="009D12AF" w:rsidRDefault="009D12AF">
            <w:pPr>
              <w:ind w:firstLineChars="0" w:firstLine="0"/>
              <w:jc w:val="center"/>
              <w:rPr>
                <w:sz w:val="21"/>
                <w:szCs w:val="21"/>
              </w:rPr>
            </w:pPr>
          </w:p>
        </w:tc>
      </w:tr>
      <w:tr w:rsidR="009D12AF" w14:paraId="56D3BAE2" w14:textId="77777777">
        <w:tc>
          <w:tcPr>
            <w:tcW w:w="3077" w:type="dxa"/>
            <w:tcBorders>
              <w:tl2br w:val="nil"/>
              <w:tr2bl w:val="nil"/>
            </w:tcBorders>
            <w:vAlign w:val="center"/>
          </w:tcPr>
          <w:p w14:paraId="6FFBD665" w14:textId="77777777" w:rsidR="009D12AF" w:rsidRDefault="00000000">
            <w:pPr>
              <w:ind w:firstLineChars="0" w:firstLine="0"/>
              <w:jc w:val="center"/>
              <w:rPr>
                <w:sz w:val="21"/>
                <w:szCs w:val="21"/>
              </w:rPr>
            </w:pPr>
            <w:r>
              <w:rPr>
                <w:rFonts w:hint="eastAsia"/>
                <w:sz w:val="21"/>
                <w:szCs w:val="21"/>
              </w:rPr>
              <w:t>群力水库下游</w:t>
            </w:r>
            <w:r>
              <w:rPr>
                <w:rFonts w:hint="eastAsia"/>
                <w:sz w:val="21"/>
                <w:szCs w:val="21"/>
              </w:rPr>
              <w:t>500m 3#</w:t>
            </w:r>
            <w:r>
              <w:rPr>
                <w:rFonts w:hint="eastAsia"/>
                <w:sz w:val="21"/>
                <w:szCs w:val="21"/>
              </w:rPr>
              <w:t>（垂直采样</w:t>
            </w:r>
            <w:r>
              <w:rPr>
                <w:rFonts w:hint="eastAsia"/>
                <w:sz w:val="21"/>
                <w:szCs w:val="21"/>
              </w:rPr>
              <w:t>2</w:t>
            </w:r>
            <w:r>
              <w:rPr>
                <w:rFonts w:hint="eastAsia"/>
                <w:sz w:val="21"/>
                <w:szCs w:val="21"/>
              </w:rPr>
              <w:t>点，水面下</w:t>
            </w:r>
            <w:r>
              <w:rPr>
                <w:rFonts w:hint="eastAsia"/>
                <w:sz w:val="21"/>
                <w:szCs w:val="21"/>
              </w:rPr>
              <w:t>0.5m</w:t>
            </w:r>
            <w:r>
              <w:rPr>
                <w:rFonts w:hint="eastAsia"/>
                <w:sz w:val="21"/>
                <w:szCs w:val="21"/>
              </w:rPr>
              <w:t>，水底上</w:t>
            </w:r>
            <w:r>
              <w:rPr>
                <w:rFonts w:hint="eastAsia"/>
                <w:sz w:val="21"/>
                <w:szCs w:val="21"/>
              </w:rPr>
              <w:t>0.5m</w:t>
            </w:r>
            <w:r>
              <w:rPr>
                <w:rFonts w:hint="eastAsia"/>
                <w:sz w:val="21"/>
                <w:szCs w:val="21"/>
              </w:rPr>
              <w:t>）</w:t>
            </w:r>
          </w:p>
        </w:tc>
        <w:tc>
          <w:tcPr>
            <w:tcW w:w="1183" w:type="dxa"/>
            <w:vMerge/>
            <w:tcBorders>
              <w:tl2br w:val="nil"/>
              <w:tr2bl w:val="nil"/>
            </w:tcBorders>
            <w:vAlign w:val="center"/>
          </w:tcPr>
          <w:p w14:paraId="2B5CE431" w14:textId="77777777" w:rsidR="009D12AF" w:rsidRDefault="009D12AF">
            <w:pPr>
              <w:ind w:firstLineChars="0" w:firstLine="0"/>
              <w:jc w:val="center"/>
              <w:rPr>
                <w:sz w:val="21"/>
                <w:szCs w:val="21"/>
              </w:rPr>
            </w:pPr>
          </w:p>
        </w:tc>
        <w:tc>
          <w:tcPr>
            <w:tcW w:w="2131" w:type="dxa"/>
            <w:tcBorders>
              <w:tl2br w:val="nil"/>
              <w:tr2bl w:val="nil"/>
            </w:tcBorders>
            <w:vAlign w:val="center"/>
          </w:tcPr>
          <w:p w14:paraId="25AAFD40" w14:textId="77777777" w:rsidR="009D12AF" w:rsidRDefault="00000000">
            <w:pPr>
              <w:adjustRightInd w:val="0"/>
              <w:snapToGrid w:val="0"/>
              <w:spacing w:line="240" w:lineRule="auto"/>
              <w:ind w:firstLineChars="0" w:firstLine="0"/>
              <w:jc w:val="center"/>
              <w:rPr>
                <w:sz w:val="21"/>
                <w:szCs w:val="21"/>
              </w:rPr>
            </w:pPr>
            <w:r>
              <w:rPr>
                <w:sz w:val="21"/>
                <w:szCs w:val="21"/>
                <w:lang w:bidi="ar"/>
              </w:rPr>
              <w:t>硒</w:t>
            </w:r>
            <w:r>
              <w:rPr>
                <w:sz w:val="21"/>
                <w:szCs w:val="21"/>
              </w:rPr>
              <w:t>≤</w:t>
            </w:r>
          </w:p>
        </w:tc>
        <w:tc>
          <w:tcPr>
            <w:tcW w:w="2131" w:type="dxa"/>
            <w:vMerge/>
            <w:tcBorders>
              <w:tl2br w:val="nil"/>
              <w:tr2bl w:val="nil"/>
            </w:tcBorders>
            <w:vAlign w:val="center"/>
          </w:tcPr>
          <w:p w14:paraId="2BC244BC" w14:textId="77777777" w:rsidR="009D12AF" w:rsidRDefault="009D12AF">
            <w:pPr>
              <w:ind w:firstLineChars="0" w:firstLine="0"/>
              <w:jc w:val="center"/>
              <w:rPr>
                <w:sz w:val="21"/>
                <w:szCs w:val="21"/>
              </w:rPr>
            </w:pPr>
          </w:p>
        </w:tc>
      </w:tr>
      <w:tr w:rsidR="009D12AF" w14:paraId="76D99878" w14:textId="77777777">
        <w:tc>
          <w:tcPr>
            <w:tcW w:w="3077" w:type="dxa"/>
            <w:tcBorders>
              <w:tl2br w:val="nil"/>
              <w:tr2bl w:val="nil"/>
            </w:tcBorders>
            <w:vAlign w:val="center"/>
          </w:tcPr>
          <w:p w14:paraId="13B56119" w14:textId="77777777" w:rsidR="009D12AF" w:rsidRDefault="00000000">
            <w:pPr>
              <w:ind w:firstLineChars="0" w:firstLine="0"/>
              <w:jc w:val="center"/>
              <w:rPr>
                <w:sz w:val="21"/>
                <w:szCs w:val="21"/>
              </w:rPr>
            </w:pPr>
            <w:r>
              <w:rPr>
                <w:rFonts w:hint="eastAsia"/>
                <w:sz w:val="21"/>
                <w:szCs w:val="21"/>
              </w:rPr>
              <w:t>新安晒水池上游</w:t>
            </w:r>
            <w:r>
              <w:rPr>
                <w:rFonts w:hint="eastAsia"/>
                <w:sz w:val="21"/>
                <w:szCs w:val="21"/>
              </w:rPr>
              <w:t>500m 1#</w:t>
            </w:r>
            <w:r>
              <w:rPr>
                <w:rFonts w:hint="eastAsia"/>
                <w:sz w:val="21"/>
                <w:szCs w:val="21"/>
              </w:rPr>
              <w:t>（水面下</w:t>
            </w:r>
            <w:r>
              <w:rPr>
                <w:rFonts w:hint="eastAsia"/>
                <w:sz w:val="21"/>
                <w:szCs w:val="21"/>
              </w:rPr>
              <w:t>0.5m</w:t>
            </w:r>
            <w:r>
              <w:rPr>
                <w:rFonts w:hint="eastAsia"/>
                <w:sz w:val="21"/>
                <w:szCs w:val="21"/>
              </w:rPr>
              <w:t>）</w:t>
            </w:r>
          </w:p>
        </w:tc>
        <w:tc>
          <w:tcPr>
            <w:tcW w:w="1183" w:type="dxa"/>
            <w:vMerge/>
            <w:tcBorders>
              <w:tl2br w:val="nil"/>
              <w:tr2bl w:val="nil"/>
            </w:tcBorders>
            <w:vAlign w:val="center"/>
          </w:tcPr>
          <w:p w14:paraId="305AAC43" w14:textId="77777777" w:rsidR="009D12AF" w:rsidRDefault="009D12AF">
            <w:pPr>
              <w:ind w:firstLineChars="0" w:firstLine="0"/>
              <w:jc w:val="center"/>
              <w:rPr>
                <w:sz w:val="21"/>
                <w:szCs w:val="21"/>
              </w:rPr>
            </w:pPr>
          </w:p>
        </w:tc>
        <w:tc>
          <w:tcPr>
            <w:tcW w:w="2131" w:type="dxa"/>
            <w:tcBorders>
              <w:tl2br w:val="nil"/>
              <w:tr2bl w:val="nil"/>
            </w:tcBorders>
            <w:vAlign w:val="center"/>
          </w:tcPr>
          <w:p w14:paraId="218F5850" w14:textId="77777777" w:rsidR="009D12AF" w:rsidRDefault="00000000">
            <w:pPr>
              <w:adjustRightInd w:val="0"/>
              <w:snapToGrid w:val="0"/>
              <w:spacing w:line="240" w:lineRule="auto"/>
              <w:ind w:firstLineChars="0" w:firstLine="0"/>
              <w:jc w:val="center"/>
              <w:rPr>
                <w:sz w:val="21"/>
                <w:szCs w:val="21"/>
              </w:rPr>
            </w:pPr>
            <w:r>
              <w:rPr>
                <w:sz w:val="21"/>
                <w:szCs w:val="21"/>
                <w:lang w:bidi="ar"/>
              </w:rPr>
              <w:t>砷</w:t>
            </w:r>
            <w:r>
              <w:rPr>
                <w:sz w:val="21"/>
                <w:szCs w:val="21"/>
              </w:rPr>
              <w:t>≤</w:t>
            </w:r>
          </w:p>
        </w:tc>
        <w:tc>
          <w:tcPr>
            <w:tcW w:w="2131" w:type="dxa"/>
            <w:vMerge/>
            <w:tcBorders>
              <w:tl2br w:val="nil"/>
              <w:tr2bl w:val="nil"/>
            </w:tcBorders>
            <w:vAlign w:val="center"/>
          </w:tcPr>
          <w:p w14:paraId="133BC3F7" w14:textId="77777777" w:rsidR="009D12AF" w:rsidRDefault="009D12AF">
            <w:pPr>
              <w:ind w:firstLineChars="0" w:firstLine="0"/>
              <w:jc w:val="center"/>
              <w:rPr>
                <w:sz w:val="21"/>
                <w:szCs w:val="21"/>
              </w:rPr>
            </w:pPr>
          </w:p>
        </w:tc>
      </w:tr>
      <w:tr w:rsidR="009D12AF" w14:paraId="08456634" w14:textId="77777777">
        <w:tc>
          <w:tcPr>
            <w:tcW w:w="3077" w:type="dxa"/>
            <w:tcBorders>
              <w:tl2br w:val="nil"/>
              <w:tr2bl w:val="nil"/>
            </w:tcBorders>
            <w:vAlign w:val="center"/>
          </w:tcPr>
          <w:p w14:paraId="14BB2736" w14:textId="77777777" w:rsidR="009D12AF" w:rsidRDefault="00000000">
            <w:pPr>
              <w:ind w:firstLineChars="0" w:firstLine="0"/>
              <w:jc w:val="center"/>
              <w:rPr>
                <w:sz w:val="21"/>
                <w:szCs w:val="21"/>
              </w:rPr>
            </w:pPr>
            <w:r>
              <w:rPr>
                <w:rFonts w:hint="eastAsia"/>
                <w:sz w:val="21"/>
                <w:szCs w:val="21"/>
              </w:rPr>
              <w:t>新安晒水池</w:t>
            </w:r>
            <w:r>
              <w:rPr>
                <w:rFonts w:hint="eastAsia"/>
                <w:sz w:val="21"/>
                <w:szCs w:val="21"/>
              </w:rPr>
              <w:t>2#</w:t>
            </w:r>
            <w:r>
              <w:rPr>
                <w:rFonts w:hint="eastAsia"/>
                <w:sz w:val="21"/>
                <w:szCs w:val="21"/>
              </w:rPr>
              <w:t>（水面下</w:t>
            </w:r>
            <w:r>
              <w:rPr>
                <w:rFonts w:hint="eastAsia"/>
                <w:sz w:val="21"/>
                <w:szCs w:val="21"/>
              </w:rPr>
              <w:t>0.5m</w:t>
            </w:r>
            <w:r>
              <w:rPr>
                <w:rFonts w:hint="eastAsia"/>
                <w:sz w:val="21"/>
                <w:szCs w:val="21"/>
              </w:rPr>
              <w:t>）</w:t>
            </w:r>
          </w:p>
        </w:tc>
        <w:tc>
          <w:tcPr>
            <w:tcW w:w="1183" w:type="dxa"/>
            <w:vMerge/>
            <w:tcBorders>
              <w:tl2br w:val="nil"/>
              <w:tr2bl w:val="nil"/>
            </w:tcBorders>
            <w:vAlign w:val="center"/>
          </w:tcPr>
          <w:p w14:paraId="6ADC0095" w14:textId="77777777" w:rsidR="009D12AF" w:rsidRDefault="009D12AF">
            <w:pPr>
              <w:ind w:firstLineChars="0" w:firstLine="0"/>
              <w:jc w:val="center"/>
              <w:rPr>
                <w:sz w:val="21"/>
                <w:szCs w:val="21"/>
              </w:rPr>
            </w:pPr>
          </w:p>
        </w:tc>
        <w:tc>
          <w:tcPr>
            <w:tcW w:w="2131" w:type="dxa"/>
            <w:tcBorders>
              <w:tl2br w:val="nil"/>
              <w:tr2bl w:val="nil"/>
            </w:tcBorders>
            <w:vAlign w:val="center"/>
          </w:tcPr>
          <w:p w14:paraId="150F364A" w14:textId="77777777" w:rsidR="009D12AF" w:rsidRDefault="00000000">
            <w:pPr>
              <w:adjustRightInd w:val="0"/>
              <w:snapToGrid w:val="0"/>
              <w:spacing w:line="240" w:lineRule="auto"/>
              <w:ind w:firstLineChars="0" w:firstLine="0"/>
              <w:jc w:val="center"/>
              <w:rPr>
                <w:sz w:val="21"/>
                <w:szCs w:val="21"/>
              </w:rPr>
            </w:pPr>
            <w:r>
              <w:rPr>
                <w:sz w:val="21"/>
                <w:szCs w:val="21"/>
                <w:lang w:bidi="ar"/>
              </w:rPr>
              <w:t>汞</w:t>
            </w:r>
            <w:r>
              <w:rPr>
                <w:sz w:val="21"/>
                <w:szCs w:val="21"/>
              </w:rPr>
              <w:t>≤</w:t>
            </w:r>
          </w:p>
        </w:tc>
        <w:tc>
          <w:tcPr>
            <w:tcW w:w="2131" w:type="dxa"/>
            <w:vMerge/>
            <w:tcBorders>
              <w:tl2br w:val="nil"/>
              <w:tr2bl w:val="nil"/>
            </w:tcBorders>
            <w:vAlign w:val="center"/>
          </w:tcPr>
          <w:p w14:paraId="03A26690" w14:textId="77777777" w:rsidR="009D12AF" w:rsidRDefault="009D12AF">
            <w:pPr>
              <w:ind w:firstLineChars="0" w:firstLine="0"/>
              <w:jc w:val="center"/>
              <w:rPr>
                <w:sz w:val="21"/>
                <w:szCs w:val="21"/>
              </w:rPr>
            </w:pPr>
          </w:p>
        </w:tc>
      </w:tr>
      <w:tr w:rsidR="009D12AF" w14:paraId="7953F585" w14:textId="77777777">
        <w:tc>
          <w:tcPr>
            <w:tcW w:w="3077" w:type="dxa"/>
            <w:vMerge w:val="restart"/>
            <w:tcBorders>
              <w:tl2br w:val="nil"/>
              <w:tr2bl w:val="nil"/>
            </w:tcBorders>
            <w:vAlign w:val="center"/>
          </w:tcPr>
          <w:p w14:paraId="696E7BBB" w14:textId="77777777" w:rsidR="009D12AF" w:rsidRDefault="00000000">
            <w:pPr>
              <w:ind w:firstLineChars="0" w:firstLine="0"/>
              <w:jc w:val="center"/>
              <w:rPr>
                <w:sz w:val="21"/>
                <w:szCs w:val="21"/>
              </w:rPr>
            </w:pPr>
            <w:r>
              <w:rPr>
                <w:rFonts w:hint="eastAsia"/>
                <w:sz w:val="21"/>
                <w:szCs w:val="21"/>
              </w:rPr>
              <w:t>新安晒水池下游</w:t>
            </w:r>
            <w:r>
              <w:rPr>
                <w:rFonts w:hint="eastAsia"/>
                <w:sz w:val="21"/>
                <w:szCs w:val="21"/>
              </w:rPr>
              <w:t>500m 3#</w:t>
            </w:r>
            <w:r>
              <w:rPr>
                <w:rFonts w:hint="eastAsia"/>
                <w:sz w:val="21"/>
                <w:szCs w:val="21"/>
              </w:rPr>
              <w:t>（水面下</w:t>
            </w:r>
            <w:r>
              <w:rPr>
                <w:rFonts w:hint="eastAsia"/>
                <w:sz w:val="21"/>
                <w:szCs w:val="21"/>
              </w:rPr>
              <w:t>0.5m</w:t>
            </w:r>
            <w:r>
              <w:rPr>
                <w:rFonts w:hint="eastAsia"/>
                <w:sz w:val="21"/>
                <w:szCs w:val="21"/>
              </w:rPr>
              <w:t>）</w:t>
            </w:r>
          </w:p>
        </w:tc>
        <w:tc>
          <w:tcPr>
            <w:tcW w:w="1183" w:type="dxa"/>
            <w:vMerge/>
            <w:tcBorders>
              <w:tl2br w:val="nil"/>
              <w:tr2bl w:val="nil"/>
            </w:tcBorders>
            <w:vAlign w:val="center"/>
          </w:tcPr>
          <w:p w14:paraId="4E8DA088" w14:textId="77777777" w:rsidR="009D12AF" w:rsidRDefault="009D12AF">
            <w:pPr>
              <w:ind w:firstLineChars="0" w:firstLine="0"/>
              <w:jc w:val="center"/>
              <w:rPr>
                <w:sz w:val="21"/>
                <w:szCs w:val="21"/>
              </w:rPr>
            </w:pPr>
          </w:p>
        </w:tc>
        <w:tc>
          <w:tcPr>
            <w:tcW w:w="2131" w:type="dxa"/>
            <w:tcBorders>
              <w:tl2br w:val="nil"/>
              <w:tr2bl w:val="nil"/>
            </w:tcBorders>
            <w:vAlign w:val="center"/>
          </w:tcPr>
          <w:p w14:paraId="2A5454F4" w14:textId="77777777" w:rsidR="009D12AF" w:rsidRDefault="00000000">
            <w:pPr>
              <w:adjustRightInd w:val="0"/>
              <w:snapToGrid w:val="0"/>
              <w:spacing w:line="240" w:lineRule="auto"/>
              <w:ind w:firstLineChars="0" w:firstLine="0"/>
              <w:jc w:val="center"/>
              <w:rPr>
                <w:sz w:val="21"/>
                <w:szCs w:val="21"/>
              </w:rPr>
            </w:pPr>
            <w:r>
              <w:rPr>
                <w:sz w:val="21"/>
                <w:szCs w:val="21"/>
                <w:lang w:bidi="ar"/>
              </w:rPr>
              <w:t>镉</w:t>
            </w:r>
            <w:r>
              <w:rPr>
                <w:sz w:val="21"/>
                <w:szCs w:val="21"/>
              </w:rPr>
              <w:t>≤</w:t>
            </w:r>
          </w:p>
        </w:tc>
        <w:tc>
          <w:tcPr>
            <w:tcW w:w="2131" w:type="dxa"/>
            <w:vMerge/>
            <w:tcBorders>
              <w:tl2br w:val="nil"/>
              <w:tr2bl w:val="nil"/>
            </w:tcBorders>
            <w:vAlign w:val="center"/>
          </w:tcPr>
          <w:p w14:paraId="004BDC6D" w14:textId="77777777" w:rsidR="009D12AF" w:rsidRDefault="009D12AF">
            <w:pPr>
              <w:ind w:firstLineChars="0" w:firstLine="0"/>
              <w:jc w:val="center"/>
              <w:rPr>
                <w:sz w:val="21"/>
                <w:szCs w:val="21"/>
              </w:rPr>
            </w:pPr>
          </w:p>
        </w:tc>
      </w:tr>
      <w:tr w:rsidR="009D12AF" w14:paraId="699B83F6" w14:textId="77777777">
        <w:tc>
          <w:tcPr>
            <w:tcW w:w="3077" w:type="dxa"/>
            <w:vMerge/>
            <w:tcBorders>
              <w:tl2br w:val="nil"/>
              <w:tr2bl w:val="nil"/>
            </w:tcBorders>
            <w:vAlign w:val="center"/>
          </w:tcPr>
          <w:p w14:paraId="24FEEACD" w14:textId="77777777" w:rsidR="009D12AF" w:rsidRDefault="009D12AF">
            <w:pPr>
              <w:ind w:firstLineChars="0" w:firstLine="0"/>
              <w:jc w:val="center"/>
              <w:rPr>
                <w:sz w:val="21"/>
                <w:szCs w:val="21"/>
              </w:rPr>
            </w:pPr>
          </w:p>
        </w:tc>
        <w:tc>
          <w:tcPr>
            <w:tcW w:w="1183" w:type="dxa"/>
            <w:vMerge/>
            <w:tcBorders>
              <w:tl2br w:val="nil"/>
              <w:tr2bl w:val="nil"/>
            </w:tcBorders>
            <w:vAlign w:val="center"/>
          </w:tcPr>
          <w:p w14:paraId="62828985" w14:textId="77777777" w:rsidR="009D12AF" w:rsidRDefault="009D12AF">
            <w:pPr>
              <w:ind w:firstLineChars="0" w:firstLine="0"/>
              <w:jc w:val="center"/>
              <w:rPr>
                <w:sz w:val="21"/>
                <w:szCs w:val="21"/>
              </w:rPr>
            </w:pPr>
          </w:p>
        </w:tc>
        <w:tc>
          <w:tcPr>
            <w:tcW w:w="2131" w:type="dxa"/>
            <w:tcBorders>
              <w:tl2br w:val="nil"/>
              <w:tr2bl w:val="nil"/>
            </w:tcBorders>
            <w:vAlign w:val="center"/>
          </w:tcPr>
          <w:p w14:paraId="44E2A55B" w14:textId="77777777" w:rsidR="009D12AF" w:rsidRDefault="00000000">
            <w:pPr>
              <w:adjustRightInd w:val="0"/>
              <w:snapToGrid w:val="0"/>
              <w:spacing w:line="240" w:lineRule="auto"/>
              <w:ind w:firstLineChars="0" w:firstLine="0"/>
              <w:jc w:val="center"/>
              <w:rPr>
                <w:sz w:val="21"/>
                <w:szCs w:val="21"/>
              </w:rPr>
            </w:pPr>
            <w:r>
              <w:rPr>
                <w:sz w:val="21"/>
                <w:szCs w:val="21"/>
                <w:lang w:bidi="ar"/>
              </w:rPr>
              <w:t>铬（六价）</w:t>
            </w:r>
            <w:r>
              <w:rPr>
                <w:sz w:val="21"/>
                <w:szCs w:val="21"/>
              </w:rPr>
              <w:t>≤</w:t>
            </w:r>
          </w:p>
        </w:tc>
        <w:tc>
          <w:tcPr>
            <w:tcW w:w="2131" w:type="dxa"/>
            <w:vMerge/>
            <w:tcBorders>
              <w:tl2br w:val="nil"/>
              <w:tr2bl w:val="nil"/>
            </w:tcBorders>
            <w:vAlign w:val="center"/>
          </w:tcPr>
          <w:p w14:paraId="45EE7F6E" w14:textId="77777777" w:rsidR="009D12AF" w:rsidRDefault="009D12AF">
            <w:pPr>
              <w:ind w:firstLineChars="0" w:firstLine="0"/>
              <w:jc w:val="center"/>
              <w:rPr>
                <w:sz w:val="21"/>
                <w:szCs w:val="21"/>
              </w:rPr>
            </w:pPr>
          </w:p>
        </w:tc>
      </w:tr>
      <w:tr w:rsidR="009D12AF" w14:paraId="1ADC47DA" w14:textId="77777777">
        <w:tc>
          <w:tcPr>
            <w:tcW w:w="3077" w:type="dxa"/>
            <w:vMerge/>
            <w:tcBorders>
              <w:tl2br w:val="nil"/>
              <w:tr2bl w:val="nil"/>
            </w:tcBorders>
            <w:vAlign w:val="center"/>
          </w:tcPr>
          <w:p w14:paraId="0E226EE1" w14:textId="77777777" w:rsidR="009D12AF" w:rsidRDefault="009D12AF">
            <w:pPr>
              <w:ind w:firstLineChars="0" w:firstLine="0"/>
              <w:jc w:val="center"/>
              <w:rPr>
                <w:sz w:val="21"/>
                <w:szCs w:val="21"/>
              </w:rPr>
            </w:pPr>
          </w:p>
        </w:tc>
        <w:tc>
          <w:tcPr>
            <w:tcW w:w="1183" w:type="dxa"/>
            <w:vMerge/>
            <w:tcBorders>
              <w:tl2br w:val="nil"/>
              <w:tr2bl w:val="nil"/>
            </w:tcBorders>
            <w:vAlign w:val="center"/>
          </w:tcPr>
          <w:p w14:paraId="5A04608A" w14:textId="77777777" w:rsidR="009D12AF" w:rsidRDefault="009D12AF">
            <w:pPr>
              <w:ind w:firstLineChars="0" w:firstLine="0"/>
              <w:jc w:val="center"/>
              <w:rPr>
                <w:sz w:val="21"/>
                <w:szCs w:val="21"/>
              </w:rPr>
            </w:pPr>
          </w:p>
        </w:tc>
        <w:tc>
          <w:tcPr>
            <w:tcW w:w="2131" w:type="dxa"/>
            <w:tcBorders>
              <w:tl2br w:val="nil"/>
              <w:tr2bl w:val="nil"/>
            </w:tcBorders>
            <w:vAlign w:val="center"/>
          </w:tcPr>
          <w:p w14:paraId="74F86DD0" w14:textId="77777777" w:rsidR="009D12AF" w:rsidRDefault="00000000">
            <w:pPr>
              <w:adjustRightInd w:val="0"/>
              <w:snapToGrid w:val="0"/>
              <w:spacing w:line="240" w:lineRule="auto"/>
              <w:ind w:firstLineChars="0" w:firstLine="0"/>
              <w:jc w:val="center"/>
              <w:rPr>
                <w:sz w:val="21"/>
                <w:szCs w:val="21"/>
              </w:rPr>
            </w:pPr>
            <w:r>
              <w:rPr>
                <w:sz w:val="21"/>
                <w:szCs w:val="21"/>
                <w:lang w:bidi="ar"/>
              </w:rPr>
              <w:t>铅</w:t>
            </w:r>
            <w:r>
              <w:rPr>
                <w:sz w:val="21"/>
                <w:szCs w:val="21"/>
              </w:rPr>
              <w:t>≤</w:t>
            </w:r>
          </w:p>
        </w:tc>
        <w:tc>
          <w:tcPr>
            <w:tcW w:w="2131" w:type="dxa"/>
            <w:vMerge/>
            <w:tcBorders>
              <w:tl2br w:val="nil"/>
              <w:tr2bl w:val="nil"/>
            </w:tcBorders>
            <w:vAlign w:val="center"/>
          </w:tcPr>
          <w:p w14:paraId="7999C30A" w14:textId="77777777" w:rsidR="009D12AF" w:rsidRDefault="009D12AF">
            <w:pPr>
              <w:ind w:firstLineChars="0" w:firstLine="0"/>
              <w:jc w:val="center"/>
              <w:rPr>
                <w:sz w:val="21"/>
                <w:szCs w:val="21"/>
              </w:rPr>
            </w:pPr>
          </w:p>
        </w:tc>
      </w:tr>
      <w:tr w:rsidR="009D12AF" w14:paraId="5D4E1334" w14:textId="77777777">
        <w:tc>
          <w:tcPr>
            <w:tcW w:w="3077" w:type="dxa"/>
            <w:vMerge/>
            <w:tcBorders>
              <w:tl2br w:val="nil"/>
              <w:tr2bl w:val="nil"/>
            </w:tcBorders>
            <w:vAlign w:val="center"/>
          </w:tcPr>
          <w:p w14:paraId="0FBD3B5B" w14:textId="77777777" w:rsidR="009D12AF" w:rsidRDefault="009D12AF">
            <w:pPr>
              <w:ind w:firstLineChars="0" w:firstLine="0"/>
              <w:jc w:val="center"/>
              <w:rPr>
                <w:sz w:val="21"/>
                <w:szCs w:val="21"/>
              </w:rPr>
            </w:pPr>
          </w:p>
        </w:tc>
        <w:tc>
          <w:tcPr>
            <w:tcW w:w="1183" w:type="dxa"/>
            <w:vMerge/>
            <w:tcBorders>
              <w:tl2br w:val="nil"/>
              <w:tr2bl w:val="nil"/>
            </w:tcBorders>
            <w:vAlign w:val="center"/>
          </w:tcPr>
          <w:p w14:paraId="699ADEA2" w14:textId="77777777" w:rsidR="009D12AF" w:rsidRDefault="009D12AF">
            <w:pPr>
              <w:ind w:firstLineChars="0" w:firstLine="0"/>
              <w:jc w:val="center"/>
              <w:rPr>
                <w:sz w:val="21"/>
                <w:szCs w:val="21"/>
              </w:rPr>
            </w:pPr>
          </w:p>
        </w:tc>
        <w:tc>
          <w:tcPr>
            <w:tcW w:w="2131" w:type="dxa"/>
            <w:tcBorders>
              <w:tl2br w:val="nil"/>
              <w:tr2bl w:val="nil"/>
            </w:tcBorders>
            <w:vAlign w:val="center"/>
          </w:tcPr>
          <w:p w14:paraId="755BDF1D" w14:textId="77777777" w:rsidR="009D12AF" w:rsidRDefault="00000000">
            <w:pPr>
              <w:adjustRightInd w:val="0"/>
              <w:snapToGrid w:val="0"/>
              <w:spacing w:line="240" w:lineRule="auto"/>
              <w:ind w:firstLineChars="0" w:firstLine="0"/>
              <w:jc w:val="center"/>
              <w:rPr>
                <w:sz w:val="21"/>
                <w:szCs w:val="21"/>
              </w:rPr>
            </w:pPr>
            <w:r>
              <w:rPr>
                <w:sz w:val="21"/>
                <w:szCs w:val="21"/>
                <w:lang w:bidi="ar"/>
              </w:rPr>
              <w:t>氰化物</w:t>
            </w:r>
            <w:r>
              <w:rPr>
                <w:sz w:val="21"/>
                <w:szCs w:val="21"/>
              </w:rPr>
              <w:t>≤</w:t>
            </w:r>
          </w:p>
        </w:tc>
        <w:tc>
          <w:tcPr>
            <w:tcW w:w="2131" w:type="dxa"/>
            <w:vMerge/>
            <w:tcBorders>
              <w:tl2br w:val="nil"/>
              <w:tr2bl w:val="nil"/>
            </w:tcBorders>
            <w:vAlign w:val="center"/>
          </w:tcPr>
          <w:p w14:paraId="608B5BD0" w14:textId="77777777" w:rsidR="009D12AF" w:rsidRDefault="009D12AF">
            <w:pPr>
              <w:ind w:firstLineChars="0" w:firstLine="0"/>
              <w:jc w:val="center"/>
              <w:rPr>
                <w:sz w:val="21"/>
                <w:szCs w:val="21"/>
              </w:rPr>
            </w:pPr>
          </w:p>
        </w:tc>
      </w:tr>
      <w:tr w:rsidR="009D12AF" w14:paraId="143E4DDC" w14:textId="77777777">
        <w:tc>
          <w:tcPr>
            <w:tcW w:w="3077" w:type="dxa"/>
            <w:vMerge/>
            <w:tcBorders>
              <w:tl2br w:val="nil"/>
              <w:tr2bl w:val="nil"/>
            </w:tcBorders>
            <w:vAlign w:val="center"/>
          </w:tcPr>
          <w:p w14:paraId="17438729" w14:textId="77777777" w:rsidR="009D12AF" w:rsidRDefault="009D12AF">
            <w:pPr>
              <w:ind w:firstLineChars="0" w:firstLine="0"/>
              <w:jc w:val="center"/>
              <w:rPr>
                <w:sz w:val="21"/>
                <w:szCs w:val="21"/>
              </w:rPr>
            </w:pPr>
          </w:p>
        </w:tc>
        <w:tc>
          <w:tcPr>
            <w:tcW w:w="1183" w:type="dxa"/>
            <w:vMerge/>
            <w:tcBorders>
              <w:tl2br w:val="nil"/>
              <w:tr2bl w:val="nil"/>
            </w:tcBorders>
            <w:vAlign w:val="center"/>
          </w:tcPr>
          <w:p w14:paraId="14A4FE7F" w14:textId="77777777" w:rsidR="009D12AF" w:rsidRDefault="009D12AF">
            <w:pPr>
              <w:ind w:firstLineChars="0" w:firstLine="0"/>
              <w:jc w:val="center"/>
              <w:rPr>
                <w:sz w:val="21"/>
                <w:szCs w:val="21"/>
              </w:rPr>
            </w:pPr>
          </w:p>
        </w:tc>
        <w:tc>
          <w:tcPr>
            <w:tcW w:w="2131" w:type="dxa"/>
            <w:tcBorders>
              <w:tl2br w:val="nil"/>
              <w:tr2bl w:val="nil"/>
            </w:tcBorders>
            <w:vAlign w:val="center"/>
          </w:tcPr>
          <w:p w14:paraId="18C4165F" w14:textId="77777777" w:rsidR="009D12AF" w:rsidRDefault="00000000">
            <w:pPr>
              <w:adjustRightInd w:val="0"/>
              <w:snapToGrid w:val="0"/>
              <w:spacing w:line="240" w:lineRule="auto"/>
              <w:ind w:firstLineChars="0" w:firstLine="0"/>
              <w:jc w:val="center"/>
              <w:rPr>
                <w:sz w:val="21"/>
                <w:szCs w:val="21"/>
              </w:rPr>
            </w:pPr>
            <w:r>
              <w:rPr>
                <w:sz w:val="21"/>
                <w:szCs w:val="21"/>
                <w:lang w:bidi="ar"/>
              </w:rPr>
              <w:t>挥发酚</w:t>
            </w:r>
            <w:r>
              <w:rPr>
                <w:sz w:val="21"/>
                <w:szCs w:val="21"/>
              </w:rPr>
              <w:t>≤</w:t>
            </w:r>
          </w:p>
        </w:tc>
        <w:tc>
          <w:tcPr>
            <w:tcW w:w="2131" w:type="dxa"/>
            <w:vMerge/>
            <w:tcBorders>
              <w:tl2br w:val="nil"/>
              <w:tr2bl w:val="nil"/>
            </w:tcBorders>
            <w:vAlign w:val="center"/>
          </w:tcPr>
          <w:p w14:paraId="359AF1E2" w14:textId="77777777" w:rsidR="009D12AF" w:rsidRDefault="009D12AF">
            <w:pPr>
              <w:ind w:firstLineChars="0" w:firstLine="0"/>
              <w:jc w:val="center"/>
              <w:rPr>
                <w:sz w:val="21"/>
                <w:szCs w:val="21"/>
              </w:rPr>
            </w:pPr>
          </w:p>
        </w:tc>
      </w:tr>
      <w:tr w:rsidR="009D12AF" w14:paraId="09F9DDFD" w14:textId="77777777">
        <w:tc>
          <w:tcPr>
            <w:tcW w:w="3077" w:type="dxa"/>
            <w:vMerge/>
            <w:tcBorders>
              <w:tl2br w:val="nil"/>
              <w:tr2bl w:val="nil"/>
            </w:tcBorders>
            <w:vAlign w:val="center"/>
          </w:tcPr>
          <w:p w14:paraId="353DB3D5" w14:textId="77777777" w:rsidR="009D12AF" w:rsidRDefault="009D12AF">
            <w:pPr>
              <w:ind w:firstLineChars="0" w:firstLine="0"/>
              <w:jc w:val="center"/>
              <w:rPr>
                <w:sz w:val="21"/>
                <w:szCs w:val="21"/>
              </w:rPr>
            </w:pPr>
          </w:p>
        </w:tc>
        <w:tc>
          <w:tcPr>
            <w:tcW w:w="1183" w:type="dxa"/>
            <w:vMerge/>
            <w:tcBorders>
              <w:tl2br w:val="nil"/>
              <w:tr2bl w:val="nil"/>
            </w:tcBorders>
            <w:vAlign w:val="center"/>
          </w:tcPr>
          <w:p w14:paraId="1B28D417" w14:textId="77777777" w:rsidR="009D12AF" w:rsidRDefault="009D12AF">
            <w:pPr>
              <w:ind w:firstLineChars="0" w:firstLine="0"/>
              <w:jc w:val="center"/>
              <w:rPr>
                <w:sz w:val="21"/>
                <w:szCs w:val="21"/>
              </w:rPr>
            </w:pPr>
          </w:p>
        </w:tc>
        <w:tc>
          <w:tcPr>
            <w:tcW w:w="2131" w:type="dxa"/>
            <w:tcBorders>
              <w:tl2br w:val="nil"/>
              <w:tr2bl w:val="nil"/>
            </w:tcBorders>
            <w:vAlign w:val="center"/>
          </w:tcPr>
          <w:p w14:paraId="085D2471" w14:textId="77777777" w:rsidR="009D12AF" w:rsidRDefault="00000000">
            <w:pPr>
              <w:adjustRightInd w:val="0"/>
              <w:snapToGrid w:val="0"/>
              <w:spacing w:line="240" w:lineRule="auto"/>
              <w:ind w:firstLineChars="0" w:firstLine="0"/>
              <w:jc w:val="center"/>
              <w:rPr>
                <w:sz w:val="21"/>
                <w:szCs w:val="21"/>
              </w:rPr>
            </w:pPr>
            <w:r>
              <w:rPr>
                <w:sz w:val="21"/>
                <w:szCs w:val="21"/>
                <w:lang w:bidi="ar"/>
              </w:rPr>
              <w:t>石油类</w:t>
            </w:r>
            <w:r>
              <w:rPr>
                <w:sz w:val="21"/>
                <w:szCs w:val="21"/>
              </w:rPr>
              <w:t>≤</w:t>
            </w:r>
          </w:p>
        </w:tc>
        <w:tc>
          <w:tcPr>
            <w:tcW w:w="2131" w:type="dxa"/>
            <w:vMerge/>
            <w:tcBorders>
              <w:tl2br w:val="nil"/>
              <w:tr2bl w:val="nil"/>
            </w:tcBorders>
            <w:vAlign w:val="center"/>
          </w:tcPr>
          <w:p w14:paraId="784BAB5C" w14:textId="77777777" w:rsidR="009D12AF" w:rsidRDefault="009D12AF">
            <w:pPr>
              <w:ind w:firstLineChars="0" w:firstLine="0"/>
              <w:jc w:val="center"/>
              <w:rPr>
                <w:sz w:val="21"/>
                <w:szCs w:val="21"/>
              </w:rPr>
            </w:pPr>
          </w:p>
        </w:tc>
      </w:tr>
      <w:tr w:rsidR="009D12AF" w14:paraId="3B358BC9" w14:textId="77777777">
        <w:tc>
          <w:tcPr>
            <w:tcW w:w="3077" w:type="dxa"/>
            <w:vMerge/>
            <w:tcBorders>
              <w:tl2br w:val="nil"/>
              <w:tr2bl w:val="nil"/>
            </w:tcBorders>
            <w:vAlign w:val="center"/>
          </w:tcPr>
          <w:p w14:paraId="51C5E63C" w14:textId="77777777" w:rsidR="009D12AF" w:rsidRDefault="009D12AF">
            <w:pPr>
              <w:ind w:firstLineChars="0" w:firstLine="0"/>
              <w:jc w:val="center"/>
              <w:rPr>
                <w:sz w:val="21"/>
                <w:szCs w:val="21"/>
              </w:rPr>
            </w:pPr>
          </w:p>
        </w:tc>
        <w:tc>
          <w:tcPr>
            <w:tcW w:w="1183" w:type="dxa"/>
            <w:vMerge/>
            <w:tcBorders>
              <w:tl2br w:val="nil"/>
              <w:tr2bl w:val="nil"/>
            </w:tcBorders>
            <w:vAlign w:val="center"/>
          </w:tcPr>
          <w:p w14:paraId="301E75E6" w14:textId="77777777" w:rsidR="009D12AF" w:rsidRDefault="009D12AF">
            <w:pPr>
              <w:ind w:firstLineChars="0" w:firstLine="0"/>
              <w:jc w:val="center"/>
              <w:rPr>
                <w:sz w:val="21"/>
                <w:szCs w:val="21"/>
              </w:rPr>
            </w:pPr>
          </w:p>
        </w:tc>
        <w:tc>
          <w:tcPr>
            <w:tcW w:w="2131" w:type="dxa"/>
            <w:tcBorders>
              <w:tl2br w:val="nil"/>
              <w:tr2bl w:val="nil"/>
            </w:tcBorders>
            <w:vAlign w:val="center"/>
          </w:tcPr>
          <w:p w14:paraId="1B9DB3D3" w14:textId="77777777" w:rsidR="009D12AF" w:rsidRDefault="00000000">
            <w:pPr>
              <w:adjustRightInd w:val="0"/>
              <w:snapToGrid w:val="0"/>
              <w:spacing w:line="240" w:lineRule="auto"/>
              <w:ind w:firstLineChars="0" w:firstLine="0"/>
              <w:jc w:val="center"/>
              <w:rPr>
                <w:sz w:val="21"/>
                <w:szCs w:val="21"/>
              </w:rPr>
            </w:pPr>
            <w:r>
              <w:rPr>
                <w:sz w:val="21"/>
                <w:szCs w:val="21"/>
                <w:lang w:bidi="ar"/>
              </w:rPr>
              <w:t>阴离子表面活性剂</w:t>
            </w:r>
            <w:r>
              <w:rPr>
                <w:sz w:val="21"/>
                <w:szCs w:val="21"/>
              </w:rPr>
              <w:t>≤</w:t>
            </w:r>
          </w:p>
        </w:tc>
        <w:tc>
          <w:tcPr>
            <w:tcW w:w="2131" w:type="dxa"/>
            <w:vMerge/>
            <w:tcBorders>
              <w:tl2br w:val="nil"/>
              <w:tr2bl w:val="nil"/>
            </w:tcBorders>
            <w:vAlign w:val="center"/>
          </w:tcPr>
          <w:p w14:paraId="0C087322" w14:textId="77777777" w:rsidR="009D12AF" w:rsidRDefault="009D12AF">
            <w:pPr>
              <w:ind w:firstLineChars="0" w:firstLine="0"/>
              <w:jc w:val="center"/>
              <w:rPr>
                <w:sz w:val="21"/>
                <w:szCs w:val="21"/>
              </w:rPr>
            </w:pPr>
          </w:p>
        </w:tc>
      </w:tr>
      <w:tr w:rsidR="009D12AF" w14:paraId="10540211" w14:textId="77777777">
        <w:tc>
          <w:tcPr>
            <w:tcW w:w="3077" w:type="dxa"/>
            <w:vMerge/>
            <w:tcBorders>
              <w:tl2br w:val="nil"/>
              <w:tr2bl w:val="nil"/>
            </w:tcBorders>
            <w:vAlign w:val="center"/>
          </w:tcPr>
          <w:p w14:paraId="10406CD9" w14:textId="77777777" w:rsidR="009D12AF" w:rsidRDefault="009D12AF">
            <w:pPr>
              <w:ind w:firstLineChars="0" w:firstLine="0"/>
              <w:jc w:val="center"/>
              <w:rPr>
                <w:sz w:val="21"/>
                <w:szCs w:val="21"/>
              </w:rPr>
            </w:pPr>
          </w:p>
        </w:tc>
        <w:tc>
          <w:tcPr>
            <w:tcW w:w="1183" w:type="dxa"/>
            <w:vMerge/>
            <w:tcBorders>
              <w:tl2br w:val="nil"/>
              <w:tr2bl w:val="nil"/>
            </w:tcBorders>
            <w:vAlign w:val="center"/>
          </w:tcPr>
          <w:p w14:paraId="129C779C" w14:textId="77777777" w:rsidR="009D12AF" w:rsidRDefault="009D12AF">
            <w:pPr>
              <w:ind w:firstLineChars="0" w:firstLine="0"/>
              <w:jc w:val="center"/>
              <w:rPr>
                <w:sz w:val="21"/>
                <w:szCs w:val="21"/>
              </w:rPr>
            </w:pPr>
          </w:p>
        </w:tc>
        <w:tc>
          <w:tcPr>
            <w:tcW w:w="2131" w:type="dxa"/>
            <w:tcBorders>
              <w:tl2br w:val="nil"/>
              <w:tr2bl w:val="nil"/>
            </w:tcBorders>
            <w:vAlign w:val="center"/>
          </w:tcPr>
          <w:p w14:paraId="17A546AF" w14:textId="77777777" w:rsidR="009D12AF" w:rsidRDefault="00000000">
            <w:pPr>
              <w:adjustRightInd w:val="0"/>
              <w:snapToGrid w:val="0"/>
              <w:spacing w:line="240" w:lineRule="auto"/>
              <w:ind w:firstLineChars="0" w:firstLine="0"/>
              <w:jc w:val="center"/>
              <w:rPr>
                <w:sz w:val="21"/>
                <w:szCs w:val="21"/>
              </w:rPr>
            </w:pPr>
            <w:r>
              <w:rPr>
                <w:sz w:val="21"/>
                <w:szCs w:val="21"/>
                <w:lang w:bidi="ar"/>
              </w:rPr>
              <w:t>硫化物</w:t>
            </w:r>
            <w:r>
              <w:rPr>
                <w:sz w:val="21"/>
                <w:szCs w:val="21"/>
              </w:rPr>
              <w:t>≤</w:t>
            </w:r>
          </w:p>
        </w:tc>
        <w:tc>
          <w:tcPr>
            <w:tcW w:w="2131" w:type="dxa"/>
            <w:vMerge/>
            <w:tcBorders>
              <w:tl2br w:val="nil"/>
              <w:tr2bl w:val="nil"/>
            </w:tcBorders>
            <w:vAlign w:val="center"/>
          </w:tcPr>
          <w:p w14:paraId="3A956517" w14:textId="77777777" w:rsidR="009D12AF" w:rsidRDefault="009D12AF">
            <w:pPr>
              <w:ind w:firstLineChars="0" w:firstLine="0"/>
              <w:jc w:val="center"/>
              <w:rPr>
                <w:sz w:val="21"/>
                <w:szCs w:val="21"/>
              </w:rPr>
            </w:pPr>
          </w:p>
        </w:tc>
      </w:tr>
      <w:tr w:rsidR="009D12AF" w14:paraId="58732D89" w14:textId="77777777">
        <w:tc>
          <w:tcPr>
            <w:tcW w:w="3077" w:type="dxa"/>
            <w:vMerge/>
            <w:tcBorders>
              <w:tl2br w:val="nil"/>
              <w:tr2bl w:val="nil"/>
            </w:tcBorders>
            <w:vAlign w:val="center"/>
          </w:tcPr>
          <w:p w14:paraId="01E0106F" w14:textId="77777777" w:rsidR="009D12AF" w:rsidRDefault="009D12AF">
            <w:pPr>
              <w:ind w:firstLineChars="0" w:firstLine="0"/>
              <w:jc w:val="center"/>
              <w:rPr>
                <w:sz w:val="21"/>
                <w:szCs w:val="21"/>
              </w:rPr>
            </w:pPr>
          </w:p>
        </w:tc>
        <w:tc>
          <w:tcPr>
            <w:tcW w:w="1183" w:type="dxa"/>
            <w:vMerge/>
            <w:tcBorders>
              <w:bottom w:val="single" w:sz="4" w:space="0" w:color="000000"/>
              <w:tl2br w:val="nil"/>
              <w:tr2bl w:val="nil"/>
            </w:tcBorders>
            <w:vAlign w:val="center"/>
          </w:tcPr>
          <w:p w14:paraId="0BE32607" w14:textId="77777777" w:rsidR="009D12AF" w:rsidRDefault="009D12AF">
            <w:pPr>
              <w:ind w:firstLineChars="0" w:firstLine="0"/>
              <w:jc w:val="center"/>
              <w:rPr>
                <w:sz w:val="21"/>
                <w:szCs w:val="21"/>
              </w:rPr>
            </w:pPr>
          </w:p>
        </w:tc>
        <w:tc>
          <w:tcPr>
            <w:tcW w:w="2131" w:type="dxa"/>
            <w:tcBorders>
              <w:tl2br w:val="nil"/>
              <w:tr2bl w:val="nil"/>
            </w:tcBorders>
            <w:vAlign w:val="center"/>
          </w:tcPr>
          <w:p w14:paraId="24369AC3" w14:textId="77777777" w:rsidR="009D12AF" w:rsidRDefault="00000000">
            <w:pPr>
              <w:adjustRightInd w:val="0"/>
              <w:snapToGrid w:val="0"/>
              <w:spacing w:line="240" w:lineRule="auto"/>
              <w:ind w:firstLineChars="0" w:firstLine="0"/>
              <w:jc w:val="center"/>
              <w:rPr>
                <w:sz w:val="21"/>
                <w:szCs w:val="21"/>
              </w:rPr>
            </w:pPr>
            <w:r>
              <w:rPr>
                <w:sz w:val="21"/>
                <w:szCs w:val="21"/>
                <w:lang w:bidi="ar"/>
              </w:rPr>
              <w:t>粪大肠菌群</w:t>
            </w:r>
            <w:r>
              <w:rPr>
                <w:sz w:val="21"/>
                <w:szCs w:val="21"/>
              </w:rPr>
              <w:t>≤</w:t>
            </w:r>
          </w:p>
        </w:tc>
        <w:tc>
          <w:tcPr>
            <w:tcW w:w="2131" w:type="dxa"/>
            <w:vMerge/>
            <w:tcBorders>
              <w:tl2br w:val="nil"/>
              <w:tr2bl w:val="nil"/>
            </w:tcBorders>
            <w:vAlign w:val="center"/>
          </w:tcPr>
          <w:p w14:paraId="5DDBE87F" w14:textId="77777777" w:rsidR="009D12AF" w:rsidRDefault="009D12AF">
            <w:pPr>
              <w:ind w:firstLineChars="0" w:firstLine="0"/>
              <w:jc w:val="center"/>
              <w:rPr>
                <w:sz w:val="21"/>
                <w:szCs w:val="21"/>
              </w:rPr>
            </w:pPr>
          </w:p>
        </w:tc>
      </w:tr>
      <w:tr w:rsidR="009D12AF" w14:paraId="4708FF02" w14:textId="77777777">
        <w:tc>
          <w:tcPr>
            <w:tcW w:w="3077" w:type="dxa"/>
            <w:vMerge/>
            <w:vAlign w:val="center"/>
          </w:tcPr>
          <w:p w14:paraId="55A6B763" w14:textId="77777777" w:rsidR="009D12AF" w:rsidRDefault="009D12AF">
            <w:pPr>
              <w:ind w:firstLineChars="0" w:firstLine="0"/>
              <w:jc w:val="center"/>
              <w:rPr>
                <w:sz w:val="21"/>
                <w:szCs w:val="21"/>
              </w:rPr>
            </w:pPr>
          </w:p>
        </w:tc>
        <w:tc>
          <w:tcPr>
            <w:tcW w:w="1183" w:type="dxa"/>
            <w:tcBorders>
              <w:top w:val="single" w:sz="4" w:space="0" w:color="000000"/>
            </w:tcBorders>
            <w:vAlign w:val="center"/>
          </w:tcPr>
          <w:p w14:paraId="77D629E7" w14:textId="77777777" w:rsidR="009D12AF" w:rsidRDefault="00000000">
            <w:pPr>
              <w:ind w:firstLineChars="0" w:firstLine="0"/>
              <w:jc w:val="center"/>
              <w:rPr>
                <w:sz w:val="21"/>
                <w:szCs w:val="21"/>
              </w:rPr>
            </w:pPr>
            <w:r>
              <w:rPr>
                <w:rFonts w:hint="eastAsia"/>
                <w:sz w:val="21"/>
                <w:szCs w:val="21"/>
              </w:rPr>
              <w:t>1</w:t>
            </w:r>
            <w:r>
              <w:rPr>
                <w:rFonts w:hint="eastAsia"/>
                <w:sz w:val="21"/>
                <w:szCs w:val="21"/>
              </w:rPr>
              <w:t>天，</w:t>
            </w:r>
            <w:r>
              <w:rPr>
                <w:rFonts w:hint="eastAsia"/>
                <w:sz w:val="21"/>
                <w:szCs w:val="21"/>
              </w:rPr>
              <w:t>6h</w:t>
            </w:r>
            <w:r>
              <w:rPr>
                <w:rFonts w:hint="eastAsia"/>
                <w:sz w:val="21"/>
                <w:szCs w:val="21"/>
              </w:rPr>
              <w:t>一次</w:t>
            </w:r>
          </w:p>
        </w:tc>
        <w:tc>
          <w:tcPr>
            <w:tcW w:w="2131" w:type="dxa"/>
            <w:tcBorders>
              <w:tl2br w:val="nil"/>
              <w:tr2bl w:val="nil"/>
            </w:tcBorders>
            <w:vAlign w:val="center"/>
          </w:tcPr>
          <w:p w14:paraId="6E12740F" w14:textId="77777777" w:rsidR="009D12AF" w:rsidRDefault="00000000">
            <w:pPr>
              <w:pStyle w:val="afb"/>
              <w:adjustRightInd w:val="0"/>
              <w:snapToGrid w:val="0"/>
              <w:ind w:firstLine="0"/>
              <w:rPr>
                <w:szCs w:val="21"/>
              </w:rPr>
            </w:pPr>
            <w:r>
              <w:rPr>
                <w:rFonts w:hint="eastAsia"/>
                <w:szCs w:val="21"/>
              </w:rPr>
              <w:t>水温</w:t>
            </w:r>
          </w:p>
        </w:tc>
        <w:tc>
          <w:tcPr>
            <w:tcW w:w="2131" w:type="dxa"/>
            <w:vMerge/>
            <w:tcBorders>
              <w:tl2br w:val="nil"/>
              <w:tr2bl w:val="nil"/>
            </w:tcBorders>
            <w:vAlign w:val="center"/>
          </w:tcPr>
          <w:p w14:paraId="54FB4814" w14:textId="77777777" w:rsidR="009D12AF" w:rsidRDefault="009D12AF">
            <w:pPr>
              <w:ind w:firstLineChars="0" w:firstLine="0"/>
              <w:jc w:val="center"/>
              <w:rPr>
                <w:sz w:val="21"/>
                <w:szCs w:val="21"/>
              </w:rPr>
            </w:pPr>
          </w:p>
        </w:tc>
      </w:tr>
    </w:tbl>
    <w:p w14:paraId="3F2BBE1A" w14:textId="77777777" w:rsidR="009D12AF" w:rsidRDefault="00000000">
      <w:pPr>
        <w:ind w:firstLineChars="0" w:firstLine="0"/>
      </w:pPr>
      <w:r>
        <w:rPr>
          <w:noProof/>
        </w:rPr>
        <w:drawing>
          <wp:inline distT="0" distB="0" distL="114300" distR="114300" wp14:anchorId="0E32CCE0" wp14:editId="271FBD77">
            <wp:extent cx="5272405" cy="2701925"/>
            <wp:effectExtent l="0" t="0" r="4445" b="3175"/>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32" cstate="screen">
                      <a:extLst>
                        <a:ext uri="{28A0092B-C50C-407E-A947-70E740481C1C}">
                          <a14:useLocalDpi xmlns:a14="http://schemas.microsoft.com/office/drawing/2010/main"/>
                        </a:ext>
                      </a:extLst>
                    </a:blip>
                    <a:stretch>
                      <a:fillRect/>
                    </a:stretch>
                  </pic:blipFill>
                  <pic:spPr>
                    <a:xfrm>
                      <a:off x="0" y="0"/>
                      <a:ext cx="5272405" cy="2701925"/>
                    </a:xfrm>
                    <a:prstGeom prst="rect">
                      <a:avLst/>
                    </a:prstGeom>
                    <a:noFill/>
                    <a:ln>
                      <a:noFill/>
                    </a:ln>
                  </pic:spPr>
                </pic:pic>
              </a:graphicData>
            </a:graphic>
          </wp:inline>
        </w:drawing>
      </w:r>
    </w:p>
    <w:p w14:paraId="0C28C523" w14:textId="77777777" w:rsidR="009D12AF" w:rsidRDefault="00000000">
      <w:pPr>
        <w:ind w:firstLine="482"/>
        <w:jc w:val="center"/>
        <w:rPr>
          <w:b/>
          <w:bCs/>
        </w:rPr>
      </w:pPr>
      <w:r>
        <w:rPr>
          <w:rFonts w:hint="eastAsia"/>
          <w:b/>
          <w:bCs/>
        </w:rPr>
        <w:t>图</w:t>
      </w:r>
      <w:r>
        <w:rPr>
          <w:rFonts w:hint="eastAsia"/>
          <w:b/>
          <w:bCs/>
        </w:rPr>
        <w:t xml:space="preserve">4.3-6 </w:t>
      </w:r>
      <w:r>
        <w:rPr>
          <w:rFonts w:hint="eastAsia"/>
          <w:b/>
          <w:bCs/>
        </w:rPr>
        <w:t>万丈水库地表水监测点位图</w:t>
      </w:r>
    </w:p>
    <w:p w14:paraId="131F9374" w14:textId="77777777" w:rsidR="009D12AF" w:rsidRDefault="00000000">
      <w:pPr>
        <w:ind w:firstLineChars="0" w:firstLine="0"/>
      </w:pPr>
      <w:r>
        <w:rPr>
          <w:noProof/>
        </w:rPr>
        <w:drawing>
          <wp:inline distT="0" distB="0" distL="114300" distR="114300" wp14:anchorId="372A337C" wp14:editId="6905E70C">
            <wp:extent cx="5272405" cy="2707005"/>
            <wp:effectExtent l="0" t="0" r="4445" b="17145"/>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33"/>
                    <a:stretch>
                      <a:fillRect/>
                    </a:stretch>
                  </pic:blipFill>
                  <pic:spPr>
                    <a:xfrm>
                      <a:off x="0" y="0"/>
                      <a:ext cx="5272405" cy="2707005"/>
                    </a:xfrm>
                    <a:prstGeom prst="rect">
                      <a:avLst/>
                    </a:prstGeom>
                    <a:noFill/>
                    <a:ln>
                      <a:noFill/>
                    </a:ln>
                  </pic:spPr>
                </pic:pic>
              </a:graphicData>
            </a:graphic>
          </wp:inline>
        </w:drawing>
      </w:r>
    </w:p>
    <w:p w14:paraId="3D688469" w14:textId="77777777" w:rsidR="009D12AF" w:rsidRDefault="00000000">
      <w:pPr>
        <w:ind w:firstLine="482"/>
        <w:jc w:val="center"/>
        <w:rPr>
          <w:b/>
          <w:bCs/>
        </w:rPr>
      </w:pPr>
      <w:r>
        <w:rPr>
          <w:rFonts w:hint="eastAsia"/>
          <w:b/>
          <w:bCs/>
        </w:rPr>
        <w:t>图</w:t>
      </w:r>
      <w:r>
        <w:rPr>
          <w:rFonts w:hint="eastAsia"/>
          <w:b/>
          <w:bCs/>
        </w:rPr>
        <w:t xml:space="preserve">4.3-7 </w:t>
      </w:r>
      <w:r>
        <w:rPr>
          <w:rFonts w:hint="eastAsia"/>
          <w:b/>
          <w:bCs/>
        </w:rPr>
        <w:t>长石水库地表水监测点位图</w:t>
      </w:r>
    </w:p>
    <w:p w14:paraId="6DAC7D9E" w14:textId="77777777" w:rsidR="009D12AF" w:rsidRDefault="00000000">
      <w:pPr>
        <w:ind w:firstLineChars="0" w:firstLine="0"/>
      </w:pPr>
      <w:r>
        <w:rPr>
          <w:noProof/>
        </w:rPr>
        <w:lastRenderedPageBreak/>
        <w:drawing>
          <wp:inline distT="0" distB="0" distL="114300" distR="114300" wp14:anchorId="227DB0BF" wp14:editId="4AF24CC1">
            <wp:extent cx="5267960" cy="2938145"/>
            <wp:effectExtent l="0" t="0" r="8890" b="14605"/>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34"/>
                    <a:stretch>
                      <a:fillRect/>
                    </a:stretch>
                  </pic:blipFill>
                  <pic:spPr>
                    <a:xfrm>
                      <a:off x="0" y="0"/>
                      <a:ext cx="5267960" cy="2938145"/>
                    </a:xfrm>
                    <a:prstGeom prst="rect">
                      <a:avLst/>
                    </a:prstGeom>
                    <a:noFill/>
                    <a:ln>
                      <a:noFill/>
                    </a:ln>
                  </pic:spPr>
                </pic:pic>
              </a:graphicData>
            </a:graphic>
          </wp:inline>
        </w:drawing>
      </w:r>
    </w:p>
    <w:p w14:paraId="0D5C0F90" w14:textId="77777777" w:rsidR="009D12AF" w:rsidRDefault="00000000">
      <w:pPr>
        <w:ind w:firstLine="482"/>
        <w:jc w:val="center"/>
        <w:rPr>
          <w:b/>
          <w:bCs/>
        </w:rPr>
      </w:pPr>
      <w:r>
        <w:rPr>
          <w:rFonts w:hint="eastAsia"/>
          <w:b/>
          <w:bCs/>
        </w:rPr>
        <w:t>图</w:t>
      </w:r>
      <w:r>
        <w:rPr>
          <w:rFonts w:hint="eastAsia"/>
          <w:b/>
          <w:bCs/>
        </w:rPr>
        <w:t xml:space="preserve">4.3-8 </w:t>
      </w:r>
      <w:r>
        <w:rPr>
          <w:rFonts w:hint="eastAsia"/>
          <w:b/>
          <w:bCs/>
        </w:rPr>
        <w:t>向阳水电站前池地表水监测点位</w:t>
      </w:r>
    </w:p>
    <w:p w14:paraId="1FCDAFDA" w14:textId="77777777" w:rsidR="009D12AF" w:rsidRDefault="00000000">
      <w:pPr>
        <w:ind w:firstLineChars="0" w:firstLine="0"/>
      </w:pPr>
      <w:r>
        <w:rPr>
          <w:noProof/>
        </w:rPr>
        <w:drawing>
          <wp:inline distT="0" distB="0" distL="114300" distR="114300" wp14:anchorId="4C7758E3" wp14:editId="1999CEF7">
            <wp:extent cx="5267960" cy="2713990"/>
            <wp:effectExtent l="0" t="0" r="8890" b="10160"/>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35"/>
                    <a:stretch>
                      <a:fillRect/>
                    </a:stretch>
                  </pic:blipFill>
                  <pic:spPr>
                    <a:xfrm>
                      <a:off x="0" y="0"/>
                      <a:ext cx="5267960" cy="2713990"/>
                    </a:xfrm>
                    <a:prstGeom prst="rect">
                      <a:avLst/>
                    </a:prstGeom>
                    <a:noFill/>
                    <a:ln>
                      <a:noFill/>
                    </a:ln>
                  </pic:spPr>
                </pic:pic>
              </a:graphicData>
            </a:graphic>
          </wp:inline>
        </w:drawing>
      </w:r>
    </w:p>
    <w:p w14:paraId="30DFFBF0" w14:textId="77777777" w:rsidR="009D12AF" w:rsidRDefault="00000000">
      <w:pPr>
        <w:ind w:firstLine="482"/>
        <w:jc w:val="center"/>
        <w:rPr>
          <w:b/>
          <w:bCs/>
        </w:rPr>
      </w:pPr>
      <w:r>
        <w:rPr>
          <w:rFonts w:hint="eastAsia"/>
          <w:b/>
          <w:bCs/>
        </w:rPr>
        <w:t>图</w:t>
      </w:r>
      <w:r>
        <w:rPr>
          <w:rFonts w:hint="eastAsia"/>
          <w:b/>
          <w:bCs/>
        </w:rPr>
        <w:t>4.3-9</w:t>
      </w:r>
      <w:r>
        <w:rPr>
          <w:rFonts w:hint="eastAsia"/>
          <w:b/>
          <w:bCs/>
        </w:rPr>
        <w:t>群力水库地表水监测点位</w:t>
      </w:r>
    </w:p>
    <w:p w14:paraId="1BD0F371" w14:textId="77777777" w:rsidR="009D12AF" w:rsidRDefault="00000000">
      <w:pPr>
        <w:ind w:firstLineChars="0" w:firstLine="0"/>
      </w:pPr>
      <w:r>
        <w:rPr>
          <w:noProof/>
        </w:rPr>
        <w:lastRenderedPageBreak/>
        <w:drawing>
          <wp:inline distT="0" distB="0" distL="114300" distR="114300" wp14:anchorId="3CA58CAF" wp14:editId="3612DCD5">
            <wp:extent cx="5269230" cy="2839720"/>
            <wp:effectExtent l="0" t="0" r="7620" b="17780"/>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36"/>
                    <a:stretch>
                      <a:fillRect/>
                    </a:stretch>
                  </pic:blipFill>
                  <pic:spPr>
                    <a:xfrm>
                      <a:off x="0" y="0"/>
                      <a:ext cx="5269230" cy="2839720"/>
                    </a:xfrm>
                    <a:prstGeom prst="rect">
                      <a:avLst/>
                    </a:prstGeom>
                    <a:noFill/>
                    <a:ln>
                      <a:noFill/>
                    </a:ln>
                  </pic:spPr>
                </pic:pic>
              </a:graphicData>
            </a:graphic>
          </wp:inline>
        </w:drawing>
      </w:r>
    </w:p>
    <w:p w14:paraId="3A17F3F1" w14:textId="77777777" w:rsidR="009D12AF" w:rsidRDefault="00000000">
      <w:pPr>
        <w:adjustRightInd w:val="0"/>
        <w:snapToGrid w:val="0"/>
        <w:ind w:firstLine="482"/>
        <w:jc w:val="center"/>
        <w:rPr>
          <w:b/>
          <w:bCs/>
        </w:rPr>
      </w:pPr>
      <w:r>
        <w:rPr>
          <w:rFonts w:hint="eastAsia"/>
          <w:b/>
          <w:bCs/>
        </w:rPr>
        <w:t>图</w:t>
      </w:r>
      <w:r>
        <w:rPr>
          <w:rFonts w:hint="eastAsia"/>
          <w:b/>
          <w:bCs/>
        </w:rPr>
        <w:t>4.3-10</w:t>
      </w:r>
      <w:r>
        <w:rPr>
          <w:rFonts w:hint="eastAsia"/>
          <w:b/>
          <w:bCs/>
        </w:rPr>
        <w:t>新安晒水池地表水监测点位</w:t>
      </w:r>
    </w:p>
    <w:p w14:paraId="43F63FBD" w14:textId="77777777" w:rsidR="009D12AF" w:rsidRDefault="00000000">
      <w:pPr>
        <w:adjustRightInd w:val="0"/>
        <w:snapToGrid w:val="0"/>
        <w:ind w:firstLine="480"/>
      </w:pPr>
      <w:r>
        <w:t>（</w:t>
      </w:r>
      <w:r>
        <w:rPr>
          <w:rFonts w:hint="eastAsia"/>
        </w:rPr>
        <w:t>5</w:t>
      </w:r>
      <w:r>
        <w:t>）评价标准</w:t>
      </w:r>
    </w:p>
    <w:p w14:paraId="58F811AC" w14:textId="77777777" w:rsidR="009D12AF" w:rsidRDefault="00000000">
      <w:pPr>
        <w:adjustRightInd w:val="0"/>
        <w:snapToGrid w:val="0"/>
        <w:ind w:firstLine="480"/>
      </w:pPr>
      <w:r>
        <w:t>本次地表水评价标准采用《地表水环境质量标准》（</w:t>
      </w:r>
      <w:r>
        <w:t>GB3838-2002</w:t>
      </w:r>
      <w:r>
        <w:t>）</w:t>
      </w:r>
      <w:r>
        <w:rPr>
          <w:rFonts w:hint="eastAsia"/>
        </w:rPr>
        <w:t>Ⅲ</w:t>
      </w:r>
      <w:r>
        <w:t>类标准。</w:t>
      </w:r>
    </w:p>
    <w:p w14:paraId="3FCACF6C" w14:textId="77777777" w:rsidR="009D12AF" w:rsidRDefault="00000000">
      <w:pPr>
        <w:ind w:firstLine="480"/>
      </w:pPr>
      <w:r>
        <w:rPr>
          <w:rFonts w:hint="eastAsia"/>
        </w:rPr>
        <w:t>（</w:t>
      </w:r>
      <w:r>
        <w:rPr>
          <w:rFonts w:hint="eastAsia"/>
        </w:rPr>
        <w:t>6</w:t>
      </w:r>
      <w:r>
        <w:rPr>
          <w:rFonts w:hint="eastAsia"/>
        </w:rPr>
        <w:t>）检测方法</w:t>
      </w:r>
    </w:p>
    <w:p w14:paraId="62843734" w14:textId="77777777" w:rsidR="009D12AF" w:rsidRDefault="00000000">
      <w:pPr>
        <w:ind w:firstLine="482"/>
        <w:jc w:val="center"/>
        <w:rPr>
          <w:b/>
          <w:bCs/>
        </w:rPr>
      </w:pPr>
      <w:r>
        <w:rPr>
          <w:rFonts w:hint="eastAsia"/>
          <w:b/>
          <w:bCs/>
        </w:rPr>
        <w:t>表</w:t>
      </w:r>
      <w:r>
        <w:rPr>
          <w:rFonts w:hint="eastAsia"/>
          <w:b/>
          <w:bCs/>
        </w:rPr>
        <w:t>4.3-6</w:t>
      </w:r>
      <w:r>
        <w:rPr>
          <w:rFonts w:hint="eastAsia"/>
          <w:b/>
          <w:bCs/>
        </w:rPr>
        <w:t>地表水检测方法及仪器</w:t>
      </w:r>
    </w:p>
    <w:tbl>
      <w:tblPr>
        <w:tblW w:w="4998"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18"/>
        <w:gridCol w:w="1314"/>
        <w:gridCol w:w="3736"/>
        <w:gridCol w:w="2835"/>
      </w:tblGrid>
      <w:tr w:rsidR="009D12AF" w14:paraId="677E5039" w14:textId="77777777">
        <w:trPr>
          <w:trHeight w:val="652"/>
          <w:jc w:val="center"/>
        </w:trPr>
        <w:tc>
          <w:tcPr>
            <w:tcW w:w="1042" w:type="pct"/>
            <w:gridSpan w:val="2"/>
            <w:tcBorders>
              <w:tl2br w:val="nil"/>
              <w:tr2bl w:val="nil"/>
            </w:tcBorders>
            <w:vAlign w:val="center"/>
          </w:tcPr>
          <w:p w14:paraId="05469EFC" w14:textId="77777777" w:rsidR="009D12AF" w:rsidRDefault="00000000">
            <w:pPr>
              <w:spacing w:line="240" w:lineRule="auto"/>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检测项目</w:t>
            </w:r>
          </w:p>
        </w:tc>
        <w:tc>
          <w:tcPr>
            <w:tcW w:w="2250" w:type="pct"/>
            <w:tcBorders>
              <w:tl2br w:val="nil"/>
              <w:tr2bl w:val="nil"/>
            </w:tcBorders>
            <w:vAlign w:val="center"/>
          </w:tcPr>
          <w:p w14:paraId="014DDBE7" w14:textId="77777777" w:rsidR="009D12AF" w:rsidRDefault="00000000">
            <w:pPr>
              <w:spacing w:line="240" w:lineRule="auto"/>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检测方法名称及标准号</w:t>
            </w:r>
          </w:p>
        </w:tc>
        <w:tc>
          <w:tcPr>
            <w:tcW w:w="1707" w:type="pct"/>
            <w:tcBorders>
              <w:tl2br w:val="nil"/>
              <w:tr2bl w:val="nil"/>
            </w:tcBorders>
            <w:vAlign w:val="center"/>
          </w:tcPr>
          <w:p w14:paraId="22F9E2CB" w14:textId="77777777" w:rsidR="009D12AF" w:rsidRDefault="00000000">
            <w:pPr>
              <w:spacing w:line="240" w:lineRule="auto"/>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仪器名称</w:t>
            </w:r>
            <w:r>
              <w:rPr>
                <w:rFonts w:ascii="Times New Roman" w:eastAsia="宋体" w:hAnsi="Times New Roman" w:cs="Times New Roman"/>
                <w:b/>
                <w:bCs/>
                <w:sz w:val="21"/>
                <w:szCs w:val="21"/>
              </w:rPr>
              <w:t>/</w:t>
            </w:r>
            <w:r>
              <w:rPr>
                <w:rFonts w:ascii="Times New Roman" w:eastAsia="宋体" w:hAnsi="Times New Roman" w:cs="Times New Roman"/>
                <w:b/>
                <w:bCs/>
                <w:sz w:val="21"/>
                <w:szCs w:val="21"/>
              </w:rPr>
              <w:t>仪器型号</w:t>
            </w:r>
            <w:r>
              <w:rPr>
                <w:rFonts w:ascii="Times New Roman" w:eastAsia="宋体" w:hAnsi="Times New Roman" w:cs="Times New Roman"/>
                <w:b/>
                <w:bCs/>
                <w:sz w:val="21"/>
                <w:szCs w:val="21"/>
              </w:rPr>
              <w:t>/</w:t>
            </w:r>
            <w:r>
              <w:rPr>
                <w:rFonts w:ascii="Times New Roman" w:eastAsia="宋体" w:hAnsi="Times New Roman" w:cs="Times New Roman"/>
                <w:b/>
                <w:bCs/>
                <w:sz w:val="21"/>
                <w:szCs w:val="21"/>
              </w:rPr>
              <w:t>仪器编号</w:t>
            </w:r>
          </w:p>
        </w:tc>
      </w:tr>
      <w:tr w:rsidR="009D12AF" w14:paraId="02C5E80F" w14:textId="77777777">
        <w:trPr>
          <w:trHeight w:val="652"/>
          <w:jc w:val="center"/>
        </w:trPr>
        <w:tc>
          <w:tcPr>
            <w:tcW w:w="251" w:type="pct"/>
            <w:tcBorders>
              <w:tl2br w:val="nil"/>
              <w:tr2bl w:val="nil"/>
            </w:tcBorders>
            <w:vAlign w:val="center"/>
          </w:tcPr>
          <w:p w14:paraId="73D8952D"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w:t>
            </w:r>
          </w:p>
        </w:tc>
        <w:tc>
          <w:tcPr>
            <w:tcW w:w="791" w:type="pct"/>
            <w:tcBorders>
              <w:tl2br w:val="nil"/>
              <w:tr2bl w:val="nil"/>
            </w:tcBorders>
            <w:vAlign w:val="center"/>
          </w:tcPr>
          <w:p w14:paraId="56DFC83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pH</w:t>
            </w:r>
            <w:r>
              <w:rPr>
                <w:rFonts w:ascii="Times New Roman" w:hAnsi="Times New Roman" w:cs="Times New Roman" w:hint="eastAsia"/>
                <w:kern w:val="0"/>
                <w:sz w:val="21"/>
                <w:szCs w:val="21"/>
                <w:lang w:bidi="ar"/>
              </w:rPr>
              <w:t>值</w:t>
            </w:r>
          </w:p>
        </w:tc>
        <w:tc>
          <w:tcPr>
            <w:tcW w:w="2250" w:type="pct"/>
            <w:tcBorders>
              <w:tl2br w:val="nil"/>
              <w:tr2bl w:val="nil"/>
            </w:tcBorders>
            <w:vAlign w:val="center"/>
          </w:tcPr>
          <w:p w14:paraId="6211FE1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pH</w:t>
            </w:r>
            <w:r>
              <w:rPr>
                <w:rFonts w:ascii="Times New Roman" w:eastAsia="宋体" w:hAnsi="Times New Roman" w:cs="Times New Roman"/>
                <w:kern w:val="0"/>
                <w:sz w:val="21"/>
                <w:szCs w:val="21"/>
                <w:lang w:bidi="ar"/>
              </w:rPr>
              <w:t>值的测定</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玻璃电极法</w:t>
            </w:r>
            <w:r>
              <w:rPr>
                <w:rFonts w:ascii="Times New Roman" w:hAnsi="Times New Roman" w:cs="Times New Roman" w:hint="eastAsia"/>
                <w:kern w:val="0"/>
                <w:sz w:val="21"/>
                <w:szCs w:val="21"/>
                <w:lang w:bidi="ar"/>
              </w:rPr>
              <w:t xml:space="preserve"> </w:t>
            </w:r>
          </w:p>
          <w:p w14:paraId="674E879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HJ</w:t>
            </w:r>
            <w:r>
              <w:rPr>
                <w:rFonts w:ascii="Times New Roman" w:hAnsi="Times New Roman" w:cs="Times New Roman" w:hint="eastAsia"/>
                <w:kern w:val="0"/>
                <w:sz w:val="21"/>
                <w:szCs w:val="21"/>
                <w:lang w:bidi="ar"/>
              </w:rPr>
              <w:t xml:space="preserve"> </w:t>
            </w:r>
            <w:r>
              <w:rPr>
                <w:rFonts w:ascii="Times New Roman" w:eastAsia="宋体" w:hAnsi="Times New Roman" w:cs="Times New Roman"/>
                <w:kern w:val="0"/>
                <w:sz w:val="21"/>
                <w:szCs w:val="21"/>
                <w:lang w:bidi="ar"/>
              </w:rPr>
              <w:t>1147-2020</w:t>
            </w:r>
          </w:p>
        </w:tc>
        <w:tc>
          <w:tcPr>
            <w:tcW w:w="1707" w:type="pct"/>
            <w:tcBorders>
              <w:tl2br w:val="nil"/>
              <w:tr2bl w:val="nil"/>
            </w:tcBorders>
            <w:vAlign w:val="center"/>
          </w:tcPr>
          <w:p w14:paraId="4AB4524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color w:val="000000"/>
                <w:kern w:val="0"/>
                <w:sz w:val="21"/>
                <w:szCs w:val="21"/>
                <w:lang w:bidi="ar"/>
              </w:rPr>
              <w:t>便携式酸度计</w:t>
            </w:r>
            <w:r>
              <w:rPr>
                <w:rFonts w:ascii="Times New Roman" w:hAnsi="Times New Roman" w:cs="Times New Roman" w:hint="eastAsia"/>
                <w:color w:val="000000"/>
                <w:kern w:val="0"/>
                <w:sz w:val="21"/>
                <w:szCs w:val="21"/>
                <w:lang w:bidi="ar"/>
              </w:rPr>
              <w:t>/PH828/KXYQ-133</w:t>
            </w:r>
          </w:p>
        </w:tc>
      </w:tr>
      <w:tr w:rsidR="009D12AF" w14:paraId="4CAB32FF" w14:textId="77777777">
        <w:trPr>
          <w:trHeight w:val="652"/>
          <w:jc w:val="center"/>
        </w:trPr>
        <w:tc>
          <w:tcPr>
            <w:tcW w:w="251" w:type="pct"/>
            <w:tcBorders>
              <w:tl2br w:val="nil"/>
              <w:tr2bl w:val="nil"/>
            </w:tcBorders>
            <w:vAlign w:val="center"/>
          </w:tcPr>
          <w:p w14:paraId="7D642EA2"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w:t>
            </w:r>
          </w:p>
        </w:tc>
        <w:tc>
          <w:tcPr>
            <w:tcW w:w="791" w:type="pct"/>
            <w:tcBorders>
              <w:tl2br w:val="nil"/>
              <w:tr2bl w:val="nil"/>
            </w:tcBorders>
            <w:vAlign w:val="center"/>
          </w:tcPr>
          <w:p w14:paraId="075DFCF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高锰酸盐指数</w:t>
            </w:r>
          </w:p>
        </w:tc>
        <w:tc>
          <w:tcPr>
            <w:tcW w:w="2250" w:type="pct"/>
            <w:tcBorders>
              <w:tl2br w:val="nil"/>
              <w:tr2bl w:val="nil"/>
            </w:tcBorders>
            <w:vAlign w:val="center"/>
          </w:tcPr>
          <w:p w14:paraId="3BBF0AF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高锰酸盐指数的测定</w:t>
            </w:r>
            <w:r>
              <w:rPr>
                <w:rFonts w:ascii="Times New Roman" w:hAnsi="Times New Roman" w:cs="Times New Roman" w:hint="eastAsia"/>
                <w:kern w:val="0"/>
                <w:sz w:val="21"/>
                <w:szCs w:val="21"/>
                <w:lang w:bidi="ar"/>
              </w:rPr>
              <w:t xml:space="preserve"> </w:t>
            </w:r>
            <w:r>
              <w:rPr>
                <w:rFonts w:ascii="Times New Roman" w:eastAsia="宋体" w:hAnsi="Times New Roman" w:cs="Times New Roman"/>
                <w:kern w:val="0"/>
                <w:sz w:val="21"/>
                <w:szCs w:val="21"/>
                <w:lang w:bidi="ar"/>
              </w:rPr>
              <w:t>GB</w:t>
            </w:r>
            <w:r>
              <w:rPr>
                <w:rFonts w:ascii="Times New Roman" w:hAnsi="Times New Roman" w:cs="Times New Roman" w:hint="eastAsia"/>
                <w:kern w:val="0"/>
                <w:sz w:val="21"/>
                <w:szCs w:val="21"/>
                <w:lang w:bidi="ar"/>
              </w:rPr>
              <w:t xml:space="preserve"> </w:t>
            </w:r>
            <w:r>
              <w:rPr>
                <w:rFonts w:ascii="Times New Roman" w:eastAsia="宋体" w:hAnsi="Times New Roman" w:cs="Times New Roman"/>
                <w:kern w:val="0"/>
                <w:sz w:val="21"/>
                <w:szCs w:val="21"/>
                <w:lang w:bidi="ar"/>
              </w:rPr>
              <w:t>11892-89</w:t>
            </w:r>
          </w:p>
        </w:tc>
        <w:tc>
          <w:tcPr>
            <w:tcW w:w="1707" w:type="pct"/>
            <w:tcBorders>
              <w:tl2br w:val="nil"/>
              <w:tr2bl w:val="nil"/>
            </w:tcBorders>
            <w:vAlign w:val="center"/>
          </w:tcPr>
          <w:p w14:paraId="2B14812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酸式滴定管</w:t>
            </w:r>
            <w:r>
              <w:rPr>
                <w:rFonts w:ascii="Times New Roman" w:eastAsia="宋体" w:hAnsi="Times New Roman" w:cs="Times New Roman"/>
                <w:kern w:val="0"/>
                <w:sz w:val="21"/>
                <w:szCs w:val="21"/>
                <w:lang w:bidi="ar"/>
              </w:rPr>
              <w:t>/25mL</w:t>
            </w:r>
          </w:p>
        </w:tc>
      </w:tr>
      <w:tr w:rsidR="009D12AF" w14:paraId="0945F8C4" w14:textId="77777777">
        <w:trPr>
          <w:trHeight w:val="652"/>
          <w:jc w:val="center"/>
        </w:trPr>
        <w:tc>
          <w:tcPr>
            <w:tcW w:w="251" w:type="pct"/>
            <w:tcBorders>
              <w:tl2br w:val="nil"/>
              <w:tr2bl w:val="nil"/>
            </w:tcBorders>
            <w:vAlign w:val="center"/>
          </w:tcPr>
          <w:p w14:paraId="5ED03036"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w:t>
            </w:r>
          </w:p>
        </w:tc>
        <w:tc>
          <w:tcPr>
            <w:tcW w:w="791" w:type="pct"/>
            <w:tcBorders>
              <w:tl2br w:val="nil"/>
              <w:tr2bl w:val="nil"/>
            </w:tcBorders>
            <w:vAlign w:val="center"/>
          </w:tcPr>
          <w:p w14:paraId="73D65DB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溶解氧</w:t>
            </w:r>
          </w:p>
        </w:tc>
        <w:tc>
          <w:tcPr>
            <w:tcW w:w="2250" w:type="pct"/>
            <w:tcBorders>
              <w:tl2br w:val="nil"/>
              <w:tr2bl w:val="nil"/>
            </w:tcBorders>
            <w:vAlign w:val="center"/>
          </w:tcPr>
          <w:p w14:paraId="01D5DDA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溶解氧的测定</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电化学探头法</w:t>
            </w:r>
            <w:r>
              <w:rPr>
                <w:rFonts w:ascii="Times New Roman" w:eastAsia="宋体" w:hAnsi="Times New Roman" w:cs="Times New Roman"/>
                <w:kern w:val="0"/>
                <w:sz w:val="21"/>
                <w:szCs w:val="21"/>
                <w:lang w:bidi="ar"/>
              </w:rPr>
              <w:t xml:space="preserve"> </w:t>
            </w:r>
          </w:p>
          <w:p w14:paraId="04A4C43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HJ 506-2009</w:t>
            </w:r>
          </w:p>
        </w:tc>
        <w:tc>
          <w:tcPr>
            <w:tcW w:w="1707" w:type="pct"/>
            <w:tcBorders>
              <w:tl2br w:val="nil"/>
              <w:tr2bl w:val="nil"/>
            </w:tcBorders>
            <w:vAlign w:val="center"/>
          </w:tcPr>
          <w:p w14:paraId="4007E0C0" w14:textId="77777777" w:rsidR="009D12AF" w:rsidRDefault="00000000">
            <w:pPr>
              <w:widowControl/>
              <w:ind w:firstLineChars="0" w:firstLine="0"/>
              <w:jc w:val="center"/>
              <w:textAlignment w:val="center"/>
              <w:rPr>
                <w:rFonts w:ascii="Times New Roman" w:hAnsi="Times New Roman" w:cs="Times New Roman"/>
                <w:color w:val="000000"/>
                <w:kern w:val="0"/>
                <w:sz w:val="21"/>
                <w:szCs w:val="21"/>
                <w:lang w:bidi="ar"/>
              </w:rPr>
            </w:pPr>
            <w:r>
              <w:rPr>
                <w:rFonts w:ascii="Times New Roman" w:hAnsi="Times New Roman" w:cs="Times New Roman" w:hint="eastAsia"/>
                <w:color w:val="000000"/>
                <w:kern w:val="0"/>
                <w:sz w:val="21"/>
                <w:szCs w:val="21"/>
                <w:lang w:bidi="ar"/>
              </w:rPr>
              <w:t>便携式溶解氧测定仪</w:t>
            </w:r>
            <w:r>
              <w:rPr>
                <w:rFonts w:ascii="Times New Roman" w:hAnsi="Times New Roman" w:cs="Times New Roman" w:hint="eastAsia"/>
                <w:color w:val="000000"/>
                <w:kern w:val="0"/>
                <w:sz w:val="21"/>
                <w:szCs w:val="21"/>
                <w:lang w:bidi="ar"/>
              </w:rPr>
              <w:t>/DO200/KXYQ-056</w:t>
            </w:r>
          </w:p>
        </w:tc>
      </w:tr>
      <w:tr w:rsidR="009D12AF" w14:paraId="05DD6ED5" w14:textId="77777777">
        <w:trPr>
          <w:trHeight w:val="652"/>
          <w:jc w:val="center"/>
        </w:trPr>
        <w:tc>
          <w:tcPr>
            <w:tcW w:w="251" w:type="pct"/>
            <w:tcBorders>
              <w:tl2br w:val="nil"/>
              <w:tr2bl w:val="nil"/>
            </w:tcBorders>
            <w:vAlign w:val="center"/>
          </w:tcPr>
          <w:p w14:paraId="5C652548"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4</w:t>
            </w:r>
          </w:p>
        </w:tc>
        <w:tc>
          <w:tcPr>
            <w:tcW w:w="791" w:type="pct"/>
            <w:tcBorders>
              <w:tl2br w:val="nil"/>
              <w:tr2bl w:val="nil"/>
            </w:tcBorders>
            <w:vAlign w:val="center"/>
          </w:tcPr>
          <w:p w14:paraId="2F543032"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化学需氧量</w:t>
            </w:r>
          </w:p>
        </w:tc>
        <w:tc>
          <w:tcPr>
            <w:tcW w:w="2250" w:type="pct"/>
            <w:tcBorders>
              <w:tl2br w:val="nil"/>
              <w:tr2bl w:val="nil"/>
            </w:tcBorders>
            <w:vAlign w:val="center"/>
          </w:tcPr>
          <w:p w14:paraId="4BC9BD5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化学需氧量的测定</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重铬酸盐法</w:t>
            </w:r>
            <w:r>
              <w:rPr>
                <w:rFonts w:ascii="Times New Roman" w:eastAsia="宋体" w:hAnsi="Times New Roman" w:cs="Times New Roman"/>
                <w:kern w:val="0"/>
                <w:sz w:val="21"/>
                <w:szCs w:val="21"/>
                <w:lang w:bidi="ar"/>
              </w:rPr>
              <w:t xml:space="preserve"> </w:t>
            </w:r>
          </w:p>
          <w:p w14:paraId="1572726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HJ 828-2017</w:t>
            </w:r>
          </w:p>
        </w:tc>
        <w:tc>
          <w:tcPr>
            <w:tcW w:w="1707" w:type="pct"/>
            <w:tcBorders>
              <w:tl2br w:val="nil"/>
              <w:tr2bl w:val="nil"/>
            </w:tcBorders>
            <w:vAlign w:val="center"/>
          </w:tcPr>
          <w:p w14:paraId="629B962F"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hAnsi="Times New Roman" w:cs="Times New Roman" w:hint="eastAsia"/>
                <w:color w:val="000000"/>
                <w:kern w:val="0"/>
                <w:sz w:val="21"/>
                <w:szCs w:val="21"/>
                <w:lang w:bidi="ar"/>
              </w:rPr>
              <w:t>酸式滴定管</w:t>
            </w:r>
            <w:r>
              <w:rPr>
                <w:rFonts w:ascii="Times New Roman" w:hAnsi="Times New Roman" w:cs="Times New Roman" w:hint="eastAsia"/>
                <w:color w:val="000000"/>
                <w:kern w:val="0"/>
                <w:sz w:val="21"/>
                <w:szCs w:val="21"/>
                <w:lang w:bidi="ar"/>
              </w:rPr>
              <w:t>/50ml</w:t>
            </w:r>
          </w:p>
        </w:tc>
      </w:tr>
      <w:tr w:rsidR="009D12AF" w14:paraId="7C83EDE8" w14:textId="77777777">
        <w:trPr>
          <w:trHeight w:val="652"/>
          <w:jc w:val="center"/>
        </w:trPr>
        <w:tc>
          <w:tcPr>
            <w:tcW w:w="251" w:type="pct"/>
            <w:vMerge w:val="restart"/>
            <w:tcBorders>
              <w:tl2br w:val="nil"/>
              <w:tr2bl w:val="nil"/>
            </w:tcBorders>
            <w:vAlign w:val="center"/>
          </w:tcPr>
          <w:p w14:paraId="1AF1881F"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5</w:t>
            </w:r>
          </w:p>
        </w:tc>
        <w:tc>
          <w:tcPr>
            <w:tcW w:w="791" w:type="pct"/>
            <w:vMerge w:val="restart"/>
            <w:tcBorders>
              <w:tl2br w:val="nil"/>
              <w:tr2bl w:val="nil"/>
            </w:tcBorders>
            <w:vAlign w:val="center"/>
          </w:tcPr>
          <w:p w14:paraId="3EFFBD37" w14:textId="77777777" w:rsidR="009D12AF" w:rsidRDefault="00000000">
            <w:pPr>
              <w:widowControl/>
              <w:spacing w:line="240" w:lineRule="auto"/>
              <w:ind w:firstLineChars="0" w:firstLine="0"/>
              <w:jc w:val="center"/>
              <w:rPr>
                <w:rFonts w:ascii="Times New Roman" w:eastAsia="宋体" w:hAnsi="Times New Roman"/>
                <w:sz w:val="21"/>
                <w:szCs w:val="21"/>
                <w:lang w:bidi="en-US"/>
              </w:rPr>
            </w:pPr>
            <w:r>
              <w:rPr>
                <w:rFonts w:eastAsia="宋体" w:hint="eastAsia"/>
                <w:sz w:val="21"/>
                <w:szCs w:val="21"/>
              </w:rPr>
              <w:t>五日生化需氧量</w:t>
            </w:r>
          </w:p>
        </w:tc>
        <w:tc>
          <w:tcPr>
            <w:tcW w:w="2250" w:type="pct"/>
            <w:vMerge w:val="restart"/>
            <w:tcBorders>
              <w:tl2br w:val="nil"/>
              <w:tr2bl w:val="nil"/>
            </w:tcBorders>
            <w:vAlign w:val="center"/>
          </w:tcPr>
          <w:p w14:paraId="740ACA68" w14:textId="77777777" w:rsidR="009D12AF" w:rsidRDefault="00000000">
            <w:pPr>
              <w:widowControl/>
              <w:spacing w:line="240" w:lineRule="auto"/>
              <w:ind w:firstLineChars="0" w:firstLine="0"/>
              <w:jc w:val="center"/>
              <w:rPr>
                <w:rFonts w:ascii="Times New Roman" w:eastAsia="宋体" w:hAnsi="Times New Roman"/>
                <w:sz w:val="21"/>
                <w:szCs w:val="21"/>
                <w:lang w:bidi="en-US"/>
              </w:rPr>
            </w:pPr>
            <w:r>
              <w:rPr>
                <w:rFonts w:eastAsia="宋体"/>
                <w:sz w:val="21"/>
                <w:szCs w:val="21"/>
              </w:rPr>
              <w:t>水质</w:t>
            </w:r>
            <w:r>
              <w:rPr>
                <w:rFonts w:eastAsia="宋体"/>
                <w:sz w:val="21"/>
                <w:szCs w:val="21"/>
              </w:rPr>
              <w:t xml:space="preserve"> </w:t>
            </w:r>
            <w:r>
              <w:rPr>
                <w:rFonts w:eastAsia="宋体"/>
                <w:sz w:val="21"/>
                <w:szCs w:val="21"/>
              </w:rPr>
              <w:t>五日生化需氧量（</w:t>
            </w:r>
            <w:r>
              <w:rPr>
                <w:rFonts w:eastAsia="宋体"/>
                <w:sz w:val="21"/>
                <w:szCs w:val="21"/>
              </w:rPr>
              <w:t>BOD</w:t>
            </w:r>
            <w:r>
              <w:rPr>
                <w:rFonts w:eastAsia="宋体"/>
                <w:sz w:val="21"/>
                <w:szCs w:val="21"/>
                <w:vertAlign w:val="subscript"/>
              </w:rPr>
              <w:t>5</w:t>
            </w:r>
            <w:r>
              <w:rPr>
                <w:rFonts w:eastAsia="宋体"/>
                <w:sz w:val="21"/>
                <w:szCs w:val="21"/>
              </w:rPr>
              <w:t>）的测定</w:t>
            </w:r>
            <w:r>
              <w:rPr>
                <w:rFonts w:eastAsia="宋体"/>
                <w:sz w:val="21"/>
                <w:szCs w:val="21"/>
              </w:rPr>
              <w:t xml:space="preserve"> </w:t>
            </w:r>
            <w:r>
              <w:rPr>
                <w:rFonts w:eastAsia="宋体"/>
                <w:sz w:val="21"/>
                <w:szCs w:val="21"/>
              </w:rPr>
              <w:t>稀释与接种法</w:t>
            </w:r>
            <w:r>
              <w:rPr>
                <w:rFonts w:eastAsia="宋体" w:hint="eastAsia"/>
                <w:sz w:val="21"/>
                <w:szCs w:val="21"/>
              </w:rPr>
              <w:t xml:space="preserve"> </w:t>
            </w:r>
            <w:r>
              <w:rPr>
                <w:rFonts w:ascii="Times New Roman" w:eastAsia="宋体" w:hAnsi="Times New Roman" w:cs="Times New Roman"/>
                <w:sz w:val="21"/>
                <w:szCs w:val="21"/>
              </w:rPr>
              <w:t>HJ 505-2009</w:t>
            </w:r>
          </w:p>
        </w:tc>
        <w:tc>
          <w:tcPr>
            <w:tcW w:w="1707" w:type="pct"/>
            <w:tcBorders>
              <w:tl2br w:val="nil"/>
              <w:tr2bl w:val="nil"/>
            </w:tcBorders>
            <w:vAlign w:val="center"/>
          </w:tcPr>
          <w:p w14:paraId="5D03F968"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hAnsi="Times New Roman" w:cs="Times New Roman" w:hint="eastAsia"/>
                <w:color w:val="000000"/>
                <w:kern w:val="0"/>
                <w:sz w:val="21"/>
                <w:szCs w:val="21"/>
                <w:lang w:bidi="ar"/>
              </w:rPr>
              <w:t>溶解氧测定仪</w:t>
            </w:r>
            <w:r>
              <w:rPr>
                <w:rFonts w:ascii="Times New Roman" w:hAnsi="Times New Roman" w:cs="Times New Roman" w:hint="eastAsia"/>
                <w:color w:val="000000"/>
                <w:kern w:val="0"/>
                <w:sz w:val="21"/>
                <w:szCs w:val="21"/>
                <w:lang w:bidi="ar"/>
              </w:rPr>
              <w:t>/JPSJ-605F/KXYQ-139</w:t>
            </w:r>
          </w:p>
        </w:tc>
      </w:tr>
      <w:tr w:rsidR="009D12AF" w14:paraId="48D4D2E6" w14:textId="77777777">
        <w:trPr>
          <w:trHeight w:val="652"/>
          <w:jc w:val="center"/>
        </w:trPr>
        <w:tc>
          <w:tcPr>
            <w:tcW w:w="251" w:type="pct"/>
            <w:vMerge/>
            <w:tcBorders>
              <w:tl2br w:val="nil"/>
              <w:tr2bl w:val="nil"/>
            </w:tcBorders>
            <w:vAlign w:val="center"/>
          </w:tcPr>
          <w:p w14:paraId="6C4AE965" w14:textId="77777777" w:rsidR="009D12AF" w:rsidRDefault="009D12AF">
            <w:pPr>
              <w:spacing w:line="240" w:lineRule="auto"/>
              <w:ind w:firstLineChars="0" w:firstLine="0"/>
              <w:jc w:val="center"/>
              <w:rPr>
                <w:rFonts w:ascii="Times New Roman" w:hAnsi="Times New Roman" w:cs="Times New Roman"/>
                <w:sz w:val="21"/>
                <w:szCs w:val="21"/>
              </w:rPr>
            </w:pPr>
          </w:p>
        </w:tc>
        <w:tc>
          <w:tcPr>
            <w:tcW w:w="791" w:type="pct"/>
            <w:vMerge/>
            <w:tcBorders>
              <w:tl2br w:val="nil"/>
              <w:tr2bl w:val="nil"/>
            </w:tcBorders>
            <w:vAlign w:val="center"/>
          </w:tcPr>
          <w:p w14:paraId="10E8BB4F" w14:textId="77777777" w:rsidR="009D12AF" w:rsidRDefault="009D12AF">
            <w:pPr>
              <w:widowControl/>
              <w:ind w:firstLineChars="0" w:firstLine="0"/>
              <w:jc w:val="center"/>
              <w:textAlignment w:val="center"/>
              <w:rPr>
                <w:rFonts w:ascii="Times New Roman" w:eastAsia="宋体" w:hAnsi="Times New Roman" w:cs="Times New Roman"/>
                <w:kern w:val="0"/>
                <w:sz w:val="21"/>
                <w:szCs w:val="21"/>
                <w:lang w:bidi="ar"/>
              </w:rPr>
            </w:pPr>
          </w:p>
        </w:tc>
        <w:tc>
          <w:tcPr>
            <w:tcW w:w="2250" w:type="pct"/>
            <w:vMerge/>
            <w:tcBorders>
              <w:tl2br w:val="nil"/>
              <w:tr2bl w:val="nil"/>
            </w:tcBorders>
            <w:vAlign w:val="center"/>
          </w:tcPr>
          <w:p w14:paraId="4B6683AA" w14:textId="77777777" w:rsidR="009D12AF" w:rsidRDefault="009D12AF">
            <w:pPr>
              <w:widowControl/>
              <w:ind w:firstLineChars="0" w:firstLine="0"/>
              <w:jc w:val="center"/>
              <w:textAlignment w:val="center"/>
              <w:rPr>
                <w:rFonts w:ascii="Times New Roman" w:eastAsia="宋体" w:hAnsi="Times New Roman" w:cs="Times New Roman"/>
                <w:kern w:val="0"/>
                <w:sz w:val="21"/>
                <w:szCs w:val="21"/>
                <w:lang w:bidi="ar"/>
              </w:rPr>
            </w:pPr>
          </w:p>
        </w:tc>
        <w:tc>
          <w:tcPr>
            <w:tcW w:w="1707" w:type="pct"/>
            <w:tcBorders>
              <w:tl2br w:val="nil"/>
              <w:tr2bl w:val="nil"/>
            </w:tcBorders>
            <w:vAlign w:val="center"/>
          </w:tcPr>
          <w:p w14:paraId="36D5F2EA"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hAnsi="Times New Roman" w:cs="Times New Roman" w:hint="eastAsia"/>
                <w:color w:val="000000"/>
                <w:kern w:val="0"/>
                <w:sz w:val="21"/>
                <w:szCs w:val="21"/>
                <w:lang w:bidi="ar"/>
              </w:rPr>
              <w:t>生化培养箱</w:t>
            </w:r>
            <w:r>
              <w:rPr>
                <w:rFonts w:ascii="Times New Roman" w:hAnsi="Times New Roman" w:cs="Times New Roman" w:hint="eastAsia"/>
                <w:color w:val="000000"/>
                <w:kern w:val="0"/>
                <w:sz w:val="21"/>
                <w:szCs w:val="21"/>
                <w:lang w:bidi="ar"/>
              </w:rPr>
              <w:t>/SPX-150B/KXYQ-024</w:t>
            </w:r>
          </w:p>
        </w:tc>
      </w:tr>
      <w:tr w:rsidR="009D12AF" w14:paraId="12BA715B" w14:textId="77777777">
        <w:trPr>
          <w:trHeight w:val="652"/>
          <w:jc w:val="center"/>
        </w:trPr>
        <w:tc>
          <w:tcPr>
            <w:tcW w:w="251" w:type="pct"/>
            <w:tcBorders>
              <w:tl2br w:val="nil"/>
              <w:tr2bl w:val="nil"/>
            </w:tcBorders>
            <w:vAlign w:val="center"/>
          </w:tcPr>
          <w:p w14:paraId="27AB9DDE"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lastRenderedPageBreak/>
              <w:t>6</w:t>
            </w:r>
          </w:p>
        </w:tc>
        <w:tc>
          <w:tcPr>
            <w:tcW w:w="791" w:type="pct"/>
            <w:tcBorders>
              <w:tl2br w:val="nil"/>
              <w:tr2bl w:val="nil"/>
            </w:tcBorders>
            <w:vAlign w:val="center"/>
          </w:tcPr>
          <w:p w14:paraId="7DD41F18"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氨氮</w:t>
            </w:r>
          </w:p>
        </w:tc>
        <w:tc>
          <w:tcPr>
            <w:tcW w:w="2250" w:type="pct"/>
            <w:tcBorders>
              <w:tl2br w:val="nil"/>
              <w:tr2bl w:val="nil"/>
            </w:tcBorders>
            <w:vAlign w:val="center"/>
          </w:tcPr>
          <w:p w14:paraId="4DB9C691"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水质</w:t>
            </w:r>
            <w:r>
              <w:rPr>
                <w:rFonts w:ascii="Times New Roman" w:eastAsia="宋体" w:hAnsi="Times New Roman" w:cs="Times New Roman"/>
                <w:color w:val="000000"/>
                <w:kern w:val="0"/>
                <w:sz w:val="21"/>
                <w:szCs w:val="21"/>
                <w:lang w:bidi="ar"/>
              </w:rPr>
              <w:t xml:space="preserve"> </w:t>
            </w:r>
            <w:r>
              <w:rPr>
                <w:rFonts w:ascii="Times New Roman" w:eastAsia="宋体" w:hAnsi="Times New Roman" w:cs="Times New Roman"/>
                <w:color w:val="000000"/>
                <w:kern w:val="0"/>
                <w:sz w:val="21"/>
                <w:szCs w:val="21"/>
                <w:lang w:bidi="ar"/>
              </w:rPr>
              <w:t>氨氮的测定</w:t>
            </w:r>
            <w:r>
              <w:rPr>
                <w:rFonts w:ascii="Times New Roman" w:eastAsia="宋体" w:hAnsi="Times New Roman" w:cs="Times New Roman"/>
                <w:color w:val="000000"/>
                <w:kern w:val="0"/>
                <w:sz w:val="21"/>
                <w:szCs w:val="21"/>
                <w:lang w:bidi="ar"/>
              </w:rPr>
              <w:t xml:space="preserve"> </w:t>
            </w:r>
            <w:r>
              <w:rPr>
                <w:rFonts w:ascii="Times New Roman" w:eastAsia="宋体" w:hAnsi="Times New Roman" w:cs="Times New Roman"/>
                <w:color w:val="000000"/>
                <w:kern w:val="0"/>
                <w:sz w:val="21"/>
                <w:szCs w:val="21"/>
                <w:lang w:bidi="ar"/>
              </w:rPr>
              <w:t>纳氏试剂分光光度法</w:t>
            </w:r>
          </w:p>
          <w:p w14:paraId="6B038369"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HJ 535-2009</w:t>
            </w:r>
          </w:p>
        </w:tc>
        <w:tc>
          <w:tcPr>
            <w:tcW w:w="1707" w:type="pct"/>
            <w:tcBorders>
              <w:tl2br w:val="nil"/>
              <w:tr2bl w:val="nil"/>
            </w:tcBorders>
            <w:vAlign w:val="center"/>
          </w:tcPr>
          <w:p w14:paraId="00D55214"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highlight w:val="yellow"/>
                <w:lang w:bidi="ar"/>
              </w:rPr>
            </w:pPr>
            <w:r>
              <w:rPr>
                <w:rFonts w:ascii="Times New Roman" w:eastAsia="宋体" w:hAnsi="Times New Roman" w:cs="Times New Roman"/>
                <w:color w:val="000000"/>
                <w:kern w:val="0"/>
                <w:sz w:val="21"/>
                <w:szCs w:val="21"/>
                <w:lang w:bidi="ar"/>
              </w:rPr>
              <w:t>紫外可见分光光度计</w:t>
            </w:r>
            <w:r>
              <w:rPr>
                <w:rFonts w:ascii="Times New Roman" w:eastAsia="宋体" w:hAnsi="Times New Roman" w:cs="Times New Roman"/>
                <w:color w:val="000000"/>
                <w:kern w:val="0"/>
                <w:sz w:val="21"/>
                <w:szCs w:val="21"/>
                <w:lang w:bidi="ar"/>
              </w:rPr>
              <w:t>/UV-1800D/KXYQ-015</w:t>
            </w:r>
          </w:p>
        </w:tc>
      </w:tr>
      <w:tr w:rsidR="009D12AF" w14:paraId="2138A26E" w14:textId="77777777">
        <w:trPr>
          <w:trHeight w:val="652"/>
          <w:jc w:val="center"/>
        </w:trPr>
        <w:tc>
          <w:tcPr>
            <w:tcW w:w="251" w:type="pct"/>
            <w:tcBorders>
              <w:tl2br w:val="nil"/>
              <w:tr2bl w:val="nil"/>
            </w:tcBorders>
            <w:vAlign w:val="center"/>
          </w:tcPr>
          <w:p w14:paraId="159B6A5B"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w:t>
            </w:r>
          </w:p>
        </w:tc>
        <w:tc>
          <w:tcPr>
            <w:tcW w:w="791" w:type="pct"/>
            <w:tcBorders>
              <w:tl2br w:val="nil"/>
              <w:tr2bl w:val="nil"/>
            </w:tcBorders>
            <w:vAlign w:val="center"/>
          </w:tcPr>
          <w:p w14:paraId="064BF02E" w14:textId="77777777" w:rsidR="009D12AF" w:rsidRDefault="00000000">
            <w:pPr>
              <w:widowControl/>
              <w:spacing w:line="240" w:lineRule="auto"/>
              <w:ind w:firstLineChars="0" w:firstLine="0"/>
              <w:jc w:val="center"/>
              <w:rPr>
                <w:rFonts w:ascii="Times New Roman" w:eastAsia="宋体" w:hAnsi="Times New Roman"/>
                <w:sz w:val="21"/>
                <w:szCs w:val="21"/>
                <w:lang w:bidi="en-US"/>
              </w:rPr>
            </w:pPr>
            <w:r>
              <w:rPr>
                <w:rFonts w:hint="eastAsia"/>
                <w:sz w:val="21"/>
                <w:szCs w:val="21"/>
              </w:rPr>
              <w:t>总磷</w:t>
            </w:r>
          </w:p>
        </w:tc>
        <w:tc>
          <w:tcPr>
            <w:tcW w:w="2250" w:type="pct"/>
            <w:tcBorders>
              <w:tl2br w:val="nil"/>
              <w:tr2bl w:val="nil"/>
            </w:tcBorders>
            <w:vAlign w:val="center"/>
          </w:tcPr>
          <w:p w14:paraId="2A49B8A4"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sz w:val="21"/>
                <w:szCs w:val="21"/>
              </w:rPr>
              <w:t>水质</w:t>
            </w:r>
            <w:r>
              <w:rPr>
                <w:rFonts w:ascii="Times New Roman" w:hAnsi="Times New Roman" w:cs="Times New Roman"/>
                <w:sz w:val="21"/>
                <w:szCs w:val="21"/>
              </w:rPr>
              <w:t xml:space="preserve"> </w:t>
            </w:r>
            <w:r>
              <w:rPr>
                <w:rFonts w:ascii="Times New Roman" w:hAnsi="Times New Roman" w:cs="Times New Roman"/>
                <w:sz w:val="21"/>
                <w:szCs w:val="21"/>
              </w:rPr>
              <w:t>总磷的测定</w:t>
            </w:r>
            <w:r>
              <w:rPr>
                <w:rFonts w:ascii="Times New Roman" w:hAnsi="Times New Roman" w:cs="Times New Roman"/>
                <w:sz w:val="21"/>
                <w:szCs w:val="21"/>
              </w:rPr>
              <w:t xml:space="preserve"> </w:t>
            </w:r>
            <w:r>
              <w:rPr>
                <w:rFonts w:ascii="Times New Roman" w:hAnsi="Times New Roman" w:cs="Times New Roman"/>
                <w:sz w:val="21"/>
                <w:szCs w:val="21"/>
              </w:rPr>
              <w:t>钼酸铵分光光度法</w:t>
            </w:r>
            <w:r>
              <w:rPr>
                <w:rFonts w:ascii="Times New Roman" w:hAnsi="Times New Roman" w:cs="Times New Roman"/>
                <w:sz w:val="21"/>
                <w:szCs w:val="21"/>
              </w:rPr>
              <w:t xml:space="preserve"> </w:t>
            </w:r>
          </w:p>
          <w:p w14:paraId="693D35F1"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sz w:val="21"/>
                <w:szCs w:val="21"/>
              </w:rPr>
              <w:t>GB 11893-89</w:t>
            </w:r>
          </w:p>
        </w:tc>
        <w:tc>
          <w:tcPr>
            <w:tcW w:w="1707" w:type="pct"/>
            <w:tcBorders>
              <w:tl2br w:val="nil"/>
              <w:tr2bl w:val="nil"/>
            </w:tcBorders>
            <w:vAlign w:val="center"/>
          </w:tcPr>
          <w:p w14:paraId="6C4B563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紫外可见分光光度计</w:t>
            </w:r>
            <w:r>
              <w:rPr>
                <w:rFonts w:ascii="Times New Roman" w:eastAsia="宋体" w:hAnsi="Times New Roman" w:cs="Times New Roman"/>
                <w:kern w:val="0"/>
                <w:sz w:val="21"/>
                <w:szCs w:val="21"/>
                <w:lang w:bidi="ar"/>
              </w:rPr>
              <w:t>/UV-1800D/KXYQ-015</w:t>
            </w:r>
          </w:p>
        </w:tc>
      </w:tr>
      <w:tr w:rsidR="009D12AF" w14:paraId="59CC74D9" w14:textId="77777777">
        <w:trPr>
          <w:trHeight w:val="652"/>
          <w:jc w:val="center"/>
        </w:trPr>
        <w:tc>
          <w:tcPr>
            <w:tcW w:w="251" w:type="pct"/>
            <w:tcBorders>
              <w:tl2br w:val="nil"/>
              <w:tr2bl w:val="nil"/>
            </w:tcBorders>
            <w:vAlign w:val="center"/>
          </w:tcPr>
          <w:p w14:paraId="14BC0D09"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8</w:t>
            </w:r>
          </w:p>
        </w:tc>
        <w:tc>
          <w:tcPr>
            <w:tcW w:w="791" w:type="pct"/>
            <w:tcBorders>
              <w:tl2br w:val="nil"/>
              <w:tr2bl w:val="nil"/>
            </w:tcBorders>
            <w:vAlign w:val="center"/>
          </w:tcPr>
          <w:p w14:paraId="0D4CD928" w14:textId="77777777" w:rsidR="009D12AF" w:rsidRDefault="00000000">
            <w:pPr>
              <w:widowControl/>
              <w:spacing w:line="240" w:lineRule="auto"/>
              <w:ind w:firstLineChars="0" w:firstLine="0"/>
              <w:jc w:val="center"/>
              <w:rPr>
                <w:rFonts w:ascii="Times New Roman" w:eastAsia="宋体" w:hAnsi="Times New Roman"/>
                <w:sz w:val="21"/>
                <w:szCs w:val="21"/>
                <w:lang w:bidi="en-US"/>
              </w:rPr>
            </w:pPr>
            <w:r>
              <w:rPr>
                <w:rFonts w:hint="eastAsia"/>
                <w:sz w:val="21"/>
                <w:szCs w:val="21"/>
              </w:rPr>
              <w:t>总氮</w:t>
            </w:r>
          </w:p>
        </w:tc>
        <w:tc>
          <w:tcPr>
            <w:tcW w:w="2250" w:type="pct"/>
            <w:tcBorders>
              <w:tl2br w:val="nil"/>
              <w:tr2bl w:val="nil"/>
            </w:tcBorders>
            <w:vAlign w:val="center"/>
          </w:tcPr>
          <w:p w14:paraId="58338090"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sz w:val="21"/>
                <w:szCs w:val="21"/>
              </w:rPr>
              <w:t>水质</w:t>
            </w:r>
            <w:r>
              <w:rPr>
                <w:rFonts w:ascii="Times New Roman" w:hAnsi="Times New Roman" w:cs="Times New Roman"/>
                <w:sz w:val="21"/>
                <w:szCs w:val="21"/>
              </w:rPr>
              <w:t xml:space="preserve"> </w:t>
            </w:r>
            <w:r>
              <w:rPr>
                <w:rFonts w:ascii="Times New Roman" w:hAnsi="Times New Roman" w:cs="Times New Roman"/>
                <w:sz w:val="21"/>
                <w:szCs w:val="21"/>
              </w:rPr>
              <w:t>总氮的测定</w:t>
            </w:r>
            <w:r>
              <w:rPr>
                <w:rFonts w:ascii="Times New Roman" w:hAnsi="Times New Roman" w:cs="Times New Roman"/>
                <w:sz w:val="21"/>
                <w:szCs w:val="21"/>
              </w:rPr>
              <w:t xml:space="preserve"> </w:t>
            </w:r>
            <w:r>
              <w:rPr>
                <w:rFonts w:ascii="Times New Roman" w:hAnsi="Times New Roman" w:cs="Times New Roman"/>
                <w:sz w:val="21"/>
                <w:szCs w:val="21"/>
              </w:rPr>
              <w:t>碱性过硫酸钾消解紫外分光光度法</w:t>
            </w:r>
            <w:r>
              <w:rPr>
                <w:rFonts w:ascii="Times New Roman" w:hAnsi="Times New Roman" w:cs="Times New Roman"/>
                <w:sz w:val="21"/>
                <w:szCs w:val="21"/>
              </w:rPr>
              <w:t xml:space="preserve"> HJ 636-2012</w:t>
            </w:r>
          </w:p>
        </w:tc>
        <w:tc>
          <w:tcPr>
            <w:tcW w:w="1707" w:type="pct"/>
            <w:tcBorders>
              <w:tl2br w:val="nil"/>
              <w:tr2bl w:val="nil"/>
            </w:tcBorders>
            <w:vAlign w:val="center"/>
          </w:tcPr>
          <w:p w14:paraId="4AD7F48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紫外可见分光光度计</w:t>
            </w:r>
            <w:r>
              <w:rPr>
                <w:rFonts w:ascii="Times New Roman" w:eastAsia="宋体" w:hAnsi="Times New Roman" w:cs="Times New Roman"/>
                <w:kern w:val="0"/>
                <w:sz w:val="21"/>
                <w:szCs w:val="21"/>
                <w:lang w:bidi="ar"/>
              </w:rPr>
              <w:t>/UV-1800D/KXYQ-015</w:t>
            </w:r>
          </w:p>
        </w:tc>
      </w:tr>
      <w:tr w:rsidR="009D12AF" w14:paraId="188FC730" w14:textId="77777777">
        <w:trPr>
          <w:trHeight w:val="652"/>
          <w:jc w:val="center"/>
        </w:trPr>
        <w:tc>
          <w:tcPr>
            <w:tcW w:w="251" w:type="pct"/>
            <w:tcBorders>
              <w:tl2br w:val="nil"/>
              <w:tr2bl w:val="nil"/>
            </w:tcBorders>
            <w:vAlign w:val="center"/>
          </w:tcPr>
          <w:p w14:paraId="13AB7D34"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9</w:t>
            </w:r>
          </w:p>
        </w:tc>
        <w:tc>
          <w:tcPr>
            <w:tcW w:w="791" w:type="pct"/>
            <w:tcBorders>
              <w:tl2br w:val="nil"/>
              <w:tr2bl w:val="nil"/>
            </w:tcBorders>
            <w:vAlign w:val="center"/>
          </w:tcPr>
          <w:p w14:paraId="34EEFB99" w14:textId="77777777" w:rsidR="009D12AF" w:rsidRDefault="00000000">
            <w:pPr>
              <w:widowControl/>
              <w:spacing w:line="240" w:lineRule="auto"/>
              <w:ind w:firstLineChars="0" w:firstLine="0"/>
              <w:jc w:val="center"/>
              <w:rPr>
                <w:rFonts w:ascii="Times New Roman" w:eastAsia="宋体" w:hAnsi="Times New Roman"/>
                <w:sz w:val="21"/>
                <w:szCs w:val="21"/>
                <w:lang w:bidi="en-US"/>
              </w:rPr>
            </w:pPr>
            <w:r>
              <w:rPr>
                <w:rFonts w:ascii="Times New Roman" w:hAnsi="Times New Roman" w:hint="eastAsia"/>
                <w:sz w:val="21"/>
                <w:szCs w:val="21"/>
                <w:lang w:bidi="en-US"/>
              </w:rPr>
              <w:t>铜</w:t>
            </w:r>
          </w:p>
        </w:tc>
        <w:tc>
          <w:tcPr>
            <w:tcW w:w="2250" w:type="pct"/>
            <w:tcBorders>
              <w:tl2br w:val="nil"/>
              <w:tr2bl w:val="nil"/>
            </w:tcBorders>
            <w:vAlign w:val="center"/>
          </w:tcPr>
          <w:p w14:paraId="4F36EFE7"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eastAsia="宋体" w:hAnsi="Times New Roman" w:cs="Times New Roman"/>
                <w:sz w:val="21"/>
                <w:szCs w:val="21"/>
                <w:lang w:bidi="en-US"/>
              </w:rPr>
              <w:t>水质</w:t>
            </w:r>
            <w:r>
              <w:rPr>
                <w:rFonts w:ascii="Times New Roman" w:eastAsia="宋体" w:hAnsi="Times New Roman" w:cs="Times New Roman"/>
                <w:sz w:val="21"/>
                <w:szCs w:val="21"/>
                <w:lang w:bidi="en-US"/>
              </w:rPr>
              <w:t xml:space="preserve"> </w:t>
            </w:r>
            <w:r>
              <w:rPr>
                <w:rFonts w:ascii="Times New Roman" w:eastAsia="宋体" w:hAnsi="Times New Roman" w:cs="Times New Roman"/>
                <w:sz w:val="21"/>
                <w:szCs w:val="21"/>
                <w:lang w:bidi="en-US"/>
              </w:rPr>
              <w:t>铜、锌、铅、镉的测定</w:t>
            </w:r>
            <w:r>
              <w:rPr>
                <w:rFonts w:ascii="Times New Roman" w:eastAsia="宋体" w:hAnsi="Times New Roman" w:cs="Times New Roman"/>
                <w:sz w:val="21"/>
                <w:szCs w:val="21"/>
                <w:lang w:bidi="en-US"/>
              </w:rPr>
              <w:t xml:space="preserve"> </w:t>
            </w:r>
            <w:r>
              <w:rPr>
                <w:rFonts w:ascii="Times New Roman" w:eastAsia="宋体" w:hAnsi="Times New Roman" w:cs="Times New Roman"/>
                <w:sz w:val="21"/>
                <w:szCs w:val="21"/>
                <w:lang w:bidi="en-US"/>
              </w:rPr>
              <w:t>原子吸收分光光度法</w:t>
            </w:r>
            <w:r>
              <w:rPr>
                <w:rFonts w:ascii="Times New Roman" w:eastAsia="宋体" w:hAnsi="Times New Roman" w:cs="Times New Roman"/>
                <w:sz w:val="21"/>
                <w:szCs w:val="21"/>
                <w:lang w:bidi="en-US"/>
              </w:rPr>
              <w:t xml:space="preserve"> GB 7475-87</w:t>
            </w:r>
          </w:p>
        </w:tc>
        <w:tc>
          <w:tcPr>
            <w:tcW w:w="1707" w:type="pct"/>
            <w:tcBorders>
              <w:tl2br w:val="nil"/>
              <w:tr2bl w:val="nil"/>
            </w:tcBorders>
            <w:vAlign w:val="center"/>
          </w:tcPr>
          <w:p w14:paraId="099E4A2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原子吸收分光光度计</w:t>
            </w:r>
            <w:r>
              <w:rPr>
                <w:rFonts w:ascii="Times New Roman" w:hAnsi="Times New Roman" w:cs="Times New Roman" w:hint="eastAsia"/>
                <w:kern w:val="0"/>
                <w:sz w:val="21"/>
                <w:szCs w:val="21"/>
                <w:lang w:bidi="ar"/>
              </w:rPr>
              <w:t>/TAS-990AFG/KXYQ-001</w:t>
            </w:r>
          </w:p>
        </w:tc>
      </w:tr>
      <w:tr w:rsidR="009D12AF" w14:paraId="4F29F3F4" w14:textId="77777777">
        <w:trPr>
          <w:trHeight w:val="652"/>
          <w:jc w:val="center"/>
        </w:trPr>
        <w:tc>
          <w:tcPr>
            <w:tcW w:w="251" w:type="pct"/>
            <w:tcBorders>
              <w:tl2br w:val="nil"/>
              <w:tr2bl w:val="nil"/>
            </w:tcBorders>
            <w:vAlign w:val="center"/>
          </w:tcPr>
          <w:p w14:paraId="5ED92A11"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10</w:t>
            </w:r>
          </w:p>
        </w:tc>
        <w:tc>
          <w:tcPr>
            <w:tcW w:w="791" w:type="pct"/>
            <w:tcBorders>
              <w:tl2br w:val="nil"/>
              <w:tr2bl w:val="nil"/>
            </w:tcBorders>
            <w:vAlign w:val="center"/>
          </w:tcPr>
          <w:p w14:paraId="4C2FBFC4" w14:textId="77777777" w:rsidR="009D12AF" w:rsidRDefault="00000000">
            <w:pPr>
              <w:widowControl/>
              <w:spacing w:line="240" w:lineRule="auto"/>
              <w:ind w:firstLineChars="0" w:firstLine="0"/>
              <w:jc w:val="center"/>
              <w:rPr>
                <w:rFonts w:ascii="Times New Roman" w:eastAsia="宋体" w:hAnsi="Times New Roman"/>
                <w:sz w:val="21"/>
                <w:szCs w:val="21"/>
                <w:lang w:bidi="en-US"/>
              </w:rPr>
            </w:pPr>
            <w:r>
              <w:rPr>
                <w:rFonts w:ascii="Times New Roman" w:hAnsi="Times New Roman" w:hint="eastAsia"/>
                <w:sz w:val="21"/>
                <w:szCs w:val="21"/>
                <w:lang w:bidi="en-US"/>
              </w:rPr>
              <w:t>锌</w:t>
            </w:r>
          </w:p>
        </w:tc>
        <w:tc>
          <w:tcPr>
            <w:tcW w:w="2250" w:type="pct"/>
            <w:tcBorders>
              <w:tl2br w:val="nil"/>
              <w:tr2bl w:val="nil"/>
            </w:tcBorders>
            <w:vAlign w:val="center"/>
          </w:tcPr>
          <w:p w14:paraId="5EDCAA21"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eastAsia="宋体" w:hAnsi="Times New Roman" w:cs="Times New Roman"/>
                <w:sz w:val="21"/>
                <w:szCs w:val="21"/>
                <w:lang w:bidi="en-US"/>
              </w:rPr>
              <w:t>水质</w:t>
            </w:r>
            <w:r>
              <w:rPr>
                <w:rFonts w:ascii="Times New Roman" w:eastAsia="宋体" w:hAnsi="Times New Roman" w:cs="Times New Roman"/>
                <w:sz w:val="21"/>
                <w:szCs w:val="21"/>
                <w:lang w:bidi="en-US"/>
              </w:rPr>
              <w:t xml:space="preserve"> </w:t>
            </w:r>
            <w:r>
              <w:rPr>
                <w:rFonts w:ascii="Times New Roman" w:eastAsia="宋体" w:hAnsi="Times New Roman" w:cs="Times New Roman"/>
                <w:sz w:val="21"/>
                <w:szCs w:val="21"/>
                <w:lang w:bidi="en-US"/>
              </w:rPr>
              <w:t>铜、锌、铅、镉的测定</w:t>
            </w:r>
            <w:r>
              <w:rPr>
                <w:rFonts w:ascii="Times New Roman" w:eastAsia="宋体" w:hAnsi="Times New Roman" w:cs="Times New Roman"/>
                <w:sz w:val="21"/>
                <w:szCs w:val="21"/>
                <w:lang w:bidi="en-US"/>
              </w:rPr>
              <w:t xml:space="preserve"> </w:t>
            </w:r>
            <w:r>
              <w:rPr>
                <w:rFonts w:ascii="Times New Roman" w:eastAsia="宋体" w:hAnsi="Times New Roman" w:cs="Times New Roman"/>
                <w:sz w:val="21"/>
                <w:szCs w:val="21"/>
                <w:lang w:bidi="en-US"/>
              </w:rPr>
              <w:t>原子吸收分光光度法</w:t>
            </w:r>
            <w:r>
              <w:rPr>
                <w:rFonts w:ascii="Times New Roman" w:eastAsia="宋体" w:hAnsi="Times New Roman" w:cs="Times New Roman"/>
                <w:sz w:val="21"/>
                <w:szCs w:val="21"/>
                <w:lang w:bidi="en-US"/>
              </w:rPr>
              <w:t xml:space="preserve"> GB 7475-87</w:t>
            </w:r>
          </w:p>
        </w:tc>
        <w:tc>
          <w:tcPr>
            <w:tcW w:w="1707" w:type="pct"/>
            <w:tcBorders>
              <w:tl2br w:val="nil"/>
              <w:tr2bl w:val="nil"/>
            </w:tcBorders>
            <w:vAlign w:val="center"/>
          </w:tcPr>
          <w:p w14:paraId="52778B5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原子吸收分光光度计</w:t>
            </w:r>
            <w:r>
              <w:rPr>
                <w:rFonts w:ascii="Times New Roman" w:hAnsi="Times New Roman" w:cs="Times New Roman" w:hint="eastAsia"/>
                <w:kern w:val="0"/>
                <w:sz w:val="21"/>
                <w:szCs w:val="21"/>
                <w:lang w:bidi="ar"/>
              </w:rPr>
              <w:t>/TAS-990AFG/KXYQ-001</w:t>
            </w:r>
          </w:p>
        </w:tc>
      </w:tr>
      <w:tr w:rsidR="009D12AF" w14:paraId="337DF156" w14:textId="77777777">
        <w:trPr>
          <w:trHeight w:val="652"/>
          <w:jc w:val="center"/>
        </w:trPr>
        <w:tc>
          <w:tcPr>
            <w:tcW w:w="710" w:type="dxa"/>
            <w:tcBorders>
              <w:tl2br w:val="nil"/>
              <w:tr2bl w:val="nil"/>
            </w:tcBorders>
            <w:vAlign w:val="center"/>
          </w:tcPr>
          <w:p w14:paraId="1780C5F0"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11</w:t>
            </w:r>
          </w:p>
        </w:tc>
        <w:tc>
          <w:tcPr>
            <w:tcW w:w="1221" w:type="dxa"/>
            <w:tcBorders>
              <w:tl2br w:val="nil"/>
              <w:tr2bl w:val="nil"/>
            </w:tcBorders>
            <w:vAlign w:val="center"/>
          </w:tcPr>
          <w:p w14:paraId="42364A0D" w14:textId="77777777" w:rsidR="009D12AF" w:rsidRDefault="00000000">
            <w:pPr>
              <w:widowControl/>
              <w:ind w:firstLineChars="0" w:firstLine="0"/>
              <w:jc w:val="center"/>
              <w:textAlignment w:val="center"/>
              <w:rPr>
                <w:rFonts w:ascii="Times New Roman" w:hAnsi="Times New Roman"/>
                <w:sz w:val="21"/>
                <w:szCs w:val="21"/>
                <w:lang w:bidi="en-US"/>
              </w:rPr>
            </w:pPr>
            <w:r>
              <w:rPr>
                <w:rFonts w:ascii="Times New Roman" w:eastAsia="宋体" w:hAnsi="Times New Roman" w:cs="Times New Roman"/>
                <w:kern w:val="0"/>
                <w:sz w:val="21"/>
                <w:szCs w:val="21"/>
                <w:lang w:bidi="ar"/>
              </w:rPr>
              <w:t>氟化物</w:t>
            </w:r>
          </w:p>
        </w:tc>
        <w:tc>
          <w:tcPr>
            <w:tcW w:w="3653" w:type="dxa"/>
            <w:tcBorders>
              <w:tl2br w:val="nil"/>
              <w:tr2bl w:val="nil"/>
            </w:tcBorders>
            <w:vAlign w:val="center"/>
          </w:tcPr>
          <w:p w14:paraId="37C3A19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氟化物的测定</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氟试剂分光光度法</w:t>
            </w:r>
            <w:r>
              <w:rPr>
                <w:rFonts w:ascii="Times New Roman" w:eastAsia="宋体" w:hAnsi="Times New Roman" w:cs="Times New Roman"/>
                <w:kern w:val="0"/>
                <w:sz w:val="21"/>
                <w:szCs w:val="21"/>
                <w:lang w:bidi="ar"/>
              </w:rPr>
              <w:t xml:space="preserve"> </w:t>
            </w:r>
          </w:p>
          <w:p w14:paraId="671B525B" w14:textId="77777777" w:rsidR="009D12AF" w:rsidRDefault="00000000">
            <w:pPr>
              <w:widowControl/>
              <w:ind w:firstLineChars="0" w:firstLine="0"/>
              <w:jc w:val="center"/>
              <w:textAlignment w:val="center"/>
              <w:rPr>
                <w:rFonts w:ascii="Times New Roman" w:eastAsia="宋体" w:hAnsi="Times New Roman" w:cs="Times New Roman"/>
                <w:sz w:val="21"/>
                <w:szCs w:val="21"/>
                <w:lang w:bidi="en-US"/>
              </w:rPr>
            </w:pPr>
            <w:r>
              <w:rPr>
                <w:rFonts w:ascii="Times New Roman" w:eastAsia="宋体" w:hAnsi="Times New Roman" w:cs="Times New Roman"/>
                <w:kern w:val="0"/>
                <w:sz w:val="21"/>
                <w:szCs w:val="21"/>
                <w:lang w:bidi="ar"/>
              </w:rPr>
              <w:t>HJ 488-2009</w:t>
            </w:r>
          </w:p>
        </w:tc>
        <w:tc>
          <w:tcPr>
            <w:tcW w:w="2749" w:type="dxa"/>
            <w:tcBorders>
              <w:tl2br w:val="nil"/>
              <w:tr2bl w:val="nil"/>
            </w:tcBorders>
            <w:vAlign w:val="center"/>
          </w:tcPr>
          <w:p w14:paraId="1E335CD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紫外可见分光光度计</w:t>
            </w:r>
            <w:r>
              <w:rPr>
                <w:rFonts w:ascii="Times New Roman" w:eastAsia="宋体" w:hAnsi="Times New Roman" w:cs="Times New Roman"/>
                <w:kern w:val="0"/>
                <w:sz w:val="21"/>
                <w:szCs w:val="21"/>
                <w:lang w:bidi="ar"/>
              </w:rPr>
              <w:t>/UV-1800D/KXYQ-015</w:t>
            </w:r>
          </w:p>
        </w:tc>
      </w:tr>
      <w:tr w:rsidR="009D12AF" w14:paraId="46686E0C" w14:textId="77777777">
        <w:trPr>
          <w:trHeight w:val="652"/>
          <w:jc w:val="center"/>
        </w:trPr>
        <w:tc>
          <w:tcPr>
            <w:tcW w:w="710" w:type="dxa"/>
            <w:tcBorders>
              <w:tl2br w:val="nil"/>
              <w:tr2bl w:val="nil"/>
            </w:tcBorders>
            <w:vAlign w:val="center"/>
          </w:tcPr>
          <w:p w14:paraId="01A0376E"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w:t>
            </w:r>
          </w:p>
        </w:tc>
        <w:tc>
          <w:tcPr>
            <w:tcW w:w="1221" w:type="dxa"/>
            <w:tcBorders>
              <w:tl2br w:val="nil"/>
              <w:tr2bl w:val="nil"/>
            </w:tcBorders>
            <w:vAlign w:val="center"/>
          </w:tcPr>
          <w:p w14:paraId="7A7B1980" w14:textId="77777777" w:rsidR="009D12AF" w:rsidRDefault="00000000">
            <w:pPr>
              <w:widowControl/>
              <w:spacing w:line="240" w:lineRule="auto"/>
              <w:ind w:firstLineChars="0" w:firstLine="0"/>
              <w:jc w:val="center"/>
              <w:rPr>
                <w:rFonts w:ascii="Times New Roman" w:hAnsi="Times New Roman"/>
                <w:sz w:val="21"/>
                <w:szCs w:val="21"/>
                <w:lang w:bidi="en-US"/>
              </w:rPr>
            </w:pPr>
            <w:r>
              <w:rPr>
                <w:rFonts w:ascii="Times New Roman" w:hAnsi="Times New Roman" w:cs="Times New Roman" w:hint="eastAsia"/>
                <w:sz w:val="21"/>
                <w:szCs w:val="21"/>
              </w:rPr>
              <w:t>砷</w:t>
            </w:r>
          </w:p>
        </w:tc>
        <w:tc>
          <w:tcPr>
            <w:tcW w:w="3653" w:type="dxa"/>
            <w:tcBorders>
              <w:tl2br w:val="nil"/>
              <w:tr2bl w:val="nil"/>
            </w:tcBorders>
            <w:vAlign w:val="center"/>
          </w:tcPr>
          <w:p w14:paraId="5F8E3996"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sz w:val="21"/>
                <w:szCs w:val="21"/>
              </w:rPr>
              <w:t>水质</w:t>
            </w:r>
            <w:r>
              <w:rPr>
                <w:rFonts w:ascii="Times New Roman" w:hAnsi="Times New Roman" w:cs="Times New Roman"/>
                <w:sz w:val="21"/>
                <w:szCs w:val="21"/>
              </w:rPr>
              <w:t xml:space="preserve"> </w:t>
            </w:r>
            <w:r>
              <w:rPr>
                <w:rFonts w:ascii="Times New Roman" w:hAnsi="Times New Roman" w:cs="Times New Roman"/>
                <w:sz w:val="21"/>
                <w:szCs w:val="21"/>
              </w:rPr>
              <w:t>汞、砷、硒、铋和锑的测定</w:t>
            </w:r>
            <w:r>
              <w:rPr>
                <w:rFonts w:ascii="Times New Roman" w:hAnsi="Times New Roman" w:cs="Times New Roman"/>
                <w:sz w:val="21"/>
                <w:szCs w:val="21"/>
              </w:rPr>
              <w:t xml:space="preserve"> </w:t>
            </w:r>
            <w:r>
              <w:rPr>
                <w:rFonts w:ascii="Times New Roman" w:hAnsi="Times New Roman" w:cs="Times New Roman"/>
                <w:sz w:val="21"/>
                <w:szCs w:val="21"/>
              </w:rPr>
              <w:t>原子荧光法</w:t>
            </w:r>
            <w:r>
              <w:rPr>
                <w:rFonts w:ascii="Times New Roman" w:hAnsi="Times New Roman" w:cs="Times New Roman"/>
                <w:sz w:val="21"/>
                <w:szCs w:val="21"/>
              </w:rPr>
              <w:t xml:space="preserve"> HJ 694-2014</w:t>
            </w:r>
          </w:p>
        </w:tc>
        <w:tc>
          <w:tcPr>
            <w:tcW w:w="2749" w:type="dxa"/>
            <w:tcBorders>
              <w:tl2br w:val="nil"/>
              <w:tr2bl w:val="nil"/>
            </w:tcBorders>
            <w:vAlign w:val="center"/>
          </w:tcPr>
          <w:p w14:paraId="6E441F0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原子荧光光度计</w:t>
            </w:r>
            <w:r>
              <w:rPr>
                <w:rFonts w:ascii="Times New Roman" w:hAnsi="Times New Roman" w:cs="Times New Roman" w:hint="eastAsia"/>
                <w:kern w:val="0"/>
                <w:sz w:val="21"/>
                <w:szCs w:val="21"/>
                <w:lang w:bidi="ar"/>
              </w:rPr>
              <w:t>/RGF-6200/KXYQ-138</w:t>
            </w:r>
          </w:p>
        </w:tc>
      </w:tr>
      <w:tr w:rsidR="009D12AF" w14:paraId="3AB7AE57" w14:textId="77777777">
        <w:trPr>
          <w:trHeight w:val="652"/>
          <w:jc w:val="center"/>
        </w:trPr>
        <w:tc>
          <w:tcPr>
            <w:tcW w:w="710" w:type="dxa"/>
            <w:tcBorders>
              <w:tl2br w:val="nil"/>
              <w:tr2bl w:val="nil"/>
            </w:tcBorders>
            <w:vAlign w:val="center"/>
          </w:tcPr>
          <w:p w14:paraId="2F5295E8"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13</w:t>
            </w:r>
          </w:p>
        </w:tc>
        <w:tc>
          <w:tcPr>
            <w:tcW w:w="1221" w:type="dxa"/>
            <w:tcBorders>
              <w:tl2br w:val="nil"/>
              <w:tr2bl w:val="nil"/>
            </w:tcBorders>
            <w:vAlign w:val="center"/>
          </w:tcPr>
          <w:p w14:paraId="0E4DAD11" w14:textId="77777777" w:rsidR="009D12AF" w:rsidRDefault="00000000">
            <w:pPr>
              <w:widowControl/>
              <w:spacing w:line="240" w:lineRule="auto"/>
              <w:ind w:firstLineChars="0" w:firstLine="0"/>
              <w:jc w:val="center"/>
              <w:rPr>
                <w:rFonts w:ascii="Times New Roman" w:hAnsi="Times New Roman"/>
                <w:sz w:val="21"/>
                <w:szCs w:val="21"/>
                <w:lang w:bidi="en-US"/>
              </w:rPr>
            </w:pPr>
            <w:r>
              <w:rPr>
                <w:rFonts w:ascii="Times New Roman" w:hAnsi="Times New Roman" w:cs="Times New Roman"/>
                <w:sz w:val="21"/>
                <w:szCs w:val="21"/>
              </w:rPr>
              <w:t>硒</w:t>
            </w:r>
          </w:p>
        </w:tc>
        <w:tc>
          <w:tcPr>
            <w:tcW w:w="3653" w:type="dxa"/>
            <w:tcBorders>
              <w:tl2br w:val="nil"/>
              <w:tr2bl w:val="nil"/>
            </w:tcBorders>
            <w:vAlign w:val="center"/>
          </w:tcPr>
          <w:p w14:paraId="54F5191A"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sz w:val="21"/>
                <w:szCs w:val="21"/>
              </w:rPr>
              <w:t>水质</w:t>
            </w:r>
            <w:r>
              <w:rPr>
                <w:rFonts w:ascii="Times New Roman" w:hAnsi="Times New Roman" w:cs="Times New Roman"/>
                <w:sz w:val="21"/>
                <w:szCs w:val="21"/>
              </w:rPr>
              <w:t xml:space="preserve"> </w:t>
            </w:r>
            <w:r>
              <w:rPr>
                <w:rFonts w:ascii="Times New Roman" w:hAnsi="Times New Roman" w:cs="Times New Roman"/>
                <w:sz w:val="21"/>
                <w:szCs w:val="21"/>
              </w:rPr>
              <w:t>汞、砷、硒、铋和锑的测定</w:t>
            </w:r>
            <w:r>
              <w:rPr>
                <w:rFonts w:ascii="Times New Roman" w:hAnsi="Times New Roman" w:cs="Times New Roman"/>
                <w:sz w:val="21"/>
                <w:szCs w:val="21"/>
              </w:rPr>
              <w:t xml:space="preserve"> </w:t>
            </w:r>
            <w:r>
              <w:rPr>
                <w:rFonts w:ascii="Times New Roman" w:hAnsi="Times New Roman" w:cs="Times New Roman"/>
                <w:sz w:val="21"/>
                <w:szCs w:val="21"/>
              </w:rPr>
              <w:t>原子荧光法</w:t>
            </w:r>
            <w:r>
              <w:rPr>
                <w:rFonts w:ascii="Times New Roman" w:hAnsi="Times New Roman" w:cs="Times New Roman"/>
                <w:sz w:val="21"/>
                <w:szCs w:val="21"/>
              </w:rPr>
              <w:t xml:space="preserve"> HJ 694-2014</w:t>
            </w:r>
          </w:p>
        </w:tc>
        <w:tc>
          <w:tcPr>
            <w:tcW w:w="2749" w:type="dxa"/>
            <w:tcBorders>
              <w:tl2br w:val="nil"/>
              <w:tr2bl w:val="nil"/>
            </w:tcBorders>
            <w:vAlign w:val="center"/>
          </w:tcPr>
          <w:p w14:paraId="59D0CF9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原子荧光光度计</w:t>
            </w:r>
            <w:r>
              <w:rPr>
                <w:rFonts w:ascii="Times New Roman" w:hAnsi="Times New Roman" w:cs="Times New Roman" w:hint="eastAsia"/>
                <w:kern w:val="0"/>
                <w:sz w:val="21"/>
                <w:szCs w:val="21"/>
                <w:lang w:bidi="ar"/>
              </w:rPr>
              <w:t>/RGF-6200/KXYQ-138</w:t>
            </w:r>
          </w:p>
        </w:tc>
      </w:tr>
      <w:tr w:rsidR="009D12AF" w14:paraId="0638903E" w14:textId="77777777">
        <w:trPr>
          <w:trHeight w:val="652"/>
          <w:jc w:val="center"/>
        </w:trPr>
        <w:tc>
          <w:tcPr>
            <w:tcW w:w="710" w:type="dxa"/>
            <w:tcBorders>
              <w:tl2br w:val="nil"/>
              <w:tr2bl w:val="nil"/>
            </w:tcBorders>
            <w:vAlign w:val="center"/>
          </w:tcPr>
          <w:p w14:paraId="33A81014"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14</w:t>
            </w:r>
          </w:p>
        </w:tc>
        <w:tc>
          <w:tcPr>
            <w:tcW w:w="1221" w:type="dxa"/>
            <w:tcBorders>
              <w:tl2br w:val="nil"/>
              <w:tr2bl w:val="nil"/>
            </w:tcBorders>
            <w:vAlign w:val="center"/>
          </w:tcPr>
          <w:p w14:paraId="517DAC40" w14:textId="77777777" w:rsidR="009D12AF" w:rsidRDefault="00000000">
            <w:pPr>
              <w:widowControl/>
              <w:spacing w:line="240" w:lineRule="auto"/>
              <w:ind w:firstLineChars="0" w:firstLine="0"/>
              <w:jc w:val="center"/>
              <w:rPr>
                <w:rFonts w:ascii="Times New Roman" w:hAnsi="Times New Roman"/>
                <w:sz w:val="21"/>
                <w:szCs w:val="21"/>
                <w:lang w:bidi="en-US"/>
              </w:rPr>
            </w:pPr>
            <w:r>
              <w:rPr>
                <w:rFonts w:ascii="Times New Roman" w:hAnsi="Times New Roman" w:cs="Times New Roman" w:hint="eastAsia"/>
                <w:sz w:val="21"/>
                <w:szCs w:val="21"/>
              </w:rPr>
              <w:t>总汞</w:t>
            </w:r>
          </w:p>
        </w:tc>
        <w:tc>
          <w:tcPr>
            <w:tcW w:w="3653" w:type="dxa"/>
            <w:tcBorders>
              <w:tl2br w:val="nil"/>
              <w:tr2bl w:val="nil"/>
            </w:tcBorders>
            <w:vAlign w:val="center"/>
          </w:tcPr>
          <w:p w14:paraId="5D45FD0C"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sz w:val="21"/>
                <w:szCs w:val="21"/>
              </w:rPr>
              <w:t>水质</w:t>
            </w:r>
            <w:r>
              <w:rPr>
                <w:rFonts w:ascii="Times New Roman" w:hAnsi="Times New Roman" w:cs="Times New Roman"/>
                <w:sz w:val="21"/>
                <w:szCs w:val="21"/>
              </w:rPr>
              <w:t xml:space="preserve"> </w:t>
            </w:r>
            <w:r>
              <w:rPr>
                <w:rFonts w:ascii="Times New Roman" w:hAnsi="Times New Roman" w:cs="Times New Roman"/>
                <w:sz w:val="21"/>
                <w:szCs w:val="21"/>
              </w:rPr>
              <w:t>总汞的测定</w:t>
            </w:r>
            <w:r>
              <w:rPr>
                <w:rFonts w:ascii="Times New Roman" w:hAnsi="Times New Roman" w:cs="Times New Roman"/>
                <w:sz w:val="21"/>
                <w:szCs w:val="21"/>
              </w:rPr>
              <w:t xml:space="preserve"> </w:t>
            </w:r>
            <w:r>
              <w:rPr>
                <w:rFonts w:ascii="Times New Roman" w:hAnsi="Times New Roman" w:cs="Times New Roman"/>
                <w:sz w:val="21"/>
                <w:szCs w:val="21"/>
              </w:rPr>
              <w:t>冷原子吸收分光光度法</w:t>
            </w:r>
          </w:p>
          <w:p w14:paraId="6109A17B"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sz w:val="21"/>
                <w:szCs w:val="21"/>
              </w:rPr>
              <w:t>HJ 597-2011</w:t>
            </w:r>
          </w:p>
        </w:tc>
        <w:tc>
          <w:tcPr>
            <w:tcW w:w="2749" w:type="dxa"/>
            <w:tcBorders>
              <w:tl2br w:val="nil"/>
              <w:tr2bl w:val="nil"/>
            </w:tcBorders>
            <w:vAlign w:val="center"/>
          </w:tcPr>
          <w:p w14:paraId="4984C9A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微分测汞仪</w:t>
            </w:r>
            <w:r>
              <w:rPr>
                <w:rFonts w:ascii="Times New Roman" w:hAnsi="Times New Roman" w:cs="Times New Roman" w:hint="eastAsia"/>
                <w:kern w:val="0"/>
                <w:sz w:val="21"/>
                <w:szCs w:val="21"/>
                <w:lang w:bidi="ar"/>
              </w:rPr>
              <w:t>/BG-201/KXYQ-124</w:t>
            </w:r>
          </w:p>
        </w:tc>
      </w:tr>
      <w:tr w:rsidR="009D12AF" w14:paraId="3426EDA2" w14:textId="77777777">
        <w:trPr>
          <w:trHeight w:val="652"/>
          <w:jc w:val="center"/>
        </w:trPr>
        <w:tc>
          <w:tcPr>
            <w:tcW w:w="710" w:type="dxa"/>
            <w:tcBorders>
              <w:tl2br w:val="nil"/>
              <w:tr2bl w:val="nil"/>
            </w:tcBorders>
            <w:vAlign w:val="center"/>
          </w:tcPr>
          <w:p w14:paraId="43025112"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15</w:t>
            </w:r>
          </w:p>
        </w:tc>
        <w:tc>
          <w:tcPr>
            <w:tcW w:w="1221" w:type="dxa"/>
            <w:tcBorders>
              <w:tl2br w:val="nil"/>
              <w:tr2bl w:val="nil"/>
            </w:tcBorders>
            <w:vAlign w:val="center"/>
          </w:tcPr>
          <w:p w14:paraId="4AED025E" w14:textId="77777777" w:rsidR="009D12AF" w:rsidRDefault="00000000">
            <w:pPr>
              <w:widowControl/>
              <w:spacing w:line="240" w:lineRule="auto"/>
              <w:ind w:firstLineChars="0" w:firstLine="0"/>
              <w:jc w:val="center"/>
              <w:rPr>
                <w:rFonts w:ascii="Times New Roman" w:hAnsi="Times New Roman"/>
                <w:sz w:val="21"/>
                <w:szCs w:val="21"/>
                <w:lang w:bidi="en-US"/>
              </w:rPr>
            </w:pPr>
            <w:r>
              <w:rPr>
                <w:rFonts w:ascii="Times New Roman" w:hAnsi="Times New Roman" w:cs="Times New Roman" w:hint="eastAsia"/>
                <w:sz w:val="21"/>
                <w:szCs w:val="21"/>
              </w:rPr>
              <w:t>镉</w:t>
            </w:r>
          </w:p>
        </w:tc>
        <w:tc>
          <w:tcPr>
            <w:tcW w:w="3653" w:type="dxa"/>
            <w:tcBorders>
              <w:tl2br w:val="nil"/>
              <w:tr2bl w:val="nil"/>
            </w:tcBorders>
            <w:vAlign w:val="center"/>
          </w:tcPr>
          <w:p w14:paraId="0180C065"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sz w:val="21"/>
                <w:szCs w:val="21"/>
              </w:rPr>
              <w:t>铜、铅、镉</w:t>
            </w:r>
            <w:r>
              <w:rPr>
                <w:rFonts w:ascii="Times New Roman" w:hAnsi="Times New Roman" w:cs="Times New Roman"/>
                <w:sz w:val="21"/>
                <w:szCs w:val="21"/>
              </w:rPr>
              <w:t xml:space="preserve"> </w:t>
            </w:r>
            <w:r>
              <w:rPr>
                <w:rFonts w:ascii="Times New Roman" w:hAnsi="Times New Roman" w:cs="Times New Roman"/>
                <w:sz w:val="21"/>
                <w:szCs w:val="21"/>
              </w:rPr>
              <w:t>石墨炉原子吸收法《水和废水监测分析方法》</w:t>
            </w:r>
          </w:p>
          <w:p w14:paraId="436199EA"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sz w:val="21"/>
                <w:szCs w:val="21"/>
              </w:rPr>
              <w:t>（第四版）国家环境保护总局（</w:t>
            </w:r>
            <w:r>
              <w:rPr>
                <w:rFonts w:ascii="Times New Roman" w:hAnsi="Times New Roman" w:cs="Times New Roman"/>
                <w:sz w:val="21"/>
                <w:szCs w:val="21"/>
              </w:rPr>
              <w:t xml:space="preserve">2002 </w:t>
            </w:r>
            <w:r>
              <w:rPr>
                <w:rFonts w:ascii="Times New Roman" w:hAnsi="Times New Roman" w:cs="Times New Roman"/>
                <w:sz w:val="21"/>
                <w:szCs w:val="21"/>
              </w:rPr>
              <w:t>年）</w:t>
            </w:r>
          </w:p>
        </w:tc>
        <w:tc>
          <w:tcPr>
            <w:tcW w:w="2749" w:type="dxa"/>
            <w:tcBorders>
              <w:tl2br w:val="nil"/>
              <w:tr2bl w:val="nil"/>
            </w:tcBorders>
            <w:vAlign w:val="center"/>
          </w:tcPr>
          <w:p w14:paraId="125A7AD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color w:val="000000"/>
                <w:kern w:val="0"/>
                <w:sz w:val="21"/>
                <w:szCs w:val="21"/>
                <w:lang w:bidi="ar"/>
              </w:rPr>
              <w:t>原子吸收分光光度计</w:t>
            </w:r>
            <w:r>
              <w:rPr>
                <w:rFonts w:ascii="Times New Roman" w:hAnsi="Times New Roman" w:cs="Times New Roman" w:hint="eastAsia"/>
                <w:color w:val="000000"/>
                <w:kern w:val="0"/>
                <w:sz w:val="21"/>
                <w:szCs w:val="21"/>
                <w:lang w:bidi="ar"/>
              </w:rPr>
              <w:t>/TAS-990AFG/KXYQ-001</w:t>
            </w:r>
          </w:p>
        </w:tc>
      </w:tr>
      <w:tr w:rsidR="009D12AF" w14:paraId="64F966A5" w14:textId="77777777">
        <w:trPr>
          <w:trHeight w:val="652"/>
          <w:jc w:val="center"/>
        </w:trPr>
        <w:tc>
          <w:tcPr>
            <w:tcW w:w="710" w:type="dxa"/>
            <w:tcBorders>
              <w:tl2br w:val="nil"/>
              <w:tr2bl w:val="nil"/>
            </w:tcBorders>
            <w:vAlign w:val="center"/>
          </w:tcPr>
          <w:p w14:paraId="547738CA"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16</w:t>
            </w:r>
          </w:p>
        </w:tc>
        <w:tc>
          <w:tcPr>
            <w:tcW w:w="1221" w:type="dxa"/>
            <w:tcBorders>
              <w:tl2br w:val="nil"/>
              <w:tr2bl w:val="nil"/>
            </w:tcBorders>
            <w:vAlign w:val="center"/>
          </w:tcPr>
          <w:p w14:paraId="7CCA8E85" w14:textId="77777777" w:rsidR="009D12AF" w:rsidRDefault="00000000">
            <w:pPr>
              <w:widowControl/>
              <w:ind w:firstLineChars="0" w:firstLine="0"/>
              <w:jc w:val="center"/>
              <w:textAlignment w:val="center"/>
              <w:rPr>
                <w:rFonts w:ascii="Times New Roman" w:hAnsi="Times New Roman"/>
                <w:sz w:val="21"/>
                <w:szCs w:val="21"/>
                <w:lang w:bidi="en-US"/>
              </w:rPr>
            </w:pPr>
            <w:r>
              <w:rPr>
                <w:rFonts w:ascii="Times New Roman" w:eastAsia="宋体" w:hAnsi="Times New Roman" w:cs="Times New Roman"/>
                <w:kern w:val="0"/>
                <w:sz w:val="21"/>
                <w:szCs w:val="21"/>
                <w:lang w:bidi="ar"/>
              </w:rPr>
              <w:t>六价铬</w:t>
            </w:r>
          </w:p>
        </w:tc>
        <w:tc>
          <w:tcPr>
            <w:tcW w:w="3653" w:type="dxa"/>
            <w:tcBorders>
              <w:tl2br w:val="nil"/>
              <w:tr2bl w:val="nil"/>
            </w:tcBorders>
            <w:vAlign w:val="center"/>
          </w:tcPr>
          <w:p w14:paraId="01CA8F2A" w14:textId="77777777" w:rsidR="009D12AF" w:rsidRDefault="00000000">
            <w:pPr>
              <w:widowControl/>
              <w:ind w:firstLineChars="0" w:firstLine="0"/>
              <w:jc w:val="center"/>
              <w:textAlignment w:val="center"/>
              <w:rPr>
                <w:rFonts w:ascii="Times New Roman" w:eastAsia="宋体" w:hAnsi="Times New Roman" w:cs="Times New Roman"/>
                <w:sz w:val="21"/>
                <w:szCs w:val="21"/>
                <w:lang w:bidi="en-US"/>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六价铬的测定</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二苯碳酰二肼分光光度法</w:t>
            </w:r>
            <w:r>
              <w:rPr>
                <w:rFonts w:ascii="Times New Roman" w:eastAsia="宋体" w:hAnsi="Times New Roman" w:cs="Times New Roman"/>
                <w:kern w:val="0"/>
                <w:sz w:val="21"/>
                <w:szCs w:val="21"/>
                <w:lang w:bidi="ar"/>
              </w:rPr>
              <w:t xml:space="preserve"> GB 7467-87</w:t>
            </w:r>
          </w:p>
        </w:tc>
        <w:tc>
          <w:tcPr>
            <w:tcW w:w="2749" w:type="dxa"/>
            <w:tcBorders>
              <w:tl2br w:val="nil"/>
              <w:tr2bl w:val="nil"/>
            </w:tcBorders>
            <w:vAlign w:val="center"/>
          </w:tcPr>
          <w:p w14:paraId="52E2E1B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紫外可见分光光度计</w:t>
            </w:r>
            <w:r>
              <w:rPr>
                <w:rFonts w:ascii="Times New Roman" w:eastAsia="宋体" w:hAnsi="Times New Roman" w:cs="Times New Roman"/>
                <w:kern w:val="0"/>
                <w:sz w:val="21"/>
                <w:szCs w:val="21"/>
                <w:lang w:bidi="ar"/>
              </w:rPr>
              <w:t>/UV-1800D/KXYQ-015</w:t>
            </w:r>
          </w:p>
        </w:tc>
      </w:tr>
      <w:tr w:rsidR="009D12AF" w14:paraId="3CAEB490" w14:textId="77777777">
        <w:trPr>
          <w:trHeight w:val="652"/>
          <w:jc w:val="center"/>
        </w:trPr>
        <w:tc>
          <w:tcPr>
            <w:tcW w:w="710" w:type="dxa"/>
            <w:tcBorders>
              <w:tl2br w:val="nil"/>
              <w:tr2bl w:val="nil"/>
            </w:tcBorders>
            <w:vAlign w:val="center"/>
          </w:tcPr>
          <w:p w14:paraId="4EE3B7E2" w14:textId="77777777" w:rsidR="009D12AF" w:rsidRDefault="00000000">
            <w:pPr>
              <w:spacing w:line="240" w:lineRule="auto"/>
              <w:ind w:firstLineChars="0" w:firstLine="0"/>
              <w:jc w:val="center"/>
            </w:pPr>
            <w:r>
              <w:rPr>
                <w:rFonts w:ascii="Times New Roman" w:hAnsi="Times New Roman" w:cs="Times New Roman" w:hint="eastAsia"/>
                <w:sz w:val="21"/>
                <w:szCs w:val="21"/>
              </w:rPr>
              <w:t>17</w:t>
            </w:r>
          </w:p>
        </w:tc>
        <w:tc>
          <w:tcPr>
            <w:tcW w:w="1221" w:type="dxa"/>
            <w:tcBorders>
              <w:tl2br w:val="nil"/>
              <w:tr2bl w:val="nil"/>
            </w:tcBorders>
            <w:vAlign w:val="center"/>
          </w:tcPr>
          <w:p w14:paraId="1112412E" w14:textId="77777777" w:rsidR="009D12AF" w:rsidRDefault="00000000">
            <w:pPr>
              <w:widowControl/>
              <w:spacing w:line="240" w:lineRule="auto"/>
              <w:ind w:firstLineChars="0" w:firstLine="0"/>
              <w:jc w:val="center"/>
              <w:rPr>
                <w:rFonts w:ascii="Times New Roman" w:hAnsi="Times New Roman"/>
                <w:sz w:val="21"/>
                <w:szCs w:val="21"/>
                <w:lang w:bidi="en-US"/>
              </w:rPr>
            </w:pPr>
            <w:r>
              <w:rPr>
                <w:rFonts w:ascii="Times New Roman" w:hAnsi="Times New Roman" w:cs="Times New Roman" w:hint="eastAsia"/>
                <w:sz w:val="21"/>
                <w:szCs w:val="21"/>
              </w:rPr>
              <w:t>铅</w:t>
            </w:r>
          </w:p>
        </w:tc>
        <w:tc>
          <w:tcPr>
            <w:tcW w:w="3653" w:type="dxa"/>
            <w:tcBorders>
              <w:tl2br w:val="nil"/>
              <w:tr2bl w:val="nil"/>
            </w:tcBorders>
            <w:vAlign w:val="center"/>
          </w:tcPr>
          <w:p w14:paraId="045B40A8"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sz w:val="21"/>
                <w:szCs w:val="21"/>
              </w:rPr>
              <w:t>铜、铅、镉</w:t>
            </w:r>
            <w:r>
              <w:rPr>
                <w:rFonts w:ascii="Times New Roman" w:hAnsi="Times New Roman" w:cs="Times New Roman"/>
                <w:sz w:val="21"/>
                <w:szCs w:val="21"/>
              </w:rPr>
              <w:t xml:space="preserve"> </w:t>
            </w:r>
            <w:r>
              <w:rPr>
                <w:rFonts w:ascii="Times New Roman" w:hAnsi="Times New Roman" w:cs="Times New Roman"/>
                <w:sz w:val="21"/>
                <w:szCs w:val="21"/>
              </w:rPr>
              <w:t>石墨炉原子吸收法《水和废水监测分析方法》</w:t>
            </w:r>
          </w:p>
          <w:p w14:paraId="3BCC1053"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sz w:val="21"/>
                <w:szCs w:val="21"/>
              </w:rPr>
              <w:t>（第四版）国家环境保护总局（</w:t>
            </w:r>
            <w:r>
              <w:rPr>
                <w:rFonts w:ascii="Times New Roman" w:hAnsi="Times New Roman" w:cs="Times New Roman"/>
                <w:sz w:val="21"/>
                <w:szCs w:val="21"/>
              </w:rPr>
              <w:t xml:space="preserve">2002 </w:t>
            </w:r>
            <w:r>
              <w:rPr>
                <w:rFonts w:ascii="Times New Roman" w:hAnsi="Times New Roman" w:cs="Times New Roman"/>
                <w:sz w:val="21"/>
                <w:szCs w:val="21"/>
              </w:rPr>
              <w:t>年）</w:t>
            </w:r>
          </w:p>
        </w:tc>
        <w:tc>
          <w:tcPr>
            <w:tcW w:w="2749" w:type="dxa"/>
            <w:tcBorders>
              <w:tl2br w:val="nil"/>
              <w:tr2bl w:val="nil"/>
            </w:tcBorders>
            <w:vAlign w:val="center"/>
          </w:tcPr>
          <w:p w14:paraId="1E9B08D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color w:val="000000"/>
                <w:kern w:val="0"/>
                <w:sz w:val="21"/>
                <w:szCs w:val="21"/>
                <w:lang w:bidi="ar"/>
              </w:rPr>
              <w:t>原子吸收分光光度计</w:t>
            </w:r>
            <w:r>
              <w:rPr>
                <w:rFonts w:ascii="Times New Roman" w:hAnsi="Times New Roman" w:cs="Times New Roman" w:hint="eastAsia"/>
                <w:color w:val="000000"/>
                <w:kern w:val="0"/>
                <w:sz w:val="21"/>
                <w:szCs w:val="21"/>
                <w:lang w:bidi="ar"/>
              </w:rPr>
              <w:t>/TAS-990AFG/KXYQ-001</w:t>
            </w:r>
          </w:p>
        </w:tc>
      </w:tr>
      <w:tr w:rsidR="009D12AF" w14:paraId="7D82CE6B" w14:textId="77777777">
        <w:trPr>
          <w:trHeight w:val="652"/>
          <w:jc w:val="center"/>
        </w:trPr>
        <w:tc>
          <w:tcPr>
            <w:tcW w:w="710" w:type="dxa"/>
            <w:tcBorders>
              <w:tl2br w:val="nil"/>
              <w:tr2bl w:val="nil"/>
            </w:tcBorders>
            <w:vAlign w:val="center"/>
          </w:tcPr>
          <w:p w14:paraId="1551C258" w14:textId="77777777" w:rsidR="009D12AF" w:rsidRDefault="00000000">
            <w:pPr>
              <w:spacing w:line="240" w:lineRule="auto"/>
              <w:ind w:firstLineChars="0" w:firstLine="0"/>
              <w:jc w:val="center"/>
            </w:pPr>
            <w:r>
              <w:rPr>
                <w:rFonts w:ascii="Times New Roman" w:hAnsi="Times New Roman" w:cs="Times New Roman" w:hint="eastAsia"/>
                <w:sz w:val="21"/>
                <w:szCs w:val="21"/>
              </w:rPr>
              <w:t>18</w:t>
            </w:r>
          </w:p>
        </w:tc>
        <w:tc>
          <w:tcPr>
            <w:tcW w:w="1221" w:type="dxa"/>
            <w:tcBorders>
              <w:tl2br w:val="nil"/>
              <w:tr2bl w:val="nil"/>
            </w:tcBorders>
            <w:vAlign w:val="center"/>
          </w:tcPr>
          <w:p w14:paraId="7C996F20" w14:textId="77777777" w:rsidR="009D12AF" w:rsidRDefault="00000000">
            <w:pPr>
              <w:widowControl/>
              <w:ind w:firstLineChars="0" w:firstLine="0"/>
              <w:jc w:val="center"/>
              <w:textAlignment w:val="center"/>
              <w:rPr>
                <w:rFonts w:ascii="Times New Roman" w:hAnsi="Times New Roman"/>
                <w:sz w:val="21"/>
                <w:szCs w:val="21"/>
                <w:lang w:bidi="en-US"/>
              </w:rPr>
            </w:pPr>
            <w:r>
              <w:rPr>
                <w:rFonts w:ascii="Times New Roman" w:hAnsi="Times New Roman" w:cs="Times New Roman" w:hint="eastAsia"/>
                <w:kern w:val="0"/>
                <w:sz w:val="21"/>
                <w:szCs w:val="21"/>
                <w:lang w:bidi="ar"/>
              </w:rPr>
              <w:t>氰化物</w:t>
            </w:r>
          </w:p>
        </w:tc>
        <w:tc>
          <w:tcPr>
            <w:tcW w:w="3653" w:type="dxa"/>
            <w:tcBorders>
              <w:tl2br w:val="nil"/>
              <w:tr2bl w:val="nil"/>
            </w:tcBorders>
            <w:vAlign w:val="center"/>
          </w:tcPr>
          <w:p w14:paraId="25491191" w14:textId="77777777" w:rsidR="009D12AF" w:rsidRDefault="00000000">
            <w:pPr>
              <w:widowControl/>
              <w:ind w:firstLineChars="0" w:firstLine="0"/>
              <w:jc w:val="center"/>
              <w:textAlignment w:val="center"/>
              <w:rPr>
                <w:rFonts w:ascii="Times New Roman" w:eastAsia="宋体" w:hAnsi="Times New Roman" w:cs="Times New Roman"/>
                <w:sz w:val="21"/>
                <w:szCs w:val="21"/>
                <w:lang w:bidi="en-US"/>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氰化物的测定</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容量法和分光光度法</w:t>
            </w:r>
            <w:r>
              <w:rPr>
                <w:rFonts w:ascii="Times New Roman" w:eastAsia="宋体" w:hAnsi="Times New Roman" w:cs="Times New Roman"/>
                <w:kern w:val="0"/>
                <w:sz w:val="21"/>
                <w:szCs w:val="21"/>
                <w:lang w:bidi="ar"/>
              </w:rPr>
              <w:t xml:space="preserve"> HJ 484-2009</w:t>
            </w:r>
          </w:p>
        </w:tc>
        <w:tc>
          <w:tcPr>
            <w:tcW w:w="2749" w:type="dxa"/>
            <w:tcBorders>
              <w:tl2br w:val="nil"/>
              <w:tr2bl w:val="nil"/>
            </w:tcBorders>
            <w:vAlign w:val="center"/>
          </w:tcPr>
          <w:p w14:paraId="7F33B3B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紫外可见分光光度计</w:t>
            </w:r>
            <w:r>
              <w:rPr>
                <w:rFonts w:ascii="Times New Roman" w:eastAsia="宋体" w:hAnsi="Times New Roman" w:cs="Times New Roman"/>
                <w:kern w:val="0"/>
                <w:sz w:val="21"/>
                <w:szCs w:val="21"/>
                <w:lang w:bidi="ar"/>
              </w:rPr>
              <w:t>/UV-1800D/KXYQ-015</w:t>
            </w:r>
          </w:p>
        </w:tc>
      </w:tr>
      <w:tr w:rsidR="009D12AF" w14:paraId="785410A7" w14:textId="77777777">
        <w:trPr>
          <w:trHeight w:val="652"/>
          <w:jc w:val="center"/>
        </w:trPr>
        <w:tc>
          <w:tcPr>
            <w:tcW w:w="710" w:type="dxa"/>
            <w:tcBorders>
              <w:tl2br w:val="nil"/>
              <w:tr2bl w:val="nil"/>
            </w:tcBorders>
            <w:vAlign w:val="center"/>
          </w:tcPr>
          <w:p w14:paraId="1E35D5C9"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19</w:t>
            </w:r>
          </w:p>
        </w:tc>
        <w:tc>
          <w:tcPr>
            <w:tcW w:w="1221" w:type="dxa"/>
            <w:tcBorders>
              <w:tl2br w:val="nil"/>
              <w:tr2bl w:val="nil"/>
            </w:tcBorders>
            <w:vAlign w:val="center"/>
          </w:tcPr>
          <w:p w14:paraId="12573DB0" w14:textId="77777777" w:rsidR="009D12AF" w:rsidRDefault="00000000">
            <w:pPr>
              <w:widowControl/>
              <w:spacing w:line="240" w:lineRule="auto"/>
              <w:ind w:firstLineChars="0" w:firstLine="0"/>
              <w:jc w:val="center"/>
              <w:rPr>
                <w:rFonts w:ascii="Times New Roman" w:hAnsi="Times New Roman"/>
                <w:sz w:val="21"/>
                <w:szCs w:val="21"/>
                <w:lang w:bidi="en-US"/>
              </w:rPr>
            </w:pPr>
            <w:r>
              <w:rPr>
                <w:rFonts w:ascii="Times New Roman" w:hAnsi="Times New Roman" w:cs="Times New Roman" w:hint="eastAsia"/>
                <w:sz w:val="21"/>
                <w:szCs w:val="21"/>
              </w:rPr>
              <w:t>挥发酚</w:t>
            </w:r>
          </w:p>
        </w:tc>
        <w:tc>
          <w:tcPr>
            <w:tcW w:w="3653" w:type="dxa"/>
            <w:tcBorders>
              <w:tl2br w:val="nil"/>
              <w:tr2bl w:val="nil"/>
            </w:tcBorders>
            <w:vAlign w:val="center"/>
          </w:tcPr>
          <w:p w14:paraId="37E64F39"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eastAsia="宋体" w:hAnsi="Times New Roman" w:cs="Times New Roman"/>
                <w:sz w:val="21"/>
                <w:szCs w:val="21"/>
              </w:rPr>
              <w:t>水质</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t>挥发酚的测定</w:t>
            </w:r>
            <w:r>
              <w:rPr>
                <w:rFonts w:ascii="Times New Roman" w:eastAsia="宋体" w:hAnsi="Times New Roman" w:cs="Times New Roman"/>
                <w:sz w:val="21"/>
                <w:szCs w:val="21"/>
              </w:rPr>
              <w:t xml:space="preserve"> 4-</w:t>
            </w:r>
            <w:r>
              <w:rPr>
                <w:rFonts w:ascii="Times New Roman" w:eastAsia="宋体" w:hAnsi="Times New Roman" w:cs="Times New Roman"/>
                <w:sz w:val="21"/>
                <w:szCs w:val="21"/>
              </w:rPr>
              <w:t>氨基安替比林分光光度法</w:t>
            </w:r>
            <w:r>
              <w:rPr>
                <w:rFonts w:ascii="Times New Roman" w:eastAsia="宋体" w:hAnsi="Times New Roman" w:cs="Times New Roman"/>
                <w:sz w:val="21"/>
                <w:szCs w:val="21"/>
              </w:rPr>
              <w:t xml:space="preserve"> HJ 503-2009</w:t>
            </w:r>
            <w:r>
              <w:rPr>
                <w:rFonts w:ascii="Times New Roman" w:eastAsia="宋体" w:hAnsi="Times New Roman" w:cs="Times New Roman"/>
                <w:sz w:val="21"/>
                <w:szCs w:val="21"/>
              </w:rPr>
              <w:t>（方法</w:t>
            </w:r>
            <w:r>
              <w:rPr>
                <w:rFonts w:ascii="Times New Roman" w:eastAsia="宋体" w:hAnsi="Times New Roman" w:cs="Times New Roman"/>
                <w:sz w:val="21"/>
                <w:szCs w:val="21"/>
              </w:rPr>
              <w:t xml:space="preserve"> 1 </w:t>
            </w:r>
            <w:r>
              <w:rPr>
                <w:rFonts w:ascii="Times New Roman" w:eastAsia="宋体" w:hAnsi="Times New Roman" w:cs="Times New Roman"/>
                <w:sz w:val="21"/>
                <w:szCs w:val="21"/>
              </w:rPr>
              <w:t>萃取分光光度法）</w:t>
            </w:r>
          </w:p>
        </w:tc>
        <w:tc>
          <w:tcPr>
            <w:tcW w:w="2749" w:type="dxa"/>
            <w:tcBorders>
              <w:tl2br w:val="nil"/>
              <w:tr2bl w:val="nil"/>
            </w:tcBorders>
            <w:vAlign w:val="center"/>
          </w:tcPr>
          <w:p w14:paraId="1979FFB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紫外可见分光光度计</w:t>
            </w:r>
            <w:r>
              <w:rPr>
                <w:rFonts w:ascii="Times New Roman" w:eastAsia="宋体" w:hAnsi="Times New Roman" w:cs="Times New Roman"/>
                <w:kern w:val="0"/>
                <w:sz w:val="21"/>
                <w:szCs w:val="21"/>
                <w:lang w:bidi="ar"/>
              </w:rPr>
              <w:t>/UV-1800D/KXYQ-015</w:t>
            </w:r>
          </w:p>
        </w:tc>
      </w:tr>
      <w:tr w:rsidR="009D12AF" w14:paraId="4722B401" w14:textId="77777777">
        <w:trPr>
          <w:trHeight w:val="652"/>
          <w:jc w:val="center"/>
        </w:trPr>
        <w:tc>
          <w:tcPr>
            <w:tcW w:w="710" w:type="dxa"/>
            <w:tcBorders>
              <w:tl2br w:val="nil"/>
              <w:tr2bl w:val="nil"/>
            </w:tcBorders>
            <w:vAlign w:val="center"/>
          </w:tcPr>
          <w:p w14:paraId="4C0FDC90"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lastRenderedPageBreak/>
              <w:t>20</w:t>
            </w:r>
          </w:p>
        </w:tc>
        <w:tc>
          <w:tcPr>
            <w:tcW w:w="1221" w:type="dxa"/>
            <w:tcBorders>
              <w:tl2br w:val="nil"/>
              <w:tr2bl w:val="nil"/>
            </w:tcBorders>
            <w:vAlign w:val="center"/>
          </w:tcPr>
          <w:p w14:paraId="178D70EF" w14:textId="77777777" w:rsidR="009D12AF" w:rsidRDefault="00000000">
            <w:pPr>
              <w:widowControl/>
              <w:spacing w:line="240" w:lineRule="auto"/>
              <w:ind w:firstLineChars="0" w:firstLine="0"/>
              <w:jc w:val="center"/>
              <w:rPr>
                <w:rFonts w:ascii="Times New Roman" w:hAnsi="Times New Roman"/>
                <w:sz w:val="21"/>
                <w:szCs w:val="21"/>
                <w:lang w:bidi="en-US"/>
              </w:rPr>
            </w:pPr>
            <w:r>
              <w:rPr>
                <w:rFonts w:ascii="Times New Roman" w:hAnsi="Times New Roman" w:cs="Times New Roman" w:hint="eastAsia"/>
                <w:sz w:val="21"/>
                <w:szCs w:val="21"/>
              </w:rPr>
              <w:t>石油类</w:t>
            </w:r>
          </w:p>
        </w:tc>
        <w:tc>
          <w:tcPr>
            <w:tcW w:w="3653" w:type="dxa"/>
            <w:tcBorders>
              <w:tl2br w:val="nil"/>
              <w:tr2bl w:val="nil"/>
            </w:tcBorders>
            <w:vAlign w:val="center"/>
          </w:tcPr>
          <w:p w14:paraId="28323487"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sz w:val="21"/>
                <w:szCs w:val="21"/>
              </w:rPr>
              <w:t>水质</w:t>
            </w:r>
            <w:r>
              <w:rPr>
                <w:rFonts w:ascii="Times New Roman" w:hAnsi="Times New Roman" w:cs="Times New Roman"/>
                <w:sz w:val="21"/>
                <w:szCs w:val="21"/>
              </w:rPr>
              <w:t xml:space="preserve"> </w:t>
            </w:r>
            <w:r>
              <w:rPr>
                <w:rFonts w:ascii="Times New Roman" w:hAnsi="Times New Roman" w:cs="Times New Roman"/>
                <w:sz w:val="21"/>
                <w:szCs w:val="21"/>
              </w:rPr>
              <w:t>石油类的测定</w:t>
            </w:r>
            <w:r>
              <w:rPr>
                <w:rFonts w:ascii="Times New Roman" w:hAnsi="Times New Roman" w:cs="Times New Roman"/>
                <w:sz w:val="21"/>
                <w:szCs w:val="21"/>
              </w:rPr>
              <w:t xml:space="preserve"> </w:t>
            </w:r>
            <w:r>
              <w:rPr>
                <w:rFonts w:ascii="Times New Roman" w:hAnsi="Times New Roman" w:cs="Times New Roman"/>
                <w:sz w:val="21"/>
                <w:szCs w:val="21"/>
              </w:rPr>
              <w:t>紫外分光光度法（试行）</w:t>
            </w:r>
            <w:r>
              <w:rPr>
                <w:rFonts w:ascii="Times New Roman" w:hAnsi="Times New Roman" w:cs="Times New Roman"/>
                <w:sz w:val="21"/>
                <w:szCs w:val="21"/>
              </w:rPr>
              <w:t xml:space="preserve"> HJ 970-2018</w:t>
            </w:r>
          </w:p>
        </w:tc>
        <w:tc>
          <w:tcPr>
            <w:tcW w:w="2749" w:type="dxa"/>
            <w:tcBorders>
              <w:tl2br w:val="nil"/>
              <w:tr2bl w:val="nil"/>
            </w:tcBorders>
            <w:vAlign w:val="center"/>
          </w:tcPr>
          <w:p w14:paraId="2915DF42"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紫外可见分光光度计</w:t>
            </w:r>
            <w:r>
              <w:rPr>
                <w:rFonts w:ascii="Times New Roman" w:eastAsia="宋体" w:hAnsi="Times New Roman" w:cs="Times New Roman"/>
                <w:kern w:val="0"/>
                <w:sz w:val="21"/>
                <w:szCs w:val="21"/>
                <w:lang w:bidi="ar"/>
              </w:rPr>
              <w:t>/752N/KXYQ-0</w:t>
            </w:r>
            <w:r>
              <w:rPr>
                <w:rFonts w:ascii="Times New Roman" w:hAnsi="Times New Roman" w:cs="Times New Roman" w:hint="eastAsia"/>
                <w:kern w:val="0"/>
                <w:sz w:val="21"/>
                <w:szCs w:val="21"/>
                <w:lang w:bidi="ar"/>
              </w:rPr>
              <w:t>89</w:t>
            </w:r>
          </w:p>
        </w:tc>
      </w:tr>
      <w:tr w:rsidR="009D12AF" w14:paraId="00E1417F" w14:textId="77777777">
        <w:trPr>
          <w:trHeight w:val="652"/>
          <w:jc w:val="center"/>
        </w:trPr>
        <w:tc>
          <w:tcPr>
            <w:tcW w:w="710" w:type="dxa"/>
            <w:tcBorders>
              <w:tl2br w:val="nil"/>
              <w:tr2bl w:val="nil"/>
            </w:tcBorders>
            <w:vAlign w:val="center"/>
          </w:tcPr>
          <w:p w14:paraId="196059B7"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21</w:t>
            </w:r>
          </w:p>
        </w:tc>
        <w:tc>
          <w:tcPr>
            <w:tcW w:w="1221" w:type="dxa"/>
            <w:tcBorders>
              <w:tl2br w:val="nil"/>
              <w:tr2bl w:val="nil"/>
            </w:tcBorders>
            <w:vAlign w:val="center"/>
          </w:tcPr>
          <w:p w14:paraId="205E82AC" w14:textId="77777777" w:rsidR="009D12AF" w:rsidRDefault="00000000">
            <w:pPr>
              <w:widowControl/>
              <w:spacing w:line="240" w:lineRule="auto"/>
              <w:ind w:firstLineChars="0" w:firstLine="0"/>
              <w:jc w:val="center"/>
              <w:rPr>
                <w:rFonts w:ascii="Times New Roman" w:hAnsi="Times New Roman"/>
                <w:sz w:val="21"/>
                <w:szCs w:val="21"/>
                <w:lang w:bidi="en-US"/>
              </w:rPr>
            </w:pPr>
            <w:r>
              <w:rPr>
                <w:rFonts w:ascii="Times New Roman" w:hAnsi="Times New Roman" w:cs="Times New Roman" w:hint="eastAsia"/>
                <w:sz w:val="21"/>
                <w:szCs w:val="21"/>
              </w:rPr>
              <w:t>阴离子表面活性剂</w:t>
            </w:r>
          </w:p>
        </w:tc>
        <w:tc>
          <w:tcPr>
            <w:tcW w:w="3653" w:type="dxa"/>
            <w:tcBorders>
              <w:tl2br w:val="nil"/>
              <w:tr2bl w:val="nil"/>
            </w:tcBorders>
            <w:vAlign w:val="center"/>
          </w:tcPr>
          <w:p w14:paraId="64C7B502"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sz w:val="21"/>
                <w:szCs w:val="21"/>
              </w:rPr>
              <w:t>水质</w:t>
            </w:r>
            <w:r>
              <w:rPr>
                <w:rFonts w:ascii="Times New Roman" w:hAnsi="Times New Roman" w:cs="Times New Roman"/>
                <w:sz w:val="21"/>
                <w:szCs w:val="21"/>
              </w:rPr>
              <w:t xml:space="preserve"> </w:t>
            </w:r>
            <w:r>
              <w:rPr>
                <w:rFonts w:ascii="Times New Roman" w:hAnsi="Times New Roman" w:cs="Times New Roman"/>
                <w:sz w:val="21"/>
                <w:szCs w:val="21"/>
              </w:rPr>
              <w:t>阴离子表面活性剂的测定</w:t>
            </w:r>
            <w:r>
              <w:rPr>
                <w:rFonts w:ascii="Times New Roman" w:hAnsi="Times New Roman" w:cs="Times New Roman"/>
                <w:sz w:val="21"/>
                <w:szCs w:val="21"/>
              </w:rPr>
              <w:t xml:space="preserve"> </w:t>
            </w:r>
            <w:r>
              <w:rPr>
                <w:rFonts w:ascii="Times New Roman" w:hAnsi="Times New Roman" w:cs="Times New Roman"/>
                <w:sz w:val="21"/>
                <w:szCs w:val="21"/>
              </w:rPr>
              <w:t>亚甲蓝分光光度法</w:t>
            </w:r>
            <w:r>
              <w:rPr>
                <w:rFonts w:ascii="Times New Roman" w:hAnsi="Times New Roman" w:cs="Times New Roman"/>
                <w:sz w:val="21"/>
                <w:szCs w:val="21"/>
              </w:rPr>
              <w:t xml:space="preserve"> GB 7494-87</w:t>
            </w:r>
          </w:p>
        </w:tc>
        <w:tc>
          <w:tcPr>
            <w:tcW w:w="2749" w:type="dxa"/>
            <w:tcBorders>
              <w:tl2br w:val="nil"/>
              <w:tr2bl w:val="nil"/>
            </w:tcBorders>
            <w:vAlign w:val="center"/>
          </w:tcPr>
          <w:p w14:paraId="5C77F43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紫外可见分光光度计</w:t>
            </w:r>
            <w:r>
              <w:rPr>
                <w:rFonts w:ascii="Times New Roman" w:eastAsia="宋体" w:hAnsi="Times New Roman" w:cs="Times New Roman"/>
                <w:kern w:val="0"/>
                <w:sz w:val="21"/>
                <w:szCs w:val="21"/>
                <w:lang w:bidi="ar"/>
              </w:rPr>
              <w:t>/UV-1800D/KXYQ-015</w:t>
            </w:r>
          </w:p>
        </w:tc>
      </w:tr>
      <w:tr w:rsidR="009D12AF" w14:paraId="22CB98C8" w14:textId="77777777">
        <w:trPr>
          <w:trHeight w:val="652"/>
          <w:jc w:val="center"/>
        </w:trPr>
        <w:tc>
          <w:tcPr>
            <w:tcW w:w="710" w:type="dxa"/>
            <w:tcBorders>
              <w:tl2br w:val="nil"/>
              <w:tr2bl w:val="nil"/>
            </w:tcBorders>
            <w:vAlign w:val="center"/>
          </w:tcPr>
          <w:p w14:paraId="5C9A523E"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22</w:t>
            </w:r>
          </w:p>
        </w:tc>
        <w:tc>
          <w:tcPr>
            <w:tcW w:w="1221" w:type="dxa"/>
            <w:tcBorders>
              <w:tl2br w:val="nil"/>
              <w:tr2bl w:val="nil"/>
            </w:tcBorders>
            <w:vAlign w:val="center"/>
          </w:tcPr>
          <w:p w14:paraId="2751FBB4" w14:textId="77777777" w:rsidR="009D12AF" w:rsidRDefault="00000000">
            <w:pPr>
              <w:widowControl/>
              <w:spacing w:line="240" w:lineRule="auto"/>
              <w:ind w:firstLineChars="0" w:firstLine="0"/>
              <w:jc w:val="center"/>
              <w:rPr>
                <w:rFonts w:ascii="Times New Roman" w:hAnsi="Times New Roman"/>
                <w:sz w:val="21"/>
                <w:szCs w:val="21"/>
                <w:lang w:bidi="en-US"/>
              </w:rPr>
            </w:pPr>
            <w:r>
              <w:rPr>
                <w:rFonts w:ascii="Times New Roman" w:hAnsi="Times New Roman" w:cs="Times New Roman" w:hint="eastAsia"/>
                <w:sz w:val="21"/>
                <w:szCs w:val="21"/>
              </w:rPr>
              <w:t>硫化物</w:t>
            </w:r>
          </w:p>
        </w:tc>
        <w:tc>
          <w:tcPr>
            <w:tcW w:w="3653" w:type="dxa"/>
            <w:tcBorders>
              <w:tl2br w:val="nil"/>
              <w:tr2bl w:val="nil"/>
            </w:tcBorders>
            <w:vAlign w:val="center"/>
          </w:tcPr>
          <w:p w14:paraId="0F31EBE8"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sz w:val="21"/>
                <w:szCs w:val="21"/>
              </w:rPr>
              <w:t>水质</w:t>
            </w:r>
            <w:r>
              <w:rPr>
                <w:rFonts w:ascii="Times New Roman" w:hAnsi="Times New Roman" w:cs="Times New Roman"/>
                <w:sz w:val="21"/>
                <w:szCs w:val="21"/>
              </w:rPr>
              <w:t xml:space="preserve"> </w:t>
            </w:r>
            <w:r>
              <w:rPr>
                <w:rFonts w:ascii="Times New Roman" w:hAnsi="Times New Roman" w:cs="Times New Roman"/>
                <w:sz w:val="21"/>
                <w:szCs w:val="21"/>
              </w:rPr>
              <w:t>硫化物的测定</w:t>
            </w:r>
            <w:r>
              <w:rPr>
                <w:rFonts w:ascii="Times New Roman" w:hAnsi="Times New Roman" w:cs="Times New Roman"/>
                <w:sz w:val="21"/>
                <w:szCs w:val="21"/>
              </w:rPr>
              <w:t xml:space="preserve"> </w:t>
            </w:r>
            <w:r>
              <w:rPr>
                <w:rFonts w:ascii="Times New Roman" w:hAnsi="Times New Roman" w:cs="Times New Roman"/>
                <w:sz w:val="21"/>
                <w:szCs w:val="21"/>
              </w:rPr>
              <w:t>亚甲基蓝分光光度法</w:t>
            </w:r>
            <w:r>
              <w:rPr>
                <w:rFonts w:ascii="Times New Roman" w:hAnsi="Times New Roman" w:cs="Times New Roman"/>
                <w:sz w:val="21"/>
                <w:szCs w:val="21"/>
              </w:rPr>
              <w:t xml:space="preserve"> HJ 1226-2021</w:t>
            </w:r>
          </w:p>
        </w:tc>
        <w:tc>
          <w:tcPr>
            <w:tcW w:w="2749" w:type="dxa"/>
            <w:tcBorders>
              <w:tl2br w:val="nil"/>
              <w:tr2bl w:val="nil"/>
            </w:tcBorders>
            <w:vAlign w:val="center"/>
          </w:tcPr>
          <w:p w14:paraId="0933C9A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紫外可见分光光度计</w:t>
            </w:r>
            <w:r>
              <w:rPr>
                <w:rFonts w:ascii="Times New Roman" w:eastAsia="宋体" w:hAnsi="Times New Roman" w:cs="Times New Roman"/>
                <w:kern w:val="0"/>
                <w:sz w:val="21"/>
                <w:szCs w:val="21"/>
                <w:lang w:bidi="ar"/>
              </w:rPr>
              <w:t>/UV-1800D/KXYQ-015</w:t>
            </w:r>
          </w:p>
        </w:tc>
      </w:tr>
      <w:tr w:rsidR="009D12AF" w14:paraId="2641B00E" w14:textId="77777777">
        <w:trPr>
          <w:trHeight w:val="652"/>
          <w:jc w:val="center"/>
        </w:trPr>
        <w:tc>
          <w:tcPr>
            <w:tcW w:w="710" w:type="dxa"/>
            <w:tcBorders>
              <w:tl2br w:val="nil"/>
              <w:tr2bl w:val="nil"/>
            </w:tcBorders>
            <w:vAlign w:val="center"/>
          </w:tcPr>
          <w:p w14:paraId="77B10253"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23</w:t>
            </w:r>
          </w:p>
        </w:tc>
        <w:tc>
          <w:tcPr>
            <w:tcW w:w="1221" w:type="dxa"/>
            <w:tcBorders>
              <w:tl2br w:val="nil"/>
              <w:tr2bl w:val="nil"/>
            </w:tcBorders>
            <w:vAlign w:val="center"/>
          </w:tcPr>
          <w:p w14:paraId="5CB329E7" w14:textId="77777777" w:rsidR="009D12AF" w:rsidRDefault="00000000">
            <w:pPr>
              <w:widowControl/>
              <w:spacing w:line="240" w:lineRule="auto"/>
              <w:ind w:firstLineChars="0" w:firstLine="0"/>
              <w:jc w:val="center"/>
              <w:rPr>
                <w:rFonts w:ascii="Times New Roman" w:hAnsi="Times New Roman"/>
                <w:sz w:val="21"/>
                <w:szCs w:val="21"/>
                <w:lang w:bidi="en-US"/>
              </w:rPr>
            </w:pPr>
            <w:r>
              <w:rPr>
                <w:rFonts w:ascii="Times New Roman" w:eastAsia="宋体" w:hAnsi="Times New Roman" w:cs="Times New Roman"/>
                <w:kern w:val="0"/>
                <w:sz w:val="21"/>
                <w:szCs w:val="21"/>
                <w:lang w:bidi="ar"/>
              </w:rPr>
              <w:t>粪大肠菌群</w:t>
            </w:r>
          </w:p>
        </w:tc>
        <w:tc>
          <w:tcPr>
            <w:tcW w:w="3653" w:type="dxa"/>
            <w:tcBorders>
              <w:tl2br w:val="nil"/>
              <w:tr2bl w:val="nil"/>
            </w:tcBorders>
            <w:vAlign w:val="center"/>
          </w:tcPr>
          <w:p w14:paraId="605B7794"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sz w:val="21"/>
                <w:szCs w:val="21"/>
              </w:rPr>
              <w:t>水质</w:t>
            </w:r>
            <w:r>
              <w:rPr>
                <w:rFonts w:ascii="Times New Roman" w:hAnsi="Times New Roman" w:cs="Times New Roman"/>
                <w:sz w:val="21"/>
                <w:szCs w:val="21"/>
              </w:rPr>
              <w:t xml:space="preserve"> </w:t>
            </w:r>
            <w:r>
              <w:rPr>
                <w:rFonts w:ascii="Times New Roman" w:hAnsi="Times New Roman" w:cs="Times New Roman"/>
                <w:sz w:val="21"/>
                <w:szCs w:val="21"/>
              </w:rPr>
              <w:t>总大肠菌群和粪大肠菌群的测定</w:t>
            </w:r>
            <w:r>
              <w:rPr>
                <w:rFonts w:ascii="Times New Roman" w:hAnsi="Times New Roman" w:cs="Times New Roman"/>
                <w:sz w:val="21"/>
                <w:szCs w:val="21"/>
              </w:rPr>
              <w:t xml:space="preserve"> </w:t>
            </w:r>
            <w:r>
              <w:rPr>
                <w:rFonts w:ascii="Times New Roman" w:hAnsi="Times New Roman" w:cs="Times New Roman"/>
                <w:sz w:val="21"/>
                <w:szCs w:val="21"/>
              </w:rPr>
              <w:t>纸片快速法</w:t>
            </w:r>
            <w:r>
              <w:rPr>
                <w:rFonts w:ascii="Times New Roman" w:hAnsi="Times New Roman" w:cs="Times New Roman"/>
                <w:sz w:val="21"/>
                <w:szCs w:val="21"/>
              </w:rPr>
              <w:t xml:space="preserve"> HJ 755-2015</w:t>
            </w:r>
          </w:p>
        </w:tc>
        <w:tc>
          <w:tcPr>
            <w:tcW w:w="2749" w:type="dxa"/>
            <w:tcBorders>
              <w:tl2br w:val="nil"/>
              <w:tr2bl w:val="nil"/>
            </w:tcBorders>
            <w:vAlign w:val="center"/>
          </w:tcPr>
          <w:p w14:paraId="300761D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color w:val="000000"/>
                <w:kern w:val="0"/>
                <w:sz w:val="21"/>
                <w:szCs w:val="21"/>
                <w:lang w:bidi="ar"/>
              </w:rPr>
              <w:t>恒温培养箱</w:t>
            </w:r>
            <w:r>
              <w:rPr>
                <w:rFonts w:ascii="Times New Roman" w:eastAsia="宋体" w:hAnsi="Times New Roman" w:cs="Times New Roman"/>
                <w:color w:val="000000"/>
                <w:kern w:val="0"/>
                <w:sz w:val="21"/>
                <w:szCs w:val="21"/>
                <w:lang w:bidi="ar"/>
              </w:rPr>
              <w:t>/303-3B/KXYQ-026</w:t>
            </w:r>
          </w:p>
        </w:tc>
      </w:tr>
      <w:tr w:rsidR="009D12AF" w14:paraId="5DFA79CA" w14:textId="77777777">
        <w:trPr>
          <w:trHeight w:val="652"/>
          <w:jc w:val="center"/>
        </w:trPr>
        <w:tc>
          <w:tcPr>
            <w:tcW w:w="710" w:type="dxa"/>
            <w:tcBorders>
              <w:tl2br w:val="nil"/>
              <w:tr2bl w:val="nil"/>
            </w:tcBorders>
            <w:vAlign w:val="center"/>
          </w:tcPr>
          <w:p w14:paraId="410BC3FB"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24</w:t>
            </w:r>
          </w:p>
        </w:tc>
        <w:tc>
          <w:tcPr>
            <w:tcW w:w="1221" w:type="dxa"/>
            <w:tcBorders>
              <w:tl2br w:val="nil"/>
              <w:tr2bl w:val="nil"/>
            </w:tcBorders>
            <w:vAlign w:val="center"/>
          </w:tcPr>
          <w:p w14:paraId="7B6A452E" w14:textId="77777777" w:rsidR="009D12AF" w:rsidRDefault="00000000">
            <w:pPr>
              <w:widowControl/>
              <w:ind w:firstLineChars="0" w:firstLine="0"/>
              <w:jc w:val="center"/>
              <w:textAlignment w:val="center"/>
              <w:rPr>
                <w:rFonts w:ascii="Times New Roman" w:hAnsi="Times New Roman"/>
                <w:sz w:val="21"/>
                <w:szCs w:val="21"/>
                <w:lang w:bidi="en-US"/>
              </w:rPr>
            </w:pPr>
            <w:r>
              <w:rPr>
                <w:rFonts w:ascii="Times New Roman" w:hAnsi="Times New Roman" w:cs="Times New Roman" w:hint="eastAsia"/>
                <w:kern w:val="0"/>
                <w:sz w:val="21"/>
                <w:szCs w:val="21"/>
                <w:lang w:bidi="ar"/>
              </w:rPr>
              <w:t>水温</w:t>
            </w:r>
          </w:p>
        </w:tc>
        <w:tc>
          <w:tcPr>
            <w:tcW w:w="3653" w:type="dxa"/>
            <w:tcBorders>
              <w:tl2br w:val="nil"/>
              <w:tr2bl w:val="nil"/>
            </w:tcBorders>
            <w:vAlign w:val="center"/>
          </w:tcPr>
          <w:p w14:paraId="36ECDD1D" w14:textId="77777777" w:rsidR="009D12AF" w:rsidRDefault="00000000">
            <w:pPr>
              <w:widowControl/>
              <w:ind w:firstLineChars="0" w:firstLine="0"/>
              <w:jc w:val="center"/>
              <w:textAlignment w:val="center"/>
              <w:rPr>
                <w:rFonts w:ascii="Times New Roman" w:eastAsia="宋体" w:hAnsi="Times New Roman" w:cs="Times New Roman"/>
                <w:sz w:val="21"/>
                <w:szCs w:val="21"/>
                <w:lang w:bidi="en-US"/>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水温的测定</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传感器法</w:t>
            </w:r>
            <w:r>
              <w:rPr>
                <w:rFonts w:ascii="Times New Roman" w:eastAsia="宋体" w:hAnsi="Times New Roman" w:cs="Times New Roman"/>
                <w:kern w:val="0"/>
                <w:sz w:val="21"/>
                <w:szCs w:val="21"/>
                <w:lang w:bidi="ar"/>
              </w:rPr>
              <w:t xml:space="preserve"> HJ 1396-2024</w:t>
            </w:r>
          </w:p>
        </w:tc>
        <w:tc>
          <w:tcPr>
            <w:tcW w:w="2749" w:type="dxa"/>
            <w:tcBorders>
              <w:tl2br w:val="nil"/>
              <w:tr2bl w:val="nil"/>
            </w:tcBorders>
            <w:vAlign w:val="center"/>
          </w:tcPr>
          <w:p w14:paraId="37EB6E7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color w:val="000000"/>
                <w:kern w:val="0"/>
                <w:sz w:val="21"/>
                <w:szCs w:val="21"/>
                <w:lang w:bidi="ar"/>
              </w:rPr>
              <w:t>便携式酸度计</w:t>
            </w:r>
            <w:r>
              <w:rPr>
                <w:rFonts w:ascii="Times New Roman" w:hAnsi="Times New Roman" w:cs="Times New Roman" w:hint="eastAsia"/>
                <w:color w:val="000000"/>
                <w:kern w:val="0"/>
                <w:sz w:val="21"/>
                <w:szCs w:val="21"/>
                <w:lang w:bidi="ar"/>
              </w:rPr>
              <w:t>/PH828/KXYQ-133</w:t>
            </w:r>
          </w:p>
        </w:tc>
      </w:tr>
    </w:tbl>
    <w:p w14:paraId="6D1F260D" w14:textId="77777777" w:rsidR="009D12AF" w:rsidRDefault="00000000">
      <w:pPr>
        <w:adjustRightInd w:val="0"/>
        <w:snapToGrid w:val="0"/>
        <w:ind w:firstLine="480"/>
      </w:pPr>
      <w:r>
        <w:t>（</w:t>
      </w:r>
      <w:r>
        <w:rPr>
          <w:rFonts w:hint="eastAsia"/>
        </w:rPr>
        <w:t>7</w:t>
      </w:r>
      <w:r>
        <w:t>）评价方法</w:t>
      </w:r>
    </w:p>
    <w:p w14:paraId="5F03C199" w14:textId="77777777" w:rsidR="009D12AF" w:rsidRDefault="00000000">
      <w:pPr>
        <w:pStyle w:val="00"/>
        <w:adjustRightInd w:val="0"/>
        <w:snapToGrid w:val="0"/>
        <w:ind w:firstLineChars="300" w:firstLine="720"/>
        <w:rPr>
          <w:rFonts w:ascii="Times New Roman" w:hAnsi="Times New Roman"/>
          <w:smallCaps w:val="0"/>
        </w:rPr>
      </w:pPr>
      <w:r>
        <w:rPr>
          <w:rFonts w:ascii="Times New Roman" w:hAnsi="Times New Roman"/>
          <w:smallCaps w:val="0"/>
        </w:rPr>
        <w:t>一般性水质因子（随着浓度增加而水质变差的水质因子）的指数计算公式：</w:t>
      </w:r>
    </w:p>
    <w:p w14:paraId="2E26F49B" w14:textId="77777777" w:rsidR="009D12AF" w:rsidRDefault="00000000">
      <w:pPr>
        <w:adjustRightInd w:val="0"/>
        <w:snapToGrid w:val="0"/>
        <w:ind w:firstLine="480"/>
        <w:jc w:val="center"/>
      </w:pPr>
      <w:r>
        <w:object w:dxaOrig="1320" w:dyaOrig="375" w14:anchorId="0CAEA742">
          <v:shape id="_x0000_i1025" type="#_x0000_t75" style="width:66pt;height:18.75pt" o:ole="">
            <v:imagedata r:id="rId37" o:title=""/>
          </v:shape>
          <o:OLEObject Type="Embed" ProgID="Visio.Drawing.11" ShapeID="_x0000_i1025" DrawAspect="Content" ObjectID="_1828160662" r:id="rId38"/>
        </w:object>
      </w:r>
    </w:p>
    <w:p w14:paraId="2782B8F9" w14:textId="77777777" w:rsidR="009D12AF" w:rsidRDefault="00000000">
      <w:pPr>
        <w:pStyle w:val="00"/>
        <w:adjustRightInd w:val="0"/>
        <w:snapToGrid w:val="0"/>
        <w:rPr>
          <w:rFonts w:ascii="Times New Roman" w:hAnsi="Times New Roman"/>
          <w:smallCaps w:val="0"/>
        </w:rPr>
      </w:pPr>
      <w:r>
        <w:rPr>
          <w:rFonts w:ascii="Times New Roman" w:hAnsi="Times New Roman"/>
          <w:smallCaps w:val="0"/>
        </w:rPr>
        <w:t>式中：</w:t>
      </w:r>
      <w:r>
        <w:rPr>
          <w:rFonts w:ascii="Times New Roman" w:hAnsi="Times New Roman"/>
          <w:smallCaps w:val="0"/>
        </w:rPr>
        <w:t>S</w:t>
      </w:r>
      <w:r>
        <w:rPr>
          <w:rFonts w:ascii="Times New Roman" w:hAnsi="Times New Roman"/>
          <w:smallCaps w:val="0"/>
          <w:vertAlign w:val="subscript"/>
        </w:rPr>
        <w:t>i,j</w:t>
      </w:r>
      <w:r>
        <w:rPr>
          <w:rFonts w:ascii="Times New Roman" w:hAnsi="Times New Roman"/>
          <w:smallCaps w:val="0"/>
        </w:rPr>
        <w:t>---</w:t>
      </w:r>
      <w:r>
        <w:rPr>
          <w:rFonts w:ascii="Times New Roman" w:hAnsi="Times New Roman"/>
          <w:smallCaps w:val="0"/>
        </w:rPr>
        <w:t>评价因子</w:t>
      </w:r>
      <w:r>
        <w:rPr>
          <w:rFonts w:ascii="Times New Roman" w:hAnsi="Times New Roman"/>
          <w:i/>
          <w:smallCaps w:val="0"/>
        </w:rPr>
        <w:t>i</w:t>
      </w:r>
      <w:r>
        <w:rPr>
          <w:rFonts w:ascii="Times New Roman" w:hAnsi="Times New Roman"/>
          <w:smallCaps w:val="0"/>
        </w:rPr>
        <w:t>的水质指数，大于</w:t>
      </w:r>
      <w:r>
        <w:rPr>
          <w:rFonts w:ascii="Times New Roman" w:hAnsi="Times New Roman"/>
          <w:smallCaps w:val="0"/>
        </w:rPr>
        <w:t>1</w:t>
      </w:r>
      <w:r>
        <w:rPr>
          <w:rFonts w:ascii="Times New Roman" w:hAnsi="Times New Roman"/>
          <w:smallCaps w:val="0"/>
        </w:rPr>
        <w:t>表明该水质因子超标；</w:t>
      </w:r>
      <w:r>
        <w:rPr>
          <w:rFonts w:ascii="Times New Roman" w:hAnsi="Times New Roman"/>
          <w:smallCaps w:val="0"/>
        </w:rPr>
        <w:t xml:space="preserve"> </w:t>
      </w:r>
    </w:p>
    <w:p w14:paraId="5CFEFA0D" w14:textId="77777777" w:rsidR="009D12AF" w:rsidRDefault="00000000">
      <w:pPr>
        <w:pStyle w:val="00"/>
        <w:adjustRightInd w:val="0"/>
        <w:snapToGrid w:val="0"/>
        <w:ind w:firstLineChars="500" w:firstLine="1200"/>
        <w:rPr>
          <w:rFonts w:ascii="Times New Roman" w:hAnsi="Times New Roman"/>
          <w:smallCaps w:val="0"/>
        </w:rPr>
      </w:pPr>
      <w:r>
        <w:rPr>
          <w:rFonts w:ascii="Times New Roman" w:hAnsi="Times New Roman"/>
          <w:smallCaps w:val="0"/>
        </w:rPr>
        <w:t>C</w:t>
      </w:r>
      <w:r>
        <w:rPr>
          <w:rFonts w:ascii="Times New Roman" w:hAnsi="Times New Roman"/>
          <w:smallCaps w:val="0"/>
          <w:vertAlign w:val="subscript"/>
        </w:rPr>
        <w:t>i,j</w:t>
      </w:r>
      <w:r>
        <w:rPr>
          <w:rFonts w:ascii="Times New Roman" w:hAnsi="Times New Roman"/>
          <w:smallCaps w:val="0"/>
        </w:rPr>
        <w:t>---</w:t>
      </w:r>
      <w:r>
        <w:rPr>
          <w:rFonts w:ascii="Times New Roman" w:hAnsi="Times New Roman"/>
          <w:smallCaps w:val="0"/>
        </w:rPr>
        <w:t>评价因子</w:t>
      </w:r>
      <w:r>
        <w:rPr>
          <w:rFonts w:ascii="Times New Roman" w:hAnsi="Times New Roman"/>
          <w:i/>
          <w:smallCaps w:val="0"/>
        </w:rPr>
        <w:t>i</w:t>
      </w:r>
      <w:r>
        <w:rPr>
          <w:rFonts w:ascii="Times New Roman" w:hAnsi="Times New Roman"/>
          <w:smallCaps w:val="0"/>
        </w:rPr>
        <w:t>在第</w:t>
      </w:r>
      <w:r>
        <w:rPr>
          <w:rFonts w:ascii="Times New Roman" w:hAnsi="Times New Roman"/>
          <w:smallCaps w:val="0"/>
        </w:rPr>
        <w:t>j</w:t>
      </w:r>
      <w:r>
        <w:rPr>
          <w:rFonts w:ascii="Times New Roman" w:hAnsi="Times New Roman"/>
          <w:smallCaps w:val="0"/>
        </w:rPr>
        <w:t>点的实测统计代表值，</w:t>
      </w:r>
      <w:r>
        <w:rPr>
          <w:rFonts w:ascii="Times New Roman" w:hAnsi="Times New Roman"/>
          <w:smallCaps w:val="0"/>
        </w:rPr>
        <w:t>mg/L</w:t>
      </w:r>
      <w:r>
        <w:rPr>
          <w:rFonts w:ascii="Times New Roman" w:hAnsi="Times New Roman"/>
          <w:smallCaps w:val="0"/>
        </w:rPr>
        <w:t>；</w:t>
      </w:r>
    </w:p>
    <w:p w14:paraId="3CCBBD82" w14:textId="77777777" w:rsidR="009D12AF" w:rsidRDefault="00000000">
      <w:pPr>
        <w:pStyle w:val="00"/>
        <w:adjustRightInd w:val="0"/>
        <w:snapToGrid w:val="0"/>
        <w:ind w:firstLineChars="500" w:firstLine="1200"/>
        <w:rPr>
          <w:rFonts w:ascii="Times New Roman" w:hAnsi="Times New Roman"/>
          <w:smallCaps w:val="0"/>
        </w:rPr>
      </w:pPr>
      <w:r>
        <w:rPr>
          <w:rFonts w:ascii="Times New Roman" w:hAnsi="Times New Roman"/>
          <w:smallCaps w:val="0"/>
        </w:rPr>
        <w:t>C</w:t>
      </w:r>
      <w:r>
        <w:rPr>
          <w:rFonts w:ascii="Times New Roman" w:hAnsi="Times New Roman"/>
          <w:smallCaps w:val="0"/>
          <w:vertAlign w:val="subscript"/>
        </w:rPr>
        <w:t>si</w:t>
      </w:r>
      <w:r>
        <w:rPr>
          <w:rFonts w:ascii="Times New Roman" w:hAnsi="Times New Roman"/>
          <w:smallCaps w:val="0"/>
        </w:rPr>
        <w:t>--</w:t>
      </w:r>
      <w:r>
        <w:rPr>
          <w:rFonts w:ascii="Times New Roman" w:hAnsi="Times New Roman"/>
          <w:smallCaps w:val="0"/>
        </w:rPr>
        <w:t>评价因子</w:t>
      </w:r>
      <w:r>
        <w:rPr>
          <w:rFonts w:ascii="Times New Roman" w:hAnsi="Times New Roman"/>
          <w:i/>
          <w:smallCaps w:val="0"/>
        </w:rPr>
        <w:t>i</w:t>
      </w:r>
      <w:r>
        <w:rPr>
          <w:rFonts w:ascii="Times New Roman" w:hAnsi="Times New Roman"/>
          <w:smallCaps w:val="0"/>
        </w:rPr>
        <w:t>的水质评价标准限值，</w:t>
      </w:r>
      <w:r>
        <w:rPr>
          <w:rFonts w:ascii="Times New Roman" w:hAnsi="Times New Roman"/>
          <w:smallCaps w:val="0"/>
        </w:rPr>
        <w:t>mg/L</w:t>
      </w:r>
      <w:r>
        <w:rPr>
          <w:rFonts w:ascii="Times New Roman" w:hAnsi="Times New Roman"/>
          <w:smallCaps w:val="0"/>
        </w:rPr>
        <w:t>。</w:t>
      </w:r>
    </w:p>
    <w:p w14:paraId="6F31F692" w14:textId="77777777" w:rsidR="009D12AF" w:rsidRDefault="00000000">
      <w:pPr>
        <w:pStyle w:val="00"/>
        <w:adjustRightInd w:val="0"/>
        <w:snapToGrid w:val="0"/>
        <w:ind w:firstLineChars="500" w:firstLine="1200"/>
        <w:rPr>
          <w:rFonts w:ascii="Times New Roman" w:hAnsi="Times New Roman"/>
          <w:smallCaps w:val="0"/>
          <w:lang w:val="zh-CN"/>
        </w:rPr>
      </w:pPr>
      <w:r>
        <w:rPr>
          <w:rFonts w:ascii="Times New Roman" w:hAnsi="Times New Roman"/>
          <w:smallCaps w:val="0"/>
          <w:lang w:val="zh-CN"/>
        </w:rPr>
        <w:t>pH</w:t>
      </w:r>
      <w:r>
        <w:rPr>
          <w:rFonts w:ascii="Times New Roman" w:hAnsi="Times New Roman"/>
          <w:smallCaps w:val="0"/>
          <w:lang w:val="zh-CN"/>
        </w:rPr>
        <w:t>值的指数计算公式：</w:t>
      </w:r>
    </w:p>
    <w:p w14:paraId="6ACD30C7" w14:textId="77777777" w:rsidR="009D12AF" w:rsidRDefault="00000000">
      <w:pPr>
        <w:pStyle w:val="00"/>
        <w:adjustRightInd w:val="0"/>
        <w:snapToGrid w:val="0"/>
        <w:ind w:firstLineChars="500" w:firstLine="1200"/>
        <w:rPr>
          <w:rFonts w:ascii="Times New Roman" w:hAnsi="Times New Roman"/>
          <w:smallCaps w:val="0"/>
          <w:lang w:val="zh-CN"/>
        </w:rPr>
      </w:pPr>
      <w:r>
        <w:rPr>
          <w:rFonts w:ascii="Times New Roman" w:hAnsi="Times New Roman"/>
          <w:noProof/>
        </w:rPr>
        <w:drawing>
          <wp:inline distT="0" distB="0" distL="114300" distR="114300" wp14:anchorId="23533438" wp14:editId="4A070662">
            <wp:extent cx="3381375" cy="800100"/>
            <wp:effectExtent l="0" t="0" r="9525" b="0"/>
            <wp:docPr id="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
                    <pic:cNvPicPr>
                      <a:picLocks noChangeAspect="1"/>
                    </pic:cNvPicPr>
                  </pic:nvPicPr>
                  <pic:blipFill>
                    <a:blip r:embed="rId39"/>
                    <a:stretch>
                      <a:fillRect/>
                    </a:stretch>
                  </pic:blipFill>
                  <pic:spPr>
                    <a:xfrm>
                      <a:off x="0" y="0"/>
                      <a:ext cx="3381375" cy="800100"/>
                    </a:xfrm>
                    <a:prstGeom prst="rect">
                      <a:avLst/>
                    </a:prstGeom>
                    <a:noFill/>
                    <a:ln>
                      <a:noFill/>
                    </a:ln>
                  </pic:spPr>
                </pic:pic>
              </a:graphicData>
            </a:graphic>
          </wp:inline>
        </w:drawing>
      </w:r>
    </w:p>
    <w:p w14:paraId="5CD5384E" w14:textId="77777777" w:rsidR="009D12AF" w:rsidRDefault="00000000">
      <w:pPr>
        <w:pStyle w:val="00"/>
        <w:adjustRightInd w:val="0"/>
        <w:snapToGrid w:val="0"/>
        <w:ind w:firstLineChars="500" w:firstLine="1200"/>
        <w:rPr>
          <w:rFonts w:ascii="Times New Roman" w:hAnsi="Times New Roman"/>
          <w:smallCaps w:val="0"/>
          <w:lang w:val="zh-CN"/>
        </w:rPr>
      </w:pPr>
      <w:r>
        <w:rPr>
          <w:rFonts w:ascii="Times New Roman" w:hAnsi="Times New Roman"/>
          <w:noProof/>
        </w:rPr>
        <w:drawing>
          <wp:inline distT="0" distB="0" distL="114300" distR="114300" wp14:anchorId="0A8CC6BB" wp14:editId="55B0A157">
            <wp:extent cx="3362325" cy="733425"/>
            <wp:effectExtent l="0" t="0" r="9525" b="9525"/>
            <wp:docPr id="8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0"/>
                    <pic:cNvPicPr>
                      <a:picLocks noChangeAspect="1"/>
                    </pic:cNvPicPr>
                  </pic:nvPicPr>
                  <pic:blipFill>
                    <a:blip r:embed="rId40"/>
                    <a:stretch>
                      <a:fillRect/>
                    </a:stretch>
                  </pic:blipFill>
                  <pic:spPr>
                    <a:xfrm>
                      <a:off x="0" y="0"/>
                      <a:ext cx="3362325" cy="733425"/>
                    </a:xfrm>
                    <a:prstGeom prst="rect">
                      <a:avLst/>
                    </a:prstGeom>
                    <a:noFill/>
                    <a:ln>
                      <a:noFill/>
                    </a:ln>
                  </pic:spPr>
                </pic:pic>
              </a:graphicData>
            </a:graphic>
          </wp:inline>
        </w:drawing>
      </w:r>
    </w:p>
    <w:p w14:paraId="7ADDE578" w14:textId="77777777" w:rsidR="009D12AF" w:rsidRDefault="00000000">
      <w:pPr>
        <w:pStyle w:val="00"/>
        <w:adjustRightInd w:val="0"/>
        <w:snapToGrid w:val="0"/>
        <w:ind w:firstLineChars="500" w:firstLine="1200"/>
        <w:rPr>
          <w:rFonts w:ascii="Times New Roman" w:hAnsi="Times New Roman"/>
          <w:smallCaps w:val="0"/>
        </w:rPr>
      </w:pPr>
      <w:r>
        <w:rPr>
          <w:rFonts w:ascii="Times New Roman" w:hAnsi="Times New Roman"/>
          <w:smallCaps w:val="0"/>
        </w:rPr>
        <w:t>式中：</w:t>
      </w:r>
      <w:r>
        <w:rPr>
          <w:rFonts w:ascii="Times New Roman" w:hAnsi="Times New Roman"/>
          <w:smallCaps w:val="0"/>
        </w:rPr>
        <w:t>P</w:t>
      </w:r>
      <w:r>
        <w:rPr>
          <w:rFonts w:ascii="Times New Roman" w:hAnsi="Times New Roman"/>
          <w:smallCaps w:val="0"/>
          <w:vertAlign w:val="subscript"/>
        </w:rPr>
        <w:t>pH</w:t>
      </w:r>
      <w:r>
        <w:rPr>
          <w:rFonts w:ascii="Times New Roman" w:hAnsi="Times New Roman"/>
          <w:smallCaps w:val="0"/>
          <w:vertAlign w:val="subscript"/>
        </w:rPr>
        <w:t>，</w:t>
      </w:r>
      <w:r>
        <w:rPr>
          <w:rFonts w:ascii="Times New Roman" w:hAnsi="Times New Roman"/>
          <w:smallCaps w:val="0"/>
          <w:vertAlign w:val="subscript"/>
        </w:rPr>
        <w:t>j</w:t>
      </w:r>
      <w:r>
        <w:rPr>
          <w:rFonts w:ascii="Times New Roman" w:hAnsi="Times New Roman"/>
          <w:smallCaps w:val="0"/>
        </w:rPr>
        <w:t>——pH</w:t>
      </w:r>
      <w:r>
        <w:rPr>
          <w:rFonts w:ascii="Times New Roman" w:hAnsi="Times New Roman"/>
          <w:smallCaps w:val="0"/>
        </w:rPr>
        <w:t>值的指数，大于</w:t>
      </w:r>
      <w:r>
        <w:rPr>
          <w:rFonts w:ascii="Times New Roman" w:hAnsi="Times New Roman"/>
          <w:smallCaps w:val="0"/>
        </w:rPr>
        <w:t>1</w:t>
      </w:r>
      <w:r>
        <w:rPr>
          <w:rFonts w:ascii="Times New Roman" w:hAnsi="Times New Roman"/>
          <w:smallCaps w:val="0"/>
        </w:rPr>
        <w:t>表明该水质因子超标；</w:t>
      </w:r>
    </w:p>
    <w:p w14:paraId="2DB92455" w14:textId="77777777" w:rsidR="009D12AF" w:rsidRDefault="00000000">
      <w:pPr>
        <w:pStyle w:val="00"/>
        <w:adjustRightInd w:val="0"/>
        <w:snapToGrid w:val="0"/>
        <w:ind w:firstLineChars="800" w:firstLine="1920"/>
        <w:rPr>
          <w:rFonts w:ascii="Times New Roman" w:hAnsi="Times New Roman"/>
          <w:smallCaps w:val="0"/>
        </w:rPr>
      </w:pPr>
      <w:r>
        <w:rPr>
          <w:rFonts w:ascii="Times New Roman" w:hAnsi="Times New Roman"/>
          <w:smallCaps w:val="0"/>
        </w:rPr>
        <w:t>pH</w:t>
      </w:r>
      <w:r>
        <w:rPr>
          <w:rFonts w:ascii="Times New Roman" w:hAnsi="Times New Roman"/>
          <w:smallCaps w:val="0"/>
          <w:vertAlign w:val="subscript"/>
        </w:rPr>
        <w:t>j</w:t>
      </w:r>
      <w:r>
        <w:rPr>
          <w:rFonts w:ascii="Times New Roman" w:hAnsi="Times New Roman"/>
          <w:smallCaps w:val="0"/>
        </w:rPr>
        <w:t>——pH</w:t>
      </w:r>
      <w:r>
        <w:rPr>
          <w:rFonts w:ascii="Times New Roman" w:hAnsi="Times New Roman"/>
          <w:smallCaps w:val="0"/>
        </w:rPr>
        <w:t>值实测统计代表值；</w:t>
      </w:r>
    </w:p>
    <w:p w14:paraId="32B38E8C" w14:textId="77777777" w:rsidR="009D12AF" w:rsidRDefault="00000000">
      <w:pPr>
        <w:pStyle w:val="00"/>
        <w:adjustRightInd w:val="0"/>
        <w:snapToGrid w:val="0"/>
        <w:ind w:firstLineChars="800" w:firstLine="1920"/>
        <w:rPr>
          <w:rFonts w:ascii="Times New Roman" w:hAnsi="Times New Roman"/>
          <w:smallCaps w:val="0"/>
        </w:rPr>
      </w:pPr>
      <w:r>
        <w:rPr>
          <w:rFonts w:ascii="Times New Roman" w:hAnsi="Times New Roman"/>
          <w:smallCaps w:val="0"/>
        </w:rPr>
        <w:t>pH</w:t>
      </w:r>
      <w:r>
        <w:rPr>
          <w:rFonts w:ascii="Times New Roman" w:hAnsi="Times New Roman"/>
          <w:smallCaps w:val="0"/>
          <w:vertAlign w:val="subscript"/>
        </w:rPr>
        <w:t>sd</w:t>
      </w:r>
      <w:r>
        <w:rPr>
          <w:rFonts w:ascii="Times New Roman" w:hAnsi="Times New Roman"/>
          <w:smallCaps w:val="0"/>
        </w:rPr>
        <w:t>——</w:t>
      </w:r>
      <w:r>
        <w:rPr>
          <w:rFonts w:ascii="Times New Roman" w:hAnsi="Times New Roman"/>
          <w:smallCaps w:val="0"/>
        </w:rPr>
        <w:t>评价标准中</w:t>
      </w:r>
      <w:r>
        <w:rPr>
          <w:rFonts w:ascii="Times New Roman" w:hAnsi="Times New Roman"/>
          <w:smallCaps w:val="0"/>
        </w:rPr>
        <w:t>pH</w:t>
      </w:r>
      <w:r>
        <w:rPr>
          <w:rFonts w:ascii="Times New Roman" w:hAnsi="Times New Roman"/>
          <w:smallCaps w:val="0"/>
        </w:rPr>
        <w:t>的下限值；</w:t>
      </w:r>
    </w:p>
    <w:p w14:paraId="2D705725" w14:textId="77777777" w:rsidR="009D12AF" w:rsidRDefault="00000000">
      <w:pPr>
        <w:pStyle w:val="00"/>
        <w:adjustRightInd w:val="0"/>
        <w:snapToGrid w:val="0"/>
        <w:ind w:firstLineChars="800" w:firstLine="1920"/>
        <w:rPr>
          <w:rFonts w:ascii="Times New Roman" w:hAnsi="Times New Roman"/>
          <w:smallCaps w:val="0"/>
        </w:rPr>
      </w:pPr>
      <w:r>
        <w:rPr>
          <w:rFonts w:ascii="Times New Roman" w:hAnsi="Times New Roman"/>
          <w:smallCaps w:val="0"/>
        </w:rPr>
        <w:t>pH</w:t>
      </w:r>
      <w:r>
        <w:rPr>
          <w:rFonts w:ascii="Times New Roman" w:hAnsi="Times New Roman"/>
          <w:smallCaps w:val="0"/>
          <w:vertAlign w:val="subscript"/>
        </w:rPr>
        <w:t>su</w:t>
      </w:r>
      <w:r>
        <w:rPr>
          <w:rFonts w:ascii="Times New Roman" w:hAnsi="Times New Roman"/>
          <w:smallCaps w:val="0"/>
        </w:rPr>
        <w:t>——</w:t>
      </w:r>
      <w:r>
        <w:rPr>
          <w:rFonts w:ascii="Times New Roman" w:hAnsi="Times New Roman"/>
          <w:smallCaps w:val="0"/>
        </w:rPr>
        <w:t>评价标准中</w:t>
      </w:r>
      <w:r>
        <w:rPr>
          <w:rFonts w:ascii="Times New Roman" w:hAnsi="Times New Roman"/>
          <w:smallCaps w:val="0"/>
        </w:rPr>
        <w:t>pH</w:t>
      </w:r>
      <w:r>
        <w:rPr>
          <w:rFonts w:ascii="Times New Roman" w:hAnsi="Times New Roman"/>
          <w:smallCaps w:val="0"/>
        </w:rPr>
        <w:t>的上限值。</w:t>
      </w:r>
    </w:p>
    <w:p w14:paraId="49CBE874" w14:textId="77777777" w:rsidR="009D12AF" w:rsidRDefault="00000000">
      <w:pPr>
        <w:pStyle w:val="00"/>
        <w:adjustRightInd w:val="0"/>
        <w:snapToGrid w:val="0"/>
        <w:ind w:firstLineChars="500" w:firstLine="1200"/>
        <w:rPr>
          <w:rFonts w:ascii="Times New Roman" w:hAnsi="Times New Roman"/>
          <w:smallCaps w:val="0"/>
        </w:rPr>
      </w:pPr>
      <w:r>
        <w:rPr>
          <w:rFonts w:ascii="Times New Roman" w:hAnsi="Times New Roman"/>
          <w:smallCaps w:val="0"/>
        </w:rPr>
        <w:t>DO</w:t>
      </w:r>
      <w:r>
        <w:rPr>
          <w:rFonts w:ascii="Times New Roman" w:hAnsi="Times New Roman"/>
          <w:smallCaps w:val="0"/>
        </w:rPr>
        <w:t>的标准指数计算公式为：</w:t>
      </w:r>
    </w:p>
    <w:p w14:paraId="2EA184F5" w14:textId="77777777" w:rsidR="009D12AF" w:rsidRDefault="00000000">
      <w:pPr>
        <w:pStyle w:val="00"/>
        <w:adjustRightInd w:val="0"/>
        <w:snapToGrid w:val="0"/>
        <w:ind w:firstLineChars="500" w:firstLine="1200"/>
        <w:rPr>
          <w:rFonts w:ascii="Times New Roman" w:hAnsi="Times New Roman"/>
          <w:smallCaps w:val="0"/>
        </w:rPr>
      </w:pPr>
      <w:r>
        <w:rPr>
          <w:rFonts w:ascii="Times New Roman" w:hAnsi="Times New Roman"/>
          <w:noProof/>
        </w:rPr>
        <w:lastRenderedPageBreak/>
        <w:drawing>
          <wp:inline distT="0" distB="0" distL="114300" distR="114300" wp14:anchorId="742A634A" wp14:editId="1930022D">
            <wp:extent cx="3733800" cy="1314450"/>
            <wp:effectExtent l="0" t="0" r="0" b="0"/>
            <wp:docPr id="8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1"/>
                    <pic:cNvPicPr>
                      <a:picLocks noChangeAspect="1"/>
                    </pic:cNvPicPr>
                  </pic:nvPicPr>
                  <pic:blipFill>
                    <a:blip r:embed="rId41"/>
                    <a:stretch>
                      <a:fillRect/>
                    </a:stretch>
                  </pic:blipFill>
                  <pic:spPr>
                    <a:xfrm>
                      <a:off x="0" y="0"/>
                      <a:ext cx="3733800" cy="1314450"/>
                    </a:xfrm>
                    <a:prstGeom prst="rect">
                      <a:avLst/>
                    </a:prstGeom>
                    <a:noFill/>
                    <a:ln>
                      <a:noFill/>
                    </a:ln>
                  </pic:spPr>
                </pic:pic>
              </a:graphicData>
            </a:graphic>
          </wp:inline>
        </w:drawing>
      </w:r>
    </w:p>
    <w:p w14:paraId="0576642E" w14:textId="77777777" w:rsidR="009D12AF" w:rsidRDefault="00000000">
      <w:pPr>
        <w:pStyle w:val="00"/>
        <w:adjustRightInd w:val="0"/>
        <w:snapToGrid w:val="0"/>
        <w:ind w:firstLineChars="500" w:firstLine="1200"/>
        <w:rPr>
          <w:rFonts w:ascii="Times New Roman" w:hAnsi="Times New Roman"/>
          <w:smallCaps w:val="0"/>
        </w:rPr>
      </w:pPr>
      <w:r>
        <w:rPr>
          <w:rFonts w:ascii="Times New Roman" w:hAnsi="Times New Roman"/>
          <w:smallCaps w:val="0"/>
        </w:rPr>
        <w:t>式中：</w:t>
      </w:r>
      <w:r>
        <w:rPr>
          <w:rFonts w:ascii="Times New Roman" w:hAnsi="Times New Roman"/>
          <w:smallCaps w:val="0"/>
        </w:rPr>
        <w:t>S</w:t>
      </w:r>
      <w:r>
        <w:rPr>
          <w:rFonts w:ascii="Times New Roman" w:hAnsi="Times New Roman"/>
          <w:smallCaps w:val="0"/>
          <w:vertAlign w:val="subscript"/>
        </w:rPr>
        <w:t>DO</w:t>
      </w:r>
      <w:r>
        <w:rPr>
          <w:rFonts w:ascii="Times New Roman" w:hAnsi="Times New Roman"/>
          <w:smallCaps w:val="0"/>
          <w:vertAlign w:val="subscript"/>
        </w:rPr>
        <w:t>，</w:t>
      </w:r>
      <w:r>
        <w:rPr>
          <w:rFonts w:ascii="Times New Roman" w:hAnsi="Times New Roman"/>
          <w:smallCaps w:val="0"/>
          <w:vertAlign w:val="subscript"/>
        </w:rPr>
        <w:t>j</w:t>
      </w:r>
      <w:r>
        <w:rPr>
          <w:rFonts w:ascii="Times New Roman" w:hAnsi="Times New Roman"/>
          <w:smallCaps w:val="0"/>
        </w:rPr>
        <w:t>—</w:t>
      </w:r>
      <w:r>
        <w:rPr>
          <w:rFonts w:ascii="Times New Roman" w:hAnsi="Times New Roman"/>
          <w:smallCaps w:val="0"/>
        </w:rPr>
        <w:t>溶解氧的标准指数，大于</w:t>
      </w:r>
      <w:r>
        <w:rPr>
          <w:rFonts w:ascii="Times New Roman" w:hAnsi="Times New Roman"/>
          <w:smallCaps w:val="0"/>
        </w:rPr>
        <w:t>1</w:t>
      </w:r>
      <w:r>
        <w:rPr>
          <w:rFonts w:ascii="Times New Roman" w:hAnsi="Times New Roman"/>
          <w:smallCaps w:val="0"/>
        </w:rPr>
        <w:t>表明该水质因子超标；</w:t>
      </w:r>
    </w:p>
    <w:p w14:paraId="29EDDC87" w14:textId="77777777" w:rsidR="009D12AF" w:rsidRDefault="00000000">
      <w:pPr>
        <w:pStyle w:val="00"/>
        <w:adjustRightInd w:val="0"/>
        <w:snapToGrid w:val="0"/>
        <w:ind w:firstLineChars="800" w:firstLine="1920"/>
        <w:rPr>
          <w:rFonts w:ascii="Times New Roman" w:hAnsi="Times New Roman"/>
          <w:smallCaps w:val="0"/>
        </w:rPr>
      </w:pPr>
      <w:r>
        <w:rPr>
          <w:rFonts w:ascii="Times New Roman" w:hAnsi="Times New Roman"/>
          <w:smallCaps w:val="0"/>
        </w:rPr>
        <w:t>DO</w:t>
      </w:r>
      <w:r>
        <w:rPr>
          <w:rFonts w:ascii="Times New Roman" w:hAnsi="Times New Roman"/>
          <w:smallCaps w:val="0"/>
          <w:vertAlign w:val="subscript"/>
        </w:rPr>
        <w:t>j</w:t>
      </w:r>
      <w:r>
        <w:rPr>
          <w:rFonts w:ascii="Times New Roman" w:hAnsi="Times New Roman"/>
          <w:smallCaps w:val="0"/>
        </w:rPr>
        <w:t>—</w:t>
      </w:r>
      <w:r>
        <w:rPr>
          <w:rFonts w:ascii="Times New Roman" w:hAnsi="Times New Roman"/>
          <w:smallCaps w:val="0"/>
        </w:rPr>
        <w:t>溶解氧在</w:t>
      </w:r>
      <w:r>
        <w:rPr>
          <w:rFonts w:ascii="Times New Roman" w:hAnsi="Times New Roman"/>
          <w:smallCaps w:val="0"/>
        </w:rPr>
        <w:t>j</w:t>
      </w:r>
      <w:r>
        <w:rPr>
          <w:rFonts w:ascii="Times New Roman" w:hAnsi="Times New Roman"/>
          <w:smallCaps w:val="0"/>
        </w:rPr>
        <w:t>点的实测统计代表值（</w:t>
      </w:r>
      <w:r>
        <w:rPr>
          <w:rFonts w:ascii="Times New Roman" w:hAnsi="Times New Roman"/>
          <w:smallCaps w:val="0"/>
        </w:rPr>
        <w:t>mg/L</w:t>
      </w:r>
      <w:r>
        <w:rPr>
          <w:rFonts w:ascii="Times New Roman" w:hAnsi="Times New Roman"/>
          <w:smallCaps w:val="0"/>
        </w:rPr>
        <w:t>）；</w:t>
      </w:r>
    </w:p>
    <w:p w14:paraId="2531FA24" w14:textId="77777777" w:rsidR="009D12AF" w:rsidRDefault="00000000">
      <w:pPr>
        <w:pStyle w:val="00"/>
        <w:adjustRightInd w:val="0"/>
        <w:snapToGrid w:val="0"/>
        <w:ind w:firstLineChars="800" w:firstLine="1920"/>
        <w:rPr>
          <w:rFonts w:ascii="Times New Roman" w:hAnsi="Times New Roman"/>
          <w:smallCaps w:val="0"/>
        </w:rPr>
      </w:pPr>
      <w:r>
        <w:rPr>
          <w:rFonts w:ascii="Times New Roman" w:hAnsi="Times New Roman"/>
          <w:smallCaps w:val="0"/>
        </w:rPr>
        <w:t>DO</w:t>
      </w:r>
      <w:r>
        <w:rPr>
          <w:rFonts w:ascii="Times New Roman" w:hAnsi="Times New Roman"/>
          <w:smallCaps w:val="0"/>
          <w:vertAlign w:val="subscript"/>
        </w:rPr>
        <w:t>f</w:t>
      </w:r>
      <w:r>
        <w:rPr>
          <w:rFonts w:ascii="Times New Roman" w:hAnsi="Times New Roman"/>
          <w:smallCaps w:val="0"/>
        </w:rPr>
        <w:t>—</w:t>
      </w:r>
      <w:r>
        <w:rPr>
          <w:rFonts w:ascii="Times New Roman" w:hAnsi="Times New Roman"/>
          <w:smallCaps w:val="0"/>
        </w:rPr>
        <w:t>饱和溶解氧浓度（</w:t>
      </w:r>
      <w:r>
        <w:rPr>
          <w:rFonts w:ascii="Times New Roman" w:hAnsi="Times New Roman"/>
          <w:smallCaps w:val="0"/>
        </w:rPr>
        <w:t>mg/L</w:t>
      </w:r>
      <w:r>
        <w:rPr>
          <w:rFonts w:ascii="Times New Roman" w:hAnsi="Times New Roman"/>
          <w:smallCaps w:val="0"/>
        </w:rPr>
        <w:t>），对于河流，</w:t>
      </w:r>
      <w:r>
        <w:rPr>
          <w:rFonts w:ascii="Times New Roman" w:hAnsi="Times New Roman"/>
          <w:smallCaps w:val="0"/>
        </w:rPr>
        <w:t>DO</w:t>
      </w:r>
      <w:r>
        <w:rPr>
          <w:rFonts w:ascii="Times New Roman" w:hAnsi="Times New Roman"/>
          <w:smallCaps w:val="0"/>
          <w:vertAlign w:val="subscript"/>
        </w:rPr>
        <w:t>f</w:t>
      </w:r>
      <w:r>
        <w:rPr>
          <w:rFonts w:ascii="Times New Roman" w:hAnsi="Times New Roman"/>
          <w:smallCaps w:val="0"/>
        </w:rPr>
        <w:t>=468/(31.6+T)</w:t>
      </w:r>
      <w:r>
        <w:rPr>
          <w:rFonts w:ascii="Times New Roman" w:hAnsi="Times New Roman"/>
          <w:smallCaps w:val="0"/>
        </w:rPr>
        <w:t>；</w:t>
      </w:r>
    </w:p>
    <w:p w14:paraId="0955FB6B" w14:textId="77777777" w:rsidR="009D12AF" w:rsidRDefault="00000000">
      <w:pPr>
        <w:pStyle w:val="00"/>
        <w:adjustRightInd w:val="0"/>
        <w:snapToGrid w:val="0"/>
        <w:ind w:firstLineChars="800" w:firstLine="1920"/>
        <w:rPr>
          <w:rFonts w:ascii="Times New Roman" w:hAnsi="Times New Roman"/>
          <w:smallCaps w:val="0"/>
        </w:rPr>
      </w:pPr>
      <w:r>
        <w:rPr>
          <w:rFonts w:ascii="Times New Roman" w:hAnsi="Times New Roman"/>
          <w:smallCaps w:val="0"/>
        </w:rPr>
        <w:t>DO</w:t>
      </w:r>
      <w:r>
        <w:rPr>
          <w:rFonts w:ascii="Times New Roman" w:hAnsi="Times New Roman"/>
          <w:smallCaps w:val="0"/>
          <w:vertAlign w:val="subscript"/>
        </w:rPr>
        <w:t>S</w:t>
      </w:r>
      <w:r>
        <w:rPr>
          <w:rFonts w:ascii="Times New Roman" w:hAnsi="Times New Roman"/>
          <w:smallCaps w:val="0"/>
        </w:rPr>
        <w:t>—</w:t>
      </w:r>
      <w:r>
        <w:rPr>
          <w:rFonts w:ascii="Times New Roman" w:hAnsi="Times New Roman"/>
          <w:smallCaps w:val="0"/>
        </w:rPr>
        <w:t>溶解氧的水质评价标准限值（</w:t>
      </w:r>
      <w:r>
        <w:rPr>
          <w:rFonts w:ascii="Times New Roman" w:hAnsi="Times New Roman"/>
          <w:smallCaps w:val="0"/>
        </w:rPr>
        <w:t>mg/L</w:t>
      </w:r>
      <w:r>
        <w:rPr>
          <w:rFonts w:ascii="Times New Roman" w:hAnsi="Times New Roman"/>
          <w:smallCaps w:val="0"/>
        </w:rPr>
        <w:t>）；</w:t>
      </w:r>
    </w:p>
    <w:p w14:paraId="429ADE29" w14:textId="77777777" w:rsidR="009D12AF" w:rsidRDefault="00000000">
      <w:pPr>
        <w:adjustRightInd w:val="0"/>
        <w:snapToGrid w:val="0"/>
        <w:ind w:firstLineChars="600" w:firstLine="1440"/>
      </w:pPr>
      <w:r>
        <w:t>T—</w:t>
      </w:r>
      <w:r>
        <w:t>水温（</w:t>
      </w:r>
      <w:r>
        <w:rPr>
          <w:rFonts w:ascii="宋体" w:hAnsi="宋体" w:cs="宋体" w:hint="eastAsia"/>
        </w:rPr>
        <w:t>℃</w:t>
      </w:r>
      <w:r>
        <w:t>）。</w:t>
      </w:r>
    </w:p>
    <w:p w14:paraId="4A499DC4" w14:textId="77777777" w:rsidR="009D12AF" w:rsidRDefault="00000000">
      <w:pPr>
        <w:adjustRightInd w:val="0"/>
        <w:snapToGrid w:val="0"/>
        <w:ind w:firstLine="480"/>
      </w:pPr>
      <w:r>
        <w:t>（</w:t>
      </w:r>
      <w:r>
        <w:rPr>
          <w:rFonts w:hint="eastAsia"/>
        </w:rPr>
        <w:t>7</w:t>
      </w:r>
      <w:r>
        <w:t>）评价结果</w:t>
      </w:r>
    </w:p>
    <w:p w14:paraId="05363E00" w14:textId="77777777" w:rsidR="009D12AF" w:rsidRDefault="00000000">
      <w:pPr>
        <w:spacing w:line="240" w:lineRule="auto"/>
        <w:ind w:firstLine="482"/>
        <w:jc w:val="center"/>
        <w:rPr>
          <w:b/>
          <w:bCs/>
        </w:rPr>
      </w:pPr>
      <w:r>
        <w:rPr>
          <w:b/>
          <w:bCs/>
        </w:rPr>
        <w:t>表</w:t>
      </w:r>
      <w:r>
        <w:rPr>
          <w:b/>
          <w:bCs/>
        </w:rPr>
        <w:t>4</w:t>
      </w:r>
      <w:r>
        <w:rPr>
          <w:rFonts w:hint="eastAsia"/>
          <w:b/>
          <w:bCs/>
        </w:rPr>
        <w:t>.3</w:t>
      </w:r>
      <w:r>
        <w:rPr>
          <w:b/>
          <w:bCs/>
        </w:rPr>
        <w:t>-</w:t>
      </w:r>
      <w:r>
        <w:rPr>
          <w:rFonts w:hint="eastAsia"/>
          <w:b/>
          <w:bCs/>
        </w:rPr>
        <w:t>7</w:t>
      </w:r>
      <w:r>
        <w:rPr>
          <w:rFonts w:hint="eastAsia"/>
          <w:b/>
          <w:bCs/>
        </w:rPr>
        <w:t>（</w:t>
      </w:r>
      <w:r>
        <w:rPr>
          <w:rFonts w:hint="eastAsia"/>
          <w:b/>
          <w:bCs/>
        </w:rPr>
        <w:t>1</w:t>
      </w:r>
      <w:r>
        <w:rPr>
          <w:rFonts w:hint="eastAsia"/>
          <w:b/>
          <w:bCs/>
        </w:rPr>
        <w:t>）</w:t>
      </w:r>
      <w:r>
        <w:rPr>
          <w:b/>
          <w:bCs/>
        </w:rPr>
        <w:t xml:space="preserve">  </w:t>
      </w:r>
      <w:r>
        <w:rPr>
          <w:rFonts w:hint="eastAsia"/>
          <w:b/>
          <w:bCs/>
        </w:rPr>
        <w:t>万丈水库地表</w:t>
      </w:r>
      <w:r>
        <w:rPr>
          <w:b/>
          <w:bCs/>
        </w:rPr>
        <w:t>水环境质量评价结果</w:t>
      </w:r>
    </w:p>
    <w:tbl>
      <w:tblPr>
        <w:tblW w:w="4998" w:type="pct"/>
        <w:jc w:val="center"/>
        <w:tblBorders>
          <w:top w:val="single" w:sz="12" w:space="0" w:color="auto"/>
          <w:bottom w:val="single" w:sz="12" w:space="0" w:color="auto"/>
          <w:insideH w:val="single" w:sz="8" w:space="0" w:color="auto"/>
          <w:insideV w:val="single" w:sz="8" w:space="0" w:color="auto"/>
        </w:tblBorders>
        <w:tblLook w:val="04A0" w:firstRow="1" w:lastRow="0" w:firstColumn="1" w:lastColumn="0" w:noHBand="0" w:noVBand="1"/>
      </w:tblPr>
      <w:tblGrid>
        <w:gridCol w:w="1925"/>
        <w:gridCol w:w="1819"/>
        <w:gridCol w:w="1818"/>
        <w:gridCol w:w="1821"/>
        <w:gridCol w:w="1136"/>
      </w:tblGrid>
      <w:tr w:rsidR="009D12AF" w14:paraId="611EE2FA" w14:textId="77777777">
        <w:trPr>
          <w:cantSplit/>
          <w:trHeight w:val="397"/>
          <w:jc w:val="center"/>
        </w:trPr>
        <w:tc>
          <w:tcPr>
            <w:tcW w:w="1129" w:type="pct"/>
            <w:vAlign w:val="center"/>
          </w:tcPr>
          <w:p w14:paraId="0CF538A8"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067" w:type="pct"/>
            <w:tcBorders>
              <w:bottom w:val="single" w:sz="8" w:space="0" w:color="auto"/>
            </w:tcBorders>
            <w:vAlign w:val="center"/>
          </w:tcPr>
          <w:p w14:paraId="368B306A" w14:textId="77777777" w:rsidR="009D12AF" w:rsidRDefault="00000000">
            <w:pPr>
              <w:spacing w:line="240" w:lineRule="exact"/>
              <w:ind w:firstLineChars="0" w:firstLine="0"/>
              <w:jc w:val="center"/>
              <w:rPr>
                <w:rFonts w:ascii="Times New Roman" w:eastAsia="宋体" w:hAnsi="Times New Roman" w:cs="Times New Roman"/>
                <w:b/>
                <w:bCs/>
              </w:rPr>
            </w:pPr>
            <w:r>
              <w:rPr>
                <w:rFonts w:ascii="Times New Roman" w:hAnsi="Times New Roman" w:cs="Times New Roman"/>
                <w:b/>
                <w:bCs/>
              </w:rPr>
              <w:t>2025.10.07</w:t>
            </w:r>
          </w:p>
        </w:tc>
        <w:tc>
          <w:tcPr>
            <w:tcW w:w="1067" w:type="pct"/>
            <w:tcBorders>
              <w:bottom w:val="single" w:sz="8" w:space="0" w:color="auto"/>
            </w:tcBorders>
            <w:vAlign w:val="center"/>
          </w:tcPr>
          <w:p w14:paraId="14CD32DE"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068" w:type="pct"/>
            <w:tcBorders>
              <w:bottom w:val="single" w:sz="8" w:space="0" w:color="auto"/>
            </w:tcBorders>
            <w:vAlign w:val="center"/>
          </w:tcPr>
          <w:p w14:paraId="1F2538C1"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667" w:type="pct"/>
            <w:tcBorders>
              <w:bottom w:val="single" w:sz="8" w:space="0" w:color="auto"/>
            </w:tcBorders>
            <w:vAlign w:val="center"/>
          </w:tcPr>
          <w:p w14:paraId="71FF103D"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w:t>
            </w:r>
          </w:p>
        </w:tc>
      </w:tr>
      <w:tr w:rsidR="009D12AF" w14:paraId="529A1BF6" w14:textId="77777777">
        <w:trPr>
          <w:cantSplit/>
          <w:trHeight w:val="397"/>
          <w:jc w:val="center"/>
        </w:trPr>
        <w:tc>
          <w:tcPr>
            <w:tcW w:w="1129" w:type="pct"/>
            <w:tcBorders>
              <w:bottom w:val="single" w:sz="8" w:space="0" w:color="auto"/>
            </w:tcBorders>
            <w:vAlign w:val="center"/>
          </w:tcPr>
          <w:p w14:paraId="78F68388"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3203" w:type="pct"/>
            <w:gridSpan w:val="3"/>
            <w:tcBorders>
              <w:top w:val="single" w:sz="8" w:space="0" w:color="auto"/>
              <w:bottom w:val="single" w:sz="8" w:space="0" w:color="auto"/>
            </w:tcBorders>
            <w:vAlign w:val="center"/>
          </w:tcPr>
          <w:p w14:paraId="2420FC22"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rPr>
              <w:t>万丈水库上游</w:t>
            </w:r>
            <w:r>
              <w:rPr>
                <w:rFonts w:ascii="Times New Roman" w:hAnsi="Times New Roman" w:cs="Times New Roman"/>
                <w:b/>
                <w:bCs/>
              </w:rPr>
              <w:t>500m 1#</w:t>
            </w:r>
            <w:r>
              <w:rPr>
                <w:rFonts w:ascii="Times New Roman" w:hAnsi="Times New Roman" w:cs="Times New Roman"/>
                <w:b/>
                <w:bCs/>
              </w:rPr>
              <w:t>（水面下</w:t>
            </w:r>
            <w:r>
              <w:rPr>
                <w:rFonts w:ascii="Times New Roman" w:hAnsi="Times New Roman" w:cs="Times New Roman"/>
                <w:b/>
                <w:bCs/>
              </w:rPr>
              <w:t>0.5m</w:t>
            </w:r>
            <w:r>
              <w:rPr>
                <w:rFonts w:ascii="Times New Roman" w:hAnsi="Times New Roman" w:cs="Times New Roman"/>
                <w:b/>
                <w:bCs/>
              </w:rPr>
              <w:t>）</w:t>
            </w:r>
          </w:p>
        </w:tc>
        <w:tc>
          <w:tcPr>
            <w:tcW w:w="667" w:type="pct"/>
            <w:tcBorders>
              <w:top w:val="single" w:sz="8" w:space="0" w:color="auto"/>
              <w:bottom w:val="single" w:sz="8" w:space="0" w:color="auto"/>
            </w:tcBorders>
            <w:vAlign w:val="center"/>
          </w:tcPr>
          <w:p w14:paraId="2075646B"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kern w:val="0"/>
                <w:szCs w:val="21"/>
              </w:rPr>
              <w:t>/</w:t>
            </w:r>
          </w:p>
        </w:tc>
      </w:tr>
      <w:tr w:rsidR="009D12AF" w14:paraId="1FB1DC8E" w14:textId="77777777">
        <w:trPr>
          <w:cantSplit/>
          <w:trHeight w:val="397"/>
          <w:jc w:val="center"/>
        </w:trPr>
        <w:tc>
          <w:tcPr>
            <w:tcW w:w="1129" w:type="pct"/>
            <w:tcBorders>
              <w:bottom w:val="single" w:sz="8" w:space="0" w:color="auto"/>
            </w:tcBorders>
            <w:vAlign w:val="center"/>
          </w:tcPr>
          <w:p w14:paraId="7D2F83F4"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检测项目</w:t>
            </w:r>
          </w:p>
        </w:tc>
        <w:tc>
          <w:tcPr>
            <w:tcW w:w="3203" w:type="pct"/>
            <w:gridSpan w:val="3"/>
            <w:tcBorders>
              <w:top w:val="single" w:sz="8" w:space="0" w:color="auto"/>
              <w:bottom w:val="single" w:sz="8" w:space="0" w:color="auto"/>
            </w:tcBorders>
            <w:vAlign w:val="center"/>
          </w:tcPr>
          <w:p w14:paraId="22E634CF"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检测结果</w:t>
            </w:r>
          </w:p>
        </w:tc>
        <w:tc>
          <w:tcPr>
            <w:tcW w:w="667" w:type="pct"/>
            <w:tcBorders>
              <w:top w:val="single" w:sz="8" w:space="0" w:color="auto"/>
              <w:bottom w:val="single" w:sz="8" w:space="0" w:color="auto"/>
            </w:tcBorders>
            <w:vAlign w:val="center"/>
          </w:tcPr>
          <w:p w14:paraId="7484A4C4"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单位</w:t>
            </w:r>
          </w:p>
        </w:tc>
      </w:tr>
      <w:tr w:rsidR="009D12AF" w14:paraId="1C13E41C" w14:textId="77777777">
        <w:trPr>
          <w:cantSplit/>
          <w:trHeight w:val="397"/>
          <w:jc w:val="center"/>
        </w:trPr>
        <w:tc>
          <w:tcPr>
            <w:tcW w:w="1129" w:type="pct"/>
            <w:vAlign w:val="center"/>
          </w:tcPr>
          <w:p w14:paraId="0566F60D"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067" w:type="pct"/>
            <w:tcBorders>
              <w:top w:val="single" w:sz="8" w:space="0" w:color="auto"/>
              <w:bottom w:val="single" w:sz="8" w:space="0" w:color="auto"/>
            </w:tcBorders>
            <w:vAlign w:val="center"/>
          </w:tcPr>
          <w:p w14:paraId="59FA089E" w14:textId="77777777" w:rsidR="009D12AF" w:rsidRDefault="00000000">
            <w:pPr>
              <w:widowControl/>
              <w:ind w:firstLineChars="0" w:firstLine="0"/>
              <w:jc w:val="center"/>
              <w:textAlignment w:val="center"/>
              <w:rPr>
                <w:rFonts w:ascii="Times New Roman" w:hAnsi="Times New Roman" w:cs="Times New Roman"/>
                <w:kern w:val="0"/>
                <w:sz w:val="21"/>
                <w:szCs w:val="21"/>
                <w:lang w:bidi="ar"/>
              </w:rPr>
            </w:pPr>
            <w:r>
              <w:rPr>
                <w:rFonts w:ascii="Times New Roman" w:hAnsi="Times New Roman" w:cs="Times New Roman" w:hint="eastAsia"/>
                <w:kern w:val="0"/>
                <w:sz w:val="21"/>
                <w:szCs w:val="21"/>
                <w:lang w:bidi="ar"/>
              </w:rPr>
              <w:t>250940DB0101D1</w:t>
            </w:r>
          </w:p>
        </w:tc>
        <w:tc>
          <w:tcPr>
            <w:tcW w:w="1067" w:type="pct"/>
            <w:tcBorders>
              <w:top w:val="single" w:sz="8" w:space="0" w:color="auto"/>
              <w:bottom w:val="single" w:sz="8" w:space="0" w:color="auto"/>
            </w:tcBorders>
            <w:vAlign w:val="center"/>
          </w:tcPr>
          <w:p w14:paraId="68298291" w14:textId="77777777" w:rsidR="009D12AF" w:rsidRDefault="00000000">
            <w:pPr>
              <w:widowControl/>
              <w:spacing w:line="240" w:lineRule="exact"/>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250940DB0101D2</w:t>
            </w:r>
          </w:p>
        </w:tc>
        <w:tc>
          <w:tcPr>
            <w:tcW w:w="1068" w:type="pct"/>
            <w:tcBorders>
              <w:top w:val="single" w:sz="8" w:space="0" w:color="auto"/>
              <w:bottom w:val="single" w:sz="8" w:space="0" w:color="auto"/>
            </w:tcBorders>
            <w:vAlign w:val="center"/>
          </w:tcPr>
          <w:p w14:paraId="1B82E778" w14:textId="77777777" w:rsidR="009D12AF" w:rsidRDefault="00000000">
            <w:pPr>
              <w:widowControl/>
              <w:spacing w:line="240" w:lineRule="exact"/>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250940DB0101D3</w:t>
            </w:r>
          </w:p>
        </w:tc>
        <w:tc>
          <w:tcPr>
            <w:tcW w:w="667" w:type="pct"/>
            <w:tcBorders>
              <w:top w:val="single" w:sz="8" w:space="0" w:color="auto"/>
              <w:bottom w:val="single" w:sz="8" w:space="0" w:color="auto"/>
            </w:tcBorders>
            <w:vAlign w:val="center"/>
          </w:tcPr>
          <w:p w14:paraId="07F6A49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124EAFDC" w14:textId="77777777">
        <w:trPr>
          <w:cantSplit/>
          <w:trHeight w:val="397"/>
          <w:jc w:val="center"/>
        </w:trPr>
        <w:tc>
          <w:tcPr>
            <w:tcW w:w="1129" w:type="pct"/>
            <w:vAlign w:val="center"/>
          </w:tcPr>
          <w:p w14:paraId="4222B7B3"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067" w:type="pct"/>
            <w:tcBorders>
              <w:top w:val="single" w:sz="8" w:space="0" w:color="auto"/>
              <w:bottom w:val="single" w:sz="8" w:space="0" w:color="auto"/>
            </w:tcBorders>
            <w:vAlign w:val="center"/>
          </w:tcPr>
          <w:p w14:paraId="48EE2A5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7.7</w:t>
            </w:r>
          </w:p>
        </w:tc>
        <w:tc>
          <w:tcPr>
            <w:tcW w:w="1067" w:type="pct"/>
            <w:tcBorders>
              <w:top w:val="single" w:sz="8" w:space="0" w:color="auto"/>
              <w:bottom w:val="single" w:sz="8" w:space="0" w:color="auto"/>
            </w:tcBorders>
            <w:vAlign w:val="center"/>
          </w:tcPr>
          <w:p w14:paraId="73DB1D0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7.6</w:t>
            </w:r>
          </w:p>
        </w:tc>
        <w:tc>
          <w:tcPr>
            <w:tcW w:w="1068" w:type="pct"/>
            <w:tcBorders>
              <w:top w:val="single" w:sz="8" w:space="0" w:color="auto"/>
              <w:bottom w:val="single" w:sz="8" w:space="0" w:color="auto"/>
            </w:tcBorders>
            <w:vAlign w:val="center"/>
          </w:tcPr>
          <w:p w14:paraId="37F6669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7.7</w:t>
            </w:r>
          </w:p>
        </w:tc>
        <w:tc>
          <w:tcPr>
            <w:tcW w:w="667" w:type="pct"/>
            <w:tcBorders>
              <w:top w:val="single" w:sz="8" w:space="0" w:color="auto"/>
              <w:bottom w:val="single" w:sz="8" w:space="0" w:color="auto"/>
            </w:tcBorders>
            <w:vAlign w:val="center"/>
          </w:tcPr>
          <w:p w14:paraId="02C9C9C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4DE5C880" w14:textId="77777777">
        <w:trPr>
          <w:cantSplit/>
          <w:trHeight w:val="397"/>
          <w:jc w:val="center"/>
        </w:trPr>
        <w:tc>
          <w:tcPr>
            <w:tcW w:w="1129" w:type="pct"/>
            <w:vAlign w:val="center"/>
          </w:tcPr>
          <w:p w14:paraId="6FBD593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067" w:type="pct"/>
            <w:vAlign w:val="center"/>
          </w:tcPr>
          <w:p w14:paraId="4E14C96E"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10.9</w:t>
            </w:r>
          </w:p>
        </w:tc>
        <w:tc>
          <w:tcPr>
            <w:tcW w:w="1067" w:type="pct"/>
            <w:vAlign w:val="center"/>
          </w:tcPr>
          <w:p w14:paraId="0E80663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8.8</w:t>
            </w:r>
          </w:p>
        </w:tc>
        <w:tc>
          <w:tcPr>
            <w:tcW w:w="1068" w:type="pct"/>
            <w:vAlign w:val="center"/>
          </w:tcPr>
          <w:p w14:paraId="6EDD287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8.4</w:t>
            </w:r>
          </w:p>
        </w:tc>
        <w:tc>
          <w:tcPr>
            <w:tcW w:w="667" w:type="pct"/>
            <w:vAlign w:val="center"/>
          </w:tcPr>
          <w:p w14:paraId="3567103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24A9616" w14:textId="77777777">
        <w:trPr>
          <w:cantSplit/>
          <w:trHeight w:val="397"/>
          <w:jc w:val="center"/>
        </w:trPr>
        <w:tc>
          <w:tcPr>
            <w:tcW w:w="1129" w:type="pct"/>
            <w:vAlign w:val="center"/>
          </w:tcPr>
          <w:p w14:paraId="0349AB0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067" w:type="pct"/>
            <w:vAlign w:val="center"/>
          </w:tcPr>
          <w:p w14:paraId="3C32B47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7.5</w:t>
            </w:r>
          </w:p>
        </w:tc>
        <w:tc>
          <w:tcPr>
            <w:tcW w:w="1067" w:type="pct"/>
            <w:vAlign w:val="center"/>
          </w:tcPr>
          <w:p w14:paraId="0041DDF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8.0</w:t>
            </w:r>
          </w:p>
        </w:tc>
        <w:tc>
          <w:tcPr>
            <w:tcW w:w="1068" w:type="pct"/>
            <w:vAlign w:val="center"/>
          </w:tcPr>
          <w:p w14:paraId="79EC7DE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7.7</w:t>
            </w:r>
          </w:p>
        </w:tc>
        <w:tc>
          <w:tcPr>
            <w:tcW w:w="667" w:type="pct"/>
            <w:vAlign w:val="center"/>
          </w:tcPr>
          <w:p w14:paraId="00A703D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F976757" w14:textId="77777777">
        <w:trPr>
          <w:cantSplit/>
          <w:trHeight w:val="397"/>
          <w:jc w:val="center"/>
        </w:trPr>
        <w:tc>
          <w:tcPr>
            <w:tcW w:w="1129" w:type="pct"/>
            <w:vAlign w:val="center"/>
          </w:tcPr>
          <w:p w14:paraId="226C9B1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067" w:type="pct"/>
            <w:vAlign w:val="center"/>
          </w:tcPr>
          <w:p w14:paraId="3B85AEA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39</w:t>
            </w:r>
          </w:p>
        </w:tc>
        <w:tc>
          <w:tcPr>
            <w:tcW w:w="1067" w:type="pct"/>
            <w:vAlign w:val="center"/>
          </w:tcPr>
          <w:p w14:paraId="128B470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34</w:t>
            </w:r>
          </w:p>
        </w:tc>
        <w:tc>
          <w:tcPr>
            <w:tcW w:w="1068" w:type="pct"/>
            <w:vAlign w:val="center"/>
          </w:tcPr>
          <w:p w14:paraId="0431AD38"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31</w:t>
            </w:r>
          </w:p>
        </w:tc>
        <w:tc>
          <w:tcPr>
            <w:tcW w:w="667" w:type="pct"/>
            <w:vAlign w:val="center"/>
          </w:tcPr>
          <w:p w14:paraId="00CEFB9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BA059B9" w14:textId="77777777">
        <w:trPr>
          <w:cantSplit/>
          <w:trHeight w:val="397"/>
          <w:jc w:val="center"/>
        </w:trPr>
        <w:tc>
          <w:tcPr>
            <w:tcW w:w="1129" w:type="pct"/>
            <w:vAlign w:val="center"/>
          </w:tcPr>
          <w:p w14:paraId="0E643C0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067" w:type="pct"/>
            <w:vAlign w:val="center"/>
          </w:tcPr>
          <w:p w14:paraId="365F2867"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13.6</w:t>
            </w:r>
          </w:p>
        </w:tc>
        <w:tc>
          <w:tcPr>
            <w:tcW w:w="1067" w:type="pct"/>
            <w:vAlign w:val="center"/>
          </w:tcPr>
          <w:p w14:paraId="7B9DC96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12.7</w:t>
            </w:r>
          </w:p>
        </w:tc>
        <w:tc>
          <w:tcPr>
            <w:tcW w:w="1068" w:type="pct"/>
            <w:vAlign w:val="center"/>
          </w:tcPr>
          <w:p w14:paraId="6F45403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11.4</w:t>
            </w:r>
          </w:p>
        </w:tc>
        <w:tc>
          <w:tcPr>
            <w:tcW w:w="667" w:type="pct"/>
            <w:vAlign w:val="center"/>
          </w:tcPr>
          <w:p w14:paraId="4EBCCA0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3CCED48" w14:textId="77777777">
        <w:trPr>
          <w:cantSplit/>
          <w:trHeight w:val="397"/>
          <w:jc w:val="center"/>
        </w:trPr>
        <w:tc>
          <w:tcPr>
            <w:tcW w:w="1129" w:type="pct"/>
            <w:vAlign w:val="center"/>
          </w:tcPr>
          <w:p w14:paraId="119ED17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067" w:type="pct"/>
            <w:vAlign w:val="center"/>
          </w:tcPr>
          <w:p w14:paraId="14D7ACF6"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0.335</w:t>
            </w:r>
          </w:p>
        </w:tc>
        <w:tc>
          <w:tcPr>
            <w:tcW w:w="1067" w:type="pct"/>
            <w:vAlign w:val="center"/>
          </w:tcPr>
          <w:p w14:paraId="3113193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0.312</w:t>
            </w:r>
          </w:p>
        </w:tc>
        <w:tc>
          <w:tcPr>
            <w:tcW w:w="1068" w:type="pct"/>
            <w:vAlign w:val="center"/>
          </w:tcPr>
          <w:p w14:paraId="44BAD6C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0.307</w:t>
            </w:r>
          </w:p>
        </w:tc>
        <w:tc>
          <w:tcPr>
            <w:tcW w:w="667" w:type="pct"/>
            <w:vAlign w:val="center"/>
          </w:tcPr>
          <w:p w14:paraId="4ECF5A6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7FEA496" w14:textId="77777777">
        <w:trPr>
          <w:cantSplit/>
          <w:trHeight w:val="397"/>
          <w:jc w:val="center"/>
        </w:trPr>
        <w:tc>
          <w:tcPr>
            <w:tcW w:w="1129" w:type="pct"/>
            <w:vAlign w:val="center"/>
          </w:tcPr>
          <w:p w14:paraId="67B782E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067" w:type="pct"/>
            <w:vAlign w:val="center"/>
          </w:tcPr>
          <w:p w14:paraId="0626988A"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0.22</w:t>
            </w:r>
          </w:p>
        </w:tc>
        <w:tc>
          <w:tcPr>
            <w:tcW w:w="1067" w:type="pct"/>
            <w:vAlign w:val="center"/>
          </w:tcPr>
          <w:p w14:paraId="11B6A2D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0.20</w:t>
            </w:r>
          </w:p>
        </w:tc>
        <w:tc>
          <w:tcPr>
            <w:tcW w:w="1068" w:type="pct"/>
            <w:vAlign w:val="center"/>
          </w:tcPr>
          <w:p w14:paraId="2691577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0.24</w:t>
            </w:r>
          </w:p>
        </w:tc>
        <w:tc>
          <w:tcPr>
            <w:tcW w:w="667" w:type="pct"/>
            <w:vAlign w:val="center"/>
          </w:tcPr>
          <w:p w14:paraId="30D434E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4CB3454" w14:textId="77777777">
        <w:trPr>
          <w:cantSplit/>
          <w:trHeight w:val="397"/>
          <w:jc w:val="center"/>
        </w:trPr>
        <w:tc>
          <w:tcPr>
            <w:tcW w:w="1129" w:type="pct"/>
            <w:vAlign w:val="center"/>
          </w:tcPr>
          <w:p w14:paraId="5EFCF57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067" w:type="pct"/>
            <w:vAlign w:val="center"/>
          </w:tcPr>
          <w:p w14:paraId="2960DFE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1.26</w:t>
            </w:r>
          </w:p>
        </w:tc>
        <w:tc>
          <w:tcPr>
            <w:tcW w:w="1067" w:type="pct"/>
            <w:vAlign w:val="center"/>
          </w:tcPr>
          <w:p w14:paraId="047B1B7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1.39</w:t>
            </w:r>
          </w:p>
        </w:tc>
        <w:tc>
          <w:tcPr>
            <w:tcW w:w="1068" w:type="pct"/>
            <w:vAlign w:val="center"/>
          </w:tcPr>
          <w:p w14:paraId="01DA00C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1.31</w:t>
            </w:r>
          </w:p>
        </w:tc>
        <w:tc>
          <w:tcPr>
            <w:tcW w:w="667" w:type="pct"/>
            <w:vAlign w:val="center"/>
          </w:tcPr>
          <w:p w14:paraId="235B68A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664F5DF" w14:textId="77777777">
        <w:trPr>
          <w:cantSplit/>
          <w:trHeight w:val="397"/>
          <w:jc w:val="center"/>
        </w:trPr>
        <w:tc>
          <w:tcPr>
            <w:tcW w:w="1129" w:type="pct"/>
            <w:vAlign w:val="center"/>
          </w:tcPr>
          <w:p w14:paraId="02A33A9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067" w:type="pct"/>
            <w:vAlign w:val="center"/>
          </w:tcPr>
          <w:p w14:paraId="4B0B2538"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067" w:type="pct"/>
            <w:vAlign w:val="center"/>
          </w:tcPr>
          <w:p w14:paraId="059FACF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068" w:type="pct"/>
            <w:vAlign w:val="center"/>
          </w:tcPr>
          <w:p w14:paraId="59BA4AA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667" w:type="pct"/>
            <w:vAlign w:val="center"/>
          </w:tcPr>
          <w:p w14:paraId="5ACDDB5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205644C" w14:textId="77777777">
        <w:trPr>
          <w:cantSplit/>
          <w:trHeight w:val="397"/>
          <w:jc w:val="center"/>
        </w:trPr>
        <w:tc>
          <w:tcPr>
            <w:tcW w:w="1129" w:type="pct"/>
            <w:vAlign w:val="center"/>
          </w:tcPr>
          <w:p w14:paraId="0A392E4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067" w:type="pct"/>
            <w:vAlign w:val="center"/>
          </w:tcPr>
          <w:p w14:paraId="4EB0169B"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0.15</w:t>
            </w:r>
          </w:p>
        </w:tc>
        <w:tc>
          <w:tcPr>
            <w:tcW w:w="1067" w:type="pct"/>
            <w:vAlign w:val="center"/>
          </w:tcPr>
          <w:p w14:paraId="54600B7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0.16</w:t>
            </w:r>
          </w:p>
        </w:tc>
        <w:tc>
          <w:tcPr>
            <w:tcW w:w="1068" w:type="pct"/>
            <w:vAlign w:val="center"/>
          </w:tcPr>
          <w:p w14:paraId="03A538F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0.13</w:t>
            </w:r>
          </w:p>
        </w:tc>
        <w:tc>
          <w:tcPr>
            <w:tcW w:w="667" w:type="pct"/>
            <w:vAlign w:val="center"/>
          </w:tcPr>
          <w:p w14:paraId="74880A7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6EBEDE7" w14:textId="77777777">
        <w:trPr>
          <w:cantSplit/>
          <w:trHeight w:val="397"/>
          <w:jc w:val="center"/>
        </w:trPr>
        <w:tc>
          <w:tcPr>
            <w:tcW w:w="1129" w:type="pct"/>
            <w:vAlign w:val="center"/>
          </w:tcPr>
          <w:p w14:paraId="43E589F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067" w:type="pct"/>
            <w:vAlign w:val="center"/>
          </w:tcPr>
          <w:p w14:paraId="57EA476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0.32</w:t>
            </w:r>
          </w:p>
        </w:tc>
        <w:tc>
          <w:tcPr>
            <w:tcW w:w="1067" w:type="pct"/>
            <w:vAlign w:val="center"/>
          </w:tcPr>
          <w:p w14:paraId="51C14A1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0.28</w:t>
            </w:r>
          </w:p>
        </w:tc>
        <w:tc>
          <w:tcPr>
            <w:tcW w:w="1068" w:type="pct"/>
            <w:vAlign w:val="center"/>
          </w:tcPr>
          <w:p w14:paraId="7F44969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0.40</w:t>
            </w:r>
          </w:p>
        </w:tc>
        <w:tc>
          <w:tcPr>
            <w:tcW w:w="667" w:type="pct"/>
            <w:vAlign w:val="center"/>
          </w:tcPr>
          <w:p w14:paraId="055131B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C277E9B" w14:textId="77777777">
        <w:trPr>
          <w:cantSplit/>
          <w:trHeight w:val="397"/>
          <w:jc w:val="center"/>
        </w:trPr>
        <w:tc>
          <w:tcPr>
            <w:tcW w:w="1129" w:type="pct"/>
            <w:vAlign w:val="center"/>
          </w:tcPr>
          <w:p w14:paraId="74127CE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硒</w:t>
            </w:r>
          </w:p>
        </w:tc>
        <w:tc>
          <w:tcPr>
            <w:tcW w:w="1067" w:type="pct"/>
            <w:vAlign w:val="center"/>
          </w:tcPr>
          <w:p w14:paraId="044E766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0.001</w:t>
            </w:r>
          </w:p>
        </w:tc>
        <w:tc>
          <w:tcPr>
            <w:tcW w:w="1067" w:type="pct"/>
            <w:vAlign w:val="center"/>
          </w:tcPr>
          <w:p w14:paraId="5121D23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068" w:type="pct"/>
            <w:vAlign w:val="center"/>
          </w:tcPr>
          <w:p w14:paraId="198B798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w:t>
            </w:r>
          </w:p>
        </w:tc>
        <w:tc>
          <w:tcPr>
            <w:tcW w:w="667" w:type="pct"/>
            <w:vAlign w:val="center"/>
          </w:tcPr>
          <w:p w14:paraId="16C2043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1B16139" w14:textId="77777777">
        <w:trPr>
          <w:cantSplit/>
          <w:trHeight w:val="397"/>
          <w:jc w:val="center"/>
        </w:trPr>
        <w:tc>
          <w:tcPr>
            <w:tcW w:w="1129" w:type="pct"/>
            <w:vAlign w:val="center"/>
          </w:tcPr>
          <w:p w14:paraId="0230B9A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砷</w:t>
            </w:r>
          </w:p>
        </w:tc>
        <w:tc>
          <w:tcPr>
            <w:tcW w:w="1067" w:type="pct"/>
            <w:vAlign w:val="center"/>
          </w:tcPr>
          <w:p w14:paraId="224E2D9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067" w:type="pct"/>
            <w:vAlign w:val="center"/>
          </w:tcPr>
          <w:p w14:paraId="2C385E2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068" w:type="pct"/>
            <w:vAlign w:val="center"/>
          </w:tcPr>
          <w:p w14:paraId="09814D5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667" w:type="pct"/>
            <w:vAlign w:val="center"/>
          </w:tcPr>
          <w:p w14:paraId="40810BE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EE19F0C" w14:textId="77777777">
        <w:trPr>
          <w:cantSplit/>
          <w:trHeight w:val="397"/>
          <w:jc w:val="center"/>
        </w:trPr>
        <w:tc>
          <w:tcPr>
            <w:tcW w:w="1129" w:type="pct"/>
            <w:vAlign w:val="center"/>
          </w:tcPr>
          <w:p w14:paraId="7CEBA12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总</w:t>
            </w:r>
            <w:r>
              <w:rPr>
                <w:rFonts w:ascii="Times New Roman" w:eastAsia="宋体" w:hAnsi="Times New Roman" w:cs="Times New Roman"/>
                <w:sz w:val="21"/>
                <w:lang w:bidi="ar"/>
              </w:rPr>
              <w:t>汞</w:t>
            </w:r>
          </w:p>
        </w:tc>
        <w:tc>
          <w:tcPr>
            <w:tcW w:w="1067" w:type="pct"/>
            <w:vAlign w:val="center"/>
          </w:tcPr>
          <w:p w14:paraId="7692EA2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067" w:type="pct"/>
            <w:vAlign w:val="center"/>
          </w:tcPr>
          <w:p w14:paraId="7D2EAE6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068" w:type="pct"/>
            <w:vAlign w:val="center"/>
          </w:tcPr>
          <w:p w14:paraId="02E61245"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0.00002L</w:t>
            </w:r>
          </w:p>
        </w:tc>
        <w:tc>
          <w:tcPr>
            <w:tcW w:w="667" w:type="pct"/>
            <w:vAlign w:val="center"/>
          </w:tcPr>
          <w:p w14:paraId="4F579AF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2A12416" w14:textId="77777777">
        <w:trPr>
          <w:cantSplit/>
          <w:trHeight w:val="397"/>
          <w:jc w:val="center"/>
        </w:trPr>
        <w:tc>
          <w:tcPr>
            <w:tcW w:w="1129" w:type="pct"/>
            <w:vAlign w:val="center"/>
          </w:tcPr>
          <w:p w14:paraId="609F769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lastRenderedPageBreak/>
              <w:t>镉</w:t>
            </w:r>
          </w:p>
        </w:tc>
        <w:tc>
          <w:tcPr>
            <w:tcW w:w="1067" w:type="pct"/>
            <w:vAlign w:val="center"/>
          </w:tcPr>
          <w:p w14:paraId="60962433"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067" w:type="pct"/>
            <w:vAlign w:val="center"/>
          </w:tcPr>
          <w:p w14:paraId="7AF7971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068" w:type="pct"/>
            <w:vAlign w:val="center"/>
          </w:tcPr>
          <w:p w14:paraId="076C09AD"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0.0001L</w:t>
            </w:r>
          </w:p>
        </w:tc>
        <w:tc>
          <w:tcPr>
            <w:tcW w:w="667" w:type="pct"/>
            <w:vAlign w:val="center"/>
          </w:tcPr>
          <w:p w14:paraId="56BBEDD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C6A19E6" w14:textId="77777777">
        <w:trPr>
          <w:cantSplit/>
          <w:trHeight w:val="397"/>
          <w:jc w:val="center"/>
        </w:trPr>
        <w:tc>
          <w:tcPr>
            <w:tcW w:w="1129" w:type="pct"/>
            <w:vAlign w:val="center"/>
          </w:tcPr>
          <w:p w14:paraId="7AF2099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六价铬</w:t>
            </w:r>
          </w:p>
        </w:tc>
        <w:tc>
          <w:tcPr>
            <w:tcW w:w="1067" w:type="pct"/>
            <w:vAlign w:val="center"/>
          </w:tcPr>
          <w:p w14:paraId="32664557"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067" w:type="pct"/>
            <w:vAlign w:val="center"/>
          </w:tcPr>
          <w:p w14:paraId="187EEB9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068" w:type="pct"/>
            <w:vAlign w:val="center"/>
          </w:tcPr>
          <w:p w14:paraId="58215A5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667" w:type="pct"/>
            <w:vAlign w:val="center"/>
          </w:tcPr>
          <w:p w14:paraId="1293D54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49B8A49" w14:textId="77777777">
        <w:trPr>
          <w:cantSplit/>
          <w:trHeight w:val="397"/>
          <w:jc w:val="center"/>
        </w:trPr>
        <w:tc>
          <w:tcPr>
            <w:tcW w:w="1129" w:type="pct"/>
            <w:vAlign w:val="center"/>
          </w:tcPr>
          <w:p w14:paraId="1D70783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铅</w:t>
            </w:r>
          </w:p>
        </w:tc>
        <w:tc>
          <w:tcPr>
            <w:tcW w:w="1067" w:type="pct"/>
            <w:vAlign w:val="center"/>
          </w:tcPr>
          <w:p w14:paraId="7EC12395"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067" w:type="pct"/>
            <w:vAlign w:val="center"/>
          </w:tcPr>
          <w:p w14:paraId="527EF52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068" w:type="pct"/>
            <w:vAlign w:val="center"/>
          </w:tcPr>
          <w:p w14:paraId="6B8FB3E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667" w:type="pct"/>
            <w:vAlign w:val="center"/>
          </w:tcPr>
          <w:p w14:paraId="02F5A3D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7D2FEBD" w14:textId="77777777">
        <w:trPr>
          <w:cantSplit/>
          <w:trHeight w:val="397"/>
          <w:jc w:val="center"/>
        </w:trPr>
        <w:tc>
          <w:tcPr>
            <w:tcW w:w="1129" w:type="pct"/>
            <w:vAlign w:val="center"/>
          </w:tcPr>
          <w:p w14:paraId="7E14CCD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067" w:type="pct"/>
            <w:vAlign w:val="center"/>
          </w:tcPr>
          <w:p w14:paraId="7F02448A"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067" w:type="pct"/>
            <w:vAlign w:val="center"/>
          </w:tcPr>
          <w:p w14:paraId="150C617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068" w:type="pct"/>
            <w:vAlign w:val="center"/>
          </w:tcPr>
          <w:p w14:paraId="1702D08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667" w:type="pct"/>
            <w:vAlign w:val="center"/>
          </w:tcPr>
          <w:p w14:paraId="6207299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9D198A1" w14:textId="77777777">
        <w:trPr>
          <w:cantSplit/>
          <w:trHeight w:val="397"/>
          <w:jc w:val="center"/>
        </w:trPr>
        <w:tc>
          <w:tcPr>
            <w:tcW w:w="1129" w:type="pct"/>
            <w:vAlign w:val="center"/>
          </w:tcPr>
          <w:p w14:paraId="048368B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067" w:type="pct"/>
            <w:vAlign w:val="center"/>
          </w:tcPr>
          <w:p w14:paraId="4053DB1D"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067" w:type="pct"/>
            <w:vAlign w:val="center"/>
          </w:tcPr>
          <w:p w14:paraId="6C09C3B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068" w:type="pct"/>
            <w:vAlign w:val="center"/>
          </w:tcPr>
          <w:p w14:paraId="4DA56D8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667" w:type="pct"/>
            <w:vAlign w:val="center"/>
          </w:tcPr>
          <w:p w14:paraId="5E6813E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3803037" w14:textId="77777777">
        <w:trPr>
          <w:cantSplit/>
          <w:trHeight w:val="397"/>
          <w:jc w:val="center"/>
        </w:trPr>
        <w:tc>
          <w:tcPr>
            <w:tcW w:w="1129" w:type="pct"/>
            <w:vAlign w:val="center"/>
          </w:tcPr>
          <w:p w14:paraId="58D94C6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067" w:type="pct"/>
            <w:vAlign w:val="center"/>
          </w:tcPr>
          <w:p w14:paraId="2354E52F"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067" w:type="pct"/>
            <w:vAlign w:val="center"/>
          </w:tcPr>
          <w:p w14:paraId="0AE906C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068" w:type="pct"/>
            <w:vAlign w:val="center"/>
          </w:tcPr>
          <w:p w14:paraId="28B5DDC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667" w:type="pct"/>
            <w:vAlign w:val="center"/>
          </w:tcPr>
          <w:p w14:paraId="640AF5A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60F9FE7" w14:textId="77777777">
        <w:trPr>
          <w:cantSplit/>
          <w:trHeight w:val="397"/>
          <w:jc w:val="center"/>
        </w:trPr>
        <w:tc>
          <w:tcPr>
            <w:tcW w:w="1129" w:type="pct"/>
            <w:vAlign w:val="center"/>
          </w:tcPr>
          <w:p w14:paraId="37C6683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067" w:type="pct"/>
            <w:vAlign w:val="center"/>
          </w:tcPr>
          <w:p w14:paraId="51984B89"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067" w:type="pct"/>
            <w:vAlign w:val="center"/>
          </w:tcPr>
          <w:p w14:paraId="5A96ACE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068" w:type="pct"/>
            <w:vAlign w:val="center"/>
          </w:tcPr>
          <w:p w14:paraId="6173BD2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667" w:type="pct"/>
            <w:vAlign w:val="center"/>
          </w:tcPr>
          <w:p w14:paraId="302BA96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24A67E9" w14:textId="77777777">
        <w:trPr>
          <w:cantSplit/>
          <w:trHeight w:val="397"/>
          <w:jc w:val="center"/>
        </w:trPr>
        <w:tc>
          <w:tcPr>
            <w:tcW w:w="1129" w:type="pct"/>
            <w:vAlign w:val="center"/>
          </w:tcPr>
          <w:p w14:paraId="70762A9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067" w:type="pct"/>
            <w:vAlign w:val="center"/>
          </w:tcPr>
          <w:p w14:paraId="004C1216"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067" w:type="pct"/>
            <w:vAlign w:val="center"/>
          </w:tcPr>
          <w:p w14:paraId="015E90F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068" w:type="pct"/>
            <w:vAlign w:val="center"/>
          </w:tcPr>
          <w:p w14:paraId="23EC055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667" w:type="pct"/>
            <w:vAlign w:val="center"/>
          </w:tcPr>
          <w:p w14:paraId="30957F8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87CF7A2" w14:textId="77777777">
        <w:trPr>
          <w:cantSplit/>
          <w:trHeight w:val="397"/>
          <w:jc w:val="center"/>
        </w:trPr>
        <w:tc>
          <w:tcPr>
            <w:tcW w:w="1129" w:type="pct"/>
            <w:vAlign w:val="center"/>
          </w:tcPr>
          <w:p w14:paraId="2B8137E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067" w:type="pct"/>
            <w:vAlign w:val="center"/>
          </w:tcPr>
          <w:p w14:paraId="17496B50"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3.1</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067" w:type="pct"/>
            <w:vAlign w:val="center"/>
          </w:tcPr>
          <w:p w14:paraId="76A694D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2.4</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068" w:type="pct"/>
            <w:vAlign w:val="center"/>
          </w:tcPr>
          <w:p w14:paraId="6FA9899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2.8</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667" w:type="pct"/>
            <w:vAlign w:val="center"/>
          </w:tcPr>
          <w:p w14:paraId="5611808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4A80CE2B" w14:textId="77777777">
        <w:trPr>
          <w:cantSplit/>
          <w:trHeight w:val="397"/>
          <w:jc w:val="center"/>
        </w:trPr>
        <w:tc>
          <w:tcPr>
            <w:tcW w:w="1129" w:type="pct"/>
            <w:vAlign w:val="center"/>
          </w:tcPr>
          <w:p w14:paraId="6D350952"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067" w:type="pct"/>
            <w:vAlign w:val="center"/>
          </w:tcPr>
          <w:p w14:paraId="26B37837"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10.2</w:t>
            </w:r>
          </w:p>
        </w:tc>
        <w:tc>
          <w:tcPr>
            <w:tcW w:w="1067" w:type="pct"/>
            <w:vAlign w:val="center"/>
          </w:tcPr>
          <w:p w14:paraId="4E179F5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10.3</w:t>
            </w:r>
          </w:p>
        </w:tc>
        <w:tc>
          <w:tcPr>
            <w:tcW w:w="1068" w:type="pct"/>
            <w:vAlign w:val="center"/>
          </w:tcPr>
          <w:p w14:paraId="7B48796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10.5</w:t>
            </w:r>
          </w:p>
        </w:tc>
        <w:tc>
          <w:tcPr>
            <w:tcW w:w="667" w:type="pct"/>
            <w:vAlign w:val="center"/>
          </w:tcPr>
          <w:p w14:paraId="2666A2D0"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4A7221D6" w14:textId="77777777" w:rsidR="009D12AF" w:rsidRDefault="00000000">
      <w:pPr>
        <w:ind w:firstLine="482"/>
        <w:jc w:val="center"/>
        <w:rPr>
          <w:b/>
          <w:bCs/>
        </w:rPr>
      </w:pPr>
      <w:r>
        <w:rPr>
          <w:b/>
          <w:bCs/>
        </w:rPr>
        <w:t>表</w:t>
      </w:r>
      <w:r>
        <w:rPr>
          <w:b/>
          <w:bCs/>
        </w:rPr>
        <w:t>4</w:t>
      </w:r>
      <w:r>
        <w:rPr>
          <w:rFonts w:hint="eastAsia"/>
          <w:b/>
          <w:bCs/>
        </w:rPr>
        <w:t>.3</w:t>
      </w:r>
      <w:r>
        <w:rPr>
          <w:b/>
          <w:bCs/>
        </w:rPr>
        <w:t>-</w:t>
      </w:r>
      <w:r>
        <w:rPr>
          <w:rFonts w:hint="eastAsia"/>
          <w:b/>
          <w:bCs/>
        </w:rPr>
        <w:t>7</w:t>
      </w:r>
      <w:r>
        <w:rPr>
          <w:rFonts w:hint="eastAsia"/>
          <w:b/>
          <w:bCs/>
        </w:rPr>
        <w:t>（</w:t>
      </w:r>
      <w:r>
        <w:rPr>
          <w:rFonts w:hint="eastAsia"/>
          <w:b/>
          <w:bCs/>
        </w:rPr>
        <w:t>2</w:t>
      </w:r>
      <w:r>
        <w:rPr>
          <w:rFonts w:hint="eastAsia"/>
          <w:b/>
          <w:bCs/>
        </w:rPr>
        <w:t>）</w:t>
      </w:r>
      <w:r>
        <w:rPr>
          <w:b/>
          <w:bCs/>
        </w:rPr>
        <w:t xml:space="preserve">  </w:t>
      </w:r>
      <w:r>
        <w:rPr>
          <w:rFonts w:hint="eastAsia"/>
          <w:b/>
          <w:bCs/>
        </w:rPr>
        <w:t>万丈水库地表</w:t>
      </w:r>
      <w:r>
        <w:rPr>
          <w:b/>
          <w:bCs/>
        </w:rPr>
        <w:t>水环境质量评价结果</w:t>
      </w:r>
    </w:p>
    <w:tbl>
      <w:tblPr>
        <w:tblW w:w="4998" w:type="pct"/>
        <w:jc w:val="center"/>
        <w:tblBorders>
          <w:top w:val="single" w:sz="12" w:space="0" w:color="auto"/>
          <w:bottom w:val="single" w:sz="12" w:space="0" w:color="auto"/>
          <w:insideH w:val="single" w:sz="8" w:space="0" w:color="auto"/>
          <w:insideV w:val="single" w:sz="8" w:space="0" w:color="auto"/>
        </w:tblBorders>
        <w:tblLook w:val="04A0" w:firstRow="1" w:lastRow="0" w:firstColumn="1" w:lastColumn="0" w:noHBand="0" w:noVBand="1"/>
      </w:tblPr>
      <w:tblGrid>
        <w:gridCol w:w="1925"/>
        <w:gridCol w:w="1819"/>
        <w:gridCol w:w="1818"/>
        <w:gridCol w:w="1821"/>
        <w:gridCol w:w="1136"/>
      </w:tblGrid>
      <w:tr w:rsidR="009D12AF" w14:paraId="6C24576E" w14:textId="77777777">
        <w:trPr>
          <w:cantSplit/>
          <w:trHeight w:val="397"/>
          <w:jc w:val="center"/>
        </w:trPr>
        <w:tc>
          <w:tcPr>
            <w:tcW w:w="1129" w:type="pct"/>
            <w:vAlign w:val="center"/>
          </w:tcPr>
          <w:p w14:paraId="1788DCE5"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067" w:type="pct"/>
            <w:tcBorders>
              <w:bottom w:val="single" w:sz="8" w:space="0" w:color="auto"/>
            </w:tcBorders>
            <w:vAlign w:val="center"/>
          </w:tcPr>
          <w:p w14:paraId="788F01F9" w14:textId="77777777" w:rsidR="009D12AF" w:rsidRDefault="00000000">
            <w:pPr>
              <w:spacing w:line="240" w:lineRule="exact"/>
              <w:ind w:firstLineChars="0" w:firstLine="0"/>
              <w:jc w:val="center"/>
              <w:rPr>
                <w:rFonts w:ascii="Times New Roman" w:eastAsia="宋体" w:hAnsi="Times New Roman" w:cs="Times New Roman"/>
                <w:b/>
                <w:bCs/>
              </w:rPr>
            </w:pPr>
            <w:r>
              <w:rPr>
                <w:rFonts w:ascii="Times New Roman" w:hAnsi="Times New Roman" w:cs="Times New Roman"/>
                <w:b/>
                <w:bCs/>
              </w:rPr>
              <w:t>2025.10.07</w:t>
            </w:r>
          </w:p>
        </w:tc>
        <w:tc>
          <w:tcPr>
            <w:tcW w:w="1067" w:type="pct"/>
            <w:tcBorders>
              <w:bottom w:val="single" w:sz="8" w:space="0" w:color="auto"/>
            </w:tcBorders>
            <w:vAlign w:val="center"/>
          </w:tcPr>
          <w:p w14:paraId="214BA3EC"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068" w:type="pct"/>
            <w:tcBorders>
              <w:bottom w:val="single" w:sz="8" w:space="0" w:color="auto"/>
            </w:tcBorders>
            <w:vAlign w:val="center"/>
          </w:tcPr>
          <w:p w14:paraId="6DDC4EF4"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667" w:type="pct"/>
            <w:tcBorders>
              <w:bottom w:val="single" w:sz="8" w:space="0" w:color="auto"/>
            </w:tcBorders>
            <w:vAlign w:val="center"/>
          </w:tcPr>
          <w:p w14:paraId="37CDC5A7"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w:t>
            </w:r>
          </w:p>
        </w:tc>
      </w:tr>
      <w:tr w:rsidR="009D12AF" w14:paraId="0EE8575B" w14:textId="77777777">
        <w:trPr>
          <w:cantSplit/>
          <w:trHeight w:val="397"/>
          <w:jc w:val="center"/>
        </w:trPr>
        <w:tc>
          <w:tcPr>
            <w:tcW w:w="1129" w:type="pct"/>
            <w:tcBorders>
              <w:bottom w:val="single" w:sz="8" w:space="0" w:color="auto"/>
            </w:tcBorders>
            <w:vAlign w:val="center"/>
          </w:tcPr>
          <w:p w14:paraId="493B06E7"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3203" w:type="pct"/>
            <w:gridSpan w:val="3"/>
            <w:tcBorders>
              <w:top w:val="single" w:sz="8" w:space="0" w:color="auto"/>
              <w:bottom w:val="single" w:sz="8" w:space="0" w:color="auto"/>
            </w:tcBorders>
            <w:vAlign w:val="center"/>
          </w:tcPr>
          <w:p w14:paraId="7884B424"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rPr>
              <w:t>万丈水库</w:t>
            </w:r>
            <w:r>
              <w:rPr>
                <w:rFonts w:ascii="Times New Roman" w:hAnsi="Times New Roman" w:cs="Times New Roman"/>
                <w:b/>
                <w:bCs/>
              </w:rPr>
              <w:t>2#</w:t>
            </w:r>
            <w:r>
              <w:rPr>
                <w:rFonts w:ascii="Times New Roman" w:hAnsi="Times New Roman" w:cs="Times New Roman"/>
                <w:b/>
                <w:bCs/>
              </w:rPr>
              <w:t>（水面下</w:t>
            </w:r>
            <w:r>
              <w:rPr>
                <w:rFonts w:ascii="Times New Roman" w:hAnsi="Times New Roman" w:cs="Times New Roman"/>
                <w:b/>
                <w:bCs/>
              </w:rPr>
              <w:t>0.5m</w:t>
            </w:r>
            <w:r>
              <w:rPr>
                <w:rFonts w:ascii="Times New Roman" w:hAnsi="Times New Roman" w:cs="Times New Roman"/>
                <w:b/>
                <w:bCs/>
              </w:rPr>
              <w:t>）</w:t>
            </w:r>
          </w:p>
        </w:tc>
        <w:tc>
          <w:tcPr>
            <w:tcW w:w="667" w:type="pct"/>
            <w:tcBorders>
              <w:top w:val="single" w:sz="8" w:space="0" w:color="auto"/>
              <w:bottom w:val="single" w:sz="8" w:space="0" w:color="auto"/>
            </w:tcBorders>
            <w:vAlign w:val="center"/>
          </w:tcPr>
          <w:p w14:paraId="15FFBC52"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kern w:val="0"/>
                <w:szCs w:val="21"/>
              </w:rPr>
              <w:t>/</w:t>
            </w:r>
          </w:p>
        </w:tc>
      </w:tr>
      <w:tr w:rsidR="009D12AF" w14:paraId="4A10BB95" w14:textId="77777777">
        <w:trPr>
          <w:cantSplit/>
          <w:trHeight w:val="397"/>
          <w:jc w:val="center"/>
        </w:trPr>
        <w:tc>
          <w:tcPr>
            <w:tcW w:w="1129" w:type="pct"/>
            <w:tcBorders>
              <w:bottom w:val="single" w:sz="8" w:space="0" w:color="auto"/>
            </w:tcBorders>
            <w:vAlign w:val="center"/>
          </w:tcPr>
          <w:p w14:paraId="026BEF11"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检测项目</w:t>
            </w:r>
          </w:p>
        </w:tc>
        <w:tc>
          <w:tcPr>
            <w:tcW w:w="3203" w:type="pct"/>
            <w:gridSpan w:val="3"/>
            <w:tcBorders>
              <w:top w:val="single" w:sz="8" w:space="0" w:color="auto"/>
              <w:bottom w:val="single" w:sz="8" w:space="0" w:color="auto"/>
            </w:tcBorders>
            <w:vAlign w:val="center"/>
          </w:tcPr>
          <w:p w14:paraId="01BF0AB7"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检测结果</w:t>
            </w:r>
          </w:p>
        </w:tc>
        <w:tc>
          <w:tcPr>
            <w:tcW w:w="667" w:type="pct"/>
            <w:tcBorders>
              <w:top w:val="single" w:sz="8" w:space="0" w:color="auto"/>
              <w:bottom w:val="single" w:sz="8" w:space="0" w:color="auto"/>
            </w:tcBorders>
            <w:vAlign w:val="center"/>
          </w:tcPr>
          <w:p w14:paraId="190AB00E"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单位</w:t>
            </w:r>
          </w:p>
        </w:tc>
      </w:tr>
      <w:tr w:rsidR="009D12AF" w14:paraId="65E5E2E8" w14:textId="77777777">
        <w:trPr>
          <w:cantSplit/>
          <w:trHeight w:val="397"/>
          <w:jc w:val="center"/>
        </w:trPr>
        <w:tc>
          <w:tcPr>
            <w:tcW w:w="1129" w:type="pct"/>
            <w:vAlign w:val="center"/>
          </w:tcPr>
          <w:p w14:paraId="7EF925AD"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067" w:type="pct"/>
            <w:tcBorders>
              <w:top w:val="single" w:sz="8" w:space="0" w:color="auto"/>
              <w:bottom w:val="single" w:sz="8" w:space="0" w:color="auto"/>
            </w:tcBorders>
            <w:vAlign w:val="center"/>
          </w:tcPr>
          <w:p w14:paraId="372750B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250940DB0201D1</w:t>
            </w:r>
          </w:p>
        </w:tc>
        <w:tc>
          <w:tcPr>
            <w:tcW w:w="1067" w:type="pct"/>
            <w:tcBorders>
              <w:top w:val="single" w:sz="8" w:space="0" w:color="auto"/>
              <w:bottom w:val="single" w:sz="8" w:space="0" w:color="auto"/>
            </w:tcBorders>
            <w:vAlign w:val="center"/>
          </w:tcPr>
          <w:p w14:paraId="7A50417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250940DB0201D2</w:t>
            </w:r>
          </w:p>
        </w:tc>
        <w:tc>
          <w:tcPr>
            <w:tcW w:w="1068" w:type="pct"/>
            <w:tcBorders>
              <w:top w:val="single" w:sz="8" w:space="0" w:color="auto"/>
              <w:bottom w:val="single" w:sz="8" w:space="0" w:color="auto"/>
            </w:tcBorders>
            <w:vAlign w:val="center"/>
          </w:tcPr>
          <w:p w14:paraId="73ED3D6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250940DB0201D3</w:t>
            </w:r>
          </w:p>
        </w:tc>
        <w:tc>
          <w:tcPr>
            <w:tcW w:w="667" w:type="pct"/>
            <w:tcBorders>
              <w:top w:val="single" w:sz="8" w:space="0" w:color="auto"/>
              <w:bottom w:val="single" w:sz="8" w:space="0" w:color="auto"/>
            </w:tcBorders>
            <w:vAlign w:val="center"/>
          </w:tcPr>
          <w:p w14:paraId="6F59DFA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226A21B0" w14:textId="77777777">
        <w:trPr>
          <w:cantSplit/>
          <w:trHeight w:val="397"/>
          <w:jc w:val="center"/>
        </w:trPr>
        <w:tc>
          <w:tcPr>
            <w:tcW w:w="1129" w:type="pct"/>
            <w:vAlign w:val="center"/>
          </w:tcPr>
          <w:p w14:paraId="3F3EC502"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067" w:type="pct"/>
            <w:tcBorders>
              <w:top w:val="single" w:sz="8" w:space="0" w:color="auto"/>
              <w:bottom w:val="single" w:sz="8" w:space="0" w:color="auto"/>
            </w:tcBorders>
            <w:vAlign w:val="center"/>
          </w:tcPr>
          <w:p w14:paraId="6618B8B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7.7</w:t>
            </w:r>
          </w:p>
        </w:tc>
        <w:tc>
          <w:tcPr>
            <w:tcW w:w="1067" w:type="pct"/>
            <w:tcBorders>
              <w:top w:val="single" w:sz="8" w:space="0" w:color="auto"/>
              <w:bottom w:val="single" w:sz="8" w:space="0" w:color="auto"/>
            </w:tcBorders>
            <w:vAlign w:val="center"/>
          </w:tcPr>
          <w:p w14:paraId="5D72256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7.8</w:t>
            </w:r>
          </w:p>
        </w:tc>
        <w:tc>
          <w:tcPr>
            <w:tcW w:w="1068" w:type="pct"/>
            <w:tcBorders>
              <w:top w:val="single" w:sz="8" w:space="0" w:color="auto"/>
              <w:bottom w:val="single" w:sz="8" w:space="0" w:color="auto"/>
            </w:tcBorders>
            <w:vAlign w:val="center"/>
          </w:tcPr>
          <w:p w14:paraId="7F11EF1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7.8</w:t>
            </w:r>
          </w:p>
        </w:tc>
        <w:tc>
          <w:tcPr>
            <w:tcW w:w="667" w:type="pct"/>
            <w:tcBorders>
              <w:top w:val="single" w:sz="8" w:space="0" w:color="auto"/>
              <w:bottom w:val="single" w:sz="8" w:space="0" w:color="auto"/>
            </w:tcBorders>
            <w:vAlign w:val="center"/>
          </w:tcPr>
          <w:p w14:paraId="6E0DCC7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679A7276" w14:textId="77777777">
        <w:trPr>
          <w:cantSplit/>
          <w:trHeight w:val="397"/>
          <w:jc w:val="center"/>
        </w:trPr>
        <w:tc>
          <w:tcPr>
            <w:tcW w:w="1129" w:type="pct"/>
            <w:vAlign w:val="center"/>
          </w:tcPr>
          <w:p w14:paraId="5C9B2DC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067" w:type="pct"/>
            <w:vAlign w:val="center"/>
          </w:tcPr>
          <w:p w14:paraId="4838517C"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9.8</w:t>
            </w:r>
          </w:p>
        </w:tc>
        <w:tc>
          <w:tcPr>
            <w:tcW w:w="1067" w:type="pct"/>
            <w:vAlign w:val="center"/>
          </w:tcPr>
          <w:p w14:paraId="339AD73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9.2</w:t>
            </w:r>
          </w:p>
        </w:tc>
        <w:tc>
          <w:tcPr>
            <w:tcW w:w="1068" w:type="pct"/>
            <w:vAlign w:val="center"/>
          </w:tcPr>
          <w:p w14:paraId="56402D2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10.5</w:t>
            </w:r>
          </w:p>
        </w:tc>
        <w:tc>
          <w:tcPr>
            <w:tcW w:w="667" w:type="pct"/>
            <w:vAlign w:val="center"/>
          </w:tcPr>
          <w:p w14:paraId="771123E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B22E4BF" w14:textId="77777777">
        <w:trPr>
          <w:cantSplit/>
          <w:trHeight w:val="397"/>
          <w:jc w:val="center"/>
        </w:trPr>
        <w:tc>
          <w:tcPr>
            <w:tcW w:w="1129" w:type="pct"/>
            <w:vAlign w:val="center"/>
          </w:tcPr>
          <w:p w14:paraId="2B25FF4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067" w:type="pct"/>
            <w:vAlign w:val="center"/>
          </w:tcPr>
          <w:p w14:paraId="6BBFC5B2"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7.6</w:t>
            </w:r>
          </w:p>
        </w:tc>
        <w:tc>
          <w:tcPr>
            <w:tcW w:w="1067" w:type="pct"/>
            <w:vAlign w:val="center"/>
          </w:tcPr>
          <w:p w14:paraId="37103B9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7.8</w:t>
            </w:r>
          </w:p>
        </w:tc>
        <w:tc>
          <w:tcPr>
            <w:tcW w:w="1068" w:type="pct"/>
            <w:vAlign w:val="center"/>
          </w:tcPr>
          <w:p w14:paraId="04CC034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8.1</w:t>
            </w:r>
          </w:p>
        </w:tc>
        <w:tc>
          <w:tcPr>
            <w:tcW w:w="667" w:type="pct"/>
            <w:vAlign w:val="center"/>
          </w:tcPr>
          <w:p w14:paraId="21A67D5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76D499D" w14:textId="77777777">
        <w:trPr>
          <w:cantSplit/>
          <w:trHeight w:val="397"/>
          <w:jc w:val="center"/>
        </w:trPr>
        <w:tc>
          <w:tcPr>
            <w:tcW w:w="1129" w:type="pct"/>
            <w:vAlign w:val="center"/>
          </w:tcPr>
          <w:p w14:paraId="54AE361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067" w:type="pct"/>
            <w:vAlign w:val="center"/>
          </w:tcPr>
          <w:p w14:paraId="3A5D43B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35</w:t>
            </w:r>
          </w:p>
        </w:tc>
        <w:tc>
          <w:tcPr>
            <w:tcW w:w="1067" w:type="pct"/>
            <w:vAlign w:val="center"/>
          </w:tcPr>
          <w:p w14:paraId="26FB313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32</w:t>
            </w:r>
          </w:p>
        </w:tc>
        <w:tc>
          <w:tcPr>
            <w:tcW w:w="1068" w:type="pct"/>
            <w:vAlign w:val="center"/>
          </w:tcPr>
          <w:p w14:paraId="0D9B3F1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39</w:t>
            </w:r>
          </w:p>
        </w:tc>
        <w:tc>
          <w:tcPr>
            <w:tcW w:w="667" w:type="pct"/>
            <w:vAlign w:val="center"/>
          </w:tcPr>
          <w:p w14:paraId="17CFBC0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E7743B2" w14:textId="77777777">
        <w:trPr>
          <w:cantSplit/>
          <w:trHeight w:val="397"/>
          <w:jc w:val="center"/>
        </w:trPr>
        <w:tc>
          <w:tcPr>
            <w:tcW w:w="1129" w:type="pct"/>
            <w:vAlign w:val="center"/>
          </w:tcPr>
          <w:p w14:paraId="56ADC32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067" w:type="pct"/>
            <w:vAlign w:val="center"/>
          </w:tcPr>
          <w:p w14:paraId="6325AFEC"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13.5</w:t>
            </w:r>
          </w:p>
        </w:tc>
        <w:tc>
          <w:tcPr>
            <w:tcW w:w="1067" w:type="pct"/>
            <w:vAlign w:val="center"/>
          </w:tcPr>
          <w:p w14:paraId="37DAE65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11.8</w:t>
            </w:r>
          </w:p>
        </w:tc>
        <w:tc>
          <w:tcPr>
            <w:tcW w:w="1068" w:type="pct"/>
            <w:vAlign w:val="center"/>
          </w:tcPr>
          <w:p w14:paraId="63C4AB18"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13.9</w:t>
            </w:r>
          </w:p>
        </w:tc>
        <w:tc>
          <w:tcPr>
            <w:tcW w:w="667" w:type="pct"/>
            <w:vAlign w:val="center"/>
          </w:tcPr>
          <w:p w14:paraId="0AE496B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E968992" w14:textId="77777777">
        <w:trPr>
          <w:cantSplit/>
          <w:trHeight w:val="397"/>
          <w:jc w:val="center"/>
        </w:trPr>
        <w:tc>
          <w:tcPr>
            <w:tcW w:w="1129" w:type="pct"/>
            <w:vAlign w:val="center"/>
          </w:tcPr>
          <w:p w14:paraId="406CF39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067" w:type="pct"/>
            <w:vAlign w:val="center"/>
          </w:tcPr>
          <w:p w14:paraId="2ECA6989"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0.549</w:t>
            </w:r>
          </w:p>
        </w:tc>
        <w:tc>
          <w:tcPr>
            <w:tcW w:w="1067" w:type="pct"/>
            <w:vAlign w:val="center"/>
          </w:tcPr>
          <w:p w14:paraId="263F79A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0.571</w:t>
            </w:r>
          </w:p>
        </w:tc>
        <w:tc>
          <w:tcPr>
            <w:tcW w:w="1068" w:type="pct"/>
            <w:vAlign w:val="center"/>
          </w:tcPr>
          <w:p w14:paraId="6C2A96B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0.502</w:t>
            </w:r>
          </w:p>
        </w:tc>
        <w:tc>
          <w:tcPr>
            <w:tcW w:w="667" w:type="pct"/>
            <w:vAlign w:val="center"/>
          </w:tcPr>
          <w:p w14:paraId="38E4DA4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13A809A" w14:textId="77777777">
        <w:trPr>
          <w:cantSplit/>
          <w:trHeight w:val="397"/>
          <w:jc w:val="center"/>
        </w:trPr>
        <w:tc>
          <w:tcPr>
            <w:tcW w:w="1129" w:type="pct"/>
            <w:vAlign w:val="center"/>
          </w:tcPr>
          <w:p w14:paraId="30286D3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067" w:type="pct"/>
            <w:vAlign w:val="center"/>
          </w:tcPr>
          <w:p w14:paraId="19F2EC9D"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0.15</w:t>
            </w:r>
          </w:p>
        </w:tc>
        <w:tc>
          <w:tcPr>
            <w:tcW w:w="1067" w:type="pct"/>
            <w:vAlign w:val="center"/>
          </w:tcPr>
          <w:p w14:paraId="176C12C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0.17</w:t>
            </w:r>
          </w:p>
        </w:tc>
        <w:tc>
          <w:tcPr>
            <w:tcW w:w="1068" w:type="pct"/>
            <w:vAlign w:val="center"/>
          </w:tcPr>
          <w:p w14:paraId="2818808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0.20</w:t>
            </w:r>
          </w:p>
        </w:tc>
        <w:tc>
          <w:tcPr>
            <w:tcW w:w="667" w:type="pct"/>
            <w:vAlign w:val="center"/>
          </w:tcPr>
          <w:p w14:paraId="4F06C18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BC499DF" w14:textId="77777777">
        <w:trPr>
          <w:cantSplit/>
          <w:trHeight w:val="397"/>
          <w:jc w:val="center"/>
        </w:trPr>
        <w:tc>
          <w:tcPr>
            <w:tcW w:w="1129" w:type="pct"/>
            <w:vAlign w:val="center"/>
          </w:tcPr>
          <w:p w14:paraId="4C646EC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067" w:type="pct"/>
            <w:vAlign w:val="center"/>
          </w:tcPr>
          <w:p w14:paraId="43F9E80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1.98</w:t>
            </w:r>
          </w:p>
        </w:tc>
        <w:tc>
          <w:tcPr>
            <w:tcW w:w="1067" w:type="pct"/>
            <w:vAlign w:val="center"/>
          </w:tcPr>
          <w:p w14:paraId="6546854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0.78</w:t>
            </w:r>
          </w:p>
        </w:tc>
        <w:tc>
          <w:tcPr>
            <w:tcW w:w="1068" w:type="pct"/>
            <w:vAlign w:val="center"/>
          </w:tcPr>
          <w:p w14:paraId="5D737B2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2.03</w:t>
            </w:r>
          </w:p>
        </w:tc>
        <w:tc>
          <w:tcPr>
            <w:tcW w:w="667" w:type="pct"/>
            <w:vAlign w:val="center"/>
          </w:tcPr>
          <w:p w14:paraId="3248BE9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C07F97B" w14:textId="77777777">
        <w:trPr>
          <w:cantSplit/>
          <w:trHeight w:val="397"/>
          <w:jc w:val="center"/>
        </w:trPr>
        <w:tc>
          <w:tcPr>
            <w:tcW w:w="1129" w:type="pct"/>
            <w:vAlign w:val="center"/>
          </w:tcPr>
          <w:p w14:paraId="304FD2E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067" w:type="pct"/>
            <w:vAlign w:val="center"/>
          </w:tcPr>
          <w:p w14:paraId="0159FDE6"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067" w:type="pct"/>
            <w:vAlign w:val="center"/>
          </w:tcPr>
          <w:p w14:paraId="746E133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068" w:type="pct"/>
            <w:vAlign w:val="center"/>
          </w:tcPr>
          <w:p w14:paraId="3DE3AA0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667" w:type="pct"/>
            <w:vAlign w:val="center"/>
          </w:tcPr>
          <w:p w14:paraId="61FDADF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626C66E" w14:textId="77777777">
        <w:trPr>
          <w:cantSplit/>
          <w:trHeight w:val="397"/>
          <w:jc w:val="center"/>
        </w:trPr>
        <w:tc>
          <w:tcPr>
            <w:tcW w:w="1129" w:type="pct"/>
            <w:vAlign w:val="center"/>
          </w:tcPr>
          <w:p w14:paraId="38FABD3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067" w:type="pct"/>
            <w:vAlign w:val="center"/>
          </w:tcPr>
          <w:p w14:paraId="063A0FDF"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0.15</w:t>
            </w:r>
          </w:p>
        </w:tc>
        <w:tc>
          <w:tcPr>
            <w:tcW w:w="1067" w:type="pct"/>
            <w:vAlign w:val="center"/>
          </w:tcPr>
          <w:p w14:paraId="7C7FA18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0.16</w:t>
            </w:r>
          </w:p>
        </w:tc>
        <w:tc>
          <w:tcPr>
            <w:tcW w:w="1068" w:type="pct"/>
            <w:vAlign w:val="center"/>
          </w:tcPr>
          <w:p w14:paraId="47645E6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0.13</w:t>
            </w:r>
          </w:p>
        </w:tc>
        <w:tc>
          <w:tcPr>
            <w:tcW w:w="667" w:type="pct"/>
            <w:vAlign w:val="center"/>
          </w:tcPr>
          <w:p w14:paraId="7086959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7A39548" w14:textId="77777777">
        <w:trPr>
          <w:cantSplit/>
          <w:trHeight w:val="397"/>
          <w:jc w:val="center"/>
        </w:trPr>
        <w:tc>
          <w:tcPr>
            <w:tcW w:w="1129" w:type="pct"/>
            <w:vAlign w:val="center"/>
          </w:tcPr>
          <w:p w14:paraId="489769D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067" w:type="pct"/>
            <w:vAlign w:val="center"/>
          </w:tcPr>
          <w:p w14:paraId="73C51F8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0.31</w:t>
            </w:r>
          </w:p>
        </w:tc>
        <w:tc>
          <w:tcPr>
            <w:tcW w:w="1067" w:type="pct"/>
            <w:vAlign w:val="center"/>
          </w:tcPr>
          <w:p w14:paraId="6C57222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0.25</w:t>
            </w:r>
          </w:p>
        </w:tc>
        <w:tc>
          <w:tcPr>
            <w:tcW w:w="1068" w:type="pct"/>
            <w:vAlign w:val="center"/>
          </w:tcPr>
          <w:p w14:paraId="65C647A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0.38</w:t>
            </w:r>
          </w:p>
        </w:tc>
        <w:tc>
          <w:tcPr>
            <w:tcW w:w="667" w:type="pct"/>
            <w:vAlign w:val="center"/>
          </w:tcPr>
          <w:p w14:paraId="02B7938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3387BF5" w14:textId="77777777">
        <w:trPr>
          <w:cantSplit/>
          <w:trHeight w:val="397"/>
          <w:jc w:val="center"/>
        </w:trPr>
        <w:tc>
          <w:tcPr>
            <w:tcW w:w="1129" w:type="pct"/>
            <w:vAlign w:val="center"/>
          </w:tcPr>
          <w:p w14:paraId="39A2D2E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硒</w:t>
            </w:r>
          </w:p>
        </w:tc>
        <w:tc>
          <w:tcPr>
            <w:tcW w:w="1067" w:type="pct"/>
            <w:vAlign w:val="center"/>
          </w:tcPr>
          <w:p w14:paraId="3682FB42"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0.001</w:t>
            </w:r>
          </w:p>
        </w:tc>
        <w:tc>
          <w:tcPr>
            <w:tcW w:w="1067" w:type="pct"/>
            <w:vAlign w:val="center"/>
          </w:tcPr>
          <w:p w14:paraId="59EDE40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0.0007</w:t>
            </w:r>
          </w:p>
        </w:tc>
        <w:tc>
          <w:tcPr>
            <w:tcW w:w="1068" w:type="pct"/>
            <w:vAlign w:val="center"/>
          </w:tcPr>
          <w:p w14:paraId="16528EB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667" w:type="pct"/>
            <w:vAlign w:val="center"/>
          </w:tcPr>
          <w:p w14:paraId="783A64C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A34B562" w14:textId="77777777">
        <w:trPr>
          <w:cantSplit/>
          <w:trHeight w:val="397"/>
          <w:jc w:val="center"/>
        </w:trPr>
        <w:tc>
          <w:tcPr>
            <w:tcW w:w="1129" w:type="pct"/>
            <w:vAlign w:val="center"/>
          </w:tcPr>
          <w:p w14:paraId="58F84E3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砷</w:t>
            </w:r>
          </w:p>
        </w:tc>
        <w:tc>
          <w:tcPr>
            <w:tcW w:w="1067" w:type="pct"/>
            <w:vAlign w:val="center"/>
          </w:tcPr>
          <w:p w14:paraId="48DDFA62"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067" w:type="pct"/>
            <w:vAlign w:val="center"/>
          </w:tcPr>
          <w:p w14:paraId="06DB705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068" w:type="pct"/>
            <w:vAlign w:val="center"/>
          </w:tcPr>
          <w:p w14:paraId="2B71CBA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667" w:type="pct"/>
            <w:vAlign w:val="center"/>
          </w:tcPr>
          <w:p w14:paraId="479E2D1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8F83BB3" w14:textId="77777777">
        <w:trPr>
          <w:cantSplit/>
          <w:trHeight w:val="397"/>
          <w:jc w:val="center"/>
        </w:trPr>
        <w:tc>
          <w:tcPr>
            <w:tcW w:w="1129" w:type="pct"/>
            <w:vAlign w:val="center"/>
          </w:tcPr>
          <w:p w14:paraId="731F24E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lastRenderedPageBreak/>
              <w:t>总</w:t>
            </w:r>
            <w:r>
              <w:rPr>
                <w:rFonts w:ascii="Times New Roman" w:eastAsia="宋体" w:hAnsi="Times New Roman" w:cs="Times New Roman"/>
                <w:sz w:val="21"/>
                <w:lang w:bidi="ar"/>
              </w:rPr>
              <w:t>汞</w:t>
            </w:r>
          </w:p>
        </w:tc>
        <w:tc>
          <w:tcPr>
            <w:tcW w:w="1067" w:type="pct"/>
            <w:vAlign w:val="center"/>
          </w:tcPr>
          <w:p w14:paraId="0CD78385"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067" w:type="pct"/>
            <w:vAlign w:val="center"/>
          </w:tcPr>
          <w:p w14:paraId="42DD317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068" w:type="pct"/>
            <w:vAlign w:val="center"/>
          </w:tcPr>
          <w:p w14:paraId="3ABEE218"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0.00002L</w:t>
            </w:r>
          </w:p>
        </w:tc>
        <w:tc>
          <w:tcPr>
            <w:tcW w:w="667" w:type="pct"/>
            <w:vAlign w:val="center"/>
          </w:tcPr>
          <w:p w14:paraId="47F479F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FB05135" w14:textId="77777777">
        <w:trPr>
          <w:cantSplit/>
          <w:trHeight w:val="397"/>
          <w:jc w:val="center"/>
        </w:trPr>
        <w:tc>
          <w:tcPr>
            <w:tcW w:w="1129" w:type="pct"/>
            <w:vAlign w:val="center"/>
          </w:tcPr>
          <w:p w14:paraId="3616E74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镉</w:t>
            </w:r>
          </w:p>
        </w:tc>
        <w:tc>
          <w:tcPr>
            <w:tcW w:w="1067" w:type="pct"/>
            <w:vAlign w:val="center"/>
          </w:tcPr>
          <w:p w14:paraId="27B3001C"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067" w:type="pct"/>
            <w:vAlign w:val="center"/>
          </w:tcPr>
          <w:p w14:paraId="1917F4F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068" w:type="pct"/>
            <w:vAlign w:val="center"/>
          </w:tcPr>
          <w:p w14:paraId="471C4898"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0.0001L</w:t>
            </w:r>
          </w:p>
        </w:tc>
        <w:tc>
          <w:tcPr>
            <w:tcW w:w="667" w:type="pct"/>
            <w:vAlign w:val="center"/>
          </w:tcPr>
          <w:p w14:paraId="2319CBE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2ECF7B7" w14:textId="77777777">
        <w:trPr>
          <w:cantSplit/>
          <w:trHeight w:val="397"/>
          <w:jc w:val="center"/>
        </w:trPr>
        <w:tc>
          <w:tcPr>
            <w:tcW w:w="1129" w:type="pct"/>
            <w:vAlign w:val="center"/>
          </w:tcPr>
          <w:p w14:paraId="1A28348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六价铬</w:t>
            </w:r>
          </w:p>
        </w:tc>
        <w:tc>
          <w:tcPr>
            <w:tcW w:w="1067" w:type="pct"/>
            <w:vAlign w:val="center"/>
          </w:tcPr>
          <w:p w14:paraId="1372C89A"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067" w:type="pct"/>
            <w:vAlign w:val="center"/>
          </w:tcPr>
          <w:p w14:paraId="358674F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068" w:type="pct"/>
            <w:vAlign w:val="center"/>
          </w:tcPr>
          <w:p w14:paraId="02420A5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667" w:type="pct"/>
            <w:vAlign w:val="center"/>
          </w:tcPr>
          <w:p w14:paraId="3A93609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9BA33DE" w14:textId="77777777">
        <w:trPr>
          <w:cantSplit/>
          <w:trHeight w:val="397"/>
          <w:jc w:val="center"/>
        </w:trPr>
        <w:tc>
          <w:tcPr>
            <w:tcW w:w="1129" w:type="pct"/>
            <w:vAlign w:val="center"/>
          </w:tcPr>
          <w:p w14:paraId="17E8122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铅</w:t>
            </w:r>
          </w:p>
        </w:tc>
        <w:tc>
          <w:tcPr>
            <w:tcW w:w="1067" w:type="pct"/>
            <w:vAlign w:val="center"/>
          </w:tcPr>
          <w:p w14:paraId="3D0E3B5D"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067" w:type="pct"/>
            <w:vAlign w:val="center"/>
          </w:tcPr>
          <w:p w14:paraId="660831A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068" w:type="pct"/>
            <w:vAlign w:val="center"/>
          </w:tcPr>
          <w:p w14:paraId="6365CFD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667" w:type="pct"/>
            <w:vAlign w:val="center"/>
          </w:tcPr>
          <w:p w14:paraId="53E2AAA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1C7B2BC" w14:textId="77777777">
        <w:trPr>
          <w:cantSplit/>
          <w:trHeight w:val="397"/>
          <w:jc w:val="center"/>
        </w:trPr>
        <w:tc>
          <w:tcPr>
            <w:tcW w:w="1129" w:type="pct"/>
            <w:vAlign w:val="center"/>
          </w:tcPr>
          <w:p w14:paraId="3764AC0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067" w:type="pct"/>
            <w:vAlign w:val="center"/>
          </w:tcPr>
          <w:p w14:paraId="2C2792D5"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067" w:type="pct"/>
            <w:vAlign w:val="center"/>
          </w:tcPr>
          <w:p w14:paraId="0538C18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068" w:type="pct"/>
            <w:vAlign w:val="center"/>
          </w:tcPr>
          <w:p w14:paraId="6D6460A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667" w:type="pct"/>
            <w:vAlign w:val="center"/>
          </w:tcPr>
          <w:p w14:paraId="3EDDE5D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3571855" w14:textId="77777777">
        <w:trPr>
          <w:cantSplit/>
          <w:trHeight w:val="397"/>
          <w:jc w:val="center"/>
        </w:trPr>
        <w:tc>
          <w:tcPr>
            <w:tcW w:w="1129" w:type="pct"/>
            <w:vAlign w:val="center"/>
          </w:tcPr>
          <w:p w14:paraId="4520CEA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067" w:type="pct"/>
            <w:vAlign w:val="center"/>
          </w:tcPr>
          <w:p w14:paraId="16A3EBC1"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067" w:type="pct"/>
            <w:vAlign w:val="center"/>
          </w:tcPr>
          <w:p w14:paraId="299808D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068" w:type="pct"/>
            <w:vAlign w:val="center"/>
          </w:tcPr>
          <w:p w14:paraId="489886C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667" w:type="pct"/>
            <w:vAlign w:val="center"/>
          </w:tcPr>
          <w:p w14:paraId="1E78977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DDCB989" w14:textId="77777777">
        <w:trPr>
          <w:cantSplit/>
          <w:trHeight w:val="397"/>
          <w:jc w:val="center"/>
        </w:trPr>
        <w:tc>
          <w:tcPr>
            <w:tcW w:w="1129" w:type="pct"/>
            <w:vAlign w:val="center"/>
          </w:tcPr>
          <w:p w14:paraId="0F4D2A8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067" w:type="pct"/>
            <w:vAlign w:val="center"/>
          </w:tcPr>
          <w:p w14:paraId="1E6558FB"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067" w:type="pct"/>
            <w:vAlign w:val="center"/>
          </w:tcPr>
          <w:p w14:paraId="31136A2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068" w:type="pct"/>
            <w:vAlign w:val="center"/>
          </w:tcPr>
          <w:p w14:paraId="50DC334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667" w:type="pct"/>
            <w:vAlign w:val="center"/>
          </w:tcPr>
          <w:p w14:paraId="2AA743B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0BEBE51" w14:textId="77777777">
        <w:trPr>
          <w:cantSplit/>
          <w:trHeight w:val="397"/>
          <w:jc w:val="center"/>
        </w:trPr>
        <w:tc>
          <w:tcPr>
            <w:tcW w:w="1129" w:type="pct"/>
            <w:vAlign w:val="center"/>
          </w:tcPr>
          <w:p w14:paraId="47C6AD9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067" w:type="pct"/>
            <w:vAlign w:val="center"/>
          </w:tcPr>
          <w:p w14:paraId="2BFF28CB"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067" w:type="pct"/>
            <w:vAlign w:val="center"/>
          </w:tcPr>
          <w:p w14:paraId="76CCB58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068" w:type="pct"/>
            <w:vAlign w:val="center"/>
          </w:tcPr>
          <w:p w14:paraId="265D0EA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667" w:type="pct"/>
            <w:vAlign w:val="center"/>
          </w:tcPr>
          <w:p w14:paraId="5B08EED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BFB5B4D" w14:textId="77777777">
        <w:trPr>
          <w:cantSplit/>
          <w:trHeight w:val="397"/>
          <w:jc w:val="center"/>
        </w:trPr>
        <w:tc>
          <w:tcPr>
            <w:tcW w:w="1129" w:type="pct"/>
            <w:vAlign w:val="center"/>
          </w:tcPr>
          <w:p w14:paraId="3097DC9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067" w:type="pct"/>
            <w:vAlign w:val="center"/>
          </w:tcPr>
          <w:p w14:paraId="4CF6DC1C"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067" w:type="pct"/>
            <w:vAlign w:val="center"/>
          </w:tcPr>
          <w:p w14:paraId="3566ED2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068" w:type="pct"/>
            <w:vAlign w:val="center"/>
          </w:tcPr>
          <w:p w14:paraId="48A5FF7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667" w:type="pct"/>
            <w:vAlign w:val="center"/>
          </w:tcPr>
          <w:p w14:paraId="234728F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292E5EA" w14:textId="77777777">
        <w:trPr>
          <w:cantSplit/>
          <w:trHeight w:val="397"/>
          <w:jc w:val="center"/>
        </w:trPr>
        <w:tc>
          <w:tcPr>
            <w:tcW w:w="1129" w:type="pct"/>
            <w:vAlign w:val="center"/>
          </w:tcPr>
          <w:p w14:paraId="74EA956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067" w:type="pct"/>
            <w:vAlign w:val="center"/>
          </w:tcPr>
          <w:p w14:paraId="66736B8F"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3.2</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067" w:type="pct"/>
            <w:vAlign w:val="center"/>
          </w:tcPr>
          <w:p w14:paraId="74F23B9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3.8</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068" w:type="pct"/>
            <w:vAlign w:val="center"/>
          </w:tcPr>
          <w:p w14:paraId="0BE6011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4.4</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667" w:type="pct"/>
            <w:vAlign w:val="center"/>
          </w:tcPr>
          <w:p w14:paraId="11C5211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3C41418C" w14:textId="77777777">
        <w:trPr>
          <w:cantSplit/>
          <w:trHeight w:val="397"/>
          <w:jc w:val="center"/>
        </w:trPr>
        <w:tc>
          <w:tcPr>
            <w:tcW w:w="1129" w:type="pct"/>
            <w:vAlign w:val="center"/>
          </w:tcPr>
          <w:p w14:paraId="688B2031"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067" w:type="pct"/>
            <w:vAlign w:val="center"/>
          </w:tcPr>
          <w:p w14:paraId="3C5EDE01"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12.1</w:t>
            </w:r>
          </w:p>
        </w:tc>
        <w:tc>
          <w:tcPr>
            <w:tcW w:w="1067" w:type="pct"/>
            <w:vAlign w:val="center"/>
          </w:tcPr>
          <w:p w14:paraId="1E779CE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12.4</w:t>
            </w:r>
          </w:p>
        </w:tc>
        <w:tc>
          <w:tcPr>
            <w:tcW w:w="1068" w:type="pct"/>
            <w:vAlign w:val="center"/>
          </w:tcPr>
          <w:p w14:paraId="6DCB7A9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12.2</w:t>
            </w:r>
          </w:p>
        </w:tc>
        <w:tc>
          <w:tcPr>
            <w:tcW w:w="667" w:type="pct"/>
            <w:vAlign w:val="center"/>
          </w:tcPr>
          <w:p w14:paraId="322B2543"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2E7C7944" w14:textId="77777777" w:rsidR="009D12AF" w:rsidRDefault="00000000">
      <w:pPr>
        <w:ind w:firstLine="482"/>
        <w:jc w:val="center"/>
        <w:rPr>
          <w:b/>
          <w:bCs/>
        </w:rPr>
      </w:pPr>
      <w:r>
        <w:rPr>
          <w:b/>
          <w:bCs/>
        </w:rPr>
        <w:t>表</w:t>
      </w:r>
      <w:r>
        <w:rPr>
          <w:b/>
          <w:bCs/>
        </w:rPr>
        <w:t>4</w:t>
      </w:r>
      <w:r>
        <w:rPr>
          <w:rFonts w:hint="eastAsia"/>
          <w:b/>
          <w:bCs/>
        </w:rPr>
        <w:t>.3</w:t>
      </w:r>
      <w:r>
        <w:rPr>
          <w:b/>
          <w:bCs/>
        </w:rPr>
        <w:t>-</w:t>
      </w:r>
      <w:r>
        <w:rPr>
          <w:rFonts w:hint="eastAsia"/>
          <w:b/>
          <w:bCs/>
        </w:rPr>
        <w:t>7</w:t>
      </w:r>
      <w:r>
        <w:rPr>
          <w:rFonts w:hint="eastAsia"/>
          <w:b/>
          <w:bCs/>
        </w:rPr>
        <w:t>（</w:t>
      </w:r>
      <w:r>
        <w:rPr>
          <w:rFonts w:hint="eastAsia"/>
          <w:b/>
          <w:bCs/>
        </w:rPr>
        <w:t>3</w:t>
      </w:r>
      <w:r>
        <w:rPr>
          <w:rFonts w:hint="eastAsia"/>
          <w:b/>
          <w:bCs/>
        </w:rPr>
        <w:t>）</w:t>
      </w:r>
      <w:r>
        <w:rPr>
          <w:b/>
          <w:bCs/>
        </w:rPr>
        <w:t xml:space="preserve">  </w:t>
      </w:r>
      <w:r>
        <w:rPr>
          <w:rFonts w:hint="eastAsia"/>
          <w:b/>
          <w:bCs/>
        </w:rPr>
        <w:t>万丈水库地表</w:t>
      </w:r>
      <w:r>
        <w:rPr>
          <w:b/>
          <w:bCs/>
        </w:rPr>
        <w:t>水环境质量评价结果</w:t>
      </w:r>
    </w:p>
    <w:tbl>
      <w:tblPr>
        <w:tblW w:w="907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048"/>
        <w:gridCol w:w="1937"/>
        <w:gridCol w:w="1937"/>
        <w:gridCol w:w="1938"/>
        <w:gridCol w:w="1211"/>
      </w:tblGrid>
      <w:tr w:rsidR="009D12AF" w14:paraId="1E2302BC" w14:textId="77777777">
        <w:trPr>
          <w:cantSplit/>
          <w:trHeight w:val="397"/>
          <w:jc w:val="center"/>
        </w:trPr>
        <w:tc>
          <w:tcPr>
            <w:tcW w:w="2048" w:type="dxa"/>
            <w:vAlign w:val="center"/>
          </w:tcPr>
          <w:p w14:paraId="784504A2"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937" w:type="dxa"/>
            <w:tcBorders>
              <w:bottom w:val="single" w:sz="8" w:space="0" w:color="auto"/>
            </w:tcBorders>
            <w:vAlign w:val="center"/>
          </w:tcPr>
          <w:p w14:paraId="0ACFC061" w14:textId="77777777" w:rsidR="009D12AF" w:rsidRDefault="00000000">
            <w:pPr>
              <w:spacing w:line="240" w:lineRule="exact"/>
              <w:ind w:firstLineChars="0" w:firstLine="0"/>
              <w:jc w:val="center"/>
              <w:rPr>
                <w:rFonts w:ascii="Times New Roman" w:eastAsia="宋体" w:hAnsi="Times New Roman" w:cs="Times New Roman"/>
                <w:b/>
                <w:bCs/>
              </w:rPr>
            </w:pPr>
            <w:r>
              <w:rPr>
                <w:rFonts w:ascii="Times New Roman" w:hAnsi="Times New Roman" w:cs="Times New Roman"/>
                <w:b/>
                <w:bCs/>
              </w:rPr>
              <w:t>2025.10.07</w:t>
            </w:r>
          </w:p>
        </w:tc>
        <w:tc>
          <w:tcPr>
            <w:tcW w:w="1937" w:type="dxa"/>
            <w:tcBorders>
              <w:bottom w:val="single" w:sz="8" w:space="0" w:color="auto"/>
            </w:tcBorders>
            <w:vAlign w:val="center"/>
          </w:tcPr>
          <w:p w14:paraId="5F13F0B9"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938" w:type="dxa"/>
            <w:tcBorders>
              <w:bottom w:val="single" w:sz="8" w:space="0" w:color="auto"/>
            </w:tcBorders>
            <w:vAlign w:val="center"/>
          </w:tcPr>
          <w:p w14:paraId="1B06DED9"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1211" w:type="dxa"/>
            <w:tcBorders>
              <w:bottom w:val="single" w:sz="8" w:space="0" w:color="auto"/>
            </w:tcBorders>
            <w:vAlign w:val="center"/>
          </w:tcPr>
          <w:p w14:paraId="719FE50C"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w:t>
            </w:r>
          </w:p>
        </w:tc>
      </w:tr>
      <w:tr w:rsidR="009D12AF" w14:paraId="12444DB9" w14:textId="77777777">
        <w:trPr>
          <w:cantSplit/>
          <w:trHeight w:val="397"/>
          <w:jc w:val="center"/>
        </w:trPr>
        <w:tc>
          <w:tcPr>
            <w:tcW w:w="2048" w:type="dxa"/>
            <w:tcBorders>
              <w:bottom w:val="single" w:sz="8" w:space="0" w:color="auto"/>
            </w:tcBorders>
            <w:vAlign w:val="center"/>
          </w:tcPr>
          <w:p w14:paraId="402CA610"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5812" w:type="dxa"/>
            <w:gridSpan w:val="3"/>
            <w:tcBorders>
              <w:top w:val="single" w:sz="8" w:space="0" w:color="auto"/>
              <w:bottom w:val="single" w:sz="8" w:space="0" w:color="auto"/>
            </w:tcBorders>
            <w:vAlign w:val="center"/>
          </w:tcPr>
          <w:p w14:paraId="0BEB7D65"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rPr>
              <w:t>万丈水库下游</w:t>
            </w:r>
            <w:r>
              <w:rPr>
                <w:rFonts w:ascii="Times New Roman" w:hAnsi="Times New Roman" w:cs="Times New Roman"/>
                <w:b/>
                <w:bCs/>
              </w:rPr>
              <w:t>500m 3#</w:t>
            </w:r>
            <w:r>
              <w:rPr>
                <w:rFonts w:ascii="Times New Roman" w:hAnsi="Times New Roman" w:cs="Times New Roman"/>
                <w:b/>
                <w:bCs/>
              </w:rPr>
              <w:t>（水面下</w:t>
            </w:r>
            <w:r>
              <w:rPr>
                <w:rFonts w:ascii="Times New Roman" w:hAnsi="Times New Roman" w:cs="Times New Roman"/>
                <w:b/>
                <w:bCs/>
              </w:rPr>
              <w:t>0.5m</w:t>
            </w:r>
            <w:r>
              <w:rPr>
                <w:rFonts w:ascii="Times New Roman" w:hAnsi="Times New Roman" w:cs="Times New Roman"/>
                <w:b/>
                <w:bCs/>
              </w:rPr>
              <w:t>）</w:t>
            </w:r>
          </w:p>
        </w:tc>
        <w:tc>
          <w:tcPr>
            <w:tcW w:w="1211" w:type="dxa"/>
            <w:tcBorders>
              <w:top w:val="single" w:sz="8" w:space="0" w:color="auto"/>
              <w:bottom w:val="single" w:sz="8" w:space="0" w:color="auto"/>
            </w:tcBorders>
            <w:vAlign w:val="center"/>
          </w:tcPr>
          <w:p w14:paraId="64364D67"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kern w:val="0"/>
                <w:szCs w:val="21"/>
              </w:rPr>
              <w:t>/</w:t>
            </w:r>
          </w:p>
        </w:tc>
      </w:tr>
      <w:tr w:rsidR="009D12AF" w14:paraId="1017AC0A" w14:textId="77777777">
        <w:trPr>
          <w:cantSplit/>
          <w:trHeight w:val="397"/>
          <w:jc w:val="center"/>
        </w:trPr>
        <w:tc>
          <w:tcPr>
            <w:tcW w:w="2048" w:type="dxa"/>
            <w:tcBorders>
              <w:bottom w:val="single" w:sz="8" w:space="0" w:color="auto"/>
            </w:tcBorders>
            <w:vAlign w:val="center"/>
          </w:tcPr>
          <w:p w14:paraId="61667BDC"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检测项目</w:t>
            </w:r>
          </w:p>
        </w:tc>
        <w:tc>
          <w:tcPr>
            <w:tcW w:w="5812" w:type="dxa"/>
            <w:gridSpan w:val="3"/>
            <w:tcBorders>
              <w:top w:val="single" w:sz="8" w:space="0" w:color="auto"/>
              <w:bottom w:val="single" w:sz="8" w:space="0" w:color="auto"/>
            </w:tcBorders>
            <w:vAlign w:val="center"/>
          </w:tcPr>
          <w:p w14:paraId="33AA95F7"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检测结果</w:t>
            </w:r>
          </w:p>
        </w:tc>
        <w:tc>
          <w:tcPr>
            <w:tcW w:w="1211" w:type="dxa"/>
            <w:tcBorders>
              <w:top w:val="single" w:sz="8" w:space="0" w:color="auto"/>
              <w:bottom w:val="single" w:sz="8" w:space="0" w:color="auto"/>
            </w:tcBorders>
            <w:vAlign w:val="center"/>
          </w:tcPr>
          <w:p w14:paraId="324805EA"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单位</w:t>
            </w:r>
          </w:p>
        </w:tc>
      </w:tr>
      <w:tr w:rsidR="009D12AF" w14:paraId="0D493A04" w14:textId="77777777">
        <w:trPr>
          <w:cantSplit/>
          <w:trHeight w:val="397"/>
          <w:jc w:val="center"/>
        </w:trPr>
        <w:tc>
          <w:tcPr>
            <w:tcW w:w="2048" w:type="dxa"/>
            <w:vAlign w:val="center"/>
          </w:tcPr>
          <w:p w14:paraId="772FC0CA"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937" w:type="dxa"/>
            <w:tcBorders>
              <w:top w:val="single" w:sz="8" w:space="0" w:color="auto"/>
              <w:bottom w:val="single" w:sz="8" w:space="0" w:color="auto"/>
            </w:tcBorders>
            <w:vAlign w:val="center"/>
          </w:tcPr>
          <w:p w14:paraId="7E03F852"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250940DB0301D1</w:t>
            </w:r>
          </w:p>
        </w:tc>
        <w:tc>
          <w:tcPr>
            <w:tcW w:w="1937" w:type="dxa"/>
            <w:tcBorders>
              <w:top w:val="single" w:sz="8" w:space="0" w:color="auto"/>
              <w:bottom w:val="single" w:sz="8" w:space="0" w:color="auto"/>
            </w:tcBorders>
            <w:vAlign w:val="center"/>
          </w:tcPr>
          <w:p w14:paraId="795A543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250940DB0301D2</w:t>
            </w:r>
          </w:p>
        </w:tc>
        <w:tc>
          <w:tcPr>
            <w:tcW w:w="1938" w:type="dxa"/>
            <w:tcBorders>
              <w:top w:val="single" w:sz="8" w:space="0" w:color="auto"/>
              <w:bottom w:val="single" w:sz="8" w:space="0" w:color="auto"/>
            </w:tcBorders>
            <w:vAlign w:val="center"/>
          </w:tcPr>
          <w:p w14:paraId="195D36D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250940DB0301D3</w:t>
            </w:r>
          </w:p>
        </w:tc>
        <w:tc>
          <w:tcPr>
            <w:tcW w:w="1211" w:type="dxa"/>
            <w:tcBorders>
              <w:top w:val="single" w:sz="8" w:space="0" w:color="auto"/>
              <w:bottom w:val="single" w:sz="8" w:space="0" w:color="auto"/>
            </w:tcBorders>
            <w:vAlign w:val="center"/>
          </w:tcPr>
          <w:p w14:paraId="280CC75E" w14:textId="77777777" w:rsidR="009D12AF" w:rsidRDefault="00000000">
            <w:pPr>
              <w:pStyle w:val="afb"/>
              <w:adjustRightInd w:val="0"/>
              <w:snapToGrid w:val="0"/>
              <w:ind w:firstLine="0"/>
              <w:rPr>
                <w:rFonts w:ascii="Times New Roman" w:eastAsia="宋体" w:hAnsi="Times New Roman"/>
                <w:szCs w:val="21"/>
              </w:rPr>
            </w:pPr>
            <w:r>
              <w:rPr>
                <w:rFonts w:eastAsia="宋体" w:hint="eastAsia"/>
                <w:bCs/>
                <w:szCs w:val="21"/>
              </w:rPr>
              <w:t>/</w:t>
            </w:r>
          </w:p>
        </w:tc>
      </w:tr>
      <w:tr w:rsidR="009D12AF" w14:paraId="794A98F1" w14:textId="77777777">
        <w:trPr>
          <w:cantSplit/>
          <w:trHeight w:val="397"/>
          <w:jc w:val="center"/>
        </w:trPr>
        <w:tc>
          <w:tcPr>
            <w:tcW w:w="2048" w:type="dxa"/>
            <w:vAlign w:val="center"/>
          </w:tcPr>
          <w:p w14:paraId="4D436F43"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937" w:type="dxa"/>
            <w:tcBorders>
              <w:top w:val="single" w:sz="8" w:space="0" w:color="auto"/>
              <w:bottom w:val="single" w:sz="8" w:space="0" w:color="auto"/>
            </w:tcBorders>
            <w:vAlign w:val="center"/>
          </w:tcPr>
          <w:p w14:paraId="2F1045F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7.8</w:t>
            </w:r>
          </w:p>
        </w:tc>
        <w:tc>
          <w:tcPr>
            <w:tcW w:w="1937" w:type="dxa"/>
            <w:tcBorders>
              <w:top w:val="single" w:sz="8" w:space="0" w:color="auto"/>
              <w:bottom w:val="single" w:sz="8" w:space="0" w:color="auto"/>
            </w:tcBorders>
            <w:vAlign w:val="center"/>
          </w:tcPr>
          <w:p w14:paraId="1E57F7E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7.7</w:t>
            </w:r>
          </w:p>
        </w:tc>
        <w:tc>
          <w:tcPr>
            <w:tcW w:w="1938" w:type="dxa"/>
            <w:tcBorders>
              <w:top w:val="single" w:sz="8" w:space="0" w:color="auto"/>
              <w:bottom w:val="single" w:sz="8" w:space="0" w:color="auto"/>
            </w:tcBorders>
            <w:vAlign w:val="center"/>
          </w:tcPr>
          <w:p w14:paraId="2FCE527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7.6</w:t>
            </w:r>
          </w:p>
        </w:tc>
        <w:tc>
          <w:tcPr>
            <w:tcW w:w="1211" w:type="dxa"/>
            <w:tcBorders>
              <w:top w:val="single" w:sz="8" w:space="0" w:color="auto"/>
              <w:bottom w:val="single" w:sz="8" w:space="0" w:color="auto"/>
            </w:tcBorders>
            <w:vAlign w:val="center"/>
          </w:tcPr>
          <w:p w14:paraId="193DF77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41AE9FEF" w14:textId="77777777">
        <w:trPr>
          <w:cantSplit/>
          <w:trHeight w:val="397"/>
          <w:jc w:val="center"/>
        </w:trPr>
        <w:tc>
          <w:tcPr>
            <w:tcW w:w="2048" w:type="dxa"/>
            <w:vAlign w:val="center"/>
          </w:tcPr>
          <w:p w14:paraId="3DDA4F2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937" w:type="dxa"/>
            <w:vAlign w:val="center"/>
          </w:tcPr>
          <w:p w14:paraId="7B1BAA3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7.7</w:t>
            </w:r>
          </w:p>
        </w:tc>
        <w:tc>
          <w:tcPr>
            <w:tcW w:w="1937" w:type="dxa"/>
            <w:vAlign w:val="center"/>
          </w:tcPr>
          <w:p w14:paraId="6F5ED7E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7.0</w:t>
            </w:r>
          </w:p>
        </w:tc>
        <w:tc>
          <w:tcPr>
            <w:tcW w:w="1938" w:type="dxa"/>
            <w:vAlign w:val="center"/>
          </w:tcPr>
          <w:p w14:paraId="248D889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8.0</w:t>
            </w:r>
          </w:p>
        </w:tc>
        <w:tc>
          <w:tcPr>
            <w:tcW w:w="1211" w:type="dxa"/>
            <w:vAlign w:val="center"/>
          </w:tcPr>
          <w:p w14:paraId="64BCFFC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C0F58DA" w14:textId="77777777">
        <w:trPr>
          <w:cantSplit/>
          <w:trHeight w:val="397"/>
          <w:jc w:val="center"/>
        </w:trPr>
        <w:tc>
          <w:tcPr>
            <w:tcW w:w="2048" w:type="dxa"/>
            <w:vAlign w:val="center"/>
          </w:tcPr>
          <w:p w14:paraId="633A77B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937" w:type="dxa"/>
            <w:vAlign w:val="center"/>
          </w:tcPr>
          <w:p w14:paraId="550F131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4.4</w:t>
            </w:r>
          </w:p>
        </w:tc>
        <w:tc>
          <w:tcPr>
            <w:tcW w:w="1937" w:type="dxa"/>
            <w:vAlign w:val="center"/>
          </w:tcPr>
          <w:p w14:paraId="3E5C96B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4.8</w:t>
            </w:r>
          </w:p>
        </w:tc>
        <w:tc>
          <w:tcPr>
            <w:tcW w:w="1938" w:type="dxa"/>
            <w:vAlign w:val="center"/>
          </w:tcPr>
          <w:p w14:paraId="010E2B18"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4.6</w:t>
            </w:r>
          </w:p>
        </w:tc>
        <w:tc>
          <w:tcPr>
            <w:tcW w:w="1211" w:type="dxa"/>
            <w:vAlign w:val="center"/>
          </w:tcPr>
          <w:p w14:paraId="1797F7E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B054543" w14:textId="77777777">
        <w:trPr>
          <w:cantSplit/>
          <w:trHeight w:val="397"/>
          <w:jc w:val="center"/>
        </w:trPr>
        <w:tc>
          <w:tcPr>
            <w:tcW w:w="2048" w:type="dxa"/>
            <w:vAlign w:val="center"/>
          </w:tcPr>
          <w:p w14:paraId="33D07E0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937" w:type="dxa"/>
            <w:vAlign w:val="center"/>
          </w:tcPr>
          <w:p w14:paraId="6080623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28</w:t>
            </w:r>
          </w:p>
        </w:tc>
        <w:tc>
          <w:tcPr>
            <w:tcW w:w="1937" w:type="dxa"/>
            <w:vAlign w:val="center"/>
          </w:tcPr>
          <w:p w14:paraId="3845636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25</w:t>
            </w:r>
          </w:p>
        </w:tc>
        <w:tc>
          <w:tcPr>
            <w:tcW w:w="1938" w:type="dxa"/>
            <w:vAlign w:val="center"/>
          </w:tcPr>
          <w:p w14:paraId="5903247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30</w:t>
            </w:r>
          </w:p>
        </w:tc>
        <w:tc>
          <w:tcPr>
            <w:tcW w:w="1211" w:type="dxa"/>
            <w:vAlign w:val="center"/>
          </w:tcPr>
          <w:p w14:paraId="689A85A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D9ED6F0" w14:textId="77777777">
        <w:trPr>
          <w:cantSplit/>
          <w:trHeight w:val="397"/>
          <w:jc w:val="center"/>
        </w:trPr>
        <w:tc>
          <w:tcPr>
            <w:tcW w:w="2048" w:type="dxa"/>
            <w:vAlign w:val="center"/>
          </w:tcPr>
          <w:p w14:paraId="643ED1A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937" w:type="dxa"/>
            <w:vAlign w:val="center"/>
          </w:tcPr>
          <w:p w14:paraId="58FE34AF"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10.3</w:t>
            </w:r>
          </w:p>
        </w:tc>
        <w:tc>
          <w:tcPr>
            <w:tcW w:w="1937" w:type="dxa"/>
            <w:vAlign w:val="center"/>
          </w:tcPr>
          <w:p w14:paraId="2B37F3D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9.7</w:t>
            </w:r>
          </w:p>
        </w:tc>
        <w:tc>
          <w:tcPr>
            <w:tcW w:w="1938" w:type="dxa"/>
            <w:vAlign w:val="center"/>
          </w:tcPr>
          <w:p w14:paraId="1C91756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11.8</w:t>
            </w:r>
          </w:p>
        </w:tc>
        <w:tc>
          <w:tcPr>
            <w:tcW w:w="1211" w:type="dxa"/>
            <w:vAlign w:val="center"/>
          </w:tcPr>
          <w:p w14:paraId="1351365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3772682" w14:textId="77777777">
        <w:trPr>
          <w:cantSplit/>
          <w:trHeight w:val="397"/>
          <w:jc w:val="center"/>
        </w:trPr>
        <w:tc>
          <w:tcPr>
            <w:tcW w:w="2048" w:type="dxa"/>
            <w:vAlign w:val="center"/>
          </w:tcPr>
          <w:p w14:paraId="41A8908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937" w:type="dxa"/>
            <w:vAlign w:val="center"/>
          </w:tcPr>
          <w:p w14:paraId="7ABD4EA0"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0.359</w:t>
            </w:r>
          </w:p>
        </w:tc>
        <w:tc>
          <w:tcPr>
            <w:tcW w:w="1937" w:type="dxa"/>
            <w:vAlign w:val="center"/>
          </w:tcPr>
          <w:p w14:paraId="4B7E4A2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0.422</w:t>
            </w:r>
          </w:p>
        </w:tc>
        <w:tc>
          <w:tcPr>
            <w:tcW w:w="1938" w:type="dxa"/>
            <w:vAlign w:val="center"/>
          </w:tcPr>
          <w:p w14:paraId="46F0C2D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0.407</w:t>
            </w:r>
          </w:p>
        </w:tc>
        <w:tc>
          <w:tcPr>
            <w:tcW w:w="1211" w:type="dxa"/>
            <w:vAlign w:val="center"/>
          </w:tcPr>
          <w:p w14:paraId="1D7097A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D0ED482" w14:textId="77777777">
        <w:trPr>
          <w:cantSplit/>
          <w:trHeight w:val="397"/>
          <w:jc w:val="center"/>
        </w:trPr>
        <w:tc>
          <w:tcPr>
            <w:tcW w:w="2048" w:type="dxa"/>
            <w:vAlign w:val="center"/>
          </w:tcPr>
          <w:p w14:paraId="0D0D033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937" w:type="dxa"/>
            <w:vAlign w:val="center"/>
          </w:tcPr>
          <w:p w14:paraId="47416BD0"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0.12</w:t>
            </w:r>
          </w:p>
        </w:tc>
        <w:tc>
          <w:tcPr>
            <w:tcW w:w="1937" w:type="dxa"/>
            <w:vAlign w:val="center"/>
          </w:tcPr>
          <w:p w14:paraId="33D1D6B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0.11</w:t>
            </w:r>
          </w:p>
        </w:tc>
        <w:tc>
          <w:tcPr>
            <w:tcW w:w="1938" w:type="dxa"/>
            <w:vAlign w:val="center"/>
          </w:tcPr>
          <w:p w14:paraId="14260CC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0.14</w:t>
            </w:r>
          </w:p>
        </w:tc>
        <w:tc>
          <w:tcPr>
            <w:tcW w:w="1211" w:type="dxa"/>
            <w:vAlign w:val="center"/>
          </w:tcPr>
          <w:p w14:paraId="12C43AC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5C5D7F9" w14:textId="77777777">
        <w:trPr>
          <w:cantSplit/>
          <w:trHeight w:val="397"/>
          <w:jc w:val="center"/>
        </w:trPr>
        <w:tc>
          <w:tcPr>
            <w:tcW w:w="2048" w:type="dxa"/>
            <w:vAlign w:val="center"/>
          </w:tcPr>
          <w:p w14:paraId="0CFB434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937" w:type="dxa"/>
            <w:tcBorders>
              <w:right w:val="single" w:sz="4" w:space="0" w:color="auto"/>
            </w:tcBorders>
            <w:vAlign w:val="center"/>
          </w:tcPr>
          <w:p w14:paraId="1E50387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1.06</w:t>
            </w:r>
          </w:p>
        </w:tc>
        <w:tc>
          <w:tcPr>
            <w:tcW w:w="1937" w:type="dxa"/>
            <w:tcBorders>
              <w:left w:val="single" w:sz="4" w:space="0" w:color="auto"/>
              <w:right w:val="single" w:sz="4" w:space="0" w:color="auto"/>
            </w:tcBorders>
            <w:vAlign w:val="center"/>
          </w:tcPr>
          <w:p w14:paraId="0693AA0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1.00</w:t>
            </w:r>
          </w:p>
        </w:tc>
        <w:tc>
          <w:tcPr>
            <w:tcW w:w="1938" w:type="dxa"/>
            <w:tcBorders>
              <w:left w:val="single" w:sz="4" w:space="0" w:color="auto"/>
            </w:tcBorders>
            <w:vAlign w:val="center"/>
          </w:tcPr>
          <w:p w14:paraId="69EF15E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1.21</w:t>
            </w:r>
          </w:p>
        </w:tc>
        <w:tc>
          <w:tcPr>
            <w:tcW w:w="1211" w:type="dxa"/>
            <w:vAlign w:val="center"/>
          </w:tcPr>
          <w:p w14:paraId="14290C3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5D2965A" w14:textId="77777777">
        <w:trPr>
          <w:cantSplit/>
          <w:trHeight w:val="397"/>
          <w:jc w:val="center"/>
        </w:trPr>
        <w:tc>
          <w:tcPr>
            <w:tcW w:w="2048" w:type="dxa"/>
            <w:vAlign w:val="center"/>
          </w:tcPr>
          <w:p w14:paraId="11FB1DF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937" w:type="dxa"/>
            <w:vAlign w:val="center"/>
          </w:tcPr>
          <w:p w14:paraId="69B92A2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7F93E8F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685C7BA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3EFFC91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0C13C0F" w14:textId="77777777">
        <w:trPr>
          <w:cantSplit/>
          <w:trHeight w:val="397"/>
          <w:jc w:val="center"/>
        </w:trPr>
        <w:tc>
          <w:tcPr>
            <w:tcW w:w="2048" w:type="dxa"/>
            <w:vAlign w:val="center"/>
          </w:tcPr>
          <w:p w14:paraId="2ADEE57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937" w:type="dxa"/>
            <w:vAlign w:val="center"/>
          </w:tcPr>
          <w:p w14:paraId="4416004A"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0.31</w:t>
            </w:r>
          </w:p>
        </w:tc>
        <w:tc>
          <w:tcPr>
            <w:tcW w:w="1937" w:type="dxa"/>
            <w:vAlign w:val="center"/>
          </w:tcPr>
          <w:p w14:paraId="1B15EC9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0.31</w:t>
            </w:r>
          </w:p>
        </w:tc>
        <w:tc>
          <w:tcPr>
            <w:tcW w:w="1938" w:type="dxa"/>
            <w:vAlign w:val="center"/>
          </w:tcPr>
          <w:p w14:paraId="3322A1F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0.30</w:t>
            </w:r>
          </w:p>
        </w:tc>
        <w:tc>
          <w:tcPr>
            <w:tcW w:w="1211" w:type="dxa"/>
            <w:vAlign w:val="center"/>
          </w:tcPr>
          <w:p w14:paraId="52AD632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1891910" w14:textId="77777777">
        <w:trPr>
          <w:cantSplit/>
          <w:trHeight w:val="397"/>
          <w:jc w:val="center"/>
        </w:trPr>
        <w:tc>
          <w:tcPr>
            <w:tcW w:w="2048" w:type="dxa"/>
            <w:vAlign w:val="center"/>
          </w:tcPr>
          <w:p w14:paraId="7029FF7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937" w:type="dxa"/>
            <w:vAlign w:val="center"/>
          </w:tcPr>
          <w:p w14:paraId="16394C6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0.33</w:t>
            </w:r>
          </w:p>
        </w:tc>
        <w:tc>
          <w:tcPr>
            <w:tcW w:w="1937" w:type="dxa"/>
            <w:vAlign w:val="center"/>
          </w:tcPr>
          <w:p w14:paraId="2F3591E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0.39</w:t>
            </w:r>
          </w:p>
        </w:tc>
        <w:tc>
          <w:tcPr>
            <w:tcW w:w="1938" w:type="dxa"/>
            <w:vAlign w:val="center"/>
          </w:tcPr>
          <w:p w14:paraId="352ABCA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0.42</w:t>
            </w:r>
          </w:p>
        </w:tc>
        <w:tc>
          <w:tcPr>
            <w:tcW w:w="1211" w:type="dxa"/>
            <w:vAlign w:val="center"/>
          </w:tcPr>
          <w:p w14:paraId="43954BC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A97BD3F" w14:textId="77777777">
        <w:trPr>
          <w:cantSplit/>
          <w:trHeight w:val="397"/>
          <w:jc w:val="center"/>
        </w:trPr>
        <w:tc>
          <w:tcPr>
            <w:tcW w:w="2048" w:type="dxa"/>
            <w:vAlign w:val="center"/>
          </w:tcPr>
          <w:p w14:paraId="139359C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硒</w:t>
            </w:r>
          </w:p>
        </w:tc>
        <w:tc>
          <w:tcPr>
            <w:tcW w:w="1937" w:type="dxa"/>
            <w:vAlign w:val="center"/>
          </w:tcPr>
          <w:p w14:paraId="16E6D38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0.001</w:t>
            </w:r>
          </w:p>
        </w:tc>
        <w:tc>
          <w:tcPr>
            <w:tcW w:w="1937" w:type="dxa"/>
            <w:vAlign w:val="center"/>
          </w:tcPr>
          <w:p w14:paraId="304E6F9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938" w:type="dxa"/>
            <w:vAlign w:val="center"/>
          </w:tcPr>
          <w:p w14:paraId="4C1AA8A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0.0007</w:t>
            </w:r>
          </w:p>
        </w:tc>
        <w:tc>
          <w:tcPr>
            <w:tcW w:w="1211" w:type="dxa"/>
            <w:vAlign w:val="center"/>
          </w:tcPr>
          <w:p w14:paraId="35C4D12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D0307F5" w14:textId="77777777">
        <w:trPr>
          <w:cantSplit/>
          <w:trHeight w:val="397"/>
          <w:jc w:val="center"/>
        </w:trPr>
        <w:tc>
          <w:tcPr>
            <w:tcW w:w="2048" w:type="dxa"/>
            <w:vAlign w:val="center"/>
          </w:tcPr>
          <w:p w14:paraId="0A44071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lastRenderedPageBreak/>
              <w:t>砷</w:t>
            </w:r>
          </w:p>
        </w:tc>
        <w:tc>
          <w:tcPr>
            <w:tcW w:w="1937" w:type="dxa"/>
            <w:vAlign w:val="center"/>
          </w:tcPr>
          <w:p w14:paraId="6ECF96E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937" w:type="dxa"/>
            <w:vAlign w:val="center"/>
          </w:tcPr>
          <w:p w14:paraId="2CDBF3B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938" w:type="dxa"/>
            <w:vAlign w:val="center"/>
          </w:tcPr>
          <w:p w14:paraId="0D2122A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211" w:type="dxa"/>
            <w:vAlign w:val="center"/>
          </w:tcPr>
          <w:p w14:paraId="4B3A0C9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6B268AA" w14:textId="77777777">
        <w:trPr>
          <w:cantSplit/>
          <w:trHeight w:val="397"/>
          <w:jc w:val="center"/>
        </w:trPr>
        <w:tc>
          <w:tcPr>
            <w:tcW w:w="2048" w:type="dxa"/>
            <w:vAlign w:val="center"/>
          </w:tcPr>
          <w:p w14:paraId="4854ED7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总</w:t>
            </w:r>
            <w:r>
              <w:rPr>
                <w:rFonts w:ascii="Times New Roman" w:eastAsia="宋体" w:hAnsi="Times New Roman" w:cs="Times New Roman"/>
                <w:sz w:val="21"/>
                <w:lang w:bidi="ar"/>
              </w:rPr>
              <w:t>汞</w:t>
            </w:r>
          </w:p>
        </w:tc>
        <w:tc>
          <w:tcPr>
            <w:tcW w:w="1937" w:type="dxa"/>
            <w:vAlign w:val="center"/>
          </w:tcPr>
          <w:p w14:paraId="7D26AF31"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7" w:type="dxa"/>
            <w:vAlign w:val="center"/>
          </w:tcPr>
          <w:p w14:paraId="501BD72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8" w:type="dxa"/>
            <w:vAlign w:val="center"/>
          </w:tcPr>
          <w:p w14:paraId="57199975"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0.00002L</w:t>
            </w:r>
          </w:p>
        </w:tc>
        <w:tc>
          <w:tcPr>
            <w:tcW w:w="1211" w:type="dxa"/>
            <w:vAlign w:val="center"/>
          </w:tcPr>
          <w:p w14:paraId="0C20F06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446CDC8" w14:textId="77777777">
        <w:trPr>
          <w:cantSplit/>
          <w:trHeight w:val="397"/>
          <w:jc w:val="center"/>
        </w:trPr>
        <w:tc>
          <w:tcPr>
            <w:tcW w:w="2048" w:type="dxa"/>
            <w:vAlign w:val="center"/>
          </w:tcPr>
          <w:p w14:paraId="6566412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镉</w:t>
            </w:r>
          </w:p>
        </w:tc>
        <w:tc>
          <w:tcPr>
            <w:tcW w:w="1937" w:type="dxa"/>
            <w:vAlign w:val="center"/>
          </w:tcPr>
          <w:p w14:paraId="1EDDAD77"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7" w:type="dxa"/>
            <w:vAlign w:val="center"/>
          </w:tcPr>
          <w:p w14:paraId="3954683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8" w:type="dxa"/>
            <w:vAlign w:val="center"/>
          </w:tcPr>
          <w:p w14:paraId="762F432C"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0.0001L</w:t>
            </w:r>
          </w:p>
        </w:tc>
        <w:tc>
          <w:tcPr>
            <w:tcW w:w="1211" w:type="dxa"/>
            <w:vAlign w:val="center"/>
          </w:tcPr>
          <w:p w14:paraId="0E30E17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D8EFF91" w14:textId="77777777">
        <w:trPr>
          <w:cantSplit/>
          <w:trHeight w:val="397"/>
          <w:jc w:val="center"/>
        </w:trPr>
        <w:tc>
          <w:tcPr>
            <w:tcW w:w="2048" w:type="dxa"/>
            <w:vAlign w:val="center"/>
          </w:tcPr>
          <w:p w14:paraId="2B51179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六价铬</w:t>
            </w:r>
          </w:p>
        </w:tc>
        <w:tc>
          <w:tcPr>
            <w:tcW w:w="1937" w:type="dxa"/>
            <w:vAlign w:val="center"/>
          </w:tcPr>
          <w:p w14:paraId="6102126E"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2789F05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71D6D09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590C07A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0CD3904" w14:textId="77777777">
        <w:trPr>
          <w:cantSplit/>
          <w:trHeight w:val="397"/>
          <w:jc w:val="center"/>
        </w:trPr>
        <w:tc>
          <w:tcPr>
            <w:tcW w:w="2048" w:type="dxa"/>
            <w:vAlign w:val="center"/>
          </w:tcPr>
          <w:p w14:paraId="31EF2C5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铅</w:t>
            </w:r>
          </w:p>
        </w:tc>
        <w:tc>
          <w:tcPr>
            <w:tcW w:w="1937" w:type="dxa"/>
            <w:vAlign w:val="center"/>
          </w:tcPr>
          <w:p w14:paraId="3F8547E5"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7" w:type="dxa"/>
            <w:vAlign w:val="center"/>
          </w:tcPr>
          <w:p w14:paraId="7723F5C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8" w:type="dxa"/>
            <w:vAlign w:val="center"/>
          </w:tcPr>
          <w:p w14:paraId="3999C2F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211" w:type="dxa"/>
            <w:vAlign w:val="center"/>
          </w:tcPr>
          <w:p w14:paraId="5AD9638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2DCE81E" w14:textId="77777777">
        <w:trPr>
          <w:cantSplit/>
          <w:trHeight w:val="397"/>
          <w:jc w:val="center"/>
        </w:trPr>
        <w:tc>
          <w:tcPr>
            <w:tcW w:w="2048" w:type="dxa"/>
            <w:vAlign w:val="center"/>
          </w:tcPr>
          <w:p w14:paraId="3C11470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937" w:type="dxa"/>
            <w:vAlign w:val="center"/>
          </w:tcPr>
          <w:p w14:paraId="7DDE21E4"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4DC725E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6C07104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66082E1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0F5A961" w14:textId="77777777">
        <w:trPr>
          <w:cantSplit/>
          <w:trHeight w:val="397"/>
          <w:jc w:val="center"/>
        </w:trPr>
        <w:tc>
          <w:tcPr>
            <w:tcW w:w="2048" w:type="dxa"/>
            <w:vAlign w:val="center"/>
          </w:tcPr>
          <w:p w14:paraId="4FC1B6D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937" w:type="dxa"/>
            <w:vAlign w:val="center"/>
          </w:tcPr>
          <w:p w14:paraId="55903E2E"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7" w:type="dxa"/>
            <w:vAlign w:val="center"/>
          </w:tcPr>
          <w:p w14:paraId="19AE500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8" w:type="dxa"/>
            <w:vAlign w:val="center"/>
          </w:tcPr>
          <w:p w14:paraId="4F40731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211" w:type="dxa"/>
            <w:vAlign w:val="center"/>
          </w:tcPr>
          <w:p w14:paraId="768CC1D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87BFD3F" w14:textId="77777777">
        <w:trPr>
          <w:cantSplit/>
          <w:trHeight w:val="397"/>
          <w:jc w:val="center"/>
        </w:trPr>
        <w:tc>
          <w:tcPr>
            <w:tcW w:w="2048" w:type="dxa"/>
            <w:vAlign w:val="center"/>
          </w:tcPr>
          <w:p w14:paraId="3B6FB85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937" w:type="dxa"/>
            <w:vAlign w:val="center"/>
          </w:tcPr>
          <w:p w14:paraId="47FFD419"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3C788B8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778DF96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1CA6078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93685C5" w14:textId="77777777">
        <w:trPr>
          <w:cantSplit/>
          <w:trHeight w:val="397"/>
          <w:jc w:val="center"/>
        </w:trPr>
        <w:tc>
          <w:tcPr>
            <w:tcW w:w="2048" w:type="dxa"/>
            <w:vAlign w:val="center"/>
          </w:tcPr>
          <w:p w14:paraId="37AF11A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937" w:type="dxa"/>
            <w:vAlign w:val="center"/>
          </w:tcPr>
          <w:p w14:paraId="52445316"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223447A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4AAE01F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108E96A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EF213C0" w14:textId="77777777">
        <w:trPr>
          <w:cantSplit/>
          <w:trHeight w:val="397"/>
          <w:jc w:val="center"/>
        </w:trPr>
        <w:tc>
          <w:tcPr>
            <w:tcW w:w="2048" w:type="dxa"/>
            <w:vAlign w:val="center"/>
          </w:tcPr>
          <w:p w14:paraId="4BB6AF2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937" w:type="dxa"/>
            <w:vAlign w:val="center"/>
          </w:tcPr>
          <w:p w14:paraId="3A6979A7"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7B6CCE6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18369A3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01C5DE6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07ED732" w14:textId="77777777">
        <w:trPr>
          <w:cantSplit/>
          <w:trHeight w:val="397"/>
          <w:jc w:val="center"/>
        </w:trPr>
        <w:tc>
          <w:tcPr>
            <w:tcW w:w="2048" w:type="dxa"/>
            <w:vAlign w:val="center"/>
          </w:tcPr>
          <w:p w14:paraId="47EC69A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937" w:type="dxa"/>
            <w:vAlign w:val="center"/>
          </w:tcPr>
          <w:p w14:paraId="539EA973"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3.6</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7" w:type="dxa"/>
            <w:vAlign w:val="center"/>
          </w:tcPr>
          <w:p w14:paraId="08D782F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4.2</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8" w:type="dxa"/>
            <w:vAlign w:val="center"/>
          </w:tcPr>
          <w:p w14:paraId="4EC6E2B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2.2</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211" w:type="dxa"/>
            <w:vAlign w:val="center"/>
          </w:tcPr>
          <w:p w14:paraId="3EF462C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65BAAC98" w14:textId="77777777">
        <w:trPr>
          <w:cantSplit/>
          <w:trHeight w:val="397"/>
          <w:jc w:val="center"/>
        </w:trPr>
        <w:tc>
          <w:tcPr>
            <w:tcW w:w="2048" w:type="dxa"/>
            <w:vAlign w:val="center"/>
          </w:tcPr>
          <w:p w14:paraId="5D125DA6"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937" w:type="dxa"/>
            <w:vAlign w:val="center"/>
          </w:tcPr>
          <w:p w14:paraId="249F83E5"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13.1</w:t>
            </w:r>
          </w:p>
        </w:tc>
        <w:tc>
          <w:tcPr>
            <w:tcW w:w="1937" w:type="dxa"/>
            <w:vAlign w:val="center"/>
          </w:tcPr>
          <w:p w14:paraId="1693B2D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12.3</w:t>
            </w:r>
          </w:p>
        </w:tc>
        <w:tc>
          <w:tcPr>
            <w:tcW w:w="1938" w:type="dxa"/>
            <w:vAlign w:val="center"/>
          </w:tcPr>
          <w:p w14:paraId="3B3FF8D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12.5</w:t>
            </w:r>
          </w:p>
        </w:tc>
        <w:tc>
          <w:tcPr>
            <w:tcW w:w="1211" w:type="dxa"/>
            <w:vAlign w:val="center"/>
          </w:tcPr>
          <w:p w14:paraId="2039D55A"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457C2753" w14:textId="77777777" w:rsidR="009D12AF" w:rsidRDefault="00000000">
      <w:pPr>
        <w:ind w:firstLine="482"/>
        <w:jc w:val="center"/>
        <w:rPr>
          <w:b/>
          <w:bCs/>
        </w:rPr>
      </w:pPr>
      <w:r>
        <w:rPr>
          <w:rFonts w:hint="eastAsia"/>
          <w:b/>
          <w:bCs/>
        </w:rPr>
        <w:t>表</w:t>
      </w:r>
      <w:r>
        <w:rPr>
          <w:rFonts w:hint="eastAsia"/>
          <w:b/>
          <w:bCs/>
        </w:rPr>
        <w:t>4.3-8</w:t>
      </w:r>
      <w:r>
        <w:rPr>
          <w:rFonts w:hint="eastAsia"/>
          <w:b/>
          <w:bCs/>
        </w:rPr>
        <w:t>（</w:t>
      </w:r>
      <w:r>
        <w:rPr>
          <w:rFonts w:hint="eastAsia"/>
          <w:b/>
          <w:bCs/>
        </w:rPr>
        <w:t>1</w:t>
      </w:r>
      <w:r>
        <w:rPr>
          <w:rFonts w:hint="eastAsia"/>
          <w:b/>
          <w:bCs/>
        </w:rPr>
        <w:t>）</w:t>
      </w:r>
      <w:r>
        <w:rPr>
          <w:rFonts w:hint="eastAsia"/>
          <w:b/>
          <w:bCs/>
        </w:rPr>
        <w:t xml:space="preserve">  </w:t>
      </w:r>
      <w:r>
        <w:rPr>
          <w:rFonts w:hint="eastAsia"/>
          <w:b/>
          <w:bCs/>
        </w:rPr>
        <w:t>长石水库地表水环境监测结果</w:t>
      </w:r>
    </w:p>
    <w:tbl>
      <w:tblPr>
        <w:tblW w:w="907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048"/>
        <w:gridCol w:w="1937"/>
        <w:gridCol w:w="1937"/>
        <w:gridCol w:w="1938"/>
        <w:gridCol w:w="1211"/>
      </w:tblGrid>
      <w:tr w:rsidR="009D12AF" w14:paraId="3AE65C2B" w14:textId="77777777">
        <w:trPr>
          <w:cantSplit/>
          <w:trHeight w:val="397"/>
          <w:jc w:val="center"/>
        </w:trPr>
        <w:tc>
          <w:tcPr>
            <w:tcW w:w="2048" w:type="dxa"/>
            <w:vAlign w:val="center"/>
          </w:tcPr>
          <w:p w14:paraId="46FD6867"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937" w:type="dxa"/>
            <w:tcBorders>
              <w:bottom w:val="single" w:sz="8" w:space="0" w:color="auto"/>
            </w:tcBorders>
            <w:vAlign w:val="center"/>
          </w:tcPr>
          <w:p w14:paraId="029B1BAD"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rPr>
              <w:t>2025.10.07</w:t>
            </w:r>
          </w:p>
        </w:tc>
        <w:tc>
          <w:tcPr>
            <w:tcW w:w="1937" w:type="dxa"/>
            <w:tcBorders>
              <w:bottom w:val="single" w:sz="8" w:space="0" w:color="auto"/>
            </w:tcBorders>
            <w:vAlign w:val="center"/>
          </w:tcPr>
          <w:p w14:paraId="138170AD"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938" w:type="dxa"/>
            <w:tcBorders>
              <w:bottom w:val="single" w:sz="8" w:space="0" w:color="auto"/>
            </w:tcBorders>
            <w:vAlign w:val="center"/>
          </w:tcPr>
          <w:p w14:paraId="67CC527F"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1211" w:type="dxa"/>
            <w:tcBorders>
              <w:bottom w:val="single" w:sz="8" w:space="0" w:color="auto"/>
            </w:tcBorders>
            <w:vAlign w:val="center"/>
          </w:tcPr>
          <w:p w14:paraId="2485C514"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w:t>
            </w:r>
          </w:p>
        </w:tc>
      </w:tr>
      <w:tr w:rsidR="009D12AF" w14:paraId="7325511B" w14:textId="77777777">
        <w:trPr>
          <w:cantSplit/>
          <w:trHeight w:val="397"/>
          <w:jc w:val="center"/>
        </w:trPr>
        <w:tc>
          <w:tcPr>
            <w:tcW w:w="2048" w:type="dxa"/>
            <w:tcBorders>
              <w:bottom w:val="single" w:sz="8" w:space="0" w:color="auto"/>
            </w:tcBorders>
            <w:vAlign w:val="center"/>
          </w:tcPr>
          <w:p w14:paraId="326AB789"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5812" w:type="dxa"/>
            <w:gridSpan w:val="3"/>
            <w:tcBorders>
              <w:top w:val="single" w:sz="8" w:space="0" w:color="auto"/>
              <w:bottom w:val="single" w:sz="8" w:space="0" w:color="auto"/>
            </w:tcBorders>
            <w:vAlign w:val="center"/>
          </w:tcPr>
          <w:p w14:paraId="430FDB69"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rPr>
              <w:t>长石水库</w:t>
            </w:r>
            <w:r>
              <w:rPr>
                <w:rFonts w:ascii="Times New Roman" w:hAnsi="Times New Roman" w:cs="Times New Roman"/>
                <w:b/>
                <w:bCs/>
              </w:rPr>
              <w:t>1#</w:t>
            </w:r>
            <w:r>
              <w:rPr>
                <w:rFonts w:ascii="Times New Roman" w:hAnsi="Times New Roman" w:cs="Times New Roman" w:hint="eastAsia"/>
                <w:b/>
                <w:bCs/>
              </w:rPr>
              <w:t>（水面下</w:t>
            </w:r>
            <w:r>
              <w:rPr>
                <w:rFonts w:ascii="Times New Roman" w:hAnsi="Times New Roman" w:cs="Times New Roman" w:hint="eastAsia"/>
                <w:b/>
                <w:bCs/>
              </w:rPr>
              <w:t>0.5m</w:t>
            </w:r>
            <w:r>
              <w:rPr>
                <w:rFonts w:ascii="Times New Roman" w:hAnsi="Times New Roman" w:cs="Times New Roman" w:hint="eastAsia"/>
                <w:b/>
                <w:bCs/>
              </w:rPr>
              <w:t>）</w:t>
            </w:r>
          </w:p>
        </w:tc>
        <w:tc>
          <w:tcPr>
            <w:tcW w:w="1211" w:type="dxa"/>
            <w:tcBorders>
              <w:top w:val="single" w:sz="8" w:space="0" w:color="auto"/>
              <w:bottom w:val="single" w:sz="8" w:space="0" w:color="auto"/>
            </w:tcBorders>
            <w:vAlign w:val="center"/>
          </w:tcPr>
          <w:p w14:paraId="5261206A"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kern w:val="0"/>
                <w:szCs w:val="21"/>
              </w:rPr>
              <w:t>/</w:t>
            </w:r>
          </w:p>
        </w:tc>
      </w:tr>
      <w:tr w:rsidR="009D12AF" w14:paraId="576130E1" w14:textId="77777777">
        <w:trPr>
          <w:cantSplit/>
          <w:trHeight w:val="397"/>
          <w:jc w:val="center"/>
        </w:trPr>
        <w:tc>
          <w:tcPr>
            <w:tcW w:w="2048" w:type="dxa"/>
            <w:vAlign w:val="center"/>
          </w:tcPr>
          <w:p w14:paraId="79A56766"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检测项目</w:t>
            </w:r>
          </w:p>
        </w:tc>
        <w:tc>
          <w:tcPr>
            <w:tcW w:w="5812" w:type="dxa"/>
            <w:gridSpan w:val="3"/>
            <w:tcBorders>
              <w:top w:val="single" w:sz="8" w:space="0" w:color="auto"/>
              <w:bottom w:val="single" w:sz="8" w:space="0" w:color="auto"/>
            </w:tcBorders>
            <w:vAlign w:val="center"/>
          </w:tcPr>
          <w:p w14:paraId="597CB827"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kern w:val="0"/>
                <w:szCs w:val="21"/>
              </w:rPr>
              <w:t>检测结果</w:t>
            </w:r>
          </w:p>
        </w:tc>
        <w:tc>
          <w:tcPr>
            <w:tcW w:w="1211" w:type="dxa"/>
            <w:tcBorders>
              <w:top w:val="single" w:sz="8" w:space="0" w:color="auto"/>
              <w:bottom w:val="single" w:sz="8" w:space="0" w:color="auto"/>
            </w:tcBorders>
            <w:vAlign w:val="center"/>
          </w:tcPr>
          <w:p w14:paraId="20B19300"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单位</w:t>
            </w:r>
          </w:p>
        </w:tc>
      </w:tr>
      <w:tr w:rsidR="009D12AF" w14:paraId="54702C57" w14:textId="77777777">
        <w:trPr>
          <w:cantSplit/>
          <w:trHeight w:val="397"/>
          <w:jc w:val="center"/>
        </w:trPr>
        <w:tc>
          <w:tcPr>
            <w:tcW w:w="2048" w:type="dxa"/>
            <w:vAlign w:val="center"/>
          </w:tcPr>
          <w:p w14:paraId="469D0553"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937" w:type="dxa"/>
            <w:tcBorders>
              <w:top w:val="single" w:sz="8" w:space="0" w:color="auto"/>
              <w:bottom w:val="single" w:sz="8" w:space="0" w:color="auto"/>
            </w:tcBorders>
            <w:vAlign w:val="center"/>
          </w:tcPr>
          <w:p w14:paraId="10E215F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250940DB0401D1</w:t>
            </w:r>
          </w:p>
        </w:tc>
        <w:tc>
          <w:tcPr>
            <w:tcW w:w="1937" w:type="dxa"/>
            <w:tcBorders>
              <w:top w:val="single" w:sz="8" w:space="0" w:color="auto"/>
              <w:bottom w:val="single" w:sz="8" w:space="0" w:color="auto"/>
            </w:tcBorders>
            <w:vAlign w:val="center"/>
          </w:tcPr>
          <w:p w14:paraId="4C71BC9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250940DB0401D2</w:t>
            </w:r>
          </w:p>
        </w:tc>
        <w:tc>
          <w:tcPr>
            <w:tcW w:w="1938" w:type="dxa"/>
            <w:tcBorders>
              <w:top w:val="single" w:sz="8" w:space="0" w:color="auto"/>
              <w:bottom w:val="single" w:sz="8" w:space="0" w:color="auto"/>
            </w:tcBorders>
            <w:vAlign w:val="center"/>
          </w:tcPr>
          <w:p w14:paraId="425D8DA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250940DB0401D3</w:t>
            </w:r>
          </w:p>
        </w:tc>
        <w:tc>
          <w:tcPr>
            <w:tcW w:w="1211" w:type="dxa"/>
            <w:tcBorders>
              <w:top w:val="single" w:sz="8" w:space="0" w:color="auto"/>
              <w:bottom w:val="single" w:sz="8" w:space="0" w:color="auto"/>
            </w:tcBorders>
            <w:vAlign w:val="center"/>
          </w:tcPr>
          <w:p w14:paraId="1A0F34F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45F7CC03" w14:textId="77777777">
        <w:trPr>
          <w:cantSplit/>
          <w:trHeight w:val="397"/>
          <w:jc w:val="center"/>
        </w:trPr>
        <w:tc>
          <w:tcPr>
            <w:tcW w:w="2048" w:type="dxa"/>
            <w:vAlign w:val="center"/>
          </w:tcPr>
          <w:p w14:paraId="6E61F76B"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937" w:type="dxa"/>
            <w:tcBorders>
              <w:top w:val="single" w:sz="8" w:space="0" w:color="auto"/>
              <w:bottom w:val="single" w:sz="8" w:space="0" w:color="auto"/>
            </w:tcBorders>
            <w:vAlign w:val="center"/>
          </w:tcPr>
          <w:p w14:paraId="3F5DC0B4"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7.6</w:t>
            </w:r>
          </w:p>
        </w:tc>
        <w:tc>
          <w:tcPr>
            <w:tcW w:w="1937" w:type="dxa"/>
            <w:tcBorders>
              <w:top w:val="single" w:sz="8" w:space="0" w:color="auto"/>
              <w:bottom w:val="single" w:sz="8" w:space="0" w:color="auto"/>
            </w:tcBorders>
            <w:vAlign w:val="center"/>
          </w:tcPr>
          <w:p w14:paraId="0AB6848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7.7</w:t>
            </w:r>
          </w:p>
        </w:tc>
        <w:tc>
          <w:tcPr>
            <w:tcW w:w="1938" w:type="dxa"/>
            <w:tcBorders>
              <w:top w:val="single" w:sz="8" w:space="0" w:color="auto"/>
              <w:bottom w:val="single" w:sz="8" w:space="0" w:color="auto"/>
            </w:tcBorders>
            <w:vAlign w:val="center"/>
          </w:tcPr>
          <w:p w14:paraId="1707A97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7.7</w:t>
            </w:r>
          </w:p>
        </w:tc>
        <w:tc>
          <w:tcPr>
            <w:tcW w:w="1211" w:type="dxa"/>
            <w:tcBorders>
              <w:top w:val="single" w:sz="8" w:space="0" w:color="auto"/>
              <w:bottom w:val="single" w:sz="8" w:space="0" w:color="auto"/>
            </w:tcBorders>
            <w:vAlign w:val="center"/>
          </w:tcPr>
          <w:p w14:paraId="1BFCA2A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2D761D32" w14:textId="77777777">
        <w:trPr>
          <w:cantSplit/>
          <w:trHeight w:val="397"/>
          <w:jc w:val="center"/>
        </w:trPr>
        <w:tc>
          <w:tcPr>
            <w:tcW w:w="2048" w:type="dxa"/>
            <w:vAlign w:val="center"/>
          </w:tcPr>
          <w:p w14:paraId="4E5A5A8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937" w:type="dxa"/>
            <w:vAlign w:val="center"/>
          </w:tcPr>
          <w:p w14:paraId="7B505CF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3.4</w:t>
            </w:r>
          </w:p>
        </w:tc>
        <w:tc>
          <w:tcPr>
            <w:tcW w:w="1937" w:type="dxa"/>
            <w:vAlign w:val="center"/>
          </w:tcPr>
          <w:p w14:paraId="550B3AB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4.1</w:t>
            </w:r>
          </w:p>
        </w:tc>
        <w:tc>
          <w:tcPr>
            <w:tcW w:w="1938" w:type="dxa"/>
            <w:vAlign w:val="center"/>
          </w:tcPr>
          <w:p w14:paraId="2AD9116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4.6</w:t>
            </w:r>
          </w:p>
        </w:tc>
        <w:tc>
          <w:tcPr>
            <w:tcW w:w="1211" w:type="dxa"/>
            <w:vAlign w:val="center"/>
          </w:tcPr>
          <w:p w14:paraId="647D140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D72B0A2" w14:textId="77777777">
        <w:trPr>
          <w:cantSplit/>
          <w:trHeight w:val="397"/>
          <w:jc w:val="center"/>
        </w:trPr>
        <w:tc>
          <w:tcPr>
            <w:tcW w:w="2048" w:type="dxa"/>
            <w:vAlign w:val="center"/>
          </w:tcPr>
          <w:p w14:paraId="274ADA0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937" w:type="dxa"/>
            <w:vAlign w:val="center"/>
          </w:tcPr>
          <w:p w14:paraId="7D9B610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9.8</w:t>
            </w:r>
          </w:p>
        </w:tc>
        <w:tc>
          <w:tcPr>
            <w:tcW w:w="1937" w:type="dxa"/>
            <w:vAlign w:val="center"/>
          </w:tcPr>
          <w:p w14:paraId="4CE77BD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9.5</w:t>
            </w:r>
          </w:p>
        </w:tc>
        <w:tc>
          <w:tcPr>
            <w:tcW w:w="1938" w:type="dxa"/>
            <w:vAlign w:val="center"/>
          </w:tcPr>
          <w:p w14:paraId="678645C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10.1</w:t>
            </w:r>
          </w:p>
        </w:tc>
        <w:tc>
          <w:tcPr>
            <w:tcW w:w="1211" w:type="dxa"/>
            <w:vAlign w:val="center"/>
          </w:tcPr>
          <w:p w14:paraId="252F2A3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A2490FE" w14:textId="77777777">
        <w:trPr>
          <w:cantSplit/>
          <w:trHeight w:val="397"/>
          <w:jc w:val="center"/>
        </w:trPr>
        <w:tc>
          <w:tcPr>
            <w:tcW w:w="2048" w:type="dxa"/>
            <w:vAlign w:val="center"/>
          </w:tcPr>
          <w:p w14:paraId="53EF02F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937" w:type="dxa"/>
            <w:vAlign w:val="center"/>
          </w:tcPr>
          <w:p w14:paraId="13521FA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10</w:t>
            </w:r>
          </w:p>
        </w:tc>
        <w:tc>
          <w:tcPr>
            <w:tcW w:w="1937" w:type="dxa"/>
            <w:vAlign w:val="center"/>
          </w:tcPr>
          <w:p w14:paraId="5094A2D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10</w:t>
            </w:r>
          </w:p>
        </w:tc>
        <w:tc>
          <w:tcPr>
            <w:tcW w:w="1938" w:type="dxa"/>
            <w:vAlign w:val="center"/>
          </w:tcPr>
          <w:p w14:paraId="713881F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11</w:t>
            </w:r>
          </w:p>
        </w:tc>
        <w:tc>
          <w:tcPr>
            <w:tcW w:w="1211" w:type="dxa"/>
            <w:vAlign w:val="center"/>
          </w:tcPr>
          <w:p w14:paraId="1FDE31A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CE96EE0" w14:textId="77777777">
        <w:trPr>
          <w:cantSplit/>
          <w:trHeight w:val="397"/>
          <w:jc w:val="center"/>
        </w:trPr>
        <w:tc>
          <w:tcPr>
            <w:tcW w:w="2048" w:type="dxa"/>
            <w:vAlign w:val="center"/>
          </w:tcPr>
          <w:p w14:paraId="57DB1D4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937" w:type="dxa"/>
            <w:vAlign w:val="center"/>
          </w:tcPr>
          <w:p w14:paraId="0BFE8E00" w14:textId="77777777" w:rsidR="009D12AF" w:rsidRDefault="00000000">
            <w:pPr>
              <w:widowControl/>
              <w:ind w:firstLineChars="0" w:firstLine="0"/>
              <w:jc w:val="center"/>
              <w:textAlignment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3.8</w:t>
            </w:r>
          </w:p>
        </w:tc>
        <w:tc>
          <w:tcPr>
            <w:tcW w:w="1937" w:type="dxa"/>
            <w:vAlign w:val="center"/>
          </w:tcPr>
          <w:p w14:paraId="3F9A56B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3.5</w:t>
            </w:r>
          </w:p>
        </w:tc>
        <w:tc>
          <w:tcPr>
            <w:tcW w:w="1938" w:type="dxa"/>
            <w:vAlign w:val="center"/>
          </w:tcPr>
          <w:p w14:paraId="1EFE681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3.2</w:t>
            </w:r>
          </w:p>
        </w:tc>
        <w:tc>
          <w:tcPr>
            <w:tcW w:w="1211" w:type="dxa"/>
            <w:vAlign w:val="center"/>
          </w:tcPr>
          <w:p w14:paraId="20EC865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0CB0566" w14:textId="77777777">
        <w:trPr>
          <w:cantSplit/>
          <w:trHeight w:val="397"/>
          <w:jc w:val="center"/>
        </w:trPr>
        <w:tc>
          <w:tcPr>
            <w:tcW w:w="2048" w:type="dxa"/>
            <w:vAlign w:val="center"/>
          </w:tcPr>
          <w:p w14:paraId="124F499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937" w:type="dxa"/>
            <w:vAlign w:val="center"/>
          </w:tcPr>
          <w:p w14:paraId="06C7D565" w14:textId="77777777" w:rsidR="009D12AF" w:rsidRDefault="00000000">
            <w:pPr>
              <w:widowControl/>
              <w:ind w:firstLineChars="0" w:firstLine="0"/>
              <w:jc w:val="center"/>
              <w:textAlignment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0.417</w:t>
            </w:r>
          </w:p>
        </w:tc>
        <w:tc>
          <w:tcPr>
            <w:tcW w:w="1937" w:type="dxa"/>
            <w:vAlign w:val="center"/>
          </w:tcPr>
          <w:p w14:paraId="3B52308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0.405</w:t>
            </w:r>
          </w:p>
        </w:tc>
        <w:tc>
          <w:tcPr>
            <w:tcW w:w="1938" w:type="dxa"/>
            <w:vAlign w:val="center"/>
          </w:tcPr>
          <w:p w14:paraId="5B1B69C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0.369</w:t>
            </w:r>
          </w:p>
        </w:tc>
        <w:tc>
          <w:tcPr>
            <w:tcW w:w="1211" w:type="dxa"/>
            <w:vAlign w:val="center"/>
          </w:tcPr>
          <w:p w14:paraId="45B6CC5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0B3B682" w14:textId="77777777">
        <w:trPr>
          <w:cantSplit/>
          <w:trHeight w:val="397"/>
          <w:jc w:val="center"/>
        </w:trPr>
        <w:tc>
          <w:tcPr>
            <w:tcW w:w="2048" w:type="dxa"/>
            <w:vAlign w:val="center"/>
          </w:tcPr>
          <w:p w14:paraId="579AC5F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937" w:type="dxa"/>
            <w:vAlign w:val="center"/>
          </w:tcPr>
          <w:p w14:paraId="67A95923" w14:textId="77777777" w:rsidR="009D12AF" w:rsidRDefault="00000000">
            <w:pPr>
              <w:widowControl/>
              <w:spacing w:line="240" w:lineRule="exact"/>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0.08</w:t>
            </w:r>
          </w:p>
        </w:tc>
        <w:tc>
          <w:tcPr>
            <w:tcW w:w="1937" w:type="dxa"/>
            <w:vAlign w:val="center"/>
          </w:tcPr>
          <w:p w14:paraId="66CD8DB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0.06</w:t>
            </w:r>
          </w:p>
        </w:tc>
        <w:tc>
          <w:tcPr>
            <w:tcW w:w="1938" w:type="dxa"/>
            <w:vAlign w:val="center"/>
          </w:tcPr>
          <w:p w14:paraId="76C1DAC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0.08</w:t>
            </w:r>
          </w:p>
        </w:tc>
        <w:tc>
          <w:tcPr>
            <w:tcW w:w="1211" w:type="dxa"/>
            <w:vAlign w:val="center"/>
          </w:tcPr>
          <w:p w14:paraId="05F2DA7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4952B24" w14:textId="77777777">
        <w:trPr>
          <w:cantSplit/>
          <w:trHeight w:val="397"/>
          <w:jc w:val="center"/>
        </w:trPr>
        <w:tc>
          <w:tcPr>
            <w:tcW w:w="2048" w:type="dxa"/>
            <w:vAlign w:val="center"/>
          </w:tcPr>
          <w:p w14:paraId="196D8AA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937" w:type="dxa"/>
            <w:vAlign w:val="center"/>
          </w:tcPr>
          <w:p w14:paraId="1A6D9C1D"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1.22</w:t>
            </w:r>
          </w:p>
        </w:tc>
        <w:tc>
          <w:tcPr>
            <w:tcW w:w="1937" w:type="dxa"/>
            <w:vAlign w:val="center"/>
          </w:tcPr>
          <w:p w14:paraId="7A0ABDC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1.36</w:t>
            </w:r>
          </w:p>
        </w:tc>
        <w:tc>
          <w:tcPr>
            <w:tcW w:w="1938" w:type="dxa"/>
            <w:vAlign w:val="center"/>
          </w:tcPr>
          <w:p w14:paraId="091F72C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1.14</w:t>
            </w:r>
          </w:p>
        </w:tc>
        <w:tc>
          <w:tcPr>
            <w:tcW w:w="1211" w:type="dxa"/>
            <w:vAlign w:val="center"/>
          </w:tcPr>
          <w:p w14:paraId="168417E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C2923AC" w14:textId="77777777">
        <w:trPr>
          <w:cantSplit/>
          <w:trHeight w:val="397"/>
          <w:jc w:val="center"/>
        </w:trPr>
        <w:tc>
          <w:tcPr>
            <w:tcW w:w="2048" w:type="dxa"/>
            <w:vAlign w:val="center"/>
          </w:tcPr>
          <w:p w14:paraId="49A4EF7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937" w:type="dxa"/>
            <w:vAlign w:val="center"/>
          </w:tcPr>
          <w:p w14:paraId="5782F3C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55CF13C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043778A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5F1BE4E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31BE572" w14:textId="77777777">
        <w:trPr>
          <w:cantSplit/>
          <w:trHeight w:val="397"/>
          <w:jc w:val="center"/>
        </w:trPr>
        <w:tc>
          <w:tcPr>
            <w:tcW w:w="2048" w:type="dxa"/>
            <w:vAlign w:val="center"/>
          </w:tcPr>
          <w:p w14:paraId="614A485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937" w:type="dxa"/>
            <w:vAlign w:val="center"/>
          </w:tcPr>
          <w:p w14:paraId="79C5F6B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0.22</w:t>
            </w:r>
          </w:p>
        </w:tc>
        <w:tc>
          <w:tcPr>
            <w:tcW w:w="1937" w:type="dxa"/>
            <w:vAlign w:val="center"/>
          </w:tcPr>
          <w:p w14:paraId="3A95A9E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0.24</w:t>
            </w:r>
          </w:p>
        </w:tc>
        <w:tc>
          <w:tcPr>
            <w:tcW w:w="1938" w:type="dxa"/>
            <w:vAlign w:val="center"/>
          </w:tcPr>
          <w:p w14:paraId="1AA41FB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0.20</w:t>
            </w:r>
          </w:p>
        </w:tc>
        <w:tc>
          <w:tcPr>
            <w:tcW w:w="1211" w:type="dxa"/>
            <w:vAlign w:val="center"/>
          </w:tcPr>
          <w:p w14:paraId="25629C8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6852844" w14:textId="77777777">
        <w:trPr>
          <w:cantSplit/>
          <w:trHeight w:val="397"/>
          <w:jc w:val="center"/>
        </w:trPr>
        <w:tc>
          <w:tcPr>
            <w:tcW w:w="2048" w:type="dxa"/>
            <w:vAlign w:val="center"/>
          </w:tcPr>
          <w:p w14:paraId="703E30A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937" w:type="dxa"/>
            <w:vAlign w:val="center"/>
          </w:tcPr>
          <w:p w14:paraId="1CDDB2F7"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0.22</w:t>
            </w:r>
          </w:p>
        </w:tc>
        <w:tc>
          <w:tcPr>
            <w:tcW w:w="1937" w:type="dxa"/>
            <w:vAlign w:val="center"/>
          </w:tcPr>
          <w:p w14:paraId="0027730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0.28</w:t>
            </w:r>
          </w:p>
        </w:tc>
        <w:tc>
          <w:tcPr>
            <w:tcW w:w="1938" w:type="dxa"/>
            <w:vAlign w:val="center"/>
          </w:tcPr>
          <w:p w14:paraId="0475212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0.34</w:t>
            </w:r>
          </w:p>
        </w:tc>
        <w:tc>
          <w:tcPr>
            <w:tcW w:w="1211" w:type="dxa"/>
            <w:vAlign w:val="center"/>
          </w:tcPr>
          <w:p w14:paraId="1C85727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C14C676" w14:textId="77777777">
        <w:trPr>
          <w:cantSplit/>
          <w:trHeight w:val="397"/>
          <w:jc w:val="center"/>
        </w:trPr>
        <w:tc>
          <w:tcPr>
            <w:tcW w:w="2048" w:type="dxa"/>
            <w:vAlign w:val="center"/>
          </w:tcPr>
          <w:p w14:paraId="7D6694F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硒</w:t>
            </w:r>
          </w:p>
        </w:tc>
        <w:tc>
          <w:tcPr>
            <w:tcW w:w="1937" w:type="dxa"/>
            <w:vAlign w:val="center"/>
          </w:tcPr>
          <w:p w14:paraId="636E1BED"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0.001</w:t>
            </w:r>
          </w:p>
        </w:tc>
        <w:tc>
          <w:tcPr>
            <w:tcW w:w="1937" w:type="dxa"/>
            <w:vAlign w:val="center"/>
          </w:tcPr>
          <w:p w14:paraId="12323C8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938" w:type="dxa"/>
            <w:vAlign w:val="center"/>
          </w:tcPr>
          <w:p w14:paraId="2C48A9F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211" w:type="dxa"/>
            <w:vAlign w:val="center"/>
          </w:tcPr>
          <w:p w14:paraId="7AAD0E9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032E8C0" w14:textId="77777777">
        <w:trPr>
          <w:cantSplit/>
          <w:trHeight w:val="397"/>
          <w:jc w:val="center"/>
        </w:trPr>
        <w:tc>
          <w:tcPr>
            <w:tcW w:w="2048" w:type="dxa"/>
            <w:vAlign w:val="center"/>
          </w:tcPr>
          <w:p w14:paraId="240E8B6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lastRenderedPageBreak/>
              <w:t>砷</w:t>
            </w:r>
          </w:p>
        </w:tc>
        <w:tc>
          <w:tcPr>
            <w:tcW w:w="1937" w:type="dxa"/>
            <w:vAlign w:val="center"/>
          </w:tcPr>
          <w:p w14:paraId="5D062BB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937" w:type="dxa"/>
            <w:vAlign w:val="center"/>
          </w:tcPr>
          <w:p w14:paraId="50C88BC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938" w:type="dxa"/>
            <w:vAlign w:val="center"/>
          </w:tcPr>
          <w:p w14:paraId="38A86D1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211" w:type="dxa"/>
            <w:vAlign w:val="center"/>
          </w:tcPr>
          <w:p w14:paraId="306E3D5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7B0C627" w14:textId="77777777">
        <w:trPr>
          <w:cantSplit/>
          <w:trHeight w:val="397"/>
          <w:jc w:val="center"/>
        </w:trPr>
        <w:tc>
          <w:tcPr>
            <w:tcW w:w="2048" w:type="dxa"/>
            <w:vAlign w:val="center"/>
          </w:tcPr>
          <w:p w14:paraId="0C17DA8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总</w:t>
            </w:r>
            <w:r>
              <w:rPr>
                <w:rFonts w:ascii="Times New Roman" w:eastAsia="宋体" w:hAnsi="Times New Roman" w:cs="Times New Roman"/>
                <w:sz w:val="21"/>
                <w:lang w:bidi="ar"/>
              </w:rPr>
              <w:t>汞</w:t>
            </w:r>
          </w:p>
        </w:tc>
        <w:tc>
          <w:tcPr>
            <w:tcW w:w="1937" w:type="dxa"/>
            <w:vAlign w:val="center"/>
          </w:tcPr>
          <w:p w14:paraId="0A283409"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7" w:type="dxa"/>
            <w:vAlign w:val="center"/>
          </w:tcPr>
          <w:p w14:paraId="4360E47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8" w:type="dxa"/>
            <w:vAlign w:val="center"/>
          </w:tcPr>
          <w:p w14:paraId="77293644"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0.00002L</w:t>
            </w:r>
          </w:p>
        </w:tc>
        <w:tc>
          <w:tcPr>
            <w:tcW w:w="1211" w:type="dxa"/>
            <w:vAlign w:val="center"/>
          </w:tcPr>
          <w:p w14:paraId="0313BFC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702527C" w14:textId="77777777">
        <w:trPr>
          <w:cantSplit/>
          <w:trHeight w:val="397"/>
          <w:jc w:val="center"/>
        </w:trPr>
        <w:tc>
          <w:tcPr>
            <w:tcW w:w="2048" w:type="dxa"/>
            <w:vAlign w:val="center"/>
          </w:tcPr>
          <w:p w14:paraId="43AE9AF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镉</w:t>
            </w:r>
          </w:p>
        </w:tc>
        <w:tc>
          <w:tcPr>
            <w:tcW w:w="1937" w:type="dxa"/>
            <w:vAlign w:val="center"/>
          </w:tcPr>
          <w:p w14:paraId="1C7CBE12"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7" w:type="dxa"/>
            <w:vAlign w:val="center"/>
          </w:tcPr>
          <w:p w14:paraId="78946A1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8" w:type="dxa"/>
            <w:vAlign w:val="center"/>
          </w:tcPr>
          <w:p w14:paraId="70B5EA7C"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0.0001L</w:t>
            </w:r>
          </w:p>
        </w:tc>
        <w:tc>
          <w:tcPr>
            <w:tcW w:w="1211" w:type="dxa"/>
            <w:vAlign w:val="center"/>
          </w:tcPr>
          <w:p w14:paraId="0DF18ED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5AB8AD7" w14:textId="77777777">
        <w:trPr>
          <w:cantSplit/>
          <w:trHeight w:val="397"/>
          <w:jc w:val="center"/>
        </w:trPr>
        <w:tc>
          <w:tcPr>
            <w:tcW w:w="2048" w:type="dxa"/>
            <w:vAlign w:val="center"/>
          </w:tcPr>
          <w:p w14:paraId="7F231A3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六价铬</w:t>
            </w:r>
          </w:p>
        </w:tc>
        <w:tc>
          <w:tcPr>
            <w:tcW w:w="1937" w:type="dxa"/>
            <w:vAlign w:val="center"/>
          </w:tcPr>
          <w:p w14:paraId="00B28309"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5B59A0E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187E6CF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4527747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E9C004F" w14:textId="77777777">
        <w:trPr>
          <w:cantSplit/>
          <w:trHeight w:val="397"/>
          <w:jc w:val="center"/>
        </w:trPr>
        <w:tc>
          <w:tcPr>
            <w:tcW w:w="2048" w:type="dxa"/>
            <w:vAlign w:val="center"/>
          </w:tcPr>
          <w:p w14:paraId="70FA27E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铅</w:t>
            </w:r>
          </w:p>
        </w:tc>
        <w:tc>
          <w:tcPr>
            <w:tcW w:w="1937" w:type="dxa"/>
            <w:vAlign w:val="center"/>
          </w:tcPr>
          <w:p w14:paraId="47D8D168"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7" w:type="dxa"/>
            <w:vAlign w:val="center"/>
          </w:tcPr>
          <w:p w14:paraId="63E6678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8" w:type="dxa"/>
            <w:vAlign w:val="center"/>
          </w:tcPr>
          <w:p w14:paraId="191FBE8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211" w:type="dxa"/>
            <w:vAlign w:val="center"/>
          </w:tcPr>
          <w:p w14:paraId="71DE0CB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3C700DA" w14:textId="77777777">
        <w:trPr>
          <w:cantSplit/>
          <w:trHeight w:val="397"/>
          <w:jc w:val="center"/>
        </w:trPr>
        <w:tc>
          <w:tcPr>
            <w:tcW w:w="2048" w:type="dxa"/>
            <w:vAlign w:val="center"/>
          </w:tcPr>
          <w:p w14:paraId="71C4B98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937" w:type="dxa"/>
            <w:vAlign w:val="center"/>
          </w:tcPr>
          <w:p w14:paraId="230E605D"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79938E0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2CBD606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7827A3E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4C51882" w14:textId="77777777">
        <w:trPr>
          <w:cantSplit/>
          <w:trHeight w:val="397"/>
          <w:jc w:val="center"/>
        </w:trPr>
        <w:tc>
          <w:tcPr>
            <w:tcW w:w="2048" w:type="dxa"/>
            <w:vAlign w:val="center"/>
          </w:tcPr>
          <w:p w14:paraId="2478667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937" w:type="dxa"/>
            <w:vAlign w:val="center"/>
          </w:tcPr>
          <w:p w14:paraId="39FFB0B5"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7" w:type="dxa"/>
            <w:vAlign w:val="center"/>
          </w:tcPr>
          <w:p w14:paraId="212AE28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8" w:type="dxa"/>
            <w:vAlign w:val="center"/>
          </w:tcPr>
          <w:p w14:paraId="05420A0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211" w:type="dxa"/>
            <w:vAlign w:val="center"/>
          </w:tcPr>
          <w:p w14:paraId="51884B7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A386693" w14:textId="77777777">
        <w:trPr>
          <w:cantSplit/>
          <w:trHeight w:val="397"/>
          <w:jc w:val="center"/>
        </w:trPr>
        <w:tc>
          <w:tcPr>
            <w:tcW w:w="2048" w:type="dxa"/>
            <w:vAlign w:val="center"/>
          </w:tcPr>
          <w:p w14:paraId="484A171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937" w:type="dxa"/>
            <w:vAlign w:val="center"/>
          </w:tcPr>
          <w:p w14:paraId="5D654597"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112BA97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531029F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2E27DC3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2A1A39A" w14:textId="77777777">
        <w:trPr>
          <w:cantSplit/>
          <w:trHeight w:val="397"/>
          <w:jc w:val="center"/>
        </w:trPr>
        <w:tc>
          <w:tcPr>
            <w:tcW w:w="2048" w:type="dxa"/>
            <w:vAlign w:val="center"/>
          </w:tcPr>
          <w:p w14:paraId="70C3F68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937" w:type="dxa"/>
            <w:vAlign w:val="center"/>
          </w:tcPr>
          <w:p w14:paraId="28D4C2A7"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053C4A0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74F09B5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4D8496F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39ABDB7" w14:textId="77777777">
        <w:trPr>
          <w:cantSplit/>
          <w:trHeight w:val="397"/>
          <w:jc w:val="center"/>
        </w:trPr>
        <w:tc>
          <w:tcPr>
            <w:tcW w:w="2048" w:type="dxa"/>
            <w:vAlign w:val="center"/>
          </w:tcPr>
          <w:p w14:paraId="3E0E4B8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937" w:type="dxa"/>
            <w:vAlign w:val="center"/>
          </w:tcPr>
          <w:p w14:paraId="457421D4"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1342AD2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7FF9F45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3320279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0FB7AF3" w14:textId="77777777">
        <w:trPr>
          <w:cantSplit/>
          <w:trHeight w:val="397"/>
          <w:jc w:val="center"/>
        </w:trPr>
        <w:tc>
          <w:tcPr>
            <w:tcW w:w="2048" w:type="dxa"/>
            <w:vAlign w:val="center"/>
          </w:tcPr>
          <w:p w14:paraId="126CFFB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937" w:type="dxa"/>
            <w:vAlign w:val="center"/>
          </w:tcPr>
          <w:p w14:paraId="7A9B7249"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3.8</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7" w:type="dxa"/>
            <w:vAlign w:val="center"/>
          </w:tcPr>
          <w:p w14:paraId="387C540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3.1</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8" w:type="dxa"/>
            <w:vAlign w:val="center"/>
          </w:tcPr>
          <w:p w14:paraId="14B1688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5.0</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211" w:type="dxa"/>
            <w:vAlign w:val="center"/>
          </w:tcPr>
          <w:p w14:paraId="75044C9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2A66BAF6" w14:textId="77777777">
        <w:trPr>
          <w:cantSplit/>
          <w:trHeight w:val="397"/>
          <w:jc w:val="center"/>
        </w:trPr>
        <w:tc>
          <w:tcPr>
            <w:tcW w:w="2048" w:type="dxa"/>
            <w:vAlign w:val="center"/>
          </w:tcPr>
          <w:p w14:paraId="0AA88F60"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937" w:type="dxa"/>
            <w:vAlign w:val="center"/>
          </w:tcPr>
          <w:p w14:paraId="7F911A3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10.8</w:t>
            </w:r>
          </w:p>
        </w:tc>
        <w:tc>
          <w:tcPr>
            <w:tcW w:w="1937" w:type="dxa"/>
            <w:vAlign w:val="center"/>
          </w:tcPr>
          <w:p w14:paraId="7CA7564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10.9</w:t>
            </w:r>
          </w:p>
        </w:tc>
        <w:tc>
          <w:tcPr>
            <w:tcW w:w="1938" w:type="dxa"/>
            <w:vAlign w:val="center"/>
          </w:tcPr>
          <w:p w14:paraId="3AA5680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12.0</w:t>
            </w:r>
          </w:p>
        </w:tc>
        <w:tc>
          <w:tcPr>
            <w:tcW w:w="1211" w:type="dxa"/>
            <w:vAlign w:val="center"/>
          </w:tcPr>
          <w:p w14:paraId="769417EC"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421F3D85" w14:textId="77777777" w:rsidR="009D12AF" w:rsidRDefault="00000000">
      <w:pPr>
        <w:ind w:firstLine="482"/>
        <w:jc w:val="center"/>
        <w:rPr>
          <w:b/>
          <w:bCs/>
        </w:rPr>
      </w:pPr>
      <w:r>
        <w:rPr>
          <w:rFonts w:hint="eastAsia"/>
          <w:b/>
          <w:bCs/>
        </w:rPr>
        <w:t>表</w:t>
      </w:r>
      <w:r>
        <w:rPr>
          <w:rFonts w:hint="eastAsia"/>
          <w:b/>
          <w:bCs/>
        </w:rPr>
        <w:t>4.3-8</w:t>
      </w:r>
      <w:r>
        <w:rPr>
          <w:rFonts w:hint="eastAsia"/>
          <w:b/>
          <w:bCs/>
        </w:rPr>
        <w:t>（</w:t>
      </w:r>
      <w:r>
        <w:rPr>
          <w:rFonts w:hint="eastAsia"/>
          <w:b/>
          <w:bCs/>
        </w:rPr>
        <w:t>2</w:t>
      </w:r>
      <w:r>
        <w:rPr>
          <w:rFonts w:hint="eastAsia"/>
          <w:b/>
          <w:bCs/>
        </w:rPr>
        <w:t>）</w:t>
      </w:r>
      <w:r>
        <w:rPr>
          <w:rFonts w:hint="eastAsia"/>
          <w:b/>
          <w:bCs/>
        </w:rPr>
        <w:t xml:space="preserve">  </w:t>
      </w:r>
      <w:r>
        <w:rPr>
          <w:rFonts w:hint="eastAsia"/>
          <w:b/>
          <w:bCs/>
        </w:rPr>
        <w:t>长石水库地表水环境监测结果</w:t>
      </w:r>
    </w:p>
    <w:tbl>
      <w:tblPr>
        <w:tblW w:w="907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048"/>
        <w:gridCol w:w="1937"/>
        <w:gridCol w:w="1937"/>
        <w:gridCol w:w="1938"/>
        <w:gridCol w:w="1211"/>
      </w:tblGrid>
      <w:tr w:rsidR="009D12AF" w14:paraId="50402653" w14:textId="77777777">
        <w:trPr>
          <w:cantSplit/>
          <w:trHeight w:val="397"/>
          <w:jc w:val="center"/>
        </w:trPr>
        <w:tc>
          <w:tcPr>
            <w:tcW w:w="2048" w:type="dxa"/>
            <w:vAlign w:val="center"/>
          </w:tcPr>
          <w:p w14:paraId="4387DC1A"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937" w:type="dxa"/>
            <w:tcBorders>
              <w:bottom w:val="single" w:sz="8" w:space="0" w:color="auto"/>
            </w:tcBorders>
            <w:vAlign w:val="center"/>
          </w:tcPr>
          <w:p w14:paraId="4E13A18B"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rPr>
              <w:t>2025.10.07</w:t>
            </w:r>
          </w:p>
        </w:tc>
        <w:tc>
          <w:tcPr>
            <w:tcW w:w="1937" w:type="dxa"/>
            <w:tcBorders>
              <w:bottom w:val="single" w:sz="8" w:space="0" w:color="auto"/>
            </w:tcBorders>
            <w:vAlign w:val="center"/>
          </w:tcPr>
          <w:p w14:paraId="62293201"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938" w:type="dxa"/>
            <w:tcBorders>
              <w:bottom w:val="single" w:sz="8" w:space="0" w:color="auto"/>
            </w:tcBorders>
            <w:vAlign w:val="center"/>
          </w:tcPr>
          <w:p w14:paraId="61702867"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1211" w:type="dxa"/>
            <w:tcBorders>
              <w:bottom w:val="single" w:sz="8" w:space="0" w:color="auto"/>
            </w:tcBorders>
            <w:vAlign w:val="center"/>
          </w:tcPr>
          <w:p w14:paraId="26CAE1AB"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w:t>
            </w:r>
          </w:p>
        </w:tc>
      </w:tr>
      <w:tr w:rsidR="009D12AF" w14:paraId="252363C5" w14:textId="77777777">
        <w:trPr>
          <w:cantSplit/>
          <w:trHeight w:val="397"/>
          <w:jc w:val="center"/>
        </w:trPr>
        <w:tc>
          <w:tcPr>
            <w:tcW w:w="2048" w:type="dxa"/>
            <w:tcBorders>
              <w:bottom w:val="single" w:sz="8" w:space="0" w:color="auto"/>
            </w:tcBorders>
            <w:vAlign w:val="center"/>
          </w:tcPr>
          <w:p w14:paraId="480B29C0"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5812" w:type="dxa"/>
            <w:gridSpan w:val="3"/>
            <w:tcBorders>
              <w:top w:val="single" w:sz="8" w:space="0" w:color="auto"/>
              <w:bottom w:val="single" w:sz="8" w:space="0" w:color="auto"/>
            </w:tcBorders>
            <w:vAlign w:val="center"/>
          </w:tcPr>
          <w:p w14:paraId="6F4D7E4B"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rPr>
              <w:t>长石水库</w:t>
            </w:r>
            <w:r>
              <w:rPr>
                <w:rFonts w:ascii="Times New Roman" w:hAnsi="Times New Roman" w:cs="Times New Roman"/>
                <w:b/>
                <w:bCs/>
              </w:rPr>
              <w:t>1#</w:t>
            </w:r>
            <w:r>
              <w:rPr>
                <w:rFonts w:ascii="Times New Roman" w:hAnsi="Times New Roman" w:cs="Times New Roman" w:hint="eastAsia"/>
                <w:b/>
                <w:bCs/>
              </w:rPr>
              <w:t>（水底上</w:t>
            </w:r>
            <w:r>
              <w:rPr>
                <w:rFonts w:ascii="Times New Roman" w:hAnsi="Times New Roman" w:cs="Times New Roman" w:hint="eastAsia"/>
                <w:b/>
                <w:bCs/>
              </w:rPr>
              <w:t>0.5m</w:t>
            </w:r>
            <w:r>
              <w:rPr>
                <w:rFonts w:ascii="Times New Roman" w:hAnsi="Times New Roman" w:cs="Times New Roman" w:hint="eastAsia"/>
                <w:b/>
                <w:bCs/>
              </w:rPr>
              <w:t>）</w:t>
            </w:r>
          </w:p>
        </w:tc>
        <w:tc>
          <w:tcPr>
            <w:tcW w:w="1211" w:type="dxa"/>
            <w:tcBorders>
              <w:top w:val="single" w:sz="8" w:space="0" w:color="auto"/>
              <w:bottom w:val="single" w:sz="8" w:space="0" w:color="auto"/>
            </w:tcBorders>
            <w:vAlign w:val="center"/>
          </w:tcPr>
          <w:p w14:paraId="0AF2F165"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kern w:val="0"/>
                <w:szCs w:val="21"/>
              </w:rPr>
              <w:t>/</w:t>
            </w:r>
          </w:p>
        </w:tc>
      </w:tr>
      <w:tr w:rsidR="009D12AF" w14:paraId="67054CC1" w14:textId="77777777">
        <w:trPr>
          <w:cantSplit/>
          <w:trHeight w:val="397"/>
          <w:jc w:val="center"/>
        </w:trPr>
        <w:tc>
          <w:tcPr>
            <w:tcW w:w="2048" w:type="dxa"/>
            <w:vAlign w:val="center"/>
          </w:tcPr>
          <w:p w14:paraId="59B73942"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检测项目</w:t>
            </w:r>
          </w:p>
        </w:tc>
        <w:tc>
          <w:tcPr>
            <w:tcW w:w="5812" w:type="dxa"/>
            <w:gridSpan w:val="3"/>
            <w:tcBorders>
              <w:top w:val="single" w:sz="8" w:space="0" w:color="auto"/>
              <w:bottom w:val="single" w:sz="8" w:space="0" w:color="auto"/>
            </w:tcBorders>
            <w:vAlign w:val="center"/>
          </w:tcPr>
          <w:p w14:paraId="651C77C2"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kern w:val="0"/>
                <w:szCs w:val="21"/>
              </w:rPr>
              <w:t>检测结果</w:t>
            </w:r>
          </w:p>
        </w:tc>
        <w:tc>
          <w:tcPr>
            <w:tcW w:w="1211" w:type="dxa"/>
            <w:tcBorders>
              <w:top w:val="single" w:sz="8" w:space="0" w:color="auto"/>
              <w:bottom w:val="single" w:sz="8" w:space="0" w:color="auto"/>
            </w:tcBorders>
            <w:vAlign w:val="center"/>
          </w:tcPr>
          <w:p w14:paraId="102B4511"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单位</w:t>
            </w:r>
          </w:p>
        </w:tc>
      </w:tr>
      <w:tr w:rsidR="009D12AF" w14:paraId="076B9087" w14:textId="77777777">
        <w:trPr>
          <w:cantSplit/>
          <w:trHeight w:val="397"/>
          <w:jc w:val="center"/>
        </w:trPr>
        <w:tc>
          <w:tcPr>
            <w:tcW w:w="2048" w:type="dxa"/>
            <w:vAlign w:val="center"/>
          </w:tcPr>
          <w:p w14:paraId="515E6F10"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937" w:type="dxa"/>
            <w:tcBorders>
              <w:top w:val="single" w:sz="8" w:space="0" w:color="auto"/>
              <w:bottom w:val="single" w:sz="8" w:space="0" w:color="auto"/>
            </w:tcBorders>
            <w:vAlign w:val="center"/>
          </w:tcPr>
          <w:p w14:paraId="2ED7A8A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250940DB0402D1</w:t>
            </w:r>
          </w:p>
        </w:tc>
        <w:tc>
          <w:tcPr>
            <w:tcW w:w="1937" w:type="dxa"/>
            <w:tcBorders>
              <w:top w:val="single" w:sz="8" w:space="0" w:color="auto"/>
              <w:bottom w:val="single" w:sz="8" w:space="0" w:color="auto"/>
            </w:tcBorders>
            <w:vAlign w:val="center"/>
          </w:tcPr>
          <w:p w14:paraId="226EFC5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250940DB0402D2</w:t>
            </w:r>
          </w:p>
        </w:tc>
        <w:tc>
          <w:tcPr>
            <w:tcW w:w="1938" w:type="dxa"/>
            <w:tcBorders>
              <w:top w:val="single" w:sz="8" w:space="0" w:color="auto"/>
              <w:bottom w:val="single" w:sz="8" w:space="0" w:color="auto"/>
            </w:tcBorders>
            <w:vAlign w:val="center"/>
          </w:tcPr>
          <w:p w14:paraId="16D298D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250940DB0402D3</w:t>
            </w:r>
          </w:p>
        </w:tc>
        <w:tc>
          <w:tcPr>
            <w:tcW w:w="1211" w:type="dxa"/>
            <w:tcBorders>
              <w:top w:val="single" w:sz="8" w:space="0" w:color="auto"/>
              <w:bottom w:val="single" w:sz="8" w:space="0" w:color="auto"/>
            </w:tcBorders>
            <w:vAlign w:val="center"/>
          </w:tcPr>
          <w:p w14:paraId="283EAC7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2C660E16" w14:textId="77777777">
        <w:trPr>
          <w:cantSplit/>
          <w:trHeight w:val="397"/>
          <w:jc w:val="center"/>
        </w:trPr>
        <w:tc>
          <w:tcPr>
            <w:tcW w:w="2048" w:type="dxa"/>
            <w:vAlign w:val="center"/>
          </w:tcPr>
          <w:p w14:paraId="4494341B"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937" w:type="dxa"/>
            <w:tcBorders>
              <w:top w:val="single" w:sz="8" w:space="0" w:color="auto"/>
              <w:bottom w:val="single" w:sz="8" w:space="0" w:color="auto"/>
            </w:tcBorders>
            <w:vAlign w:val="center"/>
          </w:tcPr>
          <w:p w14:paraId="049FB7F8"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7.7</w:t>
            </w:r>
          </w:p>
        </w:tc>
        <w:tc>
          <w:tcPr>
            <w:tcW w:w="1937" w:type="dxa"/>
            <w:tcBorders>
              <w:top w:val="single" w:sz="8" w:space="0" w:color="auto"/>
              <w:bottom w:val="single" w:sz="8" w:space="0" w:color="auto"/>
            </w:tcBorders>
            <w:vAlign w:val="center"/>
          </w:tcPr>
          <w:p w14:paraId="7E61557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7.6</w:t>
            </w:r>
          </w:p>
        </w:tc>
        <w:tc>
          <w:tcPr>
            <w:tcW w:w="1938" w:type="dxa"/>
            <w:tcBorders>
              <w:top w:val="single" w:sz="8" w:space="0" w:color="auto"/>
              <w:bottom w:val="single" w:sz="8" w:space="0" w:color="auto"/>
            </w:tcBorders>
            <w:vAlign w:val="center"/>
          </w:tcPr>
          <w:p w14:paraId="7719D00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7.7</w:t>
            </w:r>
          </w:p>
        </w:tc>
        <w:tc>
          <w:tcPr>
            <w:tcW w:w="1211" w:type="dxa"/>
            <w:tcBorders>
              <w:top w:val="single" w:sz="8" w:space="0" w:color="auto"/>
              <w:bottom w:val="single" w:sz="8" w:space="0" w:color="auto"/>
            </w:tcBorders>
            <w:vAlign w:val="center"/>
          </w:tcPr>
          <w:p w14:paraId="344DEC1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5280C555" w14:textId="77777777">
        <w:trPr>
          <w:cantSplit/>
          <w:trHeight w:val="397"/>
          <w:jc w:val="center"/>
        </w:trPr>
        <w:tc>
          <w:tcPr>
            <w:tcW w:w="2048" w:type="dxa"/>
            <w:vAlign w:val="center"/>
          </w:tcPr>
          <w:p w14:paraId="6237278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937" w:type="dxa"/>
            <w:vAlign w:val="center"/>
          </w:tcPr>
          <w:p w14:paraId="78F42F1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4.7</w:t>
            </w:r>
          </w:p>
        </w:tc>
        <w:tc>
          <w:tcPr>
            <w:tcW w:w="1937" w:type="dxa"/>
            <w:vAlign w:val="center"/>
          </w:tcPr>
          <w:p w14:paraId="4ABFAFB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3.4</w:t>
            </w:r>
          </w:p>
        </w:tc>
        <w:tc>
          <w:tcPr>
            <w:tcW w:w="1938" w:type="dxa"/>
            <w:vAlign w:val="center"/>
          </w:tcPr>
          <w:p w14:paraId="36C5E7F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3.0</w:t>
            </w:r>
          </w:p>
        </w:tc>
        <w:tc>
          <w:tcPr>
            <w:tcW w:w="1211" w:type="dxa"/>
            <w:vAlign w:val="center"/>
          </w:tcPr>
          <w:p w14:paraId="61609D5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170EEC1" w14:textId="77777777">
        <w:trPr>
          <w:cantSplit/>
          <w:trHeight w:val="397"/>
          <w:jc w:val="center"/>
        </w:trPr>
        <w:tc>
          <w:tcPr>
            <w:tcW w:w="2048" w:type="dxa"/>
            <w:vAlign w:val="center"/>
          </w:tcPr>
          <w:p w14:paraId="311F269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937" w:type="dxa"/>
            <w:vAlign w:val="center"/>
          </w:tcPr>
          <w:p w14:paraId="1318717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5.2</w:t>
            </w:r>
          </w:p>
        </w:tc>
        <w:tc>
          <w:tcPr>
            <w:tcW w:w="1937" w:type="dxa"/>
            <w:vAlign w:val="center"/>
          </w:tcPr>
          <w:p w14:paraId="2BC55FF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5.9</w:t>
            </w:r>
          </w:p>
        </w:tc>
        <w:tc>
          <w:tcPr>
            <w:tcW w:w="1938" w:type="dxa"/>
            <w:vAlign w:val="center"/>
          </w:tcPr>
          <w:p w14:paraId="4E000F2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5.6</w:t>
            </w:r>
          </w:p>
        </w:tc>
        <w:tc>
          <w:tcPr>
            <w:tcW w:w="1211" w:type="dxa"/>
            <w:vAlign w:val="center"/>
          </w:tcPr>
          <w:p w14:paraId="7352256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A13E1FC" w14:textId="77777777">
        <w:trPr>
          <w:cantSplit/>
          <w:trHeight w:val="397"/>
          <w:jc w:val="center"/>
        </w:trPr>
        <w:tc>
          <w:tcPr>
            <w:tcW w:w="2048" w:type="dxa"/>
            <w:vAlign w:val="center"/>
          </w:tcPr>
          <w:p w14:paraId="548426F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937" w:type="dxa"/>
            <w:vAlign w:val="center"/>
          </w:tcPr>
          <w:p w14:paraId="6CD7F58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19</w:t>
            </w:r>
          </w:p>
        </w:tc>
        <w:tc>
          <w:tcPr>
            <w:tcW w:w="1937" w:type="dxa"/>
            <w:vAlign w:val="center"/>
          </w:tcPr>
          <w:p w14:paraId="33F2F21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15</w:t>
            </w:r>
          </w:p>
        </w:tc>
        <w:tc>
          <w:tcPr>
            <w:tcW w:w="1938" w:type="dxa"/>
            <w:vAlign w:val="center"/>
          </w:tcPr>
          <w:p w14:paraId="0A3D4EA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13</w:t>
            </w:r>
          </w:p>
        </w:tc>
        <w:tc>
          <w:tcPr>
            <w:tcW w:w="1211" w:type="dxa"/>
            <w:vAlign w:val="center"/>
          </w:tcPr>
          <w:p w14:paraId="6CFFBD7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95F917B" w14:textId="77777777">
        <w:trPr>
          <w:cantSplit/>
          <w:trHeight w:val="397"/>
          <w:jc w:val="center"/>
        </w:trPr>
        <w:tc>
          <w:tcPr>
            <w:tcW w:w="2048" w:type="dxa"/>
            <w:vAlign w:val="center"/>
          </w:tcPr>
          <w:p w14:paraId="57D1481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937" w:type="dxa"/>
            <w:vAlign w:val="center"/>
          </w:tcPr>
          <w:p w14:paraId="12C7F932" w14:textId="77777777" w:rsidR="009D12AF" w:rsidRDefault="00000000">
            <w:pPr>
              <w:widowControl/>
              <w:ind w:firstLineChars="0" w:firstLine="0"/>
              <w:jc w:val="center"/>
              <w:textAlignment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7.5</w:t>
            </w:r>
          </w:p>
        </w:tc>
        <w:tc>
          <w:tcPr>
            <w:tcW w:w="1937" w:type="dxa"/>
            <w:vAlign w:val="center"/>
          </w:tcPr>
          <w:p w14:paraId="1CAFAE4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5.6</w:t>
            </w:r>
          </w:p>
        </w:tc>
        <w:tc>
          <w:tcPr>
            <w:tcW w:w="1938" w:type="dxa"/>
            <w:vAlign w:val="center"/>
          </w:tcPr>
          <w:p w14:paraId="1ABDE61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5.0</w:t>
            </w:r>
          </w:p>
        </w:tc>
        <w:tc>
          <w:tcPr>
            <w:tcW w:w="1211" w:type="dxa"/>
            <w:vAlign w:val="center"/>
          </w:tcPr>
          <w:p w14:paraId="022FA87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F55DD07" w14:textId="77777777">
        <w:trPr>
          <w:cantSplit/>
          <w:trHeight w:val="397"/>
          <w:jc w:val="center"/>
        </w:trPr>
        <w:tc>
          <w:tcPr>
            <w:tcW w:w="2048" w:type="dxa"/>
            <w:vAlign w:val="center"/>
          </w:tcPr>
          <w:p w14:paraId="625D263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937" w:type="dxa"/>
            <w:vAlign w:val="center"/>
          </w:tcPr>
          <w:p w14:paraId="2A906A4B" w14:textId="77777777" w:rsidR="009D12AF" w:rsidRDefault="00000000">
            <w:pPr>
              <w:widowControl/>
              <w:ind w:firstLineChars="0" w:firstLine="0"/>
              <w:jc w:val="center"/>
              <w:textAlignment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0.361</w:t>
            </w:r>
          </w:p>
        </w:tc>
        <w:tc>
          <w:tcPr>
            <w:tcW w:w="1937" w:type="dxa"/>
            <w:vAlign w:val="center"/>
          </w:tcPr>
          <w:p w14:paraId="014A965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0.402</w:t>
            </w:r>
          </w:p>
        </w:tc>
        <w:tc>
          <w:tcPr>
            <w:tcW w:w="1938" w:type="dxa"/>
            <w:vAlign w:val="center"/>
          </w:tcPr>
          <w:p w14:paraId="2575577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0.433</w:t>
            </w:r>
          </w:p>
        </w:tc>
        <w:tc>
          <w:tcPr>
            <w:tcW w:w="1211" w:type="dxa"/>
            <w:vAlign w:val="center"/>
          </w:tcPr>
          <w:p w14:paraId="21A8AF3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6570356" w14:textId="77777777">
        <w:trPr>
          <w:cantSplit/>
          <w:trHeight w:val="397"/>
          <w:jc w:val="center"/>
        </w:trPr>
        <w:tc>
          <w:tcPr>
            <w:tcW w:w="2048" w:type="dxa"/>
            <w:vAlign w:val="center"/>
          </w:tcPr>
          <w:p w14:paraId="7C0D3F2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937" w:type="dxa"/>
            <w:vAlign w:val="center"/>
          </w:tcPr>
          <w:p w14:paraId="233CA904" w14:textId="77777777" w:rsidR="009D12AF" w:rsidRDefault="00000000">
            <w:pPr>
              <w:widowControl/>
              <w:spacing w:line="240" w:lineRule="exact"/>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0.18</w:t>
            </w:r>
          </w:p>
        </w:tc>
        <w:tc>
          <w:tcPr>
            <w:tcW w:w="1937" w:type="dxa"/>
            <w:vAlign w:val="center"/>
          </w:tcPr>
          <w:p w14:paraId="692CBD0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0.16</w:t>
            </w:r>
          </w:p>
        </w:tc>
        <w:tc>
          <w:tcPr>
            <w:tcW w:w="1938" w:type="dxa"/>
            <w:vAlign w:val="center"/>
          </w:tcPr>
          <w:p w14:paraId="745C35F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0.18</w:t>
            </w:r>
          </w:p>
        </w:tc>
        <w:tc>
          <w:tcPr>
            <w:tcW w:w="1211" w:type="dxa"/>
            <w:vAlign w:val="center"/>
          </w:tcPr>
          <w:p w14:paraId="10902E9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E777C67" w14:textId="77777777">
        <w:trPr>
          <w:cantSplit/>
          <w:trHeight w:val="397"/>
          <w:jc w:val="center"/>
        </w:trPr>
        <w:tc>
          <w:tcPr>
            <w:tcW w:w="2048" w:type="dxa"/>
            <w:vAlign w:val="center"/>
          </w:tcPr>
          <w:p w14:paraId="5327B67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937" w:type="dxa"/>
            <w:vAlign w:val="center"/>
          </w:tcPr>
          <w:p w14:paraId="35908E63"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1.63</w:t>
            </w:r>
          </w:p>
        </w:tc>
        <w:tc>
          <w:tcPr>
            <w:tcW w:w="1937" w:type="dxa"/>
            <w:vAlign w:val="center"/>
          </w:tcPr>
          <w:p w14:paraId="05B32F8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1.51</w:t>
            </w:r>
          </w:p>
        </w:tc>
        <w:tc>
          <w:tcPr>
            <w:tcW w:w="1938" w:type="dxa"/>
            <w:vAlign w:val="center"/>
          </w:tcPr>
          <w:p w14:paraId="463407E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1.74</w:t>
            </w:r>
          </w:p>
        </w:tc>
        <w:tc>
          <w:tcPr>
            <w:tcW w:w="1211" w:type="dxa"/>
            <w:vAlign w:val="center"/>
          </w:tcPr>
          <w:p w14:paraId="5520981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6738138" w14:textId="77777777">
        <w:trPr>
          <w:cantSplit/>
          <w:trHeight w:val="397"/>
          <w:jc w:val="center"/>
        </w:trPr>
        <w:tc>
          <w:tcPr>
            <w:tcW w:w="2048" w:type="dxa"/>
            <w:vAlign w:val="center"/>
          </w:tcPr>
          <w:p w14:paraId="28EC514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937" w:type="dxa"/>
            <w:vAlign w:val="center"/>
          </w:tcPr>
          <w:p w14:paraId="0CF73D8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03FF4B7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73FFDB2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3986E10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ED15661" w14:textId="77777777">
        <w:trPr>
          <w:cantSplit/>
          <w:trHeight w:val="397"/>
          <w:jc w:val="center"/>
        </w:trPr>
        <w:tc>
          <w:tcPr>
            <w:tcW w:w="2048" w:type="dxa"/>
            <w:vAlign w:val="center"/>
          </w:tcPr>
          <w:p w14:paraId="1830F34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937" w:type="dxa"/>
            <w:vAlign w:val="center"/>
          </w:tcPr>
          <w:p w14:paraId="28F090A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0.19</w:t>
            </w:r>
          </w:p>
        </w:tc>
        <w:tc>
          <w:tcPr>
            <w:tcW w:w="1937" w:type="dxa"/>
            <w:vAlign w:val="center"/>
          </w:tcPr>
          <w:p w14:paraId="2FEB200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0.20</w:t>
            </w:r>
          </w:p>
        </w:tc>
        <w:tc>
          <w:tcPr>
            <w:tcW w:w="1938" w:type="dxa"/>
            <w:vAlign w:val="center"/>
          </w:tcPr>
          <w:p w14:paraId="6A397F7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0.18</w:t>
            </w:r>
          </w:p>
        </w:tc>
        <w:tc>
          <w:tcPr>
            <w:tcW w:w="1211" w:type="dxa"/>
            <w:vAlign w:val="center"/>
          </w:tcPr>
          <w:p w14:paraId="3ADB016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9469FE9" w14:textId="77777777">
        <w:trPr>
          <w:cantSplit/>
          <w:trHeight w:val="397"/>
          <w:jc w:val="center"/>
        </w:trPr>
        <w:tc>
          <w:tcPr>
            <w:tcW w:w="2048" w:type="dxa"/>
            <w:vAlign w:val="center"/>
          </w:tcPr>
          <w:p w14:paraId="3FEBCD8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937" w:type="dxa"/>
            <w:vAlign w:val="center"/>
          </w:tcPr>
          <w:p w14:paraId="5437E13F"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0.22</w:t>
            </w:r>
          </w:p>
        </w:tc>
        <w:tc>
          <w:tcPr>
            <w:tcW w:w="1937" w:type="dxa"/>
            <w:vAlign w:val="center"/>
          </w:tcPr>
          <w:p w14:paraId="7EC912B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0.29</w:t>
            </w:r>
          </w:p>
        </w:tc>
        <w:tc>
          <w:tcPr>
            <w:tcW w:w="1938" w:type="dxa"/>
            <w:vAlign w:val="center"/>
          </w:tcPr>
          <w:p w14:paraId="02E0C93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0.32</w:t>
            </w:r>
          </w:p>
        </w:tc>
        <w:tc>
          <w:tcPr>
            <w:tcW w:w="1211" w:type="dxa"/>
            <w:vAlign w:val="center"/>
          </w:tcPr>
          <w:p w14:paraId="0494BDE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6BAC474" w14:textId="77777777">
        <w:trPr>
          <w:cantSplit/>
          <w:trHeight w:val="397"/>
          <w:jc w:val="center"/>
        </w:trPr>
        <w:tc>
          <w:tcPr>
            <w:tcW w:w="2048" w:type="dxa"/>
            <w:vAlign w:val="center"/>
          </w:tcPr>
          <w:p w14:paraId="05719FA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硒</w:t>
            </w:r>
          </w:p>
        </w:tc>
        <w:tc>
          <w:tcPr>
            <w:tcW w:w="1937" w:type="dxa"/>
            <w:vAlign w:val="center"/>
          </w:tcPr>
          <w:p w14:paraId="73078BEF"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0.001</w:t>
            </w:r>
          </w:p>
        </w:tc>
        <w:tc>
          <w:tcPr>
            <w:tcW w:w="1937" w:type="dxa"/>
            <w:vAlign w:val="center"/>
          </w:tcPr>
          <w:p w14:paraId="039032B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938" w:type="dxa"/>
            <w:vAlign w:val="center"/>
          </w:tcPr>
          <w:p w14:paraId="4DF700C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211" w:type="dxa"/>
            <w:vAlign w:val="center"/>
          </w:tcPr>
          <w:p w14:paraId="17E5D22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AF42214" w14:textId="77777777">
        <w:trPr>
          <w:cantSplit/>
          <w:trHeight w:val="397"/>
          <w:jc w:val="center"/>
        </w:trPr>
        <w:tc>
          <w:tcPr>
            <w:tcW w:w="2048" w:type="dxa"/>
            <w:vAlign w:val="center"/>
          </w:tcPr>
          <w:p w14:paraId="260F842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lastRenderedPageBreak/>
              <w:t>砷</w:t>
            </w:r>
          </w:p>
        </w:tc>
        <w:tc>
          <w:tcPr>
            <w:tcW w:w="1937" w:type="dxa"/>
            <w:vAlign w:val="center"/>
          </w:tcPr>
          <w:p w14:paraId="3C4CFF1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937" w:type="dxa"/>
            <w:vAlign w:val="center"/>
          </w:tcPr>
          <w:p w14:paraId="70E20C8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938" w:type="dxa"/>
            <w:vAlign w:val="center"/>
          </w:tcPr>
          <w:p w14:paraId="2B07CA0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211" w:type="dxa"/>
            <w:vAlign w:val="center"/>
          </w:tcPr>
          <w:p w14:paraId="64DF05F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C6D52E5" w14:textId="77777777">
        <w:trPr>
          <w:cantSplit/>
          <w:trHeight w:val="397"/>
          <w:jc w:val="center"/>
        </w:trPr>
        <w:tc>
          <w:tcPr>
            <w:tcW w:w="2048" w:type="dxa"/>
            <w:vAlign w:val="center"/>
          </w:tcPr>
          <w:p w14:paraId="62CC3B3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总</w:t>
            </w:r>
            <w:r>
              <w:rPr>
                <w:rFonts w:ascii="Times New Roman" w:eastAsia="宋体" w:hAnsi="Times New Roman" w:cs="Times New Roman"/>
                <w:sz w:val="21"/>
                <w:lang w:bidi="ar"/>
              </w:rPr>
              <w:t>汞</w:t>
            </w:r>
          </w:p>
        </w:tc>
        <w:tc>
          <w:tcPr>
            <w:tcW w:w="1937" w:type="dxa"/>
            <w:vAlign w:val="center"/>
          </w:tcPr>
          <w:p w14:paraId="5007D683"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7" w:type="dxa"/>
            <w:vAlign w:val="center"/>
          </w:tcPr>
          <w:p w14:paraId="57BD484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8" w:type="dxa"/>
            <w:vAlign w:val="center"/>
          </w:tcPr>
          <w:p w14:paraId="138A2907"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0.00002L</w:t>
            </w:r>
          </w:p>
        </w:tc>
        <w:tc>
          <w:tcPr>
            <w:tcW w:w="1211" w:type="dxa"/>
            <w:vAlign w:val="center"/>
          </w:tcPr>
          <w:p w14:paraId="3654C09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A77ACE3" w14:textId="77777777">
        <w:trPr>
          <w:cantSplit/>
          <w:trHeight w:val="397"/>
          <w:jc w:val="center"/>
        </w:trPr>
        <w:tc>
          <w:tcPr>
            <w:tcW w:w="2048" w:type="dxa"/>
            <w:vAlign w:val="center"/>
          </w:tcPr>
          <w:p w14:paraId="3912069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镉</w:t>
            </w:r>
          </w:p>
        </w:tc>
        <w:tc>
          <w:tcPr>
            <w:tcW w:w="1937" w:type="dxa"/>
            <w:vAlign w:val="center"/>
          </w:tcPr>
          <w:p w14:paraId="0392A765"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7" w:type="dxa"/>
            <w:vAlign w:val="center"/>
          </w:tcPr>
          <w:p w14:paraId="2C2C827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8" w:type="dxa"/>
            <w:vAlign w:val="center"/>
          </w:tcPr>
          <w:p w14:paraId="4294FE18"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0.0001L</w:t>
            </w:r>
          </w:p>
        </w:tc>
        <w:tc>
          <w:tcPr>
            <w:tcW w:w="1211" w:type="dxa"/>
            <w:vAlign w:val="center"/>
          </w:tcPr>
          <w:p w14:paraId="68E4BEC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AC95688" w14:textId="77777777">
        <w:trPr>
          <w:cantSplit/>
          <w:trHeight w:val="397"/>
          <w:jc w:val="center"/>
        </w:trPr>
        <w:tc>
          <w:tcPr>
            <w:tcW w:w="2048" w:type="dxa"/>
            <w:vAlign w:val="center"/>
          </w:tcPr>
          <w:p w14:paraId="4C305D1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六价铬</w:t>
            </w:r>
          </w:p>
        </w:tc>
        <w:tc>
          <w:tcPr>
            <w:tcW w:w="1937" w:type="dxa"/>
            <w:vAlign w:val="center"/>
          </w:tcPr>
          <w:p w14:paraId="766F8F38"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30D6581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29FD86C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7E284AC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D89BF9E" w14:textId="77777777">
        <w:trPr>
          <w:cantSplit/>
          <w:trHeight w:val="397"/>
          <w:jc w:val="center"/>
        </w:trPr>
        <w:tc>
          <w:tcPr>
            <w:tcW w:w="2048" w:type="dxa"/>
            <w:vAlign w:val="center"/>
          </w:tcPr>
          <w:p w14:paraId="4909A00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铅</w:t>
            </w:r>
          </w:p>
        </w:tc>
        <w:tc>
          <w:tcPr>
            <w:tcW w:w="1937" w:type="dxa"/>
            <w:vAlign w:val="center"/>
          </w:tcPr>
          <w:p w14:paraId="114E34A5"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7" w:type="dxa"/>
            <w:vAlign w:val="center"/>
          </w:tcPr>
          <w:p w14:paraId="0046659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8" w:type="dxa"/>
            <w:vAlign w:val="center"/>
          </w:tcPr>
          <w:p w14:paraId="27B384C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211" w:type="dxa"/>
            <w:vAlign w:val="center"/>
          </w:tcPr>
          <w:p w14:paraId="2CF8BD7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12A9776" w14:textId="77777777">
        <w:trPr>
          <w:cantSplit/>
          <w:trHeight w:val="397"/>
          <w:jc w:val="center"/>
        </w:trPr>
        <w:tc>
          <w:tcPr>
            <w:tcW w:w="2048" w:type="dxa"/>
            <w:vAlign w:val="center"/>
          </w:tcPr>
          <w:p w14:paraId="0889097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937" w:type="dxa"/>
            <w:vAlign w:val="center"/>
          </w:tcPr>
          <w:p w14:paraId="0C3DA1E8"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3378FC2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436F1B5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1878E65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1259CFD" w14:textId="77777777">
        <w:trPr>
          <w:cantSplit/>
          <w:trHeight w:val="397"/>
          <w:jc w:val="center"/>
        </w:trPr>
        <w:tc>
          <w:tcPr>
            <w:tcW w:w="2048" w:type="dxa"/>
            <w:vAlign w:val="center"/>
          </w:tcPr>
          <w:p w14:paraId="0A01789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937" w:type="dxa"/>
            <w:vAlign w:val="center"/>
          </w:tcPr>
          <w:p w14:paraId="757CE47E"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7" w:type="dxa"/>
            <w:vAlign w:val="center"/>
          </w:tcPr>
          <w:p w14:paraId="53569E3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8" w:type="dxa"/>
            <w:vAlign w:val="center"/>
          </w:tcPr>
          <w:p w14:paraId="3D00D2A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211" w:type="dxa"/>
            <w:vAlign w:val="center"/>
          </w:tcPr>
          <w:p w14:paraId="639DA09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C4D38A4" w14:textId="77777777">
        <w:trPr>
          <w:cantSplit/>
          <w:trHeight w:val="397"/>
          <w:jc w:val="center"/>
        </w:trPr>
        <w:tc>
          <w:tcPr>
            <w:tcW w:w="2048" w:type="dxa"/>
            <w:vAlign w:val="center"/>
          </w:tcPr>
          <w:p w14:paraId="0B04663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937" w:type="dxa"/>
            <w:vAlign w:val="center"/>
          </w:tcPr>
          <w:p w14:paraId="42D2DAD9"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2E22828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7CF5A09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761EF29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1DB8201" w14:textId="77777777">
        <w:trPr>
          <w:cantSplit/>
          <w:trHeight w:val="397"/>
          <w:jc w:val="center"/>
        </w:trPr>
        <w:tc>
          <w:tcPr>
            <w:tcW w:w="2048" w:type="dxa"/>
            <w:vAlign w:val="center"/>
          </w:tcPr>
          <w:p w14:paraId="59829E7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937" w:type="dxa"/>
            <w:vAlign w:val="center"/>
          </w:tcPr>
          <w:p w14:paraId="0305AECC"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0C0F75B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4824C54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45B0272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84B118E" w14:textId="77777777">
        <w:trPr>
          <w:cantSplit/>
          <w:trHeight w:val="397"/>
          <w:jc w:val="center"/>
        </w:trPr>
        <w:tc>
          <w:tcPr>
            <w:tcW w:w="2048" w:type="dxa"/>
            <w:vAlign w:val="center"/>
          </w:tcPr>
          <w:p w14:paraId="2D170AA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937" w:type="dxa"/>
            <w:vAlign w:val="center"/>
          </w:tcPr>
          <w:p w14:paraId="67FF60AF"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4B2CFB2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17AB0DD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183F87D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0184446" w14:textId="77777777">
        <w:trPr>
          <w:cantSplit/>
          <w:trHeight w:val="397"/>
          <w:jc w:val="center"/>
        </w:trPr>
        <w:tc>
          <w:tcPr>
            <w:tcW w:w="2048" w:type="dxa"/>
            <w:vAlign w:val="center"/>
          </w:tcPr>
          <w:p w14:paraId="52ED553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937" w:type="dxa"/>
            <w:vAlign w:val="center"/>
          </w:tcPr>
          <w:p w14:paraId="75EC117F"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3.2</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7" w:type="dxa"/>
            <w:vAlign w:val="center"/>
          </w:tcPr>
          <w:p w14:paraId="7C683D8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3.1</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8" w:type="dxa"/>
            <w:vAlign w:val="center"/>
          </w:tcPr>
          <w:p w14:paraId="460C6E2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4.5</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211" w:type="dxa"/>
            <w:vAlign w:val="center"/>
          </w:tcPr>
          <w:p w14:paraId="65EBBF5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075484A5" w14:textId="77777777">
        <w:trPr>
          <w:cantSplit/>
          <w:trHeight w:val="397"/>
          <w:jc w:val="center"/>
        </w:trPr>
        <w:tc>
          <w:tcPr>
            <w:tcW w:w="2048" w:type="dxa"/>
            <w:vAlign w:val="center"/>
          </w:tcPr>
          <w:p w14:paraId="5DFFF8D6"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937" w:type="dxa"/>
            <w:vAlign w:val="center"/>
          </w:tcPr>
          <w:p w14:paraId="3FFA078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11.1</w:t>
            </w:r>
          </w:p>
        </w:tc>
        <w:tc>
          <w:tcPr>
            <w:tcW w:w="1937" w:type="dxa"/>
            <w:vAlign w:val="center"/>
          </w:tcPr>
          <w:p w14:paraId="760095F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11.2</w:t>
            </w:r>
          </w:p>
        </w:tc>
        <w:tc>
          <w:tcPr>
            <w:tcW w:w="1938" w:type="dxa"/>
            <w:vAlign w:val="center"/>
          </w:tcPr>
          <w:p w14:paraId="0F854A1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11.7</w:t>
            </w:r>
          </w:p>
        </w:tc>
        <w:tc>
          <w:tcPr>
            <w:tcW w:w="1211" w:type="dxa"/>
            <w:vAlign w:val="center"/>
          </w:tcPr>
          <w:p w14:paraId="07775069"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50715FC5" w14:textId="77777777" w:rsidR="009D12AF" w:rsidRDefault="00000000">
      <w:pPr>
        <w:ind w:firstLine="482"/>
        <w:jc w:val="center"/>
        <w:rPr>
          <w:b/>
          <w:bCs/>
        </w:rPr>
      </w:pPr>
      <w:r>
        <w:rPr>
          <w:rFonts w:hint="eastAsia"/>
          <w:b/>
          <w:bCs/>
        </w:rPr>
        <w:t>表</w:t>
      </w:r>
      <w:r>
        <w:rPr>
          <w:rFonts w:hint="eastAsia"/>
          <w:b/>
          <w:bCs/>
        </w:rPr>
        <w:t>4.3-8</w:t>
      </w:r>
      <w:r>
        <w:rPr>
          <w:rFonts w:hint="eastAsia"/>
          <w:b/>
          <w:bCs/>
        </w:rPr>
        <w:t>（</w:t>
      </w:r>
      <w:r>
        <w:rPr>
          <w:rFonts w:hint="eastAsia"/>
          <w:b/>
          <w:bCs/>
        </w:rPr>
        <w:t>3</w:t>
      </w:r>
      <w:r>
        <w:rPr>
          <w:rFonts w:hint="eastAsia"/>
          <w:b/>
          <w:bCs/>
        </w:rPr>
        <w:t>）</w:t>
      </w:r>
      <w:r>
        <w:rPr>
          <w:rFonts w:hint="eastAsia"/>
          <w:b/>
          <w:bCs/>
        </w:rPr>
        <w:t xml:space="preserve">  </w:t>
      </w:r>
      <w:r>
        <w:rPr>
          <w:rFonts w:hint="eastAsia"/>
          <w:b/>
          <w:bCs/>
        </w:rPr>
        <w:t>长石水库地表水环境监测结果</w:t>
      </w:r>
    </w:p>
    <w:tbl>
      <w:tblPr>
        <w:tblW w:w="907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048"/>
        <w:gridCol w:w="1937"/>
        <w:gridCol w:w="1937"/>
        <w:gridCol w:w="1938"/>
        <w:gridCol w:w="1211"/>
      </w:tblGrid>
      <w:tr w:rsidR="009D12AF" w14:paraId="4F67E315" w14:textId="77777777">
        <w:trPr>
          <w:cantSplit/>
          <w:trHeight w:val="397"/>
          <w:jc w:val="center"/>
        </w:trPr>
        <w:tc>
          <w:tcPr>
            <w:tcW w:w="2048" w:type="dxa"/>
            <w:vAlign w:val="center"/>
          </w:tcPr>
          <w:p w14:paraId="2873DA64"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937" w:type="dxa"/>
            <w:tcBorders>
              <w:bottom w:val="single" w:sz="8" w:space="0" w:color="auto"/>
            </w:tcBorders>
            <w:vAlign w:val="center"/>
          </w:tcPr>
          <w:p w14:paraId="7F8DEF4A"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rPr>
              <w:t>2025.10.07</w:t>
            </w:r>
          </w:p>
        </w:tc>
        <w:tc>
          <w:tcPr>
            <w:tcW w:w="1937" w:type="dxa"/>
            <w:tcBorders>
              <w:bottom w:val="single" w:sz="8" w:space="0" w:color="auto"/>
            </w:tcBorders>
            <w:vAlign w:val="center"/>
          </w:tcPr>
          <w:p w14:paraId="0321D63C"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938" w:type="dxa"/>
            <w:tcBorders>
              <w:bottom w:val="single" w:sz="8" w:space="0" w:color="auto"/>
            </w:tcBorders>
            <w:vAlign w:val="center"/>
          </w:tcPr>
          <w:p w14:paraId="44246216"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1211" w:type="dxa"/>
            <w:tcBorders>
              <w:bottom w:val="single" w:sz="8" w:space="0" w:color="auto"/>
            </w:tcBorders>
            <w:vAlign w:val="center"/>
          </w:tcPr>
          <w:p w14:paraId="42D3B8DE"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w:t>
            </w:r>
          </w:p>
        </w:tc>
      </w:tr>
      <w:tr w:rsidR="009D12AF" w14:paraId="59C6F12D" w14:textId="77777777">
        <w:trPr>
          <w:cantSplit/>
          <w:trHeight w:val="397"/>
          <w:jc w:val="center"/>
        </w:trPr>
        <w:tc>
          <w:tcPr>
            <w:tcW w:w="2048" w:type="dxa"/>
            <w:tcBorders>
              <w:bottom w:val="single" w:sz="8" w:space="0" w:color="auto"/>
            </w:tcBorders>
            <w:vAlign w:val="center"/>
          </w:tcPr>
          <w:p w14:paraId="5F7F6C93"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5812" w:type="dxa"/>
            <w:gridSpan w:val="3"/>
            <w:tcBorders>
              <w:top w:val="single" w:sz="8" w:space="0" w:color="auto"/>
              <w:bottom w:val="single" w:sz="8" w:space="0" w:color="auto"/>
            </w:tcBorders>
            <w:vAlign w:val="center"/>
          </w:tcPr>
          <w:p w14:paraId="36753C56"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rPr>
              <w:t>长石水库</w:t>
            </w:r>
            <w:r>
              <w:rPr>
                <w:rFonts w:ascii="Times New Roman" w:hAnsi="Times New Roman" w:cs="Times New Roman"/>
                <w:b/>
                <w:bCs/>
              </w:rPr>
              <w:t>2#</w:t>
            </w:r>
            <w:r>
              <w:rPr>
                <w:rFonts w:ascii="Times New Roman" w:hAnsi="Times New Roman" w:cs="Times New Roman" w:hint="eastAsia"/>
                <w:b/>
                <w:bCs/>
              </w:rPr>
              <w:t>（水面下</w:t>
            </w:r>
            <w:r>
              <w:rPr>
                <w:rFonts w:ascii="Times New Roman" w:hAnsi="Times New Roman" w:cs="Times New Roman" w:hint="eastAsia"/>
                <w:b/>
                <w:bCs/>
              </w:rPr>
              <w:t>0.5m</w:t>
            </w:r>
            <w:r>
              <w:rPr>
                <w:rFonts w:ascii="Times New Roman" w:hAnsi="Times New Roman" w:cs="Times New Roman" w:hint="eastAsia"/>
                <w:b/>
                <w:bCs/>
              </w:rPr>
              <w:t>）</w:t>
            </w:r>
          </w:p>
        </w:tc>
        <w:tc>
          <w:tcPr>
            <w:tcW w:w="1211" w:type="dxa"/>
            <w:tcBorders>
              <w:top w:val="single" w:sz="8" w:space="0" w:color="auto"/>
              <w:bottom w:val="single" w:sz="8" w:space="0" w:color="auto"/>
            </w:tcBorders>
            <w:vAlign w:val="center"/>
          </w:tcPr>
          <w:p w14:paraId="4A988F86"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kern w:val="0"/>
                <w:szCs w:val="21"/>
              </w:rPr>
              <w:t>/</w:t>
            </w:r>
          </w:p>
        </w:tc>
      </w:tr>
      <w:tr w:rsidR="009D12AF" w14:paraId="44DEC366" w14:textId="77777777">
        <w:trPr>
          <w:cantSplit/>
          <w:trHeight w:val="397"/>
          <w:jc w:val="center"/>
        </w:trPr>
        <w:tc>
          <w:tcPr>
            <w:tcW w:w="2048" w:type="dxa"/>
            <w:vAlign w:val="center"/>
          </w:tcPr>
          <w:p w14:paraId="401F41F6"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检测项目</w:t>
            </w:r>
          </w:p>
        </w:tc>
        <w:tc>
          <w:tcPr>
            <w:tcW w:w="5812" w:type="dxa"/>
            <w:gridSpan w:val="3"/>
            <w:tcBorders>
              <w:top w:val="single" w:sz="8" w:space="0" w:color="auto"/>
              <w:bottom w:val="single" w:sz="8" w:space="0" w:color="auto"/>
            </w:tcBorders>
            <w:vAlign w:val="center"/>
          </w:tcPr>
          <w:p w14:paraId="0A324274"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kern w:val="0"/>
                <w:szCs w:val="21"/>
              </w:rPr>
              <w:t>检测结果</w:t>
            </w:r>
          </w:p>
        </w:tc>
        <w:tc>
          <w:tcPr>
            <w:tcW w:w="1211" w:type="dxa"/>
            <w:tcBorders>
              <w:top w:val="single" w:sz="8" w:space="0" w:color="auto"/>
              <w:bottom w:val="single" w:sz="8" w:space="0" w:color="auto"/>
            </w:tcBorders>
            <w:vAlign w:val="center"/>
          </w:tcPr>
          <w:p w14:paraId="452C0593"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单位</w:t>
            </w:r>
          </w:p>
        </w:tc>
      </w:tr>
      <w:tr w:rsidR="009D12AF" w14:paraId="722AB3AB" w14:textId="77777777">
        <w:trPr>
          <w:cantSplit/>
          <w:trHeight w:val="397"/>
          <w:jc w:val="center"/>
        </w:trPr>
        <w:tc>
          <w:tcPr>
            <w:tcW w:w="2048" w:type="dxa"/>
            <w:vAlign w:val="center"/>
          </w:tcPr>
          <w:p w14:paraId="30FB0895"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937" w:type="dxa"/>
            <w:tcBorders>
              <w:top w:val="single" w:sz="8" w:space="0" w:color="auto"/>
              <w:bottom w:val="single" w:sz="8" w:space="0" w:color="auto"/>
            </w:tcBorders>
            <w:vAlign w:val="center"/>
          </w:tcPr>
          <w:p w14:paraId="2984FE8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250940DB0501D1</w:t>
            </w:r>
          </w:p>
        </w:tc>
        <w:tc>
          <w:tcPr>
            <w:tcW w:w="1937" w:type="dxa"/>
            <w:tcBorders>
              <w:top w:val="single" w:sz="8" w:space="0" w:color="auto"/>
              <w:bottom w:val="single" w:sz="8" w:space="0" w:color="auto"/>
            </w:tcBorders>
            <w:vAlign w:val="center"/>
          </w:tcPr>
          <w:p w14:paraId="6E24E53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250940DB0501D2</w:t>
            </w:r>
          </w:p>
        </w:tc>
        <w:tc>
          <w:tcPr>
            <w:tcW w:w="1938" w:type="dxa"/>
            <w:tcBorders>
              <w:top w:val="single" w:sz="8" w:space="0" w:color="auto"/>
              <w:bottom w:val="single" w:sz="8" w:space="0" w:color="auto"/>
            </w:tcBorders>
            <w:vAlign w:val="center"/>
          </w:tcPr>
          <w:p w14:paraId="187B6CD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250940DB0501D3</w:t>
            </w:r>
          </w:p>
        </w:tc>
        <w:tc>
          <w:tcPr>
            <w:tcW w:w="1211" w:type="dxa"/>
            <w:tcBorders>
              <w:top w:val="single" w:sz="8" w:space="0" w:color="auto"/>
              <w:bottom w:val="single" w:sz="8" w:space="0" w:color="auto"/>
            </w:tcBorders>
            <w:vAlign w:val="center"/>
          </w:tcPr>
          <w:p w14:paraId="520A59F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27790A35" w14:textId="77777777">
        <w:trPr>
          <w:cantSplit/>
          <w:trHeight w:val="397"/>
          <w:jc w:val="center"/>
        </w:trPr>
        <w:tc>
          <w:tcPr>
            <w:tcW w:w="2048" w:type="dxa"/>
            <w:vAlign w:val="center"/>
          </w:tcPr>
          <w:p w14:paraId="6B3B9DE1"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937" w:type="dxa"/>
            <w:tcBorders>
              <w:top w:val="single" w:sz="8" w:space="0" w:color="auto"/>
              <w:bottom w:val="single" w:sz="8" w:space="0" w:color="auto"/>
            </w:tcBorders>
            <w:vAlign w:val="center"/>
          </w:tcPr>
          <w:p w14:paraId="6924BD31"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7.5</w:t>
            </w:r>
          </w:p>
        </w:tc>
        <w:tc>
          <w:tcPr>
            <w:tcW w:w="1937" w:type="dxa"/>
            <w:tcBorders>
              <w:top w:val="single" w:sz="8" w:space="0" w:color="auto"/>
              <w:bottom w:val="single" w:sz="8" w:space="0" w:color="auto"/>
            </w:tcBorders>
            <w:vAlign w:val="center"/>
          </w:tcPr>
          <w:p w14:paraId="417AF5C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7.7</w:t>
            </w:r>
          </w:p>
        </w:tc>
        <w:tc>
          <w:tcPr>
            <w:tcW w:w="1938" w:type="dxa"/>
            <w:tcBorders>
              <w:top w:val="single" w:sz="8" w:space="0" w:color="auto"/>
              <w:bottom w:val="single" w:sz="8" w:space="0" w:color="auto"/>
            </w:tcBorders>
            <w:vAlign w:val="center"/>
          </w:tcPr>
          <w:p w14:paraId="2533287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7.6</w:t>
            </w:r>
          </w:p>
        </w:tc>
        <w:tc>
          <w:tcPr>
            <w:tcW w:w="1211" w:type="dxa"/>
            <w:tcBorders>
              <w:top w:val="single" w:sz="8" w:space="0" w:color="auto"/>
              <w:bottom w:val="single" w:sz="8" w:space="0" w:color="auto"/>
            </w:tcBorders>
            <w:vAlign w:val="center"/>
          </w:tcPr>
          <w:p w14:paraId="36A3080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31C79ADB" w14:textId="77777777">
        <w:trPr>
          <w:cantSplit/>
          <w:trHeight w:val="397"/>
          <w:jc w:val="center"/>
        </w:trPr>
        <w:tc>
          <w:tcPr>
            <w:tcW w:w="2048" w:type="dxa"/>
            <w:vAlign w:val="center"/>
          </w:tcPr>
          <w:p w14:paraId="6989562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937" w:type="dxa"/>
            <w:vAlign w:val="center"/>
          </w:tcPr>
          <w:p w14:paraId="54BB6AF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3.7</w:t>
            </w:r>
          </w:p>
        </w:tc>
        <w:tc>
          <w:tcPr>
            <w:tcW w:w="1937" w:type="dxa"/>
            <w:vAlign w:val="center"/>
          </w:tcPr>
          <w:p w14:paraId="35035A2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2.9</w:t>
            </w:r>
          </w:p>
        </w:tc>
        <w:tc>
          <w:tcPr>
            <w:tcW w:w="1938" w:type="dxa"/>
            <w:vAlign w:val="center"/>
          </w:tcPr>
          <w:p w14:paraId="5CA73F0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4.0</w:t>
            </w:r>
          </w:p>
        </w:tc>
        <w:tc>
          <w:tcPr>
            <w:tcW w:w="1211" w:type="dxa"/>
            <w:vAlign w:val="center"/>
          </w:tcPr>
          <w:p w14:paraId="1729986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6772CBC" w14:textId="77777777">
        <w:trPr>
          <w:cantSplit/>
          <w:trHeight w:val="397"/>
          <w:jc w:val="center"/>
        </w:trPr>
        <w:tc>
          <w:tcPr>
            <w:tcW w:w="2048" w:type="dxa"/>
            <w:vAlign w:val="center"/>
          </w:tcPr>
          <w:p w14:paraId="518C805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937" w:type="dxa"/>
            <w:vAlign w:val="center"/>
          </w:tcPr>
          <w:p w14:paraId="1623D5E8"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6.4</w:t>
            </w:r>
          </w:p>
        </w:tc>
        <w:tc>
          <w:tcPr>
            <w:tcW w:w="1937" w:type="dxa"/>
            <w:vAlign w:val="center"/>
          </w:tcPr>
          <w:p w14:paraId="77D1F26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6.7</w:t>
            </w:r>
          </w:p>
        </w:tc>
        <w:tc>
          <w:tcPr>
            <w:tcW w:w="1938" w:type="dxa"/>
            <w:vAlign w:val="center"/>
          </w:tcPr>
          <w:p w14:paraId="4C4C6FE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6.9</w:t>
            </w:r>
          </w:p>
        </w:tc>
        <w:tc>
          <w:tcPr>
            <w:tcW w:w="1211" w:type="dxa"/>
            <w:vAlign w:val="center"/>
          </w:tcPr>
          <w:p w14:paraId="2B6E6DC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3C19CFF" w14:textId="77777777">
        <w:trPr>
          <w:cantSplit/>
          <w:trHeight w:val="397"/>
          <w:jc w:val="center"/>
        </w:trPr>
        <w:tc>
          <w:tcPr>
            <w:tcW w:w="2048" w:type="dxa"/>
            <w:vAlign w:val="center"/>
          </w:tcPr>
          <w:p w14:paraId="64FC0B4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937" w:type="dxa"/>
            <w:vAlign w:val="center"/>
          </w:tcPr>
          <w:p w14:paraId="34497A9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13</w:t>
            </w:r>
          </w:p>
        </w:tc>
        <w:tc>
          <w:tcPr>
            <w:tcW w:w="1937" w:type="dxa"/>
            <w:vAlign w:val="center"/>
          </w:tcPr>
          <w:p w14:paraId="01F1880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11</w:t>
            </w:r>
          </w:p>
        </w:tc>
        <w:tc>
          <w:tcPr>
            <w:tcW w:w="1938" w:type="dxa"/>
            <w:vAlign w:val="center"/>
          </w:tcPr>
          <w:p w14:paraId="29FBD70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15</w:t>
            </w:r>
          </w:p>
        </w:tc>
        <w:tc>
          <w:tcPr>
            <w:tcW w:w="1211" w:type="dxa"/>
            <w:vAlign w:val="center"/>
          </w:tcPr>
          <w:p w14:paraId="3D74C54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9098BBC" w14:textId="77777777">
        <w:trPr>
          <w:cantSplit/>
          <w:trHeight w:val="397"/>
          <w:jc w:val="center"/>
        </w:trPr>
        <w:tc>
          <w:tcPr>
            <w:tcW w:w="2048" w:type="dxa"/>
            <w:vAlign w:val="center"/>
          </w:tcPr>
          <w:p w14:paraId="75B0B8C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937" w:type="dxa"/>
            <w:vAlign w:val="center"/>
          </w:tcPr>
          <w:p w14:paraId="17AE8C55" w14:textId="77777777" w:rsidR="009D12AF" w:rsidRDefault="00000000">
            <w:pPr>
              <w:widowControl/>
              <w:ind w:firstLineChars="0" w:firstLine="0"/>
              <w:jc w:val="center"/>
              <w:textAlignment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4.8</w:t>
            </w:r>
          </w:p>
        </w:tc>
        <w:tc>
          <w:tcPr>
            <w:tcW w:w="1937" w:type="dxa"/>
            <w:vAlign w:val="center"/>
          </w:tcPr>
          <w:p w14:paraId="1E4A561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4.4</w:t>
            </w:r>
          </w:p>
        </w:tc>
        <w:tc>
          <w:tcPr>
            <w:tcW w:w="1938" w:type="dxa"/>
            <w:vAlign w:val="center"/>
          </w:tcPr>
          <w:p w14:paraId="24D5BFE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5.9</w:t>
            </w:r>
          </w:p>
        </w:tc>
        <w:tc>
          <w:tcPr>
            <w:tcW w:w="1211" w:type="dxa"/>
            <w:vAlign w:val="center"/>
          </w:tcPr>
          <w:p w14:paraId="3730751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A827AEA" w14:textId="77777777">
        <w:trPr>
          <w:cantSplit/>
          <w:trHeight w:val="397"/>
          <w:jc w:val="center"/>
        </w:trPr>
        <w:tc>
          <w:tcPr>
            <w:tcW w:w="2048" w:type="dxa"/>
            <w:vAlign w:val="center"/>
          </w:tcPr>
          <w:p w14:paraId="5E429FF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937" w:type="dxa"/>
            <w:vAlign w:val="center"/>
          </w:tcPr>
          <w:p w14:paraId="3CFF7317" w14:textId="77777777" w:rsidR="009D12AF" w:rsidRDefault="00000000">
            <w:pPr>
              <w:widowControl/>
              <w:ind w:firstLineChars="0" w:firstLine="0"/>
              <w:jc w:val="center"/>
              <w:textAlignment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0.439</w:t>
            </w:r>
          </w:p>
        </w:tc>
        <w:tc>
          <w:tcPr>
            <w:tcW w:w="1937" w:type="dxa"/>
            <w:vAlign w:val="center"/>
          </w:tcPr>
          <w:p w14:paraId="2EEF013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0.452</w:t>
            </w:r>
          </w:p>
        </w:tc>
        <w:tc>
          <w:tcPr>
            <w:tcW w:w="1938" w:type="dxa"/>
            <w:vAlign w:val="center"/>
          </w:tcPr>
          <w:p w14:paraId="220E55E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0.470</w:t>
            </w:r>
          </w:p>
        </w:tc>
        <w:tc>
          <w:tcPr>
            <w:tcW w:w="1211" w:type="dxa"/>
            <w:vAlign w:val="center"/>
          </w:tcPr>
          <w:p w14:paraId="1B01436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8D6B1FE" w14:textId="77777777">
        <w:trPr>
          <w:cantSplit/>
          <w:trHeight w:val="397"/>
          <w:jc w:val="center"/>
        </w:trPr>
        <w:tc>
          <w:tcPr>
            <w:tcW w:w="2048" w:type="dxa"/>
            <w:vAlign w:val="center"/>
          </w:tcPr>
          <w:p w14:paraId="1AB22FF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937" w:type="dxa"/>
            <w:vAlign w:val="center"/>
          </w:tcPr>
          <w:p w14:paraId="40E6B8C0" w14:textId="77777777" w:rsidR="009D12AF" w:rsidRDefault="00000000">
            <w:pPr>
              <w:widowControl/>
              <w:spacing w:line="240" w:lineRule="exact"/>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0.11</w:t>
            </w:r>
          </w:p>
        </w:tc>
        <w:tc>
          <w:tcPr>
            <w:tcW w:w="1937" w:type="dxa"/>
            <w:vAlign w:val="center"/>
          </w:tcPr>
          <w:p w14:paraId="6E4A630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0.12</w:t>
            </w:r>
          </w:p>
        </w:tc>
        <w:tc>
          <w:tcPr>
            <w:tcW w:w="1938" w:type="dxa"/>
            <w:vAlign w:val="center"/>
          </w:tcPr>
          <w:p w14:paraId="36C710F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0.13</w:t>
            </w:r>
          </w:p>
        </w:tc>
        <w:tc>
          <w:tcPr>
            <w:tcW w:w="1211" w:type="dxa"/>
            <w:vAlign w:val="center"/>
          </w:tcPr>
          <w:p w14:paraId="0DE2976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1F88725" w14:textId="77777777">
        <w:trPr>
          <w:cantSplit/>
          <w:trHeight w:val="397"/>
          <w:jc w:val="center"/>
        </w:trPr>
        <w:tc>
          <w:tcPr>
            <w:tcW w:w="2048" w:type="dxa"/>
            <w:vAlign w:val="center"/>
          </w:tcPr>
          <w:p w14:paraId="6F772ED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937" w:type="dxa"/>
            <w:vAlign w:val="center"/>
          </w:tcPr>
          <w:p w14:paraId="4A4DF36F"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1.79</w:t>
            </w:r>
          </w:p>
        </w:tc>
        <w:tc>
          <w:tcPr>
            <w:tcW w:w="1937" w:type="dxa"/>
            <w:vAlign w:val="center"/>
          </w:tcPr>
          <w:p w14:paraId="2B80BBA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1.63</w:t>
            </w:r>
          </w:p>
        </w:tc>
        <w:tc>
          <w:tcPr>
            <w:tcW w:w="1938" w:type="dxa"/>
            <w:vAlign w:val="center"/>
          </w:tcPr>
          <w:p w14:paraId="04AC80D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1.87</w:t>
            </w:r>
          </w:p>
        </w:tc>
        <w:tc>
          <w:tcPr>
            <w:tcW w:w="1211" w:type="dxa"/>
            <w:vAlign w:val="center"/>
          </w:tcPr>
          <w:p w14:paraId="68D86DC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A50B0A4" w14:textId="77777777">
        <w:trPr>
          <w:cantSplit/>
          <w:trHeight w:val="397"/>
          <w:jc w:val="center"/>
        </w:trPr>
        <w:tc>
          <w:tcPr>
            <w:tcW w:w="2048" w:type="dxa"/>
            <w:vAlign w:val="center"/>
          </w:tcPr>
          <w:p w14:paraId="4665691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937" w:type="dxa"/>
            <w:vAlign w:val="center"/>
          </w:tcPr>
          <w:p w14:paraId="3B7D583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52AF27E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249A998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5A012E0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20F3EAB" w14:textId="77777777">
        <w:trPr>
          <w:cantSplit/>
          <w:trHeight w:val="397"/>
          <w:jc w:val="center"/>
        </w:trPr>
        <w:tc>
          <w:tcPr>
            <w:tcW w:w="2048" w:type="dxa"/>
            <w:vAlign w:val="center"/>
          </w:tcPr>
          <w:p w14:paraId="0495707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937" w:type="dxa"/>
            <w:vAlign w:val="center"/>
          </w:tcPr>
          <w:p w14:paraId="7407C2C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0.12</w:t>
            </w:r>
          </w:p>
        </w:tc>
        <w:tc>
          <w:tcPr>
            <w:tcW w:w="1937" w:type="dxa"/>
            <w:vAlign w:val="center"/>
          </w:tcPr>
          <w:p w14:paraId="68C7D4F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0.15</w:t>
            </w:r>
          </w:p>
        </w:tc>
        <w:tc>
          <w:tcPr>
            <w:tcW w:w="1938" w:type="dxa"/>
            <w:vAlign w:val="center"/>
          </w:tcPr>
          <w:p w14:paraId="5542A41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0.10</w:t>
            </w:r>
          </w:p>
        </w:tc>
        <w:tc>
          <w:tcPr>
            <w:tcW w:w="1211" w:type="dxa"/>
            <w:vAlign w:val="center"/>
          </w:tcPr>
          <w:p w14:paraId="789D9FF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2FF5F51" w14:textId="77777777">
        <w:trPr>
          <w:cantSplit/>
          <w:trHeight w:val="397"/>
          <w:jc w:val="center"/>
        </w:trPr>
        <w:tc>
          <w:tcPr>
            <w:tcW w:w="2048" w:type="dxa"/>
            <w:vAlign w:val="center"/>
          </w:tcPr>
          <w:p w14:paraId="2DE401E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937" w:type="dxa"/>
            <w:vAlign w:val="center"/>
          </w:tcPr>
          <w:p w14:paraId="1F2A0EAE"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0.18</w:t>
            </w:r>
          </w:p>
        </w:tc>
        <w:tc>
          <w:tcPr>
            <w:tcW w:w="1937" w:type="dxa"/>
            <w:vAlign w:val="center"/>
          </w:tcPr>
          <w:p w14:paraId="2B81E42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0.15</w:t>
            </w:r>
          </w:p>
        </w:tc>
        <w:tc>
          <w:tcPr>
            <w:tcW w:w="1938" w:type="dxa"/>
            <w:vAlign w:val="center"/>
          </w:tcPr>
          <w:p w14:paraId="311B90A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0.21</w:t>
            </w:r>
          </w:p>
        </w:tc>
        <w:tc>
          <w:tcPr>
            <w:tcW w:w="1211" w:type="dxa"/>
            <w:vAlign w:val="center"/>
          </w:tcPr>
          <w:p w14:paraId="098A202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741E00C" w14:textId="77777777">
        <w:trPr>
          <w:cantSplit/>
          <w:trHeight w:val="397"/>
          <w:jc w:val="center"/>
        </w:trPr>
        <w:tc>
          <w:tcPr>
            <w:tcW w:w="2048" w:type="dxa"/>
            <w:vAlign w:val="center"/>
          </w:tcPr>
          <w:p w14:paraId="69F86B4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硒</w:t>
            </w:r>
          </w:p>
        </w:tc>
        <w:tc>
          <w:tcPr>
            <w:tcW w:w="1937" w:type="dxa"/>
            <w:vAlign w:val="center"/>
          </w:tcPr>
          <w:p w14:paraId="7A38A695"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0.001</w:t>
            </w:r>
          </w:p>
        </w:tc>
        <w:tc>
          <w:tcPr>
            <w:tcW w:w="1937" w:type="dxa"/>
            <w:vAlign w:val="center"/>
          </w:tcPr>
          <w:p w14:paraId="6A5BA4E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938" w:type="dxa"/>
            <w:vAlign w:val="center"/>
          </w:tcPr>
          <w:p w14:paraId="58D1243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211" w:type="dxa"/>
            <w:vAlign w:val="center"/>
          </w:tcPr>
          <w:p w14:paraId="6A67B2C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7341E25" w14:textId="77777777">
        <w:trPr>
          <w:cantSplit/>
          <w:trHeight w:val="397"/>
          <w:jc w:val="center"/>
        </w:trPr>
        <w:tc>
          <w:tcPr>
            <w:tcW w:w="2048" w:type="dxa"/>
            <w:vAlign w:val="center"/>
          </w:tcPr>
          <w:p w14:paraId="253CF3D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lastRenderedPageBreak/>
              <w:t>砷</w:t>
            </w:r>
          </w:p>
        </w:tc>
        <w:tc>
          <w:tcPr>
            <w:tcW w:w="1937" w:type="dxa"/>
            <w:vAlign w:val="center"/>
          </w:tcPr>
          <w:p w14:paraId="2E6363E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937" w:type="dxa"/>
            <w:vAlign w:val="center"/>
          </w:tcPr>
          <w:p w14:paraId="35FBBAB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938" w:type="dxa"/>
            <w:vAlign w:val="center"/>
          </w:tcPr>
          <w:p w14:paraId="153670E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211" w:type="dxa"/>
            <w:vAlign w:val="center"/>
          </w:tcPr>
          <w:p w14:paraId="6496C5E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D158F31" w14:textId="77777777">
        <w:trPr>
          <w:cantSplit/>
          <w:trHeight w:val="397"/>
          <w:jc w:val="center"/>
        </w:trPr>
        <w:tc>
          <w:tcPr>
            <w:tcW w:w="2048" w:type="dxa"/>
            <w:vAlign w:val="center"/>
          </w:tcPr>
          <w:p w14:paraId="75752D6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总</w:t>
            </w:r>
            <w:r>
              <w:rPr>
                <w:rFonts w:ascii="Times New Roman" w:eastAsia="宋体" w:hAnsi="Times New Roman" w:cs="Times New Roman"/>
                <w:sz w:val="21"/>
                <w:lang w:bidi="ar"/>
              </w:rPr>
              <w:t>汞</w:t>
            </w:r>
          </w:p>
        </w:tc>
        <w:tc>
          <w:tcPr>
            <w:tcW w:w="1937" w:type="dxa"/>
            <w:vAlign w:val="center"/>
          </w:tcPr>
          <w:p w14:paraId="2B5AEE6E"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7" w:type="dxa"/>
            <w:vAlign w:val="center"/>
          </w:tcPr>
          <w:p w14:paraId="5A79C61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8" w:type="dxa"/>
            <w:vAlign w:val="center"/>
          </w:tcPr>
          <w:p w14:paraId="0CB1D2FA"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0.00002L</w:t>
            </w:r>
          </w:p>
        </w:tc>
        <w:tc>
          <w:tcPr>
            <w:tcW w:w="1211" w:type="dxa"/>
            <w:vAlign w:val="center"/>
          </w:tcPr>
          <w:p w14:paraId="1CF77A2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7E6DBA4" w14:textId="77777777">
        <w:trPr>
          <w:cantSplit/>
          <w:trHeight w:val="397"/>
          <w:jc w:val="center"/>
        </w:trPr>
        <w:tc>
          <w:tcPr>
            <w:tcW w:w="2048" w:type="dxa"/>
            <w:vAlign w:val="center"/>
          </w:tcPr>
          <w:p w14:paraId="1F233C0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镉</w:t>
            </w:r>
          </w:p>
        </w:tc>
        <w:tc>
          <w:tcPr>
            <w:tcW w:w="1937" w:type="dxa"/>
            <w:vAlign w:val="center"/>
          </w:tcPr>
          <w:p w14:paraId="25C250E7"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7" w:type="dxa"/>
            <w:vAlign w:val="center"/>
          </w:tcPr>
          <w:p w14:paraId="2AA6738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8" w:type="dxa"/>
            <w:vAlign w:val="center"/>
          </w:tcPr>
          <w:p w14:paraId="4EAAD211"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0.0001L</w:t>
            </w:r>
          </w:p>
        </w:tc>
        <w:tc>
          <w:tcPr>
            <w:tcW w:w="1211" w:type="dxa"/>
            <w:vAlign w:val="center"/>
          </w:tcPr>
          <w:p w14:paraId="0A49AFB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913E5C8" w14:textId="77777777">
        <w:trPr>
          <w:cantSplit/>
          <w:trHeight w:val="397"/>
          <w:jc w:val="center"/>
        </w:trPr>
        <w:tc>
          <w:tcPr>
            <w:tcW w:w="2048" w:type="dxa"/>
            <w:vAlign w:val="center"/>
          </w:tcPr>
          <w:p w14:paraId="7E850C7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六价铬</w:t>
            </w:r>
          </w:p>
        </w:tc>
        <w:tc>
          <w:tcPr>
            <w:tcW w:w="1937" w:type="dxa"/>
            <w:vAlign w:val="center"/>
          </w:tcPr>
          <w:p w14:paraId="513B8ADE"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744B407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05F5CD1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41C9782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36563A2" w14:textId="77777777">
        <w:trPr>
          <w:cantSplit/>
          <w:trHeight w:val="397"/>
          <w:jc w:val="center"/>
        </w:trPr>
        <w:tc>
          <w:tcPr>
            <w:tcW w:w="2048" w:type="dxa"/>
            <w:vAlign w:val="center"/>
          </w:tcPr>
          <w:p w14:paraId="3B63138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铅</w:t>
            </w:r>
          </w:p>
        </w:tc>
        <w:tc>
          <w:tcPr>
            <w:tcW w:w="1937" w:type="dxa"/>
            <w:vAlign w:val="center"/>
          </w:tcPr>
          <w:p w14:paraId="62F11522"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7" w:type="dxa"/>
            <w:vAlign w:val="center"/>
          </w:tcPr>
          <w:p w14:paraId="55C4933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8" w:type="dxa"/>
            <w:vAlign w:val="center"/>
          </w:tcPr>
          <w:p w14:paraId="714F907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211" w:type="dxa"/>
            <w:vAlign w:val="center"/>
          </w:tcPr>
          <w:p w14:paraId="14664B5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26F0BC1" w14:textId="77777777">
        <w:trPr>
          <w:cantSplit/>
          <w:trHeight w:val="397"/>
          <w:jc w:val="center"/>
        </w:trPr>
        <w:tc>
          <w:tcPr>
            <w:tcW w:w="2048" w:type="dxa"/>
            <w:vAlign w:val="center"/>
          </w:tcPr>
          <w:p w14:paraId="53AC109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937" w:type="dxa"/>
            <w:vAlign w:val="center"/>
          </w:tcPr>
          <w:p w14:paraId="0B049F43"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4B5E883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049D36C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1E4BF12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47A65CB" w14:textId="77777777">
        <w:trPr>
          <w:cantSplit/>
          <w:trHeight w:val="397"/>
          <w:jc w:val="center"/>
        </w:trPr>
        <w:tc>
          <w:tcPr>
            <w:tcW w:w="2048" w:type="dxa"/>
            <w:vAlign w:val="center"/>
          </w:tcPr>
          <w:p w14:paraId="5922D9D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937" w:type="dxa"/>
            <w:vAlign w:val="center"/>
          </w:tcPr>
          <w:p w14:paraId="290C923B"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7" w:type="dxa"/>
            <w:vAlign w:val="center"/>
          </w:tcPr>
          <w:p w14:paraId="6252BBF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8" w:type="dxa"/>
            <w:vAlign w:val="center"/>
          </w:tcPr>
          <w:p w14:paraId="1B011CF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211" w:type="dxa"/>
            <w:vAlign w:val="center"/>
          </w:tcPr>
          <w:p w14:paraId="14BFFDD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8F18623" w14:textId="77777777">
        <w:trPr>
          <w:cantSplit/>
          <w:trHeight w:val="397"/>
          <w:jc w:val="center"/>
        </w:trPr>
        <w:tc>
          <w:tcPr>
            <w:tcW w:w="2048" w:type="dxa"/>
            <w:vAlign w:val="center"/>
          </w:tcPr>
          <w:p w14:paraId="069FEF2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937" w:type="dxa"/>
            <w:vAlign w:val="center"/>
          </w:tcPr>
          <w:p w14:paraId="40A716F8"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6528F37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6F11387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02AFAFA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5FC4CE8" w14:textId="77777777">
        <w:trPr>
          <w:cantSplit/>
          <w:trHeight w:val="397"/>
          <w:jc w:val="center"/>
        </w:trPr>
        <w:tc>
          <w:tcPr>
            <w:tcW w:w="2048" w:type="dxa"/>
            <w:vAlign w:val="center"/>
          </w:tcPr>
          <w:p w14:paraId="54B3AD9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937" w:type="dxa"/>
            <w:vAlign w:val="center"/>
          </w:tcPr>
          <w:p w14:paraId="0C17E954"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0C5F031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3405B54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5A08930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1E3E62F" w14:textId="77777777">
        <w:trPr>
          <w:cantSplit/>
          <w:trHeight w:val="397"/>
          <w:jc w:val="center"/>
        </w:trPr>
        <w:tc>
          <w:tcPr>
            <w:tcW w:w="2048" w:type="dxa"/>
            <w:vAlign w:val="center"/>
          </w:tcPr>
          <w:p w14:paraId="0B1F14F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937" w:type="dxa"/>
            <w:vAlign w:val="center"/>
          </w:tcPr>
          <w:p w14:paraId="4273C914"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6EF5E87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6AE331A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28F3F3F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A05C99F" w14:textId="77777777">
        <w:trPr>
          <w:cantSplit/>
          <w:trHeight w:val="397"/>
          <w:jc w:val="center"/>
        </w:trPr>
        <w:tc>
          <w:tcPr>
            <w:tcW w:w="2048" w:type="dxa"/>
            <w:vAlign w:val="center"/>
          </w:tcPr>
          <w:p w14:paraId="0F02788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937" w:type="dxa"/>
            <w:vAlign w:val="center"/>
          </w:tcPr>
          <w:p w14:paraId="6CD6E2FA"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3.2</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7" w:type="dxa"/>
            <w:vAlign w:val="center"/>
          </w:tcPr>
          <w:p w14:paraId="0ACE8E6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2.9</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8" w:type="dxa"/>
            <w:vAlign w:val="center"/>
          </w:tcPr>
          <w:p w14:paraId="3139C96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3.7</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211" w:type="dxa"/>
            <w:vAlign w:val="center"/>
          </w:tcPr>
          <w:p w14:paraId="10EF5E6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09CBBFF8" w14:textId="77777777">
        <w:trPr>
          <w:cantSplit/>
          <w:trHeight w:val="397"/>
          <w:jc w:val="center"/>
        </w:trPr>
        <w:tc>
          <w:tcPr>
            <w:tcW w:w="2048" w:type="dxa"/>
            <w:vAlign w:val="center"/>
          </w:tcPr>
          <w:p w14:paraId="5B14ACAE"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937" w:type="dxa"/>
            <w:vAlign w:val="center"/>
          </w:tcPr>
          <w:p w14:paraId="433179D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11.2</w:t>
            </w:r>
          </w:p>
        </w:tc>
        <w:tc>
          <w:tcPr>
            <w:tcW w:w="1937" w:type="dxa"/>
            <w:vAlign w:val="center"/>
          </w:tcPr>
          <w:p w14:paraId="5C1BCC6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10.0</w:t>
            </w:r>
          </w:p>
        </w:tc>
        <w:tc>
          <w:tcPr>
            <w:tcW w:w="1938" w:type="dxa"/>
            <w:vAlign w:val="center"/>
          </w:tcPr>
          <w:p w14:paraId="317E489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10.6</w:t>
            </w:r>
          </w:p>
        </w:tc>
        <w:tc>
          <w:tcPr>
            <w:tcW w:w="1211" w:type="dxa"/>
            <w:vAlign w:val="center"/>
          </w:tcPr>
          <w:p w14:paraId="54B39E46"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68904D15" w14:textId="77777777" w:rsidR="009D12AF" w:rsidRDefault="00000000">
      <w:pPr>
        <w:ind w:firstLine="482"/>
        <w:jc w:val="center"/>
        <w:rPr>
          <w:b/>
          <w:bCs/>
        </w:rPr>
      </w:pPr>
      <w:r>
        <w:rPr>
          <w:rFonts w:hint="eastAsia"/>
          <w:b/>
          <w:bCs/>
        </w:rPr>
        <w:t>表</w:t>
      </w:r>
      <w:r>
        <w:rPr>
          <w:rFonts w:hint="eastAsia"/>
          <w:b/>
          <w:bCs/>
        </w:rPr>
        <w:t>4.3-8</w:t>
      </w:r>
      <w:r>
        <w:rPr>
          <w:rFonts w:hint="eastAsia"/>
          <w:b/>
          <w:bCs/>
        </w:rPr>
        <w:t>（</w:t>
      </w:r>
      <w:r>
        <w:rPr>
          <w:rFonts w:hint="eastAsia"/>
          <w:b/>
          <w:bCs/>
        </w:rPr>
        <w:t>4</w:t>
      </w:r>
      <w:r>
        <w:rPr>
          <w:rFonts w:hint="eastAsia"/>
          <w:b/>
          <w:bCs/>
        </w:rPr>
        <w:t>）</w:t>
      </w:r>
      <w:r>
        <w:rPr>
          <w:rFonts w:hint="eastAsia"/>
          <w:b/>
          <w:bCs/>
        </w:rPr>
        <w:t xml:space="preserve">  </w:t>
      </w:r>
      <w:r>
        <w:rPr>
          <w:rFonts w:hint="eastAsia"/>
          <w:b/>
          <w:bCs/>
        </w:rPr>
        <w:t>长石水库地表水环境监测结果</w:t>
      </w:r>
    </w:p>
    <w:tbl>
      <w:tblPr>
        <w:tblW w:w="907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048"/>
        <w:gridCol w:w="1937"/>
        <w:gridCol w:w="1937"/>
        <w:gridCol w:w="1938"/>
        <w:gridCol w:w="1211"/>
      </w:tblGrid>
      <w:tr w:rsidR="009D12AF" w14:paraId="03344CBC" w14:textId="77777777">
        <w:trPr>
          <w:cantSplit/>
          <w:trHeight w:val="397"/>
          <w:jc w:val="center"/>
        </w:trPr>
        <w:tc>
          <w:tcPr>
            <w:tcW w:w="2048" w:type="dxa"/>
            <w:vAlign w:val="center"/>
          </w:tcPr>
          <w:p w14:paraId="02E9FD1E"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937" w:type="dxa"/>
            <w:tcBorders>
              <w:bottom w:val="single" w:sz="8" w:space="0" w:color="auto"/>
            </w:tcBorders>
            <w:vAlign w:val="center"/>
          </w:tcPr>
          <w:p w14:paraId="65A01D3F"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rPr>
              <w:t>2025.10.07</w:t>
            </w:r>
          </w:p>
        </w:tc>
        <w:tc>
          <w:tcPr>
            <w:tcW w:w="1937" w:type="dxa"/>
            <w:tcBorders>
              <w:bottom w:val="single" w:sz="8" w:space="0" w:color="auto"/>
            </w:tcBorders>
            <w:vAlign w:val="center"/>
          </w:tcPr>
          <w:p w14:paraId="4A8EE051"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938" w:type="dxa"/>
            <w:tcBorders>
              <w:bottom w:val="single" w:sz="8" w:space="0" w:color="auto"/>
            </w:tcBorders>
            <w:vAlign w:val="center"/>
          </w:tcPr>
          <w:p w14:paraId="66405984"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1211" w:type="dxa"/>
            <w:tcBorders>
              <w:bottom w:val="single" w:sz="8" w:space="0" w:color="auto"/>
            </w:tcBorders>
            <w:vAlign w:val="center"/>
          </w:tcPr>
          <w:p w14:paraId="4DB711D7"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w:t>
            </w:r>
          </w:p>
        </w:tc>
      </w:tr>
      <w:tr w:rsidR="009D12AF" w14:paraId="119BF874" w14:textId="77777777">
        <w:trPr>
          <w:cantSplit/>
          <w:trHeight w:val="397"/>
          <w:jc w:val="center"/>
        </w:trPr>
        <w:tc>
          <w:tcPr>
            <w:tcW w:w="2048" w:type="dxa"/>
            <w:tcBorders>
              <w:bottom w:val="single" w:sz="8" w:space="0" w:color="auto"/>
            </w:tcBorders>
            <w:vAlign w:val="center"/>
          </w:tcPr>
          <w:p w14:paraId="087083CB"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5812" w:type="dxa"/>
            <w:gridSpan w:val="3"/>
            <w:tcBorders>
              <w:top w:val="single" w:sz="8" w:space="0" w:color="auto"/>
              <w:bottom w:val="single" w:sz="8" w:space="0" w:color="auto"/>
            </w:tcBorders>
            <w:vAlign w:val="center"/>
          </w:tcPr>
          <w:p w14:paraId="5F7CBEC4"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rPr>
              <w:t>长石水库</w:t>
            </w:r>
            <w:r>
              <w:rPr>
                <w:rFonts w:ascii="Times New Roman" w:hAnsi="Times New Roman" w:cs="Times New Roman"/>
                <w:b/>
                <w:bCs/>
              </w:rPr>
              <w:t>2#</w:t>
            </w:r>
            <w:r>
              <w:rPr>
                <w:rFonts w:ascii="Times New Roman" w:hAnsi="Times New Roman" w:cs="Times New Roman" w:hint="eastAsia"/>
                <w:b/>
                <w:bCs/>
              </w:rPr>
              <w:t>（水底上</w:t>
            </w:r>
            <w:r>
              <w:rPr>
                <w:rFonts w:ascii="Times New Roman" w:hAnsi="Times New Roman" w:cs="Times New Roman" w:hint="eastAsia"/>
                <w:b/>
                <w:bCs/>
              </w:rPr>
              <w:t>0.5m</w:t>
            </w:r>
            <w:r>
              <w:rPr>
                <w:rFonts w:ascii="Times New Roman" w:hAnsi="Times New Roman" w:cs="Times New Roman" w:hint="eastAsia"/>
                <w:b/>
                <w:bCs/>
              </w:rPr>
              <w:t>）</w:t>
            </w:r>
          </w:p>
        </w:tc>
        <w:tc>
          <w:tcPr>
            <w:tcW w:w="1211" w:type="dxa"/>
            <w:tcBorders>
              <w:top w:val="single" w:sz="8" w:space="0" w:color="auto"/>
              <w:bottom w:val="single" w:sz="8" w:space="0" w:color="auto"/>
            </w:tcBorders>
            <w:vAlign w:val="center"/>
          </w:tcPr>
          <w:p w14:paraId="4FAF42A1"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kern w:val="0"/>
                <w:szCs w:val="21"/>
              </w:rPr>
              <w:t>/</w:t>
            </w:r>
          </w:p>
        </w:tc>
      </w:tr>
      <w:tr w:rsidR="009D12AF" w14:paraId="4102D8A5" w14:textId="77777777">
        <w:trPr>
          <w:cantSplit/>
          <w:trHeight w:val="397"/>
          <w:jc w:val="center"/>
        </w:trPr>
        <w:tc>
          <w:tcPr>
            <w:tcW w:w="2048" w:type="dxa"/>
            <w:vAlign w:val="center"/>
          </w:tcPr>
          <w:p w14:paraId="27972514"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检测项目</w:t>
            </w:r>
          </w:p>
        </w:tc>
        <w:tc>
          <w:tcPr>
            <w:tcW w:w="5812" w:type="dxa"/>
            <w:gridSpan w:val="3"/>
            <w:tcBorders>
              <w:top w:val="single" w:sz="8" w:space="0" w:color="auto"/>
              <w:bottom w:val="single" w:sz="8" w:space="0" w:color="auto"/>
            </w:tcBorders>
            <w:vAlign w:val="center"/>
          </w:tcPr>
          <w:p w14:paraId="6C7626D0"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kern w:val="0"/>
                <w:szCs w:val="21"/>
              </w:rPr>
              <w:t>检测结果</w:t>
            </w:r>
          </w:p>
        </w:tc>
        <w:tc>
          <w:tcPr>
            <w:tcW w:w="1211" w:type="dxa"/>
            <w:tcBorders>
              <w:top w:val="single" w:sz="8" w:space="0" w:color="auto"/>
              <w:bottom w:val="single" w:sz="8" w:space="0" w:color="auto"/>
            </w:tcBorders>
            <w:vAlign w:val="center"/>
          </w:tcPr>
          <w:p w14:paraId="0BBBDC65"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单位</w:t>
            </w:r>
          </w:p>
        </w:tc>
      </w:tr>
      <w:tr w:rsidR="009D12AF" w14:paraId="23831CEF" w14:textId="77777777">
        <w:trPr>
          <w:cantSplit/>
          <w:trHeight w:val="397"/>
          <w:jc w:val="center"/>
        </w:trPr>
        <w:tc>
          <w:tcPr>
            <w:tcW w:w="2048" w:type="dxa"/>
            <w:vAlign w:val="center"/>
          </w:tcPr>
          <w:p w14:paraId="253E167F"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937" w:type="dxa"/>
            <w:tcBorders>
              <w:top w:val="single" w:sz="8" w:space="0" w:color="auto"/>
              <w:bottom w:val="single" w:sz="8" w:space="0" w:color="auto"/>
            </w:tcBorders>
            <w:vAlign w:val="center"/>
          </w:tcPr>
          <w:p w14:paraId="59F1D6D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250940DB0502D1</w:t>
            </w:r>
          </w:p>
        </w:tc>
        <w:tc>
          <w:tcPr>
            <w:tcW w:w="1937" w:type="dxa"/>
            <w:tcBorders>
              <w:top w:val="single" w:sz="8" w:space="0" w:color="auto"/>
              <w:bottom w:val="single" w:sz="8" w:space="0" w:color="auto"/>
            </w:tcBorders>
            <w:vAlign w:val="center"/>
          </w:tcPr>
          <w:p w14:paraId="2DCB9B4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250940DB0502D2</w:t>
            </w:r>
          </w:p>
        </w:tc>
        <w:tc>
          <w:tcPr>
            <w:tcW w:w="1938" w:type="dxa"/>
            <w:tcBorders>
              <w:top w:val="single" w:sz="8" w:space="0" w:color="auto"/>
              <w:bottom w:val="single" w:sz="8" w:space="0" w:color="auto"/>
            </w:tcBorders>
            <w:vAlign w:val="center"/>
          </w:tcPr>
          <w:p w14:paraId="7710838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250940DB0502D3</w:t>
            </w:r>
          </w:p>
        </w:tc>
        <w:tc>
          <w:tcPr>
            <w:tcW w:w="1211" w:type="dxa"/>
            <w:tcBorders>
              <w:top w:val="single" w:sz="8" w:space="0" w:color="auto"/>
              <w:bottom w:val="single" w:sz="8" w:space="0" w:color="auto"/>
            </w:tcBorders>
            <w:vAlign w:val="center"/>
          </w:tcPr>
          <w:p w14:paraId="4F91B2B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55DFDC23" w14:textId="77777777">
        <w:trPr>
          <w:cantSplit/>
          <w:trHeight w:val="397"/>
          <w:jc w:val="center"/>
        </w:trPr>
        <w:tc>
          <w:tcPr>
            <w:tcW w:w="2048" w:type="dxa"/>
            <w:vAlign w:val="center"/>
          </w:tcPr>
          <w:p w14:paraId="77F9C49A"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937" w:type="dxa"/>
            <w:tcBorders>
              <w:top w:val="single" w:sz="8" w:space="0" w:color="auto"/>
              <w:bottom w:val="single" w:sz="8" w:space="0" w:color="auto"/>
            </w:tcBorders>
            <w:vAlign w:val="center"/>
          </w:tcPr>
          <w:p w14:paraId="43F84899"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7.6</w:t>
            </w:r>
          </w:p>
        </w:tc>
        <w:tc>
          <w:tcPr>
            <w:tcW w:w="1937" w:type="dxa"/>
            <w:tcBorders>
              <w:top w:val="single" w:sz="8" w:space="0" w:color="auto"/>
              <w:bottom w:val="single" w:sz="8" w:space="0" w:color="auto"/>
            </w:tcBorders>
            <w:vAlign w:val="center"/>
          </w:tcPr>
          <w:p w14:paraId="2705EAC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7.7</w:t>
            </w:r>
          </w:p>
        </w:tc>
        <w:tc>
          <w:tcPr>
            <w:tcW w:w="1938" w:type="dxa"/>
            <w:tcBorders>
              <w:top w:val="single" w:sz="8" w:space="0" w:color="auto"/>
              <w:bottom w:val="single" w:sz="8" w:space="0" w:color="auto"/>
            </w:tcBorders>
            <w:vAlign w:val="center"/>
          </w:tcPr>
          <w:p w14:paraId="290C9BE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7.6</w:t>
            </w:r>
          </w:p>
        </w:tc>
        <w:tc>
          <w:tcPr>
            <w:tcW w:w="1211" w:type="dxa"/>
            <w:tcBorders>
              <w:top w:val="single" w:sz="8" w:space="0" w:color="auto"/>
              <w:bottom w:val="single" w:sz="8" w:space="0" w:color="auto"/>
            </w:tcBorders>
            <w:vAlign w:val="center"/>
          </w:tcPr>
          <w:p w14:paraId="63C69F7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67DE20B2" w14:textId="77777777">
        <w:trPr>
          <w:cantSplit/>
          <w:trHeight w:val="397"/>
          <w:jc w:val="center"/>
        </w:trPr>
        <w:tc>
          <w:tcPr>
            <w:tcW w:w="2048" w:type="dxa"/>
            <w:vAlign w:val="center"/>
          </w:tcPr>
          <w:p w14:paraId="080D10F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937" w:type="dxa"/>
            <w:vAlign w:val="center"/>
          </w:tcPr>
          <w:p w14:paraId="7851B7C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3.3</w:t>
            </w:r>
          </w:p>
        </w:tc>
        <w:tc>
          <w:tcPr>
            <w:tcW w:w="1937" w:type="dxa"/>
            <w:vAlign w:val="center"/>
          </w:tcPr>
          <w:p w14:paraId="7204A03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4.0</w:t>
            </w:r>
          </w:p>
        </w:tc>
        <w:tc>
          <w:tcPr>
            <w:tcW w:w="1938" w:type="dxa"/>
            <w:vAlign w:val="center"/>
          </w:tcPr>
          <w:p w14:paraId="3683441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4.3</w:t>
            </w:r>
          </w:p>
        </w:tc>
        <w:tc>
          <w:tcPr>
            <w:tcW w:w="1211" w:type="dxa"/>
            <w:vAlign w:val="center"/>
          </w:tcPr>
          <w:p w14:paraId="64D8AFD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A3EF343" w14:textId="77777777">
        <w:trPr>
          <w:cantSplit/>
          <w:trHeight w:val="397"/>
          <w:jc w:val="center"/>
        </w:trPr>
        <w:tc>
          <w:tcPr>
            <w:tcW w:w="2048" w:type="dxa"/>
            <w:vAlign w:val="center"/>
          </w:tcPr>
          <w:p w14:paraId="4F992DD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937" w:type="dxa"/>
            <w:vAlign w:val="center"/>
          </w:tcPr>
          <w:p w14:paraId="4280A7D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4.6</w:t>
            </w:r>
          </w:p>
        </w:tc>
        <w:tc>
          <w:tcPr>
            <w:tcW w:w="1937" w:type="dxa"/>
            <w:vAlign w:val="center"/>
          </w:tcPr>
          <w:p w14:paraId="5CB48E7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4.3</w:t>
            </w:r>
          </w:p>
        </w:tc>
        <w:tc>
          <w:tcPr>
            <w:tcW w:w="1938" w:type="dxa"/>
            <w:vAlign w:val="center"/>
          </w:tcPr>
          <w:p w14:paraId="15C977F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4.8</w:t>
            </w:r>
          </w:p>
        </w:tc>
        <w:tc>
          <w:tcPr>
            <w:tcW w:w="1211" w:type="dxa"/>
            <w:vAlign w:val="center"/>
          </w:tcPr>
          <w:p w14:paraId="6D0D172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494882B" w14:textId="77777777">
        <w:trPr>
          <w:cantSplit/>
          <w:trHeight w:val="397"/>
          <w:jc w:val="center"/>
        </w:trPr>
        <w:tc>
          <w:tcPr>
            <w:tcW w:w="2048" w:type="dxa"/>
            <w:vAlign w:val="center"/>
          </w:tcPr>
          <w:p w14:paraId="4C0729F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937" w:type="dxa"/>
            <w:vAlign w:val="center"/>
          </w:tcPr>
          <w:p w14:paraId="49E2577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14</w:t>
            </w:r>
          </w:p>
        </w:tc>
        <w:tc>
          <w:tcPr>
            <w:tcW w:w="1937" w:type="dxa"/>
            <w:vAlign w:val="center"/>
          </w:tcPr>
          <w:p w14:paraId="0B41CBB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16</w:t>
            </w:r>
          </w:p>
        </w:tc>
        <w:tc>
          <w:tcPr>
            <w:tcW w:w="1938" w:type="dxa"/>
            <w:vAlign w:val="center"/>
          </w:tcPr>
          <w:p w14:paraId="7632004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13</w:t>
            </w:r>
          </w:p>
        </w:tc>
        <w:tc>
          <w:tcPr>
            <w:tcW w:w="1211" w:type="dxa"/>
            <w:vAlign w:val="center"/>
          </w:tcPr>
          <w:p w14:paraId="77409B5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FE9F2E0" w14:textId="77777777">
        <w:trPr>
          <w:cantSplit/>
          <w:trHeight w:val="397"/>
          <w:jc w:val="center"/>
        </w:trPr>
        <w:tc>
          <w:tcPr>
            <w:tcW w:w="2048" w:type="dxa"/>
            <w:vAlign w:val="center"/>
          </w:tcPr>
          <w:p w14:paraId="51387D3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937" w:type="dxa"/>
            <w:vAlign w:val="center"/>
          </w:tcPr>
          <w:p w14:paraId="7F28652B" w14:textId="77777777" w:rsidR="009D12AF" w:rsidRDefault="00000000">
            <w:pPr>
              <w:widowControl/>
              <w:ind w:firstLineChars="0" w:firstLine="0"/>
              <w:jc w:val="center"/>
              <w:textAlignment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5.0</w:t>
            </w:r>
          </w:p>
        </w:tc>
        <w:tc>
          <w:tcPr>
            <w:tcW w:w="1937" w:type="dxa"/>
            <w:vAlign w:val="center"/>
          </w:tcPr>
          <w:p w14:paraId="4BBE19A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5.9</w:t>
            </w:r>
          </w:p>
        </w:tc>
        <w:tc>
          <w:tcPr>
            <w:tcW w:w="1938" w:type="dxa"/>
            <w:vAlign w:val="center"/>
          </w:tcPr>
          <w:p w14:paraId="56EC1A2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6.4</w:t>
            </w:r>
          </w:p>
        </w:tc>
        <w:tc>
          <w:tcPr>
            <w:tcW w:w="1211" w:type="dxa"/>
            <w:vAlign w:val="center"/>
          </w:tcPr>
          <w:p w14:paraId="3AB514C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8911181" w14:textId="77777777">
        <w:trPr>
          <w:cantSplit/>
          <w:trHeight w:val="397"/>
          <w:jc w:val="center"/>
        </w:trPr>
        <w:tc>
          <w:tcPr>
            <w:tcW w:w="2048" w:type="dxa"/>
            <w:vAlign w:val="center"/>
          </w:tcPr>
          <w:p w14:paraId="5D174F2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937" w:type="dxa"/>
            <w:vAlign w:val="center"/>
          </w:tcPr>
          <w:p w14:paraId="62441B20" w14:textId="77777777" w:rsidR="009D12AF" w:rsidRDefault="00000000">
            <w:pPr>
              <w:widowControl/>
              <w:ind w:firstLineChars="0" w:firstLine="0"/>
              <w:jc w:val="center"/>
              <w:textAlignment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0.885</w:t>
            </w:r>
          </w:p>
        </w:tc>
        <w:tc>
          <w:tcPr>
            <w:tcW w:w="1937" w:type="dxa"/>
            <w:vAlign w:val="center"/>
          </w:tcPr>
          <w:p w14:paraId="69D18EE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0.902</w:t>
            </w:r>
          </w:p>
        </w:tc>
        <w:tc>
          <w:tcPr>
            <w:tcW w:w="1938" w:type="dxa"/>
            <w:vAlign w:val="center"/>
          </w:tcPr>
          <w:p w14:paraId="27647D4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0.914</w:t>
            </w:r>
          </w:p>
        </w:tc>
        <w:tc>
          <w:tcPr>
            <w:tcW w:w="1211" w:type="dxa"/>
            <w:vAlign w:val="center"/>
          </w:tcPr>
          <w:p w14:paraId="5525DCB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1FCCE9B" w14:textId="77777777">
        <w:trPr>
          <w:cantSplit/>
          <w:trHeight w:val="397"/>
          <w:jc w:val="center"/>
        </w:trPr>
        <w:tc>
          <w:tcPr>
            <w:tcW w:w="2048" w:type="dxa"/>
            <w:vAlign w:val="center"/>
          </w:tcPr>
          <w:p w14:paraId="60593E1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937" w:type="dxa"/>
            <w:vAlign w:val="center"/>
          </w:tcPr>
          <w:p w14:paraId="5AB06D25" w14:textId="77777777" w:rsidR="009D12AF" w:rsidRDefault="00000000">
            <w:pPr>
              <w:widowControl/>
              <w:spacing w:line="240" w:lineRule="exact"/>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0.189</w:t>
            </w:r>
          </w:p>
        </w:tc>
        <w:tc>
          <w:tcPr>
            <w:tcW w:w="1937" w:type="dxa"/>
            <w:vAlign w:val="center"/>
          </w:tcPr>
          <w:p w14:paraId="3D580E6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0.18</w:t>
            </w:r>
          </w:p>
        </w:tc>
        <w:tc>
          <w:tcPr>
            <w:tcW w:w="1938" w:type="dxa"/>
            <w:vAlign w:val="center"/>
          </w:tcPr>
          <w:p w14:paraId="762CE60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0.19</w:t>
            </w:r>
          </w:p>
        </w:tc>
        <w:tc>
          <w:tcPr>
            <w:tcW w:w="1211" w:type="dxa"/>
            <w:vAlign w:val="center"/>
          </w:tcPr>
          <w:p w14:paraId="338149E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E453D4D" w14:textId="77777777">
        <w:trPr>
          <w:cantSplit/>
          <w:trHeight w:val="397"/>
          <w:jc w:val="center"/>
        </w:trPr>
        <w:tc>
          <w:tcPr>
            <w:tcW w:w="2048" w:type="dxa"/>
            <w:vAlign w:val="center"/>
          </w:tcPr>
          <w:p w14:paraId="5A8EBFD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937" w:type="dxa"/>
            <w:vAlign w:val="center"/>
          </w:tcPr>
          <w:p w14:paraId="31616E8D"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1.78</w:t>
            </w:r>
          </w:p>
        </w:tc>
        <w:tc>
          <w:tcPr>
            <w:tcW w:w="1937" w:type="dxa"/>
            <w:vAlign w:val="center"/>
          </w:tcPr>
          <w:p w14:paraId="01DAD57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7.68</w:t>
            </w:r>
          </w:p>
        </w:tc>
        <w:tc>
          <w:tcPr>
            <w:tcW w:w="1938" w:type="dxa"/>
            <w:vAlign w:val="center"/>
          </w:tcPr>
          <w:p w14:paraId="433CF41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1.89</w:t>
            </w:r>
          </w:p>
        </w:tc>
        <w:tc>
          <w:tcPr>
            <w:tcW w:w="1211" w:type="dxa"/>
            <w:vAlign w:val="center"/>
          </w:tcPr>
          <w:p w14:paraId="146C6AA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AC409F4" w14:textId="77777777">
        <w:trPr>
          <w:cantSplit/>
          <w:trHeight w:val="397"/>
          <w:jc w:val="center"/>
        </w:trPr>
        <w:tc>
          <w:tcPr>
            <w:tcW w:w="2048" w:type="dxa"/>
            <w:vAlign w:val="center"/>
          </w:tcPr>
          <w:p w14:paraId="614D6D4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937" w:type="dxa"/>
            <w:vAlign w:val="center"/>
          </w:tcPr>
          <w:p w14:paraId="7265AFA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4211883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35A3964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5FC9C62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896A2D9" w14:textId="77777777">
        <w:trPr>
          <w:cantSplit/>
          <w:trHeight w:val="397"/>
          <w:jc w:val="center"/>
        </w:trPr>
        <w:tc>
          <w:tcPr>
            <w:tcW w:w="2048" w:type="dxa"/>
            <w:vAlign w:val="center"/>
          </w:tcPr>
          <w:p w14:paraId="2DBEC78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937" w:type="dxa"/>
            <w:vAlign w:val="center"/>
          </w:tcPr>
          <w:p w14:paraId="0AF989D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0.32</w:t>
            </w:r>
          </w:p>
        </w:tc>
        <w:tc>
          <w:tcPr>
            <w:tcW w:w="1937" w:type="dxa"/>
            <w:vAlign w:val="center"/>
          </w:tcPr>
          <w:p w14:paraId="2229EA5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0.29</w:t>
            </w:r>
          </w:p>
        </w:tc>
        <w:tc>
          <w:tcPr>
            <w:tcW w:w="1938" w:type="dxa"/>
            <w:vAlign w:val="center"/>
          </w:tcPr>
          <w:p w14:paraId="3D10521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0.30</w:t>
            </w:r>
          </w:p>
        </w:tc>
        <w:tc>
          <w:tcPr>
            <w:tcW w:w="1211" w:type="dxa"/>
            <w:vAlign w:val="center"/>
          </w:tcPr>
          <w:p w14:paraId="362A1C9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2E3F441" w14:textId="77777777">
        <w:trPr>
          <w:cantSplit/>
          <w:trHeight w:val="397"/>
          <w:jc w:val="center"/>
        </w:trPr>
        <w:tc>
          <w:tcPr>
            <w:tcW w:w="2048" w:type="dxa"/>
            <w:vAlign w:val="center"/>
          </w:tcPr>
          <w:p w14:paraId="15F20CD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937" w:type="dxa"/>
            <w:vAlign w:val="center"/>
          </w:tcPr>
          <w:p w14:paraId="01E35BD1"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0.30</w:t>
            </w:r>
          </w:p>
        </w:tc>
        <w:tc>
          <w:tcPr>
            <w:tcW w:w="1937" w:type="dxa"/>
            <w:vAlign w:val="center"/>
          </w:tcPr>
          <w:p w14:paraId="0A460DE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0.38</w:t>
            </w:r>
          </w:p>
        </w:tc>
        <w:tc>
          <w:tcPr>
            <w:tcW w:w="1938" w:type="dxa"/>
            <w:vAlign w:val="center"/>
          </w:tcPr>
          <w:p w14:paraId="3C8F705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0.34</w:t>
            </w:r>
          </w:p>
        </w:tc>
        <w:tc>
          <w:tcPr>
            <w:tcW w:w="1211" w:type="dxa"/>
            <w:vAlign w:val="center"/>
          </w:tcPr>
          <w:p w14:paraId="65D5B74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7B09754" w14:textId="77777777">
        <w:trPr>
          <w:cantSplit/>
          <w:trHeight w:val="397"/>
          <w:jc w:val="center"/>
        </w:trPr>
        <w:tc>
          <w:tcPr>
            <w:tcW w:w="2048" w:type="dxa"/>
            <w:vAlign w:val="center"/>
          </w:tcPr>
          <w:p w14:paraId="0E1E51E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硒</w:t>
            </w:r>
          </w:p>
        </w:tc>
        <w:tc>
          <w:tcPr>
            <w:tcW w:w="1937" w:type="dxa"/>
            <w:vAlign w:val="center"/>
          </w:tcPr>
          <w:p w14:paraId="3C39FC04"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0.001</w:t>
            </w:r>
          </w:p>
        </w:tc>
        <w:tc>
          <w:tcPr>
            <w:tcW w:w="1937" w:type="dxa"/>
            <w:vAlign w:val="center"/>
          </w:tcPr>
          <w:p w14:paraId="1785F62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938" w:type="dxa"/>
            <w:vAlign w:val="center"/>
          </w:tcPr>
          <w:p w14:paraId="094101B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211" w:type="dxa"/>
            <w:vAlign w:val="center"/>
          </w:tcPr>
          <w:p w14:paraId="1DEAE71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6DA124C" w14:textId="77777777">
        <w:trPr>
          <w:cantSplit/>
          <w:trHeight w:val="397"/>
          <w:jc w:val="center"/>
        </w:trPr>
        <w:tc>
          <w:tcPr>
            <w:tcW w:w="2048" w:type="dxa"/>
            <w:vAlign w:val="center"/>
          </w:tcPr>
          <w:p w14:paraId="2CAA44E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lastRenderedPageBreak/>
              <w:t>砷</w:t>
            </w:r>
          </w:p>
        </w:tc>
        <w:tc>
          <w:tcPr>
            <w:tcW w:w="1937" w:type="dxa"/>
            <w:vAlign w:val="center"/>
          </w:tcPr>
          <w:p w14:paraId="1B227ED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937" w:type="dxa"/>
            <w:vAlign w:val="center"/>
          </w:tcPr>
          <w:p w14:paraId="156953B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938" w:type="dxa"/>
            <w:vAlign w:val="center"/>
          </w:tcPr>
          <w:p w14:paraId="04BDDAF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211" w:type="dxa"/>
            <w:vAlign w:val="center"/>
          </w:tcPr>
          <w:p w14:paraId="0285174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AB33D80" w14:textId="77777777">
        <w:trPr>
          <w:cantSplit/>
          <w:trHeight w:val="397"/>
          <w:jc w:val="center"/>
        </w:trPr>
        <w:tc>
          <w:tcPr>
            <w:tcW w:w="2048" w:type="dxa"/>
            <w:vAlign w:val="center"/>
          </w:tcPr>
          <w:p w14:paraId="36FCC6D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总</w:t>
            </w:r>
            <w:r>
              <w:rPr>
                <w:rFonts w:ascii="Times New Roman" w:eastAsia="宋体" w:hAnsi="Times New Roman" w:cs="Times New Roman"/>
                <w:sz w:val="21"/>
                <w:lang w:bidi="ar"/>
              </w:rPr>
              <w:t>汞</w:t>
            </w:r>
          </w:p>
        </w:tc>
        <w:tc>
          <w:tcPr>
            <w:tcW w:w="1937" w:type="dxa"/>
            <w:vAlign w:val="center"/>
          </w:tcPr>
          <w:p w14:paraId="1A65707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7" w:type="dxa"/>
            <w:vAlign w:val="center"/>
          </w:tcPr>
          <w:p w14:paraId="4099365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8" w:type="dxa"/>
            <w:vAlign w:val="center"/>
          </w:tcPr>
          <w:p w14:paraId="50C673A8"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0.00002L</w:t>
            </w:r>
          </w:p>
        </w:tc>
        <w:tc>
          <w:tcPr>
            <w:tcW w:w="1211" w:type="dxa"/>
            <w:vAlign w:val="center"/>
          </w:tcPr>
          <w:p w14:paraId="684FDBE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3F73253" w14:textId="77777777">
        <w:trPr>
          <w:cantSplit/>
          <w:trHeight w:val="397"/>
          <w:jc w:val="center"/>
        </w:trPr>
        <w:tc>
          <w:tcPr>
            <w:tcW w:w="2048" w:type="dxa"/>
            <w:vAlign w:val="center"/>
          </w:tcPr>
          <w:p w14:paraId="294B2D8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镉</w:t>
            </w:r>
          </w:p>
        </w:tc>
        <w:tc>
          <w:tcPr>
            <w:tcW w:w="1937" w:type="dxa"/>
            <w:vAlign w:val="center"/>
          </w:tcPr>
          <w:p w14:paraId="441E0EDF"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7" w:type="dxa"/>
            <w:vAlign w:val="center"/>
          </w:tcPr>
          <w:p w14:paraId="502D6CC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8" w:type="dxa"/>
            <w:vAlign w:val="center"/>
          </w:tcPr>
          <w:p w14:paraId="79B22FF4"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0.0001L</w:t>
            </w:r>
          </w:p>
        </w:tc>
        <w:tc>
          <w:tcPr>
            <w:tcW w:w="1211" w:type="dxa"/>
            <w:vAlign w:val="center"/>
          </w:tcPr>
          <w:p w14:paraId="43E6AFE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14706BE" w14:textId="77777777">
        <w:trPr>
          <w:cantSplit/>
          <w:trHeight w:val="397"/>
          <w:jc w:val="center"/>
        </w:trPr>
        <w:tc>
          <w:tcPr>
            <w:tcW w:w="2048" w:type="dxa"/>
            <w:vAlign w:val="center"/>
          </w:tcPr>
          <w:p w14:paraId="3D5241D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六价铬</w:t>
            </w:r>
          </w:p>
        </w:tc>
        <w:tc>
          <w:tcPr>
            <w:tcW w:w="1937" w:type="dxa"/>
            <w:vAlign w:val="center"/>
          </w:tcPr>
          <w:p w14:paraId="17B59F78"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2DB36C7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575457E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59BD613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F5BAFAD" w14:textId="77777777">
        <w:trPr>
          <w:cantSplit/>
          <w:trHeight w:val="397"/>
          <w:jc w:val="center"/>
        </w:trPr>
        <w:tc>
          <w:tcPr>
            <w:tcW w:w="2048" w:type="dxa"/>
            <w:vAlign w:val="center"/>
          </w:tcPr>
          <w:p w14:paraId="2CDA94B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铅</w:t>
            </w:r>
          </w:p>
        </w:tc>
        <w:tc>
          <w:tcPr>
            <w:tcW w:w="1937" w:type="dxa"/>
            <w:vAlign w:val="center"/>
          </w:tcPr>
          <w:p w14:paraId="58882DAF"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7" w:type="dxa"/>
            <w:vAlign w:val="center"/>
          </w:tcPr>
          <w:p w14:paraId="7B4D806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8" w:type="dxa"/>
            <w:vAlign w:val="center"/>
          </w:tcPr>
          <w:p w14:paraId="67446DA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211" w:type="dxa"/>
            <w:vAlign w:val="center"/>
          </w:tcPr>
          <w:p w14:paraId="472F5EF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6DAB5C2" w14:textId="77777777">
        <w:trPr>
          <w:cantSplit/>
          <w:trHeight w:val="397"/>
          <w:jc w:val="center"/>
        </w:trPr>
        <w:tc>
          <w:tcPr>
            <w:tcW w:w="2048" w:type="dxa"/>
            <w:vAlign w:val="center"/>
          </w:tcPr>
          <w:p w14:paraId="7B6F80A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937" w:type="dxa"/>
            <w:vAlign w:val="center"/>
          </w:tcPr>
          <w:p w14:paraId="7FA7436E"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4ED2DF2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0AC7AF5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299D693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67B120D" w14:textId="77777777">
        <w:trPr>
          <w:cantSplit/>
          <w:trHeight w:val="397"/>
          <w:jc w:val="center"/>
        </w:trPr>
        <w:tc>
          <w:tcPr>
            <w:tcW w:w="2048" w:type="dxa"/>
            <w:vAlign w:val="center"/>
          </w:tcPr>
          <w:p w14:paraId="5F7B853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937" w:type="dxa"/>
            <w:vAlign w:val="center"/>
          </w:tcPr>
          <w:p w14:paraId="20B2F34A"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7" w:type="dxa"/>
            <w:vAlign w:val="center"/>
          </w:tcPr>
          <w:p w14:paraId="0C2C22F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8" w:type="dxa"/>
            <w:vAlign w:val="center"/>
          </w:tcPr>
          <w:p w14:paraId="144649B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211" w:type="dxa"/>
            <w:vAlign w:val="center"/>
          </w:tcPr>
          <w:p w14:paraId="67864E6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4AD0230" w14:textId="77777777">
        <w:trPr>
          <w:cantSplit/>
          <w:trHeight w:val="397"/>
          <w:jc w:val="center"/>
        </w:trPr>
        <w:tc>
          <w:tcPr>
            <w:tcW w:w="2048" w:type="dxa"/>
            <w:vAlign w:val="center"/>
          </w:tcPr>
          <w:p w14:paraId="5A70328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937" w:type="dxa"/>
            <w:vAlign w:val="center"/>
          </w:tcPr>
          <w:p w14:paraId="1D4F0231"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7B13DE8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444CBAE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4EAA41D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83D80D9" w14:textId="77777777">
        <w:trPr>
          <w:cantSplit/>
          <w:trHeight w:val="397"/>
          <w:jc w:val="center"/>
        </w:trPr>
        <w:tc>
          <w:tcPr>
            <w:tcW w:w="2048" w:type="dxa"/>
            <w:vAlign w:val="center"/>
          </w:tcPr>
          <w:p w14:paraId="2C39DBE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937" w:type="dxa"/>
            <w:vAlign w:val="center"/>
          </w:tcPr>
          <w:p w14:paraId="42B61F7C"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5FE2A77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153F951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4348504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E6342A3" w14:textId="77777777">
        <w:trPr>
          <w:cantSplit/>
          <w:trHeight w:val="397"/>
          <w:jc w:val="center"/>
        </w:trPr>
        <w:tc>
          <w:tcPr>
            <w:tcW w:w="2048" w:type="dxa"/>
            <w:vAlign w:val="center"/>
          </w:tcPr>
          <w:p w14:paraId="7A84EDB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937" w:type="dxa"/>
            <w:vAlign w:val="center"/>
          </w:tcPr>
          <w:p w14:paraId="58A10429"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3429820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376DCD9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0A74D02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880412F" w14:textId="77777777">
        <w:trPr>
          <w:cantSplit/>
          <w:trHeight w:val="397"/>
          <w:jc w:val="center"/>
        </w:trPr>
        <w:tc>
          <w:tcPr>
            <w:tcW w:w="2048" w:type="dxa"/>
            <w:vAlign w:val="center"/>
          </w:tcPr>
          <w:p w14:paraId="01003D7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937" w:type="dxa"/>
            <w:vAlign w:val="center"/>
          </w:tcPr>
          <w:p w14:paraId="01428DF8"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2.8</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7" w:type="dxa"/>
            <w:vAlign w:val="center"/>
          </w:tcPr>
          <w:p w14:paraId="714D1C1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3.2</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8" w:type="dxa"/>
            <w:vAlign w:val="center"/>
          </w:tcPr>
          <w:p w14:paraId="363C72A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3.6</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211" w:type="dxa"/>
            <w:vAlign w:val="center"/>
          </w:tcPr>
          <w:p w14:paraId="4806D0A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48D61D66" w14:textId="77777777">
        <w:trPr>
          <w:cantSplit/>
          <w:trHeight w:val="397"/>
          <w:jc w:val="center"/>
        </w:trPr>
        <w:tc>
          <w:tcPr>
            <w:tcW w:w="2048" w:type="dxa"/>
            <w:vAlign w:val="center"/>
          </w:tcPr>
          <w:p w14:paraId="7B5174B9"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937" w:type="dxa"/>
            <w:vAlign w:val="center"/>
          </w:tcPr>
          <w:p w14:paraId="7EF7D67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13.6</w:t>
            </w:r>
          </w:p>
        </w:tc>
        <w:tc>
          <w:tcPr>
            <w:tcW w:w="1937" w:type="dxa"/>
            <w:vAlign w:val="center"/>
          </w:tcPr>
          <w:p w14:paraId="04EA82F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12.3</w:t>
            </w:r>
          </w:p>
        </w:tc>
        <w:tc>
          <w:tcPr>
            <w:tcW w:w="1938" w:type="dxa"/>
            <w:vAlign w:val="center"/>
          </w:tcPr>
          <w:p w14:paraId="33B0314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13.1</w:t>
            </w:r>
          </w:p>
        </w:tc>
        <w:tc>
          <w:tcPr>
            <w:tcW w:w="1211" w:type="dxa"/>
            <w:vAlign w:val="center"/>
          </w:tcPr>
          <w:p w14:paraId="09602773"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5932BBDA" w14:textId="77777777" w:rsidR="009D12AF" w:rsidRDefault="00000000">
      <w:pPr>
        <w:pBdr>
          <w:left w:val="none" w:sz="0" w:space="0" w:color="000000"/>
        </w:pBdr>
        <w:ind w:firstLine="482"/>
        <w:jc w:val="center"/>
        <w:rPr>
          <w:b/>
          <w:bCs/>
        </w:rPr>
      </w:pPr>
      <w:r>
        <w:rPr>
          <w:rFonts w:hint="eastAsia"/>
          <w:b/>
          <w:bCs/>
        </w:rPr>
        <w:t>表</w:t>
      </w:r>
      <w:r>
        <w:rPr>
          <w:rFonts w:hint="eastAsia"/>
          <w:b/>
          <w:bCs/>
        </w:rPr>
        <w:t>4.3-8</w:t>
      </w:r>
      <w:r>
        <w:rPr>
          <w:rFonts w:hint="eastAsia"/>
          <w:b/>
          <w:bCs/>
        </w:rPr>
        <w:t>（</w:t>
      </w:r>
      <w:r>
        <w:rPr>
          <w:rFonts w:hint="eastAsia"/>
          <w:b/>
          <w:bCs/>
        </w:rPr>
        <w:t>5</w:t>
      </w:r>
      <w:r>
        <w:rPr>
          <w:rFonts w:hint="eastAsia"/>
          <w:b/>
          <w:bCs/>
        </w:rPr>
        <w:t>）</w:t>
      </w:r>
      <w:r>
        <w:rPr>
          <w:rFonts w:hint="eastAsia"/>
          <w:b/>
          <w:bCs/>
        </w:rPr>
        <w:t xml:space="preserve">  </w:t>
      </w:r>
      <w:r>
        <w:rPr>
          <w:rFonts w:hint="eastAsia"/>
          <w:b/>
          <w:bCs/>
        </w:rPr>
        <w:t>长石水库地表水环境监测结果</w:t>
      </w:r>
    </w:p>
    <w:tbl>
      <w:tblPr>
        <w:tblW w:w="907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048"/>
        <w:gridCol w:w="1937"/>
        <w:gridCol w:w="1937"/>
        <w:gridCol w:w="1938"/>
        <w:gridCol w:w="1211"/>
      </w:tblGrid>
      <w:tr w:rsidR="009D12AF" w14:paraId="3FACC282" w14:textId="77777777">
        <w:trPr>
          <w:cantSplit/>
          <w:trHeight w:val="397"/>
          <w:jc w:val="center"/>
        </w:trPr>
        <w:tc>
          <w:tcPr>
            <w:tcW w:w="2048" w:type="dxa"/>
            <w:vAlign w:val="center"/>
          </w:tcPr>
          <w:p w14:paraId="0A5D8652"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937" w:type="dxa"/>
            <w:tcBorders>
              <w:bottom w:val="single" w:sz="8" w:space="0" w:color="auto"/>
            </w:tcBorders>
            <w:vAlign w:val="center"/>
          </w:tcPr>
          <w:p w14:paraId="40F6AF63"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rPr>
              <w:t>2025.10.07</w:t>
            </w:r>
          </w:p>
        </w:tc>
        <w:tc>
          <w:tcPr>
            <w:tcW w:w="1937" w:type="dxa"/>
            <w:tcBorders>
              <w:bottom w:val="single" w:sz="8" w:space="0" w:color="auto"/>
            </w:tcBorders>
            <w:vAlign w:val="center"/>
          </w:tcPr>
          <w:p w14:paraId="52B33A43"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938" w:type="dxa"/>
            <w:tcBorders>
              <w:bottom w:val="single" w:sz="8" w:space="0" w:color="auto"/>
            </w:tcBorders>
            <w:vAlign w:val="center"/>
          </w:tcPr>
          <w:p w14:paraId="40CEF940"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1211" w:type="dxa"/>
            <w:tcBorders>
              <w:bottom w:val="single" w:sz="8" w:space="0" w:color="auto"/>
            </w:tcBorders>
            <w:vAlign w:val="center"/>
          </w:tcPr>
          <w:p w14:paraId="5F3CEF14"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w:t>
            </w:r>
          </w:p>
        </w:tc>
      </w:tr>
      <w:tr w:rsidR="009D12AF" w14:paraId="6C473911" w14:textId="77777777">
        <w:trPr>
          <w:cantSplit/>
          <w:trHeight w:val="397"/>
          <w:jc w:val="center"/>
        </w:trPr>
        <w:tc>
          <w:tcPr>
            <w:tcW w:w="2048" w:type="dxa"/>
            <w:tcBorders>
              <w:bottom w:val="single" w:sz="8" w:space="0" w:color="auto"/>
            </w:tcBorders>
            <w:vAlign w:val="center"/>
          </w:tcPr>
          <w:p w14:paraId="61AED2CF"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5812" w:type="dxa"/>
            <w:gridSpan w:val="3"/>
            <w:tcBorders>
              <w:top w:val="single" w:sz="8" w:space="0" w:color="auto"/>
              <w:bottom w:val="single" w:sz="8" w:space="0" w:color="auto"/>
            </w:tcBorders>
            <w:vAlign w:val="center"/>
          </w:tcPr>
          <w:p w14:paraId="0ADA4A63"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rPr>
              <w:t>长石水库</w:t>
            </w:r>
            <w:r>
              <w:rPr>
                <w:rFonts w:ascii="Times New Roman" w:hAnsi="Times New Roman" w:cs="Times New Roman"/>
                <w:b/>
                <w:bCs/>
              </w:rPr>
              <w:t>3#</w:t>
            </w:r>
            <w:r>
              <w:rPr>
                <w:rFonts w:ascii="Times New Roman" w:hAnsi="Times New Roman" w:cs="Times New Roman" w:hint="eastAsia"/>
                <w:b/>
                <w:bCs/>
              </w:rPr>
              <w:t>（水面下</w:t>
            </w:r>
            <w:r>
              <w:rPr>
                <w:rFonts w:ascii="Times New Roman" w:hAnsi="Times New Roman" w:cs="Times New Roman" w:hint="eastAsia"/>
                <w:b/>
                <w:bCs/>
              </w:rPr>
              <w:t>0.5m</w:t>
            </w:r>
            <w:r>
              <w:rPr>
                <w:rFonts w:ascii="Times New Roman" w:hAnsi="Times New Roman" w:cs="Times New Roman" w:hint="eastAsia"/>
                <w:b/>
                <w:bCs/>
              </w:rPr>
              <w:t>）</w:t>
            </w:r>
          </w:p>
        </w:tc>
        <w:tc>
          <w:tcPr>
            <w:tcW w:w="1211" w:type="dxa"/>
            <w:tcBorders>
              <w:top w:val="single" w:sz="8" w:space="0" w:color="auto"/>
              <w:bottom w:val="single" w:sz="8" w:space="0" w:color="auto"/>
            </w:tcBorders>
            <w:vAlign w:val="center"/>
          </w:tcPr>
          <w:p w14:paraId="73645CC0"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kern w:val="0"/>
                <w:szCs w:val="21"/>
              </w:rPr>
              <w:t>/</w:t>
            </w:r>
          </w:p>
        </w:tc>
      </w:tr>
      <w:tr w:rsidR="009D12AF" w14:paraId="2E9C3941" w14:textId="77777777">
        <w:trPr>
          <w:cantSplit/>
          <w:trHeight w:val="397"/>
          <w:jc w:val="center"/>
        </w:trPr>
        <w:tc>
          <w:tcPr>
            <w:tcW w:w="2048" w:type="dxa"/>
            <w:vAlign w:val="center"/>
          </w:tcPr>
          <w:p w14:paraId="0365432E"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检测项目</w:t>
            </w:r>
          </w:p>
        </w:tc>
        <w:tc>
          <w:tcPr>
            <w:tcW w:w="5812" w:type="dxa"/>
            <w:gridSpan w:val="3"/>
            <w:tcBorders>
              <w:top w:val="single" w:sz="8" w:space="0" w:color="auto"/>
              <w:bottom w:val="single" w:sz="8" w:space="0" w:color="auto"/>
            </w:tcBorders>
            <w:vAlign w:val="center"/>
          </w:tcPr>
          <w:p w14:paraId="5ECEF4E1"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kern w:val="0"/>
                <w:szCs w:val="21"/>
              </w:rPr>
              <w:t>检测结果</w:t>
            </w:r>
          </w:p>
        </w:tc>
        <w:tc>
          <w:tcPr>
            <w:tcW w:w="1211" w:type="dxa"/>
            <w:tcBorders>
              <w:top w:val="single" w:sz="8" w:space="0" w:color="auto"/>
              <w:bottom w:val="single" w:sz="8" w:space="0" w:color="auto"/>
            </w:tcBorders>
            <w:vAlign w:val="center"/>
          </w:tcPr>
          <w:p w14:paraId="44954C48"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单位</w:t>
            </w:r>
          </w:p>
        </w:tc>
      </w:tr>
      <w:tr w:rsidR="009D12AF" w14:paraId="5B43EA3F" w14:textId="77777777">
        <w:trPr>
          <w:cantSplit/>
          <w:trHeight w:val="397"/>
          <w:jc w:val="center"/>
        </w:trPr>
        <w:tc>
          <w:tcPr>
            <w:tcW w:w="2048" w:type="dxa"/>
            <w:vAlign w:val="center"/>
          </w:tcPr>
          <w:p w14:paraId="3A4D36F3"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937" w:type="dxa"/>
            <w:tcBorders>
              <w:top w:val="single" w:sz="8" w:space="0" w:color="auto"/>
              <w:bottom w:val="single" w:sz="8" w:space="0" w:color="auto"/>
            </w:tcBorders>
            <w:vAlign w:val="center"/>
          </w:tcPr>
          <w:p w14:paraId="3F41D4E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250940DB0601D1</w:t>
            </w:r>
          </w:p>
        </w:tc>
        <w:tc>
          <w:tcPr>
            <w:tcW w:w="1937" w:type="dxa"/>
            <w:tcBorders>
              <w:top w:val="single" w:sz="8" w:space="0" w:color="auto"/>
              <w:bottom w:val="single" w:sz="8" w:space="0" w:color="auto"/>
            </w:tcBorders>
            <w:vAlign w:val="center"/>
          </w:tcPr>
          <w:p w14:paraId="5B92815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250940DB0601D2</w:t>
            </w:r>
          </w:p>
        </w:tc>
        <w:tc>
          <w:tcPr>
            <w:tcW w:w="1938" w:type="dxa"/>
            <w:tcBorders>
              <w:top w:val="single" w:sz="8" w:space="0" w:color="auto"/>
              <w:bottom w:val="single" w:sz="8" w:space="0" w:color="auto"/>
            </w:tcBorders>
            <w:vAlign w:val="center"/>
          </w:tcPr>
          <w:p w14:paraId="1E786FA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250940DB0601D3</w:t>
            </w:r>
          </w:p>
        </w:tc>
        <w:tc>
          <w:tcPr>
            <w:tcW w:w="1211" w:type="dxa"/>
            <w:tcBorders>
              <w:top w:val="single" w:sz="8" w:space="0" w:color="auto"/>
              <w:bottom w:val="single" w:sz="8" w:space="0" w:color="auto"/>
            </w:tcBorders>
            <w:vAlign w:val="center"/>
          </w:tcPr>
          <w:p w14:paraId="0D60F28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18CE5210" w14:textId="77777777">
        <w:trPr>
          <w:cantSplit/>
          <w:trHeight w:val="397"/>
          <w:jc w:val="center"/>
        </w:trPr>
        <w:tc>
          <w:tcPr>
            <w:tcW w:w="2048" w:type="dxa"/>
            <w:vAlign w:val="center"/>
          </w:tcPr>
          <w:p w14:paraId="577E533E"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937" w:type="dxa"/>
            <w:tcBorders>
              <w:top w:val="single" w:sz="8" w:space="0" w:color="auto"/>
              <w:bottom w:val="single" w:sz="8" w:space="0" w:color="auto"/>
            </w:tcBorders>
            <w:vAlign w:val="center"/>
          </w:tcPr>
          <w:p w14:paraId="244C61FE"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7.6</w:t>
            </w:r>
          </w:p>
        </w:tc>
        <w:tc>
          <w:tcPr>
            <w:tcW w:w="1937" w:type="dxa"/>
            <w:tcBorders>
              <w:top w:val="single" w:sz="8" w:space="0" w:color="auto"/>
              <w:bottom w:val="single" w:sz="8" w:space="0" w:color="auto"/>
            </w:tcBorders>
            <w:vAlign w:val="center"/>
          </w:tcPr>
          <w:p w14:paraId="2158196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7.7</w:t>
            </w:r>
          </w:p>
        </w:tc>
        <w:tc>
          <w:tcPr>
            <w:tcW w:w="1938" w:type="dxa"/>
            <w:tcBorders>
              <w:top w:val="single" w:sz="8" w:space="0" w:color="auto"/>
              <w:bottom w:val="single" w:sz="8" w:space="0" w:color="auto"/>
            </w:tcBorders>
            <w:vAlign w:val="center"/>
          </w:tcPr>
          <w:p w14:paraId="4BD34CE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7.7</w:t>
            </w:r>
          </w:p>
        </w:tc>
        <w:tc>
          <w:tcPr>
            <w:tcW w:w="1211" w:type="dxa"/>
            <w:tcBorders>
              <w:top w:val="single" w:sz="8" w:space="0" w:color="auto"/>
              <w:bottom w:val="single" w:sz="8" w:space="0" w:color="auto"/>
            </w:tcBorders>
            <w:vAlign w:val="center"/>
          </w:tcPr>
          <w:p w14:paraId="0438F9A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24455AB5" w14:textId="77777777">
        <w:trPr>
          <w:cantSplit/>
          <w:trHeight w:val="397"/>
          <w:jc w:val="center"/>
        </w:trPr>
        <w:tc>
          <w:tcPr>
            <w:tcW w:w="2048" w:type="dxa"/>
            <w:vAlign w:val="center"/>
          </w:tcPr>
          <w:p w14:paraId="3E2EF3D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937" w:type="dxa"/>
            <w:vAlign w:val="center"/>
          </w:tcPr>
          <w:p w14:paraId="2A4DA2F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2.9</w:t>
            </w:r>
          </w:p>
        </w:tc>
        <w:tc>
          <w:tcPr>
            <w:tcW w:w="1937" w:type="dxa"/>
            <w:vAlign w:val="center"/>
          </w:tcPr>
          <w:p w14:paraId="7F720DC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3.2</w:t>
            </w:r>
          </w:p>
        </w:tc>
        <w:tc>
          <w:tcPr>
            <w:tcW w:w="1938" w:type="dxa"/>
            <w:vAlign w:val="center"/>
          </w:tcPr>
          <w:p w14:paraId="5588B8D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3.3</w:t>
            </w:r>
          </w:p>
        </w:tc>
        <w:tc>
          <w:tcPr>
            <w:tcW w:w="1211" w:type="dxa"/>
            <w:vAlign w:val="center"/>
          </w:tcPr>
          <w:p w14:paraId="792890B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4B5AB17" w14:textId="77777777">
        <w:trPr>
          <w:cantSplit/>
          <w:trHeight w:val="397"/>
          <w:jc w:val="center"/>
        </w:trPr>
        <w:tc>
          <w:tcPr>
            <w:tcW w:w="2048" w:type="dxa"/>
            <w:vAlign w:val="center"/>
          </w:tcPr>
          <w:p w14:paraId="13B5A68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937" w:type="dxa"/>
            <w:vAlign w:val="center"/>
          </w:tcPr>
          <w:p w14:paraId="3AC140A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8.9</w:t>
            </w:r>
          </w:p>
        </w:tc>
        <w:tc>
          <w:tcPr>
            <w:tcW w:w="1937" w:type="dxa"/>
            <w:vAlign w:val="center"/>
          </w:tcPr>
          <w:p w14:paraId="22DB5EA8"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8.5</w:t>
            </w:r>
          </w:p>
        </w:tc>
        <w:tc>
          <w:tcPr>
            <w:tcW w:w="1938" w:type="dxa"/>
            <w:vAlign w:val="center"/>
          </w:tcPr>
          <w:p w14:paraId="54CB07C8"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9.3</w:t>
            </w:r>
          </w:p>
        </w:tc>
        <w:tc>
          <w:tcPr>
            <w:tcW w:w="1211" w:type="dxa"/>
            <w:vAlign w:val="center"/>
          </w:tcPr>
          <w:p w14:paraId="0BF658B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E94CEBF" w14:textId="77777777">
        <w:trPr>
          <w:cantSplit/>
          <w:trHeight w:val="397"/>
          <w:jc w:val="center"/>
        </w:trPr>
        <w:tc>
          <w:tcPr>
            <w:tcW w:w="2048" w:type="dxa"/>
            <w:vAlign w:val="center"/>
          </w:tcPr>
          <w:p w14:paraId="48713F9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937" w:type="dxa"/>
            <w:vAlign w:val="center"/>
          </w:tcPr>
          <w:p w14:paraId="3BA13A1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11</w:t>
            </w:r>
          </w:p>
        </w:tc>
        <w:tc>
          <w:tcPr>
            <w:tcW w:w="1937" w:type="dxa"/>
            <w:vAlign w:val="center"/>
          </w:tcPr>
          <w:p w14:paraId="333EE4C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14</w:t>
            </w:r>
          </w:p>
        </w:tc>
        <w:tc>
          <w:tcPr>
            <w:tcW w:w="1938" w:type="dxa"/>
            <w:vAlign w:val="center"/>
          </w:tcPr>
          <w:p w14:paraId="0EDB0D92"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12</w:t>
            </w:r>
          </w:p>
        </w:tc>
        <w:tc>
          <w:tcPr>
            <w:tcW w:w="1211" w:type="dxa"/>
            <w:vAlign w:val="center"/>
          </w:tcPr>
          <w:p w14:paraId="04A44FC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12C88EE" w14:textId="77777777">
        <w:trPr>
          <w:cantSplit/>
          <w:trHeight w:val="397"/>
          <w:jc w:val="center"/>
        </w:trPr>
        <w:tc>
          <w:tcPr>
            <w:tcW w:w="2048" w:type="dxa"/>
            <w:vAlign w:val="center"/>
          </w:tcPr>
          <w:p w14:paraId="1DCC463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937" w:type="dxa"/>
            <w:vAlign w:val="center"/>
          </w:tcPr>
          <w:p w14:paraId="40AF4543" w14:textId="77777777" w:rsidR="009D12AF" w:rsidRDefault="00000000">
            <w:pPr>
              <w:widowControl/>
              <w:ind w:firstLineChars="0" w:firstLine="0"/>
              <w:jc w:val="center"/>
              <w:textAlignment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3.7</w:t>
            </w:r>
          </w:p>
        </w:tc>
        <w:tc>
          <w:tcPr>
            <w:tcW w:w="1937" w:type="dxa"/>
            <w:vAlign w:val="center"/>
          </w:tcPr>
          <w:p w14:paraId="1F00F08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4.8</w:t>
            </w:r>
          </w:p>
        </w:tc>
        <w:tc>
          <w:tcPr>
            <w:tcW w:w="1938" w:type="dxa"/>
            <w:vAlign w:val="center"/>
          </w:tcPr>
          <w:p w14:paraId="02187F68"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4.3</w:t>
            </w:r>
          </w:p>
        </w:tc>
        <w:tc>
          <w:tcPr>
            <w:tcW w:w="1211" w:type="dxa"/>
            <w:vAlign w:val="center"/>
          </w:tcPr>
          <w:p w14:paraId="00DC5EC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F2E3B23" w14:textId="77777777">
        <w:trPr>
          <w:cantSplit/>
          <w:trHeight w:val="397"/>
          <w:jc w:val="center"/>
        </w:trPr>
        <w:tc>
          <w:tcPr>
            <w:tcW w:w="2048" w:type="dxa"/>
            <w:vAlign w:val="center"/>
          </w:tcPr>
          <w:p w14:paraId="448DE95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937" w:type="dxa"/>
            <w:vAlign w:val="center"/>
          </w:tcPr>
          <w:p w14:paraId="133EC32F" w14:textId="77777777" w:rsidR="009D12AF" w:rsidRDefault="00000000">
            <w:pPr>
              <w:widowControl/>
              <w:ind w:firstLineChars="0" w:firstLine="0"/>
              <w:jc w:val="center"/>
              <w:textAlignment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0.566</w:t>
            </w:r>
          </w:p>
        </w:tc>
        <w:tc>
          <w:tcPr>
            <w:tcW w:w="1937" w:type="dxa"/>
            <w:vAlign w:val="center"/>
          </w:tcPr>
          <w:p w14:paraId="69D29FD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0.582</w:t>
            </w:r>
          </w:p>
        </w:tc>
        <w:tc>
          <w:tcPr>
            <w:tcW w:w="1938" w:type="dxa"/>
            <w:vAlign w:val="center"/>
          </w:tcPr>
          <w:p w14:paraId="5049E22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0.590</w:t>
            </w:r>
          </w:p>
        </w:tc>
        <w:tc>
          <w:tcPr>
            <w:tcW w:w="1211" w:type="dxa"/>
            <w:vAlign w:val="center"/>
          </w:tcPr>
          <w:p w14:paraId="3D76BC9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278CFDC" w14:textId="77777777">
        <w:trPr>
          <w:cantSplit/>
          <w:trHeight w:val="397"/>
          <w:jc w:val="center"/>
        </w:trPr>
        <w:tc>
          <w:tcPr>
            <w:tcW w:w="2048" w:type="dxa"/>
            <w:vAlign w:val="center"/>
          </w:tcPr>
          <w:p w14:paraId="7B9F635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937" w:type="dxa"/>
            <w:vAlign w:val="center"/>
          </w:tcPr>
          <w:p w14:paraId="2CB3C2B9" w14:textId="77777777" w:rsidR="009D12AF" w:rsidRDefault="00000000">
            <w:pPr>
              <w:widowControl/>
              <w:spacing w:line="240" w:lineRule="exact"/>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0.08</w:t>
            </w:r>
          </w:p>
        </w:tc>
        <w:tc>
          <w:tcPr>
            <w:tcW w:w="1937" w:type="dxa"/>
            <w:vAlign w:val="center"/>
          </w:tcPr>
          <w:p w14:paraId="0742084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0.10</w:t>
            </w:r>
          </w:p>
        </w:tc>
        <w:tc>
          <w:tcPr>
            <w:tcW w:w="1938" w:type="dxa"/>
            <w:vAlign w:val="center"/>
          </w:tcPr>
          <w:p w14:paraId="0B435F5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0.09</w:t>
            </w:r>
          </w:p>
        </w:tc>
        <w:tc>
          <w:tcPr>
            <w:tcW w:w="1211" w:type="dxa"/>
            <w:vAlign w:val="center"/>
          </w:tcPr>
          <w:p w14:paraId="32AC2E4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EAEB51C" w14:textId="77777777">
        <w:trPr>
          <w:cantSplit/>
          <w:trHeight w:val="397"/>
          <w:jc w:val="center"/>
        </w:trPr>
        <w:tc>
          <w:tcPr>
            <w:tcW w:w="2048" w:type="dxa"/>
            <w:vAlign w:val="center"/>
          </w:tcPr>
          <w:p w14:paraId="3FCAF1E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937" w:type="dxa"/>
            <w:vAlign w:val="center"/>
          </w:tcPr>
          <w:p w14:paraId="67AE1F1A"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1.35</w:t>
            </w:r>
          </w:p>
        </w:tc>
        <w:tc>
          <w:tcPr>
            <w:tcW w:w="1937" w:type="dxa"/>
            <w:vAlign w:val="center"/>
          </w:tcPr>
          <w:p w14:paraId="1DEC048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1.48</w:t>
            </w:r>
          </w:p>
        </w:tc>
        <w:tc>
          <w:tcPr>
            <w:tcW w:w="1938" w:type="dxa"/>
            <w:vAlign w:val="center"/>
          </w:tcPr>
          <w:p w14:paraId="0276B85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1.26</w:t>
            </w:r>
          </w:p>
        </w:tc>
        <w:tc>
          <w:tcPr>
            <w:tcW w:w="1211" w:type="dxa"/>
            <w:vAlign w:val="center"/>
          </w:tcPr>
          <w:p w14:paraId="1F89A5E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F8AD0A4" w14:textId="77777777">
        <w:trPr>
          <w:cantSplit/>
          <w:trHeight w:val="397"/>
          <w:jc w:val="center"/>
        </w:trPr>
        <w:tc>
          <w:tcPr>
            <w:tcW w:w="2048" w:type="dxa"/>
            <w:vAlign w:val="center"/>
          </w:tcPr>
          <w:p w14:paraId="0F66DF5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937" w:type="dxa"/>
            <w:vAlign w:val="center"/>
          </w:tcPr>
          <w:p w14:paraId="7893FE1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6087127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38DB567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5191C04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FE5AC50" w14:textId="77777777">
        <w:trPr>
          <w:cantSplit/>
          <w:trHeight w:val="397"/>
          <w:jc w:val="center"/>
        </w:trPr>
        <w:tc>
          <w:tcPr>
            <w:tcW w:w="2048" w:type="dxa"/>
            <w:vAlign w:val="center"/>
          </w:tcPr>
          <w:p w14:paraId="6B7303C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937" w:type="dxa"/>
            <w:vAlign w:val="center"/>
          </w:tcPr>
          <w:p w14:paraId="3665188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0.32</w:t>
            </w:r>
          </w:p>
        </w:tc>
        <w:tc>
          <w:tcPr>
            <w:tcW w:w="1937" w:type="dxa"/>
            <w:vAlign w:val="center"/>
          </w:tcPr>
          <w:p w14:paraId="5F6BADA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0.23</w:t>
            </w:r>
          </w:p>
        </w:tc>
        <w:tc>
          <w:tcPr>
            <w:tcW w:w="1938" w:type="dxa"/>
            <w:vAlign w:val="center"/>
          </w:tcPr>
          <w:p w14:paraId="40F247C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0.25</w:t>
            </w:r>
          </w:p>
        </w:tc>
        <w:tc>
          <w:tcPr>
            <w:tcW w:w="1211" w:type="dxa"/>
            <w:vAlign w:val="center"/>
          </w:tcPr>
          <w:p w14:paraId="29B92C4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FE4C143" w14:textId="77777777">
        <w:trPr>
          <w:cantSplit/>
          <w:trHeight w:val="397"/>
          <w:jc w:val="center"/>
        </w:trPr>
        <w:tc>
          <w:tcPr>
            <w:tcW w:w="2048" w:type="dxa"/>
            <w:vAlign w:val="center"/>
          </w:tcPr>
          <w:p w14:paraId="69105C3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937" w:type="dxa"/>
            <w:vAlign w:val="center"/>
          </w:tcPr>
          <w:p w14:paraId="33ADA98E"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0.31</w:t>
            </w:r>
          </w:p>
        </w:tc>
        <w:tc>
          <w:tcPr>
            <w:tcW w:w="1937" w:type="dxa"/>
            <w:vAlign w:val="center"/>
          </w:tcPr>
          <w:p w14:paraId="284E79B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0.36</w:t>
            </w:r>
          </w:p>
        </w:tc>
        <w:tc>
          <w:tcPr>
            <w:tcW w:w="1938" w:type="dxa"/>
            <w:vAlign w:val="center"/>
          </w:tcPr>
          <w:p w14:paraId="659F2B4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0.40</w:t>
            </w:r>
          </w:p>
        </w:tc>
        <w:tc>
          <w:tcPr>
            <w:tcW w:w="1211" w:type="dxa"/>
            <w:vAlign w:val="center"/>
          </w:tcPr>
          <w:p w14:paraId="264B400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9BFE715" w14:textId="77777777">
        <w:trPr>
          <w:cantSplit/>
          <w:trHeight w:val="397"/>
          <w:jc w:val="center"/>
        </w:trPr>
        <w:tc>
          <w:tcPr>
            <w:tcW w:w="2048" w:type="dxa"/>
            <w:vAlign w:val="center"/>
          </w:tcPr>
          <w:p w14:paraId="75D6E3F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硒</w:t>
            </w:r>
          </w:p>
        </w:tc>
        <w:tc>
          <w:tcPr>
            <w:tcW w:w="1937" w:type="dxa"/>
            <w:vAlign w:val="center"/>
          </w:tcPr>
          <w:p w14:paraId="4FF405D2"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0.001</w:t>
            </w:r>
          </w:p>
        </w:tc>
        <w:tc>
          <w:tcPr>
            <w:tcW w:w="1937" w:type="dxa"/>
            <w:vAlign w:val="center"/>
          </w:tcPr>
          <w:p w14:paraId="5F901EA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938" w:type="dxa"/>
            <w:vAlign w:val="center"/>
          </w:tcPr>
          <w:p w14:paraId="36F4026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211" w:type="dxa"/>
            <w:vAlign w:val="center"/>
          </w:tcPr>
          <w:p w14:paraId="4A0DAD5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7489128" w14:textId="77777777">
        <w:trPr>
          <w:cantSplit/>
          <w:trHeight w:val="397"/>
          <w:jc w:val="center"/>
        </w:trPr>
        <w:tc>
          <w:tcPr>
            <w:tcW w:w="2048" w:type="dxa"/>
            <w:vAlign w:val="center"/>
          </w:tcPr>
          <w:p w14:paraId="2210C98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lastRenderedPageBreak/>
              <w:t>砷</w:t>
            </w:r>
          </w:p>
        </w:tc>
        <w:tc>
          <w:tcPr>
            <w:tcW w:w="1937" w:type="dxa"/>
            <w:vAlign w:val="center"/>
          </w:tcPr>
          <w:p w14:paraId="790F082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937" w:type="dxa"/>
            <w:vAlign w:val="center"/>
          </w:tcPr>
          <w:p w14:paraId="50B93D3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938" w:type="dxa"/>
            <w:vAlign w:val="center"/>
          </w:tcPr>
          <w:p w14:paraId="6D6DB6C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211" w:type="dxa"/>
            <w:vAlign w:val="center"/>
          </w:tcPr>
          <w:p w14:paraId="250AB82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1A740E4" w14:textId="77777777">
        <w:trPr>
          <w:cantSplit/>
          <w:trHeight w:val="397"/>
          <w:jc w:val="center"/>
        </w:trPr>
        <w:tc>
          <w:tcPr>
            <w:tcW w:w="2048" w:type="dxa"/>
            <w:vAlign w:val="center"/>
          </w:tcPr>
          <w:p w14:paraId="25F57A3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总</w:t>
            </w:r>
            <w:r>
              <w:rPr>
                <w:rFonts w:ascii="Times New Roman" w:eastAsia="宋体" w:hAnsi="Times New Roman" w:cs="Times New Roman"/>
                <w:sz w:val="21"/>
                <w:lang w:bidi="ar"/>
              </w:rPr>
              <w:t>汞</w:t>
            </w:r>
          </w:p>
        </w:tc>
        <w:tc>
          <w:tcPr>
            <w:tcW w:w="1937" w:type="dxa"/>
            <w:vAlign w:val="center"/>
          </w:tcPr>
          <w:p w14:paraId="555E1274"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7" w:type="dxa"/>
            <w:vAlign w:val="center"/>
          </w:tcPr>
          <w:p w14:paraId="14F6C5C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8" w:type="dxa"/>
            <w:vAlign w:val="center"/>
          </w:tcPr>
          <w:p w14:paraId="5A0D603E"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0.00002L</w:t>
            </w:r>
          </w:p>
        </w:tc>
        <w:tc>
          <w:tcPr>
            <w:tcW w:w="1211" w:type="dxa"/>
            <w:vAlign w:val="center"/>
          </w:tcPr>
          <w:p w14:paraId="4E32104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22C7697" w14:textId="77777777">
        <w:trPr>
          <w:cantSplit/>
          <w:trHeight w:val="397"/>
          <w:jc w:val="center"/>
        </w:trPr>
        <w:tc>
          <w:tcPr>
            <w:tcW w:w="2048" w:type="dxa"/>
            <w:vAlign w:val="center"/>
          </w:tcPr>
          <w:p w14:paraId="3871678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镉</w:t>
            </w:r>
          </w:p>
        </w:tc>
        <w:tc>
          <w:tcPr>
            <w:tcW w:w="1937" w:type="dxa"/>
            <w:vAlign w:val="center"/>
          </w:tcPr>
          <w:p w14:paraId="719CC9A7"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7" w:type="dxa"/>
            <w:vAlign w:val="center"/>
          </w:tcPr>
          <w:p w14:paraId="26F10D4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8" w:type="dxa"/>
            <w:vAlign w:val="center"/>
          </w:tcPr>
          <w:p w14:paraId="0897D961"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0.0001L</w:t>
            </w:r>
          </w:p>
        </w:tc>
        <w:tc>
          <w:tcPr>
            <w:tcW w:w="1211" w:type="dxa"/>
            <w:vAlign w:val="center"/>
          </w:tcPr>
          <w:p w14:paraId="447B1DA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BBC8131" w14:textId="77777777">
        <w:trPr>
          <w:cantSplit/>
          <w:trHeight w:val="397"/>
          <w:jc w:val="center"/>
        </w:trPr>
        <w:tc>
          <w:tcPr>
            <w:tcW w:w="2048" w:type="dxa"/>
            <w:vAlign w:val="center"/>
          </w:tcPr>
          <w:p w14:paraId="3ECE552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六价铬</w:t>
            </w:r>
          </w:p>
        </w:tc>
        <w:tc>
          <w:tcPr>
            <w:tcW w:w="1937" w:type="dxa"/>
            <w:vAlign w:val="center"/>
          </w:tcPr>
          <w:p w14:paraId="0CA65C6B"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653429C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1D334D8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5432CBA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970ED0A" w14:textId="77777777">
        <w:trPr>
          <w:cantSplit/>
          <w:trHeight w:val="397"/>
          <w:jc w:val="center"/>
        </w:trPr>
        <w:tc>
          <w:tcPr>
            <w:tcW w:w="2048" w:type="dxa"/>
            <w:vAlign w:val="center"/>
          </w:tcPr>
          <w:p w14:paraId="49B50A5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铅</w:t>
            </w:r>
          </w:p>
        </w:tc>
        <w:tc>
          <w:tcPr>
            <w:tcW w:w="1937" w:type="dxa"/>
            <w:vAlign w:val="center"/>
          </w:tcPr>
          <w:p w14:paraId="415BA29F"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7" w:type="dxa"/>
            <w:vAlign w:val="center"/>
          </w:tcPr>
          <w:p w14:paraId="737A8BD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8" w:type="dxa"/>
            <w:vAlign w:val="center"/>
          </w:tcPr>
          <w:p w14:paraId="3F54C93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211" w:type="dxa"/>
            <w:vAlign w:val="center"/>
          </w:tcPr>
          <w:p w14:paraId="32B94AA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9942EE4" w14:textId="77777777">
        <w:trPr>
          <w:cantSplit/>
          <w:trHeight w:val="397"/>
          <w:jc w:val="center"/>
        </w:trPr>
        <w:tc>
          <w:tcPr>
            <w:tcW w:w="2048" w:type="dxa"/>
            <w:vAlign w:val="center"/>
          </w:tcPr>
          <w:p w14:paraId="4C42575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937" w:type="dxa"/>
            <w:vAlign w:val="center"/>
          </w:tcPr>
          <w:p w14:paraId="281DCC72"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1A39067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18B9969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22D1E6E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FDDAD22" w14:textId="77777777">
        <w:trPr>
          <w:cantSplit/>
          <w:trHeight w:val="397"/>
          <w:jc w:val="center"/>
        </w:trPr>
        <w:tc>
          <w:tcPr>
            <w:tcW w:w="2048" w:type="dxa"/>
            <w:vAlign w:val="center"/>
          </w:tcPr>
          <w:p w14:paraId="74D7CE2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937" w:type="dxa"/>
            <w:vAlign w:val="center"/>
          </w:tcPr>
          <w:p w14:paraId="160C622C"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7" w:type="dxa"/>
            <w:vAlign w:val="center"/>
          </w:tcPr>
          <w:p w14:paraId="741EE7D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8" w:type="dxa"/>
            <w:vAlign w:val="center"/>
          </w:tcPr>
          <w:p w14:paraId="60B1AD6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211" w:type="dxa"/>
            <w:vAlign w:val="center"/>
          </w:tcPr>
          <w:p w14:paraId="1B56112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59D586E" w14:textId="77777777">
        <w:trPr>
          <w:cantSplit/>
          <w:trHeight w:val="397"/>
          <w:jc w:val="center"/>
        </w:trPr>
        <w:tc>
          <w:tcPr>
            <w:tcW w:w="2048" w:type="dxa"/>
            <w:vAlign w:val="center"/>
          </w:tcPr>
          <w:p w14:paraId="0647DDA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937" w:type="dxa"/>
            <w:vAlign w:val="center"/>
          </w:tcPr>
          <w:p w14:paraId="0E0E08A9"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4B6F047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7D0A8D6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18E0DD7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570A1BB" w14:textId="77777777">
        <w:trPr>
          <w:cantSplit/>
          <w:trHeight w:val="397"/>
          <w:jc w:val="center"/>
        </w:trPr>
        <w:tc>
          <w:tcPr>
            <w:tcW w:w="2048" w:type="dxa"/>
            <w:vAlign w:val="center"/>
          </w:tcPr>
          <w:p w14:paraId="005635E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937" w:type="dxa"/>
            <w:vAlign w:val="center"/>
          </w:tcPr>
          <w:p w14:paraId="065E8C67"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743D08B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6484064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37F24C9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587986A" w14:textId="77777777">
        <w:trPr>
          <w:cantSplit/>
          <w:trHeight w:val="397"/>
          <w:jc w:val="center"/>
        </w:trPr>
        <w:tc>
          <w:tcPr>
            <w:tcW w:w="2048" w:type="dxa"/>
            <w:vAlign w:val="center"/>
          </w:tcPr>
          <w:p w14:paraId="2CF9663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937" w:type="dxa"/>
            <w:vAlign w:val="center"/>
          </w:tcPr>
          <w:p w14:paraId="76D3194E"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1B7EB09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6648351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7B2996B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7183CB9" w14:textId="77777777">
        <w:trPr>
          <w:cantSplit/>
          <w:trHeight w:val="397"/>
          <w:jc w:val="center"/>
        </w:trPr>
        <w:tc>
          <w:tcPr>
            <w:tcW w:w="2048" w:type="dxa"/>
            <w:vAlign w:val="center"/>
          </w:tcPr>
          <w:p w14:paraId="3DEEDB5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937" w:type="dxa"/>
            <w:vAlign w:val="center"/>
          </w:tcPr>
          <w:p w14:paraId="0F60B734"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3.4</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7" w:type="dxa"/>
            <w:vAlign w:val="center"/>
          </w:tcPr>
          <w:p w14:paraId="0C60F44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3.8</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8" w:type="dxa"/>
            <w:vAlign w:val="center"/>
          </w:tcPr>
          <w:p w14:paraId="7E87E59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3.2</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211" w:type="dxa"/>
            <w:vAlign w:val="center"/>
          </w:tcPr>
          <w:p w14:paraId="3E809D1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6DC73745" w14:textId="77777777">
        <w:trPr>
          <w:cantSplit/>
          <w:trHeight w:val="397"/>
          <w:jc w:val="center"/>
        </w:trPr>
        <w:tc>
          <w:tcPr>
            <w:tcW w:w="2048" w:type="dxa"/>
            <w:vAlign w:val="center"/>
          </w:tcPr>
          <w:p w14:paraId="27DE6139"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937" w:type="dxa"/>
            <w:vAlign w:val="center"/>
          </w:tcPr>
          <w:p w14:paraId="19447D4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10.2</w:t>
            </w:r>
          </w:p>
        </w:tc>
        <w:tc>
          <w:tcPr>
            <w:tcW w:w="1937" w:type="dxa"/>
            <w:vAlign w:val="center"/>
          </w:tcPr>
          <w:p w14:paraId="7387081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10.7</w:t>
            </w:r>
          </w:p>
        </w:tc>
        <w:tc>
          <w:tcPr>
            <w:tcW w:w="1938" w:type="dxa"/>
            <w:vAlign w:val="center"/>
          </w:tcPr>
          <w:p w14:paraId="1E4F8CB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11.2</w:t>
            </w:r>
          </w:p>
        </w:tc>
        <w:tc>
          <w:tcPr>
            <w:tcW w:w="1211" w:type="dxa"/>
            <w:vAlign w:val="center"/>
          </w:tcPr>
          <w:p w14:paraId="6CD62145"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0EA03ECA" w14:textId="77777777" w:rsidR="009D12AF" w:rsidRDefault="00000000">
      <w:pPr>
        <w:ind w:firstLine="482"/>
        <w:jc w:val="center"/>
        <w:rPr>
          <w:b/>
          <w:bCs/>
        </w:rPr>
      </w:pPr>
      <w:r>
        <w:rPr>
          <w:rFonts w:hint="eastAsia"/>
          <w:b/>
          <w:bCs/>
        </w:rPr>
        <w:t>表</w:t>
      </w:r>
      <w:r>
        <w:rPr>
          <w:rFonts w:hint="eastAsia"/>
          <w:b/>
          <w:bCs/>
        </w:rPr>
        <w:t>4.3-8</w:t>
      </w:r>
      <w:r>
        <w:rPr>
          <w:rFonts w:hint="eastAsia"/>
          <w:b/>
          <w:bCs/>
        </w:rPr>
        <w:t>（</w:t>
      </w:r>
      <w:r>
        <w:rPr>
          <w:rFonts w:hint="eastAsia"/>
          <w:b/>
          <w:bCs/>
        </w:rPr>
        <w:t>6</w:t>
      </w:r>
      <w:r>
        <w:rPr>
          <w:rFonts w:hint="eastAsia"/>
          <w:b/>
          <w:bCs/>
        </w:rPr>
        <w:t>）</w:t>
      </w:r>
      <w:r>
        <w:rPr>
          <w:rFonts w:hint="eastAsia"/>
          <w:b/>
          <w:bCs/>
        </w:rPr>
        <w:t xml:space="preserve">  </w:t>
      </w:r>
      <w:r>
        <w:rPr>
          <w:rFonts w:hint="eastAsia"/>
          <w:b/>
          <w:bCs/>
        </w:rPr>
        <w:t>长石水库地表水环境监测结果</w:t>
      </w:r>
    </w:p>
    <w:tbl>
      <w:tblPr>
        <w:tblW w:w="907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048"/>
        <w:gridCol w:w="1937"/>
        <w:gridCol w:w="1937"/>
        <w:gridCol w:w="1938"/>
        <w:gridCol w:w="1211"/>
      </w:tblGrid>
      <w:tr w:rsidR="009D12AF" w14:paraId="5D7F3BBB" w14:textId="77777777">
        <w:trPr>
          <w:cantSplit/>
          <w:trHeight w:val="397"/>
          <w:jc w:val="center"/>
        </w:trPr>
        <w:tc>
          <w:tcPr>
            <w:tcW w:w="2048" w:type="dxa"/>
            <w:vAlign w:val="center"/>
          </w:tcPr>
          <w:p w14:paraId="34959470"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937" w:type="dxa"/>
            <w:tcBorders>
              <w:bottom w:val="single" w:sz="8" w:space="0" w:color="auto"/>
            </w:tcBorders>
            <w:vAlign w:val="center"/>
          </w:tcPr>
          <w:p w14:paraId="696C6A58"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rPr>
              <w:t>2025.10.07</w:t>
            </w:r>
          </w:p>
        </w:tc>
        <w:tc>
          <w:tcPr>
            <w:tcW w:w="1937" w:type="dxa"/>
            <w:tcBorders>
              <w:bottom w:val="single" w:sz="8" w:space="0" w:color="auto"/>
            </w:tcBorders>
            <w:vAlign w:val="center"/>
          </w:tcPr>
          <w:p w14:paraId="7F38B41E"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938" w:type="dxa"/>
            <w:tcBorders>
              <w:bottom w:val="single" w:sz="8" w:space="0" w:color="auto"/>
            </w:tcBorders>
            <w:vAlign w:val="center"/>
          </w:tcPr>
          <w:p w14:paraId="3D62D04B"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1211" w:type="dxa"/>
            <w:tcBorders>
              <w:bottom w:val="single" w:sz="8" w:space="0" w:color="auto"/>
            </w:tcBorders>
            <w:vAlign w:val="center"/>
          </w:tcPr>
          <w:p w14:paraId="12DDAE95"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w:t>
            </w:r>
          </w:p>
        </w:tc>
      </w:tr>
      <w:tr w:rsidR="009D12AF" w14:paraId="0A29EF05" w14:textId="77777777">
        <w:trPr>
          <w:cantSplit/>
          <w:trHeight w:val="397"/>
          <w:jc w:val="center"/>
        </w:trPr>
        <w:tc>
          <w:tcPr>
            <w:tcW w:w="2048" w:type="dxa"/>
            <w:tcBorders>
              <w:bottom w:val="single" w:sz="8" w:space="0" w:color="auto"/>
            </w:tcBorders>
            <w:vAlign w:val="center"/>
          </w:tcPr>
          <w:p w14:paraId="75235836"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5812" w:type="dxa"/>
            <w:gridSpan w:val="3"/>
            <w:tcBorders>
              <w:top w:val="single" w:sz="8" w:space="0" w:color="auto"/>
              <w:bottom w:val="single" w:sz="8" w:space="0" w:color="auto"/>
            </w:tcBorders>
            <w:vAlign w:val="center"/>
          </w:tcPr>
          <w:p w14:paraId="67FC034E"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rPr>
              <w:t>长石水库</w:t>
            </w:r>
            <w:r>
              <w:rPr>
                <w:rFonts w:ascii="Times New Roman" w:hAnsi="Times New Roman" w:cs="Times New Roman"/>
                <w:b/>
                <w:bCs/>
              </w:rPr>
              <w:t>3#</w:t>
            </w:r>
            <w:r>
              <w:rPr>
                <w:rFonts w:ascii="Times New Roman" w:hAnsi="Times New Roman" w:cs="Times New Roman" w:hint="eastAsia"/>
                <w:b/>
                <w:bCs/>
              </w:rPr>
              <w:t>（水底上</w:t>
            </w:r>
            <w:r>
              <w:rPr>
                <w:rFonts w:ascii="Times New Roman" w:hAnsi="Times New Roman" w:cs="Times New Roman" w:hint="eastAsia"/>
                <w:b/>
                <w:bCs/>
              </w:rPr>
              <w:t>0.5m</w:t>
            </w:r>
            <w:r>
              <w:rPr>
                <w:rFonts w:ascii="Times New Roman" w:hAnsi="Times New Roman" w:cs="Times New Roman" w:hint="eastAsia"/>
                <w:b/>
                <w:bCs/>
              </w:rPr>
              <w:t>）</w:t>
            </w:r>
          </w:p>
        </w:tc>
        <w:tc>
          <w:tcPr>
            <w:tcW w:w="1211" w:type="dxa"/>
            <w:tcBorders>
              <w:top w:val="single" w:sz="8" w:space="0" w:color="auto"/>
              <w:bottom w:val="single" w:sz="8" w:space="0" w:color="auto"/>
            </w:tcBorders>
            <w:vAlign w:val="center"/>
          </w:tcPr>
          <w:p w14:paraId="4A17B28F"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kern w:val="0"/>
                <w:szCs w:val="21"/>
              </w:rPr>
              <w:t>/</w:t>
            </w:r>
          </w:p>
        </w:tc>
      </w:tr>
      <w:tr w:rsidR="009D12AF" w14:paraId="65DBD9F5" w14:textId="77777777">
        <w:trPr>
          <w:cantSplit/>
          <w:trHeight w:val="397"/>
          <w:jc w:val="center"/>
        </w:trPr>
        <w:tc>
          <w:tcPr>
            <w:tcW w:w="2048" w:type="dxa"/>
            <w:vAlign w:val="center"/>
          </w:tcPr>
          <w:p w14:paraId="05C348D8"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检测项目</w:t>
            </w:r>
          </w:p>
        </w:tc>
        <w:tc>
          <w:tcPr>
            <w:tcW w:w="5812" w:type="dxa"/>
            <w:gridSpan w:val="3"/>
            <w:tcBorders>
              <w:top w:val="single" w:sz="8" w:space="0" w:color="auto"/>
              <w:bottom w:val="single" w:sz="8" w:space="0" w:color="auto"/>
            </w:tcBorders>
            <w:vAlign w:val="center"/>
          </w:tcPr>
          <w:p w14:paraId="2FCE3886"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kern w:val="0"/>
                <w:szCs w:val="21"/>
              </w:rPr>
              <w:t>检测结果</w:t>
            </w:r>
          </w:p>
        </w:tc>
        <w:tc>
          <w:tcPr>
            <w:tcW w:w="1211" w:type="dxa"/>
            <w:tcBorders>
              <w:top w:val="single" w:sz="8" w:space="0" w:color="auto"/>
              <w:bottom w:val="single" w:sz="8" w:space="0" w:color="auto"/>
            </w:tcBorders>
            <w:vAlign w:val="center"/>
          </w:tcPr>
          <w:p w14:paraId="155B2D0C"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单位</w:t>
            </w:r>
          </w:p>
        </w:tc>
      </w:tr>
      <w:tr w:rsidR="009D12AF" w14:paraId="23DE5777" w14:textId="77777777">
        <w:trPr>
          <w:cantSplit/>
          <w:trHeight w:val="397"/>
          <w:jc w:val="center"/>
        </w:trPr>
        <w:tc>
          <w:tcPr>
            <w:tcW w:w="2048" w:type="dxa"/>
            <w:vAlign w:val="center"/>
          </w:tcPr>
          <w:p w14:paraId="3E457979"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937" w:type="dxa"/>
            <w:tcBorders>
              <w:top w:val="single" w:sz="8" w:space="0" w:color="auto"/>
              <w:bottom w:val="single" w:sz="8" w:space="0" w:color="auto"/>
            </w:tcBorders>
            <w:vAlign w:val="center"/>
          </w:tcPr>
          <w:p w14:paraId="0A51FF4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250940DB0602D1</w:t>
            </w:r>
          </w:p>
        </w:tc>
        <w:tc>
          <w:tcPr>
            <w:tcW w:w="1937" w:type="dxa"/>
            <w:tcBorders>
              <w:top w:val="single" w:sz="8" w:space="0" w:color="auto"/>
              <w:bottom w:val="single" w:sz="8" w:space="0" w:color="auto"/>
            </w:tcBorders>
            <w:vAlign w:val="center"/>
          </w:tcPr>
          <w:p w14:paraId="06BA5AD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250940DB0602D2</w:t>
            </w:r>
          </w:p>
        </w:tc>
        <w:tc>
          <w:tcPr>
            <w:tcW w:w="1938" w:type="dxa"/>
            <w:tcBorders>
              <w:top w:val="single" w:sz="8" w:space="0" w:color="auto"/>
              <w:bottom w:val="single" w:sz="8" w:space="0" w:color="auto"/>
            </w:tcBorders>
            <w:vAlign w:val="center"/>
          </w:tcPr>
          <w:p w14:paraId="363B0DF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250940DB0602D3</w:t>
            </w:r>
          </w:p>
        </w:tc>
        <w:tc>
          <w:tcPr>
            <w:tcW w:w="1211" w:type="dxa"/>
            <w:tcBorders>
              <w:top w:val="single" w:sz="8" w:space="0" w:color="auto"/>
              <w:bottom w:val="single" w:sz="8" w:space="0" w:color="auto"/>
            </w:tcBorders>
            <w:vAlign w:val="center"/>
          </w:tcPr>
          <w:p w14:paraId="1292C6B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3AA6CCB2" w14:textId="77777777">
        <w:trPr>
          <w:cantSplit/>
          <w:trHeight w:val="397"/>
          <w:jc w:val="center"/>
        </w:trPr>
        <w:tc>
          <w:tcPr>
            <w:tcW w:w="2048" w:type="dxa"/>
            <w:vAlign w:val="center"/>
          </w:tcPr>
          <w:p w14:paraId="23CE22CF"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937" w:type="dxa"/>
            <w:tcBorders>
              <w:top w:val="single" w:sz="8" w:space="0" w:color="auto"/>
              <w:bottom w:val="single" w:sz="8" w:space="0" w:color="auto"/>
            </w:tcBorders>
            <w:vAlign w:val="center"/>
          </w:tcPr>
          <w:p w14:paraId="361A29FB"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7.5</w:t>
            </w:r>
          </w:p>
        </w:tc>
        <w:tc>
          <w:tcPr>
            <w:tcW w:w="1937" w:type="dxa"/>
            <w:tcBorders>
              <w:top w:val="single" w:sz="8" w:space="0" w:color="auto"/>
              <w:bottom w:val="single" w:sz="8" w:space="0" w:color="auto"/>
            </w:tcBorders>
            <w:vAlign w:val="center"/>
          </w:tcPr>
          <w:p w14:paraId="24C9404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7.7</w:t>
            </w:r>
          </w:p>
        </w:tc>
        <w:tc>
          <w:tcPr>
            <w:tcW w:w="1938" w:type="dxa"/>
            <w:tcBorders>
              <w:top w:val="single" w:sz="8" w:space="0" w:color="auto"/>
              <w:bottom w:val="single" w:sz="8" w:space="0" w:color="auto"/>
            </w:tcBorders>
            <w:vAlign w:val="center"/>
          </w:tcPr>
          <w:p w14:paraId="57B493B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7.6</w:t>
            </w:r>
          </w:p>
        </w:tc>
        <w:tc>
          <w:tcPr>
            <w:tcW w:w="1211" w:type="dxa"/>
            <w:tcBorders>
              <w:top w:val="single" w:sz="8" w:space="0" w:color="auto"/>
              <w:bottom w:val="single" w:sz="8" w:space="0" w:color="auto"/>
            </w:tcBorders>
            <w:vAlign w:val="center"/>
          </w:tcPr>
          <w:p w14:paraId="4593300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2E284BC8" w14:textId="77777777">
        <w:trPr>
          <w:cantSplit/>
          <w:trHeight w:val="397"/>
          <w:jc w:val="center"/>
        </w:trPr>
        <w:tc>
          <w:tcPr>
            <w:tcW w:w="2048" w:type="dxa"/>
            <w:vAlign w:val="center"/>
          </w:tcPr>
          <w:p w14:paraId="2C07931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937" w:type="dxa"/>
            <w:vAlign w:val="center"/>
          </w:tcPr>
          <w:p w14:paraId="39A1DB2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7.6</w:t>
            </w:r>
          </w:p>
        </w:tc>
        <w:tc>
          <w:tcPr>
            <w:tcW w:w="1937" w:type="dxa"/>
            <w:vAlign w:val="center"/>
          </w:tcPr>
          <w:p w14:paraId="11622BA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6.0</w:t>
            </w:r>
          </w:p>
        </w:tc>
        <w:tc>
          <w:tcPr>
            <w:tcW w:w="1938" w:type="dxa"/>
            <w:vAlign w:val="center"/>
          </w:tcPr>
          <w:p w14:paraId="7E32A65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6.8</w:t>
            </w:r>
          </w:p>
        </w:tc>
        <w:tc>
          <w:tcPr>
            <w:tcW w:w="1211" w:type="dxa"/>
            <w:vAlign w:val="center"/>
          </w:tcPr>
          <w:p w14:paraId="782492F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05EE6C6" w14:textId="77777777">
        <w:trPr>
          <w:cantSplit/>
          <w:trHeight w:val="361"/>
          <w:jc w:val="center"/>
        </w:trPr>
        <w:tc>
          <w:tcPr>
            <w:tcW w:w="2048" w:type="dxa"/>
            <w:vAlign w:val="center"/>
          </w:tcPr>
          <w:p w14:paraId="5AEFF6F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937" w:type="dxa"/>
            <w:vAlign w:val="center"/>
          </w:tcPr>
          <w:p w14:paraId="42E2749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4.2</w:t>
            </w:r>
          </w:p>
        </w:tc>
        <w:tc>
          <w:tcPr>
            <w:tcW w:w="1937" w:type="dxa"/>
            <w:vAlign w:val="center"/>
          </w:tcPr>
          <w:p w14:paraId="049F9F4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4.5</w:t>
            </w:r>
          </w:p>
        </w:tc>
        <w:tc>
          <w:tcPr>
            <w:tcW w:w="1938" w:type="dxa"/>
            <w:vAlign w:val="center"/>
          </w:tcPr>
          <w:p w14:paraId="7AAEE34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4.6</w:t>
            </w:r>
          </w:p>
        </w:tc>
        <w:tc>
          <w:tcPr>
            <w:tcW w:w="1211" w:type="dxa"/>
            <w:vAlign w:val="center"/>
          </w:tcPr>
          <w:p w14:paraId="2252DFC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964856B" w14:textId="77777777">
        <w:trPr>
          <w:cantSplit/>
          <w:trHeight w:val="397"/>
          <w:jc w:val="center"/>
        </w:trPr>
        <w:tc>
          <w:tcPr>
            <w:tcW w:w="2048" w:type="dxa"/>
            <w:vAlign w:val="center"/>
          </w:tcPr>
          <w:p w14:paraId="33C816D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937" w:type="dxa"/>
            <w:vAlign w:val="center"/>
          </w:tcPr>
          <w:p w14:paraId="1E2118F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25</w:t>
            </w:r>
          </w:p>
        </w:tc>
        <w:tc>
          <w:tcPr>
            <w:tcW w:w="1937" w:type="dxa"/>
            <w:vAlign w:val="center"/>
          </w:tcPr>
          <w:p w14:paraId="76C6791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23</w:t>
            </w:r>
          </w:p>
        </w:tc>
        <w:tc>
          <w:tcPr>
            <w:tcW w:w="1938" w:type="dxa"/>
            <w:vAlign w:val="center"/>
          </w:tcPr>
          <w:p w14:paraId="371F5EC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12</w:t>
            </w:r>
          </w:p>
        </w:tc>
        <w:tc>
          <w:tcPr>
            <w:tcW w:w="1211" w:type="dxa"/>
            <w:vAlign w:val="center"/>
          </w:tcPr>
          <w:p w14:paraId="498333B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B26F0C1" w14:textId="77777777">
        <w:trPr>
          <w:cantSplit/>
          <w:trHeight w:val="397"/>
          <w:jc w:val="center"/>
        </w:trPr>
        <w:tc>
          <w:tcPr>
            <w:tcW w:w="2048" w:type="dxa"/>
            <w:vAlign w:val="center"/>
          </w:tcPr>
          <w:p w14:paraId="305F36B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937" w:type="dxa"/>
            <w:vAlign w:val="center"/>
          </w:tcPr>
          <w:p w14:paraId="4FC2999E" w14:textId="77777777" w:rsidR="009D12AF" w:rsidRDefault="00000000">
            <w:pPr>
              <w:widowControl/>
              <w:ind w:firstLineChars="0" w:firstLine="0"/>
              <w:jc w:val="center"/>
              <w:textAlignment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8.0</w:t>
            </w:r>
          </w:p>
        </w:tc>
        <w:tc>
          <w:tcPr>
            <w:tcW w:w="1937" w:type="dxa"/>
            <w:vAlign w:val="center"/>
          </w:tcPr>
          <w:p w14:paraId="778C106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7.8</w:t>
            </w:r>
          </w:p>
        </w:tc>
        <w:tc>
          <w:tcPr>
            <w:tcW w:w="1938" w:type="dxa"/>
            <w:vAlign w:val="center"/>
          </w:tcPr>
          <w:p w14:paraId="535DF64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6.2</w:t>
            </w:r>
          </w:p>
        </w:tc>
        <w:tc>
          <w:tcPr>
            <w:tcW w:w="1211" w:type="dxa"/>
            <w:vAlign w:val="center"/>
          </w:tcPr>
          <w:p w14:paraId="56BD670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4499BA1" w14:textId="77777777">
        <w:trPr>
          <w:cantSplit/>
          <w:trHeight w:val="397"/>
          <w:jc w:val="center"/>
        </w:trPr>
        <w:tc>
          <w:tcPr>
            <w:tcW w:w="2048" w:type="dxa"/>
            <w:vAlign w:val="center"/>
          </w:tcPr>
          <w:p w14:paraId="5FEEFB3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937" w:type="dxa"/>
            <w:vAlign w:val="center"/>
          </w:tcPr>
          <w:p w14:paraId="6E279A42" w14:textId="77777777" w:rsidR="009D12AF" w:rsidRDefault="00000000">
            <w:pPr>
              <w:widowControl/>
              <w:ind w:firstLineChars="0" w:firstLine="0"/>
              <w:jc w:val="center"/>
              <w:textAlignment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0.765</w:t>
            </w:r>
          </w:p>
        </w:tc>
        <w:tc>
          <w:tcPr>
            <w:tcW w:w="1937" w:type="dxa"/>
            <w:vAlign w:val="center"/>
          </w:tcPr>
          <w:p w14:paraId="0055C1C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0.882</w:t>
            </w:r>
          </w:p>
        </w:tc>
        <w:tc>
          <w:tcPr>
            <w:tcW w:w="1938" w:type="dxa"/>
            <w:vAlign w:val="center"/>
          </w:tcPr>
          <w:p w14:paraId="74F897A2"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0.913</w:t>
            </w:r>
          </w:p>
        </w:tc>
        <w:tc>
          <w:tcPr>
            <w:tcW w:w="1211" w:type="dxa"/>
            <w:vAlign w:val="center"/>
          </w:tcPr>
          <w:p w14:paraId="7FDE0A9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A773E2F" w14:textId="77777777">
        <w:trPr>
          <w:cantSplit/>
          <w:trHeight w:val="397"/>
          <w:jc w:val="center"/>
        </w:trPr>
        <w:tc>
          <w:tcPr>
            <w:tcW w:w="2048" w:type="dxa"/>
            <w:vAlign w:val="center"/>
          </w:tcPr>
          <w:p w14:paraId="16E40F5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937" w:type="dxa"/>
            <w:vAlign w:val="center"/>
          </w:tcPr>
          <w:p w14:paraId="462D1149" w14:textId="77777777" w:rsidR="009D12AF" w:rsidRDefault="00000000">
            <w:pPr>
              <w:widowControl/>
              <w:spacing w:line="240" w:lineRule="exact"/>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0.12</w:t>
            </w:r>
          </w:p>
        </w:tc>
        <w:tc>
          <w:tcPr>
            <w:tcW w:w="1937" w:type="dxa"/>
            <w:vAlign w:val="center"/>
          </w:tcPr>
          <w:p w14:paraId="49FCFC7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0.14</w:t>
            </w:r>
          </w:p>
        </w:tc>
        <w:tc>
          <w:tcPr>
            <w:tcW w:w="1938" w:type="dxa"/>
            <w:vAlign w:val="center"/>
          </w:tcPr>
          <w:p w14:paraId="096DCD4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0.14</w:t>
            </w:r>
          </w:p>
        </w:tc>
        <w:tc>
          <w:tcPr>
            <w:tcW w:w="1211" w:type="dxa"/>
            <w:vAlign w:val="center"/>
          </w:tcPr>
          <w:p w14:paraId="5469D0A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07BC42B" w14:textId="77777777">
        <w:trPr>
          <w:cantSplit/>
          <w:trHeight w:val="397"/>
          <w:jc w:val="center"/>
        </w:trPr>
        <w:tc>
          <w:tcPr>
            <w:tcW w:w="2048" w:type="dxa"/>
            <w:vAlign w:val="center"/>
          </w:tcPr>
          <w:p w14:paraId="4B9979E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937" w:type="dxa"/>
            <w:vAlign w:val="center"/>
          </w:tcPr>
          <w:p w14:paraId="59E64AE3"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1.92</w:t>
            </w:r>
          </w:p>
        </w:tc>
        <w:tc>
          <w:tcPr>
            <w:tcW w:w="1937" w:type="dxa"/>
            <w:vAlign w:val="center"/>
          </w:tcPr>
          <w:p w14:paraId="72D3DA9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1.85</w:t>
            </w:r>
          </w:p>
        </w:tc>
        <w:tc>
          <w:tcPr>
            <w:tcW w:w="1938" w:type="dxa"/>
            <w:vAlign w:val="center"/>
          </w:tcPr>
          <w:p w14:paraId="4476349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1.99</w:t>
            </w:r>
          </w:p>
        </w:tc>
        <w:tc>
          <w:tcPr>
            <w:tcW w:w="1211" w:type="dxa"/>
            <w:vAlign w:val="center"/>
          </w:tcPr>
          <w:p w14:paraId="05CD4FD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93EFC72" w14:textId="77777777">
        <w:trPr>
          <w:cantSplit/>
          <w:trHeight w:val="397"/>
          <w:jc w:val="center"/>
        </w:trPr>
        <w:tc>
          <w:tcPr>
            <w:tcW w:w="2048" w:type="dxa"/>
            <w:vAlign w:val="center"/>
          </w:tcPr>
          <w:p w14:paraId="172164C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937" w:type="dxa"/>
            <w:vAlign w:val="center"/>
          </w:tcPr>
          <w:p w14:paraId="7724519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475A7D7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758B60C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7F0D388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C81B52A" w14:textId="77777777">
        <w:trPr>
          <w:cantSplit/>
          <w:trHeight w:val="397"/>
          <w:jc w:val="center"/>
        </w:trPr>
        <w:tc>
          <w:tcPr>
            <w:tcW w:w="2048" w:type="dxa"/>
            <w:vAlign w:val="center"/>
          </w:tcPr>
          <w:p w14:paraId="4067740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937" w:type="dxa"/>
            <w:vAlign w:val="center"/>
          </w:tcPr>
          <w:p w14:paraId="5BDC4AB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0.35</w:t>
            </w:r>
          </w:p>
        </w:tc>
        <w:tc>
          <w:tcPr>
            <w:tcW w:w="1937" w:type="dxa"/>
            <w:vAlign w:val="center"/>
          </w:tcPr>
          <w:p w14:paraId="2D2A9A6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0.35</w:t>
            </w:r>
          </w:p>
        </w:tc>
        <w:tc>
          <w:tcPr>
            <w:tcW w:w="1938" w:type="dxa"/>
            <w:vAlign w:val="center"/>
          </w:tcPr>
          <w:p w14:paraId="5672586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0.31</w:t>
            </w:r>
          </w:p>
        </w:tc>
        <w:tc>
          <w:tcPr>
            <w:tcW w:w="1211" w:type="dxa"/>
            <w:vAlign w:val="center"/>
          </w:tcPr>
          <w:p w14:paraId="7BB6525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A0FD7FE" w14:textId="77777777">
        <w:trPr>
          <w:cantSplit/>
          <w:trHeight w:val="397"/>
          <w:jc w:val="center"/>
        </w:trPr>
        <w:tc>
          <w:tcPr>
            <w:tcW w:w="2048" w:type="dxa"/>
            <w:vAlign w:val="center"/>
          </w:tcPr>
          <w:p w14:paraId="370FD2E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937" w:type="dxa"/>
            <w:vAlign w:val="center"/>
          </w:tcPr>
          <w:p w14:paraId="751B3FDC"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0.29</w:t>
            </w:r>
          </w:p>
        </w:tc>
        <w:tc>
          <w:tcPr>
            <w:tcW w:w="1937" w:type="dxa"/>
            <w:vAlign w:val="center"/>
          </w:tcPr>
          <w:p w14:paraId="316DC77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0.25</w:t>
            </w:r>
          </w:p>
        </w:tc>
        <w:tc>
          <w:tcPr>
            <w:tcW w:w="1938" w:type="dxa"/>
            <w:vAlign w:val="center"/>
          </w:tcPr>
          <w:p w14:paraId="5B8B0E4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0.22</w:t>
            </w:r>
          </w:p>
        </w:tc>
        <w:tc>
          <w:tcPr>
            <w:tcW w:w="1211" w:type="dxa"/>
            <w:vAlign w:val="center"/>
          </w:tcPr>
          <w:p w14:paraId="00AEB98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8C7ABFF" w14:textId="77777777">
        <w:trPr>
          <w:cantSplit/>
          <w:trHeight w:val="397"/>
          <w:jc w:val="center"/>
        </w:trPr>
        <w:tc>
          <w:tcPr>
            <w:tcW w:w="2048" w:type="dxa"/>
            <w:vAlign w:val="center"/>
          </w:tcPr>
          <w:p w14:paraId="5CDDF95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硒</w:t>
            </w:r>
          </w:p>
        </w:tc>
        <w:tc>
          <w:tcPr>
            <w:tcW w:w="1937" w:type="dxa"/>
            <w:vAlign w:val="center"/>
          </w:tcPr>
          <w:p w14:paraId="4AB3BAFA" w14:textId="77777777" w:rsidR="009D12AF" w:rsidRDefault="00000000">
            <w:pPr>
              <w:widowControl/>
              <w:spacing w:line="240" w:lineRule="exact"/>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0.001</w:t>
            </w:r>
          </w:p>
        </w:tc>
        <w:tc>
          <w:tcPr>
            <w:tcW w:w="1937" w:type="dxa"/>
            <w:vAlign w:val="center"/>
          </w:tcPr>
          <w:p w14:paraId="6C18D50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938" w:type="dxa"/>
            <w:vAlign w:val="center"/>
          </w:tcPr>
          <w:p w14:paraId="0FB1169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211" w:type="dxa"/>
            <w:vAlign w:val="center"/>
          </w:tcPr>
          <w:p w14:paraId="17BD007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B98FAC0" w14:textId="77777777">
        <w:trPr>
          <w:cantSplit/>
          <w:trHeight w:val="397"/>
          <w:jc w:val="center"/>
        </w:trPr>
        <w:tc>
          <w:tcPr>
            <w:tcW w:w="2048" w:type="dxa"/>
            <w:vAlign w:val="center"/>
          </w:tcPr>
          <w:p w14:paraId="2F1E3C8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lastRenderedPageBreak/>
              <w:t>砷</w:t>
            </w:r>
          </w:p>
        </w:tc>
        <w:tc>
          <w:tcPr>
            <w:tcW w:w="1937" w:type="dxa"/>
            <w:vAlign w:val="center"/>
          </w:tcPr>
          <w:p w14:paraId="3604567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937" w:type="dxa"/>
            <w:vAlign w:val="center"/>
          </w:tcPr>
          <w:p w14:paraId="5F76DEA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938" w:type="dxa"/>
            <w:vAlign w:val="center"/>
          </w:tcPr>
          <w:p w14:paraId="6E47FC4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211" w:type="dxa"/>
            <w:vAlign w:val="center"/>
          </w:tcPr>
          <w:p w14:paraId="5AA5898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1E7A357" w14:textId="77777777">
        <w:trPr>
          <w:cantSplit/>
          <w:trHeight w:val="397"/>
          <w:jc w:val="center"/>
        </w:trPr>
        <w:tc>
          <w:tcPr>
            <w:tcW w:w="2048" w:type="dxa"/>
            <w:vAlign w:val="center"/>
          </w:tcPr>
          <w:p w14:paraId="56D845E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总</w:t>
            </w:r>
            <w:r>
              <w:rPr>
                <w:rFonts w:ascii="Times New Roman" w:eastAsia="宋体" w:hAnsi="Times New Roman" w:cs="Times New Roman"/>
                <w:sz w:val="21"/>
                <w:lang w:bidi="ar"/>
              </w:rPr>
              <w:t>汞</w:t>
            </w:r>
          </w:p>
        </w:tc>
        <w:tc>
          <w:tcPr>
            <w:tcW w:w="1937" w:type="dxa"/>
            <w:vAlign w:val="center"/>
          </w:tcPr>
          <w:p w14:paraId="41FEAAE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7" w:type="dxa"/>
            <w:vAlign w:val="center"/>
          </w:tcPr>
          <w:p w14:paraId="61F0112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8" w:type="dxa"/>
            <w:vAlign w:val="center"/>
          </w:tcPr>
          <w:p w14:paraId="51CFC556"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0.00002L</w:t>
            </w:r>
          </w:p>
        </w:tc>
        <w:tc>
          <w:tcPr>
            <w:tcW w:w="1211" w:type="dxa"/>
            <w:vAlign w:val="center"/>
          </w:tcPr>
          <w:p w14:paraId="2AD253D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E82F314" w14:textId="77777777">
        <w:trPr>
          <w:cantSplit/>
          <w:trHeight w:val="397"/>
          <w:jc w:val="center"/>
        </w:trPr>
        <w:tc>
          <w:tcPr>
            <w:tcW w:w="2048" w:type="dxa"/>
            <w:vAlign w:val="center"/>
          </w:tcPr>
          <w:p w14:paraId="0E7235F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镉</w:t>
            </w:r>
          </w:p>
        </w:tc>
        <w:tc>
          <w:tcPr>
            <w:tcW w:w="1937" w:type="dxa"/>
            <w:vAlign w:val="center"/>
          </w:tcPr>
          <w:p w14:paraId="4E8C499F"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7" w:type="dxa"/>
            <w:vAlign w:val="center"/>
          </w:tcPr>
          <w:p w14:paraId="76F1484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8" w:type="dxa"/>
            <w:vAlign w:val="center"/>
          </w:tcPr>
          <w:p w14:paraId="216DCA3F"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0.0001L</w:t>
            </w:r>
          </w:p>
        </w:tc>
        <w:tc>
          <w:tcPr>
            <w:tcW w:w="1211" w:type="dxa"/>
            <w:vAlign w:val="center"/>
          </w:tcPr>
          <w:p w14:paraId="0BF4844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83EFC31" w14:textId="77777777">
        <w:trPr>
          <w:cantSplit/>
          <w:trHeight w:val="397"/>
          <w:jc w:val="center"/>
        </w:trPr>
        <w:tc>
          <w:tcPr>
            <w:tcW w:w="2048" w:type="dxa"/>
            <w:vAlign w:val="center"/>
          </w:tcPr>
          <w:p w14:paraId="40B41FF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六价铬</w:t>
            </w:r>
          </w:p>
        </w:tc>
        <w:tc>
          <w:tcPr>
            <w:tcW w:w="1937" w:type="dxa"/>
            <w:vAlign w:val="center"/>
          </w:tcPr>
          <w:p w14:paraId="593ABDBD"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3D8DDD4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066F53B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77EBB30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0EEA59E" w14:textId="77777777">
        <w:trPr>
          <w:cantSplit/>
          <w:trHeight w:val="397"/>
          <w:jc w:val="center"/>
        </w:trPr>
        <w:tc>
          <w:tcPr>
            <w:tcW w:w="2048" w:type="dxa"/>
            <w:vAlign w:val="center"/>
          </w:tcPr>
          <w:p w14:paraId="135D9A9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铅</w:t>
            </w:r>
          </w:p>
        </w:tc>
        <w:tc>
          <w:tcPr>
            <w:tcW w:w="1937" w:type="dxa"/>
            <w:vAlign w:val="center"/>
          </w:tcPr>
          <w:p w14:paraId="08FFCAC7"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7" w:type="dxa"/>
            <w:vAlign w:val="center"/>
          </w:tcPr>
          <w:p w14:paraId="5812F1C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8" w:type="dxa"/>
            <w:vAlign w:val="center"/>
          </w:tcPr>
          <w:p w14:paraId="69D370E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211" w:type="dxa"/>
            <w:vAlign w:val="center"/>
          </w:tcPr>
          <w:p w14:paraId="6F9F64E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B9FA5CA" w14:textId="77777777">
        <w:trPr>
          <w:cantSplit/>
          <w:trHeight w:val="397"/>
          <w:jc w:val="center"/>
        </w:trPr>
        <w:tc>
          <w:tcPr>
            <w:tcW w:w="2048" w:type="dxa"/>
            <w:vAlign w:val="center"/>
          </w:tcPr>
          <w:p w14:paraId="6E54851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937" w:type="dxa"/>
            <w:vAlign w:val="center"/>
          </w:tcPr>
          <w:p w14:paraId="3B83F797"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50BE231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2955DF6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5E688AB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AB8FE10" w14:textId="77777777">
        <w:trPr>
          <w:cantSplit/>
          <w:trHeight w:val="397"/>
          <w:jc w:val="center"/>
        </w:trPr>
        <w:tc>
          <w:tcPr>
            <w:tcW w:w="2048" w:type="dxa"/>
            <w:vAlign w:val="center"/>
          </w:tcPr>
          <w:p w14:paraId="66A81F8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937" w:type="dxa"/>
            <w:vAlign w:val="center"/>
          </w:tcPr>
          <w:p w14:paraId="5ACD9212"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7" w:type="dxa"/>
            <w:vAlign w:val="center"/>
          </w:tcPr>
          <w:p w14:paraId="1B69A03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8" w:type="dxa"/>
            <w:vAlign w:val="center"/>
          </w:tcPr>
          <w:p w14:paraId="3E3367F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211" w:type="dxa"/>
            <w:vAlign w:val="center"/>
          </w:tcPr>
          <w:p w14:paraId="55286BB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6A74C85" w14:textId="77777777">
        <w:trPr>
          <w:cantSplit/>
          <w:trHeight w:val="397"/>
          <w:jc w:val="center"/>
        </w:trPr>
        <w:tc>
          <w:tcPr>
            <w:tcW w:w="2048" w:type="dxa"/>
            <w:vAlign w:val="center"/>
          </w:tcPr>
          <w:p w14:paraId="75F7503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937" w:type="dxa"/>
            <w:vAlign w:val="center"/>
          </w:tcPr>
          <w:p w14:paraId="2BCDA58D"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0B54DC0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5189CF2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2EDD30D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053021E" w14:textId="77777777">
        <w:trPr>
          <w:cantSplit/>
          <w:trHeight w:val="397"/>
          <w:jc w:val="center"/>
        </w:trPr>
        <w:tc>
          <w:tcPr>
            <w:tcW w:w="2048" w:type="dxa"/>
            <w:vAlign w:val="center"/>
          </w:tcPr>
          <w:p w14:paraId="0B2F6EC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937" w:type="dxa"/>
            <w:vAlign w:val="center"/>
          </w:tcPr>
          <w:p w14:paraId="35BA51EA"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47E554A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43EC571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5CD4F1F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5FA6CD8" w14:textId="77777777">
        <w:trPr>
          <w:cantSplit/>
          <w:trHeight w:val="397"/>
          <w:jc w:val="center"/>
        </w:trPr>
        <w:tc>
          <w:tcPr>
            <w:tcW w:w="2048" w:type="dxa"/>
            <w:vAlign w:val="center"/>
          </w:tcPr>
          <w:p w14:paraId="3B8528F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937" w:type="dxa"/>
            <w:vAlign w:val="center"/>
          </w:tcPr>
          <w:p w14:paraId="7E8267EB"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6BD9A5C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17BA4DA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6142426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72FCF6A" w14:textId="77777777">
        <w:trPr>
          <w:cantSplit/>
          <w:trHeight w:val="397"/>
          <w:jc w:val="center"/>
        </w:trPr>
        <w:tc>
          <w:tcPr>
            <w:tcW w:w="2048" w:type="dxa"/>
            <w:vAlign w:val="center"/>
          </w:tcPr>
          <w:p w14:paraId="332E64E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937" w:type="dxa"/>
            <w:vAlign w:val="center"/>
          </w:tcPr>
          <w:p w14:paraId="15E0A704"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3.6</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7" w:type="dxa"/>
            <w:vAlign w:val="center"/>
          </w:tcPr>
          <w:p w14:paraId="6673FC6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3.1</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8" w:type="dxa"/>
            <w:vAlign w:val="center"/>
          </w:tcPr>
          <w:p w14:paraId="0AA7AF6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211" w:type="dxa"/>
            <w:vAlign w:val="center"/>
          </w:tcPr>
          <w:p w14:paraId="5DFFBE2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0F31A06A" w14:textId="77777777">
        <w:trPr>
          <w:cantSplit/>
          <w:trHeight w:val="397"/>
          <w:jc w:val="center"/>
        </w:trPr>
        <w:tc>
          <w:tcPr>
            <w:tcW w:w="2048" w:type="dxa"/>
            <w:vAlign w:val="center"/>
          </w:tcPr>
          <w:p w14:paraId="4034F424"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937" w:type="dxa"/>
            <w:vAlign w:val="center"/>
          </w:tcPr>
          <w:p w14:paraId="4A86F2B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13.0</w:t>
            </w:r>
          </w:p>
        </w:tc>
        <w:tc>
          <w:tcPr>
            <w:tcW w:w="1937" w:type="dxa"/>
            <w:vAlign w:val="center"/>
          </w:tcPr>
          <w:p w14:paraId="361AA7C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13.1</w:t>
            </w:r>
          </w:p>
        </w:tc>
        <w:tc>
          <w:tcPr>
            <w:tcW w:w="1938" w:type="dxa"/>
            <w:vAlign w:val="center"/>
          </w:tcPr>
          <w:p w14:paraId="37A27D5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13.6</w:t>
            </w:r>
          </w:p>
        </w:tc>
        <w:tc>
          <w:tcPr>
            <w:tcW w:w="1211" w:type="dxa"/>
            <w:vAlign w:val="center"/>
          </w:tcPr>
          <w:p w14:paraId="6FAE5CF9"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7DE3C1F8" w14:textId="77777777" w:rsidR="009D12AF" w:rsidRDefault="00000000">
      <w:pPr>
        <w:ind w:firstLine="482"/>
        <w:jc w:val="center"/>
        <w:rPr>
          <w:b/>
          <w:bCs/>
        </w:rPr>
      </w:pPr>
      <w:r>
        <w:rPr>
          <w:rFonts w:hint="eastAsia"/>
          <w:b/>
          <w:bCs/>
        </w:rPr>
        <w:t>表</w:t>
      </w:r>
      <w:r>
        <w:rPr>
          <w:rFonts w:hint="eastAsia"/>
          <w:b/>
          <w:bCs/>
        </w:rPr>
        <w:t>4.3-9</w:t>
      </w:r>
      <w:r>
        <w:rPr>
          <w:rFonts w:hint="eastAsia"/>
          <w:b/>
          <w:bCs/>
        </w:rPr>
        <w:t>（</w:t>
      </w:r>
      <w:r>
        <w:rPr>
          <w:rFonts w:hint="eastAsia"/>
          <w:b/>
          <w:bCs/>
        </w:rPr>
        <w:t>1</w:t>
      </w:r>
      <w:r>
        <w:rPr>
          <w:rFonts w:hint="eastAsia"/>
          <w:b/>
          <w:bCs/>
        </w:rPr>
        <w:t>）</w:t>
      </w:r>
      <w:r>
        <w:rPr>
          <w:rFonts w:hint="eastAsia"/>
          <w:b/>
          <w:bCs/>
        </w:rPr>
        <w:t xml:space="preserve">  </w:t>
      </w:r>
      <w:r>
        <w:rPr>
          <w:rFonts w:hint="eastAsia"/>
          <w:b/>
          <w:bCs/>
        </w:rPr>
        <w:t>向阳水电站前池地表水环境监测结果</w:t>
      </w:r>
    </w:p>
    <w:tbl>
      <w:tblPr>
        <w:tblW w:w="907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048"/>
        <w:gridCol w:w="1937"/>
        <w:gridCol w:w="1937"/>
        <w:gridCol w:w="1938"/>
        <w:gridCol w:w="1211"/>
      </w:tblGrid>
      <w:tr w:rsidR="009D12AF" w14:paraId="5112554E" w14:textId="77777777">
        <w:trPr>
          <w:cantSplit/>
          <w:trHeight w:val="397"/>
          <w:jc w:val="center"/>
        </w:trPr>
        <w:tc>
          <w:tcPr>
            <w:tcW w:w="2048" w:type="dxa"/>
            <w:vAlign w:val="center"/>
          </w:tcPr>
          <w:p w14:paraId="25954187"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937" w:type="dxa"/>
            <w:tcBorders>
              <w:bottom w:val="single" w:sz="8" w:space="0" w:color="auto"/>
            </w:tcBorders>
            <w:vAlign w:val="center"/>
          </w:tcPr>
          <w:p w14:paraId="69FFAA63" w14:textId="77777777" w:rsidR="009D12AF" w:rsidRDefault="00000000">
            <w:pPr>
              <w:spacing w:line="240" w:lineRule="exact"/>
              <w:ind w:firstLineChars="0" w:firstLine="0"/>
              <w:jc w:val="center"/>
              <w:rPr>
                <w:rFonts w:ascii="Times New Roman" w:eastAsia="宋体" w:hAnsi="Times New Roman" w:cs="Times New Roman"/>
                <w:b/>
                <w:bCs/>
              </w:rPr>
            </w:pPr>
            <w:r>
              <w:rPr>
                <w:rFonts w:ascii="Times New Roman" w:hAnsi="Times New Roman" w:cs="Times New Roman"/>
                <w:b/>
                <w:bCs/>
              </w:rPr>
              <w:t>2025.10.07</w:t>
            </w:r>
          </w:p>
        </w:tc>
        <w:tc>
          <w:tcPr>
            <w:tcW w:w="1937" w:type="dxa"/>
            <w:tcBorders>
              <w:bottom w:val="single" w:sz="8" w:space="0" w:color="auto"/>
            </w:tcBorders>
            <w:vAlign w:val="center"/>
          </w:tcPr>
          <w:p w14:paraId="103889B6"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938" w:type="dxa"/>
            <w:tcBorders>
              <w:bottom w:val="single" w:sz="8" w:space="0" w:color="auto"/>
            </w:tcBorders>
            <w:vAlign w:val="center"/>
          </w:tcPr>
          <w:p w14:paraId="6407B440"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1211" w:type="dxa"/>
            <w:tcBorders>
              <w:bottom w:val="single" w:sz="8" w:space="0" w:color="auto"/>
            </w:tcBorders>
            <w:vAlign w:val="center"/>
          </w:tcPr>
          <w:p w14:paraId="169AF0BE"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w:t>
            </w:r>
          </w:p>
        </w:tc>
      </w:tr>
      <w:tr w:rsidR="009D12AF" w14:paraId="07388FC7" w14:textId="77777777">
        <w:trPr>
          <w:cantSplit/>
          <w:trHeight w:val="397"/>
          <w:jc w:val="center"/>
        </w:trPr>
        <w:tc>
          <w:tcPr>
            <w:tcW w:w="2048" w:type="dxa"/>
            <w:tcBorders>
              <w:bottom w:val="single" w:sz="8" w:space="0" w:color="auto"/>
            </w:tcBorders>
            <w:vAlign w:val="center"/>
          </w:tcPr>
          <w:p w14:paraId="475F7896"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5812" w:type="dxa"/>
            <w:gridSpan w:val="3"/>
            <w:tcBorders>
              <w:top w:val="single" w:sz="8" w:space="0" w:color="auto"/>
              <w:bottom w:val="single" w:sz="8" w:space="0" w:color="auto"/>
            </w:tcBorders>
            <w:vAlign w:val="center"/>
          </w:tcPr>
          <w:p w14:paraId="34A1F7DF"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rPr>
              <w:t>向阳水电站前池上游</w:t>
            </w:r>
            <w:r>
              <w:rPr>
                <w:rFonts w:ascii="Times New Roman" w:hAnsi="Times New Roman" w:cs="Times New Roman"/>
                <w:b/>
                <w:bCs/>
              </w:rPr>
              <w:t>500m 1#</w:t>
            </w:r>
            <w:r>
              <w:rPr>
                <w:rFonts w:ascii="Times New Roman" w:hAnsi="Times New Roman" w:cs="Times New Roman"/>
                <w:b/>
                <w:bCs/>
              </w:rPr>
              <w:t>（水面下</w:t>
            </w:r>
            <w:r>
              <w:rPr>
                <w:rFonts w:ascii="Times New Roman" w:hAnsi="Times New Roman" w:cs="Times New Roman"/>
                <w:b/>
                <w:bCs/>
              </w:rPr>
              <w:t>0.5m</w:t>
            </w:r>
            <w:r>
              <w:rPr>
                <w:rFonts w:ascii="Times New Roman" w:hAnsi="Times New Roman" w:cs="Times New Roman"/>
                <w:b/>
                <w:bCs/>
              </w:rPr>
              <w:t>）</w:t>
            </w:r>
          </w:p>
        </w:tc>
        <w:tc>
          <w:tcPr>
            <w:tcW w:w="1211" w:type="dxa"/>
            <w:tcBorders>
              <w:top w:val="single" w:sz="8" w:space="0" w:color="auto"/>
              <w:bottom w:val="single" w:sz="8" w:space="0" w:color="auto"/>
            </w:tcBorders>
            <w:vAlign w:val="center"/>
          </w:tcPr>
          <w:p w14:paraId="44AEF6A2"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kern w:val="0"/>
                <w:szCs w:val="21"/>
              </w:rPr>
              <w:t>/</w:t>
            </w:r>
          </w:p>
        </w:tc>
      </w:tr>
      <w:tr w:rsidR="009D12AF" w14:paraId="6E4CC455" w14:textId="77777777">
        <w:trPr>
          <w:cantSplit/>
          <w:trHeight w:val="397"/>
          <w:jc w:val="center"/>
        </w:trPr>
        <w:tc>
          <w:tcPr>
            <w:tcW w:w="2048" w:type="dxa"/>
            <w:tcBorders>
              <w:bottom w:val="single" w:sz="8" w:space="0" w:color="auto"/>
            </w:tcBorders>
            <w:vAlign w:val="center"/>
          </w:tcPr>
          <w:p w14:paraId="1FF0807D"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检测项目</w:t>
            </w:r>
          </w:p>
        </w:tc>
        <w:tc>
          <w:tcPr>
            <w:tcW w:w="5812" w:type="dxa"/>
            <w:gridSpan w:val="3"/>
            <w:tcBorders>
              <w:top w:val="single" w:sz="8" w:space="0" w:color="auto"/>
              <w:bottom w:val="single" w:sz="8" w:space="0" w:color="auto"/>
            </w:tcBorders>
            <w:vAlign w:val="center"/>
          </w:tcPr>
          <w:p w14:paraId="687E01EA"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检测结果</w:t>
            </w:r>
          </w:p>
        </w:tc>
        <w:tc>
          <w:tcPr>
            <w:tcW w:w="1211" w:type="dxa"/>
            <w:tcBorders>
              <w:top w:val="single" w:sz="8" w:space="0" w:color="auto"/>
              <w:bottom w:val="single" w:sz="8" w:space="0" w:color="auto"/>
            </w:tcBorders>
            <w:vAlign w:val="center"/>
          </w:tcPr>
          <w:p w14:paraId="451C6B4A"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单位</w:t>
            </w:r>
          </w:p>
        </w:tc>
      </w:tr>
      <w:tr w:rsidR="009D12AF" w14:paraId="2A291872" w14:textId="77777777">
        <w:trPr>
          <w:cantSplit/>
          <w:trHeight w:val="397"/>
          <w:jc w:val="center"/>
        </w:trPr>
        <w:tc>
          <w:tcPr>
            <w:tcW w:w="2048" w:type="dxa"/>
            <w:vAlign w:val="center"/>
          </w:tcPr>
          <w:p w14:paraId="1214D18A"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937" w:type="dxa"/>
            <w:tcBorders>
              <w:top w:val="single" w:sz="8" w:space="0" w:color="auto"/>
              <w:bottom w:val="single" w:sz="8" w:space="0" w:color="auto"/>
            </w:tcBorders>
            <w:vAlign w:val="center"/>
          </w:tcPr>
          <w:p w14:paraId="43B75AE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250940DB0701D1</w:t>
            </w:r>
          </w:p>
        </w:tc>
        <w:tc>
          <w:tcPr>
            <w:tcW w:w="1937" w:type="dxa"/>
            <w:tcBorders>
              <w:top w:val="single" w:sz="8" w:space="0" w:color="auto"/>
              <w:bottom w:val="single" w:sz="8" w:space="0" w:color="auto"/>
            </w:tcBorders>
            <w:vAlign w:val="center"/>
          </w:tcPr>
          <w:p w14:paraId="6C26F32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250940DB0701D2</w:t>
            </w:r>
          </w:p>
        </w:tc>
        <w:tc>
          <w:tcPr>
            <w:tcW w:w="1938" w:type="dxa"/>
            <w:tcBorders>
              <w:top w:val="single" w:sz="8" w:space="0" w:color="auto"/>
              <w:bottom w:val="single" w:sz="8" w:space="0" w:color="auto"/>
            </w:tcBorders>
            <w:vAlign w:val="center"/>
          </w:tcPr>
          <w:p w14:paraId="2D4A476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250940DB0701D3</w:t>
            </w:r>
          </w:p>
        </w:tc>
        <w:tc>
          <w:tcPr>
            <w:tcW w:w="1211" w:type="dxa"/>
            <w:tcBorders>
              <w:top w:val="single" w:sz="8" w:space="0" w:color="auto"/>
              <w:bottom w:val="single" w:sz="8" w:space="0" w:color="auto"/>
            </w:tcBorders>
            <w:vAlign w:val="center"/>
          </w:tcPr>
          <w:p w14:paraId="15A305F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3B054EC0" w14:textId="77777777">
        <w:trPr>
          <w:cantSplit/>
          <w:trHeight w:val="397"/>
          <w:jc w:val="center"/>
        </w:trPr>
        <w:tc>
          <w:tcPr>
            <w:tcW w:w="2048" w:type="dxa"/>
            <w:vAlign w:val="center"/>
          </w:tcPr>
          <w:p w14:paraId="059B91FA"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937" w:type="dxa"/>
            <w:tcBorders>
              <w:top w:val="single" w:sz="8" w:space="0" w:color="auto"/>
              <w:bottom w:val="single" w:sz="8" w:space="0" w:color="auto"/>
            </w:tcBorders>
            <w:vAlign w:val="center"/>
          </w:tcPr>
          <w:p w14:paraId="3C3BDF0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7.9</w:t>
            </w:r>
          </w:p>
        </w:tc>
        <w:tc>
          <w:tcPr>
            <w:tcW w:w="1937" w:type="dxa"/>
            <w:tcBorders>
              <w:top w:val="single" w:sz="8" w:space="0" w:color="auto"/>
              <w:bottom w:val="single" w:sz="8" w:space="0" w:color="auto"/>
            </w:tcBorders>
            <w:vAlign w:val="center"/>
          </w:tcPr>
          <w:p w14:paraId="5FE762F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7.8</w:t>
            </w:r>
          </w:p>
        </w:tc>
        <w:tc>
          <w:tcPr>
            <w:tcW w:w="1938" w:type="dxa"/>
            <w:tcBorders>
              <w:top w:val="single" w:sz="8" w:space="0" w:color="auto"/>
              <w:bottom w:val="single" w:sz="8" w:space="0" w:color="auto"/>
            </w:tcBorders>
            <w:vAlign w:val="center"/>
          </w:tcPr>
          <w:p w14:paraId="4ACC4E4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7.8</w:t>
            </w:r>
          </w:p>
        </w:tc>
        <w:tc>
          <w:tcPr>
            <w:tcW w:w="1211" w:type="dxa"/>
            <w:tcBorders>
              <w:top w:val="single" w:sz="8" w:space="0" w:color="auto"/>
              <w:bottom w:val="single" w:sz="8" w:space="0" w:color="auto"/>
            </w:tcBorders>
            <w:vAlign w:val="center"/>
          </w:tcPr>
          <w:p w14:paraId="1AE414F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4D548CA4" w14:textId="77777777">
        <w:trPr>
          <w:cantSplit/>
          <w:trHeight w:val="397"/>
          <w:jc w:val="center"/>
        </w:trPr>
        <w:tc>
          <w:tcPr>
            <w:tcW w:w="2048" w:type="dxa"/>
            <w:vAlign w:val="center"/>
          </w:tcPr>
          <w:p w14:paraId="55AB01B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937" w:type="dxa"/>
            <w:vAlign w:val="center"/>
          </w:tcPr>
          <w:p w14:paraId="1C6E1E94"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2.7</w:t>
            </w:r>
          </w:p>
        </w:tc>
        <w:tc>
          <w:tcPr>
            <w:tcW w:w="1937" w:type="dxa"/>
            <w:vAlign w:val="center"/>
          </w:tcPr>
          <w:p w14:paraId="4797DDB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3.2</w:t>
            </w:r>
          </w:p>
        </w:tc>
        <w:tc>
          <w:tcPr>
            <w:tcW w:w="1938" w:type="dxa"/>
            <w:vAlign w:val="center"/>
          </w:tcPr>
          <w:p w14:paraId="2821C06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3.7</w:t>
            </w:r>
          </w:p>
        </w:tc>
        <w:tc>
          <w:tcPr>
            <w:tcW w:w="1211" w:type="dxa"/>
            <w:vAlign w:val="center"/>
          </w:tcPr>
          <w:p w14:paraId="31DED9C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3450C93" w14:textId="77777777">
        <w:trPr>
          <w:cantSplit/>
          <w:trHeight w:val="397"/>
          <w:jc w:val="center"/>
        </w:trPr>
        <w:tc>
          <w:tcPr>
            <w:tcW w:w="2048" w:type="dxa"/>
            <w:vAlign w:val="center"/>
          </w:tcPr>
          <w:p w14:paraId="3FA44D0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937" w:type="dxa"/>
            <w:vAlign w:val="center"/>
          </w:tcPr>
          <w:p w14:paraId="1D2B595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8.3</w:t>
            </w:r>
          </w:p>
        </w:tc>
        <w:tc>
          <w:tcPr>
            <w:tcW w:w="1937" w:type="dxa"/>
            <w:vAlign w:val="center"/>
          </w:tcPr>
          <w:p w14:paraId="230F0BA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8.5</w:t>
            </w:r>
          </w:p>
        </w:tc>
        <w:tc>
          <w:tcPr>
            <w:tcW w:w="1938" w:type="dxa"/>
            <w:vAlign w:val="center"/>
          </w:tcPr>
          <w:p w14:paraId="133E4C6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8.1</w:t>
            </w:r>
          </w:p>
        </w:tc>
        <w:tc>
          <w:tcPr>
            <w:tcW w:w="1211" w:type="dxa"/>
            <w:vAlign w:val="center"/>
          </w:tcPr>
          <w:p w14:paraId="5806ADC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706F00C" w14:textId="77777777">
        <w:trPr>
          <w:cantSplit/>
          <w:trHeight w:val="397"/>
          <w:jc w:val="center"/>
        </w:trPr>
        <w:tc>
          <w:tcPr>
            <w:tcW w:w="2048" w:type="dxa"/>
            <w:vAlign w:val="center"/>
          </w:tcPr>
          <w:p w14:paraId="5B002B1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937" w:type="dxa"/>
            <w:vAlign w:val="center"/>
          </w:tcPr>
          <w:p w14:paraId="3082A47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10</w:t>
            </w:r>
          </w:p>
        </w:tc>
        <w:tc>
          <w:tcPr>
            <w:tcW w:w="1937" w:type="dxa"/>
            <w:vAlign w:val="center"/>
          </w:tcPr>
          <w:p w14:paraId="1EED4F0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11</w:t>
            </w:r>
          </w:p>
        </w:tc>
        <w:tc>
          <w:tcPr>
            <w:tcW w:w="1938" w:type="dxa"/>
            <w:vAlign w:val="center"/>
          </w:tcPr>
          <w:p w14:paraId="10FD0CB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13</w:t>
            </w:r>
          </w:p>
        </w:tc>
        <w:tc>
          <w:tcPr>
            <w:tcW w:w="1211" w:type="dxa"/>
            <w:vAlign w:val="center"/>
          </w:tcPr>
          <w:p w14:paraId="56DEA90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52A726D" w14:textId="77777777">
        <w:trPr>
          <w:cantSplit/>
          <w:trHeight w:val="397"/>
          <w:jc w:val="center"/>
        </w:trPr>
        <w:tc>
          <w:tcPr>
            <w:tcW w:w="2048" w:type="dxa"/>
            <w:vAlign w:val="center"/>
          </w:tcPr>
          <w:p w14:paraId="2033BDE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937" w:type="dxa"/>
            <w:vAlign w:val="center"/>
          </w:tcPr>
          <w:p w14:paraId="7C09DE19"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3.8</w:t>
            </w:r>
          </w:p>
        </w:tc>
        <w:tc>
          <w:tcPr>
            <w:tcW w:w="1937" w:type="dxa"/>
            <w:vAlign w:val="center"/>
          </w:tcPr>
          <w:p w14:paraId="219A5D58"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4.3</w:t>
            </w:r>
          </w:p>
        </w:tc>
        <w:tc>
          <w:tcPr>
            <w:tcW w:w="1938" w:type="dxa"/>
            <w:vAlign w:val="center"/>
          </w:tcPr>
          <w:p w14:paraId="39FBC0F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4.4</w:t>
            </w:r>
          </w:p>
        </w:tc>
        <w:tc>
          <w:tcPr>
            <w:tcW w:w="1211" w:type="dxa"/>
            <w:vAlign w:val="center"/>
          </w:tcPr>
          <w:p w14:paraId="0A26FFA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3E273CE" w14:textId="77777777">
        <w:trPr>
          <w:cantSplit/>
          <w:trHeight w:val="397"/>
          <w:jc w:val="center"/>
        </w:trPr>
        <w:tc>
          <w:tcPr>
            <w:tcW w:w="2048" w:type="dxa"/>
            <w:vAlign w:val="center"/>
          </w:tcPr>
          <w:p w14:paraId="1874816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937" w:type="dxa"/>
            <w:vAlign w:val="center"/>
          </w:tcPr>
          <w:p w14:paraId="489478DF"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0.206</w:t>
            </w:r>
          </w:p>
        </w:tc>
        <w:tc>
          <w:tcPr>
            <w:tcW w:w="1937" w:type="dxa"/>
            <w:vAlign w:val="center"/>
          </w:tcPr>
          <w:p w14:paraId="02EDEEE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0.211</w:t>
            </w:r>
          </w:p>
        </w:tc>
        <w:tc>
          <w:tcPr>
            <w:tcW w:w="1938" w:type="dxa"/>
            <w:vAlign w:val="center"/>
          </w:tcPr>
          <w:p w14:paraId="7CF329B2"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0.217</w:t>
            </w:r>
          </w:p>
        </w:tc>
        <w:tc>
          <w:tcPr>
            <w:tcW w:w="1211" w:type="dxa"/>
            <w:vAlign w:val="center"/>
          </w:tcPr>
          <w:p w14:paraId="179395B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C71998B" w14:textId="77777777">
        <w:trPr>
          <w:cantSplit/>
          <w:trHeight w:val="397"/>
          <w:jc w:val="center"/>
        </w:trPr>
        <w:tc>
          <w:tcPr>
            <w:tcW w:w="2048" w:type="dxa"/>
            <w:vAlign w:val="center"/>
          </w:tcPr>
          <w:p w14:paraId="71816AC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937" w:type="dxa"/>
            <w:vAlign w:val="center"/>
          </w:tcPr>
          <w:p w14:paraId="0CE9E59B"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0.06</w:t>
            </w:r>
          </w:p>
        </w:tc>
        <w:tc>
          <w:tcPr>
            <w:tcW w:w="1937" w:type="dxa"/>
            <w:vAlign w:val="center"/>
          </w:tcPr>
          <w:p w14:paraId="041A1D4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w:t>
            </w:r>
          </w:p>
        </w:tc>
        <w:tc>
          <w:tcPr>
            <w:tcW w:w="1938" w:type="dxa"/>
            <w:vAlign w:val="center"/>
          </w:tcPr>
          <w:p w14:paraId="78E2594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0.07</w:t>
            </w:r>
          </w:p>
        </w:tc>
        <w:tc>
          <w:tcPr>
            <w:tcW w:w="1211" w:type="dxa"/>
            <w:vAlign w:val="center"/>
          </w:tcPr>
          <w:p w14:paraId="1E87D7E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9727B78" w14:textId="77777777">
        <w:trPr>
          <w:cantSplit/>
          <w:trHeight w:val="397"/>
          <w:jc w:val="center"/>
        </w:trPr>
        <w:tc>
          <w:tcPr>
            <w:tcW w:w="2048" w:type="dxa"/>
            <w:vAlign w:val="center"/>
          </w:tcPr>
          <w:p w14:paraId="0D1C5C4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937" w:type="dxa"/>
            <w:vAlign w:val="center"/>
          </w:tcPr>
          <w:p w14:paraId="140D40D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1.45</w:t>
            </w:r>
          </w:p>
        </w:tc>
        <w:tc>
          <w:tcPr>
            <w:tcW w:w="1937" w:type="dxa"/>
            <w:vAlign w:val="center"/>
          </w:tcPr>
          <w:p w14:paraId="5B7DA6F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1.32</w:t>
            </w:r>
          </w:p>
        </w:tc>
        <w:tc>
          <w:tcPr>
            <w:tcW w:w="1938" w:type="dxa"/>
            <w:vAlign w:val="center"/>
          </w:tcPr>
          <w:p w14:paraId="7E7C0FC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1.56</w:t>
            </w:r>
          </w:p>
        </w:tc>
        <w:tc>
          <w:tcPr>
            <w:tcW w:w="1211" w:type="dxa"/>
            <w:vAlign w:val="center"/>
          </w:tcPr>
          <w:p w14:paraId="787707C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3C2DA56" w14:textId="77777777">
        <w:trPr>
          <w:cantSplit/>
          <w:trHeight w:val="397"/>
          <w:jc w:val="center"/>
        </w:trPr>
        <w:tc>
          <w:tcPr>
            <w:tcW w:w="2048" w:type="dxa"/>
            <w:vAlign w:val="center"/>
          </w:tcPr>
          <w:p w14:paraId="07F76F2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937" w:type="dxa"/>
            <w:vAlign w:val="center"/>
          </w:tcPr>
          <w:p w14:paraId="3A700CBA"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77A5021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104D903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0AA1298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62F0E5D" w14:textId="77777777">
        <w:trPr>
          <w:cantSplit/>
          <w:trHeight w:val="397"/>
          <w:jc w:val="center"/>
        </w:trPr>
        <w:tc>
          <w:tcPr>
            <w:tcW w:w="2048" w:type="dxa"/>
            <w:vAlign w:val="center"/>
          </w:tcPr>
          <w:p w14:paraId="453EFB3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937" w:type="dxa"/>
            <w:vAlign w:val="center"/>
          </w:tcPr>
          <w:p w14:paraId="1C38755A"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0.25</w:t>
            </w:r>
          </w:p>
        </w:tc>
        <w:tc>
          <w:tcPr>
            <w:tcW w:w="1937" w:type="dxa"/>
            <w:vAlign w:val="center"/>
          </w:tcPr>
          <w:p w14:paraId="3CFAC7A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0.26</w:t>
            </w:r>
          </w:p>
        </w:tc>
        <w:tc>
          <w:tcPr>
            <w:tcW w:w="1938" w:type="dxa"/>
            <w:vAlign w:val="center"/>
          </w:tcPr>
          <w:p w14:paraId="7BCA0FD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0.23</w:t>
            </w:r>
          </w:p>
        </w:tc>
        <w:tc>
          <w:tcPr>
            <w:tcW w:w="1211" w:type="dxa"/>
            <w:vAlign w:val="center"/>
          </w:tcPr>
          <w:p w14:paraId="11CF3B9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84555F1" w14:textId="77777777">
        <w:trPr>
          <w:cantSplit/>
          <w:trHeight w:val="397"/>
          <w:jc w:val="center"/>
        </w:trPr>
        <w:tc>
          <w:tcPr>
            <w:tcW w:w="2048" w:type="dxa"/>
            <w:vAlign w:val="center"/>
          </w:tcPr>
          <w:p w14:paraId="6646EA3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937" w:type="dxa"/>
            <w:vAlign w:val="center"/>
          </w:tcPr>
          <w:p w14:paraId="49931C9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0.33</w:t>
            </w:r>
          </w:p>
        </w:tc>
        <w:tc>
          <w:tcPr>
            <w:tcW w:w="1937" w:type="dxa"/>
            <w:vAlign w:val="center"/>
          </w:tcPr>
          <w:p w14:paraId="2BBB941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0.41</w:t>
            </w:r>
          </w:p>
        </w:tc>
        <w:tc>
          <w:tcPr>
            <w:tcW w:w="1938" w:type="dxa"/>
            <w:vAlign w:val="center"/>
          </w:tcPr>
          <w:p w14:paraId="562CC65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0.38</w:t>
            </w:r>
          </w:p>
        </w:tc>
        <w:tc>
          <w:tcPr>
            <w:tcW w:w="1211" w:type="dxa"/>
            <w:vAlign w:val="center"/>
          </w:tcPr>
          <w:p w14:paraId="0EC0DF5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FA10F35" w14:textId="77777777">
        <w:trPr>
          <w:cantSplit/>
          <w:trHeight w:val="397"/>
          <w:jc w:val="center"/>
        </w:trPr>
        <w:tc>
          <w:tcPr>
            <w:tcW w:w="2048" w:type="dxa"/>
            <w:vAlign w:val="center"/>
          </w:tcPr>
          <w:p w14:paraId="36FEB4A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硒</w:t>
            </w:r>
          </w:p>
        </w:tc>
        <w:tc>
          <w:tcPr>
            <w:tcW w:w="1937" w:type="dxa"/>
            <w:vAlign w:val="center"/>
          </w:tcPr>
          <w:p w14:paraId="646523B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0.001</w:t>
            </w:r>
          </w:p>
        </w:tc>
        <w:tc>
          <w:tcPr>
            <w:tcW w:w="1937" w:type="dxa"/>
            <w:vAlign w:val="center"/>
          </w:tcPr>
          <w:p w14:paraId="1716F98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0.0005</w:t>
            </w:r>
          </w:p>
        </w:tc>
        <w:tc>
          <w:tcPr>
            <w:tcW w:w="1938" w:type="dxa"/>
            <w:vAlign w:val="center"/>
          </w:tcPr>
          <w:p w14:paraId="677024D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211" w:type="dxa"/>
            <w:vAlign w:val="center"/>
          </w:tcPr>
          <w:p w14:paraId="5441E95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38C6157" w14:textId="77777777">
        <w:trPr>
          <w:cantSplit/>
          <w:trHeight w:val="397"/>
          <w:jc w:val="center"/>
        </w:trPr>
        <w:tc>
          <w:tcPr>
            <w:tcW w:w="2048" w:type="dxa"/>
            <w:vAlign w:val="center"/>
          </w:tcPr>
          <w:p w14:paraId="60D1605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lastRenderedPageBreak/>
              <w:t>砷</w:t>
            </w:r>
          </w:p>
        </w:tc>
        <w:tc>
          <w:tcPr>
            <w:tcW w:w="1937" w:type="dxa"/>
            <w:vAlign w:val="center"/>
          </w:tcPr>
          <w:p w14:paraId="5B69954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937" w:type="dxa"/>
            <w:vAlign w:val="center"/>
          </w:tcPr>
          <w:p w14:paraId="7C910DB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938" w:type="dxa"/>
            <w:vAlign w:val="center"/>
          </w:tcPr>
          <w:p w14:paraId="63C95EB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211" w:type="dxa"/>
            <w:vAlign w:val="center"/>
          </w:tcPr>
          <w:p w14:paraId="3F441FF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0BB2BBC" w14:textId="77777777">
        <w:trPr>
          <w:cantSplit/>
          <w:trHeight w:val="397"/>
          <w:jc w:val="center"/>
        </w:trPr>
        <w:tc>
          <w:tcPr>
            <w:tcW w:w="2048" w:type="dxa"/>
            <w:vAlign w:val="center"/>
          </w:tcPr>
          <w:p w14:paraId="2B7F091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总</w:t>
            </w:r>
            <w:r>
              <w:rPr>
                <w:rFonts w:ascii="Times New Roman" w:eastAsia="宋体" w:hAnsi="Times New Roman" w:cs="Times New Roman"/>
                <w:sz w:val="21"/>
                <w:lang w:bidi="ar"/>
              </w:rPr>
              <w:t>汞</w:t>
            </w:r>
          </w:p>
        </w:tc>
        <w:tc>
          <w:tcPr>
            <w:tcW w:w="1937" w:type="dxa"/>
            <w:vAlign w:val="center"/>
          </w:tcPr>
          <w:p w14:paraId="438BAF70"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7" w:type="dxa"/>
            <w:vAlign w:val="center"/>
          </w:tcPr>
          <w:p w14:paraId="60D6227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8" w:type="dxa"/>
            <w:vAlign w:val="center"/>
          </w:tcPr>
          <w:p w14:paraId="11F62E91"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0.00002L</w:t>
            </w:r>
          </w:p>
        </w:tc>
        <w:tc>
          <w:tcPr>
            <w:tcW w:w="1211" w:type="dxa"/>
            <w:vAlign w:val="center"/>
          </w:tcPr>
          <w:p w14:paraId="2C652EA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37C7E95" w14:textId="77777777">
        <w:trPr>
          <w:cantSplit/>
          <w:trHeight w:val="397"/>
          <w:jc w:val="center"/>
        </w:trPr>
        <w:tc>
          <w:tcPr>
            <w:tcW w:w="2048" w:type="dxa"/>
            <w:vAlign w:val="center"/>
          </w:tcPr>
          <w:p w14:paraId="6789A33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镉</w:t>
            </w:r>
          </w:p>
        </w:tc>
        <w:tc>
          <w:tcPr>
            <w:tcW w:w="1937" w:type="dxa"/>
            <w:vAlign w:val="center"/>
          </w:tcPr>
          <w:p w14:paraId="264644C0"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7" w:type="dxa"/>
            <w:vAlign w:val="center"/>
          </w:tcPr>
          <w:p w14:paraId="70C84B3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8" w:type="dxa"/>
            <w:vAlign w:val="center"/>
          </w:tcPr>
          <w:p w14:paraId="4EF9A803"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0.0001L</w:t>
            </w:r>
          </w:p>
        </w:tc>
        <w:tc>
          <w:tcPr>
            <w:tcW w:w="1211" w:type="dxa"/>
            <w:vAlign w:val="center"/>
          </w:tcPr>
          <w:p w14:paraId="5AAF55D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F43B201" w14:textId="77777777">
        <w:trPr>
          <w:cantSplit/>
          <w:trHeight w:val="397"/>
          <w:jc w:val="center"/>
        </w:trPr>
        <w:tc>
          <w:tcPr>
            <w:tcW w:w="2048" w:type="dxa"/>
            <w:vAlign w:val="center"/>
          </w:tcPr>
          <w:p w14:paraId="2A10E86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六价铬</w:t>
            </w:r>
          </w:p>
        </w:tc>
        <w:tc>
          <w:tcPr>
            <w:tcW w:w="1937" w:type="dxa"/>
            <w:vAlign w:val="center"/>
          </w:tcPr>
          <w:p w14:paraId="65B196AE"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68EE7F6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209B803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0892B55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2916AB4" w14:textId="77777777">
        <w:trPr>
          <w:cantSplit/>
          <w:trHeight w:val="397"/>
          <w:jc w:val="center"/>
        </w:trPr>
        <w:tc>
          <w:tcPr>
            <w:tcW w:w="2048" w:type="dxa"/>
            <w:vAlign w:val="center"/>
          </w:tcPr>
          <w:p w14:paraId="6310C3A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铅</w:t>
            </w:r>
          </w:p>
        </w:tc>
        <w:tc>
          <w:tcPr>
            <w:tcW w:w="1937" w:type="dxa"/>
            <w:vAlign w:val="center"/>
          </w:tcPr>
          <w:p w14:paraId="152FB2AB"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7" w:type="dxa"/>
            <w:vAlign w:val="center"/>
          </w:tcPr>
          <w:p w14:paraId="61E6166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8" w:type="dxa"/>
            <w:vAlign w:val="center"/>
          </w:tcPr>
          <w:p w14:paraId="52F61D7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211" w:type="dxa"/>
            <w:vAlign w:val="center"/>
          </w:tcPr>
          <w:p w14:paraId="46D488D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3CEB1F3" w14:textId="77777777">
        <w:trPr>
          <w:cantSplit/>
          <w:trHeight w:val="397"/>
          <w:jc w:val="center"/>
        </w:trPr>
        <w:tc>
          <w:tcPr>
            <w:tcW w:w="2048" w:type="dxa"/>
            <w:vAlign w:val="center"/>
          </w:tcPr>
          <w:p w14:paraId="7FB75EB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937" w:type="dxa"/>
            <w:vAlign w:val="center"/>
          </w:tcPr>
          <w:p w14:paraId="38BA99AF"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69A68F6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35D7A76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2D3CE29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40D238B" w14:textId="77777777">
        <w:trPr>
          <w:cantSplit/>
          <w:trHeight w:val="397"/>
          <w:jc w:val="center"/>
        </w:trPr>
        <w:tc>
          <w:tcPr>
            <w:tcW w:w="2048" w:type="dxa"/>
            <w:vAlign w:val="center"/>
          </w:tcPr>
          <w:p w14:paraId="7B8D75F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937" w:type="dxa"/>
            <w:vAlign w:val="center"/>
          </w:tcPr>
          <w:p w14:paraId="7CF46C62"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7" w:type="dxa"/>
            <w:vAlign w:val="center"/>
          </w:tcPr>
          <w:p w14:paraId="47EEE70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8" w:type="dxa"/>
            <w:vAlign w:val="center"/>
          </w:tcPr>
          <w:p w14:paraId="332117D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211" w:type="dxa"/>
            <w:vAlign w:val="center"/>
          </w:tcPr>
          <w:p w14:paraId="179D2E7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21D434A" w14:textId="77777777">
        <w:trPr>
          <w:cantSplit/>
          <w:trHeight w:val="397"/>
          <w:jc w:val="center"/>
        </w:trPr>
        <w:tc>
          <w:tcPr>
            <w:tcW w:w="2048" w:type="dxa"/>
            <w:vAlign w:val="center"/>
          </w:tcPr>
          <w:p w14:paraId="07192C7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937" w:type="dxa"/>
            <w:vAlign w:val="center"/>
          </w:tcPr>
          <w:p w14:paraId="6BCBA812"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7EFBA86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17779C8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62BCDAA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78649BE" w14:textId="77777777">
        <w:trPr>
          <w:cantSplit/>
          <w:trHeight w:val="397"/>
          <w:jc w:val="center"/>
        </w:trPr>
        <w:tc>
          <w:tcPr>
            <w:tcW w:w="2048" w:type="dxa"/>
            <w:vAlign w:val="center"/>
          </w:tcPr>
          <w:p w14:paraId="37AB22B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937" w:type="dxa"/>
            <w:vAlign w:val="center"/>
          </w:tcPr>
          <w:p w14:paraId="3B5F55C5"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536A332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2C38DE5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1CB6AFE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EBD2775" w14:textId="77777777">
        <w:trPr>
          <w:cantSplit/>
          <w:trHeight w:val="397"/>
          <w:jc w:val="center"/>
        </w:trPr>
        <w:tc>
          <w:tcPr>
            <w:tcW w:w="2048" w:type="dxa"/>
            <w:vAlign w:val="center"/>
          </w:tcPr>
          <w:p w14:paraId="65C7D34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937" w:type="dxa"/>
            <w:vAlign w:val="center"/>
          </w:tcPr>
          <w:p w14:paraId="3E01B2D9"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6236F71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71B0FE8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2E22239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52E2BFD" w14:textId="77777777">
        <w:trPr>
          <w:cantSplit/>
          <w:trHeight w:val="397"/>
          <w:jc w:val="center"/>
        </w:trPr>
        <w:tc>
          <w:tcPr>
            <w:tcW w:w="2048" w:type="dxa"/>
            <w:vAlign w:val="center"/>
          </w:tcPr>
          <w:p w14:paraId="699FA32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937" w:type="dxa"/>
            <w:vAlign w:val="center"/>
          </w:tcPr>
          <w:p w14:paraId="2C42B528"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4.5</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7" w:type="dxa"/>
            <w:vAlign w:val="center"/>
          </w:tcPr>
          <w:p w14:paraId="162C9CE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5.0</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8" w:type="dxa"/>
            <w:vAlign w:val="center"/>
          </w:tcPr>
          <w:p w14:paraId="488BBD1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3.8</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211" w:type="dxa"/>
            <w:vAlign w:val="center"/>
          </w:tcPr>
          <w:p w14:paraId="33E28C5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57A52A68" w14:textId="77777777">
        <w:trPr>
          <w:cantSplit/>
          <w:trHeight w:val="397"/>
          <w:jc w:val="center"/>
        </w:trPr>
        <w:tc>
          <w:tcPr>
            <w:tcW w:w="2048" w:type="dxa"/>
            <w:vAlign w:val="center"/>
          </w:tcPr>
          <w:p w14:paraId="275A489A"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937" w:type="dxa"/>
            <w:vAlign w:val="center"/>
          </w:tcPr>
          <w:p w14:paraId="4D9FFE8E"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13.1</w:t>
            </w:r>
          </w:p>
        </w:tc>
        <w:tc>
          <w:tcPr>
            <w:tcW w:w="1937" w:type="dxa"/>
            <w:vAlign w:val="center"/>
          </w:tcPr>
          <w:p w14:paraId="0DF579C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12.9</w:t>
            </w:r>
          </w:p>
        </w:tc>
        <w:tc>
          <w:tcPr>
            <w:tcW w:w="1938" w:type="dxa"/>
            <w:vAlign w:val="center"/>
          </w:tcPr>
          <w:p w14:paraId="1D4DD29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12.2</w:t>
            </w:r>
          </w:p>
        </w:tc>
        <w:tc>
          <w:tcPr>
            <w:tcW w:w="1211" w:type="dxa"/>
            <w:vAlign w:val="center"/>
          </w:tcPr>
          <w:p w14:paraId="4D9491AB"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7658B716" w14:textId="77777777" w:rsidR="009D12AF" w:rsidRDefault="00000000">
      <w:pPr>
        <w:ind w:firstLine="482"/>
        <w:jc w:val="center"/>
        <w:rPr>
          <w:b/>
          <w:bCs/>
        </w:rPr>
      </w:pPr>
      <w:r>
        <w:rPr>
          <w:rFonts w:hint="eastAsia"/>
          <w:b/>
          <w:bCs/>
        </w:rPr>
        <w:t>表</w:t>
      </w:r>
      <w:r>
        <w:rPr>
          <w:rFonts w:hint="eastAsia"/>
          <w:b/>
          <w:bCs/>
        </w:rPr>
        <w:t>4.3-9</w:t>
      </w:r>
      <w:r>
        <w:rPr>
          <w:rFonts w:hint="eastAsia"/>
          <w:b/>
          <w:bCs/>
        </w:rPr>
        <w:t>（</w:t>
      </w:r>
      <w:r>
        <w:rPr>
          <w:rFonts w:hint="eastAsia"/>
          <w:b/>
          <w:bCs/>
        </w:rPr>
        <w:t>2</w:t>
      </w:r>
      <w:r>
        <w:rPr>
          <w:rFonts w:hint="eastAsia"/>
          <w:b/>
          <w:bCs/>
        </w:rPr>
        <w:t>）</w:t>
      </w:r>
      <w:r>
        <w:rPr>
          <w:rFonts w:hint="eastAsia"/>
          <w:b/>
          <w:bCs/>
        </w:rPr>
        <w:t xml:space="preserve">  </w:t>
      </w:r>
      <w:r>
        <w:rPr>
          <w:rFonts w:hint="eastAsia"/>
          <w:b/>
          <w:bCs/>
        </w:rPr>
        <w:t>向阳水电站前池地表水环境监测结果</w:t>
      </w:r>
    </w:p>
    <w:tbl>
      <w:tblPr>
        <w:tblW w:w="907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048"/>
        <w:gridCol w:w="1937"/>
        <w:gridCol w:w="1937"/>
        <w:gridCol w:w="1938"/>
        <w:gridCol w:w="1211"/>
      </w:tblGrid>
      <w:tr w:rsidR="009D12AF" w14:paraId="65F4336A" w14:textId="77777777">
        <w:trPr>
          <w:cantSplit/>
          <w:trHeight w:val="397"/>
          <w:jc w:val="center"/>
        </w:trPr>
        <w:tc>
          <w:tcPr>
            <w:tcW w:w="2048" w:type="dxa"/>
            <w:vAlign w:val="center"/>
          </w:tcPr>
          <w:p w14:paraId="4474C8FE"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937" w:type="dxa"/>
            <w:tcBorders>
              <w:bottom w:val="single" w:sz="8" w:space="0" w:color="auto"/>
            </w:tcBorders>
            <w:vAlign w:val="center"/>
          </w:tcPr>
          <w:p w14:paraId="4F4F97CE" w14:textId="77777777" w:rsidR="009D12AF" w:rsidRDefault="00000000">
            <w:pPr>
              <w:spacing w:line="240" w:lineRule="exact"/>
              <w:ind w:firstLineChars="0" w:firstLine="0"/>
              <w:jc w:val="center"/>
              <w:rPr>
                <w:rFonts w:ascii="Times New Roman" w:eastAsia="宋体" w:hAnsi="Times New Roman" w:cs="Times New Roman"/>
                <w:b/>
                <w:bCs/>
              </w:rPr>
            </w:pPr>
            <w:r>
              <w:rPr>
                <w:rFonts w:ascii="Times New Roman" w:hAnsi="Times New Roman" w:cs="Times New Roman"/>
                <w:b/>
                <w:bCs/>
              </w:rPr>
              <w:t>2025.10.07</w:t>
            </w:r>
          </w:p>
        </w:tc>
        <w:tc>
          <w:tcPr>
            <w:tcW w:w="1937" w:type="dxa"/>
            <w:tcBorders>
              <w:bottom w:val="single" w:sz="8" w:space="0" w:color="auto"/>
            </w:tcBorders>
            <w:vAlign w:val="center"/>
          </w:tcPr>
          <w:p w14:paraId="3B7FAA61"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938" w:type="dxa"/>
            <w:tcBorders>
              <w:bottom w:val="single" w:sz="8" w:space="0" w:color="auto"/>
            </w:tcBorders>
            <w:vAlign w:val="center"/>
          </w:tcPr>
          <w:p w14:paraId="2BB81E56"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1211" w:type="dxa"/>
            <w:tcBorders>
              <w:bottom w:val="single" w:sz="8" w:space="0" w:color="auto"/>
            </w:tcBorders>
            <w:vAlign w:val="center"/>
          </w:tcPr>
          <w:p w14:paraId="51708D93"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w:t>
            </w:r>
          </w:p>
        </w:tc>
      </w:tr>
      <w:tr w:rsidR="009D12AF" w14:paraId="7D07594B" w14:textId="77777777">
        <w:trPr>
          <w:cantSplit/>
          <w:trHeight w:val="397"/>
          <w:jc w:val="center"/>
        </w:trPr>
        <w:tc>
          <w:tcPr>
            <w:tcW w:w="2048" w:type="dxa"/>
            <w:tcBorders>
              <w:bottom w:val="single" w:sz="8" w:space="0" w:color="auto"/>
            </w:tcBorders>
            <w:vAlign w:val="center"/>
          </w:tcPr>
          <w:p w14:paraId="646562BD"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5812" w:type="dxa"/>
            <w:gridSpan w:val="3"/>
            <w:tcBorders>
              <w:top w:val="single" w:sz="8" w:space="0" w:color="auto"/>
              <w:bottom w:val="single" w:sz="8" w:space="0" w:color="auto"/>
            </w:tcBorders>
            <w:vAlign w:val="center"/>
          </w:tcPr>
          <w:p w14:paraId="2089E8D2"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rPr>
              <w:t>向阳水电站前池</w:t>
            </w:r>
            <w:r>
              <w:rPr>
                <w:rFonts w:ascii="Times New Roman" w:hAnsi="Times New Roman" w:cs="Times New Roman"/>
                <w:b/>
                <w:bCs/>
              </w:rPr>
              <w:t>2#</w:t>
            </w:r>
            <w:r>
              <w:rPr>
                <w:rFonts w:ascii="Times New Roman" w:hAnsi="Times New Roman" w:cs="Times New Roman"/>
                <w:b/>
                <w:bCs/>
              </w:rPr>
              <w:t>（水面下</w:t>
            </w:r>
            <w:r>
              <w:rPr>
                <w:rFonts w:ascii="Times New Roman" w:hAnsi="Times New Roman" w:cs="Times New Roman"/>
                <w:b/>
                <w:bCs/>
              </w:rPr>
              <w:t>0.5m</w:t>
            </w:r>
            <w:r>
              <w:rPr>
                <w:rFonts w:ascii="Times New Roman" w:hAnsi="Times New Roman" w:cs="Times New Roman"/>
                <w:b/>
                <w:bCs/>
              </w:rPr>
              <w:t>）</w:t>
            </w:r>
          </w:p>
        </w:tc>
        <w:tc>
          <w:tcPr>
            <w:tcW w:w="1211" w:type="dxa"/>
            <w:tcBorders>
              <w:top w:val="single" w:sz="8" w:space="0" w:color="auto"/>
              <w:bottom w:val="single" w:sz="8" w:space="0" w:color="auto"/>
            </w:tcBorders>
            <w:vAlign w:val="center"/>
          </w:tcPr>
          <w:p w14:paraId="65B572F0"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kern w:val="0"/>
                <w:szCs w:val="21"/>
              </w:rPr>
              <w:t>/</w:t>
            </w:r>
          </w:p>
        </w:tc>
      </w:tr>
      <w:tr w:rsidR="009D12AF" w14:paraId="7ABC0544" w14:textId="77777777">
        <w:trPr>
          <w:cantSplit/>
          <w:trHeight w:val="397"/>
          <w:jc w:val="center"/>
        </w:trPr>
        <w:tc>
          <w:tcPr>
            <w:tcW w:w="2048" w:type="dxa"/>
            <w:tcBorders>
              <w:bottom w:val="single" w:sz="8" w:space="0" w:color="auto"/>
            </w:tcBorders>
            <w:vAlign w:val="center"/>
          </w:tcPr>
          <w:p w14:paraId="1DF998F8"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检测项目</w:t>
            </w:r>
          </w:p>
        </w:tc>
        <w:tc>
          <w:tcPr>
            <w:tcW w:w="5812" w:type="dxa"/>
            <w:gridSpan w:val="3"/>
            <w:tcBorders>
              <w:top w:val="single" w:sz="8" w:space="0" w:color="auto"/>
              <w:bottom w:val="single" w:sz="8" w:space="0" w:color="auto"/>
            </w:tcBorders>
            <w:vAlign w:val="center"/>
          </w:tcPr>
          <w:p w14:paraId="0B6E2C5A"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检测结果</w:t>
            </w:r>
          </w:p>
        </w:tc>
        <w:tc>
          <w:tcPr>
            <w:tcW w:w="1211" w:type="dxa"/>
            <w:tcBorders>
              <w:top w:val="single" w:sz="8" w:space="0" w:color="auto"/>
              <w:bottom w:val="single" w:sz="8" w:space="0" w:color="auto"/>
            </w:tcBorders>
            <w:vAlign w:val="center"/>
          </w:tcPr>
          <w:p w14:paraId="1CA82C66"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单位</w:t>
            </w:r>
          </w:p>
        </w:tc>
      </w:tr>
      <w:tr w:rsidR="009D12AF" w14:paraId="1C8F47BC" w14:textId="77777777">
        <w:trPr>
          <w:cantSplit/>
          <w:trHeight w:val="397"/>
          <w:jc w:val="center"/>
        </w:trPr>
        <w:tc>
          <w:tcPr>
            <w:tcW w:w="2048" w:type="dxa"/>
            <w:vAlign w:val="center"/>
          </w:tcPr>
          <w:p w14:paraId="1A22F518"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937" w:type="dxa"/>
            <w:tcBorders>
              <w:top w:val="single" w:sz="8" w:space="0" w:color="auto"/>
              <w:bottom w:val="single" w:sz="8" w:space="0" w:color="auto"/>
            </w:tcBorders>
            <w:vAlign w:val="center"/>
          </w:tcPr>
          <w:p w14:paraId="4A21691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250940DB0801D1</w:t>
            </w:r>
          </w:p>
        </w:tc>
        <w:tc>
          <w:tcPr>
            <w:tcW w:w="1937" w:type="dxa"/>
            <w:tcBorders>
              <w:top w:val="single" w:sz="8" w:space="0" w:color="auto"/>
              <w:bottom w:val="single" w:sz="8" w:space="0" w:color="auto"/>
            </w:tcBorders>
            <w:vAlign w:val="center"/>
          </w:tcPr>
          <w:p w14:paraId="7EC898B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250940DB0801D2</w:t>
            </w:r>
          </w:p>
        </w:tc>
        <w:tc>
          <w:tcPr>
            <w:tcW w:w="1938" w:type="dxa"/>
            <w:tcBorders>
              <w:top w:val="single" w:sz="8" w:space="0" w:color="auto"/>
              <w:bottom w:val="single" w:sz="8" w:space="0" w:color="auto"/>
            </w:tcBorders>
            <w:vAlign w:val="center"/>
          </w:tcPr>
          <w:p w14:paraId="7097F27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250940DB0801D3</w:t>
            </w:r>
          </w:p>
        </w:tc>
        <w:tc>
          <w:tcPr>
            <w:tcW w:w="1211" w:type="dxa"/>
            <w:tcBorders>
              <w:top w:val="single" w:sz="8" w:space="0" w:color="auto"/>
              <w:bottom w:val="single" w:sz="8" w:space="0" w:color="auto"/>
            </w:tcBorders>
            <w:vAlign w:val="center"/>
          </w:tcPr>
          <w:p w14:paraId="103D591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31070D94" w14:textId="77777777">
        <w:trPr>
          <w:cantSplit/>
          <w:trHeight w:val="397"/>
          <w:jc w:val="center"/>
        </w:trPr>
        <w:tc>
          <w:tcPr>
            <w:tcW w:w="2048" w:type="dxa"/>
            <w:vAlign w:val="center"/>
          </w:tcPr>
          <w:p w14:paraId="3FBFA740"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937" w:type="dxa"/>
            <w:tcBorders>
              <w:top w:val="single" w:sz="8" w:space="0" w:color="auto"/>
              <w:bottom w:val="single" w:sz="8" w:space="0" w:color="auto"/>
            </w:tcBorders>
            <w:vAlign w:val="center"/>
          </w:tcPr>
          <w:p w14:paraId="368025A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7.6</w:t>
            </w:r>
          </w:p>
        </w:tc>
        <w:tc>
          <w:tcPr>
            <w:tcW w:w="1937" w:type="dxa"/>
            <w:tcBorders>
              <w:top w:val="single" w:sz="8" w:space="0" w:color="auto"/>
              <w:bottom w:val="single" w:sz="8" w:space="0" w:color="auto"/>
            </w:tcBorders>
            <w:vAlign w:val="center"/>
          </w:tcPr>
          <w:p w14:paraId="6D325F7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7.5</w:t>
            </w:r>
          </w:p>
        </w:tc>
        <w:tc>
          <w:tcPr>
            <w:tcW w:w="1938" w:type="dxa"/>
            <w:tcBorders>
              <w:top w:val="single" w:sz="8" w:space="0" w:color="auto"/>
              <w:bottom w:val="single" w:sz="8" w:space="0" w:color="auto"/>
            </w:tcBorders>
            <w:vAlign w:val="center"/>
          </w:tcPr>
          <w:p w14:paraId="408587F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7.5</w:t>
            </w:r>
          </w:p>
        </w:tc>
        <w:tc>
          <w:tcPr>
            <w:tcW w:w="1211" w:type="dxa"/>
            <w:tcBorders>
              <w:top w:val="single" w:sz="8" w:space="0" w:color="auto"/>
              <w:bottom w:val="single" w:sz="8" w:space="0" w:color="auto"/>
            </w:tcBorders>
            <w:vAlign w:val="center"/>
          </w:tcPr>
          <w:p w14:paraId="5DBCDA1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5BD57362" w14:textId="77777777">
        <w:trPr>
          <w:cantSplit/>
          <w:trHeight w:val="397"/>
          <w:jc w:val="center"/>
        </w:trPr>
        <w:tc>
          <w:tcPr>
            <w:tcW w:w="2048" w:type="dxa"/>
            <w:vAlign w:val="center"/>
          </w:tcPr>
          <w:p w14:paraId="76A0B83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937" w:type="dxa"/>
            <w:vAlign w:val="center"/>
          </w:tcPr>
          <w:p w14:paraId="0EC7DA78"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2.2</w:t>
            </w:r>
          </w:p>
        </w:tc>
        <w:tc>
          <w:tcPr>
            <w:tcW w:w="1937" w:type="dxa"/>
            <w:vAlign w:val="center"/>
          </w:tcPr>
          <w:p w14:paraId="2414E1F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3.0</w:t>
            </w:r>
          </w:p>
        </w:tc>
        <w:tc>
          <w:tcPr>
            <w:tcW w:w="1938" w:type="dxa"/>
            <w:vAlign w:val="center"/>
          </w:tcPr>
          <w:p w14:paraId="502DBFA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3.2</w:t>
            </w:r>
          </w:p>
        </w:tc>
        <w:tc>
          <w:tcPr>
            <w:tcW w:w="1211" w:type="dxa"/>
            <w:vAlign w:val="center"/>
          </w:tcPr>
          <w:p w14:paraId="061E84B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B86802B" w14:textId="77777777">
        <w:trPr>
          <w:cantSplit/>
          <w:trHeight w:val="397"/>
          <w:jc w:val="center"/>
        </w:trPr>
        <w:tc>
          <w:tcPr>
            <w:tcW w:w="2048" w:type="dxa"/>
            <w:vAlign w:val="center"/>
          </w:tcPr>
          <w:p w14:paraId="26B864D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937" w:type="dxa"/>
            <w:vAlign w:val="center"/>
          </w:tcPr>
          <w:p w14:paraId="0B00AD8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9.6</w:t>
            </w:r>
          </w:p>
        </w:tc>
        <w:tc>
          <w:tcPr>
            <w:tcW w:w="1937" w:type="dxa"/>
            <w:vAlign w:val="center"/>
          </w:tcPr>
          <w:p w14:paraId="340EA4D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9.2</w:t>
            </w:r>
          </w:p>
        </w:tc>
        <w:tc>
          <w:tcPr>
            <w:tcW w:w="1938" w:type="dxa"/>
            <w:vAlign w:val="center"/>
          </w:tcPr>
          <w:p w14:paraId="30D74CF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9.8</w:t>
            </w:r>
          </w:p>
        </w:tc>
        <w:tc>
          <w:tcPr>
            <w:tcW w:w="1211" w:type="dxa"/>
            <w:vAlign w:val="center"/>
          </w:tcPr>
          <w:p w14:paraId="4EB0465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F5296DF" w14:textId="77777777">
        <w:trPr>
          <w:cantSplit/>
          <w:trHeight w:val="397"/>
          <w:jc w:val="center"/>
        </w:trPr>
        <w:tc>
          <w:tcPr>
            <w:tcW w:w="2048" w:type="dxa"/>
            <w:vAlign w:val="center"/>
          </w:tcPr>
          <w:p w14:paraId="51EFDD4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937" w:type="dxa"/>
            <w:vAlign w:val="center"/>
          </w:tcPr>
          <w:p w14:paraId="7A0960C2"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8</w:t>
            </w:r>
          </w:p>
        </w:tc>
        <w:tc>
          <w:tcPr>
            <w:tcW w:w="1937" w:type="dxa"/>
            <w:vAlign w:val="center"/>
          </w:tcPr>
          <w:p w14:paraId="54D1DC8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10</w:t>
            </w:r>
          </w:p>
        </w:tc>
        <w:tc>
          <w:tcPr>
            <w:tcW w:w="1938" w:type="dxa"/>
            <w:vAlign w:val="center"/>
          </w:tcPr>
          <w:p w14:paraId="1204F53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11</w:t>
            </w:r>
          </w:p>
        </w:tc>
        <w:tc>
          <w:tcPr>
            <w:tcW w:w="1211" w:type="dxa"/>
            <w:vAlign w:val="center"/>
          </w:tcPr>
          <w:p w14:paraId="6340FDB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45E1517" w14:textId="77777777">
        <w:trPr>
          <w:cantSplit/>
          <w:trHeight w:val="397"/>
          <w:jc w:val="center"/>
        </w:trPr>
        <w:tc>
          <w:tcPr>
            <w:tcW w:w="2048" w:type="dxa"/>
            <w:vAlign w:val="center"/>
          </w:tcPr>
          <w:p w14:paraId="2E72BBB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937" w:type="dxa"/>
            <w:vAlign w:val="center"/>
          </w:tcPr>
          <w:p w14:paraId="0298E328"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3.2</w:t>
            </w:r>
          </w:p>
        </w:tc>
        <w:tc>
          <w:tcPr>
            <w:tcW w:w="1937" w:type="dxa"/>
            <w:vAlign w:val="center"/>
          </w:tcPr>
          <w:p w14:paraId="3E4F306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3.5</w:t>
            </w:r>
          </w:p>
        </w:tc>
        <w:tc>
          <w:tcPr>
            <w:tcW w:w="1938" w:type="dxa"/>
            <w:vAlign w:val="center"/>
          </w:tcPr>
          <w:p w14:paraId="7F019698"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4.2</w:t>
            </w:r>
          </w:p>
        </w:tc>
        <w:tc>
          <w:tcPr>
            <w:tcW w:w="1211" w:type="dxa"/>
            <w:vAlign w:val="center"/>
          </w:tcPr>
          <w:p w14:paraId="7AFB439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BDDEA57" w14:textId="77777777">
        <w:trPr>
          <w:cantSplit/>
          <w:trHeight w:val="397"/>
          <w:jc w:val="center"/>
        </w:trPr>
        <w:tc>
          <w:tcPr>
            <w:tcW w:w="2048" w:type="dxa"/>
            <w:vAlign w:val="center"/>
          </w:tcPr>
          <w:p w14:paraId="785BBD3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937" w:type="dxa"/>
            <w:vAlign w:val="center"/>
          </w:tcPr>
          <w:p w14:paraId="7277BB9A"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0.369</w:t>
            </w:r>
          </w:p>
        </w:tc>
        <w:tc>
          <w:tcPr>
            <w:tcW w:w="1937" w:type="dxa"/>
            <w:vAlign w:val="center"/>
          </w:tcPr>
          <w:p w14:paraId="7664F94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0.355</w:t>
            </w:r>
          </w:p>
        </w:tc>
        <w:tc>
          <w:tcPr>
            <w:tcW w:w="1938" w:type="dxa"/>
            <w:vAlign w:val="center"/>
          </w:tcPr>
          <w:p w14:paraId="1ABB2BA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0.372</w:t>
            </w:r>
          </w:p>
        </w:tc>
        <w:tc>
          <w:tcPr>
            <w:tcW w:w="1211" w:type="dxa"/>
            <w:vAlign w:val="center"/>
          </w:tcPr>
          <w:p w14:paraId="19855A1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2889245" w14:textId="77777777">
        <w:trPr>
          <w:cantSplit/>
          <w:trHeight w:val="397"/>
          <w:jc w:val="center"/>
        </w:trPr>
        <w:tc>
          <w:tcPr>
            <w:tcW w:w="2048" w:type="dxa"/>
            <w:vAlign w:val="center"/>
          </w:tcPr>
          <w:p w14:paraId="7B73D81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937" w:type="dxa"/>
            <w:vAlign w:val="center"/>
          </w:tcPr>
          <w:p w14:paraId="26366F1C"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0.04</w:t>
            </w:r>
          </w:p>
        </w:tc>
        <w:tc>
          <w:tcPr>
            <w:tcW w:w="1937" w:type="dxa"/>
            <w:vAlign w:val="center"/>
          </w:tcPr>
          <w:p w14:paraId="11513CD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w:t>
            </w:r>
          </w:p>
        </w:tc>
        <w:tc>
          <w:tcPr>
            <w:tcW w:w="1938" w:type="dxa"/>
            <w:vAlign w:val="center"/>
          </w:tcPr>
          <w:p w14:paraId="749802B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0.06</w:t>
            </w:r>
          </w:p>
        </w:tc>
        <w:tc>
          <w:tcPr>
            <w:tcW w:w="1211" w:type="dxa"/>
            <w:vAlign w:val="center"/>
          </w:tcPr>
          <w:p w14:paraId="06ADBF1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DC1E7CA" w14:textId="77777777">
        <w:trPr>
          <w:cantSplit/>
          <w:trHeight w:val="397"/>
          <w:jc w:val="center"/>
        </w:trPr>
        <w:tc>
          <w:tcPr>
            <w:tcW w:w="2048" w:type="dxa"/>
            <w:vAlign w:val="center"/>
          </w:tcPr>
          <w:p w14:paraId="5C6054C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937" w:type="dxa"/>
            <w:vAlign w:val="center"/>
          </w:tcPr>
          <w:p w14:paraId="76A05B5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1.64</w:t>
            </w:r>
          </w:p>
        </w:tc>
        <w:tc>
          <w:tcPr>
            <w:tcW w:w="1937" w:type="dxa"/>
            <w:vAlign w:val="center"/>
          </w:tcPr>
          <w:p w14:paraId="00DCC95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1.50</w:t>
            </w:r>
          </w:p>
        </w:tc>
        <w:tc>
          <w:tcPr>
            <w:tcW w:w="1938" w:type="dxa"/>
            <w:vAlign w:val="center"/>
          </w:tcPr>
          <w:p w14:paraId="3123B83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1.71</w:t>
            </w:r>
          </w:p>
        </w:tc>
        <w:tc>
          <w:tcPr>
            <w:tcW w:w="1211" w:type="dxa"/>
            <w:vAlign w:val="center"/>
          </w:tcPr>
          <w:p w14:paraId="425FBC2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7DB0A19" w14:textId="77777777">
        <w:trPr>
          <w:cantSplit/>
          <w:trHeight w:val="397"/>
          <w:jc w:val="center"/>
        </w:trPr>
        <w:tc>
          <w:tcPr>
            <w:tcW w:w="2048" w:type="dxa"/>
            <w:vAlign w:val="center"/>
          </w:tcPr>
          <w:p w14:paraId="42E61AC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937" w:type="dxa"/>
            <w:vAlign w:val="center"/>
          </w:tcPr>
          <w:p w14:paraId="109E41C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224F127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4E84338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40B982C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9C16BB4" w14:textId="77777777">
        <w:trPr>
          <w:cantSplit/>
          <w:trHeight w:val="397"/>
          <w:jc w:val="center"/>
        </w:trPr>
        <w:tc>
          <w:tcPr>
            <w:tcW w:w="2048" w:type="dxa"/>
            <w:vAlign w:val="center"/>
          </w:tcPr>
          <w:p w14:paraId="191F39F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937" w:type="dxa"/>
            <w:vAlign w:val="center"/>
          </w:tcPr>
          <w:p w14:paraId="5DFEE316"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0.13</w:t>
            </w:r>
          </w:p>
        </w:tc>
        <w:tc>
          <w:tcPr>
            <w:tcW w:w="1937" w:type="dxa"/>
            <w:vAlign w:val="center"/>
          </w:tcPr>
          <w:p w14:paraId="165AAB9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0.16</w:t>
            </w:r>
          </w:p>
        </w:tc>
        <w:tc>
          <w:tcPr>
            <w:tcW w:w="1938" w:type="dxa"/>
            <w:vAlign w:val="center"/>
          </w:tcPr>
          <w:p w14:paraId="2F75AF9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0.19</w:t>
            </w:r>
          </w:p>
        </w:tc>
        <w:tc>
          <w:tcPr>
            <w:tcW w:w="1211" w:type="dxa"/>
            <w:vAlign w:val="center"/>
          </w:tcPr>
          <w:p w14:paraId="50DD6D9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9197494" w14:textId="77777777">
        <w:trPr>
          <w:cantSplit/>
          <w:trHeight w:val="397"/>
          <w:jc w:val="center"/>
        </w:trPr>
        <w:tc>
          <w:tcPr>
            <w:tcW w:w="2048" w:type="dxa"/>
            <w:vAlign w:val="center"/>
          </w:tcPr>
          <w:p w14:paraId="6C4DC74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937" w:type="dxa"/>
            <w:vAlign w:val="center"/>
          </w:tcPr>
          <w:p w14:paraId="7EE30EC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0.65</w:t>
            </w:r>
          </w:p>
        </w:tc>
        <w:tc>
          <w:tcPr>
            <w:tcW w:w="1937" w:type="dxa"/>
            <w:vAlign w:val="center"/>
          </w:tcPr>
          <w:p w14:paraId="67BA478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0.55</w:t>
            </w:r>
          </w:p>
        </w:tc>
        <w:tc>
          <w:tcPr>
            <w:tcW w:w="1938" w:type="dxa"/>
            <w:vAlign w:val="center"/>
          </w:tcPr>
          <w:p w14:paraId="7057B7A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0.74</w:t>
            </w:r>
          </w:p>
        </w:tc>
        <w:tc>
          <w:tcPr>
            <w:tcW w:w="1211" w:type="dxa"/>
            <w:vAlign w:val="center"/>
          </w:tcPr>
          <w:p w14:paraId="702E3E5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8CF3E84" w14:textId="77777777">
        <w:trPr>
          <w:cantSplit/>
          <w:trHeight w:val="397"/>
          <w:jc w:val="center"/>
        </w:trPr>
        <w:tc>
          <w:tcPr>
            <w:tcW w:w="2048" w:type="dxa"/>
            <w:vAlign w:val="center"/>
          </w:tcPr>
          <w:p w14:paraId="209A32C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lastRenderedPageBreak/>
              <w:t>硒</w:t>
            </w:r>
          </w:p>
        </w:tc>
        <w:tc>
          <w:tcPr>
            <w:tcW w:w="1937" w:type="dxa"/>
            <w:vAlign w:val="center"/>
          </w:tcPr>
          <w:p w14:paraId="569B9E9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0.001</w:t>
            </w:r>
          </w:p>
        </w:tc>
        <w:tc>
          <w:tcPr>
            <w:tcW w:w="1937" w:type="dxa"/>
            <w:vAlign w:val="center"/>
          </w:tcPr>
          <w:p w14:paraId="2B1EEE1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938" w:type="dxa"/>
            <w:vAlign w:val="center"/>
          </w:tcPr>
          <w:p w14:paraId="5CA0411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211" w:type="dxa"/>
            <w:vAlign w:val="center"/>
          </w:tcPr>
          <w:p w14:paraId="0AEE08A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B227035" w14:textId="77777777">
        <w:trPr>
          <w:cantSplit/>
          <w:trHeight w:val="397"/>
          <w:jc w:val="center"/>
        </w:trPr>
        <w:tc>
          <w:tcPr>
            <w:tcW w:w="2048" w:type="dxa"/>
            <w:vAlign w:val="center"/>
          </w:tcPr>
          <w:p w14:paraId="719E493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砷</w:t>
            </w:r>
          </w:p>
        </w:tc>
        <w:tc>
          <w:tcPr>
            <w:tcW w:w="1937" w:type="dxa"/>
            <w:vAlign w:val="center"/>
          </w:tcPr>
          <w:p w14:paraId="606B6EB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937" w:type="dxa"/>
            <w:vAlign w:val="center"/>
          </w:tcPr>
          <w:p w14:paraId="1484258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938" w:type="dxa"/>
            <w:vAlign w:val="center"/>
          </w:tcPr>
          <w:p w14:paraId="2C9F550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211" w:type="dxa"/>
            <w:vAlign w:val="center"/>
          </w:tcPr>
          <w:p w14:paraId="778CAEF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397F790" w14:textId="77777777">
        <w:trPr>
          <w:cantSplit/>
          <w:trHeight w:val="397"/>
          <w:jc w:val="center"/>
        </w:trPr>
        <w:tc>
          <w:tcPr>
            <w:tcW w:w="2048" w:type="dxa"/>
            <w:vAlign w:val="center"/>
          </w:tcPr>
          <w:p w14:paraId="23379FF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总</w:t>
            </w:r>
            <w:r>
              <w:rPr>
                <w:rFonts w:ascii="Times New Roman" w:eastAsia="宋体" w:hAnsi="Times New Roman" w:cs="Times New Roman"/>
                <w:sz w:val="21"/>
                <w:lang w:bidi="ar"/>
              </w:rPr>
              <w:t>汞</w:t>
            </w:r>
          </w:p>
        </w:tc>
        <w:tc>
          <w:tcPr>
            <w:tcW w:w="1937" w:type="dxa"/>
            <w:vAlign w:val="center"/>
          </w:tcPr>
          <w:p w14:paraId="280059D7"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7" w:type="dxa"/>
            <w:vAlign w:val="center"/>
          </w:tcPr>
          <w:p w14:paraId="30834CC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8" w:type="dxa"/>
            <w:vAlign w:val="center"/>
          </w:tcPr>
          <w:p w14:paraId="3825F0B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211" w:type="dxa"/>
            <w:vAlign w:val="center"/>
          </w:tcPr>
          <w:p w14:paraId="2290AF0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4A786ED" w14:textId="77777777">
        <w:trPr>
          <w:cantSplit/>
          <w:trHeight w:val="397"/>
          <w:jc w:val="center"/>
        </w:trPr>
        <w:tc>
          <w:tcPr>
            <w:tcW w:w="2048" w:type="dxa"/>
            <w:vAlign w:val="center"/>
          </w:tcPr>
          <w:p w14:paraId="18011C7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镉</w:t>
            </w:r>
          </w:p>
        </w:tc>
        <w:tc>
          <w:tcPr>
            <w:tcW w:w="1937" w:type="dxa"/>
            <w:vAlign w:val="center"/>
          </w:tcPr>
          <w:p w14:paraId="7DAEC4B1"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7" w:type="dxa"/>
            <w:vAlign w:val="center"/>
          </w:tcPr>
          <w:p w14:paraId="34BCBFF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8" w:type="dxa"/>
            <w:vAlign w:val="center"/>
          </w:tcPr>
          <w:p w14:paraId="481D8F1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211" w:type="dxa"/>
            <w:vAlign w:val="center"/>
          </w:tcPr>
          <w:p w14:paraId="31076B2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08A0006" w14:textId="77777777">
        <w:trPr>
          <w:cantSplit/>
          <w:trHeight w:val="397"/>
          <w:jc w:val="center"/>
        </w:trPr>
        <w:tc>
          <w:tcPr>
            <w:tcW w:w="2048" w:type="dxa"/>
            <w:vAlign w:val="center"/>
          </w:tcPr>
          <w:p w14:paraId="29EFE2F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六价铬</w:t>
            </w:r>
          </w:p>
        </w:tc>
        <w:tc>
          <w:tcPr>
            <w:tcW w:w="1937" w:type="dxa"/>
            <w:vAlign w:val="center"/>
          </w:tcPr>
          <w:p w14:paraId="72E26E99"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73B9DA1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3BF1988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3E752E9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8D2BEE7" w14:textId="77777777">
        <w:trPr>
          <w:cantSplit/>
          <w:trHeight w:val="397"/>
          <w:jc w:val="center"/>
        </w:trPr>
        <w:tc>
          <w:tcPr>
            <w:tcW w:w="2048" w:type="dxa"/>
            <w:vAlign w:val="center"/>
          </w:tcPr>
          <w:p w14:paraId="392FA87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铅</w:t>
            </w:r>
          </w:p>
        </w:tc>
        <w:tc>
          <w:tcPr>
            <w:tcW w:w="1937" w:type="dxa"/>
            <w:vAlign w:val="center"/>
          </w:tcPr>
          <w:p w14:paraId="745FBA18"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7" w:type="dxa"/>
            <w:vAlign w:val="center"/>
          </w:tcPr>
          <w:p w14:paraId="1773202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8" w:type="dxa"/>
            <w:vAlign w:val="center"/>
          </w:tcPr>
          <w:p w14:paraId="36A4841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211" w:type="dxa"/>
            <w:vAlign w:val="center"/>
          </w:tcPr>
          <w:p w14:paraId="606CCBC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4B72B20" w14:textId="77777777">
        <w:trPr>
          <w:cantSplit/>
          <w:trHeight w:val="397"/>
          <w:jc w:val="center"/>
        </w:trPr>
        <w:tc>
          <w:tcPr>
            <w:tcW w:w="2048" w:type="dxa"/>
            <w:vAlign w:val="center"/>
          </w:tcPr>
          <w:p w14:paraId="57F2787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937" w:type="dxa"/>
            <w:vAlign w:val="center"/>
          </w:tcPr>
          <w:p w14:paraId="0C033656"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724825F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54E501F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708A4CF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427C109" w14:textId="77777777">
        <w:trPr>
          <w:cantSplit/>
          <w:trHeight w:val="397"/>
          <w:jc w:val="center"/>
        </w:trPr>
        <w:tc>
          <w:tcPr>
            <w:tcW w:w="2048" w:type="dxa"/>
            <w:vAlign w:val="center"/>
          </w:tcPr>
          <w:p w14:paraId="01FE0F1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937" w:type="dxa"/>
            <w:vAlign w:val="center"/>
          </w:tcPr>
          <w:p w14:paraId="0A96B6FC"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7" w:type="dxa"/>
            <w:vAlign w:val="center"/>
          </w:tcPr>
          <w:p w14:paraId="52F6A72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8" w:type="dxa"/>
            <w:vAlign w:val="center"/>
          </w:tcPr>
          <w:p w14:paraId="5B77908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211" w:type="dxa"/>
            <w:vAlign w:val="center"/>
          </w:tcPr>
          <w:p w14:paraId="14F1326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8C00A05" w14:textId="77777777">
        <w:trPr>
          <w:cantSplit/>
          <w:trHeight w:val="397"/>
          <w:jc w:val="center"/>
        </w:trPr>
        <w:tc>
          <w:tcPr>
            <w:tcW w:w="2048" w:type="dxa"/>
            <w:vAlign w:val="center"/>
          </w:tcPr>
          <w:p w14:paraId="0425366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937" w:type="dxa"/>
            <w:vAlign w:val="center"/>
          </w:tcPr>
          <w:p w14:paraId="22A52034"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33D13E5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7D52369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560569F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76A0792" w14:textId="77777777">
        <w:trPr>
          <w:cantSplit/>
          <w:trHeight w:val="397"/>
          <w:jc w:val="center"/>
        </w:trPr>
        <w:tc>
          <w:tcPr>
            <w:tcW w:w="2048" w:type="dxa"/>
            <w:vAlign w:val="center"/>
          </w:tcPr>
          <w:p w14:paraId="6A4D260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937" w:type="dxa"/>
            <w:vAlign w:val="center"/>
          </w:tcPr>
          <w:p w14:paraId="2CB7B314"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1E5DE16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129C1B4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09CF793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9065DF1" w14:textId="77777777">
        <w:trPr>
          <w:cantSplit/>
          <w:trHeight w:val="397"/>
          <w:jc w:val="center"/>
        </w:trPr>
        <w:tc>
          <w:tcPr>
            <w:tcW w:w="2048" w:type="dxa"/>
            <w:vAlign w:val="center"/>
          </w:tcPr>
          <w:p w14:paraId="39B16F0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937" w:type="dxa"/>
            <w:vAlign w:val="center"/>
          </w:tcPr>
          <w:p w14:paraId="66FCB368"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077B9D8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2C56605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08B9BFF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D86330D" w14:textId="77777777">
        <w:trPr>
          <w:cantSplit/>
          <w:trHeight w:val="397"/>
          <w:jc w:val="center"/>
        </w:trPr>
        <w:tc>
          <w:tcPr>
            <w:tcW w:w="2048" w:type="dxa"/>
            <w:vAlign w:val="center"/>
          </w:tcPr>
          <w:p w14:paraId="644EC00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937" w:type="dxa"/>
            <w:vAlign w:val="center"/>
          </w:tcPr>
          <w:p w14:paraId="3C292EA6"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3.2</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7" w:type="dxa"/>
            <w:vAlign w:val="center"/>
          </w:tcPr>
          <w:p w14:paraId="12EF5DF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2.6</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8" w:type="dxa"/>
            <w:vAlign w:val="center"/>
          </w:tcPr>
          <w:p w14:paraId="03F38C8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2.7</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211" w:type="dxa"/>
            <w:vAlign w:val="center"/>
          </w:tcPr>
          <w:p w14:paraId="3163677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3854D717" w14:textId="77777777">
        <w:trPr>
          <w:cantSplit/>
          <w:trHeight w:val="397"/>
          <w:jc w:val="center"/>
        </w:trPr>
        <w:tc>
          <w:tcPr>
            <w:tcW w:w="2048" w:type="dxa"/>
            <w:vAlign w:val="center"/>
          </w:tcPr>
          <w:p w14:paraId="3061513D"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937" w:type="dxa"/>
            <w:vAlign w:val="center"/>
          </w:tcPr>
          <w:p w14:paraId="207670FF"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12.1</w:t>
            </w:r>
          </w:p>
        </w:tc>
        <w:tc>
          <w:tcPr>
            <w:tcW w:w="1937" w:type="dxa"/>
            <w:vAlign w:val="center"/>
          </w:tcPr>
          <w:p w14:paraId="7AD9A65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12.3</w:t>
            </w:r>
          </w:p>
        </w:tc>
        <w:tc>
          <w:tcPr>
            <w:tcW w:w="1938" w:type="dxa"/>
            <w:vAlign w:val="center"/>
          </w:tcPr>
          <w:p w14:paraId="0ACEA72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12.2</w:t>
            </w:r>
          </w:p>
        </w:tc>
        <w:tc>
          <w:tcPr>
            <w:tcW w:w="1211" w:type="dxa"/>
            <w:vAlign w:val="center"/>
          </w:tcPr>
          <w:p w14:paraId="34EE62E6"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29CC566A" w14:textId="77777777" w:rsidR="009D12AF" w:rsidRDefault="00000000">
      <w:pPr>
        <w:ind w:firstLine="482"/>
        <w:jc w:val="center"/>
        <w:rPr>
          <w:b/>
          <w:bCs/>
        </w:rPr>
      </w:pPr>
      <w:r>
        <w:rPr>
          <w:rFonts w:hint="eastAsia"/>
          <w:b/>
          <w:bCs/>
        </w:rPr>
        <w:t>表</w:t>
      </w:r>
      <w:r>
        <w:rPr>
          <w:rFonts w:hint="eastAsia"/>
          <w:b/>
          <w:bCs/>
        </w:rPr>
        <w:t>4.3-9</w:t>
      </w:r>
      <w:r>
        <w:rPr>
          <w:rFonts w:hint="eastAsia"/>
          <w:b/>
          <w:bCs/>
        </w:rPr>
        <w:t>（</w:t>
      </w:r>
      <w:r>
        <w:rPr>
          <w:rFonts w:hint="eastAsia"/>
          <w:b/>
          <w:bCs/>
        </w:rPr>
        <w:t>3</w:t>
      </w:r>
      <w:r>
        <w:rPr>
          <w:rFonts w:hint="eastAsia"/>
          <w:b/>
          <w:bCs/>
        </w:rPr>
        <w:t>）</w:t>
      </w:r>
      <w:r>
        <w:rPr>
          <w:rFonts w:hint="eastAsia"/>
          <w:b/>
          <w:bCs/>
        </w:rPr>
        <w:t xml:space="preserve">  </w:t>
      </w:r>
      <w:r>
        <w:rPr>
          <w:rFonts w:hint="eastAsia"/>
          <w:b/>
          <w:bCs/>
        </w:rPr>
        <w:t>向阳水电站前池地表水环境监测结果</w:t>
      </w:r>
    </w:p>
    <w:tbl>
      <w:tblPr>
        <w:tblW w:w="907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048"/>
        <w:gridCol w:w="1937"/>
        <w:gridCol w:w="1937"/>
        <w:gridCol w:w="1938"/>
        <w:gridCol w:w="1211"/>
      </w:tblGrid>
      <w:tr w:rsidR="009D12AF" w14:paraId="17739988" w14:textId="77777777">
        <w:trPr>
          <w:cantSplit/>
          <w:trHeight w:val="397"/>
          <w:jc w:val="center"/>
        </w:trPr>
        <w:tc>
          <w:tcPr>
            <w:tcW w:w="2048" w:type="dxa"/>
            <w:vAlign w:val="center"/>
          </w:tcPr>
          <w:p w14:paraId="1F1BD7CF"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937" w:type="dxa"/>
            <w:tcBorders>
              <w:bottom w:val="single" w:sz="8" w:space="0" w:color="auto"/>
            </w:tcBorders>
            <w:vAlign w:val="center"/>
          </w:tcPr>
          <w:p w14:paraId="0A32D5A0" w14:textId="77777777" w:rsidR="009D12AF" w:rsidRDefault="00000000">
            <w:pPr>
              <w:spacing w:line="240" w:lineRule="exact"/>
              <w:ind w:firstLineChars="0" w:firstLine="0"/>
              <w:jc w:val="center"/>
              <w:rPr>
                <w:rFonts w:ascii="Times New Roman" w:eastAsia="宋体" w:hAnsi="Times New Roman" w:cs="Times New Roman"/>
                <w:b/>
                <w:bCs/>
              </w:rPr>
            </w:pPr>
            <w:r>
              <w:rPr>
                <w:rFonts w:ascii="Times New Roman" w:hAnsi="Times New Roman" w:cs="Times New Roman"/>
                <w:b/>
                <w:bCs/>
              </w:rPr>
              <w:t>2025.10.07</w:t>
            </w:r>
          </w:p>
        </w:tc>
        <w:tc>
          <w:tcPr>
            <w:tcW w:w="1937" w:type="dxa"/>
            <w:tcBorders>
              <w:bottom w:val="single" w:sz="8" w:space="0" w:color="auto"/>
            </w:tcBorders>
            <w:vAlign w:val="center"/>
          </w:tcPr>
          <w:p w14:paraId="5B3A2228"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938" w:type="dxa"/>
            <w:tcBorders>
              <w:bottom w:val="single" w:sz="8" w:space="0" w:color="auto"/>
            </w:tcBorders>
            <w:vAlign w:val="center"/>
          </w:tcPr>
          <w:p w14:paraId="603D39DD"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1211" w:type="dxa"/>
            <w:tcBorders>
              <w:bottom w:val="single" w:sz="8" w:space="0" w:color="auto"/>
            </w:tcBorders>
            <w:vAlign w:val="center"/>
          </w:tcPr>
          <w:p w14:paraId="27E1AB41"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w:t>
            </w:r>
          </w:p>
        </w:tc>
      </w:tr>
      <w:tr w:rsidR="009D12AF" w14:paraId="3E3032F8" w14:textId="77777777">
        <w:trPr>
          <w:cantSplit/>
          <w:trHeight w:val="397"/>
          <w:jc w:val="center"/>
        </w:trPr>
        <w:tc>
          <w:tcPr>
            <w:tcW w:w="2048" w:type="dxa"/>
            <w:tcBorders>
              <w:bottom w:val="single" w:sz="8" w:space="0" w:color="auto"/>
            </w:tcBorders>
            <w:vAlign w:val="center"/>
          </w:tcPr>
          <w:p w14:paraId="48D5C3BB"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5812" w:type="dxa"/>
            <w:gridSpan w:val="3"/>
            <w:tcBorders>
              <w:top w:val="single" w:sz="8" w:space="0" w:color="auto"/>
              <w:bottom w:val="single" w:sz="8" w:space="0" w:color="auto"/>
            </w:tcBorders>
            <w:vAlign w:val="center"/>
          </w:tcPr>
          <w:p w14:paraId="4BC2C828"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rPr>
              <w:t>向阳水电站下游</w:t>
            </w:r>
            <w:r>
              <w:rPr>
                <w:rFonts w:ascii="Times New Roman" w:hAnsi="Times New Roman" w:cs="Times New Roman"/>
                <w:b/>
                <w:bCs/>
              </w:rPr>
              <w:t>500m 3#</w:t>
            </w:r>
            <w:r>
              <w:rPr>
                <w:rFonts w:ascii="Times New Roman" w:hAnsi="Times New Roman" w:cs="Times New Roman"/>
                <w:b/>
                <w:bCs/>
              </w:rPr>
              <w:t>（水面下</w:t>
            </w:r>
            <w:r>
              <w:rPr>
                <w:rFonts w:ascii="Times New Roman" w:hAnsi="Times New Roman" w:cs="Times New Roman"/>
                <w:b/>
                <w:bCs/>
              </w:rPr>
              <w:t>0.5m</w:t>
            </w:r>
            <w:r>
              <w:rPr>
                <w:rFonts w:ascii="Times New Roman" w:hAnsi="Times New Roman" w:cs="Times New Roman"/>
                <w:b/>
                <w:bCs/>
              </w:rPr>
              <w:t>）</w:t>
            </w:r>
          </w:p>
        </w:tc>
        <w:tc>
          <w:tcPr>
            <w:tcW w:w="1211" w:type="dxa"/>
            <w:tcBorders>
              <w:top w:val="single" w:sz="8" w:space="0" w:color="auto"/>
              <w:bottom w:val="single" w:sz="8" w:space="0" w:color="auto"/>
            </w:tcBorders>
            <w:vAlign w:val="center"/>
          </w:tcPr>
          <w:p w14:paraId="0A857D9A"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kern w:val="0"/>
                <w:szCs w:val="21"/>
              </w:rPr>
              <w:t>/</w:t>
            </w:r>
          </w:p>
        </w:tc>
      </w:tr>
      <w:tr w:rsidR="009D12AF" w14:paraId="0E03E56B" w14:textId="77777777">
        <w:trPr>
          <w:cantSplit/>
          <w:trHeight w:val="397"/>
          <w:jc w:val="center"/>
        </w:trPr>
        <w:tc>
          <w:tcPr>
            <w:tcW w:w="2048" w:type="dxa"/>
            <w:tcBorders>
              <w:bottom w:val="single" w:sz="8" w:space="0" w:color="auto"/>
            </w:tcBorders>
            <w:vAlign w:val="center"/>
          </w:tcPr>
          <w:p w14:paraId="5A202C82"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检测项目</w:t>
            </w:r>
          </w:p>
        </w:tc>
        <w:tc>
          <w:tcPr>
            <w:tcW w:w="5812" w:type="dxa"/>
            <w:gridSpan w:val="3"/>
            <w:tcBorders>
              <w:top w:val="single" w:sz="8" w:space="0" w:color="auto"/>
              <w:bottom w:val="single" w:sz="8" w:space="0" w:color="auto"/>
            </w:tcBorders>
            <w:vAlign w:val="center"/>
          </w:tcPr>
          <w:p w14:paraId="1F585DF5"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检测结果</w:t>
            </w:r>
          </w:p>
        </w:tc>
        <w:tc>
          <w:tcPr>
            <w:tcW w:w="1211" w:type="dxa"/>
            <w:tcBorders>
              <w:top w:val="single" w:sz="8" w:space="0" w:color="auto"/>
              <w:bottom w:val="single" w:sz="8" w:space="0" w:color="auto"/>
            </w:tcBorders>
            <w:vAlign w:val="center"/>
          </w:tcPr>
          <w:p w14:paraId="1C19349B"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单位</w:t>
            </w:r>
          </w:p>
        </w:tc>
      </w:tr>
      <w:tr w:rsidR="009D12AF" w14:paraId="21DC5120" w14:textId="77777777">
        <w:trPr>
          <w:cantSplit/>
          <w:trHeight w:val="397"/>
          <w:jc w:val="center"/>
        </w:trPr>
        <w:tc>
          <w:tcPr>
            <w:tcW w:w="2048" w:type="dxa"/>
            <w:vAlign w:val="center"/>
          </w:tcPr>
          <w:p w14:paraId="4684FBCF"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937" w:type="dxa"/>
            <w:tcBorders>
              <w:top w:val="single" w:sz="8" w:space="0" w:color="auto"/>
              <w:bottom w:val="single" w:sz="8" w:space="0" w:color="auto"/>
            </w:tcBorders>
            <w:vAlign w:val="center"/>
          </w:tcPr>
          <w:p w14:paraId="76BD080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250940DB0901D1</w:t>
            </w:r>
          </w:p>
        </w:tc>
        <w:tc>
          <w:tcPr>
            <w:tcW w:w="1937" w:type="dxa"/>
            <w:tcBorders>
              <w:top w:val="single" w:sz="8" w:space="0" w:color="auto"/>
              <w:bottom w:val="single" w:sz="8" w:space="0" w:color="auto"/>
            </w:tcBorders>
            <w:vAlign w:val="center"/>
          </w:tcPr>
          <w:p w14:paraId="4CEA71A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250940DB0901D2</w:t>
            </w:r>
          </w:p>
        </w:tc>
        <w:tc>
          <w:tcPr>
            <w:tcW w:w="1938" w:type="dxa"/>
            <w:tcBorders>
              <w:top w:val="single" w:sz="8" w:space="0" w:color="auto"/>
              <w:bottom w:val="single" w:sz="8" w:space="0" w:color="auto"/>
            </w:tcBorders>
            <w:vAlign w:val="center"/>
          </w:tcPr>
          <w:p w14:paraId="5916DD9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250940DB0901D3</w:t>
            </w:r>
          </w:p>
        </w:tc>
        <w:tc>
          <w:tcPr>
            <w:tcW w:w="1211" w:type="dxa"/>
            <w:tcBorders>
              <w:top w:val="single" w:sz="8" w:space="0" w:color="auto"/>
              <w:bottom w:val="single" w:sz="8" w:space="0" w:color="auto"/>
            </w:tcBorders>
            <w:vAlign w:val="center"/>
          </w:tcPr>
          <w:p w14:paraId="5D41015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711F860A" w14:textId="77777777">
        <w:trPr>
          <w:cantSplit/>
          <w:trHeight w:val="397"/>
          <w:jc w:val="center"/>
        </w:trPr>
        <w:tc>
          <w:tcPr>
            <w:tcW w:w="2048" w:type="dxa"/>
            <w:vAlign w:val="center"/>
          </w:tcPr>
          <w:p w14:paraId="1C210428"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937" w:type="dxa"/>
            <w:tcBorders>
              <w:top w:val="single" w:sz="8" w:space="0" w:color="auto"/>
              <w:bottom w:val="single" w:sz="8" w:space="0" w:color="auto"/>
            </w:tcBorders>
            <w:vAlign w:val="center"/>
          </w:tcPr>
          <w:p w14:paraId="39A9299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7.9</w:t>
            </w:r>
          </w:p>
        </w:tc>
        <w:tc>
          <w:tcPr>
            <w:tcW w:w="1937" w:type="dxa"/>
            <w:tcBorders>
              <w:top w:val="single" w:sz="8" w:space="0" w:color="auto"/>
              <w:bottom w:val="single" w:sz="8" w:space="0" w:color="auto"/>
            </w:tcBorders>
            <w:vAlign w:val="center"/>
          </w:tcPr>
          <w:p w14:paraId="29ADE63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7.9</w:t>
            </w:r>
          </w:p>
        </w:tc>
        <w:tc>
          <w:tcPr>
            <w:tcW w:w="1938" w:type="dxa"/>
            <w:tcBorders>
              <w:top w:val="single" w:sz="8" w:space="0" w:color="auto"/>
              <w:bottom w:val="single" w:sz="8" w:space="0" w:color="auto"/>
            </w:tcBorders>
            <w:vAlign w:val="center"/>
          </w:tcPr>
          <w:p w14:paraId="0F64B93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7.8</w:t>
            </w:r>
          </w:p>
        </w:tc>
        <w:tc>
          <w:tcPr>
            <w:tcW w:w="1211" w:type="dxa"/>
            <w:tcBorders>
              <w:top w:val="single" w:sz="8" w:space="0" w:color="auto"/>
              <w:bottom w:val="single" w:sz="8" w:space="0" w:color="auto"/>
            </w:tcBorders>
            <w:vAlign w:val="center"/>
          </w:tcPr>
          <w:p w14:paraId="2621936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782A26B0" w14:textId="77777777">
        <w:trPr>
          <w:cantSplit/>
          <w:trHeight w:val="397"/>
          <w:jc w:val="center"/>
        </w:trPr>
        <w:tc>
          <w:tcPr>
            <w:tcW w:w="2048" w:type="dxa"/>
            <w:vAlign w:val="center"/>
          </w:tcPr>
          <w:p w14:paraId="6166285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937" w:type="dxa"/>
            <w:vAlign w:val="center"/>
          </w:tcPr>
          <w:p w14:paraId="27276602"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3.3</w:t>
            </w:r>
          </w:p>
        </w:tc>
        <w:tc>
          <w:tcPr>
            <w:tcW w:w="1937" w:type="dxa"/>
            <w:vAlign w:val="center"/>
          </w:tcPr>
          <w:p w14:paraId="2D81159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3.5</w:t>
            </w:r>
          </w:p>
        </w:tc>
        <w:tc>
          <w:tcPr>
            <w:tcW w:w="1938" w:type="dxa"/>
            <w:vAlign w:val="center"/>
          </w:tcPr>
          <w:p w14:paraId="4C2745C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3.1</w:t>
            </w:r>
          </w:p>
        </w:tc>
        <w:tc>
          <w:tcPr>
            <w:tcW w:w="1211" w:type="dxa"/>
            <w:vAlign w:val="center"/>
          </w:tcPr>
          <w:p w14:paraId="19AC0AE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90EE5DF" w14:textId="77777777">
        <w:trPr>
          <w:cantSplit/>
          <w:trHeight w:val="397"/>
          <w:jc w:val="center"/>
        </w:trPr>
        <w:tc>
          <w:tcPr>
            <w:tcW w:w="2048" w:type="dxa"/>
            <w:vAlign w:val="center"/>
          </w:tcPr>
          <w:p w14:paraId="041B1CA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937" w:type="dxa"/>
            <w:vAlign w:val="center"/>
          </w:tcPr>
          <w:p w14:paraId="1F282B0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10.0</w:t>
            </w:r>
          </w:p>
        </w:tc>
        <w:tc>
          <w:tcPr>
            <w:tcW w:w="1937" w:type="dxa"/>
            <w:vAlign w:val="center"/>
          </w:tcPr>
          <w:p w14:paraId="6307BA5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9.8</w:t>
            </w:r>
          </w:p>
        </w:tc>
        <w:tc>
          <w:tcPr>
            <w:tcW w:w="1938" w:type="dxa"/>
            <w:vAlign w:val="center"/>
          </w:tcPr>
          <w:p w14:paraId="3A8516D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9.5</w:t>
            </w:r>
          </w:p>
        </w:tc>
        <w:tc>
          <w:tcPr>
            <w:tcW w:w="1211" w:type="dxa"/>
            <w:vAlign w:val="center"/>
          </w:tcPr>
          <w:p w14:paraId="1ECA118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EB859CB" w14:textId="77777777">
        <w:trPr>
          <w:cantSplit/>
          <w:trHeight w:val="397"/>
          <w:jc w:val="center"/>
        </w:trPr>
        <w:tc>
          <w:tcPr>
            <w:tcW w:w="2048" w:type="dxa"/>
            <w:vAlign w:val="center"/>
          </w:tcPr>
          <w:p w14:paraId="5B956B9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937" w:type="dxa"/>
            <w:vAlign w:val="center"/>
          </w:tcPr>
          <w:p w14:paraId="0E4D2F9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11</w:t>
            </w:r>
          </w:p>
        </w:tc>
        <w:tc>
          <w:tcPr>
            <w:tcW w:w="1937" w:type="dxa"/>
            <w:vAlign w:val="center"/>
          </w:tcPr>
          <w:p w14:paraId="42275C0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13</w:t>
            </w:r>
          </w:p>
        </w:tc>
        <w:tc>
          <w:tcPr>
            <w:tcW w:w="1938" w:type="dxa"/>
            <w:vAlign w:val="center"/>
          </w:tcPr>
          <w:p w14:paraId="7B01ED1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10</w:t>
            </w:r>
          </w:p>
        </w:tc>
        <w:tc>
          <w:tcPr>
            <w:tcW w:w="1211" w:type="dxa"/>
            <w:vAlign w:val="center"/>
          </w:tcPr>
          <w:p w14:paraId="13F0FA2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DA405A7" w14:textId="77777777">
        <w:trPr>
          <w:cantSplit/>
          <w:trHeight w:val="397"/>
          <w:jc w:val="center"/>
        </w:trPr>
        <w:tc>
          <w:tcPr>
            <w:tcW w:w="2048" w:type="dxa"/>
            <w:vAlign w:val="center"/>
          </w:tcPr>
          <w:p w14:paraId="2159951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937" w:type="dxa"/>
            <w:vAlign w:val="center"/>
          </w:tcPr>
          <w:p w14:paraId="04BA679C"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4.1</w:t>
            </w:r>
          </w:p>
        </w:tc>
        <w:tc>
          <w:tcPr>
            <w:tcW w:w="1937" w:type="dxa"/>
            <w:vAlign w:val="center"/>
          </w:tcPr>
          <w:p w14:paraId="7E2578A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4.8</w:t>
            </w:r>
          </w:p>
        </w:tc>
        <w:tc>
          <w:tcPr>
            <w:tcW w:w="1938" w:type="dxa"/>
            <w:vAlign w:val="center"/>
          </w:tcPr>
          <w:p w14:paraId="7E9191B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3.7</w:t>
            </w:r>
          </w:p>
        </w:tc>
        <w:tc>
          <w:tcPr>
            <w:tcW w:w="1211" w:type="dxa"/>
            <w:vAlign w:val="center"/>
          </w:tcPr>
          <w:p w14:paraId="3190734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97FF569" w14:textId="77777777">
        <w:trPr>
          <w:cantSplit/>
          <w:trHeight w:val="397"/>
          <w:jc w:val="center"/>
        </w:trPr>
        <w:tc>
          <w:tcPr>
            <w:tcW w:w="2048" w:type="dxa"/>
            <w:vAlign w:val="center"/>
          </w:tcPr>
          <w:p w14:paraId="68797F6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937" w:type="dxa"/>
            <w:vAlign w:val="center"/>
          </w:tcPr>
          <w:p w14:paraId="1818906C"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0.276</w:t>
            </w:r>
          </w:p>
        </w:tc>
        <w:tc>
          <w:tcPr>
            <w:tcW w:w="1937" w:type="dxa"/>
            <w:vAlign w:val="center"/>
          </w:tcPr>
          <w:p w14:paraId="01692D18"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0.242</w:t>
            </w:r>
          </w:p>
        </w:tc>
        <w:tc>
          <w:tcPr>
            <w:tcW w:w="1938" w:type="dxa"/>
            <w:vAlign w:val="center"/>
          </w:tcPr>
          <w:p w14:paraId="3AF3AB7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0.283</w:t>
            </w:r>
          </w:p>
        </w:tc>
        <w:tc>
          <w:tcPr>
            <w:tcW w:w="1211" w:type="dxa"/>
            <w:vAlign w:val="center"/>
          </w:tcPr>
          <w:p w14:paraId="3106B5F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EEC1786" w14:textId="77777777">
        <w:trPr>
          <w:cantSplit/>
          <w:trHeight w:val="397"/>
          <w:jc w:val="center"/>
        </w:trPr>
        <w:tc>
          <w:tcPr>
            <w:tcW w:w="2048" w:type="dxa"/>
            <w:vAlign w:val="center"/>
          </w:tcPr>
          <w:p w14:paraId="6CF6A2D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937" w:type="dxa"/>
            <w:vAlign w:val="center"/>
          </w:tcPr>
          <w:p w14:paraId="4CD13EC9"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0.05</w:t>
            </w:r>
          </w:p>
        </w:tc>
        <w:tc>
          <w:tcPr>
            <w:tcW w:w="1937" w:type="dxa"/>
            <w:vAlign w:val="center"/>
          </w:tcPr>
          <w:p w14:paraId="12627F7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0.07</w:t>
            </w:r>
          </w:p>
        </w:tc>
        <w:tc>
          <w:tcPr>
            <w:tcW w:w="1938" w:type="dxa"/>
            <w:vAlign w:val="center"/>
          </w:tcPr>
          <w:p w14:paraId="67C08E8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0.06</w:t>
            </w:r>
          </w:p>
        </w:tc>
        <w:tc>
          <w:tcPr>
            <w:tcW w:w="1211" w:type="dxa"/>
            <w:vAlign w:val="center"/>
          </w:tcPr>
          <w:p w14:paraId="6129E2B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6DB49E6" w14:textId="77777777">
        <w:trPr>
          <w:cantSplit/>
          <w:trHeight w:val="397"/>
          <w:jc w:val="center"/>
        </w:trPr>
        <w:tc>
          <w:tcPr>
            <w:tcW w:w="2048" w:type="dxa"/>
            <w:vAlign w:val="center"/>
          </w:tcPr>
          <w:p w14:paraId="624F1F4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937" w:type="dxa"/>
            <w:vAlign w:val="center"/>
          </w:tcPr>
          <w:p w14:paraId="106F0DE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1.49</w:t>
            </w:r>
          </w:p>
        </w:tc>
        <w:tc>
          <w:tcPr>
            <w:tcW w:w="1937" w:type="dxa"/>
            <w:vAlign w:val="center"/>
          </w:tcPr>
          <w:p w14:paraId="0F762CF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1.56</w:t>
            </w:r>
          </w:p>
        </w:tc>
        <w:tc>
          <w:tcPr>
            <w:tcW w:w="1938" w:type="dxa"/>
            <w:vAlign w:val="center"/>
          </w:tcPr>
          <w:p w14:paraId="43A7E0D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1.64</w:t>
            </w:r>
          </w:p>
        </w:tc>
        <w:tc>
          <w:tcPr>
            <w:tcW w:w="1211" w:type="dxa"/>
            <w:vAlign w:val="center"/>
          </w:tcPr>
          <w:p w14:paraId="1A695B2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722DBA3" w14:textId="77777777">
        <w:trPr>
          <w:cantSplit/>
          <w:trHeight w:val="397"/>
          <w:jc w:val="center"/>
        </w:trPr>
        <w:tc>
          <w:tcPr>
            <w:tcW w:w="2048" w:type="dxa"/>
            <w:vAlign w:val="center"/>
          </w:tcPr>
          <w:p w14:paraId="35AEEF1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937" w:type="dxa"/>
            <w:vAlign w:val="center"/>
          </w:tcPr>
          <w:p w14:paraId="131847B0"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2582F31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2BB4B67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4EC999E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AB2F220" w14:textId="77777777">
        <w:trPr>
          <w:cantSplit/>
          <w:trHeight w:val="397"/>
          <w:jc w:val="center"/>
        </w:trPr>
        <w:tc>
          <w:tcPr>
            <w:tcW w:w="2048" w:type="dxa"/>
            <w:vAlign w:val="center"/>
          </w:tcPr>
          <w:p w14:paraId="7F50BB1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937" w:type="dxa"/>
            <w:vAlign w:val="center"/>
          </w:tcPr>
          <w:p w14:paraId="5725D750"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0.22</w:t>
            </w:r>
          </w:p>
        </w:tc>
        <w:tc>
          <w:tcPr>
            <w:tcW w:w="1937" w:type="dxa"/>
            <w:vAlign w:val="center"/>
          </w:tcPr>
          <w:p w14:paraId="61C20B6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0.24</w:t>
            </w:r>
          </w:p>
        </w:tc>
        <w:tc>
          <w:tcPr>
            <w:tcW w:w="1938" w:type="dxa"/>
            <w:vAlign w:val="center"/>
          </w:tcPr>
          <w:p w14:paraId="6C3B509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0.21</w:t>
            </w:r>
          </w:p>
        </w:tc>
        <w:tc>
          <w:tcPr>
            <w:tcW w:w="1211" w:type="dxa"/>
            <w:vAlign w:val="center"/>
          </w:tcPr>
          <w:p w14:paraId="3A90A91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A2CC00B" w14:textId="77777777">
        <w:trPr>
          <w:cantSplit/>
          <w:trHeight w:val="397"/>
          <w:jc w:val="center"/>
        </w:trPr>
        <w:tc>
          <w:tcPr>
            <w:tcW w:w="2048" w:type="dxa"/>
            <w:vAlign w:val="center"/>
          </w:tcPr>
          <w:p w14:paraId="1DFFA69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lastRenderedPageBreak/>
              <w:t>氟化物</w:t>
            </w:r>
          </w:p>
        </w:tc>
        <w:tc>
          <w:tcPr>
            <w:tcW w:w="1937" w:type="dxa"/>
            <w:vAlign w:val="center"/>
          </w:tcPr>
          <w:p w14:paraId="73A7D1F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0.31</w:t>
            </w:r>
          </w:p>
        </w:tc>
        <w:tc>
          <w:tcPr>
            <w:tcW w:w="1937" w:type="dxa"/>
            <w:vAlign w:val="center"/>
          </w:tcPr>
          <w:p w14:paraId="082DDC8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0.27</w:t>
            </w:r>
          </w:p>
        </w:tc>
        <w:tc>
          <w:tcPr>
            <w:tcW w:w="1938" w:type="dxa"/>
            <w:vAlign w:val="center"/>
          </w:tcPr>
          <w:p w14:paraId="6271CFB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0.41</w:t>
            </w:r>
          </w:p>
        </w:tc>
        <w:tc>
          <w:tcPr>
            <w:tcW w:w="1211" w:type="dxa"/>
            <w:vAlign w:val="center"/>
          </w:tcPr>
          <w:p w14:paraId="433B049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701272E" w14:textId="77777777">
        <w:trPr>
          <w:cantSplit/>
          <w:trHeight w:val="397"/>
          <w:jc w:val="center"/>
        </w:trPr>
        <w:tc>
          <w:tcPr>
            <w:tcW w:w="2048" w:type="dxa"/>
            <w:vAlign w:val="center"/>
          </w:tcPr>
          <w:p w14:paraId="31D04B0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硒</w:t>
            </w:r>
          </w:p>
        </w:tc>
        <w:tc>
          <w:tcPr>
            <w:tcW w:w="1937" w:type="dxa"/>
            <w:vAlign w:val="center"/>
          </w:tcPr>
          <w:p w14:paraId="1EDA132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0.001</w:t>
            </w:r>
          </w:p>
        </w:tc>
        <w:tc>
          <w:tcPr>
            <w:tcW w:w="1937" w:type="dxa"/>
            <w:vAlign w:val="center"/>
          </w:tcPr>
          <w:p w14:paraId="2F1D4B9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938" w:type="dxa"/>
            <w:vAlign w:val="center"/>
          </w:tcPr>
          <w:p w14:paraId="11EA58F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211" w:type="dxa"/>
            <w:vAlign w:val="center"/>
          </w:tcPr>
          <w:p w14:paraId="6664E06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715238D" w14:textId="77777777">
        <w:trPr>
          <w:cantSplit/>
          <w:trHeight w:val="397"/>
          <w:jc w:val="center"/>
        </w:trPr>
        <w:tc>
          <w:tcPr>
            <w:tcW w:w="2048" w:type="dxa"/>
            <w:vAlign w:val="center"/>
          </w:tcPr>
          <w:p w14:paraId="1248FB2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砷</w:t>
            </w:r>
          </w:p>
        </w:tc>
        <w:tc>
          <w:tcPr>
            <w:tcW w:w="1937" w:type="dxa"/>
            <w:vAlign w:val="center"/>
          </w:tcPr>
          <w:p w14:paraId="14D81982"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937" w:type="dxa"/>
            <w:vAlign w:val="center"/>
          </w:tcPr>
          <w:p w14:paraId="415739E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938" w:type="dxa"/>
            <w:vAlign w:val="center"/>
          </w:tcPr>
          <w:p w14:paraId="4A54930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211" w:type="dxa"/>
            <w:vAlign w:val="center"/>
          </w:tcPr>
          <w:p w14:paraId="2998698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02FA149" w14:textId="77777777">
        <w:trPr>
          <w:cantSplit/>
          <w:trHeight w:val="397"/>
          <w:jc w:val="center"/>
        </w:trPr>
        <w:tc>
          <w:tcPr>
            <w:tcW w:w="2048" w:type="dxa"/>
            <w:vAlign w:val="center"/>
          </w:tcPr>
          <w:p w14:paraId="6101CB5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总</w:t>
            </w:r>
            <w:r>
              <w:rPr>
                <w:rFonts w:ascii="Times New Roman" w:eastAsia="宋体" w:hAnsi="Times New Roman" w:cs="Times New Roman"/>
                <w:sz w:val="21"/>
                <w:lang w:bidi="ar"/>
              </w:rPr>
              <w:t>汞</w:t>
            </w:r>
          </w:p>
        </w:tc>
        <w:tc>
          <w:tcPr>
            <w:tcW w:w="1937" w:type="dxa"/>
            <w:vAlign w:val="center"/>
          </w:tcPr>
          <w:p w14:paraId="1CE195E7"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7" w:type="dxa"/>
            <w:vAlign w:val="center"/>
          </w:tcPr>
          <w:p w14:paraId="1540909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8" w:type="dxa"/>
            <w:vAlign w:val="center"/>
          </w:tcPr>
          <w:p w14:paraId="68F7CA3E"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0.00002L</w:t>
            </w:r>
          </w:p>
        </w:tc>
        <w:tc>
          <w:tcPr>
            <w:tcW w:w="1211" w:type="dxa"/>
            <w:vAlign w:val="center"/>
          </w:tcPr>
          <w:p w14:paraId="0516A11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89C0B94" w14:textId="77777777">
        <w:trPr>
          <w:cantSplit/>
          <w:trHeight w:val="397"/>
          <w:jc w:val="center"/>
        </w:trPr>
        <w:tc>
          <w:tcPr>
            <w:tcW w:w="2048" w:type="dxa"/>
            <w:vAlign w:val="center"/>
          </w:tcPr>
          <w:p w14:paraId="4E4B5FD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镉</w:t>
            </w:r>
          </w:p>
        </w:tc>
        <w:tc>
          <w:tcPr>
            <w:tcW w:w="1937" w:type="dxa"/>
            <w:vAlign w:val="center"/>
          </w:tcPr>
          <w:p w14:paraId="3CA95BCE"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7" w:type="dxa"/>
            <w:vAlign w:val="center"/>
          </w:tcPr>
          <w:p w14:paraId="4833C25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8" w:type="dxa"/>
            <w:vAlign w:val="center"/>
          </w:tcPr>
          <w:p w14:paraId="04B3F2B5"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0.0001L</w:t>
            </w:r>
          </w:p>
        </w:tc>
        <w:tc>
          <w:tcPr>
            <w:tcW w:w="1211" w:type="dxa"/>
            <w:vAlign w:val="center"/>
          </w:tcPr>
          <w:p w14:paraId="0672AE7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72ED666" w14:textId="77777777">
        <w:trPr>
          <w:cantSplit/>
          <w:trHeight w:val="397"/>
          <w:jc w:val="center"/>
        </w:trPr>
        <w:tc>
          <w:tcPr>
            <w:tcW w:w="2048" w:type="dxa"/>
            <w:vAlign w:val="center"/>
          </w:tcPr>
          <w:p w14:paraId="157532B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六价铬</w:t>
            </w:r>
          </w:p>
        </w:tc>
        <w:tc>
          <w:tcPr>
            <w:tcW w:w="1937" w:type="dxa"/>
            <w:vAlign w:val="center"/>
          </w:tcPr>
          <w:p w14:paraId="4C284DCF"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413DCD2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7AF4FC0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2376949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F5240D3" w14:textId="77777777">
        <w:trPr>
          <w:cantSplit/>
          <w:trHeight w:val="397"/>
          <w:jc w:val="center"/>
        </w:trPr>
        <w:tc>
          <w:tcPr>
            <w:tcW w:w="2048" w:type="dxa"/>
            <w:vAlign w:val="center"/>
          </w:tcPr>
          <w:p w14:paraId="7AE3B85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铅</w:t>
            </w:r>
          </w:p>
        </w:tc>
        <w:tc>
          <w:tcPr>
            <w:tcW w:w="1937" w:type="dxa"/>
            <w:vAlign w:val="center"/>
          </w:tcPr>
          <w:p w14:paraId="0D2468D5"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7" w:type="dxa"/>
            <w:vAlign w:val="center"/>
          </w:tcPr>
          <w:p w14:paraId="48D66AE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8" w:type="dxa"/>
            <w:vAlign w:val="center"/>
          </w:tcPr>
          <w:p w14:paraId="64CFEA3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211" w:type="dxa"/>
            <w:vAlign w:val="center"/>
          </w:tcPr>
          <w:p w14:paraId="175A53E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5878EA6" w14:textId="77777777">
        <w:trPr>
          <w:cantSplit/>
          <w:trHeight w:val="397"/>
          <w:jc w:val="center"/>
        </w:trPr>
        <w:tc>
          <w:tcPr>
            <w:tcW w:w="2048" w:type="dxa"/>
            <w:vAlign w:val="center"/>
          </w:tcPr>
          <w:p w14:paraId="118DD26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937" w:type="dxa"/>
            <w:vAlign w:val="center"/>
          </w:tcPr>
          <w:p w14:paraId="08CE1EC7"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667F6BD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4159161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11B2057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BB2088B" w14:textId="77777777">
        <w:trPr>
          <w:cantSplit/>
          <w:trHeight w:val="397"/>
          <w:jc w:val="center"/>
        </w:trPr>
        <w:tc>
          <w:tcPr>
            <w:tcW w:w="2048" w:type="dxa"/>
            <w:vAlign w:val="center"/>
          </w:tcPr>
          <w:p w14:paraId="6C7864E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937" w:type="dxa"/>
            <w:vAlign w:val="center"/>
          </w:tcPr>
          <w:p w14:paraId="61C3A94A"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7" w:type="dxa"/>
            <w:vAlign w:val="center"/>
          </w:tcPr>
          <w:p w14:paraId="2A425EB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8" w:type="dxa"/>
            <w:vAlign w:val="center"/>
          </w:tcPr>
          <w:p w14:paraId="4F385C5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211" w:type="dxa"/>
            <w:vAlign w:val="center"/>
          </w:tcPr>
          <w:p w14:paraId="403C130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D22E122" w14:textId="77777777">
        <w:trPr>
          <w:cantSplit/>
          <w:trHeight w:val="397"/>
          <w:jc w:val="center"/>
        </w:trPr>
        <w:tc>
          <w:tcPr>
            <w:tcW w:w="2048" w:type="dxa"/>
            <w:vAlign w:val="center"/>
          </w:tcPr>
          <w:p w14:paraId="57FEAE0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937" w:type="dxa"/>
            <w:vAlign w:val="center"/>
          </w:tcPr>
          <w:p w14:paraId="60668A0C"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58CAC9D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76AE5B5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19F37D8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B69B058" w14:textId="77777777">
        <w:trPr>
          <w:cantSplit/>
          <w:trHeight w:val="397"/>
          <w:jc w:val="center"/>
        </w:trPr>
        <w:tc>
          <w:tcPr>
            <w:tcW w:w="2048" w:type="dxa"/>
            <w:vAlign w:val="center"/>
          </w:tcPr>
          <w:p w14:paraId="2E23A75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937" w:type="dxa"/>
            <w:vAlign w:val="center"/>
          </w:tcPr>
          <w:p w14:paraId="28D6EA0E"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57DDD8D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74D40A4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059AB6F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B0E7E4C" w14:textId="77777777">
        <w:trPr>
          <w:cantSplit/>
          <w:trHeight w:val="397"/>
          <w:jc w:val="center"/>
        </w:trPr>
        <w:tc>
          <w:tcPr>
            <w:tcW w:w="2048" w:type="dxa"/>
            <w:vAlign w:val="center"/>
          </w:tcPr>
          <w:p w14:paraId="409EE38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937" w:type="dxa"/>
            <w:vAlign w:val="center"/>
          </w:tcPr>
          <w:p w14:paraId="2A8C9248"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6DD4A9D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1285C86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3166AD2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D527109" w14:textId="77777777">
        <w:trPr>
          <w:cantSplit/>
          <w:trHeight w:val="397"/>
          <w:jc w:val="center"/>
        </w:trPr>
        <w:tc>
          <w:tcPr>
            <w:tcW w:w="2048" w:type="dxa"/>
            <w:vAlign w:val="center"/>
          </w:tcPr>
          <w:p w14:paraId="0610197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937" w:type="dxa"/>
            <w:vAlign w:val="center"/>
          </w:tcPr>
          <w:p w14:paraId="32AE3E6E"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4.2</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7" w:type="dxa"/>
            <w:vAlign w:val="center"/>
          </w:tcPr>
          <w:p w14:paraId="619DC50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3.3</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8" w:type="dxa"/>
            <w:vAlign w:val="center"/>
          </w:tcPr>
          <w:p w14:paraId="7C9C407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3.9</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211" w:type="dxa"/>
            <w:vAlign w:val="center"/>
          </w:tcPr>
          <w:p w14:paraId="1161BB1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69554F67" w14:textId="77777777">
        <w:trPr>
          <w:cantSplit/>
          <w:trHeight w:val="397"/>
          <w:jc w:val="center"/>
        </w:trPr>
        <w:tc>
          <w:tcPr>
            <w:tcW w:w="2048" w:type="dxa"/>
            <w:tcBorders>
              <w:right w:val="single" w:sz="4" w:space="0" w:color="000000"/>
            </w:tcBorders>
            <w:vAlign w:val="center"/>
          </w:tcPr>
          <w:p w14:paraId="0EC75BC3"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937" w:type="dxa"/>
            <w:tcBorders>
              <w:left w:val="single" w:sz="4" w:space="0" w:color="000000"/>
            </w:tcBorders>
            <w:vAlign w:val="center"/>
          </w:tcPr>
          <w:p w14:paraId="1117F420"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12.5</w:t>
            </w:r>
          </w:p>
        </w:tc>
        <w:tc>
          <w:tcPr>
            <w:tcW w:w="1937" w:type="dxa"/>
            <w:vAlign w:val="center"/>
          </w:tcPr>
          <w:p w14:paraId="5EFD308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12.2</w:t>
            </w:r>
          </w:p>
        </w:tc>
        <w:tc>
          <w:tcPr>
            <w:tcW w:w="1938" w:type="dxa"/>
            <w:vAlign w:val="center"/>
          </w:tcPr>
          <w:p w14:paraId="323AF6F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11.7</w:t>
            </w:r>
          </w:p>
        </w:tc>
        <w:tc>
          <w:tcPr>
            <w:tcW w:w="1211" w:type="dxa"/>
            <w:vAlign w:val="center"/>
          </w:tcPr>
          <w:p w14:paraId="1B2158B8"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08D403FA" w14:textId="77777777" w:rsidR="009D12AF" w:rsidRDefault="00000000">
      <w:pPr>
        <w:ind w:firstLine="482"/>
        <w:jc w:val="center"/>
        <w:rPr>
          <w:b/>
          <w:bCs/>
        </w:rPr>
      </w:pPr>
      <w:r>
        <w:rPr>
          <w:rFonts w:hint="eastAsia"/>
          <w:b/>
          <w:bCs/>
        </w:rPr>
        <w:t>表</w:t>
      </w:r>
      <w:r>
        <w:rPr>
          <w:rFonts w:hint="eastAsia"/>
          <w:b/>
          <w:bCs/>
        </w:rPr>
        <w:t>4.3-10</w:t>
      </w:r>
      <w:r>
        <w:rPr>
          <w:rFonts w:hint="eastAsia"/>
          <w:b/>
          <w:bCs/>
        </w:rPr>
        <w:t>（</w:t>
      </w:r>
      <w:r>
        <w:rPr>
          <w:rFonts w:hint="eastAsia"/>
          <w:b/>
          <w:bCs/>
        </w:rPr>
        <w:t>1</w:t>
      </w:r>
      <w:r>
        <w:rPr>
          <w:rFonts w:hint="eastAsia"/>
          <w:b/>
          <w:bCs/>
        </w:rPr>
        <w:t>）</w:t>
      </w:r>
      <w:r>
        <w:rPr>
          <w:rFonts w:hint="eastAsia"/>
          <w:b/>
          <w:bCs/>
        </w:rPr>
        <w:t xml:space="preserve">  </w:t>
      </w:r>
      <w:r>
        <w:rPr>
          <w:rFonts w:hint="eastAsia"/>
          <w:b/>
          <w:bCs/>
        </w:rPr>
        <w:t>群力水库地表水环境监测结果</w:t>
      </w:r>
    </w:p>
    <w:tbl>
      <w:tblPr>
        <w:tblW w:w="907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048"/>
        <w:gridCol w:w="1937"/>
        <w:gridCol w:w="1937"/>
        <w:gridCol w:w="1938"/>
        <w:gridCol w:w="1211"/>
      </w:tblGrid>
      <w:tr w:rsidR="009D12AF" w14:paraId="71255A57" w14:textId="77777777">
        <w:trPr>
          <w:cantSplit/>
          <w:trHeight w:val="397"/>
          <w:jc w:val="center"/>
        </w:trPr>
        <w:tc>
          <w:tcPr>
            <w:tcW w:w="2048" w:type="dxa"/>
            <w:vAlign w:val="center"/>
          </w:tcPr>
          <w:p w14:paraId="48A95454"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937" w:type="dxa"/>
            <w:tcBorders>
              <w:bottom w:val="single" w:sz="8" w:space="0" w:color="auto"/>
            </w:tcBorders>
            <w:vAlign w:val="center"/>
          </w:tcPr>
          <w:p w14:paraId="2314F16F"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rPr>
              <w:t>2025.10.07</w:t>
            </w:r>
          </w:p>
        </w:tc>
        <w:tc>
          <w:tcPr>
            <w:tcW w:w="1937" w:type="dxa"/>
            <w:tcBorders>
              <w:bottom w:val="single" w:sz="8" w:space="0" w:color="auto"/>
            </w:tcBorders>
            <w:vAlign w:val="center"/>
          </w:tcPr>
          <w:p w14:paraId="757EFDC5"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938" w:type="dxa"/>
            <w:tcBorders>
              <w:bottom w:val="single" w:sz="8" w:space="0" w:color="auto"/>
            </w:tcBorders>
            <w:vAlign w:val="center"/>
          </w:tcPr>
          <w:p w14:paraId="23DA7597"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1211" w:type="dxa"/>
            <w:tcBorders>
              <w:bottom w:val="single" w:sz="8" w:space="0" w:color="auto"/>
            </w:tcBorders>
            <w:vAlign w:val="center"/>
          </w:tcPr>
          <w:p w14:paraId="0EDDE19F"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hint="eastAsia"/>
                <w:b/>
                <w:bCs/>
                <w:color w:val="000000"/>
                <w:kern w:val="0"/>
                <w:szCs w:val="21"/>
              </w:rPr>
              <w:t>/</w:t>
            </w:r>
          </w:p>
        </w:tc>
      </w:tr>
      <w:tr w:rsidR="009D12AF" w14:paraId="6DF4273E" w14:textId="77777777">
        <w:trPr>
          <w:cantSplit/>
          <w:trHeight w:val="397"/>
          <w:jc w:val="center"/>
        </w:trPr>
        <w:tc>
          <w:tcPr>
            <w:tcW w:w="2048" w:type="dxa"/>
            <w:tcBorders>
              <w:bottom w:val="single" w:sz="8" w:space="0" w:color="auto"/>
            </w:tcBorders>
            <w:vAlign w:val="center"/>
          </w:tcPr>
          <w:p w14:paraId="4107A3AE"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5812" w:type="dxa"/>
            <w:gridSpan w:val="3"/>
            <w:tcBorders>
              <w:top w:val="single" w:sz="8" w:space="0" w:color="auto"/>
              <w:bottom w:val="single" w:sz="8" w:space="0" w:color="auto"/>
            </w:tcBorders>
            <w:vAlign w:val="center"/>
          </w:tcPr>
          <w:p w14:paraId="5D1F2F96"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b/>
                <w:bCs/>
              </w:rPr>
              <w:t>群力水库上游</w:t>
            </w:r>
            <w:r>
              <w:rPr>
                <w:rFonts w:ascii="Times New Roman" w:hAnsi="Times New Roman" w:cs="Times New Roman"/>
                <w:b/>
                <w:bCs/>
              </w:rPr>
              <w:t>500m 1#</w:t>
            </w:r>
            <w:r>
              <w:rPr>
                <w:rFonts w:ascii="Times New Roman" w:hAnsi="Times New Roman" w:cs="Times New Roman" w:hint="eastAsia"/>
                <w:b/>
                <w:bCs/>
              </w:rPr>
              <w:t>（水面下</w:t>
            </w:r>
            <w:r>
              <w:rPr>
                <w:rFonts w:ascii="Times New Roman" w:hAnsi="Times New Roman" w:cs="Times New Roman" w:hint="eastAsia"/>
                <w:b/>
                <w:bCs/>
              </w:rPr>
              <w:t>0.5m</w:t>
            </w:r>
            <w:r>
              <w:rPr>
                <w:rFonts w:ascii="Times New Roman" w:hAnsi="Times New Roman" w:cs="Times New Roman" w:hint="eastAsia"/>
                <w:b/>
                <w:bCs/>
              </w:rPr>
              <w:t>）</w:t>
            </w:r>
          </w:p>
        </w:tc>
        <w:tc>
          <w:tcPr>
            <w:tcW w:w="1211" w:type="dxa"/>
            <w:tcBorders>
              <w:top w:val="single" w:sz="8" w:space="0" w:color="auto"/>
              <w:bottom w:val="single" w:sz="8" w:space="0" w:color="auto"/>
            </w:tcBorders>
            <w:vAlign w:val="center"/>
          </w:tcPr>
          <w:p w14:paraId="1071847B"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color w:val="000000"/>
                <w:kern w:val="0"/>
                <w:szCs w:val="21"/>
              </w:rPr>
              <w:t>/</w:t>
            </w:r>
          </w:p>
        </w:tc>
      </w:tr>
      <w:tr w:rsidR="009D12AF" w14:paraId="0EF1893C" w14:textId="77777777">
        <w:trPr>
          <w:cantSplit/>
          <w:trHeight w:val="397"/>
          <w:jc w:val="center"/>
        </w:trPr>
        <w:tc>
          <w:tcPr>
            <w:tcW w:w="2048" w:type="dxa"/>
            <w:vAlign w:val="center"/>
          </w:tcPr>
          <w:p w14:paraId="4A925714"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color w:val="000000"/>
                <w:kern w:val="0"/>
                <w:szCs w:val="21"/>
              </w:rPr>
              <w:t>检测项目</w:t>
            </w:r>
          </w:p>
        </w:tc>
        <w:tc>
          <w:tcPr>
            <w:tcW w:w="5812" w:type="dxa"/>
            <w:gridSpan w:val="3"/>
            <w:tcBorders>
              <w:top w:val="single" w:sz="8" w:space="0" w:color="auto"/>
              <w:bottom w:val="single" w:sz="8" w:space="0" w:color="auto"/>
            </w:tcBorders>
            <w:vAlign w:val="center"/>
          </w:tcPr>
          <w:p w14:paraId="6B238749"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hint="eastAsia"/>
                <w:b/>
                <w:bCs/>
                <w:color w:val="000000"/>
                <w:kern w:val="0"/>
                <w:szCs w:val="21"/>
              </w:rPr>
              <w:t>检测结果</w:t>
            </w:r>
          </w:p>
        </w:tc>
        <w:tc>
          <w:tcPr>
            <w:tcW w:w="1211" w:type="dxa"/>
            <w:tcBorders>
              <w:top w:val="single" w:sz="8" w:space="0" w:color="auto"/>
              <w:bottom w:val="single" w:sz="8" w:space="0" w:color="auto"/>
            </w:tcBorders>
            <w:vAlign w:val="center"/>
          </w:tcPr>
          <w:p w14:paraId="4D09E05F"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hint="eastAsia"/>
                <w:b/>
                <w:bCs/>
                <w:color w:val="000000"/>
                <w:kern w:val="0"/>
                <w:szCs w:val="21"/>
              </w:rPr>
              <w:t>单位</w:t>
            </w:r>
          </w:p>
        </w:tc>
      </w:tr>
      <w:tr w:rsidR="009D12AF" w14:paraId="2EBFDDF6" w14:textId="77777777">
        <w:trPr>
          <w:cantSplit/>
          <w:trHeight w:val="397"/>
          <w:jc w:val="center"/>
        </w:trPr>
        <w:tc>
          <w:tcPr>
            <w:tcW w:w="2048" w:type="dxa"/>
            <w:vAlign w:val="center"/>
          </w:tcPr>
          <w:p w14:paraId="632A8BC6"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937" w:type="dxa"/>
            <w:tcBorders>
              <w:top w:val="single" w:sz="8" w:space="0" w:color="auto"/>
              <w:bottom w:val="single" w:sz="8" w:space="0" w:color="auto"/>
            </w:tcBorders>
            <w:vAlign w:val="center"/>
          </w:tcPr>
          <w:p w14:paraId="724127F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250940DB1001D1</w:t>
            </w:r>
          </w:p>
        </w:tc>
        <w:tc>
          <w:tcPr>
            <w:tcW w:w="1937" w:type="dxa"/>
            <w:tcBorders>
              <w:top w:val="single" w:sz="8" w:space="0" w:color="auto"/>
              <w:bottom w:val="single" w:sz="8" w:space="0" w:color="auto"/>
            </w:tcBorders>
            <w:vAlign w:val="center"/>
          </w:tcPr>
          <w:p w14:paraId="48A7CE7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250940DB1001D2</w:t>
            </w:r>
          </w:p>
        </w:tc>
        <w:tc>
          <w:tcPr>
            <w:tcW w:w="1938" w:type="dxa"/>
            <w:tcBorders>
              <w:top w:val="single" w:sz="8" w:space="0" w:color="auto"/>
              <w:bottom w:val="single" w:sz="8" w:space="0" w:color="auto"/>
            </w:tcBorders>
            <w:vAlign w:val="center"/>
          </w:tcPr>
          <w:p w14:paraId="68A8252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250940DB1001D3</w:t>
            </w:r>
          </w:p>
        </w:tc>
        <w:tc>
          <w:tcPr>
            <w:tcW w:w="1211" w:type="dxa"/>
            <w:tcBorders>
              <w:top w:val="single" w:sz="8" w:space="0" w:color="auto"/>
              <w:bottom w:val="single" w:sz="8" w:space="0" w:color="auto"/>
            </w:tcBorders>
            <w:vAlign w:val="center"/>
          </w:tcPr>
          <w:p w14:paraId="15A67AC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1112A787" w14:textId="77777777">
        <w:trPr>
          <w:cantSplit/>
          <w:trHeight w:val="397"/>
          <w:jc w:val="center"/>
        </w:trPr>
        <w:tc>
          <w:tcPr>
            <w:tcW w:w="2048" w:type="dxa"/>
            <w:vAlign w:val="center"/>
          </w:tcPr>
          <w:p w14:paraId="11B2E16A"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937" w:type="dxa"/>
            <w:tcBorders>
              <w:top w:val="single" w:sz="8" w:space="0" w:color="auto"/>
              <w:bottom w:val="single" w:sz="8" w:space="0" w:color="auto"/>
            </w:tcBorders>
            <w:vAlign w:val="center"/>
          </w:tcPr>
          <w:p w14:paraId="167E5815"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7.7</w:t>
            </w:r>
          </w:p>
        </w:tc>
        <w:tc>
          <w:tcPr>
            <w:tcW w:w="1937" w:type="dxa"/>
            <w:tcBorders>
              <w:top w:val="single" w:sz="8" w:space="0" w:color="auto"/>
              <w:bottom w:val="single" w:sz="8" w:space="0" w:color="auto"/>
            </w:tcBorders>
            <w:vAlign w:val="center"/>
          </w:tcPr>
          <w:p w14:paraId="0805D66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7.6</w:t>
            </w:r>
          </w:p>
        </w:tc>
        <w:tc>
          <w:tcPr>
            <w:tcW w:w="1938" w:type="dxa"/>
            <w:tcBorders>
              <w:top w:val="single" w:sz="8" w:space="0" w:color="auto"/>
              <w:bottom w:val="single" w:sz="8" w:space="0" w:color="auto"/>
            </w:tcBorders>
            <w:vAlign w:val="center"/>
          </w:tcPr>
          <w:p w14:paraId="62FFE14C"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7.7</w:t>
            </w:r>
          </w:p>
        </w:tc>
        <w:tc>
          <w:tcPr>
            <w:tcW w:w="1211" w:type="dxa"/>
            <w:tcBorders>
              <w:top w:val="single" w:sz="8" w:space="0" w:color="auto"/>
              <w:bottom w:val="single" w:sz="8" w:space="0" w:color="auto"/>
            </w:tcBorders>
            <w:vAlign w:val="center"/>
          </w:tcPr>
          <w:p w14:paraId="0D73085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527F0C8F" w14:textId="77777777">
        <w:trPr>
          <w:cantSplit/>
          <w:trHeight w:val="397"/>
          <w:jc w:val="center"/>
        </w:trPr>
        <w:tc>
          <w:tcPr>
            <w:tcW w:w="2048" w:type="dxa"/>
            <w:vAlign w:val="center"/>
          </w:tcPr>
          <w:p w14:paraId="13B19DF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937" w:type="dxa"/>
            <w:vAlign w:val="center"/>
          </w:tcPr>
          <w:p w14:paraId="2004ED5C"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4.5</w:t>
            </w:r>
          </w:p>
        </w:tc>
        <w:tc>
          <w:tcPr>
            <w:tcW w:w="1937" w:type="dxa"/>
            <w:vAlign w:val="center"/>
          </w:tcPr>
          <w:p w14:paraId="7812AED8"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4.9</w:t>
            </w:r>
          </w:p>
        </w:tc>
        <w:tc>
          <w:tcPr>
            <w:tcW w:w="1938" w:type="dxa"/>
            <w:vAlign w:val="center"/>
          </w:tcPr>
          <w:p w14:paraId="7FCA9F28"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4.6</w:t>
            </w:r>
          </w:p>
        </w:tc>
        <w:tc>
          <w:tcPr>
            <w:tcW w:w="1211" w:type="dxa"/>
            <w:vAlign w:val="center"/>
          </w:tcPr>
          <w:p w14:paraId="1B48CA2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9EDCD92" w14:textId="77777777">
        <w:trPr>
          <w:cantSplit/>
          <w:trHeight w:val="397"/>
          <w:jc w:val="center"/>
        </w:trPr>
        <w:tc>
          <w:tcPr>
            <w:tcW w:w="2048" w:type="dxa"/>
            <w:vAlign w:val="center"/>
          </w:tcPr>
          <w:p w14:paraId="6F11A91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937" w:type="dxa"/>
            <w:vAlign w:val="center"/>
          </w:tcPr>
          <w:p w14:paraId="139164E0"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7.6</w:t>
            </w:r>
          </w:p>
        </w:tc>
        <w:tc>
          <w:tcPr>
            <w:tcW w:w="1937" w:type="dxa"/>
            <w:vAlign w:val="center"/>
          </w:tcPr>
          <w:p w14:paraId="4BD7A6C9"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7.8</w:t>
            </w:r>
          </w:p>
        </w:tc>
        <w:tc>
          <w:tcPr>
            <w:tcW w:w="1938" w:type="dxa"/>
            <w:vAlign w:val="center"/>
          </w:tcPr>
          <w:p w14:paraId="2B265CD0"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7.1</w:t>
            </w:r>
          </w:p>
        </w:tc>
        <w:tc>
          <w:tcPr>
            <w:tcW w:w="1211" w:type="dxa"/>
            <w:vAlign w:val="center"/>
          </w:tcPr>
          <w:p w14:paraId="79C371B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6827D5E" w14:textId="77777777">
        <w:trPr>
          <w:cantSplit/>
          <w:trHeight w:val="397"/>
          <w:jc w:val="center"/>
        </w:trPr>
        <w:tc>
          <w:tcPr>
            <w:tcW w:w="2048" w:type="dxa"/>
            <w:vAlign w:val="center"/>
          </w:tcPr>
          <w:p w14:paraId="12F4497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937" w:type="dxa"/>
            <w:vAlign w:val="center"/>
          </w:tcPr>
          <w:p w14:paraId="40B2EB2A"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16</w:t>
            </w:r>
          </w:p>
        </w:tc>
        <w:tc>
          <w:tcPr>
            <w:tcW w:w="1937" w:type="dxa"/>
            <w:vAlign w:val="center"/>
          </w:tcPr>
          <w:p w14:paraId="2AF4860C"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19</w:t>
            </w:r>
          </w:p>
        </w:tc>
        <w:tc>
          <w:tcPr>
            <w:tcW w:w="1938" w:type="dxa"/>
            <w:vAlign w:val="center"/>
          </w:tcPr>
          <w:p w14:paraId="01C74165"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17</w:t>
            </w:r>
          </w:p>
        </w:tc>
        <w:tc>
          <w:tcPr>
            <w:tcW w:w="1211" w:type="dxa"/>
            <w:vAlign w:val="center"/>
          </w:tcPr>
          <w:p w14:paraId="54247AA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DB9AD86" w14:textId="77777777">
        <w:trPr>
          <w:cantSplit/>
          <w:trHeight w:val="397"/>
          <w:jc w:val="center"/>
        </w:trPr>
        <w:tc>
          <w:tcPr>
            <w:tcW w:w="2048" w:type="dxa"/>
            <w:vAlign w:val="center"/>
          </w:tcPr>
          <w:p w14:paraId="27102CB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937" w:type="dxa"/>
            <w:vAlign w:val="center"/>
          </w:tcPr>
          <w:p w14:paraId="328FE004"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6.2</w:t>
            </w:r>
          </w:p>
        </w:tc>
        <w:tc>
          <w:tcPr>
            <w:tcW w:w="1937" w:type="dxa"/>
            <w:vAlign w:val="center"/>
          </w:tcPr>
          <w:p w14:paraId="5491BF23"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7.2</w:t>
            </w:r>
          </w:p>
        </w:tc>
        <w:tc>
          <w:tcPr>
            <w:tcW w:w="1938" w:type="dxa"/>
            <w:vAlign w:val="center"/>
          </w:tcPr>
          <w:p w14:paraId="765E78B4"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6.3</w:t>
            </w:r>
          </w:p>
        </w:tc>
        <w:tc>
          <w:tcPr>
            <w:tcW w:w="1211" w:type="dxa"/>
            <w:vAlign w:val="center"/>
          </w:tcPr>
          <w:p w14:paraId="21498D2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3967C9E" w14:textId="77777777">
        <w:trPr>
          <w:cantSplit/>
          <w:trHeight w:val="397"/>
          <w:jc w:val="center"/>
        </w:trPr>
        <w:tc>
          <w:tcPr>
            <w:tcW w:w="2048" w:type="dxa"/>
            <w:vAlign w:val="center"/>
          </w:tcPr>
          <w:p w14:paraId="7742ADA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937" w:type="dxa"/>
            <w:vAlign w:val="center"/>
          </w:tcPr>
          <w:p w14:paraId="540D579B"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0.355</w:t>
            </w:r>
          </w:p>
        </w:tc>
        <w:tc>
          <w:tcPr>
            <w:tcW w:w="1937" w:type="dxa"/>
            <w:vAlign w:val="center"/>
          </w:tcPr>
          <w:p w14:paraId="1EE6B119"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0.340</w:t>
            </w:r>
          </w:p>
        </w:tc>
        <w:tc>
          <w:tcPr>
            <w:tcW w:w="1938" w:type="dxa"/>
            <w:vAlign w:val="center"/>
          </w:tcPr>
          <w:p w14:paraId="1324D31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0.315</w:t>
            </w:r>
          </w:p>
        </w:tc>
        <w:tc>
          <w:tcPr>
            <w:tcW w:w="1211" w:type="dxa"/>
            <w:vAlign w:val="center"/>
          </w:tcPr>
          <w:p w14:paraId="06C3E0D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87B987C" w14:textId="77777777">
        <w:trPr>
          <w:cantSplit/>
          <w:trHeight w:val="397"/>
          <w:jc w:val="center"/>
        </w:trPr>
        <w:tc>
          <w:tcPr>
            <w:tcW w:w="2048" w:type="dxa"/>
            <w:vAlign w:val="center"/>
          </w:tcPr>
          <w:p w14:paraId="5F37765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937" w:type="dxa"/>
            <w:vAlign w:val="center"/>
          </w:tcPr>
          <w:p w14:paraId="6DC2CEC0"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0.08</w:t>
            </w:r>
          </w:p>
        </w:tc>
        <w:tc>
          <w:tcPr>
            <w:tcW w:w="1937" w:type="dxa"/>
            <w:vAlign w:val="center"/>
          </w:tcPr>
          <w:p w14:paraId="658286F8"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0.06</w:t>
            </w:r>
          </w:p>
        </w:tc>
        <w:tc>
          <w:tcPr>
            <w:tcW w:w="1938" w:type="dxa"/>
            <w:vAlign w:val="center"/>
          </w:tcPr>
          <w:p w14:paraId="5B80D599"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0.09</w:t>
            </w:r>
          </w:p>
        </w:tc>
        <w:tc>
          <w:tcPr>
            <w:tcW w:w="1211" w:type="dxa"/>
            <w:vAlign w:val="center"/>
          </w:tcPr>
          <w:p w14:paraId="788F31E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254DE7A" w14:textId="77777777">
        <w:trPr>
          <w:cantSplit/>
          <w:trHeight w:val="397"/>
          <w:jc w:val="center"/>
        </w:trPr>
        <w:tc>
          <w:tcPr>
            <w:tcW w:w="2048" w:type="dxa"/>
            <w:vAlign w:val="center"/>
          </w:tcPr>
          <w:p w14:paraId="28958DD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937" w:type="dxa"/>
            <w:vAlign w:val="center"/>
          </w:tcPr>
          <w:p w14:paraId="0C700F56"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1.66</w:t>
            </w:r>
          </w:p>
        </w:tc>
        <w:tc>
          <w:tcPr>
            <w:tcW w:w="1937" w:type="dxa"/>
            <w:vAlign w:val="center"/>
          </w:tcPr>
          <w:p w14:paraId="4209049F"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1.74</w:t>
            </w:r>
          </w:p>
        </w:tc>
        <w:tc>
          <w:tcPr>
            <w:tcW w:w="1938" w:type="dxa"/>
            <w:vAlign w:val="center"/>
          </w:tcPr>
          <w:p w14:paraId="6F03324F"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1.83</w:t>
            </w:r>
          </w:p>
        </w:tc>
        <w:tc>
          <w:tcPr>
            <w:tcW w:w="1211" w:type="dxa"/>
            <w:vAlign w:val="center"/>
          </w:tcPr>
          <w:p w14:paraId="68ADE5C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BEAA34A" w14:textId="77777777">
        <w:trPr>
          <w:cantSplit/>
          <w:trHeight w:val="397"/>
          <w:jc w:val="center"/>
        </w:trPr>
        <w:tc>
          <w:tcPr>
            <w:tcW w:w="2048" w:type="dxa"/>
            <w:vAlign w:val="center"/>
          </w:tcPr>
          <w:p w14:paraId="3CE7F0B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937" w:type="dxa"/>
            <w:vAlign w:val="center"/>
          </w:tcPr>
          <w:p w14:paraId="2909B89A"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74FBC0E9"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7924AA18"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0E9E59E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D35C200" w14:textId="77777777">
        <w:trPr>
          <w:cantSplit/>
          <w:trHeight w:val="397"/>
          <w:jc w:val="center"/>
        </w:trPr>
        <w:tc>
          <w:tcPr>
            <w:tcW w:w="2048" w:type="dxa"/>
            <w:vAlign w:val="center"/>
          </w:tcPr>
          <w:p w14:paraId="2387419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937" w:type="dxa"/>
            <w:vAlign w:val="center"/>
          </w:tcPr>
          <w:p w14:paraId="16EB6944"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0.24</w:t>
            </w:r>
          </w:p>
        </w:tc>
        <w:tc>
          <w:tcPr>
            <w:tcW w:w="1937" w:type="dxa"/>
            <w:vAlign w:val="center"/>
          </w:tcPr>
          <w:p w14:paraId="60320668"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0.26</w:t>
            </w:r>
          </w:p>
        </w:tc>
        <w:tc>
          <w:tcPr>
            <w:tcW w:w="1938" w:type="dxa"/>
            <w:vAlign w:val="center"/>
          </w:tcPr>
          <w:p w14:paraId="7A2CA02A"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0.22</w:t>
            </w:r>
          </w:p>
        </w:tc>
        <w:tc>
          <w:tcPr>
            <w:tcW w:w="1211" w:type="dxa"/>
            <w:vAlign w:val="center"/>
          </w:tcPr>
          <w:p w14:paraId="1D096A0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2B5928C" w14:textId="77777777">
        <w:trPr>
          <w:cantSplit/>
          <w:trHeight w:val="397"/>
          <w:jc w:val="center"/>
        </w:trPr>
        <w:tc>
          <w:tcPr>
            <w:tcW w:w="2048" w:type="dxa"/>
            <w:vAlign w:val="center"/>
          </w:tcPr>
          <w:p w14:paraId="62602E9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937" w:type="dxa"/>
            <w:vAlign w:val="center"/>
          </w:tcPr>
          <w:p w14:paraId="1EE8910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0.37</w:t>
            </w:r>
          </w:p>
        </w:tc>
        <w:tc>
          <w:tcPr>
            <w:tcW w:w="1937" w:type="dxa"/>
            <w:vAlign w:val="center"/>
          </w:tcPr>
          <w:p w14:paraId="5B118806"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0.40</w:t>
            </w:r>
          </w:p>
        </w:tc>
        <w:tc>
          <w:tcPr>
            <w:tcW w:w="1938" w:type="dxa"/>
            <w:vAlign w:val="center"/>
          </w:tcPr>
          <w:p w14:paraId="4A9C2206"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0.45</w:t>
            </w:r>
          </w:p>
        </w:tc>
        <w:tc>
          <w:tcPr>
            <w:tcW w:w="1211" w:type="dxa"/>
            <w:vAlign w:val="center"/>
          </w:tcPr>
          <w:p w14:paraId="62D223D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70B67B1" w14:textId="77777777">
        <w:trPr>
          <w:cantSplit/>
          <w:trHeight w:val="397"/>
          <w:jc w:val="center"/>
        </w:trPr>
        <w:tc>
          <w:tcPr>
            <w:tcW w:w="2048" w:type="dxa"/>
            <w:vAlign w:val="center"/>
          </w:tcPr>
          <w:p w14:paraId="7AC3DB7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lastRenderedPageBreak/>
              <w:t>硒</w:t>
            </w:r>
          </w:p>
        </w:tc>
        <w:tc>
          <w:tcPr>
            <w:tcW w:w="1937" w:type="dxa"/>
            <w:vAlign w:val="center"/>
          </w:tcPr>
          <w:p w14:paraId="46C7B043"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kern w:val="0"/>
                <w:sz w:val="21"/>
                <w:szCs w:val="21"/>
                <w:lang w:bidi="ar"/>
              </w:rPr>
              <w:t>0.001</w:t>
            </w:r>
          </w:p>
        </w:tc>
        <w:tc>
          <w:tcPr>
            <w:tcW w:w="1937" w:type="dxa"/>
            <w:vAlign w:val="center"/>
          </w:tcPr>
          <w:p w14:paraId="75C1C531"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kern w:val="0"/>
                <w:sz w:val="21"/>
                <w:szCs w:val="21"/>
                <w:lang w:bidi="ar"/>
              </w:rPr>
              <w:t>0.001</w:t>
            </w:r>
          </w:p>
        </w:tc>
        <w:tc>
          <w:tcPr>
            <w:tcW w:w="1938" w:type="dxa"/>
            <w:vAlign w:val="center"/>
          </w:tcPr>
          <w:p w14:paraId="25B6D440"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kern w:val="0"/>
                <w:sz w:val="21"/>
                <w:szCs w:val="21"/>
                <w:lang w:bidi="ar"/>
              </w:rPr>
              <w:t>0.001</w:t>
            </w:r>
          </w:p>
        </w:tc>
        <w:tc>
          <w:tcPr>
            <w:tcW w:w="1211" w:type="dxa"/>
            <w:vAlign w:val="center"/>
          </w:tcPr>
          <w:p w14:paraId="71F9610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56C5FB6" w14:textId="77777777">
        <w:trPr>
          <w:cantSplit/>
          <w:trHeight w:val="397"/>
          <w:jc w:val="center"/>
        </w:trPr>
        <w:tc>
          <w:tcPr>
            <w:tcW w:w="2048" w:type="dxa"/>
            <w:vAlign w:val="center"/>
          </w:tcPr>
          <w:p w14:paraId="5B959C6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砷</w:t>
            </w:r>
          </w:p>
        </w:tc>
        <w:tc>
          <w:tcPr>
            <w:tcW w:w="1937" w:type="dxa"/>
            <w:vAlign w:val="center"/>
          </w:tcPr>
          <w:p w14:paraId="159D467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937" w:type="dxa"/>
            <w:vAlign w:val="center"/>
          </w:tcPr>
          <w:p w14:paraId="4DA4845D"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kern w:val="0"/>
                <w:sz w:val="21"/>
                <w:szCs w:val="21"/>
                <w:lang w:bidi="ar"/>
              </w:rPr>
              <w:t>0.0003L</w:t>
            </w:r>
          </w:p>
        </w:tc>
        <w:tc>
          <w:tcPr>
            <w:tcW w:w="1938" w:type="dxa"/>
            <w:vAlign w:val="center"/>
          </w:tcPr>
          <w:p w14:paraId="3B76D4C7"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kern w:val="0"/>
                <w:sz w:val="21"/>
                <w:szCs w:val="21"/>
                <w:lang w:bidi="ar"/>
              </w:rPr>
              <w:t>0.0003L</w:t>
            </w:r>
          </w:p>
        </w:tc>
        <w:tc>
          <w:tcPr>
            <w:tcW w:w="1211" w:type="dxa"/>
            <w:vAlign w:val="center"/>
          </w:tcPr>
          <w:p w14:paraId="58CDACD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6BECF79" w14:textId="77777777">
        <w:trPr>
          <w:cantSplit/>
          <w:trHeight w:val="397"/>
          <w:jc w:val="center"/>
        </w:trPr>
        <w:tc>
          <w:tcPr>
            <w:tcW w:w="2048" w:type="dxa"/>
            <w:vAlign w:val="center"/>
          </w:tcPr>
          <w:p w14:paraId="09A0BE6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总</w:t>
            </w:r>
            <w:r>
              <w:rPr>
                <w:rFonts w:ascii="Times New Roman" w:eastAsia="宋体" w:hAnsi="Times New Roman" w:cs="Times New Roman"/>
                <w:sz w:val="21"/>
                <w:lang w:bidi="ar"/>
              </w:rPr>
              <w:t>汞</w:t>
            </w:r>
          </w:p>
        </w:tc>
        <w:tc>
          <w:tcPr>
            <w:tcW w:w="1937" w:type="dxa"/>
            <w:vAlign w:val="center"/>
          </w:tcPr>
          <w:p w14:paraId="76B47357"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7" w:type="dxa"/>
            <w:vAlign w:val="center"/>
          </w:tcPr>
          <w:p w14:paraId="03B9C439"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0.00002L</w:t>
            </w:r>
          </w:p>
        </w:tc>
        <w:tc>
          <w:tcPr>
            <w:tcW w:w="1938" w:type="dxa"/>
            <w:vAlign w:val="center"/>
          </w:tcPr>
          <w:p w14:paraId="08A97CAD"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highlight w:val="yellow"/>
              </w:rPr>
            </w:pPr>
            <w:r>
              <w:rPr>
                <w:rFonts w:ascii="Times New Roman" w:hAnsi="Times New Roman" w:cs="Times New Roman" w:hint="eastAsia"/>
                <w:sz w:val="21"/>
                <w:szCs w:val="21"/>
              </w:rPr>
              <w:t>0.00002L</w:t>
            </w:r>
          </w:p>
        </w:tc>
        <w:tc>
          <w:tcPr>
            <w:tcW w:w="1211" w:type="dxa"/>
            <w:vAlign w:val="center"/>
          </w:tcPr>
          <w:p w14:paraId="6920B4A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732F0B0" w14:textId="77777777">
        <w:trPr>
          <w:cantSplit/>
          <w:trHeight w:val="397"/>
          <w:jc w:val="center"/>
        </w:trPr>
        <w:tc>
          <w:tcPr>
            <w:tcW w:w="2048" w:type="dxa"/>
            <w:vAlign w:val="center"/>
          </w:tcPr>
          <w:p w14:paraId="012A0AE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镉</w:t>
            </w:r>
          </w:p>
        </w:tc>
        <w:tc>
          <w:tcPr>
            <w:tcW w:w="1937" w:type="dxa"/>
            <w:vAlign w:val="center"/>
          </w:tcPr>
          <w:p w14:paraId="44F137BA"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7" w:type="dxa"/>
            <w:vAlign w:val="center"/>
          </w:tcPr>
          <w:p w14:paraId="74F3C56B"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0.0001L</w:t>
            </w:r>
          </w:p>
        </w:tc>
        <w:tc>
          <w:tcPr>
            <w:tcW w:w="1938" w:type="dxa"/>
            <w:vAlign w:val="center"/>
          </w:tcPr>
          <w:p w14:paraId="46E97FEC"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highlight w:val="yellow"/>
              </w:rPr>
            </w:pPr>
            <w:r>
              <w:rPr>
                <w:rFonts w:ascii="Times New Roman" w:hAnsi="Times New Roman" w:cs="Times New Roman" w:hint="eastAsia"/>
                <w:sz w:val="21"/>
                <w:szCs w:val="21"/>
              </w:rPr>
              <w:t>0.0001L</w:t>
            </w:r>
          </w:p>
        </w:tc>
        <w:tc>
          <w:tcPr>
            <w:tcW w:w="1211" w:type="dxa"/>
            <w:vAlign w:val="center"/>
          </w:tcPr>
          <w:p w14:paraId="06DD69D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7F6EC59" w14:textId="77777777">
        <w:trPr>
          <w:cantSplit/>
          <w:trHeight w:val="397"/>
          <w:jc w:val="center"/>
        </w:trPr>
        <w:tc>
          <w:tcPr>
            <w:tcW w:w="2048" w:type="dxa"/>
            <w:vAlign w:val="center"/>
          </w:tcPr>
          <w:p w14:paraId="784892F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六价铬</w:t>
            </w:r>
          </w:p>
        </w:tc>
        <w:tc>
          <w:tcPr>
            <w:tcW w:w="1937" w:type="dxa"/>
            <w:vAlign w:val="center"/>
          </w:tcPr>
          <w:p w14:paraId="133BC1EA"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768AE4ED"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0.004L</w:t>
            </w:r>
          </w:p>
        </w:tc>
        <w:tc>
          <w:tcPr>
            <w:tcW w:w="1938" w:type="dxa"/>
            <w:vAlign w:val="center"/>
          </w:tcPr>
          <w:p w14:paraId="497D5DC5"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0.004L</w:t>
            </w:r>
          </w:p>
        </w:tc>
        <w:tc>
          <w:tcPr>
            <w:tcW w:w="1211" w:type="dxa"/>
            <w:vAlign w:val="center"/>
          </w:tcPr>
          <w:p w14:paraId="69832A3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0A2CC17" w14:textId="77777777">
        <w:trPr>
          <w:cantSplit/>
          <w:trHeight w:val="397"/>
          <w:jc w:val="center"/>
        </w:trPr>
        <w:tc>
          <w:tcPr>
            <w:tcW w:w="2048" w:type="dxa"/>
            <w:vAlign w:val="center"/>
          </w:tcPr>
          <w:p w14:paraId="06D5FBE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铅</w:t>
            </w:r>
          </w:p>
        </w:tc>
        <w:tc>
          <w:tcPr>
            <w:tcW w:w="1937" w:type="dxa"/>
            <w:vAlign w:val="center"/>
          </w:tcPr>
          <w:p w14:paraId="5A2DCA7F"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7" w:type="dxa"/>
            <w:vAlign w:val="center"/>
          </w:tcPr>
          <w:p w14:paraId="29BE547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8" w:type="dxa"/>
            <w:vAlign w:val="center"/>
          </w:tcPr>
          <w:p w14:paraId="05BB030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211" w:type="dxa"/>
            <w:vAlign w:val="center"/>
          </w:tcPr>
          <w:p w14:paraId="72707E1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A83AE56" w14:textId="77777777">
        <w:trPr>
          <w:cantSplit/>
          <w:trHeight w:val="397"/>
          <w:jc w:val="center"/>
        </w:trPr>
        <w:tc>
          <w:tcPr>
            <w:tcW w:w="2048" w:type="dxa"/>
            <w:vAlign w:val="center"/>
          </w:tcPr>
          <w:p w14:paraId="607C78F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937" w:type="dxa"/>
            <w:vAlign w:val="center"/>
          </w:tcPr>
          <w:p w14:paraId="2239FADE"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2559EDA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05FE820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0FCDF02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5980988" w14:textId="77777777">
        <w:trPr>
          <w:cantSplit/>
          <w:trHeight w:val="397"/>
          <w:jc w:val="center"/>
        </w:trPr>
        <w:tc>
          <w:tcPr>
            <w:tcW w:w="2048" w:type="dxa"/>
            <w:vAlign w:val="center"/>
          </w:tcPr>
          <w:p w14:paraId="58C3F7B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937" w:type="dxa"/>
            <w:vAlign w:val="center"/>
          </w:tcPr>
          <w:p w14:paraId="71037648"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7" w:type="dxa"/>
            <w:vAlign w:val="center"/>
          </w:tcPr>
          <w:p w14:paraId="2CDD8E9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8" w:type="dxa"/>
            <w:vAlign w:val="center"/>
          </w:tcPr>
          <w:p w14:paraId="4AB3CFA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211" w:type="dxa"/>
            <w:vAlign w:val="center"/>
          </w:tcPr>
          <w:p w14:paraId="6F323E9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74D6621" w14:textId="77777777">
        <w:trPr>
          <w:cantSplit/>
          <w:trHeight w:val="397"/>
          <w:jc w:val="center"/>
        </w:trPr>
        <w:tc>
          <w:tcPr>
            <w:tcW w:w="2048" w:type="dxa"/>
            <w:vAlign w:val="center"/>
          </w:tcPr>
          <w:p w14:paraId="64B2AF2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937" w:type="dxa"/>
            <w:vAlign w:val="center"/>
          </w:tcPr>
          <w:p w14:paraId="35F631AD"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40DC90C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68AA7DA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6FA3505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E4377DE" w14:textId="77777777">
        <w:trPr>
          <w:cantSplit/>
          <w:trHeight w:val="397"/>
          <w:jc w:val="center"/>
        </w:trPr>
        <w:tc>
          <w:tcPr>
            <w:tcW w:w="2048" w:type="dxa"/>
            <w:vAlign w:val="center"/>
          </w:tcPr>
          <w:p w14:paraId="1F53E21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937" w:type="dxa"/>
            <w:vAlign w:val="center"/>
          </w:tcPr>
          <w:p w14:paraId="70149D76"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61E9984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5984931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4E0CDB3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BACF578" w14:textId="77777777">
        <w:trPr>
          <w:cantSplit/>
          <w:trHeight w:val="397"/>
          <w:jc w:val="center"/>
        </w:trPr>
        <w:tc>
          <w:tcPr>
            <w:tcW w:w="2048" w:type="dxa"/>
            <w:vAlign w:val="center"/>
          </w:tcPr>
          <w:p w14:paraId="5D5A6F2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937" w:type="dxa"/>
            <w:vAlign w:val="center"/>
          </w:tcPr>
          <w:p w14:paraId="71669CB4"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0896A36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16082DC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52D18A2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6E7E57B" w14:textId="77777777">
        <w:trPr>
          <w:cantSplit/>
          <w:trHeight w:val="397"/>
          <w:jc w:val="center"/>
        </w:trPr>
        <w:tc>
          <w:tcPr>
            <w:tcW w:w="2048" w:type="dxa"/>
            <w:vAlign w:val="center"/>
          </w:tcPr>
          <w:p w14:paraId="4551E27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937" w:type="dxa"/>
            <w:vAlign w:val="center"/>
          </w:tcPr>
          <w:p w14:paraId="716AFD2C"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2.3</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7" w:type="dxa"/>
            <w:vAlign w:val="center"/>
          </w:tcPr>
          <w:p w14:paraId="307F756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3.1</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8" w:type="dxa"/>
            <w:vAlign w:val="center"/>
          </w:tcPr>
          <w:p w14:paraId="24C8949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4.3</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211" w:type="dxa"/>
            <w:vAlign w:val="center"/>
          </w:tcPr>
          <w:p w14:paraId="3DF83A7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65152DF0" w14:textId="77777777">
        <w:trPr>
          <w:cantSplit/>
          <w:trHeight w:val="397"/>
          <w:jc w:val="center"/>
        </w:trPr>
        <w:tc>
          <w:tcPr>
            <w:tcW w:w="2048" w:type="dxa"/>
            <w:vAlign w:val="center"/>
          </w:tcPr>
          <w:p w14:paraId="395BA25C"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937" w:type="dxa"/>
            <w:vAlign w:val="center"/>
          </w:tcPr>
          <w:p w14:paraId="0B7074DF"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9.9</w:t>
            </w:r>
          </w:p>
        </w:tc>
        <w:tc>
          <w:tcPr>
            <w:tcW w:w="1937" w:type="dxa"/>
            <w:vAlign w:val="center"/>
          </w:tcPr>
          <w:p w14:paraId="7440537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9.7</w:t>
            </w:r>
          </w:p>
        </w:tc>
        <w:tc>
          <w:tcPr>
            <w:tcW w:w="1938" w:type="dxa"/>
            <w:vAlign w:val="center"/>
          </w:tcPr>
          <w:p w14:paraId="62D009B9"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9.5</w:t>
            </w:r>
          </w:p>
        </w:tc>
        <w:tc>
          <w:tcPr>
            <w:tcW w:w="1211" w:type="dxa"/>
            <w:vAlign w:val="center"/>
          </w:tcPr>
          <w:p w14:paraId="6211EF46"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78904466" w14:textId="77777777" w:rsidR="009D12AF" w:rsidRDefault="00000000">
      <w:pPr>
        <w:ind w:firstLine="482"/>
        <w:jc w:val="center"/>
        <w:rPr>
          <w:b/>
          <w:bCs/>
        </w:rPr>
      </w:pPr>
      <w:r>
        <w:rPr>
          <w:rFonts w:hint="eastAsia"/>
          <w:b/>
          <w:bCs/>
        </w:rPr>
        <w:t>表</w:t>
      </w:r>
      <w:r>
        <w:rPr>
          <w:rFonts w:hint="eastAsia"/>
          <w:b/>
          <w:bCs/>
        </w:rPr>
        <w:t>4.3-10</w:t>
      </w:r>
      <w:r>
        <w:rPr>
          <w:rFonts w:hint="eastAsia"/>
          <w:b/>
          <w:bCs/>
        </w:rPr>
        <w:t>（</w:t>
      </w:r>
      <w:r>
        <w:rPr>
          <w:rFonts w:hint="eastAsia"/>
          <w:b/>
          <w:bCs/>
        </w:rPr>
        <w:t>2</w:t>
      </w:r>
      <w:r>
        <w:rPr>
          <w:rFonts w:hint="eastAsia"/>
          <w:b/>
          <w:bCs/>
        </w:rPr>
        <w:t>）</w:t>
      </w:r>
      <w:r>
        <w:rPr>
          <w:rFonts w:hint="eastAsia"/>
          <w:b/>
          <w:bCs/>
        </w:rPr>
        <w:t xml:space="preserve">  </w:t>
      </w:r>
      <w:r>
        <w:rPr>
          <w:rFonts w:hint="eastAsia"/>
          <w:b/>
          <w:bCs/>
        </w:rPr>
        <w:t>群力水库地表水环境监测结果</w:t>
      </w:r>
    </w:p>
    <w:tbl>
      <w:tblPr>
        <w:tblW w:w="907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048"/>
        <w:gridCol w:w="1937"/>
        <w:gridCol w:w="1937"/>
        <w:gridCol w:w="1938"/>
        <w:gridCol w:w="1211"/>
      </w:tblGrid>
      <w:tr w:rsidR="009D12AF" w14:paraId="4779B809" w14:textId="77777777">
        <w:trPr>
          <w:cantSplit/>
          <w:trHeight w:val="397"/>
          <w:jc w:val="center"/>
        </w:trPr>
        <w:tc>
          <w:tcPr>
            <w:tcW w:w="2048" w:type="dxa"/>
            <w:vAlign w:val="center"/>
          </w:tcPr>
          <w:p w14:paraId="519CF2B1"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937" w:type="dxa"/>
            <w:tcBorders>
              <w:bottom w:val="single" w:sz="8" w:space="0" w:color="auto"/>
            </w:tcBorders>
            <w:vAlign w:val="center"/>
          </w:tcPr>
          <w:p w14:paraId="0D175109"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rPr>
              <w:t>2025.10.07</w:t>
            </w:r>
          </w:p>
        </w:tc>
        <w:tc>
          <w:tcPr>
            <w:tcW w:w="1937" w:type="dxa"/>
            <w:tcBorders>
              <w:bottom w:val="single" w:sz="8" w:space="0" w:color="auto"/>
            </w:tcBorders>
            <w:vAlign w:val="center"/>
          </w:tcPr>
          <w:p w14:paraId="528C8CDA"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938" w:type="dxa"/>
            <w:tcBorders>
              <w:bottom w:val="single" w:sz="8" w:space="0" w:color="auto"/>
            </w:tcBorders>
            <w:vAlign w:val="center"/>
          </w:tcPr>
          <w:p w14:paraId="75046514"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1211" w:type="dxa"/>
            <w:tcBorders>
              <w:bottom w:val="single" w:sz="8" w:space="0" w:color="auto"/>
            </w:tcBorders>
            <w:vAlign w:val="center"/>
          </w:tcPr>
          <w:p w14:paraId="44A6A0F5"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hint="eastAsia"/>
                <w:b/>
                <w:bCs/>
                <w:color w:val="000000"/>
                <w:kern w:val="0"/>
                <w:szCs w:val="21"/>
              </w:rPr>
              <w:t>/</w:t>
            </w:r>
          </w:p>
        </w:tc>
      </w:tr>
      <w:tr w:rsidR="009D12AF" w14:paraId="34255A77" w14:textId="77777777">
        <w:trPr>
          <w:cantSplit/>
          <w:trHeight w:val="397"/>
          <w:jc w:val="center"/>
        </w:trPr>
        <w:tc>
          <w:tcPr>
            <w:tcW w:w="2048" w:type="dxa"/>
            <w:tcBorders>
              <w:bottom w:val="single" w:sz="8" w:space="0" w:color="auto"/>
            </w:tcBorders>
            <w:vAlign w:val="center"/>
          </w:tcPr>
          <w:p w14:paraId="239613BA"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5812" w:type="dxa"/>
            <w:gridSpan w:val="3"/>
            <w:tcBorders>
              <w:top w:val="single" w:sz="8" w:space="0" w:color="auto"/>
              <w:bottom w:val="single" w:sz="8" w:space="0" w:color="auto"/>
            </w:tcBorders>
            <w:vAlign w:val="center"/>
          </w:tcPr>
          <w:p w14:paraId="4F7F93F8"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b/>
                <w:bCs/>
              </w:rPr>
              <w:t>群力水库上游</w:t>
            </w:r>
            <w:r>
              <w:rPr>
                <w:rFonts w:ascii="Times New Roman" w:hAnsi="Times New Roman" w:cs="Times New Roman"/>
                <w:b/>
                <w:bCs/>
              </w:rPr>
              <w:t>500m 1#</w:t>
            </w:r>
            <w:r>
              <w:rPr>
                <w:rFonts w:ascii="Times New Roman" w:hAnsi="Times New Roman" w:cs="Times New Roman" w:hint="eastAsia"/>
                <w:b/>
                <w:bCs/>
              </w:rPr>
              <w:t>（水底上</w:t>
            </w:r>
            <w:r>
              <w:rPr>
                <w:rFonts w:ascii="Times New Roman" w:hAnsi="Times New Roman" w:cs="Times New Roman" w:hint="eastAsia"/>
                <w:b/>
                <w:bCs/>
              </w:rPr>
              <w:t>0.5m</w:t>
            </w:r>
            <w:r>
              <w:rPr>
                <w:rFonts w:ascii="Times New Roman" w:hAnsi="Times New Roman" w:cs="Times New Roman" w:hint="eastAsia"/>
                <w:b/>
                <w:bCs/>
              </w:rPr>
              <w:t>）</w:t>
            </w:r>
          </w:p>
        </w:tc>
        <w:tc>
          <w:tcPr>
            <w:tcW w:w="1211" w:type="dxa"/>
            <w:tcBorders>
              <w:top w:val="single" w:sz="8" w:space="0" w:color="auto"/>
              <w:bottom w:val="single" w:sz="8" w:space="0" w:color="auto"/>
            </w:tcBorders>
            <w:vAlign w:val="center"/>
          </w:tcPr>
          <w:p w14:paraId="6C5C8348"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color w:val="000000"/>
                <w:kern w:val="0"/>
                <w:szCs w:val="21"/>
              </w:rPr>
              <w:t>/</w:t>
            </w:r>
          </w:p>
        </w:tc>
      </w:tr>
      <w:tr w:rsidR="009D12AF" w14:paraId="5803B910" w14:textId="77777777">
        <w:trPr>
          <w:cantSplit/>
          <w:trHeight w:val="397"/>
          <w:jc w:val="center"/>
        </w:trPr>
        <w:tc>
          <w:tcPr>
            <w:tcW w:w="2048" w:type="dxa"/>
            <w:vAlign w:val="center"/>
          </w:tcPr>
          <w:p w14:paraId="180C6412"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color w:val="000000"/>
                <w:kern w:val="0"/>
                <w:szCs w:val="21"/>
              </w:rPr>
              <w:t>检测项目</w:t>
            </w:r>
          </w:p>
        </w:tc>
        <w:tc>
          <w:tcPr>
            <w:tcW w:w="5812" w:type="dxa"/>
            <w:gridSpan w:val="3"/>
            <w:tcBorders>
              <w:top w:val="single" w:sz="8" w:space="0" w:color="auto"/>
              <w:bottom w:val="single" w:sz="8" w:space="0" w:color="auto"/>
            </w:tcBorders>
            <w:vAlign w:val="center"/>
          </w:tcPr>
          <w:p w14:paraId="2E67BC0A"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hint="eastAsia"/>
                <w:b/>
                <w:bCs/>
                <w:color w:val="000000"/>
                <w:kern w:val="0"/>
                <w:szCs w:val="21"/>
              </w:rPr>
              <w:t>检测结果</w:t>
            </w:r>
          </w:p>
        </w:tc>
        <w:tc>
          <w:tcPr>
            <w:tcW w:w="1211" w:type="dxa"/>
            <w:tcBorders>
              <w:top w:val="single" w:sz="8" w:space="0" w:color="auto"/>
              <w:bottom w:val="single" w:sz="8" w:space="0" w:color="auto"/>
            </w:tcBorders>
            <w:vAlign w:val="center"/>
          </w:tcPr>
          <w:p w14:paraId="5CA599A2"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hint="eastAsia"/>
                <w:b/>
                <w:bCs/>
                <w:color w:val="000000"/>
                <w:kern w:val="0"/>
                <w:szCs w:val="21"/>
              </w:rPr>
              <w:t>单位</w:t>
            </w:r>
          </w:p>
        </w:tc>
      </w:tr>
      <w:tr w:rsidR="009D12AF" w14:paraId="5B6A5D7B" w14:textId="77777777">
        <w:trPr>
          <w:cantSplit/>
          <w:trHeight w:val="397"/>
          <w:jc w:val="center"/>
        </w:trPr>
        <w:tc>
          <w:tcPr>
            <w:tcW w:w="2048" w:type="dxa"/>
            <w:vAlign w:val="center"/>
          </w:tcPr>
          <w:p w14:paraId="21DF7328"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937" w:type="dxa"/>
            <w:tcBorders>
              <w:top w:val="single" w:sz="8" w:space="0" w:color="auto"/>
              <w:bottom w:val="single" w:sz="8" w:space="0" w:color="auto"/>
            </w:tcBorders>
            <w:vAlign w:val="center"/>
          </w:tcPr>
          <w:p w14:paraId="14517EE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250940DB1002D1</w:t>
            </w:r>
          </w:p>
        </w:tc>
        <w:tc>
          <w:tcPr>
            <w:tcW w:w="1937" w:type="dxa"/>
            <w:tcBorders>
              <w:top w:val="single" w:sz="8" w:space="0" w:color="auto"/>
              <w:bottom w:val="single" w:sz="8" w:space="0" w:color="auto"/>
            </w:tcBorders>
            <w:vAlign w:val="center"/>
          </w:tcPr>
          <w:p w14:paraId="157F292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250940DB1002D2</w:t>
            </w:r>
          </w:p>
        </w:tc>
        <w:tc>
          <w:tcPr>
            <w:tcW w:w="1938" w:type="dxa"/>
            <w:tcBorders>
              <w:top w:val="single" w:sz="8" w:space="0" w:color="auto"/>
              <w:bottom w:val="single" w:sz="8" w:space="0" w:color="auto"/>
            </w:tcBorders>
            <w:vAlign w:val="center"/>
          </w:tcPr>
          <w:p w14:paraId="4A5BB6C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250940DB1002D3</w:t>
            </w:r>
          </w:p>
        </w:tc>
        <w:tc>
          <w:tcPr>
            <w:tcW w:w="1211" w:type="dxa"/>
            <w:tcBorders>
              <w:top w:val="single" w:sz="8" w:space="0" w:color="auto"/>
              <w:bottom w:val="single" w:sz="8" w:space="0" w:color="auto"/>
            </w:tcBorders>
            <w:vAlign w:val="center"/>
          </w:tcPr>
          <w:p w14:paraId="3B80E8A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67F34A24" w14:textId="77777777">
        <w:trPr>
          <w:cantSplit/>
          <w:trHeight w:val="397"/>
          <w:jc w:val="center"/>
        </w:trPr>
        <w:tc>
          <w:tcPr>
            <w:tcW w:w="2048" w:type="dxa"/>
            <w:vAlign w:val="center"/>
          </w:tcPr>
          <w:p w14:paraId="1A911978"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937" w:type="dxa"/>
            <w:tcBorders>
              <w:top w:val="single" w:sz="8" w:space="0" w:color="auto"/>
              <w:bottom w:val="single" w:sz="8" w:space="0" w:color="auto"/>
            </w:tcBorders>
            <w:vAlign w:val="center"/>
          </w:tcPr>
          <w:p w14:paraId="4B8AC5A5"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7.6</w:t>
            </w:r>
          </w:p>
        </w:tc>
        <w:tc>
          <w:tcPr>
            <w:tcW w:w="1937" w:type="dxa"/>
            <w:tcBorders>
              <w:top w:val="single" w:sz="8" w:space="0" w:color="auto"/>
              <w:bottom w:val="single" w:sz="8" w:space="0" w:color="auto"/>
            </w:tcBorders>
            <w:vAlign w:val="center"/>
          </w:tcPr>
          <w:p w14:paraId="25CD157F"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7.5</w:t>
            </w:r>
          </w:p>
        </w:tc>
        <w:tc>
          <w:tcPr>
            <w:tcW w:w="1938" w:type="dxa"/>
            <w:tcBorders>
              <w:top w:val="single" w:sz="8" w:space="0" w:color="auto"/>
              <w:bottom w:val="single" w:sz="8" w:space="0" w:color="auto"/>
            </w:tcBorders>
            <w:vAlign w:val="center"/>
          </w:tcPr>
          <w:p w14:paraId="47BE78B6"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7.6</w:t>
            </w:r>
          </w:p>
        </w:tc>
        <w:tc>
          <w:tcPr>
            <w:tcW w:w="1211" w:type="dxa"/>
            <w:tcBorders>
              <w:top w:val="single" w:sz="8" w:space="0" w:color="auto"/>
              <w:bottom w:val="single" w:sz="8" w:space="0" w:color="auto"/>
            </w:tcBorders>
            <w:vAlign w:val="center"/>
          </w:tcPr>
          <w:p w14:paraId="7129B43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172F797F" w14:textId="77777777">
        <w:trPr>
          <w:cantSplit/>
          <w:trHeight w:val="397"/>
          <w:jc w:val="center"/>
        </w:trPr>
        <w:tc>
          <w:tcPr>
            <w:tcW w:w="2048" w:type="dxa"/>
            <w:vAlign w:val="center"/>
          </w:tcPr>
          <w:p w14:paraId="7B702EB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937" w:type="dxa"/>
            <w:vAlign w:val="center"/>
          </w:tcPr>
          <w:p w14:paraId="19BC9140"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5.6</w:t>
            </w:r>
          </w:p>
        </w:tc>
        <w:tc>
          <w:tcPr>
            <w:tcW w:w="1937" w:type="dxa"/>
            <w:vAlign w:val="center"/>
          </w:tcPr>
          <w:p w14:paraId="721D006A"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5.3</w:t>
            </w:r>
          </w:p>
        </w:tc>
        <w:tc>
          <w:tcPr>
            <w:tcW w:w="1938" w:type="dxa"/>
            <w:vAlign w:val="center"/>
          </w:tcPr>
          <w:p w14:paraId="5DA5DD3D"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6.1</w:t>
            </w:r>
          </w:p>
        </w:tc>
        <w:tc>
          <w:tcPr>
            <w:tcW w:w="1211" w:type="dxa"/>
            <w:vAlign w:val="center"/>
          </w:tcPr>
          <w:p w14:paraId="3F255B6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98FBB7D" w14:textId="77777777">
        <w:trPr>
          <w:cantSplit/>
          <w:trHeight w:val="397"/>
          <w:jc w:val="center"/>
        </w:trPr>
        <w:tc>
          <w:tcPr>
            <w:tcW w:w="2048" w:type="dxa"/>
            <w:vAlign w:val="center"/>
          </w:tcPr>
          <w:p w14:paraId="1354CE2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937" w:type="dxa"/>
            <w:vAlign w:val="center"/>
          </w:tcPr>
          <w:p w14:paraId="3774D5C1"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5.5</w:t>
            </w:r>
          </w:p>
        </w:tc>
        <w:tc>
          <w:tcPr>
            <w:tcW w:w="1937" w:type="dxa"/>
            <w:vAlign w:val="center"/>
          </w:tcPr>
          <w:p w14:paraId="18391A11"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5.7</w:t>
            </w:r>
          </w:p>
        </w:tc>
        <w:tc>
          <w:tcPr>
            <w:tcW w:w="1938" w:type="dxa"/>
            <w:vAlign w:val="center"/>
          </w:tcPr>
          <w:p w14:paraId="61A9C68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6.0</w:t>
            </w:r>
          </w:p>
        </w:tc>
        <w:tc>
          <w:tcPr>
            <w:tcW w:w="1211" w:type="dxa"/>
            <w:vAlign w:val="center"/>
          </w:tcPr>
          <w:p w14:paraId="4933214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0F5D80D" w14:textId="77777777">
        <w:trPr>
          <w:cantSplit/>
          <w:trHeight w:val="397"/>
          <w:jc w:val="center"/>
        </w:trPr>
        <w:tc>
          <w:tcPr>
            <w:tcW w:w="2048" w:type="dxa"/>
            <w:vAlign w:val="center"/>
          </w:tcPr>
          <w:p w14:paraId="2A18946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937" w:type="dxa"/>
            <w:vAlign w:val="center"/>
          </w:tcPr>
          <w:p w14:paraId="0C0340F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23</w:t>
            </w:r>
          </w:p>
        </w:tc>
        <w:tc>
          <w:tcPr>
            <w:tcW w:w="1937" w:type="dxa"/>
            <w:vAlign w:val="center"/>
          </w:tcPr>
          <w:p w14:paraId="73E0FB81"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26</w:t>
            </w:r>
          </w:p>
        </w:tc>
        <w:tc>
          <w:tcPr>
            <w:tcW w:w="1938" w:type="dxa"/>
            <w:vAlign w:val="center"/>
          </w:tcPr>
          <w:p w14:paraId="191D7CA6"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24</w:t>
            </w:r>
          </w:p>
        </w:tc>
        <w:tc>
          <w:tcPr>
            <w:tcW w:w="1211" w:type="dxa"/>
            <w:vAlign w:val="center"/>
          </w:tcPr>
          <w:p w14:paraId="1B43BEA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E054D22" w14:textId="77777777">
        <w:trPr>
          <w:cantSplit/>
          <w:trHeight w:val="397"/>
          <w:jc w:val="center"/>
        </w:trPr>
        <w:tc>
          <w:tcPr>
            <w:tcW w:w="2048" w:type="dxa"/>
            <w:vAlign w:val="center"/>
          </w:tcPr>
          <w:p w14:paraId="426E13D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937" w:type="dxa"/>
            <w:vAlign w:val="center"/>
          </w:tcPr>
          <w:p w14:paraId="13FCAE0D"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7.5</w:t>
            </w:r>
          </w:p>
        </w:tc>
        <w:tc>
          <w:tcPr>
            <w:tcW w:w="1937" w:type="dxa"/>
            <w:vAlign w:val="center"/>
          </w:tcPr>
          <w:p w14:paraId="5FADD501"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6.4</w:t>
            </w:r>
          </w:p>
        </w:tc>
        <w:tc>
          <w:tcPr>
            <w:tcW w:w="1938" w:type="dxa"/>
            <w:vAlign w:val="center"/>
          </w:tcPr>
          <w:p w14:paraId="2AD16E9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8.4</w:t>
            </w:r>
          </w:p>
        </w:tc>
        <w:tc>
          <w:tcPr>
            <w:tcW w:w="1211" w:type="dxa"/>
            <w:vAlign w:val="center"/>
          </w:tcPr>
          <w:p w14:paraId="3F8D626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5C57404" w14:textId="77777777">
        <w:trPr>
          <w:cantSplit/>
          <w:trHeight w:val="397"/>
          <w:jc w:val="center"/>
        </w:trPr>
        <w:tc>
          <w:tcPr>
            <w:tcW w:w="2048" w:type="dxa"/>
            <w:vAlign w:val="center"/>
          </w:tcPr>
          <w:p w14:paraId="1C6CD5E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937" w:type="dxa"/>
            <w:vAlign w:val="center"/>
          </w:tcPr>
          <w:p w14:paraId="16572D34"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0.618</w:t>
            </w:r>
          </w:p>
        </w:tc>
        <w:tc>
          <w:tcPr>
            <w:tcW w:w="1937" w:type="dxa"/>
            <w:vAlign w:val="center"/>
          </w:tcPr>
          <w:p w14:paraId="296DEA66"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0.625</w:t>
            </w:r>
          </w:p>
        </w:tc>
        <w:tc>
          <w:tcPr>
            <w:tcW w:w="1938" w:type="dxa"/>
            <w:vAlign w:val="center"/>
          </w:tcPr>
          <w:p w14:paraId="78C621F8"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0.614</w:t>
            </w:r>
          </w:p>
        </w:tc>
        <w:tc>
          <w:tcPr>
            <w:tcW w:w="1211" w:type="dxa"/>
            <w:vAlign w:val="center"/>
          </w:tcPr>
          <w:p w14:paraId="64121BE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553EE7B" w14:textId="77777777">
        <w:trPr>
          <w:cantSplit/>
          <w:trHeight w:val="397"/>
          <w:jc w:val="center"/>
        </w:trPr>
        <w:tc>
          <w:tcPr>
            <w:tcW w:w="2048" w:type="dxa"/>
            <w:vAlign w:val="center"/>
          </w:tcPr>
          <w:p w14:paraId="2300840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937" w:type="dxa"/>
            <w:vAlign w:val="center"/>
          </w:tcPr>
          <w:p w14:paraId="65D62B27"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0.04</w:t>
            </w:r>
          </w:p>
        </w:tc>
        <w:tc>
          <w:tcPr>
            <w:tcW w:w="1937" w:type="dxa"/>
            <w:vAlign w:val="center"/>
          </w:tcPr>
          <w:p w14:paraId="644267DC"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w:t>
            </w:r>
          </w:p>
        </w:tc>
        <w:tc>
          <w:tcPr>
            <w:tcW w:w="1938" w:type="dxa"/>
            <w:vAlign w:val="center"/>
          </w:tcPr>
          <w:p w14:paraId="629743F4"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0.06</w:t>
            </w:r>
          </w:p>
        </w:tc>
        <w:tc>
          <w:tcPr>
            <w:tcW w:w="1211" w:type="dxa"/>
            <w:vAlign w:val="center"/>
          </w:tcPr>
          <w:p w14:paraId="6016CA1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A0DAFA6" w14:textId="77777777">
        <w:trPr>
          <w:cantSplit/>
          <w:trHeight w:val="397"/>
          <w:jc w:val="center"/>
        </w:trPr>
        <w:tc>
          <w:tcPr>
            <w:tcW w:w="2048" w:type="dxa"/>
            <w:vAlign w:val="center"/>
          </w:tcPr>
          <w:p w14:paraId="5FF0D6D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937" w:type="dxa"/>
            <w:vAlign w:val="center"/>
          </w:tcPr>
          <w:p w14:paraId="35702252"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1.81</w:t>
            </w:r>
          </w:p>
        </w:tc>
        <w:tc>
          <w:tcPr>
            <w:tcW w:w="1937" w:type="dxa"/>
            <w:vAlign w:val="center"/>
          </w:tcPr>
          <w:p w14:paraId="29E1808D"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1.58</w:t>
            </w:r>
          </w:p>
        </w:tc>
        <w:tc>
          <w:tcPr>
            <w:tcW w:w="1938" w:type="dxa"/>
            <w:vAlign w:val="center"/>
          </w:tcPr>
          <w:p w14:paraId="4B0D761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1.68</w:t>
            </w:r>
          </w:p>
        </w:tc>
        <w:tc>
          <w:tcPr>
            <w:tcW w:w="1211" w:type="dxa"/>
            <w:vAlign w:val="center"/>
          </w:tcPr>
          <w:p w14:paraId="5E792F0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1F76AD4" w14:textId="77777777">
        <w:trPr>
          <w:cantSplit/>
          <w:trHeight w:val="397"/>
          <w:jc w:val="center"/>
        </w:trPr>
        <w:tc>
          <w:tcPr>
            <w:tcW w:w="2048" w:type="dxa"/>
            <w:vAlign w:val="center"/>
          </w:tcPr>
          <w:p w14:paraId="2A18758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937" w:type="dxa"/>
            <w:vAlign w:val="center"/>
          </w:tcPr>
          <w:p w14:paraId="0761B069"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49B962F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6817829D"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68FAA0C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6206A35" w14:textId="77777777">
        <w:trPr>
          <w:cantSplit/>
          <w:trHeight w:val="397"/>
          <w:jc w:val="center"/>
        </w:trPr>
        <w:tc>
          <w:tcPr>
            <w:tcW w:w="2048" w:type="dxa"/>
            <w:vAlign w:val="center"/>
          </w:tcPr>
          <w:p w14:paraId="3BCA341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937" w:type="dxa"/>
            <w:vAlign w:val="center"/>
          </w:tcPr>
          <w:p w14:paraId="573E01F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0.20</w:t>
            </w:r>
          </w:p>
        </w:tc>
        <w:tc>
          <w:tcPr>
            <w:tcW w:w="1937" w:type="dxa"/>
            <w:vAlign w:val="center"/>
          </w:tcPr>
          <w:p w14:paraId="00DF55BA"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0.20</w:t>
            </w:r>
          </w:p>
        </w:tc>
        <w:tc>
          <w:tcPr>
            <w:tcW w:w="1938" w:type="dxa"/>
            <w:vAlign w:val="center"/>
          </w:tcPr>
          <w:p w14:paraId="12E87BF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0.18</w:t>
            </w:r>
          </w:p>
        </w:tc>
        <w:tc>
          <w:tcPr>
            <w:tcW w:w="1211" w:type="dxa"/>
            <w:vAlign w:val="center"/>
          </w:tcPr>
          <w:p w14:paraId="7BE9745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053A2B0" w14:textId="77777777">
        <w:trPr>
          <w:cantSplit/>
          <w:trHeight w:val="397"/>
          <w:jc w:val="center"/>
        </w:trPr>
        <w:tc>
          <w:tcPr>
            <w:tcW w:w="2048" w:type="dxa"/>
            <w:vAlign w:val="center"/>
          </w:tcPr>
          <w:p w14:paraId="6497519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937" w:type="dxa"/>
            <w:vAlign w:val="center"/>
          </w:tcPr>
          <w:p w14:paraId="1C21DBA2"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0.38</w:t>
            </w:r>
          </w:p>
        </w:tc>
        <w:tc>
          <w:tcPr>
            <w:tcW w:w="1937" w:type="dxa"/>
            <w:vAlign w:val="center"/>
          </w:tcPr>
          <w:p w14:paraId="59F39E28"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0.35</w:t>
            </w:r>
          </w:p>
        </w:tc>
        <w:tc>
          <w:tcPr>
            <w:tcW w:w="1938" w:type="dxa"/>
            <w:vAlign w:val="center"/>
          </w:tcPr>
          <w:p w14:paraId="7207493B"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0.43</w:t>
            </w:r>
          </w:p>
        </w:tc>
        <w:tc>
          <w:tcPr>
            <w:tcW w:w="1211" w:type="dxa"/>
            <w:vAlign w:val="center"/>
          </w:tcPr>
          <w:p w14:paraId="1C91616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C3F5F37" w14:textId="77777777">
        <w:trPr>
          <w:cantSplit/>
          <w:trHeight w:val="397"/>
          <w:jc w:val="center"/>
        </w:trPr>
        <w:tc>
          <w:tcPr>
            <w:tcW w:w="2048" w:type="dxa"/>
            <w:vAlign w:val="center"/>
          </w:tcPr>
          <w:p w14:paraId="7394F8B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硒</w:t>
            </w:r>
          </w:p>
        </w:tc>
        <w:tc>
          <w:tcPr>
            <w:tcW w:w="1937" w:type="dxa"/>
            <w:vAlign w:val="center"/>
          </w:tcPr>
          <w:p w14:paraId="3516D9A7"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kern w:val="0"/>
                <w:sz w:val="21"/>
                <w:szCs w:val="21"/>
                <w:lang w:bidi="ar"/>
              </w:rPr>
              <w:t>0.001</w:t>
            </w:r>
          </w:p>
        </w:tc>
        <w:tc>
          <w:tcPr>
            <w:tcW w:w="1937" w:type="dxa"/>
            <w:vAlign w:val="center"/>
          </w:tcPr>
          <w:p w14:paraId="48A8ACAA"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kern w:val="0"/>
                <w:sz w:val="21"/>
                <w:szCs w:val="21"/>
                <w:lang w:bidi="ar"/>
              </w:rPr>
              <w:t>0.001</w:t>
            </w:r>
          </w:p>
        </w:tc>
        <w:tc>
          <w:tcPr>
            <w:tcW w:w="1938" w:type="dxa"/>
            <w:vAlign w:val="center"/>
          </w:tcPr>
          <w:p w14:paraId="09F4DD2A"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kern w:val="0"/>
                <w:sz w:val="21"/>
                <w:szCs w:val="21"/>
                <w:lang w:bidi="ar"/>
              </w:rPr>
              <w:t>0.001</w:t>
            </w:r>
          </w:p>
        </w:tc>
        <w:tc>
          <w:tcPr>
            <w:tcW w:w="1211" w:type="dxa"/>
            <w:vAlign w:val="center"/>
          </w:tcPr>
          <w:p w14:paraId="11D53AD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D09F085" w14:textId="77777777">
        <w:trPr>
          <w:cantSplit/>
          <w:trHeight w:val="397"/>
          <w:jc w:val="center"/>
        </w:trPr>
        <w:tc>
          <w:tcPr>
            <w:tcW w:w="2048" w:type="dxa"/>
            <w:vAlign w:val="center"/>
          </w:tcPr>
          <w:p w14:paraId="6634864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lastRenderedPageBreak/>
              <w:t>砷</w:t>
            </w:r>
          </w:p>
        </w:tc>
        <w:tc>
          <w:tcPr>
            <w:tcW w:w="1937" w:type="dxa"/>
            <w:vAlign w:val="center"/>
          </w:tcPr>
          <w:p w14:paraId="08109F6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937" w:type="dxa"/>
            <w:vAlign w:val="center"/>
          </w:tcPr>
          <w:p w14:paraId="00BFCFB8"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kern w:val="0"/>
                <w:sz w:val="21"/>
                <w:szCs w:val="21"/>
                <w:lang w:bidi="ar"/>
              </w:rPr>
              <w:t>0.0003L</w:t>
            </w:r>
          </w:p>
        </w:tc>
        <w:tc>
          <w:tcPr>
            <w:tcW w:w="1938" w:type="dxa"/>
            <w:vAlign w:val="center"/>
          </w:tcPr>
          <w:p w14:paraId="59907A24"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kern w:val="0"/>
                <w:sz w:val="21"/>
                <w:szCs w:val="21"/>
                <w:lang w:bidi="ar"/>
              </w:rPr>
              <w:t>0.0003L</w:t>
            </w:r>
          </w:p>
        </w:tc>
        <w:tc>
          <w:tcPr>
            <w:tcW w:w="1211" w:type="dxa"/>
            <w:vAlign w:val="center"/>
          </w:tcPr>
          <w:p w14:paraId="16AAAF0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27748AE" w14:textId="77777777">
        <w:trPr>
          <w:cantSplit/>
          <w:trHeight w:val="397"/>
          <w:jc w:val="center"/>
        </w:trPr>
        <w:tc>
          <w:tcPr>
            <w:tcW w:w="2048" w:type="dxa"/>
            <w:vAlign w:val="center"/>
          </w:tcPr>
          <w:p w14:paraId="715CE8A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总</w:t>
            </w:r>
            <w:r>
              <w:rPr>
                <w:rFonts w:ascii="Times New Roman" w:eastAsia="宋体" w:hAnsi="Times New Roman" w:cs="Times New Roman"/>
                <w:sz w:val="21"/>
                <w:lang w:bidi="ar"/>
              </w:rPr>
              <w:t>汞</w:t>
            </w:r>
          </w:p>
        </w:tc>
        <w:tc>
          <w:tcPr>
            <w:tcW w:w="1937" w:type="dxa"/>
            <w:vAlign w:val="center"/>
          </w:tcPr>
          <w:p w14:paraId="1455E2FA"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7" w:type="dxa"/>
            <w:vAlign w:val="center"/>
          </w:tcPr>
          <w:p w14:paraId="3DF14CFD"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0.00002L</w:t>
            </w:r>
          </w:p>
        </w:tc>
        <w:tc>
          <w:tcPr>
            <w:tcW w:w="1938" w:type="dxa"/>
            <w:vAlign w:val="center"/>
          </w:tcPr>
          <w:p w14:paraId="6D235A47"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highlight w:val="yellow"/>
              </w:rPr>
            </w:pPr>
            <w:r>
              <w:rPr>
                <w:rFonts w:ascii="Times New Roman" w:hAnsi="Times New Roman" w:cs="Times New Roman" w:hint="eastAsia"/>
                <w:sz w:val="21"/>
                <w:szCs w:val="21"/>
              </w:rPr>
              <w:t>0.00002L</w:t>
            </w:r>
          </w:p>
        </w:tc>
        <w:tc>
          <w:tcPr>
            <w:tcW w:w="1211" w:type="dxa"/>
            <w:vAlign w:val="center"/>
          </w:tcPr>
          <w:p w14:paraId="004B43D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50CBBEE" w14:textId="77777777">
        <w:trPr>
          <w:cantSplit/>
          <w:trHeight w:val="397"/>
          <w:jc w:val="center"/>
        </w:trPr>
        <w:tc>
          <w:tcPr>
            <w:tcW w:w="2048" w:type="dxa"/>
            <w:vAlign w:val="center"/>
          </w:tcPr>
          <w:p w14:paraId="152C1B6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镉</w:t>
            </w:r>
          </w:p>
        </w:tc>
        <w:tc>
          <w:tcPr>
            <w:tcW w:w="1937" w:type="dxa"/>
            <w:vAlign w:val="center"/>
          </w:tcPr>
          <w:p w14:paraId="5824C8C9"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7" w:type="dxa"/>
            <w:vAlign w:val="center"/>
          </w:tcPr>
          <w:p w14:paraId="1637BCF6"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0.0001L</w:t>
            </w:r>
          </w:p>
        </w:tc>
        <w:tc>
          <w:tcPr>
            <w:tcW w:w="1938" w:type="dxa"/>
            <w:vAlign w:val="center"/>
          </w:tcPr>
          <w:p w14:paraId="7358D918"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highlight w:val="yellow"/>
              </w:rPr>
            </w:pPr>
            <w:r>
              <w:rPr>
                <w:rFonts w:ascii="Times New Roman" w:hAnsi="Times New Roman" w:cs="Times New Roman" w:hint="eastAsia"/>
                <w:sz w:val="21"/>
                <w:szCs w:val="21"/>
              </w:rPr>
              <w:t>0.0001L</w:t>
            </w:r>
          </w:p>
        </w:tc>
        <w:tc>
          <w:tcPr>
            <w:tcW w:w="1211" w:type="dxa"/>
            <w:vAlign w:val="center"/>
          </w:tcPr>
          <w:p w14:paraId="328D629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D78B51E" w14:textId="77777777">
        <w:trPr>
          <w:cantSplit/>
          <w:trHeight w:val="397"/>
          <w:jc w:val="center"/>
        </w:trPr>
        <w:tc>
          <w:tcPr>
            <w:tcW w:w="2048" w:type="dxa"/>
            <w:vAlign w:val="center"/>
          </w:tcPr>
          <w:p w14:paraId="0492A1A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六价铬</w:t>
            </w:r>
          </w:p>
        </w:tc>
        <w:tc>
          <w:tcPr>
            <w:tcW w:w="1937" w:type="dxa"/>
            <w:vAlign w:val="center"/>
          </w:tcPr>
          <w:p w14:paraId="085172BF"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37ABB765"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0.004L</w:t>
            </w:r>
          </w:p>
        </w:tc>
        <w:tc>
          <w:tcPr>
            <w:tcW w:w="1938" w:type="dxa"/>
            <w:vAlign w:val="center"/>
          </w:tcPr>
          <w:p w14:paraId="51A76566"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0.004L</w:t>
            </w:r>
          </w:p>
        </w:tc>
        <w:tc>
          <w:tcPr>
            <w:tcW w:w="1211" w:type="dxa"/>
            <w:vAlign w:val="center"/>
          </w:tcPr>
          <w:p w14:paraId="1DE9CD6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3AE75E2" w14:textId="77777777">
        <w:trPr>
          <w:cantSplit/>
          <w:trHeight w:val="397"/>
          <w:jc w:val="center"/>
        </w:trPr>
        <w:tc>
          <w:tcPr>
            <w:tcW w:w="2048" w:type="dxa"/>
            <w:vAlign w:val="center"/>
          </w:tcPr>
          <w:p w14:paraId="0AC9003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铅</w:t>
            </w:r>
          </w:p>
        </w:tc>
        <w:tc>
          <w:tcPr>
            <w:tcW w:w="1937" w:type="dxa"/>
            <w:vAlign w:val="center"/>
          </w:tcPr>
          <w:p w14:paraId="5C19056E"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7" w:type="dxa"/>
            <w:vAlign w:val="center"/>
          </w:tcPr>
          <w:p w14:paraId="46F23E8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8" w:type="dxa"/>
            <w:vAlign w:val="center"/>
          </w:tcPr>
          <w:p w14:paraId="56568F2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211" w:type="dxa"/>
            <w:vAlign w:val="center"/>
          </w:tcPr>
          <w:p w14:paraId="51BE7C2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6AD0543" w14:textId="77777777">
        <w:trPr>
          <w:cantSplit/>
          <w:trHeight w:val="397"/>
          <w:jc w:val="center"/>
        </w:trPr>
        <w:tc>
          <w:tcPr>
            <w:tcW w:w="2048" w:type="dxa"/>
            <w:vAlign w:val="center"/>
          </w:tcPr>
          <w:p w14:paraId="26ED270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937" w:type="dxa"/>
            <w:vAlign w:val="center"/>
          </w:tcPr>
          <w:p w14:paraId="72FF4621"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4632533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13AFC00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5865710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62C5228" w14:textId="77777777">
        <w:trPr>
          <w:cantSplit/>
          <w:trHeight w:val="397"/>
          <w:jc w:val="center"/>
        </w:trPr>
        <w:tc>
          <w:tcPr>
            <w:tcW w:w="2048" w:type="dxa"/>
            <w:vAlign w:val="center"/>
          </w:tcPr>
          <w:p w14:paraId="76AFA34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937" w:type="dxa"/>
            <w:vAlign w:val="center"/>
          </w:tcPr>
          <w:p w14:paraId="4B17764B"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7" w:type="dxa"/>
            <w:vAlign w:val="center"/>
          </w:tcPr>
          <w:p w14:paraId="5E21E83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8" w:type="dxa"/>
            <w:vAlign w:val="center"/>
          </w:tcPr>
          <w:p w14:paraId="55D5B4E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211" w:type="dxa"/>
            <w:vAlign w:val="center"/>
          </w:tcPr>
          <w:p w14:paraId="028A13F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760F607" w14:textId="77777777">
        <w:trPr>
          <w:cantSplit/>
          <w:trHeight w:val="397"/>
          <w:jc w:val="center"/>
        </w:trPr>
        <w:tc>
          <w:tcPr>
            <w:tcW w:w="2048" w:type="dxa"/>
            <w:vAlign w:val="center"/>
          </w:tcPr>
          <w:p w14:paraId="6D588C3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937" w:type="dxa"/>
            <w:vAlign w:val="center"/>
          </w:tcPr>
          <w:p w14:paraId="79072574"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2234D93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607CDEA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3175985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382F986" w14:textId="77777777">
        <w:trPr>
          <w:cantSplit/>
          <w:trHeight w:val="397"/>
          <w:jc w:val="center"/>
        </w:trPr>
        <w:tc>
          <w:tcPr>
            <w:tcW w:w="2048" w:type="dxa"/>
            <w:vAlign w:val="center"/>
          </w:tcPr>
          <w:p w14:paraId="2DCB308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937" w:type="dxa"/>
            <w:vAlign w:val="center"/>
          </w:tcPr>
          <w:p w14:paraId="6711778B"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2423FAC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13591BC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5C8B9FE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719F99F" w14:textId="77777777">
        <w:trPr>
          <w:cantSplit/>
          <w:trHeight w:val="397"/>
          <w:jc w:val="center"/>
        </w:trPr>
        <w:tc>
          <w:tcPr>
            <w:tcW w:w="2048" w:type="dxa"/>
            <w:vAlign w:val="center"/>
          </w:tcPr>
          <w:p w14:paraId="02AB6CE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937" w:type="dxa"/>
            <w:vAlign w:val="center"/>
          </w:tcPr>
          <w:p w14:paraId="057D06D4"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287B95A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2828558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2E6656B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AD415FD" w14:textId="77777777">
        <w:trPr>
          <w:cantSplit/>
          <w:trHeight w:val="397"/>
          <w:jc w:val="center"/>
        </w:trPr>
        <w:tc>
          <w:tcPr>
            <w:tcW w:w="2048" w:type="dxa"/>
            <w:vAlign w:val="center"/>
          </w:tcPr>
          <w:p w14:paraId="2A8A150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937" w:type="dxa"/>
            <w:vAlign w:val="center"/>
          </w:tcPr>
          <w:p w14:paraId="0E548718"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4.9</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7" w:type="dxa"/>
            <w:vAlign w:val="center"/>
          </w:tcPr>
          <w:p w14:paraId="5BCF56A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4.6</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8" w:type="dxa"/>
            <w:vAlign w:val="center"/>
          </w:tcPr>
          <w:p w14:paraId="3C3B5BC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3.3</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211" w:type="dxa"/>
            <w:vAlign w:val="center"/>
          </w:tcPr>
          <w:p w14:paraId="4C3DD2F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7D5EF0FC" w14:textId="77777777">
        <w:trPr>
          <w:cantSplit/>
          <w:trHeight w:val="397"/>
          <w:jc w:val="center"/>
        </w:trPr>
        <w:tc>
          <w:tcPr>
            <w:tcW w:w="2048" w:type="dxa"/>
            <w:vAlign w:val="center"/>
          </w:tcPr>
          <w:p w14:paraId="355C8232"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937" w:type="dxa"/>
            <w:vAlign w:val="center"/>
          </w:tcPr>
          <w:p w14:paraId="38FB9899"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12.2</w:t>
            </w:r>
          </w:p>
        </w:tc>
        <w:tc>
          <w:tcPr>
            <w:tcW w:w="1937" w:type="dxa"/>
            <w:vAlign w:val="center"/>
          </w:tcPr>
          <w:p w14:paraId="2719F6A8"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12.0</w:t>
            </w:r>
          </w:p>
        </w:tc>
        <w:tc>
          <w:tcPr>
            <w:tcW w:w="1938" w:type="dxa"/>
            <w:vAlign w:val="center"/>
          </w:tcPr>
          <w:p w14:paraId="2A18530A"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12.6</w:t>
            </w:r>
          </w:p>
        </w:tc>
        <w:tc>
          <w:tcPr>
            <w:tcW w:w="1211" w:type="dxa"/>
            <w:vAlign w:val="center"/>
          </w:tcPr>
          <w:p w14:paraId="02366F78"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3E4FDBB3" w14:textId="77777777" w:rsidR="009D12AF" w:rsidRDefault="00000000">
      <w:pPr>
        <w:ind w:firstLine="482"/>
        <w:jc w:val="center"/>
        <w:rPr>
          <w:b/>
          <w:bCs/>
        </w:rPr>
      </w:pPr>
      <w:r>
        <w:rPr>
          <w:rFonts w:hint="eastAsia"/>
          <w:b/>
          <w:bCs/>
        </w:rPr>
        <w:t>表</w:t>
      </w:r>
      <w:r>
        <w:rPr>
          <w:rFonts w:hint="eastAsia"/>
          <w:b/>
          <w:bCs/>
        </w:rPr>
        <w:t>4.3-10</w:t>
      </w:r>
      <w:r>
        <w:rPr>
          <w:rFonts w:hint="eastAsia"/>
          <w:b/>
          <w:bCs/>
        </w:rPr>
        <w:t>（</w:t>
      </w:r>
      <w:r>
        <w:rPr>
          <w:rFonts w:hint="eastAsia"/>
          <w:b/>
          <w:bCs/>
        </w:rPr>
        <w:t>3</w:t>
      </w:r>
      <w:r>
        <w:rPr>
          <w:rFonts w:hint="eastAsia"/>
          <w:b/>
          <w:bCs/>
        </w:rPr>
        <w:t>）</w:t>
      </w:r>
      <w:r>
        <w:rPr>
          <w:rFonts w:hint="eastAsia"/>
          <w:b/>
          <w:bCs/>
        </w:rPr>
        <w:t xml:space="preserve">  </w:t>
      </w:r>
      <w:r>
        <w:rPr>
          <w:rFonts w:hint="eastAsia"/>
          <w:b/>
          <w:bCs/>
        </w:rPr>
        <w:t>群力水库地表水环境监测结果</w:t>
      </w:r>
    </w:p>
    <w:tbl>
      <w:tblPr>
        <w:tblW w:w="907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048"/>
        <w:gridCol w:w="1937"/>
        <w:gridCol w:w="1937"/>
        <w:gridCol w:w="1938"/>
        <w:gridCol w:w="1211"/>
      </w:tblGrid>
      <w:tr w:rsidR="009D12AF" w14:paraId="20772358" w14:textId="77777777">
        <w:trPr>
          <w:cantSplit/>
          <w:trHeight w:val="397"/>
          <w:jc w:val="center"/>
        </w:trPr>
        <w:tc>
          <w:tcPr>
            <w:tcW w:w="2048" w:type="dxa"/>
            <w:vAlign w:val="center"/>
          </w:tcPr>
          <w:p w14:paraId="18AC3F04"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937" w:type="dxa"/>
            <w:tcBorders>
              <w:bottom w:val="single" w:sz="8" w:space="0" w:color="auto"/>
            </w:tcBorders>
            <w:vAlign w:val="center"/>
          </w:tcPr>
          <w:p w14:paraId="22FA3FE4"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rPr>
              <w:t>2025.10.07</w:t>
            </w:r>
          </w:p>
        </w:tc>
        <w:tc>
          <w:tcPr>
            <w:tcW w:w="1937" w:type="dxa"/>
            <w:tcBorders>
              <w:bottom w:val="single" w:sz="8" w:space="0" w:color="auto"/>
            </w:tcBorders>
            <w:vAlign w:val="center"/>
          </w:tcPr>
          <w:p w14:paraId="7571D395"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938" w:type="dxa"/>
            <w:tcBorders>
              <w:bottom w:val="single" w:sz="8" w:space="0" w:color="auto"/>
            </w:tcBorders>
            <w:vAlign w:val="center"/>
          </w:tcPr>
          <w:p w14:paraId="2ACEFF74"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1211" w:type="dxa"/>
            <w:tcBorders>
              <w:bottom w:val="single" w:sz="8" w:space="0" w:color="auto"/>
            </w:tcBorders>
            <w:vAlign w:val="center"/>
          </w:tcPr>
          <w:p w14:paraId="622AD696"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hint="eastAsia"/>
                <w:b/>
                <w:bCs/>
                <w:color w:val="000000"/>
                <w:kern w:val="0"/>
                <w:szCs w:val="21"/>
              </w:rPr>
              <w:t>/</w:t>
            </w:r>
          </w:p>
        </w:tc>
      </w:tr>
      <w:tr w:rsidR="009D12AF" w14:paraId="57A971DA" w14:textId="77777777">
        <w:trPr>
          <w:cantSplit/>
          <w:trHeight w:val="397"/>
          <w:jc w:val="center"/>
        </w:trPr>
        <w:tc>
          <w:tcPr>
            <w:tcW w:w="2048" w:type="dxa"/>
            <w:tcBorders>
              <w:bottom w:val="single" w:sz="8" w:space="0" w:color="auto"/>
            </w:tcBorders>
            <w:vAlign w:val="center"/>
          </w:tcPr>
          <w:p w14:paraId="15939B32"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5812" w:type="dxa"/>
            <w:gridSpan w:val="3"/>
            <w:tcBorders>
              <w:top w:val="single" w:sz="8" w:space="0" w:color="auto"/>
              <w:bottom w:val="single" w:sz="8" w:space="0" w:color="auto"/>
            </w:tcBorders>
            <w:vAlign w:val="center"/>
          </w:tcPr>
          <w:p w14:paraId="5AB597CB"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b/>
                <w:bCs/>
              </w:rPr>
              <w:t>群力水库</w:t>
            </w:r>
            <w:r>
              <w:rPr>
                <w:rFonts w:ascii="Times New Roman" w:hAnsi="Times New Roman" w:cs="Times New Roman"/>
                <w:b/>
                <w:bCs/>
              </w:rPr>
              <w:t>2#</w:t>
            </w:r>
            <w:r>
              <w:rPr>
                <w:rFonts w:ascii="Times New Roman" w:hAnsi="Times New Roman" w:cs="Times New Roman" w:hint="eastAsia"/>
                <w:b/>
                <w:bCs/>
              </w:rPr>
              <w:t>（水面下</w:t>
            </w:r>
            <w:r>
              <w:rPr>
                <w:rFonts w:ascii="Times New Roman" w:hAnsi="Times New Roman" w:cs="Times New Roman" w:hint="eastAsia"/>
                <w:b/>
                <w:bCs/>
              </w:rPr>
              <w:t>0.5m</w:t>
            </w:r>
            <w:r>
              <w:rPr>
                <w:rFonts w:ascii="Times New Roman" w:hAnsi="Times New Roman" w:cs="Times New Roman" w:hint="eastAsia"/>
                <w:b/>
                <w:bCs/>
              </w:rPr>
              <w:t>）</w:t>
            </w:r>
          </w:p>
        </w:tc>
        <w:tc>
          <w:tcPr>
            <w:tcW w:w="1211" w:type="dxa"/>
            <w:tcBorders>
              <w:top w:val="single" w:sz="8" w:space="0" w:color="auto"/>
              <w:bottom w:val="single" w:sz="8" w:space="0" w:color="auto"/>
            </w:tcBorders>
            <w:vAlign w:val="center"/>
          </w:tcPr>
          <w:p w14:paraId="038D1D4B"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color w:val="000000"/>
                <w:kern w:val="0"/>
                <w:szCs w:val="21"/>
              </w:rPr>
              <w:t>/</w:t>
            </w:r>
          </w:p>
        </w:tc>
      </w:tr>
      <w:tr w:rsidR="009D12AF" w14:paraId="1551C811" w14:textId="77777777">
        <w:trPr>
          <w:cantSplit/>
          <w:trHeight w:val="397"/>
          <w:jc w:val="center"/>
        </w:trPr>
        <w:tc>
          <w:tcPr>
            <w:tcW w:w="2048" w:type="dxa"/>
            <w:vAlign w:val="center"/>
          </w:tcPr>
          <w:p w14:paraId="1A81AD76"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color w:val="000000"/>
                <w:kern w:val="0"/>
                <w:szCs w:val="21"/>
              </w:rPr>
              <w:t>检测项目</w:t>
            </w:r>
          </w:p>
        </w:tc>
        <w:tc>
          <w:tcPr>
            <w:tcW w:w="5812" w:type="dxa"/>
            <w:gridSpan w:val="3"/>
            <w:tcBorders>
              <w:top w:val="single" w:sz="8" w:space="0" w:color="auto"/>
              <w:bottom w:val="single" w:sz="8" w:space="0" w:color="auto"/>
            </w:tcBorders>
            <w:vAlign w:val="center"/>
          </w:tcPr>
          <w:p w14:paraId="7BE8459B"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hint="eastAsia"/>
                <w:b/>
                <w:bCs/>
                <w:color w:val="000000"/>
                <w:kern w:val="0"/>
                <w:szCs w:val="21"/>
              </w:rPr>
              <w:t>检测结果</w:t>
            </w:r>
          </w:p>
        </w:tc>
        <w:tc>
          <w:tcPr>
            <w:tcW w:w="1211" w:type="dxa"/>
            <w:tcBorders>
              <w:top w:val="single" w:sz="8" w:space="0" w:color="auto"/>
              <w:bottom w:val="single" w:sz="8" w:space="0" w:color="auto"/>
            </w:tcBorders>
            <w:vAlign w:val="center"/>
          </w:tcPr>
          <w:p w14:paraId="18C33EED"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hint="eastAsia"/>
                <w:b/>
                <w:bCs/>
                <w:color w:val="000000"/>
                <w:kern w:val="0"/>
                <w:szCs w:val="21"/>
              </w:rPr>
              <w:t>单位</w:t>
            </w:r>
          </w:p>
        </w:tc>
      </w:tr>
      <w:tr w:rsidR="009D12AF" w14:paraId="1EDA616E" w14:textId="77777777">
        <w:trPr>
          <w:cantSplit/>
          <w:trHeight w:val="397"/>
          <w:jc w:val="center"/>
        </w:trPr>
        <w:tc>
          <w:tcPr>
            <w:tcW w:w="2048" w:type="dxa"/>
            <w:vAlign w:val="center"/>
          </w:tcPr>
          <w:p w14:paraId="7D74EFF7"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937" w:type="dxa"/>
            <w:tcBorders>
              <w:top w:val="single" w:sz="8" w:space="0" w:color="auto"/>
              <w:bottom w:val="single" w:sz="8" w:space="0" w:color="auto"/>
            </w:tcBorders>
            <w:vAlign w:val="center"/>
          </w:tcPr>
          <w:p w14:paraId="0A26D4FD" w14:textId="77777777" w:rsidR="009D12AF" w:rsidRDefault="00000000">
            <w:pPr>
              <w:widowControl/>
              <w:ind w:firstLineChars="0" w:firstLine="0"/>
              <w:jc w:val="center"/>
              <w:textAlignment w:val="center"/>
              <w:rPr>
                <w:rFonts w:ascii="Times New Roman" w:hAnsi="Times New Roman" w:cs="Times New Roman"/>
                <w:sz w:val="21"/>
                <w:szCs w:val="21"/>
              </w:rPr>
            </w:pPr>
            <w:r>
              <w:rPr>
                <w:rFonts w:ascii="Times New Roman" w:hAnsi="Times New Roman" w:cs="Times New Roman" w:hint="eastAsia"/>
                <w:kern w:val="0"/>
                <w:sz w:val="21"/>
                <w:szCs w:val="21"/>
                <w:lang w:bidi="ar"/>
              </w:rPr>
              <w:t>250940DB1101D1</w:t>
            </w:r>
          </w:p>
        </w:tc>
        <w:tc>
          <w:tcPr>
            <w:tcW w:w="1937" w:type="dxa"/>
            <w:tcBorders>
              <w:top w:val="single" w:sz="8" w:space="0" w:color="auto"/>
              <w:bottom w:val="single" w:sz="8" w:space="0" w:color="auto"/>
            </w:tcBorders>
            <w:vAlign w:val="center"/>
          </w:tcPr>
          <w:p w14:paraId="0EC5A3F0" w14:textId="77777777" w:rsidR="009D12AF" w:rsidRDefault="00000000">
            <w:pPr>
              <w:widowControl/>
              <w:spacing w:line="240" w:lineRule="exact"/>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250940DB1101D2</w:t>
            </w:r>
          </w:p>
        </w:tc>
        <w:tc>
          <w:tcPr>
            <w:tcW w:w="1938" w:type="dxa"/>
            <w:tcBorders>
              <w:top w:val="single" w:sz="8" w:space="0" w:color="auto"/>
              <w:bottom w:val="single" w:sz="8" w:space="0" w:color="auto"/>
            </w:tcBorders>
            <w:vAlign w:val="center"/>
          </w:tcPr>
          <w:p w14:paraId="4F2EE03D" w14:textId="77777777" w:rsidR="009D12AF" w:rsidRDefault="00000000">
            <w:pPr>
              <w:widowControl/>
              <w:spacing w:line="240" w:lineRule="exact"/>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250940DB1101D3</w:t>
            </w:r>
          </w:p>
        </w:tc>
        <w:tc>
          <w:tcPr>
            <w:tcW w:w="1211" w:type="dxa"/>
            <w:tcBorders>
              <w:top w:val="single" w:sz="8" w:space="0" w:color="auto"/>
              <w:bottom w:val="single" w:sz="8" w:space="0" w:color="auto"/>
            </w:tcBorders>
            <w:vAlign w:val="center"/>
          </w:tcPr>
          <w:p w14:paraId="545D6AE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0423122F" w14:textId="77777777">
        <w:trPr>
          <w:cantSplit/>
          <w:trHeight w:val="397"/>
          <w:jc w:val="center"/>
        </w:trPr>
        <w:tc>
          <w:tcPr>
            <w:tcW w:w="2048" w:type="dxa"/>
            <w:vAlign w:val="center"/>
          </w:tcPr>
          <w:p w14:paraId="3AD88012"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937" w:type="dxa"/>
            <w:tcBorders>
              <w:top w:val="single" w:sz="8" w:space="0" w:color="auto"/>
              <w:bottom w:val="single" w:sz="8" w:space="0" w:color="auto"/>
            </w:tcBorders>
            <w:vAlign w:val="center"/>
          </w:tcPr>
          <w:p w14:paraId="1EB5F47A"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7.7</w:t>
            </w:r>
          </w:p>
        </w:tc>
        <w:tc>
          <w:tcPr>
            <w:tcW w:w="1937" w:type="dxa"/>
            <w:tcBorders>
              <w:top w:val="single" w:sz="8" w:space="0" w:color="auto"/>
              <w:bottom w:val="single" w:sz="8" w:space="0" w:color="auto"/>
            </w:tcBorders>
            <w:vAlign w:val="center"/>
          </w:tcPr>
          <w:p w14:paraId="4570C02A"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7.6</w:t>
            </w:r>
          </w:p>
        </w:tc>
        <w:tc>
          <w:tcPr>
            <w:tcW w:w="1938" w:type="dxa"/>
            <w:tcBorders>
              <w:top w:val="single" w:sz="8" w:space="0" w:color="auto"/>
              <w:bottom w:val="single" w:sz="8" w:space="0" w:color="auto"/>
            </w:tcBorders>
            <w:vAlign w:val="center"/>
          </w:tcPr>
          <w:p w14:paraId="1188EEEA"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7.6</w:t>
            </w:r>
          </w:p>
        </w:tc>
        <w:tc>
          <w:tcPr>
            <w:tcW w:w="1211" w:type="dxa"/>
            <w:tcBorders>
              <w:top w:val="single" w:sz="8" w:space="0" w:color="auto"/>
              <w:bottom w:val="single" w:sz="8" w:space="0" w:color="auto"/>
            </w:tcBorders>
            <w:vAlign w:val="center"/>
          </w:tcPr>
          <w:p w14:paraId="4D4250D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08F0F28F" w14:textId="77777777">
        <w:trPr>
          <w:cantSplit/>
          <w:trHeight w:val="397"/>
          <w:jc w:val="center"/>
        </w:trPr>
        <w:tc>
          <w:tcPr>
            <w:tcW w:w="2048" w:type="dxa"/>
            <w:vAlign w:val="center"/>
          </w:tcPr>
          <w:p w14:paraId="507D47A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937" w:type="dxa"/>
            <w:vAlign w:val="center"/>
          </w:tcPr>
          <w:p w14:paraId="71329C72"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4.4</w:t>
            </w:r>
          </w:p>
        </w:tc>
        <w:tc>
          <w:tcPr>
            <w:tcW w:w="1937" w:type="dxa"/>
            <w:vAlign w:val="center"/>
          </w:tcPr>
          <w:p w14:paraId="3DA8A5E5"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4.7</w:t>
            </w:r>
          </w:p>
        </w:tc>
        <w:tc>
          <w:tcPr>
            <w:tcW w:w="1938" w:type="dxa"/>
            <w:vAlign w:val="center"/>
          </w:tcPr>
          <w:p w14:paraId="09F10C00"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5.2</w:t>
            </w:r>
          </w:p>
        </w:tc>
        <w:tc>
          <w:tcPr>
            <w:tcW w:w="1211" w:type="dxa"/>
            <w:vAlign w:val="center"/>
          </w:tcPr>
          <w:p w14:paraId="7F660C4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E20B985" w14:textId="77777777">
        <w:trPr>
          <w:cantSplit/>
          <w:trHeight w:val="397"/>
          <w:jc w:val="center"/>
        </w:trPr>
        <w:tc>
          <w:tcPr>
            <w:tcW w:w="2048" w:type="dxa"/>
            <w:vAlign w:val="center"/>
          </w:tcPr>
          <w:p w14:paraId="1E95FC7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937" w:type="dxa"/>
            <w:vAlign w:val="center"/>
          </w:tcPr>
          <w:p w14:paraId="7B024022"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9.3</w:t>
            </w:r>
          </w:p>
        </w:tc>
        <w:tc>
          <w:tcPr>
            <w:tcW w:w="1937" w:type="dxa"/>
            <w:vAlign w:val="center"/>
          </w:tcPr>
          <w:p w14:paraId="20634453"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9.2</w:t>
            </w:r>
          </w:p>
        </w:tc>
        <w:tc>
          <w:tcPr>
            <w:tcW w:w="1938" w:type="dxa"/>
            <w:vAlign w:val="center"/>
          </w:tcPr>
          <w:p w14:paraId="1B40F441"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8.9</w:t>
            </w:r>
          </w:p>
        </w:tc>
        <w:tc>
          <w:tcPr>
            <w:tcW w:w="1211" w:type="dxa"/>
            <w:vAlign w:val="center"/>
          </w:tcPr>
          <w:p w14:paraId="25E71BC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85A1F9A" w14:textId="77777777">
        <w:trPr>
          <w:cantSplit/>
          <w:trHeight w:val="397"/>
          <w:jc w:val="center"/>
        </w:trPr>
        <w:tc>
          <w:tcPr>
            <w:tcW w:w="2048" w:type="dxa"/>
            <w:vAlign w:val="center"/>
          </w:tcPr>
          <w:p w14:paraId="3879E73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937" w:type="dxa"/>
            <w:vAlign w:val="center"/>
          </w:tcPr>
          <w:p w14:paraId="37A77F19"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15</w:t>
            </w:r>
          </w:p>
        </w:tc>
        <w:tc>
          <w:tcPr>
            <w:tcW w:w="1937" w:type="dxa"/>
            <w:vAlign w:val="center"/>
          </w:tcPr>
          <w:p w14:paraId="2FC3A751"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18</w:t>
            </w:r>
          </w:p>
        </w:tc>
        <w:tc>
          <w:tcPr>
            <w:tcW w:w="1938" w:type="dxa"/>
            <w:vAlign w:val="center"/>
          </w:tcPr>
          <w:p w14:paraId="7FF6A1F8"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14</w:t>
            </w:r>
          </w:p>
        </w:tc>
        <w:tc>
          <w:tcPr>
            <w:tcW w:w="1211" w:type="dxa"/>
            <w:vAlign w:val="center"/>
          </w:tcPr>
          <w:p w14:paraId="33B0953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976107B" w14:textId="77777777">
        <w:trPr>
          <w:cantSplit/>
          <w:trHeight w:val="397"/>
          <w:jc w:val="center"/>
        </w:trPr>
        <w:tc>
          <w:tcPr>
            <w:tcW w:w="2048" w:type="dxa"/>
            <w:vAlign w:val="center"/>
          </w:tcPr>
          <w:p w14:paraId="547B13A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937" w:type="dxa"/>
            <w:vAlign w:val="center"/>
          </w:tcPr>
          <w:p w14:paraId="10AD3301"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5.6</w:t>
            </w:r>
          </w:p>
        </w:tc>
        <w:tc>
          <w:tcPr>
            <w:tcW w:w="1937" w:type="dxa"/>
            <w:vAlign w:val="center"/>
          </w:tcPr>
          <w:p w14:paraId="5F8A5838"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7.0</w:t>
            </w:r>
          </w:p>
        </w:tc>
        <w:tc>
          <w:tcPr>
            <w:tcW w:w="1938" w:type="dxa"/>
            <w:vAlign w:val="center"/>
          </w:tcPr>
          <w:p w14:paraId="596758A6"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7.5</w:t>
            </w:r>
          </w:p>
        </w:tc>
        <w:tc>
          <w:tcPr>
            <w:tcW w:w="1211" w:type="dxa"/>
            <w:vAlign w:val="center"/>
          </w:tcPr>
          <w:p w14:paraId="6CC0BF4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C6AF72A" w14:textId="77777777">
        <w:trPr>
          <w:cantSplit/>
          <w:trHeight w:val="397"/>
          <w:jc w:val="center"/>
        </w:trPr>
        <w:tc>
          <w:tcPr>
            <w:tcW w:w="2048" w:type="dxa"/>
            <w:vAlign w:val="center"/>
          </w:tcPr>
          <w:p w14:paraId="01631FD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937" w:type="dxa"/>
            <w:vAlign w:val="center"/>
          </w:tcPr>
          <w:p w14:paraId="52CA51AD"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1.11</w:t>
            </w:r>
          </w:p>
        </w:tc>
        <w:tc>
          <w:tcPr>
            <w:tcW w:w="1937" w:type="dxa"/>
            <w:vAlign w:val="center"/>
          </w:tcPr>
          <w:p w14:paraId="36AC455F"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1.20</w:t>
            </w:r>
          </w:p>
        </w:tc>
        <w:tc>
          <w:tcPr>
            <w:tcW w:w="1938" w:type="dxa"/>
            <w:vAlign w:val="center"/>
          </w:tcPr>
          <w:p w14:paraId="09EE258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1.10</w:t>
            </w:r>
          </w:p>
        </w:tc>
        <w:tc>
          <w:tcPr>
            <w:tcW w:w="1211" w:type="dxa"/>
            <w:vAlign w:val="center"/>
          </w:tcPr>
          <w:p w14:paraId="10237C7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B2CA2F8" w14:textId="77777777">
        <w:trPr>
          <w:cantSplit/>
          <w:trHeight w:val="397"/>
          <w:jc w:val="center"/>
        </w:trPr>
        <w:tc>
          <w:tcPr>
            <w:tcW w:w="2048" w:type="dxa"/>
            <w:vAlign w:val="center"/>
          </w:tcPr>
          <w:p w14:paraId="6E98CB7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937" w:type="dxa"/>
            <w:vAlign w:val="center"/>
          </w:tcPr>
          <w:p w14:paraId="76C37451"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0.07</w:t>
            </w:r>
          </w:p>
        </w:tc>
        <w:tc>
          <w:tcPr>
            <w:tcW w:w="1937" w:type="dxa"/>
            <w:vAlign w:val="center"/>
          </w:tcPr>
          <w:p w14:paraId="435235A5"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0.06</w:t>
            </w:r>
          </w:p>
        </w:tc>
        <w:tc>
          <w:tcPr>
            <w:tcW w:w="1938" w:type="dxa"/>
            <w:vAlign w:val="center"/>
          </w:tcPr>
          <w:p w14:paraId="43E0DC46"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0.06</w:t>
            </w:r>
          </w:p>
        </w:tc>
        <w:tc>
          <w:tcPr>
            <w:tcW w:w="1211" w:type="dxa"/>
            <w:vAlign w:val="center"/>
          </w:tcPr>
          <w:p w14:paraId="246F416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7CB2588" w14:textId="77777777">
        <w:trPr>
          <w:cantSplit/>
          <w:trHeight w:val="397"/>
          <w:jc w:val="center"/>
        </w:trPr>
        <w:tc>
          <w:tcPr>
            <w:tcW w:w="2048" w:type="dxa"/>
            <w:vAlign w:val="center"/>
          </w:tcPr>
          <w:p w14:paraId="5A74F7C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937" w:type="dxa"/>
            <w:vAlign w:val="center"/>
          </w:tcPr>
          <w:p w14:paraId="54529EE1"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1.67</w:t>
            </w:r>
          </w:p>
        </w:tc>
        <w:tc>
          <w:tcPr>
            <w:tcW w:w="1937" w:type="dxa"/>
            <w:vAlign w:val="center"/>
          </w:tcPr>
          <w:p w14:paraId="00A5F4CF"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1.75</w:t>
            </w:r>
          </w:p>
        </w:tc>
        <w:tc>
          <w:tcPr>
            <w:tcW w:w="1938" w:type="dxa"/>
            <w:vAlign w:val="center"/>
          </w:tcPr>
          <w:p w14:paraId="79AD5F38"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1.89</w:t>
            </w:r>
          </w:p>
        </w:tc>
        <w:tc>
          <w:tcPr>
            <w:tcW w:w="1211" w:type="dxa"/>
            <w:vAlign w:val="center"/>
          </w:tcPr>
          <w:p w14:paraId="0B2AE62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C3B2224" w14:textId="77777777">
        <w:trPr>
          <w:cantSplit/>
          <w:trHeight w:val="397"/>
          <w:jc w:val="center"/>
        </w:trPr>
        <w:tc>
          <w:tcPr>
            <w:tcW w:w="2048" w:type="dxa"/>
            <w:vAlign w:val="center"/>
          </w:tcPr>
          <w:p w14:paraId="176B85F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937" w:type="dxa"/>
            <w:vAlign w:val="center"/>
          </w:tcPr>
          <w:p w14:paraId="12FEE0A6"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56FCEF35"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4071B938"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65DB619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7E4B489" w14:textId="77777777">
        <w:trPr>
          <w:cantSplit/>
          <w:trHeight w:val="397"/>
          <w:jc w:val="center"/>
        </w:trPr>
        <w:tc>
          <w:tcPr>
            <w:tcW w:w="2048" w:type="dxa"/>
            <w:vAlign w:val="center"/>
          </w:tcPr>
          <w:p w14:paraId="73997B7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937" w:type="dxa"/>
            <w:vAlign w:val="center"/>
          </w:tcPr>
          <w:p w14:paraId="622293D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0.30</w:t>
            </w:r>
          </w:p>
        </w:tc>
        <w:tc>
          <w:tcPr>
            <w:tcW w:w="1937" w:type="dxa"/>
            <w:vAlign w:val="center"/>
          </w:tcPr>
          <w:p w14:paraId="638F8D6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0.32</w:t>
            </w:r>
          </w:p>
        </w:tc>
        <w:tc>
          <w:tcPr>
            <w:tcW w:w="1938" w:type="dxa"/>
            <w:vAlign w:val="center"/>
          </w:tcPr>
          <w:p w14:paraId="15319060"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0.30</w:t>
            </w:r>
          </w:p>
        </w:tc>
        <w:tc>
          <w:tcPr>
            <w:tcW w:w="1211" w:type="dxa"/>
            <w:vAlign w:val="center"/>
          </w:tcPr>
          <w:p w14:paraId="297C7D6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A9C24D9" w14:textId="77777777">
        <w:trPr>
          <w:cantSplit/>
          <w:trHeight w:val="397"/>
          <w:jc w:val="center"/>
        </w:trPr>
        <w:tc>
          <w:tcPr>
            <w:tcW w:w="2048" w:type="dxa"/>
            <w:vAlign w:val="center"/>
          </w:tcPr>
          <w:p w14:paraId="0BEEC1D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937" w:type="dxa"/>
            <w:vAlign w:val="center"/>
          </w:tcPr>
          <w:p w14:paraId="619009CF"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0.38</w:t>
            </w:r>
          </w:p>
        </w:tc>
        <w:tc>
          <w:tcPr>
            <w:tcW w:w="1937" w:type="dxa"/>
            <w:vAlign w:val="center"/>
          </w:tcPr>
          <w:p w14:paraId="6DD531D3"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0.31</w:t>
            </w:r>
          </w:p>
        </w:tc>
        <w:tc>
          <w:tcPr>
            <w:tcW w:w="1938" w:type="dxa"/>
            <w:vAlign w:val="center"/>
          </w:tcPr>
          <w:p w14:paraId="26E54D83"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0.28</w:t>
            </w:r>
          </w:p>
        </w:tc>
        <w:tc>
          <w:tcPr>
            <w:tcW w:w="1211" w:type="dxa"/>
            <w:vAlign w:val="center"/>
          </w:tcPr>
          <w:p w14:paraId="45DB56C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69F2EE2" w14:textId="77777777">
        <w:trPr>
          <w:cantSplit/>
          <w:trHeight w:val="397"/>
          <w:jc w:val="center"/>
        </w:trPr>
        <w:tc>
          <w:tcPr>
            <w:tcW w:w="2048" w:type="dxa"/>
            <w:vAlign w:val="center"/>
          </w:tcPr>
          <w:p w14:paraId="233E608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硒</w:t>
            </w:r>
          </w:p>
        </w:tc>
        <w:tc>
          <w:tcPr>
            <w:tcW w:w="1937" w:type="dxa"/>
            <w:vAlign w:val="center"/>
          </w:tcPr>
          <w:p w14:paraId="2B0A6174"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kern w:val="0"/>
                <w:sz w:val="21"/>
                <w:szCs w:val="21"/>
                <w:lang w:bidi="ar"/>
              </w:rPr>
              <w:t>0.001</w:t>
            </w:r>
          </w:p>
        </w:tc>
        <w:tc>
          <w:tcPr>
            <w:tcW w:w="1937" w:type="dxa"/>
            <w:vAlign w:val="center"/>
          </w:tcPr>
          <w:p w14:paraId="48497861"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kern w:val="0"/>
                <w:sz w:val="21"/>
                <w:szCs w:val="21"/>
                <w:lang w:bidi="ar"/>
              </w:rPr>
              <w:t>0.001</w:t>
            </w:r>
          </w:p>
        </w:tc>
        <w:tc>
          <w:tcPr>
            <w:tcW w:w="1938" w:type="dxa"/>
            <w:vAlign w:val="center"/>
          </w:tcPr>
          <w:p w14:paraId="459C07E4"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kern w:val="0"/>
                <w:sz w:val="21"/>
                <w:szCs w:val="21"/>
                <w:lang w:bidi="ar"/>
              </w:rPr>
              <w:t>0.001</w:t>
            </w:r>
          </w:p>
        </w:tc>
        <w:tc>
          <w:tcPr>
            <w:tcW w:w="1211" w:type="dxa"/>
            <w:vAlign w:val="center"/>
          </w:tcPr>
          <w:p w14:paraId="0DE789D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B475531" w14:textId="77777777">
        <w:trPr>
          <w:cantSplit/>
          <w:trHeight w:val="397"/>
          <w:jc w:val="center"/>
        </w:trPr>
        <w:tc>
          <w:tcPr>
            <w:tcW w:w="2048" w:type="dxa"/>
            <w:vAlign w:val="center"/>
          </w:tcPr>
          <w:p w14:paraId="23D655A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砷</w:t>
            </w:r>
          </w:p>
        </w:tc>
        <w:tc>
          <w:tcPr>
            <w:tcW w:w="1937" w:type="dxa"/>
            <w:vAlign w:val="center"/>
          </w:tcPr>
          <w:p w14:paraId="70A1321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937" w:type="dxa"/>
            <w:vAlign w:val="center"/>
          </w:tcPr>
          <w:p w14:paraId="730CC785"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kern w:val="0"/>
                <w:sz w:val="21"/>
                <w:szCs w:val="21"/>
                <w:lang w:bidi="ar"/>
              </w:rPr>
              <w:t>0.0003L</w:t>
            </w:r>
          </w:p>
        </w:tc>
        <w:tc>
          <w:tcPr>
            <w:tcW w:w="1938" w:type="dxa"/>
            <w:vAlign w:val="center"/>
          </w:tcPr>
          <w:p w14:paraId="4C4F27AF"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kern w:val="0"/>
                <w:sz w:val="21"/>
                <w:szCs w:val="21"/>
                <w:lang w:bidi="ar"/>
              </w:rPr>
              <w:t>0.0003L</w:t>
            </w:r>
          </w:p>
        </w:tc>
        <w:tc>
          <w:tcPr>
            <w:tcW w:w="1211" w:type="dxa"/>
            <w:vAlign w:val="center"/>
          </w:tcPr>
          <w:p w14:paraId="13B253D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355321D" w14:textId="77777777">
        <w:trPr>
          <w:cantSplit/>
          <w:trHeight w:val="397"/>
          <w:jc w:val="center"/>
        </w:trPr>
        <w:tc>
          <w:tcPr>
            <w:tcW w:w="2048" w:type="dxa"/>
            <w:vAlign w:val="center"/>
          </w:tcPr>
          <w:p w14:paraId="3A9C1CD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lastRenderedPageBreak/>
              <w:t>总</w:t>
            </w:r>
            <w:r>
              <w:rPr>
                <w:rFonts w:ascii="Times New Roman" w:eastAsia="宋体" w:hAnsi="Times New Roman" w:cs="Times New Roman"/>
                <w:sz w:val="21"/>
                <w:lang w:bidi="ar"/>
              </w:rPr>
              <w:t>汞</w:t>
            </w:r>
          </w:p>
        </w:tc>
        <w:tc>
          <w:tcPr>
            <w:tcW w:w="1937" w:type="dxa"/>
            <w:vAlign w:val="center"/>
          </w:tcPr>
          <w:p w14:paraId="120ADDAA"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7" w:type="dxa"/>
            <w:vAlign w:val="center"/>
          </w:tcPr>
          <w:p w14:paraId="45E684C5"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0.00002L</w:t>
            </w:r>
          </w:p>
        </w:tc>
        <w:tc>
          <w:tcPr>
            <w:tcW w:w="1938" w:type="dxa"/>
            <w:vAlign w:val="center"/>
          </w:tcPr>
          <w:p w14:paraId="37805461"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highlight w:val="yellow"/>
              </w:rPr>
            </w:pPr>
            <w:r>
              <w:rPr>
                <w:rFonts w:ascii="Times New Roman" w:hAnsi="Times New Roman" w:cs="Times New Roman" w:hint="eastAsia"/>
                <w:sz w:val="21"/>
                <w:szCs w:val="21"/>
              </w:rPr>
              <w:t>0.00002L</w:t>
            </w:r>
          </w:p>
        </w:tc>
        <w:tc>
          <w:tcPr>
            <w:tcW w:w="1211" w:type="dxa"/>
            <w:vAlign w:val="center"/>
          </w:tcPr>
          <w:p w14:paraId="5131ECC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7CF22A7" w14:textId="77777777">
        <w:trPr>
          <w:cantSplit/>
          <w:trHeight w:val="397"/>
          <w:jc w:val="center"/>
        </w:trPr>
        <w:tc>
          <w:tcPr>
            <w:tcW w:w="2048" w:type="dxa"/>
            <w:vAlign w:val="center"/>
          </w:tcPr>
          <w:p w14:paraId="76702F4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镉</w:t>
            </w:r>
          </w:p>
        </w:tc>
        <w:tc>
          <w:tcPr>
            <w:tcW w:w="1937" w:type="dxa"/>
            <w:vAlign w:val="center"/>
          </w:tcPr>
          <w:p w14:paraId="48D22E67"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7" w:type="dxa"/>
            <w:vAlign w:val="center"/>
          </w:tcPr>
          <w:p w14:paraId="424B0926"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0.0001L</w:t>
            </w:r>
          </w:p>
        </w:tc>
        <w:tc>
          <w:tcPr>
            <w:tcW w:w="1938" w:type="dxa"/>
            <w:vAlign w:val="center"/>
          </w:tcPr>
          <w:p w14:paraId="53AAC794"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highlight w:val="yellow"/>
              </w:rPr>
            </w:pPr>
            <w:r>
              <w:rPr>
                <w:rFonts w:ascii="Times New Roman" w:hAnsi="Times New Roman" w:cs="Times New Roman" w:hint="eastAsia"/>
                <w:sz w:val="21"/>
                <w:szCs w:val="21"/>
              </w:rPr>
              <w:t>0.0001L</w:t>
            </w:r>
          </w:p>
        </w:tc>
        <w:tc>
          <w:tcPr>
            <w:tcW w:w="1211" w:type="dxa"/>
            <w:vAlign w:val="center"/>
          </w:tcPr>
          <w:p w14:paraId="59B74B4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CF796A8" w14:textId="77777777">
        <w:trPr>
          <w:cantSplit/>
          <w:trHeight w:val="397"/>
          <w:jc w:val="center"/>
        </w:trPr>
        <w:tc>
          <w:tcPr>
            <w:tcW w:w="2048" w:type="dxa"/>
            <w:vAlign w:val="center"/>
          </w:tcPr>
          <w:p w14:paraId="10714E4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六价铬</w:t>
            </w:r>
          </w:p>
        </w:tc>
        <w:tc>
          <w:tcPr>
            <w:tcW w:w="1937" w:type="dxa"/>
            <w:vAlign w:val="center"/>
          </w:tcPr>
          <w:p w14:paraId="65D53CC1"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4088AA14"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0.004L</w:t>
            </w:r>
          </w:p>
        </w:tc>
        <w:tc>
          <w:tcPr>
            <w:tcW w:w="1938" w:type="dxa"/>
            <w:vAlign w:val="center"/>
          </w:tcPr>
          <w:p w14:paraId="55F1A5AB"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0.004L</w:t>
            </w:r>
          </w:p>
        </w:tc>
        <w:tc>
          <w:tcPr>
            <w:tcW w:w="1211" w:type="dxa"/>
            <w:vAlign w:val="center"/>
          </w:tcPr>
          <w:p w14:paraId="326D7A3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269A9E5" w14:textId="77777777">
        <w:trPr>
          <w:cantSplit/>
          <w:trHeight w:val="397"/>
          <w:jc w:val="center"/>
        </w:trPr>
        <w:tc>
          <w:tcPr>
            <w:tcW w:w="2048" w:type="dxa"/>
            <w:vAlign w:val="center"/>
          </w:tcPr>
          <w:p w14:paraId="315B87B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铅</w:t>
            </w:r>
          </w:p>
        </w:tc>
        <w:tc>
          <w:tcPr>
            <w:tcW w:w="1937" w:type="dxa"/>
            <w:vAlign w:val="center"/>
          </w:tcPr>
          <w:p w14:paraId="1F726BC6"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7" w:type="dxa"/>
            <w:vAlign w:val="center"/>
          </w:tcPr>
          <w:p w14:paraId="039D3AD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8" w:type="dxa"/>
            <w:vAlign w:val="center"/>
          </w:tcPr>
          <w:p w14:paraId="41E5F3A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211" w:type="dxa"/>
            <w:vAlign w:val="center"/>
          </w:tcPr>
          <w:p w14:paraId="2DC179C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D62ED41" w14:textId="77777777">
        <w:trPr>
          <w:cantSplit/>
          <w:trHeight w:val="397"/>
          <w:jc w:val="center"/>
        </w:trPr>
        <w:tc>
          <w:tcPr>
            <w:tcW w:w="2048" w:type="dxa"/>
            <w:vAlign w:val="center"/>
          </w:tcPr>
          <w:p w14:paraId="5AA7B7E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937" w:type="dxa"/>
            <w:vAlign w:val="center"/>
          </w:tcPr>
          <w:p w14:paraId="6F468FD9"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010978D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636E61A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1CA5BD7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9B8B59A" w14:textId="77777777">
        <w:trPr>
          <w:cantSplit/>
          <w:trHeight w:val="397"/>
          <w:jc w:val="center"/>
        </w:trPr>
        <w:tc>
          <w:tcPr>
            <w:tcW w:w="2048" w:type="dxa"/>
            <w:vAlign w:val="center"/>
          </w:tcPr>
          <w:p w14:paraId="77349AB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937" w:type="dxa"/>
            <w:vAlign w:val="center"/>
          </w:tcPr>
          <w:p w14:paraId="38208951"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7" w:type="dxa"/>
            <w:vAlign w:val="center"/>
          </w:tcPr>
          <w:p w14:paraId="5340C7A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8" w:type="dxa"/>
            <w:vAlign w:val="center"/>
          </w:tcPr>
          <w:p w14:paraId="7738730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211" w:type="dxa"/>
            <w:vAlign w:val="center"/>
          </w:tcPr>
          <w:p w14:paraId="4BA3106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8E7D244" w14:textId="77777777">
        <w:trPr>
          <w:cantSplit/>
          <w:trHeight w:val="397"/>
          <w:jc w:val="center"/>
        </w:trPr>
        <w:tc>
          <w:tcPr>
            <w:tcW w:w="2048" w:type="dxa"/>
            <w:vAlign w:val="center"/>
          </w:tcPr>
          <w:p w14:paraId="4E1BB6A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937" w:type="dxa"/>
            <w:vAlign w:val="center"/>
          </w:tcPr>
          <w:p w14:paraId="183AF91D"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29739C3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533C92D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55D9358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12A22B8" w14:textId="77777777">
        <w:trPr>
          <w:cantSplit/>
          <w:trHeight w:val="397"/>
          <w:jc w:val="center"/>
        </w:trPr>
        <w:tc>
          <w:tcPr>
            <w:tcW w:w="2048" w:type="dxa"/>
            <w:vAlign w:val="center"/>
          </w:tcPr>
          <w:p w14:paraId="407A3A1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937" w:type="dxa"/>
            <w:vAlign w:val="center"/>
          </w:tcPr>
          <w:p w14:paraId="2C1377D2"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01E8899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50F3E2B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374E47E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729BADC" w14:textId="77777777">
        <w:trPr>
          <w:cantSplit/>
          <w:trHeight w:val="397"/>
          <w:jc w:val="center"/>
        </w:trPr>
        <w:tc>
          <w:tcPr>
            <w:tcW w:w="2048" w:type="dxa"/>
            <w:vAlign w:val="center"/>
          </w:tcPr>
          <w:p w14:paraId="5882BB9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937" w:type="dxa"/>
            <w:vAlign w:val="center"/>
          </w:tcPr>
          <w:p w14:paraId="2A638C63"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480D877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4A12770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416C69F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8EC6C10" w14:textId="77777777">
        <w:trPr>
          <w:cantSplit/>
          <w:trHeight w:val="397"/>
          <w:jc w:val="center"/>
        </w:trPr>
        <w:tc>
          <w:tcPr>
            <w:tcW w:w="2048" w:type="dxa"/>
            <w:vAlign w:val="center"/>
          </w:tcPr>
          <w:p w14:paraId="16F2887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937" w:type="dxa"/>
            <w:vAlign w:val="center"/>
          </w:tcPr>
          <w:p w14:paraId="716A8237" w14:textId="77777777" w:rsidR="009D12AF" w:rsidRDefault="00000000">
            <w:pPr>
              <w:widowControl/>
              <w:ind w:firstLineChars="0" w:firstLine="0"/>
              <w:jc w:val="center"/>
              <w:textAlignment w:val="center"/>
              <w:rPr>
                <w:rFonts w:ascii="Times New Roman" w:hAnsi="Times New Roman" w:cs="Times New Roman"/>
                <w:sz w:val="21"/>
                <w:szCs w:val="21"/>
              </w:rPr>
            </w:pPr>
            <w:r>
              <w:rPr>
                <w:rFonts w:ascii="Times New Roman" w:hAnsi="Times New Roman" w:cs="Times New Roman" w:hint="eastAsia"/>
                <w:sz w:val="21"/>
                <w:szCs w:val="21"/>
              </w:rPr>
              <w:t>6.3</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7" w:type="dxa"/>
            <w:vAlign w:val="center"/>
          </w:tcPr>
          <w:p w14:paraId="1E126647" w14:textId="77777777" w:rsidR="009D12AF" w:rsidRDefault="00000000">
            <w:pPr>
              <w:widowControl/>
              <w:spacing w:line="240" w:lineRule="exact"/>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4.1</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8" w:type="dxa"/>
            <w:vAlign w:val="center"/>
          </w:tcPr>
          <w:p w14:paraId="42EA73A8" w14:textId="77777777" w:rsidR="009D12AF" w:rsidRDefault="00000000">
            <w:pPr>
              <w:widowControl/>
              <w:spacing w:line="240" w:lineRule="exact"/>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4.7</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211" w:type="dxa"/>
            <w:vAlign w:val="center"/>
          </w:tcPr>
          <w:p w14:paraId="3763C0E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21DC5635" w14:textId="77777777">
        <w:trPr>
          <w:cantSplit/>
          <w:trHeight w:val="397"/>
          <w:jc w:val="center"/>
        </w:trPr>
        <w:tc>
          <w:tcPr>
            <w:tcW w:w="2048" w:type="dxa"/>
            <w:vAlign w:val="center"/>
          </w:tcPr>
          <w:p w14:paraId="70FA44E0"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937" w:type="dxa"/>
            <w:vAlign w:val="center"/>
          </w:tcPr>
          <w:p w14:paraId="4C3145E0"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10.9</w:t>
            </w:r>
          </w:p>
        </w:tc>
        <w:tc>
          <w:tcPr>
            <w:tcW w:w="1937" w:type="dxa"/>
            <w:vAlign w:val="center"/>
          </w:tcPr>
          <w:p w14:paraId="19528FFF"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10.6</w:t>
            </w:r>
          </w:p>
        </w:tc>
        <w:tc>
          <w:tcPr>
            <w:tcW w:w="1938" w:type="dxa"/>
            <w:vAlign w:val="center"/>
          </w:tcPr>
          <w:p w14:paraId="0F6AF983"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10.8</w:t>
            </w:r>
          </w:p>
        </w:tc>
        <w:tc>
          <w:tcPr>
            <w:tcW w:w="1211" w:type="dxa"/>
            <w:vAlign w:val="center"/>
          </w:tcPr>
          <w:p w14:paraId="15F2E232"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1CE3F204" w14:textId="77777777" w:rsidR="009D12AF" w:rsidRDefault="00000000">
      <w:pPr>
        <w:ind w:firstLine="482"/>
        <w:jc w:val="center"/>
        <w:rPr>
          <w:b/>
          <w:bCs/>
        </w:rPr>
      </w:pPr>
      <w:r>
        <w:rPr>
          <w:rFonts w:hint="eastAsia"/>
          <w:b/>
          <w:bCs/>
        </w:rPr>
        <w:t>表</w:t>
      </w:r>
      <w:r>
        <w:rPr>
          <w:rFonts w:hint="eastAsia"/>
          <w:b/>
          <w:bCs/>
        </w:rPr>
        <w:t>4.3-10</w:t>
      </w:r>
      <w:r>
        <w:rPr>
          <w:rFonts w:hint="eastAsia"/>
          <w:b/>
          <w:bCs/>
        </w:rPr>
        <w:t>（</w:t>
      </w:r>
      <w:r>
        <w:rPr>
          <w:rFonts w:hint="eastAsia"/>
          <w:b/>
          <w:bCs/>
        </w:rPr>
        <w:t>4</w:t>
      </w:r>
      <w:r>
        <w:rPr>
          <w:rFonts w:hint="eastAsia"/>
          <w:b/>
          <w:bCs/>
        </w:rPr>
        <w:t>）</w:t>
      </w:r>
      <w:r>
        <w:rPr>
          <w:rFonts w:hint="eastAsia"/>
          <w:b/>
          <w:bCs/>
        </w:rPr>
        <w:t xml:space="preserve">  </w:t>
      </w:r>
      <w:r>
        <w:rPr>
          <w:rFonts w:hint="eastAsia"/>
          <w:b/>
          <w:bCs/>
        </w:rPr>
        <w:t>群力水库地表水环境监测结果</w:t>
      </w:r>
    </w:p>
    <w:tbl>
      <w:tblPr>
        <w:tblW w:w="907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048"/>
        <w:gridCol w:w="1937"/>
        <w:gridCol w:w="181"/>
        <w:gridCol w:w="1757"/>
        <w:gridCol w:w="118"/>
        <w:gridCol w:w="1819"/>
        <w:gridCol w:w="1211"/>
      </w:tblGrid>
      <w:tr w:rsidR="009D12AF" w14:paraId="7B8EF61B" w14:textId="77777777">
        <w:trPr>
          <w:cantSplit/>
          <w:trHeight w:val="397"/>
          <w:jc w:val="center"/>
        </w:trPr>
        <w:tc>
          <w:tcPr>
            <w:tcW w:w="2048" w:type="dxa"/>
            <w:vAlign w:val="center"/>
          </w:tcPr>
          <w:p w14:paraId="6FC85738"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2118" w:type="dxa"/>
            <w:gridSpan w:val="2"/>
            <w:tcBorders>
              <w:bottom w:val="single" w:sz="8" w:space="0" w:color="auto"/>
            </w:tcBorders>
            <w:vAlign w:val="center"/>
          </w:tcPr>
          <w:p w14:paraId="73C70264"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rPr>
              <w:t>2025.10.07</w:t>
            </w:r>
          </w:p>
        </w:tc>
        <w:tc>
          <w:tcPr>
            <w:tcW w:w="1875" w:type="dxa"/>
            <w:gridSpan w:val="2"/>
            <w:tcBorders>
              <w:bottom w:val="single" w:sz="8" w:space="0" w:color="auto"/>
            </w:tcBorders>
            <w:vAlign w:val="center"/>
          </w:tcPr>
          <w:p w14:paraId="34B3AAB1"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819" w:type="dxa"/>
            <w:tcBorders>
              <w:bottom w:val="single" w:sz="8" w:space="0" w:color="auto"/>
            </w:tcBorders>
            <w:vAlign w:val="center"/>
          </w:tcPr>
          <w:p w14:paraId="6BA82596"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1211" w:type="dxa"/>
            <w:tcBorders>
              <w:bottom w:val="single" w:sz="8" w:space="0" w:color="auto"/>
            </w:tcBorders>
            <w:vAlign w:val="center"/>
          </w:tcPr>
          <w:p w14:paraId="2CB6CACD"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hint="eastAsia"/>
                <w:b/>
                <w:bCs/>
                <w:color w:val="000000"/>
                <w:kern w:val="0"/>
                <w:szCs w:val="21"/>
              </w:rPr>
              <w:t>/</w:t>
            </w:r>
          </w:p>
        </w:tc>
      </w:tr>
      <w:tr w:rsidR="009D12AF" w14:paraId="31F6F8A6" w14:textId="77777777">
        <w:trPr>
          <w:cantSplit/>
          <w:trHeight w:val="397"/>
          <w:jc w:val="center"/>
        </w:trPr>
        <w:tc>
          <w:tcPr>
            <w:tcW w:w="2048" w:type="dxa"/>
            <w:tcBorders>
              <w:bottom w:val="single" w:sz="8" w:space="0" w:color="auto"/>
            </w:tcBorders>
            <w:vAlign w:val="center"/>
          </w:tcPr>
          <w:p w14:paraId="36846FA2"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5812" w:type="dxa"/>
            <w:gridSpan w:val="5"/>
            <w:tcBorders>
              <w:top w:val="single" w:sz="8" w:space="0" w:color="auto"/>
              <w:bottom w:val="single" w:sz="8" w:space="0" w:color="auto"/>
            </w:tcBorders>
            <w:vAlign w:val="center"/>
          </w:tcPr>
          <w:p w14:paraId="11BB5D37"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b/>
                <w:bCs/>
              </w:rPr>
              <w:t>群力水库</w:t>
            </w:r>
            <w:r>
              <w:rPr>
                <w:rFonts w:ascii="Times New Roman" w:hAnsi="Times New Roman" w:cs="Times New Roman"/>
                <w:b/>
                <w:bCs/>
              </w:rPr>
              <w:t>2#</w:t>
            </w:r>
            <w:r>
              <w:rPr>
                <w:rFonts w:ascii="Times New Roman" w:hAnsi="Times New Roman" w:cs="Times New Roman" w:hint="eastAsia"/>
                <w:b/>
                <w:bCs/>
              </w:rPr>
              <w:t>（水底上</w:t>
            </w:r>
            <w:r>
              <w:rPr>
                <w:rFonts w:ascii="Times New Roman" w:hAnsi="Times New Roman" w:cs="Times New Roman" w:hint="eastAsia"/>
                <w:b/>
                <w:bCs/>
              </w:rPr>
              <w:t>0.5m</w:t>
            </w:r>
            <w:r>
              <w:rPr>
                <w:rFonts w:ascii="Times New Roman" w:hAnsi="Times New Roman" w:cs="Times New Roman" w:hint="eastAsia"/>
                <w:b/>
                <w:bCs/>
              </w:rPr>
              <w:t>）</w:t>
            </w:r>
          </w:p>
        </w:tc>
        <w:tc>
          <w:tcPr>
            <w:tcW w:w="1211" w:type="dxa"/>
            <w:tcBorders>
              <w:top w:val="single" w:sz="8" w:space="0" w:color="auto"/>
              <w:bottom w:val="single" w:sz="8" w:space="0" w:color="auto"/>
            </w:tcBorders>
            <w:vAlign w:val="center"/>
          </w:tcPr>
          <w:p w14:paraId="5BF3C5C5"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color w:val="000000"/>
                <w:kern w:val="0"/>
                <w:szCs w:val="21"/>
              </w:rPr>
              <w:t>/</w:t>
            </w:r>
          </w:p>
        </w:tc>
      </w:tr>
      <w:tr w:rsidR="009D12AF" w14:paraId="1FC4F632" w14:textId="77777777">
        <w:trPr>
          <w:cantSplit/>
          <w:trHeight w:val="397"/>
          <w:jc w:val="center"/>
        </w:trPr>
        <w:tc>
          <w:tcPr>
            <w:tcW w:w="2048" w:type="dxa"/>
            <w:vAlign w:val="center"/>
          </w:tcPr>
          <w:p w14:paraId="6AADC93A"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color w:val="000000"/>
                <w:kern w:val="0"/>
                <w:szCs w:val="21"/>
              </w:rPr>
              <w:t>检测项目</w:t>
            </w:r>
          </w:p>
        </w:tc>
        <w:tc>
          <w:tcPr>
            <w:tcW w:w="5812" w:type="dxa"/>
            <w:gridSpan w:val="5"/>
            <w:tcBorders>
              <w:top w:val="single" w:sz="8" w:space="0" w:color="auto"/>
              <w:bottom w:val="single" w:sz="8" w:space="0" w:color="auto"/>
            </w:tcBorders>
            <w:vAlign w:val="center"/>
          </w:tcPr>
          <w:p w14:paraId="280D9681"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hint="eastAsia"/>
                <w:b/>
                <w:bCs/>
                <w:color w:val="000000"/>
                <w:kern w:val="0"/>
                <w:szCs w:val="21"/>
              </w:rPr>
              <w:t>检测结果</w:t>
            </w:r>
          </w:p>
        </w:tc>
        <w:tc>
          <w:tcPr>
            <w:tcW w:w="1211" w:type="dxa"/>
            <w:tcBorders>
              <w:top w:val="single" w:sz="8" w:space="0" w:color="auto"/>
              <w:bottom w:val="single" w:sz="8" w:space="0" w:color="auto"/>
            </w:tcBorders>
            <w:vAlign w:val="center"/>
          </w:tcPr>
          <w:p w14:paraId="2C53A3F0"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hint="eastAsia"/>
                <w:b/>
                <w:bCs/>
                <w:color w:val="000000"/>
                <w:kern w:val="0"/>
                <w:szCs w:val="21"/>
              </w:rPr>
              <w:t>单位</w:t>
            </w:r>
          </w:p>
        </w:tc>
      </w:tr>
      <w:tr w:rsidR="009D12AF" w14:paraId="2EEEDC2B" w14:textId="77777777">
        <w:trPr>
          <w:cantSplit/>
          <w:trHeight w:val="397"/>
          <w:jc w:val="center"/>
        </w:trPr>
        <w:tc>
          <w:tcPr>
            <w:tcW w:w="2048" w:type="dxa"/>
            <w:vAlign w:val="center"/>
          </w:tcPr>
          <w:p w14:paraId="6225A4FE"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937" w:type="dxa"/>
            <w:tcBorders>
              <w:top w:val="single" w:sz="8" w:space="0" w:color="auto"/>
              <w:bottom w:val="single" w:sz="8" w:space="0" w:color="auto"/>
            </w:tcBorders>
            <w:vAlign w:val="center"/>
          </w:tcPr>
          <w:p w14:paraId="59379364"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250940DB1102D1</w:t>
            </w:r>
          </w:p>
        </w:tc>
        <w:tc>
          <w:tcPr>
            <w:tcW w:w="1938" w:type="dxa"/>
            <w:gridSpan w:val="2"/>
            <w:tcBorders>
              <w:top w:val="single" w:sz="8" w:space="0" w:color="auto"/>
              <w:bottom w:val="single" w:sz="8" w:space="0" w:color="auto"/>
            </w:tcBorders>
            <w:vAlign w:val="center"/>
          </w:tcPr>
          <w:p w14:paraId="441E4B7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250940DB1102D2</w:t>
            </w:r>
          </w:p>
        </w:tc>
        <w:tc>
          <w:tcPr>
            <w:tcW w:w="1937" w:type="dxa"/>
            <w:gridSpan w:val="2"/>
            <w:tcBorders>
              <w:top w:val="single" w:sz="8" w:space="0" w:color="auto"/>
              <w:bottom w:val="single" w:sz="8" w:space="0" w:color="auto"/>
            </w:tcBorders>
            <w:vAlign w:val="center"/>
          </w:tcPr>
          <w:p w14:paraId="5942739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250940DB1102D3</w:t>
            </w:r>
          </w:p>
        </w:tc>
        <w:tc>
          <w:tcPr>
            <w:tcW w:w="1211" w:type="dxa"/>
            <w:tcBorders>
              <w:top w:val="single" w:sz="8" w:space="0" w:color="auto"/>
              <w:bottom w:val="single" w:sz="8" w:space="0" w:color="auto"/>
            </w:tcBorders>
            <w:vAlign w:val="center"/>
          </w:tcPr>
          <w:p w14:paraId="655953C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3A4A497A" w14:textId="77777777">
        <w:trPr>
          <w:cantSplit/>
          <w:trHeight w:val="397"/>
          <w:jc w:val="center"/>
        </w:trPr>
        <w:tc>
          <w:tcPr>
            <w:tcW w:w="2048" w:type="dxa"/>
            <w:vAlign w:val="center"/>
          </w:tcPr>
          <w:p w14:paraId="1C813B49"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937" w:type="dxa"/>
            <w:tcBorders>
              <w:top w:val="single" w:sz="8" w:space="0" w:color="auto"/>
              <w:bottom w:val="single" w:sz="8" w:space="0" w:color="auto"/>
            </w:tcBorders>
            <w:vAlign w:val="center"/>
          </w:tcPr>
          <w:p w14:paraId="24CC14F2"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7.6</w:t>
            </w:r>
          </w:p>
        </w:tc>
        <w:tc>
          <w:tcPr>
            <w:tcW w:w="1938" w:type="dxa"/>
            <w:gridSpan w:val="2"/>
            <w:tcBorders>
              <w:top w:val="single" w:sz="8" w:space="0" w:color="auto"/>
              <w:bottom w:val="single" w:sz="8" w:space="0" w:color="auto"/>
            </w:tcBorders>
            <w:vAlign w:val="center"/>
          </w:tcPr>
          <w:p w14:paraId="444C4EF2"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7.7</w:t>
            </w:r>
          </w:p>
        </w:tc>
        <w:tc>
          <w:tcPr>
            <w:tcW w:w="1937" w:type="dxa"/>
            <w:gridSpan w:val="2"/>
            <w:tcBorders>
              <w:top w:val="single" w:sz="8" w:space="0" w:color="auto"/>
              <w:bottom w:val="single" w:sz="8" w:space="0" w:color="auto"/>
            </w:tcBorders>
            <w:vAlign w:val="center"/>
          </w:tcPr>
          <w:p w14:paraId="3E7D7B3F"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7.6</w:t>
            </w:r>
          </w:p>
        </w:tc>
        <w:tc>
          <w:tcPr>
            <w:tcW w:w="1211" w:type="dxa"/>
            <w:tcBorders>
              <w:top w:val="single" w:sz="8" w:space="0" w:color="auto"/>
              <w:bottom w:val="single" w:sz="8" w:space="0" w:color="auto"/>
            </w:tcBorders>
            <w:vAlign w:val="center"/>
          </w:tcPr>
          <w:p w14:paraId="6EEDF7D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7E646F7D" w14:textId="77777777">
        <w:trPr>
          <w:cantSplit/>
          <w:trHeight w:val="397"/>
          <w:jc w:val="center"/>
        </w:trPr>
        <w:tc>
          <w:tcPr>
            <w:tcW w:w="2048" w:type="dxa"/>
            <w:vAlign w:val="center"/>
          </w:tcPr>
          <w:p w14:paraId="4EF19AB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937" w:type="dxa"/>
            <w:vAlign w:val="center"/>
          </w:tcPr>
          <w:p w14:paraId="25C97709"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4.6</w:t>
            </w:r>
          </w:p>
        </w:tc>
        <w:tc>
          <w:tcPr>
            <w:tcW w:w="1938" w:type="dxa"/>
            <w:gridSpan w:val="2"/>
            <w:vAlign w:val="center"/>
          </w:tcPr>
          <w:p w14:paraId="3CE86737"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5.0</w:t>
            </w:r>
          </w:p>
        </w:tc>
        <w:tc>
          <w:tcPr>
            <w:tcW w:w="1937" w:type="dxa"/>
            <w:gridSpan w:val="2"/>
            <w:vAlign w:val="center"/>
          </w:tcPr>
          <w:p w14:paraId="3ACC85B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4.8</w:t>
            </w:r>
          </w:p>
        </w:tc>
        <w:tc>
          <w:tcPr>
            <w:tcW w:w="1211" w:type="dxa"/>
            <w:vAlign w:val="center"/>
          </w:tcPr>
          <w:p w14:paraId="53339EE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020642F" w14:textId="77777777">
        <w:trPr>
          <w:cantSplit/>
          <w:trHeight w:val="397"/>
          <w:jc w:val="center"/>
        </w:trPr>
        <w:tc>
          <w:tcPr>
            <w:tcW w:w="2048" w:type="dxa"/>
            <w:vAlign w:val="center"/>
          </w:tcPr>
          <w:p w14:paraId="6E16119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937" w:type="dxa"/>
            <w:vAlign w:val="center"/>
          </w:tcPr>
          <w:p w14:paraId="5FAE699B"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6.3</w:t>
            </w:r>
          </w:p>
        </w:tc>
        <w:tc>
          <w:tcPr>
            <w:tcW w:w="1938" w:type="dxa"/>
            <w:gridSpan w:val="2"/>
            <w:vAlign w:val="center"/>
          </w:tcPr>
          <w:p w14:paraId="41165AB7"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6.5</w:t>
            </w:r>
          </w:p>
        </w:tc>
        <w:tc>
          <w:tcPr>
            <w:tcW w:w="1937" w:type="dxa"/>
            <w:gridSpan w:val="2"/>
            <w:vAlign w:val="center"/>
          </w:tcPr>
          <w:p w14:paraId="11A2FE8B"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6.0</w:t>
            </w:r>
          </w:p>
        </w:tc>
        <w:tc>
          <w:tcPr>
            <w:tcW w:w="1211" w:type="dxa"/>
            <w:vAlign w:val="center"/>
          </w:tcPr>
          <w:p w14:paraId="350BC8B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FAEA137" w14:textId="77777777">
        <w:trPr>
          <w:cantSplit/>
          <w:trHeight w:val="397"/>
          <w:jc w:val="center"/>
        </w:trPr>
        <w:tc>
          <w:tcPr>
            <w:tcW w:w="2048" w:type="dxa"/>
            <w:vAlign w:val="center"/>
          </w:tcPr>
          <w:p w14:paraId="15B0260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937" w:type="dxa"/>
            <w:vAlign w:val="center"/>
          </w:tcPr>
          <w:p w14:paraId="21AFDB46"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18</w:t>
            </w:r>
          </w:p>
        </w:tc>
        <w:tc>
          <w:tcPr>
            <w:tcW w:w="1938" w:type="dxa"/>
            <w:gridSpan w:val="2"/>
            <w:vAlign w:val="center"/>
          </w:tcPr>
          <w:p w14:paraId="727BC227"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20</w:t>
            </w:r>
          </w:p>
        </w:tc>
        <w:tc>
          <w:tcPr>
            <w:tcW w:w="1937" w:type="dxa"/>
            <w:gridSpan w:val="2"/>
            <w:vAlign w:val="center"/>
          </w:tcPr>
          <w:p w14:paraId="10D43514"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19</w:t>
            </w:r>
          </w:p>
        </w:tc>
        <w:tc>
          <w:tcPr>
            <w:tcW w:w="1211" w:type="dxa"/>
            <w:vAlign w:val="center"/>
          </w:tcPr>
          <w:p w14:paraId="3804EAC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736BF39" w14:textId="77777777">
        <w:trPr>
          <w:cantSplit/>
          <w:trHeight w:val="397"/>
          <w:jc w:val="center"/>
        </w:trPr>
        <w:tc>
          <w:tcPr>
            <w:tcW w:w="2048" w:type="dxa"/>
            <w:vAlign w:val="center"/>
          </w:tcPr>
          <w:p w14:paraId="596B902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937" w:type="dxa"/>
            <w:vAlign w:val="center"/>
          </w:tcPr>
          <w:p w14:paraId="0E86D5FC"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6.8</w:t>
            </w:r>
          </w:p>
        </w:tc>
        <w:tc>
          <w:tcPr>
            <w:tcW w:w="1938" w:type="dxa"/>
            <w:gridSpan w:val="2"/>
            <w:vAlign w:val="center"/>
          </w:tcPr>
          <w:p w14:paraId="65CBCA89"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7.3</w:t>
            </w:r>
          </w:p>
        </w:tc>
        <w:tc>
          <w:tcPr>
            <w:tcW w:w="1937" w:type="dxa"/>
            <w:gridSpan w:val="2"/>
            <w:vAlign w:val="center"/>
          </w:tcPr>
          <w:p w14:paraId="5625C721"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6.6</w:t>
            </w:r>
          </w:p>
        </w:tc>
        <w:tc>
          <w:tcPr>
            <w:tcW w:w="1211" w:type="dxa"/>
            <w:vAlign w:val="center"/>
          </w:tcPr>
          <w:p w14:paraId="0255234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A02E050" w14:textId="77777777">
        <w:trPr>
          <w:cantSplit/>
          <w:trHeight w:val="397"/>
          <w:jc w:val="center"/>
        </w:trPr>
        <w:tc>
          <w:tcPr>
            <w:tcW w:w="2048" w:type="dxa"/>
            <w:vAlign w:val="center"/>
          </w:tcPr>
          <w:p w14:paraId="2A52A72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937" w:type="dxa"/>
            <w:vAlign w:val="center"/>
          </w:tcPr>
          <w:p w14:paraId="3FE46667"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1.22</w:t>
            </w:r>
          </w:p>
        </w:tc>
        <w:tc>
          <w:tcPr>
            <w:tcW w:w="1938" w:type="dxa"/>
            <w:gridSpan w:val="2"/>
            <w:vAlign w:val="center"/>
          </w:tcPr>
          <w:p w14:paraId="38395D54"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1.15</w:t>
            </w:r>
          </w:p>
        </w:tc>
        <w:tc>
          <w:tcPr>
            <w:tcW w:w="1937" w:type="dxa"/>
            <w:gridSpan w:val="2"/>
            <w:vAlign w:val="center"/>
          </w:tcPr>
          <w:p w14:paraId="0BBE262D"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1.36</w:t>
            </w:r>
          </w:p>
        </w:tc>
        <w:tc>
          <w:tcPr>
            <w:tcW w:w="1211" w:type="dxa"/>
            <w:vAlign w:val="center"/>
          </w:tcPr>
          <w:p w14:paraId="18CB4AD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B618C81" w14:textId="77777777">
        <w:trPr>
          <w:cantSplit/>
          <w:trHeight w:val="397"/>
          <w:jc w:val="center"/>
        </w:trPr>
        <w:tc>
          <w:tcPr>
            <w:tcW w:w="2048" w:type="dxa"/>
            <w:vAlign w:val="center"/>
          </w:tcPr>
          <w:p w14:paraId="6B643E7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937" w:type="dxa"/>
            <w:vAlign w:val="center"/>
          </w:tcPr>
          <w:p w14:paraId="7FBD6086"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0.08</w:t>
            </w:r>
          </w:p>
        </w:tc>
        <w:tc>
          <w:tcPr>
            <w:tcW w:w="1938" w:type="dxa"/>
            <w:gridSpan w:val="2"/>
            <w:vAlign w:val="center"/>
          </w:tcPr>
          <w:p w14:paraId="1F2CFA47"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0.09</w:t>
            </w:r>
          </w:p>
        </w:tc>
        <w:tc>
          <w:tcPr>
            <w:tcW w:w="1937" w:type="dxa"/>
            <w:gridSpan w:val="2"/>
            <w:vAlign w:val="center"/>
          </w:tcPr>
          <w:p w14:paraId="1B8A4A8A"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0.10</w:t>
            </w:r>
          </w:p>
        </w:tc>
        <w:tc>
          <w:tcPr>
            <w:tcW w:w="1211" w:type="dxa"/>
            <w:vAlign w:val="center"/>
          </w:tcPr>
          <w:p w14:paraId="235A545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46C32B6" w14:textId="77777777">
        <w:trPr>
          <w:cantSplit/>
          <w:trHeight w:val="397"/>
          <w:jc w:val="center"/>
        </w:trPr>
        <w:tc>
          <w:tcPr>
            <w:tcW w:w="2048" w:type="dxa"/>
            <w:vAlign w:val="center"/>
          </w:tcPr>
          <w:p w14:paraId="48580BF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937" w:type="dxa"/>
            <w:vAlign w:val="center"/>
          </w:tcPr>
          <w:p w14:paraId="74D04ADC"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1.85</w:t>
            </w:r>
          </w:p>
        </w:tc>
        <w:tc>
          <w:tcPr>
            <w:tcW w:w="1938" w:type="dxa"/>
            <w:gridSpan w:val="2"/>
            <w:vAlign w:val="center"/>
          </w:tcPr>
          <w:p w14:paraId="75D4E057"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1.92</w:t>
            </w:r>
          </w:p>
        </w:tc>
        <w:tc>
          <w:tcPr>
            <w:tcW w:w="1937" w:type="dxa"/>
            <w:gridSpan w:val="2"/>
            <w:vAlign w:val="center"/>
          </w:tcPr>
          <w:p w14:paraId="02AF64B7"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2.00</w:t>
            </w:r>
          </w:p>
        </w:tc>
        <w:tc>
          <w:tcPr>
            <w:tcW w:w="1211" w:type="dxa"/>
            <w:vAlign w:val="center"/>
          </w:tcPr>
          <w:p w14:paraId="1DB784B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E9ED68F" w14:textId="77777777">
        <w:trPr>
          <w:cantSplit/>
          <w:trHeight w:val="397"/>
          <w:jc w:val="center"/>
        </w:trPr>
        <w:tc>
          <w:tcPr>
            <w:tcW w:w="2048" w:type="dxa"/>
            <w:vAlign w:val="center"/>
          </w:tcPr>
          <w:p w14:paraId="65E237B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937" w:type="dxa"/>
            <w:vAlign w:val="center"/>
          </w:tcPr>
          <w:p w14:paraId="32818D1A"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0.05L</w:t>
            </w:r>
          </w:p>
        </w:tc>
        <w:tc>
          <w:tcPr>
            <w:tcW w:w="1938" w:type="dxa"/>
            <w:gridSpan w:val="2"/>
            <w:vAlign w:val="center"/>
          </w:tcPr>
          <w:p w14:paraId="2F0EFBCF"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0.05L</w:t>
            </w:r>
          </w:p>
        </w:tc>
        <w:tc>
          <w:tcPr>
            <w:tcW w:w="1937" w:type="dxa"/>
            <w:gridSpan w:val="2"/>
            <w:vAlign w:val="center"/>
          </w:tcPr>
          <w:p w14:paraId="6CDEF41C"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4047D40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788EB09" w14:textId="77777777">
        <w:trPr>
          <w:cantSplit/>
          <w:trHeight w:val="397"/>
          <w:jc w:val="center"/>
        </w:trPr>
        <w:tc>
          <w:tcPr>
            <w:tcW w:w="2048" w:type="dxa"/>
            <w:vAlign w:val="center"/>
          </w:tcPr>
          <w:p w14:paraId="4E99EBA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937" w:type="dxa"/>
            <w:vAlign w:val="center"/>
          </w:tcPr>
          <w:p w14:paraId="01F1B532"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0.23</w:t>
            </w:r>
          </w:p>
        </w:tc>
        <w:tc>
          <w:tcPr>
            <w:tcW w:w="1938" w:type="dxa"/>
            <w:gridSpan w:val="2"/>
            <w:vAlign w:val="center"/>
          </w:tcPr>
          <w:p w14:paraId="30C0DEA3"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0.29</w:t>
            </w:r>
          </w:p>
        </w:tc>
        <w:tc>
          <w:tcPr>
            <w:tcW w:w="1937" w:type="dxa"/>
            <w:gridSpan w:val="2"/>
            <w:vAlign w:val="center"/>
          </w:tcPr>
          <w:p w14:paraId="7229D1C8"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0.30</w:t>
            </w:r>
          </w:p>
        </w:tc>
        <w:tc>
          <w:tcPr>
            <w:tcW w:w="1211" w:type="dxa"/>
            <w:vAlign w:val="center"/>
          </w:tcPr>
          <w:p w14:paraId="4961C9D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1150B5F" w14:textId="77777777">
        <w:trPr>
          <w:cantSplit/>
          <w:trHeight w:val="397"/>
          <w:jc w:val="center"/>
        </w:trPr>
        <w:tc>
          <w:tcPr>
            <w:tcW w:w="2048" w:type="dxa"/>
            <w:vAlign w:val="center"/>
          </w:tcPr>
          <w:p w14:paraId="6AAD9F5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937" w:type="dxa"/>
            <w:vAlign w:val="center"/>
          </w:tcPr>
          <w:p w14:paraId="21C7D6F5"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0.45</w:t>
            </w:r>
          </w:p>
        </w:tc>
        <w:tc>
          <w:tcPr>
            <w:tcW w:w="1938" w:type="dxa"/>
            <w:gridSpan w:val="2"/>
            <w:vAlign w:val="center"/>
          </w:tcPr>
          <w:p w14:paraId="0A8E2782"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0.56</w:t>
            </w:r>
          </w:p>
        </w:tc>
        <w:tc>
          <w:tcPr>
            <w:tcW w:w="1937" w:type="dxa"/>
            <w:gridSpan w:val="2"/>
            <w:vAlign w:val="center"/>
          </w:tcPr>
          <w:p w14:paraId="0A8E6A0A"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0.61</w:t>
            </w:r>
          </w:p>
        </w:tc>
        <w:tc>
          <w:tcPr>
            <w:tcW w:w="1211" w:type="dxa"/>
            <w:vAlign w:val="center"/>
          </w:tcPr>
          <w:p w14:paraId="1486C3D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B3D1A38" w14:textId="77777777">
        <w:trPr>
          <w:cantSplit/>
          <w:trHeight w:val="397"/>
          <w:jc w:val="center"/>
        </w:trPr>
        <w:tc>
          <w:tcPr>
            <w:tcW w:w="2048" w:type="dxa"/>
            <w:vAlign w:val="center"/>
          </w:tcPr>
          <w:p w14:paraId="6F61E85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硒</w:t>
            </w:r>
          </w:p>
        </w:tc>
        <w:tc>
          <w:tcPr>
            <w:tcW w:w="1937" w:type="dxa"/>
            <w:vAlign w:val="center"/>
          </w:tcPr>
          <w:p w14:paraId="1A1A5D18"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kern w:val="0"/>
                <w:sz w:val="21"/>
                <w:szCs w:val="21"/>
                <w:lang w:bidi="ar"/>
              </w:rPr>
              <w:t>0.001</w:t>
            </w:r>
          </w:p>
        </w:tc>
        <w:tc>
          <w:tcPr>
            <w:tcW w:w="1938" w:type="dxa"/>
            <w:gridSpan w:val="2"/>
            <w:vAlign w:val="center"/>
          </w:tcPr>
          <w:p w14:paraId="00722A54"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kern w:val="0"/>
                <w:sz w:val="21"/>
                <w:szCs w:val="21"/>
                <w:lang w:bidi="ar"/>
              </w:rPr>
              <w:t>0.001</w:t>
            </w:r>
          </w:p>
        </w:tc>
        <w:tc>
          <w:tcPr>
            <w:tcW w:w="1937" w:type="dxa"/>
            <w:gridSpan w:val="2"/>
            <w:vAlign w:val="center"/>
          </w:tcPr>
          <w:p w14:paraId="36CE8C5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kern w:val="0"/>
                <w:sz w:val="21"/>
                <w:szCs w:val="21"/>
                <w:lang w:bidi="ar"/>
              </w:rPr>
              <w:t>0.001</w:t>
            </w:r>
          </w:p>
        </w:tc>
        <w:tc>
          <w:tcPr>
            <w:tcW w:w="1211" w:type="dxa"/>
            <w:vAlign w:val="center"/>
          </w:tcPr>
          <w:p w14:paraId="2CEBC04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FD62287" w14:textId="77777777">
        <w:trPr>
          <w:cantSplit/>
          <w:trHeight w:val="397"/>
          <w:jc w:val="center"/>
        </w:trPr>
        <w:tc>
          <w:tcPr>
            <w:tcW w:w="2048" w:type="dxa"/>
            <w:vAlign w:val="center"/>
          </w:tcPr>
          <w:p w14:paraId="2223C4C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砷</w:t>
            </w:r>
          </w:p>
        </w:tc>
        <w:tc>
          <w:tcPr>
            <w:tcW w:w="1937" w:type="dxa"/>
            <w:vAlign w:val="center"/>
          </w:tcPr>
          <w:p w14:paraId="5141495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938" w:type="dxa"/>
            <w:gridSpan w:val="2"/>
            <w:vAlign w:val="center"/>
          </w:tcPr>
          <w:p w14:paraId="50A71473"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kern w:val="0"/>
                <w:sz w:val="21"/>
                <w:szCs w:val="21"/>
                <w:lang w:bidi="ar"/>
              </w:rPr>
              <w:t>0.0003L</w:t>
            </w:r>
          </w:p>
        </w:tc>
        <w:tc>
          <w:tcPr>
            <w:tcW w:w="1937" w:type="dxa"/>
            <w:gridSpan w:val="2"/>
            <w:vAlign w:val="center"/>
          </w:tcPr>
          <w:p w14:paraId="34C86010"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kern w:val="0"/>
                <w:sz w:val="21"/>
                <w:szCs w:val="21"/>
                <w:lang w:bidi="ar"/>
              </w:rPr>
              <w:t>0.0003L</w:t>
            </w:r>
          </w:p>
        </w:tc>
        <w:tc>
          <w:tcPr>
            <w:tcW w:w="1211" w:type="dxa"/>
            <w:vAlign w:val="center"/>
          </w:tcPr>
          <w:p w14:paraId="061A08F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4CBA38E" w14:textId="77777777">
        <w:trPr>
          <w:cantSplit/>
          <w:trHeight w:val="397"/>
          <w:jc w:val="center"/>
        </w:trPr>
        <w:tc>
          <w:tcPr>
            <w:tcW w:w="2048" w:type="dxa"/>
            <w:vAlign w:val="center"/>
          </w:tcPr>
          <w:p w14:paraId="44F75D2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总</w:t>
            </w:r>
            <w:r>
              <w:rPr>
                <w:rFonts w:ascii="Times New Roman" w:eastAsia="宋体" w:hAnsi="Times New Roman" w:cs="Times New Roman"/>
                <w:sz w:val="21"/>
                <w:lang w:bidi="ar"/>
              </w:rPr>
              <w:t>汞</w:t>
            </w:r>
          </w:p>
        </w:tc>
        <w:tc>
          <w:tcPr>
            <w:tcW w:w="1937" w:type="dxa"/>
            <w:vAlign w:val="center"/>
          </w:tcPr>
          <w:p w14:paraId="60BC646C"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8" w:type="dxa"/>
            <w:gridSpan w:val="2"/>
            <w:vAlign w:val="center"/>
          </w:tcPr>
          <w:p w14:paraId="36656E3C"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0.00002L</w:t>
            </w:r>
          </w:p>
        </w:tc>
        <w:tc>
          <w:tcPr>
            <w:tcW w:w="1937" w:type="dxa"/>
            <w:gridSpan w:val="2"/>
            <w:vAlign w:val="center"/>
          </w:tcPr>
          <w:p w14:paraId="6C42B5F5"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highlight w:val="yellow"/>
              </w:rPr>
            </w:pPr>
            <w:r>
              <w:rPr>
                <w:rFonts w:ascii="Times New Roman" w:hAnsi="Times New Roman" w:cs="Times New Roman" w:hint="eastAsia"/>
                <w:sz w:val="21"/>
                <w:szCs w:val="21"/>
              </w:rPr>
              <w:t>0.00002L</w:t>
            </w:r>
          </w:p>
        </w:tc>
        <w:tc>
          <w:tcPr>
            <w:tcW w:w="1211" w:type="dxa"/>
            <w:vAlign w:val="center"/>
          </w:tcPr>
          <w:p w14:paraId="564B60C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FBB5800" w14:textId="77777777">
        <w:trPr>
          <w:cantSplit/>
          <w:trHeight w:val="397"/>
          <w:jc w:val="center"/>
        </w:trPr>
        <w:tc>
          <w:tcPr>
            <w:tcW w:w="2048" w:type="dxa"/>
            <w:vAlign w:val="center"/>
          </w:tcPr>
          <w:p w14:paraId="334E577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lastRenderedPageBreak/>
              <w:t>镉</w:t>
            </w:r>
          </w:p>
        </w:tc>
        <w:tc>
          <w:tcPr>
            <w:tcW w:w="1937" w:type="dxa"/>
            <w:vAlign w:val="center"/>
          </w:tcPr>
          <w:p w14:paraId="5F7DC0F3"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8" w:type="dxa"/>
            <w:gridSpan w:val="2"/>
            <w:vAlign w:val="center"/>
          </w:tcPr>
          <w:p w14:paraId="766012E0"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0.0001L</w:t>
            </w:r>
          </w:p>
        </w:tc>
        <w:tc>
          <w:tcPr>
            <w:tcW w:w="1937" w:type="dxa"/>
            <w:gridSpan w:val="2"/>
            <w:vAlign w:val="center"/>
          </w:tcPr>
          <w:p w14:paraId="5EC10B17"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highlight w:val="yellow"/>
              </w:rPr>
            </w:pPr>
            <w:r>
              <w:rPr>
                <w:rFonts w:ascii="Times New Roman" w:hAnsi="Times New Roman" w:cs="Times New Roman" w:hint="eastAsia"/>
                <w:sz w:val="21"/>
                <w:szCs w:val="21"/>
              </w:rPr>
              <w:t>0.0001L</w:t>
            </w:r>
          </w:p>
        </w:tc>
        <w:tc>
          <w:tcPr>
            <w:tcW w:w="1211" w:type="dxa"/>
            <w:vAlign w:val="center"/>
          </w:tcPr>
          <w:p w14:paraId="2ED36AF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9110545" w14:textId="77777777">
        <w:trPr>
          <w:cantSplit/>
          <w:trHeight w:val="397"/>
          <w:jc w:val="center"/>
        </w:trPr>
        <w:tc>
          <w:tcPr>
            <w:tcW w:w="2048" w:type="dxa"/>
            <w:vAlign w:val="center"/>
          </w:tcPr>
          <w:p w14:paraId="512BE2C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六价铬</w:t>
            </w:r>
          </w:p>
        </w:tc>
        <w:tc>
          <w:tcPr>
            <w:tcW w:w="1937" w:type="dxa"/>
            <w:vAlign w:val="center"/>
          </w:tcPr>
          <w:p w14:paraId="1BA799A1"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gridSpan w:val="2"/>
            <w:vAlign w:val="center"/>
          </w:tcPr>
          <w:p w14:paraId="07BD64D9"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0.004L</w:t>
            </w:r>
          </w:p>
        </w:tc>
        <w:tc>
          <w:tcPr>
            <w:tcW w:w="1937" w:type="dxa"/>
            <w:gridSpan w:val="2"/>
            <w:vAlign w:val="center"/>
          </w:tcPr>
          <w:p w14:paraId="07D28485"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0.004L</w:t>
            </w:r>
          </w:p>
        </w:tc>
        <w:tc>
          <w:tcPr>
            <w:tcW w:w="1211" w:type="dxa"/>
            <w:vAlign w:val="center"/>
          </w:tcPr>
          <w:p w14:paraId="323291D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5DD9F55" w14:textId="77777777">
        <w:trPr>
          <w:cantSplit/>
          <w:trHeight w:val="397"/>
          <w:jc w:val="center"/>
        </w:trPr>
        <w:tc>
          <w:tcPr>
            <w:tcW w:w="2048" w:type="dxa"/>
            <w:vAlign w:val="center"/>
          </w:tcPr>
          <w:p w14:paraId="7D041C0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铅</w:t>
            </w:r>
          </w:p>
        </w:tc>
        <w:tc>
          <w:tcPr>
            <w:tcW w:w="1937" w:type="dxa"/>
            <w:vAlign w:val="center"/>
          </w:tcPr>
          <w:p w14:paraId="21B525D2"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8" w:type="dxa"/>
            <w:gridSpan w:val="2"/>
            <w:vAlign w:val="center"/>
          </w:tcPr>
          <w:p w14:paraId="3D78AFF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7" w:type="dxa"/>
            <w:gridSpan w:val="2"/>
            <w:vAlign w:val="center"/>
          </w:tcPr>
          <w:p w14:paraId="5A02BBC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211" w:type="dxa"/>
            <w:vAlign w:val="center"/>
          </w:tcPr>
          <w:p w14:paraId="35EA3AC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4F09174" w14:textId="77777777">
        <w:trPr>
          <w:cantSplit/>
          <w:trHeight w:val="397"/>
          <w:jc w:val="center"/>
        </w:trPr>
        <w:tc>
          <w:tcPr>
            <w:tcW w:w="2048" w:type="dxa"/>
            <w:vAlign w:val="center"/>
          </w:tcPr>
          <w:p w14:paraId="5236852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937" w:type="dxa"/>
            <w:vAlign w:val="center"/>
          </w:tcPr>
          <w:p w14:paraId="109FEE96"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gridSpan w:val="2"/>
            <w:vAlign w:val="center"/>
          </w:tcPr>
          <w:p w14:paraId="62909EC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gridSpan w:val="2"/>
            <w:vAlign w:val="center"/>
          </w:tcPr>
          <w:p w14:paraId="6128DBB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7780D82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BE9CAE0" w14:textId="77777777">
        <w:trPr>
          <w:cantSplit/>
          <w:trHeight w:val="397"/>
          <w:jc w:val="center"/>
        </w:trPr>
        <w:tc>
          <w:tcPr>
            <w:tcW w:w="2048" w:type="dxa"/>
            <w:vAlign w:val="center"/>
          </w:tcPr>
          <w:p w14:paraId="3C08E7C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937" w:type="dxa"/>
            <w:vAlign w:val="center"/>
          </w:tcPr>
          <w:p w14:paraId="3CB0B8ED"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8" w:type="dxa"/>
            <w:gridSpan w:val="2"/>
            <w:vAlign w:val="center"/>
          </w:tcPr>
          <w:p w14:paraId="62B32AB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7" w:type="dxa"/>
            <w:gridSpan w:val="2"/>
            <w:vAlign w:val="center"/>
          </w:tcPr>
          <w:p w14:paraId="0E79DD4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211" w:type="dxa"/>
            <w:vAlign w:val="center"/>
          </w:tcPr>
          <w:p w14:paraId="742A0AB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AF8E15E" w14:textId="77777777">
        <w:trPr>
          <w:cantSplit/>
          <w:trHeight w:val="397"/>
          <w:jc w:val="center"/>
        </w:trPr>
        <w:tc>
          <w:tcPr>
            <w:tcW w:w="2048" w:type="dxa"/>
            <w:vAlign w:val="center"/>
          </w:tcPr>
          <w:p w14:paraId="2318B67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937" w:type="dxa"/>
            <w:vAlign w:val="center"/>
          </w:tcPr>
          <w:p w14:paraId="061BAFF9"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gridSpan w:val="2"/>
            <w:vAlign w:val="center"/>
          </w:tcPr>
          <w:p w14:paraId="6F3A894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gridSpan w:val="2"/>
            <w:vAlign w:val="center"/>
          </w:tcPr>
          <w:p w14:paraId="33B1F80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4D85396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F999C77" w14:textId="77777777">
        <w:trPr>
          <w:cantSplit/>
          <w:trHeight w:val="397"/>
          <w:jc w:val="center"/>
        </w:trPr>
        <w:tc>
          <w:tcPr>
            <w:tcW w:w="2048" w:type="dxa"/>
            <w:vAlign w:val="center"/>
          </w:tcPr>
          <w:p w14:paraId="08EA93A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937" w:type="dxa"/>
            <w:vAlign w:val="center"/>
          </w:tcPr>
          <w:p w14:paraId="2A2FA34C"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gridSpan w:val="2"/>
            <w:vAlign w:val="center"/>
          </w:tcPr>
          <w:p w14:paraId="0098597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gridSpan w:val="2"/>
            <w:vAlign w:val="center"/>
          </w:tcPr>
          <w:p w14:paraId="6FAD600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6948F98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85D45A0" w14:textId="77777777">
        <w:trPr>
          <w:cantSplit/>
          <w:trHeight w:val="397"/>
          <w:jc w:val="center"/>
        </w:trPr>
        <w:tc>
          <w:tcPr>
            <w:tcW w:w="2048" w:type="dxa"/>
            <w:vAlign w:val="center"/>
          </w:tcPr>
          <w:p w14:paraId="331454B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937" w:type="dxa"/>
            <w:vAlign w:val="center"/>
          </w:tcPr>
          <w:p w14:paraId="2E023E34"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gridSpan w:val="2"/>
            <w:vAlign w:val="center"/>
          </w:tcPr>
          <w:p w14:paraId="27192F4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gridSpan w:val="2"/>
            <w:vAlign w:val="center"/>
          </w:tcPr>
          <w:p w14:paraId="0C3871B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6C6F640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FD635E5" w14:textId="77777777">
        <w:trPr>
          <w:cantSplit/>
          <w:trHeight w:val="397"/>
          <w:jc w:val="center"/>
        </w:trPr>
        <w:tc>
          <w:tcPr>
            <w:tcW w:w="2048" w:type="dxa"/>
            <w:vAlign w:val="center"/>
          </w:tcPr>
          <w:p w14:paraId="7D44BFF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937" w:type="dxa"/>
            <w:vAlign w:val="center"/>
          </w:tcPr>
          <w:p w14:paraId="5184A94A"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2.7</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8" w:type="dxa"/>
            <w:gridSpan w:val="2"/>
            <w:vAlign w:val="center"/>
          </w:tcPr>
          <w:p w14:paraId="695F57D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3.1</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7" w:type="dxa"/>
            <w:gridSpan w:val="2"/>
            <w:vAlign w:val="center"/>
          </w:tcPr>
          <w:p w14:paraId="09B8E84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4.4</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211" w:type="dxa"/>
            <w:vAlign w:val="center"/>
          </w:tcPr>
          <w:p w14:paraId="15B3051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534E6552" w14:textId="77777777">
        <w:trPr>
          <w:cantSplit/>
          <w:trHeight w:val="397"/>
          <w:jc w:val="center"/>
        </w:trPr>
        <w:tc>
          <w:tcPr>
            <w:tcW w:w="2048" w:type="dxa"/>
            <w:vAlign w:val="center"/>
          </w:tcPr>
          <w:p w14:paraId="27DE4811"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937" w:type="dxa"/>
            <w:vAlign w:val="center"/>
          </w:tcPr>
          <w:p w14:paraId="157F7EA8"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sz w:val="21"/>
                <w:szCs w:val="21"/>
              </w:rPr>
              <w:t>12.3</w:t>
            </w:r>
          </w:p>
        </w:tc>
        <w:tc>
          <w:tcPr>
            <w:tcW w:w="1938" w:type="dxa"/>
            <w:gridSpan w:val="2"/>
            <w:vAlign w:val="center"/>
          </w:tcPr>
          <w:p w14:paraId="572ABBA3" w14:textId="77777777" w:rsidR="009D12AF" w:rsidRDefault="00000000">
            <w:pPr>
              <w:widowControl/>
              <w:spacing w:line="240" w:lineRule="auto"/>
              <w:ind w:firstLineChars="0" w:firstLine="0"/>
              <w:jc w:val="center"/>
              <w:rPr>
                <w:rFonts w:ascii="Times New Roman" w:hAnsi="Times New Roman" w:cs="Times New Roman"/>
              </w:rPr>
            </w:pPr>
            <w:r>
              <w:rPr>
                <w:rFonts w:ascii="Times New Roman" w:hAnsi="Times New Roman" w:cs="Times New Roman"/>
              </w:rPr>
              <w:t>12.2</w:t>
            </w:r>
          </w:p>
        </w:tc>
        <w:tc>
          <w:tcPr>
            <w:tcW w:w="1937" w:type="dxa"/>
            <w:gridSpan w:val="2"/>
            <w:vAlign w:val="center"/>
          </w:tcPr>
          <w:p w14:paraId="1D6D366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sz w:val="21"/>
                <w:szCs w:val="21"/>
              </w:rPr>
              <w:t>11.7</w:t>
            </w:r>
          </w:p>
        </w:tc>
        <w:tc>
          <w:tcPr>
            <w:tcW w:w="1211" w:type="dxa"/>
            <w:vAlign w:val="center"/>
          </w:tcPr>
          <w:p w14:paraId="01CDE81E"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0191CAE5" w14:textId="77777777" w:rsidR="009D12AF" w:rsidRDefault="00000000">
      <w:pPr>
        <w:ind w:firstLine="482"/>
        <w:jc w:val="center"/>
        <w:rPr>
          <w:b/>
          <w:bCs/>
        </w:rPr>
      </w:pPr>
      <w:r>
        <w:rPr>
          <w:rFonts w:hint="eastAsia"/>
          <w:b/>
          <w:bCs/>
        </w:rPr>
        <w:t>表</w:t>
      </w:r>
      <w:r>
        <w:rPr>
          <w:rFonts w:hint="eastAsia"/>
          <w:b/>
          <w:bCs/>
        </w:rPr>
        <w:t>4.3-10</w:t>
      </w:r>
      <w:r>
        <w:rPr>
          <w:rFonts w:hint="eastAsia"/>
          <w:b/>
          <w:bCs/>
        </w:rPr>
        <w:t>（</w:t>
      </w:r>
      <w:r>
        <w:rPr>
          <w:rFonts w:hint="eastAsia"/>
          <w:b/>
          <w:bCs/>
        </w:rPr>
        <w:t>5</w:t>
      </w:r>
      <w:r>
        <w:rPr>
          <w:rFonts w:hint="eastAsia"/>
          <w:b/>
          <w:bCs/>
        </w:rPr>
        <w:t>）</w:t>
      </w:r>
      <w:r>
        <w:rPr>
          <w:rFonts w:hint="eastAsia"/>
          <w:b/>
          <w:bCs/>
        </w:rPr>
        <w:t xml:space="preserve">  </w:t>
      </w:r>
      <w:r>
        <w:rPr>
          <w:rFonts w:hint="eastAsia"/>
          <w:b/>
          <w:bCs/>
        </w:rPr>
        <w:t>群力水库地表水环境监测结果</w:t>
      </w:r>
    </w:p>
    <w:tbl>
      <w:tblPr>
        <w:tblW w:w="907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048"/>
        <w:gridCol w:w="1937"/>
        <w:gridCol w:w="1937"/>
        <w:gridCol w:w="1938"/>
        <w:gridCol w:w="1211"/>
      </w:tblGrid>
      <w:tr w:rsidR="009D12AF" w14:paraId="5E2D3330" w14:textId="77777777">
        <w:trPr>
          <w:cantSplit/>
          <w:trHeight w:val="397"/>
          <w:jc w:val="center"/>
        </w:trPr>
        <w:tc>
          <w:tcPr>
            <w:tcW w:w="2048" w:type="dxa"/>
            <w:vAlign w:val="center"/>
          </w:tcPr>
          <w:p w14:paraId="51215DFA"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937" w:type="dxa"/>
            <w:tcBorders>
              <w:bottom w:val="single" w:sz="8" w:space="0" w:color="auto"/>
            </w:tcBorders>
            <w:vAlign w:val="center"/>
          </w:tcPr>
          <w:p w14:paraId="081F0ECD"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rPr>
              <w:t>2025.10.07</w:t>
            </w:r>
          </w:p>
        </w:tc>
        <w:tc>
          <w:tcPr>
            <w:tcW w:w="1937" w:type="dxa"/>
            <w:tcBorders>
              <w:bottom w:val="single" w:sz="8" w:space="0" w:color="auto"/>
            </w:tcBorders>
            <w:vAlign w:val="center"/>
          </w:tcPr>
          <w:p w14:paraId="2A877849"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938" w:type="dxa"/>
            <w:tcBorders>
              <w:bottom w:val="single" w:sz="8" w:space="0" w:color="auto"/>
            </w:tcBorders>
            <w:vAlign w:val="center"/>
          </w:tcPr>
          <w:p w14:paraId="2A1E49A2"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1211" w:type="dxa"/>
            <w:tcBorders>
              <w:bottom w:val="single" w:sz="8" w:space="0" w:color="auto"/>
            </w:tcBorders>
            <w:vAlign w:val="center"/>
          </w:tcPr>
          <w:p w14:paraId="66FB9FC5"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hint="eastAsia"/>
                <w:b/>
                <w:bCs/>
                <w:color w:val="000000"/>
                <w:kern w:val="0"/>
                <w:szCs w:val="21"/>
              </w:rPr>
              <w:t>/</w:t>
            </w:r>
          </w:p>
        </w:tc>
      </w:tr>
      <w:tr w:rsidR="009D12AF" w14:paraId="39C1B043" w14:textId="77777777">
        <w:trPr>
          <w:cantSplit/>
          <w:trHeight w:val="397"/>
          <w:jc w:val="center"/>
        </w:trPr>
        <w:tc>
          <w:tcPr>
            <w:tcW w:w="2048" w:type="dxa"/>
            <w:tcBorders>
              <w:bottom w:val="single" w:sz="8" w:space="0" w:color="auto"/>
            </w:tcBorders>
            <w:vAlign w:val="center"/>
          </w:tcPr>
          <w:p w14:paraId="0711A47D"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5812" w:type="dxa"/>
            <w:gridSpan w:val="3"/>
            <w:tcBorders>
              <w:top w:val="single" w:sz="8" w:space="0" w:color="auto"/>
              <w:bottom w:val="single" w:sz="8" w:space="0" w:color="auto"/>
            </w:tcBorders>
            <w:vAlign w:val="center"/>
          </w:tcPr>
          <w:p w14:paraId="4AE0000A"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b/>
                <w:bCs/>
              </w:rPr>
              <w:t>群力水库下游</w:t>
            </w:r>
            <w:r>
              <w:rPr>
                <w:rFonts w:ascii="Times New Roman" w:hAnsi="Times New Roman" w:cs="Times New Roman"/>
                <w:b/>
                <w:bCs/>
              </w:rPr>
              <w:t>500m 3#</w:t>
            </w:r>
            <w:r>
              <w:rPr>
                <w:rFonts w:ascii="Times New Roman" w:hAnsi="Times New Roman" w:cs="Times New Roman" w:hint="eastAsia"/>
                <w:b/>
                <w:bCs/>
              </w:rPr>
              <w:t>（水面下</w:t>
            </w:r>
            <w:r>
              <w:rPr>
                <w:rFonts w:ascii="Times New Roman" w:hAnsi="Times New Roman" w:cs="Times New Roman" w:hint="eastAsia"/>
                <w:b/>
                <w:bCs/>
              </w:rPr>
              <w:t>0.5m</w:t>
            </w:r>
            <w:r>
              <w:rPr>
                <w:rFonts w:ascii="Times New Roman" w:hAnsi="Times New Roman" w:cs="Times New Roman" w:hint="eastAsia"/>
                <w:b/>
                <w:bCs/>
              </w:rPr>
              <w:t>）</w:t>
            </w:r>
          </w:p>
        </w:tc>
        <w:tc>
          <w:tcPr>
            <w:tcW w:w="1211" w:type="dxa"/>
            <w:tcBorders>
              <w:top w:val="single" w:sz="8" w:space="0" w:color="auto"/>
              <w:bottom w:val="single" w:sz="8" w:space="0" w:color="auto"/>
            </w:tcBorders>
            <w:vAlign w:val="center"/>
          </w:tcPr>
          <w:p w14:paraId="0E6E550E"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color w:val="000000"/>
                <w:kern w:val="0"/>
                <w:szCs w:val="21"/>
              </w:rPr>
              <w:t>/</w:t>
            </w:r>
          </w:p>
        </w:tc>
      </w:tr>
      <w:tr w:rsidR="009D12AF" w14:paraId="1CE63A8C" w14:textId="77777777">
        <w:trPr>
          <w:cantSplit/>
          <w:trHeight w:val="397"/>
          <w:jc w:val="center"/>
        </w:trPr>
        <w:tc>
          <w:tcPr>
            <w:tcW w:w="2048" w:type="dxa"/>
            <w:vAlign w:val="center"/>
          </w:tcPr>
          <w:p w14:paraId="5693BA54"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color w:val="000000"/>
                <w:kern w:val="0"/>
                <w:szCs w:val="21"/>
              </w:rPr>
              <w:t>检测项目</w:t>
            </w:r>
          </w:p>
        </w:tc>
        <w:tc>
          <w:tcPr>
            <w:tcW w:w="5812" w:type="dxa"/>
            <w:gridSpan w:val="3"/>
            <w:tcBorders>
              <w:top w:val="single" w:sz="8" w:space="0" w:color="auto"/>
              <w:bottom w:val="single" w:sz="8" w:space="0" w:color="auto"/>
            </w:tcBorders>
            <w:vAlign w:val="center"/>
          </w:tcPr>
          <w:p w14:paraId="7C6006FF"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hint="eastAsia"/>
                <w:b/>
                <w:bCs/>
                <w:color w:val="000000"/>
                <w:kern w:val="0"/>
                <w:szCs w:val="21"/>
              </w:rPr>
              <w:t>检测结果</w:t>
            </w:r>
          </w:p>
        </w:tc>
        <w:tc>
          <w:tcPr>
            <w:tcW w:w="1211" w:type="dxa"/>
            <w:tcBorders>
              <w:top w:val="single" w:sz="8" w:space="0" w:color="auto"/>
              <w:bottom w:val="single" w:sz="8" w:space="0" w:color="auto"/>
            </w:tcBorders>
            <w:vAlign w:val="center"/>
          </w:tcPr>
          <w:p w14:paraId="0AF966B7"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hint="eastAsia"/>
                <w:b/>
                <w:bCs/>
                <w:color w:val="000000"/>
                <w:kern w:val="0"/>
                <w:szCs w:val="21"/>
              </w:rPr>
              <w:t>单位</w:t>
            </w:r>
          </w:p>
        </w:tc>
      </w:tr>
      <w:tr w:rsidR="009D12AF" w14:paraId="658BAF1E" w14:textId="77777777">
        <w:trPr>
          <w:cantSplit/>
          <w:trHeight w:val="397"/>
          <w:jc w:val="center"/>
        </w:trPr>
        <w:tc>
          <w:tcPr>
            <w:tcW w:w="2048" w:type="dxa"/>
            <w:vAlign w:val="center"/>
          </w:tcPr>
          <w:p w14:paraId="4760CBF3"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937" w:type="dxa"/>
            <w:tcBorders>
              <w:top w:val="single" w:sz="8" w:space="0" w:color="auto"/>
              <w:bottom w:val="single" w:sz="8" w:space="0" w:color="auto"/>
            </w:tcBorders>
            <w:vAlign w:val="center"/>
          </w:tcPr>
          <w:p w14:paraId="677D00DE" w14:textId="77777777" w:rsidR="009D12AF" w:rsidRDefault="00000000">
            <w:pPr>
              <w:widowControl/>
              <w:ind w:firstLineChars="0" w:firstLine="0"/>
              <w:jc w:val="center"/>
              <w:textAlignment w:val="center"/>
              <w:rPr>
                <w:rFonts w:ascii="Times New Roman" w:hAnsi="Times New Roman" w:cs="Times New Roman"/>
                <w:sz w:val="21"/>
                <w:szCs w:val="21"/>
              </w:rPr>
            </w:pPr>
            <w:r>
              <w:rPr>
                <w:rFonts w:ascii="Times New Roman" w:hAnsi="Times New Roman" w:cs="Times New Roman" w:hint="eastAsia"/>
                <w:kern w:val="0"/>
                <w:sz w:val="21"/>
                <w:szCs w:val="21"/>
                <w:lang w:bidi="ar"/>
              </w:rPr>
              <w:t>250940DB1201D1</w:t>
            </w:r>
          </w:p>
        </w:tc>
        <w:tc>
          <w:tcPr>
            <w:tcW w:w="1937" w:type="dxa"/>
            <w:tcBorders>
              <w:top w:val="single" w:sz="8" w:space="0" w:color="auto"/>
              <w:bottom w:val="single" w:sz="8" w:space="0" w:color="auto"/>
            </w:tcBorders>
            <w:vAlign w:val="center"/>
          </w:tcPr>
          <w:p w14:paraId="41972B73" w14:textId="77777777" w:rsidR="009D12AF" w:rsidRDefault="00000000">
            <w:pPr>
              <w:widowControl/>
              <w:spacing w:line="240" w:lineRule="exact"/>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250940DB1201D2</w:t>
            </w:r>
          </w:p>
        </w:tc>
        <w:tc>
          <w:tcPr>
            <w:tcW w:w="1938" w:type="dxa"/>
            <w:tcBorders>
              <w:top w:val="single" w:sz="8" w:space="0" w:color="auto"/>
              <w:bottom w:val="single" w:sz="8" w:space="0" w:color="auto"/>
            </w:tcBorders>
            <w:vAlign w:val="center"/>
          </w:tcPr>
          <w:p w14:paraId="5F6ABCB5" w14:textId="77777777" w:rsidR="009D12AF" w:rsidRDefault="00000000">
            <w:pPr>
              <w:widowControl/>
              <w:spacing w:line="240" w:lineRule="exact"/>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250940DB1201D3</w:t>
            </w:r>
          </w:p>
        </w:tc>
        <w:tc>
          <w:tcPr>
            <w:tcW w:w="1211" w:type="dxa"/>
            <w:tcBorders>
              <w:top w:val="single" w:sz="8" w:space="0" w:color="auto"/>
              <w:bottom w:val="single" w:sz="8" w:space="0" w:color="auto"/>
            </w:tcBorders>
            <w:vAlign w:val="center"/>
          </w:tcPr>
          <w:p w14:paraId="1CD6551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093A519D" w14:textId="77777777">
        <w:trPr>
          <w:cantSplit/>
          <w:trHeight w:val="397"/>
          <w:jc w:val="center"/>
        </w:trPr>
        <w:tc>
          <w:tcPr>
            <w:tcW w:w="2048" w:type="dxa"/>
            <w:vAlign w:val="center"/>
          </w:tcPr>
          <w:p w14:paraId="3ACA0896"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937" w:type="dxa"/>
            <w:tcBorders>
              <w:top w:val="single" w:sz="8" w:space="0" w:color="auto"/>
              <w:bottom w:val="single" w:sz="8" w:space="0" w:color="auto"/>
            </w:tcBorders>
            <w:vAlign w:val="center"/>
          </w:tcPr>
          <w:p w14:paraId="73B8318A"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7.6</w:t>
            </w:r>
          </w:p>
        </w:tc>
        <w:tc>
          <w:tcPr>
            <w:tcW w:w="1937" w:type="dxa"/>
            <w:tcBorders>
              <w:top w:val="single" w:sz="8" w:space="0" w:color="auto"/>
              <w:bottom w:val="single" w:sz="8" w:space="0" w:color="auto"/>
            </w:tcBorders>
            <w:vAlign w:val="center"/>
          </w:tcPr>
          <w:p w14:paraId="7C516D2C"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7.7</w:t>
            </w:r>
          </w:p>
        </w:tc>
        <w:tc>
          <w:tcPr>
            <w:tcW w:w="1938" w:type="dxa"/>
            <w:tcBorders>
              <w:top w:val="single" w:sz="8" w:space="0" w:color="auto"/>
              <w:bottom w:val="single" w:sz="8" w:space="0" w:color="auto"/>
            </w:tcBorders>
            <w:vAlign w:val="center"/>
          </w:tcPr>
          <w:p w14:paraId="5AD61C81"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7.7</w:t>
            </w:r>
          </w:p>
        </w:tc>
        <w:tc>
          <w:tcPr>
            <w:tcW w:w="1211" w:type="dxa"/>
            <w:tcBorders>
              <w:top w:val="single" w:sz="8" w:space="0" w:color="auto"/>
              <w:bottom w:val="single" w:sz="8" w:space="0" w:color="auto"/>
            </w:tcBorders>
            <w:vAlign w:val="center"/>
          </w:tcPr>
          <w:p w14:paraId="631073E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38D82069" w14:textId="77777777">
        <w:trPr>
          <w:cantSplit/>
          <w:trHeight w:val="397"/>
          <w:jc w:val="center"/>
        </w:trPr>
        <w:tc>
          <w:tcPr>
            <w:tcW w:w="2048" w:type="dxa"/>
            <w:vAlign w:val="center"/>
          </w:tcPr>
          <w:p w14:paraId="1D59A37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937" w:type="dxa"/>
            <w:vAlign w:val="center"/>
          </w:tcPr>
          <w:p w14:paraId="12E0E540"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3.7</w:t>
            </w:r>
          </w:p>
        </w:tc>
        <w:tc>
          <w:tcPr>
            <w:tcW w:w="1937" w:type="dxa"/>
            <w:vAlign w:val="center"/>
          </w:tcPr>
          <w:p w14:paraId="58C773A2"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4.4</w:t>
            </w:r>
          </w:p>
        </w:tc>
        <w:tc>
          <w:tcPr>
            <w:tcW w:w="1938" w:type="dxa"/>
            <w:vAlign w:val="center"/>
          </w:tcPr>
          <w:p w14:paraId="76ABEE35"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4.3</w:t>
            </w:r>
          </w:p>
        </w:tc>
        <w:tc>
          <w:tcPr>
            <w:tcW w:w="1211" w:type="dxa"/>
            <w:vAlign w:val="center"/>
          </w:tcPr>
          <w:p w14:paraId="3CDE57B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9D4C24F" w14:textId="77777777">
        <w:trPr>
          <w:cantSplit/>
          <w:trHeight w:val="397"/>
          <w:jc w:val="center"/>
        </w:trPr>
        <w:tc>
          <w:tcPr>
            <w:tcW w:w="2048" w:type="dxa"/>
            <w:vAlign w:val="center"/>
          </w:tcPr>
          <w:p w14:paraId="56602B9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937" w:type="dxa"/>
            <w:vAlign w:val="center"/>
          </w:tcPr>
          <w:p w14:paraId="42744832"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9.4</w:t>
            </w:r>
          </w:p>
        </w:tc>
        <w:tc>
          <w:tcPr>
            <w:tcW w:w="1937" w:type="dxa"/>
            <w:vAlign w:val="center"/>
          </w:tcPr>
          <w:p w14:paraId="02027CEF"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9.6</w:t>
            </w:r>
          </w:p>
        </w:tc>
        <w:tc>
          <w:tcPr>
            <w:tcW w:w="1938" w:type="dxa"/>
            <w:vAlign w:val="center"/>
          </w:tcPr>
          <w:p w14:paraId="347F9D57"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9.8</w:t>
            </w:r>
          </w:p>
        </w:tc>
        <w:tc>
          <w:tcPr>
            <w:tcW w:w="1211" w:type="dxa"/>
            <w:vAlign w:val="center"/>
          </w:tcPr>
          <w:p w14:paraId="1EC3D52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91A66DB" w14:textId="77777777">
        <w:trPr>
          <w:cantSplit/>
          <w:trHeight w:val="397"/>
          <w:jc w:val="center"/>
        </w:trPr>
        <w:tc>
          <w:tcPr>
            <w:tcW w:w="2048" w:type="dxa"/>
            <w:vAlign w:val="center"/>
          </w:tcPr>
          <w:p w14:paraId="522F30A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937" w:type="dxa"/>
            <w:vAlign w:val="center"/>
          </w:tcPr>
          <w:p w14:paraId="776B7732"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15</w:t>
            </w:r>
          </w:p>
        </w:tc>
        <w:tc>
          <w:tcPr>
            <w:tcW w:w="1937" w:type="dxa"/>
            <w:vAlign w:val="center"/>
          </w:tcPr>
          <w:p w14:paraId="70C8C042"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18</w:t>
            </w:r>
          </w:p>
        </w:tc>
        <w:tc>
          <w:tcPr>
            <w:tcW w:w="1938" w:type="dxa"/>
            <w:vAlign w:val="center"/>
          </w:tcPr>
          <w:p w14:paraId="608490FF"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17</w:t>
            </w:r>
          </w:p>
        </w:tc>
        <w:tc>
          <w:tcPr>
            <w:tcW w:w="1211" w:type="dxa"/>
            <w:vAlign w:val="center"/>
          </w:tcPr>
          <w:p w14:paraId="58BB6B9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024B609" w14:textId="77777777">
        <w:trPr>
          <w:cantSplit/>
          <w:trHeight w:val="397"/>
          <w:jc w:val="center"/>
        </w:trPr>
        <w:tc>
          <w:tcPr>
            <w:tcW w:w="2048" w:type="dxa"/>
            <w:vAlign w:val="center"/>
          </w:tcPr>
          <w:p w14:paraId="74E8967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937" w:type="dxa"/>
            <w:vAlign w:val="center"/>
          </w:tcPr>
          <w:p w14:paraId="19E1CBFF"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4.7</w:t>
            </w:r>
          </w:p>
        </w:tc>
        <w:tc>
          <w:tcPr>
            <w:tcW w:w="1937" w:type="dxa"/>
            <w:vAlign w:val="center"/>
          </w:tcPr>
          <w:p w14:paraId="065BAAEA"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6.5</w:t>
            </w:r>
          </w:p>
        </w:tc>
        <w:tc>
          <w:tcPr>
            <w:tcW w:w="1938" w:type="dxa"/>
            <w:vAlign w:val="center"/>
          </w:tcPr>
          <w:p w14:paraId="05B88C1B"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5.7</w:t>
            </w:r>
          </w:p>
        </w:tc>
        <w:tc>
          <w:tcPr>
            <w:tcW w:w="1211" w:type="dxa"/>
            <w:vAlign w:val="center"/>
          </w:tcPr>
          <w:p w14:paraId="13E3AB0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0E34B3F" w14:textId="77777777">
        <w:trPr>
          <w:cantSplit/>
          <w:trHeight w:val="397"/>
          <w:jc w:val="center"/>
        </w:trPr>
        <w:tc>
          <w:tcPr>
            <w:tcW w:w="2048" w:type="dxa"/>
            <w:vAlign w:val="center"/>
          </w:tcPr>
          <w:p w14:paraId="3B683B3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937" w:type="dxa"/>
            <w:vAlign w:val="center"/>
          </w:tcPr>
          <w:p w14:paraId="28B5169C"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0.540</w:t>
            </w:r>
          </w:p>
        </w:tc>
        <w:tc>
          <w:tcPr>
            <w:tcW w:w="1937" w:type="dxa"/>
            <w:vAlign w:val="center"/>
          </w:tcPr>
          <w:p w14:paraId="46311FC9"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0.571</w:t>
            </w:r>
          </w:p>
        </w:tc>
        <w:tc>
          <w:tcPr>
            <w:tcW w:w="1938" w:type="dxa"/>
            <w:vAlign w:val="center"/>
          </w:tcPr>
          <w:p w14:paraId="659D35F0"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0.526</w:t>
            </w:r>
          </w:p>
        </w:tc>
        <w:tc>
          <w:tcPr>
            <w:tcW w:w="1211" w:type="dxa"/>
            <w:vAlign w:val="center"/>
          </w:tcPr>
          <w:p w14:paraId="5B2B22C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F401FC1" w14:textId="77777777">
        <w:trPr>
          <w:cantSplit/>
          <w:trHeight w:val="397"/>
          <w:jc w:val="center"/>
        </w:trPr>
        <w:tc>
          <w:tcPr>
            <w:tcW w:w="2048" w:type="dxa"/>
            <w:vAlign w:val="center"/>
          </w:tcPr>
          <w:p w14:paraId="4ACA86E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937" w:type="dxa"/>
            <w:vAlign w:val="center"/>
          </w:tcPr>
          <w:p w14:paraId="56A53B28"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w:t>
            </w:r>
          </w:p>
        </w:tc>
        <w:tc>
          <w:tcPr>
            <w:tcW w:w="1937" w:type="dxa"/>
            <w:vAlign w:val="center"/>
          </w:tcPr>
          <w:p w14:paraId="1BDB4A12" w14:textId="77777777" w:rsidR="009D12AF" w:rsidRDefault="00000000">
            <w:pPr>
              <w:widowControl/>
              <w:spacing w:line="240" w:lineRule="auto"/>
              <w:ind w:firstLineChars="0" w:firstLine="0"/>
              <w:jc w:val="center"/>
            </w:pPr>
            <w:r>
              <w:rPr>
                <w:rFonts w:ascii="Times New Roman" w:hAnsi="Times New Roman" w:cs="Times New Roman" w:hint="eastAsia"/>
                <w:sz w:val="21"/>
                <w:szCs w:val="21"/>
              </w:rPr>
              <w:t>0.05=6</w:t>
            </w:r>
          </w:p>
        </w:tc>
        <w:tc>
          <w:tcPr>
            <w:tcW w:w="1938" w:type="dxa"/>
            <w:vAlign w:val="center"/>
          </w:tcPr>
          <w:p w14:paraId="46B55487"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0.07</w:t>
            </w:r>
          </w:p>
        </w:tc>
        <w:tc>
          <w:tcPr>
            <w:tcW w:w="1211" w:type="dxa"/>
            <w:vAlign w:val="center"/>
          </w:tcPr>
          <w:p w14:paraId="35789D8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7FC0254" w14:textId="77777777">
        <w:trPr>
          <w:cantSplit/>
          <w:trHeight w:val="397"/>
          <w:jc w:val="center"/>
        </w:trPr>
        <w:tc>
          <w:tcPr>
            <w:tcW w:w="2048" w:type="dxa"/>
            <w:vAlign w:val="center"/>
          </w:tcPr>
          <w:p w14:paraId="0A0F158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937" w:type="dxa"/>
            <w:vAlign w:val="center"/>
          </w:tcPr>
          <w:p w14:paraId="7FBA34A8"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1.92</w:t>
            </w:r>
          </w:p>
        </w:tc>
        <w:tc>
          <w:tcPr>
            <w:tcW w:w="1937" w:type="dxa"/>
            <w:vAlign w:val="center"/>
          </w:tcPr>
          <w:p w14:paraId="258315F5"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1.68</w:t>
            </w:r>
          </w:p>
        </w:tc>
        <w:tc>
          <w:tcPr>
            <w:tcW w:w="1938" w:type="dxa"/>
            <w:vAlign w:val="center"/>
          </w:tcPr>
          <w:p w14:paraId="30EE1479"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1.78</w:t>
            </w:r>
          </w:p>
        </w:tc>
        <w:tc>
          <w:tcPr>
            <w:tcW w:w="1211" w:type="dxa"/>
            <w:vAlign w:val="center"/>
          </w:tcPr>
          <w:p w14:paraId="38942FD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BC15C63" w14:textId="77777777">
        <w:trPr>
          <w:cantSplit/>
          <w:trHeight w:val="397"/>
          <w:jc w:val="center"/>
        </w:trPr>
        <w:tc>
          <w:tcPr>
            <w:tcW w:w="2048" w:type="dxa"/>
            <w:vAlign w:val="center"/>
          </w:tcPr>
          <w:p w14:paraId="09F2255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937" w:type="dxa"/>
            <w:vAlign w:val="center"/>
          </w:tcPr>
          <w:p w14:paraId="298F1F66"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72B446A5"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090729CC"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72DB225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852A82B" w14:textId="77777777">
        <w:trPr>
          <w:cantSplit/>
          <w:trHeight w:val="397"/>
          <w:jc w:val="center"/>
        </w:trPr>
        <w:tc>
          <w:tcPr>
            <w:tcW w:w="2048" w:type="dxa"/>
            <w:vAlign w:val="center"/>
          </w:tcPr>
          <w:p w14:paraId="24023AA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937" w:type="dxa"/>
            <w:vAlign w:val="center"/>
          </w:tcPr>
          <w:p w14:paraId="0491CA3B"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0.30</w:t>
            </w:r>
          </w:p>
        </w:tc>
        <w:tc>
          <w:tcPr>
            <w:tcW w:w="1937" w:type="dxa"/>
            <w:vAlign w:val="center"/>
          </w:tcPr>
          <w:p w14:paraId="6807E291"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0.22</w:t>
            </w:r>
          </w:p>
        </w:tc>
        <w:tc>
          <w:tcPr>
            <w:tcW w:w="1938" w:type="dxa"/>
            <w:vAlign w:val="center"/>
          </w:tcPr>
          <w:p w14:paraId="118BCA2B"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0.22</w:t>
            </w:r>
          </w:p>
        </w:tc>
        <w:tc>
          <w:tcPr>
            <w:tcW w:w="1211" w:type="dxa"/>
            <w:vAlign w:val="center"/>
          </w:tcPr>
          <w:p w14:paraId="3AD77FE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E8EF836" w14:textId="77777777">
        <w:trPr>
          <w:cantSplit/>
          <w:trHeight w:val="397"/>
          <w:jc w:val="center"/>
        </w:trPr>
        <w:tc>
          <w:tcPr>
            <w:tcW w:w="2048" w:type="dxa"/>
            <w:vAlign w:val="center"/>
          </w:tcPr>
          <w:p w14:paraId="160A5F0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937" w:type="dxa"/>
            <w:vAlign w:val="center"/>
          </w:tcPr>
          <w:p w14:paraId="26EB53B3"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0.45</w:t>
            </w:r>
          </w:p>
        </w:tc>
        <w:tc>
          <w:tcPr>
            <w:tcW w:w="1937" w:type="dxa"/>
            <w:vAlign w:val="center"/>
          </w:tcPr>
          <w:p w14:paraId="2CF6C58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0.51</w:t>
            </w:r>
          </w:p>
        </w:tc>
        <w:tc>
          <w:tcPr>
            <w:tcW w:w="1938" w:type="dxa"/>
            <w:vAlign w:val="center"/>
          </w:tcPr>
          <w:p w14:paraId="1205B606"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0.66</w:t>
            </w:r>
          </w:p>
        </w:tc>
        <w:tc>
          <w:tcPr>
            <w:tcW w:w="1211" w:type="dxa"/>
            <w:vAlign w:val="center"/>
          </w:tcPr>
          <w:p w14:paraId="0024CB1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A69E052" w14:textId="77777777">
        <w:trPr>
          <w:cantSplit/>
          <w:trHeight w:val="397"/>
          <w:jc w:val="center"/>
        </w:trPr>
        <w:tc>
          <w:tcPr>
            <w:tcW w:w="2048" w:type="dxa"/>
            <w:vAlign w:val="center"/>
          </w:tcPr>
          <w:p w14:paraId="6DD4E97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硒</w:t>
            </w:r>
          </w:p>
        </w:tc>
        <w:tc>
          <w:tcPr>
            <w:tcW w:w="1937" w:type="dxa"/>
            <w:vAlign w:val="center"/>
          </w:tcPr>
          <w:p w14:paraId="1C0D44C9"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kern w:val="0"/>
                <w:sz w:val="21"/>
                <w:szCs w:val="21"/>
                <w:lang w:bidi="ar"/>
              </w:rPr>
              <w:t>0.001</w:t>
            </w:r>
          </w:p>
        </w:tc>
        <w:tc>
          <w:tcPr>
            <w:tcW w:w="1937" w:type="dxa"/>
            <w:vAlign w:val="center"/>
          </w:tcPr>
          <w:p w14:paraId="4414A2AB"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kern w:val="0"/>
                <w:sz w:val="21"/>
                <w:szCs w:val="21"/>
                <w:lang w:bidi="ar"/>
              </w:rPr>
              <w:t>0.001</w:t>
            </w:r>
          </w:p>
        </w:tc>
        <w:tc>
          <w:tcPr>
            <w:tcW w:w="1938" w:type="dxa"/>
            <w:vAlign w:val="center"/>
          </w:tcPr>
          <w:p w14:paraId="66B1572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kern w:val="0"/>
                <w:sz w:val="21"/>
                <w:szCs w:val="21"/>
                <w:lang w:bidi="ar"/>
              </w:rPr>
              <w:t>0.001</w:t>
            </w:r>
          </w:p>
        </w:tc>
        <w:tc>
          <w:tcPr>
            <w:tcW w:w="1211" w:type="dxa"/>
            <w:vAlign w:val="center"/>
          </w:tcPr>
          <w:p w14:paraId="3C6A707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2CF2556" w14:textId="77777777">
        <w:trPr>
          <w:cantSplit/>
          <w:trHeight w:val="397"/>
          <w:jc w:val="center"/>
        </w:trPr>
        <w:tc>
          <w:tcPr>
            <w:tcW w:w="2048" w:type="dxa"/>
            <w:vAlign w:val="center"/>
          </w:tcPr>
          <w:p w14:paraId="2ACF882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砷</w:t>
            </w:r>
          </w:p>
        </w:tc>
        <w:tc>
          <w:tcPr>
            <w:tcW w:w="1937" w:type="dxa"/>
            <w:vAlign w:val="center"/>
          </w:tcPr>
          <w:p w14:paraId="76A6016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937" w:type="dxa"/>
            <w:vAlign w:val="center"/>
          </w:tcPr>
          <w:p w14:paraId="599094B9"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kern w:val="0"/>
                <w:sz w:val="21"/>
                <w:szCs w:val="21"/>
                <w:lang w:bidi="ar"/>
              </w:rPr>
              <w:t>0.0003L</w:t>
            </w:r>
          </w:p>
        </w:tc>
        <w:tc>
          <w:tcPr>
            <w:tcW w:w="1938" w:type="dxa"/>
            <w:vAlign w:val="center"/>
          </w:tcPr>
          <w:p w14:paraId="1AA661FD"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kern w:val="0"/>
                <w:sz w:val="21"/>
                <w:szCs w:val="21"/>
                <w:lang w:bidi="ar"/>
              </w:rPr>
              <w:t>0.0003L</w:t>
            </w:r>
          </w:p>
        </w:tc>
        <w:tc>
          <w:tcPr>
            <w:tcW w:w="1211" w:type="dxa"/>
            <w:vAlign w:val="center"/>
          </w:tcPr>
          <w:p w14:paraId="7C09E62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53F94D7" w14:textId="77777777">
        <w:trPr>
          <w:cantSplit/>
          <w:trHeight w:val="397"/>
          <w:jc w:val="center"/>
        </w:trPr>
        <w:tc>
          <w:tcPr>
            <w:tcW w:w="2048" w:type="dxa"/>
            <w:vAlign w:val="center"/>
          </w:tcPr>
          <w:p w14:paraId="7FD80C8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总</w:t>
            </w:r>
            <w:r>
              <w:rPr>
                <w:rFonts w:ascii="Times New Roman" w:eastAsia="宋体" w:hAnsi="Times New Roman" w:cs="Times New Roman"/>
                <w:sz w:val="21"/>
                <w:lang w:bidi="ar"/>
              </w:rPr>
              <w:t>汞</w:t>
            </w:r>
          </w:p>
        </w:tc>
        <w:tc>
          <w:tcPr>
            <w:tcW w:w="1937" w:type="dxa"/>
            <w:vAlign w:val="center"/>
          </w:tcPr>
          <w:p w14:paraId="1E64E73E"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7" w:type="dxa"/>
            <w:vAlign w:val="center"/>
          </w:tcPr>
          <w:p w14:paraId="2007ED7F"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0.00002L</w:t>
            </w:r>
          </w:p>
        </w:tc>
        <w:tc>
          <w:tcPr>
            <w:tcW w:w="1938" w:type="dxa"/>
            <w:vAlign w:val="center"/>
          </w:tcPr>
          <w:p w14:paraId="6B2EEEE9"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highlight w:val="yellow"/>
              </w:rPr>
            </w:pPr>
            <w:r>
              <w:rPr>
                <w:rFonts w:ascii="Times New Roman" w:hAnsi="Times New Roman" w:cs="Times New Roman" w:hint="eastAsia"/>
                <w:sz w:val="21"/>
                <w:szCs w:val="21"/>
              </w:rPr>
              <w:t>0.00002L</w:t>
            </w:r>
          </w:p>
        </w:tc>
        <w:tc>
          <w:tcPr>
            <w:tcW w:w="1211" w:type="dxa"/>
            <w:vAlign w:val="center"/>
          </w:tcPr>
          <w:p w14:paraId="02904F5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36EE402" w14:textId="77777777">
        <w:trPr>
          <w:cantSplit/>
          <w:trHeight w:val="397"/>
          <w:jc w:val="center"/>
        </w:trPr>
        <w:tc>
          <w:tcPr>
            <w:tcW w:w="2048" w:type="dxa"/>
            <w:vAlign w:val="center"/>
          </w:tcPr>
          <w:p w14:paraId="233DE1B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镉</w:t>
            </w:r>
          </w:p>
        </w:tc>
        <w:tc>
          <w:tcPr>
            <w:tcW w:w="1937" w:type="dxa"/>
            <w:vAlign w:val="center"/>
          </w:tcPr>
          <w:p w14:paraId="1808D95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7" w:type="dxa"/>
            <w:vAlign w:val="center"/>
          </w:tcPr>
          <w:p w14:paraId="26877AE3"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0.0001L</w:t>
            </w:r>
          </w:p>
        </w:tc>
        <w:tc>
          <w:tcPr>
            <w:tcW w:w="1938" w:type="dxa"/>
            <w:vAlign w:val="center"/>
          </w:tcPr>
          <w:p w14:paraId="36820F7C"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highlight w:val="yellow"/>
              </w:rPr>
            </w:pPr>
            <w:r>
              <w:rPr>
                <w:rFonts w:ascii="Times New Roman" w:hAnsi="Times New Roman" w:cs="Times New Roman" w:hint="eastAsia"/>
                <w:sz w:val="21"/>
                <w:szCs w:val="21"/>
              </w:rPr>
              <w:t>0.0001L</w:t>
            </w:r>
          </w:p>
        </w:tc>
        <w:tc>
          <w:tcPr>
            <w:tcW w:w="1211" w:type="dxa"/>
            <w:vAlign w:val="center"/>
          </w:tcPr>
          <w:p w14:paraId="3698EAA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0261A4F" w14:textId="77777777">
        <w:trPr>
          <w:cantSplit/>
          <w:trHeight w:val="397"/>
          <w:jc w:val="center"/>
        </w:trPr>
        <w:tc>
          <w:tcPr>
            <w:tcW w:w="2048" w:type="dxa"/>
            <w:vAlign w:val="center"/>
          </w:tcPr>
          <w:p w14:paraId="702DE44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lastRenderedPageBreak/>
              <w:t>六价铬</w:t>
            </w:r>
          </w:p>
        </w:tc>
        <w:tc>
          <w:tcPr>
            <w:tcW w:w="1937" w:type="dxa"/>
            <w:vAlign w:val="center"/>
          </w:tcPr>
          <w:p w14:paraId="2B9CA4C2"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33697C45"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0.004L</w:t>
            </w:r>
          </w:p>
        </w:tc>
        <w:tc>
          <w:tcPr>
            <w:tcW w:w="1938" w:type="dxa"/>
            <w:vAlign w:val="center"/>
          </w:tcPr>
          <w:p w14:paraId="70D13C14"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0.004L</w:t>
            </w:r>
          </w:p>
        </w:tc>
        <w:tc>
          <w:tcPr>
            <w:tcW w:w="1211" w:type="dxa"/>
            <w:vAlign w:val="center"/>
          </w:tcPr>
          <w:p w14:paraId="25FAC36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41102FD" w14:textId="77777777">
        <w:trPr>
          <w:cantSplit/>
          <w:trHeight w:val="397"/>
          <w:jc w:val="center"/>
        </w:trPr>
        <w:tc>
          <w:tcPr>
            <w:tcW w:w="2048" w:type="dxa"/>
            <w:vAlign w:val="center"/>
          </w:tcPr>
          <w:p w14:paraId="70CC19C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铅</w:t>
            </w:r>
          </w:p>
        </w:tc>
        <w:tc>
          <w:tcPr>
            <w:tcW w:w="1937" w:type="dxa"/>
            <w:vAlign w:val="center"/>
          </w:tcPr>
          <w:p w14:paraId="610588EF"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7" w:type="dxa"/>
            <w:vAlign w:val="center"/>
          </w:tcPr>
          <w:p w14:paraId="2C63281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8" w:type="dxa"/>
            <w:vAlign w:val="center"/>
          </w:tcPr>
          <w:p w14:paraId="7305F07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211" w:type="dxa"/>
            <w:vAlign w:val="center"/>
          </w:tcPr>
          <w:p w14:paraId="45E6031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F0491CE" w14:textId="77777777">
        <w:trPr>
          <w:cantSplit/>
          <w:trHeight w:val="397"/>
          <w:jc w:val="center"/>
        </w:trPr>
        <w:tc>
          <w:tcPr>
            <w:tcW w:w="2048" w:type="dxa"/>
            <w:vAlign w:val="center"/>
          </w:tcPr>
          <w:p w14:paraId="3BAC6CE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937" w:type="dxa"/>
            <w:vAlign w:val="center"/>
          </w:tcPr>
          <w:p w14:paraId="60DA3D85"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2F76F73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01F732B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0361EE6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CBEAADD" w14:textId="77777777">
        <w:trPr>
          <w:cantSplit/>
          <w:trHeight w:val="397"/>
          <w:jc w:val="center"/>
        </w:trPr>
        <w:tc>
          <w:tcPr>
            <w:tcW w:w="2048" w:type="dxa"/>
            <w:vAlign w:val="center"/>
          </w:tcPr>
          <w:p w14:paraId="4D5A843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937" w:type="dxa"/>
            <w:vAlign w:val="center"/>
          </w:tcPr>
          <w:p w14:paraId="248FDEBF"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7" w:type="dxa"/>
            <w:vAlign w:val="center"/>
          </w:tcPr>
          <w:p w14:paraId="3E60FCE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8" w:type="dxa"/>
            <w:vAlign w:val="center"/>
          </w:tcPr>
          <w:p w14:paraId="29D340F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211" w:type="dxa"/>
            <w:vAlign w:val="center"/>
          </w:tcPr>
          <w:p w14:paraId="2870717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A7809C7" w14:textId="77777777">
        <w:trPr>
          <w:cantSplit/>
          <w:trHeight w:val="397"/>
          <w:jc w:val="center"/>
        </w:trPr>
        <w:tc>
          <w:tcPr>
            <w:tcW w:w="2048" w:type="dxa"/>
            <w:vAlign w:val="center"/>
          </w:tcPr>
          <w:p w14:paraId="39ADD40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937" w:type="dxa"/>
            <w:vAlign w:val="center"/>
          </w:tcPr>
          <w:p w14:paraId="5CACC2A0"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6AB34E0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7BC5AE4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69BB88B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9D85B11" w14:textId="77777777">
        <w:trPr>
          <w:cantSplit/>
          <w:trHeight w:val="397"/>
          <w:jc w:val="center"/>
        </w:trPr>
        <w:tc>
          <w:tcPr>
            <w:tcW w:w="2048" w:type="dxa"/>
            <w:vAlign w:val="center"/>
          </w:tcPr>
          <w:p w14:paraId="4A1BED7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937" w:type="dxa"/>
            <w:vAlign w:val="center"/>
          </w:tcPr>
          <w:p w14:paraId="2C719D5D"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1DAEB5E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5286275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7F9FA05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0F985A0" w14:textId="77777777">
        <w:trPr>
          <w:cantSplit/>
          <w:trHeight w:val="397"/>
          <w:jc w:val="center"/>
        </w:trPr>
        <w:tc>
          <w:tcPr>
            <w:tcW w:w="2048" w:type="dxa"/>
            <w:vAlign w:val="center"/>
          </w:tcPr>
          <w:p w14:paraId="6C2A6D1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937" w:type="dxa"/>
            <w:vAlign w:val="center"/>
          </w:tcPr>
          <w:p w14:paraId="32A739D6"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5462889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631F6F2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47F945D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2069D4D" w14:textId="77777777">
        <w:trPr>
          <w:cantSplit/>
          <w:trHeight w:val="397"/>
          <w:jc w:val="center"/>
        </w:trPr>
        <w:tc>
          <w:tcPr>
            <w:tcW w:w="2048" w:type="dxa"/>
            <w:vAlign w:val="center"/>
          </w:tcPr>
          <w:p w14:paraId="3F88254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937" w:type="dxa"/>
            <w:vAlign w:val="center"/>
          </w:tcPr>
          <w:p w14:paraId="650A68E2" w14:textId="77777777" w:rsidR="009D12AF" w:rsidRDefault="00000000">
            <w:pPr>
              <w:widowControl/>
              <w:ind w:firstLineChars="0" w:firstLine="0"/>
              <w:jc w:val="center"/>
              <w:textAlignment w:val="center"/>
              <w:rPr>
                <w:rFonts w:ascii="Times New Roman" w:hAnsi="Times New Roman" w:cs="Times New Roman"/>
                <w:sz w:val="21"/>
                <w:szCs w:val="21"/>
              </w:rPr>
            </w:pPr>
            <w:r>
              <w:rPr>
                <w:rFonts w:ascii="Times New Roman" w:hAnsi="Times New Roman" w:cs="Times New Roman" w:hint="eastAsia"/>
                <w:sz w:val="21"/>
                <w:szCs w:val="21"/>
              </w:rPr>
              <w:t>3.3</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7" w:type="dxa"/>
            <w:vAlign w:val="center"/>
          </w:tcPr>
          <w:p w14:paraId="5B66955E" w14:textId="77777777" w:rsidR="009D12AF" w:rsidRDefault="00000000">
            <w:pPr>
              <w:widowControl/>
              <w:spacing w:line="240" w:lineRule="exact"/>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3.1</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8" w:type="dxa"/>
            <w:vAlign w:val="center"/>
          </w:tcPr>
          <w:p w14:paraId="097D2D3D" w14:textId="77777777" w:rsidR="009D12AF" w:rsidRDefault="00000000">
            <w:pPr>
              <w:widowControl/>
              <w:spacing w:line="240" w:lineRule="exact"/>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3.8</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211" w:type="dxa"/>
            <w:vAlign w:val="center"/>
          </w:tcPr>
          <w:p w14:paraId="223D3AD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57CB5551" w14:textId="77777777">
        <w:trPr>
          <w:cantSplit/>
          <w:trHeight w:val="397"/>
          <w:jc w:val="center"/>
        </w:trPr>
        <w:tc>
          <w:tcPr>
            <w:tcW w:w="2048" w:type="dxa"/>
            <w:vAlign w:val="center"/>
          </w:tcPr>
          <w:p w14:paraId="72CD54FB"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937" w:type="dxa"/>
            <w:vAlign w:val="center"/>
          </w:tcPr>
          <w:p w14:paraId="4A42225C"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9.6</w:t>
            </w:r>
          </w:p>
        </w:tc>
        <w:tc>
          <w:tcPr>
            <w:tcW w:w="1937" w:type="dxa"/>
            <w:vAlign w:val="center"/>
          </w:tcPr>
          <w:p w14:paraId="662D02F4"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10.1</w:t>
            </w:r>
          </w:p>
        </w:tc>
        <w:tc>
          <w:tcPr>
            <w:tcW w:w="1938" w:type="dxa"/>
            <w:vAlign w:val="center"/>
          </w:tcPr>
          <w:p w14:paraId="67D73B2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9.2</w:t>
            </w:r>
          </w:p>
        </w:tc>
        <w:tc>
          <w:tcPr>
            <w:tcW w:w="1211" w:type="dxa"/>
            <w:vAlign w:val="center"/>
          </w:tcPr>
          <w:p w14:paraId="47064D2B"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2E94F771" w14:textId="77777777" w:rsidR="009D12AF" w:rsidRDefault="00000000">
      <w:pPr>
        <w:ind w:firstLine="482"/>
        <w:jc w:val="center"/>
        <w:rPr>
          <w:b/>
          <w:bCs/>
        </w:rPr>
      </w:pPr>
      <w:r>
        <w:rPr>
          <w:rFonts w:hint="eastAsia"/>
          <w:b/>
          <w:bCs/>
        </w:rPr>
        <w:t>表</w:t>
      </w:r>
      <w:r>
        <w:rPr>
          <w:rFonts w:hint="eastAsia"/>
          <w:b/>
          <w:bCs/>
        </w:rPr>
        <w:t>4.3-10</w:t>
      </w:r>
      <w:r>
        <w:rPr>
          <w:rFonts w:hint="eastAsia"/>
          <w:b/>
          <w:bCs/>
        </w:rPr>
        <w:t>（</w:t>
      </w:r>
      <w:r>
        <w:rPr>
          <w:rFonts w:hint="eastAsia"/>
          <w:b/>
          <w:bCs/>
        </w:rPr>
        <w:t>6</w:t>
      </w:r>
      <w:r>
        <w:rPr>
          <w:rFonts w:hint="eastAsia"/>
          <w:b/>
          <w:bCs/>
        </w:rPr>
        <w:t>）</w:t>
      </w:r>
      <w:r>
        <w:rPr>
          <w:rFonts w:hint="eastAsia"/>
          <w:b/>
          <w:bCs/>
        </w:rPr>
        <w:t xml:space="preserve">  </w:t>
      </w:r>
      <w:r>
        <w:rPr>
          <w:rFonts w:hint="eastAsia"/>
          <w:b/>
          <w:bCs/>
        </w:rPr>
        <w:t>群力水库地表水环境监测结果</w:t>
      </w:r>
    </w:p>
    <w:tbl>
      <w:tblPr>
        <w:tblW w:w="907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048"/>
        <w:gridCol w:w="1937"/>
        <w:gridCol w:w="1937"/>
        <w:gridCol w:w="1938"/>
        <w:gridCol w:w="1211"/>
      </w:tblGrid>
      <w:tr w:rsidR="009D12AF" w14:paraId="618430C8" w14:textId="77777777">
        <w:trPr>
          <w:cantSplit/>
          <w:trHeight w:val="397"/>
          <w:jc w:val="center"/>
        </w:trPr>
        <w:tc>
          <w:tcPr>
            <w:tcW w:w="2048" w:type="dxa"/>
            <w:vAlign w:val="center"/>
          </w:tcPr>
          <w:p w14:paraId="23E57CEC"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937" w:type="dxa"/>
            <w:tcBorders>
              <w:bottom w:val="single" w:sz="8" w:space="0" w:color="auto"/>
            </w:tcBorders>
            <w:vAlign w:val="center"/>
          </w:tcPr>
          <w:p w14:paraId="35F63F87"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rPr>
              <w:t>2025.10.07</w:t>
            </w:r>
          </w:p>
        </w:tc>
        <w:tc>
          <w:tcPr>
            <w:tcW w:w="1937" w:type="dxa"/>
            <w:tcBorders>
              <w:bottom w:val="single" w:sz="8" w:space="0" w:color="auto"/>
            </w:tcBorders>
            <w:vAlign w:val="center"/>
          </w:tcPr>
          <w:p w14:paraId="42EFF70F"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938" w:type="dxa"/>
            <w:tcBorders>
              <w:bottom w:val="single" w:sz="8" w:space="0" w:color="auto"/>
            </w:tcBorders>
            <w:vAlign w:val="center"/>
          </w:tcPr>
          <w:p w14:paraId="0AE5CC33"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1211" w:type="dxa"/>
            <w:tcBorders>
              <w:bottom w:val="single" w:sz="8" w:space="0" w:color="auto"/>
            </w:tcBorders>
            <w:vAlign w:val="center"/>
          </w:tcPr>
          <w:p w14:paraId="2CD77A86"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hint="eastAsia"/>
                <w:b/>
                <w:bCs/>
                <w:color w:val="000000"/>
                <w:kern w:val="0"/>
                <w:szCs w:val="21"/>
              </w:rPr>
              <w:t>/</w:t>
            </w:r>
          </w:p>
        </w:tc>
      </w:tr>
      <w:tr w:rsidR="009D12AF" w14:paraId="4E71D2CA" w14:textId="77777777">
        <w:trPr>
          <w:cantSplit/>
          <w:trHeight w:val="397"/>
          <w:jc w:val="center"/>
        </w:trPr>
        <w:tc>
          <w:tcPr>
            <w:tcW w:w="2048" w:type="dxa"/>
            <w:tcBorders>
              <w:bottom w:val="single" w:sz="8" w:space="0" w:color="auto"/>
            </w:tcBorders>
            <w:vAlign w:val="center"/>
          </w:tcPr>
          <w:p w14:paraId="27505B26"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5812" w:type="dxa"/>
            <w:gridSpan w:val="3"/>
            <w:tcBorders>
              <w:top w:val="single" w:sz="8" w:space="0" w:color="auto"/>
              <w:bottom w:val="single" w:sz="8" w:space="0" w:color="auto"/>
            </w:tcBorders>
            <w:vAlign w:val="center"/>
          </w:tcPr>
          <w:p w14:paraId="50C58942"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b/>
                <w:bCs/>
              </w:rPr>
              <w:t>群力水库下游</w:t>
            </w:r>
            <w:r>
              <w:rPr>
                <w:rFonts w:ascii="Times New Roman" w:hAnsi="Times New Roman" w:cs="Times New Roman"/>
                <w:b/>
                <w:bCs/>
              </w:rPr>
              <w:t>500m 3#</w:t>
            </w:r>
            <w:r>
              <w:rPr>
                <w:rFonts w:ascii="Times New Roman" w:hAnsi="Times New Roman" w:cs="Times New Roman" w:hint="eastAsia"/>
                <w:b/>
                <w:bCs/>
              </w:rPr>
              <w:t>（水底上</w:t>
            </w:r>
            <w:r>
              <w:rPr>
                <w:rFonts w:ascii="Times New Roman" w:hAnsi="Times New Roman" w:cs="Times New Roman" w:hint="eastAsia"/>
                <w:b/>
                <w:bCs/>
              </w:rPr>
              <w:t>0.5m</w:t>
            </w:r>
            <w:r>
              <w:rPr>
                <w:rFonts w:ascii="Times New Roman" w:hAnsi="Times New Roman" w:cs="Times New Roman" w:hint="eastAsia"/>
                <w:b/>
                <w:bCs/>
              </w:rPr>
              <w:t>）</w:t>
            </w:r>
          </w:p>
        </w:tc>
        <w:tc>
          <w:tcPr>
            <w:tcW w:w="1211" w:type="dxa"/>
            <w:tcBorders>
              <w:top w:val="single" w:sz="8" w:space="0" w:color="auto"/>
              <w:bottom w:val="single" w:sz="8" w:space="0" w:color="auto"/>
            </w:tcBorders>
            <w:vAlign w:val="center"/>
          </w:tcPr>
          <w:p w14:paraId="452F9B9E"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color w:val="000000"/>
                <w:kern w:val="0"/>
                <w:szCs w:val="21"/>
              </w:rPr>
              <w:t>/</w:t>
            </w:r>
          </w:p>
        </w:tc>
      </w:tr>
      <w:tr w:rsidR="009D12AF" w14:paraId="65B2EE65" w14:textId="77777777">
        <w:trPr>
          <w:cantSplit/>
          <w:trHeight w:val="397"/>
          <w:jc w:val="center"/>
        </w:trPr>
        <w:tc>
          <w:tcPr>
            <w:tcW w:w="2048" w:type="dxa"/>
            <w:vAlign w:val="center"/>
          </w:tcPr>
          <w:p w14:paraId="7FB079C7"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color w:val="000000"/>
                <w:kern w:val="0"/>
                <w:szCs w:val="21"/>
              </w:rPr>
              <w:t>检测项目</w:t>
            </w:r>
          </w:p>
        </w:tc>
        <w:tc>
          <w:tcPr>
            <w:tcW w:w="5812" w:type="dxa"/>
            <w:gridSpan w:val="3"/>
            <w:tcBorders>
              <w:top w:val="single" w:sz="8" w:space="0" w:color="auto"/>
              <w:bottom w:val="single" w:sz="8" w:space="0" w:color="auto"/>
            </w:tcBorders>
            <w:vAlign w:val="center"/>
          </w:tcPr>
          <w:p w14:paraId="303CC4CD"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hint="eastAsia"/>
                <w:b/>
                <w:bCs/>
                <w:color w:val="000000"/>
                <w:kern w:val="0"/>
                <w:szCs w:val="21"/>
              </w:rPr>
              <w:t>检测结果</w:t>
            </w:r>
          </w:p>
        </w:tc>
        <w:tc>
          <w:tcPr>
            <w:tcW w:w="1211" w:type="dxa"/>
            <w:tcBorders>
              <w:top w:val="single" w:sz="8" w:space="0" w:color="auto"/>
              <w:bottom w:val="single" w:sz="8" w:space="0" w:color="auto"/>
            </w:tcBorders>
            <w:vAlign w:val="center"/>
          </w:tcPr>
          <w:p w14:paraId="2656A98B" w14:textId="77777777" w:rsidR="009D12AF" w:rsidRDefault="00000000">
            <w:pPr>
              <w:spacing w:line="240" w:lineRule="exact"/>
              <w:ind w:firstLineChars="0" w:firstLine="0"/>
              <w:jc w:val="center"/>
              <w:rPr>
                <w:rFonts w:ascii="Times New Roman" w:hAnsi="Times New Roman" w:cs="Times New Roman"/>
                <w:b/>
                <w:bCs/>
                <w:color w:val="000000"/>
                <w:kern w:val="0"/>
                <w:szCs w:val="21"/>
              </w:rPr>
            </w:pPr>
            <w:r>
              <w:rPr>
                <w:rFonts w:ascii="Times New Roman" w:hAnsi="Times New Roman" w:cs="Times New Roman" w:hint="eastAsia"/>
                <w:b/>
                <w:bCs/>
                <w:color w:val="000000"/>
                <w:kern w:val="0"/>
                <w:szCs w:val="21"/>
              </w:rPr>
              <w:t>单位</w:t>
            </w:r>
          </w:p>
        </w:tc>
      </w:tr>
      <w:tr w:rsidR="009D12AF" w14:paraId="26BDBF80" w14:textId="77777777">
        <w:trPr>
          <w:cantSplit/>
          <w:trHeight w:val="397"/>
          <w:jc w:val="center"/>
        </w:trPr>
        <w:tc>
          <w:tcPr>
            <w:tcW w:w="2048" w:type="dxa"/>
            <w:vAlign w:val="center"/>
          </w:tcPr>
          <w:p w14:paraId="1C707BAD"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937" w:type="dxa"/>
            <w:tcBorders>
              <w:top w:val="single" w:sz="8" w:space="0" w:color="auto"/>
              <w:bottom w:val="single" w:sz="8" w:space="0" w:color="auto"/>
            </w:tcBorders>
            <w:vAlign w:val="center"/>
          </w:tcPr>
          <w:p w14:paraId="22454D4D"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250940DB1202D1</w:t>
            </w:r>
          </w:p>
        </w:tc>
        <w:tc>
          <w:tcPr>
            <w:tcW w:w="1937" w:type="dxa"/>
            <w:tcBorders>
              <w:top w:val="single" w:sz="8" w:space="0" w:color="auto"/>
              <w:bottom w:val="single" w:sz="8" w:space="0" w:color="auto"/>
            </w:tcBorders>
            <w:vAlign w:val="center"/>
          </w:tcPr>
          <w:p w14:paraId="57B3585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250940DB1202D2</w:t>
            </w:r>
          </w:p>
        </w:tc>
        <w:tc>
          <w:tcPr>
            <w:tcW w:w="1938" w:type="dxa"/>
            <w:tcBorders>
              <w:top w:val="single" w:sz="8" w:space="0" w:color="auto"/>
              <w:bottom w:val="single" w:sz="8" w:space="0" w:color="auto"/>
            </w:tcBorders>
            <w:vAlign w:val="center"/>
          </w:tcPr>
          <w:p w14:paraId="164FF0F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250940DB1202D3</w:t>
            </w:r>
          </w:p>
        </w:tc>
        <w:tc>
          <w:tcPr>
            <w:tcW w:w="1211" w:type="dxa"/>
            <w:tcBorders>
              <w:top w:val="single" w:sz="8" w:space="0" w:color="auto"/>
              <w:bottom w:val="single" w:sz="8" w:space="0" w:color="auto"/>
            </w:tcBorders>
            <w:vAlign w:val="center"/>
          </w:tcPr>
          <w:p w14:paraId="13DD2AC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013A39B8" w14:textId="77777777">
        <w:trPr>
          <w:cantSplit/>
          <w:trHeight w:val="397"/>
          <w:jc w:val="center"/>
        </w:trPr>
        <w:tc>
          <w:tcPr>
            <w:tcW w:w="2048" w:type="dxa"/>
            <w:vAlign w:val="center"/>
          </w:tcPr>
          <w:p w14:paraId="58684A5F"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937" w:type="dxa"/>
            <w:tcBorders>
              <w:top w:val="single" w:sz="8" w:space="0" w:color="auto"/>
              <w:bottom w:val="single" w:sz="8" w:space="0" w:color="auto"/>
            </w:tcBorders>
            <w:vAlign w:val="center"/>
          </w:tcPr>
          <w:p w14:paraId="33F9F32F"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7.5</w:t>
            </w:r>
          </w:p>
        </w:tc>
        <w:tc>
          <w:tcPr>
            <w:tcW w:w="1937" w:type="dxa"/>
            <w:tcBorders>
              <w:top w:val="single" w:sz="8" w:space="0" w:color="auto"/>
              <w:bottom w:val="single" w:sz="8" w:space="0" w:color="auto"/>
            </w:tcBorders>
            <w:vAlign w:val="center"/>
          </w:tcPr>
          <w:p w14:paraId="16F30F4B"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7.7</w:t>
            </w:r>
          </w:p>
        </w:tc>
        <w:tc>
          <w:tcPr>
            <w:tcW w:w="1938" w:type="dxa"/>
            <w:tcBorders>
              <w:top w:val="single" w:sz="8" w:space="0" w:color="auto"/>
              <w:bottom w:val="single" w:sz="8" w:space="0" w:color="auto"/>
            </w:tcBorders>
            <w:vAlign w:val="center"/>
          </w:tcPr>
          <w:p w14:paraId="059E7316"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7.6</w:t>
            </w:r>
          </w:p>
        </w:tc>
        <w:tc>
          <w:tcPr>
            <w:tcW w:w="1211" w:type="dxa"/>
            <w:tcBorders>
              <w:top w:val="single" w:sz="8" w:space="0" w:color="auto"/>
              <w:bottom w:val="single" w:sz="8" w:space="0" w:color="auto"/>
            </w:tcBorders>
            <w:vAlign w:val="center"/>
          </w:tcPr>
          <w:p w14:paraId="2AB1C75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0F2C4E4A" w14:textId="77777777">
        <w:trPr>
          <w:cantSplit/>
          <w:trHeight w:val="397"/>
          <w:jc w:val="center"/>
        </w:trPr>
        <w:tc>
          <w:tcPr>
            <w:tcW w:w="2048" w:type="dxa"/>
            <w:vAlign w:val="center"/>
          </w:tcPr>
          <w:p w14:paraId="31C4EFC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937" w:type="dxa"/>
            <w:vAlign w:val="center"/>
          </w:tcPr>
          <w:p w14:paraId="6B2F9E60"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4.5</w:t>
            </w:r>
          </w:p>
        </w:tc>
        <w:tc>
          <w:tcPr>
            <w:tcW w:w="1937" w:type="dxa"/>
            <w:vAlign w:val="center"/>
          </w:tcPr>
          <w:p w14:paraId="1CDBC299"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4.9</w:t>
            </w:r>
          </w:p>
        </w:tc>
        <w:tc>
          <w:tcPr>
            <w:tcW w:w="1938" w:type="dxa"/>
            <w:vAlign w:val="center"/>
          </w:tcPr>
          <w:p w14:paraId="35C5313D"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5.3</w:t>
            </w:r>
          </w:p>
        </w:tc>
        <w:tc>
          <w:tcPr>
            <w:tcW w:w="1211" w:type="dxa"/>
            <w:vAlign w:val="center"/>
          </w:tcPr>
          <w:p w14:paraId="68FEB9D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2762503" w14:textId="77777777">
        <w:trPr>
          <w:cantSplit/>
          <w:trHeight w:val="397"/>
          <w:jc w:val="center"/>
        </w:trPr>
        <w:tc>
          <w:tcPr>
            <w:tcW w:w="2048" w:type="dxa"/>
            <w:vAlign w:val="center"/>
          </w:tcPr>
          <w:p w14:paraId="31C436E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937" w:type="dxa"/>
            <w:vAlign w:val="center"/>
          </w:tcPr>
          <w:p w14:paraId="4F7B742A"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9.0</w:t>
            </w:r>
          </w:p>
        </w:tc>
        <w:tc>
          <w:tcPr>
            <w:tcW w:w="1937" w:type="dxa"/>
            <w:vAlign w:val="center"/>
          </w:tcPr>
          <w:p w14:paraId="4E246233"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9.1</w:t>
            </w:r>
          </w:p>
        </w:tc>
        <w:tc>
          <w:tcPr>
            <w:tcW w:w="1938" w:type="dxa"/>
            <w:vAlign w:val="center"/>
          </w:tcPr>
          <w:p w14:paraId="64D80A6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9.0</w:t>
            </w:r>
          </w:p>
        </w:tc>
        <w:tc>
          <w:tcPr>
            <w:tcW w:w="1211" w:type="dxa"/>
            <w:vAlign w:val="center"/>
          </w:tcPr>
          <w:p w14:paraId="4F14F7E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2F21FE2" w14:textId="77777777">
        <w:trPr>
          <w:cantSplit/>
          <w:trHeight w:val="397"/>
          <w:jc w:val="center"/>
        </w:trPr>
        <w:tc>
          <w:tcPr>
            <w:tcW w:w="2048" w:type="dxa"/>
            <w:vAlign w:val="center"/>
          </w:tcPr>
          <w:p w14:paraId="3976DFB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937" w:type="dxa"/>
            <w:vAlign w:val="center"/>
          </w:tcPr>
          <w:p w14:paraId="20718AF5"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17</w:t>
            </w:r>
          </w:p>
        </w:tc>
        <w:tc>
          <w:tcPr>
            <w:tcW w:w="1937" w:type="dxa"/>
            <w:vAlign w:val="center"/>
          </w:tcPr>
          <w:p w14:paraId="3EECAF2C"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19</w:t>
            </w:r>
          </w:p>
        </w:tc>
        <w:tc>
          <w:tcPr>
            <w:tcW w:w="1938" w:type="dxa"/>
            <w:vAlign w:val="center"/>
          </w:tcPr>
          <w:p w14:paraId="1909007B"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22</w:t>
            </w:r>
          </w:p>
        </w:tc>
        <w:tc>
          <w:tcPr>
            <w:tcW w:w="1211" w:type="dxa"/>
            <w:vAlign w:val="center"/>
          </w:tcPr>
          <w:p w14:paraId="09642BD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FAA7EF1" w14:textId="77777777">
        <w:trPr>
          <w:cantSplit/>
          <w:trHeight w:val="397"/>
          <w:jc w:val="center"/>
        </w:trPr>
        <w:tc>
          <w:tcPr>
            <w:tcW w:w="2048" w:type="dxa"/>
            <w:vAlign w:val="center"/>
          </w:tcPr>
          <w:p w14:paraId="7DBDFFF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937" w:type="dxa"/>
            <w:vAlign w:val="center"/>
          </w:tcPr>
          <w:p w14:paraId="7D11588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5.7</w:t>
            </w:r>
          </w:p>
        </w:tc>
        <w:tc>
          <w:tcPr>
            <w:tcW w:w="1937" w:type="dxa"/>
            <w:vAlign w:val="center"/>
          </w:tcPr>
          <w:p w14:paraId="1D7F37D9"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7.2</w:t>
            </w:r>
          </w:p>
        </w:tc>
        <w:tc>
          <w:tcPr>
            <w:tcW w:w="1938" w:type="dxa"/>
            <w:vAlign w:val="center"/>
          </w:tcPr>
          <w:p w14:paraId="348E47D7"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7.8</w:t>
            </w:r>
          </w:p>
        </w:tc>
        <w:tc>
          <w:tcPr>
            <w:tcW w:w="1211" w:type="dxa"/>
            <w:vAlign w:val="center"/>
          </w:tcPr>
          <w:p w14:paraId="5166CBE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236A4A8" w14:textId="77777777">
        <w:trPr>
          <w:cantSplit/>
          <w:trHeight w:val="397"/>
          <w:jc w:val="center"/>
        </w:trPr>
        <w:tc>
          <w:tcPr>
            <w:tcW w:w="2048" w:type="dxa"/>
            <w:vAlign w:val="center"/>
          </w:tcPr>
          <w:p w14:paraId="7AD4CBB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937" w:type="dxa"/>
            <w:vAlign w:val="center"/>
          </w:tcPr>
          <w:p w14:paraId="50977E73"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0.625</w:t>
            </w:r>
          </w:p>
        </w:tc>
        <w:tc>
          <w:tcPr>
            <w:tcW w:w="1937" w:type="dxa"/>
            <w:vAlign w:val="center"/>
          </w:tcPr>
          <w:p w14:paraId="5EDAD552"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0.674</w:t>
            </w:r>
          </w:p>
        </w:tc>
        <w:tc>
          <w:tcPr>
            <w:tcW w:w="1938" w:type="dxa"/>
            <w:vAlign w:val="center"/>
          </w:tcPr>
          <w:p w14:paraId="0C3698F0"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0.660</w:t>
            </w:r>
          </w:p>
        </w:tc>
        <w:tc>
          <w:tcPr>
            <w:tcW w:w="1211" w:type="dxa"/>
            <w:vAlign w:val="center"/>
          </w:tcPr>
          <w:p w14:paraId="2595E31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5A74919" w14:textId="77777777">
        <w:trPr>
          <w:cantSplit/>
          <w:trHeight w:val="397"/>
          <w:jc w:val="center"/>
        </w:trPr>
        <w:tc>
          <w:tcPr>
            <w:tcW w:w="2048" w:type="dxa"/>
            <w:vAlign w:val="center"/>
          </w:tcPr>
          <w:p w14:paraId="055781B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937" w:type="dxa"/>
            <w:vAlign w:val="center"/>
          </w:tcPr>
          <w:p w14:paraId="09175A25"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0.09</w:t>
            </w:r>
          </w:p>
        </w:tc>
        <w:tc>
          <w:tcPr>
            <w:tcW w:w="1937" w:type="dxa"/>
            <w:vAlign w:val="center"/>
          </w:tcPr>
          <w:p w14:paraId="5FE9E4B1"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0.06</w:t>
            </w:r>
          </w:p>
        </w:tc>
        <w:tc>
          <w:tcPr>
            <w:tcW w:w="1938" w:type="dxa"/>
            <w:vAlign w:val="center"/>
          </w:tcPr>
          <w:p w14:paraId="2AF75224"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0.08</w:t>
            </w:r>
          </w:p>
        </w:tc>
        <w:tc>
          <w:tcPr>
            <w:tcW w:w="1211" w:type="dxa"/>
            <w:vAlign w:val="center"/>
          </w:tcPr>
          <w:p w14:paraId="6D16FAF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5F733E0" w14:textId="77777777">
        <w:trPr>
          <w:cantSplit/>
          <w:trHeight w:val="397"/>
          <w:jc w:val="center"/>
        </w:trPr>
        <w:tc>
          <w:tcPr>
            <w:tcW w:w="2048" w:type="dxa"/>
            <w:vAlign w:val="center"/>
          </w:tcPr>
          <w:p w14:paraId="1DAC1CB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937" w:type="dxa"/>
            <w:vAlign w:val="center"/>
          </w:tcPr>
          <w:p w14:paraId="6ED6BA79"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1.78</w:t>
            </w:r>
          </w:p>
        </w:tc>
        <w:tc>
          <w:tcPr>
            <w:tcW w:w="1937" w:type="dxa"/>
            <w:vAlign w:val="center"/>
          </w:tcPr>
          <w:p w14:paraId="3EBCA8EC"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1.85</w:t>
            </w:r>
          </w:p>
        </w:tc>
        <w:tc>
          <w:tcPr>
            <w:tcW w:w="1938" w:type="dxa"/>
            <w:vAlign w:val="center"/>
          </w:tcPr>
          <w:p w14:paraId="66A92E0A"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1.99</w:t>
            </w:r>
          </w:p>
        </w:tc>
        <w:tc>
          <w:tcPr>
            <w:tcW w:w="1211" w:type="dxa"/>
            <w:vAlign w:val="center"/>
          </w:tcPr>
          <w:p w14:paraId="03581A5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E50BB2E" w14:textId="77777777">
        <w:trPr>
          <w:cantSplit/>
          <w:trHeight w:val="397"/>
          <w:jc w:val="center"/>
        </w:trPr>
        <w:tc>
          <w:tcPr>
            <w:tcW w:w="2048" w:type="dxa"/>
            <w:vAlign w:val="center"/>
          </w:tcPr>
          <w:p w14:paraId="578E020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937" w:type="dxa"/>
            <w:vAlign w:val="center"/>
          </w:tcPr>
          <w:p w14:paraId="7DF07E5C"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0E2C9BFE"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60690975"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389CB17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FB2403F" w14:textId="77777777">
        <w:trPr>
          <w:cantSplit/>
          <w:trHeight w:val="397"/>
          <w:jc w:val="center"/>
        </w:trPr>
        <w:tc>
          <w:tcPr>
            <w:tcW w:w="2048" w:type="dxa"/>
            <w:vAlign w:val="center"/>
          </w:tcPr>
          <w:p w14:paraId="2A29C03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937" w:type="dxa"/>
            <w:vAlign w:val="center"/>
          </w:tcPr>
          <w:p w14:paraId="1EBF8BB2"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0.29</w:t>
            </w:r>
          </w:p>
        </w:tc>
        <w:tc>
          <w:tcPr>
            <w:tcW w:w="1937" w:type="dxa"/>
            <w:vAlign w:val="center"/>
          </w:tcPr>
          <w:p w14:paraId="355EE85B"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0.27</w:t>
            </w:r>
          </w:p>
        </w:tc>
        <w:tc>
          <w:tcPr>
            <w:tcW w:w="1938" w:type="dxa"/>
            <w:vAlign w:val="center"/>
          </w:tcPr>
          <w:p w14:paraId="1504C9D9"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0.28</w:t>
            </w:r>
          </w:p>
        </w:tc>
        <w:tc>
          <w:tcPr>
            <w:tcW w:w="1211" w:type="dxa"/>
            <w:vAlign w:val="center"/>
          </w:tcPr>
          <w:p w14:paraId="73C034B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A7C2AB7" w14:textId="77777777">
        <w:trPr>
          <w:cantSplit/>
          <w:trHeight w:val="397"/>
          <w:jc w:val="center"/>
        </w:trPr>
        <w:tc>
          <w:tcPr>
            <w:tcW w:w="2048" w:type="dxa"/>
            <w:vAlign w:val="center"/>
          </w:tcPr>
          <w:p w14:paraId="6457718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937" w:type="dxa"/>
            <w:vAlign w:val="center"/>
          </w:tcPr>
          <w:p w14:paraId="09ABFEB3"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0.42</w:t>
            </w:r>
          </w:p>
        </w:tc>
        <w:tc>
          <w:tcPr>
            <w:tcW w:w="1937" w:type="dxa"/>
            <w:vAlign w:val="center"/>
          </w:tcPr>
          <w:p w14:paraId="2656CFA7"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0.52</w:t>
            </w:r>
          </w:p>
        </w:tc>
        <w:tc>
          <w:tcPr>
            <w:tcW w:w="1938" w:type="dxa"/>
            <w:vAlign w:val="center"/>
          </w:tcPr>
          <w:p w14:paraId="6B68FD1A"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0.48</w:t>
            </w:r>
          </w:p>
        </w:tc>
        <w:tc>
          <w:tcPr>
            <w:tcW w:w="1211" w:type="dxa"/>
            <w:vAlign w:val="center"/>
          </w:tcPr>
          <w:p w14:paraId="35C2BA9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05C13C9" w14:textId="77777777">
        <w:trPr>
          <w:cantSplit/>
          <w:trHeight w:val="397"/>
          <w:jc w:val="center"/>
        </w:trPr>
        <w:tc>
          <w:tcPr>
            <w:tcW w:w="2048" w:type="dxa"/>
            <w:vAlign w:val="center"/>
          </w:tcPr>
          <w:p w14:paraId="587F606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硒</w:t>
            </w:r>
          </w:p>
        </w:tc>
        <w:tc>
          <w:tcPr>
            <w:tcW w:w="1937" w:type="dxa"/>
            <w:vAlign w:val="center"/>
          </w:tcPr>
          <w:p w14:paraId="29A16865"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kern w:val="0"/>
                <w:sz w:val="21"/>
                <w:szCs w:val="21"/>
                <w:lang w:bidi="ar"/>
              </w:rPr>
              <w:t>0.001</w:t>
            </w:r>
          </w:p>
        </w:tc>
        <w:tc>
          <w:tcPr>
            <w:tcW w:w="1937" w:type="dxa"/>
            <w:vAlign w:val="center"/>
          </w:tcPr>
          <w:p w14:paraId="302EA789"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0.0006</w:t>
            </w:r>
          </w:p>
        </w:tc>
        <w:tc>
          <w:tcPr>
            <w:tcW w:w="1938" w:type="dxa"/>
            <w:vAlign w:val="center"/>
          </w:tcPr>
          <w:p w14:paraId="08DDF922"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kern w:val="0"/>
                <w:sz w:val="21"/>
                <w:szCs w:val="21"/>
                <w:lang w:bidi="ar"/>
              </w:rPr>
              <w:t>0.001</w:t>
            </w:r>
          </w:p>
        </w:tc>
        <w:tc>
          <w:tcPr>
            <w:tcW w:w="1211" w:type="dxa"/>
            <w:vAlign w:val="center"/>
          </w:tcPr>
          <w:p w14:paraId="46AB2FF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0C3C2E1" w14:textId="77777777">
        <w:trPr>
          <w:cantSplit/>
          <w:trHeight w:val="397"/>
          <w:jc w:val="center"/>
        </w:trPr>
        <w:tc>
          <w:tcPr>
            <w:tcW w:w="2048" w:type="dxa"/>
            <w:vAlign w:val="center"/>
          </w:tcPr>
          <w:p w14:paraId="576FE5E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砷</w:t>
            </w:r>
          </w:p>
        </w:tc>
        <w:tc>
          <w:tcPr>
            <w:tcW w:w="1937" w:type="dxa"/>
            <w:vAlign w:val="center"/>
          </w:tcPr>
          <w:p w14:paraId="7AD4A21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937" w:type="dxa"/>
            <w:vAlign w:val="center"/>
          </w:tcPr>
          <w:p w14:paraId="4A5C3DC0"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kern w:val="0"/>
                <w:sz w:val="21"/>
                <w:szCs w:val="21"/>
                <w:lang w:bidi="ar"/>
              </w:rPr>
              <w:t>0.0003L</w:t>
            </w:r>
          </w:p>
        </w:tc>
        <w:tc>
          <w:tcPr>
            <w:tcW w:w="1938" w:type="dxa"/>
            <w:vAlign w:val="center"/>
          </w:tcPr>
          <w:p w14:paraId="4FB9DB78"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kern w:val="0"/>
                <w:sz w:val="21"/>
                <w:szCs w:val="21"/>
                <w:lang w:bidi="ar"/>
              </w:rPr>
              <w:t>0.0003L</w:t>
            </w:r>
          </w:p>
        </w:tc>
        <w:tc>
          <w:tcPr>
            <w:tcW w:w="1211" w:type="dxa"/>
            <w:vAlign w:val="center"/>
          </w:tcPr>
          <w:p w14:paraId="282579F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4128871" w14:textId="77777777">
        <w:trPr>
          <w:cantSplit/>
          <w:trHeight w:val="397"/>
          <w:jc w:val="center"/>
        </w:trPr>
        <w:tc>
          <w:tcPr>
            <w:tcW w:w="2048" w:type="dxa"/>
            <w:vAlign w:val="center"/>
          </w:tcPr>
          <w:p w14:paraId="311811A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总</w:t>
            </w:r>
            <w:r>
              <w:rPr>
                <w:rFonts w:ascii="Times New Roman" w:eastAsia="宋体" w:hAnsi="Times New Roman" w:cs="Times New Roman"/>
                <w:sz w:val="21"/>
                <w:lang w:bidi="ar"/>
              </w:rPr>
              <w:t>汞</w:t>
            </w:r>
          </w:p>
        </w:tc>
        <w:tc>
          <w:tcPr>
            <w:tcW w:w="1937" w:type="dxa"/>
            <w:vAlign w:val="center"/>
          </w:tcPr>
          <w:p w14:paraId="0369D3F7"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7" w:type="dxa"/>
            <w:vAlign w:val="center"/>
          </w:tcPr>
          <w:p w14:paraId="0DF56939"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0.00002L</w:t>
            </w:r>
          </w:p>
        </w:tc>
        <w:tc>
          <w:tcPr>
            <w:tcW w:w="1938" w:type="dxa"/>
            <w:vAlign w:val="center"/>
          </w:tcPr>
          <w:p w14:paraId="1AD275EB"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highlight w:val="yellow"/>
              </w:rPr>
            </w:pPr>
            <w:r>
              <w:rPr>
                <w:rFonts w:ascii="Times New Roman" w:hAnsi="Times New Roman" w:cs="Times New Roman" w:hint="eastAsia"/>
                <w:sz w:val="21"/>
                <w:szCs w:val="21"/>
              </w:rPr>
              <w:t>0.00002L</w:t>
            </w:r>
          </w:p>
        </w:tc>
        <w:tc>
          <w:tcPr>
            <w:tcW w:w="1211" w:type="dxa"/>
            <w:vAlign w:val="center"/>
          </w:tcPr>
          <w:p w14:paraId="1702736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71A3671" w14:textId="77777777">
        <w:trPr>
          <w:cantSplit/>
          <w:trHeight w:val="397"/>
          <w:jc w:val="center"/>
        </w:trPr>
        <w:tc>
          <w:tcPr>
            <w:tcW w:w="2048" w:type="dxa"/>
            <w:vAlign w:val="center"/>
          </w:tcPr>
          <w:p w14:paraId="6609363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镉</w:t>
            </w:r>
          </w:p>
        </w:tc>
        <w:tc>
          <w:tcPr>
            <w:tcW w:w="1937" w:type="dxa"/>
            <w:vAlign w:val="center"/>
          </w:tcPr>
          <w:p w14:paraId="0A718352"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7" w:type="dxa"/>
            <w:vAlign w:val="center"/>
          </w:tcPr>
          <w:p w14:paraId="3FC7A220"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0.0001L</w:t>
            </w:r>
          </w:p>
        </w:tc>
        <w:tc>
          <w:tcPr>
            <w:tcW w:w="1938" w:type="dxa"/>
            <w:vAlign w:val="center"/>
          </w:tcPr>
          <w:p w14:paraId="68A38E73"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highlight w:val="yellow"/>
              </w:rPr>
            </w:pPr>
            <w:r>
              <w:rPr>
                <w:rFonts w:ascii="Times New Roman" w:hAnsi="Times New Roman" w:cs="Times New Roman" w:hint="eastAsia"/>
                <w:sz w:val="21"/>
                <w:szCs w:val="21"/>
              </w:rPr>
              <w:t>0.0001L</w:t>
            </w:r>
          </w:p>
        </w:tc>
        <w:tc>
          <w:tcPr>
            <w:tcW w:w="1211" w:type="dxa"/>
            <w:vAlign w:val="center"/>
          </w:tcPr>
          <w:p w14:paraId="659CB00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25CDDD4" w14:textId="77777777">
        <w:trPr>
          <w:cantSplit/>
          <w:trHeight w:val="397"/>
          <w:jc w:val="center"/>
        </w:trPr>
        <w:tc>
          <w:tcPr>
            <w:tcW w:w="2048" w:type="dxa"/>
            <w:vAlign w:val="center"/>
          </w:tcPr>
          <w:p w14:paraId="53A7597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六价铬</w:t>
            </w:r>
          </w:p>
        </w:tc>
        <w:tc>
          <w:tcPr>
            <w:tcW w:w="1937" w:type="dxa"/>
            <w:vAlign w:val="center"/>
          </w:tcPr>
          <w:p w14:paraId="562081A6"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381A9F76"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0.004L</w:t>
            </w:r>
          </w:p>
        </w:tc>
        <w:tc>
          <w:tcPr>
            <w:tcW w:w="1938" w:type="dxa"/>
            <w:vAlign w:val="center"/>
          </w:tcPr>
          <w:p w14:paraId="706449C1" w14:textId="77777777" w:rsidR="009D12AF" w:rsidRDefault="00000000">
            <w:pPr>
              <w:widowControl/>
              <w:spacing w:line="240" w:lineRule="exact"/>
              <w:ind w:firstLineChars="0" w:firstLine="0"/>
              <w:jc w:val="center"/>
              <w:rPr>
                <w:rFonts w:ascii="Times New Roman" w:eastAsia="宋体" w:hAnsi="Times New Roman" w:cs="Times New Roman"/>
                <w:color w:val="FFC000"/>
                <w:sz w:val="21"/>
                <w:szCs w:val="21"/>
              </w:rPr>
            </w:pPr>
            <w:r>
              <w:rPr>
                <w:rFonts w:ascii="Times New Roman" w:hAnsi="Times New Roman" w:cs="Times New Roman" w:hint="eastAsia"/>
                <w:sz w:val="21"/>
                <w:szCs w:val="21"/>
              </w:rPr>
              <w:t>0.004L</w:t>
            </w:r>
          </w:p>
        </w:tc>
        <w:tc>
          <w:tcPr>
            <w:tcW w:w="1211" w:type="dxa"/>
            <w:vAlign w:val="center"/>
          </w:tcPr>
          <w:p w14:paraId="526E73C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10AC175" w14:textId="77777777">
        <w:trPr>
          <w:cantSplit/>
          <w:trHeight w:val="397"/>
          <w:jc w:val="center"/>
        </w:trPr>
        <w:tc>
          <w:tcPr>
            <w:tcW w:w="2048" w:type="dxa"/>
            <w:vAlign w:val="center"/>
          </w:tcPr>
          <w:p w14:paraId="6FB6F8D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lastRenderedPageBreak/>
              <w:t>铅</w:t>
            </w:r>
          </w:p>
        </w:tc>
        <w:tc>
          <w:tcPr>
            <w:tcW w:w="1937" w:type="dxa"/>
            <w:vAlign w:val="center"/>
          </w:tcPr>
          <w:p w14:paraId="59761106"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7" w:type="dxa"/>
            <w:vAlign w:val="center"/>
          </w:tcPr>
          <w:p w14:paraId="2177EBD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8" w:type="dxa"/>
            <w:vAlign w:val="center"/>
          </w:tcPr>
          <w:p w14:paraId="109EAC9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211" w:type="dxa"/>
            <w:vAlign w:val="center"/>
          </w:tcPr>
          <w:p w14:paraId="324EB88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CA24084" w14:textId="77777777">
        <w:trPr>
          <w:cantSplit/>
          <w:trHeight w:val="397"/>
          <w:jc w:val="center"/>
        </w:trPr>
        <w:tc>
          <w:tcPr>
            <w:tcW w:w="2048" w:type="dxa"/>
            <w:vAlign w:val="center"/>
          </w:tcPr>
          <w:p w14:paraId="64AC5CE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937" w:type="dxa"/>
            <w:vAlign w:val="center"/>
          </w:tcPr>
          <w:p w14:paraId="4373E021"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4F6A3B4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39705B0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2661AFC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EFBE4DE" w14:textId="77777777">
        <w:trPr>
          <w:cantSplit/>
          <w:trHeight w:val="397"/>
          <w:jc w:val="center"/>
        </w:trPr>
        <w:tc>
          <w:tcPr>
            <w:tcW w:w="2048" w:type="dxa"/>
            <w:vAlign w:val="center"/>
          </w:tcPr>
          <w:p w14:paraId="4791B0C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937" w:type="dxa"/>
            <w:vAlign w:val="center"/>
          </w:tcPr>
          <w:p w14:paraId="3B380EFF"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7" w:type="dxa"/>
            <w:vAlign w:val="center"/>
          </w:tcPr>
          <w:p w14:paraId="70A42FC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8" w:type="dxa"/>
            <w:vAlign w:val="center"/>
          </w:tcPr>
          <w:p w14:paraId="65C957F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211" w:type="dxa"/>
            <w:vAlign w:val="center"/>
          </w:tcPr>
          <w:p w14:paraId="78401F4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73E78EE" w14:textId="77777777">
        <w:trPr>
          <w:cantSplit/>
          <w:trHeight w:val="397"/>
          <w:jc w:val="center"/>
        </w:trPr>
        <w:tc>
          <w:tcPr>
            <w:tcW w:w="2048" w:type="dxa"/>
            <w:vAlign w:val="center"/>
          </w:tcPr>
          <w:p w14:paraId="3087F3F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937" w:type="dxa"/>
            <w:vAlign w:val="center"/>
          </w:tcPr>
          <w:p w14:paraId="6AA7F47E"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485B7FD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7943E41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3C92652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04687E9" w14:textId="77777777">
        <w:trPr>
          <w:cantSplit/>
          <w:trHeight w:val="397"/>
          <w:jc w:val="center"/>
        </w:trPr>
        <w:tc>
          <w:tcPr>
            <w:tcW w:w="2048" w:type="dxa"/>
            <w:vAlign w:val="center"/>
          </w:tcPr>
          <w:p w14:paraId="12B2296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937" w:type="dxa"/>
            <w:vAlign w:val="center"/>
          </w:tcPr>
          <w:p w14:paraId="57EB9103"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0327013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0A65C49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7D339E2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0B42C21" w14:textId="77777777">
        <w:trPr>
          <w:cantSplit/>
          <w:trHeight w:val="397"/>
          <w:jc w:val="center"/>
        </w:trPr>
        <w:tc>
          <w:tcPr>
            <w:tcW w:w="2048" w:type="dxa"/>
            <w:vAlign w:val="center"/>
          </w:tcPr>
          <w:p w14:paraId="6CD8D33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937" w:type="dxa"/>
            <w:vAlign w:val="center"/>
          </w:tcPr>
          <w:p w14:paraId="552C5340"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2082AFC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509DD32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51BAA76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4695C18" w14:textId="77777777">
        <w:trPr>
          <w:cantSplit/>
          <w:trHeight w:val="397"/>
          <w:jc w:val="center"/>
        </w:trPr>
        <w:tc>
          <w:tcPr>
            <w:tcW w:w="2048" w:type="dxa"/>
            <w:vAlign w:val="center"/>
          </w:tcPr>
          <w:p w14:paraId="1B0D931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937" w:type="dxa"/>
            <w:vAlign w:val="center"/>
          </w:tcPr>
          <w:p w14:paraId="72D03CBB" w14:textId="77777777" w:rsidR="009D12AF" w:rsidRDefault="00000000">
            <w:pPr>
              <w:widowControl/>
              <w:ind w:firstLineChars="0" w:firstLine="0"/>
              <w:jc w:val="center"/>
              <w:textAlignment w:val="center"/>
              <w:rPr>
                <w:rFonts w:ascii="Times New Roman" w:hAnsi="Times New Roman" w:cs="Times New Roman"/>
                <w:sz w:val="21"/>
                <w:szCs w:val="21"/>
              </w:rPr>
            </w:pPr>
            <w:r>
              <w:rPr>
                <w:rFonts w:ascii="Times New Roman" w:hAnsi="Times New Roman" w:cs="Times New Roman" w:hint="eastAsia"/>
                <w:sz w:val="21"/>
                <w:szCs w:val="21"/>
              </w:rPr>
              <w:t>2.7</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7" w:type="dxa"/>
            <w:vAlign w:val="center"/>
          </w:tcPr>
          <w:p w14:paraId="39B6CECD" w14:textId="77777777" w:rsidR="009D12AF" w:rsidRDefault="00000000">
            <w:pPr>
              <w:widowControl/>
              <w:spacing w:line="240" w:lineRule="exact"/>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3.3</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8" w:type="dxa"/>
            <w:vAlign w:val="center"/>
          </w:tcPr>
          <w:p w14:paraId="35287041" w14:textId="77777777" w:rsidR="009D12AF" w:rsidRDefault="00000000">
            <w:pPr>
              <w:widowControl/>
              <w:spacing w:line="240" w:lineRule="exact"/>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4.3</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211" w:type="dxa"/>
            <w:vAlign w:val="center"/>
          </w:tcPr>
          <w:p w14:paraId="6B67490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4DC61F95" w14:textId="77777777">
        <w:trPr>
          <w:cantSplit/>
          <w:trHeight w:val="397"/>
          <w:jc w:val="center"/>
        </w:trPr>
        <w:tc>
          <w:tcPr>
            <w:tcW w:w="2048" w:type="dxa"/>
            <w:vAlign w:val="center"/>
          </w:tcPr>
          <w:p w14:paraId="08FEFABC"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937" w:type="dxa"/>
            <w:vAlign w:val="center"/>
          </w:tcPr>
          <w:p w14:paraId="38E5B512"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11.6</w:t>
            </w:r>
          </w:p>
        </w:tc>
        <w:tc>
          <w:tcPr>
            <w:tcW w:w="1937" w:type="dxa"/>
            <w:vAlign w:val="center"/>
          </w:tcPr>
          <w:p w14:paraId="5F6044E9"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12.1</w:t>
            </w:r>
          </w:p>
        </w:tc>
        <w:tc>
          <w:tcPr>
            <w:tcW w:w="1938" w:type="dxa"/>
            <w:vAlign w:val="center"/>
          </w:tcPr>
          <w:p w14:paraId="0B408287" w14:textId="77777777" w:rsidR="009D12AF" w:rsidRDefault="00000000">
            <w:pPr>
              <w:widowControl/>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11.2</w:t>
            </w:r>
          </w:p>
        </w:tc>
        <w:tc>
          <w:tcPr>
            <w:tcW w:w="1211" w:type="dxa"/>
            <w:vAlign w:val="center"/>
          </w:tcPr>
          <w:p w14:paraId="44DC2D64"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44B67131" w14:textId="77777777" w:rsidR="009D12AF" w:rsidRDefault="00000000">
      <w:pPr>
        <w:ind w:firstLine="482"/>
        <w:jc w:val="center"/>
        <w:rPr>
          <w:b/>
          <w:bCs/>
        </w:rPr>
      </w:pPr>
      <w:r>
        <w:rPr>
          <w:rFonts w:hint="eastAsia"/>
          <w:b/>
          <w:bCs/>
        </w:rPr>
        <w:t>表</w:t>
      </w:r>
      <w:r>
        <w:rPr>
          <w:rFonts w:hint="eastAsia"/>
          <w:b/>
          <w:bCs/>
        </w:rPr>
        <w:t>4.3-11</w:t>
      </w:r>
      <w:r>
        <w:rPr>
          <w:rFonts w:hint="eastAsia"/>
          <w:b/>
          <w:bCs/>
        </w:rPr>
        <w:t>（</w:t>
      </w:r>
      <w:r>
        <w:rPr>
          <w:rFonts w:hint="eastAsia"/>
          <w:b/>
          <w:bCs/>
        </w:rPr>
        <w:t>1</w:t>
      </w:r>
      <w:r>
        <w:rPr>
          <w:rFonts w:hint="eastAsia"/>
          <w:b/>
          <w:bCs/>
        </w:rPr>
        <w:t>）</w:t>
      </w:r>
      <w:r>
        <w:rPr>
          <w:rFonts w:hint="eastAsia"/>
          <w:b/>
          <w:bCs/>
        </w:rPr>
        <w:t xml:space="preserve">  </w:t>
      </w:r>
      <w:r>
        <w:rPr>
          <w:rFonts w:hint="eastAsia"/>
          <w:b/>
          <w:bCs/>
        </w:rPr>
        <w:t>新安晒水池地表水环境监测结果</w:t>
      </w:r>
    </w:p>
    <w:tbl>
      <w:tblPr>
        <w:tblW w:w="907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048"/>
        <w:gridCol w:w="1937"/>
        <w:gridCol w:w="1937"/>
        <w:gridCol w:w="1938"/>
        <w:gridCol w:w="1211"/>
      </w:tblGrid>
      <w:tr w:rsidR="009D12AF" w14:paraId="5F8990AB" w14:textId="77777777">
        <w:trPr>
          <w:cantSplit/>
          <w:trHeight w:val="397"/>
          <w:jc w:val="center"/>
        </w:trPr>
        <w:tc>
          <w:tcPr>
            <w:tcW w:w="2048" w:type="dxa"/>
            <w:vAlign w:val="center"/>
          </w:tcPr>
          <w:p w14:paraId="26214B61"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937" w:type="dxa"/>
            <w:tcBorders>
              <w:bottom w:val="single" w:sz="8" w:space="0" w:color="auto"/>
            </w:tcBorders>
            <w:vAlign w:val="center"/>
          </w:tcPr>
          <w:p w14:paraId="66559543" w14:textId="77777777" w:rsidR="009D12AF" w:rsidRDefault="00000000">
            <w:pPr>
              <w:spacing w:line="240" w:lineRule="exact"/>
              <w:ind w:firstLineChars="0" w:firstLine="0"/>
              <w:jc w:val="center"/>
              <w:rPr>
                <w:rFonts w:ascii="Times New Roman" w:eastAsia="宋体" w:hAnsi="Times New Roman" w:cs="Times New Roman"/>
                <w:b/>
                <w:bCs/>
              </w:rPr>
            </w:pPr>
            <w:r>
              <w:rPr>
                <w:rFonts w:ascii="Times New Roman" w:hAnsi="Times New Roman" w:cs="Times New Roman"/>
                <w:b/>
                <w:bCs/>
              </w:rPr>
              <w:t>2025.10.07</w:t>
            </w:r>
          </w:p>
        </w:tc>
        <w:tc>
          <w:tcPr>
            <w:tcW w:w="1937" w:type="dxa"/>
            <w:tcBorders>
              <w:bottom w:val="single" w:sz="8" w:space="0" w:color="auto"/>
            </w:tcBorders>
            <w:vAlign w:val="center"/>
          </w:tcPr>
          <w:p w14:paraId="7C4C210D"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938" w:type="dxa"/>
            <w:tcBorders>
              <w:bottom w:val="single" w:sz="8" w:space="0" w:color="auto"/>
            </w:tcBorders>
            <w:vAlign w:val="center"/>
          </w:tcPr>
          <w:p w14:paraId="0F9CD747"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1211" w:type="dxa"/>
            <w:tcBorders>
              <w:bottom w:val="single" w:sz="8" w:space="0" w:color="auto"/>
            </w:tcBorders>
            <w:vAlign w:val="center"/>
          </w:tcPr>
          <w:p w14:paraId="0EFB7379"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w:t>
            </w:r>
          </w:p>
        </w:tc>
      </w:tr>
      <w:tr w:rsidR="009D12AF" w14:paraId="1A599964" w14:textId="77777777">
        <w:trPr>
          <w:cantSplit/>
          <w:trHeight w:val="397"/>
          <w:jc w:val="center"/>
        </w:trPr>
        <w:tc>
          <w:tcPr>
            <w:tcW w:w="2048" w:type="dxa"/>
            <w:tcBorders>
              <w:bottom w:val="single" w:sz="8" w:space="0" w:color="auto"/>
            </w:tcBorders>
            <w:vAlign w:val="center"/>
          </w:tcPr>
          <w:p w14:paraId="3B7FD44D"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5812" w:type="dxa"/>
            <w:gridSpan w:val="3"/>
            <w:tcBorders>
              <w:top w:val="single" w:sz="8" w:space="0" w:color="auto"/>
              <w:bottom w:val="single" w:sz="8" w:space="0" w:color="auto"/>
            </w:tcBorders>
            <w:vAlign w:val="center"/>
          </w:tcPr>
          <w:p w14:paraId="32006231"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rPr>
              <w:t>新安晒水池上游</w:t>
            </w:r>
            <w:r>
              <w:rPr>
                <w:rFonts w:ascii="Times New Roman" w:hAnsi="Times New Roman" w:cs="Times New Roman"/>
                <w:b/>
                <w:bCs/>
              </w:rPr>
              <w:t>500m 1#</w:t>
            </w:r>
            <w:r>
              <w:rPr>
                <w:rFonts w:ascii="Times New Roman" w:hAnsi="Times New Roman" w:cs="Times New Roman"/>
                <w:b/>
                <w:bCs/>
              </w:rPr>
              <w:t>（水面下</w:t>
            </w:r>
            <w:r>
              <w:rPr>
                <w:rFonts w:ascii="Times New Roman" w:hAnsi="Times New Roman" w:cs="Times New Roman"/>
                <w:b/>
                <w:bCs/>
              </w:rPr>
              <w:t>0.5m</w:t>
            </w:r>
            <w:r>
              <w:rPr>
                <w:rFonts w:ascii="Times New Roman" w:hAnsi="Times New Roman" w:cs="Times New Roman"/>
                <w:b/>
                <w:bCs/>
              </w:rPr>
              <w:t>）</w:t>
            </w:r>
          </w:p>
        </w:tc>
        <w:tc>
          <w:tcPr>
            <w:tcW w:w="1211" w:type="dxa"/>
            <w:tcBorders>
              <w:top w:val="single" w:sz="8" w:space="0" w:color="auto"/>
              <w:bottom w:val="single" w:sz="8" w:space="0" w:color="auto"/>
            </w:tcBorders>
            <w:vAlign w:val="center"/>
          </w:tcPr>
          <w:p w14:paraId="53C3D1EF"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kern w:val="0"/>
                <w:szCs w:val="21"/>
              </w:rPr>
              <w:t>/</w:t>
            </w:r>
          </w:p>
        </w:tc>
      </w:tr>
      <w:tr w:rsidR="009D12AF" w14:paraId="0231DFFA" w14:textId="77777777">
        <w:trPr>
          <w:cantSplit/>
          <w:trHeight w:val="397"/>
          <w:jc w:val="center"/>
        </w:trPr>
        <w:tc>
          <w:tcPr>
            <w:tcW w:w="2048" w:type="dxa"/>
            <w:tcBorders>
              <w:bottom w:val="single" w:sz="8" w:space="0" w:color="auto"/>
            </w:tcBorders>
            <w:vAlign w:val="center"/>
          </w:tcPr>
          <w:p w14:paraId="7A5E4374"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检测项目</w:t>
            </w:r>
          </w:p>
        </w:tc>
        <w:tc>
          <w:tcPr>
            <w:tcW w:w="5812" w:type="dxa"/>
            <w:gridSpan w:val="3"/>
            <w:tcBorders>
              <w:top w:val="single" w:sz="8" w:space="0" w:color="auto"/>
              <w:bottom w:val="single" w:sz="8" w:space="0" w:color="auto"/>
            </w:tcBorders>
            <w:vAlign w:val="center"/>
          </w:tcPr>
          <w:p w14:paraId="0D4EA6D7"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检测结果</w:t>
            </w:r>
          </w:p>
        </w:tc>
        <w:tc>
          <w:tcPr>
            <w:tcW w:w="1211" w:type="dxa"/>
            <w:tcBorders>
              <w:top w:val="single" w:sz="8" w:space="0" w:color="auto"/>
              <w:bottom w:val="single" w:sz="8" w:space="0" w:color="auto"/>
            </w:tcBorders>
            <w:vAlign w:val="center"/>
          </w:tcPr>
          <w:p w14:paraId="1D633696"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单位</w:t>
            </w:r>
          </w:p>
        </w:tc>
      </w:tr>
      <w:tr w:rsidR="009D12AF" w14:paraId="436CEAD3" w14:textId="77777777">
        <w:trPr>
          <w:cantSplit/>
          <w:trHeight w:val="397"/>
          <w:jc w:val="center"/>
        </w:trPr>
        <w:tc>
          <w:tcPr>
            <w:tcW w:w="2048" w:type="dxa"/>
            <w:vAlign w:val="center"/>
          </w:tcPr>
          <w:p w14:paraId="4E6A383C"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937" w:type="dxa"/>
            <w:tcBorders>
              <w:top w:val="single" w:sz="8" w:space="0" w:color="auto"/>
              <w:bottom w:val="single" w:sz="8" w:space="0" w:color="auto"/>
            </w:tcBorders>
            <w:vAlign w:val="center"/>
          </w:tcPr>
          <w:p w14:paraId="5BFC3B67"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250940DB1301D1</w:t>
            </w:r>
          </w:p>
        </w:tc>
        <w:tc>
          <w:tcPr>
            <w:tcW w:w="1937" w:type="dxa"/>
            <w:tcBorders>
              <w:top w:val="single" w:sz="8" w:space="0" w:color="auto"/>
              <w:bottom w:val="single" w:sz="8" w:space="0" w:color="auto"/>
            </w:tcBorders>
            <w:vAlign w:val="center"/>
          </w:tcPr>
          <w:p w14:paraId="767FB49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250940DB1301D2</w:t>
            </w:r>
          </w:p>
        </w:tc>
        <w:tc>
          <w:tcPr>
            <w:tcW w:w="1938" w:type="dxa"/>
            <w:tcBorders>
              <w:top w:val="single" w:sz="8" w:space="0" w:color="auto"/>
              <w:bottom w:val="single" w:sz="8" w:space="0" w:color="auto"/>
            </w:tcBorders>
            <w:vAlign w:val="center"/>
          </w:tcPr>
          <w:p w14:paraId="1C3FB3F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250940DB1301D3</w:t>
            </w:r>
          </w:p>
        </w:tc>
        <w:tc>
          <w:tcPr>
            <w:tcW w:w="1211" w:type="dxa"/>
            <w:tcBorders>
              <w:top w:val="single" w:sz="8" w:space="0" w:color="auto"/>
              <w:bottom w:val="single" w:sz="8" w:space="0" w:color="auto"/>
            </w:tcBorders>
            <w:vAlign w:val="center"/>
          </w:tcPr>
          <w:p w14:paraId="52E8AE2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1C360688" w14:textId="77777777">
        <w:trPr>
          <w:cantSplit/>
          <w:trHeight w:val="397"/>
          <w:jc w:val="center"/>
        </w:trPr>
        <w:tc>
          <w:tcPr>
            <w:tcW w:w="2048" w:type="dxa"/>
            <w:vAlign w:val="center"/>
          </w:tcPr>
          <w:p w14:paraId="44797B64"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937" w:type="dxa"/>
            <w:tcBorders>
              <w:top w:val="single" w:sz="8" w:space="0" w:color="auto"/>
              <w:bottom w:val="single" w:sz="8" w:space="0" w:color="auto"/>
            </w:tcBorders>
            <w:vAlign w:val="center"/>
          </w:tcPr>
          <w:p w14:paraId="037F83E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7.8</w:t>
            </w:r>
          </w:p>
        </w:tc>
        <w:tc>
          <w:tcPr>
            <w:tcW w:w="1937" w:type="dxa"/>
            <w:tcBorders>
              <w:top w:val="single" w:sz="8" w:space="0" w:color="auto"/>
              <w:bottom w:val="single" w:sz="8" w:space="0" w:color="auto"/>
            </w:tcBorders>
            <w:vAlign w:val="center"/>
          </w:tcPr>
          <w:p w14:paraId="4DF3B67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7.7</w:t>
            </w:r>
          </w:p>
        </w:tc>
        <w:tc>
          <w:tcPr>
            <w:tcW w:w="1938" w:type="dxa"/>
            <w:tcBorders>
              <w:top w:val="single" w:sz="8" w:space="0" w:color="auto"/>
              <w:bottom w:val="single" w:sz="8" w:space="0" w:color="auto"/>
            </w:tcBorders>
            <w:vAlign w:val="center"/>
          </w:tcPr>
          <w:p w14:paraId="19ACD27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7.8</w:t>
            </w:r>
          </w:p>
        </w:tc>
        <w:tc>
          <w:tcPr>
            <w:tcW w:w="1211" w:type="dxa"/>
            <w:tcBorders>
              <w:top w:val="single" w:sz="8" w:space="0" w:color="auto"/>
              <w:bottom w:val="single" w:sz="8" w:space="0" w:color="auto"/>
            </w:tcBorders>
            <w:vAlign w:val="center"/>
          </w:tcPr>
          <w:p w14:paraId="161419F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0B7D911D" w14:textId="77777777">
        <w:trPr>
          <w:cantSplit/>
          <w:trHeight w:val="397"/>
          <w:jc w:val="center"/>
        </w:trPr>
        <w:tc>
          <w:tcPr>
            <w:tcW w:w="2048" w:type="dxa"/>
            <w:vAlign w:val="center"/>
          </w:tcPr>
          <w:p w14:paraId="5FA5606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937" w:type="dxa"/>
            <w:vAlign w:val="center"/>
          </w:tcPr>
          <w:p w14:paraId="667036D1"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2.8</w:t>
            </w:r>
          </w:p>
        </w:tc>
        <w:tc>
          <w:tcPr>
            <w:tcW w:w="1937" w:type="dxa"/>
            <w:vAlign w:val="center"/>
          </w:tcPr>
          <w:p w14:paraId="79F3E33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3.2</w:t>
            </w:r>
          </w:p>
        </w:tc>
        <w:tc>
          <w:tcPr>
            <w:tcW w:w="1938" w:type="dxa"/>
            <w:vAlign w:val="center"/>
          </w:tcPr>
          <w:p w14:paraId="1C6189E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3.4</w:t>
            </w:r>
          </w:p>
        </w:tc>
        <w:tc>
          <w:tcPr>
            <w:tcW w:w="1211" w:type="dxa"/>
            <w:vAlign w:val="center"/>
          </w:tcPr>
          <w:p w14:paraId="64F44EB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26B24DD" w14:textId="77777777">
        <w:trPr>
          <w:cantSplit/>
          <w:trHeight w:val="397"/>
          <w:jc w:val="center"/>
        </w:trPr>
        <w:tc>
          <w:tcPr>
            <w:tcW w:w="2048" w:type="dxa"/>
            <w:vAlign w:val="center"/>
          </w:tcPr>
          <w:p w14:paraId="6B34C0F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937" w:type="dxa"/>
            <w:vAlign w:val="center"/>
          </w:tcPr>
          <w:p w14:paraId="61DB2C0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9.2</w:t>
            </w:r>
          </w:p>
        </w:tc>
        <w:tc>
          <w:tcPr>
            <w:tcW w:w="1937" w:type="dxa"/>
            <w:vAlign w:val="center"/>
          </w:tcPr>
          <w:p w14:paraId="3035DFA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9.6</w:t>
            </w:r>
          </w:p>
        </w:tc>
        <w:tc>
          <w:tcPr>
            <w:tcW w:w="1938" w:type="dxa"/>
            <w:vAlign w:val="center"/>
          </w:tcPr>
          <w:p w14:paraId="1DD16628"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9.0</w:t>
            </w:r>
          </w:p>
        </w:tc>
        <w:tc>
          <w:tcPr>
            <w:tcW w:w="1211" w:type="dxa"/>
            <w:vAlign w:val="center"/>
          </w:tcPr>
          <w:p w14:paraId="0548BC4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AF7CFB6" w14:textId="77777777">
        <w:trPr>
          <w:cantSplit/>
          <w:trHeight w:val="397"/>
          <w:jc w:val="center"/>
        </w:trPr>
        <w:tc>
          <w:tcPr>
            <w:tcW w:w="2048" w:type="dxa"/>
            <w:vAlign w:val="center"/>
          </w:tcPr>
          <w:p w14:paraId="737219E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937" w:type="dxa"/>
            <w:vAlign w:val="center"/>
          </w:tcPr>
          <w:p w14:paraId="7B58E17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10</w:t>
            </w:r>
          </w:p>
        </w:tc>
        <w:tc>
          <w:tcPr>
            <w:tcW w:w="1937" w:type="dxa"/>
            <w:vAlign w:val="center"/>
          </w:tcPr>
          <w:p w14:paraId="1BCFCE0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12</w:t>
            </w:r>
          </w:p>
        </w:tc>
        <w:tc>
          <w:tcPr>
            <w:tcW w:w="1938" w:type="dxa"/>
            <w:vAlign w:val="center"/>
          </w:tcPr>
          <w:p w14:paraId="0E1FDD5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13</w:t>
            </w:r>
          </w:p>
        </w:tc>
        <w:tc>
          <w:tcPr>
            <w:tcW w:w="1211" w:type="dxa"/>
            <w:vAlign w:val="center"/>
          </w:tcPr>
          <w:p w14:paraId="777B945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B162803" w14:textId="77777777">
        <w:trPr>
          <w:cantSplit/>
          <w:trHeight w:val="397"/>
          <w:jc w:val="center"/>
        </w:trPr>
        <w:tc>
          <w:tcPr>
            <w:tcW w:w="2048" w:type="dxa"/>
            <w:vAlign w:val="center"/>
          </w:tcPr>
          <w:p w14:paraId="6FE852C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937" w:type="dxa"/>
            <w:vAlign w:val="center"/>
          </w:tcPr>
          <w:p w14:paraId="3EBD92EF"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3.8</w:t>
            </w:r>
          </w:p>
        </w:tc>
        <w:tc>
          <w:tcPr>
            <w:tcW w:w="1937" w:type="dxa"/>
            <w:vAlign w:val="center"/>
          </w:tcPr>
          <w:p w14:paraId="09BABC7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4.5</w:t>
            </w:r>
          </w:p>
        </w:tc>
        <w:tc>
          <w:tcPr>
            <w:tcW w:w="1938" w:type="dxa"/>
            <w:vAlign w:val="center"/>
          </w:tcPr>
          <w:p w14:paraId="5BDCA1F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4.9</w:t>
            </w:r>
          </w:p>
        </w:tc>
        <w:tc>
          <w:tcPr>
            <w:tcW w:w="1211" w:type="dxa"/>
            <w:vAlign w:val="center"/>
          </w:tcPr>
          <w:p w14:paraId="3A3EECF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7A68D20" w14:textId="77777777">
        <w:trPr>
          <w:cantSplit/>
          <w:trHeight w:val="397"/>
          <w:jc w:val="center"/>
        </w:trPr>
        <w:tc>
          <w:tcPr>
            <w:tcW w:w="2048" w:type="dxa"/>
            <w:vAlign w:val="center"/>
          </w:tcPr>
          <w:p w14:paraId="3C09B1D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937" w:type="dxa"/>
            <w:vAlign w:val="center"/>
          </w:tcPr>
          <w:p w14:paraId="5AF93CA8"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0.299</w:t>
            </w:r>
          </w:p>
        </w:tc>
        <w:tc>
          <w:tcPr>
            <w:tcW w:w="1937" w:type="dxa"/>
            <w:vAlign w:val="center"/>
          </w:tcPr>
          <w:p w14:paraId="2698DCE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0.304</w:t>
            </w:r>
          </w:p>
        </w:tc>
        <w:tc>
          <w:tcPr>
            <w:tcW w:w="1938" w:type="dxa"/>
            <w:vAlign w:val="center"/>
          </w:tcPr>
          <w:p w14:paraId="515FB55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0.325</w:t>
            </w:r>
          </w:p>
        </w:tc>
        <w:tc>
          <w:tcPr>
            <w:tcW w:w="1211" w:type="dxa"/>
            <w:vAlign w:val="center"/>
          </w:tcPr>
          <w:p w14:paraId="5FBD2E5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D7492A2" w14:textId="77777777">
        <w:trPr>
          <w:cantSplit/>
          <w:trHeight w:val="397"/>
          <w:jc w:val="center"/>
        </w:trPr>
        <w:tc>
          <w:tcPr>
            <w:tcW w:w="2048" w:type="dxa"/>
            <w:vAlign w:val="center"/>
          </w:tcPr>
          <w:p w14:paraId="4B80EB3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937" w:type="dxa"/>
            <w:vAlign w:val="center"/>
          </w:tcPr>
          <w:p w14:paraId="2BCBF6FE"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0.07</w:t>
            </w:r>
          </w:p>
        </w:tc>
        <w:tc>
          <w:tcPr>
            <w:tcW w:w="1937" w:type="dxa"/>
            <w:vAlign w:val="center"/>
          </w:tcPr>
          <w:p w14:paraId="4ACF449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0.08</w:t>
            </w:r>
          </w:p>
        </w:tc>
        <w:tc>
          <w:tcPr>
            <w:tcW w:w="1938" w:type="dxa"/>
            <w:vAlign w:val="center"/>
          </w:tcPr>
          <w:p w14:paraId="0C87384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0.06</w:t>
            </w:r>
          </w:p>
        </w:tc>
        <w:tc>
          <w:tcPr>
            <w:tcW w:w="1211" w:type="dxa"/>
            <w:vAlign w:val="center"/>
          </w:tcPr>
          <w:p w14:paraId="3A8723C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3570C46" w14:textId="77777777">
        <w:trPr>
          <w:cantSplit/>
          <w:trHeight w:val="397"/>
          <w:jc w:val="center"/>
        </w:trPr>
        <w:tc>
          <w:tcPr>
            <w:tcW w:w="2048" w:type="dxa"/>
            <w:vAlign w:val="center"/>
          </w:tcPr>
          <w:p w14:paraId="2C2A4F0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937" w:type="dxa"/>
            <w:vAlign w:val="center"/>
          </w:tcPr>
          <w:p w14:paraId="6E26BB3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1.63</w:t>
            </w:r>
          </w:p>
        </w:tc>
        <w:tc>
          <w:tcPr>
            <w:tcW w:w="1937" w:type="dxa"/>
            <w:vAlign w:val="center"/>
          </w:tcPr>
          <w:p w14:paraId="5EEA5BD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1.55</w:t>
            </w:r>
          </w:p>
        </w:tc>
        <w:tc>
          <w:tcPr>
            <w:tcW w:w="1938" w:type="dxa"/>
            <w:vAlign w:val="center"/>
          </w:tcPr>
          <w:p w14:paraId="5FD14B8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1.75</w:t>
            </w:r>
          </w:p>
        </w:tc>
        <w:tc>
          <w:tcPr>
            <w:tcW w:w="1211" w:type="dxa"/>
            <w:vAlign w:val="center"/>
          </w:tcPr>
          <w:p w14:paraId="7B4C25E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C4FD959" w14:textId="77777777">
        <w:trPr>
          <w:cantSplit/>
          <w:trHeight w:val="397"/>
          <w:jc w:val="center"/>
        </w:trPr>
        <w:tc>
          <w:tcPr>
            <w:tcW w:w="2048" w:type="dxa"/>
            <w:vAlign w:val="center"/>
          </w:tcPr>
          <w:p w14:paraId="2D7EAEE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937" w:type="dxa"/>
            <w:vAlign w:val="center"/>
          </w:tcPr>
          <w:p w14:paraId="7009773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3630416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7449784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4197818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473B3C4" w14:textId="77777777">
        <w:trPr>
          <w:cantSplit/>
          <w:trHeight w:val="397"/>
          <w:jc w:val="center"/>
        </w:trPr>
        <w:tc>
          <w:tcPr>
            <w:tcW w:w="2048" w:type="dxa"/>
            <w:vAlign w:val="center"/>
          </w:tcPr>
          <w:p w14:paraId="4E5220F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937" w:type="dxa"/>
            <w:vAlign w:val="center"/>
          </w:tcPr>
          <w:p w14:paraId="3FC7AAD4"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0.22</w:t>
            </w:r>
          </w:p>
        </w:tc>
        <w:tc>
          <w:tcPr>
            <w:tcW w:w="1937" w:type="dxa"/>
            <w:vAlign w:val="center"/>
          </w:tcPr>
          <w:p w14:paraId="69F14D9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0.25</w:t>
            </w:r>
          </w:p>
        </w:tc>
        <w:tc>
          <w:tcPr>
            <w:tcW w:w="1938" w:type="dxa"/>
            <w:vAlign w:val="center"/>
          </w:tcPr>
          <w:p w14:paraId="693AC47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0.21</w:t>
            </w:r>
          </w:p>
        </w:tc>
        <w:tc>
          <w:tcPr>
            <w:tcW w:w="1211" w:type="dxa"/>
            <w:vAlign w:val="center"/>
          </w:tcPr>
          <w:p w14:paraId="0E8FF9E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B7D616E" w14:textId="77777777">
        <w:trPr>
          <w:cantSplit/>
          <w:trHeight w:val="397"/>
          <w:jc w:val="center"/>
        </w:trPr>
        <w:tc>
          <w:tcPr>
            <w:tcW w:w="2048" w:type="dxa"/>
            <w:vAlign w:val="center"/>
          </w:tcPr>
          <w:p w14:paraId="25C448A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937" w:type="dxa"/>
            <w:vAlign w:val="center"/>
          </w:tcPr>
          <w:p w14:paraId="762448C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0.29</w:t>
            </w:r>
          </w:p>
        </w:tc>
        <w:tc>
          <w:tcPr>
            <w:tcW w:w="1937" w:type="dxa"/>
            <w:vAlign w:val="center"/>
          </w:tcPr>
          <w:p w14:paraId="690985E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0.31</w:t>
            </w:r>
          </w:p>
        </w:tc>
        <w:tc>
          <w:tcPr>
            <w:tcW w:w="1938" w:type="dxa"/>
            <w:vAlign w:val="center"/>
          </w:tcPr>
          <w:p w14:paraId="2D641B2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0.27</w:t>
            </w:r>
          </w:p>
        </w:tc>
        <w:tc>
          <w:tcPr>
            <w:tcW w:w="1211" w:type="dxa"/>
            <w:vAlign w:val="center"/>
          </w:tcPr>
          <w:p w14:paraId="7471C41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B2CC069" w14:textId="77777777">
        <w:trPr>
          <w:cantSplit/>
          <w:trHeight w:val="397"/>
          <w:jc w:val="center"/>
        </w:trPr>
        <w:tc>
          <w:tcPr>
            <w:tcW w:w="2048" w:type="dxa"/>
            <w:vAlign w:val="center"/>
          </w:tcPr>
          <w:p w14:paraId="240F8B2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硒</w:t>
            </w:r>
          </w:p>
        </w:tc>
        <w:tc>
          <w:tcPr>
            <w:tcW w:w="1937" w:type="dxa"/>
            <w:vAlign w:val="center"/>
          </w:tcPr>
          <w:p w14:paraId="035A615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0.001</w:t>
            </w:r>
          </w:p>
        </w:tc>
        <w:tc>
          <w:tcPr>
            <w:tcW w:w="1937" w:type="dxa"/>
            <w:vAlign w:val="center"/>
          </w:tcPr>
          <w:p w14:paraId="3D54F7F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938" w:type="dxa"/>
            <w:vAlign w:val="center"/>
          </w:tcPr>
          <w:p w14:paraId="7FBA4CE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211" w:type="dxa"/>
            <w:vAlign w:val="center"/>
          </w:tcPr>
          <w:p w14:paraId="2925D36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3169BFA" w14:textId="77777777">
        <w:trPr>
          <w:cantSplit/>
          <w:trHeight w:val="397"/>
          <w:jc w:val="center"/>
        </w:trPr>
        <w:tc>
          <w:tcPr>
            <w:tcW w:w="2048" w:type="dxa"/>
            <w:vAlign w:val="center"/>
          </w:tcPr>
          <w:p w14:paraId="6EDE3E6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砷</w:t>
            </w:r>
          </w:p>
        </w:tc>
        <w:tc>
          <w:tcPr>
            <w:tcW w:w="1937" w:type="dxa"/>
            <w:vAlign w:val="center"/>
          </w:tcPr>
          <w:p w14:paraId="5F0BFEF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937" w:type="dxa"/>
            <w:vAlign w:val="center"/>
          </w:tcPr>
          <w:p w14:paraId="6A40D03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938" w:type="dxa"/>
            <w:vAlign w:val="center"/>
          </w:tcPr>
          <w:p w14:paraId="5381F98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211" w:type="dxa"/>
            <w:vAlign w:val="center"/>
          </w:tcPr>
          <w:p w14:paraId="3C4E4E1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111324F" w14:textId="77777777">
        <w:trPr>
          <w:cantSplit/>
          <w:trHeight w:val="397"/>
          <w:jc w:val="center"/>
        </w:trPr>
        <w:tc>
          <w:tcPr>
            <w:tcW w:w="2048" w:type="dxa"/>
            <w:vAlign w:val="center"/>
          </w:tcPr>
          <w:p w14:paraId="356A949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总</w:t>
            </w:r>
            <w:r>
              <w:rPr>
                <w:rFonts w:ascii="Times New Roman" w:eastAsia="宋体" w:hAnsi="Times New Roman" w:cs="Times New Roman"/>
                <w:sz w:val="21"/>
                <w:lang w:bidi="ar"/>
              </w:rPr>
              <w:t>汞</w:t>
            </w:r>
          </w:p>
        </w:tc>
        <w:tc>
          <w:tcPr>
            <w:tcW w:w="1937" w:type="dxa"/>
            <w:vAlign w:val="center"/>
          </w:tcPr>
          <w:p w14:paraId="54D27B35"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7" w:type="dxa"/>
            <w:vAlign w:val="center"/>
          </w:tcPr>
          <w:p w14:paraId="29CD75C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8" w:type="dxa"/>
            <w:vAlign w:val="center"/>
          </w:tcPr>
          <w:p w14:paraId="4A2B03E4"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0.00002L</w:t>
            </w:r>
          </w:p>
        </w:tc>
        <w:tc>
          <w:tcPr>
            <w:tcW w:w="1211" w:type="dxa"/>
            <w:vAlign w:val="center"/>
          </w:tcPr>
          <w:p w14:paraId="6F41240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892050A" w14:textId="77777777">
        <w:trPr>
          <w:cantSplit/>
          <w:trHeight w:val="397"/>
          <w:jc w:val="center"/>
        </w:trPr>
        <w:tc>
          <w:tcPr>
            <w:tcW w:w="2048" w:type="dxa"/>
            <w:vAlign w:val="center"/>
          </w:tcPr>
          <w:p w14:paraId="7BC3D90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镉</w:t>
            </w:r>
          </w:p>
        </w:tc>
        <w:tc>
          <w:tcPr>
            <w:tcW w:w="1937" w:type="dxa"/>
            <w:vAlign w:val="center"/>
          </w:tcPr>
          <w:p w14:paraId="236A3465"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7" w:type="dxa"/>
            <w:vAlign w:val="center"/>
          </w:tcPr>
          <w:p w14:paraId="3C68BF9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8" w:type="dxa"/>
            <w:vAlign w:val="center"/>
          </w:tcPr>
          <w:p w14:paraId="1989CBFC"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0.0001L</w:t>
            </w:r>
          </w:p>
        </w:tc>
        <w:tc>
          <w:tcPr>
            <w:tcW w:w="1211" w:type="dxa"/>
            <w:vAlign w:val="center"/>
          </w:tcPr>
          <w:p w14:paraId="56633FC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4B545E7" w14:textId="77777777">
        <w:trPr>
          <w:cantSplit/>
          <w:trHeight w:val="397"/>
          <w:jc w:val="center"/>
        </w:trPr>
        <w:tc>
          <w:tcPr>
            <w:tcW w:w="2048" w:type="dxa"/>
            <w:vAlign w:val="center"/>
          </w:tcPr>
          <w:p w14:paraId="54D82B5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六价铬</w:t>
            </w:r>
          </w:p>
        </w:tc>
        <w:tc>
          <w:tcPr>
            <w:tcW w:w="1937" w:type="dxa"/>
            <w:vAlign w:val="center"/>
          </w:tcPr>
          <w:p w14:paraId="0404B415"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437D319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34E35A6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110FC2E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3BD31A5" w14:textId="77777777">
        <w:trPr>
          <w:cantSplit/>
          <w:trHeight w:val="397"/>
          <w:jc w:val="center"/>
        </w:trPr>
        <w:tc>
          <w:tcPr>
            <w:tcW w:w="2048" w:type="dxa"/>
            <w:vAlign w:val="center"/>
          </w:tcPr>
          <w:p w14:paraId="59477FE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lastRenderedPageBreak/>
              <w:t>铅</w:t>
            </w:r>
          </w:p>
        </w:tc>
        <w:tc>
          <w:tcPr>
            <w:tcW w:w="1937" w:type="dxa"/>
            <w:vAlign w:val="center"/>
          </w:tcPr>
          <w:p w14:paraId="27031B69"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7" w:type="dxa"/>
            <w:vAlign w:val="center"/>
          </w:tcPr>
          <w:p w14:paraId="3D3F581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8" w:type="dxa"/>
            <w:vAlign w:val="center"/>
          </w:tcPr>
          <w:p w14:paraId="42237F7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211" w:type="dxa"/>
            <w:vAlign w:val="center"/>
          </w:tcPr>
          <w:p w14:paraId="66DDBD8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8C7825B" w14:textId="77777777">
        <w:trPr>
          <w:cantSplit/>
          <w:trHeight w:val="397"/>
          <w:jc w:val="center"/>
        </w:trPr>
        <w:tc>
          <w:tcPr>
            <w:tcW w:w="2048" w:type="dxa"/>
            <w:vAlign w:val="center"/>
          </w:tcPr>
          <w:p w14:paraId="6C2670F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937" w:type="dxa"/>
            <w:vAlign w:val="center"/>
          </w:tcPr>
          <w:p w14:paraId="19C88E65"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3E0B8A7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5BCACB0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0DDC557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87BFE25" w14:textId="77777777">
        <w:trPr>
          <w:cantSplit/>
          <w:trHeight w:val="397"/>
          <w:jc w:val="center"/>
        </w:trPr>
        <w:tc>
          <w:tcPr>
            <w:tcW w:w="2048" w:type="dxa"/>
            <w:vAlign w:val="center"/>
          </w:tcPr>
          <w:p w14:paraId="78E0CBE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937" w:type="dxa"/>
            <w:vAlign w:val="center"/>
          </w:tcPr>
          <w:p w14:paraId="62FA4303"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7" w:type="dxa"/>
            <w:vAlign w:val="center"/>
          </w:tcPr>
          <w:p w14:paraId="35E9C6F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8" w:type="dxa"/>
            <w:vAlign w:val="center"/>
          </w:tcPr>
          <w:p w14:paraId="6483F69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211" w:type="dxa"/>
            <w:vAlign w:val="center"/>
          </w:tcPr>
          <w:p w14:paraId="35988D9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4147E61" w14:textId="77777777">
        <w:trPr>
          <w:cantSplit/>
          <w:trHeight w:val="397"/>
          <w:jc w:val="center"/>
        </w:trPr>
        <w:tc>
          <w:tcPr>
            <w:tcW w:w="2048" w:type="dxa"/>
            <w:vAlign w:val="center"/>
          </w:tcPr>
          <w:p w14:paraId="07D19EB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937" w:type="dxa"/>
            <w:vAlign w:val="center"/>
          </w:tcPr>
          <w:p w14:paraId="0FC1D08F"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196AB2C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2D5931F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51DDC67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C730F74" w14:textId="77777777">
        <w:trPr>
          <w:cantSplit/>
          <w:trHeight w:val="397"/>
          <w:jc w:val="center"/>
        </w:trPr>
        <w:tc>
          <w:tcPr>
            <w:tcW w:w="2048" w:type="dxa"/>
            <w:vAlign w:val="center"/>
          </w:tcPr>
          <w:p w14:paraId="6141285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937" w:type="dxa"/>
            <w:vAlign w:val="center"/>
          </w:tcPr>
          <w:p w14:paraId="1BB4F73C"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087D6EA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4F0B86F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08457A5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F422970" w14:textId="77777777">
        <w:trPr>
          <w:cantSplit/>
          <w:trHeight w:val="397"/>
          <w:jc w:val="center"/>
        </w:trPr>
        <w:tc>
          <w:tcPr>
            <w:tcW w:w="2048" w:type="dxa"/>
            <w:vAlign w:val="center"/>
          </w:tcPr>
          <w:p w14:paraId="1524C9A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937" w:type="dxa"/>
            <w:vAlign w:val="center"/>
          </w:tcPr>
          <w:p w14:paraId="3F58F6E4"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53045FE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69DFB09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4585F62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3AC7C94" w14:textId="77777777">
        <w:trPr>
          <w:cantSplit/>
          <w:trHeight w:val="398"/>
          <w:jc w:val="center"/>
        </w:trPr>
        <w:tc>
          <w:tcPr>
            <w:tcW w:w="2048" w:type="dxa"/>
            <w:vAlign w:val="center"/>
          </w:tcPr>
          <w:p w14:paraId="683C88A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937" w:type="dxa"/>
            <w:vAlign w:val="center"/>
          </w:tcPr>
          <w:p w14:paraId="755335C6"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sz w:val="21"/>
                <w:szCs w:val="21"/>
              </w:rPr>
              <w:t>9.4×10</w:t>
            </w:r>
            <w:r>
              <w:rPr>
                <w:rFonts w:ascii="Times New Roman" w:hAnsi="Times New Roman" w:cs="Times New Roman"/>
                <w:sz w:val="21"/>
                <w:szCs w:val="21"/>
                <w:vertAlign w:val="superscript"/>
              </w:rPr>
              <w:t>3</w:t>
            </w:r>
          </w:p>
        </w:tc>
        <w:tc>
          <w:tcPr>
            <w:tcW w:w="1937" w:type="dxa"/>
            <w:vAlign w:val="center"/>
          </w:tcPr>
          <w:p w14:paraId="1442D53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7.9</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8" w:type="dxa"/>
            <w:vAlign w:val="center"/>
          </w:tcPr>
          <w:p w14:paraId="62FB0C4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8.4</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211" w:type="dxa"/>
            <w:vAlign w:val="center"/>
          </w:tcPr>
          <w:p w14:paraId="5412E37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3CAD627E" w14:textId="77777777">
        <w:trPr>
          <w:cantSplit/>
          <w:trHeight w:val="397"/>
          <w:jc w:val="center"/>
        </w:trPr>
        <w:tc>
          <w:tcPr>
            <w:tcW w:w="2048" w:type="dxa"/>
            <w:vAlign w:val="center"/>
          </w:tcPr>
          <w:p w14:paraId="3B3436BF"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937" w:type="dxa"/>
            <w:vAlign w:val="center"/>
          </w:tcPr>
          <w:p w14:paraId="5D251653"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10.6</w:t>
            </w:r>
          </w:p>
        </w:tc>
        <w:tc>
          <w:tcPr>
            <w:tcW w:w="1937" w:type="dxa"/>
            <w:vAlign w:val="center"/>
          </w:tcPr>
          <w:p w14:paraId="72D65F4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10.8</w:t>
            </w:r>
          </w:p>
        </w:tc>
        <w:tc>
          <w:tcPr>
            <w:tcW w:w="1938" w:type="dxa"/>
            <w:vAlign w:val="center"/>
          </w:tcPr>
          <w:p w14:paraId="2512A4B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10.1</w:t>
            </w:r>
          </w:p>
        </w:tc>
        <w:tc>
          <w:tcPr>
            <w:tcW w:w="1211" w:type="dxa"/>
            <w:vAlign w:val="center"/>
          </w:tcPr>
          <w:p w14:paraId="57463D60"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62A854B6" w14:textId="77777777" w:rsidR="009D12AF" w:rsidRDefault="00000000">
      <w:pPr>
        <w:ind w:firstLine="482"/>
        <w:jc w:val="center"/>
        <w:rPr>
          <w:b/>
          <w:bCs/>
        </w:rPr>
      </w:pPr>
      <w:r>
        <w:rPr>
          <w:rFonts w:hint="eastAsia"/>
          <w:b/>
          <w:bCs/>
        </w:rPr>
        <w:t>表</w:t>
      </w:r>
      <w:r>
        <w:rPr>
          <w:rFonts w:hint="eastAsia"/>
          <w:b/>
          <w:bCs/>
        </w:rPr>
        <w:t>4.3-11</w:t>
      </w:r>
      <w:r>
        <w:rPr>
          <w:rFonts w:hint="eastAsia"/>
          <w:b/>
          <w:bCs/>
        </w:rPr>
        <w:t>（</w:t>
      </w:r>
      <w:r>
        <w:rPr>
          <w:rFonts w:hint="eastAsia"/>
          <w:b/>
          <w:bCs/>
        </w:rPr>
        <w:t>2</w:t>
      </w:r>
      <w:r>
        <w:rPr>
          <w:rFonts w:hint="eastAsia"/>
          <w:b/>
          <w:bCs/>
        </w:rPr>
        <w:t>）</w:t>
      </w:r>
      <w:r>
        <w:rPr>
          <w:rFonts w:hint="eastAsia"/>
          <w:b/>
          <w:bCs/>
        </w:rPr>
        <w:t xml:space="preserve">  </w:t>
      </w:r>
      <w:r>
        <w:rPr>
          <w:rFonts w:hint="eastAsia"/>
          <w:b/>
          <w:bCs/>
        </w:rPr>
        <w:t>新安晒水池地表水环境监测结果</w:t>
      </w:r>
    </w:p>
    <w:tbl>
      <w:tblPr>
        <w:tblW w:w="907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048"/>
        <w:gridCol w:w="1937"/>
        <w:gridCol w:w="1937"/>
        <w:gridCol w:w="1938"/>
        <w:gridCol w:w="1211"/>
      </w:tblGrid>
      <w:tr w:rsidR="009D12AF" w14:paraId="68B742ED" w14:textId="77777777">
        <w:trPr>
          <w:cantSplit/>
          <w:trHeight w:val="397"/>
          <w:jc w:val="center"/>
        </w:trPr>
        <w:tc>
          <w:tcPr>
            <w:tcW w:w="2048" w:type="dxa"/>
            <w:vAlign w:val="center"/>
          </w:tcPr>
          <w:p w14:paraId="6EC6BB42"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937" w:type="dxa"/>
            <w:tcBorders>
              <w:bottom w:val="single" w:sz="8" w:space="0" w:color="auto"/>
            </w:tcBorders>
            <w:vAlign w:val="center"/>
          </w:tcPr>
          <w:p w14:paraId="590AB774" w14:textId="77777777" w:rsidR="009D12AF" w:rsidRDefault="00000000">
            <w:pPr>
              <w:spacing w:line="240" w:lineRule="exact"/>
              <w:ind w:firstLineChars="0" w:firstLine="0"/>
              <w:jc w:val="center"/>
              <w:rPr>
                <w:rFonts w:ascii="Times New Roman" w:eastAsia="宋体" w:hAnsi="Times New Roman" w:cs="Times New Roman"/>
                <w:b/>
                <w:bCs/>
              </w:rPr>
            </w:pPr>
            <w:r>
              <w:rPr>
                <w:rFonts w:ascii="Times New Roman" w:hAnsi="Times New Roman" w:cs="Times New Roman"/>
                <w:b/>
                <w:bCs/>
              </w:rPr>
              <w:t>2025.10.07</w:t>
            </w:r>
          </w:p>
        </w:tc>
        <w:tc>
          <w:tcPr>
            <w:tcW w:w="1937" w:type="dxa"/>
            <w:tcBorders>
              <w:bottom w:val="single" w:sz="8" w:space="0" w:color="auto"/>
            </w:tcBorders>
            <w:vAlign w:val="center"/>
          </w:tcPr>
          <w:p w14:paraId="0B2CCD50"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938" w:type="dxa"/>
            <w:tcBorders>
              <w:bottom w:val="single" w:sz="8" w:space="0" w:color="auto"/>
            </w:tcBorders>
            <w:vAlign w:val="center"/>
          </w:tcPr>
          <w:p w14:paraId="50CD2651"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1211" w:type="dxa"/>
            <w:tcBorders>
              <w:bottom w:val="single" w:sz="8" w:space="0" w:color="auto"/>
            </w:tcBorders>
            <w:vAlign w:val="center"/>
          </w:tcPr>
          <w:p w14:paraId="6943CA5D"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w:t>
            </w:r>
          </w:p>
        </w:tc>
      </w:tr>
      <w:tr w:rsidR="009D12AF" w14:paraId="21D1F028" w14:textId="77777777">
        <w:trPr>
          <w:cantSplit/>
          <w:trHeight w:val="397"/>
          <w:jc w:val="center"/>
        </w:trPr>
        <w:tc>
          <w:tcPr>
            <w:tcW w:w="2048" w:type="dxa"/>
            <w:tcBorders>
              <w:bottom w:val="single" w:sz="8" w:space="0" w:color="auto"/>
            </w:tcBorders>
            <w:vAlign w:val="center"/>
          </w:tcPr>
          <w:p w14:paraId="598F6293"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5812" w:type="dxa"/>
            <w:gridSpan w:val="3"/>
            <w:tcBorders>
              <w:top w:val="single" w:sz="8" w:space="0" w:color="auto"/>
              <w:bottom w:val="single" w:sz="8" w:space="0" w:color="auto"/>
            </w:tcBorders>
            <w:vAlign w:val="center"/>
          </w:tcPr>
          <w:p w14:paraId="6CC5917E"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rPr>
              <w:t>新安晒水池</w:t>
            </w:r>
            <w:r>
              <w:rPr>
                <w:rFonts w:ascii="Times New Roman" w:hAnsi="Times New Roman" w:cs="Times New Roman"/>
                <w:b/>
                <w:bCs/>
              </w:rPr>
              <w:t>2#</w:t>
            </w:r>
            <w:r>
              <w:rPr>
                <w:rFonts w:ascii="Times New Roman" w:hAnsi="Times New Roman" w:cs="Times New Roman"/>
                <w:b/>
                <w:bCs/>
              </w:rPr>
              <w:t>（水面下</w:t>
            </w:r>
            <w:r>
              <w:rPr>
                <w:rFonts w:ascii="Times New Roman" w:hAnsi="Times New Roman" w:cs="Times New Roman"/>
                <w:b/>
                <w:bCs/>
              </w:rPr>
              <w:t>0.5m</w:t>
            </w:r>
            <w:r>
              <w:rPr>
                <w:rFonts w:ascii="Times New Roman" w:hAnsi="Times New Roman" w:cs="Times New Roman"/>
                <w:b/>
                <w:bCs/>
              </w:rPr>
              <w:t>）</w:t>
            </w:r>
          </w:p>
        </w:tc>
        <w:tc>
          <w:tcPr>
            <w:tcW w:w="1211" w:type="dxa"/>
            <w:tcBorders>
              <w:top w:val="single" w:sz="8" w:space="0" w:color="auto"/>
              <w:bottom w:val="single" w:sz="8" w:space="0" w:color="auto"/>
            </w:tcBorders>
            <w:vAlign w:val="center"/>
          </w:tcPr>
          <w:p w14:paraId="726B84C8"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kern w:val="0"/>
                <w:szCs w:val="21"/>
              </w:rPr>
              <w:t>/</w:t>
            </w:r>
          </w:p>
        </w:tc>
      </w:tr>
      <w:tr w:rsidR="009D12AF" w14:paraId="037486C0" w14:textId="77777777">
        <w:trPr>
          <w:cantSplit/>
          <w:trHeight w:val="397"/>
          <w:jc w:val="center"/>
        </w:trPr>
        <w:tc>
          <w:tcPr>
            <w:tcW w:w="2048" w:type="dxa"/>
            <w:tcBorders>
              <w:bottom w:val="single" w:sz="8" w:space="0" w:color="auto"/>
            </w:tcBorders>
            <w:vAlign w:val="center"/>
          </w:tcPr>
          <w:p w14:paraId="0DF6FFFB"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检测项目</w:t>
            </w:r>
          </w:p>
        </w:tc>
        <w:tc>
          <w:tcPr>
            <w:tcW w:w="5812" w:type="dxa"/>
            <w:gridSpan w:val="3"/>
            <w:tcBorders>
              <w:top w:val="single" w:sz="8" w:space="0" w:color="auto"/>
              <w:bottom w:val="single" w:sz="8" w:space="0" w:color="auto"/>
            </w:tcBorders>
            <w:vAlign w:val="center"/>
          </w:tcPr>
          <w:p w14:paraId="57C704AB"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检测结果</w:t>
            </w:r>
          </w:p>
        </w:tc>
        <w:tc>
          <w:tcPr>
            <w:tcW w:w="1211" w:type="dxa"/>
            <w:tcBorders>
              <w:top w:val="single" w:sz="8" w:space="0" w:color="auto"/>
              <w:bottom w:val="single" w:sz="8" w:space="0" w:color="auto"/>
            </w:tcBorders>
            <w:vAlign w:val="center"/>
          </w:tcPr>
          <w:p w14:paraId="090AEEB7"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单位</w:t>
            </w:r>
          </w:p>
        </w:tc>
      </w:tr>
      <w:tr w:rsidR="009D12AF" w14:paraId="46E15DD1" w14:textId="77777777">
        <w:trPr>
          <w:cantSplit/>
          <w:trHeight w:val="397"/>
          <w:jc w:val="center"/>
        </w:trPr>
        <w:tc>
          <w:tcPr>
            <w:tcW w:w="2048" w:type="dxa"/>
            <w:vAlign w:val="center"/>
          </w:tcPr>
          <w:p w14:paraId="286223EE"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937" w:type="dxa"/>
            <w:tcBorders>
              <w:top w:val="single" w:sz="8" w:space="0" w:color="auto"/>
              <w:bottom w:val="single" w:sz="8" w:space="0" w:color="auto"/>
            </w:tcBorders>
            <w:vAlign w:val="center"/>
          </w:tcPr>
          <w:p w14:paraId="5809336E"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250940DB1401D1</w:t>
            </w:r>
          </w:p>
        </w:tc>
        <w:tc>
          <w:tcPr>
            <w:tcW w:w="1937" w:type="dxa"/>
            <w:tcBorders>
              <w:top w:val="single" w:sz="8" w:space="0" w:color="auto"/>
              <w:bottom w:val="single" w:sz="8" w:space="0" w:color="auto"/>
            </w:tcBorders>
            <w:vAlign w:val="center"/>
          </w:tcPr>
          <w:p w14:paraId="7406F83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250940DB1401D2</w:t>
            </w:r>
          </w:p>
        </w:tc>
        <w:tc>
          <w:tcPr>
            <w:tcW w:w="1938" w:type="dxa"/>
            <w:tcBorders>
              <w:top w:val="single" w:sz="8" w:space="0" w:color="auto"/>
              <w:bottom w:val="single" w:sz="8" w:space="0" w:color="auto"/>
            </w:tcBorders>
            <w:vAlign w:val="center"/>
          </w:tcPr>
          <w:p w14:paraId="4A6D86D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250940DB1401D3</w:t>
            </w:r>
          </w:p>
        </w:tc>
        <w:tc>
          <w:tcPr>
            <w:tcW w:w="1211" w:type="dxa"/>
            <w:tcBorders>
              <w:top w:val="single" w:sz="8" w:space="0" w:color="auto"/>
              <w:bottom w:val="single" w:sz="8" w:space="0" w:color="auto"/>
            </w:tcBorders>
            <w:vAlign w:val="center"/>
          </w:tcPr>
          <w:p w14:paraId="66D9A6D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56A59CAA" w14:textId="77777777">
        <w:trPr>
          <w:cantSplit/>
          <w:trHeight w:val="397"/>
          <w:jc w:val="center"/>
        </w:trPr>
        <w:tc>
          <w:tcPr>
            <w:tcW w:w="2048" w:type="dxa"/>
            <w:vAlign w:val="center"/>
          </w:tcPr>
          <w:p w14:paraId="4ED8F61D"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937" w:type="dxa"/>
            <w:tcBorders>
              <w:top w:val="single" w:sz="8" w:space="0" w:color="auto"/>
              <w:bottom w:val="single" w:sz="8" w:space="0" w:color="auto"/>
            </w:tcBorders>
            <w:vAlign w:val="center"/>
          </w:tcPr>
          <w:p w14:paraId="7466928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7.8</w:t>
            </w:r>
          </w:p>
        </w:tc>
        <w:tc>
          <w:tcPr>
            <w:tcW w:w="1937" w:type="dxa"/>
            <w:tcBorders>
              <w:top w:val="single" w:sz="8" w:space="0" w:color="auto"/>
              <w:bottom w:val="single" w:sz="8" w:space="0" w:color="auto"/>
            </w:tcBorders>
            <w:vAlign w:val="center"/>
          </w:tcPr>
          <w:p w14:paraId="1E10E0C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7.7</w:t>
            </w:r>
          </w:p>
        </w:tc>
        <w:tc>
          <w:tcPr>
            <w:tcW w:w="1938" w:type="dxa"/>
            <w:tcBorders>
              <w:top w:val="single" w:sz="8" w:space="0" w:color="auto"/>
              <w:bottom w:val="single" w:sz="8" w:space="0" w:color="auto"/>
            </w:tcBorders>
            <w:vAlign w:val="center"/>
          </w:tcPr>
          <w:p w14:paraId="088CC72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7.7</w:t>
            </w:r>
          </w:p>
        </w:tc>
        <w:tc>
          <w:tcPr>
            <w:tcW w:w="1211" w:type="dxa"/>
            <w:tcBorders>
              <w:top w:val="single" w:sz="8" w:space="0" w:color="auto"/>
              <w:bottom w:val="single" w:sz="8" w:space="0" w:color="auto"/>
            </w:tcBorders>
            <w:vAlign w:val="center"/>
          </w:tcPr>
          <w:p w14:paraId="1BC1033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57ED9D30" w14:textId="77777777">
        <w:trPr>
          <w:cantSplit/>
          <w:trHeight w:val="397"/>
          <w:jc w:val="center"/>
        </w:trPr>
        <w:tc>
          <w:tcPr>
            <w:tcW w:w="2048" w:type="dxa"/>
            <w:vAlign w:val="center"/>
          </w:tcPr>
          <w:p w14:paraId="2A78025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937" w:type="dxa"/>
            <w:vAlign w:val="center"/>
          </w:tcPr>
          <w:p w14:paraId="58FFBD78"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4.0</w:t>
            </w:r>
          </w:p>
        </w:tc>
        <w:tc>
          <w:tcPr>
            <w:tcW w:w="1937" w:type="dxa"/>
            <w:vAlign w:val="center"/>
          </w:tcPr>
          <w:p w14:paraId="66147EF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4.3</w:t>
            </w:r>
          </w:p>
        </w:tc>
        <w:tc>
          <w:tcPr>
            <w:tcW w:w="1938" w:type="dxa"/>
            <w:vAlign w:val="center"/>
          </w:tcPr>
          <w:p w14:paraId="3B57591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5.0</w:t>
            </w:r>
          </w:p>
        </w:tc>
        <w:tc>
          <w:tcPr>
            <w:tcW w:w="1211" w:type="dxa"/>
            <w:vAlign w:val="center"/>
          </w:tcPr>
          <w:p w14:paraId="2101AA4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5399034" w14:textId="77777777">
        <w:trPr>
          <w:cantSplit/>
          <w:trHeight w:val="397"/>
          <w:jc w:val="center"/>
        </w:trPr>
        <w:tc>
          <w:tcPr>
            <w:tcW w:w="2048" w:type="dxa"/>
            <w:vAlign w:val="center"/>
          </w:tcPr>
          <w:p w14:paraId="51B413E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937" w:type="dxa"/>
            <w:vAlign w:val="center"/>
          </w:tcPr>
          <w:p w14:paraId="046C5A1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8.7</w:t>
            </w:r>
          </w:p>
        </w:tc>
        <w:tc>
          <w:tcPr>
            <w:tcW w:w="1937" w:type="dxa"/>
            <w:vAlign w:val="center"/>
          </w:tcPr>
          <w:p w14:paraId="4BC9D22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9.0</w:t>
            </w:r>
          </w:p>
        </w:tc>
        <w:tc>
          <w:tcPr>
            <w:tcW w:w="1938" w:type="dxa"/>
            <w:vAlign w:val="center"/>
          </w:tcPr>
          <w:p w14:paraId="189087F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8.5</w:t>
            </w:r>
          </w:p>
        </w:tc>
        <w:tc>
          <w:tcPr>
            <w:tcW w:w="1211" w:type="dxa"/>
            <w:vAlign w:val="center"/>
          </w:tcPr>
          <w:p w14:paraId="7BBD38D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62F02EF" w14:textId="77777777">
        <w:trPr>
          <w:cantSplit/>
          <w:trHeight w:val="397"/>
          <w:jc w:val="center"/>
        </w:trPr>
        <w:tc>
          <w:tcPr>
            <w:tcW w:w="2048" w:type="dxa"/>
            <w:vAlign w:val="center"/>
          </w:tcPr>
          <w:p w14:paraId="2C5DF27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937" w:type="dxa"/>
            <w:vAlign w:val="center"/>
          </w:tcPr>
          <w:p w14:paraId="2B2C3F7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14</w:t>
            </w:r>
          </w:p>
        </w:tc>
        <w:tc>
          <w:tcPr>
            <w:tcW w:w="1937" w:type="dxa"/>
            <w:vAlign w:val="center"/>
          </w:tcPr>
          <w:p w14:paraId="5B8C59F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16</w:t>
            </w:r>
          </w:p>
        </w:tc>
        <w:tc>
          <w:tcPr>
            <w:tcW w:w="1938" w:type="dxa"/>
            <w:vAlign w:val="center"/>
          </w:tcPr>
          <w:p w14:paraId="3264B52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19</w:t>
            </w:r>
          </w:p>
        </w:tc>
        <w:tc>
          <w:tcPr>
            <w:tcW w:w="1211" w:type="dxa"/>
            <w:vAlign w:val="center"/>
          </w:tcPr>
          <w:p w14:paraId="5C871B4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EB707F1" w14:textId="77777777">
        <w:trPr>
          <w:cantSplit/>
          <w:trHeight w:val="397"/>
          <w:jc w:val="center"/>
        </w:trPr>
        <w:tc>
          <w:tcPr>
            <w:tcW w:w="2048" w:type="dxa"/>
            <w:vAlign w:val="center"/>
          </w:tcPr>
          <w:p w14:paraId="149059E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937" w:type="dxa"/>
            <w:vAlign w:val="center"/>
          </w:tcPr>
          <w:p w14:paraId="00D4B20F"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5.3</w:t>
            </w:r>
          </w:p>
        </w:tc>
        <w:tc>
          <w:tcPr>
            <w:tcW w:w="1937" w:type="dxa"/>
            <w:vAlign w:val="center"/>
          </w:tcPr>
          <w:p w14:paraId="7ABF881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5.8</w:t>
            </w:r>
          </w:p>
        </w:tc>
        <w:tc>
          <w:tcPr>
            <w:tcW w:w="1938" w:type="dxa"/>
            <w:vAlign w:val="center"/>
          </w:tcPr>
          <w:p w14:paraId="20D4E5B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6.9</w:t>
            </w:r>
          </w:p>
        </w:tc>
        <w:tc>
          <w:tcPr>
            <w:tcW w:w="1211" w:type="dxa"/>
            <w:vAlign w:val="center"/>
          </w:tcPr>
          <w:p w14:paraId="227DC9E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CCE1049" w14:textId="77777777">
        <w:trPr>
          <w:cantSplit/>
          <w:trHeight w:val="397"/>
          <w:jc w:val="center"/>
        </w:trPr>
        <w:tc>
          <w:tcPr>
            <w:tcW w:w="2048" w:type="dxa"/>
            <w:vAlign w:val="center"/>
          </w:tcPr>
          <w:p w14:paraId="5EB899C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937" w:type="dxa"/>
            <w:vAlign w:val="center"/>
          </w:tcPr>
          <w:p w14:paraId="6AEFDFA6"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0.276</w:t>
            </w:r>
          </w:p>
        </w:tc>
        <w:tc>
          <w:tcPr>
            <w:tcW w:w="1937" w:type="dxa"/>
            <w:vAlign w:val="center"/>
          </w:tcPr>
          <w:p w14:paraId="0F63CF48"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0.260</w:t>
            </w:r>
          </w:p>
        </w:tc>
        <w:tc>
          <w:tcPr>
            <w:tcW w:w="1938" w:type="dxa"/>
            <w:vAlign w:val="center"/>
          </w:tcPr>
          <w:p w14:paraId="0313A6E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0.256</w:t>
            </w:r>
          </w:p>
        </w:tc>
        <w:tc>
          <w:tcPr>
            <w:tcW w:w="1211" w:type="dxa"/>
            <w:vAlign w:val="center"/>
          </w:tcPr>
          <w:p w14:paraId="23F6595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43D14DD" w14:textId="77777777">
        <w:trPr>
          <w:cantSplit/>
          <w:trHeight w:val="397"/>
          <w:jc w:val="center"/>
        </w:trPr>
        <w:tc>
          <w:tcPr>
            <w:tcW w:w="2048" w:type="dxa"/>
            <w:vAlign w:val="center"/>
          </w:tcPr>
          <w:p w14:paraId="48539B6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937" w:type="dxa"/>
            <w:vAlign w:val="center"/>
          </w:tcPr>
          <w:p w14:paraId="4A7DCB48"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0.04</w:t>
            </w:r>
          </w:p>
        </w:tc>
        <w:tc>
          <w:tcPr>
            <w:tcW w:w="1937" w:type="dxa"/>
            <w:vAlign w:val="center"/>
          </w:tcPr>
          <w:p w14:paraId="56EC759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w:t>
            </w:r>
          </w:p>
        </w:tc>
        <w:tc>
          <w:tcPr>
            <w:tcW w:w="1938" w:type="dxa"/>
            <w:vAlign w:val="center"/>
          </w:tcPr>
          <w:p w14:paraId="4867823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0.07</w:t>
            </w:r>
          </w:p>
        </w:tc>
        <w:tc>
          <w:tcPr>
            <w:tcW w:w="1211" w:type="dxa"/>
            <w:vAlign w:val="center"/>
          </w:tcPr>
          <w:p w14:paraId="45FC1EF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5160076" w14:textId="77777777">
        <w:trPr>
          <w:cantSplit/>
          <w:trHeight w:val="397"/>
          <w:jc w:val="center"/>
        </w:trPr>
        <w:tc>
          <w:tcPr>
            <w:tcW w:w="2048" w:type="dxa"/>
            <w:vAlign w:val="center"/>
          </w:tcPr>
          <w:p w14:paraId="66565D6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937" w:type="dxa"/>
            <w:vAlign w:val="center"/>
          </w:tcPr>
          <w:p w14:paraId="1A49AFF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1.16</w:t>
            </w:r>
          </w:p>
        </w:tc>
        <w:tc>
          <w:tcPr>
            <w:tcW w:w="1937" w:type="dxa"/>
            <w:vAlign w:val="center"/>
          </w:tcPr>
          <w:p w14:paraId="17EFE95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1.26</w:t>
            </w:r>
          </w:p>
        </w:tc>
        <w:tc>
          <w:tcPr>
            <w:tcW w:w="1938" w:type="dxa"/>
            <w:vAlign w:val="center"/>
          </w:tcPr>
          <w:p w14:paraId="69D6EC2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1.31</w:t>
            </w:r>
          </w:p>
        </w:tc>
        <w:tc>
          <w:tcPr>
            <w:tcW w:w="1211" w:type="dxa"/>
            <w:vAlign w:val="center"/>
          </w:tcPr>
          <w:p w14:paraId="752E1CD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AC788D4" w14:textId="77777777">
        <w:trPr>
          <w:cantSplit/>
          <w:trHeight w:val="397"/>
          <w:jc w:val="center"/>
        </w:trPr>
        <w:tc>
          <w:tcPr>
            <w:tcW w:w="2048" w:type="dxa"/>
            <w:vAlign w:val="center"/>
          </w:tcPr>
          <w:p w14:paraId="381C6EEF"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937" w:type="dxa"/>
            <w:vAlign w:val="center"/>
          </w:tcPr>
          <w:p w14:paraId="35D885EA"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4E96399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742C896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6B9F568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6CE726F" w14:textId="77777777">
        <w:trPr>
          <w:cantSplit/>
          <w:trHeight w:val="397"/>
          <w:jc w:val="center"/>
        </w:trPr>
        <w:tc>
          <w:tcPr>
            <w:tcW w:w="2048" w:type="dxa"/>
            <w:vAlign w:val="center"/>
          </w:tcPr>
          <w:p w14:paraId="33D91CB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937" w:type="dxa"/>
            <w:vAlign w:val="center"/>
          </w:tcPr>
          <w:p w14:paraId="2B302B78"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0.44</w:t>
            </w:r>
          </w:p>
        </w:tc>
        <w:tc>
          <w:tcPr>
            <w:tcW w:w="1937" w:type="dxa"/>
            <w:vAlign w:val="center"/>
          </w:tcPr>
          <w:p w14:paraId="720065E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0.47</w:t>
            </w:r>
          </w:p>
        </w:tc>
        <w:tc>
          <w:tcPr>
            <w:tcW w:w="1938" w:type="dxa"/>
            <w:vAlign w:val="center"/>
          </w:tcPr>
          <w:p w14:paraId="1451F11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0.42</w:t>
            </w:r>
          </w:p>
        </w:tc>
        <w:tc>
          <w:tcPr>
            <w:tcW w:w="1211" w:type="dxa"/>
            <w:vAlign w:val="center"/>
          </w:tcPr>
          <w:p w14:paraId="269AAC3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BED22B8" w14:textId="77777777">
        <w:trPr>
          <w:cantSplit/>
          <w:trHeight w:val="397"/>
          <w:jc w:val="center"/>
        </w:trPr>
        <w:tc>
          <w:tcPr>
            <w:tcW w:w="2048" w:type="dxa"/>
            <w:vAlign w:val="center"/>
          </w:tcPr>
          <w:p w14:paraId="0908D0BD"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937" w:type="dxa"/>
            <w:vAlign w:val="center"/>
          </w:tcPr>
          <w:p w14:paraId="323C8FE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0.28</w:t>
            </w:r>
          </w:p>
        </w:tc>
        <w:tc>
          <w:tcPr>
            <w:tcW w:w="1937" w:type="dxa"/>
            <w:vAlign w:val="center"/>
          </w:tcPr>
          <w:p w14:paraId="5869F91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0.31</w:t>
            </w:r>
          </w:p>
        </w:tc>
        <w:tc>
          <w:tcPr>
            <w:tcW w:w="1938" w:type="dxa"/>
            <w:vAlign w:val="center"/>
          </w:tcPr>
          <w:p w14:paraId="7486F06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0.21</w:t>
            </w:r>
          </w:p>
        </w:tc>
        <w:tc>
          <w:tcPr>
            <w:tcW w:w="1211" w:type="dxa"/>
            <w:vAlign w:val="center"/>
          </w:tcPr>
          <w:p w14:paraId="77C2817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840F6FC" w14:textId="77777777">
        <w:trPr>
          <w:cantSplit/>
          <w:trHeight w:val="397"/>
          <w:jc w:val="center"/>
        </w:trPr>
        <w:tc>
          <w:tcPr>
            <w:tcW w:w="2048" w:type="dxa"/>
            <w:vAlign w:val="center"/>
          </w:tcPr>
          <w:p w14:paraId="5359D61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硒</w:t>
            </w:r>
          </w:p>
        </w:tc>
        <w:tc>
          <w:tcPr>
            <w:tcW w:w="1937" w:type="dxa"/>
            <w:vAlign w:val="center"/>
          </w:tcPr>
          <w:p w14:paraId="38781EA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0.001</w:t>
            </w:r>
          </w:p>
        </w:tc>
        <w:tc>
          <w:tcPr>
            <w:tcW w:w="1937" w:type="dxa"/>
            <w:vAlign w:val="center"/>
          </w:tcPr>
          <w:p w14:paraId="733DD49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938" w:type="dxa"/>
            <w:vAlign w:val="center"/>
          </w:tcPr>
          <w:p w14:paraId="2612C8A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211" w:type="dxa"/>
            <w:vAlign w:val="center"/>
          </w:tcPr>
          <w:p w14:paraId="39A98AD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5048D02" w14:textId="77777777">
        <w:trPr>
          <w:cantSplit/>
          <w:trHeight w:val="397"/>
          <w:jc w:val="center"/>
        </w:trPr>
        <w:tc>
          <w:tcPr>
            <w:tcW w:w="2048" w:type="dxa"/>
            <w:vAlign w:val="center"/>
          </w:tcPr>
          <w:p w14:paraId="2F4FEBF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砷</w:t>
            </w:r>
          </w:p>
        </w:tc>
        <w:tc>
          <w:tcPr>
            <w:tcW w:w="1937" w:type="dxa"/>
            <w:vAlign w:val="center"/>
          </w:tcPr>
          <w:p w14:paraId="281BB148"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937" w:type="dxa"/>
            <w:vAlign w:val="center"/>
          </w:tcPr>
          <w:p w14:paraId="496CCF2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938" w:type="dxa"/>
            <w:vAlign w:val="center"/>
          </w:tcPr>
          <w:p w14:paraId="6E52F2C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211" w:type="dxa"/>
            <w:vAlign w:val="center"/>
          </w:tcPr>
          <w:p w14:paraId="7F38118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A48CF40" w14:textId="77777777">
        <w:trPr>
          <w:cantSplit/>
          <w:trHeight w:val="397"/>
          <w:jc w:val="center"/>
        </w:trPr>
        <w:tc>
          <w:tcPr>
            <w:tcW w:w="2048" w:type="dxa"/>
            <w:vAlign w:val="center"/>
          </w:tcPr>
          <w:p w14:paraId="3AA2450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总</w:t>
            </w:r>
            <w:r>
              <w:rPr>
                <w:rFonts w:ascii="Times New Roman" w:eastAsia="宋体" w:hAnsi="Times New Roman" w:cs="Times New Roman"/>
                <w:sz w:val="21"/>
                <w:lang w:bidi="ar"/>
              </w:rPr>
              <w:t>汞</w:t>
            </w:r>
          </w:p>
        </w:tc>
        <w:tc>
          <w:tcPr>
            <w:tcW w:w="1937" w:type="dxa"/>
            <w:vAlign w:val="center"/>
          </w:tcPr>
          <w:p w14:paraId="7E3F7D20"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7" w:type="dxa"/>
            <w:vAlign w:val="center"/>
          </w:tcPr>
          <w:p w14:paraId="64B0356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8" w:type="dxa"/>
            <w:vAlign w:val="center"/>
          </w:tcPr>
          <w:p w14:paraId="56FE79BA"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0.00002L</w:t>
            </w:r>
          </w:p>
        </w:tc>
        <w:tc>
          <w:tcPr>
            <w:tcW w:w="1211" w:type="dxa"/>
            <w:vAlign w:val="center"/>
          </w:tcPr>
          <w:p w14:paraId="7B90BA5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79DA038" w14:textId="77777777">
        <w:trPr>
          <w:cantSplit/>
          <w:trHeight w:val="397"/>
          <w:jc w:val="center"/>
        </w:trPr>
        <w:tc>
          <w:tcPr>
            <w:tcW w:w="2048" w:type="dxa"/>
            <w:vAlign w:val="center"/>
          </w:tcPr>
          <w:p w14:paraId="5643C70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镉</w:t>
            </w:r>
          </w:p>
        </w:tc>
        <w:tc>
          <w:tcPr>
            <w:tcW w:w="1937" w:type="dxa"/>
            <w:vAlign w:val="center"/>
          </w:tcPr>
          <w:p w14:paraId="01365BD7"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7" w:type="dxa"/>
            <w:vAlign w:val="center"/>
          </w:tcPr>
          <w:p w14:paraId="1D6DFED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8" w:type="dxa"/>
            <w:vAlign w:val="center"/>
          </w:tcPr>
          <w:p w14:paraId="1FD6D06F"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0.0001L</w:t>
            </w:r>
          </w:p>
        </w:tc>
        <w:tc>
          <w:tcPr>
            <w:tcW w:w="1211" w:type="dxa"/>
            <w:vAlign w:val="center"/>
          </w:tcPr>
          <w:p w14:paraId="0F06EC2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174A95B" w14:textId="77777777">
        <w:trPr>
          <w:cantSplit/>
          <w:trHeight w:val="397"/>
          <w:jc w:val="center"/>
        </w:trPr>
        <w:tc>
          <w:tcPr>
            <w:tcW w:w="2048" w:type="dxa"/>
            <w:vAlign w:val="center"/>
          </w:tcPr>
          <w:p w14:paraId="1518479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lastRenderedPageBreak/>
              <w:t>六价铬</w:t>
            </w:r>
          </w:p>
        </w:tc>
        <w:tc>
          <w:tcPr>
            <w:tcW w:w="1937" w:type="dxa"/>
            <w:vAlign w:val="center"/>
          </w:tcPr>
          <w:p w14:paraId="5F7F59BC"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33A27CB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7B98555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1E0F066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BBCA53E" w14:textId="77777777">
        <w:trPr>
          <w:cantSplit/>
          <w:trHeight w:val="397"/>
          <w:jc w:val="center"/>
        </w:trPr>
        <w:tc>
          <w:tcPr>
            <w:tcW w:w="2048" w:type="dxa"/>
            <w:vAlign w:val="center"/>
          </w:tcPr>
          <w:p w14:paraId="3391D40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铅</w:t>
            </w:r>
          </w:p>
        </w:tc>
        <w:tc>
          <w:tcPr>
            <w:tcW w:w="1937" w:type="dxa"/>
            <w:vAlign w:val="center"/>
          </w:tcPr>
          <w:p w14:paraId="7C803E26"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7" w:type="dxa"/>
            <w:vAlign w:val="center"/>
          </w:tcPr>
          <w:p w14:paraId="5EDD32A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8" w:type="dxa"/>
            <w:vAlign w:val="center"/>
          </w:tcPr>
          <w:p w14:paraId="66EE5F9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211" w:type="dxa"/>
            <w:vAlign w:val="center"/>
          </w:tcPr>
          <w:p w14:paraId="61D5A23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650781A" w14:textId="77777777">
        <w:trPr>
          <w:cantSplit/>
          <w:trHeight w:val="397"/>
          <w:jc w:val="center"/>
        </w:trPr>
        <w:tc>
          <w:tcPr>
            <w:tcW w:w="2048" w:type="dxa"/>
            <w:vAlign w:val="center"/>
          </w:tcPr>
          <w:p w14:paraId="6F1C1B2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937" w:type="dxa"/>
            <w:vAlign w:val="center"/>
          </w:tcPr>
          <w:p w14:paraId="2449B880"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3B37D58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68084DE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21A15BE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DF49055" w14:textId="77777777">
        <w:trPr>
          <w:cantSplit/>
          <w:trHeight w:val="397"/>
          <w:jc w:val="center"/>
        </w:trPr>
        <w:tc>
          <w:tcPr>
            <w:tcW w:w="2048" w:type="dxa"/>
            <w:vAlign w:val="center"/>
          </w:tcPr>
          <w:p w14:paraId="181C519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937" w:type="dxa"/>
            <w:vAlign w:val="center"/>
          </w:tcPr>
          <w:p w14:paraId="1172E706"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7" w:type="dxa"/>
            <w:vAlign w:val="center"/>
          </w:tcPr>
          <w:p w14:paraId="00158A8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8" w:type="dxa"/>
            <w:vAlign w:val="center"/>
          </w:tcPr>
          <w:p w14:paraId="556F289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211" w:type="dxa"/>
            <w:vAlign w:val="center"/>
          </w:tcPr>
          <w:p w14:paraId="2476004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654C3E7" w14:textId="77777777">
        <w:trPr>
          <w:cantSplit/>
          <w:trHeight w:val="397"/>
          <w:jc w:val="center"/>
        </w:trPr>
        <w:tc>
          <w:tcPr>
            <w:tcW w:w="2048" w:type="dxa"/>
            <w:vAlign w:val="center"/>
          </w:tcPr>
          <w:p w14:paraId="0A51FB1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937" w:type="dxa"/>
            <w:vAlign w:val="center"/>
          </w:tcPr>
          <w:p w14:paraId="061ACF58"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4D910D9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50C3B45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7EEA874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1C4E075" w14:textId="77777777">
        <w:trPr>
          <w:cantSplit/>
          <w:trHeight w:val="397"/>
          <w:jc w:val="center"/>
        </w:trPr>
        <w:tc>
          <w:tcPr>
            <w:tcW w:w="2048" w:type="dxa"/>
            <w:vAlign w:val="center"/>
          </w:tcPr>
          <w:p w14:paraId="7CEC3A6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937" w:type="dxa"/>
            <w:vAlign w:val="center"/>
          </w:tcPr>
          <w:p w14:paraId="0D885D54"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43711B1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6528DDF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6BD8A87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460856B" w14:textId="77777777">
        <w:trPr>
          <w:cantSplit/>
          <w:trHeight w:val="397"/>
          <w:jc w:val="center"/>
        </w:trPr>
        <w:tc>
          <w:tcPr>
            <w:tcW w:w="2048" w:type="dxa"/>
            <w:vAlign w:val="center"/>
          </w:tcPr>
          <w:p w14:paraId="28E3DDE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937" w:type="dxa"/>
            <w:vAlign w:val="center"/>
          </w:tcPr>
          <w:p w14:paraId="48C54C20"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5406339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0CF67BD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66F9488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A912FD4" w14:textId="77777777">
        <w:trPr>
          <w:cantSplit/>
          <w:trHeight w:val="397"/>
          <w:jc w:val="center"/>
        </w:trPr>
        <w:tc>
          <w:tcPr>
            <w:tcW w:w="2048" w:type="dxa"/>
            <w:vAlign w:val="center"/>
          </w:tcPr>
          <w:p w14:paraId="05EAFE9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937" w:type="dxa"/>
            <w:vAlign w:val="center"/>
          </w:tcPr>
          <w:p w14:paraId="23359A7C"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6.3</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7" w:type="dxa"/>
            <w:vAlign w:val="center"/>
          </w:tcPr>
          <w:p w14:paraId="5A74404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9.5</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8" w:type="dxa"/>
            <w:vAlign w:val="center"/>
          </w:tcPr>
          <w:p w14:paraId="38D34E6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7.6</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211" w:type="dxa"/>
            <w:vAlign w:val="center"/>
          </w:tcPr>
          <w:p w14:paraId="1D7347A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62FCF8B6" w14:textId="77777777">
        <w:trPr>
          <w:cantSplit/>
          <w:trHeight w:val="397"/>
          <w:jc w:val="center"/>
        </w:trPr>
        <w:tc>
          <w:tcPr>
            <w:tcW w:w="2048" w:type="dxa"/>
            <w:vAlign w:val="center"/>
          </w:tcPr>
          <w:p w14:paraId="5EE4C782"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937" w:type="dxa"/>
            <w:vAlign w:val="center"/>
          </w:tcPr>
          <w:p w14:paraId="09C6AADC"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10.2</w:t>
            </w:r>
          </w:p>
        </w:tc>
        <w:tc>
          <w:tcPr>
            <w:tcW w:w="1937" w:type="dxa"/>
            <w:vAlign w:val="center"/>
          </w:tcPr>
          <w:p w14:paraId="25956B3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10.1</w:t>
            </w:r>
          </w:p>
        </w:tc>
        <w:tc>
          <w:tcPr>
            <w:tcW w:w="1938" w:type="dxa"/>
            <w:vAlign w:val="center"/>
          </w:tcPr>
          <w:p w14:paraId="703F577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10.2</w:t>
            </w:r>
          </w:p>
        </w:tc>
        <w:tc>
          <w:tcPr>
            <w:tcW w:w="1211" w:type="dxa"/>
            <w:vAlign w:val="center"/>
          </w:tcPr>
          <w:p w14:paraId="490BC121"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1DDE4346" w14:textId="77777777" w:rsidR="009D12AF" w:rsidRDefault="00000000">
      <w:pPr>
        <w:ind w:firstLine="482"/>
        <w:jc w:val="center"/>
        <w:rPr>
          <w:b/>
          <w:bCs/>
        </w:rPr>
      </w:pPr>
      <w:r>
        <w:rPr>
          <w:rFonts w:hint="eastAsia"/>
          <w:b/>
          <w:bCs/>
        </w:rPr>
        <w:t>表</w:t>
      </w:r>
      <w:r>
        <w:rPr>
          <w:rFonts w:hint="eastAsia"/>
          <w:b/>
          <w:bCs/>
        </w:rPr>
        <w:t>4.3-11</w:t>
      </w:r>
      <w:r>
        <w:rPr>
          <w:rFonts w:hint="eastAsia"/>
          <w:b/>
          <w:bCs/>
        </w:rPr>
        <w:t>（</w:t>
      </w:r>
      <w:r>
        <w:rPr>
          <w:rFonts w:hint="eastAsia"/>
          <w:b/>
          <w:bCs/>
        </w:rPr>
        <w:t>3</w:t>
      </w:r>
      <w:r>
        <w:rPr>
          <w:rFonts w:hint="eastAsia"/>
          <w:b/>
          <w:bCs/>
        </w:rPr>
        <w:t>）</w:t>
      </w:r>
      <w:r>
        <w:rPr>
          <w:rFonts w:hint="eastAsia"/>
          <w:b/>
          <w:bCs/>
        </w:rPr>
        <w:t xml:space="preserve">  </w:t>
      </w:r>
      <w:r>
        <w:rPr>
          <w:rFonts w:hint="eastAsia"/>
          <w:b/>
          <w:bCs/>
        </w:rPr>
        <w:t>新安晒水池地表水环境监测结果</w:t>
      </w:r>
    </w:p>
    <w:tbl>
      <w:tblPr>
        <w:tblW w:w="9071" w:type="dxa"/>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048"/>
        <w:gridCol w:w="1937"/>
        <w:gridCol w:w="1937"/>
        <w:gridCol w:w="1938"/>
        <w:gridCol w:w="1211"/>
      </w:tblGrid>
      <w:tr w:rsidR="009D12AF" w14:paraId="79CA5062" w14:textId="77777777">
        <w:trPr>
          <w:cantSplit/>
          <w:trHeight w:val="397"/>
          <w:jc w:val="center"/>
        </w:trPr>
        <w:tc>
          <w:tcPr>
            <w:tcW w:w="2048" w:type="dxa"/>
            <w:vAlign w:val="center"/>
          </w:tcPr>
          <w:p w14:paraId="72C79025"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hint="eastAsia"/>
                <w:b/>
                <w:bCs/>
                <w:kern w:val="0"/>
                <w:szCs w:val="21"/>
              </w:rPr>
              <w:t>采样</w:t>
            </w:r>
            <w:r>
              <w:rPr>
                <w:rFonts w:ascii="Times New Roman" w:hAnsi="Times New Roman" w:cs="Times New Roman"/>
                <w:b/>
                <w:bCs/>
                <w:kern w:val="0"/>
                <w:szCs w:val="21"/>
              </w:rPr>
              <w:t>日期</w:t>
            </w:r>
          </w:p>
        </w:tc>
        <w:tc>
          <w:tcPr>
            <w:tcW w:w="1937" w:type="dxa"/>
            <w:tcBorders>
              <w:bottom w:val="single" w:sz="8" w:space="0" w:color="auto"/>
            </w:tcBorders>
            <w:vAlign w:val="center"/>
          </w:tcPr>
          <w:p w14:paraId="6CF1D2BA" w14:textId="77777777" w:rsidR="009D12AF" w:rsidRDefault="00000000">
            <w:pPr>
              <w:spacing w:line="240" w:lineRule="exact"/>
              <w:ind w:firstLineChars="0" w:firstLine="0"/>
              <w:jc w:val="center"/>
              <w:rPr>
                <w:rFonts w:ascii="Times New Roman" w:eastAsia="宋体" w:hAnsi="Times New Roman" w:cs="Times New Roman"/>
                <w:b/>
                <w:bCs/>
              </w:rPr>
            </w:pPr>
            <w:r>
              <w:rPr>
                <w:rFonts w:ascii="Times New Roman" w:hAnsi="Times New Roman" w:cs="Times New Roman"/>
                <w:b/>
                <w:bCs/>
              </w:rPr>
              <w:t>2025.10.07</w:t>
            </w:r>
          </w:p>
        </w:tc>
        <w:tc>
          <w:tcPr>
            <w:tcW w:w="1937" w:type="dxa"/>
            <w:tcBorders>
              <w:bottom w:val="single" w:sz="8" w:space="0" w:color="auto"/>
            </w:tcBorders>
            <w:vAlign w:val="center"/>
          </w:tcPr>
          <w:p w14:paraId="142E0A02"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2025.10.08</w:t>
            </w:r>
          </w:p>
        </w:tc>
        <w:tc>
          <w:tcPr>
            <w:tcW w:w="1938" w:type="dxa"/>
            <w:tcBorders>
              <w:bottom w:val="single" w:sz="8" w:space="0" w:color="auto"/>
            </w:tcBorders>
            <w:vAlign w:val="center"/>
          </w:tcPr>
          <w:p w14:paraId="45429983" w14:textId="77777777" w:rsidR="009D12AF" w:rsidRDefault="00000000">
            <w:pPr>
              <w:spacing w:line="240" w:lineRule="exact"/>
              <w:ind w:firstLineChars="0" w:firstLine="0"/>
              <w:jc w:val="center"/>
              <w:rPr>
                <w:rFonts w:ascii="Times New Roman" w:eastAsia="宋体" w:hAnsi="Times New Roman" w:cs="Times New Roman"/>
                <w:b/>
                <w:bCs/>
                <w:kern w:val="0"/>
                <w:sz w:val="21"/>
                <w:szCs w:val="21"/>
              </w:rPr>
            </w:pPr>
            <w:r>
              <w:rPr>
                <w:rFonts w:ascii="Times New Roman" w:eastAsia="宋体" w:hAnsi="Times New Roman" w:cs="Times New Roman"/>
                <w:b/>
                <w:bCs/>
                <w:kern w:val="0"/>
                <w:sz w:val="21"/>
                <w:szCs w:val="21"/>
              </w:rPr>
              <w:t>2025.10.09</w:t>
            </w:r>
          </w:p>
        </w:tc>
        <w:tc>
          <w:tcPr>
            <w:tcW w:w="1211" w:type="dxa"/>
            <w:tcBorders>
              <w:bottom w:val="single" w:sz="8" w:space="0" w:color="auto"/>
            </w:tcBorders>
            <w:vAlign w:val="center"/>
          </w:tcPr>
          <w:p w14:paraId="27080591"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w:t>
            </w:r>
          </w:p>
        </w:tc>
      </w:tr>
      <w:tr w:rsidR="009D12AF" w14:paraId="02BC0D69" w14:textId="77777777">
        <w:trPr>
          <w:cantSplit/>
          <w:trHeight w:val="397"/>
          <w:jc w:val="center"/>
        </w:trPr>
        <w:tc>
          <w:tcPr>
            <w:tcW w:w="2048" w:type="dxa"/>
            <w:tcBorders>
              <w:bottom w:val="single" w:sz="8" w:space="0" w:color="auto"/>
            </w:tcBorders>
            <w:vAlign w:val="center"/>
          </w:tcPr>
          <w:p w14:paraId="617AAF18"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检测点位</w:t>
            </w:r>
          </w:p>
        </w:tc>
        <w:tc>
          <w:tcPr>
            <w:tcW w:w="5812" w:type="dxa"/>
            <w:gridSpan w:val="3"/>
            <w:tcBorders>
              <w:top w:val="single" w:sz="8" w:space="0" w:color="auto"/>
              <w:bottom w:val="single" w:sz="8" w:space="0" w:color="auto"/>
            </w:tcBorders>
            <w:vAlign w:val="center"/>
          </w:tcPr>
          <w:p w14:paraId="3A9C1059"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b/>
                <w:bCs/>
              </w:rPr>
              <w:t>新安晒水池下游</w:t>
            </w:r>
            <w:r>
              <w:rPr>
                <w:rFonts w:ascii="Times New Roman" w:hAnsi="Times New Roman" w:cs="Times New Roman"/>
                <w:b/>
                <w:bCs/>
              </w:rPr>
              <w:t>500m 3#</w:t>
            </w:r>
            <w:r>
              <w:rPr>
                <w:rFonts w:ascii="Times New Roman" w:hAnsi="Times New Roman" w:cs="Times New Roman"/>
                <w:b/>
                <w:bCs/>
              </w:rPr>
              <w:t>（水面下</w:t>
            </w:r>
            <w:r>
              <w:rPr>
                <w:rFonts w:ascii="Times New Roman" w:hAnsi="Times New Roman" w:cs="Times New Roman"/>
                <w:b/>
                <w:bCs/>
              </w:rPr>
              <w:t>0.5m</w:t>
            </w:r>
            <w:r>
              <w:rPr>
                <w:rFonts w:ascii="Times New Roman" w:hAnsi="Times New Roman" w:cs="Times New Roman"/>
                <w:b/>
                <w:bCs/>
              </w:rPr>
              <w:t>）</w:t>
            </w:r>
          </w:p>
        </w:tc>
        <w:tc>
          <w:tcPr>
            <w:tcW w:w="1211" w:type="dxa"/>
            <w:tcBorders>
              <w:top w:val="single" w:sz="8" w:space="0" w:color="auto"/>
              <w:bottom w:val="single" w:sz="8" w:space="0" w:color="auto"/>
            </w:tcBorders>
            <w:vAlign w:val="center"/>
          </w:tcPr>
          <w:p w14:paraId="102BFE00" w14:textId="77777777" w:rsidR="009D12AF" w:rsidRDefault="00000000">
            <w:pPr>
              <w:spacing w:line="240" w:lineRule="exact"/>
              <w:ind w:firstLineChars="0" w:firstLine="0"/>
              <w:jc w:val="center"/>
              <w:rPr>
                <w:rFonts w:ascii="Times New Roman" w:hAnsi="Times New Roman" w:cs="Times New Roman"/>
              </w:rPr>
            </w:pPr>
            <w:r>
              <w:rPr>
                <w:rFonts w:ascii="Times New Roman" w:hAnsi="Times New Roman" w:cs="Times New Roman" w:hint="eastAsia"/>
                <w:b/>
                <w:bCs/>
                <w:kern w:val="0"/>
                <w:szCs w:val="21"/>
              </w:rPr>
              <w:t>/</w:t>
            </w:r>
          </w:p>
        </w:tc>
      </w:tr>
      <w:tr w:rsidR="009D12AF" w14:paraId="3FFCF5BD" w14:textId="77777777">
        <w:trPr>
          <w:cantSplit/>
          <w:trHeight w:val="397"/>
          <w:jc w:val="center"/>
        </w:trPr>
        <w:tc>
          <w:tcPr>
            <w:tcW w:w="2048" w:type="dxa"/>
            <w:tcBorders>
              <w:bottom w:val="single" w:sz="8" w:space="0" w:color="auto"/>
            </w:tcBorders>
            <w:vAlign w:val="center"/>
          </w:tcPr>
          <w:p w14:paraId="035B2C98" w14:textId="77777777" w:rsidR="009D12AF" w:rsidRDefault="00000000">
            <w:pPr>
              <w:spacing w:line="240" w:lineRule="exact"/>
              <w:ind w:firstLineChars="0" w:firstLine="0"/>
              <w:jc w:val="center"/>
              <w:rPr>
                <w:rFonts w:ascii="Times New Roman" w:eastAsia="宋体" w:hAnsi="Times New Roman" w:cs="Times New Roman"/>
                <w:b/>
                <w:bCs/>
                <w:sz w:val="21"/>
                <w:szCs w:val="22"/>
              </w:rPr>
            </w:pPr>
            <w:r>
              <w:rPr>
                <w:rFonts w:ascii="Times New Roman" w:hAnsi="Times New Roman" w:cs="Times New Roman"/>
                <w:b/>
                <w:bCs/>
                <w:kern w:val="0"/>
                <w:szCs w:val="21"/>
              </w:rPr>
              <w:t>检测项目</w:t>
            </w:r>
          </w:p>
        </w:tc>
        <w:tc>
          <w:tcPr>
            <w:tcW w:w="5812" w:type="dxa"/>
            <w:gridSpan w:val="3"/>
            <w:tcBorders>
              <w:top w:val="single" w:sz="8" w:space="0" w:color="auto"/>
              <w:bottom w:val="single" w:sz="8" w:space="0" w:color="auto"/>
            </w:tcBorders>
            <w:vAlign w:val="center"/>
          </w:tcPr>
          <w:p w14:paraId="5BCA8695"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检测结果</w:t>
            </w:r>
          </w:p>
        </w:tc>
        <w:tc>
          <w:tcPr>
            <w:tcW w:w="1211" w:type="dxa"/>
            <w:tcBorders>
              <w:top w:val="single" w:sz="8" w:space="0" w:color="auto"/>
              <w:bottom w:val="single" w:sz="8" w:space="0" w:color="auto"/>
            </w:tcBorders>
            <w:vAlign w:val="center"/>
          </w:tcPr>
          <w:p w14:paraId="0399D7EB" w14:textId="77777777" w:rsidR="009D12AF" w:rsidRDefault="00000000">
            <w:pPr>
              <w:spacing w:line="240" w:lineRule="exact"/>
              <w:ind w:firstLineChars="0" w:firstLine="0"/>
              <w:jc w:val="center"/>
              <w:rPr>
                <w:rFonts w:ascii="Times New Roman" w:hAnsi="Times New Roman" w:cs="Times New Roman"/>
                <w:b/>
                <w:bCs/>
                <w:kern w:val="0"/>
                <w:szCs w:val="21"/>
              </w:rPr>
            </w:pPr>
            <w:r>
              <w:rPr>
                <w:rFonts w:ascii="Times New Roman" w:hAnsi="Times New Roman" w:cs="Times New Roman" w:hint="eastAsia"/>
                <w:b/>
                <w:bCs/>
                <w:kern w:val="0"/>
                <w:szCs w:val="21"/>
              </w:rPr>
              <w:t>单位</w:t>
            </w:r>
          </w:p>
        </w:tc>
      </w:tr>
      <w:tr w:rsidR="009D12AF" w14:paraId="1798893B" w14:textId="77777777">
        <w:trPr>
          <w:cantSplit/>
          <w:trHeight w:val="397"/>
          <w:jc w:val="center"/>
        </w:trPr>
        <w:tc>
          <w:tcPr>
            <w:tcW w:w="2048" w:type="dxa"/>
            <w:vAlign w:val="center"/>
          </w:tcPr>
          <w:p w14:paraId="666C234F" w14:textId="77777777" w:rsidR="009D12AF" w:rsidRDefault="00000000">
            <w:pPr>
              <w:pStyle w:val="afb"/>
              <w:adjustRightInd w:val="0"/>
              <w:snapToGrid w:val="0"/>
              <w:ind w:firstLine="0"/>
              <w:rPr>
                <w:rFonts w:ascii="Times New Roman" w:eastAsia="宋体" w:hAnsi="Times New Roman"/>
                <w:bCs/>
                <w:szCs w:val="21"/>
              </w:rPr>
            </w:pPr>
            <w:r>
              <w:rPr>
                <w:rFonts w:eastAsia="宋体" w:hint="eastAsia"/>
                <w:bCs/>
                <w:szCs w:val="21"/>
              </w:rPr>
              <w:t>样品编号</w:t>
            </w:r>
          </w:p>
        </w:tc>
        <w:tc>
          <w:tcPr>
            <w:tcW w:w="1937" w:type="dxa"/>
            <w:tcBorders>
              <w:top w:val="single" w:sz="8" w:space="0" w:color="auto"/>
              <w:bottom w:val="single" w:sz="8" w:space="0" w:color="auto"/>
            </w:tcBorders>
            <w:vAlign w:val="center"/>
          </w:tcPr>
          <w:p w14:paraId="5D936AC2"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250940DB1501D1</w:t>
            </w:r>
          </w:p>
        </w:tc>
        <w:tc>
          <w:tcPr>
            <w:tcW w:w="1937" w:type="dxa"/>
            <w:tcBorders>
              <w:top w:val="single" w:sz="8" w:space="0" w:color="auto"/>
              <w:bottom w:val="single" w:sz="8" w:space="0" w:color="auto"/>
            </w:tcBorders>
            <w:vAlign w:val="center"/>
          </w:tcPr>
          <w:p w14:paraId="7B73853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250940DB1501D2</w:t>
            </w:r>
          </w:p>
        </w:tc>
        <w:tc>
          <w:tcPr>
            <w:tcW w:w="1938" w:type="dxa"/>
            <w:tcBorders>
              <w:top w:val="single" w:sz="8" w:space="0" w:color="auto"/>
              <w:bottom w:val="single" w:sz="8" w:space="0" w:color="auto"/>
            </w:tcBorders>
            <w:vAlign w:val="center"/>
          </w:tcPr>
          <w:p w14:paraId="19CB838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250940DB1501D3</w:t>
            </w:r>
          </w:p>
        </w:tc>
        <w:tc>
          <w:tcPr>
            <w:tcW w:w="1211" w:type="dxa"/>
            <w:tcBorders>
              <w:top w:val="single" w:sz="8" w:space="0" w:color="auto"/>
              <w:bottom w:val="single" w:sz="8" w:space="0" w:color="auto"/>
            </w:tcBorders>
            <w:vAlign w:val="center"/>
          </w:tcPr>
          <w:p w14:paraId="2F818A0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w:t>
            </w:r>
          </w:p>
        </w:tc>
      </w:tr>
      <w:tr w:rsidR="009D12AF" w14:paraId="62660BF1" w14:textId="77777777">
        <w:trPr>
          <w:cantSplit/>
          <w:trHeight w:val="397"/>
          <w:jc w:val="center"/>
        </w:trPr>
        <w:tc>
          <w:tcPr>
            <w:tcW w:w="2048" w:type="dxa"/>
            <w:vAlign w:val="center"/>
          </w:tcPr>
          <w:p w14:paraId="51D564BD"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szCs w:val="21"/>
              </w:rPr>
              <w:t>pH</w:t>
            </w:r>
            <w:r>
              <w:rPr>
                <w:rFonts w:ascii="Times New Roman" w:eastAsia="宋体" w:hAnsi="Times New Roman"/>
                <w:bCs/>
                <w:szCs w:val="21"/>
              </w:rPr>
              <w:t>值</w:t>
            </w:r>
          </w:p>
        </w:tc>
        <w:tc>
          <w:tcPr>
            <w:tcW w:w="1937" w:type="dxa"/>
            <w:tcBorders>
              <w:top w:val="single" w:sz="8" w:space="0" w:color="auto"/>
              <w:bottom w:val="single" w:sz="8" w:space="0" w:color="auto"/>
            </w:tcBorders>
            <w:vAlign w:val="center"/>
          </w:tcPr>
          <w:p w14:paraId="02868B5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7.6</w:t>
            </w:r>
          </w:p>
        </w:tc>
        <w:tc>
          <w:tcPr>
            <w:tcW w:w="1937" w:type="dxa"/>
            <w:tcBorders>
              <w:top w:val="single" w:sz="8" w:space="0" w:color="auto"/>
              <w:bottom w:val="single" w:sz="8" w:space="0" w:color="auto"/>
            </w:tcBorders>
            <w:vAlign w:val="center"/>
          </w:tcPr>
          <w:p w14:paraId="7E9D4D6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7.7</w:t>
            </w:r>
          </w:p>
        </w:tc>
        <w:tc>
          <w:tcPr>
            <w:tcW w:w="1938" w:type="dxa"/>
            <w:tcBorders>
              <w:top w:val="single" w:sz="8" w:space="0" w:color="auto"/>
              <w:bottom w:val="single" w:sz="8" w:space="0" w:color="auto"/>
            </w:tcBorders>
            <w:vAlign w:val="center"/>
          </w:tcPr>
          <w:p w14:paraId="73AFEB8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7.6</w:t>
            </w:r>
          </w:p>
        </w:tc>
        <w:tc>
          <w:tcPr>
            <w:tcW w:w="1211" w:type="dxa"/>
            <w:tcBorders>
              <w:top w:val="single" w:sz="8" w:space="0" w:color="auto"/>
              <w:bottom w:val="single" w:sz="8" w:space="0" w:color="auto"/>
            </w:tcBorders>
            <w:vAlign w:val="center"/>
          </w:tcPr>
          <w:p w14:paraId="3EEB429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5F1A05E6" w14:textId="77777777">
        <w:trPr>
          <w:cantSplit/>
          <w:trHeight w:val="397"/>
          <w:jc w:val="center"/>
        </w:trPr>
        <w:tc>
          <w:tcPr>
            <w:tcW w:w="2048" w:type="dxa"/>
            <w:vAlign w:val="center"/>
          </w:tcPr>
          <w:p w14:paraId="7FE5172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高锰酸盐指数</w:t>
            </w:r>
          </w:p>
        </w:tc>
        <w:tc>
          <w:tcPr>
            <w:tcW w:w="1937" w:type="dxa"/>
            <w:vAlign w:val="center"/>
          </w:tcPr>
          <w:p w14:paraId="12B5537D"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3.2</w:t>
            </w:r>
          </w:p>
        </w:tc>
        <w:tc>
          <w:tcPr>
            <w:tcW w:w="1937" w:type="dxa"/>
            <w:vAlign w:val="center"/>
          </w:tcPr>
          <w:p w14:paraId="515097A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3.7</w:t>
            </w:r>
          </w:p>
        </w:tc>
        <w:tc>
          <w:tcPr>
            <w:tcW w:w="1938" w:type="dxa"/>
            <w:vAlign w:val="center"/>
          </w:tcPr>
          <w:p w14:paraId="1BD7F40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3.4</w:t>
            </w:r>
          </w:p>
        </w:tc>
        <w:tc>
          <w:tcPr>
            <w:tcW w:w="1211" w:type="dxa"/>
            <w:vAlign w:val="center"/>
          </w:tcPr>
          <w:p w14:paraId="46B9C07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E1277EC" w14:textId="77777777">
        <w:trPr>
          <w:cantSplit/>
          <w:trHeight w:val="397"/>
          <w:jc w:val="center"/>
        </w:trPr>
        <w:tc>
          <w:tcPr>
            <w:tcW w:w="2048" w:type="dxa"/>
            <w:vAlign w:val="center"/>
          </w:tcPr>
          <w:p w14:paraId="046132E2"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溶解氧</w:t>
            </w:r>
          </w:p>
        </w:tc>
        <w:tc>
          <w:tcPr>
            <w:tcW w:w="1937" w:type="dxa"/>
            <w:vAlign w:val="center"/>
          </w:tcPr>
          <w:p w14:paraId="1FE9B1E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8.8</w:t>
            </w:r>
          </w:p>
        </w:tc>
        <w:tc>
          <w:tcPr>
            <w:tcW w:w="1937" w:type="dxa"/>
            <w:vAlign w:val="center"/>
          </w:tcPr>
          <w:p w14:paraId="635B1F1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9.1</w:t>
            </w:r>
          </w:p>
        </w:tc>
        <w:tc>
          <w:tcPr>
            <w:tcW w:w="1938" w:type="dxa"/>
            <w:vAlign w:val="center"/>
          </w:tcPr>
          <w:p w14:paraId="39C5BC2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9.4</w:t>
            </w:r>
          </w:p>
        </w:tc>
        <w:tc>
          <w:tcPr>
            <w:tcW w:w="1211" w:type="dxa"/>
            <w:vAlign w:val="center"/>
          </w:tcPr>
          <w:p w14:paraId="71D11B5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2FC39EE" w14:textId="77777777">
        <w:trPr>
          <w:cantSplit/>
          <w:trHeight w:val="397"/>
          <w:jc w:val="center"/>
        </w:trPr>
        <w:tc>
          <w:tcPr>
            <w:tcW w:w="2048" w:type="dxa"/>
            <w:vAlign w:val="center"/>
          </w:tcPr>
          <w:p w14:paraId="258F963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化学需氧量</w:t>
            </w:r>
          </w:p>
        </w:tc>
        <w:tc>
          <w:tcPr>
            <w:tcW w:w="1937" w:type="dxa"/>
            <w:vAlign w:val="center"/>
          </w:tcPr>
          <w:p w14:paraId="10838598"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12</w:t>
            </w:r>
          </w:p>
        </w:tc>
        <w:tc>
          <w:tcPr>
            <w:tcW w:w="1937" w:type="dxa"/>
            <w:vAlign w:val="center"/>
          </w:tcPr>
          <w:p w14:paraId="20A8CD1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17</w:t>
            </w:r>
          </w:p>
        </w:tc>
        <w:tc>
          <w:tcPr>
            <w:tcW w:w="1938" w:type="dxa"/>
            <w:vAlign w:val="center"/>
          </w:tcPr>
          <w:p w14:paraId="06D1DAE2"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15</w:t>
            </w:r>
          </w:p>
        </w:tc>
        <w:tc>
          <w:tcPr>
            <w:tcW w:w="1211" w:type="dxa"/>
            <w:vAlign w:val="center"/>
          </w:tcPr>
          <w:p w14:paraId="3BC6C18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2AF1A7A0" w14:textId="77777777">
        <w:trPr>
          <w:cantSplit/>
          <w:trHeight w:val="397"/>
          <w:jc w:val="center"/>
        </w:trPr>
        <w:tc>
          <w:tcPr>
            <w:tcW w:w="2048" w:type="dxa"/>
            <w:vAlign w:val="center"/>
          </w:tcPr>
          <w:p w14:paraId="31473508"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szCs w:val="22"/>
              </w:rPr>
              <w:t>五日生化需氧量</w:t>
            </w:r>
          </w:p>
        </w:tc>
        <w:tc>
          <w:tcPr>
            <w:tcW w:w="1937" w:type="dxa"/>
            <w:vAlign w:val="center"/>
          </w:tcPr>
          <w:p w14:paraId="13CA3805"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4.6</w:t>
            </w:r>
          </w:p>
        </w:tc>
        <w:tc>
          <w:tcPr>
            <w:tcW w:w="1937" w:type="dxa"/>
            <w:vAlign w:val="center"/>
          </w:tcPr>
          <w:p w14:paraId="4FD3CF9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6.6</w:t>
            </w:r>
          </w:p>
        </w:tc>
        <w:tc>
          <w:tcPr>
            <w:tcW w:w="1938" w:type="dxa"/>
            <w:vAlign w:val="center"/>
          </w:tcPr>
          <w:p w14:paraId="0BCEA68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5.7</w:t>
            </w:r>
          </w:p>
        </w:tc>
        <w:tc>
          <w:tcPr>
            <w:tcW w:w="1211" w:type="dxa"/>
            <w:vAlign w:val="center"/>
          </w:tcPr>
          <w:p w14:paraId="11D81D8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4CA6A765" w14:textId="77777777">
        <w:trPr>
          <w:cantSplit/>
          <w:trHeight w:val="397"/>
          <w:jc w:val="center"/>
        </w:trPr>
        <w:tc>
          <w:tcPr>
            <w:tcW w:w="2048" w:type="dxa"/>
            <w:vAlign w:val="center"/>
          </w:tcPr>
          <w:p w14:paraId="13B867F7"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氨氮</w:t>
            </w:r>
          </w:p>
        </w:tc>
        <w:tc>
          <w:tcPr>
            <w:tcW w:w="1937" w:type="dxa"/>
            <w:vAlign w:val="center"/>
          </w:tcPr>
          <w:p w14:paraId="2479231B"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0.287</w:t>
            </w:r>
          </w:p>
        </w:tc>
        <w:tc>
          <w:tcPr>
            <w:tcW w:w="1937" w:type="dxa"/>
            <w:vAlign w:val="center"/>
          </w:tcPr>
          <w:p w14:paraId="56449B5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0.271</w:t>
            </w:r>
          </w:p>
        </w:tc>
        <w:tc>
          <w:tcPr>
            <w:tcW w:w="1938" w:type="dxa"/>
            <w:vAlign w:val="center"/>
          </w:tcPr>
          <w:p w14:paraId="2109802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0.280</w:t>
            </w:r>
          </w:p>
        </w:tc>
        <w:tc>
          <w:tcPr>
            <w:tcW w:w="1211" w:type="dxa"/>
            <w:vAlign w:val="center"/>
          </w:tcPr>
          <w:p w14:paraId="0487111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6AACDA6" w14:textId="77777777">
        <w:trPr>
          <w:cantSplit/>
          <w:trHeight w:val="397"/>
          <w:jc w:val="center"/>
        </w:trPr>
        <w:tc>
          <w:tcPr>
            <w:tcW w:w="2048" w:type="dxa"/>
            <w:vAlign w:val="center"/>
          </w:tcPr>
          <w:p w14:paraId="3070AEF3"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总磷</w:t>
            </w:r>
          </w:p>
        </w:tc>
        <w:tc>
          <w:tcPr>
            <w:tcW w:w="1937" w:type="dxa"/>
            <w:vAlign w:val="center"/>
          </w:tcPr>
          <w:p w14:paraId="6DF47146" w14:textId="77777777" w:rsidR="009D12AF" w:rsidRDefault="00000000">
            <w:pPr>
              <w:widowControl/>
              <w:spacing w:line="240" w:lineRule="auto"/>
              <w:ind w:firstLineChars="0" w:firstLine="0"/>
              <w:jc w:val="center"/>
              <w:rPr>
                <w:rFonts w:ascii="Times New Roman" w:eastAsia="宋体" w:hAnsi="Times New Roman" w:cs="Times New Roman"/>
                <w:sz w:val="21"/>
                <w:szCs w:val="21"/>
                <w:lang w:bidi="en-US"/>
              </w:rPr>
            </w:pPr>
            <w:r>
              <w:rPr>
                <w:rFonts w:ascii="Times New Roman" w:hAnsi="Times New Roman" w:cs="Times New Roman" w:hint="eastAsia"/>
                <w:sz w:val="21"/>
                <w:szCs w:val="21"/>
                <w:lang w:bidi="en-US"/>
              </w:rPr>
              <w:t>0.03</w:t>
            </w:r>
          </w:p>
        </w:tc>
        <w:tc>
          <w:tcPr>
            <w:tcW w:w="1937" w:type="dxa"/>
            <w:vAlign w:val="center"/>
          </w:tcPr>
          <w:p w14:paraId="55AA71D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0.04</w:t>
            </w:r>
          </w:p>
        </w:tc>
        <w:tc>
          <w:tcPr>
            <w:tcW w:w="1938" w:type="dxa"/>
            <w:vAlign w:val="center"/>
          </w:tcPr>
          <w:p w14:paraId="06DDC55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0.06</w:t>
            </w:r>
          </w:p>
        </w:tc>
        <w:tc>
          <w:tcPr>
            <w:tcW w:w="1211" w:type="dxa"/>
            <w:vAlign w:val="center"/>
          </w:tcPr>
          <w:p w14:paraId="04E8164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B45249E" w14:textId="77777777">
        <w:trPr>
          <w:cantSplit/>
          <w:trHeight w:val="397"/>
          <w:jc w:val="center"/>
        </w:trPr>
        <w:tc>
          <w:tcPr>
            <w:tcW w:w="2048" w:type="dxa"/>
            <w:vAlign w:val="center"/>
          </w:tcPr>
          <w:p w14:paraId="71A033D1"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总氮</w:t>
            </w:r>
          </w:p>
        </w:tc>
        <w:tc>
          <w:tcPr>
            <w:tcW w:w="1937" w:type="dxa"/>
            <w:vAlign w:val="center"/>
          </w:tcPr>
          <w:p w14:paraId="29F0C2F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1.69</w:t>
            </w:r>
          </w:p>
        </w:tc>
        <w:tc>
          <w:tcPr>
            <w:tcW w:w="1937" w:type="dxa"/>
            <w:vAlign w:val="center"/>
          </w:tcPr>
          <w:p w14:paraId="1473BF0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1.78</w:t>
            </w:r>
          </w:p>
        </w:tc>
        <w:tc>
          <w:tcPr>
            <w:tcW w:w="1938" w:type="dxa"/>
            <w:vAlign w:val="center"/>
          </w:tcPr>
          <w:p w14:paraId="3773D50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1.55</w:t>
            </w:r>
          </w:p>
        </w:tc>
        <w:tc>
          <w:tcPr>
            <w:tcW w:w="1211" w:type="dxa"/>
            <w:vAlign w:val="center"/>
          </w:tcPr>
          <w:p w14:paraId="71BFEF1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83C6667" w14:textId="77777777">
        <w:trPr>
          <w:cantSplit/>
          <w:trHeight w:val="397"/>
          <w:jc w:val="center"/>
        </w:trPr>
        <w:tc>
          <w:tcPr>
            <w:tcW w:w="2048" w:type="dxa"/>
            <w:vAlign w:val="center"/>
          </w:tcPr>
          <w:p w14:paraId="569AAF9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铜</w:t>
            </w:r>
          </w:p>
        </w:tc>
        <w:tc>
          <w:tcPr>
            <w:tcW w:w="1937" w:type="dxa"/>
            <w:vAlign w:val="center"/>
          </w:tcPr>
          <w:p w14:paraId="075021BC"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282ADAE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0F1C8CD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5553BB1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4ACB978" w14:textId="77777777">
        <w:trPr>
          <w:cantSplit/>
          <w:trHeight w:val="397"/>
          <w:jc w:val="center"/>
        </w:trPr>
        <w:tc>
          <w:tcPr>
            <w:tcW w:w="2048" w:type="dxa"/>
            <w:vAlign w:val="center"/>
          </w:tcPr>
          <w:p w14:paraId="10312E20"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rPr>
              <w:t>锌</w:t>
            </w:r>
          </w:p>
        </w:tc>
        <w:tc>
          <w:tcPr>
            <w:tcW w:w="1937" w:type="dxa"/>
            <w:vAlign w:val="center"/>
          </w:tcPr>
          <w:p w14:paraId="49C337A6"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0.78</w:t>
            </w:r>
          </w:p>
        </w:tc>
        <w:tc>
          <w:tcPr>
            <w:tcW w:w="1937" w:type="dxa"/>
            <w:vAlign w:val="center"/>
          </w:tcPr>
          <w:p w14:paraId="613AB3B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0.78</w:t>
            </w:r>
          </w:p>
        </w:tc>
        <w:tc>
          <w:tcPr>
            <w:tcW w:w="1938" w:type="dxa"/>
            <w:vAlign w:val="center"/>
          </w:tcPr>
          <w:p w14:paraId="240D809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0.76</w:t>
            </w:r>
          </w:p>
        </w:tc>
        <w:tc>
          <w:tcPr>
            <w:tcW w:w="1211" w:type="dxa"/>
            <w:vAlign w:val="center"/>
          </w:tcPr>
          <w:p w14:paraId="350A3C0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B5D92B6" w14:textId="77777777">
        <w:trPr>
          <w:cantSplit/>
          <w:trHeight w:val="397"/>
          <w:jc w:val="center"/>
        </w:trPr>
        <w:tc>
          <w:tcPr>
            <w:tcW w:w="2048" w:type="dxa"/>
            <w:vAlign w:val="center"/>
          </w:tcPr>
          <w:p w14:paraId="515418E5"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氟化物</w:t>
            </w:r>
          </w:p>
        </w:tc>
        <w:tc>
          <w:tcPr>
            <w:tcW w:w="1937" w:type="dxa"/>
            <w:vAlign w:val="center"/>
          </w:tcPr>
          <w:p w14:paraId="224BDD0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0.29</w:t>
            </w:r>
          </w:p>
        </w:tc>
        <w:tc>
          <w:tcPr>
            <w:tcW w:w="1937" w:type="dxa"/>
            <w:vAlign w:val="center"/>
          </w:tcPr>
          <w:p w14:paraId="536B85E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0.34</w:t>
            </w:r>
          </w:p>
        </w:tc>
        <w:tc>
          <w:tcPr>
            <w:tcW w:w="1938" w:type="dxa"/>
            <w:vAlign w:val="center"/>
          </w:tcPr>
          <w:p w14:paraId="5EFD9EE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0.31</w:t>
            </w:r>
          </w:p>
        </w:tc>
        <w:tc>
          <w:tcPr>
            <w:tcW w:w="1211" w:type="dxa"/>
            <w:vAlign w:val="center"/>
          </w:tcPr>
          <w:p w14:paraId="42C5DA8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AFB107F" w14:textId="77777777">
        <w:trPr>
          <w:cantSplit/>
          <w:trHeight w:val="397"/>
          <w:jc w:val="center"/>
        </w:trPr>
        <w:tc>
          <w:tcPr>
            <w:tcW w:w="2048" w:type="dxa"/>
            <w:vAlign w:val="center"/>
          </w:tcPr>
          <w:p w14:paraId="0FD21AE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硒</w:t>
            </w:r>
          </w:p>
        </w:tc>
        <w:tc>
          <w:tcPr>
            <w:tcW w:w="1937" w:type="dxa"/>
            <w:vAlign w:val="center"/>
          </w:tcPr>
          <w:p w14:paraId="0A5EA7A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0.001</w:t>
            </w:r>
          </w:p>
        </w:tc>
        <w:tc>
          <w:tcPr>
            <w:tcW w:w="1937" w:type="dxa"/>
            <w:vAlign w:val="center"/>
          </w:tcPr>
          <w:p w14:paraId="6C533B3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938" w:type="dxa"/>
            <w:vAlign w:val="center"/>
          </w:tcPr>
          <w:p w14:paraId="50137CA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0.001</w:t>
            </w:r>
          </w:p>
        </w:tc>
        <w:tc>
          <w:tcPr>
            <w:tcW w:w="1211" w:type="dxa"/>
            <w:vAlign w:val="center"/>
          </w:tcPr>
          <w:p w14:paraId="16A109A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6ACB56E9" w14:textId="77777777">
        <w:trPr>
          <w:cantSplit/>
          <w:trHeight w:val="397"/>
          <w:jc w:val="center"/>
        </w:trPr>
        <w:tc>
          <w:tcPr>
            <w:tcW w:w="2048" w:type="dxa"/>
            <w:vAlign w:val="center"/>
          </w:tcPr>
          <w:p w14:paraId="4CB4BC04"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砷</w:t>
            </w:r>
          </w:p>
        </w:tc>
        <w:tc>
          <w:tcPr>
            <w:tcW w:w="1937" w:type="dxa"/>
            <w:vAlign w:val="center"/>
          </w:tcPr>
          <w:p w14:paraId="4C9DC42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0.0003L</w:t>
            </w:r>
          </w:p>
        </w:tc>
        <w:tc>
          <w:tcPr>
            <w:tcW w:w="1937" w:type="dxa"/>
            <w:vAlign w:val="center"/>
          </w:tcPr>
          <w:p w14:paraId="5B7B498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938" w:type="dxa"/>
            <w:vAlign w:val="center"/>
          </w:tcPr>
          <w:p w14:paraId="23C000A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kern w:val="0"/>
                <w:sz w:val="21"/>
                <w:szCs w:val="21"/>
                <w:lang w:bidi="ar"/>
              </w:rPr>
              <w:t>0.0003L</w:t>
            </w:r>
          </w:p>
        </w:tc>
        <w:tc>
          <w:tcPr>
            <w:tcW w:w="1211" w:type="dxa"/>
            <w:vAlign w:val="center"/>
          </w:tcPr>
          <w:p w14:paraId="17E5ED3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21D625E" w14:textId="77777777">
        <w:trPr>
          <w:cantSplit/>
          <w:trHeight w:val="397"/>
          <w:jc w:val="center"/>
        </w:trPr>
        <w:tc>
          <w:tcPr>
            <w:tcW w:w="2048" w:type="dxa"/>
            <w:vAlign w:val="center"/>
          </w:tcPr>
          <w:p w14:paraId="15D21E5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hAnsi="Times New Roman" w:cs="Times New Roman" w:hint="eastAsia"/>
                <w:sz w:val="21"/>
                <w:lang w:bidi="ar"/>
              </w:rPr>
              <w:t>总</w:t>
            </w:r>
            <w:r>
              <w:rPr>
                <w:rFonts w:ascii="Times New Roman" w:eastAsia="宋体" w:hAnsi="Times New Roman" w:cs="Times New Roman"/>
                <w:sz w:val="21"/>
                <w:lang w:bidi="ar"/>
              </w:rPr>
              <w:t>汞</w:t>
            </w:r>
          </w:p>
        </w:tc>
        <w:tc>
          <w:tcPr>
            <w:tcW w:w="1937" w:type="dxa"/>
            <w:vAlign w:val="center"/>
          </w:tcPr>
          <w:p w14:paraId="38E370AF"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7" w:type="dxa"/>
            <w:vAlign w:val="center"/>
          </w:tcPr>
          <w:p w14:paraId="0866CB6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938" w:type="dxa"/>
            <w:vAlign w:val="center"/>
          </w:tcPr>
          <w:p w14:paraId="6A971D57"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0.00002L</w:t>
            </w:r>
          </w:p>
        </w:tc>
        <w:tc>
          <w:tcPr>
            <w:tcW w:w="1211" w:type="dxa"/>
            <w:vAlign w:val="center"/>
          </w:tcPr>
          <w:p w14:paraId="424D7F6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5842062C" w14:textId="77777777">
        <w:trPr>
          <w:cantSplit/>
          <w:trHeight w:val="397"/>
          <w:jc w:val="center"/>
        </w:trPr>
        <w:tc>
          <w:tcPr>
            <w:tcW w:w="2048" w:type="dxa"/>
            <w:vAlign w:val="center"/>
          </w:tcPr>
          <w:p w14:paraId="2C5382B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lastRenderedPageBreak/>
              <w:t>镉</w:t>
            </w:r>
          </w:p>
        </w:tc>
        <w:tc>
          <w:tcPr>
            <w:tcW w:w="1937" w:type="dxa"/>
            <w:vAlign w:val="center"/>
          </w:tcPr>
          <w:p w14:paraId="1ACAAD21" w14:textId="77777777" w:rsidR="009D12AF" w:rsidRDefault="00000000">
            <w:pPr>
              <w:widowControl/>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7" w:type="dxa"/>
            <w:vAlign w:val="center"/>
          </w:tcPr>
          <w:p w14:paraId="6C608E1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938" w:type="dxa"/>
            <w:vAlign w:val="center"/>
          </w:tcPr>
          <w:p w14:paraId="4F3931DF"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0.0001L</w:t>
            </w:r>
          </w:p>
        </w:tc>
        <w:tc>
          <w:tcPr>
            <w:tcW w:w="1211" w:type="dxa"/>
            <w:vAlign w:val="center"/>
          </w:tcPr>
          <w:p w14:paraId="603B268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D315911" w14:textId="77777777">
        <w:trPr>
          <w:cantSplit/>
          <w:trHeight w:val="397"/>
          <w:jc w:val="center"/>
        </w:trPr>
        <w:tc>
          <w:tcPr>
            <w:tcW w:w="2048" w:type="dxa"/>
            <w:vAlign w:val="center"/>
          </w:tcPr>
          <w:p w14:paraId="77F3ACD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六价铬</w:t>
            </w:r>
          </w:p>
        </w:tc>
        <w:tc>
          <w:tcPr>
            <w:tcW w:w="1937" w:type="dxa"/>
            <w:vAlign w:val="center"/>
          </w:tcPr>
          <w:p w14:paraId="5A3B5CD2"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3264C98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5F93B60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40BA112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01DF2B21" w14:textId="77777777">
        <w:trPr>
          <w:cantSplit/>
          <w:trHeight w:val="397"/>
          <w:jc w:val="center"/>
        </w:trPr>
        <w:tc>
          <w:tcPr>
            <w:tcW w:w="2048" w:type="dxa"/>
            <w:vAlign w:val="center"/>
          </w:tcPr>
          <w:p w14:paraId="2932AEBA"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铅</w:t>
            </w:r>
          </w:p>
        </w:tc>
        <w:tc>
          <w:tcPr>
            <w:tcW w:w="1937" w:type="dxa"/>
            <w:vAlign w:val="center"/>
          </w:tcPr>
          <w:p w14:paraId="1865EF56"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7" w:type="dxa"/>
            <w:vAlign w:val="center"/>
          </w:tcPr>
          <w:p w14:paraId="199B80F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938" w:type="dxa"/>
            <w:vAlign w:val="center"/>
          </w:tcPr>
          <w:p w14:paraId="7DAEA16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211" w:type="dxa"/>
            <w:vAlign w:val="center"/>
          </w:tcPr>
          <w:p w14:paraId="2F73A07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E70BD4E" w14:textId="77777777">
        <w:trPr>
          <w:cantSplit/>
          <w:trHeight w:val="397"/>
          <w:jc w:val="center"/>
        </w:trPr>
        <w:tc>
          <w:tcPr>
            <w:tcW w:w="2048" w:type="dxa"/>
            <w:vAlign w:val="center"/>
          </w:tcPr>
          <w:p w14:paraId="6986522C"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氰化物</w:t>
            </w:r>
          </w:p>
        </w:tc>
        <w:tc>
          <w:tcPr>
            <w:tcW w:w="1937" w:type="dxa"/>
            <w:vAlign w:val="center"/>
          </w:tcPr>
          <w:p w14:paraId="610B633C"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7" w:type="dxa"/>
            <w:vAlign w:val="center"/>
          </w:tcPr>
          <w:p w14:paraId="0CEAF24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938" w:type="dxa"/>
            <w:vAlign w:val="center"/>
          </w:tcPr>
          <w:p w14:paraId="2C5E575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211" w:type="dxa"/>
            <w:vAlign w:val="center"/>
          </w:tcPr>
          <w:p w14:paraId="3A4905D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A673490" w14:textId="77777777">
        <w:trPr>
          <w:cantSplit/>
          <w:trHeight w:val="397"/>
          <w:jc w:val="center"/>
        </w:trPr>
        <w:tc>
          <w:tcPr>
            <w:tcW w:w="2048" w:type="dxa"/>
            <w:vAlign w:val="center"/>
          </w:tcPr>
          <w:p w14:paraId="661B0A69"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挥发酚</w:t>
            </w:r>
          </w:p>
        </w:tc>
        <w:tc>
          <w:tcPr>
            <w:tcW w:w="1937" w:type="dxa"/>
            <w:vAlign w:val="center"/>
          </w:tcPr>
          <w:p w14:paraId="366B5D60"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7" w:type="dxa"/>
            <w:vAlign w:val="center"/>
          </w:tcPr>
          <w:p w14:paraId="4FE9EFA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938" w:type="dxa"/>
            <w:vAlign w:val="center"/>
          </w:tcPr>
          <w:p w14:paraId="5C9CF52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211" w:type="dxa"/>
            <w:vAlign w:val="center"/>
          </w:tcPr>
          <w:p w14:paraId="0C7688B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F77F343" w14:textId="77777777">
        <w:trPr>
          <w:cantSplit/>
          <w:trHeight w:val="397"/>
          <w:jc w:val="center"/>
        </w:trPr>
        <w:tc>
          <w:tcPr>
            <w:tcW w:w="2048" w:type="dxa"/>
            <w:vAlign w:val="center"/>
          </w:tcPr>
          <w:p w14:paraId="2458439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石油类</w:t>
            </w:r>
          </w:p>
        </w:tc>
        <w:tc>
          <w:tcPr>
            <w:tcW w:w="1937" w:type="dxa"/>
            <w:vAlign w:val="center"/>
          </w:tcPr>
          <w:p w14:paraId="6926CCED"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109099B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1665870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4FF9DBF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1903A8D8" w14:textId="77777777">
        <w:trPr>
          <w:cantSplit/>
          <w:trHeight w:val="397"/>
          <w:jc w:val="center"/>
        </w:trPr>
        <w:tc>
          <w:tcPr>
            <w:tcW w:w="2048" w:type="dxa"/>
            <w:vAlign w:val="center"/>
          </w:tcPr>
          <w:p w14:paraId="77BC2016"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阴离子表面活性剂</w:t>
            </w:r>
          </w:p>
        </w:tc>
        <w:tc>
          <w:tcPr>
            <w:tcW w:w="1937" w:type="dxa"/>
            <w:vAlign w:val="center"/>
          </w:tcPr>
          <w:p w14:paraId="0727E887"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7" w:type="dxa"/>
            <w:vAlign w:val="center"/>
          </w:tcPr>
          <w:p w14:paraId="2110325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938" w:type="dxa"/>
            <w:vAlign w:val="center"/>
          </w:tcPr>
          <w:p w14:paraId="0567653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0.05L</w:t>
            </w:r>
          </w:p>
        </w:tc>
        <w:tc>
          <w:tcPr>
            <w:tcW w:w="1211" w:type="dxa"/>
            <w:vAlign w:val="center"/>
          </w:tcPr>
          <w:p w14:paraId="6AA3626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73CA30FE" w14:textId="77777777">
        <w:trPr>
          <w:cantSplit/>
          <w:trHeight w:val="397"/>
          <w:jc w:val="center"/>
        </w:trPr>
        <w:tc>
          <w:tcPr>
            <w:tcW w:w="2048" w:type="dxa"/>
            <w:vAlign w:val="center"/>
          </w:tcPr>
          <w:p w14:paraId="3C71379E"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硫化物</w:t>
            </w:r>
          </w:p>
        </w:tc>
        <w:tc>
          <w:tcPr>
            <w:tcW w:w="1937" w:type="dxa"/>
            <w:vAlign w:val="center"/>
          </w:tcPr>
          <w:p w14:paraId="5E6F775F"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7" w:type="dxa"/>
            <w:vAlign w:val="center"/>
          </w:tcPr>
          <w:p w14:paraId="7543629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938" w:type="dxa"/>
            <w:vAlign w:val="center"/>
          </w:tcPr>
          <w:p w14:paraId="3529DDA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1211" w:type="dxa"/>
            <w:vAlign w:val="center"/>
          </w:tcPr>
          <w:p w14:paraId="2228016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mg/L</w:t>
            </w:r>
          </w:p>
        </w:tc>
      </w:tr>
      <w:tr w:rsidR="009D12AF" w14:paraId="32C30A56" w14:textId="77777777">
        <w:trPr>
          <w:cantSplit/>
          <w:trHeight w:val="397"/>
          <w:jc w:val="center"/>
        </w:trPr>
        <w:tc>
          <w:tcPr>
            <w:tcW w:w="2048" w:type="dxa"/>
            <w:vAlign w:val="center"/>
          </w:tcPr>
          <w:p w14:paraId="2EC66E0B" w14:textId="77777777" w:rsidR="009D12AF" w:rsidRDefault="00000000">
            <w:pPr>
              <w:adjustRightInd w:val="0"/>
              <w:snapToGrid w:val="0"/>
              <w:spacing w:line="240" w:lineRule="auto"/>
              <w:ind w:firstLineChars="0" w:firstLine="0"/>
              <w:jc w:val="center"/>
              <w:rPr>
                <w:rFonts w:ascii="Times New Roman" w:eastAsia="宋体" w:hAnsi="Times New Roman" w:cs="Times New Roman"/>
                <w:sz w:val="21"/>
                <w:szCs w:val="22"/>
              </w:rPr>
            </w:pPr>
            <w:r>
              <w:rPr>
                <w:rFonts w:ascii="Times New Roman" w:eastAsia="宋体" w:hAnsi="Times New Roman" w:cs="Times New Roman"/>
                <w:sz w:val="21"/>
                <w:lang w:bidi="ar"/>
              </w:rPr>
              <w:t>粪大肠菌群</w:t>
            </w:r>
          </w:p>
        </w:tc>
        <w:tc>
          <w:tcPr>
            <w:tcW w:w="1937" w:type="dxa"/>
            <w:vAlign w:val="center"/>
          </w:tcPr>
          <w:p w14:paraId="0D7879E2"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5.8</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7" w:type="dxa"/>
            <w:vAlign w:val="center"/>
          </w:tcPr>
          <w:p w14:paraId="61E89D6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7.0</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938" w:type="dxa"/>
            <w:vAlign w:val="center"/>
          </w:tcPr>
          <w:p w14:paraId="33EC65F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6.3</w:t>
            </w:r>
            <w:r>
              <w:rPr>
                <w:rFonts w:ascii="Times New Roman" w:hAnsi="Times New Roman" w:cs="Times New Roman"/>
                <w:sz w:val="21"/>
                <w:szCs w:val="21"/>
              </w:rPr>
              <w:t>×10</w:t>
            </w:r>
            <w:r>
              <w:rPr>
                <w:rFonts w:ascii="Times New Roman" w:hAnsi="Times New Roman" w:cs="Times New Roman"/>
                <w:sz w:val="21"/>
                <w:szCs w:val="21"/>
                <w:vertAlign w:val="superscript"/>
              </w:rPr>
              <w:t>3</w:t>
            </w:r>
          </w:p>
        </w:tc>
        <w:tc>
          <w:tcPr>
            <w:tcW w:w="1211" w:type="dxa"/>
            <w:vAlign w:val="center"/>
          </w:tcPr>
          <w:p w14:paraId="0F11A3B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MPN/L</w:t>
            </w:r>
          </w:p>
        </w:tc>
      </w:tr>
      <w:tr w:rsidR="009D12AF" w14:paraId="7416D824" w14:textId="77777777">
        <w:trPr>
          <w:cantSplit/>
          <w:trHeight w:val="397"/>
          <w:jc w:val="center"/>
        </w:trPr>
        <w:tc>
          <w:tcPr>
            <w:tcW w:w="2048" w:type="dxa"/>
            <w:vAlign w:val="center"/>
          </w:tcPr>
          <w:p w14:paraId="7F705111" w14:textId="77777777" w:rsidR="009D12AF" w:rsidRDefault="00000000">
            <w:pPr>
              <w:pStyle w:val="afb"/>
              <w:adjustRightInd w:val="0"/>
              <w:snapToGrid w:val="0"/>
              <w:ind w:firstLine="0"/>
              <w:rPr>
                <w:rFonts w:ascii="Times New Roman" w:eastAsia="宋体" w:hAnsi="Times New Roman"/>
                <w:b/>
              </w:rPr>
            </w:pPr>
            <w:r>
              <w:rPr>
                <w:rFonts w:ascii="Times New Roman" w:eastAsia="宋体" w:hAnsi="Times New Roman"/>
                <w:bCs/>
              </w:rPr>
              <w:t>水温</w:t>
            </w:r>
          </w:p>
        </w:tc>
        <w:tc>
          <w:tcPr>
            <w:tcW w:w="1937" w:type="dxa"/>
            <w:vAlign w:val="center"/>
          </w:tcPr>
          <w:p w14:paraId="12E2F27D" w14:textId="77777777" w:rsidR="009D12AF" w:rsidRDefault="00000000">
            <w:pPr>
              <w:widowControl/>
              <w:ind w:firstLineChars="0" w:firstLine="0"/>
              <w:jc w:val="center"/>
              <w:textAlignment w:val="center"/>
              <w:rPr>
                <w:rFonts w:ascii="Times New Roman" w:eastAsia="宋体" w:hAnsi="Times New Roman" w:cs="Times New Roman"/>
                <w:sz w:val="21"/>
                <w:szCs w:val="21"/>
              </w:rPr>
            </w:pPr>
            <w:r>
              <w:rPr>
                <w:rFonts w:ascii="Times New Roman" w:hAnsi="Times New Roman" w:cs="Times New Roman" w:hint="eastAsia"/>
                <w:sz w:val="21"/>
                <w:szCs w:val="21"/>
              </w:rPr>
              <w:t>10.3</w:t>
            </w:r>
          </w:p>
        </w:tc>
        <w:tc>
          <w:tcPr>
            <w:tcW w:w="1937" w:type="dxa"/>
            <w:vAlign w:val="center"/>
          </w:tcPr>
          <w:p w14:paraId="277D5BE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10.1</w:t>
            </w:r>
          </w:p>
        </w:tc>
        <w:tc>
          <w:tcPr>
            <w:tcW w:w="1938" w:type="dxa"/>
            <w:vAlign w:val="center"/>
          </w:tcPr>
          <w:p w14:paraId="0F3AC8F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10.2</w:t>
            </w:r>
          </w:p>
        </w:tc>
        <w:tc>
          <w:tcPr>
            <w:tcW w:w="1211" w:type="dxa"/>
            <w:vAlign w:val="center"/>
          </w:tcPr>
          <w:p w14:paraId="5D3C79BB" w14:textId="77777777" w:rsidR="009D12AF" w:rsidRDefault="00000000">
            <w:pPr>
              <w:widowControl/>
              <w:spacing w:line="240" w:lineRule="exact"/>
              <w:ind w:firstLineChars="0" w:firstLine="0"/>
              <w:jc w:val="center"/>
              <w:rPr>
                <w:rFonts w:ascii="宋体" w:eastAsia="宋体" w:hAnsi="宋体" w:cs="宋体" w:hint="eastAsia"/>
                <w:sz w:val="21"/>
                <w:szCs w:val="21"/>
              </w:rPr>
            </w:pPr>
            <w:r>
              <w:rPr>
                <w:rFonts w:ascii="Times New Roman" w:hAnsi="Times New Roman" w:cs="Times New Roman"/>
                <w:sz w:val="21"/>
                <w:szCs w:val="21"/>
              </w:rPr>
              <w:t>℃</w:t>
            </w:r>
          </w:p>
        </w:tc>
      </w:tr>
    </w:tbl>
    <w:p w14:paraId="2B6EDBC9" w14:textId="77777777" w:rsidR="009D12AF" w:rsidRDefault="00000000">
      <w:pPr>
        <w:ind w:firstLine="480"/>
      </w:pPr>
      <w:r>
        <w:rPr>
          <w:rFonts w:eastAsia="宋体"/>
        </w:rPr>
        <w:t>根据</w:t>
      </w:r>
      <w:r>
        <w:rPr>
          <w:rFonts w:eastAsia="宋体" w:hint="eastAsia"/>
        </w:rPr>
        <w:t>上</w:t>
      </w:r>
      <w:r>
        <w:rPr>
          <w:rFonts w:eastAsia="宋体"/>
        </w:rPr>
        <w:t>表可知</w:t>
      </w:r>
      <w:r>
        <w:rPr>
          <w:rFonts w:eastAsia="宋体" w:hint="eastAsia"/>
        </w:rPr>
        <w:t>所有</w:t>
      </w:r>
      <w:r>
        <w:rPr>
          <w:rFonts w:eastAsia="宋体"/>
        </w:rPr>
        <w:t>监测点位的各项监测因子均满足《地表水环境质量标准》（</w:t>
      </w:r>
      <w:r>
        <w:rPr>
          <w:rFonts w:eastAsia="宋体"/>
        </w:rPr>
        <w:t>GB3838-2002</w:t>
      </w:r>
      <w:r>
        <w:rPr>
          <w:rFonts w:eastAsia="宋体"/>
        </w:rPr>
        <w:t>）</w:t>
      </w:r>
      <w:r>
        <w:rPr>
          <w:rFonts w:ascii="宋体" w:eastAsia="宋体" w:hAnsi="宋体" w:cs="宋体" w:hint="eastAsia"/>
        </w:rPr>
        <w:t>Ⅲ</w:t>
      </w:r>
      <w:r>
        <w:rPr>
          <w:rFonts w:eastAsia="宋体"/>
        </w:rPr>
        <w:t>类标准要求。</w:t>
      </w:r>
    </w:p>
    <w:p w14:paraId="56F2677D" w14:textId="77777777" w:rsidR="009D12AF" w:rsidRDefault="00000000">
      <w:pPr>
        <w:pStyle w:val="3"/>
      </w:pPr>
      <w:bookmarkStart w:id="199" w:name="_Toc484"/>
      <w:bookmarkStart w:id="200" w:name="_Toc32506"/>
      <w:bookmarkStart w:id="201" w:name="_Toc221"/>
      <w:bookmarkStart w:id="202" w:name="_Toc6705"/>
      <w:r>
        <w:rPr>
          <w:rFonts w:hint="eastAsia"/>
        </w:rPr>
        <w:t>4.3.3</w:t>
      </w:r>
      <w:r>
        <w:rPr>
          <w:rFonts w:hint="eastAsia"/>
        </w:rPr>
        <w:t>声环境质量现状监测与评价</w:t>
      </w:r>
      <w:bookmarkEnd w:id="199"/>
      <w:bookmarkEnd w:id="200"/>
      <w:bookmarkEnd w:id="201"/>
      <w:bookmarkEnd w:id="202"/>
    </w:p>
    <w:p w14:paraId="2C790C77" w14:textId="77777777" w:rsidR="009D12AF" w:rsidRDefault="00000000">
      <w:pPr>
        <w:ind w:firstLine="480"/>
      </w:pPr>
      <w:r>
        <w:rPr>
          <w:rFonts w:hint="eastAsia"/>
        </w:rPr>
        <w:t>一、声环境现状监测</w:t>
      </w:r>
    </w:p>
    <w:p w14:paraId="3ADFF3D8" w14:textId="77777777" w:rsidR="009D12AF" w:rsidRDefault="00000000">
      <w:pPr>
        <w:ind w:firstLine="480"/>
      </w:pPr>
      <w:r>
        <w:t>（</w:t>
      </w:r>
      <w:r>
        <w:t>1</w:t>
      </w:r>
      <w:r>
        <w:t>）监测内容：等效连续</w:t>
      </w:r>
      <w:r>
        <w:t>A</w:t>
      </w:r>
      <w:r>
        <w:t>声级</w:t>
      </w:r>
      <w:r>
        <w:t>Leq</w:t>
      </w:r>
      <w:r>
        <w:t>。</w:t>
      </w:r>
    </w:p>
    <w:p w14:paraId="3C9A6B4D" w14:textId="77777777" w:rsidR="009D12AF" w:rsidRDefault="00000000">
      <w:pPr>
        <w:ind w:firstLine="480"/>
      </w:pPr>
      <w:r>
        <w:t>（</w:t>
      </w:r>
      <w:r>
        <w:t>2</w:t>
      </w:r>
      <w:r>
        <w:t>）监测点位</w:t>
      </w:r>
    </w:p>
    <w:p w14:paraId="0B134DE8" w14:textId="77777777" w:rsidR="009D12AF" w:rsidRDefault="00000000">
      <w:pPr>
        <w:ind w:firstLine="480"/>
      </w:pPr>
      <w:r>
        <w:t>本项目敏感点声环境现状监测点位布置具体见</w:t>
      </w:r>
      <w:r>
        <w:rPr>
          <w:rFonts w:hint="eastAsia"/>
        </w:rPr>
        <w:t>图</w:t>
      </w:r>
      <w:r>
        <w:rPr>
          <w:rFonts w:hint="eastAsia"/>
        </w:rPr>
        <w:t>4.3-1~4.3-5</w:t>
      </w:r>
      <w:r>
        <w:t>。</w:t>
      </w:r>
    </w:p>
    <w:p w14:paraId="7EA06417" w14:textId="77777777" w:rsidR="009D12AF" w:rsidRDefault="00000000">
      <w:pPr>
        <w:ind w:firstLine="480"/>
      </w:pPr>
      <w:r>
        <w:t>（</w:t>
      </w:r>
      <w:r>
        <w:t>3</w:t>
      </w:r>
      <w:r>
        <w:t>）监测时间与频率</w:t>
      </w:r>
    </w:p>
    <w:p w14:paraId="6A2CCA01" w14:textId="77777777" w:rsidR="009D12AF" w:rsidRDefault="00000000">
      <w:pPr>
        <w:ind w:firstLine="480"/>
      </w:pPr>
      <w:r>
        <w:t>监测时间为</w:t>
      </w:r>
      <w:r>
        <w:t>202</w:t>
      </w:r>
      <w:r>
        <w:rPr>
          <w:rFonts w:hint="eastAsia"/>
        </w:rPr>
        <w:t>5</w:t>
      </w:r>
      <w:r>
        <w:t>年</w:t>
      </w:r>
      <w:r>
        <w:rPr>
          <w:rFonts w:hint="eastAsia"/>
        </w:rPr>
        <w:t>8</w:t>
      </w:r>
      <w:r>
        <w:t>月</w:t>
      </w:r>
      <w:r>
        <w:rPr>
          <w:rFonts w:hint="eastAsia"/>
        </w:rPr>
        <w:t>19</w:t>
      </w:r>
      <w:r>
        <w:t>日</w:t>
      </w:r>
      <w:r>
        <w:t>-</w:t>
      </w:r>
      <w:r>
        <w:rPr>
          <w:rFonts w:hint="eastAsia"/>
        </w:rPr>
        <w:t>20</w:t>
      </w:r>
      <w:r>
        <w:t>日，分昼、夜两个时段进行监测。</w:t>
      </w:r>
    </w:p>
    <w:p w14:paraId="534E67BF" w14:textId="77777777" w:rsidR="009D12AF" w:rsidRDefault="00000000">
      <w:pPr>
        <w:ind w:firstLine="480"/>
      </w:pPr>
      <w:r>
        <w:t>（</w:t>
      </w:r>
      <w:r>
        <w:t>4</w:t>
      </w:r>
      <w:r>
        <w:t>）监测方法</w:t>
      </w:r>
    </w:p>
    <w:p w14:paraId="01EEECFF" w14:textId="77777777" w:rsidR="009D12AF" w:rsidRDefault="00000000">
      <w:pPr>
        <w:ind w:firstLine="480"/>
      </w:pPr>
      <w:r>
        <w:t>具体监测方法按《声环境质量标准》（</w:t>
      </w:r>
      <w:r>
        <w:t>GB 3096-2008</w:t>
      </w:r>
      <w:r>
        <w:t>）执行。</w:t>
      </w:r>
    </w:p>
    <w:p w14:paraId="4606A79C" w14:textId="77777777" w:rsidR="009D12AF" w:rsidRDefault="00000000">
      <w:pPr>
        <w:ind w:firstLine="480"/>
      </w:pPr>
      <w:r>
        <w:t>（</w:t>
      </w:r>
      <w:r>
        <w:t>5</w:t>
      </w:r>
      <w:r>
        <w:t>）监测结果</w:t>
      </w:r>
    </w:p>
    <w:p w14:paraId="0858F5A0" w14:textId="77777777" w:rsidR="009D12AF" w:rsidRDefault="00000000">
      <w:pPr>
        <w:ind w:firstLine="480"/>
      </w:pPr>
      <w:r>
        <w:t>监测结果见表</w:t>
      </w:r>
      <w:r>
        <w:rPr>
          <w:rFonts w:hint="eastAsia"/>
        </w:rPr>
        <w:t>4.3-12</w:t>
      </w:r>
      <w:r>
        <w:t>。</w:t>
      </w:r>
    </w:p>
    <w:p w14:paraId="57D3BF75" w14:textId="77777777" w:rsidR="009D12AF" w:rsidRDefault="00000000">
      <w:pPr>
        <w:ind w:firstLine="482"/>
        <w:jc w:val="center"/>
      </w:pPr>
      <w:r>
        <w:rPr>
          <w:b/>
          <w:bCs/>
        </w:rPr>
        <w:t>表</w:t>
      </w:r>
      <w:r>
        <w:rPr>
          <w:b/>
          <w:bCs/>
        </w:rPr>
        <w:t>4</w:t>
      </w:r>
      <w:r>
        <w:rPr>
          <w:rFonts w:hint="eastAsia"/>
          <w:b/>
          <w:bCs/>
        </w:rPr>
        <w:t>.3-12</w:t>
      </w:r>
      <w:r>
        <w:rPr>
          <w:b/>
          <w:bCs/>
        </w:rPr>
        <w:t xml:space="preserve">  </w:t>
      </w:r>
      <w:r>
        <w:rPr>
          <w:b/>
          <w:bCs/>
        </w:rPr>
        <w:t>噪声监测结果</w:t>
      </w:r>
      <w:r>
        <w:rPr>
          <w:b/>
          <w:bCs/>
        </w:rPr>
        <w:t xml:space="preserve">    </w:t>
      </w:r>
      <w:r>
        <w:rPr>
          <w:b/>
          <w:bCs/>
        </w:rPr>
        <w:t>单位</w:t>
      </w:r>
      <w:r>
        <w:rPr>
          <w:b/>
          <w:bCs/>
        </w:rPr>
        <w:t>LeqdB</w:t>
      </w:r>
      <w:r>
        <w:rPr>
          <w:b/>
          <w:bCs/>
        </w:rPr>
        <w:t>（</w:t>
      </w:r>
      <w:r>
        <w:rPr>
          <w:b/>
          <w:bCs/>
        </w:rPr>
        <w:t>A</w:t>
      </w:r>
      <w:r>
        <w:rPr>
          <w:b/>
          <w:bCs/>
        </w:rPr>
        <w:t>）</w:t>
      </w:r>
    </w:p>
    <w:tbl>
      <w:tblPr>
        <w:tblStyle w:val="ae"/>
        <w:tblW w:w="4998" w:type="pct"/>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711"/>
        <w:gridCol w:w="3816"/>
        <w:gridCol w:w="711"/>
        <w:gridCol w:w="711"/>
        <w:gridCol w:w="710"/>
        <w:gridCol w:w="710"/>
        <w:gridCol w:w="1150"/>
      </w:tblGrid>
      <w:tr w:rsidR="009D12AF" w14:paraId="65A75374" w14:textId="77777777">
        <w:trPr>
          <w:trHeight w:val="454"/>
          <w:jc w:val="center"/>
        </w:trPr>
        <w:tc>
          <w:tcPr>
            <w:tcW w:w="2655" w:type="pct"/>
            <w:gridSpan w:val="2"/>
            <w:tcBorders>
              <w:tl2br w:val="nil"/>
              <w:tr2bl w:val="nil"/>
            </w:tcBorders>
            <w:vAlign w:val="center"/>
          </w:tcPr>
          <w:p w14:paraId="7164DE84" w14:textId="77777777" w:rsidR="009D12AF" w:rsidRDefault="00000000">
            <w:pPr>
              <w:ind w:firstLineChars="0" w:firstLine="0"/>
              <w:jc w:val="center"/>
              <w:rPr>
                <w:rFonts w:ascii="Times New Roman" w:hAnsi="Times New Roman"/>
                <w:b/>
                <w:bCs/>
                <w:sz w:val="21"/>
                <w:szCs w:val="21"/>
              </w:rPr>
            </w:pPr>
            <w:r>
              <w:rPr>
                <w:rFonts w:ascii="Times New Roman" w:hAnsi="Times New Roman"/>
                <w:b/>
                <w:bCs/>
                <w:sz w:val="21"/>
                <w:szCs w:val="21"/>
              </w:rPr>
              <w:t>监测日期</w:t>
            </w:r>
          </w:p>
        </w:tc>
        <w:tc>
          <w:tcPr>
            <w:tcW w:w="834" w:type="pct"/>
            <w:gridSpan w:val="2"/>
            <w:tcBorders>
              <w:tl2br w:val="nil"/>
              <w:tr2bl w:val="nil"/>
            </w:tcBorders>
            <w:vAlign w:val="center"/>
          </w:tcPr>
          <w:p w14:paraId="45B96730" w14:textId="77777777" w:rsidR="009D12AF" w:rsidRDefault="00000000">
            <w:pPr>
              <w:pStyle w:val="Default"/>
              <w:rPr>
                <w:rFonts w:ascii="Times New Roman"/>
                <w:b/>
                <w:bCs/>
                <w:color w:val="auto"/>
                <w:sz w:val="21"/>
                <w:szCs w:val="21"/>
              </w:rPr>
            </w:pPr>
            <w:r>
              <w:rPr>
                <w:rFonts w:ascii="Times New Roman"/>
                <w:b/>
                <w:bCs/>
                <w:color w:val="auto"/>
                <w:sz w:val="21"/>
                <w:szCs w:val="21"/>
              </w:rPr>
              <w:t>20</w:t>
            </w:r>
            <w:r>
              <w:rPr>
                <w:rFonts w:ascii="Times New Roman" w:hint="eastAsia"/>
                <w:b/>
                <w:bCs/>
                <w:color w:val="auto"/>
                <w:sz w:val="21"/>
                <w:szCs w:val="21"/>
              </w:rPr>
              <w:t>25.08.19</w:t>
            </w:r>
          </w:p>
        </w:tc>
        <w:tc>
          <w:tcPr>
            <w:tcW w:w="834" w:type="pct"/>
            <w:gridSpan w:val="2"/>
            <w:tcBorders>
              <w:tl2br w:val="nil"/>
              <w:tr2bl w:val="nil"/>
            </w:tcBorders>
            <w:vAlign w:val="center"/>
          </w:tcPr>
          <w:p w14:paraId="74B87261" w14:textId="77777777" w:rsidR="009D12AF" w:rsidRDefault="00000000">
            <w:pPr>
              <w:pStyle w:val="Default"/>
              <w:rPr>
                <w:rFonts w:ascii="Times New Roman"/>
                <w:b/>
                <w:bCs/>
                <w:color w:val="auto"/>
                <w:sz w:val="21"/>
                <w:szCs w:val="21"/>
              </w:rPr>
            </w:pPr>
            <w:r>
              <w:rPr>
                <w:rFonts w:ascii="Times New Roman" w:hint="eastAsia"/>
                <w:b/>
                <w:bCs/>
                <w:color w:val="auto"/>
                <w:sz w:val="21"/>
                <w:szCs w:val="21"/>
              </w:rPr>
              <w:t>2025.08.20</w:t>
            </w:r>
          </w:p>
        </w:tc>
        <w:tc>
          <w:tcPr>
            <w:tcW w:w="675" w:type="pct"/>
            <w:vMerge w:val="restart"/>
            <w:tcBorders>
              <w:tl2br w:val="nil"/>
              <w:tr2bl w:val="nil"/>
            </w:tcBorders>
            <w:vAlign w:val="center"/>
          </w:tcPr>
          <w:p w14:paraId="6308DA30" w14:textId="77777777" w:rsidR="009D12AF" w:rsidRDefault="00000000">
            <w:pPr>
              <w:ind w:firstLineChars="0" w:firstLine="0"/>
              <w:jc w:val="center"/>
              <w:rPr>
                <w:rFonts w:ascii="Times New Roman" w:hAnsi="Times New Roman"/>
                <w:sz w:val="21"/>
                <w:szCs w:val="21"/>
              </w:rPr>
            </w:pPr>
            <w:r>
              <w:rPr>
                <w:rFonts w:ascii="Times New Roman" w:hAnsi="Times New Roman"/>
                <w:b/>
                <w:bCs/>
                <w:sz w:val="21"/>
                <w:szCs w:val="21"/>
              </w:rPr>
              <w:t>单位</w:t>
            </w:r>
          </w:p>
        </w:tc>
      </w:tr>
      <w:tr w:rsidR="009D12AF" w14:paraId="0A04EA3D" w14:textId="77777777">
        <w:trPr>
          <w:trHeight w:val="454"/>
          <w:jc w:val="center"/>
        </w:trPr>
        <w:tc>
          <w:tcPr>
            <w:tcW w:w="417" w:type="pct"/>
            <w:tcBorders>
              <w:tl2br w:val="nil"/>
              <w:tr2bl w:val="nil"/>
            </w:tcBorders>
            <w:vAlign w:val="center"/>
          </w:tcPr>
          <w:p w14:paraId="5F39782F" w14:textId="77777777" w:rsidR="009D12AF" w:rsidRDefault="00000000">
            <w:pPr>
              <w:pStyle w:val="Default"/>
              <w:rPr>
                <w:rFonts w:ascii="Times New Roman"/>
                <w:b/>
                <w:bCs/>
                <w:color w:val="auto"/>
                <w:sz w:val="21"/>
                <w:szCs w:val="21"/>
              </w:rPr>
            </w:pPr>
            <w:r>
              <w:rPr>
                <w:rFonts w:ascii="Times New Roman"/>
                <w:b/>
                <w:bCs/>
                <w:color w:val="auto"/>
                <w:sz w:val="21"/>
                <w:szCs w:val="21"/>
              </w:rPr>
              <w:t>序号</w:t>
            </w:r>
          </w:p>
        </w:tc>
        <w:tc>
          <w:tcPr>
            <w:tcW w:w="2237" w:type="pct"/>
            <w:tcBorders>
              <w:tl2br w:val="nil"/>
              <w:tr2bl w:val="nil"/>
            </w:tcBorders>
            <w:vAlign w:val="center"/>
          </w:tcPr>
          <w:p w14:paraId="3AC48442" w14:textId="77777777" w:rsidR="009D12AF" w:rsidRDefault="00000000">
            <w:pPr>
              <w:ind w:firstLineChars="0" w:firstLine="0"/>
              <w:jc w:val="center"/>
              <w:rPr>
                <w:rFonts w:ascii="Times New Roman" w:hAnsi="Times New Roman"/>
                <w:b/>
                <w:bCs/>
                <w:sz w:val="21"/>
                <w:szCs w:val="21"/>
              </w:rPr>
            </w:pPr>
            <w:r>
              <w:rPr>
                <w:rFonts w:ascii="Times New Roman" w:hAnsi="Times New Roman"/>
                <w:b/>
                <w:bCs/>
                <w:sz w:val="21"/>
                <w:szCs w:val="21"/>
              </w:rPr>
              <w:t>监测点位</w:t>
            </w:r>
          </w:p>
        </w:tc>
        <w:tc>
          <w:tcPr>
            <w:tcW w:w="417" w:type="pct"/>
            <w:tcBorders>
              <w:tl2br w:val="nil"/>
              <w:tr2bl w:val="nil"/>
            </w:tcBorders>
            <w:vAlign w:val="center"/>
          </w:tcPr>
          <w:p w14:paraId="2012A202" w14:textId="77777777" w:rsidR="009D12AF" w:rsidRDefault="00000000">
            <w:pPr>
              <w:pStyle w:val="Default"/>
              <w:rPr>
                <w:rFonts w:ascii="Times New Roman"/>
                <w:b/>
                <w:bCs/>
                <w:color w:val="auto"/>
                <w:sz w:val="21"/>
                <w:szCs w:val="21"/>
              </w:rPr>
            </w:pPr>
            <w:r>
              <w:rPr>
                <w:rFonts w:ascii="Times New Roman"/>
                <w:b/>
                <w:bCs/>
                <w:color w:val="auto"/>
                <w:sz w:val="21"/>
                <w:szCs w:val="21"/>
              </w:rPr>
              <w:t>昼间</w:t>
            </w:r>
          </w:p>
        </w:tc>
        <w:tc>
          <w:tcPr>
            <w:tcW w:w="417" w:type="pct"/>
            <w:tcBorders>
              <w:tl2br w:val="nil"/>
              <w:tr2bl w:val="nil"/>
            </w:tcBorders>
            <w:vAlign w:val="center"/>
          </w:tcPr>
          <w:p w14:paraId="05DDEBE4" w14:textId="77777777" w:rsidR="009D12AF" w:rsidRDefault="00000000">
            <w:pPr>
              <w:pStyle w:val="Default"/>
              <w:rPr>
                <w:rFonts w:ascii="Times New Roman"/>
                <w:b/>
                <w:bCs/>
                <w:color w:val="auto"/>
                <w:sz w:val="21"/>
                <w:szCs w:val="21"/>
              </w:rPr>
            </w:pPr>
            <w:r>
              <w:rPr>
                <w:rFonts w:ascii="Times New Roman"/>
                <w:b/>
                <w:bCs/>
                <w:color w:val="auto"/>
                <w:sz w:val="21"/>
                <w:szCs w:val="21"/>
              </w:rPr>
              <w:t>夜间</w:t>
            </w:r>
          </w:p>
        </w:tc>
        <w:tc>
          <w:tcPr>
            <w:tcW w:w="417" w:type="pct"/>
            <w:tcBorders>
              <w:tl2br w:val="nil"/>
              <w:tr2bl w:val="nil"/>
            </w:tcBorders>
            <w:vAlign w:val="center"/>
          </w:tcPr>
          <w:p w14:paraId="2DAF300B" w14:textId="77777777" w:rsidR="009D12AF" w:rsidRDefault="00000000">
            <w:pPr>
              <w:pStyle w:val="Default"/>
              <w:rPr>
                <w:rFonts w:ascii="Times New Roman" w:hAnsi="Times New Roman" w:cs="Times New Roman"/>
                <w:b/>
                <w:bCs/>
                <w:color w:val="auto"/>
                <w:sz w:val="21"/>
                <w:szCs w:val="21"/>
              </w:rPr>
            </w:pPr>
            <w:r>
              <w:rPr>
                <w:rFonts w:ascii="Times New Roman"/>
                <w:b/>
                <w:bCs/>
                <w:color w:val="auto"/>
                <w:sz w:val="21"/>
                <w:szCs w:val="21"/>
              </w:rPr>
              <w:t>昼间</w:t>
            </w:r>
          </w:p>
        </w:tc>
        <w:tc>
          <w:tcPr>
            <w:tcW w:w="417" w:type="pct"/>
            <w:tcBorders>
              <w:tl2br w:val="nil"/>
              <w:tr2bl w:val="nil"/>
            </w:tcBorders>
            <w:vAlign w:val="center"/>
          </w:tcPr>
          <w:p w14:paraId="34D2E1E6" w14:textId="77777777" w:rsidR="009D12AF" w:rsidRDefault="00000000">
            <w:pPr>
              <w:pStyle w:val="Default"/>
              <w:rPr>
                <w:rFonts w:ascii="Times New Roman" w:hAnsi="Times New Roman" w:cs="Times New Roman"/>
                <w:b/>
                <w:bCs/>
                <w:color w:val="auto"/>
                <w:sz w:val="21"/>
                <w:szCs w:val="21"/>
              </w:rPr>
            </w:pPr>
            <w:r>
              <w:rPr>
                <w:rFonts w:ascii="Times New Roman"/>
                <w:b/>
                <w:bCs/>
                <w:color w:val="auto"/>
                <w:sz w:val="21"/>
                <w:szCs w:val="21"/>
              </w:rPr>
              <w:t>夜间</w:t>
            </w:r>
          </w:p>
        </w:tc>
        <w:tc>
          <w:tcPr>
            <w:tcW w:w="675" w:type="pct"/>
            <w:vMerge/>
            <w:tcBorders>
              <w:tl2br w:val="nil"/>
              <w:tr2bl w:val="nil"/>
            </w:tcBorders>
            <w:vAlign w:val="center"/>
          </w:tcPr>
          <w:p w14:paraId="19310E79" w14:textId="77777777" w:rsidR="009D12AF" w:rsidRDefault="009D12AF">
            <w:pPr>
              <w:pStyle w:val="Default"/>
              <w:rPr>
                <w:rFonts w:ascii="Times New Roman"/>
                <w:b/>
                <w:bCs/>
                <w:color w:val="auto"/>
                <w:sz w:val="21"/>
                <w:szCs w:val="21"/>
              </w:rPr>
            </w:pPr>
          </w:p>
        </w:tc>
      </w:tr>
      <w:tr w:rsidR="009D12AF" w14:paraId="5D3DCD43" w14:textId="77777777">
        <w:trPr>
          <w:trHeight w:val="454"/>
          <w:jc w:val="center"/>
        </w:trPr>
        <w:tc>
          <w:tcPr>
            <w:tcW w:w="417" w:type="pct"/>
            <w:tcBorders>
              <w:tl2br w:val="nil"/>
              <w:tr2bl w:val="nil"/>
            </w:tcBorders>
            <w:vAlign w:val="center"/>
          </w:tcPr>
          <w:p w14:paraId="799AD510" w14:textId="77777777" w:rsidR="009D12AF" w:rsidRDefault="00000000">
            <w:pPr>
              <w:pStyle w:val="Default"/>
              <w:rPr>
                <w:rFonts w:ascii="Times New Roman"/>
                <w:color w:val="auto"/>
                <w:sz w:val="21"/>
                <w:szCs w:val="21"/>
              </w:rPr>
            </w:pPr>
            <w:r>
              <w:rPr>
                <w:rFonts w:ascii="Times New Roman"/>
                <w:color w:val="auto"/>
                <w:sz w:val="21"/>
                <w:szCs w:val="21"/>
              </w:rPr>
              <w:lastRenderedPageBreak/>
              <w:t>▲</w:t>
            </w:r>
            <w:r>
              <w:rPr>
                <w:rFonts w:ascii="Times New Roman"/>
                <w:color w:val="auto"/>
                <w:sz w:val="21"/>
                <w:szCs w:val="21"/>
              </w:rPr>
              <w:t>1</w:t>
            </w:r>
          </w:p>
        </w:tc>
        <w:tc>
          <w:tcPr>
            <w:tcW w:w="2237" w:type="pct"/>
            <w:tcBorders>
              <w:tl2br w:val="nil"/>
              <w:tr2bl w:val="nil"/>
            </w:tcBorders>
            <w:vAlign w:val="center"/>
          </w:tcPr>
          <w:p w14:paraId="43ECBBC7" w14:textId="77777777" w:rsidR="009D12AF" w:rsidRDefault="00000000">
            <w:pPr>
              <w:autoSpaceDE w:val="0"/>
              <w:spacing w:line="400" w:lineRule="exac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sz w:val="21"/>
                <w:szCs w:val="21"/>
              </w:rPr>
              <w:t>群力水库西侧</w:t>
            </w:r>
            <w:r>
              <w:rPr>
                <w:rFonts w:ascii="Times New Roman" w:eastAsia="宋体" w:hAnsi="Times New Roman" w:cs="Times New Roman"/>
                <w:sz w:val="21"/>
                <w:szCs w:val="21"/>
              </w:rPr>
              <w:t>1#</w:t>
            </w:r>
          </w:p>
        </w:tc>
        <w:tc>
          <w:tcPr>
            <w:tcW w:w="417" w:type="pct"/>
            <w:tcBorders>
              <w:tl2br w:val="nil"/>
              <w:tr2bl w:val="nil"/>
            </w:tcBorders>
            <w:vAlign w:val="center"/>
          </w:tcPr>
          <w:p w14:paraId="6BEC8999" w14:textId="77777777" w:rsidR="009D12AF" w:rsidRDefault="00000000">
            <w:pPr>
              <w:pStyle w:val="Default"/>
              <w:rPr>
                <w:rFonts w:ascii="Times New Roman" w:hAnsi="Times New Roman" w:cs="Times New Roman"/>
                <w:color w:val="000000" w:themeColor="text1"/>
                <w:spacing w:val="20"/>
                <w:kern w:val="2"/>
                <w:sz w:val="21"/>
                <w:szCs w:val="21"/>
              </w:rPr>
            </w:pPr>
            <w:r>
              <w:rPr>
                <w:rFonts w:ascii="Times New Roman" w:cs="Times New Roman" w:hint="eastAsia"/>
                <w:color w:val="000000" w:themeColor="text1"/>
                <w:spacing w:val="20"/>
                <w:kern w:val="2"/>
                <w:sz w:val="21"/>
                <w:szCs w:val="21"/>
              </w:rPr>
              <w:t>47</w:t>
            </w:r>
          </w:p>
        </w:tc>
        <w:tc>
          <w:tcPr>
            <w:tcW w:w="417" w:type="pct"/>
            <w:tcBorders>
              <w:tl2br w:val="nil"/>
              <w:tr2bl w:val="nil"/>
            </w:tcBorders>
            <w:vAlign w:val="center"/>
          </w:tcPr>
          <w:p w14:paraId="6C679749" w14:textId="77777777" w:rsidR="009D12AF" w:rsidRDefault="00000000">
            <w:pPr>
              <w:pStyle w:val="Default"/>
              <w:rPr>
                <w:rFonts w:ascii="Times New Roman" w:hAnsi="Times New Roman" w:cs="Times New Roman"/>
                <w:color w:val="auto"/>
                <w:sz w:val="21"/>
                <w:szCs w:val="21"/>
              </w:rPr>
            </w:pPr>
            <w:r>
              <w:rPr>
                <w:rFonts w:ascii="Times New Roman" w:cs="Times New Roman" w:hint="eastAsia"/>
                <w:color w:val="auto"/>
                <w:sz w:val="21"/>
                <w:szCs w:val="21"/>
              </w:rPr>
              <w:t>45</w:t>
            </w:r>
          </w:p>
        </w:tc>
        <w:tc>
          <w:tcPr>
            <w:tcW w:w="417" w:type="pct"/>
            <w:tcBorders>
              <w:tl2br w:val="nil"/>
              <w:tr2bl w:val="nil"/>
            </w:tcBorders>
            <w:vAlign w:val="center"/>
          </w:tcPr>
          <w:p w14:paraId="5D23AA27" w14:textId="77777777" w:rsidR="009D12AF" w:rsidRDefault="00000000">
            <w:pPr>
              <w:pStyle w:val="Default"/>
              <w:rPr>
                <w:rFonts w:ascii="Times New Roman" w:hAnsi="Times New Roman" w:cs="Times New Roman"/>
                <w:color w:val="auto"/>
                <w:sz w:val="21"/>
                <w:szCs w:val="21"/>
              </w:rPr>
            </w:pPr>
            <w:r>
              <w:rPr>
                <w:rFonts w:ascii="Times New Roman" w:hint="eastAsia"/>
                <w:color w:val="auto"/>
                <w:sz w:val="21"/>
                <w:szCs w:val="21"/>
              </w:rPr>
              <w:t>48</w:t>
            </w:r>
          </w:p>
        </w:tc>
        <w:tc>
          <w:tcPr>
            <w:tcW w:w="417" w:type="pct"/>
            <w:tcBorders>
              <w:tl2br w:val="nil"/>
              <w:tr2bl w:val="nil"/>
            </w:tcBorders>
            <w:vAlign w:val="center"/>
          </w:tcPr>
          <w:p w14:paraId="3C4383E4" w14:textId="77777777" w:rsidR="009D12AF" w:rsidRDefault="00000000">
            <w:pPr>
              <w:ind w:firstLineChars="0" w:firstLine="0"/>
              <w:jc w:val="center"/>
              <w:rPr>
                <w:rFonts w:ascii="Times New Roman" w:eastAsia="宋体"/>
                <w:sz w:val="21"/>
                <w:szCs w:val="21"/>
              </w:rPr>
            </w:pPr>
            <w:r>
              <w:rPr>
                <w:rFonts w:ascii="Times New Roman" w:hint="eastAsia"/>
                <w:sz w:val="21"/>
                <w:szCs w:val="21"/>
              </w:rPr>
              <w:t>44</w:t>
            </w:r>
          </w:p>
        </w:tc>
        <w:tc>
          <w:tcPr>
            <w:tcW w:w="675" w:type="pct"/>
            <w:vMerge w:val="restart"/>
            <w:tcBorders>
              <w:tl2br w:val="nil"/>
              <w:tr2bl w:val="nil"/>
            </w:tcBorders>
            <w:vAlign w:val="center"/>
          </w:tcPr>
          <w:p w14:paraId="0527A6FC" w14:textId="77777777" w:rsidR="009D12AF" w:rsidRDefault="00000000">
            <w:pPr>
              <w:pStyle w:val="Default"/>
              <w:rPr>
                <w:rFonts w:ascii="Times New Roman" w:hAnsi="Times New Roman" w:cs="Times New Roman"/>
                <w:color w:val="auto"/>
                <w:sz w:val="21"/>
                <w:szCs w:val="21"/>
              </w:rPr>
            </w:pPr>
            <w:r>
              <w:rPr>
                <w:rFonts w:ascii="Times New Roman" w:hAnsi="Times New Roman" w:cs="Times New Roman"/>
                <w:color w:val="auto"/>
                <w:sz w:val="21"/>
                <w:szCs w:val="21"/>
              </w:rPr>
              <w:t>dB</w:t>
            </w:r>
            <w:r>
              <w:rPr>
                <w:rFonts w:ascii="Times New Roman" w:hAnsi="Times New Roman" w:cs="Times New Roman"/>
                <w:color w:val="auto"/>
                <w:sz w:val="21"/>
                <w:szCs w:val="21"/>
              </w:rPr>
              <w:t>（</w:t>
            </w:r>
            <w:r>
              <w:rPr>
                <w:rFonts w:ascii="Times New Roman" w:hAnsi="Times New Roman" w:cs="Times New Roman"/>
                <w:color w:val="auto"/>
                <w:sz w:val="21"/>
                <w:szCs w:val="21"/>
              </w:rPr>
              <w:t>A</w:t>
            </w:r>
            <w:r>
              <w:rPr>
                <w:rFonts w:ascii="Times New Roman" w:hAnsi="Times New Roman" w:cs="Times New Roman"/>
                <w:color w:val="auto"/>
                <w:sz w:val="21"/>
                <w:szCs w:val="21"/>
              </w:rPr>
              <w:t>）</w:t>
            </w:r>
          </w:p>
        </w:tc>
      </w:tr>
      <w:tr w:rsidR="009D12AF" w14:paraId="0059F938" w14:textId="77777777">
        <w:trPr>
          <w:trHeight w:val="454"/>
          <w:jc w:val="center"/>
        </w:trPr>
        <w:tc>
          <w:tcPr>
            <w:tcW w:w="417" w:type="pct"/>
            <w:tcBorders>
              <w:tl2br w:val="nil"/>
              <w:tr2bl w:val="nil"/>
            </w:tcBorders>
            <w:vAlign w:val="center"/>
          </w:tcPr>
          <w:p w14:paraId="26F87AA1" w14:textId="77777777" w:rsidR="009D12AF" w:rsidRDefault="00000000">
            <w:pPr>
              <w:ind w:firstLineChars="0" w:firstLine="0"/>
              <w:jc w:val="center"/>
              <w:rPr>
                <w:rFonts w:ascii="Times New Roman" w:eastAsia="宋体"/>
                <w:sz w:val="21"/>
                <w:szCs w:val="21"/>
              </w:rPr>
            </w:pPr>
            <w:r>
              <w:rPr>
                <w:rFonts w:ascii="Times New Roman" w:eastAsia="宋体"/>
                <w:sz w:val="21"/>
                <w:szCs w:val="21"/>
              </w:rPr>
              <w:t>▲</w:t>
            </w:r>
            <w:r>
              <w:rPr>
                <w:rFonts w:ascii="Times New Roman" w:hint="eastAsia"/>
                <w:sz w:val="21"/>
                <w:szCs w:val="21"/>
              </w:rPr>
              <w:t>2</w:t>
            </w:r>
          </w:p>
        </w:tc>
        <w:tc>
          <w:tcPr>
            <w:tcW w:w="2237" w:type="pct"/>
            <w:tcBorders>
              <w:tl2br w:val="nil"/>
              <w:tr2bl w:val="nil"/>
            </w:tcBorders>
            <w:vAlign w:val="center"/>
          </w:tcPr>
          <w:p w14:paraId="25852C8F" w14:textId="77777777" w:rsidR="009D12AF" w:rsidRDefault="00000000">
            <w:pPr>
              <w:autoSpaceDE w:val="0"/>
              <w:spacing w:line="400" w:lineRule="exact"/>
              <w:ind w:firstLineChars="0" w:firstLine="0"/>
              <w:jc w:val="center"/>
              <w:rPr>
                <w:rFonts w:ascii="Times New Roman" w:hAnsi="Times New Roman" w:cs="Times New Roman"/>
                <w:kern w:val="0"/>
                <w:sz w:val="21"/>
                <w:szCs w:val="21"/>
              </w:rPr>
            </w:pPr>
            <w:r>
              <w:rPr>
                <w:rFonts w:ascii="Times New Roman" w:hAnsi="Times New Roman" w:cs="Times New Roman"/>
                <w:sz w:val="21"/>
                <w:szCs w:val="21"/>
              </w:rPr>
              <w:t>群力水库东侧</w:t>
            </w:r>
            <w:r>
              <w:rPr>
                <w:rFonts w:ascii="Times New Roman" w:hAnsi="Times New Roman" w:cs="Times New Roman"/>
                <w:sz w:val="21"/>
                <w:szCs w:val="21"/>
              </w:rPr>
              <w:t>2#</w:t>
            </w:r>
          </w:p>
        </w:tc>
        <w:tc>
          <w:tcPr>
            <w:tcW w:w="417" w:type="pct"/>
            <w:tcBorders>
              <w:tl2br w:val="nil"/>
              <w:tr2bl w:val="nil"/>
            </w:tcBorders>
            <w:vAlign w:val="center"/>
          </w:tcPr>
          <w:p w14:paraId="010B3B07" w14:textId="77777777" w:rsidR="009D12AF" w:rsidRDefault="00000000">
            <w:pPr>
              <w:pStyle w:val="Default"/>
              <w:rPr>
                <w:rFonts w:ascii="Times New Roman" w:cs="Times New Roman"/>
                <w:color w:val="000000" w:themeColor="text1"/>
                <w:spacing w:val="20"/>
                <w:kern w:val="2"/>
                <w:sz w:val="21"/>
                <w:szCs w:val="21"/>
              </w:rPr>
            </w:pPr>
            <w:r>
              <w:rPr>
                <w:rFonts w:ascii="Times New Roman" w:cs="Times New Roman" w:hint="eastAsia"/>
                <w:color w:val="000000" w:themeColor="text1"/>
                <w:spacing w:val="20"/>
                <w:kern w:val="2"/>
                <w:sz w:val="21"/>
                <w:szCs w:val="21"/>
              </w:rPr>
              <w:t>48</w:t>
            </w:r>
          </w:p>
        </w:tc>
        <w:tc>
          <w:tcPr>
            <w:tcW w:w="417" w:type="pct"/>
            <w:tcBorders>
              <w:tl2br w:val="nil"/>
              <w:tr2bl w:val="nil"/>
            </w:tcBorders>
            <w:vAlign w:val="center"/>
          </w:tcPr>
          <w:p w14:paraId="26E41D30" w14:textId="77777777" w:rsidR="009D12AF" w:rsidRDefault="00000000">
            <w:pPr>
              <w:pStyle w:val="Default"/>
              <w:rPr>
                <w:rFonts w:ascii="Times New Roman" w:hAnsi="Times New Roman" w:cs="Times New Roman"/>
                <w:color w:val="auto"/>
                <w:sz w:val="21"/>
                <w:szCs w:val="21"/>
              </w:rPr>
            </w:pPr>
            <w:r>
              <w:rPr>
                <w:rFonts w:ascii="Times New Roman" w:cs="Times New Roman" w:hint="eastAsia"/>
                <w:color w:val="auto"/>
                <w:sz w:val="21"/>
                <w:szCs w:val="21"/>
              </w:rPr>
              <w:t>44</w:t>
            </w:r>
          </w:p>
        </w:tc>
        <w:tc>
          <w:tcPr>
            <w:tcW w:w="417" w:type="pct"/>
            <w:tcBorders>
              <w:tl2br w:val="nil"/>
              <w:tr2bl w:val="nil"/>
            </w:tcBorders>
            <w:vAlign w:val="center"/>
          </w:tcPr>
          <w:p w14:paraId="18408346" w14:textId="77777777" w:rsidR="009D12AF" w:rsidRDefault="00000000">
            <w:pPr>
              <w:pStyle w:val="Default"/>
              <w:rPr>
                <w:rFonts w:ascii="Times New Roman" w:hAnsi="Times New Roman" w:cs="Times New Roman"/>
                <w:color w:val="auto"/>
                <w:sz w:val="21"/>
                <w:szCs w:val="21"/>
              </w:rPr>
            </w:pPr>
            <w:r>
              <w:rPr>
                <w:rFonts w:ascii="Times New Roman" w:hint="eastAsia"/>
                <w:color w:val="auto"/>
                <w:sz w:val="21"/>
                <w:szCs w:val="21"/>
              </w:rPr>
              <w:t>48</w:t>
            </w:r>
          </w:p>
        </w:tc>
        <w:tc>
          <w:tcPr>
            <w:tcW w:w="417" w:type="pct"/>
            <w:tcBorders>
              <w:tl2br w:val="nil"/>
              <w:tr2bl w:val="nil"/>
            </w:tcBorders>
            <w:vAlign w:val="center"/>
          </w:tcPr>
          <w:p w14:paraId="7DF8C252" w14:textId="77777777" w:rsidR="009D12AF" w:rsidRDefault="00000000">
            <w:pPr>
              <w:ind w:firstLineChars="0" w:firstLine="0"/>
              <w:jc w:val="center"/>
              <w:rPr>
                <w:rFonts w:ascii="Times New Roman" w:eastAsia="宋体"/>
                <w:sz w:val="21"/>
                <w:szCs w:val="21"/>
              </w:rPr>
            </w:pPr>
            <w:r>
              <w:rPr>
                <w:rFonts w:ascii="Times New Roman" w:hint="eastAsia"/>
                <w:sz w:val="21"/>
                <w:szCs w:val="21"/>
              </w:rPr>
              <w:t>45</w:t>
            </w:r>
          </w:p>
        </w:tc>
        <w:tc>
          <w:tcPr>
            <w:tcW w:w="675" w:type="pct"/>
            <w:vMerge/>
            <w:tcBorders>
              <w:tl2br w:val="nil"/>
              <w:tr2bl w:val="nil"/>
            </w:tcBorders>
            <w:vAlign w:val="center"/>
          </w:tcPr>
          <w:p w14:paraId="4B43BA96" w14:textId="77777777" w:rsidR="009D12AF" w:rsidRDefault="009D12AF">
            <w:pPr>
              <w:pStyle w:val="Default"/>
              <w:rPr>
                <w:rFonts w:ascii="Times New Roman" w:hAnsi="Times New Roman" w:cs="Times New Roman"/>
                <w:color w:val="auto"/>
                <w:sz w:val="21"/>
                <w:szCs w:val="21"/>
              </w:rPr>
            </w:pPr>
          </w:p>
        </w:tc>
      </w:tr>
      <w:tr w:rsidR="009D12AF" w14:paraId="76573E4B" w14:textId="77777777">
        <w:trPr>
          <w:trHeight w:val="454"/>
          <w:jc w:val="center"/>
        </w:trPr>
        <w:tc>
          <w:tcPr>
            <w:tcW w:w="417" w:type="pct"/>
            <w:tcBorders>
              <w:tl2br w:val="nil"/>
              <w:tr2bl w:val="nil"/>
            </w:tcBorders>
            <w:vAlign w:val="center"/>
          </w:tcPr>
          <w:p w14:paraId="16BA7BF7" w14:textId="77777777" w:rsidR="009D12AF" w:rsidRDefault="00000000">
            <w:pPr>
              <w:ind w:firstLineChars="0" w:firstLine="0"/>
              <w:jc w:val="center"/>
              <w:rPr>
                <w:rFonts w:ascii="Times New Roman" w:eastAsia="宋体"/>
                <w:sz w:val="21"/>
                <w:szCs w:val="21"/>
              </w:rPr>
            </w:pPr>
            <w:r>
              <w:rPr>
                <w:rFonts w:ascii="Times New Roman" w:eastAsia="宋体"/>
                <w:sz w:val="21"/>
                <w:szCs w:val="21"/>
              </w:rPr>
              <w:t>▲</w:t>
            </w:r>
            <w:r>
              <w:rPr>
                <w:rFonts w:ascii="Times New Roman" w:hint="eastAsia"/>
                <w:sz w:val="21"/>
                <w:szCs w:val="21"/>
              </w:rPr>
              <w:t>3</w:t>
            </w:r>
          </w:p>
        </w:tc>
        <w:tc>
          <w:tcPr>
            <w:tcW w:w="2237" w:type="pct"/>
            <w:tcBorders>
              <w:tl2br w:val="nil"/>
              <w:tr2bl w:val="nil"/>
            </w:tcBorders>
            <w:vAlign w:val="center"/>
          </w:tcPr>
          <w:p w14:paraId="0B326310" w14:textId="77777777" w:rsidR="009D12AF" w:rsidRDefault="00000000">
            <w:pPr>
              <w:autoSpaceDE w:val="0"/>
              <w:spacing w:line="400" w:lineRule="exact"/>
              <w:ind w:firstLineChars="0" w:firstLine="0"/>
              <w:jc w:val="center"/>
              <w:rPr>
                <w:rFonts w:ascii="Times New Roman" w:hAnsi="Times New Roman" w:cs="Times New Roman"/>
                <w:kern w:val="0"/>
                <w:sz w:val="21"/>
                <w:szCs w:val="21"/>
              </w:rPr>
            </w:pPr>
            <w:r>
              <w:rPr>
                <w:rFonts w:ascii="Times New Roman" w:hAnsi="Times New Roman" w:cs="Times New Roman"/>
                <w:sz w:val="21"/>
                <w:szCs w:val="21"/>
              </w:rPr>
              <w:t>群力水库北侧</w:t>
            </w:r>
            <w:r>
              <w:rPr>
                <w:rFonts w:ascii="Times New Roman" w:hAnsi="Times New Roman" w:cs="Times New Roman"/>
                <w:sz w:val="21"/>
                <w:szCs w:val="21"/>
              </w:rPr>
              <w:t>3#</w:t>
            </w:r>
          </w:p>
        </w:tc>
        <w:tc>
          <w:tcPr>
            <w:tcW w:w="417" w:type="pct"/>
            <w:tcBorders>
              <w:tl2br w:val="nil"/>
              <w:tr2bl w:val="nil"/>
            </w:tcBorders>
            <w:vAlign w:val="center"/>
          </w:tcPr>
          <w:p w14:paraId="270F24BA" w14:textId="77777777" w:rsidR="009D12AF" w:rsidRDefault="00000000">
            <w:pPr>
              <w:pStyle w:val="Default"/>
              <w:rPr>
                <w:rFonts w:ascii="Times New Roman" w:cs="Times New Roman"/>
                <w:color w:val="000000" w:themeColor="text1"/>
                <w:spacing w:val="20"/>
                <w:kern w:val="2"/>
                <w:sz w:val="21"/>
                <w:szCs w:val="21"/>
              </w:rPr>
            </w:pPr>
            <w:r>
              <w:rPr>
                <w:rFonts w:ascii="Times New Roman" w:cs="Times New Roman" w:hint="eastAsia"/>
                <w:color w:val="000000" w:themeColor="text1"/>
                <w:spacing w:val="20"/>
                <w:kern w:val="2"/>
                <w:sz w:val="21"/>
                <w:szCs w:val="21"/>
              </w:rPr>
              <w:t>41</w:t>
            </w:r>
          </w:p>
        </w:tc>
        <w:tc>
          <w:tcPr>
            <w:tcW w:w="417" w:type="pct"/>
            <w:tcBorders>
              <w:tl2br w:val="nil"/>
              <w:tr2bl w:val="nil"/>
            </w:tcBorders>
            <w:vAlign w:val="center"/>
          </w:tcPr>
          <w:p w14:paraId="0B00BD49" w14:textId="77777777" w:rsidR="009D12AF" w:rsidRDefault="00000000">
            <w:pPr>
              <w:pStyle w:val="Default"/>
              <w:rPr>
                <w:rFonts w:ascii="Times New Roman" w:hAnsi="Times New Roman" w:cs="Times New Roman"/>
                <w:color w:val="auto"/>
                <w:sz w:val="21"/>
                <w:szCs w:val="21"/>
              </w:rPr>
            </w:pPr>
            <w:r>
              <w:rPr>
                <w:rFonts w:ascii="Times New Roman" w:cs="Times New Roman" w:hint="eastAsia"/>
                <w:color w:val="auto"/>
                <w:sz w:val="21"/>
                <w:szCs w:val="21"/>
              </w:rPr>
              <w:t>42</w:t>
            </w:r>
          </w:p>
        </w:tc>
        <w:tc>
          <w:tcPr>
            <w:tcW w:w="417" w:type="pct"/>
            <w:tcBorders>
              <w:tl2br w:val="nil"/>
              <w:tr2bl w:val="nil"/>
            </w:tcBorders>
            <w:vAlign w:val="center"/>
          </w:tcPr>
          <w:p w14:paraId="366A4AAC" w14:textId="77777777" w:rsidR="009D12AF" w:rsidRDefault="00000000">
            <w:pPr>
              <w:pStyle w:val="Default"/>
              <w:rPr>
                <w:rFonts w:ascii="Times New Roman" w:hAnsi="Times New Roman" w:cs="Times New Roman"/>
                <w:color w:val="auto"/>
                <w:sz w:val="21"/>
                <w:szCs w:val="21"/>
              </w:rPr>
            </w:pPr>
            <w:r>
              <w:rPr>
                <w:rFonts w:ascii="Times New Roman" w:hint="eastAsia"/>
                <w:color w:val="auto"/>
                <w:sz w:val="21"/>
                <w:szCs w:val="21"/>
              </w:rPr>
              <w:t>42</w:t>
            </w:r>
          </w:p>
        </w:tc>
        <w:tc>
          <w:tcPr>
            <w:tcW w:w="417" w:type="pct"/>
            <w:tcBorders>
              <w:tl2br w:val="nil"/>
              <w:tr2bl w:val="nil"/>
            </w:tcBorders>
            <w:vAlign w:val="center"/>
          </w:tcPr>
          <w:p w14:paraId="26BF8852" w14:textId="77777777" w:rsidR="009D12AF" w:rsidRDefault="00000000">
            <w:pPr>
              <w:ind w:firstLineChars="0" w:firstLine="0"/>
              <w:jc w:val="center"/>
              <w:rPr>
                <w:rFonts w:ascii="Times New Roman" w:eastAsia="宋体"/>
                <w:sz w:val="21"/>
                <w:szCs w:val="21"/>
              </w:rPr>
            </w:pPr>
            <w:r>
              <w:rPr>
                <w:rFonts w:ascii="Times New Roman" w:hint="eastAsia"/>
                <w:sz w:val="21"/>
                <w:szCs w:val="21"/>
              </w:rPr>
              <w:t>43</w:t>
            </w:r>
          </w:p>
        </w:tc>
        <w:tc>
          <w:tcPr>
            <w:tcW w:w="675" w:type="pct"/>
            <w:vMerge/>
            <w:tcBorders>
              <w:tl2br w:val="nil"/>
              <w:tr2bl w:val="nil"/>
            </w:tcBorders>
            <w:vAlign w:val="center"/>
          </w:tcPr>
          <w:p w14:paraId="1CDD717B" w14:textId="77777777" w:rsidR="009D12AF" w:rsidRDefault="009D12AF">
            <w:pPr>
              <w:pStyle w:val="Default"/>
              <w:rPr>
                <w:rFonts w:ascii="Times New Roman" w:hAnsi="Times New Roman" w:cs="Times New Roman"/>
                <w:color w:val="auto"/>
                <w:sz w:val="21"/>
                <w:szCs w:val="21"/>
              </w:rPr>
            </w:pPr>
          </w:p>
        </w:tc>
      </w:tr>
      <w:tr w:rsidR="009D12AF" w14:paraId="00385860" w14:textId="77777777">
        <w:trPr>
          <w:trHeight w:val="454"/>
          <w:jc w:val="center"/>
        </w:trPr>
        <w:tc>
          <w:tcPr>
            <w:tcW w:w="417" w:type="pct"/>
            <w:tcBorders>
              <w:tl2br w:val="nil"/>
              <w:tr2bl w:val="nil"/>
            </w:tcBorders>
            <w:vAlign w:val="center"/>
          </w:tcPr>
          <w:p w14:paraId="0BFDAF72" w14:textId="77777777" w:rsidR="009D12AF" w:rsidRDefault="00000000">
            <w:pPr>
              <w:ind w:firstLineChars="0" w:firstLine="0"/>
              <w:jc w:val="center"/>
              <w:rPr>
                <w:rFonts w:ascii="Times New Roman" w:eastAsia="宋体"/>
                <w:sz w:val="21"/>
                <w:szCs w:val="21"/>
              </w:rPr>
            </w:pPr>
            <w:r>
              <w:rPr>
                <w:rFonts w:ascii="Times New Roman" w:eastAsia="宋体"/>
                <w:sz w:val="21"/>
                <w:szCs w:val="21"/>
              </w:rPr>
              <w:t>▲</w:t>
            </w:r>
            <w:r>
              <w:rPr>
                <w:rFonts w:ascii="Times New Roman" w:hint="eastAsia"/>
                <w:sz w:val="21"/>
                <w:szCs w:val="21"/>
              </w:rPr>
              <w:t>4</w:t>
            </w:r>
          </w:p>
        </w:tc>
        <w:tc>
          <w:tcPr>
            <w:tcW w:w="2237" w:type="pct"/>
            <w:tcBorders>
              <w:tl2br w:val="nil"/>
              <w:tr2bl w:val="nil"/>
            </w:tcBorders>
            <w:vAlign w:val="center"/>
          </w:tcPr>
          <w:p w14:paraId="1E4066FB" w14:textId="77777777" w:rsidR="009D12AF" w:rsidRDefault="00000000">
            <w:pPr>
              <w:autoSpaceDE w:val="0"/>
              <w:spacing w:line="400" w:lineRule="exact"/>
              <w:ind w:firstLineChars="0" w:firstLine="0"/>
              <w:jc w:val="center"/>
              <w:rPr>
                <w:rFonts w:ascii="Times New Roman" w:hAnsi="Times New Roman" w:cs="Times New Roman"/>
                <w:kern w:val="0"/>
                <w:sz w:val="21"/>
                <w:szCs w:val="21"/>
              </w:rPr>
            </w:pPr>
            <w:r>
              <w:rPr>
                <w:rFonts w:ascii="Times New Roman" w:hAnsi="Times New Roman" w:cs="Times New Roman"/>
                <w:sz w:val="21"/>
                <w:szCs w:val="21"/>
              </w:rPr>
              <w:t>群力水库南侧群力村</w:t>
            </w:r>
            <w:r>
              <w:rPr>
                <w:rFonts w:ascii="Times New Roman" w:hAnsi="Times New Roman" w:cs="Times New Roman"/>
                <w:sz w:val="21"/>
                <w:szCs w:val="21"/>
              </w:rPr>
              <w:t>4#</w:t>
            </w:r>
          </w:p>
        </w:tc>
        <w:tc>
          <w:tcPr>
            <w:tcW w:w="417" w:type="pct"/>
            <w:tcBorders>
              <w:tl2br w:val="nil"/>
              <w:tr2bl w:val="nil"/>
            </w:tcBorders>
            <w:vAlign w:val="center"/>
          </w:tcPr>
          <w:p w14:paraId="27BB785D" w14:textId="77777777" w:rsidR="009D12AF" w:rsidRDefault="00000000">
            <w:pPr>
              <w:pStyle w:val="Default"/>
              <w:widowControl/>
              <w:rPr>
                <w:rFonts w:ascii="Times New Roman" w:cs="Times New Roman"/>
                <w:color w:val="auto"/>
                <w:spacing w:val="20"/>
                <w:kern w:val="2"/>
                <w:sz w:val="21"/>
                <w:szCs w:val="21"/>
              </w:rPr>
            </w:pPr>
            <w:r>
              <w:rPr>
                <w:rFonts w:ascii="Times New Roman" w:cs="Times New Roman" w:hint="eastAsia"/>
                <w:sz w:val="21"/>
                <w:szCs w:val="21"/>
              </w:rPr>
              <w:t>50</w:t>
            </w:r>
          </w:p>
        </w:tc>
        <w:tc>
          <w:tcPr>
            <w:tcW w:w="417" w:type="pct"/>
            <w:tcBorders>
              <w:tl2br w:val="nil"/>
              <w:tr2bl w:val="nil"/>
            </w:tcBorders>
            <w:vAlign w:val="center"/>
          </w:tcPr>
          <w:p w14:paraId="5E053EB5" w14:textId="77777777" w:rsidR="009D12AF" w:rsidRDefault="00000000">
            <w:pPr>
              <w:pStyle w:val="Default"/>
              <w:widowControl/>
              <w:rPr>
                <w:rFonts w:ascii="Times New Roman" w:hAnsi="Times New Roman" w:cs="Times New Roman"/>
                <w:color w:val="auto"/>
                <w:sz w:val="21"/>
                <w:szCs w:val="21"/>
              </w:rPr>
            </w:pPr>
            <w:r>
              <w:rPr>
                <w:rFonts w:ascii="Times New Roman" w:cs="Times New Roman" w:hint="eastAsia"/>
                <w:color w:val="auto"/>
                <w:sz w:val="21"/>
                <w:szCs w:val="21"/>
              </w:rPr>
              <w:t>43</w:t>
            </w:r>
          </w:p>
        </w:tc>
        <w:tc>
          <w:tcPr>
            <w:tcW w:w="417" w:type="pct"/>
            <w:tcBorders>
              <w:tl2br w:val="nil"/>
              <w:tr2bl w:val="nil"/>
            </w:tcBorders>
            <w:vAlign w:val="center"/>
          </w:tcPr>
          <w:p w14:paraId="0A438511" w14:textId="77777777" w:rsidR="009D12AF" w:rsidRDefault="00000000">
            <w:pPr>
              <w:pStyle w:val="Default"/>
              <w:widowControl/>
              <w:rPr>
                <w:rFonts w:ascii="Times New Roman" w:hAnsi="Times New Roman" w:cs="Times New Roman"/>
                <w:color w:val="auto"/>
                <w:sz w:val="21"/>
                <w:szCs w:val="21"/>
              </w:rPr>
            </w:pPr>
            <w:r>
              <w:rPr>
                <w:rFonts w:ascii="Times New Roman" w:cs="Times New Roman" w:hint="eastAsia"/>
                <w:sz w:val="21"/>
                <w:szCs w:val="21"/>
              </w:rPr>
              <w:t>52</w:t>
            </w:r>
          </w:p>
        </w:tc>
        <w:tc>
          <w:tcPr>
            <w:tcW w:w="417" w:type="pct"/>
            <w:tcBorders>
              <w:tl2br w:val="nil"/>
              <w:tr2bl w:val="nil"/>
            </w:tcBorders>
            <w:vAlign w:val="center"/>
          </w:tcPr>
          <w:p w14:paraId="5B549273" w14:textId="77777777" w:rsidR="009D12AF" w:rsidRDefault="00000000">
            <w:pPr>
              <w:pStyle w:val="Default"/>
              <w:widowControl/>
              <w:rPr>
                <w:rFonts w:ascii="Times New Roman"/>
                <w:color w:val="auto"/>
                <w:sz w:val="21"/>
                <w:szCs w:val="21"/>
                <w:highlight w:val="green"/>
              </w:rPr>
            </w:pPr>
            <w:r>
              <w:rPr>
                <w:rFonts w:ascii="Times New Roman" w:hint="eastAsia"/>
                <w:color w:val="auto"/>
                <w:sz w:val="21"/>
                <w:szCs w:val="21"/>
              </w:rPr>
              <w:t>44</w:t>
            </w:r>
          </w:p>
        </w:tc>
        <w:tc>
          <w:tcPr>
            <w:tcW w:w="675" w:type="pct"/>
            <w:vMerge/>
            <w:tcBorders>
              <w:tl2br w:val="nil"/>
              <w:tr2bl w:val="nil"/>
            </w:tcBorders>
            <w:vAlign w:val="center"/>
          </w:tcPr>
          <w:p w14:paraId="5683253C" w14:textId="77777777" w:rsidR="009D12AF" w:rsidRDefault="009D12AF">
            <w:pPr>
              <w:pStyle w:val="Default"/>
              <w:rPr>
                <w:rFonts w:ascii="Times New Roman" w:hAnsi="Times New Roman" w:cs="Times New Roman"/>
                <w:color w:val="auto"/>
                <w:sz w:val="21"/>
                <w:szCs w:val="21"/>
              </w:rPr>
            </w:pPr>
          </w:p>
        </w:tc>
      </w:tr>
      <w:tr w:rsidR="009D12AF" w14:paraId="09C29165" w14:textId="77777777">
        <w:trPr>
          <w:trHeight w:val="454"/>
          <w:jc w:val="center"/>
        </w:trPr>
        <w:tc>
          <w:tcPr>
            <w:tcW w:w="417" w:type="pct"/>
            <w:tcBorders>
              <w:tl2br w:val="nil"/>
              <w:tr2bl w:val="nil"/>
            </w:tcBorders>
            <w:vAlign w:val="center"/>
          </w:tcPr>
          <w:p w14:paraId="0CA30BBB" w14:textId="77777777" w:rsidR="009D12AF" w:rsidRDefault="00000000">
            <w:pPr>
              <w:pStyle w:val="Default"/>
              <w:rPr>
                <w:rFonts w:ascii="Times New Roman" w:hAnsi="Times New Roman" w:cs="Times New Roman"/>
                <w:color w:val="auto"/>
                <w:sz w:val="21"/>
                <w:szCs w:val="21"/>
              </w:rPr>
            </w:pPr>
            <w:r>
              <w:rPr>
                <w:rFonts w:ascii="Times New Roman"/>
                <w:color w:val="auto"/>
                <w:sz w:val="21"/>
                <w:szCs w:val="21"/>
              </w:rPr>
              <w:t>▲</w:t>
            </w:r>
            <w:r>
              <w:rPr>
                <w:rFonts w:ascii="Times New Roman"/>
                <w:color w:val="auto"/>
                <w:sz w:val="21"/>
                <w:szCs w:val="21"/>
              </w:rPr>
              <w:t>1</w:t>
            </w:r>
          </w:p>
        </w:tc>
        <w:tc>
          <w:tcPr>
            <w:tcW w:w="2237" w:type="pct"/>
            <w:tcBorders>
              <w:tl2br w:val="nil"/>
              <w:tr2bl w:val="nil"/>
            </w:tcBorders>
            <w:vAlign w:val="center"/>
          </w:tcPr>
          <w:p w14:paraId="6605C8E5" w14:textId="77777777" w:rsidR="009D12AF" w:rsidRDefault="00000000">
            <w:pPr>
              <w:autoSpaceDE w:val="0"/>
              <w:spacing w:line="400" w:lineRule="exact"/>
              <w:ind w:firstLineChars="0" w:firstLine="0"/>
              <w:jc w:val="center"/>
              <w:rPr>
                <w:rFonts w:ascii="Times New Roman" w:eastAsia="宋体" w:hAnsi="Times New Roman" w:cs="Times New Roman"/>
                <w:sz w:val="21"/>
                <w:szCs w:val="21"/>
              </w:rPr>
            </w:pPr>
            <w:r>
              <w:rPr>
                <w:rFonts w:ascii="Times New Roman" w:hAnsi="Times New Roman" w:cs="Times New Roman"/>
                <w:bCs/>
                <w:kern w:val="0"/>
                <w:sz w:val="21"/>
                <w:szCs w:val="21"/>
              </w:rPr>
              <w:t>新安晒水池西侧山咀子村村民</w:t>
            </w:r>
            <w:r>
              <w:rPr>
                <w:rFonts w:ascii="Times New Roman" w:hAnsi="Times New Roman" w:cs="Times New Roman"/>
                <w:bCs/>
                <w:kern w:val="0"/>
                <w:sz w:val="21"/>
                <w:szCs w:val="21"/>
              </w:rPr>
              <w:t>1#</w:t>
            </w:r>
          </w:p>
        </w:tc>
        <w:tc>
          <w:tcPr>
            <w:tcW w:w="417" w:type="pct"/>
            <w:tcBorders>
              <w:tl2br w:val="nil"/>
              <w:tr2bl w:val="nil"/>
            </w:tcBorders>
            <w:vAlign w:val="center"/>
          </w:tcPr>
          <w:p w14:paraId="06F8D7BF" w14:textId="77777777" w:rsidR="009D12AF" w:rsidRDefault="00000000">
            <w:pPr>
              <w:pStyle w:val="Default"/>
              <w:widowControl/>
              <w:rPr>
                <w:rFonts w:ascii="Times New Roman" w:hAnsi="Times New Roman" w:cs="Times New Roman"/>
                <w:color w:val="auto"/>
                <w:sz w:val="21"/>
                <w:szCs w:val="21"/>
              </w:rPr>
            </w:pPr>
            <w:r>
              <w:rPr>
                <w:rFonts w:ascii="Times New Roman" w:cs="Times New Roman" w:hint="eastAsia"/>
                <w:sz w:val="21"/>
                <w:szCs w:val="21"/>
              </w:rPr>
              <w:t>48</w:t>
            </w:r>
          </w:p>
        </w:tc>
        <w:tc>
          <w:tcPr>
            <w:tcW w:w="417" w:type="pct"/>
            <w:tcBorders>
              <w:tl2br w:val="nil"/>
              <w:tr2bl w:val="nil"/>
            </w:tcBorders>
            <w:vAlign w:val="center"/>
          </w:tcPr>
          <w:p w14:paraId="1379676C" w14:textId="77777777" w:rsidR="009D12AF" w:rsidRDefault="00000000">
            <w:pPr>
              <w:pStyle w:val="Default"/>
              <w:widowControl/>
              <w:rPr>
                <w:rFonts w:ascii="Times New Roman" w:eastAsia="仿宋_GB2312" w:hAnsi="Times New Roman" w:cs="Times New Roman"/>
                <w:color w:val="auto"/>
                <w:sz w:val="21"/>
                <w:szCs w:val="21"/>
              </w:rPr>
            </w:pPr>
            <w:r>
              <w:rPr>
                <w:rFonts w:ascii="Times New Roman" w:cs="Times New Roman" w:hint="eastAsia"/>
                <w:sz w:val="21"/>
                <w:szCs w:val="21"/>
              </w:rPr>
              <w:t>44</w:t>
            </w:r>
          </w:p>
        </w:tc>
        <w:tc>
          <w:tcPr>
            <w:tcW w:w="417" w:type="pct"/>
            <w:tcBorders>
              <w:tl2br w:val="nil"/>
              <w:tr2bl w:val="nil"/>
            </w:tcBorders>
            <w:vAlign w:val="center"/>
          </w:tcPr>
          <w:p w14:paraId="33815415" w14:textId="77777777" w:rsidR="009D12AF" w:rsidRDefault="00000000">
            <w:pPr>
              <w:pStyle w:val="Default"/>
              <w:widowControl/>
              <w:rPr>
                <w:rFonts w:ascii="Times New Roman" w:eastAsia="仿宋_GB2312" w:hAnsi="Times New Roman" w:cs="Times New Roman"/>
                <w:color w:val="auto"/>
                <w:sz w:val="21"/>
                <w:szCs w:val="21"/>
              </w:rPr>
            </w:pPr>
            <w:r>
              <w:rPr>
                <w:rFonts w:ascii="Times New Roman" w:cs="Times New Roman" w:hint="eastAsia"/>
                <w:sz w:val="21"/>
                <w:szCs w:val="21"/>
              </w:rPr>
              <w:t>49</w:t>
            </w:r>
          </w:p>
        </w:tc>
        <w:tc>
          <w:tcPr>
            <w:tcW w:w="417" w:type="pct"/>
            <w:tcBorders>
              <w:tl2br w:val="nil"/>
              <w:tr2bl w:val="nil"/>
            </w:tcBorders>
            <w:vAlign w:val="center"/>
          </w:tcPr>
          <w:p w14:paraId="038365CD" w14:textId="77777777" w:rsidR="009D12AF" w:rsidRDefault="00000000">
            <w:pPr>
              <w:pStyle w:val="Default"/>
              <w:widowControl/>
              <w:rPr>
                <w:rFonts w:ascii="Times New Roman"/>
                <w:color w:val="auto"/>
                <w:sz w:val="21"/>
                <w:szCs w:val="21"/>
                <w:highlight w:val="green"/>
              </w:rPr>
            </w:pPr>
            <w:r>
              <w:rPr>
                <w:rFonts w:ascii="Times New Roman" w:hint="eastAsia"/>
                <w:color w:val="auto"/>
                <w:sz w:val="21"/>
                <w:szCs w:val="21"/>
              </w:rPr>
              <w:t>42</w:t>
            </w:r>
          </w:p>
        </w:tc>
        <w:tc>
          <w:tcPr>
            <w:tcW w:w="675" w:type="pct"/>
            <w:vMerge w:val="restart"/>
            <w:tcBorders>
              <w:tl2br w:val="nil"/>
              <w:tr2bl w:val="nil"/>
            </w:tcBorders>
            <w:vAlign w:val="center"/>
          </w:tcPr>
          <w:p w14:paraId="62E5177A"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dB</w:t>
            </w:r>
            <w:r>
              <w:rPr>
                <w:rFonts w:ascii="Times New Roman" w:eastAsia="宋体" w:hAnsi="Times New Roman" w:cs="Times New Roman"/>
                <w:sz w:val="21"/>
                <w:szCs w:val="21"/>
              </w:rPr>
              <w:t>（</w:t>
            </w:r>
            <w:r>
              <w:rPr>
                <w:rFonts w:ascii="Times New Roman" w:eastAsia="宋体" w:hAnsi="Times New Roman" w:cs="Times New Roman"/>
                <w:sz w:val="21"/>
                <w:szCs w:val="21"/>
              </w:rPr>
              <w:t>A</w:t>
            </w:r>
            <w:r>
              <w:rPr>
                <w:rFonts w:ascii="Times New Roman" w:eastAsia="宋体" w:hAnsi="Times New Roman" w:cs="Times New Roman"/>
                <w:sz w:val="21"/>
                <w:szCs w:val="21"/>
              </w:rPr>
              <w:t>）</w:t>
            </w:r>
          </w:p>
        </w:tc>
      </w:tr>
      <w:tr w:rsidR="009D12AF" w14:paraId="5731709F" w14:textId="77777777">
        <w:trPr>
          <w:trHeight w:val="454"/>
          <w:jc w:val="center"/>
        </w:trPr>
        <w:tc>
          <w:tcPr>
            <w:tcW w:w="417" w:type="pct"/>
            <w:tcBorders>
              <w:tl2br w:val="nil"/>
              <w:tr2bl w:val="nil"/>
            </w:tcBorders>
            <w:vAlign w:val="center"/>
          </w:tcPr>
          <w:p w14:paraId="08507CA7" w14:textId="77777777" w:rsidR="009D12AF" w:rsidRDefault="00000000">
            <w:pPr>
              <w:ind w:firstLineChars="0" w:firstLine="0"/>
              <w:jc w:val="center"/>
              <w:rPr>
                <w:rFonts w:ascii="Times New Roman" w:eastAsia="宋体" w:hAnsi="Calibri" w:cs="Times New Roman"/>
                <w:sz w:val="21"/>
                <w:szCs w:val="21"/>
              </w:rPr>
            </w:pPr>
            <w:r>
              <w:rPr>
                <w:rFonts w:ascii="Times New Roman" w:eastAsia="宋体"/>
                <w:sz w:val="21"/>
                <w:szCs w:val="21"/>
              </w:rPr>
              <w:t>▲</w:t>
            </w:r>
            <w:r>
              <w:rPr>
                <w:rFonts w:ascii="Times New Roman" w:hint="eastAsia"/>
                <w:sz w:val="21"/>
                <w:szCs w:val="21"/>
              </w:rPr>
              <w:t>2</w:t>
            </w:r>
          </w:p>
        </w:tc>
        <w:tc>
          <w:tcPr>
            <w:tcW w:w="2237" w:type="pct"/>
            <w:tcBorders>
              <w:tl2br w:val="nil"/>
              <w:tr2bl w:val="nil"/>
            </w:tcBorders>
            <w:vAlign w:val="center"/>
          </w:tcPr>
          <w:p w14:paraId="12CAC58C" w14:textId="77777777" w:rsidR="009D12AF" w:rsidRDefault="00000000">
            <w:pPr>
              <w:autoSpaceDE w:val="0"/>
              <w:spacing w:line="400" w:lineRule="exact"/>
              <w:ind w:firstLineChars="0" w:firstLine="0"/>
              <w:jc w:val="center"/>
              <w:rPr>
                <w:rFonts w:ascii="Times New Roman" w:eastAsia="宋体" w:hAnsi="Times New Roman" w:cs="Times New Roman"/>
                <w:sz w:val="21"/>
                <w:szCs w:val="21"/>
              </w:rPr>
            </w:pPr>
            <w:r>
              <w:rPr>
                <w:rFonts w:ascii="Times New Roman" w:hAnsi="Times New Roman" w:cs="Times New Roman"/>
                <w:bCs/>
                <w:kern w:val="0"/>
                <w:sz w:val="21"/>
                <w:szCs w:val="21"/>
              </w:rPr>
              <w:t>新安晒水池西北侧山咀子村村民</w:t>
            </w:r>
            <w:r>
              <w:rPr>
                <w:rFonts w:ascii="Times New Roman" w:hAnsi="Times New Roman" w:cs="Times New Roman"/>
                <w:bCs/>
                <w:kern w:val="0"/>
                <w:sz w:val="21"/>
                <w:szCs w:val="21"/>
              </w:rPr>
              <w:t>2#</w:t>
            </w:r>
          </w:p>
        </w:tc>
        <w:tc>
          <w:tcPr>
            <w:tcW w:w="417" w:type="pct"/>
            <w:tcBorders>
              <w:tl2br w:val="nil"/>
              <w:tr2bl w:val="nil"/>
            </w:tcBorders>
            <w:vAlign w:val="center"/>
          </w:tcPr>
          <w:p w14:paraId="08094C27" w14:textId="77777777" w:rsidR="009D12AF" w:rsidRDefault="00000000">
            <w:pPr>
              <w:widowControl/>
              <w:ind w:firstLineChars="0" w:firstLine="0"/>
              <w:jc w:val="center"/>
              <w:rPr>
                <w:rFonts w:ascii="Times New Roman" w:hAnsi="Times New Roman" w:cs="Times New Roman"/>
                <w:kern w:val="0"/>
                <w:sz w:val="21"/>
                <w:szCs w:val="21"/>
              </w:rPr>
            </w:pPr>
            <w:r>
              <w:rPr>
                <w:rFonts w:ascii="Times New Roman" w:hAnsi="Times New Roman" w:cs="Times New Roman" w:hint="eastAsia"/>
                <w:color w:val="000000"/>
                <w:kern w:val="0"/>
                <w:sz w:val="21"/>
                <w:szCs w:val="21"/>
              </w:rPr>
              <w:t>47</w:t>
            </w:r>
          </w:p>
        </w:tc>
        <w:tc>
          <w:tcPr>
            <w:tcW w:w="417" w:type="pct"/>
            <w:tcBorders>
              <w:tl2br w:val="nil"/>
              <w:tr2bl w:val="nil"/>
            </w:tcBorders>
            <w:vAlign w:val="center"/>
          </w:tcPr>
          <w:p w14:paraId="67BB21CC" w14:textId="77777777" w:rsidR="009D12AF" w:rsidRDefault="00000000">
            <w:pPr>
              <w:widowControl/>
              <w:ind w:firstLineChars="0" w:firstLine="0"/>
              <w:jc w:val="center"/>
              <w:rPr>
                <w:rFonts w:ascii="Times New Roman" w:eastAsia="宋体" w:hAnsi="Times New Roman" w:cs="Times New Roman"/>
                <w:kern w:val="0"/>
                <w:sz w:val="21"/>
                <w:szCs w:val="21"/>
              </w:rPr>
            </w:pPr>
            <w:r>
              <w:rPr>
                <w:rFonts w:ascii="Times New Roman" w:hAnsi="Times New Roman" w:cs="Times New Roman" w:hint="eastAsia"/>
                <w:color w:val="000000"/>
                <w:kern w:val="0"/>
                <w:sz w:val="21"/>
                <w:szCs w:val="21"/>
              </w:rPr>
              <w:t>44</w:t>
            </w:r>
          </w:p>
        </w:tc>
        <w:tc>
          <w:tcPr>
            <w:tcW w:w="417" w:type="pct"/>
            <w:tcBorders>
              <w:tl2br w:val="nil"/>
              <w:tr2bl w:val="nil"/>
            </w:tcBorders>
            <w:vAlign w:val="center"/>
          </w:tcPr>
          <w:p w14:paraId="110C80B4" w14:textId="77777777" w:rsidR="009D12AF" w:rsidRDefault="00000000">
            <w:pPr>
              <w:widowControl/>
              <w:ind w:firstLineChars="0" w:firstLine="0"/>
              <w:jc w:val="center"/>
              <w:rPr>
                <w:rFonts w:ascii="Times New Roman" w:eastAsia="宋体" w:hAnsi="Times New Roman" w:cs="Times New Roman"/>
                <w:kern w:val="0"/>
                <w:sz w:val="21"/>
                <w:szCs w:val="21"/>
              </w:rPr>
            </w:pPr>
            <w:r>
              <w:rPr>
                <w:rFonts w:ascii="Times New Roman" w:hAnsi="Times New Roman" w:cs="Times New Roman" w:hint="eastAsia"/>
                <w:color w:val="000000"/>
                <w:kern w:val="0"/>
                <w:sz w:val="21"/>
                <w:szCs w:val="21"/>
              </w:rPr>
              <w:t>48</w:t>
            </w:r>
          </w:p>
        </w:tc>
        <w:tc>
          <w:tcPr>
            <w:tcW w:w="417" w:type="pct"/>
            <w:tcBorders>
              <w:tl2br w:val="nil"/>
              <w:tr2bl w:val="nil"/>
            </w:tcBorders>
            <w:vAlign w:val="center"/>
          </w:tcPr>
          <w:p w14:paraId="27B23AF4" w14:textId="77777777" w:rsidR="009D12AF" w:rsidRDefault="00000000">
            <w:pPr>
              <w:pStyle w:val="Default"/>
              <w:widowControl/>
              <w:rPr>
                <w:rFonts w:ascii="Times New Roman"/>
                <w:color w:val="auto"/>
                <w:sz w:val="21"/>
                <w:szCs w:val="21"/>
                <w:highlight w:val="green"/>
              </w:rPr>
            </w:pPr>
            <w:r>
              <w:rPr>
                <w:rFonts w:ascii="Times New Roman" w:hint="eastAsia"/>
                <w:color w:val="auto"/>
                <w:sz w:val="21"/>
                <w:szCs w:val="21"/>
              </w:rPr>
              <w:t>43</w:t>
            </w:r>
          </w:p>
        </w:tc>
        <w:tc>
          <w:tcPr>
            <w:tcW w:w="675" w:type="pct"/>
            <w:vMerge/>
            <w:tcBorders>
              <w:tl2br w:val="nil"/>
              <w:tr2bl w:val="nil"/>
            </w:tcBorders>
            <w:vAlign w:val="center"/>
          </w:tcPr>
          <w:p w14:paraId="7B8C7A01" w14:textId="77777777" w:rsidR="009D12AF" w:rsidRDefault="009D12AF">
            <w:pPr>
              <w:ind w:firstLineChars="0" w:firstLine="0"/>
              <w:jc w:val="center"/>
              <w:rPr>
                <w:rFonts w:ascii="Times New Roman" w:eastAsia="宋体" w:hAnsi="Times New Roman" w:cs="Times New Roman"/>
                <w:sz w:val="21"/>
                <w:szCs w:val="21"/>
              </w:rPr>
            </w:pPr>
          </w:p>
        </w:tc>
      </w:tr>
      <w:tr w:rsidR="009D12AF" w14:paraId="2817076F" w14:textId="77777777">
        <w:trPr>
          <w:trHeight w:val="454"/>
          <w:jc w:val="center"/>
        </w:trPr>
        <w:tc>
          <w:tcPr>
            <w:tcW w:w="417" w:type="pct"/>
            <w:tcBorders>
              <w:tl2br w:val="nil"/>
              <w:tr2bl w:val="nil"/>
            </w:tcBorders>
            <w:vAlign w:val="center"/>
          </w:tcPr>
          <w:p w14:paraId="1EBA7222" w14:textId="77777777" w:rsidR="009D12AF" w:rsidRDefault="00000000">
            <w:pPr>
              <w:ind w:firstLineChars="0" w:firstLine="0"/>
              <w:jc w:val="center"/>
              <w:rPr>
                <w:rFonts w:ascii="Times New Roman" w:eastAsia="宋体" w:hAnsi="Calibri" w:cs="Times New Roman"/>
                <w:sz w:val="21"/>
                <w:szCs w:val="21"/>
              </w:rPr>
            </w:pPr>
            <w:r>
              <w:rPr>
                <w:rFonts w:ascii="Times New Roman" w:eastAsia="宋体"/>
                <w:sz w:val="21"/>
                <w:szCs w:val="21"/>
              </w:rPr>
              <w:t>▲</w:t>
            </w:r>
            <w:r>
              <w:rPr>
                <w:rFonts w:ascii="Times New Roman" w:hint="eastAsia"/>
                <w:sz w:val="21"/>
                <w:szCs w:val="21"/>
              </w:rPr>
              <w:t>3</w:t>
            </w:r>
          </w:p>
        </w:tc>
        <w:tc>
          <w:tcPr>
            <w:tcW w:w="2237" w:type="pct"/>
            <w:tcBorders>
              <w:tl2br w:val="nil"/>
              <w:tr2bl w:val="nil"/>
            </w:tcBorders>
            <w:vAlign w:val="center"/>
          </w:tcPr>
          <w:p w14:paraId="71B94B2E" w14:textId="77777777" w:rsidR="009D12AF" w:rsidRDefault="00000000">
            <w:pPr>
              <w:autoSpaceDE w:val="0"/>
              <w:spacing w:line="400" w:lineRule="exact"/>
              <w:ind w:firstLineChars="0" w:firstLine="0"/>
              <w:jc w:val="center"/>
              <w:rPr>
                <w:rFonts w:ascii="Times New Roman" w:eastAsia="宋体" w:hAnsi="Times New Roman" w:cs="Times New Roman"/>
                <w:bCs/>
                <w:kern w:val="0"/>
                <w:sz w:val="21"/>
                <w:szCs w:val="21"/>
              </w:rPr>
            </w:pPr>
            <w:r>
              <w:rPr>
                <w:rFonts w:ascii="Times New Roman" w:hAnsi="Times New Roman" w:cs="Times New Roman"/>
                <w:bCs/>
                <w:kern w:val="0"/>
                <w:sz w:val="21"/>
                <w:szCs w:val="21"/>
              </w:rPr>
              <w:t>新安晒水池南侧</w:t>
            </w:r>
            <w:r>
              <w:rPr>
                <w:rFonts w:ascii="Times New Roman" w:hAnsi="Times New Roman" w:cs="Times New Roman"/>
                <w:bCs/>
                <w:kern w:val="0"/>
                <w:sz w:val="21"/>
                <w:szCs w:val="21"/>
              </w:rPr>
              <w:t>3#</w:t>
            </w:r>
          </w:p>
        </w:tc>
        <w:tc>
          <w:tcPr>
            <w:tcW w:w="417" w:type="pct"/>
            <w:tcBorders>
              <w:tl2br w:val="nil"/>
              <w:tr2bl w:val="nil"/>
            </w:tcBorders>
            <w:vAlign w:val="center"/>
          </w:tcPr>
          <w:p w14:paraId="6C8612D4" w14:textId="77777777" w:rsidR="009D12AF" w:rsidRDefault="00000000">
            <w:pPr>
              <w:ind w:firstLineChars="0" w:firstLine="0"/>
              <w:jc w:val="center"/>
              <w:rPr>
                <w:rFonts w:ascii="Times New Roman" w:hAnsi="Times New Roman" w:cs="Times New Roman"/>
                <w:color w:val="000000"/>
                <w:kern w:val="0"/>
                <w:sz w:val="21"/>
                <w:szCs w:val="21"/>
              </w:rPr>
            </w:pPr>
            <w:r>
              <w:rPr>
                <w:rFonts w:ascii="Times New Roman" w:eastAsia="宋体" w:hint="eastAsia"/>
                <w:sz w:val="21"/>
                <w:szCs w:val="21"/>
              </w:rPr>
              <w:t>44</w:t>
            </w:r>
          </w:p>
        </w:tc>
        <w:tc>
          <w:tcPr>
            <w:tcW w:w="417" w:type="pct"/>
            <w:tcBorders>
              <w:tl2br w:val="nil"/>
              <w:tr2bl w:val="nil"/>
            </w:tcBorders>
            <w:vAlign w:val="center"/>
          </w:tcPr>
          <w:p w14:paraId="6E8D373D"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hAnsi="Times New Roman" w:cs="Times New Roman" w:hint="eastAsia"/>
                <w:color w:val="000000"/>
                <w:kern w:val="0"/>
                <w:sz w:val="21"/>
                <w:szCs w:val="21"/>
              </w:rPr>
              <w:t>45</w:t>
            </w:r>
          </w:p>
        </w:tc>
        <w:tc>
          <w:tcPr>
            <w:tcW w:w="417" w:type="pct"/>
            <w:tcBorders>
              <w:tl2br w:val="nil"/>
              <w:tr2bl w:val="nil"/>
            </w:tcBorders>
            <w:vAlign w:val="center"/>
          </w:tcPr>
          <w:p w14:paraId="3A8D127A"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hAnsi="Times New Roman" w:cs="Times New Roman" w:hint="eastAsia"/>
                <w:color w:val="000000"/>
                <w:kern w:val="0"/>
                <w:sz w:val="21"/>
                <w:szCs w:val="21"/>
              </w:rPr>
              <w:t>45</w:t>
            </w:r>
          </w:p>
        </w:tc>
        <w:tc>
          <w:tcPr>
            <w:tcW w:w="417" w:type="pct"/>
            <w:tcBorders>
              <w:tl2br w:val="nil"/>
              <w:tr2bl w:val="nil"/>
            </w:tcBorders>
            <w:vAlign w:val="center"/>
          </w:tcPr>
          <w:p w14:paraId="510A9AC6" w14:textId="77777777" w:rsidR="009D12AF" w:rsidRDefault="00000000">
            <w:pPr>
              <w:pStyle w:val="Default"/>
              <w:rPr>
                <w:rFonts w:ascii="Times New Roman"/>
                <w:color w:val="auto"/>
                <w:sz w:val="21"/>
                <w:szCs w:val="21"/>
              </w:rPr>
            </w:pPr>
            <w:r>
              <w:rPr>
                <w:rFonts w:ascii="Times New Roman" w:hint="eastAsia"/>
                <w:color w:val="auto"/>
                <w:sz w:val="21"/>
                <w:szCs w:val="21"/>
              </w:rPr>
              <w:t>44</w:t>
            </w:r>
          </w:p>
        </w:tc>
        <w:tc>
          <w:tcPr>
            <w:tcW w:w="675" w:type="pct"/>
            <w:vMerge/>
            <w:tcBorders>
              <w:tl2br w:val="nil"/>
              <w:tr2bl w:val="nil"/>
            </w:tcBorders>
            <w:vAlign w:val="center"/>
          </w:tcPr>
          <w:p w14:paraId="1EE09093" w14:textId="77777777" w:rsidR="009D12AF" w:rsidRDefault="009D12AF">
            <w:pPr>
              <w:ind w:firstLineChars="0" w:firstLine="0"/>
              <w:jc w:val="center"/>
              <w:rPr>
                <w:rFonts w:ascii="Times New Roman" w:eastAsia="宋体" w:hAnsi="Times New Roman" w:cs="Times New Roman"/>
                <w:sz w:val="21"/>
                <w:szCs w:val="21"/>
              </w:rPr>
            </w:pPr>
          </w:p>
        </w:tc>
      </w:tr>
      <w:tr w:rsidR="009D12AF" w14:paraId="3C3E293B" w14:textId="77777777">
        <w:trPr>
          <w:trHeight w:val="454"/>
          <w:jc w:val="center"/>
        </w:trPr>
        <w:tc>
          <w:tcPr>
            <w:tcW w:w="417" w:type="pct"/>
            <w:tcBorders>
              <w:tl2br w:val="nil"/>
              <w:tr2bl w:val="nil"/>
            </w:tcBorders>
            <w:vAlign w:val="center"/>
          </w:tcPr>
          <w:p w14:paraId="1684F15D" w14:textId="77777777" w:rsidR="009D12AF" w:rsidRDefault="00000000">
            <w:pPr>
              <w:ind w:firstLineChars="0" w:firstLine="0"/>
              <w:jc w:val="center"/>
              <w:rPr>
                <w:rFonts w:ascii="Times New Roman" w:eastAsia="宋体" w:hAnsi="Calibri" w:cs="Times New Roman"/>
                <w:sz w:val="21"/>
                <w:szCs w:val="21"/>
              </w:rPr>
            </w:pPr>
            <w:r>
              <w:rPr>
                <w:rFonts w:ascii="Times New Roman" w:eastAsia="宋体"/>
                <w:sz w:val="21"/>
                <w:szCs w:val="21"/>
              </w:rPr>
              <w:t>▲</w:t>
            </w:r>
            <w:r>
              <w:rPr>
                <w:rFonts w:ascii="Times New Roman" w:hint="eastAsia"/>
                <w:sz w:val="21"/>
                <w:szCs w:val="21"/>
              </w:rPr>
              <w:t>4</w:t>
            </w:r>
          </w:p>
        </w:tc>
        <w:tc>
          <w:tcPr>
            <w:tcW w:w="2237" w:type="pct"/>
            <w:tcBorders>
              <w:tl2br w:val="nil"/>
              <w:tr2bl w:val="nil"/>
            </w:tcBorders>
            <w:vAlign w:val="center"/>
          </w:tcPr>
          <w:p w14:paraId="052C2D91" w14:textId="77777777" w:rsidR="009D12AF" w:rsidRDefault="00000000">
            <w:pPr>
              <w:autoSpaceDE w:val="0"/>
              <w:spacing w:line="400" w:lineRule="exact"/>
              <w:ind w:firstLineChars="0" w:firstLine="0"/>
              <w:jc w:val="center"/>
              <w:rPr>
                <w:rFonts w:ascii="Times New Roman" w:eastAsia="宋体" w:hAnsi="Times New Roman" w:cs="Times New Roman"/>
                <w:bCs/>
                <w:kern w:val="0"/>
                <w:sz w:val="21"/>
                <w:szCs w:val="21"/>
              </w:rPr>
            </w:pPr>
            <w:r>
              <w:rPr>
                <w:rFonts w:ascii="Times New Roman" w:hAnsi="Times New Roman" w:cs="Times New Roman"/>
                <w:bCs/>
                <w:kern w:val="0"/>
                <w:sz w:val="21"/>
                <w:szCs w:val="21"/>
              </w:rPr>
              <w:t>新安晒水池北侧</w:t>
            </w:r>
            <w:r>
              <w:rPr>
                <w:rFonts w:ascii="Times New Roman" w:hAnsi="Times New Roman" w:cs="Times New Roman"/>
                <w:bCs/>
                <w:kern w:val="0"/>
                <w:sz w:val="21"/>
                <w:szCs w:val="21"/>
              </w:rPr>
              <w:t>4#</w:t>
            </w:r>
          </w:p>
        </w:tc>
        <w:tc>
          <w:tcPr>
            <w:tcW w:w="417" w:type="pct"/>
            <w:tcBorders>
              <w:tl2br w:val="nil"/>
              <w:tr2bl w:val="nil"/>
            </w:tcBorders>
            <w:vAlign w:val="center"/>
          </w:tcPr>
          <w:p w14:paraId="0ADCD0AC" w14:textId="77777777" w:rsidR="009D12AF" w:rsidRDefault="00000000">
            <w:pPr>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48</w:t>
            </w:r>
          </w:p>
        </w:tc>
        <w:tc>
          <w:tcPr>
            <w:tcW w:w="417" w:type="pct"/>
            <w:tcBorders>
              <w:tl2br w:val="nil"/>
              <w:tr2bl w:val="nil"/>
            </w:tcBorders>
            <w:vAlign w:val="center"/>
          </w:tcPr>
          <w:p w14:paraId="543E046A"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hAnsi="Times New Roman" w:cs="Times New Roman" w:hint="eastAsia"/>
                <w:color w:val="000000"/>
                <w:kern w:val="0"/>
                <w:sz w:val="21"/>
                <w:szCs w:val="21"/>
              </w:rPr>
              <w:t>42</w:t>
            </w:r>
          </w:p>
        </w:tc>
        <w:tc>
          <w:tcPr>
            <w:tcW w:w="417" w:type="pct"/>
            <w:tcBorders>
              <w:tl2br w:val="nil"/>
              <w:tr2bl w:val="nil"/>
            </w:tcBorders>
            <w:vAlign w:val="center"/>
          </w:tcPr>
          <w:p w14:paraId="6A3C3D9B"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hAnsi="Times New Roman" w:cs="Times New Roman" w:hint="eastAsia"/>
                <w:color w:val="000000"/>
                <w:kern w:val="0"/>
                <w:sz w:val="21"/>
                <w:szCs w:val="21"/>
              </w:rPr>
              <w:t>49</w:t>
            </w:r>
          </w:p>
        </w:tc>
        <w:tc>
          <w:tcPr>
            <w:tcW w:w="417" w:type="pct"/>
            <w:tcBorders>
              <w:tl2br w:val="nil"/>
              <w:tr2bl w:val="nil"/>
            </w:tcBorders>
            <w:vAlign w:val="center"/>
          </w:tcPr>
          <w:p w14:paraId="2414611D" w14:textId="77777777" w:rsidR="009D12AF" w:rsidRDefault="00000000">
            <w:pPr>
              <w:pStyle w:val="Default"/>
              <w:rPr>
                <w:rFonts w:ascii="Times New Roman"/>
                <w:color w:val="auto"/>
                <w:sz w:val="21"/>
                <w:szCs w:val="21"/>
              </w:rPr>
            </w:pPr>
            <w:r>
              <w:rPr>
                <w:rFonts w:ascii="Times New Roman" w:hint="eastAsia"/>
                <w:color w:val="auto"/>
                <w:sz w:val="21"/>
                <w:szCs w:val="21"/>
              </w:rPr>
              <w:t>45</w:t>
            </w:r>
          </w:p>
        </w:tc>
        <w:tc>
          <w:tcPr>
            <w:tcW w:w="675" w:type="pct"/>
            <w:vMerge/>
            <w:tcBorders>
              <w:tl2br w:val="nil"/>
              <w:tr2bl w:val="nil"/>
            </w:tcBorders>
            <w:vAlign w:val="center"/>
          </w:tcPr>
          <w:p w14:paraId="3CDE6E67" w14:textId="77777777" w:rsidR="009D12AF" w:rsidRDefault="009D12AF">
            <w:pPr>
              <w:ind w:firstLineChars="0" w:firstLine="0"/>
              <w:jc w:val="center"/>
              <w:rPr>
                <w:rFonts w:ascii="Times New Roman" w:eastAsia="宋体" w:hAnsi="Times New Roman" w:cs="Times New Roman"/>
                <w:sz w:val="21"/>
                <w:szCs w:val="21"/>
              </w:rPr>
            </w:pPr>
          </w:p>
        </w:tc>
      </w:tr>
      <w:tr w:rsidR="009D12AF" w14:paraId="41A3B6C3" w14:textId="77777777">
        <w:trPr>
          <w:trHeight w:val="454"/>
          <w:jc w:val="center"/>
        </w:trPr>
        <w:tc>
          <w:tcPr>
            <w:tcW w:w="417" w:type="pct"/>
            <w:tcBorders>
              <w:tl2br w:val="nil"/>
              <w:tr2bl w:val="nil"/>
            </w:tcBorders>
            <w:vAlign w:val="center"/>
          </w:tcPr>
          <w:p w14:paraId="37C07EAC" w14:textId="77777777" w:rsidR="009D12AF" w:rsidRDefault="00000000">
            <w:pPr>
              <w:ind w:firstLineChars="0" w:firstLine="0"/>
              <w:jc w:val="center"/>
              <w:rPr>
                <w:rFonts w:ascii="Times New Roman" w:eastAsia="宋体"/>
                <w:sz w:val="21"/>
                <w:szCs w:val="21"/>
              </w:rPr>
            </w:pPr>
            <w:r>
              <w:rPr>
                <w:rFonts w:ascii="Times New Roman" w:eastAsia="宋体"/>
                <w:sz w:val="21"/>
                <w:szCs w:val="21"/>
              </w:rPr>
              <w:t>▲</w:t>
            </w:r>
            <w:r>
              <w:rPr>
                <w:rFonts w:ascii="Times New Roman" w:eastAsia="宋体" w:hint="eastAsia"/>
                <w:sz w:val="21"/>
                <w:szCs w:val="21"/>
              </w:rPr>
              <w:t>5</w:t>
            </w:r>
          </w:p>
        </w:tc>
        <w:tc>
          <w:tcPr>
            <w:tcW w:w="2237" w:type="pct"/>
            <w:tcBorders>
              <w:tl2br w:val="nil"/>
              <w:tr2bl w:val="nil"/>
            </w:tcBorders>
            <w:vAlign w:val="center"/>
          </w:tcPr>
          <w:p w14:paraId="6EC855D6" w14:textId="77777777" w:rsidR="009D12AF" w:rsidRDefault="00000000">
            <w:pPr>
              <w:autoSpaceDE w:val="0"/>
              <w:spacing w:line="400" w:lineRule="exact"/>
              <w:ind w:firstLineChars="0" w:firstLine="0"/>
              <w:jc w:val="center"/>
              <w:rPr>
                <w:rFonts w:ascii="Times New Roman" w:eastAsia="宋体" w:hAnsi="Times New Roman" w:cs="Times New Roman"/>
                <w:bCs/>
                <w:kern w:val="0"/>
                <w:sz w:val="21"/>
                <w:szCs w:val="21"/>
              </w:rPr>
            </w:pPr>
            <w:r>
              <w:rPr>
                <w:rFonts w:ascii="Times New Roman" w:hAnsi="Times New Roman" w:cs="Times New Roman"/>
                <w:bCs/>
                <w:kern w:val="0"/>
                <w:sz w:val="21"/>
                <w:szCs w:val="21"/>
              </w:rPr>
              <w:t>新安晒水池东侧</w:t>
            </w:r>
            <w:r>
              <w:rPr>
                <w:rFonts w:ascii="Times New Roman" w:hAnsi="Times New Roman" w:cs="Times New Roman"/>
                <w:bCs/>
                <w:kern w:val="0"/>
                <w:sz w:val="21"/>
                <w:szCs w:val="21"/>
              </w:rPr>
              <w:t>5#</w:t>
            </w:r>
          </w:p>
        </w:tc>
        <w:tc>
          <w:tcPr>
            <w:tcW w:w="417" w:type="pct"/>
            <w:tcBorders>
              <w:tl2br w:val="nil"/>
              <w:tr2bl w:val="nil"/>
            </w:tcBorders>
            <w:vAlign w:val="center"/>
          </w:tcPr>
          <w:p w14:paraId="1691EC47" w14:textId="77777777" w:rsidR="009D12AF" w:rsidRDefault="00000000">
            <w:pPr>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46</w:t>
            </w:r>
          </w:p>
        </w:tc>
        <w:tc>
          <w:tcPr>
            <w:tcW w:w="417" w:type="pct"/>
            <w:tcBorders>
              <w:tl2br w:val="nil"/>
              <w:tr2bl w:val="nil"/>
            </w:tcBorders>
            <w:vAlign w:val="center"/>
          </w:tcPr>
          <w:p w14:paraId="77222B3E"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hAnsi="Times New Roman" w:cs="Times New Roman" w:hint="eastAsia"/>
                <w:color w:val="000000"/>
                <w:kern w:val="0"/>
                <w:sz w:val="21"/>
                <w:szCs w:val="21"/>
              </w:rPr>
              <w:t>43</w:t>
            </w:r>
          </w:p>
        </w:tc>
        <w:tc>
          <w:tcPr>
            <w:tcW w:w="417" w:type="pct"/>
            <w:tcBorders>
              <w:tl2br w:val="nil"/>
              <w:tr2bl w:val="nil"/>
            </w:tcBorders>
            <w:vAlign w:val="center"/>
          </w:tcPr>
          <w:p w14:paraId="74E1E65A"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hAnsi="Times New Roman" w:cs="Times New Roman" w:hint="eastAsia"/>
                <w:color w:val="000000"/>
                <w:kern w:val="0"/>
                <w:sz w:val="21"/>
                <w:szCs w:val="21"/>
              </w:rPr>
              <w:t>47</w:t>
            </w:r>
          </w:p>
        </w:tc>
        <w:tc>
          <w:tcPr>
            <w:tcW w:w="417" w:type="pct"/>
            <w:tcBorders>
              <w:tl2br w:val="nil"/>
              <w:tr2bl w:val="nil"/>
            </w:tcBorders>
            <w:vAlign w:val="center"/>
          </w:tcPr>
          <w:p w14:paraId="194EFC37" w14:textId="77777777" w:rsidR="009D12AF" w:rsidRDefault="00000000">
            <w:pPr>
              <w:pStyle w:val="Default"/>
              <w:rPr>
                <w:rFonts w:ascii="Times New Roman"/>
                <w:color w:val="auto"/>
                <w:sz w:val="21"/>
                <w:szCs w:val="21"/>
              </w:rPr>
            </w:pPr>
            <w:r>
              <w:rPr>
                <w:rFonts w:ascii="Times New Roman" w:hint="eastAsia"/>
                <w:color w:val="auto"/>
                <w:sz w:val="21"/>
                <w:szCs w:val="21"/>
              </w:rPr>
              <w:t>44</w:t>
            </w:r>
          </w:p>
        </w:tc>
        <w:tc>
          <w:tcPr>
            <w:tcW w:w="675" w:type="pct"/>
            <w:vMerge/>
            <w:tcBorders>
              <w:tl2br w:val="nil"/>
              <w:tr2bl w:val="nil"/>
            </w:tcBorders>
            <w:vAlign w:val="center"/>
          </w:tcPr>
          <w:p w14:paraId="062E84A7" w14:textId="77777777" w:rsidR="009D12AF" w:rsidRDefault="009D12AF">
            <w:pPr>
              <w:ind w:firstLineChars="0" w:firstLine="0"/>
              <w:jc w:val="center"/>
              <w:rPr>
                <w:rFonts w:ascii="Times New Roman" w:eastAsia="宋体" w:hAnsi="Times New Roman" w:cs="Times New Roman"/>
                <w:sz w:val="21"/>
                <w:szCs w:val="21"/>
              </w:rPr>
            </w:pPr>
          </w:p>
        </w:tc>
      </w:tr>
      <w:tr w:rsidR="009D12AF" w14:paraId="4882BC72" w14:textId="77777777">
        <w:trPr>
          <w:trHeight w:val="454"/>
          <w:jc w:val="center"/>
        </w:trPr>
        <w:tc>
          <w:tcPr>
            <w:tcW w:w="417" w:type="pct"/>
            <w:tcBorders>
              <w:tl2br w:val="nil"/>
              <w:tr2bl w:val="nil"/>
            </w:tcBorders>
            <w:vAlign w:val="center"/>
          </w:tcPr>
          <w:p w14:paraId="40A7243E" w14:textId="77777777" w:rsidR="009D12AF" w:rsidRDefault="00000000">
            <w:pPr>
              <w:pStyle w:val="Default"/>
              <w:rPr>
                <w:rFonts w:ascii="Times New Roman"/>
                <w:color w:val="auto"/>
                <w:sz w:val="21"/>
                <w:szCs w:val="21"/>
              </w:rPr>
            </w:pPr>
            <w:r>
              <w:rPr>
                <w:rFonts w:ascii="Times New Roman"/>
                <w:color w:val="auto"/>
                <w:sz w:val="21"/>
                <w:szCs w:val="21"/>
              </w:rPr>
              <w:t>▲</w:t>
            </w:r>
            <w:r>
              <w:rPr>
                <w:rFonts w:ascii="Times New Roman"/>
                <w:color w:val="auto"/>
                <w:sz w:val="21"/>
                <w:szCs w:val="21"/>
              </w:rPr>
              <w:t>1</w:t>
            </w:r>
          </w:p>
        </w:tc>
        <w:tc>
          <w:tcPr>
            <w:tcW w:w="2237" w:type="pct"/>
            <w:tcBorders>
              <w:tl2br w:val="nil"/>
              <w:tr2bl w:val="nil"/>
            </w:tcBorders>
            <w:vAlign w:val="center"/>
          </w:tcPr>
          <w:p w14:paraId="67262A59" w14:textId="77777777" w:rsidR="009D12AF" w:rsidRDefault="00000000">
            <w:pPr>
              <w:autoSpaceDE w:val="0"/>
              <w:spacing w:line="400" w:lineRule="exact"/>
              <w:ind w:firstLineChars="0" w:firstLine="0"/>
              <w:jc w:val="center"/>
              <w:rPr>
                <w:rFonts w:ascii="Times New Roman" w:eastAsia="宋体" w:hAnsi="Times New Roman" w:cs="Times New Roman"/>
                <w:bCs/>
                <w:kern w:val="0"/>
                <w:sz w:val="21"/>
                <w:szCs w:val="21"/>
              </w:rPr>
            </w:pPr>
            <w:r>
              <w:rPr>
                <w:rFonts w:ascii="Times New Roman" w:hAnsi="Times New Roman" w:cs="Times New Roman"/>
                <w:bCs/>
                <w:kern w:val="0"/>
                <w:sz w:val="21"/>
                <w:szCs w:val="21"/>
              </w:rPr>
              <w:t>长石水库北侧</w:t>
            </w:r>
            <w:r>
              <w:rPr>
                <w:rFonts w:ascii="Times New Roman" w:hAnsi="Times New Roman" w:cs="Times New Roman"/>
                <w:bCs/>
                <w:kern w:val="0"/>
                <w:sz w:val="21"/>
                <w:szCs w:val="21"/>
              </w:rPr>
              <w:t>1#</w:t>
            </w:r>
          </w:p>
        </w:tc>
        <w:tc>
          <w:tcPr>
            <w:tcW w:w="417" w:type="pct"/>
            <w:tcBorders>
              <w:tl2br w:val="nil"/>
              <w:tr2bl w:val="nil"/>
            </w:tcBorders>
            <w:vAlign w:val="center"/>
          </w:tcPr>
          <w:p w14:paraId="3E3391A4" w14:textId="77777777" w:rsidR="009D12AF" w:rsidRDefault="00000000">
            <w:pPr>
              <w:pStyle w:val="Default"/>
              <w:rPr>
                <w:rFonts w:ascii="Times New Roman" w:hAnsi="Times New Roman" w:cs="Times New Roman"/>
                <w:sz w:val="21"/>
                <w:szCs w:val="21"/>
              </w:rPr>
            </w:pPr>
            <w:r>
              <w:rPr>
                <w:rFonts w:ascii="Times New Roman" w:cs="Times New Roman" w:hint="eastAsia"/>
                <w:sz w:val="21"/>
                <w:szCs w:val="21"/>
              </w:rPr>
              <w:t>48</w:t>
            </w:r>
          </w:p>
        </w:tc>
        <w:tc>
          <w:tcPr>
            <w:tcW w:w="417" w:type="pct"/>
            <w:tcBorders>
              <w:tl2br w:val="nil"/>
              <w:tr2bl w:val="nil"/>
            </w:tcBorders>
            <w:vAlign w:val="center"/>
          </w:tcPr>
          <w:p w14:paraId="5B671D57" w14:textId="77777777" w:rsidR="009D12AF" w:rsidRDefault="00000000">
            <w:pPr>
              <w:pStyle w:val="Default"/>
              <w:rPr>
                <w:rFonts w:ascii="Times New Roman" w:eastAsia="仿宋_GB2312" w:hAnsi="Times New Roman" w:cs="Times New Roman"/>
                <w:sz w:val="21"/>
                <w:szCs w:val="21"/>
              </w:rPr>
            </w:pPr>
            <w:r>
              <w:rPr>
                <w:rFonts w:ascii="Times New Roman" w:cs="Times New Roman" w:hint="eastAsia"/>
                <w:sz w:val="21"/>
                <w:szCs w:val="21"/>
              </w:rPr>
              <w:t>43</w:t>
            </w:r>
          </w:p>
        </w:tc>
        <w:tc>
          <w:tcPr>
            <w:tcW w:w="417" w:type="pct"/>
            <w:tcBorders>
              <w:tl2br w:val="nil"/>
              <w:tr2bl w:val="nil"/>
            </w:tcBorders>
            <w:vAlign w:val="center"/>
          </w:tcPr>
          <w:p w14:paraId="1DDD6780" w14:textId="77777777" w:rsidR="009D12AF" w:rsidRDefault="00000000">
            <w:pPr>
              <w:pStyle w:val="Default"/>
              <w:rPr>
                <w:rFonts w:ascii="Times New Roman" w:eastAsia="仿宋_GB2312" w:hAnsi="Times New Roman" w:cs="Times New Roman"/>
                <w:sz w:val="21"/>
                <w:szCs w:val="21"/>
              </w:rPr>
            </w:pPr>
            <w:r>
              <w:rPr>
                <w:rFonts w:ascii="Times New Roman" w:cs="Times New Roman" w:hint="eastAsia"/>
                <w:sz w:val="21"/>
                <w:szCs w:val="21"/>
              </w:rPr>
              <w:t>49</w:t>
            </w:r>
          </w:p>
        </w:tc>
        <w:tc>
          <w:tcPr>
            <w:tcW w:w="417" w:type="pct"/>
            <w:tcBorders>
              <w:tl2br w:val="nil"/>
              <w:tr2bl w:val="nil"/>
            </w:tcBorders>
            <w:vAlign w:val="center"/>
          </w:tcPr>
          <w:p w14:paraId="51D86B9F" w14:textId="77777777" w:rsidR="009D12AF" w:rsidRDefault="00000000">
            <w:pPr>
              <w:ind w:firstLineChars="0" w:firstLine="0"/>
              <w:jc w:val="center"/>
              <w:rPr>
                <w:rFonts w:ascii="Times New Roman" w:eastAsia="宋体"/>
                <w:sz w:val="21"/>
                <w:szCs w:val="21"/>
              </w:rPr>
            </w:pPr>
            <w:r>
              <w:rPr>
                <w:rFonts w:ascii="Times New Roman" w:hint="eastAsia"/>
                <w:sz w:val="21"/>
                <w:szCs w:val="21"/>
              </w:rPr>
              <w:t>46</w:t>
            </w:r>
          </w:p>
        </w:tc>
        <w:tc>
          <w:tcPr>
            <w:tcW w:w="675" w:type="pct"/>
            <w:vMerge w:val="restart"/>
            <w:tcBorders>
              <w:tl2br w:val="nil"/>
              <w:tr2bl w:val="nil"/>
            </w:tcBorders>
            <w:vAlign w:val="center"/>
          </w:tcPr>
          <w:p w14:paraId="76A58F98"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dB</w:t>
            </w:r>
            <w:r>
              <w:rPr>
                <w:rFonts w:ascii="Times New Roman" w:eastAsia="宋体" w:hAnsi="Times New Roman" w:cs="Times New Roman"/>
                <w:sz w:val="21"/>
                <w:szCs w:val="21"/>
              </w:rPr>
              <w:t>（</w:t>
            </w:r>
            <w:r>
              <w:rPr>
                <w:rFonts w:ascii="Times New Roman" w:eastAsia="宋体" w:hAnsi="Times New Roman" w:cs="Times New Roman"/>
                <w:sz w:val="21"/>
                <w:szCs w:val="21"/>
              </w:rPr>
              <w:t>A</w:t>
            </w:r>
            <w:r>
              <w:rPr>
                <w:rFonts w:ascii="Times New Roman" w:eastAsia="宋体" w:hAnsi="Times New Roman" w:cs="Times New Roman"/>
                <w:sz w:val="21"/>
                <w:szCs w:val="21"/>
              </w:rPr>
              <w:t>）</w:t>
            </w:r>
          </w:p>
        </w:tc>
      </w:tr>
      <w:tr w:rsidR="009D12AF" w14:paraId="6104B8CF" w14:textId="77777777">
        <w:trPr>
          <w:trHeight w:val="454"/>
          <w:jc w:val="center"/>
        </w:trPr>
        <w:tc>
          <w:tcPr>
            <w:tcW w:w="417" w:type="pct"/>
            <w:tcBorders>
              <w:tl2br w:val="nil"/>
              <w:tr2bl w:val="nil"/>
            </w:tcBorders>
            <w:vAlign w:val="center"/>
          </w:tcPr>
          <w:p w14:paraId="5A842F90" w14:textId="77777777" w:rsidR="009D12AF" w:rsidRDefault="00000000">
            <w:pPr>
              <w:ind w:firstLineChars="0" w:firstLine="0"/>
              <w:jc w:val="center"/>
              <w:rPr>
                <w:rFonts w:ascii="Times New Roman" w:eastAsia="宋体"/>
                <w:sz w:val="21"/>
                <w:szCs w:val="21"/>
              </w:rPr>
            </w:pPr>
            <w:r>
              <w:rPr>
                <w:rFonts w:ascii="Times New Roman" w:eastAsia="宋体"/>
                <w:sz w:val="21"/>
                <w:szCs w:val="21"/>
              </w:rPr>
              <w:t>▲</w:t>
            </w:r>
            <w:r>
              <w:rPr>
                <w:rFonts w:ascii="Times New Roman" w:hint="eastAsia"/>
                <w:sz w:val="21"/>
                <w:szCs w:val="21"/>
              </w:rPr>
              <w:t>2</w:t>
            </w:r>
          </w:p>
        </w:tc>
        <w:tc>
          <w:tcPr>
            <w:tcW w:w="2237" w:type="pct"/>
            <w:tcBorders>
              <w:tl2br w:val="nil"/>
              <w:tr2bl w:val="nil"/>
            </w:tcBorders>
            <w:vAlign w:val="center"/>
          </w:tcPr>
          <w:p w14:paraId="1C219276" w14:textId="77777777" w:rsidR="009D12AF" w:rsidRDefault="00000000">
            <w:pPr>
              <w:autoSpaceDE w:val="0"/>
              <w:spacing w:line="400" w:lineRule="exact"/>
              <w:ind w:firstLineChars="0" w:firstLine="0"/>
              <w:jc w:val="center"/>
              <w:rPr>
                <w:rFonts w:ascii="Times New Roman" w:eastAsia="宋体" w:hAnsi="Times New Roman" w:cs="Times New Roman"/>
                <w:bCs/>
                <w:kern w:val="0"/>
                <w:sz w:val="21"/>
                <w:szCs w:val="21"/>
              </w:rPr>
            </w:pPr>
            <w:r>
              <w:rPr>
                <w:rFonts w:ascii="Times New Roman" w:hAnsi="Times New Roman" w:cs="Times New Roman"/>
                <w:bCs/>
                <w:kern w:val="0"/>
                <w:sz w:val="21"/>
                <w:szCs w:val="21"/>
              </w:rPr>
              <w:t>长石水库西侧</w:t>
            </w:r>
            <w:r>
              <w:rPr>
                <w:rFonts w:ascii="Times New Roman" w:hAnsi="Times New Roman" w:cs="Times New Roman"/>
                <w:bCs/>
                <w:kern w:val="0"/>
                <w:sz w:val="21"/>
                <w:szCs w:val="21"/>
              </w:rPr>
              <w:t>2#</w:t>
            </w:r>
          </w:p>
        </w:tc>
        <w:tc>
          <w:tcPr>
            <w:tcW w:w="417" w:type="pct"/>
            <w:tcBorders>
              <w:tl2br w:val="nil"/>
              <w:tr2bl w:val="nil"/>
            </w:tcBorders>
            <w:vAlign w:val="center"/>
          </w:tcPr>
          <w:p w14:paraId="4EFC88F7" w14:textId="77777777" w:rsidR="009D12AF" w:rsidRDefault="00000000">
            <w:pPr>
              <w:pStyle w:val="Default"/>
              <w:rPr>
                <w:rFonts w:ascii="Times New Roman" w:hAnsi="Times New Roman" w:cs="Times New Roman"/>
                <w:sz w:val="21"/>
                <w:szCs w:val="21"/>
              </w:rPr>
            </w:pPr>
            <w:r>
              <w:rPr>
                <w:rFonts w:ascii="Times New Roman" w:cs="Times New Roman" w:hint="eastAsia"/>
                <w:color w:val="auto"/>
                <w:sz w:val="21"/>
                <w:szCs w:val="21"/>
              </w:rPr>
              <w:t>47</w:t>
            </w:r>
          </w:p>
        </w:tc>
        <w:tc>
          <w:tcPr>
            <w:tcW w:w="417" w:type="pct"/>
            <w:tcBorders>
              <w:tl2br w:val="nil"/>
              <w:tr2bl w:val="nil"/>
            </w:tcBorders>
            <w:vAlign w:val="center"/>
          </w:tcPr>
          <w:p w14:paraId="491F4C3D" w14:textId="77777777" w:rsidR="009D12AF" w:rsidRDefault="00000000">
            <w:pPr>
              <w:pStyle w:val="Default"/>
              <w:rPr>
                <w:rFonts w:ascii="Times New Roman" w:eastAsia="仿宋_GB2312" w:hAnsi="Times New Roman" w:cs="Times New Roman"/>
                <w:sz w:val="21"/>
                <w:szCs w:val="21"/>
              </w:rPr>
            </w:pPr>
            <w:r>
              <w:rPr>
                <w:rFonts w:ascii="Times New Roman" w:cs="Times New Roman" w:hint="eastAsia"/>
                <w:sz w:val="21"/>
                <w:szCs w:val="21"/>
              </w:rPr>
              <w:t>45</w:t>
            </w:r>
          </w:p>
        </w:tc>
        <w:tc>
          <w:tcPr>
            <w:tcW w:w="417" w:type="pct"/>
            <w:tcBorders>
              <w:tl2br w:val="nil"/>
              <w:tr2bl w:val="nil"/>
            </w:tcBorders>
            <w:vAlign w:val="center"/>
          </w:tcPr>
          <w:p w14:paraId="50BC9833" w14:textId="77777777" w:rsidR="009D12AF" w:rsidRDefault="00000000">
            <w:pPr>
              <w:pStyle w:val="Default"/>
              <w:rPr>
                <w:rFonts w:ascii="Times New Roman" w:eastAsia="仿宋_GB2312" w:hAnsi="Times New Roman" w:cs="Times New Roman"/>
                <w:sz w:val="21"/>
                <w:szCs w:val="21"/>
              </w:rPr>
            </w:pPr>
            <w:r>
              <w:rPr>
                <w:rFonts w:ascii="Times New Roman" w:cs="Times New Roman" w:hint="eastAsia"/>
                <w:sz w:val="21"/>
                <w:szCs w:val="21"/>
              </w:rPr>
              <w:t>48</w:t>
            </w:r>
          </w:p>
        </w:tc>
        <w:tc>
          <w:tcPr>
            <w:tcW w:w="417" w:type="pct"/>
            <w:tcBorders>
              <w:tl2br w:val="nil"/>
              <w:tr2bl w:val="nil"/>
            </w:tcBorders>
            <w:vAlign w:val="center"/>
          </w:tcPr>
          <w:p w14:paraId="6E27C6C6" w14:textId="77777777" w:rsidR="009D12AF" w:rsidRDefault="00000000">
            <w:pPr>
              <w:ind w:firstLineChars="0" w:firstLine="0"/>
              <w:jc w:val="center"/>
              <w:rPr>
                <w:rFonts w:ascii="Times New Roman" w:eastAsia="宋体"/>
                <w:sz w:val="21"/>
                <w:szCs w:val="21"/>
              </w:rPr>
            </w:pPr>
            <w:r>
              <w:rPr>
                <w:rFonts w:ascii="Times New Roman" w:hint="eastAsia"/>
                <w:sz w:val="21"/>
                <w:szCs w:val="21"/>
              </w:rPr>
              <w:t>47</w:t>
            </w:r>
          </w:p>
        </w:tc>
        <w:tc>
          <w:tcPr>
            <w:tcW w:w="675" w:type="pct"/>
            <w:vMerge/>
            <w:tcBorders>
              <w:tl2br w:val="nil"/>
              <w:tr2bl w:val="nil"/>
            </w:tcBorders>
            <w:vAlign w:val="center"/>
          </w:tcPr>
          <w:p w14:paraId="07018980" w14:textId="77777777" w:rsidR="009D12AF" w:rsidRDefault="009D12AF">
            <w:pPr>
              <w:ind w:firstLineChars="0" w:firstLine="0"/>
              <w:jc w:val="center"/>
              <w:rPr>
                <w:rFonts w:ascii="Times New Roman" w:eastAsia="宋体" w:hAnsi="Times New Roman" w:cs="Times New Roman"/>
                <w:sz w:val="21"/>
                <w:szCs w:val="21"/>
              </w:rPr>
            </w:pPr>
          </w:p>
        </w:tc>
      </w:tr>
      <w:tr w:rsidR="009D12AF" w14:paraId="65640A45" w14:textId="77777777">
        <w:trPr>
          <w:trHeight w:val="454"/>
          <w:jc w:val="center"/>
        </w:trPr>
        <w:tc>
          <w:tcPr>
            <w:tcW w:w="417" w:type="pct"/>
            <w:tcBorders>
              <w:tl2br w:val="nil"/>
              <w:tr2bl w:val="nil"/>
            </w:tcBorders>
            <w:vAlign w:val="center"/>
          </w:tcPr>
          <w:p w14:paraId="0D32B7B7" w14:textId="77777777" w:rsidR="009D12AF" w:rsidRDefault="00000000">
            <w:pPr>
              <w:ind w:firstLineChars="0" w:firstLine="0"/>
              <w:jc w:val="center"/>
              <w:rPr>
                <w:rFonts w:ascii="Times New Roman" w:eastAsia="宋体"/>
                <w:sz w:val="21"/>
                <w:szCs w:val="21"/>
              </w:rPr>
            </w:pPr>
            <w:r>
              <w:rPr>
                <w:rFonts w:ascii="Times New Roman" w:eastAsia="宋体"/>
                <w:sz w:val="21"/>
                <w:szCs w:val="21"/>
              </w:rPr>
              <w:t>▲</w:t>
            </w:r>
            <w:r>
              <w:rPr>
                <w:rFonts w:ascii="Times New Roman" w:hint="eastAsia"/>
                <w:sz w:val="21"/>
                <w:szCs w:val="21"/>
              </w:rPr>
              <w:t>3</w:t>
            </w:r>
          </w:p>
        </w:tc>
        <w:tc>
          <w:tcPr>
            <w:tcW w:w="2237" w:type="pct"/>
            <w:tcBorders>
              <w:tl2br w:val="nil"/>
              <w:tr2bl w:val="nil"/>
            </w:tcBorders>
            <w:vAlign w:val="center"/>
          </w:tcPr>
          <w:p w14:paraId="6DBEAB23" w14:textId="77777777" w:rsidR="009D12AF" w:rsidRDefault="00000000">
            <w:pPr>
              <w:autoSpaceDE w:val="0"/>
              <w:spacing w:line="400" w:lineRule="exact"/>
              <w:ind w:firstLineChars="0" w:firstLine="0"/>
              <w:jc w:val="center"/>
              <w:rPr>
                <w:rFonts w:ascii="Times New Roman" w:eastAsia="宋体" w:hAnsi="Times New Roman" w:cs="Times New Roman"/>
                <w:bCs/>
                <w:kern w:val="0"/>
                <w:sz w:val="21"/>
                <w:szCs w:val="21"/>
              </w:rPr>
            </w:pPr>
            <w:r>
              <w:rPr>
                <w:rFonts w:ascii="Times New Roman" w:hAnsi="Times New Roman" w:cs="Times New Roman"/>
                <w:bCs/>
                <w:kern w:val="0"/>
                <w:sz w:val="21"/>
                <w:szCs w:val="21"/>
              </w:rPr>
              <w:t>长石水库南侧</w:t>
            </w:r>
            <w:r>
              <w:rPr>
                <w:rFonts w:ascii="Times New Roman" w:hAnsi="Times New Roman" w:cs="Times New Roman"/>
                <w:bCs/>
                <w:kern w:val="0"/>
                <w:sz w:val="21"/>
                <w:szCs w:val="21"/>
              </w:rPr>
              <w:t>3#</w:t>
            </w:r>
          </w:p>
        </w:tc>
        <w:tc>
          <w:tcPr>
            <w:tcW w:w="417" w:type="pct"/>
            <w:tcBorders>
              <w:tl2br w:val="nil"/>
              <w:tr2bl w:val="nil"/>
            </w:tcBorders>
            <w:vAlign w:val="center"/>
          </w:tcPr>
          <w:p w14:paraId="46B85EBE" w14:textId="77777777" w:rsidR="009D12AF" w:rsidRDefault="00000000">
            <w:pPr>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48</w:t>
            </w:r>
          </w:p>
        </w:tc>
        <w:tc>
          <w:tcPr>
            <w:tcW w:w="417" w:type="pct"/>
            <w:tcBorders>
              <w:tl2br w:val="nil"/>
              <w:tr2bl w:val="nil"/>
            </w:tcBorders>
            <w:vAlign w:val="center"/>
          </w:tcPr>
          <w:p w14:paraId="2A1770C6"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hAnsi="Times New Roman" w:cs="Times New Roman" w:hint="eastAsia"/>
                <w:color w:val="000000"/>
                <w:kern w:val="0"/>
                <w:sz w:val="21"/>
                <w:szCs w:val="21"/>
              </w:rPr>
              <w:t>42</w:t>
            </w:r>
          </w:p>
        </w:tc>
        <w:tc>
          <w:tcPr>
            <w:tcW w:w="417" w:type="pct"/>
            <w:tcBorders>
              <w:tl2br w:val="nil"/>
              <w:tr2bl w:val="nil"/>
            </w:tcBorders>
            <w:vAlign w:val="center"/>
          </w:tcPr>
          <w:p w14:paraId="604E15EC"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hAnsi="Times New Roman" w:cs="Times New Roman" w:hint="eastAsia"/>
                <w:color w:val="000000"/>
                <w:kern w:val="0"/>
                <w:sz w:val="21"/>
                <w:szCs w:val="21"/>
              </w:rPr>
              <w:t>49</w:t>
            </w:r>
          </w:p>
        </w:tc>
        <w:tc>
          <w:tcPr>
            <w:tcW w:w="417" w:type="pct"/>
            <w:tcBorders>
              <w:tl2br w:val="nil"/>
              <w:tr2bl w:val="nil"/>
            </w:tcBorders>
            <w:vAlign w:val="center"/>
          </w:tcPr>
          <w:p w14:paraId="2EABEF34" w14:textId="77777777" w:rsidR="009D12AF" w:rsidRDefault="00000000">
            <w:pPr>
              <w:pStyle w:val="Default"/>
              <w:rPr>
                <w:rFonts w:ascii="Times New Roman"/>
                <w:color w:val="auto"/>
                <w:sz w:val="21"/>
                <w:szCs w:val="21"/>
              </w:rPr>
            </w:pPr>
            <w:r>
              <w:rPr>
                <w:rFonts w:ascii="Times New Roman" w:hint="eastAsia"/>
                <w:color w:val="auto"/>
                <w:sz w:val="21"/>
                <w:szCs w:val="21"/>
              </w:rPr>
              <w:t>47</w:t>
            </w:r>
          </w:p>
        </w:tc>
        <w:tc>
          <w:tcPr>
            <w:tcW w:w="675" w:type="pct"/>
            <w:vMerge/>
            <w:tcBorders>
              <w:tl2br w:val="nil"/>
              <w:tr2bl w:val="nil"/>
            </w:tcBorders>
            <w:vAlign w:val="center"/>
          </w:tcPr>
          <w:p w14:paraId="15046A05" w14:textId="77777777" w:rsidR="009D12AF" w:rsidRDefault="009D12AF">
            <w:pPr>
              <w:ind w:firstLineChars="0" w:firstLine="0"/>
              <w:jc w:val="center"/>
              <w:rPr>
                <w:rFonts w:ascii="Times New Roman" w:eastAsia="宋体" w:hAnsi="Times New Roman" w:cs="Times New Roman"/>
                <w:sz w:val="21"/>
                <w:szCs w:val="21"/>
              </w:rPr>
            </w:pPr>
          </w:p>
        </w:tc>
      </w:tr>
      <w:tr w:rsidR="009D12AF" w14:paraId="0A8DA7FD" w14:textId="77777777">
        <w:trPr>
          <w:trHeight w:val="454"/>
          <w:jc w:val="center"/>
        </w:trPr>
        <w:tc>
          <w:tcPr>
            <w:tcW w:w="417" w:type="pct"/>
            <w:tcBorders>
              <w:tl2br w:val="nil"/>
              <w:tr2bl w:val="nil"/>
            </w:tcBorders>
            <w:vAlign w:val="center"/>
          </w:tcPr>
          <w:p w14:paraId="49EAEBB5" w14:textId="77777777" w:rsidR="009D12AF" w:rsidRDefault="00000000">
            <w:pPr>
              <w:ind w:firstLineChars="0" w:firstLine="0"/>
              <w:jc w:val="center"/>
              <w:rPr>
                <w:rFonts w:ascii="Times New Roman" w:eastAsia="宋体"/>
                <w:sz w:val="21"/>
                <w:szCs w:val="21"/>
              </w:rPr>
            </w:pPr>
            <w:r>
              <w:rPr>
                <w:rFonts w:ascii="Times New Roman" w:eastAsia="宋体"/>
                <w:sz w:val="21"/>
                <w:szCs w:val="21"/>
              </w:rPr>
              <w:t>▲</w:t>
            </w:r>
            <w:r>
              <w:rPr>
                <w:rFonts w:ascii="Times New Roman" w:hint="eastAsia"/>
                <w:sz w:val="21"/>
                <w:szCs w:val="21"/>
              </w:rPr>
              <w:t>4</w:t>
            </w:r>
          </w:p>
        </w:tc>
        <w:tc>
          <w:tcPr>
            <w:tcW w:w="2237" w:type="pct"/>
            <w:tcBorders>
              <w:tl2br w:val="nil"/>
              <w:tr2bl w:val="nil"/>
            </w:tcBorders>
            <w:vAlign w:val="center"/>
          </w:tcPr>
          <w:p w14:paraId="54615525" w14:textId="77777777" w:rsidR="009D12AF" w:rsidRDefault="00000000">
            <w:pPr>
              <w:autoSpaceDE w:val="0"/>
              <w:spacing w:line="400" w:lineRule="exact"/>
              <w:ind w:firstLineChars="0" w:firstLine="0"/>
              <w:jc w:val="center"/>
              <w:rPr>
                <w:rFonts w:ascii="Times New Roman" w:eastAsia="宋体" w:hAnsi="Times New Roman" w:cs="Times New Roman"/>
                <w:bCs/>
                <w:kern w:val="0"/>
                <w:sz w:val="21"/>
                <w:szCs w:val="21"/>
              </w:rPr>
            </w:pPr>
            <w:r>
              <w:rPr>
                <w:rFonts w:ascii="Times New Roman" w:hAnsi="Times New Roman" w:cs="Times New Roman"/>
                <w:bCs/>
                <w:kern w:val="0"/>
                <w:sz w:val="21"/>
                <w:szCs w:val="21"/>
              </w:rPr>
              <w:t>长石水库东侧</w:t>
            </w:r>
            <w:r>
              <w:rPr>
                <w:rFonts w:ascii="Times New Roman" w:hAnsi="Times New Roman" w:cs="Times New Roman"/>
                <w:bCs/>
                <w:kern w:val="0"/>
                <w:sz w:val="21"/>
                <w:szCs w:val="21"/>
              </w:rPr>
              <w:t>4#</w:t>
            </w:r>
          </w:p>
        </w:tc>
        <w:tc>
          <w:tcPr>
            <w:tcW w:w="417" w:type="pct"/>
            <w:tcBorders>
              <w:tl2br w:val="nil"/>
              <w:tr2bl w:val="nil"/>
            </w:tcBorders>
            <w:vAlign w:val="center"/>
          </w:tcPr>
          <w:p w14:paraId="350C56D7" w14:textId="77777777" w:rsidR="009D12AF" w:rsidRDefault="00000000">
            <w:pPr>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46</w:t>
            </w:r>
          </w:p>
        </w:tc>
        <w:tc>
          <w:tcPr>
            <w:tcW w:w="417" w:type="pct"/>
            <w:tcBorders>
              <w:tl2br w:val="nil"/>
              <w:tr2bl w:val="nil"/>
            </w:tcBorders>
            <w:vAlign w:val="center"/>
          </w:tcPr>
          <w:p w14:paraId="356C4D3F"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hAnsi="Times New Roman" w:cs="Times New Roman" w:hint="eastAsia"/>
                <w:color w:val="000000"/>
                <w:kern w:val="0"/>
                <w:sz w:val="21"/>
                <w:szCs w:val="21"/>
              </w:rPr>
              <w:t>43</w:t>
            </w:r>
          </w:p>
        </w:tc>
        <w:tc>
          <w:tcPr>
            <w:tcW w:w="417" w:type="pct"/>
            <w:tcBorders>
              <w:tl2br w:val="nil"/>
              <w:tr2bl w:val="nil"/>
            </w:tcBorders>
            <w:vAlign w:val="center"/>
          </w:tcPr>
          <w:p w14:paraId="16DC4D3F"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hAnsi="Times New Roman" w:cs="Times New Roman" w:hint="eastAsia"/>
                <w:color w:val="000000"/>
                <w:kern w:val="0"/>
                <w:sz w:val="21"/>
                <w:szCs w:val="21"/>
              </w:rPr>
              <w:t>48</w:t>
            </w:r>
          </w:p>
        </w:tc>
        <w:tc>
          <w:tcPr>
            <w:tcW w:w="417" w:type="pct"/>
            <w:tcBorders>
              <w:tl2br w:val="nil"/>
              <w:tr2bl w:val="nil"/>
            </w:tcBorders>
            <w:vAlign w:val="center"/>
          </w:tcPr>
          <w:p w14:paraId="1C8C17D2" w14:textId="77777777" w:rsidR="009D12AF" w:rsidRDefault="00000000">
            <w:pPr>
              <w:pStyle w:val="Default"/>
              <w:rPr>
                <w:rFonts w:ascii="Times New Roman"/>
                <w:color w:val="auto"/>
                <w:sz w:val="21"/>
                <w:szCs w:val="21"/>
              </w:rPr>
            </w:pPr>
            <w:r>
              <w:rPr>
                <w:rFonts w:ascii="Times New Roman" w:hint="eastAsia"/>
                <w:color w:val="auto"/>
                <w:sz w:val="21"/>
                <w:szCs w:val="21"/>
              </w:rPr>
              <w:t>45</w:t>
            </w:r>
          </w:p>
        </w:tc>
        <w:tc>
          <w:tcPr>
            <w:tcW w:w="675" w:type="pct"/>
            <w:vMerge/>
            <w:tcBorders>
              <w:tl2br w:val="nil"/>
              <w:tr2bl w:val="nil"/>
            </w:tcBorders>
            <w:vAlign w:val="center"/>
          </w:tcPr>
          <w:p w14:paraId="457A9407" w14:textId="77777777" w:rsidR="009D12AF" w:rsidRDefault="009D12AF">
            <w:pPr>
              <w:ind w:firstLineChars="0" w:firstLine="0"/>
              <w:jc w:val="center"/>
              <w:rPr>
                <w:rFonts w:ascii="Times New Roman" w:eastAsia="宋体" w:hAnsi="Times New Roman" w:cs="Times New Roman"/>
                <w:sz w:val="21"/>
                <w:szCs w:val="21"/>
              </w:rPr>
            </w:pPr>
          </w:p>
        </w:tc>
      </w:tr>
      <w:tr w:rsidR="009D12AF" w14:paraId="7661FCF3" w14:textId="77777777">
        <w:trPr>
          <w:trHeight w:val="454"/>
          <w:jc w:val="center"/>
        </w:trPr>
        <w:tc>
          <w:tcPr>
            <w:tcW w:w="417" w:type="pct"/>
            <w:tcBorders>
              <w:tl2br w:val="nil"/>
              <w:tr2bl w:val="nil"/>
            </w:tcBorders>
            <w:vAlign w:val="center"/>
          </w:tcPr>
          <w:p w14:paraId="77724769" w14:textId="77777777" w:rsidR="009D12AF" w:rsidRDefault="00000000">
            <w:pPr>
              <w:pStyle w:val="Default"/>
              <w:rPr>
                <w:rFonts w:ascii="Times New Roman" w:hAnsi="Times New Roman" w:cs="Times New Roman"/>
                <w:color w:val="auto"/>
                <w:sz w:val="21"/>
                <w:szCs w:val="21"/>
              </w:rPr>
            </w:pPr>
            <w:r>
              <w:rPr>
                <w:rFonts w:ascii="Times New Roman"/>
                <w:color w:val="auto"/>
                <w:sz w:val="21"/>
                <w:szCs w:val="21"/>
              </w:rPr>
              <w:t>▲</w:t>
            </w:r>
            <w:r>
              <w:rPr>
                <w:rFonts w:ascii="Times New Roman"/>
                <w:color w:val="auto"/>
                <w:sz w:val="21"/>
                <w:szCs w:val="21"/>
              </w:rPr>
              <w:t>1</w:t>
            </w:r>
          </w:p>
        </w:tc>
        <w:tc>
          <w:tcPr>
            <w:tcW w:w="2237" w:type="pct"/>
            <w:tcBorders>
              <w:tl2br w:val="nil"/>
              <w:tr2bl w:val="nil"/>
            </w:tcBorders>
            <w:vAlign w:val="center"/>
          </w:tcPr>
          <w:p w14:paraId="762A7151" w14:textId="77777777" w:rsidR="009D12AF" w:rsidRDefault="00000000">
            <w:pPr>
              <w:autoSpaceDE w:val="0"/>
              <w:spacing w:line="400" w:lineRule="exact"/>
              <w:ind w:firstLineChars="0" w:firstLine="0"/>
              <w:jc w:val="center"/>
              <w:rPr>
                <w:rFonts w:ascii="Times New Roman" w:eastAsia="宋体" w:hAnsi="Times New Roman" w:cs="Times New Roman"/>
                <w:bCs/>
                <w:kern w:val="0"/>
                <w:sz w:val="21"/>
                <w:szCs w:val="21"/>
              </w:rPr>
            </w:pPr>
            <w:r>
              <w:rPr>
                <w:rFonts w:ascii="Times New Roman" w:hAnsi="Times New Roman" w:cs="Times New Roman"/>
                <w:bCs/>
                <w:kern w:val="0"/>
                <w:sz w:val="21"/>
                <w:szCs w:val="21"/>
              </w:rPr>
              <w:t>万丈水库北侧</w:t>
            </w:r>
            <w:r>
              <w:rPr>
                <w:rFonts w:ascii="Times New Roman" w:hAnsi="Times New Roman" w:cs="Times New Roman"/>
                <w:bCs/>
                <w:kern w:val="0"/>
                <w:sz w:val="21"/>
                <w:szCs w:val="21"/>
              </w:rPr>
              <w:t>1#</w:t>
            </w:r>
          </w:p>
        </w:tc>
        <w:tc>
          <w:tcPr>
            <w:tcW w:w="417" w:type="pct"/>
            <w:tcBorders>
              <w:tl2br w:val="nil"/>
              <w:tr2bl w:val="nil"/>
            </w:tcBorders>
            <w:vAlign w:val="center"/>
          </w:tcPr>
          <w:p w14:paraId="554A191A" w14:textId="77777777" w:rsidR="009D12AF" w:rsidRDefault="00000000">
            <w:pPr>
              <w:pStyle w:val="Default"/>
              <w:rPr>
                <w:rFonts w:ascii="Times New Roman" w:hAnsi="Times New Roman" w:cs="Times New Roman"/>
                <w:sz w:val="21"/>
                <w:szCs w:val="21"/>
              </w:rPr>
            </w:pPr>
            <w:r>
              <w:rPr>
                <w:rFonts w:ascii="Times New Roman" w:cs="Times New Roman" w:hint="eastAsia"/>
                <w:sz w:val="21"/>
                <w:szCs w:val="21"/>
              </w:rPr>
              <w:t>47</w:t>
            </w:r>
          </w:p>
        </w:tc>
        <w:tc>
          <w:tcPr>
            <w:tcW w:w="417" w:type="pct"/>
            <w:tcBorders>
              <w:tl2br w:val="nil"/>
              <w:tr2bl w:val="nil"/>
            </w:tcBorders>
            <w:vAlign w:val="center"/>
          </w:tcPr>
          <w:p w14:paraId="16B1CAD9" w14:textId="77777777" w:rsidR="009D12AF" w:rsidRDefault="00000000">
            <w:pPr>
              <w:pStyle w:val="Default"/>
              <w:rPr>
                <w:rFonts w:ascii="Times New Roman" w:eastAsia="仿宋_GB2312" w:hAnsi="Times New Roman" w:cs="Times New Roman"/>
                <w:sz w:val="21"/>
                <w:szCs w:val="21"/>
              </w:rPr>
            </w:pPr>
            <w:r>
              <w:rPr>
                <w:rFonts w:ascii="Times New Roman" w:cs="Times New Roman" w:hint="eastAsia"/>
                <w:sz w:val="21"/>
                <w:szCs w:val="21"/>
              </w:rPr>
              <w:t>44</w:t>
            </w:r>
          </w:p>
        </w:tc>
        <w:tc>
          <w:tcPr>
            <w:tcW w:w="417" w:type="pct"/>
            <w:tcBorders>
              <w:tl2br w:val="nil"/>
              <w:tr2bl w:val="nil"/>
            </w:tcBorders>
            <w:vAlign w:val="center"/>
          </w:tcPr>
          <w:p w14:paraId="3DBF967D" w14:textId="77777777" w:rsidR="009D12AF" w:rsidRDefault="00000000">
            <w:pPr>
              <w:pStyle w:val="Default"/>
              <w:rPr>
                <w:rFonts w:ascii="Times New Roman" w:eastAsia="仿宋_GB2312" w:hAnsi="Times New Roman" w:cs="Times New Roman"/>
                <w:sz w:val="21"/>
                <w:szCs w:val="21"/>
              </w:rPr>
            </w:pPr>
            <w:r>
              <w:rPr>
                <w:rFonts w:ascii="Times New Roman" w:cs="Times New Roman" w:hint="eastAsia"/>
                <w:sz w:val="21"/>
                <w:szCs w:val="21"/>
              </w:rPr>
              <w:t>47</w:t>
            </w:r>
          </w:p>
        </w:tc>
        <w:tc>
          <w:tcPr>
            <w:tcW w:w="417" w:type="pct"/>
            <w:tcBorders>
              <w:tl2br w:val="nil"/>
              <w:tr2bl w:val="nil"/>
            </w:tcBorders>
            <w:vAlign w:val="center"/>
          </w:tcPr>
          <w:p w14:paraId="79FD00F7" w14:textId="77777777" w:rsidR="009D12AF" w:rsidRDefault="00000000">
            <w:pPr>
              <w:ind w:firstLineChars="0" w:firstLine="0"/>
              <w:jc w:val="center"/>
              <w:rPr>
                <w:rFonts w:ascii="Times New Roman" w:eastAsia="宋体"/>
                <w:sz w:val="21"/>
                <w:szCs w:val="21"/>
              </w:rPr>
            </w:pPr>
            <w:r>
              <w:rPr>
                <w:rFonts w:ascii="Times New Roman" w:hint="eastAsia"/>
                <w:sz w:val="21"/>
                <w:szCs w:val="21"/>
              </w:rPr>
              <w:t>46</w:t>
            </w:r>
          </w:p>
        </w:tc>
        <w:tc>
          <w:tcPr>
            <w:tcW w:w="675" w:type="pct"/>
            <w:vMerge w:val="restart"/>
            <w:tcBorders>
              <w:tl2br w:val="nil"/>
              <w:tr2bl w:val="nil"/>
            </w:tcBorders>
            <w:vAlign w:val="center"/>
          </w:tcPr>
          <w:p w14:paraId="7A1AEF79"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dB</w:t>
            </w:r>
            <w:r>
              <w:rPr>
                <w:rFonts w:ascii="Times New Roman" w:eastAsia="宋体" w:hAnsi="Times New Roman" w:cs="Times New Roman"/>
                <w:sz w:val="21"/>
                <w:szCs w:val="21"/>
              </w:rPr>
              <w:t>（</w:t>
            </w:r>
            <w:r>
              <w:rPr>
                <w:rFonts w:ascii="Times New Roman" w:eastAsia="宋体" w:hAnsi="Times New Roman" w:cs="Times New Roman"/>
                <w:sz w:val="21"/>
                <w:szCs w:val="21"/>
              </w:rPr>
              <w:t>A</w:t>
            </w:r>
            <w:r>
              <w:rPr>
                <w:rFonts w:ascii="Times New Roman" w:eastAsia="宋体" w:hAnsi="Times New Roman" w:cs="Times New Roman"/>
                <w:sz w:val="21"/>
                <w:szCs w:val="21"/>
              </w:rPr>
              <w:t>）</w:t>
            </w:r>
          </w:p>
        </w:tc>
      </w:tr>
      <w:tr w:rsidR="009D12AF" w14:paraId="69EFA376" w14:textId="77777777">
        <w:trPr>
          <w:trHeight w:val="454"/>
          <w:jc w:val="center"/>
        </w:trPr>
        <w:tc>
          <w:tcPr>
            <w:tcW w:w="417" w:type="pct"/>
            <w:tcBorders>
              <w:tl2br w:val="nil"/>
              <w:tr2bl w:val="nil"/>
            </w:tcBorders>
            <w:vAlign w:val="center"/>
          </w:tcPr>
          <w:p w14:paraId="2831EA31" w14:textId="77777777" w:rsidR="009D12AF" w:rsidRDefault="00000000">
            <w:pPr>
              <w:ind w:firstLineChars="0" w:firstLine="0"/>
              <w:jc w:val="center"/>
              <w:rPr>
                <w:rFonts w:ascii="Times New Roman" w:eastAsia="宋体" w:hAnsi="Calibri" w:cs="Times New Roman"/>
                <w:sz w:val="21"/>
                <w:szCs w:val="21"/>
              </w:rPr>
            </w:pPr>
            <w:r>
              <w:rPr>
                <w:rFonts w:ascii="Times New Roman" w:eastAsia="宋体"/>
                <w:sz w:val="21"/>
                <w:szCs w:val="21"/>
              </w:rPr>
              <w:t>▲</w:t>
            </w:r>
            <w:r>
              <w:rPr>
                <w:rFonts w:ascii="Times New Roman" w:hint="eastAsia"/>
                <w:sz w:val="21"/>
                <w:szCs w:val="21"/>
              </w:rPr>
              <w:t>2</w:t>
            </w:r>
          </w:p>
        </w:tc>
        <w:tc>
          <w:tcPr>
            <w:tcW w:w="2237" w:type="pct"/>
            <w:tcBorders>
              <w:tl2br w:val="nil"/>
              <w:tr2bl w:val="nil"/>
            </w:tcBorders>
            <w:vAlign w:val="center"/>
          </w:tcPr>
          <w:p w14:paraId="1DF233A4" w14:textId="77777777" w:rsidR="009D12AF" w:rsidRDefault="00000000">
            <w:pPr>
              <w:autoSpaceDE w:val="0"/>
              <w:spacing w:line="400" w:lineRule="exact"/>
              <w:ind w:firstLineChars="0" w:firstLine="0"/>
              <w:jc w:val="center"/>
              <w:rPr>
                <w:rFonts w:ascii="Times New Roman" w:eastAsia="宋体" w:hAnsi="Times New Roman" w:cs="Times New Roman"/>
                <w:bCs/>
                <w:kern w:val="0"/>
                <w:sz w:val="21"/>
                <w:szCs w:val="21"/>
              </w:rPr>
            </w:pPr>
            <w:r>
              <w:rPr>
                <w:rFonts w:ascii="Times New Roman" w:hAnsi="Times New Roman" w:cs="Times New Roman"/>
                <w:bCs/>
                <w:kern w:val="0"/>
                <w:sz w:val="21"/>
                <w:szCs w:val="21"/>
              </w:rPr>
              <w:t>万丈水库西侧</w:t>
            </w:r>
            <w:r>
              <w:rPr>
                <w:rFonts w:ascii="Times New Roman" w:hAnsi="Times New Roman" w:cs="Times New Roman"/>
                <w:bCs/>
                <w:kern w:val="0"/>
                <w:sz w:val="21"/>
                <w:szCs w:val="21"/>
              </w:rPr>
              <w:t>2#</w:t>
            </w:r>
          </w:p>
        </w:tc>
        <w:tc>
          <w:tcPr>
            <w:tcW w:w="417" w:type="pct"/>
            <w:tcBorders>
              <w:tl2br w:val="nil"/>
              <w:tr2bl w:val="nil"/>
            </w:tcBorders>
            <w:vAlign w:val="center"/>
          </w:tcPr>
          <w:p w14:paraId="6FB3EC3F" w14:textId="77777777" w:rsidR="009D12AF" w:rsidRDefault="00000000">
            <w:pPr>
              <w:pStyle w:val="Default"/>
              <w:rPr>
                <w:rFonts w:ascii="Times New Roman" w:hAnsi="Times New Roman" w:cs="Times New Roman"/>
                <w:sz w:val="21"/>
                <w:szCs w:val="21"/>
              </w:rPr>
            </w:pPr>
            <w:r>
              <w:rPr>
                <w:rFonts w:ascii="Times New Roman" w:cs="Times New Roman" w:hint="eastAsia"/>
                <w:color w:val="auto"/>
                <w:sz w:val="21"/>
                <w:szCs w:val="21"/>
              </w:rPr>
              <w:t>46</w:t>
            </w:r>
          </w:p>
        </w:tc>
        <w:tc>
          <w:tcPr>
            <w:tcW w:w="417" w:type="pct"/>
            <w:tcBorders>
              <w:tl2br w:val="nil"/>
              <w:tr2bl w:val="nil"/>
            </w:tcBorders>
            <w:vAlign w:val="center"/>
          </w:tcPr>
          <w:p w14:paraId="647B2CA3" w14:textId="77777777" w:rsidR="009D12AF" w:rsidRDefault="00000000">
            <w:pPr>
              <w:pStyle w:val="Default"/>
              <w:rPr>
                <w:rFonts w:ascii="Times New Roman" w:eastAsia="仿宋_GB2312" w:hAnsi="Times New Roman" w:cs="Times New Roman"/>
                <w:sz w:val="21"/>
                <w:szCs w:val="21"/>
              </w:rPr>
            </w:pPr>
            <w:r>
              <w:rPr>
                <w:rFonts w:ascii="Times New Roman" w:cs="Times New Roman" w:hint="eastAsia"/>
                <w:sz w:val="21"/>
                <w:szCs w:val="21"/>
              </w:rPr>
              <w:t>45</w:t>
            </w:r>
          </w:p>
        </w:tc>
        <w:tc>
          <w:tcPr>
            <w:tcW w:w="417" w:type="pct"/>
            <w:tcBorders>
              <w:tl2br w:val="nil"/>
              <w:tr2bl w:val="nil"/>
            </w:tcBorders>
            <w:vAlign w:val="center"/>
          </w:tcPr>
          <w:p w14:paraId="646C5DE0" w14:textId="77777777" w:rsidR="009D12AF" w:rsidRDefault="00000000">
            <w:pPr>
              <w:pStyle w:val="Default"/>
              <w:rPr>
                <w:rFonts w:ascii="Times New Roman" w:eastAsia="仿宋_GB2312" w:hAnsi="Times New Roman" w:cs="Times New Roman"/>
                <w:sz w:val="21"/>
                <w:szCs w:val="21"/>
              </w:rPr>
            </w:pPr>
            <w:r>
              <w:rPr>
                <w:rFonts w:ascii="Times New Roman" w:cs="Times New Roman" w:hint="eastAsia"/>
                <w:sz w:val="21"/>
                <w:szCs w:val="21"/>
              </w:rPr>
              <w:t>45</w:t>
            </w:r>
          </w:p>
        </w:tc>
        <w:tc>
          <w:tcPr>
            <w:tcW w:w="417" w:type="pct"/>
            <w:tcBorders>
              <w:tl2br w:val="nil"/>
              <w:tr2bl w:val="nil"/>
            </w:tcBorders>
            <w:vAlign w:val="center"/>
          </w:tcPr>
          <w:p w14:paraId="2C5A5376" w14:textId="77777777" w:rsidR="009D12AF" w:rsidRDefault="00000000">
            <w:pPr>
              <w:ind w:firstLineChars="0" w:firstLine="0"/>
              <w:jc w:val="center"/>
              <w:rPr>
                <w:rFonts w:ascii="Times New Roman" w:eastAsia="宋体"/>
                <w:sz w:val="21"/>
                <w:szCs w:val="21"/>
              </w:rPr>
            </w:pPr>
            <w:r>
              <w:rPr>
                <w:rFonts w:ascii="Times New Roman" w:hint="eastAsia"/>
                <w:sz w:val="21"/>
                <w:szCs w:val="21"/>
              </w:rPr>
              <w:t>44</w:t>
            </w:r>
          </w:p>
        </w:tc>
        <w:tc>
          <w:tcPr>
            <w:tcW w:w="675" w:type="pct"/>
            <w:vMerge/>
            <w:tcBorders>
              <w:tl2br w:val="nil"/>
              <w:tr2bl w:val="nil"/>
            </w:tcBorders>
            <w:vAlign w:val="center"/>
          </w:tcPr>
          <w:p w14:paraId="20409DBA" w14:textId="77777777" w:rsidR="009D12AF" w:rsidRDefault="009D12AF">
            <w:pPr>
              <w:ind w:firstLineChars="0" w:firstLine="0"/>
              <w:jc w:val="center"/>
              <w:rPr>
                <w:rFonts w:ascii="Times New Roman" w:eastAsia="宋体" w:hAnsi="Times New Roman" w:cs="Times New Roman"/>
                <w:sz w:val="21"/>
                <w:szCs w:val="21"/>
              </w:rPr>
            </w:pPr>
          </w:p>
        </w:tc>
      </w:tr>
      <w:tr w:rsidR="009D12AF" w14:paraId="597EFCF5" w14:textId="77777777">
        <w:trPr>
          <w:trHeight w:val="454"/>
          <w:jc w:val="center"/>
        </w:trPr>
        <w:tc>
          <w:tcPr>
            <w:tcW w:w="417" w:type="pct"/>
            <w:tcBorders>
              <w:tl2br w:val="nil"/>
              <w:tr2bl w:val="nil"/>
            </w:tcBorders>
            <w:vAlign w:val="center"/>
          </w:tcPr>
          <w:p w14:paraId="295EDD3B" w14:textId="77777777" w:rsidR="009D12AF" w:rsidRDefault="00000000">
            <w:pPr>
              <w:ind w:firstLineChars="0" w:firstLine="0"/>
              <w:jc w:val="center"/>
              <w:rPr>
                <w:rFonts w:ascii="Times New Roman" w:eastAsia="宋体" w:hAnsi="Calibri" w:cs="Times New Roman"/>
                <w:sz w:val="21"/>
                <w:szCs w:val="21"/>
              </w:rPr>
            </w:pPr>
            <w:r>
              <w:rPr>
                <w:rFonts w:ascii="Times New Roman" w:eastAsia="宋体"/>
                <w:sz w:val="21"/>
                <w:szCs w:val="21"/>
              </w:rPr>
              <w:t>▲</w:t>
            </w:r>
            <w:r>
              <w:rPr>
                <w:rFonts w:ascii="Times New Roman" w:hint="eastAsia"/>
                <w:sz w:val="21"/>
                <w:szCs w:val="21"/>
              </w:rPr>
              <w:t>3</w:t>
            </w:r>
          </w:p>
        </w:tc>
        <w:tc>
          <w:tcPr>
            <w:tcW w:w="2237" w:type="pct"/>
            <w:tcBorders>
              <w:tl2br w:val="nil"/>
              <w:tr2bl w:val="nil"/>
            </w:tcBorders>
            <w:vAlign w:val="center"/>
          </w:tcPr>
          <w:p w14:paraId="3759E179" w14:textId="77777777" w:rsidR="009D12AF" w:rsidRDefault="00000000">
            <w:pPr>
              <w:autoSpaceDE w:val="0"/>
              <w:spacing w:line="400" w:lineRule="exact"/>
              <w:ind w:firstLineChars="0" w:firstLine="0"/>
              <w:jc w:val="center"/>
              <w:rPr>
                <w:rFonts w:ascii="Times New Roman" w:eastAsia="宋体" w:hAnsi="Times New Roman" w:cs="Times New Roman"/>
                <w:bCs/>
                <w:kern w:val="0"/>
                <w:sz w:val="21"/>
                <w:szCs w:val="21"/>
              </w:rPr>
            </w:pPr>
            <w:r>
              <w:rPr>
                <w:rFonts w:ascii="Times New Roman" w:hAnsi="Times New Roman" w:cs="Times New Roman"/>
                <w:bCs/>
                <w:kern w:val="0"/>
                <w:sz w:val="21"/>
                <w:szCs w:val="21"/>
              </w:rPr>
              <w:t>万丈水库南侧</w:t>
            </w:r>
            <w:r>
              <w:rPr>
                <w:rFonts w:ascii="Times New Roman" w:hAnsi="Times New Roman" w:cs="Times New Roman"/>
                <w:bCs/>
                <w:kern w:val="0"/>
                <w:sz w:val="21"/>
                <w:szCs w:val="21"/>
              </w:rPr>
              <w:t>3#</w:t>
            </w:r>
          </w:p>
        </w:tc>
        <w:tc>
          <w:tcPr>
            <w:tcW w:w="417" w:type="pct"/>
            <w:tcBorders>
              <w:tl2br w:val="nil"/>
              <w:tr2bl w:val="nil"/>
            </w:tcBorders>
            <w:vAlign w:val="center"/>
          </w:tcPr>
          <w:p w14:paraId="0E2BABE9" w14:textId="77777777" w:rsidR="009D12AF" w:rsidRDefault="00000000">
            <w:pPr>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45</w:t>
            </w:r>
          </w:p>
        </w:tc>
        <w:tc>
          <w:tcPr>
            <w:tcW w:w="417" w:type="pct"/>
            <w:tcBorders>
              <w:tl2br w:val="nil"/>
              <w:tr2bl w:val="nil"/>
            </w:tcBorders>
            <w:vAlign w:val="center"/>
          </w:tcPr>
          <w:p w14:paraId="3C6ED207"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hAnsi="Times New Roman" w:cs="Times New Roman" w:hint="eastAsia"/>
                <w:color w:val="000000"/>
                <w:kern w:val="0"/>
                <w:sz w:val="21"/>
                <w:szCs w:val="21"/>
              </w:rPr>
              <w:t>43</w:t>
            </w:r>
          </w:p>
        </w:tc>
        <w:tc>
          <w:tcPr>
            <w:tcW w:w="417" w:type="pct"/>
            <w:tcBorders>
              <w:tl2br w:val="nil"/>
              <w:tr2bl w:val="nil"/>
            </w:tcBorders>
            <w:vAlign w:val="center"/>
          </w:tcPr>
          <w:p w14:paraId="027C1BDB"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hAnsi="Times New Roman" w:cs="Times New Roman" w:hint="eastAsia"/>
                <w:color w:val="000000"/>
                <w:kern w:val="0"/>
                <w:sz w:val="21"/>
                <w:szCs w:val="21"/>
              </w:rPr>
              <w:t>46</w:t>
            </w:r>
          </w:p>
        </w:tc>
        <w:tc>
          <w:tcPr>
            <w:tcW w:w="417" w:type="pct"/>
            <w:tcBorders>
              <w:tl2br w:val="nil"/>
              <w:tr2bl w:val="nil"/>
            </w:tcBorders>
            <w:vAlign w:val="center"/>
          </w:tcPr>
          <w:p w14:paraId="6E4554B5" w14:textId="77777777" w:rsidR="009D12AF" w:rsidRDefault="00000000">
            <w:pPr>
              <w:pStyle w:val="Default"/>
              <w:rPr>
                <w:rFonts w:ascii="Times New Roman"/>
                <w:color w:val="auto"/>
                <w:sz w:val="21"/>
                <w:szCs w:val="21"/>
              </w:rPr>
            </w:pPr>
            <w:r>
              <w:rPr>
                <w:rFonts w:ascii="Times New Roman" w:hint="eastAsia"/>
                <w:color w:val="auto"/>
                <w:sz w:val="21"/>
                <w:szCs w:val="21"/>
              </w:rPr>
              <w:t>42</w:t>
            </w:r>
          </w:p>
        </w:tc>
        <w:tc>
          <w:tcPr>
            <w:tcW w:w="675" w:type="pct"/>
            <w:vMerge/>
            <w:tcBorders>
              <w:tl2br w:val="nil"/>
              <w:tr2bl w:val="nil"/>
            </w:tcBorders>
            <w:vAlign w:val="center"/>
          </w:tcPr>
          <w:p w14:paraId="74CF8DC7" w14:textId="77777777" w:rsidR="009D12AF" w:rsidRDefault="009D12AF">
            <w:pPr>
              <w:ind w:firstLineChars="0" w:firstLine="0"/>
              <w:jc w:val="center"/>
              <w:rPr>
                <w:rFonts w:ascii="Times New Roman" w:eastAsia="宋体" w:hAnsi="Times New Roman" w:cs="Times New Roman"/>
                <w:sz w:val="21"/>
                <w:szCs w:val="21"/>
              </w:rPr>
            </w:pPr>
          </w:p>
        </w:tc>
      </w:tr>
      <w:tr w:rsidR="009D12AF" w14:paraId="1D74AF71" w14:textId="77777777">
        <w:trPr>
          <w:trHeight w:val="454"/>
          <w:jc w:val="center"/>
        </w:trPr>
        <w:tc>
          <w:tcPr>
            <w:tcW w:w="417" w:type="pct"/>
            <w:tcBorders>
              <w:tl2br w:val="nil"/>
              <w:tr2bl w:val="nil"/>
            </w:tcBorders>
            <w:vAlign w:val="center"/>
          </w:tcPr>
          <w:p w14:paraId="77BB31F8" w14:textId="77777777" w:rsidR="009D12AF" w:rsidRDefault="00000000">
            <w:pPr>
              <w:ind w:firstLineChars="0" w:firstLine="0"/>
              <w:jc w:val="center"/>
              <w:rPr>
                <w:rFonts w:ascii="Times New Roman" w:eastAsia="宋体" w:hAnsi="Calibri" w:cs="Times New Roman"/>
                <w:sz w:val="21"/>
                <w:szCs w:val="21"/>
              </w:rPr>
            </w:pPr>
            <w:r>
              <w:rPr>
                <w:rFonts w:ascii="Times New Roman" w:eastAsia="宋体"/>
                <w:sz w:val="21"/>
                <w:szCs w:val="21"/>
              </w:rPr>
              <w:t>▲</w:t>
            </w:r>
            <w:r>
              <w:rPr>
                <w:rFonts w:ascii="Times New Roman" w:hint="eastAsia"/>
                <w:sz w:val="21"/>
                <w:szCs w:val="21"/>
              </w:rPr>
              <w:t>4</w:t>
            </w:r>
          </w:p>
        </w:tc>
        <w:tc>
          <w:tcPr>
            <w:tcW w:w="2237" w:type="pct"/>
            <w:tcBorders>
              <w:tl2br w:val="nil"/>
              <w:tr2bl w:val="nil"/>
            </w:tcBorders>
            <w:vAlign w:val="center"/>
          </w:tcPr>
          <w:p w14:paraId="6378F7AB" w14:textId="77777777" w:rsidR="009D12AF" w:rsidRDefault="00000000">
            <w:pPr>
              <w:autoSpaceDE w:val="0"/>
              <w:spacing w:line="400" w:lineRule="exact"/>
              <w:ind w:firstLineChars="0" w:firstLine="0"/>
              <w:jc w:val="center"/>
              <w:rPr>
                <w:rFonts w:ascii="Times New Roman" w:eastAsia="宋体" w:hAnsi="Times New Roman" w:cs="Times New Roman"/>
                <w:bCs/>
                <w:kern w:val="0"/>
                <w:sz w:val="21"/>
                <w:szCs w:val="21"/>
              </w:rPr>
            </w:pPr>
            <w:r>
              <w:rPr>
                <w:rFonts w:ascii="Times New Roman" w:hAnsi="Times New Roman" w:cs="Times New Roman"/>
                <w:bCs/>
                <w:kern w:val="0"/>
                <w:sz w:val="21"/>
                <w:szCs w:val="21"/>
              </w:rPr>
              <w:t>万丈水库东侧</w:t>
            </w:r>
            <w:r>
              <w:rPr>
                <w:rFonts w:ascii="Times New Roman" w:hAnsi="Times New Roman" w:cs="Times New Roman"/>
                <w:bCs/>
                <w:kern w:val="0"/>
                <w:sz w:val="21"/>
                <w:szCs w:val="21"/>
              </w:rPr>
              <w:t>4#</w:t>
            </w:r>
          </w:p>
        </w:tc>
        <w:tc>
          <w:tcPr>
            <w:tcW w:w="417" w:type="pct"/>
            <w:tcBorders>
              <w:tl2br w:val="nil"/>
              <w:tr2bl w:val="nil"/>
            </w:tcBorders>
            <w:vAlign w:val="center"/>
          </w:tcPr>
          <w:p w14:paraId="32C24FA3" w14:textId="77777777" w:rsidR="009D12AF" w:rsidRDefault="00000000">
            <w:pPr>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50</w:t>
            </w:r>
          </w:p>
        </w:tc>
        <w:tc>
          <w:tcPr>
            <w:tcW w:w="417" w:type="pct"/>
            <w:tcBorders>
              <w:tl2br w:val="nil"/>
              <w:tr2bl w:val="nil"/>
            </w:tcBorders>
            <w:vAlign w:val="center"/>
          </w:tcPr>
          <w:p w14:paraId="6375E4FF"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hAnsi="Times New Roman" w:cs="Times New Roman" w:hint="eastAsia"/>
                <w:color w:val="000000"/>
                <w:kern w:val="0"/>
                <w:sz w:val="21"/>
                <w:szCs w:val="21"/>
              </w:rPr>
              <w:t>45</w:t>
            </w:r>
          </w:p>
        </w:tc>
        <w:tc>
          <w:tcPr>
            <w:tcW w:w="417" w:type="pct"/>
            <w:tcBorders>
              <w:tl2br w:val="nil"/>
              <w:tr2bl w:val="nil"/>
            </w:tcBorders>
            <w:vAlign w:val="center"/>
          </w:tcPr>
          <w:p w14:paraId="3CDF0119"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hAnsi="Times New Roman" w:cs="Times New Roman" w:hint="eastAsia"/>
                <w:color w:val="000000"/>
                <w:kern w:val="0"/>
                <w:sz w:val="21"/>
                <w:szCs w:val="21"/>
              </w:rPr>
              <w:t>49</w:t>
            </w:r>
          </w:p>
        </w:tc>
        <w:tc>
          <w:tcPr>
            <w:tcW w:w="417" w:type="pct"/>
            <w:tcBorders>
              <w:tl2br w:val="nil"/>
              <w:tr2bl w:val="nil"/>
            </w:tcBorders>
            <w:vAlign w:val="center"/>
          </w:tcPr>
          <w:p w14:paraId="5239FC97" w14:textId="77777777" w:rsidR="009D12AF" w:rsidRDefault="00000000">
            <w:pPr>
              <w:pStyle w:val="Default"/>
              <w:rPr>
                <w:rFonts w:ascii="Times New Roman"/>
                <w:color w:val="auto"/>
                <w:sz w:val="21"/>
                <w:szCs w:val="21"/>
              </w:rPr>
            </w:pPr>
            <w:r>
              <w:rPr>
                <w:rFonts w:ascii="Times New Roman" w:hint="eastAsia"/>
                <w:color w:val="auto"/>
                <w:sz w:val="21"/>
                <w:szCs w:val="21"/>
              </w:rPr>
              <w:t>43</w:t>
            </w:r>
          </w:p>
        </w:tc>
        <w:tc>
          <w:tcPr>
            <w:tcW w:w="675" w:type="pct"/>
            <w:vMerge/>
            <w:tcBorders>
              <w:tl2br w:val="nil"/>
              <w:tr2bl w:val="nil"/>
            </w:tcBorders>
            <w:vAlign w:val="center"/>
          </w:tcPr>
          <w:p w14:paraId="159C04E6" w14:textId="77777777" w:rsidR="009D12AF" w:rsidRDefault="009D12AF">
            <w:pPr>
              <w:ind w:firstLineChars="0" w:firstLine="0"/>
              <w:jc w:val="center"/>
              <w:rPr>
                <w:rFonts w:ascii="Times New Roman" w:eastAsia="宋体" w:hAnsi="Times New Roman" w:cs="Times New Roman"/>
                <w:sz w:val="21"/>
                <w:szCs w:val="21"/>
              </w:rPr>
            </w:pPr>
          </w:p>
        </w:tc>
      </w:tr>
      <w:tr w:rsidR="009D12AF" w14:paraId="73D21E2D" w14:textId="77777777">
        <w:trPr>
          <w:trHeight w:val="454"/>
          <w:jc w:val="center"/>
        </w:trPr>
        <w:tc>
          <w:tcPr>
            <w:tcW w:w="417" w:type="pct"/>
            <w:tcBorders>
              <w:tl2br w:val="nil"/>
              <w:tr2bl w:val="nil"/>
            </w:tcBorders>
            <w:vAlign w:val="center"/>
          </w:tcPr>
          <w:p w14:paraId="207B4B42" w14:textId="77777777" w:rsidR="009D12AF" w:rsidRDefault="00000000">
            <w:pPr>
              <w:pStyle w:val="Default"/>
              <w:rPr>
                <w:rFonts w:ascii="Times New Roman" w:hAnsi="Times New Roman" w:cs="Times New Roman"/>
                <w:color w:val="auto"/>
                <w:sz w:val="21"/>
                <w:szCs w:val="21"/>
              </w:rPr>
            </w:pPr>
            <w:r>
              <w:rPr>
                <w:rFonts w:ascii="Times New Roman"/>
                <w:color w:val="auto"/>
                <w:sz w:val="21"/>
                <w:szCs w:val="21"/>
              </w:rPr>
              <w:t>▲</w:t>
            </w:r>
            <w:r>
              <w:rPr>
                <w:rFonts w:ascii="Times New Roman"/>
                <w:color w:val="auto"/>
                <w:sz w:val="21"/>
                <w:szCs w:val="21"/>
              </w:rPr>
              <w:t>1</w:t>
            </w:r>
          </w:p>
        </w:tc>
        <w:tc>
          <w:tcPr>
            <w:tcW w:w="2237" w:type="pct"/>
            <w:tcBorders>
              <w:tl2br w:val="nil"/>
              <w:tr2bl w:val="nil"/>
            </w:tcBorders>
            <w:vAlign w:val="center"/>
          </w:tcPr>
          <w:p w14:paraId="3502E836" w14:textId="77777777" w:rsidR="009D12AF" w:rsidRDefault="00000000">
            <w:pPr>
              <w:autoSpaceDE w:val="0"/>
              <w:spacing w:line="400" w:lineRule="exact"/>
              <w:ind w:firstLineChars="0" w:firstLine="0"/>
              <w:jc w:val="center"/>
              <w:rPr>
                <w:rFonts w:ascii="Times New Roman" w:eastAsia="宋体" w:hAnsi="Times New Roman" w:cs="Times New Roman"/>
                <w:bCs/>
                <w:kern w:val="0"/>
                <w:sz w:val="21"/>
                <w:szCs w:val="21"/>
              </w:rPr>
            </w:pPr>
            <w:r>
              <w:rPr>
                <w:rFonts w:ascii="Times New Roman" w:hAnsi="Times New Roman" w:cs="Times New Roman"/>
                <w:bCs/>
                <w:kern w:val="0"/>
                <w:sz w:val="21"/>
                <w:szCs w:val="21"/>
              </w:rPr>
              <w:t>向阳水电站前池北侧</w:t>
            </w:r>
            <w:r>
              <w:rPr>
                <w:rFonts w:ascii="Times New Roman" w:hAnsi="Times New Roman" w:cs="Times New Roman"/>
                <w:bCs/>
                <w:kern w:val="0"/>
                <w:sz w:val="21"/>
                <w:szCs w:val="21"/>
              </w:rPr>
              <w:t>1#</w:t>
            </w:r>
          </w:p>
        </w:tc>
        <w:tc>
          <w:tcPr>
            <w:tcW w:w="417" w:type="pct"/>
            <w:tcBorders>
              <w:tl2br w:val="nil"/>
              <w:tr2bl w:val="nil"/>
            </w:tcBorders>
            <w:vAlign w:val="center"/>
          </w:tcPr>
          <w:p w14:paraId="4B933329" w14:textId="77777777" w:rsidR="009D12AF" w:rsidRDefault="00000000">
            <w:pPr>
              <w:pStyle w:val="Default"/>
              <w:rPr>
                <w:rFonts w:ascii="Times New Roman" w:hAnsi="Times New Roman" w:cs="Times New Roman"/>
                <w:sz w:val="21"/>
                <w:szCs w:val="21"/>
              </w:rPr>
            </w:pPr>
            <w:r>
              <w:rPr>
                <w:rFonts w:ascii="Times New Roman" w:cs="Times New Roman" w:hint="eastAsia"/>
                <w:sz w:val="21"/>
                <w:szCs w:val="21"/>
              </w:rPr>
              <w:t>42</w:t>
            </w:r>
          </w:p>
        </w:tc>
        <w:tc>
          <w:tcPr>
            <w:tcW w:w="417" w:type="pct"/>
            <w:tcBorders>
              <w:tl2br w:val="nil"/>
              <w:tr2bl w:val="nil"/>
            </w:tcBorders>
            <w:vAlign w:val="center"/>
          </w:tcPr>
          <w:p w14:paraId="691E9A09" w14:textId="77777777" w:rsidR="009D12AF" w:rsidRDefault="00000000">
            <w:pPr>
              <w:pStyle w:val="Default"/>
              <w:rPr>
                <w:rFonts w:ascii="Times New Roman" w:eastAsia="仿宋_GB2312" w:hAnsi="Times New Roman" w:cs="Times New Roman"/>
                <w:sz w:val="21"/>
                <w:szCs w:val="21"/>
              </w:rPr>
            </w:pPr>
            <w:r>
              <w:rPr>
                <w:rFonts w:ascii="Times New Roman" w:cs="Times New Roman" w:hint="eastAsia"/>
                <w:sz w:val="21"/>
                <w:szCs w:val="21"/>
              </w:rPr>
              <w:t>43</w:t>
            </w:r>
          </w:p>
        </w:tc>
        <w:tc>
          <w:tcPr>
            <w:tcW w:w="417" w:type="pct"/>
            <w:tcBorders>
              <w:tl2br w:val="nil"/>
              <w:tr2bl w:val="nil"/>
            </w:tcBorders>
            <w:vAlign w:val="center"/>
          </w:tcPr>
          <w:p w14:paraId="56084BEC" w14:textId="77777777" w:rsidR="009D12AF" w:rsidRDefault="00000000">
            <w:pPr>
              <w:pStyle w:val="Default"/>
              <w:rPr>
                <w:rFonts w:ascii="Times New Roman" w:eastAsia="仿宋_GB2312" w:hAnsi="Times New Roman" w:cs="Times New Roman"/>
                <w:sz w:val="21"/>
                <w:szCs w:val="21"/>
              </w:rPr>
            </w:pPr>
            <w:r>
              <w:rPr>
                <w:rFonts w:ascii="Times New Roman" w:cs="Times New Roman" w:hint="eastAsia"/>
                <w:sz w:val="21"/>
                <w:szCs w:val="21"/>
              </w:rPr>
              <w:t>44</w:t>
            </w:r>
          </w:p>
        </w:tc>
        <w:tc>
          <w:tcPr>
            <w:tcW w:w="417" w:type="pct"/>
            <w:tcBorders>
              <w:tl2br w:val="nil"/>
              <w:tr2bl w:val="nil"/>
            </w:tcBorders>
            <w:vAlign w:val="center"/>
          </w:tcPr>
          <w:p w14:paraId="175571DB" w14:textId="77777777" w:rsidR="009D12AF" w:rsidRDefault="00000000">
            <w:pPr>
              <w:ind w:firstLineChars="0" w:firstLine="0"/>
              <w:jc w:val="center"/>
              <w:rPr>
                <w:rFonts w:ascii="Times New Roman" w:eastAsia="宋体"/>
                <w:sz w:val="21"/>
                <w:szCs w:val="21"/>
              </w:rPr>
            </w:pPr>
            <w:r>
              <w:rPr>
                <w:rFonts w:ascii="Times New Roman" w:hint="eastAsia"/>
                <w:sz w:val="21"/>
                <w:szCs w:val="21"/>
              </w:rPr>
              <w:t>42</w:t>
            </w:r>
          </w:p>
        </w:tc>
        <w:tc>
          <w:tcPr>
            <w:tcW w:w="675" w:type="pct"/>
            <w:vMerge w:val="restart"/>
            <w:tcBorders>
              <w:tl2br w:val="nil"/>
              <w:tr2bl w:val="nil"/>
            </w:tcBorders>
            <w:vAlign w:val="center"/>
          </w:tcPr>
          <w:p w14:paraId="43FD9F39"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dB</w:t>
            </w:r>
            <w:r>
              <w:rPr>
                <w:rFonts w:ascii="Times New Roman" w:eastAsia="宋体" w:hAnsi="Times New Roman" w:cs="Times New Roman"/>
                <w:sz w:val="21"/>
                <w:szCs w:val="21"/>
              </w:rPr>
              <w:t>（</w:t>
            </w:r>
            <w:r>
              <w:rPr>
                <w:rFonts w:ascii="Times New Roman" w:eastAsia="宋体" w:hAnsi="Times New Roman" w:cs="Times New Roman"/>
                <w:sz w:val="21"/>
                <w:szCs w:val="21"/>
              </w:rPr>
              <w:t>A</w:t>
            </w:r>
            <w:r>
              <w:rPr>
                <w:rFonts w:ascii="Times New Roman" w:eastAsia="宋体" w:hAnsi="Times New Roman" w:cs="Times New Roman"/>
                <w:sz w:val="21"/>
                <w:szCs w:val="21"/>
              </w:rPr>
              <w:t>）</w:t>
            </w:r>
          </w:p>
        </w:tc>
      </w:tr>
      <w:tr w:rsidR="009D12AF" w14:paraId="5FF865E6" w14:textId="77777777">
        <w:trPr>
          <w:trHeight w:val="454"/>
          <w:jc w:val="center"/>
        </w:trPr>
        <w:tc>
          <w:tcPr>
            <w:tcW w:w="417" w:type="pct"/>
            <w:tcBorders>
              <w:tl2br w:val="nil"/>
              <w:tr2bl w:val="nil"/>
            </w:tcBorders>
            <w:vAlign w:val="center"/>
          </w:tcPr>
          <w:p w14:paraId="5EDCA7B2" w14:textId="77777777" w:rsidR="009D12AF" w:rsidRDefault="00000000">
            <w:pPr>
              <w:ind w:firstLineChars="0" w:firstLine="0"/>
              <w:jc w:val="center"/>
              <w:rPr>
                <w:rFonts w:ascii="Times New Roman" w:eastAsia="宋体" w:hAnsi="Calibri" w:cs="Times New Roman"/>
                <w:sz w:val="21"/>
                <w:szCs w:val="21"/>
              </w:rPr>
            </w:pPr>
            <w:r>
              <w:rPr>
                <w:rFonts w:ascii="Times New Roman" w:eastAsia="宋体"/>
                <w:sz w:val="21"/>
                <w:szCs w:val="21"/>
              </w:rPr>
              <w:t>▲</w:t>
            </w:r>
            <w:r>
              <w:rPr>
                <w:rFonts w:ascii="Times New Roman" w:hint="eastAsia"/>
                <w:sz w:val="21"/>
                <w:szCs w:val="21"/>
              </w:rPr>
              <w:t>2</w:t>
            </w:r>
          </w:p>
        </w:tc>
        <w:tc>
          <w:tcPr>
            <w:tcW w:w="2237" w:type="pct"/>
            <w:tcBorders>
              <w:tl2br w:val="nil"/>
              <w:tr2bl w:val="nil"/>
            </w:tcBorders>
            <w:vAlign w:val="center"/>
          </w:tcPr>
          <w:p w14:paraId="521A4189" w14:textId="77777777" w:rsidR="009D12AF" w:rsidRDefault="00000000">
            <w:pPr>
              <w:autoSpaceDE w:val="0"/>
              <w:spacing w:line="400" w:lineRule="exact"/>
              <w:ind w:firstLineChars="0" w:firstLine="0"/>
              <w:jc w:val="center"/>
              <w:rPr>
                <w:rFonts w:ascii="Times New Roman" w:eastAsia="宋体" w:hAnsi="Times New Roman" w:cs="Times New Roman"/>
                <w:bCs/>
                <w:kern w:val="0"/>
                <w:sz w:val="21"/>
                <w:szCs w:val="21"/>
              </w:rPr>
            </w:pPr>
            <w:r>
              <w:rPr>
                <w:rFonts w:ascii="Times New Roman" w:hAnsi="Times New Roman" w:cs="Times New Roman"/>
                <w:bCs/>
                <w:kern w:val="0"/>
                <w:sz w:val="21"/>
                <w:szCs w:val="21"/>
              </w:rPr>
              <w:t>向阳水电站前池西侧</w:t>
            </w:r>
            <w:r>
              <w:rPr>
                <w:rFonts w:ascii="Times New Roman" w:hAnsi="Times New Roman" w:cs="Times New Roman"/>
                <w:bCs/>
                <w:kern w:val="0"/>
                <w:sz w:val="21"/>
                <w:szCs w:val="21"/>
              </w:rPr>
              <w:t>2#</w:t>
            </w:r>
          </w:p>
        </w:tc>
        <w:tc>
          <w:tcPr>
            <w:tcW w:w="417" w:type="pct"/>
            <w:tcBorders>
              <w:tl2br w:val="nil"/>
              <w:tr2bl w:val="nil"/>
            </w:tcBorders>
            <w:vAlign w:val="center"/>
          </w:tcPr>
          <w:p w14:paraId="545117DC" w14:textId="77777777" w:rsidR="009D12AF" w:rsidRDefault="00000000">
            <w:pPr>
              <w:pStyle w:val="Default"/>
              <w:rPr>
                <w:rFonts w:ascii="Times New Roman" w:hAnsi="Times New Roman" w:cs="Times New Roman"/>
                <w:sz w:val="21"/>
                <w:szCs w:val="21"/>
              </w:rPr>
            </w:pPr>
            <w:r>
              <w:rPr>
                <w:rFonts w:ascii="Times New Roman" w:cs="Times New Roman" w:hint="eastAsia"/>
                <w:sz w:val="21"/>
                <w:szCs w:val="21"/>
              </w:rPr>
              <w:t>42</w:t>
            </w:r>
          </w:p>
        </w:tc>
        <w:tc>
          <w:tcPr>
            <w:tcW w:w="417" w:type="pct"/>
            <w:tcBorders>
              <w:tl2br w:val="nil"/>
              <w:tr2bl w:val="nil"/>
            </w:tcBorders>
            <w:vAlign w:val="center"/>
          </w:tcPr>
          <w:p w14:paraId="460D2CC3" w14:textId="77777777" w:rsidR="009D12AF" w:rsidRDefault="00000000">
            <w:pPr>
              <w:pStyle w:val="Default"/>
              <w:rPr>
                <w:rFonts w:ascii="Times New Roman" w:eastAsia="仿宋_GB2312" w:hAnsi="Times New Roman" w:cs="Times New Roman"/>
                <w:sz w:val="21"/>
                <w:szCs w:val="21"/>
              </w:rPr>
            </w:pPr>
            <w:r>
              <w:rPr>
                <w:rFonts w:ascii="Times New Roman" w:cs="Times New Roman" w:hint="eastAsia"/>
                <w:sz w:val="21"/>
                <w:szCs w:val="21"/>
              </w:rPr>
              <w:t>41</w:t>
            </w:r>
          </w:p>
        </w:tc>
        <w:tc>
          <w:tcPr>
            <w:tcW w:w="417" w:type="pct"/>
            <w:tcBorders>
              <w:tl2br w:val="nil"/>
              <w:tr2bl w:val="nil"/>
            </w:tcBorders>
            <w:vAlign w:val="center"/>
          </w:tcPr>
          <w:p w14:paraId="027B0684" w14:textId="77777777" w:rsidR="009D12AF" w:rsidRDefault="00000000">
            <w:pPr>
              <w:pStyle w:val="Default"/>
              <w:rPr>
                <w:rFonts w:ascii="Times New Roman" w:eastAsia="仿宋_GB2312" w:hAnsi="Times New Roman" w:cs="Times New Roman"/>
                <w:sz w:val="21"/>
                <w:szCs w:val="21"/>
              </w:rPr>
            </w:pPr>
            <w:r>
              <w:rPr>
                <w:rFonts w:ascii="Times New Roman" w:cs="Times New Roman" w:hint="eastAsia"/>
                <w:sz w:val="21"/>
                <w:szCs w:val="21"/>
              </w:rPr>
              <w:t>43</w:t>
            </w:r>
          </w:p>
        </w:tc>
        <w:tc>
          <w:tcPr>
            <w:tcW w:w="417" w:type="pct"/>
            <w:tcBorders>
              <w:tl2br w:val="nil"/>
              <w:tr2bl w:val="nil"/>
            </w:tcBorders>
            <w:vAlign w:val="center"/>
          </w:tcPr>
          <w:p w14:paraId="44B5A8FB" w14:textId="77777777" w:rsidR="009D12AF" w:rsidRDefault="00000000">
            <w:pPr>
              <w:ind w:firstLineChars="0" w:firstLine="0"/>
              <w:jc w:val="center"/>
              <w:rPr>
                <w:rFonts w:ascii="Times New Roman" w:eastAsia="宋体"/>
                <w:sz w:val="21"/>
                <w:szCs w:val="21"/>
              </w:rPr>
            </w:pPr>
            <w:r>
              <w:rPr>
                <w:rFonts w:ascii="Times New Roman" w:hint="eastAsia"/>
                <w:sz w:val="21"/>
                <w:szCs w:val="21"/>
              </w:rPr>
              <w:t>43</w:t>
            </w:r>
          </w:p>
        </w:tc>
        <w:tc>
          <w:tcPr>
            <w:tcW w:w="675" w:type="pct"/>
            <w:vMerge/>
            <w:tcBorders>
              <w:tl2br w:val="nil"/>
              <w:tr2bl w:val="nil"/>
            </w:tcBorders>
            <w:vAlign w:val="center"/>
          </w:tcPr>
          <w:p w14:paraId="0820736A" w14:textId="77777777" w:rsidR="009D12AF" w:rsidRDefault="009D12AF">
            <w:pPr>
              <w:ind w:firstLineChars="0" w:firstLine="0"/>
              <w:jc w:val="center"/>
              <w:rPr>
                <w:rFonts w:ascii="Times New Roman" w:eastAsia="宋体"/>
                <w:sz w:val="21"/>
                <w:szCs w:val="21"/>
              </w:rPr>
            </w:pPr>
          </w:p>
        </w:tc>
      </w:tr>
      <w:tr w:rsidR="009D12AF" w14:paraId="027CB0DB" w14:textId="77777777">
        <w:trPr>
          <w:trHeight w:val="454"/>
          <w:jc w:val="center"/>
        </w:trPr>
        <w:tc>
          <w:tcPr>
            <w:tcW w:w="417" w:type="pct"/>
            <w:tcBorders>
              <w:tl2br w:val="nil"/>
              <w:tr2bl w:val="nil"/>
            </w:tcBorders>
            <w:vAlign w:val="center"/>
          </w:tcPr>
          <w:p w14:paraId="576A11D4" w14:textId="77777777" w:rsidR="009D12AF" w:rsidRDefault="00000000">
            <w:pPr>
              <w:ind w:firstLineChars="0" w:firstLine="0"/>
              <w:jc w:val="center"/>
              <w:rPr>
                <w:rFonts w:ascii="Times New Roman" w:eastAsia="宋体" w:hAnsi="Calibri" w:cs="Times New Roman"/>
                <w:sz w:val="21"/>
                <w:szCs w:val="21"/>
              </w:rPr>
            </w:pPr>
            <w:r>
              <w:rPr>
                <w:rFonts w:ascii="Times New Roman" w:eastAsia="宋体"/>
                <w:sz w:val="21"/>
                <w:szCs w:val="21"/>
              </w:rPr>
              <w:t>▲</w:t>
            </w:r>
            <w:r>
              <w:rPr>
                <w:rFonts w:ascii="Times New Roman" w:hint="eastAsia"/>
                <w:sz w:val="21"/>
                <w:szCs w:val="21"/>
              </w:rPr>
              <w:t>3</w:t>
            </w:r>
          </w:p>
        </w:tc>
        <w:tc>
          <w:tcPr>
            <w:tcW w:w="2237" w:type="pct"/>
            <w:tcBorders>
              <w:tl2br w:val="nil"/>
              <w:tr2bl w:val="nil"/>
            </w:tcBorders>
            <w:vAlign w:val="center"/>
          </w:tcPr>
          <w:p w14:paraId="1B3AD3BA" w14:textId="77777777" w:rsidR="009D12AF" w:rsidRDefault="00000000">
            <w:pPr>
              <w:autoSpaceDE w:val="0"/>
              <w:spacing w:line="400" w:lineRule="exact"/>
              <w:ind w:firstLineChars="0" w:firstLine="0"/>
              <w:jc w:val="center"/>
              <w:rPr>
                <w:rFonts w:ascii="Times New Roman" w:eastAsia="宋体" w:hAnsi="Times New Roman" w:cs="Times New Roman"/>
                <w:bCs/>
                <w:kern w:val="0"/>
                <w:sz w:val="21"/>
                <w:szCs w:val="21"/>
              </w:rPr>
            </w:pPr>
            <w:r>
              <w:rPr>
                <w:rFonts w:ascii="Times New Roman" w:hAnsi="Times New Roman" w:cs="Times New Roman"/>
                <w:bCs/>
                <w:kern w:val="0"/>
                <w:sz w:val="21"/>
                <w:szCs w:val="21"/>
              </w:rPr>
              <w:t>向阳水电站前池南侧</w:t>
            </w:r>
            <w:r>
              <w:rPr>
                <w:rFonts w:ascii="Times New Roman" w:hAnsi="Times New Roman" w:cs="Times New Roman"/>
                <w:bCs/>
                <w:kern w:val="0"/>
                <w:sz w:val="21"/>
                <w:szCs w:val="21"/>
              </w:rPr>
              <w:t>3#</w:t>
            </w:r>
          </w:p>
        </w:tc>
        <w:tc>
          <w:tcPr>
            <w:tcW w:w="417" w:type="pct"/>
            <w:tcBorders>
              <w:tl2br w:val="nil"/>
              <w:tr2bl w:val="nil"/>
            </w:tcBorders>
            <w:vAlign w:val="center"/>
          </w:tcPr>
          <w:p w14:paraId="3AD934A7" w14:textId="77777777" w:rsidR="009D12AF" w:rsidRDefault="00000000">
            <w:pPr>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44</w:t>
            </w:r>
          </w:p>
        </w:tc>
        <w:tc>
          <w:tcPr>
            <w:tcW w:w="417" w:type="pct"/>
            <w:tcBorders>
              <w:tl2br w:val="nil"/>
              <w:tr2bl w:val="nil"/>
            </w:tcBorders>
            <w:vAlign w:val="center"/>
          </w:tcPr>
          <w:p w14:paraId="39C5B958"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hAnsi="Times New Roman" w:cs="Times New Roman" w:hint="eastAsia"/>
                <w:color w:val="000000"/>
                <w:kern w:val="0"/>
                <w:sz w:val="21"/>
                <w:szCs w:val="21"/>
              </w:rPr>
              <w:t>42</w:t>
            </w:r>
          </w:p>
        </w:tc>
        <w:tc>
          <w:tcPr>
            <w:tcW w:w="417" w:type="pct"/>
            <w:tcBorders>
              <w:tl2br w:val="nil"/>
              <w:tr2bl w:val="nil"/>
            </w:tcBorders>
            <w:vAlign w:val="center"/>
          </w:tcPr>
          <w:p w14:paraId="7164342A"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hAnsi="Times New Roman" w:cs="Times New Roman" w:hint="eastAsia"/>
                <w:color w:val="000000"/>
                <w:kern w:val="0"/>
                <w:sz w:val="21"/>
                <w:szCs w:val="21"/>
              </w:rPr>
              <w:t>45</w:t>
            </w:r>
          </w:p>
        </w:tc>
        <w:tc>
          <w:tcPr>
            <w:tcW w:w="417" w:type="pct"/>
            <w:tcBorders>
              <w:tl2br w:val="nil"/>
              <w:tr2bl w:val="nil"/>
            </w:tcBorders>
            <w:vAlign w:val="center"/>
          </w:tcPr>
          <w:p w14:paraId="2C322F3D" w14:textId="77777777" w:rsidR="009D12AF" w:rsidRDefault="00000000">
            <w:pPr>
              <w:pStyle w:val="Default"/>
              <w:rPr>
                <w:rFonts w:ascii="Times New Roman"/>
                <w:color w:val="auto"/>
                <w:sz w:val="21"/>
                <w:szCs w:val="21"/>
              </w:rPr>
            </w:pPr>
            <w:r>
              <w:rPr>
                <w:rFonts w:ascii="Times New Roman" w:hint="eastAsia"/>
                <w:color w:val="auto"/>
                <w:sz w:val="21"/>
                <w:szCs w:val="21"/>
              </w:rPr>
              <w:t>43</w:t>
            </w:r>
          </w:p>
        </w:tc>
        <w:tc>
          <w:tcPr>
            <w:tcW w:w="675" w:type="pct"/>
            <w:vMerge/>
            <w:tcBorders>
              <w:tl2br w:val="nil"/>
              <w:tr2bl w:val="nil"/>
            </w:tcBorders>
            <w:vAlign w:val="center"/>
          </w:tcPr>
          <w:p w14:paraId="1C4AF3EE" w14:textId="77777777" w:rsidR="009D12AF" w:rsidRDefault="009D12AF">
            <w:pPr>
              <w:ind w:firstLineChars="0" w:firstLine="0"/>
              <w:jc w:val="center"/>
              <w:rPr>
                <w:rFonts w:ascii="Times New Roman" w:eastAsia="宋体"/>
                <w:sz w:val="21"/>
                <w:szCs w:val="21"/>
              </w:rPr>
            </w:pPr>
          </w:p>
        </w:tc>
      </w:tr>
      <w:tr w:rsidR="009D12AF" w14:paraId="0CF8A45D" w14:textId="77777777">
        <w:trPr>
          <w:trHeight w:val="454"/>
          <w:jc w:val="center"/>
        </w:trPr>
        <w:tc>
          <w:tcPr>
            <w:tcW w:w="417" w:type="pct"/>
            <w:tcBorders>
              <w:tl2br w:val="nil"/>
              <w:tr2bl w:val="nil"/>
            </w:tcBorders>
            <w:vAlign w:val="center"/>
          </w:tcPr>
          <w:p w14:paraId="0499684D" w14:textId="77777777" w:rsidR="009D12AF" w:rsidRDefault="00000000">
            <w:pPr>
              <w:ind w:firstLineChars="0" w:firstLine="0"/>
              <w:jc w:val="center"/>
              <w:rPr>
                <w:rFonts w:ascii="Times New Roman" w:eastAsia="宋体" w:hAnsi="Calibri" w:cs="Times New Roman"/>
                <w:sz w:val="21"/>
                <w:szCs w:val="21"/>
              </w:rPr>
            </w:pPr>
            <w:r>
              <w:rPr>
                <w:rFonts w:ascii="Times New Roman" w:eastAsia="宋体"/>
                <w:sz w:val="21"/>
                <w:szCs w:val="21"/>
              </w:rPr>
              <w:t>▲</w:t>
            </w:r>
            <w:r>
              <w:rPr>
                <w:rFonts w:ascii="Times New Roman" w:hint="eastAsia"/>
                <w:sz w:val="21"/>
                <w:szCs w:val="21"/>
              </w:rPr>
              <w:t>4</w:t>
            </w:r>
          </w:p>
        </w:tc>
        <w:tc>
          <w:tcPr>
            <w:tcW w:w="2237" w:type="pct"/>
            <w:tcBorders>
              <w:tl2br w:val="nil"/>
              <w:tr2bl w:val="nil"/>
            </w:tcBorders>
            <w:vAlign w:val="center"/>
          </w:tcPr>
          <w:p w14:paraId="0C4301EF" w14:textId="77777777" w:rsidR="009D12AF" w:rsidRDefault="00000000">
            <w:pPr>
              <w:autoSpaceDE w:val="0"/>
              <w:spacing w:line="400" w:lineRule="exact"/>
              <w:ind w:firstLineChars="0" w:firstLine="0"/>
              <w:jc w:val="center"/>
              <w:rPr>
                <w:rFonts w:ascii="Times New Roman" w:eastAsia="宋体" w:hAnsi="Times New Roman" w:cs="Times New Roman"/>
                <w:bCs/>
                <w:kern w:val="0"/>
                <w:sz w:val="21"/>
                <w:szCs w:val="21"/>
              </w:rPr>
            </w:pPr>
            <w:r>
              <w:rPr>
                <w:rFonts w:ascii="Times New Roman" w:hAnsi="Times New Roman" w:cs="Times New Roman"/>
                <w:bCs/>
                <w:kern w:val="0"/>
                <w:sz w:val="21"/>
                <w:szCs w:val="21"/>
              </w:rPr>
              <w:t>向阳水电站前池东侧</w:t>
            </w:r>
            <w:r>
              <w:rPr>
                <w:rFonts w:ascii="Times New Roman" w:hAnsi="Times New Roman" w:cs="Times New Roman"/>
                <w:bCs/>
                <w:kern w:val="0"/>
                <w:sz w:val="21"/>
                <w:szCs w:val="21"/>
              </w:rPr>
              <w:t>4#</w:t>
            </w:r>
          </w:p>
        </w:tc>
        <w:tc>
          <w:tcPr>
            <w:tcW w:w="417" w:type="pct"/>
            <w:tcBorders>
              <w:tl2br w:val="nil"/>
              <w:tr2bl w:val="nil"/>
            </w:tcBorders>
            <w:vAlign w:val="center"/>
          </w:tcPr>
          <w:p w14:paraId="01ADDB86" w14:textId="77777777" w:rsidR="009D12AF" w:rsidRDefault="00000000">
            <w:pPr>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44</w:t>
            </w:r>
          </w:p>
        </w:tc>
        <w:tc>
          <w:tcPr>
            <w:tcW w:w="417" w:type="pct"/>
            <w:tcBorders>
              <w:tl2br w:val="nil"/>
              <w:tr2bl w:val="nil"/>
            </w:tcBorders>
            <w:vAlign w:val="center"/>
          </w:tcPr>
          <w:p w14:paraId="05CB669F"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hAnsi="Times New Roman" w:cs="Times New Roman" w:hint="eastAsia"/>
                <w:color w:val="000000"/>
                <w:kern w:val="0"/>
                <w:sz w:val="21"/>
                <w:szCs w:val="21"/>
              </w:rPr>
              <w:t>43</w:t>
            </w:r>
          </w:p>
        </w:tc>
        <w:tc>
          <w:tcPr>
            <w:tcW w:w="417" w:type="pct"/>
            <w:tcBorders>
              <w:tl2br w:val="nil"/>
              <w:tr2bl w:val="nil"/>
            </w:tcBorders>
            <w:vAlign w:val="center"/>
          </w:tcPr>
          <w:p w14:paraId="672CA484" w14:textId="77777777" w:rsidR="009D12AF" w:rsidRDefault="00000000">
            <w:pPr>
              <w:ind w:firstLineChars="0" w:firstLine="0"/>
              <w:jc w:val="center"/>
              <w:rPr>
                <w:rFonts w:ascii="Times New Roman" w:eastAsia="宋体" w:hAnsi="Times New Roman" w:cs="Times New Roman"/>
                <w:color w:val="000000"/>
                <w:kern w:val="0"/>
                <w:sz w:val="21"/>
                <w:szCs w:val="21"/>
              </w:rPr>
            </w:pPr>
            <w:r>
              <w:rPr>
                <w:rFonts w:ascii="Times New Roman" w:hAnsi="Times New Roman" w:cs="Times New Roman" w:hint="eastAsia"/>
                <w:color w:val="000000"/>
                <w:kern w:val="0"/>
                <w:sz w:val="21"/>
                <w:szCs w:val="21"/>
              </w:rPr>
              <w:t>46</w:t>
            </w:r>
          </w:p>
        </w:tc>
        <w:tc>
          <w:tcPr>
            <w:tcW w:w="417" w:type="pct"/>
            <w:tcBorders>
              <w:tl2br w:val="nil"/>
              <w:tr2bl w:val="nil"/>
            </w:tcBorders>
            <w:vAlign w:val="center"/>
          </w:tcPr>
          <w:p w14:paraId="36B03776" w14:textId="77777777" w:rsidR="009D12AF" w:rsidRDefault="00000000">
            <w:pPr>
              <w:pStyle w:val="Default"/>
              <w:rPr>
                <w:rFonts w:ascii="Times New Roman"/>
                <w:color w:val="auto"/>
                <w:sz w:val="21"/>
                <w:szCs w:val="21"/>
              </w:rPr>
            </w:pPr>
            <w:r>
              <w:rPr>
                <w:rFonts w:ascii="Times New Roman" w:hint="eastAsia"/>
                <w:color w:val="auto"/>
                <w:sz w:val="21"/>
                <w:szCs w:val="21"/>
              </w:rPr>
              <w:t>44</w:t>
            </w:r>
          </w:p>
        </w:tc>
        <w:tc>
          <w:tcPr>
            <w:tcW w:w="675" w:type="pct"/>
            <w:vMerge/>
            <w:tcBorders>
              <w:tl2br w:val="nil"/>
              <w:tr2bl w:val="nil"/>
            </w:tcBorders>
            <w:vAlign w:val="center"/>
          </w:tcPr>
          <w:p w14:paraId="214C7386" w14:textId="77777777" w:rsidR="009D12AF" w:rsidRDefault="009D12AF">
            <w:pPr>
              <w:ind w:firstLineChars="0" w:firstLine="0"/>
              <w:jc w:val="center"/>
              <w:rPr>
                <w:rFonts w:ascii="Times New Roman" w:eastAsia="宋体"/>
                <w:sz w:val="21"/>
                <w:szCs w:val="21"/>
              </w:rPr>
            </w:pPr>
          </w:p>
        </w:tc>
      </w:tr>
    </w:tbl>
    <w:p w14:paraId="39C63E9B" w14:textId="77777777" w:rsidR="009D12AF" w:rsidRDefault="00000000">
      <w:pPr>
        <w:ind w:firstLine="480"/>
      </w:pPr>
      <w:r>
        <w:rPr>
          <w:rFonts w:hint="eastAsia"/>
        </w:rPr>
        <w:t>二、声环境现状评价</w:t>
      </w:r>
    </w:p>
    <w:p w14:paraId="055C8A57" w14:textId="77777777" w:rsidR="009D12AF" w:rsidRDefault="00000000">
      <w:pPr>
        <w:pStyle w:val="21"/>
        <w:adjustRightInd w:val="0"/>
        <w:snapToGrid w:val="0"/>
        <w:ind w:firstLine="480"/>
        <w:rPr>
          <w:rFonts w:eastAsia="宋体"/>
          <w:smallCaps w:val="0"/>
        </w:rPr>
      </w:pPr>
      <w:r>
        <w:rPr>
          <w:rFonts w:eastAsia="宋体"/>
          <w:smallCaps w:val="0"/>
        </w:rPr>
        <w:t>（</w:t>
      </w:r>
      <w:r>
        <w:rPr>
          <w:rFonts w:eastAsia="宋体"/>
          <w:smallCaps w:val="0"/>
        </w:rPr>
        <w:t>1</w:t>
      </w:r>
      <w:r>
        <w:rPr>
          <w:rFonts w:eastAsia="宋体"/>
          <w:smallCaps w:val="0"/>
        </w:rPr>
        <w:t>）评价方法</w:t>
      </w:r>
    </w:p>
    <w:p w14:paraId="4A33F0C4" w14:textId="77777777" w:rsidR="009D12AF" w:rsidRDefault="00000000">
      <w:pPr>
        <w:pStyle w:val="21"/>
        <w:adjustRightInd w:val="0"/>
        <w:snapToGrid w:val="0"/>
        <w:ind w:firstLine="480"/>
        <w:rPr>
          <w:rFonts w:eastAsia="宋体"/>
          <w:smallCaps w:val="0"/>
        </w:rPr>
      </w:pPr>
      <w:r>
        <w:rPr>
          <w:rFonts w:eastAsia="宋体"/>
          <w:smallCaps w:val="0"/>
        </w:rPr>
        <w:t>根据噪声现状的监测统计结果，采用与评价标准直接比较的方法（单因子法）对评价范围内的声环境质量现状进行评价。</w:t>
      </w:r>
      <w:bookmarkStart w:id="203" w:name="_Toc197915889"/>
      <w:bookmarkStart w:id="204" w:name="_Toc199656952"/>
      <w:bookmarkStart w:id="205" w:name="_Toc188855745"/>
      <w:bookmarkStart w:id="206" w:name="_Toc186283571"/>
      <w:bookmarkStart w:id="207" w:name="_Toc176865926"/>
      <w:bookmarkStart w:id="208" w:name="_Toc188855744"/>
      <w:bookmarkStart w:id="209" w:name="_Toc186283772"/>
      <w:bookmarkStart w:id="210" w:name="_Toc186283570"/>
      <w:bookmarkStart w:id="211" w:name="_Toc186283773"/>
      <w:bookmarkStart w:id="212" w:name="_Toc176865925"/>
    </w:p>
    <w:p w14:paraId="45A85BC8" w14:textId="77777777" w:rsidR="009D12AF" w:rsidRDefault="00000000">
      <w:pPr>
        <w:pStyle w:val="21"/>
        <w:adjustRightInd w:val="0"/>
        <w:snapToGrid w:val="0"/>
        <w:ind w:firstLine="480"/>
        <w:rPr>
          <w:rFonts w:eastAsia="宋体"/>
          <w:smallCaps w:val="0"/>
        </w:rPr>
      </w:pPr>
      <w:r>
        <w:rPr>
          <w:rFonts w:eastAsia="宋体"/>
          <w:smallCaps w:val="0"/>
        </w:rPr>
        <w:t>（</w:t>
      </w:r>
      <w:r>
        <w:rPr>
          <w:rFonts w:eastAsia="宋体"/>
          <w:smallCaps w:val="0"/>
        </w:rPr>
        <w:t>2</w:t>
      </w:r>
      <w:r>
        <w:rPr>
          <w:rFonts w:eastAsia="宋体"/>
          <w:smallCaps w:val="0"/>
        </w:rPr>
        <w:t>）评价标准</w:t>
      </w:r>
      <w:bookmarkStart w:id="213" w:name="_Toc186283572"/>
      <w:bookmarkStart w:id="214" w:name="_Toc188855746"/>
      <w:bookmarkStart w:id="215" w:name="_Toc233536384"/>
      <w:bookmarkStart w:id="216" w:name="_Toc186283774"/>
      <w:bookmarkStart w:id="217" w:name="_Toc234557190"/>
      <w:bookmarkStart w:id="218" w:name="_Toc176865927"/>
    </w:p>
    <w:p w14:paraId="66D5D38E" w14:textId="77777777" w:rsidR="009D12AF" w:rsidRDefault="00000000">
      <w:pPr>
        <w:pStyle w:val="21"/>
        <w:adjustRightInd w:val="0"/>
        <w:snapToGrid w:val="0"/>
        <w:ind w:firstLine="480"/>
        <w:rPr>
          <w:rFonts w:eastAsia="宋体"/>
          <w:smallCaps w:val="0"/>
        </w:rPr>
      </w:pPr>
      <w:r>
        <w:rPr>
          <w:rFonts w:eastAsia="宋体"/>
          <w:smallCaps w:val="0"/>
        </w:rPr>
        <w:t>以等效连续</w:t>
      </w:r>
      <w:r>
        <w:rPr>
          <w:rFonts w:eastAsia="宋体"/>
          <w:smallCaps w:val="0"/>
        </w:rPr>
        <w:t>A</w:t>
      </w:r>
      <w:r>
        <w:rPr>
          <w:rFonts w:eastAsia="宋体"/>
          <w:smallCaps w:val="0"/>
        </w:rPr>
        <w:t>声级</w:t>
      </w:r>
      <w:r>
        <w:rPr>
          <w:rFonts w:eastAsia="宋体"/>
          <w:smallCaps w:val="0"/>
        </w:rPr>
        <w:t>Leq</w:t>
      </w:r>
      <w:r>
        <w:rPr>
          <w:rFonts w:eastAsia="宋体"/>
          <w:smallCaps w:val="0"/>
        </w:rPr>
        <w:t>为评价量，敏感点执行《声环境质量标准》（</w:t>
      </w:r>
      <w:r>
        <w:rPr>
          <w:rFonts w:eastAsia="宋体"/>
          <w:smallCaps w:val="0"/>
        </w:rPr>
        <w:t>GB3096-2008</w:t>
      </w:r>
      <w:r>
        <w:rPr>
          <w:rFonts w:eastAsia="宋体"/>
          <w:smallCaps w:val="0"/>
        </w:rPr>
        <w:t>）</w:t>
      </w:r>
      <w:r>
        <w:rPr>
          <w:rFonts w:eastAsia="宋体" w:hint="eastAsia"/>
          <w:smallCaps w:val="0"/>
        </w:rPr>
        <w:t>1</w:t>
      </w:r>
      <w:r>
        <w:rPr>
          <w:rFonts w:eastAsia="宋体"/>
          <w:smallCaps w:val="0"/>
        </w:rPr>
        <w:t>类标准，具体标准值见表</w:t>
      </w:r>
      <w:r>
        <w:rPr>
          <w:rFonts w:eastAsia="宋体" w:hint="eastAsia"/>
          <w:smallCaps w:val="0"/>
        </w:rPr>
        <w:t>4.3-13</w:t>
      </w:r>
      <w:r>
        <w:rPr>
          <w:rFonts w:eastAsia="宋体"/>
          <w:smallCaps w:val="0"/>
        </w:rPr>
        <w:t>。</w:t>
      </w:r>
    </w:p>
    <w:p w14:paraId="3421EEDD" w14:textId="77777777" w:rsidR="009D12AF" w:rsidRDefault="00000000">
      <w:pPr>
        <w:spacing w:line="240" w:lineRule="auto"/>
        <w:ind w:firstLine="482"/>
        <w:jc w:val="center"/>
        <w:rPr>
          <w:b/>
          <w:bCs/>
        </w:rPr>
      </w:pPr>
      <w:r>
        <w:rPr>
          <w:b/>
          <w:bCs/>
        </w:rPr>
        <w:lastRenderedPageBreak/>
        <w:t>表</w:t>
      </w:r>
      <w:r>
        <w:rPr>
          <w:rFonts w:hint="eastAsia"/>
          <w:b/>
          <w:bCs/>
        </w:rPr>
        <w:t>4.3-13</w:t>
      </w:r>
      <w:r>
        <w:rPr>
          <w:b/>
          <w:bCs/>
        </w:rPr>
        <w:t xml:space="preserve">  </w:t>
      </w:r>
      <w:r>
        <w:rPr>
          <w:b/>
          <w:bCs/>
        </w:rPr>
        <w:t>声环境质量标准</w:t>
      </w:r>
      <w:r>
        <w:rPr>
          <w:b/>
          <w:bCs/>
        </w:rPr>
        <w:t xml:space="preserve">             Leq[dB(A)]</w:t>
      </w:r>
    </w:p>
    <w:tbl>
      <w:tblPr>
        <w:tblW w:w="8850"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763"/>
        <w:gridCol w:w="2761"/>
        <w:gridCol w:w="3326"/>
      </w:tblGrid>
      <w:tr w:rsidR="009D12AF" w14:paraId="0BFC5EFC" w14:textId="77777777">
        <w:trPr>
          <w:cantSplit/>
          <w:trHeight w:val="397"/>
          <w:jc w:val="center"/>
        </w:trPr>
        <w:tc>
          <w:tcPr>
            <w:tcW w:w="2763" w:type="dxa"/>
            <w:vAlign w:val="center"/>
          </w:tcPr>
          <w:p w14:paraId="14D56CEE" w14:textId="77777777" w:rsidR="009D12AF" w:rsidRDefault="00000000">
            <w:pPr>
              <w:autoSpaceDE w:val="0"/>
              <w:spacing w:line="400" w:lineRule="exact"/>
              <w:ind w:firstLineChars="0" w:firstLine="0"/>
              <w:jc w:val="center"/>
              <w:rPr>
                <w:rFonts w:ascii="Times New Roman" w:hAnsi="Times New Roman" w:cs="Times New Roman"/>
                <w:bCs/>
                <w:kern w:val="0"/>
                <w:sz w:val="21"/>
                <w:szCs w:val="21"/>
              </w:rPr>
            </w:pPr>
            <w:r>
              <w:rPr>
                <w:rFonts w:ascii="Times New Roman" w:hAnsi="Times New Roman" w:cs="Times New Roman"/>
                <w:bCs/>
                <w:kern w:val="0"/>
                <w:sz w:val="21"/>
                <w:szCs w:val="21"/>
              </w:rPr>
              <w:t>类别</w:t>
            </w:r>
          </w:p>
        </w:tc>
        <w:tc>
          <w:tcPr>
            <w:tcW w:w="2761" w:type="dxa"/>
            <w:vAlign w:val="center"/>
          </w:tcPr>
          <w:p w14:paraId="5AC0955D" w14:textId="77777777" w:rsidR="009D12AF" w:rsidRDefault="00000000">
            <w:pPr>
              <w:autoSpaceDE w:val="0"/>
              <w:spacing w:line="400" w:lineRule="exact"/>
              <w:ind w:firstLineChars="0" w:firstLine="0"/>
              <w:jc w:val="center"/>
              <w:rPr>
                <w:rFonts w:ascii="Times New Roman" w:hAnsi="Times New Roman" w:cs="Times New Roman"/>
                <w:bCs/>
                <w:kern w:val="0"/>
                <w:sz w:val="21"/>
                <w:szCs w:val="21"/>
              </w:rPr>
            </w:pPr>
            <w:r>
              <w:rPr>
                <w:rFonts w:ascii="Times New Roman" w:hAnsi="Times New Roman" w:cs="Times New Roman"/>
                <w:bCs/>
                <w:kern w:val="0"/>
                <w:sz w:val="21"/>
                <w:szCs w:val="21"/>
              </w:rPr>
              <w:t>昼间</w:t>
            </w:r>
          </w:p>
        </w:tc>
        <w:tc>
          <w:tcPr>
            <w:tcW w:w="3326" w:type="dxa"/>
            <w:vAlign w:val="center"/>
          </w:tcPr>
          <w:p w14:paraId="292F05C0" w14:textId="77777777" w:rsidR="009D12AF" w:rsidRDefault="00000000">
            <w:pPr>
              <w:autoSpaceDE w:val="0"/>
              <w:spacing w:line="400" w:lineRule="exact"/>
              <w:ind w:firstLineChars="0" w:firstLine="0"/>
              <w:jc w:val="center"/>
              <w:rPr>
                <w:rFonts w:ascii="Times New Roman" w:hAnsi="Times New Roman" w:cs="Times New Roman"/>
                <w:bCs/>
                <w:kern w:val="0"/>
                <w:sz w:val="21"/>
                <w:szCs w:val="21"/>
              </w:rPr>
            </w:pPr>
            <w:r>
              <w:rPr>
                <w:rFonts w:ascii="Times New Roman" w:hAnsi="Times New Roman" w:cs="Times New Roman"/>
                <w:bCs/>
                <w:kern w:val="0"/>
                <w:sz w:val="21"/>
                <w:szCs w:val="21"/>
              </w:rPr>
              <w:t>夜间</w:t>
            </w:r>
          </w:p>
        </w:tc>
      </w:tr>
      <w:tr w:rsidR="009D12AF" w14:paraId="6B790700" w14:textId="77777777">
        <w:trPr>
          <w:cantSplit/>
          <w:trHeight w:val="397"/>
          <w:jc w:val="center"/>
        </w:trPr>
        <w:tc>
          <w:tcPr>
            <w:tcW w:w="2763" w:type="dxa"/>
            <w:vAlign w:val="center"/>
          </w:tcPr>
          <w:p w14:paraId="6BD4A0EB" w14:textId="77777777" w:rsidR="009D12AF" w:rsidRDefault="00000000">
            <w:pPr>
              <w:autoSpaceDE w:val="0"/>
              <w:spacing w:line="400" w:lineRule="exact"/>
              <w:ind w:firstLineChars="0" w:firstLine="0"/>
              <w:jc w:val="center"/>
              <w:rPr>
                <w:rFonts w:ascii="Times New Roman" w:hAnsi="Times New Roman" w:cs="Times New Roman"/>
                <w:bCs/>
                <w:kern w:val="0"/>
                <w:sz w:val="21"/>
                <w:szCs w:val="21"/>
              </w:rPr>
            </w:pPr>
            <w:r>
              <w:rPr>
                <w:rFonts w:ascii="Times New Roman" w:hAnsi="Times New Roman" w:cs="Times New Roman"/>
                <w:bCs/>
                <w:kern w:val="0"/>
                <w:sz w:val="21"/>
                <w:szCs w:val="21"/>
              </w:rPr>
              <w:t>1</w:t>
            </w:r>
          </w:p>
        </w:tc>
        <w:tc>
          <w:tcPr>
            <w:tcW w:w="2761" w:type="dxa"/>
            <w:vAlign w:val="center"/>
          </w:tcPr>
          <w:p w14:paraId="572E3A20" w14:textId="77777777" w:rsidR="009D12AF" w:rsidRDefault="00000000">
            <w:pPr>
              <w:autoSpaceDE w:val="0"/>
              <w:spacing w:line="400" w:lineRule="exact"/>
              <w:ind w:firstLineChars="0" w:firstLine="0"/>
              <w:jc w:val="center"/>
              <w:rPr>
                <w:rFonts w:ascii="Times New Roman" w:hAnsi="Times New Roman" w:cs="Times New Roman"/>
                <w:bCs/>
                <w:kern w:val="0"/>
                <w:sz w:val="21"/>
                <w:szCs w:val="21"/>
              </w:rPr>
            </w:pPr>
            <w:r>
              <w:rPr>
                <w:rFonts w:ascii="Times New Roman" w:hAnsi="Times New Roman" w:cs="Times New Roman"/>
                <w:bCs/>
                <w:kern w:val="0"/>
                <w:sz w:val="21"/>
                <w:szCs w:val="21"/>
              </w:rPr>
              <w:t>55</w:t>
            </w:r>
          </w:p>
        </w:tc>
        <w:tc>
          <w:tcPr>
            <w:tcW w:w="3326" w:type="dxa"/>
            <w:vAlign w:val="center"/>
          </w:tcPr>
          <w:p w14:paraId="2378C70D" w14:textId="77777777" w:rsidR="009D12AF" w:rsidRDefault="00000000">
            <w:pPr>
              <w:autoSpaceDE w:val="0"/>
              <w:spacing w:line="400" w:lineRule="exact"/>
              <w:ind w:firstLineChars="0" w:firstLine="0"/>
              <w:jc w:val="center"/>
              <w:rPr>
                <w:rFonts w:ascii="Times New Roman" w:hAnsi="Times New Roman" w:cs="Times New Roman"/>
                <w:bCs/>
                <w:kern w:val="0"/>
                <w:sz w:val="21"/>
                <w:szCs w:val="21"/>
              </w:rPr>
            </w:pPr>
            <w:r>
              <w:rPr>
                <w:rFonts w:ascii="Times New Roman" w:hAnsi="Times New Roman" w:cs="Times New Roman"/>
                <w:bCs/>
                <w:kern w:val="0"/>
                <w:sz w:val="21"/>
                <w:szCs w:val="21"/>
              </w:rPr>
              <w:t>45</w:t>
            </w:r>
          </w:p>
        </w:tc>
      </w:tr>
    </w:tbl>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p w14:paraId="1D0E7D91" w14:textId="77777777" w:rsidR="009D12AF" w:rsidRDefault="00000000">
      <w:pPr>
        <w:pStyle w:val="21"/>
        <w:adjustRightInd w:val="0"/>
        <w:snapToGrid w:val="0"/>
        <w:ind w:firstLine="480"/>
        <w:rPr>
          <w:rFonts w:eastAsia="宋体"/>
          <w:smallCaps w:val="0"/>
        </w:rPr>
      </w:pPr>
      <w:r>
        <w:rPr>
          <w:rFonts w:eastAsia="宋体"/>
          <w:smallCaps w:val="0"/>
        </w:rPr>
        <w:t>（</w:t>
      </w:r>
      <w:r>
        <w:rPr>
          <w:rFonts w:eastAsia="宋体"/>
          <w:smallCaps w:val="0"/>
        </w:rPr>
        <w:t>3</w:t>
      </w:r>
      <w:r>
        <w:rPr>
          <w:rFonts w:eastAsia="宋体"/>
          <w:smallCaps w:val="0"/>
        </w:rPr>
        <w:t>）现状评价结论</w:t>
      </w:r>
    </w:p>
    <w:p w14:paraId="4FF3F32D" w14:textId="77777777" w:rsidR="009D12AF" w:rsidRDefault="00000000">
      <w:pPr>
        <w:ind w:firstLine="480"/>
        <w:rPr>
          <w:highlight w:val="yellow"/>
        </w:rPr>
      </w:pPr>
      <w:r>
        <w:rPr>
          <w:rFonts w:eastAsia="宋体"/>
        </w:rPr>
        <w:t>从噪声现状监测结果来看，本项目所在地</w:t>
      </w:r>
      <w:r>
        <w:rPr>
          <w:rFonts w:eastAsia="宋体" w:hint="eastAsia"/>
        </w:rPr>
        <w:t>敏感点</w:t>
      </w:r>
      <w:r>
        <w:rPr>
          <w:rFonts w:eastAsia="宋体"/>
        </w:rPr>
        <w:t>声环境现状质量满足《声环境质量标准》（</w:t>
      </w:r>
      <w:r>
        <w:rPr>
          <w:rFonts w:eastAsia="宋体"/>
        </w:rPr>
        <w:t>GB3096-2008</w:t>
      </w:r>
      <w:r>
        <w:rPr>
          <w:rFonts w:eastAsia="宋体"/>
        </w:rPr>
        <w:t>）中</w:t>
      </w:r>
      <w:r>
        <w:rPr>
          <w:rFonts w:eastAsia="宋体" w:hint="eastAsia"/>
        </w:rPr>
        <w:t>1</w:t>
      </w:r>
      <w:r>
        <w:rPr>
          <w:rFonts w:eastAsia="宋体"/>
        </w:rPr>
        <w:t>类标准，声环境质量较好。</w:t>
      </w:r>
    </w:p>
    <w:p w14:paraId="5CC4D478" w14:textId="77777777" w:rsidR="009D12AF" w:rsidRDefault="00000000">
      <w:pPr>
        <w:pStyle w:val="3"/>
      </w:pPr>
      <w:bookmarkStart w:id="219" w:name="_Toc23214"/>
      <w:bookmarkStart w:id="220" w:name="_Toc23707"/>
      <w:bookmarkStart w:id="221" w:name="_Toc6325"/>
      <w:bookmarkStart w:id="222" w:name="_Toc4971"/>
      <w:r>
        <w:rPr>
          <w:rFonts w:hint="eastAsia"/>
        </w:rPr>
        <w:t>4.3.4</w:t>
      </w:r>
      <w:r>
        <w:rPr>
          <w:rFonts w:hint="eastAsia"/>
        </w:rPr>
        <w:t>地下水质量现状监测与评价</w:t>
      </w:r>
      <w:bookmarkEnd w:id="219"/>
      <w:bookmarkEnd w:id="220"/>
      <w:bookmarkEnd w:id="221"/>
      <w:bookmarkEnd w:id="222"/>
    </w:p>
    <w:p w14:paraId="0617F89B" w14:textId="77777777" w:rsidR="009D12AF" w:rsidRDefault="00000000">
      <w:pPr>
        <w:ind w:firstLine="480"/>
        <w:rPr>
          <w:rFonts w:ascii="Times New Roman" w:hAnsi="Times New Roman" w:cs="Times New Roman"/>
          <w:color w:val="000000" w:themeColor="text1"/>
        </w:rPr>
      </w:pPr>
      <w:r>
        <w:rPr>
          <w:rFonts w:hint="eastAsia"/>
          <w:color w:val="000000" w:themeColor="text1"/>
        </w:rPr>
        <w:t>一、地下水质量现状</w:t>
      </w:r>
    </w:p>
    <w:p w14:paraId="60A91332"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1</w:t>
      </w:r>
      <w:r>
        <w:rPr>
          <w:rFonts w:ascii="Times New Roman" w:hAnsi="Times New Roman" w:cs="Times New Roman"/>
          <w:color w:val="000000" w:themeColor="text1"/>
        </w:rPr>
        <w:t>、监测点位的布设</w:t>
      </w:r>
    </w:p>
    <w:p w14:paraId="51524A8B"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根据地下水导则要求：三级评价项目潜水含水层的水质监测点应不少于</w:t>
      </w:r>
      <w:r>
        <w:rPr>
          <w:rFonts w:ascii="Times New Roman" w:hAnsi="Times New Roman" w:cs="Times New Roman"/>
          <w:color w:val="000000" w:themeColor="text1"/>
        </w:rPr>
        <w:t>3</w:t>
      </w:r>
      <w:r>
        <w:rPr>
          <w:rFonts w:ascii="Times New Roman" w:hAnsi="Times New Roman" w:cs="Times New Roman"/>
          <w:color w:val="000000" w:themeColor="text1"/>
        </w:rPr>
        <w:t>个，可能受建设项目影响且具有饮用水开发利用价值的含水层</w:t>
      </w:r>
      <w:r>
        <w:rPr>
          <w:rFonts w:ascii="Times New Roman" w:hAnsi="Times New Roman" w:cs="Times New Roman"/>
          <w:color w:val="000000" w:themeColor="text1"/>
        </w:rPr>
        <w:t>1-2</w:t>
      </w:r>
      <w:r>
        <w:rPr>
          <w:rFonts w:ascii="Times New Roman" w:hAnsi="Times New Roman" w:cs="Times New Roman"/>
          <w:color w:val="000000" w:themeColor="text1"/>
        </w:rPr>
        <w:t>个。原则上建设项目场地上游及下游影响区的地下水水质监测点不得少于</w:t>
      </w:r>
      <w:r>
        <w:rPr>
          <w:rFonts w:ascii="Times New Roman" w:hAnsi="Times New Roman" w:cs="Times New Roman"/>
          <w:color w:val="000000" w:themeColor="text1"/>
        </w:rPr>
        <w:t>1</w:t>
      </w:r>
      <w:r>
        <w:rPr>
          <w:rFonts w:ascii="Times New Roman" w:hAnsi="Times New Roman" w:cs="Times New Roman"/>
          <w:color w:val="000000" w:themeColor="text1"/>
        </w:rPr>
        <w:t>个。</w:t>
      </w:r>
    </w:p>
    <w:p w14:paraId="5D02871E" w14:textId="77777777" w:rsidR="009D12AF" w:rsidRDefault="00000000">
      <w:pPr>
        <w:ind w:firstLine="480"/>
        <w:rPr>
          <w:rFonts w:ascii="Times New Roman" w:hAnsi="Times New Roman" w:cs="Times New Roman"/>
          <w:highlight w:val="yellow"/>
        </w:rPr>
      </w:pPr>
      <w:r>
        <w:rPr>
          <w:rFonts w:ascii="Times New Roman" w:hAnsi="Times New Roman" w:cs="Times New Roman"/>
          <w:color w:val="000000" w:themeColor="text1"/>
        </w:rPr>
        <w:t>本项目</w:t>
      </w:r>
      <w:r>
        <w:rPr>
          <w:rFonts w:ascii="Times New Roman" w:hAnsi="Times New Roman" w:cs="Times New Roman" w:hint="eastAsia"/>
          <w:color w:val="000000" w:themeColor="text1"/>
        </w:rPr>
        <w:t>五个清淤水库距离较远，因此可单独评级。</w:t>
      </w:r>
      <w:r>
        <w:t>根据《环境影响评价技术导则</w:t>
      </w:r>
      <w:r>
        <w:rPr>
          <w:rFonts w:hint="eastAsia"/>
        </w:rPr>
        <w:t xml:space="preserve"> </w:t>
      </w:r>
      <w:r>
        <w:t>地下水环境》（</w:t>
      </w:r>
      <w:r>
        <w:t>HJ610-2016</w:t>
      </w:r>
      <w:r>
        <w:t>）附录</w:t>
      </w:r>
      <w:r>
        <w:t>A-</w:t>
      </w:r>
      <w:r>
        <w:t>地下水环境影响评价行业分类表可知，</w:t>
      </w:r>
      <w:r>
        <w:rPr>
          <w:rFonts w:hint="eastAsia"/>
        </w:rPr>
        <w:t>群力水库、向阳水电站前池</w:t>
      </w:r>
      <w:r>
        <w:t>清淤工程属于</w:t>
      </w:r>
      <w:r>
        <w:t>“A</w:t>
      </w:r>
      <w:r>
        <w:t>水利</w:t>
      </w:r>
      <w:r>
        <w:t>”</w:t>
      </w:r>
      <w:r>
        <w:t>中的</w:t>
      </w:r>
      <w:r>
        <w:t>5</w:t>
      </w:r>
      <w:r>
        <w:t>河湖整治工程中的涉及环境敏感区，属于地下水</w:t>
      </w:r>
      <w:r>
        <w:rPr>
          <w:rFonts w:ascii="Times New Roman" w:eastAsia="微软雅黑" w:hAnsi="Times New Roman" w:cs="Times New Roman"/>
        </w:rPr>
        <w:t>Ⅲ</w:t>
      </w:r>
      <w:r>
        <w:t>类项目；</w:t>
      </w:r>
      <w:r>
        <w:rPr>
          <w:rFonts w:hint="eastAsia"/>
        </w:rPr>
        <w:t>长石水库、万丈水库、新安晒水池均不涉及环境敏感区，属于地下水</w:t>
      </w:r>
      <w:r>
        <w:rPr>
          <w:rFonts w:ascii="Times New Roman" w:eastAsia="微软雅黑" w:hAnsi="Times New Roman" w:cs="Times New Roman"/>
        </w:rPr>
        <w:t>Ⅳ</w:t>
      </w:r>
      <w:r>
        <w:rPr>
          <w:rFonts w:hint="eastAsia"/>
        </w:rPr>
        <w:t>类项目。本项目群力水库、向阳水电站前池地下水环境影响评价等级为三级</w:t>
      </w:r>
      <w:r>
        <w:rPr>
          <w:rFonts w:ascii="Times New Roman" w:hAnsi="Times New Roman" w:cs="Times New Roman"/>
        </w:rPr>
        <w:t>。监测点位布设情况及具体位置详见下表。</w:t>
      </w:r>
    </w:p>
    <w:p w14:paraId="450674D2" w14:textId="77777777" w:rsidR="009D12AF" w:rsidRDefault="00000000">
      <w:pPr>
        <w:pStyle w:val="a9"/>
        <w:ind w:firstLineChars="0" w:firstLine="0"/>
        <w:jc w:val="center"/>
        <w:rPr>
          <w:rFonts w:ascii="Times New Roman" w:hAnsi="Times New Roman" w:cs="Times New Roman"/>
          <w:b/>
          <w:bCs/>
          <w:color w:val="000000" w:themeColor="text1"/>
        </w:rPr>
      </w:pPr>
      <w:r>
        <w:rPr>
          <w:rFonts w:ascii="Times New Roman" w:hAnsi="Times New Roman" w:cs="Times New Roman" w:hint="eastAsia"/>
          <w:b/>
          <w:bCs/>
          <w:color w:val="000000" w:themeColor="text1"/>
        </w:rPr>
        <w:t>表</w:t>
      </w:r>
      <w:r>
        <w:rPr>
          <w:rFonts w:ascii="Times New Roman" w:hAnsi="Times New Roman" w:cs="Times New Roman" w:hint="eastAsia"/>
          <w:b/>
          <w:bCs/>
          <w:color w:val="000000" w:themeColor="text1"/>
        </w:rPr>
        <w:t>4.3-14</w:t>
      </w:r>
      <w:r>
        <w:rPr>
          <w:rFonts w:ascii="Times New Roman" w:hAnsi="Times New Roman" w:cs="Times New Roman" w:hint="eastAsia"/>
          <w:b/>
          <w:bCs/>
          <w:color w:val="000000" w:themeColor="text1"/>
        </w:rPr>
        <w:t>水位监测点</w:t>
      </w:r>
    </w:p>
    <w:tbl>
      <w:tblPr>
        <w:tblW w:w="4998"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904"/>
        <w:gridCol w:w="2291"/>
        <w:gridCol w:w="1343"/>
        <w:gridCol w:w="3023"/>
        <w:gridCol w:w="958"/>
      </w:tblGrid>
      <w:tr w:rsidR="009D12AF" w14:paraId="262878EC" w14:textId="77777777">
        <w:trPr>
          <w:trHeight w:val="234"/>
          <w:jc w:val="center"/>
        </w:trPr>
        <w:tc>
          <w:tcPr>
            <w:tcW w:w="531" w:type="pct"/>
            <w:tcBorders>
              <w:top w:val="single" w:sz="12" w:space="0" w:color="auto"/>
              <w:left w:val="nil"/>
            </w:tcBorders>
            <w:vAlign w:val="center"/>
          </w:tcPr>
          <w:p w14:paraId="23BC7DD9"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水库</w:t>
            </w:r>
          </w:p>
        </w:tc>
        <w:tc>
          <w:tcPr>
            <w:tcW w:w="1344" w:type="pct"/>
            <w:tcBorders>
              <w:top w:val="single" w:sz="12" w:space="0" w:color="auto"/>
            </w:tcBorders>
            <w:vAlign w:val="center"/>
          </w:tcPr>
          <w:p w14:paraId="1134B458"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sz w:val="21"/>
                <w:szCs w:val="21"/>
              </w:rPr>
              <w:t>监测点位</w:t>
            </w:r>
          </w:p>
        </w:tc>
        <w:tc>
          <w:tcPr>
            <w:tcW w:w="788" w:type="pct"/>
            <w:tcBorders>
              <w:top w:val="single" w:sz="12" w:space="0" w:color="auto"/>
            </w:tcBorders>
            <w:vAlign w:val="center"/>
          </w:tcPr>
          <w:p w14:paraId="2DF74486"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sz w:val="21"/>
                <w:szCs w:val="21"/>
              </w:rPr>
              <w:t>监测层位</w:t>
            </w:r>
          </w:p>
        </w:tc>
        <w:tc>
          <w:tcPr>
            <w:tcW w:w="1773" w:type="pct"/>
            <w:tcBorders>
              <w:top w:val="single" w:sz="12" w:space="0" w:color="auto"/>
            </w:tcBorders>
            <w:vAlign w:val="center"/>
          </w:tcPr>
          <w:p w14:paraId="020C9722" w14:textId="77777777" w:rsidR="009D12AF" w:rsidRDefault="00000000">
            <w:pPr>
              <w:spacing w:line="240" w:lineRule="auto"/>
              <w:ind w:firstLineChars="0" w:firstLine="0"/>
              <w:jc w:val="center"/>
              <w:rPr>
                <w:rFonts w:ascii="Times New Roman" w:hAnsi="Times New Roman" w:cs="Times New Roman"/>
                <w:color w:val="FF0000"/>
                <w:sz w:val="21"/>
                <w:szCs w:val="21"/>
                <w:highlight w:val="yellow"/>
              </w:rPr>
            </w:pPr>
            <w:r>
              <w:rPr>
                <w:rFonts w:ascii="Times New Roman" w:hAnsi="Times New Roman" w:cs="Times New Roman"/>
                <w:sz w:val="21"/>
                <w:szCs w:val="21"/>
              </w:rPr>
              <w:t>坐标</w:t>
            </w:r>
          </w:p>
        </w:tc>
        <w:tc>
          <w:tcPr>
            <w:tcW w:w="562" w:type="pct"/>
            <w:tcBorders>
              <w:top w:val="single" w:sz="12" w:space="0" w:color="auto"/>
              <w:right w:val="nil"/>
            </w:tcBorders>
            <w:vAlign w:val="center"/>
          </w:tcPr>
          <w:p w14:paraId="380EADA6"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sz w:val="21"/>
                <w:szCs w:val="21"/>
              </w:rPr>
              <w:t>功能</w:t>
            </w:r>
          </w:p>
        </w:tc>
      </w:tr>
      <w:tr w:rsidR="009D12AF" w14:paraId="6025D9BE" w14:textId="77777777">
        <w:trPr>
          <w:trHeight w:val="316"/>
          <w:jc w:val="center"/>
        </w:trPr>
        <w:tc>
          <w:tcPr>
            <w:tcW w:w="531" w:type="pct"/>
            <w:vMerge w:val="restart"/>
            <w:tcBorders>
              <w:left w:val="nil"/>
            </w:tcBorders>
            <w:vAlign w:val="center"/>
          </w:tcPr>
          <w:p w14:paraId="79B3C861"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群力水库</w:t>
            </w:r>
          </w:p>
        </w:tc>
        <w:tc>
          <w:tcPr>
            <w:tcW w:w="1344" w:type="pct"/>
            <w:vAlign w:val="center"/>
          </w:tcPr>
          <w:p w14:paraId="011B187E" w14:textId="77777777" w:rsidR="009D12AF" w:rsidRDefault="00000000">
            <w:pPr>
              <w:snapToGrid w:val="0"/>
              <w:spacing w:line="240" w:lineRule="auto"/>
              <w:ind w:firstLineChars="0" w:firstLine="4"/>
              <w:jc w:val="center"/>
              <w:rPr>
                <w:rFonts w:ascii="Times New Roman" w:hAnsi="Times New Roman" w:cs="Times New Roman"/>
                <w:sz w:val="21"/>
                <w:szCs w:val="21"/>
              </w:rPr>
            </w:pPr>
            <w:r>
              <w:rPr>
                <w:rFonts w:ascii="Times New Roman" w:eastAsia="宋体" w:hAnsi="Times New Roman" w:cs="Times New Roman" w:hint="eastAsia"/>
                <w:sz w:val="21"/>
                <w:szCs w:val="21"/>
              </w:rPr>
              <w:t>1#</w:t>
            </w:r>
          </w:p>
        </w:tc>
        <w:tc>
          <w:tcPr>
            <w:tcW w:w="788" w:type="pct"/>
            <w:vAlign w:val="center"/>
          </w:tcPr>
          <w:p w14:paraId="078758F1"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潜水</w:t>
            </w:r>
          </w:p>
        </w:tc>
        <w:tc>
          <w:tcPr>
            <w:tcW w:w="1773" w:type="pct"/>
            <w:vAlign w:val="center"/>
          </w:tcPr>
          <w:p w14:paraId="6E6BCDBF"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129.65315877, 44.89474008</w:t>
            </w:r>
          </w:p>
        </w:tc>
        <w:tc>
          <w:tcPr>
            <w:tcW w:w="562" w:type="pct"/>
            <w:tcBorders>
              <w:right w:val="nil"/>
            </w:tcBorders>
            <w:vAlign w:val="center"/>
          </w:tcPr>
          <w:p w14:paraId="38C10692"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地勘</w:t>
            </w:r>
          </w:p>
        </w:tc>
      </w:tr>
      <w:tr w:rsidR="009D12AF" w14:paraId="63CFCACC" w14:textId="77777777">
        <w:trPr>
          <w:jc w:val="center"/>
        </w:trPr>
        <w:tc>
          <w:tcPr>
            <w:tcW w:w="531" w:type="pct"/>
            <w:vMerge/>
            <w:tcBorders>
              <w:left w:val="nil"/>
            </w:tcBorders>
            <w:vAlign w:val="center"/>
          </w:tcPr>
          <w:p w14:paraId="271F2B89" w14:textId="77777777" w:rsidR="009D12AF" w:rsidRDefault="009D12AF">
            <w:pPr>
              <w:spacing w:line="240" w:lineRule="auto"/>
              <w:ind w:firstLineChars="0" w:firstLine="0"/>
              <w:jc w:val="center"/>
              <w:rPr>
                <w:rFonts w:ascii="Times New Roman" w:hAnsi="Times New Roman" w:cs="Times New Roman"/>
                <w:sz w:val="21"/>
                <w:szCs w:val="21"/>
              </w:rPr>
            </w:pPr>
          </w:p>
        </w:tc>
        <w:tc>
          <w:tcPr>
            <w:tcW w:w="1344" w:type="pct"/>
            <w:vAlign w:val="center"/>
          </w:tcPr>
          <w:p w14:paraId="71D5F49E" w14:textId="77777777" w:rsidR="009D12AF" w:rsidRDefault="00000000">
            <w:pPr>
              <w:snapToGrid w:val="0"/>
              <w:spacing w:line="240" w:lineRule="auto"/>
              <w:ind w:firstLineChars="0" w:firstLine="4"/>
              <w:jc w:val="center"/>
              <w:rPr>
                <w:rFonts w:ascii="Times New Roman" w:hAnsi="Times New Roman" w:cs="Times New Roman"/>
                <w:sz w:val="21"/>
                <w:szCs w:val="21"/>
              </w:rPr>
            </w:pPr>
            <w:r>
              <w:rPr>
                <w:rFonts w:ascii="Times New Roman" w:eastAsia="宋体" w:hAnsi="Times New Roman" w:cs="Times New Roman" w:hint="eastAsia"/>
                <w:sz w:val="21"/>
                <w:szCs w:val="21"/>
              </w:rPr>
              <w:t>2#</w:t>
            </w:r>
          </w:p>
        </w:tc>
        <w:tc>
          <w:tcPr>
            <w:tcW w:w="788" w:type="pct"/>
            <w:vAlign w:val="center"/>
          </w:tcPr>
          <w:p w14:paraId="38164709"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潜水</w:t>
            </w:r>
          </w:p>
        </w:tc>
        <w:tc>
          <w:tcPr>
            <w:tcW w:w="1773" w:type="pct"/>
            <w:vAlign w:val="center"/>
          </w:tcPr>
          <w:p w14:paraId="49B00500"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129.65165673, 44.89431093</w:t>
            </w:r>
          </w:p>
        </w:tc>
        <w:tc>
          <w:tcPr>
            <w:tcW w:w="562" w:type="pct"/>
            <w:tcBorders>
              <w:right w:val="nil"/>
            </w:tcBorders>
            <w:vAlign w:val="center"/>
          </w:tcPr>
          <w:p w14:paraId="00BCBDF3"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地勘</w:t>
            </w:r>
          </w:p>
        </w:tc>
      </w:tr>
      <w:tr w:rsidR="009D12AF" w14:paraId="25A6EAC8" w14:textId="77777777">
        <w:trPr>
          <w:jc w:val="center"/>
        </w:trPr>
        <w:tc>
          <w:tcPr>
            <w:tcW w:w="531" w:type="pct"/>
            <w:vMerge/>
            <w:tcBorders>
              <w:left w:val="nil"/>
            </w:tcBorders>
            <w:vAlign w:val="center"/>
          </w:tcPr>
          <w:p w14:paraId="35A3E4CE" w14:textId="77777777" w:rsidR="009D12AF" w:rsidRDefault="009D12AF">
            <w:pPr>
              <w:spacing w:line="240" w:lineRule="auto"/>
              <w:ind w:firstLineChars="0" w:firstLine="0"/>
              <w:jc w:val="center"/>
              <w:rPr>
                <w:rFonts w:ascii="Times New Roman" w:hAnsi="Times New Roman" w:cs="Times New Roman"/>
                <w:sz w:val="21"/>
                <w:szCs w:val="21"/>
              </w:rPr>
            </w:pPr>
          </w:p>
        </w:tc>
        <w:tc>
          <w:tcPr>
            <w:tcW w:w="1344" w:type="pct"/>
            <w:vAlign w:val="center"/>
          </w:tcPr>
          <w:p w14:paraId="6B8D78F7" w14:textId="77777777" w:rsidR="009D12AF" w:rsidRDefault="00000000">
            <w:pPr>
              <w:snapToGrid w:val="0"/>
              <w:spacing w:line="240" w:lineRule="auto"/>
              <w:ind w:firstLineChars="0" w:firstLine="4"/>
              <w:jc w:val="center"/>
              <w:rPr>
                <w:rFonts w:ascii="Times New Roman" w:hAnsi="Times New Roman" w:cs="Times New Roman"/>
                <w:sz w:val="21"/>
                <w:szCs w:val="21"/>
              </w:rPr>
            </w:pPr>
            <w:r>
              <w:rPr>
                <w:rFonts w:ascii="Times New Roman" w:eastAsia="宋体" w:hAnsi="Times New Roman" w:cs="Times New Roman" w:hint="eastAsia"/>
                <w:sz w:val="21"/>
                <w:szCs w:val="21"/>
              </w:rPr>
              <w:t>3#</w:t>
            </w:r>
          </w:p>
        </w:tc>
        <w:tc>
          <w:tcPr>
            <w:tcW w:w="788" w:type="pct"/>
            <w:vAlign w:val="center"/>
          </w:tcPr>
          <w:p w14:paraId="2D669C89"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潜水</w:t>
            </w:r>
          </w:p>
        </w:tc>
        <w:tc>
          <w:tcPr>
            <w:tcW w:w="1773" w:type="pct"/>
            <w:vAlign w:val="center"/>
          </w:tcPr>
          <w:p w14:paraId="548FF089"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129.65131341, 44.89182184</w:t>
            </w:r>
          </w:p>
        </w:tc>
        <w:tc>
          <w:tcPr>
            <w:tcW w:w="562" w:type="pct"/>
            <w:tcBorders>
              <w:right w:val="nil"/>
            </w:tcBorders>
            <w:vAlign w:val="center"/>
          </w:tcPr>
          <w:p w14:paraId="310B9D86"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地勘</w:t>
            </w:r>
          </w:p>
        </w:tc>
      </w:tr>
      <w:tr w:rsidR="009D12AF" w14:paraId="5A8EA9FA" w14:textId="77777777">
        <w:trPr>
          <w:jc w:val="center"/>
        </w:trPr>
        <w:tc>
          <w:tcPr>
            <w:tcW w:w="531" w:type="pct"/>
            <w:vMerge/>
            <w:tcBorders>
              <w:left w:val="nil"/>
            </w:tcBorders>
            <w:vAlign w:val="center"/>
          </w:tcPr>
          <w:p w14:paraId="0F89D0FA" w14:textId="77777777" w:rsidR="009D12AF" w:rsidRDefault="009D12AF">
            <w:pPr>
              <w:spacing w:line="240" w:lineRule="auto"/>
              <w:ind w:firstLineChars="0" w:firstLine="0"/>
              <w:jc w:val="center"/>
              <w:rPr>
                <w:rFonts w:ascii="Times New Roman" w:hAnsi="Times New Roman" w:cs="Times New Roman"/>
                <w:sz w:val="21"/>
                <w:szCs w:val="21"/>
              </w:rPr>
            </w:pPr>
          </w:p>
        </w:tc>
        <w:tc>
          <w:tcPr>
            <w:tcW w:w="1344" w:type="pct"/>
            <w:vAlign w:val="center"/>
          </w:tcPr>
          <w:p w14:paraId="3522C3E3" w14:textId="77777777" w:rsidR="009D12AF" w:rsidRDefault="00000000">
            <w:pPr>
              <w:snapToGrid w:val="0"/>
              <w:spacing w:line="240" w:lineRule="auto"/>
              <w:ind w:firstLineChars="0" w:firstLine="4"/>
              <w:jc w:val="center"/>
              <w:rPr>
                <w:rFonts w:ascii="Times New Roman" w:hAnsi="Times New Roman" w:cs="Times New Roman"/>
                <w:sz w:val="21"/>
                <w:szCs w:val="21"/>
              </w:rPr>
            </w:pPr>
            <w:r>
              <w:rPr>
                <w:rFonts w:ascii="Times New Roman" w:eastAsia="宋体" w:hAnsi="Times New Roman" w:cs="Times New Roman" w:hint="eastAsia"/>
                <w:sz w:val="21"/>
                <w:szCs w:val="21"/>
              </w:rPr>
              <w:t>4#</w:t>
            </w:r>
          </w:p>
        </w:tc>
        <w:tc>
          <w:tcPr>
            <w:tcW w:w="788" w:type="pct"/>
            <w:vAlign w:val="center"/>
          </w:tcPr>
          <w:p w14:paraId="11C1B6BB"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承压水</w:t>
            </w:r>
          </w:p>
        </w:tc>
        <w:tc>
          <w:tcPr>
            <w:tcW w:w="1773" w:type="pct"/>
            <w:vAlign w:val="center"/>
          </w:tcPr>
          <w:p w14:paraId="4F8BE08D"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129.65620576, 44.89182184</w:t>
            </w:r>
          </w:p>
        </w:tc>
        <w:tc>
          <w:tcPr>
            <w:tcW w:w="562" w:type="pct"/>
            <w:tcBorders>
              <w:right w:val="nil"/>
            </w:tcBorders>
            <w:vAlign w:val="center"/>
          </w:tcPr>
          <w:p w14:paraId="4432590A"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地勘</w:t>
            </w:r>
          </w:p>
        </w:tc>
      </w:tr>
      <w:tr w:rsidR="009D12AF" w14:paraId="298458CC" w14:textId="77777777">
        <w:trPr>
          <w:jc w:val="center"/>
        </w:trPr>
        <w:tc>
          <w:tcPr>
            <w:tcW w:w="531" w:type="pct"/>
            <w:vMerge/>
            <w:tcBorders>
              <w:left w:val="nil"/>
            </w:tcBorders>
            <w:vAlign w:val="center"/>
          </w:tcPr>
          <w:p w14:paraId="2E1BB164" w14:textId="77777777" w:rsidR="009D12AF" w:rsidRDefault="009D12AF">
            <w:pPr>
              <w:spacing w:line="240" w:lineRule="auto"/>
              <w:ind w:firstLineChars="0" w:firstLine="0"/>
              <w:jc w:val="center"/>
              <w:rPr>
                <w:rFonts w:ascii="Times New Roman" w:hAnsi="Times New Roman" w:cs="Times New Roman"/>
                <w:sz w:val="21"/>
                <w:szCs w:val="21"/>
              </w:rPr>
            </w:pPr>
          </w:p>
        </w:tc>
        <w:tc>
          <w:tcPr>
            <w:tcW w:w="1344" w:type="pct"/>
            <w:vAlign w:val="center"/>
          </w:tcPr>
          <w:p w14:paraId="77710D6F" w14:textId="77777777" w:rsidR="009D12AF" w:rsidRDefault="00000000">
            <w:pPr>
              <w:snapToGrid w:val="0"/>
              <w:spacing w:line="240" w:lineRule="auto"/>
              <w:ind w:firstLineChars="0" w:firstLine="4"/>
              <w:jc w:val="center"/>
              <w:rPr>
                <w:rFonts w:ascii="Times New Roman" w:hAnsi="Times New Roman" w:cs="Times New Roman"/>
                <w:sz w:val="21"/>
                <w:szCs w:val="21"/>
              </w:rPr>
            </w:pPr>
            <w:r>
              <w:rPr>
                <w:rFonts w:ascii="Times New Roman" w:eastAsia="宋体" w:hAnsi="Times New Roman" w:cs="Times New Roman" w:hint="eastAsia"/>
                <w:sz w:val="21"/>
                <w:szCs w:val="21"/>
              </w:rPr>
              <w:t>5#</w:t>
            </w:r>
          </w:p>
        </w:tc>
        <w:tc>
          <w:tcPr>
            <w:tcW w:w="788" w:type="pct"/>
            <w:vAlign w:val="center"/>
          </w:tcPr>
          <w:p w14:paraId="471D5FCC"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潜水</w:t>
            </w:r>
          </w:p>
        </w:tc>
        <w:tc>
          <w:tcPr>
            <w:tcW w:w="1773" w:type="pct"/>
            <w:vAlign w:val="center"/>
          </w:tcPr>
          <w:p w14:paraId="4CF0F458"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129.65955315, 44.90920255</w:t>
            </w:r>
          </w:p>
        </w:tc>
        <w:tc>
          <w:tcPr>
            <w:tcW w:w="562" w:type="pct"/>
            <w:tcBorders>
              <w:right w:val="nil"/>
            </w:tcBorders>
            <w:vAlign w:val="center"/>
          </w:tcPr>
          <w:p w14:paraId="52DAA8A3"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地勘</w:t>
            </w:r>
          </w:p>
        </w:tc>
      </w:tr>
      <w:tr w:rsidR="009D12AF" w14:paraId="74C9C027" w14:textId="77777777">
        <w:trPr>
          <w:trHeight w:val="340"/>
          <w:jc w:val="center"/>
        </w:trPr>
        <w:tc>
          <w:tcPr>
            <w:tcW w:w="531" w:type="pct"/>
            <w:vMerge/>
            <w:tcBorders>
              <w:left w:val="nil"/>
            </w:tcBorders>
            <w:vAlign w:val="center"/>
          </w:tcPr>
          <w:p w14:paraId="554F4CF2" w14:textId="77777777" w:rsidR="009D12AF" w:rsidRDefault="009D12AF">
            <w:pPr>
              <w:spacing w:line="240" w:lineRule="auto"/>
              <w:ind w:firstLineChars="0" w:firstLine="0"/>
              <w:jc w:val="center"/>
              <w:rPr>
                <w:rFonts w:ascii="Times New Roman" w:hAnsi="Times New Roman" w:cs="Times New Roman"/>
                <w:sz w:val="21"/>
                <w:szCs w:val="21"/>
              </w:rPr>
            </w:pPr>
          </w:p>
        </w:tc>
        <w:tc>
          <w:tcPr>
            <w:tcW w:w="1344" w:type="pct"/>
            <w:vAlign w:val="center"/>
          </w:tcPr>
          <w:p w14:paraId="5E47BAA7" w14:textId="77777777" w:rsidR="009D12AF" w:rsidRDefault="00000000">
            <w:pPr>
              <w:snapToGrid w:val="0"/>
              <w:spacing w:line="240" w:lineRule="auto"/>
              <w:ind w:firstLineChars="0" w:firstLine="4"/>
              <w:jc w:val="center"/>
              <w:rPr>
                <w:rFonts w:ascii="Times New Roman" w:hAnsi="Times New Roman" w:cs="Times New Roman"/>
                <w:sz w:val="21"/>
                <w:szCs w:val="21"/>
              </w:rPr>
            </w:pPr>
            <w:r>
              <w:rPr>
                <w:rFonts w:ascii="Times New Roman" w:hAnsi="Times New Roman" w:cs="Times New Roman" w:hint="eastAsia"/>
                <w:sz w:val="21"/>
                <w:szCs w:val="21"/>
              </w:rPr>
              <w:t>6#</w:t>
            </w:r>
          </w:p>
        </w:tc>
        <w:tc>
          <w:tcPr>
            <w:tcW w:w="788" w:type="pct"/>
            <w:vAlign w:val="center"/>
          </w:tcPr>
          <w:p w14:paraId="00D0713D"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潜水</w:t>
            </w:r>
          </w:p>
        </w:tc>
        <w:tc>
          <w:tcPr>
            <w:tcW w:w="1773" w:type="pct"/>
            <w:vAlign w:val="center"/>
          </w:tcPr>
          <w:p w14:paraId="5794D919"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129.64401780, 44.90847299</w:t>
            </w:r>
          </w:p>
        </w:tc>
        <w:tc>
          <w:tcPr>
            <w:tcW w:w="562" w:type="pct"/>
            <w:tcBorders>
              <w:right w:val="nil"/>
            </w:tcBorders>
            <w:vAlign w:val="center"/>
          </w:tcPr>
          <w:p w14:paraId="045966CF"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监测井</w:t>
            </w:r>
          </w:p>
        </w:tc>
      </w:tr>
      <w:tr w:rsidR="009D12AF" w14:paraId="4EBA9904" w14:textId="77777777">
        <w:trPr>
          <w:trHeight w:val="340"/>
          <w:jc w:val="center"/>
        </w:trPr>
        <w:tc>
          <w:tcPr>
            <w:tcW w:w="531" w:type="pct"/>
            <w:vMerge/>
            <w:tcBorders>
              <w:left w:val="nil"/>
            </w:tcBorders>
            <w:vAlign w:val="center"/>
          </w:tcPr>
          <w:p w14:paraId="7ADD97C5" w14:textId="77777777" w:rsidR="009D12AF" w:rsidRDefault="009D12AF">
            <w:pPr>
              <w:spacing w:line="240" w:lineRule="auto"/>
              <w:ind w:firstLineChars="0" w:firstLine="0"/>
              <w:jc w:val="center"/>
              <w:rPr>
                <w:rFonts w:ascii="Times New Roman" w:hAnsi="Times New Roman" w:cs="Times New Roman"/>
                <w:sz w:val="21"/>
                <w:szCs w:val="21"/>
              </w:rPr>
            </w:pPr>
          </w:p>
        </w:tc>
        <w:tc>
          <w:tcPr>
            <w:tcW w:w="1344" w:type="pct"/>
            <w:vAlign w:val="center"/>
          </w:tcPr>
          <w:p w14:paraId="2214474C" w14:textId="77777777" w:rsidR="009D12AF" w:rsidRDefault="00000000">
            <w:pPr>
              <w:snapToGrid w:val="0"/>
              <w:spacing w:line="240" w:lineRule="auto"/>
              <w:ind w:firstLineChars="0" w:firstLine="4"/>
              <w:jc w:val="center"/>
              <w:rPr>
                <w:rFonts w:ascii="Times New Roman" w:hAnsi="Times New Roman" w:cs="Times New Roman"/>
                <w:sz w:val="21"/>
                <w:szCs w:val="21"/>
              </w:rPr>
            </w:pPr>
            <w:r>
              <w:rPr>
                <w:rFonts w:ascii="Times New Roman" w:eastAsia="宋体" w:hAnsi="Times New Roman" w:cs="Times New Roman" w:hint="eastAsia"/>
                <w:sz w:val="21"/>
                <w:szCs w:val="21"/>
              </w:rPr>
              <w:t>7#</w:t>
            </w:r>
          </w:p>
        </w:tc>
        <w:tc>
          <w:tcPr>
            <w:tcW w:w="788" w:type="pct"/>
            <w:vAlign w:val="center"/>
          </w:tcPr>
          <w:p w14:paraId="7EFFE348"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潜水</w:t>
            </w:r>
          </w:p>
        </w:tc>
        <w:tc>
          <w:tcPr>
            <w:tcW w:w="1773" w:type="pct"/>
            <w:vAlign w:val="center"/>
          </w:tcPr>
          <w:p w14:paraId="39BF3598"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129.64637814, 44.90911672</w:t>
            </w:r>
          </w:p>
        </w:tc>
        <w:tc>
          <w:tcPr>
            <w:tcW w:w="562" w:type="pct"/>
            <w:tcBorders>
              <w:right w:val="nil"/>
            </w:tcBorders>
            <w:vAlign w:val="center"/>
          </w:tcPr>
          <w:p w14:paraId="7777EC8B"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监测井</w:t>
            </w:r>
          </w:p>
        </w:tc>
      </w:tr>
      <w:tr w:rsidR="009D12AF" w14:paraId="316770AF" w14:textId="77777777">
        <w:trPr>
          <w:trHeight w:val="340"/>
          <w:jc w:val="center"/>
        </w:trPr>
        <w:tc>
          <w:tcPr>
            <w:tcW w:w="531" w:type="pct"/>
            <w:vMerge w:val="restart"/>
            <w:tcBorders>
              <w:left w:val="nil"/>
            </w:tcBorders>
            <w:vAlign w:val="center"/>
          </w:tcPr>
          <w:p w14:paraId="678D067E"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向阳水电站前池</w:t>
            </w:r>
          </w:p>
        </w:tc>
        <w:tc>
          <w:tcPr>
            <w:tcW w:w="2291" w:type="dxa"/>
            <w:vAlign w:val="center"/>
          </w:tcPr>
          <w:p w14:paraId="283EFA06" w14:textId="77777777" w:rsidR="009D12AF" w:rsidRDefault="00000000">
            <w:pPr>
              <w:snapToGrid w:val="0"/>
              <w:spacing w:line="240" w:lineRule="auto"/>
              <w:ind w:firstLineChars="0" w:firstLine="4"/>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1#</w:t>
            </w:r>
          </w:p>
        </w:tc>
        <w:tc>
          <w:tcPr>
            <w:tcW w:w="1343" w:type="dxa"/>
            <w:vAlign w:val="center"/>
          </w:tcPr>
          <w:p w14:paraId="130A8163"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潜水</w:t>
            </w:r>
          </w:p>
        </w:tc>
        <w:tc>
          <w:tcPr>
            <w:tcW w:w="1773" w:type="pct"/>
            <w:vAlign w:val="center"/>
          </w:tcPr>
          <w:p w14:paraId="15127834"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129.28114214, 44.55370186</w:t>
            </w:r>
          </w:p>
        </w:tc>
        <w:tc>
          <w:tcPr>
            <w:tcW w:w="958" w:type="dxa"/>
            <w:tcBorders>
              <w:right w:val="nil"/>
            </w:tcBorders>
            <w:vAlign w:val="center"/>
          </w:tcPr>
          <w:p w14:paraId="009A1014"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地勘</w:t>
            </w:r>
          </w:p>
        </w:tc>
      </w:tr>
      <w:tr w:rsidR="009D12AF" w14:paraId="23AE1666" w14:textId="77777777">
        <w:trPr>
          <w:trHeight w:val="340"/>
          <w:jc w:val="center"/>
        </w:trPr>
        <w:tc>
          <w:tcPr>
            <w:tcW w:w="531" w:type="pct"/>
            <w:vMerge/>
            <w:tcBorders>
              <w:left w:val="nil"/>
            </w:tcBorders>
            <w:vAlign w:val="center"/>
          </w:tcPr>
          <w:p w14:paraId="685AC3DD" w14:textId="77777777" w:rsidR="009D12AF" w:rsidRDefault="009D12AF">
            <w:pPr>
              <w:spacing w:line="240" w:lineRule="auto"/>
              <w:ind w:firstLineChars="0" w:firstLine="0"/>
              <w:jc w:val="center"/>
              <w:rPr>
                <w:rFonts w:ascii="Times New Roman" w:hAnsi="Times New Roman" w:cs="Times New Roman"/>
                <w:sz w:val="21"/>
                <w:szCs w:val="21"/>
              </w:rPr>
            </w:pPr>
          </w:p>
        </w:tc>
        <w:tc>
          <w:tcPr>
            <w:tcW w:w="2291" w:type="dxa"/>
            <w:vAlign w:val="center"/>
          </w:tcPr>
          <w:p w14:paraId="7D18D5E7" w14:textId="77777777" w:rsidR="009D12AF" w:rsidRDefault="00000000">
            <w:pPr>
              <w:snapToGrid w:val="0"/>
              <w:spacing w:line="240" w:lineRule="auto"/>
              <w:ind w:firstLineChars="0" w:firstLine="4"/>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2#</w:t>
            </w:r>
          </w:p>
        </w:tc>
        <w:tc>
          <w:tcPr>
            <w:tcW w:w="1343" w:type="dxa"/>
            <w:vAlign w:val="center"/>
          </w:tcPr>
          <w:p w14:paraId="3CD2F48E"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潜水</w:t>
            </w:r>
          </w:p>
        </w:tc>
        <w:tc>
          <w:tcPr>
            <w:tcW w:w="1773" w:type="pct"/>
            <w:vAlign w:val="center"/>
          </w:tcPr>
          <w:p w14:paraId="03FCCC53"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129.28826609, 44.56859349</w:t>
            </w:r>
          </w:p>
        </w:tc>
        <w:tc>
          <w:tcPr>
            <w:tcW w:w="958" w:type="dxa"/>
            <w:tcBorders>
              <w:right w:val="nil"/>
            </w:tcBorders>
            <w:vAlign w:val="center"/>
          </w:tcPr>
          <w:p w14:paraId="14372C60"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地勘</w:t>
            </w:r>
          </w:p>
        </w:tc>
      </w:tr>
      <w:tr w:rsidR="009D12AF" w14:paraId="4DDE7B60" w14:textId="77777777">
        <w:trPr>
          <w:trHeight w:val="340"/>
          <w:jc w:val="center"/>
        </w:trPr>
        <w:tc>
          <w:tcPr>
            <w:tcW w:w="531" w:type="pct"/>
            <w:vMerge/>
            <w:tcBorders>
              <w:left w:val="nil"/>
            </w:tcBorders>
            <w:vAlign w:val="center"/>
          </w:tcPr>
          <w:p w14:paraId="689E1162" w14:textId="77777777" w:rsidR="009D12AF" w:rsidRDefault="009D12AF">
            <w:pPr>
              <w:spacing w:line="240" w:lineRule="auto"/>
              <w:ind w:firstLineChars="0" w:firstLine="0"/>
              <w:jc w:val="center"/>
              <w:rPr>
                <w:rFonts w:ascii="Times New Roman" w:hAnsi="Times New Roman" w:cs="Times New Roman"/>
                <w:sz w:val="21"/>
                <w:szCs w:val="21"/>
              </w:rPr>
            </w:pPr>
          </w:p>
        </w:tc>
        <w:tc>
          <w:tcPr>
            <w:tcW w:w="2291" w:type="dxa"/>
            <w:vAlign w:val="center"/>
          </w:tcPr>
          <w:p w14:paraId="130DBDA3" w14:textId="77777777" w:rsidR="009D12AF" w:rsidRDefault="00000000">
            <w:pPr>
              <w:snapToGrid w:val="0"/>
              <w:spacing w:line="240" w:lineRule="auto"/>
              <w:ind w:firstLineChars="0" w:firstLine="4"/>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3#</w:t>
            </w:r>
          </w:p>
        </w:tc>
        <w:tc>
          <w:tcPr>
            <w:tcW w:w="788" w:type="pct"/>
            <w:vAlign w:val="center"/>
          </w:tcPr>
          <w:p w14:paraId="1130D24F"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承压水</w:t>
            </w:r>
          </w:p>
        </w:tc>
        <w:tc>
          <w:tcPr>
            <w:tcW w:w="1773" w:type="pct"/>
            <w:vAlign w:val="center"/>
          </w:tcPr>
          <w:p w14:paraId="1900EE1A"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129.29298677, 44.57121330</w:t>
            </w:r>
          </w:p>
        </w:tc>
        <w:tc>
          <w:tcPr>
            <w:tcW w:w="958" w:type="dxa"/>
            <w:tcBorders>
              <w:right w:val="nil"/>
            </w:tcBorders>
            <w:vAlign w:val="center"/>
          </w:tcPr>
          <w:p w14:paraId="53BB2746"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地勘</w:t>
            </w:r>
          </w:p>
        </w:tc>
      </w:tr>
      <w:tr w:rsidR="009D12AF" w14:paraId="021612FB" w14:textId="77777777">
        <w:trPr>
          <w:trHeight w:val="340"/>
          <w:jc w:val="center"/>
        </w:trPr>
        <w:tc>
          <w:tcPr>
            <w:tcW w:w="531" w:type="pct"/>
            <w:vMerge/>
            <w:tcBorders>
              <w:left w:val="nil"/>
            </w:tcBorders>
            <w:vAlign w:val="center"/>
          </w:tcPr>
          <w:p w14:paraId="6B2FEEA2" w14:textId="77777777" w:rsidR="009D12AF" w:rsidRDefault="009D12AF">
            <w:pPr>
              <w:spacing w:line="240" w:lineRule="auto"/>
              <w:ind w:firstLineChars="0" w:firstLine="0"/>
              <w:jc w:val="center"/>
              <w:rPr>
                <w:rFonts w:ascii="Times New Roman" w:hAnsi="Times New Roman" w:cs="Times New Roman"/>
                <w:sz w:val="21"/>
                <w:szCs w:val="21"/>
              </w:rPr>
            </w:pPr>
          </w:p>
        </w:tc>
        <w:tc>
          <w:tcPr>
            <w:tcW w:w="2291" w:type="dxa"/>
            <w:vAlign w:val="center"/>
          </w:tcPr>
          <w:p w14:paraId="28E2B81C" w14:textId="77777777" w:rsidR="009D12AF" w:rsidRDefault="00000000">
            <w:pPr>
              <w:snapToGrid w:val="0"/>
              <w:spacing w:line="240" w:lineRule="auto"/>
              <w:ind w:firstLineChars="0" w:firstLine="4"/>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4#</w:t>
            </w:r>
          </w:p>
        </w:tc>
        <w:tc>
          <w:tcPr>
            <w:tcW w:w="1343" w:type="dxa"/>
            <w:vAlign w:val="center"/>
          </w:tcPr>
          <w:p w14:paraId="1CBDDC5F"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潜水</w:t>
            </w:r>
          </w:p>
        </w:tc>
        <w:tc>
          <w:tcPr>
            <w:tcW w:w="1773" w:type="pct"/>
            <w:vAlign w:val="center"/>
          </w:tcPr>
          <w:p w14:paraId="3ABBE5F4"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129.29577627, 44.56511735</w:t>
            </w:r>
          </w:p>
        </w:tc>
        <w:tc>
          <w:tcPr>
            <w:tcW w:w="958" w:type="dxa"/>
            <w:tcBorders>
              <w:right w:val="nil"/>
            </w:tcBorders>
            <w:vAlign w:val="center"/>
          </w:tcPr>
          <w:p w14:paraId="55719961"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地勘</w:t>
            </w:r>
          </w:p>
        </w:tc>
      </w:tr>
      <w:tr w:rsidR="009D12AF" w14:paraId="1A8A27E7" w14:textId="77777777">
        <w:trPr>
          <w:trHeight w:val="340"/>
          <w:jc w:val="center"/>
        </w:trPr>
        <w:tc>
          <w:tcPr>
            <w:tcW w:w="531" w:type="pct"/>
            <w:vMerge/>
            <w:tcBorders>
              <w:left w:val="nil"/>
            </w:tcBorders>
            <w:vAlign w:val="center"/>
          </w:tcPr>
          <w:p w14:paraId="23E2DA83" w14:textId="77777777" w:rsidR="009D12AF" w:rsidRDefault="009D12AF">
            <w:pPr>
              <w:spacing w:line="240" w:lineRule="auto"/>
              <w:ind w:firstLineChars="0" w:firstLine="0"/>
              <w:jc w:val="center"/>
              <w:rPr>
                <w:rFonts w:ascii="Times New Roman" w:hAnsi="Times New Roman" w:cs="Times New Roman"/>
                <w:sz w:val="21"/>
                <w:szCs w:val="21"/>
              </w:rPr>
            </w:pPr>
          </w:p>
        </w:tc>
        <w:tc>
          <w:tcPr>
            <w:tcW w:w="2291" w:type="dxa"/>
            <w:vAlign w:val="center"/>
          </w:tcPr>
          <w:p w14:paraId="50E59754" w14:textId="77777777" w:rsidR="009D12AF" w:rsidRDefault="00000000">
            <w:pPr>
              <w:snapToGrid w:val="0"/>
              <w:spacing w:line="240" w:lineRule="auto"/>
              <w:ind w:firstLineChars="0" w:firstLine="4"/>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5#</w:t>
            </w:r>
          </w:p>
        </w:tc>
        <w:tc>
          <w:tcPr>
            <w:tcW w:w="1343" w:type="dxa"/>
            <w:vAlign w:val="center"/>
          </w:tcPr>
          <w:p w14:paraId="12EB43CA"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潜水</w:t>
            </w:r>
          </w:p>
        </w:tc>
        <w:tc>
          <w:tcPr>
            <w:tcW w:w="1773" w:type="pct"/>
            <w:vAlign w:val="center"/>
          </w:tcPr>
          <w:p w14:paraId="669460CA"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129.29547586, 44.57146882</w:t>
            </w:r>
          </w:p>
        </w:tc>
        <w:tc>
          <w:tcPr>
            <w:tcW w:w="958" w:type="dxa"/>
            <w:tcBorders>
              <w:right w:val="nil"/>
            </w:tcBorders>
            <w:vAlign w:val="center"/>
          </w:tcPr>
          <w:p w14:paraId="65521F5D"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地勘</w:t>
            </w:r>
          </w:p>
        </w:tc>
      </w:tr>
      <w:tr w:rsidR="009D12AF" w14:paraId="7E317C17" w14:textId="77777777">
        <w:trPr>
          <w:trHeight w:val="340"/>
          <w:jc w:val="center"/>
        </w:trPr>
        <w:tc>
          <w:tcPr>
            <w:tcW w:w="531" w:type="pct"/>
            <w:vMerge/>
            <w:tcBorders>
              <w:left w:val="nil"/>
            </w:tcBorders>
            <w:vAlign w:val="center"/>
          </w:tcPr>
          <w:p w14:paraId="412978B9" w14:textId="77777777" w:rsidR="009D12AF" w:rsidRDefault="009D12AF">
            <w:pPr>
              <w:spacing w:line="240" w:lineRule="auto"/>
              <w:ind w:firstLineChars="0" w:firstLine="0"/>
              <w:jc w:val="center"/>
              <w:rPr>
                <w:rFonts w:ascii="Times New Roman" w:hAnsi="Times New Roman" w:cs="Times New Roman"/>
                <w:sz w:val="21"/>
                <w:szCs w:val="21"/>
              </w:rPr>
            </w:pPr>
          </w:p>
        </w:tc>
        <w:tc>
          <w:tcPr>
            <w:tcW w:w="2291" w:type="dxa"/>
            <w:vAlign w:val="center"/>
          </w:tcPr>
          <w:p w14:paraId="6F0926B3" w14:textId="77777777" w:rsidR="009D12AF" w:rsidRDefault="00000000">
            <w:pPr>
              <w:snapToGrid w:val="0"/>
              <w:spacing w:line="240" w:lineRule="auto"/>
              <w:ind w:firstLineChars="0" w:firstLine="4"/>
              <w:jc w:val="center"/>
              <w:rPr>
                <w:rFonts w:ascii="Times New Roman" w:eastAsia="宋体" w:hAnsi="Times New Roman" w:cs="Times New Roman"/>
                <w:sz w:val="21"/>
                <w:szCs w:val="21"/>
              </w:rPr>
            </w:pPr>
            <w:r>
              <w:rPr>
                <w:rFonts w:ascii="Times New Roman" w:hAnsi="Times New Roman" w:cs="Times New Roman" w:hint="eastAsia"/>
                <w:sz w:val="21"/>
                <w:szCs w:val="21"/>
              </w:rPr>
              <w:t>6#</w:t>
            </w:r>
          </w:p>
        </w:tc>
        <w:tc>
          <w:tcPr>
            <w:tcW w:w="1343" w:type="dxa"/>
            <w:vAlign w:val="center"/>
          </w:tcPr>
          <w:p w14:paraId="4D1E8488"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潜水</w:t>
            </w:r>
          </w:p>
        </w:tc>
        <w:tc>
          <w:tcPr>
            <w:tcW w:w="1773" w:type="pct"/>
            <w:vAlign w:val="center"/>
          </w:tcPr>
          <w:p w14:paraId="26CF37A4"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129.30362978, 44.56915139</w:t>
            </w:r>
          </w:p>
        </w:tc>
        <w:tc>
          <w:tcPr>
            <w:tcW w:w="958" w:type="dxa"/>
            <w:tcBorders>
              <w:right w:val="nil"/>
            </w:tcBorders>
            <w:vAlign w:val="center"/>
          </w:tcPr>
          <w:p w14:paraId="76964712"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监测井</w:t>
            </w:r>
          </w:p>
        </w:tc>
      </w:tr>
      <w:tr w:rsidR="009D12AF" w14:paraId="2D8082CA" w14:textId="77777777">
        <w:trPr>
          <w:trHeight w:val="340"/>
          <w:jc w:val="center"/>
        </w:trPr>
        <w:tc>
          <w:tcPr>
            <w:tcW w:w="531" w:type="pct"/>
            <w:vMerge/>
            <w:tcBorders>
              <w:left w:val="nil"/>
            </w:tcBorders>
            <w:vAlign w:val="center"/>
          </w:tcPr>
          <w:p w14:paraId="4B72769D" w14:textId="77777777" w:rsidR="009D12AF" w:rsidRDefault="009D12AF">
            <w:pPr>
              <w:spacing w:line="240" w:lineRule="auto"/>
              <w:ind w:firstLineChars="0" w:firstLine="0"/>
              <w:jc w:val="center"/>
              <w:rPr>
                <w:rFonts w:ascii="Times New Roman" w:hAnsi="Times New Roman" w:cs="Times New Roman"/>
                <w:sz w:val="21"/>
                <w:szCs w:val="21"/>
              </w:rPr>
            </w:pPr>
          </w:p>
        </w:tc>
        <w:tc>
          <w:tcPr>
            <w:tcW w:w="2291" w:type="dxa"/>
            <w:vAlign w:val="center"/>
          </w:tcPr>
          <w:p w14:paraId="013D5369" w14:textId="77777777" w:rsidR="009D12AF" w:rsidRDefault="00000000">
            <w:pPr>
              <w:snapToGrid w:val="0"/>
              <w:spacing w:line="240" w:lineRule="auto"/>
              <w:ind w:firstLineChars="0" w:firstLine="4"/>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7#</w:t>
            </w:r>
          </w:p>
        </w:tc>
        <w:tc>
          <w:tcPr>
            <w:tcW w:w="1343" w:type="dxa"/>
            <w:vAlign w:val="center"/>
          </w:tcPr>
          <w:p w14:paraId="28B5859D"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潜水</w:t>
            </w:r>
          </w:p>
        </w:tc>
        <w:tc>
          <w:tcPr>
            <w:tcW w:w="1773" w:type="pct"/>
            <w:vAlign w:val="center"/>
          </w:tcPr>
          <w:p w14:paraId="56D3A0CA"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129.30182733, 44.57584618</w:t>
            </w:r>
          </w:p>
        </w:tc>
        <w:tc>
          <w:tcPr>
            <w:tcW w:w="958" w:type="dxa"/>
            <w:tcBorders>
              <w:right w:val="nil"/>
            </w:tcBorders>
            <w:vAlign w:val="center"/>
          </w:tcPr>
          <w:p w14:paraId="0FCC590A"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监测井</w:t>
            </w:r>
          </w:p>
        </w:tc>
      </w:tr>
    </w:tbl>
    <w:p w14:paraId="36265507" w14:textId="77777777" w:rsidR="009D12AF" w:rsidRDefault="00000000">
      <w:pPr>
        <w:pStyle w:val="a9"/>
        <w:ind w:firstLineChars="0" w:firstLine="0"/>
        <w:jc w:val="center"/>
        <w:rPr>
          <w:rFonts w:ascii="Times New Roman" w:hAnsi="Times New Roman" w:cs="Times New Roman"/>
          <w:b/>
          <w:bCs/>
        </w:rPr>
      </w:pPr>
      <w:r>
        <w:rPr>
          <w:rFonts w:ascii="Times New Roman" w:hAnsi="Times New Roman" w:cs="Times New Roman" w:hint="eastAsia"/>
          <w:b/>
          <w:bCs/>
        </w:rPr>
        <w:t>表</w:t>
      </w:r>
      <w:r>
        <w:rPr>
          <w:rFonts w:ascii="Times New Roman" w:hAnsi="Times New Roman" w:cs="Times New Roman" w:hint="eastAsia"/>
          <w:b/>
          <w:bCs/>
        </w:rPr>
        <w:t>4.3-15</w:t>
      </w:r>
      <w:r>
        <w:rPr>
          <w:rFonts w:ascii="Times New Roman" w:hAnsi="Times New Roman" w:cs="Times New Roman" w:hint="eastAsia"/>
          <w:b/>
          <w:bCs/>
        </w:rPr>
        <w:t>水质监测点</w:t>
      </w:r>
    </w:p>
    <w:tbl>
      <w:tblPr>
        <w:tblW w:w="4998"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142"/>
        <w:gridCol w:w="2191"/>
        <w:gridCol w:w="2392"/>
        <w:gridCol w:w="2794"/>
      </w:tblGrid>
      <w:tr w:rsidR="009D12AF" w14:paraId="5E0831E7" w14:textId="77777777">
        <w:trPr>
          <w:trHeight w:val="349"/>
          <w:jc w:val="center"/>
        </w:trPr>
        <w:tc>
          <w:tcPr>
            <w:tcW w:w="671" w:type="pct"/>
            <w:tcBorders>
              <w:top w:val="single" w:sz="12" w:space="0" w:color="auto"/>
              <w:left w:val="nil"/>
              <w:bottom w:val="single" w:sz="4" w:space="0" w:color="auto"/>
              <w:right w:val="single" w:sz="4" w:space="0" w:color="auto"/>
            </w:tcBorders>
            <w:vAlign w:val="center"/>
          </w:tcPr>
          <w:p w14:paraId="7798B89E"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水库</w:t>
            </w:r>
          </w:p>
        </w:tc>
        <w:tc>
          <w:tcPr>
            <w:tcW w:w="1285" w:type="pct"/>
            <w:tcBorders>
              <w:top w:val="single" w:sz="12" w:space="0" w:color="auto"/>
              <w:left w:val="single" w:sz="4" w:space="0" w:color="auto"/>
              <w:bottom w:val="single" w:sz="4" w:space="0" w:color="auto"/>
              <w:right w:val="single" w:sz="4" w:space="0" w:color="auto"/>
            </w:tcBorders>
            <w:vAlign w:val="center"/>
          </w:tcPr>
          <w:p w14:paraId="38EF85C0"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sz w:val="21"/>
                <w:szCs w:val="21"/>
              </w:rPr>
              <w:t>监测点位</w:t>
            </w:r>
          </w:p>
        </w:tc>
        <w:tc>
          <w:tcPr>
            <w:tcW w:w="1403" w:type="pct"/>
            <w:tcBorders>
              <w:top w:val="single" w:sz="12" w:space="0" w:color="auto"/>
              <w:left w:val="single" w:sz="4" w:space="0" w:color="auto"/>
              <w:bottom w:val="single" w:sz="4" w:space="0" w:color="auto"/>
              <w:right w:val="single" w:sz="4" w:space="0" w:color="auto"/>
            </w:tcBorders>
            <w:vAlign w:val="center"/>
          </w:tcPr>
          <w:p w14:paraId="57EAF66F"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sz w:val="21"/>
                <w:szCs w:val="21"/>
              </w:rPr>
              <w:t>监测层位</w:t>
            </w:r>
          </w:p>
        </w:tc>
        <w:tc>
          <w:tcPr>
            <w:tcW w:w="1639" w:type="pct"/>
            <w:tcBorders>
              <w:top w:val="single" w:sz="12" w:space="0" w:color="auto"/>
              <w:left w:val="single" w:sz="4" w:space="0" w:color="auto"/>
              <w:bottom w:val="single" w:sz="4" w:space="0" w:color="auto"/>
              <w:right w:val="nil"/>
            </w:tcBorders>
            <w:vAlign w:val="center"/>
          </w:tcPr>
          <w:p w14:paraId="6BFCD870" w14:textId="77777777" w:rsidR="009D12AF" w:rsidRDefault="00000000">
            <w:pPr>
              <w:spacing w:line="240" w:lineRule="auto"/>
              <w:ind w:firstLineChars="0" w:firstLine="0"/>
              <w:jc w:val="center"/>
              <w:rPr>
                <w:rFonts w:ascii="Times New Roman" w:hAnsi="Times New Roman" w:cs="Times New Roman"/>
                <w:color w:val="FF0000"/>
                <w:sz w:val="21"/>
                <w:szCs w:val="21"/>
                <w:highlight w:val="yellow"/>
              </w:rPr>
            </w:pPr>
            <w:r>
              <w:rPr>
                <w:rFonts w:ascii="Times New Roman" w:hAnsi="Times New Roman" w:cs="Times New Roman" w:hint="eastAsia"/>
                <w:sz w:val="21"/>
                <w:szCs w:val="21"/>
              </w:rPr>
              <w:t>坐标</w:t>
            </w:r>
            <w:r>
              <w:rPr>
                <w:rFonts w:ascii="Times New Roman" w:hAnsi="Times New Roman" w:cs="Times New Roman" w:hint="eastAsia"/>
                <w:sz w:val="21"/>
                <w:szCs w:val="21"/>
              </w:rPr>
              <w:t>/</w:t>
            </w:r>
            <w:r>
              <w:rPr>
                <w:rFonts w:ascii="Times New Roman" w:hAnsi="Times New Roman" w:cs="Times New Roman" w:hint="eastAsia"/>
                <w:sz w:val="21"/>
                <w:szCs w:val="21"/>
              </w:rPr>
              <w:t>°</w:t>
            </w:r>
          </w:p>
        </w:tc>
      </w:tr>
      <w:tr w:rsidR="009D12AF" w14:paraId="4CEBBDD1" w14:textId="77777777">
        <w:trPr>
          <w:trHeight w:val="349"/>
          <w:jc w:val="center"/>
        </w:trPr>
        <w:tc>
          <w:tcPr>
            <w:tcW w:w="671" w:type="pct"/>
            <w:vMerge w:val="restart"/>
            <w:tcBorders>
              <w:top w:val="single" w:sz="4" w:space="0" w:color="auto"/>
              <w:left w:val="nil"/>
              <w:right w:val="single" w:sz="4" w:space="0" w:color="auto"/>
            </w:tcBorders>
            <w:vAlign w:val="center"/>
          </w:tcPr>
          <w:p w14:paraId="7B6F5670"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群力水库</w:t>
            </w:r>
          </w:p>
        </w:tc>
        <w:tc>
          <w:tcPr>
            <w:tcW w:w="1285" w:type="pct"/>
            <w:tcBorders>
              <w:top w:val="single" w:sz="4" w:space="0" w:color="auto"/>
              <w:left w:val="single" w:sz="4" w:space="0" w:color="auto"/>
              <w:bottom w:val="single" w:sz="4" w:space="0" w:color="auto"/>
              <w:right w:val="single" w:sz="4" w:space="0" w:color="auto"/>
            </w:tcBorders>
            <w:vAlign w:val="center"/>
          </w:tcPr>
          <w:p w14:paraId="7953F9A0"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w:t>
            </w:r>
          </w:p>
        </w:tc>
        <w:tc>
          <w:tcPr>
            <w:tcW w:w="1403" w:type="pct"/>
            <w:tcBorders>
              <w:top w:val="single" w:sz="4" w:space="0" w:color="auto"/>
              <w:left w:val="single" w:sz="4" w:space="0" w:color="auto"/>
              <w:bottom w:val="single" w:sz="4" w:space="0" w:color="auto"/>
              <w:right w:val="single" w:sz="4" w:space="0" w:color="auto"/>
            </w:tcBorders>
            <w:vAlign w:val="center"/>
          </w:tcPr>
          <w:p w14:paraId="259C618B"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潜水</w:t>
            </w:r>
          </w:p>
        </w:tc>
        <w:tc>
          <w:tcPr>
            <w:tcW w:w="1639" w:type="pct"/>
            <w:tcBorders>
              <w:top w:val="single" w:sz="4" w:space="0" w:color="auto"/>
              <w:left w:val="single" w:sz="4" w:space="0" w:color="auto"/>
              <w:bottom w:val="single" w:sz="4" w:space="0" w:color="auto"/>
              <w:right w:val="nil"/>
            </w:tcBorders>
            <w:vAlign w:val="center"/>
          </w:tcPr>
          <w:p w14:paraId="7B56D30E" w14:textId="77777777" w:rsidR="009D12AF" w:rsidRDefault="00000000">
            <w:pPr>
              <w:spacing w:line="240" w:lineRule="auto"/>
              <w:ind w:firstLineChars="0" w:firstLine="0"/>
              <w:jc w:val="center"/>
              <w:rPr>
                <w:rFonts w:ascii="Times New Roman" w:hAnsi="Times New Roman" w:cs="Times New Roman"/>
                <w:color w:val="FF0000"/>
                <w:sz w:val="21"/>
                <w:szCs w:val="21"/>
                <w:highlight w:val="yellow"/>
              </w:rPr>
            </w:pPr>
            <w:r>
              <w:rPr>
                <w:rFonts w:ascii="Times New Roman" w:hAnsi="Times New Roman" w:cs="Times New Roman" w:hint="eastAsia"/>
                <w:sz w:val="21"/>
                <w:szCs w:val="21"/>
              </w:rPr>
              <w:t>129.65315877, 44.89474008</w:t>
            </w:r>
          </w:p>
        </w:tc>
      </w:tr>
      <w:tr w:rsidR="009D12AF" w14:paraId="69354035" w14:textId="77777777">
        <w:trPr>
          <w:trHeight w:val="349"/>
          <w:jc w:val="center"/>
        </w:trPr>
        <w:tc>
          <w:tcPr>
            <w:tcW w:w="671" w:type="pct"/>
            <w:vMerge/>
            <w:tcBorders>
              <w:left w:val="nil"/>
              <w:right w:val="single" w:sz="4" w:space="0" w:color="auto"/>
            </w:tcBorders>
            <w:vAlign w:val="center"/>
          </w:tcPr>
          <w:p w14:paraId="0ADDCCFA" w14:textId="77777777" w:rsidR="009D12AF" w:rsidRDefault="009D12AF">
            <w:pPr>
              <w:spacing w:line="240" w:lineRule="auto"/>
              <w:ind w:firstLineChars="0" w:firstLine="0"/>
              <w:jc w:val="center"/>
              <w:rPr>
                <w:rFonts w:ascii="Times New Roman" w:hAnsi="Times New Roman" w:cs="Times New Roman"/>
                <w:sz w:val="21"/>
                <w:szCs w:val="21"/>
              </w:rPr>
            </w:pPr>
          </w:p>
        </w:tc>
        <w:tc>
          <w:tcPr>
            <w:tcW w:w="1285" w:type="pct"/>
            <w:tcBorders>
              <w:top w:val="single" w:sz="4" w:space="0" w:color="auto"/>
              <w:left w:val="single" w:sz="4" w:space="0" w:color="auto"/>
              <w:bottom w:val="single" w:sz="4" w:space="0" w:color="auto"/>
              <w:right w:val="single" w:sz="4" w:space="0" w:color="auto"/>
            </w:tcBorders>
            <w:vAlign w:val="center"/>
          </w:tcPr>
          <w:p w14:paraId="7A0D4252"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3#</w:t>
            </w:r>
          </w:p>
        </w:tc>
        <w:tc>
          <w:tcPr>
            <w:tcW w:w="1403" w:type="pct"/>
            <w:tcBorders>
              <w:top w:val="single" w:sz="4" w:space="0" w:color="auto"/>
              <w:left w:val="single" w:sz="4" w:space="0" w:color="auto"/>
              <w:bottom w:val="single" w:sz="4" w:space="0" w:color="auto"/>
              <w:right w:val="single" w:sz="4" w:space="0" w:color="auto"/>
            </w:tcBorders>
            <w:vAlign w:val="center"/>
          </w:tcPr>
          <w:p w14:paraId="69B64A22"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潜水</w:t>
            </w:r>
          </w:p>
        </w:tc>
        <w:tc>
          <w:tcPr>
            <w:tcW w:w="1639" w:type="pct"/>
            <w:tcBorders>
              <w:top w:val="single" w:sz="4" w:space="0" w:color="auto"/>
              <w:left w:val="single" w:sz="4" w:space="0" w:color="auto"/>
              <w:bottom w:val="single" w:sz="4" w:space="0" w:color="auto"/>
              <w:right w:val="nil"/>
            </w:tcBorders>
            <w:vAlign w:val="center"/>
          </w:tcPr>
          <w:p w14:paraId="1146EE6B" w14:textId="77777777" w:rsidR="009D12AF" w:rsidRDefault="00000000">
            <w:pPr>
              <w:spacing w:line="240" w:lineRule="auto"/>
              <w:ind w:firstLineChars="0" w:firstLine="0"/>
              <w:jc w:val="center"/>
              <w:rPr>
                <w:rFonts w:ascii="Times New Roman" w:hAnsi="Times New Roman" w:cs="Times New Roman"/>
                <w:color w:val="FF0000"/>
                <w:sz w:val="21"/>
                <w:szCs w:val="21"/>
                <w:highlight w:val="yellow"/>
              </w:rPr>
            </w:pPr>
            <w:r>
              <w:rPr>
                <w:rFonts w:ascii="Times New Roman" w:hAnsi="Times New Roman" w:cs="Times New Roman" w:hint="eastAsia"/>
                <w:sz w:val="21"/>
                <w:szCs w:val="21"/>
              </w:rPr>
              <w:t>129.65131341, 44.89182184</w:t>
            </w:r>
          </w:p>
        </w:tc>
      </w:tr>
      <w:tr w:rsidR="009D12AF" w14:paraId="77F94717" w14:textId="77777777">
        <w:trPr>
          <w:trHeight w:val="349"/>
          <w:jc w:val="center"/>
        </w:trPr>
        <w:tc>
          <w:tcPr>
            <w:tcW w:w="671" w:type="pct"/>
            <w:vMerge/>
            <w:tcBorders>
              <w:left w:val="nil"/>
              <w:right w:val="single" w:sz="4" w:space="0" w:color="auto"/>
            </w:tcBorders>
            <w:vAlign w:val="center"/>
          </w:tcPr>
          <w:p w14:paraId="3AED1A14" w14:textId="77777777" w:rsidR="009D12AF" w:rsidRDefault="009D12AF">
            <w:pPr>
              <w:spacing w:line="240" w:lineRule="auto"/>
              <w:ind w:firstLineChars="0" w:firstLine="0"/>
              <w:jc w:val="center"/>
              <w:rPr>
                <w:rFonts w:ascii="Times New Roman" w:hAnsi="Times New Roman" w:cs="Times New Roman"/>
                <w:sz w:val="21"/>
                <w:szCs w:val="21"/>
              </w:rPr>
            </w:pPr>
          </w:p>
        </w:tc>
        <w:tc>
          <w:tcPr>
            <w:tcW w:w="1285" w:type="pct"/>
            <w:tcBorders>
              <w:top w:val="single" w:sz="4" w:space="0" w:color="auto"/>
              <w:left w:val="single" w:sz="4" w:space="0" w:color="auto"/>
              <w:bottom w:val="single" w:sz="4" w:space="0" w:color="auto"/>
              <w:right w:val="single" w:sz="4" w:space="0" w:color="auto"/>
            </w:tcBorders>
            <w:vAlign w:val="center"/>
          </w:tcPr>
          <w:p w14:paraId="350E4F87"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w:t>
            </w:r>
          </w:p>
        </w:tc>
        <w:tc>
          <w:tcPr>
            <w:tcW w:w="1403" w:type="pct"/>
            <w:tcBorders>
              <w:top w:val="single" w:sz="4" w:space="0" w:color="auto"/>
              <w:left w:val="single" w:sz="4" w:space="0" w:color="auto"/>
              <w:bottom w:val="single" w:sz="4" w:space="0" w:color="auto"/>
              <w:right w:val="single" w:sz="4" w:space="0" w:color="auto"/>
            </w:tcBorders>
            <w:vAlign w:val="center"/>
          </w:tcPr>
          <w:p w14:paraId="010DB4DB"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承压水</w:t>
            </w:r>
          </w:p>
        </w:tc>
        <w:tc>
          <w:tcPr>
            <w:tcW w:w="1639" w:type="pct"/>
            <w:tcBorders>
              <w:top w:val="single" w:sz="4" w:space="0" w:color="auto"/>
              <w:left w:val="single" w:sz="4" w:space="0" w:color="auto"/>
              <w:bottom w:val="single" w:sz="4" w:space="0" w:color="auto"/>
              <w:right w:val="nil"/>
            </w:tcBorders>
            <w:vAlign w:val="center"/>
          </w:tcPr>
          <w:p w14:paraId="05DFDBA0" w14:textId="77777777" w:rsidR="009D12AF" w:rsidRDefault="00000000">
            <w:pPr>
              <w:spacing w:line="240" w:lineRule="auto"/>
              <w:ind w:firstLineChars="0" w:firstLine="0"/>
              <w:jc w:val="center"/>
              <w:rPr>
                <w:rFonts w:ascii="Times New Roman" w:hAnsi="Times New Roman" w:cs="Times New Roman"/>
                <w:color w:val="FF0000"/>
                <w:sz w:val="21"/>
                <w:szCs w:val="21"/>
                <w:highlight w:val="yellow"/>
              </w:rPr>
            </w:pPr>
            <w:r>
              <w:rPr>
                <w:rFonts w:ascii="Times New Roman" w:hAnsi="Times New Roman" w:cs="Times New Roman" w:hint="eastAsia"/>
                <w:sz w:val="21"/>
                <w:szCs w:val="21"/>
              </w:rPr>
              <w:t>129.65620576, 44.89182184</w:t>
            </w:r>
          </w:p>
        </w:tc>
      </w:tr>
      <w:tr w:rsidR="009D12AF" w14:paraId="2C41AD4C" w14:textId="77777777">
        <w:trPr>
          <w:trHeight w:val="349"/>
          <w:jc w:val="center"/>
        </w:trPr>
        <w:tc>
          <w:tcPr>
            <w:tcW w:w="671" w:type="pct"/>
            <w:vMerge/>
            <w:tcBorders>
              <w:left w:val="nil"/>
              <w:bottom w:val="single" w:sz="4" w:space="0" w:color="auto"/>
              <w:right w:val="single" w:sz="4" w:space="0" w:color="auto"/>
            </w:tcBorders>
            <w:vAlign w:val="center"/>
          </w:tcPr>
          <w:p w14:paraId="31292B02" w14:textId="77777777" w:rsidR="009D12AF" w:rsidRDefault="009D12AF">
            <w:pPr>
              <w:spacing w:line="240" w:lineRule="auto"/>
              <w:ind w:firstLineChars="0" w:firstLine="0"/>
              <w:jc w:val="center"/>
              <w:rPr>
                <w:rFonts w:ascii="Times New Roman" w:hAnsi="Times New Roman" w:cs="Times New Roman"/>
                <w:sz w:val="21"/>
                <w:szCs w:val="21"/>
              </w:rPr>
            </w:pPr>
          </w:p>
        </w:tc>
        <w:tc>
          <w:tcPr>
            <w:tcW w:w="1285" w:type="pct"/>
            <w:tcBorders>
              <w:top w:val="single" w:sz="4" w:space="0" w:color="auto"/>
              <w:left w:val="single" w:sz="4" w:space="0" w:color="auto"/>
              <w:bottom w:val="single" w:sz="4" w:space="0" w:color="auto"/>
              <w:right w:val="single" w:sz="4" w:space="0" w:color="auto"/>
            </w:tcBorders>
            <w:vAlign w:val="center"/>
          </w:tcPr>
          <w:p w14:paraId="1363CAAA"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w:t>
            </w:r>
          </w:p>
        </w:tc>
        <w:tc>
          <w:tcPr>
            <w:tcW w:w="1403" w:type="pct"/>
            <w:tcBorders>
              <w:top w:val="single" w:sz="4" w:space="0" w:color="auto"/>
              <w:left w:val="single" w:sz="4" w:space="0" w:color="auto"/>
              <w:bottom w:val="single" w:sz="4" w:space="0" w:color="auto"/>
              <w:right w:val="single" w:sz="4" w:space="0" w:color="auto"/>
            </w:tcBorders>
            <w:vAlign w:val="center"/>
          </w:tcPr>
          <w:p w14:paraId="7662948D"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潜水</w:t>
            </w:r>
          </w:p>
        </w:tc>
        <w:tc>
          <w:tcPr>
            <w:tcW w:w="1639" w:type="pct"/>
            <w:tcBorders>
              <w:top w:val="single" w:sz="4" w:space="0" w:color="auto"/>
              <w:left w:val="single" w:sz="4" w:space="0" w:color="auto"/>
              <w:bottom w:val="single" w:sz="4" w:space="0" w:color="auto"/>
              <w:right w:val="nil"/>
            </w:tcBorders>
            <w:vAlign w:val="center"/>
          </w:tcPr>
          <w:p w14:paraId="3EE9D949" w14:textId="77777777" w:rsidR="009D12AF" w:rsidRDefault="00000000">
            <w:pPr>
              <w:spacing w:line="240" w:lineRule="auto"/>
              <w:ind w:firstLineChars="0" w:firstLine="0"/>
              <w:jc w:val="center"/>
              <w:rPr>
                <w:rFonts w:ascii="Times New Roman" w:hAnsi="Times New Roman" w:cs="Times New Roman"/>
                <w:color w:val="FF0000"/>
                <w:sz w:val="21"/>
                <w:szCs w:val="21"/>
                <w:highlight w:val="yellow"/>
              </w:rPr>
            </w:pPr>
            <w:r>
              <w:rPr>
                <w:rFonts w:ascii="Times New Roman" w:hAnsi="Times New Roman" w:cs="Times New Roman" w:hint="eastAsia"/>
                <w:sz w:val="21"/>
                <w:szCs w:val="21"/>
              </w:rPr>
              <w:t>129.65955315, 44.90920255</w:t>
            </w:r>
          </w:p>
        </w:tc>
      </w:tr>
      <w:tr w:rsidR="009D12AF" w14:paraId="3C3F13AA" w14:textId="77777777">
        <w:trPr>
          <w:trHeight w:val="349"/>
          <w:jc w:val="center"/>
        </w:trPr>
        <w:tc>
          <w:tcPr>
            <w:tcW w:w="671" w:type="pct"/>
            <w:vMerge w:val="restart"/>
            <w:tcBorders>
              <w:top w:val="single" w:sz="4" w:space="0" w:color="auto"/>
              <w:left w:val="nil"/>
              <w:right w:val="single" w:sz="4" w:space="0" w:color="auto"/>
            </w:tcBorders>
            <w:vAlign w:val="center"/>
          </w:tcPr>
          <w:p w14:paraId="6EA20609"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向阳水电站前池</w:t>
            </w:r>
          </w:p>
        </w:tc>
        <w:tc>
          <w:tcPr>
            <w:tcW w:w="1285" w:type="pct"/>
            <w:tcBorders>
              <w:top w:val="single" w:sz="4" w:space="0" w:color="auto"/>
              <w:left w:val="single" w:sz="4" w:space="0" w:color="auto"/>
              <w:bottom w:val="single" w:sz="4" w:space="0" w:color="auto"/>
              <w:right w:val="single" w:sz="4" w:space="0" w:color="auto"/>
            </w:tcBorders>
            <w:vAlign w:val="center"/>
          </w:tcPr>
          <w:p w14:paraId="58CE87C5"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w:t>
            </w:r>
          </w:p>
        </w:tc>
        <w:tc>
          <w:tcPr>
            <w:tcW w:w="1403" w:type="pct"/>
            <w:tcBorders>
              <w:top w:val="single" w:sz="4" w:space="0" w:color="auto"/>
              <w:left w:val="single" w:sz="4" w:space="0" w:color="auto"/>
              <w:bottom w:val="single" w:sz="4" w:space="0" w:color="auto"/>
              <w:right w:val="single" w:sz="4" w:space="0" w:color="auto"/>
            </w:tcBorders>
            <w:vAlign w:val="center"/>
          </w:tcPr>
          <w:p w14:paraId="063B7E31"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潜水</w:t>
            </w:r>
          </w:p>
        </w:tc>
        <w:tc>
          <w:tcPr>
            <w:tcW w:w="1639" w:type="pct"/>
            <w:tcBorders>
              <w:top w:val="single" w:sz="4" w:space="0" w:color="auto"/>
              <w:left w:val="single" w:sz="4" w:space="0" w:color="auto"/>
              <w:bottom w:val="single" w:sz="4" w:space="0" w:color="auto"/>
              <w:right w:val="nil"/>
            </w:tcBorders>
            <w:vAlign w:val="center"/>
          </w:tcPr>
          <w:p w14:paraId="3364C750" w14:textId="77777777" w:rsidR="009D12AF" w:rsidRDefault="00000000">
            <w:pPr>
              <w:spacing w:line="240" w:lineRule="auto"/>
              <w:ind w:firstLineChars="0" w:firstLine="0"/>
              <w:jc w:val="center"/>
              <w:rPr>
                <w:rFonts w:ascii="Times New Roman" w:hAnsi="Times New Roman" w:cs="Times New Roman"/>
                <w:color w:val="FF0000"/>
                <w:sz w:val="21"/>
                <w:szCs w:val="21"/>
                <w:highlight w:val="yellow"/>
              </w:rPr>
            </w:pPr>
            <w:r>
              <w:rPr>
                <w:rFonts w:ascii="Times New Roman" w:hAnsi="Times New Roman" w:cs="Times New Roman" w:hint="eastAsia"/>
                <w:sz w:val="21"/>
                <w:szCs w:val="21"/>
              </w:rPr>
              <w:t>129.28114214, 44.55370186</w:t>
            </w:r>
          </w:p>
        </w:tc>
      </w:tr>
      <w:tr w:rsidR="009D12AF" w14:paraId="76D053A2" w14:textId="77777777">
        <w:trPr>
          <w:trHeight w:val="349"/>
          <w:jc w:val="center"/>
        </w:trPr>
        <w:tc>
          <w:tcPr>
            <w:tcW w:w="671" w:type="pct"/>
            <w:vMerge/>
            <w:tcBorders>
              <w:left w:val="nil"/>
              <w:right w:val="single" w:sz="4" w:space="0" w:color="auto"/>
            </w:tcBorders>
            <w:vAlign w:val="center"/>
          </w:tcPr>
          <w:p w14:paraId="5AE24529" w14:textId="77777777" w:rsidR="009D12AF" w:rsidRDefault="009D12AF">
            <w:pPr>
              <w:spacing w:line="240" w:lineRule="auto"/>
              <w:ind w:firstLineChars="0" w:firstLine="0"/>
              <w:jc w:val="center"/>
              <w:rPr>
                <w:rFonts w:ascii="Times New Roman" w:hAnsi="Times New Roman" w:cs="Times New Roman"/>
                <w:color w:val="FF0000"/>
                <w:sz w:val="21"/>
                <w:szCs w:val="21"/>
                <w:highlight w:val="yellow"/>
              </w:rPr>
            </w:pPr>
          </w:p>
        </w:tc>
        <w:tc>
          <w:tcPr>
            <w:tcW w:w="1285" w:type="pct"/>
            <w:tcBorders>
              <w:top w:val="single" w:sz="4" w:space="0" w:color="auto"/>
              <w:left w:val="single" w:sz="4" w:space="0" w:color="auto"/>
              <w:bottom w:val="single" w:sz="4" w:space="0" w:color="auto"/>
              <w:right w:val="single" w:sz="4" w:space="0" w:color="auto"/>
            </w:tcBorders>
            <w:vAlign w:val="center"/>
          </w:tcPr>
          <w:p w14:paraId="35841F05"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3#</w:t>
            </w:r>
          </w:p>
        </w:tc>
        <w:tc>
          <w:tcPr>
            <w:tcW w:w="1403" w:type="pct"/>
            <w:tcBorders>
              <w:top w:val="single" w:sz="4" w:space="0" w:color="auto"/>
              <w:left w:val="single" w:sz="4" w:space="0" w:color="auto"/>
              <w:bottom w:val="single" w:sz="4" w:space="0" w:color="auto"/>
              <w:right w:val="single" w:sz="4" w:space="0" w:color="auto"/>
            </w:tcBorders>
            <w:vAlign w:val="center"/>
          </w:tcPr>
          <w:p w14:paraId="28A6D697"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承压水</w:t>
            </w:r>
          </w:p>
        </w:tc>
        <w:tc>
          <w:tcPr>
            <w:tcW w:w="1639" w:type="pct"/>
            <w:tcBorders>
              <w:top w:val="single" w:sz="4" w:space="0" w:color="auto"/>
              <w:left w:val="single" w:sz="4" w:space="0" w:color="auto"/>
              <w:bottom w:val="single" w:sz="4" w:space="0" w:color="auto"/>
              <w:right w:val="nil"/>
            </w:tcBorders>
            <w:vAlign w:val="center"/>
          </w:tcPr>
          <w:p w14:paraId="2383152E" w14:textId="77777777" w:rsidR="009D12AF" w:rsidRDefault="00000000">
            <w:pPr>
              <w:spacing w:line="240" w:lineRule="auto"/>
              <w:ind w:firstLineChars="0" w:firstLine="0"/>
              <w:jc w:val="center"/>
              <w:rPr>
                <w:rFonts w:ascii="Times New Roman" w:hAnsi="Times New Roman" w:cs="Times New Roman"/>
                <w:color w:val="FF0000"/>
                <w:sz w:val="21"/>
                <w:szCs w:val="21"/>
                <w:highlight w:val="yellow"/>
              </w:rPr>
            </w:pPr>
            <w:r>
              <w:rPr>
                <w:rFonts w:ascii="Times New Roman" w:hAnsi="Times New Roman" w:cs="Times New Roman" w:hint="eastAsia"/>
                <w:sz w:val="21"/>
                <w:szCs w:val="21"/>
              </w:rPr>
              <w:t>129.29298677, 44.57121330</w:t>
            </w:r>
          </w:p>
        </w:tc>
      </w:tr>
      <w:tr w:rsidR="009D12AF" w14:paraId="2D0EB89F" w14:textId="77777777">
        <w:trPr>
          <w:trHeight w:val="90"/>
          <w:jc w:val="center"/>
        </w:trPr>
        <w:tc>
          <w:tcPr>
            <w:tcW w:w="671" w:type="pct"/>
            <w:vMerge/>
            <w:tcBorders>
              <w:left w:val="nil"/>
              <w:right w:val="single" w:sz="4" w:space="0" w:color="auto"/>
            </w:tcBorders>
            <w:vAlign w:val="center"/>
          </w:tcPr>
          <w:p w14:paraId="31256A75" w14:textId="77777777" w:rsidR="009D12AF" w:rsidRDefault="009D12AF">
            <w:pPr>
              <w:spacing w:line="240" w:lineRule="auto"/>
              <w:ind w:firstLineChars="0" w:firstLine="0"/>
              <w:jc w:val="center"/>
              <w:rPr>
                <w:rFonts w:ascii="Times New Roman" w:hAnsi="Times New Roman" w:cs="Times New Roman"/>
                <w:color w:val="FF0000"/>
                <w:sz w:val="21"/>
                <w:szCs w:val="21"/>
                <w:highlight w:val="yellow"/>
              </w:rPr>
            </w:pPr>
          </w:p>
        </w:tc>
        <w:tc>
          <w:tcPr>
            <w:tcW w:w="1285" w:type="pct"/>
            <w:tcBorders>
              <w:top w:val="single" w:sz="4" w:space="0" w:color="auto"/>
              <w:left w:val="single" w:sz="4" w:space="0" w:color="auto"/>
              <w:bottom w:val="single" w:sz="4" w:space="0" w:color="auto"/>
              <w:right w:val="single" w:sz="4" w:space="0" w:color="auto"/>
            </w:tcBorders>
            <w:vAlign w:val="center"/>
          </w:tcPr>
          <w:p w14:paraId="0371E70B"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w:t>
            </w:r>
          </w:p>
        </w:tc>
        <w:tc>
          <w:tcPr>
            <w:tcW w:w="1403" w:type="pct"/>
            <w:tcBorders>
              <w:top w:val="single" w:sz="4" w:space="0" w:color="auto"/>
              <w:left w:val="single" w:sz="4" w:space="0" w:color="auto"/>
              <w:bottom w:val="single" w:sz="4" w:space="0" w:color="auto"/>
              <w:right w:val="single" w:sz="4" w:space="0" w:color="auto"/>
            </w:tcBorders>
            <w:vAlign w:val="center"/>
          </w:tcPr>
          <w:p w14:paraId="43B950FC"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潜水</w:t>
            </w:r>
          </w:p>
        </w:tc>
        <w:tc>
          <w:tcPr>
            <w:tcW w:w="2794" w:type="dxa"/>
            <w:tcBorders>
              <w:top w:val="single" w:sz="4" w:space="0" w:color="auto"/>
              <w:left w:val="single" w:sz="4" w:space="0" w:color="auto"/>
              <w:bottom w:val="single" w:sz="4" w:space="0" w:color="auto"/>
              <w:right w:val="nil"/>
            </w:tcBorders>
            <w:vAlign w:val="center"/>
          </w:tcPr>
          <w:p w14:paraId="3764B208" w14:textId="77777777" w:rsidR="009D12AF" w:rsidRDefault="00000000">
            <w:pPr>
              <w:spacing w:line="240" w:lineRule="auto"/>
              <w:ind w:firstLineChars="0" w:firstLine="0"/>
              <w:jc w:val="center"/>
              <w:rPr>
                <w:rFonts w:ascii="Times New Roman" w:hAnsi="Times New Roman" w:cs="Times New Roman"/>
                <w:color w:val="FF0000"/>
                <w:sz w:val="21"/>
                <w:szCs w:val="21"/>
                <w:highlight w:val="yellow"/>
              </w:rPr>
            </w:pPr>
            <w:r>
              <w:rPr>
                <w:rFonts w:ascii="Times New Roman" w:hAnsi="Times New Roman" w:cs="Times New Roman" w:hint="eastAsia"/>
                <w:sz w:val="21"/>
                <w:szCs w:val="21"/>
              </w:rPr>
              <w:t>129.30362978, 44.56915139</w:t>
            </w:r>
          </w:p>
        </w:tc>
      </w:tr>
      <w:tr w:rsidR="009D12AF" w14:paraId="2900D05D" w14:textId="77777777">
        <w:trPr>
          <w:trHeight w:val="349"/>
          <w:jc w:val="center"/>
        </w:trPr>
        <w:tc>
          <w:tcPr>
            <w:tcW w:w="671" w:type="pct"/>
            <w:vMerge/>
            <w:tcBorders>
              <w:left w:val="nil"/>
              <w:bottom w:val="single" w:sz="12" w:space="0" w:color="auto"/>
              <w:right w:val="single" w:sz="4" w:space="0" w:color="auto"/>
            </w:tcBorders>
            <w:vAlign w:val="center"/>
          </w:tcPr>
          <w:p w14:paraId="28CD6BD4" w14:textId="77777777" w:rsidR="009D12AF" w:rsidRDefault="009D12AF">
            <w:pPr>
              <w:spacing w:line="240" w:lineRule="auto"/>
              <w:ind w:firstLineChars="0" w:firstLine="0"/>
              <w:jc w:val="center"/>
              <w:rPr>
                <w:rFonts w:ascii="Times New Roman" w:hAnsi="Times New Roman" w:cs="Times New Roman"/>
                <w:color w:val="FF0000"/>
                <w:sz w:val="21"/>
                <w:szCs w:val="21"/>
                <w:highlight w:val="yellow"/>
              </w:rPr>
            </w:pPr>
          </w:p>
        </w:tc>
        <w:tc>
          <w:tcPr>
            <w:tcW w:w="1285" w:type="pct"/>
            <w:tcBorders>
              <w:top w:val="single" w:sz="4" w:space="0" w:color="auto"/>
              <w:left w:val="single" w:sz="4" w:space="0" w:color="auto"/>
              <w:bottom w:val="single" w:sz="12" w:space="0" w:color="auto"/>
              <w:right w:val="single" w:sz="4" w:space="0" w:color="auto"/>
            </w:tcBorders>
            <w:vAlign w:val="center"/>
          </w:tcPr>
          <w:p w14:paraId="6BAE631A"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w:t>
            </w:r>
          </w:p>
        </w:tc>
        <w:tc>
          <w:tcPr>
            <w:tcW w:w="1403" w:type="pct"/>
            <w:tcBorders>
              <w:top w:val="single" w:sz="4" w:space="0" w:color="auto"/>
              <w:left w:val="single" w:sz="4" w:space="0" w:color="auto"/>
              <w:bottom w:val="single" w:sz="12" w:space="0" w:color="auto"/>
              <w:right w:val="single" w:sz="4" w:space="0" w:color="auto"/>
            </w:tcBorders>
            <w:vAlign w:val="center"/>
          </w:tcPr>
          <w:p w14:paraId="1C1CDA67"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潜水</w:t>
            </w:r>
          </w:p>
        </w:tc>
        <w:tc>
          <w:tcPr>
            <w:tcW w:w="2794" w:type="dxa"/>
            <w:tcBorders>
              <w:top w:val="single" w:sz="4" w:space="0" w:color="auto"/>
              <w:left w:val="single" w:sz="4" w:space="0" w:color="auto"/>
              <w:bottom w:val="single" w:sz="12" w:space="0" w:color="auto"/>
              <w:right w:val="nil"/>
            </w:tcBorders>
            <w:vAlign w:val="center"/>
          </w:tcPr>
          <w:p w14:paraId="19F361EF" w14:textId="77777777" w:rsidR="009D12AF" w:rsidRDefault="00000000">
            <w:pPr>
              <w:spacing w:line="240" w:lineRule="auto"/>
              <w:ind w:firstLineChars="0" w:firstLine="0"/>
              <w:jc w:val="center"/>
              <w:rPr>
                <w:rFonts w:ascii="Times New Roman" w:hAnsi="Times New Roman" w:cs="Times New Roman"/>
                <w:color w:val="FF0000"/>
                <w:sz w:val="21"/>
                <w:szCs w:val="21"/>
                <w:highlight w:val="yellow"/>
              </w:rPr>
            </w:pPr>
            <w:r>
              <w:rPr>
                <w:rFonts w:ascii="Times New Roman" w:hAnsi="Times New Roman" w:cs="Times New Roman" w:hint="eastAsia"/>
                <w:sz w:val="21"/>
                <w:szCs w:val="21"/>
              </w:rPr>
              <w:t>129.30362978, 44.56915139</w:t>
            </w:r>
          </w:p>
        </w:tc>
      </w:tr>
    </w:tbl>
    <w:p w14:paraId="1F463EA7" w14:textId="77777777" w:rsidR="009D12AF" w:rsidRDefault="00000000">
      <w:pPr>
        <w:ind w:firstLineChars="0" w:firstLine="0"/>
        <w:jc w:val="center"/>
        <w:rPr>
          <w:color w:val="FF0000"/>
          <w:highlight w:val="yellow"/>
        </w:rPr>
      </w:pPr>
      <w:r>
        <w:rPr>
          <w:noProof/>
        </w:rPr>
        <w:drawing>
          <wp:inline distT="0" distB="0" distL="114300" distR="114300" wp14:anchorId="61D0283A" wp14:editId="09A41589">
            <wp:extent cx="5419725" cy="3649980"/>
            <wp:effectExtent l="0" t="0" r="9525" b="7620"/>
            <wp:docPr id="90" name="图片 90" descr="f4e8ad9f-8469-4912-972d-1240241b08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f4e8ad9f-8469-4912-972d-1240241b08d9"/>
                    <pic:cNvPicPr>
                      <a:picLocks noChangeAspect="1"/>
                    </pic:cNvPicPr>
                  </pic:nvPicPr>
                  <pic:blipFill>
                    <a:blip r:embed="rId42"/>
                    <a:stretch>
                      <a:fillRect/>
                    </a:stretch>
                  </pic:blipFill>
                  <pic:spPr>
                    <a:xfrm>
                      <a:off x="0" y="0"/>
                      <a:ext cx="5419725" cy="3649980"/>
                    </a:xfrm>
                    <a:prstGeom prst="rect">
                      <a:avLst/>
                    </a:prstGeom>
                  </pic:spPr>
                </pic:pic>
              </a:graphicData>
            </a:graphic>
          </wp:inline>
        </w:drawing>
      </w:r>
    </w:p>
    <w:p w14:paraId="64DE4F5A" w14:textId="77777777" w:rsidR="009D12AF" w:rsidRDefault="00000000">
      <w:pPr>
        <w:ind w:firstLine="482"/>
        <w:jc w:val="center"/>
        <w:rPr>
          <w:rFonts w:eastAsia="宋体"/>
        </w:rPr>
      </w:pPr>
      <w:r>
        <w:rPr>
          <w:rFonts w:hint="eastAsia"/>
          <w:b/>
          <w:bCs/>
        </w:rPr>
        <w:t>图</w:t>
      </w:r>
      <w:r>
        <w:rPr>
          <w:rFonts w:hint="eastAsia"/>
          <w:b/>
          <w:bCs/>
        </w:rPr>
        <w:t>4.3-11</w:t>
      </w:r>
      <w:r>
        <w:rPr>
          <w:rFonts w:hint="eastAsia"/>
          <w:b/>
          <w:bCs/>
        </w:rPr>
        <w:t>群力水库地下水水质水位监测点位图</w:t>
      </w:r>
    </w:p>
    <w:p w14:paraId="3F9722DC" w14:textId="77777777" w:rsidR="009D12AF" w:rsidRDefault="00000000">
      <w:pPr>
        <w:ind w:firstLineChars="0" w:firstLine="0"/>
        <w:rPr>
          <w:color w:val="FF0000"/>
          <w:highlight w:val="yellow"/>
        </w:rPr>
      </w:pPr>
      <w:r>
        <w:rPr>
          <w:rFonts w:ascii="Times New Roman" w:eastAsia="宋体" w:hint="eastAsia"/>
          <w:b/>
          <w:bCs/>
          <w:noProof/>
        </w:rPr>
        <w:lastRenderedPageBreak/>
        <w:drawing>
          <wp:inline distT="0" distB="0" distL="114300" distR="114300" wp14:anchorId="76DAE1C9" wp14:editId="24E2AD51">
            <wp:extent cx="5789295" cy="3171825"/>
            <wp:effectExtent l="0" t="0" r="1905" b="9525"/>
            <wp:docPr id="91" name="图片 91" descr="4833f831-b9ee-4e59-9d7e-0236869e50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4833f831-b9ee-4e59-9d7e-0236869e50a4"/>
                    <pic:cNvPicPr>
                      <a:picLocks noChangeAspect="1"/>
                    </pic:cNvPicPr>
                  </pic:nvPicPr>
                  <pic:blipFill>
                    <a:blip r:embed="rId43" cstate="screen">
                      <a:extLst>
                        <a:ext uri="{28A0092B-C50C-407E-A947-70E740481C1C}">
                          <a14:useLocalDpi xmlns:a14="http://schemas.microsoft.com/office/drawing/2010/main"/>
                        </a:ext>
                      </a:extLst>
                    </a:blip>
                    <a:stretch>
                      <a:fillRect/>
                    </a:stretch>
                  </pic:blipFill>
                  <pic:spPr>
                    <a:xfrm>
                      <a:off x="0" y="0"/>
                      <a:ext cx="5789295" cy="3171825"/>
                    </a:xfrm>
                    <a:prstGeom prst="rect">
                      <a:avLst/>
                    </a:prstGeom>
                  </pic:spPr>
                </pic:pic>
              </a:graphicData>
            </a:graphic>
          </wp:inline>
        </w:drawing>
      </w:r>
    </w:p>
    <w:p w14:paraId="242132BB" w14:textId="77777777" w:rsidR="009D12AF" w:rsidRDefault="00000000">
      <w:pPr>
        <w:ind w:firstLine="482"/>
        <w:jc w:val="center"/>
        <w:rPr>
          <w:rFonts w:eastAsia="宋体"/>
          <w:b/>
          <w:bCs/>
        </w:rPr>
      </w:pPr>
      <w:r>
        <w:rPr>
          <w:rFonts w:hint="eastAsia"/>
          <w:b/>
          <w:bCs/>
        </w:rPr>
        <w:t>图</w:t>
      </w:r>
      <w:r>
        <w:rPr>
          <w:rFonts w:hint="eastAsia"/>
          <w:b/>
          <w:bCs/>
        </w:rPr>
        <w:t>4.3-12</w:t>
      </w:r>
      <w:r>
        <w:rPr>
          <w:rFonts w:hint="eastAsia"/>
          <w:b/>
          <w:bCs/>
        </w:rPr>
        <w:t>向阳水电站前池地下水水质水位监测点位图</w:t>
      </w:r>
    </w:p>
    <w:p w14:paraId="28A3FD7C" w14:textId="77777777" w:rsidR="009D12AF" w:rsidRDefault="00000000">
      <w:pPr>
        <w:pStyle w:val="a9"/>
        <w:ind w:firstLine="480"/>
        <w:rPr>
          <w:rFonts w:ascii="Times New Roman" w:hAnsi="Times New Roman" w:cs="Times New Roman"/>
          <w:color w:val="000000" w:themeColor="text1"/>
        </w:rPr>
      </w:pPr>
      <w:r>
        <w:rPr>
          <w:rFonts w:ascii="Times New Roman" w:hAnsi="Times New Roman" w:cs="Times New Roman"/>
          <w:color w:val="000000" w:themeColor="text1"/>
        </w:rPr>
        <w:t>2</w:t>
      </w:r>
      <w:r>
        <w:rPr>
          <w:rFonts w:ascii="Times New Roman" w:hAnsi="Times New Roman" w:cs="Times New Roman"/>
          <w:color w:val="000000" w:themeColor="text1"/>
        </w:rPr>
        <w:t>、监测项目</w:t>
      </w:r>
    </w:p>
    <w:p w14:paraId="364057D0" w14:textId="77777777" w:rsidR="009D12AF" w:rsidRDefault="00000000">
      <w:pPr>
        <w:pStyle w:val="a9"/>
        <w:ind w:firstLine="480"/>
        <w:rPr>
          <w:rFonts w:ascii="Times New Roman" w:hAnsi="Times New Roman" w:cs="Times New Roman"/>
          <w:color w:val="000000" w:themeColor="text1"/>
        </w:rPr>
      </w:pPr>
      <w:r>
        <w:rPr>
          <w:rFonts w:ascii="Times New Roman" w:hAnsi="Times New Roman" w:cs="Times New Roman"/>
          <w:color w:val="000000" w:themeColor="text1"/>
        </w:rPr>
        <w:t>监测项目选择</w:t>
      </w:r>
      <w:r>
        <w:rPr>
          <w:rFonts w:ascii="Times New Roman" w:hAnsi="Times New Roman" w:cs="Times New Roman"/>
          <w:color w:val="000000" w:themeColor="text1"/>
        </w:rPr>
        <w:t xml:space="preserve"> pH</w:t>
      </w:r>
      <w:r>
        <w:rPr>
          <w:rFonts w:ascii="Times New Roman" w:hAnsi="Times New Roman" w:cs="Times New Roman"/>
          <w:color w:val="000000" w:themeColor="text1"/>
        </w:rPr>
        <w:t>、氨氮、硝酸盐、亚硝酸盐、挥发性酚类、氰化物、砷、汞、铬（六价）、总硬度、铅、氟、镉、铁、锰、溶解性总固体、耗氧量、硫酸盐、氯化物、总大肠菌群、菌落总数、</w:t>
      </w:r>
      <w:r>
        <w:rPr>
          <w:rFonts w:ascii="Times New Roman" w:hAnsi="Times New Roman" w:cs="Times New Roman"/>
          <w:color w:val="000000" w:themeColor="text1"/>
        </w:rPr>
        <w:t>K</w:t>
      </w:r>
      <w:r>
        <w:rPr>
          <w:rFonts w:ascii="Times New Roman" w:hAnsi="Times New Roman" w:cs="Times New Roman"/>
          <w:color w:val="000000" w:themeColor="text1"/>
          <w:vertAlign w:val="superscript"/>
        </w:rPr>
        <w:t>+</w:t>
      </w:r>
      <w:r>
        <w:rPr>
          <w:rFonts w:ascii="Times New Roman" w:hAnsi="Times New Roman" w:cs="Times New Roman"/>
          <w:color w:val="000000" w:themeColor="text1"/>
        </w:rPr>
        <w:t>、</w:t>
      </w:r>
      <w:r>
        <w:rPr>
          <w:rFonts w:ascii="Times New Roman" w:hAnsi="Times New Roman" w:cs="Times New Roman"/>
          <w:color w:val="000000" w:themeColor="text1"/>
        </w:rPr>
        <w:t>Na</w:t>
      </w:r>
      <w:r>
        <w:rPr>
          <w:rFonts w:ascii="Times New Roman" w:hAnsi="Times New Roman" w:cs="Times New Roman"/>
          <w:color w:val="000000" w:themeColor="text1"/>
          <w:vertAlign w:val="superscript"/>
        </w:rPr>
        <w:t>+</w:t>
      </w:r>
      <w:r>
        <w:rPr>
          <w:rFonts w:ascii="Times New Roman" w:hAnsi="Times New Roman" w:cs="Times New Roman"/>
          <w:color w:val="000000" w:themeColor="text1"/>
        </w:rPr>
        <w:t>、</w:t>
      </w:r>
      <w:r>
        <w:rPr>
          <w:rFonts w:ascii="Times New Roman" w:hAnsi="Times New Roman" w:cs="Times New Roman"/>
          <w:color w:val="000000" w:themeColor="text1"/>
        </w:rPr>
        <w:t>Ca</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w:t>
      </w:r>
      <w:r>
        <w:rPr>
          <w:rFonts w:ascii="Times New Roman" w:hAnsi="Times New Roman" w:cs="Times New Roman"/>
          <w:color w:val="000000" w:themeColor="text1"/>
        </w:rPr>
        <w:t>Mg</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w:t>
      </w:r>
      <w:r>
        <w:rPr>
          <w:rFonts w:ascii="Times New Roman" w:hAnsi="Times New Roman" w:cs="Times New Roman"/>
          <w:color w:val="000000" w:themeColor="text1"/>
        </w:rPr>
        <w:t>CO</w:t>
      </w:r>
      <w:r>
        <w:rPr>
          <w:rFonts w:ascii="Times New Roman" w:hAnsi="Times New Roman" w:cs="Times New Roman"/>
          <w:color w:val="000000" w:themeColor="text1"/>
          <w:vertAlign w:val="subscript"/>
        </w:rPr>
        <w:t>3</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w:t>
      </w:r>
      <w:r>
        <w:rPr>
          <w:rFonts w:ascii="Times New Roman" w:hAnsi="Times New Roman" w:cs="Times New Roman"/>
          <w:color w:val="000000" w:themeColor="text1"/>
        </w:rPr>
        <w:t>HCO</w:t>
      </w:r>
      <w:r>
        <w:rPr>
          <w:rFonts w:ascii="Times New Roman" w:hAnsi="Times New Roman" w:cs="Times New Roman"/>
          <w:color w:val="000000" w:themeColor="text1"/>
          <w:vertAlign w:val="subscript"/>
        </w:rPr>
        <w:t>3</w:t>
      </w:r>
      <w:r>
        <w:rPr>
          <w:rFonts w:ascii="Times New Roman" w:hAnsi="Times New Roman" w:cs="Times New Roman"/>
          <w:color w:val="000000" w:themeColor="text1"/>
          <w:vertAlign w:val="superscript"/>
        </w:rPr>
        <w:t>-</w:t>
      </w:r>
      <w:r>
        <w:rPr>
          <w:rFonts w:ascii="Times New Roman" w:hAnsi="Times New Roman" w:cs="Times New Roman"/>
          <w:color w:val="000000" w:themeColor="text1"/>
        </w:rPr>
        <w:t>、</w:t>
      </w:r>
      <w:r>
        <w:rPr>
          <w:rFonts w:ascii="Times New Roman" w:hAnsi="Times New Roman" w:cs="Times New Roman"/>
          <w:color w:val="000000" w:themeColor="text1"/>
        </w:rPr>
        <w:t>Cl</w:t>
      </w:r>
      <w:r>
        <w:rPr>
          <w:rFonts w:ascii="Times New Roman" w:hAnsi="Times New Roman" w:cs="Times New Roman"/>
          <w:color w:val="000000" w:themeColor="text1"/>
          <w:vertAlign w:val="superscript"/>
        </w:rPr>
        <w:t>-</w:t>
      </w:r>
      <w:r>
        <w:rPr>
          <w:rFonts w:ascii="Times New Roman" w:hAnsi="Times New Roman" w:cs="Times New Roman"/>
          <w:color w:val="000000" w:themeColor="text1"/>
        </w:rPr>
        <w:t>、</w:t>
      </w:r>
      <w:r>
        <w:rPr>
          <w:rFonts w:ascii="Times New Roman" w:hAnsi="Times New Roman" w:cs="Times New Roman"/>
          <w:color w:val="000000" w:themeColor="text1"/>
        </w:rPr>
        <w:t>SO</w:t>
      </w:r>
      <w:r>
        <w:rPr>
          <w:rFonts w:ascii="Times New Roman" w:hAnsi="Times New Roman" w:cs="Times New Roman"/>
          <w:color w:val="000000" w:themeColor="text1"/>
          <w:vertAlign w:val="subscript"/>
        </w:rPr>
        <w:t>4</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w:t>
      </w:r>
    </w:p>
    <w:p w14:paraId="5D759144" w14:textId="77777777" w:rsidR="009D12AF" w:rsidRDefault="00000000">
      <w:pPr>
        <w:pStyle w:val="a9"/>
        <w:ind w:firstLine="480"/>
        <w:rPr>
          <w:rFonts w:ascii="Times New Roman" w:hAnsi="Times New Roman" w:cs="Times New Roman"/>
          <w:color w:val="000000" w:themeColor="text1"/>
        </w:rPr>
      </w:pPr>
      <w:r>
        <w:rPr>
          <w:rFonts w:ascii="Times New Roman" w:hAnsi="Times New Roman" w:cs="Times New Roman" w:hint="eastAsia"/>
          <w:color w:val="000000" w:themeColor="text1"/>
        </w:rPr>
        <w:t>3</w:t>
      </w:r>
      <w:r>
        <w:rPr>
          <w:rFonts w:ascii="Times New Roman" w:hAnsi="Times New Roman" w:cs="Times New Roman" w:hint="eastAsia"/>
          <w:color w:val="000000" w:themeColor="text1"/>
        </w:rPr>
        <w:t>、监测分析方法</w:t>
      </w:r>
    </w:p>
    <w:p w14:paraId="0252BB38" w14:textId="77777777" w:rsidR="009D12AF" w:rsidRDefault="00000000">
      <w:pPr>
        <w:ind w:firstLine="480"/>
      </w:pPr>
      <w:r>
        <w:rPr>
          <w:rFonts w:hint="eastAsia"/>
        </w:rPr>
        <w:t>按照《地下水环境监测技术规范》（</w:t>
      </w:r>
      <w:r>
        <w:rPr>
          <w:rFonts w:hint="eastAsia"/>
        </w:rPr>
        <w:t>HT/T164-2004</w:t>
      </w:r>
      <w:r>
        <w:rPr>
          <w:rFonts w:hint="eastAsia"/>
        </w:rPr>
        <w:t>）和《环境水质监测质量保证手册》中有关规定执行。监测分析方法具体见表</w:t>
      </w:r>
      <w:r>
        <w:rPr>
          <w:rFonts w:hint="eastAsia"/>
        </w:rPr>
        <w:t>4.3-16</w:t>
      </w:r>
      <w:r>
        <w:rPr>
          <w:rFonts w:hint="eastAsia"/>
        </w:rPr>
        <w:t>。</w:t>
      </w:r>
    </w:p>
    <w:p w14:paraId="3AE4FAD5" w14:textId="77777777" w:rsidR="009D12AF" w:rsidRDefault="00000000">
      <w:pPr>
        <w:ind w:firstLine="482"/>
        <w:jc w:val="center"/>
        <w:rPr>
          <w:b/>
          <w:bCs/>
        </w:rPr>
      </w:pPr>
      <w:r>
        <w:rPr>
          <w:rFonts w:hint="eastAsia"/>
          <w:b/>
          <w:bCs/>
        </w:rPr>
        <w:t>表</w:t>
      </w:r>
      <w:r>
        <w:rPr>
          <w:rFonts w:hint="eastAsia"/>
          <w:b/>
          <w:bCs/>
        </w:rPr>
        <w:t xml:space="preserve">4.3-16 </w:t>
      </w:r>
      <w:r>
        <w:rPr>
          <w:rFonts w:hint="eastAsia"/>
          <w:b/>
          <w:bCs/>
        </w:rPr>
        <w:t>地下水监测项目分析方法一览表</w:t>
      </w:r>
    </w:p>
    <w:tbl>
      <w:tblPr>
        <w:tblW w:w="4998"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18"/>
        <w:gridCol w:w="1314"/>
        <w:gridCol w:w="3736"/>
        <w:gridCol w:w="2835"/>
      </w:tblGrid>
      <w:tr w:rsidR="009D12AF" w14:paraId="6837BF9C" w14:textId="77777777">
        <w:trPr>
          <w:trHeight w:val="425"/>
          <w:jc w:val="center"/>
        </w:trPr>
        <w:tc>
          <w:tcPr>
            <w:tcW w:w="1042" w:type="pct"/>
            <w:gridSpan w:val="2"/>
            <w:tcBorders>
              <w:tl2br w:val="nil"/>
              <w:tr2bl w:val="nil"/>
            </w:tcBorders>
            <w:vAlign w:val="center"/>
          </w:tcPr>
          <w:p w14:paraId="7D778CA7" w14:textId="77777777" w:rsidR="009D12AF" w:rsidRDefault="00000000">
            <w:pPr>
              <w:spacing w:line="240" w:lineRule="auto"/>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检测项目</w:t>
            </w:r>
          </w:p>
        </w:tc>
        <w:tc>
          <w:tcPr>
            <w:tcW w:w="2250" w:type="pct"/>
            <w:tcBorders>
              <w:tl2br w:val="nil"/>
              <w:tr2bl w:val="nil"/>
            </w:tcBorders>
            <w:vAlign w:val="center"/>
          </w:tcPr>
          <w:p w14:paraId="6E5BDA40" w14:textId="77777777" w:rsidR="009D12AF" w:rsidRDefault="00000000">
            <w:pPr>
              <w:spacing w:line="240" w:lineRule="auto"/>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检测方法名称及标准号</w:t>
            </w:r>
          </w:p>
        </w:tc>
        <w:tc>
          <w:tcPr>
            <w:tcW w:w="1707" w:type="pct"/>
            <w:tcBorders>
              <w:tl2br w:val="nil"/>
              <w:tr2bl w:val="nil"/>
            </w:tcBorders>
            <w:vAlign w:val="center"/>
          </w:tcPr>
          <w:p w14:paraId="54D0C58E" w14:textId="77777777" w:rsidR="009D12AF" w:rsidRDefault="00000000">
            <w:pPr>
              <w:spacing w:line="240" w:lineRule="auto"/>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仪器名称</w:t>
            </w:r>
            <w:r>
              <w:rPr>
                <w:rFonts w:ascii="Times New Roman" w:eastAsia="宋体" w:hAnsi="Times New Roman" w:cs="Times New Roman"/>
                <w:b/>
                <w:bCs/>
                <w:sz w:val="21"/>
                <w:szCs w:val="21"/>
              </w:rPr>
              <w:t>/</w:t>
            </w:r>
            <w:r>
              <w:rPr>
                <w:rFonts w:ascii="Times New Roman" w:eastAsia="宋体" w:hAnsi="Times New Roman" w:cs="Times New Roman"/>
                <w:b/>
                <w:bCs/>
                <w:sz w:val="21"/>
                <w:szCs w:val="21"/>
              </w:rPr>
              <w:t>仪器型号</w:t>
            </w:r>
            <w:r>
              <w:rPr>
                <w:rFonts w:ascii="Times New Roman" w:eastAsia="宋体" w:hAnsi="Times New Roman" w:cs="Times New Roman"/>
                <w:b/>
                <w:bCs/>
                <w:sz w:val="21"/>
                <w:szCs w:val="21"/>
              </w:rPr>
              <w:t>/</w:t>
            </w:r>
            <w:r>
              <w:rPr>
                <w:rFonts w:ascii="Times New Roman" w:eastAsia="宋体" w:hAnsi="Times New Roman" w:cs="Times New Roman"/>
                <w:b/>
                <w:bCs/>
                <w:sz w:val="21"/>
                <w:szCs w:val="21"/>
              </w:rPr>
              <w:t>仪器编号</w:t>
            </w:r>
          </w:p>
        </w:tc>
      </w:tr>
      <w:tr w:rsidR="009D12AF" w14:paraId="47212013" w14:textId="77777777">
        <w:trPr>
          <w:trHeight w:val="425"/>
          <w:jc w:val="center"/>
        </w:trPr>
        <w:tc>
          <w:tcPr>
            <w:tcW w:w="251" w:type="pct"/>
            <w:tcBorders>
              <w:tl2br w:val="nil"/>
              <w:tr2bl w:val="nil"/>
            </w:tcBorders>
            <w:vAlign w:val="center"/>
          </w:tcPr>
          <w:p w14:paraId="3DBEBA82"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w:t>
            </w:r>
          </w:p>
        </w:tc>
        <w:tc>
          <w:tcPr>
            <w:tcW w:w="791" w:type="pct"/>
            <w:tcBorders>
              <w:tl2br w:val="nil"/>
              <w:tr2bl w:val="nil"/>
            </w:tcBorders>
            <w:vAlign w:val="center"/>
          </w:tcPr>
          <w:p w14:paraId="5905EA3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pH</w:t>
            </w:r>
            <w:r>
              <w:rPr>
                <w:rFonts w:ascii="Times New Roman" w:hAnsi="Times New Roman" w:cs="Times New Roman" w:hint="eastAsia"/>
                <w:kern w:val="0"/>
                <w:sz w:val="21"/>
                <w:szCs w:val="21"/>
                <w:lang w:bidi="ar"/>
              </w:rPr>
              <w:t>值</w:t>
            </w:r>
          </w:p>
        </w:tc>
        <w:tc>
          <w:tcPr>
            <w:tcW w:w="2250" w:type="pct"/>
            <w:tcBorders>
              <w:tl2br w:val="nil"/>
              <w:tr2bl w:val="nil"/>
            </w:tcBorders>
            <w:vAlign w:val="center"/>
          </w:tcPr>
          <w:p w14:paraId="52F7036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pH</w:t>
            </w:r>
            <w:r>
              <w:rPr>
                <w:rFonts w:ascii="Times New Roman" w:eastAsia="宋体" w:hAnsi="Times New Roman" w:cs="Times New Roman"/>
                <w:kern w:val="0"/>
                <w:sz w:val="21"/>
                <w:szCs w:val="21"/>
                <w:lang w:bidi="ar"/>
              </w:rPr>
              <w:t>值的测定</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玻璃电极法</w:t>
            </w:r>
            <w:r>
              <w:rPr>
                <w:rFonts w:ascii="Times New Roman" w:hAnsi="Times New Roman" w:cs="Times New Roman" w:hint="eastAsia"/>
                <w:kern w:val="0"/>
                <w:sz w:val="21"/>
                <w:szCs w:val="21"/>
                <w:lang w:bidi="ar"/>
              </w:rPr>
              <w:t xml:space="preserve"> </w:t>
            </w:r>
          </w:p>
          <w:p w14:paraId="694AE5A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HJ</w:t>
            </w:r>
            <w:r>
              <w:rPr>
                <w:rFonts w:ascii="Times New Roman" w:hAnsi="Times New Roman" w:cs="Times New Roman" w:hint="eastAsia"/>
                <w:kern w:val="0"/>
                <w:sz w:val="21"/>
                <w:szCs w:val="21"/>
                <w:lang w:bidi="ar"/>
              </w:rPr>
              <w:t xml:space="preserve"> </w:t>
            </w:r>
            <w:r>
              <w:rPr>
                <w:rFonts w:ascii="Times New Roman" w:eastAsia="宋体" w:hAnsi="Times New Roman" w:cs="Times New Roman"/>
                <w:kern w:val="0"/>
                <w:sz w:val="21"/>
                <w:szCs w:val="21"/>
                <w:lang w:bidi="ar"/>
              </w:rPr>
              <w:t>1147-2020</w:t>
            </w:r>
          </w:p>
        </w:tc>
        <w:tc>
          <w:tcPr>
            <w:tcW w:w="1707" w:type="pct"/>
            <w:tcBorders>
              <w:tl2br w:val="nil"/>
              <w:tr2bl w:val="nil"/>
            </w:tcBorders>
            <w:vAlign w:val="center"/>
          </w:tcPr>
          <w:p w14:paraId="79582F72"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color w:val="000000"/>
                <w:kern w:val="0"/>
                <w:sz w:val="21"/>
                <w:szCs w:val="21"/>
                <w:lang w:bidi="ar"/>
              </w:rPr>
              <w:t>便携式酸度计</w:t>
            </w:r>
            <w:r>
              <w:rPr>
                <w:rFonts w:ascii="Times New Roman" w:hAnsi="Times New Roman" w:cs="Times New Roman" w:hint="eastAsia"/>
                <w:color w:val="000000"/>
                <w:kern w:val="0"/>
                <w:sz w:val="21"/>
                <w:szCs w:val="21"/>
                <w:lang w:bidi="ar"/>
              </w:rPr>
              <w:t>/HI8424/KXYQ-055</w:t>
            </w:r>
          </w:p>
        </w:tc>
      </w:tr>
      <w:tr w:rsidR="009D12AF" w14:paraId="78985ABB" w14:textId="77777777">
        <w:trPr>
          <w:trHeight w:val="425"/>
          <w:jc w:val="center"/>
        </w:trPr>
        <w:tc>
          <w:tcPr>
            <w:tcW w:w="251" w:type="pct"/>
            <w:tcBorders>
              <w:tl2br w:val="nil"/>
              <w:tr2bl w:val="nil"/>
            </w:tcBorders>
            <w:vAlign w:val="center"/>
          </w:tcPr>
          <w:p w14:paraId="5CD855E3"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w:t>
            </w:r>
          </w:p>
        </w:tc>
        <w:tc>
          <w:tcPr>
            <w:tcW w:w="791" w:type="pct"/>
            <w:tcBorders>
              <w:tl2br w:val="nil"/>
              <w:tr2bl w:val="nil"/>
            </w:tcBorders>
            <w:vAlign w:val="center"/>
          </w:tcPr>
          <w:p w14:paraId="7263CF4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钙和镁总量</w:t>
            </w:r>
          </w:p>
        </w:tc>
        <w:tc>
          <w:tcPr>
            <w:tcW w:w="2250" w:type="pct"/>
            <w:tcBorders>
              <w:tl2br w:val="nil"/>
              <w:tr2bl w:val="nil"/>
            </w:tcBorders>
            <w:vAlign w:val="center"/>
          </w:tcPr>
          <w:p w14:paraId="7A13297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钙和镁总量的测定</w:t>
            </w:r>
            <w:r>
              <w:rPr>
                <w:rFonts w:ascii="Times New Roman" w:eastAsia="宋体" w:hAnsi="Times New Roman" w:cs="Times New Roman"/>
                <w:kern w:val="0"/>
                <w:sz w:val="21"/>
                <w:szCs w:val="21"/>
                <w:lang w:bidi="ar"/>
              </w:rPr>
              <w:t xml:space="preserve">EDTA </w:t>
            </w:r>
            <w:r>
              <w:rPr>
                <w:rFonts w:ascii="Times New Roman" w:eastAsia="宋体" w:hAnsi="Times New Roman" w:cs="Times New Roman"/>
                <w:kern w:val="0"/>
                <w:sz w:val="21"/>
                <w:szCs w:val="21"/>
                <w:lang w:bidi="ar"/>
              </w:rPr>
              <w:t>滴定法</w:t>
            </w:r>
          </w:p>
          <w:p w14:paraId="4C2A71E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GB</w:t>
            </w:r>
            <w:r>
              <w:rPr>
                <w:rFonts w:ascii="Times New Roman" w:hAnsi="Times New Roman" w:cs="Times New Roman" w:hint="eastAsia"/>
                <w:kern w:val="0"/>
                <w:sz w:val="21"/>
                <w:szCs w:val="21"/>
                <w:lang w:bidi="ar"/>
              </w:rPr>
              <w:t xml:space="preserve"> </w:t>
            </w:r>
            <w:r>
              <w:rPr>
                <w:rFonts w:ascii="Times New Roman" w:eastAsia="宋体" w:hAnsi="Times New Roman" w:cs="Times New Roman"/>
                <w:kern w:val="0"/>
                <w:sz w:val="21"/>
                <w:szCs w:val="21"/>
                <w:lang w:bidi="ar"/>
              </w:rPr>
              <w:t>7477-87</w:t>
            </w:r>
          </w:p>
        </w:tc>
        <w:tc>
          <w:tcPr>
            <w:tcW w:w="1707" w:type="pct"/>
            <w:tcBorders>
              <w:tl2br w:val="nil"/>
              <w:tr2bl w:val="nil"/>
            </w:tcBorders>
            <w:vAlign w:val="center"/>
          </w:tcPr>
          <w:p w14:paraId="1360834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碱式滴定管</w:t>
            </w:r>
            <w:r>
              <w:rPr>
                <w:rFonts w:ascii="Times New Roman" w:eastAsia="宋体" w:hAnsi="Times New Roman" w:cs="Times New Roman"/>
                <w:kern w:val="0"/>
                <w:sz w:val="21"/>
                <w:szCs w:val="21"/>
                <w:lang w:bidi="ar"/>
              </w:rPr>
              <w:t>/50mL</w:t>
            </w:r>
          </w:p>
        </w:tc>
      </w:tr>
      <w:tr w:rsidR="009D12AF" w14:paraId="563D242C" w14:textId="77777777">
        <w:trPr>
          <w:trHeight w:val="425"/>
          <w:jc w:val="center"/>
        </w:trPr>
        <w:tc>
          <w:tcPr>
            <w:tcW w:w="251" w:type="pct"/>
            <w:vMerge w:val="restart"/>
            <w:tcBorders>
              <w:tl2br w:val="nil"/>
              <w:tr2bl w:val="nil"/>
            </w:tcBorders>
            <w:vAlign w:val="center"/>
          </w:tcPr>
          <w:p w14:paraId="07DDBD62"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3</w:t>
            </w:r>
          </w:p>
        </w:tc>
        <w:tc>
          <w:tcPr>
            <w:tcW w:w="791" w:type="pct"/>
            <w:vMerge w:val="restart"/>
            <w:tcBorders>
              <w:tl2br w:val="nil"/>
              <w:tr2bl w:val="nil"/>
            </w:tcBorders>
            <w:vAlign w:val="center"/>
          </w:tcPr>
          <w:p w14:paraId="60B71F68"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溶解性总固体</w:t>
            </w:r>
          </w:p>
        </w:tc>
        <w:tc>
          <w:tcPr>
            <w:tcW w:w="2250" w:type="pct"/>
            <w:vMerge w:val="restart"/>
            <w:tcBorders>
              <w:tl2br w:val="nil"/>
              <w:tr2bl w:val="nil"/>
            </w:tcBorders>
            <w:vAlign w:val="center"/>
          </w:tcPr>
          <w:p w14:paraId="6C3CCB92"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生活饮用水标准检验方法</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第</w:t>
            </w:r>
            <w:r>
              <w:rPr>
                <w:rFonts w:ascii="Times New Roman" w:eastAsia="宋体" w:hAnsi="Times New Roman" w:cs="Times New Roman"/>
                <w:kern w:val="0"/>
                <w:sz w:val="21"/>
                <w:szCs w:val="21"/>
                <w:lang w:bidi="ar"/>
              </w:rPr>
              <w:t xml:space="preserve"> 4 </w:t>
            </w:r>
            <w:r>
              <w:rPr>
                <w:rFonts w:ascii="Times New Roman" w:eastAsia="宋体" w:hAnsi="Times New Roman" w:cs="Times New Roman"/>
                <w:kern w:val="0"/>
                <w:sz w:val="21"/>
                <w:szCs w:val="21"/>
                <w:lang w:bidi="ar"/>
              </w:rPr>
              <w:t>部分：感官性状和物理指标</w:t>
            </w:r>
            <w:r>
              <w:rPr>
                <w:rFonts w:ascii="Times New Roman" w:eastAsia="宋体" w:hAnsi="Times New Roman" w:cs="Times New Roman"/>
                <w:kern w:val="0"/>
                <w:sz w:val="21"/>
                <w:szCs w:val="21"/>
                <w:lang w:bidi="ar"/>
              </w:rPr>
              <w:t xml:space="preserve"> GB/T 5750.4-2023</w:t>
            </w:r>
          </w:p>
          <w:p w14:paraId="735A845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lastRenderedPageBreak/>
              <w:t>（</w:t>
            </w:r>
            <w:r>
              <w:rPr>
                <w:rFonts w:ascii="Times New Roman" w:eastAsia="宋体" w:hAnsi="Times New Roman" w:cs="Times New Roman"/>
                <w:kern w:val="0"/>
                <w:sz w:val="21"/>
                <w:szCs w:val="21"/>
                <w:lang w:bidi="ar"/>
              </w:rPr>
              <w:t xml:space="preserve">11.1 </w:t>
            </w:r>
            <w:r>
              <w:rPr>
                <w:rFonts w:ascii="Times New Roman" w:eastAsia="宋体" w:hAnsi="Times New Roman" w:cs="Times New Roman"/>
                <w:kern w:val="0"/>
                <w:sz w:val="21"/>
                <w:szCs w:val="21"/>
                <w:lang w:bidi="ar"/>
              </w:rPr>
              <w:t>溶解性总固体</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称量法）</w:t>
            </w:r>
          </w:p>
        </w:tc>
        <w:tc>
          <w:tcPr>
            <w:tcW w:w="1707" w:type="pct"/>
            <w:tcBorders>
              <w:tl2br w:val="nil"/>
              <w:tr2bl w:val="nil"/>
            </w:tcBorders>
            <w:vAlign w:val="center"/>
          </w:tcPr>
          <w:p w14:paraId="7294EC6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lastRenderedPageBreak/>
              <w:t>电子天平</w:t>
            </w:r>
            <w:r>
              <w:rPr>
                <w:rFonts w:ascii="Times New Roman" w:eastAsia="宋体" w:hAnsi="Times New Roman" w:cs="Times New Roman"/>
                <w:kern w:val="0"/>
                <w:sz w:val="21"/>
                <w:szCs w:val="21"/>
                <w:lang w:bidi="ar"/>
              </w:rPr>
              <w:t>/AUY220/KXYQ-016</w:t>
            </w:r>
          </w:p>
        </w:tc>
      </w:tr>
      <w:tr w:rsidR="009D12AF" w14:paraId="0F9923DA" w14:textId="77777777">
        <w:trPr>
          <w:trHeight w:val="425"/>
          <w:jc w:val="center"/>
        </w:trPr>
        <w:tc>
          <w:tcPr>
            <w:tcW w:w="251" w:type="pct"/>
            <w:vMerge/>
            <w:tcBorders>
              <w:tl2br w:val="nil"/>
              <w:tr2bl w:val="nil"/>
            </w:tcBorders>
            <w:vAlign w:val="center"/>
          </w:tcPr>
          <w:p w14:paraId="02A18B39" w14:textId="77777777" w:rsidR="009D12AF" w:rsidRDefault="009D12AF">
            <w:pPr>
              <w:spacing w:line="240" w:lineRule="auto"/>
              <w:ind w:firstLineChars="0" w:firstLine="0"/>
              <w:jc w:val="center"/>
              <w:rPr>
                <w:rFonts w:ascii="Times New Roman" w:hAnsi="Times New Roman" w:cs="Times New Roman"/>
                <w:sz w:val="21"/>
                <w:szCs w:val="21"/>
              </w:rPr>
            </w:pPr>
          </w:p>
        </w:tc>
        <w:tc>
          <w:tcPr>
            <w:tcW w:w="791" w:type="pct"/>
            <w:vMerge/>
            <w:tcBorders>
              <w:tl2br w:val="nil"/>
              <w:tr2bl w:val="nil"/>
            </w:tcBorders>
            <w:vAlign w:val="center"/>
          </w:tcPr>
          <w:p w14:paraId="0A66B804" w14:textId="77777777" w:rsidR="009D12AF" w:rsidRDefault="009D12AF">
            <w:pPr>
              <w:widowControl/>
              <w:ind w:firstLineChars="0" w:firstLine="0"/>
              <w:jc w:val="center"/>
              <w:textAlignment w:val="center"/>
              <w:rPr>
                <w:rFonts w:ascii="Times New Roman" w:eastAsia="宋体" w:hAnsi="Times New Roman" w:cs="Times New Roman"/>
                <w:kern w:val="0"/>
                <w:sz w:val="21"/>
                <w:szCs w:val="21"/>
                <w:lang w:bidi="ar"/>
              </w:rPr>
            </w:pPr>
          </w:p>
        </w:tc>
        <w:tc>
          <w:tcPr>
            <w:tcW w:w="2250" w:type="pct"/>
            <w:vMerge/>
            <w:tcBorders>
              <w:tl2br w:val="nil"/>
              <w:tr2bl w:val="nil"/>
            </w:tcBorders>
            <w:vAlign w:val="center"/>
          </w:tcPr>
          <w:p w14:paraId="21AE2EAD" w14:textId="77777777" w:rsidR="009D12AF" w:rsidRDefault="009D12AF">
            <w:pPr>
              <w:ind w:firstLineChars="0" w:firstLine="0"/>
              <w:jc w:val="center"/>
              <w:rPr>
                <w:rFonts w:ascii="Times New Roman" w:eastAsia="宋体" w:hAnsi="Times New Roman" w:cs="Times New Roman"/>
                <w:kern w:val="0"/>
                <w:sz w:val="21"/>
                <w:szCs w:val="21"/>
                <w:lang w:bidi="ar"/>
              </w:rPr>
            </w:pPr>
          </w:p>
        </w:tc>
        <w:tc>
          <w:tcPr>
            <w:tcW w:w="1707" w:type="pct"/>
            <w:tcBorders>
              <w:tl2br w:val="nil"/>
              <w:tr2bl w:val="nil"/>
            </w:tcBorders>
            <w:vAlign w:val="center"/>
          </w:tcPr>
          <w:p w14:paraId="3241565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恒温干燥箱</w:t>
            </w:r>
            <w:r>
              <w:rPr>
                <w:rFonts w:ascii="Times New Roman" w:eastAsia="宋体" w:hAnsi="Times New Roman" w:cs="Times New Roman"/>
                <w:kern w:val="0"/>
                <w:sz w:val="21"/>
                <w:szCs w:val="21"/>
                <w:lang w:bidi="ar"/>
              </w:rPr>
              <w:t>/101-3B/KXYQ-023</w:t>
            </w:r>
          </w:p>
        </w:tc>
      </w:tr>
      <w:tr w:rsidR="009D12AF" w14:paraId="0CA8FFD7" w14:textId="77777777">
        <w:trPr>
          <w:trHeight w:val="425"/>
          <w:jc w:val="center"/>
        </w:trPr>
        <w:tc>
          <w:tcPr>
            <w:tcW w:w="251" w:type="pct"/>
            <w:tcBorders>
              <w:tl2br w:val="nil"/>
              <w:tr2bl w:val="nil"/>
            </w:tcBorders>
            <w:vAlign w:val="center"/>
          </w:tcPr>
          <w:p w14:paraId="010129CB"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4</w:t>
            </w:r>
          </w:p>
        </w:tc>
        <w:tc>
          <w:tcPr>
            <w:tcW w:w="791" w:type="pct"/>
            <w:tcBorders>
              <w:tl2br w:val="nil"/>
              <w:tr2bl w:val="nil"/>
            </w:tcBorders>
            <w:vAlign w:val="center"/>
          </w:tcPr>
          <w:p w14:paraId="24AD066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硝酸盐</w:t>
            </w:r>
            <w:r>
              <w:rPr>
                <w:rFonts w:ascii="Times New Roman" w:hAnsi="Times New Roman" w:cs="Times New Roman"/>
                <w:kern w:val="0"/>
                <w:sz w:val="21"/>
                <w:szCs w:val="21"/>
                <w:lang w:bidi="ar"/>
              </w:rPr>
              <w:t>氮</w:t>
            </w:r>
          </w:p>
        </w:tc>
        <w:tc>
          <w:tcPr>
            <w:tcW w:w="2250" w:type="pct"/>
            <w:vMerge w:val="restart"/>
            <w:tcBorders>
              <w:tl2br w:val="nil"/>
              <w:tr2bl w:val="nil"/>
            </w:tcBorders>
            <w:vAlign w:val="center"/>
          </w:tcPr>
          <w:p w14:paraId="1CDC9C9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无机阴离子</w:t>
            </w:r>
            <w:r>
              <w:rPr>
                <w:rFonts w:ascii="Times New Roman" w:eastAsia="宋体" w:hAnsi="Times New Roman" w:cs="Times New Roman"/>
                <w:kern w:val="0"/>
                <w:sz w:val="21"/>
                <w:szCs w:val="21"/>
                <w:lang w:bidi="ar"/>
              </w:rPr>
              <w:t>(F</w:t>
            </w:r>
            <w:r>
              <w:rPr>
                <w:rFonts w:ascii="Times New Roman" w:eastAsia="宋体" w:hAnsi="Times New Roman" w:cs="Times New Roman"/>
                <w:kern w:val="0"/>
                <w:sz w:val="21"/>
                <w:szCs w:val="21"/>
                <w:vertAlign w:val="superscript"/>
                <w:lang w:bidi="ar"/>
              </w:rPr>
              <w:t>-</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Cl</w:t>
            </w:r>
            <w:r>
              <w:rPr>
                <w:rFonts w:ascii="Times New Roman" w:eastAsia="宋体" w:hAnsi="Times New Roman" w:cs="Times New Roman"/>
                <w:kern w:val="0"/>
                <w:sz w:val="21"/>
                <w:szCs w:val="21"/>
                <w:vertAlign w:val="superscript"/>
                <w:lang w:bidi="ar"/>
              </w:rPr>
              <w:t>-</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NO</w:t>
            </w:r>
            <w:r>
              <w:rPr>
                <w:rFonts w:ascii="Times New Roman" w:eastAsia="宋体" w:hAnsi="Times New Roman" w:cs="Times New Roman"/>
                <w:kern w:val="0"/>
                <w:sz w:val="21"/>
                <w:szCs w:val="21"/>
                <w:vertAlign w:val="subscript"/>
                <w:lang w:bidi="ar"/>
              </w:rPr>
              <w:t>2</w:t>
            </w:r>
            <w:r>
              <w:rPr>
                <w:rFonts w:ascii="Times New Roman" w:eastAsia="宋体" w:hAnsi="Times New Roman" w:cs="Times New Roman"/>
                <w:kern w:val="0"/>
                <w:sz w:val="21"/>
                <w:szCs w:val="21"/>
                <w:vertAlign w:val="superscript"/>
                <w:lang w:bidi="ar"/>
              </w:rPr>
              <w:t>-</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Br</w:t>
            </w:r>
            <w:r>
              <w:rPr>
                <w:rFonts w:ascii="Times New Roman" w:eastAsia="宋体" w:hAnsi="Times New Roman" w:cs="Times New Roman"/>
                <w:kern w:val="0"/>
                <w:sz w:val="21"/>
                <w:szCs w:val="21"/>
                <w:vertAlign w:val="superscript"/>
                <w:lang w:bidi="ar"/>
              </w:rPr>
              <w:t>-</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NO</w:t>
            </w:r>
            <w:r>
              <w:rPr>
                <w:rFonts w:ascii="Times New Roman" w:eastAsia="宋体" w:hAnsi="Times New Roman" w:cs="Times New Roman"/>
                <w:kern w:val="0"/>
                <w:sz w:val="21"/>
                <w:szCs w:val="21"/>
                <w:vertAlign w:val="subscript"/>
                <w:lang w:bidi="ar"/>
              </w:rPr>
              <w:t>3</w:t>
            </w:r>
            <w:r>
              <w:rPr>
                <w:rFonts w:ascii="Times New Roman" w:eastAsia="宋体" w:hAnsi="Times New Roman" w:cs="Times New Roman"/>
                <w:kern w:val="0"/>
                <w:sz w:val="21"/>
                <w:szCs w:val="21"/>
                <w:vertAlign w:val="superscript"/>
                <w:lang w:bidi="ar"/>
              </w:rPr>
              <w:t>-</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PO</w:t>
            </w:r>
            <w:r>
              <w:rPr>
                <w:rFonts w:ascii="Times New Roman" w:eastAsia="宋体" w:hAnsi="Times New Roman" w:cs="Times New Roman"/>
                <w:kern w:val="0"/>
                <w:sz w:val="21"/>
                <w:szCs w:val="21"/>
                <w:vertAlign w:val="subscript"/>
                <w:lang w:bidi="ar"/>
              </w:rPr>
              <w:t>4</w:t>
            </w:r>
            <w:r>
              <w:rPr>
                <w:rFonts w:ascii="Times New Roman" w:eastAsia="宋体" w:hAnsi="Times New Roman" w:cs="Times New Roman"/>
                <w:kern w:val="0"/>
                <w:sz w:val="21"/>
                <w:szCs w:val="21"/>
                <w:vertAlign w:val="superscript"/>
                <w:lang w:bidi="ar"/>
              </w:rPr>
              <w:t>3-</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SO</w:t>
            </w:r>
            <w:r>
              <w:rPr>
                <w:rFonts w:ascii="Times New Roman" w:eastAsia="宋体" w:hAnsi="Times New Roman" w:cs="Times New Roman"/>
                <w:kern w:val="0"/>
                <w:sz w:val="21"/>
                <w:szCs w:val="21"/>
                <w:vertAlign w:val="subscript"/>
                <w:lang w:bidi="ar"/>
              </w:rPr>
              <w:t>3</w:t>
            </w:r>
            <w:r>
              <w:rPr>
                <w:rFonts w:ascii="Times New Roman" w:eastAsia="宋体" w:hAnsi="Times New Roman" w:cs="Times New Roman"/>
                <w:kern w:val="0"/>
                <w:sz w:val="21"/>
                <w:szCs w:val="21"/>
                <w:vertAlign w:val="superscript"/>
                <w:lang w:bidi="ar"/>
              </w:rPr>
              <w:t>2-</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SO</w:t>
            </w:r>
            <w:r>
              <w:rPr>
                <w:rFonts w:ascii="Times New Roman" w:eastAsia="宋体" w:hAnsi="Times New Roman" w:cs="Times New Roman"/>
                <w:kern w:val="0"/>
                <w:sz w:val="21"/>
                <w:szCs w:val="21"/>
                <w:vertAlign w:val="subscript"/>
                <w:lang w:bidi="ar"/>
              </w:rPr>
              <w:t>4</w:t>
            </w:r>
            <w:r>
              <w:rPr>
                <w:rFonts w:ascii="Times New Roman" w:eastAsia="宋体" w:hAnsi="Times New Roman" w:cs="Times New Roman"/>
                <w:kern w:val="0"/>
                <w:sz w:val="21"/>
                <w:szCs w:val="21"/>
                <w:vertAlign w:val="superscript"/>
                <w:lang w:bidi="ar"/>
              </w:rPr>
              <w:t>2-</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的测定离子色谱法</w:t>
            </w:r>
          </w:p>
          <w:p w14:paraId="566F31E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HJ</w:t>
            </w:r>
            <w:r>
              <w:rPr>
                <w:rFonts w:ascii="Times New Roman" w:hAnsi="Times New Roman" w:cs="Times New Roman" w:hint="eastAsia"/>
                <w:kern w:val="0"/>
                <w:sz w:val="21"/>
                <w:szCs w:val="21"/>
                <w:lang w:bidi="ar"/>
              </w:rPr>
              <w:t xml:space="preserve"> </w:t>
            </w:r>
            <w:r>
              <w:rPr>
                <w:rFonts w:ascii="Times New Roman" w:eastAsia="宋体" w:hAnsi="Times New Roman" w:cs="Times New Roman"/>
                <w:kern w:val="0"/>
                <w:sz w:val="21"/>
                <w:szCs w:val="21"/>
                <w:lang w:bidi="ar"/>
              </w:rPr>
              <w:t>84-2016</w:t>
            </w:r>
          </w:p>
        </w:tc>
        <w:tc>
          <w:tcPr>
            <w:tcW w:w="1707" w:type="pct"/>
            <w:vMerge w:val="restart"/>
            <w:tcBorders>
              <w:tl2br w:val="nil"/>
              <w:tr2bl w:val="nil"/>
            </w:tcBorders>
            <w:vAlign w:val="center"/>
          </w:tcPr>
          <w:p w14:paraId="02DA52D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离子色谱仪</w:t>
            </w:r>
            <w:r>
              <w:rPr>
                <w:rFonts w:ascii="Times New Roman" w:eastAsia="宋体" w:hAnsi="Times New Roman" w:cs="Times New Roman"/>
                <w:kern w:val="0"/>
                <w:sz w:val="21"/>
                <w:szCs w:val="21"/>
                <w:lang w:bidi="ar"/>
              </w:rPr>
              <w:t>/ICS-900/KXYQ-005</w:t>
            </w:r>
          </w:p>
        </w:tc>
      </w:tr>
      <w:tr w:rsidR="009D12AF" w14:paraId="79C8B8BE" w14:textId="77777777">
        <w:trPr>
          <w:trHeight w:val="425"/>
          <w:jc w:val="center"/>
        </w:trPr>
        <w:tc>
          <w:tcPr>
            <w:tcW w:w="251" w:type="pct"/>
            <w:tcBorders>
              <w:tl2br w:val="nil"/>
              <w:tr2bl w:val="nil"/>
            </w:tcBorders>
            <w:vAlign w:val="center"/>
          </w:tcPr>
          <w:p w14:paraId="4A6B86A4"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w:t>
            </w:r>
          </w:p>
        </w:tc>
        <w:tc>
          <w:tcPr>
            <w:tcW w:w="791" w:type="pct"/>
            <w:tcBorders>
              <w:tl2br w:val="nil"/>
              <w:tr2bl w:val="nil"/>
            </w:tcBorders>
            <w:vAlign w:val="center"/>
          </w:tcPr>
          <w:p w14:paraId="1A19208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氟</w:t>
            </w:r>
            <w:r>
              <w:rPr>
                <w:rFonts w:ascii="Times New Roman" w:hAnsi="Times New Roman" w:cs="Times New Roman" w:hint="eastAsia"/>
                <w:kern w:val="0"/>
                <w:sz w:val="21"/>
                <w:szCs w:val="21"/>
                <w:lang w:bidi="ar"/>
              </w:rPr>
              <w:t>离子</w:t>
            </w:r>
          </w:p>
        </w:tc>
        <w:tc>
          <w:tcPr>
            <w:tcW w:w="2250" w:type="pct"/>
            <w:vMerge/>
            <w:tcBorders>
              <w:tl2br w:val="nil"/>
              <w:tr2bl w:val="nil"/>
            </w:tcBorders>
            <w:vAlign w:val="center"/>
          </w:tcPr>
          <w:p w14:paraId="5100C4BC" w14:textId="77777777" w:rsidR="009D12AF" w:rsidRDefault="009D12AF">
            <w:pPr>
              <w:widowControl/>
              <w:ind w:firstLineChars="0" w:firstLine="0"/>
              <w:jc w:val="center"/>
              <w:textAlignment w:val="center"/>
              <w:rPr>
                <w:rFonts w:ascii="Times New Roman" w:eastAsia="宋体" w:hAnsi="Times New Roman" w:cs="Times New Roman"/>
                <w:kern w:val="0"/>
                <w:sz w:val="21"/>
                <w:szCs w:val="21"/>
                <w:lang w:bidi="ar"/>
              </w:rPr>
            </w:pPr>
          </w:p>
        </w:tc>
        <w:tc>
          <w:tcPr>
            <w:tcW w:w="1707" w:type="pct"/>
            <w:vMerge/>
            <w:tcBorders>
              <w:tl2br w:val="nil"/>
              <w:tr2bl w:val="nil"/>
            </w:tcBorders>
            <w:vAlign w:val="center"/>
          </w:tcPr>
          <w:p w14:paraId="25885244" w14:textId="77777777" w:rsidR="009D12AF" w:rsidRDefault="009D12AF">
            <w:pPr>
              <w:widowControl/>
              <w:ind w:firstLineChars="0" w:firstLine="0"/>
              <w:jc w:val="center"/>
              <w:textAlignment w:val="center"/>
              <w:rPr>
                <w:rFonts w:ascii="Times New Roman" w:eastAsia="宋体" w:hAnsi="Times New Roman" w:cs="Times New Roman"/>
                <w:kern w:val="0"/>
                <w:sz w:val="21"/>
                <w:szCs w:val="21"/>
                <w:lang w:bidi="ar"/>
              </w:rPr>
            </w:pPr>
          </w:p>
        </w:tc>
      </w:tr>
      <w:tr w:rsidR="009D12AF" w14:paraId="70F22799" w14:textId="77777777">
        <w:trPr>
          <w:trHeight w:val="425"/>
          <w:jc w:val="center"/>
        </w:trPr>
        <w:tc>
          <w:tcPr>
            <w:tcW w:w="251" w:type="pct"/>
            <w:tcBorders>
              <w:tl2br w:val="nil"/>
              <w:tr2bl w:val="nil"/>
            </w:tcBorders>
            <w:vAlign w:val="center"/>
          </w:tcPr>
          <w:p w14:paraId="24643A26"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6</w:t>
            </w:r>
          </w:p>
        </w:tc>
        <w:tc>
          <w:tcPr>
            <w:tcW w:w="791" w:type="pct"/>
            <w:tcBorders>
              <w:tl2br w:val="nil"/>
              <w:tr2bl w:val="nil"/>
            </w:tcBorders>
            <w:vAlign w:val="center"/>
          </w:tcPr>
          <w:p w14:paraId="341797A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氯离子</w:t>
            </w:r>
          </w:p>
        </w:tc>
        <w:tc>
          <w:tcPr>
            <w:tcW w:w="2250" w:type="pct"/>
            <w:vMerge/>
            <w:tcBorders>
              <w:tl2br w:val="nil"/>
              <w:tr2bl w:val="nil"/>
            </w:tcBorders>
            <w:vAlign w:val="center"/>
          </w:tcPr>
          <w:p w14:paraId="08219EF7" w14:textId="77777777" w:rsidR="009D12AF" w:rsidRDefault="009D12AF">
            <w:pPr>
              <w:widowControl/>
              <w:ind w:firstLineChars="0" w:firstLine="0"/>
              <w:jc w:val="center"/>
              <w:textAlignment w:val="center"/>
              <w:rPr>
                <w:rFonts w:ascii="Times New Roman" w:eastAsia="宋体" w:hAnsi="Times New Roman" w:cs="Times New Roman"/>
                <w:kern w:val="0"/>
                <w:sz w:val="21"/>
                <w:szCs w:val="21"/>
                <w:lang w:bidi="ar"/>
              </w:rPr>
            </w:pPr>
          </w:p>
        </w:tc>
        <w:tc>
          <w:tcPr>
            <w:tcW w:w="1707" w:type="pct"/>
            <w:vMerge/>
            <w:tcBorders>
              <w:tl2br w:val="nil"/>
              <w:tr2bl w:val="nil"/>
            </w:tcBorders>
            <w:vAlign w:val="center"/>
          </w:tcPr>
          <w:p w14:paraId="0CDC0D2D" w14:textId="77777777" w:rsidR="009D12AF" w:rsidRDefault="009D12AF">
            <w:pPr>
              <w:widowControl/>
              <w:ind w:firstLineChars="0" w:firstLine="0"/>
              <w:jc w:val="center"/>
              <w:textAlignment w:val="center"/>
              <w:rPr>
                <w:rFonts w:ascii="Times New Roman" w:eastAsia="宋体" w:hAnsi="Times New Roman" w:cs="Times New Roman"/>
                <w:kern w:val="0"/>
                <w:sz w:val="21"/>
                <w:szCs w:val="21"/>
                <w:lang w:bidi="ar"/>
              </w:rPr>
            </w:pPr>
          </w:p>
        </w:tc>
      </w:tr>
      <w:tr w:rsidR="009D12AF" w14:paraId="4D89A192" w14:textId="77777777">
        <w:trPr>
          <w:trHeight w:val="425"/>
          <w:jc w:val="center"/>
        </w:trPr>
        <w:tc>
          <w:tcPr>
            <w:tcW w:w="251" w:type="pct"/>
            <w:tcBorders>
              <w:tl2br w:val="nil"/>
              <w:tr2bl w:val="nil"/>
            </w:tcBorders>
            <w:vAlign w:val="center"/>
          </w:tcPr>
          <w:p w14:paraId="14E617E3"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w:t>
            </w:r>
          </w:p>
        </w:tc>
        <w:tc>
          <w:tcPr>
            <w:tcW w:w="791" w:type="pct"/>
            <w:tcBorders>
              <w:tl2br w:val="nil"/>
              <w:tr2bl w:val="nil"/>
            </w:tcBorders>
            <w:vAlign w:val="center"/>
          </w:tcPr>
          <w:p w14:paraId="5A2F2A5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硫酸根</w:t>
            </w:r>
          </w:p>
        </w:tc>
        <w:tc>
          <w:tcPr>
            <w:tcW w:w="2250" w:type="pct"/>
            <w:vMerge/>
            <w:tcBorders>
              <w:tl2br w:val="nil"/>
              <w:tr2bl w:val="nil"/>
            </w:tcBorders>
            <w:vAlign w:val="center"/>
          </w:tcPr>
          <w:p w14:paraId="5E7750DF" w14:textId="77777777" w:rsidR="009D12AF" w:rsidRDefault="009D12AF">
            <w:pPr>
              <w:widowControl/>
              <w:ind w:firstLineChars="0" w:firstLine="0"/>
              <w:jc w:val="center"/>
              <w:textAlignment w:val="center"/>
              <w:rPr>
                <w:rFonts w:ascii="Times New Roman" w:eastAsia="宋体" w:hAnsi="Times New Roman" w:cs="Times New Roman"/>
                <w:kern w:val="0"/>
                <w:sz w:val="21"/>
                <w:szCs w:val="21"/>
                <w:lang w:bidi="ar"/>
              </w:rPr>
            </w:pPr>
          </w:p>
        </w:tc>
        <w:tc>
          <w:tcPr>
            <w:tcW w:w="1707" w:type="pct"/>
            <w:vMerge/>
            <w:tcBorders>
              <w:tl2br w:val="nil"/>
              <w:tr2bl w:val="nil"/>
            </w:tcBorders>
            <w:vAlign w:val="center"/>
          </w:tcPr>
          <w:p w14:paraId="226666FC" w14:textId="77777777" w:rsidR="009D12AF" w:rsidRDefault="009D12AF">
            <w:pPr>
              <w:widowControl/>
              <w:ind w:firstLineChars="0" w:firstLine="0"/>
              <w:jc w:val="center"/>
              <w:textAlignment w:val="center"/>
              <w:rPr>
                <w:rFonts w:ascii="Times New Roman" w:eastAsia="宋体" w:hAnsi="Times New Roman" w:cs="Times New Roman"/>
                <w:kern w:val="0"/>
                <w:sz w:val="21"/>
                <w:szCs w:val="21"/>
                <w:lang w:bidi="ar"/>
              </w:rPr>
            </w:pPr>
          </w:p>
        </w:tc>
      </w:tr>
      <w:tr w:rsidR="009D12AF" w14:paraId="0C55E0AF" w14:textId="77777777">
        <w:trPr>
          <w:trHeight w:val="425"/>
          <w:jc w:val="center"/>
        </w:trPr>
        <w:tc>
          <w:tcPr>
            <w:tcW w:w="251" w:type="pct"/>
            <w:tcBorders>
              <w:tl2br w:val="nil"/>
              <w:tr2bl w:val="nil"/>
            </w:tcBorders>
            <w:vAlign w:val="center"/>
          </w:tcPr>
          <w:p w14:paraId="34083794"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8</w:t>
            </w:r>
          </w:p>
        </w:tc>
        <w:tc>
          <w:tcPr>
            <w:tcW w:w="791" w:type="pct"/>
            <w:tcBorders>
              <w:tl2br w:val="nil"/>
              <w:tr2bl w:val="nil"/>
            </w:tcBorders>
            <w:vAlign w:val="center"/>
          </w:tcPr>
          <w:p w14:paraId="3A4904E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亚硝酸盐</w:t>
            </w:r>
            <w:r>
              <w:rPr>
                <w:rFonts w:ascii="Times New Roman" w:hAnsi="Times New Roman" w:cs="Times New Roman"/>
                <w:kern w:val="0"/>
                <w:sz w:val="21"/>
                <w:szCs w:val="21"/>
                <w:lang w:bidi="ar"/>
              </w:rPr>
              <w:t>氮</w:t>
            </w:r>
          </w:p>
        </w:tc>
        <w:tc>
          <w:tcPr>
            <w:tcW w:w="2250" w:type="pct"/>
            <w:tcBorders>
              <w:tl2br w:val="nil"/>
              <w:tr2bl w:val="nil"/>
            </w:tcBorders>
            <w:vAlign w:val="center"/>
          </w:tcPr>
          <w:p w14:paraId="1E4EE1F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亚硝酸盐氮的测定</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分光光度法</w:t>
            </w:r>
            <w:r>
              <w:rPr>
                <w:rFonts w:ascii="Times New Roman" w:eastAsia="宋体" w:hAnsi="Times New Roman" w:cs="Times New Roman"/>
                <w:kern w:val="0"/>
                <w:sz w:val="21"/>
                <w:szCs w:val="21"/>
                <w:lang w:bidi="ar"/>
              </w:rPr>
              <w:t xml:space="preserve"> </w:t>
            </w:r>
          </w:p>
          <w:p w14:paraId="533FDA2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GB 7493-87</w:t>
            </w:r>
          </w:p>
        </w:tc>
        <w:tc>
          <w:tcPr>
            <w:tcW w:w="1707" w:type="pct"/>
            <w:tcBorders>
              <w:tl2br w:val="nil"/>
              <w:tr2bl w:val="nil"/>
            </w:tcBorders>
            <w:vAlign w:val="center"/>
          </w:tcPr>
          <w:p w14:paraId="53A216E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紫外可见分光光度计</w:t>
            </w:r>
            <w:r>
              <w:rPr>
                <w:rFonts w:ascii="Times New Roman" w:eastAsia="宋体" w:hAnsi="Times New Roman" w:cs="Times New Roman"/>
                <w:kern w:val="0"/>
                <w:sz w:val="21"/>
                <w:szCs w:val="21"/>
                <w:lang w:bidi="ar"/>
              </w:rPr>
              <w:t>/UV-1800D/KXYQ-015</w:t>
            </w:r>
          </w:p>
        </w:tc>
      </w:tr>
      <w:tr w:rsidR="009D12AF" w14:paraId="1894AE7F" w14:textId="77777777">
        <w:trPr>
          <w:trHeight w:val="425"/>
          <w:jc w:val="center"/>
        </w:trPr>
        <w:tc>
          <w:tcPr>
            <w:tcW w:w="251" w:type="pct"/>
            <w:tcBorders>
              <w:tl2br w:val="nil"/>
              <w:tr2bl w:val="nil"/>
            </w:tcBorders>
            <w:vAlign w:val="center"/>
          </w:tcPr>
          <w:p w14:paraId="55994C99"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9</w:t>
            </w:r>
          </w:p>
        </w:tc>
        <w:tc>
          <w:tcPr>
            <w:tcW w:w="791" w:type="pct"/>
            <w:tcBorders>
              <w:tl2br w:val="nil"/>
              <w:tr2bl w:val="nil"/>
            </w:tcBorders>
            <w:vAlign w:val="center"/>
          </w:tcPr>
          <w:p w14:paraId="751C7E2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氨氮</w:t>
            </w:r>
          </w:p>
        </w:tc>
        <w:tc>
          <w:tcPr>
            <w:tcW w:w="2250" w:type="pct"/>
            <w:tcBorders>
              <w:tl2br w:val="nil"/>
              <w:tr2bl w:val="nil"/>
            </w:tcBorders>
            <w:vAlign w:val="center"/>
          </w:tcPr>
          <w:p w14:paraId="612129B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氨氮的测定</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纳氏试剂分光光度法</w:t>
            </w:r>
            <w:r>
              <w:rPr>
                <w:rFonts w:ascii="Times New Roman" w:eastAsia="宋体" w:hAnsi="Times New Roman" w:cs="Times New Roman"/>
                <w:kern w:val="0"/>
                <w:sz w:val="21"/>
                <w:szCs w:val="21"/>
                <w:lang w:bidi="ar"/>
              </w:rPr>
              <w:t xml:space="preserve"> </w:t>
            </w:r>
          </w:p>
          <w:p w14:paraId="504B03B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HJ 535-2009</w:t>
            </w:r>
          </w:p>
        </w:tc>
        <w:tc>
          <w:tcPr>
            <w:tcW w:w="1707" w:type="pct"/>
            <w:tcBorders>
              <w:tl2br w:val="nil"/>
              <w:tr2bl w:val="nil"/>
            </w:tcBorders>
            <w:vAlign w:val="center"/>
          </w:tcPr>
          <w:p w14:paraId="68DA44F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紫外可见分光光度计</w:t>
            </w:r>
            <w:r>
              <w:rPr>
                <w:rFonts w:ascii="Times New Roman" w:eastAsia="宋体" w:hAnsi="Times New Roman" w:cs="Times New Roman"/>
                <w:kern w:val="0"/>
                <w:sz w:val="21"/>
                <w:szCs w:val="21"/>
                <w:lang w:bidi="ar"/>
              </w:rPr>
              <w:t>/UV-1800D/KXYQ-015</w:t>
            </w:r>
          </w:p>
        </w:tc>
      </w:tr>
      <w:tr w:rsidR="009D12AF" w14:paraId="673AD30E" w14:textId="77777777">
        <w:trPr>
          <w:trHeight w:val="425"/>
          <w:jc w:val="center"/>
        </w:trPr>
        <w:tc>
          <w:tcPr>
            <w:tcW w:w="251" w:type="pct"/>
            <w:tcBorders>
              <w:tl2br w:val="nil"/>
              <w:tr2bl w:val="nil"/>
            </w:tcBorders>
            <w:vAlign w:val="center"/>
          </w:tcPr>
          <w:p w14:paraId="1AF6EDCB"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10</w:t>
            </w:r>
          </w:p>
        </w:tc>
        <w:tc>
          <w:tcPr>
            <w:tcW w:w="791" w:type="pct"/>
            <w:tcBorders>
              <w:tl2br w:val="nil"/>
              <w:tr2bl w:val="nil"/>
            </w:tcBorders>
            <w:vAlign w:val="center"/>
          </w:tcPr>
          <w:p w14:paraId="0E0D4C4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挥发</w:t>
            </w:r>
            <w:r>
              <w:rPr>
                <w:rFonts w:ascii="Times New Roman" w:hAnsi="Times New Roman" w:cs="Times New Roman" w:hint="eastAsia"/>
                <w:kern w:val="0"/>
                <w:sz w:val="21"/>
                <w:szCs w:val="21"/>
                <w:lang w:bidi="ar"/>
              </w:rPr>
              <w:t>酚</w:t>
            </w:r>
          </w:p>
        </w:tc>
        <w:tc>
          <w:tcPr>
            <w:tcW w:w="2250" w:type="pct"/>
            <w:tcBorders>
              <w:tl2br w:val="nil"/>
              <w:tr2bl w:val="nil"/>
            </w:tcBorders>
            <w:vAlign w:val="center"/>
          </w:tcPr>
          <w:p w14:paraId="2F3511B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挥发酚的测定</w:t>
            </w:r>
            <w:r>
              <w:rPr>
                <w:rFonts w:ascii="Times New Roman" w:eastAsia="宋体" w:hAnsi="Times New Roman" w:cs="Times New Roman"/>
                <w:kern w:val="0"/>
                <w:sz w:val="21"/>
                <w:szCs w:val="21"/>
                <w:lang w:bidi="ar"/>
              </w:rPr>
              <w:t xml:space="preserve"> 4-</w:t>
            </w:r>
            <w:r>
              <w:rPr>
                <w:rFonts w:ascii="Times New Roman" w:eastAsia="宋体" w:hAnsi="Times New Roman" w:cs="Times New Roman"/>
                <w:kern w:val="0"/>
                <w:sz w:val="21"/>
                <w:szCs w:val="21"/>
                <w:lang w:bidi="ar"/>
              </w:rPr>
              <w:t>氨基安替比林分光光度法</w:t>
            </w:r>
            <w:r>
              <w:rPr>
                <w:rFonts w:ascii="Times New Roman" w:eastAsia="宋体" w:hAnsi="Times New Roman" w:cs="Times New Roman"/>
                <w:kern w:val="0"/>
                <w:sz w:val="21"/>
                <w:szCs w:val="21"/>
                <w:lang w:bidi="ar"/>
              </w:rPr>
              <w:t xml:space="preserve"> HJ 503-2009</w:t>
            </w:r>
            <w:r>
              <w:rPr>
                <w:rFonts w:ascii="Times New Roman" w:eastAsia="宋体" w:hAnsi="Times New Roman" w:cs="Times New Roman"/>
                <w:kern w:val="0"/>
                <w:sz w:val="21"/>
                <w:szCs w:val="21"/>
                <w:lang w:bidi="ar"/>
              </w:rPr>
              <w:t>（方法</w:t>
            </w:r>
            <w:r>
              <w:rPr>
                <w:rFonts w:ascii="Times New Roman" w:eastAsia="宋体" w:hAnsi="Times New Roman" w:cs="Times New Roman"/>
                <w:kern w:val="0"/>
                <w:sz w:val="21"/>
                <w:szCs w:val="21"/>
                <w:lang w:bidi="ar"/>
              </w:rPr>
              <w:t xml:space="preserve"> 1 </w:t>
            </w:r>
            <w:r>
              <w:rPr>
                <w:rFonts w:ascii="Times New Roman" w:eastAsia="宋体" w:hAnsi="Times New Roman" w:cs="Times New Roman"/>
                <w:kern w:val="0"/>
                <w:sz w:val="21"/>
                <w:szCs w:val="21"/>
                <w:lang w:bidi="ar"/>
              </w:rPr>
              <w:t>萃取分光光度法）</w:t>
            </w:r>
          </w:p>
        </w:tc>
        <w:tc>
          <w:tcPr>
            <w:tcW w:w="1707" w:type="pct"/>
            <w:tcBorders>
              <w:tl2br w:val="nil"/>
              <w:tr2bl w:val="nil"/>
            </w:tcBorders>
            <w:vAlign w:val="center"/>
          </w:tcPr>
          <w:p w14:paraId="21F5A15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紫外可见分光光度计</w:t>
            </w:r>
            <w:r>
              <w:rPr>
                <w:rFonts w:ascii="Times New Roman" w:eastAsia="宋体" w:hAnsi="Times New Roman" w:cs="Times New Roman"/>
                <w:kern w:val="0"/>
                <w:sz w:val="21"/>
                <w:szCs w:val="21"/>
                <w:lang w:bidi="ar"/>
              </w:rPr>
              <w:t>/UV-1800D/KXYQ-015</w:t>
            </w:r>
          </w:p>
        </w:tc>
      </w:tr>
      <w:tr w:rsidR="009D12AF" w14:paraId="5FDCCA17" w14:textId="77777777">
        <w:trPr>
          <w:trHeight w:val="425"/>
          <w:jc w:val="center"/>
        </w:trPr>
        <w:tc>
          <w:tcPr>
            <w:tcW w:w="251" w:type="pct"/>
            <w:tcBorders>
              <w:tl2br w:val="nil"/>
              <w:tr2bl w:val="nil"/>
            </w:tcBorders>
            <w:vAlign w:val="center"/>
          </w:tcPr>
          <w:p w14:paraId="56BF9B1F"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11</w:t>
            </w:r>
          </w:p>
        </w:tc>
        <w:tc>
          <w:tcPr>
            <w:tcW w:w="791" w:type="pct"/>
            <w:tcBorders>
              <w:tl2br w:val="nil"/>
              <w:tr2bl w:val="nil"/>
            </w:tcBorders>
            <w:vAlign w:val="center"/>
          </w:tcPr>
          <w:p w14:paraId="0FAEE8B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氰化物</w:t>
            </w:r>
          </w:p>
        </w:tc>
        <w:tc>
          <w:tcPr>
            <w:tcW w:w="2250" w:type="pct"/>
            <w:tcBorders>
              <w:tl2br w:val="nil"/>
              <w:tr2bl w:val="nil"/>
            </w:tcBorders>
            <w:vAlign w:val="center"/>
          </w:tcPr>
          <w:p w14:paraId="4421FF3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生活饮用水标准检验方法</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第</w:t>
            </w:r>
            <w:r>
              <w:rPr>
                <w:rFonts w:ascii="Times New Roman" w:eastAsia="宋体" w:hAnsi="Times New Roman" w:cs="Times New Roman"/>
                <w:kern w:val="0"/>
                <w:sz w:val="21"/>
                <w:szCs w:val="21"/>
                <w:lang w:bidi="ar"/>
              </w:rPr>
              <w:t xml:space="preserve"> 5 </w:t>
            </w:r>
            <w:r>
              <w:rPr>
                <w:rFonts w:ascii="Times New Roman" w:eastAsia="宋体" w:hAnsi="Times New Roman" w:cs="Times New Roman"/>
                <w:kern w:val="0"/>
                <w:sz w:val="21"/>
                <w:szCs w:val="21"/>
                <w:lang w:bidi="ar"/>
              </w:rPr>
              <w:t>部分：无机非金属指标</w:t>
            </w:r>
            <w:r>
              <w:rPr>
                <w:rFonts w:ascii="Times New Roman" w:eastAsia="宋体" w:hAnsi="Times New Roman" w:cs="Times New Roman"/>
                <w:kern w:val="0"/>
                <w:sz w:val="21"/>
                <w:szCs w:val="21"/>
                <w:lang w:bidi="ar"/>
              </w:rPr>
              <w:t xml:space="preserve"> GB/T 5750.5-2023</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 xml:space="preserve">7.1 </w:t>
            </w:r>
            <w:r>
              <w:rPr>
                <w:rFonts w:ascii="Times New Roman" w:eastAsia="宋体" w:hAnsi="Times New Roman" w:cs="Times New Roman"/>
                <w:kern w:val="0"/>
                <w:sz w:val="21"/>
                <w:szCs w:val="21"/>
                <w:lang w:bidi="ar"/>
              </w:rPr>
              <w:t>氰化物</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异烟酸</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吡唑啉酮分光光度法）</w:t>
            </w:r>
          </w:p>
        </w:tc>
        <w:tc>
          <w:tcPr>
            <w:tcW w:w="1707" w:type="pct"/>
            <w:tcBorders>
              <w:tl2br w:val="nil"/>
              <w:tr2bl w:val="nil"/>
            </w:tcBorders>
            <w:vAlign w:val="center"/>
          </w:tcPr>
          <w:p w14:paraId="6748687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紫外可见分光光度计</w:t>
            </w:r>
            <w:r>
              <w:rPr>
                <w:rFonts w:ascii="Times New Roman" w:eastAsia="宋体" w:hAnsi="Times New Roman" w:cs="Times New Roman"/>
                <w:kern w:val="0"/>
                <w:sz w:val="21"/>
                <w:szCs w:val="21"/>
                <w:lang w:bidi="ar"/>
              </w:rPr>
              <w:t>/UV-1800D/KXYQ-015</w:t>
            </w:r>
          </w:p>
        </w:tc>
      </w:tr>
      <w:tr w:rsidR="009D12AF" w14:paraId="5EBCFD01" w14:textId="77777777">
        <w:trPr>
          <w:trHeight w:val="454"/>
          <w:jc w:val="center"/>
        </w:trPr>
        <w:tc>
          <w:tcPr>
            <w:tcW w:w="251" w:type="pct"/>
            <w:tcBorders>
              <w:tl2br w:val="nil"/>
              <w:tr2bl w:val="nil"/>
            </w:tcBorders>
            <w:vAlign w:val="center"/>
          </w:tcPr>
          <w:p w14:paraId="3441AFEB"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w:t>
            </w:r>
          </w:p>
        </w:tc>
        <w:tc>
          <w:tcPr>
            <w:tcW w:w="791" w:type="pct"/>
            <w:tcBorders>
              <w:tl2br w:val="nil"/>
              <w:tr2bl w:val="nil"/>
            </w:tcBorders>
            <w:vAlign w:val="center"/>
          </w:tcPr>
          <w:p w14:paraId="5706A2D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铬（六价）</w:t>
            </w:r>
          </w:p>
        </w:tc>
        <w:tc>
          <w:tcPr>
            <w:tcW w:w="2250" w:type="pct"/>
            <w:tcBorders>
              <w:tl2br w:val="nil"/>
              <w:tr2bl w:val="nil"/>
            </w:tcBorders>
            <w:vAlign w:val="center"/>
          </w:tcPr>
          <w:p w14:paraId="34A2BF9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生活饮用水标准检验方法</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第</w:t>
            </w:r>
            <w:r>
              <w:rPr>
                <w:rFonts w:ascii="Times New Roman" w:eastAsia="宋体" w:hAnsi="Times New Roman" w:cs="Times New Roman"/>
                <w:kern w:val="0"/>
                <w:sz w:val="21"/>
                <w:szCs w:val="21"/>
                <w:lang w:bidi="ar"/>
              </w:rPr>
              <w:t xml:space="preserve"> 6 </w:t>
            </w:r>
            <w:r>
              <w:rPr>
                <w:rFonts w:ascii="Times New Roman" w:eastAsia="宋体" w:hAnsi="Times New Roman" w:cs="Times New Roman"/>
                <w:kern w:val="0"/>
                <w:sz w:val="21"/>
                <w:szCs w:val="21"/>
                <w:lang w:bidi="ar"/>
              </w:rPr>
              <w:t>部分：金属和类金属指标</w:t>
            </w:r>
            <w:r>
              <w:rPr>
                <w:rFonts w:ascii="Times New Roman" w:eastAsia="宋体" w:hAnsi="Times New Roman" w:cs="Times New Roman"/>
                <w:kern w:val="0"/>
                <w:sz w:val="21"/>
                <w:szCs w:val="21"/>
                <w:lang w:bidi="ar"/>
              </w:rPr>
              <w:t xml:space="preserve"> GB/T 5750.6-2023</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 xml:space="preserve">13.1 </w:t>
            </w:r>
            <w:r>
              <w:rPr>
                <w:rFonts w:ascii="Times New Roman" w:eastAsia="宋体" w:hAnsi="Times New Roman" w:cs="Times New Roman"/>
                <w:kern w:val="0"/>
                <w:sz w:val="21"/>
                <w:szCs w:val="21"/>
                <w:lang w:bidi="ar"/>
              </w:rPr>
              <w:t>铬（六价）</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二苯碳酰二肼分光光度法）</w:t>
            </w:r>
          </w:p>
        </w:tc>
        <w:tc>
          <w:tcPr>
            <w:tcW w:w="1707" w:type="pct"/>
            <w:tcBorders>
              <w:tl2br w:val="nil"/>
              <w:tr2bl w:val="nil"/>
            </w:tcBorders>
            <w:vAlign w:val="center"/>
          </w:tcPr>
          <w:p w14:paraId="629DE73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紫外可见分光光度计</w:t>
            </w:r>
            <w:r>
              <w:rPr>
                <w:rFonts w:ascii="Times New Roman" w:eastAsia="宋体" w:hAnsi="Times New Roman" w:cs="Times New Roman"/>
                <w:kern w:val="0"/>
                <w:sz w:val="21"/>
                <w:szCs w:val="21"/>
                <w:lang w:bidi="ar"/>
              </w:rPr>
              <w:t>/UV-1800D/KXYQ-015</w:t>
            </w:r>
          </w:p>
        </w:tc>
      </w:tr>
      <w:tr w:rsidR="009D12AF" w14:paraId="2E037207" w14:textId="77777777">
        <w:trPr>
          <w:trHeight w:val="454"/>
          <w:jc w:val="center"/>
        </w:trPr>
        <w:tc>
          <w:tcPr>
            <w:tcW w:w="251" w:type="pct"/>
            <w:tcBorders>
              <w:tl2br w:val="nil"/>
              <w:tr2bl w:val="nil"/>
            </w:tcBorders>
            <w:vAlign w:val="center"/>
          </w:tcPr>
          <w:p w14:paraId="1342F425"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13</w:t>
            </w:r>
          </w:p>
        </w:tc>
        <w:tc>
          <w:tcPr>
            <w:tcW w:w="791" w:type="pct"/>
            <w:tcBorders>
              <w:tl2br w:val="nil"/>
              <w:tr2bl w:val="nil"/>
            </w:tcBorders>
            <w:vAlign w:val="center"/>
          </w:tcPr>
          <w:p w14:paraId="0A9CEEA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高锰酸盐指数</w:t>
            </w:r>
          </w:p>
        </w:tc>
        <w:tc>
          <w:tcPr>
            <w:tcW w:w="2250" w:type="pct"/>
            <w:tcBorders>
              <w:tl2br w:val="nil"/>
              <w:tr2bl w:val="nil"/>
            </w:tcBorders>
            <w:vAlign w:val="center"/>
          </w:tcPr>
          <w:p w14:paraId="417D6EB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高锰酸盐指数的测定</w:t>
            </w:r>
            <w:r>
              <w:rPr>
                <w:rFonts w:ascii="Times New Roman" w:eastAsia="宋体" w:hAnsi="Times New Roman" w:cs="Times New Roman"/>
                <w:kern w:val="0"/>
                <w:sz w:val="21"/>
                <w:szCs w:val="21"/>
                <w:lang w:bidi="ar"/>
              </w:rPr>
              <w:t>GB</w:t>
            </w:r>
            <w:r>
              <w:rPr>
                <w:rFonts w:ascii="Times New Roman" w:hAnsi="Times New Roman" w:cs="Times New Roman" w:hint="eastAsia"/>
                <w:kern w:val="0"/>
                <w:sz w:val="21"/>
                <w:szCs w:val="21"/>
                <w:lang w:bidi="ar"/>
              </w:rPr>
              <w:t xml:space="preserve"> </w:t>
            </w:r>
            <w:r>
              <w:rPr>
                <w:rFonts w:ascii="Times New Roman" w:eastAsia="宋体" w:hAnsi="Times New Roman" w:cs="Times New Roman"/>
                <w:kern w:val="0"/>
                <w:sz w:val="21"/>
                <w:szCs w:val="21"/>
                <w:lang w:bidi="ar"/>
              </w:rPr>
              <w:t>11892-89</w:t>
            </w:r>
          </w:p>
        </w:tc>
        <w:tc>
          <w:tcPr>
            <w:tcW w:w="1707" w:type="pct"/>
            <w:tcBorders>
              <w:tl2br w:val="nil"/>
              <w:tr2bl w:val="nil"/>
            </w:tcBorders>
            <w:vAlign w:val="center"/>
          </w:tcPr>
          <w:p w14:paraId="040E273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酸式滴定管</w:t>
            </w:r>
            <w:r>
              <w:rPr>
                <w:rFonts w:ascii="Times New Roman" w:eastAsia="宋体" w:hAnsi="Times New Roman" w:cs="Times New Roman"/>
                <w:kern w:val="0"/>
                <w:sz w:val="21"/>
                <w:szCs w:val="21"/>
                <w:lang w:bidi="ar"/>
              </w:rPr>
              <w:t>/25mL</w:t>
            </w:r>
          </w:p>
        </w:tc>
      </w:tr>
      <w:tr w:rsidR="009D12AF" w14:paraId="43D7B07A" w14:textId="77777777">
        <w:trPr>
          <w:trHeight w:val="454"/>
          <w:jc w:val="center"/>
        </w:trPr>
        <w:tc>
          <w:tcPr>
            <w:tcW w:w="251" w:type="pct"/>
            <w:tcBorders>
              <w:tl2br w:val="nil"/>
              <w:tr2bl w:val="nil"/>
            </w:tcBorders>
            <w:vAlign w:val="center"/>
          </w:tcPr>
          <w:p w14:paraId="553A327C"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14</w:t>
            </w:r>
          </w:p>
        </w:tc>
        <w:tc>
          <w:tcPr>
            <w:tcW w:w="791" w:type="pct"/>
            <w:tcBorders>
              <w:tl2br w:val="nil"/>
              <w:tr2bl w:val="nil"/>
            </w:tcBorders>
            <w:vAlign w:val="center"/>
          </w:tcPr>
          <w:p w14:paraId="34AFA4E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铁</w:t>
            </w:r>
          </w:p>
        </w:tc>
        <w:tc>
          <w:tcPr>
            <w:tcW w:w="2250" w:type="pct"/>
            <w:tcBorders>
              <w:tl2br w:val="nil"/>
              <w:tr2bl w:val="nil"/>
            </w:tcBorders>
            <w:vAlign w:val="center"/>
          </w:tcPr>
          <w:p w14:paraId="5154F972"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铁、锰的测定</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火焰原子吸收分光光度法</w:t>
            </w:r>
            <w:r>
              <w:rPr>
                <w:rFonts w:ascii="Times New Roman" w:eastAsia="宋体" w:hAnsi="Times New Roman" w:cs="Times New Roman"/>
                <w:kern w:val="0"/>
                <w:sz w:val="21"/>
                <w:szCs w:val="21"/>
                <w:lang w:bidi="ar"/>
              </w:rPr>
              <w:t>GB</w:t>
            </w:r>
            <w:r>
              <w:rPr>
                <w:rFonts w:ascii="Times New Roman" w:hAnsi="Times New Roman" w:cs="Times New Roman" w:hint="eastAsia"/>
                <w:kern w:val="0"/>
                <w:sz w:val="21"/>
                <w:szCs w:val="21"/>
                <w:lang w:bidi="ar"/>
              </w:rPr>
              <w:t xml:space="preserve"> </w:t>
            </w:r>
            <w:r>
              <w:rPr>
                <w:rFonts w:ascii="Times New Roman" w:eastAsia="宋体" w:hAnsi="Times New Roman" w:cs="Times New Roman"/>
                <w:kern w:val="0"/>
                <w:sz w:val="21"/>
                <w:szCs w:val="21"/>
                <w:lang w:bidi="ar"/>
              </w:rPr>
              <w:t>11911-89</w:t>
            </w:r>
          </w:p>
        </w:tc>
        <w:tc>
          <w:tcPr>
            <w:tcW w:w="1707" w:type="pct"/>
            <w:tcBorders>
              <w:tl2br w:val="nil"/>
              <w:tr2bl w:val="nil"/>
            </w:tcBorders>
            <w:vAlign w:val="center"/>
          </w:tcPr>
          <w:p w14:paraId="43F25C9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原子吸收分光光度计</w:t>
            </w:r>
            <w:r>
              <w:rPr>
                <w:rFonts w:ascii="Times New Roman" w:eastAsia="宋体" w:hAnsi="Times New Roman" w:cs="Times New Roman"/>
                <w:kern w:val="0"/>
                <w:sz w:val="21"/>
                <w:szCs w:val="21"/>
                <w:lang w:bidi="ar"/>
              </w:rPr>
              <w:t>/TAS-990AFG/KXYQ-001</w:t>
            </w:r>
          </w:p>
        </w:tc>
      </w:tr>
      <w:tr w:rsidR="009D12AF" w14:paraId="177412D7" w14:textId="77777777">
        <w:trPr>
          <w:trHeight w:val="454"/>
          <w:jc w:val="center"/>
        </w:trPr>
        <w:tc>
          <w:tcPr>
            <w:tcW w:w="251" w:type="pct"/>
            <w:tcBorders>
              <w:tl2br w:val="nil"/>
              <w:tr2bl w:val="nil"/>
            </w:tcBorders>
            <w:vAlign w:val="center"/>
          </w:tcPr>
          <w:p w14:paraId="449A1010"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15</w:t>
            </w:r>
          </w:p>
        </w:tc>
        <w:tc>
          <w:tcPr>
            <w:tcW w:w="791" w:type="pct"/>
            <w:tcBorders>
              <w:tl2br w:val="nil"/>
              <w:tr2bl w:val="nil"/>
            </w:tcBorders>
            <w:vAlign w:val="center"/>
          </w:tcPr>
          <w:p w14:paraId="6567042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锰</w:t>
            </w:r>
          </w:p>
        </w:tc>
        <w:tc>
          <w:tcPr>
            <w:tcW w:w="2250" w:type="pct"/>
            <w:tcBorders>
              <w:tl2br w:val="nil"/>
              <w:tr2bl w:val="nil"/>
            </w:tcBorders>
            <w:vAlign w:val="center"/>
          </w:tcPr>
          <w:p w14:paraId="3C187F2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铁、锰的测定</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火焰原子吸收分光光度法</w:t>
            </w:r>
            <w:r>
              <w:rPr>
                <w:rFonts w:ascii="Times New Roman" w:eastAsia="宋体" w:hAnsi="Times New Roman" w:cs="Times New Roman"/>
                <w:kern w:val="0"/>
                <w:sz w:val="21"/>
                <w:szCs w:val="21"/>
                <w:lang w:bidi="ar"/>
              </w:rPr>
              <w:t>GB</w:t>
            </w:r>
            <w:r>
              <w:rPr>
                <w:rFonts w:ascii="Times New Roman" w:hAnsi="Times New Roman" w:cs="Times New Roman" w:hint="eastAsia"/>
                <w:kern w:val="0"/>
                <w:sz w:val="21"/>
                <w:szCs w:val="21"/>
                <w:lang w:bidi="ar"/>
              </w:rPr>
              <w:t xml:space="preserve"> </w:t>
            </w:r>
            <w:r>
              <w:rPr>
                <w:rFonts w:ascii="Times New Roman" w:eastAsia="宋体" w:hAnsi="Times New Roman" w:cs="Times New Roman"/>
                <w:kern w:val="0"/>
                <w:sz w:val="21"/>
                <w:szCs w:val="21"/>
                <w:lang w:bidi="ar"/>
              </w:rPr>
              <w:t>11911-89</w:t>
            </w:r>
          </w:p>
        </w:tc>
        <w:tc>
          <w:tcPr>
            <w:tcW w:w="1707" w:type="pct"/>
            <w:tcBorders>
              <w:tl2br w:val="nil"/>
              <w:tr2bl w:val="nil"/>
            </w:tcBorders>
            <w:vAlign w:val="center"/>
          </w:tcPr>
          <w:p w14:paraId="12D1D8B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原子吸收分光光度计</w:t>
            </w:r>
            <w:r>
              <w:rPr>
                <w:rFonts w:ascii="Times New Roman" w:eastAsia="宋体" w:hAnsi="Times New Roman" w:cs="Times New Roman"/>
                <w:kern w:val="0"/>
                <w:sz w:val="21"/>
                <w:szCs w:val="21"/>
                <w:lang w:bidi="ar"/>
              </w:rPr>
              <w:t>/TAS-990AFG/KXYQ-001</w:t>
            </w:r>
          </w:p>
        </w:tc>
      </w:tr>
      <w:tr w:rsidR="009D12AF" w14:paraId="0CCECC5B" w14:textId="77777777">
        <w:trPr>
          <w:trHeight w:val="454"/>
          <w:jc w:val="center"/>
        </w:trPr>
        <w:tc>
          <w:tcPr>
            <w:tcW w:w="251" w:type="pct"/>
            <w:tcBorders>
              <w:tl2br w:val="nil"/>
              <w:tr2bl w:val="nil"/>
            </w:tcBorders>
            <w:vAlign w:val="center"/>
          </w:tcPr>
          <w:p w14:paraId="5B038F94"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16</w:t>
            </w:r>
          </w:p>
        </w:tc>
        <w:tc>
          <w:tcPr>
            <w:tcW w:w="791" w:type="pct"/>
            <w:tcBorders>
              <w:tl2br w:val="nil"/>
              <w:tr2bl w:val="nil"/>
            </w:tcBorders>
            <w:vAlign w:val="center"/>
          </w:tcPr>
          <w:p w14:paraId="32A819E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总</w:t>
            </w:r>
            <w:r>
              <w:rPr>
                <w:rFonts w:ascii="Times New Roman" w:eastAsia="宋体" w:hAnsi="Times New Roman" w:cs="Times New Roman"/>
                <w:kern w:val="0"/>
                <w:sz w:val="21"/>
                <w:szCs w:val="21"/>
                <w:lang w:bidi="ar"/>
              </w:rPr>
              <w:t>汞</w:t>
            </w:r>
          </w:p>
        </w:tc>
        <w:tc>
          <w:tcPr>
            <w:tcW w:w="2250" w:type="pct"/>
            <w:tcBorders>
              <w:tl2br w:val="nil"/>
              <w:tr2bl w:val="nil"/>
            </w:tcBorders>
            <w:vAlign w:val="center"/>
          </w:tcPr>
          <w:p w14:paraId="75F767EB" w14:textId="77777777" w:rsidR="009D12AF" w:rsidRDefault="00000000">
            <w:pPr>
              <w:widowControl/>
              <w:ind w:firstLineChars="0" w:firstLine="0"/>
              <w:jc w:val="center"/>
              <w:textAlignment w:val="center"/>
              <w:rPr>
                <w:rFonts w:ascii="Times New Roman" w:hAnsi="Times New Roman" w:cs="Times New Roman"/>
                <w:kern w:val="0"/>
                <w:sz w:val="21"/>
                <w:szCs w:val="21"/>
                <w:lang w:bidi="ar"/>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总汞的测定</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冷原子吸收分光光度法</w:t>
            </w:r>
            <w:r>
              <w:rPr>
                <w:rFonts w:ascii="Times New Roman" w:hAnsi="Times New Roman" w:cs="Times New Roman" w:hint="eastAsia"/>
                <w:kern w:val="0"/>
                <w:sz w:val="21"/>
                <w:szCs w:val="21"/>
                <w:lang w:bidi="ar"/>
              </w:rPr>
              <w:t xml:space="preserve"> </w:t>
            </w:r>
          </w:p>
          <w:p w14:paraId="2F5AA5D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HJ</w:t>
            </w:r>
            <w:r>
              <w:rPr>
                <w:rFonts w:ascii="Times New Roman" w:hAnsi="Times New Roman" w:cs="Times New Roman" w:hint="eastAsia"/>
                <w:kern w:val="0"/>
                <w:sz w:val="21"/>
                <w:szCs w:val="21"/>
                <w:lang w:bidi="ar"/>
              </w:rPr>
              <w:t xml:space="preserve"> </w:t>
            </w:r>
            <w:r>
              <w:rPr>
                <w:rFonts w:ascii="Times New Roman" w:eastAsia="宋体" w:hAnsi="Times New Roman" w:cs="Times New Roman"/>
                <w:kern w:val="0"/>
                <w:sz w:val="21"/>
                <w:szCs w:val="21"/>
                <w:lang w:bidi="ar"/>
              </w:rPr>
              <w:t>597-2011</w:t>
            </w:r>
          </w:p>
        </w:tc>
        <w:tc>
          <w:tcPr>
            <w:tcW w:w="1707" w:type="pct"/>
            <w:tcBorders>
              <w:tl2br w:val="nil"/>
              <w:tr2bl w:val="nil"/>
            </w:tcBorders>
            <w:vAlign w:val="center"/>
          </w:tcPr>
          <w:p w14:paraId="439A2D7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微分测汞仪</w:t>
            </w:r>
            <w:r>
              <w:rPr>
                <w:rFonts w:ascii="Times New Roman" w:eastAsia="宋体" w:hAnsi="Times New Roman" w:cs="Times New Roman"/>
                <w:kern w:val="0"/>
                <w:sz w:val="21"/>
                <w:szCs w:val="21"/>
                <w:lang w:bidi="ar"/>
              </w:rPr>
              <w:t>/</w:t>
            </w:r>
            <w:r>
              <w:rPr>
                <w:rFonts w:ascii="Times New Roman" w:hAnsi="Times New Roman" w:cs="Times New Roman" w:hint="eastAsia"/>
                <w:kern w:val="0"/>
                <w:sz w:val="21"/>
                <w:szCs w:val="21"/>
                <w:lang w:bidi="ar"/>
              </w:rPr>
              <w:t>BG-201</w:t>
            </w:r>
            <w:r>
              <w:rPr>
                <w:rFonts w:ascii="Times New Roman" w:eastAsia="宋体" w:hAnsi="Times New Roman" w:cs="Times New Roman"/>
                <w:kern w:val="0"/>
                <w:sz w:val="21"/>
                <w:szCs w:val="21"/>
                <w:lang w:bidi="ar"/>
              </w:rPr>
              <w:t>/KXYQ-</w:t>
            </w:r>
            <w:r>
              <w:rPr>
                <w:rFonts w:ascii="Times New Roman" w:hAnsi="Times New Roman" w:cs="Times New Roman" w:hint="eastAsia"/>
                <w:kern w:val="0"/>
                <w:sz w:val="21"/>
                <w:szCs w:val="21"/>
                <w:lang w:bidi="ar"/>
              </w:rPr>
              <w:t>124</w:t>
            </w:r>
          </w:p>
        </w:tc>
      </w:tr>
      <w:tr w:rsidR="009D12AF" w14:paraId="6AD1593C" w14:textId="77777777">
        <w:trPr>
          <w:trHeight w:val="454"/>
          <w:jc w:val="center"/>
        </w:trPr>
        <w:tc>
          <w:tcPr>
            <w:tcW w:w="251" w:type="pct"/>
            <w:tcBorders>
              <w:tl2br w:val="nil"/>
              <w:tr2bl w:val="nil"/>
            </w:tcBorders>
            <w:vAlign w:val="center"/>
          </w:tcPr>
          <w:p w14:paraId="74827348"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17</w:t>
            </w:r>
          </w:p>
        </w:tc>
        <w:tc>
          <w:tcPr>
            <w:tcW w:w="791" w:type="pct"/>
            <w:tcBorders>
              <w:tl2br w:val="nil"/>
              <w:tr2bl w:val="nil"/>
            </w:tcBorders>
            <w:vAlign w:val="center"/>
          </w:tcPr>
          <w:p w14:paraId="4B8D822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砷</w:t>
            </w:r>
          </w:p>
        </w:tc>
        <w:tc>
          <w:tcPr>
            <w:tcW w:w="2250" w:type="pct"/>
            <w:tcBorders>
              <w:tl2br w:val="nil"/>
              <w:tr2bl w:val="nil"/>
            </w:tcBorders>
            <w:vAlign w:val="center"/>
          </w:tcPr>
          <w:p w14:paraId="0EC6C25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汞、砷、硒、铋和锑的测定</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原子荧光法</w:t>
            </w:r>
            <w:r>
              <w:rPr>
                <w:rFonts w:ascii="Times New Roman" w:eastAsia="宋体" w:hAnsi="Times New Roman" w:cs="Times New Roman"/>
                <w:kern w:val="0"/>
                <w:sz w:val="21"/>
                <w:szCs w:val="21"/>
                <w:lang w:bidi="ar"/>
              </w:rPr>
              <w:t xml:space="preserve"> HJ 694-2014</w:t>
            </w:r>
          </w:p>
        </w:tc>
        <w:tc>
          <w:tcPr>
            <w:tcW w:w="1707" w:type="pct"/>
            <w:tcBorders>
              <w:tl2br w:val="nil"/>
              <w:tr2bl w:val="nil"/>
            </w:tcBorders>
            <w:vAlign w:val="center"/>
          </w:tcPr>
          <w:p w14:paraId="7A1AA24D"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hint="eastAsia"/>
                <w:kern w:val="0"/>
                <w:sz w:val="21"/>
                <w:szCs w:val="21"/>
                <w:lang w:bidi="ar"/>
              </w:rPr>
              <w:t>原子荧光光度计</w:t>
            </w:r>
            <w:r>
              <w:rPr>
                <w:rFonts w:ascii="Times New Roman" w:eastAsia="宋体" w:hAnsi="Times New Roman" w:cs="Times New Roman" w:hint="eastAsia"/>
                <w:kern w:val="0"/>
                <w:sz w:val="21"/>
                <w:szCs w:val="21"/>
                <w:lang w:bidi="ar"/>
              </w:rPr>
              <w:t>/RGF-6200/</w:t>
            </w:r>
            <w:r>
              <w:rPr>
                <w:rFonts w:ascii="Times New Roman" w:hAnsi="Times New Roman" w:cs="Times New Roman" w:hint="eastAsia"/>
                <w:kern w:val="0"/>
                <w:sz w:val="21"/>
                <w:szCs w:val="21"/>
                <w:lang w:bidi="ar"/>
              </w:rPr>
              <w:t>KXYQ-138</w:t>
            </w:r>
          </w:p>
        </w:tc>
      </w:tr>
      <w:tr w:rsidR="009D12AF" w14:paraId="383E27CA" w14:textId="77777777">
        <w:trPr>
          <w:trHeight w:val="454"/>
          <w:jc w:val="center"/>
        </w:trPr>
        <w:tc>
          <w:tcPr>
            <w:tcW w:w="251" w:type="pct"/>
            <w:tcBorders>
              <w:tl2br w:val="nil"/>
              <w:tr2bl w:val="nil"/>
            </w:tcBorders>
            <w:vAlign w:val="center"/>
          </w:tcPr>
          <w:p w14:paraId="7C5936F9"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lastRenderedPageBreak/>
              <w:t>18</w:t>
            </w:r>
          </w:p>
        </w:tc>
        <w:tc>
          <w:tcPr>
            <w:tcW w:w="791" w:type="pct"/>
            <w:tcBorders>
              <w:tl2br w:val="nil"/>
              <w:tr2bl w:val="nil"/>
            </w:tcBorders>
            <w:vAlign w:val="center"/>
          </w:tcPr>
          <w:p w14:paraId="059EE91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铅</w:t>
            </w:r>
          </w:p>
        </w:tc>
        <w:tc>
          <w:tcPr>
            <w:tcW w:w="2250" w:type="pct"/>
            <w:tcBorders>
              <w:tl2br w:val="nil"/>
              <w:tr2bl w:val="nil"/>
            </w:tcBorders>
            <w:vAlign w:val="center"/>
          </w:tcPr>
          <w:p w14:paraId="3C61E4B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铜、铅、镉</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石墨炉原子吸收法《水和废水监测分析方法》（第四版）国家环境保护总局（</w:t>
            </w:r>
            <w:r>
              <w:rPr>
                <w:rFonts w:ascii="Times New Roman" w:eastAsia="宋体" w:hAnsi="Times New Roman" w:cs="Times New Roman"/>
                <w:kern w:val="0"/>
                <w:sz w:val="21"/>
                <w:szCs w:val="21"/>
                <w:lang w:bidi="ar"/>
              </w:rPr>
              <w:t xml:space="preserve">2002 </w:t>
            </w:r>
            <w:r>
              <w:rPr>
                <w:rFonts w:ascii="Times New Roman" w:eastAsia="宋体" w:hAnsi="Times New Roman" w:cs="Times New Roman"/>
                <w:kern w:val="0"/>
                <w:sz w:val="21"/>
                <w:szCs w:val="21"/>
                <w:lang w:bidi="ar"/>
              </w:rPr>
              <w:t>年）</w:t>
            </w:r>
          </w:p>
        </w:tc>
        <w:tc>
          <w:tcPr>
            <w:tcW w:w="1707" w:type="pct"/>
            <w:tcBorders>
              <w:tl2br w:val="nil"/>
              <w:tr2bl w:val="nil"/>
            </w:tcBorders>
            <w:vAlign w:val="center"/>
          </w:tcPr>
          <w:p w14:paraId="128FF888"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原子吸收分光光度计</w:t>
            </w:r>
            <w:r>
              <w:rPr>
                <w:rFonts w:ascii="Times New Roman" w:eastAsia="宋体" w:hAnsi="Times New Roman" w:cs="Times New Roman"/>
                <w:kern w:val="0"/>
                <w:sz w:val="21"/>
                <w:szCs w:val="21"/>
                <w:lang w:bidi="ar"/>
              </w:rPr>
              <w:t>/TAS-990AFG/KXYQ-001</w:t>
            </w:r>
          </w:p>
        </w:tc>
      </w:tr>
      <w:tr w:rsidR="009D12AF" w14:paraId="4053CB99" w14:textId="77777777">
        <w:trPr>
          <w:trHeight w:val="454"/>
          <w:jc w:val="center"/>
        </w:trPr>
        <w:tc>
          <w:tcPr>
            <w:tcW w:w="251" w:type="pct"/>
            <w:tcBorders>
              <w:tl2br w:val="nil"/>
              <w:tr2bl w:val="nil"/>
            </w:tcBorders>
            <w:vAlign w:val="center"/>
          </w:tcPr>
          <w:p w14:paraId="43893491"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19</w:t>
            </w:r>
          </w:p>
        </w:tc>
        <w:tc>
          <w:tcPr>
            <w:tcW w:w="791" w:type="pct"/>
            <w:tcBorders>
              <w:tl2br w:val="nil"/>
              <w:tr2bl w:val="nil"/>
            </w:tcBorders>
            <w:vAlign w:val="center"/>
          </w:tcPr>
          <w:p w14:paraId="01B283C2"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镉</w:t>
            </w:r>
          </w:p>
        </w:tc>
        <w:tc>
          <w:tcPr>
            <w:tcW w:w="2250" w:type="pct"/>
            <w:tcBorders>
              <w:tl2br w:val="nil"/>
              <w:tr2bl w:val="nil"/>
            </w:tcBorders>
            <w:vAlign w:val="center"/>
          </w:tcPr>
          <w:p w14:paraId="38755E3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铜、铅、镉</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石墨炉原子吸收法《水和废水监测分析方法》（第四版）国家环境保护总局（</w:t>
            </w:r>
            <w:r>
              <w:rPr>
                <w:rFonts w:ascii="Times New Roman" w:eastAsia="宋体" w:hAnsi="Times New Roman" w:cs="Times New Roman"/>
                <w:kern w:val="0"/>
                <w:sz w:val="21"/>
                <w:szCs w:val="21"/>
                <w:lang w:bidi="ar"/>
              </w:rPr>
              <w:t xml:space="preserve">2002 </w:t>
            </w:r>
            <w:r>
              <w:rPr>
                <w:rFonts w:ascii="Times New Roman" w:eastAsia="宋体" w:hAnsi="Times New Roman" w:cs="Times New Roman"/>
                <w:kern w:val="0"/>
                <w:sz w:val="21"/>
                <w:szCs w:val="21"/>
                <w:lang w:bidi="ar"/>
              </w:rPr>
              <w:t>年）</w:t>
            </w:r>
          </w:p>
        </w:tc>
        <w:tc>
          <w:tcPr>
            <w:tcW w:w="1707" w:type="pct"/>
            <w:tcBorders>
              <w:tl2br w:val="nil"/>
              <w:tr2bl w:val="nil"/>
            </w:tcBorders>
            <w:vAlign w:val="center"/>
          </w:tcPr>
          <w:p w14:paraId="09ACAC1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原子吸收分光光度计</w:t>
            </w:r>
            <w:r>
              <w:rPr>
                <w:rFonts w:ascii="Times New Roman" w:eastAsia="宋体" w:hAnsi="Times New Roman" w:cs="Times New Roman"/>
                <w:kern w:val="0"/>
                <w:sz w:val="21"/>
                <w:szCs w:val="21"/>
                <w:lang w:bidi="ar"/>
              </w:rPr>
              <w:t>/TAS-990AFG/KXYQ-001</w:t>
            </w:r>
          </w:p>
        </w:tc>
      </w:tr>
      <w:tr w:rsidR="009D12AF" w14:paraId="0B29CBDD" w14:textId="77777777">
        <w:trPr>
          <w:trHeight w:val="454"/>
          <w:jc w:val="center"/>
        </w:trPr>
        <w:tc>
          <w:tcPr>
            <w:tcW w:w="251" w:type="pct"/>
            <w:tcBorders>
              <w:tl2br w:val="nil"/>
              <w:tr2bl w:val="nil"/>
            </w:tcBorders>
            <w:vAlign w:val="center"/>
          </w:tcPr>
          <w:p w14:paraId="69B6781C"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20</w:t>
            </w:r>
          </w:p>
        </w:tc>
        <w:tc>
          <w:tcPr>
            <w:tcW w:w="791" w:type="pct"/>
            <w:tcBorders>
              <w:tl2br w:val="nil"/>
              <w:tr2bl w:val="nil"/>
            </w:tcBorders>
            <w:vAlign w:val="center"/>
          </w:tcPr>
          <w:p w14:paraId="182AA79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总大肠菌群</w:t>
            </w:r>
          </w:p>
        </w:tc>
        <w:tc>
          <w:tcPr>
            <w:tcW w:w="2250" w:type="pct"/>
            <w:tcBorders>
              <w:tl2br w:val="nil"/>
              <w:tr2bl w:val="nil"/>
            </w:tcBorders>
            <w:vAlign w:val="center"/>
          </w:tcPr>
          <w:p w14:paraId="376CD28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总大肠菌群</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多管发酵法《水和废水监测分析方法》（第四版）国家环境保护总局</w:t>
            </w:r>
            <w:r>
              <w:rPr>
                <w:rFonts w:ascii="Times New Roman" w:eastAsia="宋体" w:hAnsi="Times New Roman" w:cs="Times New Roman"/>
                <w:kern w:val="0"/>
                <w:sz w:val="21"/>
                <w:szCs w:val="21"/>
                <w:lang w:bidi="ar"/>
              </w:rPr>
              <w:t xml:space="preserve"> </w:t>
            </w:r>
          </w:p>
          <w:p w14:paraId="64D664F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2002</w:t>
            </w:r>
            <w:r>
              <w:rPr>
                <w:rFonts w:ascii="Times New Roman" w:eastAsia="宋体" w:hAnsi="Times New Roman" w:cs="Times New Roman"/>
                <w:kern w:val="0"/>
                <w:sz w:val="21"/>
                <w:szCs w:val="21"/>
                <w:lang w:bidi="ar"/>
              </w:rPr>
              <w:t>年）</w:t>
            </w:r>
          </w:p>
        </w:tc>
        <w:tc>
          <w:tcPr>
            <w:tcW w:w="1707" w:type="pct"/>
            <w:tcBorders>
              <w:tl2br w:val="nil"/>
              <w:tr2bl w:val="nil"/>
            </w:tcBorders>
            <w:vAlign w:val="center"/>
          </w:tcPr>
          <w:p w14:paraId="0FECD16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恒温培养箱</w:t>
            </w:r>
            <w:r>
              <w:rPr>
                <w:rFonts w:ascii="Times New Roman" w:eastAsia="宋体" w:hAnsi="Times New Roman" w:cs="Times New Roman"/>
                <w:kern w:val="0"/>
                <w:sz w:val="21"/>
                <w:szCs w:val="21"/>
                <w:lang w:bidi="ar"/>
              </w:rPr>
              <w:t>/303-3B/KXYQ-02</w:t>
            </w:r>
            <w:r>
              <w:rPr>
                <w:rFonts w:ascii="Times New Roman" w:hAnsi="Times New Roman" w:cs="Times New Roman" w:hint="eastAsia"/>
                <w:kern w:val="0"/>
                <w:sz w:val="21"/>
                <w:szCs w:val="21"/>
                <w:lang w:bidi="ar"/>
              </w:rPr>
              <w:t>5</w:t>
            </w:r>
          </w:p>
        </w:tc>
      </w:tr>
      <w:tr w:rsidR="009D12AF" w14:paraId="2038195D" w14:textId="77777777">
        <w:trPr>
          <w:trHeight w:val="454"/>
          <w:jc w:val="center"/>
        </w:trPr>
        <w:tc>
          <w:tcPr>
            <w:tcW w:w="251" w:type="pct"/>
            <w:tcBorders>
              <w:tl2br w:val="nil"/>
              <w:tr2bl w:val="nil"/>
            </w:tcBorders>
            <w:vAlign w:val="center"/>
          </w:tcPr>
          <w:p w14:paraId="5D7E8B4A"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21</w:t>
            </w:r>
          </w:p>
        </w:tc>
        <w:tc>
          <w:tcPr>
            <w:tcW w:w="791" w:type="pct"/>
            <w:tcBorders>
              <w:tl2br w:val="nil"/>
              <w:tr2bl w:val="nil"/>
            </w:tcBorders>
            <w:vAlign w:val="center"/>
          </w:tcPr>
          <w:p w14:paraId="5AB283F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细菌</w:t>
            </w:r>
            <w:r>
              <w:rPr>
                <w:rFonts w:ascii="Times New Roman" w:eastAsia="宋体" w:hAnsi="Times New Roman" w:cs="Times New Roman"/>
                <w:kern w:val="0"/>
                <w:sz w:val="21"/>
                <w:szCs w:val="21"/>
                <w:lang w:bidi="ar"/>
              </w:rPr>
              <w:t>总数</w:t>
            </w:r>
          </w:p>
        </w:tc>
        <w:tc>
          <w:tcPr>
            <w:tcW w:w="2250" w:type="pct"/>
            <w:tcBorders>
              <w:tl2br w:val="nil"/>
              <w:tr2bl w:val="nil"/>
            </w:tcBorders>
            <w:vAlign w:val="center"/>
          </w:tcPr>
          <w:p w14:paraId="0D7CFAF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细菌总数的测定</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平皿计数法</w:t>
            </w:r>
            <w:r>
              <w:rPr>
                <w:rFonts w:ascii="Times New Roman" w:eastAsia="宋体" w:hAnsi="Times New Roman" w:cs="Times New Roman"/>
                <w:kern w:val="0"/>
                <w:sz w:val="21"/>
                <w:szCs w:val="21"/>
                <w:lang w:bidi="ar"/>
              </w:rPr>
              <w:t xml:space="preserve"> </w:t>
            </w:r>
          </w:p>
          <w:p w14:paraId="0EB4889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HJ 1000-2018</w:t>
            </w:r>
          </w:p>
        </w:tc>
        <w:tc>
          <w:tcPr>
            <w:tcW w:w="1707" w:type="pct"/>
            <w:tcBorders>
              <w:tl2br w:val="nil"/>
              <w:tr2bl w:val="nil"/>
            </w:tcBorders>
            <w:vAlign w:val="center"/>
          </w:tcPr>
          <w:p w14:paraId="3EE988F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恒温培养箱</w:t>
            </w:r>
            <w:r>
              <w:rPr>
                <w:rFonts w:ascii="Times New Roman" w:eastAsia="宋体" w:hAnsi="Times New Roman" w:cs="Times New Roman"/>
                <w:kern w:val="0"/>
                <w:sz w:val="21"/>
                <w:szCs w:val="21"/>
                <w:lang w:bidi="ar"/>
              </w:rPr>
              <w:t>/303-3B/KXYQ-025</w:t>
            </w:r>
          </w:p>
        </w:tc>
      </w:tr>
      <w:tr w:rsidR="009D12AF" w14:paraId="04196260" w14:textId="77777777">
        <w:trPr>
          <w:trHeight w:val="454"/>
          <w:jc w:val="center"/>
        </w:trPr>
        <w:tc>
          <w:tcPr>
            <w:tcW w:w="251" w:type="pct"/>
            <w:tcBorders>
              <w:tl2br w:val="nil"/>
              <w:tr2bl w:val="nil"/>
            </w:tcBorders>
            <w:vAlign w:val="center"/>
          </w:tcPr>
          <w:p w14:paraId="2331D004"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22</w:t>
            </w:r>
          </w:p>
        </w:tc>
        <w:tc>
          <w:tcPr>
            <w:tcW w:w="791" w:type="pct"/>
            <w:tcBorders>
              <w:tl2br w:val="nil"/>
              <w:tr2bl w:val="nil"/>
            </w:tcBorders>
            <w:vAlign w:val="center"/>
          </w:tcPr>
          <w:p w14:paraId="4905EB0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钾</w:t>
            </w:r>
          </w:p>
        </w:tc>
        <w:tc>
          <w:tcPr>
            <w:tcW w:w="2250" w:type="pct"/>
            <w:vMerge w:val="restart"/>
            <w:tcBorders>
              <w:tl2br w:val="nil"/>
              <w:tr2bl w:val="nil"/>
            </w:tcBorders>
            <w:vAlign w:val="center"/>
          </w:tcPr>
          <w:p w14:paraId="0315CFD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hint="eastAsia"/>
                <w:kern w:val="0"/>
                <w:sz w:val="21"/>
                <w:szCs w:val="21"/>
                <w:lang w:bidi="ar"/>
              </w:rPr>
              <w:t>水质</w:t>
            </w:r>
            <w:r>
              <w:rPr>
                <w:rFonts w:ascii="Times New Roman" w:eastAsia="宋体" w:hAnsi="Times New Roman" w:cs="Times New Roman" w:hint="eastAsia"/>
                <w:kern w:val="0"/>
                <w:sz w:val="21"/>
                <w:szCs w:val="21"/>
                <w:lang w:bidi="ar"/>
              </w:rPr>
              <w:t xml:space="preserve"> </w:t>
            </w:r>
            <w:r>
              <w:rPr>
                <w:rFonts w:ascii="Times New Roman" w:eastAsia="宋体" w:hAnsi="Times New Roman" w:cs="Times New Roman" w:hint="eastAsia"/>
                <w:kern w:val="0"/>
                <w:sz w:val="21"/>
                <w:szCs w:val="21"/>
                <w:lang w:bidi="ar"/>
              </w:rPr>
              <w:t>可溶性阳离子（</w:t>
            </w:r>
            <w:r>
              <w:rPr>
                <w:rFonts w:ascii="Times New Roman" w:eastAsia="宋体" w:hAnsi="Times New Roman" w:cs="Times New Roman" w:hint="eastAsia"/>
                <w:kern w:val="0"/>
                <w:sz w:val="21"/>
                <w:szCs w:val="21"/>
                <w:lang w:bidi="ar"/>
              </w:rPr>
              <w:t>Li</w:t>
            </w:r>
            <w:r>
              <w:rPr>
                <w:rFonts w:ascii="Times New Roman" w:eastAsia="宋体" w:hAnsi="Times New Roman" w:cs="Times New Roman" w:hint="eastAsia"/>
                <w:kern w:val="0"/>
                <w:sz w:val="21"/>
                <w:szCs w:val="21"/>
                <w:vertAlign w:val="superscript"/>
                <w:lang w:bidi="ar"/>
              </w:rPr>
              <w:t>+</w:t>
            </w:r>
            <w:r>
              <w:rPr>
                <w:rFonts w:ascii="Times New Roman" w:eastAsia="宋体" w:hAnsi="Times New Roman" w:cs="Times New Roman" w:hint="eastAsia"/>
                <w:kern w:val="0"/>
                <w:sz w:val="21"/>
                <w:szCs w:val="21"/>
                <w:lang w:bidi="ar"/>
              </w:rPr>
              <w:t>、</w:t>
            </w:r>
            <w:r>
              <w:rPr>
                <w:rFonts w:ascii="Times New Roman" w:eastAsia="宋体" w:hAnsi="Times New Roman" w:cs="Times New Roman" w:hint="eastAsia"/>
                <w:kern w:val="0"/>
                <w:sz w:val="21"/>
                <w:szCs w:val="21"/>
                <w:lang w:bidi="ar"/>
              </w:rPr>
              <w:t>Na</w:t>
            </w:r>
            <w:r>
              <w:rPr>
                <w:rFonts w:ascii="Times New Roman" w:eastAsia="宋体" w:hAnsi="Times New Roman" w:cs="Times New Roman" w:hint="eastAsia"/>
                <w:kern w:val="0"/>
                <w:sz w:val="21"/>
                <w:szCs w:val="21"/>
                <w:vertAlign w:val="superscript"/>
                <w:lang w:bidi="ar"/>
              </w:rPr>
              <w:t>+</w:t>
            </w:r>
            <w:r>
              <w:rPr>
                <w:rFonts w:ascii="Times New Roman" w:eastAsia="宋体" w:hAnsi="Times New Roman" w:cs="Times New Roman" w:hint="eastAsia"/>
                <w:kern w:val="0"/>
                <w:sz w:val="21"/>
                <w:szCs w:val="21"/>
                <w:lang w:bidi="ar"/>
              </w:rPr>
              <w:t>、</w:t>
            </w:r>
            <w:r>
              <w:rPr>
                <w:rFonts w:ascii="Times New Roman" w:eastAsia="宋体" w:hAnsi="Times New Roman" w:cs="Times New Roman" w:hint="eastAsia"/>
                <w:kern w:val="0"/>
                <w:sz w:val="21"/>
                <w:szCs w:val="21"/>
                <w:lang w:bidi="ar"/>
              </w:rPr>
              <w:t>NH</w:t>
            </w:r>
            <w:r>
              <w:rPr>
                <w:rFonts w:ascii="Times New Roman" w:eastAsia="宋体" w:hAnsi="Times New Roman" w:cs="Times New Roman" w:hint="eastAsia"/>
                <w:kern w:val="0"/>
                <w:sz w:val="21"/>
                <w:szCs w:val="21"/>
                <w:vertAlign w:val="subscript"/>
                <w:lang w:bidi="ar"/>
              </w:rPr>
              <w:t>4</w:t>
            </w:r>
            <w:r>
              <w:rPr>
                <w:rFonts w:ascii="Times New Roman" w:eastAsia="宋体" w:hAnsi="Times New Roman" w:cs="Times New Roman" w:hint="eastAsia"/>
                <w:kern w:val="0"/>
                <w:sz w:val="21"/>
                <w:szCs w:val="21"/>
                <w:vertAlign w:val="superscript"/>
                <w:lang w:bidi="ar"/>
              </w:rPr>
              <w:t>+</w:t>
            </w:r>
            <w:r>
              <w:rPr>
                <w:rFonts w:ascii="Times New Roman" w:eastAsia="宋体" w:hAnsi="Times New Roman" w:cs="Times New Roman" w:hint="eastAsia"/>
                <w:kern w:val="0"/>
                <w:sz w:val="21"/>
                <w:szCs w:val="21"/>
                <w:lang w:bidi="ar"/>
              </w:rPr>
              <w:t>、</w:t>
            </w:r>
            <w:r>
              <w:rPr>
                <w:rFonts w:ascii="Times New Roman" w:eastAsia="宋体" w:hAnsi="Times New Roman" w:cs="Times New Roman" w:hint="eastAsia"/>
                <w:kern w:val="0"/>
                <w:sz w:val="21"/>
                <w:szCs w:val="21"/>
                <w:lang w:bidi="ar"/>
              </w:rPr>
              <w:t>K</w:t>
            </w:r>
            <w:r>
              <w:rPr>
                <w:rFonts w:ascii="Times New Roman" w:eastAsia="宋体" w:hAnsi="Times New Roman" w:cs="Times New Roman" w:hint="eastAsia"/>
                <w:kern w:val="0"/>
                <w:sz w:val="21"/>
                <w:szCs w:val="21"/>
                <w:vertAlign w:val="superscript"/>
                <w:lang w:bidi="ar"/>
              </w:rPr>
              <w:t>+</w:t>
            </w:r>
            <w:r>
              <w:rPr>
                <w:rFonts w:ascii="Times New Roman" w:eastAsia="宋体" w:hAnsi="Times New Roman" w:cs="Times New Roman" w:hint="eastAsia"/>
                <w:kern w:val="0"/>
                <w:sz w:val="21"/>
                <w:szCs w:val="21"/>
                <w:lang w:bidi="ar"/>
              </w:rPr>
              <w:t>、</w:t>
            </w:r>
            <w:r>
              <w:rPr>
                <w:rFonts w:ascii="Times New Roman" w:eastAsia="宋体" w:hAnsi="Times New Roman" w:cs="Times New Roman" w:hint="eastAsia"/>
                <w:kern w:val="0"/>
                <w:sz w:val="21"/>
                <w:szCs w:val="21"/>
                <w:lang w:bidi="ar"/>
              </w:rPr>
              <w:t>Ca</w:t>
            </w:r>
            <w:r>
              <w:rPr>
                <w:rFonts w:ascii="Times New Roman" w:eastAsia="宋体" w:hAnsi="Times New Roman" w:cs="Times New Roman" w:hint="eastAsia"/>
                <w:kern w:val="0"/>
                <w:sz w:val="21"/>
                <w:szCs w:val="21"/>
                <w:vertAlign w:val="superscript"/>
                <w:lang w:bidi="ar"/>
              </w:rPr>
              <w:t>2+</w:t>
            </w:r>
            <w:r>
              <w:rPr>
                <w:rFonts w:ascii="Times New Roman" w:eastAsia="宋体" w:hAnsi="Times New Roman" w:cs="Times New Roman" w:hint="eastAsia"/>
                <w:kern w:val="0"/>
                <w:sz w:val="21"/>
                <w:szCs w:val="21"/>
                <w:lang w:bidi="ar"/>
              </w:rPr>
              <w:t>、</w:t>
            </w:r>
            <w:r>
              <w:rPr>
                <w:rFonts w:ascii="Times New Roman" w:eastAsia="宋体" w:hAnsi="Times New Roman" w:cs="Times New Roman" w:hint="eastAsia"/>
                <w:kern w:val="0"/>
                <w:sz w:val="21"/>
                <w:szCs w:val="21"/>
                <w:lang w:bidi="ar"/>
              </w:rPr>
              <w:t>Mg</w:t>
            </w:r>
            <w:r>
              <w:rPr>
                <w:rFonts w:ascii="Times New Roman" w:eastAsia="宋体" w:hAnsi="Times New Roman" w:cs="Times New Roman" w:hint="eastAsia"/>
                <w:kern w:val="0"/>
                <w:sz w:val="21"/>
                <w:szCs w:val="21"/>
                <w:vertAlign w:val="superscript"/>
                <w:lang w:bidi="ar"/>
              </w:rPr>
              <w:t>2+</w:t>
            </w:r>
            <w:r>
              <w:rPr>
                <w:rFonts w:ascii="Times New Roman" w:eastAsia="宋体" w:hAnsi="Times New Roman" w:cs="Times New Roman" w:hint="eastAsia"/>
                <w:kern w:val="0"/>
                <w:sz w:val="21"/>
                <w:szCs w:val="21"/>
                <w:lang w:bidi="ar"/>
              </w:rPr>
              <w:t>）的测定</w:t>
            </w:r>
            <w:r>
              <w:rPr>
                <w:rFonts w:ascii="Times New Roman" w:eastAsia="宋体" w:hAnsi="Times New Roman" w:cs="Times New Roman" w:hint="eastAsia"/>
                <w:kern w:val="0"/>
                <w:sz w:val="21"/>
                <w:szCs w:val="21"/>
                <w:lang w:bidi="ar"/>
              </w:rPr>
              <w:t xml:space="preserve"> </w:t>
            </w:r>
            <w:r>
              <w:rPr>
                <w:rFonts w:ascii="Times New Roman" w:eastAsia="宋体" w:hAnsi="Times New Roman" w:cs="Times New Roman" w:hint="eastAsia"/>
                <w:kern w:val="0"/>
                <w:sz w:val="21"/>
                <w:szCs w:val="21"/>
                <w:lang w:bidi="ar"/>
              </w:rPr>
              <w:t>离子色谱法</w:t>
            </w:r>
            <w:r>
              <w:rPr>
                <w:rFonts w:ascii="Times New Roman" w:eastAsia="宋体" w:hAnsi="Times New Roman" w:cs="Times New Roman" w:hint="eastAsia"/>
                <w:kern w:val="0"/>
                <w:sz w:val="21"/>
                <w:szCs w:val="21"/>
                <w:lang w:bidi="ar"/>
              </w:rPr>
              <w:t>HJ 812-2016</w:t>
            </w:r>
          </w:p>
        </w:tc>
        <w:tc>
          <w:tcPr>
            <w:tcW w:w="1707" w:type="pct"/>
            <w:vMerge w:val="restart"/>
            <w:tcBorders>
              <w:tl2br w:val="nil"/>
              <w:tr2bl w:val="nil"/>
            </w:tcBorders>
            <w:vAlign w:val="center"/>
          </w:tcPr>
          <w:p w14:paraId="76D27D2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hint="eastAsia"/>
                <w:kern w:val="0"/>
                <w:sz w:val="21"/>
                <w:szCs w:val="21"/>
                <w:lang w:bidi="ar"/>
              </w:rPr>
              <w:t>离子色谱仪</w:t>
            </w:r>
            <w:r>
              <w:rPr>
                <w:rFonts w:ascii="Times New Roman" w:eastAsia="宋体" w:hAnsi="Times New Roman" w:cs="Times New Roman" w:hint="eastAsia"/>
                <w:kern w:val="0"/>
                <w:sz w:val="21"/>
                <w:szCs w:val="21"/>
                <w:lang w:bidi="ar"/>
              </w:rPr>
              <w:t>/ICS-900/KXYQ-005</w:t>
            </w:r>
          </w:p>
        </w:tc>
      </w:tr>
      <w:tr w:rsidR="009D12AF" w14:paraId="4B9D65BF" w14:textId="77777777">
        <w:trPr>
          <w:trHeight w:val="454"/>
          <w:jc w:val="center"/>
        </w:trPr>
        <w:tc>
          <w:tcPr>
            <w:tcW w:w="251" w:type="pct"/>
            <w:tcBorders>
              <w:tl2br w:val="nil"/>
              <w:tr2bl w:val="nil"/>
            </w:tcBorders>
            <w:vAlign w:val="center"/>
          </w:tcPr>
          <w:p w14:paraId="5CDFAF73"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23</w:t>
            </w:r>
          </w:p>
        </w:tc>
        <w:tc>
          <w:tcPr>
            <w:tcW w:w="791" w:type="pct"/>
            <w:tcBorders>
              <w:tl2br w:val="nil"/>
              <w:tr2bl w:val="nil"/>
            </w:tcBorders>
            <w:vAlign w:val="center"/>
          </w:tcPr>
          <w:p w14:paraId="0C5ABFE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钠</w:t>
            </w:r>
          </w:p>
        </w:tc>
        <w:tc>
          <w:tcPr>
            <w:tcW w:w="2250" w:type="pct"/>
            <w:vMerge/>
            <w:tcBorders>
              <w:tl2br w:val="nil"/>
              <w:tr2bl w:val="nil"/>
            </w:tcBorders>
            <w:vAlign w:val="center"/>
          </w:tcPr>
          <w:p w14:paraId="10817EDA" w14:textId="77777777" w:rsidR="009D12AF" w:rsidRDefault="009D12AF">
            <w:pPr>
              <w:widowControl/>
              <w:ind w:firstLineChars="0" w:firstLine="0"/>
              <w:jc w:val="center"/>
              <w:textAlignment w:val="center"/>
              <w:rPr>
                <w:rFonts w:ascii="Times New Roman" w:eastAsia="宋体" w:hAnsi="Times New Roman" w:cs="Times New Roman"/>
                <w:kern w:val="0"/>
                <w:sz w:val="21"/>
                <w:szCs w:val="21"/>
                <w:lang w:bidi="ar"/>
              </w:rPr>
            </w:pPr>
          </w:p>
        </w:tc>
        <w:tc>
          <w:tcPr>
            <w:tcW w:w="1707" w:type="pct"/>
            <w:vMerge/>
            <w:tcBorders>
              <w:tl2br w:val="nil"/>
              <w:tr2bl w:val="nil"/>
            </w:tcBorders>
            <w:vAlign w:val="center"/>
          </w:tcPr>
          <w:p w14:paraId="52EC3AED" w14:textId="77777777" w:rsidR="009D12AF" w:rsidRDefault="009D12AF">
            <w:pPr>
              <w:widowControl/>
              <w:ind w:firstLineChars="0" w:firstLine="0"/>
              <w:jc w:val="center"/>
              <w:textAlignment w:val="center"/>
              <w:rPr>
                <w:rFonts w:ascii="Times New Roman" w:eastAsia="宋体" w:hAnsi="Times New Roman" w:cs="Times New Roman"/>
                <w:kern w:val="0"/>
                <w:sz w:val="21"/>
                <w:szCs w:val="21"/>
                <w:lang w:bidi="ar"/>
              </w:rPr>
            </w:pPr>
          </w:p>
        </w:tc>
      </w:tr>
      <w:tr w:rsidR="009D12AF" w14:paraId="7963B4CE" w14:textId="77777777">
        <w:trPr>
          <w:trHeight w:val="454"/>
          <w:jc w:val="center"/>
        </w:trPr>
        <w:tc>
          <w:tcPr>
            <w:tcW w:w="251" w:type="pct"/>
            <w:tcBorders>
              <w:tl2br w:val="nil"/>
              <w:tr2bl w:val="nil"/>
            </w:tcBorders>
            <w:vAlign w:val="center"/>
          </w:tcPr>
          <w:p w14:paraId="70552D72"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24</w:t>
            </w:r>
          </w:p>
        </w:tc>
        <w:tc>
          <w:tcPr>
            <w:tcW w:w="791" w:type="pct"/>
            <w:tcBorders>
              <w:tl2br w:val="nil"/>
              <w:tr2bl w:val="nil"/>
            </w:tcBorders>
            <w:vAlign w:val="center"/>
          </w:tcPr>
          <w:p w14:paraId="0EBD5F2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钙</w:t>
            </w:r>
          </w:p>
        </w:tc>
        <w:tc>
          <w:tcPr>
            <w:tcW w:w="2250" w:type="pct"/>
            <w:vMerge/>
            <w:tcBorders>
              <w:tl2br w:val="nil"/>
              <w:tr2bl w:val="nil"/>
            </w:tcBorders>
            <w:vAlign w:val="center"/>
          </w:tcPr>
          <w:p w14:paraId="11F94FCA" w14:textId="77777777" w:rsidR="009D12AF" w:rsidRDefault="009D12AF">
            <w:pPr>
              <w:widowControl/>
              <w:ind w:firstLineChars="0" w:firstLine="0"/>
              <w:jc w:val="center"/>
              <w:textAlignment w:val="center"/>
              <w:rPr>
                <w:rFonts w:ascii="Times New Roman" w:eastAsia="宋体" w:hAnsi="Times New Roman" w:cs="Times New Roman"/>
                <w:kern w:val="0"/>
                <w:sz w:val="21"/>
                <w:szCs w:val="21"/>
                <w:lang w:bidi="ar"/>
              </w:rPr>
            </w:pPr>
          </w:p>
        </w:tc>
        <w:tc>
          <w:tcPr>
            <w:tcW w:w="1707" w:type="pct"/>
            <w:vMerge/>
            <w:tcBorders>
              <w:tl2br w:val="nil"/>
              <w:tr2bl w:val="nil"/>
            </w:tcBorders>
            <w:vAlign w:val="center"/>
          </w:tcPr>
          <w:p w14:paraId="2476B753" w14:textId="77777777" w:rsidR="009D12AF" w:rsidRDefault="009D12AF">
            <w:pPr>
              <w:widowControl/>
              <w:ind w:firstLineChars="0" w:firstLine="0"/>
              <w:jc w:val="center"/>
              <w:textAlignment w:val="center"/>
              <w:rPr>
                <w:rFonts w:ascii="Times New Roman" w:eastAsia="宋体" w:hAnsi="Times New Roman" w:cs="Times New Roman"/>
                <w:kern w:val="0"/>
                <w:sz w:val="21"/>
                <w:szCs w:val="21"/>
                <w:lang w:bidi="ar"/>
              </w:rPr>
            </w:pPr>
          </w:p>
        </w:tc>
      </w:tr>
      <w:tr w:rsidR="009D12AF" w14:paraId="581144EA" w14:textId="77777777">
        <w:trPr>
          <w:trHeight w:val="454"/>
          <w:jc w:val="center"/>
        </w:trPr>
        <w:tc>
          <w:tcPr>
            <w:tcW w:w="251" w:type="pct"/>
            <w:tcBorders>
              <w:tl2br w:val="nil"/>
              <w:tr2bl w:val="nil"/>
            </w:tcBorders>
            <w:vAlign w:val="center"/>
          </w:tcPr>
          <w:p w14:paraId="011C31E2"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25</w:t>
            </w:r>
          </w:p>
        </w:tc>
        <w:tc>
          <w:tcPr>
            <w:tcW w:w="791" w:type="pct"/>
            <w:tcBorders>
              <w:tl2br w:val="nil"/>
              <w:tr2bl w:val="nil"/>
            </w:tcBorders>
            <w:vAlign w:val="center"/>
          </w:tcPr>
          <w:p w14:paraId="31B26612"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镁</w:t>
            </w:r>
          </w:p>
        </w:tc>
        <w:tc>
          <w:tcPr>
            <w:tcW w:w="2250" w:type="pct"/>
            <w:vMerge/>
            <w:tcBorders>
              <w:tl2br w:val="nil"/>
              <w:tr2bl w:val="nil"/>
            </w:tcBorders>
            <w:vAlign w:val="center"/>
          </w:tcPr>
          <w:p w14:paraId="24029882" w14:textId="77777777" w:rsidR="009D12AF" w:rsidRDefault="009D12AF">
            <w:pPr>
              <w:widowControl/>
              <w:ind w:firstLineChars="0" w:firstLine="0"/>
              <w:jc w:val="center"/>
              <w:textAlignment w:val="center"/>
              <w:rPr>
                <w:rFonts w:ascii="Times New Roman" w:eastAsia="宋体" w:hAnsi="Times New Roman" w:cs="Times New Roman"/>
                <w:kern w:val="0"/>
                <w:sz w:val="21"/>
                <w:szCs w:val="21"/>
                <w:lang w:bidi="ar"/>
              </w:rPr>
            </w:pPr>
          </w:p>
        </w:tc>
        <w:tc>
          <w:tcPr>
            <w:tcW w:w="1707" w:type="pct"/>
            <w:vMerge/>
            <w:tcBorders>
              <w:tl2br w:val="nil"/>
              <w:tr2bl w:val="nil"/>
            </w:tcBorders>
            <w:vAlign w:val="center"/>
          </w:tcPr>
          <w:p w14:paraId="12A17BA6" w14:textId="77777777" w:rsidR="009D12AF" w:rsidRDefault="009D12AF">
            <w:pPr>
              <w:widowControl/>
              <w:ind w:firstLineChars="0" w:firstLine="0"/>
              <w:jc w:val="center"/>
              <w:textAlignment w:val="center"/>
              <w:rPr>
                <w:rFonts w:ascii="Times New Roman" w:eastAsia="宋体" w:hAnsi="Times New Roman" w:cs="Times New Roman"/>
                <w:kern w:val="0"/>
                <w:sz w:val="21"/>
                <w:szCs w:val="21"/>
                <w:lang w:bidi="ar"/>
              </w:rPr>
            </w:pPr>
          </w:p>
        </w:tc>
      </w:tr>
      <w:tr w:rsidR="009D12AF" w14:paraId="14CCDDDE" w14:textId="77777777">
        <w:trPr>
          <w:trHeight w:val="454"/>
          <w:jc w:val="center"/>
        </w:trPr>
        <w:tc>
          <w:tcPr>
            <w:tcW w:w="251" w:type="pct"/>
            <w:tcBorders>
              <w:tl2br w:val="nil"/>
              <w:tr2bl w:val="nil"/>
            </w:tcBorders>
            <w:vAlign w:val="center"/>
          </w:tcPr>
          <w:p w14:paraId="298DB0A5"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26</w:t>
            </w:r>
          </w:p>
        </w:tc>
        <w:tc>
          <w:tcPr>
            <w:tcW w:w="791" w:type="pct"/>
            <w:tcBorders>
              <w:tl2br w:val="nil"/>
              <w:tr2bl w:val="nil"/>
            </w:tcBorders>
            <w:vAlign w:val="center"/>
          </w:tcPr>
          <w:p w14:paraId="3BBE6DD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碱度</w:t>
            </w:r>
            <w:r>
              <w:rPr>
                <w:rFonts w:ascii="Times New Roman" w:eastAsia="宋体" w:hAnsi="Times New Roman" w:cs="Times New Roman" w:hint="eastAsia"/>
                <w:kern w:val="0"/>
                <w:sz w:val="21"/>
                <w:szCs w:val="21"/>
                <w:lang w:bidi="ar"/>
              </w:rPr>
              <w:t>（</w:t>
            </w:r>
            <w:r>
              <w:rPr>
                <w:rFonts w:ascii="Times New Roman" w:eastAsia="宋体" w:hAnsi="Times New Roman" w:cs="Times New Roman" w:hint="eastAsia"/>
                <w:kern w:val="0"/>
                <w:sz w:val="21"/>
                <w:szCs w:val="21"/>
                <w:lang w:bidi="ar"/>
              </w:rPr>
              <w:t>CO</w:t>
            </w:r>
            <w:r>
              <w:rPr>
                <w:rFonts w:ascii="Times New Roman" w:eastAsia="宋体" w:hAnsi="Times New Roman" w:cs="Times New Roman" w:hint="eastAsia"/>
                <w:kern w:val="0"/>
                <w:sz w:val="21"/>
                <w:szCs w:val="21"/>
                <w:vertAlign w:val="subscript"/>
                <w:lang w:bidi="ar"/>
              </w:rPr>
              <w:t>3</w:t>
            </w:r>
            <w:r>
              <w:rPr>
                <w:rFonts w:ascii="Times New Roman" w:eastAsia="宋体" w:hAnsi="Times New Roman" w:cs="Times New Roman" w:hint="eastAsia"/>
                <w:kern w:val="0"/>
                <w:sz w:val="21"/>
                <w:szCs w:val="21"/>
                <w:vertAlign w:val="superscript"/>
                <w:lang w:bidi="ar"/>
              </w:rPr>
              <w:t>2-</w:t>
            </w:r>
            <w:r>
              <w:rPr>
                <w:rFonts w:ascii="Times New Roman" w:hAnsi="Times New Roman" w:cs="Times New Roman" w:hint="eastAsia"/>
                <w:kern w:val="0"/>
                <w:sz w:val="21"/>
                <w:szCs w:val="21"/>
                <w:lang w:bidi="ar"/>
              </w:rPr>
              <w:t>）</w:t>
            </w:r>
          </w:p>
        </w:tc>
        <w:tc>
          <w:tcPr>
            <w:tcW w:w="2250" w:type="pct"/>
            <w:tcBorders>
              <w:tl2br w:val="nil"/>
              <w:tr2bl w:val="nil"/>
            </w:tcBorders>
            <w:vAlign w:val="center"/>
          </w:tcPr>
          <w:p w14:paraId="1388273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碱度</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酸碱指示剂滴定法《水和废水监测分析方法》（第四版）国家环境保护总局</w:t>
            </w:r>
          </w:p>
          <w:p w14:paraId="69557AF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2002</w:t>
            </w:r>
            <w:r>
              <w:rPr>
                <w:rFonts w:ascii="Times New Roman" w:eastAsia="宋体" w:hAnsi="Times New Roman" w:cs="Times New Roman"/>
                <w:kern w:val="0"/>
                <w:sz w:val="21"/>
                <w:szCs w:val="21"/>
                <w:lang w:bidi="ar"/>
              </w:rPr>
              <w:t>年）</w:t>
            </w:r>
          </w:p>
        </w:tc>
        <w:tc>
          <w:tcPr>
            <w:tcW w:w="1707" w:type="pct"/>
            <w:tcBorders>
              <w:tl2br w:val="nil"/>
              <w:tr2bl w:val="nil"/>
            </w:tcBorders>
            <w:vAlign w:val="center"/>
          </w:tcPr>
          <w:p w14:paraId="0F5A431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酸式滴定管</w:t>
            </w:r>
            <w:r>
              <w:rPr>
                <w:rFonts w:ascii="Times New Roman" w:eastAsia="宋体" w:hAnsi="Times New Roman" w:cs="Times New Roman"/>
                <w:kern w:val="0"/>
                <w:sz w:val="21"/>
                <w:szCs w:val="21"/>
                <w:lang w:bidi="ar"/>
              </w:rPr>
              <w:t>/25mL</w:t>
            </w:r>
          </w:p>
        </w:tc>
      </w:tr>
      <w:tr w:rsidR="009D12AF" w14:paraId="0DD95112" w14:textId="77777777">
        <w:trPr>
          <w:trHeight w:val="454"/>
          <w:jc w:val="center"/>
        </w:trPr>
        <w:tc>
          <w:tcPr>
            <w:tcW w:w="251" w:type="pct"/>
            <w:tcBorders>
              <w:tl2br w:val="nil"/>
              <w:tr2bl w:val="nil"/>
            </w:tcBorders>
            <w:vAlign w:val="center"/>
          </w:tcPr>
          <w:p w14:paraId="12684194"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27</w:t>
            </w:r>
          </w:p>
        </w:tc>
        <w:tc>
          <w:tcPr>
            <w:tcW w:w="791" w:type="pct"/>
            <w:tcBorders>
              <w:tl2br w:val="nil"/>
              <w:tr2bl w:val="nil"/>
            </w:tcBorders>
            <w:vAlign w:val="center"/>
          </w:tcPr>
          <w:p w14:paraId="44A87985"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碱度</w:t>
            </w:r>
            <w:r>
              <w:rPr>
                <w:rFonts w:ascii="Times New Roman" w:eastAsia="宋体" w:hAnsi="Times New Roman" w:cs="Times New Roman" w:hint="eastAsia"/>
                <w:kern w:val="0"/>
                <w:sz w:val="21"/>
                <w:szCs w:val="21"/>
                <w:lang w:bidi="ar"/>
              </w:rPr>
              <w:t>（</w:t>
            </w:r>
            <w:r>
              <w:rPr>
                <w:rFonts w:ascii="Times New Roman" w:eastAsia="宋体" w:hAnsi="Times New Roman" w:cs="Times New Roman" w:hint="eastAsia"/>
                <w:kern w:val="0"/>
                <w:sz w:val="21"/>
                <w:szCs w:val="21"/>
                <w:lang w:bidi="ar"/>
              </w:rPr>
              <w:t>HCO</w:t>
            </w:r>
            <w:r>
              <w:rPr>
                <w:rFonts w:ascii="Times New Roman" w:hAnsi="Times New Roman" w:cs="Times New Roman" w:hint="eastAsia"/>
                <w:kern w:val="0"/>
                <w:sz w:val="21"/>
                <w:szCs w:val="21"/>
                <w:vertAlign w:val="subscript"/>
                <w:lang w:bidi="ar"/>
              </w:rPr>
              <w:t>3</w:t>
            </w:r>
            <w:r>
              <w:rPr>
                <w:rFonts w:ascii="Times New Roman" w:eastAsia="宋体" w:hAnsi="Times New Roman" w:cs="Times New Roman" w:hint="eastAsia"/>
                <w:kern w:val="0"/>
                <w:sz w:val="21"/>
                <w:szCs w:val="21"/>
                <w:vertAlign w:val="superscript"/>
                <w:lang w:bidi="ar"/>
              </w:rPr>
              <w:t>-</w:t>
            </w:r>
            <w:r>
              <w:rPr>
                <w:rFonts w:ascii="Times New Roman" w:hAnsi="Times New Roman" w:cs="Times New Roman" w:hint="eastAsia"/>
                <w:kern w:val="0"/>
                <w:sz w:val="21"/>
                <w:szCs w:val="21"/>
                <w:lang w:bidi="ar"/>
              </w:rPr>
              <w:t>）</w:t>
            </w:r>
          </w:p>
        </w:tc>
        <w:tc>
          <w:tcPr>
            <w:tcW w:w="2250" w:type="pct"/>
            <w:tcBorders>
              <w:tl2br w:val="nil"/>
              <w:tr2bl w:val="nil"/>
            </w:tcBorders>
            <w:vAlign w:val="center"/>
          </w:tcPr>
          <w:p w14:paraId="0E4ACA5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碱度</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酸碱指示剂滴定法《水和废水监测分析方法》（第四版）国家环境保护总局</w:t>
            </w:r>
          </w:p>
          <w:p w14:paraId="6641627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2002</w:t>
            </w:r>
            <w:r>
              <w:rPr>
                <w:rFonts w:ascii="Times New Roman" w:eastAsia="宋体" w:hAnsi="Times New Roman" w:cs="Times New Roman"/>
                <w:kern w:val="0"/>
                <w:sz w:val="21"/>
                <w:szCs w:val="21"/>
                <w:lang w:bidi="ar"/>
              </w:rPr>
              <w:t>年）</w:t>
            </w:r>
          </w:p>
        </w:tc>
        <w:tc>
          <w:tcPr>
            <w:tcW w:w="1707" w:type="pct"/>
            <w:tcBorders>
              <w:tl2br w:val="nil"/>
              <w:tr2bl w:val="nil"/>
            </w:tcBorders>
            <w:vAlign w:val="center"/>
          </w:tcPr>
          <w:p w14:paraId="756A660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酸式滴定管</w:t>
            </w:r>
            <w:r>
              <w:rPr>
                <w:rFonts w:ascii="Times New Roman" w:eastAsia="宋体" w:hAnsi="Times New Roman" w:cs="Times New Roman"/>
                <w:kern w:val="0"/>
                <w:sz w:val="21"/>
                <w:szCs w:val="21"/>
                <w:lang w:bidi="ar"/>
              </w:rPr>
              <w:t>/25mL</w:t>
            </w:r>
          </w:p>
        </w:tc>
      </w:tr>
      <w:tr w:rsidR="009D12AF" w14:paraId="05076EC6" w14:textId="77777777">
        <w:trPr>
          <w:trHeight w:val="454"/>
          <w:jc w:val="center"/>
        </w:trPr>
        <w:tc>
          <w:tcPr>
            <w:tcW w:w="251" w:type="pct"/>
            <w:tcBorders>
              <w:tl2br w:val="nil"/>
              <w:tr2bl w:val="nil"/>
            </w:tcBorders>
            <w:vAlign w:val="center"/>
          </w:tcPr>
          <w:p w14:paraId="6507E54C"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28</w:t>
            </w:r>
          </w:p>
        </w:tc>
        <w:tc>
          <w:tcPr>
            <w:tcW w:w="791" w:type="pct"/>
            <w:tcBorders>
              <w:tl2br w:val="nil"/>
              <w:tr2bl w:val="nil"/>
            </w:tcBorders>
            <w:vAlign w:val="center"/>
          </w:tcPr>
          <w:p w14:paraId="7AF4729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氯化物</w:t>
            </w:r>
          </w:p>
        </w:tc>
        <w:tc>
          <w:tcPr>
            <w:tcW w:w="2250" w:type="pct"/>
            <w:tcBorders>
              <w:tl2br w:val="nil"/>
              <w:tr2bl w:val="nil"/>
            </w:tcBorders>
            <w:vAlign w:val="center"/>
          </w:tcPr>
          <w:p w14:paraId="0EDC1C5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无机阴离子</w:t>
            </w:r>
            <w:r>
              <w:rPr>
                <w:rFonts w:ascii="Times New Roman" w:eastAsia="宋体" w:hAnsi="Times New Roman" w:cs="Times New Roman"/>
                <w:kern w:val="0"/>
                <w:sz w:val="21"/>
                <w:szCs w:val="21"/>
                <w:lang w:bidi="ar"/>
              </w:rPr>
              <w:t>(F</w:t>
            </w:r>
            <w:r>
              <w:rPr>
                <w:rFonts w:ascii="Times New Roman" w:eastAsia="宋体" w:hAnsi="Times New Roman" w:cs="Times New Roman"/>
                <w:kern w:val="0"/>
                <w:sz w:val="21"/>
                <w:szCs w:val="21"/>
                <w:vertAlign w:val="superscript"/>
                <w:lang w:bidi="ar"/>
              </w:rPr>
              <w:t>-</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Cl</w:t>
            </w:r>
            <w:r>
              <w:rPr>
                <w:rFonts w:ascii="Times New Roman" w:eastAsia="宋体" w:hAnsi="Times New Roman" w:cs="Times New Roman"/>
                <w:kern w:val="0"/>
                <w:sz w:val="21"/>
                <w:szCs w:val="21"/>
                <w:vertAlign w:val="superscript"/>
                <w:lang w:bidi="ar"/>
              </w:rPr>
              <w:t>-</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NO</w:t>
            </w:r>
            <w:r>
              <w:rPr>
                <w:rFonts w:ascii="Times New Roman" w:eastAsia="宋体" w:hAnsi="Times New Roman" w:cs="Times New Roman"/>
                <w:kern w:val="0"/>
                <w:sz w:val="21"/>
                <w:szCs w:val="21"/>
                <w:vertAlign w:val="subscript"/>
                <w:lang w:bidi="ar"/>
              </w:rPr>
              <w:t>2</w:t>
            </w:r>
            <w:r>
              <w:rPr>
                <w:rFonts w:ascii="Times New Roman" w:eastAsia="宋体" w:hAnsi="Times New Roman" w:cs="Times New Roman"/>
                <w:kern w:val="0"/>
                <w:sz w:val="21"/>
                <w:szCs w:val="21"/>
                <w:vertAlign w:val="superscript"/>
                <w:lang w:bidi="ar"/>
              </w:rPr>
              <w:t>-</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Br</w:t>
            </w:r>
            <w:r>
              <w:rPr>
                <w:rFonts w:ascii="Times New Roman" w:eastAsia="宋体" w:hAnsi="Times New Roman" w:cs="Times New Roman"/>
                <w:kern w:val="0"/>
                <w:sz w:val="21"/>
                <w:szCs w:val="21"/>
                <w:vertAlign w:val="superscript"/>
                <w:lang w:bidi="ar"/>
              </w:rPr>
              <w:t>-</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NO</w:t>
            </w:r>
            <w:r>
              <w:rPr>
                <w:rFonts w:ascii="Times New Roman" w:eastAsia="宋体" w:hAnsi="Times New Roman" w:cs="Times New Roman"/>
                <w:kern w:val="0"/>
                <w:sz w:val="21"/>
                <w:szCs w:val="21"/>
                <w:vertAlign w:val="subscript"/>
                <w:lang w:bidi="ar"/>
              </w:rPr>
              <w:t>3</w:t>
            </w:r>
            <w:r>
              <w:rPr>
                <w:rFonts w:ascii="Times New Roman" w:eastAsia="宋体" w:hAnsi="Times New Roman" w:cs="Times New Roman"/>
                <w:kern w:val="0"/>
                <w:sz w:val="21"/>
                <w:szCs w:val="21"/>
                <w:vertAlign w:val="superscript"/>
                <w:lang w:bidi="ar"/>
              </w:rPr>
              <w:t>-</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PO</w:t>
            </w:r>
            <w:r>
              <w:rPr>
                <w:rFonts w:ascii="Times New Roman" w:eastAsia="宋体" w:hAnsi="Times New Roman" w:cs="Times New Roman"/>
                <w:kern w:val="0"/>
                <w:sz w:val="21"/>
                <w:szCs w:val="21"/>
                <w:vertAlign w:val="subscript"/>
                <w:lang w:bidi="ar"/>
              </w:rPr>
              <w:t>4</w:t>
            </w:r>
            <w:r>
              <w:rPr>
                <w:rFonts w:ascii="Times New Roman" w:eastAsia="宋体" w:hAnsi="Times New Roman" w:cs="Times New Roman"/>
                <w:kern w:val="0"/>
                <w:sz w:val="21"/>
                <w:szCs w:val="21"/>
                <w:vertAlign w:val="superscript"/>
                <w:lang w:bidi="ar"/>
              </w:rPr>
              <w:t>3-</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SO</w:t>
            </w:r>
            <w:r>
              <w:rPr>
                <w:rFonts w:ascii="Times New Roman" w:eastAsia="宋体" w:hAnsi="Times New Roman" w:cs="Times New Roman"/>
                <w:kern w:val="0"/>
                <w:sz w:val="21"/>
                <w:szCs w:val="21"/>
                <w:vertAlign w:val="subscript"/>
                <w:lang w:bidi="ar"/>
              </w:rPr>
              <w:t>3</w:t>
            </w:r>
            <w:r>
              <w:rPr>
                <w:rFonts w:ascii="Times New Roman" w:eastAsia="宋体" w:hAnsi="Times New Roman" w:cs="Times New Roman"/>
                <w:kern w:val="0"/>
                <w:sz w:val="21"/>
                <w:szCs w:val="21"/>
                <w:vertAlign w:val="superscript"/>
                <w:lang w:bidi="ar"/>
              </w:rPr>
              <w:t>2-</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SO</w:t>
            </w:r>
            <w:r>
              <w:rPr>
                <w:rFonts w:ascii="Times New Roman" w:eastAsia="宋体" w:hAnsi="Times New Roman" w:cs="Times New Roman"/>
                <w:kern w:val="0"/>
                <w:sz w:val="21"/>
                <w:szCs w:val="21"/>
                <w:vertAlign w:val="subscript"/>
                <w:lang w:bidi="ar"/>
              </w:rPr>
              <w:t>4</w:t>
            </w:r>
            <w:r>
              <w:rPr>
                <w:rFonts w:ascii="Times New Roman" w:eastAsia="宋体" w:hAnsi="Times New Roman" w:cs="Times New Roman"/>
                <w:kern w:val="0"/>
                <w:sz w:val="21"/>
                <w:szCs w:val="21"/>
                <w:vertAlign w:val="superscript"/>
                <w:lang w:bidi="ar"/>
              </w:rPr>
              <w:t>2-</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的测定离子色谱法</w:t>
            </w:r>
            <w:r>
              <w:rPr>
                <w:rFonts w:ascii="Times New Roman" w:hAnsi="Times New Roman" w:cs="Times New Roman" w:hint="eastAsia"/>
                <w:kern w:val="0"/>
                <w:sz w:val="21"/>
                <w:szCs w:val="21"/>
                <w:lang w:bidi="ar"/>
              </w:rPr>
              <w:t xml:space="preserve"> </w:t>
            </w:r>
          </w:p>
          <w:p w14:paraId="2D37EC3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HJ</w:t>
            </w:r>
            <w:r>
              <w:rPr>
                <w:rFonts w:ascii="Times New Roman" w:hAnsi="Times New Roman" w:cs="Times New Roman" w:hint="eastAsia"/>
                <w:kern w:val="0"/>
                <w:sz w:val="21"/>
                <w:szCs w:val="21"/>
                <w:lang w:bidi="ar"/>
              </w:rPr>
              <w:t xml:space="preserve"> </w:t>
            </w:r>
            <w:r>
              <w:rPr>
                <w:rFonts w:ascii="Times New Roman" w:eastAsia="宋体" w:hAnsi="Times New Roman" w:cs="Times New Roman"/>
                <w:kern w:val="0"/>
                <w:sz w:val="21"/>
                <w:szCs w:val="21"/>
                <w:lang w:bidi="ar"/>
              </w:rPr>
              <w:t>84-2016</w:t>
            </w:r>
          </w:p>
        </w:tc>
        <w:tc>
          <w:tcPr>
            <w:tcW w:w="1707" w:type="pct"/>
            <w:tcBorders>
              <w:tl2br w:val="nil"/>
              <w:tr2bl w:val="nil"/>
            </w:tcBorders>
            <w:vAlign w:val="center"/>
          </w:tcPr>
          <w:p w14:paraId="556E56DE"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离子色谱仪</w:t>
            </w:r>
            <w:r>
              <w:rPr>
                <w:rFonts w:ascii="Times New Roman" w:eastAsia="宋体" w:hAnsi="Times New Roman" w:cs="Times New Roman"/>
                <w:kern w:val="0"/>
                <w:sz w:val="21"/>
                <w:szCs w:val="21"/>
                <w:lang w:bidi="ar"/>
              </w:rPr>
              <w:t>/ICS-900/KXYQ-005</w:t>
            </w:r>
          </w:p>
        </w:tc>
      </w:tr>
      <w:tr w:rsidR="009D12AF" w14:paraId="1D6BA603" w14:textId="77777777">
        <w:trPr>
          <w:trHeight w:val="454"/>
          <w:jc w:val="center"/>
        </w:trPr>
        <w:tc>
          <w:tcPr>
            <w:tcW w:w="251" w:type="pct"/>
            <w:tcBorders>
              <w:tl2br w:val="nil"/>
              <w:tr2bl w:val="nil"/>
            </w:tcBorders>
            <w:vAlign w:val="center"/>
          </w:tcPr>
          <w:p w14:paraId="09315988" w14:textId="77777777" w:rsidR="009D12AF" w:rsidRDefault="00000000">
            <w:pPr>
              <w:spacing w:line="240" w:lineRule="auto"/>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29</w:t>
            </w:r>
          </w:p>
        </w:tc>
        <w:tc>
          <w:tcPr>
            <w:tcW w:w="791" w:type="pct"/>
            <w:tcBorders>
              <w:tl2br w:val="nil"/>
              <w:tr2bl w:val="nil"/>
            </w:tcBorders>
            <w:vAlign w:val="center"/>
          </w:tcPr>
          <w:p w14:paraId="4544615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硫酸盐</w:t>
            </w:r>
          </w:p>
        </w:tc>
        <w:tc>
          <w:tcPr>
            <w:tcW w:w="2250" w:type="pct"/>
            <w:tcBorders>
              <w:tl2br w:val="nil"/>
              <w:tr2bl w:val="nil"/>
            </w:tcBorders>
            <w:vAlign w:val="center"/>
          </w:tcPr>
          <w:p w14:paraId="6B572384"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水质</w:t>
            </w:r>
            <w:r>
              <w:rPr>
                <w:rFonts w:ascii="Times New Roman" w:eastAsia="宋体" w:hAnsi="Times New Roman" w:cs="Times New Roman"/>
                <w:kern w:val="0"/>
                <w:sz w:val="21"/>
                <w:szCs w:val="21"/>
                <w:lang w:bidi="ar"/>
              </w:rPr>
              <w:t xml:space="preserve"> </w:t>
            </w:r>
            <w:r>
              <w:rPr>
                <w:rFonts w:ascii="Times New Roman" w:eastAsia="宋体" w:hAnsi="Times New Roman" w:cs="Times New Roman"/>
                <w:kern w:val="0"/>
                <w:sz w:val="21"/>
                <w:szCs w:val="21"/>
                <w:lang w:bidi="ar"/>
              </w:rPr>
              <w:t>无机阴离子</w:t>
            </w:r>
            <w:r>
              <w:rPr>
                <w:rFonts w:ascii="Times New Roman" w:eastAsia="宋体" w:hAnsi="Times New Roman" w:cs="Times New Roman"/>
                <w:kern w:val="0"/>
                <w:sz w:val="21"/>
                <w:szCs w:val="21"/>
                <w:lang w:bidi="ar"/>
              </w:rPr>
              <w:t>(F</w:t>
            </w:r>
            <w:r>
              <w:rPr>
                <w:rFonts w:ascii="Times New Roman" w:eastAsia="宋体" w:hAnsi="Times New Roman" w:cs="Times New Roman"/>
                <w:kern w:val="0"/>
                <w:sz w:val="21"/>
                <w:szCs w:val="21"/>
                <w:vertAlign w:val="superscript"/>
                <w:lang w:bidi="ar"/>
              </w:rPr>
              <w:t>-</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Cl</w:t>
            </w:r>
            <w:r>
              <w:rPr>
                <w:rFonts w:ascii="Times New Roman" w:eastAsia="宋体" w:hAnsi="Times New Roman" w:cs="Times New Roman"/>
                <w:kern w:val="0"/>
                <w:sz w:val="21"/>
                <w:szCs w:val="21"/>
                <w:vertAlign w:val="superscript"/>
                <w:lang w:bidi="ar"/>
              </w:rPr>
              <w:t>-</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NO</w:t>
            </w:r>
            <w:r>
              <w:rPr>
                <w:rFonts w:ascii="Times New Roman" w:eastAsia="宋体" w:hAnsi="Times New Roman" w:cs="Times New Roman"/>
                <w:kern w:val="0"/>
                <w:sz w:val="21"/>
                <w:szCs w:val="21"/>
                <w:vertAlign w:val="subscript"/>
                <w:lang w:bidi="ar"/>
              </w:rPr>
              <w:t>2</w:t>
            </w:r>
            <w:r>
              <w:rPr>
                <w:rFonts w:ascii="Times New Roman" w:eastAsia="宋体" w:hAnsi="Times New Roman" w:cs="Times New Roman"/>
                <w:kern w:val="0"/>
                <w:sz w:val="21"/>
                <w:szCs w:val="21"/>
                <w:vertAlign w:val="superscript"/>
                <w:lang w:bidi="ar"/>
              </w:rPr>
              <w:t>-</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Br</w:t>
            </w:r>
            <w:r>
              <w:rPr>
                <w:rFonts w:ascii="Times New Roman" w:eastAsia="宋体" w:hAnsi="Times New Roman" w:cs="Times New Roman"/>
                <w:kern w:val="0"/>
                <w:sz w:val="21"/>
                <w:szCs w:val="21"/>
                <w:vertAlign w:val="superscript"/>
                <w:lang w:bidi="ar"/>
              </w:rPr>
              <w:t>-</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NO</w:t>
            </w:r>
            <w:r>
              <w:rPr>
                <w:rFonts w:ascii="Times New Roman" w:eastAsia="宋体" w:hAnsi="Times New Roman" w:cs="Times New Roman"/>
                <w:kern w:val="0"/>
                <w:sz w:val="21"/>
                <w:szCs w:val="21"/>
                <w:vertAlign w:val="subscript"/>
                <w:lang w:bidi="ar"/>
              </w:rPr>
              <w:t>3</w:t>
            </w:r>
            <w:r>
              <w:rPr>
                <w:rFonts w:ascii="Times New Roman" w:eastAsia="宋体" w:hAnsi="Times New Roman" w:cs="Times New Roman"/>
                <w:kern w:val="0"/>
                <w:sz w:val="21"/>
                <w:szCs w:val="21"/>
                <w:vertAlign w:val="superscript"/>
                <w:lang w:bidi="ar"/>
              </w:rPr>
              <w:t>-</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PO</w:t>
            </w:r>
            <w:r>
              <w:rPr>
                <w:rFonts w:ascii="Times New Roman" w:eastAsia="宋体" w:hAnsi="Times New Roman" w:cs="Times New Roman"/>
                <w:kern w:val="0"/>
                <w:sz w:val="21"/>
                <w:szCs w:val="21"/>
                <w:vertAlign w:val="subscript"/>
                <w:lang w:bidi="ar"/>
              </w:rPr>
              <w:t>4</w:t>
            </w:r>
            <w:r>
              <w:rPr>
                <w:rFonts w:ascii="Times New Roman" w:eastAsia="宋体" w:hAnsi="Times New Roman" w:cs="Times New Roman"/>
                <w:kern w:val="0"/>
                <w:sz w:val="21"/>
                <w:szCs w:val="21"/>
                <w:vertAlign w:val="superscript"/>
                <w:lang w:bidi="ar"/>
              </w:rPr>
              <w:t>3-</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SO</w:t>
            </w:r>
            <w:r>
              <w:rPr>
                <w:rFonts w:ascii="Times New Roman" w:eastAsia="宋体" w:hAnsi="Times New Roman" w:cs="Times New Roman"/>
                <w:kern w:val="0"/>
                <w:sz w:val="21"/>
                <w:szCs w:val="21"/>
                <w:vertAlign w:val="subscript"/>
                <w:lang w:bidi="ar"/>
              </w:rPr>
              <w:t>3</w:t>
            </w:r>
            <w:r>
              <w:rPr>
                <w:rFonts w:ascii="Times New Roman" w:eastAsia="宋体" w:hAnsi="Times New Roman" w:cs="Times New Roman"/>
                <w:kern w:val="0"/>
                <w:sz w:val="21"/>
                <w:szCs w:val="21"/>
                <w:vertAlign w:val="superscript"/>
                <w:lang w:bidi="ar"/>
              </w:rPr>
              <w:t>2-</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SO</w:t>
            </w:r>
            <w:r>
              <w:rPr>
                <w:rFonts w:ascii="Times New Roman" w:eastAsia="宋体" w:hAnsi="Times New Roman" w:cs="Times New Roman"/>
                <w:kern w:val="0"/>
                <w:sz w:val="21"/>
                <w:szCs w:val="21"/>
                <w:vertAlign w:val="subscript"/>
                <w:lang w:bidi="ar"/>
              </w:rPr>
              <w:t>4</w:t>
            </w:r>
            <w:r>
              <w:rPr>
                <w:rFonts w:ascii="Times New Roman" w:eastAsia="宋体" w:hAnsi="Times New Roman" w:cs="Times New Roman"/>
                <w:kern w:val="0"/>
                <w:sz w:val="21"/>
                <w:szCs w:val="21"/>
                <w:vertAlign w:val="superscript"/>
                <w:lang w:bidi="ar"/>
              </w:rPr>
              <w:t>2-</w:t>
            </w:r>
            <w:r>
              <w:rPr>
                <w:rFonts w:ascii="Times New Roman" w:eastAsia="宋体" w:hAnsi="Times New Roman" w:cs="Times New Roman"/>
                <w:kern w:val="0"/>
                <w:sz w:val="21"/>
                <w:szCs w:val="21"/>
                <w:lang w:bidi="ar"/>
              </w:rPr>
              <w:t>)</w:t>
            </w:r>
            <w:r>
              <w:rPr>
                <w:rFonts w:ascii="Times New Roman" w:eastAsia="宋体" w:hAnsi="Times New Roman" w:cs="Times New Roman"/>
                <w:kern w:val="0"/>
                <w:sz w:val="21"/>
                <w:szCs w:val="21"/>
                <w:lang w:bidi="ar"/>
              </w:rPr>
              <w:t>的测定离子色谱法</w:t>
            </w:r>
            <w:r>
              <w:rPr>
                <w:rFonts w:ascii="Times New Roman" w:hAnsi="Times New Roman" w:cs="Times New Roman" w:hint="eastAsia"/>
                <w:kern w:val="0"/>
                <w:sz w:val="21"/>
                <w:szCs w:val="21"/>
                <w:lang w:bidi="ar"/>
              </w:rPr>
              <w:t xml:space="preserve"> </w:t>
            </w:r>
          </w:p>
          <w:p w14:paraId="08FA61C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HJ</w:t>
            </w:r>
            <w:r>
              <w:rPr>
                <w:rFonts w:ascii="Times New Roman" w:hAnsi="Times New Roman" w:cs="Times New Roman" w:hint="eastAsia"/>
                <w:kern w:val="0"/>
                <w:sz w:val="21"/>
                <w:szCs w:val="21"/>
                <w:lang w:bidi="ar"/>
              </w:rPr>
              <w:t xml:space="preserve"> </w:t>
            </w:r>
            <w:r>
              <w:rPr>
                <w:rFonts w:ascii="Times New Roman" w:eastAsia="宋体" w:hAnsi="Times New Roman" w:cs="Times New Roman"/>
                <w:kern w:val="0"/>
                <w:sz w:val="21"/>
                <w:szCs w:val="21"/>
                <w:lang w:bidi="ar"/>
              </w:rPr>
              <w:t>84-2016</w:t>
            </w:r>
          </w:p>
        </w:tc>
        <w:tc>
          <w:tcPr>
            <w:tcW w:w="1707" w:type="pct"/>
            <w:tcBorders>
              <w:tl2br w:val="nil"/>
              <w:tr2bl w:val="nil"/>
            </w:tcBorders>
            <w:vAlign w:val="center"/>
          </w:tcPr>
          <w:p w14:paraId="088625F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lang w:bidi="ar"/>
              </w:rPr>
              <w:t>离子色谱仪</w:t>
            </w:r>
            <w:r>
              <w:rPr>
                <w:rFonts w:ascii="Times New Roman" w:eastAsia="宋体" w:hAnsi="Times New Roman" w:cs="Times New Roman"/>
                <w:kern w:val="0"/>
                <w:sz w:val="21"/>
                <w:szCs w:val="21"/>
                <w:lang w:bidi="ar"/>
              </w:rPr>
              <w:t>/ICS-900/KXYQ-005</w:t>
            </w:r>
          </w:p>
        </w:tc>
      </w:tr>
    </w:tbl>
    <w:p w14:paraId="45CC91CA"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hint="eastAsia"/>
          <w:color w:val="000000" w:themeColor="text1"/>
        </w:rPr>
        <w:t>4</w:t>
      </w:r>
      <w:r>
        <w:rPr>
          <w:rFonts w:ascii="Times New Roman" w:hAnsi="Times New Roman" w:cs="Times New Roman"/>
          <w:color w:val="000000" w:themeColor="text1"/>
        </w:rPr>
        <w:t>、监测结果</w:t>
      </w:r>
    </w:p>
    <w:p w14:paraId="5401BDE9"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lastRenderedPageBreak/>
        <w:t>地下水水质</w:t>
      </w:r>
      <w:r>
        <w:rPr>
          <w:rFonts w:ascii="Times New Roman" w:hAnsi="Times New Roman" w:cs="Times New Roman" w:hint="eastAsia"/>
          <w:color w:val="000000" w:themeColor="text1"/>
        </w:rPr>
        <w:t>水位</w:t>
      </w:r>
      <w:r>
        <w:rPr>
          <w:rFonts w:ascii="Times New Roman" w:hAnsi="Times New Roman" w:cs="Times New Roman"/>
          <w:color w:val="000000" w:themeColor="text1"/>
        </w:rPr>
        <w:t>现状监测结果见</w:t>
      </w:r>
      <w:r>
        <w:rPr>
          <w:rFonts w:ascii="Times New Roman" w:hAnsi="Times New Roman" w:cs="Times New Roman" w:hint="eastAsia"/>
          <w:color w:val="000000" w:themeColor="text1"/>
        </w:rPr>
        <w:t>下</w:t>
      </w:r>
      <w:r>
        <w:rPr>
          <w:rFonts w:ascii="Times New Roman" w:hAnsi="Times New Roman" w:cs="Times New Roman"/>
          <w:color w:val="000000" w:themeColor="text1"/>
        </w:rPr>
        <w:t>表。</w:t>
      </w:r>
    </w:p>
    <w:p w14:paraId="61DF7114" w14:textId="77777777" w:rsidR="009D12AF" w:rsidRDefault="00000000">
      <w:pPr>
        <w:ind w:firstLine="482"/>
        <w:jc w:val="center"/>
        <w:rPr>
          <w:b/>
          <w:bCs/>
        </w:rPr>
      </w:pPr>
      <w:r>
        <w:rPr>
          <w:rFonts w:hint="eastAsia"/>
          <w:b/>
          <w:bCs/>
        </w:rPr>
        <w:t>表</w:t>
      </w:r>
      <w:r>
        <w:rPr>
          <w:rFonts w:hint="eastAsia"/>
          <w:b/>
          <w:bCs/>
        </w:rPr>
        <w:t>4.3-17</w:t>
      </w:r>
      <w:r>
        <w:rPr>
          <w:rFonts w:hint="eastAsia"/>
          <w:b/>
          <w:bCs/>
        </w:rPr>
        <w:t>水位调查结果</w:t>
      </w:r>
    </w:p>
    <w:tbl>
      <w:tblPr>
        <w:tblW w:w="4994" w:type="pct"/>
        <w:jc w:val="center"/>
        <w:tblBorders>
          <w:top w:val="single" w:sz="12" w:space="0" w:color="auto"/>
          <w:bottom w:val="single" w:sz="12" w:space="0" w:color="auto"/>
          <w:insideH w:val="single" w:sz="8" w:space="0" w:color="auto"/>
          <w:insideV w:val="single" w:sz="8" w:space="0" w:color="auto"/>
        </w:tblBorders>
        <w:tblLook w:val="04A0" w:firstRow="1" w:lastRow="0" w:firstColumn="1" w:lastColumn="0" w:noHBand="0" w:noVBand="1"/>
      </w:tblPr>
      <w:tblGrid>
        <w:gridCol w:w="1298"/>
        <w:gridCol w:w="925"/>
        <w:gridCol w:w="925"/>
        <w:gridCol w:w="924"/>
        <w:gridCol w:w="924"/>
        <w:gridCol w:w="924"/>
        <w:gridCol w:w="924"/>
        <w:gridCol w:w="931"/>
        <w:gridCol w:w="737"/>
      </w:tblGrid>
      <w:tr w:rsidR="009D12AF" w14:paraId="6ACDE9FC" w14:textId="77777777">
        <w:trPr>
          <w:cantSplit/>
          <w:trHeight w:val="397"/>
          <w:jc w:val="center"/>
        </w:trPr>
        <w:tc>
          <w:tcPr>
            <w:tcW w:w="5000" w:type="pct"/>
            <w:gridSpan w:val="9"/>
            <w:tcBorders>
              <w:tl2br w:val="nil"/>
              <w:tr2bl w:val="nil"/>
            </w:tcBorders>
            <w:vAlign w:val="center"/>
          </w:tcPr>
          <w:p w14:paraId="5401F983" w14:textId="77777777" w:rsidR="009D12AF" w:rsidRDefault="00000000">
            <w:pPr>
              <w:spacing w:line="240" w:lineRule="exact"/>
              <w:ind w:firstLineChars="0" w:firstLine="0"/>
              <w:jc w:val="center"/>
              <w:rPr>
                <w:rFonts w:ascii="Times New Roman" w:hAnsi="Times New Roman" w:cs="Times New Roman"/>
                <w:b/>
                <w:bCs/>
                <w:color w:val="000000"/>
                <w:kern w:val="0"/>
                <w:sz w:val="21"/>
                <w:szCs w:val="21"/>
              </w:rPr>
            </w:pPr>
            <w:r>
              <w:rPr>
                <w:rFonts w:ascii="Times New Roman" w:hAnsi="Times New Roman" w:cs="Times New Roman" w:hint="eastAsia"/>
                <w:b/>
                <w:bCs/>
                <w:color w:val="000000"/>
                <w:kern w:val="0"/>
                <w:sz w:val="21"/>
                <w:szCs w:val="21"/>
              </w:rPr>
              <w:t>群力水库</w:t>
            </w:r>
          </w:p>
        </w:tc>
      </w:tr>
      <w:tr w:rsidR="009D12AF" w14:paraId="2973185A" w14:textId="77777777">
        <w:trPr>
          <w:cantSplit/>
          <w:trHeight w:val="397"/>
          <w:jc w:val="center"/>
        </w:trPr>
        <w:tc>
          <w:tcPr>
            <w:tcW w:w="762" w:type="pct"/>
            <w:tcBorders>
              <w:tl2br w:val="nil"/>
              <w:tr2bl w:val="nil"/>
            </w:tcBorders>
            <w:vAlign w:val="center"/>
          </w:tcPr>
          <w:p w14:paraId="789648C0" w14:textId="77777777" w:rsidR="009D12AF" w:rsidRDefault="00000000">
            <w:pPr>
              <w:spacing w:line="240" w:lineRule="exact"/>
              <w:ind w:firstLineChars="0" w:firstLine="0"/>
              <w:jc w:val="center"/>
              <w:rPr>
                <w:rFonts w:ascii="Times New Roman" w:hAnsi="Times New Roman" w:cs="Times New Roman"/>
                <w:b/>
                <w:bCs/>
                <w:color w:val="000000"/>
                <w:kern w:val="0"/>
                <w:sz w:val="21"/>
                <w:szCs w:val="21"/>
              </w:rPr>
            </w:pPr>
            <w:r>
              <w:rPr>
                <w:rFonts w:ascii="Times New Roman" w:hAnsi="Times New Roman" w:cs="Times New Roman" w:hint="eastAsia"/>
                <w:b/>
                <w:bCs/>
                <w:color w:val="000000"/>
                <w:kern w:val="0"/>
                <w:sz w:val="21"/>
                <w:szCs w:val="21"/>
              </w:rPr>
              <w:t>采样点位</w:t>
            </w:r>
          </w:p>
        </w:tc>
        <w:tc>
          <w:tcPr>
            <w:tcW w:w="543" w:type="pct"/>
            <w:tcBorders>
              <w:tl2br w:val="nil"/>
              <w:tr2bl w:val="nil"/>
            </w:tcBorders>
            <w:vAlign w:val="center"/>
          </w:tcPr>
          <w:p w14:paraId="3871F6A5" w14:textId="77777777" w:rsidR="009D12AF" w:rsidRDefault="00000000">
            <w:pPr>
              <w:spacing w:line="240" w:lineRule="exact"/>
              <w:ind w:firstLineChars="0" w:firstLine="0"/>
              <w:jc w:val="center"/>
              <w:rPr>
                <w:rFonts w:ascii="Times New Roman" w:hAnsi="Times New Roman" w:cs="Times New Roman"/>
                <w:b/>
                <w:bCs/>
                <w:sz w:val="21"/>
                <w:szCs w:val="21"/>
              </w:rPr>
            </w:pPr>
            <w:r>
              <w:rPr>
                <w:rFonts w:ascii="Times New Roman" w:hAnsi="Times New Roman" w:cs="Times New Roman"/>
                <w:b/>
                <w:bCs/>
                <w:sz w:val="21"/>
                <w:szCs w:val="21"/>
              </w:rPr>
              <w:t>1#</w:t>
            </w:r>
          </w:p>
        </w:tc>
        <w:tc>
          <w:tcPr>
            <w:tcW w:w="543" w:type="pct"/>
            <w:tcBorders>
              <w:tl2br w:val="nil"/>
              <w:tr2bl w:val="nil"/>
            </w:tcBorders>
            <w:vAlign w:val="center"/>
          </w:tcPr>
          <w:p w14:paraId="070FEC64" w14:textId="77777777" w:rsidR="009D12AF" w:rsidRDefault="00000000">
            <w:pPr>
              <w:spacing w:line="240" w:lineRule="exact"/>
              <w:ind w:firstLineChars="0" w:firstLine="0"/>
              <w:jc w:val="center"/>
              <w:rPr>
                <w:rFonts w:ascii="Times New Roman" w:hAnsi="Times New Roman" w:cs="Times New Roman"/>
                <w:b/>
                <w:bCs/>
                <w:sz w:val="21"/>
                <w:szCs w:val="21"/>
              </w:rPr>
            </w:pPr>
            <w:r>
              <w:rPr>
                <w:rFonts w:ascii="Times New Roman" w:hAnsi="Times New Roman" w:cs="Times New Roman"/>
                <w:b/>
                <w:bCs/>
                <w:sz w:val="21"/>
                <w:szCs w:val="21"/>
              </w:rPr>
              <w:t>2#</w:t>
            </w:r>
          </w:p>
        </w:tc>
        <w:tc>
          <w:tcPr>
            <w:tcW w:w="543" w:type="pct"/>
            <w:tcBorders>
              <w:tl2br w:val="nil"/>
              <w:tr2bl w:val="nil"/>
            </w:tcBorders>
            <w:vAlign w:val="center"/>
          </w:tcPr>
          <w:p w14:paraId="08EC60A5" w14:textId="77777777" w:rsidR="009D12AF" w:rsidRDefault="00000000">
            <w:pPr>
              <w:spacing w:line="240" w:lineRule="exact"/>
              <w:ind w:firstLineChars="0" w:firstLine="0"/>
              <w:jc w:val="center"/>
              <w:rPr>
                <w:rFonts w:ascii="Times New Roman" w:hAnsi="Times New Roman" w:cs="Times New Roman"/>
                <w:b/>
                <w:bCs/>
                <w:sz w:val="21"/>
                <w:szCs w:val="21"/>
              </w:rPr>
            </w:pPr>
            <w:r>
              <w:rPr>
                <w:rFonts w:ascii="Times New Roman" w:hAnsi="Times New Roman" w:cs="Times New Roman"/>
                <w:b/>
                <w:bCs/>
                <w:sz w:val="21"/>
                <w:szCs w:val="21"/>
              </w:rPr>
              <w:t>3#</w:t>
            </w:r>
          </w:p>
        </w:tc>
        <w:tc>
          <w:tcPr>
            <w:tcW w:w="543" w:type="pct"/>
            <w:tcBorders>
              <w:tl2br w:val="nil"/>
              <w:tr2bl w:val="nil"/>
            </w:tcBorders>
            <w:vAlign w:val="center"/>
          </w:tcPr>
          <w:p w14:paraId="6F4442C6" w14:textId="77777777" w:rsidR="009D12AF" w:rsidRDefault="00000000">
            <w:pPr>
              <w:spacing w:line="240" w:lineRule="exact"/>
              <w:ind w:firstLineChars="0" w:firstLine="0"/>
              <w:jc w:val="center"/>
              <w:rPr>
                <w:rFonts w:ascii="Times New Roman" w:hAnsi="Times New Roman" w:cs="Times New Roman"/>
                <w:b/>
                <w:bCs/>
                <w:sz w:val="21"/>
                <w:szCs w:val="21"/>
              </w:rPr>
            </w:pPr>
            <w:r>
              <w:rPr>
                <w:rFonts w:ascii="Times New Roman" w:hAnsi="Times New Roman" w:cs="Times New Roman"/>
                <w:b/>
                <w:bCs/>
                <w:sz w:val="21"/>
                <w:szCs w:val="21"/>
              </w:rPr>
              <w:t>4#</w:t>
            </w:r>
          </w:p>
        </w:tc>
        <w:tc>
          <w:tcPr>
            <w:tcW w:w="543" w:type="pct"/>
            <w:tcBorders>
              <w:tl2br w:val="nil"/>
              <w:tr2bl w:val="nil"/>
            </w:tcBorders>
            <w:vAlign w:val="center"/>
          </w:tcPr>
          <w:p w14:paraId="28C2A5E9" w14:textId="77777777" w:rsidR="009D12AF" w:rsidRDefault="00000000">
            <w:pPr>
              <w:spacing w:line="240" w:lineRule="exact"/>
              <w:ind w:firstLineChars="0" w:firstLine="0"/>
              <w:jc w:val="center"/>
              <w:rPr>
                <w:rFonts w:ascii="Times New Roman" w:hAnsi="Times New Roman" w:cs="Times New Roman"/>
                <w:b/>
                <w:bCs/>
                <w:sz w:val="21"/>
                <w:szCs w:val="21"/>
              </w:rPr>
            </w:pPr>
            <w:r>
              <w:rPr>
                <w:rFonts w:ascii="Times New Roman" w:hAnsi="Times New Roman" w:cs="Times New Roman"/>
                <w:b/>
                <w:bCs/>
                <w:sz w:val="21"/>
                <w:szCs w:val="21"/>
              </w:rPr>
              <w:t>5#</w:t>
            </w:r>
          </w:p>
        </w:tc>
        <w:tc>
          <w:tcPr>
            <w:tcW w:w="543" w:type="pct"/>
            <w:tcBorders>
              <w:tl2br w:val="nil"/>
              <w:tr2bl w:val="nil"/>
            </w:tcBorders>
            <w:vAlign w:val="center"/>
          </w:tcPr>
          <w:p w14:paraId="4E639869" w14:textId="77777777" w:rsidR="009D12AF" w:rsidRDefault="00000000">
            <w:pPr>
              <w:spacing w:line="240" w:lineRule="exact"/>
              <w:ind w:firstLineChars="0" w:firstLine="0"/>
              <w:jc w:val="center"/>
              <w:rPr>
                <w:rFonts w:ascii="Times New Roman" w:hAnsi="Times New Roman" w:cs="Times New Roman"/>
                <w:b/>
                <w:bCs/>
                <w:sz w:val="21"/>
                <w:szCs w:val="21"/>
              </w:rPr>
            </w:pPr>
            <w:r>
              <w:rPr>
                <w:rFonts w:ascii="Times New Roman" w:hAnsi="Times New Roman" w:cs="Times New Roman"/>
                <w:b/>
                <w:bCs/>
                <w:sz w:val="21"/>
                <w:szCs w:val="21"/>
              </w:rPr>
              <w:t>6#</w:t>
            </w:r>
          </w:p>
        </w:tc>
        <w:tc>
          <w:tcPr>
            <w:tcW w:w="547" w:type="pct"/>
            <w:tcBorders>
              <w:tl2br w:val="nil"/>
              <w:tr2bl w:val="nil"/>
            </w:tcBorders>
            <w:vAlign w:val="center"/>
          </w:tcPr>
          <w:p w14:paraId="5DDAD9E5" w14:textId="77777777" w:rsidR="009D12AF" w:rsidRDefault="00000000">
            <w:pPr>
              <w:spacing w:line="240" w:lineRule="exact"/>
              <w:ind w:firstLineChars="0" w:firstLine="0"/>
              <w:jc w:val="center"/>
              <w:rPr>
                <w:rFonts w:ascii="Times New Roman" w:hAnsi="Times New Roman" w:cs="Times New Roman"/>
                <w:b/>
                <w:bCs/>
                <w:sz w:val="21"/>
                <w:szCs w:val="21"/>
              </w:rPr>
            </w:pPr>
            <w:r>
              <w:rPr>
                <w:rFonts w:ascii="Times New Roman" w:hAnsi="Times New Roman" w:cs="Times New Roman"/>
                <w:b/>
                <w:bCs/>
                <w:sz w:val="21"/>
                <w:szCs w:val="21"/>
              </w:rPr>
              <w:t>7#</w:t>
            </w:r>
          </w:p>
        </w:tc>
        <w:tc>
          <w:tcPr>
            <w:tcW w:w="426" w:type="pct"/>
            <w:tcBorders>
              <w:tl2br w:val="nil"/>
              <w:tr2bl w:val="nil"/>
            </w:tcBorders>
            <w:vAlign w:val="center"/>
          </w:tcPr>
          <w:p w14:paraId="2FE619A8" w14:textId="77777777" w:rsidR="009D12AF" w:rsidRDefault="00000000">
            <w:pPr>
              <w:spacing w:line="240" w:lineRule="exact"/>
              <w:ind w:firstLineChars="0" w:firstLine="0"/>
              <w:jc w:val="center"/>
              <w:rPr>
                <w:rFonts w:ascii="Times New Roman" w:hAnsi="Times New Roman" w:cs="Times New Roman"/>
                <w:b/>
                <w:bCs/>
                <w:color w:val="000000"/>
                <w:kern w:val="0"/>
                <w:sz w:val="21"/>
                <w:szCs w:val="21"/>
              </w:rPr>
            </w:pPr>
            <w:r>
              <w:rPr>
                <w:rFonts w:ascii="Times New Roman" w:hAnsi="Times New Roman" w:cs="Times New Roman"/>
                <w:b/>
                <w:bCs/>
                <w:color w:val="000000"/>
                <w:kern w:val="0"/>
                <w:sz w:val="21"/>
                <w:szCs w:val="21"/>
              </w:rPr>
              <w:t>单位</w:t>
            </w:r>
          </w:p>
        </w:tc>
      </w:tr>
      <w:tr w:rsidR="009D12AF" w14:paraId="63490F03" w14:textId="77777777">
        <w:trPr>
          <w:cantSplit/>
          <w:trHeight w:val="397"/>
          <w:jc w:val="center"/>
        </w:trPr>
        <w:tc>
          <w:tcPr>
            <w:tcW w:w="762" w:type="pct"/>
            <w:tcBorders>
              <w:tl2br w:val="nil"/>
              <w:tr2bl w:val="nil"/>
            </w:tcBorders>
            <w:vAlign w:val="center"/>
          </w:tcPr>
          <w:p w14:paraId="3F79F1C3"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地面高程</w:t>
            </w:r>
          </w:p>
        </w:tc>
        <w:tc>
          <w:tcPr>
            <w:tcW w:w="924" w:type="dxa"/>
            <w:tcBorders>
              <w:tl2br w:val="nil"/>
              <w:tr2bl w:val="nil"/>
            </w:tcBorders>
            <w:vAlign w:val="center"/>
          </w:tcPr>
          <w:p w14:paraId="443CA11A"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219.6</w:t>
            </w:r>
          </w:p>
        </w:tc>
        <w:tc>
          <w:tcPr>
            <w:tcW w:w="924" w:type="dxa"/>
            <w:tcBorders>
              <w:tl2br w:val="nil"/>
              <w:tr2bl w:val="nil"/>
            </w:tcBorders>
            <w:vAlign w:val="center"/>
          </w:tcPr>
          <w:p w14:paraId="64FD456C"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220.7</w:t>
            </w:r>
          </w:p>
        </w:tc>
        <w:tc>
          <w:tcPr>
            <w:tcW w:w="924" w:type="dxa"/>
            <w:tcBorders>
              <w:tl2br w:val="nil"/>
              <w:tr2bl w:val="nil"/>
            </w:tcBorders>
            <w:vAlign w:val="center"/>
          </w:tcPr>
          <w:p w14:paraId="635D3E69"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274.3</w:t>
            </w:r>
          </w:p>
        </w:tc>
        <w:tc>
          <w:tcPr>
            <w:tcW w:w="924" w:type="dxa"/>
            <w:tcBorders>
              <w:tl2br w:val="nil"/>
              <w:tr2bl w:val="nil"/>
            </w:tcBorders>
            <w:vAlign w:val="center"/>
          </w:tcPr>
          <w:p w14:paraId="0B303DDB"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226.2</w:t>
            </w:r>
          </w:p>
        </w:tc>
        <w:tc>
          <w:tcPr>
            <w:tcW w:w="924" w:type="dxa"/>
            <w:tcBorders>
              <w:tl2br w:val="nil"/>
              <w:tr2bl w:val="nil"/>
            </w:tcBorders>
            <w:vAlign w:val="center"/>
          </w:tcPr>
          <w:p w14:paraId="54C1A9C3"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230.4</w:t>
            </w:r>
          </w:p>
        </w:tc>
        <w:tc>
          <w:tcPr>
            <w:tcW w:w="925" w:type="dxa"/>
            <w:tcBorders>
              <w:tl2br w:val="nil"/>
              <w:tr2bl w:val="nil"/>
            </w:tcBorders>
            <w:vAlign w:val="center"/>
          </w:tcPr>
          <w:p w14:paraId="249A8851"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228.8</w:t>
            </w:r>
          </w:p>
        </w:tc>
        <w:tc>
          <w:tcPr>
            <w:tcW w:w="932" w:type="dxa"/>
            <w:tcBorders>
              <w:tl2br w:val="nil"/>
              <w:tr2bl w:val="nil"/>
            </w:tcBorders>
            <w:vAlign w:val="center"/>
          </w:tcPr>
          <w:p w14:paraId="576C432C"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242.5</w:t>
            </w:r>
          </w:p>
        </w:tc>
        <w:tc>
          <w:tcPr>
            <w:tcW w:w="426" w:type="pct"/>
            <w:tcBorders>
              <w:tl2br w:val="nil"/>
              <w:tr2bl w:val="nil"/>
            </w:tcBorders>
            <w:vAlign w:val="center"/>
          </w:tcPr>
          <w:p w14:paraId="6F59CE37"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m</w:t>
            </w:r>
          </w:p>
        </w:tc>
      </w:tr>
      <w:tr w:rsidR="009D12AF" w14:paraId="3C5A5702" w14:textId="77777777">
        <w:trPr>
          <w:cantSplit/>
          <w:trHeight w:val="397"/>
          <w:jc w:val="center"/>
        </w:trPr>
        <w:tc>
          <w:tcPr>
            <w:tcW w:w="762" w:type="pct"/>
            <w:tcBorders>
              <w:tl2br w:val="nil"/>
              <w:tr2bl w:val="nil"/>
            </w:tcBorders>
            <w:vAlign w:val="center"/>
          </w:tcPr>
          <w:p w14:paraId="04D1C9D3"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水位高程</w:t>
            </w:r>
          </w:p>
        </w:tc>
        <w:tc>
          <w:tcPr>
            <w:tcW w:w="924" w:type="dxa"/>
            <w:tcBorders>
              <w:tl2br w:val="nil"/>
              <w:tr2bl w:val="nil"/>
            </w:tcBorders>
            <w:vAlign w:val="center"/>
          </w:tcPr>
          <w:p w14:paraId="7F384E0F"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204.6</w:t>
            </w:r>
          </w:p>
        </w:tc>
        <w:tc>
          <w:tcPr>
            <w:tcW w:w="924" w:type="dxa"/>
            <w:tcBorders>
              <w:tl2br w:val="nil"/>
              <w:tr2bl w:val="nil"/>
            </w:tcBorders>
            <w:vAlign w:val="center"/>
          </w:tcPr>
          <w:p w14:paraId="2E178E4F"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210.7</w:t>
            </w:r>
          </w:p>
        </w:tc>
        <w:tc>
          <w:tcPr>
            <w:tcW w:w="924" w:type="dxa"/>
            <w:tcBorders>
              <w:tl2br w:val="nil"/>
              <w:tr2bl w:val="nil"/>
            </w:tcBorders>
            <w:vAlign w:val="center"/>
          </w:tcPr>
          <w:p w14:paraId="58BB4616"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264.3</w:t>
            </w:r>
          </w:p>
        </w:tc>
        <w:tc>
          <w:tcPr>
            <w:tcW w:w="924" w:type="dxa"/>
            <w:tcBorders>
              <w:tl2br w:val="nil"/>
              <w:tr2bl w:val="nil"/>
            </w:tcBorders>
            <w:vAlign w:val="center"/>
          </w:tcPr>
          <w:p w14:paraId="237CAE95"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176.2</w:t>
            </w:r>
          </w:p>
        </w:tc>
        <w:tc>
          <w:tcPr>
            <w:tcW w:w="924" w:type="dxa"/>
            <w:tcBorders>
              <w:tl2br w:val="nil"/>
              <w:tr2bl w:val="nil"/>
            </w:tcBorders>
            <w:vAlign w:val="center"/>
          </w:tcPr>
          <w:p w14:paraId="014255E3"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210.4</w:t>
            </w:r>
          </w:p>
        </w:tc>
        <w:tc>
          <w:tcPr>
            <w:tcW w:w="925" w:type="dxa"/>
            <w:tcBorders>
              <w:tl2br w:val="nil"/>
              <w:tr2bl w:val="nil"/>
            </w:tcBorders>
            <w:vAlign w:val="center"/>
          </w:tcPr>
          <w:p w14:paraId="68E58B14"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213.8</w:t>
            </w:r>
          </w:p>
        </w:tc>
        <w:tc>
          <w:tcPr>
            <w:tcW w:w="932" w:type="dxa"/>
            <w:tcBorders>
              <w:tl2br w:val="nil"/>
              <w:tr2bl w:val="nil"/>
            </w:tcBorders>
            <w:vAlign w:val="center"/>
          </w:tcPr>
          <w:p w14:paraId="49155F26"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222.5</w:t>
            </w:r>
          </w:p>
        </w:tc>
        <w:tc>
          <w:tcPr>
            <w:tcW w:w="426" w:type="pct"/>
            <w:tcBorders>
              <w:tl2br w:val="nil"/>
              <w:tr2bl w:val="nil"/>
            </w:tcBorders>
            <w:vAlign w:val="center"/>
          </w:tcPr>
          <w:p w14:paraId="53F014C9"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m</w:t>
            </w:r>
          </w:p>
        </w:tc>
      </w:tr>
      <w:tr w:rsidR="009D12AF" w14:paraId="43F74BE0" w14:textId="77777777">
        <w:trPr>
          <w:cantSplit/>
          <w:trHeight w:val="397"/>
          <w:jc w:val="center"/>
        </w:trPr>
        <w:tc>
          <w:tcPr>
            <w:tcW w:w="762" w:type="pct"/>
            <w:tcBorders>
              <w:tl2br w:val="nil"/>
              <w:tr2bl w:val="nil"/>
            </w:tcBorders>
            <w:vAlign w:val="center"/>
          </w:tcPr>
          <w:p w14:paraId="70C8C875"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井深</w:t>
            </w:r>
          </w:p>
        </w:tc>
        <w:tc>
          <w:tcPr>
            <w:tcW w:w="924" w:type="dxa"/>
            <w:tcBorders>
              <w:tl2br w:val="nil"/>
              <w:tr2bl w:val="nil"/>
            </w:tcBorders>
            <w:vAlign w:val="center"/>
          </w:tcPr>
          <w:p w14:paraId="61BF1D73"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30</w:t>
            </w:r>
          </w:p>
        </w:tc>
        <w:tc>
          <w:tcPr>
            <w:tcW w:w="924" w:type="dxa"/>
            <w:tcBorders>
              <w:tl2br w:val="nil"/>
              <w:tr2bl w:val="nil"/>
            </w:tcBorders>
            <w:vAlign w:val="center"/>
          </w:tcPr>
          <w:p w14:paraId="7BD9A2CF"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30</w:t>
            </w:r>
          </w:p>
        </w:tc>
        <w:tc>
          <w:tcPr>
            <w:tcW w:w="924" w:type="dxa"/>
            <w:tcBorders>
              <w:tl2br w:val="nil"/>
              <w:tr2bl w:val="nil"/>
            </w:tcBorders>
            <w:vAlign w:val="center"/>
          </w:tcPr>
          <w:p w14:paraId="6747DDD3"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30</w:t>
            </w:r>
          </w:p>
        </w:tc>
        <w:tc>
          <w:tcPr>
            <w:tcW w:w="924" w:type="dxa"/>
            <w:tcBorders>
              <w:tl2br w:val="nil"/>
              <w:tr2bl w:val="nil"/>
            </w:tcBorders>
            <w:vAlign w:val="center"/>
          </w:tcPr>
          <w:p w14:paraId="4B15E6F5"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80</w:t>
            </w:r>
          </w:p>
        </w:tc>
        <w:tc>
          <w:tcPr>
            <w:tcW w:w="924" w:type="dxa"/>
            <w:tcBorders>
              <w:tl2br w:val="nil"/>
              <w:tr2bl w:val="nil"/>
            </w:tcBorders>
            <w:vAlign w:val="center"/>
          </w:tcPr>
          <w:p w14:paraId="224A0FC9"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30</w:t>
            </w:r>
          </w:p>
        </w:tc>
        <w:tc>
          <w:tcPr>
            <w:tcW w:w="925" w:type="dxa"/>
            <w:tcBorders>
              <w:tl2br w:val="nil"/>
              <w:tr2bl w:val="nil"/>
            </w:tcBorders>
            <w:vAlign w:val="center"/>
          </w:tcPr>
          <w:p w14:paraId="0E4C5023"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30</w:t>
            </w:r>
          </w:p>
        </w:tc>
        <w:tc>
          <w:tcPr>
            <w:tcW w:w="932" w:type="dxa"/>
            <w:tcBorders>
              <w:tl2br w:val="nil"/>
              <w:tr2bl w:val="nil"/>
            </w:tcBorders>
            <w:vAlign w:val="center"/>
          </w:tcPr>
          <w:p w14:paraId="20AB1872"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30</w:t>
            </w:r>
          </w:p>
        </w:tc>
        <w:tc>
          <w:tcPr>
            <w:tcW w:w="426" w:type="pct"/>
            <w:tcBorders>
              <w:tl2br w:val="nil"/>
              <w:tr2bl w:val="nil"/>
            </w:tcBorders>
            <w:vAlign w:val="center"/>
          </w:tcPr>
          <w:p w14:paraId="5ED59D10"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m</w:t>
            </w:r>
          </w:p>
        </w:tc>
      </w:tr>
      <w:tr w:rsidR="009D12AF" w14:paraId="2035673B" w14:textId="77777777">
        <w:trPr>
          <w:cantSplit/>
          <w:trHeight w:val="397"/>
          <w:jc w:val="center"/>
        </w:trPr>
        <w:tc>
          <w:tcPr>
            <w:tcW w:w="762" w:type="pct"/>
            <w:tcBorders>
              <w:tl2br w:val="nil"/>
              <w:tr2bl w:val="nil"/>
            </w:tcBorders>
            <w:vAlign w:val="center"/>
          </w:tcPr>
          <w:p w14:paraId="01269AC8"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用途</w:t>
            </w:r>
          </w:p>
        </w:tc>
        <w:tc>
          <w:tcPr>
            <w:tcW w:w="924" w:type="dxa"/>
            <w:tcBorders>
              <w:tl2br w:val="nil"/>
              <w:tr2bl w:val="nil"/>
            </w:tcBorders>
            <w:vAlign w:val="center"/>
          </w:tcPr>
          <w:p w14:paraId="410CAC4B"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生产</w:t>
            </w:r>
          </w:p>
        </w:tc>
        <w:tc>
          <w:tcPr>
            <w:tcW w:w="924" w:type="dxa"/>
            <w:tcBorders>
              <w:tl2br w:val="nil"/>
              <w:tr2bl w:val="nil"/>
            </w:tcBorders>
            <w:vAlign w:val="center"/>
          </w:tcPr>
          <w:p w14:paraId="1E3A9796"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地勘</w:t>
            </w:r>
          </w:p>
        </w:tc>
        <w:tc>
          <w:tcPr>
            <w:tcW w:w="924" w:type="dxa"/>
            <w:tcBorders>
              <w:tl2br w:val="nil"/>
              <w:tr2bl w:val="nil"/>
            </w:tcBorders>
            <w:vAlign w:val="center"/>
          </w:tcPr>
          <w:p w14:paraId="48D6085E"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地勘</w:t>
            </w:r>
          </w:p>
        </w:tc>
        <w:tc>
          <w:tcPr>
            <w:tcW w:w="924" w:type="dxa"/>
            <w:tcBorders>
              <w:tl2br w:val="nil"/>
              <w:tr2bl w:val="nil"/>
            </w:tcBorders>
            <w:vAlign w:val="center"/>
          </w:tcPr>
          <w:p w14:paraId="560BE4CD"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地勘</w:t>
            </w:r>
          </w:p>
        </w:tc>
        <w:tc>
          <w:tcPr>
            <w:tcW w:w="924" w:type="dxa"/>
            <w:tcBorders>
              <w:tl2br w:val="nil"/>
              <w:tr2bl w:val="nil"/>
            </w:tcBorders>
            <w:vAlign w:val="center"/>
          </w:tcPr>
          <w:p w14:paraId="21556078"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地勘</w:t>
            </w:r>
          </w:p>
        </w:tc>
        <w:tc>
          <w:tcPr>
            <w:tcW w:w="925" w:type="dxa"/>
            <w:tcBorders>
              <w:tl2br w:val="nil"/>
              <w:tr2bl w:val="nil"/>
            </w:tcBorders>
            <w:vAlign w:val="center"/>
          </w:tcPr>
          <w:p w14:paraId="6362A6D2"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监测井</w:t>
            </w:r>
          </w:p>
        </w:tc>
        <w:tc>
          <w:tcPr>
            <w:tcW w:w="932" w:type="dxa"/>
            <w:tcBorders>
              <w:tl2br w:val="nil"/>
              <w:tr2bl w:val="nil"/>
            </w:tcBorders>
            <w:vAlign w:val="center"/>
          </w:tcPr>
          <w:p w14:paraId="5AA6AE37"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地勘</w:t>
            </w:r>
          </w:p>
        </w:tc>
        <w:tc>
          <w:tcPr>
            <w:tcW w:w="426" w:type="pct"/>
            <w:tcBorders>
              <w:tl2br w:val="nil"/>
              <w:tr2bl w:val="nil"/>
            </w:tcBorders>
            <w:vAlign w:val="center"/>
          </w:tcPr>
          <w:p w14:paraId="47764B59"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w:t>
            </w:r>
          </w:p>
        </w:tc>
      </w:tr>
      <w:tr w:rsidR="009D12AF" w14:paraId="37887A03" w14:textId="77777777">
        <w:trPr>
          <w:cantSplit/>
          <w:trHeight w:val="397"/>
          <w:jc w:val="center"/>
        </w:trPr>
        <w:tc>
          <w:tcPr>
            <w:tcW w:w="5000" w:type="pct"/>
            <w:gridSpan w:val="9"/>
            <w:tcBorders>
              <w:tl2br w:val="nil"/>
              <w:tr2bl w:val="nil"/>
            </w:tcBorders>
            <w:vAlign w:val="center"/>
          </w:tcPr>
          <w:p w14:paraId="3BC60A5E"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b/>
                <w:bCs/>
                <w:color w:val="000000"/>
                <w:kern w:val="0"/>
                <w:sz w:val="21"/>
                <w:szCs w:val="21"/>
              </w:rPr>
              <w:t>向阳水电站前池</w:t>
            </w:r>
          </w:p>
        </w:tc>
      </w:tr>
      <w:tr w:rsidR="009D12AF" w14:paraId="4F4310A4" w14:textId="77777777">
        <w:trPr>
          <w:cantSplit/>
          <w:trHeight w:val="397"/>
          <w:jc w:val="center"/>
        </w:trPr>
        <w:tc>
          <w:tcPr>
            <w:tcW w:w="1297" w:type="dxa"/>
            <w:tcBorders>
              <w:tl2br w:val="nil"/>
              <w:tr2bl w:val="nil"/>
            </w:tcBorders>
            <w:vAlign w:val="center"/>
          </w:tcPr>
          <w:p w14:paraId="09BD91F8"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b/>
                <w:bCs/>
                <w:color w:val="000000"/>
                <w:kern w:val="0"/>
                <w:sz w:val="21"/>
                <w:szCs w:val="21"/>
              </w:rPr>
              <w:t>采样点位</w:t>
            </w:r>
          </w:p>
        </w:tc>
        <w:tc>
          <w:tcPr>
            <w:tcW w:w="924" w:type="dxa"/>
            <w:tcBorders>
              <w:tl2br w:val="nil"/>
              <w:tr2bl w:val="nil"/>
            </w:tcBorders>
            <w:vAlign w:val="center"/>
          </w:tcPr>
          <w:p w14:paraId="48959882"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b/>
                <w:bCs/>
                <w:sz w:val="21"/>
                <w:szCs w:val="21"/>
              </w:rPr>
              <w:t>1#</w:t>
            </w:r>
          </w:p>
        </w:tc>
        <w:tc>
          <w:tcPr>
            <w:tcW w:w="924" w:type="dxa"/>
            <w:tcBorders>
              <w:tl2br w:val="nil"/>
              <w:tr2bl w:val="nil"/>
            </w:tcBorders>
            <w:vAlign w:val="center"/>
          </w:tcPr>
          <w:p w14:paraId="2E087CA8"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b/>
                <w:bCs/>
                <w:sz w:val="21"/>
                <w:szCs w:val="21"/>
              </w:rPr>
              <w:t>2#</w:t>
            </w:r>
          </w:p>
        </w:tc>
        <w:tc>
          <w:tcPr>
            <w:tcW w:w="924" w:type="dxa"/>
            <w:tcBorders>
              <w:tl2br w:val="nil"/>
              <w:tr2bl w:val="nil"/>
            </w:tcBorders>
            <w:vAlign w:val="center"/>
          </w:tcPr>
          <w:p w14:paraId="16A3132C"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b/>
                <w:bCs/>
                <w:sz w:val="21"/>
                <w:szCs w:val="21"/>
              </w:rPr>
              <w:t>3#</w:t>
            </w:r>
          </w:p>
        </w:tc>
        <w:tc>
          <w:tcPr>
            <w:tcW w:w="924" w:type="dxa"/>
            <w:tcBorders>
              <w:tl2br w:val="nil"/>
              <w:tr2bl w:val="nil"/>
            </w:tcBorders>
            <w:vAlign w:val="center"/>
          </w:tcPr>
          <w:p w14:paraId="0923462C"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b/>
                <w:bCs/>
                <w:sz w:val="21"/>
                <w:szCs w:val="21"/>
              </w:rPr>
              <w:t>4#</w:t>
            </w:r>
          </w:p>
        </w:tc>
        <w:tc>
          <w:tcPr>
            <w:tcW w:w="924" w:type="dxa"/>
            <w:tcBorders>
              <w:tl2br w:val="nil"/>
              <w:tr2bl w:val="nil"/>
            </w:tcBorders>
            <w:vAlign w:val="center"/>
          </w:tcPr>
          <w:p w14:paraId="2947A887"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b/>
                <w:bCs/>
                <w:sz w:val="21"/>
                <w:szCs w:val="21"/>
              </w:rPr>
              <w:t>5#</w:t>
            </w:r>
          </w:p>
        </w:tc>
        <w:tc>
          <w:tcPr>
            <w:tcW w:w="925" w:type="dxa"/>
            <w:tcBorders>
              <w:tl2br w:val="nil"/>
              <w:tr2bl w:val="nil"/>
            </w:tcBorders>
            <w:vAlign w:val="center"/>
          </w:tcPr>
          <w:p w14:paraId="3D1912C4"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b/>
                <w:bCs/>
                <w:sz w:val="21"/>
                <w:szCs w:val="21"/>
              </w:rPr>
              <w:t>6#</w:t>
            </w:r>
          </w:p>
        </w:tc>
        <w:tc>
          <w:tcPr>
            <w:tcW w:w="932" w:type="dxa"/>
            <w:tcBorders>
              <w:tl2br w:val="nil"/>
              <w:tr2bl w:val="nil"/>
            </w:tcBorders>
            <w:vAlign w:val="center"/>
          </w:tcPr>
          <w:p w14:paraId="05F1CD3C"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b/>
                <w:bCs/>
                <w:sz w:val="21"/>
                <w:szCs w:val="21"/>
              </w:rPr>
              <w:t>7#</w:t>
            </w:r>
          </w:p>
        </w:tc>
        <w:tc>
          <w:tcPr>
            <w:tcW w:w="738" w:type="dxa"/>
            <w:tcBorders>
              <w:tl2br w:val="nil"/>
              <w:tr2bl w:val="nil"/>
            </w:tcBorders>
            <w:vAlign w:val="center"/>
          </w:tcPr>
          <w:p w14:paraId="285B3D15"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b/>
                <w:bCs/>
                <w:color w:val="000000"/>
                <w:kern w:val="0"/>
                <w:sz w:val="21"/>
                <w:szCs w:val="21"/>
              </w:rPr>
              <w:t>单位</w:t>
            </w:r>
          </w:p>
        </w:tc>
      </w:tr>
      <w:tr w:rsidR="009D12AF" w14:paraId="3C103C1A" w14:textId="77777777">
        <w:trPr>
          <w:cantSplit/>
          <w:trHeight w:val="397"/>
          <w:jc w:val="center"/>
        </w:trPr>
        <w:tc>
          <w:tcPr>
            <w:tcW w:w="1297" w:type="dxa"/>
            <w:tcBorders>
              <w:tl2br w:val="nil"/>
              <w:tr2bl w:val="nil"/>
            </w:tcBorders>
            <w:vAlign w:val="center"/>
          </w:tcPr>
          <w:p w14:paraId="5AE23E64"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地面高程</w:t>
            </w:r>
          </w:p>
        </w:tc>
        <w:tc>
          <w:tcPr>
            <w:tcW w:w="924" w:type="dxa"/>
            <w:tcBorders>
              <w:tl2br w:val="nil"/>
              <w:tr2bl w:val="nil"/>
            </w:tcBorders>
            <w:vAlign w:val="center"/>
          </w:tcPr>
          <w:p w14:paraId="348061DD"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261</w:t>
            </w:r>
          </w:p>
        </w:tc>
        <w:tc>
          <w:tcPr>
            <w:tcW w:w="924" w:type="dxa"/>
            <w:tcBorders>
              <w:tl2br w:val="nil"/>
              <w:tr2bl w:val="nil"/>
            </w:tcBorders>
            <w:vAlign w:val="center"/>
          </w:tcPr>
          <w:p w14:paraId="3C372577"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262.1</w:t>
            </w:r>
          </w:p>
        </w:tc>
        <w:tc>
          <w:tcPr>
            <w:tcW w:w="924" w:type="dxa"/>
            <w:tcBorders>
              <w:tl2br w:val="nil"/>
              <w:tr2bl w:val="nil"/>
            </w:tcBorders>
            <w:vAlign w:val="center"/>
          </w:tcPr>
          <w:p w14:paraId="2AA51954"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265.7</w:t>
            </w:r>
          </w:p>
        </w:tc>
        <w:tc>
          <w:tcPr>
            <w:tcW w:w="924" w:type="dxa"/>
            <w:tcBorders>
              <w:tl2br w:val="nil"/>
              <w:tr2bl w:val="nil"/>
            </w:tcBorders>
            <w:vAlign w:val="center"/>
          </w:tcPr>
          <w:p w14:paraId="1AC96FDA"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259.2</w:t>
            </w:r>
          </w:p>
        </w:tc>
        <w:tc>
          <w:tcPr>
            <w:tcW w:w="924" w:type="dxa"/>
            <w:tcBorders>
              <w:tl2br w:val="nil"/>
              <w:tr2bl w:val="nil"/>
            </w:tcBorders>
            <w:vAlign w:val="center"/>
          </w:tcPr>
          <w:p w14:paraId="3CD4CAD9"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258.6</w:t>
            </w:r>
          </w:p>
        </w:tc>
        <w:tc>
          <w:tcPr>
            <w:tcW w:w="925" w:type="dxa"/>
            <w:tcBorders>
              <w:tl2br w:val="nil"/>
              <w:tr2bl w:val="nil"/>
            </w:tcBorders>
            <w:vAlign w:val="center"/>
          </w:tcPr>
          <w:p w14:paraId="4A76B9B4"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258.8</w:t>
            </w:r>
          </w:p>
        </w:tc>
        <w:tc>
          <w:tcPr>
            <w:tcW w:w="932" w:type="dxa"/>
            <w:tcBorders>
              <w:tl2br w:val="nil"/>
              <w:tr2bl w:val="nil"/>
            </w:tcBorders>
            <w:vAlign w:val="center"/>
          </w:tcPr>
          <w:p w14:paraId="47BF042F"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263.5</w:t>
            </w:r>
          </w:p>
        </w:tc>
        <w:tc>
          <w:tcPr>
            <w:tcW w:w="738" w:type="dxa"/>
            <w:tcBorders>
              <w:tl2br w:val="nil"/>
              <w:tr2bl w:val="nil"/>
            </w:tcBorders>
            <w:vAlign w:val="center"/>
          </w:tcPr>
          <w:p w14:paraId="06105818"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m</w:t>
            </w:r>
          </w:p>
        </w:tc>
      </w:tr>
      <w:tr w:rsidR="009D12AF" w14:paraId="255D7CE3" w14:textId="77777777">
        <w:trPr>
          <w:cantSplit/>
          <w:trHeight w:val="397"/>
          <w:jc w:val="center"/>
        </w:trPr>
        <w:tc>
          <w:tcPr>
            <w:tcW w:w="1297" w:type="dxa"/>
            <w:tcBorders>
              <w:tl2br w:val="nil"/>
              <w:tr2bl w:val="nil"/>
            </w:tcBorders>
            <w:vAlign w:val="center"/>
          </w:tcPr>
          <w:p w14:paraId="55DE91CD"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水位高程</w:t>
            </w:r>
          </w:p>
        </w:tc>
        <w:tc>
          <w:tcPr>
            <w:tcW w:w="924" w:type="dxa"/>
            <w:tcBorders>
              <w:tl2br w:val="nil"/>
              <w:tr2bl w:val="nil"/>
            </w:tcBorders>
            <w:vAlign w:val="center"/>
          </w:tcPr>
          <w:p w14:paraId="568C55F0"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246</w:t>
            </w:r>
          </w:p>
        </w:tc>
        <w:tc>
          <w:tcPr>
            <w:tcW w:w="924" w:type="dxa"/>
            <w:tcBorders>
              <w:tl2br w:val="nil"/>
              <w:tr2bl w:val="nil"/>
            </w:tcBorders>
            <w:vAlign w:val="center"/>
          </w:tcPr>
          <w:p w14:paraId="60C9CAAD"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242.1</w:t>
            </w:r>
          </w:p>
        </w:tc>
        <w:tc>
          <w:tcPr>
            <w:tcW w:w="924" w:type="dxa"/>
            <w:tcBorders>
              <w:tl2br w:val="nil"/>
              <w:tr2bl w:val="nil"/>
            </w:tcBorders>
            <w:vAlign w:val="center"/>
          </w:tcPr>
          <w:p w14:paraId="38713DAB"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235.7</w:t>
            </w:r>
          </w:p>
        </w:tc>
        <w:tc>
          <w:tcPr>
            <w:tcW w:w="924" w:type="dxa"/>
            <w:tcBorders>
              <w:tl2br w:val="nil"/>
              <w:tr2bl w:val="nil"/>
            </w:tcBorders>
            <w:vAlign w:val="center"/>
          </w:tcPr>
          <w:p w14:paraId="6B579565"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244.2</w:t>
            </w:r>
          </w:p>
        </w:tc>
        <w:tc>
          <w:tcPr>
            <w:tcW w:w="924" w:type="dxa"/>
            <w:tcBorders>
              <w:tl2br w:val="nil"/>
              <w:tr2bl w:val="nil"/>
            </w:tcBorders>
            <w:vAlign w:val="center"/>
          </w:tcPr>
          <w:p w14:paraId="1A0B4073"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243.6</w:t>
            </w:r>
          </w:p>
        </w:tc>
        <w:tc>
          <w:tcPr>
            <w:tcW w:w="925" w:type="dxa"/>
            <w:tcBorders>
              <w:tl2br w:val="nil"/>
              <w:tr2bl w:val="nil"/>
            </w:tcBorders>
            <w:vAlign w:val="center"/>
          </w:tcPr>
          <w:p w14:paraId="3CB43FE3"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238.8</w:t>
            </w:r>
          </w:p>
        </w:tc>
        <w:tc>
          <w:tcPr>
            <w:tcW w:w="932" w:type="dxa"/>
            <w:tcBorders>
              <w:tl2br w:val="nil"/>
              <w:tr2bl w:val="nil"/>
            </w:tcBorders>
            <w:vAlign w:val="center"/>
          </w:tcPr>
          <w:p w14:paraId="6A03C593"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243.5</w:t>
            </w:r>
          </w:p>
        </w:tc>
        <w:tc>
          <w:tcPr>
            <w:tcW w:w="738" w:type="dxa"/>
            <w:tcBorders>
              <w:tl2br w:val="nil"/>
              <w:tr2bl w:val="nil"/>
            </w:tcBorders>
            <w:vAlign w:val="center"/>
          </w:tcPr>
          <w:p w14:paraId="2DBF77A3"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m</w:t>
            </w:r>
          </w:p>
        </w:tc>
      </w:tr>
      <w:tr w:rsidR="009D12AF" w14:paraId="1BE9EF28" w14:textId="77777777">
        <w:trPr>
          <w:cantSplit/>
          <w:trHeight w:val="397"/>
          <w:jc w:val="center"/>
        </w:trPr>
        <w:tc>
          <w:tcPr>
            <w:tcW w:w="1297" w:type="dxa"/>
            <w:tcBorders>
              <w:tl2br w:val="nil"/>
              <w:tr2bl w:val="nil"/>
            </w:tcBorders>
            <w:vAlign w:val="center"/>
          </w:tcPr>
          <w:p w14:paraId="0E8CCDAF"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井深</w:t>
            </w:r>
          </w:p>
        </w:tc>
        <w:tc>
          <w:tcPr>
            <w:tcW w:w="924" w:type="dxa"/>
            <w:tcBorders>
              <w:tl2br w:val="nil"/>
              <w:tr2bl w:val="nil"/>
            </w:tcBorders>
            <w:vAlign w:val="center"/>
          </w:tcPr>
          <w:p w14:paraId="4ABB7569"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30</w:t>
            </w:r>
          </w:p>
        </w:tc>
        <w:tc>
          <w:tcPr>
            <w:tcW w:w="924" w:type="dxa"/>
            <w:tcBorders>
              <w:tl2br w:val="nil"/>
              <w:tr2bl w:val="nil"/>
            </w:tcBorders>
            <w:vAlign w:val="center"/>
          </w:tcPr>
          <w:p w14:paraId="149417E3"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30</w:t>
            </w:r>
          </w:p>
        </w:tc>
        <w:tc>
          <w:tcPr>
            <w:tcW w:w="924" w:type="dxa"/>
            <w:tcBorders>
              <w:tl2br w:val="nil"/>
              <w:tr2bl w:val="nil"/>
            </w:tcBorders>
            <w:vAlign w:val="center"/>
          </w:tcPr>
          <w:p w14:paraId="106511AC"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80</w:t>
            </w:r>
          </w:p>
        </w:tc>
        <w:tc>
          <w:tcPr>
            <w:tcW w:w="924" w:type="dxa"/>
            <w:tcBorders>
              <w:tl2br w:val="nil"/>
              <w:tr2bl w:val="nil"/>
            </w:tcBorders>
            <w:vAlign w:val="center"/>
          </w:tcPr>
          <w:p w14:paraId="10639B6D"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30</w:t>
            </w:r>
          </w:p>
        </w:tc>
        <w:tc>
          <w:tcPr>
            <w:tcW w:w="924" w:type="dxa"/>
            <w:tcBorders>
              <w:tl2br w:val="nil"/>
              <w:tr2bl w:val="nil"/>
            </w:tcBorders>
            <w:vAlign w:val="center"/>
          </w:tcPr>
          <w:p w14:paraId="584E50F4"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30</w:t>
            </w:r>
          </w:p>
        </w:tc>
        <w:tc>
          <w:tcPr>
            <w:tcW w:w="925" w:type="dxa"/>
            <w:tcBorders>
              <w:tl2br w:val="nil"/>
              <w:tr2bl w:val="nil"/>
            </w:tcBorders>
            <w:vAlign w:val="center"/>
          </w:tcPr>
          <w:p w14:paraId="4F848EDC"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30</w:t>
            </w:r>
          </w:p>
        </w:tc>
        <w:tc>
          <w:tcPr>
            <w:tcW w:w="932" w:type="dxa"/>
            <w:tcBorders>
              <w:tl2br w:val="nil"/>
              <w:tr2bl w:val="nil"/>
            </w:tcBorders>
            <w:vAlign w:val="center"/>
          </w:tcPr>
          <w:p w14:paraId="2B696F2E"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30</w:t>
            </w:r>
          </w:p>
        </w:tc>
        <w:tc>
          <w:tcPr>
            <w:tcW w:w="738" w:type="dxa"/>
            <w:tcBorders>
              <w:tl2br w:val="nil"/>
              <w:tr2bl w:val="nil"/>
            </w:tcBorders>
            <w:vAlign w:val="center"/>
          </w:tcPr>
          <w:p w14:paraId="06DB08B6"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m</w:t>
            </w:r>
          </w:p>
        </w:tc>
      </w:tr>
      <w:tr w:rsidR="009D12AF" w14:paraId="5320CF43" w14:textId="77777777">
        <w:trPr>
          <w:cantSplit/>
          <w:trHeight w:val="397"/>
          <w:jc w:val="center"/>
        </w:trPr>
        <w:tc>
          <w:tcPr>
            <w:tcW w:w="1297" w:type="dxa"/>
            <w:tcBorders>
              <w:tl2br w:val="nil"/>
              <w:tr2bl w:val="nil"/>
            </w:tcBorders>
            <w:vAlign w:val="center"/>
          </w:tcPr>
          <w:p w14:paraId="78889E7B"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用途</w:t>
            </w:r>
          </w:p>
        </w:tc>
        <w:tc>
          <w:tcPr>
            <w:tcW w:w="924" w:type="dxa"/>
            <w:tcBorders>
              <w:tl2br w:val="nil"/>
              <w:tr2bl w:val="nil"/>
            </w:tcBorders>
            <w:vAlign w:val="center"/>
          </w:tcPr>
          <w:p w14:paraId="2C34C36E"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地勘</w:t>
            </w:r>
          </w:p>
        </w:tc>
        <w:tc>
          <w:tcPr>
            <w:tcW w:w="924" w:type="dxa"/>
            <w:tcBorders>
              <w:tl2br w:val="nil"/>
              <w:tr2bl w:val="nil"/>
            </w:tcBorders>
            <w:vAlign w:val="center"/>
          </w:tcPr>
          <w:p w14:paraId="7F3A186A"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地勘</w:t>
            </w:r>
          </w:p>
        </w:tc>
        <w:tc>
          <w:tcPr>
            <w:tcW w:w="924" w:type="dxa"/>
            <w:tcBorders>
              <w:tl2br w:val="nil"/>
              <w:tr2bl w:val="nil"/>
            </w:tcBorders>
            <w:vAlign w:val="center"/>
          </w:tcPr>
          <w:p w14:paraId="72C7A952"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地勘</w:t>
            </w:r>
          </w:p>
        </w:tc>
        <w:tc>
          <w:tcPr>
            <w:tcW w:w="924" w:type="dxa"/>
            <w:tcBorders>
              <w:tl2br w:val="nil"/>
              <w:tr2bl w:val="nil"/>
            </w:tcBorders>
            <w:vAlign w:val="center"/>
          </w:tcPr>
          <w:p w14:paraId="70B790B8"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生产</w:t>
            </w:r>
          </w:p>
        </w:tc>
        <w:tc>
          <w:tcPr>
            <w:tcW w:w="924" w:type="dxa"/>
            <w:tcBorders>
              <w:tl2br w:val="nil"/>
              <w:tr2bl w:val="nil"/>
            </w:tcBorders>
            <w:vAlign w:val="center"/>
          </w:tcPr>
          <w:p w14:paraId="4D37CC44"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地勘</w:t>
            </w:r>
          </w:p>
        </w:tc>
        <w:tc>
          <w:tcPr>
            <w:tcW w:w="925" w:type="dxa"/>
            <w:tcBorders>
              <w:tl2br w:val="nil"/>
              <w:tr2bl w:val="nil"/>
            </w:tcBorders>
            <w:vAlign w:val="center"/>
          </w:tcPr>
          <w:p w14:paraId="70A43C6B"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监测井</w:t>
            </w:r>
          </w:p>
        </w:tc>
        <w:tc>
          <w:tcPr>
            <w:tcW w:w="932" w:type="dxa"/>
            <w:tcBorders>
              <w:tl2br w:val="nil"/>
              <w:tr2bl w:val="nil"/>
            </w:tcBorders>
            <w:vAlign w:val="center"/>
          </w:tcPr>
          <w:p w14:paraId="67AECE67"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地勘</w:t>
            </w:r>
          </w:p>
        </w:tc>
        <w:tc>
          <w:tcPr>
            <w:tcW w:w="738" w:type="dxa"/>
            <w:tcBorders>
              <w:tl2br w:val="nil"/>
              <w:tr2bl w:val="nil"/>
            </w:tcBorders>
            <w:vAlign w:val="center"/>
          </w:tcPr>
          <w:p w14:paraId="3831373C" w14:textId="77777777" w:rsidR="009D12AF" w:rsidRDefault="00000000">
            <w:pPr>
              <w:spacing w:line="240" w:lineRule="exact"/>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w:t>
            </w:r>
          </w:p>
        </w:tc>
      </w:tr>
    </w:tbl>
    <w:p w14:paraId="2CBC2EB5" w14:textId="77777777" w:rsidR="009D12AF" w:rsidRDefault="00000000">
      <w:pPr>
        <w:ind w:firstLine="482"/>
        <w:jc w:val="center"/>
        <w:rPr>
          <w:b/>
          <w:bCs/>
        </w:rPr>
      </w:pPr>
      <w:r>
        <w:rPr>
          <w:rFonts w:hint="eastAsia"/>
          <w:b/>
          <w:bCs/>
        </w:rPr>
        <w:t>表</w:t>
      </w:r>
      <w:r>
        <w:rPr>
          <w:rFonts w:hint="eastAsia"/>
          <w:b/>
          <w:bCs/>
        </w:rPr>
        <w:t>4.3-18</w:t>
      </w:r>
      <w:r>
        <w:rPr>
          <w:rFonts w:hint="eastAsia"/>
          <w:b/>
          <w:bCs/>
        </w:rPr>
        <w:t>群力水库地下水环境现状监测结果统计表</w:t>
      </w:r>
    </w:p>
    <w:tbl>
      <w:tblPr>
        <w:tblW w:w="4997" w:type="pct"/>
        <w:jc w:val="center"/>
        <w:tblBorders>
          <w:top w:val="single" w:sz="12" w:space="0" w:color="auto"/>
          <w:bottom w:val="single" w:sz="12" w:space="0" w:color="auto"/>
          <w:insideH w:val="single" w:sz="8" w:space="0" w:color="auto"/>
          <w:insideV w:val="single" w:sz="8" w:space="0" w:color="auto"/>
        </w:tblBorders>
        <w:tblLook w:val="04A0" w:firstRow="1" w:lastRow="0" w:firstColumn="1" w:lastColumn="0" w:noHBand="0" w:noVBand="1"/>
      </w:tblPr>
      <w:tblGrid>
        <w:gridCol w:w="1273"/>
        <w:gridCol w:w="1662"/>
        <w:gridCol w:w="1102"/>
        <w:gridCol w:w="1027"/>
        <w:gridCol w:w="1039"/>
        <w:gridCol w:w="1077"/>
        <w:gridCol w:w="1337"/>
      </w:tblGrid>
      <w:tr w:rsidR="009D12AF" w14:paraId="4A205513" w14:textId="77777777">
        <w:trPr>
          <w:cantSplit/>
          <w:trHeight w:val="397"/>
          <w:jc w:val="center"/>
        </w:trPr>
        <w:tc>
          <w:tcPr>
            <w:tcW w:w="765" w:type="pct"/>
            <w:vMerge w:val="restart"/>
            <w:tcBorders>
              <w:tl2br w:val="nil"/>
              <w:tr2bl w:val="nil"/>
            </w:tcBorders>
            <w:vAlign w:val="center"/>
          </w:tcPr>
          <w:p w14:paraId="4A58A8C6" w14:textId="77777777" w:rsidR="009D12AF" w:rsidRDefault="00000000">
            <w:pPr>
              <w:spacing w:line="240" w:lineRule="exact"/>
              <w:ind w:firstLineChars="0" w:firstLine="0"/>
              <w:jc w:val="center"/>
              <w:rPr>
                <w:rFonts w:ascii="Times New Roman" w:hAnsi="Times New Roman" w:cs="Times New Roman"/>
                <w:b/>
                <w:bCs/>
                <w:color w:val="000000"/>
                <w:kern w:val="0"/>
                <w:sz w:val="21"/>
                <w:szCs w:val="21"/>
              </w:rPr>
            </w:pPr>
            <w:r>
              <w:rPr>
                <w:rFonts w:ascii="Times New Roman" w:hAnsi="Times New Roman" w:cs="Times New Roman"/>
                <w:b/>
                <w:bCs/>
                <w:color w:val="000000"/>
                <w:kern w:val="0"/>
                <w:sz w:val="21"/>
                <w:szCs w:val="21"/>
              </w:rPr>
              <w:t>采样日期</w:t>
            </w:r>
          </w:p>
        </w:tc>
        <w:tc>
          <w:tcPr>
            <w:tcW w:w="993" w:type="pct"/>
            <w:tcBorders>
              <w:tl2br w:val="nil"/>
              <w:tr2bl w:val="nil"/>
            </w:tcBorders>
            <w:vAlign w:val="center"/>
          </w:tcPr>
          <w:p w14:paraId="464F97A9" w14:textId="77777777" w:rsidR="009D12AF" w:rsidRDefault="00000000">
            <w:pPr>
              <w:spacing w:line="240" w:lineRule="exact"/>
              <w:ind w:firstLineChars="0" w:firstLine="0"/>
              <w:jc w:val="center"/>
              <w:rPr>
                <w:rFonts w:ascii="Times New Roman" w:hAnsi="Times New Roman" w:cs="Times New Roman"/>
                <w:b/>
                <w:bCs/>
                <w:color w:val="000000"/>
                <w:kern w:val="0"/>
                <w:sz w:val="21"/>
                <w:szCs w:val="21"/>
              </w:rPr>
            </w:pPr>
            <w:r>
              <w:rPr>
                <w:rFonts w:ascii="Times New Roman" w:hAnsi="Times New Roman" w:cs="Times New Roman"/>
                <w:b/>
                <w:bCs/>
                <w:color w:val="000000"/>
                <w:kern w:val="0"/>
                <w:sz w:val="21"/>
                <w:szCs w:val="21"/>
              </w:rPr>
              <w:t>检测点位</w:t>
            </w:r>
          </w:p>
        </w:tc>
        <w:tc>
          <w:tcPr>
            <w:tcW w:w="664" w:type="pct"/>
            <w:tcBorders>
              <w:tl2br w:val="nil"/>
              <w:tr2bl w:val="nil"/>
            </w:tcBorders>
            <w:vAlign w:val="center"/>
          </w:tcPr>
          <w:p w14:paraId="7679FF2A" w14:textId="77777777" w:rsidR="009D12AF" w:rsidRDefault="00000000">
            <w:pPr>
              <w:spacing w:line="240" w:lineRule="exact"/>
              <w:ind w:firstLineChars="0" w:firstLine="0"/>
              <w:jc w:val="center"/>
              <w:rPr>
                <w:rFonts w:ascii="Times New Roman" w:hAnsi="Times New Roman" w:cs="Times New Roman"/>
                <w:b/>
                <w:bCs/>
                <w:color w:val="000000"/>
                <w:kern w:val="0"/>
                <w:sz w:val="21"/>
                <w:szCs w:val="21"/>
              </w:rPr>
            </w:pPr>
            <w:r>
              <w:rPr>
                <w:rFonts w:ascii="Times New Roman" w:hAnsi="Times New Roman" w:cs="Times New Roman"/>
                <w:b/>
                <w:bCs/>
                <w:sz w:val="21"/>
                <w:szCs w:val="21"/>
              </w:rPr>
              <w:t>1#</w:t>
            </w:r>
          </w:p>
        </w:tc>
        <w:tc>
          <w:tcPr>
            <w:tcW w:w="554" w:type="pct"/>
            <w:tcBorders>
              <w:tl2br w:val="nil"/>
              <w:tr2bl w:val="nil"/>
            </w:tcBorders>
            <w:vAlign w:val="center"/>
          </w:tcPr>
          <w:p w14:paraId="413EE71E" w14:textId="77777777" w:rsidR="009D12AF" w:rsidRDefault="00000000">
            <w:pPr>
              <w:spacing w:line="240" w:lineRule="exact"/>
              <w:ind w:firstLineChars="0" w:firstLine="0"/>
              <w:jc w:val="center"/>
              <w:rPr>
                <w:rFonts w:ascii="Times New Roman" w:hAnsi="Times New Roman" w:cs="Times New Roman"/>
                <w:b/>
                <w:bCs/>
                <w:color w:val="000000"/>
                <w:kern w:val="0"/>
                <w:sz w:val="21"/>
                <w:szCs w:val="21"/>
              </w:rPr>
            </w:pPr>
            <w:r>
              <w:rPr>
                <w:rFonts w:ascii="Times New Roman" w:hAnsi="Times New Roman" w:cs="Times New Roman" w:hint="eastAsia"/>
                <w:b/>
                <w:bCs/>
                <w:color w:val="000000"/>
                <w:kern w:val="0"/>
                <w:sz w:val="21"/>
                <w:szCs w:val="21"/>
              </w:rPr>
              <w:t>3</w:t>
            </w:r>
            <w:r>
              <w:rPr>
                <w:rFonts w:ascii="Times New Roman" w:hAnsi="Times New Roman" w:cs="Times New Roman"/>
                <w:b/>
                <w:bCs/>
                <w:color w:val="000000"/>
                <w:kern w:val="0"/>
                <w:sz w:val="21"/>
                <w:szCs w:val="21"/>
              </w:rPr>
              <w:t>#</w:t>
            </w:r>
          </w:p>
        </w:tc>
        <w:tc>
          <w:tcPr>
            <w:tcW w:w="627" w:type="pct"/>
            <w:tcBorders>
              <w:tl2br w:val="nil"/>
              <w:tr2bl w:val="nil"/>
            </w:tcBorders>
            <w:vAlign w:val="center"/>
          </w:tcPr>
          <w:p w14:paraId="2535434A" w14:textId="77777777" w:rsidR="009D12AF" w:rsidRDefault="00000000">
            <w:pPr>
              <w:spacing w:line="240" w:lineRule="exact"/>
              <w:ind w:firstLineChars="0" w:firstLine="0"/>
              <w:jc w:val="center"/>
              <w:rPr>
                <w:rFonts w:ascii="Times New Roman" w:eastAsia="宋体" w:hAnsi="Times New Roman" w:cs="Times New Roman"/>
                <w:b/>
                <w:bCs/>
                <w:color w:val="000000"/>
                <w:kern w:val="0"/>
                <w:sz w:val="21"/>
                <w:szCs w:val="21"/>
              </w:rPr>
            </w:pPr>
            <w:r>
              <w:rPr>
                <w:rFonts w:ascii="Times New Roman" w:hAnsi="Times New Roman" w:cs="Times New Roman" w:hint="eastAsia"/>
                <w:b/>
                <w:bCs/>
                <w:sz w:val="21"/>
                <w:szCs w:val="21"/>
              </w:rPr>
              <w:t>4</w:t>
            </w:r>
            <w:r>
              <w:rPr>
                <w:rFonts w:ascii="Times New Roman" w:hAnsi="Times New Roman" w:cs="Times New Roman"/>
                <w:b/>
                <w:bCs/>
                <w:sz w:val="21"/>
                <w:szCs w:val="21"/>
              </w:rPr>
              <w:t>#</w:t>
            </w:r>
          </w:p>
        </w:tc>
        <w:tc>
          <w:tcPr>
            <w:tcW w:w="648" w:type="pct"/>
            <w:tcBorders>
              <w:tl2br w:val="nil"/>
              <w:tr2bl w:val="nil"/>
            </w:tcBorders>
            <w:vAlign w:val="center"/>
          </w:tcPr>
          <w:p w14:paraId="07633C1D" w14:textId="77777777" w:rsidR="009D12AF" w:rsidRDefault="00000000">
            <w:pPr>
              <w:spacing w:line="240" w:lineRule="exact"/>
              <w:ind w:firstLineChars="0" w:firstLine="0"/>
              <w:jc w:val="center"/>
              <w:rPr>
                <w:rFonts w:ascii="Times New Roman" w:eastAsia="宋体" w:hAnsi="Times New Roman" w:cs="Times New Roman"/>
                <w:b/>
                <w:bCs/>
                <w:color w:val="000000"/>
                <w:kern w:val="0"/>
                <w:sz w:val="21"/>
                <w:szCs w:val="21"/>
              </w:rPr>
            </w:pPr>
            <w:r>
              <w:rPr>
                <w:rFonts w:ascii="Times New Roman" w:hAnsi="Times New Roman" w:cs="Times New Roman" w:hint="eastAsia"/>
                <w:b/>
                <w:bCs/>
                <w:sz w:val="21"/>
                <w:szCs w:val="21"/>
              </w:rPr>
              <w:t>7</w:t>
            </w:r>
            <w:r>
              <w:rPr>
                <w:rFonts w:ascii="Times New Roman" w:hAnsi="Times New Roman" w:cs="Times New Roman"/>
                <w:b/>
                <w:bCs/>
                <w:sz w:val="21"/>
                <w:szCs w:val="21"/>
              </w:rPr>
              <w:t>#</w:t>
            </w:r>
          </w:p>
        </w:tc>
        <w:tc>
          <w:tcPr>
            <w:tcW w:w="746" w:type="pct"/>
            <w:tcBorders>
              <w:tl2br w:val="nil"/>
              <w:tr2bl w:val="nil"/>
            </w:tcBorders>
            <w:vAlign w:val="center"/>
          </w:tcPr>
          <w:p w14:paraId="0505C9EE" w14:textId="77777777" w:rsidR="009D12AF" w:rsidRDefault="00000000">
            <w:pPr>
              <w:spacing w:line="240" w:lineRule="exact"/>
              <w:ind w:firstLineChars="0" w:firstLine="0"/>
              <w:jc w:val="center"/>
              <w:rPr>
                <w:rFonts w:ascii="Times New Roman" w:hAnsi="Times New Roman" w:cs="Times New Roman"/>
                <w:b/>
                <w:bCs/>
                <w:color w:val="000000"/>
                <w:kern w:val="0"/>
                <w:sz w:val="21"/>
                <w:szCs w:val="21"/>
              </w:rPr>
            </w:pPr>
            <w:r>
              <w:rPr>
                <w:rFonts w:ascii="Times New Roman" w:hAnsi="Times New Roman" w:cs="Times New Roman" w:hint="eastAsia"/>
                <w:b/>
                <w:bCs/>
                <w:color w:val="000000"/>
                <w:kern w:val="0"/>
                <w:sz w:val="21"/>
                <w:szCs w:val="21"/>
              </w:rPr>
              <w:t>/</w:t>
            </w:r>
          </w:p>
        </w:tc>
      </w:tr>
      <w:tr w:rsidR="009D12AF" w14:paraId="233973A7" w14:textId="77777777">
        <w:trPr>
          <w:cantSplit/>
          <w:trHeight w:val="397"/>
          <w:jc w:val="center"/>
        </w:trPr>
        <w:tc>
          <w:tcPr>
            <w:tcW w:w="765" w:type="pct"/>
            <w:vMerge/>
            <w:tcBorders>
              <w:tl2br w:val="nil"/>
              <w:tr2bl w:val="nil"/>
            </w:tcBorders>
            <w:vAlign w:val="center"/>
          </w:tcPr>
          <w:p w14:paraId="556C9AC9" w14:textId="77777777" w:rsidR="009D12AF" w:rsidRDefault="009D12AF">
            <w:pPr>
              <w:spacing w:line="240" w:lineRule="exact"/>
              <w:ind w:firstLineChars="0" w:firstLine="0"/>
              <w:jc w:val="center"/>
              <w:rPr>
                <w:rFonts w:ascii="Times New Roman" w:hAnsi="Times New Roman" w:cs="Times New Roman"/>
                <w:b/>
                <w:bCs/>
                <w:sz w:val="21"/>
                <w:szCs w:val="21"/>
              </w:rPr>
            </w:pPr>
          </w:p>
        </w:tc>
        <w:tc>
          <w:tcPr>
            <w:tcW w:w="993" w:type="pct"/>
            <w:tcBorders>
              <w:tl2br w:val="nil"/>
              <w:tr2bl w:val="nil"/>
            </w:tcBorders>
            <w:vAlign w:val="center"/>
          </w:tcPr>
          <w:p w14:paraId="427AE58A" w14:textId="77777777" w:rsidR="009D12AF" w:rsidRDefault="00000000">
            <w:pPr>
              <w:spacing w:line="240" w:lineRule="exact"/>
              <w:ind w:firstLineChars="0" w:firstLine="0"/>
              <w:jc w:val="center"/>
              <w:rPr>
                <w:rFonts w:ascii="Times New Roman" w:eastAsia="宋体" w:hAnsi="Times New Roman" w:cs="Times New Roman"/>
                <w:b/>
                <w:bCs/>
                <w:color w:val="000000"/>
                <w:kern w:val="0"/>
                <w:sz w:val="21"/>
                <w:szCs w:val="21"/>
              </w:rPr>
            </w:pPr>
            <w:r>
              <w:rPr>
                <w:rFonts w:ascii="Times New Roman" w:hAnsi="Times New Roman" w:cs="Times New Roman"/>
                <w:b/>
                <w:bCs/>
                <w:color w:val="000000"/>
                <w:kern w:val="0"/>
                <w:sz w:val="21"/>
                <w:szCs w:val="21"/>
              </w:rPr>
              <w:t>检测项目</w:t>
            </w:r>
          </w:p>
        </w:tc>
        <w:tc>
          <w:tcPr>
            <w:tcW w:w="2494" w:type="pct"/>
            <w:gridSpan w:val="4"/>
            <w:tcBorders>
              <w:tl2br w:val="nil"/>
              <w:tr2bl w:val="nil"/>
            </w:tcBorders>
            <w:vAlign w:val="center"/>
          </w:tcPr>
          <w:p w14:paraId="7FC4B4C6" w14:textId="77777777" w:rsidR="009D12AF" w:rsidRDefault="00000000">
            <w:pPr>
              <w:spacing w:line="240" w:lineRule="exact"/>
              <w:ind w:firstLineChars="0" w:firstLine="0"/>
              <w:jc w:val="center"/>
              <w:rPr>
                <w:rFonts w:ascii="Times New Roman" w:hAnsi="Times New Roman" w:cs="Times New Roman"/>
                <w:b/>
                <w:bCs/>
                <w:color w:val="000000"/>
                <w:kern w:val="0"/>
                <w:sz w:val="21"/>
                <w:szCs w:val="21"/>
              </w:rPr>
            </w:pPr>
            <w:r>
              <w:rPr>
                <w:rFonts w:ascii="Times New Roman" w:hAnsi="Times New Roman" w:cs="Times New Roman" w:hint="eastAsia"/>
                <w:b/>
                <w:bCs/>
                <w:color w:val="000000"/>
                <w:kern w:val="0"/>
                <w:sz w:val="21"/>
                <w:szCs w:val="21"/>
              </w:rPr>
              <w:t>检测结果</w:t>
            </w:r>
          </w:p>
        </w:tc>
        <w:tc>
          <w:tcPr>
            <w:tcW w:w="746" w:type="pct"/>
            <w:tcBorders>
              <w:tl2br w:val="nil"/>
              <w:tr2bl w:val="nil"/>
            </w:tcBorders>
            <w:vAlign w:val="center"/>
          </w:tcPr>
          <w:p w14:paraId="3858015F" w14:textId="77777777" w:rsidR="009D12AF" w:rsidRDefault="00000000">
            <w:pPr>
              <w:spacing w:line="240" w:lineRule="exact"/>
              <w:ind w:firstLineChars="0" w:firstLine="0"/>
              <w:jc w:val="center"/>
              <w:rPr>
                <w:rFonts w:ascii="Times New Roman" w:hAnsi="Times New Roman" w:cs="Times New Roman"/>
                <w:sz w:val="21"/>
                <w:szCs w:val="21"/>
              </w:rPr>
            </w:pPr>
            <w:r>
              <w:rPr>
                <w:rFonts w:ascii="Times New Roman" w:hAnsi="Times New Roman" w:cs="Times New Roman"/>
                <w:b/>
                <w:bCs/>
                <w:color w:val="000000"/>
                <w:kern w:val="0"/>
                <w:sz w:val="21"/>
                <w:szCs w:val="21"/>
              </w:rPr>
              <w:t>单位</w:t>
            </w:r>
          </w:p>
        </w:tc>
      </w:tr>
      <w:tr w:rsidR="009D12AF" w14:paraId="3F47D15D" w14:textId="77777777">
        <w:trPr>
          <w:cantSplit/>
          <w:trHeight w:val="397"/>
          <w:jc w:val="center"/>
        </w:trPr>
        <w:tc>
          <w:tcPr>
            <w:tcW w:w="765" w:type="pct"/>
            <w:vMerge w:val="restart"/>
            <w:tcBorders>
              <w:tl2br w:val="nil"/>
              <w:tr2bl w:val="nil"/>
            </w:tcBorders>
            <w:vAlign w:val="center"/>
          </w:tcPr>
          <w:p w14:paraId="6E1694D9" w14:textId="77777777" w:rsidR="009D12AF" w:rsidRDefault="00000000">
            <w:pPr>
              <w:spacing w:line="240" w:lineRule="exact"/>
              <w:ind w:firstLineChars="0" w:firstLine="0"/>
              <w:jc w:val="center"/>
              <w:rPr>
                <w:rFonts w:ascii="Times New Roman" w:eastAsia="宋体" w:hAnsi="Times New Roman" w:cs="Times New Roman"/>
                <w:b/>
                <w:bCs/>
                <w:sz w:val="21"/>
                <w:szCs w:val="21"/>
              </w:rPr>
            </w:pPr>
            <w:r>
              <w:rPr>
                <w:rFonts w:ascii="Times New Roman" w:hAnsi="Times New Roman" w:cs="Times New Roman" w:hint="eastAsia"/>
                <w:sz w:val="21"/>
                <w:szCs w:val="21"/>
              </w:rPr>
              <w:t>2025.08.19</w:t>
            </w:r>
          </w:p>
        </w:tc>
        <w:tc>
          <w:tcPr>
            <w:tcW w:w="993" w:type="pct"/>
            <w:tcBorders>
              <w:tl2br w:val="nil"/>
              <w:tr2bl w:val="nil"/>
            </w:tcBorders>
            <w:vAlign w:val="center"/>
          </w:tcPr>
          <w:p w14:paraId="73593819"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hAnsi="Times New Roman" w:cs="Times New Roman" w:hint="eastAsia"/>
                <w:color w:val="000000"/>
                <w:kern w:val="0"/>
                <w:sz w:val="21"/>
                <w:szCs w:val="21"/>
                <w:lang w:bidi="ar"/>
              </w:rPr>
              <w:t>钾</w:t>
            </w:r>
          </w:p>
        </w:tc>
        <w:tc>
          <w:tcPr>
            <w:tcW w:w="664" w:type="pct"/>
            <w:tcBorders>
              <w:tl2br w:val="nil"/>
              <w:tr2bl w:val="nil"/>
            </w:tcBorders>
            <w:vAlign w:val="center"/>
          </w:tcPr>
          <w:p w14:paraId="40CA0D3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1.16</w:t>
            </w:r>
          </w:p>
        </w:tc>
        <w:tc>
          <w:tcPr>
            <w:tcW w:w="554" w:type="pct"/>
            <w:tcBorders>
              <w:tl2br w:val="nil"/>
              <w:tr2bl w:val="nil"/>
            </w:tcBorders>
            <w:vAlign w:val="center"/>
          </w:tcPr>
          <w:p w14:paraId="226AEE9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0.763</w:t>
            </w:r>
          </w:p>
        </w:tc>
        <w:tc>
          <w:tcPr>
            <w:tcW w:w="627" w:type="pct"/>
            <w:tcBorders>
              <w:tl2br w:val="nil"/>
              <w:tr2bl w:val="nil"/>
            </w:tcBorders>
            <w:vAlign w:val="center"/>
          </w:tcPr>
          <w:p w14:paraId="7B502CB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1.78</w:t>
            </w:r>
          </w:p>
        </w:tc>
        <w:tc>
          <w:tcPr>
            <w:tcW w:w="648" w:type="pct"/>
            <w:tcBorders>
              <w:tl2br w:val="nil"/>
              <w:tr2bl w:val="nil"/>
            </w:tcBorders>
            <w:vAlign w:val="center"/>
          </w:tcPr>
          <w:p w14:paraId="4DD026B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0.742</w:t>
            </w:r>
          </w:p>
        </w:tc>
        <w:tc>
          <w:tcPr>
            <w:tcW w:w="746" w:type="pct"/>
            <w:tcBorders>
              <w:tl2br w:val="nil"/>
              <w:tr2bl w:val="nil"/>
            </w:tcBorders>
            <w:vAlign w:val="center"/>
          </w:tcPr>
          <w:p w14:paraId="456B452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3EBE2EAF" w14:textId="77777777">
        <w:trPr>
          <w:cantSplit/>
          <w:trHeight w:val="397"/>
          <w:jc w:val="center"/>
        </w:trPr>
        <w:tc>
          <w:tcPr>
            <w:tcW w:w="765" w:type="pct"/>
            <w:vMerge/>
            <w:tcBorders>
              <w:tl2br w:val="nil"/>
              <w:tr2bl w:val="nil"/>
            </w:tcBorders>
          </w:tcPr>
          <w:p w14:paraId="4137B679"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11602A0F"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hAnsi="Times New Roman" w:cs="Times New Roman" w:hint="eastAsia"/>
                <w:color w:val="000000"/>
                <w:kern w:val="0"/>
                <w:sz w:val="21"/>
                <w:szCs w:val="21"/>
                <w:lang w:bidi="ar"/>
              </w:rPr>
              <w:t>钠</w:t>
            </w:r>
          </w:p>
        </w:tc>
        <w:tc>
          <w:tcPr>
            <w:tcW w:w="664" w:type="pct"/>
            <w:tcBorders>
              <w:tl2br w:val="nil"/>
              <w:tr2bl w:val="nil"/>
            </w:tcBorders>
            <w:vAlign w:val="center"/>
          </w:tcPr>
          <w:p w14:paraId="313A3CB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11.7</w:t>
            </w:r>
          </w:p>
        </w:tc>
        <w:tc>
          <w:tcPr>
            <w:tcW w:w="554" w:type="pct"/>
            <w:tcBorders>
              <w:tl2br w:val="nil"/>
              <w:tr2bl w:val="nil"/>
            </w:tcBorders>
            <w:vAlign w:val="center"/>
          </w:tcPr>
          <w:p w14:paraId="22382C5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6.35</w:t>
            </w:r>
          </w:p>
        </w:tc>
        <w:tc>
          <w:tcPr>
            <w:tcW w:w="627" w:type="pct"/>
            <w:tcBorders>
              <w:tl2br w:val="nil"/>
              <w:tr2bl w:val="nil"/>
            </w:tcBorders>
            <w:vAlign w:val="center"/>
          </w:tcPr>
          <w:p w14:paraId="6009189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17.3</w:t>
            </w:r>
          </w:p>
        </w:tc>
        <w:tc>
          <w:tcPr>
            <w:tcW w:w="648" w:type="pct"/>
            <w:tcBorders>
              <w:tl2br w:val="nil"/>
              <w:tr2bl w:val="nil"/>
            </w:tcBorders>
            <w:vAlign w:val="center"/>
          </w:tcPr>
          <w:p w14:paraId="5801015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14.9</w:t>
            </w:r>
          </w:p>
        </w:tc>
        <w:tc>
          <w:tcPr>
            <w:tcW w:w="746" w:type="pct"/>
            <w:tcBorders>
              <w:tl2br w:val="nil"/>
              <w:tr2bl w:val="nil"/>
            </w:tcBorders>
            <w:vAlign w:val="center"/>
          </w:tcPr>
          <w:p w14:paraId="399C5D9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0D5A8D35" w14:textId="77777777">
        <w:trPr>
          <w:cantSplit/>
          <w:trHeight w:val="397"/>
          <w:jc w:val="center"/>
        </w:trPr>
        <w:tc>
          <w:tcPr>
            <w:tcW w:w="765" w:type="pct"/>
            <w:vMerge/>
            <w:tcBorders>
              <w:tl2br w:val="nil"/>
              <w:tr2bl w:val="nil"/>
            </w:tcBorders>
          </w:tcPr>
          <w:p w14:paraId="2111D375"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43E9E7DA"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hAnsi="Times New Roman" w:cs="Times New Roman" w:hint="eastAsia"/>
                <w:color w:val="000000"/>
                <w:kern w:val="0"/>
                <w:sz w:val="21"/>
                <w:szCs w:val="21"/>
                <w:lang w:bidi="ar"/>
              </w:rPr>
              <w:t>钙</w:t>
            </w:r>
          </w:p>
        </w:tc>
        <w:tc>
          <w:tcPr>
            <w:tcW w:w="664" w:type="pct"/>
            <w:tcBorders>
              <w:tl2br w:val="nil"/>
              <w:tr2bl w:val="nil"/>
            </w:tcBorders>
            <w:vAlign w:val="center"/>
          </w:tcPr>
          <w:p w14:paraId="7F706072"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78.7</w:t>
            </w:r>
          </w:p>
        </w:tc>
        <w:tc>
          <w:tcPr>
            <w:tcW w:w="554" w:type="pct"/>
            <w:tcBorders>
              <w:tl2br w:val="nil"/>
              <w:tr2bl w:val="nil"/>
            </w:tcBorders>
            <w:vAlign w:val="center"/>
          </w:tcPr>
          <w:p w14:paraId="1530F5D8"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27.7</w:t>
            </w:r>
          </w:p>
        </w:tc>
        <w:tc>
          <w:tcPr>
            <w:tcW w:w="627" w:type="pct"/>
            <w:tcBorders>
              <w:tl2br w:val="nil"/>
              <w:tr2bl w:val="nil"/>
            </w:tcBorders>
            <w:vAlign w:val="center"/>
          </w:tcPr>
          <w:p w14:paraId="12541FD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26.0</w:t>
            </w:r>
          </w:p>
        </w:tc>
        <w:tc>
          <w:tcPr>
            <w:tcW w:w="648" w:type="pct"/>
            <w:tcBorders>
              <w:tl2br w:val="nil"/>
              <w:tr2bl w:val="nil"/>
            </w:tcBorders>
            <w:vAlign w:val="center"/>
          </w:tcPr>
          <w:p w14:paraId="4056095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19.5</w:t>
            </w:r>
          </w:p>
        </w:tc>
        <w:tc>
          <w:tcPr>
            <w:tcW w:w="746" w:type="pct"/>
            <w:tcBorders>
              <w:tl2br w:val="nil"/>
              <w:tr2bl w:val="nil"/>
            </w:tcBorders>
            <w:vAlign w:val="center"/>
          </w:tcPr>
          <w:p w14:paraId="3FB13C1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0D4272CB" w14:textId="77777777">
        <w:trPr>
          <w:cantSplit/>
          <w:trHeight w:val="397"/>
          <w:jc w:val="center"/>
        </w:trPr>
        <w:tc>
          <w:tcPr>
            <w:tcW w:w="765" w:type="pct"/>
            <w:vMerge/>
            <w:tcBorders>
              <w:tl2br w:val="nil"/>
              <w:tr2bl w:val="nil"/>
            </w:tcBorders>
          </w:tcPr>
          <w:p w14:paraId="65E7D7BC"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0A4C2AF5"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hAnsi="Times New Roman" w:cs="Times New Roman" w:hint="eastAsia"/>
                <w:color w:val="000000"/>
                <w:kern w:val="0"/>
                <w:sz w:val="21"/>
                <w:szCs w:val="21"/>
                <w:lang w:bidi="ar"/>
              </w:rPr>
              <w:t>镁</w:t>
            </w:r>
          </w:p>
        </w:tc>
        <w:tc>
          <w:tcPr>
            <w:tcW w:w="664" w:type="pct"/>
            <w:tcBorders>
              <w:tl2br w:val="nil"/>
              <w:tr2bl w:val="nil"/>
            </w:tcBorders>
            <w:vAlign w:val="center"/>
          </w:tcPr>
          <w:p w14:paraId="27189C72"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13.2</w:t>
            </w:r>
          </w:p>
        </w:tc>
        <w:tc>
          <w:tcPr>
            <w:tcW w:w="554" w:type="pct"/>
            <w:tcBorders>
              <w:tl2br w:val="nil"/>
              <w:tr2bl w:val="nil"/>
            </w:tcBorders>
            <w:vAlign w:val="center"/>
          </w:tcPr>
          <w:p w14:paraId="76369807"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7.45</w:t>
            </w:r>
          </w:p>
        </w:tc>
        <w:tc>
          <w:tcPr>
            <w:tcW w:w="627" w:type="pct"/>
            <w:tcBorders>
              <w:tl2br w:val="nil"/>
              <w:tr2bl w:val="nil"/>
            </w:tcBorders>
            <w:vAlign w:val="center"/>
          </w:tcPr>
          <w:p w14:paraId="277343D9"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7.16</w:t>
            </w:r>
          </w:p>
        </w:tc>
        <w:tc>
          <w:tcPr>
            <w:tcW w:w="648" w:type="pct"/>
            <w:tcBorders>
              <w:tl2br w:val="nil"/>
              <w:tr2bl w:val="nil"/>
            </w:tcBorders>
            <w:vAlign w:val="center"/>
          </w:tcPr>
          <w:p w14:paraId="0BFEA6B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7.56</w:t>
            </w:r>
          </w:p>
        </w:tc>
        <w:tc>
          <w:tcPr>
            <w:tcW w:w="746" w:type="pct"/>
            <w:tcBorders>
              <w:tl2br w:val="nil"/>
              <w:tr2bl w:val="nil"/>
            </w:tcBorders>
            <w:vAlign w:val="center"/>
          </w:tcPr>
          <w:p w14:paraId="434D730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40908928" w14:textId="77777777">
        <w:trPr>
          <w:cantSplit/>
          <w:trHeight w:val="397"/>
          <w:jc w:val="center"/>
        </w:trPr>
        <w:tc>
          <w:tcPr>
            <w:tcW w:w="765" w:type="pct"/>
            <w:vMerge/>
            <w:tcBorders>
              <w:tl2br w:val="nil"/>
              <w:tr2bl w:val="nil"/>
            </w:tcBorders>
          </w:tcPr>
          <w:p w14:paraId="493A7F68"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64369252"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碱度</w:t>
            </w:r>
            <w:r>
              <w:rPr>
                <w:rFonts w:ascii="Times New Roman" w:eastAsia="宋体" w:hAnsi="Times New Roman" w:cs="Times New Roman" w:hint="eastAsia"/>
                <w:color w:val="000000"/>
                <w:kern w:val="0"/>
                <w:sz w:val="21"/>
                <w:szCs w:val="21"/>
                <w:lang w:bidi="ar"/>
              </w:rPr>
              <w:t>（</w:t>
            </w:r>
            <w:r>
              <w:rPr>
                <w:rFonts w:ascii="Times New Roman" w:eastAsia="宋体" w:hAnsi="Times New Roman" w:cs="Times New Roman" w:hint="eastAsia"/>
                <w:color w:val="000000"/>
                <w:kern w:val="0"/>
                <w:sz w:val="21"/>
                <w:szCs w:val="21"/>
                <w:lang w:bidi="ar"/>
              </w:rPr>
              <w:t>CO</w:t>
            </w:r>
            <w:r>
              <w:rPr>
                <w:rFonts w:ascii="Times New Roman" w:eastAsia="宋体" w:hAnsi="Times New Roman" w:cs="Times New Roman" w:hint="eastAsia"/>
                <w:color w:val="000000"/>
                <w:kern w:val="0"/>
                <w:sz w:val="21"/>
                <w:szCs w:val="21"/>
                <w:vertAlign w:val="subscript"/>
                <w:lang w:bidi="ar"/>
              </w:rPr>
              <w:t>3</w:t>
            </w:r>
            <w:r>
              <w:rPr>
                <w:rFonts w:ascii="Times New Roman" w:eastAsia="宋体" w:hAnsi="Times New Roman" w:cs="Times New Roman" w:hint="eastAsia"/>
                <w:color w:val="000000"/>
                <w:kern w:val="0"/>
                <w:sz w:val="21"/>
                <w:szCs w:val="21"/>
                <w:vertAlign w:val="superscript"/>
                <w:lang w:bidi="ar"/>
              </w:rPr>
              <w:t>2-</w:t>
            </w:r>
            <w:r>
              <w:rPr>
                <w:rFonts w:ascii="Times New Roman" w:hAnsi="Times New Roman" w:cs="Times New Roman" w:hint="eastAsia"/>
                <w:color w:val="000000"/>
                <w:kern w:val="0"/>
                <w:sz w:val="21"/>
                <w:szCs w:val="21"/>
                <w:lang w:bidi="ar"/>
              </w:rPr>
              <w:t>）</w:t>
            </w:r>
          </w:p>
        </w:tc>
        <w:tc>
          <w:tcPr>
            <w:tcW w:w="664" w:type="pct"/>
            <w:tcBorders>
              <w:tl2br w:val="nil"/>
              <w:tr2bl w:val="nil"/>
            </w:tcBorders>
            <w:vAlign w:val="center"/>
          </w:tcPr>
          <w:p w14:paraId="1C982FF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未检出</w:t>
            </w:r>
          </w:p>
        </w:tc>
        <w:tc>
          <w:tcPr>
            <w:tcW w:w="554" w:type="pct"/>
            <w:tcBorders>
              <w:tl2br w:val="nil"/>
              <w:tr2bl w:val="nil"/>
            </w:tcBorders>
            <w:vAlign w:val="center"/>
          </w:tcPr>
          <w:p w14:paraId="1574672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未检出</w:t>
            </w:r>
          </w:p>
        </w:tc>
        <w:tc>
          <w:tcPr>
            <w:tcW w:w="627" w:type="pct"/>
            <w:tcBorders>
              <w:tl2br w:val="nil"/>
              <w:tr2bl w:val="nil"/>
            </w:tcBorders>
            <w:vAlign w:val="center"/>
          </w:tcPr>
          <w:p w14:paraId="2DA60FE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未检出</w:t>
            </w:r>
          </w:p>
        </w:tc>
        <w:tc>
          <w:tcPr>
            <w:tcW w:w="648" w:type="pct"/>
            <w:tcBorders>
              <w:tl2br w:val="nil"/>
              <w:tr2bl w:val="nil"/>
            </w:tcBorders>
            <w:vAlign w:val="center"/>
          </w:tcPr>
          <w:p w14:paraId="56BC9E0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未检出</w:t>
            </w:r>
          </w:p>
        </w:tc>
        <w:tc>
          <w:tcPr>
            <w:tcW w:w="746" w:type="pct"/>
            <w:tcBorders>
              <w:tl2br w:val="nil"/>
              <w:tr2bl w:val="nil"/>
            </w:tcBorders>
            <w:vAlign w:val="center"/>
          </w:tcPr>
          <w:p w14:paraId="1D076A9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06C493FE" w14:textId="77777777">
        <w:trPr>
          <w:cantSplit/>
          <w:trHeight w:val="397"/>
          <w:jc w:val="center"/>
        </w:trPr>
        <w:tc>
          <w:tcPr>
            <w:tcW w:w="765" w:type="pct"/>
            <w:vMerge/>
            <w:tcBorders>
              <w:tl2br w:val="nil"/>
              <w:tr2bl w:val="nil"/>
            </w:tcBorders>
          </w:tcPr>
          <w:p w14:paraId="03EA91C3"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58E68B3A"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碱度</w:t>
            </w:r>
            <w:r>
              <w:rPr>
                <w:rFonts w:ascii="Times New Roman" w:eastAsia="宋体" w:hAnsi="Times New Roman" w:cs="Times New Roman" w:hint="eastAsia"/>
                <w:color w:val="000000"/>
                <w:kern w:val="0"/>
                <w:sz w:val="21"/>
                <w:szCs w:val="21"/>
                <w:lang w:bidi="ar"/>
              </w:rPr>
              <w:t>（</w:t>
            </w:r>
            <w:r>
              <w:rPr>
                <w:rFonts w:ascii="Times New Roman" w:eastAsia="宋体" w:hAnsi="Times New Roman" w:cs="Times New Roman" w:hint="eastAsia"/>
                <w:color w:val="000000"/>
                <w:kern w:val="0"/>
                <w:sz w:val="21"/>
                <w:szCs w:val="21"/>
                <w:lang w:bidi="ar"/>
              </w:rPr>
              <w:t>HCO</w:t>
            </w:r>
            <w:r>
              <w:rPr>
                <w:rFonts w:ascii="Times New Roman" w:hAnsi="Times New Roman" w:cs="Times New Roman" w:hint="eastAsia"/>
                <w:color w:val="000000"/>
                <w:kern w:val="0"/>
                <w:sz w:val="21"/>
                <w:szCs w:val="21"/>
                <w:vertAlign w:val="subscript"/>
                <w:lang w:bidi="ar"/>
              </w:rPr>
              <w:t>3</w:t>
            </w:r>
            <w:r>
              <w:rPr>
                <w:rFonts w:ascii="Times New Roman" w:eastAsia="宋体" w:hAnsi="Times New Roman" w:cs="Times New Roman" w:hint="eastAsia"/>
                <w:color w:val="000000"/>
                <w:kern w:val="0"/>
                <w:sz w:val="21"/>
                <w:szCs w:val="21"/>
                <w:vertAlign w:val="superscript"/>
                <w:lang w:bidi="ar"/>
              </w:rPr>
              <w:t>-</w:t>
            </w:r>
            <w:r>
              <w:rPr>
                <w:rFonts w:ascii="Times New Roman" w:hAnsi="Times New Roman" w:cs="Times New Roman" w:hint="eastAsia"/>
                <w:color w:val="000000"/>
                <w:kern w:val="0"/>
                <w:sz w:val="21"/>
                <w:szCs w:val="21"/>
                <w:lang w:bidi="ar"/>
              </w:rPr>
              <w:t>）</w:t>
            </w:r>
          </w:p>
        </w:tc>
        <w:tc>
          <w:tcPr>
            <w:tcW w:w="664" w:type="pct"/>
            <w:tcBorders>
              <w:tl2br w:val="nil"/>
              <w:tr2bl w:val="nil"/>
            </w:tcBorders>
            <w:vAlign w:val="center"/>
          </w:tcPr>
          <w:p w14:paraId="1F78226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166</w:t>
            </w:r>
          </w:p>
        </w:tc>
        <w:tc>
          <w:tcPr>
            <w:tcW w:w="554" w:type="pct"/>
            <w:tcBorders>
              <w:tl2br w:val="nil"/>
              <w:tr2bl w:val="nil"/>
            </w:tcBorders>
            <w:vAlign w:val="center"/>
          </w:tcPr>
          <w:p w14:paraId="5ECCF70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85</w:t>
            </w:r>
          </w:p>
        </w:tc>
        <w:tc>
          <w:tcPr>
            <w:tcW w:w="627" w:type="pct"/>
            <w:tcBorders>
              <w:tl2br w:val="nil"/>
              <w:tr2bl w:val="nil"/>
            </w:tcBorders>
            <w:vAlign w:val="center"/>
          </w:tcPr>
          <w:p w14:paraId="782D9C0F"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117</w:t>
            </w:r>
          </w:p>
        </w:tc>
        <w:tc>
          <w:tcPr>
            <w:tcW w:w="648" w:type="pct"/>
            <w:tcBorders>
              <w:tl2br w:val="nil"/>
              <w:tr2bl w:val="nil"/>
            </w:tcBorders>
            <w:vAlign w:val="center"/>
          </w:tcPr>
          <w:p w14:paraId="08C8E77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75</w:t>
            </w:r>
          </w:p>
        </w:tc>
        <w:tc>
          <w:tcPr>
            <w:tcW w:w="746" w:type="pct"/>
            <w:tcBorders>
              <w:tl2br w:val="nil"/>
              <w:tr2bl w:val="nil"/>
            </w:tcBorders>
            <w:vAlign w:val="center"/>
          </w:tcPr>
          <w:p w14:paraId="1E643EA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0B83CB78" w14:textId="77777777">
        <w:trPr>
          <w:cantSplit/>
          <w:trHeight w:val="397"/>
          <w:jc w:val="center"/>
        </w:trPr>
        <w:tc>
          <w:tcPr>
            <w:tcW w:w="765" w:type="pct"/>
            <w:vMerge/>
            <w:tcBorders>
              <w:tl2br w:val="nil"/>
              <w:tr2bl w:val="nil"/>
            </w:tcBorders>
          </w:tcPr>
          <w:p w14:paraId="3E6E2C66"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23AA1694"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溶解性总固体</w:t>
            </w:r>
          </w:p>
        </w:tc>
        <w:tc>
          <w:tcPr>
            <w:tcW w:w="664" w:type="pct"/>
            <w:tcBorders>
              <w:tl2br w:val="nil"/>
              <w:tr2bl w:val="nil"/>
            </w:tcBorders>
            <w:vAlign w:val="center"/>
          </w:tcPr>
          <w:p w14:paraId="4F30F738"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262</w:t>
            </w:r>
          </w:p>
        </w:tc>
        <w:tc>
          <w:tcPr>
            <w:tcW w:w="554" w:type="pct"/>
            <w:tcBorders>
              <w:tl2br w:val="nil"/>
              <w:tr2bl w:val="nil"/>
            </w:tcBorders>
            <w:vAlign w:val="center"/>
          </w:tcPr>
          <w:p w14:paraId="2488F5D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120</w:t>
            </w:r>
          </w:p>
        </w:tc>
        <w:tc>
          <w:tcPr>
            <w:tcW w:w="627" w:type="pct"/>
            <w:tcBorders>
              <w:tl2br w:val="nil"/>
              <w:tr2bl w:val="nil"/>
            </w:tcBorders>
            <w:vAlign w:val="center"/>
          </w:tcPr>
          <w:p w14:paraId="354AF791"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155</w:t>
            </w:r>
          </w:p>
        </w:tc>
        <w:tc>
          <w:tcPr>
            <w:tcW w:w="648" w:type="pct"/>
            <w:tcBorders>
              <w:tl2br w:val="nil"/>
              <w:tr2bl w:val="nil"/>
            </w:tcBorders>
            <w:vAlign w:val="center"/>
          </w:tcPr>
          <w:p w14:paraId="180848B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110</w:t>
            </w:r>
          </w:p>
        </w:tc>
        <w:tc>
          <w:tcPr>
            <w:tcW w:w="746" w:type="pct"/>
            <w:tcBorders>
              <w:tl2br w:val="nil"/>
              <w:tr2bl w:val="nil"/>
            </w:tcBorders>
            <w:vAlign w:val="center"/>
          </w:tcPr>
          <w:p w14:paraId="10D9B86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3EA5906B" w14:textId="77777777">
        <w:trPr>
          <w:cantSplit/>
          <w:trHeight w:val="397"/>
          <w:jc w:val="center"/>
        </w:trPr>
        <w:tc>
          <w:tcPr>
            <w:tcW w:w="765" w:type="pct"/>
            <w:vMerge/>
            <w:tcBorders>
              <w:tl2br w:val="nil"/>
              <w:tr2bl w:val="nil"/>
            </w:tcBorders>
          </w:tcPr>
          <w:p w14:paraId="5A2166BA"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4E6EC6E2"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color w:val="000000"/>
                <w:kern w:val="0"/>
                <w:lang w:eastAsia="zh-CN" w:bidi="ar"/>
              </w:rPr>
              <w:t>钙和镁总量</w:t>
            </w:r>
          </w:p>
        </w:tc>
        <w:tc>
          <w:tcPr>
            <w:tcW w:w="664" w:type="pct"/>
            <w:tcBorders>
              <w:tl2br w:val="nil"/>
              <w:tr2bl w:val="nil"/>
            </w:tcBorders>
            <w:vAlign w:val="center"/>
          </w:tcPr>
          <w:p w14:paraId="0AD0B9BA"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231</w:t>
            </w:r>
          </w:p>
        </w:tc>
        <w:tc>
          <w:tcPr>
            <w:tcW w:w="554" w:type="pct"/>
            <w:tcBorders>
              <w:tl2br w:val="nil"/>
              <w:tr2bl w:val="nil"/>
            </w:tcBorders>
            <w:vAlign w:val="center"/>
          </w:tcPr>
          <w:p w14:paraId="0471BE16"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92.5</w:t>
            </w:r>
          </w:p>
        </w:tc>
        <w:tc>
          <w:tcPr>
            <w:tcW w:w="627" w:type="pct"/>
            <w:tcBorders>
              <w:tl2br w:val="nil"/>
              <w:tr2bl w:val="nil"/>
            </w:tcBorders>
            <w:vAlign w:val="center"/>
          </w:tcPr>
          <w:p w14:paraId="1A95F73C"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92.2</w:t>
            </w:r>
          </w:p>
        </w:tc>
        <w:tc>
          <w:tcPr>
            <w:tcW w:w="648" w:type="pct"/>
            <w:tcBorders>
              <w:tl2br w:val="nil"/>
              <w:tr2bl w:val="nil"/>
            </w:tcBorders>
            <w:vAlign w:val="center"/>
          </w:tcPr>
          <w:p w14:paraId="063A76D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75.3</w:t>
            </w:r>
          </w:p>
        </w:tc>
        <w:tc>
          <w:tcPr>
            <w:tcW w:w="746" w:type="pct"/>
            <w:tcBorders>
              <w:tl2br w:val="nil"/>
              <w:tr2bl w:val="nil"/>
            </w:tcBorders>
            <w:vAlign w:val="center"/>
          </w:tcPr>
          <w:p w14:paraId="0BEDD8D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4A382B6A" w14:textId="77777777">
        <w:trPr>
          <w:cantSplit/>
          <w:trHeight w:val="397"/>
          <w:jc w:val="center"/>
        </w:trPr>
        <w:tc>
          <w:tcPr>
            <w:tcW w:w="765" w:type="pct"/>
            <w:vMerge/>
            <w:tcBorders>
              <w:tl2br w:val="nil"/>
              <w:tr2bl w:val="nil"/>
            </w:tcBorders>
          </w:tcPr>
          <w:p w14:paraId="70A2358E"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19ED7CE1" w14:textId="77777777" w:rsidR="009D12AF" w:rsidRDefault="00000000">
            <w:pPr>
              <w:pStyle w:val="TableText"/>
              <w:spacing w:line="214" w:lineRule="auto"/>
              <w:ind w:firstLineChars="0" w:firstLine="0"/>
              <w:jc w:val="center"/>
              <w:rPr>
                <w:rFonts w:ascii="Times New Roman" w:hAnsi="Times New Roman" w:cs="Times New Roman"/>
                <w:color w:val="000000"/>
                <w:kern w:val="0"/>
                <w:lang w:eastAsia="zh-CN" w:bidi="ar"/>
              </w:rPr>
            </w:pPr>
            <w:r>
              <w:rPr>
                <w:rFonts w:ascii="Times New Roman" w:hAnsi="Times New Roman" w:cs="Times New Roman" w:hint="eastAsia"/>
                <w:spacing w:val="-4"/>
                <w:lang w:eastAsia="zh-CN"/>
              </w:rPr>
              <w:t>p</w:t>
            </w:r>
            <w:r>
              <w:rPr>
                <w:rFonts w:ascii="Times New Roman" w:hAnsi="Times New Roman" w:cs="Times New Roman"/>
                <w:spacing w:val="-4"/>
              </w:rPr>
              <w:t>H</w:t>
            </w:r>
            <w:r>
              <w:rPr>
                <w:rFonts w:ascii="Times New Roman" w:hAnsi="Times New Roman" w:cs="Times New Roman"/>
                <w:spacing w:val="-40"/>
              </w:rPr>
              <w:t xml:space="preserve"> </w:t>
            </w:r>
            <w:r>
              <w:rPr>
                <w:rFonts w:ascii="Times New Roman" w:hAnsi="Times New Roman" w:cs="Times New Roman"/>
                <w:spacing w:val="-4"/>
              </w:rPr>
              <w:t>值</w:t>
            </w:r>
          </w:p>
        </w:tc>
        <w:tc>
          <w:tcPr>
            <w:tcW w:w="664" w:type="pct"/>
            <w:tcBorders>
              <w:tl2br w:val="nil"/>
              <w:tr2bl w:val="nil"/>
            </w:tcBorders>
            <w:vAlign w:val="center"/>
          </w:tcPr>
          <w:p w14:paraId="46DC739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7.0</w:t>
            </w:r>
          </w:p>
        </w:tc>
        <w:tc>
          <w:tcPr>
            <w:tcW w:w="554" w:type="pct"/>
            <w:tcBorders>
              <w:tl2br w:val="nil"/>
              <w:tr2bl w:val="nil"/>
            </w:tcBorders>
            <w:vAlign w:val="center"/>
          </w:tcPr>
          <w:p w14:paraId="124C50D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6.9</w:t>
            </w:r>
          </w:p>
        </w:tc>
        <w:tc>
          <w:tcPr>
            <w:tcW w:w="627" w:type="pct"/>
            <w:tcBorders>
              <w:tl2br w:val="nil"/>
              <w:tr2bl w:val="nil"/>
            </w:tcBorders>
            <w:vAlign w:val="center"/>
          </w:tcPr>
          <w:p w14:paraId="14C6E74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7.2</w:t>
            </w:r>
          </w:p>
        </w:tc>
        <w:tc>
          <w:tcPr>
            <w:tcW w:w="648" w:type="pct"/>
            <w:tcBorders>
              <w:tl2br w:val="nil"/>
              <w:tr2bl w:val="nil"/>
            </w:tcBorders>
            <w:vAlign w:val="center"/>
          </w:tcPr>
          <w:p w14:paraId="2DA47DF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6.5</w:t>
            </w:r>
          </w:p>
        </w:tc>
        <w:tc>
          <w:tcPr>
            <w:tcW w:w="746" w:type="pct"/>
            <w:tcBorders>
              <w:tl2br w:val="nil"/>
              <w:tr2bl w:val="nil"/>
            </w:tcBorders>
            <w:vAlign w:val="center"/>
          </w:tcPr>
          <w:p w14:paraId="1A8061E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5880BF03" w14:textId="77777777">
        <w:trPr>
          <w:cantSplit/>
          <w:trHeight w:val="397"/>
          <w:jc w:val="center"/>
        </w:trPr>
        <w:tc>
          <w:tcPr>
            <w:tcW w:w="765" w:type="pct"/>
            <w:vMerge/>
            <w:tcBorders>
              <w:tl2br w:val="nil"/>
              <w:tr2bl w:val="nil"/>
            </w:tcBorders>
          </w:tcPr>
          <w:p w14:paraId="67E65533"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0A5F819D"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氟离子</w:t>
            </w:r>
          </w:p>
        </w:tc>
        <w:tc>
          <w:tcPr>
            <w:tcW w:w="664" w:type="pct"/>
            <w:tcBorders>
              <w:tl2br w:val="nil"/>
              <w:tr2bl w:val="nil"/>
            </w:tcBorders>
            <w:vAlign w:val="center"/>
          </w:tcPr>
          <w:p w14:paraId="0CFC0FB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0.105</w:t>
            </w:r>
          </w:p>
        </w:tc>
        <w:tc>
          <w:tcPr>
            <w:tcW w:w="554" w:type="pct"/>
            <w:tcBorders>
              <w:tl2br w:val="nil"/>
              <w:tr2bl w:val="nil"/>
            </w:tcBorders>
            <w:vAlign w:val="center"/>
          </w:tcPr>
          <w:p w14:paraId="3CF3DBB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0.083</w:t>
            </w:r>
          </w:p>
        </w:tc>
        <w:tc>
          <w:tcPr>
            <w:tcW w:w="627" w:type="pct"/>
            <w:tcBorders>
              <w:tl2br w:val="nil"/>
              <w:tr2bl w:val="nil"/>
            </w:tcBorders>
            <w:vAlign w:val="center"/>
          </w:tcPr>
          <w:p w14:paraId="7240B51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0.197</w:t>
            </w:r>
          </w:p>
        </w:tc>
        <w:tc>
          <w:tcPr>
            <w:tcW w:w="648" w:type="pct"/>
            <w:tcBorders>
              <w:tl2br w:val="nil"/>
              <w:tr2bl w:val="nil"/>
            </w:tcBorders>
            <w:vAlign w:val="center"/>
          </w:tcPr>
          <w:p w14:paraId="3770741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0.166</w:t>
            </w:r>
          </w:p>
        </w:tc>
        <w:tc>
          <w:tcPr>
            <w:tcW w:w="746" w:type="pct"/>
            <w:tcBorders>
              <w:tl2br w:val="nil"/>
              <w:tr2bl w:val="nil"/>
            </w:tcBorders>
            <w:vAlign w:val="center"/>
          </w:tcPr>
          <w:p w14:paraId="7021B74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64F3B8FD" w14:textId="77777777">
        <w:trPr>
          <w:cantSplit/>
          <w:trHeight w:val="397"/>
          <w:jc w:val="center"/>
        </w:trPr>
        <w:tc>
          <w:tcPr>
            <w:tcW w:w="765" w:type="pct"/>
            <w:vMerge/>
            <w:tcBorders>
              <w:tl2br w:val="nil"/>
              <w:tr2bl w:val="nil"/>
            </w:tcBorders>
          </w:tcPr>
          <w:p w14:paraId="5E2CB420"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740707E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color w:val="000000"/>
                <w:kern w:val="0"/>
                <w:sz w:val="21"/>
                <w:szCs w:val="21"/>
                <w:lang w:bidi="ar"/>
              </w:rPr>
              <w:t>氯离子</w:t>
            </w:r>
          </w:p>
        </w:tc>
        <w:tc>
          <w:tcPr>
            <w:tcW w:w="664" w:type="pct"/>
            <w:tcBorders>
              <w:tl2br w:val="nil"/>
              <w:tr2bl w:val="nil"/>
            </w:tcBorders>
            <w:vAlign w:val="center"/>
          </w:tcPr>
          <w:p w14:paraId="4CC68E9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22.8</w:t>
            </w:r>
          </w:p>
        </w:tc>
        <w:tc>
          <w:tcPr>
            <w:tcW w:w="554" w:type="pct"/>
            <w:tcBorders>
              <w:tl2br w:val="nil"/>
              <w:tr2bl w:val="nil"/>
            </w:tcBorders>
            <w:vAlign w:val="center"/>
          </w:tcPr>
          <w:p w14:paraId="785A26A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8.17</w:t>
            </w:r>
          </w:p>
        </w:tc>
        <w:tc>
          <w:tcPr>
            <w:tcW w:w="627" w:type="pct"/>
            <w:tcBorders>
              <w:tl2br w:val="nil"/>
              <w:tr2bl w:val="nil"/>
            </w:tcBorders>
            <w:vAlign w:val="center"/>
          </w:tcPr>
          <w:p w14:paraId="358AAE8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13.6</w:t>
            </w:r>
          </w:p>
        </w:tc>
        <w:tc>
          <w:tcPr>
            <w:tcW w:w="648" w:type="pct"/>
            <w:tcBorders>
              <w:tl2br w:val="nil"/>
              <w:tr2bl w:val="nil"/>
            </w:tcBorders>
            <w:vAlign w:val="center"/>
          </w:tcPr>
          <w:p w14:paraId="2456A8F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6.10</w:t>
            </w:r>
          </w:p>
        </w:tc>
        <w:tc>
          <w:tcPr>
            <w:tcW w:w="746" w:type="pct"/>
            <w:tcBorders>
              <w:tl2br w:val="nil"/>
              <w:tr2bl w:val="nil"/>
            </w:tcBorders>
            <w:vAlign w:val="center"/>
          </w:tcPr>
          <w:p w14:paraId="2B9DEF5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4D9F7A27" w14:textId="77777777">
        <w:trPr>
          <w:cantSplit/>
          <w:trHeight w:val="397"/>
          <w:jc w:val="center"/>
        </w:trPr>
        <w:tc>
          <w:tcPr>
            <w:tcW w:w="765" w:type="pct"/>
            <w:vMerge/>
            <w:tcBorders>
              <w:tl2br w:val="nil"/>
              <w:tr2bl w:val="nil"/>
            </w:tcBorders>
          </w:tcPr>
          <w:p w14:paraId="750CC0B0"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054906AB"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color w:val="000000"/>
                <w:kern w:val="0"/>
                <w:sz w:val="21"/>
                <w:szCs w:val="21"/>
                <w:lang w:bidi="ar"/>
              </w:rPr>
              <w:t>硫酸根</w:t>
            </w:r>
          </w:p>
        </w:tc>
        <w:tc>
          <w:tcPr>
            <w:tcW w:w="664" w:type="pct"/>
            <w:tcBorders>
              <w:tl2br w:val="nil"/>
              <w:tr2bl w:val="nil"/>
            </w:tcBorders>
            <w:vAlign w:val="center"/>
          </w:tcPr>
          <w:p w14:paraId="5D9182C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20.8</w:t>
            </w:r>
          </w:p>
        </w:tc>
        <w:tc>
          <w:tcPr>
            <w:tcW w:w="554" w:type="pct"/>
            <w:tcBorders>
              <w:tl2br w:val="nil"/>
              <w:tr2bl w:val="nil"/>
            </w:tcBorders>
            <w:vAlign w:val="center"/>
          </w:tcPr>
          <w:p w14:paraId="32539A3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15.8</w:t>
            </w:r>
          </w:p>
        </w:tc>
        <w:tc>
          <w:tcPr>
            <w:tcW w:w="627" w:type="pct"/>
            <w:tcBorders>
              <w:tl2br w:val="nil"/>
              <w:tr2bl w:val="nil"/>
            </w:tcBorders>
            <w:vAlign w:val="center"/>
          </w:tcPr>
          <w:p w14:paraId="4C4EE14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6.91</w:t>
            </w:r>
          </w:p>
        </w:tc>
        <w:tc>
          <w:tcPr>
            <w:tcW w:w="648" w:type="pct"/>
            <w:tcBorders>
              <w:tl2br w:val="nil"/>
              <w:tr2bl w:val="nil"/>
            </w:tcBorders>
            <w:vAlign w:val="center"/>
          </w:tcPr>
          <w:p w14:paraId="09244ED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9.83</w:t>
            </w:r>
          </w:p>
        </w:tc>
        <w:tc>
          <w:tcPr>
            <w:tcW w:w="746" w:type="pct"/>
            <w:tcBorders>
              <w:tl2br w:val="nil"/>
              <w:tr2bl w:val="nil"/>
            </w:tcBorders>
            <w:vAlign w:val="center"/>
          </w:tcPr>
          <w:p w14:paraId="50F1218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3429CE53" w14:textId="77777777">
        <w:trPr>
          <w:cantSplit/>
          <w:trHeight w:val="397"/>
          <w:jc w:val="center"/>
        </w:trPr>
        <w:tc>
          <w:tcPr>
            <w:tcW w:w="765" w:type="pct"/>
            <w:vMerge/>
            <w:tcBorders>
              <w:tl2br w:val="nil"/>
              <w:tr2bl w:val="nil"/>
            </w:tcBorders>
          </w:tcPr>
          <w:p w14:paraId="7A1E02A8"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6C58D4B9" w14:textId="77777777" w:rsidR="009D12AF" w:rsidRDefault="00000000">
            <w:pPr>
              <w:pStyle w:val="TableText"/>
              <w:spacing w:line="219" w:lineRule="auto"/>
              <w:ind w:firstLineChars="0" w:firstLine="0"/>
              <w:jc w:val="center"/>
              <w:rPr>
                <w:rFonts w:ascii="Times New Roman" w:hAnsi="Times New Roman" w:cs="Times New Roman"/>
                <w:color w:val="000000"/>
                <w:kern w:val="0"/>
                <w:lang w:eastAsia="zh-CN" w:bidi="ar"/>
              </w:rPr>
            </w:pPr>
            <w:r>
              <w:rPr>
                <w:rFonts w:ascii="Times New Roman" w:hAnsi="Times New Roman" w:cs="Times New Roman"/>
                <w:spacing w:val="-2"/>
              </w:rPr>
              <w:t>硝酸盐氮</w:t>
            </w:r>
          </w:p>
        </w:tc>
        <w:tc>
          <w:tcPr>
            <w:tcW w:w="664" w:type="pct"/>
            <w:tcBorders>
              <w:tl2br w:val="nil"/>
              <w:tr2bl w:val="nil"/>
            </w:tcBorders>
            <w:vAlign w:val="center"/>
          </w:tcPr>
          <w:p w14:paraId="26E5BA6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12.5</w:t>
            </w:r>
          </w:p>
        </w:tc>
        <w:tc>
          <w:tcPr>
            <w:tcW w:w="554" w:type="pct"/>
            <w:tcBorders>
              <w:tl2br w:val="nil"/>
              <w:tr2bl w:val="nil"/>
            </w:tcBorders>
            <w:vAlign w:val="center"/>
          </w:tcPr>
          <w:p w14:paraId="562D3C1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3.70</w:t>
            </w:r>
          </w:p>
        </w:tc>
        <w:tc>
          <w:tcPr>
            <w:tcW w:w="627" w:type="pct"/>
            <w:tcBorders>
              <w:tl2br w:val="nil"/>
              <w:tr2bl w:val="nil"/>
            </w:tcBorders>
            <w:vAlign w:val="center"/>
          </w:tcPr>
          <w:p w14:paraId="20661D9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11.0</w:t>
            </w:r>
          </w:p>
        </w:tc>
        <w:tc>
          <w:tcPr>
            <w:tcW w:w="648" w:type="pct"/>
            <w:tcBorders>
              <w:tl2br w:val="nil"/>
              <w:tr2bl w:val="nil"/>
            </w:tcBorders>
            <w:vAlign w:val="center"/>
          </w:tcPr>
          <w:p w14:paraId="0888D86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4.90</w:t>
            </w:r>
          </w:p>
        </w:tc>
        <w:tc>
          <w:tcPr>
            <w:tcW w:w="746" w:type="pct"/>
            <w:tcBorders>
              <w:tl2br w:val="nil"/>
              <w:tr2bl w:val="nil"/>
            </w:tcBorders>
            <w:vAlign w:val="center"/>
          </w:tcPr>
          <w:p w14:paraId="04E3D9D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37590243" w14:textId="77777777">
        <w:trPr>
          <w:cantSplit/>
          <w:trHeight w:val="397"/>
          <w:jc w:val="center"/>
        </w:trPr>
        <w:tc>
          <w:tcPr>
            <w:tcW w:w="765" w:type="pct"/>
            <w:vMerge/>
            <w:tcBorders>
              <w:tl2br w:val="nil"/>
              <w:tr2bl w:val="nil"/>
            </w:tcBorders>
          </w:tcPr>
          <w:p w14:paraId="42DD143A"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365DD940" w14:textId="77777777" w:rsidR="009D12AF" w:rsidRDefault="00000000">
            <w:pPr>
              <w:pStyle w:val="TableText"/>
              <w:spacing w:line="219" w:lineRule="auto"/>
              <w:ind w:firstLineChars="0" w:firstLine="0"/>
              <w:jc w:val="center"/>
              <w:rPr>
                <w:rFonts w:ascii="Times New Roman" w:hAnsi="Times New Roman" w:cs="Times New Roman"/>
                <w:color w:val="000000"/>
                <w:kern w:val="0"/>
                <w:lang w:eastAsia="zh-CN" w:bidi="ar"/>
              </w:rPr>
            </w:pPr>
            <w:r>
              <w:rPr>
                <w:rFonts w:ascii="Times New Roman" w:hAnsi="Times New Roman" w:cs="Times New Roman" w:hint="eastAsia"/>
                <w:spacing w:val="-2"/>
                <w:lang w:eastAsia="zh-CN"/>
              </w:rPr>
              <w:t>亚</w:t>
            </w:r>
            <w:r>
              <w:rPr>
                <w:rFonts w:ascii="Times New Roman" w:hAnsi="Times New Roman" w:cs="Times New Roman"/>
                <w:spacing w:val="-2"/>
              </w:rPr>
              <w:t>硝酸盐氮</w:t>
            </w:r>
          </w:p>
        </w:tc>
        <w:tc>
          <w:tcPr>
            <w:tcW w:w="664" w:type="pct"/>
            <w:tcBorders>
              <w:tl2br w:val="nil"/>
              <w:tr2bl w:val="nil"/>
            </w:tcBorders>
            <w:vAlign w:val="center"/>
          </w:tcPr>
          <w:p w14:paraId="4964407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0.003L</w:t>
            </w:r>
          </w:p>
        </w:tc>
        <w:tc>
          <w:tcPr>
            <w:tcW w:w="554" w:type="pct"/>
            <w:tcBorders>
              <w:tl2br w:val="nil"/>
              <w:tr2bl w:val="nil"/>
            </w:tcBorders>
            <w:vAlign w:val="center"/>
          </w:tcPr>
          <w:p w14:paraId="260A1BB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0.003L</w:t>
            </w:r>
          </w:p>
        </w:tc>
        <w:tc>
          <w:tcPr>
            <w:tcW w:w="627" w:type="pct"/>
            <w:tcBorders>
              <w:tl2br w:val="nil"/>
              <w:tr2bl w:val="nil"/>
            </w:tcBorders>
            <w:vAlign w:val="center"/>
          </w:tcPr>
          <w:p w14:paraId="6CD68A2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0.003L</w:t>
            </w:r>
          </w:p>
        </w:tc>
        <w:tc>
          <w:tcPr>
            <w:tcW w:w="648" w:type="pct"/>
            <w:tcBorders>
              <w:tl2br w:val="nil"/>
              <w:tr2bl w:val="nil"/>
            </w:tcBorders>
            <w:vAlign w:val="center"/>
          </w:tcPr>
          <w:p w14:paraId="7D7E12D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0.003L</w:t>
            </w:r>
          </w:p>
        </w:tc>
        <w:tc>
          <w:tcPr>
            <w:tcW w:w="746" w:type="pct"/>
            <w:tcBorders>
              <w:tl2br w:val="nil"/>
              <w:tr2bl w:val="nil"/>
            </w:tcBorders>
            <w:vAlign w:val="center"/>
          </w:tcPr>
          <w:p w14:paraId="68A5AFE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503FA05F" w14:textId="77777777">
        <w:trPr>
          <w:cantSplit/>
          <w:trHeight w:val="397"/>
          <w:jc w:val="center"/>
        </w:trPr>
        <w:tc>
          <w:tcPr>
            <w:tcW w:w="765" w:type="pct"/>
            <w:vMerge/>
            <w:tcBorders>
              <w:tl2br w:val="nil"/>
              <w:tr2bl w:val="nil"/>
            </w:tcBorders>
          </w:tcPr>
          <w:p w14:paraId="6CB88EAB"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7F461726" w14:textId="77777777" w:rsidR="009D12AF" w:rsidRDefault="00000000">
            <w:pPr>
              <w:pStyle w:val="TableText"/>
              <w:spacing w:line="219" w:lineRule="auto"/>
              <w:ind w:firstLineChars="0" w:firstLine="0"/>
              <w:jc w:val="center"/>
              <w:rPr>
                <w:rFonts w:ascii="Times New Roman" w:hAnsi="Times New Roman" w:cs="Times New Roman"/>
                <w:color w:val="000000"/>
                <w:kern w:val="0"/>
                <w:lang w:eastAsia="zh-CN" w:bidi="ar"/>
              </w:rPr>
            </w:pPr>
            <w:r>
              <w:rPr>
                <w:rFonts w:ascii="Times New Roman" w:hAnsi="Times New Roman" w:cs="Times New Roman" w:hint="eastAsia"/>
                <w:spacing w:val="-2"/>
                <w:lang w:eastAsia="zh-CN"/>
              </w:rPr>
              <w:t>氨氮</w:t>
            </w:r>
          </w:p>
        </w:tc>
        <w:tc>
          <w:tcPr>
            <w:tcW w:w="664" w:type="pct"/>
            <w:tcBorders>
              <w:tl2br w:val="nil"/>
              <w:tr2bl w:val="nil"/>
            </w:tcBorders>
            <w:vAlign w:val="center"/>
          </w:tcPr>
          <w:p w14:paraId="3EF315B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0.025L</w:t>
            </w:r>
          </w:p>
        </w:tc>
        <w:tc>
          <w:tcPr>
            <w:tcW w:w="554" w:type="pct"/>
            <w:tcBorders>
              <w:tl2br w:val="nil"/>
              <w:tr2bl w:val="nil"/>
            </w:tcBorders>
            <w:vAlign w:val="center"/>
          </w:tcPr>
          <w:p w14:paraId="0E94487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0.426</w:t>
            </w:r>
          </w:p>
        </w:tc>
        <w:tc>
          <w:tcPr>
            <w:tcW w:w="627" w:type="pct"/>
            <w:tcBorders>
              <w:tl2br w:val="nil"/>
              <w:tr2bl w:val="nil"/>
            </w:tcBorders>
            <w:vAlign w:val="center"/>
          </w:tcPr>
          <w:p w14:paraId="69AD18A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0.035</w:t>
            </w:r>
          </w:p>
        </w:tc>
        <w:tc>
          <w:tcPr>
            <w:tcW w:w="648" w:type="pct"/>
            <w:tcBorders>
              <w:tl2br w:val="nil"/>
              <w:tr2bl w:val="nil"/>
            </w:tcBorders>
            <w:vAlign w:val="center"/>
          </w:tcPr>
          <w:p w14:paraId="3096CE0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0.249</w:t>
            </w:r>
          </w:p>
        </w:tc>
        <w:tc>
          <w:tcPr>
            <w:tcW w:w="746" w:type="pct"/>
            <w:tcBorders>
              <w:tl2br w:val="nil"/>
              <w:tr2bl w:val="nil"/>
            </w:tcBorders>
            <w:vAlign w:val="center"/>
          </w:tcPr>
          <w:p w14:paraId="246BA25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6BD1AF6E" w14:textId="77777777">
        <w:trPr>
          <w:cantSplit/>
          <w:trHeight w:val="397"/>
          <w:jc w:val="center"/>
        </w:trPr>
        <w:tc>
          <w:tcPr>
            <w:tcW w:w="765" w:type="pct"/>
            <w:vMerge/>
            <w:tcBorders>
              <w:tl2br w:val="nil"/>
              <w:tr2bl w:val="nil"/>
            </w:tcBorders>
          </w:tcPr>
          <w:p w14:paraId="33F84244"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5612F7CE" w14:textId="77777777" w:rsidR="009D12AF" w:rsidRDefault="00000000">
            <w:pPr>
              <w:pStyle w:val="TableText"/>
              <w:spacing w:line="219" w:lineRule="auto"/>
              <w:ind w:firstLineChars="0" w:firstLine="0"/>
              <w:jc w:val="center"/>
              <w:rPr>
                <w:rFonts w:ascii="Times New Roman" w:hAnsi="Times New Roman" w:cs="Times New Roman"/>
                <w:color w:val="000000"/>
                <w:kern w:val="0"/>
                <w:lang w:eastAsia="zh-CN" w:bidi="ar"/>
              </w:rPr>
            </w:pPr>
            <w:r>
              <w:rPr>
                <w:rFonts w:ascii="Times New Roman" w:hAnsi="Times New Roman" w:cs="Times New Roman"/>
                <w:spacing w:val="-2"/>
              </w:rPr>
              <w:t>氰化物</w:t>
            </w:r>
          </w:p>
        </w:tc>
        <w:tc>
          <w:tcPr>
            <w:tcW w:w="664" w:type="pct"/>
            <w:tcBorders>
              <w:tl2br w:val="nil"/>
              <w:tr2bl w:val="nil"/>
            </w:tcBorders>
            <w:vAlign w:val="center"/>
          </w:tcPr>
          <w:p w14:paraId="30B9702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0.002L</w:t>
            </w:r>
          </w:p>
        </w:tc>
        <w:tc>
          <w:tcPr>
            <w:tcW w:w="554" w:type="pct"/>
            <w:tcBorders>
              <w:tl2br w:val="nil"/>
              <w:tr2bl w:val="nil"/>
            </w:tcBorders>
            <w:vAlign w:val="center"/>
          </w:tcPr>
          <w:p w14:paraId="55106B9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0.002L</w:t>
            </w:r>
          </w:p>
        </w:tc>
        <w:tc>
          <w:tcPr>
            <w:tcW w:w="627" w:type="pct"/>
            <w:tcBorders>
              <w:tl2br w:val="nil"/>
              <w:tr2bl w:val="nil"/>
            </w:tcBorders>
            <w:vAlign w:val="center"/>
          </w:tcPr>
          <w:p w14:paraId="71FCA7D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0.002L</w:t>
            </w:r>
          </w:p>
        </w:tc>
        <w:tc>
          <w:tcPr>
            <w:tcW w:w="648" w:type="pct"/>
            <w:tcBorders>
              <w:tl2br w:val="nil"/>
              <w:tr2bl w:val="nil"/>
            </w:tcBorders>
            <w:vAlign w:val="center"/>
          </w:tcPr>
          <w:p w14:paraId="04BFEC7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0.002L</w:t>
            </w:r>
          </w:p>
        </w:tc>
        <w:tc>
          <w:tcPr>
            <w:tcW w:w="746" w:type="pct"/>
            <w:tcBorders>
              <w:tl2br w:val="nil"/>
              <w:tr2bl w:val="nil"/>
            </w:tcBorders>
            <w:vAlign w:val="center"/>
          </w:tcPr>
          <w:p w14:paraId="51DECFA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316C7A9F" w14:textId="77777777">
        <w:trPr>
          <w:cantSplit/>
          <w:trHeight w:val="397"/>
          <w:jc w:val="center"/>
        </w:trPr>
        <w:tc>
          <w:tcPr>
            <w:tcW w:w="765" w:type="pct"/>
            <w:vMerge/>
            <w:tcBorders>
              <w:tl2br w:val="nil"/>
              <w:tr2bl w:val="nil"/>
            </w:tcBorders>
          </w:tcPr>
          <w:p w14:paraId="664406C5"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5AC49E7D" w14:textId="77777777" w:rsidR="009D12AF" w:rsidRDefault="00000000">
            <w:pPr>
              <w:pStyle w:val="TableText"/>
              <w:ind w:firstLineChars="0" w:firstLine="0"/>
              <w:jc w:val="center"/>
              <w:rPr>
                <w:rFonts w:ascii="Times New Roman" w:hAnsi="Times New Roman" w:cs="Times New Roman"/>
                <w:color w:val="000000"/>
                <w:kern w:val="0"/>
                <w:lang w:eastAsia="zh-CN" w:bidi="ar"/>
              </w:rPr>
            </w:pPr>
            <w:r>
              <w:rPr>
                <w:rFonts w:ascii="Times New Roman" w:hAnsi="Times New Roman" w:cs="Times New Roman" w:hint="eastAsia"/>
                <w:color w:val="000000"/>
                <w:kern w:val="0"/>
                <w:lang w:eastAsia="zh-CN" w:bidi="ar"/>
              </w:rPr>
              <w:t>挥发酚</w:t>
            </w:r>
          </w:p>
        </w:tc>
        <w:tc>
          <w:tcPr>
            <w:tcW w:w="664" w:type="pct"/>
            <w:tcBorders>
              <w:tl2br w:val="nil"/>
              <w:tr2bl w:val="nil"/>
            </w:tcBorders>
            <w:vAlign w:val="center"/>
          </w:tcPr>
          <w:p w14:paraId="440102F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554" w:type="pct"/>
            <w:tcBorders>
              <w:tl2br w:val="nil"/>
              <w:tr2bl w:val="nil"/>
            </w:tcBorders>
            <w:vAlign w:val="center"/>
          </w:tcPr>
          <w:p w14:paraId="75DBAA9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627" w:type="pct"/>
            <w:tcBorders>
              <w:tl2br w:val="nil"/>
              <w:tr2bl w:val="nil"/>
            </w:tcBorders>
            <w:vAlign w:val="center"/>
          </w:tcPr>
          <w:p w14:paraId="072CACD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648" w:type="pct"/>
            <w:tcBorders>
              <w:tl2br w:val="nil"/>
              <w:tr2bl w:val="nil"/>
            </w:tcBorders>
            <w:vAlign w:val="center"/>
          </w:tcPr>
          <w:p w14:paraId="57F068B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746" w:type="pct"/>
            <w:tcBorders>
              <w:tl2br w:val="nil"/>
              <w:tr2bl w:val="nil"/>
            </w:tcBorders>
            <w:vAlign w:val="center"/>
          </w:tcPr>
          <w:p w14:paraId="3CEED4F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3C4CC33B" w14:textId="77777777">
        <w:trPr>
          <w:cantSplit/>
          <w:trHeight w:val="397"/>
          <w:jc w:val="center"/>
        </w:trPr>
        <w:tc>
          <w:tcPr>
            <w:tcW w:w="765" w:type="pct"/>
            <w:vMerge/>
            <w:tcBorders>
              <w:tl2br w:val="nil"/>
              <w:tr2bl w:val="nil"/>
            </w:tcBorders>
          </w:tcPr>
          <w:p w14:paraId="29A8E168"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4EDC1CBC"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砷</w:t>
            </w:r>
          </w:p>
        </w:tc>
        <w:tc>
          <w:tcPr>
            <w:tcW w:w="664" w:type="pct"/>
            <w:tcBorders>
              <w:tl2br w:val="nil"/>
              <w:tr2bl w:val="nil"/>
            </w:tcBorders>
            <w:vAlign w:val="center"/>
          </w:tcPr>
          <w:p w14:paraId="6D473CD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554" w:type="pct"/>
            <w:tcBorders>
              <w:tl2br w:val="nil"/>
              <w:tr2bl w:val="nil"/>
            </w:tcBorders>
            <w:vAlign w:val="center"/>
          </w:tcPr>
          <w:p w14:paraId="60F647E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627" w:type="pct"/>
            <w:tcBorders>
              <w:tl2br w:val="nil"/>
              <w:tr2bl w:val="nil"/>
            </w:tcBorders>
            <w:vAlign w:val="center"/>
          </w:tcPr>
          <w:p w14:paraId="6330E7C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648" w:type="pct"/>
            <w:tcBorders>
              <w:tl2br w:val="nil"/>
              <w:tr2bl w:val="nil"/>
            </w:tcBorders>
            <w:vAlign w:val="center"/>
          </w:tcPr>
          <w:p w14:paraId="66393B2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746" w:type="pct"/>
            <w:tcBorders>
              <w:tl2br w:val="nil"/>
              <w:tr2bl w:val="nil"/>
            </w:tcBorders>
            <w:vAlign w:val="center"/>
          </w:tcPr>
          <w:p w14:paraId="3C9F09E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442740B5" w14:textId="77777777">
        <w:trPr>
          <w:cantSplit/>
          <w:trHeight w:val="397"/>
          <w:jc w:val="center"/>
        </w:trPr>
        <w:tc>
          <w:tcPr>
            <w:tcW w:w="765" w:type="pct"/>
            <w:vMerge/>
            <w:tcBorders>
              <w:tl2br w:val="nil"/>
              <w:tr2bl w:val="nil"/>
            </w:tcBorders>
          </w:tcPr>
          <w:p w14:paraId="67EA8B1E"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2BE7F230"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汞</w:t>
            </w:r>
          </w:p>
        </w:tc>
        <w:tc>
          <w:tcPr>
            <w:tcW w:w="664" w:type="pct"/>
            <w:tcBorders>
              <w:tl2br w:val="nil"/>
              <w:tr2bl w:val="nil"/>
            </w:tcBorders>
            <w:vAlign w:val="center"/>
          </w:tcPr>
          <w:p w14:paraId="7C42F1A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554" w:type="pct"/>
            <w:tcBorders>
              <w:tl2br w:val="nil"/>
              <w:tr2bl w:val="nil"/>
            </w:tcBorders>
            <w:vAlign w:val="center"/>
          </w:tcPr>
          <w:p w14:paraId="2F3E7CA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627" w:type="pct"/>
            <w:tcBorders>
              <w:tl2br w:val="nil"/>
              <w:tr2bl w:val="nil"/>
            </w:tcBorders>
            <w:vAlign w:val="center"/>
          </w:tcPr>
          <w:p w14:paraId="0B41B20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648" w:type="pct"/>
            <w:tcBorders>
              <w:tl2br w:val="nil"/>
              <w:tr2bl w:val="nil"/>
            </w:tcBorders>
            <w:vAlign w:val="center"/>
          </w:tcPr>
          <w:p w14:paraId="725733F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746" w:type="pct"/>
            <w:tcBorders>
              <w:tl2br w:val="nil"/>
              <w:tr2bl w:val="nil"/>
            </w:tcBorders>
            <w:vAlign w:val="center"/>
          </w:tcPr>
          <w:p w14:paraId="167290B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72D7BE67" w14:textId="77777777">
        <w:trPr>
          <w:cantSplit/>
          <w:trHeight w:val="397"/>
          <w:jc w:val="center"/>
        </w:trPr>
        <w:tc>
          <w:tcPr>
            <w:tcW w:w="765" w:type="pct"/>
            <w:vMerge/>
            <w:tcBorders>
              <w:tl2br w:val="nil"/>
              <w:tr2bl w:val="nil"/>
            </w:tcBorders>
          </w:tcPr>
          <w:p w14:paraId="30EA3360"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23C1B8A0"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铬（六价）</w:t>
            </w:r>
          </w:p>
        </w:tc>
        <w:tc>
          <w:tcPr>
            <w:tcW w:w="664" w:type="pct"/>
            <w:tcBorders>
              <w:tl2br w:val="nil"/>
              <w:tr2bl w:val="nil"/>
            </w:tcBorders>
            <w:vAlign w:val="center"/>
          </w:tcPr>
          <w:p w14:paraId="59D4A84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554" w:type="pct"/>
            <w:tcBorders>
              <w:tl2br w:val="nil"/>
              <w:tr2bl w:val="nil"/>
            </w:tcBorders>
            <w:vAlign w:val="center"/>
          </w:tcPr>
          <w:p w14:paraId="4E491AB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627" w:type="pct"/>
            <w:tcBorders>
              <w:tl2br w:val="nil"/>
              <w:tr2bl w:val="nil"/>
            </w:tcBorders>
            <w:vAlign w:val="center"/>
          </w:tcPr>
          <w:p w14:paraId="6593A82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648" w:type="pct"/>
            <w:tcBorders>
              <w:tl2br w:val="nil"/>
              <w:tr2bl w:val="nil"/>
            </w:tcBorders>
            <w:vAlign w:val="center"/>
          </w:tcPr>
          <w:p w14:paraId="6CA7357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746" w:type="pct"/>
            <w:tcBorders>
              <w:tl2br w:val="nil"/>
              <w:tr2bl w:val="nil"/>
            </w:tcBorders>
            <w:vAlign w:val="center"/>
          </w:tcPr>
          <w:p w14:paraId="65BBDB4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138211E4" w14:textId="77777777">
        <w:trPr>
          <w:cantSplit/>
          <w:trHeight w:val="397"/>
          <w:jc w:val="center"/>
        </w:trPr>
        <w:tc>
          <w:tcPr>
            <w:tcW w:w="765" w:type="pct"/>
            <w:vMerge/>
            <w:tcBorders>
              <w:tl2br w:val="nil"/>
              <w:tr2bl w:val="nil"/>
            </w:tcBorders>
          </w:tcPr>
          <w:p w14:paraId="59B07B8A"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62803C5D"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镉</w:t>
            </w:r>
          </w:p>
        </w:tc>
        <w:tc>
          <w:tcPr>
            <w:tcW w:w="664" w:type="pct"/>
            <w:tcBorders>
              <w:tl2br w:val="nil"/>
              <w:tr2bl w:val="nil"/>
            </w:tcBorders>
            <w:vAlign w:val="center"/>
          </w:tcPr>
          <w:p w14:paraId="6C98B6D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0.0002</w:t>
            </w:r>
          </w:p>
        </w:tc>
        <w:tc>
          <w:tcPr>
            <w:tcW w:w="554" w:type="pct"/>
            <w:tcBorders>
              <w:tl2br w:val="nil"/>
              <w:tr2bl w:val="nil"/>
            </w:tcBorders>
            <w:vAlign w:val="center"/>
          </w:tcPr>
          <w:p w14:paraId="39AA538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627" w:type="pct"/>
            <w:tcBorders>
              <w:tl2br w:val="nil"/>
              <w:tr2bl w:val="nil"/>
            </w:tcBorders>
            <w:vAlign w:val="center"/>
          </w:tcPr>
          <w:p w14:paraId="5652652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648" w:type="pct"/>
            <w:tcBorders>
              <w:tl2br w:val="nil"/>
              <w:tr2bl w:val="nil"/>
            </w:tcBorders>
            <w:vAlign w:val="center"/>
          </w:tcPr>
          <w:p w14:paraId="31FED16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746" w:type="pct"/>
            <w:tcBorders>
              <w:tl2br w:val="nil"/>
              <w:tr2bl w:val="nil"/>
            </w:tcBorders>
            <w:vAlign w:val="center"/>
          </w:tcPr>
          <w:p w14:paraId="17B4F0A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56D1CC41" w14:textId="77777777">
        <w:trPr>
          <w:cantSplit/>
          <w:trHeight w:val="397"/>
          <w:jc w:val="center"/>
        </w:trPr>
        <w:tc>
          <w:tcPr>
            <w:tcW w:w="765" w:type="pct"/>
            <w:vMerge/>
            <w:tcBorders>
              <w:tl2br w:val="nil"/>
              <w:tr2bl w:val="nil"/>
            </w:tcBorders>
          </w:tcPr>
          <w:p w14:paraId="7FF500A9"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7527535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铅</w:t>
            </w:r>
          </w:p>
        </w:tc>
        <w:tc>
          <w:tcPr>
            <w:tcW w:w="664" w:type="pct"/>
            <w:tcBorders>
              <w:tl2br w:val="nil"/>
              <w:tr2bl w:val="nil"/>
            </w:tcBorders>
            <w:vAlign w:val="center"/>
          </w:tcPr>
          <w:p w14:paraId="00B646A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554" w:type="pct"/>
            <w:tcBorders>
              <w:tl2br w:val="nil"/>
              <w:tr2bl w:val="nil"/>
            </w:tcBorders>
            <w:vAlign w:val="center"/>
          </w:tcPr>
          <w:p w14:paraId="6BC0E76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627" w:type="pct"/>
            <w:tcBorders>
              <w:tl2br w:val="nil"/>
              <w:tr2bl w:val="nil"/>
            </w:tcBorders>
            <w:vAlign w:val="center"/>
          </w:tcPr>
          <w:p w14:paraId="627A54D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648" w:type="pct"/>
            <w:tcBorders>
              <w:tl2br w:val="nil"/>
              <w:tr2bl w:val="nil"/>
            </w:tcBorders>
            <w:vAlign w:val="center"/>
          </w:tcPr>
          <w:p w14:paraId="0A160CE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746" w:type="pct"/>
            <w:tcBorders>
              <w:tl2br w:val="nil"/>
              <w:tr2bl w:val="nil"/>
            </w:tcBorders>
            <w:vAlign w:val="center"/>
          </w:tcPr>
          <w:p w14:paraId="0AFAE93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2D069ED9" w14:textId="77777777">
        <w:trPr>
          <w:cantSplit/>
          <w:trHeight w:val="397"/>
          <w:jc w:val="center"/>
        </w:trPr>
        <w:tc>
          <w:tcPr>
            <w:tcW w:w="765" w:type="pct"/>
            <w:vMerge/>
            <w:tcBorders>
              <w:tl2br w:val="nil"/>
              <w:tr2bl w:val="nil"/>
            </w:tcBorders>
          </w:tcPr>
          <w:p w14:paraId="4995BB52"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10400D3D"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铁</w:t>
            </w:r>
          </w:p>
        </w:tc>
        <w:tc>
          <w:tcPr>
            <w:tcW w:w="664" w:type="pct"/>
            <w:tcBorders>
              <w:tl2br w:val="nil"/>
              <w:tr2bl w:val="nil"/>
            </w:tcBorders>
            <w:vAlign w:val="center"/>
          </w:tcPr>
          <w:p w14:paraId="0448857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0.03L</w:t>
            </w:r>
          </w:p>
        </w:tc>
        <w:tc>
          <w:tcPr>
            <w:tcW w:w="554" w:type="pct"/>
            <w:tcBorders>
              <w:tl2br w:val="nil"/>
              <w:tr2bl w:val="nil"/>
            </w:tcBorders>
            <w:vAlign w:val="center"/>
          </w:tcPr>
          <w:p w14:paraId="6D35422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0.03L</w:t>
            </w:r>
          </w:p>
        </w:tc>
        <w:tc>
          <w:tcPr>
            <w:tcW w:w="627" w:type="pct"/>
            <w:tcBorders>
              <w:tl2br w:val="nil"/>
              <w:tr2bl w:val="nil"/>
            </w:tcBorders>
            <w:vAlign w:val="center"/>
          </w:tcPr>
          <w:p w14:paraId="2F37D22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0.03L</w:t>
            </w:r>
          </w:p>
        </w:tc>
        <w:tc>
          <w:tcPr>
            <w:tcW w:w="648" w:type="pct"/>
            <w:tcBorders>
              <w:tl2br w:val="nil"/>
              <w:tr2bl w:val="nil"/>
            </w:tcBorders>
            <w:vAlign w:val="center"/>
          </w:tcPr>
          <w:p w14:paraId="0B85B89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0.03L</w:t>
            </w:r>
          </w:p>
        </w:tc>
        <w:tc>
          <w:tcPr>
            <w:tcW w:w="746" w:type="pct"/>
            <w:tcBorders>
              <w:tl2br w:val="nil"/>
              <w:tr2bl w:val="nil"/>
            </w:tcBorders>
            <w:vAlign w:val="center"/>
          </w:tcPr>
          <w:p w14:paraId="24069EC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3A256801" w14:textId="77777777">
        <w:trPr>
          <w:cantSplit/>
          <w:trHeight w:val="397"/>
          <w:jc w:val="center"/>
        </w:trPr>
        <w:tc>
          <w:tcPr>
            <w:tcW w:w="765" w:type="pct"/>
            <w:vMerge/>
            <w:tcBorders>
              <w:tl2br w:val="nil"/>
              <w:tr2bl w:val="nil"/>
            </w:tcBorders>
          </w:tcPr>
          <w:p w14:paraId="7208C126"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54E6B23C"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锰</w:t>
            </w:r>
          </w:p>
        </w:tc>
        <w:tc>
          <w:tcPr>
            <w:tcW w:w="664" w:type="pct"/>
            <w:tcBorders>
              <w:tl2br w:val="nil"/>
              <w:tr2bl w:val="nil"/>
            </w:tcBorders>
            <w:vAlign w:val="center"/>
          </w:tcPr>
          <w:p w14:paraId="3150832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554" w:type="pct"/>
            <w:tcBorders>
              <w:tl2br w:val="nil"/>
              <w:tr2bl w:val="nil"/>
            </w:tcBorders>
            <w:vAlign w:val="center"/>
          </w:tcPr>
          <w:p w14:paraId="78C3994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627" w:type="pct"/>
            <w:tcBorders>
              <w:tl2br w:val="nil"/>
              <w:tr2bl w:val="nil"/>
            </w:tcBorders>
            <w:vAlign w:val="center"/>
          </w:tcPr>
          <w:p w14:paraId="02DCF2A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648" w:type="pct"/>
            <w:tcBorders>
              <w:tl2br w:val="nil"/>
              <w:tr2bl w:val="nil"/>
            </w:tcBorders>
            <w:vAlign w:val="center"/>
          </w:tcPr>
          <w:p w14:paraId="71565FE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0.01L</w:t>
            </w:r>
          </w:p>
        </w:tc>
        <w:tc>
          <w:tcPr>
            <w:tcW w:w="746" w:type="pct"/>
            <w:tcBorders>
              <w:tl2br w:val="nil"/>
              <w:tr2bl w:val="nil"/>
            </w:tcBorders>
            <w:vAlign w:val="center"/>
          </w:tcPr>
          <w:p w14:paraId="19AA6D0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18F76002" w14:textId="77777777">
        <w:trPr>
          <w:cantSplit/>
          <w:trHeight w:val="397"/>
          <w:jc w:val="center"/>
        </w:trPr>
        <w:tc>
          <w:tcPr>
            <w:tcW w:w="765" w:type="pct"/>
            <w:vMerge/>
            <w:tcBorders>
              <w:tl2br w:val="nil"/>
              <w:tr2bl w:val="nil"/>
            </w:tcBorders>
          </w:tcPr>
          <w:p w14:paraId="4813CC9F"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3A9DDCEF"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高锰酸盐指数</w:t>
            </w:r>
          </w:p>
        </w:tc>
        <w:tc>
          <w:tcPr>
            <w:tcW w:w="664" w:type="pct"/>
            <w:tcBorders>
              <w:tl2br w:val="nil"/>
              <w:tr2bl w:val="nil"/>
            </w:tcBorders>
            <w:vAlign w:val="center"/>
          </w:tcPr>
          <w:p w14:paraId="5531894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0.5</w:t>
            </w:r>
          </w:p>
        </w:tc>
        <w:tc>
          <w:tcPr>
            <w:tcW w:w="554" w:type="pct"/>
            <w:tcBorders>
              <w:tl2br w:val="nil"/>
              <w:tr2bl w:val="nil"/>
            </w:tcBorders>
            <w:vAlign w:val="center"/>
          </w:tcPr>
          <w:p w14:paraId="686B409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0.7</w:t>
            </w:r>
          </w:p>
        </w:tc>
        <w:tc>
          <w:tcPr>
            <w:tcW w:w="627" w:type="pct"/>
            <w:tcBorders>
              <w:tl2br w:val="nil"/>
              <w:tr2bl w:val="nil"/>
            </w:tcBorders>
            <w:vAlign w:val="center"/>
          </w:tcPr>
          <w:p w14:paraId="75994FE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0.9</w:t>
            </w:r>
          </w:p>
        </w:tc>
        <w:tc>
          <w:tcPr>
            <w:tcW w:w="648" w:type="pct"/>
            <w:tcBorders>
              <w:tl2br w:val="nil"/>
              <w:tr2bl w:val="nil"/>
            </w:tcBorders>
            <w:vAlign w:val="center"/>
          </w:tcPr>
          <w:p w14:paraId="159BE8A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w:t>
            </w:r>
          </w:p>
        </w:tc>
        <w:tc>
          <w:tcPr>
            <w:tcW w:w="746" w:type="pct"/>
            <w:tcBorders>
              <w:tl2br w:val="nil"/>
              <w:tr2bl w:val="nil"/>
            </w:tcBorders>
            <w:vAlign w:val="center"/>
          </w:tcPr>
          <w:p w14:paraId="19381E8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3E328C30" w14:textId="77777777">
        <w:trPr>
          <w:cantSplit/>
          <w:trHeight w:val="397"/>
          <w:jc w:val="center"/>
        </w:trPr>
        <w:tc>
          <w:tcPr>
            <w:tcW w:w="765" w:type="pct"/>
            <w:vMerge/>
            <w:tcBorders>
              <w:tl2br w:val="nil"/>
              <w:tr2bl w:val="nil"/>
            </w:tcBorders>
          </w:tcPr>
          <w:p w14:paraId="652AED17"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3AD66652"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总大肠菌群</w:t>
            </w:r>
          </w:p>
        </w:tc>
        <w:tc>
          <w:tcPr>
            <w:tcW w:w="664" w:type="pct"/>
            <w:tcBorders>
              <w:tl2br w:val="nil"/>
              <w:tr2bl w:val="nil"/>
            </w:tcBorders>
            <w:vAlign w:val="center"/>
          </w:tcPr>
          <w:p w14:paraId="4E201EE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&lt;2</w:t>
            </w:r>
          </w:p>
        </w:tc>
        <w:tc>
          <w:tcPr>
            <w:tcW w:w="554" w:type="pct"/>
            <w:tcBorders>
              <w:tl2br w:val="nil"/>
              <w:tr2bl w:val="nil"/>
            </w:tcBorders>
            <w:vAlign w:val="center"/>
          </w:tcPr>
          <w:p w14:paraId="414E1F7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&lt;2</w:t>
            </w:r>
          </w:p>
        </w:tc>
        <w:tc>
          <w:tcPr>
            <w:tcW w:w="627" w:type="pct"/>
            <w:tcBorders>
              <w:tl2br w:val="nil"/>
              <w:tr2bl w:val="nil"/>
            </w:tcBorders>
            <w:vAlign w:val="center"/>
          </w:tcPr>
          <w:p w14:paraId="6D1AF89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&lt;2</w:t>
            </w:r>
          </w:p>
        </w:tc>
        <w:tc>
          <w:tcPr>
            <w:tcW w:w="648" w:type="pct"/>
            <w:tcBorders>
              <w:tl2br w:val="nil"/>
              <w:tr2bl w:val="nil"/>
            </w:tcBorders>
            <w:vAlign w:val="center"/>
          </w:tcPr>
          <w:p w14:paraId="3EC0A90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&lt;2</w:t>
            </w:r>
          </w:p>
        </w:tc>
        <w:tc>
          <w:tcPr>
            <w:tcW w:w="746" w:type="pct"/>
            <w:tcBorders>
              <w:tl2br w:val="nil"/>
              <w:tr2bl w:val="nil"/>
            </w:tcBorders>
            <w:vAlign w:val="center"/>
          </w:tcPr>
          <w:p w14:paraId="0022480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MPN</w:t>
            </w:r>
            <w:r>
              <w:rPr>
                <w:rFonts w:ascii="Times New Roman" w:hAnsi="Times New Roman" w:cs="Times New Roman"/>
                <w:sz w:val="21"/>
                <w:szCs w:val="21"/>
              </w:rPr>
              <w:t>/</w:t>
            </w:r>
            <w:r>
              <w:rPr>
                <w:rFonts w:ascii="Times New Roman" w:hAnsi="Times New Roman" w:cs="Times New Roman" w:hint="eastAsia"/>
                <w:sz w:val="21"/>
                <w:szCs w:val="21"/>
              </w:rPr>
              <w:t>100mL</w:t>
            </w:r>
          </w:p>
        </w:tc>
      </w:tr>
      <w:tr w:rsidR="009D12AF" w14:paraId="3E91C445" w14:textId="77777777">
        <w:trPr>
          <w:cantSplit/>
          <w:trHeight w:val="397"/>
          <w:jc w:val="center"/>
        </w:trPr>
        <w:tc>
          <w:tcPr>
            <w:tcW w:w="765" w:type="pct"/>
            <w:vMerge/>
            <w:tcBorders>
              <w:tl2br w:val="nil"/>
              <w:tr2bl w:val="nil"/>
            </w:tcBorders>
          </w:tcPr>
          <w:p w14:paraId="3438DE23"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04AEBEA2"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细菌总数</w:t>
            </w:r>
          </w:p>
        </w:tc>
        <w:tc>
          <w:tcPr>
            <w:tcW w:w="664" w:type="pct"/>
            <w:tcBorders>
              <w:tl2br w:val="nil"/>
              <w:tr2bl w:val="nil"/>
            </w:tcBorders>
            <w:vAlign w:val="center"/>
          </w:tcPr>
          <w:p w14:paraId="3ED3FF2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75</w:t>
            </w:r>
          </w:p>
        </w:tc>
        <w:tc>
          <w:tcPr>
            <w:tcW w:w="554" w:type="pct"/>
            <w:tcBorders>
              <w:tl2br w:val="nil"/>
              <w:tr2bl w:val="nil"/>
            </w:tcBorders>
            <w:vAlign w:val="center"/>
          </w:tcPr>
          <w:p w14:paraId="65EF6A4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83</w:t>
            </w:r>
          </w:p>
        </w:tc>
        <w:tc>
          <w:tcPr>
            <w:tcW w:w="627" w:type="pct"/>
            <w:tcBorders>
              <w:tl2br w:val="nil"/>
              <w:tr2bl w:val="nil"/>
            </w:tcBorders>
            <w:vAlign w:val="center"/>
          </w:tcPr>
          <w:p w14:paraId="2CCC349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62</w:t>
            </w:r>
          </w:p>
        </w:tc>
        <w:tc>
          <w:tcPr>
            <w:tcW w:w="648" w:type="pct"/>
            <w:tcBorders>
              <w:tl2br w:val="nil"/>
              <w:tr2bl w:val="nil"/>
            </w:tcBorders>
            <w:vAlign w:val="center"/>
          </w:tcPr>
          <w:p w14:paraId="3109D9F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58</w:t>
            </w:r>
          </w:p>
        </w:tc>
        <w:tc>
          <w:tcPr>
            <w:tcW w:w="746" w:type="pct"/>
            <w:tcBorders>
              <w:tl2br w:val="nil"/>
              <w:tr2bl w:val="nil"/>
            </w:tcBorders>
            <w:vAlign w:val="center"/>
          </w:tcPr>
          <w:p w14:paraId="61FCE95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CFU/mL</w:t>
            </w:r>
          </w:p>
        </w:tc>
      </w:tr>
      <w:tr w:rsidR="009D12AF" w14:paraId="0784C3DD" w14:textId="77777777">
        <w:trPr>
          <w:cantSplit/>
          <w:trHeight w:val="397"/>
          <w:jc w:val="center"/>
        </w:trPr>
        <w:tc>
          <w:tcPr>
            <w:tcW w:w="765" w:type="pct"/>
            <w:vMerge/>
            <w:tcBorders>
              <w:tl2br w:val="nil"/>
              <w:tr2bl w:val="nil"/>
            </w:tcBorders>
          </w:tcPr>
          <w:p w14:paraId="79234DF9"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5A73518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氯化物</w:t>
            </w:r>
          </w:p>
        </w:tc>
        <w:tc>
          <w:tcPr>
            <w:tcW w:w="664" w:type="pct"/>
            <w:tcBorders>
              <w:tl2br w:val="nil"/>
              <w:tr2bl w:val="nil"/>
            </w:tcBorders>
            <w:vAlign w:val="center"/>
          </w:tcPr>
          <w:p w14:paraId="150B7C7D"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22.8</w:t>
            </w:r>
          </w:p>
        </w:tc>
        <w:tc>
          <w:tcPr>
            <w:tcW w:w="554" w:type="pct"/>
            <w:tcBorders>
              <w:tl2br w:val="nil"/>
              <w:tr2bl w:val="nil"/>
            </w:tcBorders>
            <w:vAlign w:val="center"/>
          </w:tcPr>
          <w:p w14:paraId="74B39615" w14:textId="77777777" w:rsidR="009D12AF" w:rsidRDefault="00000000">
            <w:pPr>
              <w:widowControl/>
              <w:spacing w:line="240" w:lineRule="exact"/>
              <w:ind w:firstLineChars="0" w:firstLine="0"/>
              <w:jc w:val="center"/>
              <w:rPr>
                <w:rFonts w:ascii="Times New Roman" w:eastAsia="宋体" w:hAnsi="Times New Roman" w:cs="Times New Roman"/>
                <w:color w:val="00B050"/>
                <w:sz w:val="21"/>
                <w:szCs w:val="21"/>
                <w:highlight w:val="yellow"/>
              </w:rPr>
            </w:pPr>
            <w:r>
              <w:rPr>
                <w:rFonts w:ascii="Times New Roman" w:hAnsi="Times New Roman" w:cs="Times New Roman" w:hint="eastAsia"/>
                <w:sz w:val="21"/>
                <w:szCs w:val="21"/>
              </w:rPr>
              <w:t>8.17</w:t>
            </w:r>
          </w:p>
        </w:tc>
        <w:tc>
          <w:tcPr>
            <w:tcW w:w="627" w:type="pct"/>
            <w:tcBorders>
              <w:tl2br w:val="nil"/>
              <w:tr2bl w:val="nil"/>
            </w:tcBorders>
            <w:vAlign w:val="center"/>
          </w:tcPr>
          <w:p w14:paraId="28919931" w14:textId="77777777" w:rsidR="009D12AF" w:rsidRDefault="00000000">
            <w:pPr>
              <w:widowControl/>
              <w:spacing w:line="240" w:lineRule="exact"/>
              <w:ind w:firstLineChars="0" w:firstLine="0"/>
              <w:jc w:val="center"/>
              <w:rPr>
                <w:rFonts w:ascii="Times New Roman" w:eastAsia="宋体" w:hAnsi="Times New Roman" w:cs="Times New Roman"/>
                <w:color w:val="00B050"/>
                <w:sz w:val="21"/>
                <w:szCs w:val="21"/>
                <w:highlight w:val="yellow"/>
              </w:rPr>
            </w:pPr>
            <w:r>
              <w:rPr>
                <w:rFonts w:ascii="Times New Roman" w:hAnsi="Times New Roman" w:cs="Times New Roman" w:hint="eastAsia"/>
                <w:sz w:val="21"/>
                <w:szCs w:val="21"/>
              </w:rPr>
              <w:t>13.6</w:t>
            </w:r>
          </w:p>
        </w:tc>
        <w:tc>
          <w:tcPr>
            <w:tcW w:w="648" w:type="pct"/>
            <w:tcBorders>
              <w:tl2br w:val="nil"/>
              <w:tr2bl w:val="nil"/>
            </w:tcBorders>
            <w:vAlign w:val="center"/>
          </w:tcPr>
          <w:p w14:paraId="74AEC67D" w14:textId="77777777" w:rsidR="009D12AF" w:rsidRDefault="00000000">
            <w:pPr>
              <w:widowControl/>
              <w:spacing w:line="240" w:lineRule="exact"/>
              <w:ind w:firstLineChars="0" w:firstLine="0"/>
              <w:jc w:val="center"/>
              <w:rPr>
                <w:rFonts w:ascii="Times New Roman" w:eastAsia="宋体" w:hAnsi="Times New Roman" w:cs="Times New Roman"/>
                <w:color w:val="00B050"/>
                <w:sz w:val="21"/>
                <w:szCs w:val="21"/>
                <w:highlight w:val="yellow"/>
              </w:rPr>
            </w:pPr>
            <w:r>
              <w:rPr>
                <w:rFonts w:ascii="Times New Roman" w:hAnsi="Times New Roman" w:cs="Times New Roman" w:hint="eastAsia"/>
                <w:sz w:val="21"/>
                <w:szCs w:val="21"/>
              </w:rPr>
              <w:t>6.10</w:t>
            </w:r>
          </w:p>
        </w:tc>
        <w:tc>
          <w:tcPr>
            <w:tcW w:w="746" w:type="pct"/>
            <w:tcBorders>
              <w:tl2br w:val="nil"/>
              <w:tr2bl w:val="nil"/>
            </w:tcBorders>
            <w:vAlign w:val="center"/>
          </w:tcPr>
          <w:p w14:paraId="7001938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4C5BE34F" w14:textId="77777777">
        <w:trPr>
          <w:cantSplit/>
          <w:trHeight w:val="397"/>
          <w:jc w:val="center"/>
        </w:trPr>
        <w:tc>
          <w:tcPr>
            <w:tcW w:w="765" w:type="pct"/>
            <w:vMerge/>
            <w:tcBorders>
              <w:tl2br w:val="nil"/>
              <w:tr2bl w:val="nil"/>
            </w:tcBorders>
          </w:tcPr>
          <w:p w14:paraId="0B5A9C7A"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2E31A7B9"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硫酸盐</w:t>
            </w:r>
          </w:p>
        </w:tc>
        <w:tc>
          <w:tcPr>
            <w:tcW w:w="664" w:type="pct"/>
            <w:tcBorders>
              <w:tl2br w:val="nil"/>
              <w:tr2bl w:val="nil"/>
            </w:tcBorders>
            <w:vAlign w:val="center"/>
          </w:tcPr>
          <w:p w14:paraId="41FC2EE9" w14:textId="77777777" w:rsidR="009D12AF" w:rsidRDefault="00000000">
            <w:pPr>
              <w:widowControl/>
              <w:spacing w:line="240" w:lineRule="exact"/>
              <w:ind w:firstLineChars="0" w:firstLine="0"/>
              <w:jc w:val="center"/>
              <w:rPr>
                <w:rFonts w:ascii="Times New Roman" w:eastAsia="宋体" w:hAnsi="Times New Roman" w:cs="Times New Roman"/>
                <w:sz w:val="21"/>
                <w:szCs w:val="21"/>
                <w:highlight w:val="yellow"/>
              </w:rPr>
            </w:pPr>
            <w:r>
              <w:rPr>
                <w:rFonts w:ascii="Times New Roman" w:hAnsi="Times New Roman" w:cs="Times New Roman" w:hint="eastAsia"/>
                <w:sz w:val="21"/>
                <w:szCs w:val="21"/>
              </w:rPr>
              <w:t>20.8</w:t>
            </w:r>
          </w:p>
        </w:tc>
        <w:tc>
          <w:tcPr>
            <w:tcW w:w="554" w:type="pct"/>
            <w:tcBorders>
              <w:tl2br w:val="nil"/>
              <w:tr2bl w:val="nil"/>
            </w:tcBorders>
            <w:vAlign w:val="center"/>
          </w:tcPr>
          <w:p w14:paraId="02A07E29" w14:textId="77777777" w:rsidR="009D12AF" w:rsidRDefault="00000000">
            <w:pPr>
              <w:widowControl/>
              <w:spacing w:line="240" w:lineRule="exact"/>
              <w:ind w:firstLineChars="0" w:firstLine="0"/>
              <w:jc w:val="center"/>
              <w:rPr>
                <w:rFonts w:ascii="Times New Roman" w:eastAsia="宋体" w:hAnsi="Times New Roman" w:cs="Times New Roman"/>
                <w:color w:val="00B050"/>
                <w:sz w:val="21"/>
                <w:szCs w:val="21"/>
                <w:highlight w:val="yellow"/>
              </w:rPr>
            </w:pPr>
            <w:r>
              <w:rPr>
                <w:rFonts w:ascii="Times New Roman" w:hAnsi="Times New Roman" w:cs="Times New Roman" w:hint="eastAsia"/>
                <w:sz w:val="21"/>
                <w:szCs w:val="21"/>
              </w:rPr>
              <w:t>15.8</w:t>
            </w:r>
          </w:p>
        </w:tc>
        <w:tc>
          <w:tcPr>
            <w:tcW w:w="627" w:type="pct"/>
            <w:tcBorders>
              <w:tl2br w:val="nil"/>
              <w:tr2bl w:val="nil"/>
            </w:tcBorders>
            <w:vAlign w:val="center"/>
          </w:tcPr>
          <w:p w14:paraId="62149261" w14:textId="77777777" w:rsidR="009D12AF" w:rsidRDefault="00000000">
            <w:pPr>
              <w:widowControl/>
              <w:spacing w:line="240" w:lineRule="exact"/>
              <w:ind w:firstLineChars="0" w:firstLine="0"/>
              <w:jc w:val="center"/>
              <w:rPr>
                <w:rFonts w:ascii="Times New Roman" w:eastAsia="宋体" w:hAnsi="Times New Roman" w:cs="Times New Roman"/>
                <w:color w:val="00B050"/>
                <w:sz w:val="21"/>
                <w:szCs w:val="21"/>
                <w:highlight w:val="yellow"/>
              </w:rPr>
            </w:pPr>
            <w:r>
              <w:rPr>
                <w:rFonts w:ascii="Times New Roman" w:hAnsi="Times New Roman" w:cs="Times New Roman" w:hint="eastAsia"/>
                <w:sz w:val="21"/>
                <w:szCs w:val="21"/>
              </w:rPr>
              <w:t>6.91</w:t>
            </w:r>
          </w:p>
        </w:tc>
        <w:tc>
          <w:tcPr>
            <w:tcW w:w="648" w:type="pct"/>
            <w:tcBorders>
              <w:tl2br w:val="nil"/>
              <w:tr2bl w:val="nil"/>
            </w:tcBorders>
            <w:vAlign w:val="center"/>
          </w:tcPr>
          <w:p w14:paraId="4A4088E1" w14:textId="77777777" w:rsidR="009D12AF" w:rsidRDefault="00000000">
            <w:pPr>
              <w:widowControl/>
              <w:spacing w:line="240" w:lineRule="exact"/>
              <w:ind w:firstLineChars="0" w:firstLine="0"/>
              <w:jc w:val="center"/>
              <w:rPr>
                <w:rFonts w:ascii="Times New Roman" w:eastAsia="宋体" w:hAnsi="Times New Roman" w:cs="Times New Roman"/>
                <w:color w:val="00B050"/>
                <w:sz w:val="21"/>
                <w:szCs w:val="21"/>
                <w:highlight w:val="yellow"/>
              </w:rPr>
            </w:pPr>
            <w:r>
              <w:rPr>
                <w:rFonts w:ascii="Times New Roman" w:hAnsi="Times New Roman" w:cs="Times New Roman" w:hint="eastAsia"/>
                <w:sz w:val="21"/>
                <w:szCs w:val="21"/>
              </w:rPr>
              <w:t>9.83</w:t>
            </w:r>
          </w:p>
        </w:tc>
        <w:tc>
          <w:tcPr>
            <w:tcW w:w="746" w:type="pct"/>
            <w:tcBorders>
              <w:tl2br w:val="nil"/>
              <w:tr2bl w:val="nil"/>
            </w:tcBorders>
            <w:vAlign w:val="center"/>
          </w:tcPr>
          <w:p w14:paraId="28CFF0F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bl>
    <w:p w14:paraId="7C2C34A6" w14:textId="77777777" w:rsidR="009D12AF" w:rsidRDefault="00000000">
      <w:pPr>
        <w:ind w:firstLine="482"/>
        <w:jc w:val="center"/>
        <w:rPr>
          <w:b/>
          <w:bCs/>
        </w:rPr>
      </w:pPr>
      <w:r>
        <w:rPr>
          <w:rFonts w:hint="eastAsia"/>
          <w:b/>
          <w:bCs/>
        </w:rPr>
        <w:t>表</w:t>
      </w:r>
      <w:r>
        <w:rPr>
          <w:rFonts w:hint="eastAsia"/>
          <w:b/>
          <w:bCs/>
        </w:rPr>
        <w:t>4.3-19</w:t>
      </w:r>
      <w:r>
        <w:rPr>
          <w:rFonts w:hint="eastAsia"/>
          <w:b/>
          <w:bCs/>
        </w:rPr>
        <w:t>向阳水电站前池地下水环境现状监测结果统计表</w:t>
      </w:r>
    </w:p>
    <w:tbl>
      <w:tblPr>
        <w:tblW w:w="4997" w:type="pct"/>
        <w:jc w:val="center"/>
        <w:tblBorders>
          <w:top w:val="single" w:sz="12" w:space="0" w:color="auto"/>
          <w:bottom w:val="single" w:sz="12" w:space="0" w:color="auto"/>
          <w:insideH w:val="single" w:sz="8" w:space="0" w:color="auto"/>
          <w:insideV w:val="single" w:sz="8" w:space="0" w:color="auto"/>
        </w:tblBorders>
        <w:tblLook w:val="04A0" w:firstRow="1" w:lastRow="0" w:firstColumn="1" w:lastColumn="0" w:noHBand="0" w:noVBand="1"/>
      </w:tblPr>
      <w:tblGrid>
        <w:gridCol w:w="1273"/>
        <w:gridCol w:w="1662"/>
        <w:gridCol w:w="1102"/>
        <w:gridCol w:w="1027"/>
        <w:gridCol w:w="1039"/>
        <w:gridCol w:w="1077"/>
        <w:gridCol w:w="1337"/>
      </w:tblGrid>
      <w:tr w:rsidR="009D12AF" w14:paraId="5340173C" w14:textId="77777777">
        <w:trPr>
          <w:cantSplit/>
          <w:trHeight w:val="397"/>
          <w:jc w:val="center"/>
        </w:trPr>
        <w:tc>
          <w:tcPr>
            <w:tcW w:w="765" w:type="pct"/>
            <w:vMerge w:val="restart"/>
            <w:tcBorders>
              <w:tl2br w:val="nil"/>
              <w:tr2bl w:val="nil"/>
            </w:tcBorders>
            <w:vAlign w:val="center"/>
          </w:tcPr>
          <w:p w14:paraId="46ECB42C" w14:textId="77777777" w:rsidR="009D12AF" w:rsidRDefault="00000000">
            <w:pPr>
              <w:spacing w:line="240" w:lineRule="exact"/>
              <w:ind w:firstLineChars="0" w:firstLine="0"/>
              <w:jc w:val="center"/>
              <w:rPr>
                <w:rFonts w:ascii="Times New Roman" w:hAnsi="Times New Roman" w:cs="Times New Roman"/>
                <w:b/>
                <w:bCs/>
                <w:color w:val="000000"/>
                <w:kern w:val="0"/>
                <w:sz w:val="21"/>
                <w:szCs w:val="21"/>
              </w:rPr>
            </w:pPr>
            <w:r>
              <w:rPr>
                <w:rFonts w:ascii="Times New Roman" w:hAnsi="Times New Roman" w:cs="Times New Roman"/>
                <w:b/>
                <w:bCs/>
                <w:color w:val="000000"/>
                <w:kern w:val="0"/>
                <w:sz w:val="21"/>
                <w:szCs w:val="21"/>
              </w:rPr>
              <w:t>采样日期</w:t>
            </w:r>
          </w:p>
        </w:tc>
        <w:tc>
          <w:tcPr>
            <w:tcW w:w="993" w:type="pct"/>
            <w:tcBorders>
              <w:tl2br w:val="nil"/>
              <w:tr2bl w:val="nil"/>
            </w:tcBorders>
            <w:vAlign w:val="center"/>
          </w:tcPr>
          <w:p w14:paraId="01C8DD2C" w14:textId="77777777" w:rsidR="009D12AF" w:rsidRDefault="00000000">
            <w:pPr>
              <w:spacing w:line="240" w:lineRule="exact"/>
              <w:ind w:firstLineChars="0" w:firstLine="0"/>
              <w:jc w:val="center"/>
              <w:rPr>
                <w:rFonts w:ascii="Times New Roman" w:hAnsi="Times New Roman" w:cs="Times New Roman"/>
                <w:b/>
                <w:bCs/>
                <w:color w:val="000000"/>
                <w:kern w:val="0"/>
                <w:sz w:val="21"/>
                <w:szCs w:val="21"/>
              </w:rPr>
            </w:pPr>
            <w:r>
              <w:rPr>
                <w:rFonts w:ascii="Times New Roman" w:hAnsi="Times New Roman" w:cs="Times New Roman"/>
                <w:b/>
                <w:bCs/>
                <w:color w:val="000000"/>
                <w:kern w:val="0"/>
                <w:sz w:val="21"/>
                <w:szCs w:val="21"/>
              </w:rPr>
              <w:t>检测点位</w:t>
            </w:r>
          </w:p>
        </w:tc>
        <w:tc>
          <w:tcPr>
            <w:tcW w:w="664" w:type="pct"/>
            <w:tcBorders>
              <w:tl2br w:val="nil"/>
              <w:tr2bl w:val="nil"/>
            </w:tcBorders>
            <w:vAlign w:val="center"/>
          </w:tcPr>
          <w:p w14:paraId="11D984A7" w14:textId="77777777" w:rsidR="009D12AF" w:rsidRDefault="00000000">
            <w:pPr>
              <w:spacing w:line="240" w:lineRule="exact"/>
              <w:ind w:firstLineChars="0" w:firstLine="0"/>
              <w:jc w:val="center"/>
              <w:rPr>
                <w:rFonts w:ascii="Times New Roman" w:hAnsi="Times New Roman" w:cs="Times New Roman"/>
                <w:b/>
                <w:bCs/>
                <w:color w:val="000000"/>
                <w:kern w:val="0"/>
                <w:sz w:val="21"/>
                <w:szCs w:val="21"/>
              </w:rPr>
            </w:pPr>
            <w:r>
              <w:rPr>
                <w:rFonts w:ascii="Times New Roman" w:hAnsi="Times New Roman" w:cs="Times New Roman"/>
                <w:b/>
                <w:bCs/>
                <w:sz w:val="21"/>
                <w:szCs w:val="21"/>
              </w:rPr>
              <w:t>1#</w:t>
            </w:r>
          </w:p>
        </w:tc>
        <w:tc>
          <w:tcPr>
            <w:tcW w:w="554" w:type="pct"/>
            <w:tcBorders>
              <w:tl2br w:val="nil"/>
              <w:tr2bl w:val="nil"/>
            </w:tcBorders>
            <w:vAlign w:val="center"/>
          </w:tcPr>
          <w:p w14:paraId="60C2BFD4" w14:textId="77777777" w:rsidR="009D12AF" w:rsidRDefault="00000000">
            <w:pPr>
              <w:spacing w:line="240" w:lineRule="exact"/>
              <w:ind w:firstLineChars="0" w:firstLine="0"/>
              <w:jc w:val="center"/>
              <w:rPr>
                <w:rFonts w:ascii="Times New Roman" w:hAnsi="Times New Roman" w:cs="Times New Roman"/>
                <w:b/>
                <w:bCs/>
                <w:color w:val="000000"/>
                <w:kern w:val="0"/>
                <w:sz w:val="21"/>
                <w:szCs w:val="21"/>
              </w:rPr>
            </w:pPr>
            <w:r>
              <w:rPr>
                <w:rFonts w:ascii="Times New Roman" w:hAnsi="Times New Roman" w:cs="Times New Roman" w:hint="eastAsia"/>
                <w:b/>
                <w:bCs/>
                <w:color w:val="000000"/>
                <w:kern w:val="0"/>
                <w:sz w:val="21"/>
                <w:szCs w:val="21"/>
              </w:rPr>
              <w:t>3</w:t>
            </w:r>
            <w:r>
              <w:rPr>
                <w:rFonts w:ascii="Times New Roman" w:hAnsi="Times New Roman" w:cs="Times New Roman"/>
                <w:b/>
                <w:bCs/>
                <w:color w:val="000000"/>
                <w:kern w:val="0"/>
                <w:sz w:val="21"/>
                <w:szCs w:val="21"/>
              </w:rPr>
              <w:t>#</w:t>
            </w:r>
          </w:p>
        </w:tc>
        <w:tc>
          <w:tcPr>
            <w:tcW w:w="627" w:type="pct"/>
            <w:tcBorders>
              <w:tl2br w:val="nil"/>
              <w:tr2bl w:val="nil"/>
            </w:tcBorders>
            <w:vAlign w:val="center"/>
          </w:tcPr>
          <w:p w14:paraId="2A460B99" w14:textId="77777777" w:rsidR="009D12AF" w:rsidRDefault="00000000">
            <w:pPr>
              <w:spacing w:line="240" w:lineRule="exact"/>
              <w:ind w:firstLineChars="0" w:firstLine="0"/>
              <w:jc w:val="center"/>
              <w:rPr>
                <w:rFonts w:ascii="Times New Roman" w:eastAsia="宋体" w:hAnsi="Times New Roman" w:cs="Times New Roman"/>
                <w:b/>
                <w:bCs/>
                <w:color w:val="000000"/>
                <w:kern w:val="0"/>
                <w:sz w:val="21"/>
                <w:szCs w:val="21"/>
              </w:rPr>
            </w:pPr>
            <w:r>
              <w:rPr>
                <w:rFonts w:ascii="Times New Roman" w:hAnsi="Times New Roman" w:cs="Times New Roman" w:hint="eastAsia"/>
                <w:b/>
                <w:bCs/>
                <w:sz w:val="21"/>
                <w:szCs w:val="21"/>
              </w:rPr>
              <w:t>6</w:t>
            </w:r>
            <w:r>
              <w:rPr>
                <w:rFonts w:ascii="Times New Roman" w:hAnsi="Times New Roman" w:cs="Times New Roman"/>
                <w:b/>
                <w:bCs/>
                <w:sz w:val="21"/>
                <w:szCs w:val="21"/>
              </w:rPr>
              <w:t>#</w:t>
            </w:r>
          </w:p>
        </w:tc>
        <w:tc>
          <w:tcPr>
            <w:tcW w:w="648" w:type="pct"/>
            <w:tcBorders>
              <w:tl2br w:val="nil"/>
              <w:tr2bl w:val="nil"/>
            </w:tcBorders>
            <w:vAlign w:val="center"/>
          </w:tcPr>
          <w:p w14:paraId="5C37AF6B" w14:textId="77777777" w:rsidR="009D12AF" w:rsidRDefault="00000000">
            <w:pPr>
              <w:spacing w:line="240" w:lineRule="exact"/>
              <w:ind w:firstLineChars="0" w:firstLine="0"/>
              <w:jc w:val="center"/>
              <w:rPr>
                <w:rFonts w:ascii="Times New Roman" w:eastAsia="宋体" w:hAnsi="Times New Roman" w:cs="Times New Roman"/>
                <w:b/>
                <w:bCs/>
                <w:color w:val="000000"/>
                <w:kern w:val="0"/>
                <w:sz w:val="21"/>
                <w:szCs w:val="21"/>
              </w:rPr>
            </w:pPr>
            <w:r>
              <w:rPr>
                <w:rFonts w:ascii="Times New Roman" w:hAnsi="Times New Roman" w:cs="Times New Roman" w:hint="eastAsia"/>
                <w:b/>
                <w:bCs/>
                <w:sz w:val="21"/>
                <w:szCs w:val="21"/>
              </w:rPr>
              <w:t>7</w:t>
            </w:r>
            <w:r>
              <w:rPr>
                <w:rFonts w:ascii="Times New Roman" w:hAnsi="Times New Roman" w:cs="Times New Roman"/>
                <w:b/>
                <w:bCs/>
                <w:sz w:val="21"/>
                <w:szCs w:val="21"/>
              </w:rPr>
              <w:t>#</w:t>
            </w:r>
          </w:p>
        </w:tc>
        <w:tc>
          <w:tcPr>
            <w:tcW w:w="746" w:type="pct"/>
            <w:tcBorders>
              <w:tl2br w:val="nil"/>
              <w:tr2bl w:val="nil"/>
            </w:tcBorders>
            <w:vAlign w:val="center"/>
          </w:tcPr>
          <w:p w14:paraId="5F51769C" w14:textId="77777777" w:rsidR="009D12AF" w:rsidRDefault="00000000">
            <w:pPr>
              <w:spacing w:line="240" w:lineRule="exact"/>
              <w:ind w:firstLineChars="0" w:firstLine="0"/>
              <w:jc w:val="center"/>
              <w:rPr>
                <w:rFonts w:ascii="Times New Roman" w:hAnsi="Times New Roman" w:cs="Times New Roman"/>
                <w:b/>
                <w:bCs/>
                <w:color w:val="000000"/>
                <w:kern w:val="0"/>
                <w:sz w:val="21"/>
                <w:szCs w:val="21"/>
              </w:rPr>
            </w:pPr>
            <w:r>
              <w:rPr>
                <w:rFonts w:ascii="Times New Roman" w:hAnsi="Times New Roman" w:cs="Times New Roman" w:hint="eastAsia"/>
                <w:b/>
                <w:bCs/>
                <w:color w:val="000000"/>
                <w:kern w:val="0"/>
                <w:sz w:val="21"/>
                <w:szCs w:val="21"/>
              </w:rPr>
              <w:t>/</w:t>
            </w:r>
          </w:p>
        </w:tc>
      </w:tr>
      <w:tr w:rsidR="009D12AF" w14:paraId="1EF268E0" w14:textId="77777777">
        <w:trPr>
          <w:cantSplit/>
          <w:trHeight w:val="397"/>
          <w:jc w:val="center"/>
        </w:trPr>
        <w:tc>
          <w:tcPr>
            <w:tcW w:w="765" w:type="pct"/>
            <w:vMerge/>
            <w:tcBorders>
              <w:tl2br w:val="nil"/>
              <w:tr2bl w:val="nil"/>
            </w:tcBorders>
            <w:vAlign w:val="center"/>
          </w:tcPr>
          <w:p w14:paraId="5CC84D75" w14:textId="77777777" w:rsidR="009D12AF" w:rsidRDefault="009D12AF">
            <w:pPr>
              <w:spacing w:line="240" w:lineRule="exact"/>
              <w:ind w:firstLineChars="0" w:firstLine="0"/>
              <w:jc w:val="center"/>
              <w:rPr>
                <w:rFonts w:ascii="Times New Roman" w:hAnsi="Times New Roman" w:cs="Times New Roman"/>
                <w:b/>
                <w:bCs/>
                <w:sz w:val="21"/>
                <w:szCs w:val="21"/>
              </w:rPr>
            </w:pPr>
          </w:p>
        </w:tc>
        <w:tc>
          <w:tcPr>
            <w:tcW w:w="993" w:type="pct"/>
            <w:tcBorders>
              <w:tl2br w:val="nil"/>
              <w:tr2bl w:val="nil"/>
            </w:tcBorders>
            <w:vAlign w:val="center"/>
          </w:tcPr>
          <w:p w14:paraId="0B507A97" w14:textId="77777777" w:rsidR="009D12AF" w:rsidRDefault="00000000">
            <w:pPr>
              <w:spacing w:line="240" w:lineRule="exact"/>
              <w:ind w:firstLineChars="0" w:firstLine="0"/>
              <w:jc w:val="center"/>
              <w:rPr>
                <w:rFonts w:ascii="Times New Roman" w:eastAsia="宋体" w:hAnsi="Times New Roman" w:cs="Times New Roman"/>
                <w:b/>
                <w:bCs/>
                <w:color w:val="000000"/>
                <w:kern w:val="0"/>
                <w:sz w:val="21"/>
                <w:szCs w:val="21"/>
              </w:rPr>
            </w:pPr>
            <w:r>
              <w:rPr>
                <w:rFonts w:ascii="Times New Roman" w:hAnsi="Times New Roman" w:cs="Times New Roman"/>
                <w:b/>
                <w:bCs/>
                <w:color w:val="000000"/>
                <w:kern w:val="0"/>
                <w:sz w:val="21"/>
                <w:szCs w:val="21"/>
              </w:rPr>
              <w:t>检测项目</w:t>
            </w:r>
          </w:p>
        </w:tc>
        <w:tc>
          <w:tcPr>
            <w:tcW w:w="2494" w:type="pct"/>
            <w:gridSpan w:val="4"/>
            <w:tcBorders>
              <w:tl2br w:val="nil"/>
              <w:tr2bl w:val="nil"/>
            </w:tcBorders>
            <w:vAlign w:val="center"/>
          </w:tcPr>
          <w:p w14:paraId="297BBAB7" w14:textId="77777777" w:rsidR="009D12AF" w:rsidRDefault="00000000">
            <w:pPr>
              <w:spacing w:line="240" w:lineRule="exact"/>
              <w:ind w:firstLineChars="0" w:firstLine="0"/>
              <w:jc w:val="center"/>
              <w:rPr>
                <w:rFonts w:ascii="Times New Roman" w:hAnsi="Times New Roman" w:cs="Times New Roman"/>
                <w:b/>
                <w:bCs/>
                <w:color w:val="000000"/>
                <w:kern w:val="0"/>
                <w:sz w:val="21"/>
                <w:szCs w:val="21"/>
              </w:rPr>
            </w:pPr>
            <w:r>
              <w:rPr>
                <w:rFonts w:ascii="Times New Roman" w:hAnsi="Times New Roman" w:cs="Times New Roman" w:hint="eastAsia"/>
                <w:b/>
                <w:bCs/>
                <w:color w:val="000000"/>
                <w:kern w:val="0"/>
                <w:sz w:val="21"/>
                <w:szCs w:val="21"/>
              </w:rPr>
              <w:t>检测结果</w:t>
            </w:r>
          </w:p>
        </w:tc>
        <w:tc>
          <w:tcPr>
            <w:tcW w:w="746" w:type="pct"/>
            <w:tcBorders>
              <w:tl2br w:val="nil"/>
              <w:tr2bl w:val="nil"/>
            </w:tcBorders>
            <w:vAlign w:val="center"/>
          </w:tcPr>
          <w:p w14:paraId="0AB6B961" w14:textId="77777777" w:rsidR="009D12AF" w:rsidRDefault="00000000">
            <w:pPr>
              <w:spacing w:line="240" w:lineRule="exact"/>
              <w:ind w:firstLineChars="0" w:firstLine="0"/>
              <w:jc w:val="center"/>
              <w:rPr>
                <w:rFonts w:ascii="Times New Roman" w:hAnsi="Times New Roman" w:cs="Times New Roman"/>
                <w:sz w:val="21"/>
                <w:szCs w:val="21"/>
              </w:rPr>
            </w:pPr>
            <w:r>
              <w:rPr>
                <w:rFonts w:ascii="Times New Roman" w:hAnsi="Times New Roman" w:cs="Times New Roman"/>
                <w:b/>
                <w:bCs/>
                <w:color w:val="000000"/>
                <w:kern w:val="0"/>
                <w:sz w:val="21"/>
                <w:szCs w:val="21"/>
              </w:rPr>
              <w:t>单位</w:t>
            </w:r>
          </w:p>
        </w:tc>
      </w:tr>
      <w:tr w:rsidR="009D12AF" w14:paraId="6B46A43D" w14:textId="77777777">
        <w:trPr>
          <w:cantSplit/>
          <w:trHeight w:val="397"/>
          <w:jc w:val="center"/>
        </w:trPr>
        <w:tc>
          <w:tcPr>
            <w:tcW w:w="765" w:type="pct"/>
            <w:vMerge w:val="restart"/>
            <w:tcBorders>
              <w:tl2br w:val="nil"/>
              <w:tr2bl w:val="nil"/>
            </w:tcBorders>
            <w:vAlign w:val="center"/>
          </w:tcPr>
          <w:p w14:paraId="54AE1A69" w14:textId="77777777" w:rsidR="009D12AF" w:rsidRDefault="00000000">
            <w:pPr>
              <w:spacing w:line="240" w:lineRule="exact"/>
              <w:ind w:firstLineChars="0" w:firstLine="0"/>
              <w:jc w:val="center"/>
              <w:rPr>
                <w:rFonts w:ascii="Times New Roman" w:eastAsia="宋体" w:hAnsi="Times New Roman" w:cs="Times New Roman"/>
                <w:b/>
                <w:bCs/>
                <w:sz w:val="21"/>
                <w:szCs w:val="21"/>
              </w:rPr>
            </w:pPr>
            <w:r>
              <w:rPr>
                <w:rFonts w:ascii="Times New Roman" w:hAnsi="Times New Roman" w:cs="Times New Roman" w:hint="eastAsia"/>
                <w:sz w:val="21"/>
                <w:szCs w:val="21"/>
              </w:rPr>
              <w:t>2025.09.19</w:t>
            </w:r>
          </w:p>
        </w:tc>
        <w:tc>
          <w:tcPr>
            <w:tcW w:w="993" w:type="pct"/>
            <w:tcBorders>
              <w:tl2br w:val="nil"/>
              <w:tr2bl w:val="nil"/>
            </w:tcBorders>
            <w:vAlign w:val="center"/>
          </w:tcPr>
          <w:p w14:paraId="36382176"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hAnsi="Times New Roman" w:cs="Times New Roman" w:hint="eastAsia"/>
                <w:color w:val="000000"/>
                <w:kern w:val="0"/>
                <w:sz w:val="21"/>
                <w:szCs w:val="21"/>
                <w:lang w:bidi="ar"/>
              </w:rPr>
              <w:t>钾</w:t>
            </w:r>
          </w:p>
        </w:tc>
        <w:tc>
          <w:tcPr>
            <w:tcW w:w="1101" w:type="dxa"/>
            <w:tcBorders>
              <w:tl2br w:val="nil"/>
              <w:tr2bl w:val="nil"/>
            </w:tcBorders>
            <w:vAlign w:val="center"/>
          </w:tcPr>
          <w:p w14:paraId="2268744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1.57</w:t>
            </w:r>
          </w:p>
        </w:tc>
        <w:tc>
          <w:tcPr>
            <w:tcW w:w="1027" w:type="dxa"/>
            <w:tcBorders>
              <w:tl2br w:val="nil"/>
              <w:tr2bl w:val="nil"/>
            </w:tcBorders>
            <w:vAlign w:val="center"/>
          </w:tcPr>
          <w:p w14:paraId="1C40809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0.601</w:t>
            </w:r>
          </w:p>
        </w:tc>
        <w:tc>
          <w:tcPr>
            <w:tcW w:w="1038" w:type="dxa"/>
            <w:tcBorders>
              <w:tl2br w:val="nil"/>
              <w:tr2bl w:val="nil"/>
            </w:tcBorders>
            <w:vAlign w:val="center"/>
          </w:tcPr>
          <w:p w14:paraId="7190C87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0.941</w:t>
            </w:r>
          </w:p>
        </w:tc>
        <w:tc>
          <w:tcPr>
            <w:tcW w:w="1077" w:type="dxa"/>
            <w:tcBorders>
              <w:tl2br w:val="nil"/>
              <w:tr2bl w:val="nil"/>
            </w:tcBorders>
            <w:vAlign w:val="center"/>
          </w:tcPr>
          <w:p w14:paraId="5A6740E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1.20</w:t>
            </w:r>
          </w:p>
        </w:tc>
        <w:tc>
          <w:tcPr>
            <w:tcW w:w="746" w:type="pct"/>
            <w:tcBorders>
              <w:tl2br w:val="nil"/>
              <w:tr2bl w:val="nil"/>
            </w:tcBorders>
            <w:vAlign w:val="center"/>
          </w:tcPr>
          <w:p w14:paraId="4631459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417A8DD0" w14:textId="77777777">
        <w:trPr>
          <w:cantSplit/>
          <w:trHeight w:val="397"/>
          <w:jc w:val="center"/>
        </w:trPr>
        <w:tc>
          <w:tcPr>
            <w:tcW w:w="765" w:type="pct"/>
            <w:vMerge/>
            <w:tcBorders>
              <w:tl2br w:val="nil"/>
              <w:tr2bl w:val="nil"/>
            </w:tcBorders>
          </w:tcPr>
          <w:p w14:paraId="1017ACD4"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774DED72"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hAnsi="Times New Roman" w:cs="Times New Roman" w:hint="eastAsia"/>
                <w:color w:val="000000"/>
                <w:kern w:val="0"/>
                <w:sz w:val="21"/>
                <w:szCs w:val="21"/>
                <w:lang w:bidi="ar"/>
              </w:rPr>
              <w:t>钠</w:t>
            </w:r>
          </w:p>
        </w:tc>
        <w:tc>
          <w:tcPr>
            <w:tcW w:w="1101" w:type="dxa"/>
            <w:tcBorders>
              <w:tl2br w:val="nil"/>
              <w:tr2bl w:val="nil"/>
            </w:tcBorders>
            <w:vAlign w:val="center"/>
          </w:tcPr>
          <w:p w14:paraId="039B239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15.2</w:t>
            </w:r>
          </w:p>
        </w:tc>
        <w:tc>
          <w:tcPr>
            <w:tcW w:w="1027" w:type="dxa"/>
            <w:tcBorders>
              <w:tl2br w:val="nil"/>
              <w:tr2bl w:val="nil"/>
            </w:tcBorders>
            <w:vAlign w:val="center"/>
          </w:tcPr>
          <w:p w14:paraId="71B1A81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6.45</w:t>
            </w:r>
          </w:p>
        </w:tc>
        <w:tc>
          <w:tcPr>
            <w:tcW w:w="1038" w:type="dxa"/>
            <w:tcBorders>
              <w:tl2br w:val="nil"/>
              <w:tr2bl w:val="nil"/>
            </w:tcBorders>
            <w:vAlign w:val="center"/>
          </w:tcPr>
          <w:p w14:paraId="4789FF0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12.6</w:t>
            </w:r>
          </w:p>
        </w:tc>
        <w:tc>
          <w:tcPr>
            <w:tcW w:w="1077" w:type="dxa"/>
            <w:tcBorders>
              <w:tl2br w:val="nil"/>
              <w:tr2bl w:val="nil"/>
            </w:tcBorders>
            <w:vAlign w:val="center"/>
          </w:tcPr>
          <w:p w14:paraId="1408870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10.2</w:t>
            </w:r>
          </w:p>
        </w:tc>
        <w:tc>
          <w:tcPr>
            <w:tcW w:w="746" w:type="pct"/>
            <w:tcBorders>
              <w:tl2br w:val="nil"/>
              <w:tr2bl w:val="nil"/>
            </w:tcBorders>
            <w:vAlign w:val="center"/>
          </w:tcPr>
          <w:p w14:paraId="2631043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468DDCDB" w14:textId="77777777">
        <w:trPr>
          <w:cantSplit/>
          <w:trHeight w:val="397"/>
          <w:jc w:val="center"/>
        </w:trPr>
        <w:tc>
          <w:tcPr>
            <w:tcW w:w="765" w:type="pct"/>
            <w:vMerge/>
            <w:tcBorders>
              <w:tl2br w:val="nil"/>
              <w:tr2bl w:val="nil"/>
            </w:tcBorders>
          </w:tcPr>
          <w:p w14:paraId="159F3F61"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194F2569"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hAnsi="Times New Roman" w:cs="Times New Roman" w:hint="eastAsia"/>
                <w:color w:val="000000"/>
                <w:kern w:val="0"/>
                <w:sz w:val="21"/>
                <w:szCs w:val="21"/>
                <w:lang w:bidi="ar"/>
              </w:rPr>
              <w:t>钙</w:t>
            </w:r>
          </w:p>
        </w:tc>
        <w:tc>
          <w:tcPr>
            <w:tcW w:w="1101" w:type="dxa"/>
            <w:tcBorders>
              <w:tl2br w:val="nil"/>
              <w:tr2bl w:val="nil"/>
            </w:tcBorders>
            <w:vAlign w:val="center"/>
          </w:tcPr>
          <w:p w14:paraId="0C5AF754" w14:textId="77777777" w:rsidR="009D12AF" w:rsidRDefault="00000000">
            <w:pPr>
              <w:widowControl/>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23.5</w:t>
            </w:r>
          </w:p>
        </w:tc>
        <w:tc>
          <w:tcPr>
            <w:tcW w:w="1027" w:type="dxa"/>
            <w:tcBorders>
              <w:tl2br w:val="nil"/>
              <w:tr2bl w:val="nil"/>
            </w:tcBorders>
            <w:vAlign w:val="center"/>
          </w:tcPr>
          <w:p w14:paraId="18CEFE40" w14:textId="77777777" w:rsidR="009D12AF" w:rsidRDefault="00000000">
            <w:pPr>
              <w:widowControl/>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24.8</w:t>
            </w:r>
          </w:p>
        </w:tc>
        <w:tc>
          <w:tcPr>
            <w:tcW w:w="1038" w:type="dxa"/>
            <w:tcBorders>
              <w:tl2br w:val="nil"/>
              <w:tr2bl w:val="nil"/>
            </w:tcBorders>
            <w:vAlign w:val="center"/>
          </w:tcPr>
          <w:p w14:paraId="57FCA195" w14:textId="77777777" w:rsidR="009D12AF" w:rsidRDefault="00000000">
            <w:pPr>
              <w:widowControl/>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15.7</w:t>
            </w:r>
          </w:p>
        </w:tc>
        <w:tc>
          <w:tcPr>
            <w:tcW w:w="1077" w:type="dxa"/>
            <w:tcBorders>
              <w:tl2br w:val="nil"/>
              <w:tr2bl w:val="nil"/>
            </w:tcBorders>
            <w:vAlign w:val="center"/>
          </w:tcPr>
          <w:p w14:paraId="11CFC42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65.2</w:t>
            </w:r>
          </w:p>
        </w:tc>
        <w:tc>
          <w:tcPr>
            <w:tcW w:w="746" w:type="pct"/>
            <w:tcBorders>
              <w:tl2br w:val="nil"/>
              <w:tr2bl w:val="nil"/>
            </w:tcBorders>
            <w:vAlign w:val="center"/>
          </w:tcPr>
          <w:p w14:paraId="6AA4924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08BEA49F" w14:textId="77777777">
        <w:trPr>
          <w:cantSplit/>
          <w:trHeight w:val="397"/>
          <w:jc w:val="center"/>
        </w:trPr>
        <w:tc>
          <w:tcPr>
            <w:tcW w:w="765" w:type="pct"/>
            <w:vMerge/>
            <w:tcBorders>
              <w:tl2br w:val="nil"/>
              <w:tr2bl w:val="nil"/>
            </w:tcBorders>
          </w:tcPr>
          <w:p w14:paraId="4B5E9693"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06C35727"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hAnsi="Times New Roman" w:cs="Times New Roman" w:hint="eastAsia"/>
                <w:color w:val="000000"/>
                <w:kern w:val="0"/>
                <w:sz w:val="21"/>
                <w:szCs w:val="21"/>
                <w:lang w:bidi="ar"/>
              </w:rPr>
              <w:t>镁</w:t>
            </w:r>
          </w:p>
        </w:tc>
        <w:tc>
          <w:tcPr>
            <w:tcW w:w="1101" w:type="dxa"/>
            <w:tcBorders>
              <w:tl2br w:val="nil"/>
              <w:tr2bl w:val="nil"/>
            </w:tcBorders>
            <w:vAlign w:val="center"/>
          </w:tcPr>
          <w:p w14:paraId="0EF32D2A" w14:textId="77777777" w:rsidR="009D12AF" w:rsidRDefault="00000000">
            <w:pPr>
              <w:widowControl/>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6.17</w:t>
            </w:r>
          </w:p>
        </w:tc>
        <w:tc>
          <w:tcPr>
            <w:tcW w:w="1027" w:type="dxa"/>
            <w:tcBorders>
              <w:tl2br w:val="nil"/>
              <w:tr2bl w:val="nil"/>
            </w:tcBorders>
            <w:vAlign w:val="center"/>
          </w:tcPr>
          <w:p w14:paraId="22186E5D" w14:textId="77777777" w:rsidR="009D12AF" w:rsidRDefault="00000000">
            <w:pPr>
              <w:widowControl/>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6.72</w:t>
            </w:r>
          </w:p>
        </w:tc>
        <w:tc>
          <w:tcPr>
            <w:tcW w:w="1038" w:type="dxa"/>
            <w:tcBorders>
              <w:tl2br w:val="nil"/>
              <w:tr2bl w:val="nil"/>
            </w:tcBorders>
            <w:vAlign w:val="center"/>
          </w:tcPr>
          <w:p w14:paraId="1E4EB1EA" w14:textId="77777777" w:rsidR="009D12AF" w:rsidRDefault="00000000">
            <w:pPr>
              <w:widowControl/>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5.42</w:t>
            </w:r>
          </w:p>
        </w:tc>
        <w:tc>
          <w:tcPr>
            <w:tcW w:w="1077" w:type="dxa"/>
            <w:tcBorders>
              <w:tl2br w:val="nil"/>
              <w:tr2bl w:val="nil"/>
            </w:tcBorders>
            <w:vAlign w:val="center"/>
          </w:tcPr>
          <w:p w14:paraId="4C0C267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10.7</w:t>
            </w:r>
          </w:p>
        </w:tc>
        <w:tc>
          <w:tcPr>
            <w:tcW w:w="746" w:type="pct"/>
            <w:tcBorders>
              <w:tl2br w:val="nil"/>
              <w:tr2bl w:val="nil"/>
            </w:tcBorders>
            <w:vAlign w:val="center"/>
          </w:tcPr>
          <w:p w14:paraId="092C6F8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67F8846A" w14:textId="77777777">
        <w:trPr>
          <w:cantSplit/>
          <w:trHeight w:val="397"/>
          <w:jc w:val="center"/>
        </w:trPr>
        <w:tc>
          <w:tcPr>
            <w:tcW w:w="765" w:type="pct"/>
            <w:vMerge/>
            <w:tcBorders>
              <w:tl2br w:val="nil"/>
              <w:tr2bl w:val="nil"/>
            </w:tcBorders>
          </w:tcPr>
          <w:p w14:paraId="14BE2BCD"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5EA30840"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碱度</w:t>
            </w:r>
            <w:r>
              <w:rPr>
                <w:rFonts w:ascii="Times New Roman" w:eastAsia="宋体" w:hAnsi="Times New Roman" w:cs="Times New Roman" w:hint="eastAsia"/>
                <w:color w:val="000000"/>
                <w:kern w:val="0"/>
                <w:sz w:val="21"/>
                <w:szCs w:val="21"/>
                <w:lang w:bidi="ar"/>
              </w:rPr>
              <w:t>（</w:t>
            </w:r>
            <w:r>
              <w:rPr>
                <w:rFonts w:ascii="Times New Roman" w:eastAsia="宋体" w:hAnsi="Times New Roman" w:cs="Times New Roman" w:hint="eastAsia"/>
                <w:color w:val="000000"/>
                <w:kern w:val="0"/>
                <w:sz w:val="21"/>
                <w:szCs w:val="21"/>
                <w:lang w:bidi="ar"/>
              </w:rPr>
              <w:t>CO</w:t>
            </w:r>
            <w:r>
              <w:rPr>
                <w:rFonts w:ascii="Times New Roman" w:eastAsia="宋体" w:hAnsi="Times New Roman" w:cs="Times New Roman" w:hint="eastAsia"/>
                <w:color w:val="000000"/>
                <w:kern w:val="0"/>
                <w:sz w:val="21"/>
                <w:szCs w:val="21"/>
                <w:vertAlign w:val="subscript"/>
                <w:lang w:bidi="ar"/>
              </w:rPr>
              <w:t>3</w:t>
            </w:r>
            <w:r>
              <w:rPr>
                <w:rFonts w:ascii="Times New Roman" w:eastAsia="宋体" w:hAnsi="Times New Roman" w:cs="Times New Roman" w:hint="eastAsia"/>
                <w:color w:val="000000"/>
                <w:kern w:val="0"/>
                <w:sz w:val="21"/>
                <w:szCs w:val="21"/>
                <w:vertAlign w:val="superscript"/>
                <w:lang w:bidi="ar"/>
              </w:rPr>
              <w:t>2-</w:t>
            </w:r>
            <w:r>
              <w:rPr>
                <w:rFonts w:ascii="Times New Roman" w:hAnsi="Times New Roman" w:cs="Times New Roman" w:hint="eastAsia"/>
                <w:color w:val="000000"/>
                <w:kern w:val="0"/>
                <w:sz w:val="21"/>
                <w:szCs w:val="21"/>
                <w:lang w:bidi="ar"/>
              </w:rPr>
              <w:t>）</w:t>
            </w:r>
          </w:p>
        </w:tc>
        <w:tc>
          <w:tcPr>
            <w:tcW w:w="1101" w:type="dxa"/>
            <w:tcBorders>
              <w:tl2br w:val="nil"/>
              <w:tr2bl w:val="nil"/>
            </w:tcBorders>
            <w:vAlign w:val="center"/>
          </w:tcPr>
          <w:p w14:paraId="2F80629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未检出</w:t>
            </w:r>
          </w:p>
        </w:tc>
        <w:tc>
          <w:tcPr>
            <w:tcW w:w="1027" w:type="dxa"/>
            <w:tcBorders>
              <w:tl2br w:val="nil"/>
              <w:tr2bl w:val="nil"/>
            </w:tcBorders>
            <w:vAlign w:val="center"/>
          </w:tcPr>
          <w:p w14:paraId="6B53A89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未检出</w:t>
            </w:r>
          </w:p>
        </w:tc>
        <w:tc>
          <w:tcPr>
            <w:tcW w:w="1038" w:type="dxa"/>
            <w:tcBorders>
              <w:tl2br w:val="nil"/>
              <w:tr2bl w:val="nil"/>
            </w:tcBorders>
            <w:vAlign w:val="center"/>
          </w:tcPr>
          <w:p w14:paraId="0378030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未检出</w:t>
            </w:r>
          </w:p>
        </w:tc>
        <w:tc>
          <w:tcPr>
            <w:tcW w:w="1077" w:type="dxa"/>
            <w:tcBorders>
              <w:tl2br w:val="nil"/>
              <w:tr2bl w:val="nil"/>
            </w:tcBorders>
            <w:vAlign w:val="center"/>
          </w:tcPr>
          <w:p w14:paraId="2E19BAC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未检出</w:t>
            </w:r>
          </w:p>
        </w:tc>
        <w:tc>
          <w:tcPr>
            <w:tcW w:w="746" w:type="pct"/>
            <w:tcBorders>
              <w:tl2br w:val="nil"/>
              <w:tr2bl w:val="nil"/>
            </w:tcBorders>
            <w:vAlign w:val="center"/>
          </w:tcPr>
          <w:p w14:paraId="2C20235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1BF27DC3" w14:textId="77777777">
        <w:trPr>
          <w:cantSplit/>
          <w:trHeight w:val="397"/>
          <w:jc w:val="center"/>
        </w:trPr>
        <w:tc>
          <w:tcPr>
            <w:tcW w:w="765" w:type="pct"/>
            <w:vMerge/>
            <w:tcBorders>
              <w:tl2br w:val="nil"/>
              <w:tr2bl w:val="nil"/>
            </w:tcBorders>
          </w:tcPr>
          <w:p w14:paraId="43FCBF1C"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523C5E87"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碱度</w:t>
            </w:r>
            <w:r>
              <w:rPr>
                <w:rFonts w:ascii="Times New Roman" w:eastAsia="宋体" w:hAnsi="Times New Roman" w:cs="Times New Roman" w:hint="eastAsia"/>
                <w:color w:val="000000"/>
                <w:kern w:val="0"/>
                <w:sz w:val="21"/>
                <w:szCs w:val="21"/>
                <w:lang w:bidi="ar"/>
              </w:rPr>
              <w:t>（</w:t>
            </w:r>
            <w:r>
              <w:rPr>
                <w:rFonts w:ascii="Times New Roman" w:eastAsia="宋体" w:hAnsi="Times New Roman" w:cs="Times New Roman" w:hint="eastAsia"/>
                <w:color w:val="000000"/>
                <w:kern w:val="0"/>
                <w:sz w:val="21"/>
                <w:szCs w:val="21"/>
                <w:lang w:bidi="ar"/>
              </w:rPr>
              <w:t>HCO</w:t>
            </w:r>
            <w:r>
              <w:rPr>
                <w:rFonts w:ascii="Times New Roman" w:hAnsi="Times New Roman" w:cs="Times New Roman" w:hint="eastAsia"/>
                <w:color w:val="000000"/>
                <w:kern w:val="0"/>
                <w:sz w:val="21"/>
                <w:szCs w:val="21"/>
                <w:vertAlign w:val="subscript"/>
                <w:lang w:bidi="ar"/>
              </w:rPr>
              <w:t>3</w:t>
            </w:r>
            <w:r>
              <w:rPr>
                <w:rFonts w:ascii="Times New Roman" w:eastAsia="宋体" w:hAnsi="Times New Roman" w:cs="Times New Roman" w:hint="eastAsia"/>
                <w:color w:val="000000"/>
                <w:kern w:val="0"/>
                <w:sz w:val="21"/>
                <w:szCs w:val="21"/>
                <w:vertAlign w:val="superscript"/>
                <w:lang w:bidi="ar"/>
              </w:rPr>
              <w:t>-</w:t>
            </w:r>
            <w:r>
              <w:rPr>
                <w:rFonts w:ascii="Times New Roman" w:hAnsi="Times New Roman" w:cs="Times New Roman" w:hint="eastAsia"/>
                <w:color w:val="000000"/>
                <w:kern w:val="0"/>
                <w:sz w:val="21"/>
                <w:szCs w:val="21"/>
                <w:lang w:bidi="ar"/>
              </w:rPr>
              <w:t>）</w:t>
            </w:r>
          </w:p>
        </w:tc>
        <w:tc>
          <w:tcPr>
            <w:tcW w:w="1101" w:type="dxa"/>
            <w:tcBorders>
              <w:tl2br w:val="nil"/>
              <w:tr2bl w:val="nil"/>
            </w:tcBorders>
            <w:vAlign w:val="center"/>
          </w:tcPr>
          <w:p w14:paraId="71033436" w14:textId="77777777" w:rsidR="009D12AF" w:rsidRDefault="00000000">
            <w:pPr>
              <w:widowControl/>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75.2</w:t>
            </w:r>
          </w:p>
        </w:tc>
        <w:tc>
          <w:tcPr>
            <w:tcW w:w="1027" w:type="dxa"/>
            <w:tcBorders>
              <w:tl2br w:val="nil"/>
              <w:tr2bl w:val="nil"/>
            </w:tcBorders>
            <w:vAlign w:val="center"/>
          </w:tcPr>
          <w:p w14:paraId="22F6ED49" w14:textId="77777777" w:rsidR="009D12AF" w:rsidRDefault="00000000">
            <w:pPr>
              <w:widowControl/>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78.1</w:t>
            </w:r>
          </w:p>
        </w:tc>
        <w:tc>
          <w:tcPr>
            <w:tcW w:w="1038" w:type="dxa"/>
            <w:tcBorders>
              <w:tl2br w:val="nil"/>
              <w:tr2bl w:val="nil"/>
            </w:tcBorders>
            <w:vAlign w:val="center"/>
          </w:tcPr>
          <w:p w14:paraId="75F9D21F" w14:textId="77777777" w:rsidR="009D12AF" w:rsidRDefault="00000000">
            <w:pPr>
              <w:widowControl/>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57.0</w:t>
            </w:r>
          </w:p>
        </w:tc>
        <w:tc>
          <w:tcPr>
            <w:tcW w:w="1077" w:type="dxa"/>
            <w:tcBorders>
              <w:tl2br w:val="nil"/>
              <w:tr2bl w:val="nil"/>
            </w:tcBorders>
            <w:vAlign w:val="center"/>
          </w:tcPr>
          <w:p w14:paraId="0BFEEFD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121</w:t>
            </w:r>
          </w:p>
        </w:tc>
        <w:tc>
          <w:tcPr>
            <w:tcW w:w="746" w:type="pct"/>
            <w:tcBorders>
              <w:tl2br w:val="nil"/>
              <w:tr2bl w:val="nil"/>
            </w:tcBorders>
            <w:vAlign w:val="center"/>
          </w:tcPr>
          <w:p w14:paraId="4E43D94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4FCB0C0B" w14:textId="77777777">
        <w:trPr>
          <w:cantSplit/>
          <w:trHeight w:val="397"/>
          <w:jc w:val="center"/>
        </w:trPr>
        <w:tc>
          <w:tcPr>
            <w:tcW w:w="765" w:type="pct"/>
            <w:vMerge/>
            <w:tcBorders>
              <w:tl2br w:val="nil"/>
              <w:tr2bl w:val="nil"/>
            </w:tcBorders>
          </w:tcPr>
          <w:p w14:paraId="40CF71F0"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7152E4B1"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溶解性总固体</w:t>
            </w:r>
          </w:p>
        </w:tc>
        <w:tc>
          <w:tcPr>
            <w:tcW w:w="1101" w:type="dxa"/>
            <w:tcBorders>
              <w:tl2br w:val="nil"/>
              <w:tr2bl w:val="nil"/>
            </w:tcBorders>
            <w:vAlign w:val="center"/>
          </w:tcPr>
          <w:p w14:paraId="141C58B5" w14:textId="77777777" w:rsidR="009D12AF" w:rsidRDefault="00000000">
            <w:pPr>
              <w:widowControl/>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120</w:t>
            </w:r>
          </w:p>
        </w:tc>
        <w:tc>
          <w:tcPr>
            <w:tcW w:w="1027" w:type="dxa"/>
            <w:tcBorders>
              <w:tl2br w:val="nil"/>
              <w:tr2bl w:val="nil"/>
            </w:tcBorders>
            <w:vAlign w:val="center"/>
          </w:tcPr>
          <w:p w14:paraId="1E83DBB7" w14:textId="77777777" w:rsidR="009D12AF" w:rsidRDefault="00000000">
            <w:pPr>
              <w:widowControl/>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111</w:t>
            </w:r>
          </w:p>
        </w:tc>
        <w:tc>
          <w:tcPr>
            <w:tcW w:w="1038" w:type="dxa"/>
            <w:tcBorders>
              <w:tl2br w:val="nil"/>
              <w:tr2bl w:val="nil"/>
            </w:tcBorders>
            <w:vAlign w:val="center"/>
          </w:tcPr>
          <w:p w14:paraId="4390CBA7" w14:textId="77777777" w:rsidR="009D12AF" w:rsidRDefault="00000000">
            <w:pPr>
              <w:widowControl/>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88</w:t>
            </w:r>
          </w:p>
        </w:tc>
        <w:tc>
          <w:tcPr>
            <w:tcW w:w="1077" w:type="dxa"/>
            <w:tcBorders>
              <w:tl2br w:val="nil"/>
              <w:tr2bl w:val="nil"/>
            </w:tcBorders>
            <w:vAlign w:val="center"/>
          </w:tcPr>
          <w:p w14:paraId="24E1AD2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221</w:t>
            </w:r>
          </w:p>
        </w:tc>
        <w:tc>
          <w:tcPr>
            <w:tcW w:w="746" w:type="pct"/>
            <w:tcBorders>
              <w:tl2br w:val="nil"/>
              <w:tr2bl w:val="nil"/>
            </w:tcBorders>
            <w:vAlign w:val="center"/>
          </w:tcPr>
          <w:p w14:paraId="00BC385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26F4A5F3" w14:textId="77777777">
        <w:trPr>
          <w:cantSplit/>
          <w:trHeight w:val="397"/>
          <w:jc w:val="center"/>
        </w:trPr>
        <w:tc>
          <w:tcPr>
            <w:tcW w:w="765" w:type="pct"/>
            <w:vMerge/>
            <w:tcBorders>
              <w:tl2br w:val="nil"/>
              <w:tr2bl w:val="nil"/>
            </w:tcBorders>
          </w:tcPr>
          <w:p w14:paraId="3B99EE0B"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1B4DFE74"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color w:val="000000"/>
                <w:kern w:val="0"/>
                <w:lang w:eastAsia="zh-CN" w:bidi="ar"/>
              </w:rPr>
              <w:t>钙和镁总量</w:t>
            </w:r>
          </w:p>
        </w:tc>
        <w:tc>
          <w:tcPr>
            <w:tcW w:w="1101" w:type="dxa"/>
            <w:tcBorders>
              <w:tl2br w:val="nil"/>
              <w:tr2bl w:val="nil"/>
            </w:tcBorders>
            <w:vAlign w:val="center"/>
          </w:tcPr>
          <w:p w14:paraId="1A27758B" w14:textId="77777777" w:rsidR="009D12AF" w:rsidRDefault="00000000">
            <w:pPr>
              <w:widowControl/>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85.6</w:t>
            </w:r>
          </w:p>
        </w:tc>
        <w:tc>
          <w:tcPr>
            <w:tcW w:w="1027" w:type="dxa"/>
            <w:tcBorders>
              <w:tl2br w:val="nil"/>
              <w:tr2bl w:val="nil"/>
            </w:tcBorders>
            <w:vAlign w:val="center"/>
          </w:tcPr>
          <w:p w14:paraId="76D52152" w14:textId="77777777" w:rsidR="009D12AF" w:rsidRDefault="00000000">
            <w:pPr>
              <w:widowControl/>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91.2</w:t>
            </w:r>
          </w:p>
        </w:tc>
        <w:tc>
          <w:tcPr>
            <w:tcW w:w="1038" w:type="dxa"/>
            <w:tcBorders>
              <w:tl2br w:val="nil"/>
              <w:tr2bl w:val="nil"/>
            </w:tcBorders>
            <w:vAlign w:val="center"/>
          </w:tcPr>
          <w:p w14:paraId="696C4019" w14:textId="77777777" w:rsidR="009D12AF" w:rsidRDefault="00000000">
            <w:pPr>
              <w:widowControl/>
              <w:ind w:firstLineChars="0" w:firstLine="0"/>
              <w:jc w:val="center"/>
              <w:rPr>
                <w:rFonts w:ascii="Times New Roman" w:eastAsia="宋体" w:hAnsi="Times New Roman" w:cs="Times New Roman"/>
                <w:kern w:val="0"/>
                <w:sz w:val="21"/>
                <w:szCs w:val="21"/>
                <w:lang w:bidi="ar"/>
              </w:rPr>
            </w:pPr>
            <w:r>
              <w:rPr>
                <w:rFonts w:ascii="Times New Roman" w:hAnsi="Times New Roman" w:cs="Times New Roman" w:hint="eastAsia"/>
                <w:kern w:val="0"/>
                <w:sz w:val="21"/>
                <w:szCs w:val="21"/>
                <w:lang w:bidi="ar"/>
              </w:rPr>
              <w:t>62.5</w:t>
            </w:r>
          </w:p>
        </w:tc>
        <w:tc>
          <w:tcPr>
            <w:tcW w:w="1077" w:type="dxa"/>
            <w:tcBorders>
              <w:tl2br w:val="nil"/>
              <w:tr2bl w:val="nil"/>
            </w:tcBorders>
            <w:vAlign w:val="center"/>
          </w:tcPr>
          <w:p w14:paraId="78E3DBE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208</w:t>
            </w:r>
          </w:p>
        </w:tc>
        <w:tc>
          <w:tcPr>
            <w:tcW w:w="746" w:type="pct"/>
            <w:tcBorders>
              <w:tl2br w:val="nil"/>
              <w:tr2bl w:val="nil"/>
            </w:tcBorders>
            <w:vAlign w:val="center"/>
          </w:tcPr>
          <w:p w14:paraId="5878A23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09DEFB7A" w14:textId="77777777">
        <w:trPr>
          <w:cantSplit/>
          <w:trHeight w:val="397"/>
          <w:jc w:val="center"/>
        </w:trPr>
        <w:tc>
          <w:tcPr>
            <w:tcW w:w="765" w:type="pct"/>
            <w:vMerge/>
            <w:tcBorders>
              <w:tl2br w:val="nil"/>
              <w:tr2bl w:val="nil"/>
            </w:tcBorders>
          </w:tcPr>
          <w:p w14:paraId="128F2011"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17CDD5EA" w14:textId="77777777" w:rsidR="009D12AF" w:rsidRDefault="00000000">
            <w:pPr>
              <w:pStyle w:val="TableText"/>
              <w:spacing w:line="214" w:lineRule="auto"/>
              <w:ind w:firstLineChars="0" w:firstLine="0"/>
              <w:jc w:val="center"/>
              <w:rPr>
                <w:rFonts w:ascii="Times New Roman" w:hAnsi="Times New Roman" w:cs="Times New Roman"/>
                <w:color w:val="000000"/>
                <w:kern w:val="0"/>
                <w:lang w:eastAsia="zh-CN" w:bidi="ar"/>
              </w:rPr>
            </w:pPr>
            <w:r>
              <w:rPr>
                <w:rFonts w:ascii="Times New Roman" w:hAnsi="Times New Roman" w:cs="Times New Roman" w:hint="eastAsia"/>
                <w:spacing w:val="-4"/>
                <w:lang w:eastAsia="zh-CN"/>
              </w:rPr>
              <w:t>p</w:t>
            </w:r>
            <w:r>
              <w:rPr>
                <w:rFonts w:ascii="Times New Roman" w:hAnsi="Times New Roman" w:cs="Times New Roman"/>
                <w:spacing w:val="-4"/>
              </w:rPr>
              <w:t>H</w:t>
            </w:r>
            <w:r>
              <w:rPr>
                <w:rFonts w:ascii="Times New Roman" w:hAnsi="Times New Roman" w:cs="Times New Roman"/>
                <w:spacing w:val="-40"/>
              </w:rPr>
              <w:t xml:space="preserve"> </w:t>
            </w:r>
            <w:r>
              <w:rPr>
                <w:rFonts w:ascii="Times New Roman" w:hAnsi="Times New Roman" w:cs="Times New Roman"/>
                <w:spacing w:val="-4"/>
              </w:rPr>
              <w:t>值</w:t>
            </w:r>
          </w:p>
        </w:tc>
        <w:tc>
          <w:tcPr>
            <w:tcW w:w="1101" w:type="dxa"/>
            <w:tcBorders>
              <w:tl2br w:val="nil"/>
              <w:tr2bl w:val="nil"/>
            </w:tcBorders>
            <w:vAlign w:val="center"/>
          </w:tcPr>
          <w:p w14:paraId="4E942C2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7.3</w:t>
            </w:r>
          </w:p>
        </w:tc>
        <w:tc>
          <w:tcPr>
            <w:tcW w:w="1027" w:type="dxa"/>
            <w:tcBorders>
              <w:tl2br w:val="nil"/>
              <w:tr2bl w:val="nil"/>
            </w:tcBorders>
            <w:vAlign w:val="center"/>
          </w:tcPr>
          <w:p w14:paraId="256EAC3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7.0</w:t>
            </w:r>
          </w:p>
        </w:tc>
        <w:tc>
          <w:tcPr>
            <w:tcW w:w="1038" w:type="dxa"/>
            <w:tcBorders>
              <w:tl2br w:val="nil"/>
              <w:tr2bl w:val="nil"/>
            </w:tcBorders>
            <w:vAlign w:val="center"/>
          </w:tcPr>
          <w:p w14:paraId="21D1578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7.1</w:t>
            </w:r>
          </w:p>
        </w:tc>
        <w:tc>
          <w:tcPr>
            <w:tcW w:w="1077" w:type="dxa"/>
            <w:tcBorders>
              <w:tl2br w:val="nil"/>
              <w:tr2bl w:val="nil"/>
            </w:tcBorders>
            <w:vAlign w:val="center"/>
          </w:tcPr>
          <w:p w14:paraId="7716B91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7.2</w:t>
            </w:r>
          </w:p>
        </w:tc>
        <w:tc>
          <w:tcPr>
            <w:tcW w:w="746" w:type="pct"/>
            <w:tcBorders>
              <w:tl2br w:val="nil"/>
              <w:tr2bl w:val="nil"/>
            </w:tcBorders>
            <w:vAlign w:val="center"/>
          </w:tcPr>
          <w:p w14:paraId="3DC6ACC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无量纲</w:t>
            </w:r>
          </w:p>
        </w:tc>
      </w:tr>
      <w:tr w:rsidR="009D12AF" w14:paraId="46CAB24D" w14:textId="77777777">
        <w:trPr>
          <w:cantSplit/>
          <w:trHeight w:val="397"/>
          <w:jc w:val="center"/>
        </w:trPr>
        <w:tc>
          <w:tcPr>
            <w:tcW w:w="765" w:type="pct"/>
            <w:vMerge/>
            <w:tcBorders>
              <w:tl2br w:val="nil"/>
              <w:tr2bl w:val="nil"/>
            </w:tcBorders>
          </w:tcPr>
          <w:p w14:paraId="4A623F1A"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361BA2BC"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氟离子</w:t>
            </w:r>
          </w:p>
        </w:tc>
        <w:tc>
          <w:tcPr>
            <w:tcW w:w="1101" w:type="dxa"/>
            <w:tcBorders>
              <w:tl2br w:val="nil"/>
              <w:tr2bl w:val="nil"/>
            </w:tcBorders>
            <w:vAlign w:val="center"/>
          </w:tcPr>
          <w:p w14:paraId="5D3EDB6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0.171</w:t>
            </w:r>
          </w:p>
        </w:tc>
        <w:tc>
          <w:tcPr>
            <w:tcW w:w="1027" w:type="dxa"/>
            <w:tcBorders>
              <w:tl2br w:val="nil"/>
              <w:tr2bl w:val="nil"/>
            </w:tcBorders>
            <w:vAlign w:val="center"/>
          </w:tcPr>
          <w:p w14:paraId="4F74588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0.162</w:t>
            </w:r>
          </w:p>
        </w:tc>
        <w:tc>
          <w:tcPr>
            <w:tcW w:w="1038" w:type="dxa"/>
            <w:tcBorders>
              <w:tl2br w:val="nil"/>
              <w:tr2bl w:val="nil"/>
            </w:tcBorders>
            <w:vAlign w:val="center"/>
          </w:tcPr>
          <w:p w14:paraId="3D75503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0.363</w:t>
            </w:r>
          </w:p>
        </w:tc>
        <w:tc>
          <w:tcPr>
            <w:tcW w:w="1077" w:type="dxa"/>
            <w:tcBorders>
              <w:tl2br w:val="nil"/>
              <w:tr2bl w:val="nil"/>
            </w:tcBorders>
            <w:vAlign w:val="center"/>
          </w:tcPr>
          <w:p w14:paraId="5894378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0.052</w:t>
            </w:r>
          </w:p>
        </w:tc>
        <w:tc>
          <w:tcPr>
            <w:tcW w:w="746" w:type="pct"/>
            <w:tcBorders>
              <w:tl2br w:val="nil"/>
              <w:tr2bl w:val="nil"/>
            </w:tcBorders>
            <w:vAlign w:val="center"/>
          </w:tcPr>
          <w:p w14:paraId="4922600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5FC5A63D" w14:textId="77777777">
        <w:trPr>
          <w:cantSplit/>
          <w:trHeight w:val="397"/>
          <w:jc w:val="center"/>
        </w:trPr>
        <w:tc>
          <w:tcPr>
            <w:tcW w:w="765" w:type="pct"/>
            <w:vMerge/>
            <w:tcBorders>
              <w:tl2br w:val="nil"/>
              <w:tr2bl w:val="nil"/>
            </w:tcBorders>
          </w:tcPr>
          <w:p w14:paraId="692711EE"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1AE7CF20"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color w:val="000000"/>
                <w:kern w:val="0"/>
                <w:sz w:val="21"/>
                <w:szCs w:val="21"/>
                <w:lang w:bidi="ar"/>
              </w:rPr>
              <w:t>氯离子</w:t>
            </w:r>
          </w:p>
        </w:tc>
        <w:tc>
          <w:tcPr>
            <w:tcW w:w="1101" w:type="dxa"/>
            <w:tcBorders>
              <w:tl2br w:val="nil"/>
              <w:tr2bl w:val="nil"/>
            </w:tcBorders>
            <w:vAlign w:val="center"/>
          </w:tcPr>
          <w:p w14:paraId="4A01B52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13.7</w:t>
            </w:r>
          </w:p>
        </w:tc>
        <w:tc>
          <w:tcPr>
            <w:tcW w:w="1027" w:type="dxa"/>
            <w:tcBorders>
              <w:tl2br w:val="nil"/>
              <w:tr2bl w:val="nil"/>
            </w:tcBorders>
            <w:vAlign w:val="center"/>
          </w:tcPr>
          <w:p w14:paraId="3E903BD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8.03</w:t>
            </w:r>
          </w:p>
        </w:tc>
        <w:tc>
          <w:tcPr>
            <w:tcW w:w="1038" w:type="dxa"/>
            <w:tcBorders>
              <w:tl2br w:val="nil"/>
              <w:tr2bl w:val="nil"/>
            </w:tcBorders>
            <w:vAlign w:val="center"/>
          </w:tcPr>
          <w:p w14:paraId="3E538AC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5.88</w:t>
            </w:r>
          </w:p>
        </w:tc>
        <w:tc>
          <w:tcPr>
            <w:tcW w:w="1077" w:type="dxa"/>
            <w:tcBorders>
              <w:tl2br w:val="nil"/>
              <w:tr2bl w:val="nil"/>
            </w:tcBorders>
            <w:vAlign w:val="center"/>
          </w:tcPr>
          <w:p w14:paraId="2600DE6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23.1</w:t>
            </w:r>
          </w:p>
        </w:tc>
        <w:tc>
          <w:tcPr>
            <w:tcW w:w="746" w:type="pct"/>
            <w:tcBorders>
              <w:tl2br w:val="nil"/>
              <w:tr2bl w:val="nil"/>
            </w:tcBorders>
            <w:vAlign w:val="center"/>
          </w:tcPr>
          <w:p w14:paraId="0A61AA0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6C5174F8" w14:textId="77777777">
        <w:trPr>
          <w:cantSplit/>
          <w:trHeight w:val="397"/>
          <w:jc w:val="center"/>
        </w:trPr>
        <w:tc>
          <w:tcPr>
            <w:tcW w:w="765" w:type="pct"/>
            <w:vMerge/>
            <w:tcBorders>
              <w:tl2br w:val="nil"/>
              <w:tr2bl w:val="nil"/>
            </w:tcBorders>
          </w:tcPr>
          <w:p w14:paraId="3C87531E"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2E8C8163" w14:textId="77777777" w:rsidR="009D12AF" w:rsidRDefault="00000000">
            <w:pPr>
              <w:widowControl/>
              <w:ind w:firstLineChars="0" w:firstLine="0"/>
              <w:jc w:val="center"/>
              <w:textAlignment w:val="center"/>
              <w:rPr>
                <w:rFonts w:ascii="Times New Roman" w:eastAsia="宋体" w:hAnsi="Times New Roman" w:cs="Times New Roman"/>
                <w:kern w:val="0"/>
                <w:sz w:val="21"/>
                <w:szCs w:val="21"/>
                <w:lang w:bidi="ar"/>
              </w:rPr>
            </w:pPr>
            <w:r>
              <w:rPr>
                <w:rFonts w:ascii="Times New Roman" w:hAnsi="Times New Roman" w:cs="Times New Roman" w:hint="eastAsia"/>
                <w:color w:val="000000"/>
                <w:kern w:val="0"/>
                <w:sz w:val="21"/>
                <w:szCs w:val="21"/>
                <w:lang w:bidi="ar"/>
              </w:rPr>
              <w:t>硫酸根</w:t>
            </w:r>
          </w:p>
        </w:tc>
        <w:tc>
          <w:tcPr>
            <w:tcW w:w="1101" w:type="dxa"/>
            <w:tcBorders>
              <w:tl2br w:val="nil"/>
              <w:tr2bl w:val="nil"/>
            </w:tcBorders>
            <w:vAlign w:val="center"/>
          </w:tcPr>
          <w:p w14:paraId="5F4C847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7.12</w:t>
            </w:r>
          </w:p>
        </w:tc>
        <w:tc>
          <w:tcPr>
            <w:tcW w:w="1027" w:type="dxa"/>
            <w:tcBorders>
              <w:tl2br w:val="nil"/>
              <w:tr2bl w:val="nil"/>
            </w:tcBorders>
            <w:vAlign w:val="center"/>
          </w:tcPr>
          <w:p w14:paraId="15837AD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15.2</w:t>
            </w:r>
          </w:p>
        </w:tc>
        <w:tc>
          <w:tcPr>
            <w:tcW w:w="1038" w:type="dxa"/>
            <w:tcBorders>
              <w:tl2br w:val="nil"/>
              <w:tr2bl w:val="nil"/>
            </w:tcBorders>
            <w:vAlign w:val="center"/>
          </w:tcPr>
          <w:p w14:paraId="700D46C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10.4</w:t>
            </w:r>
          </w:p>
        </w:tc>
        <w:tc>
          <w:tcPr>
            <w:tcW w:w="1077" w:type="dxa"/>
            <w:tcBorders>
              <w:tl2br w:val="nil"/>
              <w:tr2bl w:val="nil"/>
            </w:tcBorders>
            <w:vAlign w:val="center"/>
          </w:tcPr>
          <w:p w14:paraId="4860251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20.8</w:t>
            </w:r>
          </w:p>
        </w:tc>
        <w:tc>
          <w:tcPr>
            <w:tcW w:w="746" w:type="pct"/>
            <w:tcBorders>
              <w:tl2br w:val="nil"/>
              <w:tr2bl w:val="nil"/>
            </w:tcBorders>
            <w:vAlign w:val="center"/>
          </w:tcPr>
          <w:p w14:paraId="2B7CC2F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6F85CB32" w14:textId="77777777">
        <w:trPr>
          <w:cantSplit/>
          <w:trHeight w:val="397"/>
          <w:jc w:val="center"/>
        </w:trPr>
        <w:tc>
          <w:tcPr>
            <w:tcW w:w="765" w:type="pct"/>
            <w:vMerge/>
            <w:tcBorders>
              <w:tl2br w:val="nil"/>
              <w:tr2bl w:val="nil"/>
            </w:tcBorders>
          </w:tcPr>
          <w:p w14:paraId="0C01411D"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272BA21F" w14:textId="77777777" w:rsidR="009D12AF" w:rsidRDefault="00000000">
            <w:pPr>
              <w:pStyle w:val="TableText"/>
              <w:spacing w:line="219" w:lineRule="auto"/>
              <w:ind w:firstLineChars="0" w:firstLine="0"/>
              <w:jc w:val="center"/>
              <w:rPr>
                <w:rFonts w:ascii="Times New Roman" w:hAnsi="Times New Roman" w:cs="Times New Roman"/>
                <w:color w:val="000000"/>
                <w:kern w:val="0"/>
                <w:lang w:eastAsia="zh-CN" w:bidi="ar"/>
              </w:rPr>
            </w:pPr>
            <w:r>
              <w:rPr>
                <w:rFonts w:ascii="Times New Roman" w:hAnsi="Times New Roman" w:cs="Times New Roman"/>
                <w:spacing w:val="-2"/>
              </w:rPr>
              <w:t>硝酸盐氮</w:t>
            </w:r>
          </w:p>
        </w:tc>
        <w:tc>
          <w:tcPr>
            <w:tcW w:w="1101" w:type="dxa"/>
            <w:tcBorders>
              <w:tl2br w:val="nil"/>
              <w:tr2bl w:val="nil"/>
            </w:tcBorders>
            <w:vAlign w:val="center"/>
          </w:tcPr>
          <w:p w14:paraId="4FF735A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10.7</w:t>
            </w:r>
          </w:p>
        </w:tc>
        <w:tc>
          <w:tcPr>
            <w:tcW w:w="1027" w:type="dxa"/>
            <w:tcBorders>
              <w:tl2br w:val="nil"/>
              <w:tr2bl w:val="nil"/>
            </w:tcBorders>
            <w:vAlign w:val="center"/>
          </w:tcPr>
          <w:p w14:paraId="59D2694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3.77</w:t>
            </w:r>
          </w:p>
        </w:tc>
        <w:tc>
          <w:tcPr>
            <w:tcW w:w="1038" w:type="dxa"/>
            <w:tcBorders>
              <w:tl2br w:val="nil"/>
              <w:tr2bl w:val="nil"/>
            </w:tcBorders>
            <w:vAlign w:val="center"/>
          </w:tcPr>
          <w:p w14:paraId="781E0E0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4.90</w:t>
            </w:r>
          </w:p>
        </w:tc>
        <w:tc>
          <w:tcPr>
            <w:tcW w:w="1077" w:type="dxa"/>
            <w:tcBorders>
              <w:tl2br w:val="nil"/>
              <w:tr2bl w:val="nil"/>
            </w:tcBorders>
            <w:vAlign w:val="center"/>
          </w:tcPr>
          <w:p w14:paraId="340C193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11.8</w:t>
            </w:r>
          </w:p>
        </w:tc>
        <w:tc>
          <w:tcPr>
            <w:tcW w:w="746" w:type="pct"/>
            <w:tcBorders>
              <w:tl2br w:val="nil"/>
              <w:tr2bl w:val="nil"/>
            </w:tcBorders>
            <w:vAlign w:val="center"/>
          </w:tcPr>
          <w:p w14:paraId="4F2F957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7F31C3B4" w14:textId="77777777">
        <w:trPr>
          <w:cantSplit/>
          <w:trHeight w:val="397"/>
          <w:jc w:val="center"/>
        </w:trPr>
        <w:tc>
          <w:tcPr>
            <w:tcW w:w="765" w:type="pct"/>
            <w:vMerge/>
            <w:tcBorders>
              <w:tl2br w:val="nil"/>
              <w:tr2bl w:val="nil"/>
            </w:tcBorders>
          </w:tcPr>
          <w:p w14:paraId="7AD13C9D"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480F5230" w14:textId="77777777" w:rsidR="009D12AF" w:rsidRDefault="00000000">
            <w:pPr>
              <w:pStyle w:val="TableText"/>
              <w:spacing w:line="219" w:lineRule="auto"/>
              <w:ind w:firstLineChars="0" w:firstLine="0"/>
              <w:jc w:val="center"/>
              <w:rPr>
                <w:rFonts w:ascii="Times New Roman" w:hAnsi="Times New Roman" w:cs="Times New Roman"/>
                <w:color w:val="000000"/>
                <w:kern w:val="0"/>
                <w:lang w:eastAsia="zh-CN" w:bidi="ar"/>
              </w:rPr>
            </w:pPr>
            <w:r>
              <w:rPr>
                <w:rFonts w:ascii="Times New Roman" w:hAnsi="Times New Roman" w:cs="Times New Roman" w:hint="eastAsia"/>
                <w:spacing w:val="-2"/>
                <w:lang w:eastAsia="zh-CN"/>
              </w:rPr>
              <w:t>亚</w:t>
            </w:r>
            <w:r>
              <w:rPr>
                <w:rFonts w:ascii="Times New Roman" w:hAnsi="Times New Roman" w:cs="Times New Roman"/>
                <w:spacing w:val="-2"/>
              </w:rPr>
              <w:t>硝酸盐氮</w:t>
            </w:r>
          </w:p>
        </w:tc>
        <w:tc>
          <w:tcPr>
            <w:tcW w:w="1101" w:type="dxa"/>
            <w:tcBorders>
              <w:tl2br w:val="nil"/>
              <w:tr2bl w:val="nil"/>
            </w:tcBorders>
            <w:vAlign w:val="center"/>
          </w:tcPr>
          <w:p w14:paraId="0ED0DEB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0.003L</w:t>
            </w:r>
          </w:p>
        </w:tc>
        <w:tc>
          <w:tcPr>
            <w:tcW w:w="1027" w:type="dxa"/>
            <w:tcBorders>
              <w:tl2br w:val="nil"/>
              <w:tr2bl w:val="nil"/>
            </w:tcBorders>
            <w:vAlign w:val="center"/>
          </w:tcPr>
          <w:p w14:paraId="7DFD062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0.003L</w:t>
            </w:r>
          </w:p>
        </w:tc>
        <w:tc>
          <w:tcPr>
            <w:tcW w:w="1038" w:type="dxa"/>
            <w:tcBorders>
              <w:tl2br w:val="nil"/>
              <w:tr2bl w:val="nil"/>
            </w:tcBorders>
            <w:vAlign w:val="center"/>
          </w:tcPr>
          <w:p w14:paraId="6EE28AD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0.003L</w:t>
            </w:r>
          </w:p>
        </w:tc>
        <w:tc>
          <w:tcPr>
            <w:tcW w:w="1077" w:type="dxa"/>
            <w:tcBorders>
              <w:tl2br w:val="nil"/>
              <w:tr2bl w:val="nil"/>
            </w:tcBorders>
            <w:vAlign w:val="center"/>
          </w:tcPr>
          <w:p w14:paraId="03F5579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0.003L</w:t>
            </w:r>
          </w:p>
        </w:tc>
        <w:tc>
          <w:tcPr>
            <w:tcW w:w="746" w:type="pct"/>
            <w:tcBorders>
              <w:tl2br w:val="nil"/>
              <w:tr2bl w:val="nil"/>
            </w:tcBorders>
            <w:vAlign w:val="center"/>
          </w:tcPr>
          <w:p w14:paraId="762EDF1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2359A385" w14:textId="77777777">
        <w:trPr>
          <w:cantSplit/>
          <w:trHeight w:val="397"/>
          <w:jc w:val="center"/>
        </w:trPr>
        <w:tc>
          <w:tcPr>
            <w:tcW w:w="765" w:type="pct"/>
            <w:vMerge/>
            <w:tcBorders>
              <w:tl2br w:val="nil"/>
              <w:tr2bl w:val="nil"/>
            </w:tcBorders>
          </w:tcPr>
          <w:p w14:paraId="332DD9E3"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010C98EF" w14:textId="77777777" w:rsidR="009D12AF" w:rsidRDefault="00000000">
            <w:pPr>
              <w:pStyle w:val="TableText"/>
              <w:spacing w:line="219" w:lineRule="auto"/>
              <w:ind w:firstLineChars="0" w:firstLine="0"/>
              <w:jc w:val="center"/>
              <w:rPr>
                <w:rFonts w:ascii="Times New Roman" w:hAnsi="Times New Roman" w:cs="Times New Roman"/>
                <w:color w:val="000000"/>
                <w:kern w:val="0"/>
                <w:lang w:eastAsia="zh-CN" w:bidi="ar"/>
              </w:rPr>
            </w:pPr>
            <w:r>
              <w:rPr>
                <w:rFonts w:ascii="Times New Roman" w:hAnsi="Times New Roman" w:cs="Times New Roman" w:hint="eastAsia"/>
                <w:spacing w:val="-2"/>
                <w:lang w:eastAsia="zh-CN"/>
              </w:rPr>
              <w:t>氨氮</w:t>
            </w:r>
          </w:p>
        </w:tc>
        <w:tc>
          <w:tcPr>
            <w:tcW w:w="1101" w:type="dxa"/>
            <w:tcBorders>
              <w:tl2br w:val="nil"/>
              <w:tr2bl w:val="nil"/>
            </w:tcBorders>
            <w:vAlign w:val="center"/>
          </w:tcPr>
          <w:p w14:paraId="5B53B68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0.087</w:t>
            </w:r>
          </w:p>
        </w:tc>
        <w:tc>
          <w:tcPr>
            <w:tcW w:w="1027" w:type="dxa"/>
            <w:tcBorders>
              <w:tl2br w:val="nil"/>
              <w:tr2bl w:val="nil"/>
            </w:tcBorders>
            <w:vAlign w:val="center"/>
          </w:tcPr>
          <w:p w14:paraId="358E519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0.096</w:t>
            </w:r>
          </w:p>
        </w:tc>
        <w:tc>
          <w:tcPr>
            <w:tcW w:w="1038" w:type="dxa"/>
            <w:tcBorders>
              <w:tl2br w:val="nil"/>
              <w:tr2bl w:val="nil"/>
            </w:tcBorders>
            <w:vAlign w:val="center"/>
          </w:tcPr>
          <w:p w14:paraId="2FDD703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0.075</w:t>
            </w:r>
          </w:p>
        </w:tc>
        <w:tc>
          <w:tcPr>
            <w:tcW w:w="1077" w:type="dxa"/>
            <w:tcBorders>
              <w:tl2br w:val="nil"/>
              <w:tr2bl w:val="nil"/>
            </w:tcBorders>
            <w:vAlign w:val="center"/>
          </w:tcPr>
          <w:p w14:paraId="5D26BDB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0.081</w:t>
            </w:r>
          </w:p>
        </w:tc>
        <w:tc>
          <w:tcPr>
            <w:tcW w:w="746" w:type="pct"/>
            <w:tcBorders>
              <w:tl2br w:val="nil"/>
              <w:tr2bl w:val="nil"/>
            </w:tcBorders>
            <w:vAlign w:val="center"/>
          </w:tcPr>
          <w:p w14:paraId="3248866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77D3A623" w14:textId="77777777">
        <w:trPr>
          <w:cantSplit/>
          <w:trHeight w:val="397"/>
          <w:jc w:val="center"/>
        </w:trPr>
        <w:tc>
          <w:tcPr>
            <w:tcW w:w="765" w:type="pct"/>
            <w:vMerge/>
            <w:tcBorders>
              <w:tl2br w:val="nil"/>
              <w:tr2bl w:val="nil"/>
            </w:tcBorders>
          </w:tcPr>
          <w:p w14:paraId="40E2E754"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5BD15C54" w14:textId="77777777" w:rsidR="009D12AF" w:rsidRDefault="00000000">
            <w:pPr>
              <w:pStyle w:val="TableText"/>
              <w:spacing w:line="219" w:lineRule="auto"/>
              <w:ind w:firstLineChars="0" w:firstLine="0"/>
              <w:jc w:val="center"/>
              <w:rPr>
                <w:rFonts w:ascii="Times New Roman" w:hAnsi="Times New Roman" w:cs="Times New Roman"/>
                <w:color w:val="000000"/>
                <w:kern w:val="0"/>
                <w:lang w:eastAsia="zh-CN" w:bidi="ar"/>
              </w:rPr>
            </w:pPr>
            <w:r>
              <w:rPr>
                <w:rFonts w:ascii="Times New Roman" w:hAnsi="Times New Roman" w:cs="Times New Roman"/>
                <w:spacing w:val="-2"/>
              </w:rPr>
              <w:t>氰化物</w:t>
            </w:r>
          </w:p>
        </w:tc>
        <w:tc>
          <w:tcPr>
            <w:tcW w:w="1101" w:type="dxa"/>
            <w:tcBorders>
              <w:tl2br w:val="nil"/>
              <w:tr2bl w:val="nil"/>
            </w:tcBorders>
            <w:vAlign w:val="center"/>
          </w:tcPr>
          <w:p w14:paraId="09CFE20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0.002L</w:t>
            </w:r>
          </w:p>
        </w:tc>
        <w:tc>
          <w:tcPr>
            <w:tcW w:w="1027" w:type="dxa"/>
            <w:tcBorders>
              <w:tl2br w:val="nil"/>
              <w:tr2bl w:val="nil"/>
            </w:tcBorders>
            <w:vAlign w:val="center"/>
          </w:tcPr>
          <w:p w14:paraId="071FD6E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0.002L</w:t>
            </w:r>
          </w:p>
        </w:tc>
        <w:tc>
          <w:tcPr>
            <w:tcW w:w="1038" w:type="dxa"/>
            <w:tcBorders>
              <w:tl2br w:val="nil"/>
              <w:tr2bl w:val="nil"/>
            </w:tcBorders>
            <w:vAlign w:val="center"/>
          </w:tcPr>
          <w:p w14:paraId="6B842F0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0.002L</w:t>
            </w:r>
          </w:p>
        </w:tc>
        <w:tc>
          <w:tcPr>
            <w:tcW w:w="1077" w:type="dxa"/>
            <w:tcBorders>
              <w:tl2br w:val="nil"/>
              <w:tr2bl w:val="nil"/>
            </w:tcBorders>
            <w:vAlign w:val="center"/>
          </w:tcPr>
          <w:p w14:paraId="490C70C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0.002L</w:t>
            </w:r>
          </w:p>
        </w:tc>
        <w:tc>
          <w:tcPr>
            <w:tcW w:w="746" w:type="pct"/>
            <w:tcBorders>
              <w:tl2br w:val="nil"/>
              <w:tr2bl w:val="nil"/>
            </w:tcBorders>
            <w:vAlign w:val="center"/>
          </w:tcPr>
          <w:p w14:paraId="7D4FC20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2E6AE1FD" w14:textId="77777777">
        <w:trPr>
          <w:cantSplit/>
          <w:trHeight w:val="397"/>
          <w:jc w:val="center"/>
        </w:trPr>
        <w:tc>
          <w:tcPr>
            <w:tcW w:w="765" w:type="pct"/>
            <w:vMerge/>
            <w:tcBorders>
              <w:tl2br w:val="nil"/>
              <w:tr2bl w:val="nil"/>
            </w:tcBorders>
          </w:tcPr>
          <w:p w14:paraId="0D998906"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562A6BD7" w14:textId="77777777" w:rsidR="009D12AF" w:rsidRDefault="00000000">
            <w:pPr>
              <w:pStyle w:val="TableText"/>
              <w:ind w:firstLineChars="0" w:firstLine="0"/>
              <w:jc w:val="center"/>
              <w:rPr>
                <w:rFonts w:ascii="Times New Roman" w:hAnsi="Times New Roman" w:cs="Times New Roman"/>
                <w:color w:val="000000"/>
                <w:kern w:val="0"/>
                <w:lang w:eastAsia="zh-CN" w:bidi="ar"/>
              </w:rPr>
            </w:pPr>
            <w:r>
              <w:rPr>
                <w:rFonts w:ascii="Times New Roman" w:hAnsi="Times New Roman" w:cs="Times New Roman" w:hint="eastAsia"/>
                <w:color w:val="000000"/>
                <w:kern w:val="0"/>
                <w:lang w:eastAsia="zh-CN" w:bidi="ar"/>
              </w:rPr>
              <w:t>挥发酚</w:t>
            </w:r>
          </w:p>
        </w:tc>
        <w:tc>
          <w:tcPr>
            <w:tcW w:w="1101" w:type="dxa"/>
            <w:tcBorders>
              <w:tl2br w:val="nil"/>
              <w:tr2bl w:val="nil"/>
            </w:tcBorders>
            <w:vAlign w:val="center"/>
          </w:tcPr>
          <w:p w14:paraId="34780DF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027" w:type="dxa"/>
            <w:tcBorders>
              <w:tl2br w:val="nil"/>
              <w:tr2bl w:val="nil"/>
            </w:tcBorders>
            <w:vAlign w:val="center"/>
          </w:tcPr>
          <w:p w14:paraId="7CBBB38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038" w:type="dxa"/>
            <w:tcBorders>
              <w:tl2br w:val="nil"/>
              <w:tr2bl w:val="nil"/>
            </w:tcBorders>
            <w:vAlign w:val="center"/>
          </w:tcPr>
          <w:p w14:paraId="47E3789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077" w:type="dxa"/>
            <w:tcBorders>
              <w:tl2br w:val="nil"/>
              <w:tr2bl w:val="nil"/>
            </w:tcBorders>
            <w:vAlign w:val="center"/>
          </w:tcPr>
          <w:p w14:paraId="7C953EC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746" w:type="pct"/>
            <w:tcBorders>
              <w:tl2br w:val="nil"/>
              <w:tr2bl w:val="nil"/>
            </w:tcBorders>
            <w:vAlign w:val="center"/>
          </w:tcPr>
          <w:p w14:paraId="0496F61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671E7A12" w14:textId="77777777">
        <w:trPr>
          <w:cantSplit/>
          <w:trHeight w:val="397"/>
          <w:jc w:val="center"/>
        </w:trPr>
        <w:tc>
          <w:tcPr>
            <w:tcW w:w="765" w:type="pct"/>
            <w:vMerge/>
            <w:tcBorders>
              <w:tl2br w:val="nil"/>
              <w:tr2bl w:val="nil"/>
            </w:tcBorders>
          </w:tcPr>
          <w:p w14:paraId="556C6B65"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3B60DC48"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砷</w:t>
            </w:r>
          </w:p>
        </w:tc>
        <w:tc>
          <w:tcPr>
            <w:tcW w:w="1101" w:type="dxa"/>
            <w:tcBorders>
              <w:tl2br w:val="nil"/>
              <w:tr2bl w:val="nil"/>
            </w:tcBorders>
            <w:vAlign w:val="center"/>
          </w:tcPr>
          <w:p w14:paraId="0DEF80C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027" w:type="dxa"/>
            <w:tcBorders>
              <w:tl2br w:val="nil"/>
              <w:tr2bl w:val="nil"/>
            </w:tcBorders>
            <w:vAlign w:val="center"/>
          </w:tcPr>
          <w:p w14:paraId="382C759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038" w:type="dxa"/>
            <w:tcBorders>
              <w:tl2br w:val="nil"/>
              <w:tr2bl w:val="nil"/>
            </w:tcBorders>
            <w:vAlign w:val="center"/>
          </w:tcPr>
          <w:p w14:paraId="1CA6E74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1077" w:type="dxa"/>
            <w:tcBorders>
              <w:tl2br w:val="nil"/>
              <w:tr2bl w:val="nil"/>
            </w:tcBorders>
            <w:vAlign w:val="center"/>
          </w:tcPr>
          <w:p w14:paraId="4A03AA6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0.0003L</w:t>
            </w:r>
          </w:p>
        </w:tc>
        <w:tc>
          <w:tcPr>
            <w:tcW w:w="746" w:type="pct"/>
            <w:tcBorders>
              <w:tl2br w:val="nil"/>
              <w:tr2bl w:val="nil"/>
            </w:tcBorders>
            <w:vAlign w:val="center"/>
          </w:tcPr>
          <w:p w14:paraId="09ADAEF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57F28EE0" w14:textId="77777777">
        <w:trPr>
          <w:cantSplit/>
          <w:trHeight w:val="397"/>
          <w:jc w:val="center"/>
        </w:trPr>
        <w:tc>
          <w:tcPr>
            <w:tcW w:w="765" w:type="pct"/>
            <w:vMerge/>
            <w:tcBorders>
              <w:tl2br w:val="nil"/>
              <w:tr2bl w:val="nil"/>
            </w:tcBorders>
          </w:tcPr>
          <w:p w14:paraId="173DE8CC"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3D188EEF"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汞</w:t>
            </w:r>
          </w:p>
        </w:tc>
        <w:tc>
          <w:tcPr>
            <w:tcW w:w="1101" w:type="dxa"/>
            <w:tcBorders>
              <w:tl2br w:val="nil"/>
              <w:tr2bl w:val="nil"/>
            </w:tcBorders>
            <w:vAlign w:val="center"/>
          </w:tcPr>
          <w:p w14:paraId="723042D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027" w:type="dxa"/>
            <w:tcBorders>
              <w:tl2br w:val="nil"/>
              <w:tr2bl w:val="nil"/>
            </w:tcBorders>
            <w:vAlign w:val="center"/>
          </w:tcPr>
          <w:p w14:paraId="4080E7A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038" w:type="dxa"/>
            <w:tcBorders>
              <w:tl2br w:val="nil"/>
              <w:tr2bl w:val="nil"/>
            </w:tcBorders>
            <w:vAlign w:val="center"/>
          </w:tcPr>
          <w:p w14:paraId="2C44D34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1077" w:type="dxa"/>
            <w:tcBorders>
              <w:tl2br w:val="nil"/>
              <w:tr2bl w:val="nil"/>
            </w:tcBorders>
            <w:vAlign w:val="center"/>
          </w:tcPr>
          <w:p w14:paraId="676944A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0.00002L</w:t>
            </w:r>
          </w:p>
        </w:tc>
        <w:tc>
          <w:tcPr>
            <w:tcW w:w="746" w:type="pct"/>
            <w:tcBorders>
              <w:tl2br w:val="nil"/>
              <w:tr2bl w:val="nil"/>
            </w:tcBorders>
            <w:vAlign w:val="center"/>
          </w:tcPr>
          <w:p w14:paraId="4C7C4F1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6A3F9729" w14:textId="77777777">
        <w:trPr>
          <w:cantSplit/>
          <w:trHeight w:val="397"/>
          <w:jc w:val="center"/>
        </w:trPr>
        <w:tc>
          <w:tcPr>
            <w:tcW w:w="765" w:type="pct"/>
            <w:vMerge/>
            <w:tcBorders>
              <w:tl2br w:val="nil"/>
              <w:tr2bl w:val="nil"/>
            </w:tcBorders>
          </w:tcPr>
          <w:p w14:paraId="0F6014B3"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7406CB06"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铬（六价）</w:t>
            </w:r>
          </w:p>
        </w:tc>
        <w:tc>
          <w:tcPr>
            <w:tcW w:w="1101" w:type="dxa"/>
            <w:tcBorders>
              <w:tl2br w:val="nil"/>
              <w:tr2bl w:val="nil"/>
            </w:tcBorders>
            <w:vAlign w:val="center"/>
          </w:tcPr>
          <w:p w14:paraId="43A7A7A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027" w:type="dxa"/>
            <w:tcBorders>
              <w:tl2br w:val="nil"/>
              <w:tr2bl w:val="nil"/>
            </w:tcBorders>
            <w:vAlign w:val="center"/>
          </w:tcPr>
          <w:p w14:paraId="11D6AE7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038" w:type="dxa"/>
            <w:tcBorders>
              <w:tl2br w:val="nil"/>
              <w:tr2bl w:val="nil"/>
            </w:tcBorders>
            <w:vAlign w:val="center"/>
          </w:tcPr>
          <w:p w14:paraId="73F0096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1077" w:type="dxa"/>
            <w:tcBorders>
              <w:tl2br w:val="nil"/>
              <w:tr2bl w:val="nil"/>
            </w:tcBorders>
            <w:vAlign w:val="center"/>
          </w:tcPr>
          <w:p w14:paraId="5AA5D67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0.004L</w:t>
            </w:r>
          </w:p>
        </w:tc>
        <w:tc>
          <w:tcPr>
            <w:tcW w:w="746" w:type="pct"/>
            <w:tcBorders>
              <w:tl2br w:val="nil"/>
              <w:tr2bl w:val="nil"/>
            </w:tcBorders>
            <w:vAlign w:val="center"/>
          </w:tcPr>
          <w:p w14:paraId="27224F0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1D92E0B6" w14:textId="77777777">
        <w:trPr>
          <w:cantSplit/>
          <w:trHeight w:val="397"/>
          <w:jc w:val="center"/>
        </w:trPr>
        <w:tc>
          <w:tcPr>
            <w:tcW w:w="765" w:type="pct"/>
            <w:vMerge/>
            <w:tcBorders>
              <w:tl2br w:val="nil"/>
              <w:tr2bl w:val="nil"/>
            </w:tcBorders>
          </w:tcPr>
          <w:p w14:paraId="24970040"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4FF1507F"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镉</w:t>
            </w:r>
          </w:p>
        </w:tc>
        <w:tc>
          <w:tcPr>
            <w:tcW w:w="1101" w:type="dxa"/>
            <w:tcBorders>
              <w:tl2br w:val="nil"/>
              <w:tr2bl w:val="nil"/>
            </w:tcBorders>
            <w:vAlign w:val="center"/>
          </w:tcPr>
          <w:p w14:paraId="77A9E94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0.0002</w:t>
            </w:r>
          </w:p>
        </w:tc>
        <w:tc>
          <w:tcPr>
            <w:tcW w:w="1027" w:type="dxa"/>
            <w:tcBorders>
              <w:tl2br w:val="nil"/>
              <w:tr2bl w:val="nil"/>
            </w:tcBorders>
            <w:vAlign w:val="center"/>
          </w:tcPr>
          <w:p w14:paraId="4C67647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0.0001L</w:t>
            </w:r>
          </w:p>
        </w:tc>
        <w:tc>
          <w:tcPr>
            <w:tcW w:w="1038" w:type="dxa"/>
            <w:tcBorders>
              <w:tl2br w:val="nil"/>
              <w:tr2bl w:val="nil"/>
            </w:tcBorders>
            <w:vAlign w:val="center"/>
          </w:tcPr>
          <w:p w14:paraId="358720FF"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0.0001</w:t>
            </w:r>
          </w:p>
        </w:tc>
        <w:tc>
          <w:tcPr>
            <w:tcW w:w="1077" w:type="dxa"/>
            <w:tcBorders>
              <w:tl2br w:val="nil"/>
              <w:tr2bl w:val="nil"/>
            </w:tcBorders>
            <w:vAlign w:val="center"/>
          </w:tcPr>
          <w:p w14:paraId="1C09ADB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0.0003</w:t>
            </w:r>
          </w:p>
        </w:tc>
        <w:tc>
          <w:tcPr>
            <w:tcW w:w="746" w:type="pct"/>
            <w:tcBorders>
              <w:tl2br w:val="nil"/>
              <w:tr2bl w:val="nil"/>
            </w:tcBorders>
            <w:vAlign w:val="center"/>
          </w:tcPr>
          <w:p w14:paraId="3A59AEC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63249DA6" w14:textId="77777777">
        <w:trPr>
          <w:cantSplit/>
          <w:trHeight w:val="397"/>
          <w:jc w:val="center"/>
        </w:trPr>
        <w:tc>
          <w:tcPr>
            <w:tcW w:w="765" w:type="pct"/>
            <w:vMerge/>
            <w:tcBorders>
              <w:tl2br w:val="nil"/>
              <w:tr2bl w:val="nil"/>
            </w:tcBorders>
          </w:tcPr>
          <w:p w14:paraId="26C3667C"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313F57A6"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铅</w:t>
            </w:r>
          </w:p>
        </w:tc>
        <w:tc>
          <w:tcPr>
            <w:tcW w:w="1101" w:type="dxa"/>
            <w:tcBorders>
              <w:tl2br w:val="nil"/>
              <w:tr2bl w:val="nil"/>
            </w:tcBorders>
            <w:vAlign w:val="center"/>
          </w:tcPr>
          <w:p w14:paraId="6612426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027" w:type="dxa"/>
            <w:tcBorders>
              <w:tl2br w:val="nil"/>
              <w:tr2bl w:val="nil"/>
            </w:tcBorders>
            <w:vAlign w:val="center"/>
          </w:tcPr>
          <w:p w14:paraId="658A9E7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038" w:type="dxa"/>
            <w:tcBorders>
              <w:tl2br w:val="nil"/>
              <w:tr2bl w:val="nil"/>
            </w:tcBorders>
            <w:vAlign w:val="center"/>
          </w:tcPr>
          <w:p w14:paraId="11ED4F4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1077" w:type="dxa"/>
            <w:tcBorders>
              <w:tl2br w:val="nil"/>
              <w:tr2bl w:val="nil"/>
            </w:tcBorders>
            <w:vAlign w:val="center"/>
          </w:tcPr>
          <w:p w14:paraId="58067AA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0.001L</w:t>
            </w:r>
          </w:p>
        </w:tc>
        <w:tc>
          <w:tcPr>
            <w:tcW w:w="746" w:type="pct"/>
            <w:tcBorders>
              <w:tl2br w:val="nil"/>
              <w:tr2bl w:val="nil"/>
            </w:tcBorders>
            <w:vAlign w:val="center"/>
          </w:tcPr>
          <w:p w14:paraId="0B9B62A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06BC7F5E" w14:textId="77777777">
        <w:trPr>
          <w:cantSplit/>
          <w:trHeight w:val="397"/>
          <w:jc w:val="center"/>
        </w:trPr>
        <w:tc>
          <w:tcPr>
            <w:tcW w:w="765" w:type="pct"/>
            <w:vMerge/>
            <w:tcBorders>
              <w:tl2br w:val="nil"/>
              <w:tr2bl w:val="nil"/>
            </w:tcBorders>
          </w:tcPr>
          <w:p w14:paraId="0EC0C23F"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13E8B5AB"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铁</w:t>
            </w:r>
          </w:p>
        </w:tc>
        <w:tc>
          <w:tcPr>
            <w:tcW w:w="1101" w:type="dxa"/>
            <w:tcBorders>
              <w:tl2br w:val="nil"/>
              <w:tr2bl w:val="nil"/>
            </w:tcBorders>
            <w:vAlign w:val="center"/>
          </w:tcPr>
          <w:p w14:paraId="618E1F3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0.03L</w:t>
            </w:r>
          </w:p>
        </w:tc>
        <w:tc>
          <w:tcPr>
            <w:tcW w:w="1027" w:type="dxa"/>
            <w:tcBorders>
              <w:tl2br w:val="nil"/>
              <w:tr2bl w:val="nil"/>
            </w:tcBorders>
            <w:vAlign w:val="center"/>
          </w:tcPr>
          <w:p w14:paraId="245130E4"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0.03L</w:t>
            </w:r>
          </w:p>
        </w:tc>
        <w:tc>
          <w:tcPr>
            <w:tcW w:w="1038" w:type="dxa"/>
            <w:tcBorders>
              <w:tl2br w:val="nil"/>
              <w:tr2bl w:val="nil"/>
            </w:tcBorders>
            <w:vAlign w:val="center"/>
          </w:tcPr>
          <w:p w14:paraId="59CD6A7A"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0.03L</w:t>
            </w:r>
          </w:p>
        </w:tc>
        <w:tc>
          <w:tcPr>
            <w:tcW w:w="1077" w:type="dxa"/>
            <w:tcBorders>
              <w:tl2br w:val="nil"/>
              <w:tr2bl w:val="nil"/>
            </w:tcBorders>
            <w:vAlign w:val="center"/>
          </w:tcPr>
          <w:p w14:paraId="387AA76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0.03L</w:t>
            </w:r>
          </w:p>
        </w:tc>
        <w:tc>
          <w:tcPr>
            <w:tcW w:w="746" w:type="pct"/>
            <w:tcBorders>
              <w:tl2br w:val="nil"/>
              <w:tr2bl w:val="nil"/>
            </w:tcBorders>
            <w:vAlign w:val="center"/>
          </w:tcPr>
          <w:p w14:paraId="5474250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3C01E7CF" w14:textId="77777777">
        <w:trPr>
          <w:cantSplit/>
          <w:trHeight w:val="397"/>
          <w:jc w:val="center"/>
        </w:trPr>
        <w:tc>
          <w:tcPr>
            <w:tcW w:w="765" w:type="pct"/>
            <w:vMerge/>
            <w:tcBorders>
              <w:tl2br w:val="nil"/>
              <w:tr2bl w:val="nil"/>
            </w:tcBorders>
          </w:tcPr>
          <w:p w14:paraId="086EF120"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2325000A"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锰</w:t>
            </w:r>
          </w:p>
        </w:tc>
        <w:tc>
          <w:tcPr>
            <w:tcW w:w="1101" w:type="dxa"/>
            <w:tcBorders>
              <w:tl2br w:val="nil"/>
              <w:tr2bl w:val="nil"/>
            </w:tcBorders>
            <w:vAlign w:val="center"/>
          </w:tcPr>
          <w:p w14:paraId="5D7F47F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0.02</w:t>
            </w:r>
          </w:p>
        </w:tc>
        <w:tc>
          <w:tcPr>
            <w:tcW w:w="1027" w:type="dxa"/>
            <w:tcBorders>
              <w:tl2br w:val="nil"/>
              <w:tr2bl w:val="nil"/>
            </w:tcBorders>
            <w:vAlign w:val="center"/>
          </w:tcPr>
          <w:p w14:paraId="76F7A6E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0.02</w:t>
            </w:r>
          </w:p>
        </w:tc>
        <w:tc>
          <w:tcPr>
            <w:tcW w:w="1038" w:type="dxa"/>
            <w:tcBorders>
              <w:tl2br w:val="nil"/>
              <w:tr2bl w:val="nil"/>
            </w:tcBorders>
            <w:vAlign w:val="center"/>
          </w:tcPr>
          <w:p w14:paraId="15CA577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0.02</w:t>
            </w:r>
          </w:p>
        </w:tc>
        <w:tc>
          <w:tcPr>
            <w:tcW w:w="1077" w:type="dxa"/>
            <w:tcBorders>
              <w:tl2br w:val="nil"/>
              <w:tr2bl w:val="nil"/>
            </w:tcBorders>
            <w:vAlign w:val="center"/>
          </w:tcPr>
          <w:p w14:paraId="0E8A339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0.03</w:t>
            </w:r>
          </w:p>
        </w:tc>
        <w:tc>
          <w:tcPr>
            <w:tcW w:w="746" w:type="pct"/>
            <w:tcBorders>
              <w:tl2br w:val="nil"/>
              <w:tr2bl w:val="nil"/>
            </w:tcBorders>
            <w:vAlign w:val="center"/>
          </w:tcPr>
          <w:p w14:paraId="66EA0D02"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037AC495" w14:textId="77777777">
        <w:trPr>
          <w:cantSplit/>
          <w:trHeight w:val="397"/>
          <w:jc w:val="center"/>
        </w:trPr>
        <w:tc>
          <w:tcPr>
            <w:tcW w:w="765" w:type="pct"/>
            <w:vMerge/>
            <w:tcBorders>
              <w:tl2br w:val="nil"/>
              <w:tr2bl w:val="nil"/>
            </w:tcBorders>
          </w:tcPr>
          <w:p w14:paraId="3026C120"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59CBA2B1"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高锰酸盐指数</w:t>
            </w:r>
          </w:p>
        </w:tc>
        <w:tc>
          <w:tcPr>
            <w:tcW w:w="1101" w:type="dxa"/>
            <w:tcBorders>
              <w:tl2br w:val="nil"/>
              <w:tr2bl w:val="nil"/>
            </w:tcBorders>
            <w:vAlign w:val="center"/>
          </w:tcPr>
          <w:p w14:paraId="742D57B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0.8</w:t>
            </w:r>
          </w:p>
        </w:tc>
        <w:tc>
          <w:tcPr>
            <w:tcW w:w="1027" w:type="dxa"/>
            <w:tcBorders>
              <w:tl2br w:val="nil"/>
              <w:tr2bl w:val="nil"/>
            </w:tcBorders>
            <w:vAlign w:val="center"/>
          </w:tcPr>
          <w:p w14:paraId="0A8BB5A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0.6</w:t>
            </w:r>
          </w:p>
        </w:tc>
        <w:tc>
          <w:tcPr>
            <w:tcW w:w="1038" w:type="dxa"/>
            <w:tcBorders>
              <w:tl2br w:val="nil"/>
              <w:tr2bl w:val="nil"/>
            </w:tcBorders>
            <w:vAlign w:val="center"/>
          </w:tcPr>
          <w:p w14:paraId="2CC52A07"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0.9</w:t>
            </w:r>
          </w:p>
        </w:tc>
        <w:tc>
          <w:tcPr>
            <w:tcW w:w="1077" w:type="dxa"/>
            <w:tcBorders>
              <w:tl2br w:val="nil"/>
              <w:tr2bl w:val="nil"/>
            </w:tcBorders>
            <w:vAlign w:val="center"/>
          </w:tcPr>
          <w:p w14:paraId="22EA1E4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1.1</w:t>
            </w:r>
          </w:p>
        </w:tc>
        <w:tc>
          <w:tcPr>
            <w:tcW w:w="746" w:type="pct"/>
            <w:tcBorders>
              <w:tl2br w:val="nil"/>
              <w:tr2bl w:val="nil"/>
            </w:tcBorders>
            <w:vAlign w:val="center"/>
          </w:tcPr>
          <w:p w14:paraId="0A97FAB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50D6BD6A" w14:textId="77777777">
        <w:trPr>
          <w:cantSplit/>
          <w:trHeight w:val="397"/>
          <w:jc w:val="center"/>
        </w:trPr>
        <w:tc>
          <w:tcPr>
            <w:tcW w:w="765" w:type="pct"/>
            <w:vMerge/>
            <w:tcBorders>
              <w:tl2br w:val="nil"/>
              <w:tr2bl w:val="nil"/>
            </w:tcBorders>
          </w:tcPr>
          <w:p w14:paraId="17D44A25"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462D21E4"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总大肠菌群</w:t>
            </w:r>
          </w:p>
        </w:tc>
        <w:tc>
          <w:tcPr>
            <w:tcW w:w="1101" w:type="dxa"/>
            <w:tcBorders>
              <w:tl2br w:val="nil"/>
              <w:tr2bl w:val="nil"/>
            </w:tcBorders>
            <w:vAlign w:val="center"/>
          </w:tcPr>
          <w:p w14:paraId="4C7A075C"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&lt;2</w:t>
            </w:r>
          </w:p>
        </w:tc>
        <w:tc>
          <w:tcPr>
            <w:tcW w:w="1027" w:type="dxa"/>
            <w:tcBorders>
              <w:tl2br w:val="nil"/>
              <w:tr2bl w:val="nil"/>
            </w:tcBorders>
            <w:vAlign w:val="center"/>
          </w:tcPr>
          <w:p w14:paraId="007944F8"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&lt;2</w:t>
            </w:r>
          </w:p>
        </w:tc>
        <w:tc>
          <w:tcPr>
            <w:tcW w:w="1038" w:type="dxa"/>
            <w:tcBorders>
              <w:tl2br w:val="nil"/>
              <w:tr2bl w:val="nil"/>
            </w:tcBorders>
            <w:vAlign w:val="center"/>
          </w:tcPr>
          <w:p w14:paraId="47578AD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&lt;2</w:t>
            </w:r>
          </w:p>
        </w:tc>
        <w:tc>
          <w:tcPr>
            <w:tcW w:w="1077" w:type="dxa"/>
            <w:tcBorders>
              <w:tl2br w:val="nil"/>
              <w:tr2bl w:val="nil"/>
            </w:tcBorders>
            <w:vAlign w:val="center"/>
          </w:tcPr>
          <w:p w14:paraId="0475AB5B"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&lt;2</w:t>
            </w:r>
          </w:p>
        </w:tc>
        <w:tc>
          <w:tcPr>
            <w:tcW w:w="746" w:type="pct"/>
            <w:tcBorders>
              <w:tl2br w:val="nil"/>
              <w:tr2bl w:val="nil"/>
            </w:tcBorders>
            <w:vAlign w:val="center"/>
          </w:tcPr>
          <w:p w14:paraId="313B73D0"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MPN</w:t>
            </w:r>
            <w:r>
              <w:rPr>
                <w:rFonts w:ascii="Times New Roman" w:hAnsi="Times New Roman" w:cs="Times New Roman"/>
                <w:sz w:val="21"/>
                <w:szCs w:val="21"/>
              </w:rPr>
              <w:t>/</w:t>
            </w:r>
            <w:r>
              <w:rPr>
                <w:rFonts w:ascii="Times New Roman" w:hAnsi="Times New Roman" w:cs="Times New Roman" w:hint="eastAsia"/>
                <w:sz w:val="21"/>
                <w:szCs w:val="21"/>
              </w:rPr>
              <w:t>100mL</w:t>
            </w:r>
          </w:p>
        </w:tc>
      </w:tr>
      <w:tr w:rsidR="009D12AF" w14:paraId="0525C195" w14:textId="77777777">
        <w:trPr>
          <w:cantSplit/>
          <w:trHeight w:val="397"/>
          <w:jc w:val="center"/>
        </w:trPr>
        <w:tc>
          <w:tcPr>
            <w:tcW w:w="765" w:type="pct"/>
            <w:vMerge/>
            <w:tcBorders>
              <w:tl2br w:val="nil"/>
              <w:tr2bl w:val="nil"/>
            </w:tcBorders>
          </w:tcPr>
          <w:p w14:paraId="592D76F4"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40395A9D"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细菌总数</w:t>
            </w:r>
          </w:p>
        </w:tc>
        <w:tc>
          <w:tcPr>
            <w:tcW w:w="1101" w:type="dxa"/>
            <w:tcBorders>
              <w:tl2br w:val="nil"/>
              <w:tr2bl w:val="nil"/>
            </w:tcBorders>
            <w:vAlign w:val="center"/>
          </w:tcPr>
          <w:p w14:paraId="7356090E"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48</w:t>
            </w:r>
          </w:p>
        </w:tc>
        <w:tc>
          <w:tcPr>
            <w:tcW w:w="1027" w:type="dxa"/>
            <w:tcBorders>
              <w:tl2br w:val="nil"/>
              <w:tr2bl w:val="nil"/>
            </w:tcBorders>
            <w:vAlign w:val="center"/>
          </w:tcPr>
          <w:p w14:paraId="46A65DF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57</w:t>
            </w:r>
          </w:p>
        </w:tc>
        <w:tc>
          <w:tcPr>
            <w:tcW w:w="1038" w:type="dxa"/>
            <w:tcBorders>
              <w:tl2br w:val="nil"/>
              <w:tr2bl w:val="nil"/>
            </w:tcBorders>
            <w:vAlign w:val="center"/>
          </w:tcPr>
          <w:p w14:paraId="77708F2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76</w:t>
            </w:r>
          </w:p>
        </w:tc>
        <w:tc>
          <w:tcPr>
            <w:tcW w:w="1077" w:type="dxa"/>
            <w:tcBorders>
              <w:tl2br w:val="nil"/>
              <w:tr2bl w:val="nil"/>
            </w:tcBorders>
            <w:vAlign w:val="center"/>
          </w:tcPr>
          <w:p w14:paraId="34306F49"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65</w:t>
            </w:r>
          </w:p>
        </w:tc>
        <w:tc>
          <w:tcPr>
            <w:tcW w:w="746" w:type="pct"/>
            <w:tcBorders>
              <w:tl2br w:val="nil"/>
              <w:tr2bl w:val="nil"/>
            </w:tcBorders>
            <w:vAlign w:val="center"/>
          </w:tcPr>
          <w:p w14:paraId="412A0C46"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CFU/mL</w:t>
            </w:r>
          </w:p>
        </w:tc>
      </w:tr>
      <w:tr w:rsidR="009D12AF" w14:paraId="43959818" w14:textId="77777777">
        <w:trPr>
          <w:cantSplit/>
          <w:trHeight w:val="397"/>
          <w:jc w:val="center"/>
        </w:trPr>
        <w:tc>
          <w:tcPr>
            <w:tcW w:w="765" w:type="pct"/>
            <w:vMerge/>
            <w:tcBorders>
              <w:tl2br w:val="nil"/>
              <w:tr2bl w:val="nil"/>
            </w:tcBorders>
          </w:tcPr>
          <w:p w14:paraId="1480370A"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15CC402B"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氯化物</w:t>
            </w:r>
          </w:p>
        </w:tc>
        <w:tc>
          <w:tcPr>
            <w:tcW w:w="1101" w:type="dxa"/>
            <w:tcBorders>
              <w:tl2br w:val="nil"/>
              <w:tr2bl w:val="nil"/>
            </w:tcBorders>
            <w:vAlign w:val="center"/>
          </w:tcPr>
          <w:p w14:paraId="57C67AAD"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13.7</w:t>
            </w:r>
          </w:p>
        </w:tc>
        <w:tc>
          <w:tcPr>
            <w:tcW w:w="1027" w:type="dxa"/>
            <w:tcBorders>
              <w:tl2br w:val="nil"/>
              <w:tr2bl w:val="nil"/>
            </w:tcBorders>
            <w:vAlign w:val="center"/>
          </w:tcPr>
          <w:p w14:paraId="745D1C81" w14:textId="77777777" w:rsidR="009D12AF" w:rsidRDefault="00000000">
            <w:pPr>
              <w:widowControl/>
              <w:spacing w:line="240" w:lineRule="exact"/>
              <w:ind w:firstLineChars="0" w:firstLine="0"/>
              <w:jc w:val="center"/>
              <w:rPr>
                <w:rFonts w:ascii="Times New Roman" w:eastAsia="宋体" w:hAnsi="Times New Roman" w:cs="Times New Roman"/>
                <w:color w:val="00B050"/>
                <w:sz w:val="21"/>
                <w:szCs w:val="21"/>
              </w:rPr>
            </w:pPr>
            <w:r>
              <w:rPr>
                <w:rFonts w:ascii="Times New Roman" w:hAnsi="Times New Roman" w:cs="Times New Roman" w:hint="eastAsia"/>
                <w:sz w:val="21"/>
                <w:szCs w:val="21"/>
              </w:rPr>
              <w:t>8.03</w:t>
            </w:r>
          </w:p>
        </w:tc>
        <w:tc>
          <w:tcPr>
            <w:tcW w:w="1038" w:type="dxa"/>
            <w:tcBorders>
              <w:tl2br w:val="nil"/>
              <w:tr2bl w:val="nil"/>
            </w:tcBorders>
            <w:vAlign w:val="center"/>
          </w:tcPr>
          <w:p w14:paraId="331B8304" w14:textId="77777777" w:rsidR="009D12AF" w:rsidRDefault="00000000">
            <w:pPr>
              <w:widowControl/>
              <w:spacing w:line="240" w:lineRule="exact"/>
              <w:ind w:firstLineChars="0" w:firstLine="0"/>
              <w:jc w:val="center"/>
              <w:rPr>
                <w:rFonts w:ascii="Times New Roman" w:eastAsia="宋体" w:hAnsi="Times New Roman" w:cs="Times New Roman"/>
                <w:color w:val="00B050"/>
                <w:sz w:val="21"/>
                <w:szCs w:val="21"/>
              </w:rPr>
            </w:pPr>
            <w:r>
              <w:rPr>
                <w:rFonts w:ascii="Times New Roman" w:hAnsi="Times New Roman" w:cs="Times New Roman" w:hint="eastAsia"/>
                <w:sz w:val="21"/>
                <w:szCs w:val="21"/>
              </w:rPr>
              <w:t>5.88</w:t>
            </w:r>
          </w:p>
        </w:tc>
        <w:tc>
          <w:tcPr>
            <w:tcW w:w="1077" w:type="dxa"/>
            <w:tcBorders>
              <w:tl2br w:val="nil"/>
              <w:tr2bl w:val="nil"/>
            </w:tcBorders>
            <w:vAlign w:val="center"/>
          </w:tcPr>
          <w:p w14:paraId="417DF78F" w14:textId="77777777" w:rsidR="009D12AF" w:rsidRDefault="00000000">
            <w:pPr>
              <w:widowControl/>
              <w:spacing w:line="240" w:lineRule="exact"/>
              <w:ind w:firstLineChars="0" w:firstLine="0"/>
              <w:jc w:val="center"/>
              <w:rPr>
                <w:rFonts w:ascii="Times New Roman" w:eastAsia="宋体" w:hAnsi="Times New Roman" w:cs="Times New Roman"/>
                <w:color w:val="00B050"/>
                <w:sz w:val="21"/>
                <w:szCs w:val="21"/>
              </w:rPr>
            </w:pPr>
            <w:r>
              <w:rPr>
                <w:rFonts w:ascii="Times New Roman" w:hAnsi="Times New Roman" w:cs="Times New Roman" w:hint="eastAsia"/>
                <w:sz w:val="21"/>
                <w:szCs w:val="21"/>
              </w:rPr>
              <w:t>23.1</w:t>
            </w:r>
          </w:p>
        </w:tc>
        <w:tc>
          <w:tcPr>
            <w:tcW w:w="746" w:type="pct"/>
            <w:tcBorders>
              <w:tl2br w:val="nil"/>
              <w:tr2bl w:val="nil"/>
            </w:tcBorders>
            <w:vAlign w:val="center"/>
          </w:tcPr>
          <w:p w14:paraId="188F1141"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r w:rsidR="009D12AF" w14:paraId="4E80A8EF" w14:textId="77777777">
        <w:trPr>
          <w:cantSplit/>
          <w:trHeight w:val="397"/>
          <w:jc w:val="center"/>
        </w:trPr>
        <w:tc>
          <w:tcPr>
            <w:tcW w:w="765" w:type="pct"/>
            <w:vMerge/>
            <w:tcBorders>
              <w:tl2br w:val="nil"/>
              <w:tr2bl w:val="nil"/>
            </w:tcBorders>
          </w:tcPr>
          <w:p w14:paraId="5CF8B45F" w14:textId="77777777" w:rsidR="009D12AF" w:rsidRDefault="009D12AF">
            <w:pPr>
              <w:spacing w:line="240" w:lineRule="exact"/>
              <w:ind w:firstLineChars="0" w:firstLine="0"/>
              <w:jc w:val="center"/>
              <w:rPr>
                <w:rFonts w:ascii="Times New Roman" w:eastAsia="宋体" w:hAnsi="Times New Roman" w:cs="Times New Roman"/>
                <w:b/>
                <w:bCs/>
                <w:sz w:val="21"/>
                <w:szCs w:val="21"/>
              </w:rPr>
            </w:pPr>
          </w:p>
        </w:tc>
        <w:tc>
          <w:tcPr>
            <w:tcW w:w="993" w:type="pct"/>
            <w:tcBorders>
              <w:tl2br w:val="nil"/>
              <w:tr2bl w:val="nil"/>
            </w:tcBorders>
            <w:vAlign w:val="center"/>
          </w:tcPr>
          <w:p w14:paraId="4C2C90A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硫酸盐</w:t>
            </w:r>
          </w:p>
        </w:tc>
        <w:tc>
          <w:tcPr>
            <w:tcW w:w="1101" w:type="dxa"/>
            <w:tcBorders>
              <w:tl2br w:val="nil"/>
              <w:tr2bl w:val="nil"/>
            </w:tcBorders>
            <w:vAlign w:val="center"/>
          </w:tcPr>
          <w:p w14:paraId="64B739D3"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hint="eastAsia"/>
                <w:sz w:val="21"/>
                <w:szCs w:val="21"/>
              </w:rPr>
              <w:t>7.12</w:t>
            </w:r>
          </w:p>
        </w:tc>
        <w:tc>
          <w:tcPr>
            <w:tcW w:w="1027" w:type="dxa"/>
            <w:tcBorders>
              <w:tl2br w:val="nil"/>
              <w:tr2bl w:val="nil"/>
            </w:tcBorders>
            <w:vAlign w:val="center"/>
          </w:tcPr>
          <w:p w14:paraId="643252F4" w14:textId="77777777" w:rsidR="009D12AF" w:rsidRDefault="00000000">
            <w:pPr>
              <w:widowControl/>
              <w:spacing w:line="240" w:lineRule="exact"/>
              <w:ind w:firstLineChars="0" w:firstLine="0"/>
              <w:jc w:val="center"/>
              <w:rPr>
                <w:rFonts w:ascii="Times New Roman" w:eastAsia="宋体" w:hAnsi="Times New Roman" w:cs="Times New Roman"/>
                <w:color w:val="00B050"/>
                <w:sz w:val="21"/>
                <w:szCs w:val="21"/>
              </w:rPr>
            </w:pPr>
            <w:r>
              <w:rPr>
                <w:rFonts w:ascii="Times New Roman" w:hAnsi="Times New Roman" w:cs="Times New Roman" w:hint="eastAsia"/>
                <w:sz w:val="21"/>
                <w:szCs w:val="21"/>
              </w:rPr>
              <w:t>15.2</w:t>
            </w:r>
          </w:p>
        </w:tc>
        <w:tc>
          <w:tcPr>
            <w:tcW w:w="1038" w:type="dxa"/>
            <w:tcBorders>
              <w:tl2br w:val="nil"/>
              <w:tr2bl w:val="nil"/>
            </w:tcBorders>
            <w:vAlign w:val="center"/>
          </w:tcPr>
          <w:p w14:paraId="79A54BC7" w14:textId="77777777" w:rsidR="009D12AF" w:rsidRDefault="00000000">
            <w:pPr>
              <w:widowControl/>
              <w:spacing w:line="240" w:lineRule="exact"/>
              <w:ind w:firstLineChars="0" w:firstLine="0"/>
              <w:jc w:val="center"/>
              <w:rPr>
                <w:rFonts w:ascii="Times New Roman" w:eastAsia="宋体" w:hAnsi="Times New Roman" w:cs="Times New Roman"/>
                <w:color w:val="00B050"/>
                <w:sz w:val="21"/>
                <w:szCs w:val="21"/>
              </w:rPr>
            </w:pPr>
            <w:r>
              <w:rPr>
                <w:rFonts w:ascii="Times New Roman" w:hAnsi="Times New Roman" w:cs="Times New Roman" w:hint="eastAsia"/>
                <w:sz w:val="21"/>
                <w:szCs w:val="21"/>
              </w:rPr>
              <w:t>10.4</w:t>
            </w:r>
          </w:p>
        </w:tc>
        <w:tc>
          <w:tcPr>
            <w:tcW w:w="1077" w:type="dxa"/>
            <w:tcBorders>
              <w:tl2br w:val="nil"/>
              <w:tr2bl w:val="nil"/>
            </w:tcBorders>
            <w:vAlign w:val="center"/>
          </w:tcPr>
          <w:p w14:paraId="55591C22" w14:textId="77777777" w:rsidR="009D12AF" w:rsidRDefault="00000000">
            <w:pPr>
              <w:widowControl/>
              <w:spacing w:line="240" w:lineRule="exact"/>
              <w:ind w:firstLineChars="0" w:firstLine="0"/>
              <w:jc w:val="center"/>
              <w:rPr>
                <w:rFonts w:ascii="Times New Roman" w:eastAsia="宋体" w:hAnsi="Times New Roman" w:cs="Times New Roman"/>
                <w:color w:val="00B050"/>
                <w:sz w:val="21"/>
                <w:szCs w:val="21"/>
              </w:rPr>
            </w:pPr>
            <w:r>
              <w:rPr>
                <w:rFonts w:ascii="Times New Roman" w:hAnsi="Times New Roman" w:cs="Times New Roman" w:hint="eastAsia"/>
                <w:sz w:val="21"/>
                <w:szCs w:val="21"/>
              </w:rPr>
              <w:t>20.8</w:t>
            </w:r>
          </w:p>
        </w:tc>
        <w:tc>
          <w:tcPr>
            <w:tcW w:w="746" w:type="pct"/>
            <w:tcBorders>
              <w:tl2br w:val="nil"/>
              <w:tr2bl w:val="nil"/>
            </w:tcBorders>
            <w:vAlign w:val="center"/>
          </w:tcPr>
          <w:p w14:paraId="56993485" w14:textId="77777777" w:rsidR="009D12AF" w:rsidRDefault="00000000">
            <w:pPr>
              <w:widowControl/>
              <w:spacing w:line="240" w:lineRule="exact"/>
              <w:ind w:firstLineChars="0" w:firstLine="0"/>
              <w:jc w:val="center"/>
              <w:rPr>
                <w:rFonts w:ascii="Times New Roman" w:eastAsia="宋体" w:hAnsi="Times New Roman" w:cs="Times New Roman"/>
                <w:sz w:val="21"/>
                <w:szCs w:val="21"/>
              </w:rPr>
            </w:pPr>
            <w:r>
              <w:rPr>
                <w:rFonts w:ascii="Times New Roman" w:hAnsi="Times New Roman" w:cs="Times New Roman"/>
                <w:sz w:val="21"/>
                <w:szCs w:val="21"/>
              </w:rPr>
              <w:t>mg/</w:t>
            </w:r>
            <w:r>
              <w:rPr>
                <w:rFonts w:ascii="Times New Roman" w:hAnsi="Times New Roman" w:cs="Times New Roman" w:hint="eastAsia"/>
                <w:sz w:val="21"/>
                <w:szCs w:val="21"/>
              </w:rPr>
              <w:t>L</w:t>
            </w:r>
          </w:p>
        </w:tc>
      </w:tr>
    </w:tbl>
    <w:p w14:paraId="38DDB1C4" w14:textId="77777777" w:rsidR="009D12AF" w:rsidRDefault="00000000">
      <w:pPr>
        <w:ind w:firstLine="480"/>
        <w:rPr>
          <w:color w:val="000000" w:themeColor="text1"/>
        </w:rPr>
      </w:pPr>
      <w:r>
        <w:rPr>
          <w:rFonts w:hint="eastAsia"/>
          <w:color w:val="000000" w:themeColor="text1"/>
        </w:rPr>
        <w:t>5</w:t>
      </w:r>
      <w:r>
        <w:rPr>
          <w:rFonts w:hint="eastAsia"/>
          <w:color w:val="000000" w:themeColor="text1"/>
        </w:rPr>
        <w:t>、</w:t>
      </w:r>
      <w:r>
        <w:rPr>
          <w:color w:val="000000" w:themeColor="text1"/>
        </w:rPr>
        <w:t>地下水水质现状评价</w:t>
      </w:r>
    </w:p>
    <w:p w14:paraId="2BF976FC" w14:textId="77777777" w:rsidR="009D12AF" w:rsidRDefault="00000000">
      <w:pPr>
        <w:ind w:firstLine="480"/>
        <w:rPr>
          <w:color w:val="000000" w:themeColor="text1"/>
        </w:rPr>
      </w:pPr>
      <w:r>
        <w:rPr>
          <w:rFonts w:hint="eastAsia"/>
          <w:color w:val="000000" w:themeColor="text1"/>
        </w:rPr>
        <w:t>（</w:t>
      </w:r>
      <w:r>
        <w:rPr>
          <w:color w:val="000000" w:themeColor="text1"/>
        </w:rPr>
        <w:t>1</w:t>
      </w:r>
      <w:r>
        <w:rPr>
          <w:rFonts w:hint="eastAsia"/>
          <w:color w:val="000000" w:themeColor="text1"/>
        </w:rPr>
        <w:t>）</w:t>
      </w:r>
      <w:r>
        <w:rPr>
          <w:color w:val="000000" w:themeColor="text1"/>
        </w:rPr>
        <w:t>评价标准</w:t>
      </w:r>
    </w:p>
    <w:p w14:paraId="1C565FAA" w14:textId="77777777" w:rsidR="009D12AF" w:rsidRDefault="00000000">
      <w:pPr>
        <w:ind w:firstLine="480"/>
        <w:rPr>
          <w:color w:val="000000" w:themeColor="text1"/>
        </w:rPr>
      </w:pPr>
      <w:r>
        <w:rPr>
          <w:color w:val="000000" w:themeColor="text1"/>
        </w:rPr>
        <w:t>采用《地下水质量标准》（</w:t>
      </w:r>
      <w:r>
        <w:rPr>
          <w:color w:val="000000" w:themeColor="text1"/>
        </w:rPr>
        <w:t>GB/T14848-2017</w:t>
      </w:r>
      <w:r>
        <w:rPr>
          <w:color w:val="000000" w:themeColor="text1"/>
        </w:rPr>
        <w:t>）中</w:t>
      </w:r>
      <w:r>
        <w:rPr>
          <w:color w:val="000000" w:themeColor="text1"/>
        </w:rPr>
        <w:t>III</w:t>
      </w:r>
      <w:r>
        <w:rPr>
          <w:color w:val="000000" w:themeColor="text1"/>
        </w:rPr>
        <w:t>类标准。</w:t>
      </w:r>
    </w:p>
    <w:p w14:paraId="38A0C67D" w14:textId="77777777" w:rsidR="009D12AF" w:rsidRDefault="00000000">
      <w:pPr>
        <w:ind w:firstLine="480"/>
        <w:rPr>
          <w:color w:val="000000" w:themeColor="text1"/>
        </w:rPr>
      </w:pPr>
      <w:r>
        <w:rPr>
          <w:rFonts w:hint="eastAsia"/>
          <w:color w:val="000000" w:themeColor="text1"/>
        </w:rPr>
        <w:t>（</w:t>
      </w:r>
      <w:r>
        <w:rPr>
          <w:color w:val="000000" w:themeColor="text1"/>
        </w:rPr>
        <w:t>2</w:t>
      </w:r>
      <w:r>
        <w:rPr>
          <w:rFonts w:hint="eastAsia"/>
          <w:color w:val="000000" w:themeColor="text1"/>
        </w:rPr>
        <w:t>）</w:t>
      </w:r>
      <w:r>
        <w:rPr>
          <w:color w:val="000000" w:themeColor="text1"/>
        </w:rPr>
        <w:t>评价方法</w:t>
      </w:r>
    </w:p>
    <w:p w14:paraId="0AEB7910" w14:textId="77777777" w:rsidR="009D12AF" w:rsidRDefault="00000000">
      <w:pPr>
        <w:ind w:firstLine="480"/>
        <w:rPr>
          <w:color w:val="000000" w:themeColor="text1"/>
        </w:rPr>
      </w:pPr>
      <w:r>
        <w:rPr>
          <w:color w:val="000000" w:themeColor="text1"/>
        </w:rPr>
        <w:t>采用单因子标准指数法对地下水水质现状监测结果进行评价，评价模式如下：</w:t>
      </w:r>
    </w:p>
    <w:p w14:paraId="06901184" w14:textId="77777777" w:rsidR="009D12AF" w:rsidRDefault="00000000">
      <w:pPr>
        <w:ind w:firstLineChars="0" w:firstLine="0"/>
        <w:jc w:val="center"/>
        <w:rPr>
          <w:color w:val="000000" w:themeColor="text1"/>
        </w:rPr>
      </w:pPr>
      <w:r>
        <w:rPr>
          <w:rFonts w:ascii="Times New Roman" w:eastAsia="宋体" w:hAnsi="Times New Roman" w:cs="Times New Roman"/>
          <w:noProof/>
          <w:color w:val="000000" w:themeColor="text1"/>
          <w:kern w:val="0"/>
        </w:rPr>
        <w:drawing>
          <wp:inline distT="0" distB="0" distL="0" distR="0" wp14:anchorId="2AA19940" wp14:editId="1480EFD7">
            <wp:extent cx="762000" cy="333375"/>
            <wp:effectExtent l="0" t="0" r="0" b="889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762000" cy="333375"/>
                    </a:xfrm>
                    <a:prstGeom prst="rect">
                      <a:avLst/>
                    </a:prstGeom>
                    <a:noFill/>
                    <a:ln>
                      <a:noFill/>
                    </a:ln>
                  </pic:spPr>
                </pic:pic>
              </a:graphicData>
            </a:graphic>
          </wp:inline>
        </w:drawing>
      </w:r>
    </w:p>
    <w:p w14:paraId="5FFC98FE" w14:textId="77777777" w:rsidR="009D12AF" w:rsidRDefault="00000000">
      <w:pPr>
        <w:ind w:firstLine="480"/>
        <w:rPr>
          <w:color w:val="000000" w:themeColor="text1"/>
        </w:rPr>
      </w:pPr>
      <w:r>
        <w:rPr>
          <w:color w:val="000000" w:themeColor="text1"/>
        </w:rPr>
        <w:t>式中：</w:t>
      </w:r>
      <w:r>
        <w:rPr>
          <w:color w:val="000000" w:themeColor="text1"/>
        </w:rPr>
        <w:t>Si,j——</w:t>
      </w:r>
      <w:r>
        <w:rPr>
          <w:color w:val="000000" w:themeColor="text1"/>
        </w:rPr>
        <w:t>水质单因子</w:t>
      </w:r>
      <w:r>
        <w:rPr>
          <w:color w:val="000000" w:themeColor="text1"/>
        </w:rPr>
        <w:t>i</w:t>
      </w:r>
      <w:r>
        <w:rPr>
          <w:color w:val="000000" w:themeColor="text1"/>
        </w:rPr>
        <w:t>在第</w:t>
      </w:r>
      <w:r>
        <w:rPr>
          <w:color w:val="000000" w:themeColor="text1"/>
        </w:rPr>
        <w:t>j</w:t>
      </w:r>
      <w:r>
        <w:rPr>
          <w:color w:val="000000" w:themeColor="text1"/>
        </w:rPr>
        <w:t>点的标准指数；</w:t>
      </w:r>
    </w:p>
    <w:p w14:paraId="78863045" w14:textId="77777777" w:rsidR="009D12AF" w:rsidRDefault="00000000">
      <w:pPr>
        <w:ind w:firstLine="480"/>
        <w:rPr>
          <w:color w:val="000000" w:themeColor="text1"/>
        </w:rPr>
      </w:pPr>
      <w:r>
        <w:rPr>
          <w:color w:val="000000" w:themeColor="text1"/>
        </w:rPr>
        <w:t>Cij ——</w:t>
      </w:r>
      <w:r>
        <w:rPr>
          <w:color w:val="000000" w:themeColor="text1"/>
        </w:rPr>
        <w:t>水质评价因子</w:t>
      </w:r>
      <w:r>
        <w:rPr>
          <w:color w:val="000000" w:themeColor="text1"/>
        </w:rPr>
        <w:t>i</w:t>
      </w:r>
      <w:r>
        <w:rPr>
          <w:color w:val="000000" w:themeColor="text1"/>
        </w:rPr>
        <w:t>在第</w:t>
      </w:r>
      <w:r>
        <w:rPr>
          <w:color w:val="000000" w:themeColor="text1"/>
        </w:rPr>
        <w:t>j</w:t>
      </w:r>
      <w:r>
        <w:rPr>
          <w:color w:val="000000" w:themeColor="text1"/>
        </w:rPr>
        <w:t>点的监测值，</w:t>
      </w:r>
      <w:r>
        <w:rPr>
          <w:color w:val="000000" w:themeColor="text1"/>
        </w:rPr>
        <w:t>mg/L</w:t>
      </w:r>
      <w:r>
        <w:rPr>
          <w:color w:val="000000" w:themeColor="text1"/>
        </w:rPr>
        <w:t>；</w:t>
      </w:r>
    </w:p>
    <w:p w14:paraId="4EF6CBC4" w14:textId="77777777" w:rsidR="009D12AF" w:rsidRDefault="00000000">
      <w:pPr>
        <w:ind w:firstLine="480"/>
        <w:rPr>
          <w:color w:val="000000" w:themeColor="text1"/>
        </w:rPr>
      </w:pPr>
      <w:r>
        <w:rPr>
          <w:color w:val="000000" w:themeColor="text1"/>
        </w:rPr>
        <w:t>Csi——i</w:t>
      </w:r>
      <w:r>
        <w:rPr>
          <w:color w:val="000000" w:themeColor="text1"/>
        </w:rPr>
        <w:t>因子的评价标准，</w:t>
      </w:r>
      <w:r>
        <w:rPr>
          <w:color w:val="000000" w:themeColor="text1"/>
        </w:rPr>
        <w:t>mg/L</w:t>
      </w:r>
      <w:r>
        <w:rPr>
          <w:color w:val="000000" w:themeColor="text1"/>
        </w:rPr>
        <w:t>。</w:t>
      </w:r>
    </w:p>
    <w:p w14:paraId="6CF3EC0D" w14:textId="77777777" w:rsidR="009D12AF" w:rsidRDefault="00000000">
      <w:pPr>
        <w:ind w:firstLine="480"/>
        <w:rPr>
          <w:color w:val="000000" w:themeColor="text1"/>
        </w:rPr>
      </w:pPr>
      <w:r>
        <w:rPr>
          <w:color w:val="000000" w:themeColor="text1"/>
        </w:rPr>
        <w:t>pH</w:t>
      </w:r>
      <w:r>
        <w:rPr>
          <w:color w:val="000000" w:themeColor="text1"/>
        </w:rPr>
        <w:t>的标准指数公式：</w:t>
      </w:r>
    </w:p>
    <w:p w14:paraId="64B3A45C" w14:textId="77777777" w:rsidR="009D12AF" w:rsidRDefault="00000000">
      <w:pPr>
        <w:ind w:firstLine="480"/>
        <w:rPr>
          <w:color w:val="000000" w:themeColor="text1"/>
        </w:rPr>
      </w:pPr>
      <w:r>
        <w:rPr>
          <w:color w:val="000000" w:themeColor="text1"/>
        </w:rPr>
        <w:t>pHj≤7.0</w:t>
      </w:r>
      <w:r>
        <w:rPr>
          <w:color w:val="000000" w:themeColor="text1"/>
        </w:rPr>
        <w:t>时</w:t>
      </w:r>
    </w:p>
    <w:p w14:paraId="5AB53E27" w14:textId="77777777" w:rsidR="009D12AF" w:rsidRDefault="00000000">
      <w:pPr>
        <w:ind w:firstLineChars="0" w:firstLine="0"/>
        <w:jc w:val="center"/>
        <w:rPr>
          <w:color w:val="000000" w:themeColor="text1"/>
        </w:rPr>
      </w:pPr>
      <w:r>
        <w:rPr>
          <w:rFonts w:ascii="Times New Roman" w:eastAsia="宋体" w:hAnsi="Times New Roman" w:cs="Times New Roman"/>
          <w:noProof/>
          <w:color w:val="000000" w:themeColor="text1"/>
          <w:kern w:val="0"/>
        </w:rPr>
        <w:lastRenderedPageBreak/>
        <w:drawing>
          <wp:inline distT="0" distB="0" distL="0" distR="0" wp14:anchorId="317DB870" wp14:editId="3F197668">
            <wp:extent cx="1238250" cy="447675"/>
            <wp:effectExtent l="0" t="0" r="0" b="889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1238250" cy="447675"/>
                    </a:xfrm>
                    <a:prstGeom prst="rect">
                      <a:avLst/>
                    </a:prstGeom>
                    <a:noFill/>
                    <a:ln>
                      <a:noFill/>
                    </a:ln>
                  </pic:spPr>
                </pic:pic>
              </a:graphicData>
            </a:graphic>
          </wp:inline>
        </w:drawing>
      </w:r>
    </w:p>
    <w:p w14:paraId="761E4B1C" w14:textId="77777777" w:rsidR="009D12AF" w:rsidRDefault="00000000">
      <w:pPr>
        <w:ind w:firstLine="480"/>
        <w:rPr>
          <w:color w:val="000000" w:themeColor="text1"/>
        </w:rPr>
      </w:pPr>
      <w:r>
        <w:rPr>
          <w:color w:val="000000" w:themeColor="text1"/>
        </w:rPr>
        <w:t>pHj</w:t>
      </w:r>
      <w:r>
        <w:rPr>
          <w:color w:val="000000" w:themeColor="text1"/>
        </w:rPr>
        <w:t>＞</w:t>
      </w:r>
      <w:r>
        <w:rPr>
          <w:color w:val="000000" w:themeColor="text1"/>
        </w:rPr>
        <w:t>7.0</w:t>
      </w:r>
      <w:r>
        <w:rPr>
          <w:color w:val="000000" w:themeColor="text1"/>
        </w:rPr>
        <w:t>时</w:t>
      </w:r>
    </w:p>
    <w:p w14:paraId="0334756D" w14:textId="77777777" w:rsidR="009D12AF" w:rsidRDefault="00000000">
      <w:pPr>
        <w:ind w:firstLineChars="0" w:firstLine="0"/>
        <w:jc w:val="center"/>
        <w:rPr>
          <w:color w:val="000000" w:themeColor="text1"/>
        </w:rPr>
      </w:pPr>
      <w:r>
        <w:rPr>
          <w:rFonts w:ascii="Times New Roman" w:eastAsia="宋体" w:hAnsi="Times New Roman" w:cs="Times New Roman"/>
          <w:noProof/>
          <w:color w:val="000000" w:themeColor="text1"/>
          <w:kern w:val="0"/>
        </w:rPr>
        <w:drawing>
          <wp:inline distT="0" distB="0" distL="0" distR="0" wp14:anchorId="4EE045D4" wp14:editId="0CE3ABE3">
            <wp:extent cx="1266825" cy="457200"/>
            <wp:effectExtent l="0" t="0" r="9525"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1266825" cy="457200"/>
                    </a:xfrm>
                    <a:prstGeom prst="rect">
                      <a:avLst/>
                    </a:prstGeom>
                    <a:noFill/>
                    <a:ln>
                      <a:noFill/>
                    </a:ln>
                  </pic:spPr>
                </pic:pic>
              </a:graphicData>
            </a:graphic>
          </wp:inline>
        </w:drawing>
      </w:r>
    </w:p>
    <w:p w14:paraId="0E897AA4" w14:textId="77777777" w:rsidR="009D12AF" w:rsidRDefault="00000000">
      <w:pPr>
        <w:ind w:firstLine="480"/>
        <w:rPr>
          <w:color w:val="000000" w:themeColor="text1"/>
        </w:rPr>
      </w:pPr>
      <w:r>
        <w:rPr>
          <w:color w:val="000000" w:themeColor="text1"/>
        </w:rPr>
        <w:t>式中：</w:t>
      </w:r>
      <w:r>
        <w:rPr>
          <w:color w:val="000000" w:themeColor="text1"/>
        </w:rPr>
        <w:t>SpH.j——pH</w:t>
      </w:r>
      <w:r>
        <w:rPr>
          <w:color w:val="000000" w:themeColor="text1"/>
        </w:rPr>
        <w:t>值的单项指数；</w:t>
      </w:r>
    </w:p>
    <w:p w14:paraId="4B32A738" w14:textId="77777777" w:rsidR="009D12AF" w:rsidRDefault="00000000">
      <w:pPr>
        <w:ind w:firstLine="480"/>
        <w:rPr>
          <w:color w:val="000000" w:themeColor="text1"/>
        </w:rPr>
      </w:pPr>
      <w:r>
        <w:rPr>
          <w:color w:val="000000" w:themeColor="text1"/>
        </w:rPr>
        <w:t>pHj——j</w:t>
      </w:r>
      <w:r>
        <w:rPr>
          <w:color w:val="000000" w:themeColor="text1"/>
        </w:rPr>
        <w:t>点</w:t>
      </w:r>
      <w:r>
        <w:rPr>
          <w:color w:val="000000" w:themeColor="text1"/>
        </w:rPr>
        <w:t>pH</w:t>
      </w:r>
      <w:r>
        <w:rPr>
          <w:color w:val="000000" w:themeColor="text1"/>
        </w:rPr>
        <w:t>值监测值；</w:t>
      </w:r>
    </w:p>
    <w:p w14:paraId="7145DE51" w14:textId="77777777" w:rsidR="009D12AF" w:rsidRDefault="00000000">
      <w:pPr>
        <w:ind w:firstLine="480"/>
        <w:rPr>
          <w:color w:val="000000" w:themeColor="text1"/>
        </w:rPr>
      </w:pPr>
      <w:r>
        <w:rPr>
          <w:color w:val="000000" w:themeColor="text1"/>
        </w:rPr>
        <w:t>pHsu——</w:t>
      </w:r>
      <w:r>
        <w:rPr>
          <w:color w:val="000000" w:themeColor="text1"/>
        </w:rPr>
        <w:t>水质标准中</w:t>
      </w:r>
      <w:r>
        <w:rPr>
          <w:color w:val="000000" w:themeColor="text1"/>
        </w:rPr>
        <w:t>pH</w:t>
      </w:r>
      <w:r>
        <w:rPr>
          <w:color w:val="000000" w:themeColor="text1"/>
        </w:rPr>
        <w:t>值上限；</w:t>
      </w:r>
    </w:p>
    <w:p w14:paraId="206EB480" w14:textId="77777777" w:rsidR="009D12AF" w:rsidRDefault="00000000">
      <w:pPr>
        <w:ind w:firstLine="480"/>
        <w:rPr>
          <w:color w:val="000000" w:themeColor="text1"/>
        </w:rPr>
      </w:pPr>
      <w:r>
        <w:rPr>
          <w:color w:val="000000" w:themeColor="text1"/>
        </w:rPr>
        <w:t>pHsd——</w:t>
      </w:r>
      <w:r>
        <w:rPr>
          <w:color w:val="000000" w:themeColor="text1"/>
        </w:rPr>
        <w:t>水质标准中</w:t>
      </w:r>
      <w:r>
        <w:rPr>
          <w:color w:val="000000" w:themeColor="text1"/>
        </w:rPr>
        <w:t>pH</w:t>
      </w:r>
      <w:r>
        <w:rPr>
          <w:color w:val="000000" w:themeColor="text1"/>
        </w:rPr>
        <w:t>值下限。</w:t>
      </w:r>
    </w:p>
    <w:p w14:paraId="520F5BB4" w14:textId="77777777" w:rsidR="009D12AF" w:rsidRDefault="00000000">
      <w:pPr>
        <w:ind w:firstLine="480"/>
        <w:rPr>
          <w:color w:val="FF0000"/>
          <w:highlight w:val="yellow"/>
        </w:rPr>
      </w:pPr>
      <w:r>
        <w:rPr>
          <w:color w:val="000000" w:themeColor="text1"/>
        </w:rPr>
        <w:t>当单因子标准指数＞</w:t>
      </w:r>
      <w:r>
        <w:rPr>
          <w:color w:val="000000" w:themeColor="text1"/>
        </w:rPr>
        <w:t xml:space="preserve">1 </w:t>
      </w:r>
      <w:r>
        <w:rPr>
          <w:color w:val="000000" w:themeColor="text1"/>
        </w:rPr>
        <w:t>时，表示该水质参数所表征的污染物已满足不了标准要求，水体已受到污染；反之，则满足标准要求。</w:t>
      </w:r>
    </w:p>
    <w:p w14:paraId="323DF3FD" w14:textId="77777777" w:rsidR="009D12AF" w:rsidRDefault="00000000">
      <w:pPr>
        <w:ind w:firstLine="480"/>
        <w:rPr>
          <w:color w:val="000000" w:themeColor="text1"/>
        </w:rPr>
      </w:pPr>
      <w:r>
        <w:rPr>
          <w:rFonts w:hint="eastAsia"/>
          <w:color w:val="000000" w:themeColor="text1"/>
        </w:rPr>
        <w:t>（</w:t>
      </w:r>
      <w:r>
        <w:rPr>
          <w:color w:val="000000" w:themeColor="text1"/>
        </w:rPr>
        <w:t>3</w:t>
      </w:r>
      <w:r>
        <w:rPr>
          <w:rFonts w:hint="eastAsia"/>
          <w:color w:val="000000" w:themeColor="text1"/>
        </w:rPr>
        <w:t>）</w:t>
      </w:r>
      <w:r>
        <w:rPr>
          <w:color w:val="000000" w:themeColor="text1"/>
        </w:rPr>
        <w:t>评价结果</w:t>
      </w:r>
    </w:p>
    <w:p w14:paraId="0DC60475" w14:textId="77777777" w:rsidR="009D12AF" w:rsidRDefault="00000000">
      <w:pPr>
        <w:ind w:firstLine="480"/>
        <w:rPr>
          <w:color w:val="FF0000"/>
          <w:highlight w:val="yellow"/>
        </w:rPr>
      </w:pPr>
      <w:r>
        <w:rPr>
          <w:color w:val="000000" w:themeColor="text1"/>
        </w:rPr>
        <w:t>地下水单因子标准指数计算结果见</w:t>
      </w:r>
      <w:r>
        <w:t>表</w:t>
      </w:r>
      <w:r>
        <w:t>4.</w:t>
      </w:r>
      <w:r>
        <w:rPr>
          <w:rFonts w:hint="eastAsia"/>
        </w:rPr>
        <w:t>3</w:t>
      </w:r>
      <w:r>
        <w:t>-</w:t>
      </w:r>
      <w:r>
        <w:rPr>
          <w:rFonts w:hint="eastAsia"/>
        </w:rPr>
        <w:t>20</w:t>
      </w:r>
      <w:r>
        <w:t>。</w:t>
      </w:r>
    </w:p>
    <w:p w14:paraId="00A5C44A" w14:textId="77777777" w:rsidR="009D12AF" w:rsidRDefault="00000000">
      <w:pPr>
        <w:ind w:firstLineChars="0" w:firstLine="0"/>
        <w:jc w:val="center"/>
      </w:pPr>
      <w:r>
        <w:rPr>
          <w:b/>
          <w:bCs/>
        </w:rPr>
        <w:t>表</w:t>
      </w:r>
      <w:r>
        <w:rPr>
          <w:b/>
          <w:bCs/>
        </w:rPr>
        <w:t>4</w:t>
      </w:r>
      <w:r>
        <w:rPr>
          <w:rFonts w:hint="eastAsia"/>
          <w:b/>
          <w:bCs/>
        </w:rPr>
        <w:t>.3-20</w:t>
      </w:r>
      <w:r>
        <w:rPr>
          <w:b/>
          <w:bCs/>
        </w:rPr>
        <w:t>地下水环境质量现状评价结果一览表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592"/>
        <w:gridCol w:w="967"/>
        <w:gridCol w:w="858"/>
        <w:gridCol w:w="862"/>
        <w:gridCol w:w="799"/>
        <w:gridCol w:w="907"/>
        <w:gridCol w:w="881"/>
        <w:gridCol w:w="881"/>
        <w:gridCol w:w="885"/>
        <w:gridCol w:w="890"/>
      </w:tblGrid>
      <w:tr w:rsidR="009D12AF" w14:paraId="7632BB2E" w14:textId="77777777">
        <w:trPr>
          <w:trHeight w:val="559"/>
          <w:jc w:val="center"/>
        </w:trPr>
        <w:tc>
          <w:tcPr>
            <w:tcW w:w="347" w:type="pct"/>
            <w:vMerge w:val="restart"/>
            <w:tcBorders>
              <w:right w:val="single" w:sz="4" w:space="0" w:color="auto"/>
            </w:tcBorders>
            <w:vAlign w:val="center"/>
          </w:tcPr>
          <w:p w14:paraId="7267FECE" w14:textId="77777777" w:rsidR="009D12AF" w:rsidRDefault="00000000">
            <w:pPr>
              <w:spacing w:line="240" w:lineRule="exact"/>
              <w:ind w:firstLineChars="0" w:firstLine="0"/>
              <w:jc w:val="center"/>
              <w:rPr>
                <w:rFonts w:ascii="Times New Roman" w:hAnsi="Times New Roman" w:cs="Times New Roman"/>
                <w:b/>
                <w:bCs/>
                <w:sz w:val="21"/>
                <w:szCs w:val="21"/>
              </w:rPr>
            </w:pPr>
            <w:r>
              <w:rPr>
                <w:rFonts w:ascii="Times New Roman" w:hAnsi="Times New Roman" w:cs="Times New Roman"/>
                <w:b/>
                <w:bCs/>
                <w:sz w:val="21"/>
                <w:szCs w:val="21"/>
              </w:rPr>
              <w:t>序号</w:t>
            </w:r>
          </w:p>
        </w:tc>
        <w:tc>
          <w:tcPr>
            <w:tcW w:w="567" w:type="pct"/>
            <w:vMerge w:val="restart"/>
            <w:tcBorders>
              <w:left w:val="single" w:sz="4" w:space="0" w:color="auto"/>
              <w:right w:val="single" w:sz="4" w:space="0" w:color="auto"/>
            </w:tcBorders>
            <w:vAlign w:val="center"/>
          </w:tcPr>
          <w:p w14:paraId="1AA72052" w14:textId="77777777" w:rsidR="009D12AF" w:rsidRDefault="00000000">
            <w:pPr>
              <w:spacing w:line="240" w:lineRule="exact"/>
              <w:ind w:firstLineChars="0" w:firstLine="0"/>
              <w:jc w:val="center"/>
              <w:rPr>
                <w:rFonts w:ascii="Times New Roman" w:hAnsi="Times New Roman" w:cs="Times New Roman"/>
                <w:b/>
                <w:bCs/>
                <w:sz w:val="21"/>
                <w:szCs w:val="21"/>
              </w:rPr>
            </w:pPr>
            <w:r>
              <w:rPr>
                <w:rFonts w:ascii="Times New Roman" w:hAnsi="Times New Roman" w:cs="Times New Roman"/>
                <w:b/>
                <w:bCs/>
                <w:sz w:val="21"/>
                <w:szCs w:val="21"/>
              </w:rPr>
              <w:t>监测项目</w:t>
            </w:r>
          </w:p>
        </w:tc>
        <w:tc>
          <w:tcPr>
            <w:tcW w:w="2008" w:type="pct"/>
            <w:gridSpan w:val="4"/>
            <w:tcBorders>
              <w:left w:val="single" w:sz="4" w:space="0" w:color="auto"/>
            </w:tcBorders>
            <w:vAlign w:val="center"/>
          </w:tcPr>
          <w:p w14:paraId="188FB5FE" w14:textId="77777777" w:rsidR="009D12AF" w:rsidRDefault="00000000">
            <w:pPr>
              <w:spacing w:line="240" w:lineRule="exact"/>
              <w:ind w:firstLineChars="0" w:firstLine="0"/>
              <w:jc w:val="center"/>
              <w:rPr>
                <w:rFonts w:ascii="Times New Roman" w:hAnsi="Times New Roman" w:cs="Times New Roman"/>
                <w:b/>
                <w:bCs/>
                <w:sz w:val="21"/>
                <w:szCs w:val="21"/>
              </w:rPr>
            </w:pPr>
            <w:r>
              <w:rPr>
                <w:rFonts w:ascii="Times New Roman" w:hAnsi="Times New Roman" w:cs="Times New Roman" w:hint="eastAsia"/>
                <w:b/>
                <w:bCs/>
                <w:sz w:val="21"/>
                <w:szCs w:val="21"/>
              </w:rPr>
              <w:t>群力水库</w:t>
            </w:r>
          </w:p>
        </w:tc>
        <w:tc>
          <w:tcPr>
            <w:tcW w:w="2075" w:type="pct"/>
            <w:gridSpan w:val="4"/>
            <w:vAlign w:val="center"/>
          </w:tcPr>
          <w:p w14:paraId="5C45A0B2" w14:textId="77777777" w:rsidR="009D12AF" w:rsidRDefault="00000000">
            <w:pPr>
              <w:spacing w:line="240" w:lineRule="exact"/>
              <w:ind w:firstLineChars="0" w:firstLine="0"/>
              <w:jc w:val="center"/>
              <w:rPr>
                <w:rFonts w:ascii="Times New Roman" w:hAnsi="Times New Roman" w:cs="Times New Roman"/>
                <w:b/>
                <w:bCs/>
                <w:sz w:val="21"/>
                <w:szCs w:val="21"/>
              </w:rPr>
            </w:pPr>
            <w:r>
              <w:rPr>
                <w:rFonts w:ascii="Times New Roman" w:hAnsi="Times New Roman" w:cs="Times New Roman" w:hint="eastAsia"/>
                <w:b/>
                <w:bCs/>
                <w:sz w:val="21"/>
                <w:szCs w:val="21"/>
              </w:rPr>
              <w:t>向阳水电站前池</w:t>
            </w:r>
          </w:p>
        </w:tc>
      </w:tr>
      <w:tr w:rsidR="009D12AF" w14:paraId="45AB82E2" w14:textId="77777777">
        <w:trPr>
          <w:trHeight w:val="559"/>
          <w:jc w:val="center"/>
        </w:trPr>
        <w:tc>
          <w:tcPr>
            <w:tcW w:w="347" w:type="pct"/>
            <w:vMerge/>
            <w:tcBorders>
              <w:right w:val="single" w:sz="4" w:space="0" w:color="auto"/>
            </w:tcBorders>
            <w:vAlign w:val="center"/>
          </w:tcPr>
          <w:p w14:paraId="1343D0D8" w14:textId="77777777" w:rsidR="009D12AF" w:rsidRDefault="009D12AF">
            <w:pPr>
              <w:spacing w:line="240" w:lineRule="exact"/>
              <w:ind w:firstLineChars="0" w:firstLine="0"/>
              <w:jc w:val="center"/>
              <w:rPr>
                <w:rFonts w:ascii="Times New Roman" w:hAnsi="Times New Roman" w:cs="Times New Roman"/>
                <w:b/>
                <w:bCs/>
                <w:sz w:val="21"/>
                <w:szCs w:val="21"/>
              </w:rPr>
            </w:pPr>
          </w:p>
        </w:tc>
        <w:tc>
          <w:tcPr>
            <w:tcW w:w="567" w:type="pct"/>
            <w:vMerge/>
            <w:tcBorders>
              <w:left w:val="single" w:sz="4" w:space="0" w:color="auto"/>
              <w:right w:val="single" w:sz="4" w:space="0" w:color="auto"/>
            </w:tcBorders>
            <w:vAlign w:val="center"/>
          </w:tcPr>
          <w:p w14:paraId="2BAFAF22" w14:textId="77777777" w:rsidR="009D12AF" w:rsidRDefault="009D12AF">
            <w:pPr>
              <w:spacing w:line="240" w:lineRule="exact"/>
              <w:ind w:firstLineChars="0" w:firstLine="0"/>
              <w:jc w:val="center"/>
              <w:rPr>
                <w:rFonts w:ascii="Times New Roman" w:hAnsi="Times New Roman" w:cs="Times New Roman"/>
                <w:b/>
                <w:bCs/>
                <w:sz w:val="21"/>
                <w:szCs w:val="21"/>
              </w:rPr>
            </w:pPr>
          </w:p>
        </w:tc>
        <w:tc>
          <w:tcPr>
            <w:tcW w:w="503" w:type="pct"/>
            <w:tcBorders>
              <w:left w:val="single" w:sz="4" w:space="0" w:color="auto"/>
            </w:tcBorders>
            <w:vAlign w:val="center"/>
          </w:tcPr>
          <w:p w14:paraId="0DDE7BD4" w14:textId="77777777" w:rsidR="009D12AF" w:rsidRDefault="00000000">
            <w:pPr>
              <w:spacing w:line="240" w:lineRule="exact"/>
              <w:ind w:firstLineChars="0" w:firstLine="0"/>
              <w:jc w:val="center"/>
              <w:rPr>
                <w:rFonts w:ascii="Times New Roman" w:hAnsi="Times New Roman" w:cs="Times New Roman"/>
                <w:b/>
                <w:bCs/>
                <w:sz w:val="21"/>
                <w:szCs w:val="21"/>
              </w:rPr>
            </w:pPr>
            <w:r>
              <w:rPr>
                <w:rFonts w:ascii="Times New Roman" w:hAnsi="Times New Roman" w:cs="Times New Roman" w:hint="eastAsia"/>
                <w:b/>
                <w:bCs/>
                <w:sz w:val="21"/>
                <w:szCs w:val="21"/>
              </w:rPr>
              <w:t>1#</w:t>
            </w:r>
          </w:p>
        </w:tc>
        <w:tc>
          <w:tcPr>
            <w:tcW w:w="505" w:type="pct"/>
            <w:vAlign w:val="center"/>
          </w:tcPr>
          <w:p w14:paraId="2B412AA4" w14:textId="77777777" w:rsidR="009D12AF" w:rsidRDefault="00000000">
            <w:pPr>
              <w:spacing w:line="240" w:lineRule="exact"/>
              <w:ind w:firstLineChars="0" w:firstLine="0"/>
              <w:jc w:val="center"/>
              <w:rPr>
                <w:rFonts w:ascii="Times New Roman" w:hAnsi="Times New Roman" w:cs="Times New Roman"/>
                <w:b/>
                <w:bCs/>
                <w:sz w:val="21"/>
                <w:szCs w:val="21"/>
              </w:rPr>
            </w:pPr>
            <w:r>
              <w:rPr>
                <w:rFonts w:ascii="Times New Roman" w:hAnsi="Times New Roman" w:cs="Times New Roman" w:hint="eastAsia"/>
                <w:b/>
                <w:bCs/>
                <w:sz w:val="21"/>
                <w:szCs w:val="21"/>
              </w:rPr>
              <w:t>3#</w:t>
            </w:r>
          </w:p>
        </w:tc>
        <w:tc>
          <w:tcPr>
            <w:tcW w:w="468" w:type="pct"/>
            <w:vAlign w:val="center"/>
          </w:tcPr>
          <w:p w14:paraId="7E0D9903" w14:textId="77777777" w:rsidR="009D12AF" w:rsidRDefault="00000000">
            <w:pPr>
              <w:spacing w:line="240" w:lineRule="exact"/>
              <w:ind w:firstLineChars="0" w:firstLine="0"/>
              <w:jc w:val="center"/>
              <w:rPr>
                <w:rFonts w:ascii="Times New Roman" w:hAnsi="Times New Roman" w:cs="Times New Roman"/>
                <w:b/>
                <w:bCs/>
                <w:sz w:val="21"/>
                <w:szCs w:val="21"/>
              </w:rPr>
            </w:pPr>
            <w:r>
              <w:rPr>
                <w:rFonts w:ascii="Times New Roman" w:hAnsi="Times New Roman" w:cs="Times New Roman" w:hint="eastAsia"/>
                <w:b/>
                <w:bCs/>
                <w:sz w:val="21"/>
                <w:szCs w:val="21"/>
              </w:rPr>
              <w:t>4#</w:t>
            </w:r>
          </w:p>
        </w:tc>
        <w:tc>
          <w:tcPr>
            <w:tcW w:w="530" w:type="pct"/>
            <w:vAlign w:val="center"/>
          </w:tcPr>
          <w:p w14:paraId="6AB3F436" w14:textId="77777777" w:rsidR="009D12AF" w:rsidRDefault="00000000">
            <w:pPr>
              <w:spacing w:line="240" w:lineRule="exact"/>
              <w:ind w:firstLineChars="0" w:firstLine="0"/>
              <w:jc w:val="center"/>
              <w:rPr>
                <w:rFonts w:ascii="Times New Roman" w:hAnsi="Times New Roman" w:cs="Times New Roman"/>
                <w:b/>
                <w:bCs/>
                <w:sz w:val="21"/>
                <w:szCs w:val="21"/>
              </w:rPr>
            </w:pPr>
            <w:r>
              <w:rPr>
                <w:rFonts w:ascii="Times New Roman" w:hAnsi="Times New Roman" w:cs="Times New Roman" w:hint="eastAsia"/>
                <w:b/>
                <w:bCs/>
                <w:sz w:val="21"/>
                <w:szCs w:val="21"/>
              </w:rPr>
              <w:t>7#</w:t>
            </w:r>
          </w:p>
        </w:tc>
        <w:tc>
          <w:tcPr>
            <w:tcW w:w="517" w:type="pct"/>
            <w:vAlign w:val="center"/>
          </w:tcPr>
          <w:p w14:paraId="14AC99A8" w14:textId="77777777" w:rsidR="009D12AF" w:rsidRDefault="00000000">
            <w:pPr>
              <w:spacing w:line="240" w:lineRule="exact"/>
              <w:ind w:firstLineChars="0" w:firstLine="0"/>
              <w:jc w:val="center"/>
              <w:rPr>
                <w:rFonts w:ascii="Times New Roman" w:hAnsi="Times New Roman" w:cs="Times New Roman"/>
                <w:b/>
                <w:bCs/>
                <w:sz w:val="21"/>
                <w:szCs w:val="21"/>
              </w:rPr>
            </w:pPr>
            <w:r>
              <w:rPr>
                <w:rFonts w:ascii="Times New Roman" w:hAnsi="Times New Roman" w:cs="Times New Roman" w:hint="eastAsia"/>
                <w:b/>
                <w:bCs/>
                <w:sz w:val="21"/>
                <w:szCs w:val="21"/>
              </w:rPr>
              <w:t>1#</w:t>
            </w:r>
          </w:p>
        </w:tc>
        <w:tc>
          <w:tcPr>
            <w:tcW w:w="517" w:type="pct"/>
            <w:vAlign w:val="center"/>
          </w:tcPr>
          <w:p w14:paraId="3C8F73EF" w14:textId="77777777" w:rsidR="009D12AF" w:rsidRDefault="00000000">
            <w:pPr>
              <w:spacing w:line="240" w:lineRule="exact"/>
              <w:ind w:firstLineChars="0" w:firstLine="0"/>
              <w:jc w:val="center"/>
              <w:rPr>
                <w:rFonts w:ascii="Times New Roman" w:hAnsi="Times New Roman" w:cs="Times New Roman"/>
                <w:b/>
                <w:bCs/>
                <w:sz w:val="21"/>
                <w:szCs w:val="21"/>
              </w:rPr>
            </w:pPr>
            <w:r>
              <w:rPr>
                <w:rFonts w:ascii="Times New Roman" w:hAnsi="Times New Roman" w:cs="Times New Roman" w:hint="eastAsia"/>
                <w:b/>
                <w:bCs/>
                <w:sz w:val="21"/>
                <w:szCs w:val="21"/>
              </w:rPr>
              <w:t>3#</w:t>
            </w:r>
          </w:p>
        </w:tc>
        <w:tc>
          <w:tcPr>
            <w:tcW w:w="519" w:type="pct"/>
            <w:vAlign w:val="center"/>
          </w:tcPr>
          <w:p w14:paraId="665F709D" w14:textId="77777777" w:rsidR="009D12AF" w:rsidRDefault="00000000">
            <w:pPr>
              <w:spacing w:line="240" w:lineRule="exact"/>
              <w:ind w:firstLineChars="0" w:firstLine="0"/>
              <w:jc w:val="center"/>
              <w:rPr>
                <w:rFonts w:ascii="Times New Roman" w:hAnsi="Times New Roman" w:cs="Times New Roman"/>
                <w:b/>
                <w:bCs/>
                <w:sz w:val="21"/>
                <w:szCs w:val="21"/>
              </w:rPr>
            </w:pPr>
            <w:r>
              <w:rPr>
                <w:rFonts w:ascii="Times New Roman" w:hAnsi="Times New Roman" w:cs="Times New Roman" w:hint="eastAsia"/>
                <w:b/>
                <w:bCs/>
                <w:sz w:val="21"/>
                <w:szCs w:val="21"/>
              </w:rPr>
              <w:t>6#</w:t>
            </w:r>
          </w:p>
        </w:tc>
        <w:tc>
          <w:tcPr>
            <w:tcW w:w="521" w:type="pct"/>
            <w:vAlign w:val="center"/>
          </w:tcPr>
          <w:p w14:paraId="76701A3D" w14:textId="77777777" w:rsidR="009D12AF" w:rsidRDefault="00000000">
            <w:pPr>
              <w:spacing w:line="240" w:lineRule="exact"/>
              <w:ind w:firstLineChars="0" w:firstLine="0"/>
              <w:jc w:val="center"/>
              <w:rPr>
                <w:rFonts w:ascii="Times New Roman" w:hAnsi="Times New Roman" w:cs="Times New Roman"/>
                <w:b/>
                <w:bCs/>
                <w:sz w:val="21"/>
                <w:szCs w:val="21"/>
              </w:rPr>
            </w:pPr>
            <w:r>
              <w:rPr>
                <w:rFonts w:ascii="Times New Roman" w:hAnsi="Times New Roman" w:cs="Times New Roman" w:hint="eastAsia"/>
                <w:b/>
                <w:bCs/>
                <w:sz w:val="21"/>
                <w:szCs w:val="21"/>
              </w:rPr>
              <w:t>7#</w:t>
            </w:r>
          </w:p>
        </w:tc>
      </w:tr>
      <w:tr w:rsidR="009D12AF" w14:paraId="04E06850" w14:textId="77777777">
        <w:trPr>
          <w:trHeight w:val="374"/>
          <w:jc w:val="center"/>
        </w:trPr>
        <w:tc>
          <w:tcPr>
            <w:tcW w:w="347" w:type="pct"/>
            <w:vAlign w:val="center"/>
          </w:tcPr>
          <w:p w14:paraId="5FC8E128"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1</w:t>
            </w:r>
          </w:p>
        </w:tc>
        <w:tc>
          <w:tcPr>
            <w:tcW w:w="567" w:type="pct"/>
            <w:vAlign w:val="center"/>
          </w:tcPr>
          <w:p w14:paraId="38729931"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pH</w:t>
            </w:r>
            <w:r>
              <w:rPr>
                <w:rFonts w:ascii="Times New Roman" w:hAnsi="Times New Roman" w:cs="Times New Roman" w:hint="eastAsia"/>
                <w:spacing w:val="-2"/>
                <w:lang w:eastAsia="zh-CN"/>
              </w:rPr>
              <w:t>值</w:t>
            </w:r>
          </w:p>
        </w:tc>
        <w:tc>
          <w:tcPr>
            <w:tcW w:w="503" w:type="pct"/>
            <w:vAlign w:val="center"/>
          </w:tcPr>
          <w:p w14:paraId="1F6BC89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-0.824</w:t>
            </w:r>
          </w:p>
        </w:tc>
        <w:tc>
          <w:tcPr>
            <w:tcW w:w="505" w:type="pct"/>
            <w:vAlign w:val="center"/>
          </w:tcPr>
          <w:p w14:paraId="04FB0FE4"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-0.924</w:t>
            </w:r>
          </w:p>
        </w:tc>
        <w:tc>
          <w:tcPr>
            <w:tcW w:w="468" w:type="pct"/>
            <w:vAlign w:val="center"/>
          </w:tcPr>
          <w:p w14:paraId="2E9D58CC"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-0.624</w:t>
            </w:r>
          </w:p>
        </w:tc>
        <w:tc>
          <w:tcPr>
            <w:tcW w:w="530" w:type="pct"/>
            <w:vAlign w:val="center"/>
          </w:tcPr>
          <w:p w14:paraId="65646213"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-1.324</w:t>
            </w:r>
          </w:p>
        </w:tc>
        <w:tc>
          <w:tcPr>
            <w:tcW w:w="517" w:type="pct"/>
            <w:vAlign w:val="center"/>
          </w:tcPr>
          <w:p w14:paraId="5713562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-0.524</w:t>
            </w:r>
          </w:p>
        </w:tc>
        <w:tc>
          <w:tcPr>
            <w:tcW w:w="517" w:type="pct"/>
            <w:vAlign w:val="center"/>
          </w:tcPr>
          <w:p w14:paraId="1BDE166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-0.824</w:t>
            </w:r>
          </w:p>
        </w:tc>
        <w:tc>
          <w:tcPr>
            <w:tcW w:w="519" w:type="pct"/>
            <w:vAlign w:val="center"/>
          </w:tcPr>
          <w:p w14:paraId="320E324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-0.724</w:t>
            </w:r>
          </w:p>
        </w:tc>
        <w:tc>
          <w:tcPr>
            <w:tcW w:w="521" w:type="pct"/>
            <w:vAlign w:val="center"/>
          </w:tcPr>
          <w:p w14:paraId="65ABA4DC"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-0.624</w:t>
            </w:r>
          </w:p>
        </w:tc>
      </w:tr>
      <w:tr w:rsidR="009D12AF" w14:paraId="24BEF5B1" w14:textId="77777777">
        <w:trPr>
          <w:trHeight w:val="374"/>
          <w:jc w:val="center"/>
        </w:trPr>
        <w:tc>
          <w:tcPr>
            <w:tcW w:w="347" w:type="pct"/>
            <w:vAlign w:val="center"/>
          </w:tcPr>
          <w:p w14:paraId="300E771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2</w:t>
            </w:r>
          </w:p>
        </w:tc>
        <w:tc>
          <w:tcPr>
            <w:tcW w:w="567" w:type="pct"/>
            <w:vAlign w:val="center"/>
          </w:tcPr>
          <w:p w14:paraId="35FC7A43"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总硬度</w:t>
            </w:r>
          </w:p>
        </w:tc>
        <w:tc>
          <w:tcPr>
            <w:tcW w:w="503" w:type="pct"/>
            <w:vAlign w:val="center"/>
          </w:tcPr>
          <w:p w14:paraId="31EB374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0.513</w:t>
            </w:r>
          </w:p>
        </w:tc>
        <w:tc>
          <w:tcPr>
            <w:tcW w:w="505" w:type="pct"/>
            <w:vAlign w:val="center"/>
          </w:tcPr>
          <w:p w14:paraId="27B57272"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0.206</w:t>
            </w:r>
          </w:p>
        </w:tc>
        <w:tc>
          <w:tcPr>
            <w:tcW w:w="468" w:type="pct"/>
            <w:vAlign w:val="center"/>
          </w:tcPr>
          <w:p w14:paraId="76F44159"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0.205</w:t>
            </w:r>
          </w:p>
        </w:tc>
        <w:tc>
          <w:tcPr>
            <w:tcW w:w="530" w:type="pct"/>
            <w:vAlign w:val="center"/>
          </w:tcPr>
          <w:p w14:paraId="137BED8B"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0.167</w:t>
            </w:r>
          </w:p>
        </w:tc>
        <w:tc>
          <w:tcPr>
            <w:tcW w:w="517" w:type="pct"/>
            <w:vAlign w:val="center"/>
          </w:tcPr>
          <w:p w14:paraId="1454AAD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0.190</w:t>
            </w:r>
          </w:p>
        </w:tc>
        <w:tc>
          <w:tcPr>
            <w:tcW w:w="517" w:type="pct"/>
            <w:vAlign w:val="center"/>
          </w:tcPr>
          <w:p w14:paraId="0F2BB110"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0.203</w:t>
            </w:r>
          </w:p>
        </w:tc>
        <w:tc>
          <w:tcPr>
            <w:tcW w:w="519" w:type="pct"/>
            <w:vAlign w:val="center"/>
          </w:tcPr>
          <w:p w14:paraId="1A345EF3"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0.139</w:t>
            </w:r>
          </w:p>
        </w:tc>
        <w:tc>
          <w:tcPr>
            <w:tcW w:w="521" w:type="pct"/>
            <w:vAlign w:val="center"/>
          </w:tcPr>
          <w:p w14:paraId="662B433A"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0.462</w:t>
            </w:r>
          </w:p>
        </w:tc>
      </w:tr>
      <w:tr w:rsidR="009D12AF" w14:paraId="40DAC806" w14:textId="77777777">
        <w:trPr>
          <w:trHeight w:val="374"/>
          <w:jc w:val="center"/>
        </w:trPr>
        <w:tc>
          <w:tcPr>
            <w:tcW w:w="347" w:type="pct"/>
            <w:vAlign w:val="center"/>
          </w:tcPr>
          <w:p w14:paraId="4CE4572D"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3</w:t>
            </w:r>
          </w:p>
        </w:tc>
        <w:tc>
          <w:tcPr>
            <w:tcW w:w="567" w:type="pct"/>
            <w:vAlign w:val="center"/>
          </w:tcPr>
          <w:p w14:paraId="6EF124F3"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溶解性总固体</w:t>
            </w:r>
          </w:p>
        </w:tc>
        <w:tc>
          <w:tcPr>
            <w:tcW w:w="503" w:type="pct"/>
            <w:vAlign w:val="center"/>
          </w:tcPr>
          <w:p w14:paraId="342362AF"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0.262</w:t>
            </w:r>
          </w:p>
        </w:tc>
        <w:tc>
          <w:tcPr>
            <w:tcW w:w="505" w:type="pct"/>
            <w:vAlign w:val="center"/>
          </w:tcPr>
          <w:p w14:paraId="4C8D9656"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0.120</w:t>
            </w:r>
          </w:p>
        </w:tc>
        <w:tc>
          <w:tcPr>
            <w:tcW w:w="468" w:type="pct"/>
            <w:vAlign w:val="center"/>
          </w:tcPr>
          <w:p w14:paraId="6ECD3502"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0.155</w:t>
            </w:r>
          </w:p>
        </w:tc>
        <w:tc>
          <w:tcPr>
            <w:tcW w:w="530" w:type="pct"/>
            <w:vAlign w:val="center"/>
          </w:tcPr>
          <w:p w14:paraId="517790C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0.110</w:t>
            </w:r>
          </w:p>
        </w:tc>
        <w:tc>
          <w:tcPr>
            <w:tcW w:w="517" w:type="pct"/>
            <w:vAlign w:val="center"/>
          </w:tcPr>
          <w:p w14:paraId="72F9F04A"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0.120</w:t>
            </w:r>
          </w:p>
        </w:tc>
        <w:tc>
          <w:tcPr>
            <w:tcW w:w="517" w:type="pct"/>
            <w:vAlign w:val="center"/>
          </w:tcPr>
          <w:p w14:paraId="79844A74"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0.111</w:t>
            </w:r>
          </w:p>
        </w:tc>
        <w:tc>
          <w:tcPr>
            <w:tcW w:w="519" w:type="pct"/>
            <w:vAlign w:val="center"/>
          </w:tcPr>
          <w:p w14:paraId="632942D8"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0.088</w:t>
            </w:r>
          </w:p>
        </w:tc>
        <w:tc>
          <w:tcPr>
            <w:tcW w:w="521" w:type="pct"/>
            <w:vAlign w:val="center"/>
          </w:tcPr>
          <w:p w14:paraId="40F6384D"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0.221</w:t>
            </w:r>
          </w:p>
        </w:tc>
      </w:tr>
      <w:tr w:rsidR="009D12AF" w14:paraId="0A4B3F56" w14:textId="77777777">
        <w:trPr>
          <w:trHeight w:val="374"/>
          <w:jc w:val="center"/>
        </w:trPr>
        <w:tc>
          <w:tcPr>
            <w:tcW w:w="347" w:type="pct"/>
            <w:vAlign w:val="center"/>
          </w:tcPr>
          <w:p w14:paraId="24387728"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4</w:t>
            </w:r>
          </w:p>
        </w:tc>
        <w:tc>
          <w:tcPr>
            <w:tcW w:w="567" w:type="pct"/>
            <w:vAlign w:val="center"/>
          </w:tcPr>
          <w:p w14:paraId="253FFF5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硫酸盐</w:t>
            </w:r>
          </w:p>
        </w:tc>
        <w:tc>
          <w:tcPr>
            <w:tcW w:w="503" w:type="pct"/>
            <w:vAlign w:val="center"/>
          </w:tcPr>
          <w:p w14:paraId="233477B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0.083</w:t>
            </w:r>
          </w:p>
        </w:tc>
        <w:tc>
          <w:tcPr>
            <w:tcW w:w="505" w:type="pct"/>
            <w:vAlign w:val="center"/>
          </w:tcPr>
          <w:p w14:paraId="2EE174A8"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0.063</w:t>
            </w:r>
          </w:p>
        </w:tc>
        <w:tc>
          <w:tcPr>
            <w:tcW w:w="468" w:type="pct"/>
            <w:vAlign w:val="center"/>
          </w:tcPr>
          <w:p w14:paraId="1A452E52"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0.028</w:t>
            </w:r>
          </w:p>
        </w:tc>
        <w:tc>
          <w:tcPr>
            <w:tcW w:w="530" w:type="pct"/>
            <w:vAlign w:val="center"/>
          </w:tcPr>
          <w:p w14:paraId="6B0EB8BB"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0.039</w:t>
            </w:r>
          </w:p>
        </w:tc>
        <w:tc>
          <w:tcPr>
            <w:tcW w:w="517" w:type="pct"/>
            <w:vAlign w:val="center"/>
          </w:tcPr>
          <w:p w14:paraId="2ED1DFF0"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0.028</w:t>
            </w:r>
          </w:p>
        </w:tc>
        <w:tc>
          <w:tcPr>
            <w:tcW w:w="517" w:type="pct"/>
            <w:vAlign w:val="center"/>
          </w:tcPr>
          <w:p w14:paraId="4488B35C"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0.061</w:t>
            </w:r>
          </w:p>
        </w:tc>
        <w:tc>
          <w:tcPr>
            <w:tcW w:w="519" w:type="pct"/>
            <w:vAlign w:val="center"/>
          </w:tcPr>
          <w:p w14:paraId="4B559A9A"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0.042</w:t>
            </w:r>
          </w:p>
        </w:tc>
        <w:tc>
          <w:tcPr>
            <w:tcW w:w="521" w:type="pct"/>
            <w:vAlign w:val="center"/>
          </w:tcPr>
          <w:p w14:paraId="2E18D90B"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0.083</w:t>
            </w:r>
          </w:p>
        </w:tc>
      </w:tr>
      <w:tr w:rsidR="009D12AF" w14:paraId="0FCDEE0F" w14:textId="77777777">
        <w:trPr>
          <w:trHeight w:val="374"/>
          <w:jc w:val="center"/>
        </w:trPr>
        <w:tc>
          <w:tcPr>
            <w:tcW w:w="347" w:type="pct"/>
            <w:vAlign w:val="center"/>
          </w:tcPr>
          <w:p w14:paraId="03C96C89"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5</w:t>
            </w:r>
          </w:p>
        </w:tc>
        <w:tc>
          <w:tcPr>
            <w:tcW w:w="567" w:type="pct"/>
            <w:vAlign w:val="center"/>
          </w:tcPr>
          <w:p w14:paraId="61557046"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氯化物</w:t>
            </w:r>
          </w:p>
        </w:tc>
        <w:tc>
          <w:tcPr>
            <w:tcW w:w="503" w:type="pct"/>
            <w:vAlign w:val="center"/>
          </w:tcPr>
          <w:p w14:paraId="25C12996"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0.091</w:t>
            </w:r>
          </w:p>
        </w:tc>
        <w:tc>
          <w:tcPr>
            <w:tcW w:w="505" w:type="pct"/>
            <w:vAlign w:val="center"/>
          </w:tcPr>
          <w:p w14:paraId="7E653881"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0.033</w:t>
            </w:r>
          </w:p>
        </w:tc>
        <w:tc>
          <w:tcPr>
            <w:tcW w:w="468" w:type="pct"/>
            <w:vAlign w:val="center"/>
          </w:tcPr>
          <w:p w14:paraId="0C35A4FA"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0.054</w:t>
            </w:r>
          </w:p>
        </w:tc>
        <w:tc>
          <w:tcPr>
            <w:tcW w:w="530" w:type="pct"/>
            <w:vAlign w:val="center"/>
          </w:tcPr>
          <w:p w14:paraId="0106C4E5"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7BBC2FE6"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0.055</w:t>
            </w:r>
          </w:p>
        </w:tc>
        <w:tc>
          <w:tcPr>
            <w:tcW w:w="517" w:type="pct"/>
            <w:vAlign w:val="center"/>
          </w:tcPr>
          <w:p w14:paraId="7D8678EC"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0.032</w:t>
            </w:r>
          </w:p>
        </w:tc>
        <w:tc>
          <w:tcPr>
            <w:tcW w:w="519" w:type="pct"/>
            <w:vAlign w:val="center"/>
          </w:tcPr>
          <w:p w14:paraId="2AD9F08B"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0.024</w:t>
            </w:r>
          </w:p>
        </w:tc>
        <w:tc>
          <w:tcPr>
            <w:tcW w:w="521" w:type="pct"/>
            <w:vAlign w:val="center"/>
          </w:tcPr>
          <w:p w14:paraId="05EDD340"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r>
      <w:tr w:rsidR="009D12AF" w14:paraId="778BF477" w14:textId="77777777">
        <w:trPr>
          <w:trHeight w:val="374"/>
          <w:jc w:val="center"/>
        </w:trPr>
        <w:tc>
          <w:tcPr>
            <w:tcW w:w="347" w:type="pct"/>
            <w:vAlign w:val="center"/>
          </w:tcPr>
          <w:p w14:paraId="6A326494"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6</w:t>
            </w:r>
          </w:p>
        </w:tc>
        <w:tc>
          <w:tcPr>
            <w:tcW w:w="567" w:type="pct"/>
            <w:vAlign w:val="center"/>
          </w:tcPr>
          <w:p w14:paraId="2A496546"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挥发酚</w:t>
            </w:r>
          </w:p>
        </w:tc>
        <w:tc>
          <w:tcPr>
            <w:tcW w:w="503" w:type="pct"/>
            <w:vAlign w:val="center"/>
          </w:tcPr>
          <w:p w14:paraId="5CBEEA4C"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05" w:type="pct"/>
            <w:vAlign w:val="center"/>
          </w:tcPr>
          <w:p w14:paraId="232F4478"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468" w:type="pct"/>
            <w:vAlign w:val="center"/>
          </w:tcPr>
          <w:p w14:paraId="676287C8"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30" w:type="pct"/>
            <w:vAlign w:val="center"/>
          </w:tcPr>
          <w:p w14:paraId="49FFFBD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7C6D4E6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0866BE50"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9" w:type="pct"/>
            <w:vAlign w:val="center"/>
          </w:tcPr>
          <w:p w14:paraId="689FA959"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21" w:type="pct"/>
            <w:vAlign w:val="center"/>
          </w:tcPr>
          <w:p w14:paraId="5030B491"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r>
      <w:tr w:rsidR="009D12AF" w14:paraId="1ADB2E65" w14:textId="77777777">
        <w:trPr>
          <w:trHeight w:val="374"/>
          <w:jc w:val="center"/>
        </w:trPr>
        <w:tc>
          <w:tcPr>
            <w:tcW w:w="347" w:type="pct"/>
            <w:vAlign w:val="center"/>
          </w:tcPr>
          <w:p w14:paraId="4F2E789C"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7</w:t>
            </w:r>
          </w:p>
        </w:tc>
        <w:tc>
          <w:tcPr>
            <w:tcW w:w="567" w:type="pct"/>
            <w:vAlign w:val="center"/>
          </w:tcPr>
          <w:p w14:paraId="44D5CA6B"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耗氧量</w:t>
            </w:r>
          </w:p>
        </w:tc>
        <w:tc>
          <w:tcPr>
            <w:tcW w:w="503" w:type="pct"/>
            <w:vAlign w:val="center"/>
          </w:tcPr>
          <w:p w14:paraId="58C34B3A"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0.167</w:t>
            </w:r>
          </w:p>
        </w:tc>
        <w:tc>
          <w:tcPr>
            <w:tcW w:w="505" w:type="pct"/>
            <w:vAlign w:val="center"/>
          </w:tcPr>
          <w:p w14:paraId="5729E089"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0.233</w:t>
            </w:r>
          </w:p>
        </w:tc>
        <w:tc>
          <w:tcPr>
            <w:tcW w:w="468" w:type="pct"/>
            <w:vAlign w:val="center"/>
          </w:tcPr>
          <w:p w14:paraId="7C97DA42"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0.300</w:t>
            </w:r>
          </w:p>
        </w:tc>
        <w:tc>
          <w:tcPr>
            <w:tcW w:w="530" w:type="pct"/>
            <w:vAlign w:val="center"/>
          </w:tcPr>
          <w:p w14:paraId="689D04CB"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0.400</w:t>
            </w:r>
          </w:p>
        </w:tc>
        <w:tc>
          <w:tcPr>
            <w:tcW w:w="517" w:type="pct"/>
            <w:vAlign w:val="center"/>
          </w:tcPr>
          <w:p w14:paraId="6ACDD276"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0.267</w:t>
            </w:r>
          </w:p>
        </w:tc>
        <w:tc>
          <w:tcPr>
            <w:tcW w:w="517" w:type="pct"/>
            <w:vAlign w:val="center"/>
          </w:tcPr>
          <w:p w14:paraId="750FD63A"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0.200</w:t>
            </w:r>
          </w:p>
        </w:tc>
        <w:tc>
          <w:tcPr>
            <w:tcW w:w="519" w:type="pct"/>
            <w:vAlign w:val="center"/>
          </w:tcPr>
          <w:p w14:paraId="7B9A557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0.300</w:t>
            </w:r>
          </w:p>
        </w:tc>
        <w:tc>
          <w:tcPr>
            <w:tcW w:w="521" w:type="pct"/>
            <w:vAlign w:val="center"/>
          </w:tcPr>
          <w:p w14:paraId="6ACECEAA"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0.367</w:t>
            </w:r>
          </w:p>
        </w:tc>
      </w:tr>
      <w:tr w:rsidR="009D12AF" w14:paraId="442C4DB7" w14:textId="77777777">
        <w:trPr>
          <w:trHeight w:val="374"/>
          <w:jc w:val="center"/>
        </w:trPr>
        <w:tc>
          <w:tcPr>
            <w:tcW w:w="347" w:type="pct"/>
            <w:vAlign w:val="center"/>
          </w:tcPr>
          <w:p w14:paraId="658F9C0D"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8</w:t>
            </w:r>
          </w:p>
        </w:tc>
        <w:tc>
          <w:tcPr>
            <w:tcW w:w="567" w:type="pct"/>
            <w:vAlign w:val="center"/>
          </w:tcPr>
          <w:p w14:paraId="516283E0"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硝酸盐</w:t>
            </w:r>
          </w:p>
        </w:tc>
        <w:tc>
          <w:tcPr>
            <w:tcW w:w="503" w:type="pct"/>
            <w:vAlign w:val="center"/>
          </w:tcPr>
          <w:p w14:paraId="4B6A0A75"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0.625</w:t>
            </w:r>
          </w:p>
        </w:tc>
        <w:tc>
          <w:tcPr>
            <w:tcW w:w="505" w:type="pct"/>
            <w:vAlign w:val="center"/>
          </w:tcPr>
          <w:p w14:paraId="3E1FFB6D"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0.185</w:t>
            </w:r>
          </w:p>
        </w:tc>
        <w:tc>
          <w:tcPr>
            <w:tcW w:w="468" w:type="pct"/>
            <w:vAlign w:val="center"/>
          </w:tcPr>
          <w:p w14:paraId="6BFD650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0.550</w:t>
            </w:r>
          </w:p>
        </w:tc>
        <w:tc>
          <w:tcPr>
            <w:tcW w:w="530" w:type="pct"/>
            <w:vAlign w:val="center"/>
          </w:tcPr>
          <w:p w14:paraId="7319B4FA"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0.245</w:t>
            </w:r>
          </w:p>
        </w:tc>
        <w:tc>
          <w:tcPr>
            <w:tcW w:w="517" w:type="pct"/>
            <w:vAlign w:val="center"/>
          </w:tcPr>
          <w:p w14:paraId="3C40C95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0.535</w:t>
            </w:r>
          </w:p>
        </w:tc>
        <w:tc>
          <w:tcPr>
            <w:tcW w:w="517" w:type="pct"/>
            <w:vAlign w:val="center"/>
          </w:tcPr>
          <w:p w14:paraId="1C78E573"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0.189</w:t>
            </w:r>
          </w:p>
        </w:tc>
        <w:tc>
          <w:tcPr>
            <w:tcW w:w="519" w:type="pct"/>
            <w:vAlign w:val="center"/>
          </w:tcPr>
          <w:p w14:paraId="65073442"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0.245</w:t>
            </w:r>
          </w:p>
        </w:tc>
        <w:tc>
          <w:tcPr>
            <w:tcW w:w="521" w:type="pct"/>
            <w:vAlign w:val="center"/>
          </w:tcPr>
          <w:p w14:paraId="606CACC1"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0.590</w:t>
            </w:r>
          </w:p>
        </w:tc>
      </w:tr>
      <w:tr w:rsidR="009D12AF" w14:paraId="1A36723A" w14:textId="77777777">
        <w:trPr>
          <w:trHeight w:val="374"/>
          <w:jc w:val="center"/>
        </w:trPr>
        <w:tc>
          <w:tcPr>
            <w:tcW w:w="347" w:type="pct"/>
            <w:vAlign w:val="center"/>
          </w:tcPr>
          <w:p w14:paraId="72AE4B01"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9</w:t>
            </w:r>
          </w:p>
        </w:tc>
        <w:tc>
          <w:tcPr>
            <w:tcW w:w="567" w:type="pct"/>
            <w:vAlign w:val="center"/>
          </w:tcPr>
          <w:p w14:paraId="23806A4A"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亚硝酸盐</w:t>
            </w:r>
          </w:p>
        </w:tc>
        <w:tc>
          <w:tcPr>
            <w:tcW w:w="503" w:type="pct"/>
            <w:vAlign w:val="center"/>
          </w:tcPr>
          <w:p w14:paraId="107A555A"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05" w:type="pct"/>
            <w:vAlign w:val="center"/>
          </w:tcPr>
          <w:p w14:paraId="40292793"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468" w:type="pct"/>
            <w:vAlign w:val="center"/>
          </w:tcPr>
          <w:p w14:paraId="05E00FF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30" w:type="pct"/>
            <w:vAlign w:val="center"/>
          </w:tcPr>
          <w:p w14:paraId="7FD231BA"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3DCA9E16"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211F930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9" w:type="pct"/>
            <w:vAlign w:val="center"/>
          </w:tcPr>
          <w:p w14:paraId="53582FA2"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21" w:type="pct"/>
            <w:vAlign w:val="center"/>
          </w:tcPr>
          <w:p w14:paraId="79284D9D"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r>
      <w:tr w:rsidR="009D12AF" w14:paraId="611D7121" w14:textId="77777777">
        <w:trPr>
          <w:trHeight w:val="374"/>
          <w:jc w:val="center"/>
        </w:trPr>
        <w:tc>
          <w:tcPr>
            <w:tcW w:w="347" w:type="pct"/>
            <w:vAlign w:val="center"/>
          </w:tcPr>
          <w:p w14:paraId="35C8EE04"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10</w:t>
            </w:r>
          </w:p>
        </w:tc>
        <w:tc>
          <w:tcPr>
            <w:tcW w:w="567" w:type="pct"/>
            <w:vAlign w:val="center"/>
          </w:tcPr>
          <w:p w14:paraId="785FEC36"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氨氮</w:t>
            </w:r>
          </w:p>
        </w:tc>
        <w:tc>
          <w:tcPr>
            <w:tcW w:w="503" w:type="pct"/>
            <w:vAlign w:val="center"/>
          </w:tcPr>
          <w:p w14:paraId="12F5CEE1"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05" w:type="pct"/>
            <w:vAlign w:val="center"/>
          </w:tcPr>
          <w:p w14:paraId="7B0E3991"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0.852</w:t>
            </w:r>
          </w:p>
        </w:tc>
        <w:tc>
          <w:tcPr>
            <w:tcW w:w="468" w:type="pct"/>
            <w:vAlign w:val="center"/>
          </w:tcPr>
          <w:p w14:paraId="6BC379D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0.070</w:t>
            </w:r>
          </w:p>
        </w:tc>
        <w:tc>
          <w:tcPr>
            <w:tcW w:w="530" w:type="pct"/>
            <w:vAlign w:val="center"/>
          </w:tcPr>
          <w:p w14:paraId="45262B36"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0.498</w:t>
            </w:r>
          </w:p>
        </w:tc>
        <w:tc>
          <w:tcPr>
            <w:tcW w:w="517" w:type="pct"/>
            <w:vAlign w:val="center"/>
          </w:tcPr>
          <w:p w14:paraId="64548511"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0.174</w:t>
            </w:r>
          </w:p>
        </w:tc>
        <w:tc>
          <w:tcPr>
            <w:tcW w:w="517" w:type="pct"/>
            <w:vAlign w:val="center"/>
          </w:tcPr>
          <w:p w14:paraId="1981BDD6"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0.192</w:t>
            </w:r>
          </w:p>
        </w:tc>
        <w:tc>
          <w:tcPr>
            <w:tcW w:w="519" w:type="pct"/>
            <w:vAlign w:val="center"/>
          </w:tcPr>
          <w:p w14:paraId="215C7A5C"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0.150</w:t>
            </w:r>
          </w:p>
        </w:tc>
        <w:tc>
          <w:tcPr>
            <w:tcW w:w="521" w:type="pct"/>
            <w:vAlign w:val="center"/>
          </w:tcPr>
          <w:p w14:paraId="73CED710"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0.162</w:t>
            </w:r>
          </w:p>
        </w:tc>
      </w:tr>
      <w:tr w:rsidR="009D12AF" w14:paraId="4062C2F4" w14:textId="77777777">
        <w:trPr>
          <w:trHeight w:val="374"/>
          <w:jc w:val="center"/>
        </w:trPr>
        <w:tc>
          <w:tcPr>
            <w:tcW w:w="347" w:type="pct"/>
            <w:vAlign w:val="center"/>
          </w:tcPr>
          <w:p w14:paraId="4189E39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11</w:t>
            </w:r>
          </w:p>
        </w:tc>
        <w:tc>
          <w:tcPr>
            <w:tcW w:w="567" w:type="pct"/>
            <w:vAlign w:val="center"/>
          </w:tcPr>
          <w:p w14:paraId="61EDFC10"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六价铬</w:t>
            </w:r>
          </w:p>
        </w:tc>
        <w:tc>
          <w:tcPr>
            <w:tcW w:w="503" w:type="pct"/>
            <w:vAlign w:val="center"/>
          </w:tcPr>
          <w:p w14:paraId="01EBDF96"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05" w:type="pct"/>
            <w:vAlign w:val="center"/>
          </w:tcPr>
          <w:p w14:paraId="50ED34F0"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468" w:type="pct"/>
            <w:vAlign w:val="center"/>
          </w:tcPr>
          <w:p w14:paraId="3714C4EA"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30" w:type="pct"/>
            <w:vAlign w:val="center"/>
          </w:tcPr>
          <w:p w14:paraId="32D31ACD"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67B8037C"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196AA429"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9" w:type="pct"/>
            <w:vAlign w:val="center"/>
          </w:tcPr>
          <w:p w14:paraId="2B2872E4"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21" w:type="pct"/>
            <w:vAlign w:val="center"/>
          </w:tcPr>
          <w:p w14:paraId="49CC5EEF"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r>
      <w:tr w:rsidR="009D12AF" w14:paraId="66062FF0" w14:textId="77777777">
        <w:trPr>
          <w:trHeight w:val="374"/>
          <w:jc w:val="center"/>
        </w:trPr>
        <w:tc>
          <w:tcPr>
            <w:tcW w:w="347" w:type="pct"/>
            <w:vAlign w:val="center"/>
          </w:tcPr>
          <w:p w14:paraId="27DDD319"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12</w:t>
            </w:r>
          </w:p>
        </w:tc>
        <w:tc>
          <w:tcPr>
            <w:tcW w:w="567" w:type="pct"/>
            <w:vAlign w:val="center"/>
          </w:tcPr>
          <w:p w14:paraId="03F8325D"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氟化物</w:t>
            </w:r>
          </w:p>
        </w:tc>
        <w:tc>
          <w:tcPr>
            <w:tcW w:w="503" w:type="pct"/>
            <w:vAlign w:val="center"/>
          </w:tcPr>
          <w:p w14:paraId="63B0C9D0"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0.105</w:t>
            </w:r>
          </w:p>
        </w:tc>
        <w:tc>
          <w:tcPr>
            <w:tcW w:w="505" w:type="pct"/>
            <w:vAlign w:val="center"/>
          </w:tcPr>
          <w:p w14:paraId="103B1AF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0.083</w:t>
            </w:r>
          </w:p>
        </w:tc>
        <w:tc>
          <w:tcPr>
            <w:tcW w:w="468" w:type="pct"/>
            <w:vAlign w:val="center"/>
          </w:tcPr>
          <w:p w14:paraId="46862682"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0.197</w:t>
            </w:r>
          </w:p>
        </w:tc>
        <w:tc>
          <w:tcPr>
            <w:tcW w:w="530" w:type="pct"/>
            <w:vAlign w:val="center"/>
          </w:tcPr>
          <w:p w14:paraId="23802C95"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0.166</w:t>
            </w:r>
          </w:p>
        </w:tc>
        <w:tc>
          <w:tcPr>
            <w:tcW w:w="517" w:type="pct"/>
            <w:vAlign w:val="center"/>
          </w:tcPr>
          <w:p w14:paraId="073B246D"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0.171</w:t>
            </w:r>
          </w:p>
        </w:tc>
        <w:tc>
          <w:tcPr>
            <w:tcW w:w="517" w:type="pct"/>
            <w:vAlign w:val="center"/>
          </w:tcPr>
          <w:p w14:paraId="02F12A5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0.162</w:t>
            </w:r>
          </w:p>
        </w:tc>
        <w:tc>
          <w:tcPr>
            <w:tcW w:w="519" w:type="pct"/>
            <w:vAlign w:val="center"/>
          </w:tcPr>
          <w:p w14:paraId="78F1FCA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0.363</w:t>
            </w:r>
          </w:p>
        </w:tc>
        <w:tc>
          <w:tcPr>
            <w:tcW w:w="521" w:type="pct"/>
            <w:vAlign w:val="center"/>
          </w:tcPr>
          <w:p w14:paraId="76779E70"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0.052</w:t>
            </w:r>
          </w:p>
        </w:tc>
      </w:tr>
      <w:tr w:rsidR="009D12AF" w14:paraId="5AA1C490" w14:textId="77777777">
        <w:trPr>
          <w:trHeight w:val="374"/>
          <w:jc w:val="center"/>
        </w:trPr>
        <w:tc>
          <w:tcPr>
            <w:tcW w:w="347" w:type="pct"/>
            <w:vAlign w:val="center"/>
          </w:tcPr>
          <w:p w14:paraId="1669F0C4"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lastRenderedPageBreak/>
              <w:t>13</w:t>
            </w:r>
          </w:p>
        </w:tc>
        <w:tc>
          <w:tcPr>
            <w:tcW w:w="567" w:type="pct"/>
            <w:vAlign w:val="center"/>
          </w:tcPr>
          <w:p w14:paraId="79465C3A"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氰化物</w:t>
            </w:r>
          </w:p>
        </w:tc>
        <w:tc>
          <w:tcPr>
            <w:tcW w:w="503" w:type="pct"/>
            <w:vAlign w:val="center"/>
          </w:tcPr>
          <w:p w14:paraId="1B4D12C9"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05" w:type="pct"/>
            <w:vAlign w:val="center"/>
          </w:tcPr>
          <w:p w14:paraId="76D66A4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468" w:type="pct"/>
            <w:vAlign w:val="center"/>
          </w:tcPr>
          <w:p w14:paraId="1AB82E04"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30" w:type="pct"/>
            <w:vAlign w:val="center"/>
          </w:tcPr>
          <w:p w14:paraId="26CA0B9F"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302CA722"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3C148B0F"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9" w:type="pct"/>
            <w:vAlign w:val="center"/>
          </w:tcPr>
          <w:p w14:paraId="7B2791C4"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21" w:type="pct"/>
            <w:vAlign w:val="center"/>
          </w:tcPr>
          <w:p w14:paraId="38100BCF"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r>
      <w:tr w:rsidR="009D12AF" w14:paraId="0DC9E04C" w14:textId="77777777">
        <w:trPr>
          <w:trHeight w:val="374"/>
          <w:jc w:val="center"/>
        </w:trPr>
        <w:tc>
          <w:tcPr>
            <w:tcW w:w="347" w:type="pct"/>
            <w:vAlign w:val="center"/>
          </w:tcPr>
          <w:p w14:paraId="0AFEA34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14</w:t>
            </w:r>
          </w:p>
        </w:tc>
        <w:tc>
          <w:tcPr>
            <w:tcW w:w="567" w:type="pct"/>
            <w:vAlign w:val="center"/>
          </w:tcPr>
          <w:p w14:paraId="65CAA1E6"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总大肠菌群</w:t>
            </w:r>
          </w:p>
        </w:tc>
        <w:tc>
          <w:tcPr>
            <w:tcW w:w="503" w:type="pct"/>
            <w:vAlign w:val="center"/>
          </w:tcPr>
          <w:p w14:paraId="29B1DCDB"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0.667</w:t>
            </w:r>
          </w:p>
        </w:tc>
        <w:tc>
          <w:tcPr>
            <w:tcW w:w="505" w:type="pct"/>
            <w:vAlign w:val="center"/>
          </w:tcPr>
          <w:p w14:paraId="27729168"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0.667</w:t>
            </w:r>
          </w:p>
        </w:tc>
        <w:tc>
          <w:tcPr>
            <w:tcW w:w="468" w:type="pct"/>
            <w:vAlign w:val="center"/>
          </w:tcPr>
          <w:p w14:paraId="71410012"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0.667</w:t>
            </w:r>
          </w:p>
        </w:tc>
        <w:tc>
          <w:tcPr>
            <w:tcW w:w="530" w:type="pct"/>
            <w:vAlign w:val="center"/>
          </w:tcPr>
          <w:p w14:paraId="65ACA2B4"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0.667</w:t>
            </w:r>
          </w:p>
        </w:tc>
        <w:tc>
          <w:tcPr>
            <w:tcW w:w="517" w:type="pct"/>
            <w:vAlign w:val="center"/>
          </w:tcPr>
          <w:p w14:paraId="2AEAD073"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0.667</w:t>
            </w:r>
          </w:p>
        </w:tc>
        <w:tc>
          <w:tcPr>
            <w:tcW w:w="517" w:type="pct"/>
            <w:vAlign w:val="center"/>
          </w:tcPr>
          <w:p w14:paraId="0D4B8553"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0.667</w:t>
            </w:r>
          </w:p>
        </w:tc>
        <w:tc>
          <w:tcPr>
            <w:tcW w:w="519" w:type="pct"/>
            <w:vAlign w:val="center"/>
          </w:tcPr>
          <w:p w14:paraId="254687D0"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0.667</w:t>
            </w:r>
          </w:p>
        </w:tc>
        <w:tc>
          <w:tcPr>
            <w:tcW w:w="521" w:type="pct"/>
            <w:vAlign w:val="center"/>
          </w:tcPr>
          <w:p w14:paraId="1DD4F50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0.667</w:t>
            </w:r>
          </w:p>
        </w:tc>
      </w:tr>
      <w:tr w:rsidR="009D12AF" w14:paraId="598E227B" w14:textId="77777777">
        <w:trPr>
          <w:trHeight w:val="374"/>
          <w:jc w:val="center"/>
        </w:trPr>
        <w:tc>
          <w:tcPr>
            <w:tcW w:w="347" w:type="pct"/>
            <w:vAlign w:val="center"/>
          </w:tcPr>
          <w:p w14:paraId="14AE7EA8"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15</w:t>
            </w:r>
          </w:p>
        </w:tc>
        <w:tc>
          <w:tcPr>
            <w:tcW w:w="567" w:type="pct"/>
            <w:vAlign w:val="center"/>
          </w:tcPr>
          <w:p w14:paraId="053DAB9B"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细菌总数</w:t>
            </w:r>
          </w:p>
        </w:tc>
        <w:tc>
          <w:tcPr>
            <w:tcW w:w="503" w:type="pct"/>
            <w:vAlign w:val="center"/>
          </w:tcPr>
          <w:p w14:paraId="29ED121B"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0.750</w:t>
            </w:r>
          </w:p>
        </w:tc>
        <w:tc>
          <w:tcPr>
            <w:tcW w:w="505" w:type="pct"/>
            <w:vAlign w:val="center"/>
          </w:tcPr>
          <w:p w14:paraId="06DC6383"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0.830</w:t>
            </w:r>
          </w:p>
        </w:tc>
        <w:tc>
          <w:tcPr>
            <w:tcW w:w="468" w:type="pct"/>
            <w:vAlign w:val="center"/>
          </w:tcPr>
          <w:p w14:paraId="4FE259ED"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0.620</w:t>
            </w:r>
          </w:p>
        </w:tc>
        <w:tc>
          <w:tcPr>
            <w:tcW w:w="530" w:type="pct"/>
            <w:vAlign w:val="center"/>
          </w:tcPr>
          <w:p w14:paraId="39A0C1EC"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0.580</w:t>
            </w:r>
          </w:p>
        </w:tc>
        <w:tc>
          <w:tcPr>
            <w:tcW w:w="517" w:type="pct"/>
            <w:vAlign w:val="center"/>
          </w:tcPr>
          <w:p w14:paraId="673C58F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0.480</w:t>
            </w:r>
          </w:p>
        </w:tc>
        <w:tc>
          <w:tcPr>
            <w:tcW w:w="517" w:type="pct"/>
            <w:vAlign w:val="center"/>
          </w:tcPr>
          <w:p w14:paraId="112EF572"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0.570</w:t>
            </w:r>
          </w:p>
        </w:tc>
        <w:tc>
          <w:tcPr>
            <w:tcW w:w="519" w:type="pct"/>
            <w:vAlign w:val="center"/>
          </w:tcPr>
          <w:p w14:paraId="518AE2D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0.760</w:t>
            </w:r>
          </w:p>
        </w:tc>
        <w:tc>
          <w:tcPr>
            <w:tcW w:w="521" w:type="pct"/>
            <w:vAlign w:val="center"/>
          </w:tcPr>
          <w:p w14:paraId="582D366F"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0.650</w:t>
            </w:r>
          </w:p>
        </w:tc>
      </w:tr>
      <w:tr w:rsidR="009D12AF" w14:paraId="4C991BA3" w14:textId="77777777">
        <w:trPr>
          <w:trHeight w:val="374"/>
          <w:jc w:val="center"/>
        </w:trPr>
        <w:tc>
          <w:tcPr>
            <w:tcW w:w="347" w:type="pct"/>
            <w:vAlign w:val="center"/>
          </w:tcPr>
          <w:p w14:paraId="3CCDA093"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16</w:t>
            </w:r>
          </w:p>
        </w:tc>
        <w:tc>
          <w:tcPr>
            <w:tcW w:w="567" w:type="pct"/>
            <w:vAlign w:val="center"/>
          </w:tcPr>
          <w:p w14:paraId="379603B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铁</w:t>
            </w:r>
          </w:p>
        </w:tc>
        <w:tc>
          <w:tcPr>
            <w:tcW w:w="503" w:type="pct"/>
            <w:vAlign w:val="center"/>
          </w:tcPr>
          <w:p w14:paraId="111954E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05" w:type="pct"/>
            <w:vAlign w:val="center"/>
          </w:tcPr>
          <w:p w14:paraId="13DBF2F3"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468" w:type="pct"/>
            <w:vAlign w:val="center"/>
          </w:tcPr>
          <w:p w14:paraId="78040880"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30" w:type="pct"/>
            <w:vAlign w:val="center"/>
          </w:tcPr>
          <w:p w14:paraId="4DC7077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67774350"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655E4C65"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9" w:type="pct"/>
            <w:vAlign w:val="center"/>
          </w:tcPr>
          <w:p w14:paraId="6DA5B3F4"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21" w:type="pct"/>
            <w:vAlign w:val="center"/>
          </w:tcPr>
          <w:p w14:paraId="08F57BC0"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r>
      <w:tr w:rsidR="009D12AF" w14:paraId="76318AEA" w14:textId="77777777">
        <w:trPr>
          <w:trHeight w:val="374"/>
          <w:jc w:val="center"/>
        </w:trPr>
        <w:tc>
          <w:tcPr>
            <w:tcW w:w="347" w:type="pct"/>
            <w:vAlign w:val="center"/>
          </w:tcPr>
          <w:p w14:paraId="28C62078"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17</w:t>
            </w:r>
          </w:p>
        </w:tc>
        <w:tc>
          <w:tcPr>
            <w:tcW w:w="567" w:type="pct"/>
            <w:vAlign w:val="center"/>
          </w:tcPr>
          <w:p w14:paraId="53D876C8"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锰</w:t>
            </w:r>
          </w:p>
        </w:tc>
        <w:tc>
          <w:tcPr>
            <w:tcW w:w="503" w:type="pct"/>
            <w:vAlign w:val="center"/>
          </w:tcPr>
          <w:p w14:paraId="3251B2AB"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05" w:type="pct"/>
            <w:vAlign w:val="center"/>
          </w:tcPr>
          <w:p w14:paraId="03402610"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468" w:type="pct"/>
            <w:vAlign w:val="center"/>
          </w:tcPr>
          <w:p w14:paraId="4F00E26B"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30" w:type="pct"/>
            <w:vAlign w:val="center"/>
          </w:tcPr>
          <w:p w14:paraId="6FFAFBF6"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0AA0FC1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5CF3AB3C"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9" w:type="pct"/>
            <w:vAlign w:val="center"/>
          </w:tcPr>
          <w:p w14:paraId="0AFD156F"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21" w:type="pct"/>
            <w:vAlign w:val="center"/>
          </w:tcPr>
          <w:p w14:paraId="2A2C07BC"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r>
      <w:tr w:rsidR="009D12AF" w14:paraId="1219A971" w14:textId="77777777">
        <w:trPr>
          <w:trHeight w:val="374"/>
          <w:jc w:val="center"/>
        </w:trPr>
        <w:tc>
          <w:tcPr>
            <w:tcW w:w="347" w:type="pct"/>
            <w:vAlign w:val="center"/>
          </w:tcPr>
          <w:p w14:paraId="65AB281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18</w:t>
            </w:r>
          </w:p>
        </w:tc>
        <w:tc>
          <w:tcPr>
            <w:tcW w:w="567" w:type="pct"/>
            <w:vAlign w:val="center"/>
          </w:tcPr>
          <w:p w14:paraId="722F0380"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砷</w:t>
            </w:r>
          </w:p>
        </w:tc>
        <w:tc>
          <w:tcPr>
            <w:tcW w:w="503" w:type="pct"/>
            <w:vAlign w:val="center"/>
          </w:tcPr>
          <w:p w14:paraId="10A64854"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05" w:type="pct"/>
            <w:vAlign w:val="center"/>
          </w:tcPr>
          <w:p w14:paraId="563177AF"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468" w:type="pct"/>
            <w:vAlign w:val="center"/>
          </w:tcPr>
          <w:p w14:paraId="42C9651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30" w:type="pct"/>
            <w:vAlign w:val="center"/>
          </w:tcPr>
          <w:p w14:paraId="433902F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7D34B4F8"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6A0F811B"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9" w:type="pct"/>
            <w:vAlign w:val="center"/>
          </w:tcPr>
          <w:p w14:paraId="6FD8E21D"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21" w:type="pct"/>
            <w:vAlign w:val="center"/>
          </w:tcPr>
          <w:p w14:paraId="6E6775A8"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r>
      <w:tr w:rsidR="009D12AF" w14:paraId="187C8652" w14:textId="77777777">
        <w:trPr>
          <w:trHeight w:val="374"/>
          <w:jc w:val="center"/>
        </w:trPr>
        <w:tc>
          <w:tcPr>
            <w:tcW w:w="347" w:type="pct"/>
            <w:vAlign w:val="center"/>
          </w:tcPr>
          <w:p w14:paraId="7D860DD1"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spacing w:val="-2"/>
                <w:lang w:eastAsia="zh-CN"/>
              </w:rPr>
              <w:t>19</w:t>
            </w:r>
          </w:p>
        </w:tc>
        <w:tc>
          <w:tcPr>
            <w:tcW w:w="567" w:type="pct"/>
            <w:vAlign w:val="center"/>
          </w:tcPr>
          <w:p w14:paraId="1ACD0CDB"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汞</w:t>
            </w:r>
          </w:p>
        </w:tc>
        <w:tc>
          <w:tcPr>
            <w:tcW w:w="503" w:type="pct"/>
            <w:vAlign w:val="center"/>
          </w:tcPr>
          <w:p w14:paraId="4772DFD6"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05" w:type="pct"/>
            <w:vAlign w:val="center"/>
          </w:tcPr>
          <w:p w14:paraId="1D01EA03"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468" w:type="pct"/>
            <w:vAlign w:val="center"/>
          </w:tcPr>
          <w:p w14:paraId="6D7B43B0"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30" w:type="pct"/>
            <w:vAlign w:val="center"/>
          </w:tcPr>
          <w:p w14:paraId="2CE0A588"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413B3024"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16B2B7D6"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9" w:type="pct"/>
            <w:vAlign w:val="center"/>
          </w:tcPr>
          <w:p w14:paraId="61434FA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21" w:type="pct"/>
            <w:vAlign w:val="center"/>
          </w:tcPr>
          <w:p w14:paraId="6E539B5F"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r>
      <w:tr w:rsidR="009D12AF" w14:paraId="47F86F8F" w14:textId="77777777">
        <w:trPr>
          <w:trHeight w:val="374"/>
          <w:jc w:val="center"/>
        </w:trPr>
        <w:tc>
          <w:tcPr>
            <w:tcW w:w="347" w:type="pct"/>
            <w:vAlign w:val="center"/>
          </w:tcPr>
          <w:p w14:paraId="7C39C689"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20</w:t>
            </w:r>
          </w:p>
        </w:tc>
        <w:tc>
          <w:tcPr>
            <w:tcW w:w="567" w:type="pct"/>
            <w:vAlign w:val="center"/>
          </w:tcPr>
          <w:p w14:paraId="4F82724D"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铅</w:t>
            </w:r>
          </w:p>
        </w:tc>
        <w:tc>
          <w:tcPr>
            <w:tcW w:w="503" w:type="pct"/>
            <w:vAlign w:val="center"/>
          </w:tcPr>
          <w:p w14:paraId="5A67C99D"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05" w:type="pct"/>
            <w:vAlign w:val="center"/>
          </w:tcPr>
          <w:p w14:paraId="5AAE7D7A"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468" w:type="pct"/>
            <w:vAlign w:val="center"/>
          </w:tcPr>
          <w:p w14:paraId="73108B4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30" w:type="pct"/>
            <w:vAlign w:val="center"/>
          </w:tcPr>
          <w:p w14:paraId="5CBD354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61B2E8D8"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279B9BCF"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9" w:type="pct"/>
            <w:vAlign w:val="center"/>
          </w:tcPr>
          <w:p w14:paraId="17B518E9"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21" w:type="pct"/>
            <w:vAlign w:val="center"/>
          </w:tcPr>
          <w:p w14:paraId="19896BC7"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r>
      <w:tr w:rsidR="009D12AF" w14:paraId="0EE1B7AA" w14:textId="77777777">
        <w:trPr>
          <w:trHeight w:val="374"/>
          <w:jc w:val="center"/>
        </w:trPr>
        <w:tc>
          <w:tcPr>
            <w:tcW w:w="347" w:type="pct"/>
            <w:vAlign w:val="center"/>
          </w:tcPr>
          <w:p w14:paraId="20DC989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21</w:t>
            </w:r>
          </w:p>
        </w:tc>
        <w:tc>
          <w:tcPr>
            <w:tcW w:w="567" w:type="pct"/>
            <w:vAlign w:val="center"/>
          </w:tcPr>
          <w:p w14:paraId="49D7ACCE"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镉</w:t>
            </w:r>
          </w:p>
        </w:tc>
        <w:tc>
          <w:tcPr>
            <w:tcW w:w="503" w:type="pct"/>
            <w:vAlign w:val="center"/>
          </w:tcPr>
          <w:p w14:paraId="720D38A5"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0.040</w:t>
            </w:r>
          </w:p>
        </w:tc>
        <w:tc>
          <w:tcPr>
            <w:tcW w:w="505" w:type="pct"/>
            <w:vAlign w:val="center"/>
          </w:tcPr>
          <w:p w14:paraId="0042FBAB"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468" w:type="pct"/>
            <w:vAlign w:val="center"/>
          </w:tcPr>
          <w:p w14:paraId="24BD8DFD"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30" w:type="pct"/>
            <w:vAlign w:val="center"/>
          </w:tcPr>
          <w:p w14:paraId="16FCE59A"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7" w:type="pct"/>
            <w:vAlign w:val="center"/>
          </w:tcPr>
          <w:p w14:paraId="7F00F9C4"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0.040</w:t>
            </w:r>
          </w:p>
        </w:tc>
        <w:tc>
          <w:tcPr>
            <w:tcW w:w="517" w:type="pct"/>
            <w:vAlign w:val="center"/>
          </w:tcPr>
          <w:p w14:paraId="637AD694"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19" w:type="pct"/>
            <w:vAlign w:val="center"/>
          </w:tcPr>
          <w:p w14:paraId="7A86C7B3"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c>
          <w:tcPr>
            <w:tcW w:w="521" w:type="pct"/>
            <w:vAlign w:val="center"/>
          </w:tcPr>
          <w:p w14:paraId="1FA8195D" w14:textId="77777777" w:rsidR="009D12AF" w:rsidRDefault="00000000">
            <w:pPr>
              <w:pStyle w:val="TableText"/>
              <w:spacing w:line="219" w:lineRule="auto"/>
              <w:ind w:firstLineChars="0" w:firstLine="0"/>
              <w:jc w:val="center"/>
              <w:rPr>
                <w:rFonts w:ascii="Times New Roman" w:hAnsi="Times New Roman" w:cs="Times New Roman"/>
                <w:spacing w:val="-2"/>
                <w:lang w:eastAsia="zh-CN"/>
              </w:rPr>
            </w:pPr>
            <w:r>
              <w:rPr>
                <w:rFonts w:ascii="Times New Roman" w:hAnsi="Times New Roman" w:cs="Times New Roman" w:hint="eastAsia"/>
                <w:spacing w:val="-2"/>
                <w:lang w:eastAsia="zh-CN"/>
              </w:rPr>
              <w:t>未检出</w:t>
            </w:r>
          </w:p>
        </w:tc>
      </w:tr>
    </w:tbl>
    <w:p w14:paraId="044FB50D" w14:textId="77777777" w:rsidR="009D12AF" w:rsidRDefault="00000000">
      <w:pPr>
        <w:ind w:firstLine="480"/>
        <w:rPr>
          <w:color w:val="000000" w:themeColor="text1"/>
        </w:rPr>
      </w:pPr>
      <w:r>
        <w:rPr>
          <w:color w:val="000000" w:themeColor="text1"/>
        </w:rPr>
        <w:t>从上表可以看出，地下水环境质量除部分监测点位中</w:t>
      </w:r>
      <w:r>
        <w:rPr>
          <w:rFonts w:hint="eastAsia"/>
          <w:color w:val="000000" w:themeColor="text1"/>
        </w:rPr>
        <w:t>贴</w:t>
      </w:r>
      <w:r>
        <w:rPr>
          <w:color w:val="000000" w:themeColor="text1"/>
        </w:rPr>
        <w:t>超标外，其他监测项目均能满足《地下水质量标准》（</w:t>
      </w:r>
      <w:r>
        <w:rPr>
          <w:color w:val="000000" w:themeColor="text1"/>
        </w:rPr>
        <w:t>GB/T14848-2017</w:t>
      </w:r>
      <w:r>
        <w:rPr>
          <w:color w:val="000000" w:themeColor="text1"/>
        </w:rPr>
        <w:t>）</w:t>
      </w:r>
      <w:r>
        <w:rPr>
          <w:color w:val="000000" w:themeColor="text1"/>
        </w:rPr>
        <w:t>III</w:t>
      </w:r>
      <w:r>
        <w:rPr>
          <w:color w:val="000000" w:themeColor="text1"/>
        </w:rPr>
        <w:t>类标准。</w:t>
      </w:r>
    </w:p>
    <w:p w14:paraId="00E1615C" w14:textId="77777777" w:rsidR="009D12AF" w:rsidRDefault="00000000">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）地下化学类型分析</w:t>
      </w:r>
    </w:p>
    <w:p w14:paraId="6160AB49" w14:textId="77777777" w:rsidR="009D12AF" w:rsidRDefault="00000000">
      <w:pPr>
        <w:ind w:firstLine="480"/>
        <w:rPr>
          <w:color w:val="000000" w:themeColor="text1"/>
        </w:rPr>
      </w:pPr>
      <w:r>
        <w:rPr>
          <w:rFonts w:hint="eastAsia"/>
          <w:color w:val="000000" w:themeColor="text1"/>
        </w:rPr>
        <w:t>地下水化学类型</w:t>
      </w:r>
    </w:p>
    <w:p w14:paraId="5497F772" w14:textId="77777777" w:rsidR="009D12AF" w:rsidRDefault="00000000">
      <w:pPr>
        <w:ind w:firstLine="480"/>
        <w:rPr>
          <w:color w:val="000000" w:themeColor="text1"/>
        </w:rPr>
      </w:pPr>
      <w:r>
        <w:rPr>
          <w:rFonts w:hint="eastAsia"/>
          <w:color w:val="000000" w:themeColor="text1"/>
        </w:rPr>
        <w:t>根据舒卡列夫分类法，按地下水中</w:t>
      </w:r>
      <w:r>
        <w:rPr>
          <w:rFonts w:hint="eastAsia"/>
          <w:color w:val="000000" w:themeColor="text1"/>
        </w:rPr>
        <w:t>Ca</w:t>
      </w:r>
      <w:r>
        <w:rPr>
          <w:rFonts w:hint="eastAsia"/>
          <w:color w:val="000000" w:themeColor="text1"/>
          <w:vertAlign w:val="superscript"/>
        </w:rPr>
        <w:t>2+</w:t>
      </w:r>
      <w:r>
        <w:rPr>
          <w:rFonts w:hint="eastAsia"/>
          <w:color w:val="000000" w:themeColor="text1"/>
        </w:rPr>
        <w:t>、</w:t>
      </w:r>
      <w:r>
        <w:rPr>
          <w:rFonts w:hint="eastAsia"/>
          <w:color w:val="000000" w:themeColor="text1"/>
        </w:rPr>
        <w:t>Mg</w:t>
      </w:r>
      <w:r>
        <w:rPr>
          <w:rFonts w:hint="eastAsia"/>
          <w:color w:val="000000" w:themeColor="text1"/>
          <w:vertAlign w:val="superscript"/>
        </w:rPr>
        <w:t>2+</w:t>
      </w:r>
      <w:r>
        <w:rPr>
          <w:rFonts w:hint="eastAsia"/>
          <w:color w:val="000000" w:themeColor="text1"/>
        </w:rPr>
        <w:t>、</w:t>
      </w:r>
      <w:r>
        <w:rPr>
          <w:rFonts w:hint="eastAsia"/>
          <w:color w:val="000000" w:themeColor="text1"/>
        </w:rPr>
        <w:t>Na</w:t>
      </w:r>
      <w:r>
        <w:rPr>
          <w:rFonts w:hint="eastAsia"/>
          <w:color w:val="000000" w:themeColor="text1"/>
          <w:vertAlign w:val="superscript"/>
        </w:rPr>
        <w:t>+</w:t>
      </w:r>
      <w:r>
        <w:rPr>
          <w:rFonts w:hint="eastAsia"/>
          <w:color w:val="000000" w:themeColor="text1"/>
        </w:rPr>
        <w:t>、</w:t>
      </w:r>
      <w:r>
        <w:rPr>
          <w:rFonts w:hint="eastAsia"/>
          <w:color w:val="000000" w:themeColor="text1"/>
        </w:rPr>
        <w:t>K</w:t>
      </w:r>
      <w:r>
        <w:rPr>
          <w:rFonts w:hint="eastAsia"/>
          <w:color w:val="000000" w:themeColor="text1"/>
          <w:vertAlign w:val="superscript"/>
        </w:rPr>
        <w:t>+</w:t>
      </w:r>
      <w:r>
        <w:rPr>
          <w:rFonts w:hint="eastAsia"/>
          <w:color w:val="000000" w:themeColor="text1"/>
        </w:rPr>
        <w:t>、</w:t>
      </w:r>
      <w:r>
        <w:rPr>
          <w:rFonts w:hint="eastAsia"/>
          <w:color w:val="000000" w:themeColor="text1"/>
        </w:rPr>
        <w:t>Cl</w:t>
      </w:r>
      <w:r>
        <w:rPr>
          <w:rFonts w:hint="eastAsia"/>
          <w:color w:val="000000" w:themeColor="text1"/>
          <w:vertAlign w:val="superscript"/>
        </w:rPr>
        <w:t>-</w:t>
      </w:r>
      <w:r>
        <w:rPr>
          <w:rFonts w:hint="eastAsia"/>
          <w:color w:val="000000" w:themeColor="text1"/>
        </w:rPr>
        <w:t>、</w:t>
      </w:r>
      <w:r>
        <w:rPr>
          <w:rFonts w:hint="eastAsia"/>
          <w:color w:val="000000" w:themeColor="text1"/>
        </w:rPr>
        <w:t>SO</w:t>
      </w:r>
      <w:r>
        <w:rPr>
          <w:rFonts w:hint="eastAsia"/>
          <w:color w:val="000000" w:themeColor="text1"/>
          <w:vertAlign w:val="subscript"/>
        </w:rPr>
        <w:t>4</w:t>
      </w:r>
      <w:r>
        <w:rPr>
          <w:rFonts w:hint="eastAsia"/>
          <w:color w:val="000000" w:themeColor="text1"/>
          <w:vertAlign w:val="superscript"/>
        </w:rPr>
        <w:t>2-</w:t>
      </w:r>
      <w:r>
        <w:rPr>
          <w:rFonts w:hint="eastAsia"/>
          <w:color w:val="000000" w:themeColor="text1"/>
        </w:rPr>
        <w:t>、</w:t>
      </w:r>
      <w:r>
        <w:rPr>
          <w:rFonts w:hint="eastAsia"/>
          <w:color w:val="000000" w:themeColor="text1"/>
        </w:rPr>
        <w:t>HCO</w:t>
      </w:r>
      <w:r>
        <w:rPr>
          <w:rFonts w:hint="eastAsia"/>
          <w:color w:val="000000" w:themeColor="text1"/>
          <w:vertAlign w:val="subscript"/>
        </w:rPr>
        <w:t>3</w:t>
      </w:r>
      <w:r>
        <w:rPr>
          <w:rFonts w:hint="eastAsia"/>
          <w:color w:val="000000" w:themeColor="text1"/>
          <w:vertAlign w:val="superscript"/>
        </w:rPr>
        <w:t>-</w:t>
      </w:r>
      <w:r>
        <w:rPr>
          <w:rFonts w:hint="eastAsia"/>
          <w:color w:val="000000" w:themeColor="text1"/>
        </w:rPr>
        <w:t>含量，将</w:t>
      </w:r>
      <w:r>
        <w:rPr>
          <w:rFonts w:hint="eastAsia"/>
          <w:color w:val="000000" w:themeColor="text1"/>
        </w:rPr>
        <w:t>Meq</w:t>
      </w:r>
      <w:r>
        <w:rPr>
          <w:rFonts w:hint="eastAsia"/>
          <w:color w:val="000000" w:themeColor="text1"/>
        </w:rPr>
        <w:t>（毫克当量）百分数大于</w:t>
      </w:r>
      <w:r>
        <w:rPr>
          <w:rFonts w:hint="eastAsia"/>
          <w:color w:val="000000" w:themeColor="text1"/>
        </w:rPr>
        <w:t xml:space="preserve">25% </w:t>
      </w:r>
      <w:r>
        <w:rPr>
          <w:rFonts w:hint="eastAsia"/>
          <w:color w:val="000000" w:themeColor="text1"/>
        </w:rPr>
        <w:t>的阴、阳离子进行组合，每种类型以阿拉伯数字为代号，共</w:t>
      </w:r>
      <w:r>
        <w:rPr>
          <w:rFonts w:hint="eastAsia"/>
          <w:color w:val="000000" w:themeColor="text1"/>
        </w:rPr>
        <w:t>49</w:t>
      </w:r>
      <w:r>
        <w:rPr>
          <w:rFonts w:hint="eastAsia"/>
          <w:color w:val="000000" w:themeColor="text1"/>
        </w:rPr>
        <w:t>类。舒卡列夫分类表见表</w:t>
      </w:r>
      <w:r>
        <w:rPr>
          <w:rFonts w:hint="eastAsia"/>
          <w:color w:val="000000" w:themeColor="text1"/>
        </w:rPr>
        <w:t>4.3-21</w:t>
      </w:r>
      <w:r>
        <w:rPr>
          <w:rFonts w:hint="eastAsia"/>
          <w:color w:val="000000" w:themeColor="text1"/>
        </w:rPr>
        <w:t>。</w:t>
      </w:r>
    </w:p>
    <w:p w14:paraId="64FCB33E" w14:textId="77777777" w:rsidR="009D12AF" w:rsidRDefault="00000000">
      <w:pPr>
        <w:ind w:firstLineChars="0" w:firstLine="0"/>
        <w:jc w:val="center"/>
        <w:rPr>
          <w:color w:val="000000" w:themeColor="text1"/>
        </w:rPr>
      </w:pPr>
      <w:r>
        <w:rPr>
          <w:rFonts w:hint="eastAsia"/>
          <w:b/>
          <w:bCs/>
        </w:rPr>
        <w:t>表</w:t>
      </w:r>
      <w:r>
        <w:rPr>
          <w:rFonts w:hint="eastAsia"/>
          <w:b/>
          <w:bCs/>
        </w:rPr>
        <w:t>4.3-21</w:t>
      </w:r>
      <w:r>
        <w:rPr>
          <w:rFonts w:hint="eastAsia"/>
          <w:b/>
          <w:bCs/>
        </w:rPr>
        <w:t>舒卡列夫分类表</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046"/>
        <w:gridCol w:w="730"/>
        <w:gridCol w:w="1187"/>
        <w:gridCol w:w="1504"/>
        <w:gridCol w:w="1047"/>
        <w:gridCol w:w="655"/>
        <w:gridCol w:w="872"/>
        <w:gridCol w:w="481"/>
      </w:tblGrid>
      <w:tr w:rsidR="009D12AF" w14:paraId="4C26E777" w14:textId="77777777">
        <w:trPr>
          <w:tblHeader/>
        </w:trPr>
        <w:tc>
          <w:tcPr>
            <w:tcW w:w="1254" w:type="pct"/>
            <w:tcBorders>
              <w:top w:val="single" w:sz="12" w:space="0" w:color="auto"/>
              <w:left w:val="nil"/>
              <w:bottom w:val="single" w:sz="4" w:space="0" w:color="auto"/>
              <w:right w:val="single" w:sz="4" w:space="0" w:color="auto"/>
            </w:tcBorders>
            <w:vAlign w:val="center"/>
          </w:tcPr>
          <w:p w14:paraId="4D7541C4"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含量＞</w:t>
            </w:r>
            <w:r>
              <w:rPr>
                <w:rFonts w:ascii="Times New Roman" w:hAnsi="Times New Roman" w:cs="Times New Roman"/>
                <w:color w:val="000000" w:themeColor="text1"/>
                <w:sz w:val="21"/>
                <w:szCs w:val="21"/>
              </w:rPr>
              <w:t>25%Meq</w:t>
            </w:r>
            <w:r>
              <w:rPr>
                <w:rFonts w:ascii="Times New Roman" w:hAnsi="Times New Roman" w:cs="Times New Roman"/>
                <w:color w:val="000000" w:themeColor="text1"/>
                <w:sz w:val="21"/>
                <w:szCs w:val="21"/>
              </w:rPr>
              <w:t>的离子</w:t>
            </w:r>
          </w:p>
        </w:tc>
        <w:tc>
          <w:tcPr>
            <w:tcW w:w="412" w:type="pct"/>
            <w:tcBorders>
              <w:top w:val="single" w:sz="12" w:space="0" w:color="auto"/>
              <w:left w:val="single" w:sz="4" w:space="0" w:color="auto"/>
              <w:bottom w:val="single" w:sz="4" w:space="0" w:color="auto"/>
              <w:right w:val="single" w:sz="4" w:space="0" w:color="auto"/>
            </w:tcBorders>
            <w:vAlign w:val="center"/>
          </w:tcPr>
          <w:p w14:paraId="2668D9CA"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HCO</w:t>
            </w:r>
            <w:r>
              <w:rPr>
                <w:rFonts w:ascii="Times New Roman" w:hAnsi="Times New Roman" w:cs="Times New Roman"/>
                <w:color w:val="000000" w:themeColor="text1"/>
                <w:sz w:val="21"/>
                <w:szCs w:val="21"/>
                <w:vertAlign w:val="subscript"/>
              </w:rPr>
              <w:t>3</w:t>
            </w:r>
          </w:p>
        </w:tc>
        <w:tc>
          <w:tcPr>
            <w:tcW w:w="648" w:type="pct"/>
            <w:tcBorders>
              <w:top w:val="single" w:sz="12" w:space="0" w:color="auto"/>
              <w:left w:val="single" w:sz="4" w:space="0" w:color="auto"/>
              <w:bottom w:val="single" w:sz="4" w:space="0" w:color="auto"/>
              <w:right w:val="single" w:sz="4" w:space="0" w:color="auto"/>
            </w:tcBorders>
            <w:vAlign w:val="center"/>
          </w:tcPr>
          <w:p w14:paraId="1F77EF34"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HCO</w:t>
            </w:r>
            <w:r>
              <w:rPr>
                <w:rFonts w:ascii="Times New Roman" w:hAnsi="Times New Roman" w:cs="Times New Roman"/>
                <w:color w:val="000000" w:themeColor="text1"/>
                <w:sz w:val="21"/>
                <w:szCs w:val="21"/>
                <w:vertAlign w:val="subscript"/>
              </w:rPr>
              <w:t>3</w:t>
            </w:r>
            <w:r>
              <w:rPr>
                <w:rFonts w:ascii="Times New Roman" w:hAnsi="Times New Roman" w:cs="Times New Roman"/>
                <w:color w:val="000000" w:themeColor="text1"/>
                <w:sz w:val="21"/>
                <w:szCs w:val="21"/>
              </w:rPr>
              <w:t>+SO</w:t>
            </w:r>
            <w:r>
              <w:rPr>
                <w:rFonts w:ascii="Times New Roman" w:hAnsi="Times New Roman" w:cs="Times New Roman"/>
                <w:color w:val="000000" w:themeColor="text1"/>
                <w:sz w:val="21"/>
                <w:szCs w:val="21"/>
                <w:vertAlign w:val="subscript"/>
              </w:rPr>
              <w:t>4</w:t>
            </w:r>
          </w:p>
        </w:tc>
        <w:tc>
          <w:tcPr>
            <w:tcW w:w="865" w:type="pct"/>
            <w:tcBorders>
              <w:top w:val="single" w:sz="12" w:space="0" w:color="auto"/>
              <w:left w:val="single" w:sz="4" w:space="0" w:color="auto"/>
              <w:bottom w:val="single" w:sz="4" w:space="0" w:color="auto"/>
              <w:right w:val="single" w:sz="4" w:space="0" w:color="auto"/>
            </w:tcBorders>
            <w:vAlign w:val="center"/>
          </w:tcPr>
          <w:p w14:paraId="5720690B"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HCO</w:t>
            </w:r>
            <w:r>
              <w:rPr>
                <w:rFonts w:ascii="Times New Roman" w:hAnsi="Times New Roman" w:cs="Times New Roman"/>
                <w:color w:val="000000" w:themeColor="text1"/>
                <w:sz w:val="21"/>
                <w:szCs w:val="21"/>
                <w:vertAlign w:val="subscript"/>
              </w:rPr>
              <w:t>3</w:t>
            </w:r>
            <w:r>
              <w:rPr>
                <w:rFonts w:ascii="Times New Roman" w:hAnsi="Times New Roman" w:cs="Times New Roman"/>
                <w:color w:val="000000" w:themeColor="text1"/>
                <w:sz w:val="21"/>
                <w:szCs w:val="21"/>
              </w:rPr>
              <w:t>+SO</w:t>
            </w:r>
            <w:r>
              <w:rPr>
                <w:rFonts w:ascii="Times New Roman" w:hAnsi="Times New Roman" w:cs="Times New Roman"/>
                <w:color w:val="000000" w:themeColor="text1"/>
                <w:sz w:val="21"/>
                <w:szCs w:val="21"/>
                <w:vertAlign w:val="subscript"/>
              </w:rPr>
              <w:t>4</w:t>
            </w:r>
            <w:r>
              <w:rPr>
                <w:rFonts w:ascii="Times New Roman" w:hAnsi="Times New Roman" w:cs="Times New Roman"/>
                <w:color w:val="000000" w:themeColor="text1"/>
                <w:sz w:val="21"/>
                <w:szCs w:val="21"/>
              </w:rPr>
              <w:t>+Cl</w:t>
            </w:r>
          </w:p>
        </w:tc>
        <w:tc>
          <w:tcPr>
            <w:tcW w:w="572" w:type="pct"/>
            <w:tcBorders>
              <w:top w:val="single" w:sz="12" w:space="0" w:color="auto"/>
              <w:left w:val="single" w:sz="4" w:space="0" w:color="auto"/>
              <w:bottom w:val="single" w:sz="4" w:space="0" w:color="auto"/>
              <w:right w:val="single" w:sz="4" w:space="0" w:color="auto"/>
            </w:tcBorders>
            <w:vAlign w:val="center"/>
          </w:tcPr>
          <w:p w14:paraId="116AABF5"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HCO</w:t>
            </w:r>
            <w:r>
              <w:rPr>
                <w:rFonts w:ascii="Times New Roman" w:hAnsi="Times New Roman" w:cs="Times New Roman"/>
                <w:color w:val="000000" w:themeColor="text1"/>
                <w:sz w:val="21"/>
                <w:szCs w:val="21"/>
                <w:vertAlign w:val="subscript"/>
              </w:rPr>
              <w:t>3</w:t>
            </w:r>
            <w:r>
              <w:rPr>
                <w:rFonts w:ascii="Times New Roman" w:hAnsi="Times New Roman" w:cs="Times New Roman"/>
                <w:color w:val="000000" w:themeColor="text1"/>
                <w:sz w:val="21"/>
                <w:szCs w:val="21"/>
              </w:rPr>
              <w:t>+Cl</w:t>
            </w:r>
          </w:p>
        </w:tc>
        <w:tc>
          <w:tcPr>
            <w:tcW w:w="437" w:type="pct"/>
            <w:tcBorders>
              <w:top w:val="single" w:sz="12" w:space="0" w:color="auto"/>
              <w:left w:val="single" w:sz="4" w:space="0" w:color="auto"/>
              <w:bottom w:val="single" w:sz="4" w:space="0" w:color="auto"/>
              <w:right w:val="single" w:sz="4" w:space="0" w:color="auto"/>
            </w:tcBorders>
            <w:vAlign w:val="center"/>
          </w:tcPr>
          <w:p w14:paraId="44538B21"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SO</w:t>
            </w:r>
            <w:r>
              <w:rPr>
                <w:rFonts w:ascii="Times New Roman" w:hAnsi="Times New Roman" w:cs="Times New Roman"/>
                <w:color w:val="000000" w:themeColor="text1"/>
                <w:sz w:val="21"/>
                <w:szCs w:val="21"/>
                <w:vertAlign w:val="subscript"/>
              </w:rPr>
              <w:t>4</w:t>
            </w:r>
          </w:p>
        </w:tc>
        <w:tc>
          <w:tcPr>
            <w:tcW w:w="477" w:type="pct"/>
            <w:tcBorders>
              <w:top w:val="single" w:sz="12" w:space="0" w:color="auto"/>
              <w:left w:val="single" w:sz="4" w:space="0" w:color="auto"/>
              <w:bottom w:val="single" w:sz="4" w:space="0" w:color="auto"/>
              <w:right w:val="single" w:sz="4" w:space="0" w:color="auto"/>
            </w:tcBorders>
            <w:vAlign w:val="center"/>
          </w:tcPr>
          <w:p w14:paraId="540D4282"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SO</w:t>
            </w:r>
            <w:r>
              <w:rPr>
                <w:rFonts w:ascii="Times New Roman" w:hAnsi="Times New Roman" w:cs="Times New Roman"/>
                <w:color w:val="000000" w:themeColor="text1"/>
                <w:sz w:val="21"/>
                <w:szCs w:val="21"/>
                <w:vertAlign w:val="subscript"/>
              </w:rPr>
              <w:t>4</w:t>
            </w:r>
            <w:r>
              <w:rPr>
                <w:rFonts w:ascii="Times New Roman" w:hAnsi="Times New Roman" w:cs="Times New Roman"/>
                <w:color w:val="000000" w:themeColor="text1"/>
                <w:sz w:val="21"/>
                <w:szCs w:val="21"/>
              </w:rPr>
              <w:t>+Cl</w:t>
            </w:r>
          </w:p>
        </w:tc>
        <w:tc>
          <w:tcPr>
            <w:tcW w:w="335" w:type="pct"/>
            <w:tcBorders>
              <w:top w:val="single" w:sz="12" w:space="0" w:color="auto"/>
              <w:left w:val="single" w:sz="4" w:space="0" w:color="auto"/>
              <w:bottom w:val="single" w:sz="4" w:space="0" w:color="auto"/>
              <w:right w:val="nil"/>
            </w:tcBorders>
            <w:vAlign w:val="center"/>
          </w:tcPr>
          <w:p w14:paraId="1BBD670C"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Cl</w:t>
            </w:r>
          </w:p>
        </w:tc>
      </w:tr>
      <w:tr w:rsidR="009D12AF" w14:paraId="089D1DC7" w14:textId="77777777">
        <w:tc>
          <w:tcPr>
            <w:tcW w:w="1254" w:type="pct"/>
            <w:tcBorders>
              <w:top w:val="single" w:sz="4" w:space="0" w:color="auto"/>
              <w:left w:val="nil"/>
              <w:bottom w:val="single" w:sz="4" w:space="0" w:color="auto"/>
              <w:right w:val="single" w:sz="4" w:space="0" w:color="auto"/>
            </w:tcBorders>
            <w:vAlign w:val="center"/>
          </w:tcPr>
          <w:p w14:paraId="0B8A8B3D"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Ca</w:t>
            </w:r>
          </w:p>
        </w:tc>
        <w:tc>
          <w:tcPr>
            <w:tcW w:w="412" w:type="pct"/>
            <w:tcBorders>
              <w:top w:val="single" w:sz="4" w:space="0" w:color="auto"/>
              <w:left w:val="single" w:sz="4" w:space="0" w:color="auto"/>
              <w:bottom w:val="single" w:sz="4" w:space="0" w:color="auto"/>
              <w:right w:val="single" w:sz="4" w:space="0" w:color="auto"/>
            </w:tcBorders>
            <w:vAlign w:val="center"/>
          </w:tcPr>
          <w:p w14:paraId="5D0C4FD1"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w:t>
            </w:r>
          </w:p>
        </w:tc>
        <w:tc>
          <w:tcPr>
            <w:tcW w:w="648" w:type="pct"/>
            <w:tcBorders>
              <w:top w:val="single" w:sz="4" w:space="0" w:color="auto"/>
              <w:left w:val="single" w:sz="4" w:space="0" w:color="auto"/>
              <w:bottom w:val="single" w:sz="4" w:space="0" w:color="auto"/>
              <w:right w:val="single" w:sz="4" w:space="0" w:color="auto"/>
            </w:tcBorders>
            <w:vAlign w:val="center"/>
          </w:tcPr>
          <w:p w14:paraId="3C5EE8A8"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8</w:t>
            </w:r>
          </w:p>
        </w:tc>
        <w:tc>
          <w:tcPr>
            <w:tcW w:w="865" w:type="pct"/>
            <w:tcBorders>
              <w:top w:val="single" w:sz="4" w:space="0" w:color="auto"/>
              <w:left w:val="single" w:sz="4" w:space="0" w:color="auto"/>
              <w:bottom w:val="single" w:sz="4" w:space="0" w:color="auto"/>
              <w:right w:val="single" w:sz="4" w:space="0" w:color="auto"/>
            </w:tcBorders>
            <w:vAlign w:val="center"/>
          </w:tcPr>
          <w:p w14:paraId="201045CE"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15</w:t>
            </w:r>
          </w:p>
        </w:tc>
        <w:tc>
          <w:tcPr>
            <w:tcW w:w="572" w:type="pct"/>
            <w:tcBorders>
              <w:top w:val="single" w:sz="4" w:space="0" w:color="auto"/>
              <w:left w:val="single" w:sz="4" w:space="0" w:color="auto"/>
              <w:bottom w:val="single" w:sz="4" w:space="0" w:color="auto"/>
              <w:right w:val="single" w:sz="4" w:space="0" w:color="auto"/>
            </w:tcBorders>
            <w:vAlign w:val="center"/>
          </w:tcPr>
          <w:p w14:paraId="2B52C255"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22</w:t>
            </w:r>
          </w:p>
        </w:tc>
        <w:tc>
          <w:tcPr>
            <w:tcW w:w="437" w:type="pct"/>
            <w:tcBorders>
              <w:top w:val="single" w:sz="4" w:space="0" w:color="auto"/>
              <w:left w:val="single" w:sz="4" w:space="0" w:color="auto"/>
              <w:bottom w:val="single" w:sz="4" w:space="0" w:color="auto"/>
              <w:right w:val="single" w:sz="4" w:space="0" w:color="auto"/>
            </w:tcBorders>
            <w:vAlign w:val="center"/>
          </w:tcPr>
          <w:p w14:paraId="20F61032"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29</w:t>
            </w:r>
          </w:p>
        </w:tc>
        <w:tc>
          <w:tcPr>
            <w:tcW w:w="477" w:type="pct"/>
            <w:tcBorders>
              <w:top w:val="single" w:sz="4" w:space="0" w:color="auto"/>
              <w:left w:val="single" w:sz="4" w:space="0" w:color="auto"/>
              <w:bottom w:val="single" w:sz="4" w:space="0" w:color="auto"/>
              <w:right w:val="single" w:sz="4" w:space="0" w:color="auto"/>
            </w:tcBorders>
            <w:vAlign w:val="center"/>
          </w:tcPr>
          <w:p w14:paraId="1AD8156C"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36</w:t>
            </w:r>
          </w:p>
        </w:tc>
        <w:tc>
          <w:tcPr>
            <w:tcW w:w="335" w:type="pct"/>
            <w:tcBorders>
              <w:top w:val="single" w:sz="4" w:space="0" w:color="auto"/>
              <w:left w:val="single" w:sz="4" w:space="0" w:color="auto"/>
              <w:bottom w:val="single" w:sz="4" w:space="0" w:color="auto"/>
              <w:right w:val="nil"/>
            </w:tcBorders>
            <w:vAlign w:val="center"/>
          </w:tcPr>
          <w:p w14:paraId="6EBAA01B"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43</w:t>
            </w:r>
          </w:p>
        </w:tc>
      </w:tr>
      <w:tr w:rsidR="009D12AF" w14:paraId="419ABD9C" w14:textId="77777777">
        <w:tc>
          <w:tcPr>
            <w:tcW w:w="1254" w:type="pct"/>
            <w:tcBorders>
              <w:top w:val="single" w:sz="4" w:space="0" w:color="auto"/>
              <w:left w:val="nil"/>
              <w:bottom w:val="single" w:sz="4" w:space="0" w:color="auto"/>
              <w:right w:val="single" w:sz="4" w:space="0" w:color="auto"/>
            </w:tcBorders>
            <w:vAlign w:val="center"/>
          </w:tcPr>
          <w:p w14:paraId="0E8C1969"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Ca+Mg</w:t>
            </w:r>
          </w:p>
        </w:tc>
        <w:tc>
          <w:tcPr>
            <w:tcW w:w="412" w:type="pct"/>
            <w:tcBorders>
              <w:top w:val="single" w:sz="4" w:space="0" w:color="auto"/>
              <w:left w:val="single" w:sz="4" w:space="0" w:color="auto"/>
              <w:bottom w:val="single" w:sz="4" w:space="0" w:color="auto"/>
              <w:right w:val="single" w:sz="4" w:space="0" w:color="auto"/>
            </w:tcBorders>
            <w:vAlign w:val="center"/>
          </w:tcPr>
          <w:p w14:paraId="2FB79AE0"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w:t>
            </w:r>
          </w:p>
        </w:tc>
        <w:tc>
          <w:tcPr>
            <w:tcW w:w="648" w:type="pct"/>
            <w:tcBorders>
              <w:top w:val="single" w:sz="4" w:space="0" w:color="auto"/>
              <w:left w:val="single" w:sz="4" w:space="0" w:color="auto"/>
              <w:bottom w:val="single" w:sz="4" w:space="0" w:color="auto"/>
              <w:right w:val="single" w:sz="4" w:space="0" w:color="auto"/>
            </w:tcBorders>
            <w:vAlign w:val="center"/>
          </w:tcPr>
          <w:p w14:paraId="31BD5306"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9</w:t>
            </w:r>
          </w:p>
        </w:tc>
        <w:tc>
          <w:tcPr>
            <w:tcW w:w="865" w:type="pct"/>
            <w:tcBorders>
              <w:top w:val="single" w:sz="4" w:space="0" w:color="auto"/>
              <w:left w:val="single" w:sz="4" w:space="0" w:color="auto"/>
              <w:bottom w:val="single" w:sz="4" w:space="0" w:color="auto"/>
              <w:right w:val="single" w:sz="4" w:space="0" w:color="auto"/>
            </w:tcBorders>
            <w:vAlign w:val="center"/>
          </w:tcPr>
          <w:p w14:paraId="4726EA3E"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16</w:t>
            </w:r>
          </w:p>
        </w:tc>
        <w:tc>
          <w:tcPr>
            <w:tcW w:w="572" w:type="pct"/>
            <w:tcBorders>
              <w:top w:val="single" w:sz="4" w:space="0" w:color="auto"/>
              <w:left w:val="single" w:sz="4" w:space="0" w:color="auto"/>
              <w:bottom w:val="single" w:sz="4" w:space="0" w:color="auto"/>
              <w:right w:val="single" w:sz="4" w:space="0" w:color="auto"/>
            </w:tcBorders>
            <w:vAlign w:val="center"/>
          </w:tcPr>
          <w:p w14:paraId="3AF516EE"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23</w:t>
            </w:r>
          </w:p>
        </w:tc>
        <w:tc>
          <w:tcPr>
            <w:tcW w:w="437" w:type="pct"/>
            <w:tcBorders>
              <w:top w:val="single" w:sz="4" w:space="0" w:color="auto"/>
              <w:left w:val="single" w:sz="4" w:space="0" w:color="auto"/>
              <w:bottom w:val="single" w:sz="4" w:space="0" w:color="auto"/>
              <w:right w:val="single" w:sz="4" w:space="0" w:color="auto"/>
            </w:tcBorders>
            <w:vAlign w:val="center"/>
          </w:tcPr>
          <w:p w14:paraId="677D6A19"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30</w:t>
            </w:r>
          </w:p>
        </w:tc>
        <w:tc>
          <w:tcPr>
            <w:tcW w:w="477" w:type="pct"/>
            <w:tcBorders>
              <w:top w:val="single" w:sz="4" w:space="0" w:color="auto"/>
              <w:left w:val="single" w:sz="4" w:space="0" w:color="auto"/>
              <w:bottom w:val="single" w:sz="4" w:space="0" w:color="auto"/>
              <w:right w:val="single" w:sz="4" w:space="0" w:color="auto"/>
            </w:tcBorders>
            <w:vAlign w:val="center"/>
          </w:tcPr>
          <w:p w14:paraId="515C1F6B"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37</w:t>
            </w:r>
          </w:p>
        </w:tc>
        <w:tc>
          <w:tcPr>
            <w:tcW w:w="335" w:type="pct"/>
            <w:tcBorders>
              <w:top w:val="single" w:sz="4" w:space="0" w:color="auto"/>
              <w:left w:val="single" w:sz="4" w:space="0" w:color="auto"/>
              <w:bottom w:val="single" w:sz="4" w:space="0" w:color="auto"/>
              <w:right w:val="nil"/>
            </w:tcBorders>
            <w:vAlign w:val="center"/>
          </w:tcPr>
          <w:p w14:paraId="562E19A5"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44</w:t>
            </w:r>
          </w:p>
        </w:tc>
      </w:tr>
      <w:tr w:rsidR="009D12AF" w14:paraId="5A274A3C" w14:textId="77777777">
        <w:tc>
          <w:tcPr>
            <w:tcW w:w="1254" w:type="pct"/>
            <w:tcBorders>
              <w:top w:val="single" w:sz="4" w:space="0" w:color="auto"/>
              <w:left w:val="nil"/>
              <w:bottom w:val="single" w:sz="4" w:space="0" w:color="auto"/>
              <w:right w:val="single" w:sz="4" w:space="0" w:color="auto"/>
            </w:tcBorders>
            <w:vAlign w:val="center"/>
          </w:tcPr>
          <w:p w14:paraId="6868EE60"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Mg</w:t>
            </w:r>
          </w:p>
        </w:tc>
        <w:tc>
          <w:tcPr>
            <w:tcW w:w="412" w:type="pct"/>
            <w:tcBorders>
              <w:top w:val="single" w:sz="4" w:space="0" w:color="auto"/>
              <w:left w:val="single" w:sz="4" w:space="0" w:color="auto"/>
              <w:bottom w:val="single" w:sz="4" w:space="0" w:color="auto"/>
              <w:right w:val="single" w:sz="4" w:space="0" w:color="auto"/>
            </w:tcBorders>
            <w:vAlign w:val="center"/>
          </w:tcPr>
          <w:p w14:paraId="1C8DB783"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3</w:t>
            </w:r>
          </w:p>
        </w:tc>
        <w:tc>
          <w:tcPr>
            <w:tcW w:w="648" w:type="pct"/>
            <w:tcBorders>
              <w:top w:val="single" w:sz="4" w:space="0" w:color="auto"/>
              <w:left w:val="single" w:sz="4" w:space="0" w:color="auto"/>
              <w:bottom w:val="single" w:sz="4" w:space="0" w:color="auto"/>
              <w:right w:val="single" w:sz="4" w:space="0" w:color="auto"/>
            </w:tcBorders>
            <w:vAlign w:val="center"/>
          </w:tcPr>
          <w:p w14:paraId="03C5DFE1"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10</w:t>
            </w:r>
          </w:p>
        </w:tc>
        <w:tc>
          <w:tcPr>
            <w:tcW w:w="865" w:type="pct"/>
            <w:tcBorders>
              <w:top w:val="single" w:sz="4" w:space="0" w:color="auto"/>
              <w:left w:val="single" w:sz="4" w:space="0" w:color="auto"/>
              <w:bottom w:val="single" w:sz="4" w:space="0" w:color="auto"/>
              <w:right w:val="single" w:sz="4" w:space="0" w:color="auto"/>
            </w:tcBorders>
            <w:vAlign w:val="center"/>
          </w:tcPr>
          <w:p w14:paraId="592A728F"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17</w:t>
            </w:r>
          </w:p>
        </w:tc>
        <w:tc>
          <w:tcPr>
            <w:tcW w:w="572" w:type="pct"/>
            <w:tcBorders>
              <w:top w:val="single" w:sz="4" w:space="0" w:color="auto"/>
              <w:left w:val="single" w:sz="4" w:space="0" w:color="auto"/>
              <w:bottom w:val="single" w:sz="4" w:space="0" w:color="auto"/>
              <w:right w:val="single" w:sz="4" w:space="0" w:color="auto"/>
            </w:tcBorders>
            <w:vAlign w:val="center"/>
          </w:tcPr>
          <w:p w14:paraId="4C79BE27"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24</w:t>
            </w:r>
          </w:p>
        </w:tc>
        <w:tc>
          <w:tcPr>
            <w:tcW w:w="437" w:type="pct"/>
            <w:tcBorders>
              <w:top w:val="single" w:sz="4" w:space="0" w:color="auto"/>
              <w:left w:val="single" w:sz="4" w:space="0" w:color="auto"/>
              <w:bottom w:val="single" w:sz="4" w:space="0" w:color="auto"/>
              <w:right w:val="single" w:sz="4" w:space="0" w:color="auto"/>
            </w:tcBorders>
            <w:vAlign w:val="center"/>
          </w:tcPr>
          <w:p w14:paraId="7580AEB7"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31</w:t>
            </w:r>
          </w:p>
        </w:tc>
        <w:tc>
          <w:tcPr>
            <w:tcW w:w="477" w:type="pct"/>
            <w:tcBorders>
              <w:top w:val="single" w:sz="4" w:space="0" w:color="auto"/>
              <w:left w:val="single" w:sz="4" w:space="0" w:color="auto"/>
              <w:bottom w:val="single" w:sz="4" w:space="0" w:color="auto"/>
              <w:right w:val="single" w:sz="4" w:space="0" w:color="auto"/>
            </w:tcBorders>
            <w:vAlign w:val="center"/>
          </w:tcPr>
          <w:p w14:paraId="64BB866F"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38</w:t>
            </w:r>
          </w:p>
        </w:tc>
        <w:tc>
          <w:tcPr>
            <w:tcW w:w="335" w:type="pct"/>
            <w:tcBorders>
              <w:top w:val="single" w:sz="4" w:space="0" w:color="auto"/>
              <w:left w:val="single" w:sz="4" w:space="0" w:color="auto"/>
              <w:bottom w:val="single" w:sz="4" w:space="0" w:color="auto"/>
              <w:right w:val="nil"/>
            </w:tcBorders>
            <w:vAlign w:val="center"/>
          </w:tcPr>
          <w:p w14:paraId="09213628"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45</w:t>
            </w:r>
          </w:p>
        </w:tc>
      </w:tr>
      <w:tr w:rsidR="009D12AF" w14:paraId="254B150C" w14:textId="77777777">
        <w:tc>
          <w:tcPr>
            <w:tcW w:w="1254" w:type="pct"/>
            <w:tcBorders>
              <w:top w:val="single" w:sz="4" w:space="0" w:color="auto"/>
              <w:left w:val="nil"/>
              <w:bottom w:val="single" w:sz="4" w:space="0" w:color="auto"/>
              <w:right w:val="single" w:sz="4" w:space="0" w:color="auto"/>
            </w:tcBorders>
            <w:vAlign w:val="center"/>
          </w:tcPr>
          <w:p w14:paraId="3057D85C"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Na+Ca</w:t>
            </w:r>
          </w:p>
        </w:tc>
        <w:tc>
          <w:tcPr>
            <w:tcW w:w="412" w:type="pct"/>
            <w:tcBorders>
              <w:top w:val="single" w:sz="4" w:space="0" w:color="auto"/>
              <w:left w:val="single" w:sz="4" w:space="0" w:color="auto"/>
              <w:bottom w:val="single" w:sz="4" w:space="0" w:color="auto"/>
              <w:right w:val="single" w:sz="4" w:space="0" w:color="auto"/>
            </w:tcBorders>
            <w:vAlign w:val="center"/>
          </w:tcPr>
          <w:p w14:paraId="3513FEDD"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w:t>
            </w:r>
          </w:p>
        </w:tc>
        <w:tc>
          <w:tcPr>
            <w:tcW w:w="648" w:type="pct"/>
            <w:tcBorders>
              <w:top w:val="single" w:sz="4" w:space="0" w:color="auto"/>
              <w:left w:val="single" w:sz="4" w:space="0" w:color="auto"/>
              <w:bottom w:val="single" w:sz="4" w:space="0" w:color="auto"/>
              <w:right w:val="single" w:sz="4" w:space="0" w:color="auto"/>
            </w:tcBorders>
            <w:vAlign w:val="center"/>
          </w:tcPr>
          <w:p w14:paraId="5B253C06"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11</w:t>
            </w:r>
          </w:p>
        </w:tc>
        <w:tc>
          <w:tcPr>
            <w:tcW w:w="865" w:type="pct"/>
            <w:tcBorders>
              <w:top w:val="single" w:sz="4" w:space="0" w:color="auto"/>
              <w:left w:val="single" w:sz="4" w:space="0" w:color="auto"/>
              <w:bottom w:val="single" w:sz="4" w:space="0" w:color="auto"/>
              <w:right w:val="single" w:sz="4" w:space="0" w:color="auto"/>
            </w:tcBorders>
            <w:vAlign w:val="center"/>
          </w:tcPr>
          <w:p w14:paraId="3E7CA6EB"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18</w:t>
            </w:r>
          </w:p>
        </w:tc>
        <w:tc>
          <w:tcPr>
            <w:tcW w:w="572" w:type="pct"/>
            <w:tcBorders>
              <w:top w:val="single" w:sz="4" w:space="0" w:color="auto"/>
              <w:left w:val="single" w:sz="4" w:space="0" w:color="auto"/>
              <w:bottom w:val="single" w:sz="4" w:space="0" w:color="auto"/>
              <w:right w:val="single" w:sz="4" w:space="0" w:color="auto"/>
            </w:tcBorders>
            <w:vAlign w:val="center"/>
          </w:tcPr>
          <w:p w14:paraId="4F1C5F0F"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25</w:t>
            </w:r>
          </w:p>
        </w:tc>
        <w:tc>
          <w:tcPr>
            <w:tcW w:w="437" w:type="pct"/>
            <w:tcBorders>
              <w:top w:val="single" w:sz="4" w:space="0" w:color="auto"/>
              <w:left w:val="single" w:sz="4" w:space="0" w:color="auto"/>
              <w:bottom w:val="single" w:sz="4" w:space="0" w:color="auto"/>
              <w:right w:val="single" w:sz="4" w:space="0" w:color="auto"/>
            </w:tcBorders>
            <w:vAlign w:val="center"/>
          </w:tcPr>
          <w:p w14:paraId="0E77AC8D"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32</w:t>
            </w:r>
          </w:p>
        </w:tc>
        <w:tc>
          <w:tcPr>
            <w:tcW w:w="477" w:type="pct"/>
            <w:tcBorders>
              <w:top w:val="single" w:sz="4" w:space="0" w:color="auto"/>
              <w:left w:val="single" w:sz="4" w:space="0" w:color="auto"/>
              <w:bottom w:val="single" w:sz="4" w:space="0" w:color="auto"/>
              <w:right w:val="single" w:sz="4" w:space="0" w:color="auto"/>
            </w:tcBorders>
            <w:vAlign w:val="center"/>
          </w:tcPr>
          <w:p w14:paraId="2023587E"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39</w:t>
            </w:r>
          </w:p>
        </w:tc>
        <w:tc>
          <w:tcPr>
            <w:tcW w:w="335" w:type="pct"/>
            <w:tcBorders>
              <w:top w:val="single" w:sz="4" w:space="0" w:color="auto"/>
              <w:left w:val="single" w:sz="4" w:space="0" w:color="auto"/>
              <w:bottom w:val="single" w:sz="4" w:space="0" w:color="auto"/>
              <w:right w:val="nil"/>
            </w:tcBorders>
            <w:vAlign w:val="center"/>
          </w:tcPr>
          <w:p w14:paraId="0706A741"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46</w:t>
            </w:r>
          </w:p>
        </w:tc>
      </w:tr>
      <w:tr w:rsidR="009D12AF" w14:paraId="47CD2508" w14:textId="77777777">
        <w:tc>
          <w:tcPr>
            <w:tcW w:w="1254" w:type="pct"/>
            <w:tcBorders>
              <w:top w:val="single" w:sz="4" w:space="0" w:color="auto"/>
              <w:left w:val="nil"/>
              <w:bottom w:val="single" w:sz="4" w:space="0" w:color="auto"/>
              <w:right w:val="single" w:sz="4" w:space="0" w:color="auto"/>
            </w:tcBorders>
            <w:vAlign w:val="center"/>
          </w:tcPr>
          <w:p w14:paraId="4C733C2F"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Na+Ca+Mg</w:t>
            </w:r>
          </w:p>
        </w:tc>
        <w:tc>
          <w:tcPr>
            <w:tcW w:w="412" w:type="pct"/>
            <w:tcBorders>
              <w:top w:val="single" w:sz="4" w:space="0" w:color="auto"/>
              <w:left w:val="single" w:sz="4" w:space="0" w:color="auto"/>
              <w:bottom w:val="single" w:sz="4" w:space="0" w:color="auto"/>
              <w:right w:val="single" w:sz="4" w:space="0" w:color="auto"/>
            </w:tcBorders>
            <w:vAlign w:val="center"/>
          </w:tcPr>
          <w:p w14:paraId="7BD8B435"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5</w:t>
            </w:r>
          </w:p>
        </w:tc>
        <w:tc>
          <w:tcPr>
            <w:tcW w:w="648" w:type="pct"/>
            <w:tcBorders>
              <w:top w:val="single" w:sz="4" w:space="0" w:color="auto"/>
              <w:left w:val="single" w:sz="4" w:space="0" w:color="auto"/>
              <w:bottom w:val="single" w:sz="4" w:space="0" w:color="auto"/>
              <w:right w:val="single" w:sz="4" w:space="0" w:color="auto"/>
            </w:tcBorders>
            <w:vAlign w:val="center"/>
          </w:tcPr>
          <w:p w14:paraId="43864CFD"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12</w:t>
            </w:r>
          </w:p>
        </w:tc>
        <w:tc>
          <w:tcPr>
            <w:tcW w:w="865" w:type="pct"/>
            <w:tcBorders>
              <w:top w:val="single" w:sz="4" w:space="0" w:color="auto"/>
              <w:left w:val="single" w:sz="4" w:space="0" w:color="auto"/>
              <w:bottom w:val="single" w:sz="4" w:space="0" w:color="auto"/>
              <w:right w:val="single" w:sz="4" w:space="0" w:color="auto"/>
            </w:tcBorders>
            <w:vAlign w:val="center"/>
          </w:tcPr>
          <w:p w14:paraId="124469F1"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19</w:t>
            </w:r>
          </w:p>
        </w:tc>
        <w:tc>
          <w:tcPr>
            <w:tcW w:w="572" w:type="pct"/>
            <w:tcBorders>
              <w:top w:val="single" w:sz="4" w:space="0" w:color="auto"/>
              <w:left w:val="single" w:sz="4" w:space="0" w:color="auto"/>
              <w:bottom w:val="single" w:sz="4" w:space="0" w:color="auto"/>
              <w:right w:val="single" w:sz="4" w:space="0" w:color="auto"/>
            </w:tcBorders>
            <w:vAlign w:val="center"/>
          </w:tcPr>
          <w:p w14:paraId="65A108D5"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26</w:t>
            </w:r>
          </w:p>
        </w:tc>
        <w:tc>
          <w:tcPr>
            <w:tcW w:w="437" w:type="pct"/>
            <w:tcBorders>
              <w:top w:val="single" w:sz="4" w:space="0" w:color="auto"/>
              <w:left w:val="single" w:sz="4" w:space="0" w:color="auto"/>
              <w:bottom w:val="single" w:sz="4" w:space="0" w:color="auto"/>
              <w:right w:val="single" w:sz="4" w:space="0" w:color="auto"/>
            </w:tcBorders>
            <w:vAlign w:val="center"/>
          </w:tcPr>
          <w:p w14:paraId="6DDCBBC0"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33</w:t>
            </w:r>
          </w:p>
        </w:tc>
        <w:tc>
          <w:tcPr>
            <w:tcW w:w="477" w:type="pct"/>
            <w:tcBorders>
              <w:top w:val="single" w:sz="4" w:space="0" w:color="auto"/>
              <w:left w:val="single" w:sz="4" w:space="0" w:color="auto"/>
              <w:bottom w:val="single" w:sz="4" w:space="0" w:color="auto"/>
              <w:right w:val="single" w:sz="4" w:space="0" w:color="auto"/>
            </w:tcBorders>
            <w:vAlign w:val="center"/>
          </w:tcPr>
          <w:p w14:paraId="481BB5ED"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40</w:t>
            </w:r>
          </w:p>
        </w:tc>
        <w:tc>
          <w:tcPr>
            <w:tcW w:w="335" w:type="pct"/>
            <w:tcBorders>
              <w:top w:val="single" w:sz="4" w:space="0" w:color="auto"/>
              <w:left w:val="single" w:sz="4" w:space="0" w:color="auto"/>
              <w:bottom w:val="single" w:sz="4" w:space="0" w:color="auto"/>
              <w:right w:val="nil"/>
            </w:tcBorders>
            <w:vAlign w:val="center"/>
          </w:tcPr>
          <w:p w14:paraId="6A1F24A1"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47</w:t>
            </w:r>
          </w:p>
        </w:tc>
      </w:tr>
      <w:tr w:rsidR="009D12AF" w14:paraId="4E821B21" w14:textId="77777777">
        <w:tc>
          <w:tcPr>
            <w:tcW w:w="1254" w:type="pct"/>
            <w:tcBorders>
              <w:top w:val="single" w:sz="4" w:space="0" w:color="auto"/>
              <w:left w:val="nil"/>
              <w:bottom w:val="single" w:sz="4" w:space="0" w:color="auto"/>
              <w:right w:val="single" w:sz="4" w:space="0" w:color="auto"/>
            </w:tcBorders>
            <w:vAlign w:val="center"/>
          </w:tcPr>
          <w:p w14:paraId="24127701"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Na+Mg</w:t>
            </w:r>
          </w:p>
        </w:tc>
        <w:tc>
          <w:tcPr>
            <w:tcW w:w="412" w:type="pct"/>
            <w:tcBorders>
              <w:top w:val="single" w:sz="4" w:space="0" w:color="auto"/>
              <w:left w:val="single" w:sz="4" w:space="0" w:color="auto"/>
              <w:bottom w:val="single" w:sz="4" w:space="0" w:color="auto"/>
              <w:right w:val="single" w:sz="4" w:space="0" w:color="auto"/>
            </w:tcBorders>
            <w:vAlign w:val="center"/>
          </w:tcPr>
          <w:p w14:paraId="736C25B2"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6</w:t>
            </w:r>
          </w:p>
        </w:tc>
        <w:tc>
          <w:tcPr>
            <w:tcW w:w="648" w:type="pct"/>
            <w:tcBorders>
              <w:top w:val="single" w:sz="4" w:space="0" w:color="auto"/>
              <w:left w:val="single" w:sz="4" w:space="0" w:color="auto"/>
              <w:bottom w:val="single" w:sz="4" w:space="0" w:color="auto"/>
              <w:right w:val="single" w:sz="4" w:space="0" w:color="auto"/>
            </w:tcBorders>
            <w:vAlign w:val="center"/>
          </w:tcPr>
          <w:p w14:paraId="16EF10AF"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13</w:t>
            </w:r>
          </w:p>
        </w:tc>
        <w:tc>
          <w:tcPr>
            <w:tcW w:w="865" w:type="pct"/>
            <w:tcBorders>
              <w:top w:val="single" w:sz="4" w:space="0" w:color="auto"/>
              <w:left w:val="single" w:sz="4" w:space="0" w:color="auto"/>
              <w:bottom w:val="single" w:sz="4" w:space="0" w:color="auto"/>
              <w:right w:val="single" w:sz="4" w:space="0" w:color="auto"/>
            </w:tcBorders>
            <w:vAlign w:val="center"/>
          </w:tcPr>
          <w:p w14:paraId="6C5FB627"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20</w:t>
            </w:r>
          </w:p>
        </w:tc>
        <w:tc>
          <w:tcPr>
            <w:tcW w:w="572" w:type="pct"/>
            <w:tcBorders>
              <w:top w:val="single" w:sz="4" w:space="0" w:color="auto"/>
              <w:left w:val="single" w:sz="4" w:space="0" w:color="auto"/>
              <w:bottom w:val="single" w:sz="4" w:space="0" w:color="auto"/>
              <w:right w:val="single" w:sz="4" w:space="0" w:color="auto"/>
            </w:tcBorders>
            <w:vAlign w:val="center"/>
          </w:tcPr>
          <w:p w14:paraId="2EDBF94B"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27</w:t>
            </w:r>
          </w:p>
        </w:tc>
        <w:tc>
          <w:tcPr>
            <w:tcW w:w="437" w:type="pct"/>
            <w:tcBorders>
              <w:top w:val="single" w:sz="4" w:space="0" w:color="auto"/>
              <w:left w:val="single" w:sz="4" w:space="0" w:color="auto"/>
              <w:bottom w:val="single" w:sz="4" w:space="0" w:color="auto"/>
              <w:right w:val="single" w:sz="4" w:space="0" w:color="auto"/>
            </w:tcBorders>
            <w:vAlign w:val="center"/>
          </w:tcPr>
          <w:p w14:paraId="47F7874A"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34</w:t>
            </w:r>
          </w:p>
        </w:tc>
        <w:tc>
          <w:tcPr>
            <w:tcW w:w="477" w:type="pct"/>
            <w:tcBorders>
              <w:top w:val="single" w:sz="4" w:space="0" w:color="auto"/>
              <w:left w:val="single" w:sz="4" w:space="0" w:color="auto"/>
              <w:bottom w:val="single" w:sz="4" w:space="0" w:color="auto"/>
              <w:right w:val="single" w:sz="4" w:space="0" w:color="auto"/>
            </w:tcBorders>
            <w:vAlign w:val="center"/>
          </w:tcPr>
          <w:p w14:paraId="7E0E01F0"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41</w:t>
            </w:r>
          </w:p>
        </w:tc>
        <w:tc>
          <w:tcPr>
            <w:tcW w:w="335" w:type="pct"/>
            <w:tcBorders>
              <w:top w:val="single" w:sz="4" w:space="0" w:color="auto"/>
              <w:left w:val="single" w:sz="4" w:space="0" w:color="auto"/>
              <w:bottom w:val="single" w:sz="4" w:space="0" w:color="auto"/>
              <w:right w:val="nil"/>
            </w:tcBorders>
            <w:vAlign w:val="center"/>
          </w:tcPr>
          <w:p w14:paraId="7A6D4F24"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48</w:t>
            </w:r>
          </w:p>
        </w:tc>
      </w:tr>
      <w:tr w:rsidR="009D12AF" w14:paraId="79707FE5" w14:textId="77777777">
        <w:tc>
          <w:tcPr>
            <w:tcW w:w="1254" w:type="pct"/>
            <w:tcBorders>
              <w:top w:val="single" w:sz="4" w:space="0" w:color="auto"/>
              <w:left w:val="nil"/>
              <w:bottom w:val="single" w:sz="12" w:space="0" w:color="auto"/>
              <w:right w:val="single" w:sz="4" w:space="0" w:color="auto"/>
            </w:tcBorders>
            <w:vAlign w:val="center"/>
          </w:tcPr>
          <w:p w14:paraId="70578EFC"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Na</w:t>
            </w:r>
          </w:p>
        </w:tc>
        <w:tc>
          <w:tcPr>
            <w:tcW w:w="412" w:type="pct"/>
            <w:tcBorders>
              <w:top w:val="single" w:sz="4" w:space="0" w:color="auto"/>
              <w:left w:val="single" w:sz="4" w:space="0" w:color="auto"/>
              <w:bottom w:val="single" w:sz="12" w:space="0" w:color="auto"/>
              <w:right w:val="single" w:sz="4" w:space="0" w:color="auto"/>
            </w:tcBorders>
            <w:vAlign w:val="center"/>
          </w:tcPr>
          <w:p w14:paraId="6A155D1E"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7</w:t>
            </w:r>
          </w:p>
        </w:tc>
        <w:tc>
          <w:tcPr>
            <w:tcW w:w="648" w:type="pct"/>
            <w:tcBorders>
              <w:top w:val="single" w:sz="4" w:space="0" w:color="auto"/>
              <w:left w:val="single" w:sz="4" w:space="0" w:color="auto"/>
              <w:bottom w:val="single" w:sz="12" w:space="0" w:color="auto"/>
              <w:right w:val="single" w:sz="4" w:space="0" w:color="auto"/>
            </w:tcBorders>
            <w:vAlign w:val="center"/>
          </w:tcPr>
          <w:p w14:paraId="50A2469A"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14</w:t>
            </w:r>
          </w:p>
        </w:tc>
        <w:tc>
          <w:tcPr>
            <w:tcW w:w="865" w:type="pct"/>
            <w:tcBorders>
              <w:top w:val="single" w:sz="4" w:space="0" w:color="auto"/>
              <w:left w:val="single" w:sz="4" w:space="0" w:color="auto"/>
              <w:bottom w:val="single" w:sz="12" w:space="0" w:color="auto"/>
              <w:right w:val="single" w:sz="4" w:space="0" w:color="auto"/>
            </w:tcBorders>
            <w:vAlign w:val="center"/>
          </w:tcPr>
          <w:p w14:paraId="7C7B61B3"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21</w:t>
            </w:r>
          </w:p>
        </w:tc>
        <w:tc>
          <w:tcPr>
            <w:tcW w:w="572" w:type="pct"/>
            <w:tcBorders>
              <w:top w:val="single" w:sz="4" w:space="0" w:color="auto"/>
              <w:left w:val="single" w:sz="4" w:space="0" w:color="auto"/>
              <w:bottom w:val="single" w:sz="12" w:space="0" w:color="auto"/>
              <w:right w:val="single" w:sz="4" w:space="0" w:color="auto"/>
            </w:tcBorders>
            <w:vAlign w:val="center"/>
          </w:tcPr>
          <w:p w14:paraId="2460157A"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28</w:t>
            </w:r>
          </w:p>
        </w:tc>
        <w:tc>
          <w:tcPr>
            <w:tcW w:w="437" w:type="pct"/>
            <w:tcBorders>
              <w:top w:val="single" w:sz="4" w:space="0" w:color="auto"/>
              <w:left w:val="single" w:sz="4" w:space="0" w:color="auto"/>
              <w:bottom w:val="single" w:sz="12" w:space="0" w:color="auto"/>
              <w:right w:val="single" w:sz="4" w:space="0" w:color="auto"/>
            </w:tcBorders>
            <w:vAlign w:val="center"/>
          </w:tcPr>
          <w:p w14:paraId="1524B021"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35</w:t>
            </w:r>
          </w:p>
        </w:tc>
        <w:tc>
          <w:tcPr>
            <w:tcW w:w="477" w:type="pct"/>
            <w:tcBorders>
              <w:top w:val="single" w:sz="4" w:space="0" w:color="auto"/>
              <w:left w:val="single" w:sz="4" w:space="0" w:color="auto"/>
              <w:bottom w:val="single" w:sz="12" w:space="0" w:color="auto"/>
              <w:right w:val="single" w:sz="4" w:space="0" w:color="auto"/>
            </w:tcBorders>
            <w:vAlign w:val="center"/>
          </w:tcPr>
          <w:p w14:paraId="3B85AE6A"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42</w:t>
            </w:r>
          </w:p>
        </w:tc>
        <w:tc>
          <w:tcPr>
            <w:tcW w:w="335" w:type="pct"/>
            <w:tcBorders>
              <w:top w:val="single" w:sz="4" w:space="0" w:color="auto"/>
              <w:left w:val="single" w:sz="4" w:space="0" w:color="auto"/>
              <w:bottom w:val="single" w:sz="12" w:space="0" w:color="auto"/>
              <w:right w:val="nil"/>
            </w:tcBorders>
            <w:vAlign w:val="center"/>
          </w:tcPr>
          <w:p w14:paraId="1280FCD7" w14:textId="77777777" w:rsidR="009D12AF" w:rsidRDefault="00000000">
            <w:pPr>
              <w:spacing w:line="240" w:lineRule="auto"/>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49</w:t>
            </w:r>
          </w:p>
        </w:tc>
      </w:tr>
    </w:tbl>
    <w:p w14:paraId="6BE77271" w14:textId="77777777" w:rsidR="009D12AF" w:rsidRDefault="00000000">
      <w:pPr>
        <w:ind w:firstLine="480"/>
        <w:rPr>
          <w:color w:val="000000" w:themeColor="text1"/>
        </w:rPr>
      </w:pPr>
      <w:r>
        <w:rPr>
          <w:rFonts w:hint="eastAsia"/>
          <w:color w:val="000000" w:themeColor="text1"/>
        </w:rPr>
        <w:t>按矿化度又分为</w:t>
      </w:r>
      <w:r>
        <w:rPr>
          <w:rFonts w:hint="eastAsia"/>
          <w:color w:val="000000" w:themeColor="text1"/>
        </w:rPr>
        <w:t>4</w:t>
      </w:r>
      <w:r>
        <w:rPr>
          <w:rFonts w:hint="eastAsia"/>
          <w:color w:val="000000" w:themeColor="text1"/>
        </w:rPr>
        <w:t>组：</w:t>
      </w:r>
      <w:r>
        <w:rPr>
          <w:rFonts w:hint="eastAsia"/>
          <w:color w:val="000000" w:themeColor="text1"/>
        </w:rPr>
        <w:t>A</w:t>
      </w:r>
      <w:r>
        <w:rPr>
          <w:rFonts w:hint="eastAsia"/>
          <w:color w:val="000000" w:themeColor="text1"/>
        </w:rPr>
        <w:t>组矿化度</w:t>
      </w:r>
      <w:r>
        <w:rPr>
          <w:rFonts w:hint="eastAsia"/>
          <w:color w:val="000000" w:themeColor="text1"/>
        </w:rPr>
        <w:t>&lt; 1.5g/L</w:t>
      </w:r>
      <w:r>
        <w:rPr>
          <w:rFonts w:hint="eastAsia"/>
          <w:color w:val="000000" w:themeColor="text1"/>
        </w:rPr>
        <w:t>，</w:t>
      </w:r>
      <w:r>
        <w:rPr>
          <w:rFonts w:hint="eastAsia"/>
          <w:color w:val="000000" w:themeColor="text1"/>
        </w:rPr>
        <w:t>B</w:t>
      </w:r>
      <w:r>
        <w:rPr>
          <w:rFonts w:hint="eastAsia"/>
          <w:color w:val="000000" w:themeColor="text1"/>
        </w:rPr>
        <w:t>组</w:t>
      </w:r>
      <w:r>
        <w:rPr>
          <w:rFonts w:hint="eastAsia"/>
          <w:color w:val="000000" w:themeColor="text1"/>
        </w:rPr>
        <w:t>1.5</w:t>
      </w:r>
      <w:r>
        <w:rPr>
          <w:rFonts w:hint="eastAsia"/>
          <w:color w:val="000000" w:themeColor="text1"/>
        </w:rPr>
        <w:t>～</w:t>
      </w:r>
      <w:r>
        <w:rPr>
          <w:rFonts w:hint="eastAsia"/>
          <w:color w:val="000000" w:themeColor="text1"/>
        </w:rPr>
        <w:t>10g/L</w:t>
      </w:r>
      <w:r>
        <w:rPr>
          <w:rFonts w:hint="eastAsia"/>
          <w:color w:val="000000" w:themeColor="text1"/>
        </w:rPr>
        <w:t>，</w:t>
      </w:r>
      <w:r>
        <w:rPr>
          <w:rFonts w:hint="eastAsia"/>
          <w:color w:val="000000" w:themeColor="text1"/>
        </w:rPr>
        <w:t>C</w:t>
      </w:r>
      <w:r>
        <w:rPr>
          <w:rFonts w:hint="eastAsia"/>
          <w:color w:val="000000" w:themeColor="text1"/>
        </w:rPr>
        <w:t>组</w:t>
      </w:r>
      <w:r>
        <w:rPr>
          <w:rFonts w:hint="eastAsia"/>
          <w:color w:val="000000" w:themeColor="text1"/>
        </w:rPr>
        <w:t>10</w:t>
      </w:r>
      <w:r>
        <w:rPr>
          <w:rFonts w:hint="eastAsia"/>
          <w:color w:val="000000" w:themeColor="text1"/>
        </w:rPr>
        <w:t>～</w:t>
      </w:r>
      <w:r>
        <w:rPr>
          <w:rFonts w:hint="eastAsia"/>
          <w:color w:val="000000" w:themeColor="text1"/>
        </w:rPr>
        <w:t>40g/L</w:t>
      </w:r>
      <w:r>
        <w:rPr>
          <w:rFonts w:hint="eastAsia"/>
          <w:color w:val="000000" w:themeColor="text1"/>
        </w:rPr>
        <w:t>，</w:t>
      </w:r>
      <w:r>
        <w:rPr>
          <w:rFonts w:hint="eastAsia"/>
          <w:color w:val="000000" w:themeColor="text1"/>
        </w:rPr>
        <w:t>D</w:t>
      </w:r>
      <w:r>
        <w:rPr>
          <w:rFonts w:hint="eastAsia"/>
          <w:color w:val="000000" w:themeColor="text1"/>
        </w:rPr>
        <w:t>组</w:t>
      </w:r>
      <w:r>
        <w:rPr>
          <w:rFonts w:hint="eastAsia"/>
          <w:color w:val="000000" w:themeColor="text1"/>
        </w:rPr>
        <w:t>&gt; 40g/L</w:t>
      </w:r>
      <w:r>
        <w:rPr>
          <w:rFonts w:hint="eastAsia"/>
          <w:color w:val="000000" w:themeColor="text1"/>
        </w:rPr>
        <w:t>。命名时在数字与字母间加连接号，如</w:t>
      </w:r>
      <w:r>
        <w:rPr>
          <w:rFonts w:hint="eastAsia"/>
          <w:color w:val="000000" w:themeColor="text1"/>
        </w:rPr>
        <w:t>1-A</w:t>
      </w:r>
      <w:r>
        <w:rPr>
          <w:rFonts w:hint="eastAsia"/>
          <w:color w:val="000000" w:themeColor="text1"/>
        </w:rPr>
        <w:t>型：指的是</w:t>
      </w:r>
      <w:r>
        <w:rPr>
          <w:rFonts w:hint="eastAsia"/>
          <w:color w:val="000000" w:themeColor="text1"/>
        </w:rPr>
        <w:t>M &lt; 1.5g/L</w:t>
      </w:r>
      <w:r>
        <w:rPr>
          <w:rFonts w:hint="eastAsia"/>
          <w:color w:val="000000" w:themeColor="text1"/>
        </w:rPr>
        <w:t>，</w:t>
      </w:r>
      <w:r>
        <w:rPr>
          <w:rFonts w:hint="eastAsia"/>
          <w:color w:val="000000" w:themeColor="text1"/>
        </w:rPr>
        <w:lastRenderedPageBreak/>
        <w:t>阴离子只有</w:t>
      </w:r>
      <w:r>
        <w:rPr>
          <w:rFonts w:hint="eastAsia"/>
          <w:color w:val="000000" w:themeColor="text1"/>
        </w:rPr>
        <w:t>HCO3 &gt; 25</w:t>
      </w:r>
      <w:r>
        <w:rPr>
          <w:rFonts w:hint="eastAsia"/>
          <w:color w:val="000000" w:themeColor="text1"/>
        </w:rPr>
        <w:t>％</w:t>
      </w:r>
      <w:r>
        <w:rPr>
          <w:rFonts w:hint="eastAsia"/>
          <w:color w:val="000000" w:themeColor="text1"/>
        </w:rPr>
        <w:t>Meq</w:t>
      </w:r>
      <w:r>
        <w:rPr>
          <w:rFonts w:hint="eastAsia"/>
          <w:color w:val="000000" w:themeColor="text1"/>
        </w:rPr>
        <w:t>，阳离子只有</w:t>
      </w:r>
      <w:r>
        <w:rPr>
          <w:rFonts w:hint="eastAsia"/>
          <w:color w:val="000000" w:themeColor="text1"/>
        </w:rPr>
        <w:t>Ca</w:t>
      </w:r>
      <w:r>
        <w:rPr>
          <w:rFonts w:hint="eastAsia"/>
          <w:color w:val="000000" w:themeColor="text1"/>
        </w:rPr>
        <w:t>大于</w:t>
      </w:r>
      <w:r>
        <w:rPr>
          <w:rFonts w:hint="eastAsia"/>
          <w:color w:val="000000" w:themeColor="text1"/>
        </w:rPr>
        <w:t>25 %Meq</w:t>
      </w:r>
      <w:r>
        <w:rPr>
          <w:rFonts w:hint="eastAsia"/>
          <w:color w:val="000000" w:themeColor="text1"/>
        </w:rPr>
        <w:t>。</w:t>
      </w:r>
      <w:r>
        <w:rPr>
          <w:rFonts w:hint="eastAsia"/>
          <w:color w:val="000000" w:themeColor="text1"/>
        </w:rPr>
        <w:t>49-D</w:t>
      </w:r>
      <w:r>
        <w:rPr>
          <w:rFonts w:hint="eastAsia"/>
          <w:color w:val="000000" w:themeColor="text1"/>
        </w:rPr>
        <w:t>型，表示矿化度大于</w:t>
      </w:r>
      <w:r>
        <w:rPr>
          <w:rFonts w:hint="eastAsia"/>
          <w:color w:val="000000" w:themeColor="text1"/>
        </w:rPr>
        <w:t>40g/L</w:t>
      </w:r>
      <w:r>
        <w:rPr>
          <w:rFonts w:hint="eastAsia"/>
          <w:color w:val="000000" w:themeColor="text1"/>
        </w:rPr>
        <w:t>的</w:t>
      </w:r>
      <w:r>
        <w:rPr>
          <w:rFonts w:hint="eastAsia"/>
          <w:color w:val="000000" w:themeColor="text1"/>
        </w:rPr>
        <w:t>Cl-Na</w:t>
      </w:r>
      <w:r>
        <w:rPr>
          <w:rFonts w:hint="eastAsia"/>
          <w:color w:val="000000" w:themeColor="text1"/>
        </w:rPr>
        <w:t>型水，该型水可能是于海水及海相沉积有关的地下水，或是大陆盐化潜水。</w:t>
      </w:r>
    </w:p>
    <w:p w14:paraId="291E5BCD" w14:textId="77777777" w:rsidR="009D12AF" w:rsidRDefault="00000000">
      <w:pPr>
        <w:ind w:firstLine="480"/>
      </w:pPr>
      <w:r>
        <w:t>矿化度的计算采用《用主要阴离子含量计算水的矿化度》（高仁先</w:t>
      </w:r>
      <w:r>
        <w:t>.</w:t>
      </w:r>
      <w:r>
        <w:t>山东省水利科学研究院），计算方法如下：</w:t>
      </w:r>
    </w:p>
    <w:p w14:paraId="0CB49FF7" w14:textId="77777777" w:rsidR="009D12AF" w:rsidRDefault="00000000">
      <w:pPr>
        <w:ind w:firstLine="480"/>
        <w:rPr>
          <w:vertAlign w:val="subscript"/>
        </w:rPr>
      </w:pPr>
      <w:r>
        <w:t>矿化度（</w:t>
      </w:r>
      <w:r>
        <w:t>g/L</w:t>
      </w:r>
      <w:r>
        <w:t>）</w:t>
      </w:r>
      <w:r>
        <w:t>=C</w:t>
      </w:r>
      <w:r>
        <w:t>（</w:t>
      </w:r>
      <w:r>
        <w:t>∑A</w:t>
      </w:r>
      <w:r>
        <w:t>）</w:t>
      </w:r>
      <w:r>
        <w:t>×M</w:t>
      </w:r>
      <w:r>
        <w:rPr>
          <w:vertAlign w:val="subscript"/>
        </w:rPr>
        <w:t>S</w:t>
      </w:r>
    </w:p>
    <w:p w14:paraId="08698E11" w14:textId="77777777" w:rsidR="009D12AF" w:rsidRDefault="00000000">
      <w:pPr>
        <w:ind w:firstLine="480"/>
      </w:pPr>
      <w:r>
        <w:t xml:space="preserve">    SB=</w:t>
      </w:r>
      <m:oMath>
        <m:f>
          <m:fPr>
            <m:ctrlPr>
              <w:rPr>
                <w:rFonts w:ascii="Cambria Math" w:hAnsi="Cambria Math"/>
              </w:rPr>
            </m:ctrlPr>
          </m:fPr>
          <m:num>
            <m:r>
              <m:rPr>
                <m:sty m:val="p"/>
              </m:rPr>
              <w:rPr>
                <w:rFonts w:ascii="Cambria Math"/>
              </w:rPr>
              <m:t>C</m:t>
            </m:r>
            <m:r>
              <m:rPr>
                <m:sty m:val="p"/>
              </m:rPr>
              <w:rPr>
                <w:rFonts w:ascii="Cambria Math" w:hAnsi="Cambria Math"/>
              </w:rPr>
              <m:t>（</m:t>
            </m:r>
            <m:f>
              <m:fPr>
                <m:type m:val="skw"/>
                <m:ctrlPr>
                  <w:rPr>
                    <w:rFonts w:ascii="Cambria Math" w:hAnsi="Cambria Math"/>
                  </w:rPr>
                </m:ctrlPr>
              </m:fPr>
              <m:num>
                <m:r>
                  <m:rPr>
                    <m:sty m:val="p"/>
                  </m:rPr>
                  <w:rPr>
                    <w:rFonts w:ascii="Cambria Math"/>
                  </w:rPr>
                  <m:t>1</m:t>
                </m:r>
              </m:num>
              <m:den>
                <m:r>
                  <m:rPr>
                    <m:sty m:val="p"/>
                  </m:rPr>
                  <w:rPr>
                    <w:rFonts w:ascii="Cambria Math"/>
                  </w:rPr>
                  <m:t>2</m:t>
                </m:r>
              </m:den>
            </m:f>
            <m:sSubSup>
              <m:sSubSupPr>
                <m:ctrlPr>
                  <w:rPr>
                    <w:rFonts w:ascii="Cambria Math" w:hAnsi="Cambria Math"/>
                  </w:rPr>
                </m:ctrlPr>
              </m:sSubSupPr>
              <m:e>
                <m:r>
                  <m:rPr>
                    <m:sty m:val="p"/>
                  </m:rPr>
                  <w:rPr>
                    <w:rFonts w:ascii="Cambria Math"/>
                  </w:rPr>
                  <m:t>SO</m:t>
                </m:r>
              </m:e>
              <m:sub>
                <m:r>
                  <m:rPr>
                    <m:sty m:val="p"/>
                  </m:rPr>
                  <w:rPr>
                    <w:rFonts w:ascii="Cambria Math"/>
                  </w:rPr>
                  <m:t>4</m:t>
                </m:r>
              </m:sub>
              <m:sup>
                <m:r>
                  <m:rPr>
                    <m:sty m:val="p"/>
                  </m:rPr>
                  <w:rPr>
                    <w:rFonts w:ascii="Cambria Math"/>
                  </w:rPr>
                  <m:t>2</m:t>
                </m:r>
                <m:r>
                  <m:rPr>
                    <m:sty m:val="p"/>
                  </m:rPr>
                  <w:rPr>
                    <w:rFonts w:ascii="Cambria Math" w:hAnsi="Cambria Math"/>
                  </w:rPr>
                  <m:t>-</m:t>
                </m:r>
              </m:sup>
            </m:sSubSup>
            <m:r>
              <m:rPr>
                <m:sty m:val="p"/>
              </m:rPr>
              <w:rPr>
                <w:rFonts w:ascii="Cambria Math" w:hAnsi="Cambria Math"/>
              </w:rPr>
              <m:t>）</m:t>
            </m:r>
          </m:num>
          <m:den>
            <m:r>
              <m:rPr>
                <m:sty m:val="p"/>
              </m:rPr>
              <w:rPr>
                <w:rFonts w:ascii="Cambria Math"/>
              </w:rPr>
              <m:t>C(</m:t>
            </m:r>
            <m:r>
              <m:rPr>
                <m:sty m:val="p"/>
              </m:rPr>
              <w:rPr>
                <w:rFonts w:ascii="Cambria Math"/>
              </w:rPr>
              <m:t>∑</m:t>
            </m:r>
            <m:r>
              <m:rPr>
                <m:sty m:val="p"/>
              </m:rPr>
              <w:rPr>
                <w:rFonts w:ascii="Cambria Math"/>
              </w:rPr>
              <m:t>A)</m:t>
            </m:r>
          </m:den>
        </m:f>
      </m:oMath>
      <w:r>
        <w:t>或</w:t>
      </w:r>
      <m:oMath>
        <m:f>
          <m:fPr>
            <m:ctrlPr>
              <w:rPr>
                <w:rFonts w:ascii="Cambria Math" w:hAnsi="Cambria Math"/>
              </w:rPr>
            </m:ctrlPr>
          </m:fPr>
          <m:num>
            <m:r>
              <m:rPr>
                <m:sty m:val="p"/>
              </m:rPr>
              <w:rPr>
                <w:rFonts w:ascii="Cambria Math"/>
              </w:rPr>
              <m:t>C</m:t>
            </m:r>
            <m:d>
              <m:dPr>
                <m:ctrlPr>
                  <w:rPr>
                    <w:rFonts w:ascii="Cambria Math" w:hAnsi="Cambria Math"/>
                  </w:rPr>
                </m:ctrlPr>
              </m:dPr>
              <m:e>
                <m:r>
                  <m:rPr>
                    <m:sty m:val="p"/>
                  </m:rPr>
                  <w:rPr>
                    <w:rFonts w:ascii="Cambria Math"/>
                  </w:rPr>
                  <m:t>∑</m:t>
                </m:r>
                <m:r>
                  <m:rPr>
                    <m:sty m:val="p"/>
                  </m:rPr>
                  <w:rPr>
                    <w:rFonts w:ascii="Cambria Math"/>
                  </w:rPr>
                  <m:t>H</m:t>
                </m:r>
              </m:e>
            </m:d>
            <m:r>
              <m:rPr>
                <m:sty m:val="p"/>
              </m:rPr>
              <w:rPr>
                <w:rFonts w:ascii="Cambria Math" w:hAnsi="Cambria Math"/>
              </w:rPr>
              <m:t>-</m:t>
            </m:r>
            <m:r>
              <m:rPr>
                <m:sty m:val="p"/>
              </m:rPr>
              <w:rPr>
                <w:rFonts w:ascii="Cambria Math"/>
              </w:rPr>
              <m:t>C(</m:t>
            </m:r>
            <m:sSup>
              <m:sSupPr>
                <m:ctrlPr>
                  <w:rPr>
                    <w:rFonts w:ascii="Cambria Math" w:hAnsi="Cambria Math"/>
                  </w:rPr>
                </m:ctrlPr>
              </m:sSupPr>
              <m:e>
                <m:r>
                  <m:rPr>
                    <m:sty m:val="p"/>
                  </m:rPr>
                  <w:rPr>
                    <w:rFonts w:ascii="Cambria Math"/>
                  </w:rPr>
                  <m:t>Cl</m:t>
                </m:r>
              </m:e>
              <m:sup>
                <m:r>
                  <m:rPr>
                    <m:sty m:val="p"/>
                  </m:rPr>
                  <w:rPr>
                    <w:rFonts w:ascii="Cambria Math" w:hAnsi="Cambria Math"/>
                  </w:rPr>
                  <m:t>-</m:t>
                </m:r>
              </m:sup>
            </m:sSup>
            <m:r>
              <m:rPr>
                <m:sty m:val="p"/>
              </m:rPr>
              <w:rPr>
                <w:rFonts w:ascii="Cambria Math"/>
              </w:rPr>
              <m:t>)</m:t>
            </m:r>
          </m:num>
          <m:den>
            <m:r>
              <m:rPr>
                <m:sty m:val="p"/>
              </m:rPr>
              <w:rPr>
                <w:rFonts w:ascii="Cambria Math"/>
              </w:rPr>
              <m:t>C(</m:t>
            </m:r>
            <m:r>
              <m:rPr>
                <m:sty m:val="p"/>
              </m:rPr>
              <w:rPr>
                <w:rFonts w:ascii="Cambria Math"/>
              </w:rPr>
              <m:t>∑</m:t>
            </m:r>
            <m:r>
              <m:rPr>
                <m:sty m:val="p"/>
              </m:rPr>
              <w:rPr>
                <w:rFonts w:ascii="Cambria Math"/>
              </w:rPr>
              <m:t>A)</m:t>
            </m:r>
          </m:den>
        </m:f>
      </m:oMath>
    </w:p>
    <w:p w14:paraId="547BD2A7" w14:textId="77777777" w:rsidR="009D12AF" w:rsidRDefault="00000000">
      <w:pPr>
        <w:ind w:firstLine="480"/>
      </w:pPr>
      <w:r>
        <w:t xml:space="preserve">    HCB=</w:t>
      </w:r>
      <m:oMath>
        <m:f>
          <m:fPr>
            <m:ctrlPr>
              <w:rPr>
                <w:rFonts w:ascii="Cambria Math" w:hAnsi="Cambria Math"/>
              </w:rPr>
            </m:ctrlPr>
          </m:fPr>
          <m:num>
            <m:r>
              <m:rPr>
                <m:sty m:val="p"/>
              </m:rPr>
              <w:rPr>
                <w:rFonts w:ascii="Cambria Math"/>
              </w:rPr>
              <m:t>C(</m:t>
            </m:r>
            <m:sSubSup>
              <m:sSubSupPr>
                <m:ctrlPr>
                  <w:rPr>
                    <w:rFonts w:ascii="Cambria Math" w:hAnsi="Cambria Math"/>
                  </w:rPr>
                </m:ctrlPr>
              </m:sSubSupPr>
              <m:e>
                <m:r>
                  <m:rPr>
                    <m:sty m:val="p"/>
                  </m:rPr>
                  <w:rPr>
                    <w:rFonts w:ascii="Cambria Math"/>
                  </w:rPr>
                  <m:t>HCO</m:t>
                </m:r>
              </m:e>
              <m:sub>
                <m:r>
                  <m:rPr>
                    <m:sty m:val="p"/>
                  </m:rPr>
                  <w:rPr>
                    <w:rFonts w:ascii="Cambria Math"/>
                  </w:rPr>
                  <m:t>3</m:t>
                </m:r>
              </m:sub>
              <m:sup>
                <m:r>
                  <m:rPr>
                    <m:sty m:val="p"/>
                  </m:rPr>
                  <w:rPr>
                    <w:rFonts w:ascii="Cambria Math" w:hAnsi="Cambria Math"/>
                  </w:rPr>
                  <m:t>-</m:t>
                </m:r>
              </m:sup>
            </m:sSubSup>
            <m:r>
              <m:rPr>
                <m:sty m:val="p"/>
              </m:rPr>
              <w:rPr>
                <w:rFonts w:ascii="Cambria Math"/>
              </w:rPr>
              <m:t>)</m:t>
            </m:r>
          </m:num>
          <m:den>
            <m:r>
              <m:rPr>
                <m:sty m:val="p"/>
              </m:rPr>
              <w:rPr>
                <w:rFonts w:ascii="Cambria Math"/>
              </w:rPr>
              <m:t>C</m:t>
            </m:r>
            <m:d>
              <m:dPr>
                <m:ctrlPr>
                  <w:rPr>
                    <w:rFonts w:ascii="Cambria Math" w:hAnsi="Cambria Math"/>
                  </w:rPr>
                </m:ctrlPr>
              </m:dPr>
              <m:e>
                <m:f>
                  <m:fPr>
                    <m:type m:val="skw"/>
                    <m:ctrlPr>
                      <w:rPr>
                        <w:rFonts w:ascii="Cambria Math" w:hAnsi="Cambria Math"/>
                      </w:rPr>
                    </m:ctrlPr>
                  </m:fPr>
                  <m:num>
                    <m:r>
                      <m:rPr>
                        <m:sty m:val="p"/>
                      </m:rPr>
                      <w:rPr>
                        <w:rFonts w:ascii="Cambria Math"/>
                      </w:rPr>
                      <m:t>1</m:t>
                    </m:r>
                  </m:num>
                  <m:den>
                    <m:r>
                      <m:rPr>
                        <m:sty m:val="p"/>
                      </m:rPr>
                      <w:rPr>
                        <w:rFonts w:ascii="Cambria Math"/>
                      </w:rPr>
                      <m:t>2</m:t>
                    </m:r>
                  </m:den>
                </m:f>
                <m:sSubSup>
                  <m:sSubSupPr>
                    <m:ctrlPr>
                      <w:rPr>
                        <w:rFonts w:ascii="Cambria Math" w:hAnsi="Cambria Math"/>
                      </w:rPr>
                    </m:ctrlPr>
                  </m:sSubSupPr>
                  <m:e>
                    <m:r>
                      <m:rPr>
                        <m:sty m:val="p"/>
                      </m:rPr>
                      <w:rPr>
                        <w:rFonts w:ascii="Cambria Math"/>
                      </w:rPr>
                      <m:t>CO</m:t>
                    </m:r>
                  </m:e>
                  <m:sub>
                    <m:r>
                      <m:rPr>
                        <m:sty m:val="p"/>
                      </m:rPr>
                      <w:rPr>
                        <w:rFonts w:ascii="Cambria Math"/>
                      </w:rPr>
                      <m:t>3</m:t>
                    </m:r>
                  </m:sub>
                  <m:sup>
                    <m:r>
                      <m:rPr>
                        <m:sty m:val="p"/>
                      </m:rPr>
                      <w:rPr>
                        <w:rFonts w:ascii="Cambria Math"/>
                      </w:rPr>
                      <m:t>2</m:t>
                    </m:r>
                    <m:r>
                      <m:rPr>
                        <m:sty m:val="p"/>
                      </m:rPr>
                      <w:rPr>
                        <w:rFonts w:ascii="Cambria Math" w:hAnsi="Cambria Math"/>
                      </w:rPr>
                      <m:t>-</m:t>
                    </m:r>
                  </m:sup>
                </m:sSubSup>
              </m:e>
            </m:d>
            <m:r>
              <m:rPr>
                <m:sty m:val="p"/>
              </m:rPr>
              <w:rPr>
                <w:rFonts w:ascii="Cambria Math"/>
              </w:rPr>
              <m:t>+C(</m:t>
            </m:r>
            <m:sSup>
              <m:sSupPr>
                <m:ctrlPr>
                  <w:rPr>
                    <w:rFonts w:ascii="Cambria Math" w:hAnsi="Cambria Math"/>
                  </w:rPr>
                </m:ctrlPr>
              </m:sSupPr>
              <m:e>
                <m:r>
                  <m:rPr>
                    <m:sty m:val="p"/>
                  </m:rPr>
                  <w:rPr>
                    <w:rFonts w:ascii="Cambria Math"/>
                  </w:rPr>
                  <m:t>Cl</m:t>
                </m:r>
              </m:e>
              <m:sup>
                <m:r>
                  <m:rPr>
                    <m:sty m:val="p"/>
                  </m:rPr>
                  <w:rPr>
                    <w:rFonts w:ascii="Cambria Math" w:hAnsi="Cambria Math"/>
                  </w:rPr>
                  <m:t>-</m:t>
                </m:r>
              </m:sup>
            </m:sSup>
            <m:r>
              <m:rPr>
                <m:sty m:val="p"/>
              </m:rPr>
              <w:rPr>
                <w:rFonts w:ascii="Cambria Math"/>
              </w:rPr>
              <m:t>)</m:t>
            </m:r>
          </m:den>
        </m:f>
      </m:oMath>
    </w:p>
    <w:p w14:paraId="2D4D3E84" w14:textId="77777777" w:rsidR="009D12AF" w:rsidRDefault="00000000">
      <w:pPr>
        <w:ind w:firstLine="480"/>
      </w:pPr>
      <w:r>
        <w:t>注：</w:t>
      </w:r>
      <w:r>
        <w:t>Ms</w:t>
      </w:r>
      <w:r>
        <w:t>是在计算出</w:t>
      </w:r>
      <w:r>
        <w:t>SB</w:t>
      </w:r>
      <w:r>
        <w:t>值和</w:t>
      </w:r>
      <w:r>
        <w:t>HCB</w:t>
      </w:r>
      <w:r>
        <w:t>值后查表</w:t>
      </w:r>
      <w:r>
        <w:t>4</w:t>
      </w:r>
      <w:r>
        <w:rPr>
          <w:rFonts w:hint="eastAsia"/>
        </w:rPr>
        <w:t>.3-22</w:t>
      </w:r>
      <w:r>
        <w:t>中查得。</w:t>
      </w:r>
    </w:p>
    <w:p w14:paraId="07640C5F" w14:textId="77777777" w:rsidR="009D12AF" w:rsidRDefault="00000000">
      <w:pPr>
        <w:ind w:firstLine="482"/>
        <w:jc w:val="center"/>
        <w:rPr>
          <w:b/>
          <w:highlight w:val="yellow"/>
        </w:rPr>
      </w:pPr>
      <w:r>
        <w:rPr>
          <w:b/>
        </w:rPr>
        <w:t>表</w:t>
      </w:r>
      <w:r>
        <w:rPr>
          <w:b/>
        </w:rPr>
        <w:t>4</w:t>
      </w:r>
      <w:r>
        <w:rPr>
          <w:rFonts w:hint="eastAsia"/>
          <w:b/>
        </w:rPr>
        <w:t>.3</w:t>
      </w:r>
      <w:r>
        <w:rPr>
          <w:b/>
        </w:rPr>
        <w:t>-</w:t>
      </w:r>
      <w:r>
        <w:rPr>
          <w:rFonts w:hint="eastAsia"/>
          <w:b/>
        </w:rPr>
        <w:t>22</w:t>
      </w:r>
      <w:r>
        <w:rPr>
          <w:b/>
        </w:rPr>
        <w:t xml:space="preserve">  SB</w:t>
      </w:r>
      <w:r>
        <w:rPr>
          <w:b/>
        </w:rPr>
        <w:t>、</w:t>
      </w:r>
      <w:r>
        <w:rPr>
          <w:b/>
        </w:rPr>
        <w:t>HCB</w:t>
      </w:r>
      <w:r>
        <w:rPr>
          <w:b/>
        </w:rPr>
        <w:t>、</w:t>
      </w:r>
      <w:r>
        <w:rPr>
          <w:b/>
        </w:rPr>
        <w:t>Ms</w:t>
      </w:r>
      <w:r>
        <w:rPr>
          <w:b/>
        </w:rPr>
        <w:t>关系表</w:t>
      </w:r>
    </w:p>
    <w:p w14:paraId="243B57C1" w14:textId="77777777" w:rsidR="009D12AF" w:rsidRDefault="00000000">
      <w:pPr>
        <w:ind w:firstLine="480"/>
        <w:jc w:val="center"/>
        <w:rPr>
          <w:color w:val="FF0000"/>
        </w:rPr>
      </w:pPr>
      <w:r>
        <w:rPr>
          <w:noProof/>
          <w:color w:val="FF0000"/>
        </w:rPr>
        <w:drawing>
          <wp:inline distT="0" distB="0" distL="0" distR="0" wp14:anchorId="1545DD16" wp14:editId="43C2D7EE">
            <wp:extent cx="5189220" cy="2927985"/>
            <wp:effectExtent l="0" t="0" r="11430" b="5715"/>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a:xfrm>
                      <a:off x="0" y="0"/>
                      <a:ext cx="5194045" cy="2931117"/>
                    </a:xfrm>
                    <a:prstGeom prst="rect">
                      <a:avLst/>
                    </a:prstGeom>
                    <a:noFill/>
                    <a:ln w="9525">
                      <a:noFill/>
                      <a:miter lim="800000"/>
                      <a:headEnd/>
                      <a:tailEnd/>
                    </a:ln>
                  </pic:spPr>
                </pic:pic>
              </a:graphicData>
            </a:graphic>
          </wp:inline>
        </w:drawing>
      </w:r>
    </w:p>
    <w:p w14:paraId="13A24648" w14:textId="77777777" w:rsidR="009D12AF" w:rsidRDefault="00000000">
      <w:pPr>
        <w:ind w:firstLine="480"/>
      </w:pPr>
      <w:r>
        <w:t>第三步，将地下水化学类型用阿拉伯数字（</w:t>
      </w:r>
      <w:r>
        <w:t>1</w:t>
      </w:r>
      <w:r>
        <w:t>～</w:t>
      </w:r>
      <w:r>
        <w:t>49</w:t>
      </w:r>
      <w:r>
        <w:t>）与字母（</w:t>
      </w:r>
      <w:r>
        <w:t>A</w:t>
      </w:r>
      <w:r>
        <w:t>、</w:t>
      </w:r>
      <w:r>
        <w:t>B</w:t>
      </w:r>
      <w:r>
        <w:t>、</w:t>
      </w:r>
      <w:r>
        <w:t>C</w:t>
      </w:r>
      <w:r>
        <w:t>或</w:t>
      </w:r>
      <w:r>
        <w:t>D</w:t>
      </w:r>
      <w:r>
        <w:t>）组合在一起的表达式表示。</w:t>
      </w:r>
    </w:p>
    <w:p w14:paraId="536EF05A" w14:textId="77777777" w:rsidR="009D12AF" w:rsidRDefault="00000000">
      <w:pPr>
        <w:ind w:firstLine="480"/>
      </w:pPr>
      <w:r>
        <w:rPr>
          <w:rFonts w:hint="eastAsia"/>
        </w:rPr>
        <w:t>（</w:t>
      </w:r>
      <w:r>
        <w:rPr>
          <w:rFonts w:hint="eastAsia"/>
        </w:rPr>
        <w:t>4</w:t>
      </w:r>
      <w:r>
        <w:rPr>
          <w:rFonts w:hint="eastAsia"/>
        </w:rPr>
        <w:t>）地下水类型评价结果</w:t>
      </w:r>
    </w:p>
    <w:p w14:paraId="62078F60" w14:textId="77777777" w:rsidR="009D12AF" w:rsidRDefault="00000000">
      <w:pPr>
        <w:ind w:firstLine="480"/>
      </w:pPr>
      <w:r>
        <w:t>首先对水文资料进行整理，换算毫克</w:t>
      </w:r>
      <w:r>
        <w:t>/</w:t>
      </w:r>
      <w:r>
        <w:t>升为毫克当量</w:t>
      </w:r>
      <w:r>
        <w:t>/</w:t>
      </w:r>
      <w:r>
        <w:t>升及毫克当量百分数；知道了离子在水中的毫克当量数以后，根据计算公式计算其毫克当量百分数。</w:t>
      </w:r>
    </w:p>
    <w:p w14:paraId="5714382E" w14:textId="77777777" w:rsidR="009D12AF" w:rsidRDefault="00000000">
      <w:pPr>
        <w:ind w:firstLine="480"/>
        <w:rPr>
          <w:bCs/>
        </w:rPr>
      </w:pPr>
      <w:r>
        <w:t>本次监测换算结果见表</w:t>
      </w:r>
      <w:r>
        <w:rPr>
          <w:rFonts w:hint="eastAsia"/>
          <w:bCs/>
        </w:rPr>
        <w:t>4.3-23</w:t>
      </w:r>
      <w:r>
        <w:rPr>
          <w:rFonts w:hint="eastAsia"/>
          <w:bCs/>
        </w:rPr>
        <w:t>。</w:t>
      </w:r>
    </w:p>
    <w:p w14:paraId="3DBC228A" w14:textId="77777777" w:rsidR="009D12AF" w:rsidRDefault="009D12AF">
      <w:pPr>
        <w:pStyle w:val="TOC2"/>
        <w:ind w:left="480" w:firstLine="482"/>
        <w:jc w:val="center"/>
        <w:rPr>
          <w:b/>
          <w:highlight w:val="yellow"/>
        </w:rPr>
      </w:pPr>
    </w:p>
    <w:p w14:paraId="7585DC33" w14:textId="77777777" w:rsidR="009D12AF" w:rsidRDefault="009D12AF">
      <w:pPr>
        <w:pStyle w:val="TOC2"/>
        <w:ind w:left="480" w:firstLine="482"/>
        <w:jc w:val="center"/>
        <w:rPr>
          <w:b/>
          <w:highlight w:val="yellow"/>
        </w:rPr>
      </w:pPr>
    </w:p>
    <w:p w14:paraId="2B5D8917" w14:textId="77777777" w:rsidR="009D12AF" w:rsidRDefault="00000000">
      <w:pPr>
        <w:pStyle w:val="TOC2"/>
        <w:ind w:left="480" w:firstLine="482"/>
        <w:jc w:val="center"/>
        <w:rPr>
          <w:bCs/>
        </w:rPr>
      </w:pPr>
      <w:r>
        <w:rPr>
          <w:rFonts w:hint="eastAsia"/>
          <w:b/>
        </w:rPr>
        <w:lastRenderedPageBreak/>
        <w:t>表</w:t>
      </w:r>
      <w:r>
        <w:rPr>
          <w:rFonts w:hint="eastAsia"/>
          <w:b/>
        </w:rPr>
        <w:t>4.3-23</w:t>
      </w:r>
      <w:r>
        <w:rPr>
          <w:rFonts w:hint="eastAsia"/>
          <w:b/>
        </w:rPr>
        <w:t>监测换算结果表</w:t>
      </w:r>
    </w:p>
    <w:tbl>
      <w:tblPr>
        <w:tblW w:w="4998" w:type="pct"/>
        <w:tblBorders>
          <w:top w:val="single" w:sz="12" w:space="0" w:color="000000"/>
          <w:bottom w:val="single" w:sz="12" w:space="0" w:color="000000"/>
          <w:insideH w:val="single" w:sz="4" w:space="0" w:color="000000"/>
          <w:insideV w:val="single" w:sz="4" w:space="0" w:color="000000"/>
        </w:tblBorders>
        <w:tblLook w:val="04A0" w:firstRow="1" w:lastRow="0" w:firstColumn="1" w:lastColumn="0" w:noHBand="0" w:noVBand="1"/>
      </w:tblPr>
      <w:tblGrid>
        <w:gridCol w:w="1529"/>
        <w:gridCol w:w="1557"/>
        <w:gridCol w:w="1556"/>
        <w:gridCol w:w="1924"/>
        <w:gridCol w:w="1953"/>
      </w:tblGrid>
      <w:tr w:rsidR="009D12AF" w14:paraId="289EEDB9" w14:textId="77777777">
        <w:trPr>
          <w:trHeight w:val="330"/>
        </w:trPr>
        <w:tc>
          <w:tcPr>
            <w:tcW w:w="5000" w:type="pct"/>
            <w:gridSpan w:val="5"/>
            <w:tcBorders>
              <w:tl2br w:val="nil"/>
              <w:tr2bl w:val="nil"/>
            </w:tcBorders>
            <w:vAlign w:val="center"/>
          </w:tcPr>
          <w:p w14:paraId="3E60F4D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群力水库地下水</w:t>
            </w:r>
          </w:p>
        </w:tc>
      </w:tr>
      <w:tr w:rsidR="009D12AF" w14:paraId="08296F87" w14:textId="77777777">
        <w:trPr>
          <w:trHeight w:val="330"/>
        </w:trPr>
        <w:tc>
          <w:tcPr>
            <w:tcW w:w="1812" w:type="pct"/>
            <w:gridSpan w:val="2"/>
            <w:tcBorders>
              <w:tl2br w:val="nil"/>
              <w:tr2bl w:val="nil"/>
            </w:tcBorders>
            <w:vAlign w:val="center"/>
          </w:tcPr>
          <w:p w14:paraId="74129C75"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1#</w:t>
            </w:r>
            <w:r>
              <w:rPr>
                <w:rFonts w:ascii="宋体" w:eastAsia="宋体" w:hAnsi="宋体" w:cs="宋体" w:hint="eastAsia"/>
                <w:color w:val="000000"/>
                <w:kern w:val="0"/>
                <w:sz w:val="21"/>
                <w:szCs w:val="21"/>
                <w:lang w:bidi="ar"/>
              </w:rPr>
              <w:t>离子</w:t>
            </w:r>
          </w:p>
        </w:tc>
        <w:tc>
          <w:tcPr>
            <w:tcW w:w="913" w:type="pct"/>
            <w:tcBorders>
              <w:tl2br w:val="nil"/>
              <w:tr2bl w:val="nil"/>
            </w:tcBorders>
            <w:vAlign w:val="center"/>
          </w:tcPr>
          <w:p w14:paraId="090934EF"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mg/L</w:t>
            </w:r>
          </w:p>
        </w:tc>
        <w:tc>
          <w:tcPr>
            <w:tcW w:w="1129" w:type="pct"/>
            <w:tcBorders>
              <w:tl2br w:val="nil"/>
              <w:tr2bl w:val="nil"/>
            </w:tcBorders>
            <w:vAlign w:val="center"/>
          </w:tcPr>
          <w:p w14:paraId="41407530"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meq/L</w:t>
            </w:r>
          </w:p>
        </w:tc>
        <w:tc>
          <w:tcPr>
            <w:tcW w:w="1145" w:type="pct"/>
            <w:tcBorders>
              <w:tl2br w:val="nil"/>
              <w:tr2bl w:val="nil"/>
            </w:tcBorders>
            <w:vAlign w:val="center"/>
          </w:tcPr>
          <w:p w14:paraId="60DC8D66"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meq%</w:t>
            </w:r>
          </w:p>
        </w:tc>
      </w:tr>
      <w:tr w:rsidR="009D12AF" w14:paraId="43BCBA14" w14:textId="77777777">
        <w:trPr>
          <w:trHeight w:val="300"/>
        </w:trPr>
        <w:tc>
          <w:tcPr>
            <w:tcW w:w="898" w:type="pct"/>
            <w:vMerge w:val="restart"/>
            <w:tcBorders>
              <w:tl2br w:val="nil"/>
              <w:tr2bl w:val="nil"/>
            </w:tcBorders>
            <w:vAlign w:val="center"/>
          </w:tcPr>
          <w:p w14:paraId="38A84FFB"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阳离子</w:t>
            </w:r>
          </w:p>
        </w:tc>
        <w:tc>
          <w:tcPr>
            <w:tcW w:w="913" w:type="pct"/>
            <w:tcBorders>
              <w:tl2br w:val="nil"/>
              <w:tr2bl w:val="nil"/>
            </w:tcBorders>
            <w:vAlign w:val="center"/>
          </w:tcPr>
          <w:p w14:paraId="2C11240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K</w:t>
            </w:r>
            <w:r>
              <w:rPr>
                <w:rFonts w:ascii="Times New Roman" w:eastAsia="宋体" w:hAnsi="Times New Roman" w:cs="Times New Roman"/>
                <w:color w:val="000000"/>
                <w:kern w:val="0"/>
                <w:sz w:val="21"/>
                <w:szCs w:val="21"/>
                <w:vertAlign w:val="superscript"/>
                <w:lang w:bidi="ar"/>
              </w:rPr>
              <w:t>+</w:t>
            </w:r>
          </w:p>
        </w:tc>
        <w:tc>
          <w:tcPr>
            <w:tcW w:w="913" w:type="pct"/>
            <w:tcBorders>
              <w:tl2br w:val="nil"/>
              <w:tr2bl w:val="nil"/>
            </w:tcBorders>
            <w:vAlign w:val="center"/>
          </w:tcPr>
          <w:p w14:paraId="28A00433"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1.16</w:t>
            </w:r>
          </w:p>
        </w:tc>
        <w:tc>
          <w:tcPr>
            <w:tcW w:w="1129" w:type="pct"/>
            <w:tcBorders>
              <w:tl2br w:val="nil"/>
              <w:tr2bl w:val="nil"/>
            </w:tcBorders>
            <w:vAlign w:val="center"/>
          </w:tcPr>
          <w:p w14:paraId="1DCDE25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0.030 </w:t>
            </w:r>
          </w:p>
        </w:tc>
        <w:tc>
          <w:tcPr>
            <w:tcW w:w="1145" w:type="pct"/>
            <w:tcBorders>
              <w:tl2br w:val="nil"/>
              <w:tr2bl w:val="nil"/>
            </w:tcBorders>
            <w:vAlign w:val="center"/>
          </w:tcPr>
          <w:p w14:paraId="7E70AD7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0.973 </w:t>
            </w:r>
          </w:p>
        </w:tc>
      </w:tr>
      <w:tr w:rsidR="009D12AF" w14:paraId="007BABB7" w14:textId="77777777">
        <w:trPr>
          <w:trHeight w:val="300"/>
        </w:trPr>
        <w:tc>
          <w:tcPr>
            <w:tcW w:w="898" w:type="pct"/>
            <w:vMerge/>
            <w:tcBorders>
              <w:tl2br w:val="nil"/>
              <w:tr2bl w:val="nil"/>
            </w:tcBorders>
            <w:vAlign w:val="center"/>
          </w:tcPr>
          <w:p w14:paraId="3A3B5C1F"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1249D65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Na</w:t>
            </w:r>
            <w:r>
              <w:rPr>
                <w:rFonts w:ascii="Times New Roman" w:eastAsia="宋体" w:hAnsi="Times New Roman" w:cs="Times New Roman"/>
                <w:color w:val="000000"/>
                <w:kern w:val="0"/>
                <w:sz w:val="21"/>
                <w:szCs w:val="21"/>
                <w:vertAlign w:val="superscript"/>
                <w:lang w:bidi="ar"/>
              </w:rPr>
              <w:t>+</w:t>
            </w:r>
          </w:p>
        </w:tc>
        <w:tc>
          <w:tcPr>
            <w:tcW w:w="913" w:type="pct"/>
            <w:tcBorders>
              <w:tl2br w:val="nil"/>
              <w:tr2bl w:val="nil"/>
            </w:tcBorders>
            <w:vAlign w:val="center"/>
          </w:tcPr>
          <w:p w14:paraId="35B0D9F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11.7</w:t>
            </w:r>
          </w:p>
        </w:tc>
        <w:tc>
          <w:tcPr>
            <w:tcW w:w="1129" w:type="pct"/>
            <w:tcBorders>
              <w:tl2br w:val="nil"/>
              <w:tr2bl w:val="nil"/>
            </w:tcBorders>
            <w:vAlign w:val="center"/>
          </w:tcPr>
          <w:p w14:paraId="5CA5C293"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0.509 </w:t>
            </w:r>
          </w:p>
        </w:tc>
        <w:tc>
          <w:tcPr>
            <w:tcW w:w="1145" w:type="pct"/>
            <w:tcBorders>
              <w:tl2br w:val="nil"/>
              <w:tr2bl w:val="nil"/>
            </w:tcBorders>
            <w:vAlign w:val="center"/>
          </w:tcPr>
          <w:p w14:paraId="5E265AF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16.646 </w:t>
            </w:r>
          </w:p>
        </w:tc>
      </w:tr>
      <w:tr w:rsidR="009D12AF" w14:paraId="04412EF7" w14:textId="77777777">
        <w:trPr>
          <w:trHeight w:val="285"/>
        </w:trPr>
        <w:tc>
          <w:tcPr>
            <w:tcW w:w="898" w:type="pct"/>
            <w:vMerge/>
            <w:tcBorders>
              <w:tl2br w:val="nil"/>
              <w:tr2bl w:val="nil"/>
            </w:tcBorders>
            <w:vAlign w:val="center"/>
          </w:tcPr>
          <w:p w14:paraId="23774EFE"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331E330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Ca</w:t>
            </w:r>
            <w:r>
              <w:rPr>
                <w:rFonts w:ascii="Times New Roman" w:eastAsia="宋体" w:hAnsi="Times New Roman" w:cs="Times New Roman"/>
                <w:color w:val="000000"/>
                <w:kern w:val="0"/>
                <w:sz w:val="21"/>
                <w:szCs w:val="21"/>
                <w:vertAlign w:val="superscript"/>
                <w:lang w:bidi="ar"/>
              </w:rPr>
              <w:t>2+</w:t>
            </w:r>
          </w:p>
        </w:tc>
        <w:tc>
          <w:tcPr>
            <w:tcW w:w="913" w:type="pct"/>
            <w:tcBorders>
              <w:tl2br w:val="nil"/>
              <w:tr2bl w:val="nil"/>
            </w:tcBorders>
            <w:vAlign w:val="center"/>
          </w:tcPr>
          <w:p w14:paraId="28976C5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78.7</w:t>
            </w:r>
          </w:p>
        </w:tc>
        <w:tc>
          <w:tcPr>
            <w:tcW w:w="1129" w:type="pct"/>
            <w:tcBorders>
              <w:tl2br w:val="nil"/>
              <w:tr2bl w:val="nil"/>
            </w:tcBorders>
            <w:vAlign w:val="center"/>
          </w:tcPr>
          <w:p w14:paraId="542425E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1.968 </w:t>
            </w:r>
          </w:p>
        </w:tc>
        <w:tc>
          <w:tcPr>
            <w:tcW w:w="1145" w:type="pct"/>
            <w:tcBorders>
              <w:tl2br w:val="nil"/>
              <w:tr2bl w:val="nil"/>
            </w:tcBorders>
            <w:vAlign w:val="center"/>
          </w:tcPr>
          <w:p w14:paraId="09CFCEE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64.383 </w:t>
            </w:r>
          </w:p>
        </w:tc>
      </w:tr>
      <w:tr w:rsidR="009D12AF" w14:paraId="08DAC0B6" w14:textId="77777777">
        <w:trPr>
          <w:trHeight w:val="285"/>
        </w:trPr>
        <w:tc>
          <w:tcPr>
            <w:tcW w:w="898" w:type="pct"/>
            <w:vMerge/>
            <w:tcBorders>
              <w:tl2br w:val="nil"/>
              <w:tr2bl w:val="nil"/>
            </w:tcBorders>
            <w:vAlign w:val="center"/>
          </w:tcPr>
          <w:p w14:paraId="53B3724D"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2634D32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Mg</w:t>
            </w:r>
            <w:r>
              <w:rPr>
                <w:rFonts w:ascii="Times New Roman" w:eastAsia="宋体" w:hAnsi="Times New Roman" w:cs="Times New Roman"/>
                <w:color w:val="000000"/>
                <w:kern w:val="0"/>
                <w:sz w:val="21"/>
                <w:szCs w:val="21"/>
                <w:vertAlign w:val="superscript"/>
                <w:lang w:bidi="ar"/>
              </w:rPr>
              <w:t>2+</w:t>
            </w:r>
          </w:p>
        </w:tc>
        <w:tc>
          <w:tcPr>
            <w:tcW w:w="913" w:type="pct"/>
            <w:tcBorders>
              <w:tl2br w:val="nil"/>
              <w:tr2bl w:val="nil"/>
            </w:tcBorders>
            <w:vAlign w:val="center"/>
          </w:tcPr>
          <w:p w14:paraId="53948D0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13.2</w:t>
            </w:r>
          </w:p>
        </w:tc>
        <w:tc>
          <w:tcPr>
            <w:tcW w:w="1129" w:type="pct"/>
            <w:tcBorders>
              <w:tl2br w:val="nil"/>
              <w:tr2bl w:val="nil"/>
            </w:tcBorders>
            <w:vAlign w:val="center"/>
          </w:tcPr>
          <w:p w14:paraId="04F4136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0.550 </w:t>
            </w:r>
          </w:p>
        </w:tc>
        <w:tc>
          <w:tcPr>
            <w:tcW w:w="1145" w:type="pct"/>
            <w:tcBorders>
              <w:tl2br w:val="nil"/>
              <w:tr2bl w:val="nil"/>
            </w:tcBorders>
            <w:vAlign w:val="center"/>
          </w:tcPr>
          <w:p w14:paraId="2299FF1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17.998 </w:t>
            </w:r>
          </w:p>
        </w:tc>
      </w:tr>
      <w:tr w:rsidR="009D12AF" w14:paraId="6A65D496" w14:textId="77777777">
        <w:trPr>
          <w:trHeight w:val="285"/>
        </w:trPr>
        <w:tc>
          <w:tcPr>
            <w:tcW w:w="898" w:type="pct"/>
            <w:vMerge/>
            <w:tcBorders>
              <w:tl2br w:val="nil"/>
              <w:tr2bl w:val="nil"/>
            </w:tcBorders>
            <w:vAlign w:val="center"/>
          </w:tcPr>
          <w:p w14:paraId="4B1FCCED"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1E056C87"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总计</w:t>
            </w:r>
          </w:p>
        </w:tc>
        <w:tc>
          <w:tcPr>
            <w:tcW w:w="913" w:type="pct"/>
            <w:tcBorders>
              <w:tl2br w:val="nil"/>
              <w:tr2bl w:val="nil"/>
            </w:tcBorders>
            <w:vAlign w:val="center"/>
          </w:tcPr>
          <w:p w14:paraId="5121350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104.760 </w:t>
            </w:r>
          </w:p>
        </w:tc>
        <w:tc>
          <w:tcPr>
            <w:tcW w:w="1129" w:type="pct"/>
            <w:tcBorders>
              <w:tl2br w:val="nil"/>
              <w:tr2bl w:val="nil"/>
            </w:tcBorders>
            <w:vAlign w:val="center"/>
          </w:tcPr>
          <w:p w14:paraId="01FB6FE3"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3.056 </w:t>
            </w:r>
          </w:p>
        </w:tc>
        <w:tc>
          <w:tcPr>
            <w:tcW w:w="1145" w:type="pct"/>
            <w:tcBorders>
              <w:tl2br w:val="nil"/>
              <w:tr2bl w:val="nil"/>
            </w:tcBorders>
            <w:vAlign w:val="center"/>
          </w:tcPr>
          <w:p w14:paraId="260008F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100.000 </w:t>
            </w:r>
          </w:p>
        </w:tc>
      </w:tr>
      <w:tr w:rsidR="009D12AF" w14:paraId="3FDC1E74" w14:textId="77777777">
        <w:trPr>
          <w:trHeight w:val="360"/>
        </w:trPr>
        <w:tc>
          <w:tcPr>
            <w:tcW w:w="898" w:type="pct"/>
            <w:vMerge w:val="restart"/>
            <w:tcBorders>
              <w:tl2br w:val="nil"/>
              <w:tr2bl w:val="nil"/>
            </w:tcBorders>
            <w:vAlign w:val="center"/>
          </w:tcPr>
          <w:p w14:paraId="5F9966F1"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阴离子</w:t>
            </w:r>
          </w:p>
        </w:tc>
        <w:tc>
          <w:tcPr>
            <w:tcW w:w="913" w:type="pct"/>
            <w:tcBorders>
              <w:tl2br w:val="nil"/>
              <w:tr2bl w:val="nil"/>
            </w:tcBorders>
            <w:vAlign w:val="center"/>
          </w:tcPr>
          <w:p w14:paraId="1B0F0D5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HCO</w:t>
            </w:r>
            <w:r>
              <w:rPr>
                <w:rFonts w:ascii="Times New Roman" w:eastAsia="宋体" w:hAnsi="Times New Roman" w:cs="Times New Roman"/>
                <w:color w:val="000000"/>
                <w:kern w:val="0"/>
                <w:sz w:val="21"/>
                <w:szCs w:val="21"/>
                <w:vertAlign w:val="subscript"/>
                <w:lang w:bidi="ar"/>
              </w:rPr>
              <w:t>3</w:t>
            </w:r>
            <w:r>
              <w:rPr>
                <w:rFonts w:ascii="Times New Roman" w:eastAsia="宋体" w:hAnsi="Times New Roman" w:cs="Times New Roman"/>
                <w:color w:val="000000"/>
                <w:kern w:val="0"/>
                <w:sz w:val="21"/>
                <w:szCs w:val="21"/>
                <w:vertAlign w:val="superscript"/>
                <w:lang w:bidi="ar"/>
              </w:rPr>
              <w:t>-</w:t>
            </w:r>
          </w:p>
        </w:tc>
        <w:tc>
          <w:tcPr>
            <w:tcW w:w="913" w:type="pct"/>
            <w:tcBorders>
              <w:tl2br w:val="nil"/>
              <w:tr2bl w:val="nil"/>
            </w:tcBorders>
            <w:vAlign w:val="center"/>
          </w:tcPr>
          <w:p w14:paraId="2B7F514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166</w:t>
            </w:r>
          </w:p>
        </w:tc>
        <w:tc>
          <w:tcPr>
            <w:tcW w:w="1129" w:type="pct"/>
            <w:tcBorders>
              <w:tl2br w:val="nil"/>
              <w:tr2bl w:val="nil"/>
            </w:tcBorders>
            <w:vAlign w:val="center"/>
          </w:tcPr>
          <w:p w14:paraId="4E5E74C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2.721 </w:t>
            </w:r>
          </w:p>
        </w:tc>
        <w:tc>
          <w:tcPr>
            <w:tcW w:w="1145" w:type="pct"/>
            <w:tcBorders>
              <w:tl2br w:val="nil"/>
              <w:tr2bl w:val="nil"/>
            </w:tcBorders>
            <w:vAlign w:val="center"/>
          </w:tcPr>
          <w:p w14:paraId="18B3AC0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76.009 </w:t>
            </w:r>
          </w:p>
        </w:tc>
      </w:tr>
      <w:tr w:rsidR="009D12AF" w14:paraId="1422E178" w14:textId="77777777">
        <w:trPr>
          <w:trHeight w:val="360"/>
        </w:trPr>
        <w:tc>
          <w:tcPr>
            <w:tcW w:w="898" w:type="pct"/>
            <w:vMerge/>
            <w:tcBorders>
              <w:tl2br w:val="nil"/>
              <w:tr2bl w:val="nil"/>
            </w:tcBorders>
            <w:vAlign w:val="center"/>
          </w:tcPr>
          <w:p w14:paraId="7A8916AA"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78375F6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Cl</w:t>
            </w:r>
            <w:r>
              <w:rPr>
                <w:rFonts w:ascii="Times New Roman" w:eastAsia="宋体" w:hAnsi="Times New Roman" w:cs="Times New Roman"/>
                <w:color w:val="000000"/>
                <w:kern w:val="0"/>
                <w:sz w:val="21"/>
                <w:szCs w:val="21"/>
                <w:vertAlign w:val="superscript"/>
                <w:lang w:bidi="ar"/>
              </w:rPr>
              <w:t>-</w:t>
            </w:r>
          </w:p>
        </w:tc>
        <w:tc>
          <w:tcPr>
            <w:tcW w:w="913" w:type="pct"/>
            <w:tcBorders>
              <w:tl2br w:val="nil"/>
              <w:tr2bl w:val="nil"/>
            </w:tcBorders>
            <w:vAlign w:val="center"/>
          </w:tcPr>
          <w:p w14:paraId="7F53148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22.8</w:t>
            </w:r>
          </w:p>
        </w:tc>
        <w:tc>
          <w:tcPr>
            <w:tcW w:w="1129" w:type="pct"/>
            <w:tcBorders>
              <w:tl2br w:val="nil"/>
              <w:tr2bl w:val="nil"/>
            </w:tcBorders>
            <w:vAlign w:val="center"/>
          </w:tcPr>
          <w:p w14:paraId="31478ED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0.642 </w:t>
            </w:r>
          </w:p>
        </w:tc>
        <w:tc>
          <w:tcPr>
            <w:tcW w:w="1145" w:type="pct"/>
            <w:tcBorders>
              <w:tl2br w:val="nil"/>
              <w:tr2bl w:val="nil"/>
            </w:tcBorders>
            <w:vAlign w:val="center"/>
          </w:tcPr>
          <w:p w14:paraId="213F4AB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17.939 </w:t>
            </w:r>
          </w:p>
        </w:tc>
      </w:tr>
      <w:tr w:rsidR="009D12AF" w14:paraId="2216BFCF" w14:textId="77777777">
        <w:trPr>
          <w:trHeight w:val="360"/>
        </w:trPr>
        <w:tc>
          <w:tcPr>
            <w:tcW w:w="898" w:type="pct"/>
            <w:vMerge/>
            <w:tcBorders>
              <w:tl2br w:val="nil"/>
              <w:tr2bl w:val="nil"/>
            </w:tcBorders>
            <w:vAlign w:val="center"/>
          </w:tcPr>
          <w:p w14:paraId="193083E6"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7540D71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SO</w:t>
            </w:r>
            <w:r>
              <w:rPr>
                <w:rFonts w:ascii="Times New Roman" w:eastAsia="宋体" w:hAnsi="Times New Roman" w:cs="Times New Roman"/>
                <w:color w:val="000000"/>
                <w:kern w:val="0"/>
                <w:sz w:val="21"/>
                <w:szCs w:val="21"/>
                <w:vertAlign w:val="subscript"/>
                <w:lang w:bidi="ar"/>
              </w:rPr>
              <w:t>4</w:t>
            </w:r>
            <w:r>
              <w:rPr>
                <w:rFonts w:ascii="Times New Roman" w:eastAsia="宋体" w:hAnsi="Times New Roman" w:cs="Times New Roman"/>
                <w:color w:val="000000"/>
                <w:kern w:val="0"/>
                <w:sz w:val="21"/>
                <w:szCs w:val="21"/>
                <w:vertAlign w:val="superscript"/>
                <w:lang w:bidi="ar"/>
              </w:rPr>
              <w:t>2-</w:t>
            </w:r>
          </w:p>
        </w:tc>
        <w:tc>
          <w:tcPr>
            <w:tcW w:w="913" w:type="pct"/>
            <w:tcBorders>
              <w:tl2br w:val="nil"/>
              <w:tr2bl w:val="nil"/>
            </w:tcBorders>
            <w:vAlign w:val="center"/>
          </w:tcPr>
          <w:p w14:paraId="53883A3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20.8</w:t>
            </w:r>
          </w:p>
        </w:tc>
        <w:tc>
          <w:tcPr>
            <w:tcW w:w="1129" w:type="pct"/>
            <w:tcBorders>
              <w:tl2br w:val="nil"/>
              <w:tr2bl w:val="nil"/>
            </w:tcBorders>
            <w:vAlign w:val="center"/>
          </w:tcPr>
          <w:p w14:paraId="2C2F088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0.217 </w:t>
            </w:r>
          </w:p>
        </w:tc>
        <w:tc>
          <w:tcPr>
            <w:tcW w:w="1145" w:type="pct"/>
            <w:tcBorders>
              <w:tl2br w:val="nil"/>
              <w:tr2bl w:val="nil"/>
            </w:tcBorders>
            <w:vAlign w:val="center"/>
          </w:tcPr>
          <w:p w14:paraId="23662E9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6.052 </w:t>
            </w:r>
          </w:p>
        </w:tc>
      </w:tr>
      <w:tr w:rsidR="009D12AF" w14:paraId="78DCF095" w14:textId="77777777">
        <w:trPr>
          <w:trHeight w:val="285"/>
        </w:trPr>
        <w:tc>
          <w:tcPr>
            <w:tcW w:w="898" w:type="pct"/>
            <w:vMerge/>
            <w:tcBorders>
              <w:tl2br w:val="nil"/>
              <w:tr2bl w:val="nil"/>
            </w:tcBorders>
            <w:vAlign w:val="center"/>
          </w:tcPr>
          <w:p w14:paraId="5DC93752"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0B5C3DCD"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总计</w:t>
            </w:r>
          </w:p>
        </w:tc>
        <w:tc>
          <w:tcPr>
            <w:tcW w:w="913" w:type="pct"/>
            <w:tcBorders>
              <w:tl2br w:val="nil"/>
              <w:tr2bl w:val="nil"/>
            </w:tcBorders>
            <w:vAlign w:val="center"/>
          </w:tcPr>
          <w:p w14:paraId="6CBBA25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209.600 </w:t>
            </w:r>
          </w:p>
        </w:tc>
        <w:tc>
          <w:tcPr>
            <w:tcW w:w="1129" w:type="pct"/>
            <w:tcBorders>
              <w:tl2br w:val="nil"/>
              <w:tr2bl w:val="nil"/>
            </w:tcBorders>
            <w:vAlign w:val="center"/>
          </w:tcPr>
          <w:p w14:paraId="755088C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3.580 </w:t>
            </w:r>
          </w:p>
        </w:tc>
        <w:tc>
          <w:tcPr>
            <w:tcW w:w="1145" w:type="pct"/>
            <w:tcBorders>
              <w:tl2br w:val="nil"/>
              <w:tr2bl w:val="nil"/>
            </w:tcBorders>
            <w:vAlign w:val="center"/>
          </w:tcPr>
          <w:p w14:paraId="2D9CF12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100.000 </w:t>
            </w:r>
          </w:p>
        </w:tc>
      </w:tr>
      <w:tr w:rsidR="009D12AF" w14:paraId="179B2A20" w14:textId="77777777">
        <w:trPr>
          <w:trHeight w:val="360"/>
        </w:trPr>
        <w:tc>
          <w:tcPr>
            <w:tcW w:w="1812" w:type="pct"/>
            <w:gridSpan w:val="2"/>
            <w:tcBorders>
              <w:tl2br w:val="nil"/>
              <w:tr2bl w:val="nil"/>
            </w:tcBorders>
            <w:vAlign w:val="center"/>
          </w:tcPr>
          <w:p w14:paraId="4F068EE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kern w:val="0"/>
                <w:sz w:val="21"/>
                <w:szCs w:val="21"/>
                <w:lang w:bidi="ar"/>
              </w:rPr>
              <w:t>3</w:t>
            </w:r>
            <w:r>
              <w:rPr>
                <w:rFonts w:ascii="Times New Roman" w:eastAsia="宋体" w:hAnsi="Times New Roman" w:cs="Times New Roman"/>
                <w:color w:val="000000"/>
                <w:kern w:val="0"/>
                <w:sz w:val="21"/>
                <w:szCs w:val="21"/>
                <w:lang w:bidi="ar"/>
              </w:rPr>
              <w:t>#</w:t>
            </w:r>
            <w:r>
              <w:rPr>
                <w:rFonts w:ascii="宋体" w:eastAsia="宋体" w:hAnsi="宋体" w:cs="宋体" w:hint="eastAsia"/>
                <w:color w:val="000000"/>
                <w:kern w:val="0"/>
                <w:sz w:val="21"/>
                <w:szCs w:val="21"/>
                <w:lang w:bidi="ar"/>
              </w:rPr>
              <w:t>离子</w:t>
            </w:r>
          </w:p>
        </w:tc>
        <w:tc>
          <w:tcPr>
            <w:tcW w:w="913" w:type="pct"/>
            <w:tcBorders>
              <w:tl2br w:val="nil"/>
              <w:tr2bl w:val="nil"/>
            </w:tcBorders>
            <w:vAlign w:val="center"/>
          </w:tcPr>
          <w:p w14:paraId="49A4D05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mg/L</w:t>
            </w:r>
          </w:p>
        </w:tc>
        <w:tc>
          <w:tcPr>
            <w:tcW w:w="1129" w:type="pct"/>
            <w:tcBorders>
              <w:tl2br w:val="nil"/>
              <w:tr2bl w:val="nil"/>
            </w:tcBorders>
            <w:vAlign w:val="center"/>
          </w:tcPr>
          <w:p w14:paraId="52D8873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meq/L</w:t>
            </w:r>
          </w:p>
        </w:tc>
        <w:tc>
          <w:tcPr>
            <w:tcW w:w="1145" w:type="pct"/>
            <w:tcBorders>
              <w:tl2br w:val="nil"/>
              <w:tr2bl w:val="nil"/>
            </w:tcBorders>
            <w:vAlign w:val="center"/>
          </w:tcPr>
          <w:p w14:paraId="57C765D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meq%</w:t>
            </w:r>
          </w:p>
        </w:tc>
      </w:tr>
      <w:tr w:rsidR="009D12AF" w14:paraId="50F59054" w14:textId="77777777">
        <w:trPr>
          <w:trHeight w:val="285"/>
        </w:trPr>
        <w:tc>
          <w:tcPr>
            <w:tcW w:w="898" w:type="pct"/>
            <w:vMerge w:val="restart"/>
            <w:tcBorders>
              <w:tl2br w:val="nil"/>
              <w:tr2bl w:val="nil"/>
            </w:tcBorders>
            <w:vAlign w:val="center"/>
          </w:tcPr>
          <w:p w14:paraId="36ABBD81"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阳离子</w:t>
            </w:r>
          </w:p>
        </w:tc>
        <w:tc>
          <w:tcPr>
            <w:tcW w:w="913" w:type="pct"/>
            <w:tcBorders>
              <w:tl2br w:val="nil"/>
              <w:tr2bl w:val="nil"/>
            </w:tcBorders>
            <w:vAlign w:val="center"/>
          </w:tcPr>
          <w:p w14:paraId="7591DA5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K</w:t>
            </w:r>
            <w:r>
              <w:rPr>
                <w:rFonts w:ascii="Times New Roman" w:eastAsia="宋体" w:hAnsi="Times New Roman" w:cs="Times New Roman"/>
                <w:color w:val="000000"/>
                <w:kern w:val="0"/>
                <w:sz w:val="21"/>
                <w:szCs w:val="21"/>
                <w:vertAlign w:val="superscript"/>
                <w:lang w:bidi="ar"/>
              </w:rPr>
              <w:t>+</w:t>
            </w:r>
          </w:p>
        </w:tc>
        <w:tc>
          <w:tcPr>
            <w:tcW w:w="913" w:type="pct"/>
            <w:tcBorders>
              <w:tl2br w:val="nil"/>
              <w:tr2bl w:val="nil"/>
            </w:tcBorders>
            <w:vAlign w:val="center"/>
          </w:tcPr>
          <w:p w14:paraId="7771818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0.763</w:t>
            </w:r>
          </w:p>
        </w:tc>
        <w:tc>
          <w:tcPr>
            <w:tcW w:w="1129" w:type="pct"/>
            <w:tcBorders>
              <w:tl2br w:val="nil"/>
              <w:tr2bl w:val="nil"/>
            </w:tcBorders>
            <w:vAlign w:val="center"/>
          </w:tcPr>
          <w:p w14:paraId="58834773"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0.020 </w:t>
            </w:r>
          </w:p>
        </w:tc>
        <w:tc>
          <w:tcPr>
            <w:tcW w:w="1145" w:type="pct"/>
            <w:tcBorders>
              <w:tl2br w:val="nil"/>
              <w:tr2bl w:val="nil"/>
            </w:tcBorders>
            <w:vAlign w:val="center"/>
          </w:tcPr>
          <w:p w14:paraId="3F58E92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1.507 </w:t>
            </w:r>
          </w:p>
        </w:tc>
      </w:tr>
      <w:tr w:rsidR="009D12AF" w14:paraId="0A1EFE02" w14:textId="77777777">
        <w:trPr>
          <w:trHeight w:val="285"/>
        </w:trPr>
        <w:tc>
          <w:tcPr>
            <w:tcW w:w="898" w:type="pct"/>
            <w:vMerge/>
            <w:tcBorders>
              <w:tl2br w:val="nil"/>
              <w:tr2bl w:val="nil"/>
            </w:tcBorders>
            <w:vAlign w:val="center"/>
          </w:tcPr>
          <w:p w14:paraId="77AEB676"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049AC5C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Na</w:t>
            </w:r>
            <w:r>
              <w:rPr>
                <w:rFonts w:ascii="Times New Roman" w:eastAsia="宋体" w:hAnsi="Times New Roman" w:cs="Times New Roman"/>
                <w:color w:val="000000"/>
                <w:kern w:val="0"/>
                <w:sz w:val="21"/>
                <w:szCs w:val="21"/>
                <w:vertAlign w:val="superscript"/>
                <w:lang w:bidi="ar"/>
              </w:rPr>
              <w:t>+</w:t>
            </w:r>
          </w:p>
        </w:tc>
        <w:tc>
          <w:tcPr>
            <w:tcW w:w="913" w:type="pct"/>
            <w:tcBorders>
              <w:tl2br w:val="nil"/>
              <w:tr2bl w:val="nil"/>
            </w:tcBorders>
            <w:vAlign w:val="center"/>
          </w:tcPr>
          <w:p w14:paraId="40A329E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6.35</w:t>
            </w:r>
          </w:p>
        </w:tc>
        <w:tc>
          <w:tcPr>
            <w:tcW w:w="1129" w:type="pct"/>
            <w:tcBorders>
              <w:tl2br w:val="nil"/>
              <w:tr2bl w:val="nil"/>
            </w:tcBorders>
            <w:vAlign w:val="center"/>
          </w:tcPr>
          <w:p w14:paraId="4E8B7A5A"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0.276 </w:t>
            </w:r>
          </w:p>
        </w:tc>
        <w:tc>
          <w:tcPr>
            <w:tcW w:w="1145" w:type="pct"/>
            <w:tcBorders>
              <w:tl2br w:val="nil"/>
              <w:tr2bl w:val="nil"/>
            </w:tcBorders>
            <w:vAlign w:val="center"/>
          </w:tcPr>
          <w:p w14:paraId="57E1BD1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21.261 </w:t>
            </w:r>
          </w:p>
        </w:tc>
      </w:tr>
      <w:tr w:rsidR="009D12AF" w14:paraId="3EBC5C93" w14:textId="77777777">
        <w:trPr>
          <w:trHeight w:val="285"/>
        </w:trPr>
        <w:tc>
          <w:tcPr>
            <w:tcW w:w="898" w:type="pct"/>
            <w:vMerge/>
            <w:tcBorders>
              <w:tl2br w:val="nil"/>
              <w:tr2bl w:val="nil"/>
            </w:tcBorders>
            <w:vAlign w:val="center"/>
          </w:tcPr>
          <w:p w14:paraId="62035B7B"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35D965D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Ca</w:t>
            </w:r>
            <w:r>
              <w:rPr>
                <w:rFonts w:ascii="Times New Roman" w:eastAsia="宋体" w:hAnsi="Times New Roman" w:cs="Times New Roman"/>
                <w:color w:val="000000"/>
                <w:kern w:val="0"/>
                <w:sz w:val="21"/>
                <w:szCs w:val="21"/>
                <w:vertAlign w:val="superscript"/>
                <w:lang w:bidi="ar"/>
              </w:rPr>
              <w:t>2+</w:t>
            </w:r>
          </w:p>
        </w:tc>
        <w:tc>
          <w:tcPr>
            <w:tcW w:w="913" w:type="pct"/>
            <w:tcBorders>
              <w:tl2br w:val="nil"/>
              <w:tr2bl w:val="nil"/>
            </w:tcBorders>
            <w:vAlign w:val="center"/>
          </w:tcPr>
          <w:p w14:paraId="702488A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27.7</w:t>
            </w:r>
          </w:p>
        </w:tc>
        <w:tc>
          <w:tcPr>
            <w:tcW w:w="1129" w:type="pct"/>
            <w:tcBorders>
              <w:tl2br w:val="nil"/>
              <w:tr2bl w:val="nil"/>
            </w:tcBorders>
            <w:vAlign w:val="center"/>
          </w:tcPr>
          <w:p w14:paraId="449B343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0.693 </w:t>
            </w:r>
          </w:p>
        </w:tc>
        <w:tc>
          <w:tcPr>
            <w:tcW w:w="1145" w:type="pct"/>
            <w:tcBorders>
              <w:tl2br w:val="nil"/>
              <w:tr2bl w:val="nil"/>
            </w:tcBorders>
            <w:vAlign w:val="center"/>
          </w:tcPr>
          <w:p w14:paraId="112E77F3"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53.328 </w:t>
            </w:r>
          </w:p>
        </w:tc>
      </w:tr>
      <w:tr w:rsidR="009D12AF" w14:paraId="41BBCAF9" w14:textId="77777777">
        <w:trPr>
          <w:trHeight w:val="525"/>
        </w:trPr>
        <w:tc>
          <w:tcPr>
            <w:tcW w:w="898" w:type="pct"/>
            <w:vMerge/>
            <w:tcBorders>
              <w:tl2br w:val="nil"/>
              <w:tr2bl w:val="nil"/>
            </w:tcBorders>
            <w:vAlign w:val="center"/>
          </w:tcPr>
          <w:p w14:paraId="5B384F30"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1A42D1D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Mg</w:t>
            </w:r>
            <w:r>
              <w:rPr>
                <w:rFonts w:ascii="Times New Roman" w:eastAsia="宋体" w:hAnsi="Times New Roman" w:cs="Times New Roman"/>
                <w:color w:val="000000"/>
                <w:kern w:val="0"/>
                <w:sz w:val="21"/>
                <w:szCs w:val="21"/>
                <w:vertAlign w:val="superscript"/>
                <w:lang w:bidi="ar"/>
              </w:rPr>
              <w:t>2+</w:t>
            </w:r>
          </w:p>
        </w:tc>
        <w:tc>
          <w:tcPr>
            <w:tcW w:w="913" w:type="pct"/>
            <w:tcBorders>
              <w:tl2br w:val="nil"/>
              <w:tr2bl w:val="nil"/>
            </w:tcBorders>
            <w:vAlign w:val="center"/>
          </w:tcPr>
          <w:p w14:paraId="1078B9B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7.45</w:t>
            </w:r>
          </w:p>
        </w:tc>
        <w:tc>
          <w:tcPr>
            <w:tcW w:w="1129" w:type="pct"/>
            <w:tcBorders>
              <w:tl2br w:val="nil"/>
              <w:tr2bl w:val="nil"/>
            </w:tcBorders>
            <w:vAlign w:val="center"/>
          </w:tcPr>
          <w:p w14:paraId="0279531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0.310 </w:t>
            </w:r>
          </w:p>
        </w:tc>
        <w:tc>
          <w:tcPr>
            <w:tcW w:w="1145" w:type="pct"/>
            <w:tcBorders>
              <w:tl2br w:val="nil"/>
              <w:tr2bl w:val="nil"/>
            </w:tcBorders>
            <w:vAlign w:val="center"/>
          </w:tcPr>
          <w:p w14:paraId="03752FEA"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23.905 </w:t>
            </w:r>
          </w:p>
        </w:tc>
      </w:tr>
      <w:tr w:rsidR="009D12AF" w14:paraId="363B9CB6" w14:textId="77777777">
        <w:trPr>
          <w:trHeight w:val="285"/>
        </w:trPr>
        <w:tc>
          <w:tcPr>
            <w:tcW w:w="898" w:type="pct"/>
            <w:vMerge/>
            <w:tcBorders>
              <w:tl2br w:val="nil"/>
              <w:tr2bl w:val="nil"/>
            </w:tcBorders>
            <w:vAlign w:val="center"/>
          </w:tcPr>
          <w:p w14:paraId="5C668E4F"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656E51C7"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总计</w:t>
            </w:r>
          </w:p>
        </w:tc>
        <w:tc>
          <w:tcPr>
            <w:tcW w:w="913" w:type="pct"/>
            <w:tcBorders>
              <w:tl2br w:val="nil"/>
              <w:tr2bl w:val="nil"/>
            </w:tcBorders>
            <w:vAlign w:val="center"/>
          </w:tcPr>
          <w:p w14:paraId="54441A6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42.263 </w:t>
            </w:r>
          </w:p>
        </w:tc>
        <w:tc>
          <w:tcPr>
            <w:tcW w:w="1129" w:type="pct"/>
            <w:tcBorders>
              <w:tl2br w:val="nil"/>
              <w:tr2bl w:val="nil"/>
            </w:tcBorders>
            <w:vAlign w:val="center"/>
          </w:tcPr>
          <w:p w14:paraId="53B5DCD3"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1.299 </w:t>
            </w:r>
          </w:p>
        </w:tc>
        <w:tc>
          <w:tcPr>
            <w:tcW w:w="1145" w:type="pct"/>
            <w:tcBorders>
              <w:tl2br w:val="nil"/>
              <w:tr2bl w:val="nil"/>
            </w:tcBorders>
            <w:vAlign w:val="center"/>
          </w:tcPr>
          <w:p w14:paraId="02E56AB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100.000 </w:t>
            </w:r>
          </w:p>
        </w:tc>
      </w:tr>
      <w:tr w:rsidR="009D12AF" w14:paraId="16BBA4A5" w14:textId="77777777">
        <w:trPr>
          <w:trHeight w:val="525"/>
        </w:trPr>
        <w:tc>
          <w:tcPr>
            <w:tcW w:w="898" w:type="pct"/>
            <w:vMerge w:val="restart"/>
            <w:tcBorders>
              <w:tl2br w:val="nil"/>
              <w:tr2bl w:val="nil"/>
            </w:tcBorders>
            <w:vAlign w:val="center"/>
          </w:tcPr>
          <w:p w14:paraId="27F7CEBC"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阴离子</w:t>
            </w:r>
          </w:p>
        </w:tc>
        <w:tc>
          <w:tcPr>
            <w:tcW w:w="913" w:type="pct"/>
            <w:tcBorders>
              <w:tl2br w:val="nil"/>
              <w:tr2bl w:val="nil"/>
            </w:tcBorders>
            <w:vAlign w:val="center"/>
          </w:tcPr>
          <w:p w14:paraId="68C2B9E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HCO</w:t>
            </w:r>
            <w:r>
              <w:rPr>
                <w:rFonts w:ascii="Times New Roman" w:eastAsia="宋体" w:hAnsi="Times New Roman" w:cs="Times New Roman"/>
                <w:color w:val="000000"/>
                <w:kern w:val="0"/>
                <w:sz w:val="21"/>
                <w:szCs w:val="21"/>
                <w:vertAlign w:val="subscript"/>
                <w:lang w:bidi="ar"/>
              </w:rPr>
              <w:t>3</w:t>
            </w:r>
            <w:r>
              <w:rPr>
                <w:rFonts w:ascii="Times New Roman" w:eastAsia="宋体" w:hAnsi="Times New Roman" w:cs="Times New Roman"/>
                <w:color w:val="000000"/>
                <w:kern w:val="0"/>
                <w:sz w:val="21"/>
                <w:szCs w:val="21"/>
                <w:vertAlign w:val="superscript"/>
                <w:lang w:bidi="ar"/>
              </w:rPr>
              <w:t>-</w:t>
            </w:r>
          </w:p>
        </w:tc>
        <w:tc>
          <w:tcPr>
            <w:tcW w:w="913" w:type="pct"/>
            <w:tcBorders>
              <w:tl2br w:val="nil"/>
              <w:tr2bl w:val="nil"/>
            </w:tcBorders>
            <w:vAlign w:val="center"/>
          </w:tcPr>
          <w:p w14:paraId="1162577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85</w:t>
            </w:r>
          </w:p>
        </w:tc>
        <w:tc>
          <w:tcPr>
            <w:tcW w:w="1129" w:type="pct"/>
            <w:tcBorders>
              <w:tl2br w:val="nil"/>
              <w:tr2bl w:val="nil"/>
            </w:tcBorders>
            <w:vAlign w:val="center"/>
          </w:tcPr>
          <w:p w14:paraId="04C33353"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1.393 </w:t>
            </w:r>
          </w:p>
        </w:tc>
        <w:tc>
          <w:tcPr>
            <w:tcW w:w="1145" w:type="pct"/>
            <w:tcBorders>
              <w:tl2br w:val="nil"/>
              <w:tr2bl w:val="nil"/>
            </w:tcBorders>
            <w:vAlign w:val="center"/>
          </w:tcPr>
          <w:p w14:paraId="4F94B39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77.926 </w:t>
            </w:r>
          </w:p>
        </w:tc>
      </w:tr>
      <w:tr w:rsidR="009D12AF" w14:paraId="0AA2EA64" w14:textId="77777777">
        <w:trPr>
          <w:trHeight w:val="285"/>
        </w:trPr>
        <w:tc>
          <w:tcPr>
            <w:tcW w:w="898" w:type="pct"/>
            <w:vMerge/>
            <w:tcBorders>
              <w:tl2br w:val="nil"/>
              <w:tr2bl w:val="nil"/>
            </w:tcBorders>
            <w:vAlign w:val="center"/>
          </w:tcPr>
          <w:p w14:paraId="37A8052A"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43DAF11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Cl</w:t>
            </w:r>
            <w:r>
              <w:rPr>
                <w:rFonts w:ascii="Times New Roman" w:eastAsia="宋体" w:hAnsi="Times New Roman" w:cs="Times New Roman"/>
                <w:color w:val="000000"/>
                <w:kern w:val="0"/>
                <w:sz w:val="21"/>
                <w:szCs w:val="21"/>
                <w:vertAlign w:val="superscript"/>
                <w:lang w:bidi="ar"/>
              </w:rPr>
              <w:t>-</w:t>
            </w:r>
          </w:p>
        </w:tc>
        <w:tc>
          <w:tcPr>
            <w:tcW w:w="913" w:type="pct"/>
            <w:tcBorders>
              <w:tl2br w:val="nil"/>
              <w:tr2bl w:val="nil"/>
            </w:tcBorders>
            <w:vAlign w:val="center"/>
          </w:tcPr>
          <w:p w14:paraId="415F576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8.17</w:t>
            </w:r>
          </w:p>
        </w:tc>
        <w:tc>
          <w:tcPr>
            <w:tcW w:w="1129" w:type="pct"/>
            <w:tcBorders>
              <w:tl2br w:val="nil"/>
              <w:tr2bl w:val="nil"/>
            </w:tcBorders>
            <w:vAlign w:val="center"/>
          </w:tcPr>
          <w:p w14:paraId="01A984D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0.230 </w:t>
            </w:r>
          </w:p>
        </w:tc>
        <w:tc>
          <w:tcPr>
            <w:tcW w:w="1145" w:type="pct"/>
            <w:tcBorders>
              <w:tl2br w:val="nil"/>
              <w:tr2bl w:val="nil"/>
            </w:tcBorders>
            <w:vAlign w:val="center"/>
          </w:tcPr>
          <w:p w14:paraId="5F59948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12.870 </w:t>
            </w:r>
          </w:p>
        </w:tc>
      </w:tr>
      <w:tr w:rsidR="009D12AF" w14:paraId="0991A75E" w14:textId="77777777">
        <w:trPr>
          <w:trHeight w:val="360"/>
        </w:trPr>
        <w:tc>
          <w:tcPr>
            <w:tcW w:w="898" w:type="pct"/>
            <w:vMerge/>
            <w:tcBorders>
              <w:tl2br w:val="nil"/>
              <w:tr2bl w:val="nil"/>
            </w:tcBorders>
            <w:vAlign w:val="center"/>
          </w:tcPr>
          <w:p w14:paraId="2706AEE2"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466FE28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SO</w:t>
            </w:r>
            <w:r>
              <w:rPr>
                <w:rFonts w:ascii="Times New Roman" w:eastAsia="宋体" w:hAnsi="Times New Roman" w:cs="Times New Roman"/>
                <w:color w:val="000000"/>
                <w:kern w:val="0"/>
                <w:sz w:val="21"/>
                <w:szCs w:val="21"/>
                <w:vertAlign w:val="subscript"/>
                <w:lang w:bidi="ar"/>
              </w:rPr>
              <w:t>4</w:t>
            </w:r>
            <w:r>
              <w:rPr>
                <w:rFonts w:ascii="Times New Roman" w:eastAsia="宋体" w:hAnsi="Times New Roman" w:cs="Times New Roman"/>
                <w:color w:val="000000"/>
                <w:kern w:val="0"/>
                <w:sz w:val="21"/>
                <w:szCs w:val="21"/>
                <w:vertAlign w:val="superscript"/>
                <w:lang w:bidi="ar"/>
              </w:rPr>
              <w:t>2-</w:t>
            </w:r>
          </w:p>
        </w:tc>
        <w:tc>
          <w:tcPr>
            <w:tcW w:w="913" w:type="pct"/>
            <w:tcBorders>
              <w:tl2br w:val="nil"/>
              <w:tr2bl w:val="nil"/>
            </w:tcBorders>
            <w:vAlign w:val="center"/>
          </w:tcPr>
          <w:p w14:paraId="4D531BE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15.8</w:t>
            </w:r>
          </w:p>
        </w:tc>
        <w:tc>
          <w:tcPr>
            <w:tcW w:w="1129" w:type="pct"/>
            <w:tcBorders>
              <w:tl2br w:val="nil"/>
              <w:tr2bl w:val="nil"/>
            </w:tcBorders>
            <w:vAlign w:val="center"/>
          </w:tcPr>
          <w:p w14:paraId="08616CB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0.165 </w:t>
            </w:r>
          </w:p>
        </w:tc>
        <w:tc>
          <w:tcPr>
            <w:tcW w:w="1145" w:type="pct"/>
            <w:tcBorders>
              <w:tl2br w:val="nil"/>
              <w:tr2bl w:val="nil"/>
            </w:tcBorders>
            <w:vAlign w:val="center"/>
          </w:tcPr>
          <w:p w14:paraId="1C948A7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9.204 </w:t>
            </w:r>
          </w:p>
        </w:tc>
      </w:tr>
      <w:tr w:rsidR="009D12AF" w14:paraId="4702CCC0" w14:textId="77777777">
        <w:trPr>
          <w:trHeight w:val="525"/>
        </w:trPr>
        <w:tc>
          <w:tcPr>
            <w:tcW w:w="898" w:type="pct"/>
            <w:vMerge/>
            <w:tcBorders>
              <w:tl2br w:val="nil"/>
              <w:tr2bl w:val="nil"/>
            </w:tcBorders>
            <w:vAlign w:val="center"/>
          </w:tcPr>
          <w:p w14:paraId="33CE7F57"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13F7FD4E"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总计</w:t>
            </w:r>
          </w:p>
        </w:tc>
        <w:tc>
          <w:tcPr>
            <w:tcW w:w="913" w:type="pct"/>
            <w:tcBorders>
              <w:tl2br w:val="nil"/>
              <w:tr2bl w:val="nil"/>
            </w:tcBorders>
            <w:vAlign w:val="center"/>
          </w:tcPr>
          <w:p w14:paraId="2BBD64D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108.970 </w:t>
            </w:r>
          </w:p>
        </w:tc>
        <w:tc>
          <w:tcPr>
            <w:tcW w:w="1129" w:type="pct"/>
            <w:tcBorders>
              <w:tl2br w:val="nil"/>
              <w:tr2bl w:val="nil"/>
            </w:tcBorders>
            <w:vAlign w:val="center"/>
          </w:tcPr>
          <w:p w14:paraId="1BD34FB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1.788 </w:t>
            </w:r>
          </w:p>
        </w:tc>
        <w:tc>
          <w:tcPr>
            <w:tcW w:w="1145" w:type="pct"/>
            <w:tcBorders>
              <w:tl2br w:val="nil"/>
              <w:tr2bl w:val="nil"/>
            </w:tcBorders>
            <w:vAlign w:val="center"/>
          </w:tcPr>
          <w:p w14:paraId="14A6331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100.000 </w:t>
            </w:r>
          </w:p>
        </w:tc>
      </w:tr>
      <w:tr w:rsidR="009D12AF" w14:paraId="19B3B858" w14:textId="77777777">
        <w:trPr>
          <w:trHeight w:val="285"/>
        </w:trPr>
        <w:tc>
          <w:tcPr>
            <w:tcW w:w="1812" w:type="pct"/>
            <w:gridSpan w:val="2"/>
            <w:tcBorders>
              <w:tl2br w:val="nil"/>
              <w:tr2bl w:val="nil"/>
            </w:tcBorders>
            <w:vAlign w:val="center"/>
          </w:tcPr>
          <w:p w14:paraId="5175C1F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kern w:val="0"/>
                <w:sz w:val="21"/>
                <w:szCs w:val="21"/>
                <w:lang w:bidi="ar"/>
              </w:rPr>
              <w:t>6</w:t>
            </w:r>
            <w:r>
              <w:rPr>
                <w:rFonts w:ascii="Times New Roman" w:eastAsia="宋体" w:hAnsi="Times New Roman" w:cs="Times New Roman"/>
                <w:color w:val="000000"/>
                <w:kern w:val="0"/>
                <w:sz w:val="21"/>
                <w:szCs w:val="21"/>
                <w:lang w:bidi="ar"/>
              </w:rPr>
              <w:t>#</w:t>
            </w:r>
            <w:r>
              <w:rPr>
                <w:rFonts w:ascii="宋体" w:eastAsia="宋体" w:hAnsi="宋体" w:cs="宋体" w:hint="eastAsia"/>
                <w:color w:val="000000"/>
                <w:kern w:val="0"/>
                <w:sz w:val="21"/>
                <w:szCs w:val="21"/>
                <w:lang w:bidi="ar"/>
              </w:rPr>
              <w:t>离子</w:t>
            </w:r>
          </w:p>
        </w:tc>
        <w:tc>
          <w:tcPr>
            <w:tcW w:w="913" w:type="pct"/>
            <w:tcBorders>
              <w:tl2br w:val="nil"/>
              <w:tr2bl w:val="nil"/>
            </w:tcBorders>
            <w:vAlign w:val="center"/>
          </w:tcPr>
          <w:p w14:paraId="2D9EB68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mg/L</w:t>
            </w:r>
          </w:p>
        </w:tc>
        <w:tc>
          <w:tcPr>
            <w:tcW w:w="1129" w:type="pct"/>
            <w:tcBorders>
              <w:tl2br w:val="nil"/>
              <w:tr2bl w:val="nil"/>
            </w:tcBorders>
            <w:vAlign w:val="center"/>
          </w:tcPr>
          <w:p w14:paraId="3CCD7A2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meq/L</w:t>
            </w:r>
          </w:p>
        </w:tc>
        <w:tc>
          <w:tcPr>
            <w:tcW w:w="1145" w:type="pct"/>
            <w:tcBorders>
              <w:tl2br w:val="nil"/>
              <w:tr2bl w:val="nil"/>
            </w:tcBorders>
            <w:vAlign w:val="center"/>
          </w:tcPr>
          <w:p w14:paraId="31D37EC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meq%</w:t>
            </w:r>
          </w:p>
        </w:tc>
      </w:tr>
      <w:tr w:rsidR="009D12AF" w14:paraId="4BF8882F" w14:textId="77777777">
        <w:trPr>
          <w:trHeight w:val="285"/>
        </w:trPr>
        <w:tc>
          <w:tcPr>
            <w:tcW w:w="898" w:type="pct"/>
            <w:vMerge w:val="restart"/>
            <w:tcBorders>
              <w:tl2br w:val="nil"/>
              <w:tr2bl w:val="nil"/>
            </w:tcBorders>
            <w:vAlign w:val="center"/>
          </w:tcPr>
          <w:p w14:paraId="1EB3BAD9"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阳离子</w:t>
            </w:r>
          </w:p>
        </w:tc>
        <w:tc>
          <w:tcPr>
            <w:tcW w:w="913" w:type="pct"/>
            <w:tcBorders>
              <w:tl2br w:val="nil"/>
              <w:tr2bl w:val="nil"/>
            </w:tcBorders>
            <w:vAlign w:val="center"/>
          </w:tcPr>
          <w:p w14:paraId="7013D71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K</w:t>
            </w:r>
            <w:r>
              <w:rPr>
                <w:rFonts w:ascii="Times New Roman" w:eastAsia="宋体" w:hAnsi="Times New Roman" w:cs="Times New Roman"/>
                <w:color w:val="000000"/>
                <w:kern w:val="0"/>
                <w:sz w:val="21"/>
                <w:szCs w:val="21"/>
                <w:vertAlign w:val="superscript"/>
                <w:lang w:bidi="ar"/>
              </w:rPr>
              <w:t>+</w:t>
            </w:r>
          </w:p>
        </w:tc>
        <w:tc>
          <w:tcPr>
            <w:tcW w:w="913" w:type="pct"/>
            <w:tcBorders>
              <w:tl2br w:val="nil"/>
              <w:tr2bl w:val="nil"/>
            </w:tcBorders>
            <w:vAlign w:val="center"/>
          </w:tcPr>
          <w:p w14:paraId="4430944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1.78</w:t>
            </w:r>
          </w:p>
        </w:tc>
        <w:tc>
          <w:tcPr>
            <w:tcW w:w="1129" w:type="pct"/>
            <w:tcBorders>
              <w:tl2br w:val="nil"/>
              <w:tr2bl w:val="nil"/>
            </w:tcBorders>
            <w:vAlign w:val="center"/>
          </w:tcPr>
          <w:p w14:paraId="16B4734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0.046 </w:t>
            </w:r>
          </w:p>
        </w:tc>
        <w:tc>
          <w:tcPr>
            <w:tcW w:w="1145" w:type="pct"/>
            <w:tcBorders>
              <w:tl2br w:val="nil"/>
              <w:tr2bl w:val="nil"/>
            </w:tcBorders>
            <w:vAlign w:val="center"/>
          </w:tcPr>
          <w:p w14:paraId="23B759B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2.614 </w:t>
            </w:r>
          </w:p>
        </w:tc>
      </w:tr>
      <w:tr w:rsidR="009D12AF" w14:paraId="7D5B9C15" w14:textId="77777777">
        <w:trPr>
          <w:trHeight w:val="285"/>
        </w:trPr>
        <w:tc>
          <w:tcPr>
            <w:tcW w:w="898" w:type="pct"/>
            <w:vMerge/>
            <w:tcBorders>
              <w:tl2br w:val="nil"/>
              <w:tr2bl w:val="nil"/>
            </w:tcBorders>
            <w:vAlign w:val="center"/>
          </w:tcPr>
          <w:p w14:paraId="188D4559"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7EAA2BB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Na</w:t>
            </w:r>
            <w:r>
              <w:rPr>
                <w:rFonts w:ascii="Times New Roman" w:eastAsia="宋体" w:hAnsi="Times New Roman" w:cs="Times New Roman"/>
                <w:color w:val="000000"/>
                <w:kern w:val="0"/>
                <w:sz w:val="21"/>
                <w:szCs w:val="21"/>
                <w:vertAlign w:val="superscript"/>
                <w:lang w:bidi="ar"/>
              </w:rPr>
              <w:t>+</w:t>
            </w:r>
          </w:p>
        </w:tc>
        <w:tc>
          <w:tcPr>
            <w:tcW w:w="913" w:type="pct"/>
            <w:tcBorders>
              <w:tl2br w:val="nil"/>
              <w:tr2bl w:val="nil"/>
            </w:tcBorders>
            <w:vAlign w:val="center"/>
          </w:tcPr>
          <w:p w14:paraId="615CEBA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17.3</w:t>
            </w:r>
          </w:p>
        </w:tc>
        <w:tc>
          <w:tcPr>
            <w:tcW w:w="1129" w:type="pct"/>
            <w:tcBorders>
              <w:tl2br w:val="nil"/>
              <w:tr2bl w:val="nil"/>
            </w:tcBorders>
            <w:vAlign w:val="center"/>
          </w:tcPr>
          <w:p w14:paraId="44C8E7B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0.752 </w:t>
            </w:r>
          </w:p>
        </w:tc>
        <w:tc>
          <w:tcPr>
            <w:tcW w:w="1145" w:type="pct"/>
            <w:tcBorders>
              <w:tl2br w:val="nil"/>
              <w:tr2bl w:val="nil"/>
            </w:tcBorders>
            <w:vAlign w:val="center"/>
          </w:tcPr>
          <w:p w14:paraId="6A6D477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43.076 </w:t>
            </w:r>
          </w:p>
        </w:tc>
      </w:tr>
      <w:tr w:rsidR="009D12AF" w14:paraId="47175A21" w14:textId="77777777">
        <w:trPr>
          <w:trHeight w:val="285"/>
        </w:trPr>
        <w:tc>
          <w:tcPr>
            <w:tcW w:w="898" w:type="pct"/>
            <w:vMerge/>
            <w:tcBorders>
              <w:tl2br w:val="nil"/>
              <w:tr2bl w:val="nil"/>
            </w:tcBorders>
            <w:vAlign w:val="center"/>
          </w:tcPr>
          <w:p w14:paraId="3E7FDB7F"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4A14795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Ca</w:t>
            </w:r>
            <w:r>
              <w:rPr>
                <w:rFonts w:ascii="Times New Roman" w:eastAsia="宋体" w:hAnsi="Times New Roman" w:cs="Times New Roman"/>
                <w:color w:val="000000"/>
                <w:kern w:val="0"/>
                <w:sz w:val="21"/>
                <w:szCs w:val="21"/>
                <w:vertAlign w:val="superscript"/>
                <w:lang w:bidi="ar"/>
              </w:rPr>
              <w:t>2+</w:t>
            </w:r>
          </w:p>
        </w:tc>
        <w:tc>
          <w:tcPr>
            <w:tcW w:w="913" w:type="pct"/>
            <w:tcBorders>
              <w:tl2br w:val="nil"/>
              <w:tr2bl w:val="nil"/>
            </w:tcBorders>
            <w:vAlign w:val="center"/>
          </w:tcPr>
          <w:p w14:paraId="0E80EA03"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26</w:t>
            </w:r>
          </w:p>
        </w:tc>
        <w:tc>
          <w:tcPr>
            <w:tcW w:w="1129" w:type="pct"/>
            <w:tcBorders>
              <w:tl2br w:val="nil"/>
              <w:tr2bl w:val="nil"/>
            </w:tcBorders>
            <w:vAlign w:val="center"/>
          </w:tcPr>
          <w:p w14:paraId="029E26E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0.650 </w:t>
            </w:r>
          </w:p>
        </w:tc>
        <w:tc>
          <w:tcPr>
            <w:tcW w:w="1145" w:type="pct"/>
            <w:tcBorders>
              <w:tl2br w:val="nil"/>
              <w:tr2bl w:val="nil"/>
            </w:tcBorders>
            <w:vAlign w:val="center"/>
          </w:tcPr>
          <w:p w14:paraId="0847D73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37.225 </w:t>
            </w:r>
          </w:p>
        </w:tc>
      </w:tr>
      <w:tr w:rsidR="009D12AF" w14:paraId="1E43034B" w14:textId="77777777">
        <w:trPr>
          <w:trHeight w:val="285"/>
        </w:trPr>
        <w:tc>
          <w:tcPr>
            <w:tcW w:w="898" w:type="pct"/>
            <w:vMerge/>
            <w:tcBorders>
              <w:tl2br w:val="nil"/>
              <w:tr2bl w:val="nil"/>
            </w:tcBorders>
            <w:vAlign w:val="center"/>
          </w:tcPr>
          <w:p w14:paraId="65E980F7"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4A055E3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Mg</w:t>
            </w:r>
            <w:r>
              <w:rPr>
                <w:rFonts w:ascii="Times New Roman" w:eastAsia="宋体" w:hAnsi="Times New Roman" w:cs="Times New Roman"/>
                <w:color w:val="000000"/>
                <w:kern w:val="0"/>
                <w:sz w:val="21"/>
                <w:szCs w:val="21"/>
                <w:vertAlign w:val="superscript"/>
                <w:lang w:bidi="ar"/>
              </w:rPr>
              <w:t>2+</w:t>
            </w:r>
          </w:p>
        </w:tc>
        <w:tc>
          <w:tcPr>
            <w:tcW w:w="913" w:type="pct"/>
            <w:tcBorders>
              <w:tl2br w:val="nil"/>
              <w:tr2bl w:val="nil"/>
            </w:tcBorders>
            <w:vAlign w:val="center"/>
          </w:tcPr>
          <w:p w14:paraId="4AFD5A8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7.16</w:t>
            </w:r>
          </w:p>
        </w:tc>
        <w:tc>
          <w:tcPr>
            <w:tcW w:w="1129" w:type="pct"/>
            <w:tcBorders>
              <w:tl2br w:val="nil"/>
              <w:tr2bl w:val="nil"/>
            </w:tcBorders>
            <w:vAlign w:val="center"/>
          </w:tcPr>
          <w:p w14:paraId="7487878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0.298 </w:t>
            </w:r>
          </w:p>
        </w:tc>
        <w:tc>
          <w:tcPr>
            <w:tcW w:w="1145" w:type="pct"/>
            <w:tcBorders>
              <w:tl2br w:val="nil"/>
              <w:tr2bl w:val="nil"/>
            </w:tcBorders>
            <w:vAlign w:val="center"/>
          </w:tcPr>
          <w:p w14:paraId="0E66F14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17.085 </w:t>
            </w:r>
          </w:p>
        </w:tc>
      </w:tr>
      <w:tr w:rsidR="009D12AF" w14:paraId="75C7F6B5" w14:textId="77777777">
        <w:trPr>
          <w:trHeight w:val="285"/>
        </w:trPr>
        <w:tc>
          <w:tcPr>
            <w:tcW w:w="898" w:type="pct"/>
            <w:vMerge/>
            <w:tcBorders>
              <w:tl2br w:val="nil"/>
              <w:tr2bl w:val="nil"/>
            </w:tcBorders>
            <w:vAlign w:val="center"/>
          </w:tcPr>
          <w:p w14:paraId="0BE20733"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793AF6C8"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总计</w:t>
            </w:r>
          </w:p>
        </w:tc>
        <w:tc>
          <w:tcPr>
            <w:tcW w:w="913" w:type="pct"/>
            <w:tcBorders>
              <w:tl2br w:val="nil"/>
              <w:tr2bl w:val="nil"/>
            </w:tcBorders>
            <w:vAlign w:val="center"/>
          </w:tcPr>
          <w:p w14:paraId="661A4CE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52.240 </w:t>
            </w:r>
          </w:p>
        </w:tc>
        <w:tc>
          <w:tcPr>
            <w:tcW w:w="1129" w:type="pct"/>
            <w:tcBorders>
              <w:tl2br w:val="nil"/>
              <w:tr2bl w:val="nil"/>
            </w:tcBorders>
            <w:vAlign w:val="center"/>
          </w:tcPr>
          <w:p w14:paraId="1A04B8F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1.746 </w:t>
            </w:r>
          </w:p>
        </w:tc>
        <w:tc>
          <w:tcPr>
            <w:tcW w:w="1145" w:type="pct"/>
            <w:tcBorders>
              <w:tl2br w:val="nil"/>
              <w:tr2bl w:val="nil"/>
            </w:tcBorders>
            <w:vAlign w:val="center"/>
          </w:tcPr>
          <w:p w14:paraId="4237E7E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100.000 </w:t>
            </w:r>
          </w:p>
        </w:tc>
      </w:tr>
      <w:tr w:rsidR="009D12AF" w14:paraId="1889EE77" w14:textId="77777777">
        <w:trPr>
          <w:trHeight w:val="525"/>
        </w:trPr>
        <w:tc>
          <w:tcPr>
            <w:tcW w:w="898" w:type="pct"/>
            <w:vMerge w:val="restart"/>
            <w:tcBorders>
              <w:tl2br w:val="nil"/>
              <w:tr2bl w:val="nil"/>
            </w:tcBorders>
            <w:vAlign w:val="center"/>
          </w:tcPr>
          <w:p w14:paraId="135078A4"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阴离子</w:t>
            </w:r>
          </w:p>
        </w:tc>
        <w:tc>
          <w:tcPr>
            <w:tcW w:w="913" w:type="pct"/>
            <w:tcBorders>
              <w:tl2br w:val="nil"/>
              <w:tr2bl w:val="nil"/>
            </w:tcBorders>
            <w:vAlign w:val="center"/>
          </w:tcPr>
          <w:p w14:paraId="1130DAD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HCO</w:t>
            </w:r>
            <w:r>
              <w:rPr>
                <w:rFonts w:ascii="Times New Roman" w:eastAsia="宋体" w:hAnsi="Times New Roman" w:cs="Times New Roman"/>
                <w:color w:val="000000"/>
                <w:kern w:val="0"/>
                <w:sz w:val="21"/>
                <w:szCs w:val="21"/>
                <w:vertAlign w:val="subscript"/>
                <w:lang w:bidi="ar"/>
              </w:rPr>
              <w:t>3</w:t>
            </w:r>
            <w:r>
              <w:rPr>
                <w:rFonts w:ascii="Times New Roman" w:eastAsia="宋体" w:hAnsi="Times New Roman" w:cs="Times New Roman"/>
                <w:color w:val="000000"/>
                <w:kern w:val="0"/>
                <w:sz w:val="21"/>
                <w:szCs w:val="21"/>
                <w:vertAlign w:val="superscript"/>
                <w:lang w:bidi="ar"/>
              </w:rPr>
              <w:t>-</w:t>
            </w:r>
          </w:p>
        </w:tc>
        <w:tc>
          <w:tcPr>
            <w:tcW w:w="913" w:type="pct"/>
            <w:tcBorders>
              <w:tl2br w:val="nil"/>
              <w:tr2bl w:val="nil"/>
            </w:tcBorders>
            <w:vAlign w:val="center"/>
          </w:tcPr>
          <w:p w14:paraId="1A48F50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117</w:t>
            </w:r>
          </w:p>
        </w:tc>
        <w:tc>
          <w:tcPr>
            <w:tcW w:w="1129" w:type="pct"/>
            <w:tcBorders>
              <w:tl2br w:val="nil"/>
              <w:tr2bl w:val="nil"/>
            </w:tcBorders>
            <w:vAlign w:val="center"/>
          </w:tcPr>
          <w:p w14:paraId="7BEBDAF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1.918 </w:t>
            </w:r>
          </w:p>
        </w:tc>
        <w:tc>
          <w:tcPr>
            <w:tcW w:w="1145" w:type="pct"/>
            <w:tcBorders>
              <w:tl2br w:val="nil"/>
              <w:tr2bl w:val="nil"/>
            </w:tcBorders>
            <w:vAlign w:val="center"/>
          </w:tcPr>
          <w:p w14:paraId="223CFB8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80.824 </w:t>
            </w:r>
          </w:p>
        </w:tc>
      </w:tr>
      <w:tr w:rsidR="009D12AF" w14:paraId="2FC9E970" w14:textId="77777777">
        <w:trPr>
          <w:trHeight w:val="870"/>
        </w:trPr>
        <w:tc>
          <w:tcPr>
            <w:tcW w:w="898" w:type="pct"/>
            <w:vMerge/>
            <w:tcBorders>
              <w:tl2br w:val="nil"/>
              <w:tr2bl w:val="nil"/>
            </w:tcBorders>
            <w:vAlign w:val="center"/>
          </w:tcPr>
          <w:p w14:paraId="7E8E1A34"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2C9027F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Cl</w:t>
            </w:r>
            <w:r>
              <w:rPr>
                <w:rFonts w:ascii="Times New Roman" w:eastAsia="宋体" w:hAnsi="Times New Roman" w:cs="Times New Roman"/>
                <w:color w:val="000000"/>
                <w:kern w:val="0"/>
                <w:sz w:val="21"/>
                <w:szCs w:val="21"/>
                <w:vertAlign w:val="superscript"/>
                <w:lang w:bidi="ar"/>
              </w:rPr>
              <w:t>-</w:t>
            </w:r>
          </w:p>
        </w:tc>
        <w:tc>
          <w:tcPr>
            <w:tcW w:w="913" w:type="pct"/>
            <w:tcBorders>
              <w:tl2br w:val="nil"/>
              <w:tr2bl w:val="nil"/>
            </w:tcBorders>
            <w:vAlign w:val="center"/>
          </w:tcPr>
          <w:p w14:paraId="3159F7F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13.6</w:t>
            </w:r>
          </w:p>
        </w:tc>
        <w:tc>
          <w:tcPr>
            <w:tcW w:w="1129" w:type="pct"/>
            <w:tcBorders>
              <w:tl2br w:val="nil"/>
              <w:tr2bl w:val="nil"/>
            </w:tcBorders>
            <w:vAlign w:val="center"/>
          </w:tcPr>
          <w:p w14:paraId="6389776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0.383 </w:t>
            </w:r>
          </w:p>
        </w:tc>
        <w:tc>
          <w:tcPr>
            <w:tcW w:w="1145" w:type="pct"/>
            <w:tcBorders>
              <w:tl2br w:val="nil"/>
              <w:tr2bl w:val="nil"/>
            </w:tcBorders>
            <w:vAlign w:val="center"/>
          </w:tcPr>
          <w:p w14:paraId="2BB73DC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16.143 </w:t>
            </w:r>
          </w:p>
        </w:tc>
      </w:tr>
      <w:tr w:rsidR="009D12AF" w14:paraId="7155E26C" w14:textId="77777777">
        <w:trPr>
          <w:trHeight w:val="360"/>
        </w:trPr>
        <w:tc>
          <w:tcPr>
            <w:tcW w:w="898" w:type="pct"/>
            <w:vMerge/>
            <w:tcBorders>
              <w:tl2br w:val="nil"/>
              <w:tr2bl w:val="nil"/>
            </w:tcBorders>
            <w:vAlign w:val="center"/>
          </w:tcPr>
          <w:p w14:paraId="700D47F9"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488F16F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SO</w:t>
            </w:r>
            <w:r>
              <w:rPr>
                <w:rFonts w:ascii="Times New Roman" w:eastAsia="宋体" w:hAnsi="Times New Roman" w:cs="Times New Roman"/>
                <w:color w:val="000000"/>
                <w:kern w:val="0"/>
                <w:sz w:val="21"/>
                <w:szCs w:val="21"/>
                <w:vertAlign w:val="subscript"/>
                <w:lang w:bidi="ar"/>
              </w:rPr>
              <w:t>4</w:t>
            </w:r>
            <w:r>
              <w:rPr>
                <w:rFonts w:ascii="Times New Roman" w:eastAsia="宋体" w:hAnsi="Times New Roman" w:cs="Times New Roman"/>
                <w:color w:val="000000"/>
                <w:kern w:val="0"/>
                <w:sz w:val="21"/>
                <w:szCs w:val="21"/>
                <w:vertAlign w:val="superscript"/>
                <w:lang w:bidi="ar"/>
              </w:rPr>
              <w:t>2-</w:t>
            </w:r>
          </w:p>
        </w:tc>
        <w:tc>
          <w:tcPr>
            <w:tcW w:w="913" w:type="pct"/>
            <w:tcBorders>
              <w:tl2br w:val="nil"/>
              <w:tr2bl w:val="nil"/>
            </w:tcBorders>
            <w:vAlign w:val="center"/>
          </w:tcPr>
          <w:p w14:paraId="346FDC3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6.91</w:t>
            </w:r>
          </w:p>
        </w:tc>
        <w:tc>
          <w:tcPr>
            <w:tcW w:w="1129" w:type="pct"/>
            <w:tcBorders>
              <w:tl2br w:val="nil"/>
              <w:tr2bl w:val="nil"/>
            </w:tcBorders>
            <w:vAlign w:val="center"/>
          </w:tcPr>
          <w:p w14:paraId="425FFA7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0.072 </w:t>
            </w:r>
          </w:p>
        </w:tc>
        <w:tc>
          <w:tcPr>
            <w:tcW w:w="1145" w:type="pct"/>
            <w:tcBorders>
              <w:tl2br w:val="nil"/>
              <w:tr2bl w:val="nil"/>
            </w:tcBorders>
            <w:vAlign w:val="center"/>
          </w:tcPr>
          <w:p w14:paraId="7718112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3.033 </w:t>
            </w:r>
          </w:p>
        </w:tc>
      </w:tr>
      <w:tr w:rsidR="009D12AF" w14:paraId="12ECFE23" w14:textId="77777777">
        <w:trPr>
          <w:trHeight w:val="285"/>
        </w:trPr>
        <w:tc>
          <w:tcPr>
            <w:tcW w:w="898" w:type="pct"/>
            <w:vMerge/>
            <w:tcBorders>
              <w:tl2br w:val="nil"/>
              <w:tr2bl w:val="nil"/>
            </w:tcBorders>
            <w:vAlign w:val="center"/>
          </w:tcPr>
          <w:p w14:paraId="06DC355C"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48F7C218"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总计</w:t>
            </w:r>
          </w:p>
        </w:tc>
        <w:tc>
          <w:tcPr>
            <w:tcW w:w="913" w:type="pct"/>
            <w:tcBorders>
              <w:tl2br w:val="nil"/>
              <w:tr2bl w:val="nil"/>
            </w:tcBorders>
            <w:vAlign w:val="center"/>
          </w:tcPr>
          <w:p w14:paraId="63DDEAF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137.510 </w:t>
            </w:r>
          </w:p>
        </w:tc>
        <w:tc>
          <w:tcPr>
            <w:tcW w:w="1129" w:type="pct"/>
            <w:tcBorders>
              <w:tl2br w:val="nil"/>
              <w:tr2bl w:val="nil"/>
            </w:tcBorders>
            <w:vAlign w:val="center"/>
          </w:tcPr>
          <w:p w14:paraId="538C9E5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2.373 </w:t>
            </w:r>
          </w:p>
        </w:tc>
        <w:tc>
          <w:tcPr>
            <w:tcW w:w="1145" w:type="pct"/>
            <w:tcBorders>
              <w:tl2br w:val="nil"/>
              <w:tr2bl w:val="nil"/>
            </w:tcBorders>
            <w:vAlign w:val="center"/>
          </w:tcPr>
          <w:p w14:paraId="54A32C7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100.000 </w:t>
            </w:r>
          </w:p>
        </w:tc>
      </w:tr>
      <w:tr w:rsidR="009D12AF" w14:paraId="0B4D58AF" w14:textId="77777777">
        <w:trPr>
          <w:trHeight w:val="353"/>
        </w:trPr>
        <w:tc>
          <w:tcPr>
            <w:tcW w:w="1812" w:type="pct"/>
            <w:gridSpan w:val="2"/>
            <w:tcBorders>
              <w:tl2br w:val="nil"/>
              <w:tr2bl w:val="nil"/>
            </w:tcBorders>
            <w:vAlign w:val="center"/>
          </w:tcPr>
          <w:p w14:paraId="28DE4DB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kern w:val="0"/>
                <w:sz w:val="21"/>
                <w:szCs w:val="21"/>
                <w:lang w:bidi="ar"/>
              </w:rPr>
              <w:t>7</w:t>
            </w:r>
            <w:r>
              <w:rPr>
                <w:rFonts w:ascii="Times New Roman" w:eastAsia="宋体" w:hAnsi="Times New Roman" w:cs="Times New Roman"/>
                <w:color w:val="000000"/>
                <w:kern w:val="0"/>
                <w:sz w:val="21"/>
                <w:szCs w:val="21"/>
                <w:lang w:bidi="ar"/>
              </w:rPr>
              <w:t>#</w:t>
            </w:r>
            <w:r>
              <w:rPr>
                <w:rFonts w:ascii="宋体" w:eastAsia="宋体" w:hAnsi="宋体" w:cs="宋体" w:hint="eastAsia"/>
                <w:color w:val="000000"/>
                <w:kern w:val="0"/>
                <w:sz w:val="21"/>
                <w:szCs w:val="21"/>
                <w:lang w:bidi="ar"/>
              </w:rPr>
              <w:t>离子</w:t>
            </w:r>
          </w:p>
        </w:tc>
        <w:tc>
          <w:tcPr>
            <w:tcW w:w="913" w:type="pct"/>
            <w:tcBorders>
              <w:tl2br w:val="nil"/>
              <w:tr2bl w:val="nil"/>
            </w:tcBorders>
            <w:vAlign w:val="center"/>
          </w:tcPr>
          <w:p w14:paraId="73577C5A"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mg/L</w:t>
            </w:r>
          </w:p>
        </w:tc>
        <w:tc>
          <w:tcPr>
            <w:tcW w:w="1129" w:type="pct"/>
            <w:tcBorders>
              <w:tl2br w:val="nil"/>
              <w:tr2bl w:val="nil"/>
            </w:tcBorders>
            <w:vAlign w:val="center"/>
          </w:tcPr>
          <w:p w14:paraId="7E4A8EF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meq/L</w:t>
            </w:r>
          </w:p>
        </w:tc>
        <w:tc>
          <w:tcPr>
            <w:tcW w:w="1145" w:type="pct"/>
            <w:tcBorders>
              <w:tl2br w:val="nil"/>
              <w:tr2bl w:val="nil"/>
            </w:tcBorders>
            <w:vAlign w:val="center"/>
          </w:tcPr>
          <w:p w14:paraId="0D5B86C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meq%</w:t>
            </w:r>
          </w:p>
        </w:tc>
      </w:tr>
      <w:tr w:rsidR="009D12AF" w14:paraId="60DC6300" w14:textId="77777777">
        <w:trPr>
          <w:trHeight w:val="285"/>
        </w:trPr>
        <w:tc>
          <w:tcPr>
            <w:tcW w:w="898" w:type="pct"/>
            <w:vMerge w:val="restart"/>
            <w:tcBorders>
              <w:tl2br w:val="nil"/>
              <w:tr2bl w:val="nil"/>
            </w:tcBorders>
            <w:vAlign w:val="center"/>
          </w:tcPr>
          <w:p w14:paraId="314FD863"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阳离子</w:t>
            </w:r>
          </w:p>
        </w:tc>
        <w:tc>
          <w:tcPr>
            <w:tcW w:w="913" w:type="pct"/>
            <w:tcBorders>
              <w:tl2br w:val="nil"/>
              <w:tr2bl w:val="nil"/>
            </w:tcBorders>
            <w:vAlign w:val="center"/>
          </w:tcPr>
          <w:p w14:paraId="5F2D2B4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K</w:t>
            </w:r>
            <w:r>
              <w:rPr>
                <w:rFonts w:ascii="Times New Roman" w:eastAsia="宋体" w:hAnsi="Times New Roman" w:cs="Times New Roman"/>
                <w:color w:val="000000"/>
                <w:kern w:val="0"/>
                <w:sz w:val="21"/>
                <w:szCs w:val="21"/>
                <w:vertAlign w:val="superscript"/>
                <w:lang w:bidi="ar"/>
              </w:rPr>
              <w:t>+</w:t>
            </w:r>
          </w:p>
        </w:tc>
        <w:tc>
          <w:tcPr>
            <w:tcW w:w="913" w:type="pct"/>
            <w:tcBorders>
              <w:tl2br w:val="nil"/>
              <w:tr2bl w:val="nil"/>
            </w:tcBorders>
            <w:vAlign w:val="center"/>
          </w:tcPr>
          <w:p w14:paraId="62E1158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0.742</w:t>
            </w:r>
          </w:p>
        </w:tc>
        <w:tc>
          <w:tcPr>
            <w:tcW w:w="1129" w:type="pct"/>
            <w:tcBorders>
              <w:tl2br w:val="nil"/>
              <w:tr2bl w:val="nil"/>
            </w:tcBorders>
            <w:vAlign w:val="center"/>
          </w:tcPr>
          <w:p w14:paraId="7004EA9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0.019 </w:t>
            </w:r>
          </w:p>
        </w:tc>
        <w:tc>
          <w:tcPr>
            <w:tcW w:w="1145" w:type="pct"/>
            <w:tcBorders>
              <w:tl2br w:val="nil"/>
              <w:tr2bl w:val="nil"/>
            </w:tcBorders>
            <w:vAlign w:val="center"/>
          </w:tcPr>
          <w:p w14:paraId="07A85BF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1.295 </w:t>
            </w:r>
          </w:p>
        </w:tc>
      </w:tr>
      <w:tr w:rsidR="009D12AF" w14:paraId="555C1B9C" w14:textId="77777777">
        <w:trPr>
          <w:trHeight w:val="300"/>
        </w:trPr>
        <w:tc>
          <w:tcPr>
            <w:tcW w:w="898" w:type="pct"/>
            <w:vMerge/>
            <w:tcBorders>
              <w:tl2br w:val="nil"/>
              <w:tr2bl w:val="nil"/>
            </w:tcBorders>
            <w:vAlign w:val="center"/>
          </w:tcPr>
          <w:p w14:paraId="01CEDC28"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77E0A63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Na</w:t>
            </w:r>
            <w:r>
              <w:rPr>
                <w:rFonts w:ascii="Times New Roman" w:eastAsia="宋体" w:hAnsi="Times New Roman" w:cs="Times New Roman"/>
                <w:color w:val="000000"/>
                <w:kern w:val="0"/>
                <w:sz w:val="21"/>
                <w:szCs w:val="21"/>
                <w:vertAlign w:val="superscript"/>
                <w:lang w:bidi="ar"/>
              </w:rPr>
              <w:t>+</w:t>
            </w:r>
          </w:p>
        </w:tc>
        <w:tc>
          <w:tcPr>
            <w:tcW w:w="913" w:type="pct"/>
            <w:tcBorders>
              <w:tl2br w:val="nil"/>
              <w:tr2bl w:val="nil"/>
            </w:tcBorders>
            <w:vAlign w:val="center"/>
          </w:tcPr>
          <w:p w14:paraId="0056B62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14.9</w:t>
            </w:r>
          </w:p>
        </w:tc>
        <w:tc>
          <w:tcPr>
            <w:tcW w:w="1129" w:type="pct"/>
            <w:tcBorders>
              <w:tl2br w:val="nil"/>
              <w:tr2bl w:val="nil"/>
            </w:tcBorders>
            <w:vAlign w:val="center"/>
          </w:tcPr>
          <w:p w14:paraId="1997AD7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0.648 </w:t>
            </w:r>
          </w:p>
        </w:tc>
        <w:tc>
          <w:tcPr>
            <w:tcW w:w="1145" w:type="pct"/>
            <w:tcBorders>
              <w:tl2br w:val="nil"/>
              <w:tr2bl w:val="nil"/>
            </w:tcBorders>
            <w:vAlign w:val="center"/>
          </w:tcPr>
          <w:p w14:paraId="6AE7B01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44.089 </w:t>
            </w:r>
          </w:p>
        </w:tc>
      </w:tr>
      <w:tr w:rsidR="009D12AF" w14:paraId="27A93669" w14:textId="77777777">
        <w:trPr>
          <w:trHeight w:val="285"/>
        </w:trPr>
        <w:tc>
          <w:tcPr>
            <w:tcW w:w="898" w:type="pct"/>
            <w:vMerge/>
            <w:tcBorders>
              <w:tl2br w:val="nil"/>
              <w:tr2bl w:val="nil"/>
            </w:tcBorders>
            <w:vAlign w:val="center"/>
          </w:tcPr>
          <w:p w14:paraId="499C223D"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05DA4D9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Ca</w:t>
            </w:r>
            <w:r>
              <w:rPr>
                <w:rFonts w:ascii="Times New Roman" w:eastAsia="宋体" w:hAnsi="Times New Roman" w:cs="Times New Roman"/>
                <w:color w:val="000000"/>
                <w:kern w:val="0"/>
                <w:sz w:val="21"/>
                <w:szCs w:val="21"/>
                <w:vertAlign w:val="superscript"/>
                <w:lang w:bidi="ar"/>
              </w:rPr>
              <w:t>2+</w:t>
            </w:r>
          </w:p>
        </w:tc>
        <w:tc>
          <w:tcPr>
            <w:tcW w:w="913" w:type="pct"/>
            <w:tcBorders>
              <w:tl2br w:val="nil"/>
              <w:tr2bl w:val="nil"/>
            </w:tcBorders>
            <w:vAlign w:val="center"/>
          </w:tcPr>
          <w:p w14:paraId="22DF3BA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19.5</w:t>
            </w:r>
          </w:p>
        </w:tc>
        <w:tc>
          <w:tcPr>
            <w:tcW w:w="1129" w:type="pct"/>
            <w:tcBorders>
              <w:tl2br w:val="nil"/>
              <w:tr2bl w:val="nil"/>
            </w:tcBorders>
            <w:vAlign w:val="center"/>
          </w:tcPr>
          <w:p w14:paraId="6900261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0.488 </w:t>
            </w:r>
          </w:p>
        </w:tc>
        <w:tc>
          <w:tcPr>
            <w:tcW w:w="1145" w:type="pct"/>
            <w:tcBorders>
              <w:tl2br w:val="nil"/>
              <w:tr2bl w:val="nil"/>
            </w:tcBorders>
            <w:vAlign w:val="center"/>
          </w:tcPr>
          <w:p w14:paraId="45C1676A"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33.178 </w:t>
            </w:r>
          </w:p>
        </w:tc>
      </w:tr>
      <w:tr w:rsidR="009D12AF" w14:paraId="7BD80EFB" w14:textId="77777777">
        <w:trPr>
          <w:trHeight w:val="285"/>
        </w:trPr>
        <w:tc>
          <w:tcPr>
            <w:tcW w:w="898" w:type="pct"/>
            <w:vMerge/>
            <w:tcBorders>
              <w:tl2br w:val="nil"/>
              <w:tr2bl w:val="nil"/>
            </w:tcBorders>
            <w:vAlign w:val="center"/>
          </w:tcPr>
          <w:p w14:paraId="21991903"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09614AC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Mg</w:t>
            </w:r>
            <w:r>
              <w:rPr>
                <w:rFonts w:ascii="Times New Roman" w:eastAsia="宋体" w:hAnsi="Times New Roman" w:cs="Times New Roman"/>
                <w:color w:val="000000"/>
                <w:kern w:val="0"/>
                <w:sz w:val="21"/>
                <w:szCs w:val="21"/>
                <w:vertAlign w:val="superscript"/>
                <w:lang w:bidi="ar"/>
              </w:rPr>
              <w:t>2+</w:t>
            </w:r>
          </w:p>
        </w:tc>
        <w:tc>
          <w:tcPr>
            <w:tcW w:w="913" w:type="pct"/>
            <w:tcBorders>
              <w:tl2br w:val="nil"/>
              <w:tr2bl w:val="nil"/>
            </w:tcBorders>
            <w:vAlign w:val="center"/>
          </w:tcPr>
          <w:p w14:paraId="747E811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7.56</w:t>
            </w:r>
          </w:p>
        </w:tc>
        <w:tc>
          <w:tcPr>
            <w:tcW w:w="1129" w:type="pct"/>
            <w:tcBorders>
              <w:tl2br w:val="nil"/>
              <w:tr2bl w:val="nil"/>
            </w:tcBorders>
            <w:vAlign w:val="center"/>
          </w:tcPr>
          <w:p w14:paraId="342B568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0.315 </w:t>
            </w:r>
          </w:p>
        </w:tc>
        <w:tc>
          <w:tcPr>
            <w:tcW w:w="1145" w:type="pct"/>
            <w:tcBorders>
              <w:tl2br w:val="nil"/>
              <w:tr2bl w:val="nil"/>
            </w:tcBorders>
            <w:vAlign w:val="center"/>
          </w:tcPr>
          <w:p w14:paraId="7DA3469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21.438 </w:t>
            </w:r>
          </w:p>
        </w:tc>
      </w:tr>
      <w:tr w:rsidR="009D12AF" w14:paraId="334C4DBD" w14:textId="77777777">
        <w:trPr>
          <w:trHeight w:val="285"/>
        </w:trPr>
        <w:tc>
          <w:tcPr>
            <w:tcW w:w="898" w:type="pct"/>
            <w:vMerge/>
            <w:tcBorders>
              <w:tl2br w:val="nil"/>
              <w:tr2bl w:val="nil"/>
            </w:tcBorders>
            <w:vAlign w:val="center"/>
          </w:tcPr>
          <w:p w14:paraId="2AC3A467"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2E86C894"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总计</w:t>
            </w:r>
          </w:p>
        </w:tc>
        <w:tc>
          <w:tcPr>
            <w:tcW w:w="913" w:type="pct"/>
            <w:tcBorders>
              <w:tl2br w:val="nil"/>
              <w:tr2bl w:val="nil"/>
            </w:tcBorders>
            <w:vAlign w:val="center"/>
          </w:tcPr>
          <w:p w14:paraId="03C9A25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42.702 </w:t>
            </w:r>
          </w:p>
        </w:tc>
        <w:tc>
          <w:tcPr>
            <w:tcW w:w="1129" w:type="pct"/>
            <w:tcBorders>
              <w:tl2br w:val="nil"/>
              <w:tr2bl w:val="nil"/>
            </w:tcBorders>
            <w:vAlign w:val="center"/>
          </w:tcPr>
          <w:p w14:paraId="6965D5D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1.469 </w:t>
            </w:r>
          </w:p>
        </w:tc>
        <w:tc>
          <w:tcPr>
            <w:tcW w:w="1145" w:type="pct"/>
            <w:tcBorders>
              <w:tl2br w:val="nil"/>
              <w:tr2bl w:val="nil"/>
            </w:tcBorders>
            <w:vAlign w:val="center"/>
          </w:tcPr>
          <w:p w14:paraId="02CAA5E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100.000 </w:t>
            </w:r>
          </w:p>
        </w:tc>
      </w:tr>
      <w:tr w:rsidR="009D12AF" w14:paraId="32B0017F" w14:textId="77777777">
        <w:trPr>
          <w:trHeight w:val="345"/>
        </w:trPr>
        <w:tc>
          <w:tcPr>
            <w:tcW w:w="898" w:type="pct"/>
            <w:vMerge w:val="restart"/>
            <w:tcBorders>
              <w:tl2br w:val="nil"/>
              <w:tr2bl w:val="nil"/>
            </w:tcBorders>
            <w:vAlign w:val="center"/>
          </w:tcPr>
          <w:p w14:paraId="114F20EF"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阴离子</w:t>
            </w:r>
          </w:p>
        </w:tc>
        <w:tc>
          <w:tcPr>
            <w:tcW w:w="913" w:type="pct"/>
            <w:tcBorders>
              <w:tl2br w:val="nil"/>
              <w:tr2bl w:val="nil"/>
            </w:tcBorders>
            <w:vAlign w:val="center"/>
          </w:tcPr>
          <w:p w14:paraId="23AF301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HCO</w:t>
            </w:r>
            <w:r>
              <w:rPr>
                <w:rFonts w:ascii="Times New Roman" w:eastAsia="宋体" w:hAnsi="Times New Roman" w:cs="Times New Roman"/>
                <w:color w:val="000000"/>
                <w:kern w:val="0"/>
                <w:sz w:val="21"/>
                <w:szCs w:val="21"/>
                <w:vertAlign w:val="subscript"/>
                <w:lang w:bidi="ar"/>
              </w:rPr>
              <w:t>3</w:t>
            </w:r>
            <w:r>
              <w:rPr>
                <w:rFonts w:ascii="Times New Roman" w:eastAsia="宋体" w:hAnsi="Times New Roman" w:cs="Times New Roman"/>
                <w:color w:val="000000"/>
                <w:kern w:val="0"/>
                <w:sz w:val="21"/>
                <w:szCs w:val="21"/>
                <w:vertAlign w:val="superscript"/>
                <w:lang w:bidi="ar"/>
              </w:rPr>
              <w:t>-</w:t>
            </w:r>
          </w:p>
        </w:tc>
        <w:tc>
          <w:tcPr>
            <w:tcW w:w="913" w:type="pct"/>
            <w:tcBorders>
              <w:tl2br w:val="nil"/>
              <w:tr2bl w:val="nil"/>
            </w:tcBorders>
            <w:vAlign w:val="center"/>
          </w:tcPr>
          <w:p w14:paraId="12D3BB5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75</w:t>
            </w:r>
          </w:p>
        </w:tc>
        <w:tc>
          <w:tcPr>
            <w:tcW w:w="1129" w:type="pct"/>
            <w:tcBorders>
              <w:tl2br w:val="nil"/>
              <w:tr2bl w:val="nil"/>
            </w:tcBorders>
            <w:vAlign w:val="center"/>
          </w:tcPr>
          <w:p w14:paraId="5FC6D72A"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1.230 </w:t>
            </w:r>
          </w:p>
        </w:tc>
        <w:tc>
          <w:tcPr>
            <w:tcW w:w="1145" w:type="pct"/>
            <w:tcBorders>
              <w:tl2br w:val="nil"/>
              <w:tr2bl w:val="nil"/>
            </w:tcBorders>
            <w:vAlign w:val="center"/>
          </w:tcPr>
          <w:p w14:paraId="6A3948F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81.764 </w:t>
            </w:r>
          </w:p>
        </w:tc>
      </w:tr>
      <w:tr w:rsidR="009D12AF" w14:paraId="6223DB62" w14:textId="77777777">
        <w:trPr>
          <w:trHeight w:val="285"/>
        </w:trPr>
        <w:tc>
          <w:tcPr>
            <w:tcW w:w="898" w:type="pct"/>
            <w:vMerge/>
            <w:tcBorders>
              <w:tl2br w:val="nil"/>
              <w:tr2bl w:val="nil"/>
            </w:tcBorders>
            <w:vAlign w:val="center"/>
          </w:tcPr>
          <w:p w14:paraId="2536249A"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2926FC0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Cl</w:t>
            </w:r>
            <w:r>
              <w:rPr>
                <w:rFonts w:ascii="Times New Roman" w:eastAsia="宋体" w:hAnsi="Times New Roman" w:cs="Times New Roman"/>
                <w:color w:val="000000"/>
                <w:kern w:val="0"/>
                <w:sz w:val="21"/>
                <w:szCs w:val="21"/>
                <w:vertAlign w:val="superscript"/>
                <w:lang w:bidi="ar"/>
              </w:rPr>
              <w:t>-</w:t>
            </w:r>
          </w:p>
        </w:tc>
        <w:tc>
          <w:tcPr>
            <w:tcW w:w="913" w:type="pct"/>
            <w:tcBorders>
              <w:tl2br w:val="nil"/>
              <w:tr2bl w:val="nil"/>
            </w:tcBorders>
            <w:vAlign w:val="center"/>
          </w:tcPr>
          <w:p w14:paraId="579EF7A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6.1</w:t>
            </w:r>
          </w:p>
        </w:tc>
        <w:tc>
          <w:tcPr>
            <w:tcW w:w="1129" w:type="pct"/>
            <w:tcBorders>
              <w:tl2br w:val="nil"/>
              <w:tr2bl w:val="nil"/>
            </w:tcBorders>
            <w:vAlign w:val="center"/>
          </w:tcPr>
          <w:p w14:paraId="088F7F1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0.172 </w:t>
            </w:r>
          </w:p>
        </w:tc>
        <w:tc>
          <w:tcPr>
            <w:tcW w:w="1145" w:type="pct"/>
            <w:tcBorders>
              <w:tl2br w:val="nil"/>
              <w:tr2bl w:val="nil"/>
            </w:tcBorders>
            <w:vAlign w:val="center"/>
          </w:tcPr>
          <w:p w14:paraId="040C2CE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11.427 </w:t>
            </w:r>
          </w:p>
        </w:tc>
      </w:tr>
      <w:tr w:rsidR="009D12AF" w14:paraId="268175B3" w14:textId="77777777">
        <w:trPr>
          <w:trHeight w:val="345"/>
        </w:trPr>
        <w:tc>
          <w:tcPr>
            <w:tcW w:w="898" w:type="pct"/>
            <w:vMerge/>
            <w:tcBorders>
              <w:tl2br w:val="nil"/>
              <w:tr2bl w:val="nil"/>
            </w:tcBorders>
            <w:vAlign w:val="center"/>
          </w:tcPr>
          <w:p w14:paraId="14A4184B"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7644B8FA"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SO</w:t>
            </w:r>
            <w:r>
              <w:rPr>
                <w:rFonts w:ascii="Times New Roman" w:eastAsia="宋体" w:hAnsi="Times New Roman" w:cs="Times New Roman"/>
                <w:color w:val="000000"/>
                <w:kern w:val="0"/>
                <w:sz w:val="21"/>
                <w:szCs w:val="21"/>
                <w:vertAlign w:val="subscript"/>
                <w:lang w:bidi="ar"/>
              </w:rPr>
              <w:t>4</w:t>
            </w:r>
            <w:r>
              <w:rPr>
                <w:rFonts w:ascii="Times New Roman" w:eastAsia="宋体" w:hAnsi="Times New Roman" w:cs="Times New Roman"/>
                <w:color w:val="000000"/>
                <w:kern w:val="0"/>
                <w:sz w:val="21"/>
                <w:szCs w:val="21"/>
                <w:vertAlign w:val="superscript"/>
                <w:lang w:bidi="ar"/>
              </w:rPr>
              <w:t>2-</w:t>
            </w:r>
          </w:p>
        </w:tc>
        <w:tc>
          <w:tcPr>
            <w:tcW w:w="913" w:type="pct"/>
            <w:tcBorders>
              <w:tl2br w:val="nil"/>
              <w:tr2bl w:val="nil"/>
            </w:tcBorders>
            <w:vAlign w:val="center"/>
          </w:tcPr>
          <w:p w14:paraId="457956D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9.83</w:t>
            </w:r>
          </w:p>
        </w:tc>
        <w:tc>
          <w:tcPr>
            <w:tcW w:w="1129" w:type="pct"/>
            <w:tcBorders>
              <w:tl2br w:val="nil"/>
              <w:tr2bl w:val="nil"/>
            </w:tcBorders>
            <w:vAlign w:val="center"/>
          </w:tcPr>
          <w:p w14:paraId="5B045D7A"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0.102 </w:t>
            </w:r>
          </w:p>
        </w:tc>
        <w:tc>
          <w:tcPr>
            <w:tcW w:w="1145" w:type="pct"/>
            <w:tcBorders>
              <w:tl2br w:val="nil"/>
              <w:tr2bl w:val="nil"/>
            </w:tcBorders>
            <w:vAlign w:val="center"/>
          </w:tcPr>
          <w:p w14:paraId="5182EB1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6.809 </w:t>
            </w:r>
          </w:p>
        </w:tc>
      </w:tr>
      <w:tr w:rsidR="009D12AF" w14:paraId="273C45C7" w14:textId="77777777">
        <w:trPr>
          <w:trHeight w:val="285"/>
        </w:trPr>
        <w:tc>
          <w:tcPr>
            <w:tcW w:w="898" w:type="pct"/>
            <w:vMerge/>
            <w:tcBorders>
              <w:tl2br w:val="nil"/>
              <w:tr2bl w:val="nil"/>
            </w:tcBorders>
            <w:vAlign w:val="center"/>
          </w:tcPr>
          <w:p w14:paraId="4F8D0B2D"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70F28B32"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总计</w:t>
            </w:r>
          </w:p>
        </w:tc>
        <w:tc>
          <w:tcPr>
            <w:tcW w:w="913" w:type="pct"/>
            <w:tcBorders>
              <w:tl2br w:val="nil"/>
              <w:tr2bl w:val="nil"/>
            </w:tcBorders>
            <w:vAlign w:val="center"/>
          </w:tcPr>
          <w:p w14:paraId="23D2F2C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90.930 </w:t>
            </w:r>
          </w:p>
        </w:tc>
        <w:tc>
          <w:tcPr>
            <w:tcW w:w="1129" w:type="pct"/>
            <w:tcBorders>
              <w:tl2br w:val="nil"/>
              <w:tr2bl w:val="nil"/>
            </w:tcBorders>
            <w:vAlign w:val="center"/>
          </w:tcPr>
          <w:p w14:paraId="6EB9833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1.504 </w:t>
            </w:r>
          </w:p>
        </w:tc>
        <w:tc>
          <w:tcPr>
            <w:tcW w:w="1145" w:type="pct"/>
            <w:tcBorders>
              <w:tl2br w:val="nil"/>
              <w:tr2bl w:val="nil"/>
            </w:tcBorders>
            <w:vAlign w:val="center"/>
          </w:tcPr>
          <w:p w14:paraId="5DEB4ED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100.000 </w:t>
            </w:r>
          </w:p>
        </w:tc>
      </w:tr>
      <w:tr w:rsidR="009D12AF" w14:paraId="172135BE" w14:textId="77777777">
        <w:trPr>
          <w:trHeight w:val="285"/>
        </w:trPr>
        <w:tc>
          <w:tcPr>
            <w:tcW w:w="5000" w:type="pct"/>
            <w:gridSpan w:val="5"/>
            <w:tcBorders>
              <w:tl2br w:val="nil"/>
              <w:tr2bl w:val="nil"/>
            </w:tcBorders>
            <w:vAlign w:val="center"/>
          </w:tcPr>
          <w:p w14:paraId="4E4DBB8F"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hint="eastAsia"/>
                <w:color w:val="000000"/>
                <w:kern w:val="0"/>
                <w:sz w:val="21"/>
                <w:szCs w:val="21"/>
                <w:lang w:bidi="ar"/>
              </w:rPr>
              <w:t>向阳水电站前池地下水</w:t>
            </w:r>
          </w:p>
        </w:tc>
      </w:tr>
      <w:tr w:rsidR="009D12AF" w14:paraId="2B52C737" w14:textId="77777777">
        <w:trPr>
          <w:trHeight w:val="285"/>
        </w:trPr>
        <w:tc>
          <w:tcPr>
            <w:tcW w:w="1812" w:type="pct"/>
            <w:gridSpan w:val="2"/>
            <w:tcBorders>
              <w:tl2br w:val="nil"/>
              <w:tr2bl w:val="nil"/>
            </w:tcBorders>
            <w:vAlign w:val="center"/>
          </w:tcPr>
          <w:p w14:paraId="701776D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kern w:val="0"/>
                <w:sz w:val="21"/>
                <w:szCs w:val="21"/>
                <w:lang w:bidi="ar"/>
              </w:rPr>
              <w:t>1</w:t>
            </w:r>
            <w:r>
              <w:rPr>
                <w:rFonts w:ascii="Times New Roman" w:eastAsia="宋体" w:hAnsi="Times New Roman" w:cs="Times New Roman"/>
                <w:color w:val="000000"/>
                <w:kern w:val="0"/>
                <w:sz w:val="21"/>
                <w:szCs w:val="21"/>
                <w:lang w:bidi="ar"/>
              </w:rPr>
              <w:t>#</w:t>
            </w:r>
            <w:r>
              <w:rPr>
                <w:rFonts w:ascii="宋体" w:eastAsia="宋体" w:hAnsi="宋体" w:cs="宋体" w:hint="eastAsia"/>
                <w:color w:val="000000"/>
                <w:kern w:val="0"/>
                <w:sz w:val="21"/>
                <w:szCs w:val="21"/>
                <w:lang w:bidi="ar"/>
              </w:rPr>
              <w:t>离子</w:t>
            </w:r>
          </w:p>
        </w:tc>
        <w:tc>
          <w:tcPr>
            <w:tcW w:w="913" w:type="pct"/>
            <w:tcBorders>
              <w:tl2br w:val="nil"/>
              <w:tr2bl w:val="nil"/>
            </w:tcBorders>
            <w:vAlign w:val="center"/>
          </w:tcPr>
          <w:p w14:paraId="4F37E90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mg/L</w:t>
            </w:r>
          </w:p>
        </w:tc>
        <w:tc>
          <w:tcPr>
            <w:tcW w:w="1129" w:type="pct"/>
            <w:tcBorders>
              <w:tl2br w:val="nil"/>
              <w:tr2bl w:val="nil"/>
            </w:tcBorders>
            <w:vAlign w:val="center"/>
          </w:tcPr>
          <w:p w14:paraId="2EF2BAC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meq/L</w:t>
            </w:r>
          </w:p>
        </w:tc>
        <w:tc>
          <w:tcPr>
            <w:tcW w:w="1145" w:type="pct"/>
            <w:tcBorders>
              <w:tl2br w:val="nil"/>
              <w:tr2bl w:val="nil"/>
            </w:tcBorders>
            <w:vAlign w:val="center"/>
          </w:tcPr>
          <w:p w14:paraId="30F4685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meq%</w:t>
            </w:r>
          </w:p>
        </w:tc>
      </w:tr>
      <w:tr w:rsidR="009D12AF" w14:paraId="53A1EFC6" w14:textId="77777777">
        <w:trPr>
          <w:trHeight w:val="285"/>
        </w:trPr>
        <w:tc>
          <w:tcPr>
            <w:tcW w:w="898" w:type="pct"/>
            <w:vMerge w:val="restart"/>
            <w:tcBorders>
              <w:tl2br w:val="nil"/>
              <w:tr2bl w:val="nil"/>
            </w:tcBorders>
            <w:vAlign w:val="center"/>
          </w:tcPr>
          <w:p w14:paraId="21B15004"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阳离子</w:t>
            </w:r>
          </w:p>
        </w:tc>
        <w:tc>
          <w:tcPr>
            <w:tcW w:w="913" w:type="pct"/>
            <w:tcBorders>
              <w:tl2br w:val="nil"/>
              <w:tr2bl w:val="nil"/>
            </w:tcBorders>
            <w:vAlign w:val="center"/>
          </w:tcPr>
          <w:p w14:paraId="2A57646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K</w:t>
            </w:r>
            <w:r>
              <w:rPr>
                <w:rFonts w:ascii="Times New Roman" w:eastAsia="宋体" w:hAnsi="Times New Roman" w:cs="Times New Roman"/>
                <w:color w:val="000000"/>
                <w:kern w:val="0"/>
                <w:sz w:val="21"/>
                <w:szCs w:val="21"/>
                <w:vertAlign w:val="superscript"/>
                <w:lang w:bidi="ar"/>
              </w:rPr>
              <w:t>+</w:t>
            </w:r>
          </w:p>
        </w:tc>
        <w:tc>
          <w:tcPr>
            <w:tcW w:w="1556" w:type="dxa"/>
            <w:tcBorders>
              <w:tl2br w:val="nil"/>
              <w:tr2bl w:val="nil"/>
            </w:tcBorders>
            <w:vAlign w:val="center"/>
          </w:tcPr>
          <w:p w14:paraId="75B45B3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1.57</w:t>
            </w:r>
          </w:p>
        </w:tc>
        <w:tc>
          <w:tcPr>
            <w:tcW w:w="1924" w:type="dxa"/>
            <w:tcBorders>
              <w:tl2br w:val="nil"/>
              <w:tr2bl w:val="nil"/>
            </w:tcBorders>
            <w:vAlign w:val="center"/>
          </w:tcPr>
          <w:p w14:paraId="231B96C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0.040 </w:t>
            </w:r>
          </w:p>
        </w:tc>
        <w:tc>
          <w:tcPr>
            <w:tcW w:w="1953" w:type="dxa"/>
            <w:tcBorders>
              <w:tl2br w:val="nil"/>
              <w:tr2bl w:val="nil"/>
            </w:tcBorders>
            <w:vAlign w:val="center"/>
          </w:tcPr>
          <w:p w14:paraId="7475509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2.604 </w:t>
            </w:r>
          </w:p>
        </w:tc>
      </w:tr>
      <w:tr w:rsidR="009D12AF" w14:paraId="121CC3FE" w14:textId="77777777">
        <w:trPr>
          <w:trHeight w:val="285"/>
        </w:trPr>
        <w:tc>
          <w:tcPr>
            <w:tcW w:w="898" w:type="pct"/>
            <w:vMerge/>
            <w:tcBorders>
              <w:tl2br w:val="nil"/>
              <w:tr2bl w:val="nil"/>
            </w:tcBorders>
            <w:vAlign w:val="center"/>
          </w:tcPr>
          <w:p w14:paraId="067851E1"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50E9DB23"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Na</w:t>
            </w:r>
            <w:r>
              <w:rPr>
                <w:rFonts w:ascii="Times New Roman" w:eastAsia="宋体" w:hAnsi="Times New Roman" w:cs="Times New Roman"/>
                <w:color w:val="000000"/>
                <w:kern w:val="0"/>
                <w:sz w:val="21"/>
                <w:szCs w:val="21"/>
                <w:vertAlign w:val="superscript"/>
                <w:lang w:bidi="ar"/>
              </w:rPr>
              <w:t>+</w:t>
            </w:r>
          </w:p>
        </w:tc>
        <w:tc>
          <w:tcPr>
            <w:tcW w:w="1556" w:type="dxa"/>
            <w:tcBorders>
              <w:tl2br w:val="nil"/>
              <w:tr2bl w:val="nil"/>
            </w:tcBorders>
            <w:vAlign w:val="center"/>
          </w:tcPr>
          <w:p w14:paraId="3688A29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15.2</w:t>
            </w:r>
          </w:p>
        </w:tc>
        <w:tc>
          <w:tcPr>
            <w:tcW w:w="1924" w:type="dxa"/>
            <w:tcBorders>
              <w:tl2br w:val="nil"/>
              <w:tr2bl w:val="nil"/>
            </w:tcBorders>
            <w:vAlign w:val="center"/>
          </w:tcPr>
          <w:p w14:paraId="32D30CC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0.661 </w:t>
            </w:r>
          </w:p>
        </w:tc>
        <w:tc>
          <w:tcPr>
            <w:tcW w:w="1953" w:type="dxa"/>
            <w:tcBorders>
              <w:tl2br w:val="nil"/>
              <w:tr2bl w:val="nil"/>
            </w:tcBorders>
            <w:vAlign w:val="center"/>
          </w:tcPr>
          <w:p w14:paraId="659EA49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42.755 </w:t>
            </w:r>
          </w:p>
        </w:tc>
      </w:tr>
      <w:tr w:rsidR="009D12AF" w14:paraId="1D8A3307" w14:textId="77777777">
        <w:trPr>
          <w:trHeight w:val="285"/>
        </w:trPr>
        <w:tc>
          <w:tcPr>
            <w:tcW w:w="898" w:type="pct"/>
            <w:vMerge/>
            <w:tcBorders>
              <w:tl2br w:val="nil"/>
              <w:tr2bl w:val="nil"/>
            </w:tcBorders>
            <w:vAlign w:val="center"/>
          </w:tcPr>
          <w:p w14:paraId="7497B545"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7B121BA3"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Ca</w:t>
            </w:r>
            <w:r>
              <w:rPr>
                <w:rFonts w:ascii="Times New Roman" w:eastAsia="宋体" w:hAnsi="Times New Roman" w:cs="Times New Roman"/>
                <w:color w:val="000000"/>
                <w:kern w:val="0"/>
                <w:sz w:val="21"/>
                <w:szCs w:val="21"/>
                <w:vertAlign w:val="superscript"/>
                <w:lang w:bidi="ar"/>
              </w:rPr>
              <w:t>2+</w:t>
            </w:r>
          </w:p>
        </w:tc>
        <w:tc>
          <w:tcPr>
            <w:tcW w:w="1556" w:type="dxa"/>
            <w:tcBorders>
              <w:tl2br w:val="nil"/>
              <w:tr2bl w:val="nil"/>
            </w:tcBorders>
            <w:vAlign w:val="center"/>
          </w:tcPr>
          <w:p w14:paraId="00BB3AE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23.5</w:t>
            </w:r>
          </w:p>
        </w:tc>
        <w:tc>
          <w:tcPr>
            <w:tcW w:w="1924" w:type="dxa"/>
            <w:tcBorders>
              <w:tl2br w:val="nil"/>
              <w:tr2bl w:val="nil"/>
            </w:tcBorders>
            <w:vAlign w:val="center"/>
          </w:tcPr>
          <w:p w14:paraId="29D0293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0.588 </w:t>
            </w:r>
          </w:p>
        </w:tc>
        <w:tc>
          <w:tcPr>
            <w:tcW w:w="1953" w:type="dxa"/>
            <w:tcBorders>
              <w:tl2br w:val="nil"/>
              <w:tr2bl w:val="nil"/>
            </w:tcBorders>
            <w:vAlign w:val="center"/>
          </w:tcPr>
          <w:p w14:paraId="31C995F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38.008 </w:t>
            </w:r>
          </w:p>
        </w:tc>
      </w:tr>
      <w:tr w:rsidR="009D12AF" w14:paraId="4B0E88E4" w14:textId="77777777">
        <w:trPr>
          <w:trHeight w:val="285"/>
        </w:trPr>
        <w:tc>
          <w:tcPr>
            <w:tcW w:w="898" w:type="pct"/>
            <w:vMerge/>
            <w:tcBorders>
              <w:tl2br w:val="nil"/>
              <w:tr2bl w:val="nil"/>
            </w:tcBorders>
            <w:vAlign w:val="center"/>
          </w:tcPr>
          <w:p w14:paraId="59D46806"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44A7938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Mg</w:t>
            </w:r>
            <w:r>
              <w:rPr>
                <w:rFonts w:ascii="Times New Roman" w:eastAsia="宋体" w:hAnsi="Times New Roman" w:cs="Times New Roman"/>
                <w:color w:val="000000"/>
                <w:kern w:val="0"/>
                <w:sz w:val="21"/>
                <w:szCs w:val="21"/>
                <w:vertAlign w:val="superscript"/>
                <w:lang w:bidi="ar"/>
              </w:rPr>
              <w:t>2+</w:t>
            </w:r>
          </w:p>
        </w:tc>
        <w:tc>
          <w:tcPr>
            <w:tcW w:w="1556" w:type="dxa"/>
            <w:tcBorders>
              <w:tl2br w:val="nil"/>
              <w:tr2bl w:val="nil"/>
            </w:tcBorders>
            <w:vAlign w:val="center"/>
          </w:tcPr>
          <w:p w14:paraId="6BD335A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6.17</w:t>
            </w:r>
          </w:p>
        </w:tc>
        <w:tc>
          <w:tcPr>
            <w:tcW w:w="1924" w:type="dxa"/>
            <w:tcBorders>
              <w:tl2br w:val="nil"/>
              <w:tr2bl w:val="nil"/>
            </w:tcBorders>
            <w:vAlign w:val="center"/>
          </w:tcPr>
          <w:p w14:paraId="20BEF7F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0.257 </w:t>
            </w:r>
          </w:p>
        </w:tc>
        <w:tc>
          <w:tcPr>
            <w:tcW w:w="1953" w:type="dxa"/>
            <w:tcBorders>
              <w:tl2br w:val="nil"/>
              <w:tr2bl w:val="nil"/>
            </w:tcBorders>
            <w:vAlign w:val="center"/>
          </w:tcPr>
          <w:p w14:paraId="593B17D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16.632 </w:t>
            </w:r>
          </w:p>
        </w:tc>
      </w:tr>
      <w:tr w:rsidR="009D12AF" w14:paraId="7FB6457D" w14:textId="77777777">
        <w:trPr>
          <w:trHeight w:val="285"/>
        </w:trPr>
        <w:tc>
          <w:tcPr>
            <w:tcW w:w="898" w:type="pct"/>
            <w:vMerge/>
            <w:tcBorders>
              <w:tl2br w:val="nil"/>
              <w:tr2bl w:val="nil"/>
            </w:tcBorders>
            <w:vAlign w:val="center"/>
          </w:tcPr>
          <w:p w14:paraId="07A6815A"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19BD0A1A"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总计</w:t>
            </w:r>
          </w:p>
        </w:tc>
        <w:tc>
          <w:tcPr>
            <w:tcW w:w="1556" w:type="dxa"/>
            <w:tcBorders>
              <w:tl2br w:val="nil"/>
              <w:tr2bl w:val="nil"/>
            </w:tcBorders>
            <w:vAlign w:val="center"/>
          </w:tcPr>
          <w:p w14:paraId="043947F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46.440 </w:t>
            </w:r>
          </w:p>
        </w:tc>
        <w:tc>
          <w:tcPr>
            <w:tcW w:w="1924" w:type="dxa"/>
            <w:tcBorders>
              <w:tl2br w:val="nil"/>
              <w:tr2bl w:val="nil"/>
            </w:tcBorders>
            <w:vAlign w:val="center"/>
          </w:tcPr>
          <w:p w14:paraId="248A6AE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1.546 </w:t>
            </w:r>
          </w:p>
        </w:tc>
        <w:tc>
          <w:tcPr>
            <w:tcW w:w="1953" w:type="dxa"/>
            <w:tcBorders>
              <w:tl2br w:val="nil"/>
              <w:tr2bl w:val="nil"/>
            </w:tcBorders>
            <w:vAlign w:val="center"/>
          </w:tcPr>
          <w:p w14:paraId="6D34052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100.000 </w:t>
            </w:r>
          </w:p>
        </w:tc>
      </w:tr>
      <w:tr w:rsidR="009D12AF" w14:paraId="518F6598" w14:textId="77777777">
        <w:trPr>
          <w:trHeight w:val="345"/>
        </w:trPr>
        <w:tc>
          <w:tcPr>
            <w:tcW w:w="898" w:type="pct"/>
            <w:vMerge w:val="restart"/>
            <w:tcBorders>
              <w:tl2br w:val="nil"/>
              <w:tr2bl w:val="nil"/>
            </w:tcBorders>
            <w:vAlign w:val="center"/>
          </w:tcPr>
          <w:p w14:paraId="0E94BFBA"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阴离子</w:t>
            </w:r>
          </w:p>
        </w:tc>
        <w:tc>
          <w:tcPr>
            <w:tcW w:w="913" w:type="pct"/>
            <w:tcBorders>
              <w:tl2br w:val="nil"/>
              <w:tr2bl w:val="nil"/>
            </w:tcBorders>
            <w:vAlign w:val="center"/>
          </w:tcPr>
          <w:p w14:paraId="7B8C0B0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HCO</w:t>
            </w:r>
            <w:r>
              <w:rPr>
                <w:rFonts w:ascii="Times New Roman" w:eastAsia="宋体" w:hAnsi="Times New Roman" w:cs="Times New Roman"/>
                <w:color w:val="000000"/>
                <w:kern w:val="0"/>
                <w:sz w:val="21"/>
                <w:szCs w:val="21"/>
                <w:vertAlign w:val="subscript"/>
                <w:lang w:bidi="ar"/>
              </w:rPr>
              <w:t>3</w:t>
            </w:r>
            <w:r>
              <w:rPr>
                <w:rFonts w:ascii="Times New Roman" w:eastAsia="宋体" w:hAnsi="Times New Roman" w:cs="Times New Roman"/>
                <w:color w:val="000000"/>
                <w:kern w:val="0"/>
                <w:sz w:val="21"/>
                <w:szCs w:val="21"/>
                <w:vertAlign w:val="superscript"/>
                <w:lang w:bidi="ar"/>
              </w:rPr>
              <w:t>-</w:t>
            </w:r>
          </w:p>
        </w:tc>
        <w:tc>
          <w:tcPr>
            <w:tcW w:w="1556" w:type="dxa"/>
            <w:tcBorders>
              <w:tl2br w:val="nil"/>
              <w:tr2bl w:val="nil"/>
            </w:tcBorders>
            <w:vAlign w:val="center"/>
          </w:tcPr>
          <w:p w14:paraId="468FD7D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75.2</w:t>
            </w:r>
          </w:p>
        </w:tc>
        <w:tc>
          <w:tcPr>
            <w:tcW w:w="1924" w:type="dxa"/>
            <w:tcBorders>
              <w:tl2br w:val="nil"/>
              <w:tr2bl w:val="nil"/>
            </w:tcBorders>
            <w:vAlign w:val="center"/>
          </w:tcPr>
          <w:p w14:paraId="175769D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1.233 </w:t>
            </w:r>
          </w:p>
        </w:tc>
        <w:tc>
          <w:tcPr>
            <w:tcW w:w="1953" w:type="dxa"/>
            <w:tcBorders>
              <w:tl2br w:val="nil"/>
              <w:tr2bl w:val="nil"/>
            </w:tcBorders>
            <w:vAlign w:val="center"/>
          </w:tcPr>
          <w:p w14:paraId="0F83E25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72.822 </w:t>
            </w:r>
          </w:p>
        </w:tc>
      </w:tr>
      <w:tr w:rsidR="009D12AF" w14:paraId="1F9BBF13" w14:textId="77777777">
        <w:trPr>
          <w:trHeight w:val="285"/>
        </w:trPr>
        <w:tc>
          <w:tcPr>
            <w:tcW w:w="898" w:type="pct"/>
            <w:vMerge/>
            <w:tcBorders>
              <w:tl2br w:val="nil"/>
              <w:tr2bl w:val="nil"/>
            </w:tcBorders>
            <w:vAlign w:val="center"/>
          </w:tcPr>
          <w:p w14:paraId="05395C54"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0497A96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Cl</w:t>
            </w:r>
            <w:r>
              <w:rPr>
                <w:rFonts w:ascii="Times New Roman" w:eastAsia="宋体" w:hAnsi="Times New Roman" w:cs="Times New Roman"/>
                <w:color w:val="000000"/>
                <w:kern w:val="0"/>
                <w:sz w:val="21"/>
                <w:szCs w:val="21"/>
                <w:vertAlign w:val="superscript"/>
                <w:lang w:bidi="ar"/>
              </w:rPr>
              <w:t>-</w:t>
            </w:r>
          </w:p>
        </w:tc>
        <w:tc>
          <w:tcPr>
            <w:tcW w:w="1556" w:type="dxa"/>
            <w:tcBorders>
              <w:tl2br w:val="nil"/>
              <w:tr2bl w:val="nil"/>
            </w:tcBorders>
            <w:vAlign w:val="center"/>
          </w:tcPr>
          <w:p w14:paraId="494AB8A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13.7</w:t>
            </w:r>
          </w:p>
        </w:tc>
        <w:tc>
          <w:tcPr>
            <w:tcW w:w="1924" w:type="dxa"/>
            <w:tcBorders>
              <w:tl2br w:val="nil"/>
              <w:tr2bl w:val="nil"/>
            </w:tcBorders>
            <w:vAlign w:val="center"/>
          </w:tcPr>
          <w:p w14:paraId="529B79A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0.386 </w:t>
            </w:r>
          </w:p>
        </w:tc>
        <w:tc>
          <w:tcPr>
            <w:tcW w:w="1953" w:type="dxa"/>
            <w:tcBorders>
              <w:tl2br w:val="nil"/>
              <w:tr2bl w:val="nil"/>
            </w:tcBorders>
            <w:vAlign w:val="center"/>
          </w:tcPr>
          <w:p w14:paraId="3197977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22.797 </w:t>
            </w:r>
          </w:p>
        </w:tc>
      </w:tr>
      <w:tr w:rsidR="009D12AF" w14:paraId="27BD80DB" w14:textId="77777777">
        <w:trPr>
          <w:trHeight w:val="345"/>
        </w:trPr>
        <w:tc>
          <w:tcPr>
            <w:tcW w:w="898" w:type="pct"/>
            <w:vMerge/>
            <w:tcBorders>
              <w:tl2br w:val="nil"/>
              <w:tr2bl w:val="nil"/>
            </w:tcBorders>
            <w:vAlign w:val="center"/>
          </w:tcPr>
          <w:p w14:paraId="34FE10DF"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11DA141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SO</w:t>
            </w:r>
            <w:r>
              <w:rPr>
                <w:rFonts w:ascii="Times New Roman" w:eastAsia="宋体" w:hAnsi="Times New Roman" w:cs="Times New Roman"/>
                <w:color w:val="000000"/>
                <w:kern w:val="0"/>
                <w:sz w:val="21"/>
                <w:szCs w:val="21"/>
                <w:vertAlign w:val="subscript"/>
                <w:lang w:bidi="ar"/>
              </w:rPr>
              <w:t>4</w:t>
            </w:r>
            <w:r>
              <w:rPr>
                <w:rFonts w:ascii="Times New Roman" w:eastAsia="宋体" w:hAnsi="Times New Roman" w:cs="Times New Roman"/>
                <w:color w:val="000000"/>
                <w:kern w:val="0"/>
                <w:sz w:val="21"/>
                <w:szCs w:val="21"/>
                <w:vertAlign w:val="superscript"/>
                <w:lang w:bidi="ar"/>
              </w:rPr>
              <w:t>2-</w:t>
            </w:r>
          </w:p>
        </w:tc>
        <w:tc>
          <w:tcPr>
            <w:tcW w:w="1556" w:type="dxa"/>
            <w:tcBorders>
              <w:tl2br w:val="nil"/>
              <w:tr2bl w:val="nil"/>
            </w:tcBorders>
            <w:vAlign w:val="center"/>
          </w:tcPr>
          <w:p w14:paraId="7642022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7.12</w:t>
            </w:r>
          </w:p>
        </w:tc>
        <w:tc>
          <w:tcPr>
            <w:tcW w:w="1924" w:type="dxa"/>
            <w:tcBorders>
              <w:tl2br w:val="nil"/>
              <w:tr2bl w:val="nil"/>
            </w:tcBorders>
            <w:vAlign w:val="center"/>
          </w:tcPr>
          <w:p w14:paraId="5D59BB2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0.074 </w:t>
            </w:r>
          </w:p>
        </w:tc>
        <w:tc>
          <w:tcPr>
            <w:tcW w:w="1953" w:type="dxa"/>
            <w:tcBorders>
              <w:tl2br w:val="nil"/>
              <w:tr2bl w:val="nil"/>
            </w:tcBorders>
            <w:vAlign w:val="center"/>
          </w:tcPr>
          <w:p w14:paraId="566CD1E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4.381 </w:t>
            </w:r>
          </w:p>
        </w:tc>
      </w:tr>
      <w:tr w:rsidR="009D12AF" w14:paraId="2B5EF91D" w14:textId="77777777">
        <w:trPr>
          <w:trHeight w:val="285"/>
        </w:trPr>
        <w:tc>
          <w:tcPr>
            <w:tcW w:w="898" w:type="pct"/>
            <w:vMerge/>
            <w:tcBorders>
              <w:tl2br w:val="nil"/>
              <w:tr2bl w:val="nil"/>
            </w:tcBorders>
            <w:vAlign w:val="center"/>
          </w:tcPr>
          <w:p w14:paraId="2C0527A7" w14:textId="77777777" w:rsidR="009D12AF" w:rsidRDefault="009D12AF">
            <w:pPr>
              <w:ind w:firstLineChars="0" w:firstLine="0"/>
              <w:jc w:val="center"/>
              <w:rPr>
                <w:rFonts w:ascii="宋体" w:eastAsia="宋体" w:hAnsi="宋体" w:cs="宋体" w:hint="eastAsia"/>
                <w:color w:val="000000"/>
                <w:sz w:val="21"/>
                <w:szCs w:val="21"/>
              </w:rPr>
            </w:pPr>
          </w:p>
        </w:tc>
        <w:tc>
          <w:tcPr>
            <w:tcW w:w="913" w:type="pct"/>
            <w:tcBorders>
              <w:tl2br w:val="nil"/>
              <w:tr2bl w:val="nil"/>
            </w:tcBorders>
            <w:vAlign w:val="center"/>
          </w:tcPr>
          <w:p w14:paraId="5CCF0031"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总计</w:t>
            </w:r>
          </w:p>
        </w:tc>
        <w:tc>
          <w:tcPr>
            <w:tcW w:w="1556" w:type="dxa"/>
            <w:tcBorders>
              <w:tl2br w:val="nil"/>
              <w:tr2bl w:val="nil"/>
            </w:tcBorders>
            <w:vAlign w:val="center"/>
          </w:tcPr>
          <w:p w14:paraId="0C473F6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96.020 </w:t>
            </w:r>
          </w:p>
        </w:tc>
        <w:tc>
          <w:tcPr>
            <w:tcW w:w="1924" w:type="dxa"/>
            <w:tcBorders>
              <w:tl2br w:val="nil"/>
              <w:tr2bl w:val="nil"/>
            </w:tcBorders>
            <w:vAlign w:val="center"/>
          </w:tcPr>
          <w:p w14:paraId="24591A7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1.693 </w:t>
            </w:r>
          </w:p>
        </w:tc>
        <w:tc>
          <w:tcPr>
            <w:tcW w:w="1953" w:type="dxa"/>
            <w:tcBorders>
              <w:tl2br w:val="nil"/>
              <w:tr2bl w:val="nil"/>
            </w:tcBorders>
            <w:vAlign w:val="center"/>
          </w:tcPr>
          <w:p w14:paraId="0958B68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color w:val="000000"/>
                <w:kern w:val="0"/>
                <w:sz w:val="21"/>
                <w:szCs w:val="21"/>
                <w:lang w:bidi="ar"/>
              </w:rPr>
              <w:t xml:space="preserve">100.000 </w:t>
            </w:r>
          </w:p>
        </w:tc>
      </w:tr>
      <w:tr w:rsidR="009D12AF" w14:paraId="360C3B05" w14:textId="77777777">
        <w:trPr>
          <w:trHeight w:val="285"/>
        </w:trPr>
        <w:tc>
          <w:tcPr>
            <w:tcW w:w="3086" w:type="dxa"/>
            <w:gridSpan w:val="2"/>
            <w:tcBorders>
              <w:tl2br w:val="nil"/>
              <w:tr2bl w:val="nil"/>
            </w:tcBorders>
            <w:vAlign w:val="center"/>
          </w:tcPr>
          <w:p w14:paraId="75879D7B"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hint="eastAsia"/>
                <w:color w:val="000000"/>
                <w:kern w:val="0"/>
                <w:sz w:val="21"/>
                <w:szCs w:val="21"/>
                <w:lang w:bidi="ar"/>
              </w:rPr>
              <w:t>3</w:t>
            </w:r>
            <w:r>
              <w:rPr>
                <w:rFonts w:ascii="Times New Roman" w:eastAsia="宋体" w:hAnsi="Times New Roman" w:cs="Times New Roman"/>
                <w:color w:val="000000"/>
                <w:kern w:val="0"/>
                <w:sz w:val="21"/>
                <w:szCs w:val="21"/>
                <w:lang w:bidi="ar"/>
              </w:rPr>
              <w:t>#</w:t>
            </w:r>
            <w:r>
              <w:rPr>
                <w:rFonts w:ascii="宋体" w:eastAsia="宋体" w:hAnsi="宋体" w:cs="宋体" w:hint="eastAsia"/>
                <w:color w:val="000000"/>
                <w:kern w:val="0"/>
                <w:sz w:val="21"/>
                <w:szCs w:val="21"/>
                <w:lang w:bidi="ar"/>
              </w:rPr>
              <w:t>离子</w:t>
            </w:r>
          </w:p>
        </w:tc>
        <w:tc>
          <w:tcPr>
            <w:tcW w:w="1556" w:type="dxa"/>
            <w:tcBorders>
              <w:tl2br w:val="nil"/>
              <w:tr2bl w:val="nil"/>
            </w:tcBorders>
            <w:vAlign w:val="center"/>
          </w:tcPr>
          <w:p w14:paraId="6EB1709E"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mg/L</w:t>
            </w:r>
          </w:p>
        </w:tc>
        <w:tc>
          <w:tcPr>
            <w:tcW w:w="1924" w:type="dxa"/>
            <w:tcBorders>
              <w:tl2br w:val="nil"/>
              <w:tr2bl w:val="nil"/>
            </w:tcBorders>
            <w:vAlign w:val="center"/>
          </w:tcPr>
          <w:p w14:paraId="283A3DD5"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meq/L</w:t>
            </w:r>
          </w:p>
        </w:tc>
        <w:tc>
          <w:tcPr>
            <w:tcW w:w="1953" w:type="dxa"/>
            <w:tcBorders>
              <w:tl2br w:val="nil"/>
              <w:tr2bl w:val="nil"/>
            </w:tcBorders>
            <w:vAlign w:val="center"/>
          </w:tcPr>
          <w:p w14:paraId="5D62E586"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meq%</w:t>
            </w:r>
          </w:p>
        </w:tc>
      </w:tr>
      <w:tr w:rsidR="009D12AF" w14:paraId="09BD0ED0" w14:textId="77777777">
        <w:trPr>
          <w:trHeight w:val="285"/>
        </w:trPr>
        <w:tc>
          <w:tcPr>
            <w:tcW w:w="1529" w:type="dxa"/>
            <w:vMerge w:val="restart"/>
            <w:tcBorders>
              <w:tl2br w:val="nil"/>
              <w:tr2bl w:val="nil"/>
            </w:tcBorders>
            <w:vAlign w:val="center"/>
          </w:tcPr>
          <w:p w14:paraId="0E40F387"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lastRenderedPageBreak/>
              <w:t>阳离子</w:t>
            </w:r>
          </w:p>
        </w:tc>
        <w:tc>
          <w:tcPr>
            <w:tcW w:w="1557" w:type="dxa"/>
            <w:tcBorders>
              <w:tl2br w:val="nil"/>
              <w:tr2bl w:val="nil"/>
            </w:tcBorders>
            <w:vAlign w:val="center"/>
          </w:tcPr>
          <w:p w14:paraId="6CCB4B2C"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K</w:t>
            </w:r>
            <w:r>
              <w:rPr>
                <w:rFonts w:ascii="Times New Roman" w:eastAsia="宋体" w:hAnsi="Times New Roman" w:cs="Times New Roman"/>
                <w:color w:val="000000"/>
                <w:kern w:val="0"/>
                <w:sz w:val="21"/>
                <w:szCs w:val="21"/>
                <w:vertAlign w:val="superscript"/>
                <w:lang w:bidi="ar"/>
              </w:rPr>
              <w:t>+</w:t>
            </w:r>
          </w:p>
        </w:tc>
        <w:tc>
          <w:tcPr>
            <w:tcW w:w="1556" w:type="dxa"/>
            <w:tcBorders>
              <w:tl2br w:val="nil"/>
              <w:tr2bl w:val="nil"/>
            </w:tcBorders>
            <w:vAlign w:val="center"/>
          </w:tcPr>
          <w:p w14:paraId="4E0FBB9D"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0.601</w:t>
            </w:r>
          </w:p>
        </w:tc>
        <w:tc>
          <w:tcPr>
            <w:tcW w:w="1924" w:type="dxa"/>
            <w:tcBorders>
              <w:tl2br w:val="nil"/>
              <w:tr2bl w:val="nil"/>
            </w:tcBorders>
            <w:vAlign w:val="center"/>
          </w:tcPr>
          <w:p w14:paraId="4C9D4DC7"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0.015 </w:t>
            </w:r>
          </w:p>
        </w:tc>
        <w:tc>
          <w:tcPr>
            <w:tcW w:w="1953" w:type="dxa"/>
            <w:tcBorders>
              <w:tl2br w:val="nil"/>
              <w:tr2bl w:val="nil"/>
            </w:tcBorders>
            <w:vAlign w:val="center"/>
          </w:tcPr>
          <w:p w14:paraId="49BD99AB"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1.289 </w:t>
            </w:r>
          </w:p>
        </w:tc>
      </w:tr>
      <w:tr w:rsidR="009D12AF" w14:paraId="1315DDF7" w14:textId="77777777">
        <w:trPr>
          <w:trHeight w:val="285"/>
        </w:trPr>
        <w:tc>
          <w:tcPr>
            <w:tcW w:w="1529" w:type="dxa"/>
            <w:vMerge/>
            <w:tcBorders>
              <w:tl2br w:val="nil"/>
              <w:tr2bl w:val="nil"/>
            </w:tcBorders>
            <w:vAlign w:val="center"/>
          </w:tcPr>
          <w:p w14:paraId="34EE054C"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2A4E163E"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Na</w:t>
            </w:r>
            <w:r>
              <w:rPr>
                <w:rFonts w:ascii="Times New Roman" w:eastAsia="宋体" w:hAnsi="Times New Roman" w:cs="Times New Roman"/>
                <w:color w:val="000000"/>
                <w:kern w:val="0"/>
                <w:sz w:val="21"/>
                <w:szCs w:val="21"/>
                <w:vertAlign w:val="superscript"/>
                <w:lang w:bidi="ar"/>
              </w:rPr>
              <w:t>+</w:t>
            </w:r>
          </w:p>
        </w:tc>
        <w:tc>
          <w:tcPr>
            <w:tcW w:w="1556" w:type="dxa"/>
            <w:tcBorders>
              <w:tl2br w:val="nil"/>
              <w:tr2bl w:val="nil"/>
            </w:tcBorders>
            <w:vAlign w:val="center"/>
          </w:tcPr>
          <w:p w14:paraId="10B81601"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6.45</w:t>
            </w:r>
          </w:p>
        </w:tc>
        <w:tc>
          <w:tcPr>
            <w:tcW w:w="1924" w:type="dxa"/>
            <w:tcBorders>
              <w:tl2br w:val="nil"/>
              <w:tr2bl w:val="nil"/>
            </w:tcBorders>
            <w:vAlign w:val="center"/>
          </w:tcPr>
          <w:p w14:paraId="0130D0CD"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0.280 </w:t>
            </w:r>
          </w:p>
        </w:tc>
        <w:tc>
          <w:tcPr>
            <w:tcW w:w="1953" w:type="dxa"/>
            <w:tcBorders>
              <w:tl2br w:val="nil"/>
              <w:tr2bl w:val="nil"/>
            </w:tcBorders>
            <w:vAlign w:val="center"/>
          </w:tcPr>
          <w:p w14:paraId="48C6F0EF"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23.451 </w:t>
            </w:r>
          </w:p>
        </w:tc>
      </w:tr>
      <w:tr w:rsidR="009D12AF" w14:paraId="49A08654" w14:textId="77777777">
        <w:trPr>
          <w:trHeight w:val="285"/>
        </w:trPr>
        <w:tc>
          <w:tcPr>
            <w:tcW w:w="1529" w:type="dxa"/>
            <w:vMerge/>
            <w:tcBorders>
              <w:tl2br w:val="nil"/>
              <w:tr2bl w:val="nil"/>
            </w:tcBorders>
            <w:vAlign w:val="center"/>
          </w:tcPr>
          <w:p w14:paraId="48F10334"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6114BDC0"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Ca</w:t>
            </w:r>
            <w:r>
              <w:rPr>
                <w:rFonts w:ascii="Times New Roman" w:eastAsia="宋体" w:hAnsi="Times New Roman" w:cs="Times New Roman"/>
                <w:color w:val="000000"/>
                <w:kern w:val="0"/>
                <w:sz w:val="21"/>
                <w:szCs w:val="21"/>
                <w:vertAlign w:val="superscript"/>
                <w:lang w:bidi="ar"/>
              </w:rPr>
              <w:t>2+</w:t>
            </w:r>
          </w:p>
        </w:tc>
        <w:tc>
          <w:tcPr>
            <w:tcW w:w="1556" w:type="dxa"/>
            <w:tcBorders>
              <w:tl2br w:val="nil"/>
              <w:tr2bl w:val="nil"/>
            </w:tcBorders>
            <w:vAlign w:val="center"/>
          </w:tcPr>
          <w:p w14:paraId="73C0631C"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24.8</w:t>
            </w:r>
          </w:p>
        </w:tc>
        <w:tc>
          <w:tcPr>
            <w:tcW w:w="1924" w:type="dxa"/>
            <w:tcBorders>
              <w:tl2br w:val="nil"/>
              <w:tr2bl w:val="nil"/>
            </w:tcBorders>
            <w:vAlign w:val="center"/>
          </w:tcPr>
          <w:p w14:paraId="36A72CBF"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0.620 </w:t>
            </w:r>
          </w:p>
        </w:tc>
        <w:tc>
          <w:tcPr>
            <w:tcW w:w="1953" w:type="dxa"/>
            <w:tcBorders>
              <w:tl2br w:val="nil"/>
              <w:tr2bl w:val="nil"/>
            </w:tcBorders>
            <w:vAlign w:val="center"/>
          </w:tcPr>
          <w:p w14:paraId="466C73BA"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51.846 </w:t>
            </w:r>
          </w:p>
        </w:tc>
      </w:tr>
      <w:tr w:rsidR="009D12AF" w14:paraId="22CEEE85" w14:textId="77777777">
        <w:trPr>
          <w:trHeight w:val="285"/>
        </w:trPr>
        <w:tc>
          <w:tcPr>
            <w:tcW w:w="1529" w:type="dxa"/>
            <w:vMerge/>
            <w:tcBorders>
              <w:tl2br w:val="nil"/>
              <w:tr2bl w:val="nil"/>
            </w:tcBorders>
            <w:vAlign w:val="center"/>
          </w:tcPr>
          <w:p w14:paraId="2E4E239A"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06B891AE"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Mg</w:t>
            </w:r>
            <w:r>
              <w:rPr>
                <w:rFonts w:ascii="Times New Roman" w:eastAsia="宋体" w:hAnsi="Times New Roman" w:cs="Times New Roman"/>
                <w:color w:val="000000"/>
                <w:kern w:val="0"/>
                <w:sz w:val="21"/>
                <w:szCs w:val="21"/>
                <w:vertAlign w:val="superscript"/>
                <w:lang w:bidi="ar"/>
              </w:rPr>
              <w:t>2+</w:t>
            </w:r>
          </w:p>
        </w:tc>
        <w:tc>
          <w:tcPr>
            <w:tcW w:w="1556" w:type="dxa"/>
            <w:tcBorders>
              <w:tl2br w:val="nil"/>
              <w:tr2bl w:val="nil"/>
            </w:tcBorders>
            <w:vAlign w:val="center"/>
          </w:tcPr>
          <w:p w14:paraId="71B985AB"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6.72</w:t>
            </w:r>
          </w:p>
        </w:tc>
        <w:tc>
          <w:tcPr>
            <w:tcW w:w="1924" w:type="dxa"/>
            <w:tcBorders>
              <w:tl2br w:val="nil"/>
              <w:tr2bl w:val="nil"/>
            </w:tcBorders>
            <w:vAlign w:val="center"/>
          </w:tcPr>
          <w:p w14:paraId="7549D991"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0.280 </w:t>
            </w:r>
          </w:p>
        </w:tc>
        <w:tc>
          <w:tcPr>
            <w:tcW w:w="1953" w:type="dxa"/>
            <w:tcBorders>
              <w:tl2br w:val="nil"/>
              <w:tr2bl w:val="nil"/>
            </w:tcBorders>
            <w:vAlign w:val="center"/>
          </w:tcPr>
          <w:p w14:paraId="2D2C97F9"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23.414 </w:t>
            </w:r>
          </w:p>
        </w:tc>
      </w:tr>
      <w:tr w:rsidR="009D12AF" w14:paraId="5FC2D7CE" w14:textId="77777777">
        <w:trPr>
          <w:trHeight w:val="285"/>
        </w:trPr>
        <w:tc>
          <w:tcPr>
            <w:tcW w:w="1529" w:type="dxa"/>
            <w:vMerge/>
            <w:tcBorders>
              <w:tl2br w:val="nil"/>
              <w:tr2bl w:val="nil"/>
            </w:tcBorders>
            <w:vAlign w:val="center"/>
          </w:tcPr>
          <w:p w14:paraId="77A12D98"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7D5F12C8"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宋体" w:eastAsia="宋体" w:hAnsi="宋体" w:cs="宋体" w:hint="eastAsia"/>
                <w:color w:val="000000"/>
                <w:kern w:val="0"/>
                <w:sz w:val="21"/>
                <w:szCs w:val="21"/>
                <w:lang w:bidi="ar"/>
              </w:rPr>
              <w:t>总计</w:t>
            </w:r>
          </w:p>
        </w:tc>
        <w:tc>
          <w:tcPr>
            <w:tcW w:w="1556" w:type="dxa"/>
            <w:tcBorders>
              <w:tl2br w:val="nil"/>
              <w:tr2bl w:val="nil"/>
            </w:tcBorders>
            <w:vAlign w:val="center"/>
          </w:tcPr>
          <w:p w14:paraId="43607885"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38.571 </w:t>
            </w:r>
          </w:p>
        </w:tc>
        <w:tc>
          <w:tcPr>
            <w:tcW w:w="1924" w:type="dxa"/>
            <w:tcBorders>
              <w:tl2br w:val="nil"/>
              <w:tr2bl w:val="nil"/>
            </w:tcBorders>
            <w:vAlign w:val="center"/>
          </w:tcPr>
          <w:p w14:paraId="66FC5583"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1.196 </w:t>
            </w:r>
          </w:p>
        </w:tc>
        <w:tc>
          <w:tcPr>
            <w:tcW w:w="1953" w:type="dxa"/>
            <w:tcBorders>
              <w:tl2br w:val="nil"/>
              <w:tr2bl w:val="nil"/>
            </w:tcBorders>
            <w:vAlign w:val="center"/>
          </w:tcPr>
          <w:p w14:paraId="79698290"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100.000 </w:t>
            </w:r>
          </w:p>
        </w:tc>
      </w:tr>
      <w:tr w:rsidR="009D12AF" w14:paraId="1CF23317" w14:textId="77777777">
        <w:trPr>
          <w:trHeight w:val="285"/>
        </w:trPr>
        <w:tc>
          <w:tcPr>
            <w:tcW w:w="1529" w:type="dxa"/>
            <w:vMerge w:val="restart"/>
            <w:tcBorders>
              <w:tl2br w:val="nil"/>
              <w:tr2bl w:val="nil"/>
            </w:tcBorders>
            <w:vAlign w:val="center"/>
          </w:tcPr>
          <w:p w14:paraId="50DDDFAA"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阴离子</w:t>
            </w:r>
          </w:p>
        </w:tc>
        <w:tc>
          <w:tcPr>
            <w:tcW w:w="1557" w:type="dxa"/>
            <w:tcBorders>
              <w:tl2br w:val="nil"/>
              <w:tr2bl w:val="nil"/>
            </w:tcBorders>
            <w:vAlign w:val="center"/>
          </w:tcPr>
          <w:p w14:paraId="6ADA50D3"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HCO</w:t>
            </w:r>
            <w:r>
              <w:rPr>
                <w:rFonts w:ascii="Times New Roman" w:eastAsia="宋体" w:hAnsi="Times New Roman" w:cs="Times New Roman"/>
                <w:color w:val="000000"/>
                <w:kern w:val="0"/>
                <w:sz w:val="21"/>
                <w:szCs w:val="21"/>
                <w:vertAlign w:val="subscript"/>
                <w:lang w:bidi="ar"/>
              </w:rPr>
              <w:t>3</w:t>
            </w:r>
            <w:r>
              <w:rPr>
                <w:rFonts w:ascii="Times New Roman" w:eastAsia="宋体" w:hAnsi="Times New Roman" w:cs="Times New Roman"/>
                <w:color w:val="000000"/>
                <w:kern w:val="0"/>
                <w:sz w:val="21"/>
                <w:szCs w:val="21"/>
                <w:vertAlign w:val="superscript"/>
                <w:lang w:bidi="ar"/>
              </w:rPr>
              <w:t>-</w:t>
            </w:r>
          </w:p>
        </w:tc>
        <w:tc>
          <w:tcPr>
            <w:tcW w:w="1556" w:type="dxa"/>
            <w:tcBorders>
              <w:tl2br w:val="nil"/>
              <w:tr2bl w:val="nil"/>
            </w:tcBorders>
            <w:vAlign w:val="center"/>
          </w:tcPr>
          <w:p w14:paraId="545BA736"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78.1</w:t>
            </w:r>
          </w:p>
        </w:tc>
        <w:tc>
          <w:tcPr>
            <w:tcW w:w="1924" w:type="dxa"/>
            <w:tcBorders>
              <w:tl2br w:val="nil"/>
              <w:tr2bl w:val="nil"/>
            </w:tcBorders>
            <w:vAlign w:val="center"/>
          </w:tcPr>
          <w:p w14:paraId="5B2AA67F"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1.280 </w:t>
            </w:r>
          </w:p>
        </w:tc>
        <w:tc>
          <w:tcPr>
            <w:tcW w:w="1953" w:type="dxa"/>
            <w:tcBorders>
              <w:tl2br w:val="nil"/>
              <w:tr2bl w:val="nil"/>
            </w:tcBorders>
            <w:vAlign w:val="center"/>
          </w:tcPr>
          <w:p w14:paraId="0E4234D9"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76.903 </w:t>
            </w:r>
          </w:p>
        </w:tc>
      </w:tr>
      <w:tr w:rsidR="009D12AF" w14:paraId="0827366C" w14:textId="77777777">
        <w:trPr>
          <w:trHeight w:val="285"/>
        </w:trPr>
        <w:tc>
          <w:tcPr>
            <w:tcW w:w="1529" w:type="dxa"/>
            <w:vMerge/>
            <w:tcBorders>
              <w:tl2br w:val="nil"/>
              <w:tr2bl w:val="nil"/>
            </w:tcBorders>
            <w:vAlign w:val="center"/>
          </w:tcPr>
          <w:p w14:paraId="129EAD0F"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6C61D8A9"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Cl</w:t>
            </w:r>
            <w:r>
              <w:rPr>
                <w:rFonts w:ascii="Times New Roman" w:eastAsia="宋体" w:hAnsi="Times New Roman" w:cs="Times New Roman"/>
                <w:color w:val="000000"/>
                <w:kern w:val="0"/>
                <w:sz w:val="21"/>
                <w:szCs w:val="21"/>
                <w:vertAlign w:val="superscript"/>
                <w:lang w:bidi="ar"/>
              </w:rPr>
              <w:t>-</w:t>
            </w:r>
          </w:p>
        </w:tc>
        <w:tc>
          <w:tcPr>
            <w:tcW w:w="1556" w:type="dxa"/>
            <w:tcBorders>
              <w:tl2br w:val="nil"/>
              <w:tr2bl w:val="nil"/>
            </w:tcBorders>
            <w:vAlign w:val="center"/>
          </w:tcPr>
          <w:p w14:paraId="00C1BECA"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8.03</w:t>
            </w:r>
          </w:p>
        </w:tc>
        <w:tc>
          <w:tcPr>
            <w:tcW w:w="1924" w:type="dxa"/>
            <w:tcBorders>
              <w:tl2br w:val="nil"/>
              <w:tr2bl w:val="nil"/>
            </w:tcBorders>
            <w:vAlign w:val="center"/>
          </w:tcPr>
          <w:p w14:paraId="23C0F45F"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0.226 </w:t>
            </w:r>
          </w:p>
        </w:tc>
        <w:tc>
          <w:tcPr>
            <w:tcW w:w="1953" w:type="dxa"/>
            <w:tcBorders>
              <w:tl2br w:val="nil"/>
              <w:tr2bl w:val="nil"/>
            </w:tcBorders>
            <w:vAlign w:val="center"/>
          </w:tcPr>
          <w:p w14:paraId="3C6BA1B3"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13.587 </w:t>
            </w:r>
          </w:p>
        </w:tc>
      </w:tr>
      <w:tr w:rsidR="009D12AF" w14:paraId="1E475A41" w14:textId="77777777">
        <w:trPr>
          <w:trHeight w:val="285"/>
        </w:trPr>
        <w:tc>
          <w:tcPr>
            <w:tcW w:w="1529" w:type="dxa"/>
            <w:vMerge/>
            <w:tcBorders>
              <w:tl2br w:val="nil"/>
              <w:tr2bl w:val="nil"/>
            </w:tcBorders>
            <w:vAlign w:val="center"/>
          </w:tcPr>
          <w:p w14:paraId="635F75B2"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60330ACC"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SO</w:t>
            </w:r>
            <w:r>
              <w:rPr>
                <w:rFonts w:ascii="Times New Roman" w:eastAsia="宋体" w:hAnsi="Times New Roman" w:cs="Times New Roman"/>
                <w:color w:val="000000"/>
                <w:kern w:val="0"/>
                <w:sz w:val="21"/>
                <w:szCs w:val="21"/>
                <w:vertAlign w:val="subscript"/>
                <w:lang w:bidi="ar"/>
              </w:rPr>
              <w:t>4</w:t>
            </w:r>
            <w:r>
              <w:rPr>
                <w:rFonts w:ascii="Times New Roman" w:eastAsia="宋体" w:hAnsi="Times New Roman" w:cs="Times New Roman"/>
                <w:color w:val="000000"/>
                <w:kern w:val="0"/>
                <w:sz w:val="21"/>
                <w:szCs w:val="21"/>
                <w:vertAlign w:val="superscript"/>
                <w:lang w:bidi="ar"/>
              </w:rPr>
              <w:t>2-</w:t>
            </w:r>
          </w:p>
        </w:tc>
        <w:tc>
          <w:tcPr>
            <w:tcW w:w="1556" w:type="dxa"/>
            <w:tcBorders>
              <w:tl2br w:val="nil"/>
              <w:tr2bl w:val="nil"/>
            </w:tcBorders>
            <w:vAlign w:val="center"/>
          </w:tcPr>
          <w:p w14:paraId="21322BD9"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15.2</w:t>
            </w:r>
          </w:p>
        </w:tc>
        <w:tc>
          <w:tcPr>
            <w:tcW w:w="1924" w:type="dxa"/>
            <w:tcBorders>
              <w:tl2br w:val="nil"/>
              <w:tr2bl w:val="nil"/>
            </w:tcBorders>
            <w:vAlign w:val="center"/>
          </w:tcPr>
          <w:p w14:paraId="1CC8E15A"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0.158 </w:t>
            </w:r>
          </w:p>
        </w:tc>
        <w:tc>
          <w:tcPr>
            <w:tcW w:w="1953" w:type="dxa"/>
            <w:tcBorders>
              <w:tl2br w:val="nil"/>
              <w:tr2bl w:val="nil"/>
            </w:tcBorders>
            <w:vAlign w:val="center"/>
          </w:tcPr>
          <w:p w14:paraId="6179F20A"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9.510 </w:t>
            </w:r>
          </w:p>
        </w:tc>
      </w:tr>
      <w:tr w:rsidR="009D12AF" w14:paraId="2A1C1E05" w14:textId="77777777">
        <w:trPr>
          <w:trHeight w:val="285"/>
        </w:trPr>
        <w:tc>
          <w:tcPr>
            <w:tcW w:w="1529" w:type="dxa"/>
            <w:vMerge/>
            <w:tcBorders>
              <w:tl2br w:val="nil"/>
              <w:tr2bl w:val="nil"/>
            </w:tcBorders>
            <w:vAlign w:val="center"/>
          </w:tcPr>
          <w:p w14:paraId="325E2351"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607D9AA3"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宋体" w:eastAsia="宋体" w:hAnsi="宋体" w:cs="宋体" w:hint="eastAsia"/>
                <w:color w:val="000000"/>
                <w:kern w:val="0"/>
                <w:sz w:val="21"/>
                <w:szCs w:val="21"/>
                <w:lang w:bidi="ar"/>
              </w:rPr>
              <w:t>总计</w:t>
            </w:r>
          </w:p>
        </w:tc>
        <w:tc>
          <w:tcPr>
            <w:tcW w:w="1556" w:type="dxa"/>
            <w:tcBorders>
              <w:tl2br w:val="nil"/>
              <w:tr2bl w:val="nil"/>
            </w:tcBorders>
            <w:vAlign w:val="center"/>
          </w:tcPr>
          <w:p w14:paraId="4DA2529B"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101.330 </w:t>
            </w:r>
          </w:p>
        </w:tc>
        <w:tc>
          <w:tcPr>
            <w:tcW w:w="1924" w:type="dxa"/>
            <w:tcBorders>
              <w:tl2br w:val="nil"/>
              <w:tr2bl w:val="nil"/>
            </w:tcBorders>
            <w:vAlign w:val="center"/>
          </w:tcPr>
          <w:p w14:paraId="6747D3A8"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1.665 </w:t>
            </w:r>
          </w:p>
        </w:tc>
        <w:tc>
          <w:tcPr>
            <w:tcW w:w="1953" w:type="dxa"/>
            <w:tcBorders>
              <w:tl2br w:val="nil"/>
              <w:tr2bl w:val="nil"/>
            </w:tcBorders>
            <w:vAlign w:val="center"/>
          </w:tcPr>
          <w:p w14:paraId="498FBB95"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100.000 </w:t>
            </w:r>
          </w:p>
        </w:tc>
      </w:tr>
      <w:tr w:rsidR="009D12AF" w14:paraId="1CD08F4B" w14:textId="77777777">
        <w:trPr>
          <w:trHeight w:val="285"/>
        </w:trPr>
        <w:tc>
          <w:tcPr>
            <w:tcW w:w="3086" w:type="dxa"/>
            <w:gridSpan w:val="2"/>
            <w:tcBorders>
              <w:tl2br w:val="nil"/>
              <w:tr2bl w:val="nil"/>
            </w:tcBorders>
            <w:vAlign w:val="center"/>
          </w:tcPr>
          <w:p w14:paraId="13B865F5"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hint="eastAsia"/>
                <w:color w:val="000000"/>
                <w:kern w:val="0"/>
                <w:sz w:val="21"/>
                <w:szCs w:val="21"/>
                <w:lang w:bidi="ar"/>
              </w:rPr>
              <w:t>4</w:t>
            </w:r>
            <w:r>
              <w:rPr>
                <w:rFonts w:ascii="Times New Roman" w:eastAsia="宋体" w:hAnsi="Times New Roman" w:cs="Times New Roman"/>
                <w:color w:val="000000"/>
                <w:kern w:val="0"/>
                <w:sz w:val="21"/>
                <w:szCs w:val="21"/>
                <w:lang w:bidi="ar"/>
              </w:rPr>
              <w:t>#</w:t>
            </w:r>
            <w:r>
              <w:rPr>
                <w:rFonts w:ascii="宋体" w:eastAsia="宋体" w:hAnsi="宋体" w:cs="宋体" w:hint="eastAsia"/>
                <w:color w:val="000000"/>
                <w:kern w:val="0"/>
                <w:sz w:val="21"/>
                <w:szCs w:val="21"/>
                <w:lang w:bidi="ar"/>
              </w:rPr>
              <w:t>离子</w:t>
            </w:r>
          </w:p>
        </w:tc>
        <w:tc>
          <w:tcPr>
            <w:tcW w:w="1556" w:type="dxa"/>
            <w:tcBorders>
              <w:tl2br w:val="nil"/>
              <w:tr2bl w:val="nil"/>
            </w:tcBorders>
            <w:vAlign w:val="center"/>
          </w:tcPr>
          <w:p w14:paraId="242C2E10"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mg/L</w:t>
            </w:r>
          </w:p>
        </w:tc>
        <w:tc>
          <w:tcPr>
            <w:tcW w:w="1924" w:type="dxa"/>
            <w:tcBorders>
              <w:tl2br w:val="nil"/>
              <w:tr2bl w:val="nil"/>
            </w:tcBorders>
            <w:vAlign w:val="center"/>
          </w:tcPr>
          <w:p w14:paraId="4DEFEF48"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meq/L</w:t>
            </w:r>
          </w:p>
        </w:tc>
        <w:tc>
          <w:tcPr>
            <w:tcW w:w="1953" w:type="dxa"/>
            <w:tcBorders>
              <w:tl2br w:val="nil"/>
              <w:tr2bl w:val="nil"/>
            </w:tcBorders>
            <w:vAlign w:val="center"/>
          </w:tcPr>
          <w:p w14:paraId="08BB8456"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meq%</w:t>
            </w:r>
          </w:p>
        </w:tc>
      </w:tr>
      <w:tr w:rsidR="009D12AF" w14:paraId="726FDDA2" w14:textId="77777777">
        <w:trPr>
          <w:trHeight w:val="285"/>
        </w:trPr>
        <w:tc>
          <w:tcPr>
            <w:tcW w:w="1529" w:type="dxa"/>
            <w:vMerge w:val="restart"/>
            <w:tcBorders>
              <w:tl2br w:val="nil"/>
              <w:tr2bl w:val="nil"/>
            </w:tcBorders>
            <w:vAlign w:val="center"/>
          </w:tcPr>
          <w:p w14:paraId="0815DEA1"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阳离子</w:t>
            </w:r>
          </w:p>
        </w:tc>
        <w:tc>
          <w:tcPr>
            <w:tcW w:w="1557" w:type="dxa"/>
            <w:tcBorders>
              <w:tl2br w:val="nil"/>
              <w:tr2bl w:val="nil"/>
            </w:tcBorders>
            <w:vAlign w:val="center"/>
          </w:tcPr>
          <w:p w14:paraId="4A0A8AAC"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K</w:t>
            </w:r>
            <w:r>
              <w:rPr>
                <w:rFonts w:ascii="Times New Roman" w:eastAsia="宋体" w:hAnsi="Times New Roman" w:cs="Times New Roman"/>
                <w:color w:val="000000"/>
                <w:kern w:val="0"/>
                <w:sz w:val="21"/>
                <w:szCs w:val="21"/>
                <w:vertAlign w:val="superscript"/>
                <w:lang w:bidi="ar"/>
              </w:rPr>
              <w:t>+</w:t>
            </w:r>
          </w:p>
        </w:tc>
        <w:tc>
          <w:tcPr>
            <w:tcW w:w="1556" w:type="dxa"/>
            <w:tcBorders>
              <w:tl2br w:val="nil"/>
              <w:tr2bl w:val="nil"/>
            </w:tcBorders>
            <w:vAlign w:val="center"/>
          </w:tcPr>
          <w:p w14:paraId="1176CD91"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0.941</w:t>
            </w:r>
          </w:p>
        </w:tc>
        <w:tc>
          <w:tcPr>
            <w:tcW w:w="1924" w:type="dxa"/>
            <w:tcBorders>
              <w:tl2br w:val="nil"/>
              <w:tr2bl w:val="nil"/>
            </w:tcBorders>
            <w:vAlign w:val="center"/>
          </w:tcPr>
          <w:p w14:paraId="15B8E86E"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0.024 </w:t>
            </w:r>
          </w:p>
        </w:tc>
        <w:tc>
          <w:tcPr>
            <w:tcW w:w="1953" w:type="dxa"/>
            <w:tcBorders>
              <w:tl2br w:val="nil"/>
              <w:tr2bl w:val="nil"/>
            </w:tcBorders>
            <w:vAlign w:val="center"/>
          </w:tcPr>
          <w:p w14:paraId="71B972A3"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2.027 </w:t>
            </w:r>
          </w:p>
        </w:tc>
      </w:tr>
      <w:tr w:rsidR="009D12AF" w14:paraId="65878B91" w14:textId="77777777">
        <w:trPr>
          <w:trHeight w:val="285"/>
        </w:trPr>
        <w:tc>
          <w:tcPr>
            <w:tcW w:w="1529" w:type="dxa"/>
            <w:vMerge/>
            <w:tcBorders>
              <w:tl2br w:val="nil"/>
              <w:tr2bl w:val="nil"/>
            </w:tcBorders>
            <w:vAlign w:val="center"/>
          </w:tcPr>
          <w:p w14:paraId="48968AF5"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525DC3A0"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Na</w:t>
            </w:r>
            <w:r>
              <w:rPr>
                <w:rFonts w:ascii="Times New Roman" w:eastAsia="宋体" w:hAnsi="Times New Roman" w:cs="Times New Roman"/>
                <w:color w:val="000000"/>
                <w:kern w:val="0"/>
                <w:sz w:val="21"/>
                <w:szCs w:val="21"/>
                <w:vertAlign w:val="superscript"/>
                <w:lang w:bidi="ar"/>
              </w:rPr>
              <w:t>+</w:t>
            </w:r>
          </w:p>
        </w:tc>
        <w:tc>
          <w:tcPr>
            <w:tcW w:w="1556" w:type="dxa"/>
            <w:tcBorders>
              <w:tl2br w:val="nil"/>
              <w:tr2bl w:val="nil"/>
            </w:tcBorders>
            <w:vAlign w:val="center"/>
          </w:tcPr>
          <w:p w14:paraId="7226BD2B"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12.6</w:t>
            </w:r>
          </w:p>
        </w:tc>
        <w:tc>
          <w:tcPr>
            <w:tcW w:w="1924" w:type="dxa"/>
            <w:tcBorders>
              <w:tl2br w:val="nil"/>
              <w:tr2bl w:val="nil"/>
            </w:tcBorders>
            <w:vAlign w:val="center"/>
          </w:tcPr>
          <w:p w14:paraId="533417FA"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0.548 </w:t>
            </w:r>
          </w:p>
        </w:tc>
        <w:tc>
          <w:tcPr>
            <w:tcW w:w="1953" w:type="dxa"/>
            <w:tcBorders>
              <w:tl2br w:val="nil"/>
              <w:tr2bl w:val="nil"/>
            </w:tcBorders>
            <w:vAlign w:val="center"/>
          </w:tcPr>
          <w:p w14:paraId="1088A751"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46.025 </w:t>
            </w:r>
          </w:p>
        </w:tc>
      </w:tr>
      <w:tr w:rsidR="009D12AF" w14:paraId="46123BBB" w14:textId="77777777">
        <w:trPr>
          <w:trHeight w:val="285"/>
        </w:trPr>
        <w:tc>
          <w:tcPr>
            <w:tcW w:w="1529" w:type="dxa"/>
            <w:vMerge/>
            <w:tcBorders>
              <w:tl2br w:val="nil"/>
              <w:tr2bl w:val="nil"/>
            </w:tcBorders>
            <w:vAlign w:val="center"/>
          </w:tcPr>
          <w:p w14:paraId="1C021BE9"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17F57225"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Ca</w:t>
            </w:r>
            <w:r>
              <w:rPr>
                <w:rFonts w:ascii="Times New Roman" w:eastAsia="宋体" w:hAnsi="Times New Roman" w:cs="Times New Roman"/>
                <w:color w:val="000000"/>
                <w:kern w:val="0"/>
                <w:sz w:val="21"/>
                <w:szCs w:val="21"/>
                <w:vertAlign w:val="superscript"/>
                <w:lang w:bidi="ar"/>
              </w:rPr>
              <w:t>2+</w:t>
            </w:r>
          </w:p>
        </w:tc>
        <w:tc>
          <w:tcPr>
            <w:tcW w:w="1556" w:type="dxa"/>
            <w:tcBorders>
              <w:tl2br w:val="nil"/>
              <w:tr2bl w:val="nil"/>
            </w:tcBorders>
            <w:vAlign w:val="center"/>
          </w:tcPr>
          <w:p w14:paraId="3E28A745"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15.7</w:t>
            </w:r>
          </w:p>
        </w:tc>
        <w:tc>
          <w:tcPr>
            <w:tcW w:w="1924" w:type="dxa"/>
            <w:tcBorders>
              <w:tl2br w:val="nil"/>
              <w:tr2bl w:val="nil"/>
            </w:tcBorders>
            <w:vAlign w:val="center"/>
          </w:tcPr>
          <w:p w14:paraId="38A5D3E4"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0.393 </w:t>
            </w:r>
          </w:p>
        </w:tc>
        <w:tc>
          <w:tcPr>
            <w:tcW w:w="1953" w:type="dxa"/>
            <w:tcBorders>
              <w:tl2br w:val="nil"/>
              <w:tr2bl w:val="nil"/>
            </w:tcBorders>
            <w:vAlign w:val="center"/>
          </w:tcPr>
          <w:p w14:paraId="4CBE92CA"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32.975 </w:t>
            </w:r>
          </w:p>
        </w:tc>
      </w:tr>
      <w:tr w:rsidR="009D12AF" w14:paraId="5CB9C4F6" w14:textId="77777777">
        <w:trPr>
          <w:trHeight w:val="285"/>
        </w:trPr>
        <w:tc>
          <w:tcPr>
            <w:tcW w:w="1529" w:type="dxa"/>
            <w:vMerge/>
            <w:tcBorders>
              <w:tl2br w:val="nil"/>
              <w:tr2bl w:val="nil"/>
            </w:tcBorders>
            <w:vAlign w:val="center"/>
          </w:tcPr>
          <w:p w14:paraId="448A416F"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06FD2AA0"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Mg</w:t>
            </w:r>
            <w:r>
              <w:rPr>
                <w:rFonts w:ascii="Times New Roman" w:eastAsia="宋体" w:hAnsi="Times New Roman" w:cs="Times New Roman"/>
                <w:color w:val="000000"/>
                <w:kern w:val="0"/>
                <w:sz w:val="21"/>
                <w:szCs w:val="21"/>
                <w:vertAlign w:val="superscript"/>
                <w:lang w:bidi="ar"/>
              </w:rPr>
              <w:t>2+</w:t>
            </w:r>
          </w:p>
        </w:tc>
        <w:tc>
          <w:tcPr>
            <w:tcW w:w="1556" w:type="dxa"/>
            <w:tcBorders>
              <w:tl2br w:val="nil"/>
              <w:tr2bl w:val="nil"/>
            </w:tcBorders>
            <w:vAlign w:val="center"/>
          </w:tcPr>
          <w:p w14:paraId="3958F3CC"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5.42</w:t>
            </w:r>
          </w:p>
        </w:tc>
        <w:tc>
          <w:tcPr>
            <w:tcW w:w="1924" w:type="dxa"/>
            <w:tcBorders>
              <w:tl2br w:val="nil"/>
              <w:tr2bl w:val="nil"/>
            </w:tcBorders>
            <w:vAlign w:val="center"/>
          </w:tcPr>
          <w:p w14:paraId="248DB160"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0.226 </w:t>
            </w:r>
          </w:p>
        </w:tc>
        <w:tc>
          <w:tcPr>
            <w:tcW w:w="1953" w:type="dxa"/>
            <w:tcBorders>
              <w:tl2br w:val="nil"/>
              <w:tr2bl w:val="nil"/>
            </w:tcBorders>
            <w:vAlign w:val="center"/>
          </w:tcPr>
          <w:p w14:paraId="6ADA88AA"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18.973 </w:t>
            </w:r>
          </w:p>
        </w:tc>
      </w:tr>
      <w:tr w:rsidR="009D12AF" w14:paraId="1E017D7F" w14:textId="77777777">
        <w:trPr>
          <w:trHeight w:val="285"/>
        </w:trPr>
        <w:tc>
          <w:tcPr>
            <w:tcW w:w="1529" w:type="dxa"/>
            <w:vMerge/>
            <w:tcBorders>
              <w:tl2br w:val="nil"/>
              <w:tr2bl w:val="nil"/>
            </w:tcBorders>
            <w:vAlign w:val="center"/>
          </w:tcPr>
          <w:p w14:paraId="5DC5FE16"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0FB18157"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宋体" w:eastAsia="宋体" w:hAnsi="宋体" w:cs="宋体" w:hint="eastAsia"/>
                <w:color w:val="000000"/>
                <w:kern w:val="0"/>
                <w:sz w:val="21"/>
                <w:szCs w:val="21"/>
                <w:lang w:bidi="ar"/>
              </w:rPr>
              <w:t>总计</w:t>
            </w:r>
          </w:p>
        </w:tc>
        <w:tc>
          <w:tcPr>
            <w:tcW w:w="1556" w:type="dxa"/>
            <w:tcBorders>
              <w:tl2br w:val="nil"/>
              <w:tr2bl w:val="nil"/>
            </w:tcBorders>
            <w:vAlign w:val="center"/>
          </w:tcPr>
          <w:p w14:paraId="27BB96F0"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34.661 </w:t>
            </w:r>
          </w:p>
        </w:tc>
        <w:tc>
          <w:tcPr>
            <w:tcW w:w="1924" w:type="dxa"/>
            <w:tcBorders>
              <w:tl2br w:val="nil"/>
              <w:tr2bl w:val="nil"/>
            </w:tcBorders>
            <w:vAlign w:val="center"/>
          </w:tcPr>
          <w:p w14:paraId="629A2EBB"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1.190 </w:t>
            </w:r>
          </w:p>
        </w:tc>
        <w:tc>
          <w:tcPr>
            <w:tcW w:w="1953" w:type="dxa"/>
            <w:tcBorders>
              <w:tl2br w:val="nil"/>
              <w:tr2bl w:val="nil"/>
            </w:tcBorders>
            <w:vAlign w:val="center"/>
          </w:tcPr>
          <w:p w14:paraId="4FFFA8F4"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100.000 </w:t>
            </w:r>
          </w:p>
        </w:tc>
      </w:tr>
      <w:tr w:rsidR="009D12AF" w14:paraId="71CC7CF6" w14:textId="77777777">
        <w:trPr>
          <w:trHeight w:val="285"/>
        </w:trPr>
        <w:tc>
          <w:tcPr>
            <w:tcW w:w="1529" w:type="dxa"/>
            <w:vMerge w:val="restart"/>
            <w:tcBorders>
              <w:tl2br w:val="nil"/>
              <w:tr2bl w:val="nil"/>
            </w:tcBorders>
            <w:vAlign w:val="center"/>
          </w:tcPr>
          <w:p w14:paraId="3A383758"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阴离子</w:t>
            </w:r>
          </w:p>
        </w:tc>
        <w:tc>
          <w:tcPr>
            <w:tcW w:w="1557" w:type="dxa"/>
            <w:tcBorders>
              <w:tl2br w:val="nil"/>
              <w:tr2bl w:val="nil"/>
            </w:tcBorders>
            <w:vAlign w:val="center"/>
          </w:tcPr>
          <w:p w14:paraId="19B00C61"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HCO</w:t>
            </w:r>
            <w:r>
              <w:rPr>
                <w:rFonts w:ascii="Times New Roman" w:eastAsia="宋体" w:hAnsi="Times New Roman" w:cs="Times New Roman"/>
                <w:color w:val="000000"/>
                <w:kern w:val="0"/>
                <w:sz w:val="21"/>
                <w:szCs w:val="21"/>
                <w:vertAlign w:val="subscript"/>
                <w:lang w:bidi="ar"/>
              </w:rPr>
              <w:t>3</w:t>
            </w:r>
            <w:r>
              <w:rPr>
                <w:rFonts w:ascii="Times New Roman" w:eastAsia="宋体" w:hAnsi="Times New Roman" w:cs="Times New Roman"/>
                <w:color w:val="000000"/>
                <w:kern w:val="0"/>
                <w:sz w:val="21"/>
                <w:szCs w:val="21"/>
                <w:vertAlign w:val="superscript"/>
                <w:lang w:bidi="ar"/>
              </w:rPr>
              <w:t>-</w:t>
            </w:r>
          </w:p>
        </w:tc>
        <w:tc>
          <w:tcPr>
            <w:tcW w:w="1556" w:type="dxa"/>
            <w:tcBorders>
              <w:tl2br w:val="nil"/>
              <w:tr2bl w:val="nil"/>
            </w:tcBorders>
            <w:vAlign w:val="center"/>
          </w:tcPr>
          <w:p w14:paraId="11D79DD0"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57</w:t>
            </w:r>
          </w:p>
        </w:tc>
        <w:tc>
          <w:tcPr>
            <w:tcW w:w="1924" w:type="dxa"/>
            <w:tcBorders>
              <w:tl2br w:val="nil"/>
              <w:tr2bl w:val="nil"/>
            </w:tcBorders>
            <w:vAlign w:val="center"/>
          </w:tcPr>
          <w:p w14:paraId="17CDED5C"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0.934 </w:t>
            </w:r>
          </w:p>
        </w:tc>
        <w:tc>
          <w:tcPr>
            <w:tcW w:w="1953" w:type="dxa"/>
            <w:tcBorders>
              <w:tl2br w:val="nil"/>
              <w:tr2bl w:val="nil"/>
            </w:tcBorders>
            <w:vAlign w:val="center"/>
          </w:tcPr>
          <w:p w14:paraId="5217B01F"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77.328 </w:t>
            </w:r>
          </w:p>
        </w:tc>
      </w:tr>
      <w:tr w:rsidR="009D12AF" w14:paraId="4C339599" w14:textId="77777777">
        <w:trPr>
          <w:trHeight w:val="285"/>
        </w:trPr>
        <w:tc>
          <w:tcPr>
            <w:tcW w:w="1529" w:type="dxa"/>
            <w:vMerge/>
            <w:tcBorders>
              <w:tl2br w:val="nil"/>
              <w:tr2bl w:val="nil"/>
            </w:tcBorders>
            <w:vAlign w:val="center"/>
          </w:tcPr>
          <w:p w14:paraId="4CE2D231"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34A68023"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Cl</w:t>
            </w:r>
            <w:r>
              <w:rPr>
                <w:rFonts w:ascii="Times New Roman" w:eastAsia="宋体" w:hAnsi="Times New Roman" w:cs="Times New Roman"/>
                <w:color w:val="000000"/>
                <w:kern w:val="0"/>
                <w:sz w:val="21"/>
                <w:szCs w:val="21"/>
                <w:vertAlign w:val="superscript"/>
                <w:lang w:bidi="ar"/>
              </w:rPr>
              <w:t>-</w:t>
            </w:r>
          </w:p>
        </w:tc>
        <w:tc>
          <w:tcPr>
            <w:tcW w:w="1556" w:type="dxa"/>
            <w:tcBorders>
              <w:tl2br w:val="nil"/>
              <w:tr2bl w:val="nil"/>
            </w:tcBorders>
            <w:vAlign w:val="center"/>
          </w:tcPr>
          <w:p w14:paraId="728E8C7D"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5.88</w:t>
            </w:r>
          </w:p>
        </w:tc>
        <w:tc>
          <w:tcPr>
            <w:tcW w:w="1924" w:type="dxa"/>
            <w:tcBorders>
              <w:tl2br w:val="nil"/>
              <w:tr2bl w:val="nil"/>
            </w:tcBorders>
            <w:vAlign w:val="center"/>
          </w:tcPr>
          <w:p w14:paraId="61B08614"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0.166 </w:t>
            </w:r>
          </w:p>
        </w:tc>
        <w:tc>
          <w:tcPr>
            <w:tcW w:w="1953" w:type="dxa"/>
            <w:tcBorders>
              <w:tl2br w:val="nil"/>
              <w:tr2bl w:val="nil"/>
            </w:tcBorders>
            <w:vAlign w:val="center"/>
          </w:tcPr>
          <w:p w14:paraId="4C14920B"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13.707 </w:t>
            </w:r>
          </w:p>
        </w:tc>
      </w:tr>
      <w:tr w:rsidR="009D12AF" w14:paraId="2359D6CD" w14:textId="77777777">
        <w:trPr>
          <w:trHeight w:val="285"/>
        </w:trPr>
        <w:tc>
          <w:tcPr>
            <w:tcW w:w="1529" w:type="dxa"/>
            <w:vMerge/>
            <w:tcBorders>
              <w:tl2br w:val="nil"/>
              <w:tr2bl w:val="nil"/>
            </w:tcBorders>
            <w:vAlign w:val="center"/>
          </w:tcPr>
          <w:p w14:paraId="71FEF41B"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5CE7B4BB"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SO</w:t>
            </w:r>
            <w:r>
              <w:rPr>
                <w:rFonts w:ascii="Times New Roman" w:eastAsia="宋体" w:hAnsi="Times New Roman" w:cs="Times New Roman"/>
                <w:color w:val="000000"/>
                <w:kern w:val="0"/>
                <w:sz w:val="21"/>
                <w:szCs w:val="21"/>
                <w:vertAlign w:val="subscript"/>
                <w:lang w:bidi="ar"/>
              </w:rPr>
              <w:t>4</w:t>
            </w:r>
            <w:r>
              <w:rPr>
                <w:rFonts w:ascii="Times New Roman" w:eastAsia="宋体" w:hAnsi="Times New Roman" w:cs="Times New Roman"/>
                <w:color w:val="000000"/>
                <w:kern w:val="0"/>
                <w:sz w:val="21"/>
                <w:szCs w:val="21"/>
                <w:vertAlign w:val="superscript"/>
                <w:lang w:bidi="ar"/>
              </w:rPr>
              <w:t>2-</w:t>
            </w:r>
          </w:p>
        </w:tc>
        <w:tc>
          <w:tcPr>
            <w:tcW w:w="1556" w:type="dxa"/>
            <w:tcBorders>
              <w:tl2br w:val="nil"/>
              <w:tr2bl w:val="nil"/>
            </w:tcBorders>
            <w:vAlign w:val="center"/>
          </w:tcPr>
          <w:p w14:paraId="400D4CC4"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10.4</w:t>
            </w:r>
          </w:p>
        </w:tc>
        <w:tc>
          <w:tcPr>
            <w:tcW w:w="1924" w:type="dxa"/>
            <w:tcBorders>
              <w:tl2br w:val="nil"/>
              <w:tr2bl w:val="nil"/>
            </w:tcBorders>
            <w:vAlign w:val="center"/>
          </w:tcPr>
          <w:p w14:paraId="5946C515"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0.108 </w:t>
            </w:r>
          </w:p>
        </w:tc>
        <w:tc>
          <w:tcPr>
            <w:tcW w:w="1953" w:type="dxa"/>
            <w:tcBorders>
              <w:tl2br w:val="nil"/>
              <w:tr2bl w:val="nil"/>
            </w:tcBorders>
            <w:vAlign w:val="center"/>
          </w:tcPr>
          <w:p w14:paraId="0B039438"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8.965 </w:t>
            </w:r>
          </w:p>
        </w:tc>
      </w:tr>
      <w:tr w:rsidR="009D12AF" w14:paraId="77DFD57A" w14:textId="77777777">
        <w:trPr>
          <w:trHeight w:val="285"/>
        </w:trPr>
        <w:tc>
          <w:tcPr>
            <w:tcW w:w="1529" w:type="dxa"/>
            <w:vMerge/>
            <w:tcBorders>
              <w:tl2br w:val="nil"/>
              <w:tr2bl w:val="nil"/>
            </w:tcBorders>
            <w:vAlign w:val="center"/>
          </w:tcPr>
          <w:p w14:paraId="489241A0"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2DEC7815"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宋体" w:eastAsia="宋体" w:hAnsi="宋体" w:cs="宋体" w:hint="eastAsia"/>
                <w:color w:val="000000"/>
                <w:kern w:val="0"/>
                <w:sz w:val="21"/>
                <w:szCs w:val="21"/>
                <w:lang w:bidi="ar"/>
              </w:rPr>
              <w:t>总计</w:t>
            </w:r>
          </w:p>
        </w:tc>
        <w:tc>
          <w:tcPr>
            <w:tcW w:w="1556" w:type="dxa"/>
            <w:tcBorders>
              <w:tl2br w:val="nil"/>
              <w:tr2bl w:val="nil"/>
            </w:tcBorders>
            <w:vAlign w:val="center"/>
          </w:tcPr>
          <w:p w14:paraId="63C7991D"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73.280 </w:t>
            </w:r>
          </w:p>
        </w:tc>
        <w:tc>
          <w:tcPr>
            <w:tcW w:w="1924" w:type="dxa"/>
            <w:tcBorders>
              <w:tl2br w:val="nil"/>
              <w:tr2bl w:val="nil"/>
            </w:tcBorders>
            <w:vAlign w:val="center"/>
          </w:tcPr>
          <w:p w14:paraId="7B49E56B"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1.208 </w:t>
            </w:r>
          </w:p>
        </w:tc>
        <w:tc>
          <w:tcPr>
            <w:tcW w:w="1953" w:type="dxa"/>
            <w:tcBorders>
              <w:tl2br w:val="nil"/>
              <w:tr2bl w:val="nil"/>
            </w:tcBorders>
            <w:vAlign w:val="center"/>
          </w:tcPr>
          <w:p w14:paraId="5CF32BB0"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100.000 </w:t>
            </w:r>
          </w:p>
        </w:tc>
      </w:tr>
      <w:tr w:rsidR="009D12AF" w14:paraId="2E10E9D5" w14:textId="77777777">
        <w:trPr>
          <w:trHeight w:val="285"/>
        </w:trPr>
        <w:tc>
          <w:tcPr>
            <w:tcW w:w="3086" w:type="dxa"/>
            <w:gridSpan w:val="2"/>
            <w:tcBorders>
              <w:tl2br w:val="nil"/>
              <w:tr2bl w:val="nil"/>
            </w:tcBorders>
            <w:vAlign w:val="center"/>
          </w:tcPr>
          <w:p w14:paraId="610DA1A7"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hint="eastAsia"/>
                <w:color w:val="000000"/>
                <w:kern w:val="0"/>
                <w:sz w:val="21"/>
                <w:szCs w:val="21"/>
                <w:lang w:bidi="ar"/>
              </w:rPr>
              <w:t>7</w:t>
            </w:r>
            <w:r>
              <w:rPr>
                <w:rFonts w:ascii="Times New Roman" w:eastAsia="宋体" w:hAnsi="Times New Roman" w:cs="Times New Roman"/>
                <w:color w:val="000000"/>
                <w:kern w:val="0"/>
                <w:sz w:val="21"/>
                <w:szCs w:val="21"/>
                <w:lang w:bidi="ar"/>
              </w:rPr>
              <w:t>#</w:t>
            </w:r>
            <w:r>
              <w:rPr>
                <w:rFonts w:ascii="宋体" w:eastAsia="宋体" w:hAnsi="宋体" w:cs="宋体" w:hint="eastAsia"/>
                <w:color w:val="000000"/>
                <w:kern w:val="0"/>
                <w:sz w:val="21"/>
                <w:szCs w:val="21"/>
                <w:lang w:bidi="ar"/>
              </w:rPr>
              <w:t>离子</w:t>
            </w:r>
          </w:p>
        </w:tc>
        <w:tc>
          <w:tcPr>
            <w:tcW w:w="1556" w:type="dxa"/>
            <w:tcBorders>
              <w:tl2br w:val="nil"/>
              <w:tr2bl w:val="nil"/>
            </w:tcBorders>
            <w:vAlign w:val="center"/>
          </w:tcPr>
          <w:p w14:paraId="62FF7914"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mg/L</w:t>
            </w:r>
          </w:p>
        </w:tc>
        <w:tc>
          <w:tcPr>
            <w:tcW w:w="1924" w:type="dxa"/>
            <w:tcBorders>
              <w:tl2br w:val="nil"/>
              <w:tr2bl w:val="nil"/>
            </w:tcBorders>
            <w:vAlign w:val="center"/>
          </w:tcPr>
          <w:p w14:paraId="7DD4E64E"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meq/L</w:t>
            </w:r>
          </w:p>
        </w:tc>
        <w:tc>
          <w:tcPr>
            <w:tcW w:w="1953" w:type="dxa"/>
            <w:tcBorders>
              <w:tl2br w:val="nil"/>
              <w:tr2bl w:val="nil"/>
            </w:tcBorders>
            <w:vAlign w:val="center"/>
          </w:tcPr>
          <w:p w14:paraId="6B9429B5"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meq%</w:t>
            </w:r>
          </w:p>
        </w:tc>
      </w:tr>
      <w:tr w:rsidR="009D12AF" w14:paraId="0BDB1F2B" w14:textId="77777777">
        <w:trPr>
          <w:trHeight w:val="285"/>
        </w:trPr>
        <w:tc>
          <w:tcPr>
            <w:tcW w:w="1529" w:type="dxa"/>
            <w:vMerge w:val="restart"/>
            <w:tcBorders>
              <w:tl2br w:val="nil"/>
              <w:tr2bl w:val="nil"/>
            </w:tcBorders>
            <w:vAlign w:val="center"/>
          </w:tcPr>
          <w:p w14:paraId="59E76B91" w14:textId="77777777" w:rsidR="009D12AF" w:rsidRDefault="00000000">
            <w:pPr>
              <w:widowControl/>
              <w:ind w:firstLineChars="0" w:firstLine="0"/>
              <w:jc w:val="center"/>
              <w:textAlignment w:val="center"/>
              <w:rPr>
                <w:rFonts w:ascii="宋体" w:eastAsia="宋体" w:hAnsi="宋体" w:cs="宋体" w:hint="eastAsia"/>
                <w:color w:val="000000"/>
                <w:sz w:val="21"/>
                <w:szCs w:val="21"/>
              </w:rPr>
            </w:pPr>
            <w:r>
              <w:rPr>
                <w:rFonts w:ascii="宋体" w:eastAsia="宋体" w:hAnsi="宋体" w:cs="宋体" w:hint="eastAsia"/>
                <w:color w:val="000000"/>
                <w:kern w:val="0"/>
                <w:sz w:val="21"/>
                <w:szCs w:val="21"/>
                <w:lang w:bidi="ar"/>
              </w:rPr>
              <w:t>阳离子</w:t>
            </w:r>
          </w:p>
        </w:tc>
        <w:tc>
          <w:tcPr>
            <w:tcW w:w="1557" w:type="dxa"/>
            <w:tcBorders>
              <w:tl2br w:val="nil"/>
              <w:tr2bl w:val="nil"/>
            </w:tcBorders>
            <w:vAlign w:val="center"/>
          </w:tcPr>
          <w:p w14:paraId="1E1675B1"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K</w:t>
            </w:r>
            <w:r>
              <w:rPr>
                <w:rFonts w:ascii="Times New Roman" w:eastAsia="宋体" w:hAnsi="Times New Roman" w:cs="Times New Roman"/>
                <w:color w:val="000000"/>
                <w:kern w:val="0"/>
                <w:sz w:val="21"/>
                <w:szCs w:val="21"/>
                <w:vertAlign w:val="superscript"/>
                <w:lang w:bidi="ar"/>
              </w:rPr>
              <w:t>+</w:t>
            </w:r>
          </w:p>
        </w:tc>
        <w:tc>
          <w:tcPr>
            <w:tcW w:w="1556" w:type="dxa"/>
            <w:tcBorders>
              <w:tl2br w:val="nil"/>
              <w:tr2bl w:val="nil"/>
            </w:tcBorders>
            <w:vAlign w:val="center"/>
          </w:tcPr>
          <w:p w14:paraId="5EADBCDF"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1.2</w:t>
            </w:r>
          </w:p>
        </w:tc>
        <w:tc>
          <w:tcPr>
            <w:tcW w:w="1924" w:type="dxa"/>
            <w:tcBorders>
              <w:tl2br w:val="nil"/>
              <w:tr2bl w:val="nil"/>
            </w:tcBorders>
            <w:vAlign w:val="center"/>
          </w:tcPr>
          <w:p w14:paraId="4A33B258"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0.031 </w:t>
            </w:r>
          </w:p>
        </w:tc>
        <w:tc>
          <w:tcPr>
            <w:tcW w:w="1953" w:type="dxa"/>
            <w:tcBorders>
              <w:tl2br w:val="nil"/>
              <w:tr2bl w:val="nil"/>
            </w:tcBorders>
            <w:vAlign w:val="center"/>
          </w:tcPr>
          <w:p w14:paraId="3C4DB30F"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1.207 </w:t>
            </w:r>
          </w:p>
        </w:tc>
      </w:tr>
      <w:tr w:rsidR="009D12AF" w14:paraId="5B8F1773" w14:textId="77777777">
        <w:trPr>
          <w:trHeight w:val="285"/>
        </w:trPr>
        <w:tc>
          <w:tcPr>
            <w:tcW w:w="1529" w:type="dxa"/>
            <w:vMerge/>
            <w:tcBorders>
              <w:tl2br w:val="nil"/>
              <w:tr2bl w:val="nil"/>
            </w:tcBorders>
            <w:vAlign w:val="center"/>
          </w:tcPr>
          <w:p w14:paraId="70476A7E"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7ECD549D"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Na</w:t>
            </w:r>
            <w:r>
              <w:rPr>
                <w:rFonts w:ascii="Times New Roman" w:eastAsia="宋体" w:hAnsi="Times New Roman" w:cs="Times New Roman"/>
                <w:color w:val="000000"/>
                <w:kern w:val="0"/>
                <w:sz w:val="21"/>
                <w:szCs w:val="21"/>
                <w:vertAlign w:val="superscript"/>
                <w:lang w:bidi="ar"/>
              </w:rPr>
              <w:t>+</w:t>
            </w:r>
          </w:p>
        </w:tc>
        <w:tc>
          <w:tcPr>
            <w:tcW w:w="1556" w:type="dxa"/>
            <w:tcBorders>
              <w:tl2br w:val="nil"/>
              <w:tr2bl w:val="nil"/>
            </w:tcBorders>
            <w:vAlign w:val="center"/>
          </w:tcPr>
          <w:p w14:paraId="2633FA28"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10.2</w:t>
            </w:r>
          </w:p>
        </w:tc>
        <w:tc>
          <w:tcPr>
            <w:tcW w:w="1924" w:type="dxa"/>
            <w:tcBorders>
              <w:tl2br w:val="nil"/>
              <w:tr2bl w:val="nil"/>
            </w:tcBorders>
            <w:vAlign w:val="center"/>
          </w:tcPr>
          <w:p w14:paraId="33109265"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0.443 </w:t>
            </w:r>
          </w:p>
        </w:tc>
        <w:tc>
          <w:tcPr>
            <w:tcW w:w="1953" w:type="dxa"/>
            <w:tcBorders>
              <w:tl2br w:val="nil"/>
              <w:tr2bl w:val="nil"/>
            </w:tcBorders>
            <w:vAlign w:val="center"/>
          </w:tcPr>
          <w:p w14:paraId="1DCCF992"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17.391 </w:t>
            </w:r>
          </w:p>
        </w:tc>
      </w:tr>
      <w:tr w:rsidR="009D12AF" w14:paraId="632DD2DD" w14:textId="77777777">
        <w:trPr>
          <w:trHeight w:val="285"/>
        </w:trPr>
        <w:tc>
          <w:tcPr>
            <w:tcW w:w="1529" w:type="dxa"/>
            <w:vMerge/>
            <w:tcBorders>
              <w:tl2br w:val="nil"/>
              <w:tr2bl w:val="nil"/>
            </w:tcBorders>
            <w:vAlign w:val="center"/>
          </w:tcPr>
          <w:p w14:paraId="1B838693"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1FCE692E"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Ca</w:t>
            </w:r>
            <w:r>
              <w:rPr>
                <w:rFonts w:ascii="Times New Roman" w:eastAsia="宋体" w:hAnsi="Times New Roman" w:cs="Times New Roman"/>
                <w:color w:val="000000"/>
                <w:kern w:val="0"/>
                <w:sz w:val="21"/>
                <w:szCs w:val="21"/>
                <w:vertAlign w:val="superscript"/>
                <w:lang w:bidi="ar"/>
              </w:rPr>
              <w:t>2+</w:t>
            </w:r>
          </w:p>
        </w:tc>
        <w:tc>
          <w:tcPr>
            <w:tcW w:w="1556" w:type="dxa"/>
            <w:tcBorders>
              <w:tl2br w:val="nil"/>
              <w:tr2bl w:val="nil"/>
            </w:tcBorders>
            <w:vAlign w:val="center"/>
          </w:tcPr>
          <w:p w14:paraId="4CA5D0E4"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65.2</w:t>
            </w:r>
          </w:p>
        </w:tc>
        <w:tc>
          <w:tcPr>
            <w:tcW w:w="1924" w:type="dxa"/>
            <w:tcBorders>
              <w:tl2br w:val="nil"/>
              <w:tr2bl w:val="nil"/>
            </w:tcBorders>
            <w:vAlign w:val="center"/>
          </w:tcPr>
          <w:p w14:paraId="104BAA1A"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1.630 </w:t>
            </w:r>
          </w:p>
        </w:tc>
        <w:tc>
          <w:tcPr>
            <w:tcW w:w="1953" w:type="dxa"/>
            <w:tcBorders>
              <w:tl2br w:val="nil"/>
              <w:tr2bl w:val="nil"/>
            </w:tcBorders>
            <w:vAlign w:val="center"/>
          </w:tcPr>
          <w:p w14:paraId="41C950CE"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63.920 </w:t>
            </w:r>
          </w:p>
        </w:tc>
      </w:tr>
      <w:tr w:rsidR="009D12AF" w14:paraId="128B965A" w14:textId="77777777">
        <w:trPr>
          <w:trHeight w:val="285"/>
        </w:trPr>
        <w:tc>
          <w:tcPr>
            <w:tcW w:w="1529" w:type="dxa"/>
            <w:vMerge/>
            <w:tcBorders>
              <w:tl2br w:val="nil"/>
              <w:tr2bl w:val="nil"/>
            </w:tcBorders>
            <w:vAlign w:val="center"/>
          </w:tcPr>
          <w:p w14:paraId="6FFF54EE"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316A16D6"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Mg</w:t>
            </w:r>
            <w:r>
              <w:rPr>
                <w:rFonts w:ascii="Times New Roman" w:eastAsia="宋体" w:hAnsi="Times New Roman" w:cs="Times New Roman"/>
                <w:color w:val="000000"/>
                <w:kern w:val="0"/>
                <w:sz w:val="21"/>
                <w:szCs w:val="21"/>
                <w:vertAlign w:val="superscript"/>
                <w:lang w:bidi="ar"/>
              </w:rPr>
              <w:t>2+</w:t>
            </w:r>
          </w:p>
        </w:tc>
        <w:tc>
          <w:tcPr>
            <w:tcW w:w="1556" w:type="dxa"/>
            <w:tcBorders>
              <w:tl2br w:val="nil"/>
              <w:tr2bl w:val="nil"/>
            </w:tcBorders>
            <w:vAlign w:val="center"/>
          </w:tcPr>
          <w:p w14:paraId="4DFAEAA1"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10.7</w:t>
            </w:r>
          </w:p>
        </w:tc>
        <w:tc>
          <w:tcPr>
            <w:tcW w:w="1924" w:type="dxa"/>
            <w:tcBorders>
              <w:tl2br w:val="nil"/>
              <w:tr2bl w:val="nil"/>
            </w:tcBorders>
            <w:vAlign w:val="center"/>
          </w:tcPr>
          <w:p w14:paraId="2E0808FE"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0.446 </w:t>
            </w:r>
          </w:p>
        </w:tc>
        <w:tc>
          <w:tcPr>
            <w:tcW w:w="1953" w:type="dxa"/>
            <w:tcBorders>
              <w:tl2br w:val="nil"/>
              <w:tr2bl w:val="nil"/>
            </w:tcBorders>
            <w:vAlign w:val="center"/>
          </w:tcPr>
          <w:p w14:paraId="054DBE56"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17.483 </w:t>
            </w:r>
          </w:p>
        </w:tc>
      </w:tr>
      <w:tr w:rsidR="009D12AF" w14:paraId="1884C8E8" w14:textId="77777777">
        <w:trPr>
          <w:trHeight w:val="285"/>
        </w:trPr>
        <w:tc>
          <w:tcPr>
            <w:tcW w:w="1529" w:type="dxa"/>
            <w:vMerge/>
            <w:tcBorders>
              <w:tl2br w:val="nil"/>
              <w:tr2bl w:val="nil"/>
            </w:tcBorders>
            <w:vAlign w:val="center"/>
          </w:tcPr>
          <w:p w14:paraId="1013BB83"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600D48A2"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宋体" w:eastAsia="宋体" w:hAnsi="宋体" w:cs="宋体" w:hint="eastAsia"/>
                <w:color w:val="000000"/>
                <w:kern w:val="0"/>
                <w:sz w:val="21"/>
                <w:szCs w:val="21"/>
                <w:lang w:bidi="ar"/>
              </w:rPr>
              <w:t>总计</w:t>
            </w:r>
          </w:p>
        </w:tc>
        <w:tc>
          <w:tcPr>
            <w:tcW w:w="1556" w:type="dxa"/>
            <w:tcBorders>
              <w:tl2br w:val="nil"/>
              <w:tr2bl w:val="nil"/>
            </w:tcBorders>
            <w:vAlign w:val="center"/>
          </w:tcPr>
          <w:p w14:paraId="78A869F5"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87.300 </w:t>
            </w:r>
          </w:p>
        </w:tc>
        <w:tc>
          <w:tcPr>
            <w:tcW w:w="1924" w:type="dxa"/>
            <w:tcBorders>
              <w:tl2br w:val="nil"/>
              <w:tr2bl w:val="nil"/>
            </w:tcBorders>
            <w:vAlign w:val="center"/>
          </w:tcPr>
          <w:p w14:paraId="6FF5C68D"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2.550 </w:t>
            </w:r>
          </w:p>
        </w:tc>
        <w:tc>
          <w:tcPr>
            <w:tcW w:w="1953" w:type="dxa"/>
            <w:tcBorders>
              <w:tl2br w:val="nil"/>
              <w:tr2bl w:val="nil"/>
            </w:tcBorders>
            <w:vAlign w:val="center"/>
          </w:tcPr>
          <w:p w14:paraId="42CEF473"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100.000 </w:t>
            </w:r>
          </w:p>
        </w:tc>
      </w:tr>
      <w:tr w:rsidR="009D12AF" w14:paraId="5338A82F" w14:textId="77777777">
        <w:trPr>
          <w:trHeight w:val="285"/>
        </w:trPr>
        <w:tc>
          <w:tcPr>
            <w:tcW w:w="1529" w:type="dxa"/>
            <w:vMerge w:val="restart"/>
            <w:tcBorders>
              <w:tl2br w:val="nil"/>
              <w:tr2bl w:val="nil"/>
            </w:tcBorders>
            <w:vAlign w:val="center"/>
          </w:tcPr>
          <w:p w14:paraId="391C19B0" w14:textId="77777777" w:rsidR="009D12AF" w:rsidRDefault="00000000">
            <w:pPr>
              <w:widowControl/>
              <w:ind w:firstLineChars="0" w:firstLine="0"/>
              <w:jc w:val="center"/>
              <w:textAlignment w:val="center"/>
            </w:pPr>
            <w:r>
              <w:rPr>
                <w:rFonts w:ascii="宋体" w:eastAsia="宋体" w:hAnsi="宋体" w:cs="宋体" w:hint="eastAsia"/>
                <w:color w:val="000000"/>
                <w:kern w:val="0"/>
                <w:sz w:val="21"/>
                <w:szCs w:val="21"/>
                <w:lang w:bidi="ar"/>
              </w:rPr>
              <w:t>阴离子</w:t>
            </w:r>
          </w:p>
        </w:tc>
        <w:tc>
          <w:tcPr>
            <w:tcW w:w="1557" w:type="dxa"/>
            <w:tcBorders>
              <w:tl2br w:val="nil"/>
              <w:tr2bl w:val="nil"/>
            </w:tcBorders>
            <w:vAlign w:val="center"/>
          </w:tcPr>
          <w:p w14:paraId="061251A1"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HCO</w:t>
            </w:r>
            <w:r>
              <w:rPr>
                <w:rFonts w:ascii="Times New Roman" w:eastAsia="宋体" w:hAnsi="Times New Roman" w:cs="Times New Roman"/>
                <w:color w:val="000000"/>
                <w:kern w:val="0"/>
                <w:sz w:val="21"/>
                <w:szCs w:val="21"/>
                <w:vertAlign w:val="subscript"/>
                <w:lang w:bidi="ar"/>
              </w:rPr>
              <w:t>3</w:t>
            </w:r>
            <w:r>
              <w:rPr>
                <w:rFonts w:ascii="Times New Roman" w:eastAsia="宋体" w:hAnsi="Times New Roman" w:cs="Times New Roman"/>
                <w:color w:val="000000"/>
                <w:kern w:val="0"/>
                <w:sz w:val="21"/>
                <w:szCs w:val="21"/>
                <w:vertAlign w:val="superscript"/>
                <w:lang w:bidi="ar"/>
              </w:rPr>
              <w:t>-</w:t>
            </w:r>
          </w:p>
        </w:tc>
        <w:tc>
          <w:tcPr>
            <w:tcW w:w="1556" w:type="dxa"/>
            <w:tcBorders>
              <w:tl2br w:val="nil"/>
              <w:tr2bl w:val="nil"/>
            </w:tcBorders>
            <w:vAlign w:val="center"/>
          </w:tcPr>
          <w:p w14:paraId="07D2350E"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121</w:t>
            </w:r>
          </w:p>
        </w:tc>
        <w:tc>
          <w:tcPr>
            <w:tcW w:w="1924" w:type="dxa"/>
            <w:tcBorders>
              <w:tl2br w:val="nil"/>
              <w:tr2bl w:val="nil"/>
            </w:tcBorders>
            <w:vAlign w:val="center"/>
          </w:tcPr>
          <w:p w14:paraId="264A09F8"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1.984 </w:t>
            </w:r>
          </w:p>
        </w:tc>
        <w:tc>
          <w:tcPr>
            <w:tcW w:w="1953" w:type="dxa"/>
            <w:tcBorders>
              <w:tl2br w:val="nil"/>
              <w:tr2bl w:val="nil"/>
            </w:tcBorders>
            <w:vAlign w:val="center"/>
          </w:tcPr>
          <w:p w14:paraId="016D2532"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69.576 </w:t>
            </w:r>
          </w:p>
        </w:tc>
      </w:tr>
      <w:tr w:rsidR="009D12AF" w14:paraId="09D46D27" w14:textId="77777777">
        <w:trPr>
          <w:trHeight w:val="492"/>
        </w:trPr>
        <w:tc>
          <w:tcPr>
            <w:tcW w:w="1529" w:type="dxa"/>
            <w:vMerge/>
            <w:tcBorders>
              <w:tl2br w:val="nil"/>
              <w:tr2bl w:val="nil"/>
            </w:tcBorders>
            <w:vAlign w:val="center"/>
          </w:tcPr>
          <w:p w14:paraId="3F98F5AE"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6A15FB03"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Cl</w:t>
            </w:r>
            <w:r>
              <w:rPr>
                <w:rFonts w:ascii="Times New Roman" w:eastAsia="宋体" w:hAnsi="Times New Roman" w:cs="Times New Roman"/>
                <w:color w:val="000000"/>
                <w:kern w:val="0"/>
                <w:sz w:val="21"/>
                <w:szCs w:val="21"/>
                <w:vertAlign w:val="superscript"/>
                <w:lang w:bidi="ar"/>
              </w:rPr>
              <w:t>-</w:t>
            </w:r>
          </w:p>
        </w:tc>
        <w:tc>
          <w:tcPr>
            <w:tcW w:w="1556" w:type="dxa"/>
            <w:tcBorders>
              <w:tl2br w:val="nil"/>
              <w:tr2bl w:val="nil"/>
            </w:tcBorders>
            <w:vAlign w:val="center"/>
          </w:tcPr>
          <w:p w14:paraId="684B8405"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23.1</w:t>
            </w:r>
          </w:p>
        </w:tc>
        <w:tc>
          <w:tcPr>
            <w:tcW w:w="1924" w:type="dxa"/>
            <w:tcBorders>
              <w:tl2br w:val="nil"/>
              <w:tr2bl w:val="nil"/>
            </w:tcBorders>
            <w:vAlign w:val="center"/>
          </w:tcPr>
          <w:p w14:paraId="34149D2B"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0.651 </w:t>
            </w:r>
          </w:p>
        </w:tc>
        <w:tc>
          <w:tcPr>
            <w:tcW w:w="1953" w:type="dxa"/>
            <w:tcBorders>
              <w:tl2br w:val="nil"/>
              <w:tr2bl w:val="nil"/>
            </w:tcBorders>
            <w:vAlign w:val="center"/>
          </w:tcPr>
          <w:p w14:paraId="15DE3CEF"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22.824 </w:t>
            </w:r>
          </w:p>
        </w:tc>
      </w:tr>
      <w:tr w:rsidR="009D12AF" w14:paraId="51036B4E" w14:textId="77777777">
        <w:trPr>
          <w:trHeight w:val="285"/>
        </w:trPr>
        <w:tc>
          <w:tcPr>
            <w:tcW w:w="1529" w:type="dxa"/>
            <w:vMerge/>
            <w:tcBorders>
              <w:tl2br w:val="nil"/>
              <w:tr2bl w:val="nil"/>
            </w:tcBorders>
            <w:vAlign w:val="center"/>
          </w:tcPr>
          <w:p w14:paraId="356C19DB"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0F28B23D"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Times New Roman" w:eastAsia="宋体" w:hAnsi="Times New Roman" w:cs="Times New Roman"/>
                <w:color w:val="000000"/>
                <w:kern w:val="0"/>
                <w:sz w:val="21"/>
                <w:szCs w:val="21"/>
                <w:lang w:bidi="ar"/>
              </w:rPr>
              <w:t>SO</w:t>
            </w:r>
            <w:r>
              <w:rPr>
                <w:rFonts w:ascii="Times New Roman" w:eastAsia="宋体" w:hAnsi="Times New Roman" w:cs="Times New Roman"/>
                <w:color w:val="000000"/>
                <w:kern w:val="0"/>
                <w:sz w:val="21"/>
                <w:szCs w:val="21"/>
                <w:vertAlign w:val="subscript"/>
                <w:lang w:bidi="ar"/>
              </w:rPr>
              <w:t>4</w:t>
            </w:r>
            <w:r>
              <w:rPr>
                <w:rFonts w:ascii="Times New Roman" w:eastAsia="宋体" w:hAnsi="Times New Roman" w:cs="Times New Roman"/>
                <w:color w:val="000000"/>
                <w:kern w:val="0"/>
                <w:sz w:val="21"/>
                <w:szCs w:val="21"/>
                <w:vertAlign w:val="superscript"/>
                <w:lang w:bidi="ar"/>
              </w:rPr>
              <w:t>2-</w:t>
            </w:r>
          </w:p>
        </w:tc>
        <w:tc>
          <w:tcPr>
            <w:tcW w:w="1556" w:type="dxa"/>
            <w:tcBorders>
              <w:tl2br w:val="nil"/>
              <w:tr2bl w:val="nil"/>
            </w:tcBorders>
            <w:vAlign w:val="center"/>
          </w:tcPr>
          <w:p w14:paraId="274A932C"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20.8</w:t>
            </w:r>
          </w:p>
        </w:tc>
        <w:tc>
          <w:tcPr>
            <w:tcW w:w="1924" w:type="dxa"/>
            <w:tcBorders>
              <w:tl2br w:val="nil"/>
              <w:tr2bl w:val="nil"/>
            </w:tcBorders>
            <w:vAlign w:val="center"/>
          </w:tcPr>
          <w:p w14:paraId="72FCBD9F"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0.217 </w:t>
            </w:r>
          </w:p>
        </w:tc>
        <w:tc>
          <w:tcPr>
            <w:tcW w:w="1953" w:type="dxa"/>
            <w:tcBorders>
              <w:tl2br w:val="nil"/>
              <w:tr2bl w:val="nil"/>
            </w:tcBorders>
            <w:vAlign w:val="center"/>
          </w:tcPr>
          <w:p w14:paraId="65037744"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7.600 </w:t>
            </w:r>
          </w:p>
        </w:tc>
      </w:tr>
      <w:tr w:rsidR="009D12AF" w14:paraId="73B710AA" w14:textId="77777777">
        <w:trPr>
          <w:trHeight w:val="285"/>
        </w:trPr>
        <w:tc>
          <w:tcPr>
            <w:tcW w:w="1529" w:type="dxa"/>
            <w:vMerge/>
            <w:tcBorders>
              <w:tl2br w:val="nil"/>
              <w:tr2bl w:val="nil"/>
            </w:tcBorders>
            <w:vAlign w:val="center"/>
          </w:tcPr>
          <w:p w14:paraId="0B3875FE" w14:textId="77777777" w:rsidR="009D12AF" w:rsidRDefault="009D12AF">
            <w:pPr>
              <w:ind w:firstLineChars="0" w:firstLine="0"/>
              <w:jc w:val="center"/>
              <w:rPr>
                <w:rFonts w:ascii="宋体" w:eastAsia="宋体" w:hAnsi="宋体" w:cs="宋体" w:hint="eastAsia"/>
                <w:color w:val="000000"/>
                <w:sz w:val="21"/>
                <w:szCs w:val="21"/>
              </w:rPr>
            </w:pPr>
          </w:p>
        </w:tc>
        <w:tc>
          <w:tcPr>
            <w:tcW w:w="1557" w:type="dxa"/>
            <w:tcBorders>
              <w:tl2br w:val="nil"/>
              <w:tr2bl w:val="nil"/>
            </w:tcBorders>
            <w:vAlign w:val="center"/>
          </w:tcPr>
          <w:p w14:paraId="10133EE8" w14:textId="77777777" w:rsidR="009D12AF" w:rsidRDefault="00000000">
            <w:pPr>
              <w:widowControl/>
              <w:ind w:firstLineChars="0" w:firstLine="0"/>
              <w:jc w:val="center"/>
              <w:textAlignment w:val="center"/>
              <w:rPr>
                <w:rFonts w:ascii="宋体" w:eastAsia="宋体" w:hAnsi="宋体" w:cs="宋体" w:hint="eastAsia"/>
                <w:color w:val="000000"/>
                <w:kern w:val="0"/>
                <w:sz w:val="21"/>
                <w:szCs w:val="21"/>
                <w:lang w:bidi="ar"/>
              </w:rPr>
            </w:pPr>
            <w:r>
              <w:rPr>
                <w:rFonts w:ascii="宋体" w:eastAsia="宋体" w:hAnsi="宋体" w:cs="宋体" w:hint="eastAsia"/>
                <w:color w:val="000000"/>
                <w:kern w:val="0"/>
                <w:sz w:val="21"/>
                <w:szCs w:val="21"/>
                <w:lang w:bidi="ar"/>
              </w:rPr>
              <w:t>总计</w:t>
            </w:r>
          </w:p>
        </w:tc>
        <w:tc>
          <w:tcPr>
            <w:tcW w:w="1556" w:type="dxa"/>
            <w:tcBorders>
              <w:tl2br w:val="nil"/>
              <w:tr2bl w:val="nil"/>
            </w:tcBorders>
            <w:vAlign w:val="center"/>
          </w:tcPr>
          <w:p w14:paraId="4D611582"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164.900 </w:t>
            </w:r>
          </w:p>
        </w:tc>
        <w:tc>
          <w:tcPr>
            <w:tcW w:w="1924" w:type="dxa"/>
            <w:tcBorders>
              <w:tl2br w:val="nil"/>
              <w:tr2bl w:val="nil"/>
            </w:tcBorders>
            <w:vAlign w:val="center"/>
          </w:tcPr>
          <w:p w14:paraId="20830428"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2.851 </w:t>
            </w:r>
          </w:p>
        </w:tc>
        <w:tc>
          <w:tcPr>
            <w:tcW w:w="1953" w:type="dxa"/>
            <w:tcBorders>
              <w:tl2br w:val="nil"/>
              <w:tr2bl w:val="nil"/>
            </w:tcBorders>
            <w:vAlign w:val="center"/>
          </w:tcPr>
          <w:p w14:paraId="5D432388" w14:textId="77777777" w:rsidR="009D12AF" w:rsidRDefault="00000000">
            <w:pPr>
              <w:widowControl/>
              <w:ind w:firstLineChars="0" w:firstLine="0"/>
              <w:jc w:val="center"/>
              <w:textAlignment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 xml:space="preserve">100.000 </w:t>
            </w:r>
          </w:p>
        </w:tc>
      </w:tr>
    </w:tbl>
    <w:p w14:paraId="5107380D" w14:textId="77777777" w:rsidR="009D12AF" w:rsidRDefault="00000000">
      <w:pPr>
        <w:ind w:firstLine="480"/>
        <w:rPr>
          <w:rFonts w:ascii="Times New Roman" w:hAnsi="Times New Roman" w:cs="Times New Roman"/>
        </w:rPr>
      </w:pPr>
      <w:r>
        <w:rPr>
          <w:rFonts w:ascii="Times New Roman" w:hAnsi="Times New Roman" w:cs="Times New Roman"/>
        </w:rPr>
        <w:t>1#</w:t>
      </w:r>
      <w:r>
        <w:rPr>
          <w:rFonts w:ascii="Times New Roman" w:hAnsi="Times New Roman" w:cs="Times New Roman"/>
        </w:rPr>
        <w:t>水质矿化度计算过程：</w:t>
      </w:r>
    </w:p>
    <w:p w14:paraId="1CFE32F3" w14:textId="77777777" w:rsidR="009D12AF" w:rsidRDefault="00000000">
      <w:pPr>
        <w:ind w:firstLine="480"/>
        <w:contextualSpacing/>
        <w:rPr>
          <w:rFonts w:ascii="Times New Roman" w:hAnsi="Times New Roman" w:cs="Times New Roman"/>
        </w:rPr>
      </w:pPr>
      <w:r>
        <w:rPr>
          <w:rFonts w:ascii="Times New Roman" w:hAnsi="Times New Roman" w:cs="Times New Roman"/>
        </w:rPr>
        <w:t>应先将阴离子的</w:t>
      </w:r>
      <w:r>
        <w:rPr>
          <w:rFonts w:ascii="Times New Roman" w:hAnsi="Times New Roman" w:cs="Times New Roman"/>
        </w:rPr>
        <w:t>mg/L</w:t>
      </w:r>
      <w:r>
        <w:rPr>
          <w:rFonts w:ascii="Times New Roman" w:hAnsi="Times New Roman" w:cs="Times New Roman"/>
        </w:rPr>
        <w:t>数换算成</w:t>
      </w:r>
      <w:r>
        <w:rPr>
          <w:rFonts w:ascii="Times New Roman" w:hAnsi="Times New Roman" w:cs="Times New Roman"/>
        </w:rPr>
        <w:t>mmol/L</w:t>
      </w:r>
      <w:r>
        <w:rPr>
          <w:rFonts w:ascii="Times New Roman" w:hAnsi="Times New Roman" w:cs="Times New Roman"/>
        </w:rPr>
        <w:t>数。它们的摩尔质量</w:t>
      </w:r>
      <w:r>
        <w:rPr>
          <w:rFonts w:ascii="Times New Roman" w:hAnsi="Times New Roman" w:cs="Times New Roman"/>
        </w:rPr>
        <w:t>—mg/mmol</w:t>
      </w:r>
      <w:r>
        <w:rPr>
          <w:rFonts w:ascii="Times New Roman" w:hAnsi="Times New Roman" w:cs="Times New Roman"/>
        </w:rPr>
        <w:t>数分别采用：</w:t>
      </w:r>
      <w:r>
        <w:rPr>
          <w:rFonts w:ascii="Times New Roman" w:hAnsi="Times New Roman" w:cs="Times New Roman"/>
        </w:rPr>
        <w:t>M</w:t>
      </w:r>
      <w:r>
        <w:rPr>
          <w:rFonts w:ascii="Times New Roman" w:hAnsi="Times New Roman" w:cs="Times New Roman"/>
        </w:rPr>
        <w:t>（</w:t>
      </w:r>
      <m:oMath>
        <m:f>
          <m:fPr>
            <m:type m:val="skw"/>
            <m:ctrlPr>
              <w:rPr>
                <w:rFonts w:ascii="Cambria Math" w:hAnsi="Cambria Math" w:cs="Times New Roman"/>
              </w:rPr>
            </m:ctrlPr>
          </m:fPr>
          <m:num>
            <m:r>
              <m:rPr>
                <m:sty m:val="p"/>
              </m:rPr>
              <w:rPr>
                <w:rFonts w:ascii="Cambria Math" w:hAnsi="Cambria Math" w:cs="Times New Roman"/>
              </w:rPr>
              <m:t>1</m:t>
            </m:r>
          </m:num>
          <m:den>
            <m:r>
              <m:rPr>
                <m:sty m:val="p"/>
              </m:rPr>
              <w:rPr>
                <w:rFonts w:ascii="Cambria Math" w:hAnsi="Cambria Math" w:cs="Times New Roman"/>
              </w:rPr>
              <m:t>2</m:t>
            </m:r>
          </m:den>
        </m:f>
        <m:sSubSup>
          <m:sSubSupPr>
            <m:ctrlPr>
              <w:rPr>
                <w:rFonts w:ascii="Cambria Math" w:hAnsi="Cambria Math" w:cs="Times New Roman"/>
              </w:rPr>
            </m:ctrlPr>
          </m:sSubSupPr>
          <m:e>
            <m:r>
              <m:rPr>
                <m:sty m:val="p"/>
              </m:rPr>
              <w:rPr>
                <w:rFonts w:ascii="Cambria Math" w:hAnsi="Cambria Math" w:cs="Times New Roman"/>
              </w:rPr>
              <m:t>CO</m:t>
            </m:r>
          </m:e>
          <m:sub>
            <m:r>
              <m:rPr>
                <m:sty m:val="p"/>
              </m:rPr>
              <w:rPr>
                <w:rFonts w:ascii="Cambria Math" w:hAnsi="Cambria Math" w:cs="Times New Roman"/>
              </w:rPr>
              <m:t>3</m:t>
            </m:r>
          </m:sub>
          <m:sup>
            <m:r>
              <m:rPr>
                <m:sty m:val="p"/>
              </m:rPr>
              <w:rPr>
                <w:rFonts w:ascii="Cambria Math" w:hAnsi="Cambria Math" w:cs="Times New Roman"/>
              </w:rPr>
              <m:t>2-</m:t>
            </m:r>
          </m:sup>
        </m:sSubSup>
      </m:oMath>
      <w:r>
        <w:rPr>
          <w:rFonts w:ascii="Times New Roman" w:hAnsi="Times New Roman" w:cs="Times New Roman"/>
        </w:rPr>
        <w:t>）是</w:t>
      </w:r>
      <w:r>
        <w:rPr>
          <w:rFonts w:ascii="Times New Roman" w:hAnsi="Times New Roman" w:cs="Times New Roman"/>
        </w:rPr>
        <w:t>30</w:t>
      </w:r>
      <w:r>
        <w:rPr>
          <w:rFonts w:ascii="Times New Roman" w:hAnsi="Times New Roman" w:cs="Times New Roman"/>
        </w:rPr>
        <w:t>，</w:t>
      </w:r>
      <w:r>
        <w:rPr>
          <w:rFonts w:ascii="Times New Roman" w:hAnsi="Times New Roman" w:cs="Times New Roman"/>
        </w:rPr>
        <w:t>M</w:t>
      </w:r>
      <w:r>
        <w:rPr>
          <w:rFonts w:ascii="Times New Roman" w:hAnsi="Times New Roman" w:cs="Times New Roman"/>
        </w:rPr>
        <w:t>（</w:t>
      </w:r>
      <m:oMath>
        <m:r>
          <m:rPr>
            <m:sty m:val="p"/>
          </m:rPr>
          <w:rPr>
            <w:rFonts w:ascii="Cambria Math" w:hAnsi="Cambria Math" w:cs="Times New Roman"/>
          </w:rPr>
          <m:t>H</m:t>
        </m:r>
        <m:sSubSup>
          <m:sSubSupPr>
            <m:ctrlPr>
              <w:rPr>
                <w:rFonts w:ascii="Cambria Math" w:hAnsi="Cambria Math" w:cs="Times New Roman"/>
              </w:rPr>
            </m:ctrlPr>
          </m:sSubSupPr>
          <m:e>
            <m:r>
              <m:rPr>
                <m:sty m:val="p"/>
              </m:rPr>
              <w:rPr>
                <w:rFonts w:ascii="Cambria Math" w:hAnsi="Cambria Math" w:cs="Times New Roman"/>
              </w:rPr>
              <m:t>CO</m:t>
            </m:r>
          </m:e>
          <m:sub>
            <m:r>
              <m:rPr>
                <m:sty m:val="p"/>
              </m:rPr>
              <w:rPr>
                <w:rFonts w:ascii="Cambria Math" w:hAnsi="Cambria Math" w:cs="Times New Roman"/>
              </w:rPr>
              <m:t>3</m:t>
            </m:r>
          </m:sub>
          <m:sup>
            <m:r>
              <m:rPr>
                <m:sty m:val="p"/>
              </m:rPr>
              <w:rPr>
                <w:rFonts w:ascii="Cambria Math" w:hAnsi="Cambria Math" w:cs="Times New Roman"/>
              </w:rPr>
              <m:t>-</m:t>
            </m:r>
          </m:sup>
        </m:sSubSup>
      </m:oMath>
      <w:r>
        <w:rPr>
          <w:rFonts w:ascii="Times New Roman" w:hAnsi="Times New Roman" w:cs="Times New Roman"/>
        </w:rPr>
        <w:t>）是</w:t>
      </w:r>
      <w:r>
        <w:rPr>
          <w:rFonts w:ascii="Times New Roman" w:hAnsi="Times New Roman" w:cs="Times New Roman"/>
        </w:rPr>
        <w:t>6</w:t>
      </w:r>
      <w:r>
        <w:rPr>
          <w:rFonts w:ascii="Times New Roman" w:hAnsi="Times New Roman" w:cs="Times New Roman" w:hint="eastAsia"/>
        </w:rPr>
        <w:t>5</w:t>
      </w:r>
      <w:r>
        <w:rPr>
          <w:rFonts w:ascii="Times New Roman" w:hAnsi="Times New Roman" w:cs="Times New Roman"/>
        </w:rPr>
        <w:t>，</w:t>
      </w:r>
      <w:r>
        <w:rPr>
          <w:rFonts w:ascii="Times New Roman" w:hAnsi="Times New Roman" w:cs="Times New Roman"/>
        </w:rPr>
        <w:t>M</w:t>
      </w:r>
      <w:r>
        <w:rPr>
          <w:rFonts w:ascii="Times New Roman" w:hAnsi="Times New Roman" w:cs="Times New Roman"/>
        </w:rPr>
        <w:t>（</w:t>
      </w:r>
      <w:r>
        <w:rPr>
          <w:rFonts w:ascii="Times New Roman" w:hAnsi="Times New Roman" w:cs="Times New Roman"/>
        </w:rPr>
        <w:t>Cl</w:t>
      </w:r>
      <w:r>
        <w:rPr>
          <w:rFonts w:ascii="Times New Roman" w:hAnsi="Times New Roman" w:cs="Times New Roman"/>
          <w:vertAlign w:val="superscript"/>
        </w:rPr>
        <w:t>-</w:t>
      </w:r>
      <w:r>
        <w:rPr>
          <w:rFonts w:ascii="Times New Roman" w:hAnsi="Times New Roman" w:cs="Times New Roman"/>
        </w:rPr>
        <w:t>）是</w:t>
      </w:r>
      <w:r>
        <w:rPr>
          <w:rFonts w:ascii="Times New Roman" w:hAnsi="Times New Roman" w:cs="Times New Roman"/>
        </w:rPr>
        <w:t>35.5</w:t>
      </w:r>
      <w:r>
        <w:rPr>
          <w:rFonts w:ascii="Times New Roman" w:hAnsi="Times New Roman" w:cs="Times New Roman"/>
        </w:rPr>
        <w:t>，</w:t>
      </w:r>
      <w:r>
        <w:rPr>
          <w:rFonts w:ascii="Times New Roman" w:hAnsi="Times New Roman" w:cs="Times New Roman"/>
        </w:rPr>
        <w:t>M</w:t>
      </w:r>
      <w:r>
        <w:rPr>
          <w:rFonts w:ascii="Times New Roman" w:hAnsi="Times New Roman" w:cs="Times New Roman"/>
        </w:rPr>
        <w:t>（</w:t>
      </w:r>
      <m:oMath>
        <m:f>
          <m:fPr>
            <m:type m:val="skw"/>
            <m:ctrlPr>
              <w:rPr>
                <w:rFonts w:ascii="Cambria Math" w:hAnsi="Cambria Math" w:cs="Times New Roman"/>
              </w:rPr>
            </m:ctrlPr>
          </m:fPr>
          <m:num>
            <m:r>
              <m:rPr>
                <m:sty m:val="p"/>
              </m:rPr>
              <w:rPr>
                <w:rFonts w:ascii="Cambria Math" w:hAnsi="Cambria Math" w:cs="Times New Roman"/>
              </w:rPr>
              <m:t>1</m:t>
            </m:r>
          </m:num>
          <m:den>
            <m:r>
              <m:rPr>
                <m:sty m:val="p"/>
              </m:rPr>
              <w:rPr>
                <w:rFonts w:ascii="Cambria Math" w:hAnsi="Cambria Math" w:cs="Times New Roman"/>
              </w:rPr>
              <m:t>2</m:t>
            </m:r>
          </m:den>
        </m:f>
        <m:r>
          <m:rPr>
            <m:sty m:val="p"/>
          </m:rPr>
          <w:rPr>
            <w:rFonts w:ascii="Cambria Math" w:hAnsi="Cambria Math" w:cs="Times New Roman"/>
          </w:rPr>
          <m:t>H</m:t>
        </m:r>
        <m:sSubSup>
          <m:sSubSupPr>
            <m:ctrlPr>
              <w:rPr>
                <w:rFonts w:ascii="Cambria Math" w:hAnsi="Cambria Math" w:cs="Times New Roman"/>
              </w:rPr>
            </m:ctrlPr>
          </m:sSubSupPr>
          <m:e>
            <m:r>
              <m:rPr>
                <m:sty m:val="p"/>
              </m:rPr>
              <w:rPr>
                <w:rFonts w:ascii="Cambria Math" w:hAnsi="Cambria Math" w:cs="Times New Roman"/>
              </w:rPr>
              <m:t>SO</m:t>
            </m:r>
          </m:e>
          <m:sub>
            <m:r>
              <m:rPr>
                <m:sty m:val="p"/>
              </m:rPr>
              <w:rPr>
                <w:rFonts w:ascii="Cambria Math" w:hAnsi="Cambria Math" w:cs="Times New Roman"/>
              </w:rPr>
              <m:t>4</m:t>
            </m:r>
          </m:sub>
          <m:sup>
            <m:r>
              <m:rPr>
                <m:sty m:val="p"/>
              </m:rPr>
              <w:rPr>
                <w:rFonts w:ascii="Cambria Math" w:hAnsi="Cambria Math" w:cs="Times New Roman"/>
              </w:rPr>
              <m:t>2-</m:t>
            </m:r>
          </m:sup>
        </m:sSubSup>
      </m:oMath>
      <w:r>
        <w:rPr>
          <w:rFonts w:ascii="Times New Roman" w:hAnsi="Times New Roman" w:cs="Times New Roman"/>
        </w:rPr>
        <w:t>）是</w:t>
      </w:r>
      <w:r>
        <w:rPr>
          <w:rFonts w:ascii="Times New Roman" w:hAnsi="Times New Roman" w:cs="Times New Roman"/>
        </w:rPr>
        <w:t>48</w:t>
      </w:r>
      <w:r>
        <w:rPr>
          <w:rFonts w:ascii="Times New Roman" w:hAnsi="Times New Roman" w:cs="Times New Roman"/>
        </w:rPr>
        <w:t>。</w:t>
      </w:r>
    </w:p>
    <w:p w14:paraId="5EF56127" w14:textId="77777777" w:rsidR="009D12AF" w:rsidRDefault="00000000">
      <w:pPr>
        <w:ind w:firstLine="480"/>
      </w:pPr>
      <w:r>
        <w:t>所以，</w:t>
      </w:r>
      <w:r>
        <w:t>C</w:t>
      </w:r>
      <w:r>
        <w:t>（</w:t>
      </w:r>
      <m:oMath>
        <m:r>
          <m:rPr>
            <m:sty m:val="p"/>
          </m:rPr>
          <w:rPr>
            <w:rFonts w:ascii="Cambria Math"/>
          </w:rPr>
          <m:t>H</m:t>
        </m:r>
        <m:sSubSup>
          <m:sSubSupPr>
            <m:ctrlPr>
              <w:rPr>
                <w:rFonts w:ascii="Cambria Math" w:hAnsi="Cambria Math"/>
              </w:rPr>
            </m:ctrlPr>
          </m:sSubSupPr>
          <m:e>
            <m:r>
              <m:rPr>
                <m:sty m:val="p"/>
              </m:rPr>
              <w:rPr>
                <w:rFonts w:ascii="Cambria Math"/>
              </w:rPr>
              <m:t>CO</m:t>
            </m:r>
          </m:e>
          <m:sub>
            <m:r>
              <m:rPr>
                <m:sty m:val="p"/>
              </m:rPr>
              <w:rPr>
                <w:rFonts w:ascii="Cambria Math"/>
              </w:rPr>
              <m:t>3</m:t>
            </m:r>
          </m:sub>
          <m:sup>
            <m:r>
              <m:rPr>
                <m:sty m:val="p"/>
              </m:rPr>
              <w:rPr>
                <w:rFonts w:ascii="Cambria Math" w:hAnsi="Cambria Math"/>
              </w:rPr>
              <m:t>-</m:t>
            </m:r>
          </m:sup>
        </m:sSubSup>
      </m:oMath>
      <w:r>
        <w:t>）</w:t>
      </w:r>
      <w:r>
        <w:t>=</w:t>
      </w:r>
      <w:r>
        <w:softHyphen/>
      </w:r>
      <m:oMath>
        <m:f>
          <m:fPr>
            <m:ctrlPr>
              <w:rPr>
                <w:rFonts w:ascii="Cambria Math" w:hAnsi="Cambria Math"/>
              </w:rPr>
            </m:ctrlPr>
          </m:fPr>
          <m:num>
            <m:r>
              <m:rPr>
                <m:sty m:val="p"/>
              </m:rPr>
              <w:rPr>
                <w:rFonts w:ascii="Cambria Math" w:hAnsi="Cambria Math"/>
              </w:rPr>
              <m:t>166</m:t>
            </m:r>
          </m:num>
          <m:den>
            <m:r>
              <m:rPr>
                <m:sty m:val="p"/>
              </m:rPr>
              <w:rPr>
                <w:rFonts w:ascii="Cambria Math"/>
              </w:rPr>
              <m:t>61</m:t>
            </m:r>
          </m:den>
        </m:f>
      </m:oMath>
      <w:r>
        <w:fldChar w:fldCharType="begin"/>
      </w:r>
      <w:r>
        <w:instrText xml:space="preserve"> QUOTE </w:instrText>
      </w:r>
      <m:oMath>
        <m:f>
          <m:fPr>
            <m:ctrlPr>
              <w:rPr>
                <w:rFonts w:ascii="Cambria Math" w:hAnsi="Cambria Math"/>
              </w:rPr>
            </m:ctrlPr>
          </m:fPr>
          <m:num>
            <m:r>
              <m:rPr>
                <m:sty m:val="p"/>
              </m:rPr>
              <w:rPr>
                <w:rFonts w:ascii="Cambria Math"/>
              </w:rPr>
              <m:t>231</m:t>
            </m:r>
          </m:num>
          <m:den>
            <m:r>
              <m:rPr>
                <m:sty m:val="p"/>
              </m:rPr>
              <w:rPr>
                <w:rFonts w:ascii="Cambria Math"/>
              </w:rPr>
              <m:t>61</m:t>
            </m:r>
          </m:den>
        </m:f>
      </m:oMath>
      <w:r>
        <w:fldChar w:fldCharType="end"/>
      </w:r>
      <w:r>
        <w:t>=</w:t>
      </w:r>
      <w:r>
        <w:rPr>
          <w:rFonts w:hint="eastAsia"/>
        </w:rPr>
        <w:t>2.72</w:t>
      </w:r>
    </w:p>
    <w:p w14:paraId="069CFCF3" w14:textId="77777777" w:rsidR="009D12AF" w:rsidRDefault="00000000">
      <w:pPr>
        <w:ind w:firstLine="480"/>
        <w:rPr>
          <w:rFonts w:eastAsia="宋体"/>
        </w:rPr>
      </w:pPr>
      <w:r>
        <w:t xml:space="preserve">      C</w:t>
      </w:r>
      <w:r>
        <w:t>（</w:t>
      </w:r>
      <w:r>
        <w:t>Cl</w:t>
      </w:r>
      <w:r>
        <w:rPr>
          <w:vertAlign w:val="superscript"/>
        </w:rPr>
        <w:t>-</w:t>
      </w:r>
      <w:r>
        <w:t>）</w:t>
      </w:r>
      <w:r>
        <w:t>=</w:t>
      </w:r>
      <m:oMath>
        <m:f>
          <m:fPr>
            <m:ctrlPr>
              <w:rPr>
                <w:rFonts w:ascii="Cambria Math" w:hAnsi="Cambria Math"/>
              </w:rPr>
            </m:ctrlPr>
          </m:fPr>
          <m:num>
            <m:r>
              <m:rPr>
                <m:sty m:val="p"/>
              </m:rPr>
              <w:rPr>
                <w:rFonts w:ascii="Cambria Math" w:hAnsi="Cambria Math"/>
              </w:rPr>
              <m:t>22.8</m:t>
            </m:r>
          </m:num>
          <m:den>
            <m:r>
              <m:rPr>
                <m:sty m:val="p"/>
              </m:rPr>
              <w:rPr>
                <w:rFonts w:ascii="Cambria Math"/>
              </w:rPr>
              <m:t>35.5</m:t>
            </m:r>
          </m:den>
        </m:f>
      </m:oMath>
      <w:r>
        <w:t>=</w:t>
      </w:r>
      <w:r>
        <w:rPr>
          <w:rFonts w:hint="eastAsia"/>
        </w:rPr>
        <w:t>0.64</w:t>
      </w:r>
    </w:p>
    <w:p w14:paraId="4FA09958" w14:textId="77777777" w:rsidR="009D12AF" w:rsidRDefault="00000000">
      <w:pPr>
        <w:ind w:firstLine="480"/>
        <w:rPr>
          <w:rFonts w:eastAsia="宋体"/>
        </w:rPr>
      </w:pPr>
      <w:r>
        <w:t xml:space="preserve">      C</w:t>
      </w:r>
      <w:r>
        <w:t>（</w:t>
      </w:r>
      <m:oMath>
        <m:f>
          <m:fPr>
            <m:type m:val="skw"/>
            <m:ctrlPr>
              <w:rPr>
                <w:rFonts w:ascii="Cambria Math" w:hAnsi="Cambria Math"/>
              </w:rPr>
            </m:ctrlPr>
          </m:fPr>
          <m:num>
            <m:r>
              <m:rPr>
                <m:sty m:val="p"/>
              </m:rPr>
              <w:rPr>
                <w:rFonts w:ascii="Cambria Math"/>
              </w:rPr>
              <m:t>1</m:t>
            </m:r>
          </m:num>
          <m:den>
            <m:r>
              <m:rPr>
                <m:sty m:val="p"/>
              </m:rPr>
              <w:rPr>
                <w:rFonts w:ascii="Cambria Math"/>
              </w:rPr>
              <m:t>2</m:t>
            </m:r>
          </m:den>
        </m:f>
        <m:sSubSup>
          <m:sSubSupPr>
            <m:ctrlPr>
              <w:rPr>
                <w:rFonts w:ascii="Cambria Math" w:hAnsi="Cambria Math"/>
              </w:rPr>
            </m:ctrlPr>
          </m:sSubSupPr>
          <m:e>
            <m:r>
              <m:rPr>
                <m:sty m:val="p"/>
              </m:rPr>
              <w:rPr>
                <w:rFonts w:ascii="Cambria Math"/>
              </w:rPr>
              <m:t>SO</m:t>
            </m:r>
          </m:e>
          <m:sub>
            <m:r>
              <m:rPr>
                <m:sty m:val="p"/>
              </m:rPr>
              <w:rPr>
                <w:rFonts w:ascii="Cambria Math"/>
              </w:rPr>
              <m:t>4</m:t>
            </m:r>
          </m:sub>
          <m:sup>
            <m:r>
              <m:rPr>
                <m:sty m:val="p"/>
              </m:rPr>
              <w:rPr>
                <w:rFonts w:ascii="Cambria Math"/>
              </w:rPr>
              <m:t>2</m:t>
            </m:r>
            <m:r>
              <m:rPr>
                <m:sty m:val="p"/>
              </m:rPr>
              <w:rPr>
                <w:rFonts w:ascii="Cambria Math" w:hAnsi="Cambria Math"/>
              </w:rPr>
              <m:t>-</m:t>
            </m:r>
          </m:sup>
        </m:sSubSup>
      </m:oMath>
      <w:r>
        <w:t>）</w:t>
      </w:r>
      <w:r>
        <w:t>=</w:t>
      </w:r>
      <m:oMath>
        <m:f>
          <m:fPr>
            <m:ctrlPr>
              <w:rPr>
                <w:rFonts w:ascii="Cambria Math" w:hAnsi="Cambria Math"/>
              </w:rPr>
            </m:ctrlPr>
          </m:fPr>
          <m:num>
            <m:r>
              <m:rPr>
                <m:sty m:val="p"/>
              </m:rPr>
              <w:rPr>
                <w:rFonts w:ascii="Cambria Math" w:hAnsi="Cambria Math"/>
              </w:rPr>
              <m:t>20.8</m:t>
            </m:r>
          </m:num>
          <m:den>
            <m:r>
              <m:rPr>
                <m:sty m:val="p"/>
              </m:rPr>
              <w:rPr>
                <w:rFonts w:ascii="Cambria Math"/>
              </w:rPr>
              <m:t>48</m:t>
            </m:r>
          </m:den>
        </m:f>
      </m:oMath>
      <w:r>
        <w:t>=</w:t>
      </w:r>
      <w:r>
        <w:rPr>
          <w:rFonts w:hint="eastAsia"/>
        </w:rPr>
        <w:t>0.43</w:t>
      </w:r>
    </w:p>
    <w:p w14:paraId="5F279F1B" w14:textId="77777777" w:rsidR="009D12AF" w:rsidRDefault="00000000">
      <w:pPr>
        <w:ind w:firstLine="480"/>
      </w:pPr>
      <w:r>
        <w:t>则：</w:t>
      </w:r>
      <w:r>
        <w:t>C</w:t>
      </w:r>
      <w:r>
        <w:t>（</w:t>
      </w:r>
      <w:r>
        <w:t>∑A</w:t>
      </w:r>
      <w:r>
        <w:t>）</w:t>
      </w:r>
      <w:r>
        <w:t>=</w:t>
      </w:r>
      <w:r>
        <w:rPr>
          <w:rFonts w:hint="eastAsia"/>
        </w:rPr>
        <w:t>2.72</w:t>
      </w:r>
      <w:r>
        <w:t>+</w:t>
      </w:r>
      <w:r>
        <w:rPr>
          <w:rFonts w:hint="eastAsia"/>
        </w:rPr>
        <w:t>0.64</w:t>
      </w:r>
      <w:r>
        <w:t>+</w:t>
      </w:r>
      <w:r>
        <w:rPr>
          <w:rFonts w:hint="eastAsia"/>
        </w:rPr>
        <w:t>0.43</w:t>
      </w:r>
      <w:r>
        <w:t>=</w:t>
      </w:r>
      <w:r>
        <w:rPr>
          <w:rFonts w:hint="eastAsia"/>
        </w:rPr>
        <w:t>3.79</w:t>
      </w:r>
    </w:p>
    <w:p w14:paraId="0E0FBC5B" w14:textId="77777777" w:rsidR="009D12AF" w:rsidRDefault="00000000">
      <w:pPr>
        <w:ind w:firstLine="480"/>
        <w:jc w:val="left"/>
      </w:pPr>
      <w:r>
        <w:t>SB=</w:t>
      </w:r>
      <m:oMath>
        <m:f>
          <m:fPr>
            <m:ctrlPr>
              <w:rPr>
                <w:rFonts w:ascii="Cambria Math" w:hAnsi="Cambria Math"/>
              </w:rPr>
            </m:ctrlPr>
          </m:fPr>
          <m:num>
            <m:r>
              <m:rPr>
                <m:sty m:val="p"/>
              </m:rPr>
              <w:rPr>
                <w:rFonts w:ascii="Cambria Math" w:hAnsi="Cambria Math"/>
              </w:rPr>
              <m:t>0.43</m:t>
            </m:r>
          </m:num>
          <m:den>
            <m:r>
              <m:rPr>
                <m:sty m:val="p"/>
              </m:rPr>
              <w:rPr>
                <w:rFonts w:ascii="Cambria Math" w:hAnsi="Cambria Math"/>
              </w:rPr>
              <m:t>3.79</m:t>
            </m:r>
          </m:den>
        </m:f>
      </m:oMath>
      <w:r>
        <w:t>=0.</w:t>
      </w:r>
      <w:r>
        <w:rPr>
          <w:rFonts w:hint="eastAsia"/>
        </w:rPr>
        <w:t>11</w:t>
      </w:r>
    </w:p>
    <w:p w14:paraId="0CB9B7F8" w14:textId="77777777" w:rsidR="009D12AF" w:rsidRDefault="00000000">
      <w:pPr>
        <w:ind w:firstLine="480"/>
      </w:pPr>
      <w:r>
        <w:t>HCB=</w:t>
      </w:r>
      <m:oMath>
        <m:f>
          <m:fPr>
            <m:ctrlPr>
              <w:rPr>
                <w:rFonts w:ascii="Cambria Math" w:hAnsi="Cambria Math"/>
              </w:rPr>
            </m:ctrlPr>
          </m:fPr>
          <m:num>
            <m:r>
              <m:rPr>
                <m:sty m:val="p"/>
              </m:rPr>
              <w:rPr>
                <w:rFonts w:ascii="Cambria Math" w:hAnsi="Cambria Math"/>
              </w:rPr>
              <m:t>2.72</m:t>
            </m:r>
          </m:num>
          <m:den>
            <m:r>
              <m:rPr>
                <m:sty m:val="p"/>
              </m:rPr>
              <w:rPr>
                <w:rFonts w:ascii="Cambria Math" w:hAnsi="Cambria Math"/>
              </w:rPr>
              <m:t>0.64</m:t>
            </m:r>
          </m:den>
        </m:f>
      </m:oMath>
      <w:r>
        <w:t>=</w:t>
      </w:r>
      <w:r>
        <w:rPr>
          <w:rFonts w:hint="eastAsia"/>
        </w:rPr>
        <w:t>4.25</w:t>
      </w:r>
    </w:p>
    <w:p w14:paraId="4BD34E74" w14:textId="77777777" w:rsidR="009D12AF" w:rsidRDefault="00000000">
      <w:pPr>
        <w:ind w:firstLine="480"/>
        <w:rPr>
          <w:rFonts w:eastAsia="宋体"/>
        </w:rPr>
      </w:pPr>
      <w:r>
        <w:t>经查表</w:t>
      </w:r>
      <w:r>
        <w:t>4</w:t>
      </w:r>
      <w:r>
        <w:rPr>
          <w:rFonts w:hint="eastAsia"/>
        </w:rPr>
        <w:t>.3</w:t>
      </w:r>
      <w:r>
        <w:t>-13</w:t>
      </w:r>
      <w:r>
        <w:t>得</w:t>
      </w:r>
      <w:r>
        <w:t>Ms</w:t>
      </w:r>
      <w:r>
        <w:t>为</w:t>
      </w:r>
      <w:r>
        <w:rPr>
          <w:rFonts w:hint="eastAsia"/>
        </w:rPr>
        <w:t>0.074</w:t>
      </w:r>
    </w:p>
    <w:p w14:paraId="04759C2D" w14:textId="77777777" w:rsidR="009D12AF" w:rsidRDefault="00000000">
      <w:pPr>
        <w:ind w:firstLine="480"/>
      </w:pPr>
      <w:r>
        <w:t>矿化度（</w:t>
      </w:r>
      <w:r>
        <w:t>g/L</w:t>
      </w:r>
      <w:r>
        <w:t>）</w:t>
      </w:r>
      <w:r>
        <w:t>=</w:t>
      </w:r>
      <w:r>
        <w:rPr>
          <w:rFonts w:hint="eastAsia"/>
        </w:rPr>
        <w:t>3.79</w:t>
      </w:r>
      <w:r>
        <w:t>×0.0</w:t>
      </w:r>
      <w:r>
        <w:rPr>
          <w:rFonts w:hint="eastAsia"/>
        </w:rPr>
        <w:t>74</w:t>
      </w:r>
      <w:r>
        <w:t>=</w:t>
      </w:r>
      <w:r>
        <w:rPr>
          <w:rFonts w:hint="eastAsia"/>
        </w:rPr>
        <w:t>0.28</w:t>
      </w:r>
      <w:r>
        <w:t>，所以</w:t>
      </w:r>
      <w:r>
        <w:t>1</w:t>
      </w:r>
      <w:r>
        <w:t>矿化度处于</w:t>
      </w:r>
      <w:r>
        <w:t>A</w:t>
      </w:r>
      <w:r>
        <w:t>组，其它监测点位参考以上方法计算，水质矿化度计算结果见表</w:t>
      </w:r>
      <w:r>
        <w:t>4</w:t>
      </w:r>
      <w:r>
        <w:rPr>
          <w:rFonts w:hint="eastAsia"/>
        </w:rPr>
        <w:t>.3</w:t>
      </w:r>
      <w:r>
        <w:t>-</w:t>
      </w:r>
      <w:r>
        <w:rPr>
          <w:rFonts w:hint="eastAsia"/>
        </w:rPr>
        <w:t>24</w:t>
      </w:r>
      <w:r>
        <w:t>。</w:t>
      </w:r>
    </w:p>
    <w:p w14:paraId="2EF50A45" w14:textId="77777777" w:rsidR="009D12AF" w:rsidRDefault="00000000">
      <w:pPr>
        <w:spacing w:line="240" w:lineRule="auto"/>
        <w:ind w:firstLine="482"/>
        <w:jc w:val="center"/>
        <w:rPr>
          <w:b/>
        </w:rPr>
      </w:pPr>
      <w:r>
        <w:rPr>
          <w:b/>
        </w:rPr>
        <w:t>表</w:t>
      </w:r>
      <w:r>
        <w:rPr>
          <w:b/>
        </w:rPr>
        <w:t>4</w:t>
      </w:r>
      <w:r>
        <w:rPr>
          <w:rFonts w:hint="eastAsia"/>
          <w:b/>
        </w:rPr>
        <w:t>.3</w:t>
      </w:r>
      <w:r>
        <w:rPr>
          <w:b/>
        </w:rPr>
        <w:t>-</w:t>
      </w:r>
      <w:r>
        <w:rPr>
          <w:rFonts w:hint="eastAsia"/>
          <w:b/>
        </w:rPr>
        <w:t>24</w:t>
      </w:r>
      <w:r>
        <w:rPr>
          <w:b/>
        </w:rPr>
        <w:t>水质矿化度</w:t>
      </w:r>
    </w:p>
    <w:tbl>
      <w:tblPr>
        <w:tblW w:w="4997"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45"/>
        <w:gridCol w:w="945"/>
        <w:gridCol w:w="945"/>
        <w:gridCol w:w="945"/>
        <w:gridCol w:w="950"/>
        <w:gridCol w:w="945"/>
        <w:gridCol w:w="945"/>
        <w:gridCol w:w="945"/>
        <w:gridCol w:w="952"/>
      </w:tblGrid>
      <w:tr w:rsidR="009D12AF" w14:paraId="5C5EE3CC" w14:textId="77777777">
        <w:trPr>
          <w:jc w:val="center"/>
        </w:trPr>
        <w:tc>
          <w:tcPr>
            <w:tcW w:w="2775" w:type="pct"/>
            <w:gridSpan w:val="5"/>
            <w:tcBorders>
              <w:tl2br w:val="nil"/>
              <w:tr2bl w:val="nil"/>
            </w:tcBorders>
            <w:vAlign w:val="center"/>
          </w:tcPr>
          <w:p w14:paraId="0997BB15" w14:textId="77777777" w:rsidR="009D12AF" w:rsidRDefault="00000000">
            <w:pPr>
              <w:ind w:firstLineChars="0" w:firstLine="0"/>
              <w:jc w:val="center"/>
              <w:rPr>
                <w:rFonts w:ascii="Times New Roman" w:hAnsi="Times New Roman" w:cs="Times New Roman"/>
                <w:kern w:val="0"/>
                <w:sz w:val="21"/>
                <w:szCs w:val="21"/>
              </w:rPr>
            </w:pPr>
            <w:r>
              <w:rPr>
                <w:rFonts w:ascii="Times New Roman" w:hAnsi="Times New Roman" w:cs="Times New Roman" w:hint="eastAsia"/>
                <w:kern w:val="0"/>
                <w:sz w:val="21"/>
                <w:szCs w:val="21"/>
              </w:rPr>
              <w:t>群力水库</w:t>
            </w:r>
          </w:p>
        </w:tc>
        <w:tc>
          <w:tcPr>
            <w:tcW w:w="2224" w:type="pct"/>
            <w:gridSpan w:val="4"/>
            <w:tcBorders>
              <w:tl2br w:val="nil"/>
              <w:tr2bl w:val="nil"/>
            </w:tcBorders>
            <w:vAlign w:val="center"/>
          </w:tcPr>
          <w:p w14:paraId="1CF0C915" w14:textId="77777777" w:rsidR="009D12AF" w:rsidRDefault="00000000">
            <w:pPr>
              <w:ind w:firstLineChars="0" w:firstLine="0"/>
              <w:jc w:val="center"/>
              <w:rPr>
                <w:rFonts w:ascii="Times New Roman" w:hAnsi="Times New Roman" w:cs="Times New Roman"/>
                <w:kern w:val="0"/>
                <w:sz w:val="21"/>
                <w:szCs w:val="21"/>
                <w:highlight w:val="yellow"/>
              </w:rPr>
            </w:pPr>
            <w:r>
              <w:rPr>
                <w:rFonts w:ascii="Times New Roman" w:hAnsi="Times New Roman" w:cs="Times New Roman" w:hint="eastAsia"/>
                <w:kern w:val="0"/>
                <w:sz w:val="21"/>
                <w:szCs w:val="21"/>
              </w:rPr>
              <w:t>向阳水电站前池</w:t>
            </w:r>
          </w:p>
        </w:tc>
      </w:tr>
      <w:tr w:rsidR="009D12AF" w14:paraId="31C2789B" w14:textId="77777777">
        <w:trPr>
          <w:trHeight w:val="1134"/>
          <w:jc w:val="center"/>
        </w:trPr>
        <w:tc>
          <w:tcPr>
            <w:tcW w:w="554" w:type="pct"/>
            <w:tcBorders>
              <w:tl2br w:val="nil"/>
              <w:tr2bl w:val="nil"/>
            </w:tcBorders>
            <w:vAlign w:val="center"/>
          </w:tcPr>
          <w:p w14:paraId="3F55F9A7" w14:textId="77777777" w:rsidR="009D12AF" w:rsidRDefault="009D12AF">
            <w:pPr>
              <w:ind w:firstLineChars="0" w:firstLine="0"/>
              <w:rPr>
                <w:rFonts w:ascii="Times New Roman" w:hAnsi="Times New Roman" w:cs="Times New Roman"/>
                <w:kern w:val="0"/>
                <w:sz w:val="21"/>
                <w:szCs w:val="21"/>
              </w:rPr>
            </w:pPr>
          </w:p>
          <w:p w14:paraId="60574EC3" w14:textId="77777777" w:rsidR="009D12AF" w:rsidRDefault="00000000">
            <w:pPr>
              <w:snapToGrid w:val="0"/>
              <w:spacing w:line="240" w:lineRule="auto"/>
              <w:ind w:firstLineChars="0" w:firstLine="0"/>
              <w:rPr>
                <w:rFonts w:ascii="Times New Roman" w:hAnsi="Times New Roman" w:cs="Times New Roman"/>
                <w:kern w:val="0"/>
                <w:sz w:val="21"/>
                <w:szCs w:val="21"/>
              </w:rPr>
            </w:pPr>
            <w:r>
              <w:rPr>
                <w:rFonts w:ascii="Times New Roman" w:hAnsi="Times New Roman" w:cs="Times New Roman" w:hint="eastAsia"/>
                <w:kern w:val="0"/>
                <w:sz w:val="21"/>
                <w:szCs w:val="21"/>
              </w:rPr>
              <w:t>编号</w:t>
            </w:r>
          </w:p>
          <w:p w14:paraId="1075798A" w14:textId="77777777" w:rsidR="009D12AF" w:rsidRDefault="00000000">
            <w:pPr>
              <w:ind w:firstLineChars="0" w:firstLine="0"/>
              <w:rPr>
                <w:rFonts w:ascii="Times New Roman" w:hAnsi="Times New Roman" w:cs="Times New Roman"/>
                <w:kern w:val="0"/>
                <w:sz w:val="21"/>
                <w:szCs w:val="21"/>
              </w:rPr>
            </w:pPr>
            <w:r>
              <w:rPr>
                <w:rFonts w:ascii="Times New Roman" w:hAnsi="Times New Roman" w:cs="Times New Roman" w:hint="eastAsia"/>
                <w:kern w:val="0"/>
                <w:sz w:val="21"/>
                <w:szCs w:val="21"/>
              </w:rPr>
              <w:t>项目</w:t>
            </w:r>
          </w:p>
        </w:tc>
        <w:tc>
          <w:tcPr>
            <w:tcW w:w="554" w:type="pct"/>
            <w:tcBorders>
              <w:tl2br w:val="nil"/>
              <w:tr2bl w:val="nil"/>
            </w:tcBorders>
            <w:vAlign w:val="center"/>
          </w:tcPr>
          <w:p w14:paraId="05C46FCA" w14:textId="77777777" w:rsidR="009D12AF" w:rsidRDefault="00000000">
            <w:pPr>
              <w:widowControl/>
              <w:adjustRightInd w:val="0"/>
              <w:snapToGrid w:val="0"/>
              <w:ind w:firstLineChars="0" w:firstLine="0"/>
              <w:jc w:val="center"/>
              <w:rPr>
                <w:rFonts w:ascii="Times New Roman" w:hAnsi="Times New Roman" w:cs="Times New Roman"/>
                <w:kern w:val="0"/>
                <w:sz w:val="21"/>
                <w:szCs w:val="21"/>
              </w:rPr>
            </w:pPr>
            <w:r>
              <w:rPr>
                <w:rFonts w:ascii="Times New Roman" w:hAnsi="Times New Roman" w:cs="Times New Roman"/>
                <w:sz w:val="21"/>
                <w:szCs w:val="21"/>
              </w:rPr>
              <w:t>1#</w:t>
            </w:r>
          </w:p>
        </w:tc>
        <w:tc>
          <w:tcPr>
            <w:tcW w:w="554" w:type="pct"/>
            <w:tcBorders>
              <w:tl2br w:val="nil"/>
              <w:tr2bl w:val="nil"/>
            </w:tcBorders>
            <w:vAlign w:val="center"/>
          </w:tcPr>
          <w:p w14:paraId="5C0144E4" w14:textId="77777777" w:rsidR="009D12AF" w:rsidRDefault="00000000">
            <w:pPr>
              <w:widowControl/>
              <w:adjustRightInd w:val="0"/>
              <w:snapToGrid w:val="0"/>
              <w:ind w:firstLineChars="0" w:firstLine="0"/>
              <w:jc w:val="center"/>
              <w:rPr>
                <w:rFonts w:ascii="Times New Roman" w:hAnsi="Times New Roman" w:cs="Times New Roman"/>
                <w:kern w:val="0"/>
                <w:sz w:val="21"/>
                <w:szCs w:val="21"/>
              </w:rPr>
            </w:pPr>
            <w:r>
              <w:rPr>
                <w:rFonts w:ascii="Times New Roman" w:hAnsi="Times New Roman" w:cs="Times New Roman" w:hint="eastAsia"/>
                <w:sz w:val="21"/>
                <w:szCs w:val="21"/>
              </w:rPr>
              <w:t>3</w:t>
            </w:r>
            <w:r>
              <w:rPr>
                <w:rFonts w:ascii="Times New Roman" w:hAnsi="Times New Roman" w:cs="Times New Roman"/>
                <w:sz w:val="21"/>
                <w:szCs w:val="21"/>
              </w:rPr>
              <w:t>#</w:t>
            </w:r>
          </w:p>
        </w:tc>
        <w:tc>
          <w:tcPr>
            <w:tcW w:w="555" w:type="pct"/>
            <w:tcBorders>
              <w:tl2br w:val="nil"/>
              <w:tr2bl w:val="nil"/>
            </w:tcBorders>
            <w:vAlign w:val="center"/>
          </w:tcPr>
          <w:p w14:paraId="37BCB49F" w14:textId="77777777" w:rsidR="009D12AF" w:rsidRDefault="00000000">
            <w:pPr>
              <w:widowControl/>
              <w:adjustRightInd w:val="0"/>
              <w:snapToGrid w:val="0"/>
              <w:ind w:firstLineChars="0" w:firstLine="0"/>
              <w:jc w:val="center"/>
              <w:rPr>
                <w:rFonts w:ascii="Times New Roman" w:hAnsi="Times New Roman" w:cs="Times New Roman"/>
                <w:kern w:val="0"/>
                <w:sz w:val="21"/>
                <w:szCs w:val="21"/>
              </w:rPr>
            </w:pPr>
            <w:r>
              <w:rPr>
                <w:rFonts w:ascii="Times New Roman" w:hAnsi="Times New Roman" w:cs="Times New Roman" w:hint="eastAsia"/>
                <w:sz w:val="21"/>
                <w:szCs w:val="21"/>
              </w:rPr>
              <w:t>6</w:t>
            </w:r>
            <w:r>
              <w:rPr>
                <w:rFonts w:ascii="Times New Roman" w:hAnsi="Times New Roman" w:cs="Times New Roman"/>
                <w:sz w:val="21"/>
                <w:szCs w:val="21"/>
              </w:rPr>
              <w:t>#</w:t>
            </w:r>
          </w:p>
        </w:tc>
        <w:tc>
          <w:tcPr>
            <w:tcW w:w="555" w:type="pct"/>
            <w:tcBorders>
              <w:tl2br w:val="nil"/>
              <w:tr2bl w:val="nil"/>
            </w:tcBorders>
            <w:vAlign w:val="center"/>
          </w:tcPr>
          <w:p w14:paraId="5D6A10C6" w14:textId="77777777" w:rsidR="009D12AF" w:rsidRDefault="00000000">
            <w:pPr>
              <w:widowControl/>
              <w:adjustRightInd w:val="0"/>
              <w:snapToGrid w:val="0"/>
              <w:ind w:firstLineChars="0" w:firstLine="0"/>
              <w:jc w:val="center"/>
              <w:rPr>
                <w:rFonts w:ascii="Times New Roman" w:hAnsi="Times New Roman" w:cs="Times New Roman"/>
                <w:kern w:val="0"/>
                <w:sz w:val="21"/>
                <w:szCs w:val="21"/>
              </w:rPr>
            </w:pPr>
            <w:r>
              <w:rPr>
                <w:rFonts w:cs="Times New Roman" w:hint="eastAsia"/>
                <w:sz w:val="21"/>
                <w:szCs w:val="21"/>
              </w:rPr>
              <w:t>7</w:t>
            </w:r>
            <w:r>
              <w:rPr>
                <w:rFonts w:ascii="Times New Roman" w:hAnsi="Times New Roman" w:cs="Times New Roman"/>
                <w:sz w:val="21"/>
                <w:szCs w:val="21"/>
              </w:rPr>
              <w:t>#</w:t>
            </w:r>
          </w:p>
        </w:tc>
        <w:tc>
          <w:tcPr>
            <w:tcW w:w="946" w:type="dxa"/>
            <w:tcBorders>
              <w:tl2br w:val="nil"/>
              <w:tr2bl w:val="nil"/>
            </w:tcBorders>
            <w:vAlign w:val="center"/>
          </w:tcPr>
          <w:p w14:paraId="4912740A" w14:textId="77777777" w:rsidR="009D12AF" w:rsidRDefault="00000000">
            <w:pPr>
              <w:widowControl/>
              <w:adjustRightInd w:val="0"/>
              <w:snapToGrid w:val="0"/>
              <w:ind w:firstLineChars="0" w:firstLine="0"/>
              <w:jc w:val="center"/>
              <w:rPr>
                <w:rFonts w:ascii="Times New Roman" w:hAnsi="Times New Roman" w:cs="Times New Roman"/>
                <w:kern w:val="0"/>
                <w:sz w:val="21"/>
                <w:szCs w:val="21"/>
                <w:highlight w:val="yellow"/>
              </w:rPr>
            </w:pPr>
            <w:r>
              <w:rPr>
                <w:rFonts w:ascii="Times New Roman" w:hAnsi="Times New Roman" w:cs="Times New Roman"/>
                <w:sz w:val="21"/>
                <w:szCs w:val="21"/>
              </w:rPr>
              <w:t>1#</w:t>
            </w:r>
          </w:p>
        </w:tc>
        <w:tc>
          <w:tcPr>
            <w:tcW w:w="946" w:type="dxa"/>
            <w:tcBorders>
              <w:tl2br w:val="nil"/>
              <w:tr2bl w:val="nil"/>
            </w:tcBorders>
            <w:vAlign w:val="center"/>
          </w:tcPr>
          <w:p w14:paraId="63FA83FD" w14:textId="77777777" w:rsidR="009D12AF" w:rsidRDefault="00000000">
            <w:pPr>
              <w:widowControl/>
              <w:adjustRightInd w:val="0"/>
              <w:snapToGrid w:val="0"/>
              <w:ind w:firstLineChars="0" w:firstLine="0"/>
              <w:jc w:val="center"/>
              <w:rPr>
                <w:rFonts w:cs="Times New Roman"/>
                <w:sz w:val="21"/>
                <w:szCs w:val="21"/>
                <w:highlight w:val="yellow"/>
              </w:rPr>
            </w:pPr>
            <w:r>
              <w:rPr>
                <w:rFonts w:ascii="Times New Roman" w:hAnsi="Times New Roman" w:cs="Times New Roman" w:hint="eastAsia"/>
                <w:sz w:val="21"/>
                <w:szCs w:val="21"/>
              </w:rPr>
              <w:t>3</w:t>
            </w:r>
            <w:r>
              <w:rPr>
                <w:rFonts w:ascii="Times New Roman" w:hAnsi="Times New Roman" w:cs="Times New Roman"/>
                <w:sz w:val="21"/>
                <w:szCs w:val="21"/>
              </w:rPr>
              <w:t>#</w:t>
            </w:r>
          </w:p>
        </w:tc>
        <w:tc>
          <w:tcPr>
            <w:tcW w:w="946" w:type="dxa"/>
            <w:tcBorders>
              <w:tl2br w:val="nil"/>
              <w:tr2bl w:val="nil"/>
            </w:tcBorders>
            <w:vAlign w:val="center"/>
          </w:tcPr>
          <w:p w14:paraId="1CA67161" w14:textId="77777777" w:rsidR="009D12AF" w:rsidRDefault="00000000">
            <w:pPr>
              <w:widowControl/>
              <w:adjustRightInd w:val="0"/>
              <w:snapToGrid w:val="0"/>
              <w:ind w:firstLineChars="0" w:firstLine="0"/>
              <w:jc w:val="center"/>
              <w:rPr>
                <w:rFonts w:cs="Times New Roman"/>
                <w:sz w:val="21"/>
                <w:szCs w:val="21"/>
                <w:highlight w:val="yellow"/>
              </w:rPr>
            </w:pPr>
            <w:r>
              <w:rPr>
                <w:rFonts w:ascii="Times New Roman" w:hAnsi="Times New Roman" w:cs="Times New Roman" w:hint="eastAsia"/>
                <w:sz w:val="21"/>
                <w:szCs w:val="21"/>
              </w:rPr>
              <w:t>4</w:t>
            </w:r>
            <w:r>
              <w:rPr>
                <w:rFonts w:ascii="Times New Roman" w:hAnsi="Times New Roman" w:cs="Times New Roman"/>
                <w:sz w:val="21"/>
                <w:szCs w:val="21"/>
              </w:rPr>
              <w:t>#</w:t>
            </w:r>
          </w:p>
        </w:tc>
        <w:tc>
          <w:tcPr>
            <w:tcW w:w="952" w:type="dxa"/>
            <w:tcBorders>
              <w:tl2br w:val="nil"/>
              <w:tr2bl w:val="nil"/>
            </w:tcBorders>
            <w:vAlign w:val="center"/>
          </w:tcPr>
          <w:p w14:paraId="3858625E" w14:textId="77777777" w:rsidR="009D12AF" w:rsidRDefault="00000000">
            <w:pPr>
              <w:widowControl/>
              <w:adjustRightInd w:val="0"/>
              <w:snapToGrid w:val="0"/>
              <w:ind w:firstLineChars="0" w:firstLine="0"/>
              <w:jc w:val="center"/>
              <w:rPr>
                <w:rFonts w:cs="Times New Roman"/>
                <w:sz w:val="21"/>
                <w:szCs w:val="21"/>
                <w:highlight w:val="yellow"/>
              </w:rPr>
            </w:pPr>
            <w:r>
              <w:rPr>
                <w:rFonts w:cs="Times New Roman" w:hint="eastAsia"/>
                <w:sz w:val="21"/>
                <w:szCs w:val="21"/>
              </w:rPr>
              <w:t>7</w:t>
            </w:r>
            <w:r>
              <w:rPr>
                <w:rFonts w:ascii="Times New Roman" w:hAnsi="Times New Roman" w:cs="Times New Roman"/>
                <w:sz w:val="21"/>
                <w:szCs w:val="21"/>
              </w:rPr>
              <w:t>#</w:t>
            </w:r>
          </w:p>
        </w:tc>
      </w:tr>
      <w:tr w:rsidR="009D12AF" w14:paraId="3E5CEFCA" w14:textId="77777777">
        <w:trPr>
          <w:jc w:val="center"/>
        </w:trPr>
        <w:tc>
          <w:tcPr>
            <w:tcW w:w="554" w:type="pct"/>
            <w:tcBorders>
              <w:tl2br w:val="nil"/>
              <w:tr2bl w:val="nil"/>
            </w:tcBorders>
            <w:vAlign w:val="center"/>
          </w:tcPr>
          <w:p w14:paraId="0C999E97" w14:textId="77777777" w:rsidR="009D12AF" w:rsidRDefault="00000000">
            <w:pPr>
              <w:ind w:firstLineChars="0" w:firstLine="0"/>
              <w:jc w:val="center"/>
              <w:rPr>
                <w:rFonts w:ascii="Times New Roman" w:hAnsi="Times New Roman" w:cs="Times New Roman"/>
                <w:kern w:val="0"/>
                <w:sz w:val="21"/>
                <w:szCs w:val="21"/>
              </w:rPr>
            </w:pPr>
            <w:r>
              <w:rPr>
                <w:rFonts w:ascii="Times New Roman" w:hAnsi="Times New Roman" w:cs="Times New Roman"/>
                <w:kern w:val="0"/>
                <w:sz w:val="21"/>
                <w:szCs w:val="21"/>
              </w:rPr>
              <w:t>矿化度（</w:t>
            </w:r>
            <w:r>
              <w:rPr>
                <w:rFonts w:ascii="Times New Roman" w:hAnsi="Times New Roman" w:cs="Times New Roman"/>
                <w:kern w:val="0"/>
                <w:sz w:val="21"/>
                <w:szCs w:val="21"/>
              </w:rPr>
              <w:t>M</w:t>
            </w:r>
            <w:r>
              <w:rPr>
                <w:rFonts w:ascii="Times New Roman" w:hAnsi="Times New Roman" w:cs="Times New Roman"/>
                <w:kern w:val="0"/>
                <w:sz w:val="21"/>
                <w:szCs w:val="21"/>
              </w:rPr>
              <w:t>）</w:t>
            </w:r>
          </w:p>
        </w:tc>
        <w:tc>
          <w:tcPr>
            <w:tcW w:w="554" w:type="pct"/>
            <w:tcBorders>
              <w:tl2br w:val="nil"/>
              <w:tr2bl w:val="nil"/>
            </w:tcBorders>
            <w:vAlign w:val="center"/>
          </w:tcPr>
          <w:p w14:paraId="7C65B6E2" w14:textId="77777777" w:rsidR="009D12AF" w:rsidRDefault="00000000">
            <w:pPr>
              <w:ind w:firstLineChars="0" w:firstLine="0"/>
              <w:jc w:val="center"/>
              <w:rPr>
                <w:rFonts w:ascii="Times New Roman" w:hAnsi="Times New Roman" w:cs="Times New Roman"/>
                <w:kern w:val="0"/>
                <w:sz w:val="21"/>
                <w:szCs w:val="21"/>
              </w:rPr>
            </w:pPr>
            <w:r>
              <w:rPr>
                <w:rFonts w:ascii="Times New Roman" w:hAnsi="Times New Roman" w:cs="Times New Roman" w:hint="eastAsia"/>
                <w:kern w:val="0"/>
                <w:sz w:val="21"/>
                <w:szCs w:val="21"/>
              </w:rPr>
              <w:t>0.28</w:t>
            </w:r>
          </w:p>
        </w:tc>
        <w:tc>
          <w:tcPr>
            <w:tcW w:w="554" w:type="pct"/>
            <w:tcBorders>
              <w:tl2br w:val="nil"/>
              <w:tr2bl w:val="nil"/>
            </w:tcBorders>
            <w:vAlign w:val="center"/>
          </w:tcPr>
          <w:p w14:paraId="6525E67F" w14:textId="77777777" w:rsidR="009D12AF" w:rsidRDefault="00000000">
            <w:pPr>
              <w:ind w:firstLineChars="0" w:firstLine="0"/>
              <w:jc w:val="center"/>
              <w:rPr>
                <w:rFonts w:ascii="Times New Roman" w:hAnsi="Times New Roman" w:cs="Times New Roman"/>
                <w:kern w:val="0"/>
                <w:sz w:val="21"/>
                <w:szCs w:val="21"/>
              </w:rPr>
            </w:pPr>
            <w:r>
              <w:rPr>
                <w:rFonts w:ascii="Times New Roman" w:hAnsi="Times New Roman" w:cs="Times New Roman" w:hint="eastAsia"/>
                <w:kern w:val="0"/>
                <w:sz w:val="21"/>
                <w:szCs w:val="21"/>
              </w:rPr>
              <w:t>0.15</w:t>
            </w:r>
          </w:p>
        </w:tc>
        <w:tc>
          <w:tcPr>
            <w:tcW w:w="555" w:type="pct"/>
            <w:tcBorders>
              <w:tl2br w:val="nil"/>
              <w:tr2bl w:val="nil"/>
            </w:tcBorders>
            <w:vAlign w:val="center"/>
          </w:tcPr>
          <w:p w14:paraId="7A0893A3" w14:textId="77777777" w:rsidR="009D12AF" w:rsidRDefault="00000000">
            <w:pPr>
              <w:ind w:firstLineChars="0" w:firstLine="0"/>
              <w:jc w:val="center"/>
              <w:rPr>
                <w:rFonts w:ascii="Times New Roman" w:hAnsi="Times New Roman" w:cs="Times New Roman"/>
                <w:kern w:val="0"/>
                <w:sz w:val="21"/>
                <w:szCs w:val="21"/>
              </w:rPr>
            </w:pPr>
            <w:r>
              <w:rPr>
                <w:rFonts w:cs="Times New Roman" w:hint="eastAsia"/>
                <w:kern w:val="0"/>
                <w:sz w:val="21"/>
                <w:szCs w:val="21"/>
              </w:rPr>
              <w:t>0.17</w:t>
            </w:r>
          </w:p>
        </w:tc>
        <w:tc>
          <w:tcPr>
            <w:tcW w:w="555" w:type="pct"/>
            <w:tcBorders>
              <w:tl2br w:val="nil"/>
              <w:tr2bl w:val="nil"/>
            </w:tcBorders>
            <w:vAlign w:val="center"/>
          </w:tcPr>
          <w:p w14:paraId="3614DDEF" w14:textId="77777777" w:rsidR="009D12AF" w:rsidRDefault="00000000">
            <w:pPr>
              <w:ind w:firstLineChars="0" w:firstLine="0"/>
              <w:jc w:val="center"/>
              <w:rPr>
                <w:rFonts w:ascii="Times New Roman" w:hAnsi="Times New Roman" w:cs="Times New Roman"/>
                <w:kern w:val="0"/>
                <w:sz w:val="21"/>
                <w:szCs w:val="21"/>
              </w:rPr>
            </w:pPr>
            <w:r>
              <w:rPr>
                <w:rFonts w:cs="Times New Roman" w:hint="eastAsia"/>
                <w:kern w:val="0"/>
                <w:sz w:val="21"/>
                <w:szCs w:val="21"/>
              </w:rPr>
              <w:t>0.13</w:t>
            </w:r>
          </w:p>
        </w:tc>
        <w:tc>
          <w:tcPr>
            <w:tcW w:w="555" w:type="pct"/>
            <w:tcBorders>
              <w:tl2br w:val="nil"/>
              <w:tr2bl w:val="nil"/>
            </w:tcBorders>
            <w:vAlign w:val="center"/>
          </w:tcPr>
          <w:p w14:paraId="5992EE44" w14:textId="77777777" w:rsidR="009D12AF" w:rsidRDefault="00000000">
            <w:pPr>
              <w:ind w:firstLineChars="0" w:firstLine="0"/>
              <w:jc w:val="center"/>
              <w:rPr>
                <w:rFonts w:ascii="Times New Roman" w:hAnsi="Times New Roman" w:cs="Times New Roman"/>
                <w:kern w:val="0"/>
                <w:sz w:val="21"/>
                <w:szCs w:val="21"/>
              </w:rPr>
            </w:pPr>
            <w:r>
              <w:rPr>
                <w:rFonts w:cs="Times New Roman" w:hint="eastAsia"/>
                <w:kern w:val="0"/>
                <w:sz w:val="21"/>
                <w:szCs w:val="21"/>
              </w:rPr>
              <w:t>0.13</w:t>
            </w:r>
          </w:p>
        </w:tc>
        <w:tc>
          <w:tcPr>
            <w:tcW w:w="555" w:type="pct"/>
            <w:tcBorders>
              <w:tl2br w:val="nil"/>
              <w:tr2bl w:val="nil"/>
            </w:tcBorders>
            <w:vAlign w:val="center"/>
          </w:tcPr>
          <w:p w14:paraId="74CB9BBD" w14:textId="77777777" w:rsidR="009D12AF" w:rsidRDefault="00000000">
            <w:pPr>
              <w:ind w:firstLineChars="0" w:firstLine="0"/>
              <w:jc w:val="center"/>
              <w:rPr>
                <w:rFonts w:cs="Times New Roman"/>
                <w:kern w:val="0"/>
                <w:sz w:val="21"/>
                <w:szCs w:val="21"/>
              </w:rPr>
            </w:pPr>
            <w:r>
              <w:rPr>
                <w:rFonts w:cs="Times New Roman" w:hint="eastAsia"/>
                <w:kern w:val="0"/>
                <w:sz w:val="21"/>
                <w:szCs w:val="21"/>
              </w:rPr>
              <w:t>0.14</w:t>
            </w:r>
          </w:p>
        </w:tc>
        <w:tc>
          <w:tcPr>
            <w:tcW w:w="555" w:type="pct"/>
            <w:tcBorders>
              <w:tl2br w:val="nil"/>
              <w:tr2bl w:val="nil"/>
            </w:tcBorders>
            <w:vAlign w:val="center"/>
          </w:tcPr>
          <w:p w14:paraId="42229739" w14:textId="77777777" w:rsidR="009D12AF" w:rsidRDefault="00000000">
            <w:pPr>
              <w:ind w:firstLineChars="0" w:firstLine="0"/>
              <w:jc w:val="center"/>
              <w:rPr>
                <w:rFonts w:cs="Times New Roman"/>
                <w:kern w:val="0"/>
                <w:sz w:val="21"/>
                <w:szCs w:val="21"/>
              </w:rPr>
            </w:pPr>
            <w:r>
              <w:rPr>
                <w:rFonts w:cs="Times New Roman" w:hint="eastAsia"/>
                <w:kern w:val="0"/>
                <w:sz w:val="21"/>
                <w:szCs w:val="21"/>
              </w:rPr>
              <w:t>0.10</w:t>
            </w:r>
          </w:p>
        </w:tc>
        <w:tc>
          <w:tcPr>
            <w:tcW w:w="558" w:type="pct"/>
            <w:tcBorders>
              <w:tl2br w:val="nil"/>
              <w:tr2bl w:val="nil"/>
            </w:tcBorders>
            <w:vAlign w:val="center"/>
          </w:tcPr>
          <w:p w14:paraId="44103F65" w14:textId="77777777" w:rsidR="009D12AF" w:rsidRDefault="00000000">
            <w:pPr>
              <w:ind w:firstLineChars="0" w:firstLine="0"/>
              <w:jc w:val="center"/>
              <w:rPr>
                <w:rFonts w:cs="Times New Roman"/>
                <w:kern w:val="0"/>
                <w:sz w:val="21"/>
                <w:szCs w:val="21"/>
              </w:rPr>
            </w:pPr>
            <w:r>
              <w:rPr>
                <w:rFonts w:cs="Times New Roman" w:hint="eastAsia"/>
                <w:kern w:val="0"/>
                <w:sz w:val="21"/>
                <w:szCs w:val="21"/>
              </w:rPr>
              <w:t>0.22</w:t>
            </w:r>
          </w:p>
        </w:tc>
      </w:tr>
      <w:tr w:rsidR="009D12AF" w14:paraId="4AD05B52" w14:textId="77777777">
        <w:trPr>
          <w:jc w:val="center"/>
        </w:trPr>
        <w:tc>
          <w:tcPr>
            <w:tcW w:w="554" w:type="pct"/>
            <w:tcBorders>
              <w:tl2br w:val="nil"/>
              <w:tr2bl w:val="nil"/>
            </w:tcBorders>
            <w:vAlign w:val="center"/>
          </w:tcPr>
          <w:p w14:paraId="0E67FA05" w14:textId="77777777" w:rsidR="009D12AF" w:rsidRDefault="00000000">
            <w:pPr>
              <w:ind w:firstLineChars="0" w:firstLine="0"/>
              <w:jc w:val="center"/>
              <w:rPr>
                <w:rFonts w:ascii="Times New Roman" w:hAnsi="Times New Roman" w:cs="Times New Roman"/>
                <w:kern w:val="0"/>
                <w:sz w:val="21"/>
                <w:szCs w:val="21"/>
              </w:rPr>
            </w:pPr>
            <w:r>
              <w:rPr>
                <w:rFonts w:ascii="Times New Roman" w:hAnsi="Times New Roman" w:cs="Times New Roman"/>
                <w:kern w:val="0"/>
                <w:sz w:val="21"/>
                <w:szCs w:val="21"/>
              </w:rPr>
              <w:t>矿化度分组</w:t>
            </w:r>
          </w:p>
        </w:tc>
        <w:tc>
          <w:tcPr>
            <w:tcW w:w="554" w:type="pct"/>
            <w:tcBorders>
              <w:tl2br w:val="nil"/>
              <w:tr2bl w:val="nil"/>
            </w:tcBorders>
            <w:vAlign w:val="center"/>
          </w:tcPr>
          <w:p w14:paraId="45EF38EE" w14:textId="77777777" w:rsidR="009D12AF" w:rsidRDefault="00000000">
            <w:pPr>
              <w:ind w:firstLineChars="0" w:firstLine="0"/>
              <w:jc w:val="center"/>
              <w:rPr>
                <w:rFonts w:ascii="Times New Roman" w:hAnsi="Times New Roman" w:cs="Times New Roman"/>
                <w:kern w:val="0"/>
                <w:sz w:val="21"/>
                <w:szCs w:val="21"/>
              </w:rPr>
            </w:pPr>
            <w:r>
              <w:rPr>
                <w:rFonts w:ascii="Times New Roman" w:hAnsi="Times New Roman" w:cs="Times New Roman"/>
                <w:kern w:val="0"/>
                <w:sz w:val="21"/>
                <w:szCs w:val="21"/>
              </w:rPr>
              <w:t>A</w:t>
            </w:r>
          </w:p>
        </w:tc>
        <w:tc>
          <w:tcPr>
            <w:tcW w:w="554" w:type="pct"/>
            <w:tcBorders>
              <w:tl2br w:val="nil"/>
              <w:tr2bl w:val="nil"/>
            </w:tcBorders>
            <w:vAlign w:val="center"/>
          </w:tcPr>
          <w:p w14:paraId="0567D543" w14:textId="77777777" w:rsidR="009D12AF" w:rsidRDefault="00000000">
            <w:pPr>
              <w:ind w:firstLineChars="0" w:firstLine="0"/>
              <w:jc w:val="center"/>
              <w:rPr>
                <w:rFonts w:ascii="Times New Roman" w:hAnsi="Times New Roman" w:cs="Times New Roman"/>
                <w:kern w:val="0"/>
                <w:sz w:val="21"/>
                <w:szCs w:val="21"/>
              </w:rPr>
            </w:pPr>
            <w:r>
              <w:rPr>
                <w:rFonts w:ascii="Times New Roman" w:hAnsi="Times New Roman" w:cs="Times New Roman"/>
                <w:kern w:val="0"/>
                <w:sz w:val="21"/>
                <w:szCs w:val="21"/>
              </w:rPr>
              <w:t>A</w:t>
            </w:r>
          </w:p>
        </w:tc>
        <w:tc>
          <w:tcPr>
            <w:tcW w:w="555" w:type="pct"/>
            <w:tcBorders>
              <w:tl2br w:val="nil"/>
              <w:tr2bl w:val="nil"/>
            </w:tcBorders>
            <w:vAlign w:val="center"/>
          </w:tcPr>
          <w:p w14:paraId="7B6D13CC" w14:textId="77777777" w:rsidR="009D12AF" w:rsidRDefault="00000000">
            <w:pPr>
              <w:ind w:firstLineChars="0" w:firstLine="0"/>
              <w:jc w:val="center"/>
              <w:rPr>
                <w:rFonts w:ascii="Times New Roman" w:hAnsi="Times New Roman" w:cs="Times New Roman"/>
                <w:kern w:val="0"/>
                <w:sz w:val="21"/>
                <w:szCs w:val="21"/>
              </w:rPr>
            </w:pPr>
            <w:r>
              <w:rPr>
                <w:rFonts w:ascii="Times New Roman" w:hAnsi="Times New Roman" w:cs="Times New Roman"/>
                <w:kern w:val="0"/>
                <w:sz w:val="21"/>
                <w:szCs w:val="21"/>
              </w:rPr>
              <w:t>A</w:t>
            </w:r>
          </w:p>
        </w:tc>
        <w:tc>
          <w:tcPr>
            <w:tcW w:w="555" w:type="pct"/>
            <w:tcBorders>
              <w:tl2br w:val="nil"/>
              <w:tr2bl w:val="nil"/>
            </w:tcBorders>
            <w:vAlign w:val="center"/>
          </w:tcPr>
          <w:p w14:paraId="229D7C9C" w14:textId="77777777" w:rsidR="009D12AF" w:rsidRDefault="00000000">
            <w:pPr>
              <w:ind w:firstLineChars="0" w:firstLine="0"/>
              <w:jc w:val="center"/>
              <w:rPr>
                <w:rFonts w:ascii="Times New Roman" w:hAnsi="Times New Roman" w:cs="Times New Roman"/>
                <w:kern w:val="0"/>
                <w:sz w:val="21"/>
                <w:szCs w:val="21"/>
              </w:rPr>
            </w:pPr>
            <w:r>
              <w:rPr>
                <w:rFonts w:ascii="Times New Roman" w:hAnsi="Times New Roman" w:cs="Times New Roman"/>
                <w:kern w:val="0"/>
                <w:sz w:val="21"/>
                <w:szCs w:val="21"/>
              </w:rPr>
              <w:t>A</w:t>
            </w:r>
          </w:p>
        </w:tc>
        <w:tc>
          <w:tcPr>
            <w:tcW w:w="555" w:type="pct"/>
            <w:tcBorders>
              <w:tl2br w:val="nil"/>
              <w:tr2bl w:val="nil"/>
            </w:tcBorders>
            <w:vAlign w:val="center"/>
          </w:tcPr>
          <w:p w14:paraId="0EC23E1F" w14:textId="77777777" w:rsidR="009D12AF" w:rsidRDefault="00000000">
            <w:pPr>
              <w:ind w:firstLineChars="0" w:firstLine="0"/>
              <w:jc w:val="center"/>
              <w:rPr>
                <w:rFonts w:ascii="Times New Roman" w:hAnsi="Times New Roman" w:cs="Times New Roman"/>
                <w:kern w:val="0"/>
                <w:sz w:val="21"/>
                <w:szCs w:val="21"/>
              </w:rPr>
            </w:pPr>
            <w:r>
              <w:rPr>
                <w:rFonts w:ascii="Times New Roman" w:hAnsi="Times New Roman" w:cs="Times New Roman"/>
                <w:kern w:val="0"/>
                <w:sz w:val="21"/>
                <w:szCs w:val="21"/>
              </w:rPr>
              <w:t>A</w:t>
            </w:r>
          </w:p>
        </w:tc>
        <w:tc>
          <w:tcPr>
            <w:tcW w:w="555" w:type="pct"/>
            <w:tcBorders>
              <w:tl2br w:val="nil"/>
              <w:tr2bl w:val="nil"/>
            </w:tcBorders>
            <w:vAlign w:val="center"/>
          </w:tcPr>
          <w:p w14:paraId="4CD5EFBF" w14:textId="77777777" w:rsidR="009D12AF" w:rsidRDefault="00000000">
            <w:pPr>
              <w:ind w:firstLineChars="0" w:firstLine="0"/>
              <w:jc w:val="center"/>
              <w:rPr>
                <w:rFonts w:ascii="Times New Roman" w:hAnsi="Times New Roman" w:cs="Times New Roman"/>
                <w:kern w:val="0"/>
                <w:sz w:val="21"/>
                <w:szCs w:val="21"/>
              </w:rPr>
            </w:pPr>
            <w:r>
              <w:rPr>
                <w:rFonts w:ascii="Times New Roman" w:hAnsi="Times New Roman" w:cs="Times New Roman"/>
                <w:kern w:val="0"/>
                <w:sz w:val="21"/>
                <w:szCs w:val="21"/>
              </w:rPr>
              <w:t>A</w:t>
            </w:r>
          </w:p>
        </w:tc>
        <w:tc>
          <w:tcPr>
            <w:tcW w:w="555" w:type="pct"/>
            <w:tcBorders>
              <w:tl2br w:val="nil"/>
              <w:tr2bl w:val="nil"/>
            </w:tcBorders>
            <w:vAlign w:val="center"/>
          </w:tcPr>
          <w:p w14:paraId="465B4CFA" w14:textId="77777777" w:rsidR="009D12AF" w:rsidRDefault="00000000">
            <w:pPr>
              <w:ind w:firstLineChars="0" w:firstLine="0"/>
              <w:jc w:val="center"/>
              <w:rPr>
                <w:rFonts w:ascii="Times New Roman" w:hAnsi="Times New Roman" w:cs="Times New Roman"/>
                <w:kern w:val="0"/>
                <w:sz w:val="21"/>
                <w:szCs w:val="21"/>
              </w:rPr>
            </w:pPr>
            <w:r>
              <w:rPr>
                <w:rFonts w:ascii="Times New Roman" w:hAnsi="Times New Roman" w:cs="Times New Roman"/>
                <w:kern w:val="0"/>
                <w:sz w:val="21"/>
                <w:szCs w:val="21"/>
              </w:rPr>
              <w:t>A</w:t>
            </w:r>
          </w:p>
        </w:tc>
        <w:tc>
          <w:tcPr>
            <w:tcW w:w="558" w:type="pct"/>
            <w:tcBorders>
              <w:tl2br w:val="nil"/>
              <w:tr2bl w:val="nil"/>
            </w:tcBorders>
            <w:vAlign w:val="center"/>
          </w:tcPr>
          <w:p w14:paraId="37A4DD73" w14:textId="77777777" w:rsidR="009D12AF" w:rsidRDefault="00000000">
            <w:pPr>
              <w:ind w:firstLineChars="0" w:firstLine="0"/>
              <w:jc w:val="center"/>
              <w:rPr>
                <w:rFonts w:ascii="Times New Roman" w:hAnsi="Times New Roman" w:cs="Times New Roman"/>
                <w:kern w:val="0"/>
                <w:sz w:val="21"/>
                <w:szCs w:val="21"/>
              </w:rPr>
            </w:pPr>
            <w:r>
              <w:rPr>
                <w:rFonts w:ascii="Times New Roman" w:hAnsi="Times New Roman" w:cs="Times New Roman"/>
                <w:kern w:val="0"/>
                <w:sz w:val="21"/>
                <w:szCs w:val="21"/>
              </w:rPr>
              <w:t>A</w:t>
            </w:r>
          </w:p>
        </w:tc>
      </w:tr>
    </w:tbl>
    <w:p w14:paraId="364C2AC3" w14:textId="77777777" w:rsidR="009D12AF" w:rsidRDefault="00000000">
      <w:pPr>
        <w:ind w:firstLine="480"/>
      </w:pPr>
      <w:r>
        <w:t>综上所述，项目区矿化度小于</w:t>
      </w:r>
      <w:r>
        <w:t>1.5g/L</w:t>
      </w:r>
      <w:r>
        <w:t>。</w:t>
      </w:r>
    </w:p>
    <w:p w14:paraId="231149BE" w14:textId="77777777" w:rsidR="009D12AF" w:rsidRDefault="00000000">
      <w:pPr>
        <w:ind w:firstLine="480"/>
        <w:rPr>
          <w:color w:val="FF0000"/>
          <w:highlight w:val="yellow"/>
        </w:rPr>
      </w:pPr>
      <w:r>
        <w:rPr>
          <w:rFonts w:hint="eastAsia"/>
          <w:color w:val="000000" w:themeColor="text1"/>
        </w:rPr>
        <w:t>（</w:t>
      </w:r>
      <w:r>
        <w:rPr>
          <w:rFonts w:hint="eastAsia"/>
          <w:color w:val="000000" w:themeColor="text1"/>
        </w:rPr>
        <w:t>5</w:t>
      </w:r>
      <w:r>
        <w:rPr>
          <w:rFonts w:hint="eastAsia"/>
          <w:color w:val="000000" w:themeColor="text1"/>
        </w:rPr>
        <w:t>）现状评价结论</w:t>
      </w:r>
    </w:p>
    <w:p w14:paraId="6946BBC3" w14:textId="77777777" w:rsidR="009D12AF" w:rsidRDefault="00000000">
      <w:pPr>
        <w:ind w:firstLine="480"/>
      </w:pPr>
      <w:r>
        <w:rPr>
          <w:rFonts w:ascii="Times New Roman" w:hAnsi="Times New Roman" w:cs="Times New Roman" w:hint="eastAsia"/>
        </w:rPr>
        <w:t>群力水库和向阳水电站前池各</w:t>
      </w:r>
      <w:r>
        <w:rPr>
          <w:rFonts w:ascii="Times New Roman" w:hAnsi="Times New Roman" w:cs="Times New Roman"/>
        </w:rPr>
        <w:t>监测点各监测因子均符合《地下水质量标准》</w:t>
      </w:r>
      <w:r>
        <w:rPr>
          <w:rFonts w:ascii="Times New Roman" w:hAnsi="Times New Roman" w:cs="Times New Roman"/>
        </w:rPr>
        <w:lastRenderedPageBreak/>
        <w:t>（</w:t>
      </w:r>
      <w:r>
        <w:rPr>
          <w:rFonts w:ascii="Times New Roman" w:hAnsi="Times New Roman" w:cs="Times New Roman"/>
        </w:rPr>
        <w:t>GB/T14848-2017</w:t>
      </w:r>
      <w:r>
        <w:rPr>
          <w:rFonts w:ascii="Times New Roman" w:hAnsi="Times New Roman" w:cs="Times New Roman"/>
        </w:rPr>
        <w:t>）中</w:t>
      </w:r>
      <w:r>
        <w:rPr>
          <w:rFonts w:ascii="Times New Roman" w:hAnsi="Times New Roman" w:cs="Times New Roman"/>
        </w:rPr>
        <w:t>Ⅲ</w:t>
      </w:r>
      <w:r>
        <w:rPr>
          <w:rFonts w:ascii="Times New Roman" w:hAnsi="Times New Roman" w:cs="Times New Roman"/>
        </w:rPr>
        <w:t>类标准，</w:t>
      </w:r>
      <w:r>
        <w:rPr>
          <w:rFonts w:cs="Times New Roman" w:hint="eastAsia"/>
        </w:rPr>
        <w:t>监测点</w:t>
      </w:r>
      <w:r>
        <w:rPr>
          <w:rFonts w:ascii="Times New Roman" w:eastAsia="宋体" w:hAnsi="Times New Roman" w:cs="Times New Roman"/>
          <w:snapToGrid w:val="0"/>
        </w:rPr>
        <w:t>处地下水为</w:t>
      </w:r>
      <w:r>
        <w:rPr>
          <w:rFonts w:cs="Times New Roman" w:hint="eastAsia"/>
          <w:snapToGrid w:val="0"/>
        </w:rPr>
        <w:t>22</w:t>
      </w:r>
      <w:r>
        <w:rPr>
          <w:rFonts w:ascii="Times New Roman" w:eastAsia="宋体" w:hAnsi="Times New Roman" w:cs="Times New Roman"/>
          <w:snapToGrid w:val="0"/>
        </w:rPr>
        <w:t>-A</w:t>
      </w:r>
      <w:r>
        <w:rPr>
          <w:rFonts w:ascii="Times New Roman" w:eastAsia="宋体" w:hAnsi="Times New Roman" w:cs="Times New Roman"/>
          <w:snapToGrid w:val="0"/>
        </w:rPr>
        <w:t>型，</w:t>
      </w:r>
      <w:r>
        <w:rPr>
          <w:rFonts w:ascii="Times New Roman" w:hAnsi="Times New Roman" w:cs="Times New Roman"/>
        </w:rPr>
        <w:t>表示矿化度小于</w:t>
      </w:r>
      <w:r>
        <w:rPr>
          <w:rFonts w:ascii="Times New Roman" w:hAnsi="Times New Roman" w:cs="Times New Roman"/>
        </w:rPr>
        <w:t>1.5g/L</w:t>
      </w:r>
      <w:r>
        <w:rPr>
          <w:rFonts w:ascii="Times New Roman" w:hAnsi="Times New Roman" w:cs="Times New Roman"/>
        </w:rPr>
        <w:t>的</w:t>
      </w:r>
      <w:r>
        <w:rPr>
          <w:rFonts w:ascii="Times New Roman" w:hAnsi="Times New Roman" w:cs="Times New Roman"/>
        </w:rPr>
        <w:t>HCO</w:t>
      </w:r>
      <w:r>
        <w:rPr>
          <w:rFonts w:ascii="Times New Roman" w:hAnsi="Times New Roman" w:cs="Times New Roman"/>
          <w:vertAlign w:val="subscript"/>
        </w:rPr>
        <w:t>3</w:t>
      </w:r>
      <w:r>
        <w:rPr>
          <w:rFonts w:ascii="Times New Roman" w:hAnsi="Times New Roman" w:cs="Times New Roman"/>
          <w:vertAlign w:val="superscript"/>
        </w:rPr>
        <w:t>-</w:t>
      </w:r>
      <w:r>
        <w:rPr>
          <w:rFonts w:ascii="Times New Roman" w:hAnsi="Times New Roman" w:cs="Times New Roman"/>
        </w:rPr>
        <w:t>-Cl</w:t>
      </w:r>
      <w:r>
        <w:rPr>
          <w:rFonts w:ascii="Times New Roman" w:hAnsi="Times New Roman" w:cs="Times New Roman"/>
          <w:vertAlign w:val="superscript"/>
        </w:rPr>
        <w:t>-</w:t>
      </w:r>
      <w:r>
        <w:rPr>
          <w:rFonts w:ascii="Times New Roman" w:hAnsi="Times New Roman" w:cs="Times New Roman"/>
        </w:rPr>
        <w:t>-Ca</w:t>
      </w:r>
      <w:r>
        <w:rPr>
          <w:rFonts w:ascii="Times New Roman" w:hAnsi="Times New Roman" w:cs="Times New Roman"/>
          <w:vertAlign w:val="superscript"/>
        </w:rPr>
        <w:t>2+</w:t>
      </w:r>
      <w:r>
        <w:rPr>
          <w:rFonts w:ascii="Times New Roman" w:hAnsi="Times New Roman" w:cs="Times New Roman"/>
        </w:rPr>
        <w:t>型水</w:t>
      </w:r>
      <w:r>
        <w:rPr>
          <w:rFonts w:cs="Times New Roman" w:hint="eastAsia"/>
        </w:rPr>
        <w:t>。</w:t>
      </w:r>
    </w:p>
    <w:p w14:paraId="599E1B74" w14:textId="77777777" w:rsidR="009D12AF" w:rsidRDefault="009D12AF">
      <w:pPr>
        <w:ind w:firstLine="480"/>
        <w:rPr>
          <w:color w:val="FF0000"/>
          <w:highlight w:val="yellow"/>
        </w:rPr>
      </w:pPr>
    </w:p>
    <w:p w14:paraId="21901566" w14:textId="77777777" w:rsidR="009D12AF" w:rsidRDefault="009D12AF">
      <w:pPr>
        <w:ind w:firstLine="480"/>
        <w:rPr>
          <w:highlight w:val="yellow"/>
        </w:rPr>
      </w:pPr>
    </w:p>
    <w:p w14:paraId="2F919EE1" w14:textId="77777777" w:rsidR="009D12AF" w:rsidRDefault="00000000">
      <w:pPr>
        <w:ind w:firstLine="560"/>
        <w:rPr>
          <w:rFonts w:ascii="仿宋_GB2312" w:eastAsia="仿宋_GB2312"/>
          <w:kern w:val="28"/>
          <w:sz w:val="28"/>
          <w:highlight w:val="yellow"/>
        </w:rPr>
      </w:pPr>
      <w:r>
        <w:rPr>
          <w:rFonts w:ascii="仿宋_GB2312" w:eastAsia="仿宋_GB2312"/>
          <w:kern w:val="28"/>
          <w:sz w:val="28"/>
          <w:highlight w:val="yellow"/>
        </w:rPr>
        <w:br w:type="page"/>
      </w:r>
    </w:p>
    <w:p w14:paraId="0088F9C1" w14:textId="77777777" w:rsidR="009D12AF" w:rsidRDefault="00000000">
      <w:pPr>
        <w:pStyle w:val="3"/>
      </w:pPr>
      <w:bookmarkStart w:id="223" w:name="_Toc5645"/>
      <w:bookmarkStart w:id="224" w:name="_Toc13313"/>
      <w:bookmarkStart w:id="225" w:name="_Toc21293"/>
      <w:r>
        <w:lastRenderedPageBreak/>
        <w:t>4.3.</w:t>
      </w:r>
      <w:r>
        <w:rPr>
          <w:rFonts w:hint="eastAsia"/>
        </w:rPr>
        <w:t>5</w:t>
      </w:r>
      <w:r>
        <w:rPr>
          <w:rFonts w:hint="eastAsia"/>
        </w:rPr>
        <w:t>土壤</w:t>
      </w:r>
      <w:r>
        <w:t>环境质量现状调查与评价</w:t>
      </w:r>
      <w:bookmarkEnd w:id="223"/>
      <w:bookmarkEnd w:id="224"/>
      <w:bookmarkEnd w:id="225"/>
    </w:p>
    <w:p w14:paraId="21E216B0" w14:textId="77777777" w:rsidR="009D12AF" w:rsidRDefault="00000000">
      <w:pPr>
        <w:pStyle w:val="a9"/>
        <w:adjustRightInd w:val="0"/>
        <w:snapToGrid w:val="0"/>
        <w:ind w:firstLine="482"/>
        <w:rPr>
          <w:rFonts w:ascii="Times New Roman" w:hAnsi="Times New Roman"/>
          <w:b/>
          <w:bCs/>
          <w:szCs w:val="24"/>
        </w:rPr>
      </w:pPr>
      <w:r>
        <w:rPr>
          <w:rFonts w:ascii="Times New Roman" w:hAnsi="Times New Roman" w:hint="eastAsia"/>
          <w:b/>
          <w:bCs/>
          <w:szCs w:val="24"/>
        </w:rPr>
        <w:t>1</w:t>
      </w:r>
      <w:r>
        <w:rPr>
          <w:rFonts w:ascii="Times New Roman" w:hAnsi="Times New Roman" w:hint="eastAsia"/>
          <w:b/>
          <w:bCs/>
          <w:szCs w:val="24"/>
        </w:rPr>
        <w:t>、监测点布设</w:t>
      </w:r>
    </w:p>
    <w:p w14:paraId="798D32E7" w14:textId="77777777" w:rsidR="009D12AF" w:rsidRDefault="00000000">
      <w:pPr>
        <w:pStyle w:val="a9"/>
        <w:adjustRightInd w:val="0"/>
        <w:snapToGrid w:val="0"/>
        <w:ind w:firstLine="480"/>
        <w:rPr>
          <w:rFonts w:ascii="Times New Roman" w:hAnsi="Times New Roman"/>
          <w:szCs w:val="24"/>
        </w:rPr>
      </w:pPr>
      <w:r>
        <w:rPr>
          <w:rFonts w:ascii="Times New Roman" w:hAnsi="Times New Roman" w:hint="eastAsia"/>
          <w:szCs w:val="24"/>
        </w:rPr>
        <w:t>根据《环境影响评价技术导则</w:t>
      </w:r>
      <w:r>
        <w:rPr>
          <w:rFonts w:ascii="Times New Roman" w:hAnsi="Times New Roman" w:hint="eastAsia"/>
          <w:szCs w:val="24"/>
        </w:rPr>
        <w:t xml:space="preserve"> </w:t>
      </w:r>
      <w:r>
        <w:rPr>
          <w:rFonts w:ascii="Times New Roman" w:hAnsi="Times New Roman" w:hint="eastAsia"/>
          <w:szCs w:val="24"/>
        </w:rPr>
        <w:t>土壤环境（试行）》（</w:t>
      </w:r>
      <w:r>
        <w:rPr>
          <w:rFonts w:ascii="Times New Roman" w:hAnsi="Times New Roman" w:hint="eastAsia"/>
          <w:szCs w:val="24"/>
        </w:rPr>
        <w:t>HJ964-2018</w:t>
      </w:r>
      <w:r>
        <w:rPr>
          <w:rFonts w:ascii="Times New Roman" w:hAnsi="Times New Roman" w:hint="eastAsia"/>
          <w:szCs w:val="24"/>
        </w:rPr>
        <w:t>）。本项目土壤环境影响评价项目类别为Ⅲ类，土壤环境敏感程度为敏感，对应污染影响型项目的土壤评价工作等级为三级。现状调查范围为项目占地范围内以及厂界外</w:t>
      </w:r>
      <w:r>
        <w:rPr>
          <w:rFonts w:ascii="Times New Roman" w:hAnsi="Times New Roman" w:hint="eastAsia"/>
          <w:szCs w:val="24"/>
        </w:rPr>
        <w:t>50m</w:t>
      </w:r>
      <w:r>
        <w:rPr>
          <w:rFonts w:ascii="Times New Roman" w:hAnsi="Times New Roman" w:hint="eastAsia"/>
          <w:szCs w:val="24"/>
        </w:rPr>
        <w:t>范围内。</w:t>
      </w:r>
    </w:p>
    <w:p w14:paraId="38E6D2E0" w14:textId="77777777" w:rsidR="009D12AF" w:rsidRDefault="00000000">
      <w:pPr>
        <w:pStyle w:val="a9"/>
        <w:adjustRightInd w:val="0"/>
        <w:snapToGrid w:val="0"/>
        <w:ind w:firstLine="480"/>
        <w:rPr>
          <w:rFonts w:ascii="Times New Roman" w:hAnsi="Times New Roman"/>
          <w:szCs w:val="24"/>
        </w:rPr>
      </w:pPr>
      <w:r>
        <w:rPr>
          <w:rFonts w:ascii="Times New Roman" w:hAnsi="Times New Roman" w:hint="eastAsia"/>
          <w:szCs w:val="24"/>
        </w:rPr>
        <w:t>根据《环境影响评价技术导则</w:t>
      </w:r>
      <w:r>
        <w:rPr>
          <w:rFonts w:ascii="Times New Roman" w:hAnsi="Times New Roman" w:hint="eastAsia"/>
          <w:szCs w:val="24"/>
        </w:rPr>
        <w:t xml:space="preserve"> </w:t>
      </w:r>
      <w:r>
        <w:rPr>
          <w:rFonts w:ascii="Times New Roman" w:hAnsi="Times New Roman" w:hint="eastAsia"/>
          <w:szCs w:val="24"/>
        </w:rPr>
        <w:t>土壤环境（试行）》（</w:t>
      </w:r>
      <w:r>
        <w:rPr>
          <w:rFonts w:ascii="Times New Roman" w:hAnsi="Times New Roman" w:hint="eastAsia"/>
          <w:szCs w:val="24"/>
        </w:rPr>
        <w:t>HJ964-2018</w:t>
      </w:r>
      <w:r>
        <w:rPr>
          <w:rFonts w:ascii="Times New Roman" w:hAnsi="Times New Roman" w:hint="eastAsia"/>
          <w:szCs w:val="24"/>
        </w:rPr>
        <w:t>），本项目临时施工场地为污染影响型，五个水库临时施工场地占地范围内设</w:t>
      </w:r>
      <w:r>
        <w:rPr>
          <w:rFonts w:ascii="Times New Roman" w:hAnsi="Times New Roman" w:hint="eastAsia"/>
          <w:szCs w:val="24"/>
        </w:rPr>
        <w:t>3</w:t>
      </w:r>
      <w:r>
        <w:rPr>
          <w:rFonts w:ascii="Times New Roman" w:hAnsi="Times New Roman" w:hint="eastAsia"/>
          <w:szCs w:val="24"/>
        </w:rPr>
        <w:t>个表层样点。</w:t>
      </w:r>
    </w:p>
    <w:p w14:paraId="0A349C7E" w14:textId="77777777" w:rsidR="009D12AF" w:rsidRDefault="00000000">
      <w:pPr>
        <w:pStyle w:val="a9"/>
        <w:adjustRightInd w:val="0"/>
        <w:snapToGrid w:val="0"/>
        <w:ind w:firstLine="480"/>
        <w:rPr>
          <w:rFonts w:ascii="Times New Roman" w:hAnsi="Times New Roman"/>
          <w:szCs w:val="24"/>
        </w:rPr>
      </w:pPr>
      <w:r>
        <w:rPr>
          <w:rFonts w:ascii="Times New Roman" w:hAnsi="Times New Roman" w:hint="eastAsia"/>
          <w:szCs w:val="24"/>
        </w:rPr>
        <w:t>土壤环境质量现状监测布点见表</w:t>
      </w:r>
      <w:r>
        <w:rPr>
          <w:rFonts w:ascii="Times New Roman" w:hAnsi="Times New Roman" w:hint="eastAsia"/>
          <w:szCs w:val="24"/>
        </w:rPr>
        <w:t>4.3-25</w:t>
      </w:r>
      <w:r>
        <w:rPr>
          <w:rFonts w:ascii="Times New Roman" w:hAnsi="Times New Roman" w:hint="eastAsia"/>
          <w:szCs w:val="24"/>
        </w:rPr>
        <w:t>和图</w:t>
      </w:r>
      <w:r>
        <w:rPr>
          <w:rFonts w:ascii="Times New Roman" w:hAnsi="Times New Roman" w:hint="eastAsia"/>
          <w:szCs w:val="24"/>
        </w:rPr>
        <w:t>4.3-13~4.3-17</w:t>
      </w:r>
      <w:r>
        <w:rPr>
          <w:rFonts w:ascii="Times New Roman" w:hAnsi="Times New Roman" w:hint="eastAsia"/>
          <w:szCs w:val="24"/>
        </w:rPr>
        <w:t>。</w:t>
      </w:r>
    </w:p>
    <w:p w14:paraId="1F643B55" w14:textId="77777777" w:rsidR="009D12AF" w:rsidRDefault="00000000">
      <w:pPr>
        <w:widowControl/>
        <w:ind w:firstLine="482"/>
        <w:jc w:val="center"/>
        <w:rPr>
          <w:rFonts w:cs="宋体"/>
          <w:b/>
        </w:rPr>
      </w:pPr>
      <w:r>
        <w:rPr>
          <w:rFonts w:cs="宋体"/>
          <w:b/>
        </w:rPr>
        <w:t>表</w:t>
      </w:r>
      <w:r>
        <w:rPr>
          <w:rFonts w:cs="宋体" w:hint="eastAsia"/>
          <w:b/>
        </w:rPr>
        <w:t xml:space="preserve">4.3-25  </w:t>
      </w:r>
      <w:r>
        <w:rPr>
          <w:rFonts w:cs="宋体"/>
          <w:b/>
        </w:rPr>
        <w:t>土壤监测点位一览表</w:t>
      </w:r>
    </w:p>
    <w:tbl>
      <w:tblPr>
        <w:tblW w:w="5000" w:type="pct"/>
        <w:tblBorders>
          <w:top w:val="single" w:sz="12" w:space="0" w:color="000000"/>
          <w:bottom w:val="single" w:sz="12" w:space="0" w:color="000000"/>
          <w:insideH w:val="single" w:sz="4" w:space="0" w:color="auto"/>
          <w:insideV w:val="single" w:sz="4" w:space="0" w:color="auto"/>
        </w:tblBorders>
        <w:tblLook w:val="04A0" w:firstRow="1" w:lastRow="0" w:firstColumn="1" w:lastColumn="0" w:noHBand="0" w:noVBand="1"/>
      </w:tblPr>
      <w:tblGrid>
        <w:gridCol w:w="528"/>
        <w:gridCol w:w="851"/>
        <w:gridCol w:w="707"/>
        <w:gridCol w:w="1277"/>
        <w:gridCol w:w="5159"/>
      </w:tblGrid>
      <w:tr w:rsidR="009D12AF" w14:paraId="1C7A1B4C" w14:textId="77777777">
        <w:trPr>
          <w:trHeight w:val="493"/>
        </w:trPr>
        <w:tc>
          <w:tcPr>
            <w:tcW w:w="309" w:type="pct"/>
            <w:vAlign w:val="center"/>
          </w:tcPr>
          <w:p w14:paraId="6344F023" w14:textId="77777777" w:rsidR="009D12AF" w:rsidRDefault="00000000">
            <w:pPr>
              <w:pStyle w:val="af2"/>
              <w:ind w:firstLineChars="0" w:firstLine="0"/>
              <w:rPr>
                <w:rFonts w:hAnsi="Times New Roman"/>
                <w:sz w:val="21"/>
                <w:lang w:val="zh-CN"/>
              </w:rPr>
            </w:pPr>
            <w:r>
              <w:rPr>
                <w:rFonts w:hAnsi="Times New Roman"/>
                <w:sz w:val="21"/>
                <w:lang w:val="zh-CN"/>
              </w:rPr>
              <w:t>编号</w:t>
            </w:r>
          </w:p>
        </w:tc>
        <w:tc>
          <w:tcPr>
            <w:tcW w:w="499" w:type="pct"/>
            <w:vAlign w:val="center"/>
          </w:tcPr>
          <w:p w14:paraId="66BD5AC2" w14:textId="77777777" w:rsidR="009D12AF" w:rsidRDefault="00000000">
            <w:pPr>
              <w:pStyle w:val="af2"/>
              <w:ind w:firstLineChars="0" w:firstLine="0"/>
              <w:rPr>
                <w:rFonts w:hAnsi="Times New Roman"/>
                <w:sz w:val="21"/>
                <w:lang w:val="zh-CN"/>
              </w:rPr>
            </w:pPr>
            <w:r>
              <w:rPr>
                <w:rFonts w:hAnsi="Times New Roman"/>
                <w:sz w:val="21"/>
                <w:lang w:val="zh-CN"/>
              </w:rPr>
              <w:t>监测点位置</w:t>
            </w:r>
          </w:p>
        </w:tc>
        <w:tc>
          <w:tcPr>
            <w:tcW w:w="415" w:type="pct"/>
            <w:vAlign w:val="center"/>
          </w:tcPr>
          <w:p w14:paraId="094FC1D6" w14:textId="77777777" w:rsidR="009D12AF" w:rsidRDefault="00000000">
            <w:pPr>
              <w:pStyle w:val="af2"/>
              <w:ind w:firstLineChars="0" w:firstLine="0"/>
              <w:rPr>
                <w:rFonts w:hAnsi="Times New Roman"/>
                <w:sz w:val="21"/>
                <w:lang w:val="zh-CN"/>
              </w:rPr>
            </w:pPr>
            <w:r>
              <w:rPr>
                <w:rFonts w:hAnsi="Times New Roman"/>
                <w:sz w:val="21"/>
                <w:lang w:val="zh-CN"/>
              </w:rPr>
              <w:t>用地性质</w:t>
            </w:r>
          </w:p>
        </w:tc>
        <w:tc>
          <w:tcPr>
            <w:tcW w:w="749" w:type="pct"/>
            <w:vAlign w:val="center"/>
          </w:tcPr>
          <w:p w14:paraId="53CBDDCC" w14:textId="77777777" w:rsidR="009D12AF" w:rsidRDefault="00000000">
            <w:pPr>
              <w:pStyle w:val="af2"/>
              <w:ind w:firstLineChars="0" w:firstLine="0"/>
              <w:rPr>
                <w:rFonts w:hAnsi="Times New Roman"/>
                <w:sz w:val="21"/>
                <w:lang w:val="zh-CN"/>
              </w:rPr>
            </w:pPr>
            <w:r>
              <w:rPr>
                <w:rFonts w:hAnsi="Times New Roman"/>
                <w:sz w:val="21"/>
                <w:lang w:val="zh-CN"/>
              </w:rPr>
              <w:t>取样深度</w:t>
            </w:r>
          </w:p>
        </w:tc>
        <w:tc>
          <w:tcPr>
            <w:tcW w:w="3026" w:type="pct"/>
            <w:vAlign w:val="center"/>
          </w:tcPr>
          <w:p w14:paraId="4F08B7A5" w14:textId="77777777" w:rsidR="009D12AF" w:rsidRDefault="00000000">
            <w:pPr>
              <w:pStyle w:val="af2"/>
              <w:ind w:firstLineChars="0" w:firstLine="0"/>
              <w:rPr>
                <w:rFonts w:hAnsi="Times New Roman"/>
                <w:sz w:val="21"/>
                <w:lang w:val="zh-CN"/>
              </w:rPr>
            </w:pPr>
            <w:r>
              <w:rPr>
                <w:rFonts w:hAnsi="Times New Roman"/>
                <w:sz w:val="21"/>
                <w:lang w:val="zh-CN"/>
              </w:rPr>
              <w:t>监测因子</w:t>
            </w:r>
          </w:p>
        </w:tc>
      </w:tr>
      <w:tr w:rsidR="009D12AF" w14:paraId="7838134F" w14:textId="77777777">
        <w:trPr>
          <w:trHeight w:val="90"/>
        </w:trPr>
        <w:tc>
          <w:tcPr>
            <w:tcW w:w="309" w:type="pct"/>
            <w:vAlign w:val="center"/>
          </w:tcPr>
          <w:p w14:paraId="1375EABC"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1#</w:t>
            </w:r>
          </w:p>
        </w:tc>
        <w:tc>
          <w:tcPr>
            <w:tcW w:w="499" w:type="pct"/>
            <w:vMerge w:val="restart"/>
            <w:vAlign w:val="center"/>
          </w:tcPr>
          <w:p w14:paraId="2DBAE3A6"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长石水库临时施工区</w:t>
            </w:r>
          </w:p>
        </w:tc>
        <w:tc>
          <w:tcPr>
            <w:tcW w:w="415" w:type="pct"/>
            <w:vAlign w:val="center"/>
          </w:tcPr>
          <w:p w14:paraId="75BC175E" w14:textId="77777777" w:rsidR="009D12AF" w:rsidRDefault="00000000">
            <w:pPr>
              <w:autoSpaceDE w:val="0"/>
              <w:autoSpaceDN w:val="0"/>
              <w:adjustRightInd w:val="0"/>
              <w:spacing w:line="300" w:lineRule="exact"/>
              <w:ind w:firstLineChars="0" w:firstLine="0"/>
              <w:jc w:val="center"/>
              <w:rPr>
                <w:sz w:val="21"/>
                <w:szCs w:val="21"/>
                <w:lang w:val="zh-CN"/>
              </w:rPr>
            </w:pPr>
            <w:r>
              <w:rPr>
                <w:rFonts w:hint="eastAsia"/>
                <w:sz w:val="21"/>
                <w:szCs w:val="21"/>
              </w:rPr>
              <w:t>农</w:t>
            </w:r>
            <w:r>
              <w:rPr>
                <w:sz w:val="21"/>
                <w:szCs w:val="21"/>
                <w:lang w:val="zh-CN"/>
              </w:rPr>
              <w:t>用地</w:t>
            </w:r>
          </w:p>
        </w:tc>
        <w:tc>
          <w:tcPr>
            <w:tcW w:w="749" w:type="pct"/>
            <w:vAlign w:val="center"/>
          </w:tcPr>
          <w:p w14:paraId="4BD9569A"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表层样</w:t>
            </w:r>
            <w:r>
              <w:rPr>
                <w:rFonts w:hint="eastAsia"/>
                <w:sz w:val="21"/>
                <w:szCs w:val="21"/>
                <w:lang w:val="zh-CN"/>
              </w:rPr>
              <w:t>（</w:t>
            </w:r>
            <w:r>
              <w:rPr>
                <w:rFonts w:hint="eastAsia"/>
                <w:sz w:val="21"/>
                <w:szCs w:val="21"/>
              </w:rPr>
              <w:t>0-20cm</w:t>
            </w:r>
            <w:r>
              <w:rPr>
                <w:rFonts w:hint="eastAsia"/>
                <w:sz w:val="21"/>
                <w:szCs w:val="21"/>
                <w:lang w:val="zh-CN"/>
              </w:rPr>
              <w:t>）</w:t>
            </w:r>
          </w:p>
        </w:tc>
        <w:tc>
          <w:tcPr>
            <w:tcW w:w="3026" w:type="pct"/>
            <w:vMerge w:val="restart"/>
            <w:vAlign w:val="center"/>
          </w:tcPr>
          <w:p w14:paraId="6BDC29AF"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pH</w:t>
            </w:r>
            <w:r>
              <w:rPr>
                <w:rFonts w:hint="eastAsia"/>
                <w:sz w:val="21"/>
                <w:szCs w:val="21"/>
                <w:lang w:val="zh-CN"/>
              </w:rPr>
              <w:t>值</w:t>
            </w:r>
            <w:r>
              <w:rPr>
                <w:sz w:val="21"/>
                <w:szCs w:val="21"/>
                <w:lang w:val="zh-CN"/>
              </w:rPr>
              <w:t>、砷、镉、铬（六价）、铜、铅、汞、镍、</w:t>
            </w:r>
            <w:r>
              <w:rPr>
                <w:rFonts w:hint="eastAsia"/>
                <w:sz w:val="21"/>
                <w:szCs w:val="21"/>
                <w:lang w:val="zh-CN"/>
              </w:rPr>
              <w:t>六六六总量、滴滴涕总量、</w:t>
            </w:r>
            <w:r>
              <w:rPr>
                <w:sz w:val="21"/>
                <w:szCs w:val="21"/>
                <w:lang w:val="zh-CN"/>
              </w:rPr>
              <w:t>苯并</w:t>
            </w:r>
            <w:r>
              <w:rPr>
                <w:sz w:val="21"/>
                <w:szCs w:val="21"/>
                <w:lang w:val="zh-CN"/>
              </w:rPr>
              <w:t>[a]</w:t>
            </w:r>
            <w:r>
              <w:rPr>
                <w:sz w:val="21"/>
                <w:szCs w:val="21"/>
                <w:lang w:val="zh-CN"/>
              </w:rPr>
              <w:t>芘。</w:t>
            </w:r>
          </w:p>
        </w:tc>
      </w:tr>
      <w:tr w:rsidR="009D12AF" w14:paraId="1BB93F3B" w14:textId="77777777">
        <w:trPr>
          <w:trHeight w:val="493"/>
        </w:trPr>
        <w:tc>
          <w:tcPr>
            <w:tcW w:w="309" w:type="pct"/>
            <w:vAlign w:val="center"/>
          </w:tcPr>
          <w:p w14:paraId="1A49BDE7"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2#</w:t>
            </w:r>
          </w:p>
        </w:tc>
        <w:tc>
          <w:tcPr>
            <w:tcW w:w="499" w:type="pct"/>
            <w:vMerge/>
            <w:vAlign w:val="center"/>
          </w:tcPr>
          <w:p w14:paraId="1A0718AB" w14:textId="77777777" w:rsidR="009D12AF" w:rsidRDefault="009D12AF">
            <w:pPr>
              <w:autoSpaceDE w:val="0"/>
              <w:autoSpaceDN w:val="0"/>
              <w:adjustRightInd w:val="0"/>
              <w:spacing w:line="300" w:lineRule="exact"/>
              <w:ind w:firstLineChars="0" w:firstLine="0"/>
              <w:jc w:val="center"/>
              <w:rPr>
                <w:sz w:val="21"/>
                <w:szCs w:val="21"/>
                <w:lang w:val="zh-CN"/>
              </w:rPr>
            </w:pPr>
          </w:p>
        </w:tc>
        <w:tc>
          <w:tcPr>
            <w:tcW w:w="415" w:type="pct"/>
            <w:vAlign w:val="center"/>
          </w:tcPr>
          <w:p w14:paraId="1D4A121E" w14:textId="77777777" w:rsidR="009D12AF" w:rsidRDefault="00000000">
            <w:pPr>
              <w:autoSpaceDE w:val="0"/>
              <w:autoSpaceDN w:val="0"/>
              <w:adjustRightInd w:val="0"/>
              <w:spacing w:line="300" w:lineRule="exact"/>
              <w:ind w:firstLineChars="0" w:firstLine="0"/>
              <w:jc w:val="center"/>
              <w:rPr>
                <w:sz w:val="21"/>
                <w:szCs w:val="21"/>
                <w:lang w:val="zh-CN"/>
              </w:rPr>
            </w:pPr>
            <w:r>
              <w:rPr>
                <w:rFonts w:hint="eastAsia"/>
                <w:sz w:val="21"/>
                <w:szCs w:val="21"/>
              </w:rPr>
              <w:t>农</w:t>
            </w:r>
            <w:r>
              <w:rPr>
                <w:sz w:val="21"/>
                <w:szCs w:val="21"/>
                <w:lang w:val="zh-CN"/>
              </w:rPr>
              <w:t>用地</w:t>
            </w:r>
          </w:p>
        </w:tc>
        <w:tc>
          <w:tcPr>
            <w:tcW w:w="749" w:type="pct"/>
            <w:vAlign w:val="center"/>
          </w:tcPr>
          <w:p w14:paraId="3DA5D301"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表层样</w:t>
            </w:r>
            <w:r>
              <w:rPr>
                <w:rFonts w:hint="eastAsia"/>
                <w:sz w:val="21"/>
                <w:szCs w:val="21"/>
                <w:lang w:val="zh-CN"/>
              </w:rPr>
              <w:t>（</w:t>
            </w:r>
            <w:r>
              <w:rPr>
                <w:rFonts w:hint="eastAsia"/>
                <w:sz w:val="21"/>
                <w:szCs w:val="21"/>
              </w:rPr>
              <w:t>0-20cm</w:t>
            </w:r>
            <w:r>
              <w:rPr>
                <w:rFonts w:hint="eastAsia"/>
                <w:sz w:val="21"/>
                <w:szCs w:val="21"/>
                <w:lang w:val="zh-CN"/>
              </w:rPr>
              <w:t>）</w:t>
            </w:r>
          </w:p>
        </w:tc>
        <w:tc>
          <w:tcPr>
            <w:tcW w:w="3026" w:type="pct"/>
            <w:vMerge/>
            <w:vAlign w:val="center"/>
          </w:tcPr>
          <w:p w14:paraId="1D9C997E" w14:textId="77777777" w:rsidR="009D12AF" w:rsidRDefault="009D12AF">
            <w:pPr>
              <w:autoSpaceDE w:val="0"/>
              <w:autoSpaceDN w:val="0"/>
              <w:adjustRightInd w:val="0"/>
              <w:spacing w:line="300" w:lineRule="exact"/>
              <w:ind w:firstLineChars="0" w:firstLine="0"/>
              <w:jc w:val="center"/>
              <w:rPr>
                <w:sz w:val="21"/>
                <w:szCs w:val="21"/>
                <w:lang w:val="zh-CN"/>
              </w:rPr>
            </w:pPr>
          </w:p>
        </w:tc>
      </w:tr>
      <w:tr w:rsidR="009D12AF" w14:paraId="6531339D" w14:textId="77777777">
        <w:trPr>
          <w:trHeight w:val="493"/>
        </w:trPr>
        <w:tc>
          <w:tcPr>
            <w:tcW w:w="309" w:type="pct"/>
            <w:vAlign w:val="center"/>
          </w:tcPr>
          <w:p w14:paraId="2CBB86B6"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3#</w:t>
            </w:r>
          </w:p>
        </w:tc>
        <w:tc>
          <w:tcPr>
            <w:tcW w:w="499" w:type="pct"/>
            <w:vMerge/>
            <w:vAlign w:val="center"/>
          </w:tcPr>
          <w:p w14:paraId="312BCA83" w14:textId="77777777" w:rsidR="009D12AF" w:rsidRDefault="009D12AF">
            <w:pPr>
              <w:autoSpaceDE w:val="0"/>
              <w:autoSpaceDN w:val="0"/>
              <w:adjustRightInd w:val="0"/>
              <w:spacing w:line="300" w:lineRule="exact"/>
              <w:ind w:firstLineChars="0" w:firstLine="0"/>
              <w:jc w:val="center"/>
              <w:rPr>
                <w:sz w:val="21"/>
                <w:szCs w:val="21"/>
                <w:lang w:val="zh-CN"/>
              </w:rPr>
            </w:pPr>
          </w:p>
        </w:tc>
        <w:tc>
          <w:tcPr>
            <w:tcW w:w="415" w:type="pct"/>
            <w:vAlign w:val="center"/>
          </w:tcPr>
          <w:p w14:paraId="7804C79F" w14:textId="77777777" w:rsidR="009D12AF" w:rsidRDefault="00000000">
            <w:pPr>
              <w:autoSpaceDE w:val="0"/>
              <w:autoSpaceDN w:val="0"/>
              <w:adjustRightInd w:val="0"/>
              <w:spacing w:line="300" w:lineRule="exact"/>
              <w:ind w:firstLineChars="0" w:firstLine="0"/>
              <w:jc w:val="center"/>
              <w:rPr>
                <w:sz w:val="21"/>
                <w:szCs w:val="21"/>
                <w:lang w:val="zh-CN"/>
              </w:rPr>
            </w:pPr>
            <w:r>
              <w:rPr>
                <w:rFonts w:hint="eastAsia"/>
                <w:sz w:val="21"/>
                <w:szCs w:val="21"/>
              </w:rPr>
              <w:t>农</w:t>
            </w:r>
            <w:r>
              <w:rPr>
                <w:sz w:val="21"/>
                <w:szCs w:val="21"/>
                <w:lang w:val="zh-CN"/>
              </w:rPr>
              <w:t>用地</w:t>
            </w:r>
          </w:p>
        </w:tc>
        <w:tc>
          <w:tcPr>
            <w:tcW w:w="749" w:type="pct"/>
            <w:vAlign w:val="center"/>
          </w:tcPr>
          <w:p w14:paraId="6A6B1C44"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表层样</w:t>
            </w:r>
            <w:r>
              <w:rPr>
                <w:rFonts w:hint="eastAsia"/>
                <w:sz w:val="21"/>
                <w:szCs w:val="21"/>
                <w:lang w:val="zh-CN"/>
              </w:rPr>
              <w:t>（</w:t>
            </w:r>
            <w:r>
              <w:rPr>
                <w:rFonts w:hint="eastAsia"/>
                <w:sz w:val="21"/>
                <w:szCs w:val="21"/>
              </w:rPr>
              <w:t>0-20cm</w:t>
            </w:r>
            <w:r>
              <w:rPr>
                <w:rFonts w:hint="eastAsia"/>
                <w:sz w:val="21"/>
                <w:szCs w:val="21"/>
                <w:lang w:val="zh-CN"/>
              </w:rPr>
              <w:t>）</w:t>
            </w:r>
          </w:p>
        </w:tc>
        <w:tc>
          <w:tcPr>
            <w:tcW w:w="3026" w:type="pct"/>
            <w:vMerge/>
            <w:vAlign w:val="center"/>
          </w:tcPr>
          <w:p w14:paraId="2A284022" w14:textId="77777777" w:rsidR="009D12AF" w:rsidRDefault="009D12AF">
            <w:pPr>
              <w:autoSpaceDE w:val="0"/>
              <w:autoSpaceDN w:val="0"/>
              <w:adjustRightInd w:val="0"/>
              <w:spacing w:line="300" w:lineRule="exact"/>
              <w:ind w:firstLineChars="0" w:firstLine="0"/>
              <w:jc w:val="center"/>
              <w:rPr>
                <w:sz w:val="21"/>
                <w:szCs w:val="21"/>
                <w:lang w:val="zh-CN"/>
              </w:rPr>
            </w:pPr>
          </w:p>
        </w:tc>
      </w:tr>
      <w:tr w:rsidR="009D12AF" w14:paraId="4868020A" w14:textId="77777777">
        <w:trPr>
          <w:trHeight w:val="493"/>
        </w:trPr>
        <w:tc>
          <w:tcPr>
            <w:tcW w:w="309" w:type="pct"/>
            <w:vAlign w:val="center"/>
          </w:tcPr>
          <w:p w14:paraId="2B95F104"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1#</w:t>
            </w:r>
          </w:p>
        </w:tc>
        <w:tc>
          <w:tcPr>
            <w:tcW w:w="499" w:type="pct"/>
            <w:vMerge w:val="restart"/>
            <w:vAlign w:val="center"/>
          </w:tcPr>
          <w:p w14:paraId="324BFE45"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万丈水库临时施工区</w:t>
            </w:r>
          </w:p>
        </w:tc>
        <w:tc>
          <w:tcPr>
            <w:tcW w:w="415" w:type="pct"/>
            <w:vAlign w:val="center"/>
          </w:tcPr>
          <w:p w14:paraId="28667269"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农</w:t>
            </w:r>
            <w:r>
              <w:rPr>
                <w:sz w:val="21"/>
                <w:szCs w:val="21"/>
                <w:lang w:val="zh-CN"/>
              </w:rPr>
              <w:t>用地</w:t>
            </w:r>
          </w:p>
        </w:tc>
        <w:tc>
          <w:tcPr>
            <w:tcW w:w="749" w:type="pct"/>
            <w:vAlign w:val="center"/>
          </w:tcPr>
          <w:p w14:paraId="7D3FFBB6"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表层样</w:t>
            </w:r>
            <w:r>
              <w:rPr>
                <w:rFonts w:hint="eastAsia"/>
                <w:sz w:val="21"/>
                <w:szCs w:val="21"/>
                <w:lang w:val="zh-CN"/>
              </w:rPr>
              <w:t>（</w:t>
            </w:r>
            <w:r>
              <w:rPr>
                <w:rFonts w:hint="eastAsia"/>
                <w:sz w:val="21"/>
                <w:szCs w:val="21"/>
              </w:rPr>
              <w:t>0-20cm</w:t>
            </w:r>
            <w:r>
              <w:rPr>
                <w:rFonts w:hint="eastAsia"/>
                <w:sz w:val="21"/>
                <w:szCs w:val="21"/>
                <w:lang w:val="zh-CN"/>
              </w:rPr>
              <w:t>）</w:t>
            </w:r>
          </w:p>
        </w:tc>
        <w:tc>
          <w:tcPr>
            <w:tcW w:w="3026" w:type="pct"/>
            <w:vMerge w:val="restart"/>
            <w:vAlign w:val="center"/>
          </w:tcPr>
          <w:p w14:paraId="1AA85F98"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pH</w:t>
            </w:r>
            <w:r>
              <w:rPr>
                <w:rFonts w:hint="eastAsia"/>
                <w:sz w:val="21"/>
                <w:szCs w:val="21"/>
                <w:lang w:val="zh-CN"/>
              </w:rPr>
              <w:t>值</w:t>
            </w:r>
            <w:r>
              <w:rPr>
                <w:sz w:val="21"/>
                <w:szCs w:val="21"/>
                <w:lang w:val="zh-CN"/>
              </w:rPr>
              <w:t>、砷、镉、铬（六价）、铜、铅、汞、镍、</w:t>
            </w:r>
            <w:r>
              <w:rPr>
                <w:rFonts w:hint="eastAsia"/>
                <w:sz w:val="21"/>
                <w:szCs w:val="21"/>
                <w:lang w:val="zh-CN"/>
              </w:rPr>
              <w:t>六六六总量、滴滴涕总量、</w:t>
            </w:r>
            <w:r>
              <w:rPr>
                <w:sz w:val="21"/>
                <w:szCs w:val="21"/>
                <w:lang w:val="zh-CN"/>
              </w:rPr>
              <w:t>苯并</w:t>
            </w:r>
            <w:r>
              <w:rPr>
                <w:sz w:val="21"/>
                <w:szCs w:val="21"/>
                <w:lang w:val="zh-CN"/>
              </w:rPr>
              <w:t>[a]</w:t>
            </w:r>
            <w:r>
              <w:rPr>
                <w:sz w:val="21"/>
                <w:szCs w:val="21"/>
                <w:lang w:val="zh-CN"/>
              </w:rPr>
              <w:t>芘。</w:t>
            </w:r>
          </w:p>
        </w:tc>
      </w:tr>
      <w:tr w:rsidR="009D12AF" w14:paraId="4448F796" w14:textId="77777777">
        <w:trPr>
          <w:trHeight w:val="493"/>
        </w:trPr>
        <w:tc>
          <w:tcPr>
            <w:tcW w:w="309" w:type="pct"/>
            <w:vAlign w:val="center"/>
          </w:tcPr>
          <w:p w14:paraId="59231FD5"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2#</w:t>
            </w:r>
          </w:p>
        </w:tc>
        <w:tc>
          <w:tcPr>
            <w:tcW w:w="499" w:type="pct"/>
            <w:vMerge/>
            <w:vAlign w:val="center"/>
          </w:tcPr>
          <w:p w14:paraId="3389254B" w14:textId="77777777" w:rsidR="009D12AF" w:rsidRDefault="009D12AF">
            <w:pPr>
              <w:autoSpaceDE w:val="0"/>
              <w:autoSpaceDN w:val="0"/>
              <w:adjustRightInd w:val="0"/>
              <w:spacing w:line="300" w:lineRule="exact"/>
              <w:ind w:firstLineChars="0" w:firstLine="0"/>
              <w:jc w:val="center"/>
              <w:rPr>
                <w:sz w:val="21"/>
                <w:szCs w:val="21"/>
                <w:lang w:val="zh-CN"/>
              </w:rPr>
            </w:pPr>
          </w:p>
        </w:tc>
        <w:tc>
          <w:tcPr>
            <w:tcW w:w="415" w:type="pct"/>
            <w:vAlign w:val="center"/>
          </w:tcPr>
          <w:p w14:paraId="2F686BD7"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农</w:t>
            </w:r>
            <w:r>
              <w:rPr>
                <w:sz w:val="21"/>
                <w:szCs w:val="21"/>
                <w:lang w:val="zh-CN"/>
              </w:rPr>
              <w:t>用地</w:t>
            </w:r>
          </w:p>
        </w:tc>
        <w:tc>
          <w:tcPr>
            <w:tcW w:w="749" w:type="pct"/>
            <w:vAlign w:val="center"/>
          </w:tcPr>
          <w:p w14:paraId="53FDD66B"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表层样</w:t>
            </w:r>
            <w:r>
              <w:rPr>
                <w:rFonts w:hint="eastAsia"/>
                <w:sz w:val="21"/>
                <w:szCs w:val="21"/>
                <w:lang w:val="zh-CN"/>
              </w:rPr>
              <w:t>（</w:t>
            </w:r>
            <w:r>
              <w:rPr>
                <w:rFonts w:hint="eastAsia"/>
                <w:sz w:val="21"/>
                <w:szCs w:val="21"/>
              </w:rPr>
              <w:t>0-20cm</w:t>
            </w:r>
            <w:r>
              <w:rPr>
                <w:rFonts w:hint="eastAsia"/>
                <w:sz w:val="21"/>
                <w:szCs w:val="21"/>
                <w:lang w:val="zh-CN"/>
              </w:rPr>
              <w:t>）</w:t>
            </w:r>
          </w:p>
        </w:tc>
        <w:tc>
          <w:tcPr>
            <w:tcW w:w="3026" w:type="pct"/>
            <w:vMerge/>
            <w:vAlign w:val="center"/>
          </w:tcPr>
          <w:p w14:paraId="4C17B35E" w14:textId="77777777" w:rsidR="009D12AF" w:rsidRDefault="009D12AF">
            <w:pPr>
              <w:autoSpaceDE w:val="0"/>
              <w:autoSpaceDN w:val="0"/>
              <w:adjustRightInd w:val="0"/>
              <w:spacing w:line="300" w:lineRule="exact"/>
              <w:ind w:firstLineChars="0" w:firstLine="0"/>
              <w:jc w:val="center"/>
              <w:rPr>
                <w:sz w:val="21"/>
                <w:szCs w:val="21"/>
                <w:lang w:val="zh-CN"/>
              </w:rPr>
            </w:pPr>
          </w:p>
        </w:tc>
      </w:tr>
      <w:tr w:rsidR="009D12AF" w14:paraId="65B7B830" w14:textId="77777777">
        <w:trPr>
          <w:trHeight w:val="493"/>
        </w:trPr>
        <w:tc>
          <w:tcPr>
            <w:tcW w:w="309" w:type="pct"/>
            <w:vAlign w:val="center"/>
          </w:tcPr>
          <w:p w14:paraId="3E4F188C"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3#</w:t>
            </w:r>
          </w:p>
        </w:tc>
        <w:tc>
          <w:tcPr>
            <w:tcW w:w="499" w:type="pct"/>
            <w:vMerge/>
            <w:vAlign w:val="center"/>
          </w:tcPr>
          <w:p w14:paraId="7B6D91A4" w14:textId="77777777" w:rsidR="009D12AF" w:rsidRDefault="009D12AF">
            <w:pPr>
              <w:autoSpaceDE w:val="0"/>
              <w:autoSpaceDN w:val="0"/>
              <w:adjustRightInd w:val="0"/>
              <w:spacing w:line="300" w:lineRule="exact"/>
              <w:ind w:firstLineChars="0" w:firstLine="0"/>
              <w:jc w:val="center"/>
              <w:rPr>
                <w:sz w:val="21"/>
                <w:szCs w:val="21"/>
                <w:lang w:val="zh-CN"/>
              </w:rPr>
            </w:pPr>
          </w:p>
        </w:tc>
        <w:tc>
          <w:tcPr>
            <w:tcW w:w="415" w:type="pct"/>
            <w:vAlign w:val="center"/>
          </w:tcPr>
          <w:p w14:paraId="3579382A"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农</w:t>
            </w:r>
            <w:r>
              <w:rPr>
                <w:sz w:val="21"/>
                <w:szCs w:val="21"/>
                <w:lang w:val="zh-CN"/>
              </w:rPr>
              <w:t>用地</w:t>
            </w:r>
          </w:p>
        </w:tc>
        <w:tc>
          <w:tcPr>
            <w:tcW w:w="749" w:type="pct"/>
            <w:vAlign w:val="center"/>
          </w:tcPr>
          <w:p w14:paraId="066C7934"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表层样</w:t>
            </w:r>
            <w:r>
              <w:rPr>
                <w:rFonts w:hint="eastAsia"/>
                <w:sz w:val="21"/>
                <w:szCs w:val="21"/>
                <w:lang w:val="zh-CN"/>
              </w:rPr>
              <w:t>（</w:t>
            </w:r>
            <w:r>
              <w:rPr>
                <w:rFonts w:hint="eastAsia"/>
                <w:sz w:val="21"/>
                <w:szCs w:val="21"/>
              </w:rPr>
              <w:t>0-20cm</w:t>
            </w:r>
            <w:r>
              <w:rPr>
                <w:rFonts w:hint="eastAsia"/>
                <w:sz w:val="21"/>
                <w:szCs w:val="21"/>
                <w:lang w:val="zh-CN"/>
              </w:rPr>
              <w:t>）</w:t>
            </w:r>
          </w:p>
        </w:tc>
        <w:tc>
          <w:tcPr>
            <w:tcW w:w="3026" w:type="pct"/>
            <w:vMerge/>
            <w:vAlign w:val="center"/>
          </w:tcPr>
          <w:p w14:paraId="0A72807B" w14:textId="77777777" w:rsidR="009D12AF" w:rsidRDefault="009D12AF">
            <w:pPr>
              <w:autoSpaceDE w:val="0"/>
              <w:autoSpaceDN w:val="0"/>
              <w:adjustRightInd w:val="0"/>
              <w:spacing w:line="300" w:lineRule="exact"/>
              <w:ind w:firstLineChars="0" w:firstLine="0"/>
              <w:jc w:val="center"/>
              <w:rPr>
                <w:sz w:val="21"/>
                <w:szCs w:val="21"/>
                <w:lang w:val="zh-CN"/>
              </w:rPr>
            </w:pPr>
          </w:p>
        </w:tc>
      </w:tr>
      <w:tr w:rsidR="009D12AF" w14:paraId="13A4DBAA" w14:textId="77777777">
        <w:trPr>
          <w:trHeight w:val="493"/>
        </w:trPr>
        <w:tc>
          <w:tcPr>
            <w:tcW w:w="309" w:type="pct"/>
            <w:vAlign w:val="center"/>
          </w:tcPr>
          <w:p w14:paraId="5421EA8B"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1#</w:t>
            </w:r>
          </w:p>
        </w:tc>
        <w:tc>
          <w:tcPr>
            <w:tcW w:w="499" w:type="pct"/>
            <w:vMerge w:val="restart"/>
            <w:vAlign w:val="center"/>
          </w:tcPr>
          <w:p w14:paraId="342FBFEC"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新安晒水池临时施工区</w:t>
            </w:r>
          </w:p>
        </w:tc>
        <w:tc>
          <w:tcPr>
            <w:tcW w:w="415" w:type="pct"/>
            <w:vAlign w:val="center"/>
          </w:tcPr>
          <w:p w14:paraId="26E28A04"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农</w:t>
            </w:r>
            <w:r>
              <w:rPr>
                <w:sz w:val="21"/>
                <w:szCs w:val="21"/>
                <w:lang w:val="zh-CN"/>
              </w:rPr>
              <w:t>用地</w:t>
            </w:r>
          </w:p>
        </w:tc>
        <w:tc>
          <w:tcPr>
            <w:tcW w:w="749" w:type="pct"/>
            <w:vAlign w:val="center"/>
          </w:tcPr>
          <w:p w14:paraId="5BD587A7"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表层样</w:t>
            </w:r>
            <w:r>
              <w:rPr>
                <w:rFonts w:hint="eastAsia"/>
                <w:sz w:val="21"/>
                <w:szCs w:val="21"/>
                <w:lang w:val="zh-CN"/>
              </w:rPr>
              <w:t>（</w:t>
            </w:r>
            <w:r>
              <w:rPr>
                <w:rFonts w:hint="eastAsia"/>
                <w:sz w:val="21"/>
                <w:szCs w:val="21"/>
              </w:rPr>
              <w:t>0-20cm</w:t>
            </w:r>
            <w:r>
              <w:rPr>
                <w:rFonts w:hint="eastAsia"/>
                <w:sz w:val="21"/>
                <w:szCs w:val="21"/>
                <w:lang w:val="zh-CN"/>
              </w:rPr>
              <w:t>）</w:t>
            </w:r>
          </w:p>
        </w:tc>
        <w:tc>
          <w:tcPr>
            <w:tcW w:w="3026" w:type="pct"/>
            <w:vMerge w:val="restart"/>
            <w:vAlign w:val="center"/>
          </w:tcPr>
          <w:p w14:paraId="29C20775"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pH</w:t>
            </w:r>
            <w:r>
              <w:rPr>
                <w:rFonts w:hint="eastAsia"/>
                <w:sz w:val="21"/>
                <w:szCs w:val="21"/>
                <w:lang w:val="zh-CN"/>
              </w:rPr>
              <w:t>值</w:t>
            </w:r>
            <w:r>
              <w:rPr>
                <w:sz w:val="21"/>
                <w:szCs w:val="21"/>
                <w:lang w:val="zh-CN"/>
              </w:rPr>
              <w:t>、砷、镉、铬（六价）、铜、铅、汞、镍、</w:t>
            </w:r>
            <w:r>
              <w:rPr>
                <w:rFonts w:hint="eastAsia"/>
                <w:sz w:val="21"/>
                <w:szCs w:val="21"/>
                <w:lang w:val="zh-CN"/>
              </w:rPr>
              <w:t>六六六总量、滴滴涕总量、</w:t>
            </w:r>
            <w:r>
              <w:rPr>
                <w:sz w:val="21"/>
                <w:szCs w:val="21"/>
                <w:lang w:val="zh-CN"/>
              </w:rPr>
              <w:t>苯并</w:t>
            </w:r>
            <w:r>
              <w:rPr>
                <w:sz w:val="21"/>
                <w:szCs w:val="21"/>
                <w:lang w:val="zh-CN"/>
              </w:rPr>
              <w:t>[a]</w:t>
            </w:r>
            <w:r>
              <w:rPr>
                <w:sz w:val="21"/>
                <w:szCs w:val="21"/>
                <w:lang w:val="zh-CN"/>
              </w:rPr>
              <w:t>芘。</w:t>
            </w:r>
          </w:p>
        </w:tc>
      </w:tr>
      <w:tr w:rsidR="009D12AF" w14:paraId="0F5C9164" w14:textId="77777777">
        <w:trPr>
          <w:trHeight w:val="493"/>
        </w:trPr>
        <w:tc>
          <w:tcPr>
            <w:tcW w:w="309" w:type="pct"/>
            <w:vAlign w:val="center"/>
          </w:tcPr>
          <w:p w14:paraId="368BB92A"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2#</w:t>
            </w:r>
          </w:p>
        </w:tc>
        <w:tc>
          <w:tcPr>
            <w:tcW w:w="499" w:type="pct"/>
            <w:vMerge/>
            <w:vAlign w:val="center"/>
          </w:tcPr>
          <w:p w14:paraId="294B40C6" w14:textId="77777777" w:rsidR="009D12AF" w:rsidRDefault="009D12AF">
            <w:pPr>
              <w:autoSpaceDE w:val="0"/>
              <w:autoSpaceDN w:val="0"/>
              <w:adjustRightInd w:val="0"/>
              <w:spacing w:line="300" w:lineRule="exact"/>
              <w:ind w:firstLineChars="0" w:firstLine="0"/>
              <w:jc w:val="center"/>
              <w:rPr>
                <w:sz w:val="21"/>
                <w:szCs w:val="21"/>
                <w:lang w:val="zh-CN"/>
              </w:rPr>
            </w:pPr>
          </w:p>
        </w:tc>
        <w:tc>
          <w:tcPr>
            <w:tcW w:w="415" w:type="pct"/>
            <w:vAlign w:val="center"/>
          </w:tcPr>
          <w:p w14:paraId="4700AE77"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农</w:t>
            </w:r>
            <w:r>
              <w:rPr>
                <w:sz w:val="21"/>
                <w:szCs w:val="21"/>
                <w:lang w:val="zh-CN"/>
              </w:rPr>
              <w:t>用地</w:t>
            </w:r>
          </w:p>
        </w:tc>
        <w:tc>
          <w:tcPr>
            <w:tcW w:w="749" w:type="pct"/>
            <w:vAlign w:val="center"/>
          </w:tcPr>
          <w:p w14:paraId="0031F076"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表层样</w:t>
            </w:r>
            <w:r>
              <w:rPr>
                <w:rFonts w:hint="eastAsia"/>
                <w:sz w:val="21"/>
                <w:szCs w:val="21"/>
                <w:lang w:val="zh-CN"/>
              </w:rPr>
              <w:t>（</w:t>
            </w:r>
            <w:r>
              <w:rPr>
                <w:rFonts w:hint="eastAsia"/>
                <w:sz w:val="21"/>
                <w:szCs w:val="21"/>
              </w:rPr>
              <w:t>0-20cm</w:t>
            </w:r>
            <w:r>
              <w:rPr>
                <w:rFonts w:hint="eastAsia"/>
                <w:sz w:val="21"/>
                <w:szCs w:val="21"/>
                <w:lang w:val="zh-CN"/>
              </w:rPr>
              <w:t>）</w:t>
            </w:r>
          </w:p>
        </w:tc>
        <w:tc>
          <w:tcPr>
            <w:tcW w:w="3026" w:type="pct"/>
            <w:vMerge/>
            <w:vAlign w:val="center"/>
          </w:tcPr>
          <w:p w14:paraId="16E2A18E" w14:textId="77777777" w:rsidR="009D12AF" w:rsidRDefault="009D12AF">
            <w:pPr>
              <w:autoSpaceDE w:val="0"/>
              <w:autoSpaceDN w:val="0"/>
              <w:adjustRightInd w:val="0"/>
              <w:spacing w:line="300" w:lineRule="exact"/>
              <w:ind w:firstLineChars="0" w:firstLine="0"/>
              <w:jc w:val="center"/>
              <w:rPr>
                <w:sz w:val="21"/>
                <w:szCs w:val="21"/>
                <w:lang w:val="zh-CN"/>
              </w:rPr>
            </w:pPr>
          </w:p>
        </w:tc>
      </w:tr>
      <w:tr w:rsidR="009D12AF" w14:paraId="0DD57795" w14:textId="77777777">
        <w:trPr>
          <w:trHeight w:val="493"/>
        </w:trPr>
        <w:tc>
          <w:tcPr>
            <w:tcW w:w="309" w:type="pct"/>
            <w:vAlign w:val="center"/>
          </w:tcPr>
          <w:p w14:paraId="6D427223"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3#</w:t>
            </w:r>
          </w:p>
        </w:tc>
        <w:tc>
          <w:tcPr>
            <w:tcW w:w="499" w:type="pct"/>
            <w:vMerge/>
            <w:vAlign w:val="center"/>
          </w:tcPr>
          <w:p w14:paraId="29219FAF" w14:textId="77777777" w:rsidR="009D12AF" w:rsidRDefault="009D12AF">
            <w:pPr>
              <w:autoSpaceDE w:val="0"/>
              <w:autoSpaceDN w:val="0"/>
              <w:adjustRightInd w:val="0"/>
              <w:spacing w:line="300" w:lineRule="exact"/>
              <w:ind w:firstLineChars="0" w:firstLine="0"/>
              <w:jc w:val="center"/>
              <w:rPr>
                <w:sz w:val="21"/>
                <w:szCs w:val="21"/>
                <w:lang w:val="zh-CN"/>
              </w:rPr>
            </w:pPr>
          </w:p>
        </w:tc>
        <w:tc>
          <w:tcPr>
            <w:tcW w:w="415" w:type="pct"/>
            <w:vAlign w:val="center"/>
          </w:tcPr>
          <w:p w14:paraId="09F7C914"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农</w:t>
            </w:r>
            <w:r>
              <w:rPr>
                <w:sz w:val="21"/>
                <w:szCs w:val="21"/>
                <w:lang w:val="zh-CN"/>
              </w:rPr>
              <w:t>用地</w:t>
            </w:r>
          </w:p>
        </w:tc>
        <w:tc>
          <w:tcPr>
            <w:tcW w:w="749" w:type="pct"/>
            <w:vAlign w:val="center"/>
          </w:tcPr>
          <w:p w14:paraId="01E9C934"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表层样</w:t>
            </w:r>
            <w:r>
              <w:rPr>
                <w:rFonts w:hint="eastAsia"/>
                <w:sz w:val="21"/>
                <w:szCs w:val="21"/>
                <w:lang w:val="zh-CN"/>
              </w:rPr>
              <w:t>（</w:t>
            </w:r>
            <w:r>
              <w:rPr>
                <w:rFonts w:hint="eastAsia"/>
                <w:sz w:val="21"/>
                <w:szCs w:val="21"/>
              </w:rPr>
              <w:t>0-20cm</w:t>
            </w:r>
            <w:r>
              <w:rPr>
                <w:rFonts w:hint="eastAsia"/>
                <w:sz w:val="21"/>
                <w:szCs w:val="21"/>
                <w:lang w:val="zh-CN"/>
              </w:rPr>
              <w:t>）</w:t>
            </w:r>
          </w:p>
        </w:tc>
        <w:tc>
          <w:tcPr>
            <w:tcW w:w="3026" w:type="pct"/>
            <w:vMerge/>
            <w:vAlign w:val="center"/>
          </w:tcPr>
          <w:p w14:paraId="00D88791" w14:textId="77777777" w:rsidR="009D12AF" w:rsidRDefault="009D12AF">
            <w:pPr>
              <w:autoSpaceDE w:val="0"/>
              <w:autoSpaceDN w:val="0"/>
              <w:adjustRightInd w:val="0"/>
              <w:spacing w:line="300" w:lineRule="exact"/>
              <w:ind w:firstLineChars="0" w:firstLine="0"/>
              <w:jc w:val="center"/>
              <w:rPr>
                <w:sz w:val="21"/>
                <w:szCs w:val="21"/>
                <w:lang w:val="zh-CN"/>
              </w:rPr>
            </w:pPr>
          </w:p>
        </w:tc>
      </w:tr>
      <w:tr w:rsidR="009D12AF" w14:paraId="3A92B748" w14:textId="77777777">
        <w:trPr>
          <w:trHeight w:val="493"/>
        </w:trPr>
        <w:tc>
          <w:tcPr>
            <w:tcW w:w="309" w:type="pct"/>
            <w:vAlign w:val="center"/>
          </w:tcPr>
          <w:p w14:paraId="5159588D"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1#</w:t>
            </w:r>
          </w:p>
        </w:tc>
        <w:tc>
          <w:tcPr>
            <w:tcW w:w="499" w:type="pct"/>
            <w:vMerge w:val="restart"/>
            <w:vAlign w:val="center"/>
          </w:tcPr>
          <w:p w14:paraId="6BA70699"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向阳水电站前池临时施工区</w:t>
            </w:r>
          </w:p>
        </w:tc>
        <w:tc>
          <w:tcPr>
            <w:tcW w:w="415" w:type="pct"/>
            <w:vAlign w:val="center"/>
          </w:tcPr>
          <w:p w14:paraId="01B504C9"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农</w:t>
            </w:r>
            <w:r>
              <w:rPr>
                <w:sz w:val="21"/>
                <w:szCs w:val="21"/>
                <w:lang w:val="zh-CN"/>
              </w:rPr>
              <w:t>用地</w:t>
            </w:r>
          </w:p>
        </w:tc>
        <w:tc>
          <w:tcPr>
            <w:tcW w:w="749" w:type="pct"/>
            <w:vAlign w:val="center"/>
          </w:tcPr>
          <w:p w14:paraId="18854766"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表层样</w:t>
            </w:r>
            <w:r>
              <w:rPr>
                <w:rFonts w:hint="eastAsia"/>
                <w:sz w:val="21"/>
                <w:szCs w:val="21"/>
                <w:lang w:val="zh-CN"/>
              </w:rPr>
              <w:t>（</w:t>
            </w:r>
            <w:r>
              <w:rPr>
                <w:rFonts w:hint="eastAsia"/>
                <w:sz w:val="21"/>
                <w:szCs w:val="21"/>
              </w:rPr>
              <w:t>0-20cm</w:t>
            </w:r>
            <w:r>
              <w:rPr>
                <w:rFonts w:hint="eastAsia"/>
                <w:sz w:val="21"/>
                <w:szCs w:val="21"/>
                <w:lang w:val="zh-CN"/>
              </w:rPr>
              <w:t>）</w:t>
            </w:r>
          </w:p>
        </w:tc>
        <w:tc>
          <w:tcPr>
            <w:tcW w:w="3026" w:type="pct"/>
            <w:vMerge w:val="restart"/>
            <w:vAlign w:val="center"/>
          </w:tcPr>
          <w:p w14:paraId="4C10C642"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pH</w:t>
            </w:r>
            <w:r>
              <w:rPr>
                <w:rFonts w:hint="eastAsia"/>
                <w:sz w:val="21"/>
                <w:szCs w:val="21"/>
                <w:lang w:val="zh-CN"/>
              </w:rPr>
              <w:t>值</w:t>
            </w:r>
            <w:r>
              <w:rPr>
                <w:sz w:val="21"/>
                <w:szCs w:val="21"/>
                <w:lang w:val="zh-CN"/>
              </w:rPr>
              <w:t>、砷、镉、铬（六价）、铜、铅、汞、镍、</w:t>
            </w:r>
            <w:r>
              <w:rPr>
                <w:rFonts w:hint="eastAsia"/>
                <w:sz w:val="21"/>
                <w:szCs w:val="21"/>
                <w:lang w:val="zh-CN"/>
              </w:rPr>
              <w:t>六六六总量、滴滴涕总量、</w:t>
            </w:r>
            <w:r>
              <w:rPr>
                <w:sz w:val="21"/>
                <w:szCs w:val="21"/>
                <w:lang w:val="zh-CN"/>
              </w:rPr>
              <w:t>苯并</w:t>
            </w:r>
            <w:r>
              <w:rPr>
                <w:sz w:val="21"/>
                <w:szCs w:val="21"/>
                <w:lang w:val="zh-CN"/>
              </w:rPr>
              <w:t>[a]</w:t>
            </w:r>
            <w:r>
              <w:rPr>
                <w:sz w:val="21"/>
                <w:szCs w:val="21"/>
                <w:lang w:val="zh-CN"/>
              </w:rPr>
              <w:t>芘。</w:t>
            </w:r>
          </w:p>
        </w:tc>
      </w:tr>
      <w:tr w:rsidR="009D12AF" w14:paraId="6EBB7749" w14:textId="77777777">
        <w:trPr>
          <w:trHeight w:val="493"/>
        </w:trPr>
        <w:tc>
          <w:tcPr>
            <w:tcW w:w="309" w:type="pct"/>
            <w:vAlign w:val="center"/>
          </w:tcPr>
          <w:p w14:paraId="298E0ED0"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2#</w:t>
            </w:r>
          </w:p>
        </w:tc>
        <w:tc>
          <w:tcPr>
            <w:tcW w:w="499" w:type="pct"/>
            <w:vMerge/>
            <w:vAlign w:val="center"/>
          </w:tcPr>
          <w:p w14:paraId="49DB0A3E" w14:textId="77777777" w:rsidR="009D12AF" w:rsidRDefault="009D12AF">
            <w:pPr>
              <w:autoSpaceDE w:val="0"/>
              <w:autoSpaceDN w:val="0"/>
              <w:adjustRightInd w:val="0"/>
              <w:spacing w:line="300" w:lineRule="exact"/>
              <w:ind w:firstLineChars="0" w:firstLine="0"/>
              <w:jc w:val="center"/>
              <w:rPr>
                <w:sz w:val="21"/>
                <w:szCs w:val="21"/>
                <w:lang w:val="zh-CN"/>
              </w:rPr>
            </w:pPr>
          </w:p>
        </w:tc>
        <w:tc>
          <w:tcPr>
            <w:tcW w:w="415" w:type="pct"/>
            <w:vAlign w:val="center"/>
          </w:tcPr>
          <w:p w14:paraId="7324CDB4"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农</w:t>
            </w:r>
            <w:r>
              <w:rPr>
                <w:sz w:val="21"/>
                <w:szCs w:val="21"/>
                <w:lang w:val="zh-CN"/>
              </w:rPr>
              <w:t>用地</w:t>
            </w:r>
          </w:p>
        </w:tc>
        <w:tc>
          <w:tcPr>
            <w:tcW w:w="749" w:type="pct"/>
            <w:vAlign w:val="center"/>
          </w:tcPr>
          <w:p w14:paraId="65F462C8"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表层样</w:t>
            </w:r>
            <w:r>
              <w:rPr>
                <w:rFonts w:hint="eastAsia"/>
                <w:sz w:val="21"/>
                <w:szCs w:val="21"/>
                <w:lang w:val="zh-CN"/>
              </w:rPr>
              <w:t>（</w:t>
            </w:r>
            <w:r>
              <w:rPr>
                <w:rFonts w:hint="eastAsia"/>
                <w:sz w:val="21"/>
                <w:szCs w:val="21"/>
              </w:rPr>
              <w:t>0-20cm</w:t>
            </w:r>
            <w:r>
              <w:rPr>
                <w:rFonts w:hint="eastAsia"/>
                <w:sz w:val="21"/>
                <w:szCs w:val="21"/>
                <w:lang w:val="zh-CN"/>
              </w:rPr>
              <w:t>）</w:t>
            </w:r>
          </w:p>
        </w:tc>
        <w:tc>
          <w:tcPr>
            <w:tcW w:w="3026" w:type="pct"/>
            <w:vMerge/>
            <w:vAlign w:val="center"/>
          </w:tcPr>
          <w:p w14:paraId="6B7E7E2D" w14:textId="77777777" w:rsidR="009D12AF" w:rsidRDefault="009D12AF">
            <w:pPr>
              <w:autoSpaceDE w:val="0"/>
              <w:autoSpaceDN w:val="0"/>
              <w:adjustRightInd w:val="0"/>
              <w:spacing w:line="300" w:lineRule="exact"/>
              <w:ind w:firstLineChars="0" w:firstLine="0"/>
              <w:jc w:val="center"/>
              <w:rPr>
                <w:sz w:val="21"/>
                <w:szCs w:val="21"/>
                <w:lang w:val="zh-CN"/>
              </w:rPr>
            </w:pPr>
          </w:p>
        </w:tc>
      </w:tr>
      <w:tr w:rsidR="009D12AF" w14:paraId="0F2DEBBB" w14:textId="77777777">
        <w:trPr>
          <w:trHeight w:val="493"/>
        </w:trPr>
        <w:tc>
          <w:tcPr>
            <w:tcW w:w="309" w:type="pct"/>
            <w:vAlign w:val="center"/>
          </w:tcPr>
          <w:p w14:paraId="28DC1DF0"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3#</w:t>
            </w:r>
          </w:p>
        </w:tc>
        <w:tc>
          <w:tcPr>
            <w:tcW w:w="499" w:type="pct"/>
            <w:vMerge/>
            <w:vAlign w:val="center"/>
          </w:tcPr>
          <w:p w14:paraId="1F7541C1" w14:textId="77777777" w:rsidR="009D12AF" w:rsidRDefault="009D12AF">
            <w:pPr>
              <w:autoSpaceDE w:val="0"/>
              <w:autoSpaceDN w:val="0"/>
              <w:adjustRightInd w:val="0"/>
              <w:spacing w:line="300" w:lineRule="exact"/>
              <w:ind w:firstLineChars="0" w:firstLine="0"/>
              <w:jc w:val="center"/>
              <w:rPr>
                <w:sz w:val="21"/>
                <w:szCs w:val="21"/>
                <w:lang w:val="zh-CN"/>
              </w:rPr>
            </w:pPr>
          </w:p>
        </w:tc>
        <w:tc>
          <w:tcPr>
            <w:tcW w:w="415" w:type="pct"/>
            <w:vAlign w:val="center"/>
          </w:tcPr>
          <w:p w14:paraId="70683A1D"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农</w:t>
            </w:r>
            <w:r>
              <w:rPr>
                <w:sz w:val="21"/>
                <w:szCs w:val="21"/>
                <w:lang w:val="zh-CN"/>
              </w:rPr>
              <w:t>用</w:t>
            </w:r>
            <w:r>
              <w:rPr>
                <w:sz w:val="21"/>
                <w:szCs w:val="21"/>
                <w:lang w:val="zh-CN"/>
              </w:rPr>
              <w:lastRenderedPageBreak/>
              <w:t>地</w:t>
            </w:r>
          </w:p>
        </w:tc>
        <w:tc>
          <w:tcPr>
            <w:tcW w:w="749" w:type="pct"/>
            <w:vAlign w:val="center"/>
          </w:tcPr>
          <w:p w14:paraId="698A62CB"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lastRenderedPageBreak/>
              <w:t>表层样</w:t>
            </w:r>
            <w:r>
              <w:rPr>
                <w:rFonts w:hint="eastAsia"/>
                <w:sz w:val="21"/>
                <w:szCs w:val="21"/>
                <w:lang w:val="zh-CN"/>
              </w:rPr>
              <w:lastRenderedPageBreak/>
              <w:t>（</w:t>
            </w:r>
            <w:r>
              <w:rPr>
                <w:rFonts w:hint="eastAsia"/>
                <w:sz w:val="21"/>
                <w:szCs w:val="21"/>
              </w:rPr>
              <w:t>0-20cm</w:t>
            </w:r>
            <w:r>
              <w:rPr>
                <w:rFonts w:hint="eastAsia"/>
                <w:sz w:val="21"/>
                <w:szCs w:val="21"/>
                <w:lang w:val="zh-CN"/>
              </w:rPr>
              <w:t>）</w:t>
            </w:r>
          </w:p>
        </w:tc>
        <w:tc>
          <w:tcPr>
            <w:tcW w:w="3026" w:type="pct"/>
            <w:vMerge/>
            <w:vAlign w:val="center"/>
          </w:tcPr>
          <w:p w14:paraId="7CFCF41D" w14:textId="77777777" w:rsidR="009D12AF" w:rsidRDefault="009D12AF">
            <w:pPr>
              <w:autoSpaceDE w:val="0"/>
              <w:autoSpaceDN w:val="0"/>
              <w:adjustRightInd w:val="0"/>
              <w:spacing w:line="300" w:lineRule="exact"/>
              <w:ind w:firstLineChars="0" w:firstLine="0"/>
              <w:jc w:val="center"/>
              <w:rPr>
                <w:sz w:val="21"/>
                <w:szCs w:val="21"/>
                <w:lang w:val="zh-CN"/>
              </w:rPr>
            </w:pPr>
          </w:p>
        </w:tc>
      </w:tr>
      <w:tr w:rsidR="009D12AF" w14:paraId="520D840C" w14:textId="77777777">
        <w:trPr>
          <w:trHeight w:val="493"/>
        </w:trPr>
        <w:tc>
          <w:tcPr>
            <w:tcW w:w="309" w:type="pct"/>
            <w:vAlign w:val="center"/>
          </w:tcPr>
          <w:p w14:paraId="6FB92DB0"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1#</w:t>
            </w:r>
          </w:p>
        </w:tc>
        <w:tc>
          <w:tcPr>
            <w:tcW w:w="499" w:type="pct"/>
            <w:vMerge w:val="restart"/>
            <w:vAlign w:val="center"/>
          </w:tcPr>
          <w:p w14:paraId="2E1AA117"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群里水库</w:t>
            </w:r>
          </w:p>
        </w:tc>
        <w:tc>
          <w:tcPr>
            <w:tcW w:w="415" w:type="pct"/>
            <w:vAlign w:val="center"/>
          </w:tcPr>
          <w:p w14:paraId="4EA2B56A"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农</w:t>
            </w:r>
            <w:r>
              <w:rPr>
                <w:sz w:val="21"/>
                <w:szCs w:val="21"/>
                <w:lang w:val="zh-CN"/>
              </w:rPr>
              <w:t>用地</w:t>
            </w:r>
          </w:p>
        </w:tc>
        <w:tc>
          <w:tcPr>
            <w:tcW w:w="749" w:type="pct"/>
            <w:vAlign w:val="center"/>
          </w:tcPr>
          <w:p w14:paraId="531676FA"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表层样</w:t>
            </w:r>
            <w:r>
              <w:rPr>
                <w:rFonts w:hint="eastAsia"/>
                <w:sz w:val="21"/>
                <w:szCs w:val="21"/>
                <w:lang w:val="zh-CN"/>
              </w:rPr>
              <w:t>（</w:t>
            </w:r>
            <w:r>
              <w:rPr>
                <w:rFonts w:hint="eastAsia"/>
                <w:sz w:val="21"/>
                <w:szCs w:val="21"/>
              </w:rPr>
              <w:t>0-20cm</w:t>
            </w:r>
            <w:r>
              <w:rPr>
                <w:rFonts w:hint="eastAsia"/>
                <w:sz w:val="21"/>
                <w:szCs w:val="21"/>
                <w:lang w:val="zh-CN"/>
              </w:rPr>
              <w:t>）</w:t>
            </w:r>
          </w:p>
        </w:tc>
        <w:tc>
          <w:tcPr>
            <w:tcW w:w="3026" w:type="pct"/>
            <w:vMerge w:val="restart"/>
            <w:vAlign w:val="center"/>
          </w:tcPr>
          <w:p w14:paraId="1FDF3C00"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pH</w:t>
            </w:r>
            <w:r>
              <w:rPr>
                <w:rFonts w:hint="eastAsia"/>
                <w:sz w:val="21"/>
                <w:szCs w:val="21"/>
                <w:lang w:val="zh-CN"/>
              </w:rPr>
              <w:t>值</w:t>
            </w:r>
            <w:r>
              <w:rPr>
                <w:sz w:val="21"/>
                <w:szCs w:val="21"/>
                <w:lang w:val="zh-CN"/>
              </w:rPr>
              <w:t>、砷、镉、铬（六价）、铜、铅、汞、镍、</w:t>
            </w:r>
            <w:r>
              <w:rPr>
                <w:rFonts w:hint="eastAsia"/>
                <w:sz w:val="21"/>
                <w:szCs w:val="21"/>
                <w:lang w:val="zh-CN"/>
              </w:rPr>
              <w:t>六六六总量、滴滴涕总量、</w:t>
            </w:r>
            <w:r>
              <w:rPr>
                <w:sz w:val="21"/>
                <w:szCs w:val="21"/>
                <w:lang w:val="zh-CN"/>
              </w:rPr>
              <w:t>苯并</w:t>
            </w:r>
            <w:r>
              <w:rPr>
                <w:sz w:val="21"/>
                <w:szCs w:val="21"/>
                <w:lang w:val="zh-CN"/>
              </w:rPr>
              <w:t>[a]</w:t>
            </w:r>
            <w:r>
              <w:rPr>
                <w:sz w:val="21"/>
                <w:szCs w:val="21"/>
                <w:lang w:val="zh-CN"/>
              </w:rPr>
              <w:t>芘。</w:t>
            </w:r>
          </w:p>
        </w:tc>
      </w:tr>
      <w:tr w:rsidR="009D12AF" w14:paraId="61EA6EE0" w14:textId="77777777">
        <w:trPr>
          <w:trHeight w:val="493"/>
        </w:trPr>
        <w:tc>
          <w:tcPr>
            <w:tcW w:w="309" w:type="pct"/>
            <w:vAlign w:val="center"/>
          </w:tcPr>
          <w:p w14:paraId="6B8F951A"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2#</w:t>
            </w:r>
          </w:p>
        </w:tc>
        <w:tc>
          <w:tcPr>
            <w:tcW w:w="499" w:type="pct"/>
            <w:vMerge/>
            <w:vAlign w:val="center"/>
          </w:tcPr>
          <w:p w14:paraId="7E57F0FD" w14:textId="77777777" w:rsidR="009D12AF" w:rsidRDefault="009D12AF">
            <w:pPr>
              <w:autoSpaceDE w:val="0"/>
              <w:autoSpaceDN w:val="0"/>
              <w:adjustRightInd w:val="0"/>
              <w:spacing w:line="300" w:lineRule="exact"/>
              <w:ind w:firstLineChars="0" w:firstLine="0"/>
              <w:jc w:val="center"/>
              <w:rPr>
                <w:sz w:val="21"/>
                <w:szCs w:val="21"/>
                <w:lang w:val="zh-CN"/>
              </w:rPr>
            </w:pPr>
          </w:p>
        </w:tc>
        <w:tc>
          <w:tcPr>
            <w:tcW w:w="415" w:type="pct"/>
            <w:vAlign w:val="center"/>
          </w:tcPr>
          <w:p w14:paraId="0EC52581"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农</w:t>
            </w:r>
            <w:r>
              <w:rPr>
                <w:sz w:val="21"/>
                <w:szCs w:val="21"/>
                <w:lang w:val="zh-CN"/>
              </w:rPr>
              <w:t>用地</w:t>
            </w:r>
          </w:p>
        </w:tc>
        <w:tc>
          <w:tcPr>
            <w:tcW w:w="749" w:type="pct"/>
            <w:vAlign w:val="center"/>
          </w:tcPr>
          <w:p w14:paraId="3C3C88A0"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表层样</w:t>
            </w:r>
            <w:r>
              <w:rPr>
                <w:rFonts w:hint="eastAsia"/>
                <w:sz w:val="21"/>
                <w:szCs w:val="21"/>
                <w:lang w:val="zh-CN"/>
              </w:rPr>
              <w:t>（</w:t>
            </w:r>
            <w:r>
              <w:rPr>
                <w:rFonts w:hint="eastAsia"/>
                <w:sz w:val="21"/>
                <w:szCs w:val="21"/>
              </w:rPr>
              <w:t>0-20cm</w:t>
            </w:r>
            <w:r>
              <w:rPr>
                <w:rFonts w:hint="eastAsia"/>
                <w:sz w:val="21"/>
                <w:szCs w:val="21"/>
                <w:lang w:val="zh-CN"/>
              </w:rPr>
              <w:t>）</w:t>
            </w:r>
          </w:p>
        </w:tc>
        <w:tc>
          <w:tcPr>
            <w:tcW w:w="3026" w:type="pct"/>
            <w:vMerge/>
            <w:vAlign w:val="center"/>
          </w:tcPr>
          <w:p w14:paraId="795235E4" w14:textId="77777777" w:rsidR="009D12AF" w:rsidRDefault="009D12AF">
            <w:pPr>
              <w:autoSpaceDE w:val="0"/>
              <w:autoSpaceDN w:val="0"/>
              <w:adjustRightInd w:val="0"/>
              <w:spacing w:line="300" w:lineRule="exact"/>
              <w:ind w:firstLineChars="0" w:firstLine="0"/>
              <w:jc w:val="center"/>
              <w:rPr>
                <w:sz w:val="21"/>
                <w:szCs w:val="21"/>
                <w:lang w:val="zh-CN"/>
              </w:rPr>
            </w:pPr>
          </w:p>
        </w:tc>
      </w:tr>
      <w:tr w:rsidR="009D12AF" w14:paraId="4120DDCE" w14:textId="77777777">
        <w:trPr>
          <w:trHeight w:val="493"/>
        </w:trPr>
        <w:tc>
          <w:tcPr>
            <w:tcW w:w="309" w:type="pct"/>
            <w:vAlign w:val="center"/>
          </w:tcPr>
          <w:p w14:paraId="79AC7BBC"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3#</w:t>
            </w:r>
          </w:p>
        </w:tc>
        <w:tc>
          <w:tcPr>
            <w:tcW w:w="499" w:type="pct"/>
            <w:vMerge/>
            <w:vAlign w:val="center"/>
          </w:tcPr>
          <w:p w14:paraId="6913DEDE" w14:textId="77777777" w:rsidR="009D12AF" w:rsidRDefault="009D12AF">
            <w:pPr>
              <w:autoSpaceDE w:val="0"/>
              <w:autoSpaceDN w:val="0"/>
              <w:adjustRightInd w:val="0"/>
              <w:spacing w:line="300" w:lineRule="exact"/>
              <w:ind w:firstLineChars="0" w:firstLine="0"/>
              <w:jc w:val="center"/>
              <w:rPr>
                <w:sz w:val="21"/>
                <w:szCs w:val="21"/>
                <w:lang w:val="zh-CN"/>
              </w:rPr>
            </w:pPr>
          </w:p>
        </w:tc>
        <w:tc>
          <w:tcPr>
            <w:tcW w:w="415" w:type="pct"/>
            <w:vAlign w:val="center"/>
          </w:tcPr>
          <w:p w14:paraId="3A59E95A" w14:textId="77777777" w:rsidR="009D12AF" w:rsidRDefault="00000000">
            <w:pPr>
              <w:autoSpaceDE w:val="0"/>
              <w:autoSpaceDN w:val="0"/>
              <w:adjustRightInd w:val="0"/>
              <w:spacing w:line="300" w:lineRule="exact"/>
              <w:ind w:firstLineChars="0" w:firstLine="0"/>
              <w:jc w:val="center"/>
              <w:rPr>
                <w:sz w:val="21"/>
                <w:szCs w:val="21"/>
              </w:rPr>
            </w:pPr>
            <w:r>
              <w:rPr>
                <w:rFonts w:hint="eastAsia"/>
                <w:sz w:val="21"/>
                <w:szCs w:val="21"/>
              </w:rPr>
              <w:t>农</w:t>
            </w:r>
            <w:r>
              <w:rPr>
                <w:sz w:val="21"/>
                <w:szCs w:val="21"/>
                <w:lang w:val="zh-CN"/>
              </w:rPr>
              <w:t>用地</w:t>
            </w:r>
          </w:p>
        </w:tc>
        <w:tc>
          <w:tcPr>
            <w:tcW w:w="749" w:type="pct"/>
            <w:vAlign w:val="center"/>
          </w:tcPr>
          <w:p w14:paraId="265A0175" w14:textId="77777777" w:rsidR="009D12AF" w:rsidRDefault="00000000">
            <w:pPr>
              <w:autoSpaceDE w:val="0"/>
              <w:autoSpaceDN w:val="0"/>
              <w:adjustRightInd w:val="0"/>
              <w:spacing w:line="300" w:lineRule="exact"/>
              <w:ind w:firstLineChars="0" w:firstLine="0"/>
              <w:jc w:val="center"/>
              <w:rPr>
                <w:sz w:val="21"/>
                <w:szCs w:val="21"/>
                <w:lang w:val="zh-CN"/>
              </w:rPr>
            </w:pPr>
            <w:r>
              <w:rPr>
                <w:sz w:val="21"/>
                <w:szCs w:val="21"/>
                <w:lang w:val="zh-CN"/>
              </w:rPr>
              <w:t>表层样</w:t>
            </w:r>
            <w:r>
              <w:rPr>
                <w:rFonts w:hint="eastAsia"/>
                <w:sz w:val="21"/>
                <w:szCs w:val="21"/>
                <w:lang w:val="zh-CN"/>
              </w:rPr>
              <w:t>（</w:t>
            </w:r>
            <w:r>
              <w:rPr>
                <w:rFonts w:hint="eastAsia"/>
                <w:sz w:val="21"/>
                <w:szCs w:val="21"/>
              </w:rPr>
              <w:t>0-20cm</w:t>
            </w:r>
            <w:r>
              <w:rPr>
                <w:rFonts w:hint="eastAsia"/>
                <w:sz w:val="21"/>
                <w:szCs w:val="21"/>
                <w:lang w:val="zh-CN"/>
              </w:rPr>
              <w:t>）</w:t>
            </w:r>
          </w:p>
        </w:tc>
        <w:tc>
          <w:tcPr>
            <w:tcW w:w="3026" w:type="pct"/>
            <w:vMerge/>
            <w:vAlign w:val="center"/>
          </w:tcPr>
          <w:p w14:paraId="65F69E39" w14:textId="77777777" w:rsidR="009D12AF" w:rsidRDefault="009D12AF">
            <w:pPr>
              <w:autoSpaceDE w:val="0"/>
              <w:autoSpaceDN w:val="0"/>
              <w:adjustRightInd w:val="0"/>
              <w:spacing w:line="300" w:lineRule="exact"/>
              <w:ind w:firstLineChars="0" w:firstLine="0"/>
              <w:jc w:val="center"/>
              <w:rPr>
                <w:sz w:val="21"/>
                <w:szCs w:val="21"/>
                <w:lang w:val="zh-CN"/>
              </w:rPr>
            </w:pPr>
          </w:p>
        </w:tc>
      </w:tr>
    </w:tbl>
    <w:p w14:paraId="24E9ED4C" w14:textId="77777777" w:rsidR="009D12AF" w:rsidRDefault="009D12AF">
      <w:pPr>
        <w:pStyle w:val="a9"/>
        <w:adjustRightInd w:val="0"/>
        <w:snapToGrid w:val="0"/>
        <w:ind w:firstLine="480"/>
      </w:pPr>
    </w:p>
    <w:p w14:paraId="3D413EB2" w14:textId="77777777" w:rsidR="009D12AF" w:rsidRDefault="00000000">
      <w:pPr>
        <w:pStyle w:val="a9"/>
        <w:adjustRightInd w:val="0"/>
        <w:snapToGrid w:val="0"/>
        <w:ind w:firstLine="480"/>
      </w:pPr>
      <w:r>
        <w:rPr>
          <w:noProof/>
        </w:rPr>
        <w:drawing>
          <wp:inline distT="0" distB="0" distL="114300" distR="114300" wp14:anchorId="7EB72821" wp14:editId="023B9B56">
            <wp:extent cx="4890135" cy="3132455"/>
            <wp:effectExtent l="0" t="0" r="5715" b="10795"/>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48" cstate="screen">
                      <a:extLst>
                        <a:ext uri="{28A0092B-C50C-407E-A947-70E740481C1C}">
                          <a14:useLocalDpi xmlns:a14="http://schemas.microsoft.com/office/drawing/2010/main"/>
                        </a:ext>
                      </a:extLst>
                    </a:blip>
                    <a:stretch>
                      <a:fillRect/>
                    </a:stretch>
                  </pic:blipFill>
                  <pic:spPr>
                    <a:xfrm>
                      <a:off x="0" y="0"/>
                      <a:ext cx="4890135" cy="3132455"/>
                    </a:xfrm>
                    <a:prstGeom prst="rect">
                      <a:avLst/>
                    </a:prstGeom>
                    <a:noFill/>
                    <a:ln>
                      <a:noFill/>
                    </a:ln>
                  </pic:spPr>
                </pic:pic>
              </a:graphicData>
            </a:graphic>
          </wp:inline>
        </w:drawing>
      </w:r>
    </w:p>
    <w:p w14:paraId="0B0F1473" w14:textId="77777777" w:rsidR="009D12AF" w:rsidRDefault="00000000">
      <w:pPr>
        <w:pStyle w:val="a9"/>
        <w:adjustRightInd w:val="0"/>
        <w:snapToGrid w:val="0"/>
        <w:ind w:firstLine="482"/>
        <w:jc w:val="center"/>
        <w:rPr>
          <w:b/>
          <w:bCs/>
        </w:rPr>
      </w:pPr>
      <w:r>
        <w:rPr>
          <w:rFonts w:hint="eastAsia"/>
          <w:b/>
          <w:bCs/>
        </w:rPr>
        <w:t>图</w:t>
      </w:r>
      <w:r>
        <w:rPr>
          <w:rFonts w:asciiTheme="minorHAnsi" w:hAnsiTheme="minorHAnsi" w:hint="eastAsia"/>
          <w:b/>
          <w:bCs/>
          <w:kern w:val="2"/>
          <w:szCs w:val="24"/>
        </w:rPr>
        <w:t xml:space="preserve">4.3-13 </w:t>
      </w:r>
      <w:r>
        <w:rPr>
          <w:rFonts w:hint="eastAsia"/>
          <w:b/>
          <w:bCs/>
        </w:rPr>
        <w:t>群力水库土壤监测点位</w:t>
      </w:r>
    </w:p>
    <w:p w14:paraId="5C9034D3" w14:textId="77777777" w:rsidR="009D12AF" w:rsidRDefault="00000000">
      <w:pPr>
        <w:ind w:firstLine="480"/>
      </w:pPr>
      <w:r>
        <w:rPr>
          <w:noProof/>
        </w:rPr>
        <w:drawing>
          <wp:inline distT="0" distB="0" distL="114300" distR="114300" wp14:anchorId="25F8BCDC" wp14:editId="393D5D93">
            <wp:extent cx="4850130" cy="2995930"/>
            <wp:effectExtent l="0" t="0" r="7620" b="13970"/>
            <wp:docPr id="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49" cstate="screen">
                      <a:extLst>
                        <a:ext uri="{28A0092B-C50C-407E-A947-70E740481C1C}">
                          <a14:useLocalDpi xmlns:a14="http://schemas.microsoft.com/office/drawing/2010/main"/>
                        </a:ext>
                      </a:extLst>
                    </a:blip>
                    <a:stretch>
                      <a:fillRect/>
                    </a:stretch>
                  </pic:blipFill>
                  <pic:spPr>
                    <a:xfrm>
                      <a:off x="0" y="0"/>
                      <a:ext cx="4850130" cy="2995930"/>
                    </a:xfrm>
                    <a:prstGeom prst="rect">
                      <a:avLst/>
                    </a:prstGeom>
                    <a:noFill/>
                    <a:ln>
                      <a:noFill/>
                    </a:ln>
                  </pic:spPr>
                </pic:pic>
              </a:graphicData>
            </a:graphic>
          </wp:inline>
        </w:drawing>
      </w:r>
    </w:p>
    <w:p w14:paraId="23477392" w14:textId="77777777" w:rsidR="009D12AF" w:rsidRDefault="00000000">
      <w:pPr>
        <w:pStyle w:val="TOC2"/>
        <w:ind w:left="480" w:firstLine="482"/>
        <w:jc w:val="center"/>
        <w:rPr>
          <w:b/>
          <w:bCs/>
        </w:rPr>
      </w:pPr>
      <w:r>
        <w:rPr>
          <w:rFonts w:hint="eastAsia"/>
          <w:b/>
          <w:bCs/>
        </w:rPr>
        <w:t>图</w:t>
      </w:r>
      <w:r>
        <w:rPr>
          <w:rFonts w:hint="eastAsia"/>
          <w:b/>
          <w:bCs/>
        </w:rPr>
        <w:t xml:space="preserve">4.3-14 </w:t>
      </w:r>
      <w:r>
        <w:rPr>
          <w:rFonts w:hint="eastAsia"/>
          <w:b/>
          <w:bCs/>
        </w:rPr>
        <w:t>长石水库土壤监测点位</w:t>
      </w:r>
    </w:p>
    <w:p w14:paraId="0729779E" w14:textId="77777777" w:rsidR="009D12AF" w:rsidRDefault="00000000">
      <w:pPr>
        <w:ind w:firstLine="480"/>
      </w:pPr>
      <w:r>
        <w:rPr>
          <w:noProof/>
        </w:rPr>
        <w:lastRenderedPageBreak/>
        <w:drawing>
          <wp:inline distT="0" distB="0" distL="114300" distR="114300" wp14:anchorId="7EB03639" wp14:editId="25A4AAE8">
            <wp:extent cx="5027295" cy="3281680"/>
            <wp:effectExtent l="0" t="0" r="1905" b="13970"/>
            <wp:docPr id="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pic:cNvPicPr>
                      <a:picLocks noChangeAspect="1"/>
                    </pic:cNvPicPr>
                  </pic:nvPicPr>
                  <pic:blipFill>
                    <a:blip r:embed="rId50" cstate="screen">
                      <a:extLst>
                        <a:ext uri="{28A0092B-C50C-407E-A947-70E740481C1C}">
                          <a14:useLocalDpi xmlns:a14="http://schemas.microsoft.com/office/drawing/2010/main"/>
                        </a:ext>
                      </a:extLst>
                    </a:blip>
                    <a:stretch>
                      <a:fillRect/>
                    </a:stretch>
                  </pic:blipFill>
                  <pic:spPr>
                    <a:xfrm>
                      <a:off x="0" y="0"/>
                      <a:ext cx="5027295" cy="3281680"/>
                    </a:xfrm>
                    <a:prstGeom prst="rect">
                      <a:avLst/>
                    </a:prstGeom>
                    <a:noFill/>
                    <a:ln>
                      <a:noFill/>
                    </a:ln>
                  </pic:spPr>
                </pic:pic>
              </a:graphicData>
            </a:graphic>
          </wp:inline>
        </w:drawing>
      </w:r>
    </w:p>
    <w:p w14:paraId="5CDE9820" w14:textId="77777777" w:rsidR="009D12AF" w:rsidRDefault="00000000">
      <w:pPr>
        <w:ind w:firstLine="482"/>
        <w:jc w:val="center"/>
        <w:rPr>
          <w:b/>
          <w:bCs/>
        </w:rPr>
      </w:pPr>
      <w:r>
        <w:rPr>
          <w:rFonts w:hint="eastAsia"/>
          <w:b/>
          <w:bCs/>
        </w:rPr>
        <w:t>图</w:t>
      </w:r>
      <w:r>
        <w:rPr>
          <w:rFonts w:hint="eastAsia"/>
          <w:b/>
          <w:bCs/>
        </w:rPr>
        <w:t xml:space="preserve">4.3-15 </w:t>
      </w:r>
      <w:r>
        <w:rPr>
          <w:rFonts w:hint="eastAsia"/>
          <w:b/>
          <w:bCs/>
        </w:rPr>
        <w:t>万丈水库土壤监测点位</w:t>
      </w:r>
    </w:p>
    <w:p w14:paraId="627EF883" w14:textId="77777777" w:rsidR="009D12AF" w:rsidRDefault="00000000">
      <w:pPr>
        <w:ind w:firstLine="480"/>
      </w:pPr>
      <w:r>
        <w:rPr>
          <w:noProof/>
        </w:rPr>
        <w:drawing>
          <wp:inline distT="0" distB="0" distL="114300" distR="114300" wp14:anchorId="001E9428" wp14:editId="43015848">
            <wp:extent cx="4984750" cy="3100705"/>
            <wp:effectExtent l="0" t="0" r="6350" b="4445"/>
            <wp:docPr id="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51" cstate="screen">
                      <a:extLst>
                        <a:ext uri="{28A0092B-C50C-407E-A947-70E740481C1C}">
                          <a14:useLocalDpi xmlns:a14="http://schemas.microsoft.com/office/drawing/2010/main"/>
                        </a:ext>
                      </a:extLst>
                    </a:blip>
                    <a:stretch>
                      <a:fillRect/>
                    </a:stretch>
                  </pic:blipFill>
                  <pic:spPr>
                    <a:xfrm>
                      <a:off x="0" y="0"/>
                      <a:ext cx="4984750" cy="3100705"/>
                    </a:xfrm>
                    <a:prstGeom prst="rect">
                      <a:avLst/>
                    </a:prstGeom>
                    <a:noFill/>
                    <a:ln>
                      <a:noFill/>
                    </a:ln>
                  </pic:spPr>
                </pic:pic>
              </a:graphicData>
            </a:graphic>
          </wp:inline>
        </w:drawing>
      </w:r>
    </w:p>
    <w:p w14:paraId="3C10A137" w14:textId="77777777" w:rsidR="009D12AF" w:rsidRDefault="00000000">
      <w:pPr>
        <w:ind w:firstLine="482"/>
        <w:jc w:val="center"/>
        <w:rPr>
          <w:b/>
          <w:bCs/>
        </w:rPr>
      </w:pPr>
      <w:r>
        <w:rPr>
          <w:rFonts w:hint="eastAsia"/>
          <w:b/>
          <w:bCs/>
        </w:rPr>
        <w:t>图</w:t>
      </w:r>
      <w:r>
        <w:rPr>
          <w:rFonts w:hint="eastAsia"/>
          <w:b/>
          <w:bCs/>
        </w:rPr>
        <w:t xml:space="preserve">4.3-16 </w:t>
      </w:r>
      <w:r>
        <w:rPr>
          <w:rFonts w:hint="eastAsia"/>
          <w:b/>
          <w:bCs/>
        </w:rPr>
        <w:t>新安晒水池土壤监测点位</w:t>
      </w:r>
    </w:p>
    <w:p w14:paraId="65059CD6" w14:textId="77777777" w:rsidR="009D12AF" w:rsidRDefault="00000000">
      <w:pPr>
        <w:ind w:firstLine="480"/>
      </w:pPr>
      <w:r>
        <w:rPr>
          <w:noProof/>
        </w:rPr>
        <w:lastRenderedPageBreak/>
        <w:drawing>
          <wp:inline distT="0" distB="0" distL="114300" distR="114300" wp14:anchorId="4C03397F" wp14:editId="60EB6EAA">
            <wp:extent cx="4975225" cy="3349625"/>
            <wp:effectExtent l="0" t="0" r="15875" b="3175"/>
            <wp:docPr id="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52" cstate="screen">
                      <a:extLst>
                        <a:ext uri="{28A0092B-C50C-407E-A947-70E740481C1C}">
                          <a14:useLocalDpi xmlns:a14="http://schemas.microsoft.com/office/drawing/2010/main"/>
                        </a:ext>
                      </a:extLst>
                    </a:blip>
                    <a:stretch>
                      <a:fillRect/>
                    </a:stretch>
                  </pic:blipFill>
                  <pic:spPr>
                    <a:xfrm>
                      <a:off x="0" y="0"/>
                      <a:ext cx="4975225" cy="3349625"/>
                    </a:xfrm>
                    <a:prstGeom prst="rect">
                      <a:avLst/>
                    </a:prstGeom>
                    <a:noFill/>
                    <a:ln>
                      <a:noFill/>
                    </a:ln>
                  </pic:spPr>
                </pic:pic>
              </a:graphicData>
            </a:graphic>
          </wp:inline>
        </w:drawing>
      </w:r>
    </w:p>
    <w:p w14:paraId="235EA020" w14:textId="77777777" w:rsidR="009D12AF" w:rsidRDefault="00000000">
      <w:pPr>
        <w:ind w:firstLine="482"/>
        <w:jc w:val="center"/>
      </w:pPr>
      <w:r>
        <w:rPr>
          <w:rFonts w:hint="eastAsia"/>
          <w:b/>
          <w:bCs/>
        </w:rPr>
        <w:t>图</w:t>
      </w:r>
      <w:r>
        <w:rPr>
          <w:rFonts w:hint="eastAsia"/>
          <w:b/>
          <w:bCs/>
        </w:rPr>
        <w:t xml:space="preserve">4.3-17 </w:t>
      </w:r>
      <w:r>
        <w:rPr>
          <w:rFonts w:hint="eastAsia"/>
          <w:b/>
          <w:bCs/>
        </w:rPr>
        <w:t>新安晒水池土壤监测点位</w:t>
      </w:r>
    </w:p>
    <w:p w14:paraId="0031B210" w14:textId="77777777" w:rsidR="009D12AF" w:rsidRDefault="00000000">
      <w:pPr>
        <w:pStyle w:val="a9"/>
        <w:adjustRightInd w:val="0"/>
        <w:snapToGrid w:val="0"/>
        <w:ind w:firstLine="482"/>
        <w:rPr>
          <w:rFonts w:ascii="Times New Roman" w:hAnsi="Times New Roman"/>
          <w:b/>
          <w:bCs/>
          <w:szCs w:val="24"/>
        </w:rPr>
      </w:pPr>
      <w:r>
        <w:rPr>
          <w:rFonts w:ascii="Times New Roman" w:hAnsi="Times New Roman" w:hint="eastAsia"/>
          <w:b/>
          <w:bCs/>
          <w:szCs w:val="24"/>
        </w:rPr>
        <w:t>2</w:t>
      </w:r>
      <w:r>
        <w:rPr>
          <w:rFonts w:ascii="Times New Roman" w:hAnsi="Times New Roman" w:hint="eastAsia"/>
          <w:b/>
          <w:bCs/>
          <w:szCs w:val="24"/>
        </w:rPr>
        <w:t>、监测时间及监测频次</w:t>
      </w:r>
    </w:p>
    <w:p w14:paraId="0D88B967" w14:textId="77777777" w:rsidR="009D12AF" w:rsidRDefault="00000000">
      <w:pPr>
        <w:pStyle w:val="a9"/>
        <w:adjustRightInd w:val="0"/>
        <w:snapToGrid w:val="0"/>
        <w:ind w:firstLine="480"/>
        <w:rPr>
          <w:rFonts w:ascii="Times New Roman" w:hAnsi="Times New Roman"/>
          <w:szCs w:val="24"/>
        </w:rPr>
      </w:pPr>
      <w:r>
        <w:rPr>
          <w:rFonts w:ascii="Times New Roman" w:hAnsi="Times New Roman" w:hint="eastAsia"/>
          <w:szCs w:val="24"/>
        </w:rPr>
        <w:t>监测时间为</w:t>
      </w:r>
      <w:r>
        <w:rPr>
          <w:rFonts w:ascii="Times New Roman" w:hAnsi="Times New Roman" w:hint="eastAsia"/>
          <w:szCs w:val="24"/>
        </w:rPr>
        <w:t>2025</w:t>
      </w:r>
      <w:r>
        <w:rPr>
          <w:rFonts w:ascii="Times New Roman" w:hAnsi="Times New Roman" w:hint="eastAsia"/>
          <w:szCs w:val="24"/>
        </w:rPr>
        <w:t>年</w:t>
      </w:r>
      <w:r>
        <w:rPr>
          <w:rFonts w:ascii="Times New Roman" w:hAnsi="Times New Roman" w:hint="eastAsia"/>
          <w:szCs w:val="24"/>
        </w:rPr>
        <w:t>9</w:t>
      </w:r>
      <w:r>
        <w:rPr>
          <w:rFonts w:ascii="Times New Roman" w:hAnsi="Times New Roman" w:hint="eastAsia"/>
          <w:szCs w:val="24"/>
        </w:rPr>
        <w:t>月</w:t>
      </w:r>
      <w:r>
        <w:rPr>
          <w:rFonts w:ascii="Times New Roman" w:hAnsi="Times New Roman" w:hint="eastAsia"/>
          <w:szCs w:val="24"/>
        </w:rPr>
        <w:t>10</w:t>
      </w:r>
      <w:r>
        <w:rPr>
          <w:rFonts w:ascii="Times New Roman" w:hAnsi="Times New Roman" w:hint="eastAsia"/>
          <w:szCs w:val="24"/>
        </w:rPr>
        <w:t>日，各点位采样一次。监测单位</w:t>
      </w:r>
      <w:r>
        <w:rPr>
          <w:rFonts w:ascii="Times New Roman" w:hAnsi="Times New Roman" w:hint="eastAsia"/>
          <w:szCs w:val="24"/>
        </w:rPr>
        <w:t>:</w:t>
      </w:r>
      <w:r>
        <w:rPr>
          <w:rFonts w:ascii="Times New Roman" w:hAnsi="Times New Roman" w:hint="eastAsia"/>
          <w:szCs w:val="24"/>
        </w:rPr>
        <w:t>黑龙江克巽检测技术有限公司。</w:t>
      </w:r>
    </w:p>
    <w:p w14:paraId="513D50A0" w14:textId="77777777" w:rsidR="009D12AF" w:rsidRDefault="00000000">
      <w:pPr>
        <w:pStyle w:val="a9"/>
        <w:adjustRightInd w:val="0"/>
        <w:snapToGrid w:val="0"/>
        <w:ind w:firstLine="482"/>
        <w:rPr>
          <w:rFonts w:ascii="Times New Roman" w:hAnsi="Times New Roman"/>
          <w:b/>
          <w:bCs/>
          <w:szCs w:val="24"/>
        </w:rPr>
      </w:pPr>
      <w:r>
        <w:rPr>
          <w:rFonts w:ascii="Times New Roman" w:hAnsi="Times New Roman" w:hint="eastAsia"/>
          <w:b/>
          <w:bCs/>
          <w:szCs w:val="24"/>
        </w:rPr>
        <w:t>3</w:t>
      </w:r>
      <w:r>
        <w:rPr>
          <w:rFonts w:ascii="Times New Roman" w:hAnsi="Times New Roman" w:hint="eastAsia"/>
          <w:b/>
          <w:bCs/>
          <w:szCs w:val="24"/>
        </w:rPr>
        <w:t>、监测结果</w:t>
      </w:r>
    </w:p>
    <w:p w14:paraId="384AF8C7" w14:textId="77777777" w:rsidR="009D12AF" w:rsidRDefault="00000000">
      <w:pPr>
        <w:pStyle w:val="a9"/>
        <w:adjustRightInd w:val="0"/>
        <w:snapToGrid w:val="0"/>
        <w:ind w:firstLine="480"/>
        <w:rPr>
          <w:rFonts w:ascii="Times New Roman" w:hAnsi="Times New Roman"/>
          <w:szCs w:val="24"/>
        </w:rPr>
      </w:pPr>
      <w:r>
        <w:rPr>
          <w:rFonts w:ascii="Times New Roman" w:hAnsi="Times New Roman" w:hint="eastAsia"/>
          <w:szCs w:val="24"/>
        </w:rPr>
        <w:t>土壤环境质量监测结果见表</w:t>
      </w:r>
      <w:r>
        <w:rPr>
          <w:rFonts w:ascii="Times New Roman" w:hAnsi="Times New Roman" w:hint="eastAsia"/>
          <w:szCs w:val="24"/>
        </w:rPr>
        <w:t>4.3-26~4.3-30</w:t>
      </w:r>
      <w:r>
        <w:rPr>
          <w:rFonts w:ascii="Times New Roman" w:hAnsi="Times New Roman" w:hint="eastAsia"/>
          <w:szCs w:val="24"/>
        </w:rPr>
        <w:t>。</w:t>
      </w:r>
    </w:p>
    <w:p w14:paraId="2F36B081" w14:textId="77777777" w:rsidR="009D12AF" w:rsidRDefault="00000000">
      <w:pPr>
        <w:widowControl/>
        <w:ind w:firstLine="482"/>
        <w:jc w:val="center"/>
        <w:rPr>
          <w:rFonts w:cs="宋体"/>
          <w:b/>
        </w:rPr>
      </w:pPr>
      <w:r>
        <w:rPr>
          <w:rFonts w:cs="宋体"/>
          <w:b/>
        </w:rPr>
        <w:t>表</w:t>
      </w:r>
      <w:r>
        <w:rPr>
          <w:rFonts w:cs="宋体" w:hint="eastAsia"/>
          <w:b/>
        </w:rPr>
        <w:t xml:space="preserve">4.3-26  </w:t>
      </w:r>
      <w:r>
        <w:rPr>
          <w:rFonts w:cs="宋体" w:hint="eastAsia"/>
          <w:b/>
        </w:rPr>
        <w:t>长石水库</w:t>
      </w:r>
      <w:r>
        <w:rPr>
          <w:rFonts w:cs="宋体"/>
          <w:b/>
        </w:rPr>
        <w:t>土壤环境质量检测结果表</w:t>
      </w:r>
    </w:p>
    <w:tbl>
      <w:tblPr>
        <w:tblW w:w="5000" w:type="pct"/>
        <w:jc w:val="center"/>
        <w:tblBorders>
          <w:top w:val="single" w:sz="12" w:space="0" w:color="000000"/>
          <w:bottom w:val="single" w:sz="12" w:space="0" w:color="000000"/>
          <w:insideH w:val="single" w:sz="4" w:space="0" w:color="auto"/>
          <w:insideV w:val="single" w:sz="4" w:space="0" w:color="auto"/>
        </w:tblBorders>
        <w:tblLook w:val="04A0" w:firstRow="1" w:lastRow="0" w:firstColumn="1" w:lastColumn="0" w:noHBand="0" w:noVBand="1"/>
      </w:tblPr>
      <w:tblGrid>
        <w:gridCol w:w="2448"/>
        <w:gridCol w:w="2023"/>
        <w:gridCol w:w="2028"/>
        <w:gridCol w:w="2023"/>
      </w:tblGrid>
      <w:tr w:rsidR="009D12AF" w14:paraId="2391C6D0" w14:textId="77777777">
        <w:trPr>
          <w:trHeight w:val="340"/>
          <w:jc w:val="center"/>
        </w:trPr>
        <w:tc>
          <w:tcPr>
            <w:tcW w:w="1436" w:type="pct"/>
            <w:noWrap/>
            <w:vAlign w:val="center"/>
          </w:tcPr>
          <w:p w14:paraId="601DFFE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检测项目</w:t>
            </w:r>
          </w:p>
        </w:tc>
        <w:tc>
          <w:tcPr>
            <w:tcW w:w="1186" w:type="pct"/>
            <w:noWrap/>
            <w:vAlign w:val="center"/>
          </w:tcPr>
          <w:p w14:paraId="79EF463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w:t>
            </w:r>
            <w:r>
              <w:rPr>
                <w:rFonts w:ascii="Times New Roman" w:eastAsia="宋体" w:hAnsi="Times New Roman" w:cs="Times New Roman" w:hint="eastAsia"/>
                <w:color w:val="000000"/>
                <w:sz w:val="21"/>
                <w:szCs w:val="21"/>
              </w:rPr>
              <w:t>场区北侧</w:t>
            </w:r>
          </w:p>
        </w:tc>
        <w:tc>
          <w:tcPr>
            <w:tcW w:w="1189" w:type="pct"/>
            <w:noWrap/>
            <w:vAlign w:val="center"/>
          </w:tcPr>
          <w:p w14:paraId="6B658B23"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w:t>
            </w:r>
            <w:r>
              <w:rPr>
                <w:rFonts w:ascii="Times New Roman" w:eastAsia="宋体" w:hAnsi="Times New Roman" w:cs="Times New Roman" w:hint="eastAsia"/>
                <w:color w:val="000000"/>
                <w:sz w:val="21"/>
                <w:szCs w:val="21"/>
              </w:rPr>
              <w:t>场区中心</w:t>
            </w:r>
          </w:p>
        </w:tc>
        <w:tc>
          <w:tcPr>
            <w:tcW w:w="1186" w:type="pct"/>
            <w:noWrap/>
            <w:vAlign w:val="center"/>
          </w:tcPr>
          <w:p w14:paraId="3197B1E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3#</w:t>
            </w:r>
            <w:r>
              <w:rPr>
                <w:rFonts w:ascii="Times New Roman" w:eastAsia="宋体" w:hAnsi="Times New Roman" w:cs="Times New Roman" w:hint="eastAsia"/>
                <w:color w:val="000000"/>
                <w:sz w:val="21"/>
                <w:szCs w:val="21"/>
              </w:rPr>
              <w:t>场区南侧</w:t>
            </w:r>
          </w:p>
        </w:tc>
      </w:tr>
      <w:tr w:rsidR="009D12AF" w14:paraId="1878AE64" w14:textId="77777777">
        <w:trPr>
          <w:trHeight w:val="340"/>
          <w:jc w:val="center"/>
        </w:trPr>
        <w:tc>
          <w:tcPr>
            <w:tcW w:w="1436" w:type="pct"/>
            <w:noWrap/>
            <w:vAlign w:val="center"/>
          </w:tcPr>
          <w:p w14:paraId="2A84DAC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PH</w:t>
            </w:r>
          </w:p>
        </w:tc>
        <w:tc>
          <w:tcPr>
            <w:tcW w:w="1186" w:type="pct"/>
            <w:noWrap/>
            <w:vAlign w:val="center"/>
          </w:tcPr>
          <w:p w14:paraId="45C8D2A3"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7.20</w:t>
            </w:r>
          </w:p>
        </w:tc>
        <w:tc>
          <w:tcPr>
            <w:tcW w:w="1189" w:type="pct"/>
            <w:noWrap/>
            <w:vAlign w:val="center"/>
          </w:tcPr>
          <w:p w14:paraId="44459DB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7.25</w:t>
            </w:r>
          </w:p>
        </w:tc>
        <w:tc>
          <w:tcPr>
            <w:tcW w:w="1186" w:type="pct"/>
            <w:noWrap/>
            <w:vAlign w:val="center"/>
          </w:tcPr>
          <w:p w14:paraId="3DC061E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7.28</w:t>
            </w:r>
          </w:p>
        </w:tc>
      </w:tr>
      <w:tr w:rsidR="009D12AF" w14:paraId="3DC18D8F" w14:textId="77777777">
        <w:trPr>
          <w:trHeight w:val="90"/>
          <w:jc w:val="center"/>
        </w:trPr>
        <w:tc>
          <w:tcPr>
            <w:tcW w:w="1436" w:type="pct"/>
            <w:noWrap/>
            <w:vAlign w:val="center"/>
          </w:tcPr>
          <w:p w14:paraId="68C6F32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砷（</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336A8A7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0.11</w:t>
            </w:r>
          </w:p>
        </w:tc>
        <w:tc>
          <w:tcPr>
            <w:tcW w:w="1189" w:type="pct"/>
            <w:noWrap/>
            <w:vAlign w:val="center"/>
          </w:tcPr>
          <w:p w14:paraId="194FB22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0.11</w:t>
            </w:r>
          </w:p>
        </w:tc>
        <w:tc>
          <w:tcPr>
            <w:tcW w:w="1186" w:type="pct"/>
            <w:noWrap/>
            <w:vAlign w:val="center"/>
          </w:tcPr>
          <w:p w14:paraId="21726CB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6.66</w:t>
            </w:r>
          </w:p>
        </w:tc>
      </w:tr>
      <w:tr w:rsidR="009D12AF" w14:paraId="76DD06E2" w14:textId="77777777">
        <w:trPr>
          <w:trHeight w:val="340"/>
          <w:jc w:val="center"/>
        </w:trPr>
        <w:tc>
          <w:tcPr>
            <w:tcW w:w="1436" w:type="pct"/>
            <w:noWrap/>
            <w:vAlign w:val="center"/>
          </w:tcPr>
          <w:p w14:paraId="4560821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镉（</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226A74D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0.10</w:t>
            </w:r>
          </w:p>
        </w:tc>
        <w:tc>
          <w:tcPr>
            <w:tcW w:w="1189" w:type="pct"/>
            <w:noWrap/>
            <w:vAlign w:val="center"/>
          </w:tcPr>
          <w:p w14:paraId="6911D59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0.07</w:t>
            </w:r>
          </w:p>
        </w:tc>
        <w:tc>
          <w:tcPr>
            <w:tcW w:w="1186" w:type="pct"/>
            <w:noWrap/>
            <w:vAlign w:val="center"/>
          </w:tcPr>
          <w:p w14:paraId="6C3CE2F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0.11</w:t>
            </w:r>
          </w:p>
        </w:tc>
      </w:tr>
      <w:tr w:rsidR="009D12AF" w14:paraId="59C80B98" w14:textId="77777777">
        <w:trPr>
          <w:trHeight w:val="340"/>
          <w:jc w:val="center"/>
        </w:trPr>
        <w:tc>
          <w:tcPr>
            <w:tcW w:w="1436" w:type="pct"/>
            <w:noWrap/>
            <w:vAlign w:val="center"/>
          </w:tcPr>
          <w:p w14:paraId="185DF96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铜（</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68367EA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18</w:t>
            </w:r>
          </w:p>
        </w:tc>
        <w:tc>
          <w:tcPr>
            <w:tcW w:w="1189" w:type="pct"/>
            <w:noWrap/>
            <w:vAlign w:val="center"/>
          </w:tcPr>
          <w:p w14:paraId="0DA66F8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17</w:t>
            </w:r>
          </w:p>
        </w:tc>
        <w:tc>
          <w:tcPr>
            <w:tcW w:w="1186" w:type="pct"/>
            <w:noWrap/>
            <w:vAlign w:val="center"/>
          </w:tcPr>
          <w:p w14:paraId="4511DFE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20</w:t>
            </w:r>
          </w:p>
        </w:tc>
      </w:tr>
      <w:tr w:rsidR="009D12AF" w14:paraId="573244C1" w14:textId="77777777">
        <w:trPr>
          <w:trHeight w:val="340"/>
          <w:jc w:val="center"/>
        </w:trPr>
        <w:tc>
          <w:tcPr>
            <w:tcW w:w="1436" w:type="pct"/>
            <w:noWrap/>
            <w:vAlign w:val="center"/>
          </w:tcPr>
          <w:p w14:paraId="6A719C2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铅（</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2380B7D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10.6</w:t>
            </w:r>
          </w:p>
        </w:tc>
        <w:tc>
          <w:tcPr>
            <w:tcW w:w="1189" w:type="pct"/>
            <w:noWrap/>
            <w:vAlign w:val="center"/>
          </w:tcPr>
          <w:p w14:paraId="1C19C95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14.4</w:t>
            </w:r>
          </w:p>
        </w:tc>
        <w:tc>
          <w:tcPr>
            <w:tcW w:w="1186" w:type="pct"/>
            <w:noWrap/>
            <w:vAlign w:val="center"/>
          </w:tcPr>
          <w:p w14:paraId="244DC95A"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17.7</w:t>
            </w:r>
          </w:p>
        </w:tc>
      </w:tr>
      <w:tr w:rsidR="009D12AF" w14:paraId="18E1DB48" w14:textId="77777777">
        <w:trPr>
          <w:trHeight w:val="340"/>
          <w:jc w:val="center"/>
        </w:trPr>
        <w:tc>
          <w:tcPr>
            <w:tcW w:w="1436" w:type="pct"/>
            <w:noWrap/>
            <w:vAlign w:val="center"/>
          </w:tcPr>
          <w:p w14:paraId="3E848FC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汞（</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7E8BD1A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0.113</w:t>
            </w:r>
          </w:p>
        </w:tc>
        <w:tc>
          <w:tcPr>
            <w:tcW w:w="1189" w:type="pct"/>
            <w:noWrap/>
            <w:vAlign w:val="center"/>
          </w:tcPr>
          <w:p w14:paraId="54F7CFA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0.619</w:t>
            </w:r>
          </w:p>
        </w:tc>
        <w:tc>
          <w:tcPr>
            <w:tcW w:w="1186" w:type="pct"/>
            <w:noWrap/>
            <w:vAlign w:val="center"/>
          </w:tcPr>
          <w:p w14:paraId="41E5685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0.130</w:t>
            </w:r>
          </w:p>
        </w:tc>
      </w:tr>
      <w:tr w:rsidR="009D12AF" w14:paraId="288C2F2A" w14:textId="77777777">
        <w:trPr>
          <w:trHeight w:val="340"/>
          <w:jc w:val="center"/>
        </w:trPr>
        <w:tc>
          <w:tcPr>
            <w:tcW w:w="1436" w:type="pct"/>
            <w:noWrap/>
            <w:vAlign w:val="center"/>
          </w:tcPr>
          <w:p w14:paraId="2BA619A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镍（</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1E339E0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18</w:t>
            </w:r>
          </w:p>
        </w:tc>
        <w:tc>
          <w:tcPr>
            <w:tcW w:w="1189" w:type="pct"/>
            <w:noWrap/>
            <w:vAlign w:val="center"/>
          </w:tcPr>
          <w:p w14:paraId="3D420B0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18</w:t>
            </w:r>
          </w:p>
        </w:tc>
        <w:tc>
          <w:tcPr>
            <w:tcW w:w="1186" w:type="pct"/>
            <w:noWrap/>
            <w:vAlign w:val="center"/>
          </w:tcPr>
          <w:p w14:paraId="29AE8E0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18</w:t>
            </w:r>
          </w:p>
        </w:tc>
      </w:tr>
      <w:tr w:rsidR="009D12AF" w14:paraId="0B8DAA94" w14:textId="77777777">
        <w:trPr>
          <w:trHeight w:val="340"/>
          <w:jc w:val="center"/>
        </w:trPr>
        <w:tc>
          <w:tcPr>
            <w:tcW w:w="1436" w:type="pct"/>
            <w:noWrap/>
            <w:vAlign w:val="center"/>
          </w:tcPr>
          <w:p w14:paraId="24FA18B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铬（</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29927EF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26</w:t>
            </w:r>
          </w:p>
        </w:tc>
        <w:tc>
          <w:tcPr>
            <w:tcW w:w="1189" w:type="pct"/>
            <w:noWrap/>
            <w:vAlign w:val="center"/>
          </w:tcPr>
          <w:p w14:paraId="741CBD5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26</w:t>
            </w:r>
          </w:p>
        </w:tc>
        <w:tc>
          <w:tcPr>
            <w:tcW w:w="1186" w:type="pct"/>
            <w:noWrap/>
            <w:vAlign w:val="center"/>
          </w:tcPr>
          <w:p w14:paraId="0D97972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27</w:t>
            </w:r>
          </w:p>
        </w:tc>
      </w:tr>
      <w:tr w:rsidR="009D12AF" w14:paraId="72142897" w14:textId="77777777">
        <w:trPr>
          <w:trHeight w:val="340"/>
          <w:jc w:val="center"/>
        </w:trPr>
        <w:tc>
          <w:tcPr>
            <w:tcW w:w="1436" w:type="pct"/>
            <w:noWrap/>
            <w:vAlign w:val="center"/>
          </w:tcPr>
          <w:p w14:paraId="54D59E3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锌（</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2223BBD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73</w:t>
            </w:r>
          </w:p>
        </w:tc>
        <w:tc>
          <w:tcPr>
            <w:tcW w:w="1189" w:type="pct"/>
            <w:noWrap/>
            <w:vAlign w:val="center"/>
          </w:tcPr>
          <w:p w14:paraId="4FEAC7E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76</w:t>
            </w:r>
          </w:p>
        </w:tc>
        <w:tc>
          <w:tcPr>
            <w:tcW w:w="1186" w:type="pct"/>
            <w:noWrap/>
            <w:vAlign w:val="center"/>
          </w:tcPr>
          <w:p w14:paraId="7D02DE3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85</w:t>
            </w:r>
          </w:p>
        </w:tc>
      </w:tr>
      <w:tr w:rsidR="009D12AF" w14:paraId="544BA64C" w14:textId="77777777">
        <w:trPr>
          <w:trHeight w:val="340"/>
          <w:jc w:val="center"/>
        </w:trPr>
        <w:tc>
          <w:tcPr>
            <w:tcW w:w="1436" w:type="pct"/>
            <w:noWrap/>
          </w:tcPr>
          <w:p w14:paraId="0A661AAD" w14:textId="77777777" w:rsidR="009D12AF" w:rsidRDefault="00000000">
            <w:pPr>
              <w:pStyle w:val="a0"/>
              <w:ind w:firstLineChars="0" w:firstLine="0"/>
              <w:rPr>
                <w:rFonts w:ascii="Times New Roman" w:eastAsia="宋体" w:hAnsi="Times New Roman" w:cs="Times New Roman"/>
                <w:color w:val="000000"/>
              </w:rPr>
            </w:pPr>
            <w:r>
              <w:rPr>
                <w:rFonts w:hint="eastAsia"/>
              </w:rPr>
              <w:lastRenderedPageBreak/>
              <w:t>六六六总量</w:t>
            </w:r>
          </w:p>
        </w:tc>
        <w:tc>
          <w:tcPr>
            <w:tcW w:w="2023" w:type="dxa"/>
            <w:noWrap/>
            <w:vAlign w:val="center"/>
          </w:tcPr>
          <w:p w14:paraId="0A1A0F0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1189" w:type="pct"/>
            <w:noWrap/>
            <w:vAlign w:val="center"/>
          </w:tcPr>
          <w:p w14:paraId="24BF518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2023" w:type="dxa"/>
            <w:noWrap/>
            <w:vAlign w:val="center"/>
          </w:tcPr>
          <w:p w14:paraId="5AA703DA"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r>
      <w:tr w:rsidR="009D12AF" w14:paraId="6059872B" w14:textId="77777777">
        <w:trPr>
          <w:trHeight w:val="340"/>
          <w:jc w:val="center"/>
        </w:trPr>
        <w:tc>
          <w:tcPr>
            <w:tcW w:w="1436" w:type="pct"/>
            <w:noWrap/>
          </w:tcPr>
          <w:p w14:paraId="7537A539" w14:textId="77777777" w:rsidR="009D12AF" w:rsidRDefault="00000000">
            <w:pPr>
              <w:pStyle w:val="a0"/>
              <w:ind w:firstLineChars="0" w:firstLine="0"/>
              <w:rPr>
                <w:rFonts w:ascii="Times New Roman" w:eastAsia="宋体" w:hAnsi="Times New Roman" w:cs="Times New Roman"/>
                <w:color w:val="000000"/>
              </w:rPr>
            </w:pPr>
            <w:r>
              <w:rPr>
                <w:rFonts w:hint="eastAsia"/>
              </w:rPr>
              <w:t>滴滴涕总量</w:t>
            </w:r>
          </w:p>
        </w:tc>
        <w:tc>
          <w:tcPr>
            <w:tcW w:w="2023" w:type="dxa"/>
            <w:noWrap/>
            <w:vAlign w:val="center"/>
          </w:tcPr>
          <w:p w14:paraId="72CA5FF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1189" w:type="pct"/>
            <w:noWrap/>
            <w:vAlign w:val="center"/>
          </w:tcPr>
          <w:p w14:paraId="58D03BB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2023" w:type="dxa"/>
            <w:noWrap/>
            <w:vAlign w:val="center"/>
          </w:tcPr>
          <w:p w14:paraId="478F526A"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r>
      <w:tr w:rsidR="009D12AF" w14:paraId="54C9915E" w14:textId="77777777">
        <w:trPr>
          <w:trHeight w:val="340"/>
          <w:jc w:val="center"/>
        </w:trPr>
        <w:tc>
          <w:tcPr>
            <w:tcW w:w="1436" w:type="pct"/>
            <w:noWrap/>
          </w:tcPr>
          <w:p w14:paraId="65A37494" w14:textId="77777777" w:rsidR="009D12AF" w:rsidRDefault="00000000">
            <w:pPr>
              <w:pStyle w:val="a0"/>
              <w:ind w:firstLineChars="0" w:firstLine="0"/>
              <w:rPr>
                <w:rFonts w:ascii="Times New Roman" w:eastAsia="宋体" w:hAnsi="Times New Roman" w:cs="Times New Roman"/>
                <w:color w:val="000000"/>
              </w:rPr>
            </w:pPr>
            <w:r>
              <w:rPr>
                <w:rFonts w:hint="eastAsia"/>
              </w:rPr>
              <w:t>苯并[a]芘</w:t>
            </w:r>
          </w:p>
        </w:tc>
        <w:tc>
          <w:tcPr>
            <w:tcW w:w="2023" w:type="dxa"/>
            <w:noWrap/>
            <w:vAlign w:val="center"/>
          </w:tcPr>
          <w:p w14:paraId="4ABC4A8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1189" w:type="pct"/>
            <w:noWrap/>
            <w:vAlign w:val="center"/>
          </w:tcPr>
          <w:p w14:paraId="3484D59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2023" w:type="dxa"/>
            <w:noWrap/>
            <w:vAlign w:val="center"/>
          </w:tcPr>
          <w:p w14:paraId="67020D6A"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r>
    </w:tbl>
    <w:p w14:paraId="53DAB8A3" w14:textId="77777777" w:rsidR="009D12AF" w:rsidRDefault="00000000">
      <w:pPr>
        <w:pStyle w:val="a9"/>
        <w:adjustRightInd w:val="0"/>
        <w:snapToGrid w:val="0"/>
        <w:ind w:firstLine="482"/>
        <w:jc w:val="center"/>
        <w:rPr>
          <w:rFonts w:cs="宋体"/>
          <w:b/>
        </w:rPr>
      </w:pPr>
      <w:r>
        <w:rPr>
          <w:rFonts w:cs="宋体"/>
          <w:b/>
        </w:rPr>
        <w:t>表</w:t>
      </w:r>
      <w:r>
        <w:rPr>
          <w:rFonts w:asciiTheme="minorHAnsi" w:hAnsiTheme="minorHAnsi" w:cs="宋体" w:hint="eastAsia"/>
          <w:b/>
          <w:kern w:val="2"/>
          <w:szCs w:val="24"/>
        </w:rPr>
        <w:t>4.3-27</w:t>
      </w:r>
      <w:r>
        <w:rPr>
          <w:rFonts w:cs="宋体" w:hint="eastAsia"/>
          <w:b/>
        </w:rPr>
        <w:t xml:space="preserve">  万丈水库</w:t>
      </w:r>
      <w:r>
        <w:rPr>
          <w:rFonts w:cs="宋体"/>
          <w:b/>
        </w:rPr>
        <w:t>土壤环境质量检测结果表</w:t>
      </w:r>
    </w:p>
    <w:tbl>
      <w:tblPr>
        <w:tblW w:w="5000" w:type="pct"/>
        <w:jc w:val="center"/>
        <w:tblBorders>
          <w:top w:val="single" w:sz="12" w:space="0" w:color="000000"/>
          <w:bottom w:val="single" w:sz="12" w:space="0" w:color="000000"/>
          <w:insideH w:val="single" w:sz="4" w:space="0" w:color="auto"/>
          <w:insideV w:val="single" w:sz="4" w:space="0" w:color="auto"/>
        </w:tblBorders>
        <w:tblLook w:val="04A0" w:firstRow="1" w:lastRow="0" w:firstColumn="1" w:lastColumn="0" w:noHBand="0" w:noVBand="1"/>
      </w:tblPr>
      <w:tblGrid>
        <w:gridCol w:w="2448"/>
        <w:gridCol w:w="2023"/>
        <w:gridCol w:w="2028"/>
        <w:gridCol w:w="2023"/>
      </w:tblGrid>
      <w:tr w:rsidR="009D12AF" w14:paraId="566587B4" w14:textId="77777777">
        <w:trPr>
          <w:trHeight w:val="340"/>
          <w:jc w:val="center"/>
        </w:trPr>
        <w:tc>
          <w:tcPr>
            <w:tcW w:w="1436" w:type="pct"/>
            <w:noWrap/>
            <w:vAlign w:val="center"/>
          </w:tcPr>
          <w:p w14:paraId="08EA17D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检测项目</w:t>
            </w:r>
          </w:p>
        </w:tc>
        <w:tc>
          <w:tcPr>
            <w:tcW w:w="1186" w:type="pct"/>
            <w:noWrap/>
            <w:vAlign w:val="center"/>
          </w:tcPr>
          <w:p w14:paraId="17A23A2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w:t>
            </w:r>
            <w:r>
              <w:rPr>
                <w:rFonts w:ascii="Times New Roman" w:eastAsia="宋体" w:hAnsi="Times New Roman" w:cs="Times New Roman" w:hint="eastAsia"/>
                <w:color w:val="000000"/>
                <w:sz w:val="21"/>
                <w:szCs w:val="21"/>
              </w:rPr>
              <w:t>场区西侧</w:t>
            </w:r>
          </w:p>
        </w:tc>
        <w:tc>
          <w:tcPr>
            <w:tcW w:w="1189" w:type="pct"/>
            <w:noWrap/>
            <w:vAlign w:val="center"/>
          </w:tcPr>
          <w:p w14:paraId="459E8F5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w:t>
            </w:r>
            <w:r>
              <w:rPr>
                <w:rFonts w:ascii="Times New Roman" w:eastAsia="宋体" w:hAnsi="Times New Roman" w:cs="Times New Roman" w:hint="eastAsia"/>
                <w:color w:val="000000"/>
                <w:sz w:val="21"/>
                <w:szCs w:val="21"/>
              </w:rPr>
              <w:t>场区东侧</w:t>
            </w:r>
          </w:p>
        </w:tc>
        <w:tc>
          <w:tcPr>
            <w:tcW w:w="1186" w:type="pct"/>
            <w:noWrap/>
            <w:vAlign w:val="center"/>
          </w:tcPr>
          <w:p w14:paraId="6EEEB36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3#</w:t>
            </w:r>
            <w:r>
              <w:rPr>
                <w:rFonts w:ascii="Times New Roman" w:eastAsia="宋体" w:hAnsi="Times New Roman" w:cs="Times New Roman" w:hint="eastAsia"/>
                <w:color w:val="000000"/>
                <w:sz w:val="21"/>
                <w:szCs w:val="21"/>
              </w:rPr>
              <w:t>场区南侧</w:t>
            </w:r>
          </w:p>
        </w:tc>
      </w:tr>
      <w:tr w:rsidR="009D12AF" w14:paraId="5D2DF83D" w14:textId="77777777">
        <w:trPr>
          <w:trHeight w:val="340"/>
          <w:jc w:val="center"/>
        </w:trPr>
        <w:tc>
          <w:tcPr>
            <w:tcW w:w="1436" w:type="pct"/>
            <w:noWrap/>
            <w:vAlign w:val="center"/>
          </w:tcPr>
          <w:p w14:paraId="1013E60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PH</w:t>
            </w:r>
          </w:p>
        </w:tc>
        <w:tc>
          <w:tcPr>
            <w:tcW w:w="1186" w:type="pct"/>
            <w:noWrap/>
            <w:vAlign w:val="center"/>
          </w:tcPr>
          <w:p w14:paraId="666C41A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7.21</w:t>
            </w:r>
          </w:p>
        </w:tc>
        <w:tc>
          <w:tcPr>
            <w:tcW w:w="1189" w:type="pct"/>
            <w:noWrap/>
            <w:vAlign w:val="center"/>
          </w:tcPr>
          <w:p w14:paraId="621F9CD3"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7.16</w:t>
            </w:r>
          </w:p>
        </w:tc>
        <w:tc>
          <w:tcPr>
            <w:tcW w:w="1186" w:type="pct"/>
            <w:noWrap/>
            <w:vAlign w:val="center"/>
          </w:tcPr>
          <w:p w14:paraId="71D03FD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7.26</w:t>
            </w:r>
          </w:p>
        </w:tc>
      </w:tr>
      <w:tr w:rsidR="009D12AF" w14:paraId="4779C84C" w14:textId="77777777">
        <w:trPr>
          <w:trHeight w:val="90"/>
          <w:jc w:val="center"/>
        </w:trPr>
        <w:tc>
          <w:tcPr>
            <w:tcW w:w="1436" w:type="pct"/>
            <w:noWrap/>
            <w:vAlign w:val="center"/>
          </w:tcPr>
          <w:p w14:paraId="479933F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砷（</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5B6B9BF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7.12</w:t>
            </w:r>
          </w:p>
        </w:tc>
        <w:tc>
          <w:tcPr>
            <w:tcW w:w="1189" w:type="pct"/>
            <w:noWrap/>
            <w:vAlign w:val="center"/>
          </w:tcPr>
          <w:p w14:paraId="4A4A472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9.93</w:t>
            </w:r>
          </w:p>
        </w:tc>
        <w:tc>
          <w:tcPr>
            <w:tcW w:w="1186" w:type="pct"/>
            <w:noWrap/>
            <w:vAlign w:val="center"/>
          </w:tcPr>
          <w:p w14:paraId="1E97FAB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9.66</w:t>
            </w:r>
          </w:p>
        </w:tc>
      </w:tr>
      <w:tr w:rsidR="009D12AF" w14:paraId="025D90D8" w14:textId="77777777">
        <w:trPr>
          <w:trHeight w:val="340"/>
          <w:jc w:val="center"/>
        </w:trPr>
        <w:tc>
          <w:tcPr>
            <w:tcW w:w="1436" w:type="pct"/>
            <w:noWrap/>
            <w:vAlign w:val="center"/>
          </w:tcPr>
          <w:p w14:paraId="2605DD9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镉（</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4A126C0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0.10</w:t>
            </w:r>
          </w:p>
        </w:tc>
        <w:tc>
          <w:tcPr>
            <w:tcW w:w="1189" w:type="pct"/>
            <w:noWrap/>
            <w:vAlign w:val="center"/>
          </w:tcPr>
          <w:p w14:paraId="3FC72CA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0.12</w:t>
            </w:r>
          </w:p>
        </w:tc>
        <w:tc>
          <w:tcPr>
            <w:tcW w:w="1186" w:type="pct"/>
            <w:noWrap/>
            <w:vAlign w:val="center"/>
          </w:tcPr>
          <w:p w14:paraId="5708A98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0.10</w:t>
            </w:r>
          </w:p>
        </w:tc>
      </w:tr>
      <w:tr w:rsidR="009D12AF" w14:paraId="55B6C458" w14:textId="77777777">
        <w:trPr>
          <w:trHeight w:val="340"/>
          <w:jc w:val="center"/>
        </w:trPr>
        <w:tc>
          <w:tcPr>
            <w:tcW w:w="1436" w:type="pct"/>
            <w:noWrap/>
            <w:vAlign w:val="center"/>
          </w:tcPr>
          <w:p w14:paraId="5A8A634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铜（</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0A10104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18</w:t>
            </w:r>
          </w:p>
        </w:tc>
        <w:tc>
          <w:tcPr>
            <w:tcW w:w="1189" w:type="pct"/>
            <w:noWrap/>
            <w:vAlign w:val="center"/>
          </w:tcPr>
          <w:p w14:paraId="254CA6E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17</w:t>
            </w:r>
          </w:p>
        </w:tc>
        <w:tc>
          <w:tcPr>
            <w:tcW w:w="1186" w:type="pct"/>
            <w:noWrap/>
            <w:vAlign w:val="center"/>
          </w:tcPr>
          <w:p w14:paraId="08AC514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19</w:t>
            </w:r>
          </w:p>
        </w:tc>
      </w:tr>
      <w:tr w:rsidR="009D12AF" w14:paraId="23FE97CB" w14:textId="77777777">
        <w:trPr>
          <w:trHeight w:val="340"/>
          <w:jc w:val="center"/>
        </w:trPr>
        <w:tc>
          <w:tcPr>
            <w:tcW w:w="1436" w:type="pct"/>
            <w:noWrap/>
            <w:vAlign w:val="center"/>
          </w:tcPr>
          <w:p w14:paraId="5F973C9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铅（</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47FD01F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13.8</w:t>
            </w:r>
          </w:p>
        </w:tc>
        <w:tc>
          <w:tcPr>
            <w:tcW w:w="1189" w:type="pct"/>
            <w:noWrap/>
            <w:vAlign w:val="center"/>
          </w:tcPr>
          <w:p w14:paraId="5040492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15.0</w:t>
            </w:r>
          </w:p>
        </w:tc>
        <w:tc>
          <w:tcPr>
            <w:tcW w:w="1186" w:type="pct"/>
            <w:noWrap/>
            <w:vAlign w:val="center"/>
          </w:tcPr>
          <w:p w14:paraId="4D43256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15.8</w:t>
            </w:r>
          </w:p>
        </w:tc>
      </w:tr>
      <w:tr w:rsidR="009D12AF" w14:paraId="72590D08" w14:textId="77777777">
        <w:trPr>
          <w:trHeight w:val="340"/>
          <w:jc w:val="center"/>
        </w:trPr>
        <w:tc>
          <w:tcPr>
            <w:tcW w:w="1436" w:type="pct"/>
            <w:noWrap/>
            <w:vAlign w:val="center"/>
          </w:tcPr>
          <w:p w14:paraId="79120323"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汞（</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430F3EF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0.113</w:t>
            </w:r>
          </w:p>
        </w:tc>
        <w:tc>
          <w:tcPr>
            <w:tcW w:w="1189" w:type="pct"/>
            <w:noWrap/>
            <w:vAlign w:val="center"/>
          </w:tcPr>
          <w:p w14:paraId="3AF051B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0.113</w:t>
            </w:r>
          </w:p>
        </w:tc>
        <w:tc>
          <w:tcPr>
            <w:tcW w:w="1186" w:type="pct"/>
            <w:noWrap/>
            <w:vAlign w:val="center"/>
          </w:tcPr>
          <w:p w14:paraId="307ACEB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0.113</w:t>
            </w:r>
          </w:p>
        </w:tc>
      </w:tr>
      <w:tr w:rsidR="009D12AF" w14:paraId="117EB46A" w14:textId="77777777">
        <w:trPr>
          <w:trHeight w:val="340"/>
          <w:jc w:val="center"/>
        </w:trPr>
        <w:tc>
          <w:tcPr>
            <w:tcW w:w="1436" w:type="pct"/>
            <w:noWrap/>
            <w:vAlign w:val="center"/>
          </w:tcPr>
          <w:p w14:paraId="5D55E1D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镍（</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42C5F1B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17</w:t>
            </w:r>
          </w:p>
        </w:tc>
        <w:tc>
          <w:tcPr>
            <w:tcW w:w="1189" w:type="pct"/>
            <w:noWrap/>
            <w:vAlign w:val="center"/>
          </w:tcPr>
          <w:p w14:paraId="3ED6AF9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19</w:t>
            </w:r>
          </w:p>
        </w:tc>
        <w:tc>
          <w:tcPr>
            <w:tcW w:w="1186" w:type="pct"/>
            <w:noWrap/>
            <w:vAlign w:val="center"/>
          </w:tcPr>
          <w:p w14:paraId="4D1AA02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19</w:t>
            </w:r>
          </w:p>
        </w:tc>
      </w:tr>
      <w:tr w:rsidR="009D12AF" w14:paraId="3B909CD0" w14:textId="77777777">
        <w:trPr>
          <w:trHeight w:val="340"/>
          <w:jc w:val="center"/>
        </w:trPr>
        <w:tc>
          <w:tcPr>
            <w:tcW w:w="1436" w:type="pct"/>
            <w:noWrap/>
            <w:vAlign w:val="center"/>
          </w:tcPr>
          <w:p w14:paraId="44DBFB7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铬（</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464B87A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24</w:t>
            </w:r>
          </w:p>
        </w:tc>
        <w:tc>
          <w:tcPr>
            <w:tcW w:w="1189" w:type="pct"/>
            <w:noWrap/>
            <w:vAlign w:val="center"/>
          </w:tcPr>
          <w:p w14:paraId="5A9F258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27</w:t>
            </w:r>
          </w:p>
        </w:tc>
        <w:tc>
          <w:tcPr>
            <w:tcW w:w="1186" w:type="pct"/>
            <w:noWrap/>
            <w:vAlign w:val="center"/>
          </w:tcPr>
          <w:p w14:paraId="2670419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28</w:t>
            </w:r>
          </w:p>
        </w:tc>
      </w:tr>
      <w:tr w:rsidR="009D12AF" w14:paraId="0DF4FE3C" w14:textId="77777777">
        <w:trPr>
          <w:trHeight w:val="340"/>
          <w:jc w:val="center"/>
        </w:trPr>
        <w:tc>
          <w:tcPr>
            <w:tcW w:w="1436" w:type="pct"/>
            <w:noWrap/>
            <w:vAlign w:val="center"/>
          </w:tcPr>
          <w:p w14:paraId="35DCAD6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锌（</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6DF634F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78</w:t>
            </w:r>
          </w:p>
        </w:tc>
        <w:tc>
          <w:tcPr>
            <w:tcW w:w="1189" w:type="pct"/>
            <w:noWrap/>
            <w:vAlign w:val="center"/>
          </w:tcPr>
          <w:p w14:paraId="1959F58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75</w:t>
            </w:r>
          </w:p>
        </w:tc>
        <w:tc>
          <w:tcPr>
            <w:tcW w:w="1186" w:type="pct"/>
            <w:noWrap/>
            <w:vAlign w:val="center"/>
          </w:tcPr>
          <w:p w14:paraId="2B2D8FD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73</w:t>
            </w:r>
          </w:p>
        </w:tc>
      </w:tr>
      <w:tr w:rsidR="009D12AF" w14:paraId="3361DDC4" w14:textId="77777777">
        <w:trPr>
          <w:trHeight w:val="340"/>
          <w:jc w:val="center"/>
        </w:trPr>
        <w:tc>
          <w:tcPr>
            <w:tcW w:w="1436" w:type="pct"/>
            <w:noWrap/>
          </w:tcPr>
          <w:p w14:paraId="0AC9FB53" w14:textId="77777777" w:rsidR="009D12AF" w:rsidRDefault="00000000">
            <w:pPr>
              <w:pStyle w:val="a0"/>
              <w:ind w:firstLineChars="0" w:firstLine="0"/>
              <w:rPr>
                <w:rFonts w:ascii="Times New Roman" w:eastAsia="宋体" w:hAnsi="Times New Roman" w:cs="Times New Roman"/>
                <w:color w:val="000000"/>
              </w:rPr>
            </w:pPr>
            <w:r>
              <w:rPr>
                <w:rFonts w:hint="eastAsia"/>
              </w:rPr>
              <w:t>六六六总量</w:t>
            </w:r>
          </w:p>
        </w:tc>
        <w:tc>
          <w:tcPr>
            <w:tcW w:w="2023" w:type="dxa"/>
            <w:noWrap/>
            <w:vAlign w:val="center"/>
          </w:tcPr>
          <w:p w14:paraId="01BB431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1189" w:type="pct"/>
            <w:noWrap/>
            <w:vAlign w:val="center"/>
          </w:tcPr>
          <w:p w14:paraId="080AB6E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2023" w:type="dxa"/>
            <w:noWrap/>
            <w:vAlign w:val="center"/>
          </w:tcPr>
          <w:p w14:paraId="1E18AAE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r>
      <w:tr w:rsidR="009D12AF" w14:paraId="59F98762" w14:textId="77777777">
        <w:trPr>
          <w:trHeight w:val="340"/>
          <w:jc w:val="center"/>
        </w:trPr>
        <w:tc>
          <w:tcPr>
            <w:tcW w:w="1436" w:type="pct"/>
            <w:noWrap/>
          </w:tcPr>
          <w:p w14:paraId="4C858214" w14:textId="77777777" w:rsidR="009D12AF" w:rsidRDefault="00000000">
            <w:pPr>
              <w:pStyle w:val="a0"/>
              <w:ind w:firstLineChars="0" w:firstLine="0"/>
              <w:rPr>
                <w:rFonts w:ascii="Times New Roman" w:eastAsia="宋体" w:hAnsi="Times New Roman" w:cs="Times New Roman"/>
                <w:color w:val="000000"/>
              </w:rPr>
            </w:pPr>
            <w:r>
              <w:rPr>
                <w:rFonts w:hint="eastAsia"/>
              </w:rPr>
              <w:t>滴滴涕总量</w:t>
            </w:r>
          </w:p>
        </w:tc>
        <w:tc>
          <w:tcPr>
            <w:tcW w:w="2023" w:type="dxa"/>
            <w:noWrap/>
            <w:vAlign w:val="center"/>
          </w:tcPr>
          <w:p w14:paraId="38DC219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1189" w:type="pct"/>
            <w:noWrap/>
            <w:vAlign w:val="center"/>
          </w:tcPr>
          <w:p w14:paraId="7001FB7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2023" w:type="dxa"/>
            <w:noWrap/>
            <w:vAlign w:val="center"/>
          </w:tcPr>
          <w:p w14:paraId="1719F5D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r>
      <w:tr w:rsidR="009D12AF" w14:paraId="621A5BA7" w14:textId="77777777">
        <w:trPr>
          <w:trHeight w:val="340"/>
          <w:jc w:val="center"/>
        </w:trPr>
        <w:tc>
          <w:tcPr>
            <w:tcW w:w="1436" w:type="pct"/>
            <w:noWrap/>
          </w:tcPr>
          <w:p w14:paraId="54CB969D" w14:textId="77777777" w:rsidR="009D12AF" w:rsidRDefault="00000000">
            <w:pPr>
              <w:pStyle w:val="a0"/>
              <w:ind w:firstLineChars="0" w:firstLine="0"/>
              <w:rPr>
                <w:rFonts w:ascii="Times New Roman" w:eastAsia="宋体" w:hAnsi="Times New Roman" w:cs="Times New Roman"/>
                <w:color w:val="000000"/>
              </w:rPr>
            </w:pPr>
            <w:r>
              <w:rPr>
                <w:rFonts w:hint="eastAsia"/>
              </w:rPr>
              <w:t>苯并[a]芘</w:t>
            </w:r>
          </w:p>
        </w:tc>
        <w:tc>
          <w:tcPr>
            <w:tcW w:w="2023" w:type="dxa"/>
            <w:noWrap/>
            <w:vAlign w:val="center"/>
          </w:tcPr>
          <w:p w14:paraId="215DE0F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1189" w:type="pct"/>
            <w:noWrap/>
            <w:vAlign w:val="center"/>
          </w:tcPr>
          <w:p w14:paraId="298C856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2023" w:type="dxa"/>
            <w:noWrap/>
            <w:vAlign w:val="center"/>
          </w:tcPr>
          <w:p w14:paraId="0EE77FB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r>
    </w:tbl>
    <w:p w14:paraId="283AF1E8" w14:textId="77777777" w:rsidR="009D12AF" w:rsidRDefault="00000000">
      <w:pPr>
        <w:pStyle w:val="a9"/>
        <w:adjustRightInd w:val="0"/>
        <w:snapToGrid w:val="0"/>
        <w:ind w:firstLine="482"/>
        <w:jc w:val="center"/>
        <w:rPr>
          <w:rFonts w:cs="宋体"/>
          <w:b/>
        </w:rPr>
      </w:pPr>
      <w:r>
        <w:rPr>
          <w:rFonts w:cs="宋体"/>
          <w:b/>
        </w:rPr>
        <w:t>表</w:t>
      </w:r>
      <w:r>
        <w:rPr>
          <w:rFonts w:asciiTheme="minorHAnsi" w:hAnsiTheme="minorHAnsi" w:cs="宋体" w:hint="eastAsia"/>
          <w:b/>
          <w:kern w:val="2"/>
          <w:szCs w:val="24"/>
        </w:rPr>
        <w:t>4.3-28</w:t>
      </w:r>
      <w:r>
        <w:rPr>
          <w:rFonts w:cs="宋体" w:hint="eastAsia"/>
          <w:b/>
        </w:rPr>
        <w:t xml:space="preserve">  新安晒水池</w:t>
      </w:r>
      <w:r>
        <w:rPr>
          <w:rFonts w:cs="宋体"/>
          <w:b/>
        </w:rPr>
        <w:t>土壤环境质量检测结果表</w:t>
      </w:r>
    </w:p>
    <w:tbl>
      <w:tblPr>
        <w:tblW w:w="5000" w:type="pct"/>
        <w:jc w:val="center"/>
        <w:tblBorders>
          <w:top w:val="single" w:sz="12" w:space="0" w:color="000000"/>
          <w:bottom w:val="single" w:sz="12" w:space="0" w:color="000000"/>
          <w:insideH w:val="single" w:sz="4" w:space="0" w:color="auto"/>
          <w:insideV w:val="single" w:sz="4" w:space="0" w:color="auto"/>
        </w:tblBorders>
        <w:tblLook w:val="04A0" w:firstRow="1" w:lastRow="0" w:firstColumn="1" w:lastColumn="0" w:noHBand="0" w:noVBand="1"/>
      </w:tblPr>
      <w:tblGrid>
        <w:gridCol w:w="2448"/>
        <w:gridCol w:w="2023"/>
        <w:gridCol w:w="2028"/>
        <w:gridCol w:w="2023"/>
      </w:tblGrid>
      <w:tr w:rsidR="009D12AF" w14:paraId="2B3CCF20" w14:textId="77777777">
        <w:trPr>
          <w:trHeight w:val="340"/>
          <w:jc w:val="center"/>
        </w:trPr>
        <w:tc>
          <w:tcPr>
            <w:tcW w:w="1436" w:type="pct"/>
            <w:noWrap/>
            <w:vAlign w:val="center"/>
          </w:tcPr>
          <w:p w14:paraId="785F1BC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检测项目</w:t>
            </w:r>
          </w:p>
        </w:tc>
        <w:tc>
          <w:tcPr>
            <w:tcW w:w="1186" w:type="pct"/>
            <w:noWrap/>
            <w:vAlign w:val="center"/>
          </w:tcPr>
          <w:p w14:paraId="73B8D07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w:t>
            </w:r>
            <w:r>
              <w:rPr>
                <w:rFonts w:ascii="Times New Roman" w:eastAsia="宋体" w:hAnsi="Times New Roman" w:cs="Times New Roman" w:hint="eastAsia"/>
                <w:color w:val="000000"/>
                <w:sz w:val="21"/>
                <w:szCs w:val="21"/>
              </w:rPr>
              <w:t>场区西侧</w:t>
            </w:r>
          </w:p>
        </w:tc>
        <w:tc>
          <w:tcPr>
            <w:tcW w:w="1189" w:type="pct"/>
            <w:noWrap/>
            <w:vAlign w:val="center"/>
          </w:tcPr>
          <w:p w14:paraId="14217FB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w:t>
            </w:r>
            <w:r>
              <w:rPr>
                <w:rFonts w:ascii="Times New Roman" w:eastAsia="宋体" w:hAnsi="Times New Roman" w:cs="Times New Roman" w:hint="eastAsia"/>
                <w:color w:val="000000"/>
                <w:sz w:val="21"/>
                <w:szCs w:val="21"/>
              </w:rPr>
              <w:t>场区中心</w:t>
            </w:r>
          </w:p>
        </w:tc>
        <w:tc>
          <w:tcPr>
            <w:tcW w:w="1186" w:type="pct"/>
            <w:noWrap/>
            <w:vAlign w:val="center"/>
          </w:tcPr>
          <w:p w14:paraId="642CF19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3#</w:t>
            </w:r>
            <w:r>
              <w:rPr>
                <w:rFonts w:ascii="Times New Roman" w:eastAsia="宋体" w:hAnsi="Times New Roman" w:cs="Times New Roman" w:hint="eastAsia"/>
                <w:color w:val="000000"/>
                <w:sz w:val="21"/>
                <w:szCs w:val="21"/>
              </w:rPr>
              <w:t>场区东侧</w:t>
            </w:r>
          </w:p>
        </w:tc>
      </w:tr>
      <w:tr w:rsidR="009D12AF" w14:paraId="1DE77A6F" w14:textId="77777777">
        <w:trPr>
          <w:trHeight w:val="340"/>
          <w:jc w:val="center"/>
        </w:trPr>
        <w:tc>
          <w:tcPr>
            <w:tcW w:w="1436" w:type="pct"/>
            <w:noWrap/>
            <w:vAlign w:val="center"/>
          </w:tcPr>
          <w:p w14:paraId="56E2CAFA"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PH</w:t>
            </w:r>
          </w:p>
        </w:tc>
        <w:tc>
          <w:tcPr>
            <w:tcW w:w="1186" w:type="pct"/>
            <w:noWrap/>
            <w:vAlign w:val="center"/>
          </w:tcPr>
          <w:p w14:paraId="5591B62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7.22</w:t>
            </w:r>
          </w:p>
        </w:tc>
        <w:tc>
          <w:tcPr>
            <w:tcW w:w="1189" w:type="pct"/>
            <w:noWrap/>
            <w:vAlign w:val="center"/>
          </w:tcPr>
          <w:p w14:paraId="5206E8F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7.27</w:t>
            </w:r>
          </w:p>
        </w:tc>
        <w:tc>
          <w:tcPr>
            <w:tcW w:w="1186" w:type="pct"/>
            <w:noWrap/>
            <w:vAlign w:val="center"/>
          </w:tcPr>
          <w:p w14:paraId="6E25096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7.25</w:t>
            </w:r>
          </w:p>
        </w:tc>
      </w:tr>
      <w:tr w:rsidR="009D12AF" w14:paraId="40DAC094" w14:textId="77777777">
        <w:trPr>
          <w:trHeight w:val="90"/>
          <w:jc w:val="center"/>
        </w:trPr>
        <w:tc>
          <w:tcPr>
            <w:tcW w:w="1436" w:type="pct"/>
            <w:noWrap/>
            <w:vAlign w:val="center"/>
          </w:tcPr>
          <w:p w14:paraId="5450B41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砷（</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37199FF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10..4</w:t>
            </w:r>
          </w:p>
        </w:tc>
        <w:tc>
          <w:tcPr>
            <w:tcW w:w="1189" w:type="pct"/>
            <w:noWrap/>
            <w:vAlign w:val="center"/>
          </w:tcPr>
          <w:p w14:paraId="6D197BE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10.2</w:t>
            </w:r>
          </w:p>
        </w:tc>
        <w:tc>
          <w:tcPr>
            <w:tcW w:w="1186" w:type="pct"/>
            <w:noWrap/>
            <w:vAlign w:val="center"/>
          </w:tcPr>
          <w:p w14:paraId="05B30BD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9.56</w:t>
            </w:r>
          </w:p>
        </w:tc>
      </w:tr>
      <w:tr w:rsidR="009D12AF" w14:paraId="6A7FF9D0" w14:textId="77777777">
        <w:trPr>
          <w:trHeight w:val="340"/>
          <w:jc w:val="center"/>
        </w:trPr>
        <w:tc>
          <w:tcPr>
            <w:tcW w:w="1436" w:type="pct"/>
            <w:noWrap/>
            <w:vAlign w:val="center"/>
          </w:tcPr>
          <w:p w14:paraId="231AB673"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镉（</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52D6149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0.10</w:t>
            </w:r>
          </w:p>
        </w:tc>
        <w:tc>
          <w:tcPr>
            <w:tcW w:w="1189" w:type="pct"/>
            <w:noWrap/>
            <w:vAlign w:val="center"/>
          </w:tcPr>
          <w:p w14:paraId="79E0FB9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0.314</w:t>
            </w:r>
          </w:p>
        </w:tc>
        <w:tc>
          <w:tcPr>
            <w:tcW w:w="1186" w:type="pct"/>
            <w:noWrap/>
            <w:vAlign w:val="center"/>
          </w:tcPr>
          <w:p w14:paraId="47217B3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0.10</w:t>
            </w:r>
          </w:p>
        </w:tc>
      </w:tr>
      <w:tr w:rsidR="009D12AF" w14:paraId="38672D79" w14:textId="77777777">
        <w:trPr>
          <w:trHeight w:val="340"/>
          <w:jc w:val="center"/>
        </w:trPr>
        <w:tc>
          <w:tcPr>
            <w:tcW w:w="1436" w:type="pct"/>
            <w:noWrap/>
            <w:vAlign w:val="center"/>
          </w:tcPr>
          <w:p w14:paraId="4A9F99C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铜（</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67DBFCE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19</w:t>
            </w:r>
          </w:p>
        </w:tc>
        <w:tc>
          <w:tcPr>
            <w:tcW w:w="1189" w:type="pct"/>
            <w:noWrap/>
            <w:vAlign w:val="center"/>
          </w:tcPr>
          <w:p w14:paraId="7D8202E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23</w:t>
            </w:r>
          </w:p>
        </w:tc>
        <w:tc>
          <w:tcPr>
            <w:tcW w:w="1186" w:type="pct"/>
            <w:noWrap/>
            <w:vAlign w:val="center"/>
          </w:tcPr>
          <w:p w14:paraId="7FB75C9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20</w:t>
            </w:r>
          </w:p>
        </w:tc>
      </w:tr>
      <w:tr w:rsidR="009D12AF" w14:paraId="4D1E0671" w14:textId="77777777">
        <w:trPr>
          <w:trHeight w:val="340"/>
          <w:jc w:val="center"/>
        </w:trPr>
        <w:tc>
          <w:tcPr>
            <w:tcW w:w="1436" w:type="pct"/>
            <w:noWrap/>
            <w:vAlign w:val="center"/>
          </w:tcPr>
          <w:p w14:paraId="69484C1A"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铅（</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159C76C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14.1</w:t>
            </w:r>
          </w:p>
        </w:tc>
        <w:tc>
          <w:tcPr>
            <w:tcW w:w="1189" w:type="pct"/>
            <w:noWrap/>
            <w:vAlign w:val="center"/>
          </w:tcPr>
          <w:p w14:paraId="2E85C1B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14.5</w:t>
            </w:r>
          </w:p>
        </w:tc>
        <w:tc>
          <w:tcPr>
            <w:tcW w:w="1186" w:type="pct"/>
            <w:noWrap/>
            <w:vAlign w:val="center"/>
          </w:tcPr>
          <w:p w14:paraId="5C65EC1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12.6</w:t>
            </w:r>
          </w:p>
        </w:tc>
      </w:tr>
      <w:tr w:rsidR="009D12AF" w14:paraId="72F43523" w14:textId="77777777">
        <w:trPr>
          <w:trHeight w:val="340"/>
          <w:jc w:val="center"/>
        </w:trPr>
        <w:tc>
          <w:tcPr>
            <w:tcW w:w="1436" w:type="pct"/>
            <w:noWrap/>
            <w:vAlign w:val="center"/>
          </w:tcPr>
          <w:p w14:paraId="13E9F4B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汞（</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115DFE4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0.124</w:t>
            </w:r>
          </w:p>
        </w:tc>
        <w:tc>
          <w:tcPr>
            <w:tcW w:w="1189" w:type="pct"/>
            <w:noWrap/>
            <w:vAlign w:val="center"/>
          </w:tcPr>
          <w:p w14:paraId="5DEFBB0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0.106</w:t>
            </w:r>
          </w:p>
        </w:tc>
        <w:tc>
          <w:tcPr>
            <w:tcW w:w="1186" w:type="pct"/>
            <w:noWrap/>
            <w:vAlign w:val="center"/>
          </w:tcPr>
          <w:p w14:paraId="50E8182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0.119</w:t>
            </w:r>
          </w:p>
        </w:tc>
      </w:tr>
      <w:tr w:rsidR="009D12AF" w14:paraId="5025686B" w14:textId="77777777">
        <w:trPr>
          <w:trHeight w:val="340"/>
          <w:jc w:val="center"/>
        </w:trPr>
        <w:tc>
          <w:tcPr>
            <w:tcW w:w="1436" w:type="pct"/>
            <w:noWrap/>
            <w:vAlign w:val="center"/>
          </w:tcPr>
          <w:p w14:paraId="1DA761C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镍（</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395FA01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19</w:t>
            </w:r>
          </w:p>
        </w:tc>
        <w:tc>
          <w:tcPr>
            <w:tcW w:w="1189" w:type="pct"/>
            <w:noWrap/>
            <w:vAlign w:val="center"/>
          </w:tcPr>
          <w:p w14:paraId="248E133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19</w:t>
            </w:r>
          </w:p>
        </w:tc>
        <w:tc>
          <w:tcPr>
            <w:tcW w:w="1186" w:type="pct"/>
            <w:noWrap/>
            <w:vAlign w:val="center"/>
          </w:tcPr>
          <w:p w14:paraId="7983CB9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20</w:t>
            </w:r>
          </w:p>
        </w:tc>
      </w:tr>
      <w:tr w:rsidR="009D12AF" w14:paraId="35ABCFD8" w14:textId="77777777">
        <w:trPr>
          <w:trHeight w:val="340"/>
          <w:jc w:val="center"/>
        </w:trPr>
        <w:tc>
          <w:tcPr>
            <w:tcW w:w="1436" w:type="pct"/>
            <w:noWrap/>
            <w:vAlign w:val="center"/>
          </w:tcPr>
          <w:p w14:paraId="4623BCB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铬（</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640ABAC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29</w:t>
            </w:r>
          </w:p>
        </w:tc>
        <w:tc>
          <w:tcPr>
            <w:tcW w:w="1189" w:type="pct"/>
            <w:noWrap/>
            <w:vAlign w:val="center"/>
          </w:tcPr>
          <w:p w14:paraId="0AAB398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28</w:t>
            </w:r>
          </w:p>
        </w:tc>
        <w:tc>
          <w:tcPr>
            <w:tcW w:w="1186" w:type="pct"/>
            <w:noWrap/>
            <w:vAlign w:val="center"/>
          </w:tcPr>
          <w:p w14:paraId="65CAF1D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30</w:t>
            </w:r>
          </w:p>
        </w:tc>
      </w:tr>
      <w:tr w:rsidR="009D12AF" w14:paraId="1D4671B8" w14:textId="77777777">
        <w:trPr>
          <w:trHeight w:val="340"/>
          <w:jc w:val="center"/>
        </w:trPr>
        <w:tc>
          <w:tcPr>
            <w:tcW w:w="1436" w:type="pct"/>
            <w:noWrap/>
            <w:vAlign w:val="center"/>
          </w:tcPr>
          <w:p w14:paraId="1B51610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lastRenderedPageBreak/>
              <w:t>锌（</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1C04B91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75</w:t>
            </w:r>
          </w:p>
        </w:tc>
        <w:tc>
          <w:tcPr>
            <w:tcW w:w="1189" w:type="pct"/>
            <w:noWrap/>
            <w:vAlign w:val="center"/>
          </w:tcPr>
          <w:p w14:paraId="7C3D75E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91</w:t>
            </w:r>
          </w:p>
        </w:tc>
        <w:tc>
          <w:tcPr>
            <w:tcW w:w="1186" w:type="pct"/>
            <w:noWrap/>
            <w:vAlign w:val="center"/>
          </w:tcPr>
          <w:p w14:paraId="5CE0205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82</w:t>
            </w:r>
          </w:p>
        </w:tc>
      </w:tr>
      <w:tr w:rsidR="009D12AF" w14:paraId="23017807" w14:textId="77777777">
        <w:trPr>
          <w:trHeight w:val="340"/>
          <w:jc w:val="center"/>
        </w:trPr>
        <w:tc>
          <w:tcPr>
            <w:tcW w:w="1436" w:type="pct"/>
            <w:noWrap/>
          </w:tcPr>
          <w:p w14:paraId="328562D5" w14:textId="77777777" w:rsidR="009D12AF" w:rsidRDefault="00000000">
            <w:pPr>
              <w:pStyle w:val="a0"/>
              <w:ind w:firstLineChars="0" w:firstLine="0"/>
              <w:rPr>
                <w:rFonts w:ascii="Times New Roman" w:eastAsia="宋体" w:hAnsi="Times New Roman" w:cs="Times New Roman"/>
                <w:color w:val="000000"/>
              </w:rPr>
            </w:pPr>
            <w:r>
              <w:rPr>
                <w:rFonts w:hint="eastAsia"/>
              </w:rPr>
              <w:t>六六六总量</w:t>
            </w:r>
          </w:p>
        </w:tc>
        <w:tc>
          <w:tcPr>
            <w:tcW w:w="2023" w:type="dxa"/>
            <w:noWrap/>
            <w:vAlign w:val="center"/>
          </w:tcPr>
          <w:p w14:paraId="422D47B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1189" w:type="pct"/>
            <w:noWrap/>
            <w:vAlign w:val="center"/>
          </w:tcPr>
          <w:p w14:paraId="5E24219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2023" w:type="dxa"/>
            <w:noWrap/>
            <w:vAlign w:val="center"/>
          </w:tcPr>
          <w:p w14:paraId="2B2AC62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r>
      <w:tr w:rsidR="009D12AF" w14:paraId="55710A20" w14:textId="77777777">
        <w:trPr>
          <w:trHeight w:val="340"/>
          <w:jc w:val="center"/>
        </w:trPr>
        <w:tc>
          <w:tcPr>
            <w:tcW w:w="1436" w:type="pct"/>
            <w:noWrap/>
          </w:tcPr>
          <w:p w14:paraId="0A66698E" w14:textId="77777777" w:rsidR="009D12AF" w:rsidRDefault="00000000">
            <w:pPr>
              <w:pStyle w:val="a0"/>
              <w:ind w:firstLineChars="0" w:firstLine="0"/>
              <w:rPr>
                <w:rFonts w:ascii="Times New Roman" w:eastAsia="宋体" w:hAnsi="Times New Roman" w:cs="Times New Roman"/>
                <w:color w:val="000000"/>
              </w:rPr>
            </w:pPr>
            <w:r>
              <w:rPr>
                <w:rFonts w:hint="eastAsia"/>
              </w:rPr>
              <w:t>滴滴涕总量</w:t>
            </w:r>
          </w:p>
        </w:tc>
        <w:tc>
          <w:tcPr>
            <w:tcW w:w="2023" w:type="dxa"/>
            <w:noWrap/>
            <w:vAlign w:val="center"/>
          </w:tcPr>
          <w:p w14:paraId="15EC2B3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1189" w:type="pct"/>
            <w:noWrap/>
            <w:vAlign w:val="center"/>
          </w:tcPr>
          <w:p w14:paraId="2043243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2023" w:type="dxa"/>
            <w:noWrap/>
            <w:vAlign w:val="center"/>
          </w:tcPr>
          <w:p w14:paraId="4AD12B2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r>
      <w:tr w:rsidR="009D12AF" w14:paraId="24809842" w14:textId="77777777">
        <w:trPr>
          <w:trHeight w:val="340"/>
          <w:jc w:val="center"/>
        </w:trPr>
        <w:tc>
          <w:tcPr>
            <w:tcW w:w="1436" w:type="pct"/>
            <w:noWrap/>
          </w:tcPr>
          <w:p w14:paraId="6C9E45BD" w14:textId="77777777" w:rsidR="009D12AF" w:rsidRDefault="00000000">
            <w:pPr>
              <w:pStyle w:val="a0"/>
              <w:ind w:firstLineChars="0" w:firstLine="0"/>
              <w:rPr>
                <w:rFonts w:ascii="Times New Roman" w:eastAsia="宋体" w:hAnsi="Times New Roman" w:cs="Times New Roman"/>
                <w:color w:val="000000"/>
              </w:rPr>
            </w:pPr>
            <w:r>
              <w:rPr>
                <w:rFonts w:hint="eastAsia"/>
              </w:rPr>
              <w:t>苯并[a]芘</w:t>
            </w:r>
          </w:p>
        </w:tc>
        <w:tc>
          <w:tcPr>
            <w:tcW w:w="2023" w:type="dxa"/>
            <w:noWrap/>
            <w:vAlign w:val="center"/>
          </w:tcPr>
          <w:p w14:paraId="0EE654E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1189" w:type="pct"/>
            <w:noWrap/>
            <w:vAlign w:val="center"/>
          </w:tcPr>
          <w:p w14:paraId="355300E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2023" w:type="dxa"/>
            <w:noWrap/>
            <w:vAlign w:val="center"/>
          </w:tcPr>
          <w:p w14:paraId="4C56442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r>
    </w:tbl>
    <w:p w14:paraId="745DCF86" w14:textId="77777777" w:rsidR="009D12AF" w:rsidRDefault="00000000">
      <w:pPr>
        <w:pStyle w:val="a9"/>
        <w:adjustRightInd w:val="0"/>
        <w:snapToGrid w:val="0"/>
        <w:ind w:firstLine="482"/>
        <w:jc w:val="center"/>
        <w:rPr>
          <w:rFonts w:cs="宋体"/>
          <w:b/>
        </w:rPr>
      </w:pPr>
      <w:r>
        <w:rPr>
          <w:rFonts w:cs="宋体"/>
          <w:b/>
        </w:rPr>
        <w:t>表</w:t>
      </w:r>
      <w:r>
        <w:rPr>
          <w:rFonts w:asciiTheme="minorHAnsi" w:hAnsiTheme="minorHAnsi" w:cs="宋体" w:hint="eastAsia"/>
          <w:b/>
          <w:kern w:val="2"/>
          <w:szCs w:val="24"/>
        </w:rPr>
        <w:t>4.3-29</w:t>
      </w:r>
      <w:r>
        <w:rPr>
          <w:rFonts w:cs="宋体" w:hint="eastAsia"/>
          <w:b/>
        </w:rPr>
        <w:t xml:space="preserve">  向阳水电站前池</w:t>
      </w:r>
      <w:r>
        <w:rPr>
          <w:rFonts w:cs="宋体"/>
          <w:b/>
        </w:rPr>
        <w:t>土壤环境质量检测结果表</w:t>
      </w:r>
    </w:p>
    <w:tbl>
      <w:tblPr>
        <w:tblW w:w="5000" w:type="pct"/>
        <w:jc w:val="center"/>
        <w:tblBorders>
          <w:top w:val="single" w:sz="12" w:space="0" w:color="000000"/>
          <w:bottom w:val="single" w:sz="12" w:space="0" w:color="000000"/>
          <w:insideH w:val="single" w:sz="4" w:space="0" w:color="auto"/>
          <w:insideV w:val="single" w:sz="4" w:space="0" w:color="auto"/>
        </w:tblBorders>
        <w:tblLook w:val="04A0" w:firstRow="1" w:lastRow="0" w:firstColumn="1" w:lastColumn="0" w:noHBand="0" w:noVBand="1"/>
      </w:tblPr>
      <w:tblGrid>
        <w:gridCol w:w="2448"/>
        <w:gridCol w:w="2023"/>
        <w:gridCol w:w="2028"/>
        <w:gridCol w:w="2023"/>
      </w:tblGrid>
      <w:tr w:rsidR="009D12AF" w14:paraId="3D1E863F" w14:textId="77777777">
        <w:trPr>
          <w:trHeight w:val="340"/>
          <w:jc w:val="center"/>
        </w:trPr>
        <w:tc>
          <w:tcPr>
            <w:tcW w:w="1436" w:type="pct"/>
            <w:noWrap/>
            <w:vAlign w:val="center"/>
          </w:tcPr>
          <w:p w14:paraId="4DEF46A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检测项目</w:t>
            </w:r>
          </w:p>
        </w:tc>
        <w:tc>
          <w:tcPr>
            <w:tcW w:w="1186" w:type="pct"/>
            <w:noWrap/>
            <w:vAlign w:val="center"/>
          </w:tcPr>
          <w:p w14:paraId="6F777CEA"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w:t>
            </w:r>
            <w:r>
              <w:rPr>
                <w:rFonts w:ascii="Times New Roman" w:eastAsia="宋体" w:hAnsi="Times New Roman" w:cs="Times New Roman" w:hint="eastAsia"/>
                <w:color w:val="000000"/>
                <w:sz w:val="21"/>
                <w:szCs w:val="21"/>
              </w:rPr>
              <w:t>场区北侧</w:t>
            </w:r>
          </w:p>
        </w:tc>
        <w:tc>
          <w:tcPr>
            <w:tcW w:w="1189" w:type="pct"/>
            <w:noWrap/>
            <w:vAlign w:val="center"/>
          </w:tcPr>
          <w:p w14:paraId="560018F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w:t>
            </w:r>
            <w:r>
              <w:rPr>
                <w:rFonts w:ascii="Times New Roman" w:eastAsia="宋体" w:hAnsi="Times New Roman" w:cs="Times New Roman" w:hint="eastAsia"/>
                <w:color w:val="000000"/>
                <w:sz w:val="21"/>
                <w:szCs w:val="21"/>
              </w:rPr>
              <w:t>场区中心</w:t>
            </w:r>
          </w:p>
        </w:tc>
        <w:tc>
          <w:tcPr>
            <w:tcW w:w="1186" w:type="pct"/>
            <w:noWrap/>
            <w:vAlign w:val="center"/>
          </w:tcPr>
          <w:p w14:paraId="5CC999C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3#</w:t>
            </w:r>
            <w:r>
              <w:rPr>
                <w:rFonts w:ascii="Times New Roman" w:eastAsia="宋体" w:hAnsi="Times New Roman" w:cs="Times New Roman" w:hint="eastAsia"/>
                <w:color w:val="000000"/>
                <w:sz w:val="21"/>
                <w:szCs w:val="21"/>
              </w:rPr>
              <w:t>场区南侧</w:t>
            </w:r>
          </w:p>
        </w:tc>
      </w:tr>
      <w:tr w:rsidR="009D12AF" w14:paraId="71A23C86" w14:textId="77777777">
        <w:trPr>
          <w:trHeight w:val="340"/>
          <w:jc w:val="center"/>
        </w:trPr>
        <w:tc>
          <w:tcPr>
            <w:tcW w:w="1436" w:type="pct"/>
            <w:noWrap/>
            <w:vAlign w:val="center"/>
          </w:tcPr>
          <w:p w14:paraId="5710F5E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PH</w:t>
            </w:r>
          </w:p>
        </w:tc>
        <w:tc>
          <w:tcPr>
            <w:tcW w:w="1186" w:type="pct"/>
            <w:noWrap/>
            <w:vAlign w:val="center"/>
          </w:tcPr>
          <w:p w14:paraId="40B58E2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7.18</w:t>
            </w:r>
          </w:p>
        </w:tc>
        <w:tc>
          <w:tcPr>
            <w:tcW w:w="1189" w:type="pct"/>
            <w:noWrap/>
            <w:vAlign w:val="center"/>
          </w:tcPr>
          <w:p w14:paraId="101B711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7.28</w:t>
            </w:r>
          </w:p>
        </w:tc>
        <w:tc>
          <w:tcPr>
            <w:tcW w:w="1186" w:type="pct"/>
            <w:noWrap/>
            <w:vAlign w:val="center"/>
          </w:tcPr>
          <w:p w14:paraId="07CD7F8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7.24</w:t>
            </w:r>
          </w:p>
        </w:tc>
      </w:tr>
      <w:tr w:rsidR="009D12AF" w14:paraId="063A4753" w14:textId="77777777">
        <w:trPr>
          <w:trHeight w:val="90"/>
          <w:jc w:val="center"/>
        </w:trPr>
        <w:tc>
          <w:tcPr>
            <w:tcW w:w="1436" w:type="pct"/>
            <w:noWrap/>
            <w:vAlign w:val="center"/>
          </w:tcPr>
          <w:p w14:paraId="77F8E2C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砷（</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221FEC8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8.08</w:t>
            </w:r>
          </w:p>
        </w:tc>
        <w:tc>
          <w:tcPr>
            <w:tcW w:w="1189" w:type="pct"/>
            <w:noWrap/>
            <w:vAlign w:val="center"/>
          </w:tcPr>
          <w:p w14:paraId="3DC24FA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6.68</w:t>
            </w:r>
          </w:p>
        </w:tc>
        <w:tc>
          <w:tcPr>
            <w:tcW w:w="1186" w:type="pct"/>
            <w:noWrap/>
            <w:vAlign w:val="center"/>
          </w:tcPr>
          <w:p w14:paraId="6276E4F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6.51</w:t>
            </w:r>
          </w:p>
        </w:tc>
      </w:tr>
      <w:tr w:rsidR="009D12AF" w14:paraId="78E6F7D5" w14:textId="77777777">
        <w:trPr>
          <w:trHeight w:val="340"/>
          <w:jc w:val="center"/>
        </w:trPr>
        <w:tc>
          <w:tcPr>
            <w:tcW w:w="1436" w:type="pct"/>
            <w:noWrap/>
            <w:vAlign w:val="center"/>
          </w:tcPr>
          <w:p w14:paraId="04CEF71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镉（</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12EA398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0.10</w:t>
            </w:r>
          </w:p>
        </w:tc>
        <w:tc>
          <w:tcPr>
            <w:tcW w:w="1189" w:type="pct"/>
            <w:noWrap/>
            <w:vAlign w:val="center"/>
          </w:tcPr>
          <w:p w14:paraId="3EAE83E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0.10</w:t>
            </w:r>
          </w:p>
        </w:tc>
        <w:tc>
          <w:tcPr>
            <w:tcW w:w="1186" w:type="pct"/>
            <w:noWrap/>
            <w:vAlign w:val="center"/>
          </w:tcPr>
          <w:p w14:paraId="480813A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0.11</w:t>
            </w:r>
          </w:p>
        </w:tc>
      </w:tr>
      <w:tr w:rsidR="009D12AF" w14:paraId="4ED50336" w14:textId="77777777">
        <w:trPr>
          <w:trHeight w:val="340"/>
          <w:jc w:val="center"/>
        </w:trPr>
        <w:tc>
          <w:tcPr>
            <w:tcW w:w="1436" w:type="pct"/>
            <w:noWrap/>
            <w:vAlign w:val="center"/>
          </w:tcPr>
          <w:p w14:paraId="4FBEA47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铜（</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5FB8F77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17</w:t>
            </w:r>
          </w:p>
        </w:tc>
        <w:tc>
          <w:tcPr>
            <w:tcW w:w="1189" w:type="pct"/>
            <w:noWrap/>
            <w:vAlign w:val="center"/>
          </w:tcPr>
          <w:p w14:paraId="55FBA3C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21</w:t>
            </w:r>
          </w:p>
        </w:tc>
        <w:tc>
          <w:tcPr>
            <w:tcW w:w="1186" w:type="pct"/>
            <w:noWrap/>
            <w:vAlign w:val="center"/>
          </w:tcPr>
          <w:p w14:paraId="31C788BA"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20</w:t>
            </w:r>
          </w:p>
        </w:tc>
      </w:tr>
      <w:tr w:rsidR="009D12AF" w14:paraId="429A8BC9" w14:textId="77777777">
        <w:trPr>
          <w:trHeight w:val="340"/>
          <w:jc w:val="center"/>
        </w:trPr>
        <w:tc>
          <w:tcPr>
            <w:tcW w:w="1436" w:type="pct"/>
            <w:noWrap/>
            <w:vAlign w:val="center"/>
          </w:tcPr>
          <w:p w14:paraId="5CE91EE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铅（</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76549B6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13.6</w:t>
            </w:r>
          </w:p>
        </w:tc>
        <w:tc>
          <w:tcPr>
            <w:tcW w:w="1189" w:type="pct"/>
            <w:noWrap/>
            <w:vAlign w:val="center"/>
          </w:tcPr>
          <w:p w14:paraId="26D9A8F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16.2</w:t>
            </w:r>
          </w:p>
        </w:tc>
        <w:tc>
          <w:tcPr>
            <w:tcW w:w="1186" w:type="pct"/>
            <w:noWrap/>
            <w:vAlign w:val="center"/>
          </w:tcPr>
          <w:p w14:paraId="0732CAC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15.0</w:t>
            </w:r>
          </w:p>
        </w:tc>
      </w:tr>
      <w:tr w:rsidR="009D12AF" w14:paraId="2B5F2C74" w14:textId="77777777">
        <w:trPr>
          <w:trHeight w:val="340"/>
          <w:jc w:val="center"/>
        </w:trPr>
        <w:tc>
          <w:tcPr>
            <w:tcW w:w="1436" w:type="pct"/>
            <w:noWrap/>
            <w:vAlign w:val="center"/>
          </w:tcPr>
          <w:p w14:paraId="3DF1872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汞（</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75DA6A3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0.123</w:t>
            </w:r>
          </w:p>
        </w:tc>
        <w:tc>
          <w:tcPr>
            <w:tcW w:w="1189" w:type="pct"/>
            <w:noWrap/>
            <w:vAlign w:val="center"/>
          </w:tcPr>
          <w:p w14:paraId="5729764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0.116</w:t>
            </w:r>
          </w:p>
        </w:tc>
        <w:tc>
          <w:tcPr>
            <w:tcW w:w="1186" w:type="pct"/>
            <w:noWrap/>
            <w:vAlign w:val="center"/>
          </w:tcPr>
          <w:p w14:paraId="6CAC5C5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0.120</w:t>
            </w:r>
          </w:p>
        </w:tc>
      </w:tr>
      <w:tr w:rsidR="009D12AF" w14:paraId="3E6D002B" w14:textId="77777777">
        <w:trPr>
          <w:trHeight w:val="340"/>
          <w:jc w:val="center"/>
        </w:trPr>
        <w:tc>
          <w:tcPr>
            <w:tcW w:w="1436" w:type="pct"/>
            <w:noWrap/>
            <w:vAlign w:val="center"/>
          </w:tcPr>
          <w:p w14:paraId="7D39367A"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镍（</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16EBEC7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16</w:t>
            </w:r>
          </w:p>
        </w:tc>
        <w:tc>
          <w:tcPr>
            <w:tcW w:w="1189" w:type="pct"/>
            <w:noWrap/>
            <w:vAlign w:val="center"/>
          </w:tcPr>
          <w:p w14:paraId="73DA8A4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18</w:t>
            </w:r>
          </w:p>
        </w:tc>
        <w:tc>
          <w:tcPr>
            <w:tcW w:w="1186" w:type="pct"/>
            <w:noWrap/>
            <w:vAlign w:val="center"/>
          </w:tcPr>
          <w:p w14:paraId="21F7E73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17</w:t>
            </w:r>
          </w:p>
        </w:tc>
      </w:tr>
      <w:tr w:rsidR="009D12AF" w14:paraId="5B5B0246" w14:textId="77777777">
        <w:trPr>
          <w:trHeight w:val="340"/>
          <w:jc w:val="center"/>
        </w:trPr>
        <w:tc>
          <w:tcPr>
            <w:tcW w:w="1436" w:type="pct"/>
            <w:noWrap/>
            <w:vAlign w:val="center"/>
          </w:tcPr>
          <w:p w14:paraId="76AC426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铬（</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497BEF3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29</w:t>
            </w:r>
          </w:p>
        </w:tc>
        <w:tc>
          <w:tcPr>
            <w:tcW w:w="1189" w:type="pct"/>
            <w:noWrap/>
            <w:vAlign w:val="center"/>
          </w:tcPr>
          <w:p w14:paraId="3293DDD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32</w:t>
            </w:r>
          </w:p>
        </w:tc>
        <w:tc>
          <w:tcPr>
            <w:tcW w:w="1186" w:type="pct"/>
            <w:noWrap/>
            <w:vAlign w:val="center"/>
          </w:tcPr>
          <w:p w14:paraId="6DB1DC3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30</w:t>
            </w:r>
          </w:p>
        </w:tc>
      </w:tr>
      <w:tr w:rsidR="009D12AF" w14:paraId="686C1C0F" w14:textId="77777777">
        <w:trPr>
          <w:trHeight w:val="340"/>
          <w:jc w:val="center"/>
        </w:trPr>
        <w:tc>
          <w:tcPr>
            <w:tcW w:w="1436" w:type="pct"/>
            <w:noWrap/>
            <w:vAlign w:val="center"/>
          </w:tcPr>
          <w:p w14:paraId="4D7329D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锌（</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56192B5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78</w:t>
            </w:r>
          </w:p>
        </w:tc>
        <w:tc>
          <w:tcPr>
            <w:tcW w:w="1189" w:type="pct"/>
            <w:noWrap/>
            <w:vAlign w:val="center"/>
          </w:tcPr>
          <w:p w14:paraId="1E9FB93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82</w:t>
            </w:r>
          </w:p>
        </w:tc>
        <w:tc>
          <w:tcPr>
            <w:tcW w:w="1186" w:type="pct"/>
            <w:noWrap/>
            <w:vAlign w:val="center"/>
          </w:tcPr>
          <w:p w14:paraId="70903C7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79</w:t>
            </w:r>
          </w:p>
        </w:tc>
      </w:tr>
      <w:tr w:rsidR="009D12AF" w14:paraId="58848EAC" w14:textId="77777777">
        <w:trPr>
          <w:trHeight w:val="340"/>
          <w:jc w:val="center"/>
        </w:trPr>
        <w:tc>
          <w:tcPr>
            <w:tcW w:w="1436" w:type="pct"/>
            <w:noWrap/>
          </w:tcPr>
          <w:p w14:paraId="167D5746" w14:textId="77777777" w:rsidR="009D12AF" w:rsidRDefault="00000000">
            <w:pPr>
              <w:pStyle w:val="a0"/>
              <w:ind w:firstLineChars="0" w:firstLine="0"/>
              <w:rPr>
                <w:rFonts w:ascii="Times New Roman" w:eastAsia="宋体" w:hAnsi="Times New Roman" w:cs="Times New Roman"/>
                <w:color w:val="000000"/>
              </w:rPr>
            </w:pPr>
            <w:r>
              <w:rPr>
                <w:rFonts w:hint="eastAsia"/>
              </w:rPr>
              <w:t>六六六总量</w:t>
            </w:r>
          </w:p>
        </w:tc>
        <w:tc>
          <w:tcPr>
            <w:tcW w:w="2023" w:type="dxa"/>
            <w:noWrap/>
            <w:vAlign w:val="center"/>
          </w:tcPr>
          <w:p w14:paraId="6189DA8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1189" w:type="pct"/>
            <w:noWrap/>
            <w:vAlign w:val="center"/>
          </w:tcPr>
          <w:p w14:paraId="0090DBB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2023" w:type="dxa"/>
            <w:noWrap/>
            <w:vAlign w:val="center"/>
          </w:tcPr>
          <w:p w14:paraId="504A96B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r>
      <w:tr w:rsidR="009D12AF" w14:paraId="66D86E25" w14:textId="77777777">
        <w:trPr>
          <w:trHeight w:val="340"/>
          <w:jc w:val="center"/>
        </w:trPr>
        <w:tc>
          <w:tcPr>
            <w:tcW w:w="1436" w:type="pct"/>
            <w:noWrap/>
          </w:tcPr>
          <w:p w14:paraId="70623785" w14:textId="77777777" w:rsidR="009D12AF" w:rsidRDefault="00000000">
            <w:pPr>
              <w:pStyle w:val="a0"/>
              <w:ind w:firstLineChars="0" w:firstLine="0"/>
              <w:rPr>
                <w:rFonts w:ascii="Times New Roman" w:eastAsia="宋体" w:hAnsi="Times New Roman" w:cs="Times New Roman"/>
                <w:color w:val="000000"/>
              </w:rPr>
            </w:pPr>
            <w:r>
              <w:rPr>
                <w:rFonts w:hint="eastAsia"/>
              </w:rPr>
              <w:t>滴滴涕总量</w:t>
            </w:r>
          </w:p>
        </w:tc>
        <w:tc>
          <w:tcPr>
            <w:tcW w:w="2023" w:type="dxa"/>
            <w:noWrap/>
            <w:vAlign w:val="center"/>
          </w:tcPr>
          <w:p w14:paraId="02F8DDC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1189" w:type="pct"/>
            <w:noWrap/>
            <w:vAlign w:val="center"/>
          </w:tcPr>
          <w:p w14:paraId="2060197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2023" w:type="dxa"/>
            <w:noWrap/>
            <w:vAlign w:val="center"/>
          </w:tcPr>
          <w:p w14:paraId="21BCE63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r>
      <w:tr w:rsidR="009D12AF" w14:paraId="13A380F0" w14:textId="77777777">
        <w:trPr>
          <w:trHeight w:val="340"/>
          <w:jc w:val="center"/>
        </w:trPr>
        <w:tc>
          <w:tcPr>
            <w:tcW w:w="1436" w:type="pct"/>
            <w:noWrap/>
          </w:tcPr>
          <w:p w14:paraId="18067B0E" w14:textId="77777777" w:rsidR="009D12AF" w:rsidRDefault="00000000">
            <w:pPr>
              <w:pStyle w:val="a0"/>
              <w:ind w:firstLineChars="0" w:firstLine="0"/>
              <w:rPr>
                <w:rFonts w:ascii="Times New Roman" w:eastAsia="宋体" w:hAnsi="Times New Roman" w:cs="Times New Roman"/>
                <w:color w:val="000000"/>
              </w:rPr>
            </w:pPr>
            <w:r>
              <w:rPr>
                <w:rFonts w:hint="eastAsia"/>
              </w:rPr>
              <w:t>苯并[a]芘</w:t>
            </w:r>
          </w:p>
        </w:tc>
        <w:tc>
          <w:tcPr>
            <w:tcW w:w="2023" w:type="dxa"/>
            <w:noWrap/>
            <w:vAlign w:val="center"/>
          </w:tcPr>
          <w:p w14:paraId="4BAB73F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1189" w:type="pct"/>
            <w:noWrap/>
            <w:vAlign w:val="center"/>
          </w:tcPr>
          <w:p w14:paraId="0B8DC20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2023" w:type="dxa"/>
            <w:noWrap/>
            <w:vAlign w:val="center"/>
          </w:tcPr>
          <w:p w14:paraId="585A19FA"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r>
    </w:tbl>
    <w:p w14:paraId="029626FF" w14:textId="77777777" w:rsidR="009D12AF" w:rsidRDefault="00000000">
      <w:pPr>
        <w:pStyle w:val="a9"/>
        <w:adjustRightInd w:val="0"/>
        <w:snapToGrid w:val="0"/>
        <w:ind w:firstLine="482"/>
        <w:jc w:val="center"/>
        <w:rPr>
          <w:rFonts w:cs="宋体"/>
          <w:b/>
          <w:highlight w:val="yellow"/>
        </w:rPr>
      </w:pPr>
      <w:r>
        <w:rPr>
          <w:rFonts w:cs="宋体"/>
          <w:b/>
        </w:rPr>
        <w:t>表</w:t>
      </w:r>
      <w:r>
        <w:rPr>
          <w:rFonts w:asciiTheme="minorHAnsi" w:hAnsiTheme="minorHAnsi" w:cs="宋体" w:hint="eastAsia"/>
          <w:b/>
          <w:kern w:val="2"/>
          <w:szCs w:val="24"/>
        </w:rPr>
        <w:t>4.3-30</w:t>
      </w:r>
      <w:r>
        <w:rPr>
          <w:rFonts w:cs="宋体" w:hint="eastAsia"/>
          <w:b/>
        </w:rPr>
        <w:t xml:space="preserve">  群力水库</w:t>
      </w:r>
      <w:r>
        <w:rPr>
          <w:rFonts w:cs="宋体"/>
          <w:b/>
        </w:rPr>
        <w:t>土壤环境质量检测结果表</w:t>
      </w:r>
    </w:p>
    <w:tbl>
      <w:tblPr>
        <w:tblW w:w="5000" w:type="pct"/>
        <w:jc w:val="center"/>
        <w:tblBorders>
          <w:top w:val="single" w:sz="12" w:space="0" w:color="000000"/>
          <w:bottom w:val="single" w:sz="12" w:space="0" w:color="000000"/>
          <w:insideH w:val="single" w:sz="4" w:space="0" w:color="auto"/>
          <w:insideV w:val="single" w:sz="4" w:space="0" w:color="auto"/>
        </w:tblBorders>
        <w:tblLook w:val="04A0" w:firstRow="1" w:lastRow="0" w:firstColumn="1" w:lastColumn="0" w:noHBand="0" w:noVBand="1"/>
      </w:tblPr>
      <w:tblGrid>
        <w:gridCol w:w="2448"/>
        <w:gridCol w:w="2023"/>
        <w:gridCol w:w="2028"/>
        <w:gridCol w:w="2023"/>
      </w:tblGrid>
      <w:tr w:rsidR="009D12AF" w14:paraId="16207A69" w14:textId="77777777">
        <w:trPr>
          <w:trHeight w:val="340"/>
          <w:jc w:val="center"/>
        </w:trPr>
        <w:tc>
          <w:tcPr>
            <w:tcW w:w="1436" w:type="pct"/>
            <w:noWrap/>
            <w:vAlign w:val="center"/>
          </w:tcPr>
          <w:p w14:paraId="5562B3C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检测项目</w:t>
            </w:r>
          </w:p>
        </w:tc>
        <w:tc>
          <w:tcPr>
            <w:tcW w:w="1186" w:type="pct"/>
            <w:noWrap/>
            <w:vAlign w:val="center"/>
          </w:tcPr>
          <w:p w14:paraId="469749B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w:t>
            </w:r>
            <w:r>
              <w:rPr>
                <w:rFonts w:ascii="Times New Roman" w:eastAsia="宋体" w:hAnsi="Times New Roman" w:cs="Times New Roman" w:hint="eastAsia"/>
                <w:color w:val="000000"/>
                <w:sz w:val="21"/>
                <w:szCs w:val="21"/>
              </w:rPr>
              <w:t>场区南侧</w:t>
            </w:r>
          </w:p>
        </w:tc>
        <w:tc>
          <w:tcPr>
            <w:tcW w:w="1189" w:type="pct"/>
            <w:noWrap/>
            <w:vAlign w:val="center"/>
          </w:tcPr>
          <w:p w14:paraId="34F39DF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w:t>
            </w:r>
            <w:r>
              <w:rPr>
                <w:rFonts w:ascii="Times New Roman" w:eastAsia="宋体" w:hAnsi="Times New Roman" w:cs="Times New Roman" w:hint="eastAsia"/>
                <w:color w:val="000000"/>
                <w:sz w:val="21"/>
                <w:szCs w:val="21"/>
              </w:rPr>
              <w:t>场区东侧</w:t>
            </w:r>
          </w:p>
        </w:tc>
        <w:tc>
          <w:tcPr>
            <w:tcW w:w="1186" w:type="pct"/>
            <w:noWrap/>
            <w:vAlign w:val="center"/>
          </w:tcPr>
          <w:p w14:paraId="0100C8B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3#</w:t>
            </w:r>
            <w:r>
              <w:rPr>
                <w:rFonts w:ascii="Times New Roman" w:eastAsia="宋体" w:hAnsi="Times New Roman" w:cs="Times New Roman" w:hint="eastAsia"/>
                <w:color w:val="000000"/>
                <w:sz w:val="21"/>
                <w:szCs w:val="21"/>
              </w:rPr>
              <w:t>场区中心</w:t>
            </w:r>
          </w:p>
        </w:tc>
      </w:tr>
      <w:tr w:rsidR="009D12AF" w14:paraId="4607CABA" w14:textId="77777777">
        <w:trPr>
          <w:trHeight w:val="340"/>
          <w:jc w:val="center"/>
        </w:trPr>
        <w:tc>
          <w:tcPr>
            <w:tcW w:w="1436" w:type="pct"/>
            <w:noWrap/>
            <w:vAlign w:val="center"/>
          </w:tcPr>
          <w:p w14:paraId="7704B98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PH</w:t>
            </w:r>
          </w:p>
        </w:tc>
        <w:tc>
          <w:tcPr>
            <w:tcW w:w="1186" w:type="pct"/>
            <w:noWrap/>
            <w:vAlign w:val="center"/>
          </w:tcPr>
          <w:p w14:paraId="0B4E5BE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7.12</w:t>
            </w:r>
          </w:p>
        </w:tc>
        <w:tc>
          <w:tcPr>
            <w:tcW w:w="1189" w:type="pct"/>
            <w:noWrap/>
            <w:vAlign w:val="center"/>
          </w:tcPr>
          <w:p w14:paraId="582885B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7.28</w:t>
            </w:r>
          </w:p>
        </w:tc>
        <w:tc>
          <w:tcPr>
            <w:tcW w:w="1186" w:type="pct"/>
            <w:noWrap/>
            <w:vAlign w:val="center"/>
          </w:tcPr>
          <w:p w14:paraId="259E53F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7.23</w:t>
            </w:r>
          </w:p>
        </w:tc>
      </w:tr>
      <w:tr w:rsidR="009D12AF" w14:paraId="6EFDA465" w14:textId="77777777">
        <w:trPr>
          <w:trHeight w:val="90"/>
          <w:jc w:val="center"/>
        </w:trPr>
        <w:tc>
          <w:tcPr>
            <w:tcW w:w="1436" w:type="pct"/>
            <w:noWrap/>
            <w:vAlign w:val="center"/>
          </w:tcPr>
          <w:p w14:paraId="33F90A8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砷（</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741699E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7.34</w:t>
            </w:r>
          </w:p>
        </w:tc>
        <w:tc>
          <w:tcPr>
            <w:tcW w:w="1189" w:type="pct"/>
            <w:noWrap/>
            <w:vAlign w:val="center"/>
          </w:tcPr>
          <w:p w14:paraId="221B85E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7.04</w:t>
            </w:r>
          </w:p>
        </w:tc>
        <w:tc>
          <w:tcPr>
            <w:tcW w:w="1186" w:type="pct"/>
            <w:noWrap/>
            <w:vAlign w:val="center"/>
          </w:tcPr>
          <w:p w14:paraId="14ED4F0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8.21</w:t>
            </w:r>
          </w:p>
        </w:tc>
      </w:tr>
      <w:tr w:rsidR="009D12AF" w14:paraId="1367A82F" w14:textId="77777777">
        <w:trPr>
          <w:trHeight w:val="340"/>
          <w:jc w:val="center"/>
        </w:trPr>
        <w:tc>
          <w:tcPr>
            <w:tcW w:w="1436" w:type="pct"/>
            <w:noWrap/>
            <w:vAlign w:val="center"/>
          </w:tcPr>
          <w:p w14:paraId="1398A34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镉（</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61BC22D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0.10</w:t>
            </w:r>
          </w:p>
        </w:tc>
        <w:tc>
          <w:tcPr>
            <w:tcW w:w="1189" w:type="pct"/>
            <w:noWrap/>
            <w:vAlign w:val="center"/>
          </w:tcPr>
          <w:p w14:paraId="0990B83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0.10</w:t>
            </w:r>
          </w:p>
        </w:tc>
        <w:tc>
          <w:tcPr>
            <w:tcW w:w="1186" w:type="pct"/>
            <w:noWrap/>
            <w:vAlign w:val="center"/>
          </w:tcPr>
          <w:p w14:paraId="0FF70AD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0.16</w:t>
            </w:r>
          </w:p>
        </w:tc>
      </w:tr>
      <w:tr w:rsidR="009D12AF" w14:paraId="564B1B9A" w14:textId="77777777">
        <w:trPr>
          <w:trHeight w:val="340"/>
          <w:jc w:val="center"/>
        </w:trPr>
        <w:tc>
          <w:tcPr>
            <w:tcW w:w="1436" w:type="pct"/>
            <w:noWrap/>
            <w:vAlign w:val="center"/>
          </w:tcPr>
          <w:p w14:paraId="0AABD0E5"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铜（</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7C798F0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18</w:t>
            </w:r>
          </w:p>
        </w:tc>
        <w:tc>
          <w:tcPr>
            <w:tcW w:w="1189" w:type="pct"/>
            <w:noWrap/>
            <w:vAlign w:val="center"/>
          </w:tcPr>
          <w:p w14:paraId="5E719F7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17</w:t>
            </w:r>
          </w:p>
        </w:tc>
        <w:tc>
          <w:tcPr>
            <w:tcW w:w="1186" w:type="pct"/>
            <w:noWrap/>
            <w:vAlign w:val="center"/>
          </w:tcPr>
          <w:p w14:paraId="4800806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21</w:t>
            </w:r>
          </w:p>
        </w:tc>
      </w:tr>
      <w:tr w:rsidR="009D12AF" w14:paraId="0841F94A" w14:textId="77777777">
        <w:trPr>
          <w:trHeight w:val="340"/>
          <w:jc w:val="center"/>
        </w:trPr>
        <w:tc>
          <w:tcPr>
            <w:tcW w:w="1436" w:type="pct"/>
            <w:noWrap/>
            <w:vAlign w:val="center"/>
          </w:tcPr>
          <w:p w14:paraId="1A6ECC8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铅（</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27A8E18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11.6</w:t>
            </w:r>
          </w:p>
        </w:tc>
        <w:tc>
          <w:tcPr>
            <w:tcW w:w="1189" w:type="pct"/>
            <w:noWrap/>
            <w:vAlign w:val="center"/>
          </w:tcPr>
          <w:p w14:paraId="14E108B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11.9</w:t>
            </w:r>
          </w:p>
        </w:tc>
        <w:tc>
          <w:tcPr>
            <w:tcW w:w="1186" w:type="pct"/>
            <w:noWrap/>
            <w:vAlign w:val="center"/>
          </w:tcPr>
          <w:p w14:paraId="1818BE1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15.9</w:t>
            </w:r>
          </w:p>
        </w:tc>
      </w:tr>
      <w:tr w:rsidR="009D12AF" w14:paraId="34FE5666" w14:textId="77777777">
        <w:trPr>
          <w:trHeight w:val="340"/>
          <w:jc w:val="center"/>
        </w:trPr>
        <w:tc>
          <w:tcPr>
            <w:tcW w:w="1436" w:type="pct"/>
            <w:noWrap/>
            <w:vAlign w:val="center"/>
          </w:tcPr>
          <w:p w14:paraId="6605397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汞（</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7179684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0.126</w:t>
            </w:r>
          </w:p>
        </w:tc>
        <w:tc>
          <w:tcPr>
            <w:tcW w:w="1189" w:type="pct"/>
            <w:noWrap/>
            <w:vAlign w:val="center"/>
          </w:tcPr>
          <w:p w14:paraId="59A38AB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0.136</w:t>
            </w:r>
          </w:p>
        </w:tc>
        <w:tc>
          <w:tcPr>
            <w:tcW w:w="1186" w:type="pct"/>
            <w:noWrap/>
            <w:vAlign w:val="center"/>
          </w:tcPr>
          <w:p w14:paraId="720E9887"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0.126</w:t>
            </w:r>
          </w:p>
        </w:tc>
      </w:tr>
      <w:tr w:rsidR="009D12AF" w14:paraId="48D7FA17" w14:textId="77777777">
        <w:trPr>
          <w:trHeight w:val="340"/>
          <w:jc w:val="center"/>
        </w:trPr>
        <w:tc>
          <w:tcPr>
            <w:tcW w:w="1436" w:type="pct"/>
            <w:noWrap/>
            <w:vAlign w:val="center"/>
          </w:tcPr>
          <w:p w14:paraId="1C455B8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镍（</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2BD40C2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16</w:t>
            </w:r>
          </w:p>
        </w:tc>
        <w:tc>
          <w:tcPr>
            <w:tcW w:w="1189" w:type="pct"/>
            <w:noWrap/>
            <w:vAlign w:val="center"/>
          </w:tcPr>
          <w:p w14:paraId="00E3E98D"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18</w:t>
            </w:r>
          </w:p>
        </w:tc>
        <w:tc>
          <w:tcPr>
            <w:tcW w:w="1186" w:type="pct"/>
            <w:noWrap/>
            <w:vAlign w:val="center"/>
          </w:tcPr>
          <w:p w14:paraId="42837979"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22</w:t>
            </w:r>
          </w:p>
        </w:tc>
      </w:tr>
      <w:tr w:rsidR="009D12AF" w14:paraId="606CD1B8" w14:textId="77777777">
        <w:trPr>
          <w:trHeight w:val="340"/>
          <w:jc w:val="center"/>
        </w:trPr>
        <w:tc>
          <w:tcPr>
            <w:tcW w:w="1436" w:type="pct"/>
            <w:noWrap/>
            <w:vAlign w:val="center"/>
          </w:tcPr>
          <w:p w14:paraId="20A20F3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lastRenderedPageBreak/>
              <w:t>铬（</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042E4FB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25</w:t>
            </w:r>
          </w:p>
        </w:tc>
        <w:tc>
          <w:tcPr>
            <w:tcW w:w="1189" w:type="pct"/>
            <w:noWrap/>
            <w:vAlign w:val="center"/>
          </w:tcPr>
          <w:p w14:paraId="7FB471F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26</w:t>
            </w:r>
          </w:p>
        </w:tc>
        <w:tc>
          <w:tcPr>
            <w:tcW w:w="1186" w:type="pct"/>
            <w:noWrap/>
            <w:vAlign w:val="center"/>
          </w:tcPr>
          <w:p w14:paraId="48863A06"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32</w:t>
            </w:r>
          </w:p>
        </w:tc>
      </w:tr>
      <w:tr w:rsidR="009D12AF" w14:paraId="6F230401" w14:textId="77777777">
        <w:trPr>
          <w:trHeight w:val="340"/>
          <w:jc w:val="center"/>
        </w:trPr>
        <w:tc>
          <w:tcPr>
            <w:tcW w:w="1436" w:type="pct"/>
            <w:noWrap/>
            <w:vAlign w:val="center"/>
          </w:tcPr>
          <w:p w14:paraId="49B65C01"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锌（</w:t>
            </w:r>
            <w:r>
              <w:rPr>
                <w:rFonts w:ascii="Times New Roman" w:eastAsia="宋体" w:hAnsi="Times New Roman" w:cs="Times New Roman" w:hint="eastAsia"/>
                <w:color w:val="000000"/>
                <w:sz w:val="21"/>
                <w:szCs w:val="21"/>
              </w:rPr>
              <w:t>mg/kg</w:t>
            </w:r>
            <w:r>
              <w:rPr>
                <w:rFonts w:ascii="Times New Roman" w:eastAsia="宋体" w:hAnsi="Times New Roman" w:cs="Times New Roman" w:hint="eastAsia"/>
                <w:color w:val="000000"/>
                <w:sz w:val="21"/>
                <w:szCs w:val="21"/>
              </w:rPr>
              <w:t>）</w:t>
            </w:r>
          </w:p>
        </w:tc>
        <w:tc>
          <w:tcPr>
            <w:tcW w:w="1186" w:type="pct"/>
            <w:noWrap/>
            <w:vAlign w:val="center"/>
          </w:tcPr>
          <w:p w14:paraId="73F47C3C"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74</w:t>
            </w:r>
          </w:p>
        </w:tc>
        <w:tc>
          <w:tcPr>
            <w:tcW w:w="1189" w:type="pct"/>
            <w:noWrap/>
            <w:vAlign w:val="center"/>
          </w:tcPr>
          <w:p w14:paraId="054EFCE4"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77</w:t>
            </w:r>
          </w:p>
        </w:tc>
        <w:tc>
          <w:tcPr>
            <w:tcW w:w="1186" w:type="pct"/>
            <w:noWrap/>
            <w:vAlign w:val="center"/>
          </w:tcPr>
          <w:p w14:paraId="42486A4E"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90</w:t>
            </w:r>
          </w:p>
        </w:tc>
      </w:tr>
      <w:tr w:rsidR="009D12AF" w14:paraId="61171A10" w14:textId="77777777">
        <w:trPr>
          <w:trHeight w:val="340"/>
          <w:jc w:val="center"/>
        </w:trPr>
        <w:tc>
          <w:tcPr>
            <w:tcW w:w="1436" w:type="pct"/>
            <w:noWrap/>
          </w:tcPr>
          <w:p w14:paraId="2D5D9A1E" w14:textId="77777777" w:rsidR="009D12AF" w:rsidRDefault="00000000">
            <w:pPr>
              <w:pStyle w:val="a0"/>
              <w:ind w:firstLineChars="0" w:firstLine="0"/>
              <w:rPr>
                <w:rFonts w:ascii="Times New Roman" w:eastAsia="宋体" w:hAnsi="Times New Roman" w:cs="Times New Roman"/>
                <w:color w:val="000000"/>
              </w:rPr>
            </w:pPr>
            <w:r>
              <w:rPr>
                <w:rFonts w:hint="eastAsia"/>
              </w:rPr>
              <w:t>六六六总量</w:t>
            </w:r>
          </w:p>
        </w:tc>
        <w:tc>
          <w:tcPr>
            <w:tcW w:w="2023" w:type="dxa"/>
            <w:noWrap/>
            <w:vAlign w:val="center"/>
          </w:tcPr>
          <w:p w14:paraId="7AEE3F3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1189" w:type="pct"/>
            <w:noWrap/>
            <w:vAlign w:val="center"/>
          </w:tcPr>
          <w:p w14:paraId="20FB5A4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2023" w:type="dxa"/>
            <w:noWrap/>
            <w:vAlign w:val="center"/>
          </w:tcPr>
          <w:p w14:paraId="65C2111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r>
      <w:tr w:rsidR="009D12AF" w14:paraId="03CA006D" w14:textId="77777777">
        <w:trPr>
          <w:trHeight w:val="340"/>
          <w:jc w:val="center"/>
        </w:trPr>
        <w:tc>
          <w:tcPr>
            <w:tcW w:w="1436" w:type="pct"/>
            <w:noWrap/>
          </w:tcPr>
          <w:p w14:paraId="4E4FCF2C" w14:textId="77777777" w:rsidR="009D12AF" w:rsidRDefault="00000000">
            <w:pPr>
              <w:pStyle w:val="a0"/>
              <w:ind w:firstLineChars="0" w:firstLine="0"/>
              <w:rPr>
                <w:rFonts w:ascii="Times New Roman" w:eastAsia="宋体" w:hAnsi="Times New Roman" w:cs="Times New Roman"/>
                <w:color w:val="000000"/>
              </w:rPr>
            </w:pPr>
            <w:r>
              <w:rPr>
                <w:rFonts w:hint="eastAsia"/>
              </w:rPr>
              <w:t>滴滴涕总量</w:t>
            </w:r>
          </w:p>
        </w:tc>
        <w:tc>
          <w:tcPr>
            <w:tcW w:w="2023" w:type="dxa"/>
            <w:noWrap/>
            <w:vAlign w:val="center"/>
          </w:tcPr>
          <w:p w14:paraId="66CBB26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1189" w:type="pct"/>
            <w:noWrap/>
            <w:vAlign w:val="center"/>
          </w:tcPr>
          <w:p w14:paraId="2F874CEB"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2023" w:type="dxa"/>
            <w:noWrap/>
            <w:vAlign w:val="center"/>
          </w:tcPr>
          <w:p w14:paraId="749E9BC0"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r>
      <w:tr w:rsidR="009D12AF" w14:paraId="01D9C5E7" w14:textId="77777777">
        <w:trPr>
          <w:trHeight w:val="340"/>
          <w:jc w:val="center"/>
        </w:trPr>
        <w:tc>
          <w:tcPr>
            <w:tcW w:w="1436" w:type="pct"/>
            <w:noWrap/>
          </w:tcPr>
          <w:p w14:paraId="777F09D2" w14:textId="77777777" w:rsidR="009D12AF" w:rsidRDefault="00000000">
            <w:pPr>
              <w:pStyle w:val="a0"/>
              <w:ind w:firstLineChars="0" w:firstLine="0"/>
              <w:rPr>
                <w:rFonts w:ascii="Times New Roman" w:eastAsia="宋体" w:hAnsi="Times New Roman" w:cs="Times New Roman"/>
                <w:color w:val="000000"/>
              </w:rPr>
            </w:pPr>
            <w:r>
              <w:rPr>
                <w:rFonts w:hint="eastAsia"/>
              </w:rPr>
              <w:t>苯并[a]芘</w:t>
            </w:r>
          </w:p>
        </w:tc>
        <w:tc>
          <w:tcPr>
            <w:tcW w:w="2023" w:type="dxa"/>
            <w:noWrap/>
            <w:vAlign w:val="center"/>
          </w:tcPr>
          <w:p w14:paraId="5FA8AE48"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1189" w:type="pct"/>
            <w:noWrap/>
            <w:vAlign w:val="center"/>
          </w:tcPr>
          <w:p w14:paraId="6532D6B2"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c>
          <w:tcPr>
            <w:tcW w:w="2023" w:type="dxa"/>
            <w:noWrap/>
            <w:vAlign w:val="center"/>
          </w:tcPr>
          <w:p w14:paraId="6A6362FF" w14:textId="77777777" w:rsidR="009D12AF" w:rsidRDefault="00000000">
            <w:pPr>
              <w:widowControl/>
              <w:ind w:firstLineChars="0" w:firstLine="0"/>
              <w:jc w:val="center"/>
              <w:textAlignment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未检出</w:t>
            </w:r>
          </w:p>
        </w:tc>
      </w:tr>
    </w:tbl>
    <w:p w14:paraId="1A89ECA9" w14:textId="77777777" w:rsidR="009D12AF" w:rsidRDefault="00000000">
      <w:pPr>
        <w:pStyle w:val="a9"/>
        <w:adjustRightInd w:val="0"/>
        <w:snapToGrid w:val="0"/>
        <w:ind w:firstLine="482"/>
        <w:rPr>
          <w:rFonts w:ascii="Times New Roman" w:hAnsi="Times New Roman"/>
          <w:b/>
          <w:bCs/>
          <w:szCs w:val="24"/>
        </w:rPr>
      </w:pPr>
      <w:r>
        <w:rPr>
          <w:rFonts w:ascii="Times New Roman" w:hAnsi="Times New Roman" w:hint="eastAsia"/>
          <w:b/>
          <w:bCs/>
          <w:szCs w:val="24"/>
        </w:rPr>
        <w:t>4</w:t>
      </w:r>
      <w:r>
        <w:rPr>
          <w:rFonts w:ascii="Times New Roman" w:hAnsi="Times New Roman" w:hint="eastAsia"/>
          <w:b/>
          <w:bCs/>
          <w:szCs w:val="24"/>
        </w:rPr>
        <w:t>、土壤环境现状评价</w:t>
      </w:r>
    </w:p>
    <w:p w14:paraId="3848DCA6" w14:textId="77777777" w:rsidR="009D12AF" w:rsidRDefault="00000000">
      <w:pPr>
        <w:ind w:firstLine="480"/>
      </w:pPr>
      <w:r>
        <w:rPr>
          <w:rFonts w:hint="eastAsia"/>
        </w:rPr>
        <w:t>1</w:t>
      </w:r>
      <w:r>
        <w:rPr>
          <w:rFonts w:hint="eastAsia"/>
        </w:rPr>
        <w:t>）评价方法</w:t>
      </w:r>
    </w:p>
    <w:p w14:paraId="5E45A132" w14:textId="77777777" w:rsidR="009D12AF" w:rsidRDefault="00000000">
      <w:pPr>
        <w:ind w:firstLine="480"/>
      </w:pPr>
      <w:r>
        <w:rPr>
          <w:rFonts w:hint="eastAsia"/>
        </w:rPr>
        <w:t>本次土壤环境质量评价采用单因子标准指数法。单项土壤监测因子</w:t>
      </w:r>
      <w:r>
        <w:rPr>
          <w:rFonts w:hint="eastAsia"/>
        </w:rPr>
        <w:t>i</w:t>
      </w:r>
      <w:r>
        <w:rPr>
          <w:rFonts w:hint="eastAsia"/>
        </w:rPr>
        <w:t>在第</w:t>
      </w:r>
      <w:r>
        <w:rPr>
          <w:rFonts w:hint="eastAsia"/>
        </w:rPr>
        <w:t>j</w:t>
      </w:r>
      <w:r>
        <w:rPr>
          <w:rFonts w:hint="eastAsia"/>
        </w:rPr>
        <w:t>点的污染指数。</w:t>
      </w:r>
    </w:p>
    <w:p w14:paraId="3045F3A6" w14:textId="77777777" w:rsidR="009D12AF" w:rsidRDefault="00000000">
      <w:pPr>
        <w:ind w:firstLine="480"/>
        <w:jc w:val="center"/>
      </w:pPr>
      <w:r>
        <w:rPr>
          <w:rFonts w:hint="eastAsia"/>
        </w:rPr>
        <w:t xml:space="preserve">Si=Ci/C0 </w:t>
      </w:r>
      <w:r>
        <w:rPr>
          <w:rFonts w:hint="eastAsia"/>
        </w:rPr>
        <w:t></w:t>
      </w:r>
    </w:p>
    <w:p w14:paraId="06A10425" w14:textId="77777777" w:rsidR="009D12AF" w:rsidRDefault="00000000">
      <w:pPr>
        <w:ind w:firstLine="480"/>
      </w:pPr>
      <w:r>
        <w:rPr>
          <w:rFonts w:hint="eastAsia"/>
        </w:rPr>
        <w:t>式中：</w:t>
      </w:r>
      <w:r>
        <w:rPr>
          <w:rFonts w:hint="eastAsia"/>
        </w:rPr>
        <w:t>Si</w:t>
      </w:r>
      <w:r>
        <w:rPr>
          <w:rFonts w:hint="eastAsia"/>
        </w:rPr>
        <w:t>—土壤中</w:t>
      </w:r>
      <w:r>
        <w:rPr>
          <w:rFonts w:hint="eastAsia"/>
        </w:rPr>
        <w:t>i</w:t>
      </w:r>
      <w:r>
        <w:rPr>
          <w:rFonts w:hint="eastAsia"/>
        </w:rPr>
        <w:t>污染物的污染指数；</w:t>
      </w:r>
    </w:p>
    <w:p w14:paraId="6A28B4F0" w14:textId="77777777" w:rsidR="009D12AF" w:rsidRDefault="00000000">
      <w:pPr>
        <w:ind w:firstLine="480"/>
      </w:pPr>
      <w:r>
        <w:rPr>
          <w:rFonts w:hint="eastAsia"/>
        </w:rPr>
        <w:t>Ci</w:t>
      </w:r>
      <w:r>
        <w:rPr>
          <w:rFonts w:hint="eastAsia"/>
        </w:rPr>
        <w:t>—第</w:t>
      </w:r>
      <w:r>
        <w:rPr>
          <w:rFonts w:hint="eastAsia"/>
        </w:rPr>
        <w:t xml:space="preserve">i </w:t>
      </w:r>
      <w:r>
        <w:rPr>
          <w:rFonts w:hint="eastAsia"/>
        </w:rPr>
        <w:t>种污染物的实测浓度，（</w:t>
      </w:r>
      <w:r>
        <w:rPr>
          <w:rFonts w:hint="eastAsia"/>
        </w:rPr>
        <w:t>mg/L</w:t>
      </w:r>
      <w:r>
        <w:rPr>
          <w:rFonts w:hint="eastAsia"/>
        </w:rPr>
        <w:t>）；</w:t>
      </w:r>
    </w:p>
    <w:p w14:paraId="36B24F8D" w14:textId="77777777" w:rsidR="009D12AF" w:rsidRDefault="00000000">
      <w:pPr>
        <w:ind w:firstLine="480"/>
      </w:pPr>
      <w:r>
        <w:rPr>
          <w:rFonts w:hint="eastAsia"/>
        </w:rPr>
        <w:t>C0</w:t>
      </w:r>
      <w:r>
        <w:rPr>
          <w:rFonts w:hint="eastAsia"/>
        </w:rPr>
        <w:t>—第</w:t>
      </w:r>
      <w:r>
        <w:rPr>
          <w:rFonts w:hint="eastAsia"/>
        </w:rPr>
        <w:t>i</w:t>
      </w:r>
      <w:r>
        <w:rPr>
          <w:rFonts w:hint="eastAsia"/>
        </w:rPr>
        <w:t>种污染物的评价标准，（</w:t>
      </w:r>
      <w:r>
        <w:rPr>
          <w:rFonts w:hint="eastAsia"/>
        </w:rPr>
        <w:t>mg/L</w:t>
      </w:r>
      <w:r>
        <w:rPr>
          <w:rFonts w:hint="eastAsia"/>
        </w:rPr>
        <w:t>）。</w:t>
      </w:r>
    </w:p>
    <w:p w14:paraId="71A2B16E" w14:textId="77777777" w:rsidR="009D12AF" w:rsidRDefault="00000000">
      <w:pPr>
        <w:ind w:firstLine="480"/>
      </w:pPr>
      <w:r>
        <w:rPr>
          <w:rFonts w:hint="eastAsia"/>
        </w:rPr>
        <w:t>土壤污染因子的标准指数大于</w:t>
      </w:r>
      <w:r>
        <w:rPr>
          <w:rFonts w:hint="eastAsia"/>
        </w:rPr>
        <w:t>1</w:t>
      </w:r>
      <w:r>
        <w:rPr>
          <w:rFonts w:hint="eastAsia"/>
        </w:rPr>
        <w:t>，表明该污染物超过了规定的标准限值，标准指数越大，说明超标越严重。</w:t>
      </w:r>
    </w:p>
    <w:p w14:paraId="097DC7AB" w14:textId="77777777" w:rsidR="009D12AF" w:rsidRDefault="00000000">
      <w:pPr>
        <w:ind w:firstLine="480"/>
      </w:pPr>
      <w:r>
        <w:rPr>
          <w:rFonts w:hint="eastAsia"/>
        </w:rPr>
        <w:t>2</w:t>
      </w:r>
      <w:r>
        <w:rPr>
          <w:rFonts w:hint="eastAsia"/>
        </w:rPr>
        <w:t>）评价标准</w:t>
      </w:r>
    </w:p>
    <w:p w14:paraId="3961A498" w14:textId="77777777" w:rsidR="009D12AF" w:rsidRDefault="00000000">
      <w:pPr>
        <w:ind w:firstLine="480"/>
      </w:pPr>
      <w:r>
        <w:rPr>
          <w:rFonts w:hint="eastAsia"/>
        </w:rPr>
        <w:t>本项目所在区域土壤环境执行《土壤环境质量</w:t>
      </w:r>
      <w:r>
        <w:rPr>
          <w:rFonts w:hint="eastAsia"/>
        </w:rPr>
        <w:t xml:space="preserve"> </w:t>
      </w:r>
      <w:r>
        <w:rPr>
          <w:rFonts w:hint="eastAsia"/>
        </w:rPr>
        <w:t>农用地土壤污染风险管控标准（试行）（</w:t>
      </w:r>
      <w:r>
        <w:rPr>
          <w:rFonts w:hint="eastAsia"/>
        </w:rPr>
        <w:t>GB 15618-2018</w:t>
      </w:r>
      <w:r>
        <w:rPr>
          <w:rFonts w:hint="eastAsia"/>
        </w:rPr>
        <w:t>）》中表</w:t>
      </w:r>
      <w:r>
        <w:rPr>
          <w:rFonts w:hint="eastAsia"/>
        </w:rPr>
        <w:t>1</w:t>
      </w:r>
      <w:r>
        <w:rPr>
          <w:rFonts w:hint="eastAsia"/>
        </w:rPr>
        <w:t>农用地土壤污染风险筛选值要求。</w:t>
      </w:r>
    </w:p>
    <w:p w14:paraId="71F41AE8" w14:textId="77777777" w:rsidR="009D12AF" w:rsidRDefault="00000000">
      <w:pPr>
        <w:ind w:firstLine="480"/>
      </w:pPr>
      <w:r>
        <w:rPr>
          <w:rFonts w:hint="eastAsia"/>
        </w:rPr>
        <w:t>3</w:t>
      </w:r>
      <w:r>
        <w:rPr>
          <w:rFonts w:hint="eastAsia"/>
        </w:rPr>
        <w:t>）评价结果</w:t>
      </w:r>
    </w:p>
    <w:p w14:paraId="3CB91F42" w14:textId="77777777" w:rsidR="009D12AF" w:rsidRDefault="00000000">
      <w:pPr>
        <w:ind w:firstLine="480"/>
        <w:rPr>
          <w:highlight w:val="yellow"/>
        </w:rPr>
      </w:pPr>
      <w:r>
        <w:t>由</w:t>
      </w:r>
      <w:r>
        <w:rPr>
          <w:rFonts w:hint="eastAsia"/>
        </w:rPr>
        <w:t>表</w:t>
      </w:r>
      <w:r>
        <w:rPr>
          <w:rFonts w:ascii="Times New Roman" w:hAnsi="Times New Roman" w:hint="eastAsia"/>
        </w:rPr>
        <w:t>4.3-26~4.3-30</w:t>
      </w:r>
      <w:r>
        <w:t>评价区域各采样点各评价因子分指数均小于</w:t>
      </w:r>
      <w:r>
        <w:t>1</w:t>
      </w:r>
      <w:r>
        <w:t>，满足</w:t>
      </w:r>
      <w:r>
        <w:rPr>
          <w:rFonts w:hAnsi="宋体" w:cs="宋体" w:hint="eastAsia"/>
        </w:rPr>
        <w:t>《土壤环境质量</w:t>
      </w:r>
      <w:r>
        <w:t xml:space="preserve"> </w:t>
      </w:r>
      <w:r>
        <w:rPr>
          <w:rFonts w:hAnsi="宋体" w:cs="宋体" w:hint="eastAsia"/>
        </w:rPr>
        <w:t>农用地土壤污染风险管控标准（试行）》</w:t>
      </w:r>
      <w:r>
        <w:t>(GB15618-2018</w:t>
      </w:r>
      <w:r>
        <w:rPr>
          <w:rFonts w:hAnsi="宋体" w:cs="宋体" w:hint="eastAsia"/>
        </w:rPr>
        <w:t>）筛选值标准</w:t>
      </w:r>
      <w:r>
        <w:t>，满足土壤功能类别要求。</w:t>
      </w:r>
    </w:p>
    <w:p w14:paraId="24F0ECE3" w14:textId="77777777" w:rsidR="009D12AF" w:rsidRDefault="00000000">
      <w:pPr>
        <w:pStyle w:val="3"/>
      </w:pPr>
      <w:bookmarkStart w:id="226" w:name="_Toc10826"/>
      <w:r>
        <w:rPr>
          <w:rFonts w:hint="eastAsia"/>
        </w:rPr>
        <w:t>4.3.6</w:t>
      </w:r>
      <w:r>
        <w:rPr>
          <w:rFonts w:hint="eastAsia"/>
        </w:rPr>
        <w:t>水生生态环境现状调查与评价</w:t>
      </w:r>
      <w:bookmarkEnd w:id="226"/>
    </w:p>
    <w:p w14:paraId="49BC85FF" w14:textId="77777777" w:rsidR="009D12AF" w:rsidRDefault="00000000">
      <w:pPr>
        <w:pStyle w:val="4"/>
        <w:ind w:firstLineChars="0" w:firstLine="0"/>
      </w:pPr>
      <w:r>
        <w:rPr>
          <w:rFonts w:hint="eastAsia"/>
        </w:rPr>
        <w:t>4.3.6.1</w:t>
      </w:r>
      <w:bookmarkStart w:id="227" w:name="_Toc150843231"/>
      <w:r>
        <w:rPr>
          <w:rFonts w:ascii="Times New Roman" w:eastAsia="宋体" w:hAnsi="Times New Roman"/>
        </w:rPr>
        <w:t>调查内容、范围、时段和调查方法</w:t>
      </w:r>
      <w:bookmarkEnd w:id="227"/>
    </w:p>
    <w:p w14:paraId="606D770E" w14:textId="77777777" w:rsidR="009D12AF" w:rsidRDefault="00000000">
      <w:pPr>
        <w:numPr>
          <w:ilvl w:val="0"/>
          <w:numId w:val="5"/>
        </w:numPr>
        <w:ind w:firstLine="480"/>
      </w:pPr>
      <w:r>
        <w:rPr>
          <w:rFonts w:hint="eastAsia"/>
        </w:rPr>
        <w:t>调查内容</w:t>
      </w:r>
    </w:p>
    <w:p w14:paraId="627D31BF" w14:textId="77777777" w:rsidR="009D12AF" w:rsidRDefault="00000000">
      <w:pPr>
        <w:adjustRightInd w:val="0"/>
        <w:snapToGrid w:val="0"/>
        <w:ind w:firstLine="480"/>
        <w:rPr>
          <w:bCs/>
        </w:rPr>
      </w:pPr>
      <w:r>
        <w:rPr>
          <w:bCs/>
        </w:rPr>
        <w:t>（</w:t>
      </w:r>
      <w:r>
        <w:rPr>
          <w:bCs/>
        </w:rPr>
        <w:t>1</w:t>
      </w:r>
      <w:r>
        <w:rPr>
          <w:bCs/>
        </w:rPr>
        <w:t>）自然环境和社会经济状况</w:t>
      </w:r>
    </w:p>
    <w:p w14:paraId="77EA482C" w14:textId="77777777" w:rsidR="009D12AF" w:rsidRDefault="00000000">
      <w:pPr>
        <w:adjustRightInd w:val="0"/>
        <w:snapToGrid w:val="0"/>
        <w:ind w:firstLine="480"/>
      </w:pPr>
      <w:r>
        <w:rPr>
          <w:rFonts w:hint="eastAsia"/>
        </w:rPr>
        <w:lastRenderedPageBreak/>
        <w:t>①</w:t>
      </w:r>
      <w:r>
        <w:t>自然环境：流域地形、地貌、水系、土壤、植被等地理环境，流域光照、气温、湿度、降雨量、径流量等水文、气候条件和变化特点。</w:t>
      </w:r>
    </w:p>
    <w:p w14:paraId="71DFAD61" w14:textId="77777777" w:rsidR="009D12AF" w:rsidRDefault="00000000">
      <w:pPr>
        <w:adjustRightInd w:val="0"/>
        <w:snapToGrid w:val="0"/>
        <w:ind w:firstLine="480"/>
      </w:pPr>
      <w:r>
        <w:rPr>
          <w:rFonts w:hint="eastAsia"/>
        </w:rPr>
        <w:t>②</w:t>
      </w:r>
      <w:r>
        <w:t>社会经济状况：库区社会、经济发展现状，特别是渔业发展现状，包括渔业行政管理机构设置，渔业从业人员、技术队伍、基础设施、渔需供应等，渔业产量、产值、效益，渔业利用方式，养殖和捕捞的主要品种等。</w:t>
      </w:r>
    </w:p>
    <w:p w14:paraId="2D0B4392" w14:textId="77777777" w:rsidR="009D12AF" w:rsidRDefault="00000000">
      <w:pPr>
        <w:adjustRightInd w:val="0"/>
        <w:snapToGrid w:val="0"/>
        <w:ind w:firstLine="480"/>
        <w:rPr>
          <w:bCs/>
        </w:rPr>
      </w:pPr>
      <w:bookmarkStart w:id="228" w:name="_Toc338707014"/>
      <w:bookmarkStart w:id="229" w:name="_Toc286330888"/>
      <w:r>
        <w:rPr>
          <w:bCs/>
        </w:rPr>
        <w:t>（</w:t>
      </w:r>
      <w:r>
        <w:rPr>
          <w:bCs/>
        </w:rPr>
        <w:t>2</w:t>
      </w:r>
      <w:r>
        <w:rPr>
          <w:bCs/>
        </w:rPr>
        <w:t>）河流形态特征及工程概况</w:t>
      </w:r>
      <w:bookmarkEnd w:id="228"/>
      <w:bookmarkEnd w:id="229"/>
    </w:p>
    <w:p w14:paraId="242C1015" w14:textId="77777777" w:rsidR="009D12AF" w:rsidRDefault="00000000">
      <w:pPr>
        <w:adjustRightInd w:val="0"/>
        <w:snapToGrid w:val="0"/>
        <w:ind w:firstLine="480"/>
      </w:pPr>
      <w:r>
        <w:t>河流形态、水深、底质、集雨面积、流速、流量等，工程技术参数以及与水文变化特点等。</w:t>
      </w:r>
    </w:p>
    <w:p w14:paraId="4971B984" w14:textId="77777777" w:rsidR="009D12AF" w:rsidRDefault="00000000">
      <w:pPr>
        <w:adjustRightInd w:val="0"/>
        <w:snapToGrid w:val="0"/>
        <w:ind w:firstLine="480"/>
        <w:rPr>
          <w:bCs/>
        </w:rPr>
      </w:pPr>
      <w:bookmarkStart w:id="230" w:name="_Toc338707015"/>
      <w:bookmarkStart w:id="231" w:name="_Toc286330890"/>
      <w:r>
        <w:rPr>
          <w:bCs/>
        </w:rPr>
        <w:t>（</w:t>
      </w:r>
      <w:r>
        <w:rPr>
          <w:bCs/>
        </w:rPr>
        <w:t>3</w:t>
      </w:r>
      <w:r>
        <w:rPr>
          <w:bCs/>
        </w:rPr>
        <w:t>）鱼类资源</w:t>
      </w:r>
      <w:bookmarkEnd w:id="230"/>
      <w:bookmarkEnd w:id="231"/>
    </w:p>
    <w:p w14:paraId="2AE6C629" w14:textId="77777777" w:rsidR="009D12AF" w:rsidRDefault="00000000">
      <w:pPr>
        <w:adjustRightInd w:val="0"/>
        <w:snapToGrid w:val="0"/>
        <w:ind w:firstLine="480"/>
      </w:pPr>
      <w:r>
        <w:rPr>
          <w:rFonts w:hint="eastAsia"/>
        </w:rPr>
        <w:t>①</w:t>
      </w:r>
      <w:r>
        <w:t>鱼类种类组成：种属名称、分类地位、组成、分布及演变等。</w:t>
      </w:r>
    </w:p>
    <w:p w14:paraId="724CD820" w14:textId="77777777" w:rsidR="009D12AF" w:rsidRDefault="00000000">
      <w:pPr>
        <w:adjustRightInd w:val="0"/>
        <w:snapToGrid w:val="0"/>
        <w:ind w:firstLine="480"/>
      </w:pPr>
      <w:r>
        <w:rPr>
          <w:rFonts w:hint="eastAsia"/>
        </w:rPr>
        <w:t>②</w:t>
      </w:r>
      <w:r>
        <w:t>鱼类资源现状：鱼类群体结构（年龄、体长、体重、种类组成），渔获物统计分析（群体结构组成，主要渔获对象的年龄、体长、体重和性别组成）、渔业现状调查（渔业从业人员，渔具、渔法的种类数量及其变革，历年渔获总量，主要渔业对象及其分类产量等）。</w:t>
      </w:r>
    </w:p>
    <w:p w14:paraId="090C3D89" w14:textId="77777777" w:rsidR="009D12AF" w:rsidRDefault="00000000">
      <w:pPr>
        <w:adjustRightInd w:val="0"/>
        <w:snapToGrid w:val="0"/>
        <w:ind w:firstLine="480"/>
      </w:pPr>
      <w:r>
        <w:rPr>
          <w:rFonts w:hint="eastAsia"/>
        </w:rPr>
        <w:t>③</w:t>
      </w:r>
      <w:r>
        <w:t>主要鱼类食性：消化管（胃、肠）充塞度，饱满指数，主要食物种类和出现率等。</w:t>
      </w:r>
    </w:p>
    <w:p w14:paraId="35A178A0" w14:textId="77777777" w:rsidR="009D12AF" w:rsidRDefault="00000000">
      <w:pPr>
        <w:adjustRightInd w:val="0"/>
        <w:snapToGrid w:val="0"/>
        <w:ind w:firstLine="480"/>
      </w:pPr>
      <w:r>
        <w:rPr>
          <w:rFonts w:hint="eastAsia"/>
        </w:rPr>
        <w:t>④</w:t>
      </w:r>
      <w:r>
        <w:t>主要鱼类的繁殖特性：性比、最小成熟年龄、性腺成熟度、成熟系数、绝对怀卵量、相对怀卵量、繁殖季节、产卵类型、产卵时间、繁殖规模以及繁殖所需的环境条件。</w:t>
      </w:r>
    </w:p>
    <w:p w14:paraId="0E9D7363" w14:textId="77777777" w:rsidR="009D12AF" w:rsidRDefault="00000000">
      <w:pPr>
        <w:adjustRightInd w:val="0"/>
        <w:snapToGrid w:val="0"/>
        <w:ind w:firstLine="480"/>
      </w:pPr>
      <w:r>
        <w:rPr>
          <w:rFonts w:hint="eastAsia"/>
        </w:rPr>
        <w:t>⑤</w:t>
      </w:r>
      <w:r>
        <w:t>主要鱼类的生物学特性：年龄与生长、肥满度系数、生长速度与加速度等。</w:t>
      </w:r>
    </w:p>
    <w:p w14:paraId="49604799" w14:textId="77777777" w:rsidR="009D12AF" w:rsidRDefault="00000000">
      <w:pPr>
        <w:adjustRightInd w:val="0"/>
        <w:snapToGrid w:val="0"/>
        <w:ind w:firstLine="480"/>
      </w:pPr>
      <w:r>
        <w:rPr>
          <w:rFonts w:hint="eastAsia"/>
        </w:rPr>
        <w:t>⑥</w:t>
      </w:r>
      <w:r>
        <w:t>重要鱼类生境：重要鱼类的产卵场、索饵场、越冬场以及捕捞场等的生境特点（水位、水温、水深、流速、底质、水生植被及饵料资源状况等）。</w:t>
      </w:r>
    </w:p>
    <w:p w14:paraId="0DA79FFD" w14:textId="77777777" w:rsidR="009D12AF" w:rsidRDefault="00000000">
      <w:pPr>
        <w:adjustRightInd w:val="0"/>
        <w:snapToGrid w:val="0"/>
        <w:ind w:firstLine="480"/>
        <w:rPr>
          <w:bCs/>
        </w:rPr>
      </w:pPr>
      <w:bookmarkStart w:id="232" w:name="_Toc286330891"/>
      <w:bookmarkStart w:id="233" w:name="_Toc338707016"/>
      <w:r>
        <w:rPr>
          <w:bCs/>
        </w:rPr>
        <w:t>（</w:t>
      </w:r>
      <w:r>
        <w:rPr>
          <w:bCs/>
        </w:rPr>
        <w:t>4</w:t>
      </w:r>
      <w:r>
        <w:rPr>
          <w:bCs/>
        </w:rPr>
        <w:t>）其它水生生物</w:t>
      </w:r>
      <w:bookmarkEnd w:id="232"/>
      <w:bookmarkEnd w:id="233"/>
    </w:p>
    <w:p w14:paraId="72B1537F" w14:textId="77777777" w:rsidR="009D12AF" w:rsidRDefault="00000000">
      <w:pPr>
        <w:ind w:firstLine="480"/>
      </w:pPr>
      <w:r>
        <w:t>浮游植物、浮游动物（原生动物、轮虫、枝角类、桡足类）、底栖动物、水生维管植物等种类数量和时空变化分析等。</w:t>
      </w:r>
    </w:p>
    <w:p w14:paraId="17DD1DE2" w14:textId="77777777" w:rsidR="009D12AF" w:rsidRDefault="00000000">
      <w:pPr>
        <w:numPr>
          <w:ilvl w:val="0"/>
          <w:numId w:val="5"/>
        </w:numPr>
        <w:ind w:firstLine="480"/>
      </w:pPr>
      <w:r>
        <w:rPr>
          <w:rFonts w:hint="eastAsia"/>
        </w:rPr>
        <w:t>调查范围、时间及采样点设置</w:t>
      </w:r>
    </w:p>
    <w:p w14:paraId="18D02C90" w14:textId="77777777" w:rsidR="009D12AF" w:rsidRDefault="00000000">
      <w:pPr>
        <w:adjustRightInd w:val="0"/>
        <w:snapToGrid w:val="0"/>
        <w:ind w:firstLine="480"/>
        <w:rPr>
          <w:bCs/>
        </w:rPr>
      </w:pPr>
      <w:r>
        <w:rPr>
          <w:rFonts w:hint="eastAsia"/>
          <w:bCs/>
        </w:rPr>
        <w:t>（</w:t>
      </w:r>
      <w:r>
        <w:rPr>
          <w:rFonts w:hint="eastAsia"/>
          <w:bCs/>
        </w:rPr>
        <w:t>1</w:t>
      </w:r>
      <w:r>
        <w:rPr>
          <w:rFonts w:hint="eastAsia"/>
          <w:bCs/>
        </w:rPr>
        <w:t>）调查时间</w:t>
      </w:r>
    </w:p>
    <w:p w14:paraId="054A5267" w14:textId="77777777" w:rsidR="009D12AF" w:rsidRDefault="00000000">
      <w:pPr>
        <w:ind w:firstLine="480"/>
      </w:pPr>
      <w:r>
        <w:t>本次鱼类、浮游生物、底栖动物、水生维管植物资源调查</w:t>
      </w:r>
      <w:r>
        <w:t>1</w:t>
      </w:r>
      <w:r>
        <w:t>次合计</w:t>
      </w:r>
      <w:r>
        <w:rPr>
          <w:rFonts w:hint="eastAsia"/>
        </w:rPr>
        <w:t>10</w:t>
      </w:r>
      <w:r>
        <w:t>天，时间为</w:t>
      </w:r>
      <w:r>
        <w:rPr>
          <w:rFonts w:ascii="Times New Roman" w:hAnsi="Times New Roman" w:cs="Times New Roman"/>
          <w:bCs/>
          <w:color w:val="000000" w:themeColor="text1"/>
        </w:rPr>
        <w:t>2025</w:t>
      </w:r>
      <w:r>
        <w:rPr>
          <w:rFonts w:ascii="Times New Roman" w:hAnsi="Times New Roman" w:cs="Times New Roman"/>
          <w:bCs/>
          <w:color w:val="000000" w:themeColor="text1"/>
        </w:rPr>
        <w:t>年</w:t>
      </w:r>
      <w:r>
        <w:rPr>
          <w:rFonts w:ascii="Times New Roman" w:hAnsi="Times New Roman" w:cs="Times New Roman"/>
          <w:bCs/>
          <w:color w:val="000000" w:themeColor="text1"/>
        </w:rPr>
        <w:t>7</w:t>
      </w:r>
      <w:r>
        <w:rPr>
          <w:rFonts w:ascii="Times New Roman" w:hAnsi="Times New Roman" w:cs="Times New Roman"/>
          <w:bCs/>
          <w:color w:val="000000" w:themeColor="text1"/>
        </w:rPr>
        <w:t>月</w:t>
      </w:r>
      <w:r>
        <w:rPr>
          <w:rFonts w:ascii="Times New Roman" w:hAnsi="Times New Roman" w:cs="Times New Roman"/>
          <w:bCs/>
          <w:color w:val="000000" w:themeColor="text1"/>
        </w:rPr>
        <w:t>16</w:t>
      </w:r>
      <w:r>
        <w:rPr>
          <w:rFonts w:ascii="Times New Roman" w:hAnsi="Times New Roman" w:cs="Times New Roman"/>
          <w:bCs/>
          <w:color w:val="000000" w:themeColor="text1"/>
        </w:rPr>
        <w:t>日至</w:t>
      </w:r>
      <w:r>
        <w:rPr>
          <w:rFonts w:ascii="Times New Roman" w:hAnsi="Times New Roman" w:cs="Times New Roman"/>
          <w:bCs/>
          <w:color w:val="000000" w:themeColor="text1"/>
        </w:rPr>
        <w:t>25</w:t>
      </w:r>
      <w:r>
        <w:rPr>
          <w:rFonts w:ascii="Times New Roman" w:hAnsi="Times New Roman" w:cs="Times New Roman"/>
          <w:bCs/>
          <w:color w:val="000000" w:themeColor="text1"/>
        </w:rPr>
        <w:t>日</w:t>
      </w:r>
      <w:r>
        <w:t>对</w:t>
      </w:r>
      <w:r>
        <w:rPr>
          <w:rFonts w:hint="eastAsia"/>
        </w:rPr>
        <w:t>莲花水库、群力水库、长石水库、万丈水库、</w:t>
      </w:r>
      <w:r>
        <w:rPr>
          <w:rFonts w:hint="eastAsia"/>
        </w:rPr>
        <w:lastRenderedPageBreak/>
        <w:t>向阳水电站前池、新安晒水池</w:t>
      </w:r>
      <w:r>
        <w:t>评价区域进行现状调查。</w:t>
      </w:r>
    </w:p>
    <w:p w14:paraId="0F47F4D7" w14:textId="77777777" w:rsidR="009D12AF" w:rsidRDefault="00000000">
      <w:pPr>
        <w:ind w:firstLine="480"/>
      </w:pPr>
      <w:r>
        <w:rPr>
          <w:rFonts w:hint="eastAsia"/>
        </w:rPr>
        <w:t>（</w:t>
      </w:r>
      <w:r>
        <w:rPr>
          <w:rFonts w:hint="eastAsia"/>
        </w:rPr>
        <w:t>2</w:t>
      </w:r>
      <w:r>
        <w:rPr>
          <w:rFonts w:hint="eastAsia"/>
        </w:rPr>
        <w:t>）调查断面设置</w:t>
      </w:r>
    </w:p>
    <w:p w14:paraId="56889127" w14:textId="77777777" w:rsidR="009D12AF" w:rsidRDefault="00000000">
      <w:pPr>
        <w:ind w:firstLine="480"/>
      </w:pPr>
      <w:r>
        <w:t>根据控制性、代表性原则，水生生物和水体理化性质调查拟布设</w:t>
      </w:r>
      <w:r>
        <w:rPr>
          <w:rFonts w:hint="eastAsia"/>
        </w:rPr>
        <w:t>13</w:t>
      </w:r>
      <w:r>
        <w:t>个断面。各断面采样点基本情况如下（表</w:t>
      </w:r>
      <w:r>
        <w:t>4</w:t>
      </w:r>
      <w:r>
        <w:rPr>
          <w:rFonts w:hint="eastAsia"/>
        </w:rPr>
        <w:t>.3</w:t>
      </w:r>
      <w:r>
        <w:t>-</w:t>
      </w:r>
      <w:r>
        <w:rPr>
          <w:rFonts w:hint="eastAsia"/>
        </w:rPr>
        <w:t>31</w:t>
      </w:r>
      <w:r>
        <w:t>）：</w:t>
      </w:r>
    </w:p>
    <w:p w14:paraId="50357616" w14:textId="77777777" w:rsidR="009D12AF" w:rsidRDefault="00000000">
      <w:pPr>
        <w:ind w:firstLineChars="0" w:firstLine="0"/>
        <w:jc w:val="center"/>
        <w:rPr>
          <w:rFonts w:ascii="Times New Roman" w:eastAsia="黑体" w:hAnsi="Times New Roman" w:cs="Times New Roman"/>
          <w:bCs/>
          <w:color w:val="000000" w:themeColor="text1"/>
          <w:sz w:val="21"/>
          <w:szCs w:val="21"/>
        </w:rPr>
      </w:pPr>
      <w:r>
        <w:rPr>
          <w:rFonts w:hint="eastAsia"/>
          <w:b/>
          <w:bCs/>
        </w:rPr>
        <w:t>表</w:t>
      </w:r>
      <w:r>
        <w:rPr>
          <w:rFonts w:hint="eastAsia"/>
          <w:b/>
          <w:bCs/>
        </w:rPr>
        <w:t xml:space="preserve">4.3-31  </w:t>
      </w:r>
      <w:r>
        <w:rPr>
          <w:rFonts w:hint="eastAsia"/>
          <w:b/>
          <w:bCs/>
        </w:rPr>
        <w:t>评价水域调查断面分布情况</w:t>
      </w:r>
    </w:p>
    <w:tbl>
      <w:tblPr>
        <w:tblW w:w="8296"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838"/>
        <w:gridCol w:w="1843"/>
        <w:gridCol w:w="2268"/>
        <w:gridCol w:w="1774"/>
        <w:gridCol w:w="573"/>
      </w:tblGrid>
      <w:tr w:rsidR="009D12AF" w14:paraId="673EFEE2" w14:textId="77777777">
        <w:trPr>
          <w:trHeight w:val="296"/>
          <w:jc w:val="center"/>
        </w:trPr>
        <w:tc>
          <w:tcPr>
            <w:tcW w:w="1838" w:type="dxa"/>
            <w:tcBorders>
              <w:tl2br w:val="nil"/>
              <w:tr2bl w:val="nil"/>
            </w:tcBorders>
            <w:vAlign w:val="center"/>
          </w:tcPr>
          <w:p w14:paraId="2DFFF991"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水库</w:t>
            </w:r>
          </w:p>
        </w:tc>
        <w:tc>
          <w:tcPr>
            <w:tcW w:w="1843" w:type="dxa"/>
            <w:tcBorders>
              <w:tl2br w:val="nil"/>
              <w:tr2bl w:val="nil"/>
            </w:tcBorders>
            <w:noWrap/>
            <w:vAlign w:val="center"/>
          </w:tcPr>
          <w:p w14:paraId="501605C5"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调查断面</w:t>
            </w:r>
          </w:p>
        </w:tc>
        <w:tc>
          <w:tcPr>
            <w:tcW w:w="2268" w:type="dxa"/>
            <w:tcBorders>
              <w:tl2br w:val="nil"/>
              <w:tr2bl w:val="nil"/>
            </w:tcBorders>
            <w:noWrap/>
            <w:vAlign w:val="center"/>
          </w:tcPr>
          <w:p w14:paraId="77E82517"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东经</w:t>
            </w:r>
          </w:p>
        </w:tc>
        <w:tc>
          <w:tcPr>
            <w:tcW w:w="1774" w:type="dxa"/>
            <w:tcBorders>
              <w:tl2br w:val="nil"/>
              <w:tr2bl w:val="nil"/>
            </w:tcBorders>
            <w:noWrap/>
            <w:vAlign w:val="center"/>
          </w:tcPr>
          <w:p w14:paraId="1FE3CAFC"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北纬</w:t>
            </w:r>
          </w:p>
        </w:tc>
        <w:tc>
          <w:tcPr>
            <w:tcW w:w="573" w:type="dxa"/>
            <w:tcBorders>
              <w:tl2br w:val="nil"/>
              <w:tr2bl w:val="nil"/>
            </w:tcBorders>
            <w:vAlign w:val="center"/>
          </w:tcPr>
          <w:p w14:paraId="00EEE11E"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海拔</w:t>
            </w:r>
          </w:p>
        </w:tc>
      </w:tr>
      <w:tr w:rsidR="009D12AF" w14:paraId="41457C56" w14:textId="77777777">
        <w:trPr>
          <w:trHeight w:val="296"/>
          <w:jc w:val="center"/>
        </w:trPr>
        <w:tc>
          <w:tcPr>
            <w:tcW w:w="1838" w:type="dxa"/>
            <w:vMerge w:val="restart"/>
            <w:tcBorders>
              <w:tl2br w:val="nil"/>
              <w:tr2bl w:val="nil"/>
            </w:tcBorders>
            <w:vAlign w:val="center"/>
          </w:tcPr>
          <w:p w14:paraId="76C50CC6"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莲花水库</w:t>
            </w:r>
          </w:p>
        </w:tc>
        <w:tc>
          <w:tcPr>
            <w:tcW w:w="1843" w:type="dxa"/>
            <w:tcBorders>
              <w:tl2br w:val="nil"/>
              <w:tr2bl w:val="nil"/>
            </w:tcBorders>
            <w:vAlign w:val="center"/>
          </w:tcPr>
          <w:p w14:paraId="00880A16"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L1</w:t>
            </w:r>
          </w:p>
        </w:tc>
        <w:tc>
          <w:tcPr>
            <w:tcW w:w="2268" w:type="dxa"/>
            <w:tcBorders>
              <w:tl2br w:val="nil"/>
              <w:tr2bl w:val="nil"/>
            </w:tcBorders>
            <w:vAlign w:val="center"/>
          </w:tcPr>
          <w:p w14:paraId="7DF78EBB"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129°40'38.33"</w:t>
            </w:r>
          </w:p>
        </w:tc>
        <w:tc>
          <w:tcPr>
            <w:tcW w:w="1774" w:type="dxa"/>
            <w:tcBorders>
              <w:tl2br w:val="nil"/>
              <w:tr2bl w:val="nil"/>
            </w:tcBorders>
            <w:vAlign w:val="center"/>
          </w:tcPr>
          <w:p w14:paraId="1D2BAA9A"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45°06'25.51"</w:t>
            </w:r>
          </w:p>
        </w:tc>
        <w:tc>
          <w:tcPr>
            <w:tcW w:w="573" w:type="dxa"/>
            <w:tcBorders>
              <w:tl2br w:val="nil"/>
              <w:tr2bl w:val="nil"/>
            </w:tcBorders>
            <w:vAlign w:val="center"/>
          </w:tcPr>
          <w:p w14:paraId="2F3C8EF8"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208</w:t>
            </w:r>
          </w:p>
        </w:tc>
      </w:tr>
      <w:tr w:rsidR="009D12AF" w14:paraId="1CD7C394" w14:textId="77777777">
        <w:trPr>
          <w:trHeight w:val="296"/>
          <w:jc w:val="center"/>
        </w:trPr>
        <w:tc>
          <w:tcPr>
            <w:tcW w:w="1838" w:type="dxa"/>
            <w:vMerge/>
            <w:tcBorders>
              <w:tl2br w:val="nil"/>
              <w:tr2bl w:val="nil"/>
            </w:tcBorders>
            <w:vAlign w:val="center"/>
          </w:tcPr>
          <w:p w14:paraId="21BFCA95"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843" w:type="dxa"/>
            <w:tcBorders>
              <w:tl2br w:val="nil"/>
              <w:tr2bl w:val="nil"/>
            </w:tcBorders>
            <w:vAlign w:val="center"/>
          </w:tcPr>
          <w:p w14:paraId="55CB79B7"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L2</w:t>
            </w:r>
          </w:p>
        </w:tc>
        <w:tc>
          <w:tcPr>
            <w:tcW w:w="2268" w:type="dxa"/>
            <w:tcBorders>
              <w:tl2br w:val="nil"/>
              <w:tr2bl w:val="nil"/>
            </w:tcBorders>
            <w:vAlign w:val="center"/>
          </w:tcPr>
          <w:p w14:paraId="7A09352C"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129°41'11.80"</w:t>
            </w:r>
          </w:p>
        </w:tc>
        <w:tc>
          <w:tcPr>
            <w:tcW w:w="1774" w:type="dxa"/>
            <w:tcBorders>
              <w:tl2br w:val="nil"/>
              <w:tr2bl w:val="nil"/>
            </w:tcBorders>
            <w:vAlign w:val="center"/>
          </w:tcPr>
          <w:p w14:paraId="4E49D511"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45°05'57.43"</w:t>
            </w:r>
          </w:p>
        </w:tc>
        <w:tc>
          <w:tcPr>
            <w:tcW w:w="573" w:type="dxa"/>
            <w:tcBorders>
              <w:tl2br w:val="nil"/>
              <w:tr2bl w:val="nil"/>
            </w:tcBorders>
            <w:vAlign w:val="center"/>
          </w:tcPr>
          <w:p w14:paraId="017FBF3A"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208</w:t>
            </w:r>
          </w:p>
        </w:tc>
      </w:tr>
      <w:tr w:rsidR="009D12AF" w14:paraId="08E72FF1" w14:textId="77777777">
        <w:trPr>
          <w:trHeight w:val="296"/>
          <w:jc w:val="center"/>
        </w:trPr>
        <w:tc>
          <w:tcPr>
            <w:tcW w:w="1838" w:type="dxa"/>
            <w:vMerge/>
            <w:tcBorders>
              <w:tl2br w:val="nil"/>
              <w:tr2bl w:val="nil"/>
            </w:tcBorders>
            <w:vAlign w:val="center"/>
          </w:tcPr>
          <w:p w14:paraId="1C76BE64"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843" w:type="dxa"/>
            <w:tcBorders>
              <w:tl2br w:val="nil"/>
              <w:tr2bl w:val="nil"/>
            </w:tcBorders>
            <w:vAlign w:val="center"/>
          </w:tcPr>
          <w:p w14:paraId="1272B518"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L2</w:t>
            </w:r>
          </w:p>
        </w:tc>
        <w:tc>
          <w:tcPr>
            <w:tcW w:w="2268" w:type="dxa"/>
            <w:tcBorders>
              <w:tl2br w:val="nil"/>
              <w:tr2bl w:val="nil"/>
            </w:tcBorders>
            <w:vAlign w:val="center"/>
          </w:tcPr>
          <w:p w14:paraId="559A22BC"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129°42'12.99"</w:t>
            </w:r>
          </w:p>
        </w:tc>
        <w:tc>
          <w:tcPr>
            <w:tcW w:w="1774" w:type="dxa"/>
            <w:tcBorders>
              <w:tl2br w:val="nil"/>
              <w:tr2bl w:val="nil"/>
            </w:tcBorders>
            <w:vAlign w:val="center"/>
          </w:tcPr>
          <w:p w14:paraId="153373A8"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45°05'51.11"</w:t>
            </w:r>
          </w:p>
        </w:tc>
        <w:tc>
          <w:tcPr>
            <w:tcW w:w="573" w:type="dxa"/>
            <w:tcBorders>
              <w:tl2br w:val="nil"/>
              <w:tr2bl w:val="nil"/>
            </w:tcBorders>
            <w:vAlign w:val="center"/>
          </w:tcPr>
          <w:p w14:paraId="71E8BEA8"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208</w:t>
            </w:r>
          </w:p>
        </w:tc>
      </w:tr>
      <w:tr w:rsidR="009D12AF" w14:paraId="614F6F1B" w14:textId="77777777">
        <w:trPr>
          <w:trHeight w:val="296"/>
          <w:jc w:val="center"/>
        </w:trPr>
        <w:tc>
          <w:tcPr>
            <w:tcW w:w="1838" w:type="dxa"/>
            <w:vMerge w:val="restart"/>
            <w:tcBorders>
              <w:tl2br w:val="nil"/>
              <w:tr2bl w:val="nil"/>
            </w:tcBorders>
            <w:vAlign w:val="center"/>
          </w:tcPr>
          <w:p w14:paraId="2826DC3C"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群力水库</w:t>
            </w:r>
          </w:p>
        </w:tc>
        <w:tc>
          <w:tcPr>
            <w:tcW w:w="1843" w:type="dxa"/>
            <w:tcBorders>
              <w:tl2br w:val="nil"/>
              <w:tr2bl w:val="nil"/>
            </w:tcBorders>
            <w:vAlign w:val="center"/>
          </w:tcPr>
          <w:p w14:paraId="75DBBFA9"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Q1</w:t>
            </w:r>
          </w:p>
        </w:tc>
        <w:tc>
          <w:tcPr>
            <w:tcW w:w="2268" w:type="dxa"/>
            <w:tcBorders>
              <w:tl2br w:val="nil"/>
              <w:tr2bl w:val="nil"/>
            </w:tcBorders>
            <w:vAlign w:val="center"/>
          </w:tcPr>
          <w:p w14:paraId="0A54BCBF"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129°39'22.84"</w:t>
            </w:r>
          </w:p>
        </w:tc>
        <w:tc>
          <w:tcPr>
            <w:tcW w:w="1774" w:type="dxa"/>
            <w:tcBorders>
              <w:tl2br w:val="nil"/>
              <w:tr2bl w:val="nil"/>
            </w:tcBorders>
            <w:vAlign w:val="center"/>
          </w:tcPr>
          <w:p w14:paraId="6FD992B9"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44°54'28.59"</w:t>
            </w:r>
          </w:p>
        </w:tc>
        <w:tc>
          <w:tcPr>
            <w:tcW w:w="573" w:type="dxa"/>
            <w:tcBorders>
              <w:tl2br w:val="nil"/>
              <w:tr2bl w:val="nil"/>
            </w:tcBorders>
            <w:vAlign w:val="center"/>
          </w:tcPr>
          <w:p w14:paraId="08DEAAE9"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209</w:t>
            </w:r>
          </w:p>
        </w:tc>
      </w:tr>
      <w:tr w:rsidR="009D12AF" w14:paraId="76FDC5AA" w14:textId="77777777">
        <w:trPr>
          <w:trHeight w:val="296"/>
          <w:jc w:val="center"/>
        </w:trPr>
        <w:tc>
          <w:tcPr>
            <w:tcW w:w="1838" w:type="dxa"/>
            <w:vMerge/>
            <w:tcBorders>
              <w:tl2br w:val="nil"/>
              <w:tr2bl w:val="nil"/>
            </w:tcBorders>
            <w:vAlign w:val="center"/>
          </w:tcPr>
          <w:p w14:paraId="3F663D12"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843" w:type="dxa"/>
            <w:tcBorders>
              <w:tl2br w:val="nil"/>
              <w:tr2bl w:val="nil"/>
            </w:tcBorders>
            <w:vAlign w:val="center"/>
          </w:tcPr>
          <w:p w14:paraId="5041A258"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Q2</w:t>
            </w:r>
          </w:p>
        </w:tc>
        <w:tc>
          <w:tcPr>
            <w:tcW w:w="2268" w:type="dxa"/>
            <w:tcBorders>
              <w:tl2br w:val="nil"/>
              <w:tr2bl w:val="nil"/>
            </w:tcBorders>
            <w:vAlign w:val="center"/>
          </w:tcPr>
          <w:p w14:paraId="00FDFCC3"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129°40'00.63"</w:t>
            </w:r>
          </w:p>
        </w:tc>
        <w:tc>
          <w:tcPr>
            <w:tcW w:w="1774" w:type="dxa"/>
            <w:tcBorders>
              <w:tl2br w:val="nil"/>
              <w:tr2bl w:val="nil"/>
            </w:tcBorders>
            <w:vAlign w:val="center"/>
          </w:tcPr>
          <w:p w14:paraId="2AD682CF"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44°54'08.30"</w:t>
            </w:r>
          </w:p>
        </w:tc>
        <w:tc>
          <w:tcPr>
            <w:tcW w:w="573" w:type="dxa"/>
            <w:tcBorders>
              <w:tl2br w:val="nil"/>
              <w:tr2bl w:val="nil"/>
            </w:tcBorders>
            <w:vAlign w:val="center"/>
          </w:tcPr>
          <w:p w14:paraId="0264FAFF"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209</w:t>
            </w:r>
          </w:p>
        </w:tc>
      </w:tr>
      <w:tr w:rsidR="009D12AF" w14:paraId="6A87E744" w14:textId="77777777">
        <w:trPr>
          <w:trHeight w:val="296"/>
          <w:jc w:val="center"/>
        </w:trPr>
        <w:tc>
          <w:tcPr>
            <w:tcW w:w="1838" w:type="dxa"/>
            <w:vMerge w:val="restart"/>
            <w:tcBorders>
              <w:tl2br w:val="nil"/>
              <w:tr2bl w:val="nil"/>
            </w:tcBorders>
            <w:vAlign w:val="center"/>
          </w:tcPr>
          <w:p w14:paraId="0094F5B9"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万丈水库</w:t>
            </w:r>
          </w:p>
        </w:tc>
        <w:tc>
          <w:tcPr>
            <w:tcW w:w="1843" w:type="dxa"/>
            <w:tcBorders>
              <w:tl2br w:val="nil"/>
              <w:tr2bl w:val="nil"/>
            </w:tcBorders>
            <w:vAlign w:val="center"/>
          </w:tcPr>
          <w:p w14:paraId="6DA37CD1"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W1</w:t>
            </w:r>
          </w:p>
        </w:tc>
        <w:tc>
          <w:tcPr>
            <w:tcW w:w="2268" w:type="dxa"/>
            <w:tcBorders>
              <w:tl2br w:val="nil"/>
              <w:tr2bl w:val="nil"/>
            </w:tcBorders>
            <w:vAlign w:val="center"/>
          </w:tcPr>
          <w:p w14:paraId="33F84A20"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128°57'37.20"</w:t>
            </w:r>
          </w:p>
        </w:tc>
        <w:tc>
          <w:tcPr>
            <w:tcW w:w="1774" w:type="dxa"/>
            <w:tcBorders>
              <w:tl2br w:val="nil"/>
              <w:tr2bl w:val="nil"/>
            </w:tcBorders>
            <w:vAlign w:val="center"/>
          </w:tcPr>
          <w:p w14:paraId="574077BA"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44°21'40.33"</w:t>
            </w:r>
          </w:p>
        </w:tc>
        <w:tc>
          <w:tcPr>
            <w:tcW w:w="573" w:type="dxa"/>
            <w:tcBorders>
              <w:tl2br w:val="nil"/>
              <w:tr2bl w:val="nil"/>
            </w:tcBorders>
            <w:vAlign w:val="center"/>
          </w:tcPr>
          <w:p w14:paraId="5F3E0D0F"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329</w:t>
            </w:r>
          </w:p>
        </w:tc>
      </w:tr>
      <w:tr w:rsidR="009D12AF" w14:paraId="48632CEC" w14:textId="77777777">
        <w:trPr>
          <w:trHeight w:val="296"/>
          <w:jc w:val="center"/>
        </w:trPr>
        <w:tc>
          <w:tcPr>
            <w:tcW w:w="1838" w:type="dxa"/>
            <w:vMerge/>
            <w:tcBorders>
              <w:tl2br w:val="nil"/>
              <w:tr2bl w:val="nil"/>
            </w:tcBorders>
            <w:vAlign w:val="center"/>
          </w:tcPr>
          <w:p w14:paraId="7AC00E57"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843" w:type="dxa"/>
            <w:tcBorders>
              <w:tl2br w:val="nil"/>
              <w:tr2bl w:val="nil"/>
            </w:tcBorders>
            <w:vAlign w:val="center"/>
          </w:tcPr>
          <w:p w14:paraId="34F31C5D"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W2</w:t>
            </w:r>
          </w:p>
        </w:tc>
        <w:tc>
          <w:tcPr>
            <w:tcW w:w="2268" w:type="dxa"/>
            <w:tcBorders>
              <w:tl2br w:val="nil"/>
              <w:tr2bl w:val="nil"/>
            </w:tcBorders>
            <w:vAlign w:val="center"/>
          </w:tcPr>
          <w:p w14:paraId="6D93DFE4"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128°57'50.00"</w:t>
            </w:r>
          </w:p>
        </w:tc>
        <w:tc>
          <w:tcPr>
            <w:tcW w:w="1774" w:type="dxa"/>
            <w:tcBorders>
              <w:tl2br w:val="nil"/>
              <w:tr2bl w:val="nil"/>
            </w:tcBorders>
            <w:vAlign w:val="center"/>
          </w:tcPr>
          <w:p w14:paraId="5D01324D"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44°21'40.94"</w:t>
            </w:r>
          </w:p>
        </w:tc>
        <w:tc>
          <w:tcPr>
            <w:tcW w:w="573" w:type="dxa"/>
            <w:tcBorders>
              <w:tl2br w:val="nil"/>
              <w:tr2bl w:val="nil"/>
            </w:tcBorders>
            <w:vAlign w:val="center"/>
          </w:tcPr>
          <w:p w14:paraId="11F39336"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329</w:t>
            </w:r>
          </w:p>
        </w:tc>
      </w:tr>
      <w:tr w:rsidR="009D12AF" w14:paraId="5016A1EE" w14:textId="77777777">
        <w:trPr>
          <w:trHeight w:val="296"/>
          <w:jc w:val="center"/>
        </w:trPr>
        <w:tc>
          <w:tcPr>
            <w:tcW w:w="1838" w:type="dxa"/>
            <w:vMerge/>
            <w:tcBorders>
              <w:tl2br w:val="nil"/>
              <w:tr2bl w:val="nil"/>
            </w:tcBorders>
            <w:vAlign w:val="center"/>
          </w:tcPr>
          <w:p w14:paraId="1FBF3D51"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843" w:type="dxa"/>
            <w:tcBorders>
              <w:tl2br w:val="nil"/>
              <w:tr2bl w:val="nil"/>
            </w:tcBorders>
            <w:vAlign w:val="center"/>
          </w:tcPr>
          <w:p w14:paraId="06A00F44"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W3</w:t>
            </w:r>
          </w:p>
        </w:tc>
        <w:tc>
          <w:tcPr>
            <w:tcW w:w="2268" w:type="dxa"/>
            <w:tcBorders>
              <w:tl2br w:val="nil"/>
              <w:tr2bl w:val="nil"/>
            </w:tcBorders>
            <w:vAlign w:val="center"/>
          </w:tcPr>
          <w:p w14:paraId="45765814"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128°57'47.59"</w:t>
            </w:r>
          </w:p>
        </w:tc>
        <w:tc>
          <w:tcPr>
            <w:tcW w:w="1774" w:type="dxa"/>
            <w:tcBorders>
              <w:tl2br w:val="nil"/>
              <w:tr2bl w:val="nil"/>
            </w:tcBorders>
            <w:vAlign w:val="center"/>
          </w:tcPr>
          <w:p w14:paraId="681DCFD4"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44°21'34.86"</w:t>
            </w:r>
          </w:p>
        </w:tc>
        <w:tc>
          <w:tcPr>
            <w:tcW w:w="573" w:type="dxa"/>
            <w:tcBorders>
              <w:tl2br w:val="nil"/>
              <w:tr2bl w:val="nil"/>
            </w:tcBorders>
            <w:vAlign w:val="center"/>
          </w:tcPr>
          <w:p w14:paraId="5ABAECAD"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329</w:t>
            </w:r>
          </w:p>
        </w:tc>
      </w:tr>
      <w:tr w:rsidR="009D12AF" w14:paraId="6A71CBD7" w14:textId="77777777">
        <w:trPr>
          <w:trHeight w:val="296"/>
          <w:jc w:val="center"/>
        </w:trPr>
        <w:tc>
          <w:tcPr>
            <w:tcW w:w="1838" w:type="dxa"/>
            <w:vMerge w:val="restart"/>
            <w:tcBorders>
              <w:tl2br w:val="nil"/>
              <w:tr2bl w:val="nil"/>
            </w:tcBorders>
            <w:vAlign w:val="center"/>
          </w:tcPr>
          <w:p w14:paraId="0F4F15AF"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长石水库</w:t>
            </w:r>
          </w:p>
        </w:tc>
        <w:tc>
          <w:tcPr>
            <w:tcW w:w="1843" w:type="dxa"/>
            <w:tcBorders>
              <w:tl2br w:val="nil"/>
              <w:tr2bl w:val="nil"/>
            </w:tcBorders>
            <w:vAlign w:val="center"/>
          </w:tcPr>
          <w:p w14:paraId="67FF9577"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C1</w:t>
            </w:r>
          </w:p>
        </w:tc>
        <w:tc>
          <w:tcPr>
            <w:tcW w:w="2268" w:type="dxa"/>
            <w:tcBorders>
              <w:tl2br w:val="nil"/>
              <w:tr2bl w:val="nil"/>
            </w:tcBorders>
            <w:vAlign w:val="center"/>
          </w:tcPr>
          <w:p w14:paraId="5315ED97"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129°37'32.79"</w:t>
            </w:r>
          </w:p>
        </w:tc>
        <w:tc>
          <w:tcPr>
            <w:tcW w:w="1774" w:type="dxa"/>
            <w:tcBorders>
              <w:tl2br w:val="nil"/>
              <w:tr2bl w:val="nil"/>
            </w:tcBorders>
            <w:vAlign w:val="center"/>
          </w:tcPr>
          <w:p w14:paraId="0B48A143"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44°43'12.69"</w:t>
            </w:r>
          </w:p>
        </w:tc>
        <w:tc>
          <w:tcPr>
            <w:tcW w:w="573" w:type="dxa"/>
            <w:tcBorders>
              <w:tl2br w:val="nil"/>
              <w:tr2bl w:val="nil"/>
            </w:tcBorders>
            <w:vAlign w:val="center"/>
          </w:tcPr>
          <w:p w14:paraId="7C5F2DED"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257</w:t>
            </w:r>
          </w:p>
        </w:tc>
      </w:tr>
      <w:tr w:rsidR="009D12AF" w14:paraId="74AAD696" w14:textId="77777777">
        <w:trPr>
          <w:trHeight w:val="296"/>
          <w:jc w:val="center"/>
        </w:trPr>
        <w:tc>
          <w:tcPr>
            <w:tcW w:w="1838" w:type="dxa"/>
            <w:vMerge/>
            <w:tcBorders>
              <w:tl2br w:val="nil"/>
              <w:tr2bl w:val="nil"/>
            </w:tcBorders>
            <w:vAlign w:val="center"/>
          </w:tcPr>
          <w:p w14:paraId="2AA5E2EE"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843" w:type="dxa"/>
            <w:tcBorders>
              <w:tl2br w:val="nil"/>
              <w:tr2bl w:val="nil"/>
            </w:tcBorders>
            <w:vAlign w:val="center"/>
          </w:tcPr>
          <w:p w14:paraId="38FF868C"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C2</w:t>
            </w:r>
          </w:p>
        </w:tc>
        <w:tc>
          <w:tcPr>
            <w:tcW w:w="2268" w:type="dxa"/>
            <w:tcBorders>
              <w:tl2br w:val="nil"/>
              <w:tr2bl w:val="nil"/>
            </w:tcBorders>
            <w:vAlign w:val="center"/>
          </w:tcPr>
          <w:p w14:paraId="3DD98AA4"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129°37'51.75"</w:t>
            </w:r>
          </w:p>
        </w:tc>
        <w:tc>
          <w:tcPr>
            <w:tcW w:w="1774" w:type="dxa"/>
            <w:tcBorders>
              <w:tl2br w:val="nil"/>
              <w:tr2bl w:val="nil"/>
            </w:tcBorders>
            <w:vAlign w:val="center"/>
          </w:tcPr>
          <w:p w14:paraId="5DA890FD"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44°43'18.89"</w:t>
            </w:r>
          </w:p>
        </w:tc>
        <w:tc>
          <w:tcPr>
            <w:tcW w:w="573" w:type="dxa"/>
            <w:tcBorders>
              <w:tl2br w:val="nil"/>
              <w:tr2bl w:val="nil"/>
            </w:tcBorders>
            <w:vAlign w:val="center"/>
          </w:tcPr>
          <w:p w14:paraId="26CF2AD4"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257</w:t>
            </w:r>
          </w:p>
        </w:tc>
      </w:tr>
      <w:tr w:rsidR="009D12AF" w14:paraId="6584CFB6" w14:textId="77777777">
        <w:trPr>
          <w:trHeight w:val="296"/>
          <w:jc w:val="center"/>
        </w:trPr>
        <w:tc>
          <w:tcPr>
            <w:tcW w:w="1838" w:type="dxa"/>
            <w:vMerge w:val="restart"/>
            <w:tcBorders>
              <w:tl2br w:val="nil"/>
              <w:tr2bl w:val="nil"/>
            </w:tcBorders>
            <w:vAlign w:val="center"/>
          </w:tcPr>
          <w:p w14:paraId="58F734F2"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新安晒水池</w:t>
            </w:r>
          </w:p>
        </w:tc>
        <w:tc>
          <w:tcPr>
            <w:tcW w:w="1843" w:type="dxa"/>
            <w:tcBorders>
              <w:tl2br w:val="nil"/>
              <w:tr2bl w:val="nil"/>
            </w:tcBorders>
            <w:vAlign w:val="center"/>
          </w:tcPr>
          <w:p w14:paraId="1EB71CE1"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X1</w:t>
            </w:r>
          </w:p>
        </w:tc>
        <w:tc>
          <w:tcPr>
            <w:tcW w:w="2268" w:type="dxa"/>
            <w:tcBorders>
              <w:tl2br w:val="nil"/>
              <w:tr2bl w:val="nil"/>
            </w:tcBorders>
            <w:vAlign w:val="center"/>
          </w:tcPr>
          <w:p w14:paraId="71DBABF7"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129°05'21.32"</w:t>
            </w:r>
          </w:p>
        </w:tc>
        <w:tc>
          <w:tcPr>
            <w:tcW w:w="1774" w:type="dxa"/>
            <w:tcBorders>
              <w:tl2br w:val="nil"/>
              <w:tr2bl w:val="nil"/>
            </w:tcBorders>
            <w:vAlign w:val="center"/>
          </w:tcPr>
          <w:p w14:paraId="136126D5"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44°24'52.02"</w:t>
            </w:r>
          </w:p>
        </w:tc>
        <w:tc>
          <w:tcPr>
            <w:tcW w:w="573" w:type="dxa"/>
            <w:tcBorders>
              <w:tl2br w:val="nil"/>
              <w:tr2bl w:val="nil"/>
            </w:tcBorders>
            <w:vAlign w:val="center"/>
          </w:tcPr>
          <w:p w14:paraId="111B75D9"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298</w:t>
            </w:r>
          </w:p>
        </w:tc>
      </w:tr>
      <w:tr w:rsidR="009D12AF" w14:paraId="67A0BF24" w14:textId="77777777">
        <w:trPr>
          <w:trHeight w:val="296"/>
          <w:jc w:val="center"/>
        </w:trPr>
        <w:tc>
          <w:tcPr>
            <w:tcW w:w="1838" w:type="dxa"/>
            <w:vMerge/>
            <w:tcBorders>
              <w:tl2br w:val="nil"/>
              <w:tr2bl w:val="nil"/>
            </w:tcBorders>
            <w:vAlign w:val="center"/>
          </w:tcPr>
          <w:p w14:paraId="332156B4"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843" w:type="dxa"/>
            <w:tcBorders>
              <w:tl2br w:val="nil"/>
              <w:tr2bl w:val="nil"/>
            </w:tcBorders>
            <w:vAlign w:val="center"/>
          </w:tcPr>
          <w:p w14:paraId="21080C36"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X2</w:t>
            </w:r>
          </w:p>
        </w:tc>
        <w:tc>
          <w:tcPr>
            <w:tcW w:w="2268" w:type="dxa"/>
            <w:tcBorders>
              <w:tl2br w:val="nil"/>
              <w:tr2bl w:val="nil"/>
            </w:tcBorders>
            <w:vAlign w:val="center"/>
          </w:tcPr>
          <w:p w14:paraId="4CC93EC5"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129°05'16.98"</w:t>
            </w:r>
          </w:p>
        </w:tc>
        <w:tc>
          <w:tcPr>
            <w:tcW w:w="1774" w:type="dxa"/>
            <w:tcBorders>
              <w:tl2br w:val="nil"/>
              <w:tr2bl w:val="nil"/>
            </w:tcBorders>
            <w:vAlign w:val="center"/>
          </w:tcPr>
          <w:p w14:paraId="5F79EC86"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44°24'40.60"</w:t>
            </w:r>
          </w:p>
        </w:tc>
        <w:tc>
          <w:tcPr>
            <w:tcW w:w="573" w:type="dxa"/>
            <w:tcBorders>
              <w:tl2br w:val="nil"/>
              <w:tr2bl w:val="nil"/>
            </w:tcBorders>
            <w:vAlign w:val="center"/>
          </w:tcPr>
          <w:p w14:paraId="6373AC2A"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298</w:t>
            </w:r>
          </w:p>
        </w:tc>
      </w:tr>
      <w:tr w:rsidR="009D12AF" w14:paraId="36E511A0" w14:textId="77777777">
        <w:trPr>
          <w:trHeight w:val="350"/>
          <w:jc w:val="center"/>
        </w:trPr>
        <w:tc>
          <w:tcPr>
            <w:tcW w:w="1838" w:type="dxa"/>
            <w:tcBorders>
              <w:tl2br w:val="nil"/>
              <w:tr2bl w:val="nil"/>
            </w:tcBorders>
            <w:vAlign w:val="center"/>
          </w:tcPr>
          <w:p w14:paraId="1CD1B9E6"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向阳水电站前池</w:t>
            </w:r>
          </w:p>
        </w:tc>
        <w:tc>
          <w:tcPr>
            <w:tcW w:w="1843" w:type="dxa"/>
            <w:tcBorders>
              <w:tl2br w:val="nil"/>
              <w:tr2bl w:val="nil"/>
            </w:tcBorders>
            <w:vAlign w:val="center"/>
          </w:tcPr>
          <w:p w14:paraId="34D55CA9"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Y1</w:t>
            </w:r>
          </w:p>
        </w:tc>
        <w:tc>
          <w:tcPr>
            <w:tcW w:w="2268" w:type="dxa"/>
            <w:tcBorders>
              <w:tl2br w:val="nil"/>
              <w:tr2bl w:val="nil"/>
            </w:tcBorders>
            <w:vAlign w:val="center"/>
          </w:tcPr>
          <w:p w14:paraId="78508A65"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129°17'42.91"</w:t>
            </w:r>
          </w:p>
        </w:tc>
        <w:tc>
          <w:tcPr>
            <w:tcW w:w="1774" w:type="dxa"/>
            <w:tcBorders>
              <w:tl2br w:val="nil"/>
              <w:tr2bl w:val="nil"/>
            </w:tcBorders>
            <w:vAlign w:val="center"/>
          </w:tcPr>
          <w:p w14:paraId="44DA3E13"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44°33'56.52"</w:t>
            </w:r>
          </w:p>
        </w:tc>
        <w:tc>
          <w:tcPr>
            <w:tcW w:w="573" w:type="dxa"/>
            <w:tcBorders>
              <w:tl2br w:val="nil"/>
              <w:tr2bl w:val="nil"/>
            </w:tcBorders>
            <w:vAlign w:val="center"/>
          </w:tcPr>
          <w:p w14:paraId="038C42A3"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258</w:t>
            </w:r>
          </w:p>
        </w:tc>
      </w:tr>
    </w:tbl>
    <w:p w14:paraId="0CE1F9A0" w14:textId="77777777" w:rsidR="009D12AF" w:rsidRDefault="009D12AF">
      <w:pPr>
        <w:ind w:firstLine="480"/>
      </w:pPr>
    </w:p>
    <w:tbl>
      <w:tblPr>
        <w:tblStyle w:val="ae"/>
        <w:tblW w:w="0" w:type="auto"/>
        <w:tblLook w:val="04A0" w:firstRow="1" w:lastRow="0" w:firstColumn="1" w:lastColumn="0" w:noHBand="0" w:noVBand="1"/>
      </w:tblPr>
      <w:tblGrid>
        <w:gridCol w:w="4556"/>
        <w:gridCol w:w="3966"/>
      </w:tblGrid>
      <w:tr w:rsidR="009D12AF" w14:paraId="43B6848E" w14:textId="77777777">
        <w:tc>
          <w:tcPr>
            <w:tcW w:w="4261" w:type="dxa"/>
          </w:tcPr>
          <w:p w14:paraId="54322213" w14:textId="77777777" w:rsidR="009D12AF" w:rsidRDefault="00000000">
            <w:pPr>
              <w:ind w:firstLineChars="0" w:firstLine="0"/>
            </w:pPr>
            <w:r>
              <w:rPr>
                <w:rFonts w:ascii="Times New Roman" w:hAnsi="Times New Roman" w:cs="Times New Roman"/>
                <w:b/>
                <w:noProof/>
                <w:color w:val="000000" w:themeColor="text1"/>
              </w:rPr>
              <w:drawing>
                <wp:inline distT="0" distB="0" distL="0" distR="0" wp14:anchorId="4ADA8330" wp14:editId="3BE79551">
                  <wp:extent cx="2795905" cy="1802765"/>
                  <wp:effectExtent l="0" t="0" r="4445" b="698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53"/>
                          <a:stretch>
                            <a:fillRect/>
                          </a:stretch>
                        </pic:blipFill>
                        <pic:spPr>
                          <a:xfrm>
                            <a:off x="0" y="0"/>
                            <a:ext cx="2817500" cy="1816823"/>
                          </a:xfrm>
                          <a:prstGeom prst="rect">
                            <a:avLst/>
                          </a:prstGeom>
                        </pic:spPr>
                      </pic:pic>
                    </a:graphicData>
                  </a:graphic>
                </wp:inline>
              </w:drawing>
            </w:r>
          </w:p>
        </w:tc>
        <w:tc>
          <w:tcPr>
            <w:tcW w:w="4261" w:type="dxa"/>
          </w:tcPr>
          <w:p w14:paraId="22522086" w14:textId="77777777" w:rsidR="009D12AF" w:rsidRDefault="00000000">
            <w:pPr>
              <w:ind w:firstLineChars="0" w:firstLine="0"/>
            </w:pPr>
            <w:r>
              <w:rPr>
                <w:rFonts w:ascii="Times New Roman" w:hAnsi="Times New Roman" w:cs="Times New Roman"/>
                <w:b/>
                <w:noProof/>
                <w:color w:val="000000" w:themeColor="text1"/>
              </w:rPr>
              <w:drawing>
                <wp:inline distT="0" distB="0" distL="0" distR="0" wp14:anchorId="3E5805D7" wp14:editId="51E4D289">
                  <wp:extent cx="2402840" cy="1759585"/>
                  <wp:effectExtent l="0" t="0" r="16510" b="1206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54"/>
                          <a:stretch>
                            <a:fillRect/>
                          </a:stretch>
                        </pic:blipFill>
                        <pic:spPr>
                          <a:xfrm>
                            <a:off x="0" y="0"/>
                            <a:ext cx="2402840" cy="1759585"/>
                          </a:xfrm>
                          <a:prstGeom prst="rect">
                            <a:avLst/>
                          </a:prstGeom>
                        </pic:spPr>
                      </pic:pic>
                    </a:graphicData>
                  </a:graphic>
                </wp:inline>
              </w:drawing>
            </w:r>
          </w:p>
        </w:tc>
      </w:tr>
      <w:tr w:rsidR="009D12AF" w14:paraId="450F413B" w14:textId="77777777">
        <w:tc>
          <w:tcPr>
            <w:tcW w:w="4261" w:type="dxa"/>
          </w:tcPr>
          <w:p w14:paraId="4C080730" w14:textId="77777777" w:rsidR="009D12AF" w:rsidRDefault="00000000">
            <w:pPr>
              <w:ind w:firstLineChars="0" w:firstLine="0"/>
            </w:pPr>
            <w:r>
              <w:rPr>
                <w:rFonts w:ascii="Times New Roman" w:hAnsi="Times New Roman" w:cs="Times New Roman"/>
                <w:b/>
                <w:noProof/>
                <w:color w:val="000000" w:themeColor="text1"/>
              </w:rPr>
              <w:lastRenderedPageBreak/>
              <w:drawing>
                <wp:inline distT="0" distB="0" distL="0" distR="0" wp14:anchorId="526DABE8" wp14:editId="5468D0D3">
                  <wp:extent cx="2759710" cy="1799590"/>
                  <wp:effectExtent l="0" t="0" r="2540" b="1016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55"/>
                          <a:stretch>
                            <a:fillRect/>
                          </a:stretch>
                        </pic:blipFill>
                        <pic:spPr>
                          <a:xfrm>
                            <a:off x="0" y="0"/>
                            <a:ext cx="2759710" cy="1800000"/>
                          </a:xfrm>
                          <a:prstGeom prst="rect">
                            <a:avLst/>
                          </a:prstGeom>
                        </pic:spPr>
                      </pic:pic>
                    </a:graphicData>
                  </a:graphic>
                </wp:inline>
              </w:drawing>
            </w:r>
          </w:p>
        </w:tc>
        <w:tc>
          <w:tcPr>
            <w:tcW w:w="4261" w:type="dxa"/>
          </w:tcPr>
          <w:p w14:paraId="6B08A0D7" w14:textId="77777777" w:rsidR="009D12AF" w:rsidRDefault="00000000">
            <w:pPr>
              <w:ind w:firstLineChars="0" w:firstLine="0"/>
            </w:pPr>
            <w:r>
              <w:rPr>
                <w:rFonts w:ascii="Times New Roman" w:eastAsia="黑体" w:hAnsi="Times New Roman" w:cs="Times New Roman"/>
                <w:bCs/>
                <w:noProof/>
                <w:color w:val="000000" w:themeColor="text1"/>
                <w:sz w:val="21"/>
                <w:szCs w:val="21"/>
              </w:rPr>
              <w:drawing>
                <wp:inline distT="0" distB="0" distL="0" distR="0" wp14:anchorId="54201DEC" wp14:editId="6F28B675">
                  <wp:extent cx="2374900" cy="1800225"/>
                  <wp:effectExtent l="0" t="0" r="6350" b="952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56"/>
                          <a:stretch>
                            <a:fillRect/>
                          </a:stretch>
                        </pic:blipFill>
                        <pic:spPr>
                          <a:xfrm>
                            <a:off x="0" y="0"/>
                            <a:ext cx="2374900" cy="1800225"/>
                          </a:xfrm>
                          <a:prstGeom prst="rect">
                            <a:avLst/>
                          </a:prstGeom>
                        </pic:spPr>
                      </pic:pic>
                    </a:graphicData>
                  </a:graphic>
                </wp:inline>
              </w:drawing>
            </w:r>
          </w:p>
        </w:tc>
      </w:tr>
      <w:tr w:rsidR="009D12AF" w14:paraId="200A98BC" w14:textId="77777777">
        <w:tc>
          <w:tcPr>
            <w:tcW w:w="4261" w:type="dxa"/>
          </w:tcPr>
          <w:p w14:paraId="75464847" w14:textId="77777777" w:rsidR="009D12AF" w:rsidRDefault="00000000">
            <w:pPr>
              <w:ind w:firstLineChars="0" w:firstLine="0"/>
            </w:pPr>
            <w:r>
              <w:rPr>
                <w:rFonts w:ascii="Times New Roman" w:hAnsi="Times New Roman" w:cs="Times New Roman"/>
                <w:b/>
                <w:noProof/>
                <w:color w:val="000000" w:themeColor="text1"/>
              </w:rPr>
              <w:drawing>
                <wp:inline distT="0" distB="0" distL="0" distR="0" wp14:anchorId="07EC8A89" wp14:editId="188B7021">
                  <wp:extent cx="2723515" cy="1799590"/>
                  <wp:effectExtent l="0" t="0" r="635" b="1016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57"/>
                          <a:stretch>
                            <a:fillRect/>
                          </a:stretch>
                        </pic:blipFill>
                        <pic:spPr>
                          <a:xfrm>
                            <a:off x="0" y="0"/>
                            <a:ext cx="2723515" cy="1800000"/>
                          </a:xfrm>
                          <a:prstGeom prst="rect">
                            <a:avLst/>
                          </a:prstGeom>
                        </pic:spPr>
                      </pic:pic>
                    </a:graphicData>
                  </a:graphic>
                </wp:inline>
              </w:drawing>
            </w:r>
          </w:p>
        </w:tc>
        <w:tc>
          <w:tcPr>
            <w:tcW w:w="4261" w:type="dxa"/>
          </w:tcPr>
          <w:p w14:paraId="244FAF73" w14:textId="77777777" w:rsidR="009D12AF" w:rsidRDefault="00000000">
            <w:pPr>
              <w:ind w:firstLineChars="0" w:firstLine="0"/>
            </w:pPr>
            <w:r>
              <w:rPr>
                <w:rFonts w:ascii="Times New Roman" w:hAnsi="Times New Roman" w:cs="Times New Roman"/>
                <w:b/>
                <w:noProof/>
                <w:color w:val="000000" w:themeColor="text1"/>
              </w:rPr>
              <w:drawing>
                <wp:inline distT="0" distB="0" distL="0" distR="0" wp14:anchorId="38596AF8" wp14:editId="596982C9">
                  <wp:extent cx="2348865" cy="1768475"/>
                  <wp:effectExtent l="0" t="0" r="13335" b="3175"/>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58"/>
                          <a:stretch>
                            <a:fillRect/>
                          </a:stretch>
                        </pic:blipFill>
                        <pic:spPr>
                          <a:xfrm>
                            <a:off x="0" y="0"/>
                            <a:ext cx="2348865" cy="1768475"/>
                          </a:xfrm>
                          <a:prstGeom prst="rect">
                            <a:avLst/>
                          </a:prstGeom>
                        </pic:spPr>
                      </pic:pic>
                    </a:graphicData>
                  </a:graphic>
                </wp:inline>
              </w:drawing>
            </w:r>
          </w:p>
        </w:tc>
      </w:tr>
    </w:tbl>
    <w:p w14:paraId="5192227D" w14:textId="77777777" w:rsidR="009D12AF" w:rsidRDefault="00000000">
      <w:pPr>
        <w:ind w:firstLine="482"/>
        <w:jc w:val="center"/>
        <w:rPr>
          <w:b/>
          <w:bCs/>
        </w:rPr>
      </w:pPr>
      <w:r>
        <w:rPr>
          <w:rFonts w:hint="eastAsia"/>
          <w:b/>
          <w:bCs/>
        </w:rPr>
        <w:t>图</w:t>
      </w:r>
      <w:r>
        <w:rPr>
          <w:rFonts w:hint="eastAsia"/>
          <w:b/>
          <w:bCs/>
        </w:rPr>
        <w:t xml:space="preserve">4.3-18 </w:t>
      </w:r>
      <w:r>
        <w:rPr>
          <w:rFonts w:hint="eastAsia"/>
          <w:b/>
          <w:bCs/>
        </w:rPr>
        <w:t>水生生态调查断面分布示意图</w:t>
      </w:r>
    </w:p>
    <w:p w14:paraId="6E41E61B" w14:textId="77777777" w:rsidR="009D12AF" w:rsidRDefault="00000000">
      <w:pPr>
        <w:ind w:firstLine="480"/>
        <w:jc w:val="left"/>
      </w:pPr>
      <w:r>
        <w:rPr>
          <w:rFonts w:hint="eastAsia"/>
        </w:rPr>
        <w:t>（</w:t>
      </w:r>
      <w:r>
        <w:rPr>
          <w:rFonts w:hint="eastAsia"/>
        </w:rPr>
        <w:t>3</w:t>
      </w:r>
      <w:r>
        <w:rPr>
          <w:rFonts w:hint="eastAsia"/>
        </w:rPr>
        <w:t>）调查方法</w:t>
      </w:r>
    </w:p>
    <w:p w14:paraId="71258BB2" w14:textId="77777777" w:rsidR="009D12AF" w:rsidRDefault="00000000">
      <w:pPr>
        <w:ind w:firstLine="480"/>
        <w:jc w:val="left"/>
        <w:rPr>
          <w:rFonts w:ascii="Times New Roman" w:hAnsi="Times New Roman" w:cs="Times New Roman"/>
          <w:color w:val="000000" w:themeColor="text1"/>
        </w:rPr>
      </w:pPr>
      <w:r>
        <w:rPr>
          <w:rFonts w:ascii="Times New Roman" w:hAnsi="Times New Roman" w:cs="Times New Roman"/>
          <w:color w:val="000000" w:themeColor="text1"/>
        </w:rPr>
        <w:t>生态环境与水生生物资源监测依据《内陆水域渔业自然资源调查手册》，并参照《渔业生态环境监测规范第</w:t>
      </w:r>
      <w:r>
        <w:rPr>
          <w:rFonts w:ascii="Times New Roman" w:hAnsi="Times New Roman" w:cs="Times New Roman"/>
          <w:color w:val="000000" w:themeColor="text1"/>
        </w:rPr>
        <w:t>3</w:t>
      </w:r>
      <w:r>
        <w:rPr>
          <w:rFonts w:ascii="Times New Roman" w:hAnsi="Times New Roman" w:cs="Times New Roman"/>
          <w:color w:val="000000" w:themeColor="text1"/>
        </w:rPr>
        <w:t>部分：淡水》（</w:t>
      </w:r>
      <w:r>
        <w:rPr>
          <w:rFonts w:ascii="Times New Roman" w:hAnsi="Times New Roman" w:cs="Times New Roman"/>
          <w:color w:val="000000" w:themeColor="text1"/>
        </w:rPr>
        <w:t>SC/T9102.3-2007</w:t>
      </w:r>
      <w:r>
        <w:rPr>
          <w:rFonts w:ascii="Times New Roman" w:hAnsi="Times New Roman" w:cs="Times New Roman"/>
          <w:color w:val="000000" w:themeColor="text1"/>
        </w:rPr>
        <w:t>）进行。</w:t>
      </w:r>
    </w:p>
    <w:p w14:paraId="486D2F76" w14:textId="77777777" w:rsidR="009D12AF" w:rsidRDefault="00000000">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①浮游植物</w:t>
      </w:r>
    </w:p>
    <w:p w14:paraId="1FC2AF31"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1</w:t>
      </w:r>
      <w:r>
        <w:rPr>
          <w:rFonts w:ascii="Times New Roman" w:hAnsi="Times New Roman" w:cs="Times New Roman"/>
          <w:color w:val="000000" w:themeColor="text1"/>
        </w:rPr>
        <w:t>）定性样品的采集</w:t>
      </w:r>
    </w:p>
    <w:p w14:paraId="0AC79ECE"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浮游植物的定性样品采集采用</w:t>
      </w:r>
      <w:r>
        <w:rPr>
          <w:rFonts w:ascii="Times New Roman" w:hAnsi="Times New Roman" w:cs="Times New Roman"/>
          <w:color w:val="000000" w:themeColor="text1"/>
        </w:rPr>
        <w:t>25</w:t>
      </w:r>
      <w:r>
        <w:rPr>
          <w:rFonts w:ascii="Times New Roman" w:hAnsi="Times New Roman" w:cs="Times New Roman"/>
          <w:color w:val="000000" w:themeColor="text1"/>
        </w:rPr>
        <w:t>号浮游生物网（孔径</w:t>
      </w:r>
      <w:r>
        <w:rPr>
          <w:rFonts w:ascii="Times New Roman" w:hAnsi="Times New Roman" w:cs="Times New Roman"/>
          <w:color w:val="000000" w:themeColor="text1"/>
        </w:rPr>
        <w:t>0.064 mm</w:t>
      </w:r>
      <w:r>
        <w:rPr>
          <w:rFonts w:ascii="Times New Roman" w:hAnsi="Times New Roman" w:cs="Times New Roman"/>
          <w:color w:val="000000" w:themeColor="text1"/>
        </w:rPr>
        <w:t>），在表层以</w:t>
      </w:r>
      <w:r>
        <w:rPr>
          <w:rFonts w:ascii="Times New Roman" w:hAnsi="Times New Roman" w:cs="Times New Roman"/>
          <w:color w:val="000000" w:themeColor="text1"/>
        </w:rPr>
        <w:t>“∞”</w:t>
      </w:r>
      <w:r>
        <w:rPr>
          <w:rFonts w:ascii="Times New Roman" w:hAnsi="Times New Roman" w:cs="Times New Roman"/>
          <w:color w:val="000000" w:themeColor="text1"/>
        </w:rPr>
        <w:t>循环缓慢拖网</w:t>
      </w:r>
      <w:r>
        <w:rPr>
          <w:rFonts w:ascii="Times New Roman" w:hAnsi="Times New Roman" w:cs="Times New Roman"/>
          <w:color w:val="000000" w:themeColor="text1"/>
        </w:rPr>
        <w:t>5 min</w:t>
      </w:r>
      <w:r>
        <w:rPr>
          <w:rFonts w:ascii="Times New Roman" w:hAnsi="Times New Roman" w:cs="Times New Roman"/>
          <w:color w:val="000000" w:themeColor="text1"/>
        </w:rPr>
        <w:t>左右，样品用</w:t>
      </w:r>
      <w:r>
        <w:rPr>
          <w:rFonts w:ascii="Times New Roman" w:hAnsi="Times New Roman" w:cs="Times New Roman"/>
          <w:color w:val="000000" w:themeColor="text1"/>
        </w:rPr>
        <w:t>4%</w:t>
      </w:r>
      <w:r>
        <w:rPr>
          <w:rFonts w:ascii="Times New Roman" w:hAnsi="Times New Roman" w:cs="Times New Roman"/>
          <w:color w:val="000000" w:themeColor="text1"/>
        </w:rPr>
        <w:t>福尔马林固定。</w:t>
      </w:r>
    </w:p>
    <w:p w14:paraId="2723FA90"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2</w:t>
      </w:r>
      <w:r>
        <w:rPr>
          <w:rFonts w:ascii="Times New Roman" w:hAnsi="Times New Roman" w:cs="Times New Roman"/>
          <w:color w:val="000000" w:themeColor="text1"/>
        </w:rPr>
        <w:t>）定量样品的采集</w:t>
      </w:r>
    </w:p>
    <w:p w14:paraId="2A5022DB"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在断面的左、中、右的断面分别采集表层水（离水面</w:t>
      </w:r>
      <w:r>
        <w:rPr>
          <w:rFonts w:ascii="Times New Roman" w:hAnsi="Times New Roman" w:cs="Times New Roman"/>
          <w:color w:val="000000" w:themeColor="text1"/>
        </w:rPr>
        <w:t>0.5 m</w:t>
      </w:r>
      <w:r>
        <w:rPr>
          <w:rFonts w:ascii="Times New Roman" w:hAnsi="Times New Roman" w:cs="Times New Roman"/>
          <w:color w:val="000000" w:themeColor="text1"/>
        </w:rPr>
        <w:t>处）和底层水（离泥面</w:t>
      </w:r>
      <w:r>
        <w:rPr>
          <w:rFonts w:ascii="Times New Roman" w:hAnsi="Times New Roman" w:cs="Times New Roman"/>
          <w:color w:val="000000" w:themeColor="text1"/>
        </w:rPr>
        <w:t>0.5 m</w:t>
      </w:r>
      <w:r>
        <w:rPr>
          <w:rFonts w:ascii="Times New Roman" w:hAnsi="Times New Roman" w:cs="Times New Roman"/>
          <w:color w:val="000000" w:themeColor="text1"/>
        </w:rPr>
        <w:t>处）各</w:t>
      </w:r>
      <w:r>
        <w:rPr>
          <w:rFonts w:ascii="Times New Roman" w:hAnsi="Times New Roman" w:cs="Times New Roman"/>
          <w:color w:val="000000" w:themeColor="text1"/>
        </w:rPr>
        <w:t>1000 mL</w:t>
      </w:r>
      <w:r>
        <w:rPr>
          <w:rFonts w:ascii="Times New Roman" w:hAnsi="Times New Roman" w:cs="Times New Roman"/>
          <w:color w:val="000000" w:themeColor="text1"/>
        </w:rPr>
        <w:t>，混匀后取</w:t>
      </w:r>
      <w:r>
        <w:rPr>
          <w:rFonts w:ascii="Times New Roman" w:hAnsi="Times New Roman" w:cs="Times New Roman"/>
          <w:color w:val="000000" w:themeColor="text1"/>
        </w:rPr>
        <w:t>1 L</w:t>
      </w:r>
      <w:r>
        <w:rPr>
          <w:rFonts w:ascii="Times New Roman" w:hAnsi="Times New Roman" w:cs="Times New Roman"/>
          <w:color w:val="000000" w:themeColor="text1"/>
        </w:rPr>
        <w:t>，加入鲁哥氏液</w:t>
      </w:r>
      <w:r>
        <w:rPr>
          <w:rFonts w:ascii="Times New Roman" w:hAnsi="Times New Roman" w:cs="Times New Roman"/>
          <w:color w:val="000000" w:themeColor="text1"/>
        </w:rPr>
        <w:t>15 mL</w:t>
      </w:r>
      <w:r>
        <w:rPr>
          <w:rFonts w:ascii="Times New Roman" w:hAnsi="Times New Roman" w:cs="Times New Roman"/>
          <w:color w:val="000000" w:themeColor="text1"/>
        </w:rPr>
        <w:t>固定。</w:t>
      </w:r>
    </w:p>
    <w:p w14:paraId="5F55FC68"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3</w:t>
      </w:r>
      <w:r>
        <w:rPr>
          <w:rFonts w:ascii="Times New Roman" w:hAnsi="Times New Roman" w:cs="Times New Roman"/>
          <w:color w:val="000000" w:themeColor="text1"/>
        </w:rPr>
        <w:t>）室内观察与鉴定定量水样带回实验室后，在分析前先置入分液漏斗中静置</w:t>
      </w:r>
      <w:r>
        <w:rPr>
          <w:rFonts w:ascii="Times New Roman" w:hAnsi="Times New Roman" w:cs="Times New Roman"/>
          <w:color w:val="000000" w:themeColor="text1"/>
        </w:rPr>
        <w:t>48 h</w:t>
      </w:r>
      <w:r>
        <w:rPr>
          <w:rFonts w:ascii="Times New Roman" w:hAnsi="Times New Roman" w:cs="Times New Roman"/>
          <w:color w:val="000000" w:themeColor="text1"/>
        </w:rPr>
        <w:t>，用虹吸法仔细取出上清液，浓缩至</w:t>
      </w:r>
      <w:r>
        <w:rPr>
          <w:rFonts w:ascii="Times New Roman" w:hAnsi="Times New Roman" w:cs="Times New Roman"/>
          <w:color w:val="000000" w:themeColor="text1"/>
        </w:rPr>
        <w:t>40 mL</w:t>
      </w:r>
      <w:r>
        <w:rPr>
          <w:rFonts w:ascii="Times New Roman" w:hAnsi="Times New Roman" w:cs="Times New Roman"/>
          <w:color w:val="000000" w:themeColor="text1"/>
        </w:rPr>
        <w:t>，放入</w:t>
      </w:r>
      <w:r>
        <w:rPr>
          <w:rFonts w:ascii="Times New Roman" w:hAnsi="Times New Roman" w:cs="Times New Roman"/>
          <w:color w:val="000000" w:themeColor="text1"/>
        </w:rPr>
        <w:t>50 mL</w:t>
      </w:r>
      <w:r>
        <w:rPr>
          <w:rFonts w:ascii="Times New Roman" w:hAnsi="Times New Roman" w:cs="Times New Roman"/>
          <w:color w:val="000000" w:themeColor="text1"/>
        </w:rPr>
        <w:t>的定量样品瓶中，用少量上清液冲洗沉淀器</w:t>
      </w:r>
      <w:r>
        <w:rPr>
          <w:rFonts w:ascii="Times New Roman" w:hAnsi="Times New Roman" w:cs="Times New Roman"/>
          <w:color w:val="000000" w:themeColor="text1"/>
        </w:rPr>
        <w:t xml:space="preserve">2 </w:t>
      </w:r>
      <w:r>
        <w:rPr>
          <w:rFonts w:ascii="Times New Roman" w:hAnsi="Times New Roman" w:cs="Times New Roman"/>
          <w:color w:val="000000" w:themeColor="text1"/>
        </w:rPr>
        <w:t>～</w:t>
      </w:r>
      <w:r>
        <w:rPr>
          <w:rFonts w:ascii="Times New Roman" w:hAnsi="Times New Roman" w:cs="Times New Roman"/>
          <w:color w:val="000000" w:themeColor="text1"/>
        </w:rPr>
        <w:t>3</w:t>
      </w:r>
      <w:r>
        <w:rPr>
          <w:rFonts w:ascii="Times New Roman" w:hAnsi="Times New Roman" w:cs="Times New Roman"/>
          <w:color w:val="000000" w:themeColor="text1"/>
        </w:rPr>
        <w:t>次，定容至</w:t>
      </w:r>
      <w:r>
        <w:rPr>
          <w:rFonts w:ascii="Times New Roman" w:hAnsi="Times New Roman" w:cs="Times New Roman"/>
          <w:color w:val="000000" w:themeColor="text1"/>
        </w:rPr>
        <w:t>50 mL</w:t>
      </w:r>
      <w:r>
        <w:rPr>
          <w:rFonts w:ascii="Times New Roman" w:hAnsi="Times New Roman" w:cs="Times New Roman"/>
          <w:color w:val="000000" w:themeColor="text1"/>
        </w:rPr>
        <w:t>以备计数。</w:t>
      </w:r>
    </w:p>
    <w:p w14:paraId="00C0FB40"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将定量样品充分摇匀，迅速吸出</w:t>
      </w:r>
      <w:r>
        <w:rPr>
          <w:rFonts w:ascii="Times New Roman" w:hAnsi="Times New Roman" w:cs="Times New Roman"/>
          <w:color w:val="000000" w:themeColor="text1"/>
        </w:rPr>
        <w:t>0.1 mL</w:t>
      </w:r>
      <w:r>
        <w:rPr>
          <w:rFonts w:ascii="Times New Roman" w:hAnsi="Times New Roman" w:cs="Times New Roman"/>
          <w:color w:val="000000" w:themeColor="text1"/>
        </w:rPr>
        <w:t>，置于</w:t>
      </w:r>
      <w:r>
        <w:rPr>
          <w:rFonts w:ascii="Times New Roman" w:hAnsi="Times New Roman" w:cs="Times New Roman"/>
          <w:color w:val="000000" w:themeColor="text1"/>
        </w:rPr>
        <w:t>0.1 mL</w:t>
      </w:r>
      <w:r>
        <w:rPr>
          <w:rFonts w:ascii="Times New Roman" w:hAnsi="Times New Roman" w:cs="Times New Roman"/>
          <w:color w:val="000000" w:themeColor="text1"/>
        </w:rPr>
        <w:t>计数框内（面积</w:t>
      </w:r>
      <w:r>
        <w:rPr>
          <w:rFonts w:ascii="Times New Roman" w:hAnsi="Times New Roman" w:cs="Times New Roman"/>
          <w:color w:val="000000" w:themeColor="text1"/>
        </w:rPr>
        <w:t>20 mm×20 mm</w:t>
      </w:r>
      <w:r>
        <w:rPr>
          <w:rFonts w:ascii="Times New Roman" w:hAnsi="Times New Roman" w:cs="Times New Roman"/>
          <w:color w:val="000000" w:themeColor="text1"/>
        </w:rPr>
        <w:t>）。盖上盖玻片后，在高倍镜下选择</w:t>
      </w:r>
      <w:r>
        <w:rPr>
          <w:rFonts w:ascii="Times New Roman" w:hAnsi="Times New Roman" w:cs="Times New Roman"/>
          <w:color w:val="000000" w:themeColor="text1"/>
        </w:rPr>
        <w:t xml:space="preserve">3 </w:t>
      </w:r>
      <w:r>
        <w:rPr>
          <w:rFonts w:ascii="Times New Roman" w:hAnsi="Times New Roman" w:cs="Times New Roman"/>
          <w:color w:val="000000" w:themeColor="text1"/>
        </w:rPr>
        <w:t>～</w:t>
      </w:r>
      <w:r>
        <w:rPr>
          <w:rFonts w:ascii="Times New Roman" w:hAnsi="Times New Roman" w:cs="Times New Roman"/>
          <w:color w:val="000000" w:themeColor="text1"/>
        </w:rPr>
        <w:t>5</w:t>
      </w:r>
      <w:r>
        <w:rPr>
          <w:rFonts w:ascii="Times New Roman" w:hAnsi="Times New Roman" w:cs="Times New Roman"/>
          <w:color w:val="000000" w:themeColor="text1"/>
        </w:rPr>
        <w:t>行逐行计数。每瓶标本计</w:t>
      </w:r>
      <w:r>
        <w:rPr>
          <w:rFonts w:ascii="Times New Roman" w:hAnsi="Times New Roman" w:cs="Times New Roman"/>
          <w:color w:val="000000" w:themeColor="text1"/>
        </w:rPr>
        <w:lastRenderedPageBreak/>
        <w:t>数两片取平均值，同一样品的两片标本技术结果与其平均值之差小于</w:t>
      </w:r>
      <w:r>
        <w:rPr>
          <w:rFonts w:ascii="Times New Roman" w:hAnsi="Times New Roman" w:cs="Times New Roman"/>
          <w:color w:val="000000" w:themeColor="text1"/>
        </w:rPr>
        <w:t>10%</w:t>
      </w:r>
      <w:r>
        <w:rPr>
          <w:rFonts w:ascii="Times New Roman" w:hAnsi="Times New Roman" w:cs="Times New Roman"/>
          <w:color w:val="000000" w:themeColor="text1"/>
        </w:rPr>
        <w:t>为有效计数，否则需测第三片，直至符合要求。</w:t>
      </w:r>
    </w:p>
    <w:p w14:paraId="06737516"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1 L</w:t>
      </w:r>
      <w:r>
        <w:rPr>
          <w:rFonts w:ascii="Times New Roman" w:hAnsi="Times New Roman" w:cs="Times New Roman"/>
          <w:color w:val="000000" w:themeColor="text1"/>
        </w:rPr>
        <w:t>水中的浮游植物个数（密度）用以下公式计算：</w:t>
      </w:r>
    </w:p>
    <w:p w14:paraId="165F6E44" w14:textId="77777777" w:rsidR="009D12AF" w:rsidRDefault="00000000">
      <w:pPr>
        <w:ind w:firstLine="480"/>
        <w:jc w:val="cente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114300" distR="114300" wp14:anchorId="3FCB38EE" wp14:editId="7253C91E">
            <wp:extent cx="1207135" cy="384175"/>
            <wp:effectExtent l="0" t="0" r="12065" b="15875"/>
            <wp:docPr id="1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8"/>
                    <pic:cNvPicPr>
                      <a:picLocks noChangeAspect="1"/>
                    </pic:cNvPicPr>
                  </pic:nvPicPr>
                  <pic:blipFill>
                    <a:blip r:embed="rId59">
                      <a:clrChange>
                        <a:clrFrom>
                          <a:srgbClr val="FFFFFF"/>
                        </a:clrFrom>
                        <a:clrTo>
                          <a:srgbClr val="FFFFFF">
                            <a:alpha val="0"/>
                          </a:srgbClr>
                        </a:clrTo>
                      </a:clrChange>
                    </a:blip>
                    <a:stretch>
                      <a:fillRect/>
                    </a:stretch>
                  </pic:blipFill>
                  <pic:spPr>
                    <a:xfrm>
                      <a:off x="0" y="0"/>
                      <a:ext cx="1207135" cy="384175"/>
                    </a:xfrm>
                    <a:prstGeom prst="rect">
                      <a:avLst/>
                    </a:prstGeom>
                    <a:noFill/>
                    <a:ln>
                      <a:noFill/>
                    </a:ln>
                  </pic:spPr>
                </pic:pic>
              </a:graphicData>
            </a:graphic>
          </wp:inline>
        </w:drawing>
      </w:r>
    </w:p>
    <w:p w14:paraId="6615D830"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式中：</w:t>
      </w:r>
      <w:r>
        <w:rPr>
          <w:rFonts w:ascii="Times New Roman" w:hAnsi="Times New Roman" w:cs="Times New Roman"/>
          <w:i/>
          <w:color w:val="000000" w:themeColor="text1"/>
        </w:rPr>
        <w:t>N</w:t>
      </w:r>
      <w:r>
        <w:rPr>
          <w:rFonts w:ascii="Times New Roman" w:hAnsi="Times New Roman" w:cs="Times New Roman"/>
          <w:color w:val="000000" w:themeColor="text1"/>
        </w:rPr>
        <w:t>为</w:t>
      </w:r>
      <w:r>
        <w:rPr>
          <w:rFonts w:ascii="Times New Roman" w:hAnsi="Times New Roman" w:cs="Times New Roman"/>
          <w:color w:val="000000" w:themeColor="text1"/>
        </w:rPr>
        <w:t>1 L</w:t>
      </w:r>
      <w:r>
        <w:rPr>
          <w:rFonts w:ascii="Times New Roman" w:hAnsi="Times New Roman" w:cs="Times New Roman"/>
          <w:color w:val="000000" w:themeColor="text1"/>
        </w:rPr>
        <w:t>水样中浮游植物的数量（个</w:t>
      </w:r>
      <w:r>
        <w:rPr>
          <w:rFonts w:ascii="Times New Roman" w:hAnsi="Times New Roman" w:cs="Times New Roman"/>
          <w:color w:val="000000" w:themeColor="text1"/>
        </w:rPr>
        <w:t>/L</w:t>
      </w:r>
      <w:r>
        <w:rPr>
          <w:rFonts w:ascii="Times New Roman" w:hAnsi="Times New Roman" w:cs="Times New Roman"/>
          <w:color w:val="000000" w:themeColor="text1"/>
        </w:rPr>
        <w:t>）；</w:t>
      </w:r>
      <w:r>
        <w:rPr>
          <w:rFonts w:ascii="Times New Roman" w:hAnsi="Times New Roman" w:cs="Times New Roman"/>
          <w:i/>
          <w:color w:val="000000" w:themeColor="text1"/>
        </w:rPr>
        <w:t>N</w:t>
      </w:r>
      <w:r>
        <w:rPr>
          <w:rFonts w:ascii="Times New Roman" w:hAnsi="Times New Roman" w:cs="Times New Roman"/>
          <w:color w:val="000000" w:themeColor="text1"/>
          <w:vertAlign w:val="subscript"/>
        </w:rPr>
        <w:t>0</w:t>
      </w:r>
      <w:r>
        <w:rPr>
          <w:rFonts w:ascii="Times New Roman" w:hAnsi="Times New Roman" w:cs="Times New Roman"/>
          <w:color w:val="000000" w:themeColor="text1"/>
        </w:rPr>
        <w:t>为计数框总格数；</w:t>
      </w:r>
      <w:r>
        <w:rPr>
          <w:rFonts w:ascii="Times New Roman" w:hAnsi="Times New Roman" w:cs="Times New Roman"/>
          <w:i/>
          <w:color w:val="000000" w:themeColor="text1"/>
        </w:rPr>
        <w:t>N</w:t>
      </w:r>
      <w:r>
        <w:rPr>
          <w:rFonts w:ascii="Times New Roman" w:hAnsi="Times New Roman" w:cs="Times New Roman"/>
          <w:color w:val="000000" w:themeColor="text1"/>
          <w:vertAlign w:val="subscript"/>
        </w:rPr>
        <w:t>1</w:t>
      </w:r>
      <w:r>
        <w:rPr>
          <w:rFonts w:ascii="Times New Roman" w:hAnsi="Times New Roman" w:cs="Times New Roman"/>
          <w:color w:val="000000" w:themeColor="text1"/>
        </w:rPr>
        <w:t>为计数过的方格数；</w:t>
      </w:r>
      <w:r>
        <w:rPr>
          <w:rFonts w:ascii="Times New Roman" w:hAnsi="Times New Roman" w:cs="Times New Roman"/>
          <w:i/>
          <w:color w:val="000000" w:themeColor="text1"/>
        </w:rPr>
        <w:t>V</w:t>
      </w:r>
      <w:r>
        <w:rPr>
          <w:rFonts w:ascii="Times New Roman" w:hAnsi="Times New Roman" w:cs="Times New Roman"/>
          <w:color w:val="000000" w:themeColor="text1"/>
          <w:vertAlign w:val="subscript"/>
        </w:rPr>
        <w:t>1</w:t>
      </w:r>
      <w:r>
        <w:rPr>
          <w:rFonts w:ascii="Times New Roman" w:hAnsi="Times New Roman" w:cs="Times New Roman"/>
          <w:color w:val="000000" w:themeColor="text1"/>
        </w:rPr>
        <w:t>为</w:t>
      </w:r>
      <w:r>
        <w:rPr>
          <w:rFonts w:ascii="Times New Roman" w:hAnsi="Times New Roman" w:cs="Times New Roman"/>
          <w:color w:val="000000" w:themeColor="text1"/>
        </w:rPr>
        <w:t>1 L</w:t>
      </w:r>
      <w:r>
        <w:rPr>
          <w:rFonts w:ascii="Times New Roman" w:hAnsi="Times New Roman" w:cs="Times New Roman"/>
          <w:color w:val="000000" w:themeColor="text1"/>
        </w:rPr>
        <w:t>水样经浓缩后的体积（</w:t>
      </w:r>
      <w:r>
        <w:rPr>
          <w:rFonts w:ascii="Times New Roman" w:hAnsi="Times New Roman" w:cs="Times New Roman"/>
          <w:color w:val="000000" w:themeColor="text1"/>
        </w:rPr>
        <w:t>mL</w:t>
      </w:r>
      <w:r>
        <w:rPr>
          <w:rFonts w:ascii="Times New Roman" w:hAnsi="Times New Roman" w:cs="Times New Roman"/>
          <w:color w:val="000000" w:themeColor="text1"/>
        </w:rPr>
        <w:t>）；</w:t>
      </w:r>
      <w:r>
        <w:rPr>
          <w:rFonts w:ascii="Times New Roman" w:hAnsi="Times New Roman" w:cs="Times New Roman"/>
          <w:i/>
          <w:color w:val="000000" w:themeColor="text1"/>
        </w:rPr>
        <w:t>V</w:t>
      </w:r>
      <w:r>
        <w:rPr>
          <w:rFonts w:ascii="Times New Roman" w:hAnsi="Times New Roman" w:cs="Times New Roman"/>
          <w:color w:val="000000" w:themeColor="text1"/>
          <w:vertAlign w:val="subscript"/>
        </w:rPr>
        <w:t>0</w:t>
      </w:r>
      <w:r>
        <w:rPr>
          <w:rFonts w:ascii="Times New Roman" w:hAnsi="Times New Roman" w:cs="Times New Roman"/>
          <w:color w:val="000000" w:themeColor="text1"/>
        </w:rPr>
        <w:t>为计数框容积（</w:t>
      </w:r>
      <w:r>
        <w:rPr>
          <w:rFonts w:ascii="Times New Roman" w:hAnsi="Times New Roman" w:cs="Times New Roman"/>
          <w:color w:val="000000" w:themeColor="text1"/>
        </w:rPr>
        <w:t>mL</w:t>
      </w:r>
      <w:r>
        <w:rPr>
          <w:rFonts w:ascii="Times New Roman" w:hAnsi="Times New Roman" w:cs="Times New Roman"/>
          <w:color w:val="000000" w:themeColor="text1"/>
        </w:rPr>
        <w:t>）；</w:t>
      </w:r>
      <w:r>
        <w:rPr>
          <w:rFonts w:ascii="Times New Roman" w:hAnsi="Times New Roman" w:cs="Times New Roman"/>
          <w:i/>
          <w:color w:val="000000" w:themeColor="text1"/>
        </w:rPr>
        <w:t>P</w:t>
      </w:r>
      <w:r>
        <w:rPr>
          <w:rFonts w:ascii="Times New Roman" w:hAnsi="Times New Roman" w:cs="Times New Roman"/>
          <w:i/>
          <w:color w:val="000000" w:themeColor="text1"/>
          <w:vertAlign w:val="subscript"/>
        </w:rPr>
        <w:t>n</w:t>
      </w:r>
      <w:r>
        <w:rPr>
          <w:rFonts w:ascii="Times New Roman" w:hAnsi="Times New Roman" w:cs="Times New Roman"/>
          <w:color w:val="000000" w:themeColor="text1"/>
        </w:rPr>
        <w:t>为计数的浮游植物个数（个）。</w:t>
      </w:r>
    </w:p>
    <w:p w14:paraId="6F138DD2" w14:textId="77777777" w:rsidR="009D12AF" w:rsidRDefault="00000000">
      <w:pPr>
        <w:ind w:firstLine="480"/>
        <w:jc w:val="left"/>
        <w:rPr>
          <w:rFonts w:ascii="Times New Roman" w:hAnsi="Times New Roman" w:cs="Times New Roman"/>
          <w:color w:val="000000" w:themeColor="text1"/>
        </w:rPr>
      </w:pPr>
      <w:r>
        <w:rPr>
          <w:rFonts w:ascii="Times New Roman" w:hAnsi="Times New Roman" w:cs="Times New Roman"/>
          <w:color w:val="000000" w:themeColor="text1"/>
        </w:rPr>
        <w:t>浮游植物的比重接近</w:t>
      </w:r>
      <w:r>
        <w:rPr>
          <w:rFonts w:ascii="Times New Roman" w:hAnsi="Times New Roman" w:cs="Times New Roman"/>
          <w:color w:val="000000" w:themeColor="text1"/>
        </w:rPr>
        <w:t>1</w:t>
      </w:r>
      <w:r>
        <w:rPr>
          <w:rFonts w:ascii="Times New Roman" w:hAnsi="Times New Roman" w:cs="Times New Roman"/>
          <w:color w:val="000000" w:themeColor="text1"/>
        </w:rPr>
        <w:t>，可直接采用体积换算成重量（湿重），大多数藻类的细胞形状较规则，可用形状相似的几何体积公式计算其体积，测量必要的长度、高度、直径等，每一种类至少随机测定</w:t>
      </w:r>
      <w:r>
        <w:rPr>
          <w:rFonts w:ascii="Times New Roman" w:hAnsi="Times New Roman" w:cs="Times New Roman"/>
          <w:color w:val="000000" w:themeColor="text1"/>
        </w:rPr>
        <w:t>50</w:t>
      </w:r>
      <w:r>
        <w:rPr>
          <w:rFonts w:ascii="Times New Roman" w:hAnsi="Times New Roman" w:cs="Times New Roman"/>
          <w:color w:val="000000" w:themeColor="text1"/>
        </w:rPr>
        <w:t>个，求出平均值。所有藻类生物量的和即为</w:t>
      </w:r>
      <w:r>
        <w:rPr>
          <w:rFonts w:ascii="Times New Roman" w:hAnsi="Times New Roman" w:cs="Times New Roman"/>
          <w:color w:val="000000" w:themeColor="text1"/>
        </w:rPr>
        <w:t>1 L</w:t>
      </w:r>
      <w:r>
        <w:rPr>
          <w:rFonts w:ascii="Times New Roman" w:hAnsi="Times New Roman" w:cs="Times New Roman"/>
          <w:color w:val="000000" w:themeColor="text1"/>
        </w:rPr>
        <w:t>水样中浮游植物的生物量，单位为</w:t>
      </w:r>
      <w:r>
        <w:rPr>
          <w:rFonts w:ascii="Times New Roman" w:hAnsi="Times New Roman" w:cs="Times New Roman"/>
          <w:color w:val="000000" w:themeColor="text1"/>
        </w:rPr>
        <w:t>mg/L</w:t>
      </w:r>
      <w:r>
        <w:rPr>
          <w:rFonts w:ascii="Times New Roman" w:hAnsi="Times New Roman" w:cs="Times New Roman"/>
          <w:color w:val="000000" w:themeColor="text1"/>
        </w:rPr>
        <w:t>。</w:t>
      </w:r>
    </w:p>
    <w:p w14:paraId="5C34A248" w14:textId="77777777" w:rsidR="009D12AF" w:rsidRDefault="00000000">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②底栖动物</w:t>
      </w:r>
    </w:p>
    <w:p w14:paraId="6A427AB2" w14:textId="77777777" w:rsidR="009D12AF" w:rsidRDefault="00000000">
      <w:pPr>
        <w:ind w:firstLine="480"/>
        <w:jc w:val="left"/>
        <w:rPr>
          <w:rFonts w:ascii="Times New Roman" w:hAnsi="Times New Roman" w:cs="Times New Roman"/>
          <w:color w:val="000000" w:themeColor="text1"/>
        </w:rPr>
      </w:pPr>
      <w:r>
        <w:rPr>
          <w:rFonts w:ascii="Times New Roman" w:hAnsi="Times New Roman" w:cs="Times New Roman"/>
          <w:color w:val="000000" w:themeColor="text1"/>
        </w:rPr>
        <w:t>在采样点附近选取具有代表性的河滩，选取</w:t>
      </w:r>
      <w:r>
        <w:rPr>
          <w:rFonts w:ascii="Times New Roman" w:hAnsi="Times New Roman" w:cs="Times New Roman"/>
          <w:color w:val="000000" w:themeColor="text1"/>
        </w:rPr>
        <w:t>1 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，将此</w:t>
      </w:r>
      <w:r>
        <w:rPr>
          <w:rFonts w:ascii="Times New Roman" w:hAnsi="Times New Roman" w:cs="Times New Roman"/>
          <w:color w:val="000000" w:themeColor="text1"/>
        </w:rPr>
        <w:t>1 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内的护坡石块上的底栖动物用镊子小心夹取，如底质为沙或泥则用铁铲铲出泥沙，用</w:t>
      </w:r>
      <w:r>
        <w:rPr>
          <w:rFonts w:ascii="Times New Roman" w:hAnsi="Times New Roman" w:cs="Times New Roman"/>
          <w:color w:val="000000" w:themeColor="text1"/>
        </w:rPr>
        <w:t>40</w:t>
      </w:r>
      <w:r>
        <w:rPr>
          <w:rFonts w:ascii="Times New Roman" w:hAnsi="Times New Roman" w:cs="Times New Roman"/>
          <w:color w:val="000000" w:themeColor="text1"/>
        </w:rPr>
        <w:t>目分样筛淘洗和筛选出样本。河道采样采用改良彼得生采泥器（开口面积</w:t>
      </w:r>
      <w:r>
        <w:rPr>
          <w:rFonts w:ascii="Times New Roman" w:hAnsi="Times New Roman" w:cs="Times New Roman"/>
          <w:color w:val="000000" w:themeColor="text1"/>
        </w:rPr>
        <w:t>1/16 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）采集，将采得的泥样全部放入塑料盆内，经</w:t>
      </w:r>
      <w:r>
        <w:rPr>
          <w:rFonts w:ascii="Times New Roman" w:hAnsi="Times New Roman" w:cs="Times New Roman"/>
          <w:color w:val="000000" w:themeColor="text1"/>
        </w:rPr>
        <w:t>40</w:t>
      </w:r>
      <w:r>
        <w:rPr>
          <w:rFonts w:ascii="Times New Roman" w:hAnsi="Times New Roman" w:cs="Times New Roman"/>
          <w:color w:val="000000" w:themeColor="text1"/>
        </w:rPr>
        <w:t>目分样筛筛洗后捡出筛上可见的全部动物。所有样品放入编号的样品瓶中用</w:t>
      </w:r>
      <w:r>
        <w:rPr>
          <w:rFonts w:ascii="Times New Roman" w:hAnsi="Times New Roman" w:cs="Times New Roman"/>
          <w:color w:val="000000" w:themeColor="text1"/>
        </w:rPr>
        <w:t>5%</w:t>
      </w:r>
      <w:r>
        <w:rPr>
          <w:rFonts w:ascii="Times New Roman" w:hAnsi="Times New Roman" w:cs="Times New Roman"/>
          <w:color w:val="000000" w:themeColor="text1"/>
        </w:rPr>
        <w:t>甲醛溶液固定。将每个断面采集到的底栖动物样品，按采集编号逐号进行整理，所采标本鉴定到属或种，再分种逐一进行种类数量统计，用电子天平称重，称重前需将标本放在吸水纸上，吸去表面的水分，称出每种的湿重，再换算成每平方米的种类密度及生物量（湿重）。</w:t>
      </w:r>
    </w:p>
    <w:p w14:paraId="1369F700" w14:textId="77777777" w:rsidR="009D12AF" w:rsidRDefault="00000000">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③水生维管植物</w:t>
      </w:r>
    </w:p>
    <w:p w14:paraId="633589E6"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1</w:t>
      </w:r>
      <w:r>
        <w:rPr>
          <w:rFonts w:ascii="Times New Roman" w:hAnsi="Times New Roman" w:cs="Times New Roman"/>
          <w:color w:val="000000" w:themeColor="text1"/>
        </w:rPr>
        <w:t>）定性样品的采集</w:t>
      </w:r>
    </w:p>
    <w:p w14:paraId="17F820A9"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采集水深</w:t>
      </w:r>
      <w:r>
        <w:rPr>
          <w:rFonts w:ascii="Times New Roman" w:hAnsi="Times New Roman" w:cs="Times New Roman"/>
          <w:color w:val="000000" w:themeColor="text1"/>
        </w:rPr>
        <w:t>2m</w:t>
      </w:r>
      <w:r>
        <w:rPr>
          <w:rFonts w:ascii="Times New Roman" w:hAnsi="Times New Roman" w:cs="Times New Roman"/>
          <w:color w:val="000000" w:themeColor="text1"/>
        </w:rPr>
        <w:t>以内的物种和优势种，挺水植物用手采集；浮叶植物和沉水植物用水草采集耙采集；漂浮植物直接用手或带柄手抄网采集。采集的样品尽量完整。</w:t>
      </w:r>
    </w:p>
    <w:p w14:paraId="2509C0A6"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2</w:t>
      </w:r>
      <w:r>
        <w:rPr>
          <w:rFonts w:ascii="Times New Roman" w:hAnsi="Times New Roman" w:cs="Times New Roman"/>
          <w:color w:val="000000" w:themeColor="text1"/>
        </w:rPr>
        <w:t>）定量样品的采集</w:t>
      </w:r>
    </w:p>
    <w:p w14:paraId="02305E33" w14:textId="77777777" w:rsidR="009D12AF" w:rsidRDefault="00000000">
      <w:pPr>
        <w:ind w:firstLine="480"/>
        <w:jc w:val="left"/>
        <w:rPr>
          <w:rFonts w:ascii="Times New Roman" w:hAnsi="Times New Roman" w:cs="Times New Roman"/>
          <w:color w:val="000000" w:themeColor="text1"/>
        </w:rPr>
      </w:pPr>
      <w:r>
        <w:rPr>
          <w:rFonts w:ascii="Times New Roman" w:hAnsi="Times New Roman" w:cs="Times New Roman"/>
          <w:color w:val="000000" w:themeColor="text1"/>
        </w:rPr>
        <w:t>选择密集区、一般区和稀疏区采样。挺水植物用</w:t>
      </w:r>
      <w:r>
        <w:rPr>
          <w:rFonts w:ascii="Times New Roman" w:hAnsi="Times New Roman" w:cs="Times New Roman"/>
          <w:color w:val="000000" w:themeColor="text1"/>
        </w:rPr>
        <w:t>1m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采样方框采集，采集时，将方框内的全部植物从基部割取。沉水植物、浮叶植物和漂浮植物用采样面积为</w:t>
      </w:r>
      <w:r>
        <w:rPr>
          <w:rFonts w:ascii="Times New Roman" w:hAnsi="Times New Roman" w:cs="Times New Roman"/>
          <w:color w:val="000000" w:themeColor="text1"/>
        </w:rPr>
        <w:lastRenderedPageBreak/>
        <w:t>0.25 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的水草定量夹采集。每个断面采集</w:t>
      </w:r>
      <w:r>
        <w:rPr>
          <w:rFonts w:ascii="Times New Roman" w:hAnsi="Times New Roman" w:cs="Times New Roman"/>
          <w:color w:val="000000" w:themeColor="text1"/>
        </w:rPr>
        <w:t>2</w:t>
      </w:r>
      <w:r>
        <w:rPr>
          <w:rFonts w:ascii="Times New Roman" w:hAnsi="Times New Roman" w:cs="Times New Roman"/>
          <w:color w:val="000000" w:themeColor="text1"/>
        </w:rPr>
        <w:t>个平行样品。</w:t>
      </w:r>
    </w:p>
    <w:p w14:paraId="149A7F5B" w14:textId="77777777" w:rsidR="009D12AF" w:rsidRDefault="00000000">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④鱼类</w:t>
      </w:r>
    </w:p>
    <w:p w14:paraId="06147BB7"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1</w:t>
      </w:r>
      <w:r>
        <w:rPr>
          <w:rFonts w:ascii="Times New Roman" w:hAnsi="Times New Roman" w:cs="Times New Roman"/>
          <w:color w:val="000000" w:themeColor="text1"/>
        </w:rPr>
        <w:t>）资料收集</w:t>
      </w:r>
    </w:p>
    <w:p w14:paraId="5ADAC1B1"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选用二十世纪八十年代作为历史基点。调查评估河流流域鱼类历史调查数据或文献，主要参考《东北地区淡水鱼类》、《黑龙江省鱼类志》和《黑龙江水系（包括辽河水系及鸭绿江水系）渔业资源调查报告》等，基于历史调查数据分析统计评估河流的鱼类种类数，在此基础上，开展专家咨询调查，确定河流所在水生态分区的鱼类历史背景状况，建立鱼类指标调查评估预期。采取实地踏勘、走访等方式，获取第一手资料。</w:t>
      </w:r>
    </w:p>
    <w:p w14:paraId="15459592"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2</w:t>
      </w:r>
      <w:r>
        <w:rPr>
          <w:rFonts w:ascii="Times New Roman" w:hAnsi="Times New Roman" w:cs="Times New Roman"/>
          <w:color w:val="000000" w:themeColor="text1"/>
        </w:rPr>
        <w:t>）鱼类区系组成</w:t>
      </w:r>
    </w:p>
    <w:p w14:paraId="2987B597"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根据鱼类区系的调查方法，采取定点捕捞、市场收集、走访相结合的方法，对保护区调查范围内的鱼类资源进行全面调查，采集鱼类标本，搜集有关的历史文献资料。通过对标本的分类鉴定，历史资料的分析整理，依分类学的方法研究鱼类的种属名称、地位、种类组成、地理分布及其种类演变情况，编制出鱼类种类组成名录。</w:t>
      </w:r>
    </w:p>
    <w:p w14:paraId="564E3A7F"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3</w:t>
      </w:r>
      <w:r>
        <w:rPr>
          <w:rFonts w:ascii="Times New Roman" w:hAnsi="Times New Roman" w:cs="Times New Roman"/>
          <w:color w:val="000000" w:themeColor="text1"/>
        </w:rPr>
        <w:t>）鱼类资源现状</w:t>
      </w:r>
    </w:p>
    <w:p w14:paraId="1226EF69" w14:textId="77777777" w:rsidR="009D12AF" w:rsidRDefault="00000000">
      <w:pPr>
        <w:ind w:firstLine="480"/>
        <w:jc w:val="left"/>
        <w:rPr>
          <w:rFonts w:ascii="Times New Roman" w:hAnsi="Times New Roman" w:cs="Times New Roman"/>
          <w:color w:val="000000" w:themeColor="text1"/>
        </w:rPr>
      </w:pPr>
      <w:r>
        <w:rPr>
          <w:rFonts w:ascii="Times New Roman" w:hAnsi="Times New Roman" w:cs="Times New Roman"/>
          <w:color w:val="000000" w:themeColor="text1"/>
        </w:rPr>
        <w:t>鱼类资源量的调查采取社会捕捞渔获物统计分析，结合现场调查取样进行。采用访问调查和统计表调查方法，调查资源量和渔获量。向当地渔业主管部门、渔政管理部门及渔民调查了解渔业资源现状以及鱼类资源管理中存在的问题。对渔获物资料进行整理分析，得出各站点主要捕捞对象及其在渔获物中所占比重，以判断鱼类资源状况。</w:t>
      </w:r>
    </w:p>
    <w:p w14:paraId="7ABB3761" w14:textId="77777777" w:rsidR="009D12AF" w:rsidRDefault="00000000">
      <w:pPr>
        <w:pStyle w:val="4"/>
        <w:ind w:firstLineChars="0" w:firstLine="0"/>
      </w:pPr>
      <w:r>
        <w:rPr>
          <w:rFonts w:hint="eastAsia"/>
        </w:rPr>
        <w:t>4.3.6.2</w:t>
      </w:r>
      <w:r>
        <w:rPr>
          <w:rFonts w:hint="eastAsia"/>
        </w:rPr>
        <w:t>水生生物资源和水生态环境现状</w:t>
      </w:r>
    </w:p>
    <w:p w14:paraId="7B4872D4" w14:textId="77777777" w:rsidR="009D12AF" w:rsidRDefault="00000000">
      <w:pPr>
        <w:ind w:firstLine="480"/>
      </w:pPr>
      <w:r>
        <w:rPr>
          <w:rFonts w:hint="eastAsia"/>
        </w:rPr>
        <w:t>一、鱼类</w:t>
      </w:r>
    </w:p>
    <w:p w14:paraId="256A331E" w14:textId="77777777" w:rsidR="009D12AF" w:rsidRDefault="00000000">
      <w:pPr>
        <w:ind w:firstLine="480"/>
      </w:pPr>
      <w:r>
        <w:rPr>
          <w:rFonts w:hint="eastAsia"/>
        </w:rPr>
        <w:t>1</w:t>
      </w:r>
      <w:r>
        <w:rPr>
          <w:rFonts w:hint="eastAsia"/>
        </w:rPr>
        <w:t>、种类组成</w:t>
      </w:r>
    </w:p>
    <w:p w14:paraId="7637C25D"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根据现场调查评价水域共有鱼类有</w:t>
      </w:r>
      <w:r>
        <w:rPr>
          <w:rFonts w:ascii="Times New Roman" w:hAnsi="Times New Roman" w:cs="Times New Roman"/>
          <w:color w:val="000000" w:themeColor="text1"/>
        </w:rPr>
        <w:t>23</w:t>
      </w:r>
      <w:r>
        <w:rPr>
          <w:rFonts w:ascii="Times New Roman" w:hAnsi="Times New Roman" w:cs="Times New Roman"/>
          <w:color w:val="000000" w:themeColor="text1"/>
        </w:rPr>
        <w:t>种，隶属</w:t>
      </w:r>
      <w:r>
        <w:rPr>
          <w:rFonts w:ascii="Times New Roman" w:hAnsi="Times New Roman" w:cs="Times New Roman"/>
          <w:color w:val="000000" w:themeColor="text1"/>
        </w:rPr>
        <w:t>4</w:t>
      </w:r>
      <w:r>
        <w:rPr>
          <w:rFonts w:ascii="Times New Roman" w:hAnsi="Times New Roman" w:cs="Times New Roman"/>
          <w:color w:val="000000" w:themeColor="text1"/>
        </w:rPr>
        <w:t>目</w:t>
      </w:r>
      <w:r>
        <w:rPr>
          <w:rFonts w:ascii="Times New Roman" w:hAnsi="Times New Roman" w:cs="Times New Roman"/>
          <w:color w:val="000000" w:themeColor="text1"/>
        </w:rPr>
        <w:t>7</w:t>
      </w:r>
      <w:r>
        <w:rPr>
          <w:rFonts w:ascii="Times New Roman" w:hAnsi="Times New Roman" w:cs="Times New Roman"/>
          <w:color w:val="000000" w:themeColor="text1"/>
        </w:rPr>
        <w:t>科，其中鲤科</w:t>
      </w:r>
      <w:r>
        <w:rPr>
          <w:rFonts w:ascii="Times New Roman" w:hAnsi="Times New Roman" w:cs="Times New Roman"/>
          <w:color w:val="000000" w:themeColor="text1"/>
        </w:rPr>
        <w:t>17</w:t>
      </w:r>
      <w:r>
        <w:rPr>
          <w:rFonts w:ascii="Times New Roman" w:hAnsi="Times New Roman" w:cs="Times New Roman"/>
          <w:color w:val="000000" w:themeColor="text1"/>
        </w:rPr>
        <w:t>种，鳅科、鲿科、鲇科、鰕鯱鱼科、胡瓜鱼科和鮨科各</w:t>
      </w:r>
      <w:r>
        <w:rPr>
          <w:rFonts w:ascii="Times New Roman" w:hAnsi="Times New Roman" w:cs="Times New Roman"/>
          <w:color w:val="000000" w:themeColor="text1"/>
        </w:rPr>
        <w:t>1</w:t>
      </w:r>
      <w:r>
        <w:rPr>
          <w:rFonts w:ascii="Times New Roman" w:hAnsi="Times New Roman" w:cs="Times New Roman"/>
          <w:color w:val="000000" w:themeColor="text1"/>
        </w:rPr>
        <w:t>种。其中，草鱼、鲢、鳙、池沼公鱼为渔业生产移植鱼类。调查期间，莲花水库采集鱼类</w:t>
      </w:r>
      <w:r>
        <w:rPr>
          <w:rFonts w:ascii="Times New Roman" w:hAnsi="Times New Roman" w:cs="Times New Roman"/>
          <w:color w:val="000000" w:themeColor="text1"/>
        </w:rPr>
        <w:t>3</w:t>
      </w:r>
      <w:r>
        <w:rPr>
          <w:rFonts w:ascii="Times New Roman" w:hAnsi="Times New Roman" w:cs="Times New Roman"/>
          <w:color w:val="000000" w:themeColor="text1"/>
        </w:rPr>
        <w:t>目</w:t>
      </w:r>
      <w:r>
        <w:rPr>
          <w:rFonts w:ascii="Times New Roman" w:hAnsi="Times New Roman" w:cs="Times New Roman"/>
          <w:color w:val="000000" w:themeColor="text1"/>
        </w:rPr>
        <w:t>6</w:t>
      </w:r>
      <w:r>
        <w:rPr>
          <w:rFonts w:ascii="Times New Roman" w:hAnsi="Times New Roman" w:cs="Times New Roman"/>
          <w:color w:val="000000" w:themeColor="text1"/>
        </w:rPr>
        <w:t>科</w:t>
      </w:r>
      <w:r>
        <w:rPr>
          <w:rFonts w:ascii="Times New Roman" w:hAnsi="Times New Roman" w:cs="Times New Roman"/>
          <w:color w:val="000000" w:themeColor="text1"/>
        </w:rPr>
        <w:t>20</w:t>
      </w:r>
      <w:r>
        <w:rPr>
          <w:rFonts w:ascii="Times New Roman" w:hAnsi="Times New Roman" w:cs="Times New Roman"/>
          <w:color w:val="000000" w:themeColor="text1"/>
        </w:rPr>
        <w:t>种，</w:t>
      </w:r>
      <w:r>
        <w:rPr>
          <w:rFonts w:ascii="Times New Roman" w:hAnsi="Times New Roman" w:cs="Times New Roman"/>
          <w:color w:val="000000" w:themeColor="text1"/>
        </w:rPr>
        <w:lastRenderedPageBreak/>
        <w:t>群力水库采集鱼类</w:t>
      </w:r>
      <w:r>
        <w:rPr>
          <w:rFonts w:ascii="Times New Roman" w:hAnsi="Times New Roman" w:cs="Times New Roman"/>
          <w:color w:val="000000" w:themeColor="text1"/>
        </w:rPr>
        <w:t>3</w:t>
      </w:r>
      <w:r>
        <w:rPr>
          <w:rFonts w:ascii="Times New Roman" w:hAnsi="Times New Roman" w:cs="Times New Roman"/>
          <w:color w:val="000000" w:themeColor="text1"/>
        </w:rPr>
        <w:t>目</w:t>
      </w:r>
      <w:r>
        <w:rPr>
          <w:rFonts w:ascii="Times New Roman" w:hAnsi="Times New Roman" w:cs="Times New Roman"/>
          <w:color w:val="000000" w:themeColor="text1"/>
        </w:rPr>
        <w:t>6</w:t>
      </w:r>
      <w:r>
        <w:rPr>
          <w:rFonts w:ascii="Times New Roman" w:hAnsi="Times New Roman" w:cs="Times New Roman"/>
          <w:color w:val="000000" w:themeColor="text1"/>
        </w:rPr>
        <w:t>科</w:t>
      </w:r>
      <w:r>
        <w:rPr>
          <w:rFonts w:ascii="Times New Roman" w:hAnsi="Times New Roman" w:cs="Times New Roman"/>
          <w:color w:val="000000" w:themeColor="text1"/>
        </w:rPr>
        <w:t>20</w:t>
      </w:r>
      <w:r>
        <w:rPr>
          <w:rFonts w:ascii="Times New Roman" w:hAnsi="Times New Roman" w:cs="Times New Roman"/>
          <w:color w:val="000000" w:themeColor="text1"/>
        </w:rPr>
        <w:t>种，万丈水库</w:t>
      </w:r>
      <w:r>
        <w:rPr>
          <w:rFonts w:ascii="Times New Roman" w:hAnsi="Times New Roman" w:cs="Times New Roman"/>
          <w:color w:val="000000" w:themeColor="text1"/>
        </w:rPr>
        <w:t>3</w:t>
      </w:r>
      <w:r>
        <w:rPr>
          <w:rFonts w:ascii="Times New Roman" w:hAnsi="Times New Roman" w:cs="Times New Roman"/>
          <w:color w:val="000000" w:themeColor="text1"/>
        </w:rPr>
        <w:t>目</w:t>
      </w:r>
      <w:r>
        <w:rPr>
          <w:rFonts w:ascii="Times New Roman" w:hAnsi="Times New Roman" w:cs="Times New Roman"/>
          <w:color w:val="000000" w:themeColor="text1"/>
        </w:rPr>
        <w:t>4</w:t>
      </w:r>
      <w:r>
        <w:rPr>
          <w:rFonts w:ascii="Times New Roman" w:hAnsi="Times New Roman" w:cs="Times New Roman"/>
          <w:color w:val="000000" w:themeColor="text1"/>
        </w:rPr>
        <w:t>科</w:t>
      </w:r>
      <w:r>
        <w:rPr>
          <w:rFonts w:ascii="Times New Roman" w:hAnsi="Times New Roman" w:cs="Times New Roman"/>
          <w:color w:val="000000" w:themeColor="text1"/>
        </w:rPr>
        <w:t>10</w:t>
      </w:r>
      <w:r>
        <w:rPr>
          <w:rFonts w:ascii="Times New Roman" w:hAnsi="Times New Roman" w:cs="Times New Roman"/>
          <w:color w:val="000000" w:themeColor="text1"/>
        </w:rPr>
        <w:t>种，长石水库</w:t>
      </w:r>
      <w:r>
        <w:rPr>
          <w:rFonts w:ascii="Times New Roman" w:hAnsi="Times New Roman" w:cs="Times New Roman"/>
          <w:color w:val="000000" w:themeColor="text1"/>
        </w:rPr>
        <w:t>3</w:t>
      </w:r>
      <w:r>
        <w:rPr>
          <w:rFonts w:ascii="Times New Roman" w:hAnsi="Times New Roman" w:cs="Times New Roman"/>
          <w:color w:val="000000" w:themeColor="text1"/>
        </w:rPr>
        <w:t>目</w:t>
      </w:r>
      <w:r>
        <w:rPr>
          <w:rFonts w:ascii="Times New Roman" w:hAnsi="Times New Roman" w:cs="Times New Roman"/>
          <w:color w:val="000000" w:themeColor="text1"/>
        </w:rPr>
        <w:t>5</w:t>
      </w:r>
      <w:r>
        <w:rPr>
          <w:rFonts w:ascii="Times New Roman" w:hAnsi="Times New Roman" w:cs="Times New Roman"/>
          <w:color w:val="000000" w:themeColor="text1"/>
        </w:rPr>
        <w:t>科</w:t>
      </w:r>
      <w:r>
        <w:rPr>
          <w:rFonts w:ascii="Times New Roman" w:hAnsi="Times New Roman" w:cs="Times New Roman"/>
          <w:color w:val="000000" w:themeColor="text1"/>
        </w:rPr>
        <w:t>11</w:t>
      </w:r>
      <w:r>
        <w:rPr>
          <w:rFonts w:ascii="Times New Roman" w:hAnsi="Times New Roman" w:cs="Times New Roman"/>
          <w:color w:val="000000" w:themeColor="text1"/>
        </w:rPr>
        <w:t>种，新安晒水池</w:t>
      </w:r>
      <w:r>
        <w:rPr>
          <w:rFonts w:ascii="Times New Roman" w:hAnsi="Times New Roman" w:cs="Times New Roman"/>
          <w:color w:val="000000" w:themeColor="text1"/>
        </w:rPr>
        <w:t>3</w:t>
      </w:r>
      <w:r>
        <w:rPr>
          <w:rFonts w:ascii="Times New Roman" w:hAnsi="Times New Roman" w:cs="Times New Roman"/>
          <w:color w:val="000000" w:themeColor="text1"/>
        </w:rPr>
        <w:t>目</w:t>
      </w:r>
      <w:r>
        <w:rPr>
          <w:rFonts w:ascii="Times New Roman" w:hAnsi="Times New Roman" w:cs="Times New Roman"/>
          <w:color w:val="000000" w:themeColor="text1"/>
        </w:rPr>
        <w:t>5</w:t>
      </w:r>
      <w:r>
        <w:rPr>
          <w:rFonts w:ascii="Times New Roman" w:hAnsi="Times New Roman" w:cs="Times New Roman"/>
          <w:color w:val="000000" w:themeColor="text1"/>
        </w:rPr>
        <w:t>科</w:t>
      </w:r>
      <w:r>
        <w:rPr>
          <w:rFonts w:ascii="Times New Roman" w:hAnsi="Times New Roman" w:cs="Times New Roman"/>
          <w:color w:val="000000" w:themeColor="text1"/>
        </w:rPr>
        <w:t>11</w:t>
      </w:r>
      <w:r>
        <w:rPr>
          <w:rFonts w:ascii="Times New Roman" w:hAnsi="Times New Roman" w:cs="Times New Roman"/>
          <w:color w:val="000000" w:themeColor="text1"/>
        </w:rPr>
        <w:t>种，向阳水电站前池</w:t>
      </w:r>
      <w:r>
        <w:rPr>
          <w:rFonts w:ascii="Times New Roman" w:hAnsi="Times New Roman" w:cs="Times New Roman"/>
          <w:color w:val="000000" w:themeColor="text1"/>
        </w:rPr>
        <w:t>3</w:t>
      </w:r>
      <w:r>
        <w:rPr>
          <w:rFonts w:ascii="Times New Roman" w:hAnsi="Times New Roman" w:cs="Times New Roman"/>
          <w:color w:val="000000" w:themeColor="text1"/>
        </w:rPr>
        <w:t>目</w:t>
      </w:r>
      <w:r>
        <w:rPr>
          <w:rFonts w:ascii="Times New Roman" w:hAnsi="Times New Roman" w:cs="Times New Roman"/>
          <w:color w:val="000000" w:themeColor="text1"/>
        </w:rPr>
        <w:t>4</w:t>
      </w:r>
      <w:r>
        <w:rPr>
          <w:rFonts w:ascii="Times New Roman" w:hAnsi="Times New Roman" w:cs="Times New Roman"/>
          <w:color w:val="000000" w:themeColor="text1"/>
        </w:rPr>
        <w:t>科</w:t>
      </w:r>
      <w:r>
        <w:rPr>
          <w:rFonts w:ascii="Times New Roman" w:hAnsi="Times New Roman" w:cs="Times New Roman"/>
          <w:color w:val="000000" w:themeColor="text1"/>
        </w:rPr>
        <w:t>11</w:t>
      </w:r>
      <w:r>
        <w:rPr>
          <w:rFonts w:ascii="Times New Roman" w:hAnsi="Times New Roman" w:cs="Times New Roman"/>
          <w:color w:val="000000" w:themeColor="text1"/>
        </w:rPr>
        <w:t>种，鱼类名录见表</w:t>
      </w:r>
      <w:r>
        <w:rPr>
          <w:rFonts w:ascii="Times New Roman" w:hAnsi="Times New Roman" w:cs="Times New Roman" w:hint="eastAsia"/>
          <w:color w:val="000000" w:themeColor="text1"/>
        </w:rPr>
        <w:t>4.3-32</w:t>
      </w:r>
      <w:r>
        <w:rPr>
          <w:rFonts w:ascii="Times New Roman" w:hAnsi="Times New Roman" w:cs="Times New Roman"/>
          <w:color w:val="000000" w:themeColor="text1"/>
        </w:rPr>
        <w:t>。</w:t>
      </w:r>
    </w:p>
    <w:p w14:paraId="54285A07" w14:textId="77777777" w:rsidR="009D12AF" w:rsidRDefault="00000000">
      <w:pPr>
        <w:ind w:firstLine="482"/>
        <w:jc w:val="center"/>
        <w:rPr>
          <w:b/>
          <w:bCs/>
        </w:rPr>
      </w:pPr>
      <w:r>
        <w:rPr>
          <w:rFonts w:hint="eastAsia"/>
          <w:b/>
          <w:bCs/>
        </w:rPr>
        <w:t>表</w:t>
      </w:r>
      <w:r>
        <w:rPr>
          <w:rFonts w:hint="eastAsia"/>
          <w:b/>
          <w:bCs/>
        </w:rPr>
        <w:t xml:space="preserve">4.3-32 </w:t>
      </w:r>
      <w:r>
        <w:rPr>
          <w:rFonts w:hint="eastAsia"/>
          <w:b/>
          <w:bCs/>
        </w:rPr>
        <w:t>鱼类名录</w:t>
      </w:r>
    </w:p>
    <w:tbl>
      <w:tblPr>
        <w:tblW w:w="8301" w:type="dxa"/>
        <w:tblInd w:w="-5" w:type="dxa"/>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402"/>
        <w:gridCol w:w="1116"/>
        <w:gridCol w:w="1706"/>
        <w:gridCol w:w="1648"/>
        <w:gridCol w:w="449"/>
        <w:gridCol w:w="396"/>
        <w:gridCol w:w="396"/>
        <w:gridCol w:w="396"/>
        <w:gridCol w:w="396"/>
        <w:gridCol w:w="396"/>
      </w:tblGrid>
      <w:tr w:rsidR="009D12AF" w14:paraId="2C86E55B" w14:textId="77777777">
        <w:trPr>
          <w:trHeight w:val="320"/>
        </w:trPr>
        <w:tc>
          <w:tcPr>
            <w:tcW w:w="1402" w:type="dxa"/>
            <w:tcBorders>
              <w:tl2br w:val="nil"/>
              <w:tr2bl w:val="nil"/>
            </w:tcBorders>
            <w:noWrap/>
            <w:vAlign w:val="center"/>
          </w:tcPr>
          <w:p w14:paraId="2B129C4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目</w:t>
            </w:r>
          </w:p>
        </w:tc>
        <w:tc>
          <w:tcPr>
            <w:tcW w:w="1109" w:type="dxa"/>
            <w:tcBorders>
              <w:tl2br w:val="nil"/>
              <w:tr2bl w:val="nil"/>
            </w:tcBorders>
            <w:noWrap/>
            <w:vAlign w:val="center"/>
          </w:tcPr>
          <w:p w14:paraId="0402328D"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科</w:t>
            </w:r>
          </w:p>
        </w:tc>
        <w:tc>
          <w:tcPr>
            <w:tcW w:w="1696" w:type="dxa"/>
            <w:tcBorders>
              <w:tl2br w:val="nil"/>
              <w:tr2bl w:val="nil"/>
            </w:tcBorders>
            <w:noWrap/>
            <w:vAlign w:val="center"/>
          </w:tcPr>
          <w:p w14:paraId="635A0E22"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属</w:t>
            </w:r>
          </w:p>
        </w:tc>
        <w:tc>
          <w:tcPr>
            <w:tcW w:w="1648" w:type="dxa"/>
            <w:tcBorders>
              <w:tl2br w:val="nil"/>
              <w:tr2bl w:val="nil"/>
            </w:tcBorders>
            <w:noWrap/>
            <w:vAlign w:val="center"/>
          </w:tcPr>
          <w:p w14:paraId="10DD101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种</w:t>
            </w:r>
          </w:p>
        </w:tc>
        <w:tc>
          <w:tcPr>
            <w:tcW w:w="471" w:type="dxa"/>
            <w:tcBorders>
              <w:tl2br w:val="nil"/>
              <w:tr2bl w:val="nil"/>
            </w:tcBorders>
            <w:vAlign w:val="center"/>
          </w:tcPr>
          <w:p w14:paraId="0BBDE3E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莲花水库</w:t>
            </w:r>
          </w:p>
        </w:tc>
        <w:tc>
          <w:tcPr>
            <w:tcW w:w="395" w:type="dxa"/>
            <w:tcBorders>
              <w:tl2br w:val="nil"/>
              <w:tr2bl w:val="nil"/>
            </w:tcBorders>
            <w:vAlign w:val="center"/>
          </w:tcPr>
          <w:p w14:paraId="0EDC96DF"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群力水库</w:t>
            </w:r>
          </w:p>
        </w:tc>
        <w:tc>
          <w:tcPr>
            <w:tcW w:w="395" w:type="dxa"/>
            <w:tcBorders>
              <w:tl2br w:val="nil"/>
              <w:tr2bl w:val="nil"/>
            </w:tcBorders>
            <w:vAlign w:val="center"/>
          </w:tcPr>
          <w:p w14:paraId="3F9491D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万丈水库</w:t>
            </w:r>
          </w:p>
        </w:tc>
        <w:tc>
          <w:tcPr>
            <w:tcW w:w="395" w:type="dxa"/>
            <w:tcBorders>
              <w:tl2br w:val="nil"/>
              <w:tr2bl w:val="nil"/>
            </w:tcBorders>
            <w:vAlign w:val="center"/>
          </w:tcPr>
          <w:p w14:paraId="41AC0B72"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长石水库</w:t>
            </w:r>
          </w:p>
        </w:tc>
        <w:tc>
          <w:tcPr>
            <w:tcW w:w="395" w:type="dxa"/>
            <w:tcBorders>
              <w:tl2br w:val="nil"/>
              <w:tr2bl w:val="nil"/>
            </w:tcBorders>
            <w:vAlign w:val="center"/>
          </w:tcPr>
          <w:p w14:paraId="003FF78C"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新安晒水池</w:t>
            </w:r>
          </w:p>
        </w:tc>
        <w:tc>
          <w:tcPr>
            <w:tcW w:w="395" w:type="dxa"/>
            <w:tcBorders>
              <w:tl2br w:val="nil"/>
              <w:tr2bl w:val="nil"/>
            </w:tcBorders>
            <w:vAlign w:val="center"/>
          </w:tcPr>
          <w:p w14:paraId="3108754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向阳水电站前池</w:t>
            </w:r>
          </w:p>
        </w:tc>
      </w:tr>
      <w:tr w:rsidR="009D12AF" w14:paraId="43D12E4A" w14:textId="77777777">
        <w:trPr>
          <w:trHeight w:val="320"/>
        </w:trPr>
        <w:tc>
          <w:tcPr>
            <w:tcW w:w="1402" w:type="dxa"/>
            <w:tcBorders>
              <w:tl2br w:val="nil"/>
              <w:tr2bl w:val="nil"/>
            </w:tcBorders>
            <w:noWrap/>
            <w:vAlign w:val="center"/>
          </w:tcPr>
          <w:p w14:paraId="4E19926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鲑形目</w:t>
            </w:r>
            <w:r>
              <w:rPr>
                <w:rFonts w:ascii="Times New Roman" w:hAnsi="Times New Roman" w:cs="Times New Roman"/>
                <w:color w:val="000000" w:themeColor="text1"/>
                <w:sz w:val="18"/>
                <w:szCs w:val="18"/>
              </w:rPr>
              <w:t>Salmoniformes</w:t>
            </w:r>
          </w:p>
        </w:tc>
        <w:tc>
          <w:tcPr>
            <w:tcW w:w="1109" w:type="dxa"/>
            <w:tcBorders>
              <w:tl2br w:val="nil"/>
              <w:tr2bl w:val="nil"/>
            </w:tcBorders>
            <w:noWrap/>
            <w:vAlign w:val="center"/>
          </w:tcPr>
          <w:p w14:paraId="461231B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胡瓜鱼科</w:t>
            </w:r>
            <w:r>
              <w:rPr>
                <w:rFonts w:ascii="Times New Roman" w:hAnsi="Times New Roman" w:cs="Times New Roman"/>
                <w:color w:val="000000" w:themeColor="text1"/>
                <w:sz w:val="18"/>
                <w:szCs w:val="18"/>
              </w:rPr>
              <w:t>Osmeridae</w:t>
            </w:r>
          </w:p>
        </w:tc>
        <w:tc>
          <w:tcPr>
            <w:tcW w:w="1696" w:type="dxa"/>
            <w:tcBorders>
              <w:tl2br w:val="nil"/>
              <w:tr2bl w:val="nil"/>
            </w:tcBorders>
            <w:noWrap/>
            <w:vAlign w:val="center"/>
          </w:tcPr>
          <w:p w14:paraId="4309169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公鱼属</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Hapomesus</w:t>
            </w:r>
          </w:p>
        </w:tc>
        <w:tc>
          <w:tcPr>
            <w:tcW w:w="1648" w:type="dxa"/>
            <w:tcBorders>
              <w:tl2br w:val="nil"/>
              <w:tr2bl w:val="nil"/>
            </w:tcBorders>
            <w:noWrap/>
            <w:vAlign w:val="center"/>
          </w:tcPr>
          <w:p w14:paraId="4EB456AD"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池沼公鱼</w:t>
            </w:r>
            <w:r>
              <w:rPr>
                <w:rFonts w:ascii="Times New Roman" w:hAnsi="Times New Roman" w:cs="Times New Roman"/>
                <w:i/>
                <w:iCs/>
                <w:color w:val="000000" w:themeColor="text1"/>
                <w:sz w:val="18"/>
                <w:szCs w:val="18"/>
              </w:rPr>
              <w:t>H. oldus</w:t>
            </w:r>
          </w:p>
        </w:tc>
        <w:tc>
          <w:tcPr>
            <w:tcW w:w="471" w:type="dxa"/>
            <w:tcBorders>
              <w:tl2br w:val="nil"/>
              <w:tr2bl w:val="nil"/>
            </w:tcBorders>
            <w:vAlign w:val="center"/>
          </w:tcPr>
          <w:p w14:paraId="776E110C"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5490F045"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575E6B18"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5C3F645D"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06FA2C2A"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467CFBB5"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2593C501" w14:textId="77777777">
        <w:trPr>
          <w:trHeight w:val="320"/>
        </w:trPr>
        <w:tc>
          <w:tcPr>
            <w:tcW w:w="1402" w:type="dxa"/>
            <w:tcBorders>
              <w:tl2br w:val="nil"/>
              <w:tr2bl w:val="nil"/>
            </w:tcBorders>
            <w:noWrap/>
            <w:vAlign w:val="center"/>
          </w:tcPr>
          <w:p w14:paraId="4AE9971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鲤形目</w:t>
            </w:r>
            <w:r>
              <w:rPr>
                <w:rFonts w:ascii="Times New Roman" w:hAnsi="Times New Roman" w:cs="Times New Roman"/>
                <w:color w:val="000000" w:themeColor="text1"/>
                <w:sz w:val="18"/>
                <w:szCs w:val="18"/>
              </w:rPr>
              <w:t>Cypriniformes</w:t>
            </w:r>
          </w:p>
        </w:tc>
        <w:tc>
          <w:tcPr>
            <w:tcW w:w="1109" w:type="dxa"/>
            <w:tcBorders>
              <w:tl2br w:val="nil"/>
              <w:tr2bl w:val="nil"/>
            </w:tcBorders>
            <w:noWrap/>
            <w:vAlign w:val="center"/>
          </w:tcPr>
          <w:p w14:paraId="7E5513E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鲤科</w:t>
            </w:r>
            <w:r>
              <w:rPr>
                <w:rFonts w:ascii="Times New Roman" w:hAnsi="Times New Roman" w:cs="Times New Roman"/>
                <w:color w:val="000000" w:themeColor="text1"/>
                <w:sz w:val="18"/>
                <w:szCs w:val="18"/>
              </w:rPr>
              <w:t>Cyprinidae</w:t>
            </w:r>
          </w:p>
        </w:tc>
        <w:tc>
          <w:tcPr>
            <w:tcW w:w="1696" w:type="dxa"/>
            <w:tcBorders>
              <w:tl2br w:val="nil"/>
              <w:tr2bl w:val="nil"/>
            </w:tcBorders>
            <w:noWrap/>
            <w:vAlign w:val="center"/>
          </w:tcPr>
          <w:p w14:paraId="20E995FB"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草鱼属</w:t>
            </w:r>
            <w:r>
              <w:rPr>
                <w:rFonts w:ascii="Times New Roman" w:hAnsi="Times New Roman" w:cs="Times New Roman"/>
                <w:i/>
                <w:iCs/>
                <w:color w:val="000000" w:themeColor="text1"/>
                <w:sz w:val="18"/>
                <w:szCs w:val="18"/>
              </w:rPr>
              <w:t>Ctenopharyngodon</w:t>
            </w:r>
          </w:p>
        </w:tc>
        <w:tc>
          <w:tcPr>
            <w:tcW w:w="1648" w:type="dxa"/>
            <w:tcBorders>
              <w:tl2br w:val="nil"/>
              <w:tr2bl w:val="nil"/>
            </w:tcBorders>
            <w:noWrap/>
            <w:vAlign w:val="center"/>
          </w:tcPr>
          <w:p w14:paraId="3C2B8AD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草鱼</w:t>
            </w:r>
            <w:r>
              <w:rPr>
                <w:rFonts w:ascii="Times New Roman" w:hAnsi="Times New Roman" w:cs="Times New Roman"/>
                <w:i/>
                <w:iCs/>
                <w:color w:val="000000" w:themeColor="text1"/>
                <w:sz w:val="18"/>
                <w:szCs w:val="18"/>
              </w:rPr>
              <w:t>C. idellus</w:t>
            </w:r>
          </w:p>
        </w:tc>
        <w:tc>
          <w:tcPr>
            <w:tcW w:w="471" w:type="dxa"/>
            <w:tcBorders>
              <w:tl2br w:val="nil"/>
              <w:tr2bl w:val="nil"/>
            </w:tcBorders>
            <w:vAlign w:val="center"/>
          </w:tcPr>
          <w:p w14:paraId="6D7A069C"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7D5C8AD3"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6246C01B"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4F44A499"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176B64CA"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0E065FBE"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059DB1B9" w14:textId="77777777">
        <w:trPr>
          <w:trHeight w:val="320"/>
        </w:trPr>
        <w:tc>
          <w:tcPr>
            <w:tcW w:w="1402" w:type="dxa"/>
            <w:tcBorders>
              <w:tl2br w:val="nil"/>
              <w:tr2bl w:val="nil"/>
            </w:tcBorders>
            <w:noWrap/>
            <w:vAlign w:val="center"/>
          </w:tcPr>
          <w:p w14:paraId="30F98E0E"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109" w:type="dxa"/>
            <w:tcBorders>
              <w:tl2br w:val="nil"/>
              <w:tr2bl w:val="nil"/>
            </w:tcBorders>
            <w:noWrap/>
            <w:vAlign w:val="center"/>
          </w:tcPr>
          <w:p w14:paraId="70CB8EFE"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696" w:type="dxa"/>
            <w:tcBorders>
              <w:tl2br w:val="nil"/>
              <w:tr2bl w:val="nil"/>
            </w:tcBorders>
            <w:noWrap/>
            <w:vAlign w:val="center"/>
          </w:tcPr>
          <w:p w14:paraId="4C39934B"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雅罗鱼属</w:t>
            </w:r>
            <w:r>
              <w:rPr>
                <w:rFonts w:ascii="Times New Roman" w:hAnsi="Times New Roman" w:cs="Times New Roman"/>
                <w:color w:val="000000" w:themeColor="text1"/>
                <w:sz w:val="18"/>
                <w:szCs w:val="18"/>
              </w:rPr>
              <w:t>Leuciscus</w:t>
            </w:r>
          </w:p>
        </w:tc>
        <w:tc>
          <w:tcPr>
            <w:tcW w:w="1648" w:type="dxa"/>
            <w:tcBorders>
              <w:tl2br w:val="nil"/>
              <w:tr2bl w:val="nil"/>
            </w:tcBorders>
            <w:noWrap/>
            <w:vAlign w:val="center"/>
          </w:tcPr>
          <w:p w14:paraId="57D4892C"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瓦氏雅罗鱼</w:t>
            </w:r>
            <w:r>
              <w:rPr>
                <w:rFonts w:ascii="Times New Roman" w:hAnsi="Times New Roman" w:cs="Times New Roman"/>
                <w:i/>
                <w:iCs/>
                <w:color w:val="000000" w:themeColor="text1"/>
                <w:sz w:val="18"/>
                <w:szCs w:val="18"/>
              </w:rPr>
              <w:t>L. waleckii</w:t>
            </w:r>
          </w:p>
        </w:tc>
        <w:tc>
          <w:tcPr>
            <w:tcW w:w="471" w:type="dxa"/>
            <w:tcBorders>
              <w:tl2br w:val="nil"/>
              <w:tr2bl w:val="nil"/>
            </w:tcBorders>
            <w:vAlign w:val="center"/>
          </w:tcPr>
          <w:p w14:paraId="0F9F5087"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6DE101F7"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6C154009"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06469B46"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5DBF8599"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17752F21"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2F48CAFF" w14:textId="77777777">
        <w:trPr>
          <w:trHeight w:val="320"/>
        </w:trPr>
        <w:tc>
          <w:tcPr>
            <w:tcW w:w="1402" w:type="dxa"/>
            <w:tcBorders>
              <w:tl2br w:val="nil"/>
              <w:tr2bl w:val="nil"/>
            </w:tcBorders>
            <w:noWrap/>
            <w:vAlign w:val="center"/>
          </w:tcPr>
          <w:p w14:paraId="0DB7CA8C"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109" w:type="dxa"/>
            <w:tcBorders>
              <w:tl2br w:val="nil"/>
              <w:tr2bl w:val="nil"/>
            </w:tcBorders>
            <w:noWrap/>
            <w:vAlign w:val="center"/>
          </w:tcPr>
          <w:p w14:paraId="5EE20325"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696" w:type="dxa"/>
            <w:tcBorders>
              <w:tl2br w:val="nil"/>
              <w:tr2bl w:val="nil"/>
            </w:tcBorders>
            <w:noWrap/>
            <w:vAlign w:val="center"/>
          </w:tcPr>
          <w:p w14:paraId="1F9F9BAD"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䱗属</w:t>
            </w:r>
            <w:r>
              <w:rPr>
                <w:rFonts w:ascii="Times New Roman" w:hAnsi="Times New Roman" w:cs="Times New Roman"/>
                <w:i/>
                <w:iCs/>
                <w:color w:val="000000" w:themeColor="text1"/>
                <w:sz w:val="18"/>
                <w:szCs w:val="18"/>
              </w:rPr>
              <w:t>Hemiculter</w:t>
            </w:r>
          </w:p>
        </w:tc>
        <w:tc>
          <w:tcPr>
            <w:tcW w:w="1648" w:type="dxa"/>
            <w:tcBorders>
              <w:tl2br w:val="nil"/>
              <w:tr2bl w:val="nil"/>
            </w:tcBorders>
            <w:noWrap/>
            <w:vAlign w:val="center"/>
          </w:tcPr>
          <w:p w14:paraId="492411A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䱗</w:t>
            </w:r>
            <w:r>
              <w:rPr>
                <w:rFonts w:ascii="Times New Roman" w:hAnsi="Times New Roman" w:cs="Times New Roman"/>
                <w:i/>
                <w:iCs/>
                <w:color w:val="000000" w:themeColor="text1"/>
                <w:sz w:val="18"/>
                <w:szCs w:val="18"/>
              </w:rPr>
              <w:t>H. leucisculus</w:t>
            </w:r>
          </w:p>
        </w:tc>
        <w:tc>
          <w:tcPr>
            <w:tcW w:w="471" w:type="dxa"/>
            <w:tcBorders>
              <w:tl2br w:val="nil"/>
              <w:tr2bl w:val="nil"/>
            </w:tcBorders>
            <w:vAlign w:val="center"/>
          </w:tcPr>
          <w:p w14:paraId="07C5999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42A22DF7"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62CA3D1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03966577"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3BBF2BFF"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30079E1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14522599" w14:textId="77777777">
        <w:trPr>
          <w:trHeight w:val="320"/>
        </w:trPr>
        <w:tc>
          <w:tcPr>
            <w:tcW w:w="1402" w:type="dxa"/>
            <w:tcBorders>
              <w:tl2br w:val="nil"/>
              <w:tr2bl w:val="nil"/>
            </w:tcBorders>
            <w:noWrap/>
            <w:vAlign w:val="center"/>
          </w:tcPr>
          <w:p w14:paraId="16A06F08"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109" w:type="dxa"/>
            <w:tcBorders>
              <w:tl2br w:val="nil"/>
              <w:tr2bl w:val="nil"/>
            </w:tcBorders>
            <w:noWrap/>
            <w:vAlign w:val="center"/>
          </w:tcPr>
          <w:p w14:paraId="23D049F1"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696" w:type="dxa"/>
            <w:tcBorders>
              <w:tl2br w:val="nil"/>
              <w:tr2bl w:val="nil"/>
            </w:tcBorders>
            <w:noWrap/>
            <w:vAlign w:val="center"/>
          </w:tcPr>
          <w:p w14:paraId="08B179B2"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鳑鮍属</w:t>
            </w:r>
            <w:r>
              <w:rPr>
                <w:rFonts w:ascii="Times New Roman" w:hAnsi="Times New Roman" w:cs="Times New Roman"/>
                <w:i/>
                <w:iCs/>
                <w:color w:val="000000" w:themeColor="text1"/>
                <w:sz w:val="18"/>
                <w:szCs w:val="18"/>
              </w:rPr>
              <w:t>Rhodeus</w:t>
            </w:r>
          </w:p>
        </w:tc>
        <w:tc>
          <w:tcPr>
            <w:tcW w:w="1648" w:type="dxa"/>
            <w:tcBorders>
              <w:tl2br w:val="nil"/>
              <w:tr2bl w:val="nil"/>
            </w:tcBorders>
            <w:noWrap/>
            <w:vAlign w:val="center"/>
          </w:tcPr>
          <w:p w14:paraId="1B965EA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黑龙江鳑鲏</w:t>
            </w:r>
            <w:r>
              <w:rPr>
                <w:rFonts w:ascii="Times New Roman" w:hAnsi="Times New Roman" w:cs="Times New Roman"/>
                <w:i/>
                <w:iCs/>
                <w:color w:val="000000" w:themeColor="text1"/>
                <w:sz w:val="18"/>
                <w:szCs w:val="18"/>
              </w:rPr>
              <w:t>R. sericeus</w:t>
            </w:r>
          </w:p>
        </w:tc>
        <w:tc>
          <w:tcPr>
            <w:tcW w:w="471" w:type="dxa"/>
            <w:tcBorders>
              <w:tl2br w:val="nil"/>
              <w:tr2bl w:val="nil"/>
            </w:tcBorders>
            <w:vAlign w:val="center"/>
          </w:tcPr>
          <w:p w14:paraId="72BA2753"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6A83824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5228CF0E"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029C24F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3B42687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7DADEC6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1D760EF0" w14:textId="77777777">
        <w:trPr>
          <w:trHeight w:val="320"/>
        </w:trPr>
        <w:tc>
          <w:tcPr>
            <w:tcW w:w="1402" w:type="dxa"/>
            <w:tcBorders>
              <w:tl2br w:val="nil"/>
              <w:tr2bl w:val="nil"/>
            </w:tcBorders>
            <w:noWrap/>
            <w:vAlign w:val="center"/>
          </w:tcPr>
          <w:p w14:paraId="2E7928D6"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109" w:type="dxa"/>
            <w:tcBorders>
              <w:tl2br w:val="nil"/>
              <w:tr2bl w:val="nil"/>
            </w:tcBorders>
            <w:noWrap/>
            <w:vAlign w:val="center"/>
          </w:tcPr>
          <w:p w14:paraId="792073CE"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696" w:type="dxa"/>
            <w:tcBorders>
              <w:tl2br w:val="nil"/>
              <w:tr2bl w:val="nil"/>
            </w:tcBorders>
            <w:noWrap/>
            <w:vAlign w:val="center"/>
          </w:tcPr>
          <w:p w14:paraId="6D078C6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鱊属</w:t>
            </w:r>
            <w:r>
              <w:rPr>
                <w:rFonts w:ascii="Times New Roman" w:hAnsi="Times New Roman" w:cs="Times New Roman"/>
                <w:i/>
                <w:iCs/>
                <w:color w:val="000000" w:themeColor="text1"/>
                <w:sz w:val="18"/>
                <w:szCs w:val="18"/>
              </w:rPr>
              <w:t>Acheilognathus</w:t>
            </w:r>
          </w:p>
        </w:tc>
        <w:tc>
          <w:tcPr>
            <w:tcW w:w="1648" w:type="dxa"/>
            <w:tcBorders>
              <w:tl2br w:val="nil"/>
              <w:tr2bl w:val="nil"/>
            </w:tcBorders>
            <w:noWrap/>
            <w:vAlign w:val="center"/>
          </w:tcPr>
          <w:p w14:paraId="55A28B9C"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大鳍鱊</w:t>
            </w:r>
            <w:r>
              <w:rPr>
                <w:rFonts w:ascii="Times New Roman" w:hAnsi="Times New Roman" w:cs="Times New Roman"/>
                <w:i/>
                <w:iCs/>
                <w:color w:val="000000" w:themeColor="text1"/>
                <w:sz w:val="18"/>
                <w:szCs w:val="18"/>
              </w:rPr>
              <w:t>A. macropterus</w:t>
            </w:r>
          </w:p>
        </w:tc>
        <w:tc>
          <w:tcPr>
            <w:tcW w:w="471" w:type="dxa"/>
            <w:tcBorders>
              <w:tl2br w:val="nil"/>
              <w:tr2bl w:val="nil"/>
            </w:tcBorders>
            <w:vAlign w:val="center"/>
          </w:tcPr>
          <w:p w14:paraId="57D2B61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499F6E3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0453E4C3"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217BC9D5"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24FAC4AD"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4357E19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45C965C3" w14:textId="77777777">
        <w:trPr>
          <w:trHeight w:val="320"/>
        </w:trPr>
        <w:tc>
          <w:tcPr>
            <w:tcW w:w="1402" w:type="dxa"/>
            <w:tcBorders>
              <w:tl2br w:val="nil"/>
              <w:tr2bl w:val="nil"/>
            </w:tcBorders>
            <w:noWrap/>
            <w:vAlign w:val="center"/>
          </w:tcPr>
          <w:p w14:paraId="5527BFB0"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109" w:type="dxa"/>
            <w:tcBorders>
              <w:tl2br w:val="nil"/>
              <w:tr2bl w:val="nil"/>
            </w:tcBorders>
            <w:noWrap/>
            <w:vAlign w:val="center"/>
          </w:tcPr>
          <w:p w14:paraId="70F1AD1C"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696" w:type="dxa"/>
            <w:tcBorders>
              <w:tl2br w:val="nil"/>
              <w:tr2bl w:val="nil"/>
            </w:tcBorders>
            <w:noWrap/>
            <w:vAlign w:val="center"/>
          </w:tcPr>
          <w:p w14:paraId="028AF3C7"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鲌属</w:t>
            </w:r>
            <w:r>
              <w:rPr>
                <w:rFonts w:ascii="Times New Roman" w:hAnsi="Times New Roman" w:cs="Times New Roman"/>
                <w:i/>
                <w:iCs/>
                <w:color w:val="000000" w:themeColor="text1"/>
                <w:sz w:val="18"/>
                <w:szCs w:val="18"/>
              </w:rPr>
              <w:t>Culter</w:t>
            </w:r>
          </w:p>
        </w:tc>
        <w:tc>
          <w:tcPr>
            <w:tcW w:w="1648" w:type="dxa"/>
            <w:tcBorders>
              <w:tl2br w:val="nil"/>
              <w:tr2bl w:val="nil"/>
            </w:tcBorders>
            <w:noWrap/>
            <w:vAlign w:val="center"/>
          </w:tcPr>
          <w:p w14:paraId="27B6BC4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翘嘴鲌</w:t>
            </w:r>
            <w:r>
              <w:rPr>
                <w:rFonts w:ascii="Times New Roman" w:hAnsi="Times New Roman" w:cs="Times New Roman"/>
                <w:i/>
                <w:iCs/>
                <w:color w:val="000000" w:themeColor="text1"/>
                <w:sz w:val="18"/>
                <w:szCs w:val="18"/>
              </w:rPr>
              <w:t>C. alburnus</w:t>
            </w:r>
          </w:p>
        </w:tc>
        <w:tc>
          <w:tcPr>
            <w:tcW w:w="471" w:type="dxa"/>
            <w:tcBorders>
              <w:tl2br w:val="nil"/>
              <w:tr2bl w:val="nil"/>
            </w:tcBorders>
            <w:vAlign w:val="center"/>
          </w:tcPr>
          <w:p w14:paraId="28620FB2"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5500DB9B"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1CF5AF23"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184CA5CA"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4F80E237"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1E733BCA"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3FEFAB7C" w14:textId="77777777">
        <w:trPr>
          <w:trHeight w:val="320"/>
        </w:trPr>
        <w:tc>
          <w:tcPr>
            <w:tcW w:w="1402" w:type="dxa"/>
            <w:tcBorders>
              <w:tl2br w:val="nil"/>
              <w:tr2bl w:val="nil"/>
            </w:tcBorders>
            <w:noWrap/>
            <w:vAlign w:val="center"/>
          </w:tcPr>
          <w:p w14:paraId="5A51B837"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109" w:type="dxa"/>
            <w:tcBorders>
              <w:tl2br w:val="nil"/>
              <w:tr2bl w:val="nil"/>
            </w:tcBorders>
            <w:noWrap/>
            <w:vAlign w:val="center"/>
          </w:tcPr>
          <w:p w14:paraId="0C14EFAC"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696" w:type="dxa"/>
            <w:tcBorders>
              <w:tl2br w:val="nil"/>
              <w:tr2bl w:val="nil"/>
            </w:tcBorders>
            <w:noWrap/>
            <w:vAlign w:val="center"/>
          </w:tcPr>
          <w:p w14:paraId="1A3B5D39"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648" w:type="dxa"/>
            <w:tcBorders>
              <w:tl2br w:val="nil"/>
              <w:tr2bl w:val="nil"/>
            </w:tcBorders>
            <w:noWrap/>
            <w:vAlign w:val="center"/>
          </w:tcPr>
          <w:p w14:paraId="72740EF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蒙古鲌</w:t>
            </w:r>
            <w:r>
              <w:rPr>
                <w:rFonts w:ascii="Times New Roman" w:hAnsi="Times New Roman" w:cs="Times New Roman"/>
                <w:i/>
                <w:iCs/>
                <w:color w:val="000000" w:themeColor="text1"/>
                <w:sz w:val="18"/>
                <w:szCs w:val="18"/>
              </w:rPr>
              <w:t>C. mongolicus</w:t>
            </w:r>
          </w:p>
        </w:tc>
        <w:tc>
          <w:tcPr>
            <w:tcW w:w="471" w:type="dxa"/>
            <w:tcBorders>
              <w:tl2br w:val="nil"/>
              <w:tr2bl w:val="nil"/>
            </w:tcBorders>
            <w:vAlign w:val="center"/>
          </w:tcPr>
          <w:p w14:paraId="696F5A4B"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6FE7E88D"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2ED16C59"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33366760"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4928ADEF"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38A57E6B"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4AAA5865" w14:textId="77777777">
        <w:trPr>
          <w:trHeight w:val="320"/>
        </w:trPr>
        <w:tc>
          <w:tcPr>
            <w:tcW w:w="1402" w:type="dxa"/>
            <w:tcBorders>
              <w:tl2br w:val="nil"/>
              <w:tr2bl w:val="nil"/>
            </w:tcBorders>
            <w:noWrap/>
            <w:vAlign w:val="center"/>
          </w:tcPr>
          <w:p w14:paraId="68927B00"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109" w:type="dxa"/>
            <w:tcBorders>
              <w:tl2br w:val="nil"/>
              <w:tr2bl w:val="nil"/>
            </w:tcBorders>
            <w:noWrap/>
            <w:vAlign w:val="center"/>
          </w:tcPr>
          <w:p w14:paraId="5685AFBA"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696" w:type="dxa"/>
            <w:tcBorders>
              <w:tl2br w:val="nil"/>
              <w:tr2bl w:val="nil"/>
            </w:tcBorders>
            <w:noWrap/>
            <w:vAlign w:val="center"/>
          </w:tcPr>
          <w:p w14:paraId="61B34EA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䱻属</w:t>
            </w:r>
            <w:r>
              <w:rPr>
                <w:rFonts w:ascii="Times New Roman" w:hAnsi="Times New Roman" w:cs="Times New Roman"/>
                <w:i/>
                <w:iCs/>
                <w:color w:val="000000" w:themeColor="text1"/>
                <w:sz w:val="18"/>
                <w:szCs w:val="18"/>
              </w:rPr>
              <w:t>Hemibarbus</w:t>
            </w:r>
          </w:p>
        </w:tc>
        <w:tc>
          <w:tcPr>
            <w:tcW w:w="1648" w:type="dxa"/>
            <w:tcBorders>
              <w:tl2br w:val="nil"/>
              <w:tr2bl w:val="nil"/>
            </w:tcBorders>
            <w:noWrap/>
            <w:vAlign w:val="center"/>
          </w:tcPr>
          <w:p w14:paraId="36DD65F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花䱻</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H. maculatus</w:t>
            </w:r>
          </w:p>
        </w:tc>
        <w:tc>
          <w:tcPr>
            <w:tcW w:w="471" w:type="dxa"/>
            <w:tcBorders>
              <w:tl2br w:val="nil"/>
              <w:tr2bl w:val="nil"/>
            </w:tcBorders>
            <w:vAlign w:val="center"/>
          </w:tcPr>
          <w:p w14:paraId="669C790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1BDC27BD"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67ED2C7D"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10D0A568"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2F665322"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03901CB7"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5D4B3130" w14:textId="77777777">
        <w:trPr>
          <w:trHeight w:val="320"/>
        </w:trPr>
        <w:tc>
          <w:tcPr>
            <w:tcW w:w="1402" w:type="dxa"/>
            <w:tcBorders>
              <w:tl2br w:val="nil"/>
              <w:tr2bl w:val="nil"/>
            </w:tcBorders>
            <w:noWrap/>
            <w:vAlign w:val="center"/>
          </w:tcPr>
          <w:p w14:paraId="040DF236"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109" w:type="dxa"/>
            <w:tcBorders>
              <w:tl2br w:val="nil"/>
              <w:tr2bl w:val="nil"/>
            </w:tcBorders>
            <w:noWrap/>
            <w:vAlign w:val="center"/>
          </w:tcPr>
          <w:p w14:paraId="2611BB17"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696" w:type="dxa"/>
            <w:tcBorders>
              <w:tl2br w:val="nil"/>
              <w:tr2bl w:val="nil"/>
            </w:tcBorders>
            <w:noWrap/>
            <w:vAlign w:val="center"/>
          </w:tcPr>
          <w:p w14:paraId="1143210C"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麦穗鱼属</w:t>
            </w:r>
            <w:r>
              <w:rPr>
                <w:rFonts w:ascii="Times New Roman" w:hAnsi="Times New Roman" w:cs="Times New Roman"/>
                <w:i/>
                <w:iCs/>
                <w:color w:val="000000" w:themeColor="text1"/>
                <w:sz w:val="18"/>
                <w:szCs w:val="18"/>
              </w:rPr>
              <w:t>Pseudorasbora</w:t>
            </w:r>
          </w:p>
        </w:tc>
        <w:tc>
          <w:tcPr>
            <w:tcW w:w="1648" w:type="dxa"/>
            <w:tcBorders>
              <w:tl2br w:val="nil"/>
              <w:tr2bl w:val="nil"/>
            </w:tcBorders>
            <w:noWrap/>
            <w:vAlign w:val="center"/>
          </w:tcPr>
          <w:p w14:paraId="57578BF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麦穗鱼</w:t>
            </w:r>
            <w:r>
              <w:rPr>
                <w:rFonts w:ascii="Times New Roman" w:hAnsi="Times New Roman" w:cs="Times New Roman"/>
                <w:i/>
                <w:iCs/>
                <w:color w:val="000000" w:themeColor="text1"/>
                <w:sz w:val="18"/>
                <w:szCs w:val="18"/>
              </w:rPr>
              <w:t>P. parva</w:t>
            </w:r>
          </w:p>
        </w:tc>
        <w:tc>
          <w:tcPr>
            <w:tcW w:w="471" w:type="dxa"/>
            <w:tcBorders>
              <w:tl2br w:val="nil"/>
              <w:tr2bl w:val="nil"/>
            </w:tcBorders>
            <w:vAlign w:val="center"/>
          </w:tcPr>
          <w:p w14:paraId="54A1954A"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55E91CCF"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6B0324BD"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72A543F1"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492C7A4C"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4A5C984A"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614105F0" w14:textId="77777777">
        <w:trPr>
          <w:trHeight w:val="320"/>
        </w:trPr>
        <w:tc>
          <w:tcPr>
            <w:tcW w:w="1402" w:type="dxa"/>
            <w:tcBorders>
              <w:tl2br w:val="nil"/>
              <w:tr2bl w:val="nil"/>
            </w:tcBorders>
            <w:noWrap/>
            <w:vAlign w:val="center"/>
          </w:tcPr>
          <w:p w14:paraId="28AAE444"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109" w:type="dxa"/>
            <w:tcBorders>
              <w:tl2br w:val="nil"/>
              <w:tr2bl w:val="nil"/>
            </w:tcBorders>
            <w:noWrap/>
            <w:vAlign w:val="center"/>
          </w:tcPr>
          <w:p w14:paraId="3F03D8C6"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696" w:type="dxa"/>
            <w:tcBorders>
              <w:tl2br w:val="nil"/>
              <w:tr2bl w:val="nil"/>
            </w:tcBorders>
            <w:noWrap/>
            <w:vAlign w:val="center"/>
          </w:tcPr>
          <w:p w14:paraId="119FF621"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棒花鱼属</w:t>
            </w:r>
            <w:r>
              <w:rPr>
                <w:rFonts w:ascii="Times New Roman" w:hAnsi="Times New Roman" w:cs="Times New Roman"/>
                <w:i/>
                <w:iCs/>
                <w:color w:val="000000" w:themeColor="text1"/>
                <w:sz w:val="18"/>
                <w:szCs w:val="18"/>
              </w:rPr>
              <w:t>Abbottina</w:t>
            </w:r>
          </w:p>
        </w:tc>
        <w:tc>
          <w:tcPr>
            <w:tcW w:w="1648" w:type="dxa"/>
            <w:tcBorders>
              <w:tl2br w:val="nil"/>
              <w:tr2bl w:val="nil"/>
            </w:tcBorders>
            <w:noWrap/>
            <w:vAlign w:val="center"/>
          </w:tcPr>
          <w:p w14:paraId="40B20D6E"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棒花鱼</w:t>
            </w:r>
            <w:r>
              <w:rPr>
                <w:rFonts w:ascii="Times New Roman" w:hAnsi="Times New Roman" w:cs="Times New Roman"/>
                <w:i/>
                <w:iCs/>
                <w:color w:val="000000" w:themeColor="text1"/>
                <w:sz w:val="18"/>
                <w:szCs w:val="18"/>
              </w:rPr>
              <w:t>A. rivularis</w:t>
            </w:r>
          </w:p>
        </w:tc>
        <w:tc>
          <w:tcPr>
            <w:tcW w:w="471" w:type="dxa"/>
            <w:tcBorders>
              <w:tl2br w:val="nil"/>
              <w:tr2bl w:val="nil"/>
            </w:tcBorders>
            <w:vAlign w:val="center"/>
          </w:tcPr>
          <w:p w14:paraId="09BA0CB5"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418623C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5216EFE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54FDE7ED"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2BB750BB"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32A0E36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1D060368" w14:textId="77777777">
        <w:trPr>
          <w:trHeight w:val="320"/>
        </w:trPr>
        <w:tc>
          <w:tcPr>
            <w:tcW w:w="1402" w:type="dxa"/>
            <w:tcBorders>
              <w:tl2br w:val="nil"/>
              <w:tr2bl w:val="nil"/>
            </w:tcBorders>
            <w:noWrap/>
            <w:vAlign w:val="center"/>
          </w:tcPr>
          <w:p w14:paraId="168DBD61"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109" w:type="dxa"/>
            <w:tcBorders>
              <w:tl2br w:val="nil"/>
              <w:tr2bl w:val="nil"/>
            </w:tcBorders>
            <w:noWrap/>
            <w:vAlign w:val="center"/>
          </w:tcPr>
          <w:p w14:paraId="56A6E903"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696" w:type="dxa"/>
            <w:tcBorders>
              <w:tl2br w:val="nil"/>
              <w:tr2bl w:val="nil"/>
            </w:tcBorders>
            <w:noWrap/>
            <w:vAlign w:val="center"/>
          </w:tcPr>
          <w:p w14:paraId="5C45E97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马口鱼属</w:t>
            </w:r>
            <w:r>
              <w:rPr>
                <w:rFonts w:ascii="Times New Roman" w:hAnsi="Times New Roman" w:cs="Times New Roman"/>
                <w:i/>
                <w:iCs/>
                <w:color w:val="000000" w:themeColor="text1"/>
                <w:sz w:val="18"/>
                <w:szCs w:val="18"/>
              </w:rPr>
              <w:t>Opsariichthys</w:t>
            </w:r>
          </w:p>
        </w:tc>
        <w:tc>
          <w:tcPr>
            <w:tcW w:w="1648" w:type="dxa"/>
            <w:tcBorders>
              <w:tl2br w:val="nil"/>
              <w:tr2bl w:val="nil"/>
            </w:tcBorders>
            <w:noWrap/>
            <w:vAlign w:val="center"/>
          </w:tcPr>
          <w:p w14:paraId="011A37C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马口鱼</w:t>
            </w:r>
            <w:r>
              <w:rPr>
                <w:rFonts w:ascii="Times New Roman" w:hAnsi="Times New Roman" w:cs="Times New Roman"/>
                <w:i/>
                <w:iCs/>
                <w:color w:val="000000" w:themeColor="text1"/>
                <w:sz w:val="18"/>
                <w:szCs w:val="18"/>
              </w:rPr>
              <w:t>O. bidens</w:t>
            </w:r>
          </w:p>
        </w:tc>
        <w:tc>
          <w:tcPr>
            <w:tcW w:w="471" w:type="dxa"/>
            <w:tcBorders>
              <w:tl2br w:val="nil"/>
              <w:tr2bl w:val="nil"/>
            </w:tcBorders>
            <w:vAlign w:val="center"/>
          </w:tcPr>
          <w:p w14:paraId="65D9791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63077E5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31868EC5"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121FFA21"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6FCB804E"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6D0612A4"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1F5202BD" w14:textId="77777777">
        <w:trPr>
          <w:trHeight w:val="320"/>
        </w:trPr>
        <w:tc>
          <w:tcPr>
            <w:tcW w:w="1402" w:type="dxa"/>
            <w:tcBorders>
              <w:tl2br w:val="nil"/>
              <w:tr2bl w:val="nil"/>
            </w:tcBorders>
            <w:noWrap/>
            <w:vAlign w:val="center"/>
          </w:tcPr>
          <w:p w14:paraId="0ABD80EE"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109" w:type="dxa"/>
            <w:tcBorders>
              <w:tl2br w:val="nil"/>
              <w:tr2bl w:val="nil"/>
            </w:tcBorders>
            <w:noWrap/>
            <w:vAlign w:val="center"/>
          </w:tcPr>
          <w:p w14:paraId="2307DD44"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696" w:type="dxa"/>
            <w:tcBorders>
              <w:tl2br w:val="nil"/>
              <w:tr2bl w:val="nil"/>
            </w:tcBorders>
            <w:noWrap/>
            <w:vAlign w:val="center"/>
          </w:tcPr>
          <w:p w14:paraId="7FC03305"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鳈属</w:t>
            </w:r>
            <w:r>
              <w:rPr>
                <w:rFonts w:ascii="Times New Roman" w:hAnsi="Times New Roman" w:cs="Times New Roman"/>
                <w:i/>
                <w:iCs/>
                <w:color w:val="000000" w:themeColor="text1"/>
                <w:sz w:val="18"/>
                <w:szCs w:val="18"/>
              </w:rPr>
              <w:t>Sarcocheilichthys</w:t>
            </w:r>
          </w:p>
        </w:tc>
        <w:tc>
          <w:tcPr>
            <w:tcW w:w="1648" w:type="dxa"/>
            <w:tcBorders>
              <w:tl2br w:val="nil"/>
              <w:tr2bl w:val="nil"/>
            </w:tcBorders>
            <w:noWrap/>
            <w:vAlign w:val="center"/>
          </w:tcPr>
          <w:p w14:paraId="0B72454D"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克氏鳈</w:t>
            </w:r>
            <w:r>
              <w:rPr>
                <w:rFonts w:ascii="Times New Roman" w:hAnsi="Times New Roman" w:cs="Times New Roman"/>
                <w:i/>
                <w:iCs/>
                <w:color w:val="000000" w:themeColor="text1"/>
                <w:sz w:val="18"/>
                <w:szCs w:val="18"/>
              </w:rPr>
              <w:t>S. czerskii</w:t>
            </w:r>
          </w:p>
        </w:tc>
        <w:tc>
          <w:tcPr>
            <w:tcW w:w="471" w:type="dxa"/>
            <w:tcBorders>
              <w:tl2br w:val="nil"/>
              <w:tr2bl w:val="nil"/>
            </w:tcBorders>
            <w:vAlign w:val="center"/>
          </w:tcPr>
          <w:p w14:paraId="39D93F77"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5E647D50"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50285209"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35DFF34B"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6B855DC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766BC42E"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525A7E44" w14:textId="77777777">
        <w:trPr>
          <w:trHeight w:val="360"/>
        </w:trPr>
        <w:tc>
          <w:tcPr>
            <w:tcW w:w="1402" w:type="dxa"/>
            <w:tcBorders>
              <w:tl2br w:val="nil"/>
              <w:tr2bl w:val="nil"/>
            </w:tcBorders>
            <w:noWrap/>
            <w:vAlign w:val="center"/>
          </w:tcPr>
          <w:p w14:paraId="283FC109"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109" w:type="dxa"/>
            <w:tcBorders>
              <w:tl2br w:val="nil"/>
              <w:tr2bl w:val="nil"/>
            </w:tcBorders>
            <w:noWrap/>
            <w:vAlign w:val="center"/>
          </w:tcPr>
          <w:p w14:paraId="30DD4ED6"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696" w:type="dxa"/>
            <w:tcBorders>
              <w:tl2br w:val="nil"/>
              <w:tr2bl w:val="nil"/>
            </w:tcBorders>
            <w:noWrap/>
            <w:vAlign w:val="center"/>
          </w:tcPr>
          <w:p w14:paraId="3526360B"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鱥属</w:t>
            </w:r>
            <w:r>
              <w:rPr>
                <w:rFonts w:ascii="Times New Roman" w:hAnsi="Times New Roman" w:cs="Times New Roman"/>
                <w:i/>
                <w:iCs/>
                <w:color w:val="000000" w:themeColor="text1"/>
                <w:sz w:val="18"/>
                <w:szCs w:val="18"/>
              </w:rPr>
              <w:t>Phoxinus</w:t>
            </w:r>
          </w:p>
        </w:tc>
        <w:tc>
          <w:tcPr>
            <w:tcW w:w="1648" w:type="dxa"/>
            <w:tcBorders>
              <w:tl2br w:val="nil"/>
              <w:tr2bl w:val="nil"/>
            </w:tcBorders>
            <w:noWrap/>
            <w:vAlign w:val="center"/>
          </w:tcPr>
          <w:p w14:paraId="15F416B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拉氏鱥</w:t>
            </w:r>
            <w:r>
              <w:rPr>
                <w:rFonts w:ascii="Times New Roman" w:hAnsi="Times New Roman" w:cs="Times New Roman"/>
                <w:i/>
                <w:iCs/>
                <w:color w:val="000000" w:themeColor="text1"/>
                <w:sz w:val="18"/>
                <w:szCs w:val="18"/>
              </w:rPr>
              <w:t xml:space="preserve"> P.  iagowskii</w:t>
            </w:r>
          </w:p>
        </w:tc>
        <w:tc>
          <w:tcPr>
            <w:tcW w:w="471" w:type="dxa"/>
            <w:tcBorders>
              <w:tl2br w:val="nil"/>
              <w:tr2bl w:val="nil"/>
            </w:tcBorders>
            <w:vAlign w:val="center"/>
          </w:tcPr>
          <w:p w14:paraId="501858B3"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510FAC49"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61513D84"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04B1D85C"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35C5E803"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0462837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0359CBB5" w14:textId="77777777">
        <w:trPr>
          <w:trHeight w:val="360"/>
        </w:trPr>
        <w:tc>
          <w:tcPr>
            <w:tcW w:w="1402" w:type="dxa"/>
            <w:tcBorders>
              <w:tl2br w:val="nil"/>
              <w:tr2bl w:val="nil"/>
            </w:tcBorders>
            <w:noWrap/>
            <w:vAlign w:val="center"/>
          </w:tcPr>
          <w:p w14:paraId="74AAD137"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109" w:type="dxa"/>
            <w:tcBorders>
              <w:tl2br w:val="nil"/>
              <w:tr2bl w:val="nil"/>
            </w:tcBorders>
            <w:noWrap/>
            <w:vAlign w:val="center"/>
          </w:tcPr>
          <w:p w14:paraId="58291501"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696" w:type="dxa"/>
            <w:tcBorders>
              <w:tl2br w:val="nil"/>
              <w:tr2bl w:val="nil"/>
            </w:tcBorders>
            <w:noWrap/>
            <w:vAlign w:val="center"/>
          </w:tcPr>
          <w:p w14:paraId="3B17A21A"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鲤属</w:t>
            </w:r>
            <w:r>
              <w:rPr>
                <w:rFonts w:ascii="Times New Roman" w:hAnsi="Times New Roman" w:cs="Times New Roman"/>
                <w:i/>
                <w:iCs/>
                <w:color w:val="000000" w:themeColor="text1"/>
                <w:sz w:val="18"/>
                <w:szCs w:val="18"/>
              </w:rPr>
              <w:t>Cyprinus</w:t>
            </w:r>
          </w:p>
        </w:tc>
        <w:tc>
          <w:tcPr>
            <w:tcW w:w="1648" w:type="dxa"/>
            <w:tcBorders>
              <w:tl2br w:val="nil"/>
              <w:tr2bl w:val="nil"/>
            </w:tcBorders>
            <w:noWrap/>
            <w:vAlign w:val="center"/>
          </w:tcPr>
          <w:p w14:paraId="14B29803"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鲤</w:t>
            </w:r>
            <w:r>
              <w:rPr>
                <w:rFonts w:ascii="Times New Roman" w:hAnsi="Times New Roman" w:cs="Times New Roman"/>
                <w:i/>
                <w:iCs/>
                <w:color w:val="000000" w:themeColor="text1"/>
                <w:sz w:val="18"/>
                <w:szCs w:val="18"/>
              </w:rPr>
              <w:t>C. carpio</w:t>
            </w:r>
          </w:p>
        </w:tc>
        <w:tc>
          <w:tcPr>
            <w:tcW w:w="471" w:type="dxa"/>
            <w:tcBorders>
              <w:tl2br w:val="nil"/>
              <w:tr2bl w:val="nil"/>
            </w:tcBorders>
            <w:vAlign w:val="center"/>
          </w:tcPr>
          <w:p w14:paraId="227E796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6903C40C"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5084EE9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16C1850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1919082E"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705B8DBF"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11A0ECD1" w14:textId="77777777">
        <w:trPr>
          <w:trHeight w:val="320"/>
        </w:trPr>
        <w:tc>
          <w:tcPr>
            <w:tcW w:w="1402" w:type="dxa"/>
            <w:tcBorders>
              <w:tl2br w:val="nil"/>
              <w:tr2bl w:val="nil"/>
            </w:tcBorders>
            <w:noWrap/>
            <w:vAlign w:val="center"/>
          </w:tcPr>
          <w:p w14:paraId="26E880D9"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109" w:type="dxa"/>
            <w:tcBorders>
              <w:tl2br w:val="nil"/>
              <w:tr2bl w:val="nil"/>
            </w:tcBorders>
            <w:noWrap/>
            <w:vAlign w:val="center"/>
          </w:tcPr>
          <w:p w14:paraId="40A3D11C"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696" w:type="dxa"/>
            <w:tcBorders>
              <w:tl2br w:val="nil"/>
              <w:tr2bl w:val="nil"/>
            </w:tcBorders>
            <w:noWrap/>
            <w:vAlign w:val="center"/>
          </w:tcPr>
          <w:p w14:paraId="6799F59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鲫属</w:t>
            </w:r>
            <w:r>
              <w:rPr>
                <w:rFonts w:ascii="Times New Roman" w:hAnsi="Times New Roman" w:cs="Times New Roman"/>
                <w:i/>
                <w:iCs/>
                <w:color w:val="000000" w:themeColor="text1"/>
                <w:sz w:val="18"/>
                <w:szCs w:val="18"/>
              </w:rPr>
              <w:t>Carassius</w:t>
            </w:r>
          </w:p>
        </w:tc>
        <w:tc>
          <w:tcPr>
            <w:tcW w:w="1648" w:type="dxa"/>
            <w:tcBorders>
              <w:tl2br w:val="nil"/>
              <w:tr2bl w:val="nil"/>
            </w:tcBorders>
            <w:noWrap/>
            <w:vAlign w:val="center"/>
          </w:tcPr>
          <w:p w14:paraId="186E7FB7"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鲫</w:t>
            </w:r>
            <w:r>
              <w:rPr>
                <w:rFonts w:ascii="Times New Roman" w:hAnsi="Times New Roman" w:cs="Times New Roman"/>
                <w:i/>
                <w:iCs/>
                <w:color w:val="000000" w:themeColor="text1"/>
                <w:sz w:val="18"/>
                <w:szCs w:val="18"/>
              </w:rPr>
              <w:t>C. auratus</w:t>
            </w:r>
          </w:p>
        </w:tc>
        <w:tc>
          <w:tcPr>
            <w:tcW w:w="471" w:type="dxa"/>
            <w:tcBorders>
              <w:tl2br w:val="nil"/>
              <w:tr2bl w:val="nil"/>
            </w:tcBorders>
            <w:vAlign w:val="center"/>
          </w:tcPr>
          <w:p w14:paraId="62264042"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707C075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61321C2C"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5A6FAB2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0906224F"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4B5EDF1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20168A02" w14:textId="77777777">
        <w:trPr>
          <w:trHeight w:val="320"/>
        </w:trPr>
        <w:tc>
          <w:tcPr>
            <w:tcW w:w="1402" w:type="dxa"/>
            <w:tcBorders>
              <w:tl2br w:val="nil"/>
              <w:tr2bl w:val="nil"/>
            </w:tcBorders>
            <w:noWrap/>
            <w:vAlign w:val="center"/>
          </w:tcPr>
          <w:p w14:paraId="65A9CCA4"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109" w:type="dxa"/>
            <w:tcBorders>
              <w:tl2br w:val="nil"/>
              <w:tr2bl w:val="nil"/>
            </w:tcBorders>
            <w:noWrap/>
            <w:vAlign w:val="center"/>
          </w:tcPr>
          <w:p w14:paraId="3E1C8AB1"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696" w:type="dxa"/>
            <w:tcBorders>
              <w:tl2br w:val="nil"/>
              <w:tr2bl w:val="nil"/>
            </w:tcBorders>
            <w:noWrap/>
            <w:vAlign w:val="center"/>
          </w:tcPr>
          <w:p w14:paraId="68017D5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鳙属</w:t>
            </w:r>
            <w:r>
              <w:rPr>
                <w:rFonts w:ascii="Times New Roman" w:hAnsi="Times New Roman" w:cs="Times New Roman"/>
                <w:i/>
                <w:iCs/>
                <w:color w:val="000000" w:themeColor="text1"/>
                <w:sz w:val="18"/>
                <w:szCs w:val="18"/>
              </w:rPr>
              <w:t>Aristichthys</w:t>
            </w:r>
          </w:p>
        </w:tc>
        <w:tc>
          <w:tcPr>
            <w:tcW w:w="1648" w:type="dxa"/>
            <w:tcBorders>
              <w:tl2br w:val="nil"/>
              <w:tr2bl w:val="nil"/>
            </w:tcBorders>
            <w:noWrap/>
            <w:vAlign w:val="center"/>
          </w:tcPr>
          <w:p w14:paraId="1C32790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鳙</w:t>
            </w:r>
            <w:r>
              <w:rPr>
                <w:rFonts w:ascii="Times New Roman" w:hAnsi="Times New Roman" w:cs="Times New Roman"/>
                <w:i/>
                <w:iCs/>
                <w:color w:val="000000" w:themeColor="text1"/>
                <w:sz w:val="18"/>
                <w:szCs w:val="18"/>
              </w:rPr>
              <w:t>A. nobilis</w:t>
            </w:r>
          </w:p>
        </w:tc>
        <w:tc>
          <w:tcPr>
            <w:tcW w:w="471" w:type="dxa"/>
            <w:tcBorders>
              <w:tl2br w:val="nil"/>
              <w:tr2bl w:val="nil"/>
            </w:tcBorders>
            <w:vAlign w:val="center"/>
          </w:tcPr>
          <w:p w14:paraId="5759D623"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2C78D95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33363279"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413B2652"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1539F3E1"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6B4DBB47"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551C4A24" w14:textId="77777777">
        <w:trPr>
          <w:trHeight w:val="320"/>
        </w:trPr>
        <w:tc>
          <w:tcPr>
            <w:tcW w:w="1402" w:type="dxa"/>
            <w:tcBorders>
              <w:tl2br w:val="nil"/>
              <w:tr2bl w:val="nil"/>
            </w:tcBorders>
            <w:noWrap/>
            <w:vAlign w:val="center"/>
          </w:tcPr>
          <w:p w14:paraId="1BB921E8"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109" w:type="dxa"/>
            <w:tcBorders>
              <w:tl2br w:val="nil"/>
              <w:tr2bl w:val="nil"/>
            </w:tcBorders>
            <w:noWrap/>
            <w:vAlign w:val="center"/>
          </w:tcPr>
          <w:p w14:paraId="28567715"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696" w:type="dxa"/>
            <w:tcBorders>
              <w:tl2br w:val="nil"/>
              <w:tr2bl w:val="nil"/>
            </w:tcBorders>
            <w:noWrap/>
            <w:vAlign w:val="center"/>
          </w:tcPr>
          <w:p w14:paraId="1823242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鲢属</w:t>
            </w:r>
            <w:r>
              <w:rPr>
                <w:rFonts w:ascii="Times New Roman" w:hAnsi="Times New Roman" w:cs="Times New Roman"/>
                <w:i/>
                <w:iCs/>
                <w:color w:val="000000" w:themeColor="text1"/>
                <w:sz w:val="18"/>
                <w:szCs w:val="18"/>
              </w:rPr>
              <w:t>Hypophthalmichthys</w:t>
            </w:r>
          </w:p>
        </w:tc>
        <w:tc>
          <w:tcPr>
            <w:tcW w:w="1648" w:type="dxa"/>
            <w:tcBorders>
              <w:tl2br w:val="nil"/>
              <w:tr2bl w:val="nil"/>
            </w:tcBorders>
            <w:noWrap/>
            <w:vAlign w:val="center"/>
          </w:tcPr>
          <w:p w14:paraId="172E45CF"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鲢</w:t>
            </w:r>
            <w:r>
              <w:rPr>
                <w:rFonts w:ascii="Times New Roman" w:hAnsi="Times New Roman" w:cs="Times New Roman"/>
                <w:i/>
                <w:iCs/>
                <w:color w:val="000000" w:themeColor="text1"/>
                <w:sz w:val="18"/>
                <w:szCs w:val="18"/>
              </w:rPr>
              <w:t>H. molitrix</w:t>
            </w:r>
          </w:p>
        </w:tc>
        <w:tc>
          <w:tcPr>
            <w:tcW w:w="471" w:type="dxa"/>
            <w:tcBorders>
              <w:tl2br w:val="nil"/>
              <w:tr2bl w:val="nil"/>
            </w:tcBorders>
            <w:vAlign w:val="center"/>
          </w:tcPr>
          <w:p w14:paraId="6538C9AC"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4E9DC385"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15629EB5"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036F53FC"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60F58FEF"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479FB62A"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6204545B" w14:textId="77777777">
        <w:trPr>
          <w:trHeight w:val="320"/>
        </w:trPr>
        <w:tc>
          <w:tcPr>
            <w:tcW w:w="1402" w:type="dxa"/>
            <w:tcBorders>
              <w:tl2br w:val="nil"/>
              <w:tr2bl w:val="nil"/>
            </w:tcBorders>
            <w:noWrap/>
            <w:vAlign w:val="center"/>
          </w:tcPr>
          <w:p w14:paraId="39551B99"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109" w:type="dxa"/>
            <w:tcBorders>
              <w:tl2br w:val="nil"/>
              <w:tr2bl w:val="nil"/>
            </w:tcBorders>
            <w:noWrap/>
            <w:vAlign w:val="center"/>
          </w:tcPr>
          <w:p w14:paraId="1110923A"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鳅科</w:t>
            </w:r>
            <w:r>
              <w:rPr>
                <w:rFonts w:ascii="Times New Roman" w:hAnsi="Times New Roman" w:cs="Times New Roman"/>
                <w:color w:val="000000" w:themeColor="text1"/>
                <w:sz w:val="18"/>
                <w:szCs w:val="18"/>
              </w:rPr>
              <w:t>Cobitidae</w:t>
            </w:r>
          </w:p>
        </w:tc>
        <w:tc>
          <w:tcPr>
            <w:tcW w:w="1696" w:type="dxa"/>
            <w:tcBorders>
              <w:tl2br w:val="nil"/>
              <w:tr2bl w:val="nil"/>
            </w:tcBorders>
            <w:noWrap/>
            <w:vAlign w:val="center"/>
          </w:tcPr>
          <w:p w14:paraId="43C6862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泥鳅属</w:t>
            </w:r>
            <w:r>
              <w:rPr>
                <w:rFonts w:ascii="Times New Roman" w:hAnsi="Times New Roman" w:cs="Times New Roman"/>
                <w:i/>
                <w:iCs/>
                <w:color w:val="000000" w:themeColor="text1"/>
                <w:sz w:val="18"/>
                <w:szCs w:val="18"/>
              </w:rPr>
              <w:t>Misgurnus</w:t>
            </w:r>
          </w:p>
        </w:tc>
        <w:tc>
          <w:tcPr>
            <w:tcW w:w="1648" w:type="dxa"/>
            <w:tcBorders>
              <w:tl2br w:val="nil"/>
              <w:tr2bl w:val="nil"/>
            </w:tcBorders>
            <w:noWrap/>
            <w:vAlign w:val="center"/>
          </w:tcPr>
          <w:p w14:paraId="321539CB"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北方泥鳅</w:t>
            </w:r>
            <w:r>
              <w:rPr>
                <w:rFonts w:ascii="Times New Roman" w:hAnsi="Times New Roman" w:cs="Times New Roman"/>
                <w:i/>
                <w:iCs/>
                <w:color w:val="000000" w:themeColor="text1"/>
                <w:sz w:val="18"/>
                <w:szCs w:val="18"/>
              </w:rPr>
              <w:t>M.  bipartitus</w:t>
            </w:r>
          </w:p>
        </w:tc>
        <w:tc>
          <w:tcPr>
            <w:tcW w:w="471" w:type="dxa"/>
            <w:tcBorders>
              <w:tl2br w:val="nil"/>
              <w:tr2bl w:val="nil"/>
            </w:tcBorders>
            <w:vAlign w:val="center"/>
          </w:tcPr>
          <w:p w14:paraId="7357005A"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6BB5743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2B37E44E"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1A3E5017"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63934E55"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2530F3C3"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6D17C8E1" w14:textId="77777777">
        <w:trPr>
          <w:trHeight w:val="320"/>
        </w:trPr>
        <w:tc>
          <w:tcPr>
            <w:tcW w:w="1402" w:type="dxa"/>
            <w:tcBorders>
              <w:tl2br w:val="nil"/>
              <w:tr2bl w:val="nil"/>
            </w:tcBorders>
            <w:noWrap/>
            <w:vAlign w:val="center"/>
          </w:tcPr>
          <w:p w14:paraId="5B25231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鲇形目</w:t>
            </w:r>
            <w:r>
              <w:rPr>
                <w:rFonts w:ascii="Times New Roman" w:hAnsi="Times New Roman" w:cs="Times New Roman"/>
                <w:color w:val="000000" w:themeColor="text1"/>
                <w:sz w:val="18"/>
                <w:szCs w:val="18"/>
              </w:rPr>
              <w:t>Siluriformes</w:t>
            </w:r>
          </w:p>
        </w:tc>
        <w:tc>
          <w:tcPr>
            <w:tcW w:w="1109" w:type="dxa"/>
            <w:tcBorders>
              <w:tl2br w:val="nil"/>
              <w:tr2bl w:val="nil"/>
            </w:tcBorders>
            <w:noWrap/>
            <w:vAlign w:val="center"/>
          </w:tcPr>
          <w:p w14:paraId="3ABF0E41"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鲇科</w:t>
            </w:r>
            <w:r>
              <w:rPr>
                <w:rFonts w:ascii="Times New Roman" w:hAnsi="Times New Roman" w:cs="Times New Roman"/>
                <w:color w:val="000000" w:themeColor="text1"/>
                <w:sz w:val="18"/>
                <w:szCs w:val="18"/>
              </w:rPr>
              <w:t>Siluridae</w:t>
            </w:r>
          </w:p>
        </w:tc>
        <w:tc>
          <w:tcPr>
            <w:tcW w:w="1696" w:type="dxa"/>
            <w:tcBorders>
              <w:tl2br w:val="nil"/>
              <w:tr2bl w:val="nil"/>
            </w:tcBorders>
            <w:noWrap/>
            <w:vAlign w:val="center"/>
          </w:tcPr>
          <w:p w14:paraId="4E92AD9A"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鲇属</w:t>
            </w:r>
            <w:r>
              <w:rPr>
                <w:rFonts w:ascii="Times New Roman" w:hAnsi="Times New Roman" w:cs="Times New Roman"/>
                <w:i/>
                <w:iCs/>
                <w:color w:val="000000" w:themeColor="text1"/>
                <w:sz w:val="18"/>
                <w:szCs w:val="18"/>
              </w:rPr>
              <w:t>Silurus</w:t>
            </w:r>
          </w:p>
        </w:tc>
        <w:tc>
          <w:tcPr>
            <w:tcW w:w="1648" w:type="dxa"/>
            <w:tcBorders>
              <w:tl2br w:val="nil"/>
              <w:tr2bl w:val="nil"/>
            </w:tcBorders>
            <w:noWrap/>
            <w:vAlign w:val="center"/>
          </w:tcPr>
          <w:p w14:paraId="6C1ACC8D"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鲇</w:t>
            </w:r>
            <w:r>
              <w:rPr>
                <w:rFonts w:ascii="Times New Roman" w:hAnsi="Times New Roman" w:cs="Times New Roman"/>
                <w:i/>
                <w:iCs/>
                <w:color w:val="000000" w:themeColor="text1"/>
                <w:sz w:val="18"/>
                <w:szCs w:val="18"/>
              </w:rPr>
              <w:t>S. asotus</w:t>
            </w:r>
          </w:p>
        </w:tc>
        <w:tc>
          <w:tcPr>
            <w:tcW w:w="471" w:type="dxa"/>
            <w:tcBorders>
              <w:tl2br w:val="nil"/>
              <w:tr2bl w:val="nil"/>
            </w:tcBorders>
            <w:vAlign w:val="center"/>
          </w:tcPr>
          <w:p w14:paraId="5B2634BB"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63C1DF5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1FA22503"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2A72A91A"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0BCE0917"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7A3F6522"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727C0181" w14:textId="77777777">
        <w:trPr>
          <w:trHeight w:val="320"/>
        </w:trPr>
        <w:tc>
          <w:tcPr>
            <w:tcW w:w="1402" w:type="dxa"/>
            <w:tcBorders>
              <w:tl2br w:val="nil"/>
              <w:tr2bl w:val="nil"/>
            </w:tcBorders>
            <w:noWrap/>
            <w:vAlign w:val="center"/>
          </w:tcPr>
          <w:p w14:paraId="44823F92"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109" w:type="dxa"/>
            <w:tcBorders>
              <w:tl2br w:val="nil"/>
              <w:tr2bl w:val="nil"/>
            </w:tcBorders>
            <w:noWrap/>
            <w:vAlign w:val="center"/>
          </w:tcPr>
          <w:p w14:paraId="53CDAA2A"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鲿科</w:t>
            </w:r>
            <w:r>
              <w:rPr>
                <w:rFonts w:ascii="Times New Roman" w:hAnsi="Times New Roman" w:cs="Times New Roman"/>
                <w:color w:val="000000" w:themeColor="text1"/>
                <w:sz w:val="18"/>
                <w:szCs w:val="18"/>
              </w:rPr>
              <w:t>Bagridae</w:t>
            </w:r>
          </w:p>
        </w:tc>
        <w:tc>
          <w:tcPr>
            <w:tcW w:w="1696" w:type="dxa"/>
            <w:tcBorders>
              <w:tl2br w:val="nil"/>
              <w:tr2bl w:val="nil"/>
            </w:tcBorders>
            <w:noWrap/>
            <w:vAlign w:val="center"/>
          </w:tcPr>
          <w:p w14:paraId="1405FD3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黄颡鱼属</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Pelteobagrus</w:t>
            </w:r>
          </w:p>
        </w:tc>
        <w:tc>
          <w:tcPr>
            <w:tcW w:w="1648" w:type="dxa"/>
            <w:tcBorders>
              <w:tl2br w:val="nil"/>
              <w:tr2bl w:val="nil"/>
            </w:tcBorders>
            <w:noWrap/>
            <w:vAlign w:val="center"/>
          </w:tcPr>
          <w:p w14:paraId="44CF759A"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黄颡鱼</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P. fulvidraco</w:t>
            </w:r>
          </w:p>
        </w:tc>
        <w:tc>
          <w:tcPr>
            <w:tcW w:w="471" w:type="dxa"/>
            <w:tcBorders>
              <w:tl2br w:val="nil"/>
              <w:tr2bl w:val="nil"/>
            </w:tcBorders>
            <w:vAlign w:val="center"/>
          </w:tcPr>
          <w:p w14:paraId="65DF7A3F"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4961B2E7"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441936F6"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165E5C8D"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3D115741"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5D4D1DC5"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37DA6F83" w14:textId="77777777">
        <w:trPr>
          <w:trHeight w:val="320"/>
        </w:trPr>
        <w:tc>
          <w:tcPr>
            <w:tcW w:w="1402" w:type="dxa"/>
            <w:tcBorders>
              <w:tl2br w:val="nil"/>
              <w:tr2bl w:val="nil"/>
            </w:tcBorders>
            <w:noWrap/>
            <w:vAlign w:val="center"/>
          </w:tcPr>
          <w:p w14:paraId="1A52A422"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鲈形目</w:t>
            </w:r>
            <w:r>
              <w:rPr>
                <w:rFonts w:ascii="Times New Roman" w:hAnsi="Times New Roman" w:cs="Times New Roman"/>
                <w:color w:val="000000" w:themeColor="text1"/>
                <w:sz w:val="18"/>
                <w:szCs w:val="18"/>
              </w:rPr>
              <w:t>Perciformes</w:t>
            </w:r>
          </w:p>
        </w:tc>
        <w:tc>
          <w:tcPr>
            <w:tcW w:w="1109" w:type="dxa"/>
            <w:tcBorders>
              <w:tl2br w:val="nil"/>
              <w:tr2bl w:val="nil"/>
            </w:tcBorders>
            <w:noWrap/>
            <w:vAlign w:val="center"/>
          </w:tcPr>
          <w:p w14:paraId="6F6F5FF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鮨科</w:t>
            </w:r>
            <w:r>
              <w:rPr>
                <w:rFonts w:ascii="Times New Roman" w:hAnsi="Times New Roman" w:cs="Times New Roman"/>
                <w:color w:val="000000" w:themeColor="text1"/>
                <w:sz w:val="18"/>
                <w:szCs w:val="18"/>
              </w:rPr>
              <w:t>Sinipercidae</w:t>
            </w:r>
          </w:p>
        </w:tc>
        <w:tc>
          <w:tcPr>
            <w:tcW w:w="1696" w:type="dxa"/>
            <w:tcBorders>
              <w:tl2br w:val="nil"/>
              <w:tr2bl w:val="nil"/>
            </w:tcBorders>
            <w:noWrap/>
            <w:vAlign w:val="center"/>
          </w:tcPr>
          <w:p w14:paraId="1EC1D96E"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iCs/>
                <w:color w:val="000000" w:themeColor="text1"/>
                <w:sz w:val="18"/>
                <w:szCs w:val="18"/>
              </w:rPr>
              <w:t>鳜属</w:t>
            </w:r>
            <w:r>
              <w:rPr>
                <w:rFonts w:ascii="Times New Roman" w:hAnsi="Times New Roman" w:cs="Times New Roman"/>
                <w:i/>
                <w:iCs/>
                <w:color w:val="000000" w:themeColor="text1"/>
                <w:sz w:val="18"/>
                <w:szCs w:val="18"/>
              </w:rPr>
              <w:t>Siniperca</w:t>
            </w:r>
          </w:p>
        </w:tc>
        <w:tc>
          <w:tcPr>
            <w:tcW w:w="1648" w:type="dxa"/>
            <w:tcBorders>
              <w:tl2br w:val="nil"/>
              <w:tr2bl w:val="nil"/>
            </w:tcBorders>
            <w:noWrap/>
            <w:vAlign w:val="center"/>
          </w:tcPr>
          <w:p w14:paraId="0DBF221D"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鳜</w:t>
            </w:r>
            <w:r>
              <w:rPr>
                <w:rFonts w:ascii="Times New Roman" w:hAnsi="Times New Roman" w:cs="Times New Roman"/>
                <w:i/>
                <w:iCs/>
                <w:color w:val="000000" w:themeColor="text1"/>
                <w:sz w:val="18"/>
                <w:szCs w:val="18"/>
              </w:rPr>
              <w:t>S. chuatsi</w:t>
            </w:r>
          </w:p>
        </w:tc>
        <w:tc>
          <w:tcPr>
            <w:tcW w:w="471" w:type="dxa"/>
            <w:tcBorders>
              <w:tl2br w:val="nil"/>
              <w:tr2bl w:val="nil"/>
            </w:tcBorders>
            <w:vAlign w:val="center"/>
          </w:tcPr>
          <w:p w14:paraId="788C5B25"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3B91858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58BBE228"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3AE00421"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3F0B3989"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2CAB048D"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661248AA" w14:textId="77777777">
        <w:trPr>
          <w:trHeight w:val="320"/>
        </w:trPr>
        <w:tc>
          <w:tcPr>
            <w:tcW w:w="1402" w:type="dxa"/>
            <w:tcBorders>
              <w:tl2br w:val="nil"/>
              <w:tr2bl w:val="nil"/>
            </w:tcBorders>
            <w:noWrap/>
            <w:vAlign w:val="center"/>
          </w:tcPr>
          <w:p w14:paraId="51F4C9B5" w14:textId="77777777" w:rsidR="009D12AF" w:rsidRDefault="009D12AF">
            <w:pPr>
              <w:ind w:firstLineChars="0" w:firstLine="0"/>
              <w:jc w:val="center"/>
              <w:rPr>
                <w:rFonts w:ascii="Times New Roman" w:hAnsi="Times New Roman" w:cs="Times New Roman"/>
                <w:color w:val="000000" w:themeColor="text1"/>
                <w:sz w:val="18"/>
                <w:szCs w:val="18"/>
              </w:rPr>
            </w:pPr>
          </w:p>
        </w:tc>
        <w:tc>
          <w:tcPr>
            <w:tcW w:w="1109" w:type="dxa"/>
            <w:tcBorders>
              <w:tl2br w:val="nil"/>
              <w:tr2bl w:val="nil"/>
            </w:tcBorders>
            <w:noWrap/>
            <w:vAlign w:val="center"/>
          </w:tcPr>
          <w:p w14:paraId="36EB0BC8" w14:textId="77777777" w:rsidR="009D12AF" w:rsidRDefault="00000000">
            <w:pPr>
              <w:snapToGrid w:val="0"/>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虾虎鱼科</w:t>
            </w:r>
            <w:r>
              <w:rPr>
                <w:rFonts w:ascii="Times New Roman" w:hAnsi="Times New Roman" w:cs="Times New Roman"/>
                <w:color w:val="000000" w:themeColor="text1"/>
                <w:sz w:val="18"/>
                <w:szCs w:val="18"/>
              </w:rPr>
              <w:t>Gobiidae</w:t>
            </w:r>
          </w:p>
        </w:tc>
        <w:tc>
          <w:tcPr>
            <w:tcW w:w="1696" w:type="dxa"/>
            <w:tcBorders>
              <w:tl2br w:val="nil"/>
              <w:tr2bl w:val="nil"/>
            </w:tcBorders>
            <w:noWrap/>
            <w:vAlign w:val="center"/>
          </w:tcPr>
          <w:p w14:paraId="722FC820" w14:textId="77777777" w:rsidR="009D12AF" w:rsidRDefault="00000000">
            <w:pPr>
              <w:snapToGrid w:val="0"/>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鰕虎鱼属</w:t>
            </w:r>
            <w:r>
              <w:rPr>
                <w:rFonts w:ascii="Times New Roman" w:hAnsi="Times New Roman" w:cs="Times New Roman"/>
                <w:i/>
                <w:iCs/>
                <w:color w:val="000000" w:themeColor="text1"/>
                <w:sz w:val="18"/>
                <w:szCs w:val="18"/>
              </w:rPr>
              <w:t>Gobius</w:t>
            </w:r>
          </w:p>
        </w:tc>
        <w:tc>
          <w:tcPr>
            <w:tcW w:w="1648" w:type="dxa"/>
            <w:tcBorders>
              <w:tl2br w:val="nil"/>
              <w:tr2bl w:val="nil"/>
            </w:tcBorders>
            <w:noWrap/>
            <w:vAlign w:val="center"/>
          </w:tcPr>
          <w:p w14:paraId="2E1D76FA" w14:textId="77777777" w:rsidR="009D12AF" w:rsidRDefault="00000000">
            <w:pPr>
              <w:snapToGrid w:val="0"/>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褐栉鰕虎鱼</w:t>
            </w:r>
            <w:r>
              <w:rPr>
                <w:rFonts w:ascii="Times New Roman" w:hAnsi="Times New Roman" w:cs="Times New Roman"/>
                <w:i/>
                <w:iCs/>
                <w:color w:val="000000" w:themeColor="text1"/>
                <w:sz w:val="18"/>
                <w:szCs w:val="18"/>
              </w:rPr>
              <w:t>C.</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brunneus</w:t>
            </w:r>
          </w:p>
        </w:tc>
        <w:tc>
          <w:tcPr>
            <w:tcW w:w="471" w:type="dxa"/>
            <w:tcBorders>
              <w:tl2br w:val="nil"/>
              <w:tr2bl w:val="nil"/>
            </w:tcBorders>
            <w:vAlign w:val="center"/>
          </w:tcPr>
          <w:p w14:paraId="3B6A1855" w14:textId="77777777" w:rsidR="009D12AF" w:rsidRDefault="009D12AF">
            <w:pPr>
              <w:snapToGrid w:val="0"/>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7034419A" w14:textId="77777777" w:rsidR="009D12AF" w:rsidRDefault="009D12AF">
            <w:pPr>
              <w:snapToGrid w:val="0"/>
              <w:ind w:firstLineChars="0" w:firstLine="0"/>
              <w:jc w:val="center"/>
              <w:rPr>
                <w:rFonts w:ascii="Times New Roman" w:hAnsi="Times New Roman" w:cs="Times New Roman"/>
                <w:color w:val="000000" w:themeColor="text1"/>
                <w:sz w:val="18"/>
                <w:szCs w:val="18"/>
              </w:rPr>
            </w:pPr>
          </w:p>
        </w:tc>
        <w:tc>
          <w:tcPr>
            <w:tcW w:w="395" w:type="dxa"/>
            <w:tcBorders>
              <w:tl2br w:val="nil"/>
              <w:tr2bl w:val="nil"/>
            </w:tcBorders>
            <w:vAlign w:val="center"/>
          </w:tcPr>
          <w:p w14:paraId="1FC5B126" w14:textId="77777777" w:rsidR="009D12AF" w:rsidRDefault="00000000">
            <w:pPr>
              <w:snapToGrid w:val="0"/>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7E29D08C" w14:textId="77777777" w:rsidR="009D12AF" w:rsidRDefault="00000000">
            <w:pPr>
              <w:snapToGrid w:val="0"/>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25329195" w14:textId="77777777" w:rsidR="009D12AF" w:rsidRDefault="00000000">
            <w:pPr>
              <w:snapToGrid w:val="0"/>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5" w:type="dxa"/>
            <w:tcBorders>
              <w:tl2br w:val="nil"/>
              <w:tr2bl w:val="nil"/>
            </w:tcBorders>
            <w:vAlign w:val="center"/>
          </w:tcPr>
          <w:p w14:paraId="2007CB63" w14:textId="77777777" w:rsidR="009D12AF" w:rsidRDefault="00000000">
            <w:pPr>
              <w:snapToGrid w:val="0"/>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34095CE3" w14:textId="77777777">
        <w:trPr>
          <w:trHeight w:val="320"/>
        </w:trPr>
        <w:tc>
          <w:tcPr>
            <w:tcW w:w="5855" w:type="dxa"/>
            <w:gridSpan w:val="4"/>
            <w:tcBorders>
              <w:tl2br w:val="nil"/>
              <w:tr2bl w:val="nil"/>
            </w:tcBorders>
            <w:noWrap/>
            <w:vAlign w:val="center"/>
          </w:tcPr>
          <w:p w14:paraId="667A8855" w14:textId="77777777" w:rsidR="009D12AF" w:rsidRDefault="00000000">
            <w:pPr>
              <w:snapToGrid w:val="0"/>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合计</w:t>
            </w:r>
          </w:p>
        </w:tc>
        <w:tc>
          <w:tcPr>
            <w:tcW w:w="471" w:type="dxa"/>
            <w:tcBorders>
              <w:tl2br w:val="nil"/>
              <w:tr2bl w:val="nil"/>
            </w:tcBorders>
            <w:vAlign w:val="center"/>
          </w:tcPr>
          <w:p w14:paraId="05CD1846" w14:textId="77777777" w:rsidR="009D12AF" w:rsidRDefault="00000000">
            <w:pPr>
              <w:snapToGrid w:val="0"/>
              <w:ind w:firstLineChars="0" w:firstLine="0"/>
              <w:jc w:val="center"/>
              <w:rPr>
                <w:rFonts w:ascii="Times New Roman" w:hAnsi="Times New Roman" w:cs="Times New Roman"/>
                <w:color w:val="000000" w:themeColor="text1"/>
                <w:sz w:val="18"/>
                <w:szCs w:val="18"/>
              </w:rPr>
            </w:pPr>
            <w:r>
              <w:rPr>
                <w:rFonts w:ascii="Times New Roman" w:eastAsia="等线" w:hAnsi="Times New Roman" w:cs="Times New Roman"/>
                <w:color w:val="000000" w:themeColor="text1"/>
                <w:sz w:val="18"/>
                <w:szCs w:val="18"/>
              </w:rPr>
              <w:t>20</w:t>
            </w:r>
          </w:p>
        </w:tc>
        <w:tc>
          <w:tcPr>
            <w:tcW w:w="395" w:type="dxa"/>
            <w:tcBorders>
              <w:tl2br w:val="nil"/>
              <w:tr2bl w:val="nil"/>
            </w:tcBorders>
            <w:vAlign w:val="center"/>
          </w:tcPr>
          <w:p w14:paraId="2828DE6B" w14:textId="77777777" w:rsidR="009D12AF" w:rsidRDefault="00000000">
            <w:pPr>
              <w:snapToGrid w:val="0"/>
              <w:ind w:firstLineChars="0" w:firstLine="0"/>
              <w:jc w:val="center"/>
              <w:rPr>
                <w:rFonts w:ascii="Times New Roman" w:hAnsi="Times New Roman" w:cs="Times New Roman"/>
                <w:color w:val="000000" w:themeColor="text1"/>
                <w:sz w:val="18"/>
                <w:szCs w:val="18"/>
              </w:rPr>
            </w:pPr>
            <w:r>
              <w:rPr>
                <w:rFonts w:ascii="Times New Roman" w:eastAsia="等线" w:hAnsi="Times New Roman" w:cs="Times New Roman"/>
                <w:color w:val="000000" w:themeColor="text1"/>
                <w:sz w:val="18"/>
                <w:szCs w:val="18"/>
              </w:rPr>
              <w:t>20</w:t>
            </w:r>
          </w:p>
        </w:tc>
        <w:tc>
          <w:tcPr>
            <w:tcW w:w="395" w:type="dxa"/>
            <w:tcBorders>
              <w:tl2br w:val="nil"/>
              <w:tr2bl w:val="nil"/>
            </w:tcBorders>
            <w:vAlign w:val="center"/>
          </w:tcPr>
          <w:p w14:paraId="42E9700F" w14:textId="77777777" w:rsidR="009D12AF" w:rsidRDefault="00000000">
            <w:pPr>
              <w:snapToGrid w:val="0"/>
              <w:ind w:firstLineChars="0" w:firstLine="0"/>
              <w:jc w:val="center"/>
              <w:rPr>
                <w:rFonts w:ascii="Times New Roman" w:hAnsi="Times New Roman" w:cs="Times New Roman"/>
                <w:color w:val="000000" w:themeColor="text1"/>
                <w:sz w:val="18"/>
                <w:szCs w:val="18"/>
              </w:rPr>
            </w:pPr>
            <w:r>
              <w:rPr>
                <w:rFonts w:ascii="Times New Roman" w:eastAsia="等线" w:hAnsi="Times New Roman" w:cs="Times New Roman"/>
                <w:color w:val="000000" w:themeColor="text1"/>
                <w:sz w:val="18"/>
                <w:szCs w:val="18"/>
              </w:rPr>
              <w:t>10</w:t>
            </w:r>
          </w:p>
        </w:tc>
        <w:tc>
          <w:tcPr>
            <w:tcW w:w="395" w:type="dxa"/>
            <w:tcBorders>
              <w:tl2br w:val="nil"/>
              <w:tr2bl w:val="nil"/>
            </w:tcBorders>
            <w:vAlign w:val="center"/>
          </w:tcPr>
          <w:p w14:paraId="107CCA57" w14:textId="77777777" w:rsidR="009D12AF" w:rsidRDefault="00000000">
            <w:pPr>
              <w:snapToGrid w:val="0"/>
              <w:ind w:firstLineChars="0" w:firstLine="0"/>
              <w:jc w:val="center"/>
              <w:rPr>
                <w:rFonts w:ascii="Times New Roman" w:hAnsi="Times New Roman" w:cs="Times New Roman"/>
                <w:color w:val="000000" w:themeColor="text1"/>
                <w:sz w:val="18"/>
                <w:szCs w:val="18"/>
              </w:rPr>
            </w:pPr>
            <w:r>
              <w:rPr>
                <w:rFonts w:ascii="Times New Roman" w:eastAsia="等线" w:hAnsi="Times New Roman" w:cs="Times New Roman"/>
                <w:color w:val="000000" w:themeColor="text1"/>
                <w:sz w:val="18"/>
                <w:szCs w:val="18"/>
              </w:rPr>
              <w:t>11</w:t>
            </w:r>
          </w:p>
        </w:tc>
        <w:tc>
          <w:tcPr>
            <w:tcW w:w="395" w:type="dxa"/>
            <w:tcBorders>
              <w:tl2br w:val="nil"/>
              <w:tr2bl w:val="nil"/>
            </w:tcBorders>
            <w:vAlign w:val="center"/>
          </w:tcPr>
          <w:p w14:paraId="1E6B2BBF" w14:textId="77777777" w:rsidR="009D12AF" w:rsidRDefault="00000000">
            <w:pPr>
              <w:snapToGrid w:val="0"/>
              <w:ind w:firstLineChars="0" w:firstLine="0"/>
              <w:jc w:val="center"/>
              <w:rPr>
                <w:rFonts w:ascii="Times New Roman" w:hAnsi="Times New Roman" w:cs="Times New Roman"/>
                <w:color w:val="000000" w:themeColor="text1"/>
                <w:sz w:val="18"/>
                <w:szCs w:val="18"/>
              </w:rPr>
            </w:pPr>
            <w:r>
              <w:rPr>
                <w:rFonts w:ascii="Times New Roman" w:eastAsia="等线" w:hAnsi="Times New Roman" w:cs="Times New Roman"/>
                <w:color w:val="000000" w:themeColor="text1"/>
                <w:sz w:val="18"/>
                <w:szCs w:val="18"/>
              </w:rPr>
              <w:t>11</w:t>
            </w:r>
          </w:p>
        </w:tc>
        <w:tc>
          <w:tcPr>
            <w:tcW w:w="395" w:type="dxa"/>
            <w:tcBorders>
              <w:tl2br w:val="nil"/>
              <w:tr2bl w:val="nil"/>
            </w:tcBorders>
            <w:vAlign w:val="center"/>
          </w:tcPr>
          <w:p w14:paraId="107A0473" w14:textId="77777777" w:rsidR="009D12AF" w:rsidRDefault="00000000">
            <w:pPr>
              <w:snapToGrid w:val="0"/>
              <w:ind w:firstLineChars="0" w:firstLine="0"/>
              <w:jc w:val="center"/>
              <w:rPr>
                <w:rFonts w:ascii="Times New Roman" w:hAnsi="Times New Roman" w:cs="Times New Roman"/>
                <w:color w:val="000000" w:themeColor="text1"/>
                <w:sz w:val="18"/>
                <w:szCs w:val="18"/>
              </w:rPr>
            </w:pPr>
            <w:r>
              <w:rPr>
                <w:rFonts w:ascii="Times New Roman" w:eastAsia="等线" w:hAnsi="Times New Roman" w:cs="Times New Roman"/>
                <w:color w:val="000000" w:themeColor="text1"/>
                <w:sz w:val="18"/>
                <w:szCs w:val="18"/>
              </w:rPr>
              <w:t>11</w:t>
            </w:r>
          </w:p>
        </w:tc>
      </w:tr>
    </w:tbl>
    <w:p w14:paraId="663D3147" w14:textId="77777777" w:rsidR="009D12AF" w:rsidRDefault="00000000">
      <w:pPr>
        <w:ind w:firstLine="360"/>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注：</w:t>
      </w:r>
      <w:r>
        <w:rPr>
          <w:rFonts w:ascii="Times New Roman" w:hAnsi="Times New Roman" w:cs="Times New Roman"/>
          <w:bCs/>
          <w:color w:val="000000" w:themeColor="text1"/>
          <w:sz w:val="18"/>
          <w:szCs w:val="18"/>
        </w:rPr>
        <w:t>“+”</w:t>
      </w:r>
      <w:r>
        <w:rPr>
          <w:rFonts w:ascii="Times New Roman" w:hAnsi="Times New Roman" w:cs="Times New Roman"/>
          <w:bCs/>
          <w:color w:val="000000" w:themeColor="text1"/>
          <w:sz w:val="18"/>
          <w:szCs w:val="18"/>
        </w:rPr>
        <w:t>：采集或调查走访土著鱼类；</w:t>
      </w:r>
      <w:r>
        <w:rPr>
          <w:rFonts w:ascii="Times New Roman" w:hAnsi="Times New Roman" w:cs="Times New Roman"/>
          <w:bCs/>
          <w:color w:val="000000" w:themeColor="text1"/>
          <w:sz w:val="18"/>
          <w:szCs w:val="18"/>
        </w:rPr>
        <w:t>“-”</w:t>
      </w:r>
      <w:r>
        <w:rPr>
          <w:rFonts w:ascii="Times New Roman" w:hAnsi="Times New Roman" w:cs="Times New Roman"/>
          <w:bCs/>
          <w:color w:val="000000" w:themeColor="text1"/>
          <w:sz w:val="18"/>
          <w:szCs w:val="18"/>
        </w:rPr>
        <w:t>：采集外来鱼类；</w:t>
      </w:r>
    </w:p>
    <w:p w14:paraId="54984F34"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hint="eastAsia"/>
          <w:color w:val="000000" w:themeColor="text1"/>
        </w:rPr>
        <w:t>（</w:t>
      </w:r>
      <w:r>
        <w:rPr>
          <w:rFonts w:ascii="Times New Roman" w:hAnsi="Times New Roman" w:cs="Times New Roman" w:hint="eastAsia"/>
          <w:color w:val="000000" w:themeColor="text1"/>
        </w:rPr>
        <w:t>1</w:t>
      </w:r>
      <w:r>
        <w:rPr>
          <w:rFonts w:ascii="Times New Roman" w:hAnsi="Times New Roman" w:cs="Times New Roman" w:hint="eastAsia"/>
          <w:color w:val="000000" w:themeColor="text1"/>
        </w:rPr>
        <w:t>）国家重点保护、珍稀、濒危水生生物</w:t>
      </w:r>
    </w:p>
    <w:p w14:paraId="722352A2"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依据《国家重点保护动物名录》《濒危野生动植物种国际贸易公约》（附录</w:t>
      </w:r>
      <w:r>
        <w:rPr>
          <w:rFonts w:ascii="Times New Roman" w:hAnsi="Times New Roman" w:cs="Times New Roman"/>
          <w:color w:val="000000" w:themeColor="text1"/>
        </w:rPr>
        <w:t>I</w:t>
      </w:r>
      <w:r>
        <w:rPr>
          <w:rFonts w:ascii="Times New Roman" w:hAnsi="Times New Roman" w:cs="Times New Roman"/>
          <w:color w:val="000000" w:themeColor="text1"/>
        </w:rPr>
        <w:t>、附录</w:t>
      </w:r>
      <w:r>
        <w:rPr>
          <w:rFonts w:ascii="Times New Roman" w:hAnsi="Times New Roman" w:cs="Times New Roman"/>
          <w:color w:val="000000" w:themeColor="text1"/>
        </w:rPr>
        <w:t>II</w:t>
      </w:r>
      <w:r>
        <w:rPr>
          <w:rFonts w:ascii="Times New Roman" w:hAnsi="Times New Roman" w:cs="Times New Roman"/>
          <w:color w:val="000000" w:themeColor="text1"/>
        </w:rPr>
        <w:t>、附录</w:t>
      </w:r>
      <w:r>
        <w:rPr>
          <w:rFonts w:ascii="Times New Roman" w:hAnsi="Times New Roman" w:cs="Times New Roman"/>
          <w:color w:val="000000" w:themeColor="text1"/>
        </w:rPr>
        <w:t>III</w:t>
      </w:r>
      <w:r>
        <w:rPr>
          <w:rFonts w:ascii="Times New Roman" w:hAnsi="Times New Roman" w:cs="Times New Roman"/>
          <w:color w:val="000000" w:themeColor="text1"/>
        </w:rPr>
        <w:t>）《中国濒危动物动物红皮</w:t>
      </w:r>
      <w:r>
        <w:rPr>
          <w:rFonts w:ascii="Times New Roman" w:hAnsi="Times New Roman" w:cs="Times New Roman"/>
          <w:color w:val="000000" w:themeColor="text1"/>
        </w:rPr>
        <w:t>·</w:t>
      </w:r>
      <w:r>
        <w:rPr>
          <w:rFonts w:ascii="Times New Roman" w:hAnsi="Times New Roman" w:cs="Times New Roman"/>
          <w:color w:val="000000" w:themeColor="text1"/>
        </w:rPr>
        <w:t>鱼类》《中国生物多样性红色名录</w:t>
      </w:r>
      <w:r>
        <w:rPr>
          <w:rFonts w:ascii="Times New Roman" w:hAnsi="Times New Roman" w:cs="Times New Roman"/>
          <w:color w:val="000000" w:themeColor="text1"/>
        </w:rPr>
        <w:t>·</w:t>
      </w:r>
      <w:r>
        <w:rPr>
          <w:rFonts w:ascii="Times New Roman" w:hAnsi="Times New Roman" w:cs="Times New Roman"/>
          <w:color w:val="000000" w:themeColor="text1"/>
        </w:rPr>
        <w:t>脊椎动物卷》和《国家重点保护野生动物名录国家林业和草原局</w:t>
      </w:r>
      <w:r>
        <w:rPr>
          <w:rFonts w:ascii="Times New Roman" w:hAnsi="Times New Roman" w:cs="Times New Roman"/>
          <w:color w:val="000000" w:themeColor="text1"/>
        </w:rPr>
        <w:t xml:space="preserve"> </w:t>
      </w:r>
      <w:r>
        <w:rPr>
          <w:rFonts w:ascii="Times New Roman" w:hAnsi="Times New Roman" w:cs="Times New Roman"/>
          <w:color w:val="000000" w:themeColor="text1"/>
        </w:rPr>
        <w:t>农业农村部公告（</w:t>
      </w:r>
      <w:r>
        <w:rPr>
          <w:rFonts w:ascii="Times New Roman" w:hAnsi="Times New Roman" w:cs="Times New Roman"/>
          <w:color w:val="000000" w:themeColor="text1"/>
        </w:rPr>
        <w:t>2021</w:t>
      </w:r>
      <w:r>
        <w:rPr>
          <w:rFonts w:ascii="Times New Roman" w:hAnsi="Times New Roman" w:cs="Times New Roman"/>
          <w:color w:val="000000" w:themeColor="text1"/>
        </w:rPr>
        <w:t>年第</w:t>
      </w:r>
      <w:r>
        <w:rPr>
          <w:rFonts w:ascii="Times New Roman" w:hAnsi="Times New Roman" w:cs="Times New Roman"/>
          <w:color w:val="000000" w:themeColor="text1"/>
        </w:rPr>
        <w:t>3</w:t>
      </w:r>
      <w:r>
        <w:rPr>
          <w:rFonts w:ascii="Times New Roman" w:hAnsi="Times New Roman" w:cs="Times New Roman"/>
          <w:color w:val="000000" w:themeColor="text1"/>
        </w:rPr>
        <w:t>号）》等相关资料，评价水域无国家重点保护动物和濒危鱼</w:t>
      </w:r>
      <w:r>
        <w:rPr>
          <w:rFonts w:ascii="Times New Roman" w:hAnsi="Times New Roman" w:cs="Times New Roman"/>
          <w:color w:val="000000" w:themeColor="text1"/>
        </w:rPr>
        <w:lastRenderedPageBreak/>
        <w:t>类分布。</w:t>
      </w:r>
    </w:p>
    <w:p w14:paraId="5025FB66"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hint="eastAsia"/>
          <w:color w:val="000000" w:themeColor="text1"/>
        </w:rPr>
        <w:t>（</w:t>
      </w:r>
      <w:r>
        <w:rPr>
          <w:rFonts w:ascii="Times New Roman" w:hAnsi="Times New Roman" w:cs="Times New Roman" w:hint="eastAsia"/>
          <w:color w:val="000000" w:themeColor="text1"/>
        </w:rPr>
        <w:t>2</w:t>
      </w:r>
      <w:r>
        <w:rPr>
          <w:rFonts w:ascii="Times New Roman" w:hAnsi="Times New Roman" w:cs="Times New Roman" w:hint="eastAsia"/>
          <w:color w:val="000000" w:themeColor="text1"/>
        </w:rPr>
        <w:t>）冷水性及喜冷水性鱼类</w:t>
      </w:r>
    </w:p>
    <w:p w14:paraId="5C2A5D48"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评价水域共有冷水性及喜冷水性鱼类</w:t>
      </w:r>
      <w:r>
        <w:rPr>
          <w:rFonts w:ascii="Times New Roman" w:hAnsi="Times New Roman" w:cs="Times New Roman"/>
          <w:color w:val="000000" w:themeColor="text1"/>
        </w:rPr>
        <w:t>2</w:t>
      </w:r>
      <w:r>
        <w:rPr>
          <w:rFonts w:ascii="Times New Roman" w:hAnsi="Times New Roman" w:cs="Times New Roman"/>
          <w:color w:val="000000" w:themeColor="text1"/>
        </w:rPr>
        <w:t>目</w:t>
      </w:r>
      <w:r>
        <w:rPr>
          <w:rFonts w:ascii="Times New Roman" w:hAnsi="Times New Roman" w:cs="Times New Roman"/>
          <w:color w:val="000000" w:themeColor="text1"/>
        </w:rPr>
        <w:t>2</w:t>
      </w:r>
      <w:r>
        <w:rPr>
          <w:rFonts w:ascii="Times New Roman" w:hAnsi="Times New Roman" w:cs="Times New Roman"/>
          <w:color w:val="000000" w:themeColor="text1"/>
        </w:rPr>
        <w:t>科</w:t>
      </w:r>
      <w:r>
        <w:rPr>
          <w:rFonts w:ascii="Times New Roman" w:hAnsi="Times New Roman" w:cs="Times New Roman"/>
          <w:color w:val="000000" w:themeColor="text1"/>
        </w:rPr>
        <w:t>3</w:t>
      </w:r>
      <w:r>
        <w:rPr>
          <w:rFonts w:ascii="Times New Roman" w:hAnsi="Times New Roman" w:cs="Times New Roman"/>
          <w:color w:val="000000" w:themeColor="text1"/>
        </w:rPr>
        <w:t>种，有池沼公鱼、瓦氏雅罗鱼、克氏鳈等。</w:t>
      </w:r>
    </w:p>
    <w:p w14:paraId="60497C34"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hint="eastAsia"/>
          <w:color w:val="000000" w:themeColor="text1"/>
        </w:rPr>
        <w:t>（</w:t>
      </w:r>
      <w:r>
        <w:rPr>
          <w:rFonts w:ascii="Times New Roman" w:hAnsi="Times New Roman" w:cs="Times New Roman" w:hint="eastAsia"/>
          <w:color w:val="000000" w:themeColor="text1"/>
        </w:rPr>
        <w:t>3</w:t>
      </w:r>
      <w:r>
        <w:rPr>
          <w:rFonts w:ascii="Times New Roman" w:hAnsi="Times New Roman" w:cs="Times New Roman" w:hint="eastAsia"/>
          <w:color w:val="000000" w:themeColor="text1"/>
        </w:rPr>
        <w:t>）鱼类群落结构特征</w:t>
      </w:r>
    </w:p>
    <w:p w14:paraId="7E2ECA0D"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1</w:t>
      </w:r>
      <w:r>
        <w:rPr>
          <w:rFonts w:ascii="Times New Roman" w:hAnsi="Times New Roman" w:cs="Times New Roman"/>
          <w:color w:val="000000" w:themeColor="text1"/>
        </w:rPr>
        <w:t>）生境利用类群</w:t>
      </w:r>
    </w:p>
    <w:p w14:paraId="640A5BE4"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①</w:t>
      </w:r>
      <w:r>
        <w:rPr>
          <w:rFonts w:ascii="Times New Roman" w:hAnsi="Times New Roman" w:cs="Times New Roman"/>
          <w:color w:val="000000" w:themeColor="text1"/>
        </w:rPr>
        <w:t>底层生活类群：生活于流速较快、水浅、温度低的河道中，以底栖动物、小鱼为食的种类。包括鲤科的鮈亚科、鳅科等，如鲤、鲫、北方泥鳅等。</w:t>
      </w:r>
    </w:p>
    <w:p w14:paraId="7C742DBD"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②</w:t>
      </w:r>
      <w:r>
        <w:rPr>
          <w:rFonts w:ascii="Times New Roman" w:hAnsi="Times New Roman" w:cs="Times New Roman"/>
          <w:color w:val="000000" w:themeColor="text1"/>
        </w:rPr>
        <w:t>中层生活类群：生活于水体中上层水域身体侧扁的鱼类，多生活于支流水体，包括鳑鲏亚科等。</w:t>
      </w:r>
    </w:p>
    <w:p w14:paraId="100BABCA"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③</w:t>
      </w:r>
      <w:r>
        <w:rPr>
          <w:rFonts w:ascii="Times New Roman" w:hAnsi="Times New Roman" w:cs="Times New Roman"/>
          <w:color w:val="000000" w:themeColor="text1"/>
        </w:rPr>
        <w:t>水体上层生活鱼类：体型纺锤形，游泳能力强，游动迅速。有许多种类是捕食性鱼类。包括雅罗鱼亚科等。</w:t>
      </w:r>
    </w:p>
    <w:p w14:paraId="2ACA2F3D"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④</w:t>
      </w:r>
      <w:r>
        <w:rPr>
          <w:rFonts w:ascii="Times New Roman" w:hAnsi="Times New Roman" w:cs="Times New Roman"/>
          <w:color w:val="000000" w:themeColor="text1"/>
        </w:rPr>
        <w:t>岸边静水草滩生活类群：大多为小型鱼类，有筑巢习性，麦穗鱼等。</w:t>
      </w:r>
    </w:p>
    <w:p w14:paraId="2982FC3F"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2</w:t>
      </w:r>
      <w:r>
        <w:rPr>
          <w:rFonts w:ascii="Times New Roman" w:hAnsi="Times New Roman" w:cs="Times New Roman"/>
          <w:color w:val="000000" w:themeColor="text1"/>
        </w:rPr>
        <w:t>）食性生态类群</w:t>
      </w:r>
    </w:p>
    <w:p w14:paraId="2113C27F"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 xml:space="preserve">① </w:t>
      </w:r>
      <w:r>
        <w:rPr>
          <w:rFonts w:ascii="Times New Roman" w:hAnsi="Times New Roman" w:cs="Times New Roman"/>
          <w:color w:val="000000" w:themeColor="text1"/>
        </w:rPr>
        <w:t>维管植物食性鱼类：</w:t>
      </w:r>
      <w:r>
        <w:rPr>
          <w:rFonts w:ascii="Times New Roman" w:hAnsi="Times New Roman" w:cs="Times New Roman"/>
          <w:color w:val="000000" w:themeColor="text1"/>
        </w:rPr>
        <w:t xml:space="preserve"> </w:t>
      </w:r>
      <w:r>
        <w:rPr>
          <w:rFonts w:ascii="Times New Roman" w:hAnsi="Times New Roman" w:cs="Times New Roman"/>
          <w:color w:val="000000" w:themeColor="text1"/>
        </w:rPr>
        <w:t>雅罗鱼亚科等。</w:t>
      </w:r>
    </w:p>
    <w:p w14:paraId="0E19522A"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 xml:space="preserve">② </w:t>
      </w:r>
      <w:r>
        <w:rPr>
          <w:rFonts w:ascii="Times New Roman" w:hAnsi="Times New Roman" w:cs="Times New Roman"/>
          <w:color w:val="000000" w:themeColor="text1"/>
        </w:rPr>
        <w:t>底栖动物食性鱼类：鲿科、鮈亚科等。</w:t>
      </w:r>
    </w:p>
    <w:p w14:paraId="7C71C86E"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 xml:space="preserve">③ </w:t>
      </w:r>
      <w:r>
        <w:rPr>
          <w:rFonts w:ascii="Times New Roman" w:hAnsi="Times New Roman" w:cs="Times New Roman"/>
          <w:color w:val="000000" w:themeColor="text1"/>
        </w:rPr>
        <w:t>食鱼性鱼类：鲇科、鮨科等。</w:t>
      </w:r>
    </w:p>
    <w:p w14:paraId="3423267D"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 xml:space="preserve">④ </w:t>
      </w:r>
      <w:r>
        <w:rPr>
          <w:rFonts w:ascii="Times New Roman" w:hAnsi="Times New Roman" w:cs="Times New Roman"/>
          <w:color w:val="000000" w:themeColor="text1"/>
        </w:rPr>
        <w:t>杂食性鱼类：</w:t>
      </w:r>
      <w:r>
        <w:rPr>
          <w:rFonts w:ascii="Times New Roman" w:hAnsi="Times New Roman" w:cs="Times New Roman"/>
          <w:color w:val="000000" w:themeColor="text1"/>
        </w:rPr>
        <w:t xml:space="preserve"> </w:t>
      </w:r>
      <w:r>
        <w:rPr>
          <w:rFonts w:ascii="Times New Roman" w:hAnsi="Times New Roman" w:cs="Times New Roman"/>
          <w:color w:val="000000" w:themeColor="text1"/>
        </w:rPr>
        <w:t>包括鲤、银鲫、泥鳅等。</w:t>
      </w:r>
    </w:p>
    <w:p w14:paraId="43884D12"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3</w:t>
      </w:r>
      <w:r>
        <w:rPr>
          <w:rFonts w:ascii="Times New Roman" w:hAnsi="Times New Roman" w:cs="Times New Roman"/>
          <w:color w:val="000000" w:themeColor="text1"/>
        </w:rPr>
        <w:t>）繁殖生态类群</w:t>
      </w:r>
      <w:r>
        <w:rPr>
          <w:rFonts w:ascii="Times New Roman" w:hAnsi="Times New Roman" w:cs="Times New Roman"/>
          <w:color w:val="000000" w:themeColor="text1"/>
        </w:rPr>
        <w:tab/>
      </w:r>
    </w:p>
    <w:p w14:paraId="5F018633"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根据亲鱼产卵位置的选择以及受精卵的性质，鱼类繁殖生态类群为</w:t>
      </w:r>
      <w:r>
        <w:rPr>
          <w:rFonts w:ascii="Times New Roman" w:hAnsi="Times New Roman" w:cs="Times New Roman"/>
          <w:color w:val="000000" w:themeColor="text1"/>
        </w:rPr>
        <w:t>4</w:t>
      </w:r>
      <w:r>
        <w:rPr>
          <w:rFonts w:ascii="Times New Roman" w:hAnsi="Times New Roman" w:cs="Times New Roman"/>
          <w:color w:val="000000" w:themeColor="text1"/>
        </w:rPr>
        <w:t>个类群：</w:t>
      </w:r>
    </w:p>
    <w:p w14:paraId="58864A7D"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 xml:space="preserve">① </w:t>
      </w:r>
      <w:r>
        <w:rPr>
          <w:rFonts w:ascii="Times New Roman" w:hAnsi="Times New Roman" w:cs="Times New Roman"/>
          <w:color w:val="000000" w:themeColor="text1"/>
        </w:rPr>
        <w:t>产粘性卵类群：包括鲤亚科、鲌亚科等。</w:t>
      </w:r>
    </w:p>
    <w:p w14:paraId="32E46FD5"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 xml:space="preserve">② </w:t>
      </w:r>
      <w:r>
        <w:rPr>
          <w:rFonts w:ascii="Times New Roman" w:hAnsi="Times New Roman" w:cs="Times New Roman"/>
          <w:color w:val="000000" w:themeColor="text1"/>
        </w:rPr>
        <w:t>产漂浮性卵类群：包括鳜、翘嘴鲌等。</w:t>
      </w:r>
    </w:p>
    <w:p w14:paraId="00A310BB"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 xml:space="preserve">③ </w:t>
      </w:r>
      <w:r>
        <w:rPr>
          <w:rFonts w:ascii="Times New Roman" w:hAnsi="Times New Roman" w:cs="Times New Roman"/>
          <w:color w:val="000000" w:themeColor="text1"/>
        </w:rPr>
        <w:t>产漂流性卵类群：包括鲢、草鱼等。</w:t>
      </w:r>
    </w:p>
    <w:p w14:paraId="0AC57AF4"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 xml:space="preserve">④ </w:t>
      </w:r>
      <w:r>
        <w:rPr>
          <w:rFonts w:ascii="Times New Roman" w:hAnsi="Times New Roman" w:cs="Times New Roman"/>
          <w:color w:val="000000" w:themeColor="text1"/>
        </w:rPr>
        <w:t>其它产卵类群：</w:t>
      </w:r>
      <w:r>
        <w:rPr>
          <w:rFonts w:ascii="Times New Roman" w:hAnsi="Times New Roman" w:cs="Times New Roman"/>
          <w:color w:val="000000" w:themeColor="text1"/>
        </w:rPr>
        <w:t xml:space="preserve"> </w:t>
      </w:r>
      <w:r>
        <w:rPr>
          <w:rFonts w:ascii="Times New Roman" w:hAnsi="Times New Roman" w:cs="Times New Roman"/>
          <w:color w:val="000000" w:themeColor="text1"/>
        </w:rPr>
        <w:t>包括产卵于软体动物外套腔中的鱊亚科鱼类。</w:t>
      </w:r>
    </w:p>
    <w:p w14:paraId="550A8BC7"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4</w:t>
      </w:r>
      <w:r>
        <w:rPr>
          <w:rFonts w:ascii="Times New Roman" w:hAnsi="Times New Roman" w:cs="Times New Roman"/>
          <w:color w:val="000000" w:themeColor="text1"/>
        </w:rPr>
        <w:t>）洄游生态类群</w:t>
      </w:r>
    </w:p>
    <w:p w14:paraId="10A12BEC"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洄游是鱼类从一个生境迁徙到另一个生境的活动现象，这种现象通常具有遵循某种时间节律或生活史阶段的规律性。大多数洄游行为都与索饵、越冬以及繁殖有关。不同学者在研究我国鱼类的生境需求时，通常依据鱼类在不同生境之间</w:t>
      </w:r>
      <w:r>
        <w:rPr>
          <w:rFonts w:ascii="Times New Roman" w:hAnsi="Times New Roman" w:cs="Times New Roman"/>
          <w:color w:val="000000" w:themeColor="text1"/>
        </w:rPr>
        <w:lastRenderedPageBreak/>
        <w:t>迁徙的生态习性，将我国各种水体中分布的鱼类划分为洄游性（海淡水洄游）、江湖洄游性</w:t>
      </w:r>
      <w:r>
        <w:rPr>
          <w:rFonts w:ascii="Times New Roman" w:hAnsi="Times New Roman" w:cs="Times New Roman"/>
          <w:color w:val="000000" w:themeColor="text1"/>
        </w:rPr>
        <w:t>2</w:t>
      </w:r>
      <w:r>
        <w:rPr>
          <w:rFonts w:ascii="Times New Roman" w:hAnsi="Times New Roman" w:cs="Times New Roman"/>
          <w:color w:val="000000" w:themeColor="text1"/>
        </w:rPr>
        <w:t>个较大的生态类群。</w:t>
      </w:r>
    </w:p>
    <w:p w14:paraId="121EB7A2"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评价水域均为水库，且鲢、草鱼和鳙均为渔业生产移植鱼类，所有评价水域无鲢、草鱼和青鱼等产漂流性卵鱼类洄游通道。</w:t>
      </w:r>
    </w:p>
    <w:p w14:paraId="3F776C7C"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hint="eastAsia"/>
          <w:color w:val="000000" w:themeColor="text1"/>
        </w:rPr>
        <w:t>2</w:t>
      </w:r>
      <w:r>
        <w:rPr>
          <w:rFonts w:ascii="Times New Roman" w:hAnsi="Times New Roman" w:cs="Times New Roman" w:hint="eastAsia"/>
          <w:color w:val="000000" w:themeColor="text1"/>
        </w:rPr>
        <w:t>、鱼类“三场”</w:t>
      </w:r>
    </w:p>
    <w:p w14:paraId="6389B872"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鱼类三场一通道调查主要是现状调查，结合主要鱼类生物学特性和水库形态，分析鱼类</w:t>
      </w:r>
      <w:r>
        <w:rPr>
          <w:rFonts w:ascii="Times New Roman" w:hAnsi="Times New Roman" w:cs="Times New Roman"/>
          <w:color w:val="000000" w:themeColor="text1"/>
        </w:rPr>
        <w:t>“</w:t>
      </w:r>
      <w:r>
        <w:rPr>
          <w:rFonts w:ascii="Times New Roman" w:hAnsi="Times New Roman" w:cs="Times New Roman"/>
          <w:color w:val="000000" w:themeColor="text1"/>
        </w:rPr>
        <w:t>三场</w:t>
      </w:r>
      <w:r>
        <w:rPr>
          <w:rFonts w:ascii="Times New Roman" w:hAnsi="Times New Roman" w:cs="Times New Roman"/>
          <w:color w:val="000000" w:themeColor="text1"/>
        </w:rPr>
        <w:t>”</w:t>
      </w:r>
      <w:r>
        <w:rPr>
          <w:rFonts w:ascii="Times New Roman" w:hAnsi="Times New Roman" w:cs="Times New Roman"/>
          <w:color w:val="000000" w:themeColor="text1"/>
        </w:rPr>
        <w:t>分布情况，来确定鱼类产卵场、索饵场、越冬场和洄游通道。</w:t>
      </w:r>
    </w:p>
    <w:p w14:paraId="3575E0BB"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w:t>
      </w:r>
      <w:r>
        <w:rPr>
          <w:rFonts w:ascii="Times New Roman" w:hAnsi="Times New Roman" w:cs="Times New Roman"/>
          <w:color w:val="000000" w:themeColor="text1"/>
        </w:rPr>
        <w:t>1</w:t>
      </w:r>
      <w:r>
        <w:rPr>
          <w:rFonts w:ascii="Times New Roman" w:hAnsi="Times New Roman" w:cs="Times New Roman"/>
          <w:color w:val="000000" w:themeColor="text1"/>
        </w:rPr>
        <w:t>）主要鱼类产卵场生境需求及鱼类洄游期</w:t>
      </w:r>
    </w:p>
    <w:p w14:paraId="063B2E51"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①</w:t>
      </w:r>
      <w:r>
        <w:rPr>
          <w:rFonts w:ascii="Times New Roman" w:hAnsi="Times New Roman" w:cs="Times New Roman"/>
          <w:color w:val="000000" w:themeColor="text1"/>
        </w:rPr>
        <w:t>产漂浮性卵鱼类的产卵场生境</w:t>
      </w:r>
    </w:p>
    <w:p w14:paraId="276C9EBC"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产漂浮性卵鱼类产卵场生境条件：产卵的水温在</w:t>
      </w:r>
      <w:r>
        <w:rPr>
          <w:rFonts w:ascii="Times New Roman" w:hAnsi="Times New Roman" w:cs="Times New Roman"/>
          <w:color w:val="000000" w:themeColor="text1"/>
        </w:rPr>
        <w:t>16</w:t>
      </w:r>
      <w:r>
        <w:rPr>
          <w:rFonts w:ascii="Times New Roman" w:hAnsi="Times New Roman" w:cs="Times New Roman"/>
          <w:color w:val="000000" w:themeColor="text1"/>
        </w:rPr>
        <w:t>～</w:t>
      </w:r>
      <w:r>
        <w:rPr>
          <w:rFonts w:ascii="Times New Roman" w:hAnsi="Times New Roman" w:cs="Times New Roman"/>
          <w:color w:val="000000" w:themeColor="text1"/>
        </w:rPr>
        <w:t>20℃</w:t>
      </w:r>
      <w:r>
        <w:rPr>
          <w:rFonts w:ascii="Times New Roman" w:hAnsi="Times New Roman" w:cs="Times New Roman"/>
          <w:color w:val="000000" w:themeColor="text1"/>
        </w:rPr>
        <w:t>之间，多数鱼类在</w:t>
      </w:r>
      <w:r>
        <w:rPr>
          <w:rFonts w:ascii="Times New Roman" w:hAnsi="Times New Roman" w:cs="Times New Roman"/>
          <w:color w:val="000000" w:themeColor="text1"/>
        </w:rPr>
        <w:t>18℃</w:t>
      </w:r>
      <w:r>
        <w:rPr>
          <w:rFonts w:ascii="Times New Roman" w:hAnsi="Times New Roman" w:cs="Times New Roman"/>
          <w:color w:val="000000" w:themeColor="text1"/>
        </w:rPr>
        <w:t>上下。产卵时需要有涨水过程，对促使产卵起着主要作用。</w:t>
      </w:r>
    </w:p>
    <w:p w14:paraId="0D126CD0"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②</w:t>
      </w:r>
      <w:r>
        <w:rPr>
          <w:rFonts w:ascii="Times New Roman" w:hAnsi="Times New Roman" w:cs="Times New Roman"/>
          <w:color w:val="000000" w:themeColor="text1"/>
        </w:rPr>
        <w:t>静水、半静水产粘性卵鱼类生境</w:t>
      </w:r>
    </w:p>
    <w:p w14:paraId="16E52B3A"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鲤、鲫、鲇等鱼类对产卵场要求不严格，一般在静水浅滩、水草丰茂处产卵，受精卵粘附于水草或附着基质上孵化，产卵场一般并不集中，主要分布在库湾、库汊及近岸等水生维管植物分布广（或水淹陆生植物面积大）、数量多及沙泥底的浅水水域。</w:t>
      </w:r>
    </w:p>
    <w:p w14:paraId="70B8045E"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③</w:t>
      </w:r>
      <w:r>
        <w:rPr>
          <w:rFonts w:ascii="Times New Roman" w:hAnsi="Times New Roman" w:cs="Times New Roman"/>
          <w:color w:val="000000" w:themeColor="text1"/>
        </w:rPr>
        <w:t>在蚌内产卵的鱊亚科鱼类</w:t>
      </w:r>
    </w:p>
    <w:p w14:paraId="5E8C821B"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一般在蚌等软体动物较丰富的水域，如静缓流水体、细砂或淤泥底质处，无固定产卵场，主要零散分布于河湾、河汊、浅滩等蚌类分布较多的水域。</w:t>
      </w:r>
    </w:p>
    <w:p w14:paraId="4F683EAB"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w:t>
      </w:r>
      <w:r>
        <w:rPr>
          <w:rFonts w:ascii="Times New Roman" w:hAnsi="Times New Roman" w:cs="Times New Roman"/>
          <w:color w:val="000000" w:themeColor="text1"/>
        </w:rPr>
        <w:t>2</w:t>
      </w:r>
      <w:r>
        <w:rPr>
          <w:rFonts w:ascii="Times New Roman" w:hAnsi="Times New Roman" w:cs="Times New Roman"/>
          <w:color w:val="000000" w:themeColor="text1"/>
        </w:rPr>
        <w:t>）产卵场</w:t>
      </w:r>
    </w:p>
    <w:p w14:paraId="6D38FF6F"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产粘性卵鱼类产卵场一般并不集中，主要分布在库湾、库汊及近岸等水生维管植物分布广（或水淹陆生植物面积大）、数量多及沙泥底的浅水水域。评价水域分布有产粘性乱鱼类产卵场。评价水域分布有多处产粘性卵鱼类产卵场。</w:t>
      </w:r>
    </w:p>
    <w:p w14:paraId="3EAC32F2"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产漂浮性卵鱼类的产卵场主要分布于水库的入水口附近</w:t>
      </w:r>
      <w:r>
        <w:rPr>
          <w:rFonts w:ascii="Times New Roman" w:hAnsi="Times New Roman" w:cs="Times New Roman"/>
          <w:color w:val="000000" w:themeColor="text1"/>
        </w:rPr>
        <w:t>‌</w:t>
      </w:r>
      <w:r>
        <w:rPr>
          <w:rFonts w:ascii="Times New Roman" w:hAnsi="Times New Roman" w:cs="Times New Roman"/>
          <w:color w:val="000000" w:themeColor="text1"/>
        </w:rPr>
        <w:t>或</w:t>
      </w:r>
      <w:r>
        <w:rPr>
          <w:rFonts w:ascii="Times New Roman" w:hAnsi="Times New Roman" w:cs="Times New Roman"/>
          <w:color w:val="000000" w:themeColor="text1"/>
        </w:rPr>
        <w:t>‌</w:t>
      </w:r>
      <w:r>
        <w:rPr>
          <w:rFonts w:ascii="Times New Roman" w:hAnsi="Times New Roman" w:cs="Times New Roman"/>
          <w:color w:val="000000" w:themeColor="text1"/>
        </w:rPr>
        <w:t>水流较急的库尾上游河段</w:t>
      </w:r>
      <w:r>
        <w:rPr>
          <w:rFonts w:ascii="Times New Roman" w:hAnsi="Times New Roman" w:cs="Times New Roman"/>
          <w:color w:val="000000" w:themeColor="text1"/>
        </w:rPr>
        <w:t>‌</w:t>
      </w:r>
      <w:r>
        <w:rPr>
          <w:rFonts w:ascii="Times New Roman" w:hAnsi="Times New Roman" w:cs="Times New Roman"/>
          <w:color w:val="000000" w:themeColor="text1"/>
        </w:rPr>
        <w:t>产卵，从评价水域</w:t>
      </w:r>
      <w:r>
        <w:rPr>
          <w:rFonts w:ascii="Times New Roman" w:hAnsi="Times New Roman" w:cs="Times New Roman"/>
          <w:color w:val="000000" w:themeColor="text1"/>
        </w:rPr>
        <w:t>6</w:t>
      </w:r>
      <w:r>
        <w:rPr>
          <w:rFonts w:ascii="Times New Roman" w:hAnsi="Times New Roman" w:cs="Times New Roman"/>
          <w:color w:val="000000" w:themeColor="text1"/>
        </w:rPr>
        <w:t>个水库库区来看，评价水域不具备产漂浮性卵鱼类产卵场条件。</w:t>
      </w:r>
      <w:r>
        <w:rPr>
          <w:rFonts w:ascii="Times New Roman" w:hAnsi="Times New Roman" w:cs="Times New Roman"/>
          <w:color w:val="000000" w:themeColor="text1"/>
        </w:rPr>
        <w:t xml:space="preserve"> ‌</w:t>
      </w:r>
    </w:p>
    <w:p w14:paraId="6F2B3DDC"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w:t>
      </w:r>
      <w:r>
        <w:rPr>
          <w:rFonts w:ascii="Times New Roman" w:hAnsi="Times New Roman" w:cs="Times New Roman"/>
          <w:color w:val="000000" w:themeColor="text1"/>
        </w:rPr>
        <w:t>3</w:t>
      </w:r>
      <w:r>
        <w:rPr>
          <w:rFonts w:ascii="Times New Roman" w:hAnsi="Times New Roman" w:cs="Times New Roman"/>
          <w:color w:val="000000" w:themeColor="text1"/>
        </w:rPr>
        <w:t>）索饵场</w:t>
      </w:r>
    </w:p>
    <w:p w14:paraId="68F119DB"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多分布在水温较高，光合作用剧烈，水生生物生物量高，水生维管植物较多</w:t>
      </w:r>
      <w:r>
        <w:rPr>
          <w:rFonts w:ascii="Times New Roman" w:hAnsi="Times New Roman" w:cs="Times New Roman"/>
          <w:color w:val="000000" w:themeColor="text1"/>
        </w:rPr>
        <w:lastRenderedPageBreak/>
        <w:t>水深在</w:t>
      </w:r>
      <w:r>
        <w:rPr>
          <w:rFonts w:ascii="Times New Roman" w:hAnsi="Times New Roman" w:cs="Times New Roman"/>
          <w:color w:val="000000" w:themeColor="text1"/>
        </w:rPr>
        <w:t>1m</w:t>
      </w:r>
      <w:r>
        <w:rPr>
          <w:rFonts w:ascii="Times New Roman" w:hAnsi="Times New Roman" w:cs="Times New Roman"/>
          <w:color w:val="000000" w:themeColor="text1"/>
        </w:rPr>
        <w:t>以内的库湾、库汊浅水区域，多数临近产粘性卵鱼类产卵场。</w:t>
      </w:r>
    </w:p>
    <w:p w14:paraId="0479C6FF"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w:t>
      </w:r>
      <w:r>
        <w:rPr>
          <w:rFonts w:ascii="Times New Roman" w:hAnsi="Times New Roman" w:cs="Times New Roman"/>
          <w:color w:val="000000" w:themeColor="text1"/>
        </w:rPr>
        <w:t>4</w:t>
      </w:r>
      <w:r>
        <w:rPr>
          <w:rFonts w:ascii="Times New Roman" w:hAnsi="Times New Roman" w:cs="Times New Roman"/>
          <w:color w:val="000000" w:themeColor="text1"/>
        </w:rPr>
        <w:t>）越冬场</w:t>
      </w:r>
    </w:p>
    <w:p w14:paraId="4ED3CF58"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主要分布于水库深水区。</w:t>
      </w:r>
    </w:p>
    <w:p w14:paraId="2EC65157"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w:t>
      </w:r>
      <w:r>
        <w:rPr>
          <w:rFonts w:ascii="Times New Roman" w:hAnsi="Times New Roman" w:cs="Times New Roman"/>
          <w:color w:val="000000" w:themeColor="text1"/>
        </w:rPr>
        <w:t>5</w:t>
      </w:r>
      <w:r>
        <w:rPr>
          <w:rFonts w:ascii="Times New Roman" w:hAnsi="Times New Roman" w:cs="Times New Roman"/>
          <w:color w:val="000000" w:themeColor="text1"/>
        </w:rPr>
        <w:t>）洄游通道</w:t>
      </w:r>
    </w:p>
    <w:p w14:paraId="092B3F70"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评价水域无鲢、草鱼等产漂流性卵鱼类洄游通道。</w:t>
      </w:r>
    </w:p>
    <w:p w14:paraId="5B2D7471"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评价水域主要鱼类</w:t>
      </w:r>
      <w:r>
        <w:rPr>
          <w:rFonts w:ascii="Times New Roman" w:hAnsi="Times New Roman" w:cs="Times New Roman"/>
          <w:color w:val="000000" w:themeColor="text1"/>
        </w:rPr>
        <w:t>“</w:t>
      </w:r>
      <w:r>
        <w:rPr>
          <w:rFonts w:ascii="Times New Roman" w:hAnsi="Times New Roman" w:cs="Times New Roman"/>
          <w:color w:val="000000" w:themeColor="text1"/>
        </w:rPr>
        <w:t>三场</w:t>
      </w:r>
      <w:r>
        <w:rPr>
          <w:rFonts w:ascii="Times New Roman" w:hAnsi="Times New Roman" w:cs="Times New Roman"/>
          <w:color w:val="000000" w:themeColor="text1"/>
        </w:rPr>
        <w:t>”</w:t>
      </w:r>
      <w:r>
        <w:rPr>
          <w:rFonts w:ascii="Times New Roman" w:hAnsi="Times New Roman" w:cs="Times New Roman"/>
          <w:color w:val="000000" w:themeColor="text1"/>
        </w:rPr>
        <w:t>分布示意图，见图</w:t>
      </w:r>
      <w:r>
        <w:rPr>
          <w:rFonts w:ascii="Times New Roman" w:hAnsi="Times New Roman" w:cs="Times New Roman" w:hint="eastAsia"/>
          <w:color w:val="000000" w:themeColor="text1"/>
        </w:rPr>
        <w:t>4.3-19</w:t>
      </w:r>
      <w:r>
        <w:rPr>
          <w:rFonts w:ascii="Times New Roman" w:hAnsi="Times New Roman" w:cs="Times New Roman" w:hint="eastAsia"/>
          <w:color w:val="000000" w:themeColor="text1"/>
        </w:rPr>
        <w:t>。</w:t>
      </w:r>
    </w:p>
    <w:p w14:paraId="79D8FB33" w14:textId="77777777" w:rsidR="009D12AF" w:rsidRDefault="00000000">
      <w:pPr>
        <w:ind w:firstLineChars="0" w:firstLine="0"/>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135768C1" wp14:editId="7CBFB0B8">
            <wp:extent cx="5482590" cy="2529205"/>
            <wp:effectExtent l="0" t="0" r="3810" b="444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60" cstate="screen">
                      <a:extLst>
                        <a:ext uri="{28A0092B-C50C-407E-A947-70E740481C1C}">
                          <a14:useLocalDpi xmlns:a14="http://schemas.microsoft.com/office/drawing/2010/main"/>
                        </a:ext>
                      </a:extLst>
                    </a:blip>
                    <a:stretch>
                      <a:fillRect/>
                    </a:stretch>
                  </pic:blipFill>
                  <pic:spPr>
                    <a:xfrm>
                      <a:off x="0" y="0"/>
                      <a:ext cx="5482590" cy="2529205"/>
                    </a:xfrm>
                    <a:prstGeom prst="rect">
                      <a:avLst/>
                    </a:prstGeom>
                  </pic:spPr>
                </pic:pic>
              </a:graphicData>
            </a:graphic>
          </wp:inline>
        </w:drawing>
      </w:r>
    </w:p>
    <w:p w14:paraId="1429BFCD" w14:textId="77777777" w:rsidR="009D12AF" w:rsidRDefault="00000000">
      <w:pPr>
        <w:ind w:firstLine="482"/>
        <w:jc w:val="center"/>
        <w:rPr>
          <w:rFonts w:ascii="Times New Roman" w:hAnsi="Times New Roman" w:cs="Times New Roman"/>
          <w:color w:val="000000" w:themeColor="text1"/>
        </w:rPr>
      </w:pPr>
      <w:r>
        <w:rPr>
          <w:rFonts w:ascii="Times New Roman" w:hAnsi="Times New Roman" w:cs="Times New Roman"/>
          <w:b/>
          <w:bCs/>
          <w:color w:val="000000" w:themeColor="text1"/>
        </w:rPr>
        <w:t>图</w:t>
      </w:r>
      <w:r>
        <w:rPr>
          <w:rFonts w:ascii="Times New Roman" w:hAnsi="Times New Roman" w:cs="Times New Roman" w:hint="eastAsia"/>
          <w:b/>
          <w:bCs/>
          <w:color w:val="000000" w:themeColor="text1"/>
        </w:rPr>
        <w:t>4.3-19</w:t>
      </w:r>
      <w:r>
        <w:rPr>
          <w:rFonts w:ascii="Times New Roman" w:hAnsi="Times New Roman" w:cs="Times New Roman"/>
          <w:b/>
          <w:bCs/>
          <w:color w:val="000000" w:themeColor="text1"/>
        </w:rPr>
        <w:t xml:space="preserve">  </w:t>
      </w:r>
      <w:r>
        <w:rPr>
          <w:rFonts w:ascii="Times New Roman" w:hAnsi="Times New Roman" w:cs="Times New Roman"/>
          <w:b/>
          <w:bCs/>
          <w:color w:val="000000" w:themeColor="text1"/>
        </w:rPr>
        <w:t>评价水域主要鱼类</w:t>
      </w:r>
      <w:r>
        <w:rPr>
          <w:rFonts w:ascii="Times New Roman" w:hAnsi="Times New Roman" w:cs="Times New Roman"/>
          <w:b/>
          <w:bCs/>
          <w:color w:val="000000" w:themeColor="text1"/>
        </w:rPr>
        <w:t>“</w:t>
      </w:r>
      <w:r>
        <w:rPr>
          <w:rFonts w:ascii="Times New Roman" w:hAnsi="Times New Roman" w:cs="Times New Roman"/>
          <w:b/>
          <w:bCs/>
          <w:color w:val="000000" w:themeColor="text1"/>
        </w:rPr>
        <w:t>三场</w:t>
      </w:r>
      <w:r>
        <w:rPr>
          <w:rFonts w:ascii="Times New Roman" w:hAnsi="Times New Roman" w:cs="Times New Roman"/>
          <w:b/>
          <w:bCs/>
          <w:color w:val="000000" w:themeColor="text1"/>
        </w:rPr>
        <w:t>”</w:t>
      </w:r>
      <w:r>
        <w:rPr>
          <w:rFonts w:ascii="Times New Roman" w:hAnsi="Times New Roman" w:cs="Times New Roman"/>
          <w:b/>
          <w:bCs/>
          <w:color w:val="000000" w:themeColor="text1"/>
        </w:rPr>
        <w:t>分布示意图</w:t>
      </w:r>
    </w:p>
    <w:p w14:paraId="20AFE115"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hint="eastAsia"/>
          <w:color w:val="000000" w:themeColor="text1"/>
        </w:rPr>
        <w:t>3</w:t>
      </w:r>
      <w:r>
        <w:rPr>
          <w:rFonts w:ascii="Times New Roman" w:hAnsi="Times New Roman" w:cs="Times New Roman" w:hint="eastAsia"/>
          <w:color w:val="000000" w:themeColor="text1"/>
        </w:rPr>
        <w:t>、鱼类资源现状</w:t>
      </w:r>
    </w:p>
    <w:p w14:paraId="165AB2A8"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调查期间，现场在莲花水库布设多网目复合次网</w:t>
      </w:r>
      <w:r>
        <w:rPr>
          <w:rFonts w:ascii="Times New Roman" w:hAnsi="Times New Roman" w:cs="Times New Roman"/>
          <w:color w:val="000000" w:themeColor="text1"/>
        </w:rPr>
        <w:t>6</w:t>
      </w:r>
      <w:r>
        <w:rPr>
          <w:rFonts w:ascii="Times New Roman" w:hAnsi="Times New Roman" w:cs="Times New Roman"/>
          <w:color w:val="000000" w:themeColor="text1"/>
        </w:rPr>
        <w:t>张，共采集鱼类</w:t>
      </w:r>
      <w:r>
        <w:rPr>
          <w:rFonts w:ascii="Times New Roman" w:hAnsi="Times New Roman" w:cs="Times New Roman"/>
          <w:color w:val="000000" w:themeColor="text1"/>
        </w:rPr>
        <w:t>240</w:t>
      </w:r>
      <w:r>
        <w:rPr>
          <w:rFonts w:ascii="Times New Roman" w:hAnsi="Times New Roman" w:cs="Times New Roman"/>
          <w:color w:val="000000" w:themeColor="text1"/>
        </w:rPr>
        <w:t>尾，重量</w:t>
      </w:r>
      <w:r>
        <w:rPr>
          <w:rFonts w:ascii="Times New Roman" w:hAnsi="Times New Roman" w:cs="Times New Roman"/>
          <w:color w:val="000000" w:themeColor="text1"/>
        </w:rPr>
        <w:t>21435.3g</w:t>
      </w:r>
      <w:r>
        <w:rPr>
          <w:rFonts w:ascii="Times New Roman" w:hAnsi="Times New Roman" w:cs="Times New Roman"/>
          <w:color w:val="000000" w:themeColor="text1"/>
        </w:rPr>
        <w:t>。渔获物中种类主要为翘嘴鲌、蒙古鲌、鲤、鲫、䱗、黄颡鱼、鲢、鳙、鲇和鳜（图</w:t>
      </w:r>
      <w:r>
        <w:rPr>
          <w:rFonts w:ascii="Times New Roman" w:hAnsi="Times New Roman" w:cs="Times New Roman" w:hint="eastAsia"/>
          <w:color w:val="000000" w:themeColor="text1"/>
        </w:rPr>
        <w:t>4.3-20</w:t>
      </w:r>
      <w:r>
        <w:rPr>
          <w:rFonts w:ascii="Times New Roman" w:hAnsi="Times New Roman" w:cs="Times New Roman"/>
          <w:color w:val="000000" w:themeColor="text1"/>
        </w:rPr>
        <w:t>）。</w:t>
      </w:r>
    </w:p>
    <w:p w14:paraId="30848A35" w14:textId="77777777" w:rsidR="009D12AF" w:rsidRDefault="00000000">
      <w:pPr>
        <w:ind w:leftChars="-236" w:left="-566" w:rightChars="-319" w:right="-766" w:firstLine="480"/>
        <w:jc w:val="cente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79193CEF" wp14:editId="584399E1">
            <wp:extent cx="4102100" cy="2299335"/>
            <wp:effectExtent l="0" t="0" r="12700" b="5715"/>
            <wp:docPr id="196" name="图形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形 45"/>
                    <pic:cNvPicPr>
                      <a:picLocks noChangeAspect="1"/>
                    </pic:cNvPicPr>
                  </pic:nvPicPr>
                  <pic:blipFill>
                    <a:blip r:embed="rId61">
                      <a:extLst>
                        <a:ext uri="{96DAC541-7B7A-43D3-8B79-37D633B846F1}">
                          <asvg:svgBlip xmlns:asvg="http://schemas.microsoft.com/office/drawing/2016/SVG/main" r:embed="rId62"/>
                        </a:ext>
                      </a:extLst>
                    </a:blip>
                    <a:stretch>
                      <a:fillRect/>
                    </a:stretch>
                  </pic:blipFill>
                  <pic:spPr>
                    <a:xfrm>
                      <a:off x="0" y="0"/>
                      <a:ext cx="4102100" cy="2299335"/>
                    </a:xfrm>
                    <a:prstGeom prst="rect">
                      <a:avLst/>
                    </a:prstGeom>
                  </pic:spPr>
                </pic:pic>
              </a:graphicData>
            </a:graphic>
          </wp:inline>
        </w:drawing>
      </w:r>
    </w:p>
    <w:p w14:paraId="67B6EF6A" w14:textId="77777777" w:rsidR="009D12AF" w:rsidRDefault="00000000">
      <w:pPr>
        <w:ind w:leftChars="-236" w:left="-566" w:rightChars="-319" w:right="-766" w:firstLine="482"/>
        <w:jc w:val="center"/>
        <w:rPr>
          <w:rFonts w:ascii="Times New Roman" w:hAnsi="Times New Roman" w:cs="Times New Roman"/>
          <w:b/>
          <w:bCs/>
          <w:color w:val="000000" w:themeColor="text1"/>
        </w:rPr>
      </w:pPr>
      <w:r>
        <w:rPr>
          <w:rFonts w:ascii="Times New Roman" w:hAnsi="Times New Roman" w:cs="Times New Roman"/>
          <w:b/>
          <w:bCs/>
          <w:color w:val="000000" w:themeColor="text1"/>
        </w:rPr>
        <w:t>图</w:t>
      </w:r>
      <w:r>
        <w:rPr>
          <w:rFonts w:ascii="Times New Roman" w:hAnsi="Times New Roman" w:cs="Times New Roman" w:hint="eastAsia"/>
          <w:b/>
          <w:bCs/>
          <w:color w:val="000000" w:themeColor="text1"/>
        </w:rPr>
        <w:t>4.3-20</w:t>
      </w:r>
      <w:r>
        <w:rPr>
          <w:rFonts w:ascii="Times New Roman" w:hAnsi="Times New Roman" w:cs="Times New Roman"/>
          <w:b/>
          <w:bCs/>
          <w:color w:val="000000" w:themeColor="text1"/>
        </w:rPr>
        <w:t xml:space="preserve">  </w:t>
      </w:r>
      <w:r>
        <w:rPr>
          <w:rFonts w:ascii="Times New Roman" w:hAnsi="Times New Roman" w:cs="Times New Roman"/>
          <w:b/>
          <w:bCs/>
          <w:color w:val="000000" w:themeColor="text1"/>
        </w:rPr>
        <w:t>莲花水库刺网渔获物组成</w:t>
      </w:r>
    </w:p>
    <w:p w14:paraId="700B9F61"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lastRenderedPageBreak/>
        <w:t>调查期间，现场在群力水库布设多网目复合次网</w:t>
      </w:r>
      <w:r>
        <w:rPr>
          <w:rFonts w:ascii="Times New Roman" w:hAnsi="Times New Roman" w:cs="Times New Roman"/>
          <w:color w:val="000000" w:themeColor="text1"/>
        </w:rPr>
        <w:t>6</w:t>
      </w:r>
      <w:r>
        <w:rPr>
          <w:rFonts w:ascii="Times New Roman" w:hAnsi="Times New Roman" w:cs="Times New Roman"/>
          <w:color w:val="000000" w:themeColor="text1"/>
        </w:rPr>
        <w:t>张，共采集鱼类</w:t>
      </w:r>
      <w:r>
        <w:rPr>
          <w:rFonts w:ascii="Times New Roman" w:hAnsi="Times New Roman" w:cs="Times New Roman"/>
          <w:color w:val="000000" w:themeColor="text1"/>
        </w:rPr>
        <w:t>155</w:t>
      </w:r>
      <w:r>
        <w:rPr>
          <w:rFonts w:ascii="Times New Roman" w:hAnsi="Times New Roman" w:cs="Times New Roman"/>
          <w:color w:val="000000" w:themeColor="text1"/>
        </w:rPr>
        <w:t>尾，重量</w:t>
      </w:r>
      <w:r>
        <w:rPr>
          <w:rFonts w:ascii="Times New Roman" w:hAnsi="Times New Roman" w:cs="Times New Roman"/>
          <w:color w:val="000000" w:themeColor="text1"/>
        </w:rPr>
        <w:t>16322.6g</w:t>
      </w:r>
      <w:r>
        <w:rPr>
          <w:rFonts w:ascii="Times New Roman" w:hAnsi="Times New Roman" w:cs="Times New Roman"/>
          <w:color w:val="000000" w:themeColor="text1"/>
        </w:rPr>
        <w:t>。渔获物中种类主要为翘嘴鲌、蒙古鲌、鲤、鲫、䱗、黄颡鱼、鲢、鳙、鲇、花䱻和马口鱼（图</w:t>
      </w:r>
      <w:r>
        <w:rPr>
          <w:rFonts w:ascii="Times New Roman" w:hAnsi="Times New Roman" w:cs="Times New Roman" w:hint="eastAsia"/>
          <w:color w:val="000000" w:themeColor="text1"/>
        </w:rPr>
        <w:t>4.3-21</w:t>
      </w:r>
      <w:r>
        <w:rPr>
          <w:rFonts w:ascii="Times New Roman" w:hAnsi="Times New Roman" w:cs="Times New Roman"/>
          <w:color w:val="000000" w:themeColor="text1"/>
        </w:rPr>
        <w:t>）。</w:t>
      </w:r>
    </w:p>
    <w:p w14:paraId="08EE3F55" w14:textId="77777777" w:rsidR="009D12AF" w:rsidRDefault="00000000">
      <w:pPr>
        <w:ind w:leftChars="-295" w:left="-708" w:rightChars="-319" w:right="-766" w:firstLine="480"/>
        <w:jc w:val="cente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34732CB9" wp14:editId="418782D5">
            <wp:extent cx="4648200" cy="3086100"/>
            <wp:effectExtent l="0" t="0" r="0" b="0"/>
            <wp:docPr id="197" name="图形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形 48"/>
                    <pic:cNvPicPr>
                      <a:picLocks noChangeAspect="1"/>
                    </pic:cNvPicPr>
                  </pic:nvPicPr>
                  <pic:blipFill>
                    <a:blip r:embed="rId63">
                      <a:extLst>
                        <a:ext uri="{96DAC541-7B7A-43D3-8B79-37D633B846F1}">
                          <asvg:svgBlip xmlns:asvg="http://schemas.microsoft.com/office/drawing/2016/SVG/main" r:embed="rId64"/>
                        </a:ext>
                      </a:extLst>
                    </a:blip>
                    <a:stretch>
                      <a:fillRect/>
                    </a:stretch>
                  </pic:blipFill>
                  <pic:spPr>
                    <a:xfrm>
                      <a:off x="0" y="0"/>
                      <a:ext cx="4648200" cy="3086100"/>
                    </a:xfrm>
                    <a:prstGeom prst="rect">
                      <a:avLst/>
                    </a:prstGeom>
                  </pic:spPr>
                </pic:pic>
              </a:graphicData>
            </a:graphic>
          </wp:inline>
        </w:drawing>
      </w:r>
    </w:p>
    <w:p w14:paraId="3700535B" w14:textId="77777777" w:rsidR="009D12AF" w:rsidRDefault="00000000">
      <w:pPr>
        <w:ind w:firstLine="482"/>
        <w:jc w:val="center"/>
        <w:rPr>
          <w:rFonts w:ascii="Times New Roman" w:hAnsi="Times New Roman" w:cs="Times New Roman"/>
          <w:b/>
          <w:color w:val="000000" w:themeColor="text1"/>
        </w:rPr>
      </w:pPr>
      <w:r>
        <w:rPr>
          <w:rFonts w:ascii="Times New Roman" w:hAnsi="Times New Roman" w:cs="Times New Roman"/>
          <w:b/>
          <w:color w:val="000000" w:themeColor="text1"/>
        </w:rPr>
        <w:t>图</w:t>
      </w:r>
      <w:r>
        <w:rPr>
          <w:rFonts w:ascii="Times New Roman" w:hAnsi="Times New Roman" w:cs="Times New Roman" w:hint="eastAsia"/>
          <w:b/>
          <w:color w:val="000000" w:themeColor="text1"/>
        </w:rPr>
        <w:t>4.3-21</w:t>
      </w:r>
      <w:r>
        <w:rPr>
          <w:rFonts w:ascii="Times New Roman" w:hAnsi="Times New Roman" w:cs="Times New Roman"/>
          <w:b/>
          <w:color w:val="000000" w:themeColor="text1"/>
        </w:rPr>
        <w:t xml:space="preserve"> </w:t>
      </w:r>
      <w:r>
        <w:rPr>
          <w:rFonts w:ascii="Times New Roman" w:hAnsi="Times New Roman" w:cs="Times New Roman"/>
          <w:b/>
          <w:color w:val="000000" w:themeColor="text1"/>
        </w:rPr>
        <w:t>群力水库刺网渔获物组成</w:t>
      </w:r>
    </w:p>
    <w:p w14:paraId="228A9BBC"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调查期间，现场在长石水库布设多网目复合次网</w:t>
      </w:r>
      <w:r>
        <w:rPr>
          <w:rFonts w:ascii="Times New Roman" w:hAnsi="Times New Roman" w:cs="Times New Roman"/>
          <w:color w:val="000000" w:themeColor="text1"/>
        </w:rPr>
        <w:t>3</w:t>
      </w:r>
      <w:r>
        <w:rPr>
          <w:rFonts w:ascii="Times New Roman" w:hAnsi="Times New Roman" w:cs="Times New Roman"/>
          <w:color w:val="000000" w:themeColor="text1"/>
        </w:rPr>
        <w:t>张，共采集鱼类</w:t>
      </w:r>
      <w:r>
        <w:rPr>
          <w:rFonts w:ascii="Times New Roman" w:hAnsi="Times New Roman" w:cs="Times New Roman"/>
          <w:color w:val="000000" w:themeColor="text1"/>
        </w:rPr>
        <w:t>42</w:t>
      </w:r>
      <w:r>
        <w:rPr>
          <w:rFonts w:ascii="Times New Roman" w:hAnsi="Times New Roman" w:cs="Times New Roman"/>
          <w:color w:val="000000" w:themeColor="text1"/>
        </w:rPr>
        <w:t>尾，重量</w:t>
      </w:r>
      <w:r>
        <w:rPr>
          <w:rFonts w:ascii="Times New Roman" w:hAnsi="Times New Roman" w:cs="Times New Roman"/>
          <w:color w:val="000000" w:themeColor="text1"/>
        </w:rPr>
        <w:t>6800.28g</w:t>
      </w:r>
      <w:r>
        <w:rPr>
          <w:rFonts w:ascii="Times New Roman" w:hAnsi="Times New Roman" w:cs="Times New Roman"/>
          <w:color w:val="000000" w:themeColor="text1"/>
        </w:rPr>
        <w:t>。渔获物中种类主要为鲤、鲫、黄颡鱼、麦穗鱼、䱗和鲇（图</w:t>
      </w:r>
      <w:r>
        <w:rPr>
          <w:rFonts w:ascii="Times New Roman" w:hAnsi="Times New Roman" w:cs="Times New Roman" w:hint="eastAsia"/>
          <w:color w:val="000000" w:themeColor="text1"/>
        </w:rPr>
        <w:t>4.3-22</w:t>
      </w:r>
      <w:r>
        <w:rPr>
          <w:rFonts w:ascii="Times New Roman" w:hAnsi="Times New Roman" w:cs="Times New Roman"/>
          <w:color w:val="000000" w:themeColor="text1"/>
        </w:rPr>
        <w:t>）。</w:t>
      </w:r>
    </w:p>
    <w:p w14:paraId="3A852E53" w14:textId="77777777" w:rsidR="009D12AF" w:rsidRDefault="00000000">
      <w:pPr>
        <w:ind w:leftChars="-295" w:left="-708" w:rightChars="-319" w:right="-766" w:firstLine="480"/>
        <w:jc w:val="cente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06B3061D" wp14:editId="1CFE4D1F">
            <wp:extent cx="4610100" cy="2590800"/>
            <wp:effectExtent l="0" t="0" r="0" b="0"/>
            <wp:docPr id="198" name="图形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形 57"/>
                    <pic:cNvPicPr>
                      <a:picLocks noChangeAspect="1"/>
                    </pic:cNvPicPr>
                  </pic:nvPicPr>
                  <pic:blipFill>
                    <a:blip r:embed="rId65">
                      <a:extLst>
                        <a:ext uri="{96DAC541-7B7A-43D3-8B79-37D633B846F1}">
                          <asvg:svgBlip xmlns:asvg="http://schemas.microsoft.com/office/drawing/2016/SVG/main" r:embed="rId66"/>
                        </a:ext>
                      </a:extLst>
                    </a:blip>
                    <a:stretch>
                      <a:fillRect/>
                    </a:stretch>
                  </pic:blipFill>
                  <pic:spPr>
                    <a:xfrm>
                      <a:off x="0" y="0"/>
                      <a:ext cx="4610100" cy="2590800"/>
                    </a:xfrm>
                    <a:prstGeom prst="rect">
                      <a:avLst/>
                    </a:prstGeom>
                  </pic:spPr>
                </pic:pic>
              </a:graphicData>
            </a:graphic>
          </wp:inline>
        </w:drawing>
      </w:r>
    </w:p>
    <w:p w14:paraId="224EF461" w14:textId="77777777" w:rsidR="009D12AF" w:rsidRDefault="00000000">
      <w:pPr>
        <w:ind w:firstLine="482"/>
        <w:jc w:val="center"/>
        <w:rPr>
          <w:rFonts w:ascii="Times New Roman" w:hAnsi="Times New Roman" w:cs="Times New Roman"/>
          <w:b/>
          <w:color w:val="000000" w:themeColor="text1"/>
        </w:rPr>
      </w:pPr>
      <w:r>
        <w:rPr>
          <w:rFonts w:ascii="Times New Roman" w:hAnsi="Times New Roman" w:cs="Times New Roman"/>
          <w:b/>
          <w:color w:val="000000" w:themeColor="text1"/>
        </w:rPr>
        <w:t>图</w:t>
      </w:r>
      <w:r>
        <w:rPr>
          <w:rFonts w:ascii="Times New Roman" w:hAnsi="Times New Roman" w:cs="Times New Roman" w:hint="eastAsia"/>
          <w:b/>
          <w:color w:val="000000" w:themeColor="text1"/>
        </w:rPr>
        <w:t>4.3-22</w:t>
      </w:r>
      <w:r>
        <w:rPr>
          <w:rFonts w:ascii="Times New Roman" w:hAnsi="Times New Roman" w:cs="Times New Roman"/>
          <w:b/>
          <w:color w:val="000000" w:themeColor="text1"/>
        </w:rPr>
        <w:t xml:space="preserve"> </w:t>
      </w:r>
      <w:r>
        <w:rPr>
          <w:rFonts w:ascii="Times New Roman" w:hAnsi="Times New Roman" w:cs="Times New Roman"/>
          <w:b/>
          <w:color w:val="000000" w:themeColor="text1"/>
        </w:rPr>
        <w:t>长石水库刺网渔获物组成</w:t>
      </w:r>
    </w:p>
    <w:p w14:paraId="4A01F8FE"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调查期间，现场在新安晒水池布设地笼网</w:t>
      </w:r>
      <w:r>
        <w:rPr>
          <w:rFonts w:ascii="Times New Roman" w:hAnsi="Times New Roman" w:cs="Times New Roman"/>
          <w:color w:val="000000" w:themeColor="text1"/>
        </w:rPr>
        <w:t>3</w:t>
      </w:r>
      <w:r>
        <w:rPr>
          <w:rFonts w:ascii="Times New Roman" w:hAnsi="Times New Roman" w:cs="Times New Roman"/>
          <w:color w:val="000000" w:themeColor="text1"/>
        </w:rPr>
        <w:t>个，共采集鱼类</w:t>
      </w:r>
      <w:r>
        <w:rPr>
          <w:rFonts w:ascii="Times New Roman" w:hAnsi="Times New Roman" w:cs="Times New Roman"/>
          <w:color w:val="000000" w:themeColor="text1"/>
        </w:rPr>
        <w:t>78</w:t>
      </w:r>
      <w:r>
        <w:rPr>
          <w:rFonts w:ascii="Times New Roman" w:hAnsi="Times New Roman" w:cs="Times New Roman"/>
          <w:color w:val="000000" w:themeColor="text1"/>
        </w:rPr>
        <w:t>尾，重量</w:t>
      </w:r>
      <w:r>
        <w:rPr>
          <w:rFonts w:ascii="Times New Roman" w:hAnsi="Times New Roman" w:cs="Times New Roman"/>
          <w:color w:val="000000" w:themeColor="text1"/>
        </w:rPr>
        <w:t>254.22g</w:t>
      </w:r>
      <w:r>
        <w:rPr>
          <w:rFonts w:ascii="Times New Roman" w:hAnsi="Times New Roman" w:cs="Times New Roman"/>
          <w:color w:val="000000" w:themeColor="text1"/>
        </w:rPr>
        <w:t>。渔获物中种类主要为克氏鳈、棒花鱼、褐栉鰕虎鱼、麦穗鱼、黑龙江鳑鲏和大鳍鱊（图</w:t>
      </w:r>
      <w:r>
        <w:rPr>
          <w:rFonts w:ascii="Times New Roman" w:hAnsi="Times New Roman" w:cs="Times New Roman" w:hint="eastAsia"/>
          <w:color w:val="000000" w:themeColor="text1"/>
        </w:rPr>
        <w:t>4.3-23</w:t>
      </w:r>
      <w:r>
        <w:rPr>
          <w:rFonts w:ascii="Times New Roman" w:hAnsi="Times New Roman" w:cs="Times New Roman"/>
          <w:color w:val="000000" w:themeColor="text1"/>
        </w:rPr>
        <w:t>）。</w:t>
      </w:r>
    </w:p>
    <w:p w14:paraId="48B9F440" w14:textId="77777777" w:rsidR="009D12AF" w:rsidRDefault="00000000">
      <w:pPr>
        <w:ind w:leftChars="-295" w:left="-708" w:rightChars="-319" w:right="-766" w:firstLine="480"/>
        <w:jc w:val="center"/>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62E155C8" wp14:editId="79A4CA58">
            <wp:extent cx="4597400" cy="2667000"/>
            <wp:effectExtent l="0" t="0" r="12700" b="0"/>
            <wp:docPr id="199" name="图形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形 61"/>
                    <pic:cNvPicPr>
                      <a:picLocks noChangeAspect="1"/>
                    </pic:cNvPicPr>
                  </pic:nvPicPr>
                  <pic:blipFill>
                    <a:blip r:embed="rId67">
                      <a:extLst>
                        <a:ext uri="{96DAC541-7B7A-43D3-8B79-37D633B846F1}">
                          <asvg:svgBlip xmlns:asvg="http://schemas.microsoft.com/office/drawing/2016/SVG/main" r:embed="rId68"/>
                        </a:ext>
                      </a:extLst>
                    </a:blip>
                    <a:stretch>
                      <a:fillRect/>
                    </a:stretch>
                  </pic:blipFill>
                  <pic:spPr>
                    <a:xfrm>
                      <a:off x="0" y="0"/>
                      <a:ext cx="4597400" cy="2667000"/>
                    </a:xfrm>
                    <a:prstGeom prst="rect">
                      <a:avLst/>
                    </a:prstGeom>
                  </pic:spPr>
                </pic:pic>
              </a:graphicData>
            </a:graphic>
          </wp:inline>
        </w:drawing>
      </w:r>
    </w:p>
    <w:p w14:paraId="20DC1C22" w14:textId="77777777" w:rsidR="009D12AF" w:rsidRDefault="00000000">
      <w:pPr>
        <w:ind w:firstLine="482"/>
        <w:jc w:val="center"/>
        <w:rPr>
          <w:rFonts w:ascii="Times New Roman" w:hAnsi="Times New Roman" w:cs="Times New Roman"/>
          <w:b/>
          <w:color w:val="000000" w:themeColor="text1"/>
        </w:rPr>
      </w:pPr>
      <w:r>
        <w:rPr>
          <w:rFonts w:ascii="Times New Roman" w:hAnsi="Times New Roman" w:cs="Times New Roman"/>
          <w:b/>
          <w:color w:val="000000" w:themeColor="text1"/>
        </w:rPr>
        <w:t>图</w:t>
      </w:r>
      <w:r>
        <w:rPr>
          <w:rFonts w:ascii="Times New Roman" w:hAnsi="Times New Roman" w:cs="Times New Roman" w:hint="eastAsia"/>
          <w:b/>
          <w:color w:val="000000" w:themeColor="text1"/>
        </w:rPr>
        <w:t>4.3-23</w:t>
      </w:r>
      <w:r>
        <w:rPr>
          <w:rFonts w:ascii="Times New Roman" w:hAnsi="Times New Roman" w:cs="Times New Roman"/>
          <w:b/>
          <w:color w:val="000000" w:themeColor="text1"/>
        </w:rPr>
        <w:t xml:space="preserve"> </w:t>
      </w:r>
      <w:r>
        <w:rPr>
          <w:rFonts w:ascii="Times New Roman" w:hAnsi="Times New Roman" w:cs="Times New Roman"/>
          <w:b/>
          <w:color w:val="000000" w:themeColor="text1"/>
        </w:rPr>
        <w:t>新安晒水池刺网渔获物组成</w:t>
      </w:r>
    </w:p>
    <w:p w14:paraId="373018DF"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调查期间，现场在向阳水电站前池布设地笼网</w:t>
      </w:r>
      <w:r>
        <w:rPr>
          <w:rFonts w:ascii="Times New Roman" w:hAnsi="Times New Roman" w:cs="Times New Roman"/>
          <w:color w:val="000000" w:themeColor="text1"/>
        </w:rPr>
        <w:t>3</w:t>
      </w:r>
      <w:r>
        <w:rPr>
          <w:rFonts w:ascii="Times New Roman" w:hAnsi="Times New Roman" w:cs="Times New Roman"/>
          <w:color w:val="000000" w:themeColor="text1"/>
        </w:rPr>
        <w:t>个，共采集鱼类</w:t>
      </w:r>
      <w:r>
        <w:rPr>
          <w:rFonts w:ascii="Times New Roman" w:hAnsi="Times New Roman" w:cs="Times New Roman"/>
          <w:color w:val="000000" w:themeColor="text1"/>
        </w:rPr>
        <w:t>64</w:t>
      </w:r>
      <w:r>
        <w:rPr>
          <w:rFonts w:ascii="Times New Roman" w:hAnsi="Times New Roman" w:cs="Times New Roman"/>
          <w:color w:val="000000" w:themeColor="text1"/>
        </w:rPr>
        <w:t>尾，重量</w:t>
      </w:r>
      <w:r>
        <w:rPr>
          <w:rFonts w:ascii="Times New Roman" w:hAnsi="Times New Roman" w:cs="Times New Roman"/>
          <w:color w:val="000000" w:themeColor="text1"/>
        </w:rPr>
        <w:t>223.28g</w:t>
      </w:r>
      <w:r>
        <w:rPr>
          <w:rFonts w:ascii="Times New Roman" w:hAnsi="Times New Roman" w:cs="Times New Roman"/>
          <w:color w:val="000000" w:themeColor="text1"/>
        </w:rPr>
        <w:t>。渔获物中种类主要为克氏鳈、棒花鱼、褐栉鰕虎鱼、麦穗鱼、黑龙江鳑鲏、大鳍鱊、北方泥鳅和拉氏鱥（图</w:t>
      </w:r>
      <w:r>
        <w:rPr>
          <w:rFonts w:ascii="Times New Roman" w:hAnsi="Times New Roman" w:cs="Times New Roman" w:hint="eastAsia"/>
          <w:color w:val="000000" w:themeColor="text1"/>
        </w:rPr>
        <w:t>4.3-24</w:t>
      </w:r>
      <w:r>
        <w:rPr>
          <w:rFonts w:ascii="Times New Roman" w:hAnsi="Times New Roman" w:cs="Times New Roman"/>
          <w:color w:val="000000" w:themeColor="text1"/>
        </w:rPr>
        <w:t>）。</w:t>
      </w:r>
    </w:p>
    <w:p w14:paraId="4B36F8A8" w14:textId="77777777" w:rsidR="009D12AF" w:rsidRDefault="00000000">
      <w:pPr>
        <w:ind w:leftChars="-295" w:left="-708" w:rightChars="-319" w:right="-766" w:firstLine="480"/>
        <w:jc w:val="cente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41F3995D" wp14:editId="394F6751">
            <wp:extent cx="4218940" cy="2734310"/>
            <wp:effectExtent l="0" t="0" r="10160" b="8890"/>
            <wp:docPr id="200" name="图形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形 69"/>
                    <pic:cNvPicPr>
                      <a:picLocks noChangeAspect="1"/>
                    </pic:cNvPicPr>
                  </pic:nvPicPr>
                  <pic:blipFill>
                    <a:blip r:embed="rId69">
                      <a:extLst>
                        <a:ext uri="{96DAC541-7B7A-43D3-8B79-37D633B846F1}">
                          <asvg:svgBlip xmlns:asvg="http://schemas.microsoft.com/office/drawing/2016/SVG/main" r:embed="rId70"/>
                        </a:ext>
                      </a:extLst>
                    </a:blip>
                    <a:stretch>
                      <a:fillRect/>
                    </a:stretch>
                  </pic:blipFill>
                  <pic:spPr>
                    <a:xfrm>
                      <a:off x="0" y="0"/>
                      <a:ext cx="4221726" cy="2736304"/>
                    </a:xfrm>
                    <a:prstGeom prst="rect">
                      <a:avLst/>
                    </a:prstGeom>
                  </pic:spPr>
                </pic:pic>
              </a:graphicData>
            </a:graphic>
          </wp:inline>
        </w:drawing>
      </w:r>
    </w:p>
    <w:p w14:paraId="16EE101D" w14:textId="77777777" w:rsidR="009D12AF" w:rsidRDefault="00000000">
      <w:pPr>
        <w:ind w:firstLine="482"/>
        <w:jc w:val="center"/>
        <w:rPr>
          <w:rFonts w:ascii="Times New Roman" w:hAnsi="Times New Roman" w:cs="Times New Roman"/>
          <w:b/>
          <w:color w:val="000000" w:themeColor="text1"/>
        </w:rPr>
      </w:pPr>
      <w:r>
        <w:rPr>
          <w:rFonts w:ascii="Times New Roman" w:hAnsi="Times New Roman" w:cs="Times New Roman"/>
          <w:b/>
          <w:color w:val="000000" w:themeColor="text1"/>
        </w:rPr>
        <w:t>图</w:t>
      </w:r>
      <w:r>
        <w:rPr>
          <w:rFonts w:ascii="Times New Roman" w:hAnsi="Times New Roman" w:cs="Times New Roman" w:hint="eastAsia"/>
          <w:b/>
          <w:color w:val="000000" w:themeColor="text1"/>
        </w:rPr>
        <w:t>4.3-25</w:t>
      </w:r>
      <w:r>
        <w:rPr>
          <w:rFonts w:ascii="Times New Roman" w:hAnsi="Times New Roman" w:cs="Times New Roman"/>
          <w:b/>
          <w:color w:val="000000" w:themeColor="text1"/>
        </w:rPr>
        <w:t xml:space="preserve"> </w:t>
      </w:r>
      <w:r>
        <w:rPr>
          <w:rFonts w:ascii="Times New Roman" w:hAnsi="Times New Roman" w:cs="Times New Roman"/>
          <w:b/>
          <w:color w:val="000000" w:themeColor="text1"/>
        </w:rPr>
        <w:t>向阳水电站前池地笼网网渔获物组成</w:t>
      </w:r>
    </w:p>
    <w:p w14:paraId="45ECDC29"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调查期间，现场在万丈水库布设地笼网</w:t>
      </w:r>
      <w:r>
        <w:rPr>
          <w:rFonts w:ascii="Times New Roman" w:hAnsi="Times New Roman" w:cs="Times New Roman"/>
          <w:color w:val="000000" w:themeColor="text1"/>
        </w:rPr>
        <w:t>3</w:t>
      </w:r>
      <w:r>
        <w:rPr>
          <w:rFonts w:ascii="Times New Roman" w:hAnsi="Times New Roman" w:cs="Times New Roman"/>
          <w:color w:val="000000" w:themeColor="text1"/>
        </w:rPr>
        <w:t>个，共采集鱼类</w:t>
      </w:r>
      <w:r>
        <w:rPr>
          <w:rFonts w:ascii="Times New Roman" w:hAnsi="Times New Roman" w:cs="Times New Roman"/>
          <w:color w:val="000000" w:themeColor="text1"/>
        </w:rPr>
        <w:t>100</w:t>
      </w:r>
      <w:r>
        <w:rPr>
          <w:rFonts w:ascii="Times New Roman" w:hAnsi="Times New Roman" w:cs="Times New Roman"/>
          <w:color w:val="000000" w:themeColor="text1"/>
        </w:rPr>
        <w:t>尾，重量</w:t>
      </w:r>
      <w:r>
        <w:rPr>
          <w:rFonts w:ascii="Times New Roman" w:hAnsi="Times New Roman" w:cs="Times New Roman"/>
          <w:color w:val="000000" w:themeColor="text1"/>
        </w:rPr>
        <w:t>898.08g</w:t>
      </w:r>
      <w:r>
        <w:rPr>
          <w:rFonts w:ascii="Times New Roman" w:hAnsi="Times New Roman" w:cs="Times New Roman"/>
          <w:color w:val="000000" w:themeColor="text1"/>
        </w:rPr>
        <w:t>。渔获物中种类主要为鲤、鲫、棒花鱼、麦穗鱼、北方泥鳅和鲇（图</w:t>
      </w:r>
      <w:r>
        <w:rPr>
          <w:rFonts w:ascii="Times New Roman" w:hAnsi="Times New Roman" w:cs="Times New Roman" w:hint="eastAsia"/>
          <w:color w:val="000000" w:themeColor="text1"/>
        </w:rPr>
        <w:t>4.3-26</w:t>
      </w:r>
      <w:r>
        <w:rPr>
          <w:rFonts w:ascii="Times New Roman" w:hAnsi="Times New Roman" w:cs="Times New Roman"/>
          <w:color w:val="000000" w:themeColor="text1"/>
        </w:rPr>
        <w:t>）。</w:t>
      </w:r>
    </w:p>
    <w:p w14:paraId="2AC6F081" w14:textId="77777777" w:rsidR="009D12AF" w:rsidRDefault="00000000">
      <w:pPr>
        <w:ind w:leftChars="-295" w:left="-708" w:rightChars="-319" w:right="-766" w:firstLine="480"/>
        <w:jc w:val="center"/>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363B62CC" wp14:editId="1F49F3D1">
            <wp:extent cx="3879215" cy="2692400"/>
            <wp:effectExtent l="0" t="0" r="6985" b="12700"/>
            <wp:docPr id="201" name="图形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形 76"/>
                    <pic:cNvPicPr>
                      <a:picLocks noChangeAspect="1"/>
                    </pic:cNvPicPr>
                  </pic:nvPicPr>
                  <pic:blipFill>
                    <a:blip r:embed="rId71">
                      <a:extLst>
                        <a:ext uri="{96DAC541-7B7A-43D3-8B79-37D633B846F1}">
                          <asvg:svgBlip xmlns:asvg="http://schemas.microsoft.com/office/drawing/2016/SVG/main" r:embed="rId72"/>
                        </a:ext>
                      </a:extLst>
                    </a:blip>
                    <a:stretch>
                      <a:fillRect/>
                    </a:stretch>
                  </pic:blipFill>
                  <pic:spPr>
                    <a:xfrm>
                      <a:off x="0" y="0"/>
                      <a:ext cx="3882171" cy="2694052"/>
                    </a:xfrm>
                    <a:prstGeom prst="rect">
                      <a:avLst/>
                    </a:prstGeom>
                  </pic:spPr>
                </pic:pic>
              </a:graphicData>
            </a:graphic>
          </wp:inline>
        </w:drawing>
      </w:r>
    </w:p>
    <w:p w14:paraId="2D055603" w14:textId="77777777" w:rsidR="009D12AF" w:rsidRDefault="00000000">
      <w:pPr>
        <w:ind w:firstLine="482"/>
        <w:jc w:val="center"/>
        <w:rPr>
          <w:rFonts w:ascii="Times New Roman" w:hAnsi="Times New Roman" w:cs="Times New Roman"/>
          <w:b/>
          <w:color w:val="000000" w:themeColor="text1"/>
        </w:rPr>
      </w:pPr>
      <w:r>
        <w:rPr>
          <w:rFonts w:ascii="Times New Roman" w:hAnsi="Times New Roman" w:cs="Times New Roman"/>
          <w:b/>
          <w:color w:val="000000" w:themeColor="text1"/>
        </w:rPr>
        <w:t>图</w:t>
      </w:r>
      <w:r>
        <w:rPr>
          <w:rFonts w:ascii="Times New Roman" w:hAnsi="Times New Roman" w:cs="Times New Roman" w:hint="eastAsia"/>
          <w:b/>
          <w:color w:val="000000" w:themeColor="text1"/>
        </w:rPr>
        <w:t>4.3-26</w:t>
      </w:r>
      <w:r>
        <w:rPr>
          <w:rFonts w:ascii="Times New Roman" w:hAnsi="Times New Roman" w:cs="Times New Roman"/>
          <w:b/>
          <w:color w:val="000000" w:themeColor="text1"/>
        </w:rPr>
        <w:t xml:space="preserve"> </w:t>
      </w:r>
      <w:r>
        <w:rPr>
          <w:rFonts w:ascii="Times New Roman" w:hAnsi="Times New Roman" w:cs="Times New Roman"/>
          <w:b/>
          <w:color w:val="000000" w:themeColor="text1"/>
        </w:rPr>
        <w:t>万丈水库地笼网渔获物组成</w:t>
      </w:r>
    </w:p>
    <w:tbl>
      <w:tblPr>
        <w:tblStyle w:val="ae"/>
        <w:tblW w:w="0" w:type="auto"/>
        <w:tblLook w:val="04A0" w:firstRow="1" w:lastRow="0" w:firstColumn="1" w:lastColumn="0" w:noHBand="0" w:noVBand="1"/>
      </w:tblPr>
      <w:tblGrid>
        <w:gridCol w:w="2840"/>
        <w:gridCol w:w="2841"/>
        <w:gridCol w:w="2841"/>
      </w:tblGrid>
      <w:tr w:rsidR="009D12AF" w14:paraId="1A6F74DA" w14:textId="77777777">
        <w:tc>
          <w:tcPr>
            <w:tcW w:w="2840" w:type="dxa"/>
          </w:tcPr>
          <w:p w14:paraId="40C18011" w14:textId="77777777" w:rsidR="009D12AF" w:rsidRDefault="00000000">
            <w:pPr>
              <w:ind w:firstLineChars="0" w:firstLine="0"/>
              <w:jc w:val="center"/>
              <w:rPr>
                <w:rFonts w:ascii="Times New Roman" w:hAnsi="Times New Roman" w:cs="Times New Roman"/>
                <w:b/>
                <w:color w:val="000000" w:themeColor="text1"/>
              </w:rPr>
            </w:pPr>
            <w:r>
              <w:rPr>
                <w:rFonts w:hint="eastAsia"/>
                <w:noProof/>
                <w:color w:val="000000" w:themeColor="text1"/>
              </w:rPr>
              <w:drawing>
                <wp:inline distT="0" distB="0" distL="0" distR="0" wp14:anchorId="731B6C3E" wp14:editId="22965821">
                  <wp:extent cx="2400935" cy="1799590"/>
                  <wp:effectExtent l="0" t="0" r="10160" b="1841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73" cstate="screen">
                            <a:extLst>
                              <a:ext uri="{28A0092B-C50C-407E-A947-70E740481C1C}">
                                <a14:useLocalDpi xmlns:a14="http://schemas.microsoft.com/office/drawing/2010/main"/>
                              </a:ext>
                            </a:extLst>
                          </a:blip>
                          <a:stretch>
                            <a:fillRect/>
                          </a:stretch>
                        </pic:blipFill>
                        <pic:spPr>
                          <a:xfrm rot="5400000">
                            <a:off x="0" y="0"/>
                            <a:ext cx="2401200" cy="1800000"/>
                          </a:xfrm>
                          <a:prstGeom prst="rect">
                            <a:avLst/>
                          </a:prstGeom>
                        </pic:spPr>
                      </pic:pic>
                    </a:graphicData>
                  </a:graphic>
                </wp:inline>
              </w:drawing>
            </w:r>
          </w:p>
        </w:tc>
        <w:tc>
          <w:tcPr>
            <w:tcW w:w="2841" w:type="dxa"/>
          </w:tcPr>
          <w:p w14:paraId="5A5AD0E2" w14:textId="77777777" w:rsidR="009D12AF" w:rsidRDefault="00000000">
            <w:pPr>
              <w:ind w:firstLineChars="0" w:firstLine="0"/>
              <w:jc w:val="center"/>
              <w:rPr>
                <w:rFonts w:ascii="Times New Roman" w:hAnsi="Times New Roman" w:cs="Times New Roman"/>
                <w:b/>
                <w:color w:val="000000" w:themeColor="text1"/>
              </w:rPr>
            </w:pPr>
            <w:r>
              <w:rPr>
                <w:rFonts w:hint="eastAsia"/>
                <w:noProof/>
                <w:color w:val="000000" w:themeColor="text1"/>
              </w:rPr>
              <w:drawing>
                <wp:inline distT="0" distB="0" distL="0" distR="0" wp14:anchorId="746A6059" wp14:editId="57BA5687">
                  <wp:extent cx="1794510" cy="2392680"/>
                  <wp:effectExtent l="0" t="0" r="15240" b="762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74" cstate="screen">
                            <a:extLst>
                              <a:ext uri="{28A0092B-C50C-407E-A947-70E740481C1C}">
                                <a14:useLocalDpi xmlns:a14="http://schemas.microsoft.com/office/drawing/2010/main"/>
                              </a:ext>
                            </a:extLst>
                          </a:blip>
                          <a:stretch>
                            <a:fillRect/>
                          </a:stretch>
                        </pic:blipFill>
                        <pic:spPr>
                          <a:xfrm>
                            <a:off x="0" y="0"/>
                            <a:ext cx="1810759" cy="2414346"/>
                          </a:xfrm>
                          <a:prstGeom prst="rect">
                            <a:avLst/>
                          </a:prstGeom>
                        </pic:spPr>
                      </pic:pic>
                    </a:graphicData>
                  </a:graphic>
                </wp:inline>
              </w:drawing>
            </w:r>
          </w:p>
        </w:tc>
        <w:tc>
          <w:tcPr>
            <w:tcW w:w="2841" w:type="dxa"/>
          </w:tcPr>
          <w:p w14:paraId="690C5D98" w14:textId="77777777" w:rsidR="009D12AF" w:rsidRDefault="00000000">
            <w:pPr>
              <w:ind w:firstLineChars="0" w:firstLine="0"/>
              <w:jc w:val="center"/>
              <w:rPr>
                <w:rFonts w:ascii="Times New Roman" w:hAnsi="Times New Roman" w:cs="Times New Roman"/>
                <w:b/>
                <w:color w:val="000000" w:themeColor="text1"/>
              </w:rPr>
            </w:pPr>
            <w:r>
              <w:rPr>
                <w:rFonts w:hint="eastAsia"/>
                <w:noProof/>
                <w:color w:val="000000" w:themeColor="text1"/>
              </w:rPr>
              <w:drawing>
                <wp:inline distT="0" distB="0" distL="0" distR="0" wp14:anchorId="6D09F572" wp14:editId="7085CA9A">
                  <wp:extent cx="2383790" cy="1799590"/>
                  <wp:effectExtent l="0" t="0" r="10160" b="1651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75" cstate="screen">
                            <a:extLst>
                              <a:ext uri="{28A0092B-C50C-407E-A947-70E740481C1C}">
                                <a14:useLocalDpi xmlns:a14="http://schemas.microsoft.com/office/drawing/2010/main"/>
                              </a:ext>
                            </a:extLst>
                          </a:blip>
                          <a:stretch>
                            <a:fillRect/>
                          </a:stretch>
                        </pic:blipFill>
                        <pic:spPr>
                          <a:xfrm rot="5400000">
                            <a:off x="0" y="0"/>
                            <a:ext cx="2385313" cy="1800555"/>
                          </a:xfrm>
                          <a:prstGeom prst="rect">
                            <a:avLst/>
                          </a:prstGeom>
                        </pic:spPr>
                      </pic:pic>
                    </a:graphicData>
                  </a:graphic>
                </wp:inline>
              </w:drawing>
            </w:r>
          </w:p>
        </w:tc>
      </w:tr>
      <w:tr w:rsidR="009D12AF" w14:paraId="74CF1314" w14:textId="77777777">
        <w:tc>
          <w:tcPr>
            <w:tcW w:w="2840" w:type="dxa"/>
          </w:tcPr>
          <w:p w14:paraId="40E28080" w14:textId="77777777" w:rsidR="009D12AF" w:rsidRDefault="00000000">
            <w:pPr>
              <w:ind w:firstLineChars="0" w:firstLine="0"/>
              <w:jc w:val="center"/>
              <w:rPr>
                <w:rFonts w:ascii="Times New Roman" w:hAnsi="Times New Roman" w:cs="Times New Roman"/>
                <w:b/>
                <w:color w:val="000000" w:themeColor="text1"/>
              </w:rPr>
            </w:pPr>
            <w:r>
              <w:rPr>
                <w:rFonts w:hint="eastAsia"/>
                <w:noProof/>
                <w:color w:val="000000" w:themeColor="text1"/>
              </w:rPr>
              <w:drawing>
                <wp:inline distT="0" distB="0" distL="0" distR="0" wp14:anchorId="2ABAC190" wp14:editId="5E940B63">
                  <wp:extent cx="2400935" cy="1799590"/>
                  <wp:effectExtent l="0" t="0" r="10160" b="1841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76" cstate="screen">
                            <a:extLst>
                              <a:ext uri="{28A0092B-C50C-407E-A947-70E740481C1C}">
                                <a14:useLocalDpi xmlns:a14="http://schemas.microsoft.com/office/drawing/2010/main"/>
                              </a:ext>
                            </a:extLst>
                          </a:blip>
                          <a:stretch>
                            <a:fillRect/>
                          </a:stretch>
                        </pic:blipFill>
                        <pic:spPr>
                          <a:xfrm rot="5400000">
                            <a:off x="0" y="0"/>
                            <a:ext cx="2401200" cy="1800000"/>
                          </a:xfrm>
                          <a:prstGeom prst="rect">
                            <a:avLst/>
                          </a:prstGeom>
                        </pic:spPr>
                      </pic:pic>
                    </a:graphicData>
                  </a:graphic>
                </wp:inline>
              </w:drawing>
            </w:r>
          </w:p>
        </w:tc>
        <w:tc>
          <w:tcPr>
            <w:tcW w:w="2841" w:type="dxa"/>
          </w:tcPr>
          <w:p w14:paraId="4C6875E8" w14:textId="77777777" w:rsidR="009D12AF" w:rsidRDefault="00000000">
            <w:pPr>
              <w:ind w:firstLineChars="0" w:firstLine="0"/>
              <w:jc w:val="center"/>
              <w:rPr>
                <w:rFonts w:ascii="Times New Roman" w:hAnsi="Times New Roman" w:cs="Times New Roman"/>
                <w:b/>
                <w:color w:val="000000" w:themeColor="text1"/>
              </w:rPr>
            </w:pPr>
            <w:r>
              <w:rPr>
                <w:noProof/>
                <w:color w:val="000000" w:themeColor="text1"/>
              </w:rPr>
              <w:drawing>
                <wp:inline distT="0" distB="0" distL="0" distR="0" wp14:anchorId="7C5DE77D" wp14:editId="34D80712">
                  <wp:extent cx="1802765" cy="2404110"/>
                  <wp:effectExtent l="0" t="0" r="6985" b="1524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77" cstate="screen">
                            <a:extLst>
                              <a:ext uri="{28A0092B-C50C-407E-A947-70E740481C1C}">
                                <a14:useLocalDpi xmlns:a14="http://schemas.microsoft.com/office/drawing/2010/main"/>
                              </a:ext>
                            </a:extLst>
                          </a:blip>
                          <a:stretch>
                            <a:fillRect/>
                          </a:stretch>
                        </pic:blipFill>
                        <pic:spPr>
                          <a:xfrm>
                            <a:off x="0" y="0"/>
                            <a:ext cx="1825664" cy="2434219"/>
                          </a:xfrm>
                          <a:prstGeom prst="rect">
                            <a:avLst/>
                          </a:prstGeom>
                        </pic:spPr>
                      </pic:pic>
                    </a:graphicData>
                  </a:graphic>
                </wp:inline>
              </w:drawing>
            </w:r>
          </w:p>
        </w:tc>
        <w:tc>
          <w:tcPr>
            <w:tcW w:w="2841" w:type="dxa"/>
          </w:tcPr>
          <w:p w14:paraId="5E802317" w14:textId="77777777" w:rsidR="009D12AF" w:rsidRDefault="00000000">
            <w:pPr>
              <w:ind w:firstLineChars="0" w:firstLine="0"/>
              <w:jc w:val="center"/>
              <w:rPr>
                <w:rFonts w:ascii="Times New Roman" w:hAnsi="Times New Roman" w:cs="Times New Roman"/>
                <w:b/>
                <w:color w:val="000000" w:themeColor="text1"/>
              </w:rPr>
            </w:pPr>
            <w:r>
              <w:rPr>
                <w:noProof/>
                <w:color w:val="000000" w:themeColor="text1"/>
              </w:rPr>
              <w:drawing>
                <wp:inline distT="0" distB="0" distL="0" distR="0" wp14:anchorId="7A852B4E" wp14:editId="75FE38DA">
                  <wp:extent cx="1802765" cy="2404110"/>
                  <wp:effectExtent l="0" t="0" r="6985" b="1524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78" cstate="screen">
                            <a:extLst>
                              <a:ext uri="{28A0092B-C50C-407E-A947-70E740481C1C}">
                                <a14:useLocalDpi xmlns:a14="http://schemas.microsoft.com/office/drawing/2010/main"/>
                              </a:ext>
                            </a:extLst>
                          </a:blip>
                          <a:stretch>
                            <a:fillRect/>
                          </a:stretch>
                        </pic:blipFill>
                        <pic:spPr>
                          <a:xfrm>
                            <a:off x="0" y="0"/>
                            <a:ext cx="1823935" cy="2431913"/>
                          </a:xfrm>
                          <a:prstGeom prst="rect">
                            <a:avLst/>
                          </a:prstGeom>
                        </pic:spPr>
                      </pic:pic>
                    </a:graphicData>
                  </a:graphic>
                </wp:inline>
              </w:drawing>
            </w:r>
          </w:p>
        </w:tc>
      </w:tr>
      <w:tr w:rsidR="009D12AF" w14:paraId="509E3687" w14:textId="77777777">
        <w:tc>
          <w:tcPr>
            <w:tcW w:w="2840" w:type="dxa"/>
          </w:tcPr>
          <w:p w14:paraId="471BCB6B" w14:textId="77777777" w:rsidR="009D12AF" w:rsidRDefault="00000000">
            <w:pPr>
              <w:ind w:firstLineChars="0" w:firstLine="0"/>
              <w:jc w:val="center"/>
              <w:rPr>
                <w:rFonts w:ascii="Times New Roman" w:hAnsi="Times New Roman" w:cs="Times New Roman"/>
                <w:b/>
                <w:color w:val="000000" w:themeColor="text1"/>
              </w:rPr>
            </w:pPr>
            <w:r>
              <w:rPr>
                <w:rFonts w:hint="eastAsia"/>
                <w:noProof/>
                <w:color w:val="000000" w:themeColor="text1"/>
              </w:rPr>
              <w:lastRenderedPageBreak/>
              <w:drawing>
                <wp:inline distT="0" distB="0" distL="0" distR="0" wp14:anchorId="32037B6F" wp14:editId="6A6D1652">
                  <wp:extent cx="1794510" cy="2392680"/>
                  <wp:effectExtent l="0" t="0" r="15240" b="762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79" cstate="screen">
                            <a:extLst>
                              <a:ext uri="{28A0092B-C50C-407E-A947-70E740481C1C}">
                                <a14:useLocalDpi xmlns:a14="http://schemas.microsoft.com/office/drawing/2010/main"/>
                              </a:ext>
                            </a:extLst>
                          </a:blip>
                          <a:stretch>
                            <a:fillRect/>
                          </a:stretch>
                        </pic:blipFill>
                        <pic:spPr>
                          <a:xfrm>
                            <a:off x="0" y="0"/>
                            <a:ext cx="1820330" cy="2427108"/>
                          </a:xfrm>
                          <a:prstGeom prst="rect">
                            <a:avLst/>
                          </a:prstGeom>
                        </pic:spPr>
                      </pic:pic>
                    </a:graphicData>
                  </a:graphic>
                </wp:inline>
              </w:drawing>
            </w:r>
          </w:p>
        </w:tc>
        <w:tc>
          <w:tcPr>
            <w:tcW w:w="2841" w:type="dxa"/>
          </w:tcPr>
          <w:p w14:paraId="1057AA1B" w14:textId="77777777" w:rsidR="009D12AF" w:rsidRDefault="00000000">
            <w:pPr>
              <w:ind w:firstLineChars="0" w:firstLine="0"/>
              <w:jc w:val="center"/>
              <w:rPr>
                <w:rFonts w:ascii="Times New Roman" w:hAnsi="Times New Roman" w:cs="Times New Roman"/>
                <w:b/>
                <w:color w:val="000000" w:themeColor="text1"/>
              </w:rPr>
            </w:pPr>
            <w:r>
              <w:rPr>
                <w:rFonts w:hint="eastAsia"/>
                <w:noProof/>
                <w:color w:val="000000" w:themeColor="text1"/>
              </w:rPr>
              <w:drawing>
                <wp:inline distT="0" distB="0" distL="0" distR="0" wp14:anchorId="70965D9C" wp14:editId="7EE676EB">
                  <wp:extent cx="1791335" cy="2388235"/>
                  <wp:effectExtent l="0" t="0" r="18415" b="1206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80" cstate="screen">
                            <a:extLst>
                              <a:ext uri="{28A0092B-C50C-407E-A947-70E740481C1C}">
                                <a14:useLocalDpi xmlns:a14="http://schemas.microsoft.com/office/drawing/2010/main"/>
                              </a:ext>
                            </a:extLst>
                          </a:blip>
                          <a:stretch>
                            <a:fillRect/>
                          </a:stretch>
                        </pic:blipFill>
                        <pic:spPr>
                          <a:xfrm>
                            <a:off x="0" y="0"/>
                            <a:ext cx="1810888" cy="2414518"/>
                          </a:xfrm>
                          <a:prstGeom prst="rect">
                            <a:avLst/>
                          </a:prstGeom>
                        </pic:spPr>
                      </pic:pic>
                    </a:graphicData>
                  </a:graphic>
                </wp:inline>
              </w:drawing>
            </w:r>
          </w:p>
        </w:tc>
        <w:tc>
          <w:tcPr>
            <w:tcW w:w="2841" w:type="dxa"/>
          </w:tcPr>
          <w:p w14:paraId="0E25864F" w14:textId="77777777" w:rsidR="009D12AF" w:rsidRDefault="00000000">
            <w:pPr>
              <w:ind w:firstLineChars="0" w:firstLine="0"/>
              <w:jc w:val="center"/>
              <w:rPr>
                <w:rFonts w:ascii="Times New Roman" w:hAnsi="Times New Roman" w:cs="Times New Roman"/>
                <w:b/>
                <w:color w:val="000000" w:themeColor="text1"/>
              </w:rPr>
            </w:pPr>
            <w:r>
              <w:rPr>
                <w:rFonts w:hint="eastAsia"/>
                <w:noProof/>
                <w:color w:val="000000" w:themeColor="text1"/>
              </w:rPr>
              <w:drawing>
                <wp:inline distT="0" distB="0" distL="0" distR="0" wp14:anchorId="25D3D0C9" wp14:editId="7FA88440">
                  <wp:extent cx="2400935" cy="1799590"/>
                  <wp:effectExtent l="0" t="0" r="10160" b="1841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81" cstate="screen">
                            <a:extLst>
                              <a:ext uri="{28A0092B-C50C-407E-A947-70E740481C1C}">
                                <a14:useLocalDpi xmlns:a14="http://schemas.microsoft.com/office/drawing/2010/main"/>
                              </a:ext>
                            </a:extLst>
                          </a:blip>
                          <a:stretch>
                            <a:fillRect/>
                          </a:stretch>
                        </pic:blipFill>
                        <pic:spPr>
                          <a:xfrm rot="5400000">
                            <a:off x="0" y="0"/>
                            <a:ext cx="2401200" cy="1800000"/>
                          </a:xfrm>
                          <a:prstGeom prst="rect">
                            <a:avLst/>
                          </a:prstGeom>
                        </pic:spPr>
                      </pic:pic>
                    </a:graphicData>
                  </a:graphic>
                </wp:inline>
              </w:drawing>
            </w:r>
          </w:p>
        </w:tc>
      </w:tr>
    </w:tbl>
    <w:p w14:paraId="609EAADD" w14:textId="77777777" w:rsidR="009D12AF" w:rsidRDefault="00000000">
      <w:pPr>
        <w:ind w:firstLineChars="0" w:firstLine="0"/>
        <w:jc w:val="center"/>
        <w:rPr>
          <w:b/>
          <w:bCs/>
        </w:rPr>
      </w:pPr>
      <w:r>
        <w:rPr>
          <w:rFonts w:hint="eastAsia"/>
          <w:b/>
          <w:bCs/>
        </w:rPr>
        <w:t>图</w:t>
      </w:r>
      <w:r>
        <w:rPr>
          <w:rFonts w:hint="eastAsia"/>
          <w:b/>
          <w:bCs/>
        </w:rPr>
        <w:t xml:space="preserve">4.3-27 </w:t>
      </w:r>
      <w:r>
        <w:rPr>
          <w:rFonts w:hint="eastAsia"/>
          <w:b/>
          <w:bCs/>
        </w:rPr>
        <w:t>鱼类调查照片</w:t>
      </w:r>
    </w:p>
    <w:p w14:paraId="420DC79D" w14:textId="77777777" w:rsidR="009D12AF" w:rsidRDefault="00000000">
      <w:pPr>
        <w:numPr>
          <w:ilvl w:val="0"/>
          <w:numId w:val="6"/>
        </w:numPr>
        <w:ind w:firstLine="480"/>
      </w:pPr>
      <w:r>
        <w:rPr>
          <w:rFonts w:hint="eastAsia"/>
        </w:rPr>
        <w:t>浮游植物</w:t>
      </w:r>
    </w:p>
    <w:p w14:paraId="25AF9805" w14:textId="77777777" w:rsidR="009D12AF" w:rsidRDefault="00000000">
      <w:pPr>
        <w:numPr>
          <w:ilvl w:val="0"/>
          <w:numId w:val="7"/>
        </w:numPr>
        <w:ind w:firstLine="480"/>
      </w:pPr>
      <w:r>
        <w:rPr>
          <w:rFonts w:hint="eastAsia"/>
        </w:rPr>
        <w:t>种类组成</w:t>
      </w:r>
    </w:p>
    <w:p w14:paraId="5C67C451"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调查期间，评价水域浮游植物经鉴定共计</w:t>
      </w:r>
      <w:r>
        <w:rPr>
          <w:rFonts w:ascii="Times New Roman" w:hAnsi="Times New Roman" w:cs="Times New Roman"/>
          <w:color w:val="000000" w:themeColor="text1"/>
        </w:rPr>
        <w:t>7</w:t>
      </w:r>
      <w:r>
        <w:rPr>
          <w:rFonts w:ascii="Times New Roman" w:hAnsi="Times New Roman" w:cs="Times New Roman"/>
          <w:color w:val="000000" w:themeColor="text1"/>
        </w:rPr>
        <w:t>门</w:t>
      </w:r>
      <w:r>
        <w:rPr>
          <w:rFonts w:ascii="Times New Roman" w:hAnsi="Times New Roman" w:cs="Times New Roman"/>
          <w:color w:val="000000" w:themeColor="text1"/>
        </w:rPr>
        <w:t>75</w:t>
      </w:r>
      <w:r>
        <w:rPr>
          <w:rFonts w:ascii="Times New Roman" w:hAnsi="Times New Roman" w:cs="Times New Roman"/>
          <w:color w:val="000000" w:themeColor="text1"/>
        </w:rPr>
        <w:t>种属。其中，绿藻门最多为</w:t>
      </w:r>
      <w:r>
        <w:rPr>
          <w:rFonts w:ascii="Times New Roman" w:hAnsi="Times New Roman" w:cs="Times New Roman"/>
          <w:color w:val="000000" w:themeColor="text1"/>
        </w:rPr>
        <w:t>32</w:t>
      </w:r>
      <w:r>
        <w:rPr>
          <w:rFonts w:ascii="Times New Roman" w:hAnsi="Times New Roman" w:cs="Times New Roman"/>
          <w:color w:val="000000" w:themeColor="text1"/>
        </w:rPr>
        <w:t>种属，硅藻门为</w:t>
      </w:r>
      <w:r>
        <w:rPr>
          <w:rFonts w:ascii="Times New Roman" w:hAnsi="Times New Roman" w:cs="Times New Roman"/>
          <w:color w:val="000000" w:themeColor="text1"/>
        </w:rPr>
        <w:t>20</w:t>
      </w:r>
      <w:r>
        <w:rPr>
          <w:rFonts w:ascii="Times New Roman" w:hAnsi="Times New Roman" w:cs="Times New Roman"/>
          <w:color w:val="000000" w:themeColor="text1"/>
        </w:rPr>
        <w:t>种属，蓝藻门</w:t>
      </w:r>
      <w:r>
        <w:rPr>
          <w:rFonts w:ascii="Times New Roman" w:hAnsi="Times New Roman" w:cs="Times New Roman"/>
          <w:color w:val="000000" w:themeColor="text1"/>
        </w:rPr>
        <w:t>12</w:t>
      </w:r>
      <w:r>
        <w:rPr>
          <w:rFonts w:ascii="Times New Roman" w:hAnsi="Times New Roman" w:cs="Times New Roman"/>
          <w:color w:val="000000" w:themeColor="text1"/>
        </w:rPr>
        <w:t>种属，裸藻门</w:t>
      </w:r>
      <w:r>
        <w:rPr>
          <w:rFonts w:ascii="Times New Roman" w:hAnsi="Times New Roman" w:cs="Times New Roman"/>
          <w:color w:val="000000" w:themeColor="text1"/>
        </w:rPr>
        <w:t>6</w:t>
      </w:r>
      <w:r>
        <w:rPr>
          <w:rFonts w:ascii="Times New Roman" w:hAnsi="Times New Roman" w:cs="Times New Roman"/>
          <w:color w:val="000000" w:themeColor="text1"/>
        </w:rPr>
        <w:t>种属，隐藻门</w:t>
      </w:r>
      <w:r>
        <w:rPr>
          <w:rFonts w:ascii="Times New Roman" w:hAnsi="Times New Roman" w:cs="Times New Roman"/>
          <w:color w:val="000000" w:themeColor="text1"/>
        </w:rPr>
        <w:t>3</w:t>
      </w:r>
      <w:r>
        <w:rPr>
          <w:rFonts w:ascii="Times New Roman" w:hAnsi="Times New Roman" w:cs="Times New Roman"/>
          <w:color w:val="000000" w:themeColor="text1"/>
        </w:rPr>
        <w:t>种属，黄藻门和甲藻门均为</w:t>
      </w:r>
      <w:r>
        <w:rPr>
          <w:rFonts w:ascii="Times New Roman" w:hAnsi="Times New Roman" w:cs="Times New Roman"/>
          <w:color w:val="000000" w:themeColor="text1"/>
        </w:rPr>
        <w:t>1</w:t>
      </w:r>
      <w:r>
        <w:rPr>
          <w:rFonts w:ascii="Times New Roman" w:hAnsi="Times New Roman" w:cs="Times New Roman"/>
          <w:color w:val="000000" w:themeColor="text1"/>
        </w:rPr>
        <w:t>种属。莲花水库</w:t>
      </w:r>
      <w:r>
        <w:rPr>
          <w:rFonts w:ascii="Times New Roman" w:hAnsi="Times New Roman" w:cs="Times New Roman"/>
          <w:color w:val="000000" w:themeColor="text1"/>
        </w:rPr>
        <w:t>7</w:t>
      </w:r>
      <w:r>
        <w:rPr>
          <w:rFonts w:ascii="Times New Roman" w:hAnsi="Times New Roman" w:cs="Times New Roman"/>
          <w:color w:val="000000" w:themeColor="text1"/>
        </w:rPr>
        <w:t>门</w:t>
      </w:r>
      <w:r>
        <w:rPr>
          <w:rFonts w:ascii="Times New Roman" w:hAnsi="Times New Roman" w:cs="Times New Roman"/>
          <w:color w:val="000000" w:themeColor="text1"/>
        </w:rPr>
        <w:t>51</w:t>
      </w:r>
      <w:r>
        <w:rPr>
          <w:rFonts w:ascii="Times New Roman" w:hAnsi="Times New Roman" w:cs="Times New Roman"/>
          <w:color w:val="000000" w:themeColor="text1"/>
        </w:rPr>
        <w:t>种属，群力水库</w:t>
      </w:r>
      <w:r>
        <w:rPr>
          <w:rFonts w:ascii="Times New Roman" w:hAnsi="Times New Roman" w:cs="Times New Roman"/>
          <w:color w:val="000000" w:themeColor="text1"/>
        </w:rPr>
        <w:t>7</w:t>
      </w:r>
      <w:r>
        <w:rPr>
          <w:rFonts w:ascii="Times New Roman" w:hAnsi="Times New Roman" w:cs="Times New Roman"/>
          <w:color w:val="000000" w:themeColor="text1"/>
        </w:rPr>
        <w:t>门</w:t>
      </w:r>
      <w:r>
        <w:rPr>
          <w:rFonts w:ascii="Times New Roman" w:hAnsi="Times New Roman" w:cs="Times New Roman"/>
          <w:color w:val="000000" w:themeColor="text1"/>
        </w:rPr>
        <w:t>41</w:t>
      </w:r>
      <w:r>
        <w:rPr>
          <w:rFonts w:ascii="Times New Roman" w:hAnsi="Times New Roman" w:cs="Times New Roman"/>
          <w:color w:val="000000" w:themeColor="text1"/>
        </w:rPr>
        <w:t>种属，万丈水库</w:t>
      </w:r>
      <w:r>
        <w:rPr>
          <w:rFonts w:ascii="Times New Roman" w:hAnsi="Times New Roman" w:cs="Times New Roman"/>
          <w:color w:val="000000" w:themeColor="text1"/>
        </w:rPr>
        <w:t>6</w:t>
      </w:r>
      <w:r>
        <w:rPr>
          <w:rFonts w:ascii="Times New Roman" w:hAnsi="Times New Roman" w:cs="Times New Roman"/>
          <w:color w:val="000000" w:themeColor="text1"/>
        </w:rPr>
        <w:t>门</w:t>
      </w:r>
      <w:r>
        <w:rPr>
          <w:rFonts w:ascii="Times New Roman" w:hAnsi="Times New Roman" w:cs="Times New Roman"/>
          <w:color w:val="000000" w:themeColor="text1"/>
        </w:rPr>
        <w:t>40</w:t>
      </w:r>
      <w:r>
        <w:rPr>
          <w:rFonts w:ascii="Times New Roman" w:hAnsi="Times New Roman" w:cs="Times New Roman"/>
          <w:color w:val="000000" w:themeColor="text1"/>
        </w:rPr>
        <w:t>种属，长石水库</w:t>
      </w:r>
      <w:r>
        <w:rPr>
          <w:rFonts w:ascii="Times New Roman" w:hAnsi="Times New Roman" w:cs="Times New Roman"/>
          <w:color w:val="000000" w:themeColor="text1"/>
        </w:rPr>
        <w:t>6</w:t>
      </w:r>
      <w:r>
        <w:rPr>
          <w:rFonts w:ascii="Times New Roman" w:hAnsi="Times New Roman" w:cs="Times New Roman"/>
          <w:color w:val="000000" w:themeColor="text1"/>
        </w:rPr>
        <w:t>门</w:t>
      </w:r>
      <w:r>
        <w:rPr>
          <w:rFonts w:ascii="Times New Roman" w:hAnsi="Times New Roman" w:cs="Times New Roman"/>
          <w:color w:val="000000" w:themeColor="text1"/>
        </w:rPr>
        <w:t>46</w:t>
      </w:r>
      <w:r>
        <w:rPr>
          <w:rFonts w:ascii="Times New Roman" w:hAnsi="Times New Roman" w:cs="Times New Roman"/>
          <w:color w:val="000000" w:themeColor="text1"/>
        </w:rPr>
        <w:t>种属，新安晒水池</w:t>
      </w:r>
      <w:r>
        <w:rPr>
          <w:rFonts w:ascii="Times New Roman" w:hAnsi="Times New Roman" w:cs="Times New Roman"/>
          <w:color w:val="000000" w:themeColor="text1"/>
        </w:rPr>
        <w:t>6</w:t>
      </w:r>
      <w:r>
        <w:rPr>
          <w:rFonts w:ascii="Times New Roman" w:hAnsi="Times New Roman" w:cs="Times New Roman"/>
          <w:color w:val="000000" w:themeColor="text1"/>
        </w:rPr>
        <w:t>门</w:t>
      </w:r>
      <w:r>
        <w:rPr>
          <w:rFonts w:ascii="Times New Roman" w:hAnsi="Times New Roman" w:cs="Times New Roman"/>
          <w:color w:val="000000" w:themeColor="text1"/>
        </w:rPr>
        <w:t>36</w:t>
      </w:r>
      <w:r>
        <w:rPr>
          <w:rFonts w:ascii="Times New Roman" w:hAnsi="Times New Roman" w:cs="Times New Roman"/>
          <w:color w:val="000000" w:themeColor="text1"/>
        </w:rPr>
        <w:t>种属，向阳水电站前池</w:t>
      </w:r>
      <w:r>
        <w:rPr>
          <w:rFonts w:ascii="Times New Roman" w:hAnsi="Times New Roman" w:cs="Times New Roman"/>
          <w:color w:val="000000" w:themeColor="text1"/>
        </w:rPr>
        <w:t>5</w:t>
      </w:r>
      <w:r>
        <w:rPr>
          <w:rFonts w:ascii="Times New Roman" w:hAnsi="Times New Roman" w:cs="Times New Roman"/>
          <w:color w:val="000000" w:themeColor="text1"/>
        </w:rPr>
        <w:t>门</w:t>
      </w:r>
      <w:r>
        <w:rPr>
          <w:rFonts w:ascii="Times New Roman" w:hAnsi="Times New Roman" w:cs="Times New Roman"/>
          <w:color w:val="000000" w:themeColor="text1"/>
        </w:rPr>
        <w:t>27</w:t>
      </w:r>
      <w:r>
        <w:rPr>
          <w:rFonts w:ascii="Times New Roman" w:hAnsi="Times New Roman" w:cs="Times New Roman"/>
          <w:color w:val="000000" w:themeColor="text1"/>
        </w:rPr>
        <w:t>种属（表</w:t>
      </w:r>
      <w:r>
        <w:rPr>
          <w:rFonts w:ascii="Times New Roman" w:hAnsi="Times New Roman" w:cs="Times New Roman" w:hint="eastAsia"/>
          <w:color w:val="000000" w:themeColor="text1"/>
        </w:rPr>
        <w:t>4.3-33</w:t>
      </w:r>
      <w:r>
        <w:rPr>
          <w:rFonts w:ascii="Times New Roman" w:hAnsi="Times New Roman" w:cs="Times New Roman"/>
          <w:color w:val="000000" w:themeColor="text1"/>
        </w:rPr>
        <w:t>）。</w:t>
      </w:r>
    </w:p>
    <w:p w14:paraId="13E342BA" w14:textId="77777777" w:rsidR="009D12AF" w:rsidRDefault="00000000">
      <w:pPr>
        <w:ind w:firstLineChars="0" w:firstLine="0"/>
        <w:jc w:val="center"/>
        <w:rPr>
          <w:b/>
          <w:bCs/>
        </w:rPr>
      </w:pPr>
      <w:r>
        <w:rPr>
          <w:rFonts w:hint="eastAsia"/>
          <w:b/>
          <w:bCs/>
        </w:rPr>
        <w:t>表</w:t>
      </w:r>
      <w:r>
        <w:rPr>
          <w:rFonts w:hint="eastAsia"/>
          <w:b/>
          <w:bCs/>
        </w:rPr>
        <w:t xml:space="preserve">4.3-33  </w:t>
      </w:r>
      <w:r>
        <w:rPr>
          <w:rFonts w:hint="eastAsia"/>
          <w:b/>
          <w:bCs/>
        </w:rPr>
        <w:t>浮游植物名录</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363"/>
        <w:gridCol w:w="3459"/>
        <w:gridCol w:w="617"/>
        <w:gridCol w:w="617"/>
        <w:gridCol w:w="617"/>
        <w:gridCol w:w="617"/>
        <w:gridCol w:w="617"/>
        <w:gridCol w:w="615"/>
      </w:tblGrid>
      <w:tr w:rsidR="009D12AF" w14:paraId="249344DB" w14:textId="77777777">
        <w:trPr>
          <w:trHeight w:val="280"/>
          <w:jc w:val="center"/>
        </w:trPr>
        <w:tc>
          <w:tcPr>
            <w:tcW w:w="799" w:type="pct"/>
            <w:tcBorders>
              <w:tl2br w:val="nil"/>
              <w:tr2bl w:val="nil"/>
            </w:tcBorders>
            <w:noWrap/>
            <w:vAlign w:val="center"/>
          </w:tcPr>
          <w:p w14:paraId="1083913F"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门类</w:t>
            </w:r>
          </w:p>
        </w:tc>
        <w:tc>
          <w:tcPr>
            <w:tcW w:w="2029" w:type="pct"/>
            <w:tcBorders>
              <w:tl2br w:val="nil"/>
              <w:tr2bl w:val="nil"/>
            </w:tcBorders>
            <w:noWrap/>
            <w:vAlign w:val="center"/>
          </w:tcPr>
          <w:p w14:paraId="2267CFCB"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种类</w:t>
            </w:r>
          </w:p>
        </w:tc>
        <w:tc>
          <w:tcPr>
            <w:tcW w:w="362" w:type="pct"/>
            <w:tcBorders>
              <w:tl2br w:val="nil"/>
              <w:tr2bl w:val="nil"/>
            </w:tcBorders>
            <w:vAlign w:val="center"/>
          </w:tcPr>
          <w:p w14:paraId="039B512D"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莲花水库</w:t>
            </w:r>
          </w:p>
        </w:tc>
        <w:tc>
          <w:tcPr>
            <w:tcW w:w="362" w:type="pct"/>
            <w:tcBorders>
              <w:tl2br w:val="nil"/>
              <w:tr2bl w:val="nil"/>
            </w:tcBorders>
            <w:vAlign w:val="center"/>
          </w:tcPr>
          <w:p w14:paraId="7885E83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群力水库</w:t>
            </w:r>
          </w:p>
        </w:tc>
        <w:tc>
          <w:tcPr>
            <w:tcW w:w="362" w:type="pct"/>
            <w:tcBorders>
              <w:tl2br w:val="nil"/>
              <w:tr2bl w:val="nil"/>
            </w:tcBorders>
            <w:vAlign w:val="center"/>
          </w:tcPr>
          <w:p w14:paraId="4429662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万丈水库</w:t>
            </w:r>
          </w:p>
        </w:tc>
        <w:tc>
          <w:tcPr>
            <w:tcW w:w="362" w:type="pct"/>
            <w:tcBorders>
              <w:tl2br w:val="nil"/>
              <w:tr2bl w:val="nil"/>
            </w:tcBorders>
            <w:vAlign w:val="center"/>
          </w:tcPr>
          <w:p w14:paraId="0340FBF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长石水库</w:t>
            </w:r>
          </w:p>
        </w:tc>
        <w:tc>
          <w:tcPr>
            <w:tcW w:w="362" w:type="pct"/>
            <w:tcBorders>
              <w:tl2br w:val="nil"/>
              <w:tr2bl w:val="nil"/>
            </w:tcBorders>
            <w:vAlign w:val="center"/>
          </w:tcPr>
          <w:p w14:paraId="6F0E76EF"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新安晒水池</w:t>
            </w:r>
          </w:p>
        </w:tc>
        <w:tc>
          <w:tcPr>
            <w:tcW w:w="361" w:type="pct"/>
            <w:tcBorders>
              <w:tl2br w:val="nil"/>
              <w:tr2bl w:val="nil"/>
            </w:tcBorders>
            <w:vAlign w:val="center"/>
          </w:tcPr>
          <w:p w14:paraId="18F5B0FB"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向阳水电站前池</w:t>
            </w:r>
          </w:p>
        </w:tc>
      </w:tr>
      <w:tr w:rsidR="009D12AF" w14:paraId="773E623B" w14:textId="77777777">
        <w:trPr>
          <w:trHeight w:val="290"/>
          <w:jc w:val="center"/>
        </w:trPr>
        <w:tc>
          <w:tcPr>
            <w:tcW w:w="799" w:type="pct"/>
            <w:vMerge w:val="restart"/>
            <w:tcBorders>
              <w:tl2br w:val="nil"/>
              <w:tr2bl w:val="nil"/>
            </w:tcBorders>
            <w:noWrap/>
            <w:vAlign w:val="center"/>
          </w:tcPr>
          <w:p w14:paraId="40C55DD3"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硅藻门</w:t>
            </w:r>
          </w:p>
          <w:p w14:paraId="6EAD4071"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Bacillariophyta</w:t>
            </w:r>
          </w:p>
        </w:tc>
        <w:tc>
          <w:tcPr>
            <w:tcW w:w="2029" w:type="pct"/>
            <w:tcBorders>
              <w:tl2br w:val="nil"/>
              <w:tr2bl w:val="nil"/>
            </w:tcBorders>
            <w:noWrap/>
            <w:vAlign w:val="center"/>
          </w:tcPr>
          <w:p w14:paraId="078E1242"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lang w:bidi="ar"/>
              </w:rPr>
              <w:t>尖针杆藻</w:t>
            </w:r>
            <w:r>
              <w:rPr>
                <w:rFonts w:ascii="Times New Roman" w:hAnsi="Times New Roman" w:cs="Times New Roman"/>
                <w:i/>
                <w:iCs/>
                <w:color w:val="000000" w:themeColor="text1"/>
                <w:sz w:val="18"/>
                <w:szCs w:val="18"/>
              </w:rPr>
              <w:t>Synedra acus</w:t>
            </w:r>
          </w:p>
        </w:tc>
        <w:tc>
          <w:tcPr>
            <w:tcW w:w="362" w:type="pct"/>
            <w:tcBorders>
              <w:tl2br w:val="nil"/>
              <w:tr2bl w:val="nil"/>
            </w:tcBorders>
            <w:vAlign w:val="center"/>
          </w:tcPr>
          <w:p w14:paraId="705F3455"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0F67903A"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314B18D"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BEC35B5"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4FD51F2B"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3E199A39"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r>
      <w:tr w:rsidR="009D12AF" w14:paraId="38D230DC" w14:textId="77777777">
        <w:trPr>
          <w:trHeight w:val="280"/>
          <w:jc w:val="center"/>
        </w:trPr>
        <w:tc>
          <w:tcPr>
            <w:tcW w:w="799" w:type="pct"/>
            <w:vMerge/>
            <w:tcBorders>
              <w:tl2br w:val="nil"/>
              <w:tr2bl w:val="nil"/>
            </w:tcBorders>
            <w:noWrap/>
            <w:vAlign w:val="center"/>
          </w:tcPr>
          <w:p w14:paraId="2F4B765C"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7D0863E3"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lang w:bidi="ar"/>
              </w:rPr>
              <w:t>肘状针杆藻</w:t>
            </w:r>
            <w:r>
              <w:rPr>
                <w:rFonts w:ascii="Times New Roman" w:hAnsi="Times New Roman" w:cs="Times New Roman"/>
                <w:i/>
                <w:iCs/>
                <w:color w:val="000000" w:themeColor="text1"/>
                <w:sz w:val="18"/>
                <w:szCs w:val="18"/>
              </w:rPr>
              <w:t>Synedra ulna</w:t>
            </w:r>
          </w:p>
        </w:tc>
        <w:tc>
          <w:tcPr>
            <w:tcW w:w="362" w:type="pct"/>
            <w:tcBorders>
              <w:tl2br w:val="nil"/>
              <w:tr2bl w:val="nil"/>
            </w:tcBorders>
            <w:vAlign w:val="center"/>
          </w:tcPr>
          <w:p w14:paraId="45ECEBB5"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D1B5C7E"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DB80A2B"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86AD688"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5B5011C"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6BF889FA"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77235C8B" w14:textId="77777777">
        <w:trPr>
          <w:trHeight w:val="280"/>
          <w:jc w:val="center"/>
        </w:trPr>
        <w:tc>
          <w:tcPr>
            <w:tcW w:w="799" w:type="pct"/>
            <w:vMerge/>
            <w:tcBorders>
              <w:tl2br w:val="nil"/>
              <w:tr2bl w:val="nil"/>
            </w:tcBorders>
            <w:noWrap/>
            <w:vAlign w:val="center"/>
          </w:tcPr>
          <w:p w14:paraId="72A93745"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60BA399E" w14:textId="77777777" w:rsidR="009D12AF" w:rsidRDefault="00000000">
            <w:pPr>
              <w:ind w:firstLineChars="0" w:firstLine="0"/>
              <w:jc w:val="center"/>
              <w:textAlignment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谷皮菱形藻</w:t>
            </w:r>
            <w:r>
              <w:rPr>
                <w:rFonts w:ascii="Times New Roman" w:hAnsi="Times New Roman" w:cs="Times New Roman"/>
                <w:i/>
                <w:iCs/>
                <w:color w:val="000000" w:themeColor="text1"/>
                <w:sz w:val="18"/>
                <w:szCs w:val="18"/>
              </w:rPr>
              <w:t>Nitzschia  palea</w:t>
            </w:r>
          </w:p>
        </w:tc>
        <w:tc>
          <w:tcPr>
            <w:tcW w:w="362" w:type="pct"/>
            <w:tcBorders>
              <w:tl2br w:val="nil"/>
              <w:tr2bl w:val="nil"/>
            </w:tcBorders>
            <w:vAlign w:val="center"/>
          </w:tcPr>
          <w:p w14:paraId="63413D6F"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58DEBFC3"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46F8004"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748F1408"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0007D67"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1DD7B40F"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5C00EA58" w14:textId="77777777">
        <w:trPr>
          <w:trHeight w:val="280"/>
          <w:jc w:val="center"/>
        </w:trPr>
        <w:tc>
          <w:tcPr>
            <w:tcW w:w="799" w:type="pct"/>
            <w:vMerge/>
            <w:tcBorders>
              <w:tl2br w:val="nil"/>
              <w:tr2bl w:val="nil"/>
            </w:tcBorders>
            <w:noWrap/>
            <w:vAlign w:val="center"/>
          </w:tcPr>
          <w:p w14:paraId="22A22A12"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4234CBD5"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双头菱形藻</w:t>
            </w:r>
            <w:r>
              <w:rPr>
                <w:rFonts w:ascii="Times New Roman" w:hAnsi="Times New Roman" w:cs="Times New Roman"/>
                <w:i/>
                <w:iCs/>
                <w:color w:val="000000" w:themeColor="text1"/>
                <w:sz w:val="18"/>
                <w:szCs w:val="18"/>
              </w:rPr>
              <w:t>Nitzschia amphibia</w:t>
            </w:r>
          </w:p>
        </w:tc>
        <w:tc>
          <w:tcPr>
            <w:tcW w:w="362" w:type="pct"/>
            <w:tcBorders>
              <w:tl2br w:val="nil"/>
              <w:tr2bl w:val="nil"/>
            </w:tcBorders>
            <w:vAlign w:val="center"/>
          </w:tcPr>
          <w:p w14:paraId="7E7C754E"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07AD23C1"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84164AE"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FC01837"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276DC7E1"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3999CAAC"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225870D6" w14:textId="77777777">
        <w:trPr>
          <w:trHeight w:val="280"/>
          <w:jc w:val="center"/>
        </w:trPr>
        <w:tc>
          <w:tcPr>
            <w:tcW w:w="799" w:type="pct"/>
            <w:vMerge/>
            <w:tcBorders>
              <w:tl2br w:val="nil"/>
              <w:tr2bl w:val="nil"/>
            </w:tcBorders>
            <w:noWrap/>
            <w:vAlign w:val="center"/>
          </w:tcPr>
          <w:p w14:paraId="2A2B2536"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543F4A07"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埃伦桥弯藻</w:t>
            </w:r>
            <w:r>
              <w:rPr>
                <w:rFonts w:ascii="Times New Roman" w:hAnsi="Times New Roman" w:cs="Times New Roman"/>
                <w:i/>
                <w:iCs/>
                <w:color w:val="000000" w:themeColor="text1"/>
                <w:sz w:val="18"/>
                <w:szCs w:val="18"/>
              </w:rPr>
              <w:t>Cymbella gracillis</w:t>
            </w:r>
          </w:p>
        </w:tc>
        <w:tc>
          <w:tcPr>
            <w:tcW w:w="362" w:type="pct"/>
            <w:tcBorders>
              <w:tl2br w:val="nil"/>
              <w:tr2bl w:val="nil"/>
            </w:tcBorders>
            <w:vAlign w:val="center"/>
          </w:tcPr>
          <w:p w14:paraId="1B07DE57"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7E96362"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6F966DC8"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8FE80EC"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56A4D3E5"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0C61E344"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26AEAC54" w14:textId="77777777">
        <w:trPr>
          <w:trHeight w:val="280"/>
          <w:jc w:val="center"/>
        </w:trPr>
        <w:tc>
          <w:tcPr>
            <w:tcW w:w="799" w:type="pct"/>
            <w:vMerge/>
            <w:tcBorders>
              <w:tl2br w:val="nil"/>
              <w:tr2bl w:val="nil"/>
            </w:tcBorders>
            <w:noWrap/>
            <w:vAlign w:val="center"/>
          </w:tcPr>
          <w:p w14:paraId="35ED8002"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7354A464"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短线脆杆藻</w:t>
            </w:r>
            <w:r>
              <w:rPr>
                <w:rFonts w:ascii="Times New Roman" w:hAnsi="Times New Roman" w:cs="Times New Roman"/>
                <w:i/>
                <w:iCs/>
                <w:color w:val="000000" w:themeColor="text1"/>
                <w:sz w:val="18"/>
                <w:szCs w:val="18"/>
              </w:rPr>
              <w:t>Fragilaria breuisriata</w:t>
            </w:r>
          </w:p>
        </w:tc>
        <w:tc>
          <w:tcPr>
            <w:tcW w:w="362" w:type="pct"/>
            <w:tcBorders>
              <w:tl2br w:val="nil"/>
              <w:tr2bl w:val="nil"/>
            </w:tcBorders>
            <w:vAlign w:val="center"/>
          </w:tcPr>
          <w:p w14:paraId="11337E1A"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F7962F7"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6ED68E6C"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822A644"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2451613C"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610C0F2A"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32EE0845" w14:textId="77777777">
        <w:trPr>
          <w:trHeight w:val="280"/>
          <w:jc w:val="center"/>
        </w:trPr>
        <w:tc>
          <w:tcPr>
            <w:tcW w:w="799" w:type="pct"/>
            <w:vMerge/>
            <w:tcBorders>
              <w:tl2br w:val="nil"/>
              <w:tr2bl w:val="nil"/>
            </w:tcBorders>
            <w:noWrap/>
            <w:vAlign w:val="center"/>
          </w:tcPr>
          <w:p w14:paraId="1615E5D7"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611F1BFB"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钝脆杆藻</w:t>
            </w:r>
            <w:r>
              <w:rPr>
                <w:rFonts w:ascii="Times New Roman" w:hAnsi="Times New Roman" w:cs="Times New Roman"/>
                <w:i/>
                <w:iCs/>
                <w:color w:val="000000" w:themeColor="text1"/>
                <w:sz w:val="18"/>
                <w:szCs w:val="18"/>
              </w:rPr>
              <w:t>Fragilaria capucina</w:t>
            </w:r>
          </w:p>
        </w:tc>
        <w:tc>
          <w:tcPr>
            <w:tcW w:w="362" w:type="pct"/>
            <w:tcBorders>
              <w:tl2br w:val="nil"/>
              <w:tr2bl w:val="nil"/>
            </w:tcBorders>
            <w:vAlign w:val="center"/>
          </w:tcPr>
          <w:p w14:paraId="018152D7"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5953AFBC"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A89B0E3"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F53E7DC"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20F28BE9"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13EE2AD6"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032309D5" w14:textId="77777777">
        <w:trPr>
          <w:trHeight w:val="280"/>
          <w:jc w:val="center"/>
        </w:trPr>
        <w:tc>
          <w:tcPr>
            <w:tcW w:w="799" w:type="pct"/>
            <w:vMerge/>
            <w:tcBorders>
              <w:tl2br w:val="nil"/>
              <w:tr2bl w:val="nil"/>
            </w:tcBorders>
            <w:noWrap/>
            <w:vAlign w:val="center"/>
          </w:tcPr>
          <w:p w14:paraId="70BFFF34"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10AE5A51"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华丽星杆藻</w:t>
            </w:r>
            <w:r>
              <w:rPr>
                <w:rFonts w:ascii="Times New Roman" w:hAnsi="Times New Roman" w:cs="Times New Roman"/>
                <w:i/>
                <w:iCs/>
                <w:color w:val="000000" w:themeColor="text1"/>
                <w:sz w:val="18"/>
                <w:szCs w:val="18"/>
              </w:rPr>
              <w:t>Asterionella formosa</w:t>
            </w:r>
          </w:p>
        </w:tc>
        <w:tc>
          <w:tcPr>
            <w:tcW w:w="362" w:type="pct"/>
            <w:tcBorders>
              <w:tl2br w:val="nil"/>
              <w:tr2bl w:val="nil"/>
            </w:tcBorders>
            <w:vAlign w:val="center"/>
          </w:tcPr>
          <w:p w14:paraId="0BCB829C"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95E6275"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54F3D66E"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9760F15"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312D594B"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33C762B8"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4533E2B5" w14:textId="77777777">
        <w:trPr>
          <w:trHeight w:val="280"/>
          <w:jc w:val="center"/>
        </w:trPr>
        <w:tc>
          <w:tcPr>
            <w:tcW w:w="799" w:type="pct"/>
            <w:vMerge/>
            <w:tcBorders>
              <w:tl2br w:val="nil"/>
              <w:tr2bl w:val="nil"/>
            </w:tcBorders>
            <w:noWrap/>
            <w:vAlign w:val="center"/>
          </w:tcPr>
          <w:p w14:paraId="723CF3D0"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27625EB0" w14:textId="77777777" w:rsidR="009D12AF" w:rsidRDefault="00000000">
            <w:pPr>
              <w:ind w:firstLineChars="0" w:firstLine="0"/>
              <w:jc w:val="center"/>
              <w:textAlignment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绒毛平板藻</w:t>
            </w:r>
            <w:r>
              <w:rPr>
                <w:rFonts w:ascii="Times New Roman" w:hAnsi="Times New Roman" w:cs="Times New Roman"/>
                <w:i/>
                <w:iCs/>
                <w:color w:val="000000" w:themeColor="text1"/>
                <w:sz w:val="18"/>
                <w:szCs w:val="18"/>
              </w:rPr>
              <w:t>Tabellaria flocculosa</w:t>
            </w:r>
          </w:p>
        </w:tc>
        <w:tc>
          <w:tcPr>
            <w:tcW w:w="362" w:type="pct"/>
            <w:tcBorders>
              <w:tl2br w:val="nil"/>
              <w:tr2bl w:val="nil"/>
            </w:tcBorders>
            <w:vAlign w:val="center"/>
          </w:tcPr>
          <w:p w14:paraId="03D7548B"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6D2FA5C"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6DB9F86"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02839427"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CD73FB0"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38B2FA2A"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r>
      <w:tr w:rsidR="009D12AF" w14:paraId="5C415345" w14:textId="77777777">
        <w:trPr>
          <w:trHeight w:val="280"/>
          <w:jc w:val="center"/>
        </w:trPr>
        <w:tc>
          <w:tcPr>
            <w:tcW w:w="799" w:type="pct"/>
            <w:vMerge/>
            <w:tcBorders>
              <w:tl2br w:val="nil"/>
              <w:tr2bl w:val="nil"/>
            </w:tcBorders>
            <w:noWrap/>
            <w:vAlign w:val="center"/>
          </w:tcPr>
          <w:p w14:paraId="728D12EA"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291BA10E"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扁圆卵形藻</w:t>
            </w:r>
            <w:r>
              <w:rPr>
                <w:rFonts w:ascii="Times New Roman" w:hAnsi="Times New Roman" w:cs="Times New Roman"/>
                <w:i/>
                <w:iCs/>
                <w:color w:val="000000" w:themeColor="text1"/>
                <w:sz w:val="18"/>
                <w:szCs w:val="18"/>
              </w:rPr>
              <w:t>Cocconeis piacentula</w:t>
            </w:r>
          </w:p>
        </w:tc>
        <w:tc>
          <w:tcPr>
            <w:tcW w:w="362" w:type="pct"/>
            <w:tcBorders>
              <w:tl2br w:val="nil"/>
              <w:tr2bl w:val="nil"/>
            </w:tcBorders>
            <w:vAlign w:val="center"/>
          </w:tcPr>
          <w:p w14:paraId="23FE6E47"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2D96B9D"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A024D5D"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55EAED7"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7C6667EF"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7FAE495C"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10280764" w14:textId="77777777">
        <w:trPr>
          <w:trHeight w:val="280"/>
          <w:jc w:val="center"/>
        </w:trPr>
        <w:tc>
          <w:tcPr>
            <w:tcW w:w="799" w:type="pct"/>
            <w:vMerge/>
            <w:tcBorders>
              <w:tl2br w:val="nil"/>
              <w:tr2bl w:val="nil"/>
            </w:tcBorders>
            <w:noWrap/>
            <w:vAlign w:val="center"/>
          </w:tcPr>
          <w:p w14:paraId="512459DA"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7A97ED96" w14:textId="77777777" w:rsidR="009D12AF" w:rsidRDefault="00000000">
            <w:pPr>
              <w:ind w:firstLineChars="0" w:firstLine="0"/>
              <w:jc w:val="center"/>
              <w:textAlignment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科曼小环藻</w:t>
            </w:r>
            <w:r>
              <w:rPr>
                <w:rFonts w:ascii="Times New Roman" w:hAnsi="Times New Roman" w:cs="Times New Roman"/>
                <w:i/>
                <w:iCs/>
                <w:color w:val="000000" w:themeColor="text1"/>
                <w:sz w:val="18"/>
                <w:szCs w:val="18"/>
              </w:rPr>
              <w:t>Cyclotella comensis</w:t>
            </w:r>
          </w:p>
        </w:tc>
        <w:tc>
          <w:tcPr>
            <w:tcW w:w="362" w:type="pct"/>
            <w:tcBorders>
              <w:tl2br w:val="nil"/>
              <w:tr2bl w:val="nil"/>
            </w:tcBorders>
            <w:vAlign w:val="center"/>
          </w:tcPr>
          <w:p w14:paraId="31829B30"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7A88587A"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5BB72A91"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CE8EC65"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EC1B1DD"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57D13696"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r>
      <w:tr w:rsidR="009D12AF" w14:paraId="18BC456D" w14:textId="77777777">
        <w:trPr>
          <w:trHeight w:val="280"/>
          <w:jc w:val="center"/>
        </w:trPr>
        <w:tc>
          <w:tcPr>
            <w:tcW w:w="799" w:type="pct"/>
            <w:vMerge/>
            <w:tcBorders>
              <w:tl2br w:val="nil"/>
              <w:tr2bl w:val="nil"/>
            </w:tcBorders>
            <w:noWrap/>
            <w:vAlign w:val="center"/>
          </w:tcPr>
          <w:p w14:paraId="6AB03435"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04CFCDE4" w14:textId="77777777" w:rsidR="009D12AF" w:rsidRDefault="00000000">
            <w:pPr>
              <w:ind w:firstLineChars="0" w:firstLine="0"/>
              <w:jc w:val="center"/>
              <w:textAlignment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梅尼小环藻</w:t>
            </w:r>
            <w:r>
              <w:rPr>
                <w:rFonts w:ascii="Times New Roman" w:hAnsi="Times New Roman" w:cs="Times New Roman"/>
                <w:i/>
                <w:iCs/>
                <w:color w:val="000000" w:themeColor="text1"/>
                <w:sz w:val="18"/>
                <w:szCs w:val="18"/>
              </w:rPr>
              <w:t>Cyclotella meneghiniana</w:t>
            </w:r>
          </w:p>
        </w:tc>
        <w:tc>
          <w:tcPr>
            <w:tcW w:w="362" w:type="pct"/>
            <w:tcBorders>
              <w:tl2br w:val="nil"/>
              <w:tr2bl w:val="nil"/>
            </w:tcBorders>
            <w:vAlign w:val="center"/>
          </w:tcPr>
          <w:p w14:paraId="331A683D"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71DBFC8"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6B532A67"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708EADF2"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CB418EC"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142CE0E4"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r>
      <w:tr w:rsidR="009D12AF" w14:paraId="1B71F214" w14:textId="77777777">
        <w:trPr>
          <w:trHeight w:val="280"/>
          <w:jc w:val="center"/>
        </w:trPr>
        <w:tc>
          <w:tcPr>
            <w:tcW w:w="799" w:type="pct"/>
            <w:vMerge/>
            <w:tcBorders>
              <w:tl2br w:val="nil"/>
              <w:tr2bl w:val="nil"/>
            </w:tcBorders>
            <w:noWrap/>
            <w:vAlign w:val="center"/>
          </w:tcPr>
          <w:p w14:paraId="09C01BBA"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29F459BB"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具星小环藻</w:t>
            </w:r>
            <w:r>
              <w:rPr>
                <w:rFonts w:ascii="Times New Roman" w:hAnsi="Times New Roman" w:cs="Times New Roman"/>
                <w:i/>
                <w:iCs/>
                <w:color w:val="000000" w:themeColor="text1"/>
                <w:sz w:val="18"/>
                <w:szCs w:val="18"/>
              </w:rPr>
              <w:t>Cyclotella stelligera</w:t>
            </w:r>
          </w:p>
        </w:tc>
        <w:tc>
          <w:tcPr>
            <w:tcW w:w="362" w:type="pct"/>
            <w:tcBorders>
              <w:tl2br w:val="nil"/>
              <w:tr2bl w:val="nil"/>
            </w:tcBorders>
            <w:vAlign w:val="center"/>
          </w:tcPr>
          <w:p w14:paraId="1E232664"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45847A6F"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659BF55"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3C0DCC89"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786C877F"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76970A45"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59B7734A" w14:textId="77777777">
        <w:trPr>
          <w:trHeight w:val="280"/>
          <w:jc w:val="center"/>
        </w:trPr>
        <w:tc>
          <w:tcPr>
            <w:tcW w:w="799" w:type="pct"/>
            <w:vMerge/>
            <w:tcBorders>
              <w:tl2br w:val="nil"/>
              <w:tr2bl w:val="nil"/>
            </w:tcBorders>
            <w:noWrap/>
            <w:vAlign w:val="center"/>
          </w:tcPr>
          <w:p w14:paraId="7D60AA3A"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006F5F6C" w14:textId="77777777" w:rsidR="009D12AF" w:rsidRDefault="00000000">
            <w:pPr>
              <w:ind w:firstLineChars="0" w:firstLine="0"/>
              <w:jc w:val="center"/>
              <w:textAlignment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微细异极藻</w:t>
            </w:r>
            <w:r>
              <w:rPr>
                <w:rFonts w:ascii="Times New Roman" w:hAnsi="Times New Roman" w:cs="Times New Roman"/>
                <w:i/>
                <w:iCs/>
                <w:color w:val="000000" w:themeColor="text1"/>
                <w:sz w:val="18"/>
                <w:szCs w:val="18"/>
              </w:rPr>
              <w:t>Gomphonema parrulum</w:t>
            </w:r>
          </w:p>
        </w:tc>
        <w:tc>
          <w:tcPr>
            <w:tcW w:w="362" w:type="pct"/>
            <w:tcBorders>
              <w:tl2br w:val="nil"/>
              <w:tr2bl w:val="nil"/>
            </w:tcBorders>
            <w:vAlign w:val="center"/>
          </w:tcPr>
          <w:p w14:paraId="4BAC5886"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DCCDF8E"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7A9057B"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A4410AF"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4040CA9D"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10A9B5FD"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r>
      <w:tr w:rsidR="009D12AF" w14:paraId="54C1EB86" w14:textId="77777777">
        <w:trPr>
          <w:trHeight w:val="280"/>
          <w:jc w:val="center"/>
        </w:trPr>
        <w:tc>
          <w:tcPr>
            <w:tcW w:w="799" w:type="pct"/>
            <w:vMerge/>
            <w:tcBorders>
              <w:tl2br w:val="nil"/>
              <w:tr2bl w:val="nil"/>
            </w:tcBorders>
            <w:noWrap/>
            <w:vAlign w:val="center"/>
          </w:tcPr>
          <w:p w14:paraId="6DCEC98D"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3117271A"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纤细异极藻</w:t>
            </w:r>
            <w:r>
              <w:rPr>
                <w:rFonts w:ascii="Times New Roman" w:hAnsi="Times New Roman" w:cs="Times New Roman"/>
                <w:i/>
                <w:iCs/>
                <w:color w:val="000000" w:themeColor="text1"/>
                <w:sz w:val="18"/>
                <w:szCs w:val="18"/>
              </w:rPr>
              <w:t>Gomphonema gracile</w:t>
            </w:r>
          </w:p>
        </w:tc>
        <w:tc>
          <w:tcPr>
            <w:tcW w:w="362" w:type="pct"/>
            <w:tcBorders>
              <w:tl2br w:val="nil"/>
              <w:tr2bl w:val="nil"/>
            </w:tcBorders>
            <w:vAlign w:val="center"/>
          </w:tcPr>
          <w:p w14:paraId="6043D41B"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52CEA79"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472BF58E"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7C781B01"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6B0EE13"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6CAA1A5A"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4021652F" w14:textId="77777777">
        <w:trPr>
          <w:trHeight w:val="280"/>
          <w:jc w:val="center"/>
        </w:trPr>
        <w:tc>
          <w:tcPr>
            <w:tcW w:w="799" w:type="pct"/>
            <w:vMerge/>
            <w:tcBorders>
              <w:tl2br w:val="nil"/>
              <w:tr2bl w:val="nil"/>
            </w:tcBorders>
            <w:noWrap/>
            <w:vAlign w:val="center"/>
          </w:tcPr>
          <w:p w14:paraId="2E756533"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68B8101E"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双头辐节藻</w:t>
            </w:r>
            <w:r>
              <w:rPr>
                <w:rFonts w:ascii="Times New Roman" w:hAnsi="Times New Roman" w:cs="Times New Roman"/>
                <w:i/>
                <w:iCs/>
                <w:color w:val="000000" w:themeColor="text1"/>
                <w:sz w:val="18"/>
                <w:szCs w:val="18"/>
              </w:rPr>
              <w:t>Stauroneia anceps</w:t>
            </w:r>
          </w:p>
        </w:tc>
        <w:tc>
          <w:tcPr>
            <w:tcW w:w="362" w:type="pct"/>
            <w:tcBorders>
              <w:tl2br w:val="nil"/>
              <w:tr2bl w:val="nil"/>
            </w:tcBorders>
            <w:vAlign w:val="center"/>
          </w:tcPr>
          <w:p w14:paraId="784F50BF"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5D9A746"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59F2F3E2"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5882FB91"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33F9DB0B"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13550805"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616ADF0D" w14:textId="77777777">
        <w:trPr>
          <w:trHeight w:val="280"/>
          <w:jc w:val="center"/>
        </w:trPr>
        <w:tc>
          <w:tcPr>
            <w:tcW w:w="799" w:type="pct"/>
            <w:vMerge/>
            <w:tcBorders>
              <w:tl2br w:val="nil"/>
              <w:tr2bl w:val="nil"/>
            </w:tcBorders>
            <w:noWrap/>
            <w:vAlign w:val="center"/>
          </w:tcPr>
          <w:p w14:paraId="5C338CD8"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40AF3354"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简单舟形藻</w:t>
            </w:r>
            <w:r>
              <w:rPr>
                <w:rFonts w:ascii="Times New Roman" w:hAnsi="Times New Roman" w:cs="Times New Roman"/>
                <w:i/>
                <w:iCs/>
                <w:color w:val="000000" w:themeColor="text1"/>
                <w:sz w:val="18"/>
                <w:szCs w:val="18"/>
              </w:rPr>
              <w:t>Navicula simples</w:t>
            </w:r>
          </w:p>
        </w:tc>
        <w:tc>
          <w:tcPr>
            <w:tcW w:w="362" w:type="pct"/>
            <w:tcBorders>
              <w:tl2br w:val="nil"/>
              <w:tr2bl w:val="nil"/>
            </w:tcBorders>
            <w:vAlign w:val="center"/>
          </w:tcPr>
          <w:p w14:paraId="1C50F6D5"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691A10A2"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7FD0D17"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1EBF6F6"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446DF968"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4A05F3E8"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69E8188D" w14:textId="77777777">
        <w:trPr>
          <w:trHeight w:val="280"/>
          <w:jc w:val="center"/>
        </w:trPr>
        <w:tc>
          <w:tcPr>
            <w:tcW w:w="799" w:type="pct"/>
            <w:vMerge/>
            <w:tcBorders>
              <w:tl2br w:val="nil"/>
              <w:tr2bl w:val="nil"/>
            </w:tcBorders>
            <w:noWrap/>
            <w:vAlign w:val="center"/>
          </w:tcPr>
          <w:p w14:paraId="5BFBD268"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66C3D411"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放射舟形藻</w:t>
            </w:r>
            <w:r>
              <w:rPr>
                <w:rFonts w:ascii="Times New Roman" w:hAnsi="Times New Roman" w:cs="Times New Roman"/>
                <w:i/>
                <w:iCs/>
                <w:color w:val="000000" w:themeColor="text1"/>
                <w:sz w:val="18"/>
                <w:szCs w:val="18"/>
              </w:rPr>
              <w:t>Navicula radiosa</w:t>
            </w:r>
          </w:p>
        </w:tc>
        <w:tc>
          <w:tcPr>
            <w:tcW w:w="362" w:type="pct"/>
            <w:tcBorders>
              <w:tl2br w:val="nil"/>
              <w:tr2bl w:val="nil"/>
            </w:tcBorders>
            <w:vAlign w:val="center"/>
          </w:tcPr>
          <w:p w14:paraId="01AB8CC9"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D44B11F"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F4BAB49"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54F6E2C4"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E664B7A"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556A4BBB"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5BDFE2E0" w14:textId="77777777">
        <w:trPr>
          <w:trHeight w:val="280"/>
          <w:jc w:val="center"/>
        </w:trPr>
        <w:tc>
          <w:tcPr>
            <w:tcW w:w="799" w:type="pct"/>
            <w:vMerge/>
            <w:tcBorders>
              <w:tl2br w:val="nil"/>
              <w:tr2bl w:val="nil"/>
            </w:tcBorders>
            <w:noWrap/>
            <w:vAlign w:val="center"/>
          </w:tcPr>
          <w:p w14:paraId="0802CE57"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6EB28F68"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短小舟形藻</w:t>
            </w:r>
            <w:r>
              <w:rPr>
                <w:rFonts w:ascii="Times New Roman" w:hAnsi="Times New Roman" w:cs="Times New Roman"/>
                <w:i/>
                <w:iCs/>
                <w:color w:val="000000" w:themeColor="text1"/>
                <w:sz w:val="18"/>
                <w:szCs w:val="18"/>
              </w:rPr>
              <w:t>Navicula exigua</w:t>
            </w:r>
          </w:p>
        </w:tc>
        <w:tc>
          <w:tcPr>
            <w:tcW w:w="362" w:type="pct"/>
            <w:tcBorders>
              <w:tl2br w:val="nil"/>
              <w:tr2bl w:val="nil"/>
            </w:tcBorders>
            <w:vAlign w:val="center"/>
          </w:tcPr>
          <w:p w14:paraId="533484A3"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20D144CC"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74908F3"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67E906A6"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1B10D3B"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30558519"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6D931E08" w14:textId="77777777">
        <w:trPr>
          <w:trHeight w:val="280"/>
          <w:jc w:val="center"/>
        </w:trPr>
        <w:tc>
          <w:tcPr>
            <w:tcW w:w="799" w:type="pct"/>
            <w:vMerge/>
            <w:tcBorders>
              <w:tl2br w:val="nil"/>
              <w:tr2bl w:val="nil"/>
            </w:tcBorders>
            <w:noWrap/>
            <w:vAlign w:val="center"/>
          </w:tcPr>
          <w:p w14:paraId="370FA090"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6D8F9172" w14:textId="77777777" w:rsidR="009D12AF" w:rsidRDefault="00000000">
            <w:pPr>
              <w:ind w:firstLineChars="0" w:firstLine="0"/>
              <w:jc w:val="center"/>
              <w:textAlignment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普通等片藻</w:t>
            </w:r>
            <w:r>
              <w:rPr>
                <w:rFonts w:ascii="Times New Roman" w:hAnsi="Times New Roman" w:cs="Times New Roman"/>
                <w:i/>
                <w:iCs/>
                <w:color w:val="000000" w:themeColor="text1"/>
                <w:sz w:val="18"/>
                <w:szCs w:val="18"/>
              </w:rPr>
              <w:t>Diatoma vulgare</w:t>
            </w:r>
          </w:p>
        </w:tc>
        <w:tc>
          <w:tcPr>
            <w:tcW w:w="362" w:type="pct"/>
            <w:tcBorders>
              <w:tl2br w:val="nil"/>
              <w:tr2bl w:val="nil"/>
            </w:tcBorders>
            <w:vAlign w:val="center"/>
          </w:tcPr>
          <w:p w14:paraId="37CBBA26"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DB127D6"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30520307"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554AE58E"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5555366"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256D4F97"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79823A5B" w14:textId="77777777">
        <w:trPr>
          <w:trHeight w:val="280"/>
          <w:jc w:val="center"/>
        </w:trPr>
        <w:tc>
          <w:tcPr>
            <w:tcW w:w="799" w:type="pct"/>
            <w:vMerge w:val="restart"/>
            <w:tcBorders>
              <w:tl2br w:val="nil"/>
              <w:tr2bl w:val="nil"/>
            </w:tcBorders>
            <w:noWrap/>
            <w:vAlign w:val="center"/>
          </w:tcPr>
          <w:p w14:paraId="3FF4125E"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绿藻门</w:t>
            </w:r>
          </w:p>
          <w:p w14:paraId="1171649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Chlorophyta</w:t>
            </w:r>
          </w:p>
        </w:tc>
        <w:tc>
          <w:tcPr>
            <w:tcW w:w="2029" w:type="pct"/>
            <w:tcBorders>
              <w:tl2br w:val="nil"/>
              <w:tr2bl w:val="nil"/>
            </w:tcBorders>
            <w:noWrap/>
            <w:vAlign w:val="center"/>
          </w:tcPr>
          <w:p w14:paraId="462B9592" w14:textId="77777777" w:rsidR="009D12AF" w:rsidRDefault="00000000">
            <w:pPr>
              <w:ind w:firstLineChars="0" w:firstLine="0"/>
              <w:jc w:val="center"/>
              <w:textAlignment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卵形衣藻</w:t>
            </w:r>
            <w:r>
              <w:rPr>
                <w:rFonts w:ascii="Times New Roman" w:hAnsi="Times New Roman" w:cs="Times New Roman"/>
                <w:i/>
                <w:iCs/>
                <w:color w:val="000000" w:themeColor="text1"/>
                <w:sz w:val="18"/>
                <w:szCs w:val="18"/>
              </w:rPr>
              <w:t>Chamydomonas ovalis</w:t>
            </w:r>
          </w:p>
        </w:tc>
        <w:tc>
          <w:tcPr>
            <w:tcW w:w="362" w:type="pct"/>
            <w:tcBorders>
              <w:tl2br w:val="nil"/>
              <w:tr2bl w:val="nil"/>
            </w:tcBorders>
            <w:vAlign w:val="center"/>
          </w:tcPr>
          <w:p w14:paraId="1115D0CB"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CF7AB8E"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47D15B8"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DB6F0FD"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E47D5C8"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74E11226"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r>
      <w:tr w:rsidR="009D12AF" w14:paraId="2C75D1EA" w14:textId="77777777">
        <w:trPr>
          <w:trHeight w:val="280"/>
          <w:jc w:val="center"/>
        </w:trPr>
        <w:tc>
          <w:tcPr>
            <w:tcW w:w="799" w:type="pct"/>
            <w:vMerge/>
            <w:tcBorders>
              <w:tl2br w:val="nil"/>
              <w:tr2bl w:val="nil"/>
            </w:tcBorders>
            <w:noWrap/>
            <w:vAlign w:val="center"/>
          </w:tcPr>
          <w:p w14:paraId="1405AD52"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38D6EACC" w14:textId="77777777" w:rsidR="009D12AF" w:rsidRDefault="00000000">
            <w:pPr>
              <w:ind w:firstLineChars="0" w:firstLine="0"/>
              <w:jc w:val="center"/>
              <w:textAlignment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球衣藻</w:t>
            </w:r>
            <w:r>
              <w:rPr>
                <w:rFonts w:ascii="Times New Roman" w:hAnsi="Times New Roman" w:cs="Times New Roman"/>
                <w:i/>
                <w:iCs/>
                <w:color w:val="000000" w:themeColor="text1"/>
                <w:sz w:val="18"/>
                <w:szCs w:val="18"/>
              </w:rPr>
              <w:t>Chlamydomonas globosa</w:t>
            </w:r>
          </w:p>
        </w:tc>
        <w:tc>
          <w:tcPr>
            <w:tcW w:w="362" w:type="pct"/>
            <w:tcBorders>
              <w:tl2br w:val="nil"/>
              <w:tr2bl w:val="nil"/>
            </w:tcBorders>
            <w:vAlign w:val="center"/>
          </w:tcPr>
          <w:p w14:paraId="27FA5CF1"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4ACC524E"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B7E627D"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5A951B51"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545DE53"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046EDF36"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r>
      <w:tr w:rsidR="009D12AF" w14:paraId="083A358D" w14:textId="77777777">
        <w:trPr>
          <w:trHeight w:val="280"/>
          <w:jc w:val="center"/>
        </w:trPr>
        <w:tc>
          <w:tcPr>
            <w:tcW w:w="799" w:type="pct"/>
            <w:vMerge/>
            <w:tcBorders>
              <w:tl2br w:val="nil"/>
              <w:tr2bl w:val="nil"/>
            </w:tcBorders>
            <w:noWrap/>
            <w:vAlign w:val="center"/>
          </w:tcPr>
          <w:p w14:paraId="3F02D9CC"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6B6A2E24" w14:textId="77777777" w:rsidR="009D12AF" w:rsidRDefault="00000000">
            <w:pPr>
              <w:ind w:firstLineChars="0" w:firstLine="0"/>
              <w:jc w:val="center"/>
              <w:textAlignment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德巴衣藻</w:t>
            </w:r>
            <w:r>
              <w:rPr>
                <w:rFonts w:ascii="Times New Roman" w:hAnsi="Times New Roman" w:cs="Times New Roman"/>
                <w:i/>
                <w:iCs/>
                <w:color w:val="000000" w:themeColor="text1"/>
                <w:sz w:val="18"/>
                <w:szCs w:val="18"/>
              </w:rPr>
              <w:t>Chlamydomonas debaryana</w:t>
            </w:r>
          </w:p>
        </w:tc>
        <w:tc>
          <w:tcPr>
            <w:tcW w:w="362" w:type="pct"/>
            <w:tcBorders>
              <w:tl2br w:val="nil"/>
              <w:tr2bl w:val="nil"/>
            </w:tcBorders>
            <w:vAlign w:val="center"/>
          </w:tcPr>
          <w:p w14:paraId="6378FC68"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3782030"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2779553"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0A85A5B"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59F40A8"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39804094"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1E7B17C5" w14:textId="77777777">
        <w:trPr>
          <w:trHeight w:val="280"/>
          <w:jc w:val="center"/>
        </w:trPr>
        <w:tc>
          <w:tcPr>
            <w:tcW w:w="799" w:type="pct"/>
            <w:vMerge/>
            <w:tcBorders>
              <w:tl2br w:val="nil"/>
              <w:tr2bl w:val="nil"/>
            </w:tcBorders>
            <w:noWrap/>
            <w:vAlign w:val="center"/>
          </w:tcPr>
          <w:p w14:paraId="3C251626"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75CF84EC"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布朗衣藻</w:t>
            </w:r>
            <w:r>
              <w:rPr>
                <w:rFonts w:ascii="Times New Roman" w:hAnsi="Times New Roman" w:cs="Times New Roman"/>
                <w:i/>
                <w:iCs/>
                <w:color w:val="000000" w:themeColor="text1"/>
                <w:sz w:val="18"/>
                <w:szCs w:val="18"/>
              </w:rPr>
              <w:t>Chlamydomonas braunii</w:t>
            </w:r>
          </w:p>
        </w:tc>
        <w:tc>
          <w:tcPr>
            <w:tcW w:w="362" w:type="pct"/>
            <w:tcBorders>
              <w:tl2br w:val="nil"/>
              <w:tr2bl w:val="nil"/>
            </w:tcBorders>
            <w:vAlign w:val="center"/>
          </w:tcPr>
          <w:p w14:paraId="352B38C3"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562D6163"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25FDF6EC"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AF67B0D"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CDB67DA"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082C1700"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1F16AFBD" w14:textId="77777777">
        <w:trPr>
          <w:trHeight w:val="280"/>
          <w:jc w:val="center"/>
        </w:trPr>
        <w:tc>
          <w:tcPr>
            <w:tcW w:w="799" w:type="pct"/>
            <w:vMerge/>
            <w:tcBorders>
              <w:tl2br w:val="nil"/>
              <w:tr2bl w:val="nil"/>
            </w:tcBorders>
            <w:noWrap/>
            <w:vAlign w:val="center"/>
          </w:tcPr>
          <w:p w14:paraId="734B9FF4"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3744471B"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螺旋纤维藻</w:t>
            </w:r>
            <w:r>
              <w:rPr>
                <w:rFonts w:ascii="Times New Roman" w:hAnsi="Times New Roman" w:cs="Times New Roman"/>
                <w:i/>
                <w:iCs/>
                <w:color w:val="000000" w:themeColor="text1"/>
                <w:sz w:val="18"/>
                <w:szCs w:val="18"/>
              </w:rPr>
              <w:t>Ankistrodesmus spiralis</w:t>
            </w:r>
          </w:p>
        </w:tc>
        <w:tc>
          <w:tcPr>
            <w:tcW w:w="362" w:type="pct"/>
            <w:tcBorders>
              <w:tl2br w:val="nil"/>
              <w:tr2bl w:val="nil"/>
            </w:tcBorders>
            <w:vAlign w:val="center"/>
          </w:tcPr>
          <w:p w14:paraId="5168AD33"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37C967ED"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44A4C63D"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055F585"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CB89D3E"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517560FD"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50061591" w14:textId="77777777">
        <w:trPr>
          <w:trHeight w:val="280"/>
          <w:jc w:val="center"/>
        </w:trPr>
        <w:tc>
          <w:tcPr>
            <w:tcW w:w="799" w:type="pct"/>
            <w:vMerge/>
            <w:tcBorders>
              <w:tl2br w:val="nil"/>
              <w:tr2bl w:val="nil"/>
            </w:tcBorders>
            <w:noWrap/>
            <w:vAlign w:val="center"/>
          </w:tcPr>
          <w:p w14:paraId="4460B9BB"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4DC20D21"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针形纤维藻</w:t>
            </w:r>
            <w:r>
              <w:rPr>
                <w:rFonts w:ascii="Times New Roman" w:hAnsi="Times New Roman" w:cs="Times New Roman"/>
                <w:i/>
                <w:iCs/>
                <w:color w:val="000000" w:themeColor="text1"/>
                <w:sz w:val="18"/>
                <w:szCs w:val="18"/>
              </w:rPr>
              <w:t>Ankistrodesmus acicularis</w:t>
            </w:r>
          </w:p>
        </w:tc>
        <w:tc>
          <w:tcPr>
            <w:tcW w:w="362" w:type="pct"/>
            <w:tcBorders>
              <w:tl2br w:val="nil"/>
              <w:tr2bl w:val="nil"/>
            </w:tcBorders>
            <w:vAlign w:val="center"/>
          </w:tcPr>
          <w:p w14:paraId="287E8ECB"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A38D97D"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1FC5ECA"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9CD1EB6"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6D1FEFDA"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7D415FD3"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206DE372" w14:textId="77777777">
        <w:trPr>
          <w:trHeight w:val="280"/>
          <w:jc w:val="center"/>
        </w:trPr>
        <w:tc>
          <w:tcPr>
            <w:tcW w:w="799" w:type="pct"/>
            <w:vMerge/>
            <w:tcBorders>
              <w:tl2br w:val="nil"/>
              <w:tr2bl w:val="nil"/>
            </w:tcBorders>
            <w:noWrap/>
            <w:vAlign w:val="center"/>
          </w:tcPr>
          <w:p w14:paraId="14763585"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15EFDAA1"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小球藻</w:t>
            </w:r>
            <w:r>
              <w:rPr>
                <w:rFonts w:ascii="Times New Roman" w:hAnsi="Times New Roman" w:cs="Times New Roman"/>
                <w:i/>
                <w:iCs/>
                <w:color w:val="000000" w:themeColor="text1"/>
                <w:sz w:val="18"/>
                <w:szCs w:val="18"/>
              </w:rPr>
              <w:t>Chlorella vulgaris</w:t>
            </w:r>
          </w:p>
        </w:tc>
        <w:tc>
          <w:tcPr>
            <w:tcW w:w="362" w:type="pct"/>
            <w:tcBorders>
              <w:tl2br w:val="nil"/>
              <w:tr2bl w:val="nil"/>
            </w:tcBorders>
            <w:vAlign w:val="center"/>
          </w:tcPr>
          <w:p w14:paraId="2DA30584"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217672D"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6DE1B77"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1D07036"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46D8223"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68264D3C"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1FACC7E0" w14:textId="77777777">
        <w:trPr>
          <w:trHeight w:val="280"/>
          <w:jc w:val="center"/>
        </w:trPr>
        <w:tc>
          <w:tcPr>
            <w:tcW w:w="799" w:type="pct"/>
            <w:vMerge/>
            <w:tcBorders>
              <w:tl2br w:val="nil"/>
              <w:tr2bl w:val="nil"/>
            </w:tcBorders>
            <w:noWrap/>
            <w:vAlign w:val="center"/>
          </w:tcPr>
          <w:p w14:paraId="32BB4E6D"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56BC8669" w14:textId="77777777" w:rsidR="009D12AF" w:rsidRDefault="00000000">
            <w:pPr>
              <w:ind w:firstLineChars="0" w:firstLine="0"/>
              <w:jc w:val="center"/>
              <w:textAlignment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蛋白核小球藻</w:t>
            </w:r>
            <w:r>
              <w:rPr>
                <w:rFonts w:ascii="Times New Roman" w:hAnsi="Times New Roman" w:cs="Times New Roman"/>
                <w:i/>
                <w:iCs/>
                <w:color w:val="000000" w:themeColor="text1"/>
                <w:sz w:val="18"/>
                <w:szCs w:val="18"/>
              </w:rPr>
              <w:t>Chlorella pyrenoidosa</w:t>
            </w:r>
          </w:p>
        </w:tc>
        <w:tc>
          <w:tcPr>
            <w:tcW w:w="362" w:type="pct"/>
            <w:tcBorders>
              <w:tl2br w:val="nil"/>
              <w:tr2bl w:val="nil"/>
            </w:tcBorders>
            <w:vAlign w:val="center"/>
          </w:tcPr>
          <w:p w14:paraId="197D49AE"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6806263"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64B696D"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6183F03"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B360358"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122B3C16"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r>
      <w:tr w:rsidR="009D12AF" w14:paraId="153E9774" w14:textId="77777777">
        <w:trPr>
          <w:trHeight w:val="280"/>
          <w:jc w:val="center"/>
        </w:trPr>
        <w:tc>
          <w:tcPr>
            <w:tcW w:w="799" w:type="pct"/>
            <w:vMerge/>
            <w:tcBorders>
              <w:tl2br w:val="nil"/>
              <w:tr2bl w:val="nil"/>
            </w:tcBorders>
            <w:noWrap/>
            <w:vAlign w:val="center"/>
          </w:tcPr>
          <w:p w14:paraId="427C9279"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400C0B57"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十字顶棘藻</w:t>
            </w:r>
            <w:r>
              <w:rPr>
                <w:rFonts w:ascii="Times New Roman" w:hAnsi="Times New Roman" w:cs="Times New Roman"/>
                <w:i/>
                <w:iCs/>
                <w:color w:val="000000" w:themeColor="text1"/>
                <w:sz w:val="18"/>
                <w:szCs w:val="18"/>
              </w:rPr>
              <w:t>Chodatella wratislaviensis</w:t>
            </w:r>
          </w:p>
        </w:tc>
        <w:tc>
          <w:tcPr>
            <w:tcW w:w="362" w:type="pct"/>
            <w:tcBorders>
              <w:tl2br w:val="nil"/>
              <w:tr2bl w:val="nil"/>
            </w:tcBorders>
            <w:vAlign w:val="center"/>
          </w:tcPr>
          <w:p w14:paraId="291BEB36"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F1B51F5"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4623E797"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6A785F8C"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6F679F1"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58B0E499"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6081461E" w14:textId="77777777">
        <w:trPr>
          <w:trHeight w:val="280"/>
          <w:jc w:val="center"/>
        </w:trPr>
        <w:tc>
          <w:tcPr>
            <w:tcW w:w="799" w:type="pct"/>
            <w:vMerge/>
            <w:tcBorders>
              <w:tl2br w:val="nil"/>
              <w:tr2bl w:val="nil"/>
            </w:tcBorders>
            <w:noWrap/>
            <w:vAlign w:val="center"/>
          </w:tcPr>
          <w:p w14:paraId="1D44F6C3"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79BB6476"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单刺四星藻</w:t>
            </w:r>
            <w:r>
              <w:rPr>
                <w:rFonts w:ascii="Times New Roman" w:hAnsi="Times New Roman" w:cs="Times New Roman"/>
                <w:i/>
                <w:iCs/>
                <w:color w:val="000000" w:themeColor="text1"/>
                <w:sz w:val="18"/>
                <w:szCs w:val="18"/>
              </w:rPr>
              <w:t>Tetrastrum hastiferum</w:t>
            </w:r>
          </w:p>
        </w:tc>
        <w:tc>
          <w:tcPr>
            <w:tcW w:w="362" w:type="pct"/>
            <w:tcBorders>
              <w:tl2br w:val="nil"/>
              <w:tr2bl w:val="nil"/>
            </w:tcBorders>
            <w:vAlign w:val="center"/>
          </w:tcPr>
          <w:p w14:paraId="250A09F7"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0D2D0F64"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4B42DD2"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5F4E977F"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6516C48B"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357EE76E"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543849D7" w14:textId="77777777">
        <w:trPr>
          <w:trHeight w:val="280"/>
          <w:jc w:val="center"/>
        </w:trPr>
        <w:tc>
          <w:tcPr>
            <w:tcW w:w="799" w:type="pct"/>
            <w:vMerge/>
            <w:tcBorders>
              <w:tl2br w:val="nil"/>
              <w:tr2bl w:val="nil"/>
            </w:tcBorders>
            <w:noWrap/>
            <w:vAlign w:val="center"/>
          </w:tcPr>
          <w:p w14:paraId="5A6BE0F6"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77A22511"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丝藻</w:t>
            </w:r>
            <w:r>
              <w:rPr>
                <w:rFonts w:ascii="Times New Roman" w:hAnsi="Times New Roman" w:cs="Times New Roman"/>
                <w:i/>
                <w:iCs/>
                <w:color w:val="000000" w:themeColor="text1"/>
                <w:sz w:val="18"/>
                <w:szCs w:val="18"/>
              </w:rPr>
              <w:t xml:space="preserve">Ulothrix </w:t>
            </w:r>
            <w:r>
              <w:rPr>
                <w:rFonts w:ascii="Times New Roman" w:hAnsi="Times New Roman" w:cs="Times New Roman"/>
                <w:color w:val="000000" w:themeColor="text1"/>
                <w:sz w:val="18"/>
                <w:szCs w:val="18"/>
              </w:rPr>
              <w:t>sp.</w:t>
            </w:r>
          </w:p>
        </w:tc>
        <w:tc>
          <w:tcPr>
            <w:tcW w:w="362" w:type="pct"/>
            <w:tcBorders>
              <w:tl2br w:val="nil"/>
              <w:tr2bl w:val="nil"/>
            </w:tcBorders>
            <w:vAlign w:val="center"/>
          </w:tcPr>
          <w:p w14:paraId="2274E601"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9A86C55"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4D50ED04"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4A1A146"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37B4C6B5"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2D37E426"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186F71C5" w14:textId="77777777">
        <w:trPr>
          <w:trHeight w:val="280"/>
          <w:jc w:val="center"/>
        </w:trPr>
        <w:tc>
          <w:tcPr>
            <w:tcW w:w="799" w:type="pct"/>
            <w:vMerge/>
            <w:tcBorders>
              <w:tl2br w:val="nil"/>
              <w:tr2bl w:val="nil"/>
            </w:tcBorders>
            <w:noWrap/>
            <w:vAlign w:val="center"/>
          </w:tcPr>
          <w:p w14:paraId="0E759440"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4FC5183E"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纤细新月藻</w:t>
            </w:r>
            <w:r>
              <w:rPr>
                <w:rFonts w:ascii="Times New Roman" w:hAnsi="Times New Roman" w:cs="Times New Roman"/>
                <w:i/>
                <w:iCs/>
                <w:color w:val="000000" w:themeColor="text1"/>
                <w:sz w:val="18"/>
                <w:szCs w:val="18"/>
              </w:rPr>
              <w:t>Closterium gracile</w:t>
            </w:r>
          </w:p>
        </w:tc>
        <w:tc>
          <w:tcPr>
            <w:tcW w:w="362" w:type="pct"/>
            <w:tcBorders>
              <w:tl2br w:val="nil"/>
              <w:tr2bl w:val="nil"/>
            </w:tcBorders>
            <w:vAlign w:val="center"/>
          </w:tcPr>
          <w:p w14:paraId="573FD6D1"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4720F707"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56B19EFC"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72D0269"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4C26052"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7FF5EC19"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07996EF2" w14:textId="77777777">
        <w:trPr>
          <w:trHeight w:val="280"/>
          <w:jc w:val="center"/>
        </w:trPr>
        <w:tc>
          <w:tcPr>
            <w:tcW w:w="799" w:type="pct"/>
            <w:vMerge/>
            <w:tcBorders>
              <w:tl2br w:val="nil"/>
              <w:tr2bl w:val="nil"/>
            </w:tcBorders>
            <w:noWrap/>
            <w:vAlign w:val="center"/>
          </w:tcPr>
          <w:p w14:paraId="066C619F"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06E9B614"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纤细月牙藻</w:t>
            </w:r>
            <w:r>
              <w:rPr>
                <w:rFonts w:ascii="Times New Roman" w:hAnsi="Times New Roman" w:cs="Times New Roman"/>
                <w:i/>
                <w:iCs/>
                <w:color w:val="000000" w:themeColor="text1"/>
                <w:sz w:val="18"/>
                <w:szCs w:val="18"/>
              </w:rPr>
              <w:t>Selenastrum gracile</w:t>
            </w:r>
          </w:p>
        </w:tc>
        <w:tc>
          <w:tcPr>
            <w:tcW w:w="362" w:type="pct"/>
            <w:tcBorders>
              <w:tl2br w:val="nil"/>
              <w:tr2bl w:val="nil"/>
            </w:tcBorders>
            <w:vAlign w:val="center"/>
          </w:tcPr>
          <w:p w14:paraId="4EFAE246"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09C77C70"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44FD8278"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4C830EC2"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5ADA0829"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7977E502"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788198CD" w14:textId="77777777">
        <w:trPr>
          <w:trHeight w:val="280"/>
          <w:jc w:val="center"/>
        </w:trPr>
        <w:tc>
          <w:tcPr>
            <w:tcW w:w="799" w:type="pct"/>
            <w:vMerge/>
            <w:tcBorders>
              <w:tl2br w:val="nil"/>
              <w:tr2bl w:val="nil"/>
            </w:tcBorders>
            <w:noWrap/>
            <w:vAlign w:val="center"/>
          </w:tcPr>
          <w:p w14:paraId="2441FF13"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12E3487B"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集球藻</w:t>
            </w:r>
            <w:r>
              <w:rPr>
                <w:rFonts w:ascii="Times New Roman" w:hAnsi="Times New Roman" w:cs="Times New Roman"/>
                <w:i/>
                <w:iCs/>
                <w:color w:val="000000" w:themeColor="text1"/>
                <w:sz w:val="18"/>
                <w:szCs w:val="18"/>
              </w:rPr>
              <w:t xml:space="preserve">Palmellococcus </w:t>
            </w:r>
            <w:r>
              <w:rPr>
                <w:rFonts w:ascii="Times New Roman" w:hAnsi="Times New Roman" w:cs="Times New Roman"/>
                <w:color w:val="000000" w:themeColor="text1"/>
                <w:sz w:val="18"/>
                <w:szCs w:val="18"/>
              </w:rPr>
              <w:t>sp.</w:t>
            </w:r>
          </w:p>
        </w:tc>
        <w:tc>
          <w:tcPr>
            <w:tcW w:w="362" w:type="pct"/>
            <w:tcBorders>
              <w:tl2br w:val="nil"/>
              <w:tr2bl w:val="nil"/>
            </w:tcBorders>
            <w:vAlign w:val="center"/>
          </w:tcPr>
          <w:p w14:paraId="34606296"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0B2EE67"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B70E46D"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54F7D894"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433C7B55"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0254565B"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3EF51A23" w14:textId="77777777">
        <w:trPr>
          <w:trHeight w:val="280"/>
          <w:jc w:val="center"/>
        </w:trPr>
        <w:tc>
          <w:tcPr>
            <w:tcW w:w="799" w:type="pct"/>
            <w:vMerge/>
            <w:tcBorders>
              <w:tl2br w:val="nil"/>
              <w:tr2bl w:val="nil"/>
            </w:tcBorders>
            <w:noWrap/>
            <w:vAlign w:val="center"/>
          </w:tcPr>
          <w:p w14:paraId="1ECFF613"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2B1FFC36" w14:textId="77777777" w:rsidR="009D12AF" w:rsidRDefault="00000000">
            <w:pPr>
              <w:ind w:firstLineChars="0" w:firstLine="0"/>
              <w:jc w:val="center"/>
              <w:textAlignment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圆鼓藻</w:t>
            </w:r>
            <w:r>
              <w:rPr>
                <w:rFonts w:ascii="Times New Roman" w:hAnsi="Times New Roman" w:cs="Times New Roman"/>
                <w:i/>
                <w:iCs/>
                <w:color w:val="000000" w:themeColor="text1"/>
                <w:sz w:val="18"/>
                <w:szCs w:val="18"/>
              </w:rPr>
              <w:t>Cosmarium circulare</w:t>
            </w:r>
          </w:p>
        </w:tc>
        <w:tc>
          <w:tcPr>
            <w:tcW w:w="362" w:type="pct"/>
            <w:tcBorders>
              <w:tl2br w:val="nil"/>
              <w:tr2bl w:val="nil"/>
            </w:tcBorders>
            <w:vAlign w:val="center"/>
          </w:tcPr>
          <w:p w14:paraId="051B7E22"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AC2A204"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67CE27C0"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AD7E8B5"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8076089"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4E0F607A"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r>
      <w:tr w:rsidR="009D12AF" w14:paraId="7D91BCB7" w14:textId="77777777">
        <w:trPr>
          <w:trHeight w:val="280"/>
          <w:jc w:val="center"/>
        </w:trPr>
        <w:tc>
          <w:tcPr>
            <w:tcW w:w="799" w:type="pct"/>
            <w:vMerge/>
            <w:tcBorders>
              <w:tl2br w:val="nil"/>
              <w:tr2bl w:val="nil"/>
            </w:tcBorders>
            <w:noWrap/>
            <w:vAlign w:val="center"/>
          </w:tcPr>
          <w:p w14:paraId="5BF8872E"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6866E113"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微芒藻</w:t>
            </w:r>
            <w:r>
              <w:rPr>
                <w:rFonts w:ascii="Times New Roman" w:hAnsi="Times New Roman" w:cs="Times New Roman"/>
                <w:i/>
                <w:iCs/>
                <w:color w:val="000000" w:themeColor="text1"/>
                <w:sz w:val="18"/>
                <w:szCs w:val="18"/>
              </w:rPr>
              <w:t>Micractinium pusillum</w:t>
            </w:r>
          </w:p>
        </w:tc>
        <w:tc>
          <w:tcPr>
            <w:tcW w:w="362" w:type="pct"/>
            <w:tcBorders>
              <w:tl2br w:val="nil"/>
              <w:tr2bl w:val="nil"/>
            </w:tcBorders>
            <w:vAlign w:val="center"/>
          </w:tcPr>
          <w:p w14:paraId="4DD58F49"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4E6C741"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7476B305"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8BEBFAE"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8CC293D"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6B56D762"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43E5930F" w14:textId="77777777">
        <w:trPr>
          <w:trHeight w:val="280"/>
          <w:jc w:val="center"/>
        </w:trPr>
        <w:tc>
          <w:tcPr>
            <w:tcW w:w="799" w:type="pct"/>
            <w:vMerge/>
            <w:tcBorders>
              <w:tl2br w:val="nil"/>
              <w:tr2bl w:val="nil"/>
            </w:tcBorders>
            <w:noWrap/>
            <w:vAlign w:val="center"/>
          </w:tcPr>
          <w:p w14:paraId="5B01AAE5"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6A05FB1D"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短刺四星藻</w:t>
            </w:r>
            <w:r>
              <w:rPr>
                <w:rFonts w:ascii="Times New Roman" w:hAnsi="Times New Roman" w:cs="Times New Roman"/>
                <w:i/>
                <w:iCs/>
                <w:color w:val="000000" w:themeColor="text1"/>
                <w:sz w:val="18"/>
                <w:szCs w:val="18"/>
              </w:rPr>
              <w:t>Tetrastrum staurogeniaeforme</w:t>
            </w:r>
          </w:p>
        </w:tc>
        <w:tc>
          <w:tcPr>
            <w:tcW w:w="362" w:type="pct"/>
            <w:tcBorders>
              <w:tl2br w:val="nil"/>
              <w:tr2bl w:val="nil"/>
            </w:tcBorders>
            <w:vAlign w:val="center"/>
          </w:tcPr>
          <w:p w14:paraId="027F8545"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1285399"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31C02E1"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54A74AAD"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30E8BFFE"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6C1A3163"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06A0CE76" w14:textId="77777777">
        <w:trPr>
          <w:trHeight w:val="280"/>
          <w:jc w:val="center"/>
        </w:trPr>
        <w:tc>
          <w:tcPr>
            <w:tcW w:w="799" w:type="pct"/>
            <w:vMerge/>
            <w:tcBorders>
              <w:tl2br w:val="nil"/>
              <w:tr2bl w:val="nil"/>
            </w:tcBorders>
            <w:noWrap/>
            <w:vAlign w:val="center"/>
          </w:tcPr>
          <w:p w14:paraId="59477619"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258A7A25" w14:textId="77777777" w:rsidR="009D12AF" w:rsidRDefault="00000000">
            <w:pPr>
              <w:ind w:firstLineChars="0" w:firstLine="0"/>
              <w:jc w:val="center"/>
              <w:textAlignment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短棘盘星藻</w:t>
            </w:r>
            <w:r>
              <w:rPr>
                <w:rFonts w:ascii="Times New Roman" w:hAnsi="Times New Roman" w:cs="Times New Roman"/>
                <w:i/>
                <w:iCs/>
                <w:color w:val="000000" w:themeColor="text1"/>
                <w:sz w:val="18"/>
                <w:szCs w:val="18"/>
              </w:rPr>
              <w:t>Pediastrum boryanum</w:t>
            </w:r>
          </w:p>
        </w:tc>
        <w:tc>
          <w:tcPr>
            <w:tcW w:w="362" w:type="pct"/>
            <w:tcBorders>
              <w:tl2br w:val="nil"/>
              <w:tr2bl w:val="nil"/>
            </w:tcBorders>
            <w:vAlign w:val="center"/>
          </w:tcPr>
          <w:p w14:paraId="4C7CA7D8"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53FF178"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611F66ED"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CBC863D"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37769A78"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5C10ABEF"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1D1EDB1D" w14:textId="77777777">
        <w:trPr>
          <w:trHeight w:val="280"/>
          <w:jc w:val="center"/>
        </w:trPr>
        <w:tc>
          <w:tcPr>
            <w:tcW w:w="799" w:type="pct"/>
            <w:vMerge/>
            <w:tcBorders>
              <w:tl2br w:val="nil"/>
              <w:tr2bl w:val="nil"/>
            </w:tcBorders>
            <w:noWrap/>
            <w:vAlign w:val="center"/>
          </w:tcPr>
          <w:p w14:paraId="621D4827"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1865DE5B"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小空星藻</w:t>
            </w:r>
            <w:r>
              <w:rPr>
                <w:rFonts w:ascii="Times New Roman" w:hAnsi="Times New Roman" w:cs="Times New Roman"/>
                <w:i/>
                <w:iCs/>
                <w:color w:val="000000" w:themeColor="text1"/>
                <w:sz w:val="18"/>
                <w:szCs w:val="18"/>
              </w:rPr>
              <w:t>Coelastrum microporum</w:t>
            </w:r>
          </w:p>
        </w:tc>
        <w:tc>
          <w:tcPr>
            <w:tcW w:w="362" w:type="pct"/>
            <w:tcBorders>
              <w:tl2br w:val="nil"/>
              <w:tr2bl w:val="nil"/>
            </w:tcBorders>
            <w:vAlign w:val="center"/>
          </w:tcPr>
          <w:p w14:paraId="171008E6"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5D32301A"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696C3966"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77E2E3BB"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5647696E"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0CA47B67"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4DDF4E40" w14:textId="77777777">
        <w:trPr>
          <w:trHeight w:val="280"/>
          <w:jc w:val="center"/>
        </w:trPr>
        <w:tc>
          <w:tcPr>
            <w:tcW w:w="799" w:type="pct"/>
            <w:vMerge/>
            <w:tcBorders>
              <w:tl2br w:val="nil"/>
              <w:tr2bl w:val="nil"/>
            </w:tcBorders>
            <w:noWrap/>
            <w:vAlign w:val="center"/>
          </w:tcPr>
          <w:p w14:paraId="43C89FF5"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02AD4B3B" w14:textId="77777777" w:rsidR="009D12AF" w:rsidRDefault="00000000">
            <w:pPr>
              <w:ind w:firstLineChars="0" w:firstLine="0"/>
              <w:jc w:val="center"/>
              <w:textAlignment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四尾栅藻</w:t>
            </w:r>
            <w:r>
              <w:rPr>
                <w:rFonts w:ascii="Times New Roman" w:hAnsi="Times New Roman" w:cs="Times New Roman"/>
                <w:i/>
                <w:iCs/>
                <w:color w:val="000000" w:themeColor="text1"/>
                <w:sz w:val="18"/>
                <w:szCs w:val="18"/>
              </w:rPr>
              <w:t>Scenedesmus quadricauda</w:t>
            </w:r>
          </w:p>
        </w:tc>
        <w:tc>
          <w:tcPr>
            <w:tcW w:w="362" w:type="pct"/>
            <w:tcBorders>
              <w:tl2br w:val="nil"/>
              <w:tr2bl w:val="nil"/>
            </w:tcBorders>
            <w:vAlign w:val="center"/>
          </w:tcPr>
          <w:p w14:paraId="4D2BC603"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358480C"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0CD0AE82"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CC362E8"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EB6222B"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1C4994D4"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40D63DC7" w14:textId="77777777">
        <w:trPr>
          <w:trHeight w:val="280"/>
          <w:jc w:val="center"/>
        </w:trPr>
        <w:tc>
          <w:tcPr>
            <w:tcW w:w="799" w:type="pct"/>
            <w:vMerge/>
            <w:tcBorders>
              <w:tl2br w:val="nil"/>
              <w:tr2bl w:val="nil"/>
            </w:tcBorders>
            <w:noWrap/>
            <w:vAlign w:val="center"/>
          </w:tcPr>
          <w:p w14:paraId="0AC9C0CC"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78F619E3" w14:textId="77777777" w:rsidR="009D12AF" w:rsidRDefault="00000000">
            <w:pPr>
              <w:ind w:firstLineChars="0" w:firstLine="0"/>
              <w:jc w:val="center"/>
              <w:textAlignment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二形栅藻</w:t>
            </w:r>
            <w:r>
              <w:rPr>
                <w:rFonts w:ascii="Times New Roman" w:hAnsi="Times New Roman" w:cs="Times New Roman"/>
                <w:i/>
                <w:iCs/>
                <w:color w:val="000000" w:themeColor="text1"/>
                <w:sz w:val="18"/>
                <w:szCs w:val="18"/>
              </w:rPr>
              <w:t>Scenedesmus dimorphus</w:t>
            </w:r>
          </w:p>
        </w:tc>
        <w:tc>
          <w:tcPr>
            <w:tcW w:w="362" w:type="pct"/>
            <w:tcBorders>
              <w:tl2br w:val="nil"/>
              <w:tr2bl w:val="nil"/>
            </w:tcBorders>
            <w:vAlign w:val="center"/>
          </w:tcPr>
          <w:p w14:paraId="144C1A1F"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4692C618"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07C64E5B"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5DB89F0C"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EBA6CB9"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20E9B520"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3B878909" w14:textId="77777777">
        <w:trPr>
          <w:trHeight w:val="280"/>
          <w:jc w:val="center"/>
        </w:trPr>
        <w:tc>
          <w:tcPr>
            <w:tcW w:w="799" w:type="pct"/>
            <w:vMerge/>
            <w:tcBorders>
              <w:tl2br w:val="nil"/>
              <w:tr2bl w:val="nil"/>
            </w:tcBorders>
            <w:noWrap/>
            <w:vAlign w:val="center"/>
          </w:tcPr>
          <w:p w14:paraId="760CDB20"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663F40AD" w14:textId="77777777" w:rsidR="009D12AF" w:rsidRDefault="00000000">
            <w:pPr>
              <w:ind w:firstLineChars="0" w:firstLine="0"/>
              <w:jc w:val="center"/>
              <w:textAlignment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双对栅藻</w:t>
            </w:r>
            <w:r>
              <w:rPr>
                <w:rFonts w:ascii="Times New Roman" w:hAnsi="Times New Roman" w:cs="Times New Roman"/>
                <w:i/>
                <w:iCs/>
                <w:color w:val="000000" w:themeColor="text1"/>
                <w:sz w:val="18"/>
                <w:szCs w:val="18"/>
              </w:rPr>
              <w:t>Scenedesmus bijuga</w:t>
            </w:r>
          </w:p>
        </w:tc>
        <w:tc>
          <w:tcPr>
            <w:tcW w:w="362" w:type="pct"/>
            <w:tcBorders>
              <w:tl2br w:val="nil"/>
              <w:tr2bl w:val="nil"/>
            </w:tcBorders>
            <w:vAlign w:val="center"/>
          </w:tcPr>
          <w:p w14:paraId="23A115F9"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75D4C539"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E9F1EC1"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96BC67A"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76AA139A"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75BF009D"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r>
      <w:tr w:rsidR="009D12AF" w14:paraId="7EEEA6AA" w14:textId="77777777">
        <w:trPr>
          <w:trHeight w:val="280"/>
          <w:jc w:val="center"/>
        </w:trPr>
        <w:tc>
          <w:tcPr>
            <w:tcW w:w="799" w:type="pct"/>
            <w:vMerge/>
            <w:tcBorders>
              <w:tl2br w:val="nil"/>
              <w:tr2bl w:val="nil"/>
            </w:tcBorders>
            <w:noWrap/>
            <w:vAlign w:val="center"/>
          </w:tcPr>
          <w:p w14:paraId="59A0FDCD"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10359205" w14:textId="77777777" w:rsidR="009D12AF" w:rsidRDefault="00000000">
            <w:pPr>
              <w:ind w:firstLineChars="0" w:firstLine="0"/>
              <w:jc w:val="center"/>
              <w:textAlignment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裂孔栅藻</w:t>
            </w:r>
            <w:r>
              <w:rPr>
                <w:rFonts w:ascii="Times New Roman" w:hAnsi="Times New Roman" w:cs="Times New Roman"/>
                <w:i/>
                <w:iCs/>
                <w:color w:val="000000" w:themeColor="text1"/>
                <w:sz w:val="18"/>
                <w:szCs w:val="18"/>
              </w:rPr>
              <w:t>Scenedesmus perforatus</w:t>
            </w:r>
          </w:p>
        </w:tc>
        <w:tc>
          <w:tcPr>
            <w:tcW w:w="362" w:type="pct"/>
            <w:tcBorders>
              <w:tl2br w:val="nil"/>
              <w:tr2bl w:val="nil"/>
            </w:tcBorders>
            <w:vAlign w:val="center"/>
          </w:tcPr>
          <w:p w14:paraId="722F768C"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1E3C38F"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39D2119A"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4AFA13D1"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6D70EB7"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335C81DC"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43B9F26F" w14:textId="77777777">
        <w:trPr>
          <w:trHeight w:val="280"/>
          <w:jc w:val="center"/>
        </w:trPr>
        <w:tc>
          <w:tcPr>
            <w:tcW w:w="799" w:type="pct"/>
            <w:vMerge/>
            <w:tcBorders>
              <w:tl2br w:val="nil"/>
              <w:tr2bl w:val="nil"/>
            </w:tcBorders>
            <w:noWrap/>
            <w:vAlign w:val="center"/>
          </w:tcPr>
          <w:p w14:paraId="247CCE7B"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630A0EF0"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丛毛微胞藻</w:t>
            </w:r>
            <w:r>
              <w:rPr>
                <w:rFonts w:ascii="Times New Roman" w:hAnsi="Times New Roman" w:cs="Times New Roman"/>
                <w:i/>
                <w:iCs/>
                <w:color w:val="000000" w:themeColor="text1"/>
                <w:sz w:val="18"/>
                <w:szCs w:val="18"/>
              </w:rPr>
              <w:t>Microspora floccosa</w:t>
            </w:r>
          </w:p>
        </w:tc>
        <w:tc>
          <w:tcPr>
            <w:tcW w:w="362" w:type="pct"/>
            <w:tcBorders>
              <w:tl2br w:val="nil"/>
              <w:tr2bl w:val="nil"/>
            </w:tcBorders>
            <w:vAlign w:val="center"/>
          </w:tcPr>
          <w:p w14:paraId="13EBE741"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5C1368D3"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6FA95A0A"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4EF02758"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E224298"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3361A314"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1094A4D7" w14:textId="77777777">
        <w:trPr>
          <w:trHeight w:val="280"/>
          <w:jc w:val="center"/>
        </w:trPr>
        <w:tc>
          <w:tcPr>
            <w:tcW w:w="799" w:type="pct"/>
            <w:vMerge/>
            <w:tcBorders>
              <w:tl2br w:val="nil"/>
              <w:tr2bl w:val="nil"/>
            </w:tcBorders>
            <w:noWrap/>
            <w:vAlign w:val="center"/>
          </w:tcPr>
          <w:p w14:paraId="4F9660B1"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5708545F"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丛球韦斯藻</w:t>
            </w:r>
            <w:r>
              <w:rPr>
                <w:rFonts w:ascii="Times New Roman" w:hAnsi="Times New Roman" w:cs="Times New Roman"/>
                <w:i/>
                <w:iCs/>
                <w:color w:val="000000" w:themeColor="text1"/>
                <w:sz w:val="18"/>
                <w:szCs w:val="18"/>
              </w:rPr>
              <w:t>Westella botryoides</w:t>
            </w:r>
          </w:p>
        </w:tc>
        <w:tc>
          <w:tcPr>
            <w:tcW w:w="362" w:type="pct"/>
            <w:tcBorders>
              <w:tl2br w:val="nil"/>
              <w:tr2bl w:val="nil"/>
            </w:tcBorders>
            <w:vAlign w:val="center"/>
          </w:tcPr>
          <w:p w14:paraId="759993D4"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FC92B9F"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39B3321"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74052D96"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05B2C0F7"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35A185BE"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02B241F9" w14:textId="77777777">
        <w:trPr>
          <w:trHeight w:val="280"/>
          <w:jc w:val="center"/>
        </w:trPr>
        <w:tc>
          <w:tcPr>
            <w:tcW w:w="799" w:type="pct"/>
            <w:vMerge/>
            <w:tcBorders>
              <w:tl2br w:val="nil"/>
              <w:tr2bl w:val="nil"/>
            </w:tcBorders>
            <w:noWrap/>
            <w:vAlign w:val="center"/>
          </w:tcPr>
          <w:p w14:paraId="31848547"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43F9BEF9"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单生卵囊藻</w:t>
            </w:r>
            <w:r>
              <w:rPr>
                <w:rFonts w:ascii="Times New Roman" w:hAnsi="Times New Roman" w:cs="Times New Roman"/>
                <w:i/>
                <w:iCs/>
                <w:color w:val="000000" w:themeColor="text1"/>
                <w:sz w:val="18"/>
                <w:szCs w:val="18"/>
              </w:rPr>
              <w:t>Oocystis parva</w:t>
            </w:r>
          </w:p>
        </w:tc>
        <w:tc>
          <w:tcPr>
            <w:tcW w:w="362" w:type="pct"/>
            <w:tcBorders>
              <w:tl2br w:val="nil"/>
              <w:tr2bl w:val="nil"/>
            </w:tcBorders>
            <w:vAlign w:val="center"/>
          </w:tcPr>
          <w:p w14:paraId="5F20298D"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FE6F0EB"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9B55A64"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0D595AEA"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8017968"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2B9B5FAD"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7C49CC60" w14:textId="77777777">
        <w:trPr>
          <w:trHeight w:val="280"/>
          <w:jc w:val="center"/>
        </w:trPr>
        <w:tc>
          <w:tcPr>
            <w:tcW w:w="799" w:type="pct"/>
            <w:vMerge/>
            <w:tcBorders>
              <w:tl2br w:val="nil"/>
              <w:tr2bl w:val="nil"/>
            </w:tcBorders>
            <w:noWrap/>
            <w:vAlign w:val="center"/>
          </w:tcPr>
          <w:p w14:paraId="0B99A3EF"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2032BD54" w14:textId="77777777" w:rsidR="009D12AF" w:rsidRDefault="00000000">
            <w:pPr>
              <w:ind w:firstLineChars="0" w:firstLine="0"/>
              <w:jc w:val="center"/>
              <w:textAlignment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波吉卵囊藻</w:t>
            </w:r>
            <w:r>
              <w:rPr>
                <w:rFonts w:ascii="Times New Roman" w:hAnsi="Times New Roman" w:cs="Times New Roman"/>
                <w:i/>
                <w:iCs/>
                <w:color w:val="000000" w:themeColor="text1"/>
                <w:sz w:val="18"/>
                <w:szCs w:val="18"/>
              </w:rPr>
              <w:t>Oocystis borgei</w:t>
            </w:r>
          </w:p>
        </w:tc>
        <w:tc>
          <w:tcPr>
            <w:tcW w:w="362" w:type="pct"/>
            <w:tcBorders>
              <w:tl2br w:val="nil"/>
              <w:tr2bl w:val="nil"/>
            </w:tcBorders>
            <w:vAlign w:val="center"/>
          </w:tcPr>
          <w:p w14:paraId="5595FE25"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7643BCB3"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FAB0CBA"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013EC0E"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7537635"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77EA8DAB"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r>
      <w:tr w:rsidR="009D12AF" w14:paraId="103BD4C9" w14:textId="77777777">
        <w:trPr>
          <w:trHeight w:val="280"/>
          <w:jc w:val="center"/>
        </w:trPr>
        <w:tc>
          <w:tcPr>
            <w:tcW w:w="799" w:type="pct"/>
            <w:vMerge/>
            <w:tcBorders>
              <w:tl2br w:val="nil"/>
              <w:tr2bl w:val="nil"/>
            </w:tcBorders>
            <w:noWrap/>
            <w:vAlign w:val="center"/>
          </w:tcPr>
          <w:p w14:paraId="36328539"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4B2DA968"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四足十字藻</w:t>
            </w:r>
            <w:r>
              <w:rPr>
                <w:rFonts w:ascii="Times New Roman" w:hAnsi="Times New Roman" w:cs="Times New Roman"/>
                <w:i/>
                <w:iCs/>
                <w:color w:val="000000" w:themeColor="text1"/>
                <w:sz w:val="18"/>
                <w:szCs w:val="18"/>
              </w:rPr>
              <w:t>Crucigenia tetrapedia</w:t>
            </w:r>
          </w:p>
        </w:tc>
        <w:tc>
          <w:tcPr>
            <w:tcW w:w="362" w:type="pct"/>
            <w:tcBorders>
              <w:tl2br w:val="nil"/>
              <w:tr2bl w:val="nil"/>
            </w:tcBorders>
            <w:vAlign w:val="center"/>
          </w:tcPr>
          <w:p w14:paraId="31C8E27C"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2A57183"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000667D"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4A689038"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287197C6"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28D86232"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4972F2F0" w14:textId="77777777">
        <w:trPr>
          <w:trHeight w:val="280"/>
          <w:jc w:val="center"/>
        </w:trPr>
        <w:tc>
          <w:tcPr>
            <w:tcW w:w="799" w:type="pct"/>
            <w:vMerge/>
            <w:tcBorders>
              <w:tl2br w:val="nil"/>
              <w:tr2bl w:val="nil"/>
            </w:tcBorders>
            <w:noWrap/>
            <w:vAlign w:val="center"/>
          </w:tcPr>
          <w:p w14:paraId="625ED478"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6B09FB4C" w14:textId="77777777" w:rsidR="009D12AF" w:rsidRDefault="00000000">
            <w:pPr>
              <w:ind w:firstLineChars="0" w:firstLine="0"/>
              <w:jc w:val="center"/>
              <w:textAlignment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透镜壳衣藻</w:t>
            </w:r>
            <w:r>
              <w:rPr>
                <w:rFonts w:ascii="Times New Roman" w:hAnsi="Times New Roman" w:cs="Times New Roman"/>
                <w:i/>
                <w:iCs/>
                <w:color w:val="000000" w:themeColor="text1"/>
                <w:sz w:val="18"/>
                <w:szCs w:val="18"/>
              </w:rPr>
              <w:t>Phacotus lenticularis</w:t>
            </w:r>
          </w:p>
        </w:tc>
        <w:tc>
          <w:tcPr>
            <w:tcW w:w="362" w:type="pct"/>
            <w:tcBorders>
              <w:tl2br w:val="nil"/>
              <w:tr2bl w:val="nil"/>
            </w:tcBorders>
            <w:vAlign w:val="center"/>
          </w:tcPr>
          <w:p w14:paraId="78FA8E8A"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3F3B2EC2"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5C7D8E3C"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57C671C1"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306F0C5"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6C4FB8D7"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r>
      <w:tr w:rsidR="009D12AF" w14:paraId="126CFEB1" w14:textId="77777777">
        <w:trPr>
          <w:trHeight w:val="280"/>
          <w:jc w:val="center"/>
        </w:trPr>
        <w:tc>
          <w:tcPr>
            <w:tcW w:w="799" w:type="pct"/>
            <w:vMerge/>
            <w:tcBorders>
              <w:tl2br w:val="nil"/>
              <w:tr2bl w:val="nil"/>
            </w:tcBorders>
            <w:noWrap/>
            <w:vAlign w:val="center"/>
          </w:tcPr>
          <w:p w14:paraId="59DEAB24"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4E5868A2" w14:textId="77777777" w:rsidR="009D12AF" w:rsidRDefault="00000000">
            <w:pPr>
              <w:ind w:firstLineChars="0" w:firstLine="0"/>
              <w:jc w:val="center"/>
              <w:textAlignment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硬弓形藻</w:t>
            </w:r>
            <w:r>
              <w:rPr>
                <w:rFonts w:ascii="Times New Roman" w:hAnsi="Times New Roman" w:cs="Times New Roman"/>
                <w:i/>
                <w:iCs/>
                <w:color w:val="000000" w:themeColor="text1"/>
                <w:sz w:val="18"/>
                <w:szCs w:val="18"/>
              </w:rPr>
              <w:t>Schroederia robusta</w:t>
            </w:r>
          </w:p>
        </w:tc>
        <w:tc>
          <w:tcPr>
            <w:tcW w:w="362" w:type="pct"/>
            <w:tcBorders>
              <w:tl2br w:val="nil"/>
              <w:tr2bl w:val="nil"/>
            </w:tcBorders>
            <w:vAlign w:val="center"/>
          </w:tcPr>
          <w:p w14:paraId="30B2DF8D"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5936EFC0"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2B987630"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2FAD653"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3BFCDB2F" w14:textId="77777777" w:rsidR="009D12AF" w:rsidRDefault="00000000">
            <w:pPr>
              <w:ind w:firstLineChars="0" w:firstLine="0"/>
              <w:jc w:val="center"/>
              <w:textAlignment w:val="center"/>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6E717A48" w14:textId="77777777" w:rsidR="009D12AF" w:rsidRDefault="009D12AF">
            <w:pPr>
              <w:ind w:firstLineChars="0" w:firstLine="0"/>
              <w:jc w:val="center"/>
              <w:textAlignment w:val="center"/>
              <w:rPr>
                <w:rFonts w:ascii="Times New Roman" w:hAnsi="Times New Roman" w:cs="Times New Roman"/>
                <w:color w:val="000000" w:themeColor="text1"/>
                <w:sz w:val="18"/>
                <w:szCs w:val="18"/>
                <w:lang w:bidi="ar"/>
              </w:rPr>
            </w:pPr>
          </w:p>
        </w:tc>
      </w:tr>
      <w:tr w:rsidR="009D12AF" w14:paraId="12F7962F" w14:textId="77777777">
        <w:trPr>
          <w:trHeight w:val="280"/>
          <w:jc w:val="center"/>
        </w:trPr>
        <w:tc>
          <w:tcPr>
            <w:tcW w:w="799" w:type="pct"/>
            <w:vMerge/>
            <w:tcBorders>
              <w:tl2br w:val="nil"/>
              <w:tr2bl w:val="nil"/>
            </w:tcBorders>
            <w:noWrap/>
            <w:vAlign w:val="center"/>
          </w:tcPr>
          <w:p w14:paraId="7A737A61"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3B2AD047"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螺旋藻</w:t>
            </w:r>
            <w:r>
              <w:rPr>
                <w:rFonts w:ascii="Times New Roman" w:hAnsi="Times New Roman" w:cs="Times New Roman"/>
                <w:i/>
                <w:iCs/>
                <w:color w:val="000000" w:themeColor="text1"/>
                <w:sz w:val="18"/>
                <w:szCs w:val="18"/>
              </w:rPr>
              <w:t xml:space="preserve">Spirulina </w:t>
            </w:r>
            <w:r>
              <w:rPr>
                <w:rFonts w:ascii="Times New Roman" w:hAnsi="Times New Roman" w:cs="Times New Roman"/>
                <w:color w:val="000000" w:themeColor="text1"/>
                <w:sz w:val="18"/>
                <w:szCs w:val="18"/>
              </w:rPr>
              <w:t>sp.</w:t>
            </w:r>
          </w:p>
        </w:tc>
        <w:tc>
          <w:tcPr>
            <w:tcW w:w="362" w:type="pct"/>
            <w:tcBorders>
              <w:tl2br w:val="nil"/>
              <w:tr2bl w:val="nil"/>
            </w:tcBorders>
            <w:vAlign w:val="center"/>
          </w:tcPr>
          <w:p w14:paraId="74850324"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DD663A1"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4B8F287"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63CF31F"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3B47AA14"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4754957C"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39BC219A" w14:textId="77777777">
        <w:trPr>
          <w:trHeight w:val="280"/>
          <w:jc w:val="center"/>
        </w:trPr>
        <w:tc>
          <w:tcPr>
            <w:tcW w:w="799" w:type="pct"/>
            <w:vMerge/>
            <w:tcBorders>
              <w:tl2br w:val="nil"/>
              <w:tr2bl w:val="nil"/>
            </w:tcBorders>
            <w:noWrap/>
            <w:vAlign w:val="center"/>
          </w:tcPr>
          <w:p w14:paraId="3F493E46"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77E6DBEB"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集星藻</w:t>
            </w:r>
            <w:r>
              <w:rPr>
                <w:rFonts w:ascii="Times New Roman" w:hAnsi="Times New Roman" w:cs="Times New Roman"/>
                <w:i/>
                <w:iCs/>
                <w:color w:val="000000" w:themeColor="text1"/>
                <w:sz w:val="18"/>
                <w:szCs w:val="18"/>
              </w:rPr>
              <w:t>Actinastrum hantzschii</w:t>
            </w:r>
          </w:p>
        </w:tc>
        <w:tc>
          <w:tcPr>
            <w:tcW w:w="362" w:type="pct"/>
            <w:tcBorders>
              <w:tl2br w:val="nil"/>
              <w:tr2bl w:val="nil"/>
            </w:tcBorders>
            <w:vAlign w:val="center"/>
          </w:tcPr>
          <w:p w14:paraId="6E8FB410"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9FBC705"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B0ED25F"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2A97242"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29912F9C"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41DC4126"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0F0C8302" w14:textId="77777777">
        <w:trPr>
          <w:trHeight w:val="290"/>
          <w:jc w:val="center"/>
        </w:trPr>
        <w:tc>
          <w:tcPr>
            <w:tcW w:w="799" w:type="pct"/>
            <w:vMerge w:val="restart"/>
            <w:tcBorders>
              <w:tl2br w:val="nil"/>
              <w:tr2bl w:val="nil"/>
            </w:tcBorders>
            <w:noWrap/>
            <w:vAlign w:val="center"/>
          </w:tcPr>
          <w:p w14:paraId="0161DFC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蓝藻门</w:t>
            </w:r>
          </w:p>
          <w:p w14:paraId="22D265B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Cyanophyta</w:t>
            </w:r>
          </w:p>
        </w:tc>
        <w:tc>
          <w:tcPr>
            <w:tcW w:w="2029" w:type="pct"/>
            <w:tcBorders>
              <w:tl2br w:val="nil"/>
              <w:tr2bl w:val="nil"/>
            </w:tcBorders>
            <w:noWrap/>
            <w:vAlign w:val="center"/>
          </w:tcPr>
          <w:p w14:paraId="7C947BC3"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色球藻</w:t>
            </w:r>
            <w:r>
              <w:rPr>
                <w:rFonts w:ascii="Times New Roman" w:hAnsi="Times New Roman" w:cs="Times New Roman"/>
                <w:i/>
                <w:iCs/>
                <w:color w:val="000000" w:themeColor="text1"/>
                <w:sz w:val="18"/>
                <w:szCs w:val="18"/>
              </w:rPr>
              <w:t xml:space="preserve">Chroococcus </w:t>
            </w:r>
            <w:r>
              <w:rPr>
                <w:rFonts w:ascii="Times New Roman" w:hAnsi="Times New Roman" w:cs="Times New Roman"/>
                <w:color w:val="000000" w:themeColor="text1"/>
                <w:sz w:val="18"/>
                <w:szCs w:val="18"/>
              </w:rPr>
              <w:t>sp.</w:t>
            </w:r>
          </w:p>
        </w:tc>
        <w:tc>
          <w:tcPr>
            <w:tcW w:w="362" w:type="pct"/>
            <w:tcBorders>
              <w:tl2br w:val="nil"/>
              <w:tr2bl w:val="nil"/>
            </w:tcBorders>
            <w:vAlign w:val="center"/>
          </w:tcPr>
          <w:p w14:paraId="675CD738"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FB96CD0"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7904FDD"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654A521"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84FC6A4"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578471BF"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412A76DD" w14:textId="77777777">
        <w:trPr>
          <w:trHeight w:val="280"/>
          <w:jc w:val="center"/>
        </w:trPr>
        <w:tc>
          <w:tcPr>
            <w:tcW w:w="799" w:type="pct"/>
            <w:vMerge/>
            <w:tcBorders>
              <w:tl2br w:val="nil"/>
              <w:tr2bl w:val="nil"/>
            </w:tcBorders>
            <w:noWrap/>
            <w:vAlign w:val="center"/>
          </w:tcPr>
          <w:p w14:paraId="6E0A964D"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2734F91E"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卷曲长孢藻</w:t>
            </w:r>
            <w:r>
              <w:rPr>
                <w:rFonts w:ascii="Times New Roman" w:hAnsi="Times New Roman" w:cs="Times New Roman"/>
                <w:i/>
                <w:iCs/>
                <w:color w:val="000000" w:themeColor="text1"/>
                <w:sz w:val="18"/>
                <w:szCs w:val="18"/>
              </w:rPr>
              <w:t>Dolichospermum circinale</w:t>
            </w:r>
          </w:p>
        </w:tc>
        <w:tc>
          <w:tcPr>
            <w:tcW w:w="362" w:type="pct"/>
            <w:tcBorders>
              <w:tl2br w:val="nil"/>
              <w:tr2bl w:val="nil"/>
            </w:tcBorders>
            <w:vAlign w:val="center"/>
          </w:tcPr>
          <w:p w14:paraId="3645B22A"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AD0CCED"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7526782"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F599DAD"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4C02B935"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1F880B69"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390B9C9C" w14:textId="77777777">
        <w:trPr>
          <w:trHeight w:val="280"/>
          <w:jc w:val="center"/>
        </w:trPr>
        <w:tc>
          <w:tcPr>
            <w:tcW w:w="799" w:type="pct"/>
            <w:vMerge/>
            <w:tcBorders>
              <w:tl2br w:val="nil"/>
              <w:tr2bl w:val="nil"/>
            </w:tcBorders>
            <w:noWrap/>
            <w:vAlign w:val="center"/>
          </w:tcPr>
          <w:p w14:paraId="151ECD36"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59B34AAF"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鞘丝藻</w:t>
            </w:r>
            <w:r>
              <w:rPr>
                <w:rFonts w:ascii="Times New Roman" w:hAnsi="Times New Roman" w:cs="Times New Roman"/>
                <w:i/>
                <w:iCs/>
                <w:color w:val="000000" w:themeColor="text1"/>
                <w:sz w:val="18"/>
                <w:szCs w:val="18"/>
              </w:rPr>
              <w:t xml:space="preserve">Lyngbya </w:t>
            </w:r>
            <w:r>
              <w:rPr>
                <w:rFonts w:ascii="Times New Roman" w:hAnsi="Times New Roman" w:cs="Times New Roman"/>
                <w:color w:val="000000" w:themeColor="text1"/>
                <w:sz w:val="18"/>
                <w:szCs w:val="18"/>
              </w:rPr>
              <w:t>sp.</w:t>
            </w:r>
          </w:p>
        </w:tc>
        <w:tc>
          <w:tcPr>
            <w:tcW w:w="362" w:type="pct"/>
            <w:tcBorders>
              <w:tl2br w:val="nil"/>
              <w:tr2bl w:val="nil"/>
            </w:tcBorders>
            <w:vAlign w:val="center"/>
          </w:tcPr>
          <w:p w14:paraId="4E451302"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4AF72218"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5E3E1EB"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25E96C4"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51CA9EFD"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65423C2E"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67BF3218" w14:textId="77777777">
        <w:trPr>
          <w:trHeight w:val="280"/>
          <w:jc w:val="center"/>
        </w:trPr>
        <w:tc>
          <w:tcPr>
            <w:tcW w:w="799" w:type="pct"/>
            <w:vMerge/>
            <w:tcBorders>
              <w:tl2br w:val="nil"/>
              <w:tr2bl w:val="nil"/>
            </w:tcBorders>
            <w:noWrap/>
            <w:vAlign w:val="center"/>
          </w:tcPr>
          <w:p w14:paraId="0D83D5BB"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15AB1E3C"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细小隐球藻</w:t>
            </w:r>
            <w:r>
              <w:rPr>
                <w:rFonts w:ascii="Times New Roman" w:hAnsi="Times New Roman" w:cs="Times New Roman"/>
                <w:i/>
                <w:iCs/>
                <w:color w:val="000000" w:themeColor="text1"/>
                <w:sz w:val="18"/>
                <w:szCs w:val="18"/>
              </w:rPr>
              <w:t>Aphanocapsa elachista</w:t>
            </w:r>
          </w:p>
        </w:tc>
        <w:tc>
          <w:tcPr>
            <w:tcW w:w="362" w:type="pct"/>
            <w:tcBorders>
              <w:tl2br w:val="nil"/>
              <w:tr2bl w:val="nil"/>
            </w:tcBorders>
            <w:vAlign w:val="center"/>
          </w:tcPr>
          <w:p w14:paraId="60B39938"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509E6BD"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47E5C1FE"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5450053D"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CE5D871"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38AD3461"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012C4455" w14:textId="77777777">
        <w:trPr>
          <w:trHeight w:val="290"/>
          <w:jc w:val="center"/>
        </w:trPr>
        <w:tc>
          <w:tcPr>
            <w:tcW w:w="799" w:type="pct"/>
            <w:vMerge/>
            <w:tcBorders>
              <w:tl2br w:val="nil"/>
              <w:tr2bl w:val="nil"/>
            </w:tcBorders>
            <w:noWrap/>
            <w:vAlign w:val="center"/>
          </w:tcPr>
          <w:p w14:paraId="2CF1C026"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51654E31"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美丽隐球藻</w:t>
            </w:r>
            <w:r>
              <w:rPr>
                <w:rFonts w:ascii="Times New Roman" w:hAnsi="Times New Roman" w:cs="Times New Roman"/>
                <w:i/>
                <w:iCs/>
                <w:color w:val="000000" w:themeColor="text1"/>
                <w:sz w:val="18"/>
                <w:szCs w:val="18"/>
              </w:rPr>
              <w:t>Aphanocapsa elachista</w:t>
            </w:r>
          </w:p>
        </w:tc>
        <w:tc>
          <w:tcPr>
            <w:tcW w:w="362" w:type="pct"/>
            <w:tcBorders>
              <w:tl2br w:val="nil"/>
              <w:tr2bl w:val="nil"/>
            </w:tcBorders>
            <w:vAlign w:val="center"/>
          </w:tcPr>
          <w:p w14:paraId="36758638"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55AAD2B5"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56244B8"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5F30DF3"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86B0B95"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0DA8009D"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3E10F450" w14:textId="77777777">
        <w:trPr>
          <w:trHeight w:val="280"/>
          <w:jc w:val="center"/>
        </w:trPr>
        <w:tc>
          <w:tcPr>
            <w:tcW w:w="799" w:type="pct"/>
            <w:vMerge/>
            <w:tcBorders>
              <w:tl2br w:val="nil"/>
              <w:tr2bl w:val="nil"/>
            </w:tcBorders>
            <w:noWrap/>
            <w:vAlign w:val="center"/>
          </w:tcPr>
          <w:p w14:paraId="1A461453"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0D866469"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隐球藻</w:t>
            </w:r>
            <w:r>
              <w:rPr>
                <w:rFonts w:ascii="Times New Roman" w:hAnsi="Times New Roman" w:cs="Times New Roman"/>
                <w:i/>
                <w:iCs/>
                <w:color w:val="000000" w:themeColor="text1"/>
                <w:sz w:val="18"/>
                <w:szCs w:val="18"/>
              </w:rPr>
              <w:t>Aphanocapsa elachista</w:t>
            </w:r>
          </w:p>
        </w:tc>
        <w:tc>
          <w:tcPr>
            <w:tcW w:w="362" w:type="pct"/>
            <w:tcBorders>
              <w:tl2br w:val="nil"/>
              <w:tr2bl w:val="nil"/>
            </w:tcBorders>
            <w:vAlign w:val="center"/>
          </w:tcPr>
          <w:p w14:paraId="77C6CE38"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20E23A23"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1DD0F48"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38A00A55"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6EB93C29"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5345F691"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1BAA4A8B" w14:textId="77777777">
        <w:trPr>
          <w:trHeight w:val="280"/>
          <w:jc w:val="center"/>
        </w:trPr>
        <w:tc>
          <w:tcPr>
            <w:tcW w:w="799" w:type="pct"/>
            <w:vMerge/>
            <w:tcBorders>
              <w:tl2br w:val="nil"/>
              <w:tr2bl w:val="nil"/>
            </w:tcBorders>
            <w:noWrap/>
            <w:vAlign w:val="center"/>
          </w:tcPr>
          <w:p w14:paraId="2B798086"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6F4457E3"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微小平裂藻</w:t>
            </w:r>
            <w:r>
              <w:rPr>
                <w:rFonts w:ascii="Times New Roman" w:hAnsi="Times New Roman" w:cs="Times New Roman"/>
                <w:i/>
                <w:iCs/>
                <w:color w:val="000000" w:themeColor="text1"/>
                <w:sz w:val="18"/>
                <w:szCs w:val="18"/>
              </w:rPr>
              <w:t>Merismo pedia tenuissima</w:t>
            </w:r>
          </w:p>
        </w:tc>
        <w:tc>
          <w:tcPr>
            <w:tcW w:w="362" w:type="pct"/>
            <w:tcBorders>
              <w:tl2br w:val="nil"/>
              <w:tr2bl w:val="nil"/>
            </w:tcBorders>
            <w:vAlign w:val="center"/>
          </w:tcPr>
          <w:p w14:paraId="2BEC9D0C"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F519952"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873AEF6"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90BFAD8"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BA30464"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57EC3496"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63B87CB5" w14:textId="77777777">
        <w:trPr>
          <w:trHeight w:val="280"/>
          <w:jc w:val="center"/>
        </w:trPr>
        <w:tc>
          <w:tcPr>
            <w:tcW w:w="799" w:type="pct"/>
            <w:vMerge/>
            <w:tcBorders>
              <w:tl2br w:val="nil"/>
              <w:tr2bl w:val="nil"/>
            </w:tcBorders>
            <w:noWrap/>
            <w:vAlign w:val="center"/>
          </w:tcPr>
          <w:p w14:paraId="6EFA671F"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17530C0C"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泽丝藻</w:t>
            </w:r>
            <w:r>
              <w:rPr>
                <w:rFonts w:ascii="Times New Roman" w:hAnsi="Times New Roman" w:cs="Times New Roman"/>
                <w:i/>
                <w:iCs/>
                <w:color w:val="000000" w:themeColor="text1"/>
                <w:sz w:val="18"/>
                <w:szCs w:val="18"/>
              </w:rPr>
              <w:t xml:space="preserve">Limnothrix </w:t>
            </w:r>
            <w:r>
              <w:rPr>
                <w:rFonts w:ascii="Times New Roman" w:hAnsi="Times New Roman" w:cs="Times New Roman"/>
                <w:color w:val="000000" w:themeColor="text1"/>
                <w:sz w:val="18"/>
                <w:szCs w:val="18"/>
              </w:rPr>
              <w:t>sp.</w:t>
            </w:r>
          </w:p>
        </w:tc>
        <w:tc>
          <w:tcPr>
            <w:tcW w:w="362" w:type="pct"/>
            <w:tcBorders>
              <w:tl2br w:val="nil"/>
              <w:tr2bl w:val="nil"/>
            </w:tcBorders>
            <w:vAlign w:val="center"/>
          </w:tcPr>
          <w:p w14:paraId="6801DE88"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AC2EDC3"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32809F7"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212FE15"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DAA2BB2"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745B0AC1"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3498796A" w14:textId="77777777">
        <w:trPr>
          <w:trHeight w:val="290"/>
          <w:jc w:val="center"/>
        </w:trPr>
        <w:tc>
          <w:tcPr>
            <w:tcW w:w="799" w:type="pct"/>
            <w:vMerge/>
            <w:tcBorders>
              <w:tl2br w:val="nil"/>
              <w:tr2bl w:val="nil"/>
            </w:tcBorders>
            <w:noWrap/>
            <w:vAlign w:val="center"/>
          </w:tcPr>
          <w:p w14:paraId="3795097D"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6B99E32A"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念珠藻</w:t>
            </w:r>
            <w:r>
              <w:rPr>
                <w:rFonts w:ascii="Times New Roman" w:hAnsi="Times New Roman" w:cs="Times New Roman"/>
                <w:i/>
                <w:iCs/>
                <w:color w:val="000000" w:themeColor="text1"/>
                <w:sz w:val="18"/>
                <w:szCs w:val="18"/>
              </w:rPr>
              <w:t xml:space="preserve">Nostoc </w:t>
            </w:r>
            <w:r>
              <w:rPr>
                <w:rFonts w:ascii="Times New Roman" w:hAnsi="Times New Roman" w:cs="Times New Roman"/>
                <w:color w:val="000000" w:themeColor="text1"/>
                <w:sz w:val="18"/>
                <w:szCs w:val="18"/>
              </w:rPr>
              <w:t>sp.</w:t>
            </w:r>
          </w:p>
        </w:tc>
        <w:tc>
          <w:tcPr>
            <w:tcW w:w="362" w:type="pct"/>
            <w:tcBorders>
              <w:tl2br w:val="nil"/>
              <w:tr2bl w:val="nil"/>
            </w:tcBorders>
            <w:vAlign w:val="center"/>
          </w:tcPr>
          <w:p w14:paraId="09ACAB89"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403D6230"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DECA6DA"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4AC9C3C0"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9676C53"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4FB3823F"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6E3DF7B5" w14:textId="77777777">
        <w:trPr>
          <w:trHeight w:val="280"/>
          <w:jc w:val="center"/>
        </w:trPr>
        <w:tc>
          <w:tcPr>
            <w:tcW w:w="799" w:type="pct"/>
            <w:vMerge/>
            <w:tcBorders>
              <w:tl2br w:val="nil"/>
              <w:tr2bl w:val="nil"/>
            </w:tcBorders>
            <w:noWrap/>
            <w:vAlign w:val="center"/>
          </w:tcPr>
          <w:p w14:paraId="587698C5"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58CF9F6C"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水华微囊藻</w:t>
            </w:r>
            <w:r>
              <w:rPr>
                <w:rFonts w:ascii="Times New Roman" w:hAnsi="Times New Roman" w:cs="Times New Roman"/>
                <w:i/>
                <w:iCs/>
                <w:color w:val="000000" w:themeColor="text1"/>
                <w:sz w:val="18"/>
                <w:szCs w:val="18"/>
              </w:rPr>
              <w:t>Microcystis flosaquae</w:t>
            </w:r>
          </w:p>
        </w:tc>
        <w:tc>
          <w:tcPr>
            <w:tcW w:w="362" w:type="pct"/>
            <w:tcBorders>
              <w:tl2br w:val="nil"/>
              <w:tr2bl w:val="nil"/>
            </w:tcBorders>
            <w:vAlign w:val="center"/>
          </w:tcPr>
          <w:p w14:paraId="3023D49E"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9A077D4"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4C21F654"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4DF3C716"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C297747"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7DD1A1ED"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68A24B6C" w14:textId="77777777">
        <w:trPr>
          <w:trHeight w:val="280"/>
          <w:jc w:val="center"/>
        </w:trPr>
        <w:tc>
          <w:tcPr>
            <w:tcW w:w="799" w:type="pct"/>
            <w:vMerge/>
            <w:tcBorders>
              <w:tl2br w:val="nil"/>
              <w:tr2bl w:val="nil"/>
            </w:tcBorders>
            <w:noWrap/>
            <w:vAlign w:val="center"/>
          </w:tcPr>
          <w:p w14:paraId="5A54C946"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01BA5947"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小席藻</w:t>
            </w:r>
            <w:r>
              <w:rPr>
                <w:rFonts w:ascii="Times New Roman" w:hAnsi="Times New Roman" w:cs="Times New Roman"/>
                <w:i/>
                <w:iCs/>
                <w:color w:val="000000" w:themeColor="text1"/>
                <w:sz w:val="18"/>
                <w:szCs w:val="18"/>
              </w:rPr>
              <w:t>Phormidium tenue</w:t>
            </w:r>
          </w:p>
        </w:tc>
        <w:tc>
          <w:tcPr>
            <w:tcW w:w="362" w:type="pct"/>
            <w:tcBorders>
              <w:tl2br w:val="nil"/>
              <w:tr2bl w:val="nil"/>
            </w:tcBorders>
            <w:vAlign w:val="center"/>
          </w:tcPr>
          <w:p w14:paraId="64FF99E9"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3CC0646D"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BD97FD7"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20A3792"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D02950E"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671D430E"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3589CA0F" w14:textId="77777777">
        <w:trPr>
          <w:trHeight w:val="280"/>
          <w:jc w:val="center"/>
        </w:trPr>
        <w:tc>
          <w:tcPr>
            <w:tcW w:w="799" w:type="pct"/>
            <w:vMerge/>
            <w:tcBorders>
              <w:tl2br w:val="nil"/>
              <w:tr2bl w:val="nil"/>
            </w:tcBorders>
            <w:noWrap/>
            <w:vAlign w:val="center"/>
          </w:tcPr>
          <w:p w14:paraId="3534582F"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3427D6C5"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拟柱孢藻</w:t>
            </w:r>
            <w:r>
              <w:rPr>
                <w:rFonts w:ascii="Times New Roman" w:hAnsi="Times New Roman" w:cs="Times New Roman"/>
                <w:i/>
                <w:iCs/>
                <w:color w:val="000000" w:themeColor="text1"/>
                <w:sz w:val="18"/>
                <w:szCs w:val="18"/>
              </w:rPr>
              <w:t>Cylindrospermopsis raciborskii</w:t>
            </w:r>
          </w:p>
        </w:tc>
        <w:tc>
          <w:tcPr>
            <w:tcW w:w="362" w:type="pct"/>
            <w:tcBorders>
              <w:tl2br w:val="nil"/>
              <w:tr2bl w:val="nil"/>
            </w:tcBorders>
            <w:vAlign w:val="center"/>
          </w:tcPr>
          <w:p w14:paraId="77671948"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4941D791"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DF7AB9D"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217FB35A"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B104D5A"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7B743E5F"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1F92FF2D" w14:textId="77777777">
        <w:trPr>
          <w:trHeight w:val="280"/>
          <w:jc w:val="center"/>
        </w:trPr>
        <w:tc>
          <w:tcPr>
            <w:tcW w:w="799" w:type="pct"/>
            <w:vMerge w:val="restart"/>
            <w:tcBorders>
              <w:tl2br w:val="nil"/>
              <w:tr2bl w:val="nil"/>
            </w:tcBorders>
            <w:noWrap/>
            <w:vAlign w:val="center"/>
          </w:tcPr>
          <w:p w14:paraId="02196B8F"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裸藻门</w:t>
            </w:r>
          </w:p>
          <w:p w14:paraId="243FF2B7"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Euglenophyta</w:t>
            </w:r>
          </w:p>
        </w:tc>
        <w:tc>
          <w:tcPr>
            <w:tcW w:w="2029" w:type="pct"/>
            <w:tcBorders>
              <w:tl2br w:val="nil"/>
              <w:tr2bl w:val="nil"/>
            </w:tcBorders>
            <w:noWrap/>
            <w:vAlign w:val="center"/>
          </w:tcPr>
          <w:p w14:paraId="444F1EF0"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椭圆鳞孔藻</w:t>
            </w:r>
            <w:r>
              <w:rPr>
                <w:rFonts w:ascii="Times New Roman" w:hAnsi="Times New Roman" w:cs="Times New Roman"/>
                <w:i/>
                <w:iCs/>
                <w:color w:val="000000" w:themeColor="text1"/>
                <w:sz w:val="18"/>
                <w:szCs w:val="18"/>
              </w:rPr>
              <w:t>Lepocinclis steinii</w:t>
            </w:r>
          </w:p>
        </w:tc>
        <w:tc>
          <w:tcPr>
            <w:tcW w:w="362" w:type="pct"/>
            <w:tcBorders>
              <w:tl2br w:val="nil"/>
              <w:tr2bl w:val="nil"/>
            </w:tcBorders>
            <w:vAlign w:val="center"/>
          </w:tcPr>
          <w:p w14:paraId="2A62C078"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97E88EC"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6578A97"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76CC04A"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42198D0E"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69453870"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44EB5612" w14:textId="77777777">
        <w:trPr>
          <w:trHeight w:val="280"/>
          <w:jc w:val="center"/>
        </w:trPr>
        <w:tc>
          <w:tcPr>
            <w:tcW w:w="799" w:type="pct"/>
            <w:vMerge/>
            <w:tcBorders>
              <w:tl2br w:val="nil"/>
              <w:tr2bl w:val="nil"/>
            </w:tcBorders>
            <w:noWrap/>
            <w:vAlign w:val="center"/>
          </w:tcPr>
          <w:p w14:paraId="655416B2"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65F79117"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尾裸藻</w:t>
            </w:r>
            <w:r>
              <w:rPr>
                <w:rFonts w:ascii="Times New Roman" w:hAnsi="Times New Roman" w:cs="Times New Roman"/>
                <w:i/>
                <w:iCs/>
                <w:color w:val="000000" w:themeColor="text1"/>
                <w:sz w:val="18"/>
                <w:szCs w:val="18"/>
              </w:rPr>
              <w:t>Euglena caudata</w:t>
            </w:r>
          </w:p>
        </w:tc>
        <w:tc>
          <w:tcPr>
            <w:tcW w:w="362" w:type="pct"/>
            <w:tcBorders>
              <w:tl2br w:val="nil"/>
              <w:tr2bl w:val="nil"/>
            </w:tcBorders>
            <w:vAlign w:val="center"/>
          </w:tcPr>
          <w:p w14:paraId="658604CE"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17350CA"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FEF3C30"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37E4B902"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5C9A44B6"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254AE2CB"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7DB4A08A" w14:textId="77777777">
        <w:trPr>
          <w:trHeight w:val="280"/>
          <w:jc w:val="center"/>
        </w:trPr>
        <w:tc>
          <w:tcPr>
            <w:tcW w:w="799" w:type="pct"/>
            <w:vMerge/>
            <w:tcBorders>
              <w:tl2br w:val="nil"/>
              <w:tr2bl w:val="nil"/>
            </w:tcBorders>
            <w:noWrap/>
            <w:vAlign w:val="center"/>
          </w:tcPr>
          <w:p w14:paraId="1351BF97"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422FCF89"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鱼形裸藻</w:t>
            </w:r>
            <w:r>
              <w:rPr>
                <w:rFonts w:ascii="Times New Roman" w:hAnsi="Times New Roman" w:cs="Times New Roman"/>
                <w:i/>
                <w:iCs/>
                <w:color w:val="000000" w:themeColor="text1"/>
                <w:sz w:val="18"/>
                <w:szCs w:val="18"/>
              </w:rPr>
              <w:t>Euglena pisciformis</w:t>
            </w:r>
          </w:p>
        </w:tc>
        <w:tc>
          <w:tcPr>
            <w:tcW w:w="362" w:type="pct"/>
            <w:tcBorders>
              <w:tl2br w:val="nil"/>
              <w:tr2bl w:val="nil"/>
            </w:tcBorders>
            <w:vAlign w:val="center"/>
          </w:tcPr>
          <w:p w14:paraId="3F397FC7"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BE7DA4D"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8AE69C1"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461BEA47"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37F7857A"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2DC87170"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174E161F" w14:textId="77777777">
        <w:trPr>
          <w:trHeight w:val="280"/>
          <w:jc w:val="center"/>
        </w:trPr>
        <w:tc>
          <w:tcPr>
            <w:tcW w:w="799" w:type="pct"/>
            <w:vMerge/>
            <w:tcBorders>
              <w:tl2br w:val="nil"/>
              <w:tr2bl w:val="nil"/>
            </w:tcBorders>
            <w:noWrap/>
            <w:vAlign w:val="center"/>
          </w:tcPr>
          <w:p w14:paraId="157FB995"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5FFF4EE3"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多形裸藻</w:t>
            </w:r>
            <w:r>
              <w:rPr>
                <w:rFonts w:ascii="Times New Roman" w:hAnsi="Times New Roman" w:cs="Times New Roman"/>
                <w:i/>
                <w:iCs/>
                <w:color w:val="000000" w:themeColor="text1"/>
                <w:sz w:val="18"/>
                <w:szCs w:val="18"/>
              </w:rPr>
              <w:t>Euglena multiformis</w:t>
            </w:r>
          </w:p>
        </w:tc>
        <w:tc>
          <w:tcPr>
            <w:tcW w:w="362" w:type="pct"/>
            <w:tcBorders>
              <w:tl2br w:val="nil"/>
              <w:tr2bl w:val="nil"/>
            </w:tcBorders>
            <w:vAlign w:val="center"/>
          </w:tcPr>
          <w:p w14:paraId="6082386C"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EBB7EE4"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9FFF419"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B446C46"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3AFAA9BF"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3D4EE904"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61813E3F" w14:textId="77777777">
        <w:trPr>
          <w:trHeight w:val="280"/>
          <w:jc w:val="center"/>
        </w:trPr>
        <w:tc>
          <w:tcPr>
            <w:tcW w:w="799" w:type="pct"/>
            <w:vMerge/>
            <w:tcBorders>
              <w:tl2br w:val="nil"/>
              <w:tr2bl w:val="nil"/>
            </w:tcBorders>
            <w:noWrap/>
            <w:vAlign w:val="center"/>
          </w:tcPr>
          <w:p w14:paraId="29B36AAC"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630FFFEE"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尖尾裸藻</w:t>
            </w:r>
            <w:r>
              <w:rPr>
                <w:rFonts w:ascii="Times New Roman" w:hAnsi="Times New Roman" w:cs="Times New Roman"/>
                <w:i/>
                <w:iCs/>
                <w:color w:val="000000" w:themeColor="text1"/>
                <w:sz w:val="18"/>
                <w:szCs w:val="18"/>
              </w:rPr>
              <w:t>Euglena oxyuris</w:t>
            </w:r>
          </w:p>
        </w:tc>
        <w:tc>
          <w:tcPr>
            <w:tcW w:w="362" w:type="pct"/>
            <w:tcBorders>
              <w:tl2br w:val="nil"/>
              <w:tr2bl w:val="nil"/>
            </w:tcBorders>
            <w:vAlign w:val="center"/>
          </w:tcPr>
          <w:p w14:paraId="77DA372F"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0983EB3B"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24E3F24E"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57D352D5"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11D8D91"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45CCEBDC"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4B53B177" w14:textId="77777777">
        <w:trPr>
          <w:trHeight w:val="280"/>
          <w:jc w:val="center"/>
        </w:trPr>
        <w:tc>
          <w:tcPr>
            <w:tcW w:w="799" w:type="pct"/>
            <w:vMerge/>
            <w:tcBorders>
              <w:tl2br w:val="nil"/>
              <w:tr2bl w:val="nil"/>
            </w:tcBorders>
            <w:noWrap/>
            <w:vAlign w:val="center"/>
          </w:tcPr>
          <w:p w14:paraId="363DE33C"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7F43414C"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糙纹囊裸藻</w:t>
            </w:r>
            <w:r>
              <w:rPr>
                <w:rFonts w:ascii="Times New Roman" w:hAnsi="Times New Roman" w:cs="Times New Roman"/>
                <w:i/>
                <w:iCs/>
                <w:color w:val="000000" w:themeColor="text1"/>
                <w:sz w:val="18"/>
                <w:szCs w:val="18"/>
              </w:rPr>
              <w:t>Trachelomonas scabra</w:t>
            </w:r>
          </w:p>
        </w:tc>
        <w:tc>
          <w:tcPr>
            <w:tcW w:w="362" w:type="pct"/>
            <w:tcBorders>
              <w:tl2br w:val="nil"/>
              <w:tr2bl w:val="nil"/>
            </w:tcBorders>
            <w:vAlign w:val="center"/>
          </w:tcPr>
          <w:p w14:paraId="522CEBE8"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0630152"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13658B2"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6CF55717"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1B1AF090"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738B8AAB"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r>
      <w:tr w:rsidR="009D12AF" w14:paraId="1A03547D" w14:textId="77777777">
        <w:trPr>
          <w:trHeight w:val="280"/>
          <w:jc w:val="center"/>
        </w:trPr>
        <w:tc>
          <w:tcPr>
            <w:tcW w:w="799" w:type="pct"/>
            <w:tcBorders>
              <w:tl2br w:val="nil"/>
              <w:tr2bl w:val="nil"/>
            </w:tcBorders>
            <w:noWrap/>
            <w:vAlign w:val="center"/>
          </w:tcPr>
          <w:p w14:paraId="64CBF912"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黄藻门</w:t>
            </w:r>
          </w:p>
          <w:p w14:paraId="001F1563"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Xanthophyta</w:t>
            </w:r>
          </w:p>
        </w:tc>
        <w:tc>
          <w:tcPr>
            <w:tcW w:w="2029" w:type="pct"/>
            <w:tcBorders>
              <w:tl2br w:val="nil"/>
              <w:tr2bl w:val="nil"/>
            </w:tcBorders>
            <w:noWrap/>
            <w:vAlign w:val="center"/>
          </w:tcPr>
          <w:p w14:paraId="43843561" w14:textId="77777777" w:rsidR="009D12AF" w:rsidRDefault="00000000">
            <w:pPr>
              <w:ind w:firstLineChars="0" w:firstLine="0"/>
              <w:jc w:val="center"/>
              <w:textAlignment w:val="bottom"/>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lang w:bidi="ar"/>
              </w:rPr>
              <w:t>膝口藻</w:t>
            </w:r>
            <w:r>
              <w:rPr>
                <w:rFonts w:ascii="Times New Roman" w:hAnsi="Times New Roman" w:cs="Times New Roman"/>
                <w:i/>
                <w:iCs/>
                <w:color w:val="000000" w:themeColor="text1"/>
                <w:sz w:val="18"/>
                <w:szCs w:val="18"/>
              </w:rPr>
              <w:t xml:space="preserve">Gonyostomum </w:t>
            </w:r>
            <w:r>
              <w:rPr>
                <w:rFonts w:ascii="Times New Roman" w:hAnsi="Times New Roman" w:cs="Times New Roman"/>
                <w:color w:val="000000" w:themeColor="text1"/>
                <w:sz w:val="18"/>
                <w:szCs w:val="18"/>
              </w:rPr>
              <w:t>sp.</w:t>
            </w:r>
          </w:p>
        </w:tc>
        <w:tc>
          <w:tcPr>
            <w:tcW w:w="362" w:type="pct"/>
            <w:tcBorders>
              <w:tl2br w:val="nil"/>
              <w:tr2bl w:val="nil"/>
            </w:tcBorders>
            <w:vAlign w:val="center"/>
          </w:tcPr>
          <w:p w14:paraId="4200AFD8"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2F66BF05"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3BAFC95"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2" w:type="pct"/>
            <w:tcBorders>
              <w:tl2br w:val="nil"/>
              <w:tr2bl w:val="nil"/>
            </w:tcBorders>
            <w:vAlign w:val="center"/>
          </w:tcPr>
          <w:p w14:paraId="0778AAD6"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3B3E8AE4" w14:textId="77777777" w:rsidR="009D12AF" w:rsidRDefault="009D12AF">
            <w:pPr>
              <w:ind w:firstLineChars="0" w:firstLine="0"/>
              <w:jc w:val="center"/>
              <w:textAlignment w:val="bottom"/>
              <w:rPr>
                <w:rFonts w:ascii="Times New Roman" w:hAnsi="Times New Roman" w:cs="Times New Roman"/>
                <w:color w:val="000000" w:themeColor="text1"/>
                <w:sz w:val="18"/>
                <w:szCs w:val="18"/>
                <w:lang w:bidi="ar"/>
              </w:rPr>
            </w:pPr>
          </w:p>
        </w:tc>
        <w:tc>
          <w:tcPr>
            <w:tcW w:w="361" w:type="pct"/>
            <w:tcBorders>
              <w:tl2br w:val="nil"/>
              <w:tr2bl w:val="nil"/>
            </w:tcBorders>
            <w:vAlign w:val="center"/>
          </w:tcPr>
          <w:p w14:paraId="69631AAD" w14:textId="77777777" w:rsidR="009D12AF" w:rsidRDefault="00000000">
            <w:pPr>
              <w:ind w:firstLineChars="0" w:firstLine="0"/>
              <w:jc w:val="center"/>
              <w:textAlignment w:val="bottom"/>
              <w:rPr>
                <w:rFonts w:ascii="Times New Roman" w:hAnsi="Times New Roman" w:cs="Times New Roman"/>
                <w:color w:val="000000" w:themeColor="text1"/>
                <w:sz w:val="18"/>
                <w:szCs w:val="18"/>
                <w:lang w:bidi="ar"/>
              </w:rPr>
            </w:pPr>
            <w:r>
              <w:rPr>
                <w:rFonts w:ascii="Times New Roman" w:hAnsi="Times New Roman" w:cs="Times New Roman"/>
                <w:color w:val="000000" w:themeColor="text1"/>
                <w:sz w:val="18"/>
                <w:szCs w:val="18"/>
              </w:rPr>
              <w:t>+</w:t>
            </w:r>
          </w:p>
        </w:tc>
      </w:tr>
      <w:tr w:rsidR="009D12AF" w14:paraId="5EAE984D" w14:textId="77777777">
        <w:trPr>
          <w:trHeight w:val="280"/>
          <w:jc w:val="center"/>
        </w:trPr>
        <w:tc>
          <w:tcPr>
            <w:tcW w:w="799" w:type="pct"/>
            <w:vMerge w:val="restart"/>
            <w:tcBorders>
              <w:tl2br w:val="nil"/>
              <w:tr2bl w:val="nil"/>
            </w:tcBorders>
            <w:noWrap/>
            <w:vAlign w:val="center"/>
          </w:tcPr>
          <w:p w14:paraId="0CCCF9A2"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隐藻门</w:t>
            </w:r>
          </w:p>
          <w:p w14:paraId="2E91748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Cryptophyta</w:t>
            </w:r>
          </w:p>
        </w:tc>
        <w:tc>
          <w:tcPr>
            <w:tcW w:w="2029" w:type="pct"/>
            <w:tcBorders>
              <w:tl2br w:val="nil"/>
              <w:tr2bl w:val="nil"/>
            </w:tcBorders>
            <w:noWrap/>
            <w:vAlign w:val="center"/>
          </w:tcPr>
          <w:p w14:paraId="1D2F124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卵形隐藻</w:t>
            </w:r>
            <w:r>
              <w:rPr>
                <w:rFonts w:ascii="Times New Roman" w:hAnsi="Times New Roman" w:cs="Times New Roman"/>
                <w:i/>
                <w:iCs/>
                <w:color w:val="000000" w:themeColor="text1"/>
                <w:sz w:val="18"/>
                <w:szCs w:val="18"/>
              </w:rPr>
              <w:t>Cryptomonas ovata</w:t>
            </w:r>
          </w:p>
        </w:tc>
        <w:tc>
          <w:tcPr>
            <w:tcW w:w="362" w:type="pct"/>
            <w:tcBorders>
              <w:tl2br w:val="nil"/>
              <w:tr2bl w:val="nil"/>
            </w:tcBorders>
            <w:vAlign w:val="center"/>
          </w:tcPr>
          <w:p w14:paraId="31DC844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3CBA63B"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66B50ABC"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62" w:type="pct"/>
            <w:tcBorders>
              <w:tl2br w:val="nil"/>
              <w:tr2bl w:val="nil"/>
            </w:tcBorders>
            <w:vAlign w:val="center"/>
          </w:tcPr>
          <w:p w14:paraId="4A69BE5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55B6F21B"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61" w:type="pct"/>
            <w:tcBorders>
              <w:tl2br w:val="nil"/>
              <w:tr2bl w:val="nil"/>
            </w:tcBorders>
            <w:vAlign w:val="center"/>
          </w:tcPr>
          <w:p w14:paraId="6672D6FD"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49369AD5" w14:textId="77777777">
        <w:trPr>
          <w:trHeight w:val="280"/>
          <w:jc w:val="center"/>
        </w:trPr>
        <w:tc>
          <w:tcPr>
            <w:tcW w:w="799" w:type="pct"/>
            <w:vMerge/>
            <w:tcBorders>
              <w:tl2br w:val="nil"/>
              <w:tr2bl w:val="nil"/>
            </w:tcBorders>
            <w:noWrap/>
            <w:vAlign w:val="center"/>
          </w:tcPr>
          <w:p w14:paraId="6B15AD7E"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39ADADB7"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尖尾蓝隐藻</w:t>
            </w:r>
            <w:r>
              <w:rPr>
                <w:rFonts w:ascii="Times New Roman" w:hAnsi="Times New Roman" w:cs="Times New Roman"/>
                <w:i/>
                <w:iCs/>
                <w:color w:val="000000" w:themeColor="text1"/>
                <w:sz w:val="18"/>
                <w:szCs w:val="18"/>
              </w:rPr>
              <w:t>Chroomonas acuta</w:t>
            </w:r>
          </w:p>
        </w:tc>
        <w:tc>
          <w:tcPr>
            <w:tcW w:w="362" w:type="pct"/>
            <w:tcBorders>
              <w:tl2br w:val="nil"/>
              <w:tr2bl w:val="nil"/>
            </w:tcBorders>
            <w:vAlign w:val="center"/>
          </w:tcPr>
          <w:p w14:paraId="56EE1188"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62" w:type="pct"/>
            <w:tcBorders>
              <w:tl2br w:val="nil"/>
              <w:tr2bl w:val="nil"/>
            </w:tcBorders>
            <w:vAlign w:val="center"/>
          </w:tcPr>
          <w:p w14:paraId="06237643"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97C9261"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5B0842E4"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62" w:type="pct"/>
            <w:tcBorders>
              <w:tl2br w:val="nil"/>
              <w:tr2bl w:val="nil"/>
            </w:tcBorders>
            <w:vAlign w:val="center"/>
          </w:tcPr>
          <w:p w14:paraId="66FB12BF"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490B1522"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3F97C418" w14:textId="77777777">
        <w:trPr>
          <w:trHeight w:val="280"/>
          <w:jc w:val="center"/>
        </w:trPr>
        <w:tc>
          <w:tcPr>
            <w:tcW w:w="799" w:type="pct"/>
            <w:vMerge/>
            <w:tcBorders>
              <w:tl2br w:val="nil"/>
              <w:tr2bl w:val="nil"/>
            </w:tcBorders>
            <w:noWrap/>
            <w:vAlign w:val="center"/>
          </w:tcPr>
          <w:p w14:paraId="4EDEC348" w14:textId="77777777" w:rsidR="009D12AF" w:rsidRDefault="009D12AF">
            <w:pPr>
              <w:ind w:firstLineChars="0" w:firstLine="0"/>
              <w:jc w:val="center"/>
              <w:rPr>
                <w:rFonts w:ascii="Times New Roman" w:hAnsi="Times New Roman" w:cs="Times New Roman"/>
                <w:color w:val="000000" w:themeColor="text1"/>
                <w:sz w:val="18"/>
                <w:szCs w:val="18"/>
              </w:rPr>
            </w:pPr>
          </w:p>
        </w:tc>
        <w:tc>
          <w:tcPr>
            <w:tcW w:w="2029" w:type="pct"/>
            <w:tcBorders>
              <w:tl2br w:val="nil"/>
              <w:tr2bl w:val="nil"/>
            </w:tcBorders>
            <w:noWrap/>
            <w:vAlign w:val="center"/>
          </w:tcPr>
          <w:p w14:paraId="52F67C31"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啮蚀隐藻</w:t>
            </w:r>
            <w:r>
              <w:rPr>
                <w:rFonts w:ascii="Times New Roman" w:hAnsi="Times New Roman" w:cs="Times New Roman"/>
                <w:i/>
                <w:iCs/>
                <w:color w:val="000000" w:themeColor="text1"/>
                <w:sz w:val="18"/>
                <w:szCs w:val="18"/>
              </w:rPr>
              <w:t>Cryptomonas ovata</w:t>
            </w:r>
          </w:p>
        </w:tc>
        <w:tc>
          <w:tcPr>
            <w:tcW w:w="362" w:type="pct"/>
            <w:tcBorders>
              <w:tl2br w:val="nil"/>
              <w:tr2bl w:val="nil"/>
            </w:tcBorders>
            <w:vAlign w:val="center"/>
          </w:tcPr>
          <w:p w14:paraId="5507583D"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15D1005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E06DDD4"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62" w:type="pct"/>
            <w:tcBorders>
              <w:tl2br w:val="nil"/>
              <w:tr2bl w:val="nil"/>
            </w:tcBorders>
            <w:vAlign w:val="center"/>
          </w:tcPr>
          <w:p w14:paraId="3878C7C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0C954596"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61" w:type="pct"/>
            <w:tcBorders>
              <w:tl2br w:val="nil"/>
              <w:tr2bl w:val="nil"/>
            </w:tcBorders>
            <w:vAlign w:val="center"/>
          </w:tcPr>
          <w:p w14:paraId="559B3D9E"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41839D7C" w14:textId="77777777">
        <w:trPr>
          <w:trHeight w:val="280"/>
          <w:jc w:val="center"/>
        </w:trPr>
        <w:tc>
          <w:tcPr>
            <w:tcW w:w="799" w:type="pct"/>
            <w:tcBorders>
              <w:tl2br w:val="nil"/>
              <w:tr2bl w:val="nil"/>
            </w:tcBorders>
            <w:noWrap/>
            <w:vAlign w:val="center"/>
          </w:tcPr>
          <w:p w14:paraId="3C4AA39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甲藻门</w:t>
            </w:r>
          </w:p>
          <w:p w14:paraId="167192CC"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Pyrrophyta</w:t>
            </w:r>
          </w:p>
        </w:tc>
        <w:tc>
          <w:tcPr>
            <w:tcW w:w="2029" w:type="pct"/>
            <w:tcBorders>
              <w:tl2br w:val="nil"/>
              <w:tr2bl w:val="nil"/>
            </w:tcBorders>
            <w:noWrap/>
            <w:vAlign w:val="center"/>
          </w:tcPr>
          <w:p w14:paraId="1E195A87"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微小多甲藻</w:t>
            </w:r>
            <w:r>
              <w:rPr>
                <w:rFonts w:ascii="Times New Roman" w:hAnsi="Times New Roman" w:cs="Times New Roman"/>
                <w:i/>
                <w:iCs/>
                <w:color w:val="000000" w:themeColor="text1"/>
                <w:sz w:val="18"/>
                <w:szCs w:val="18"/>
              </w:rPr>
              <w:t>Peridinium pusillum</w:t>
            </w:r>
          </w:p>
        </w:tc>
        <w:tc>
          <w:tcPr>
            <w:tcW w:w="362" w:type="pct"/>
            <w:tcBorders>
              <w:tl2br w:val="nil"/>
              <w:tr2bl w:val="nil"/>
            </w:tcBorders>
            <w:vAlign w:val="center"/>
          </w:tcPr>
          <w:p w14:paraId="4DB2AC4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5A882BAF"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3500B722"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62" w:type="pct"/>
            <w:tcBorders>
              <w:tl2br w:val="nil"/>
              <w:tr2bl w:val="nil"/>
            </w:tcBorders>
            <w:vAlign w:val="center"/>
          </w:tcPr>
          <w:p w14:paraId="777E7607" w14:textId="77777777" w:rsidR="009D12AF" w:rsidRDefault="009D12AF">
            <w:pPr>
              <w:ind w:firstLineChars="0" w:firstLine="0"/>
              <w:jc w:val="center"/>
              <w:rPr>
                <w:rFonts w:ascii="Times New Roman" w:hAnsi="Times New Roman" w:cs="Times New Roman"/>
                <w:color w:val="000000" w:themeColor="text1"/>
                <w:sz w:val="18"/>
                <w:szCs w:val="18"/>
              </w:rPr>
            </w:pPr>
          </w:p>
        </w:tc>
        <w:tc>
          <w:tcPr>
            <w:tcW w:w="362" w:type="pct"/>
            <w:tcBorders>
              <w:tl2br w:val="nil"/>
              <w:tr2bl w:val="nil"/>
            </w:tcBorders>
            <w:vAlign w:val="center"/>
          </w:tcPr>
          <w:p w14:paraId="4982F33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61" w:type="pct"/>
            <w:tcBorders>
              <w:tl2br w:val="nil"/>
              <w:tr2bl w:val="nil"/>
            </w:tcBorders>
            <w:vAlign w:val="center"/>
          </w:tcPr>
          <w:p w14:paraId="3FB94472"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003B29E0" w14:textId="77777777">
        <w:trPr>
          <w:trHeight w:val="280"/>
          <w:jc w:val="center"/>
        </w:trPr>
        <w:tc>
          <w:tcPr>
            <w:tcW w:w="2828" w:type="pct"/>
            <w:gridSpan w:val="2"/>
            <w:tcBorders>
              <w:tl2br w:val="nil"/>
              <w:tr2bl w:val="nil"/>
            </w:tcBorders>
            <w:noWrap/>
            <w:vAlign w:val="center"/>
          </w:tcPr>
          <w:p w14:paraId="713D703E"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合计</w:t>
            </w:r>
          </w:p>
        </w:tc>
        <w:tc>
          <w:tcPr>
            <w:tcW w:w="362" w:type="pct"/>
            <w:tcBorders>
              <w:tl2br w:val="nil"/>
              <w:tr2bl w:val="nil"/>
            </w:tcBorders>
            <w:vAlign w:val="center"/>
          </w:tcPr>
          <w:p w14:paraId="5D07DE5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eastAsia="等线" w:hAnsi="Times New Roman" w:cs="Times New Roman"/>
                <w:color w:val="000000" w:themeColor="text1"/>
                <w:sz w:val="18"/>
                <w:szCs w:val="18"/>
              </w:rPr>
              <w:t>51</w:t>
            </w:r>
          </w:p>
        </w:tc>
        <w:tc>
          <w:tcPr>
            <w:tcW w:w="362" w:type="pct"/>
            <w:tcBorders>
              <w:tl2br w:val="nil"/>
              <w:tr2bl w:val="nil"/>
            </w:tcBorders>
            <w:vAlign w:val="center"/>
          </w:tcPr>
          <w:p w14:paraId="11E91443"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eastAsia="等线" w:hAnsi="Times New Roman" w:cs="Times New Roman"/>
                <w:color w:val="000000" w:themeColor="text1"/>
                <w:sz w:val="18"/>
                <w:szCs w:val="18"/>
              </w:rPr>
              <w:t>41</w:t>
            </w:r>
          </w:p>
        </w:tc>
        <w:tc>
          <w:tcPr>
            <w:tcW w:w="362" w:type="pct"/>
            <w:tcBorders>
              <w:tl2br w:val="nil"/>
              <w:tr2bl w:val="nil"/>
            </w:tcBorders>
            <w:vAlign w:val="center"/>
          </w:tcPr>
          <w:p w14:paraId="35BAF65A"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eastAsia="等线" w:hAnsi="Times New Roman" w:cs="Times New Roman"/>
                <w:color w:val="000000" w:themeColor="text1"/>
                <w:sz w:val="18"/>
                <w:szCs w:val="18"/>
              </w:rPr>
              <w:t>40</w:t>
            </w:r>
          </w:p>
        </w:tc>
        <w:tc>
          <w:tcPr>
            <w:tcW w:w="362" w:type="pct"/>
            <w:tcBorders>
              <w:tl2br w:val="nil"/>
              <w:tr2bl w:val="nil"/>
            </w:tcBorders>
            <w:vAlign w:val="center"/>
          </w:tcPr>
          <w:p w14:paraId="6089B462"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eastAsia="等线" w:hAnsi="Times New Roman" w:cs="Times New Roman"/>
                <w:color w:val="000000" w:themeColor="text1"/>
                <w:sz w:val="18"/>
                <w:szCs w:val="18"/>
              </w:rPr>
              <w:t>46</w:t>
            </w:r>
          </w:p>
        </w:tc>
        <w:tc>
          <w:tcPr>
            <w:tcW w:w="362" w:type="pct"/>
            <w:tcBorders>
              <w:tl2br w:val="nil"/>
              <w:tr2bl w:val="nil"/>
            </w:tcBorders>
            <w:vAlign w:val="center"/>
          </w:tcPr>
          <w:p w14:paraId="1DD9FDB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eastAsia="等线" w:hAnsi="Times New Roman" w:cs="Times New Roman"/>
                <w:color w:val="000000" w:themeColor="text1"/>
                <w:sz w:val="18"/>
                <w:szCs w:val="18"/>
              </w:rPr>
              <w:t>36</w:t>
            </w:r>
          </w:p>
        </w:tc>
        <w:tc>
          <w:tcPr>
            <w:tcW w:w="361" w:type="pct"/>
            <w:tcBorders>
              <w:tl2br w:val="nil"/>
              <w:tr2bl w:val="nil"/>
            </w:tcBorders>
            <w:vAlign w:val="center"/>
          </w:tcPr>
          <w:p w14:paraId="4EE69DA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eastAsia="等线" w:hAnsi="Times New Roman" w:cs="Times New Roman"/>
                <w:color w:val="000000" w:themeColor="text1"/>
                <w:sz w:val="18"/>
                <w:szCs w:val="18"/>
              </w:rPr>
              <w:t>27</w:t>
            </w:r>
          </w:p>
        </w:tc>
      </w:tr>
    </w:tbl>
    <w:p w14:paraId="78C222CE" w14:textId="77777777" w:rsidR="009D12AF" w:rsidRDefault="00000000">
      <w:pPr>
        <w:adjustRightInd w:val="0"/>
        <w:snapToGrid w:val="0"/>
        <w:ind w:firstLine="480"/>
        <w:rPr>
          <w:rFonts w:ascii="Times New Roman" w:hAnsi="Times New Roman" w:cs="Times New Roman"/>
          <w:color w:val="000000" w:themeColor="text1"/>
        </w:rPr>
      </w:pPr>
      <w:r>
        <w:rPr>
          <w:rFonts w:ascii="Times New Roman" w:hAnsi="Times New Roman" w:cs="Times New Roman" w:hint="eastAsia"/>
          <w:color w:val="000000" w:themeColor="text1"/>
        </w:rPr>
        <w:t>2</w:t>
      </w:r>
      <w:r>
        <w:rPr>
          <w:rFonts w:ascii="Times New Roman" w:hAnsi="Times New Roman" w:cs="Times New Roman" w:hint="eastAsia"/>
          <w:color w:val="000000" w:themeColor="text1"/>
        </w:rPr>
        <w:t>、优势及常见种类</w:t>
      </w:r>
    </w:p>
    <w:p w14:paraId="4ABE2E06" w14:textId="77777777" w:rsidR="009D12AF" w:rsidRDefault="00000000">
      <w:pPr>
        <w:adjustRightInd w:val="0"/>
        <w:snapToGrid w:val="0"/>
        <w:ind w:firstLine="480"/>
        <w:rPr>
          <w:rFonts w:ascii="Times New Roman" w:hAnsi="Times New Roman" w:cs="Times New Roman"/>
          <w:color w:val="000000" w:themeColor="text1"/>
        </w:rPr>
      </w:pPr>
      <w:r>
        <w:rPr>
          <w:rFonts w:ascii="Times New Roman" w:hAnsi="Times New Roman" w:cs="Times New Roman"/>
          <w:color w:val="000000" w:themeColor="text1"/>
        </w:rPr>
        <w:t>评价水域不同水库浮游植物优势及常见种类见表</w:t>
      </w:r>
      <w:r>
        <w:rPr>
          <w:rFonts w:ascii="Times New Roman" w:hAnsi="Times New Roman" w:cs="Times New Roman" w:hint="eastAsia"/>
          <w:color w:val="000000" w:themeColor="text1"/>
        </w:rPr>
        <w:t>4.3-34</w:t>
      </w:r>
      <w:r>
        <w:rPr>
          <w:rFonts w:ascii="Times New Roman" w:hAnsi="Times New Roman" w:cs="Times New Roman"/>
          <w:color w:val="000000" w:themeColor="text1"/>
        </w:rPr>
        <w:t>。</w:t>
      </w:r>
    </w:p>
    <w:p w14:paraId="7CF887B3" w14:textId="77777777" w:rsidR="009D12AF" w:rsidRDefault="00000000">
      <w:pPr>
        <w:ind w:firstLineChars="0" w:firstLine="0"/>
        <w:jc w:val="center"/>
      </w:pPr>
      <w:r>
        <w:rPr>
          <w:rFonts w:hint="eastAsia"/>
          <w:b/>
          <w:bCs/>
        </w:rPr>
        <w:t>表</w:t>
      </w:r>
      <w:r>
        <w:rPr>
          <w:rFonts w:hint="eastAsia"/>
          <w:b/>
          <w:bCs/>
        </w:rPr>
        <w:t xml:space="preserve">4.3-34  </w:t>
      </w:r>
      <w:r>
        <w:rPr>
          <w:rFonts w:hint="eastAsia"/>
          <w:b/>
          <w:bCs/>
        </w:rPr>
        <w:t>浮游植物优势及常见种类</w:t>
      </w:r>
    </w:p>
    <w:tbl>
      <w:tblPr>
        <w:tblW w:w="8350"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122"/>
        <w:gridCol w:w="6228"/>
      </w:tblGrid>
      <w:tr w:rsidR="009D12AF" w14:paraId="6FBA214A" w14:textId="77777777">
        <w:trPr>
          <w:trHeight w:val="308"/>
          <w:jc w:val="center"/>
        </w:trPr>
        <w:tc>
          <w:tcPr>
            <w:tcW w:w="2122" w:type="dxa"/>
            <w:tcBorders>
              <w:tl2br w:val="nil"/>
              <w:tr2bl w:val="nil"/>
            </w:tcBorders>
            <w:vAlign w:val="center"/>
          </w:tcPr>
          <w:p w14:paraId="657AD0F7"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水库</w:t>
            </w:r>
          </w:p>
        </w:tc>
        <w:tc>
          <w:tcPr>
            <w:tcW w:w="6228" w:type="dxa"/>
            <w:tcBorders>
              <w:tl2br w:val="nil"/>
              <w:tr2bl w:val="nil"/>
            </w:tcBorders>
            <w:noWrap/>
            <w:vAlign w:val="center"/>
          </w:tcPr>
          <w:p w14:paraId="33AF8626"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优势及常见种类</w:t>
            </w:r>
          </w:p>
        </w:tc>
      </w:tr>
      <w:tr w:rsidR="009D12AF" w14:paraId="10F951CC" w14:textId="77777777">
        <w:trPr>
          <w:trHeight w:val="308"/>
          <w:jc w:val="center"/>
        </w:trPr>
        <w:tc>
          <w:tcPr>
            <w:tcW w:w="2122" w:type="dxa"/>
            <w:tcBorders>
              <w:tl2br w:val="nil"/>
              <w:tr2bl w:val="nil"/>
            </w:tcBorders>
            <w:vAlign w:val="center"/>
          </w:tcPr>
          <w:p w14:paraId="529C0AA5"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莲花水库</w:t>
            </w:r>
          </w:p>
        </w:tc>
        <w:tc>
          <w:tcPr>
            <w:tcW w:w="6228" w:type="dxa"/>
            <w:tcBorders>
              <w:tl2br w:val="nil"/>
              <w:tr2bl w:val="nil"/>
            </w:tcBorders>
            <w:vAlign w:val="center"/>
          </w:tcPr>
          <w:p w14:paraId="47513209" w14:textId="77777777" w:rsidR="009D12AF" w:rsidRDefault="00000000">
            <w:pPr>
              <w:adjustRightInd w:val="0"/>
              <w:snapToGrid w:val="0"/>
              <w:ind w:firstLineChars="0" w:firstLine="0"/>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梅尼小环藻</w:t>
            </w:r>
            <w:r>
              <w:rPr>
                <w:rFonts w:ascii="Times New Roman" w:hAnsi="Times New Roman" w:cs="Times New Roman"/>
                <w:i/>
                <w:iCs/>
                <w:color w:val="000000" w:themeColor="text1"/>
                <w:sz w:val="21"/>
                <w:szCs w:val="21"/>
              </w:rPr>
              <w:t>Cyclotella meneghiniana</w:t>
            </w:r>
            <w:r>
              <w:rPr>
                <w:rFonts w:ascii="Times New Roman" w:hAnsi="Times New Roman" w:cs="Times New Roman"/>
                <w:i/>
                <w:iCs/>
                <w:color w:val="000000" w:themeColor="text1"/>
                <w:sz w:val="21"/>
                <w:szCs w:val="21"/>
              </w:rPr>
              <w:t>、</w:t>
            </w:r>
            <w:r>
              <w:rPr>
                <w:rFonts w:ascii="Times New Roman" w:hAnsi="Times New Roman" w:cs="Times New Roman"/>
                <w:color w:val="000000" w:themeColor="text1"/>
                <w:sz w:val="21"/>
                <w:szCs w:val="21"/>
              </w:rPr>
              <w:t>小球藻</w:t>
            </w:r>
            <w:r>
              <w:rPr>
                <w:rFonts w:ascii="Times New Roman" w:hAnsi="Times New Roman" w:cs="Times New Roman"/>
                <w:i/>
                <w:iCs/>
                <w:color w:val="000000" w:themeColor="text1"/>
                <w:sz w:val="21"/>
                <w:szCs w:val="21"/>
              </w:rPr>
              <w:t>Chlorella vulgaris</w:t>
            </w:r>
            <w:r>
              <w:rPr>
                <w:rFonts w:ascii="Times New Roman" w:hAnsi="Times New Roman" w:cs="Times New Roman"/>
                <w:color w:val="000000" w:themeColor="text1"/>
                <w:sz w:val="21"/>
                <w:szCs w:val="21"/>
              </w:rPr>
              <w:t>、</w:t>
            </w:r>
            <w:r>
              <w:rPr>
                <w:rFonts w:ascii="Times New Roman" w:hAnsi="Times New Roman" w:cs="Times New Roman"/>
                <w:color w:val="000000" w:themeColor="text1"/>
                <w:sz w:val="21"/>
                <w:szCs w:val="21"/>
                <w:lang w:bidi="ar"/>
              </w:rPr>
              <w:t>球衣藻</w:t>
            </w:r>
            <w:r>
              <w:rPr>
                <w:rFonts w:ascii="Times New Roman" w:hAnsi="Times New Roman" w:cs="Times New Roman"/>
                <w:i/>
                <w:iCs/>
                <w:color w:val="000000" w:themeColor="text1"/>
                <w:sz w:val="21"/>
                <w:szCs w:val="21"/>
              </w:rPr>
              <w:t>Chlamydomonas globosa</w:t>
            </w:r>
            <w:r>
              <w:rPr>
                <w:rFonts w:ascii="Times New Roman" w:hAnsi="Times New Roman" w:cs="Times New Roman"/>
                <w:color w:val="000000" w:themeColor="text1"/>
                <w:sz w:val="21"/>
                <w:szCs w:val="21"/>
              </w:rPr>
              <w:t>、卵形衣藻</w:t>
            </w:r>
            <w:r>
              <w:rPr>
                <w:rFonts w:ascii="Times New Roman" w:hAnsi="Times New Roman" w:cs="Times New Roman"/>
                <w:i/>
                <w:iCs/>
                <w:color w:val="000000" w:themeColor="text1"/>
                <w:sz w:val="21"/>
                <w:szCs w:val="21"/>
              </w:rPr>
              <w:t>Chamydomonas ovali</w:t>
            </w:r>
            <w:r>
              <w:rPr>
                <w:rFonts w:ascii="Times New Roman" w:hAnsi="Times New Roman" w:cs="Times New Roman"/>
                <w:color w:val="000000" w:themeColor="text1"/>
                <w:sz w:val="21"/>
                <w:szCs w:val="21"/>
              </w:rPr>
              <w:t>、</w:t>
            </w:r>
            <w:r>
              <w:rPr>
                <w:rFonts w:ascii="Times New Roman" w:hAnsi="Times New Roman" w:cs="Times New Roman"/>
                <w:color w:val="000000" w:themeColor="text1"/>
                <w:sz w:val="21"/>
                <w:szCs w:val="21"/>
                <w:lang w:bidi="ar"/>
              </w:rPr>
              <w:t>球衣藻</w:t>
            </w:r>
            <w:r>
              <w:rPr>
                <w:rFonts w:ascii="Times New Roman" w:hAnsi="Times New Roman" w:cs="Times New Roman"/>
                <w:i/>
                <w:iCs/>
                <w:color w:val="000000" w:themeColor="text1"/>
                <w:sz w:val="21"/>
                <w:szCs w:val="21"/>
              </w:rPr>
              <w:t>Chlamydomonas globosa</w:t>
            </w:r>
            <w:r>
              <w:rPr>
                <w:rFonts w:ascii="Times New Roman" w:hAnsi="Times New Roman" w:cs="Times New Roman"/>
                <w:color w:val="000000" w:themeColor="text1"/>
                <w:sz w:val="21"/>
                <w:szCs w:val="21"/>
              </w:rPr>
              <w:t>、卵形衣藻</w:t>
            </w:r>
            <w:r>
              <w:rPr>
                <w:rFonts w:ascii="Times New Roman" w:hAnsi="Times New Roman" w:cs="Times New Roman"/>
                <w:i/>
                <w:iCs/>
                <w:color w:val="000000" w:themeColor="text1"/>
                <w:sz w:val="21"/>
                <w:szCs w:val="21"/>
              </w:rPr>
              <w:t>Chamydomonas ovalis</w:t>
            </w:r>
            <w:r>
              <w:rPr>
                <w:rFonts w:ascii="Times New Roman" w:hAnsi="Times New Roman" w:cs="Times New Roman"/>
                <w:i/>
                <w:iCs/>
                <w:color w:val="000000" w:themeColor="text1"/>
                <w:sz w:val="21"/>
                <w:szCs w:val="21"/>
              </w:rPr>
              <w:t>、</w:t>
            </w:r>
            <w:r>
              <w:rPr>
                <w:rFonts w:ascii="Times New Roman" w:hAnsi="Times New Roman" w:cs="Times New Roman"/>
                <w:color w:val="000000" w:themeColor="text1"/>
                <w:sz w:val="21"/>
                <w:szCs w:val="21"/>
              </w:rPr>
              <w:t>卵形隐藻</w:t>
            </w:r>
            <w:r>
              <w:rPr>
                <w:rFonts w:ascii="Times New Roman" w:hAnsi="Times New Roman" w:cs="Times New Roman"/>
                <w:i/>
                <w:iCs/>
                <w:color w:val="000000" w:themeColor="text1"/>
                <w:sz w:val="21"/>
                <w:szCs w:val="21"/>
              </w:rPr>
              <w:t>Cryptomonas ovata</w:t>
            </w:r>
          </w:p>
        </w:tc>
      </w:tr>
      <w:tr w:rsidR="009D12AF" w14:paraId="17DA9E88" w14:textId="77777777">
        <w:trPr>
          <w:trHeight w:val="308"/>
          <w:jc w:val="center"/>
        </w:trPr>
        <w:tc>
          <w:tcPr>
            <w:tcW w:w="2122" w:type="dxa"/>
            <w:tcBorders>
              <w:tl2br w:val="nil"/>
              <w:tr2bl w:val="nil"/>
            </w:tcBorders>
            <w:vAlign w:val="center"/>
          </w:tcPr>
          <w:p w14:paraId="47C3C05F"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群力水库</w:t>
            </w:r>
          </w:p>
        </w:tc>
        <w:tc>
          <w:tcPr>
            <w:tcW w:w="6228" w:type="dxa"/>
            <w:tcBorders>
              <w:tl2br w:val="nil"/>
              <w:tr2bl w:val="nil"/>
            </w:tcBorders>
            <w:vAlign w:val="center"/>
          </w:tcPr>
          <w:p w14:paraId="3BB7DE5E" w14:textId="77777777" w:rsidR="009D12AF" w:rsidRDefault="00000000">
            <w:pPr>
              <w:ind w:firstLineChars="0" w:firstLine="0"/>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lang w:bidi="ar"/>
              </w:rPr>
              <w:t>华丽星杆藻</w:t>
            </w:r>
            <w:r>
              <w:rPr>
                <w:rFonts w:ascii="Times New Roman" w:hAnsi="Times New Roman" w:cs="Times New Roman"/>
                <w:i/>
                <w:iCs/>
                <w:color w:val="000000" w:themeColor="text1"/>
                <w:sz w:val="21"/>
                <w:szCs w:val="21"/>
              </w:rPr>
              <w:t>Asterionella formosa</w:t>
            </w:r>
            <w:r>
              <w:rPr>
                <w:rFonts w:ascii="Times New Roman" w:hAnsi="Times New Roman" w:cs="Times New Roman"/>
                <w:color w:val="000000" w:themeColor="text1"/>
                <w:sz w:val="21"/>
                <w:szCs w:val="21"/>
              </w:rPr>
              <w:t>、</w:t>
            </w:r>
            <w:r>
              <w:rPr>
                <w:rFonts w:ascii="Times New Roman" w:hAnsi="Times New Roman" w:cs="Times New Roman"/>
                <w:color w:val="000000" w:themeColor="text1"/>
                <w:sz w:val="21"/>
                <w:szCs w:val="21"/>
                <w:lang w:bidi="ar"/>
              </w:rPr>
              <w:t>球衣藻</w:t>
            </w:r>
            <w:r>
              <w:rPr>
                <w:rFonts w:ascii="Times New Roman" w:hAnsi="Times New Roman" w:cs="Times New Roman"/>
                <w:i/>
                <w:iCs/>
                <w:color w:val="000000" w:themeColor="text1"/>
                <w:sz w:val="21"/>
                <w:szCs w:val="21"/>
              </w:rPr>
              <w:t>Chlamydomonas globosa</w:t>
            </w:r>
            <w:r>
              <w:rPr>
                <w:rFonts w:ascii="Times New Roman" w:hAnsi="Times New Roman" w:cs="Times New Roman"/>
                <w:color w:val="000000" w:themeColor="text1"/>
                <w:sz w:val="21"/>
                <w:szCs w:val="21"/>
              </w:rPr>
              <w:t>、卵形隐藻</w:t>
            </w:r>
            <w:r>
              <w:rPr>
                <w:rFonts w:ascii="Times New Roman" w:hAnsi="Times New Roman" w:cs="Times New Roman"/>
                <w:i/>
                <w:iCs/>
                <w:color w:val="000000" w:themeColor="text1"/>
                <w:sz w:val="21"/>
                <w:szCs w:val="21"/>
              </w:rPr>
              <w:t>Cryptomonas ovata</w:t>
            </w:r>
          </w:p>
        </w:tc>
      </w:tr>
      <w:tr w:rsidR="009D12AF" w14:paraId="062288A9" w14:textId="77777777">
        <w:trPr>
          <w:trHeight w:val="308"/>
          <w:jc w:val="center"/>
        </w:trPr>
        <w:tc>
          <w:tcPr>
            <w:tcW w:w="2122" w:type="dxa"/>
            <w:tcBorders>
              <w:tl2br w:val="nil"/>
              <w:tr2bl w:val="nil"/>
            </w:tcBorders>
            <w:vAlign w:val="center"/>
          </w:tcPr>
          <w:p w14:paraId="39008DD7"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万丈水库</w:t>
            </w:r>
          </w:p>
        </w:tc>
        <w:tc>
          <w:tcPr>
            <w:tcW w:w="6228" w:type="dxa"/>
            <w:tcBorders>
              <w:tl2br w:val="nil"/>
              <w:tr2bl w:val="nil"/>
            </w:tcBorders>
            <w:vAlign w:val="center"/>
          </w:tcPr>
          <w:p w14:paraId="654E410D" w14:textId="77777777" w:rsidR="009D12AF" w:rsidRDefault="00000000">
            <w:pPr>
              <w:ind w:firstLineChars="0" w:firstLine="0"/>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lang w:bidi="ar"/>
              </w:rPr>
              <w:t>尖针杆藻</w:t>
            </w:r>
            <w:r>
              <w:rPr>
                <w:rFonts w:ascii="Times New Roman" w:hAnsi="Times New Roman" w:cs="Times New Roman"/>
                <w:i/>
                <w:iCs/>
                <w:color w:val="000000" w:themeColor="text1"/>
                <w:sz w:val="21"/>
                <w:szCs w:val="21"/>
              </w:rPr>
              <w:t>Synedra acus</w:t>
            </w:r>
            <w:r>
              <w:rPr>
                <w:rFonts w:ascii="Times New Roman" w:hAnsi="Times New Roman" w:cs="Times New Roman"/>
                <w:i/>
                <w:iCs/>
                <w:color w:val="000000" w:themeColor="text1"/>
                <w:sz w:val="21"/>
                <w:szCs w:val="21"/>
              </w:rPr>
              <w:t>、</w:t>
            </w:r>
            <w:r>
              <w:rPr>
                <w:rFonts w:ascii="Times New Roman" w:hAnsi="Times New Roman" w:cs="Times New Roman"/>
                <w:color w:val="000000" w:themeColor="text1"/>
                <w:sz w:val="21"/>
                <w:szCs w:val="21"/>
                <w:lang w:bidi="ar"/>
              </w:rPr>
              <w:t>华丽星杆藻</w:t>
            </w:r>
            <w:r>
              <w:rPr>
                <w:rFonts w:ascii="Times New Roman" w:hAnsi="Times New Roman" w:cs="Times New Roman"/>
                <w:i/>
                <w:iCs/>
                <w:color w:val="000000" w:themeColor="text1"/>
                <w:sz w:val="21"/>
                <w:szCs w:val="21"/>
              </w:rPr>
              <w:t>Asterionella formosa</w:t>
            </w:r>
            <w:r>
              <w:rPr>
                <w:rFonts w:ascii="Times New Roman" w:hAnsi="Times New Roman" w:cs="Times New Roman"/>
                <w:color w:val="000000" w:themeColor="text1"/>
                <w:sz w:val="21"/>
                <w:szCs w:val="21"/>
              </w:rPr>
              <w:t>、小球藻</w:t>
            </w:r>
            <w:r>
              <w:rPr>
                <w:rFonts w:ascii="Times New Roman" w:hAnsi="Times New Roman" w:cs="Times New Roman"/>
                <w:i/>
                <w:iCs/>
                <w:color w:val="000000" w:themeColor="text1"/>
                <w:sz w:val="21"/>
                <w:szCs w:val="21"/>
              </w:rPr>
              <w:lastRenderedPageBreak/>
              <w:t>Chlorella vulgaris</w:t>
            </w:r>
            <w:r>
              <w:rPr>
                <w:rFonts w:ascii="Times New Roman" w:hAnsi="Times New Roman" w:cs="Times New Roman"/>
                <w:color w:val="000000" w:themeColor="text1"/>
                <w:sz w:val="21"/>
                <w:szCs w:val="21"/>
              </w:rPr>
              <w:t>、</w:t>
            </w:r>
            <w:r>
              <w:rPr>
                <w:rFonts w:ascii="Times New Roman" w:hAnsi="Times New Roman" w:cs="Times New Roman"/>
                <w:color w:val="000000" w:themeColor="text1"/>
                <w:sz w:val="21"/>
                <w:szCs w:val="21"/>
                <w:lang w:bidi="ar"/>
              </w:rPr>
              <w:t>球衣藻</w:t>
            </w:r>
            <w:r>
              <w:rPr>
                <w:rFonts w:ascii="Times New Roman" w:hAnsi="Times New Roman" w:cs="Times New Roman"/>
                <w:i/>
                <w:iCs/>
                <w:color w:val="000000" w:themeColor="text1"/>
                <w:sz w:val="21"/>
                <w:szCs w:val="21"/>
              </w:rPr>
              <w:t>Chlamydomonas globosa</w:t>
            </w:r>
            <w:r>
              <w:rPr>
                <w:rFonts w:ascii="Times New Roman" w:hAnsi="Times New Roman" w:cs="Times New Roman"/>
                <w:color w:val="000000" w:themeColor="text1"/>
                <w:sz w:val="21"/>
                <w:szCs w:val="21"/>
              </w:rPr>
              <w:t>、</w:t>
            </w:r>
          </w:p>
        </w:tc>
      </w:tr>
      <w:tr w:rsidR="009D12AF" w14:paraId="71B7CF8F" w14:textId="77777777">
        <w:trPr>
          <w:trHeight w:val="308"/>
          <w:jc w:val="center"/>
        </w:trPr>
        <w:tc>
          <w:tcPr>
            <w:tcW w:w="2122" w:type="dxa"/>
            <w:tcBorders>
              <w:tl2br w:val="nil"/>
              <w:tr2bl w:val="nil"/>
            </w:tcBorders>
            <w:vAlign w:val="center"/>
          </w:tcPr>
          <w:p w14:paraId="75E17550"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lastRenderedPageBreak/>
              <w:t>长石水库</w:t>
            </w:r>
          </w:p>
        </w:tc>
        <w:tc>
          <w:tcPr>
            <w:tcW w:w="6228" w:type="dxa"/>
            <w:tcBorders>
              <w:tl2br w:val="nil"/>
              <w:tr2bl w:val="nil"/>
            </w:tcBorders>
            <w:vAlign w:val="center"/>
          </w:tcPr>
          <w:p w14:paraId="655E678F" w14:textId="77777777" w:rsidR="009D12AF" w:rsidRDefault="00000000">
            <w:pPr>
              <w:ind w:firstLineChars="0" w:firstLine="0"/>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梅尼小环藻</w:t>
            </w:r>
            <w:r>
              <w:rPr>
                <w:rFonts w:ascii="Times New Roman" w:hAnsi="Times New Roman" w:cs="Times New Roman"/>
                <w:i/>
                <w:iCs/>
                <w:color w:val="000000" w:themeColor="text1"/>
                <w:sz w:val="21"/>
                <w:szCs w:val="21"/>
              </w:rPr>
              <w:t>Cyclotella meneghiniana</w:t>
            </w:r>
            <w:r>
              <w:rPr>
                <w:rFonts w:ascii="Times New Roman" w:hAnsi="Times New Roman" w:cs="Times New Roman"/>
                <w:i/>
                <w:iCs/>
                <w:color w:val="000000" w:themeColor="text1"/>
                <w:sz w:val="21"/>
                <w:szCs w:val="21"/>
              </w:rPr>
              <w:t>、</w:t>
            </w:r>
            <w:r>
              <w:rPr>
                <w:rFonts w:ascii="Times New Roman" w:hAnsi="Times New Roman" w:cs="Times New Roman"/>
                <w:color w:val="000000" w:themeColor="text1"/>
                <w:sz w:val="21"/>
                <w:szCs w:val="21"/>
                <w:lang w:bidi="ar"/>
              </w:rPr>
              <w:t>尖针杆藻</w:t>
            </w:r>
            <w:r>
              <w:rPr>
                <w:rFonts w:ascii="Times New Roman" w:hAnsi="Times New Roman" w:cs="Times New Roman"/>
                <w:i/>
                <w:iCs/>
                <w:color w:val="000000" w:themeColor="text1"/>
                <w:sz w:val="21"/>
                <w:szCs w:val="21"/>
              </w:rPr>
              <w:t>Synedra acus</w:t>
            </w:r>
            <w:r>
              <w:rPr>
                <w:rFonts w:ascii="Times New Roman" w:hAnsi="Times New Roman" w:cs="Times New Roman"/>
                <w:i/>
                <w:iCs/>
                <w:color w:val="000000" w:themeColor="text1"/>
                <w:sz w:val="21"/>
                <w:szCs w:val="21"/>
              </w:rPr>
              <w:t>、</w:t>
            </w:r>
            <w:r>
              <w:rPr>
                <w:rFonts w:ascii="Times New Roman" w:hAnsi="Times New Roman" w:cs="Times New Roman"/>
                <w:color w:val="000000" w:themeColor="text1"/>
                <w:sz w:val="21"/>
                <w:szCs w:val="21"/>
                <w:lang w:bidi="ar"/>
              </w:rPr>
              <w:t>华丽星杆藻</w:t>
            </w:r>
            <w:r>
              <w:rPr>
                <w:rFonts w:ascii="Times New Roman" w:hAnsi="Times New Roman" w:cs="Times New Roman"/>
                <w:i/>
                <w:iCs/>
                <w:color w:val="000000" w:themeColor="text1"/>
                <w:sz w:val="21"/>
                <w:szCs w:val="21"/>
              </w:rPr>
              <w:t>Asterionella formosa</w:t>
            </w:r>
            <w:r>
              <w:rPr>
                <w:rFonts w:ascii="Times New Roman" w:hAnsi="Times New Roman" w:cs="Times New Roman"/>
                <w:color w:val="000000" w:themeColor="text1"/>
                <w:sz w:val="21"/>
                <w:szCs w:val="21"/>
              </w:rPr>
              <w:t>、小球藻</w:t>
            </w:r>
            <w:r>
              <w:rPr>
                <w:rFonts w:ascii="Times New Roman" w:hAnsi="Times New Roman" w:cs="Times New Roman"/>
                <w:i/>
                <w:iCs/>
                <w:color w:val="000000" w:themeColor="text1"/>
                <w:sz w:val="21"/>
                <w:szCs w:val="21"/>
              </w:rPr>
              <w:t>Chlorella vulgaris</w:t>
            </w:r>
            <w:r>
              <w:rPr>
                <w:rFonts w:ascii="Times New Roman" w:hAnsi="Times New Roman" w:cs="Times New Roman"/>
                <w:color w:val="000000" w:themeColor="text1"/>
                <w:sz w:val="21"/>
                <w:szCs w:val="21"/>
              </w:rPr>
              <w:t>、卵形衣藻</w:t>
            </w:r>
            <w:r>
              <w:rPr>
                <w:rFonts w:ascii="Times New Roman" w:hAnsi="Times New Roman" w:cs="Times New Roman"/>
                <w:i/>
                <w:iCs/>
                <w:color w:val="000000" w:themeColor="text1"/>
                <w:sz w:val="21"/>
                <w:szCs w:val="21"/>
              </w:rPr>
              <w:t>Chamydomonas ovalis</w:t>
            </w:r>
          </w:p>
        </w:tc>
      </w:tr>
      <w:tr w:rsidR="009D12AF" w14:paraId="596D9726" w14:textId="77777777">
        <w:trPr>
          <w:trHeight w:val="308"/>
          <w:jc w:val="center"/>
        </w:trPr>
        <w:tc>
          <w:tcPr>
            <w:tcW w:w="2122" w:type="dxa"/>
            <w:tcBorders>
              <w:tl2br w:val="nil"/>
              <w:tr2bl w:val="nil"/>
            </w:tcBorders>
            <w:vAlign w:val="center"/>
          </w:tcPr>
          <w:p w14:paraId="33A28F65"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新安晒水池</w:t>
            </w:r>
          </w:p>
        </w:tc>
        <w:tc>
          <w:tcPr>
            <w:tcW w:w="6228" w:type="dxa"/>
            <w:tcBorders>
              <w:tl2br w:val="nil"/>
              <w:tr2bl w:val="nil"/>
            </w:tcBorders>
            <w:vAlign w:val="center"/>
          </w:tcPr>
          <w:p w14:paraId="7E63E5A3" w14:textId="77777777" w:rsidR="009D12AF" w:rsidRDefault="00000000">
            <w:pPr>
              <w:ind w:firstLineChars="0" w:firstLine="0"/>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lang w:bidi="ar"/>
              </w:rPr>
              <w:t>尖针杆藻</w:t>
            </w:r>
            <w:r>
              <w:rPr>
                <w:rFonts w:ascii="Times New Roman" w:hAnsi="Times New Roman" w:cs="Times New Roman"/>
                <w:i/>
                <w:iCs/>
                <w:color w:val="000000" w:themeColor="text1"/>
                <w:sz w:val="21"/>
                <w:szCs w:val="21"/>
              </w:rPr>
              <w:t>Synedra acus</w:t>
            </w:r>
            <w:r>
              <w:rPr>
                <w:rFonts w:ascii="Times New Roman" w:hAnsi="Times New Roman" w:cs="Times New Roman"/>
                <w:i/>
                <w:iCs/>
                <w:color w:val="000000" w:themeColor="text1"/>
                <w:sz w:val="21"/>
                <w:szCs w:val="21"/>
              </w:rPr>
              <w:t>、</w:t>
            </w:r>
            <w:r>
              <w:rPr>
                <w:rFonts w:ascii="Times New Roman" w:hAnsi="Times New Roman" w:cs="Times New Roman"/>
                <w:color w:val="000000" w:themeColor="text1"/>
                <w:sz w:val="21"/>
                <w:szCs w:val="21"/>
                <w:lang w:bidi="ar"/>
              </w:rPr>
              <w:t>华丽星杆藻</w:t>
            </w:r>
            <w:r>
              <w:rPr>
                <w:rFonts w:ascii="Times New Roman" w:hAnsi="Times New Roman" w:cs="Times New Roman"/>
                <w:i/>
                <w:iCs/>
                <w:color w:val="000000" w:themeColor="text1"/>
                <w:sz w:val="21"/>
                <w:szCs w:val="21"/>
              </w:rPr>
              <w:t>Asterionella formosa</w:t>
            </w:r>
            <w:r>
              <w:rPr>
                <w:rFonts w:ascii="Times New Roman" w:hAnsi="Times New Roman" w:cs="Times New Roman"/>
                <w:color w:val="000000" w:themeColor="text1"/>
                <w:sz w:val="21"/>
                <w:szCs w:val="21"/>
              </w:rPr>
              <w:t>、卵形衣藻</w:t>
            </w:r>
            <w:r>
              <w:rPr>
                <w:rFonts w:ascii="Times New Roman" w:hAnsi="Times New Roman" w:cs="Times New Roman"/>
                <w:i/>
                <w:iCs/>
                <w:color w:val="000000" w:themeColor="text1"/>
                <w:sz w:val="21"/>
                <w:szCs w:val="21"/>
              </w:rPr>
              <w:t>Chamydomonas ovalis</w:t>
            </w:r>
            <w:r>
              <w:rPr>
                <w:rFonts w:ascii="Times New Roman" w:hAnsi="Times New Roman" w:cs="Times New Roman"/>
                <w:i/>
                <w:iCs/>
                <w:color w:val="000000" w:themeColor="text1"/>
                <w:sz w:val="21"/>
                <w:szCs w:val="21"/>
              </w:rPr>
              <w:t>、</w:t>
            </w:r>
            <w:r>
              <w:rPr>
                <w:rFonts w:ascii="Times New Roman" w:hAnsi="Times New Roman" w:cs="Times New Roman"/>
                <w:color w:val="000000" w:themeColor="text1"/>
                <w:sz w:val="21"/>
                <w:szCs w:val="21"/>
              </w:rPr>
              <w:t>卵形隐藻</w:t>
            </w:r>
            <w:r>
              <w:rPr>
                <w:rFonts w:ascii="Times New Roman" w:hAnsi="Times New Roman" w:cs="Times New Roman"/>
                <w:i/>
                <w:iCs/>
                <w:color w:val="000000" w:themeColor="text1"/>
                <w:sz w:val="21"/>
                <w:szCs w:val="21"/>
              </w:rPr>
              <w:t>Cryptomonas ovata</w:t>
            </w:r>
          </w:p>
        </w:tc>
      </w:tr>
      <w:tr w:rsidR="009D12AF" w14:paraId="4C16B6BE" w14:textId="77777777">
        <w:trPr>
          <w:trHeight w:val="364"/>
          <w:jc w:val="center"/>
        </w:trPr>
        <w:tc>
          <w:tcPr>
            <w:tcW w:w="2122" w:type="dxa"/>
            <w:tcBorders>
              <w:tl2br w:val="nil"/>
              <w:tr2bl w:val="nil"/>
            </w:tcBorders>
            <w:vAlign w:val="center"/>
          </w:tcPr>
          <w:p w14:paraId="5C4C6D3C"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向阳水电站前池</w:t>
            </w:r>
          </w:p>
        </w:tc>
        <w:tc>
          <w:tcPr>
            <w:tcW w:w="6228" w:type="dxa"/>
            <w:tcBorders>
              <w:tl2br w:val="nil"/>
              <w:tr2bl w:val="nil"/>
            </w:tcBorders>
            <w:vAlign w:val="center"/>
          </w:tcPr>
          <w:p w14:paraId="7B078E3B" w14:textId="77777777" w:rsidR="009D12AF" w:rsidRDefault="00000000">
            <w:pPr>
              <w:ind w:firstLineChars="0" w:firstLine="0"/>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lang w:bidi="ar"/>
              </w:rPr>
              <w:t>华丽星杆藻</w:t>
            </w:r>
            <w:r>
              <w:rPr>
                <w:rFonts w:ascii="Times New Roman" w:hAnsi="Times New Roman" w:cs="Times New Roman"/>
                <w:i/>
                <w:iCs/>
                <w:color w:val="000000" w:themeColor="text1"/>
                <w:sz w:val="21"/>
                <w:szCs w:val="21"/>
              </w:rPr>
              <w:t>Asterionella formosa</w:t>
            </w:r>
            <w:r>
              <w:rPr>
                <w:rFonts w:ascii="Times New Roman" w:hAnsi="Times New Roman" w:cs="Times New Roman"/>
                <w:color w:val="000000" w:themeColor="text1"/>
                <w:sz w:val="21"/>
                <w:szCs w:val="21"/>
              </w:rPr>
              <w:t>、</w:t>
            </w:r>
            <w:r>
              <w:rPr>
                <w:rFonts w:ascii="Times New Roman" w:hAnsi="Times New Roman" w:cs="Times New Roman"/>
                <w:color w:val="000000" w:themeColor="text1"/>
                <w:sz w:val="21"/>
                <w:szCs w:val="21"/>
                <w:lang w:bidi="ar"/>
              </w:rPr>
              <w:t>球衣藻</w:t>
            </w:r>
            <w:r>
              <w:rPr>
                <w:rFonts w:ascii="Times New Roman" w:hAnsi="Times New Roman" w:cs="Times New Roman"/>
                <w:i/>
                <w:iCs/>
                <w:color w:val="000000" w:themeColor="text1"/>
                <w:sz w:val="21"/>
                <w:szCs w:val="21"/>
              </w:rPr>
              <w:t>Chlamydomonas globosa</w:t>
            </w:r>
            <w:r>
              <w:rPr>
                <w:rFonts w:ascii="Times New Roman" w:hAnsi="Times New Roman" w:cs="Times New Roman"/>
                <w:color w:val="000000" w:themeColor="text1"/>
                <w:sz w:val="21"/>
                <w:szCs w:val="21"/>
              </w:rPr>
              <w:t>、水华微囊藻</w:t>
            </w:r>
            <w:r>
              <w:rPr>
                <w:rFonts w:ascii="Times New Roman" w:hAnsi="Times New Roman" w:cs="Times New Roman"/>
                <w:i/>
                <w:iCs/>
                <w:color w:val="000000" w:themeColor="text1"/>
                <w:sz w:val="21"/>
                <w:szCs w:val="21"/>
              </w:rPr>
              <w:t>Microcystis flosaquae</w:t>
            </w:r>
            <w:r>
              <w:rPr>
                <w:rFonts w:ascii="Times New Roman" w:hAnsi="Times New Roman" w:cs="Times New Roman"/>
                <w:color w:val="000000" w:themeColor="text1"/>
                <w:sz w:val="21"/>
                <w:szCs w:val="21"/>
              </w:rPr>
              <w:t>、</w:t>
            </w:r>
          </w:p>
          <w:p w14:paraId="6BE85BCD" w14:textId="77777777" w:rsidR="009D12AF" w:rsidRDefault="00000000">
            <w:pPr>
              <w:ind w:firstLineChars="0" w:firstLine="0"/>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小席藻</w:t>
            </w:r>
            <w:r>
              <w:rPr>
                <w:rFonts w:ascii="Times New Roman" w:hAnsi="Times New Roman" w:cs="Times New Roman"/>
                <w:i/>
                <w:iCs/>
                <w:color w:val="000000" w:themeColor="text1"/>
                <w:sz w:val="21"/>
                <w:szCs w:val="21"/>
              </w:rPr>
              <w:t>Phormidium tenue</w:t>
            </w:r>
          </w:p>
        </w:tc>
      </w:tr>
    </w:tbl>
    <w:p w14:paraId="1E6D66D3"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hint="eastAsia"/>
          <w:color w:val="000000" w:themeColor="text1"/>
        </w:rPr>
        <w:t>3</w:t>
      </w:r>
      <w:r>
        <w:rPr>
          <w:rFonts w:ascii="Times New Roman" w:hAnsi="Times New Roman" w:cs="Times New Roman" w:hint="eastAsia"/>
          <w:color w:val="000000" w:themeColor="text1"/>
        </w:rPr>
        <w:t>、数量</w:t>
      </w:r>
    </w:p>
    <w:p w14:paraId="660E7149"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调查期间，莲花水库浮游植物种类数量均值总计为</w:t>
      </w:r>
      <w:r>
        <w:rPr>
          <w:rFonts w:ascii="Times New Roman" w:eastAsia="等线" w:hAnsi="Times New Roman" w:cs="Times New Roman"/>
          <w:color w:val="000000" w:themeColor="text1"/>
        </w:rPr>
        <w:t>566.20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。以硅藻门密度最高</w:t>
      </w:r>
      <w:r>
        <w:rPr>
          <w:rFonts w:ascii="Times New Roman" w:hAnsi="Times New Roman" w:cs="Times New Roman"/>
          <w:color w:val="000000" w:themeColor="text1"/>
        </w:rPr>
        <w:t>343.20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，绿藻门次之</w:t>
      </w:r>
      <w:r>
        <w:rPr>
          <w:rFonts w:ascii="Times New Roman" w:hAnsi="Times New Roman" w:cs="Times New Roman"/>
          <w:color w:val="000000" w:themeColor="text1"/>
        </w:rPr>
        <w:t>142.73</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，蓝藻门为</w:t>
      </w:r>
      <w:r>
        <w:rPr>
          <w:rFonts w:ascii="Times New Roman" w:hAnsi="Times New Roman" w:cs="Times New Roman"/>
          <w:color w:val="000000" w:themeColor="text1"/>
        </w:rPr>
        <w:t>58.63</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，隐藻门为</w:t>
      </w:r>
      <w:r>
        <w:rPr>
          <w:rFonts w:ascii="Times New Roman" w:hAnsi="Times New Roman" w:cs="Times New Roman"/>
          <w:color w:val="000000" w:themeColor="text1"/>
        </w:rPr>
        <w:t>14.33</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，甲藻门为</w:t>
      </w:r>
      <w:r>
        <w:rPr>
          <w:rFonts w:ascii="Times New Roman" w:hAnsi="Times New Roman" w:cs="Times New Roman"/>
          <w:color w:val="000000" w:themeColor="text1"/>
        </w:rPr>
        <w:t>6.00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，裸藻门为</w:t>
      </w:r>
      <w:r>
        <w:rPr>
          <w:rFonts w:ascii="Times New Roman" w:hAnsi="Times New Roman" w:cs="Times New Roman"/>
          <w:color w:val="000000" w:themeColor="text1"/>
        </w:rPr>
        <w:t>1.03</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，金藻门和黄藻门为</w:t>
      </w:r>
      <w:r>
        <w:rPr>
          <w:rFonts w:ascii="Times New Roman" w:hAnsi="Times New Roman" w:cs="Times New Roman"/>
          <w:color w:val="000000" w:themeColor="text1"/>
        </w:rPr>
        <w:t>0.13</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；群力水库浮游植物种类数量均值总计为</w:t>
      </w:r>
      <w:r>
        <w:rPr>
          <w:rFonts w:ascii="Times New Roman" w:eastAsia="等线" w:hAnsi="Times New Roman" w:cs="Times New Roman"/>
          <w:color w:val="000000" w:themeColor="text1"/>
        </w:rPr>
        <w:t>185.95</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。以绿藻门密度最高</w:t>
      </w:r>
      <w:r>
        <w:rPr>
          <w:rFonts w:ascii="Times New Roman" w:hAnsi="Times New Roman" w:cs="Times New Roman"/>
          <w:color w:val="000000" w:themeColor="text1"/>
        </w:rPr>
        <w:t>117.60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，硅藻门次之</w:t>
      </w:r>
      <w:r>
        <w:rPr>
          <w:rFonts w:ascii="Times New Roman" w:hAnsi="Times New Roman" w:cs="Times New Roman"/>
          <w:color w:val="000000" w:themeColor="text1"/>
        </w:rPr>
        <w:t>49.20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，隐藻门为</w:t>
      </w:r>
      <w:r>
        <w:rPr>
          <w:rFonts w:ascii="Times New Roman" w:hAnsi="Times New Roman" w:cs="Times New Roman"/>
          <w:color w:val="000000" w:themeColor="text1"/>
        </w:rPr>
        <w:t>7.80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，甲藻门为</w:t>
      </w:r>
      <w:r>
        <w:rPr>
          <w:rFonts w:ascii="Times New Roman" w:hAnsi="Times New Roman" w:cs="Times New Roman"/>
          <w:color w:val="000000" w:themeColor="text1"/>
        </w:rPr>
        <w:t>6.00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，蓝藻门为</w:t>
      </w:r>
      <w:r>
        <w:rPr>
          <w:rFonts w:ascii="Times New Roman" w:hAnsi="Times New Roman" w:cs="Times New Roman"/>
          <w:color w:val="000000" w:themeColor="text1"/>
        </w:rPr>
        <w:t>4.80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，裸藻门为</w:t>
      </w:r>
      <w:r>
        <w:rPr>
          <w:rFonts w:ascii="Times New Roman" w:hAnsi="Times New Roman" w:cs="Times New Roman"/>
          <w:color w:val="000000" w:themeColor="text1"/>
        </w:rPr>
        <w:t>0.30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，金藻门和黄藻门为</w:t>
      </w:r>
      <w:r>
        <w:rPr>
          <w:rFonts w:ascii="Times New Roman" w:hAnsi="Times New Roman" w:cs="Times New Roman"/>
          <w:color w:val="000000" w:themeColor="text1"/>
        </w:rPr>
        <w:t>0.10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；万丈水库浮游植物种类数量均值总计为</w:t>
      </w:r>
      <w:r>
        <w:rPr>
          <w:rFonts w:ascii="Times New Roman" w:eastAsia="等线" w:hAnsi="Times New Roman" w:cs="Times New Roman"/>
          <w:color w:val="000000" w:themeColor="text1"/>
        </w:rPr>
        <w:t>375.60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。以蓝藻门密度最高为</w:t>
      </w:r>
      <w:r>
        <w:rPr>
          <w:rFonts w:ascii="Times New Roman" w:hAnsi="Times New Roman" w:cs="Times New Roman"/>
          <w:color w:val="000000" w:themeColor="text1"/>
        </w:rPr>
        <w:t>174.40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，绿藻门次之为</w:t>
      </w:r>
      <w:r>
        <w:rPr>
          <w:rFonts w:ascii="Times New Roman" w:hAnsi="Times New Roman" w:cs="Times New Roman"/>
          <w:color w:val="000000" w:themeColor="text1"/>
        </w:rPr>
        <w:t>160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，隐藻门为</w:t>
      </w:r>
      <w:r>
        <w:rPr>
          <w:rFonts w:ascii="Times New Roman" w:hAnsi="Times New Roman" w:cs="Times New Roman"/>
          <w:color w:val="000000" w:themeColor="text1"/>
        </w:rPr>
        <w:t>16.00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，裸藻门为</w:t>
      </w:r>
      <w:r>
        <w:rPr>
          <w:rFonts w:ascii="Times New Roman" w:hAnsi="Times New Roman" w:cs="Times New Roman"/>
          <w:color w:val="000000" w:themeColor="text1"/>
        </w:rPr>
        <w:t>10.40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，硅藻门</w:t>
      </w:r>
      <w:r>
        <w:rPr>
          <w:rFonts w:ascii="Times New Roman" w:hAnsi="Times New Roman" w:cs="Times New Roman"/>
          <w:color w:val="000000" w:themeColor="text1"/>
        </w:rPr>
        <w:t>8.00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，金藻门为</w:t>
      </w:r>
      <w:r>
        <w:rPr>
          <w:rFonts w:ascii="Times New Roman" w:hAnsi="Times New Roman" w:cs="Times New Roman"/>
          <w:color w:val="000000" w:themeColor="text1"/>
        </w:rPr>
        <w:t>5.60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，甲藻门为</w:t>
      </w:r>
      <w:r>
        <w:rPr>
          <w:rFonts w:ascii="Times New Roman" w:hAnsi="Times New Roman" w:cs="Times New Roman"/>
          <w:color w:val="000000" w:themeColor="text1"/>
        </w:rPr>
        <w:t>1.20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；长石水库浮游植物种类数量均值总计为</w:t>
      </w:r>
      <w:r>
        <w:rPr>
          <w:rFonts w:ascii="Times New Roman" w:eastAsia="等线" w:hAnsi="Times New Roman" w:cs="Times New Roman"/>
          <w:color w:val="000000" w:themeColor="text1"/>
        </w:rPr>
        <w:t>895.20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。以蓝藻门密度最高为</w:t>
      </w:r>
      <w:r>
        <w:rPr>
          <w:rFonts w:ascii="Times New Roman" w:hAnsi="Times New Roman" w:cs="Times New Roman"/>
          <w:color w:val="000000" w:themeColor="text1"/>
        </w:rPr>
        <w:t>448.20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，硅藻门次之为</w:t>
      </w:r>
      <w:r>
        <w:rPr>
          <w:rFonts w:ascii="Times New Roman" w:hAnsi="Times New Roman" w:cs="Times New Roman"/>
          <w:color w:val="000000" w:themeColor="text1"/>
        </w:rPr>
        <w:t>214.20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，绿藻门为</w:t>
      </w:r>
      <w:r>
        <w:rPr>
          <w:rFonts w:ascii="Times New Roman" w:hAnsi="Times New Roman" w:cs="Times New Roman"/>
          <w:color w:val="000000" w:themeColor="text1"/>
        </w:rPr>
        <w:t>207.00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，隐藻门为</w:t>
      </w:r>
      <w:r>
        <w:rPr>
          <w:rFonts w:ascii="Times New Roman" w:hAnsi="Times New Roman" w:cs="Times New Roman"/>
          <w:color w:val="000000" w:themeColor="text1"/>
        </w:rPr>
        <w:t>21.60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，裸藻门和金藻门为</w:t>
      </w:r>
      <w:r>
        <w:rPr>
          <w:rFonts w:ascii="Times New Roman" w:hAnsi="Times New Roman" w:cs="Times New Roman"/>
          <w:color w:val="000000" w:themeColor="text1"/>
        </w:rPr>
        <w:t>1.80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，黄藻门为</w:t>
      </w:r>
      <w:r>
        <w:rPr>
          <w:rFonts w:ascii="Times New Roman" w:hAnsi="Times New Roman" w:cs="Times New Roman"/>
          <w:color w:val="000000" w:themeColor="text1"/>
        </w:rPr>
        <w:t>0.60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；新安晒水池浮游植物种类数量均值总计为</w:t>
      </w:r>
      <w:r>
        <w:rPr>
          <w:rFonts w:ascii="Times New Roman" w:eastAsia="等线" w:hAnsi="Times New Roman" w:cs="Times New Roman"/>
          <w:color w:val="000000" w:themeColor="text1"/>
        </w:rPr>
        <w:t>1059.60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。以蓝藻门密度最高为</w:t>
      </w:r>
      <w:r>
        <w:rPr>
          <w:rFonts w:ascii="Times New Roman" w:hAnsi="Times New Roman" w:cs="Times New Roman"/>
          <w:color w:val="000000" w:themeColor="text1"/>
        </w:rPr>
        <w:t>739.20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，绿藻门次之为</w:t>
      </w:r>
      <w:r>
        <w:rPr>
          <w:rFonts w:ascii="Times New Roman" w:hAnsi="Times New Roman" w:cs="Times New Roman"/>
          <w:color w:val="000000" w:themeColor="text1"/>
        </w:rPr>
        <w:t>157.20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，硅藻门为</w:t>
      </w:r>
      <w:r>
        <w:rPr>
          <w:rFonts w:ascii="Times New Roman" w:hAnsi="Times New Roman" w:cs="Times New Roman"/>
          <w:color w:val="000000" w:themeColor="text1"/>
        </w:rPr>
        <w:t>128.40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，隐藻门为</w:t>
      </w:r>
      <w:r>
        <w:rPr>
          <w:rFonts w:ascii="Times New Roman" w:hAnsi="Times New Roman" w:cs="Times New Roman"/>
          <w:color w:val="000000" w:themeColor="text1"/>
        </w:rPr>
        <w:t>20.40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，裸藻门和金藻门为</w:t>
      </w:r>
      <w:r>
        <w:rPr>
          <w:rFonts w:ascii="Times New Roman" w:hAnsi="Times New Roman" w:cs="Times New Roman"/>
          <w:color w:val="000000" w:themeColor="text1"/>
        </w:rPr>
        <w:t>6.00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；向阳水电站前池浮游植物种类数量均值总计为</w:t>
      </w:r>
      <w:r>
        <w:rPr>
          <w:rFonts w:ascii="Times New Roman" w:eastAsia="等线" w:hAnsi="Times New Roman" w:cs="Times New Roman"/>
          <w:color w:val="000000" w:themeColor="text1"/>
        </w:rPr>
        <w:t>769.20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。以硅藻门密度最高</w:t>
      </w:r>
      <w:r>
        <w:rPr>
          <w:rFonts w:ascii="Times New Roman" w:hAnsi="Times New Roman" w:cs="Times New Roman"/>
          <w:color w:val="000000" w:themeColor="text1"/>
        </w:rPr>
        <w:t>524.40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，绿藻门次之</w:t>
      </w:r>
      <w:r>
        <w:rPr>
          <w:rFonts w:ascii="Times New Roman" w:hAnsi="Times New Roman" w:cs="Times New Roman"/>
          <w:color w:val="000000" w:themeColor="text1"/>
        </w:rPr>
        <w:lastRenderedPageBreak/>
        <w:t>202.80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，蓝藻门为</w:t>
      </w:r>
      <w:r>
        <w:rPr>
          <w:rFonts w:ascii="Times New Roman" w:hAnsi="Times New Roman" w:cs="Times New Roman"/>
          <w:color w:val="000000" w:themeColor="text1"/>
        </w:rPr>
        <w:t>31.20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，隐藻门为</w:t>
      </w:r>
      <w:r>
        <w:rPr>
          <w:rFonts w:ascii="Times New Roman" w:hAnsi="Times New Roman" w:cs="Times New Roman"/>
          <w:color w:val="000000" w:themeColor="text1"/>
        </w:rPr>
        <w:t>7.20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，金藻门为</w:t>
      </w:r>
      <w:r>
        <w:rPr>
          <w:rFonts w:ascii="Times New Roman" w:hAnsi="Times New Roman" w:cs="Times New Roman"/>
          <w:color w:val="000000" w:themeColor="text1"/>
        </w:rPr>
        <w:t>2.40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，黄藻门为</w:t>
      </w:r>
      <w:r>
        <w:rPr>
          <w:rFonts w:ascii="Times New Roman" w:hAnsi="Times New Roman" w:cs="Times New Roman"/>
          <w:color w:val="000000" w:themeColor="text1"/>
        </w:rPr>
        <w:t>1.20</w:t>
      </w:r>
      <w:r>
        <w:rPr>
          <w:rFonts w:ascii="Times New Roman" w:hAnsi="Times New Roman" w:cs="Times New Roman"/>
          <w:b/>
          <w:color w:val="000000" w:themeColor="text1"/>
        </w:rPr>
        <w:t>×</w:t>
      </w:r>
      <w:r>
        <w:rPr>
          <w:rFonts w:ascii="Times New Roman" w:hAnsi="Times New Roman" w:cs="Times New Roman"/>
          <w:color w:val="000000" w:themeColor="text1"/>
        </w:rPr>
        <w:t>10</w:t>
      </w:r>
      <w:r>
        <w:rPr>
          <w:rFonts w:ascii="Times New Roman" w:hAnsi="Times New Roman" w:cs="Times New Roman"/>
          <w:color w:val="000000" w:themeColor="text1"/>
          <w:vertAlign w:val="superscript"/>
        </w:rPr>
        <w:t>4</w:t>
      </w:r>
      <w:r>
        <w:rPr>
          <w:rFonts w:ascii="Times New Roman" w:hAnsi="Times New Roman" w:cs="Times New Roman"/>
          <w:color w:val="000000" w:themeColor="text1"/>
        </w:rPr>
        <w:t>ind./L</w:t>
      </w:r>
      <w:r>
        <w:rPr>
          <w:rFonts w:ascii="Times New Roman" w:hAnsi="Times New Roman" w:cs="Times New Roman"/>
          <w:color w:val="000000" w:themeColor="text1"/>
        </w:rPr>
        <w:t>（图</w:t>
      </w:r>
      <w:r>
        <w:rPr>
          <w:rFonts w:ascii="Times New Roman" w:hAnsi="Times New Roman" w:cs="Times New Roman" w:hint="eastAsia"/>
          <w:color w:val="000000" w:themeColor="text1"/>
        </w:rPr>
        <w:t>4.3-28</w:t>
      </w:r>
      <w:r>
        <w:rPr>
          <w:rFonts w:ascii="Times New Roman" w:hAnsi="Times New Roman" w:cs="Times New Roman"/>
          <w:color w:val="000000" w:themeColor="text1"/>
        </w:rPr>
        <w:t>）。</w:t>
      </w:r>
    </w:p>
    <w:p w14:paraId="531CE60B" w14:textId="77777777" w:rsidR="009D12AF" w:rsidRDefault="00000000">
      <w:pPr>
        <w:ind w:leftChars="-236" w:left="-566" w:rightChars="-378" w:right="-907" w:firstLine="480"/>
        <w:jc w:val="cente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1D785D1B" wp14:editId="2D989D57">
            <wp:extent cx="5274310" cy="2814320"/>
            <wp:effectExtent l="0" t="0" r="2540" b="5080"/>
            <wp:docPr id="220"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形 1"/>
                    <pic:cNvPicPr>
                      <a:picLocks noChangeAspect="1"/>
                    </pic:cNvPicPr>
                  </pic:nvPicPr>
                  <pic:blipFill>
                    <a:blip r:embed="rId82">
                      <a:extLst>
                        <a:ext uri="{96DAC541-7B7A-43D3-8B79-37D633B846F1}">
                          <asvg:svgBlip xmlns:asvg="http://schemas.microsoft.com/office/drawing/2016/SVG/main" r:embed="rId83"/>
                        </a:ext>
                      </a:extLst>
                    </a:blip>
                    <a:stretch>
                      <a:fillRect/>
                    </a:stretch>
                  </pic:blipFill>
                  <pic:spPr>
                    <a:xfrm>
                      <a:off x="0" y="0"/>
                      <a:ext cx="5274310" cy="2814320"/>
                    </a:xfrm>
                    <a:prstGeom prst="rect">
                      <a:avLst/>
                    </a:prstGeom>
                  </pic:spPr>
                </pic:pic>
              </a:graphicData>
            </a:graphic>
          </wp:inline>
        </w:drawing>
      </w:r>
    </w:p>
    <w:p w14:paraId="16B21CC0" w14:textId="77777777" w:rsidR="009D12AF" w:rsidRDefault="00000000">
      <w:pPr>
        <w:ind w:firstLineChars="0" w:firstLine="0"/>
        <w:jc w:val="center"/>
        <w:rPr>
          <w:rFonts w:ascii="Times New Roman" w:eastAsia="黑体" w:hAnsi="Times New Roman" w:cs="Times New Roman"/>
          <w:b/>
          <w:bCs/>
          <w:color w:val="000000" w:themeColor="text1"/>
          <w:sz w:val="21"/>
          <w:szCs w:val="21"/>
        </w:rPr>
      </w:pPr>
      <w:r>
        <w:rPr>
          <w:rFonts w:hint="eastAsia"/>
          <w:b/>
          <w:bCs/>
        </w:rPr>
        <w:t>图</w:t>
      </w:r>
      <w:r>
        <w:rPr>
          <w:rFonts w:hint="eastAsia"/>
          <w:b/>
          <w:bCs/>
        </w:rPr>
        <w:t xml:space="preserve">4.3-28   </w:t>
      </w:r>
      <w:r>
        <w:rPr>
          <w:rFonts w:hint="eastAsia"/>
          <w:b/>
          <w:bCs/>
        </w:rPr>
        <w:t>浮游植物数量组成</w:t>
      </w:r>
    </w:p>
    <w:p w14:paraId="4A05A2AE" w14:textId="77777777" w:rsidR="009D12AF" w:rsidRDefault="00000000">
      <w:pPr>
        <w:ind w:left="960" w:firstLineChars="0" w:firstLine="0"/>
      </w:pPr>
      <w:r>
        <w:rPr>
          <w:rFonts w:hint="eastAsia"/>
        </w:rPr>
        <w:t>4</w:t>
      </w:r>
      <w:r>
        <w:rPr>
          <w:rFonts w:hint="eastAsia"/>
        </w:rPr>
        <w:t>、生物量</w:t>
      </w:r>
    </w:p>
    <w:p w14:paraId="553EB823"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调查期间，莲花水库浮游植物种类数量均值总计为</w:t>
      </w:r>
      <w:r>
        <w:rPr>
          <w:rFonts w:ascii="Times New Roman" w:hAnsi="Times New Roman" w:cs="Times New Roman"/>
          <w:color w:val="000000" w:themeColor="text1"/>
        </w:rPr>
        <w:t>3.052 mg/L</w:t>
      </w:r>
      <w:r>
        <w:rPr>
          <w:rFonts w:ascii="Times New Roman" w:hAnsi="Times New Roman" w:cs="Times New Roman"/>
          <w:color w:val="000000" w:themeColor="text1"/>
        </w:rPr>
        <w:t>。以硅藻门密度最高为</w:t>
      </w:r>
      <w:r>
        <w:rPr>
          <w:rFonts w:ascii="Times New Roman" w:hAnsi="Times New Roman" w:cs="Times New Roman"/>
          <w:color w:val="000000" w:themeColor="text1"/>
        </w:rPr>
        <w:t>2.411mg /L</w:t>
      </w:r>
      <w:r>
        <w:rPr>
          <w:rFonts w:ascii="Times New Roman" w:hAnsi="Times New Roman" w:cs="Times New Roman"/>
          <w:color w:val="000000" w:themeColor="text1"/>
        </w:rPr>
        <w:t>，绿藻门次之</w:t>
      </w:r>
      <w:r>
        <w:rPr>
          <w:rFonts w:ascii="Times New Roman" w:eastAsia="等线" w:hAnsi="Times New Roman" w:cs="Times New Roman"/>
          <w:color w:val="000000" w:themeColor="text1"/>
        </w:rPr>
        <w:t xml:space="preserve">0.315 </w:t>
      </w:r>
      <w:r>
        <w:rPr>
          <w:rFonts w:ascii="Times New Roman" w:hAnsi="Times New Roman" w:cs="Times New Roman"/>
          <w:color w:val="000000" w:themeColor="text1"/>
        </w:rPr>
        <w:t>mg /L</w:t>
      </w:r>
      <w:r>
        <w:rPr>
          <w:rFonts w:ascii="Times New Roman" w:hAnsi="Times New Roman" w:cs="Times New Roman"/>
          <w:color w:val="000000" w:themeColor="text1"/>
        </w:rPr>
        <w:t>，隐藻门为</w:t>
      </w:r>
      <w:r>
        <w:rPr>
          <w:rFonts w:ascii="Times New Roman" w:hAnsi="Times New Roman" w:cs="Times New Roman"/>
          <w:color w:val="000000" w:themeColor="text1"/>
        </w:rPr>
        <w:t>0.286 mg/L</w:t>
      </w:r>
      <w:r>
        <w:rPr>
          <w:rFonts w:ascii="Times New Roman" w:hAnsi="Times New Roman" w:cs="Times New Roman"/>
          <w:color w:val="000000" w:themeColor="text1"/>
        </w:rPr>
        <w:t>，蓝藻门为</w:t>
      </w:r>
      <w:r>
        <w:rPr>
          <w:rFonts w:ascii="Times New Roman" w:hAnsi="Times New Roman" w:cs="Times New Roman"/>
          <w:color w:val="000000" w:themeColor="text1"/>
        </w:rPr>
        <w:t>0.020mg /L</w:t>
      </w:r>
      <w:r>
        <w:rPr>
          <w:rFonts w:ascii="Times New Roman" w:hAnsi="Times New Roman" w:cs="Times New Roman"/>
          <w:color w:val="000000" w:themeColor="text1"/>
        </w:rPr>
        <w:t>，裸藻门为</w:t>
      </w:r>
      <w:r>
        <w:rPr>
          <w:rFonts w:ascii="Times New Roman" w:hAnsi="Times New Roman" w:cs="Times New Roman"/>
          <w:color w:val="000000" w:themeColor="text1"/>
        </w:rPr>
        <w:t>0.011mg /L</w:t>
      </w:r>
      <w:r>
        <w:rPr>
          <w:rFonts w:ascii="Times New Roman" w:hAnsi="Times New Roman" w:cs="Times New Roman"/>
          <w:color w:val="000000" w:themeColor="text1"/>
        </w:rPr>
        <w:t>，甲藻门为</w:t>
      </w:r>
      <w:r>
        <w:rPr>
          <w:rFonts w:ascii="Times New Roman" w:hAnsi="Times New Roman" w:cs="Times New Roman"/>
          <w:color w:val="000000" w:themeColor="text1"/>
        </w:rPr>
        <w:t>0.006 mg/ L</w:t>
      </w:r>
      <w:r>
        <w:rPr>
          <w:rFonts w:ascii="Times New Roman" w:hAnsi="Times New Roman" w:cs="Times New Roman"/>
          <w:color w:val="000000" w:themeColor="text1"/>
        </w:rPr>
        <w:t>，黄藻门为</w:t>
      </w:r>
      <w:r>
        <w:rPr>
          <w:rFonts w:ascii="Times New Roman" w:hAnsi="Times New Roman" w:cs="Times New Roman"/>
          <w:color w:val="000000" w:themeColor="text1"/>
        </w:rPr>
        <w:t>0.001mg/L</w:t>
      </w:r>
      <w:r>
        <w:rPr>
          <w:rFonts w:ascii="Times New Roman" w:hAnsi="Times New Roman" w:cs="Times New Roman"/>
          <w:color w:val="000000" w:themeColor="text1"/>
        </w:rPr>
        <w:t>，金藻门为</w:t>
      </w:r>
      <w:r>
        <w:rPr>
          <w:rFonts w:ascii="Times New Roman" w:hAnsi="Times New Roman" w:cs="Times New Roman"/>
          <w:color w:val="000000" w:themeColor="text1"/>
        </w:rPr>
        <w:t>0.002 mg/L</w:t>
      </w:r>
      <w:r>
        <w:rPr>
          <w:rFonts w:ascii="Times New Roman" w:hAnsi="Times New Roman" w:cs="Times New Roman"/>
          <w:color w:val="000000" w:themeColor="text1"/>
        </w:rPr>
        <w:t>；群力水库浮游植物种类数量均值总计为</w:t>
      </w:r>
      <w:r>
        <w:rPr>
          <w:rFonts w:ascii="Times New Roman" w:hAnsi="Times New Roman" w:cs="Times New Roman"/>
          <w:color w:val="000000" w:themeColor="text1"/>
        </w:rPr>
        <w:t>1.263 mg/L</w:t>
      </w:r>
      <w:r>
        <w:rPr>
          <w:rFonts w:ascii="Times New Roman" w:hAnsi="Times New Roman" w:cs="Times New Roman"/>
          <w:color w:val="000000" w:themeColor="text1"/>
        </w:rPr>
        <w:t>。以绿藻门密度最高</w:t>
      </w:r>
      <w:r>
        <w:rPr>
          <w:rFonts w:ascii="Times New Roman" w:hAnsi="Times New Roman" w:cs="Times New Roman"/>
          <w:color w:val="000000" w:themeColor="text1"/>
        </w:rPr>
        <w:t>0.741 mg /L</w:t>
      </w:r>
      <w:r>
        <w:rPr>
          <w:rFonts w:ascii="Times New Roman" w:hAnsi="Times New Roman" w:cs="Times New Roman"/>
          <w:color w:val="000000" w:themeColor="text1"/>
        </w:rPr>
        <w:t>，硅藻门次之</w:t>
      </w:r>
      <w:r>
        <w:rPr>
          <w:rFonts w:ascii="Times New Roman" w:eastAsia="等线" w:hAnsi="Times New Roman" w:cs="Times New Roman"/>
          <w:color w:val="000000" w:themeColor="text1"/>
        </w:rPr>
        <w:t xml:space="preserve">0.335 </w:t>
      </w:r>
      <w:r>
        <w:rPr>
          <w:rFonts w:ascii="Times New Roman" w:hAnsi="Times New Roman" w:cs="Times New Roman"/>
          <w:color w:val="000000" w:themeColor="text1"/>
        </w:rPr>
        <w:t>mg /L</w:t>
      </w:r>
      <w:r>
        <w:rPr>
          <w:rFonts w:ascii="Times New Roman" w:hAnsi="Times New Roman" w:cs="Times New Roman"/>
          <w:color w:val="000000" w:themeColor="text1"/>
        </w:rPr>
        <w:t>，隐藻门为</w:t>
      </w:r>
      <w:r>
        <w:rPr>
          <w:rFonts w:ascii="Times New Roman" w:hAnsi="Times New Roman" w:cs="Times New Roman"/>
          <w:color w:val="000000" w:themeColor="text1"/>
        </w:rPr>
        <w:t>0.156 mg/L</w:t>
      </w:r>
      <w:r>
        <w:rPr>
          <w:rFonts w:ascii="Times New Roman" w:hAnsi="Times New Roman" w:cs="Times New Roman"/>
          <w:color w:val="000000" w:themeColor="text1"/>
        </w:rPr>
        <w:t>，蓝藻门为</w:t>
      </w:r>
      <w:r>
        <w:rPr>
          <w:rFonts w:ascii="Times New Roman" w:hAnsi="Times New Roman" w:cs="Times New Roman"/>
          <w:color w:val="000000" w:themeColor="text1"/>
        </w:rPr>
        <w:t>0.010mg /L</w:t>
      </w:r>
      <w:r>
        <w:rPr>
          <w:rFonts w:ascii="Times New Roman" w:hAnsi="Times New Roman" w:cs="Times New Roman"/>
          <w:color w:val="000000" w:themeColor="text1"/>
        </w:rPr>
        <w:t>，裸藻门为</w:t>
      </w:r>
      <w:r>
        <w:rPr>
          <w:rFonts w:ascii="Times New Roman" w:hAnsi="Times New Roman" w:cs="Times New Roman"/>
          <w:color w:val="000000" w:themeColor="text1"/>
        </w:rPr>
        <w:t>0.013mg /L</w:t>
      </w:r>
      <w:r>
        <w:rPr>
          <w:rFonts w:ascii="Times New Roman" w:hAnsi="Times New Roman" w:cs="Times New Roman"/>
          <w:color w:val="000000" w:themeColor="text1"/>
        </w:rPr>
        <w:t>，甲藻门为</w:t>
      </w:r>
      <w:r>
        <w:rPr>
          <w:rFonts w:ascii="Times New Roman" w:hAnsi="Times New Roman" w:cs="Times New Roman"/>
          <w:color w:val="000000" w:themeColor="text1"/>
        </w:rPr>
        <w:t>0.006 mg/ L</w:t>
      </w:r>
      <w:r>
        <w:rPr>
          <w:rFonts w:ascii="Times New Roman" w:hAnsi="Times New Roman" w:cs="Times New Roman"/>
          <w:color w:val="000000" w:themeColor="text1"/>
        </w:rPr>
        <w:t>，金藻门为</w:t>
      </w:r>
      <w:r>
        <w:rPr>
          <w:rFonts w:ascii="Times New Roman" w:hAnsi="Times New Roman" w:cs="Times New Roman"/>
          <w:color w:val="000000" w:themeColor="text1"/>
        </w:rPr>
        <w:t>0.002 mg/L</w:t>
      </w:r>
      <w:r>
        <w:rPr>
          <w:rFonts w:ascii="Times New Roman" w:hAnsi="Times New Roman" w:cs="Times New Roman"/>
          <w:color w:val="000000" w:themeColor="text1"/>
        </w:rPr>
        <w:t>；万丈水库浮游植物种类数量均值总计为</w:t>
      </w:r>
      <w:r>
        <w:rPr>
          <w:rFonts w:ascii="Times New Roman" w:hAnsi="Times New Roman" w:cs="Times New Roman"/>
          <w:color w:val="000000" w:themeColor="text1"/>
        </w:rPr>
        <w:t>2.379  mg/L</w:t>
      </w:r>
      <w:r>
        <w:rPr>
          <w:rFonts w:ascii="Times New Roman" w:hAnsi="Times New Roman" w:cs="Times New Roman"/>
          <w:color w:val="000000" w:themeColor="text1"/>
        </w:rPr>
        <w:t>。以绿藻门密度最高</w:t>
      </w:r>
      <w:r>
        <w:rPr>
          <w:rFonts w:ascii="Times New Roman" w:hAnsi="Times New Roman" w:cs="Times New Roman"/>
          <w:color w:val="000000" w:themeColor="text1"/>
        </w:rPr>
        <w:t>1.698 mg /L</w:t>
      </w:r>
      <w:r>
        <w:rPr>
          <w:rFonts w:ascii="Times New Roman" w:hAnsi="Times New Roman" w:cs="Times New Roman"/>
          <w:color w:val="000000" w:themeColor="text1"/>
        </w:rPr>
        <w:t>，隐藻门次之</w:t>
      </w:r>
      <w:r>
        <w:rPr>
          <w:rFonts w:ascii="Times New Roman" w:hAnsi="Times New Roman" w:cs="Times New Roman"/>
          <w:color w:val="000000" w:themeColor="text1"/>
        </w:rPr>
        <w:t>0.269 mg/L</w:t>
      </w:r>
      <w:r>
        <w:rPr>
          <w:rFonts w:ascii="Times New Roman" w:hAnsi="Times New Roman" w:cs="Times New Roman"/>
          <w:color w:val="000000" w:themeColor="text1"/>
        </w:rPr>
        <w:t>，隐藻门为</w:t>
      </w:r>
      <w:r>
        <w:rPr>
          <w:rFonts w:ascii="Times New Roman" w:hAnsi="Times New Roman" w:cs="Times New Roman"/>
          <w:color w:val="000000" w:themeColor="text1"/>
        </w:rPr>
        <w:t>0.267 mg/L</w:t>
      </w:r>
      <w:r>
        <w:rPr>
          <w:rFonts w:ascii="Times New Roman" w:hAnsi="Times New Roman" w:cs="Times New Roman"/>
          <w:color w:val="000000" w:themeColor="text1"/>
        </w:rPr>
        <w:t>，金藻门为</w:t>
      </w:r>
      <w:r>
        <w:rPr>
          <w:rFonts w:ascii="Times New Roman" w:hAnsi="Times New Roman" w:cs="Times New Roman"/>
          <w:color w:val="000000" w:themeColor="text1"/>
        </w:rPr>
        <w:t>0.080 mg/L</w:t>
      </w:r>
      <w:r>
        <w:rPr>
          <w:rFonts w:ascii="Times New Roman" w:hAnsi="Times New Roman" w:cs="Times New Roman"/>
          <w:color w:val="000000" w:themeColor="text1"/>
        </w:rPr>
        <w:t>，硅藻门为</w:t>
      </w:r>
      <w:r>
        <w:rPr>
          <w:rFonts w:ascii="Times New Roman" w:eastAsia="等线" w:hAnsi="Times New Roman" w:cs="Times New Roman"/>
          <w:color w:val="000000" w:themeColor="text1"/>
        </w:rPr>
        <w:t xml:space="preserve">0.044 </w:t>
      </w:r>
      <w:r>
        <w:rPr>
          <w:rFonts w:ascii="Times New Roman" w:hAnsi="Times New Roman" w:cs="Times New Roman"/>
          <w:color w:val="000000" w:themeColor="text1"/>
        </w:rPr>
        <w:t>mg /L</w:t>
      </w:r>
      <w:r>
        <w:rPr>
          <w:rFonts w:ascii="Times New Roman" w:hAnsi="Times New Roman" w:cs="Times New Roman"/>
          <w:color w:val="000000" w:themeColor="text1"/>
        </w:rPr>
        <w:t>，蓝藻门为</w:t>
      </w:r>
      <w:r>
        <w:rPr>
          <w:rFonts w:ascii="Times New Roman" w:hAnsi="Times New Roman" w:cs="Times New Roman"/>
          <w:color w:val="000000" w:themeColor="text1"/>
        </w:rPr>
        <w:t>0.010mg /L</w:t>
      </w:r>
      <w:r>
        <w:rPr>
          <w:rFonts w:ascii="Times New Roman" w:hAnsi="Times New Roman" w:cs="Times New Roman"/>
          <w:color w:val="000000" w:themeColor="text1"/>
        </w:rPr>
        <w:t>，甲藻门为</w:t>
      </w:r>
      <w:r>
        <w:rPr>
          <w:rFonts w:ascii="Times New Roman" w:hAnsi="Times New Roman" w:cs="Times New Roman"/>
          <w:color w:val="000000" w:themeColor="text1"/>
        </w:rPr>
        <w:t>0.001 mg/ L</w:t>
      </w:r>
      <w:r>
        <w:rPr>
          <w:rFonts w:ascii="Times New Roman" w:hAnsi="Times New Roman" w:cs="Times New Roman"/>
          <w:color w:val="000000" w:themeColor="text1"/>
        </w:rPr>
        <w:t>；长石水库浮游植物种类数量均值总计为</w:t>
      </w:r>
      <w:r>
        <w:rPr>
          <w:rFonts w:ascii="Times New Roman" w:hAnsi="Times New Roman" w:cs="Times New Roman"/>
          <w:color w:val="000000" w:themeColor="text1"/>
        </w:rPr>
        <w:t>3.400 mg/L</w:t>
      </w:r>
      <w:r>
        <w:rPr>
          <w:rFonts w:ascii="Times New Roman" w:hAnsi="Times New Roman" w:cs="Times New Roman"/>
          <w:color w:val="000000" w:themeColor="text1"/>
        </w:rPr>
        <w:t>。以硅藻门密度最高</w:t>
      </w:r>
      <w:r>
        <w:rPr>
          <w:rFonts w:ascii="Times New Roman" w:hAnsi="Times New Roman" w:cs="Times New Roman"/>
          <w:color w:val="000000" w:themeColor="text1"/>
        </w:rPr>
        <w:t>1.760 mg /L</w:t>
      </w:r>
      <w:r>
        <w:rPr>
          <w:rFonts w:ascii="Times New Roman" w:hAnsi="Times New Roman" w:cs="Times New Roman"/>
          <w:color w:val="000000" w:themeColor="text1"/>
        </w:rPr>
        <w:t>，绿藻门次之</w:t>
      </w:r>
      <w:r>
        <w:rPr>
          <w:rFonts w:ascii="Times New Roman" w:eastAsia="等线" w:hAnsi="Times New Roman" w:cs="Times New Roman"/>
          <w:color w:val="000000" w:themeColor="text1"/>
        </w:rPr>
        <w:t xml:space="preserve">1.066 </w:t>
      </w:r>
      <w:r>
        <w:rPr>
          <w:rFonts w:ascii="Times New Roman" w:hAnsi="Times New Roman" w:cs="Times New Roman"/>
          <w:color w:val="000000" w:themeColor="text1"/>
        </w:rPr>
        <w:t>mg /L</w:t>
      </w:r>
      <w:r>
        <w:rPr>
          <w:rFonts w:ascii="Times New Roman" w:hAnsi="Times New Roman" w:cs="Times New Roman"/>
          <w:color w:val="000000" w:themeColor="text1"/>
        </w:rPr>
        <w:t>，隐藻门为</w:t>
      </w:r>
      <w:r>
        <w:rPr>
          <w:rFonts w:ascii="Times New Roman" w:hAnsi="Times New Roman" w:cs="Times New Roman"/>
          <w:color w:val="000000" w:themeColor="text1"/>
        </w:rPr>
        <w:t>0.384 mg/L</w:t>
      </w:r>
      <w:r>
        <w:rPr>
          <w:rFonts w:ascii="Times New Roman" w:hAnsi="Times New Roman" w:cs="Times New Roman"/>
          <w:color w:val="000000" w:themeColor="text1"/>
        </w:rPr>
        <w:t>，蓝藻门为</w:t>
      </w:r>
      <w:r>
        <w:rPr>
          <w:rFonts w:ascii="Times New Roman" w:hAnsi="Times New Roman" w:cs="Times New Roman"/>
          <w:color w:val="000000" w:themeColor="text1"/>
        </w:rPr>
        <w:t>0.153 mg /L</w:t>
      </w:r>
      <w:r>
        <w:rPr>
          <w:rFonts w:ascii="Times New Roman" w:hAnsi="Times New Roman" w:cs="Times New Roman"/>
          <w:color w:val="000000" w:themeColor="text1"/>
        </w:rPr>
        <w:t>，裸藻门为</w:t>
      </w:r>
      <w:r>
        <w:rPr>
          <w:rFonts w:ascii="Times New Roman" w:hAnsi="Times New Roman" w:cs="Times New Roman"/>
          <w:color w:val="000000" w:themeColor="text1"/>
        </w:rPr>
        <w:t>0.028 mg /L</w:t>
      </w:r>
      <w:r>
        <w:rPr>
          <w:rFonts w:ascii="Times New Roman" w:hAnsi="Times New Roman" w:cs="Times New Roman"/>
          <w:color w:val="000000" w:themeColor="text1"/>
        </w:rPr>
        <w:t>，金藻门为</w:t>
      </w:r>
      <w:r>
        <w:rPr>
          <w:rFonts w:ascii="Times New Roman" w:hAnsi="Times New Roman" w:cs="Times New Roman"/>
          <w:color w:val="000000" w:themeColor="text1"/>
        </w:rPr>
        <w:t>0.008 mg/L</w:t>
      </w:r>
      <w:r>
        <w:rPr>
          <w:rFonts w:ascii="Times New Roman" w:hAnsi="Times New Roman" w:cs="Times New Roman"/>
          <w:color w:val="000000" w:themeColor="text1"/>
        </w:rPr>
        <w:t>，黄藻门为</w:t>
      </w:r>
      <w:r>
        <w:rPr>
          <w:rFonts w:ascii="Times New Roman" w:hAnsi="Times New Roman" w:cs="Times New Roman"/>
          <w:color w:val="000000" w:themeColor="text1"/>
        </w:rPr>
        <w:t>0.001mg/L</w:t>
      </w:r>
      <w:r>
        <w:rPr>
          <w:rFonts w:ascii="Times New Roman" w:hAnsi="Times New Roman" w:cs="Times New Roman"/>
          <w:color w:val="000000" w:themeColor="text1"/>
        </w:rPr>
        <w:t>，甲藻门为</w:t>
      </w:r>
      <w:r>
        <w:rPr>
          <w:rFonts w:ascii="Times New Roman" w:hAnsi="Times New Roman" w:cs="Times New Roman"/>
          <w:color w:val="000000" w:themeColor="text1"/>
        </w:rPr>
        <w:t>0.0001 mg/ L</w:t>
      </w:r>
      <w:r>
        <w:rPr>
          <w:rFonts w:ascii="Times New Roman" w:hAnsi="Times New Roman" w:cs="Times New Roman"/>
          <w:color w:val="000000" w:themeColor="text1"/>
        </w:rPr>
        <w:t>；新安晒水池浮游植物种类数量均值总计为</w:t>
      </w:r>
      <w:r>
        <w:rPr>
          <w:rFonts w:ascii="Times New Roman" w:hAnsi="Times New Roman" w:cs="Times New Roman"/>
          <w:color w:val="000000" w:themeColor="text1"/>
        </w:rPr>
        <w:t>2.718 mg/L</w:t>
      </w:r>
      <w:r>
        <w:rPr>
          <w:rFonts w:ascii="Times New Roman" w:hAnsi="Times New Roman" w:cs="Times New Roman"/>
          <w:color w:val="000000" w:themeColor="text1"/>
        </w:rPr>
        <w:t>。以硅藻门密度最高</w:t>
      </w:r>
      <w:r>
        <w:rPr>
          <w:rFonts w:ascii="Times New Roman" w:hAnsi="Times New Roman" w:cs="Times New Roman"/>
          <w:color w:val="000000" w:themeColor="text1"/>
        </w:rPr>
        <w:t>0.897 mg /L</w:t>
      </w:r>
      <w:r>
        <w:rPr>
          <w:rFonts w:ascii="Times New Roman" w:hAnsi="Times New Roman" w:cs="Times New Roman"/>
          <w:color w:val="000000" w:themeColor="text1"/>
        </w:rPr>
        <w:t>，绿藻门次之</w:t>
      </w:r>
      <w:r>
        <w:rPr>
          <w:rFonts w:ascii="Times New Roman" w:eastAsia="等线" w:hAnsi="Times New Roman" w:cs="Times New Roman"/>
          <w:color w:val="000000" w:themeColor="text1"/>
        </w:rPr>
        <w:t xml:space="preserve">0.824 </w:t>
      </w:r>
      <w:r>
        <w:rPr>
          <w:rFonts w:ascii="Times New Roman" w:hAnsi="Times New Roman" w:cs="Times New Roman"/>
          <w:color w:val="000000" w:themeColor="text1"/>
        </w:rPr>
        <w:t>mg /L</w:t>
      </w:r>
      <w:r>
        <w:rPr>
          <w:rFonts w:ascii="Times New Roman" w:hAnsi="Times New Roman" w:cs="Times New Roman"/>
          <w:color w:val="000000" w:themeColor="text1"/>
        </w:rPr>
        <w:t>，裸藻门为</w:t>
      </w:r>
      <w:r>
        <w:rPr>
          <w:rFonts w:ascii="Times New Roman" w:hAnsi="Times New Roman" w:cs="Times New Roman"/>
          <w:color w:val="000000" w:themeColor="text1"/>
        </w:rPr>
        <w:t>0.352 mg /L</w:t>
      </w:r>
      <w:r>
        <w:rPr>
          <w:rFonts w:ascii="Times New Roman" w:hAnsi="Times New Roman" w:cs="Times New Roman"/>
          <w:color w:val="000000" w:themeColor="text1"/>
        </w:rPr>
        <w:t>，隐藻门为</w:t>
      </w:r>
      <w:r>
        <w:rPr>
          <w:rFonts w:ascii="Times New Roman" w:hAnsi="Times New Roman" w:cs="Times New Roman"/>
          <w:color w:val="000000" w:themeColor="text1"/>
        </w:rPr>
        <w:t>0.348 mg/L</w:t>
      </w:r>
      <w:r>
        <w:rPr>
          <w:rFonts w:ascii="Times New Roman" w:hAnsi="Times New Roman" w:cs="Times New Roman"/>
          <w:color w:val="000000" w:themeColor="text1"/>
        </w:rPr>
        <w:t>，蓝藻门为</w:t>
      </w:r>
      <w:r>
        <w:rPr>
          <w:rFonts w:ascii="Times New Roman" w:hAnsi="Times New Roman" w:cs="Times New Roman"/>
          <w:color w:val="000000" w:themeColor="text1"/>
        </w:rPr>
        <w:t>0.285 mg /L</w:t>
      </w:r>
      <w:r>
        <w:rPr>
          <w:rFonts w:ascii="Times New Roman" w:hAnsi="Times New Roman" w:cs="Times New Roman"/>
          <w:color w:val="000000" w:themeColor="text1"/>
        </w:rPr>
        <w:t>，金藻门为</w:t>
      </w:r>
      <w:r>
        <w:rPr>
          <w:rFonts w:ascii="Times New Roman" w:hAnsi="Times New Roman" w:cs="Times New Roman"/>
          <w:color w:val="000000" w:themeColor="text1"/>
        </w:rPr>
        <w:t>0.001 mg/L</w:t>
      </w:r>
      <w:r>
        <w:rPr>
          <w:rFonts w:ascii="Times New Roman" w:hAnsi="Times New Roman" w:cs="Times New Roman"/>
          <w:color w:val="000000" w:themeColor="text1"/>
        </w:rPr>
        <w:t>，甲藻门为</w:t>
      </w:r>
      <w:r>
        <w:rPr>
          <w:rFonts w:ascii="Times New Roman" w:hAnsi="Times New Roman" w:cs="Times New Roman"/>
          <w:color w:val="000000" w:themeColor="text1"/>
        </w:rPr>
        <w:t>0.002mg/ L</w:t>
      </w:r>
      <w:r>
        <w:rPr>
          <w:rFonts w:ascii="Times New Roman" w:hAnsi="Times New Roman" w:cs="Times New Roman"/>
          <w:color w:val="000000" w:themeColor="text1"/>
        </w:rPr>
        <w:t>；向阳水电站前</w:t>
      </w:r>
      <w:r>
        <w:rPr>
          <w:rFonts w:ascii="Times New Roman" w:hAnsi="Times New Roman" w:cs="Times New Roman"/>
          <w:color w:val="000000" w:themeColor="text1"/>
        </w:rPr>
        <w:lastRenderedPageBreak/>
        <w:t>池浮游植物种类数量均值总计为</w:t>
      </w:r>
      <w:r>
        <w:rPr>
          <w:rFonts w:ascii="Times New Roman" w:hAnsi="Times New Roman" w:cs="Times New Roman"/>
          <w:color w:val="000000" w:themeColor="text1"/>
        </w:rPr>
        <w:t>3.931 mg/L</w:t>
      </w:r>
      <w:r>
        <w:rPr>
          <w:rFonts w:ascii="Times New Roman" w:hAnsi="Times New Roman" w:cs="Times New Roman"/>
          <w:color w:val="000000" w:themeColor="text1"/>
        </w:rPr>
        <w:t>。以硅藻门密度最高</w:t>
      </w:r>
      <w:r>
        <w:rPr>
          <w:rFonts w:ascii="Times New Roman" w:hAnsi="Times New Roman" w:cs="Times New Roman"/>
          <w:color w:val="000000" w:themeColor="text1"/>
        </w:rPr>
        <w:t>3.137mg /L</w:t>
      </w:r>
      <w:r>
        <w:rPr>
          <w:rFonts w:ascii="Times New Roman" w:hAnsi="Times New Roman" w:cs="Times New Roman"/>
          <w:color w:val="000000" w:themeColor="text1"/>
        </w:rPr>
        <w:t>，绿藻门次之</w:t>
      </w:r>
      <w:r>
        <w:rPr>
          <w:rFonts w:ascii="Times New Roman" w:eastAsia="等线" w:hAnsi="Times New Roman" w:cs="Times New Roman"/>
          <w:color w:val="000000" w:themeColor="text1"/>
        </w:rPr>
        <w:t xml:space="preserve">0.630 </w:t>
      </w:r>
      <w:r>
        <w:rPr>
          <w:rFonts w:ascii="Times New Roman" w:hAnsi="Times New Roman" w:cs="Times New Roman"/>
          <w:color w:val="000000" w:themeColor="text1"/>
        </w:rPr>
        <w:t>mg /L</w:t>
      </w:r>
      <w:r>
        <w:rPr>
          <w:rFonts w:ascii="Times New Roman" w:hAnsi="Times New Roman" w:cs="Times New Roman"/>
          <w:color w:val="000000" w:themeColor="text1"/>
        </w:rPr>
        <w:t>，隐藻门为</w:t>
      </w:r>
      <w:r>
        <w:rPr>
          <w:rFonts w:ascii="Times New Roman" w:hAnsi="Times New Roman" w:cs="Times New Roman"/>
          <w:color w:val="000000" w:themeColor="text1"/>
        </w:rPr>
        <w:t>0.144 mg/L</w:t>
      </w:r>
      <w:r>
        <w:rPr>
          <w:rFonts w:ascii="Times New Roman" w:hAnsi="Times New Roman" w:cs="Times New Roman"/>
          <w:color w:val="000000" w:themeColor="text1"/>
        </w:rPr>
        <w:t>，蓝藻门为</w:t>
      </w:r>
      <w:r>
        <w:rPr>
          <w:rFonts w:ascii="Times New Roman" w:hAnsi="Times New Roman" w:cs="Times New Roman"/>
          <w:color w:val="000000" w:themeColor="text1"/>
        </w:rPr>
        <w:t>0.013 mg /L</w:t>
      </w:r>
      <w:r>
        <w:rPr>
          <w:rFonts w:ascii="Times New Roman" w:hAnsi="Times New Roman" w:cs="Times New Roman"/>
          <w:color w:val="000000" w:themeColor="text1"/>
        </w:rPr>
        <w:t>，金藻门为</w:t>
      </w:r>
      <w:r>
        <w:rPr>
          <w:rFonts w:ascii="Times New Roman" w:hAnsi="Times New Roman" w:cs="Times New Roman"/>
          <w:color w:val="000000" w:themeColor="text1"/>
        </w:rPr>
        <w:t>0.004 mg/L</w:t>
      </w:r>
      <w:r>
        <w:rPr>
          <w:rFonts w:ascii="Times New Roman" w:hAnsi="Times New Roman" w:cs="Times New Roman"/>
          <w:color w:val="000000" w:themeColor="text1"/>
        </w:rPr>
        <w:t>，甲藻门为</w:t>
      </w:r>
      <w:r>
        <w:rPr>
          <w:rFonts w:ascii="Times New Roman" w:hAnsi="Times New Roman" w:cs="Times New Roman"/>
          <w:color w:val="000000" w:themeColor="text1"/>
        </w:rPr>
        <w:t>0.002mg/ L</w:t>
      </w:r>
      <w:r>
        <w:rPr>
          <w:rFonts w:ascii="Times New Roman" w:hAnsi="Times New Roman" w:cs="Times New Roman"/>
          <w:color w:val="000000" w:themeColor="text1"/>
        </w:rPr>
        <w:t>（图</w:t>
      </w:r>
      <w:r>
        <w:rPr>
          <w:rFonts w:ascii="Times New Roman" w:hAnsi="Times New Roman" w:cs="Times New Roman" w:hint="eastAsia"/>
          <w:color w:val="000000" w:themeColor="text1"/>
        </w:rPr>
        <w:t>4.3-29</w:t>
      </w:r>
      <w:r>
        <w:rPr>
          <w:rFonts w:ascii="Times New Roman" w:hAnsi="Times New Roman" w:cs="Times New Roman"/>
          <w:color w:val="000000" w:themeColor="text1"/>
        </w:rPr>
        <w:t>）。</w:t>
      </w:r>
    </w:p>
    <w:p w14:paraId="622B0921" w14:textId="77777777" w:rsidR="009D12AF" w:rsidRDefault="00000000">
      <w:pPr>
        <w:ind w:leftChars="-295" w:left="-708" w:rightChars="-260" w:right="-624" w:firstLine="480"/>
        <w:jc w:val="cente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52D8E5DA" wp14:editId="65F6AE77">
            <wp:extent cx="5274310" cy="2789555"/>
            <wp:effectExtent l="0" t="0" r="2540" b="10795"/>
            <wp:docPr id="221" name="图形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形 27"/>
                    <pic:cNvPicPr>
                      <a:picLocks noChangeAspect="1"/>
                    </pic:cNvPicPr>
                  </pic:nvPicPr>
                  <pic:blipFill>
                    <a:blip r:embed="rId84">
                      <a:extLst>
                        <a:ext uri="{96DAC541-7B7A-43D3-8B79-37D633B846F1}">
                          <asvg:svgBlip xmlns:asvg="http://schemas.microsoft.com/office/drawing/2016/SVG/main" r:embed="rId85"/>
                        </a:ext>
                      </a:extLst>
                    </a:blip>
                    <a:stretch>
                      <a:fillRect/>
                    </a:stretch>
                  </pic:blipFill>
                  <pic:spPr>
                    <a:xfrm>
                      <a:off x="0" y="0"/>
                      <a:ext cx="5274310" cy="2789555"/>
                    </a:xfrm>
                    <a:prstGeom prst="rect">
                      <a:avLst/>
                    </a:prstGeom>
                  </pic:spPr>
                </pic:pic>
              </a:graphicData>
            </a:graphic>
          </wp:inline>
        </w:drawing>
      </w:r>
    </w:p>
    <w:p w14:paraId="280A1ED7" w14:textId="77777777" w:rsidR="009D12AF" w:rsidRDefault="00000000">
      <w:pPr>
        <w:ind w:firstLineChars="0" w:firstLine="0"/>
        <w:jc w:val="center"/>
        <w:rPr>
          <w:b/>
          <w:bCs/>
        </w:rPr>
      </w:pPr>
      <w:r>
        <w:rPr>
          <w:rFonts w:hint="eastAsia"/>
          <w:b/>
          <w:bCs/>
        </w:rPr>
        <w:t>图</w:t>
      </w:r>
      <w:r>
        <w:rPr>
          <w:rFonts w:hint="eastAsia"/>
          <w:b/>
          <w:bCs/>
        </w:rPr>
        <w:t xml:space="preserve">4.3-29  </w:t>
      </w:r>
      <w:r>
        <w:rPr>
          <w:rFonts w:hint="eastAsia"/>
          <w:b/>
          <w:bCs/>
        </w:rPr>
        <w:t>浮游植物生物量组成</w:t>
      </w:r>
    </w:p>
    <w:p w14:paraId="274DEE81" w14:textId="77777777" w:rsidR="009D12AF" w:rsidRDefault="00000000">
      <w:pPr>
        <w:ind w:firstLine="480"/>
        <w:jc w:val="left"/>
      </w:pPr>
      <w:r>
        <w:rPr>
          <w:rFonts w:hint="eastAsia"/>
        </w:rPr>
        <w:t>5</w:t>
      </w:r>
      <w:r>
        <w:rPr>
          <w:rFonts w:hint="eastAsia"/>
        </w:rPr>
        <w:t>、生物多样性</w:t>
      </w:r>
    </w:p>
    <w:p w14:paraId="73C3A0E1" w14:textId="77777777" w:rsidR="009D12AF" w:rsidRDefault="00000000">
      <w:pPr>
        <w:adjustRightInd w:val="0"/>
        <w:snapToGrid w:val="0"/>
        <w:ind w:firstLine="480"/>
        <w:rPr>
          <w:rFonts w:ascii="Times New Roman" w:hAnsi="Times New Roman" w:cs="Times New Roman"/>
          <w:color w:val="000000" w:themeColor="text1"/>
        </w:rPr>
      </w:pPr>
      <w:r>
        <w:rPr>
          <w:rFonts w:ascii="Times New Roman" w:hAnsi="Times New Roman" w:cs="Times New Roman"/>
          <w:color w:val="000000" w:themeColor="text1"/>
        </w:rPr>
        <w:t>调查期间，评价水域调查断面浮游植物</w:t>
      </w:r>
      <w:r>
        <w:rPr>
          <w:rFonts w:ascii="Times New Roman" w:hAnsi="Times New Roman" w:cs="Times New Roman"/>
          <w:color w:val="000000" w:themeColor="text1"/>
        </w:rPr>
        <w:t>Shannon-Wiener</w:t>
      </w:r>
      <w:r>
        <w:rPr>
          <w:rFonts w:ascii="Times New Roman" w:hAnsi="Times New Roman" w:cs="Times New Roman"/>
          <w:color w:val="000000" w:themeColor="text1"/>
        </w:rPr>
        <w:t>多样性指数</w:t>
      </w:r>
      <w:r>
        <w:rPr>
          <w:rFonts w:ascii="Times New Roman" w:hAnsi="Times New Roman" w:cs="Times New Roman"/>
          <w:color w:val="000000" w:themeColor="text1"/>
        </w:rPr>
        <w:t>(</w:t>
      </w:r>
      <w:r>
        <w:rPr>
          <w:rFonts w:ascii="Times New Roman" w:hAnsi="Times New Roman" w:cs="Times New Roman"/>
          <w:i/>
          <w:iCs/>
          <w:color w:val="000000" w:themeColor="text1"/>
        </w:rPr>
        <w:t>H</w:t>
      </w:r>
      <w:r>
        <w:rPr>
          <w:rFonts w:ascii="Times New Roman" w:hAnsi="Times New Roman" w:cs="Times New Roman"/>
          <w:color w:val="000000" w:themeColor="text1"/>
        </w:rPr>
        <w:t>')</w:t>
      </w:r>
      <w:r>
        <w:rPr>
          <w:rFonts w:ascii="Times New Roman" w:hAnsi="Times New Roman" w:cs="Times New Roman"/>
          <w:color w:val="000000" w:themeColor="text1"/>
        </w:rPr>
        <w:t>在</w:t>
      </w:r>
      <w:r>
        <w:rPr>
          <w:rFonts w:ascii="Times New Roman" w:hAnsi="Times New Roman" w:cs="Times New Roman"/>
          <w:color w:val="000000" w:themeColor="text1"/>
        </w:rPr>
        <w:t>1.55-2.26</w:t>
      </w:r>
      <w:r>
        <w:rPr>
          <w:rFonts w:ascii="Times New Roman" w:hAnsi="Times New Roman" w:cs="Times New Roman"/>
          <w:color w:val="000000" w:themeColor="text1"/>
        </w:rPr>
        <w:t>之间，</w:t>
      </w:r>
      <w:r>
        <w:rPr>
          <w:rFonts w:ascii="Times New Roman" w:hAnsi="Times New Roman" w:cs="Times New Roman"/>
          <w:color w:val="000000" w:themeColor="text1"/>
        </w:rPr>
        <w:t>Pielou</w:t>
      </w:r>
      <w:r>
        <w:rPr>
          <w:rFonts w:ascii="Times New Roman" w:hAnsi="Times New Roman" w:cs="Times New Roman"/>
          <w:color w:val="000000" w:themeColor="text1"/>
        </w:rPr>
        <w:t>均匀度指数</w:t>
      </w:r>
      <w:r>
        <w:rPr>
          <w:rFonts w:ascii="Times New Roman" w:hAnsi="Times New Roman" w:cs="Times New Roman"/>
          <w:color w:val="000000" w:themeColor="text1"/>
        </w:rPr>
        <w:t>(</w:t>
      </w:r>
      <w:r>
        <w:rPr>
          <w:rFonts w:ascii="Times New Roman" w:hAnsi="Times New Roman" w:cs="Times New Roman"/>
          <w:i/>
          <w:iCs/>
          <w:color w:val="000000" w:themeColor="text1"/>
        </w:rPr>
        <w:t>J)</w:t>
      </w:r>
      <w:r>
        <w:rPr>
          <w:rFonts w:ascii="Times New Roman" w:hAnsi="Times New Roman" w:cs="Times New Roman"/>
          <w:color w:val="000000" w:themeColor="text1"/>
        </w:rPr>
        <w:t>在</w:t>
      </w:r>
      <w:r>
        <w:rPr>
          <w:rFonts w:ascii="Times New Roman" w:hAnsi="Times New Roman" w:cs="Times New Roman"/>
          <w:color w:val="000000" w:themeColor="text1"/>
        </w:rPr>
        <w:t>0.62-0.72</w:t>
      </w:r>
      <w:r>
        <w:rPr>
          <w:rFonts w:ascii="Times New Roman" w:hAnsi="Times New Roman" w:cs="Times New Roman"/>
          <w:color w:val="000000" w:themeColor="text1"/>
        </w:rPr>
        <w:t>之间（表</w:t>
      </w:r>
      <w:r>
        <w:rPr>
          <w:rFonts w:ascii="Times New Roman" w:hAnsi="Times New Roman" w:cs="Times New Roman" w:hint="eastAsia"/>
          <w:color w:val="000000" w:themeColor="text1"/>
        </w:rPr>
        <w:t>4.3-34</w:t>
      </w:r>
      <w:r>
        <w:rPr>
          <w:rFonts w:ascii="Times New Roman" w:hAnsi="Times New Roman" w:cs="Times New Roman"/>
          <w:color w:val="000000" w:themeColor="text1"/>
        </w:rPr>
        <w:t>）。</w:t>
      </w:r>
    </w:p>
    <w:p w14:paraId="32FFC5A9" w14:textId="77777777" w:rsidR="009D12AF" w:rsidRDefault="00000000">
      <w:pPr>
        <w:ind w:firstLineChars="0" w:firstLine="0"/>
        <w:jc w:val="center"/>
        <w:rPr>
          <w:b/>
          <w:bCs/>
        </w:rPr>
      </w:pPr>
      <w:r>
        <w:rPr>
          <w:rFonts w:hint="eastAsia"/>
          <w:b/>
          <w:bCs/>
        </w:rPr>
        <w:t>表</w:t>
      </w:r>
      <w:r>
        <w:rPr>
          <w:rFonts w:hint="eastAsia"/>
          <w:b/>
          <w:bCs/>
        </w:rPr>
        <w:t xml:space="preserve">4.3-34 </w:t>
      </w:r>
      <w:r>
        <w:rPr>
          <w:rFonts w:hint="eastAsia"/>
          <w:b/>
          <w:bCs/>
        </w:rPr>
        <w:t>浮游植物多样性</w:t>
      </w:r>
    </w:p>
    <w:tbl>
      <w:tblPr>
        <w:tblW w:w="8223" w:type="dxa"/>
        <w:tblInd w:w="-5"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985"/>
        <w:gridCol w:w="1985"/>
        <w:gridCol w:w="2127"/>
        <w:gridCol w:w="2126"/>
      </w:tblGrid>
      <w:tr w:rsidR="009D12AF" w14:paraId="72C5CD2F" w14:textId="77777777">
        <w:trPr>
          <w:trHeight w:val="345"/>
        </w:trPr>
        <w:tc>
          <w:tcPr>
            <w:tcW w:w="1985" w:type="dxa"/>
            <w:tcBorders>
              <w:tl2br w:val="nil"/>
              <w:tr2bl w:val="nil"/>
            </w:tcBorders>
            <w:vAlign w:val="center"/>
          </w:tcPr>
          <w:p w14:paraId="194EA9DB" w14:textId="77777777" w:rsidR="009D12AF" w:rsidRDefault="00000000">
            <w:pPr>
              <w:adjustRightInd w:val="0"/>
              <w:snapToGrid w:val="0"/>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水库</w:t>
            </w:r>
          </w:p>
        </w:tc>
        <w:tc>
          <w:tcPr>
            <w:tcW w:w="1985" w:type="dxa"/>
            <w:tcBorders>
              <w:tl2br w:val="nil"/>
              <w:tr2bl w:val="nil"/>
            </w:tcBorders>
            <w:vAlign w:val="center"/>
          </w:tcPr>
          <w:p w14:paraId="79D6F8A4" w14:textId="77777777" w:rsidR="009D12AF" w:rsidRDefault="00000000">
            <w:pPr>
              <w:adjustRightInd w:val="0"/>
              <w:snapToGrid w:val="0"/>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调查断面</w:t>
            </w:r>
          </w:p>
        </w:tc>
        <w:tc>
          <w:tcPr>
            <w:tcW w:w="2127" w:type="dxa"/>
            <w:tcBorders>
              <w:tl2br w:val="nil"/>
              <w:tr2bl w:val="nil"/>
            </w:tcBorders>
            <w:vAlign w:val="center"/>
          </w:tcPr>
          <w:p w14:paraId="470DB3B9" w14:textId="77777777" w:rsidR="009D12AF" w:rsidRDefault="00000000">
            <w:pPr>
              <w:adjustRightInd w:val="0"/>
              <w:snapToGrid w:val="0"/>
              <w:ind w:firstLineChars="0" w:firstLine="0"/>
              <w:jc w:val="center"/>
              <w:rPr>
                <w:rFonts w:ascii="Times New Roman" w:hAnsi="Times New Roman" w:cs="Times New Roman"/>
                <w:i/>
                <w:color w:val="000000" w:themeColor="text1"/>
                <w:sz w:val="21"/>
                <w:szCs w:val="21"/>
              </w:rPr>
            </w:pPr>
            <w:r>
              <w:rPr>
                <w:rFonts w:ascii="Times New Roman" w:hAnsi="Times New Roman" w:cs="Times New Roman"/>
                <w:i/>
                <w:color w:val="000000" w:themeColor="text1"/>
                <w:sz w:val="21"/>
                <w:szCs w:val="21"/>
              </w:rPr>
              <w:t>H'</w:t>
            </w:r>
          </w:p>
        </w:tc>
        <w:tc>
          <w:tcPr>
            <w:tcW w:w="2126" w:type="dxa"/>
            <w:tcBorders>
              <w:tl2br w:val="nil"/>
              <w:tr2bl w:val="nil"/>
            </w:tcBorders>
            <w:vAlign w:val="center"/>
          </w:tcPr>
          <w:p w14:paraId="73B49BB1" w14:textId="77777777" w:rsidR="009D12AF" w:rsidRDefault="00000000">
            <w:pPr>
              <w:adjustRightInd w:val="0"/>
              <w:snapToGrid w:val="0"/>
              <w:ind w:firstLineChars="0" w:firstLine="0"/>
              <w:jc w:val="center"/>
              <w:rPr>
                <w:rFonts w:ascii="Times New Roman" w:hAnsi="Times New Roman" w:cs="Times New Roman"/>
                <w:i/>
                <w:color w:val="000000" w:themeColor="text1"/>
                <w:sz w:val="21"/>
                <w:szCs w:val="21"/>
              </w:rPr>
            </w:pPr>
            <w:r>
              <w:rPr>
                <w:rFonts w:ascii="Times New Roman" w:hAnsi="Times New Roman" w:cs="Times New Roman"/>
                <w:i/>
                <w:color w:val="000000" w:themeColor="text1"/>
                <w:sz w:val="21"/>
                <w:szCs w:val="21"/>
              </w:rPr>
              <w:t>J</w:t>
            </w:r>
          </w:p>
        </w:tc>
      </w:tr>
      <w:tr w:rsidR="009D12AF" w14:paraId="64F0B27B" w14:textId="77777777">
        <w:trPr>
          <w:trHeight w:val="345"/>
        </w:trPr>
        <w:tc>
          <w:tcPr>
            <w:tcW w:w="1985" w:type="dxa"/>
            <w:vMerge w:val="restart"/>
            <w:tcBorders>
              <w:tl2br w:val="nil"/>
              <w:tr2bl w:val="nil"/>
            </w:tcBorders>
            <w:vAlign w:val="center"/>
          </w:tcPr>
          <w:p w14:paraId="295D75E4"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莲花水库</w:t>
            </w:r>
          </w:p>
        </w:tc>
        <w:tc>
          <w:tcPr>
            <w:tcW w:w="1985" w:type="dxa"/>
            <w:tcBorders>
              <w:tl2br w:val="nil"/>
              <w:tr2bl w:val="nil"/>
            </w:tcBorders>
            <w:vAlign w:val="center"/>
          </w:tcPr>
          <w:p w14:paraId="01808260"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L1</w:t>
            </w:r>
          </w:p>
        </w:tc>
        <w:tc>
          <w:tcPr>
            <w:tcW w:w="2127" w:type="dxa"/>
            <w:tcBorders>
              <w:tl2br w:val="nil"/>
              <w:tr2bl w:val="nil"/>
            </w:tcBorders>
            <w:vAlign w:val="center"/>
          </w:tcPr>
          <w:p w14:paraId="3A16487C"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2.18</w:t>
            </w:r>
          </w:p>
        </w:tc>
        <w:tc>
          <w:tcPr>
            <w:tcW w:w="2126" w:type="dxa"/>
            <w:tcBorders>
              <w:tl2br w:val="nil"/>
              <w:tr2bl w:val="nil"/>
            </w:tcBorders>
            <w:vAlign w:val="center"/>
          </w:tcPr>
          <w:p w14:paraId="03E78BF4"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0.65</w:t>
            </w:r>
          </w:p>
        </w:tc>
      </w:tr>
      <w:tr w:rsidR="009D12AF" w14:paraId="14F866C4" w14:textId="77777777">
        <w:trPr>
          <w:trHeight w:val="345"/>
        </w:trPr>
        <w:tc>
          <w:tcPr>
            <w:tcW w:w="1985" w:type="dxa"/>
            <w:vMerge/>
            <w:tcBorders>
              <w:tl2br w:val="nil"/>
              <w:tr2bl w:val="nil"/>
            </w:tcBorders>
            <w:vAlign w:val="center"/>
          </w:tcPr>
          <w:p w14:paraId="00FC0449"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5F3D11B3"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L2</w:t>
            </w:r>
          </w:p>
        </w:tc>
        <w:tc>
          <w:tcPr>
            <w:tcW w:w="2127" w:type="dxa"/>
            <w:tcBorders>
              <w:tl2br w:val="nil"/>
              <w:tr2bl w:val="nil"/>
            </w:tcBorders>
            <w:vAlign w:val="center"/>
          </w:tcPr>
          <w:p w14:paraId="44DCEE2C"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2.22</w:t>
            </w:r>
          </w:p>
        </w:tc>
        <w:tc>
          <w:tcPr>
            <w:tcW w:w="2126" w:type="dxa"/>
            <w:tcBorders>
              <w:tl2br w:val="nil"/>
              <w:tr2bl w:val="nil"/>
            </w:tcBorders>
            <w:vAlign w:val="center"/>
          </w:tcPr>
          <w:p w14:paraId="6AA9F3BC"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0.66</w:t>
            </w:r>
          </w:p>
        </w:tc>
      </w:tr>
      <w:tr w:rsidR="009D12AF" w14:paraId="29487469" w14:textId="77777777">
        <w:trPr>
          <w:trHeight w:val="345"/>
        </w:trPr>
        <w:tc>
          <w:tcPr>
            <w:tcW w:w="1985" w:type="dxa"/>
            <w:vMerge/>
            <w:tcBorders>
              <w:tl2br w:val="nil"/>
              <w:tr2bl w:val="nil"/>
            </w:tcBorders>
            <w:vAlign w:val="center"/>
          </w:tcPr>
          <w:p w14:paraId="188B1D29"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2BEA6AF6"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L2</w:t>
            </w:r>
          </w:p>
        </w:tc>
        <w:tc>
          <w:tcPr>
            <w:tcW w:w="2127" w:type="dxa"/>
            <w:tcBorders>
              <w:tl2br w:val="nil"/>
              <w:tr2bl w:val="nil"/>
            </w:tcBorders>
            <w:vAlign w:val="center"/>
          </w:tcPr>
          <w:p w14:paraId="5B163AA1"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2.26</w:t>
            </w:r>
          </w:p>
        </w:tc>
        <w:tc>
          <w:tcPr>
            <w:tcW w:w="2126" w:type="dxa"/>
            <w:tcBorders>
              <w:tl2br w:val="nil"/>
              <w:tr2bl w:val="nil"/>
            </w:tcBorders>
            <w:vAlign w:val="center"/>
          </w:tcPr>
          <w:p w14:paraId="7ED41577"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0.63</w:t>
            </w:r>
          </w:p>
        </w:tc>
      </w:tr>
      <w:tr w:rsidR="009D12AF" w14:paraId="58140F4B" w14:textId="77777777">
        <w:trPr>
          <w:trHeight w:val="345"/>
        </w:trPr>
        <w:tc>
          <w:tcPr>
            <w:tcW w:w="1985" w:type="dxa"/>
            <w:vMerge w:val="restart"/>
            <w:tcBorders>
              <w:tl2br w:val="nil"/>
              <w:tr2bl w:val="nil"/>
            </w:tcBorders>
            <w:vAlign w:val="center"/>
          </w:tcPr>
          <w:p w14:paraId="5BA6B57D"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群力水库</w:t>
            </w:r>
          </w:p>
        </w:tc>
        <w:tc>
          <w:tcPr>
            <w:tcW w:w="1985" w:type="dxa"/>
            <w:tcBorders>
              <w:tl2br w:val="nil"/>
              <w:tr2bl w:val="nil"/>
            </w:tcBorders>
            <w:vAlign w:val="center"/>
          </w:tcPr>
          <w:p w14:paraId="258D51FB"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Q1</w:t>
            </w:r>
          </w:p>
        </w:tc>
        <w:tc>
          <w:tcPr>
            <w:tcW w:w="2127" w:type="dxa"/>
            <w:tcBorders>
              <w:tl2br w:val="nil"/>
              <w:tr2bl w:val="nil"/>
            </w:tcBorders>
            <w:vAlign w:val="center"/>
          </w:tcPr>
          <w:p w14:paraId="398ECE4B"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2.02</w:t>
            </w:r>
          </w:p>
        </w:tc>
        <w:tc>
          <w:tcPr>
            <w:tcW w:w="2126" w:type="dxa"/>
            <w:tcBorders>
              <w:tl2br w:val="nil"/>
              <w:tr2bl w:val="nil"/>
            </w:tcBorders>
            <w:vAlign w:val="center"/>
          </w:tcPr>
          <w:p w14:paraId="368CF15B"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0.70</w:t>
            </w:r>
          </w:p>
        </w:tc>
      </w:tr>
      <w:tr w:rsidR="009D12AF" w14:paraId="1C44D833" w14:textId="77777777">
        <w:trPr>
          <w:trHeight w:val="345"/>
        </w:trPr>
        <w:tc>
          <w:tcPr>
            <w:tcW w:w="1985" w:type="dxa"/>
            <w:vMerge/>
            <w:tcBorders>
              <w:tl2br w:val="nil"/>
              <w:tr2bl w:val="nil"/>
            </w:tcBorders>
            <w:vAlign w:val="center"/>
          </w:tcPr>
          <w:p w14:paraId="149B84EB"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2D46E897"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Q2</w:t>
            </w:r>
          </w:p>
        </w:tc>
        <w:tc>
          <w:tcPr>
            <w:tcW w:w="2127" w:type="dxa"/>
            <w:tcBorders>
              <w:tl2br w:val="nil"/>
              <w:tr2bl w:val="nil"/>
            </w:tcBorders>
            <w:vAlign w:val="center"/>
          </w:tcPr>
          <w:p w14:paraId="1455ABB2"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2.08</w:t>
            </w:r>
          </w:p>
        </w:tc>
        <w:tc>
          <w:tcPr>
            <w:tcW w:w="2126" w:type="dxa"/>
            <w:tcBorders>
              <w:tl2br w:val="nil"/>
              <w:tr2bl w:val="nil"/>
            </w:tcBorders>
            <w:vAlign w:val="center"/>
          </w:tcPr>
          <w:p w14:paraId="35A8800A"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0.68</w:t>
            </w:r>
          </w:p>
        </w:tc>
      </w:tr>
      <w:tr w:rsidR="009D12AF" w14:paraId="5341B49D" w14:textId="77777777">
        <w:trPr>
          <w:trHeight w:val="345"/>
        </w:trPr>
        <w:tc>
          <w:tcPr>
            <w:tcW w:w="1985" w:type="dxa"/>
            <w:vMerge w:val="restart"/>
            <w:tcBorders>
              <w:tl2br w:val="nil"/>
              <w:tr2bl w:val="nil"/>
            </w:tcBorders>
            <w:vAlign w:val="center"/>
          </w:tcPr>
          <w:p w14:paraId="1826EAD5"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万丈水库</w:t>
            </w:r>
          </w:p>
        </w:tc>
        <w:tc>
          <w:tcPr>
            <w:tcW w:w="1985" w:type="dxa"/>
            <w:tcBorders>
              <w:tl2br w:val="nil"/>
              <w:tr2bl w:val="nil"/>
            </w:tcBorders>
            <w:vAlign w:val="center"/>
          </w:tcPr>
          <w:p w14:paraId="280B99BD"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W1</w:t>
            </w:r>
          </w:p>
        </w:tc>
        <w:tc>
          <w:tcPr>
            <w:tcW w:w="2127" w:type="dxa"/>
            <w:tcBorders>
              <w:tl2br w:val="nil"/>
              <w:tr2bl w:val="nil"/>
            </w:tcBorders>
            <w:vAlign w:val="center"/>
          </w:tcPr>
          <w:p w14:paraId="6015AF84"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1.93</w:t>
            </w:r>
          </w:p>
        </w:tc>
        <w:tc>
          <w:tcPr>
            <w:tcW w:w="2126" w:type="dxa"/>
            <w:tcBorders>
              <w:tl2br w:val="nil"/>
              <w:tr2bl w:val="nil"/>
            </w:tcBorders>
            <w:vAlign w:val="center"/>
          </w:tcPr>
          <w:p w14:paraId="3AFB3C36"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0.70</w:t>
            </w:r>
          </w:p>
        </w:tc>
      </w:tr>
      <w:tr w:rsidR="009D12AF" w14:paraId="53BD6F6F" w14:textId="77777777">
        <w:trPr>
          <w:trHeight w:val="345"/>
        </w:trPr>
        <w:tc>
          <w:tcPr>
            <w:tcW w:w="1985" w:type="dxa"/>
            <w:vMerge/>
            <w:tcBorders>
              <w:tl2br w:val="nil"/>
              <w:tr2bl w:val="nil"/>
            </w:tcBorders>
            <w:vAlign w:val="center"/>
          </w:tcPr>
          <w:p w14:paraId="1ABAD270"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0C27DFA4"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W2</w:t>
            </w:r>
          </w:p>
        </w:tc>
        <w:tc>
          <w:tcPr>
            <w:tcW w:w="2127" w:type="dxa"/>
            <w:tcBorders>
              <w:tl2br w:val="nil"/>
              <w:tr2bl w:val="nil"/>
            </w:tcBorders>
            <w:vAlign w:val="center"/>
          </w:tcPr>
          <w:p w14:paraId="70BB5EF5"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1.85</w:t>
            </w:r>
          </w:p>
        </w:tc>
        <w:tc>
          <w:tcPr>
            <w:tcW w:w="2126" w:type="dxa"/>
            <w:tcBorders>
              <w:tl2br w:val="nil"/>
              <w:tr2bl w:val="nil"/>
            </w:tcBorders>
            <w:vAlign w:val="center"/>
          </w:tcPr>
          <w:p w14:paraId="5F36C8AD"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0.68</w:t>
            </w:r>
          </w:p>
        </w:tc>
      </w:tr>
      <w:tr w:rsidR="009D12AF" w14:paraId="40A34B02" w14:textId="77777777">
        <w:trPr>
          <w:trHeight w:val="345"/>
        </w:trPr>
        <w:tc>
          <w:tcPr>
            <w:tcW w:w="1985" w:type="dxa"/>
            <w:vMerge/>
            <w:tcBorders>
              <w:tl2br w:val="nil"/>
              <w:tr2bl w:val="nil"/>
            </w:tcBorders>
            <w:vAlign w:val="center"/>
          </w:tcPr>
          <w:p w14:paraId="2568E651"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445887F8"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W3</w:t>
            </w:r>
          </w:p>
        </w:tc>
        <w:tc>
          <w:tcPr>
            <w:tcW w:w="2127" w:type="dxa"/>
            <w:tcBorders>
              <w:tl2br w:val="nil"/>
              <w:tr2bl w:val="nil"/>
            </w:tcBorders>
            <w:vAlign w:val="center"/>
          </w:tcPr>
          <w:p w14:paraId="13650711"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2.01</w:t>
            </w:r>
          </w:p>
        </w:tc>
        <w:tc>
          <w:tcPr>
            <w:tcW w:w="2126" w:type="dxa"/>
            <w:tcBorders>
              <w:tl2br w:val="nil"/>
              <w:tr2bl w:val="nil"/>
            </w:tcBorders>
            <w:vAlign w:val="center"/>
          </w:tcPr>
          <w:p w14:paraId="25CCE614"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0.72</w:t>
            </w:r>
          </w:p>
        </w:tc>
      </w:tr>
      <w:tr w:rsidR="009D12AF" w14:paraId="15E83B17" w14:textId="77777777">
        <w:trPr>
          <w:trHeight w:val="345"/>
        </w:trPr>
        <w:tc>
          <w:tcPr>
            <w:tcW w:w="1985" w:type="dxa"/>
            <w:vMerge w:val="restart"/>
            <w:tcBorders>
              <w:tl2br w:val="nil"/>
              <w:tr2bl w:val="nil"/>
            </w:tcBorders>
            <w:vAlign w:val="center"/>
          </w:tcPr>
          <w:p w14:paraId="538158FA"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长石水库</w:t>
            </w:r>
          </w:p>
        </w:tc>
        <w:tc>
          <w:tcPr>
            <w:tcW w:w="1985" w:type="dxa"/>
            <w:tcBorders>
              <w:tl2br w:val="nil"/>
              <w:tr2bl w:val="nil"/>
            </w:tcBorders>
            <w:vAlign w:val="center"/>
          </w:tcPr>
          <w:p w14:paraId="243F5314"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C1</w:t>
            </w:r>
          </w:p>
        </w:tc>
        <w:tc>
          <w:tcPr>
            <w:tcW w:w="2127" w:type="dxa"/>
            <w:tcBorders>
              <w:tl2br w:val="nil"/>
              <w:tr2bl w:val="nil"/>
            </w:tcBorders>
            <w:vAlign w:val="center"/>
          </w:tcPr>
          <w:p w14:paraId="2C62DB17"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1.88</w:t>
            </w:r>
          </w:p>
        </w:tc>
        <w:tc>
          <w:tcPr>
            <w:tcW w:w="2126" w:type="dxa"/>
            <w:tcBorders>
              <w:tl2br w:val="nil"/>
              <w:tr2bl w:val="nil"/>
            </w:tcBorders>
            <w:vAlign w:val="center"/>
          </w:tcPr>
          <w:p w14:paraId="677BDD5E"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0.66</w:t>
            </w:r>
          </w:p>
        </w:tc>
      </w:tr>
      <w:tr w:rsidR="009D12AF" w14:paraId="1357E013" w14:textId="77777777">
        <w:trPr>
          <w:trHeight w:val="345"/>
        </w:trPr>
        <w:tc>
          <w:tcPr>
            <w:tcW w:w="1985" w:type="dxa"/>
            <w:vMerge/>
            <w:tcBorders>
              <w:tl2br w:val="nil"/>
              <w:tr2bl w:val="nil"/>
            </w:tcBorders>
            <w:vAlign w:val="center"/>
          </w:tcPr>
          <w:p w14:paraId="092F8FF7"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00B2A976"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C2</w:t>
            </w:r>
          </w:p>
        </w:tc>
        <w:tc>
          <w:tcPr>
            <w:tcW w:w="2127" w:type="dxa"/>
            <w:tcBorders>
              <w:tl2br w:val="nil"/>
              <w:tr2bl w:val="nil"/>
            </w:tcBorders>
            <w:vAlign w:val="center"/>
          </w:tcPr>
          <w:p w14:paraId="611BC638"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1.75</w:t>
            </w:r>
          </w:p>
        </w:tc>
        <w:tc>
          <w:tcPr>
            <w:tcW w:w="2126" w:type="dxa"/>
            <w:tcBorders>
              <w:tl2br w:val="nil"/>
              <w:tr2bl w:val="nil"/>
            </w:tcBorders>
            <w:vAlign w:val="center"/>
          </w:tcPr>
          <w:p w14:paraId="01902E96"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0.62</w:t>
            </w:r>
          </w:p>
        </w:tc>
      </w:tr>
      <w:tr w:rsidR="009D12AF" w14:paraId="41321186" w14:textId="77777777">
        <w:trPr>
          <w:trHeight w:val="345"/>
        </w:trPr>
        <w:tc>
          <w:tcPr>
            <w:tcW w:w="1985" w:type="dxa"/>
            <w:vMerge w:val="restart"/>
            <w:tcBorders>
              <w:tl2br w:val="nil"/>
              <w:tr2bl w:val="nil"/>
            </w:tcBorders>
            <w:vAlign w:val="center"/>
          </w:tcPr>
          <w:p w14:paraId="2D3BF97E"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lastRenderedPageBreak/>
              <w:t>新安晒水池</w:t>
            </w:r>
          </w:p>
        </w:tc>
        <w:tc>
          <w:tcPr>
            <w:tcW w:w="1985" w:type="dxa"/>
            <w:tcBorders>
              <w:tl2br w:val="nil"/>
              <w:tr2bl w:val="nil"/>
            </w:tcBorders>
            <w:vAlign w:val="center"/>
          </w:tcPr>
          <w:p w14:paraId="70DF2BC7"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X1</w:t>
            </w:r>
          </w:p>
        </w:tc>
        <w:tc>
          <w:tcPr>
            <w:tcW w:w="2127" w:type="dxa"/>
            <w:tcBorders>
              <w:tl2br w:val="nil"/>
              <w:tr2bl w:val="nil"/>
            </w:tcBorders>
            <w:vAlign w:val="center"/>
          </w:tcPr>
          <w:p w14:paraId="3C9F610D"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2.12</w:t>
            </w:r>
          </w:p>
        </w:tc>
        <w:tc>
          <w:tcPr>
            <w:tcW w:w="2126" w:type="dxa"/>
            <w:tcBorders>
              <w:tl2br w:val="nil"/>
              <w:tr2bl w:val="nil"/>
            </w:tcBorders>
            <w:vAlign w:val="center"/>
          </w:tcPr>
          <w:p w14:paraId="495AF33C"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0.68</w:t>
            </w:r>
          </w:p>
        </w:tc>
      </w:tr>
      <w:tr w:rsidR="009D12AF" w14:paraId="3F244948" w14:textId="77777777">
        <w:trPr>
          <w:trHeight w:val="345"/>
        </w:trPr>
        <w:tc>
          <w:tcPr>
            <w:tcW w:w="1985" w:type="dxa"/>
            <w:vMerge/>
            <w:tcBorders>
              <w:tl2br w:val="nil"/>
              <w:tr2bl w:val="nil"/>
            </w:tcBorders>
            <w:vAlign w:val="center"/>
          </w:tcPr>
          <w:p w14:paraId="38D71B85"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2F478EFD"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X2</w:t>
            </w:r>
          </w:p>
        </w:tc>
        <w:tc>
          <w:tcPr>
            <w:tcW w:w="2127" w:type="dxa"/>
            <w:tcBorders>
              <w:tl2br w:val="nil"/>
              <w:tr2bl w:val="nil"/>
            </w:tcBorders>
            <w:vAlign w:val="center"/>
          </w:tcPr>
          <w:p w14:paraId="6745594C"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1.75</w:t>
            </w:r>
          </w:p>
        </w:tc>
        <w:tc>
          <w:tcPr>
            <w:tcW w:w="2126" w:type="dxa"/>
            <w:tcBorders>
              <w:tl2br w:val="nil"/>
              <w:tr2bl w:val="nil"/>
            </w:tcBorders>
            <w:vAlign w:val="center"/>
          </w:tcPr>
          <w:p w14:paraId="6A7FAD32"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0.62</w:t>
            </w:r>
          </w:p>
        </w:tc>
      </w:tr>
      <w:tr w:rsidR="009D12AF" w14:paraId="053B2683" w14:textId="77777777">
        <w:trPr>
          <w:trHeight w:val="345"/>
        </w:trPr>
        <w:tc>
          <w:tcPr>
            <w:tcW w:w="1985" w:type="dxa"/>
            <w:tcBorders>
              <w:tl2br w:val="nil"/>
              <w:tr2bl w:val="nil"/>
            </w:tcBorders>
            <w:vAlign w:val="center"/>
          </w:tcPr>
          <w:p w14:paraId="6E1C1B22"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向阳水电站前池</w:t>
            </w:r>
          </w:p>
        </w:tc>
        <w:tc>
          <w:tcPr>
            <w:tcW w:w="1985" w:type="dxa"/>
            <w:tcBorders>
              <w:tl2br w:val="nil"/>
              <w:tr2bl w:val="nil"/>
            </w:tcBorders>
            <w:vAlign w:val="center"/>
          </w:tcPr>
          <w:p w14:paraId="4749C83C"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Y1</w:t>
            </w:r>
          </w:p>
        </w:tc>
        <w:tc>
          <w:tcPr>
            <w:tcW w:w="2127" w:type="dxa"/>
            <w:tcBorders>
              <w:tl2br w:val="nil"/>
              <w:tr2bl w:val="nil"/>
            </w:tcBorders>
            <w:vAlign w:val="center"/>
          </w:tcPr>
          <w:p w14:paraId="74937A63"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1.55</w:t>
            </w:r>
          </w:p>
        </w:tc>
        <w:tc>
          <w:tcPr>
            <w:tcW w:w="2126" w:type="dxa"/>
            <w:tcBorders>
              <w:tl2br w:val="nil"/>
              <w:tr2bl w:val="nil"/>
            </w:tcBorders>
            <w:vAlign w:val="center"/>
          </w:tcPr>
          <w:p w14:paraId="58CB2AF0"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0.65</w:t>
            </w:r>
          </w:p>
        </w:tc>
      </w:tr>
    </w:tbl>
    <w:p w14:paraId="49412397" w14:textId="77777777" w:rsidR="009D12AF" w:rsidRDefault="009D12AF">
      <w:pPr>
        <w:ind w:rightChars="-260" w:right="-624" w:firstLine="480"/>
        <w:jc w:val="center"/>
        <w:rPr>
          <w:color w:val="000000" w:themeColor="text1"/>
        </w:rPr>
      </w:pPr>
    </w:p>
    <w:tbl>
      <w:tblPr>
        <w:tblStyle w:val="ae"/>
        <w:tblW w:w="0" w:type="auto"/>
        <w:tblLook w:val="04A0" w:firstRow="1" w:lastRow="0" w:firstColumn="1" w:lastColumn="0" w:noHBand="0" w:noVBand="1"/>
      </w:tblPr>
      <w:tblGrid>
        <w:gridCol w:w="2840"/>
        <w:gridCol w:w="2841"/>
        <w:gridCol w:w="2841"/>
      </w:tblGrid>
      <w:tr w:rsidR="009D12AF" w14:paraId="54A3AA3C" w14:textId="77777777">
        <w:tc>
          <w:tcPr>
            <w:tcW w:w="2840" w:type="dxa"/>
          </w:tcPr>
          <w:p w14:paraId="62FF33F1" w14:textId="77777777" w:rsidR="009D12AF" w:rsidRDefault="00000000">
            <w:pPr>
              <w:ind w:rightChars="-260" w:right="-624" w:firstLineChars="0" w:firstLine="0"/>
              <w:rPr>
                <w:color w:val="000000" w:themeColor="text1"/>
              </w:rPr>
            </w:pPr>
            <w:r>
              <w:rPr>
                <w:rFonts w:hint="eastAsia"/>
                <w:noProof/>
                <w:color w:val="000000" w:themeColor="text1"/>
              </w:rPr>
              <w:drawing>
                <wp:inline distT="0" distB="0" distL="0" distR="0" wp14:anchorId="438FF601" wp14:editId="26394F6B">
                  <wp:extent cx="2400935" cy="1799590"/>
                  <wp:effectExtent l="0" t="0" r="10160" b="18415"/>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86" cstate="screen">
                            <a:extLst>
                              <a:ext uri="{28A0092B-C50C-407E-A947-70E740481C1C}">
                                <a14:useLocalDpi xmlns:a14="http://schemas.microsoft.com/office/drawing/2010/main"/>
                              </a:ext>
                            </a:extLst>
                          </a:blip>
                          <a:stretch>
                            <a:fillRect/>
                          </a:stretch>
                        </pic:blipFill>
                        <pic:spPr>
                          <a:xfrm rot="5400000">
                            <a:off x="0" y="0"/>
                            <a:ext cx="2401200" cy="1800000"/>
                          </a:xfrm>
                          <a:prstGeom prst="rect">
                            <a:avLst/>
                          </a:prstGeom>
                        </pic:spPr>
                      </pic:pic>
                    </a:graphicData>
                  </a:graphic>
                </wp:inline>
              </w:drawing>
            </w:r>
          </w:p>
        </w:tc>
        <w:tc>
          <w:tcPr>
            <w:tcW w:w="2841" w:type="dxa"/>
          </w:tcPr>
          <w:p w14:paraId="73788774" w14:textId="77777777" w:rsidR="009D12AF" w:rsidRDefault="00000000">
            <w:pPr>
              <w:ind w:rightChars="-260" w:right="-624" w:firstLineChars="0" w:firstLine="0"/>
              <w:rPr>
                <w:color w:val="000000" w:themeColor="text1"/>
              </w:rPr>
            </w:pPr>
            <w:r>
              <w:rPr>
                <w:rFonts w:hint="eastAsia"/>
                <w:noProof/>
                <w:color w:val="000000" w:themeColor="text1"/>
              </w:rPr>
              <w:drawing>
                <wp:inline distT="0" distB="0" distL="0" distR="0" wp14:anchorId="3A852D4C" wp14:editId="5DD096E2">
                  <wp:extent cx="2400935" cy="1799590"/>
                  <wp:effectExtent l="0" t="0" r="10160" b="1841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87" cstate="screen">
                            <a:extLst>
                              <a:ext uri="{28A0092B-C50C-407E-A947-70E740481C1C}">
                                <a14:useLocalDpi xmlns:a14="http://schemas.microsoft.com/office/drawing/2010/main"/>
                              </a:ext>
                            </a:extLst>
                          </a:blip>
                          <a:stretch>
                            <a:fillRect/>
                          </a:stretch>
                        </pic:blipFill>
                        <pic:spPr>
                          <a:xfrm rot="5400000">
                            <a:off x="0" y="0"/>
                            <a:ext cx="2401200" cy="1800000"/>
                          </a:xfrm>
                          <a:prstGeom prst="rect">
                            <a:avLst/>
                          </a:prstGeom>
                        </pic:spPr>
                      </pic:pic>
                    </a:graphicData>
                  </a:graphic>
                </wp:inline>
              </w:drawing>
            </w:r>
          </w:p>
        </w:tc>
        <w:tc>
          <w:tcPr>
            <w:tcW w:w="2841" w:type="dxa"/>
          </w:tcPr>
          <w:p w14:paraId="71F16459" w14:textId="77777777" w:rsidR="009D12AF" w:rsidRDefault="00000000">
            <w:pPr>
              <w:ind w:rightChars="-260" w:right="-624" w:firstLineChars="0" w:firstLine="0"/>
              <w:rPr>
                <w:color w:val="000000" w:themeColor="text1"/>
              </w:rPr>
            </w:pPr>
            <w:r>
              <w:rPr>
                <w:rFonts w:hint="eastAsia"/>
                <w:noProof/>
                <w:color w:val="000000" w:themeColor="text1"/>
              </w:rPr>
              <w:drawing>
                <wp:inline distT="0" distB="0" distL="0" distR="0" wp14:anchorId="6336B1C9" wp14:editId="7D6D1BCE">
                  <wp:extent cx="2400935" cy="1799590"/>
                  <wp:effectExtent l="0" t="0" r="10160" b="1841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88" cstate="screen">
                            <a:extLst>
                              <a:ext uri="{28A0092B-C50C-407E-A947-70E740481C1C}">
                                <a14:useLocalDpi xmlns:a14="http://schemas.microsoft.com/office/drawing/2010/main"/>
                              </a:ext>
                            </a:extLst>
                          </a:blip>
                          <a:stretch>
                            <a:fillRect/>
                          </a:stretch>
                        </pic:blipFill>
                        <pic:spPr>
                          <a:xfrm rot="5400000">
                            <a:off x="0" y="0"/>
                            <a:ext cx="2401200" cy="1800000"/>
                          </a:xfrm>
                          <a:prstGeom prst="rect">
                            <a:avLst/>
                          </a:prstGeom>
                        </pic:spPr>
                      </pic:pic>
                    </a:graphicData>
                  </a:graphic>
                </wp:inline>
              </w:drawing>
            </w:r>
          </w:p>
        </w:tc>
      </w:tr>
    </w:tbl>
    <w:p w14:paraId="25C69C09" w14:textId="77777777" w:rsidR="009D12AF" w:rsidRDefault="00000000">
      <w:pPr>
        <w:ind w:firstLine="482"/>
        <w:jc w:val="center"/>
        <w:rPr>
          <w:rFonts w:cs="Times New Roman"/>
          <w:b/>
          <w:color w:val="000000" w:themeColor="text1"/>
        </w:rPr>
      </w:pPr>
      <w:r>
        <w:rPr>
          <w:rFonts w:cs="Times New Roman" w:hint="eastAsia"/>
          <w:b/>
          <w:color w:val="000000" w:themeColor="text1"/>
        </w:rPr>
        <w:t>图</w:t>
      </w:r>
      <w:r>
        <w:rPr>
          <w:rFonts w:cs="Times New Roman" w:hint="eastAsia"/>
          <w:b/>
          <w:color w:val="000000" w:themeColor="text1"/>
        </w:rPr>
        <w:t xml:space="preserve">4.3-30 </w:t>
      </w:r>
      <w:r>
        <w:rPr>
          <w:rFonts w:cs="Times New Roman" w:hint="eastAsia"/>
          <w:b/>
          <w:color w:val="000000" w:themeColor="text1"/>
        </w:rPr>
        <w:t>浮游植物样品采集</w:t>
      </w:r>
    </w:p>
    <w:p w14:paraId="4F5CCFBF" w14:textId="77777777" w:rsidR="009D12AF" w:rsidRDefault="00000000">
      <w:pPr>
        <w:ind w:firstLine="480"/>
        <w:jc w:val="left"/>
        <w:rPr>
          <w:rFonts w:cs="Times New Roman"/>
          <w:bCs/>
          <w:color w:val="000000" w:themeColor="text1"/>
        </w:rPr>
      </w:pPr>
      <w:r>
        <w:rPr>
          <w:rFonts w:cs="Times New Roman" w:hint="eastAsia"/>
          <w:bCs/>
          <w:color w:val="000000" w:themeColor="text1"/>
        </w:rPr>
        <w:t>三、浮游动物</w:t>
      </w:r>
    </w:p>
    <w:p w14:paraId="369AC15B" w14:textId="77777777" w:rsidR="009D12AF" w:rsidRDefault="00000000">
      <w:pPr>
        <w:ind w:firstLine="480"/>
        <w:jc w:val="left"/>
        <w:rPr>
          <w:rFonts w:cs="Times New Roman"/>
          <w:bCs/>
          <w:color w:val="000000" w:themeColor="text1"/>
        </w:rPr>
      </w:pPr>
      <w:r>
        <w:rPr>
          <w:rFonts w:cs="Times New Roman" w:hint="eastAsia"/>
          <w:bCs/>
          <w:color w:val="000000" w:themeColor="text1"/>
        </w:rPr>
        <w:t>1</w:t>
      </w:r>
      <w:r>
        <w:rPr>
          <w:rFonts w:cs="Times New Roman" w:hint="eastAsia"/>
          <w:bCs/>
          <w:color w:val="000000" w:themeColor="text1"/>
        </w:rPr>
        <w:t>、种类组成</w:t>
      </w:r>
    </w:p>
    <w:p w14:paraId="69F89A45"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调查期间，评价水域经鉴定浮游动物共计</w:t>
      </w:r>
      <w:r>
        <w:rPr>
          <w:rFonts w:ascii="Times New Roman" w:hAnsi="Times New Roman" w:cs="Times New Roman"/>
          <w:color w:val="000000" w:themeColor="text1"/>
        </w:rPr>
        <w:t>4</w:t>
      </w:r>
      <w:r>
        <w:rPr>
          <w:rFonts w:ascii="Times New Roman" w:hAnsi="Times New Roman" w:cs="Times New Roman"/>
          <w:color w:val="000000" w:themeColor="text1"/>
        </w:rPr>
        <w:t>类</w:t>
      </w:r>
      <w:r>
        <w:rPr>
          <w:rFonts w:ascii="Times New Roman" w:hAnsi="Times New Roman" w:cs="Times New Roman"/>
          <w:color w:val="000000" w:themeColor="text1"/>
        </w:rPr>
        <w:t>43</w:t>
      </w:r>
      <w:r>
        <w:rPr>
          <w:rFonts w:ascii="Times New Roman" w:hAnsi="Times New Roman" w:cs="Times New Roman"/>
          <w:color w:val="000000" w:themeColor="text1"/>
        </w:rPr>
        <w:t>种属。其中，轮虫种数最多为</w:t>
      </w:r>
      <w:r>
        <w:rPr>
          <w:rFonts w:ascii="Times New Roman" w:hAnsi="Times New Roman" w:cs="Times New Roman"/>
          <w:color w:val="000000" w:themeColor="text1"/>
        </w:rPr>
        <w:t>14</w:t>
      </w:r>
      <w:r>
        <w:rPr>
          <w:rFonts w:ascii="Times New Roman" w:hAnsi="Times New Roman" w:cs="Times New Roman"/>
          <w:color w:val="000000" w:themeColor="text1"/>
        </w:rPr>
        <w:t>种属，原生动物为</w:t>
      </w:r>
      <w:r>
        <w:rPr>
          <w:rFonts w:ascii="Times New Roman" w:hAnsi="Times New Roman" w:cs="Times New Roman"/>
          <w:color w:val="000000" w:themeColor="text1"/>
        </w:rPr>
        <w:t>12</w:t>
      </w:r>
      <w:r>
        <w:rPr>
          <w:rFonts w:ascii="Times New Roman" w:hAnsi="Times New Roman" w:cs="Times New Roman"/>
          <w:color w:val="000000" w:themeColor="text1"/>
        </w:rPr>
        <w:t>种属，桡足类为</w:t>
      </w:r>
      <w:r>
        <w:rPr>
          <w:rFonts w:ascii="Times New Roman" w:hAnsi="Times New Roman" w:cs="Times New Roman"/>
          <w:color w:val="000000" w:themeColor="text1"/>
        </w:rPr>
        <w:t>10</w:t>
      </w:r>
      <w:r>
        <w:rPr>
          <w:rFonts w:ascii="Times New Roman" w:hAnsi="Times New Roman" w:cs="Times New Roman"/>
          <w:color w:val="000000" w:themeColor="text1"/>
        </w:rPr>
        <w:t>种属，枝角类为</w:t>
      </w:r>
      <w:r>
        <w:rPr>
          <w:rFonts w:ascii="Times New Roman" w:hAnsi="Times New Roman" w:cs="Times New Roman"/>
          <w:color w:val="000000" w:themeColor="text1"/>
        </w:rPr>
        <w:t>7</w:t>
      </w:r>
      <w:r>
        <w:rPr>
          <w:rFonts w:ascii="Times New Roman" w:hAnsi="Times New Roman" w:cs="Times New Roman"/>
          <w:color w:val="000000" w:themeColor="text1"/>
        </w:rPr>
        <w:t>种属。莲花水库</w:t>
      </w:r>
      <w:r>
        <w:rPr>
          <w:rFonts w:ascii="Times New Roman" w:hAnsi="Times New Roman" w:cs="Times New Roman"/>
          <w:color w:val="000000" w:themeColor="text1"/>
        </w:rPr>
        <w:t>4</w:t>
      </w:r>
      <w:r>
        <w:rPr>
          <w:rFonts w:ascii="Times New Roman" w:hAnsi="Times New Roman" w:cs="Times New Roman"/>
          <w:color w:val="000000" w:themeColor="text1"/>
        </w:rPr>
        <w:t>类</w:t>
      </w:r>
      <w:r>
        <w:rPr>
          <w:rFonts w:ascii="Times New Roman" w:hAnsi="Times New Roman" w:cs="Times New Roman"/>
          <w:color w:val="000000" w:themeColor="text1"/>
        </w:rPr>
        <w:t>29</w:t>
      </w:r>
      <w:r>
        <w:rPr>
          <w:rFonts w:ascii="Times New Roman" w:hAnsi="Times New Roman" w:cs="Times New Roman"/>
          <w:color w:val="000000" w:themeColor="text1"/>
        </w:rPr>
        <w:t>种属，群力水库</w:t>
      </w:r>
      <w:r>
        <w:rPr>
          <w:rFonts w:ascii="Times New Roman" w:hAnsi="Times New Roman" w:cs="Times New Roman"/>
          <w:color w:val="000000" w:themeColor="text1"/>
        </w:rPr>
        <w:t>4</w:t>
      </w:r>
      <w:r>
        <w:rPr>
          <w:rFonts w:ascii="Times New Roman" w:hAnsi="Times New Roman" w:cs="Times New Roman"/>
          <w:color w:val="000000" w:themeColor="text1"/>
        </w:rPr>
        <w:t>类</w:t>
      </w:r>
      <w:r>
        <w:rPr>
          <w:rFonts w:ascii="Times New Roman" w:hAnsi="Times New Roman" w:cs="Times New Roman"/>
          <w:color w:val="000000" w:themeColor="text1"/>
        </w:rPr>
        <w:t>21</w:t>
      </w:r>
      <w:r>
        <w:rPr>
          <w:rFonts w:ascii="Times New Roman" w:hAnsi="Times New Roman" w:cs="Times New Roman"/>
          <w:color w:val="000000" w:themeColor="text1"/>
        </w:rPr>
        <w:t>种属，万丈水库</w:t>
      </w:r>
      <w:r>
        <w:rPr>
          <w:rFonts w:ascii="Times New Roman" w:hAnsi="Times New Roman" w:cs="Times New Roman"/>
          <w:color w:val="000000" w:themeColor="text1"/>
        </w:rPr>
        <w:t>4</w:t>
      </w:r>
      <w:r>
        <w:rPr>
          <w:rFonts w:ascii="Times New Roman" w:hAnsi="Times New Roman" w:cs="Times New Roman"/>
          <w:color w:val="000000" w:themeColor="text1"/>
        </w:rPr>
        <w:t>类</w:t>
      </w:r>
      <w:r>
        <w:rPr>
          <w:rFonts w:ascii="Times New Roman" w:hAnsi="Times New Roman" w:cs="Times New Roman"/>
          <w:color w:val="000000" w:themeColor="text1"/>
        </w:rPr>
        <w:t>24</w:t>
      </w:r>
      <w:r>
        <w:rPr>
          <w:rFonts w:ascii="Times New Roman" w:hAnsi="Times New Roman" w:cs="Times New Roman"/>
          <w:color w:val="000000" w:themeColor="text1"/>
        </w:rPr>
        <w:t>种属，长石水库</w:t>
      </w:r>
      <w:r>
        <w:rPr>
          <w:rFonts w:ascii="Times New Roman" w:hAnsi="Times New Roman" w:cs="Times New Roman"/>
          <w:color w:val="000000" w:themeColor="text1"/>
        </w:rPr>
        <w:t>4</w:t>
      </w:r>
      <w:r>
        <w:rPr>
          <w:rFonts w:ascii="Times New Roman" w:hAnsi="Times New Roman" w:cs="Times New Roman"/>
          <w:color w:val="000000" w:themeColor="text1"/>
        </w:rPr>
        <w:t>类</w:t>
      </w:r>
      <w:r>
        <w:rPr>
          <w:rFonts w:ascii="Times New Roman" w:hAnsi="Times New Roman" w:cs="Times New Roman"/>
          <w:color w:val="000000" w:themeColor="text1"/>
        </w:rPr>
        <w:t>25</w:t>
      </w:r>
      <w:r>
        <w:rPr>
          <w:rFonts w:ascii="Times New Roman" w:hAnsi="Times New Roman" w:cs="Times New Roman"/>
          <w:color w:val="000000" w:themeColor="text1"/>
        </w:rPr>
        <w:t>种属，新安晒水池</w:t>
      </w:r>
      <w:r>
        <w:rPr>
          <w:rFonts w:ascii="Times New Roman" w:hAnsi="Times New Roman" w:cs="Times New Roman"/>
          <w:color w:val="000000" w:themeColor="text1"/>
        </w:rPr>
        <w:t>4</w:t>
      </w:r>
      <w:r>
        <w:rPr>
          <w:rFonts w:ascii="Times New Roman" w:hAnsi="Times New Roman" w:cs="Times New Roman"/>
          <w:color w:val="000000" w:themeColor="text1"/>
        </w:rPr>
        <w:t>类</w:t>
      </w:r>
      <w:r>
        <w:rPr>
          <w:rFonts w:ascii="Times New Roman" w:hAnsi="Times New Roman" w:cs="Times New Roman"/>
          <w:color w:val="000000" w:themeColor="text1"/>
        </w:rPr>
        <w:t>21</w:t>
      </w:r>
      <w:r>
        <w:rPr>
          <w:rFonts w:ascii="Times New Roman" w:hAnsi="Times New Roman" w:cs="Times New Roman"/>
          <w:color w:val="000000" w:themeColor="text1"/>
        </w:rPr>
        <w:t>种属，向阳水电站前池</w:t>
      </w:r>
      <w:r>
        <w:rPr>
          <w:rFonts w:ascii="Times New Roman" w:hAnsi="Times New Roman" w:cs="Times New Roman"/>
          <w:color w:val="000000" w:themeColor="text1"/>
        </w:rPr>
        <w:t>4</w:t>
      </w:r>
      <w:r>
        <w:rPr>
          <w:rFonts w:ascii="Times New Roman" w:hAnsi="Times New Roman" w:cs="Times New Roman"/>
          <w:color w:val="000000" w:themeColor="text1"/>
        </w:rPr>
        <w:t>类</w:t>
      </w:r>
      <w:r>
        <w:rPr>
          <w:rFonts w:ascii="Times New Roman" w:hAnsi="Times New Roman" w:cs="Times New Roman"/>
          <w:color w:val="000000" w:themeColor="text1"/>
        </w:rPr>
        <w:t>17</w:t>
      </w:r>
      <w:r>
        <w:rPr>
          <w:rFonts w:ascii="Times New Roman" w:hAnsi="Times New Roman" w:cs="Times New Roman"/>
          <w:color w:val="000000" w:themeColor="text1"/>
        </w:rPr>
        <w:t>种属（表</w:t>
      </w:r>
      <w:r>
        <w:rPr>
          <w:rFonts w:ascii="Times New Roman" w:hAnsi="Times New Roman" w:cs="Times New Roman" w:hint="eastAsia"/>
          <w:color w:val="000000" w:themeColor="text1"/>
        </w:rPr>
        <w:t>4.3-35</w:t>
      </w:r>
      <w:r>
        <w:rPr>
          <w:rFonts w:ascii="Times New Roman" w:hAnsi="Times New Roman" w:cs="Times New Roman"/>
          <w:color w:val="000000" w:themeColor="text1"/>
        </w:rPr>
        <w:t>）。</w:t>
      </w:r>
    </w:p>
    <w:p w14:paraId="01433D96" w14:textId="77777777" w:rsidR="009D12AF" w:rsidRDefault="00000000">
      <w:pPr>
        <w:ind w:firstLine="482"/>
        <w:jc w:val="center"/>
        <w:rPr>
          <w:rFonts w:cs="Times New Roman"/>
          <w:b/>
          <w:color w:val="000000" w:themeColor="text1"/>
        </w:rPr>
      </w:pPr>
      <w:r>
        <w:rPr>
          <w:rFonts w:cs="Times New Roman" w:hint="eastAsia"/>
          <w:b/>
          <w:color w:val="000000" w:themeColor="text1"/>
        </w:rPr>
        <w:t>表</w:t>
      </w:r>
      <w:r>
        <w:rPr>
          <w:rFonts w:cs="Times New Roman" w:hint="eastAsia"/>
          <w:b/>
          <w:color w:val="000000" w:themeColor="text1"/>
        </w:rPr>
        <w:t xml:space="preserve">4.3-35  </w:t>
      </w:r>
      <w:r>
        <w:rPr>
          <w:rFonts w:cs="Times New Roman" w:hint="eastAsia"/>
          <w:b/>
          <w:color w:val="000000" w:themeColor="text1"/>
        </w:rPr>
        <w:t>评价水域浮游动物名录</w:t>
      </w:r>
    </w:p>
    <w:tbl>
      <w:tblPr>
        <w:tblW w:w="8296" w:type="dxa"/>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504"/>
        <w:gridCol w:w="3949"/>
        <w:gridCol w:w="473"/>
        <w:gridCol w:w="474"/>
        <w:gridCol w:w="474"/>
        <w:gridCol w:w="474"/>
        <w:gridCol w:w="474"/>
        <w:gridCol w:w="474"/>
      </w:tblGrid>
      <w:tr w:rsidR="009D12AF" w14:paraId="084ADFAA" w14:textId="77777777">
        <w:trPr>
          <w:trHeight w:val="280"/>
        </w:trPr>
        <w:tc>
          <w:tcPr>
            <w:tcW w:w="1504" w:type="dxa"/>
            <w:tcBorders>
              <w:tl2br w:val="nil"/>
              <w:tr2bl w:val="nil"/>
            </w:tcBorders>
            <w:vAlign w:val="center"/>
          </w:tcPr>
          <w:p w14:paraId="0B9E41EB"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类别</w:t>
            </w:r>
          </w:p>
        </w:tc>
        <w:tc>
          <w:tcPr>
            <w:tcW w:w="3949" w:type="dxa"/>
            <w:tcBorders>
              <w:tl2br w:val="nil"/>
              <w:tr2bl w:val="nil"/>
            </w:tcBorders>
            <w:noWrap/>
            <w:vAlign w:val="center"/>
          </w:tcPr>
          <w:p w14:paraId="51537E1B"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种类</w:t>
            </w:r>
          </w:p>
        </w:tc>
        <w:tc>
          <w:tcPr>
            <w:tcW w:w="473" w:type="dxa"/>
            <w:tcBorders>
              <w:tl2br w:val="nil"/>
              <w:tr2bl w:val="nil"/>
            </w:tcBorders>
            <w:vAlign w:val="center"/>
          </w:tcPr>
          <w:p w14:paraId="0B19BDD2"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莲花水库</w:t>
            </w:r>
          </w:p>
        </w:tc>
        <w:tc>
          <w:tcPr>
            <w:tcW w:w="474" w:type="dxa"/>
            <w:tcBorders>
              <w:tl2br w:val="nil"/>
              <w:tr2bl w:val="nil"/>
            </w:tcBorders>
            <w:vAlign w:val="center"/>
          </w:tcPr>
          <w:p w14:paraId="7593E193"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群力水库</w:t>
            </w:r>
          </w:p>
        </w:tc>
        <w:tc>
          <w:tcPr>
            <w:tcW w:w="474" w:type="dxa"/>
            <w:tcBorders>
              <w:tl2br w:val="nil"/>
              <w:tr2bl w:val="nil"/>
            </w:tcBorders>
            <w:vAlign w:val="center"/>
          </w:tcPr>
          <w:p w14:paraId="4541BEC3"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万丈水库</w:t>
            </w:r>
          </w:p>
        </w:tc>
        <w:tc>
          <w:tcPr>
            <w:tcW w:w="474" w:type="dxa"/>
            <w:tcBorders>
              <w:tl2br w:val="nil"/>
              <w:tr2bl w:val="nil"/>
            </w:tcBorders>
            <w:vAlign w:val="center"/>
          </w:tcPr>
          <w:p w14:paraId="06400A26"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长石水库</w:t>
            </w:r>
          </w:p>
        </w:tc>
        <w:tc>
          <w:tcPr>
            <w:tcW w:w="474" w:type="dxa"/>
            <w:tcBorders>
              <w:tl2br w:val="nil"/>
              <w:tr2bl w:val="nil"/>
            </w:tcBorders>
            <w:vAlign w:val="center"/>
          </w:tcPr>
          <w:p w14:paraId="61D1F5F8"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新安晒水池</w:t>
            </w:r>
          </w:p>
        </w:tc>
        <w:tc>
          <w:tcPr>
            <w:tcW w:w="474" w:type="dxa"/>
            <w:tcBorders>
              <w:tl2br w:val="nil"/>
              <w:tr2bl w:val="nil"/>
            </w:tcBorders>
            <w:vAlign w:val="center"/>
          </w:tcPr>
          <w:p w14:paraId="4ED624B4"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向阳水电站前池</w:t>
            </w:r>
          </w:p>
        </w:tc>
      </w:tr>
      <w:tr w:rsidR="009D12AF" w14:paraId="1059E8AD" w14:textId="77777777">
        <w:trPr>
          <w:trHeight w:val="280"/>
        </w:trPr>
        <w:tc>
          <w:tcPr>
            <w:tcW w:w="1504" w:type="dxa"/>
            <w:vMerge w:val="restart"/>
            <w:tcBorders>
              <w:tl2br w:val="nil"/>
              <w:tr2bl w:val="nil"/>
            </w:tcBorders>
            <w:vAlign w:val="center"/>
          </w:tcPr>
          <w:p w14:paraId="3B73412B"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原生动物</w:t>
            </w:r>
            <w:r>
              <w:rPr>
                <w:rFonts w:ascii="Times New Roman" w:hAnsi="Times New Roman" w:cs="Times New Roman"/>
                <w:color w:val="000000" w:themeColor="text1"/>
                <w:sz w:val="18"/>
                <w:szCs w:val="18"/>
              </w:rPr>
              <w:lastRenderedPageBreak/>
              <w:t>Protozoa</w:t>
            </w:r>
          </w:p>
        </w:tc>
        <w:tc>
          <w:tcPr>
            <w:tcW w:w="3949" w:type="dxa"/>
            <w:tcBorders>
              <w:tl2br w:val="nil"/>
              <w:tr2bl w:val="nil"/>
            </w:tcBorders>
            <w:noWrap/>
            <w:vAlign w:val="center"/>
          </w:tcPr>
          <w:p w14:paraId="4F97E23E"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lastRenderedPageBreak/>
              <w:t>针棘匣壳虫</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Centropyxis aculeata</w:t>
            </w:r>
          </w:p>
        </w:tc>
        <w:tc>
          <w:tcPr>
            <w:tcW w:w="473" w:type="dxa"/>
            <w:tcBorders>
              <w:tl2br w:val="nil"/>
              <w:tr2bl w:val="nil"/>
            </w:tcBorders>
            <w:vAlign w:val="center"/>
          </w:tcPr>
          <w:p w14:paraId="10CF3347"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77EEDA98"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2144F514"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6D7ABD7B"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18C400E3"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3262B8D7" w14:textId="77777777" w:rsidR="009D12AF" w:rsidRDefault="009D12AF">
            <w:pPr>
              <w:ind w:firstLineChars="0" w:firstLine="0"/>
              <w:rPr>
                <w:rFonts w:ascii="Times New Roman" w:hAnsi="Times New Roman" w:cs="Times New Roman"/>
                <w:color w:val="000000" w:themeColor="text1"/>
                <w:sz w:val="18"/>
                <w:szCs w:val="18"/>
              </w:rPr>
            </w:pPr>
          </w:p>
        </w:tc>
      </w:tr>
      <w:tr w:rsidR="009D12AF" w14:paraId="065B6338" w14:textId="77777777">
        <w:trPr>
          <w:trHeight w:val="280"/>
        </w:trPr>
        <w:tc>
          <w:tcPr>
            <w:tcW w:w="1504" w:type="dxa"/>
            <w:vMerge/>
            <w:tcBorders>
              <w:tl2br w:val="nil"/>
              <w:tr2bl w:val="nil"/>
            </w:tcBorders>
            <w:vAlign w:val="center"/>
          </w:tcPr>
          <w:p w14:paraId="643FDCC8"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0105DDBF"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王氏拟铃虫</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Tintinnopsis wangi</w:t>
            </w:r>
          </w:p>
        </w:tc>
        <w:tc>
          <w:tcPr>
            <w:tcW w:w="473" w:type="dxa"/>
            <w:tcBorders>
              <w:tl2br w:val="nil"/>
              <w:tr2bl w:val="nil"/>
            </w:tcBorders>
            <w:vAlign w:val="center"/>
          </w:tcPr>
          <w:p w14:paraId="591889E1"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1D6E5E00"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2E18DC1A"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0AC08A78"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178CD9D7"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118DC215"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090FAB3A" w14:textId="77777777">
        <w:trPr>
          <w:trHeight w:val="280"/>
        </w:trPr>
        <w:tc>
          <w:tcPr>
            <w:tcW w:w="1504" w:type="dxa"/>
            <w:vMerge/>
            <w:tcBorders>
              <w:tl2br w:val="nil"/>
              <w:tr2bl w:val="nil"/>
            </w:tcBorders>
            <w:vAlign w:val="center"/>
          </w:tcPr>
          <w:p w14:paraId="7AFA08AC"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652BAA90"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中华拟铃虫</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Titinnophsis sinensis</w:t>
            </w:r>
          </w:p>
        </w:tc>
        <w:tc>
          <w:tcPr>
            <w:tcW w:w="473" w:type="dxa"/>
            <w:tcBorders>
              <w:tl2br w:val="nil"/>
              <w:tr2bl w:val="nil"/>
            </w:tcBorders>
            <w:vAlign w:val="center"/>
          </w:tcPr>
          <w:p w14:paraId="573B4EB9"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1947E514"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762BE9E2"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0DB87718"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78BD8E16"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1B00CEF1"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46319D16" w14:textId="77777777">
        <w:trPr>
          <w:trHeight w:val="280"/>
        </w:trPr>
        <w:tc>
          <w:tcPr>
            <w:tcW w:w="1504" w:type="dxa"/>
            <w:vMerge/>
            <w:tcBorders>
              <w:tl2br w:val="nil"/>
              <w:tr2bl w:val="nil"/>
            </w:tcBorders>
            <w:vAlign w:val="center"/>
          </w:tcPr>
          <w:p w14:paraId="392881F9"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620F063F"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樽形拟铃虫</w:t>
            </w:r>
            <w:r>
              <w:rPr>
                <w:rFonts w:ascii="Times New Roman" w:hAnsi="Times New Roman" w:cs="Times New Roman"/>
                <w:i/>
                <w:iCs/>
                <w:color w:val="000000" w:themeColor="text1"/>
                <w:sz w:val="18"/>
                <w:szCs w:val="18"/>
              </w:rPr>
              <w:t>Tintinnopsis potiformis</w:t>
            </w:r>
          </w:p>
        </w:tc>
        <w:tc>
          <w:tcPr>
            <w:tcW w:w="473" w:type="dxa"/>
            <w:tcBorders>
              <w:tl2br w:val="nil"/>
              <w:tr2bl w:val="nil"/>
            </w:tcBorders>
            <w:vAlign w:val="center"/>
          </w:tcPr>
          <w:p w14:paraId="756F8217"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51DE9913"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63A35D52"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0D3FF074"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68F84790"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17DE4CB6" w14:textId="77777777" w:rsidR="009D12AF" w:rsidRDefault="009D12AF">
            <w:pPr>
              <w:ind w:firstLineChars="0" w:firstLine="0"/>
              <w:rPr>
                <w:rFonts w:ascii="Times New Roman" w:hAnsi="Times New Roman" w:cs="Times New Roman"/>
                <w:color w:val="000000" w:themeColor="text1"/>
                <w:sz w:val="18"/>
                <w:szCs w:val="18"/>
              </w:rPr>
            </w:pPr>
          </w:p>
        </w:tc>
      </w:tr>
      <w:tr w:rsidR="009D12AF" w14:paraId="599F3F97" w14:textId="77777777">
        <w:trPr>
          <w:trHeight w:val="280"/>
        </w:trPr>
        <w:tc>
          <w:tcPr>
            <w:tcW w:w="1504" w:type="dxa"/>
            <w:vMerge/>
            <w:tcBorders>
              <w:tl2br w:val="nil"/>
              <w:tr2bl w:val="nil"/>
            </w:tcBorders>
            <w:vAlign w:val="center"/>
          </w:tcPr>
          <w:p w14:paraId="78642CF4"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361D9649"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褐砂壳虫</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Difflugia avellana</w:t>
            </w:r>
          </w:p>
        </w:tc>
        <w:tc>
          <w:tcPr>
            <w:tcW w:w="473" w:type="dxa"/>
            <w:tcBorders>
              <w:tl2br w:val="nil"/>
              <w:tr2bl w:val="nil"/>
            </w:tcBorders>
            <w:vAlign w:val="center"/>
          </w:tcPr>
          <w:p w14:paraId="281B3BEC"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37D69890"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3EA79F42"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3F9583BD"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65EBBE8D"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1FFA1FB6"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7BB91DE8" w14:textId="77777777">
        <w:trPr>
          <w:trHeight w:val="280"/>
        </w:trPr>
        <w:tc>
          <w:tcPr>
            <w:tcW w:w="1504" w:type="dxa"/>
            <w:vMerge/>
            <w:tcBorders>
              <w:tl2br w:val="nil"/>
              <w:tr2bl w:val="nil"/>
            </w:tcBorders>
            <w:vAlign w:val="center"/>
          </w:tcPr>
          <w:p w14:paraId="4D575FB8"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2BFFE3D8"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湖累枝虫</w:t>
            </w:r>
            <w:r>
              <w:rPr>
                <w:rFonts w:ascii="Times New Roman" w:hAnsi="Times New Roman" w:cs="Times New Roman"/>
                <w:i/>
                <w:iCs/>
                <w:color w:val="000000" w:themeColor="text1"/>
                <w:sz w:val="18"/>
                <w:szCs w:val="18"/>
              </w:rPr>
              <w:t>Epistylis lacustris</w:t>
            </w:r>
          </w:p>
        </w:tc>
        <w:tc>
          <w:tcPr>
            <w:tcW w:w="473" w:type="dxa"/>
            <w:tcBorders>
              <w:tl2br w:val="nil"/>
              <w:tr2bl w:val="nil"/>
            </w:tcBorders>
            <w:vAlign w:val="center"/>
          </w:tcPr>
          <w:p w14:paraId="12D4B2AF"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04D7958E"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5D9121FB"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23D17945"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362612CD"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6DAC07EE"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12769605" w14:textId="77777777">
        <w:trPr>
          <w:trHeight w:val="280"/>
        </w:trPr>
        <w:tc>
          <w:tcPr>
            <w:tcW w:w="1504" w:type="dxa"/>
            <w:vMerge/>
            <w:tcBorders>
              <w:tl2br w:val="nil"/>
              <w:tr2bl w:val="nil"/>
            </w:tcBorders>
            <w:vAlign w:val="center"/>
          </w:tcPr>
          <w:p w14:paraId="07BD5594"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0588D1D5"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浮游累枝虫</w:t>
            </w:r>
            <w:r>
              <w:rPr>
                <w:rFonts w:ascii="Times New Roman" w:hAnsi="Times New Roman" w:cs="Times New Roman"/>
                <w:i/>
                <w:iCs/>
                <w:color w:val="000000" w:themeColor="text1"/>
                <w:sz w:val="18"/>
                <w:szCs w:val="18"/>
              </w:rPr>
              <w:t>Epistylis rotans</w:t>
            </w:r>
          </w:p>
        </w:tc>
        <w:tc>
          <w:tcPr>
            <w:tcW w:w="473" w:type="dxa"/>
            <w:tcBorders>
              <w:tl2br w:val="nil"/>
              <w:tr2bl w:val="nil"/>
            </w:tcBorders>
            <w:vAlign w:val="center"/>
          </w:tcPr>
          <w:p w14:paraId="6CE67B4B"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6114DECF"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78B4A10F"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4493B1F0"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711E16D5"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2A5ED0A2" w14:textId="77777777" w:rsidR="009D12AF" w:rsidRDefault="009D12AF">
            <w:pPr>
              <w:ind w:firstLineChars="0" w:firstLine="0"/>
              <w:rPr>
                <w:rFonts w:ascii="Times New Roman" w:hAnsi="Times New Roman" w:cs="Times New Roman"/>
                <w:color w:val="000000" w:themeColor="text1"/>
                <w:sz w:val="18"/>
                <w:szCs w:val="18"/>
              </w:rPr>
            </w:pPr>
          </w:p>
        </w:tc>
      </w:tr>
      <w:tr w:rsidR="009D12AF" w14:paraId="40F4C3BF" w14:textId="77777777">
        <w:trPr>
          <w:trHeight w:val="280"/>
        </w:trPr>
        <w:tc>
          <w:tcPr>
            <w:tcW w:w="1504" w:type="dxa"/>
            <w:vMerge/>
            <w:tcBorders>
              <w:tl2br w:val="nil"/>
              <w:tr2bl w:val="nil"/>
            </w:tcBorders>
            <w:vAlign w:val="center"/>
          </w:tcPr>
          <w:p w14:paraId="6A65F603"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649BB3C5"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钟形钟虫</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Vorticella campanula</w:t>
            </w:r>
          </w:p>
        </w:tc>
        <w:tc>
          <w:tcPr>
            <w:tcW w:w="473" w:type="dxa"/>
            <w:tcBorders>
              <w:tl2br w:val="nil"/>
              <w:tr2bl w:val="nil"/>
            </w:tcBorders>
            <w:vAlign w:val="center"/>
          </w:tcPr>
          <w:p w14:paraId="444C6EDF"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434646D7"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7A187A2C"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1813E28C"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4DE6D260"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2B218B96" w14:textId="77777777" w:rsidR="009D12AF" w:rsidRDefault="009D12AF">
            <w:pPr>
              <w:ind w:firstLineChars="0" w:firstLine="0"/>
              <w:rPr>
                <w:rFonts w:ascii="Times New Roman" w:hAnsi="Times New Roman" w:cs="Times New Roman"/>
                <w:color w:val="000000" w:themeColor="text1"/>
                <w:sz w:val="18"/>
                <w:szCs w:val="18"/>
              </w:rPr>
            </w:pPr>
          </w:p>
        </w:tc>
      </w:tr>
      <w:tr w:rsidR="009D12AF" w14:paraId="21F4DA4C" w14:textId="77777777">
        <w:trPr>
          <w:trHeight w:val="280"/>
        </w:trPr>
        <w:tc>
          <w:tcPr>
            <w:tcW w:w="1504" w:type="dxa"/>
            <w:vMerge/>
            <w:tcBorders>
              <w:tl2br w:val="nil"/>
              <w:tr2bl w:val="nil"/>
            </w:tcBorders>
            <w:vAlign w:val="center"/>
          </w:tcPr>
          <w:p w14:paraId="09065074"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5249325A"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陀螺侠盗虫</w:t>
            </w:r>
            <w:r>
              <w:rPr>
                <w:rFonts w:ascii="Times New Roman" w:hAnsi="Times New Roman" w:cs="Times New Roman"/>
                <w:i/>
                <w:iCs/>
                <w:color w:val="000000" w:themeColor="text1"/>
                <w:sz w:val="18"/>
                <w:szCs w:val="18"/>
              </w:rPr>
              <w:t xml:space="preserve">Strobilidium velox </w:t>
            </w:r>
          </w:p>
        </w:tc>
        <w:tc>
          <w:tcPr>
            <w:tcW w:w="473" w:type="dxa"/>
            <w:tcBorders>
              <w:tl2br w:val="nil"/>
              <w:tr2bl w:val="nil"/>
            </w:tcBorders>
            <w:vAlign w:val="center"/>
          </w:tcPr>
          <w:p w14:paraId="5D1D9A15"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53AD0D57"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30E5AA28"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75BD9B6B"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06003E60"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5265AEEF" w14:textId="77777777" w:rsidR="009D12AF" w:rsidRDefault="009D12AF">
            <w:pPr>
              <w:ind w:firstLineChars="0" w:firstLine="0"/>
              <w:rPr>
                <w:rFonts w:ascii="Times New Roman" w:hAnsi="Times New Roman" w:cs="Times New Roman"/>
                <w:color w:val="000000" w:themeColor="text1"/>
                <w:sz w:val="18"/>
                <w:szCs w:val="18"/>
              </w:rPr>
            </w:pPr>
          </w:p>
        </w:tc>
      </w:tr>
      <w:tr w:rsidR="009D12AF" w14:paraId="40E81346" w14:textId="77777777">
        <w:trPr>
          <w:trHeight w:val="280"/>
        </w:trPr>
        <w:tc>
          <w:tcPr>
            <w:tcW w:w="1504" w:type="dxa"/>
            <w:vMerge/>
            <w:tcBorders>
              <w:tl2br w:val="nil"/>
              <w:tr2bl w:val="nil"/>
            </w:tcBorders>
            <w:vAlign w:val="center"/>
          </w:tcPr>
          <w:p w14:paraId="4967566C"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1C6B4BA6"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旋回侠盗虫</w:t>
            </w:r>
            <w:r>
              <w:rPr>
                <w:rFonts w:ascii="Times New Roman" w:hAnsi="Times New Roman" w:cs="Times New Roman"/>
                <w:i/>
                <w:iCs/>
                <w:color w:val="000000" w:themeColor="text1"/>
                <w:sz w:val="18"/>
                <w:szCs w:val="18"/>
              </w:rPr>
              <w:t>Strobilidium gyrans</w:t>
            </w:r>
          </w:p>
        </w:tc>
        <w:tc>
          <w:tcPr>
            <w:tcW w:w="473" w:type="dxa"/>
            <w:tcBorders>
              <w:tl2br w:val="nil"/>
              <w:tr2bl w:val="nil"/>
            </w:tcBorders>
            <w:vAlign w:val="center"/>
          </w:tcPr>
          <w:p w14:paraId="5B41CDAF"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067C9D20"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75A49356"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45B54BB8"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5726A6E3"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00DD3287" w14:textId="77777777" w:rsidR="009D12AF" w:rsidRDefault="009D12AF">
            <w:pPr>
              <w:ind w:firstLineChars="0" w:firstLine="0"/>
              <w:rPr>
                <w:rFonts w:ascii="Times New Roman" w:hAnsi="Times New Roman" w:cs="Times New Roman"/>
                <w:color w:val="000000" w:themeColor="text1"/>
                <w:sz w:val="18"/>
                <w:szCs w:val="18"/>
              </w:rPr>
            </w:pPr>
          </w:p>
        </w:tc>
      </w:tr>
      <w:tr w:rsidR="009D12AF" w14:paraId="5B70DCAF" w14:textId="77777777">
        <w:trPr>
          <w:trHeight w:val="280"/>
        </w:trPr>
        <w:tc>
          <w:tcPr>
            <w:tcW w:w="1504" w:type="dxa"/>
            <w:vMerge/>
            <w:tcBorders>
              <w:tl2br w:val="nil"/>
              <w:tr2bl w:val="nil"/>
            </w:tcBorders>
            <w:vAlign w:val="center"/>
          </w:tcPr>
          <w:p w14:paraId="2238410B"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6324156A"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钟虫</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 xml:space="preserve">Vorticella </w:t>
            </w:r>
            <w:r>
              <w:rPr>
                <w:rFonts w:ascii="Times New Roman" w:hAnsi="Times New Roman" w:cs="Times New Roman"/>
                <w:color w:val="000000" w:themeColor="text1"/>
                <w:sz w:val="18"/>
                <w:szCs w:val="18"/>
              </w:rPr>
              <w:t>sp.</w:t>
            </w:r>
          </w:p>
        </w:tc>
        <w:tc>
          <w:tcPr>
            <w:tcW w:w="473" w:type="dxa"/>
            <w:tcBorders>
              <w:tl2br w:val="nil"/>
              <w:tr2bl w:val="nil"/>
            </w:tcBorders>
            <w:vAlign w:val="center"/>
          </w:tcPr>
          <w:p w14:paraId="7A567C37"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62E83BB8"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0247F7DC"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1DFC699F"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776CC32A"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22882143"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3FE5AB9D" w14:textId="77777777">
        <w:trPr>
          <w:trHeight w:val="280"/>
        </w:trPr>
        <w:tc>
          <w:tcPr>
            <w:tcW w:w="1504" w:type="dxa"/>
            <w:vMerge/>
            <w:tcBorders>
              <w:tl2br w:val="nil"/>
              <w:tr2bl w:val="nil"/>
            </w:tcBorders>
            <w:vAlign w:val="center"/>
          </w:tcPr>
          <w:p w14:paraId="13CEFB25"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06857E8E"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团睥睨虫</w:t>
            </w:r>
            <w:r>
              <w:rPr>
                <w:rFonts w:ascii="Times New Roman" w:hAnsi="Times New Roman" w:cs="Times New Roman"/>
                <w:i/>
                <w:iCs/>
                <w:color w:val="000000" w:themeColor="text1"/>
                <w:sz w:val="18"/>
                <w:szCs w:val="18"/>
              </w:rPr>
              <w:t>Askenasia volvox</w:t>
            </w:r>
          </w:p>
        </w:tc>
        <w:tc>
          <w:tcPr>
            <w:tcW w:w="473" w:type="dxa"/>
            <w:tcBorders>
              <w:tl2br w:val="nil"/>
              <w:tr2bl w:val="nil"/>
            </w:tcBorders>
            <w:vAlign w:val="center"/>
          </w:tcPr>
          <w:p w14:paraId="4A54C555"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31232D1D"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2D868635"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1CD75C79"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0D0350CC"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533F567C"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0E94A22D" w14:textId="77777777">
        <w:trPr>
          <w:trHeight w:val="280"/>
        </w:trPr>
        <w:tc>
          <w:tcPr>
            <w:tcW w:w="1504" w:type="dxa"/>
            <w:vMerge w:val="restart"/>
            <w:tcBorders>
              <w:tl2br w:val="nil"/>
              <w:tr2bl w:val="nil"/>
            </w:tcBorders>
            <w:vAlign w:val="center"/>
          </w:tcPr>
          <w:p w14:paraId="68F57455"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轮虫</w:t>
            </w:r>
            <w:r>
              <w:rPr>
                <w:rFonts w:ascii="Times New Roman" w:hAnsi="Times New Roman" w:cs="Times New Roman"/>
                <w:color w:val="000000" w:themeColor="text1"/>
                <w:sz w:val="18"/>
                <w:szCs w:val="18"/>
              </w:rPr>
              <w:t>Rotifera</w:t>
            </w:r>
          </w:p>
        </w:tc>
        <w:tc>
          <w:tcPr>
            <w:tcW w:w="3949" w:type="dxa"/>
            <w:tcBorders>
              <w:tl2br w:val="nil"/>
              <w:tr2bl w:val="nil"/>
            </w:tcBorders>
            <w:noWrap/>
            <w:vAlign w:val="center"/>
          </w:tcPr>
          <w:p w14:paraId="2B7CD9F7"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疣毛轮虫</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 xml:space="preserve">Synchaeta </w:t>
            </w:r>
            <w:r>
              <w:rPr>
                <w:rFonts w:ascii="Times New Roman" w:hAnsi="Times New Roman" w:cs="Times New Roman"/>
                <w:color w:val="000000" w:themeColor="text1"/>
                <w:sz w:val="18"/>
                <w:szCs w:val="18"/>
              </w:rPr>
              <w:t>sp.</w:t>
            </w:r>
          </w:p>
        </w:tc>
        <w:tc>
          <w:tcPr>
            <w:tcW w:w="473" w:type="dxa"/>
            <w:tcBorders>
              <w:tl2br w:val="nil"/>
              <w:tr2bl w:val="nil"/>
            </w:tcBorders>
            <w:vAlign w:val="center"/>
          </w:tcPr>
          <w:p w14:paraId="6FC2A096"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18977BC0"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067345E7"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0F4D5788"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2523C11E"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67B46507" w14:textId="77777777" w:rsidR="009D12AF" w:rsidRDefault="009D12AF">
            <w:pPr>
              <w:ind w:firstLineChars="0" w:firstLine="0"/>
              <w:rPr>
                <w:rFonts w:ascii="Times New Roman" w:hAnsi="Times New Roman" w:cs="Times New Roman"/>
                <w:color w:val="000000" w:themeColor="text1"/>
                <w:sz w:val="18"/>
                <w:szCs w:val="18"/>
              </w:rPr>
            </w:pPr>
          </w:p>
        </w:tc>
      </w:tr>
      <w:tr w:rsidR="009D12AF" w14:paraId="09FC3425" w14:textId="77777777">
        <w:trPr>
          <w:trHeight w:val="300"/>
        </w:trPr>
        <w:tc>
          <w:tcPr>
            <w:tcW w:w="1504" w:type="dxa"/>
            <w:vMerge/>
            <w:tcBorders>
              <w:tl2br w:val="nil"/>
              <w:tr2bl w:val="nil"/>
            </w:tcBorders>
            <w:vAlign w:val="center"/>
          </w:tcPr>
          <w:p w14:paraId="771E49A6"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vAlign w:val="center"/>
          </w:tcPr>
          <w:p w14:paraId="5FFC5313"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瘤甲腔轮虫</w:t>
            </w:r>
            <w:r>
              <w:rPr>
                <w:rFonts w:ascii="Times New Roman" w:hAnsi="Times New Roman" w:cs="Times New Roman"/>
                <w:i/>
                <w:iCs/>
                <w:color w:val="000000" w:themeColor="text1"/>
                <w:sz w:val="18"/>
                <w:szCs w:val="18"/>
              </w:rPr>
              <w:t>Lecane nodosa</w:t>
            </w:r>
          </w:p>
        </w:tc>
        <w:tc>
          <w:tcPr>
            <w:tcW w:w="473" w:type="dxa"/>
            <w:tcBorders>
              <w:tl2br w:val="nil"/>
              <w:tr2bl w:val="nil"/>
            </w:tcBorders>
            <w:vAlign w:val="center"/>
          </w:tcPr>
          <w:p w14:paraId="6E0BDDC9"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584858B6"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6A801F26"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5037D743"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0949F2BF"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74F22ED9"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203D2D1D" w14:textId="77777777">
        <w:trPr>
          <w:trHeight w:val="300"/>
        </w:trPr>
        <w:tc>
          <w:tcPr>
            <w:tcW w:w="1504" w:type="dxa"/>
            <w:vMerge/>
            <w:tcBorders>
              <w:tl2br w:val="nil"/>
              <w:tr2bl w:val="nil"/>
            </w:tcBorders>
            <w:vAlign w:val="center"/>
          </w:tcPr>
          <w:p w14:paraId="2B6925EA"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vAlign w:val="center"/>
          </w:tcPr>
          <w:p w14:paraId="7BE05DDE"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长三肢轮虫</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Filinia longiseta</w:t>
            </w:r>
          </w:p>
        </w:tc>
        <w:tc>
          <w:tcPr>
            <w:tcW w:w="473" w:type="dxa"/>
            <w:tcBorders>
              <w:tl2br w:val="nil"/>
              <w:tr2bl w:val="nil"/>
            </w:tcBorders>
            <w:vAlign w:val="center"/>
          </w:tcPr>
          <w:p w14:paraId="697E0203"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22200A61"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423AE42F"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6850BAB6"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7C17B793"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34EA6BFA"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691CCA07" w14:textId="77777777">
        <w:trPr>
          <w:trHeight w:val="300"/>
        </w:trPr>
        <w:tc>
          <w:tcPr>
            <w:tcW w:w="1504" w:type="dxa"/>
            <w:vMerge/>
            <w:tcBorders>
              <w:tl2br w:val="nil"/>
              <w:tr2bl w:val="nil"/>
            </w:tcBorders>
            <w:vAlign w:val="center"/>
          </w:tcPr>
          <w:p w14:paraId="65F87C76"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vAlign w:val="center"/>
          </w:tcPr>
          <w:p w14:paraId="08CBAD49"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针簇多肢轮虫</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Polyarthra trigla</w:t>
            </w:r>
          </w:p>
        </w:tc>
        <w:tc>
          <w:tcPr>
            <w:tcW w:w="473" w:type="dxa"/>
            <w:tcBorders>
              <w:tl2br w:val="nil"/>
              <w:tr2bl w:val="nil"/>
            </w:tcBorders>
            <w:vAlign w:val="center"/>
          </w:tcPr>
          <w:p w14:paraId="08C38B03"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50B89C20"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554A4DA4"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1E917A80"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4E1545E2"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2126D096" w14:textId="77777777" w:rsidR="009D12AF" w:rsidRDefault="009D12AF">
            <w:pPr>
              <w:ind w:firstLineChars="0" w:firstLine="0"/>
              <w:rPr>
                <w:rFonts w:ascii="Times New Roman" w:hAnsi="Times New Roman" w:cs="Times New Roman"/>
                <w:color w:val="000000" w:themeColor="text1"/>
                <w:sz w:val="18"/>
                <w:szCs w:val="18"/>
              </w:rPr>
            </w:pPr>
          </w:p>
        </w:tc>
      </w:tr>
      <w:tr w:rsidR="009D12AF" w14:paraId="7AD5EF4F" w14:textId="77777777">
        <w:trPr>
          <w:trHeight w:val="280"/>
        </w:trPr>
        <w:tc>
          <w:tcPr>
            <w:tcW w:w="1504" w:type="dxa"/>
            <w:vMerge/>
            <w:tcBorders>
              <w:tl2br w:val="nil"/>
              <w:tr2bl w:val="nil"/>
            </w:tcBorders>
            <w:vAlign w:val="center"/>
          </w:tcPr>
          <w:p w14:paraId="107F6FF3"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03F664FE"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螺形龟甲轮虫</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Keratella cochlearis</w:t>
            </w:r>
          </w:p>
        </w:tc>
        <w:tc>
          <w:tcPr>
            <w:tcW w:w="473" w:type="dxa"/>
            <w:tcBorders>
              <w:tl2br w:val="nil"/>
              <w:tr2bl w:val="nil"/>
            </w:tcBorders>
            <w:vAlign w:val="center"/>
          </w:tcPr>
          <w:p w14:paraId="1E8D2217"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2761A094"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675A0789"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03DFEE56"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40C70B5F"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2F0C02D8" w14:textId="77777777" w:rsidR="009D12AF" w:rsidRDefault="009D12AF">
            <w:pPr>
              <w:ind w:firstLineChars="0" w:firstLine="0"/>
              <w:rPr>
                <w:rFonts w:ascii="Times New Roman" w:hAnsi="Times New Roman" w:cs="Times New Roman"/>
                <w:color w:val="000000" w:themeColor="text1"/>
                <w:sz w:val="18"/>
                <w:szCs w:val="18"/>
              </w:rPr>
            </w:pPr>
          </w:p>
        </w:tc>
      </w:tr>
      <w:tr w:rsidR="009D12AF" w14:paraId="62F5B43C" w14:textId="77777777">
        <w:trPr>
          <w:trHeight w:val="280"/>
        </w:trPr>
        <w:tc>
          <w:tcPr>
            <w:tcW w:w="1504" w:type="dxa"/>
            <w:vMerge/>
            <w:tcBorders>
              <w:tl2br w:val="nil"/>
              <w:tr2bl w:val="nil"/>
            </w:tcBorders>
            <w:vAlign w:val="center"/>
          </w:tcPr>
          <w:p w14:paraId="7C4A978A"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54A4946C"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矩形龟甲轮虫</w:t>
            </w:r>
            <w:r>
              <w:rPr>
                <w:rFonts w:ascii="Times New Roman" w:hAnsi="Times New Roman" w:cs="Times New Roman"/>
                <w:i/>
                <w:iCs/>
                <w:color w:val="000000" w:themeColor="text1"/>
                <w:sz w:val="18"/>
                <w:szCs w:val="18"/>
              </w:rPr>
              <w:t xml:space="preserve">Keratella quadrata </w:t>
            </w:r>
          </w:p>
        </w:tc>
        <w:tc>
          <w:tcPr>
            <w:tcW w:w="473" w:type="dxa"/>
            <w:tcBorders>
              <w:tl2br w:val="nil"/>
              <w:tr2bl w:val="nil"/>
            </w:tcBorders>
            <w:vAlign w:val="center"/>
          </w:tcPr>
          <w:p w14:paraId="48DEE6D9"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2A4AF716"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18F5E22F"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2BF2DAB9"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1EBDC725"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718DAB68"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35283CC4" w14:textId="77777777">
        <w:trPr>
          <w:trHeight w:val="300"/>
        </w:trPr>
        <w:tc>
          <w:tcPr>
            <w:tcW w:w="1504" w:type="dxa"/>
            <w:vMerge/>
            <w:tcBorders>
              <w:tl2br w:val="nil"/>
              <w:tr2bl w:val="nil"/>
            </w:tcBorders>
            <w:vAlign w:val="center"/>
          </w:tcPr>
          <w:p w14:paraId="07103A97"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vAlign w:val="center"/>
          </w:tcPr>
          <w:p w14:paraId="14A46FB3"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卜氏晶囊轮虫</w:t>
            </w:r>
            <w:r>
              <w:rPr>
                <w:rFonts w:ascii="Times New Roman" w:hAnsi="Times New Roman" w:cs="Times New Roman"/>
                <w:i/>
                <w:iCs/>
                <w:color w:val="000000" w:themeColor="text1"/>
                <w:sz w:val="18"/>
                <w:szCs w:val="18"/>
              </w:rPr>
              <w:t>Asplanchna brightwelli</w:t>
            </w:r>
          </w:p>
        </w:tc>
        <w:tc>
          <w:tcPr>
            <w:tcW w:w="473" w:type="dxa"/>
            <w:tcBorders>
              <w:tl2br w:val="nil"/>
              <w:tr2bl w:val="nil"/>
            </w:tcBorders>
            <w:vAlign w:val="center"/>
          </w:tcPr>
          <w:p w14:paraId="035DEC64"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45425AF2"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1DA7CC9C"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49613637"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3169C901"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4250E9DB" w14:textId="77777777" w:rsidR="009D12AF" w:rsidRDefault="009D12AF">
            <w:pPr>
              <w:ind w:firstLineChars="0" w:firstLine="0"/>
              <w:rPr>
                <w:rFonts w:ascii="Times New Roman" w:hAnsi="Times New Roman" w:cs="Times New Roman"/>
                <w:color w:val="000000" w:themeColor="text1"/>
                <w:sz w:val="18"/>
                <w:szCs w:val="18"/>
              </w:rPr>
            </w:pPr>
          </w:p>
        </w:tc>
      </w:tr>
      <w:tr w:rsidR="009D12AF" w14:paraId="674567BC" w14:textId="77777777">
        <w:trPr>
          <w:trHeight w:val="300"/>
        </w:trPr>
        <w:tc>
          <w:tcPr>
            <w:tcW w:w="1504" w:type="dxa"/>
            <w:vMerge/>
            <w:tcBorders>
              <w:tl2br w:val="nil"/>
              <w:tr2bl w:val="nil"/>
            </w:tcBorders>
            <w:vAlign w:val="center"/>
          </w:tcPr>
          <w:p w14:paraId="63B00C9C"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vAlign w:val="center"/>
          </w:tcPr>
          <w:p w14:paraId="73E09B9A"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角突臂尾轮虫</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Brachionus angularia</w:t>
            </w:r>
          </w:p>
        </w:tc>
        <w:tc>
          <w:tcPr>
            <w:tcW w:w="473" w:type="dxa"/>
            <w:tcBorders>
              <w:tl2br w:val="nil"/>
              <w:tr2bl w:val="nil"/>
            </w:tcBorders>
            <w:vAlign w:val="center"/>
          </w:tcPr>
          <w:p w14:paraId="0ABE6879"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45BA9172"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216A91B1"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1063ED86"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649BE653"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4BDFE447" w14:textId="77777777" w:rsidR="009D12AF" w:rsidRDefault="009D12AF">
            <w:pPr>
              <w:ind w:firstLineChars="0" w:firstLine="0"/>
              <w:rPr>
                <w:rFonts w:ascii="Times New Roman" w:hAnsi="Times New Roman" w:cs="Times New Roman"/>
                <w:color w:val="000000" w:themeColor="text1"/>
                <w:sz w:val="18"/>
                <w:szCs w:val="18"/>
              </w:rPr>
            </w:pPr>
          </w:p>
        </w:tc>
      </w:tr>
      <w:tr w:rsidR="009D12AF" w14:paraId="632E012C" w14:textId="77777777">
        <w:trPr>
          <w:trHeight w:val="280"/>
        </w:trPr>
        <w:tc>
          <w:tcPr>
            <w:tcW w:w="1504" w:type="dxa"/>
            <w:vMerge/>
            <w:tcBorders>
              <w:tl2br w:val="nil"/>
              <w:tr2bl w:val="nil"/>
            </w:tcBorders>
            <w:vAlign w:val="center"/>
          </w:tcPr>
          <w:p w14:paraId="6CA97F5F"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3D8844D1"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萼花臂尾轮虫</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Brachionus calyciflorus</w:t>
            </w:r>
          </w:p>
        </w:tc>
        <w:tc>
          <w:tcPr>
            <w:tcW w:w="473" w:type="dxa"/>
            <w:tcBorders>
              <w:tl2br w:val="nil"/>
              <w:tr2bl w:val="nil"/>
            </w:tcBorders>
            <w:vAlign w:val="center"/>
          </w:tcPr>
          <w:p w14:paraId="2FC4CF95"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2C5C4FD0"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6C6E9961"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69FF0EA1"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78E12202"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6FE299AA" w14:textId="77777777" w:rsidR="009D12AF" w:rsidRDefault="009D12AF">
            <w:pPr>
              <w:ind w:firstLineChars="0" w:firstLine="0"/>
              <w:rPr>
                <w:rFonts w:ascii="Times New Roman" w:hAnsi="Times New Roman" w:cs="Times New Roman"/>
                <w:color w:val="000000" w:themeColor="text1"/>
                <w:sz w:val="18"/>
                <w:szCs w:val="18"/>
              </w:rPr>
            </w:pPr>
          </w:p>
        </w:tc>
      </w:tr>
      <w:tr w:rsidR="009D12AF" w14:paraId="16C7CE39" w14:textId="77777777">
        <w:trPr>
          <w:trHeight w:val="300"/>
        </w:trPr>
        <w:tc>
          <w:tcPr>
            <w:tcW w:w="1504" w:type="dxa"/>
            <w:vMerge/>
            <w:tcBorders>
              <w:tl2br w:val="nil"/>
              <w:tr2bl w:val="nil"/>
            </w:tcBorders>
            <w:vAlign w:val="center"/>
          </w:tcPr>
          <w:p w14:paraId="76EFDCE8"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vAlign w:val="center"/>
          </w:tcPr>
          <w:p w14:paraId="6AFAAE02"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梨形单趾轮虫</w:t>
            </w:r>
            <w:r>
              <w:rPr>
                <w:rFonts w:ascii="Times New Roman" w:hAnsi="Times New Roman" w:cs="Times New Roman"/>
                <w:i/>
                <w:iCs/>
                <w:color w:val="000000" w:themeColor="text1"/>
                <w:sz w:val="18"/>
                <w:szCs w:val="18"/>
              </w:rPr>
              <w:t>Monostyla pyriformis</w:t>
            </w:r>
          </w:p>
        </w:tc>
        <w:tc>
          <w:tcPr>
            <w:tcW w:w="473" w:type="dxa"/>
            <w:tcBorders>
              <w:tl2br w:val="nil"/>
              <w:tr2bl w:val="nil"/>
            </w:tcBorders>
            <w:vAlign w:val="center"/>
          </w:tcPr>
          <w:p w14:paraId="2DF27B23"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4A6AC3A8"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7CE0EAFB"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5BA38F0D"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2CB3C6E8"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07E27C50"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363E74BD" w14:textId="77777777">
        <w:trPr>
          <w:trHeight w:val="300"/>
        </w:trPr>
        <w:tc>
          <w:tcPr>
            <w:tcW w:w="1504" w:type="dxa"/>
            <w:vMerge/>
            <w:tcBorders>
              <w:tl2br w:val="nil"/>
              <w:tr2bl w:val="nil"/>
            </w:tcBorders>
            <w:vAlign w:val="center"/>
          </w:tcPr>
          <w:p w14:paraId="0A3F2D4A"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vAlign w:val="center"/>
          </w:tcPr>
          <w:p w14:paraId="34B9156C"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前额犀轮虫</w:t>
            </w:r>
            <w:r>
              <w:rPr>
                <w:rFonts w:ascii="Times New Roman" w:hAnsi="Times New Roman" w:cs="Times New Roman"/>
                <w:i/>
                <w:iCs/>
                <w:color w:val="000000" w:themeColor="text1"/>
                <w:sz w:val="18"/>
                <w:szCs w:val="18"/>
              </w:rPr>
              <w:t>Rhinoglena frontalis</w:t>
            </w:r>
          </w:p>
        </w:tc>
        <w:tc>
          <w:tcPr>
            <w:tcW w:w="473" w:type="dxa"/>
            <w:tcBorders>
              <w:tl2br w:val="nil"/>
              <w:tr2bl w:val="nil"/>
            </w:tcBorders>
            <w:vAlign w:val="center"/>
          </w:tcPr>
          <w:p w14:paraId="3B77AA26"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78C74C71"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10CC86B0"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1157B654"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6CFA6451"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5CE77348"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1596884F" w14:textId="77777777">
        <w:trPr>
          <w:trHeight w:val="280"/>
        </w:trPr>
        <w:tc>
          <w:tcPr>
            <w:tcW w:w="1504" w:type="dxa"/>
            <w:vMerge/>
            <w:tcBorders>
              <w:tl2br w:val="nil"/>
              <w:tr2bl w:val="nil"/>
            </w:tcBorders>
            <w:vAlign w:val="center"/>
          </w:tcPr>
          <w:p w14:paraId="15113980"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50D797E0"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舞跃无柄轮虫</w:t>
            </w:r>
            <w:r>
              <w:rPr>
                <w:rFonts w:ascii="Times New Roman" w:hAnsi="Times New Roman" w:cs="Times New Roman"/>
                <w:i/>
                <w:iCs/>
                <w:color w:val="000000" w:themeColor="text1"/>
                <w:sz w:val="18"/>
                <w:szCs w:val="18"/>
              </w:rPr>
              <w:t xml:space="preserve">Ascomorpha saltans </w:t>
            </w:r>
          </w:p>
        </w:tc>
        <w:tc>
          <w:tcPr>
            <w:tcW w:w="473" w:type="dxa"/>
            <w:tcBorders>
              <w:tl2br w:val="nil"/>
              <w:tr2bl w:val="nil"/>
            </w:tcBorders>
            <w:vAlign w:val="center"/>
          </w:tcPr>
          <w:p w14:paraId="79EA44F0"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2B639FDA"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27F840FE"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79E21F18"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72CFDF37"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2BB338CB" w14:textId="77777777" w:rsidR="009D12AF" w:rsidRDefault="009D12AF">
            <w:pPr>
              <w:ind w:firstLineChars="0" w:firstLine="0"/>
              <w:rPr>
                <w:rFonts w:ascii="Times New Roman" w:hAnsi="Times New Roman" w:cs="Times New Roman"/>
                <w:color w:val="000000" w:themeColor="text1"/>
                <w:sz w:val="18"/>
                <w:szCs w:val="18"/>
              </w:rPr>
            </w:pPr>
          </w:p>
        </w:tc>
      </w:tr>
      <w:tr w:rsidR="009D12AF" w14:paraId="3A557FE7" w14:textId="77777777">
        <w:trPr>
          <w:trHeight w:val="280"/>
        </w:trPr>
        <w:tc>
          <w:tcPr>
            <w:tcW w:w="1504" w:type="dxa"/>
            <w:vMerge/>
            <w:tcBorders>
              <w:tl2br w:val="nil"/>
              <w:tr2bl w:val="nil"/>
            </w:tcBorders>
            <w:vAlign w:val="center"/>
          </w:tcPr>
          <w:p w14:paraId="4AF7F9E4"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263A8CB3"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独角聚花轮虫</w:t>
            </w:r>
            <w:r>
              <w:rPr>
                <w:rFonts w:ascii="Times New Roman" w:hAnsi="Times New Roman" w:cs="Times New Roman"/>
                <w:i/>
                <w:iCs/>
                <w:color w:val="000000" w:themeColor="text1"/>
                <w:sz w:val="18"/>
                <w:szCs w:val="18"/>
              </w:rPr>
              <w:t>Conoclhilus unicormis</w:t>
            </w:r>
          </w:p>
        </w:tc>
        <w:tc>
          <w:tcPr>
            <w:tcW w:w="473" w:type="dxa"/>
            <w:tcBorders>
              <w:tl2br w:val="nil"/>
              <w:tr2bl w:val="nil"/>
            </w:tcBorders>
            <w:vAlign w:val="center"/>
          </w:tcPr>
          <w:p w14:paraId="2F3485F2"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0D03635E"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5607C771"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037B2008"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25888E8D"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02D1812E"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18671363" w14:textId="77777777">
        <w:trPr>
          <w:trHeight w:val="280"/>
        </w:trPr>
        <w:tc>
          <w:tcPr>
            <w:tcW w:w="1504" w:type="dxa"/>
            <w:vMerge/>
            <w:tcBorders>
              <w:tl2br w:val="nil"/>
              <w:tr2bl w:val="nil"/>
            </w:tcBorders>
            <w:vAlign w:val="center"/>
          </w:tcPr>
          <w:p w14:paraId="7D18919D"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32973CEE"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方块鬼轮虫</w:t>
            </w:r>
            <w:r>
              <w:rPr>
                <w:rFonts w:ascii="Times New Roman" w:hAnsi="Times New Roman" w:cs="Times New Roman"/>
                <w:i/>
                <w:iCs/>
                <w:color w:val="000000" w:themeColor="text1"/>
                <w:sz w:val="18"/>
                <w:szCs w:val="18"/>
              </w:rPr>
              <w:t>Trichotria tetractis</w:t>
            </w:r>
          </w:p>
        </w:tc>
        <w:tc>
          <w:tcPr>
            <w:tcW w:w="473" w:type="dxa"/>
            <w:tcBorders>
              <w:tl2br w:val="nil"/>
              <w:tr2bl w:val="nil"/>
            </w:tcBorders>
            <w:vAlign w:val="center"/>
          </w:tcPr>
          <w:p w14:paraId="6F094AE7"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528B74F5"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4B12AA5A"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261E2640"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6DAE19C6"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4B1FA76E"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456086AD" w14:textId="77777777">
        <w:trPr>
          <w:trHeight w:val="300"/>
        </w:trPr>
        <w:tc>
          <w:tcPr>
            <w:tcW w:w="1504" w:type="dxa"/>
            <w:vMerge w:val="restart"/>
            <w:tcBorders>
              <w:tl2br w:val="nil"/>
              <w:tr2bl w:val="nil"/>
            </w:tcBorders>
            <w:vAlign w:val="center"/>
          </w:tcPr>
          <w:p w14:paraId="455F6A12"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枝角类</w:t>
            </w:r>
            <w:r>
              <w:rPr>
                <w:rFonts w:ascii="Times New Roman" w:hAnsi="Times New Roman" w:cs="Times New Roman"/>
                <w:color w:val="000000" w:themeColor="text1"/>
                <w:sz w:val="18"/>
                <w:szCs w:val="18"/>
              </w:rPr>
              <w:t>Cladocera</w:t>
            </w:r>
          </w:p>
        </w:tc>
        <w:tc>
          <w:tcPr>
            <w:tcW w:w="3949" w:type="dxa"/>
            <w:tcBorders>
              <w:tl2br w:val="nil"/>
              <w:tr2bl w:val="nil"/>
            </w:tcBorders>
            <w:vAlign w:val="center"/>
          </w:tcPr>
          <w:p w14:paraId="78751BB6"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裸腹溞</w:t>
            </w:r>
            <w:r>
              <w:rPr>
                <w:rFonts w:ascii="Times New Roman" w:hAnsi="Times New Roman" w:cs="Times New Roman"/>
                <w:i/>
                <w:iCs/>
                <w:color w:val="000000" w:themeColor="text1"/>
                <w:sz w:val="18"/>
                <w:szCs w:val="18"/>
              </w:rPr>
              <w:t xml:space="preserve"> Moina </w:t>
            </w:r>
            <w:r>
              <w:rPr>
                <w:rFonts w:ascii="Times New Roman" w:hAnsi="Times New Roman" w:cs="Times New Roman"/>
                <w:color w:val="000000" w:themeColor="text1"/>
                <w:sz w:val="18"/>
                <w:szCs w:val="18"/>
              </w:rPr>
              <w:t>sp.</w:t>
            </w:r>
          </w:p>
        </w:tc>
        <w:tc>
          <w:tcPr>
            <w:tcW w:w="473" w:type="dxa"/>
            <w:tcBorders>
              <w:tl2br w:val="nil"/>
              <w:tr2bl w:val="nil"/>
            </w:tcBorders>
            <w:vAlign w:val="center"/>
          </w:tcPr>
          <w:p w14:paraId="3FB519E4"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21AF1493"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54B50F96"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4123D292"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16520628"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63C2DB36" w14:textId="77777777" w:rsidR="009D12AF" w:rsidRDefault="009D12AF">
            <w:pPr>
              <w:ind w:firstLineChars="0" w:firstLine="0"/>
              <w:rPr>
                <w:rFonts w:ascii="Times New Roman" w:hAnsi="Times New Roman" w:cs="Times New Roman"/>
                <w:color w:val="000000" w:themeColor="text1"/>
                <w:sz w:val="18"/>
                <w:szCs w:val="18"/>
              </w:rPr>
            </w:pPr>
          </w:p>
        </w:tc>
      </w:tr>
      <w:tr w:rsidR="009D12AF" w14:paraId="21D21E78" w14:textId="77777777">
        <w:trPr>
          <w:trHeight w:val="300"/>
        </w:trPr>
        <w:tc>
          <w:tcPr>
            <w:tcW w:w="1504" w:type="dxa"/>
            <w:vMerge/>
            <w:tcBorders>
              <w:tl2br w:val="nil"/>
              <w:tr2bl w:val="nil"/>
            </w:tcBorders>
            <w:vAlign w:val="center"/>
          </w:tcPr>
          <w:p w14:paraId="231B6F72"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vAlign w:val="center"/>
          </w:tcPr>
          <w:p w14:paraId="6E8F1EA9"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短尾秀体溞</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Diaphanosoma brachyurum</w:t>
            </w:r>
          </w:p>
        </w:tc>
        <w:tc>
          <w:tcPr>
            <w:tcW w:w="473" w:type="dxa"/>
            <w:tcBorders>
              <w:tl2br w:val="nil"/>
              <w:tr2bl w:val="nil"/>
            </w:tcBorders>
            <w:vAlign w:val="center"/>
          </w:tcPr>
          <w:p w14:paraId="039826B8"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7F1214EA"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73B95E6C"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29685A89"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2365F2A4"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191A5240"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7D1CB94C" w14:textId="77777777">
        <w:trPr>
          <w:trHeight w:val="300"/>
        </w:trPr>
        <w:tc>
          <w:tcPr>
            <w:tcW w:w="1504" w:type="dxa"/>
            <w:vMerge/>
            <w:tcBorders>
              <w:tl2br w:val="nil"/>
              <w:tr2bl w:val="nil"/>
            </w:tcBorders>
            <w:vAlign w:val="center"/>
          </w:tcPr>
          <w:p w14:paraId="14E7A46F"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vAlign w:val="center"/>
          </w:tcPr>
          <w:p w14:paraId="159BEAB4"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简弧象鼻溞</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Bosmina coregoni</w:t>
            </w:r>
          </w:p>
        </w:tc>
        <w:tc>
          <w:tcPr>
            <w:tcW w:w="473" w:type="dxa"/>
            <w:tcBorders>
              <w:tl2br w:val="nil"/>
              <w:tr2bl w:val="nil"/>
            </w:tcBorders>
            <w:vAlign w:val="center"/>
          </w:tcPr>
          <w:p w14:paraId="1987AD98"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051B6E86"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086BB70A"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2759C27E"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398716AB"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0E7D6F1F" w14:textId="77777777" w:rsidR="009D12AF" w:rsidRDefault="009D12AF">
            <w:pPr>
              <w:ind w:firstLineChars="0" w:firstLine="0"/>
              <w:rPr>
                <w:rFonts w:ascii="Times New Roman" w:hAnsi="Times New Roman" w:cs="Times New Roman"/>
                <w:color w:val="000000" w:themeColor="text1"/>
                <w:sz w:val="18"/>
                <w:szCs w:val="18"/>
              </w:rPr>
            </w:pPr>
          </w:p>
        </w:tc>
      </w:tr>
      <w:tr w:rsidR="009D12AF" w14:paraId="3E59CE81" w14:textId="77777777">
        <w:trPr>
          <w:trHeight w:val="300"/>
        </w:trPr>
        <w:tc>
          <w:tcPr>
            <w:tcW w:w="1504" w:type="dxa"/>
            <w:vMerge/>
            <w:tcBorders>
              <w:tl2br w:val="nil"/>
              <w:tr2bl w:val="nil"/>
            </w:tcBorders>
            <w:vAlign w:val="center"/>
          </w:tcPr>
          <w:p w14:paraId="51FD8BEC"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vAlign w:val="center"/>
          </w:tcPr>
          <w:p w14:paraId="06EDCB8F"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美丽网纹溞</w:t>
            </w:r>
            <w:r>
              <w:rPr>
                <w:rFonts w:ascii="Times New Roman" w:hAnsi="Times New Roman" w:cs="Times New Roman"/>
                <w:i/>
                <w:iCs/>
                <w:color w:val="000000" w:themeColor="text1"/>
                <w:sz w:val="18"/>
                <w:szCs w:val="18"/>
              </w:rPr>
              <w:t>Ceriodaphnia pulchella</w:t>
            </w:r>
          </w:p>
        </w:tc>
        <w:tc>
          <w:tcPr>
            <w:tcW w:w="473" w:type="dxa"/>
            <w:tcBorders>
              <w:tl2br w:val="nil"/>
              <w:tr2bl w:val="nil"/>
            </w:tcBorders>
            <w:vAlign w:val="center"/>
          </w:tcPr>
          <w:p w14:paraId="6BA6D2DC"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79F43EAD"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2A155D53"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10A9F0FA"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628E66A8"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0C0531F2" w14:textId="77777777" w:rsidR="009D12AF" w:rsidRDefault="009D12AF">
            <w:pPr>
              <w:ind w:firstLineChars="0" w:firstLine="0"/>
              <w:rPr>
                <w:rFonts w:ascii="Times New Roman" w:hAnsi="Times New Roman" w:cs="Times New Roman"/>
                <w:color w:val="000000" w:themeColor="text1"/>
                <w:sz w:val="18"/>
                <w:szCs w:val="18"/>
              </w:rPr>
            </w:pPr>
          </w:p>
        </w:tc>
      </w:tr>
      <w:tr w:rsidR="009D12AF" w14:paraId="62051C6C" w14:textId="77777777">
        <w:trPr>
          <w:trHeight w:val="300"/>
        </w:trPr>
        <w:tc>
          <w:tcPr>
            <w:tcW w:w="1504" w:type="dxa"/>
            <w:vMerge/>
            <w:tcBorders>
              <w:tl2br w:val="nil"/>
              <w:tr2bl w:val="nil"/>
            </w:tcBorders>
            <w:vAlign w:val="center"/>
          </w:tcPr>
          <w:p w14:paraId="1654108B"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vAlign w:val="center"/>
          </w:tcPr>
          <w:p w14:paraId="320B6AA1"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透明溞</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Daphnia hyalina</w:t>
            </w:r>
          </w:p>
        </w:tc>
        <w:tc>
          <w:tcPr>
            <w:tcW w:w="473" w:type="dxa"/>
            <w:tcBorders>
              <w:tl2br w:val="nil"/>
              <w:tr2bl w:val="nil"/>
            </w:tcBorders>
            <w:vAlign w:val="center"/>
          </w:tcPr>
          <w:p w14:paraId="7B067CEC"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42F37327"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10957E1B"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52138A9A"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52B92A02"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248D766E"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212CE39A" w14:textId="77777777">
        <w:trPr>
          <w:trHeight w:val="300"/>
        </w:trPr>
        <w:tc>
          <w:tcPr>
            <w:tcW w:w="1504" w:type="dxa"/>
            <w:vMerge/>
            <w:tcBorders>
              <w:tl2br w:val="nil"/>
              <w:tr2bl w:val="nil"/>
            </w:tcBorders>
            <w:vAlign w:val="center"/>
          </w:tcPr>
          <w:p w14:paraId="7920397E"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vAlign w:val="center"/>
          </w:tcPr>
          <w:p w14:paraId="644A83F1"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僧帽溞</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Daphnia cucullata</w:t>
            </w:r>
          </w:p>
        </w:tc>
        <w:tc>
          <w:tcPr>
            <w:tcW w:w="473" w:type="dxa"/>
            <w:tcBorders>
              <w:tl2br w:val="nil"/>
              <w:tr2bl w:val="nil"/>
            </w:tcBorders>
            <w:vAlign w:val="center"/>
          </w:tcPr>
          <w:p w14:paraId="19B4A76B"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428778CE"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623254DF"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3FEEC747"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465FC795"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63788255" w14:textId="77777777" w:rsidR="009D12AF" w:rsidRDefault="009D12AF">
            <w:pPr>
              <w:ind w:firstLineChars="0" w:firstLine="0"/>
              <w:rPr>
                <w:rFonts w:ascii="Times New Roman" w:hAnsi="Times New Roman" w:cs="Times New Roman"/>
                <w:color w:val="000000" w:themeColor="text1"/>
                <w:sz w:val="18"/>
                <w:szCs w:val="18"/>
              </w:rPr>
            </w:pPr>
          </w:p>
        </w:tc>
      </w:tr>
      <w:tr w:rsidR="009D12AF" w14:paraId="49CB66BA" w14:textId="77777777">
        <w:trPr>
          <w:trHeight w:val="300"/>
        </w:trPr>
        <w:tc>
          <w:tcPr>
            <w:tcW w:w="1504" w:type="dxa"/>
            <w:vMerge/>
            <w:tcBorders>
              <w:tl2br w:val="nil"/>
              <w:tr2bl w:val="nil"/>
            </w:tcBorders>
            <w:vAlign w:val="center"/>
          </w:tcPr>
          <w:p w14:paraId="522453ED"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vAlign w:val="center"/>
          </w:tcPr>
          <w:p w14:paraId="56B481CA"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蚤状溞</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Daphnia pulex</w:t>
            </w:r>
          </w:p>
        </w:tc>
        <w:tc>
          <w:tcPr>
            <w:tcW w:w="473" w:type="dxa"/>
            <w:tcBorders>
              <w:tl2br w:val="nil"/>
              <w:tr2bl w:val="nil"/>
            </w:tcBorders>
            <w:vAlign w:val="center"/>
          </w:tcPr>
          <w:p w14:paraId="65E4024A"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7738BDE7"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56DA2BC5"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0ACE114A"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1E7A0CDE"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4B4C50FA" w14:textId="77777777" w:rsidR="009D12AF" w:rsidRDefault="009D12AF">
            <w:pPr>
              <w:ind w:firstLineChars="0" w:firstLine="0"/>
              <w:rPr>
                <w:rFonts w:ascii="Times New Roman" w:hAnsi="Times New Roman" w:cs="Times New Roman"/>
                <w:color w:val="000000" w:themeColor="text1"/>
                <w:sz w:val="18"/>
                <w:szCs w:val="18"/>
              </w:rPr>
            </w:pPr>
          </w:p>
        </w:tc>
      </w:tr>
      <w:tr w:rsidR="009D12AF" w14:paraId="17627194" w14:textId="77777777">
        <w:trPr>
          <w:trHeight w:val="280"/>
        </w:trPr>
        <w:tc>
          <w:tcPr>
            <w:tcW w:w="1504" w:type="dxa"/>
            <w:vMerge w:val="restart"/>
            <w:tcBorders>
              <w:tl2br w:val="nil"/>
              <w:tr2bl w:val="nil"/>
            </w:tcBorders>
            <w:vAlign w:val="center"/>
          </w:tcPr>
          <w:p w14:paraId="1B30DA98"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桡足类</w:t>
            </w:r>
            <w:r>
              <w:rPr>
                <w:rFonts w:ascii="Times New Roman" w:hAnsi="Times New Roman" w:cs="Times New Roman"/>
                <w:color w:val="000000" w:themeColor="text1"/>
                <w:sz w:val="18"/>
                <w:szCs w:val="18"/>
              </w:rPr>
              <w:t>Copepoda</w:t>
            </w:r>
          </w:p>
        </w:tc>
        <w:tc>
          <w:tcPr>
            <w:tcW w:w="3949" w:type="dxa"/>
            <w:tcBorders>
              <w:tl2br w:val="nil"/>
              <w:tr2bl w:val="nil"/>
            </w:tcBorders>
            <w:noWrap/>
            <w:vAlign w:val="center"/>
          </w:tcPr>
          <w:p w14:paraId="3C3EB7B6"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汤匙华哲水蚤</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Sinocalanus dorii</w:t>
            </w:r>
          </w:p>
        </w:tc>
        <w:tc>
          <w:tcPr>
            <w:tcW w:w="473" w:type="dxa"/>
            <w:tcBorders>
              <w:tl2br w:val="nil"/>
              <w:tr2bl w:val="nil"/>
            </w:tcBorders>
            <w:vAlign w:val="center"/>
          </w:tcPr>
          <w:p w14:paraId="4D1A8753"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0DC65C90"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0DD9B8E3"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74969542"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4FE8F90A"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37A6DC69" w14:textId="77777777" w:rsidR="009D12AF" w:rsidRDefault="009D12AF">
            <w:pPr>
              <w:ind w:firstLineChars="0" w:firstLine="0"/>
              <w:rPr>
                <w:rFonts w:ascii="Times New Roman" w:hAnsi="Times New Roman" w:cs="Times New Roman"/>
                <w:color w:val="000000" w:themeColor="text1"/>
                <w:sz w:val="18"/>
                <w:szCs w:val="18"/>
              </w:rPr>
            </w:pPr>
          </w:p>
        </w:tc>
      </w:tr>
      <w:tr w:rsidR="009D12AF" w14:paraId="609D8341" w14:textId="77777777">
        <w:trPr>
          <w:trHeight w:val="280"/>
        </w:trPr>
        <w:tc>
          <w:tcPr>
            <w:tcW w:w="1504" w:type="dxa"/>
            <w:vMerge/>
            <w:tcBorders>
              <w:tl2br w:val="nil"/>
              <w:tr2bl w:val="nil"/>
            </w:tcBorders>
            <w:vAlign w:val="center"/>
          </w:tcPr>
          <w:p w14:paraId="36ABEE8B"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7CEB11AD"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英勇剑水蚤</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Cyclops strenuus</w:t>
            </w:r>
          </w:p>
        </w:tc>
        <w:tc>
          <w:tcPr>
            <w:tcW w:w="473" w:type="dxa"/>
            <w:tcBorders>
              <w:tl2br w:val="nil"/>
              <w:tr2bl w:val="nil"/>
            </w:tcBorders>
            <w:vAlign w:val="center"/>
          </w:tcPr>
          <w:p w14:paraId="6112091D"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0BF493B3"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40D2FEA9"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798081EB"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5204FD1F"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246F65B4" w14:textId="77777777" w:rsidR="009D12AF" w:rsidRDefault="009D12AF">
            <w:pPr>
              <w:ind w:firstLineChars="0" w:firstLine="0"/>
              <w:rPr>
                <w:rFonts w:ascii="Times New Roman" w:hAnsi="Times New Roman" w:cs="Times New Roman"/>
                <w:color w:val="000000" w:themeColor="text1"/>
                <w:sz w:val="18"/>
                <w:szCs w:val="18"/>
              </w:rPr>
            </w:pPr>
          </w:p>
        </w:tc>
      </w:tr>
      <w:tr w:rsidR="009D12AF" w14:paraId="0D2A8B4F" w14:textId="77777777">
        <w:trPr>
          <w:trHeight w:val="280"/>
        </w:trPr>
        <w:tc>
          <w:tcPr>
            <w:tcW w:w="1504" w:type="dxa"/>
            <w:vMerge/>
            <w:tcBorders>
              <w:tl2br w:val="nil"/>
              <w:tr2bl w:val="nil"/>
            </w:tcBorders>
            <w:vAlign w:val="center"/>
          </w:tcPr>
          <w:p w14:paraId="15C13ECA"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31928D9F"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胸饰外剑水蚤</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Ectocyclops phaleratus</w:t>
            </w:r>
          </w:p>
        </w:tc>
        <w:tc>
          <w:tcPr>
            <w:tcW w:w="473" w:type="dxa"/>
            <w:tcBorders>
              <w:tl2br w:val="nil"/>
              <w:tr2bl w:val="nil"/>
            </w:tcBorders>
            <w:vAlign w:val="center"/>
          </w:tcPr>
          <w:p w14:paraId="5E4FD61D"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37D61012"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2A334DD8"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0D3E2001"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235E733F"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79780A28"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2F0F68D3" w14:textId="77777777">
        <w:trPr>
          <w:trHeight w:val="280"/>
        </w:trPr>
        <w:tc>
          <w:tcPr>
            <w:tcW w:w="1504" w:type="dxa"/>
            <w:vMerge/>
            <w:tcBorders>
              <w:tl2br w:val="nil"/>
              <w:tr2bl w:val="nil"/>
            </w:tcBorders>
            <w:vAlign w:val="center"/>
          </w:tcPr>
          <w:p w14:paraId="342F0308"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0A941FA1"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锯缘真剑水蚤</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Eucyclops serrulatus</w:t>
            </w:r>
          </w:p>
        </w:tc>
        <w:tc>
          <w:tcPr>
            <w:tcW w:w="473" w:type="dxa"/>
            <w:tcBorders>
              <w:tl2br w:val="nil"/>
              <w:tr2bl w:val="nil"/>
            </w:tcBorders>
            <w:vAlign w:val="center"/>
          </w:tcPr>
          <w:p w14:paraId="6F8E0F2B"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37E8E0DA"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7C06EB53"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307ED114"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0C27C4E9"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6CB9CD8C" w14:textId="77777777" w:rsidR="009D12AF" w:rsidRDefault="009D12AF">
            <w:pPr>
              <w:ind w:firstLineChars="0" w:firstLine="0"/>
              <w:rPr>
                <w:rFonts w:ascii="Times New Roman" w:hAnsi="Times New Roman" w:cs="Times New Roman"/>
                <w:color w:val="000000" w:themeColor="text1"/>
                <w:sz w:val="18"/>
                <w:szCs w:val="18"/>
              </w:rPr>
            </w:pPr>
          </w:p>
        </w:tc>
      </w:tr>
      <w:tr w:rsidR="009D12AF" w14:paraId="52DB3A07" w14:textId="77777777">
        <w:trPr>
          <w:trHeight w:val="280"/>
        </w:trPr>
        <w:tc>
          <w:tcPr>
            <w:tcW w:w="1504" w:type="dxa"/>
            <w:vMerge/>
            <w:tcBorders>
              <w:tl2br w:val="nil"/>
              <w:tr2bl w:val="nil"/>
            </w:tcBorders>
            <w:vAlign w:val="center"/>
          </w:tcPr>
          <w:p w14:paraId="7D352EF4"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7C5751B4"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穴居真剑水蚤</w:t>
            </w:r>
            <w:r>
              <w:rPr>
                <w:rFonts w:ascii="Times New Roman" w:hAnsi="Times New Roman" w:cs="Times New Roman"/>
                <w:i/>
                <w:iCs/>
                <w:color w:val="000000" w:themeColor="text1"/>
                <w:sz w:val="18"/>
                <w:szCs w:val="18"/>
              </w:rPr>
              <w:t xml:space="preserve">Eucyclops serrulatus </w:t>
            </w:r>
          </w:p>
        </w:tc>
        <w:tc>
          <w:tcPr>
            <w:tcW w:w="473" w:type="dxa"/>
            <w:tcBorders>
              <w:tl2br w:val="nil"/>
              <w:tr2bl w:val="nil"/>
            </w:tcBorders>
            <w:vAlign w:val="center"/>
          </w:tcPr>
          <w:p w14:paraId="3CE66B64"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6EB29EB0"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557EAB17"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77767395"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163D205B"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420EF509" w14:textId="77777777" w:rsidR="009D12AF" w:rsidRDefault="009D12AF">
            <w:pPr>
              <w:ind w:firstLineChars="0" w:firstLine="0"/>
              <w:rPr>
                <w:rFonts w:ascii="Times New Roman" w:hAnsi="Times New Roman" w:cs="Times New Roman"/>
                <w:color w:val="000000" w:themeColor="text1"/>
                <w:sz w:val="18"/>
                <w:szCs w:val="18"/>
              </w:rPr>
            </w:pPr>
          </w:p>
        </w:tc>
      </w:tr>
      <w:tr w:rsidR="009D12AF" w14:paraId="52EE026C" w14:textId="77777777">
        <w:trPr>
          <w:trHeight w:val="280"/>
        </w:trPr>
        <w:tc>
          <w:tcPr>
            <w:tcW w:w="1504" w:type="dxa"/>
            <w:vMerge/>
            <w:tcBorders>
              <w:tl2br w:val="nil"/>
              <w:tr2bl w:val="nil"/>
            </w:tcBorders>
            <w:vAlign w:val="center"/>
          </w:tcPr>
          <w:p w14:paraId="3F4DFDA1"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2E07D039"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草绿刺剑水蚤</w:t>
            </w:r>
            <w:r>
              <w:rPr>
                <w:rFonts w:ascii="Times New Roman" w:hAnsi="Times New Roman" w:cs="Times New Roman"/>
                <w:i/>
                <w:iCs/>
                <w:color w:val="000000" w:themeColor="text1"/>
                <w:sz w:val="18"/>
                <w:szCs w:val="18"/>
              </w:rPr>
              <w:t>Acanthocyclops viridis</w:t>
            </w:r>
          </w:p>
        </w:tc>
        <w:tc>
          <w:tcPr>
            <w:tcW w:w="473" w:type="dxa"/>
            <w:tcBorders>
              <w:tl2br w:val="nil"/>
              <w:tr2bl w:val="nil"/>
            </w:tcBorders>
            <w:vAlign w:val="center"/>
          </w:tcPr>
          <w:p w14:paraId="7CCBE02A"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346393B5"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6B2668AF"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3B8AEAED"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5B63488F"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0AE37436" w14:textId="77777777" w:rsidR="009D12AF" w:rsidRDefault="009D12AF">
            <w:pPr>
              <w:ind w:firstLineChars="0" w:firstLine="0"/>
              <w:rPr>
                <w:rFonts w:ascii="Times New Roman" w:hAnsi="Times New Roman" w:cs="Times New Roman"/>
                <w:color w:val="000000" w:themeColor="text1"/>
                <w:sz w:val="18"/>
                <w:szCs w:val="18"/>
              </w:rPr>
            </w:pPr>
          </w:p>
        </w:tc>
      </w:tr>
      <w:tr w:rsidR="009D12AF" w14:paraId="7417AFCF" w14:textId="77777777">
        <w:trPr>
          <w:trHeight w:val="280"/>
        </w:trPr>
        <w:tc>
          <w:tcPr>
            <w:tcW w:w="1504" w:type="dxa"/>
            <w:vMerge/>
            <w:tcBorders>
              <w:tl2br w:val="nil"/>
              <w:tr2bl w:val="nil"/>
            </w:tcBorders>
            <w:vAlign w:val="center"/>
          </w:tcPr>
          <w:p w14:paraId="0FDFDC07"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1A08B683"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透明温剑水蚤</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Thermocyclops hyalinus</w:t>
            </w:r>
          </w:p>
        </w:tc>
        <w:tc>
          <w:tcPr>
            <w:tcW w:w="473" w:type="dxa"/>
            <w:tcBorders>
              <w:tl2br w:val="nil"/>
              <w:tr2bl w:val="nil"/>
            </w:tcBorders>
            <w:vAlign w:val="center"/>
          </w:tcPr>
          <w:p w14:paraId="5B4E7B62"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6CE0367D"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70975C15"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79B48970"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1E09789D"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6C64DA4D" w14:textId="77777777" w:rsidR="009D12AF" w:rsidRDefault="009D12AF">
            <w:pPr>
              <w:ind w:firstLineChars="0" w:firstLine="0"/>
              <w:rPr>
                <w:rFonts w:ascii="Times New Roman" w:hAnsi="Times New Roman" w:cs="Times New Roman"/>
                <w:color w:val="000000" w:themeColor="text1"/>
                <w:sz w:val="18"/>
                <w:szCs w:val="18"/>
              </w:rPr>
            </w:pPr>
          </w:p>
        </w:tc>
      </w:tr>
      <w:tr w:rsidR="009D12AF" w14:paraId="7F84069D" w14:textId="77777777">
        <w:trPr>
          <w:trHeight w:val="280"/>
        </w:trPr>
        <w:tc>
          <w:tcPr>
            <w:tcW w:w="1504" w:type="dxa"/>
            <w:vMerge/>
            <w:tcBorders>
              <w:tl2br w:val="nil"/>
              <w:tr2bl w:val="nil"/>
            </w:tcBorders>
            <w:vAlign w:val="center"/>
          </w:tcPr>
          <w:p w14:paraId="4BC09182"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359B0510"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广布中剑水蚤</w:t>
            </w:r>
            <w:r>
              <w:rPr>
                <w:rFonts w:ascii="Times New Roman" w:hAnsi="Times New Roman" w:cs="Times New Roman"/>
                <w:i/>
                <w:iCs/>
                <w:color w:val="000000" w:themeColor="text1"/>
                <w:sz w:val="18"/>
                <w:szCs w:val="18"/>
              </w:rPr>
              <w:t xml:space="preserve"> Mesocyclops leuckarti</w:t>
            </w:r>
          </w:p>
        </w:tc>
        <w:tc>
          <w:tcPr>
            <w:tcW w:w="473" w:type="dxa"/>
            <w:tcBorders>
              <w:tl2br w:val="nil"/>
              <w:tr2bl w:val="nil"/>
            </w:tcBorders>
            <w:vAlign w:val="center"/>
          </w:tcPr>
          <w:p w14:paraId="171E12AD"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77BF44D8"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7FC1160A"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2D777C57"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5BE9CF13"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33B9F1F5" w14:textId="77777777" w:rsidR="009D12AF" w:rsidRDefault="009D12AF">
            <w:pPr>
              <w:ind w:firstLineChars="0" w:firstLine="0"/>
              <w:rPr>
                <w:rFonts w:ascii="Times New Roman" w:hAnsi="Times New Roman" w:cs="Times New Roman"/>
                <w:color w:val="000000" w:themeColor="text1"/>
                <w:sz w:val="18"/>
                <w:szCs w:val="18"/>
              </w:rPr>
            </w:pPr>
          </w:p>
        </w:tc>
      </w:tr>
      <w:tr w:rsidR="009D12AF" w14:paraId="4A441194" w14:textId="77777777">
        <w:trPr>
          <w:trHeight w:val="280"/>
        </w:trPr>
        <w:tc>
          <w:tcPr>
            <w:tcW w:w="1504" w:type="dxa"/>
            <w:vMerge/>
            <w:tcBorders>
              <w:tl2br w:val="nil"/>
              <w:tr2bl w:val="nil"/>
            </w:tcBorders>
            <w:vAlign w:val="center"/>
          </w:tcPr>
          <w:p w14:paraId="06FEA13C"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717C395C"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锥肢蒙镖水蚤</w:t>
            </w:r>
            <w:r>
              <w:rPr>
                <w:rFonts w:ascii="Times New Roman" w:hAnsi="Times New Roman" w:cs="Times New Roman"/>
                <w:i/>
                <w:iCs/>
                <w:color w:val="000000" w:themeColor="text1"/>
                <w:sz w:val="18"/>
                <w:szCs w:val="18"/>
              </w:rPr>
              <w:t>Mongolodiaptomus birulai</w:t>
            </w:r>
          </w:p>
        </w:tc>
        <w:tc>
          <w:tcPr>
            <w:tcW w:w="473" w:type="dxa"/>
            <w:tcBorders>
              <w:tl2br w:val="nil"/>
              <w:tr2bl w:val="nil"/>
            </w:tcBorders>
            <w:vAlign w:val="center"/>
          </w:tcPr>
          <w:p w14:paraId="45B171F6"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436DC7CE"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6596F0B7"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6A9D963D"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3A99825E"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2E2B32AE" w14:textId="77777777" w:rsidR="009D12AF" w:rsidRDefault="009D12AF">
            <w:pPr>
              <w:ind w:firstLineChars="0" w:firstLine="0"/>
              <w:rPr>
                <w:rFonts w:ascii="Times New Roman" w:hAnsi="Times New Roman" w:cs="Times New Roman"/>
                <w:color w:val="000000" w:themeColor="text1"/>
                <w:sz w:val="18"/>
                <w:szCs w:val="18"/>
              </w:rPr>
            </w:pPr>
          </w:p>
        </w:tc>
      </w:tr>
      <w:tr w:rsidR="009D12AF" w14:paraId="085BAC1F" w14:textId="77777777">
        <w:trPr>
          <w:trHeight w:val="280"/>
        </w:trPr>
        <w:tc>
          <w:tcPr>
            <w:tcW w:w="1504" w:type="dxa"/>
            <w:vMerge/>
            <w:tcBorders>
              <w:tl2br w:val="nil"/>
              <w:tr2bl w:val="nil"/>
            </w:tcBorders>
            <w:vAlign w:val="center"/>
          </w:tcPr>
          <w:p w14:paraId="306348D6" w14:textId="77777777" w:rsidR="009D12AF" w:rsidRDefault="009D12AF">
            <w:pPr>
              <w:ind w:firstLineChars="0" w:firstLine="0"/>
              <w:rPr>
                <w:rFonts w:ascii="Times New Roman" w:hAnsi="Times New Roman" w:cs="Times New Roman"/>
                <w:color w:val="000000" w:themeColor="text1"/>
                <w:sz w:val="18"/>
                <w:szCs w:val="18"/>
              </w:rPr>
            </w:pPr>
          </w:p>
        </w:tc>
        <w:tc>
          <w:tcPr>
            <w:tcW w:w="3949" w:type="dxa"/>
            <w:tcBorders>
              <w:tl2br w:val="nil"/>
              <w:tr2bl w:val="nil"/>
            </w:tcBorders>
            <w:noWrap/>
            <w:vAlign w:val="center"/>
          </w:tcPr>
          <w:p w14:paraId="6BEE0D0F"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无节幼体</w:t>
            </w:r>
            <w:r>
              <w:rPr>
                <w:rFonts w:ascii="Times New Roman" w:hAnsi="Times New Roman" w:cs="Times New Roman"/>
                <w:color w:val="000000" w:themeColor="text1"/>
                <w:sz w:val="18"/>
                <w:szCs w:val="18"/>
              </w:rPr>
              <w:t>Nauplius</w:t>
            </w:r>
          </w:p>
        </w:tc>
        <w:tc>
          <w:tcPr>
            <w:tcW w:w="473" w:type="dxa"/>
            <w:tcBorders>
              <w:tl2br w:val="nil"/>
              <w:tr2bl w:val="nil"/>
            </w:tcBorders>
            <w:vAlign w:val="center"/>
          </w:tcPr>
          <w:p w14:paraId="2677F80E"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6373F173"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7202A3BD" w14:textId="77777777" w:rsidR="009D12AF" w:rsidRDefault="009D12AF">
            <w:pPr>
              <w:ind w:firstLineChars="0" w:firstLine="0"/>
              <w:rPr>
                <w:rFonts w:ascii="Times New Roman" w:hAnsi="Times New Roman" w:cs="Times New Roman"/>
                <w:color w:val="000000" w:themeColor="text1"/>
                <w:sz w:val="18"/>
                <w:szCs w:val="18"/>
              </w:rPr>
            </w:pPr>
          </w:p>
        </w:tc>
        <w:tc>
          <w:tcPr>
            <w:tcW w:w="474" w:type="dxa"/>
            <w:tcBorders>
              <w:tl2br w:val="nil"/>
              <w:tr2bl w:val="nil"/>
            </w:tcBorders>
            <w:vAlign w:val="center"/>
          </w:tcPr>
          <w:p w14:paraId="6A507721"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2BF7155D"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474" w:type="dxa"/>
            <w:tcBorders>
              <w:tl2br w:val="nil"/>
              <w:tr2bl w:val="nil"/>
            </w:tcBorders>
            <w:vAlign w:val="center"/>
          </w:tcPr>
          <w:p w14:paraId="40FB6B99"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0BC97AA3" w14:textId="77777777">
        <w:trPr>
          <w:trHeight w:val="280"/>
        </w:trPr>
        <w:tc>
          <w:tcPr>
            <w:tcW w:w="5453" w:type="dxa"/>
            <w:gridSpan w:val="2"/>
            <w:tcBorders>
              <w:tl2br w:val="nil"/>
              <w:tr2bl w:val="nil"/>
            </w:tcBorders>
            <w:vAlign w:val="center"/>
          </w:tcPr>
          <w:p w14:paraId="3FE6C51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合计</w:t>
            </w:r>
          </w:p>
        </w:tc>
        <w:tc>
          <w:tcPr>
            <w:tcW w:w="473" w:type="dxa"/>
            <w:tcBorders>
              <w:tl2br w:val="nil"/>
              <w:tr2bl w:val="nil"/>
            </w:tcBorders>
            <w:vAlign w:val="center"/>
          </w:tcPr>
          <w:p w14:paraId="1323635D" w14:textId="77777777" w:rsidR="009D12AF" w:rsidRDefault="00000000">
            <w:pPr>
              <w:ind w:firstLineChars="0" w:firstLine="0"/>
              <w:rPr>
                <w:rFonts w:ascii="Times New Roman" w:hAnsi="Times New Roman" w:cs="Times New Roman"/>
                <w:color w:val="000000" w:themeColor="text1"/>
                <w:sz w:val="18"/>
                <w:szCs w:val="18"/>
              </w:rPr>
            </w:pPr>
            <w:r>
              <w:rPr>
                <w:rFonts w:ascii="Times New Roman" w:eastAsia="等线" w:hAnsi="Times New Roman" w:cs="Times New Roman"/>
                <w:color w:val="000000" w:themeColor="text1"/>
                <w:sz w:val="18"/>
                <w:szCs w:val="18"/>
              </w:rPr>
              <w:t>29</w:t>
            </w:r>
          </w:p>
        </w:tc>
        <w:tc>
          <w:tcPr>
            <w:tcW w:w="474" w:type="dxa"/>
            <w:tcBorders>
              <w:tl2br w:val="nil"/>
              <w:tr2bl w:val="nil"/>
            </w:tcBorders>
            <w:vAlign w:val="center"/>
          </w:tcPr>
          <w:p w14:paraId="4FA7AB1E" w14:textId="77777777" w:rsidR="009D12AF" w:rsidRDefault="00000000">
            <w:pPr>
              <w:ind w:firstLineChars="0" w:firstLine="0"/>
              <w:rPr>
                <w:rFonts w:ascii="Times New Roman" w:hAnsi="Times New Roman" w:cs="Times New Roman"/>
                <w:color w:val="000000" w:themeColor="text1"/>
                <w:sz w:val="18"/>
                <w:szCs w:val="18"/>
              </w:rPr>
            </w:pPr>
            <w:r>
              <w:rPr>
                <w:rFonts w:ascii="Times New Roman" w:eastAsia="等线" w:hAnsi="Times New Roman" w:cs="Times New Roman"/>
                <w:color w:val="000000" w:themeColor="text1"/>
                <w:sz w:val="18"/>
                <w:szCs w:val="18"/>
              </w:rPr>
              <w:t>21</w:t>
            </w:r>
          </w:p>
        </w:tc>
        <w:tc>
          <w:tcPr>
            <w:tcW w:w="474" w:type="dxa"/>
            <w:tcBorders>
              <w:tl2br w:val="nil"/>
              <w:tr2bl w:val="nil"/>
            </w:tcBorders>
            <w:vAlign w:val="center"/>
          </w:tcPr>
          <w:p w14:paraId="6E5C90E9" w14:textId="77777777" w:rsidR="009D12AF" w:rsidRDefault="00000000">
            <w:pPr>
              <w:ind w:firstLineChars="0" w:firstLine="0"/>
              <w:rPr>
                <w:rFonts w:ascii="Times New Roman" w:hAnsi="Times New Roman" w:cs="Times New Roman"/>
                <w:color w:val="000000" w:themeColor="text1"/>
                <w:sz w:val="18"/>
                <w:szCs w:val="18"/>
              </w:rPr>
            </w:pPr>
            <w:r>
              <w:rPr>
                <w:rFonts w:ascii="Times New Roman" w:eastAsia="等线" w:hAnsi="Times New Roman" w:cs="Times New Roman"/>
                <w:color w:val="000000" w:themeColor="text1"/>
                <w:sz w:val="18"/>
                <w:szCs w:val="18"/>
              </w:rPr>
              <w:t>24</w:t>
            </w:r>
          </w:p>
        </w:tc>
        <w:tc>
          <w:tcPr>
            <w:tcW w:w="474" w:type="dxa"/>
            <w:tcBorders>
              <w:tl2br w:val="nil"/>
              <w:tr2bl w:val="nil"/>
            </w:tcBorders>
            <w:vAlign w:val="center"/>
          </w:tcPr>
          <w:p w14:paraId="703033E0" w14:textId="77777777" w:rsidR="009D12AF" w:rsidRDefault="00000000">
            <w:pPr>
              <w:ind w:firstLineChars="0" w:firstLine="0"/>
              <w:rPr>
                <w:rFonts w:ascii="Times New Roman" w:hAnsi="Times New Roman" w:cs="Times New Roman"/>
                <w:color w:val="000000" w:themeColor="text1"/>
                <w:sz w:val="18"/>
                <w:szCs w:val="18"/>
              </w:rPr>
            </w:pPr>
            <w:r>
              <w:rPr>
                <w:rFonts w:ascii="Times New Roman" w:eastAsia="等线" w:hAnsi="Times New Roman" w:cs="Times New Roman"/>
                <w:color w:val="000000" w:themeColor="text1"/>
                <w:sz w:val="18"/>
                <w:szCs w:val="18"/>
              </w:rPr>
              <w:t>25</w:t>
            </w:r>
          </w:p>
        </w:tc>
        <w:tc>
          <w:tcPr>
            <w:tcW w:w="474" w:type="dxa"/>
            <w:tcBorders>
              <w:tl2br w:val="nil"/>
              <w:tr2bl w:val="nil"/>
            </w:tcBorders>
            <w:vAlign w:val="center"/>
          </w:tcPr>
          <w:p w14:paraId="044314AF" w14:textId="77777777" w:rsidR="009D12AF" w:rsidRDefault="00000000">
            <w:pPr>
              <w:ind w:firstLineChars="0" w:firstLine="0"/>
              <w:rPr>
                <w:rFonts w:ascii="Times New Roman" w:hAnsi="Times New Roman" w:cs="Times New Roman"/>
                <w:color w:val="000000" w:themeColor="text1"/>
                <w:sz w:val="18"/>
                <w:szCs w:val="18"/>
              </w:rPr>
            </w:pPr>
            <w:r>
              <w:rPr>
                <w:rFonts w:ascii="Times New Roman" w:eastAsia="等线" w:hAnsi="Times New Roman" w:cs="Times New Roman"/>
                <w:color w:val="000000" w:themeColor="text1"/>
                <w:sz w:val="18"/>
                <w:szCs w:val="18"/>
              </w:rPr>
              <w:t>21</w:t>
            </w:r>
          </w:p>
        </w:tc>
        <w:tc>
          <w:tcPr>
            <w:tcW w:w="474" w:type="dxa"/>
            <w:tcBorders>
              <w:tl2br w:val="nil"/>
              <w:tr2bl w:val="nil"/>
            </w:tcBorders>
            <w:vAlign w:val="center"/>
          </w:tcPr>
          <w:p w14:paraId="1C7D3E3D" w14:textId="77777777" w:rsidR="009D12AF" w:rsidRDefault="00000000">
            <w:pPr>
              <w:ind w:firstLineChars="0" w:firstLine="0"/>
              <w:rPr>
                <w:rFonts w:ascii="Times New Roman" w:hAnsi="Times New Roman" w:cs="Times New Roman"/>
                <w:color w:val="000000" w:themeColor="text1"/>
                <w:sz w:val="18"/>
                <w:szCs w:val="18"/>
              </w:rPr>
            </w:pPr>
            <w:r>
              <w:rPr>
                <w:rFonts w:ascii="Times New Roman" w:eastAsia="等线" w:hAnsi="Times New Roman" w:cs="Times New Roman"/>
                <w:color w:val="000000" w:themeColor="text1"/>
                <w:sz w:val="18"/>
                <w:szCs w:val="18"/>
              </w:rPr>
              <w:t>17</w:t>
            </w:r>
          </w:p>
        </w:tc>
      </w:tr>
    </w:tbl>
    <w:p w14:paraId="4B7275D6" w14:textId="77777777" w:rsidR="009D12AF" w:rsidRDefault="00000000">
      <w:pPr>
        <w:ind w:firstLine="480"/>
        <w:jc w:val="left"/>
        <w:rPr>
          <w:rFonts w:cs="Times New Roman"/>
          <w:bCs/>
          <w:color w:val="000000" w:themeColor="text1"/>
        </w:rPr>
      </w:pPr>
      <w:r>
        <w:rPr>
          <w:rFonts w:cs="Times New Roman" w:hint="eastAsia"/>
          <w:bCs/>
          <w:color w:val="000000" w:themeColor="text1"/>
        </w:rPr>
        <w:t>2</w:t>
      </w:r>
      <w:r>
        <w:rPr>
          <w:rFonts w:cs="Times New Roman" w:hint="eastAsia"/>
          <w:bCs/>
          <w:color w:val="000000" w:themeColor="text1"/>
        </w:rPr>
        <w:t>、优势及常见种类</w:t>
      </w:r>
    </w:p>
    <w:p w14:paraId="011F7C8C" w14:textId="77777777" w:rsidR="009D12AF" w:rsidRDefault="00000000">
      <w:pPr>
        <w:adjustRightInd w:val="0"/>
        <w:snapToGrid w:val="0"/>
        <w:ind w:firstLine="480"/>
        <w:rPr>
          <w:rFonts w:ascii="Times New Roman" w:hAnsi="Times New Roman" w:cs="Times New Roman"/>
          <w:color w:val="000000" w:themeColor="text1"/>
        </w:rPr>
      </w:pPr>
      <w:r>
        <w:rPr>
          <w:rFonts w:ascii="Times New Roman" w:hAnsi="Times New Roman" w:cs="Times New Roman"/>
          <w:color w:val="000000" w:themeColor="text1"/>
        </w:rPr>
        <w:t>评价水域不同水库浮游动物优势及常见种类见表</w:t>
      </w:r>
      <w:r>
        <w:rPr>
          <w:rFonts w:ascii="Times New Roman" w:hAnsi="Times New Roman" w:cs="Times New Roman" w:hint="eastAsia"/>
          <w:color w:val="000000" w:themeColor="text1"/>
        </w:rPr>
        <w:t>4.3-36</w:t>
      </w:r>
      <w:r>
        <w:rPr>
          <w:rFonts w:ascii="Times New Roman" w:hAnsi="Times New Roman" w:cs="Times New Roman"/>
          <w:color w:val="000000" w:themeColor="text1"/>
        </w:rPr>
        <w:t>。</w:t>
      </w:r>
    </w:p>
    <w:p w14:paraId="2FF9A641" w14:textId="77777777" w:rsidR="009D12AF" w:rsidRDefault="00000000">
      <w:pPr>
        <w:ind w:firstLine="482"/>
        <w:jc w:val="center"/>
        <w:rPr>
          <w:rFonts w:cs="Times New Roman"/>
          <w:b/>
          <w:color w:val="000000" w:themeColor="text1"/>
        </w:rPr>
      </w:pPr>
      <w:r>
        <w:rPr>
          <w:rFonts w:cs="Times New Roman" w:hint="eastAsia"/>
          <w:b/>
          <w:color w:val="000000" w:themeColor="text1"/>
        </w:rPr>
        <w:t>表</w:t>
      </w:r>
      <w:r>
        <w:rPr>
          <w:rFonts w:cs="Times New Roman" w:hint="eastAsia"/>
          <w:b/>
          <w:color w:val="000000" w:themeColor="text1"/>
        </w:rPr>
        <w:t xml:space="preserve">4.3-36  </w:t>
      </w:r>
      <w:r>
        <w:rPr>
          <w:rFonts w:cs="Times New Roman" w:hint="eastAsia"/>
          <w:b/>
          <w:color w:val="000000" w:themeColor="text1"/>
        </w:rPr>
        <w:t>浮游动物优势及常见种类</w:t>
      </w:r>
    </w:p>
    <w:tbl>
      <w:tblPr>
        <w:tblW w:w="8350"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122"/>
        <w:gridCol w:w="6228"/>
      </w:tblGrid>
      <w:tr w:rsidR="009D12AF" w14:paraId="0A585517" w14:textId="77777777">
        <w:trPr>
          <w:trHeight w:val="308"/>
          <w:jc w:val="center"/>
        </w:trPr>
        <w:tc>
          <w:tcPr>
            <w:tcW w:w="2122" w:type="dxa"/>
            <w:tcBorders>
              <w:tl2br w:val="nil"/>
              <w:tr2bl w:val="nil"/>
            </w:tcBorders>
            <w:vAlign w:val="center"/>
          </w:tcPr>
          <w:p w14:paraId="176BE994"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水库</w:t>
            </w:r>
          </w:p>
        </w:tc>
        <w:tc>
          <w:tcPr>
            <w:tcW w:w="6228" w:type="dxa"/>
            <w:tcBorders>
              <w:tl2br w:val="nil"/>
              <w:tr2bl w:val="nil"/>
            </w:tcBorders>
            <w:noWrap/>
            <w:vAlign w:val="center"/>
          </w:tcPr>
          <w:p w14:paraId="21EC8934"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优势及常见种类</w:t>
            </w:r>
          </w:p>
        </w:tc>
      </w:tr>
      <w:tr w:rsidR="009D12AF" w14:paraId="3902146E" w14:textId="77777777">
        <w:trPr>
          <w:trHeight w:val="308"/>
          <w:jc w:val="center"/>
        </w:trPr>
        <w:tc>
          <w:tcPr>
            <w:tcW w:w="2122" w:type="dxa"/>
            <w:tcBorders>
              <w:tl2br w:val="nil"/>
              <w:tr2bl w:val="nil"/>
            </w:tcBorders>
            <w:vAlign w:val="center"/>
          </w:tcPr>
          <w:p w14:paraId="79C5103B"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莲花水库</w:t>
            </w:r>
          </w:p>
        </w:tc>
        <w:tc>
          <w:tcPr>
            <w:tcW w:w="6228" w:type="dxa"/>
            <w:tcBorders>
              <w:tl2br w:val="nil"/>
              <w:tr2bl w:val="nil"/>
            </w:tcBorders>
            <w:vAlign w:val="center"/>
          </w:tcPr>
          <w:p w14:paraId="180CAAD3" w14:textId="77777777" w:rsidR="009D12AF" w:rsidRDefault="00000000">
            <w:pPr>
              <w:ind w:firstLineChars="0" w:firstLine="0"/>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螺形龟甲轮虫</w:t>
            </w:r>
            <w:r>
              <w:rPr>
                <w:rFonts w:ascii="Times New Roman" w:hAnsi="Times New Roman" w:cs="Times New Roman"/>
                <w:i/>
                <w:iCs/>
                <w:color w:val="000000" w:themeColor="text1"/>
                <w:sz w:val="21"/>
                <w:szCs w:val="21"/>
              </w:rPr>
              <w:t>Keratella quadrata</w:t>
            </w:r>
            <w:r>
              <w:rPr>
                <w:rFonts w:ascii="Times New Roman" w:hAnsi="Times New Roman" w:cs="Times New Roman"/>
                <w:color w:val="000000" w:themeColor="text1"/>
                <w:sz w:val="21"/>
                <w:szCs w:val="21"/>
              </w:rPr>
              <w:t>、透明溞</w:t>
            </w:r>
            <w:r>
              <w:rPr>
                <w:rFonts w:ascii="Times New Roman" w:hAnsi="Times New Roman" w:cs="Times New Roman"/>
                <w:color w:val="000000" w:themeColor="text1"/>
                <w:sz w:val="21"/>
                <w:szCs w:val="21"/>
              </w:rPr>
              <w:t xml:space="preserve"> </w:t>
            </w:r>
            <w:r>
              <w:rPr>
                <w:rFonts w:ascii="Times New Roman" w:hAnsi="Times New Roman" w:cs="Times New Roman"/>
                <w:i/>
                <w:iCs/>
                <w:color w:val="000000" w:themeColor="text1"/>
                <w:sz w:val="21"/>
                <w:szCs w:val="21"/>
              </w:rPr>
              <w:t>Daphnia hyalina</w:t>
            </w:r>
            <w:r>
              <w:rPr>
                <w:rFonts w:ascii="Times New Roman" w:hAnsi="Times New Roman" w:cs="Times New Roman"/>
                <w:color w:val="000000" w:themeColor="text1"/>
                <w:sz w:val="21"/>
                <w:szCs w:val="21"/>
              </w:rPr>
              <w:t>、无节幼体</w:t>
            </w:r>
            <w:r>
              <w:rPr>
                <w:rFonts w:ascii="Times New Roman" w:hAnsi="Times New Roman" w:cs="Times New Roman"/>
                <w:color w:val="000000" w:themeColor="text1"/>
                <w:sz w:val="21"/>
                <w:szCs w:val="21"/>
              </w:rPr>
              <w:t>Nauplius</w:t>
            </w:r>
          </w:p>
        </w:tc>
      </w:tr>
      <w:tr w:rsidR="009D12AF" w14:paraId="4355A90E" w14:textId="77777777">
        <w:trPr>
          <w:trHeight w:val="308"/>
          <w:jc w:val="center"/>
        </w:trPr>
        <w:tc>
          <w:tcPr>
            <w:tcW w:w="2122" w:type="dxa"/>
            <w:tcBorders>
              <w:tl2br w:val="nil"/>
              <w:tr2bl w:val="nil"/>
            </w:tcBorders>
            <w:vAlign w:val="center"/>
          </w:tcPr>
          <w:p w14:paraId="1FD68725"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群力水库</w:t>
            </w:r>
          </w:p>
        </w:tc>
        <w:tc>
          <w:tcPr>
            <w:tcW w:w="6228" w:type="dxa"/>
            <w:tcBorders>
              <w:tl2br w:val="nil"/>
              <w:tr2bl w:val="nil"/>
            </w:tcBorders>
            <w:vAlign w:val="center"/>
          </w:tcPr>
          <w:p w14:paraId="040B5F5A" w14:textId="77777777" w:rsidR="009D12AF" w:rsidRDefault="00000000">
            <w:pPr>
              <w:ind w:firstLineChars="0" w:firstLine="0"/>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矩形龟甲轮虫</w:t>
            </w:r>
            <w:r>
              <w:rPr>
                <w:rFonts w:ascii="Times New Roman" w:hAnsi="Times New Roman" w:cs="Times New Roman"/>
                <w:i/>
                <w:iCs/>
                <w:color w:val="000000" w:themeColor="text1"/>
                <w:sz w:val="21"/>
                <w:szCs w:val="21"/>
              </w:rPr>
              <w:t>Keratella quadrata</w:t>
            </w:r>
            <w:r>
              <w:rPr>
                <w:rFonts w:ascii="Times New Roman" w:hAnsi="Times New Roman" w:cs="Times New Roman"/>
                <w:color w:val="000000" w:themeColor="text1"/>
                <w:sz w:val="21"/>
                <w:szCs w:val="21"/>
              </w:rPr>
              <w:t>、长三肢轮虫</w:t>
            </w:r>
            <w:r>
              <w:rPr>
                <w:rFonts w:ascii="Times New Roman" w:hAnsi="Times New Roman" w:cs="Times New Roman"/>
                <w:color w:val="000000" w:themeColor="text1"/>
                <w:sz w:val="21"/>
                <w:szCs w:val="21"/>
              </w:rPr>
              <w:t xml:space="preserve"> </w:t>
            </w:r>
            <w:r>
              <w:rPr>
                <w:rFonts w:ascii="Times New Roman" w:hAnsi="Times New Roman" w:cs="Times New Roman"/>
                <w:i/>
                <w:iCs/>
                <w:color w:val="000000" w:themeColor="text1"/>
                <w:sz w:val="21"/>
                <w:szCs w:val="21"/>
              </w:rPr>
              <w:t>Filinia longiseta</w:t>
            </w:r>
          </w:p>
        </w:tc>
      </w:tr>
      <w:tr w:rsidR="009D12AF" w14:paraId="1AD9D017" w14:textId="77777777">
        <w:trPr>
          <w:trHeight w:val="308"/>
          <w:jc w:val="center"/>
        </w:trPr>
        <w:tc>
          <w:tcPr>
            <w:tcW w:w="2122" w:type="dxa"/>
            <w:tcBorders>
              <w:tl2br w:val="nil"/>
              <w:tr2bl w:val="nil"/>
            </w:tcBorders>
            <w:vAlign w:val="center"/>
          </w:tcPr>
          <w:p w14:paraId="4843621D"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万丈水库</w:t>
            </w:r>
          </w:p>
        </w:tc>
        <w:tc>
          <w:tcPr>
            <w:tcW w:w="6228" w:type="dxa"/>
            <w:tcBorders>
              <w:tl2br w:val="nil"/>
              <w:tr2bl w:val="nil"/>
            </w:tcBorders>
            <w:vAlign w:val="center"/>
          </w:tcPr>
          <w:p w14:paraId="5C17DF2E" w14:textId="77777777" w:rsidR="009D12AF" w:rsidRDefault="00000000">
            <w:pPr>
              <w:ind w:firstLineChars="0" w:firstLine="0"/>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螺形龟甲轮虫</w:t>
            </w:r>
            <w:r>
              <w:rPr>
                <w:rFonts w:ascii="Times New Roman" w:hAnsi="Times New Roman" w:cs="Times New Roman"/>
                <w:i/>
                <w:iCs/>
                <w:color w:val="000000" w:themeColor="text1"/>
                <w:sz w:val="21"/>
                <w:szCs w:val="21"/>
              </w:rPr>
              <w:t>Keratella quadrata</w:t>
            </w:r>
            <w:r>
              <w:rPr>
                <w:rFonts w:ascii="Times New Roman" w:hAnsi="Times New Roman" w:cs="Times New Roman"/>
                <w:color w:val="000000" w:themeColor="text1"/>
                <w:sz w:val="21"/>
                <w:szCs w:val="21"/>
              </w:rPr>
              <w:t>、僧帽溞</w:t>
            </w:r>
            <w:r>
              <w:rPr>
                <w:rFonts w:ascii="Times New Roman" w:hAnsi="Times New Roman" w:cs="Times New Roman"/>
                <w:color w:val="000000" w:themeColor="text1"/>
                <w:sz w:val="21"/>
                <w:szCs w:val="21"/>
              </w:rPr>
              <w:t xml:space="preserve"> </w:t>
            </w:r>
            <w:r>
              <w:rPr>
                <w:rFonts w:ascii="Times New Roman" w:hAnsi="Times New Roman" w:cs="Times New Roman"/>
                <w:i/>
                <w:iCs/>
                <w:color w:val="000000" w:themeColor="text1"/>
                <w:sz w:val="21"/>
                <w:szCs w:val="21"/>
              </w:rPr>
              <w:t>Daphnia cucullata</w:t>
            </w:r>
          </w:p>
        </w:tc>
      </w:tr>
      <w:tr w:rsidR="009D12AF" w14:paraId="1EAFF2B1" w14:textId="77777777">
        <w:trPr>
          <w:trHeight w:val="308"/>
          <w:jc w:val="center"/>
        </w:trPr>
        <w:tc>
          <w:tcPr>
            <w:tcW w:w="2122" w:type="dxa"/>
            <w:tcBorders>
              <w:tl2br w:val="nil"/>
              <w:tr2bl w:val="nil"/>
            </w:tcBorders>
            <w:vAlign w:val="center"/>
          </w:tcPr>
          <w:p w14:paraId="3110B6CE"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长石水库</w:t>
            </w:r>
          </w:p>
        </w:tc>
        <w:tc>
          <w:tcPr>
            <w:tcW w:w="6228" w:type="dxa"/>
            <w:tcBorders>
              <w:tl2br w:val="nil"/>
              <w:tr2bl w:val="nil"/>
            </w:tcBorders>
            <w:vAlign w:val="center"/>
          </w:tcPr>
          <w:p w14:paraId="6941DC5E" w14:textId="77777777" w:rsidR="009D12AF" w:rsidRDefault="00000000">
            <w:pPr>
              <w:ind w:firstLineChars="0" w:firstLine="0"/>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螺形龟甲轮虫</w:t>
            </w:r>
            <w:r>
              <w:rPr>
                <w:rFonts w:ascii="Times New Roman" w:hAnsi="Times New Roman" w:cs="Times New Roman"/>
                <w:i/>
                <w:iCs/>
                <w:color w:val="000000" w:themeColor="text1"/>
                <w:sz w:val="21"/>
                <w:szCs w:val="21"/>
              </w:rPr>
              <w:t>Keratella quadrata</w:t>
            </w:r>
            <w:r>
              <w:rPr>
                <w:rFonts w:ascii="Times New Roman" w:hAnsi="Times New Roman" w:cs="Times New Roman"/>
                <w:color w:val="000000" w:themeColor="text1"/>
                <w:sz w:val="21"/>
                <w:szCs w:val="21"/>
              </w:rPr>
              <w:t>、无节幼体</w:t>
            </w:r>
            <w:r>
              <w:rPr>
                <w:rFonts w:ascii="Times New Roman" w:hAnsi="Times New Roman" w:cs="Times New Roman"/>
                <w:color w:val="000000" w:themeColor="text1"/>
                <w:sz w:val="21"/>
                <w:szCs w:val="21"/>
              </w:rPr>
              <w:t>Nauplius</w:t>
            </w:r>
          </w:p>
        </w:tc>
      </w:tr>
      <w:tr w:rsidR="009D12AF" w14:paraId="68541CFA" w14:textId="77777777">
        <w:trPr>
          <w:trHeight w:val="308"/>
          <w:jc w:val="center"/>
        </w:trPr>
        <w:tc>
          <w:tcPr>
            <w:tcW w:w="2122" w:type="dxa"/>
            <w:tcBorders>
              <w:tl2br w:val="nil"/>
              <w:tr2bl w:val="nil"/>
            </w:tcBorders>
            <w:vAlign w:val="center"/>
          </w:tcPr>
          <w:p w14:paraId="5EFE4365"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新安晒水池</w:t>
            </w:r>
          </w:p>
        </w:tc>
        <w:tc>
          <w:tcPr>
            <w:tcW w:w="6228" w:type="dxa"/>
            <w:tcBorders>
              <w:tl2br w:val="nil"/>
              <w:tr2bl w:val="nil"/>
            </w:tcBorders>
            <w:vAlign w:val="center"/>
          </w:tcPr>
          <w:p w14:paraId="5B6C6463" w14:textId="77777777" w:rsidR="009D12AF" w:rsidRDefault="00000000">
            <w:pPr>
              <w:ind w:firstLineChars="0" w:firstLine="0"/>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王氏拟铃虫</w:t>
            </w:r>
            <w:r>
              <w:rPr>
                <w:rFonts w:ascii="Times New Roman" w:hAnsi="Times New Roman" w:cs="Times New Roman"/>
                <w:color w:val="000000" w:themeColor="text1"/>
                <w:sz w:val="21"/>
                <w:szCs w:val="21"/>
              </w:rPr>
              <w:t xml:space="preserve"> </w:t>
            </w:r>
            <w:r>
              <w:rPr>
                <w:rFonts w:ascii="Times New Roman" w:hAnsi="Times New Roman" w:cs="Times New Roman"/>
                <w:i/>
                <w:iCs/>
                <w:color w:val="000000" w:themeColor="text1"/>
                <w:sz w:val="21"/>
                <w:szCs w:val="21"/>
              </w:rPr>
              <w:t>Tintinnopsis wangi</w:t>
            </w:r>
            <w:r>
              <w:rPr>
                <w:rFonts w:ascii="Times New Roman" w:hAnsi="Times New Roman" w:cs="Times New Roman"/>
                <w:color w:val="000000" w:themeColor="text1"/>
                <w:sz w:val="21"/>
                <w:szCs w:val="21"/>
              </w:rPr>
              <w:t>、广布中剑水蚤</w:t>
            </w:r>
            <w:r>
              <w:rPr>
                <w:rFonts w:ascii="Times New Roman" w:hAnsi="Times New Roman" w:cs="Times New Roman"/>
                <w:i/>
                <w:iCs/>
                <w:color w:val="000000" w:themeColor="text1"/>
                <w:sz w:val="21"/>
                <w:szCs w:val="21"/>
              </w:rPr>
              <w:t xml:space="preserve"> Mesocyclops leuckarti</w:t>
            </w:r>
            <w:r>
              <w:rPr>
                <w:rFonts w:ascii="Times New Roman" w:hAnsi="Times New Roman" w:cs="Times New Roman"/>
                <w:color w:val="000000" w:themeColor="text1"/>
                <w:sz w:val="21"/>
                <w:szCs w:val="21"/>
              </w:rPr>
              <w:t>、无节幼体</w:t>
            </w:r>
            <w:r>
              <w:rPr>
                <w:rFonts w:ascii="Times New Roman" w:hAnsi="Times New Roman" w:cs="Times New Roman"/>
                <w:color w:val="000000" w:themeColor="text1"/>
                <w:sz w:val="21"/>
                <w:szCs w:val="21"/>
              </w:rPr>
              <w:t>Nauplius</w:t>
            </w:r>
          </w:p>
        </w:tc>
      </w:tr>
      <w:tr w:rsidR="009D12AF" w14:paraId="21BD82D5" w14:textId="77777777">
        <w:trPr>
          <w:trHeight w:val="364"/>
          <w:jc w:val="center"/>
        </w:trPr>
        <w:tc>
          <w:tcPr>
            <w:tcW w:w="2122" w:type="dxa"/>
            <w:tcBorders>
              <w:tl2br w:val="nil"/>
              <w:tr2bl w:val="nil"/>
            </w:tcBorders>
            <w:vAlign w:val="center"/>
          </w:tcPr>
          <w:p w14:paraId="7DE89C0D"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lastRenderedPageBreak/>
              <w:t>向阳水电站前池</w:t>
            </w:r>
          </w:p>
        </w:tc>
        <w:tc>
          <w:tcPr>
            <w:tcW w:w="6228" w:type="dxa"/>
            <w:tcBorders>
              <w:tl2br w:val="nil"/>
              <w:tr2bl w:val="nil"/>
            </w:tcBorders>
            <w:vAlign w:val="center"/>
          </w:tcPr>
          <w:p w14:paraId="5FB79AE1" w14:textId="77777777" w:rsidR="009D12AF" w:rsidRDefault="00000000">
            <w:pPr>
              <w:ind w:firstLineChars="0" w:firstLine="0"/>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中华拟铃虫</w:t>
            </w:r>
            <w:r>
              <w:rPr>
                <w:rFonts w:ascii="Times New Roman" w:hAnsi="Times New Roman" w:cs="Times New Roman"/>
                <w:color w:val="000000" w:themeColor="text1"/>
                <w:sz w:val="21"/>
                <w:szCs w:val="21"/>
              </w:rPr>
              <w:t xml:space="preserve"> </w:t>
            </w:r>
            <w:r>
              <w:rPr>
                <w:rFonts w:ascii="Times New Roman" w:hAnsi="Times New Roman" w:cs="Times New Roman"/>
                <w:i/>
                <w:iCs/>
                <w:color w:val="000000" w:themeColor="text1"/>
                <w:sz w:val="21"/>
                <w:szCs w:val="21"/>
              </w:rPr>
              <w:t>Titinnophsis sinensis</w:t>
            </w:r>
            <w:r>
              <w:rPr>
                <w:rFonts w:ascii="Times New Roman" w:hAnsi="Times New Roman" w:cs="Times New Roman"/>
                <w:color w:val="000000" w:themeColor="text1"/>
                <w:sz w:val="21"/>
                <w:szCs w:val="21"/>
              </w:rPr>
              <w:t>、矩形龟甲轮虫</w:t>
            </w:r>
            <w:r>
              <w:rPr>
                <w:rFonts w:ascii="Times New Roman" w:hAnsi="Times New Roman" w:cs="Times New Roman"/>
                <w:i/>
                <w:iCs/>
                <w:color w:val="000000" w:themeColor="text1"/>
                <w:sz w:val="21"/>
                <w:szCs w:val="21"/>
              </w:rPr>
              <w:t>Keratella quadrata</w:t>
            </w:r>
            <w:r>
              <w:rPr>
                <w:rFonts w:ascii="Times New Roman" w:hAnsi="Times New Roman" w:cs="Times New Roman"/>
                <w:color w:val="000000" w:themeColor="text1"/>
                <w:sz w:val="21"/>
                <w:szCs w:val="21"/>
              </w:rPr>
              <w:t>、无节幼体</w:t>
            </w:r>
            <w:r>
              <w:rPr>
                <w:rFonts w:ascii="Times New Roman" w:hAnsi="Times New Roman" w:cs="Times New Roman"/>
                <w:color w:val="000000" w:themeColor="text1"/>
                <w:sz w:val="21"/>
                <w:szCs w:val="21"/>
              </w:rPr>
              <w:t>Nauplius</w:t>
            </w:r>
          </w:p>
        </w:tc>
      </w:tr>
    </w:tbl>
    <w:p w14:paraId="7E50D7BA" w14:textId="77777777" w:rsidR="009D12AF" w:rsidRDefault="00000000">
      <w:pPr>
        <w:ind w:firstLine="480"/>
        <w:jc w:val="left"/>
        <w:rPr>
          <w:rFonts w:cs="Times New Roman"/>
          <w:bCs/>
          <w:color w:val="000000" w:themeColor="text1"/>
        </w:rPr>
      </w:pPr>
      <w:r>
        <w:rPr>
          <w:rFonts w:cs="Times New Roman" w:hint="eastAsia"/>
          <w:bCs/>
          <w:color w:val="000000" w:themeColor="text1"/>
        </w:rPr>
        <w:t>3</w:t>
      </w:r>
      <w:r>
        <w:rPr>
          <w:rFonts w:cs="Times New Roman" w:hint="eastAsia"/>
          <w:bCs/>
          <w:color w:val="000000" w:themeColor="text1"/>
        </w:rPr>
        <w:t>、数量</w:t>
      </w:r>
    </w:p>
    <w:p w14:paraId="7E70FD2B"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调查期间，莲花水库浮游植物种类数量均值总计为</w:t>
      </w:r>
      <w:r>
        <w:rPr>
          <w:rFonts w:ascii="Times New Roman" w:hAnsi="Times New Roman" w:cs="Times New Roman"/>
          <w:color w:val="000000" w:themeColor="text1"/>
        </w:rPr>
        <w:t>344.28ind./L</w:t>
      </w:r>
      <w:r>
        <w:rPr>
          <w:rFonts w:ascii="Times New Roman" w:hAnsi="Times New Roman" w:cs="Times New Roman"/>
          <w:color w:val="000000" w:themeColor="text1"/>
        </w:rPr>
        <w:t>。其中，轮虫的数量最高</w:t>
      </w:r>
      <w:r>
        <w:rPr>
          <w:rFonts w:ascii="Times New Roman" w:hAnsi="Times New Roman" w:cs="Times New Roman"/>
          <w:color w:val="000000" w:themeColor="text1"/>
        </w:rPr>
        <w:t>270ind./L</w:t>
      </w:r>
      <w:r>
        <w:rPr>
          <w:rFonts w:ascii="Times New Roman" w:hAnsi="Times New Roman" w:cs="Times New Roman"/>
          <w:color w:val="000000" w:themeColor="text1"/>
        </w:rPr>
        <w:t>，原生动物次之</w:t>
      </w:r>
      <w:r>
        <w:rPr>
          <w:rFonts w:ascii="Times New Roman" w:hAnsi="Times New Roman" w:cs="Times New Roman"/>
          <w:color w:val="000000" w:themeColor="text1"/>
        </w:rPr>
        <w:t>70ind./L</w:t>
      </w:r>
      <w:r>
        <w:rPr>
          <w:rFonts w:ascii="Times New Roman" w:hAnsi="Times New Roman" w:cs="Times New Roman"/>
          <w:color w:val="000000" w:themeColor="text1"/>
        </w:rPr>
        <w:t>，桡足类</w:t>
      </w:r>
      <w:r>
        <w:rPr>
          <w:rFonts w:ascii="Times New Roman" w:hAnsi="Times New Roman" w:cs="Times New Roman"/>
          <w:color w:val="000000" w:themeColor="text1"/>
        </w:rPr>
        <w:t>3.18 ind./L</w:t>
      </w:r>
      <w:r>
        <w:rPr>
          <w:rFonts w:ascii="Times New Roman" w:hAnsi="Times New Roman" w:cs="Times New Roman"/>
          <w:color w:val="000000" w:themeColor="text1"/>
        </w:rPr>
        <w:t>，枝角类</w:t>
      </w:r>
      <w:r>
        <w:rPr>
          <w:rFonts w:ascii="Times New Roman" w:hAnsi="Times New Roman" w:cs="Times New Roman"/>
          <w:color w:val="000000" w:themeColor="text1"/>
        </w:rPr>
        <w:t>1.10ind./L</w:t>
      </w:r>
      <w:r>
        <w:rPr>
          <w:rFonts w:ascii="Times New Roman" w:hAnsi="Times New Roman" w:cs="Times New Roman"/>
          <w:color w:val="000000" w:themeColor="text1"/>
        </w:rPr>
        <w:t>；群力水库浮游植物种类数量均值总计为</w:t>
      </w:r>
      <w:r>
        <w:rPr>
          <w:rFonts w:ascii="Times New Roman" w:hAnsi="Times New Roman" w:cs="Times New Roman"/>
          <w:color w:val="000000" w:themeColor="text1"/>
        </w:rPr>
        <w:t>632ind./L</w:t>
      </w:r>
      <w:r>
        <w:rPr>
          <w:rFonts w:ascii="Times New Roman" w:hAnsi="Times New Roman" w:cs="Times New Roman"/>
          <w:color w:val="000000" w:themeColor="text1"/>
        </w:rPr>
        <w:t>。其中，轮虫的数量最高</w:t>
      </w:r>
      <w:r>
        <w:rPr>
          <w:rFonts w:ascii="Times New Roman" w:hAnsi="Times New Roman" w:cs="Times New Roman"/>
          <w:color w:val="000000" w:themeColor="text1"/>
        </w:rPr>
        <w:t>510ind./L</w:t>
      </w:r>
      <w:r>
        <w:rPr>
          <w:rFonts w:ascii="Times New Roman" w:hAnsi="Times New Roman" w:cs="Times New Roman"/>
          <w:color w:val="000000" w:themeColor="text1"/>
        </w:rPr>
        <w:t>，原生动物次之</w:t>
      </w:r>
      <w:r>
        <w:rPr>
          <w:rFonts w:ascii="Times New Roman" w:hAnsi="Times New Roman" w:cs="Times New Roman"/>
          <w:color w:val="000000" w:themeColor="text1"/>
        </w:rPr>
        <w:t>60ind./L</w:t>
      </w:r>
      <w:r>
        <w:rPr>
          <w:rFonts w:ascii="Times New Roman" w:hAnsi="Times New Roman" w:cs="Times New Roman"/>
          <w:color w:val="000000" w:themeColor="text1"/>
        </w:rPr>
        <w:t>，桡足类</w:t>
      </w:r>
      <w:r>
        <w:rPr>
          <w:rFonts w:ascii="Times New Roman" w:hAnsi="Times New Roman" w:cs="Times New Roman"/>
          <w:color w:val="000000" w:themeColor="text1"/>
        </w:rPr>
        <w:t>57.83ind./L</w:t>
      </w:r>
      <w:r>
        <w:rPr>
          <w:rFonts w:ascii="Times New Roman" w:hAnsi="Times New Roman" w:cs="Times New Roman"/>
          <w:color w:val="000000" w:themeColor="text1"/>
        </w:rPr>
        <w:t>，枝角类</w:t>
      </w:r>
      <w:r>
        <w:rPr>
          <w:rFonts w:ascii="Times New Roman" w:hAnsi="Times New Roman" w:cs="Times New Roman"/>
          <w:color w:val="000000" w:themeColor="text1"/>
        </w:rPr>
        <w:t>4.18ind./L</w:t>
      </w:r>
      <w:r>
        <w:rPr>
          <w:rFonts w:ascii="Times New Roman" w:hAnsi="Times New Roman" w:cs="Times New Roman"/>
          <w:color w:val="000000" w:themeColor="text1"/>
        </w:rPr>
        <w:t>；万丈水库浮游植物种类数量均值总计为</w:t>
      </w:r>
      <w:r>
        <w:rPr>
          <w:rFonts w:ascii="Times New Roman" w:hAnsi="Times New Roman" w:cs="Times New Roman"/>
          <w:color w:val="000000" w:themeColor="text1"/>
        </w:rPr>
        <w:t>441.72ind./L</w:t>
      </w:r>
      <w:r>
        <w:rPr>
          <w:rFonts w:ascii="Times New Roman" w:hAnsi="Times New Roman" w:cs="Times New Roman"/>
          <w:color w:val="000000" w:themeColor="text1"/>
        </w:rPr>
        <w:t>。其中，轮虫的数量最高</w:t>
      </w:r>
      <w:r>
        <w:rPr>
          <w:rFonts w:ascii="Times New Roman" w:hAnsi="Times New Roman" w:cs="Times New Roman"/>
          <w:color w:val="000000" w:themeColor="text1"/>
        </w:rPr>
        <w:t>250ind./L</w:t>
      </w:r>
      <w:r>
        <w:rPr>
          <w:rFonts w:ascii="Times New Roman" w:hAnsi="Times New Roman" w:cs="Times New Roman"/>
          <w:color w:val="000000" w:themeColor="text1"/>
        </w:rPr>
        <w:t>，原生动物次之</w:t>
      </w:r>
      <w:r>
        <w:rPr>
          <w:rFonts w:ascii="Times New Roman" w:hAnsi="Times New Roman" w:cs="Times New Roman"/>
          <w:color w:val="000000" w:themeColor="text1"/>
        </w:rPr>
        <w:t>140ind./L</w:t>
      </w:r>
      <w:r>
        <w:rPr>
          <w:rFonts w:ascii="Times New Roman" w:hAnsi="Times New Roman" w:cs="Times New Roman"/>
          <w:color w:val="000000" w:themeColor="text1"/>
        </w:rPr>
        <w:t>，桡足类</w:t>
      </w:r>
      <w:r>
        <w:rPr>
          <w:rFonts w:ascii="Times New Roman" w:hAnsi="Times New Roman" w:cs="Times New Roman"/>
          <w:color w:val="000000" w:themeColor="text1"/>
        </w:rPr>
        <w:t>50.35ind./L</w:t>
      </w:r>
      <w:r>
        <w:rPr>
          <w:rFonts w:ascii="Times New Roman" w:hAnsi="Times New Roman" w:cs="Times New Roman"/>
          <w:color w:val="000000" w:themeColor="text1"/>
        </w:rPr>
        <w:t>，枝角类</w:t>
      </w:r>
      <w:r>
        <w:rPr>
          <w:rFonts w:ascii="Times New Roman" w:hAnsi="Times New Roman" w:cs="Times New Roman"/>
          <w:color w:val="000000" w:themeColor="text1"/>
        </w:rPr>
        <w:t>1.37ind./L</w:t>
      </w:r>
      <w:r>
        <w:rPr>
          <w:rFonts w:ascii="Times New Roman" w:hAnsi="Times New Roman" w:cs="Times New Roman"/>
          <w:color w:val="000000" w:themeColor="text1"/>
        </w:rPr>
        <w:t>；长石水库浮游植物种类数量均值总计为</w:t>
      </w:r>
      <w:r>
        <w:rPr>
          <w:rFonts w:ascii="Times New Roman" w:hAnsi="Times New Roman" w:cs="Times New Roman"/>
          <w:color w:val="000000" w:themeColor="text1"/>
        </w:rPr>
        <w:t>647.03ind./L</w:t>
      </w:r>
      <w:r>
        <w:rPr>
          <w:rFonts w:ascii="Times New Roman" w:hAnsi="Times New Roman" w:cs="Times New Roman"/>
          <w:color w:val="000000" w:themeColor="text1"/>
        </w:rPr>
        <w:t>。其中，轮虫的数量最高</w:t>
      </w:r>
      <w:r>
        <w:rPr>
          <w:rFonts w:ascii="Times New Roman" w:hAnsi="Times New Roman" w:cs="Times New Roman"/>
          <w:color w:val="000000" w:themeColor="text1"/>
        </w:rPr>
        <w:t>480ind./L</w:t>
      </w:r>
      <w:r>
        <w:rPr>
          <w:rFonts w:ascii="Times New Roman" w:hAnsi="Times New Roman" w:cs="Times New Roman"/>
          <w:color w:val="000000" w:themeColor="text1"/>
        </w:rPr>
        <w:t>，原生动物次之</w:t>
      </w:r>
      <w:r>
        <w:rPr>
          <w:rFonts w:ascii="Times New Roman" w:hAnsi="Times New Roman" w:cs="Times New Roman"/>
          <w:color w:val="000000" w:themeColor="text1"/>
        </w:rPr>
        <w:t>165ind./L</w:t>
      </w:r>
      <w:r>
        <w:rPr>
          <w:rFonts w:ascii="Times New Roman" w:hAnsi="Times New Roman" w:cs="Times New Roman"/>
          <w:color w:val="000000" w:themeColor="text1"/>
        </w:rPr>
        <w:t>，桡足类</w:t>
      </w:r>
      <w:r>
        <w:rPr>
          <w:rFonts w:ascii="Times New Roman" w:hAnsi="Times New Roman" w:cs="Times New Roman"/>
          <w:color w:val="000000" w:themeColor="text1"/>
        </w:rPr>
        <w:t>1.60ind./L</w:t>
      </w:r>
      <w:r>
        <w:rPr>
          <w:rFonts w:ascii="Times New Roman" w:hAnsi="Times New Roman" w:cs="Times New Roman"/>
          <w:color w:val="000000" w:themeColor="text1"/>
        </w:rPr>
        <w:t>，枝角类</w:t>
      </w:r>
      <w:r>
        <w:rPr>
          <w:rFonts w:ascii="Times New Roman" w:hAnsi="Times New Roman" w:cs="Times New Roman"/>
          <w:color w:val="000000" w:themeColor="text1"/>
        </w:rPr>
        <w:t>0.43ind./L</w:t>
      </w:r>
      <w:r>
        <w:rPr>
          <w:rFonts w:ascii="Times New Roman" w:hAnsi="Times New Roman" w:cs="Times New Roman"/>
          <w:color w:val="000000" w:themeColor="text1"/>
        </w:rPr>
        <w:t>；新安晒水池浮游植物种类数量均值总计为</w:t>
      </w:r>
      <w:r>
        <w:rPr>
          <w:rFonts w:ascii="Times New Roman" w:hAnsi="Times New Roman" w:cs="Times New Roman"/>
          <w:color w:val="000000" w:themeColor="text1"/>
        </w:rPr>
        <w:t>1259.5ind./L</w:t>
      </w:r>
      <w:r>
        <w:rPr>
          <w:rFonts w:ascii="Times New Roman" w:hAnsi="Times New Roman" w:cs="Times New Roman"/>
          <w:color w:val="000000" w:themeColor="text1"/>
        </w:rPr>
        <w:t>。其中，轮虫的数量最高</w:t>
      </w:r>
      <w:r>
        <w:rPr>
          <w:rFonts w:ascii="Times New Roman" w:hAnsi="Times New Roman" w:cs="Times New Roman"/>
          <w:color w:val="000000" w:themeColor="text1"/>
        </w:rPr>
        <w:t>1155ind./L</w:t>
      </w:r>
      <w:r>
        <w:rPr>
          <w:rFonts w:ascii="Times New Roman" w:hAnsi="Times New Roman" w:cs="Times New Roman"/>
          <w:color w:val="000000" w:themeColor="text1"/>
        </w:rPr>
        <w:t>，原生动物次之</w:t>
      </w:r>
      <w:r>
        <w:rPr>
          <w:rFonts w:ascii="Times New Roman" w:hAnsi="Times New Roman" w:cs="Times New Roman"/>
          <w:color w:val="000000" w:themeColor="text1"/>
        </w:rPr>
        <w:t>90ind./L</w:t>
      </w:r>
      <w:r>
        <w:rPr>
          <w:rFonts w:ascii="Times New Roman" w:hAnsi="Times New Roman" w:cs="Times New Roman"/>
          <w:color w:val="000000" w:themeColor="text1"/>
        </w:rPr>
        <w:t>，桡足类</w:t>
      </w:r>
      <w:r>
        <w:rPr>
          <w:rFonts w:ascii="Times New Roman" w:hAnsi="Times New Roman" w:cs="Times New Roman"/>
          <w:color w:val="000000" w:themeColor="text1"/>
        </w:rPr>
        <w:t>12.15ind./L</w:t>
      </w:r>
      <w:r>
        <w:rPr>
          <w:rFonts w:ascii="Times New Roman" w:hAnsi="Times New Roman" w:cs="Times New Roman"/>
          <w:color w:val="000000" w:themeColor="text1"/>
        </w:rPr>
        <w:t>，枝角类</w:t>
      </w:r>
      <w:r>
        <w:rPr>
          <w:rFonts w:ascii="Times New Roman" w:hAnsi="Times New Roman" w:cs="Times New Roman"/>
          <w:color w:val="000000" w:themeColor="text1"/>
        </w:rPr>
        <w:t>2.35ind./L</w:t>
      </w:r>
      <w:r>
        <w:rPr>
          <w:rFonts w:ascii="Times New Roman" w:hAnsi="Times New Roman" w:cs="Times New Roman"/>
          <w:color w:val="000000" w:themeColor="text1"/>
        </w:rPr>
        <w:t>；向阳水电站前池浮游植物种类数量均值总计为</w:t>
      </w:r>
      <w:r>
        <w:rPr>
          <w:rFonts w:ascii="Times New Roman" w:hAnsi="Times New Roman" w:cs="Times New Roman"/>
          <w:color w:val="000000" w:themeColor="text1"/>
        </w:rPr>
        <w:t>1819.35ind./L</w:t>
      </w:r>
      <w:r>
        <w:rPr>
          <w:rFonts w:ascii="Times New Roman" w:hAnsi="Times New Roman" w:cs="Times New Roman"/>
          <w:color w:val="000000" w:themeColor="text1"/>
        </w:rPr>
        <w:t>。其中，原生动物数量最高</w:t>
      </w:r>
      <w:r>
        <w:rPr>
          <w:rFonts w:ascii="Times New Roman" w:hAnsi="Times New Roman" w:cs="Times New Roman"/>
          <w:color w:val="000000" w:themeColor="text1"/>
        </w:rPr>
        <w:t>960ind./L</w:t>
      </w:r>
      <w:r>
        <w:rPr>
          <w:rFonts w:ascii="Times New Roman" w:hAnsi="Times New Roman" w:cs="Times New Roman"/>
          <w:color w:val="000000" w:themeColor="text1"/>
        </w:rPr>
        <w:t>，轮虫次之</w:t>
      </w:r>
      <w:r>
        <w:rPr>
          <w:rFonts w:ascii="Times New Roman" w:hAnsi="Times New Roman" w:cs="Times New Roman"/>
          <w:color w:val="000000" w:themeColor="text1"/>
        </w:rPr>
        <w:t>630ind./L</w:t>
      </w:r>
      <w:r>
        <w:rPr>
          <w:rFonts w:ascii="Times New Roman" w:hAnsi="Times New Roman" w:cs="Times New Roman"/>
          <w:color w:val="000000" w:themeColor="text1"/>
        </w:rPr>
        <w:t>，桡足类</w:t>
      </w:r>
      <w:r>
        <w:rPr>
          <w:rFonts w:ascii="Times New Roman" w:hAnsi="Times New Roman" w:cs="Times New Roman"/>
          <w:color w:val="000000" w:themeColor="text1"/>
        </w:rPr>
        <w:t>109.45ind./L</w:t>
      </w:r>
      <w:r>
        <w:rPr>
          <w:rFonts w:ascii="Times New Roman" w:hAnsi="Times New Roman" w:cs="Times New Roman"/>
          <w:color w:val="000000" w:themeColor="text1"/>
        </w:rPr>
        <w:t>，枝角类</w:t>
      </w:r>
      <w:r>
        <w:rPr>
          <w:rFonts w:ascii="Times New Roman" w:hAnsi="Times New Roman" w:cs="Times New Roman"/>
          <w:color w:val="000000" w:themeColor="text1"/>
        </w:rPr>
        <w:t>19.90ind./L</w:t>
      </w:r>
      <w:r>
        <w:rPr>
          <w:rFonts w:ascii="Times New Roman" w:hAnsi="Times New Roman" w:cs="Times New Roman"/>
          <w:color w:val="000000" w:themeColor="text1"/>
        </w:rPr>
        <w:t>（图</w:t>
      </w:r>
      <w:r>
        <w:rPr>
          <w:rFonts w:ascii="Times New Roman" w:hAnsi="Times New Roman" w:cs="Times New Roman" w:hint="eastAsia"/>
          <w:color w:val="000000" w:themeColor="text1"/>
        </w:rPr>
        <w:t>4.3-30</w:t>
      </w:r>
      <w:r>
        <w:rPr>
          <w:rFonts w:ascii="Times New Roman" w:hAnsi="Times New Roman" w:cs="Times New Roman"/>
          <w:color w:val="000000" w:themeColor="text1"/>
        </w:rPr>
        <w:t>）。</w:t>
      </w:r>
      <w:r>
        <w:rPr>
          <w:rFonts w:ascii="Times New Roman" w:hAnsi="Times New Roman" w:cs="Times New Roman"/>
          <w:color w:val="000000" w:themeColor="text1"/>
        </w:rPr>
        <w:tab/>
      </w:r>
    </w:p>
    <w:p w14:paraId="4FAD4B8A" w14:textId="77777777" w:rsidR="009D12AF" w:rsidRDefault="00000000">
      <w:pPr>
        <w:ind w:leftChars="-236" w:left="-566" w:rightChars="-319" w:right="-766" w:firstLine="480"/>
        <w:jc w:val="cente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31AAA9E9" wp14:editId="7B452E80">
            <wp:extent cx="3962400" cy="2235200"/>
            <wp:effectExtent l="0" t="0" r="0" b="12700"/>
            <wp:docPr id="228" name="图形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形 53"/>
                    <pic:cNvPicPr>
                      <a:picLocks noChangeAspect="1"/>
                    </pic:cNvPicPr>
                  </pic:nvPicPr>
                  <pic:blipFill>
                    <a:blip r:embed="rId89">
                      <a:extLst>
                        <a:ext uri="{96DAC541-7B7A-43D3-8B79-37D633B846F1}">
                          <asvg:svgBlip xmlns:asvg="http://schemas.microsoft.com/office/drawing/2016/SVG/main" r:embed="rId90"/>
                        </a:ext>
                      </a:extLst>
                    </a:blip>
                    <a:stretch>
                      <a:fillRect/>
                    </a:stretch>
                  </pic:blipFill>
                  <pic:spPr>
                    <a:xfrm>
                      <a:off x="0" y="0"/>
                      <a:ext cx="3962400" cy="2235200"/>
                    </a:xfrm>
                    <a:prstGeom prst="rect">
                      <a:avLst/>
                    </a:prstGeom>
                  </pic:spPr>
                </pic:pic>
              </a:graphicData>
            </a:graphic>
          </wp:inline>
        </w:drawing>
      </w:r>
    </w:p>
    <w:p w14:paraId="4637BCC8" w14:textId="77777777" w:rsidR="009D12AF" w:rsidRDefault="00000000">
      <w:pPr>
        <w:ind w:firstLine="482"/>
        <w:jc w:val="center"/>
        <w:rPr>
          <w:rFonts w:cs="Times New Roman"/>
          <w:b/>
          <w:color w:val="000000" w:themeColor="text1"/>
        </w:rPr>
      </w:pPr>
      <w:r>
        <w:rPr>
          <w:rFonts w:cs="Times New Roman" w:hint="eastAsia"/>
          <w:b/>
          <w:color w:val="000000" w:themeColor="text1"/>
        </w:rPr>
        <w:t>图</w:t>
      </w:r>
      <w:r>
        <w:rPr>
          <w:rFonts w:cs="Times New Roman" w:hint="eastAsia"/>
          <w:b/>
          <w:color w:val="000000" w:themeColor="text1"/>
        </w:rPr>
        <w:t xml:space="preserve">4.3-31   </w:t>
      </w:r>
      <w:r>
        <w:rPr>
          <w:rFonts w:cs="Times New Roman" w:hint="eastAsia"/>
          <w:b/>
          <w:color w:val="000000" w:themeColor="text1"/>
        </w:rPr>
        <w:t>浮游动物数量组成</w:t>
      </w:r>
    </w:p>
    <w:p w14:paraId="635221B7" w14:textId="77777777" w:rsidR="009D12AF" w:rsidRDefault="00000000">
      <w:pPr>
        <w:ind w:leftChars="200" w:left="480" w:firstLineChars="0" w:firstLine="0"/>
        <w:jc w:val="left"/>
      </w:pPr>
      <w:r>
        <w:rPr>
          <w:rFonts w:hint="eastAsia"/>
        </w:rPr>
        <w:t>4</w:t>
      </w:r>
      <w:r>
        <w:rPr>
          <w:rFonts w:hint="eastAsia"/>
        </w:rPr>
        <w:t>、生物量</w:t>
      </w:r>
    </w:p>
    <w:p w14:paraId="60E45A3F"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调查期间，莲花水库浮游动物生物量均值为</w:t>
      </w:r>
      <w:r>
        <w:rPr>
          <w:rFonts w:ascii="Times New Roman" w:eastAsia="等线" w:hAnsi="Times New Roman" w:cs="Times New Roman"/>
          <w:color w:val="000000" w:themeColor="text1"/>
        </w:rPr>
        <w:t xml:space="preserve">0.372 </w:t>
      </w:r>
      <w:r>
        <w:rPr>
          <w:rFonts w:ascii="Times New Roman" w:hAnsi="Times New Roman" w:cs="Times New Roman"/>
          <w:color w:val="000000" w:themeColor="text1"/>
        </w:rPr>
        <w:t>mg/L</w:t>
      </w:r>
      <w:r>
        <w:rPr>
          <w:rFonts w:ascii="Times New Roman" w:hAnsi="Times New Roman" w:cs="Times New Roman"/>
          <w:color w:val="000000" w:themeColor="text1"/>
        </w:rPr>
        <w:t>。其中，轮虫的生物量最高为</w:t>
      </w:r>
      <w:r>
        <w:rPr>
          <w:rFonts w:ascii="Times New Roman" w:hAnsi="Times New Roman" w:cs="Times New Roman"/>
          <w:color w:val="000000" w:themeColor="text1"/>
        </w:rPr>
        <w:t>0.324 mg/L</w:t>
      </w:r>
      <w:r>
        <w:rPr>
          <w:rFonts w:ascii="Times New Roman" w:hAnsi="Times New Roman" w:cs="Times New Roman"/>
          <w:color w:val="000000" w:themeColor="text1"/>
        </w:rPr>
        <w:t>，桡足类和枝角类次之均为</w:t>
      </w:r>
      <w:r>
        <w:rPr>
          <w:rFonts w:ascii="Times New Roman" w:hAnsi="Times New Roman" w:cs="Times New Roman"/>
          <w:color w:val="000000" w:themeColor="text1"/>
        </w:rPr>
        <w:t>0.022mg/L</w:t>
      </w:r>
      <w:r>
        <w:rPr>
          <w:rFonts w:ascii="Times New Roman" w:hAnsi="Times New Roman" w:cs="Times New Roman"/>
          <w:color w:val="000000" w:themeColor="text1"/>
        </w:rPr>
        <w:t>，原生动物</w:t>
      </w:r>
      <w:r>
        <w:rPr>
          <w:rFonts w:ascii="Times New Roman" w:hAnsi="Times New Roman" w:cs="Times New Roman"/>
          <w:color w:val="000000" w:themeColor="text1"/>
        </w:rPr>
        <w:t>0.004mg/L</w:t>
      </w:r>
      <w:r>
        <w:rPr>
          <w:rFonts w:ascii="Times New Roman" w:hAnsi="Times New Roman" w:cs="Times New Roman"/>
          <w:color w:val="000000" w:themeColor="text1"/>
        </w:rPr>
        <w:t>；群力水库浮游动物生物量均值为</w:t>
      </w:r>
      <w:r>
        <w:rPr>
          <w:rFonts w:ascii="Times New Roman" w:eastAsia="等线" w:hAnsi="Times New Roman" w:cs="Times New Roman"/>
          <w:color w:val="000000" w:themeColor="text1"/>
        </w:rPr>
        <w:t xml:space="preserve">1.043 </w:t>
      </w:r>
      <w:r>
        <w:rPr>
          <w:rFonts w:ascii="Times New Roman" w:hAnsi="Times New Roman" w:cs="Times New Roman"/>
          <w:color w:val="000000" w:themeColor="text1"/>
        </w:rPr>
        <w:t>mg/L</w:t>
      </w:r>
      <w:r>
        <w:rPr>
          <w:rFonts w:ascii="Times New Roman" w:hAnsi="Times New Roman" w:cs="Times New Roman"/>
          <w:color w:val="000000" w:themeColor="text1"/>
        </w:rPr>
        <w:t>。其中，轮虫的生物量最高为</w:t>
      </w:r>
      <w:r>
        <w:rPr>
          <w:rFonts w:ascii="Times New Roman" w:hAnsi="Times New Roman" w:cs="Times New Roman"/>
          <w:color w:val="000000" w:themeColor="text1"/>
        </w:rPr>
        <w:t xml:space="preserve">0.612 </w:t>
      </w:r>
      <w:r>
        <w:rPr>
          <w:rFonts w:ascii="Times New Roman" w:hAnsi="Times New Roman" w:cs="Times New Roman"/>
          <w:color w:val="000000" w:themeColor="text1"/>
        </w:rPr>
        <w:lastRenderedPageBreak/>
        <w:t>mg/L</w:t>
      </w:r>
      <w:r>
        <w:rPr>
          <w:rFonts w:ascii="Times New Roman" w:hAnsi="Times New Roman" w:cs="Times New Roman"/>
          <w:color w:val="000000" w:themeColor="text1"/>
        </w:rPr>
        <w:t>，桡足类次之为</w:t>
      </w:r>
      <w:r>
        <w:rPr>
          <w:rFonts w:ascii="Times New Roman" w:hAnsi="Times New Roman" w:cs="Times New Roman"/>
          <w:color w:val="000000" w:themeColor="text1"/>
        </w:rPr>
        <w:t>0.345mg/L</w:t>
      </w:r>
      <w:r>
        <w:rPr>
          <w:rFonts w:ascii="Times New Roman" w:hAnsi="Times New Roman" w:cs="Times New Roman"/>
          <w:color w:val="000000" w:themeColor="text1"/>
        </w:rPr>
        <w:t>，枝角类为</w:t>
      </w:r>
      <w:r>
        <w:rPr>
          <w:rFonts w:ascii="Times New Roman" w:hAnsi="Times New Roman" w:cs="Times New Roman"/>
          <w:color w:val="000000" w:themeColor="text1"/>
        </w:rPr>
        <w:t>0.084 mg/L</w:t>
      </w:r>
      <w:r>
        <w:rPr>
          <w:rFonts w:ascii="Times New Roman" w:hAnsi="Times New Roman" w:cs="Times New Roman"/>
          <w:color w:val="000000" w:themeColor="text1"/>
        </w:rPr>
        <w:t>，原生动物</w:t>
      </w:r>
      <w:r>
        <w:rPr>
          <w:rFonts w:ascii="Times New Roman" w:hAnsi="Times New Roman" w:cs="Times New Roman"/>
          <w:color w:val="000000" w:themeColor="text1"/>
        </w:rPr>
        <w:t>0.003 mg/L</w:t>
      </w:r>
      <w:r>
        <w:rPr>
          <w:rFonts w:ascii="Times New Roman" w:hAnsi="Times New Roman" w:cs="Times New Roman"/>
          <w:color w:val="000000" w:themeColor="text1"/>
        </w:rPr>
        <w:t>；万丈水库浮游动物生物量均值为</w:t>
      </w:r>
      <w:r>
        <w:rPr>
          <w:rFonts w:ascii="Times New Roman" w:eastAsia="等线" w:hAnsi="Times New Roman" w:cs="Times New Roman"/>
          <w:color w:val="000000" w:themeColor="text1"/>
        </w:rPr>
        <w:t xml:space="preserve">0.607 </w:t>
      </w:r>
      <w:r>
        <w:rPr>
          <w:rFonts w:ascii="Times New Roman" w:hAnsi="Times New Roman" w:cs="Times New Roman"/>
          <w:color w:val="000000" w:themeColor="text1"/>
        </w:rPr>
        <w:t>mg/L</w:t>
      </w:r>
      <w:r>
        <w:rPr>
          <w:rFonts w:ascii="Times New Roman" w:hAnsi="Times New Roman" w:cs="Times New Roman"/>
          <w:color w:val="000000" w:themeColor="text1"/>
        </w:rPr>
        <w:t>。其中，轮虫的生物量最高为</w:t>
      </w:r>
      <w:r>
        <w:rPr>
          <w:rFonts w:ascii="Times New Roman" w:hAnsi="Times New Roman" w:cs="Times New Roman"/>
          <w:color w:val="000000" w:themeColor="text1"/>
        </w:rPr>
        <w:t>0.300 mg/L</w:t>
      </w:r>
      <w:r>
        <w:rPr>
          <w:rFonts w:ascii="Times New Roman" w:hAnsi="Times New Roman" w:cs="Times New Roman"/>
          <w:color w:val="000000" w:themeColor="text1"/>
        </w:rPr>
        <w:t>，桡足类次之为</w:t>
      </w:r>
      <w:r>
        <w:rPr>
          <w:rFonts w:ascii="Times New Roman" w:hAnsi="Times New Roman" w:cs="Times New Roman"/>
          <w:color w:val="000000" w:themeColor="text1"/>
        </w:rPr>
        <w:t>0.272 mg/L</w:t>
      </w:r>
      <w:r>
        <w:rPr>
          <w:rFonts w:ascii="Times New Roman" w:hAnsi="Times New Roman" w:cs="Times New Roman"/>
          <w:color w:val="000000" w:themeColor="text1"/>
        </w:rPr>
        <w:t>，枝角类为</w:t>
      </w:r>
      <w:r>
        <w:rPr>
          <w:rFonts w:ascii="Times New Roman" w:hAnsi="Times New Roman" w:cs="Times New Roman"/>
          <w:color w:val="000000" w:themeColor="text1"/>
        </w:rPr>
        <w:t>0.027 mg/L</w:t>
      </w:r>
      <w:r>
        <w:rPr>
          <w:rFonts w:ascii="Times New Roman" w:hAnsi="Times New Roman" w:cs="Times New Roman"/>
          <w:color w:val="000000" w:themeColor="text1"/>
        </w:rPr>
        <w:t>，原生动物</w:t>
      </w:r>
      <w:r>
        <w:rPr>
          <w:rFonts w:ascii="Times New Roman" w:hAnsi="Times New Roman" w:cs="Times New Roman"/>
          <w:color w:val="000000" w:themeColor="text1"/>
        </w:rPr>
        <w:t>0.007mg/L</w:t>
      </w:r>
      <w:r>
        <w:rPr>
          <w:rFonts w:ascii="Times New Roman" w:hAnsi="Times New Roman" w:cs="Times New Roman"/>
          <w:color w:val="000000" w:themeColor="text1"/>
        </w:rPr>
        <w:t>；长石水库浮游动物生物量均值为</w:t>
      </w:r>
      <w:r>
        <w:rPr>
          <w:rFonts w:ascii="Times New Roman" w:eastAsia="等线" w:hAnsi="Times New Roman" w:cs="Times New Roman"/>
          <w:color w:val="000000" w:themeColor="text1"/>
        </w:rPr>
        <w:t xml:space="preserve">0.604 </w:t>
      </w:r>
      <w:r>
        <w:rPr>
          <w:rFonts w:ascii="Times New Roman" w:hAnsi="Times New Roman" w:cs="Times New Roman"/>
          <w:color w:val="000000" w:themeColor="text1"/>
        </w:rPr>
        <w:t>mg/L</w:t>
      </w:r>
      <w:r>
        <w:rPr>
          <w:rFonts w:ascii="Times New Roman" w:hAnsi="Times New Roman" w:cs="Times New Roman"/>
          <w:color w:val="000000" w:themeColor="text1"/>
        </w:rPr>
        <w:t>。其中，轮虫的生物量最高为</w:t>
      </w:r>
      <w:r>
        <w:rPr>
          <w:rFonts w:ascii="Times New Roman" w:hAnsi="Times New Roman" w:cs="Times New Roman"/>
          <w:color w:val="000000" w:themeColor="text1"/>
        </w:rPr>
        <w:t>0.576  mg/L</w:t>
      </w:r>
      <w:r>
        <w:rPr>
          <w:rFonts w:ascii="Times New Roman" w:hAnsi="Times New Roman" w:cs="Times New Roman"/>
          <w:color w:val="000000" w:themeColor="text1"/>
        </w:rPr>
        <w:t>，桡足类次之为</w:t>
      </w:r>
      <w:r>
        <w:rPr>
          <w:rFonts w:ascii="Times New Roman" w:hAnsi="Times New Roman" w:cs="Times New Roman"/>
          <w:color w:val="000000" w:themeColor="text1"/>
        </w:rPr>
        <w:t>0.011 mg/L</w:t>
      </w:r>
      <w:r>
        <w:rPr>
          <w:rFonts w:ascii="Times New Roman" w:hAnsi="Times New Roman" w:cs="Times New Roman"/>
          <w:color w:val="000000" w:themeColor="text1"/>
        </w:rPr>
        <w:t>，枝角类为</w:t>
      </w:r>
      <w:r>
        <w:rPr>
          <w:rFonts w:ascii="Times New Roman" w:hAnsi="Times New Roman" w:cs="Times New Roman"/>
          <w:color w:val="000000" w:themeColor="text1"/>
        </w:rPr>
        <w:t>0.009 mg/L</w:t>
      </w:r>
      <w:r>
        <w:rPr>
          <w:rFonts w:ascii="Times New Roman" w:hAnsi="Times New Roman" w:cs="Times New Roman"/>
          <w:color w:val="000000" w:themeColor="text1"/>
        </w:rPr>
        <w:t>，原生动物</w:t>
      </w:r>
      <w:r>
        <w:rPr>
          <w:rFonts w:ascii="Times New Roman" w:hAnsi="Times New Roman" w:cs="Times New Roman"/>
          <w:color w:val="000000" w:themeColor="text1"/>
        </w:rPr>
        <w:t>0.008 mg/L</w:t>
      </w:r>
      <w:r>
        <w:rPr>
          <w:rFonts w:ascii="Times New Roman" w:hAnsi="Times New Roman" w:cs="Times New Roman"/>
          <w:color w:val="000000" w:themeColor="text1"/>
        </w:rPr>
        <w:t>；新安晒水池浮游动物生物量均值为</w:t>
      </w:r>
      <w:r>
        <w:rPr>
          <w:rFonts w:ascii="Times New Roman" w:eastAsia="等线" w:hAnsi="Times New Roman" w:cs="Times New Roman"/>
          <w:color w:val="000000" w:themeColor="text1"/>
        </w:rPr>
        <w:t>1.523</w:t>
      </w:r>
      <w:r>
        <w:rPr>
          <w:rFonts w:ascii="Times New Roman" w:hAnsi="Times New Roman" w:cs="Times New Roman"/>
          <w:color w:val="000000" w:themeColor="text1"/>
        </w:rPr>
        <w:t>mg/L</w:t>
      </w:r>
      <w:r>
        <w:rPr>
          <w:rFonts w:ascii="Times New Roman" w:hAnsi="Times New Roman" w:cs="Times New Roman"/>
          <w:color w:val="000000" w:themeColor="text1"/>
        </w:rPr>
        <w:t>。其中，轮虫的生物量最高为</w:t>
      </w:r>
      <w:r>
        <w:rPr>
          <w:rFonts w:ascii="Times New Roman" w:hAnsi="Times New Roman" w:cs="Times New Roman"/>
          <w:color w:val="000000" w:themeColor="text1"/>
        </w:rPr>
        <w:t>1.386  mg/L</w:t>
      </w:r>
      <w:r>
        <w:rPr>
          <w:rFonts w:ascii="Times New Roman" w:hAnsi="Times New Roman" w:cs="Times New Roman"/>
          <w:color w:val="000000" w:themeColor="text1"/>
        </w:rPr>
        <w:t>，桡足类次之为</w:t>
      </w:r>
      <w:r>
        <w:rPr>
          <w:rFonts w:ascii="Times New Roman" w:hAnsi="Times New Roman" w:cs="Times New Roman"/>
          <w:color w:val="000000" w:themeColor="text1"/>
        </w:rPr>
        <w:t>0.085 mg/L</w:t>
      </w:r>
      <w:r>
        <w:rPr>
          <w:rFonts w:ascii="Times New Roman" w:hAnsi="Times New Roman" w:cs="Times New Roman"/>
          <w:color w:val="000000" w:themeColor="text1"/>
        </w:rPr>
        <w:t>，枝角类为</w:t>
      </w:r>
      <w:r>
        <w:rPr>
          <w:rFonts w:ascii="Times New Roman" w:hAnsi="Times New Roman" w:cs="Times New Roman"/>
          <w:color w:val="000000" w:themeColor="text1"/>
        </w:rPr>
        <w:t>0.047 mg/L</w:t>
      </w:r>
      <w:r>
        <w:rPr>
          <w:rFonts w:ascii="Times New Roman" w:hAnsi="Times New Roman" w:cs="Times New Roman"/>
          <w:color w:val="000000" w:themeColor="text1"/>
        </w:rPr>
        <w:t>，原生动物</w:t>
      </w:r>
      <w:r>
        <w:rPr>
          <w:rFonts w:ascii="Times New Roman" w:hAnsi="Times New Roman" w:cs="Times New Roman"/>
          <w:color w:val="000000" w:themeColor="text1"/>
        </w:rPr>
        <w:t>0.005 mg/L</w:t>
      </w:r>
      <w:r>
        <w:rPr>
          <w:rFonts w:ascii="Times New Roman" w:hAnsi="Times New Roman" w:cs="Times New Roman"/>
          <w:color w:val="000000" w:themeColor="text1"/>
        </w:rPr>
        <w:t>；向阳水电站前池浮游动物生物量均值为</w:t>
      </w:r>
      <w:r>
        <w:rPr>
          <w:rFonts w:ascii="Times New Roman" w:eastAsia="等线" w:hAnsi="Times New Roman" w:cs="Times New Roman"/>
          <w:color w:val="000000" w:themeColor="text1"/>
        </w:rPr>
        <w:t xml:space="preserve">1.948 </w:t>
      </w:r>
      <w:r>
        <w:rPr>
          <w:rFonts w:ascii="Times New Roman" w:hAnsi="Times New Roman" w:cs="Times New Roman"/>
          <w:color w:val="000000" w:themeColor="text1"/>
        </w:rPr>
        <w:t>mg/L</w:t>
      </w:r>
      <w:r>
        <w:rPr>
          <w:rFonts w:ascii="Times New Roman" w:hAnsi="Times New Roman" w:cs="Times New Roman"/>
          <w:color w:val="000000" w:themeColor="text1"/>
        </w:rPr>
        <w:t>。其中，轮虫的生物量最高为</w:t>
      </w:r>
      <w:r>
        <w:rPr>
          <w:rFonts w:ascii="Times New Roman" w:hAnsi="Times New Roman" w:cs="Times New Roman"/>
          <w:color w:val="000000" w:themeColor="text1"/>
        </w:rPr>
        <w:t>0.756  mg/L</w:t>
      </w:r>
      <w:r>
        <w:rPr>
          <w:rFonts w:ascii="Times New Roman" w:hAnsi="Times New Roman" w:cs="Times New Roman"/>
          <w:color w:val="000000" w:themeColor="text1"/>
        </w:rPr>
        <w:t>，桡足类次之为</w:t>
      </w:r>
      <w:r>
        <w:rPr>
          <w:rFonts w:ascii="Times New Roman" w:hAnsi="Times New Roman" w:cs="Times New Roman"/>
          <w:color w:val="000000" w:themeColor="text1"/>
        </w:rPr>
        <w:t>0.746 mg/L</w:t>
      </w:r>
      <w:r>
        <w:rPr>
          <w:rFonts w:ascii="Times New Roman" w:hAnsi="Times New Roman" w:cs="Times New Roman"/>
          <w:color w:val="000000" w:themeColor="text1"/>
        </w:rPr>
        <w:t>，枝角类为</w:t>
      </w:r>
      <w:r>
        <w:rPr>
          <w:rFonts w:ascii="Times New Roman" w:hAnsi="Times New Roman" w:cs="Times New Roman"/>
          <w:color w:val="000000" w:themeColor="text1"/>
        </w:rPr>
        <w:t>0.398 mg/L</w:t>
      </w:r>
      <w:r>
        <w:rPr>
          <w:rFonts w:ascii="Times New Roman" w:hAnsi="Times New Roman" w:cs="Times New Roman"/>
          <w:color w:val="000000" w:themeColor="text1"/>
        </w:rPr>
        <w:t>，原生动物</w:t>
      </w:r>
      <w:r>
        <w:rPr>
          <w:rFonts w:ascii="Times New Roman" w:hAnsi="Times New Roman" w:cs="Times New Roman"/>
          <w:color w:val="000000" w:themeColor="text1"/>
        </w:rPr>
        <w:t>0.048mg/L</w:t>
      </w:r>
      <w:r>
        <w:rPr>
          <w:rFonts w:ascii="Times New Roman" w:hAnsi="Times New Roman" w:cs="Times New Roman"/>
          <w:color w:val="000000" w:themeColor="text1"/>
        </w:rPr>
        <w:t>（图</w:t>
      </w:r>
      <w:r>
        <w:rPr>
          <w:rFonts w:ascii="Times New Roman" w:hAnsi="Times New Roman" w:cs="Times New Roman" w:hint="eastAsia"/>
          <w:color w:val="000000" w:themeColor="text1"/>
        </w:rPr>
        <w:t>4.3-32</w:t>
      </w:r>
      <w:r>
        <w:rPr>
          <w:rFonts w:ascii="Times New Roman" w:hAnsi="Times New Roman" w:cs="Times New Roman"/>
          <w:color w:val="000000" w:themeColor="text1"/>
        </w:rPr>
        <w:t>）。</w:t>
      </w:r>
      <w:r>
        <w:rPr>
          <w:rFonts w:ascii="Times New Roman" w:hAnsi="Times New Roman" w:cs="Times New Roman"/>
          <w:color w:val="000000" w:themeColor="text1"/>
        </w:rPr>
        <w:tab/>
      </w:r>
    </w:p>
    <w:p w14:paraId="33670AE3" w14:textId="77777777" w:rsidR="009D12AF" w:rsidRDefault="00000000">
      <w:pPr>
        <w:ind w:leftChars="-295" w:left="-708" w:rightChars="-378" w:right="-907" w:firstLine="480"/>
        <w:jc w:val="cente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2815E30E" wp14:editId="6AB461FB">
            <wp:extent cx="5274310" cy="3296285"/>
            <wp:effectExtent l="0" t="0" r="2540" b="18415"/>
            <wp:docPr id="229" name="图形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形 29"/>
                    <pic:cNvPicPr>
                      <a:picLocks noChangeAspect="1"/>
                    </pic:cNvPicPr>
                  </pic:nvPicPr>
                  <pic:blipFill>
                    <a:blip r:embed="rId91">
                      <a:extLst>
                        <a:ext uri="{96DAC541-7B7A-43D3-8B79-37D633B846F1}">
                          <asvg:svgBlip xmlns:asvg="http://schemas.microsoft.com/office/drawing/2016/SVG/main" r:embed="rId92"/>
                        </a:ext>
                      </a:extLst>
                    </a:blip>
                    <a:stretch>
                      <a:fillRect/>
                    </a:stretch>
                  </pic:blipFill>
                  <pic:spPr>
                    <a:xfrm>
                      <a:off x="0" y="0"/>
                      <a:ext cx="5274310" cy="3296285"/>
                    </a:xfrm>
                    <a:prstGeom prst="rect">
                      <a:avLst/>
                    </a:prstGeom>
                  </pic:spPr>
                </pic:pic>
              </a:graphicData>
            </a:graphic>
          </wp:inline>
        </w:drawing>
      </w:r>
    </w:p>
    <w:p w14:paraId="131984CD" w14:textId="77777777" w:rsidR="009D12AF" w:rsidRDefault="00000000">
      <w:pPr>
        <w:ind w:firstLine="482"/>
        <w:jc w:val="center"/>
        <w:rPr>
          <w:rFonts w:cs="Times New Roman"/>
          <w:bCs/>
          <w:color w:val="000000" w:themeColor="text1"/>
        </w:rPr>
      </w:pPr>
      <w:r>
        <w:rPr>
          <w:rFonts w:cs="Times New Roman" w:hint="eastAsia"/>
          <w:b/>
          <w:color w:val="000000" w:themeColor="text1"/>
        </w:rPr>
        <w:t>图</w:t>
      </w:r>
      <w:r>
        <w:rPr>
          <w:rFonts w:cs="Times New Roman" w:hint="eastAsia"/>
          <w:b/>
          <w:color w:val="000000" w:themeColor="text1"/>
        </w:rPr>
        <w:t xml:space="preserve">4.3-32   </w:t>
      </w:r>
      <w:r>
        <w:rPr>
          <w:rFonts w:cs="Times New Roman" w:hint="eastAsia"/>
          <w:b/>
          <w:color w:val="000000" w:themeColor="text1"/>
        </w:rPr>
        <w:t>浮游动物生物量组成</w:t>
      </w:r>
    </w:p>
    <w:p w14:paraId="55087A3F" w14:textId="77777777" w:rsidR="009D12AF" w:rsidRDefault="00000000">
      <w:pPr>
        <w:adjustRightInd w:val="0"/>
        <w:snapToGrid w:val="0"/>
        <w:ind w:firstLine="480"/>
        <w:rPr>
          <w:rFonts w:ascii="Times New Roman" w:hAnsi="Times New Roman" w:cs="Times New Roman"/>
          <w:color w:val="000000" w:themeColor="text1"/>
        </w:rPr>
      </w:pPr>
      <w:r>
        <w:rPr>
          <w:rFonts w:ascii="Times New Roman" w:hAnsi="Times New Roman" w:cs="Times New Roman" w:hint="eastAsia"/>
          <w:color w:val="000000" w:themeColor="text1"/>
        </w:rPr>
        <w:t>5</w:t>
      </w:r>
      <w:r>
        <w:rPr>
          <w:rFonts w:ascii="Times New Roman" w:hAnsi="Times New Roman" w:cs="Times New Roman" w:hint="eastAsia"/>
          <w:color w:val="000000" w:themeColor="text1"/>
        </w:rPr>
        <w:t>、生物的多样性</w:t>
      </w:r>
    </w:p>
    <w:p w14:paraId="4146B18E" w14:textId="77777777" w:rsidR="009D12AF" w:rsidRDefault="00000000">
      <w:pPr>
        <w:adjustRightInd w:val="0"/>
        <w:snapToGrid w:val="0"/>
        <w:ind w:firstLine="480"/>
        <w:rPr>
          <w:rFonts w:ascii="Times New Roman" w:hAnsi="Times New Roman" w:cs="Times New Roman"/>
          <w:color w:val="000000" w:themeColor="text1"/>
        </w:rPr>
      </w:pPr>
      <w:r>
        <w:rPr>
          <w:rFonts w:ascii="Times New Roman" w:hAnsi="Times New Roman" w:cs="Times New Roman"/>
          <w:color w:val="000000" w:themeColor="text1"/>
        </w:rPr>
        <w:t>调查期间，评价水域调查断面浮游动物</w:t>
      </w:r>
      <w:r>
        <w:rPr>
          <w:rFonts w:ascii="Times New Roman" w:hAnsi="Times New Roman" w:cs="Times New Roman"/>
          <w:color w:val="000000" w:themeColor="text1"/>
        </w:rPr>
        <w:t>Shannon-Wiener</w:t>
      </w:r>
      <w:r>
        <w:rPr>
          <w:rFonts w:ascii="Times New Roman" w:hAnsi="Times New Roman" w:cs="Times New Roman"/>
          <w:color w:val="000000" w:themeColor="text1"/>
        </w:rPr>
        <w:t>多样性指数</w:t>
      </w:r>
      <w:r>
        <w:rPr>
          <w:rFonts w:ascii="Times New Roman" w:hAnsi="Times New Roman" w:cs="Times New Roman"/>
          <w:color w:val="000000" w:themeColor="text1"/>
        </w:rPr>
        <w:t>(</w:t>
      </w:r>
      <w:r>
        <w:rPr>
          <w:rFonts w:ascii="Times New Roman" w:hAnsi="Times New Roman" w:cs="Times New Roman"/>
          <w:i/>
          <w:iCs/>
          <w:color w:val="000000" w:themeColor="text1"/>
        </w:rPr>
        <w:t>H</w:t>
      </w:r>
      <w:r>
        <w:rPr>
          <w:rFonts w:ascii="Times New Roman" w:hAnsi="Times New Roman" w:cs="Times New Roman"/>
          <w:color w:val="000000" w:themeColor="text1"/>
        </w:rPr>
        <w:t>')</w:t>
      </w:r>
      <w:r>
        <w:rPr>
          <w:rFonts w:ascii="Times New Roman" w:hAnsi="Times New Roman" w:cs="Times New Roman"/>
          <w:color w:val="000000" w:themeColor="text1"/>
        </w:rPr>
        <w:t>在</w:t>
      </w:r>
      <w:r>
        <w:rPr>
          <w:rFonts w:ascii="Times New Roman" w:hAnsi="Times New Roman" w:cs="Times New Roman"/>
          <w:color w:val="000000" w:themeColor="text1"/>
        </w:rPr>
        <w:t>1.69-2.18</w:t>
      </w:r>
      <w:r>
        <w:rPr>
          <w:rFonts w:ascii="Times New Roman" w:hAnsi="Times New Roman" w:cs="Times New Roman"/>
          <w:color w:val="000000" w:themeColor="text1"/>
        </w:rPr>
        <w:t>之间，</w:t>
      </w:r>
      <w:r>
        <w:rPr>
          <w:rFonts w:ascii="Times New Roman" w:hAnsi="Times New Roman" w:cs="Times New Roman"/>
          <w:color w:val="000000" w:themeColor="text1"/>
        </w:rPr>
        <w:t>Pielou</w:t>
      </w:r>
      <w:r>
        <w:rPr>
          <w:rFonts w:ascii="Times New Roman" w:hAnsi="Times New Roman" w:cs="Times New Roman"/>
          <w:color w:val="000000" w:themeColor="text1"/>
        </w:rPr>
        <w:t>均匀度指数</w:t>
      </w:r>
      <w:r>
        <w:rPr>
          <w:rFonts w:ascii="Times New Roman" w:hAnsi="Times New Roman" w:cs="Times New Roman"/>
          <w:color w:val="000000" w:themeColor="text1"/>
        </w:rPr>
        <w:t>(</w:t>
      </w:r>
      <w:r>
        <w:rPr>
          <w:rFonts w:ascii="Times New Roman" w:hAnsi="Times New Roman" w:cs="Times New Roman"/>
          <w:i/>
          <w:iCs/>
          <w:color w:val="000000" w:themeColor="text1"/>
        </w:rPr>
        <w:t>J)</w:t>
      </w:r>
      <w:r>
        <w:rPr>
          <w:rFonts w:ascii="Times New Roman" w:hAnsi="Times New Roman" w:cs="Times New Roman"/>
          <w:color w:val="000000" w:themeColor="text1"/>
        </w:rPr>
        <w:t>在</w:t>
      </w:r>
      <w:r>
        <w:rPr>
          <w:rFonts w:ascii="Times New Roman" w:hAnsi="Times New Roman" w:cs="Times New Roman"/>
          <w:color w:val="000000" w:themeColor="text1"/>
        </w:rPr>
        <w:t>0.62-0.71</w:t>
      </w:r>
      <w:r>
        <w:rPr>
          <w:rFonts w:ascii="Times New Roman" w:hAnsi="Times New Roman" w:cs="Times New Roman"/>
          <w:color w:val="000000" w:themeColor="text1"/>
        </w:rPr>
        <w:t>之间（表</w:t>
      </w:r>
      <w:r>
        <w:rPr>
          <w:rFonts w:ascii="Times New Roman" w:hAnsi="Times New Roman" w:cs="Times New Roman" w:hint="eastAsia"/>
          <w:color w:val="000000" w:themeColor="text1"/>
        </w:rPr>
        <w:t>4.3-36</w:t>
      </w:r>
      <w:r>
        <w:rPr>
          <w:rFonts w:ascii="Times New Roman" w:hAnsi="Times New Roman" w:cs="Times New Roman"/>
          <w:color w:val="000000" w:themeColor="text1"/>
        </w:rPr>
        <w:t>）。</w:t>
      </w:r>
    </w:p>
    <w:p w14:paraId="5016794A" w14:textId="77777777" w:rsidR="009D12AF" w:rsidRDefault="00000000">
      <w:pPr>
        <w:ind w:firstLine="482"/>
        <w:jc w:val="center"/>
        <w:rPr>
          <w:rFonts w:cs="Times New Roman"/>
          <w:b/>
          <w:color w:val="000000" w:themeColor="text1"/>
        </w:rPr>
      </w:pPr>
      <w:r>
        <w:rPr>
          <w:rFonts w:cs="Times New Roman" w:hint="eastAsia"/>
          <w:b/>
          <w:color w:val="000000" w:themeColor="text1"/>
        </w:rPr>
        <w:t>表</w:t>
      </w:r>
      <w:r>
        <w:rPr>
          <w:rFonts w:cs="Times New Roman" w:hint="eastAsia"/>
          <w:b/>
          <w:color w:val="000000" w:themeColor="text1"/>
        </w:rPr>
        <w:t xml:space="preserve">4.3-36  </w:t>
      </w:r>
      <w:r>
        <w:rPr>
          <w:rFonts w:cs="Times New Roman" w:hint="eastAsia"/>
          <w:b/>
          <w:color w:val="000000" w:themeColor="text1"/>
        </w:rPr>
        <w:t>浮游动物多样性</w:t>
      </w:r>
    </w:p>
    <w:tbl>
      <w:tblPr>
        <w:tblW w:w="8223" w:type="dxa"/>
        <w:tblInd w:w="-5"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985"/>
        <w:gridCol w:w="1985"/>
        <w:gridCol w:w="2127"/>
        <w:gridCol w:w="2126"/>
      </w:tblGrid>
      <w:tr w:rsidR="009D12AF" w14:paraId="383A2159" w14:textId="77777777">
        <w:trPr>
          <w:trHeight w:val="345"/>
        </w:trPr>
        <w:tc>
          <w:tcPr>
            <w:tcW w:w="1985" w:type="dxa"/>
            <w:tcBorders>
              <w:tl2br w:val="nil"/>
              <w:tr2bl w:val="nil"/>
            </w:tcBorders>
            <w:vAlign w:val="center"/>
          </w:tcPr>
          <w:p w14:paraId="0937EA85" w14:textId="77777777" w:rsidR="009D12AF" w:rsidRDefault="00000000">
            <w:pPr>
              <w:adjustRightInd w:val="0"/>
              <w:snapToGrid w:val="0"/>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水库</w:t>
            </w:r>
          </w:p>
        </w:tc>
        <w:tc>
          <w:tcPr>
            <w:tcW w:w="1985" w:type="dxa"/>
            <w:tcBorders>
              <w:tl2br w:val="nil"/>
              <w:tr2bl w:val="nil"/>
            </w:tcBorders>
            <w:vAlign w:val="center"/>
          </w:tcPr>
          <w:p w14:paraId="412CB39A" w14:textId="77777777" w:rsidR="009D12AF" w:rsidRDefault="00000000">
            <w:pPr>
              <w:adjustRightInd w:val="0"/>
              <w:snapToGrid w:val="0"/>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调查断面</w:t>
            </w:r>
          </w:p>
        </w:tc>
        <w:tc>
          <w:tcPr>
            <w:tcW w:w="2127" w:type="dxa"/>
            <w:tcBorders>
              <w:tl2br w:val="nil"/>
              <w:tr2bl w:val="nil"/>
            </w:tcBorders>
            <w:vAlign w:val="center"/>
          </w:tcPr>
          <w:p w14:paraId="6AF2F921" w14:textId="77777777" w:rsidR="009D12AF" w:rsidRDefault="00000000">
            <w:pPr>
              <w:adjustRightInd w:val="0"/>
              <w:snapToGrid w:val="0"/>
              <w:ind w:firstLineChars="0" w:firstLine="0"/>
              <w:jc w:val="center"/>
              <w:rPr>
                <w:rFonts w:ascii="Times New Roman" w:hAnsi="Times New Roman" w:cs="Times New Roman"/>
                <w:i/>
                <w:color w:val="000000" w:themeColor="text1"/>
                <w:sz w:val="21"/>
                <w:szCs w:val="21"/>
              </w:rPr>
            </w:pPr>
            <w:r>
              <w:rPr>
                <w:rFonts w:ascii="Times New Roman" w:hAnsi="Times New Roman" w:cs="Times New Roman"/>
                <w:i/>
                <w:color w:val="000000" w:themeColor="text1"/>
                <w:sz w:val="21"/>
                <w:szCs w:val="21"/>
              </w:rPr>
              <w:t>H'</w:t>
            </w:r>
          </w:p>
        </w:tc>
        <w:tc>
          <w:tcPr>
            <w:tcW w:w="2126" w:type="dxa"/>
            <w:tcBorders>
              <w:tl2br w:val="nil"/>
              <w:tr2bl w:val="nil"/>
            </w:tcBorders>
            <w:vAlign w:val="center"/>
          </w:tcPr>
          <w:p w14:paraId="064C4D32" w14:textId="77777777" w:rsidR="009D12AF" w:rsidRDefault="00000000">
            <w:pPr>
              <w:adjustRightInd w:val="0"/>
              <w:snapToGrid w:val="0"/>
              <w:ind w:firstLineChars="0" w:firstLine="0"/>
              <w:jc w:val="center"/>
              <w:rPr>
                <w:rFonts w:ascii="Times New Roman" w:hAnsi="Times New Roman" w:cs="Times New Roman"/>
                <w:i/>
                <w:color w:val="000000" w:themeColor="text1"/>
                <w:sz w:val="21"/>
                <w:szCs w:val="21"/>
              </w:rPr>
            </w:pPr>
            <w:r>
              <w:rPr>
                <w:rFonts w:ascii="Times New Roman" w:hAnsi="Times New Roman" w:cs="Times New Roman"/>
                <w:i/>
                <w:color w:val="000000" w:themeColor="text1"/>
                <w:sz w:val="21"/>
                <w:szCs w:val="21"/>
              </w:rPr>
              <w:t>J</w:t>
            </w:r>
          </w:p>
        </w:tc>
      </w:tr>
      <w:tr w:rsidR="009D12AF" w14:paraId="3075766F" w14:textId="77777777">
        <w:trPr>
          <w:trHeight w:val="345"/>
        </w:trPr>
        <w:tc>
          <w:tcPr>
            <w:tcW w:w="1985" w:type="dxa"/>
            <w:vMerge w:val="restart"/>
            <w:tcBorders>
              <w:tl2br w:val="nil"/>
              <w:tr2bl w:val="nil"/>
            </w:tcBorders>
            <w:vAlign w:val="center"/>
          </w:tcPr>
          <w:p w14:paraId="291E374A"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莲花水库</w:t>
            </w:r>
          </w:p>
        </w:tc>
        <w:tc>
          <w:tcPr>
            <w:tcW w:w="1985" w:type="dxa"/>
            <w:tcBorders>
              <w:tl2br w:val="nil"/>
              <w:tr2bl w:val="nil"/>
            </w:tcBorders>
            <w:vAlign w:val="center"/>
          </w:tcPr>
          <w:p w14:paraId="073BD133"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L1</w:t>
            </w:r>
          </w:p>
        </w:tc>
        <w:tc>
          <w:tcPr>
            <w:tcW w:w="2127" w:type="dxa"/>
            <w:tcBorders>
              <w:tl2br w:val="nil"/>
              <w:tr2bl w:val="nil"/>
            </w:tcBorders>
            <w:vAlign w:val="center"/>
          </w:tcPr>
          <w:p w14:paraId="1CD557AA"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 xml:space="preserve">2.08 </w:t>
            </w:r>
          </w:p>
        </w:tc>
        <w:tc>
          <w:tcPr>
            <w:tcW w:w="2126" w:type="dxa"/>
            <w:tcBorders>
              <w:tl2br w:val="nil"/>
              <w:tr2bl w:val="nil"/>
            </w:tcBorders>
            <w:vAlign w:val="center"/>
          </w:tcPr>
          <w:p w14:paraId="3F90C8D5"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 xml:space="preserve">0.65 </w:t>
            </w:r>
          </w:p>
        </w:tc>
      </w:tr>
      <w:tr w:rsidR="009D12AF" w14:paraId="33795757" w14:textId="77777777">
        <w:trPr>
          <w:trHeight w:val="345"/>
        </w:trPr>
        <w:tc>
          <w:tcPr>
            <w:tcW w:w="1985" w:type="dxa"/>
            <w:vMerge/>
            <w:tcBorders>
              <w:tl2br w:val="nil"/>
              <w:tr2bl w:val="nil"/>
            </w:tcBorders>
            <w:vAlign w:val="center"/>
          </w:tcPr>
          <w:p w14:paraId="254D5F1C"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24468665"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L2</w:t>
            </w:r>
          </w:p>
        </w:tc>
        <w:tc>
          <w:tcPr>
            <w:tcW w:w="2127" w:type="dxa"/>
            <w:tcBorders>
              <w:tl2br w:val="nil"/>
              <w:tr2bl w:val="nil"/>
            </w:tcBorders>
            <w:vAlign w:val="center"/>
          </w:tcPr>
          <w:p w14:paraId="409EA6A2"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 xml:space="preserve">1.82 </w:t>
            </w:r>
          </w:p>
        </w:tc>
        <w:tc>
          <w:tcPr>
            <w:tcW w:w="2126" w:type="dxa"/>
            <w:tcBorders>
              <w:tl2br w:val="nil"/>
              <w:tr2bl w:val="nil"/>
            </w:tcBorders>
            <w:vAlign w:val="center"/>
          </w:tcPr>
          <w:p w14:paraId="216B7BCE"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 xml:space="preserve">0.66 </w:t>
            </w:r>
          </w:p>
        </w:tc>
      </w:tr>
      <w:tr w:rsidR="009D12AF" w14:paraId="6A6502A2" w14:textId="77777777">
        <w:trPr>
          <w:trHeight w:val="345"/>
        </w:trPr>
        <w:tc>
          <w:tcPr>
            <w:tcW w:w="1985" w:type="dxa"/>
            <w:vMerge/>
            <w:tcBorders>
              <w:tl2br w:val="nil"/>
              <w:tr2bl w:val="nil"/>
            </w:tcBorders>
            <w:vAlign w:val="center"/>
          </w:tcPr>
          <w:p w14:paraId="511885B6"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34CE808B"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L2</w:t>
            </w:r>
          </w:p>
        </w:tc>
        <w:tc>
          <w:tcPr>
            <w:tcW w:w="2127" w:type="dxa"/>
            <w:tcBorders>
              <w:tl2br w:val="nil"/>
              <w:tr2bl w:val="nil"/>
            </w:tcBorders>
            <w:vAlign w:val="center"/>
          </w:tcPr>
          <w:p w14:paraId="71261DC6"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 xml:space="preserve">1.76 </w:t>
            </w:r>
          </w:p>
        </w:tc>
        <w:tc>
          <w:tcPr>
            <w:tcW w:w="2126" w:type="dxa"/>
            <w:tcBorders>
              <w:tl2br w:val="nil"/>
              <w:tr2bl w:val="nil"/>
            </w:tcBorders>
            <w:vAlign w:val="center"/>
          </w:tcPr>
          <w:p w14:paraId="5E51277E"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 xml:space="preserve">0.63 </w:t>
            </w:r>
          </w:p>
        </w:tc>
      </w:tr>
      <w:tr w:rsidR="009D12AF" w14:paraId="573C7F6F" w14:textId="77777777">
        <w:trPr>
          <w:trHeight w:val="345"/>
        </w:trPr>
        <w:tc>
          <w:tcPr>
            <w:tcW w:w="1985" w:type="dxa"/>
            <w:vMerge w:val="restart"/>
            <w:tcBorders>
              <w:tl2br w:val="nil"/>
              <w:tr2bl w:val="nil"/>
            </w:tcBorders>
            <w:vAlign w:val="center"/>
          </w:tcPr>
          <w:p w14:paraId="4022F657"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群力水库</w:t>
            </w:r>
          </w:p>
        </w:tc>
        <w:tc>
          <w:tcPr>
            <w:tcW w:w="1985" w:type="dxa"/>
            <w:tcBorders>
              <w:tl2br w:val="nil"/>
              <w:tr2bl w:val="nil"/>
            </w:tcBorders>
            <w:vAlign w:val="center"/>
          </w:tcPr>
          <w:p w14:paraId="18513A41"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Q1</w:t>
            </w:r>
          </w:p>
        </w:tc>
        <w:tc>
          <w:tcPr>
            <w:tcW w:w="2127" w:type="dxa"/>
            <w:tcBorders>
              <w:tl2br w:val="nil"/>
              <w:tr2bl w:val="nil"/>
            </w:tcBorders>
            <w:vAlign w:val="center"/>
          </w:tcPr>
          <w:p w14:paraId="7F34907F"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 xml:space="preserve">1.92 </w:t>
            </w:r>
          </w:p>
        </w:tc>
        <w:tc>
          <w:tcPr>
            <w:tcW w:w="2126" w:type="dxa"/>
            <w:tcBorders>
              <w:tl2br w:val="nil"/>
              <w:tr2bl w:val="nil"/>
            </w:tcBorders>
            <w:vAlign w:val="center"/>
          </w:tcPr>
          <w:p w14:paraId="1E9863E1"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 xml:space="preserve">0.70 </w:t>
            </w:r>
          </w:p>
        </w:tc>
      </w:tr>
      <w:tr w:rsidR="009D12AF" w14:paraId="7C8F336E" w14:textId="77777777">
        <w:trPr>
          <w:trHeight w:val="345"/>
        </w:trPr>
        <w:tc>
          <w:tcPr>
            <w:tcW w:w="1985" w:type="dxa"/>
            <w:vMerge/>
            <w:tcBorders>
              <w:tl2br w:val="nil"/>
              <w:tr2bl w:val="nil"/>
            </w:tcBorders>
            <w:vAlign w:val="center"/>
          </w:tcPr>
          <w:p w14:paraId="46F1B737"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420E966B"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Q2</w:t>
            </w:r>
          </w:p>
        </w:tc>
        <w:tc>
          <w:tcPr>
            <w:tcW w:w="2127" w:type="dxa"/>
            <w:tcBorders>
              <w:tl2br w:val="nil"/>
              <w:tr2bl w:val="nil"/>
            </w:tcBorders>
            <w:vAlign w:val="center"/>
          </w:tcPr>
          <w:p w14:paraId="44AD4DC1"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1.88</w:t>
            </w:r>
          </w:p>
        </w:tc>
        <w:tc>
          <w:tcPr>
            <w:tcW w:w="2126" w:type="dxa"/>
            <w:tcBorders>
              <w:tl2br w:val="nil"/>
              <w:tr2bl w:val="nil"/>
            </w:tcBorders>
            <w:vAlign w:val="center"/>
          </w:tcPr>
          <w:p w14:paraId="478CB882"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0.66</w:t>
            </w:r>
          </w:p>
        </w:tc>
      </w:tr>
      <w:tr w:rsidR="009D12AF" w14:paraId="52CFB0FE" w14:textId="77777777">
        <w:trPr>
          <w:trHeight w:val="345"/>
        </w:trPr>
        <w:tc>
          <w:tcPr>
            <w:tcW w:w="1985" w:type="dxa"/>
            <w:vMerge w:val="restart"/>
            <w:tcBorders>
              <w:tl2br w:val="nil"/>
              <w:tr2bl w:val="nil"/>
            </w:tcBorders>
            <w:vAlign w:val="center"/>
          </w:tcPr>
          <w:p w14:paraId="1CB50BDB"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万丈水库</w:t>
            </w:r>
          </w:p>
        </w:tc>
        <w:tc>
          <w:tcPr>
            <w:tcW w:w="1985" w:type="dxa"/>
            <w:tcBorders>
              <w:tl2br w:val="nil"/>
              <w:tr2bl w:val="nil"/>
            </w:tcBorders>
            <w:vAlign w:val="center"/>
          </w:tcPr>
          <w:p w14:paraId="6894A500"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W1</w:t>
            </w:r>
          </w:p>
        </w:tc>
        <w:tc>
          <w:tcPr>
            <w:tcW w:w="2127" w:type="dxa"/>
            <w:tcBorders>
              <w:tl2br w:val="nil"/>
              <w:tr2bl w:val="nil"/>
            </w:tcBorders>
            <w:vAlign w:val="center"/>
          </w:tcPr>
          <w:p w14:paraId="298AE60A"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2.02</w:t>
            </w:r>
          </w:p>
        </w:tc>
        <w:tc>
          <w:tcPr>
            <w:tcW w:w="2126" w:type="dxa"/>
            <w:tcBorders>
              <w:tl2br w:val="nil"/>
              <w:tr2bl w:val="nil"/>
            </w:tcBorders>
            <w:vAlign w:val="center"/>
          </w:tcPr>
          <w:p w14:paraId="50A7DCD5"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0.66</w:t>
            </w:r>
          </w:p>
        </w:tc>
      </w:tr>
      <w:tr w:rsidR="009D12AF" w14:paraId="60A55D21" w14:textId="77777777">
        <w:trPr>
          <w:trHeight w:val="345"/>
        </w:trPr>
        <w:tc>
          <w:tcPr>
            <w:tcW w:w="1985" w:type="dxa"/>
            <w:vMerge/>
            <w:tcBorders>
              <w:tl2br w:val="nil"/>
              <w:tr2bl w:val="nil"/>
            </w:tcBorders>
            <w:vAlign w:val="center"/>
          </w:tcPr>
          <w:p w14:paraId="04C5E368"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36B1CC2C"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W2</w:t>
            </w:r>
          </w:p>
        </w:tc>
        <w:tc>
          <w:tcPr>
            <w:tcW w:w="2127" w:type="dxa"/>
            <w:tcBorders>
              <w:tl2br w:val="nil"/>
              <w:tr2bl w:val="nil"/>
            </w:tcBorders>
            <w:vAlign w:val="center"/>
          </w:tcPr>
          <w:p w14:paraId="5DF28116"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1.78</w:t>
            </w:r>
          </w:p>
        </w:tc>
        <w:tc>
          <w:tcPr>
            <w:tcW w:w="2126" w:type="dxa"/>
            <w:tcBorders>
              <w:tl2br w:val="nil"/>
              <w:tr2bl w:val="nil"/>
            </w:tcBorders>
            <w:vAlign w:val="center"/>
          </w:tcPr>
          <w:p w14:paraId="3B4EFF4F"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0.65</w:t>
            </w:r>
          </w:p>
        </w:tc>
      </w:tr>
      <w:tr w:rsidR="009D12AF" w14:paraId="44B117C9" w14:textId="77777777">
        <w:trPr>
          <w:trHeight w:val="345"/>
        </w:trPr>
        <w:tc>
          <w:tcPr>
            <w:tcW w:w="1985" w:type="dxa"/>
            <w:vMerge/>
            <w:tcBorders>
              <w:tl2br w:val="nil"/>
              <w:tr2bl w:val="nil"/>
            </w:tcBorders>
            <w:vAlign w:val="center"/>
          </w:tcPr>
          <w:p w14:paraId="42F29640"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6F7AF83A"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W3</w:t>
            </w:r>
          </w:p>
        </w:tc>
        <w:tc>
          <w:tcPr>
            <w:tcW w:w="2127" w:type="dxa"/>
            <w:tcBorders>
              <w:tl2br w:val="nil"/>
              <w:tr2bl w:val="nil"/>
            </w:tcBorders>
            <w:vAlign w:val="center"/>
          </w:tcPr>
          <w:p w14:paraId="5B91C740"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2.18</w:t>
            </w:r>
          </w:p>
        </w:tc>
        <w:tc>
          <w:tcPr>
            <w:tcW w:w="2126" w:type="dxa"/>
            <w:tcBorders>
              <w:tl2br w:val="nil"/>
              <w:tr2bl w:val="nil"/>
            </w:tcBorders>
            <w:vAlign w:val="center"/>
          </w:tcPr>
          <w:p w14:paraId="0295B799"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0.62</w:t>
            </w:r>
          </w:p>
        </w:tc>
      </w:tr>
      <w:tr w:rsidR="009D12AF" w14:paraId="3CDF3B79" w14:textId="77777777">
        <w:trPr>
          <w:trHeight w:val="345"/>
        </w:trPr>
        <w:tc>
          <w:tcPr>
            <w:tcW w:w="1985" w:type="dxa"/>
            <w:vMerge w:val="restart"/>
            <w:tcBorders>
              <w:tl2br w:val="nil"/>
              <w:tr2bl w:val="nil"/>
            </w:tcBorders>
            <w:vAlign w:val="center"/>
          </w:tcPr>
          <w:p w14:paraId="58EA647E"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长石水库</w:t>
            </w:r>
          </w:p>
        </w:tc>
        <w:tc>
          <w:tcPr>
            <w:tcW w:w="1985" w:type="dxa"/>
            <w:tcBorders>
              <w:tl2br w:val="nil"/>
              <w:tr2bl w:val="nil"/>
            </w:tcBorders>
            <w:vAlign w:val="center"/>
          </w:tcPr>
          <w:p w14:paraId="331E2AE3"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C1</w:t>
            </w:r>
          </w:p>
        </w:tc>
        <w:tc>
          <w:tcPr>
            <w:tcW w:w="2127" w:type="dxa"/>
            <w:tcBorders>
              <w:tl2br w:val="nil"/>
              <w:tr2bl w:val="nil"/>
            </w:tcBorders>
            <w:vAlign w:val="center"/>
          </w:tcPr>
          <w:p w14:paraId="27601CA2"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1.89</w:t>
            </w:r>
          </w:p>
        </w:tc>
        <w:tc>
          <w:tcPr>
            <w:tcW w:w="2126" w:type="dxa"/>
            <w:tcBorders>
              <w:tl2br w:val="nil"/>
              <w:tr2bl w:val="nil"/>
            </w:tcBorders>
            <w:vAlign w:val="center"/>
          </w:tcPr>
          <w:p w14:paraId="2D374859"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0.71</w:t>
            </w:r>
          </w:p>
        </w:tc>
      </w:tr>
      <w:tr w:rsidR="009D12AF" w14:paraId="05CACC93" w14:textId="77777777">
        <w:trPr>
          <w:trHeight w:val="345"/>
        </w:trPr>
        <w:tc>
          <w:tcPr>
            <w:tcW w:w="1985" w:type="dxa"/>
            <w:vMerge/>
            <w:tcBorders>
              <w:tl2br w:val="nil"/>
              <w:tr2bl w:val="nil"/>
            </w:tcBorders>
            <w:vAlign w:val="center"/>
          </w:tcPr>
          <w:p w14:paraId="5AF97330"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2EC4D74C"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C2</w:t>
            </w:r>
          </w:p>
        </w:tc>
        <w:tc>
          <w:tcPr>
            <w:tcW w:w="2127" w:type="dxa"/>
            <w:tcBorders>
              <w:tl2br w:val="nil"/>
              <w:tr2bl w:val="nil"/>
            </w:tcBorders>
            <w:vAlign w:val="center"/>
          </w:tcPr>
          <w:p w14:paraId="508456CD"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2.10</w:t>
            </w:r>
          </w:p>
        </w:tc>
        <w:tc>
          <w:tcPr>
            <w:tcW w:w="2126" w:type="dxa"/>
            <w:tcBorders>
              <w:tl2br w:val="nil"/>
              <w:tr2bl w:val="nil"/>
            </w:tcBorders>
            <w:vAlign w:val="center"/>
          </w:tcPr>
          <w:p w14:paraId="0002C84C"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0.68</w:t>
            </w:r>
          </w:p>
        </w:tc>
      </w:tr>
      <w:tr w:rsidR="009D12AF" w14:paraId="605E99BB" w14:textId="77777777">
        <w:trPr>
          <w:trHeight w:val="345"/>
        </w:trPr>
        <w:tc>
          <w:tcPr>
            <w:tcW w:w="1985" w:type="dxa"/>
            <w:vMerge w:val="restart"/>
            <w:tcBorders>
              <w:tl2br w:val="nil"/>
              <w:tr2bl w:val="nil"/>
            </w:tcBorders>
            <w:vAlign w:val="center"/>
          </w:tcPr>
          <w:p w14:paraId="5016E963"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新安晒水池</w:t>
            </w:r>
          </w:p>
        </w:tc>
        <w:tc>
          <w:tcPr>
            <w:tcW w:w="1985" w:type="dxa"/>
            <w:tcBorders>
              <w:tl2br w:val="nil"/>
              <w:tr2bl w:val="nil"/>
            </w:tcBorders>
            <w:vAlign w:val="center"/>
          </w:tcPr>
          <w:p w14:paraId="1A04554E"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X1</w:t>
            </w:r>
          </w:p>
        </w:tc>
        <w:tc>
          <w:tcPr>
            <w:tcW w:w="2127" w:type="dxa"/>
            <w:tcBorders>
              <w:tl2br w:val="nil"/>
              <w:tr2bl w:val="nil"/>
            </w:tcBorders>
            <w:vAlign w:val="center"/>
          </w:tcPr>
          <w:p w14:paraId="33493FA5"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1.92</w:t>
            </w:r>
          </w:p>
        </w:tc>
        <w:tc>
          <w:tcPr>
            <w:tcW w:w="2126" w:type="dxa"/>
            <w:tcBorders>
              <w:tl2br w:val="nil"/>
              <w:tr2bl w:val="nil"/>
            </w:tcBorders>
            <w:vAlign w:val="center"/>
          </w:tcPr>
          <w:p w14:paraId="1C1B5A29"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0.64</w:t>
            </w:r>
          </w:p>
        </w:tc>
      </w:tr>
      <w:tr w:rsidR="009D12AF" w14:paraId="27F566C7" w14:textId="77777777">
        <w:trPr>
          <w:trHeight w:val="345"/>
        </w:trPr>
        <w:tc>
          <w:tcPr>
            <w:tcW w:w="1985" w:type="dxa"/>
            <w:vMerge/>
            <w:tcBorders>
              <w:tl2br w:val="nil"/>
              <w:tr2bl w:val="nil"/>
            </w:tcBorders>
            <w:vAlign w:val="center"/>
          </w:tcPr>
          <w:p w14:paraId="283C75AC"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327B200D"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X2</w:t>
            </w:r>
          </w:p>
        </w:tc>
        <w:tc>
          <w:tcPr>
            <w:tcW w:w="2127" w:type="dxa"/>
            <w:tcBorders>
              <w:tl2br w:val="nil"/>
              <w:tr2bl w:val="nil"/>
            </w:tcBorders>
            <w:vAlign w:val="center"/>
          </w:tcPr>
          <w:p w14:paraId="38896106"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1.69</w:t>
            </w:r>
          </w:p>
        </w:tc>
        <w:tc>
          <w:tcPr>
            <w:tcW w:w="2126" w:type="dxa"/>
            <w:tcBorders>
              <w:tl2br w:val="nil"/>
              <w:tr2bl w:val="nil"/>
            </w:tcBorders>
            <w:vAlign w:val="center"/>
          </w:tcPr>
          <w:p w14:paraId="095BF5E7"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0.60</w:t>
            </w:r>
          </w:p>
        </w:tc>
      </w:tr>
      <w:tr w:rsidR="009D12AF" w14:paraId="16487F23" w14:textId="77777777">
        <w:trPr>
          <w:trHeight w:val="345"/>
        </w:trPr>
        <w:tc>
          <w:tcPr>
            <w:tcW w:w="1985" w:type="dxa"/>
            <w:tcBorders>
              <w:tl2br w:val="nil"/>
              <w:tr2bl w:val="nil"/>
            </w:tcBorders>
            <w:vAlign w:val="center"/>
          </w:tcPr>
          <w:p w14:paraId="0C749B31"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向阳水电站前池</w:t>
            </w:r>
          </w:p>
        </w:tc>
        <w:tc>
          <w:tcPr>
            <w:tcW w:w="1985" w:type="dxa"/>
            <w:tcBorders>
              <w:tl2br w:val="nil"/>
              <w:tr2bl w:val="nil"/>
            </w:tcBorders>
            <w:vAlign w:val="center"/>
          </w:tcPr>
          <w:p w14:paraId="7072516F"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Y1</w:t>
            </w:r>
          </w:p>
        </w:tc>
        <w:tc>
          <w:tcPr>
            <w:tcW w:w="2127" w:type="dxa"/>
            <w:tcBorders>
              <w:tl2br w:val="nil"/>
              <w:tr2bl w:val="nil"/>
            </w:tcBorders>
            <w:vAlign w:val="center"/>
          </w:tcPr>
          <w:p w14:paraId="6CAAF6B9"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1.80</w:t>
            </w:r>
          </w:p>
        </w:tc>
        <w:tc>
          <w:tcPr>
            <w:tcW w:w="2126" w:type="dxa"/>
            <w:tcBorders>
              <w:tl2br w:val="nil"/>
              <w:tr2bl w:val="nil"/>
            </w:tcBorders>
            <w:vAlign w:val="center"/>
          </w:tcPr>
          <w:p w14:paraId="75C80A85"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0.62</w:t>
            </w:r>
          </w:p>
        </w:tc>
      </w:tr>
    </w:tbl>
    <w:p w14:paraId="76422E10" w14:textId="77777777" w:rsidR="009D12AF" w:rsidRDefault="009D12AF">
      <w:pPr>
        <w:ind w:leftChars="-177" w:left="-425" w:rightChars="-260" w:right="-624" w:firstLine="480"/>
        <w:rPr>
          <w:color w:val="000000" w:themeColor="text1"/>
        </w:rPr>
      </w:pPr>
    </w:p>
    <w:tbl>
      <w:tblPr>
        <w:tblStyle w:val="ae"/>
        <w:tblW w:w="0" w:type="auto"/>
        <w:tblLook w:val="04A0" w:firstRow="1" w:lastRow="0" w:firstColumn="1" w:lastColumn="0" w:noHBand="0" w:noVBand="1"/>
      </w:tblPr>
      <w:tblGrid>
        <w:gridCol w:w="2840"/>
        <w:gridCol w:w="2841"/>
        <w:gridCol w:w="2841"/>
      </w:tblGrid>
      <w:tr w:rsidR="009D12AF" w14:paraId="0E9274FE" w14:textId="77777777">
        <w:tc>
          <w:tcPr>
            <w:tcW w:w="2840" w:type="dxa"/>
          </w:tcPr>
          <w:p w14:paraId="63EE1F89" w14:textId="77777777" w:rsidR="009D12AF" w:rsidRDefault="00000000">
            <w:pPr>
              <w:ind w:rightChars="-260" w:right="-624" w:firstLineChars="0" w:firstLine="0"/>
              <w:rPr>
                <w:color w:val="000000" w:themeColor="text1"/>
              </w:rPr>
            </w:pPr>
            <w:r>
              <w:rPr>
                <w:rFonts w:hint="eastAsia"/>
                <w:noProof/>
                <w:color w:val="000000" w:themeColor="text1"/>
              </w:rPr>
              <w:drawing>
                <wp:inline distT="0" distB="0" distL="0" distR="0" wp14:anchorId="251FC87B" wp14:editId="2945FFA5">
                  <wp:extent cx="2313305" cy="1638935"/>
                  <wp:effectExtent l="0" t="0" r="18415" b="10795"/>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93" cstate="screen">
                            <a:extLst>
                              <a:ext uri="{28A0092B-C50C-407E-A947-70E740481C1C}">
                                <a14:useLocalDpi xmlns:a14="http://schemas.microsoft.com/office/drawing/2010/main"/>
                              </a:ext>
                            </a:extLst>
                          </a:blip>
                          <a:stretch>
                            <a:fillRect/>
                          </a:stretch>
                        </pic:blipFill>
                        <pic:spPr>
                          <a:xfrm rot="5400000">
                            <a:off x="0" y="0"/>
                            <a:ext cx="2313305" cy="1638935"/>
                          </a:xfrm>
                          <a:prstGeom prst="rect">
                            <a:avLst/>
                          </a:prstGeom>
                        </pic:spPr>
                      </pic:pic>
                    </a:graphicData>
                  </a:graphic>
                </wp:inline>
              </w:drawing>
            </w:r>
          </w:p>
        </w:tc>
        <w:tc>
          <w:tcPr>
            <w:tcW w:w="2841" w:type="dxa"/>
          </w:tcPr>
          <w:p w14:paraId="413CB132" w14:textId="77777777" w:rsidR="009D12AF" w:rsidRDefault="00000000">
            <w:pPr>
              <w:ind w:rightChars="-260" w:right="-624" w:firstLineChars="0" w:firstLine="0"/>
              <w:rPr>
                <w:color w:val="000000" w:themeColor="text1"/>
              </w:rPr>
            </w:pPr>
            <w:r>
              <w:rPr>
                <w:rFonts w:hint="eastAsia"/>
                <w:noProof/>
                <w:color w:val="000000" w:themeColor="text1"/>
              </w:rPr>
              <w:drawing>
                <wp:inline distT="0" distB="0" distL="0" distR="0" wp14:anchorId="6B323FBC" wp14:editId="7C42C9D6">
                  <wp:extent cx="2282190" cy="1710690"/>
                  <wp:effectExtent l="0" t="0" r="3810" b="381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94" cstate="screen">
                            <a:extLst>
                              <a:ext uri="{28A0092B-C50C-407E-A947-70E740481C1C}">
                                <a14:useLocalDpi xmlns:a14="http://schemas.microsoft.com/office/drawing/2010/main"/>
                              </a:ext>
                            </a:extLst>
                          </a:blip>
                          <a:stretch>
                            <a:fillRect/>
                          </a:stretch>
                        </pic:blipFill>
                        <pic:spPr>
                          <a:xfrm rot="5400000">
                            <a:off x="0" y="0"/>
                            <a:ext cx="2282190" cy="1710690"/>
                          </a:xfrm>
                          <a:prstGeom prst="rect">
                            <a:avLst/>
                          </a:prstGeom>
                        </pic:spPr>
                      </pic:pic>
                    </a:graphicData>
                  </a:graphic>
                </wp:inline>
              </w:drawing>
            </w:r>
          </w:p>
        </w:tc>
        <w:tc>
          <w:tcPr>
            <w:tcW w:w="2841" w:type="dxa"/>
          </w:tcPr>
          <w:p w14:paraId="5066B09E" w14:textId="77777777" w:rsidR="009D12AF" w:rsidRDefault="00000000">
            <w:pPr>
              <w:ind w:rightChars="-260" w:right="-624" w:firstLineChars="0" w:firstLine="0"/>
              <w:rPr>
                <w:color w:val="000000" w:themeColor="text1"/>
              </w:rPr>
            </w:pPr>
            <w:r>
              <w:rPr>
                <w:rFonts w:hint="eastAsia"/>
                <w:noProof/>
                <w:color w:val="000000" w:themeColor="text1"/>
              </w:rPr>
              <w:drawing>
                <wp:inline distT="0" distB="0" distL="0" distR="0" wp14:anchorId="55EA5D68" wp14:editId="49B6936E">
                  <wp:extent cx="2417445" cy="1657350"/>
                  <wp:effectExtent l="0" t="0" r="0" b="1905"/>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95" cstate="screen">
                            <a:extLst>
                              <a:ext uri="{28A0092B-C50C-407E-A947-70E740481C1C}">
                                <a14:useLocalDpi xmlns:a14="http://schemas.microsoft.com/office/drawing/2010/main"/>
                              </a:ext>
                            </a:extLst>
                          </a:blip>
                          <a:stretch>
                            <a:fillRect/>
                          </a:stretch>
                        </pic:blipFill>
                        <pic:spPr>
                          <a:xfrm rot="5400000">
                            <a:off x="0" y="0"/>
                            <a:ext cx="2417445" cy="1657350"/>
                          </a:xfrm>
                          <a:prstGeom prst="rect">
                            <a:avLst/>
                          </a:prstGeom>
                        </pic:spPr>
                      </pic:pic>
                    </a:graphicData>
                  </a:graphic>
                </wp:inline>
              </w:drawing>
            </w:r>
          </w:p>
        </w:tc>
      </w:tr>
    </w:tbl>
    <w:p w14:paraId="239EF4B7" w14:textId="77777777" w:rsidR="009D12AF" w:rsidRDefault="00000000">
      <w:pPr>
        <w:ind w:firstLineChars="0" w:firstLine="0"/>
        <w:jc w:val="center"/>
        <w:rPr>
          <w:rFonts w:cs="Times New Roman"/>
          <w:b/>
          <w:color w:val="000000" w:themeColor="text1"/>
        </w:rPr>
      </w:pPr>
      <w:r>
        <w:rPr>
          <w:rFonts w:cs="Times New Roman" w:hint="eastAsia"/>
          <w:b/>
          <w:color w:val="000000" w:themeColor="text1"/>
        </w:rPr>
        <w:t>图</w:t>
      </w:r>
      <w:r>
        <w:rPr>
          <w:rFonts w:cs="Times New Roman" w:hint="eastAsia"/>
          <w:b/>
          <w:color w:val="000000" w:themeColor="text1"/>
        </w:rPr>
        <w:t xml:space="preserve">4.3-33  </w:t>
      </w:r>
      <w:r>
        <w:rPr>
          <w:rFonts w:cs="Times New Roman" w:hint="eastAsia"/>
          <w:b/>
          <w:color w:val="000000" w:themeColor="text1"/>
        </w:rPr>
        <w:t>浮游动物样品采集</w:t>
      </w:r>
    </w:p>
    <w:p w14:paraId="241ECC0D" w14:textId="77777777" w:rsidR="009D12AF" w:rsidRDefault="00000000">
      <w:pPr>
        <w:ind w:leftChars="200" w:left="480" w:firstLineChars="0" w:firstLine="0"/>
        <w:jc w:val="left"/>
        <w:rPr>
          <w:rFonts w:cs="Times New Roman"/>
          <w:bCs/>
          <w:color w:val="000000" w:themeColor="text1"/>
        </w:rPr>
      </w:pPr>
      <w:r>
        <w:rPr>
          <w:rFonts w:cs="Times New Roman" w:hint="eastAsia"/>
          <w:bCs/>
          <w:color w:val="000000" w:themeColor="text1"/>
        </w:rPr>
        <w:t>四、底栖动物</w:t>
      </w:r>
    </w:p>
    <w:p w14:paraId="4C86D1B5" w14:textId="77777777" w:rsidR="009D12AF" w:rsidRDefault="00000000">
      <w:pPr>
        <w:ind w:leftChars="200" w:left="480" w:firstLineChars="0" w:firstLine="0"/>
        <w:jc w:val="left"/>
        <w:rPr>
          <w:rFonts w:cs="Times New Roman"/>
          <w:bCs/>
          <w:color w:val="000000" w:themeColor="text1"/>
        </w:rPr>
      </w:pPr>
      <w:r>
        <w:rPr>
          <w:rFonts w:cs="Times New Roman" w:hint="eastAsia"/>
          <w:bCs/>
          <w:color w:val="000000" w:themeColor="text1"/>
        </w:rPr>
        <w:t>1</w:t>
      </w:r>
      <w:r>
        <w:rPr>
          <w:rFonts w:cs="Times New Roman" w:hint="eastAsia"/>
          <w:bCs/>
          <w:color w:val="000000" w:themeColor="text1"/>
        </w:rPr>
        <w:t>、种类组成</w:t>
      </w:r>
    </w:p>
    <w:p w14:paraId="6B27F56D" w14:textId="77777777" w:rsidR="009D12AF" w:rsidRDefault="00000000">
      <w:pPr>
        <w:ind w:firstLineChars="250" w:firstLine="600"/>
        <w:rPr>
          <w:rFonts w:ascii="Times New Roman" w:hAnsi="Times New Roman" w:cs="Times New Roman"/>
          <w:color w:val="000000" w:themeColor="text1"/>
        </w:rPr>
      </w:pPr>
      <w:r>
        <w:rPr>
          <w:rFonts w:ascii="Times New Roman" w:hAnsi="Times New Roman" w:cs="Times New Roman"/>
          <w:color w:val="000000" w:themeColor="text1"/>
        </w:rPr>
        <w:t>调查期间，评价水域共采集底栖动物</w:t>
      </w:r>
      <w:r>
        <w:rPr>
          <w:rFonts w:ascii="Times New Roman" w:hAnsi="Times New Roman" w:cs="Times New Roman"/>
          <w:color w:val="000000" w:themeColor="text1"/>
        </w:rPr>
        <w:t>4</w:t>
      </w:r>
      <w:r>
        <w:rPr>
          <w:rFonts w:ascii="Times New Roman" w:hAnsi="Times New Roman" w:cs="Times New Roman"/>
          <w:color w:val="000000" w:themeColor="text1"/>
        </w:rPr>
        <w:t>类（软体动物、环节动物、水生昆虫和甲壳动物），共计</w:t>
      </w:r>
      <w:r>
        <w:rPr>
          <w:rFonts w:ascii="Times New Roman" w:hAnsi="Times New Roman" w:cs="Times New Roman"/>
          <w:color w:val="000000" w:themeColor="text1"/>
        </w:rPr>
        <w:t>13</w:t>
      </w:r>
      <w:r>
        <w:rPr>
          <w:rFonts w:ascii="Times New Roman" w:hAnsi="Times New Roman" w:cs="Times New Roman"/>
          <w:color w:val="000000" w:themeColor="text1"/>
        </w:rPr>
        <w:t>目</w:t>
      </w:r>
      <w:r>
        <w:rPr>
          <w:rFonts w:ascii="Times New Roman" w:hAnsi="Times New Roman" w:cs="Times New Roman"/>
          <w:color w:val="000000" w:themeColor="text1"/>
        </w:rPr>
        <w:t>17</w:t>
      </w:r>
      <w:r>
        <w:rPr>
          <w:rFonts w:ascii="Times New Roman" w:hAnsi="Times New Roman" w:cs="Times New Roman"/>
          <w:color w:val="000000" w:themeColor="text1"/>
        </w:rPr>
        <w:t>科</w:t>
      </w:r>
      <w:r>
        <w:rPr>
          <w:rFonts w:ascii="Times New Roman" w:hAnsi="Times New Roman" w:cs="Times New Roman"/>
          <w:color w:val="000000" w:themeColor="text1"/>
        </w:rPr>
        <w:t>21</w:t>
      </w:r>
      <w:r>
        <w:rPr>
          <w:rFonts w:ascii="Times New Roman" w:hAnsi="Times New Roman" w:cs="Times New Roman"/>
          <w:color w:val="000000" w:themeColor="text1"/>
        </w:rPr>
        <w:t>种，其中水生昆虫</w:t>
      </w:r>
      <w:r>
        <w:rPr>
          <w:rFonts w:ascii="Times New Roman" w:hAnsi="Times New Roman" w:cs="Times New Roman"/>
          <w:color w:val="000000" w:themeColor="text1"/>
        </w:rPr>
        <w:t>9</w:t>
      </w:r>
      <w:r>
        <w:rPr>
          <w:rFonts w:ascii="Times New Roman" w:hAnsi="Times New Roman" w:cs="Times New Roman"/>
          <w:color w:val="000000" w:themeColor="text1"/>
        </w:rPr>
        <w:t>种，隶属于</w:t>
      </w:r>
      <w:r>
        <w:rPr>
          <w:rFonts w:ascii="Times New Roman" w:hAnsi="Times New Roman" w:cs="Times New Roman"/>
          <w:color w:val="000000" w:themeColor="text1"/>
        </w:rPr>
        <w:t>5</w:t>
      </w:r>
      <w:r>
        <w:rPr>
          <w:rFonts w:ascii="Times New Roman" w:hAnsi="Times New Roman" w:cs="Times New Roman"/>
          <w:color w:val="000000" w:themeColor="text1"/>
        </w:rPr>
        <w:t>目</w:t>
      </w:r>
      <w:r>
        <w:rPr>
          <w:rFonts w:ascii="Times New Roman" w:hAnsi="Times New Roman" w:cs="Times New Roman"/>
          <w:color w:val="000000" w:themeColor="text1"/>
        </w:rPr>
        <w:t>7</w:t>
      </w:r>
      <w:r>
        <w:rPr>
          <w:rFonts w:ascii="Times New Roman" w:hAnsi="Times New Roman" w:cs="Times New Roman"/>
          <w:color w:val="000000" w:themeColor="text1"/>
        </w:rPr>
        <w:t>科；软体动物</w:t>
      </w:r>
      <w:r>
        <w:rPr>
          <w:rFonts w:ascii="Times New Roman" w:hAnsi="Times New Roman" w:cs="Times New Roman"/>
          <w:color w:val="000000" w:themeColor="text1"/>
        </w:rPr>
        <w:t>7</w:t>
      </w:r>
      <w:r>
        <w:rPr>
          <w:rFonts w:ascii="Times New Roman" w:hAnsi="Times New Roman" w:cs="Times New Roman"/>
          <w:color w:val="000000" w:themeColor="text1"/>
        </w:rPr>
        <w:t>种，隶属于</w:t>
      </w:r>
      <w:r>
        <w:rPr>
          <w:rFonts w:ascii="Times New Roman" w:hAnsi="Times New Roman" w:cs="Times New Roman"/>
          <w:color w:val="000000" w:themeColor="text1"/>
        </w:rPr>
        <w:t>5</w:t>
      </w:r>
      <w:r>
        <w:rPr>
          <w:rFonts w:ascii="Times New Roman" w:hAnsi="Times New Roman" w:cs="Times New Roman"/>
          <w:color w:val="000000" w:themeColor="text1"/>
        </w:rPr>
        <w:t>目</w:t>
      </w:r>
      <w:r>
        <w:rPr>
          <w:rFonts w:ascii="Times New Roman" w:hAnsi="Times New Roman" w:cs="Times New Roman"/>
          <w:color w:val="000000" w:themeColor="text1"/>
        </w:rPr>
        <w:t>7</w:t>
      </w:r>
      <w:r>
        <w:rPr>
          <w:rFonts w:ascii="Times New Roman" w:hAnsi="Times New Roman" w:cs="Times New Roman"/>
          <w:color w:val="000000" w:themeColor="text1"/>
        </w:rPr>
        <w:t>科；环节动物</w:t>
      </w:r>
      <w:r>
        <w:rPr>
          <w:rFonts w:ascii="Times New Roman" w:hAnsi="Times New Roman" w:cs="Times New Roman"/>
          <w:color w:val="000000" w:themeColor="text1"/>
        </w:rPr>
        <w:t>4</w:t>
      </w:r>
      <w:r>
        <w:rPr>
          <w:rFonts w:ascii="Times New Roman" w:hAnsi="Times New Roman" w:cs="Times New Roman"/>
          <w:color w:val="000000" w:themeColor="text1"/>
        </w:rPr>
        <w:t>种，隶属于</w:t>
      </w:r>
      <w:r>
        <w:rPr>
          <w:rFonts w:ascii="Times New Roman" w:hAnsi="Times New Roman" w:cs="Times New Roman"/>
          <w:color w:val="000000" w:themeColor="text1"/>
        </w:rPr>
        <w:t>2</w:t>
      </w:r>
      <w:r>
        <w:rPr>
          <w:rFonts w:ascii="Times New Roman" w:hAnsi="Times New Roman" w:cs="Times New Roman"/>
          <w:color w:val="000000" w:themeColor="text1"/>
        </w:rPr>
        <w:t>目</w:t>
      </w:r>
      <w:r>
        <w:rPr>
          <w:rFonts w:ascii="Times New Roman" w:hAnsi="Times New Roman" w:cs="Times New Roman"/>
          <w:color w:val="000000" w:themeColor="text1"/>
        </w:rPr>
        <w:t>2</w:t>
      </w:r>
      <w:r>
        <w:rPr>
          <w:rFonts w:ascii="Times New Roman" w:hAnsi="Times New Roman" w:cs="Times New Roman"/>
          <w:color w:val="000000" w:themeColor="text1"/>
        </w:rPr>
        <w:t>科；甲壳动物</w:t>
      </w:r>
      <w:r>
        <w:rPr>
          <w:rFonts w:ascii="Times New Roman" w:hAnsi="Times New Roman" w:cs="Times New Roman"/>
          <w:color w:val="000000" w:themeColor="text1"/>
        </w:rPr>
        <w:t>1</w:t>
      </w:r>
      <w:r>
        <w:rPr>
          <w:rFonts w:ascii="Times New Roman" w:hAnsi="Times New Roman" w:cs="Times New Roman"/>
          <w:color w:val="000000" w:themeColor="text1"/>
        </w:rPr>
        <w:t>种，隶属于</w:t>
      </w:r>
      <w:r>
        <w:rPr>
          <w:rFonts w:ascii="Times New Roman" w:hAnsi="Times New Roman" w:cs="Times New Roman"/>
          <w:color w:val="000000" w:themeColor="text1"/>
        </w:rPr>
        <w:t>1</w:t>
      </w:r>
      <w:r>
        <w:rPr>
          <w:rFonts w:ascii="Times New Roman" w:hAnsi="Times New Roman" w:cs="Times New Roman"/>
          <w:color w:val="000000" w:themeColor="text1"/>
        </w:rPr>
        <w:t>目</w:t>
      </w:r>
      <w:r>
        <w:rPr>
          <w:rFonts w:ascii="Times New Roman" w:hAnsi="Times New Roman" w:cs="Times New Roman"/>
          <w:color w:val="000000" w:themeColor="text1"/>
        </w:rPr>
        <w:t>1</w:t>
      </w:r>
      <w:r>
        <w:rPr>
          <w:rFonts w:ascii="Times New Roman" w:hAnsi="Times New Roman" w:cs="Times New Roman"/>
          <w:color w:val="000000" w:themeColor="text1"/>
        </w:rPr>
        <w:t>科。莲花水库</w:t>
      </w:r>
      <w:r>
        <w:rPr>
          <w:rFonts w:ascii="Times New Roman" w:hAnsi="Times New Roman" w:cs="Times New Roman"/>
          <w:color w:val="000000" w:themeColor="text1"/>
        </w:rPr>
        <w:t>8</w:t>
      </w:r>
      <w:r>
        <w:rPr>
          <w:rFonts w:ascii="Times New Roman" w:hAnsi="Times New Roman" w:cs="Times New Roman"/>
          <w:color w:val="000000" w:themeColor="text1"/>
        </w:rPr>
        <w:t>目</w:t>
      </w:r>
      <w:r>
        <w:rPr>
          <w:rFonts w:ascii="Times New Roman" w:hAnsi="Times New Roman" w:cs="Times New Roman"/>
          <w:color w:val="000000" w:themeColor="text1"/>
        </w:rPr>
        <w:t>9</w:t>
      </w:r>
      <w:r>
        <w:rPr>
          <w:rFonts w:ascii="Times New Roman" w:hAnsi="Times New Roman" w:cs="Times New Roman"/>
          <w:color w:val="000000" w:themeColor="text1"/>
        </w:rPr>
        <w:t>科</w:t>
      </w:r>
      <w:r>
        <w:rPr>
          <w:rFonts w:ascii="Times New Roman" w:hAnsi="Times New Roman" w:cs="Times New Roman"/>
          <w:color w:val="000000" w:themeColor="text1"/>
        </w:rPr>
        <w:t>9</w:t>
      </w:r>
      <w:r>
        <w:rPr>
          <w:rFonts w:ascii="Times New Roman" w:hAnsi="Times New Roman" w:cs="Times New Roman"/>
          <w:color w:val="000000" w:themeColor="text1"/>
        </w:rPr>
        <w:t>种，群力水库</w:t>
      </w:r>
      <w:r>
        <w:rPr>
          <w:rFonts w:ascii="Times New Roman" w:hAnsi="Times New Roman" w:cs="Times New Roman"/>
          <w:color w:val="000000" w:themeColor="text1"/>
        </w:rPr>
        <w:t>9</w:t>
      </w:r>
      <w:r>
        <w:rPr>
          <w:rFonts w:ascii="Times New Roman" w:hAnsi="Times New Roman" w:cs="Times New Roman"/>
          <w:color w:val="000000" w:themeColor="text1"/>
        </w:rPr>
        <w:t>目</w:t>
      </w:r>
      <w:r>
        <w:rPr>
          <w:rFonts w:ascii="Times New Roman" w:hAnsi="Times New Roman" w:cs="Times New Roman"/>
          <w:color w:val="000000" w:themeColor="text1"/>
        </w:rPr>
        <w:t>11</w:t>
      </w:r>
      <w:r>
        <w:rPr>
          <w:rFonts w:ascii="Times New Roman" w:hAnsi="Times New Roman" w:cs="Times New Roman"/>
          <w:color w:val="000000" w:themeColor="text1"/>
        </w:rPr>
        <w:t>科</w:t>
      </w:r>
      <w:r>
        <w:rPr>
          <w:rFonts w:ascii="Times New Roman" w:hAnsi="Times New Roman" w:cs="Times New Roman"/>
          <w:color w:val="000000" w:themeColor="text1"/>
        </w:rPr>
        <w:t>13</w:t>
      </w:r>
      <w:r>
        <w:rPr>
          <w:rFonts w:ascii="Times New Roman" w:hAnsi="Times New Roman" w:cs="Times New Roman"/>
          <w:color w:val="000000" w:themeColor="text1"/>
        </w:rPr>
        <w:t>种，万丈</w:t>
      </w:r>
      <w:r>
        <w:rPr>
          <w:rFonts w:ascii="Times New Roman" w:hAnsi="Times New Roman" w:cs="Times New Roman"/>
          <w:color w:val="000000" w:themeColor="text1"/>
        </w:rPr>
        <w:lastRenderedPageBreak/>
        <w:t>水库</w:t>
      </w:r>
      <w:r>
        <w:rPr>
          <w:rFonts w:ascii="Times New Roman" w:hAnsi="Times New Roman" w:cs="Times New Roman"/>
          <w:color w:val="000000" w:themeColor="text1"/>
        </w:rPr>
        <w:t>7</w:t>
      </w:r>
      <w:r>
        <w:rPr>
          <w:rFonts w:ascii="Times New Roman" w:hAnsi="Times New Roman" w:cs="Times New Roman"/>
          <w:color w:val="000000" w:themeColor="text1"/>
        </w:rPr>
        <w:t>目</w:t>
      </w:r>
      <w:r>
        <w:rPr>
          <w:rFonts w:ascii="Times New Roman" w:hAnsi="Times New Roman" w:cs="Times New Roman"/>
          <w:color w:val="000000" w:themeColor="text1"/>
        </w:rPr>
        <w:t>8</w:t>
      </w:r>
      <w:r>
        <w:rPr>
          <w:rFonts w:ascii="Times New Roman" w:hAnsi="Times New Roman" w:cs="Times New Roman"/>
          <w:color w:val="000000" w:themeColor="text1"/>
        </w:rPr>
        <w:t>科</w:t>
      </w:r>
      <w:r>
        <w:rPr>
          <w:rFonts w:ascii="Times New Roman" w:hAnsi="Times New Roman" w:cs="Times New Roman"/>
          <w:color w:val="000000" w:themeColor="text1"/>
        </w:rPr>
        <w:t>10</w:t>
      </w:r>
      <w:r>
        <w:rPr>
          <w:rFonts w:ascii="Times New Roman" w:hAnsi="Times New Roman" w:cs="Times New Roman"/>
          <w:color w:val="000000" w:themeColor="text1"/>
        </w:rPr>
        <w:t>种，长石水库</w:t>
      </w:r>
      <w:r>
        <w:rPr>
          <w:rFonts w:ascii="Times New Roman" w:hAnsi="Times New Roman" w:cs="Times New Roman"/>
          <w:color w:val="000000" w:themeColor="text1"/>
        </w:rPr>
        <w:t>9</w:t>
      </w:r>
      <w:r>
        <w:rPr>
          <w:rFonts w:ascii="Times New Roman" w:hAnsi="Times New Roman" w:cs="Times New Roman"/>
          <w:color w:val="000000" w:themeColor="text1"/>
        </w:rPr>
        <w:t>目</w:t>
      </w:r>
      <w:r>
        <w:rPr>
          <w:rFonts w:ascii="Times New Roman" w:hAnsi="Times New Roman" w:cs="Times New Roman"/>
          <w:color w:val="000000" w:themeColor="text1"/>
        </w:rPr>
        <w:t>13</w:t>
      </w:r>
      <w:r>
        <w:rPr>
          <w:rFonts w:ascii="Times New Roman" w:hAnsi="Times New Roman" w:cs="Times New Roman"/>
          <w:color w:val="000000" w:themeColor="text1"/>
        </w:rPr>
        <w:t>科</w:t>
      </w:r>
      <w:r>
        <w:rPr>
          <w:rFonts w:ascii="Times New Roman" w:hAnsi="Times New Roman" w:cs="Times New Roman"/>
          <w:color w:val="000000" w:themeColor="text1"/>
        </w:rPr>
        <w:t>14</w:t>
      </w:r>
      <w:r>
        <w:rPr>
          <w:rFonts w:ascii="Times New Roman" w:hAnsi="Times New Roman" w:cs="Times New Roman"/>
          <w:color w:val="000000" w:themeColor="text1"/>
        </w:rPr>
        <w:t>种，新安晒水池</w:t>
      </w:r>
      <w:r>
        <w:rPr>
          <w:rFonts w:ascii="Times New Roman" w:hAnsi="Times New Roman" w:cs="Times New Roman"/>
          <w:color w:val="000000" w:themeColor="text1"/>
        </w:rPr>
        <w:t>6</w:t>
      </w:r>
      <w:r>
        <w:rPr>
          <w:rFonts w:ascii="Times New Roman" w:hAnsi="Times New Roman" w:cs="Times New Roman"/>
          <w:color w:val="000000" w:themeColor="text1"/>
        </w:rPr>
        <w:t>目</w:t>
      </w:r>
      <w:r>
        <w:rPr>
          <w:rFonts w:ascii="Times New Roman" w:hAnsi="Times New Roman" w:cs="Times New Roman"/>
          <w:color w:val="000000" w:themeColor="text1"/>
        </w:rPr>
        <w:t>8</w:t>
      </w:r>
      <w:r>
        <w:rPr>
          <w:rFonts w:ascii="Times New Roman" w:hAnsi="Times New Roman" w:cs="Times New Roman"/>
          <w:color w:val="000000" w:themeColor="text1"/>
        </w:rPr>
        <w:t>科</w:t>
      </w:r>
      <w:r>
        <w:rPr>
          <w:rFonts w:ascii="Times New Roman" w:hAnsi="Times New Roman" w:cs="Times New Roman"/>
          <w:color w:val="000000" w:themeColor="text1"/>
        </w:rPr>
        <w:t>9</w:t>
      </w:r>
      <w:r>
        <w:rPr>
          <w:rFonts w:ascii="Times New Roman" w:hAnsi="Times New Roman" w:cs="Times New Roman"/>
          <w:color w:val="000000" w:themeColor="text1"/>
        </w:rPr>
        <w:t>种，向阳水电站前池</w:t>
      </w:r>
      <w:r>
        <w:rPr>
          <w:rFonts w:ascii="Times New Roman" w:hAnsi="Times New Roman" w:cs="Times New Roman"/>
          <w:color w:val="000000" w:themeColor="text1"/>
        </w:rPr>
        <w:t>6</w:t>
      </w:r>
      <w:r>
        <w:rPr>
          <w:rFonts w:ascii="Times New Roman" w:hAnsi="Times New Roman" w:cs="Times New Roman"/>
          <w:color w:val="000000" w:themeColor="text1"/>
        </w:rPr>
        <w:t>目</w:t>
      </w:r>
      <w:r>
        <w:rPr>
          <w:rFonts w:ascii="Times New Roman" w:hAnsi="Times New Roman" w:cs="Times New Roman"/>
          <w:color w:val="000000" w:themeColor="text1"/>
        </w:rPr>
        <w:t>6</w:t>
      </w:r>
      <w:r>
        <w:rPr>
          <w:rFonts w:ascii="Times New Roman" w:hAnsi="Times New Roman" w:cs="Times New Roman"/>
          <w:color w:val="000000" w:themeColor="text1"/>
        </w:rPr>
        <w:t>科</w:t>
      </w:r>
      <w:r>
        <w:rPr>
          <w:rFonts w:ascii="Times New Roman" w:hAnsi="Times New Roman" w:cs="Times New Roman"/>
          <w:color w:val="000000" w:themeColor="text1"/>
        </w:rPr>
        <w:t>6</w:t>
      </w:r>
      <w:r>
        <w:rPr>
          <w:rFonts w:ascii="Times New Roman" w:hAnsi="Times New Roman" w:cs="Times New Roman"/>
          <w:color w:val="000000" w:themeColor="text1"/>
        </w:rPr>
        <w:t>种（表</w:t>
      </w:r>
      <w:r>
        <w:rPr>
          <w:rFonts w:ascii="Times New Roman" w:hAnsi="Times New Roman" w:cs="Times New Roman" w:hint="eastAsia"/>
          <w:bCs/>
          <w:color w:val="000000" w:themeColor="text1"/>
        </w:rPr>
        <w:t>4.3-37</w:t>
      </w:r>
      <w:r>
        <w:rPr>
          <w:rFonts w:ascii="Times New Roman" w:hAnsi="Times New Roman" w:cs="Times New Roman"/>
          <w:color w:val="000000" w:themeColor="text1"/>
        </w:rPr>
        <w:t>）。</w:t>
      </w:r>
    </w:p>
    <w:p w14:paraId="76FF4D48" w14:textId="77777777" w:rsidR="009D12AF" w:rsidRDefault="00000000">
      <w:pPr>
        <w:ind w:firstLineChars="0" w:firstLine="0"/>
        <w:jc w:val="center"/>
        <w:rPr>
          <w:rFonts w:cs="Times New Roman"/>
          <w:b/>
          <w:color w:val="000000" w:themeColor="text1"/>
        </w:rPr>
      </w:pPr>
      <w:r>
        <w:rPr>
          <w:rFonts w:cs="Times New Roman" w:hint="eastAsia"/>
          <w:b/>
          <w:color w:val="000000" w:themeColor="text1"/>
        </w:rPr>
        <w:t>表</w:t>
      </w:r>
      <w:r>
        <w:rPr>
          <w:rFonts w:cs="Times New Roman" w:hint="eastAsia"/>
          <w:b/>
          <w:color w:val="000000" w:themeColor="text1"/>
        </w:rPr>
        <w:t xml:space="preserve">4.3-37 </w:t>
      </w:r>
      <w:r>
        <w:rPr>
          <w:rFonts w:cs="Times New Roman" w:hint="eastAsia"/>
          <w:b/>
          <w:color w:val="000000" w:themeColor="text1"/>
        </w:rPr>
        <w:t>底栖动物名录</w:t>
      </w:r>
    </w:p>
    <w:tbl>
      <w:tblPr>
        <w:tblW w:w="4997"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255"/>
        <w:gridCol w:w="1477"/>
        <w:gridCol w:w="1468"/>
        <w:gridCol w:w="2246"/>
        <w:gridCol w:w="336"/>
        <w:gridCol w:w="356"/>
        <w:gridCol w:w="356"/>
        <w:gridCol w:w="356"/>
        <w:gridCol w:w="336"/>
        <w:gridCol w:w="336"/>
      </w:tblGrid>
      <w:tr w:rsidR="009D12AF" w14:paraId="4AE17B29" w14:textId="77777777">
        <w:trPr>
          <w:trHeight w:val="397"/>
          <w:jc w:val="center"/>
        </w:trPr>
        <w:tc>
          <w:tcPr>
            <w:tcW w:w="457" w:type="pct"/>
            <w:tcBorders>
              <w:tl2br w:val="nil"/>
              <w:tr2bl w:val="nil"/>
            </w:tcBorders>
            <w:vAlign w:val="center"/>
          </w:tcPr>
          <w:p w14:paraId="3B44B892" w14:textId="77777777" w:rsidR="009D12AF" w:rsidRDefault="00000000">
            <w:pPr>
              <w:adjustRightInd w:val="0"/>
              <w:snapToGrid w:val="0"/>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类别</w:t>
            </w:r>
          </w:p>
        </w:tc>
        <w:tc>
          <w:tcPr>
            <w:tcW w:w="754" w:type="pct"/>
            <w:tcBorders>
              <w:tl2br w:val="nil"/>
              <w:tr2bl w:val="nil"/>
            </w:tcBorders>
            <w:noWrap/>
            <w:vAlign w:val="center"/>
          </w:tcPr>
          <w:p w14:paraId="566984CA" w14:textId="77777777" w:rsidR="009D12AF" w:rsidRDefault="00000000">
            <w:pPr>
              <w:adjustRightInd w:val="0"/>
              <w:snapToGrid w:val="0"/>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目</w:t>
            </w:r>
          </w:p>
        </w:tc>
        <w:tc>
          <w:tcPr>
            <w:tcW w:w="672" w:type="pct"/>
            <w:tcBorders>
              <w:tl2br w:val="nil"/>
              <w:tr2bl w:val="nil"/>
            </w:tcBorders>
            <w:shd w:val="clear" w:color="000000" w:fill="FFFFFF"/>
            <w:noWrap/>
            <w:vAlign w:val="center"/>
          </w:tcPr>
          <w:p w14:paraId="29182BBA" w14:textId="77777777" w:rsidR="009D12AF" w:rsidRDefault="00000000">
            <w:pPr>
              <w:adjustRightInd w:val="0"/>
              <w:snapToGrid w:val="0"/>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科</w:t>
            </w:r>
          </w:p>
        </w:tc>
        <w:tc>
          <w:tcPr>
            <w:tcW w:w="803" w:type="pct"/>
            <w:tcBorders>
              <w:tl2br w:val="nil"/>
              <w:tr2bl w:val="nil"/>
            </w:tcBorders>
            <w:shd w:val="clear" w:color="000000" w:fill="FFFFFF"/>
            <w:noWrap/>
            <w:vAlign w:val="center"/>
          </w:tcPr>
          <w:p w14:paraId="1F523917" w14:textId="77777777" w:rsidR="009D12AF" w:rsidRDefault="00000000">
            <w:pPr>
              <w:adjustRightInd w:val="0"/>
              <w:snapToGrid w:val="0"/>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种类</w:t>
            </w:r>
          </w:p>
        </w:tc>
        <w:tc>
          <w:tcPr>
            <w:tcW w:w="378" w:type="pct"/>
            <w:tcBorders>
              <w:tl2br w:val="nil"/>
              <w:tr2bl w:val="nil"/>
            </w:tcBorders>
            <w:shd w:val="clear" w:color="000000" w:fill="FFFFFF"/>
            <w:vAlign w:val="center"/>
          </w:tcPr>
          <w:p w14:paraId="3064FBE0" w14:textId="77777777" w:rsidR="009D12AF" w:rsidRDefault="00000000">
            <w:pPr>
              <w:adjustRightInd w:val="0"/>
              <w:snapToGrid w:val="0"/>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莲花水库</w:t>
            </w:r>
          </w:p>
        </w:tc>
        <w:tc>
          <w:tcPr>
            <w:tcW w:w="392" w:type="pct"/>
            <w:tcBorders>
              <w:tl2br w:val="nil"/>
              <w:tr2bl w:val="nil"/>
            </w:tcBorders>
            <w:shd w:val="clear" w:color="000000" w:fill="FFFFFF"/>
            <w:vAlign w:val="center"/>
          </w:tcPr>
          <w:p w14:paraId="2D1F9605" w14:textId="77777777" w:rsidR="009D12AF" w:rsidRDefault="00000000">
            <w:pPr>
              <w:adjustRightInd w:val="0"/>
              <w:snapToGrid w:val="0"/>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群力水库</w:t>
            </w:r>
          </w:p>
        </w:tc>
        <w:tc>
          <w:tcPr>
            <w:tcW w:w="392" w:type="pct"/>
            <w:tcBorders>
              <w:tl2br w:val="nil"/>
              <w:tr2bl w:val="nil"/>
            </w:tcBorders>
            <w:shd w:val="clear" w:color="000000" w:fill="FFFFFF"/>
            <w:vAlign w:val="center"/>
          </w:tcPr>
          <w:p w14:paraId="2FCB08E5" w14:textId="77777777" w:rsidR="009D12AF" w:rsidRDefault="00000000">
            <w:pPr>
              <w:adjustRightInd w:val="0"/>
              <w:snapToGrid w:val="0"/>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万丈水库</w:t>
            </w:r>
          </w:p>
        </w:tc>
        <w:tc>
          <w:tcPr>
            <w:tcW w:w="392" w:type="pct"/>
            <w:tcBorders>
              <w:tl2br w:val="nil"/>
              <w:tr2bl w:val="nil"/>
            </w:tcBorders>
            <w:shd w:val="clear" w:color="000000" w:fill="FFFFFF"/>
            <w:vAlign w:val="center"/>
          </w:tcPr>
          <w:p w14:paraId="1B21132F" w14:textId="77777777" w:rsidR="009D12AF" w:rsidRDefault="00000000">
            <w:pPr>
              <w:adjustRightInd w:val="0"/>
              <w:snapToGrid w:val="0"/>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长石水库</w:t>
            </w:r>
          </w:p>
        </w:tc>
        <w:tc>
          <w:tcPr>
            <w:tcW w:w="378" w:type="pct"/>
            <w:tcBorders>
              <w:tl2br w:val="nil"/>
              <w:tr2bl w:val="nil"/>
            </w:tcBorders>
            <w:shd w:val="clear" w:color="000000" w:fill="FFFFFF"/>
            <w:vAlign w:val="center"/>
          </w:tcPr>
          <w:p w14:paraId="5EE9AB51" w14:textId="77777777" w:rsidR="009D12AF" w:rsidRDefault="00000000">
            <w:pPr>
              <w:adjustRightInd w:val="0"/>
              <w:snapToGrid w:val="0"/>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新安晒水池</w:t>
            </w:r>
          </w:p>
        </w:tc>
        <w:tc>
          <w:tcPr>
            <w:tcW w:w="378" w:type="pct"/>
            <w:tcBorders>
              <w:tl2br w:val="nil"/>
              <w:tr2bl w:val="nil"/>
            </w:tcBorders>
            <w:shd w:val="clear" w:color="000000" w:fill="FFFFFF"/>
            <w:vAlign w:val="center"/>
          </w:tcPr>
          <w:p w14:paraId="455E39F0" w14:textId="77777777" w:rsidR="009D12AF" w:rsidRDefault="00000000">
            <w:pPr>
              <w:adjustRightInd w:val="0"/>
              <w:snapToGrid w:val="0"/>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向阳水电站前池</w:t>
            </w:r>
          </w:p>
        </w:tc>
      </w:tr>
      <w:tr w:rsidR="009D12AF" w14:paraId="4E30588A" w14:textId="77777777">
        <w:trPr>
          <w:trHeight w:val="397"/>
          <w:jc w:val="center"/>
        </w:trPr>
        <w:tc>
          <w:tcPr>
            <w:tcW w:w="457" w:type="pct"/>
            <w:tcBorders>
              <w:tl2br w:val="nil"/>
              <w:tr2bl w:val="nil"/>
            </w:tcBorders>
            <w:vAlign w:val="center"/>
          </w:tcPr>
          <w:p w14:paraId="473EBEF8"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水生昆虫</w:t>
            </w:r>
            <w:r>
              <w:rPr>
                <w:rFonts w:ascii="Times New Roman" w:hAnsi="Times New Roman" w:cs="Times New Roman"/>
                <w:color w:val="000000" w:themeColor="text1"/>
                <w:sz w:val="18"/>
                <w:szCs w:val="18"/>
              </w:rPr>
              <w:t>Aquatic insect</w:t>
            </w:r>
          </w:p>
        </w:tc>
        <w:tc>
          <w:tcPr>
            <w:tcW w:w="754" w:type="pct"/>
            <w:tcBorders>
              <w:tl2br w:val="nil"/>
              <w:tr2bl w:val="nil"/>
            </w:tcBorders>
            <w:noWrap/>
            <w:vAlign w:val="center"/>
          </w:tcPr>
          <w:p w14:paraId="4D30F939"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双翅目</w:t>
            </w:r>
            <w:r>
              <w:rPr>
                <w:rFonts w:ascii="Times New Roman" w:hAnsi="Times New Roman" w:cs="Times New Roman"/>
                <w:color w:val="000000" w:themeColor="text1"/>
                <w:sz w:val="18"/>
                <w:szCs w:val="18"/>
              </w:rPr>
              <w:t>Diptera</w:t>
            </w:r>
          </w:p>
        </w:tc>
        <w:tc>
          <w:tcPr>
            <w:tcW w:w="672" w:type="pct"/>
            <w:tcBorders>
              <w:tl2br w:val="nil"/>
              <w:tr2bl w:val="nil"/>
            </w:tcBorders>
            <w:shd w:val="clear" w:color="000000" w:fill="FFFFFF"/>
            <w:noWrap/>
            <w:vAlign w:val="center"/>
          </w:tcPr>
          <w:p w14:paraId="6AD5E455"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摇蚊科</w:t>
            </w:r>
            <w:r>
              <w:rPr>
                <w:rFonts w:ascii="Times New Roman" w:hAnsi="Times New Roman" w:cs="Times New Roman"/>
                <w:color w:val="000000" w:themeColor="text1"/>
                <w:sz w:val="18"/>
                <w:szCs w:val="18"/>
              </w:rPr>
              <w:t>Chironomidae</w:t>
            </w:r>
          </w:p>
        </w:tc>
        <w:tc>
          <w:tcPr>
            <w:tcW w:w="803" w:type="pct"/>
            <w:tcBorders>
              <w:tl2br w:val="nil"/>
              <w:tr2bl w:val="nil"/>
            </w:tcBorders>
            <w:shd w:val="clear" w:color="000000" w:fill="FFFFFF"/>
            <w:noWrap/>
            <w:vAlign w:val="center"/>
          </w:tcPr>
          <w:p w14:paraId="2AA58EE9"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摇蚊属</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 xml:space="preserve">Chironomus </w:t>
            </w:r>
            <w:r>
              <w:rPr>
                <w:rFonts w:ascii="Times New Roman" w:hAnsi="Times New Roman" w:cs="Times New Roman"/>
                <w:color w:val="000000" w:themeColor="text1"/>
                <w:sz w:val="18"/>
                <w:szCs w:val="18"/>
              </w:rPr>
              <w:t>sp.</w:t>
            </w:r>
          </w:p>
        </w:tc>
        <w:tc>
          <w:tcPr>
            <w:tcW w:w="378" w:type="pct"/>
            <w:tcBorders>
              <w:tl2br w:val="nil"/>
              <w:tr2bl w:val="nil"/>
            </w:tcBorders>
            <w:shd w:val="clear" w:color="000000" w:fill="FFFFFF"/>
            <w:vAlign w:val="center"/>
          </w:tcPr>
          <w:p w14:paraId="2C684834"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37A6B846"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11F836EA"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7A5F6E8B"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3A20CBE6"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173B04B5"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0ECBC3F4" w14:textId="77777777">
        <w:trPr>
          <w:trHeight w:val="397"/>
          <w:jc w:val="center"/>
        </w:trPr>
        <w:tc>
          <w:tcPr>
            <w:tcW w:w="457" w:type="pct"/>
            <w:tcBorders>
              <w:tl2br w:val="nil"/>
              <w:tr2bl w:val="nil"/>
            </w:tcBorders>
            <w:noWrap/>
            <w:vAlign w:val="center"/>
          </w:tcPr>
          <w:p w14:paraId="2FC1763C"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754" w:type="pct"/>
            <w:tcBorders>
              <w:tl2br w:val="nil"/>
              <w:tr2bl w:val="nil"/>
            </w:tcBorders>
            <w:noWrap/>
            <w:vAlign w:val="center"/>
          </w:tcPr>
          <w:p w14:paraId="2BE195F1"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蜉蝣目</w:t>
            </w:r>
            <w:r>
              <w:rPr>
                <w:rFonts w:ascii="Times New Roman" w:hAnsi="Times New Roman" w:cs="Times New Roman"/>
                <w:color w:val="000000" w:themeColor="text1"/>
                <w:sz w:val="18"/>
                <w:szCs w:val="18"/>
              </w:rPr>
              <w:t>Ephemeroptera</w:t>
            </w:r>
          </w:p>
        </w:tc>
        <w:tc>
          <w:tcPr>
            <w:tcW w:w="672" w:type="pct"/>
            <w:tcBorders>
              <w:tl2br w:val="nil"/>
              <w:tr2bl w:val="nil"/>
            </w:tcBorders>
            <w:noWrap/>
            <w:vAlign w:val="center"/>
          </w:tcPr>
          <w:p w14:paraId="08421698"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蜉蝣科</w:t>
            </w:r>
            <w:r>
              <w:rPr>
                <w:rFonts w:ascii="Times New Roman" w:hAnsi="Times New Roman" w:cs="Times New Roman"/>
                <w:color w:val="000000" w:themeColor="text1"/>
                <w:sz w:val="18"/>
                <w:szCs w:val="18"/>
              </w:rPr>
              <w:t>Ephemeridae</w:t>
            </w:r>
          </w:p>
        </w:tc>
        <w:tc>
          <w:tcPr>
            <w:tcW w:w="803" w:type="pct"/>
            <w:tcBorders>
              <w:tl2br w:val="nil"/>
              <w:tr2bl w:val="nil"/>
            </w:tcBorders>
            <w:shd w:val="clear" w:color="000000" w:fill="FFFFFF"/>
            <w:noWrap/>
            <w:vAlign w:val="center"/>
          </w:tcPr>
          <w:p w14:paraId="6A69891A"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i/>
                <w:iCs/>
                <w:color w:val="000000" w:themeColor="text1"/>
                <w:sz w:val="18"/>
                <w:szCs w:val="18"/>
              </w:rPr>
              <w:t>Ecdyonurus</w:t>
            </w:r>
            <w:r>
              <w:rPr>
                <w:rFonts w:ascii="Times New Roman" w:hAnsi="Times New Roman" w:cs="Times New Roman"/>
                <w:color w:val="000000" w:themeColor="text1"/>
                <w:sz w:val="18"/>
                <w:szCs w:val="18"/>
              </w:rPr>
              <w:t xml:space="preserve"> sp.</w:t>
            </w:r>
          </w:p>
        </w:tc>
        <w:tc>
          <w:tcPr>
            <w:tcW w:w="378" w:type="pct"/>
            <w:tcBorders>
              <w:tl2br w:val="nil"/>
              <w:tr2bl w:val="nil"/>
            </w:tcBorders>
            <w:shd w:val="clear" w:color="000000" w:fill="FFFFFF"/>
            <w:vAlign w:val="center"/>
          </w:tcPr>
          <w:p w14:paraId="6DBD9A03" w14:textId="77777777" w:rsidR="009D12AF" w:rsidRDefault="00000000">
            <w:pPr>
              <w:adjustRightInd w:val="0"/>
              <w:snapToGrid w:val="0"/>
              <w:ind w:firstLineChars="0" w:firstLine="0"/>
              <w:rPr>
                <w:rFonts w:ascii="Times New Roman" w:hAnsi="Times New Roman" w:cs="Times New Roman"/>
                <w:i/>
                <w:iCs/>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1DCA50B0" w14:textId="77777777" w:rsidR="009D12AF" w:rsidRDefault="00000000">
            <w:pPr>
              <w:adjustRightInd w:val="0"/>
              <w:snapToGrid w:val="0"/>
              <w:ind w:firstLineChars="0" w:firstLine="0"/>
              <w:rPr>
                <w:rFonts w:ascii="Times New Roman" w:hAnsi="Times New Roman" w:cs="Times New Roman"/>
                <w:i/>
                <w:iCs/>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7586437B" w14:textId="77777777" w:rsidR="009D12AF" w:rsidRDefault="009D12AF">
            <w:pPr>
              <w:adjustRightInd w:val="0"/>
              <w:snapToGrid w:val="0"/>
              <w:ind w:firstLineChars="0" w:firstLine="0"/>
              <w:rPr>
                <w:rFonts w:ascii="Times New Roman" w:hAnsi="Times New Roman" w:cs="Times New Roman"/>
                <w:i/>
                <w:iCs/>
                <w:color w:val="000000" w:themeColor="text1"/>
                <w:sz w:val="18"/>
                <w:szCs w:val="18"/>
              </w:rPr>
            </w:pPr>
          </w:p>
        </w:tc>
        <w:tc>
          <w:tcPr>
            <w:tcW w:w="392" w:type="pct"/>
            <w:tcBorders>
              <w:tl2br w:val="nil"/>
              <w:tr2bl w:val="nil"/>
            </w:tcBorders>
            <w:shd w:val="clear" w:color="000000" w:fill="FFFFFF"/>
            <w:vAlign w:val="center"/>
          </w:tcPr>
          <w:p w14:paraId="3AD7B3D4" w14:textId="77777777" w:rsidR="009D12AF" w:rsidRDefault="00000000">
            <w:pPr>
              <w:adjustRightInd w:val="0"/>
              <w:snapToGrid w:val="0"/>
              <w:ind w:firstLineChars="0" w:firstLine="0"/>
              <w:rPr>
                <w:rFonts w:ascii="Times New Roman" w:hAnsi="Times New Roman" w:cs="Times New Roman"/>
                <w:i/>
                <w:iCs/>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001AA675" w14:textId="77777777" w:rsidR="009D12AF" w:rsidRDefault="00000000">
            <w:pPr>
              <w:adjustRightInd w:val="0"/>
              <w:snapToGrid w:val="0"/>
              <w:ind w:firstLineChars="0" w:firstLine="0"/>
              <w:rPr>
                <w:rFonts w:ascii="Times New Roman" w:hAnsi="Times New Roman" w:cs="Times New Roman"/>
                <w:i/>
                <w:iCs/>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19709333" w14:textId="77777777" w:rsidR="009D12AF" w:rsidRDefault="009D12AF">
            <w:pPr>
              <w:adjustRightInd w:val="0"/>
              <w:snapToGrid w:val="0"/>
              <w:ind w:firstLineChars="0" w:firstLine="0"/>
              <w:rPr>
                <w:rFonts w:ascii="Times New Roman" w:hAnsi="Times New Roman" w:cs="Times New Roman"/>
                <w:i/>
                <w:iCs/>
                <w:color w:val="000000" w:themeColor="text1"/>
                <w:sz w:val="18"/>
                <w:szCs w:val="18"/>
              </w:rPr>
            </w:pPr>
          </w:p>
        </w:tc>
      </w:tr>
      <w:tr w:rsidR="009D12AF" w14:paraId="0EC90CE4" w14:textId="77777777">
        <w:trPr>
          <w:trHeight w:val="397"/>
          <w:jc w:val="center"/>
        </w:trPr>
        <w:tc>
          <w:tcPr>
            <w:tcW w:w="457" w:type="pct"/>
            <w:tcBorders>
              <w:tl2br w:val="nil"/>
              <w:tr2bl w:val="nil"/>
            </w:tcBorders>
            <w:noWrap/>
            <w:vAlign w:val="center"/>
          </w:tcPr>
          <w:p w14:paraId="3A2920DE"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754" w:type="pct"/>
            <w:tcBorders>
              <w:tl2br w:val="nil"/>
              <w:tr2bl w:val="nil"/>
            </w:tcBorders>
            <w:noWrap/>
            <w:vAlign w:val="center"/>
          </w:tcPr>
          <w:p w14:paraId="56DEBDA5"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　</w:t>
            </w:r>
          </w:p>
        </w:tc>
        <w:tc>
          <w:tcPr>
            <w:tcW w:w="672" w:type="pct"/>
            <w:tcBorders>
              <w:tl2br w:val="nil"/>
              <w:tr2bl w:val="nil"/>
            </w:tcBorders>
            <w:noWrap/>
            <w:vAlign w:val="center"/>
          </w:tcPr>
          <w:p w14:paraId="3A1E3C8E"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四节蜉科</w:t>
            </w:r>
            <w:r>
              <w:rPr>
                <w:rFonts w:ascii="Times New Roman" w:hAnsi="Times New Roman" w:cs="Times New Roman"/>
                <w:color w:val="000000" w:themeColor="text1"/>
                <w:sz w:val="18"/>
                <w:szCs w:val="18"/>
              </w:rPr>
              <w:t>Baetidae</w:t>
            </w:r>
          </w:p>
        </w:tc>
        <w:tc>
          <w:tcPr>
            <w:tcW w:w="803" w:type="pct"/>
            <w:tcBorders>
              <w:tl2br w:val="nil"/>
              <w:tr2bl w:val="nil"/>
            </w:tcBorders>
            <w:shd w:val="clear" w:color="000000" w:fill="FFFFFF"/>
            <w:noWrap/>
            <w:vAlign w:val="center"/>
          </w:tcPr>
          <w:p w14:paraId="3505F6B8" w14:textId="77777777" w:rsidR="009D12AF" w:rsidRDefault="00000000">
            <w:pPr>
              <w:adjustRightInd w:val="0"/>
              <w:snapToGrid w:val="0"/>
              <w:ind w:firstLineChars="0" w:firstLine="0"/>
              <w:rPr>
                <w:rFonts w:ascii="Times New Roman" w:hAnsi="Times New Roman" w:cs="Times New Roman"/>
                <w:i/>
                <w:iCs/>
                <w:color w:val="000000" w:themeColor="text1"/>
                <w:sz w:val="18"/>
                <w:szCs w:val="18"/>
              </w:rPr>
            </w:pPr>
            <w:r>
              <w:rPr>
                <w:rFonts w:ascii="Times New Roman" w:hAnsi="Times New Roman" w:cs="Times New Roman"/>
                <w:i/>
                <w:iCs/>
                <w:color w:val="000000" w:themeColor="text1"/>
                <w:sz w:val="18"/>
                <w:szCs w:val="18"/>
              </w:rPr>
              <w:t>Baetis thermicus</w:t>
            </w:r>
          </w:p>
        </w:tc>
        <w:tc>
          <w:tcPr>
            <w:tcW w:w="378" w:type="pct"/>
            <w:tcBorders>
              <w:tl2br w:val="nil"/>
              <w:tr2bl w:val="nil"/>
            </w:tcBorders>
            <w:shd w:val="clear" w:color="000000" w:fill="FFFFFF"/>
            <w:vAlign w:val="center"/>
          </w:tcPr>
          <w:p w14:paraId="40D6B03C" w14:textId="77777777" w:rsidR="009D12AF" w:rsidRDefault="00000000">
            <w:pPr>
              <w:adjustRightInd w:val="0"/>
              <w:snapToGrid w:val="0"/>
              <w:ind w:firstLineChars="0" w:firstLine="0"/>
              <w:rPr>
                <w:rFonts w:ascii="Times New Roman" w:hAnsi="Times New Roman" w:cs="Times New Roman"/>
                <w:i/>
                <w:iCs/>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0733BAE7" w14:textId="77777777" w:rsidR="009D12AF" w:rsidRDefault="00000000">
            <w:pPr>
              <w:adjustRightInd w:val="0"/>
              <w:snapToGrid w:val="0"/>
              <w:ind w:firstLineChars="0" w:firstLine="0"/>
              <w:rPr>
                <w:rFonts w:ascii="Times New Roman" w:hAnsi="Times New Roman" w:cs="Times New Roman"/>
                <w:i/>
                <w:iCs/>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6695DFDF" w14:textId="77777777" w:rsidR="009D12AF" w:rsidRDefault="009D12AF">
            <w:pPr>
              <w:adjustRightInd w:val="0"/>
              <w:snapToGrid w:val="0"/>
              <w:ind w:firstLineChars="0" w:firstLine="0"/>
              <w:rPr>
                <w:rFonts w:ascii="Times New Roman" w:hAnsi="Times New Roman" w:cs="Times New Roman"/>
                <w:i/>
                <w:iCs/>
                <w:color w:val="000000" w:themeColor="text1"/>
                <w:sz w:val="18"/>
                <w:szCs w:val="18"/>
              </w:rPr>
            </w:pPr>
          </w:p>
        </w:tc>
        <w:tc>
          <w:tcPr>
            <w:tcW w:w="392" w:type="pct"/>
            <w:tcBorders>
              <w:tl2br w:val="nil"/>
              <w:tr2bl w:val="nil"/>
            </w:tcBorders>
            <w:shd w:val="clear" w:color="000000" w:fill="FFFFFF"/>
            <w:vAlign w:val="center"/>
          </w:tcPr>
          <w:p w14:paraId="1EBA5172" w14:textId="77777777" w:rsidR="009D12AF" w:rsidRDefault="00000000">
            <w:pPr>
              <w:adjustRightInd w:val="0"/>
              <w:snapToGrid w:val="0"/>
              <w:ind w:firstLineChars="0" w:firstLine="0"/>
              <w:rPr>
                <w:rFonts w:ascii="Times New Roman" w:hAnsi="Times New Roman" w:cs="Times New Roman"/>
                <w:i/>
                <w:iCs/>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6CD33750" w14:textId="77777777" w:rsidR="009D12AF" w:rsidRDefault="00000000">
            <w:pPr>
              <w:adjustRightInd w:val="0"/>
              <w:snapToGrid w:val="0"/>
              <w:ind w:firstLineChars="0" w:firstLine="0"/>
              <w:rPr>
                <w:rFonts w:ascii="Times New Roman" w:hAnsi="Times New Roman" w:cs="Times New Roman"/>
                <w:i/>
                <w:iCs/>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7DFDDB0A" w14:textId="77777777" w:rsidR="009D12AF" w:rsidRDefault="009D12AF">
            <w:pPr>
              <w:adjustRightInd w:val="0"/>
              <w:snapToGrid w:val="0"/>
              <w:ind w:firstLineChars="0" w:firstLine="0"/>
              <w:rPr>
                <w:rFonts w:ascii="Times New Roman" w:hAnsi="Times New Roman" w:cs="Times New Roman"/>
                <w:i/>
                <w:iCs/>
                <w:color w:val="000000" w:themeColor="text1"/>
                <w:sz w:val="18"/>
                <w:szCs w:val="18"/>
              </w:rPr>
            </w:pPr>
          </w:p>
        </w:tc>
      </w:tr>
      <w:tr w:rsidR="009D12AF" w14:paraId="1644BE0A" w14:textId="77777777">
        <w:trPr>
          <w:trHeight w:val="397"/>
          <w:jc w:val="center"/>
        </w:trPr>
        <w:tc>
          <w:tcPr>
            <w:tcW w:w="457" w:type="pct"/>
            <w:tcBorders>
              <w:tl2br w:val="nil"/>
              <w:tr2bl w:val="nil"/>
            </w:tcBorders>
            <w:noWrap/>
            <w:vAlign w:val="center"/>
          </w:tcPr>
          <w:p w14:paraId="52003CDA"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754" w:type="pct"/>
            <w:tcBorders>
              <w:tl2br w:val="nil"/>
              <w:tr2bl w:val="nil"/>
            </w:tcBorders>
            <w:noWrap/>
            <w:vAlign w:val="center"/>
          </w:tcPr>
          <w:p w14:paraId="6E2B4F9C"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　</w:t>
            </w:r>
          </w:p>
        </w:tc>
        <w:tc>
          <w:tcPr>
            <w:tcW w:w="672" w:type="pct"/>
            <w:tcBorders>
              <w:tl2br w:val="nil"/>
              <w:tr2bl w:val="nil"/>
            </w:tcBorders>
            <w:noWrap/>
            <w:vAlign w:val="center"/>
          </w:tcPr>
          <w:p w14:paraId="0E99FA67"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小蜉科</w:t>
            </w:r>
            <w:r>
              <w:rPr>
                <w:rFonts w:ascii="Times New Roman" w:hAnsi="Times New Roman" w:cs="Times New Roman"/>
                <w:color w:val="000000" w:themeColor="text1"/>
                <w:sz w:val="18"/>
                <w:szCs w:val="18"/>
              </w:rPr>
              <w:t xml:space="preserve"> Ephemerellidae</w:t>
            </w:r>
          </w:p>
        </w:tc>
        <w:tc>
          <w:tcPr>
            <w:tcW w:w="803" w:type="pct"/>
            <w:tcBorders>
              <w:tl2br w:val="nil"/>
              <w:tr2bl w:val="nil"/>
            </w:tcBorders>
            <w:shd w:val="clear" w:color="000000" w:fill="FFFFFF"/>
            <w:noWrap/>
            <w:vAlign w:val="center"/>
          </w:tcPr>
          <w:p w14:paraId="4427F618"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弯握蜉属</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Drunella</w:t>
            </w:r>
            <w:r>
              <w:rPr>
                <w:rFonts w:ascii="Times New Roman" w:hAnsi="Times New Roman" w:cs="Times New Roman"/>
                <w:color w:val="000000" w:themeColor="text1"/>
                <w:sz w:val="18"/>
                <w:szCs w:val="18"/>
              </w:rPr>
              <w:t xml:space="preserve"> sp.</w:t>
            </w:r>
          </w:p>
        </w:tc>
        <w:tc>
          <w:tcPr>
            <w:tcW w:w="378" w:type="pct"/>
            <w:tcBorders>
              <w:tl2br w:val="nil"/>
              <w:tr2bl w:val="nil"/>
            </w:tcBorders>
            <w:shd w:val="clear" w:color="000000" w:fill="FFFFFF"/>
            <w:vAlign w:val="center"/>
          </w:tcPr>
          <w:p w14:paraId="4C18C4CB"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6D4283EC"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2BCBEF52"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49A8D68F"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78" w:type="pct"/>
            <w:tcBorders>
              <w:tl2br w:val="nil"/>
              <w:tr2bl w:val="nil"/>
            </w:tcBorders>
            <w:shd w:val="clear" w:color="000000" w:fill="FFFFFF"/>
            <w:vAlign w:val="center"/>
          </w:tcPr>
          <w:p w14:paraId="6D3C0782"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78" w:type="pct"/>
            <w:tcBorders>
              <w:tl2br w:val="nil"/>
              <w:tr2bl w:val="nil"/>
            </w:tcBorders>
            <w:shd w:val="clear" w:color="000000" w:fill="FFFFFF"/>
            <w:vAlign w:val="center"/>
          </w:tcPr>
          <w:p w14:paraId="32F90515"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r>
      <w:tr w:rsidR="009D12AF" w14:paraId="0C64B8BA" w14:textId="77777777">
        <w:trPr>
          <w:trHeight w:val="397"/>
          <w:jc w:val="center"/>
        </w:trPr>
        <w:tc>
          <w:tcPr>
            <w:tcW w:w="457" w:type="pct"/>
            <w:tcBorders>
              <w:tl2br w:val="nil"/>
              <w:tr2bl w:val="nil"/>
            </w:tcBorders>
            <w:noWrap/>
            <w:vAlign w:val="center"/>
          </w:tcPr>
          <w:p w14:paraId="663B3D14"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754" w:type="pct"/>
            <w:tcBorders>
              <w:tl2br w:val="nil"/>
              <w:tr2bl w:val="nil"/>
            </w:tcBorders>
            <w:noWrap/>
            <w:vAlign w:val="center"/>
          </w:tcPr>
          <w:p w14:paraId="09A311FE"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　</w:t>
            </w:r>
          </w:p>
        </w:tc>
        <w:tc>
          <w:tcPr>
            <w:tcW w:w="672" w:type="pct"/>
            <w:tcBorders>
              <w:tl2br w:val="nil"/>
              <w:tr2bl w:val="nil"/>
            </w:tcBorders>
            <w:noWrap/>
            <w:vAlign w:val="center"/>
          </w:tcPr>
          <w:p w14:paraId="4FF5FC10"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　</w:t>
            </w:r>
          </w:p>
        </w:tc>
        <w:tc>
          <w:tcPr>
            <w:tcW w:w="803" w:type="pct"/>
            <w:tcBorders>
              <w:tl2br w:val="nil"/>
              <w:tr2bl w:val="nil"/>
            </w:tcBorders>
            <w:shd w:val="clear" w:color="000000" w:fill="FFFFFF"/>
            <w:noWrap/>
            <w:vAlign w:val="center"/>
          </w:tcPr>
          <w:p w14:paraId="2AD3D3E5"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小蜉</w:t>
            </w:r>
            <w:r>
              <w:rPr>
                <w:rFonts w:ascii="Times New Roman" w:hAnsi="Times New Roman" w:cs="Times New Roman"/>
                <w:i/>
                <w:iCs/>
                <w:color w:val="000000" w:themeColor="text1"/>
                <w:sz w:val="18"/>
                <w:szCs w:val="18"/>
              </w:rPr>
              <w:t>Ephemerella</w:t>
            </w:r>
            <w:r>
              <w:rPr>
                <w:rFonts w:ascii="Times New Roman" w:hAnsi="Times New Roman" w:cs="Times New Roman"/>
                <w:color w:val="000000" w:themeColor="text1"/>
                <w:sz w:val="18"/>
                <w:szCs w:val="18"/>
              </w:rPr>
              <w:t xml:space="preserve"> sp.</w:t>
            </w:r>
          </w:p>
        </w:tc>
        <w:tc>
          <w:tcPr>
            <w:tcW w:w="378" w:type="pct"/>
            <w:tcBorders>
              <w:tl2br w:val="nil"/>
              <w:tr2bl w:val="nil"/>
            </w:tcBorders>
            <w:shd w:val="clear" w:color="000000" w:fill="FFFFFF"/>
            <w:vAlign w:val="center"/>
          </w:tcPr>
          <w:p w14:paraId="1B74C91E"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6A543DF7"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3CDA242B"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17AA4DA1"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7B70E251"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34A72C8C"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r>
      <w:tr w:rsidR="009D12AF" w14:paraId="10706D22" w14:textId="77777777">
        <w:trPr>
          <w:trHeight w:val="397"/>
          <w:jc w:val="center"/>
        </w:trPr>
        <w:tc>
          <w:tcPr>
            <w:tcW w:w="457" w:type="pct"/>
            <w:tcBorders>
              <w:tl2br w:val="nil"/>
              <w:tr2bl w:val="nil"/>
            </w:tcBorders>
            <w:noWrap/>
            <w:vAlign w:val="center"/>
          </w:tcPr>
          <w:p w14:paraId="0F0F5E16"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754" w:type="pct"/>
            <w:tcBorders>
              <w:tl2br w:val="nil"/>
              <w:tr2bl w:val="nil"/>
            </w:tcBorders>
            <w:noWrap/>
            <w:vAlign w:val="center"/>
          </w:tcPr>
          <w:p w14:paraId="5B993367"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　</w:t>
            </w:r>
          </w:p>
        </w:tc>
        <w:tc>
          <w:tcPr>
            <w:tcW w:w="672" w:type="pct"/>
            <w:tcBorders>
              <w:tl2br w:val="nil"/>
              <w:tr2bl w:val="nil"/>
            </w:tcBorders>
            <w:noWrap/>
            <w:vAlign w:val="center"/>
          </w:tcPr>
          <w:p w14:paraId="1F55E637"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　</w:t>
            </w:r>
          </w:p>
        </w:tc>
        <w:tc>
          <w:tcPr>
            <w:tcW w:w="803" w:type="pct"/>
            <w:tcBorders>
              <w:tl2br w:val="nil"/>
              <w:tr2bl w:val="nil"/>
            </w:tcBorders>
            <w:shd w:val="clear" w:color="000000" w:fill="FFFFFF"/>
            <w:noWrap/>
            <w:vAlign w:val="center"/>
          </w:tcPr>
          <w:p w14:paraId="3D6D7FC2"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东方蜉</w:t>
            </w:r>
            <w:r>
              <w:rPr>
                <w:rFonts w:ascii="Times New Roman" w:hAnsi="Times New Roman" w:cs="Times New Roman"/>
                <w:i/>
                <w:iCs/>
                <w:color w:val="000000" w:themeColor="text1"/>
                <w:sz w:val="18"/>
                <w:szCs w:val="18"/>
              </w:rPr>
              <w:t xml:space="preserve">Ephemera orientalis </w:t>
            </w:r>
          </w:p>
        </w:tc>
        <w:tc>
          <w:tcPr>
            <w:tcW w:w="378" w:type="pct"/>
            <w:tcBorders>
              <w:tl2br w:val="nil"/>
              <w:tr2bl w:val="nil"/>
            </w:tcBorders>
            <w:shd w:val="clear" w:color="000000" w:fill="FFFFFF"/>
            <w:vAlign w:val="center"/>
          </w:tcPr>
          <w:p w14:paraId="2CCAFCA9"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024BA84E"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2B8461B3"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10A4CDB3"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78" w:type="pct"/>
            <w:tcBorders>
              <w:tl2br w:val="nil"/>
              <w:tr2bl w:val="nil"/>
            </w:tcBorders>
            <w:shd w:val="clear" w:color="000000" w:fill="FFFFFF"/>
            <w:vAlign w:val="center"/>
          </w:tcPr>
          <w:p w14:paraId="1D7402F4"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78" w:type="pct"/>
            <w:tcBorders>
              <w:tl2br w:val="nil"/>
              <w:tr2bl w:val="nil"/>
            </w:tcBorders>
            <w:shd w:val="clear" w:color="000000" w:fill="FFFFFF"/>
            <w:vAlign w:val="center"/>
          </w:tcPr>
          <w:p w14:paraId="06A20397"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r>
      <w:tr w:rsidR="009D12AF" w14:paraId="7C49526E" w14:textId="77777777">
        <w:trPr>
          <w:trHeight w:val="397"/>
          <w:jc w:val="center"/>
        </w:trPr>
        <w:tc>
          <w:tcPr>
            <w:tcW w:w="457" w:type="pct"/>
            <w:tcBorders>
              <w:tl2br w:val="nil"/>
              <w:tr2bl w:val="nil"/>
            </w:tcBorders>
            <w:noWrap/>
            <w:vAlign w:val="center"/>
          </w:tcPr>
          <w:p w14:paraId="44176A72"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754" w:type="pct"/>
            <w:tcBorders>
              <w:tl2br w:val="nil"/>
              <w:tr2bl w:val="nil"/>
            </w:tcBorders>
            <w:noWrap/>
            <w:vAlign w:val="center"/>
          </w:tcPr>
          <w:p w14:paraId="515B80FD"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毛翅目</w:t>
            </w:r>
            <w:r>
              <w:rPr>
                <w:rFonts w:ascii="Times New Roman" w:hAnsi="Times New Roman" w:cs="Times New Roman"/>
                <w:color w:val="000000" w:themeColor="text1"/>
                <w:sz w:val="18"/>
                <w:szCs w:val="18"/>
              </w:rPr>
              <w:t>Trichoptera</w:t>
            </w:r>
          </w:p>
        </w:tc>
        <w:tc>
          <w:tcPr>
            <w:tcW w:w="672" w:type="pct"/>
            <w:tcBorders>
              <w:tl2br w:val="nil"/>
              <w:tr2bl w:val="nil"/>
            </w:tcBorders>
            <w:noWrap/>
            <w:vAlign w:val="center"/>
          </w:tcPr>
          <w:p w14:paraId="3E704121"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纹石蚕科</w:t>
            </w:r>
            <w:r>
              <w:rPr>
                <w:rFonts w:ascii="Times New Roman" w:hAnsi="Times New Roman" w:cs="Times New Roman"/>
                <w:color w:val="000000" w:themeColor="text1"/>
                <w:sz w:val="18"/>
                <w:szCs w:val="18"/>
              </w:rPr>
              <w:t>Hydopsychidae</w:t>
            </w:r>
          </w:p>
        </w:tc>
        <w:tc>
          <w:tcPr>
            <w:tcW w:w="803" w:type="pct"/>
            <w:tcBorders>
              <w:tl2br w:val="nil"/>
              <w:tr2bl w:val="nil"/>
            </w:tcBorders>
            <w:shd w:val="clear" w:color="000000" w:fill="FFFFFF"/>
            <w:noWrap/>
            <w:vAlign w:val="center"/>
          </w:tcPr>
          <w:p w14:paraId="737F52F2"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纹石蚕</w:t>
            </w:r>
            <w:r>
              <w:rPr>
                <w:rFonts w:ascii="Times New Roman" w:hAnsi="Times New Roman" w:cs="Times New Roman"/>
                <w:i/>
                <w:iCs/>
                <w:color w:val="000000" w:themeColor="text1"/>
                <w:sz w:val="18"/>
                <w:szCs w:val="18"/>
              </w:rPr>
              <w:t>Hydropsyche</w:t>
            </w:r>
            <w:r>
              <w:rPr>
                <w:rFonts w:ascii="Times New Roman" w:hAnsi="Times New Roman" w:cs="Times New Roman"/>
                <w:color w:val="000000" w:themeColor="text1"/>
                <w:sz w:val="18"/>
                <w:szCs w:val="18"/>
              </w:rPr>
              <w:t xml:space="preserve"> sp.</w:t>
            </w:r>
          </w:p>
        </w:tc>
        <w:tc>
          <w:tcPr>
            <w:tcW w:w="378" w:type="pct"/>
            <w:tcBorders>
              <w:tl2br w:val="nil"/>
              <w:tr2bl w:val="nil"/>
            </w:tcBorders>
            <w:shd w:val="clear" w:color="000000" w:fill="FFFFFF"/>
            <w:vAlign w:val="center"/>
          </w:tcPr>
          <w:p w14:paraId="769E0473"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271D9768"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35462C5A"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60203BAE"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78" w:type="pct"/>
            <w:tcBorders>
              <w:tl2br w:val="nil"/>
              <w:tr2bl w:val="nil"/>
            </w:tcBorders>
            <w:shd w:val="clear" w:color="000000" w:fill="FFFFFF"/>
            <w:vAlign w:val="center"/>
          </w:tcPr>
          <w:p w14:paraId="4F9E6AE3"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78" w:type="pct"/>
            <w:tcBorders>
              <w:tl2br w:val="nil"/>
              <w:tr2bl w:val="nil"/>
            </w:tcBorders>
            <w:shd w:val="clear" w:color="000000" w:fill="FFFFFF"/>
            <w:vAlign w:val="center"/>
          </w:tcPr>
          <w:p w14:paraId="0B7756CB"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r>
      <w:tr w:rsidR="009D12AF" w14:paraId="6B85AA38" w14:textId="77777777">
        <w:trPr>
          <w:trHeight w:val="397"/>
          <w:jc w:val="center"/>
        </w:trPr>
        <w:tc>
          <w:tcPr>
            <w:tcW w:w="457" w:type="pct"/>
            <w:tcBorders>
              <w:tl2br w:val="nil"/>
              <w:tr2bl w:val="nil"/>
            </w:tcBorders>
            <w:noWrap/>
            <w:vAlign w:val="center"/>
          </w:tcPr>
          <w:p w14:paraId="23EC3801"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754" w:type="pct"/>
            <w:tcBorders>
              <w:tl2br w:val="nil"/>
              <w:tr2bl w:val="nil"/>
            </w:tcBorders>
            <w:noWrap/>
            <w:vAlign w:val="center"/>
          </w:tcPr>
          <w:p w14:paraId="382D4386"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蜻蜓目</w:t>
            </w:r>
            <w:r>
              <w:rPr>
                <w:rFonts w:ascii="Times New Roman" w:hAnsi="Times New Roman" w:cs="Times New Roman"/>
                <w:color w:val="000000" w:themeColor="text1"/>
                <w:sz w:val="18"/>
                <w:szCs w:val="18"/>
              </w:rPr>
              <w:t>Odonata</w:t>
            </w:r>
          </w:p>
        </w:tc>
        <w:tc>
          <w:tcPr>
            <w:tcW w:w="672" w:type="pct"/>
            <w:tcBorders>
              <w:tl2br w:val="nil"/>
              <w:tr2bl w:val="nil"/>
            </w:tcBorders>
            <w:noWrap/>
            <w:vAlign w:val="center"/>
          </w:tcPr>
          <w:p w14:paraId="3B843842"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春蜓科</w:t>
            </w:r>
            <w:r>
              <w:rPr>
                <w:rFonts w:ascii="Times New Roman" w:hAnsi="Times New Roman" w:cs="Times New Roman"/>
                <w:color w:val="000000" w:themeColor="text1"/>
                <w:sz w:val="18"/>
                <w:szCs w:val="18"/>
              </w:rPr>
              <w:t xml:space="preserve"> Gomphidae</w:t>
            </w:r>
          </w:p>
        </w:tc>
        <w:tc>
          <w:tcPr>
            <w:tcW w:w="803" w:type="pct"/>
            <w:tcBorders>
              <w:tl2br w:val="nil"/>
              <w:tr2bl w:val="nil"/>
            </w:tcBorders>
            <w:shd w:val="clear" w:color="000000" w:fill="FFFFFF"/>
            <w:noWrap/>
            <w:vAlign w:val="center"/>
          </w:tcPr>
          <w:p w14:paraId="5A6F07E1"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戴春蜓</w:t>
            </w:r>
            <w:r>
              <w:rPr>
                <w:rFonts w:ascii="Times New Roman" w:hAnsi="Times New Roman" w:cs="Times New Roman"/>
                <w:i/>
                <w:iCs/>
                <w:color w:val="000000" w:themeColor="text1"/>
                <w:sz w:val="18"/>
                <w:szCs w:val="18"/>
              </w:rPr>
              <w:t>Davidius</w:t>
            </w:r>
            <w:r>
              <w:rPr>
                <w:rFonts w:ascii="Times New Roman" w:hAnsi="Times New Roman" w:cs="Times New Roman"/>
                <w:color w:val="000000" w:themeColor="text1"/>
                <w:sz w:val="18"/>
                <w:szCs w:val="18"/>
              </w:rPr>
              <w:t xml:space="preserve"> sp.</w:t>
            </w:r>
          </w:p>
        </w:tc>
        <w:tc>
          <w:tcPr>
            <w:tcW w:w="378" w:type="pct"/>
            <w:tcBorders>
              <w:tl2br w:val="nil"/>
              <w:tr2bl w:val="nil"/>
            </w:tcBorders>
            <w:shd w:val="clear" w:color="000000" w:fill="FFFFFF"/>
            <w:vAlign w:val="center"/>
          </w:tcPr>
          <w:p w14:paraId="708E1CA6"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16EE0B50"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4534AB0B"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10929A91"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634070C9"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78" w:type="pct"/>
            <w:tcBorders>
              <w:tl2br w:val="nil"/>
              <w:tr2bl w:val="nil"/>
            </w:tcBorders>
            <w:shd w:val="clear" w:color="000000" w:fill="FFFFFF"/>
            <w:vAlign w:val="center"/>
          </w:tcPr>
          <w:p w14:paraId="3A33AD21"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r>
      <w:tr w:rsidR="009D12AF" w14:paraId="17F6F955" w14:textId="77777777">
        <w:trPr>
          <w:trHeight w:val="397"/>
          <w:jc w:val="center"/>
        </w:trPr>
        <w:tc>
          <w:tcPr>
            <w:tcW w:w="457" w:type="pct"/>
            <w:tcBorders>
              <w:tl2br w:val="nil"/>
              <w:tr2bl w:val="nil"/>
            </w:tcBorders>
            <w:noWrap/>
            <w:vAlign w:val="center"/>
          </w:tcPr>
          <w:p w14:paraId="01E02161"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754" w:type="pct"/>
            <w:tcBorders>
              <w:tl2br w:val="nil"/>
              <w:tr2bl w:val="nil"/>
            </w:tcBorders>
            <w:noWrap/>
            <w:vAlign w:val="center"/>
          </w:tcPr>
          <w:p w14:paraId="0E6D439C"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半翅目</w:t>
            </w:r>
            <w:r>
              <w:rPr>
                <w:rFonts w:ascii="Times New Roman" w:hAnsi="Times New Roman" w:cs="Times New Roman"/>
                <w:color w:val="000000" w:themeColor="text1"/>
                <w:sz w:val="18"/>
                <w:szCs w:val="18"/>
              </w:rPr>
              <w:t>Hemiptera</w:t>
            </w:r>
          </w:p>
        </w:tc>
        <w:tc>
          <w:tcPr>
            <w:tcW w:w="672" w:type="pct"/>
            <w:tcBorders>
              <w:tl2br w:val="nil"/>
              <w:tr2bl w:val="nil"/>
            </w:tcBorders>
            <w:noWrap/>
            <w:vAlign w:val="center"/>
          </w:tcPr>
          <w:p w14:paraId="10C76216"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划蝽科</w:t>
            </w:r>
            <w:r>
              <w:rPr>
                <w:rFonts w:ascii="Times New Roman" w:hAnsi="Times New Roman" w:cs="Times New Roman"/>
                <w:color w:val="000000" w:themeColor="text1"/>
                <w:sz w:val="18"/>
                <w:szCs w:val="18"/>
              </w:rPr>
              <w:t>Corixidae</w:t>
            </w:r>
          </w:p>
        </w:tc>
        <w:tc>
          <w:tcPr>
            <w:tcW w:w="803" w:type="pct"/>
            <w:tcBorders>
              <w:tl2br w:val="nil"/>
              <w:tr2bl w:val="nil"/>
            </w:tcBorders>
            <w:shd w:val="clear" w:color="000000" w:fill="FFFFFF"/>
            <w:noWrap/>
            <w:vAlign w:val="center"/>
          </w:tcPr>
          <w:p w14:paraId="4C0AA921"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小划蝽属</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Micronecta</w:t>
            </w:r>
            <w:r>
              <w:rPr>
                <w:rFonts w:ascii="Times New Roman" w:hAnsi="Times New Roman" w:cs="Times New Roman"/>
                <w:color w:val="000000" w:themeColor="text1"/>
                <w:sz w:val="18"/>
                <w:szCs w:val="18"/>
              </w:rPr>
              <w:t xml:space="preserve"> sp.</w:t>
            </w:r>
          </w:p>
        </w:tc>
        <w:tc>
          <w:tcPr>
            <w:tcW w:w="378" w:type="pct"/>
            <w:tcBorders>
              <w:tl2br w:val="nil"/>
              <w:tr2bl w:val="nil"/>
            </w:tcBorders>
            <w:shd w:val="clear" w:color="000000" w:fill="FFFFFF"/>
            <w:vAlign w:val="center"/>
          </w:tcPr>
          <w:p w14:paraId="5007273C"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3D79173E"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697D7552"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0D0AB5CA"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6EECC88B"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0CD66540"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73C0A5B9" w14:textId="77777777">
        <w:trPr>
          <w:trHeight w:val="397"/>
          <w:jc w:val="center"/>
        </w:trPr>
        <w:tc>
          <w:tcPr>
            <w:tcW w:w="457" w:type="pct"/>
            <w:tcBorders>
              <w:tl2br w:val="nil"/>
              <w:tr2bl w:val="nil"/>
            </w:tcBorders>
            <w:vAlign w:val="center"/>
          </w:tcPr>
          <w:p w14:paraId="78C7E461"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软体动物</w:t>
            </w:r>
            <w:r>
              <w:rPr>
                <w:rFonts w:ascii="Times New Roman" w:hAnsi="Times New Roman" w:cs="Times New Roman"/>
                <w:color w:val="000000" w:themeColor="text1"/>
                <w:sz w:val="18"/>
                <w:szCs w:val="18"/>
              </w:rPr>
              <w:t>Mollusca</w:t>
            </w:r>
          </w:p>
        </w:tc>
        <w:tc>
          <w:tcPr>
            <w:tcW w:w="754" w:type="pct"/>
            <w:tcBorders>
              <w:tl2br w:val="nil"/>
              <w:tr2bl w:val="nil"/>
            </w:tcBorders>
            <w:vAlign w:val="center"/>
          </w:tcPr>
          <w:p w14:paraId="2791476A"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中腹足目</w:t>
            </w:r>
            <w:r>
              <w:rPr>
                <w:rFonts w:ascii="Times New Roman" w:hAnsi="Times New Roman" w:cs="Times New Roman"/>
                <w:color w:val="000000" w:themeColor="text1"/>
                <w:sz w:val="18"/>
                <w:szCs w:val="18"/>
              </w:rPr>
              <w:t>Mesogastropoda</w:t>
            </w:r>
          </w:p>
        </w:tc>
        <w:tc>
          <w:tcPr>
            <w:tcW w:w="672" w:type="pct"/>
            <w:tcBorders>
              <w:tl2br w:val="nil"/>
              <w:tr2bl w:val="nil"/>
            </w:tcBorders>
            <w:vAlign w:val="center"/>
          </w:tcPr>
          <w:p w14:paraId="0B6D6FD3"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田螺科</w:t>
            </w:r>
            <w:r>
              <w:rPr>
                <w:rFonts w:ascii="Times New Roman" w:hAnsi="Times New Roman" w:cs="Times New Roman"/>
                <w:color w:val="000000" w:themeColor="text1"/>
                <w:sz w:val="18"/>
                <w:szCs w:val="18"/>
              </w:rPr>
              <w:t xml:space="preserve"> Viviparidae </w:t>
            </w:r>
          </w:p>
        </w:tc>
        <w:tc>
          <w:tcPr>
            <w:tcW w:w="803" w:type="pct"/>
            <w:tcBorders>
              <w:tl2br w:val="nil"/>
              <w:tr2bl w:val="nil"/>
            </w:tcBorders>
            <w:shd w:val="clear" w:color="000000" w:fill="FFFFFF"/>
            <w:noWrap/>
            <w:vAlign w:val="center"/>
          </w:tcPr>
          <w:p w14:paraId="00679B9E"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环棱螺属</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 xml:space="preserve">Bellamya </w:t>
            </w:r>
            <w:r>
              <w:rPr>
                <w:rFonts w:ascii="Times New Roman" w:hAnsi="Times New Roman" w:cs="Times New Roman"/>
                <w:color w:val="000000" w:themeColor="text1"/>
                <w:sz w:val="18"/>
                <w:szCs w:val="18"/>
              </w:rPr>
              <w:t>sp.</w:t>
            </w:r>
          </w:p>
        </w:tc>
        <w:tc>
          <w:tcPr>
            <w:tcW w:w="378" w:type="pct"/>
            <w:tcBorders>
              <w:tl2br w:val="nil"/>
              <w:tr2bl w:val="nil"/>
            </w:tcBorders>
            <w:shd w:val="clear" w:color="000000" w:fill="FFFFFF"/>
            <w:vAlign w:val="center"/>
          </w:tcPr>
          <w:p w14:paraId="21C9A516"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4FCF08AC"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548C81E1"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2D5F74F3"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78" w:type="pct"/>
            <w:tcBorders>
              <w:tl2br w:val="nil"/>
              <w:tr2bl w:val="nil"/>
            </w:tcBorders>
            <w:shd w:val="clear" w:color="000000" w:fill="FFFFFF"/>
            <w:vAlign w:val="center"/>
          </w:tcPr>
          <w:p w14:paraId="42164A72"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78" w:type="pct"/>
            <w:tcBorders>
              <w:tl2br w:val="nil"/>
              <w:tr2bl w:val="nil"/>
            </w:tcBorders>
            <w:shd w:val="clear" w:color="000000" w:fill="FFFFFF"/>
            <w:vAlign w:val="center"/>
          </w:tcPr>
          <w:p w14:paraId="6C32CBC8"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r>
      <w:tr w:rsidR="009D12AF" w14:paraId="03B19839" w14:textId="77777777">
        <w:trPr>
          <w:trHeight w:val="397"/>
          <w:jc w:val="center"/>
        </w:trPr>
        <w:tc>
          <w:tcPr>
            <w:tcW w:w="457" w:type="pct"/>
            <w:tcBorders>
              <w:tl2br w:val="nil"/>
              <w:tr2bl w:val="nil"/>
            </w:tcBorders>
            <w:vAlign w:val="center"/>
          </w:tcPr>
          <w:p w14:paraId="40A2A3F7"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　</w:t>
            </w:r>
          </w:p>
        </w:tc>
        <w:tc>
          <w:tcPr>
            <w:tcW w:w="754" w:type="pct"/>
            <w:tcBorders>
              <w:tl2br w:val="nil"/>
              <w:tr2bl w:val="nil"/>
            </w:tcBorders>
            <w:vAlign w:val="center"/>
          </w:tcPr>
          <w:p w14:paraId="3A791B04"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基眼目</w:t>
            </w:r>
            <w:r>
              <w:rPr>
                <w:rFonts w:ascii="Times New Roman" w:hAnsi="Times New Roman" w:cs="Times New Roman"/>
                <w:color w:val="000000" w:themeColor="text1"/>
                <w:sz w:val="18"/>
                <w:szCs w:val="18"/>
              </w:rPr>
              <w:t>Basommatophora</w:t>
            </w:r>
          </w:p>
        </w:tc>
        <w:tc>
          <w:tcPr>
            <w:tcW w:w="672" w:type="pct"/>
            <w:tcBorders>
              <w:tl2br w:val="nil"/>
              <w:tr2bl w:val="nil"/>
            </w:tcBorders>
            <w:vAlign w:val="center"/>
          </w:tcPr>
          <w:p w14:paraId="530E2B97"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扁蜷螺科</w:t>
            </w:r>
            <w:r>
              <w:rPr>
                <w:rFonts w:ascii="Times New Roman" w:hAnsi="Times New Roman" w:cs="Times New Roman"/>
                <w:color w:val="000000" w:themeColor="text1"/>
                <w:sz w:val="18"/>
                <w:szCs w:val="18"/>
              </w:rPr>
              <w:t xml:space="preserve"> Pianorbidae</w:t>
            </w:r>
          </w:p>
        </w:tc>
        <w:tc>
          <w:tcPr>
            <w:tcW w:w="803" w:type="pct"/>
            <w:tcBorders>
              <w:tl2br w:val="nil"/>
              <w:tr2bl w:val="nil"/>
            </w:tcBorders>
            <w:shd w:val="clear" w:color="000000" w:fill="FFFFFF"/>
            <w:noWrap/>
            <w:vAlign w:val="center"/>
          </w:tcPr>
          <w:p w14:paraId="61AB101A"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旋螺属</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Gyraulus</w:t>
            </w:r>
            <w:r>
              <w:rPr>
                <w:rFonts w:ascii="Times New Roman" w:hAnsi="Times New Roman" w:cs="Times New Roman"/>
                <w:color w:val="000000" w:themeColor="text1"/>
                <w:sz w:val="18"/>
                <w:szCs w:val="18"/>
              </w:rPr>
              <w:t xml:space="preserve"> sp.</w:t>
            </w:r>
          </w:p>
        </w:tc>
        <w:tc>
          <w:tcPr>
            <w:tcW w:w="378" w:type="pct"/>
            <w:tcBorders>
              <w:tl2br w:val="nil"/>
              <w:tr2bl w:val="nil"/>
            </w:tcBorders>
            <w:shd w:val="clear" w:color="000000" w:fill="FFFFFF"/>
            <w:vAlign w:val="center"/>
          </w:tcPr>
          <w:p w14:paraId="7A95A3E3"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59BD31A0"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4A25B232"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233217A9"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53C26CA9"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78" w:type="pct"/>
            <w:tcBorders>
              <w:tl2br w:val="nil"/>
              <w:tr2bl w:val="nil"/>
            </w:tcBorders>
            <w:shd w:val="clear" w:color="000000" w:fill="FFFFFF"/>
            <w:vAlign w:val="center"/>
          </w:tcPr>
          <w:p w14:paraId="64CF670F"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r>
      <w:tr w:rsidR="009D12AF" w14:paraId="00A33856" w14:textId="77777777">
        <w:trPr>
          <w:trHeight w:val="397"/>
          <w:jc w:val="center"/>
        </w:trPr>
        <w:tc>
          <w:tcPr>
            <w:tcW w:w="457" w:type="pct"/>
            <w:tcBorders>
              <w:tl2br w:val="nil"/>
              <w:tr2bl w:val="nil"/>
            </w:tcBorders>
            <w:vAlign w:val="center"/>
          </w:tcPr>
          <w:p w14:paraId="4F297A27"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754" w:type="pct"/>
            <w:tcBorders>
              <w:tl2br w:val="nil"/>
              <w:tr2bl w:val="nil"/>
            </w:tcBorders>
            <w:vAlign w:val="center"/>
          </w:tcPr>
          <w:p w14:paraId="054013E5"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672" w:type="pct"/>
            <w:tcBorders>
              <w:tl2br w:val="nil"/>
              <w:tr2bl w:val="nil"/>
            </w:tcBorders>
            <w:vAlign w:val="center"/>
          </w:tcPr>
          <w:p w14:paraId="0647F6FC"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觿螺科</w:t>
            </w:r>
            <w:r>
              <w:rPr>
                <w:rFonts w:ascii="Times New Roman" w:hAnsi="Times New Roman" w:cs="Times New Roman"/>
                <w:color w:val="000000" w:themeColor="text1"/>
                <w:sz w:val="18"/>
                <w:szCs w:val="18"/>
              </w:rPr>
              <w:t>Hydrobiidae</w:t>
            </w:r>
          </w:p>
        </w:tc>
        <w:tc>
          <w:tcPr>
            <w:tcW w:w="803" w:type="pct"/>
            <w:tcBorders>
              <w:tl2br w:val="nil"/>
              <w:tr2bl w:val="nil"/>
            </w:tcBorders>
            <w:shd w:val="clear" w:color="000000" w:fill="FFFFFF"/>
            <w:noWrap/>
            <w:vAlign w:val="center"/>
          </w:tcPr>
          <w:p w14:paraId="11DADD45"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纹沼螺</w:t>
            </w:r>
            <w:r>
              <w:rPr>
                <w:rFonts w:ascii="Times New Roman" w:hAnsi="Times New Roman" w:cs="Times New Roman"/>
                <w:i/>
                <w:iCs/>
                <w:color w:val="000000" w:themeColor="text1"/>
                <w:sz w:val="18"/>
                <w:szCs w:val="18"/>
              </w:rPr>
              <w:t>Parafossarulus striatulus</w:t>
            </w:r>
          </w:p>
        </w:tc>
        <w:tc>
          <w:tcPr>
            <w:tcW w:w="378" w:type="pct"/>
            <w:tcBorders>
              <w:tl2br w:val="nil"/>
              <w:tr2bl w:val="nil"/>
            </w:tcBorders>
            <w:shd w:val="clear" w:color="000000" w:fill="FFFFFF"/>
            <w:vAlign w:val="center"/>
          </w:tcPr>
          <w:p w14:paraId="14674AA1"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59A6BC8E"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6C9C8B05"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4C8E2D2F"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05685359"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78" w:type="pct"/>
            <w:tcBorders>
              <w:tl2br w:val="nil"/>
              <w:tr2bl w:val="nil"/>
            </w:tcBorders>
            <w:shd w:val="clear" w:color="000000" w:fill="FFFFFF"/>
            <w:vAlign w:val="center"/>
          </w:tcPr>
          <w:p w14:paraId="0E5226B2"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r>
      <w:tr w:rsidR="009D12AF" w14:paraId="1C9647C0" w14:textId="77777777">
        <w:trPr>
          <w:trHeight w:val="397"/>
          <w:jc w:val="center"/>
        </w:trPr>
        <w:tc>
          <w:tcPr>
            <w:tcW w:w="457" w:type="pct"/>
            <w:tcBorders>
              <w:tl2br w:val="nil"/>
              <w:tr2bl w:val="nil"/>
            </w:tcBorders>
            <w:vAlign w:val="center"/>
          </w:tcPr>
          <w:p w14:paraId="10B4DB2A"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　</w:t>
            </w:r>
          </w:p>
        </w:tc>
        <w:tc>
          <w:tcPr>
            <w:tcW w:w="754" w:type="pct"/>
            <w:tcBorders>
              <w:tl2br w:val="nil"/>
              <w:tr2bl w:val="nil"/>
            </w:tcBorders>
            <w:vAlign w:val="center"/>
          </w:tcPr>
          <w:p w14:paraId="05489C46"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　</w:t>
            </w:r>
          </w:p>
        </w:tc>
        <w:tc>
          <w:tcPr>
            <w:tcW w:w="672" w:type="pct"/>
            <w:tcBorders>
              <w:tl2br w:val="nil"/>
              <w:tr2bl w:val="nil"/>
            </w:tcBorders>
            <w:vAlign w:val="center"/>
          </w:tcPr>
          <w:p w14:paraId="4D9FE961"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椎实螺科</w:t>
            </w:r>
            <w:r>
              <w:rPr>
                <w:rFonts w:ascii="Times New Roman" w:hAnsi="Times New Roman" w:cs="Times New Roman"/>
                <w:color w:val="000000" w:themeColor="text1"/>
                <w:sz w:val="18"/>
                <w:szCs w:val="18"/>
              </w:rPr>
              <w:t xml:space="preserve"> Lymnaeidae</w:t>
            </w:r>
          </w:p>
        </w:tc>
        <w:tc>
          <w:tcPr>
            <w:tcW w:w="803" w:type="pct"/>
            <w:tcBorders>
              <w:tl2br w:val="nil"/>
              <w:tr2bl w:val="nil"/>
            </w:tcBorders>
            <w:shd w:val="clear" w:color="000000" w:fill="FFFFFF"/>
            <w:noWrap/>
            <w:vAlign w:val="center"/>
          </w:tcPr>
          <w:p w14:paraId="0AC91C6D"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卵萝卜螺</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 xml:space="preserve"> Radix ovata </w:t>
            </w:r>
          </w:p>
        </w:tc>
        <w:tc>
          <w:tcPr>
            <w:tcW w:w="378" w:type="pct"/>
            <w:tcBorders>
              <w:tl2br w:val="nil"/>
              <w:tr2bl w:val="nil"/>
            </w:tcBorders>
            <w:shd w:val="clear" w:color="000000" w:fill="FFFFFF"/>
            <w:vAlign w:val="center"/>
          </w:tcPr>
          <w:p w14:paraId="605425DC"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173D65D5"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297847FD"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066E83D0"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58C3804D"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78" w:type="pct"/>
            <w:tcBorders>
              <w:tl2br w:val="nil"/>
              <w:tr2bl w:val="nil"/>
            </w:tcBorders>
            <w:shd w:val="clear" w:color="000000" w:fill="FFFFFF"/>
            <w:vAlign w:val="center"/>
          </w:tcPr>
          <w:p w14:paraId="5F1DFD96"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r>
      <w:tr w:rsidR="009D12AF" w14:paraId="1E6143A9" w14:textId="77777777">
        <w:trPr>
          <w:trHeight w:val="397"/>
          <w:jc w:val="center"/>
        </w:trPr>
        <w:tc>
          <w:tcPr>
            <w:tcW w:w="457" w:type="pct"/>
            <w:tcBorders>
              <w:tl2br w:val="nil"/>
              <w:tr2bl w:val="nil"/>
            </w:tcBorders>
            <w:vAlign w:val="center"/>
          </w:tcPr>
          <w:p w14:paraId="4C4B4593"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754" w:type="pct"/>
            <w:tcBorders>
              <w:tl2br w:val="nil"/>
              <w:tr2bl w:val="nil"/>
            </w:tcBorders>
            <w:vAlign w:val="center"/>
          </w:tcPr>
          <w:p w14:paraId="7EB8F469"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帘蛤目</w:t>
            </w:r>
            <w:r>
              <w:rPr>
                <w:rFonts w:ascii="Times New Roman" w:hAnsi="Times New Roman" w:cs="Times New Roman"/>
                <w:color w:val="000000" w:themeColor="text1"/>
                <w:sz w:val="18"/>
                <w:szCs w:val="18"/>
              </w:rPr>
              <w:t>Veneroida</w:t>
            </w:r>
          </w:p>
        </w:tc>
        <w:tc>
          <w:tcPr>
            <w:tcW w:w="672" w:type="pct"/>
            <w:tcBorders>
              <w:tl2br w:val="nil"/>
              <w:tr2bl w:val="nil"/>
            </w:tcBorders>
            <w:vAlign w:val="center"/>
          </w:tcPr>
          <w:p w14:paraId="18856273"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蚬科</w:t>
            </w:r>
            <w:r>
              <w:rPr>
                <w:rFonts w:ascii="Times New Roman" w:hAnsi="Times New Roman" w:cs="Times New Roman"/>
                <w:color w:val="000000" w:themeColor="text1"/>
                <w:sz w:val="18"/>
                <w:szCs w:val="18"/>
              </w:rPr>
              <w:t>Corbiculidae</w:t>
            </w:r>
          </w:p>
        </w:tc>
        <w:tc>
          <w:tcPr>
            <w:tcW w:w="803" w:type="pct"/>
            <w:tcBorders>
              <w:tl2br w:val="nil"/>
              <w:tr2bl w:val="nil"/>
            </w:tcBorders>
            <w:shd w:val="clear" w:color="000000" w:fill="FFFFFF"/>
            <w:noWrap/>
            <w:vAlign w:val="center"/>
          </w:tcPr>
          <w:p w14:paraId="501E8475"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闪蚬</w:t>
            </w:r>
            <w:r>
              <w:rPr>
                <w:rFonts w:ascii="Times New Roman" w:hAnsi="Times New Roman" w:cs="Times New Roman"/>
                <w:i/>
                <w:iCs/>
                <w:color w:val="000000" w:themeColor="text1"/>
                <w:sz w:val="18"/>
                <w:szCs w:val="18"/>
              </w:rPr>
              <w:t>Corbicula nitens</w:t>
            </w:r>
          </w:p>
        </w:tc>
        <w:tc>
          <w:tcPr>
            <w:tcW w:w="378" w:type="pct"/>
            <w:tcBorders>
              <w:tl2br w:val="nil"/>
              <w:tr2bl w:val="nil"/>
            </w:tcBorders>
            <w:shd w:val="clear" w:color="000000" w:fill="FFFFFF"/>
            <w:vAlign w:val="center"/>
          </w:tcPr>
          <w:p w14:paraId="3DCC5C90"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6407D4E8"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1B7FA4E5"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0AE5AC27"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78" w:type="pct"/>
            <w:tcBorders>
              <w:tl2br w:val="nil"/>
              <w:tr2bl w:val="nil"/>
            </w:tcBorders>
            <w:shd w:val="clear" w:color="000000" w:fill="FFFFFF"/>
            <w:vAlign w:val="center"/>
          </w:tcPr>
          <w:p w14:paraId="280A082C"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78" w:type="pct"/>
            <w:tcBorders>
              <w:tl2br w:val="nil"/>
              <w:tr2bl w:val="nil"/>
            </w:tcBorders>
            <w:shd w:val="clear" w:color="000000" w:fill="FFFFFF"/>
            <w:vAlign w:val="center"/>
          </w:tcPr>
          <w:p w14:paraId="23E835B6"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39A1C2DC" w14:textId="77777777">
        <w:trPr>
          <w:trHeight w:val="397"/>
          <w:jc w:val="center"/>
        </w:trPr>
        <w:tc>
          <w:tcPr>
            <w:tcW w:w="457" w:type="pct"/>
            <w:tcBorders>
              <w:tl2br w:val="nil"/>
              <w:tr2bl w:val="nil"/>
            </w:tcBorders>
            <w:vAlign w:val="center"/>
          </w:tcPr>
          <w:p w14:paraId="146D7B3F"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　</w:t>
            </w:r>
          </w:p>
        </w:tc>
        <w:tc>
          <w:tcPr>
            <w:tcW w:w="754" w:type="pct"/>
            <w:tcBorders>
              <w:tl2br w:val="nil"/>
              <w:tr2bl w:val="nil"/>
            </w:tcBorders>
            <w:vAlign w:val="center"/>
          </w:tcPr>
          <w:p w14:paraId="471DD2FD"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蚌目</w:t>
            </w:r>
            <w:r>
              <w:rPr>
                <w:rFonts w:ascii="Times New Roman" w:hAnsi="Times New Roman" w:cs="Times New Roman"/>
                <w:color w:val="000000" w:themeColor="text1"/>
                <w:sz w:val="18"/>
                <w:szCs w:val="18"/>
              </w:rPr>
              <w:t>Unionoida</w:t>
            </w:r>
          </w:p>
        </w:tc>
        <w:tc>
          <w:tcPr>
            <w:tcW w:w="672" w:type="pct"/>
            <w:tcBorders>
              <w:tl2br w:val="nil"/>
              <w:tr2bl w:val="nil"/>
            </w:tcBorders>
            <w:vAlign w:val="center"/>
          </w:tcPr>
          <w:p w14:paraId="5E34091A"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蚌科</w:t>
            </w:r>
            <w:r>
              <w:rPr>
                <w:rFonts w:ascii="Times New Roman" w:hAnsi="Times New Roman" w:cs="Times New Roman"/>
                <w:color w:val="000000" w:themeColor="text1"/>
                <w:sz w:val="18"/>
                <w:szCs w:val="18"/>
              </w:rPr>
              <w:t>Unionidae</w:t>
            </w:r>
          </w:p>
        </w:tc>
        <w:tc>
          <w:tcPr>
            <w:tcW w:w="803" w:type="pct"/>
            <w:tcBorders>
              <w:tl2br w:val="nil"/>
              <w:tr2bl w:val="nil"/>
            </w:tcBorders>
            <w:shd w:val="clear" w:color="000000" w:fill="FFFFFF"/>
            <w:noWrap/>
            <w:vAlign w:val="center"/>
          </w:tcPr>
          <w:p w14:paraId="0D4E1872"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圆顶珠蚌</w:t>
            </w:r>
            <w:r>
              <w:rPr>
                <w:rFonts w:ascii="Times New Roman" w:hAnsi="Times New Roman" w:cs="Times New Roman"/>
                <w:color w:val="000000" w:themeColor="text1"/>
                <w:sz w:val="18"/>
                <w:szCs w:val="18"/>
              </w:rPr>
              <w:t xml:space="preserve"> </w:t>
            </w:r>
            <w:r>
              <w:rPr>
                <w:rFonts w:ascii="Times New Roman" w:hAnsi="Times New Roman" w:cs="Times New Roman"/>
                <w:i/>
                <w:iCs/>
                <w:color w:val="000000" w:themeColor="text1"/>
                <w:sz w:val="18"/>
                <w:szCs w:val="18"/>
              </w:rPr>
              <w:t>Unio dougladiae</w:t>
            </w:r>
          </w:p>
        </w:tc>
        <w:tc>
          <w:tcPr>
            <w:tcW w:w="378" w:type="pct"/>
            <w:tcBorders>
              <w:tl2br w:val="nil"/>
              <w:tr2bl w:val="nil"/>
            </w:tcBorders>
            <w:shd w:val="clear" w:color="000000" w:fill="FFFFFF"/>
            <w:vAlign w:val="center"/>
          </w:tcPr>
          <w:p w14:paraId="080C7368"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60B413C7"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77679F91"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5D617B8E"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78" w:type="pct"/>
            <w:tcBorders>
              <w:tl2br w:val="nil"/>
              <w:tr2bl w:val="nil"/>
            </w:tcBorders>
            <w:shd w:val="clear" w:color="000000" w:fill="FFFFFF"/>
            <w:vAlign w:val="center"/>
          </w:tcPr>
          <w:p w14:paraId="7FCDD66A"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16A7ACED"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27BA4D52" w14:textId="77777777">
        <w:trPr>
          <w:trHeight w:val="397"/>
          <w:jc w:val="center"/>
        </w:trPr>
        <w:tc>
          <w:tcPr>
            <w:tcW w:w="457" w:type="pct"/>
            <w:tcBorders>
              <w:tl2br w:val="nil"/>
              <w:tr2bl w:val="nil"/>
            </w:tcBorders>
            <w:vAlign w:val="center"/>
          </w:tcPr>
          <w:p w14:paraId="0DBD45B2"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754" w:type="pct"/>
            <w:tcBorders>
              <w:tl2br w:val="nil"/>
              <w:tr2bl w:val="nil"/>
            </w:tcBorders>
            <w:vAlign w:val="center"/>
          </w:tcPr>
          <w:p w14:paraId="312773FD"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帘蛤目</w:t>
            </w:r>
            <w:r>
              <w:rPr>
                <w:rFonts w:ascii="Times New Roman" w:hAnsi="Times New Roman" w:cs="Times New Roman"/>
                <w:color w:val="000000" w:themeColor="text1"/>
                <w:sz w:val="18"/>
                <w:szCs w:val="18"/>
              </w:rPr>
              <w:t>Veneroida</w:t>
            </w:r>
          </w:p>
        </w:tc>
        <w:tc>
          <w:tcPr>
            <w:tcW w:w="672" w:type="pct"/>
            <w:tcBorders>
              <w:tl2br w:val="nil"/>
              <w:tr2bl w:val="nil"/>
            </w:tcBorders>
            <w:vAlign w:val="center"/>
          </w:tcPr>
          <w:p w14:paraId="51997ED6"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蚬科</w:t>
            </w:r>
            <w:r>
              <w:rPr>
                <w:rFonts w:ascii="Times New Roman" w:hAnsi="Times New Roman" w:cs="Times New Roman"/>
                <w:color w:val="000000" w:themeColor="text1"/>
                <w:sz w:val="18"/>
                <w:szCs w:val="18"/>
              </w:rPr>
              <w:t xml:space="preserve"> Corbiculidae</w:t>
            </w:r>
          </w:p>
        </w:tc>
        <w:tc>
          <w:tcPr>
            <w:tcW w:w="803" w:type="pct"/>
            <w:tcBorders>
              <w:tl2br w:val="nil"/>
              <w:tr2bl w:val="nil"/>
            </w:tcBorders>
            <w:shd w:val="clear" w:color="000000" w:fill="FFFFFF"/>
            <w:noWrap/>
            <w:vAlign w:val="center"/>
          </w:tcPr>
          <w:p w14:paraId="08A3ADFD"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湖球蚬</w:t>
            </w:r>
            <w:r>
              <w:rPr>
                <w:rFonts w:ascii="Times New Roman" w:hAnsi="Times New Roman" w:cs="Times New Roman"/>
                <w:i/>
                <w:iCs/>
                <w:color w:val="000000" w:themeColor="text1"/>
                <w:sz w:val="18"/>
                <w:szCs w:val="18"/>
              </w:rPr>
              <w:t xml:space="preserve"> Sphaerium lacustre</w:t>
            </w:r>
          </w:p>
        </w:tc>
        <w:tc>
          <w:tcPr>
            <w:tcW w:w="378" w:type="pct"/>
            <w:tcBorders>
              <w:tl2br w:val="nil"/>
              <w:tr2bl w:val="nil"/>
            </w:tcBorders>
            <w:shd w:val="clear" w:color="000000" w:fill="FFFFFF"/>
            <w:vAlign w:val="center"/>
          </w:tcPr>
          <w:p w14:paraId="0A567903"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326D211D"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1F9C11C8"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4162DAA1"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086A3C71"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78" w:type="pct"/>
            <w:tcBorders>
              <w:tl2br w:val="nil"/>
              <w:tr2bl w:val="nil"/>
            </w:tcBorders>
            <w:shd w:val="clear" w:color="000000" w:fill="FFFFFF"/>
            <w:vAlign w:val="center"/>
          </w:tcPr>
          <w:p w14:paraId="6E9D6861"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r>
      <w:tr w:rsidR="009D12AF" w14:paraId="2C9661F9" w14:textId="77777777">
        <w:trPr>
          <w:trHeight w:val="397"/>
          <w:jc w:val="center"/>
        </w:trPr>
        <w:tc>
          <w:tcPr>
            <w:tcW w:w="457" w:type="pct"/>
            <w:tcBorders>
              <w:tl2br w:val="nil"/>
              <w:tr2bl w:val="nil"/>
            </w:tcBorders>
            <w:vAlign w:val="center"/>
          </w:tcPr>
          <w:p w14:paraId="313514D6"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环节动物</w:t>
            </w:r>
            <w:r>
              <w:rPr>
                <w:rFonts w:ascii="Times New Roman" w:hAnsi="Times New Roman" w:cs="Times New Roman"/>
                <w:color w:val="000000" w:themeColor="text1"/>
                <w:sz w:val="18"/>
                <w:szCs w:val="18"/>
              </w:rPr>
              <w:t>Annelida</w:t>
            </w:r>
          </w:p>
        </w:tc>
        <w:tc>
          <w:tcPr>
            <w:tcW w:w="754" w:type="pct"/>
            <w:tcBorders>
              <w:tl2br w:val="nil"/>
              <w:tr2bl w:val="nil"/>
            </w:tcBorders>
            <w:vAlign w:val="center"/>
          </w:tcPr>
          <w:p w14:paraId="5C6D2B9C"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近孔寡毛目</w:t>
            </w:r>
            <w:r>
              <w:rPr>
                <w:rFonts w:ascii="Times New Roman" w:hAnsi="Times New Roman" w:cs="Times New Roman"/>
                <w:color w:val="000000" w:themeColor="text1"/>
                <w:sz w:val="18"/>
                <w:szCs w:val="18"/>
              </w:rPr>
              <w:t>Oligochaeta plesiopora</w:t>
            </w:r>
          </w:p>
        </w:tc>
        <w:tc>
          <w:tcPr>
            <w:tcW w:w="672" w:type="pct"/>
            <w:tcBorders>
              <w:tl2br w:val="nil"/>
              <w:tr2bl w:val="nil"/>
            </w:tcBorders>
            <w:vAlign w:val="center"/>
          </w:tcPr>
          <w:p w14:paraId="632EDFA7"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颤蚓科</w:t>
            </w:r>
            <w:r>
              <w:rPr>
                <w:rFonts w:ascii="Times New Roman" w:hAnsi="Times New Roman" w:cs="Times New Roman"/>
                <w:color w:val="000000" w:themeColor="text1"/>
                <w:sz w:val="18"/>
                <w:szCs w:val="18"/>
              </w:rPr>
              <w:t xml:space="preserve"> Tubificidae </w:t>
            </w:r>
          </w:p>
        </w:tc>
        <w:tc>
          <w:tcPr>
            <w:tcW w:w="803" w:type="pct"/>
            <w:tcBorders>
              <w:tl2br w:val="nil"/>
              <w:tr2bl w:val="nil"/>
            </w:tcBorders>
            <w:shd w:val="clear" w:color="000000" w:fill="FFFFFF"/>
            <w:noWrap/>
            <w:vAlign w:val="center"/>
          </w:tcPr>
          <w:p w14:paraId="1846FDA9"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颤引属</w:t>
            </w:r>
            <w:r>
              <w:rPr>
                <w:rFonts w:ascii="Times New Roman" w:hAnsi="Times New Roman" w:cs="Times New Roman"/>
                <w:i/>
                <w:iCs/>
                <w:color w:val="000000" w:themeColor="text1"/>
                <w:sz w:val="18"/>
                <w:szCs w:val="18"/>
              </w:rPr>
              <w:t xml:space="preserve">Tubifex </w:t>
            </w:r>
            <w:r>
              <w:rPr>
                <w:rFonts w:ascii="Times New Roman" w:hAnsi="Times New Roman" w:cs="Times New Roman"/>
                <w:color w:val="000000" w:themeColor="text1"/>
                <w:sz w:val="18"/>
                <w:szCs w:val="18"/>
              </w:rPr>
              <w:t xml:space="preserve">sp. </w:t>
            </w:r>
          </w:p>
        </w:tc>
        <w:tc>
          <w:tcPr>
            <w:tcW w:w="378" w:type="pct"/>
            <w:tcBorders>
              <w:tl2br w:val="nil"/>
              <w:tr2bl w:val="nil"/>
            </w:tcBorders>
            <w:shd w:val="clear" w:color="000000" w:fill="FFFFFF"/>
            <w:vAlign w:val="center"/>
          </w:tcPr>
          <w:p w14:paraId="767DF6C3" w14:textId="77777777" w:rsidR="009D12AF" w:rsidRDefault="009D12AF">
            <w:pPr>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597083C9"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4C7C940E"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6248B55A"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1A62167D"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40057641" w14:textId="77777777" w:rsidR="009D12AF" w:rsidRDefault="009D12AF">
            <w:pPr>
              <w:ind w:firstLineChars="0" w:firstLine="0"/>
              <w:rPr>
                <w:rFonts w:ascii="Times New Roman" w:hAnsi="Times New Roman" w:cs="Times New Roman"/>
                <w:color w:val="000000" w:themeColor="text1"/>
                <w:sz w:val="18"/>
                <w:szCs w:val="18"/>
              </w:rPr>
            </w:pPr>
          </w:p>
        </w:tc>
      </w:tr>
      <w:tr w:rsidR="009D12AF" w14:paraId="49AD0AEC" w14:textId="77777777">
        <w:trPr>
          <w:trHeight w:val="397"/>
          <w:jc w:val="center"/>
        </w:trPr>
        <w:tc>
          <w:tcPr>
            <w:tcW w:w="457" w:type="pct"/>
            <w:tcBorders>
              <w:tl2br w:val="nil"/>
              <w:tr2bl w:val="nil"/>
            </w:tcBorders>
            <w:noWrap/>
            <w:vAlign w:val="center"/>
          </w:tcPr>
          <w:p w14:paraId="20395671"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754" w:type="pct"/>
            <w:tcBorders>
              <w:tl2br w:val="nil"/>
              <w:tr2bl w:val="nil"/>
            </w:tcBorders>
            <w:noWrap/>
            <w:vAlign w:val="center"/>
          </w:tcPr>
          <w:p w14:paraId="52B5DD61"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672" w:type="pct"/>
            <w:tcBorders>
              <w:tl2br w:val="nil"/>
              <w:tr2bl w:val="nil"/>
            </w:tcBorders>
            <w:noWrap/>
            <w:vAlign w:val="center"/>
          </w:tcPr>
          <w:p w14:paraId="25FAB226"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803" w:type="pct"/>
            <w:tcBorders>
              <w:tl2br w:val="nil"/>
              <w:tr2bl w:val="nil"/>
            </w:tcBorders>
            <w:shd w:val="clear" w:color="000000" w:fill="FFFFFF"/>
            <w:noWrap/>
            <w:vAlign w:val="center"/>
          </w:tcPr>
          <w:p w14:paraId="1D912277"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水丝蚓属</w:t>
            </w:r>
            <w:r>
              <w:rPr>
                <w:rFonts w:ascii="Times New Roman" w:hAnsi="Times New Roman" w:cs="Times New Roman"/>
                <w:i/>
                <w:iCs/>
                <w:color w:val="000000" w:themeColor="text1"/>
                <w:sz w:val="18"/>
                <w:szCs w:val="18"/>
              </w:rPr>
              <w:t xml:space="preserve">Limnodrilus </w:t>
            </w:r>
            <w:r>
              <w:rPr>
                <w:rFonts w:ascii="Times New Roman" w:hAnsi="Times New Roman" w:cs="Times New Roman"/>
                <w:color w:val="000000" w:themeColor="text1"/>
                <w:sz w:val="18"/>
                <w:szCs w:val="18"/>
              </w:rPr>
              <w:t>sp.</w:t>
            </w:r>
          </w:p>
        </w:tc>
        <w:tc>
          <w:tcPr>
            <w:tcW w:w="378" w:type="pct"/>
            <w:tcBorders>
              <w:tl2br w:val="nil"/>
              <w:tr2bl w:val="nil"/>
            </w:tcBorders>
            <w:shd w:val="clear" w:color="000000" w:fill="FFFFFF"/>
            <w:vAlign w:val="center"/>
          </w:tcPr>
          <w:p w14:paraId="63E3EDB8"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3A23986A"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029AFBEB"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0EBF1EF2"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5512E2B6"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509044D2"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5DB1F33D" w14:textId="77777777">
        <w:trPr>
          <w:trHeight w:val="397"/>
          <w:jc w:val="center"/>
        </w:trPr>
        <w:tc>
          <w:tcPr>
            <w:tcW w:w="457" w:type="pct"/>
            <w:tcBorders>
              <w:tl2br w:val="nil"/>
              <w:tr2bl w:val="nil"/>
            </w:tcBorders>
            <w:noWrap/>
            <w:vAlign w:val="center"/>
          </w:tcPr>
          <w:p w14:paraId="0E88E963"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754" w:type="pct"/>
            <w:tcBorders>
              <w:tl2br w:val="nil"/>
              <w:tr2bl w:val="nil"/>
            </w:tcBorders>
            <w:noWrap/>
            <w:vAlign w:val="center"/>
          </w:tcPr>
          <w:p w14:paraId="356E32CA"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672" w:type="pct"/>
            <w:tcBorders>
              <w:tl2br w:val="nil"/>
              <w:tr2bl w:val="nil"/>
            </w:tcBorders>
            <w:noWrap/>
            <w:vAlign w:val="center"/>
          </w:tcPr>
          <w:p w14:paraId="5F9F2F38"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803" w:type="pct"/>
            <w:tcBorders>
              <w:tl2br w:val="nil"/>
              <w:tr2bl w:val="nil"/>
            </w:tcBorders>
            <w:shd w:val="clear" w:color="000000" w:fill="FFFFFF"/>
            <w:noWrap/>
            <w:vAlign w:val="center"/>
          </w:tcPr>
          <w:p w14:paraId="78E36E40"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瑞士水丝蚓</w:t>
            </w:r>
            <w:r>
              <w:rPr>
                <w:rFonts w:ascii="Times New Roman" w:hAnsi="Times New Roman" w:cs="Times New Roman"/>
                <w:i/>
                <w:iCs/>
                <w:color w:val="000000" w:themeColor="text1"/>
                <w:sz w:val="18"/>
                <w:szCs w:val="18"/>
              </w:rPr>
              <w:t xml:space="preserve">Limnodrilus helveticus </w:t>
            </w:r>
          </w:p>
        </w:tc>
        <w:tc>
          <w:tcPr>
            <w:tcW w:w="378" w:type="pct"/>
            <w:tcBorders>
              <w:tl2br w:val="nil"/>
              <w:tr2bl w:val="nil"/>
            </w:tcBorders>
            <w:shd w:val="clear" w:color="000000" w:fill="FFFFFF"/>
            <w:vAlign w:val="center"/>
          </w:tcPr>
          <w:p w14:paraId="48099791" w14:textId="77777777" w:rsidR="009D12AF" w:rsidRDefault="009D12AF">
            <w:pPr>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33087B81" w14:textId="77777777" w:rsidR="009D12AF" w:rsidRDefault="009D12AF">
            <w:pPr>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6776D7EE"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5546BE05" w14:textId="77777777" w:rsidR="009D12AF" w:rsidRDefault="009D12AF">
            <w:pPr>
              <w:ind w:firstLineChars="0" w:firstLine="0"/>
              <w:rPr>
                <w:rFonts w:ascii="Times New Roman" w:hAnsi="Times New Roman" w:cs="Times New Roman"/>
                <w:color w:val="000000" w:themeColor="text1"/>
                <w:sz w:val="18"/>
                <w:szCs w:val="18"/>
              </w:rPr>
            </w:pPr>
          </w:p>
        </w:tc>
        <w:tc>
          <w:tcPr>
            <w:tcW w:w="378" w:type="pct"/>
            <w:tcBorders>
              <w:tl2br w:val="nil"/>
              <w:tr2bl w:val="nil"/>
            </w:tcBorders>
            <w:shd w:val="clear" w:color="000000" w:fill="FFFFFF"/>
            <w:vAlign w:val="center"/>
          </w:tcPr>
          <w:p w14:paraId="15F4A9A0" w14:textId="77777777" w:rsidR="009D12AF" w:rsidRDefault="009D12AF">
            <w:pPr>
              <w:ind w:firstLineChars="0" w:firstLine="0"/>
              <w:rPr>
                <w:rFonts w:ascii="Times New Roman" w:hAnsi="Times New Roman" w:cs="Times New Roman"/>
                <w:color w:val="000000" w:themeColor="text1"/>
                <w:sz w:val="18"/>
                <w:szCs w:val="18"/>
              </w:rPr>
            </w:pPr>
          </w:p>
        </w:tc>
        <w:tc>
          <w:tcPr>
            <w:tcW w:w="378" w:type="pct"/>
            <w:tcBorders>
              <w:tl2br w:val="nil"/>
              <w:tr2bl w:val="nil"/>
            </w:tcBorders>
            <w:shd w:val="clear" w:color="000000" w:fill="FFFFFF"/>
            <w:vAlign w:val="center"/>
          </w:tcPr>
          <w:p w14:paraId="661C1080" w14:textId="77777777" w:rsidR="009D12AF" w:rsidRDefault="009D12AF">
            <w:pPr>
              <w:ind w:firstLineChars="0" w:firstLine="0"/>
              <w:rPr>
                <w:rFonts w:ascii="Times New Roman" w:hAnsi="Times New Roman" w:cs="Times New Roman"/>
                <w:color w:val="000000" w:themeColor="text1"/>
                <w:sz w:val="18"/>
                <w:szCs w:val="18"/>
              </w:rPr>
            </w:pPr>
          </w:p>
        </w:tc>
      </w:tr>
      <w:tr w:rsidR="009D12AF" w14:paraId="3BFC92BF" w14:textId="77777777">
        <w:trPr>
          <w:trHeight w:val="397"/>
          <w:jc w:val="center"/>
        </w:trPr>
        <w:tc>
          <w:tcPr>
            <w:tcW w:w="457" w:type="pct"/>
            <w:tcBorders>
              <w:tl2br w:val="nil"/>
              <w:tr2bl w:val="nil"/>
            </w:tcBorders>
            <w:noWrap/>
            <w:vAlign w:val="center"/>
          </w:tcPr>
          <w:p w14:paraId="0ECD44DA"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754" w:type="pct"/>
            <w:tcBorders>
              <w:tl2br w:val="nil"/>
              <w:tr2bl w:val="nil"/>
            </w:tcBorders>
            <w:noWrap/>
            <w:vAlign w:val="center"/>
          </w:tcPr>
          <w:p w14:paraId="73D722ED"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咽蛭目</w:t>
            </w:r>
            <w:r>
              <w:rPr>
                <w:rFonts w:ascii="Times New Roman" w:hAnsi="Times New Roman" w:cs="Times New Roman"/>
                <w:color w:val="000000" w:themeColor="text1"/>
                <w:sz w:val="18"/>
                <w:szCs w:val="18"/>
              </w:rPr>
              <w:t xml:space="preserve"> Pharyngobdellida</w:t>
            </w:r>
          </w:p>
        </w:tc>
        <w:tc>
          <w:tcPr>
            <w:tcW w:w="672" w:type="pct"/>
            <w:tcBorders>
              <w:tl2br w:val="nil"/>
              <w:tr2bl w:val="nil"/>
            </w:tcBorders>
            <w:noWrap/>
            <w:vAlign w:val="center"/>
          </w:tcPr>
          <w:p w14:paraId="1F63E618"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石蛭科</w:t>
            </w:r>
            <w:r>
              <w:rPr>
                <w:rFonts w:ascii="Times New Roman" w:hAnsi="Times New Roman" w:cs="Times New Roman"/>
                <w:color w:val="000000" w:themeColor="text1"/>
                <w:sz w:val="18"/>
                <w:szCs w:val="18"/>
              </w:rPr>
              <w:t>Herpobdellidae</w:t>
            </w:r>
          </w:p>
        </w:tc>
        <w:tc>
          <w:tcPr>
            <w:tcW w:w="803" w:type="pct"/>
            <w:tcBorders>
              <w:tl2br w:val="nil"/>
              <w:tr2bl w:val="nil"/>
            </w:tcBorders>
            <w:shd w:val="clear" w:color="000000" w:fill="FFFFFF"/>
            <w:noWrap/>
            <w:vAlign w:val="center"/>
          </w:tcPr>
          <w:p w14:paraId="567EF445"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石蛭属</w:t>
            </w:r>
            <w:r>
              <w:rPr>
                <w:rFonts w:ascii="Times New Roman" w:hAnsi="Times New Roman" w:cs="Times New Roman"/>
                <w:i/>
                <w:iCs/>
                <w:color w:val="000000" w:themeColor="text1"/>
                <w:sz w:val="18"/>
                <w:szCs w:val="18"/>
              </w:rPr>
              <w:t xml:space="preserve"> Herpobdella </w:t>
            </w:r>
            <w:r>
              <w:rPr>
                <w:rFonts w:ascii="Times New Roman" w:hAnsi="Times New Roman" w:cs="Times New Roman"/>
                <w:color w:val="000000" w:themeColor="text1"/>
                <w:sz w:val="18"/>
                <w:szCs w:val="18"/>
              </w:rPr>
              <w:t>sp.</w:t>
            </w:r>
          </w:p>
        </w:tc>
        <w:tc>
          <w:tcPr>
            <w:tcW w:w="378" w:type="pct"/>
            <w:tcBorders>
              <w:tl2br w:val="nil"/>
              <w:tr2bl w:val="nil"/>
            </w:tcBorders>
            <w:shd w:val="clear" w:color="000000" w:fill="FFFFFF"/>
            <w:vAlign w:val="center"/>
          </w:tcPr>
          <w:p w14:paraId="5F6DD4D4"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138ABA16"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4C119524"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92" w:type="pct"/>
            <w:tcBorders>
              <w:tl2br w:val="nil"/>
              <w:tr2bl w:val="nil"/>
            </w:tcBorders>
            <w:shd w:val="clear" w:color="000000" w:fill="FFFFFF"/>
            <w:vAlign w:val="center"/>
          </w:tcPr>
          <w:p w14:paraId="599353ED"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0407A0BD"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c>
          <w:tcPr>
            <w:tcW w:w="378" w:type="pct"/>
            <w:tcBorders>
              <w:tl2br w:val="nil"/>
              <w:tr2bl w:val="nil"/>
            </w:tcBorders>
            <w:shd w:val="clear" w:color="000000" w:fill="FFFFFF"/>
            <w:vAlign w:val="center"/>
          </w:tcPr>
          <w:p w14:paraId="33AE2CE1" w14:textId="77777777" w:rsidR="009D12AF" w:rsidRDefault="009D12AF">
            <w:pPr>
              <w:adjustRightInd w:val="0"/>
              <w:snapToGrid w:val="0"/>
              <w:ind w:firstLineChars="0" w:firstLine="0"/>
              <w:rPr>
                <w:rFonts w:ascii="Times New Roman" w:hAnsi="Times New Roman" w:cs="Times New Roman"/>
                <w:color w:val="000000" w:themeColor="text1"/>
                <w:sz w:val="18"/>
                <w:szCs w:val="18"/>
              </w:rPr>
            </w:pPr>
          </w:p>
        </w:tc>
      </w:tr>
      <w:tr w:rsidR="009D12AF" w14:paraId="11471082" w14:textId="77777777">
        <w:trPr>
          <w:trHeight w:val="397"/>
          <w:jc w:val="center"/>
        </w:trPr>
        <w:tc>
          <w:tcPr>
            <w:tcW w:w="457" w:type="pct"/>
            <w:tcBorders>
              <w:tl2br w:val="nil"/>
              <w:tr2bl w:val="nil"/>
            </w:tcBorders>
            <w:noWrap/>
            <w:vAlign w:val="center"/>
          </w:tcPr>
          <w:p w14:paraId="63968F83"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甲壳动物</w:t>
            </w:r>
            <w:r>
              <w:rPr>
                <w:rFonts w:ascii="Times New Roman" w:hAnsi="Times New Roman" w:cs="Times New Roman"/>
                <w:color w:val="000000" w:themeColor="text1"/>
                <w:sz w:val="18"/>
                <w:szCs w:val="18"/>
              </w:rPr>
              <w:t>Crustacean</w:t>
            </w:r>
          </w:p>
        </w:tc>
        <w:tc>
          <w:tcPr>
            <w:tcW w:w="754" w:type="pct"/>
            <w:tcBorders>
              <w:tl2br w:val="nil"/>
              <w:tr2bl w:val="nil"/>
            </w:tcBorders>
            <w:noWrap/>
            <w:vAlign w:val="center"/>
          </w:tcPr>
          <w:p w14:paraId="220C8489"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十足目</w:t>
            </w:r>
            <w:r>
              <w:rPr>
                <w:rFonts w:ascii="Times New Roman" w:hAnsi="Times New Roman" w:cs="Times New Roman"/>
                <w:color w:val="000000" w:themeColor="text1"/>
                <w:sz w:val="18"/>
                <w:szCs w:val="18"/>
              </w:rPr>
              <w:t>Decapoda</w:t>
            </w:r>
          </w:p>
        </w:tc>
        <w:tc>
          <w:tcPr>
            <w:tcW w:w="672" w:type="pct"/>
            <w:tcBorders>
              <w:tl2br w:val="nil"/>
              <w:tr2bl w:val="nil"/>
            </w:tcBorders>
            <w:noWrap/>
            <w:vAlign w:val="center"/>
          </w:tcPr>
          <w:p w14:paraId="55453D7B"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匙指虾科</w:t>
            </w:r>
            <w:r>
              <w:rPr>
                <w:rFonts w:ascii="Times New Roman" w:hAnsi="Times New Roman" w:cs="Times New Roman"/>
                <w:color w:val="000000" w:themeColor="text1"/>
                <w:sz w:val="18"/>
                <w:szCs w:val="18"/>
              </w:rPr>
              <w:t>Atyidae</w:t>
            </w:r>
          </w:p>
        </w:tc>
        <w:tc>
          <w:tcPr>
            <w:tcW w:w="803" w:type="pct"/>
            <w:tcBorders>
              <w:tl2br w:val="nil"/>
              <w:tr2bl w:val="nil"/>
            </w:tcBorders>
            <w:shd w:val="clear" w:color="000000" w:fill="FFFFFF"/>
            <w:noWrap/>
            <w:vAlign w:val="center"/>
          </w:tcPr>
          <w:p w14:paraId="5C547CFC"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中华齿米虾</w:t>
            </w:r>
            <w:r>
              <w:rPr>
                <w:rFonts w:ascii="Times New Roman" w:hAnsi="Times New Roman" w:cs="Times New Roman"/>
                <w:i/>
                <w:iCs/>
                <w:color w:val="000000" w:themeColor="text1"/>
                <w:sz w:val="18"/>
                <w:szCs w:val="18"/>
              </w:rPr>
              <w:t>Caridina denticulate sinensis</w:t>
            </w:r>
            <w:r>
              <w:rPr>
                <w:rFonts w:ascii="Times New Roman" w:hAnsi="Times New Roman" w:cs="Times New Roman"/>
                <w:color w:val="000000" w:themeColor="text1"/>
                <w:sz w:val="18"/>
                <w:szCs w:val="18"/>
              </w:rPr>
              <w:t xml:space="preserve"> </w:t>
            </w:r>
          </w:p>
        </w:tc>
        <w:tc>
          <w:tcPr>
            <w:tcW w:w="378" w:type="pct"/>
            <w:tcBorders>
              <w:tl2br w:val="nil"/>
              <w:tr2bl w:val="nil"/>
            </w:tcBorders>
            <w:shd w:val="clear" w:color="000000" w:fill="FFFFFF"/>
            <w:vAlign w:val="center"/>
          </w:tcPr>
          <w:p w14:paraId="304BBF91"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6500E65B"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6E92123D"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92" w:type="pct"/>
            <w:tcBorders>
              <w:tl2br w:val="nil"/>
              <w:tr2bl w:val="nil"/>
            </w:tcBorders>
            <w:shd w:val="clear" w:color="000000" w:fill="FFFFFF"/>
            <w:vAlign w:val="center"/>
          </w:tcPr>
          <w:p w14:paraId="74D29E8D"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4F1972BF"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378" w:type="pct"/>
            <w:tcBorders>
              <w:tl2br w:val="nil"/>
              <w:tr2bl w:val="nil"/>
            </w:tcBorders>
            <w:shd w:val="clear" w:color="000000" w:fill="FFFFFF"/>
            <w:vAlign w:val="center"/>
          </w:tcPr>
          <w:p w14:paraId="1E53D60A" w14:textId="77777777" w:rsidR="009D12AF" w:rsidRDefault="00000000">
            <w:pPr>
              <w:adjustRightInd w:val="0"/>
              <w:snapToGrid w:val="0"/>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2C296E16" w14:textId="77777777">
        <w:trPr>
          <w:trHeight w:val="397"/>
          <w:jc w:val="center"/>
        </w:trPr>
        <w:tc>
          <w:tcPr>
            <w:tcW w:w="2687" w:type="pct"/>
            <w:gridSpan w:val="4"/>
            <w:tcBorders>
              <w:tl2br w:val="nil"/>
              <w:tr2bl w:val="nil"/>
            </w:tcBorders>
            <w:noWrap/>
            <w:vAlign w:val="center"/>
          </w:tcPr>
          <w:p w14:paraId="6E50FAA7" w14:textId="77777777" w:rsidR="009D12AF" w:rsidRDefault="00000000">
            <w:pPr>
              <w:adjustRightInd w:val="0"/>
              <w:snapToGrid w:val="0"/>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合计</w:t>
            </w:r>
          </w:p>
        </w:tc>
        <w:tc>
          <w:tcPr>
            <w:tcW w:w="378" w:type="pct"/>
            <w:tcBorders>
              <w:tl2br w:val="nil"/>
              <w:tr2bl w:val="nil"/>
            </w:tcBorders>
            <w:shd w:val="clear" w:color="000000" w:fill="FFFFFF"/>
            <w:vAlign w:val="center"/>
          </w:tcPr>
          <w:p w14:paraId="33ACD80C" w14:textId="77777777" w:rsidR="009D12AF" w:rsidRDefault="00000000">
            <w:pPr>
              <w:adjustRightInd w:val="0"/>
              <w:snapToGrid w:val="0"/>
              <w:ind w:firstLineChars="0" w:firstLine="0"/>
              <w:rPr>
                <w:rFonts w:ascii="Times New Roman" w:hAnsi="Times New Roman" w:cs="Times New Roman"/>
                <w:color w:val="000000" w:themeColor="text1"/>
                <w:sz w:val="21"/>
                <w:szCs w:val="21"/>
              </w:rPr>
            </w:pPr>
            <w:r>
              <w:rPr>
                <w:rFonts w:ascii="Times New Roman" w:eastAsia="等线" w:hAnsi="Times New Roman" w:cs="Times New Roman"/>
                <w:color w:val="000000" w:themeColor="text1"/>
                <w:sz w:val="21"/>
                <w:szCs w:val="21"/>
              </w:rPr>
              <w:t>9</w:t>
            </w:r>
          </w:p>
        </w:tc>
        <w:tc>
          <w:tcPr>
            <w:tcW w:w="392" w:type="pct"/>
            <w:tcBorders>
              <w:tl2br w:val="nil"/>
              <w:tr2bl w:val="nil"/>
            </w:tcBorders>
            <w:shd w:val="clear" w:color="000000" w:fill="FFFFFF"/>
            <w:vAlign w:val="center"/>
          </w:tcPr>
          <w:p w14:paraId="08E9161C" w14:textId="77777777" w:rsidR="009D12AF" w:rsidRDefault="00000000">
            <w:pPr>
              <w:adjustRightInd w:val="0"/>
              <w:snapToGrid w:val="0"/>
              <w:ind w:firstLineChars="0" w:firstLine="0"/>
              <w:rPr>
                <w:rFonts w:ascii="Times New Roman" w:hAnsi="Times New Roman" w:cs="Times New Roman"/>
                <w:color w:val="000000" w:themeColor="text1"/>
                <w:sz w:val="21"/>
                <w:szCs w:val="21"/>
              </w:rPr>
            </w:pPr>
            <w:r>
              <w:rPr>
                <w:rFonts w:ascii="Times New Roman" w:eastAsia="等线" w:hAnsi="Times New Roman" w:cs="Times New Roman"/>
                <w:color w:val="000000" w:themeColor="text1"/>
                <w:sz w:val="21"/>
                <w:szCs w:val="21"/>
              </w:rPr>
              <w:t>13</w:t>
            </w:r>
          </w:p>
        </w:tc>
        <w:tc>
          <w:tcPr>
            <w:tcW w:w="392" w:type="pct"/>
            <w:tcBorders>
              <w:tl2br w:val="nil"/>
              <w:tr2bl w:val="nil"/>
            </w:tcBorders>
            <w:shd w:val="clear" w:color="000000" w:fill="FFFFFF"/>
            <w:vAlign w:val="center"/>
          </w:tcPr>
          <w:p w14:paraId="7101EA2A" w14:textId="77777777" w:rsidR="009D12AF" w:rsidRDefault="00000000">
            <w:pPr>
              <w:adjustRightInd w:val="0"/>
              <w:snapToGrid w:val="0"/>
              <w:ind w:firstLineChars="0" w:firstLine="0"/>
              <w:rPr>
                <w:rFonts w:ascii="Times New Roman" w:hAnsi="Times New Roman" w:cs="Times New Roman"/>
                <w:color w:val="000000" w:themeColor="text1"/>
                <w:sz w:val="21"/>
                <w:szCs w:val="21"/>
              </w:rPr>
            </w:pPr>
            <w:r>
              <w:rPr>
                <w:rFonts w:ascii="Times New Roman" w:eastAsia="等线" w:hAnsi="Times New Roman" w:cs="Times New Roman"/>
                <w:color w:val="000000" w:themeColor="text1"/>
                <w:sz w:val="21"/>
                <w:szCs w:val="21"/>
              </w:rPr>
              <w:t>10</w:t>
            </w:r>
          </w:p>
        </w:tc>
        <w:tc>
          <w:tcPr>
            <w:tcW w:w="392" w:type="pct"/>
            <w:tcBorders>
              <w:tl2br w:val="nil"/>
              <w:tr2bl w:val="nil"/>
            </w:tcBorders>
            <w:shd w:val="clear" w:color="000000" w:fill="FFFFFF"/>
            <w:vAlign w:val="center"/>
          </w:tcPr>
          <w:p w14:paraId="71813DB9" w14:textId="77777777" w:rsidR="009D12AF" w:rsidRDefault="00000000">
            <w:pPr>
              <w:adjustRightInd w:val="0"/>
              <w:snapToGrid w:val="0"/>
              <w:ind w:firstLineChars="0" w:firstLine="0"/>
              <w:rPr>
                <w:rFonts w:ascii="Times New Roman" w:hAnsi="Times New Roman" w:cs="Times New Roman"/>
                <w:color w:val="000000" w:themeColor="text1"/>
                <w:sz w:val="21"/>
                <w:szCs w:val="21"/>
              </w:rPr>
            </w:pPr>
            <w:r>
              <w:rPr>
                <w:rFonts w:ascii="Times New Roman" w:eastAsia="等线" w:hAnsi="Times New Roman" w:cs="Times New Roman"/>
                <w:color w:val="000000" w:themeColor="text1"/>
                <w:sz w:val="21"/>
                <w:szCs w:val="21"/>
              </w:rPr>
              <w:t>14</w:t>
            </w:r>
          </w:p>
        </w:tc>
        <w:tc>
          <w:tcPr>
            <w:tcW w:w="378" w:type="pct"/>
            <w:tcBorders>
              <w:tl2br w:val="nil"/>
              <w:tr2bl w:val="nil"/>
            </w:tcBorders>
            <w:shd w:val="clear" w:color="000000" w:fill="FFFFFF"/>
            <w:vAlign w:val="center"/>
          </w:tcPr>
          <w:p w14:paraId="0629D4C7" w14:textId="77777777" w:rsidR="009D12AF" w:rsidRDefault="00000000">
            <w:pPr>
              <w:adjustRightInd w:val="0"/>
              <w:snapToGrid w:val="0"/>
              <w:ind w:firstLineChars="0" w:firstLine="0"/>
              <w:rPr>
                <w:rFonts w:ascii="Times New Roman" w:hAnsi="Times New Roman" w:cs="Times New Roman"/>
                <w:color w:val="000000" w:themeColor="text1"/>
                <w:sz w:val="21"/>
                <w:szCs w:val="21"/>
              </w:rPr>
            </w:pPr>
            <w:r>
              <w:rPr>
                <w:rFonts w:ascii="Times New Roman" w:eastAsia="等线" w:hAnsi="Times New Roman" w:cs="Times New Roman"/>
                <w:color w:val="000000" w:themeColor="text1"/>
                <w:sz w:val="21"/>
                <w:szCs w:val="21"/>
              </w:rPr>
              <w:t>9</w:t>
            </w:r>
          </w:p>
        </w:tc>
        <w:tc>
          <w:tcPr>
            <w:tcW w:w="378" w:type="pct"/>
            <w:tcBorders>
              <w:tl2br w:val="nil"/>
              <w:tr2bl w:val="nil"/>
            </w:tcBorders>
            <w:shd w:val="clear" w:color="000000" w:fill="FFFFFF"/>
            <w:vAlign w:val="center"/>
          </w:tcPr>
          <w:p w14:paraId="0DD47F6F" w14:textId="77777777" w:rsidR="009D12AF" w:rsidRDefault="00000000">
            <w:pPr>
              <w:adjustRightInd w:val="0"/>
              <w:snapToGrid w:val="0"/>
              <w:ind w:firstLineChars="0" w:firstLine="0"/>
              <w:rPr>
                <w:rFonts w:ascii="Times New Roman" w:hAnsi="Times New Roman" w:cs="Times New Roman"/>
                <w:color w:val="000000" w:themeColor="text1"/>
                <w:sz w:val="21"/>
                <w:szCs w:val="21"/>
              </w:rPr>
            </w:pPr>
            <w:r>
              <w:rPr>
                <w:rFonts w:ascii="Times New Roman" w:eastAsia="等线" w:hAnsi="Times New Roman" w:cs="Times New Roman"/>
                <w:color w:val="000000" w:themeColor="text1"/>
                <w:sz w:val="21"/>
                <w:szCs w:val="21"/>
              </w:rPr>
              <w:t>6</w:t>
            </w:r>
          </w:p>
        </w:tc>
      </w:tr>
    </w:tbl>
    <w:p w14:paraId="4C7114A3" w14:textId="77777777" w:rsidR="009D12AF" w:rsidRDefault="00000000">
      <w:pPr>
        <w:numPr>
          <w:ilvl w:val="0"/>
          <w:numId w:val="7"/>
        </w:numPr>
        <w:ind w:firstLine="480"/>
        <w:jc w:val="left"/>
      </w:pPr>
      <w:r>
        <w:rPr>
          <w:rFonts w:hint="eastAsia"/>
        </w:rPr>
        <w:t>优势种</w:t>
      </w:r>
    </w:p>
    <w:p w14:paraId="29319878" w14:textId="77777777" w:rsidR="009D12AF" w:rsidRDefault="00000000">
      <w:pPr>
        <w:adjustRightInd w:val="0"/>
        <w:snapToGrid w:val="0"/>
        <w:ind w:firstLine="480"/>
        <w:rPr>
          <w:rFonts w:ascii="Times New Roman" w:hAnsi="Times New Roman" w:cs="Times New Roman"/>
          <w:color w:val="000000" w:themeColor="text1"/>
        </w:rPr>
      </w:pPr>
      <w:r>
        <w:rPr>
          <w:rFonts w:ascii="Times New Roman" w:hAnsi="Times New Roman" w:cs="Times New Roman"/>
          <w:color w:val="000000" w:themeColor="text1"/>
        </w:rPr>
        <w:t>评价水域不同水库底栖动物物优势及常见种类见表</w:t>
      </w:r>
      <w:r>
        <w:rPr>
          <w:rFonts w:ascii="Times New Roman" w:hAnsi="Times New Roman" w:cs="Times New Roman" w:hint="eastAsia"/>
          <w:color w:val="000000" w:themeColor="text1"/>
        </w:rPr>
        <w:t>4.3-38</w:t>
      </w:r>
      <w:r>
        <w:rPr>
          <w:rFonts w:ascii="Times New Roman" w:hAnsi="Times New Roman" w:cs="Times New Roman"/>
          <w:color w:val="000000" w:themeColor="text1"/>
        </w:rPr>
        <w:t>。</w:t>
      </w:r>
    </w:p>
    <w:p w14:paraId="6EB2F29B" w14:textId="77777777" w:rsidR="009D12AF" w:rsidRDefault="00000000">
      <w:pPr>
        <w:ind w:firstLineChars="0" w:firstLine="0"/>
        <w:jc w:val="center"/>
        <w:rPr>
          <w:rFonts w:cs="Times New Roman"/>
          <w:b/>
          <w:color w:val="000000" w:themeColor="text1"/>
        </w:rPr>
      </w:pPr>
      <w:r>
        <w:rPr>
          <w:rFonts w:cs="Times New Roman" w:hint="eastAsia"/>
          <w:b/>
          <w:color w:val="000000" w:themeColor="text1"/>
        </w:rPr>
        <w:t>表</w:t>
      </w:r>
      <w:r>
        <w:rPr>
          <w:rFonts w:cs="Times New Roman" w:hint="eastAsia"/>
          <w:b/>
          <w:color w:val="000000" w:themeColor="text1"/>
        </w:rPr>
        <w:t xml:space="preserve">4.3-38  </w:t>
      </w:r>
      <w:r>
        <w:rPr>
          <w:rFonts w:cs="Times New Roman" w:hint="eastAsia"/>
          <w:b/>
          <w:color w:val="000000" w:themeColor="text1"/>
        </w:rPr>
        <w:t>底栖动物优势</w:t>
      </w:r>
    </w:p>
    <w:tbl>
      <w:tblPr>
        <w:tblW w:w="8350"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122"/>
        <w:gridCol w:w="6228"/>
      </w:tblGrid>
      <w:tr w:rsidR="009D12AF" w14:paraId="0BF00E2E" w14:textId="77777777">
        <w:trPr>
          <w:trHeight w:val="308"/>
          <w:jc w:val="center"/>
        </w:trPr>
        <w:tc>
          <w:tcPr>
            <w:tcW w:w="2122" w:type="dxa"/>
            <w:tcBorders>
              <w:tl2br w:val="nil"/>
              <w:tr2bl w:val="nil"/>
            </w:tcBorders>
            <w:vAlign w:val="center"/>
          </w:tcPr>
          <w:p w14:paraId="62121B4B"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水库</w:t>
            </w:r>
          </w:p>
        </w:tc>
        <w:tc>
          <w:tcPr>
            <w:tcW w:w="6228" w:type="dxa"/>
            <w:tcBorders>
              <w:tl2br w:val="nil"/>
              <w:tr2bl w:val="nil"/>
            </w:tcBorders>
            <w:noWrap/>
            <w:vAlign w:val="center"/>
          </w:tcPr>
          <w:p w14:paraId="6BADF72B"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优势及常见种类</w:t>
            </w:r>
          </w:p>
        </w:tc>
      </w:tr>
      <w:tr w:rsidR="009D12AF" w14:paraId="226CA493" w14:textId="77777777">
        <w:trPr>
          <w:trHeight w:val="308"/>
          <w:jc w:val="center"/>
        </w:trPr>
        <w:tc>
          <w:tcPr>
            <w:tcW w:w="2122" w:type="dxa"/>
            <w:tcBorders>
              <w:tl2br w:val="nil"/>
              <w:tr2bl w:val="nil"/>
            </w:tcBorders>
            <w:vAlign w:val="center"/>
          </w:tcPr>
          <w:p w14:paraId="135CC15F"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莲花水库</w:t>
            </w:r>
          </w:p>
        </w:tc>
        <w:tc>
          <w:tcPr>
            <w:tcW w:w="6228" w:type="dxa"/>
            <w:tcBorders>
              <w:tl2br w:val="nil"/>
              <w:tr2bl w:val="nil"/>
            </w:tcBorders>
            <w:vAlign w:val="center"/>
          </w:tcPr>
          <w:p w14:paraId="68731800" w14:textId="77777777" w:rsidR="009D12AF" w:rsidRDefault="00000000">
            <w:pPr>
              <w:ind w:firstLineChars="0" w:firstLine="0"/>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摇蚊属</w:t>
            </w:r>
            <w:r>
              <w:rPr>
                <w:rFonts w:ascii="Times New Roman" w:hAnsi="Times New Roman" w:cs="Times New Roman"/>
                <w:color w:val="000000" w:themeColor="text1"/>
                <w:sz w:val="21"/>
                <w:szCs w:val="21"/>
              </w:rPr>
              <w:t xml:space="preserve"> </w:t>
            </w:r>
            <w:r>
              <w:rPr>
                <w:rFonts w:ascii="Times New Roman" w:hAnsi="Times New Roman" w:cs="Times New Roman"/>
                <w:i/>
                <w:iCs/>
                <w:color w:val="000000" w:themeColor="text1"/>
                <w:sz w:val="21"/>
                <w:szCs w:val="21"/>
              </w:rPr>
              <w:t>Chironomus</w:t>
            </w:r>
            <w:r>
              <w:rPr>
                <w:rFonts w:ascii="Times New Roman" w:hAnsi="Times New Roman" w:cs="Times New Roman"/>
                <w:color w:val="000000" w:themeColor="text1"/>
                <w:sz w:val="21"/>
                <w:szCs w:val="21"/>
              </w:rPr>
              <w:t xml:space="preserve"> sp.</w:t>
            </w:r>
            <w:r>
              <w:rPr>
                <w:rFonts w:ascii="Times New Roman" w:hAnsi="Times New Roman" w:cs="Times New Roman"/>
                <w:color w:val="000000" w:themeColor="text1"/>
                <w:sz w:val="21"/>
                <w:szCs w:val="21"/>
              </w:rPr>
              <w:t>、</w:t>
            </w:r>
            <w:r>
              <w:rPr>
                <w:rFonts w:ascii="Times New Roman" w:hAnsi="Times New Roman" w:cs="Times New Roman"/>
                <w:i/>
                <w:iCs/>
                <w:color w:val="000000" w:themeColor="text1"/>
                <w:sz w:val="21"/>
                <w:szCs w:val="21"/>
              </w:rPr>
              <w:t>Ecdyonurus</w:t>
            </w:r>
            <w:r>
              <w:rPr>
                <w:rFonts w:ascii="Times New Roman" w:hAnsi="Times New Roman" w:cs="Times New Roman"/>
                <w:color w:val="000000" w:themeColor="text1"/>
                <w:sz w:val="21"/>
                <w:szCs w:val="21"/>
              </w:rPr>
              <w:t xml:space="preserve"> sp.</w:t>
            </w:r>
            <w:r>
              <w:rPr>
                <w:rFonts w:ascii="Times New Roman" w:hAnsi="Times New Roman" w:cs="Times New Roman"/>
                <w:color w:val="000000" w:themeColor="text1"/>
                <w:sz w:val="21"/>
                <w:szCs w:val="21"/>
              </w:rPr>
              <w:t>、纹石蚕</w:t>
            </w:r>
            <w:r>
              <w:rPr>
                <w:rFonts w:ascii="Times New Roman" w:hAnsi="Times New Roman" w:cs="Times New Roman"/>
                <w:i/>
                <w:iCs/>
                <w:color w:val="000000" w:themeColor="text1"/>
                <w:sz w:val="21"/>
                <w:szCs w:val="21"/>
              </w:rPr>
              <w:t xml:space="preserve">Hydropsyche </w:t>
            </w:r>
            <w:r>
              <w:rPr>
                <w:rFonts w:ascii="Times New Roman" w:hAnsi="Times New Roman" w:cs="Times New Roman"/>
                <w:color w:val="000000" w:themeColor="text1"/>
                <w:sz w:val="21"/>
                <w:szCs w:val="21"/>
              </w:rPr>
              <w:t>sp.</w:t>
            </w:r>
          </w:p>
        </w:tc>
      </w:tr>
      <w:tr w:rsidR="009D12AF" w14:paraId="54F75F7D" w14:textId="77777777">
        <w:trPr>
          <w:trHeight w:val="308"/>
          <w:jc w:val="center"/>
        </w:trPr>
        <w:tc>
          <w:tcPr>
            <w:tcW w:w="2122" w:type="dxa"/>
            <w:tcBorders>
              <w:tl2br w:val="nil"/>
              <w:tr2bl w:val="nil"/>
            </w:tcBorders>
            <w:vAlign w:val="center"/>
          </w:tcPr>
          <w:p w14:paraId="3CF25672"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群力水库</w:t>
            </w:r>
          </w:p>
        </w:tc>
        <w:tc>
          <w:tcPr>
            <w:tcW w:w="6228" w:type="dxa"/>
            <w:tcBorders>
              <w:tl2br w:val="nil"/>
              <w:tr2bl w:val="nil"/>
            </w:tcBorders>
            <w:vAlign w:val="center"/>
          </w:tcPr>
          <w:p w14:paraId="37EB3259" w14:textId="77777777" w:rsidR="009D12AF" w:rsidRDefault="00000000">
            <w:pPr>
              <w:ind w:firstLineChars="0" w:firstLine="0"/>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摇蚊属</w:t>
            </w:r>
            <w:r>
              <w:rPr>
                <w:rFonts w:ascii="Times New Roman" w:hAnsi="Times New Roman" w:cs="Times New Roman"/>
                <w:color w:val="000000" w:themeColor="text1"/>
                <w:sz w:val="21"/>
                <w:szCs w:val="21"/>
              </w:rPr>
              <w:t xml:space="preserve"> </w:t>
            </w:r>
            <w:r>
              <w:rPr>
                <w:rFonts w:ascii="Times New Roman" w:hAnsi="Times New Roman" w:cs="Times New Roman"/>
                <w:i/>
                <w:iCs/>
                <w:color w:val="000000" w:themeColor="text1"/>
                <w:sz w:val="21"/>
                <w:szCs w:val="21"/>
              </w:rPr>
              <w:t>Chironomus</w:t>
            </w:r>
            <w:r>
              <w:rPr>
                <w:rFonts w:ascii="Times New Roman" w:hAnsi="Times New Roman" w:cs="Times New Roman"/>
                <w:color w:val="000000" w:themeColor="text1"/>
                <w:sz w:val="21"/>
                <w:szCs w:val="21"/>
              </w:rPr>
              <w:t xml:space="preserve"> sp.</w:t>
            </w:r>
            <w:r>
              <w:rPr>
                <w:rFonts w:ascii="Times New Roman" w:hAnsi="Times New Roman" w:cs="Times New Roman"/>
                <w:color w:val="000000" w:themeColor="text1"/>
                <w:sz w:val="21"/>
                <w:szCs w:val="21"/>
              </w:rPr>
              <w:t>、小蜉</w:t>
            </w:r>
            <w:r>
              <w:rPr>
                <w:rFonts w:ascii="Times New Roman" w:hAnsi="Times New Roman" w:cs="Times New Roman"/>
                <w:i/>
                <w:iCs/>
                <w:color w:val="000000" w:themeColor="text1"/>
                <w:sz w:val="21"/>
                <w:szCs w:val="21"/>
              </w:rPr>
              <w:t>Ephemerella</w:t>
            </w:r>
            <w:r>
              <w:rPr>
                <w:rFonts w:ascii="Times New Roman" w:hAnsi="Times New Roman" w:cs="Times New Roman"/>
                <w:color w:val="000000" w:themeColor="text1"/>
                <w:sz w:val="21"/>
                <w:szCs w:val="21"/>
              </w:rPr>
              <w:t xml:space="preserve"> sp.</w:t>
            </w:r>
            <w:r>
              <w:rPr>
                <w:rFonts w:ascii="Times New Roman" w:hAnsi="Times New Roman" w:cs="Times New Roman"/>
                <w:color w:val="000000" w:themeColor="text1"/>
                <w:sz w:val="21"/>
                <w:szCs w:val="21"/>
              </w:rPr>
              <w:t>、水丝蚓属</w:t>
            </w:r>
            <w:r>
              <w:rPr>
                <w:rFonts w:ascii="Times New Roman" w:hAnsi="Times New Roman" w:cs="Times New Roman"/>
                <w:i/>
                <w:iCs/>
                <w:color w:val="000000" w:themeColor="text1"/>
                <w:sz w:val="21"/>
                <w:szCs w:val="21"/>
              </w:rPr>
              <w:t xml:space="preserve">Limnodrilus </w:t>
            </w:r>
            <w:r>
              <w:rPr>
                <w:rFonts w:ascii="Times New Roman" w:hAnsi="Times New Roman" w:cs="Times New Roman"/>
                <w:color w:val="000000" w:themeColor="text1"/>
                <w:sz w:val="21"/>
                <w:szCs w:val="21"/>
              </w:rPr>
              <w:t>sp.</w:t>
            </w:r>
          </w:p>
        </w:tc>
      </w:tr>
      <w:tr w:rsidR="009D12AF" w14:paraId="09E29CDC" w14:textId="77777777">
        <w:trPr>
          <w:trHeight w:val="308"/>
          <w:jc w:val="center"/>
        </w:trPr>
        <w:tc>
          <w:tcPr>
            <w:tcW w:w="2122" w:type="dxa"/>
            <w:tcBorders>
              <w:tl2br w:val="nil"/>
              <w:tr2bl w:val="nil"/>
            </w:tcBorders>
            <w:vAlign w:val="center"/>
          </w:tcPr>
          <w:p w14:paraId="3117327A"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万丈水库</w:t>
            </w:r>
          </w:p>
        </w:tc>
        <w:tc>
          <w:tcPr>
            <w:tcW w:w="6228" w:type="dxa"/>
            <w:tcBorders>
              <w:tl2br w:val="nil"/>
              <w:tr2bl w:val="nil"/>
            </w:tcBorders>
            <w:vAlign w:val="center"/>
          </w:tcPr>
          <w:p w14:paraId="61F833A8" w14:textId="77777777" w:rsidR="009D12AF" w:rsidRDefault="00000000">
            <w:pPr>
              <w:ind w:firstLineChars="0" w:firstLine="0"/>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摇蚊属</w:t>
            </w:r>
            <w:r>
              <w:rPr>
                <w:rFonts w:ascii="Times New Roman" w:hAnsi="Times New Roman" w:cs="Times New Roman"/>
                <w:color w:val="000000" w:themeColor="text1"/>
                <w:sz w:val="21"/>
                <w:szCs w:val="21"/>
              </w:rPr>
              <w:t xml:space="preserve"> </w:t>
            </w:r>
            <w:r>
              <w:rPr>
                <w:rFonts w:ascii="Times New Roman" w:hAnsi="Times New Roman" w:cs="Times New Roman"/>
                <w:i/>
                <w:iCs/>
                <w:color w:val="000000" w:themeColor="text1"/>
                <w:sz w:val="21"/>
                <w:szCs w:val="21"/>
              </w:rPr>
              <w:t xml:space="preserve">Chironomus </w:t>
            </w:r>
            <w:r>
              <w:rPr>
                <w:rFonts w:ascii="Times New Roman" w:hAnsi="Times New Roman" w:cs="Times New Roman"/>
                <w:color w:val="000000" w:themeColor="text1"/>
                <w:sz w:val="21"/>
                <w:szCs w:val="21"/>
              </w:rPr>
              <w:t>sp.</w:t>
            </w:r>
            <w:r>
              <w:rPr>
                <w:rFonts w:ascii="Times New Roman" w:hAnsi="Times New Roman" w:cs="Times New Roman"/>
                <w:color w:val="000000" w:themeColor="text1"/>
                <w:sz w:val="21"/>
                <w:szCs w:val="21"/>
              </w:rPr>
              <w:t>、小划蝽属</w:t>
            </w:r>
            <w:r>
              <w:rPr>
                <w:rFonts w:ascii="Times New Roman" w:hAnsi="Times New Roman" w:cs="Times New Roman"/>
                <w:color w:val="000000" w:themeColor="text1"/>
                <w:sz w:val="21"/>
                <w:szCs w:val="21"/>
              </w:rPr>
              <w:t xml:space="preserve"> </w:t>
            </w:r>
            <w:r>
              <w:rPr>
                <w:rFonts w:ascii="Times New Roman" w:hAnsi="Times New Roman" w:cs="Times New Roman"/>
                <w:i/>
                <w:iCs/>
                <w:color w:val="000000" w:themeColor="text1"/>
                <w:sz w:val="21"/>
                <w:szCs w:val="21"/>
              </w:rPr>
              <w:t>Micronecta</w:t>
            </w:r>
            <w:r>
              <w:rPr>
                <w:rFonts w:ascii="Times New Roman" w:hAnsi="Times New Roman" w:cs="Times New Roman"/>
                <w:color w:val="000000" w:themeColor="text1"/>
                <w:sz w:val="21"/>
                <w:szCs w:val="21"/>
              </w:rPr>
              <w:t xml:space="preserve"> sp.</w:t>
            </w:r>
            <w:r>
              <w:rPr>
                <w:rFonts w:ascii="Times New Roman" w:hAnsi="Times New Roman" w:cs="Times New Roman"/>
                <w:color w:val="000000" w:themeColor="text1"/>
                <w:sz w:val="21"/>
                <w:szCs w:val="21"/>
              </w:rPr>
              <w:t>、中华齿米虾</w:t>
            </w:r>
            <w:r>
              <w:rPr>
                <w:rFonts w:ascii="Times New Roman" w:hAnsi="Times New Roman" w:cs="Times New Roman"/>
                <w:i/>
                <w:iCs/>
                <w:color w:val="000000" w:themeColor="text1"/>
                <w:sz w:val="21"/>
                <w:szCs w:val="21"/>
              </w:rPr>
              <w:t>Caridina denticulate sinensis</w:t>
            </w:r>
            <w:r>
              <w:rPr>
                <w:rFonts w:ascii="Times New Roman" w:hAnsi="Times New Roman" w:cs="Times New Roman"/>
                <w:color w:val="000000" w:themeColor="text1"/>
                <w:sz w:val="21"/>
                <w:szCs w:val="21"/>
              </w:rPr>
              <w:t xml:space="preserve"> </w:t>
            </w:r>
          </w:p>
        </w:tc>
      </w:tr>
      <w:tr w:rsidR="009D12AF" w14:paraId="7CDBE181" w14:textId="77777777">
        <w:trPr>
          <w:trHeight w:val="308"/>
          <w:jc w:val="center"/>
        </w:trPr>
        <w:tc>
          <w:tcPr>
            <w:tcW w:w="2122" w:type="dxa"/>
            <w:tcBorders>
              <w:tl2br w:val="nil"/>
              <w:tr2bl w:val="nil"/>
            </w:tcBorders>
            <w:vAlign w:val="center"/>
          </w:tcPr>
          <w:p w14:paraId="55A85BD1"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长石水库</w:t>
            </w:r>
          </w:p>
        </w:tc>
        <w:tc>
          <w:tcPr>
            <w:tcW w:w="6228" w:type="dxa"/>
            <w:tcBorders>
              <w:tl2br w:val="nil"/>
              <w:tr2bl w:val="nil"/>
            </w:tcBorders>
            <w:vAlign w:val="center"/>
          </w:tcPr>
          <w:p w14:paraId="36D74E19" w14:textId="77777777" w:rsidR="009D12AF" w:rsidRDefault="00000000">
            <w:pPr>
              <w:ind w:firstLineChars="0" w:firstLine="0"/>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摇蚊属</w:t>
            </w:r>
            <w:r>
              <w:rPr>
                <w:rFonts w:ascii="Times New Roman" w:hAnsi="Times New Roman" w:cs="Times New Roman"/>
                <w:color w:val="000000" w:themeColor="text1"/>
                <w:sz w:val="21"/>
                <w:szCs w:val="21"/>
              </w:rPr>
              <w:t xml:space="preserve"> </w:t>
            </w:r>
            <w:r>
              <w:rPr>
                <w:rFonts w:ascii="Times New Roman" w:hAnsi="Times New Roman" w:cs="Times New Roman"/>
                <w:i/>
                <w:iCs/>
                <w:color w:val="000000" w:themeColor="text1"/>
                <w:sz w:val="21"/>
                <w:szCs w:val="21"/>
              </w:rPr>
              <w:t>Chironomus</w:t>
            </w:r>
            <w:r>
              <w:rPr>
                <w:rFonts w:ascii="Times New Roman" w:hAnsi="Times New Roman" w:cs="Times New Roman"/>
                <w:color w:val="000000" w:themeColor="text1"/>
                <w:sz w:val="21"/>
                <w:szCs w:val="21"/>
              </w:rPr>
              <w:t xml:space="preserve"> sp.</w:t>
            </w:r>
            <w:r>
              <w:rPr>
                <w:rFonts w:ascii="Times New Roman" w:hAnsi="Times New Roman" w:cs="Times New Roman"/>
                <w:color w:val="000000" w:themeColor="text1"/>
                <w:sz w:val="21"/>
                <w:szCs w:val="21"/>
              </w:rPr>
              <w:t>、水丝蚓属</w:t>
            </w:r>
            <w:r>
              <w:rPr>
                <w:rFonts w:ascii="Times New Roman" w:hAnsi="Times New Roman" w:cs="Times New Roman"/>
                <w:i/>
                <w:iCs/>
                <w:color w:val="000000" w:themeColor="text1"/>
                <w:sz w:val="21"/>
                <w:szCs w:val="21"/>
              </w:rPr>
              <w:t xml:space="preserve">Limnodrilus </w:t>
            </w:r>
            <w:r>
              <w:rPr>
                <w:rFonts w:ascii="Times New Roman" w:hAnsi="Times New Roman" w:cs="Times New Roman"/>
                <w:color w:val="000000" w:themeColor="text1"/>
                <w:sz w:val="21"/>
                <w:szCs w:val="21"/>
              </w:rPr>
              <w:t>sp.</w:t>
            </w:r>
            <w:r>
              <w:rPr>
                <w:rFonts w:ascii="Times New Roman" w:hAnsi="Times New Roman" w:cs="Times New Roman"/>
                <w:color w:val="000000" w:themeColor="text1"/>
                <w:sz w:val="21"/>
                <w:szCs w:val="21"/>
              </w:rPr>
              <w:t>、中华齿米虾</w:t>
            </w:r>
            <w:r>
              <w:rPr>
                <w:rFonts w:ascii="Times New Roman" w:hAnsi="Times New Roman" w:cs="Times New Roman"/>
                <w:i/>
                <w:iCs/>
                <w:color w:val="000000" w:themeColor="text1"/>
                <w:sz w:val="21"/>
                <w:szCs w:val="21"/>
              </w:rPr>
              <w:t>Caridina denticulate sinensis</w:t>
            </w:r>
          </w:p>
        </w:tc>
      </w:tr>
      <w:tr w:rsidR="009D12AF" w14:paraId="474C11C9" w14:textId="77777777">
        <w:trPr>
          <w:trHeight w:val="308"/>
          <w:jc w:val="center"/>
        </w:trPr>
        <w:tc>
          <w:tcPr>
            <w:tcW w:w="2122" w:type="dxa"/>
            <w:tcBorders>
              <w:tl2br w:val="nil"/>
              <w:tr2bl w:val="nil"/>
            </w:tcBorders>
            <w:vAlign w:val="center"/>
          </w:tcPr>
          <w:p w14:paraId="1A671C8F"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新安晒水池</w:t>
            </w:r>
          </w:p>
        </w:tc>
        <w:tc>
          <w:tcPr>
            <w:tcW w:w="6228" w:type="dxa"/>
            <w:tcBorders>
              <w:tl2br w:val="nil"/>
              <w:tr2bl w:val="nil"/>
            </w:tcBorders>
            <w:vAlign w:val="center"/>
          </w:tcPr>
          <w:p w14:paraId="00BF55D2" w14:textId="77777777" w:rsidR="009D12AF" w:rsidRDefault="00000000">
            <w:pPr>
              <w:ind w:firstLineChars="0" w:firstLine="0"/>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摇蚊属</w:t>
            </w:r>
            <w:r>
              <w:rPr>
                <w:rFonts w:ascii="Times New Roman" w:hAnsi="Times New Roman" w:cs="Times New Roman"/>
                <w:color w:val="000000" w:themeColor="text1"/>
                <w:sz w:val="21"/>
                <w:szCs w:val="21"/>
              </w:rPr>
              <w:t xml:space="preserve"> </w:t>
            </w:r>
            <w:r>
              <w:rPr>
                <w:rFonts w:ascii="Times New Roman" w:hAnsi="Times New Roman" w:cs="Times New Roman"/>
                <w:i/>
                <w:iCs/>
                <w:color w:val="000000" w:themeColor="text1"/>
                <w:sz w:val="21"/>
                <w:szCs w:val="21"/>
              </w:rPr>
              <w:t>Chironomus</w:t>
            </w:r>
            <w:r>
              <w:rPr>
                <w:rFonts w:ascii="Times New Roman" w:hAnsi="Times New Roman" w:cs="Times New Roman"/>
                <w:color w:val="000000" w:themeColor="text1"/>
                <w:sz w:val="21"/>
                <w:szCs w:val="21"/>
              </w:rPr>
              <w:t xml:space="preserve"> sp.</w:t>
            </w:r>
            <w:r>
              <w:rPr>
                <w:rFonts w:ascii="Times New Roman" w:hAnsi="Times New Roman" w:cs="Times New Roman"/>
                <w:color w:val="000000" w:themeColor="text1"/>
                <w:sz w:val="21"/>
                <w:szCs w:val="21"/>
              </w:rPr>
              <w:t>、水丝蚓属</w:t>
            </w:r>
            <w:r>
              <w:rPr>
                <w:rFonts w:ascii="Times New Roman" w:hAnsi="Times New Roman" w:cs="Times New Roman"/>
                <w:i/>
                <w:iCs/>
                <w:color w:val="000000" w:themeColor="text1"/>
                <w:sz w:val="21"/>
                <w:szCs w:val="21"/>
              </w:rPr>
              <w:t xml:space="preserve">Limnodrilus </w:t>
            </w:r>
            <w:r>
              <w:rPr>
                <w:rFonts w:ascii="Times New Roman" w:hAnsi="Times New Roman" w:cs="Times New Roman"/>
                <w:color w:val="000000" w:themeColor="text1"/>
                <w:sz w:val="21"/>
                <w:szCs w:val="21"/>
              </w:rPr>
              <w:t>sp.</w:t>
            </w:r>
            <w:r>
              <w:rPr>
                <w:rFonts w:ascii="Times New Roman" w:hAnsi="Times New Roman" w:cs="Times New Roman"/>
                <w:color w:val="000000" w:themeColor="text1"/>
                <w:sz w:val="21"/>
                <w:szCs w:val="21"/>
              </w:rPr>
              <w:t>、中华齿米虾</w:t>
            </w:r>
            <w:r>
              <w:rPr>
                <w:rFonts w:ascii="Times New Roman" w:hAnsi="Times New Roman" w:cs="Times New Roman"/>
                <w:i/>
                <w:iCs/>
                <w:color w:val="000000" w:themeColor="text1"/>
                <w:sz w:val="21"/>
                <w:szCs w:val="21"/>
              </w:rPr>
              <w:t>Caridina denticulate sinensis</w:t>
            </w:r>
          </w:p>
        </w:tc>
      </w:tr>
      <w:tr w:rsidR="009D12AF" w14:paraId="38DF653A" w14:textId="77777777">
        <w:trPr>
          <w:trHeight w:val="364"/>
          <w:jc w:val="center"/>
        </w:trPr>
        <w:tc>
          <w:tcPr>
            <w:tcW w:w="2122" w:type="dxa"/>
            <w:tcBorders>
              <w:tl2br w:val="nil"/>
              <w:tr2bl w:val="nil"/>
            </w:tcBorders>
            <w:vAlign w:val="center"/>
          </w:tcPr>
          <w:p w14:paraId="4C532436"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向阳水电站前池</w:t>
            </w:r>
          </w:p>
        </w:tc>
        <w:tc>
          <w:tcPr>
            <w:tcW w:w="6228" w:type="dxa"/>
            <w:tcBorders>
              <w:tl2br w:val="nil"/>
              <w:tr2bl w:val="nil"/>
            </w:tcBorders>
            <w:vAlign w:val="center"/>
          </w:tcPr>
          <w:p w14:paraId="2CA108E8" w14:textId="77777777" w:rsidR="009D12AF" w:rsidRDefault="00000000">
            <w:pPr>
              <w:ind w:firstLineChars="0" w:firstLine="0"/>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水丝蚓属</w:t>
            </w:r>
            <w:r>
              <w:rPr>
                <w:rFonts w:ascii="Times New Roman" w:hAnsi="Times New Roman" w:cs="Times New Roman"/>
                <w:i/>
                <w:iCs/>
                <w:color w:val="000000" w:themeColor="text1"/>
                <w:sz w:val="21"/>
                <w:szCs w:val="21"/>
              </w:rPr>
              <w:t xml:space="preserve">Limnodrilus </w:t>
            </w:r>
            <w:r>
              <w:rPr>
                <w:rFonts w:ascii="Times New Roman" w:hAnsi="Times New Roman" w:cs="Times New Roman"/>
                <w:color w:val="000000" w:themeColor="text1"/>
                <w:sz w:val="21"/>
                <w:szCs w:val="21"/>
              </w:rPr>
              <w:t>sp.</w:t>
            </w:r>
            <w:r>
              <w:rPr>
                <w:rFonts w:ascii="Times New Roman" w:hAnsi="Times New Roman" w:cs="Times New Roman"/>
                <w:color w:val="000000" w:themeColor="text1"/>
                <w:sz w:val="21"/>
                <w:szCs w:val="21"/>
              </w:rPr>
              <w:t>、中华齿米虾</w:t>
            </w:r>
            <w:r>
              <w:rPr>
                <w:rFonts w:ascii="Times New Roman" w:hAnsi="Times New Roman" w:cs="Times New Roman"/>
                <w:i/>
                <w:iCs/>
                <w:color w:val="000000" w:themeColor="text1"/>
                <w:sz w:val="21"/>
                <w:szCs w:val="21"/>
              </w:rPr>
              <w:t>Caridina denticulate sinensis</w:t>
            </w:r>
          </w:p>
        </w:tc>
      </w:tr>
    </w:tbl>
    <w:p w14:paraId="6D3B3DB5" w14:textId="77777777" w:rsidR="009D12AF" w:rsidRDefault="00000000">
      <w:pPr>
        <w:ind w:firstLine="480"/>
      </w:pPr>
      <w:r>
        <w:rPr>
          <w:rFonts w:hint="eastAsia"/>
        </w:rPr>
        <w:t>3</w:t>
      </w:r>
      <w:r>
        <w:rPr>
          <w:rFonts w:hint="eastAsia"/>
        </w:rPr>
        <w:t>、数量</w:t>
      </w:r>
    </w:p>
    <w:p w14:paraId="14BB2837"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调查期间，莲花水库底栖动物平均密度为</w:t>
      </w:r>
      <w:r>
        <w:rPr>
          <w:rFonts w:ascii="Times New Roman" w:eastAsia="等线" w:hAnsi="Times New Roman" w:cs="Times New Roman"/>
          <w:color w:val="000000" w:themeColor="text1"/>
        </w:rPr>
        <w:t>32</w:t>
      </w:r>
      <w:r>
        <w:rPr>
          <w:rFonts w:ascii="Times New Roman" w:hAnsi="Times New Roman" w:cs="Times New Roman"/>
          <w:color w:val="000000" w:themeColor="text1"/>
        </w:rPr>
        <w:t>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，其中水生昆虫和甲壳动物密度最高为</w:t>
      </w:r>
      <w:r>
        <w:rPr>
          <w:rFonts w:ascii="Times New Roman" w:eastAsia="等线" w:hAnsi="Times New Roman" w:cs="Times New Roman"/>
          <w:color w:val="000000" w:themeColor="text1"/>
        </w:rPr>
        <w:t>10.67</w:t>
      </w:r>
      <w:r>
        <w:rPr>
          <w:rFonts w:ascii="Times New Roman" w:hAnsi="Times New Roman" w:cs="Times New Roman"/>
          <w:color w:val="000000" w:themeColor="text1"/>
        </w:rPr>
        <w:t>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，环节动物和软体动物密度为</w:t>
      </w:r>
      <w:r>
        <w:rPr>
          <w:rFonts w:ascii="Times New Roman" w:hAnsi="Times New Roman" w:cs="Times New Roman"/>
          <w:color w:val="000000" w:themeColor="text1"/>
        </w:rPr>
        <w:t>5.33ind./m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；群力水</w:t>
      </w:r>
      <w:r>
        <w:rPr>
          <w:rFonts w:ascii="Times New Roman" w:hAnsi="Times New Roman" w:cs="Times New Roman"/>
          <w:color w:val="000000" w:themeColor="text1"/>
        </w:rPr>
        <w:lastRenderedPageBreak/>
        <w:t>库底栖动物平均密度为</w:t>
      </w:r>
      <w:r>
        <w:rPr>
          <w:rFonts w:ascii="Times New Roman" w:eastAsia="等线" w:hAnsi="Times New Roman" w:cs="Times New Roman"/>
          <w:color w:val="000000" w:themeColor="text1"/>
        </w:rPr>
        <w:t>48</w:t>
      </w:r>
      <w:r>
        <w:rPr>
          <w:rFonts w:ascii="Times New Roman" w:hAnsi="Times New Roman" w:cs="Times New Roman"/>
          <w:color w:val="000000" w:themeColor="text1"/>
        </w:rPr>
        <w:t>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，其中环节动物密度最高为</w:t>
      </w:r>
      <w:r>
        <w:rPr>
          <w:rFonts w:ascii="Times New Roman" w:eastAsia="等线" w:hAnsi="Times New Roman" w:cs="Times New Roman"/>
          <w:color w:val="000000" w:themeColor="text1"/>
        </w:rPr>
        <w:t>24</w:t>
      </w:r>
      <w:r>
        <w:rPr>
          <w:rFonts w:ascii="Times New Roman" w:hAnsi="Times New Roman" w:cs="Times New Roman"/>
          <w:color w:val="000000" w:themeColor="text1"/>
        </w:rPr>
        <w:t>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，水生昆虫、甲壳动物和软体动物密度为</w:t>
      </w:r>
      <w:r>
        <w:rPr>
          <w:rFonts w:ascii="Times New Roman" w:hAnsi="Times New Roman" w:cs="Times New Roman"/>
          <w:color w:val="000000" w:themeColor="text1"/>
        </w:rPr>
        <w:t>8ind./m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；万丈水库底栖动物平均密度为</w:t>
      </w:r>
      <w:r>
        <w:rPr>
          <w:rFonts w:ascii="Times New Roman" w:eastAsia="等线" w:hAnsi="Times New Roman" w:cs="Times New Roman"/>
          <w:color w:val="000000" w:themeColor="text1"/>
        </w:rPr>
        <w:t>209.5</w:t>
      </w:r>
      <w:r>
        <w:rPr>
          <w:rFonts w:ascii="Times New Roman" w:hAnsi="Times New Roman" w:cs="Times New Roman"/>
          <w:color w:val="000000" w:themeColor="text1"/>
        </w:rPr>
        <w:t>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，其中软体动物密度最高为</w:t>
      </w:r>
      <w:r>
        <w:rPr>
          <w:rFonts w:ascii="Times New Roman" w:eastAsia="等线" w:hAnsi="Times New Roman" w:cs="Times New Roman"/>
          <w:color w:val="000000" w:themeColor="text1"/>
        </w:rPr>
        <w:t>101.33</w:t>
      </w:r>
      <w:r>
        <w:rPr>
          <w:rFonts w:ascii="Times New Roman" w:hAnsi="Times New Roman" w:cs="Times New Roman"/>
          <w:color w:val="000000" w:themeColor="text1"/>
        </w:rPr>
        <w:t>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，环节动物为</w:t>
      </w:r>
      <w:r>
        <w:rPr>
          <w:rFonts w:ascii="Times New Roman" w:eastAsia="等线" w:hAnsi="Times New Roman" w:cs="Times New Roman"/>
          <w:color w:val="000000" w:themeColor="text1"/>
        </w:rPr>
        <w:t>21.33</w:t>
      </w:r>
      <w:r>
        <w:rPr>
          <w:rFonts w:ascii="Times New Roman" w:hAnsi="Times New Roman" w:cs="Times New Roman"/>
          <w:color w:val="000000" w:themeColor="text1"/>
        </w:rPr>
        <w:t>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，水生昆虫为</w:t>
      </w:r>
      <w:r>
        <w:rPr>
          <w:rFonts w:ascii="Times New Roman" w:eastAsia="等线" w:hAnsi="Times New Roman" w:cs="Times New Roman"/>
          <w:color w:val="000000" w:themeColor="text1"/>
        </w:rPr>
        <w:t>16</w:t>
      </w:r>
      <w:r>
        <w:rPr>
          <w:rFonts w:ascii="Times New Roman" w:hAnsi="Times New Roman" w:cs="Times New Roman"/>
          <w:color w:val="000000" w:themeColor="text1"/>
        </w:rPr>
        <w:t>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，甲壳动物密度为</w:t>
      </w:r>
      <w:r>
        <w:rPr>
          <w:rFonts w:ascii="Times New Roman" w:hAnsi="Times New Roman" w:cs="Times New Roman"/>
          <w:color w:val="000000" w:themeColor="text1"/>
        </w:rPr>
        <w:t>5.33ind./m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。长石水库底栖动物平均密度为</w:t>
      </w:r>
      <w:r>
        <w:rPr>
          <w:rFonts w:ascii="Times New Roman" w:eastAsia="等线" w:hAnsi="Times New Roman" w:cs="Times New Roman"/>
          <w:color w:val="000000" w:themeColor="text1"/>
        </w:rPr>
        <w:t>168</w:t>
      </w:r>
      <w:r>
        <w:rPr>
          <w:rFonts w:ascii="Times New Roman" w:hAnsi="Times New Roman" w:cs="Times New Roman"/>
          <w:color w:val="000000" w:themeColor="text1"/>
        </w:rPr>
        <w:t>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，其中软体动物密度最高为</w:t>
      </w:r>
      <w:r>
        <w:rPr>
          <w:rFonts w:ascii="Times New Roman" w:eastAsia="等线" w:hAnsi="Times New Roman" w:cs="Times New Roman"/>
          <w:color w:val="000000" w:themeColor="text1"/>
        </w:rPr>
        <w:t>136</w:t>
      </w:r>
      <w:r>
        <w:rPr>
          <w:rFonts w:ascii="Times New Roman" w:hAnsi="Times New Roman" w:cs="Times New Roman"/>
          <w:color w:val="000000" w:themeColor="text1"/>
        </w:rPr>
        <w:t>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，水生昆虫为</w:t>
      </w:r>
      <w:r>
        <w:rPr>
          <w:rFonts w:ascii="Times New Roman" w:eastAsia="等线" w:hAnsi="Times New Roman" w:cs="Times New Roman"/>
          <w:color w:val="000000" w:themeColor="text1"/>
        </w:rPr>
        <w:t>16</w:t>
      </w:r>
      <w:r>
        <w:rPr>
          <w:rFonts w:ascii="Times New Roman" w:hAnsi="Times New Roman" w:cs="Times New Roman"/>
          <w:color w:val="000000" w:themeColor="text1"/>
        </w:rPr>
        <w:t>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，环节动物和甲壳动物密度为</w:t>
      </w:r>
      <w:r>
        <w:rPr>
          <w:rFonts w:ascii="Times New Roman" w:hAnsi="Times New Roman" w:cs="Times New Roman"/>
          <w:color w:val="000000" w:themeColor="text1"/>
        </w:rPr>
        <w:t>5.33ind./m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。新安晒水池底栖动物平均密度为</w:t>
      </w:r>
      <w:r>
        <w:rPr>
          <w:rFonts w:ascii="Times New Roman" w:eastAsia="等线" w:hAnsi="Times New Roman" w:cs="Times New Roman"/>
          <w:color w:val="000000" w:themeColor="text1"/>
        </w:rPr>
        <w:t>32</w:t>
      </w:r>
      <w:r>
        <w:rPr>
          <w:rFonts w:ascii="Times New Roman" w:hAnsi="Times New Roman" w:cs="Times New Roman"/>
          <w:color w:val="000000" w:themeColor="text1"/>
        </w:rPr>
        <w:t>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，软体动物、水生昆虫、环节动物和甲壳动物密度均为</w:t>
      </w:r>
      <w:r>
        <w:rPr>
          <w:rFonts w:ascii="Times New Roman" w:hAnsi="Times New Roman" w:cs="Times New Roman"/>
          <w:color w:val="000000" w:themeColor="text1"/>
        </w:rPr>
        <w:t>8ind./m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。向阳水电站前池底栖动物平均密度为</w:t>
      </w:r>
      <w:r>
        <w:rPr>
          <w:rFonts w:ascii="Times New Roman" w:eastAsia="等线" w:hAnsi="Times New Roman" w:cs="Times New Roman"/>
          <w:color w:val="000000" w:themeColor="text1"/>
        </w:rPr>
        <w:t>112</w:t>
      </w:r>
      <w:r>
        <w:rPr>
          <w:rFonts w:ascii="Times New Roman" w:hAnsi="Times New Roman" w:cs="Times New Roman"/>
          <w:color w:val="000000" w:themeColor="text1"/>
        </w:rPr>
        <w:t>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，软体动物密度最高为</w:t>
      </w:r>
      <w:r>
        <w:rPr>
          <w:rFonts w:ascii="Times New Roman" w:eastAsia="等线" w:hAnsi="Times New Roman" w:cs="Times New Roman"/>
          <w:color w:val="000000" w:themeColor="text1"/>
        </w:rPr>
        <w:t>64</w:t>
      </w:r>
      <w:r>
        <w:rPr>
          <w:rFonts w:ascii="Times New Roman" w:hAnsi="Times New Roman" w:cs="Times New Roman"/>
          <w:color w:val="000000" w:themeColor="text1"/>
        </w:rPr>
        <w:t>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，水生昆虫、环节动物和甲壳动物密度均为</w:t>
      </w:r>
      <w:r>
        <w:rPr>
          <w:rFonts w:ascii="Times New Roman" w:hAnsi="Times New Roman" w:cs="Times New Roman"/>
          <w:color w:val="000000" w:themeColor="text1"/>
        </w:rPr>
        <w:t>16ind./m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（图</w:t>
      </w:r>
      <w:r>
        <w:rPr>
          <w:rFonts w:ascii="Times New Roman" w:hAnsi="Times New Roman" w:cs="Times New Roman" w:hint="eastAsia"/>
          <w:color w:val="000000" w:themeColor="text1"/>
        </w:rPr>
        <w:t>4.3-15</w:t>
      </w:r>
      <w:r>
        <w:rPr>
          <w:rFonts w:ascii="Times New Roman" w:hAnsi="Times New Roman" w:cs="Times New Roman"/>
          <w:color w:val="000000" w:themeColor="text1"/>
        </w:rPr>
        <w:t>）。</w:t>
      </w:r>
    </w:p>
    <w:p w14:paraId="6B028957" w14:textId="77777777" w:rsidR="009D12AF" w:rsidRDefault="00000000">
      <w:pPr>
        <w:ind w:leftChars="-354" w:left="-850" w:rightChars="-319" w:right="-766" w:firstLine="480"/>
        <w:rPr>
          <w:rFonts w:ascii="Times New Roman" w:hAnsi="Times New Roman" w:cs="Times New Roman"/>
          <w:color w:val="000000" w:themeColor="text1"/>
        </w:rPr>
      </w:pPr>
      <w:r>
        <w:rPr>
          <w:rFonts w:ascii="Times New Roman" w:hAnsi="Times New Roman" w:cs="Times New Roman" w:hint="eastAsia"/>
          <w:color w:val="000000" w:themeColor="text1"/>
        </w:rPr>
        <w:t xml:space="preserve">   </w:t>
      </w:r>
      <w:r>
        <w:rPr>
          <w:rFonts w:ascii="Times New Roman" w:hAnsi="Times New Roman" w:cs="Times New Roman"/>
          <w:noProof/>
          <w:color w:val="000000" w:themeColor="text1"/>
        </w:rPr>
        <w:drawing>
          <wp:inline distT="0" distB="0" distL="0" distR="0" wp14:anchorId="0CB5E7E5" wp14:editId="398DFC68">
            <wp:extent cx="5274310" cy="3507740"/>
            <wp:effectExtent l="0" t="0" r="2540" b="16510"/>
            <wp:docPr id="233" name="图形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形 39"/>
                    <pic:cNvPicPr>
                      <a:picLocks noChangeAspect="1"/>
                    </pic:cNvPicPr>
                  </pic:nvPicPr>
                  <pic:blipFill>
                    <a:blip r:embed="rId96">
                      <a:extLst>
                        <a:ext uri="{96DAC541-7B7A-43D3-8B79-37D633B846F1}">
                          <asvg:svgBlip xmlns:asvg="http://schemas.microsoft.com/office/drawing/2016/SVG/main" r:embed="rId97"/>
                        </a:ext>
                      </a:extLst>
                    </a:blip>
                    <a:stretch>
                      <a:fillRect/>
                    </a:stretch>
                  </pic:blipFill>
                  <pic:spPr>
                    <a:xfrm>
                      <a:off x="0" y="0"/>
                      <a:ext cx="5274310" cy="3507740"/>
                    </a:xfrm>
                    <a:prstGeom prst="rect">
                      <a:avLst/>
                    </a:prstGeom>
                  </pic:spPr>
                </pic:pic>
              </a:graphicData>
            </a:graphic>
          </wp:inline>
        </w:drawing>
      </w:r>
    </w:p>
    <w:p w14:paraId="5B5BB3C2" w14:textId="77777777" w:rsidR="009D12AF" w:rsidRDefault="00000000">
      <w:pPr>
        <w:ind w:firstLineChars="0" w:firstLine="0"/>
        <w:jc w:val="center"/>
        <w:rPr>
          <w:rFonts w:cs="Times New Roman"/>
          <w:b/>
          <w:color w:val="000000" w:themeColor="text1"/>
        </w:rPr>
      </w:pPr>
      <w:r>
        <w:rPr>
          <w:rFonts w:cs="Times New Roman" w:hint="eastAsia"/>
          <w:b/>
          <w:color w:val="000000" w:themeColor="text1"/>
        </w:rPr>
        <w:t>图</w:t>
      </w:r>
      <w:r>
        <w:rPr>
          <w:rFonts w:cs="Times New Roman" w:hint="eastAsia"/>
          <w:b/>
          <w:color w:val="000000" w:themeColor="text1"/>
        </w:rPr>
        <w:t xml:space="preserve">4.3-34 </w:t>
      </w:r>
      <w:r>
        <w:rPr>
          <w:rFonts w:cs="Times New Roman" w:hint="eastAsia"/>
          <w:b/>
          <w:color w:val="000000" w:themeColor="text1"/>
        </w:rPr>
        <w:t>底栖动物数量分布</w:t>
      </w:r>
    </w:p>
    <w:p w14:paraId="680BFBB5" w14:textId="77777777" w:rsidR="009D12AF" w:rsidRDefault="00000000">
      <w:pPr>
        <w:ind w:leftChars="200" w:left="480" w:firstLineChars="0" w:firstLine="0"/>
      </w:pPr>
      <w:r>
        <w:rPr>
          <w:rFonts w:hint="eastAsia"/>
        </w:rPr>
        <w:t>4</w:t>
      </w:r>
      <w:r>
        <w:rPr>
          <w:rFonts w:hint="eastAsia"/>
        </w:rPr>
        <w:t>、生物量</w:t>
      </w:r>
    </w:p>
    <w:p w14:paraId="2EC42D9D" w14:textId="77777777" w:rsidR="009D12AF" w:rsidRDefault="00000000">
      <w:pPr>
        <w:autoSpaceDE w:val="0"/>
        <w:autoSpaceDN w:val="0"/>
        <w:ind w:leftChars="1" w:left="2" w:firstLine="480"/>
        <w:rPr>
          <w:rFonts w:ascii="Times New Roman" w:hAnsi="Times New Roman" w:cs="Times New Roman"/>
          <w:color w:val="000000" w:themeColor="text1"/>
        </w:rPr>
      </w:pPr>
      <w:r>
        <w:rPr>
          <w:rFonts w:ascii="Times New Roman" w:hAnsi="Times New Roman" w:cs="Times New Roman"/>
          <w:color w:val="000000" w:themeColor="text1"/>
        </w:rPr>
        <w:t>调查期间，莲花水库底栖动物平均生物量为</w:t>
      </w:r>
      <w:r>
        <w:rPr>
          <w:rFonts w:ascii="Times New Roman" w:eastAsia="等线" w:hAnsi="Times New Roman" w:cs="Times New Roman"/>
          <w:color w:val="000000" w:themeColor="text1"/>
        </w:rPr>
        <w:t>3.944</w:t>
      </w:r>
      <w:r>
        <w:rPr>
          <w:rFonts w:ascii="Times New Roman" w:hAnsi="Times New Roman" w:cs="Times New Roman"/>
          <w:color w:val="000000" w:themeColor="text1"/>
        </w:rPr>
        <w:t>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。其中，甲壳动物生物量最高为</w:t>
      </w:r>
      <w:r>
        <w:rPr>
          <w:rFonts w:ascii="Times New Roman" w:hAnsi="Times New Roman" w:cs="Times New Roman"/>
          <w:color w:val="000000" w:themeColor="text1"/>
        </w:rPr>
        <w:t>2.590 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，软体动物为</w:t>
      </w:r>
      <w:r>
        <w:rPr>
          <w:rFonts w:ascii="Times New Roman" w:hAnsi="Times New Roman" w:cs="Times New Roman"/>
          <w:color w:val="000000" w:themeColor="text1"/>
        </w:rPr>
        <w:t>1.150 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，水生昆虫为</w:t>
      </w:r>
      <w:r>
        <w:rPr>
          <w:rFonts w:ascii="Times New Roman" w:eastAsia="等线" w:hAnsi="Times New Roman" w:cs="Times New Roman"/>
          <w:color w:val="000000" w:themeColor="text1"/>
        </w:rPr>
        <w:t xml:space="preserve">0.156 </w:t>
      </w:r>
      <w:r>
        <w:rPr>
          <w:rFonts w:ascii="Times New Roman" w:hAnsi="Times New Roman" w:cs="Times New Roman"/>
          <w:color w:val="000000" w:themeColor="text1"/>
        </w:rPr>
        <w:t>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，环节动物为</w:t>
      </w:r>
      <w:r>
        <w:rPr>
          <w:rFonts w:ascii="Times New Roman" w:hAnsi="Times New Roman" w:cs="Times New Roman"/>
          <w:color w:val="000000" w:themeColor="text1"/>
        </w:rPr>
        <w:t>0.048g/m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；群力水库底栖动物平均生物量为</w:t>
      </w:r>
      <w:r>
        <w:rPr>
          <w:rFonts w:ascii="Times New Roman" w:eastAsia="等线" w:hAnsi="Times New Roman" w:cs="Times New Roman"/>
          <w:color w:val="000000" w:themeColor="text1"/>
        </w:rPr>
        <w:t>4.863</w:t>
      </w:r>
      <w:r>
        <w:rPr>
          <w:rFonts w:ascii="Times New Roman" w:hAnsi="Times New Roman" w:cs="Times New Roman"/>
          <w:color w:val="000000" w:themeColor="text1"/>
        </w:rPr>
        <w:t>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。其中，软体动物生物量最高为</w:t>
      </w:r>
      <w:r>
        <w:rPr>
          <w:rFonts w:ascii="Times New Roman" w:hAnsi="Times New Roman" w:cs="Times New Roman"/>
          <w:color w:val="000000" w:themeColor="text1"/>
        </w:rPr>
        <w:t>2.335 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，甲壳动物为</w:t>
      </w:r>
      <w:r>
        <w:rPr>
          <w:rFonts w:ascii="Times New Roman" w:hAnsi="Times New Roman" w:cs="Times New Roman"/>
          <w:color w:val="000000" w:themeColor="text1"/>
        </w:rPr>
        <w:t>2.105 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，环节动物为</w:t>
      </w:r>
      <w:r>
        <w:rPr>
          <w:rFonts w:ascii="Times New Roman" w:hAnsi="Times New Roman" w:cs="Times New Roman"/>
          <w:color w:val="000000" w:themeColor="text1"/>
        </w:rPr>
        <w:t>0.351 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，水生昆虫为</w:t>
      </w:r>
      <w:r>
        <w:rPr>
          <w:rFonts w:ascii="Times New Roman" w:eastAsia="等线" w:hAnsi="Times New Roman" w:cs="Times New Roman"/>
          <w:color w:val="000000" w:themeColor="text1"/>
        </w:rPr>
        <w:t xml:space="preserve">0.073 </w:t>
      </w:r>
      <w:r>
        <w:rPr>
          <w:rFonts w:ascii="Times New Roman" w:hAnsi="Times New Roman" w:cs="Times New Roman"/>
          <w:color w:val="000000" w:themeColor="text1"/>
        </w:rPr>
        <w:t>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；万丈水库底栖动物平均生物量为</w:t>
      </w:r>
      <w:r>
        <w:rPr>
          <w:rFonts w:ascii="Times New Roman" w:eastAsia="等线" w:hAnsi="Times New Roman" w:cs="Times New Roman"/>
          <w:color w:val="000000" w:themeColor="text1"/>
        </w:rPr>
        <w:t xml:space="preserve">36.501 </w:t>
      </w:r>
      <w:r>
        <w:rPr>
          <w:rFonts w:ascii="Times New Roman" w:hAnsi="Times New Roman" w:cs="Times New Roman"/>
          <w:color w:val="000000" w:themeColor="text1"/>
        </w:rPr>
        <w:t>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。其中，软体动物</w:t>
      </w:r>
      <w:r>
        <w:rPr>
          <w:rFonts w:ascii="Times New Roman" w:hAnsi="Times New Roman" w:cs="Times New Roman"/>
          <w:color w:val="000000" w:themeColor="text1"/>
        </w:rPr>
        <w:lastRenderedPageBreak/>
        <w:t>生物量最高为</w:t>
      </w:r>
      <w:r>
        <w:rPr>
          <w:rFonts w:ascii="Times New Roman" w:hAnsi="Times New Roman" w:cs="Times New Roman"/>
          <w:color w:val="000000" w:themeColor="text1"/>
        </w:rPr>
        <w:t>36.127g/m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，甲壳动物为</w:t>
      </w:r>
      <w:r>
        <w:rPr>
          <w:rFonts w:ascii="Times New Roman" w:hAnsi="Times New Roman" w:cs="Times New Roman"/>
          <w:color w:val="000000" w:themeColor="text1"/>
        </w:rPr>
        <w:t>0.164g/m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，水生昆虫为</w:t>
      </w:r>
      <w:r>
        <w:rPr>
          <w:rFonts w:ascii="Times New Roman" w:eastAsia="等线" w:hAnsi="Times New Roman" w:cs="Times New Roman"/>
          <w:color w:val="000000" w:themeColor="text1"/>
        </w:rPr>
        <w:t xml:space="preserve">0.188 </w:t>
      </w:r>
      <w:r>
        <w:rPr>
          <w:rFonts w:ascii="Times New Roman" w:hAnsi="Times New Roman" w:cs="Times New Roman"/>
          <w:color w:val="000000" w:themeColor="text1"/>
        </w:rPr>
        <w:t>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，环节动物为</w:t>
      </w:r>
      <w:r>
        <w:rPr>
          <w:rFonts w:ascii="Times New Roman" w:hAnsi="Times New Roman" w:cs="Times New Roman"/>
          <w:color w:val="000000" w:themeColor="text1"/>
        </w:rPr>
        <w:t>0.021 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；长石水库底栖动物平均生物量为</w:t>
      </w:r>
      <w:r>
        <w:rPr>
          <w:rFonts w:ascii="Times New Roman" w:eastAsia="等线" w:hAnsi="Times New Roman" w:cs="Times New Roman"/>
          <w:color w:val="000000" w:themeColor="text1"/>
        </w:rPr>
        <w:t xml:space="preserve">32.069 </w:t>
      </w:r>
      <w:r>
        <w:rPr>
          <w:rFonts w:ascii="Times New Roman" w:hAnsi="Times New Roman" w:cs="Times New Roman"/>
          <w:color w:val="000000" w:themeColor="text1"/>
        </w:rPr>
        <w:t>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。其中，软体动物生物量最高为</w:t>
      </w:r>
      <w:r>
        <w:rPr>
          <w:rFonts w:ascii="Times New Roman" w:hAnsi="Times New Roman" w:cs="Times New Roman"/>
          <w:color w:val="000000" w:themeColor="text1"/>
        </w:rPr>
        <w:t>29.639 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，甲壳动物为</w:t>
      </w:r>
      <w:r>
        <w:rPr>
          <w:rFonts w:ascii="Times New Roman" w:hAnsi="Times New Roman" w:cs="Times New Roman"/>
          <w:color w:val="000000" w:themeColor="text1"/>
        </w:rPr>
        <w:t>2.282 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，水生昆虫为</w:t>
      </w:r>
      <w:r>
        <w:rPr>
          <w:rFonts w:ascii="Times New Roman" w:eastAsia="等线" w:hAnsi="Times New Roman" w:cs="Times New Roman"/>
          <w:color w:val="000000" w:themeColor="text1"/>
        </w:rPr>
        <w:t xml:space="preserve">0.123 </w:t>
      </w:r>
      <w:r>
        <w:rPr>
          <w:rFonts w:ascii="Times New Roman" w:hAnsi="Times New Roman" w:cs="Times New Roman"/>
          <w:color w:val="000000" w:themeColor="text1"/>
        </w:rPr>
        <w:t>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，环节动物为</w:t>
      </w:r>
      <w:r>
        <w:rPr>
          <w:rFonts w:ascii="Times New Roman" w:hAnsi="Times New Roman" w:cs="Times New Roman"/>
          <w:color w:val="000000" w:themeColor="text1"/>
        </w:rPr>
        <w:t>0.026 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；新安晒水池底栖动物平均生物量为</w:t>
      </w:r>
      <w:r>
        <w:rPr>
          <w:rFonts w:ascii="Times New Roman" w:eastAsia="等线" w:hAnsi="Times New Roman" w:cs="Times New Roman"/>
          <w:color w:val="000000" w:themeColor="text1"/>
        </w:rPr>
        <w:t>4.716</w:t>
      </w:r>
      <w:r>
        <w:rPr>
          <w:rFonts w:ascii="Times New Roman" w:hAnsi="Times New Roman" w:cs="Times New Roman"/>
          <w:color w:val="000000" w:themeColor="text1"/>
        </w:rPr>
        <w:t>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。其中，软体动物生物量最高为</w:t>
      </w:r>
      <w:r>
        <w:rPr>
          <w:rFonts w:ascii="Times New Roman" w:hAnsi="Times New Roman" w:cs="Times New Roman"/>
          <w:color w:val="000000" w:themeColor="text1"/>
        </w:rPr>
        <w:t>2.445 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，甲壳动物为</w:t>
      </w:r>
      <w:r>
        <w:rPr>
          <w:rFonts w:ascii="Times New Roman" w:hAnsi="Times New Roman" w:cs="Times New Roman"/>
          <w:color w:val="000000" w:themeColor="text1"/>
        </w:rPr>
        <w:t>1.945 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，水生昆虫为</w:t>
      </w:r>
      <w:r>
        <w:rPr>
          <w:rFonts w:ascii="Times New Roman" w:eastAsia="等线" w:hAnsi="Times New Roman" w:cs="Times New Roman"/>
          <w:color w:val="000000" w:themeColor="text1"/>
        </w:rPr>
        <w:t xml:space="preserve">0.242 </w:t>
      </w:r>
      <w:r>
        <w:rPr>
          <w:rFonts w:ascii="Times New Roman" w:hAnsi="Times New Roman" w:cs="Times New Roman"/>
          <w:color w:val="000000" w:themeColor="text1"/>
        </w:rPr>
        <w:t>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，环节动物为</w:t>
      </w:r>
      <w:r>
        <w:rPr>
          <w:rFonts w:ascii="Times New Roman" w:hAnsi="Times New Roman" w:cs="Times New Roman"/>
          <w:color w:val="000000" w:themeColor="text1"/>
        </w:rPr>
        <w:t>0.084 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；向阳水电站前池底栖动物平均生物量为</w:t>
      </w:r>
      <w:r>
        <w:rPr>
          <w:rFonts w:ascii="Times New Roman" w:eastAsia="等线" w:hAnsi="Times New Roman" w:cs="Times New Roman"/>
          <w:color w:val="000000" w:themeColor="text1"/>
        </w:rPr>
        <w:t xml:space="preserve">10.185 </w:t>
      </w:r>
      <w:r>
        <w:rPr>
          <w:rFonts w:ascii="Times New Roman" w:hAnsi="Times New Roman" w:cs="Times New Roman"/>
          <w:color w:val="000000" w:themeColor="text1"/>
        </w:rPr>
        <w:t>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。其中，软体动物生物量最高为</w:t>
      </w:r>
      <w:r>
        <w:rPr>
          <w:rFonts w:ascii="Times New Roman" w:hAnsi="Times New Roman" w:cs="Times New Roman"/>
          <w:color w:val="000000" w:themeColor="text1"/>
        </w:rPr>
        <w:t>6.520 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，甲壳动物为</w:t>
      </w:r>
      <w:r>
        <w:rPr>
          <w:rFonts w:ascii="Times New Roman" w:hAnsi="Times New Roman" w:cs="Times New Roman"/>
          <w:color w:val="000000" w:themeColor="text1"/>
        </w:rPr>
        <w:t>3.420 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，水生昆虫为</w:t>
      </w:r>
      <w:r>
        <w:rPr>
          <w:rFonts w:ascii="Times New Roman" w:eastAsia="等线" w:hAnsi="Times New Roman" w:cs="Times New Roman"/>
          <w:color w:val="000000" w:themeColor="text1"/>
        </w:rPr>
        <w:t xml:space="preserve">0.231 </w:t>
      </w:r>
      <w:r>
        <w:rPr>
          <w:rFonts w:ascii="Times New Roman" w:hAnsi="Times New Roman" w:cs="Times New Roman"/>
          <w:color w:val="000000" w:themeColor="text1"/>
        </w:rPr>
        <w:t>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，环节动物为</w:t>
      </w:r>
      <w:r>
        <w:rPr>
          <w:rFonts w:ascii="Times New Roman" w:hAnsi="Times New Roman" w:cs="Times New Roman"/>
          <w:color w:val="000000" w:themeColor="text1"/>
        </w:rPr>
        <w:t>0.014 g/m</w:t>
      </w:r>
      <w:r>
        <w:rPr>
          <w:rFonts w:ascii="Times New Roman" w:hAnsi="Times New Roman" w:cs="Times New Roman"/>
          <w:color w:val="000000" w:themeColor="text1"/>
          <w:vertAlign w:val="superscript"/>
        </w:rPr>
        <w:t>2</w:t>
      </w:r>
      <w:r>
        <w:rPr>
          <w:rFonts w:ascii="Times New Roman" w:hAnsi="Times New Roman" w:cs="Times New Roman"/>
          <w:color w:val="000000" w:themeColor="text1"/>
        </w:rPr>
        <w:t>（图</w:t>
      </w:r>
      <w:r>
        <w:rPr>
          <w:rFonts w:ascii="Times New Roman" w:hAnsi="Times New Roman" w:cs="Times New Roman" w:hint="eastAsia"/>
          <w:color w:val="000000" w:themeColor="text1"/>
        </w:rPr>
        <w:t>4.3-16</w:t>
      </w:r>
      <w:r>
        <w:rPr>
          <w:rFonts w:ascii="Times New Roman" w:hAnsi="Times New Roman" w:cs="Times New Roman"/>
          <w:color w:val="000000" w:themeColor="text1"/>
        </w:rPr>
        <w:t>）。</w:t>
      </w:r>
    </w:p>
    <w:p w14:paraId="3716B83A" w14:textId="77777777" w:rsidR="009D12AF" w:rsidRDefault="00000000">
      <w:pPr>
        <w:tabs>
          <w:tab w:val="left" w:pos="0"/>
        </w:tabs>
        <w:autoSpaceDE w:val="0"/>
        <w:autoSpaceDN w:val="0"/>
        <w:ind w:leftChars="-237" w:left="-569" w:rightChars="-378" w:right="-907" w:firstLine="480"/>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1718EECF" wp14:editId="328E4A8D">
            <wp:extent cx="5200650" cy="3922395"/>
            <wp:effectExtent l="0" t="0" r="0" b="1905"/>
            <wp:docPr id="234" name="图形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形 40"/>
                    <pic:cNvPicPr>
                      <a:picLocks noChangeAspect="1"/>
                    </pic:cNvPicPr>
                  </pic:nvPicPr>
                  <pic:blipFill>
                    <a:blip r:embed="rId98">
                      <a:extLst>
                        <a:ext uri="{96DAC541-7B7A-43D3-8B79-37D633B846F1}">
                          <asvg:svgBlip xmlns:asvg="http://schemas.microsoft.com/office/drawing/2016/SVG/main" r:embed="rId99"/>
                        </a:ext>
                      </a:extLst>
                    </a:blip>
                    <a:stretch>
                      <a:fillRect/>
                    </a:stretch>
                  </pic:blipFill>
                  <pic:spPr>
                    <a:xfrm>
                      <a:off x="0" y="0"/>
                      <a:ext cx="5200650" cy="3922395"/>
                    </a:xfrm>
                    <a:prstGeom prst="rect">
                      <a:avLst/>
                    </a:prstGeom>
                  </pic:spPr>
                </pic:pic>
              </a:graphicData>
            </a:graphic>
          </wp:inline>
        </w:drawing>
      </w:r>
    </w:p>
    <w:p w14:paraId="7DA65AE3" w14:textId="77777777" w:rsidR="009D12AF" w:rsidRDefault="00000000">
      <w:pPr>
        <w:ind w:firstLineChars="0" w:firstLine="0"/>
        <w:jc w:val="center"/>
        <w:rPr>
          <w:rFonts w:cs="Times New Roman"/>
          <w:b/>
          <w:color w:val="000000" w:themeColor="text1"/>
        </w:rPr>
      </w:pPr>
      <w:r>
        <w:rPr>
          <w:rFonts w:cs="Times New Roman" w:hint="eastAsia"/>
          <w:b/>
          <w:color w:val="000000" w:themeColor="text1"/>
        </w:rPr>
        <w:t>图</w:t>
      </w:r>
      <w:r>
        <w:rPr>
          <w:rFonts w:cs="Times New Roman" w:hint="eastAsia"/>
          <w:b/>
          <w:color w:val="000000" w:themeColor="text1"/>
        </w:rPr>
        <w:t xml:space="preserve">4.3-35  </w:t>
      </w:r>
      <w:r>
        <w:rPr>
          <w:rFonts w:cs="Times New Roman" w:hint="eastAsia"/>
          <w:b/>
          <w:color w:val="000000" w:themeColor="text1"/>
        </w:rPr>
        <w:t>底栖动物生物量分布</w:t>
      </w:r>
    </w:p>
    <w:p w14:paraId="71F9C427" w14:textId="77777777" w:rsidR="009D12AF" w:rsidRDefault="00000000">
      <w:pPr>
        <w:ind w:leftChars="200" w:left="480" w:firstLineChars="0" w:firstLine="0"/>
      </w:pPr>
      <w:r>
        <w:rPr>
          <w:rFonts w:hint="eastAsia"/>
        </w:rPr>
        <w:t>5</w:t>
      </w:r>
      <w:r>
        <w:rPr>
          <w:rFonts w:hint="eastAsia"/>
        </w:rPr>
        <w:t>、生物多样性</w:t>
      </w:r>
    </w:p>
    <w:p w14:paraId="15E6F898" w14:textId="77777777" w:rsidR="009D12AF" w:rsidRDefault="00000000">
      <w:pPr>
        <w:adjustRightInd w:val="0"/>
        <w:snapToGrid w:val="0"/>
        <w:ind w:firstLine="480"/>
        <w:rPr>
          <w:rFonts w:ascii="Times New Roman" w:hAnsi="Times New Roman" w:cs="Times New Roman"/>
          <w:color w:val="000000" w:themeColor="text1"/>
        </w:rPr>
      </w:pPr>
      <w:r>
        <w:rPr>
          <w:rFonts w:ascii="Times New Roman" w:hAnsi="Times New Roman" w:cs="Times New Roman"/>
          <w:color w:val="000000" w:themeColor="text1"/>
        </w:rPr>
        <w:t>调查期间，评价水域调查断面底栖动物</w:t>
      </w:r>
      <w:r>
        <w:rPr>
          <w:rFonts w:ascii="Times New Roman" w:hAnsi="Times New Roman" w:cs="Times New Roman"/>
          <w:color w:val="000000" w:themeColor="text1"/>
        </w:rPr>
        <w:t>Shannon-Wiener</w:t>
      </w:r>
      <w:r>
        <w:rPr>
          <w:rFonts w:ascii="Times New Roman" w:hAnsi="Times New Roman" w:cs="Times New Roman"/>
          <w:color w:val="000000" w:themeColor="text1"/>
        </w:rPr>
        <w:t>多样性指数</w:t>
      </w:r>
      <w:r>
        <w:rPr>
          <w:rFonts w:ascii="Times New Roman" w:hAnsi="Times New Roman" w:cs="Times New Roman"/>
          <w:color w:val="000000" w:themeColor="text1"/>
        </w:rPr>
        <w:t>(</w:t>
      </w:r>
      <w:r>
        <w:rPr>
          <w:rFonts w:ascii="Times New Roman" w:hAnsi="Times New Roman" w:cs="Times New Roman"/>
          <w:i/>
          <w:iCs/>
          <w:color w:val="000000" w:themeColor="text1"/>
        </w:rPr>
        <w:t>H</w:t>
      </w:r>
      <w:r>
        <w:rPr>
          <w:rFonts w:ascii="Times New Roman" w:hAnsi="Times New Roman" w:cs="Times New Roman"/>
          <w:color w:val="000000" w:themeColor="text1"/>
        </w:rPr>
        <w:t>')</w:t>
      </w:r>
      <w:r>
        <w:rPr>
          <w:rFonts w:ascii="Times New Roman" w:hAnsi="Times New Roman" w:cs="Times New Roman"/>
          <w:color w:val="000000" w:themeColor="text1"/>
        </w:rPr>
        <w:t>在</w:t>
      </w:r>
      <w:r>
        <w:rPr>
          <w:rFonts w:ascii="Times New Roman" w:hAnsi="Times New Roman" w:cs="Times New Roman"/>
          <w:color w:val="000000" w:themeColor="text1"/>
        </w:rPr>
        <w:t>1.45-1.98</w:t>
      </w:r>
      <w:r>
        <w:rPr>
          <w:rFonts w:ascii="Times New Roman" w:hAnsi="Times New Roman" w:cs="Times New Roman"/>
          <w:color w:val="000000" w:themeColor="text1"/>
        </w:rPr>
        <w:t>之间，</w:t>
      </w:r>
      <w:r>
        <w:rPr>
          <w:rFonts w:ascii="Times New Roman" w:hAnsi="Times New Roman" w:cs="Times New Roman"/>
          <w:color w:val="000000" w:themeColor="text1"/>
        </w:rPr>
        <w:t>Pielou</w:t>
      </w:r>
      <w:r>
        <w:rPr>
          <w:rFonts w:ascii="Times New Roman" w:hAnsi="Times New Roman" w:cs="Times New Roman"/>
          <w:color w:val="000000" w:themeColor="text1"/>
        </w:rPr>
        <w:t>均匀度指数</w:t>
      </w:r>
      <w:r>
        <w:rPr>
          <w:rFonts w:ascii="Times New Roman" w:hAnsi="Times New Roman" w:cs="Times New Roman"/>
          <w:color w:val="000000" w:themeColor="text1"/>
        </w:rPr>
        <w:t>(</w:t>
      </w:r>
      <w:r>
        <w:rPr>
          <w:rFonts w:ascii="Times New Roman" w:hAnsi="Times New Roman" w:cs="Times New Roman"/>
          <w:i/>
          <w:iCs/>
          <w:color w:val="000000" w:themeColor="text1"/>
        </w:rPr>
        <w:t>J)</w:t>
      </w:r>
      <w:r>
        <w:rPr>
          <w:rFonts w:ascii="Times New Roman" w:hAnsi="Times New Roman" w:cs="Times New Roman"/>
          <w:color w:val="000000" w:themeColor="text1"/>
        </w:rPr>
        <w:t>在</w:t>
      </w:r>
      <w:r>
        <w:rPr>
          <w:rFonts w:ascii="Times New Roman" w:hAnsi="Times New Roman" w:cs="Times New Roman"/>
          <w:color w:val="000000" w:themeColor="text1"/>
        </w:rPr>
        <w:t>0.52-0.65</w:t>
      </w:r>
      <w:r>
        <w:rPr>
          <w:rFonts w:ascii="Times New Roman" w:hAnsi="Times New Roman" w:cs="Times New Roman"/>
          <w:color w:val="000000" w:themeColor="text1"/>
        </w:rPr>
        <w:t>之间（表</w:t>
      </w:r>
      <w:r>
        <w:rPr>
          <w:rFonts w:ascii="Times New Roman" w:hAnsi="Times New Roman" w:cs="Times New Roman" w:hint="eastAsia"/>
          <w:color w:val="000000" w:themeColor="text1"/>
        </w:rPr>
        <w:t>4.3-39</w:t>
      </w:r>
      <w:r>
        <w:rPr>
          <w:rFonts w:ascii="Times New Roman" w:hAnsi="Times New Roman" w:cs="Times New Roman"/>
          <w:color w:val="000000" w:themeColor="text1"/>
        </w:rPr>
        <w:t>）。</w:t>
      </w:r>
    </w:p>
    <w:p w14:paraId="58DB8C66" w14:textId="77777777" w:rsidR="009D12AF" w:rsidRDefault="00000000">
      <w:pPr>
        <w:ind w:firstLineChars="0" w:firstLine="0"/>
        <w:jc w:val="center"/>
        <w:rPr>
          <w:rFonts w:cs="Times New Roman"/>
          <w:b/>
          <w:color w:val="000000" w:themeColor="text1"/>
        </w:rPr>
      </w:pPr>
      <w:r>
        <w:rPr>
          <w:rFonts w:cs="Times New Roman" w:hint="eastAsia"/>
          <w:b/>
          <w:color w:val="000000" w:themeColor="text1"/>
        </w:rPr>
        <w:t>表</w:t>
      </w:r>
      <w:r>
        <w:rPr>
          <w:rFonts w:cs="Times New Roman" w:hint="eastAsia"/>
          <w:b/>
          <w:color w:val="000000" w:themeColor="text1"/>
        </w:rPr>
        <w:t xml:space="preserve">4.3-39 </w:t>
      </w:r>
      <w:r>
        <w:rPr>
          <w:rFonts w:cs="Times New Roman" w:hint="eastAsia"/>
          <w:b/>
          <w:color w:val="000000" w:themeColor="text1"/>
        </w:rPr>
        <w:t>浮游植物多样性</w:t>
      </w:r>
    </w:p>
    <w:tbl>
      <w:tblPr>
        <w:tblW w:w="8223" w:type="dxa"/>
        <w:tblInd w:w="-5"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985"/>
        <w:gridCol w:w="1985"/>
        <w:gridCol w:w="2127"/>
        <w:gridCol w:w="2126"/>
      </w:tblGrid>
      <w:tr w:rsidR="009D12AF" w14:paraId="7414D169" w14:textId="77777777">
        <w:trPr>
          <w:trHeight w:val="345"/>
        </w:trPr>
        <w:tc>
          <w:tcPr>
            <w:tcW w:w="1985" w:type="dxa"/>
            <w:tcBorders>
              <w:tl2br w:val="nil"/>
              <w:tr2bl w:val="nil"/>
            </w:tcBorders>
            <w:vAlign w:val="center"/>
          </w:tcPr>
          <w:p w14:paraId="79A61332" w14:textId="77777777" w:rsidR="009D12AF" w:rsidRDefault="00000000">
            <w:pPr>
              <w:adjustRightInd w:val="0"/>
              <w:snapToGrid w:val="0"/>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水库</w:t>
            </w:r>
          </w:p>
        </w:tc>
        <w:tc>
          <w:tcPr>
            <w:tcW w:w="1985" w:type="dxa"/>
            <w:tcBorders>
              <w:tl2br w:val="nil"/>
              <w:tr2bl w:val="nil"/>
            </w:tcBorders>
            <w:vAlign w:val="center"/>
          </w:tcPr>
          <w:p w14:paraId="733B65D0" w14:textId="77777777" w:rsidR="009D12AF" w:rsidRDefault="00000000">
            <w:pPr>
              <w:adjustRightInd w:val="0"/>
              <w:snapToGrid w:val="0"/>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调查断面</w:t>
            </w:r>
          </w:p>
        </w:tc>
        <w:tc>
          <w:tcPr>
            <w:tcW w:w="2127" w:type="dxa"/>
            <w:tcBorders>
              <w:tl2br w:val="nil"/>
              <w:tr2bl w:val="nil"/>
            </w:tcBorders>
            <w:vAlign w:val="center"/>
          </w:tcPr>
          <w:p w14:paraId="48BDD81E" w14:textId="77777777" w:rsidR="009D12AF" w:rsidRDefault="00000000">
            <w:pPr>
              <w:adjustRightInd w:val="0"/>
              <w:snapToGrid w:val="0"/>
              <w:ind w:firstLineChars="0" w:firstLine="0"/>
              <w:jc w:val="center"/>
              <w:rPr>
                <w:rFonts w:ascii="Times New Roman" w:hAnsi="Times New Roman" w:cs="Times New Roman"/>
                <w:i/>
                <w:color w:val="000000" w:themeColor="text1"/>
                <w:sz w:val="21"/>
                <w:szCs w:val="21"/>
              </w:rPr>
            </w:pPr>
            <w:r>
              <w:rPr>
                <w:rFonts w:ascii="Times New Roman" w:hAnsi="Times New Roman" w:cs="Times New Roman"/>
                <w:i/>
                <w:color w:val="000000" w:themeColor="text1"/>
                <w:sz w:val="21"/>
                <w:szCs w:val="21"/>
              </w:rPr>
              <w:t>H'</w:t>
            </w:r>
          </w:p>
        </w:tc>
        <w:tc>
          <w:tcPr>
            <w:tcW w:w="2126" w:type="dxa"/>
            <w:tcBorders>
              <w:tl2br w:val="nil"/>
              <w:tr2bl w:val="nil"/>
            </w:tcBorders>
            <w:vAlign w:val="center"/>
          </w:tcPr>
          <w:p w14:paraId="3618E4F8" w14:textId="77777777" w:rsidR="009D12AF" w:rsidRDefault="00000000">
            <w:pPr>
              <w:adjustRightInd w:val="0"/>
              <w:snapToGrid w:val="0"/>
              <w:ind w:firstLineChars="0" w:firstLine="0"/>
              <w:jc w:val="center"/>
              <w:rPr>
                <w:rFonts w:ascii="Times New Roman" w:hAnsi="Times New Roman" w:cs="Times New Roman"/>
                <w:i/>
                <w:color w:val="000000" w:themeColor="text1"/>
                <w:sz w:val="21"/>
                <w:szCs w:val="21"/>
              </w:rPr>
            </w:pPr>
            <w:r>
              <w:rPr>
                <w:rFonts w:ascii="Times New Roman" w:hAnsi="Times New Roman" w:cs="Times New Roman"/>
                <w:i/>
                <w:color w:val="000000" w:themeColor="text1"/>
                <w:sz w:val="21"/>
                <w:szCs w:val="21"/>
              </w:rPr>
              <w:t>J</w:t>
            </w:r>
          </w:p>
        </w:tc>
      </w:tr>
      <w:tr w:rsidR="009D12AF" w14:paraId="7F38F4AE" w14:textId="77777777">
        <w:trPr>
          <w:trHeight w:val="345"/>
        </w:trPr>
        <w:tc>
          <w:tcPr>
            <w:tcW w:w="1985" w:type="dxa"/>
            <w:vMerge w:val="restart"/>
            <w:tcBorders>
              <w:tl2br w:val="nil"/>
              <w:tr2bl w:val="nil"/>
            </w:tcBorders>
            <w:vAlign w:val="center"/>
          </w:tcPr>
          <w:p w14:paraId="5DB2A8BF"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莲花水库</w:t>
            </w:r>
          </w:p>
        </w:tc>
        <w:tc>
          <w:tcPr>
            <w:tcW w:w="1985" w:type="dxa"/>
            <w:tcBorders>
              <w:tl2br w:val="nil"/>
              <w:tr2bl w:val="nil"/>
            </w:tcBorders>
            <w:vAlign w:val="center"/>
          </w:tcPr>
          <w:p w14:paraId="2A008E1D"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L1</w:t>
            </w:r>
          </w:p>
        </w:tc>
        <w:tc>
          <w:tcPr>
            <w:tcW w:w="2127" w:type="dxa"/>
            <w:tcBorders>
              <w:tl2br w:val="nil"/>
              <w:tr2bl w:val="nil"/>
            </w:tcBorders>
            <w:vAlign w:val="center"/>
          </w:tcPr>
          <w:p w14:paraId="7258C97F"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 xml:space="preserve">1.58 </w:t>
            </w:r>
          </w:p>
        </w:tc>
        <w:tc>
          <w:tcPr>
            <w:tcW w:w="2126" w:type="dxa"/>
            <w:tcBorders>
              <w:tl2br w:val="nil"/>
              <w:tr2bl w:val="nil"/>
            </w:tcBorders>
            <w:vAlign w:val="center"/>
          </w:tcPr>
          <w:p w14:paraId="5336FA9B"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 xml:space="preserve">0.53 </w:t>
            </w:r>
          </w:p>
        </w:tc>
      </w:tr>
      <w:tr w:rsidR="009D12AF" w14:paraId="5F5FA208" w14:textId="77777777">
        <w:trPr>
          <w:trHeight w:val="345"/>
        </w:trPr>
        <w:tc>
          <w:tcPr>
            <w:tcW w:w="1985" w:type="dxa"/>
            <w:vMerge/>
            <w:tcBorders>
              <w:tl2br w:val="nil"/>
              <w:tr2bl w:val="nil"/>
            </w:tcBorders>
            <w:vAlign w:val="center"/>
          </w:tcPr>
          <w:p w14:paraId="470FB863"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41218D80"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L2</w:t>
            </w:r>
          </w:p>
        </w:tc>
        <w:tc>
          <w:tcPr>
            <w:tcW w:w="2127" w:type="dxa"/>
            <w:tcBorders>
              <w:tl2br w:val="nil"/>
              <w:tr2bl w:val="nil"/>
            </w:tcBorders>
            <w:vAlign w:val="center"/>
          </w:tcPr>
          <w:p w14:paraId="3F3E31AE"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 xml:space="preserve">1.52 </w:t>
            </w:r>
          </w:p>
        </w:tc>
        <w:tc>
          <w:tcPr>
            <w:tcW w:w="2126" w:type="dxa"/>
            <w:tcBorders>
              <w:tl2br w:val="nil"/>
              <w:tr2bl w:val="nil"/>
            </w:tcBorders>
            <w:vAlign w:val="center"/>
          </w:tcPr>
          <w:p w14:paraId="5004B34E"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 xml:space="preserve">0.56 </w:t>
            </w:r>
          </w:p>
        </w:tc>
      </w:tr>
      <w:tr w:rsidR="009D12AF" w14:paraId="6F760965" w14:textId="77777777">
        <w:trPr>
          <w:trHeight w:val="345"/>
        </w:trPr>
        <w:tc>
          <w:tcPr>
            <w:tcW w:w="1985" w:type="dxa"/>
            <w:vMerge/>
            <w:tcBorders>
              <w:tl2br w:val="nil"/>
              <w:tr2bl w:val="nil"/>
            </w:tcBorders>
            <w:vAlign w:val="center"/>
          </w:tcPr>
          <w:p w14:paraId="72D7FFEB"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6381D39A"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L2</w:t>
            </w:r>
          </w:p>
        </w:tc>
        <w:tc>
          <w:tcPr>
            <w:tcW w:w="2127" w:type="dxa"/>
            <w:tcBorders>
              <w:tl2br w:val="nil"/>
              <w:tr2bl w:val="nil"/>
            </w:tcBorders>
            <w:vAlign w:val="center"/>
          </w:tcPr>
          <w:p w14:paraId="069FB741"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 xml:space="preserve">1.46 </w:t>
            </w:r>
          </w:p>
        </w:tc>
        <w:tc>
          <w:tcPr>
            <w:tcW w:w="2126" w:type="dxa"/>
            <w:tcBorders>
              <w:tl2br w:val="nil"/>
              <w:tr2bl w:val="nil"/>
            </w:tcBorders>
            <w:vAlign w:val="center"/>
          </w:tcPr>
          <w:p w14:paraId="3845F934"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 xml:space="preserve">0.52 </w:t>
            </w:r>
          </w:p>
        </w:tc>
      </w:tr>
      <w:tr w:rsidR="009D12AF" w14:paraId="19A1E157" w14:textId="77777777">
        <w:trPr>
          <w:trHeight w:val="345"/>
        </w:trPr>
        <w:tc>
          <w:tcPr>
            <w:tcW w:w="1985" w:type="dxa"/>
            <w:vMerge w:val="restart"/>
            <w:tcBorders>
              <w:tl2br w:val="nil"/>
              <w:tr2bl w:val="nil"/>
            </w:tcBorders>
            <w:vAlign w:val="center"/>
          </w:tcPr>
          <w:p w14:paraId="1E5348CD"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群力水库</w:t>
            </w:r>
          </w:p>
        </w:tc>
        <w:tc>
          <w:tcPr>
            <w:tcW w:w="1985" w:type="dxa"/>
            <w:tcBorders>
              <w:tl2br w:val="nil"/>
              <w:tr2bl w:val="nil"/>
            </w:tcBorders>
            <w:vAlign w:val="center"/>
          </w:tcPr>
          <w:p w14:paraId="7C1CA388"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Q1</w:t>
            </w:r>
          </w:p>
        </w:tc>
        <w:tc>
          <w:tcPr>
            <w:tcW w:w="2127" w:type="dxa"/>
            <w:tcBorders>
              <w:tl2br w:val="nil"/>
              <w:tr2bl w:val="nil"/>
            </w:tcBorders>
            <w:vAlign w:val="center"/>
          </w:tcPr>
          <w:p w14:paraId="71BA880C"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 xml:space="preserve">1.62 </w:t>
            </w:r>
          </w:p>
        </w:tc>
        <w:tc>
          <w:tcPr>
            <w:tcW w:w="2126" w:type="dxa"/>
            <w:tcBorders>
              <w:tl2br w:val="nil"/>
              <w:tr2bl w:val="nil"/>
            </w:tcBorders>
            <w:vAlign w:val="center"/>
          </w:tcPr>
          <w:p w14:paraId="1C022714"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 xml:space="preserve">0.63 </w:t>
            </w:r>
          </w:p>
        </w:tc>
      </w:tr>
      <w:tr w:rsidR="009D12AF" w14:paraId="6DA4BB4D" w14:textId="77777777">
        <w:trPr>
          <w:trHeight w:val="345"/>
        </w:trPr>
        <w:tc>
          <w:tcPr>
            <w:tcW w:w="1985" w:type="dxa"/>
            <w:vMerge/>
            <w:tcBorders>
              <w:tl2br w:val="nil"/>
              <w:tr2bl w:val="nil"/>
            </w:tcBorders>
            <w:vAlign w:val="center"/>
          </w:tcPr>
          <w:p w14:paraId="724E8D7C"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4A96C7CE"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Q2</w:t>
            </w:r>
          </w:p>
        </w:tc>
        <w:tc>
          <w:tcPr>
            <w:tcW w:w="2127" w:type="dxa"/>
            <w:tcBorders>
              <w:tl2br w:val="nil"/>
              <w:tr2bl w:val="nil"/>
            </w:tcBorders>
            <w:vAlign w:val="center"/>
          </w:tcPr>
          <w:p w14:paraId="157C0A1F"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1.68</w:t>
            </w:r>
          </w:p>
        </w:tc>
        <w:tc>
          <w:tcPr>
            <w:tcW w:w="2126" w:type="dxa"/>
            <w:tcBorders>
              <w:tl2br w:val="nil"/>
              <w:tr2bl w:val="nil"/>
            </w:tcBorders>
            <w:vAlign w:val="center"/>
          </w:tcPr>
          <w:p w14:paraId="529D0A66"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0.58</w:t>
            </w:r>
          </w:p>
        </w:tc>
      </w:tr>
      <w:tr w:rsidR="009D12AF" w14:paraId="2B9B9564" w14:textId="77777777">
        <w:trPr>
          <w:trHeight w:val="345"/>
        </w:trPr>
        <w:tc>
          <w:tcPr>
            <w:tcW w:w="1985" w:type="dxa"/>
            <w:vMerge w:val="restart"/>
            <w:tcBorders>
              <w:tl2br w:val="nil"/>
              <w:tr2bl w:val="nil"/>
            </w:tcBorders>
            <w:vAlign w:val="center"/>
          </w:tcPr>
          <w:p w14:paraId="63B2676A"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万丈水库</w:t>
            </w:r>
          </w:p>
        </w:tc>
        <w:tc>
          <w:tcPr>
            <w:tcW w:w="1985" w:type="dxa"/>
            <w:tcBorders>
              <w:tl2br w:val="nil"/>
              <w:tr2bl w:val="nil"/>
            </w:tcBorders>
            <w:vAlign w:val="center"/>
          </w:tcPr>
          <w:p w14:paraId="4E3643D2"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W1</w:t>
            </w:r>
          </w:p>
        </w:tc>
        <w:tc>
          <w:tcPr>
            <w:tcW w:w="2127" w:type="dxa"/>
            <w:tcBorders>
              <w:tl2br w:val="nil"/>
              <w:tr2bl w:val="nil"/>
            </w:tcBorders>
            <w:vAlign w:val="center"/>
          </w:tcPr>
          <w:p w14:paraId="12D4A1DD"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1.56</w:t>
            </w:r>
          </w:p>
        </w:tc>
        <w:tc>
          <w:tcPr>
            <w:tcW w:w="2126" w:type="dxa"/>
            <w:tcBorders>
              <w:tl2br w:val="nil"/>
              <w:tr2bl w:val="nil"/>
            </w:tcBorders>
            <w:vAlign w:val="center"/>
          </w:tcPr>
          <w:p w14:paraId="02525535"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0.55</w:t>
            </w:r>
          </w:p>
        </w:tc>
      </w:tr>
      <w:tr w:rsidR="009D12AF" w14:paraId="62A6E4D2" w14:textId="77777777">
        <w:trPr>
          <w:trHeight w:val="345"/>
        </w:trPr>
        <w:tc>
          <w:tcPr>
            <w:tcW w:w="1985" w:type="dxa"/>
            <w:vMerge/>
            <w:tcBorders>
              <w:tl2br w:val="nil"/>
              <w:tr2bl w:val="nil"/>
            </w:tcBorders>
            <w:vAlign w:val="center"/>
          </w:tcPr>
          <w:p w14:paraId="0ABEED95"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59AD25D9"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W2</w:t>
            </w:r>
          </w:p>
        </w:tc>
        <w:tc>
          <w:tcPr>
            <w:tcW w:w="2127" w:type="dxa"/>
            <w:tcBorders>
              <w:tl2br w:val="nil"/>
              <w:tr2bl w:val="nil"/>
            </w:tcBorders>
            <w:vAlign w:val="center"/>
          </w:tcPr>
          <w:p w14:paraId="6291E2ED"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1.82</w:t>
            </w:r>
          </w:p>
        </w:tc>
        <w:tc>
          <w:tcPr>
            <w:tcW w:w="2126" w:type="dxa"/>
            <w:tcBorders>
              <w:tl2br w:val="nil"/>
              <w:tr2bl w:val="nil"/>
            </w:tcBorders>
            <w:vAlign w:val="center"/>
          </w:tcPr>
          <w:p w14:paraId="11BB89EC"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0.58</w:t>
            </w:r>
          </w:p>
        </w:tc>
      </w:tr>
      <w:tr w:rsidR="009D12AF" w14:paraId="2BB8E3C1" w14:textId="77777777">
        <w:trPr>
          <w:trHeight w:val="345"/>
        </w:trPr>
        <w:tc>
          <w:tcPr>
            <w:tcW w:w="1985" w:type="dxa"/>
            <w:vMerge/>
            <w:tcBorders>
              <w:tl2br w:val="nil"/>
              <w:tr2bl w:val="nil"/>
            </w:tcBorders>
            <w:vAlign w:val="center"/>
          </w:tcPr>
          <w:p w14:paraId="37A52E12"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56E543F3"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W3</w:t>
            </w:r>
          </w:p>
        </w:tc>
        <w:tc>
          <w:tcPr>
            <w:tcW w:w="2127" w:type="dxa"/>
            <w:tcBorders>
              <w:tl2br w:val="nil"/>
              <w:tr2bl w:val="nil"/>
            </w:tcBorders>
            <w:vAlign w:val="center"/>
          </w:tcPr>
          <w:p w14:paraId="346CB232"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1.45</w:t>
            </w:r>
          </w:p>
        </w:tc>
        <w:tc>
          <w:tcPr>
            <w:tcW w:w="2126" w:type="dxa"/>
            <w:tcBorders>
              <w:tl2br w:val="nil"/>
              <w:tr2bl w:val="nil"/>
            </w:tcBorders>
            <w:vAlign w:val="center"/>
          </w:tcPr>
          <w:p w14:paraId="48FCF7BD"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0.61</w:t>
            </w:r>
          </w:p>
        </w:tc>
      </w:tr>
      <w:tr w:rsidR="009D12AF" w14:paraId="44D99F13" w14:textId="77777777">
        <w:trPr>
          <w:trHeight w:val="345"/>
        </w:trPr>
        <w:tc>
          <w:tcPr>
            <w:tcW w:w="1985" w:type="dxa"/>
            <w:vMerge w:val="restart"/>
            <w:tcBorders>
              <w:tl2br w:val="nil"/>
              <w:tr2bl w:val="nil"/>
            </w:tcBorders>
            <w:vAlign w:val="center"/>
          </w:tcPr>
          <w:p w14:paraId="6F0631A3"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长石水库</w:t>
            </w:r>
          </w:p>
        </w:tc>
        <w:tc>
          <w:tcPr>
            <w:tcW w:w="1985" w:type="dxa"/>
            <w:tcBorders>
              <w:tl2br w:val="nil"/>
              <w:tr2bl w:val="nil"/>
            </w:tcBorders>
            <w:vAlign w:val="center"/>
          </w:tcPr>
          <w:p w14:paraId="5BAB21D7"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C1</w:t>
            </w:r>
          </w:p>
        </w:tc>
        <w:tc>
          <w:tcPr>
            <w:tcW w:w="2127" w:type="dxa"/>
            <w:tcBorders>
              <w:tl2br w:val="nil"/>
              <w:tr2bl w:val="nil"/>
            </w:tcBorders>
            <w:vAlign w:val="center"/>
          </w:tcPr>
          <w:p w14:paraId="4F3E1709"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1.78</w:t>
            </w:r>
          </w:p>
        </w:tc>
        <w:tc>
          <w:tcPr>
            <w:tcW w:w="2126" w:type="dxa"/>
            <w:tcBorders>
              <w:tl2br w:val="nil"/>
              <w:tr2bl w:val="nil"/>
            </w:tcBorders>
            <w:vAlign w:val="center"/>
          </w:tcPr>
          <w:p w14:paraId="1C069D9F"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0.55</w:t>
            </w:r>
          </w:p>
        </w:tc>
      </w:tr>
      <w:tr w:rsidR="009D12AF" w14:paraId="548772FE" w14:textId="77777777">
        <w:trPr>
          <w:trHeight w:val="345"/>
        </w:trPr>
        <w:tc>
          <w:tcPr>
            <w:tcW w:w="1985" w:type="dxa"/>
            <w:vMerge/>
            <w:tcBorders>
              <w:tl2br w:val="nil"/>
              <w:tr2bl w:val="nil"/>
            </w:tcBorders>
            <w:vAlign w:val="center"/>
          </w:tcPr>
          <w:p w14:paraId="6BB86C39"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1D1CBC1F"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C2</w:t>
            </w:r>
          </w:p>
        </w:tc>
        <w:tc>
          <w:tcPr>
            <w:tcW w:w="2127" w:type="dxa"/>
            <w:tcBorders>
              <w:tl2br w:val="nil"/>
              <w:tr2bl w:val="nil"/>
            </w:tcBorders>
            <w:vAlign w:val="center"/>
          </w:tcPr>
          <w:p w14:paraId="7269BD03"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1.98</w:t>
            </w:r>
          </w:p>
        </w:tc>
        <w:tc>
          <w:tcPr>
            <w:tcW w:w="2126" w:type="dxa"/>
            <w:tcBorders>
              <w:tl2br w:val="nil"/>
              <w:tr2bl w:val="nil"/>
            </w:tcBorders>
            <w:vAlign w:val="center"/>
          </w:tcPr>
          <w:p w14:paraId="5D850E6E"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0.58</w:t>
            </w:r>
          </w:p>
        </w:tc>
      </w:tr>
      <w:tr w:rsidR="009D12AF" w14:paraId="78DDAEA4" w14:textId="77777777">
        <w:trPr>
          <w:trHeight w:val="345"/>
        </w:trPr>
        <w:tc>
          <w:tcPr>
            <w:tcW w:w="1985" w:type="dxa"/>
            <w:vMerge w:val="restart"/>
            <w:tcBorders>
              <w:tl2br w:val="nil"/>
              <w:tr2bl w:val="nil"/>
            </w:tcBorders>
            <w:vAlign w:val="center"/>
          </w:tcPr>
          <w:p w14:paraId="6B535CBA"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新安晒水池</w:t>
            </w:r>
          </w:p>
        </w:tc>
        <w:tc>
          <w:tcPr>
            <w:tcW w:w="1985" w:type="dxa"/>
            <w:tcBorders>
              <w:tl2br w:val="nil"/>
              <w:tr2bl w:val="nil"/>
            </w:tcBorders>
            <w:vAlign w:val="center"/>
          </w:tcPr>
          <w:p w14:paraId="78193F55"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X1</w:t>
            </w:r>
          </w:p>
        </w:tc>
        <w:tc>
          <w:tcPr>
            <w:tcW w:w="2127" w:type="dxa"/>
            <w:tcBorders>
              <w:tl2br w:val="nil"/>
              <w:tr2bl w:val="nil"/>
            </w:tcBorders>
            <w:vAlign w:val="center"/>
          </w:tcPr>
          <w:p w14:paraId="7B9F9224"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1.75</w:t>
            </w:r>
          </w:p>
        </w:tc>
        <w:tc>
          <w:tcPr>
            <w:tcW w:w="2126" w:type="dxa"/>
            <w:tcBorders>
              <w:tl2br w:val="nil"/>
              <w:tr2bl w:val="nil"/>
            </w:tcBorders>
            <w:vAlign w:val="center"/>
          </w:tcPr>
          <w:p w14:paraId="33B66F6E"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0.61</w:t>
            </w:r>
          </w:p>
        </w:tc>
      </w:tr>
      <w:tr w:rsidR="009D12AF" w14:paraId="504F7341" w14:textId="77777777">
        <w:trPr>
          <w:trHeight w:val="345"/>
        </w:trPr>
        <w:tc>
          <w:tcPr>
            <w:tcW w:w="1985" w:type="dxa"/>
            <w:vMerge/>
            <w:tcBorders>
              <w:tl2br w:val="nil"/>
              <w:tr2bl w:val="nil"/>
            </w:tcBorders>
            <w:vAlign w:val="center"/>
          </w:tcPr>
          <w:p w14:paraId="6B81C80E" w14:textId="77777777" w:rsidR="009D12AF" w:rsidRDefault="009D12AF">
            <w:pPr>
              <w:ind w:firstLineChars="0" w:firstLine="0"/>
              <w:jc w:val="center"/>
              <w:rPr>
                <w:rFonts w:ascii="Times New Roman" w:hAnsi="Times New Roman" w:cs="Times New Roman"/>
                <w:color w:val="000000" w:themeColor="text1"/>
                <w:sz w:val="21"/>
                <w:szCs w:val="21"/>
              </w:rPr>
            </w:pPr>
          </w:p>
        </w:tc>
        <w:tc>
          <w:tcPr>
            <w:tcW w:w="1985" w:type="dxa"/>
            <w:tcBorders>
              <w:tl2br w:val="nil"/>
              <w:tr2bl w:val="nil"/>
            </w:tcBorders>
            <w:vAlign w:val="center"/>
          </w:tcPr>
          <w:p w14:paraId="6CE4B24D"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X2</w:t>
            </w:r>
          </w:p>
        </w:tc>
        <w:tc>
          <w:tcPr>
            <w:tcW w:w="2127" w:type="dxa"/>
            <w:tcBorders>
              <w:tl2br w:val="nil"/>
              <w:tr2bl w:val="nil"/>
            </w:tcBorders>
            <w:vAlign w:val="center"/>
          </w:tcPr>
          <w:p w14:paraId="1C991F7F"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1.62</w:t>
            </w:r>
          </w:p>
        </w:tc>
        <w:tc>
          <w:tcPr>
            <w:tcW w:w="2126" w:type="dxa"/>
            <w:tcBorders>
              <w:tl2br w:val="nil"/>
              <w:tr2bl w:val="nil"/>
            </w:tcBorders>
            <w:vAlign w:val="center"/>
          </w:tcPr>
          <w:p w14:paraId="395A17CA"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0.63</w:t>
            </w:r>
          </w:p>
        </w:tc>
      </w:tr>
      <w:tr w:rsidR="009D12AF" w14:paraId="5349A979" w14:textId="77777777">
        <w:trPr>
          <w:trHeight w:val="345"/>
        </w:trPr>
        <w:tc>
          <w:tcPr>
            <w:tcW w:w="1985" w:type="dxa"/>
            <w:tcBorders>
              <w:tl2br w:val="nil"/>
              <w:tr2bl w:val="nil"/>
            </w:tcBorders>
            <w:vAlign w:val="center"/>
          </w:tcPr>
          <w:p w14:paraId="13055A69"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向阳水电站前池</w:t>
            </w:r>
          </w:p>
        </w:tc>
        <w:tc>
          <w:tcPr>
            <w:tcW w:w="1985" w:type="dxa"/>
            <w:tcBorders>
              <w:tl2br w:val="nil"/>
              <w:tr2bl w:val="nil"/>
            </w:tcBorders>
            <w:vAlign w:val="center"/>
          </w:tcPr>
          <w:p w14:paraId="4F6A20CC" w14:textId="77777777" w:rsidR="009D12AF" w:rsidRDefault="00000000">
            <w:pPr>
              <w:ind w:firstLineChars="0" w:firstLine="0"/>
              <w:jc w:val="cente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Y1</w:t>
            </w:r>
          </w:p>
        </w:tc>
        <w:tc>
          <w:tcPr>
            <w:tcW w:w="2127" w:type="dxa"/>
            <w:tcBorders>
              <w:tl2br w:val="nil"/>
              <w:tr2bl w:val="nil"/>
            </w:tcBorders>
            <w:vAlign w:val="center"/>
          </w:tcPr>
          <w:p w14:paraId="357903DB"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1.45</w:t>
            </w:r>
          </w:p>
        </w:tc>
        <w:tc>
          <w:tcPr>
            <w:tcW w:w="2126" w:type="dxa"/>
            <w:tcBorders>
              <w:tl2br w:val="nil"/>
              <w:tr2bl w:val="nil"/>
            </w:tcBorders>
            <w:vAlign w:val="center"/>
          </w:tcPr>
          <w:p w14:paraId="7E95C8EA" w14:textId="77777777" w:rsidR="009D12AF" w:rsidRDefault="00000000">
            <w:pPr>
              <w:ind w:firstLineChars="0" w:firstLine="0"/>
              <w:jc w:val="center"/>
              <w:rPr>
                <w:rFonts w:ascii="Times New Roman" w:eastAsia="等线" w:hAnsi="Times New Roman" w:cs="Times New Roman"/>
                <w:color w:val="000000" w:themeColor="text1"/>
              </w:rPr>
            </w:pPr>
            <w:r>
              <w:rPr>
                <w:rFonts w:ascii="Times New Roman" w:eastAsia="等线" w:hAnsi="Times New Roman" w:cs="Times New Roman"/>
                <w:color w:val="000000" w:themeColor="text1"/>
              </w:rPr>
              <w:t>0.65</w:t>
            </w:r>
          </w:p>
        </w:tc>
      </w:tr>
    </w:tbl>
    <w:p w14:paraId="4BF77986" w14:textId="77777777" w:rsidR="009D12AF" w:rsidRDefault="00000000">
      <w:pPr>
        <w:ind w:leftChars="-177" w:left="-425" w:rightChars="-260" w:right="-624" w:firstLine="480"/>
        <w:rPr>
          <w:rFonts w:ascii="Times New Roman" w:eastAsia="黑体" w:hAnsi="Times New Roman" w:cs="Times New Roman"/>
          <w:bCs/>
          <w:color w:val="000000" w:themeColor="text1"/>
          <w:sz w:val="21"/>
          <w:szCs w:val="21"/>
        </w:rPr>
      </w:pPr>
      <w:r>
        <w:rPr>
          <w:rFonts w:hint="eastAsia"/>
          <w:noProof/>
          <w:color w:val="000000" w:themeColor="text1"/>
        </w:rPr>
        <w:drawing>
          <wp:inline distT="0" distB="0" distL="0" distR="0" wp14:anchorId="17CEC46A" wp14:editId="1FBA50B3">
            <wp:extent cx="2400935" cy="1799590"/>
            <wp:effectExtent l="0" t="0" r="10160" b="18415"/>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00" cstate="screen">
                      <a:extLst>
                        <a:ext uri="{28A0092B-C50C-407E-A947-70E740481C1C}">
                          <a14:useLocalDpi xmlns:a14="http://schemas.microsoft.com/office/drawing/2010/main"/>
                        </a:ext>
                      </a:extLst>
                    </a:blip>
                    <a:stretch>
                      <a:fillRect/>
                    </a:stretch>
                  </pic:blipFill>
                  <pic:spPr>
                    <a:xfrm rot="5400000">
                      <a:off x="0" y="0"/>
                      <a:ext cx="2401200" cy="1800000"/>
                    </a:xfrm>
                    <a:prstGeom prst="rect">
                      <a:avLst/>
                    </a:prstGeom>
                  </pic:spPr>
                </pic:pic>
              </a:graphicData>
            </a:graphic>
          </wp:inline>
        </w:drawing>
      </w:r>
      <w:r>
        <w:rPr>
          <w:rFonts w:hint="eastAsia"/>
          <w:noProof/>
          <w:color w:val="000000" w:themeColor="text1"/>
        </w:rPr>
        <w:drawing>
          <wp:inline distT="0" distB="0" distL="0" distR="0" wp14:anchorId="46E6D868" wp14:editId="083CCE12">
            <wp:extent cx="1791335" cy="2388235"/>
            <wp:effectExtent l="0" t="0" r="18415" b="1206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01" cstate="screen">
                      <a:extLst>
                        <a:ext uri="{28A0092B-C50C-407E-A947-70E740481C1C}">
                          <a14:useLocalDpi xmlns:a14="http://schemas.microsoft.com/office/drawing/2010/main"/>
                        </a:ext>
                      </a:extLst>
                    </a:blip>
                    <a:stretch>
                      <a:fillRect/>
                    </a:stretch>
                  </pic:blipFill>
                  <pic:spPr>
                    <a:xfrm>
                      <a:off x="0" y="0"/>
                      <a:ext cx="1816440" cy="2421921"/>
                    </a:xfrm>
                    <a:prstGeom prst="rect">
                      <a:avLst/>
                    </a:prstGeom>
                  </pic:spPr>
                </pic:pic>
              </a:graphicData>
            </a:graphic>
          </wp:inline>
        </w:drawing>
      </w:r>
      <w:r>
        <w:rPr>
          <w:rFonts w:hint="eastAsia"/>
          <w:noProof/>
          <w:color w:val="000000" w:themeColor="text1"/>
        </w:rPr>
        <w:drawing>
          <wp:inline distT="0" distB="0" distL="0" distR="0" wp14:anchorId="7073705C" wp14:editId="3BC824E9">
            <wp:extent cx="1790700" cy="2388235"/>
            <wp:effectExtent l="0" t="0" r="0" b="1206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102" cstate="screen">
                      <a:extLst>
                        <a:ext uri="{28A0092B-C50C-407E-A947-70E740481C1C}">
                          <a14:useLocalDpi xmlns:a14="http://schemas.microsoft.com/office/drawing/2010/main"/>
                        </a:ext>
                      </a:extLst>
                    </a:blip>
                    <a:stretch>
                      <a:fillRect/>
                    </a:stretch>
                  </pic:blipFill>
                  <pic:spPr>
                    <a:xfrm>
                      <a:off x="0" y="0"/>
                      <a:ext cx="1821431" cy="2428576"/>
                    </a:xfrm>
                    <a:prstGeom prst="rect">
                      <a:avLst/>
                    </a:prstGeom>
                  </pic:spPr>
                </pic:pic>
              </a:graphicData>
            </a:graphic>
          </wp:inline>
        </w:drawing>
      </w:r>
    </w:p>
    <w:p w14:paraId="6FFDD91A" w14:textId="77777777" w:rsidR="009D12AF" w:rsidRDefault="00000000">
      <w:pPr>
        <w:ind w:rightChars="-142" w:right="-341" w:firstLineChars="0" w:firstLine="0"/>
        <w:rPr>
          <w:color w:val="000000" w:themeColor="text1"/>
        </w:rPr>
      </w:pPr>
      <w:r>
        <w:rPr>
          <w:rFonts w:hint="eastAsia"/>
          <w:noProof/>
          <w:color w:val="000000" w:themeColor="text1"/>
        </w:rPr>
        <w:drawing>
          <wp:inline distT="0" distB="0" distL="0" distR="0" wp14:anchorId="7E48AC10" wp14:editId="34F52639">
            <wp:extent cx="1797685" cy="2167890"/>
            <wp:effectExtent l="0" t="0" r="12065" b="381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103" cstate="screen">
                      <a:extLst>
                        <a:ext uri="{28A0092B-C50C-407E-A947-70E740481C1C}">
                          <a14:useLocalDpi xmlns:a14="http://schemas.microsoft.com/office/drawing/2010/main"/>
                        </a:ext>
                      </a:extLst>
                    </a:blip>
                    <a:stretch>
                      <a:fillRect/>
                    </a:stretch>
                  </pic:blipFill>
                  <pic:spPr>
                    <a:xfrm>
                      <a:off x="0" y="0"/>
                      <a:ext cx="1818124" cy="2167890"/>
                    </a:xfrm>
                    <a:prstGeom prst="rect">
                      <a:avLst/>
                    </a:prstGeom>
                  </pic:spPr>
                </pic:pic>
              </a:graphicData>
            </a:graphic>
          </wp:inline>
        </w:drawing>
      </w:r>
      <w:r>
        <w:rPr>
          <w:rFonts w:hint="eastAsia"/>
          <w:noProof/>
          <w:color w:val="000000" w:themeColor="text1"/>
        </w:rPr>
        <w:drawing>
          <wp:inline distT="0" distB="0" distL="0" distR="0" wp14:anchorId="5B1C61E4" wp14:editId="366DFFA5">
            <wp:extent cx="2138045" cy="1799590"/>
            <wp:effectExtent l="0" t="0" r="10160" b="1460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104" cstate="screen">
                      <a:extLst>
                        <a:ext uri="{28A0092B-C50C-407E-A947-70E740481C1C}">
                          <a14:useLocalDpi xmlns:a14="http://schemas.microsoft.com/office/drawing/2010/main"/>
                        </a:ext>
                      </a:extLst>
                    </a:blip>
                    <a:stretch>
                      <a:fillRect/>
                    </a:stretch>
                  </pic:blipFill>
                  <pic:spPr>
                    <a:xfrm rot="5400000">
                      <a:off x="0" y="0"/>
                      <a:ext cx="2138045" cy="1800000"/>
                    </a:xfrm>
                    <a:prstGeom prst="rect">
                      <a:avLst/>
                    </a:prstGeom>
                  </pic:spPr>
                </pic:pic>
              </a:graphicData>
            </a:graphic>
          </wp:inline>
        </w:drawing>
      </w:r>
      <w:r>
        <w:rPr>
          <w:rFonts w:hint="eastAsia"/>
          <w:noProof/>
          <w:color w:val="000000" w:themeColor="text1"/>
        </w:rPr>
        <w:drawing>
          <wp:inline distT="0" distB="0" distL="0" distR="0" wp14:anchorId="53759ABF" wp14:editId="33509B99">
            <wp:extent cx="1797050" cy="2078355"/>
            <wp:effectExtent l="0" t="0" r="12700" b="1714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105" cstate="screen">
                      <a:extLst>
                        <a:ext uri="{28A0092B-C50C-407E-A947-70E740481C1C}">
                          <a14:useLocalDpi xmlns:a14="http://schemas.microsoft.com/office/drawing/2010/main"/>
                        </a:ext>
                      </a:extLst>
                    </a:blip>
                    <a:stretch>
                      <a:fillRect/>
                    </a:stretch>
                  </pic:blipFill>
                  <pic:spPr>
                    <a:xfrm>
                      <a:off x="0" y="0"/>
                      <a:ext cx="1831130" cy="2078355"/>
                    </a:xfrm>
                    <a:prstGeom prst="rect">
                      <a:avLst/>
                    </a:prstGeom>
                  </pic:spPr>
                </pic:pic>
              </a:graphicData>
            </a:graphic>
          </wp:inline>
        </w:drawing>
      </w:r>
    </w:p>
    <w:p w14:paraId="787EA8F6" w14:textId="77777777" w:rsidR="009D12AF" w:rsidRDefault="00000000">
      <w:pPr>
        <w:ind w:firstLine="482"/>
        <w:jc w:val="center"/>
        <w:rPr>
          <w:b/>
          <w:bCs/>
        </w:rPr>
      </w:pPr>
      <w:r>
        <w:rPr>
          <w:rFonts w:hint="eastAsia"/>
          <w:b/>
          <w:bCs/>
        </w:rPr>
        <w:t>图</w:t>
      </w:r>
      <w:r>
        <w:rPr>
          <w:rFonts w:hint="eastAsia"/>
          <w:b/>
          <w:bCs/>
        </w:rPr>
        <w:t xml:space="preserve">4.3-36 </w:t>
      </w:r>
      <w:r>
        <w:rPr>
          <w:rFonts w:hint="eastAsia"/>
          <w:b/>
          <w:bCs/>
        </w:rPr>
        <w:t>底栖动物样品采集</w:t>
      </w:r>
    </w:p>
    <w:p w14:paraId="2E24E293" w14:textId="77777777" w:rsidR="009D12AF" w:rsidRDefault="00000000">
      <w:pPr>
        <w:ind w:leftChars="200" w:left="480" w:firstLineChars="0" w:firstLine="0"/>
      </w:pPr>
      <w:r>
        <w:rPr>
          <w:rFonts w:hint="eastAsia"/>
        </w:rPr>
        <w:lastRenderedPageBreak/>
        <w:t>五、水生维管植物</w:t>
      </w:r>
    </w:p>
    <w:p w14:paraId="5814E8F5" w14:textId="77777777" w:rsidR="009D12AF" w:rsidRDefault="00000000">
      <w:pPr>
        <w:ind w:leftChars="200" w:left="480" w:firstLineChars="0" w:firstLine="0"/>
      </w:pPr>
      <w:r>
        <w:rPr>
          <w:rFonts w:hint="eastAsia"/>
        </w:rPr>
        <w:t>1</w:t>
      </w:r>
      <w:r>
        <w:rPr>
          <w:rFonts w:hint="eastAsia"/>
        </w:rPr>
        <w:t>、种类组成</w:t>
      </w:r>
    </w:p>
    <w:p w14:paraId="3539EAC0"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rPr>
        <w:t>调查期间在评价水域共采集水生维管植物</w:t>
      </w:r>
      <w:r>
        <w:rPr>
          <w:rFonts w:ascii="Times New Roman" w:hAnsi="Times New Roman" w:cs="Times New Roman"/>
          <w:color w:val="000000" w:themeColor="text1"/>
        </w:rPr>
        <w:t>14</w:t>
      </w:r>
      <w:r>
        <w:rPr>
          <w:rFonts w:ascii="Times New Roman" w:hAnsi="Times New Roman" w:cs="Times New Roman"/>
          <w:color w:val="000000" w:themeColor="text1"/>
        </w:rPr>
        <w:t>科</w:t>
      </w:r>
      <w:r>
        <w:rPr>
          <w:rFonts w:ascii="Times New Roman" w:hAnsi="Times New Roman" w:cs="Times New Roman"/>
          <w:color w:val="000000" w:themeColor="text1"/>
        </w:rPr>
        <w:t>23</w:t>
      </w:r>
      <w:r>
        <w:rPr>
          <w:rFonts w:ascii="Times New Roman" w:hAnsi="Times New Roman" w:cs="Times New Roman"/>
          <w:color w:val="000000" w:themeColor="text1"/>
        </w:rPr>
        <w:t>种，共有挺水植物、滨水植物、沉水植物和漂浮植物</w:t>
      </w:r>
      <w:r>
        <w:rPr>
          <w:rFonts w:ascii="Times New Roman" w:hAnsi="Times New Roman" w:cs="Times New Roman"/>
          <w:color w:val="000000" w:themeColor="text1"/>
        </w:rPr>
        <w:t>4</w:t>
      </w:r>
      <w:r>
        <w:rPr>
          <w:rFonts w:ascii="Times New Roman" w:hAnsi="Times New Roman" w:cs="Times New Roman"/>
          <w:color w:val="000000" w:themeColor="text1"/>
        </w:rPr>
        <w:t>种生态类群。其中禾本科种类最多为</w:t>
      </w:r>
      <w:r>
        <w:rPr>
          <w:rFonts w:ascii="Times New Roman" w:hAnsi="Times New Roman" w:cs="Times New Roman"/>
          <w:color w:val="000000" w:themeColor="text1"/>
        </w:rPr>
        <w:t>4</w:t>
      </w:r>
      <w:r>
        <w:rPr>
          <w:rFonts w:ascii="Times New Roman" w:hAnsi="Times New Roman" w:cs="Times New Roman"/>
          <w:color w:val="000000" w:themeColor="text1"/>
        </w:rPr>
        <w:t>种，莎草科为</w:t>
      </w:r>
      <w:r>
        <w:rPr>
          <w:rFonts w:ascii="Times New Roman" w:hAnsi="Times New Roman" w:cs="Times New Roman"/>
          <w:color w:val="000000" w:themeColor="text1"/>
        </w:rPr>
        <w:t>3</w:t>
      </w:r>
      <w:r>
        <w:rPr>
          <w:rFonts w:ascii="Times New Roman" w:hAnsi="Times New Roman" w:cs="Times New Roman"/>
          <w:color w:val="000000" w:themeColor="text1"/>
        </w:rPr>
        <w:t>种、眼子菜科、泽泻科、伞形科和小二仙草科为</w:t>
      </w:r>
      <w:r>
        <w:rPr>
          <w:rFonts w:ascii="Times New Roman" w:hAnsi="Times New Roman" w:cs="Times New Roman"/>
          <w:color w:val="000000" w:themeColor="text1"/>
        </w:rPr>
        <w:t>2</w:t>
      </w:r>
      <w:r>
        <w:rPr>
          <w:rFonts w:ascii="Times New Roman" w:hAnsi="Times New Roman" w:cs="Times New Roman"/>
          <w:color w:val="000000" w:themeColor="text1"/>
        </w:rPr>
        <w:t>种，其他种类分别只有</w:t>
      </w:r>
      <w:r>
        <w:rPr>
          <w:rFonts w:ascii="Times New Roman" w:hAnsi="Times New Roman" w:cs="Times New Roman"/>
          <w:color w:val="000000" w:themeColor="text1"/>
        </w:rPr>
        <w:t>1</w:t>
      </w:r>
      <w:r>
        <w:rPr>
          <w:rFonts w:ascii="Times New Roman" w:hAnsi="Times New Roman" w:cs="Times New Roman"/>
          <w:color w:val="000000" w:themeColor="text1"/>
        </w:rPr>
        <w:t>种。莲花水库</w:t>
      </w:r>
      <w:r>
        <w:rPr>
          <w:rFonts w:ascii="Times New Roman" w:hAnsi="Times New Roman" w:cs="Times New Roman"/>
          <w:color w:val="000000" w:themeColor="text1"/>
        </w:rPr>
        <w:t>13</w:t>
      </w:r>
      <w:r>
        <w:rPr>
          <w:rFonts w:ascii="Times New Roman" w:hAnsi="Times New Roman" w:cs="Times New Roman"/>
          <w:color w:val="000000" w:themeColor="text1"/>
        </w:rPr>
        <w:t>科</w:t>
      </w:r>
      <w:r>
        <w:rPr>
          <w:rFonts w:ascii="Times New Roman" w:hAnsi="Times New Roman" w:cs="Times New Roman"/>
          <w:color w:val="000000" w:themeColor="text1"/>
        </w:rPr>
        <w:t>16</w:t>
      </w:r>
      <w:r>
        <w:rPr>
          <w:rFonts w:ascii="Times New Roman" w:hAnsi="Times New Roman" w:cs="Times New Roman"/>
          <w:color w:val="000000" w:themeColor="text1"/>
        </w:rPr>
        <w:t>种，群力水库</w:t>
      </w:r>
      <w:r>
        <w:rPr>
          <w:rFonts w:ascii="Times New Roman" w:hAnsi="Times New Roman" w:cs="Times New Roman"/>
          <w:color w:val="000000" w:themeColor="text1"/>
        </w:rPr>
        <w:t>13</w:t>
      </w:r>
      <w:r>
        <w:rPr>
          <w:rFonts w:ascii="Times New Roman" w:hAnsi="Times New Roman" w:cs="Times New Roman"/>
          <w:color w:val="000000" w:themeColor="text1"/>
        </w:rPr>
        <w:t>科</w:t>
      </w:r>
      <w:r>
        <w:rPr>
          <w:rFonts w:ascii="Times New Roman" w:hAnsi="Times New Roman" w:cs="Times New Roman"/>
          <w:color w:val="000000" w:themeColor="text1"/>
        </w:rPr>
        <w:t>17</w:t>
      </w:r>
      <w:r>
        <w:rPr>
          <w:rFonts w:ascii="Times New Roman" w:hAnsi="Times New Roman" w:cs="Times New Roman"/>
          <w:color w:val="000000" w:themeColor="text1"/>
        </w:rPr>
        <w:t>种，万丈水库</w:t>
      </w:r>
      <w:r>
        <w:rPr>
          <w:rFonts w:ascii="Times New Roman" w:hAnsi="Times New Roman" w:cs="Times New Roman"/>
          <w:color w:val="000000" w:themeColor="text1"/>
        </w:rPr>
        <w:t>12</w:t>
      </w:r>
      <w:r>
        <w:rPr>
          <w:rFonts w:ascii="Times New Roman" w:hAnsi="Times New Roman" w:cs="Times New Roman"/>
          <w:color w:val="000000" w:themeColor="text1"/>
        </w:rPr>
        <w:t>科</w:t>
      </w:r>
      <w:r>
        <w:rPr>
          <w:rFonts w:ascii="Times New Roman" w:hAnsi="Times New Roman" w:cs="Times New Roman"/>
          <w:color w:val="000000" w:themeColor="text1"/>
        </w:rPr>
        <w:t>15</w:t>
      </w:r>
      <w:r>
        <w:rPr>
          <w:rFonts w:ascii="Times New Roman" w:hAnsi="Times New Roman" w:cs="Times New Roman"/>
          <w:color w:val="000000" w:themeColor="text1"/>
        </w:rPr>
        <w:t>种，长石水库</w:t>
      </w:r>
      <w:r>
        <w:rPr>
          <w:rFonts w:ascii="Times New Roman" w:hAnsi="Times New Roman" w:cs="Times New Roman"/>
          <w:color w:val="000000" w:themeColor="text1"/>
        </w:rPr>
        <w:t>12</w:t>
      </w:r>
      <w:r>
        <w:rPr>
          <w:rFonts w:ascii="Times New Roman" w:hAnsi="Times New Roman" w:cs="Times New Roman"/>
          <w:color w:val="000000" w:themeColor="text1"/>
        </w:rPr>
        <w:t>科</w:t>
      </w:r>
      <w:r>
        <w:rPr>
          <w:rFonts w:ascii="Times New Roman" w:hAnsi="Times New Roman" w:cs="Times New Roman"/>
          <w:color w:val="000000" w:themeColor="text1"/>
        </w:rPr>
        <w:t>15</w:t>
      </w:r>
      <w:r>
        <w:rPr>
          <w:rFonts w:ascii="Times New Roman" w:hAnsi="Times New Roman" w:cs="Times New Roman"/>
          <w:color w:val="000000" w:themeColor="text1"/>
        </w:rPr>
        <w:t>种，新安晒水池</w:t>
      </w:r>
      <w:r>
        <w:rPr>
          <w:rFonts w:ascii="Times New Roman" w:hAnsi="Times New Roman" w:cs="Times New Roman"/>
          <w:color w:val="000000" w:themeColor="text1"/>
        </w:rPr>
        <w:t>10</w:t>
      </w:r>
      <w:r>
        <w:rPr>
          <w:rFonts w:ascii="Times New Roman" w:hAnsi="Times New Roman" w:cs="Times New Roman"/>
          <w:color w:val="000000" w:themeColor="text1"/>
        </w:rPr>
        <w:t>科</w:t>
      </w:r>
      <w:r>
        <w:rPr>
          <w:rFonts w:ascii="Times New Roman" w:hAnsi="Times New Roman" w:cs="Times New Roman"/>
          <w:color w:val="000000" w:themeColor="text1"/>
        </w:rPr>
        <w:t>13</w:t>
      </w:r>
      <w:r>
        <w:rPr>
          <w:rFonts w:ascii="Times New Roman" w:hAnsi="Times New Roman" w:cs="Times New Roman"/>
          <w:color w:val="000000" w:themeColor="text1"/>
        </w:rPr>
        <w:t>种，向阳水电站前池</w:t>
      </w:r>
      <w:r>
        <w:rPr>
          <w:rFonts w:ascii="Times New Roman" w:hAnsi="Times New Roman" w:cs="Times New Roman"/>
          <w:color w:val="000000" w:themeColor="text1"/>
        </w:rPr>
        <w:t>12</w:t>
      </w:r>
      <w:r>
        <w:rPr>
          <w:rFonts w:ascii="Times New Roman" w:hAnsi="Times New Roman" w:cs="Times New Roman"/>
          <w:color w:val="000000" w:themeColor="text1"/>
        </w:rPr>
        <w:t>科</w:t>
      </w:r>
      <w:r>
        <w:rPr>
          <w:rFonts w:ascii="Times New Roman" w:hAnsi="Times New Roman" w:cs="Times New Roman"/>
          <w:color w:val="000000" w:themeColor="text1"/>
        </w:rPr>
        <w:t>14</w:t>
      </w:r>
      <w:r>
        <w:rPr>
          <w:rFonts w:ascii="Times New Roman" w:hAnsi="Times New Roman" w:cs="Times New Roman"/>
          <w:color w:val="000000" w:themeColor="text1"/>
        </w:rPr>
        <w:t>种，结果见表</w:t>
      </w:r>
      <w:r>
        <w:rPr>
          <w:rFonts w:ascii="Times New Roman" w:hAnsi="Times New Roman" w:cs="Times New Roman" w:hint="eastAsia"/>
          <w:color w:val="000000" w:themeColor="text1"/>
        </w:rPr>
        <w:t>4.3-12</w:t>
      </w:r>
      <w:r>
        <w:rPr>
          <w:rFonts w:ascii="Times New Roman" w:hAnsi="Times New Roman" w:cs="Times New Roman"/>
          <w:color w:val="000000" w:themeColor="text1"/>
        </w:rPr>
        <w:t>。</w:t>
      </w:r>
    </w:p>
    <w:p w14:paraId="09EFA93C" w14:textId="77777777" w:rsidR="009D12AF" w:rsidRDefault="00000000">
      <w:pPr>
        <w:ind w:firstLine="482"/>
        <w:jc w:val="center"/>
        <w:rPr>
          <w:b/>
          <w:bCs/>
        </w:rPr>
      </w:pPr>
      <w:r>
        <w:rPr>
          <w:rFonts w:hint="eastAsia"/>
          <w:b/>
          <w:bCs/>
        </w:rPr>
        <w:t>表</w:t>
      </w:r>
      <w:r>
        <w:rPr>
          <w:rFonts w:hint="eastAsia"/>
          <w:b/>
          <w:bCs/>
        </w:rPr>
        <w:t xml:space="preserve">4.3-40  </w:t>
      </w:r>
      <w:r>
        <w:rPr>
          <w:rFonts w:hint="eastAsia"/>
          <w:b/>
          <w:bCs/>
        </w:rPr>
        <w:t>评价水域水生维管植物名录</w:t>
      </w:r>
    </w:p>
    <w:tbl>
      <w:tblPr>
        <w:tblW w:w="8017" w:type="dxa"/>
        <w:tblInd w:w="279" w:type="dxa"/>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984"/>
        <w:gridCol w:w="2694"/>
        <w:gridCol w:w="567"/>
        <w:gridCol w:w="556"/>
        <w:gridCol w:w="554"/>
        <w:gridCol w:w="554"/>
        <w:gridCol w:w="554"/>
        <w:gridCol w:w="554"/>
      </w:tblGrid>
      <w:tr w:rsidR="009D12AF" w14:paraId="72C7821D" w14:textId="77777777">
        <w:trPr>
          <w:trHeight w:val="320"/>
        </w:trPr>
        <w:tc>
          <w:tcPr>
            <w:tcW w:w="1984" w:type="dxa"/>
            <w:tcBorders>
              <w:tl2br w:val="nil"/>
              <w:tr2bl w:val="nil"/>
            </w:tcBorders>
            <w:vAlign w:val="center"/>
          </w:tcPr>
          <w:p w14:paraId="4A3C2256" w14:textId="77777777" w:rsidR="009D12AF" w:rsidRDefault="00000000">
            <w:pPr>
              <w:ind w:firstLineChars="0" w:firstLine="0"/>
              <w:jc w:val="center"/>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科</w:t>
            </w:r>
          </w:p>
        </w:tc>
        <w:tc>
          <w:tcPr>
            <w:tcW w:w="2694" w:type="dxa"/>
            <w:tcBorders>
              <w:tl2br w:val="nil"/>
              <w:tr2bl w:val="nil"/>
            </w:tcBorders>
            <w:vAlign w:val="center"/>
          </w:tcPr>
          <w:p w14:paraId="7FFE1847" w14:textId="77777777" w:rsidR="009D12AF" w:rsidRDefault="00000000">
            <w:pPr>
              <w:ind w:firstLineChars="0" w:firstLine="0"/>
              <w:jc w:val="center"/>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种</w:t>
            </w:r>
          </w:p>
        </w:tc>
        <w:tc>
          <w:tcPr>
            <w:tcW w:w="567" w:type="dxa"/>
            <w:tcBorders>
              <w:tl2br w:val="nil"/>
              <w:tr2bl w:val="nil"/>
            </w:tcBorders>
            <w:vAlign w:val="center"/>
          </w:tcPr>
          <w:p w14:paraId="51F6503B" w14:textId="77777777" w:rsidR="009D12AF" w:rsidRDefault="00000000">
            <w:pPr>
              <w:ind w:firstLineChars="0" w:firstLine="0"/>
              <w:rPr>
                <w:rFonts w:ascii="Times New Roman" w:hAnsi="Times New Roman" w:cs="Times New Roman"/>
                <w:b/>
                <w:color w:val="000000" w:themeColor="text1"/>
                <w:sz w:val="18"/>
                <w:szCs w:val="18"/>
              </w:rPr>
            </w:pPr>
            <w:r>
              <w:rPr>
                <w:rFonts w:ascii="Times New Roman" w:hAnsi="Times New Roman" w:cs="Times New Roman"/>
                <w:color w:val="000000" w:themeColor="text1"/>
                <w:sz w:val="18"/>
                <w:szCs w:val="18"/>
              </w:rPr>
              <w:t>莲花水库</w:t>
            </w:r>
          </w:p>
        </w:tc>
        <w:tc>
          <w:tcPr>
            <w:tcW w:w="556" w:type="dxa"/>
            <w:tcBorders>
              <w:tl2br w:val="nil"/>
              <w:tr2bl w:val="nil"/>
            </w:tcBorders>
            <w:vAlign w:val="center"/>
          </w:tcPr>
          <w:p w14:paraId="7170CBC3" w14:textId="77777777" w:rsidR="009D12AF" w:rsidRDefault="00000000">
            <w:pPr>
              <w:ind w:firstLineChars="0" w:firstLine="0"/>
              <w:rPr>
                <w:rFonts w:ascii="Times New Roman" w:hAnsi="Times New Roman" w:cs="Times New Roman"/>
                <w:b/>
                <w:color w:val="000000" w:themeColor="text1"/>
                <w:sz w:val="18"/>
                <w:szCs w:val="18"/>
              </w:rPr>
            </w:pPr>
            <w:r>
              <w:rPr>
                <w:rFonts w:ascii="Times New Roman" w:hAnsi="Times New Roman" w:cs="Times New Roman"/>
                <w:color w:val="000000" w:themeColor="text1"/>
                <w:sz w:val="18"/>
                <w:szCs w:val="18"/>
              </w:rPr>
              <w:t>群力水库</w:t>
            </w:r>
          </w:p>
        </w:tc>
        <w:tc>
          <w:tcPr>
            <w:tcW w:w="554" w:type="dxa"/>
            <w:tcBorders>
              <w:tl2br w:val="nil"/>
              <w:tr2bl w:val="nil"/>
            </w:tcBorders>
            <w:vAlign w:val="center"/>
          </w:tcPr>
          <w:p w14:paraId="0F45DA00" w14:textId="77777777" w:rsidR="009D12AF" w:rsidRDefault="00000000">
            <w:pPr>
              <w:ind w:firstLineChars="0" w:firstLine="0"/>
              <w:rPr>
                <w:rFonts w:ascii="Times New Roman" w:hAnsi="Times New Roman" w:cs="Times New Roman"/>
                <w:b/>
                <w:color w:val="000000" w:themeColor="text1"/>
                <w:sz w:val="18"/>
                <w:szCs w:val="18"/>
              </w:rPr>
            </w:pPr>
            <w:r>
              <w:rPr>
                <w:rFonts w:ascii="Times New Roman" w:hAnsi="Times New Roman" w:cs="Times New Roman"/>
                <w:color w:val="000000" w:themeColor="text1"/>
                <w:sz w:val="18"/>
                <w:szCs w:val="18"/>
              </w:rPr>
              <w:t>万丈水库</w:t>
            </w:r>
          </w:p>
        </w:tc>
        <w:tc>
          <w:tcPr>
            <w:tcW w:w="554" w:type="dxa"/>
            <w:tcBorders>
              <w:tl2br w:val="nil"/>
              <w:tr2bl w:val="nil"/>
            </w:tcBorders>
            <w:vAlign w:val="center"/>
          </w:tcPr>
          <w:p w14:paraId="05C8E3AE" w14:textId="77777777" w:rsidR="009D12AF" w:rsidRDefault="00000000">
            <w:pPr>
              <w:ind w:firstLineChars="0" w:firstLine="0"/>
              <w:rPr>
                <w:rFonts w:ascii="Times New Roman" w:hAnsi="Times New Roman" w:cs="Times New Roman"/>
                <w:b/>
                <w:color w:val="000000" w:themeColor="text1"/>
                <w:sz w:val="18"/>
                <w:szCs w:val="18"/>
              </w:rPr>
            </w:pPr>
            <w:r>
              <w:rPr>
                <w:rFonts w:ascii="Times New Roman" w:hAnsi="Times New Roman" w:cs="Times New Roman"/>
                <w:color w:val="000000" w:themeColor="text1"/>
                <w:sz w:val="18"/>
                <w:szCs w:val="18"/>
              </w:rPr>
              <w:t>长石水库</w:t>
            </w:r>
          </w:p>
        </w:tc>
        <w:tc>
          <w:tcPr>
            <w:tcW w:w="554" w:type="dxa"/>
            <w:tcBorders>
              <w:tl2br w:val="nil"/>
              <w:tr2bl w:val="nil"/>
            </w:tcBorders>
            <w:vAlign w:val="center"/>
          </w:tcPr>
          <w:p w14:paraId="06D34E1A" w14:textId="77777777" w:rsidR="009D12AF" w:rsidRDefault="00000000">
            <w:pPr>
              <w:ind w:firstLineChars="0" w:firstLine="0"/>
              <w:rPr>
                <w:rFonts w:ascii="Times New Roman" w:hAnsi="Times New Roman" w:cs="Times New Roman"/>
                <w:b/>
                <w:color w:val="000000" w:themeColor="text1"/>
                <w:sz w:val="18"/>
                <w:szCs w:val="18"/>
              </w:rPr>
            </w:pPr>
            <w:r>
              <w:rPr>
                <w:rFonts w:ascii="Times New Roman" w:hAnsi="Times New Roman" w:cs="Times New Roman"/>
                <w:color w:val="000000" w:themeColor="text1"/>
                <w:sz w:val="18"/>
                <w:szCs w:val="18"/>
              </w:rPr>
              <w:t>新安晒水池</w:t>
            </w:r>
          </w:p>
        </w:tc>
        <w:tc>
          <w:tcPr>
            <w:tcW w:w="554" w:type="dxa"/>
            <w:tcBorders>
              <w:tl2br w:val="nil"/>
              <w:tr2bl w:val="nil"/>
            </w:tcBorders>
            <w:vAlign w:val="center"/>
          </w:tcPr>
          <w:p w14:paraId="7367DE49" w14:textId="77777777" w:rsidR="009D12AF" w:rsidRDefault="00000000">
            <w:pPr>
              <w:ind w:firstLineChars="0" w:firstLine="0"/>
              <w:rPr>
                <w:rFonts w:ascii="Times New Roman" w:hAnsi="Times New Roman" w:cs="Times New Roman"/>
                <w:b/>
                <w:color w:val="000000" w:themeColor="text1"/>
                <w:sz w:val="18"/>
                <w:szCs w:val="18"/>
              </w:rPr>
            </w:pPr>
            <w:r>
              <w:rPr>
                <w:rFonts w:ascii="Times New Roman" w:hAnsi="Times New Roman" w:cs="Times New Roman"/>
                <w:color w:val="000000" w:themeColor="text1"/>
                <w:sz w:val="18"/>
                <w:szCs w:val="18"/>
              </w:rPr>
              <w:t>向阳水电站前池</w:t>
            </w:r>
          </w:p>
        </w:tc>
      </w:tr>
      <w:tr w:rsidR="009D12AF" w14:paraId="3517DB8D" w14:textId="77777777">
        <w:trPr>
          <w:trHeight w:val="320"/>
        </w:trPr>
        <w:tc>
          <w:tcPr>
            <w:tcW w:w="1984" w:type="dxa"/>
            <w:tcBorders>
              <w:tl2br w:val="nil"/>
              <w:tr2bl w:val="nil"/>
            </w:tcBorders>
            <w:vAlign w:val="center"/>
          </w:tcPr>
          <w:p w14:paraId="6AD78C71"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槐叶萍科</w:t>
            </w:r>
            <w:r>
              <w:rPr>
                <w:rFonts w:ascii="Times New Roman" w:hAnsi="Times New Roman" w:cs="Times New Roman"/>
                <w:color w:val="000000" w:themeColor="text1"/>
                <w:sz w:val="18"/>
                <w:szCs w:val="18"/>
              </w:rPr>
              <w:t>Salviniaceae</w:t>
            </w:r>
          </w:p>
        </w:tc>
        <w:tc>
          <w:tcPr>
            <w:tcW w:w="2694" w:type="dxa"/>
            <w:tcBorders>
              <w:tl2br w:val="nil"/>
              <w:tr2bl w:val="nil"/>
            </w:tcBorders>
            <w:vAlign w:val="center"/>
          </w:tcPr>
          <w:p w14:paraId="6A33B945"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槐叶萍</w:t>
            </w:r>
            <w:r>
              <w:rPr>
                <w:rFonts w:ascii="Times New Roman" w:hAnsi="Times New Roman" w:cs="Times New Roman"/>
                <w:i/>
                <w:iCs/>
                <w:color w:val="000000" w:themeColor="text1"/>
                <w:sz w:val="18"/>
                <w:szCs w:val="18"/>
              </w:rPr>
              <w:t>Salvinia natans</w:t>
            </w:r>
            <w:r>
              <w:rPr>
                <w:rFonts w:ascii="Times New Roman" w:hAnsi="Times New Roman" w:cs="Times New Roman"/>
                <w:color w:val="000000" w:themeColor="text1"/>
                <w:sz w:val="18"/>
                <w:szCs w:val="18"/>
              </w:rPr>
              <w:t xml:space="preserve"> </w:t>
            </w:r>
          </w:p>
        </w:tc>
        <w:tc>
          <w:tcPr>
            <w:tcW w:w="567" w:type="dxa"/>
            <w:tcBorders>
              <w:tl2br w:val="nil"/>
              <w:tr2bl w:val="nil"/>
            </w:tcBorders>
            <w:vAlign w:val="center"/>
          </w:tcPr>
          <w:p w14:paraId="5D576D6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6" w:type="dxa"/>
            <w:tcBorders>
              <w:tl2br w:val="nil"/>
              <w:tr2bl w:val="nil"/>
            </w:tcBorders>
            <w:vAlign w:val="center"/>
          </w:tcPr>
          <w:p w14:paraId="7E0CBA0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4949351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1886CD7C"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0685D9E1"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58043952"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5A89D9D4" w14:textId="77777777">
        <w:trPr>
          <w:trHeight w:val="320"/>
        </w:trPr>
        <w:tc>
          <w:tcPr>
            <w:tcW w:w="1984" w:type="dxa"/>
            <w:tcBorders>
              <w:tl2br w:val="nil"/>
              <w:tr2bl w:val="nil"/>
            </w:tcBorders>
            <w:vAlign w:val="center"/>
          </w:tcPr>
          <w:p w14:paraId="6F4E851D"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蓼科</w:t>
            </w:r>
            <w:r>
              <w:rPr>
                <w:rFonts w:ascii="Times New Roman" w:hAnsi="Times New Roman" w:cs="Times New Roman"/>
                <w:color w:val="000000" w:themeColor="text1"/>
                <w:sz w:val="18"/>
                <w:szCs w:val="18"/>
              </w:rPr>
              <w:t>Polygonaceae</w:t>
            </w:r>
          </w:p>
        </w:tc>
        <w:tc>
          <w:tcPr>
            <w:tcW w:w="2694" w:type="dxa"/>
            <w:tcBorders>
              <w:tl2br w:val="nil"/>
              <w:tr2bl w:val="nil"/>
            </w:tcBorders>
            <w:vAlign w:val="center"/>
          </w:tcPr>
          <w:p w14:paraId="3255A205"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两栖蓼</w:t>
            </w:r>
            <w:r>
              <w:rPr>
                <w:rFonts w:ascii="Times New Roman" w:hAnsi="Times New Roman" w:cs="Times New Roman"/>
                <w:i/>
                <w:iCs/>
                <w:color w:val="000000" w:themeColor="text1"/>
                <w:sz w:val="18"/>
                <w:szCs w:val="18"/>
              </w:rPr>
              <w:t>Polygonum amphibium</w:t>
            </w:r>
            <w:r>
              <w:rPr>
                <w:rFonts w:ascii="Times New Roman" w:hAnsi="Times New Roman" w:cs="Times New Roman"/>
                <w:color w:val="000000" w:themeColor="text1"/>
                <w:sz w:val="18"/>
                <w:szCs w:val="18"/>
              </w:rPr>
              <w:t xml:space="preserve"> </w:t>
            </w:r>
          </w:p>
        </w:tc>
        <w:tc>
          <w:tcPr>
            <w:tcW w:w="567" w:type="dxa"/>
            <w:tcBorders>
              <w:tl2br w:val="nil"/>
              <w:tr2bl w:val="nil"/>
            </w:tcBorders>
            <w:vAlign w:val="center"/>
          </w:tcPr>
          <w:p w14:paraId="1A3576A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6" w:type="dxa"/>
            <w:tcBorders>
              <w:tl2br w:val="nil"/>
              <w:tr2bl w:val="nil"/>
            </w:tcBorders>
            <w:vAlign w:val="center"/>
          </w:tcPr>
          <w:p w14:paraId="1015C08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2D87EF6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52F845FE"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19A1F99E"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75F1DBCA"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190D00FF" w14:textId="77777777">
        <w:trPr>
          <w:trHeight w:val="320"/>
        </w:trPr>
        <w:tc>
          <w:tcPr>
            <w:tcW w:w="1984" w:type="dxa"/>
            <w:tcBorders>
              <w:tl2br w:val="nil"/>
              <w:tr2bl w:val="nil"/>
            </w:tcBorders>
            <w:vAlign w:val="center"/>
          </w:tcPr>
          <w:p w14:paraId="7576872F"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菱科</w:t>
            </w:r>
            <w:r>
              <w:rPr>
                <w:rFonts w:ascii="Times New Roman" w:hAnsi="Times New Roman" w:cs="Times New Roman"/>
                <w:color w:val="000000" w:themeColor="text1"/>
                <w:sz w:val="18"/>
                <w:szCs w:val="18"/>
              </w:rPr>
              <w:t>Trapaceae</w:t>
            </w:r>
          </w:p>
        </w:tc>
        <w:tc>
          <w:tcPr>
            <w:tcW w:w="2694" w:type="dxa"/>
            <w:tcBorders>
              <w:tl2br w:val="nil"/>
              <w:tr2bl w:val="nil"/>
            </w:tcBorders>
            <w:vAlign w:val="center"/>
          </w:tcPr>
          <w:p w14:paraId="5F2D08DD" w14:textId="77777777" w:rsidR="009D12AF" w:rsidRDefault="00000000">
            <w:pPr>
              <w:ind w:firstLineChars="0" w:firstLine="0"/>
              <w:rPr>
                <w:rFonts w:ascii="Times New Roman" w:hAnsi="Times New Roman" w:cs="Times New Roman"/>
                <w:color w:val="000000" w:themeColor="text1"/>
                <w:sz w:val="18"/>
                <w:szCs w:val="18"/>
              </w:rPr>
            </w:pPr>
            <w:bookmarkStart w:id="234" w:name="RANGE!D4"/>
            <w:r>
              <w:rPr>
                <w:rFonts w:ascii="Times New Roman" w:hAnsi="Times New Roman" w:cs="Times New Roman"/>
                <w:color w:val="000000" w:themeColor="text1"/>
                <w:sz w:val="18"/>
                <w:szCs w:val="18"/>
              </w:rPr>
              <w:t>东北菱</w:t>
            </w:r>
            <w:r>
              <w:rPr>
                <w:rFonts w:ascii="Times New Roman" w:hAnsi="Times New Roman" w:cs="Times New Roman"/>
                <w:i/>
                <w:iCs/>
                <w:color w:val="000000" w:themeColor="text1"/>
                <w:sz w:val="18"/>
                <w:szCs w:val="18"/>
              </w:rPr>
              <w:t>Trapa manshurica</w:t>
            </w:r>
            <w:bookmarkEnd w:id="234"/>
          </w:p>
        </w:tc>
        <w:tc>
          <w:tcPr>
            <w:tcW w:w="567" w:type="dxa"/>
            <w:tcBorders>
              <w:tl2br w:val="nil"/>
              <w:tr2bl w:val="nil"/>
            </w:tcBorders>
            <w:vAlign w:val="center"/>
          </w:tcPr>
          <w:p w14:paraId="5DB9EA9D"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6" w:type="dxa"/>
            <w:tcBorders>
              <w:tl2br w:val="nil"/>
              <w:tr2bl w:val="nil"/>
            </w:tcBorders>
            <w:vAlign w:val="center"/>
          </w:tcPr>
          <w:p w14:paraId="406A6B31"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4D9F0EB1"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6A03789C"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2236F07C"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30B4898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4127D831" w14:textId="77777777">
        <w:trPr>
          <w:trHeight w:val="320"/>
        </w:trPr>
        <w:tc>
          <w:tcPr>
            <w:tcW w:w="1984" w:type="dxa"/>
            <w:tcBorders>
              <w:tl2br w:val="nil"/>
              <w:tr2bl w:val="nil"/>
            </w:tcBorders>
            <w:vAlign w:val="center"/>
          </w:tcPr>
          <w:p w14:paraId="22EC0144"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香蒲科</w:t>
            </w:r>
            <w:r>
              <w:rPr>
                <w:rFonts w:ascii="Times New Roman" w:hAnsi="Times New Roman" w:cs="Times New Roman"/>
                <w:color w:val="000000" w:themeColor="text1"/>
                <w:sz w:val="18"/>
                <w:szCs w:val="18"/>
              </w:rPr>
              <w:t>Typhaceae</w:t>
            </w:r>
          </w:p>
        </w:tc>
        <w:tc>
          <w:tcPr>
            <w:tcW w:w="2694" w:type="dxa"/>
            <w:tcBorders>
              <w:tl2br w:val="nil"/>
              <w:tr2bl w:val="nil"/>
            </w:tcBorders>
            <w:vAlign w:val="center"/>
          </w:tcPr>
          <w:p w14:paraId="52F9643F"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宽叶香蒲</w:t>
            </w:r>
            <w:r>
              <w:rPr>
                <w:rFonts w:ascii="Times New Roman" w:hAnsi="Times New Roman" w:cs="Times New Roman"/>
                <w:i/>
                <w:iCs/>
                <w:color w:val="000000" w:themeColor="text1"/>
                <w:sz w:val="18"/>
                <w:szCs w:val="18"/>
              </w:rPr>
              <w:t>Typha latifolia</w:t>
            </w:r>
          </w:p>
        </w:tc>
        <w:tc>
          <w:tcPr>
            <w:tcW w:w="567" w:type="dxa"/>
            <w:tcBorders>
              <w:tl2br w:val="nil"/>
              <w:tr2bl w:val="nil"/>
            </w:tcBorders>
            <w:vAlign w:val="center"/>
          </w:tcPr>
          <w:p w14:paraId="448796DC"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6" w:type="dxa"/>
            <w:tcBorders>
              <w:tl2br w:val="nil"/>
              <w:tr2bl w:val="nil"/>
            </w:tcBorders>
            <w:vAlign w:val="center"/>
          </w:tcPr>
          <w:p w14:paraId="20B344D3"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18641065"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51D5BFF1"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103164CF"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51F50E0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0881F6E8" w14:textId="77777777">
        <w:trPr>
          <w:trHeight w:val="320"/>
        </w:trPr>
        <w:tc>
          <w:tcPr>
            <w:tcW w:w="1984" w:type="dxa"/>
            <w:tcBorders>
              <w:tl2br w:val="nil"/>
              <w:tr2bl w:val="nil"/>
            </w:tcBorders>
            <w:vAlign w:val="center"/>
          </w:tcPr>
          <w:p w14:paraId="309DABBD"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眼子菜科</w:t>
            </w:r>
            <w:r>
              <w:rPr>
                <w:rFonts w:ascii="Times New Roman" w:hAnsi="Times New Roman" w:cs="Times New Roman"/>
                <w:color w:val="000000" w:themeColor="text1"/>
                <w:sz w:val="18"/>
                <w:szCs w:val="18"/>
              </w:rPr>
              <w:t>Potamogetonacea</w:t>
            </w:r>
          </w:p>
        </w:tc>
        <w:tc>
          <w:tcPr>
            <w:tcW w:w="2694" w:type="dxa"/>
            <w:tcBorders>
              <w:tl2br w:val="nil"/>
              <w:tr2bl w:val="nil"/>
            </w:tcBorders>
            <w:vAlign w:val="center"/>
          </w:tcPr>
          <w:p w14:paraId="2BD246A1"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眼子菜</w:t>
            </w:r>
            <w:r>
              <w:rPr>
                <w:rFonts w:ascii="Times New Roman" w:hAnsi="Times New Roman" w:cs="Times New Roman"/>
                <w:i/>
                <w:iCs/>
                <w:color w:val="000000" w:themeColor="text1"/>
                <w:sz w:val="18"/>
                <w:szCs w:val="18"/>
              </w:rPr>
              <w:t>Potamogeton distinctus</w:t>
            </w:r>
          </w:p>
        </w:tc>
        <w:tc>
          <w:tcPr>
            <w:tcW w:w="567" w:type="dxa"/>
            <w:tcBorders>
              <w:tl2br w:val="nil"/>
              <w:tr2bl w:val="nil"/>
            </w:tcBorders>
            <w:vAlign w:val="center"/>
          </w:tcPr>
          <w:p w14:paraId="3CEC6794"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6" w:type="dxa"/>
            <w:tcBorders>
              <w:tl2br w:val="nil"/>
              <w:tr2bl w:val="nil"/>
            </w:tcBorders>
            <w:vAlign w:val="center"/>
          </w:tcPr>
          <w:p w14:paraId="544E717B"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606457EB"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048DC33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4D86DD9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49EF9DB5"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0ECFFEE3" w14:textId="77777777">
        <w:trPr>
          <w:trHeight w:val="320"/>
        </w:trPr>
        <w:tc>
          <w:tcPr>
            <w:tcW w:w="1984" w:type="dxa"/>
            <w:tcBorders>
              <w:tl2br w:val="nil"/>
              <w:tr2bl w:val="nil"/>
            </w:tcBorders>
            <w:vAlign w:val="center"/>
          </w:tcPr>
          <w:p w14:paraId="7CE9E710" w14:textId="77777777" w:rsidR="009D12AF" w:rsidRDefault="009D12AF">
            <w:pPr>
              <w:ind w:firstLineChars="0" w:firstLine="0"/>
              <w:rPr>
                <w:rFonts w:ascii="Times New Roman" w:hAnsi="Times New Roman" w:cs="Times New Roman"/>
                <w:color w:val="000000" w:themeColor="text1"/>
                <w:sz w:val="18"/>
                <w:szCs w:val="18"/>
              </w:rPr>
            </w:pPr>
          </w:p>
        </w:tc>
        <w:tc>
          <w:tcPr>
            <w:tcW w:w="2694" w:type="dxa"/>
            <w:tcBorders>
              <w:tl2br w:val="nil"/>
              <w:tr2bl w:val="nil"/>
            </w:tcBorders>
            <w:vAlign w:val="center"/>
          </w:tcPr>
          <w:p w14:paraId="34524746"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竹叶眼子菜</w:t>
            </w:r>
            <w:r>
              <w:rPr>
                <w:rFonts w:ascii="Times New Roman" w:hAnsi="Times New Roman" w:cs="Times New Roman"/>
                <w:i/>
                <w:iCs/>
                <w:color w:val="000000" w:themeColor="text1"/>
                <w:sz w:val="18"/>
                <w:szCs w:val="18"/>
              </w:rPr>
              <w:t>Potamogeton wrightii</w:t>
            </w:r>
          </w:p>
        </w:tc>
        <w:tc>
          <w:tcPr>
            <w:tcW w:w="567" w:type="dxa"/>
            <w:tcBorders>
              <w:tl2br w:val="nil"/>
              <w:tr2bl w:val="nil"/>
            </w:tcBorders>
            <w:vAlign w:val="center"/>
          </w:tcPr>
          <w:p w14:paraId="53852903"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6" w:type="dxa"/>
            <w:tcBorders>
              <w:tl2br w:val="nil"/>
              <w:tr2bl w:val="nil"/>
            </w:tcBorders>
            <w:vAlign w:val="center"/>
          </w:tcPr>
          <w:p w14:paraId="3683371A"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62E5A035"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1E400133"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187AC33E"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38A0E077"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2D1839ED" w14:textId="77777777">
        <w:trPr>
          <w:trHeight w:val="320"/>
        </w:trPr>
        <w:tc>
          <w:tcPr>
            <w:tcW w:w="1984" w:type="dxa"/>
            <w:tcBorders>
              <w:tl2br w:val="nil"/>
              <w:tr2bl w:val="nil"/>
            </w:tcBorders>
            <w:vAlign w:val="center"/>
          </w:tcPr>
          <w:p w14:paraId="5C721325"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泽泻科</w:t>
            </w:r>
            <w:r>
              <w:rPr>
                <w:rFonts w:ascii="Times New Roman" w:hAnsi="Times New Roman" w:cs="Times New Roman"/>
                <w:color w:val="000000" w:themeColor="text1"/>
                <w:sz w:val="18"/>
                <w:szCs w:val="18"/>
              </w:rPr>
              <w:t>Alismaceae</w:t>
            </w:r>
          </w:p>
        </w:tc>
        <w:tc>
          <w:tcPr>
            <w:tcW w:w="2694" w:type="dxa"/>
            <w:tcBorders>
              <w:tl2br w:val="nil"/>
              <w:tr2bl w:val="nil"/>
            </w:tcBorders>
            <w:vAlign w:val="center"/>
          </w:tcPr>
          <w:p w14:paraId="1F5553A0"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泽泻</w:t>
            </w:r>
            <w:r>
              <w:rPr>
                <w:rFonts w:ascii="Times New Roman" w:hAnsi="Times New Roman" w:cs="Times New Roman"/>
                <w:i/>
                <w:iCs/>
                <w:color w:val="000000" w:themeColor="text1"/>
                <w:sz w:val="18"/>
                <w:szCs w:val="18"/>
              </w:rPr>
              <w:t>Alisma orientale</w:t>
            </w:r>
            <w:r>
              <w:rPr>
                <w:rFonts w:ascii="Times New Roman" w:hAnsi="Times New Roman" w:cs="Times New Roman"/>
                <w:color w:val="000000" w:themeColor="text1"/>
                <w:sz w:val="18"/>
                <w:szCs w:val="18"/>
              </w:rPr>
              <w:t xml:space="preserve"> </w:t>
            </w:r>
          </w:p>
        </w:tc>
        <w:tc>
          <w:tcPr>
            <w:tcW w:w="567" w:type="dxa"/>
            <w:tcBorders>
              <w:tl2br w:val="nil"/>
              <w:tr2bl w:val="nil"/>
            </w:tcBorders>
            <w:vAlign w:val="center"/>
          </w:tcPr>
          <w:p w14:paraId="2775EB2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6" w:type="dxa"/>
            <w:tcBorders>
              <w:tl2br w:val="nil"/>
              <w:tr2bl w:val="nil"/>
            </w:tcBorders>
            <w:vAlign w:val="center"/>
          </w:tcPr>
          <w:p w14:paraId="71CB22B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18FEACE1"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7D3AFFC9"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5B73D03B"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05085E5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4AB1D369" w14:textId="77777777">
        <w:trPr>
          <w:trHeight w:val="320"/>
        </w:trPr>
        <w:tc>
          <w:tcPr>
            <w:tcW w:w="1984" w:type="dxa"/>
            <w:tcBorders>
              <w:tl2br w:val="nil"/>
              <w:tr2bl w:val="nil"/>
            </w:tcBorders>
            <w:vAlign w:val="center"/>
          </w:tcPr>
          <w:p w14:paraId="1572F86A" w14:textId="77777777" w:rsidR="009D12AF" w:rsidRDefault="009D12AF">
            <w:pPr>
              <w:ind w:firstLineChars="0" w:firstLine="0"/>
              <w:rPr>
                <w:rFonts w:ascii="Times New Roman" w:hAnsi="Times New Roman" w:cs="Times New Roman"/>
                <w:color w:val="000000" w:themeColor="text1"/>
                <w:sz w:val="18"/>
                <w:szCs w:val="18"/>
              </w:rPr>
            </w:pPr>
          </w:p>
        </w:tc>
        <w:tc>
          <w:tcPr>
            <w:tcW w:w="2694" w:type="dxa"/>
            <w:tcBorders>
              <w:tl2br w:val="nil"/>
              <w:tr2bl w:val="nil"/>
            </w:tcBorders>
            <w:vAlign w:val="center"/>
          </w:tcPr>
          <w:p w14:paraId="76B0C0A3"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慈姑</w:t>
            </w:r>
            <w:r>
              <w:rPr>
                <w:rFonts w:ascii="Times New Roman" w:hAnsi="Times New Roman" w:cs="Times New Roman"/>
                <w:i/>
                <w:iCs/>
                <w:color w:val="000000" w:themeColor="text1"/>
                <w:sz w:val="18"/>
                <w:szCs w:val="18"/>
              </w:rPr>
              <w:t>Sagittaria trifolia</w:t>
            </w:r>
          </w:p>
        </w:tc>
        <w:tc>
          <w:tcPr>
            <w:tcW w:w="567" w:type="dxa"/>
            <w:tcBorders>
              <w:tl2br w:val="nil"/>
              <w:tr2bl w:val="nil"/>
            </w:tcBorders>
            <w:vAlign w:val="center"/>
          </w:tcPr>
          <w:p w14:paraId="75DB2E03"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6" w:type="dxa"/>
            <w:tcBorders>
              <w:tl2br w:val="nil"/>
              <w:tr2bl w:val="nil"/>
            </w:tcBorders>
            <w:vAlign w:val="center"/>
          </w:tcPr>
          <w:p w14:paraId="74813295"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1B7E63F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5ACD822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1906C4F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33BF3DC7"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1C02878C" w14:textId="77777777">
        <w:trPr>
          <w:trHeight w:val="320"/>
        </w:trPr>
        <w:tc>
          <w:tcPr>
            <w:tcW w:w="1984" w:type="dxa"/>
            <w:tcBorders>
              <w:tl2br w:val="nil"/>
              <w:tr2bl w:val="nil"/>
            </w:tcBorders>
            <w:vAlign w:val="center"/>
          </w:tcPr>
          <w:p w14:paraId="23082E00"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禾本科</w:t>
            </w:r>
            <w:r>
              <w:rPr>
                <w:rFonts w:ascii="Times New Roman" w:hAnsi="Times New Roman" w:cs="Times New Roman"/>
                <w:color w:val="000000" w:themeColor="text1"/>
                <w:sz w:val="18"/>
                <w:szCs w:val="18"/>
              </w:rPr>
              <w:t>Gramineae</w:t>
            </w:r>
          </w:p>
        </w:tc>
        <w:tc>
          <w:tcPr>
            <w:tcW w:w="2694" w:type="dxa"/>
            <w:tcBorders>
              <w:tl2br w:val="nil"/>
              <w:tr2bl w:val="nil"/>
            </w:tcBorders>
            <w:vAlign w:val="center"/>
          </w:tcPr>
          <w:p w14:paraId="0BD97B16"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菵草</w:t>
            </w:r>
            <w:r>
              <w:rPr>
                <w:rFonts w:ascii="Times New Roman" w:hAnsi="Times New Roman" w:cs="Times New Roman"/>
                <w:i/>
                <w:iCs/>
                <w:color w:val="000000" w:themeColor="text1"/>
                <w:sz w:val="18"/>
                <w:szCs w:val="18"/>
              </w:rPr>
              <w:t>Beckmannia syzigachne</w:t>
            </w:r>
            <w:r>
              <w:rPr>
                <w:rFonts w:ascii="Times New Roman" w:hAnsi="Times New Roman" w:cs="Times New Roman"/>
                <w:color w:val="000000" w:themeColor="text1"/>
                <w:sz w:val="18"/>
                <w:szCs w:val="18"/>
              </w:rPr>
              <w:t xml:space="preserve"> </w:t>
            </w:r>
          </w:p>
        </w:tc>
        <w:tc>
          <w:tcPr>
            <w:tcW w:w="567" w:type="dxa"/>
            <w:tcBorders>
              <w:tl2br w:val="nil"/>
              <w:tr2bl w:val="nil"/>
            </w:tcBorders>
            <w:vAlign w:val="center"/>
          </w:tcPr>
          <w:p w14:paraId="3153C09A"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6" w:type="dxa"/>
            <w:tcBorders>
              <w:tl2br w:val="nil"/>
              <w:tr2bl w:val="nil"/>
            </w:tcBorders>
            <w:vAlign w:val="center"/>
          </w:tcPr>
          <w:p w14:paraId="7510A3F7"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1A6F3AA3"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38293517"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1FE67DD6"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68764358"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0ACB738A" w14:textId="77777777">
        <w:trPr>
          <w:trHeight w:val="320"/>
        </w:trPr>
        <w:tc>
          <w:tcPr>
            <w:tcW w:w="1984" w:type="dxa"/>
            <w:tcBorders>
              <w:tl2br w:val="nil"/>
              <w:tr2bl w:val="nil"/>
            </w:tcBorders>
            <w:vAlign w:val="center"/>
          </w:tcPr>
          <w:p w14:paraId="2816D403" w14:textId="77777777" w:rsidR="009D12AF" w:rsidRDefault="009D12AF">
            <w:pPr>
              <w:ind w:firstLineChars="0" w:firstLine="0"/>
              <w:rPr>
                <w:rFonts w:ascii="Times New Roman" w:hAnsi="Times New Roman" w:cs="Times New Roman"/>
                <w:color w:val="000000" w:themeColor="text1"/>
                <w:sz w:val="18"/>
                <w:szCs w:val="18"/>
              </w:rPr>
            </w:pPr>
          </w:p>
        </w:tc>
        <w:tc>
          <w:tcPr>
            <w:tcW w:w="2694" w:type="dxa"/>
            <w:tcBorders>
              <w:tl2br w:val="nil"/>
              <w:tr2bl w:val="nil"/>
            </w:tcBorders>
            <w:vAlign w:val="center"/>
          </w:tcPr>
          <w:p w14:paraId="0ED03BE1"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芦苇</w:t>
            </w:r>
            <w:r>
              <w:rPr>
                <w:rFonts w:ascii="Times New Roman" w:hAnsi="Times New Roman" w:cs="Times New Roman"/>
                <w:i/>
                <w:iCs/>
                <w:color w:val="000000" w:themeColor="text1"/>
                <w:sz w:val="18"/>
                <w:szCs w:val="18"/>
              </w:rPr>
              <w:t xml:space="preserve">Phragmites communis </w:t>
            </w:r>
          </w:p>
        </w:tc>
        <w:tc>
          <w:tcPr>
            <w:tcW w:w="567" w:type="dxa"/>
            <w:tcBorders>
              <w:tl2br w:val="nil"/>
              <w:tr2bl w:val="nil"/>
            </w:tcBorders>
            <w:vAlign w:val="center"/>
          </w:tcPr>
          <w:p w14:paraId="6595D07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6" w:type="dxa"/>
            <w:tcBorders>
              <w:tl2br w:val="nil"/>
              <w:tr2bl w:val="nil"/>
            </w:tcBorders>
            <w:vAlign w:val="center"/>
          </w:tcPr>
          <w:p w14:paraId="3F6B9277"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1CDEB74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2729BC51"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072A38A2"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79CB6415"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7D83CB31" w14:textId="77777777">
        <w:trPr>
          <w:trHeight w:val="320"/>
        </w:trPr>
        <w:tc>
          <w:tcPr>
            <w:tcW w:w="1984" w:type="dxa"/>
            <w:tcBorders>
              <w:tl2br w:val="nil"/>
              <w:tr2bl w:val="nil"/>
            </w:tcBorders>
            <w:vAlign w:val="center"/>
          </w:tcPr>
          <w:p w14:paraId="3A1C3CFD" w14:textId="77777777" w:rsidR="009D12AF" w:rsidRDefault="009D12AF">
            <w:pPr>
              <w:ind w:firstLineChars="0" w:firstLine="0"/>
              <w:rPr>
                <w:rFonts w:ascii="Times New Roman" w:hAnsi="Times New Roman" w:cs="Times New Roman"/>
                <w:color w:val="000000" w:themeColor="text1"/>
                <w:sz w:val="18"/>
                <w:szCs w:val="18"/>
              </w:rPr>
            </w:pPr>
          </w:p>
        </w:tc>
        <w:tc>
          <w:tcPr>
            <w:tcW w:w="2694" w:type="dxa"/>
            <w:tcBorders>
              <w:tl2br w:val="nil"/>
              <w:tr2bl w:val="nil"/>
            </w:tcBorders>
            <w:vAlign w:val="center"/>
          </w:tcPr>
          <w:p w14:paraId="685C972A"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稗</w:t>
            </w:r>
            <w:r>
              <w:rPr>
                <w:rFonts w:ascii="Times New Roman" w:hAnsi="Times New Roman" w:cs="Times New Roman"/>
                <w:i/>
                <w:iCs/>
                <w:color w:val="000000" w:themeColor="text1"/>
                <w:sz w:val="18"/>
                <w:szCs w:val="18"/>
              </w:rPr>
              <w:t>Echinochloa crusgalli</w:t>
            </w:r>
          </w:p>
        </w:tc>
        <w:tc>
          <w:tcPr>
            <w:tcW w:w="567" w:type="dxa"/>
            <w:tcBorders>
              <w:tl2br w:val="nil"/>
              <w:tr2bl w:val="nil"/>
            </w:tcBorders>
            <w:vAlign w:val="center"/>
          </w:tcPr>
          <w:p w14:paraId="43201D9E"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6" w:type="dxa"/>
            <w:tcBorders>
              <w:tl2br w:val="nil"/>
              <w:tr2bl w:val="nil"/>
            </w:tcBorders>
            <w:vAlign w:val="center"/>
          </w:tcPr>
          <w:p w14:paraId="421D1DCD"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720D0E6C"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79EF33FA"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68A9E9A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5975211A"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690B3BD9" w14:textId="77777777">
        <w:trPr>
          <w:trHeight w:val="320"/>
        </w:trPr>
        <w:tc>
          <w:tcPr>
            <w:tcW w:w="1984" w:type="dxa"/>
            <w:tcBorders>
              <w:tl2br w:val="nil"/>
              <w:tr2bl w:val="nil"/>
            </w:tcBorders>
            <w:vAlign w:val="center"/>
          </w:tcPr>
          <w:p w14:paraId="44171475" w14:textId="77777777" w:rsidR="009D12AF" w:rsidRDefault="009D12AF">
            <w:pPr>
              <w:ind w:firstLineChars="0" w:firstLine="0"/>
              <w:rPr>
                <w:rFonts w:ascii="Times New Roman" w:hAnsi="Times New Roman" w:cs="Times New Roman"/>
                <w:color w:val="000000" w:themeColor="text1"/>
                <w:sz w:val="18"/>
                <w:szCs w:val="18"/>
              </w:rPr>
            </w:pPr>
          </w:p>
        </w:tc>
        <w:tc>
          <w:tcPr>
            <w:tcW w:w="2694" w:type="dxa"/>
            <w:tcBorders>
              <w:tl2br w:val="nil"/>
              <w:tr2bl w:val="nil"/>
            </w:tcBorders>
            <w:vAlign w:val="center"/>
          </w:tcPr>
          <w:p w14:paraId="44789782"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菰</w:t>
            </w:r>
            <w:r>
              <w:rPr>
                <w:rFonts w:ascii="Times New Roman" w:hAnsi="Times New Roman" w:cs="Times New Roman"/>
                <w:i/>
                <w:iCs/>
                <w:color w:val="000000" w:themeColor="text1"/>
                <w:sz w:val="18"/>
                <w:szCs w:val="18"/>
              </w:rPr>
              <w:t>Zizania caduciflora</w:t>
            </w:r>
          </w:p>
        </w:tc>
        <w:tc>
          <w:tcPr>
            <w:tcW w:w="567" w:type="dxa"/>
            <w:tcBorders>
              <w:tl2br w:val="nil"/>
              <w:tr2bl w:val="nil"/>
            </w:tcBorders>
            <w:vAlign w:val="center"/>
          </w:tcPr>
          <w:p w14:paraId="6159293F"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6" w:type="dxa"/>
            <w:tcBorders>
              <w:tl2br w:val="nil"/>
              <w:tr2bl w:val="nil"/>
            </w:tcBorders>
            <w:vAlign w:val="center"/>
          </w:tcPr>
          <w:p w14:paraId="3490399E"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1BFF332C"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285AF17B"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43EED500"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3C6E2842"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6EA0285D" w14:textId="77777777">
        <w:trPr>
          <w:trHeight w:val="320"/>
        </w:trPr>
        <w:tc>
          <w:tcPr>
            <w:tcW w:w="1984" w:type="dxa"/>
            <w:tcBorders>
              <w:tl2br w:val="nil"/>
              <w:tr2bl w:val="nil"/>
            </w:tcBorders>
            <w:vAlign w:val="center"/>
          </w:tcPr>
          <w:p w14:paraId="6F03E5CC"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莎草科</w:t>
            </w:r>
            <w:r>
              <w:rPr>
                <w:rFonts w:ascii="Times New Roman" w:hAnsi="Times New Roman" w:cs="Times New Roman"/>
                <w:color w:val="000000" w:themeColor="text1"/>
                <w:sz w:val="18"/>
                <w:szCs w:val="18"/>
              </w:rPr>
              <w:t>Cyperaceae</w:t>
            </w:r>
          </w:p>
        </w:tc>
        <w:tc>
          <w:tcPr>
            <w:tcW w:w="2694" w:type="dxa"/>
            <w:tcBorders>
              <w:tl2br w:val="nil"/>
              <w:tr2bl w:val="nil"/>
            </w:tcBorders>
            <w:vAlign w:val="center"/>
          </w:tcPr>
          <w:p w14:paraId="0393A784"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球穗苔草</w:t>
            </w:r>
            <w:r>
              <w:rPr>
                <w:rFonts w:ascii="Times New Roman" w:hAnsi="Times New Roman" w:cs="Times New Roman"/>
                <w:i/>
                <w:iCs/>
                <w:color w:val="000000" w:themeColor="text1"/>
                <w:sz w:val="18"/>
                <w:szCs w:val="18"/>
              </w:rPr>
              <w:t>Carex globularis</w:t>
            </w:r>
          </w:p>
        </w:tc>
        <w:tc>
          <w:tcPr>
            <w:tcW w:w="567" w:type="dxa"/>
            <w:tcBorders>
              <w:tl2br w:val="nil"/>
              <w:tr2bl w:val="nil"/>
            </w:tcBorders>
            <w:vAlign w:val="center"/>
          </w:tcPr>
          <w:p w14:paraId="528E35B7"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6" w:type="dxa"/>
            <w:tcBorders>
              <w:tl2br w:val="nil"/>
              <w:tr2bl w:val="nil"/>
            </w:tcBorders>
            <w:vAlign w:val="center"/>
          </w:tcPr>
          <w:p w14:paraId="34AF814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4BFE50F0"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7673D51C"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54C38FC7"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6D6FA1D4"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7CB09242" w14:textId="77777777">
        <w:trPr>
          <w:trHeight w:val="320"/>
        </w:trPr>
        <w:tc>
          <w:tcPr>
            <w:tcW w:w="1984" w:type="dxa"/>
            <w:tcBorders>
              <w:tl2br w:val="nil"/>
              <w:tr2bl w:val="nil"/>
            </w:tcBorders>
            <w:vAlign w:val="center"/>
          </w:tcPr>
          <w:p w14:paraId="11397CC9" w14:textId="77777777" w:rsidR="009D12AF" w:rsidRDefault="009D12AF">
            <w:pPr>
              <w:ind w:firstLineChars="0" w:firstLine="0"/>
              <w:rPr>
                <w:rFonts w:ascii="Times New Roman" w:hAnsi="Times New Roman" w:cs="Times New Roman"/>
                <w:color w:val="000000" w:themeColor="text1"/>
                <w:sz w:val="18"/>
                <w:szCs w:val="18"/>
              </w:rPr>
            </w:pPr>
          </w:p>
        </w:tc>
        <w:tc>
          <w:tcPr>
            <w:tcW w:w="2694" w:type="dxa"/>
            <w:tcBorders>
              <w:tl2br w:val="nil"/>
              <w:tr2bl w:val="nil"/>
            </w:tcBorders>
            <w:vAlign w:val="center"/>
          </w:tcPr>
          <w:p w14:paraId="6574EE61"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湿苔草</w:t>
            </w:r>
            <w:r>
              <w:rPr>
                <w:rFonts w:ascii="Times New Roman" w:hAnsi="Times New Roman" w:cs="Times New Roman"/>
                <w:i/>
                <w:iCs/>
                <w:color w:val="000000" w:themeColor="text1"/>
                <w:sz w:val="18"/>
                <w:szCs w:val="18"/>
              </w:rPr>
              <w:t>Carex.humida</w:t>
            </w:r>
          </w:p>
        </w:tc>
        <w:tc>
          <w:tcPr>
            <w:tcW w:w="567" w:type="dxa"/>
            <w:tcBorders>
              <w:tl2br w:val="nil"/>
              <w:tr2bl w:val="nil"/>
            </w:tcBorders>
            <w:vAlign w:val="center"/>
          </w:tcPr>
          <w:p w14:paraId="51E9E464"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6" w:type="dxa"/>
            <w:tcBorders>
              <w:tl2br w:val="nil"/>
              <w:tr2bl w:val="nil"/>
            </w:tcBorders>
            <w:vAlign w:val="center"/>
          </w:tcPr>
          <w:p w14:paraId="14EBB26A"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31283711"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6ED5679B"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0BF49CBF"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422E138B"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07103D1A" w14:textId="77777777">
        <w:trPr>
          <w:trHeight w:val="320"/>
        </w:trPr>
        <w:tc>
          <w:tcPr>
            <w:tcW w:w="1984" w:type="dxa"/>
            <w:tcBorders>
              <w:tl2br w:val="nil"/>
              <w:tr2bl w:val="nil"/>
            </w:tcBorders>
            <w:vAlign w:val="center"/>
          </w:tcPr>
          <w:p w14:paraId="1CE7FB38" w14:textId="77777777" w:rsidR="009D12AF" w:rsidRDefault="009D12AF">
            <w:pPr>
              <w:ind w:firstLineChars="0" w:firstLine="0"/>
              <w:rPr>
                <w:rFonts w:ascii="Times New Roman" w:hAnsi="Times New Roman" w:cs="Times New Roman"/>
                <w:color w:val="000000" w:themeColor="text1"/>
                <w:sz w:val="18"/>
                <w:szCs w:val="18"/>
              </w:rPr>
            </w:pPr>
          </w:p>
        </w:tc>
        <w:tc>
          <w:tcPr>
            <w:tcW w:w="2694" w:type="dxa"/>
            <w:tcBorders>
              <w:tl2br w:val="nil"/>
              <w:tr2bl w:val="nil"/>
            </w:tcBorders>
            <w:vAlign w:val="center"/>
          </w:tcPr>
          <w:p w14:paraId="0A9D55F5"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水葱</w:t>
            </w:r>
            <w:r>
              <w:rPr>
                <w:rFonts w:ascii="Times New Roman" w:hAnsi="Times New Roman" w:cs="Times New Roman"/>
                <w:i/>
                <w:iCs/>
                <w:color w:val="000000" w:themeColor="text1"/>
                <w:sz w:val="18"/>
                <w:szCs w:val="18"/>
              </w:rPr>
              <w:t>Scirpus tabernaemontani</w:t>
            </w:r>
            <w:r>
              <w:rPr>
                <w:rFonts w:ascii="Times New Roman" w:hAnsi="Times New Roman" w:cs="Times New Roman"/>
                <w:color w:val="000000" w:themeColor="text1"/>
                <w:sz w:val="18"/>
                <w:szCs w:val="18"/>
              </w:rPr>
              <w:t xml:space="preserve"> </w:t>
            </w:r>
          </w:p>
        </w:tc>
        <w:tc>
          <w:tcPr>
            <w:tcW w:w="567" w:type="dxa"/>
            <w:tcBorders>
              <w:tl2br w:val="nil"/>
              <w:tr2bl w:val="nil"/>
            </w:tcBorders>
            <w:vAlign w:val="center"/>
          </w:tcPr>
          <w:p w14:paraId="50F75DD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6" w:type="dxa"/>
            <w:tcBorders>
              <w:tl2br w:val="nil"/>
              <w:tr2bl w:val="nil"/>
            </w:tcBorders>
            <w:vAlign w:val="center"/>
          </w:tcPr>
          <w:p w14:paraId="3CD7BFAC"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3BE0F6A9"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40638EAE"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46658885"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403331F4"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5B950830" w14:textId="77777777">
        <w:trPr>
          <w:trHeight w:val="320"/>
        </w:trPr>
        <w:tc>
          <w:tcPr>
            <w:tcW w:w="1984" w:type="dxa"/>
            <w:tcBorders>
              <w:tl2br w:val="nil"/>
              <w:tr2bl w:val="nil"/>
            </w:tcBorders>
            <w:vAlign w:val="center"/>
          </w:tcPr>
          <w:p w14:paraId="1504D1A9"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天南星科</w:t>
            </w:r>
            <w:r>
              <w:rPr>
                <w:rFonts w:ascii="Times New Roman" w:hAnsi="Times New Roman" w:cs="Times New Roman"/>
                <w:color w:val="000000" w:themeColor="text1"/>
                <w:sz w:val="18"/>
                <w:szCs w:val="18"/>
              </w:rPr>
              <w:t>Aracea</w:t>
            </w:r>
          </w:p>
        </w:tc>
        <w:tc>
          <w:tcPr>
            <w:tcW w:w="2694" w:type="dxa"/>
            <w:tcBorders>
              <w:tl2br w:val="nil"/>
              <w:tr2bl w:val="nil"/>
            </w:tcBorders>
            <w:vAlign w:val="center"/>
          </w:tcPr>
          <w:p w14:paraId="74EBF13F"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菖蒲</w:t>
            </w:r>
            <w:r>
              <w:rPr>
                <w:rFonts w:ascii="Times New Roman" w:hAnsi="Times New Roman" w:cs="Times New Roman"/>
                <w:i/>
                <w:iCs/>
                <w:color w:val="000000" w:themeColor="text1"/>
                <w:sz w:val="18"/>
                <w:szCs w:val="18"/>
              </w:rPr>
              <w:t>Acorus calamus</w:t>
            </w:r>
            <w:r>
              <w:rPr>
                <w:rFonts w:ascii="Times New Roman" w:hAnsi="Times New Roman" w:cs="Times New Roman"/>
                <w:color w:val="000000" w:themeColor="text1"/>
                <w:sz w:val="18"/>
                <w:szCs w:val="18"/>
              </w:rPr>
              <w:t xml:space="preserve"> </w:t>
            </w:r>
          </w:p>
        </w:tc>
        <w:tc>
          <w:tcPr>
            <w:tcW w:w="567" w:type="dxa"/>
            <w:tcBorders>
              <w:tl2br w:val="nil"/>
              <w:tr2bl w:val="nil"/>
            </w:tcBorders>
            <w:vAlign w:val="center"/>
          </w:tcPr>
          <w:p w14:paraId="1A92E83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6" w:type="dxa"/>
            <w:tcBorders>
              <w:tl2br w:val="nil"/>
              <w:tr2bl w:val="nil"/>
            </w:tcBorders>
            <w:vAlign w:val="center"/>
          </w:tcPr>
          <w:p w14:paraId="10E32FDE"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76B01FBA"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5DBE18BB"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60C7A901"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66AB7ADB"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1101AD5E" w14:textId="77777777">
        <w:trPr>
          <w:trHeight w:val="320"/>
        </w:trPr>
        <w:tc>
          <w:tcPr>
            <w:tcW w:w="1984" w:type="dxa"/>
            <w:tcBorders>
              <w:tl2br w:val="nil"/>
              <w:tr2bl w:val="nil"/>
            </w:tcBorders>
            <w:vAlign w:val="center"/>
          </w:tcPr>
          <w:p w14:paraId="7F67F11A"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雨久花科</w:t>
            </w:r>
            <w:r>
              <w:rPr>
                <w:rFonts w:ascii="Times New Roman" w:hAnsi="Times New Roman" w:cs="Times New Roman"/>
                <w:color w:val="000000" w:themeColor="text1"/>
                <w:sz w:val="18"/>
                <w:szCs w:val="18"/>
              </w:rPr>
              <w:t>Pontederiacea</w:t>
            </w:r>
          </w:p>
        </w:tc>
        <w:tc>
          <w:tcPr>
            <w:tcW w:w="2694" w:type="dxa"/>
            <w:tcBorders>
              <w:tl2br w:val="nil"/>
              <w:tr2bl w:val="nil"/>
            </w:tcBorders>
            <w:vAlign w:val="center"/>
          </w:tcPr>
          <w:p w14:paraId="51996037"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雨久花</w:t>
            </w:r>
            <w:r>
              <w:rPr>
                <w:rFonts w:ascii="Times New Roman" w:hAnsi="Times New Roman" w:cs="Times New Roman"/>
                <w:i/>
                <w:iCs/>
                <w:color w:val="000000" w:themeColor="text1"/>
                <w:sz w:val="18"/>
                <w:szCs w:val="18"/>
              </w:rPr>
              <w:t>Monochoria korsakowii</w:t>
            </w:r>
            <w:r>
              <w:rPr>
                <w:rFonts w:ascii="Times New Roman" w:hAnsi="Times New Roman" w:cs="Times New Roman"/>
                <w:color w:val="000000" w:themeColor="text1"/>
                <w:sz w:val="18"/>
                <w:szCs w:val="18"/>
              </w:rPr>
              <w:t xml:space="preserve"> </w:t>
            </w:r>
          </w:p>
        </w:tc>
        <w:tc>
          <w:tcPr>
            <w:tcW w:w="567" w:type="dxa"/>
            <w:tcBorders>
              <w:tl2br w:val="nil"/>
              <w:tr2bl w:val="nil"/>
            </w:tcBorders>
            <w:vAlign w:val="center"/>
          </w:tcPr>
          <w:p w14:paraId="040CFBDF"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6" w:type="dxa"/>
            <w:tcBorders>
              <w:tl2br w:val="nil"/>
              <w:tr2bl w:val="nil"/>
            </w:tcBorders>
            <w:vAlign w:val="center"/>
          </w:tcPr>
          <w:p w14:paraId="01273DFB"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598180DA"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58390DA7"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1FCD9889"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2D618395"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556E7838" w14:textId="77777777">
        <w:trPr>
          <w:trHeight w:val="320"/>
        </w:trPr>
        <w:tc>
          <w:tcPr>
            <w:tcW w:w="1984" w:type="dxa"/>
            <w:tcBorders>
              <w:tl2br w:val="nil"/>
              <w:tr2bl w:val="nil"/>
            </w:tcBorders>
            <w:vAlign w:val="center"/>
          </w:tcPr>
          <w:p w14:paraId="0864B882"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千屈菜科</w:t>
            </w:r>
            <w:r>
              <w:rPr>
                <w:rFonts w:ascii="Times New Roman" w:hAnsi="Times New Roman" w:cs="Times New Roman"/>
                <w:color w:val="000000" w:themeColor="text1"/>
                <w:sz w:val="18"/>
                <w:szCs w:val="18"/>
              </w:rPr>
              <w:t>Lythraceae</w:t>
            </w:r>
          </w:p>
        </w:tc>
        <w:tc>
          <w:tcPr>
            <w:tcW w:w="2694" w:type="dxa"/>
            <w:tcBorders>
              <w:tl2br w:val="nil"/>
              <w:tr2bl w:val="nil"/>
            </w:tcBorders>
            <w:vAlign w:val="center"/>
          </w:tcPr>
          <w:p w14:paraId="1B070009"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千屈菜</w:t>
            </w:r>
            <w:r>
              <w:rPr>
                <w:rFonts w:ascii="Times New Roman" w:hAnsi="Times New Roman" w:cs="Times New Roman"/>
                <w:i/>
                <w:iCs/>
                <w:color w:val="000000" w:themeColor="text1"/>
                <w:sz w:val="18"/>
                <w:szCs w:val="18"/>
              </w:rPr>
              <w:t xml:space="preserve">Lythrum salicaria </w:t>
            </w:r>
          </w:p>
        </w:tc>
        <w:tc>
          <w:tcPr>
            <w:tcW w:w="567" w:type="dxa"/>
            <w:tcBorders>
              <w:tl2br w:val="nil"/>
              <w:tr2bl w:val="nil"/>
            </w:tcBorders>
            <w:vAlign w:val="center"/>
          </w:tcPr>
          <w:p w14:paraId="76992492"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6" w:type="dxa"/>
            <w:tcBorders>
              <w:tl2br w:val="nil"/>
              <w:tr2bl w:val="nil"/>
            </w:tcBorders>
            <w:vAlign w:val="center"/>
          </w:tcPr>
          <w:p w14:paraId="6C1CE3EE"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2B611B12"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475853E3"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2296F6D8"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14888BF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058FF365" w14:textId="77777777">
        <w:trPr>
          <w:trHeight w:val="320"/>
        </w:trPr>
        <w:tc>
          <w:tcPr>
            <w:tcW w:w="1984" w:type="dxa"/>
            <w:tcBorders>
              <w:tl2br w:val="nil"/>
              <w:tr2bl w:val="nil"/>
            </w:tcBorders>
            <w:vAlign w:val="center"/>
          </w:tcPr>
          <w:p w14:paraId="0A06CEFE"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小二仙草科</w:t>
            </w:r>
            <w:r>
              <w:rPr>
                <w:rFonts w:ascii="Times New Roman" w:hAnsi="Times New Roman" w:cs="Times New Roman"/>
                <w:color w:val="000000" w:themeColor="text1"/>
                <w:sz w:val="18"/>
                <w:szCs w:val="18"/>
              </w:rPr>
              <w:t>Haloragaceae</w:t>
            </w:r>
          </w:p>
        </w:tc>
        <w:tc>
          <w:tcPr>
            <w:tcW w:w="2694" w:type="dxa"/>
            <w:tcBorders>
              <w:tl2br w:val="nil"/>
              <w:tr2bl w:val="nil"/>
            </w:tcBorders>
            <w:vAlign w:val="center"/>
          </w:tcPr>
          <w:p w14:paraId="423FA729"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穗状狐尾藻</w:t>
            </w:r>
            <w:r>
              <w:rPr>
                <w:rFonts w:ascii="Times New Roman" w:hAnsi="Times New Roman" w:cs="Times New Roman"/>
                <w:i/>
                <w:iCs/>
                <w:color w:val="000000" w:themeColor="text1"/>
                <w:sz w:val="18"/>
                <w:szCs w:val="18"/>
              </w:rPr>
              <w:t>Myriophyllum spicatum</w:t>
            </w:r>
          </w:p>
        </w:tc>
        <w:tc>
          <w:tcPr>
            <w:tcW w:w="567" w:type="dxa"/>
            <w:tcBorders>
              <w:tl2br w:val="nil"/>
              <w:tr2bl w:val="nil"/>
            </w:tcBorders>
            <w:vAlign w:val="center"/>
          </w:tcPr>
          <w:p w14:paraId="1EFCB54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6" w:type="dxa"/>
            <w:tcBorders>
              <w:tl2br w:val="nil"/>
              <w:tr2bl w:val="nil"/>
            </w:tcBorders>
            <w:vAlign w:val="center"/>
          </w:tcPr>
          <w:p w14:paraId="5FC30F0D"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592550A5"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0793AB8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47271402"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413767A5"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25DFD43A" w14:textId="77777777">
        <w:trPr>
          <w:trHeight w:val="320"/>
        </w:trPr>
        <w:tc>
          <w:tcPr>
            <w:tcW w:w="1984" w:type="dxa"/>
            <w:tcBorders>
              <w:tl2br w:val="nil"/>
              <w:tr2bl w:val="nil"/>
            </w:tcBorders>
            <w:vAlign w:val="center"/>
          </w:tcPr>
          <w:p w14:paraId="7E7923FB" w14:textId="77777777" w:rsidR="009D12AF" w:rsidRDefault="009D12AF">
            <w:pPr>
              <w:ind w:firstLineChars="0" w:firstLine="0"/>
              <w:rPr>
                <w:rFonts w:ascii="Times New Roman" w:hAnsi="Times New Roman" w:cs="Times New Roman"/>
                <w:color w:val="000000" w:themeColor="text1"/>
                <w:sz w:val="18"/>
                <w:szCs w:val="18"/>
              </w:rPr>
            </w:pPr>
          </w:p>
        </w:tc>
        <w:tc>
          <w:tcPr>
            <w:tcW w:w="2694" w:type="dxa"/>
            <w:tcBorders>
              <w:tl2br w:val="nil"/>
              <w:tr2bl w:val="nil"/>
            </w:tcBorders>
            <w:vAlign w:val="center"/>
          </w:tcPr>
          <w:p w14:paraId="08666087"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狐尾藻</w:t>
            </w:r>
            <w:r>
              <w:rPr>
                <w:rFonts w:ascii="Times New Roman" w:hAnsi="Times New Roman" w:cs="Times New Roman"/>
                <w:i/>
                <w:iCs/>
                <w:color w:val="000000" w:themeColor="text1"/>
                <w:sz w:val="18"/>
                <w:szCs w:val="18"/>
              </w:rPr>
              <w:t>Myriophyllum verticillatum</w:t>
            </w:r>
          </w:p>
        </w:tc>
        <w:tc>
          <w:tcPr>
            <w:tcW w:w="567" w:type="dxa"/>
            <w:tcBorders>
              <w:tl2br w:val="nil"/>
              <w:tr2bl w:val="nil"/>
            </w:tcBorders>
            <w:vAlign w:val="center"/>
          </w:tcPr>
          <w:p w14:paraId="5A91D6C2"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6" w:type="dxa"/>
            <w:tcBorders>
              <w:tl2br w:val="nil"/>
              <w:tr2bl w:val="nil"/>
            </w:tcBorders>
            <w:vAlign w:val="center"/>
          </w:tcPr>
          <w:p w14:paraId="27E8C7C4"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2844644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62C7A280"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1FB1F6DF"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095891D8"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2013B844" w14:textId="77777777">
        <w:trPr>
          <w:trHeight w:val="320"/>
        </w:trPr>
        <w:tc>
          <w:tcPr>
            <w:tcW w:w="1984" w:type="dxa"/>
            <w:tcBorders>
              <w:tl2br w:val="nil"/>
              <w:tr2bl w:val="nil"/>
            </w:tcBorders>
            <w:vAlign w:val="center"/>
          </w:tcPr>
          <w:p w14:paraId="16DD76DC"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伞形科</w:t>
            </w:r>
            <w:r>
              <w:rPr>
                <w:rFonts w:ascii="Times New Roman" w:hAnsi="Times New Roman" w:cs="Times New Roman"/>
                <w:color w:val="000000" w:themeColor="text1"/>
                <w:sz w:val="18"/>
                <w:szCs w:val="18"/>
              </w:rPr>
              <w:t>Umbelliferae</w:t>
            </w:r>
          </w:p>
        </w:tc>
        <w:tc>
          <w:tcPr>
            <w:tcW w:w="2694" w:type="dxa"/>
            <w:tcBorders>
              <w:tl2br w:val="nil"/>
              <w:tr2bl w:val="nil"/>
            </w:tcBorders>
            <w:vAlign w:val="center"/>
          </w:tcPr>
          <w:p w14:paraId="49259BD4"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泽芹</w:t>
            </w:r>
            <w:r>
              <w:rPr>
                <w:rFonts w:ascii="Times New Roman" w:hAnsi="Times New Roman" w:cs="Times New Roman"/>
                <w:i/>
                <w:iCs/>
                <w:color w:val="000000" w:themeColor="text1"/>
                <w:sz w:val="18"/>
                <w:szCs w:val="18"/>
              </w:rPr>
              <w:t>Sium suave</w:t>
            </w:r>
            <w:r>
              <w:rPr>
                <w:rFonts w:ascii="Times New Roman" w:hAnsi="Times New Roman" w:cs="Times New Roman"/>
                <w:color w:val="000000" w:themeColor="text1"/>
                <w:sz w:val="18"/>
                <w:szCs w:val="18"/>
              </w:rPr>
              <w:t xml:space="preserve"> </w:t>
            </w:r>
          </w:p>
        </w:tc>
        <w:tc>
          <w:tcPr>
            <w:tcW w:w="567" w:type="dxa"/>
            <w:tcBorders>
              <w:tl2br w:val="nil"/>
              <w:tr2bl w:val="nil"/>
            </w:tcBorders>
            <w:vAlign w:val="center"/>
          </w:tcPr>
          <w:p w14:paraId="42D7FFEA"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6" w:type="dxa"/>
            <w:tcBorders>
              <w:tl2br w:val="nil"/>
              <w:tr2bl w:val="nil"/>
            </w:tcBorders>
            <w:vAlign w:val="center"/>
          </w:tcPr>
          <w:p w14:paraId="73817D0F"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49A7AC79"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409079E5"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01A11B2A"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1C9BCCFD"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r>
      <w:tr w:rsidR="009D12AF" w14:paraId="1CE945F5" w14:textId="77777777">
        <w:trPr>
          <w:trHeight w:val="320"/>
        </w:trPr>
        <w:tc>
          <w:tcPr>
            <w:tcW w:w="1984" w:type="dxa"/>
            <w:tcBorders>
              <w:tl2br w:val="nil"/>
              <w:tr2bl w:val="nil"/>
            </w:tcBorders>
            <w:vAlign w:val="center"/>
          </w:tcPr>
          <w:p w14:paraId="2F90CA14" w14:textId="77777777" w:rsidR="009D12AF" w:rsidRDefault="009D12AF">
            <w:pPr>
              <w:ind w:firstLineChars="0" w:firstLine="0"/>
              <w:rPr>
                <w:rFonts w:ascii="Times New Roman" w:hAnsi="Times New Roman" w:cs="Times New Roman"/>
                <w:color w:val="000000" w:themeColor="text1"/>
                <w:sz w:val="18"/>
                <w:szCs w:val="18"/>
              </w:rPr>
            </w:pPr>
          </w:p>
        </w:tc>
        <w:tc>
          <w:tcPr>
            <w:tcW w:w="2694" w:type="dxa"/>
            <w:tcBorders>
              <w:tl2br w:val="nil"/>
              <w:tr2bl w:val="nil"/>
            </w:tcBorders>
            <w:vAlign w:val="center"/>
          </w:tcPr>
          <w:p w14:paraId="60A53A64"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水芹</w:t>
            </w:r>
            <w:r>
              <w:rPr>
                <w:rFonts w:ascii="Times New Roman" w:hAnsi="Times New Roman" w:cs="Times New Roman"/>
                <w:i/>
                <w:iCs/>
                <w:color w:val="000000" w:themeColor="text1"/>
                <w:sz w:val="18"/>
                <w:szCs w:val="18"/>
              </w:rPr>
              <w:t>Oenanthe javaniea</w:t>
            </w:r>
            <w:r>
              <w:rPr>
                <w:rFonts w:ascii="Times New Roman" w:hAnsi="Times New Roman" w:cs="Times New Roman"/>
                <w:color w:val="000000" w:themeColor="text1"/>
                <w:sz w:val="18"/>
                <w:szCs w:val="18"/>
              </w:rPr>
              <w:t xml:space="preserve"> </w:t>
            </w:r>
          </w:p>
        </w:tc>
        <w:tc>
          <w:tcPr>
            <w:tcW w:w="567" w:type="dxa"/>
            <w:tcBorders>
              <w:tl2br w:val="nil"/>
              <w:tr2bl w:val="nil"/>
            </w:tcBorders>
            <w:vAlign w:val="center"/>
          </w:tcPr>
          <w:p w14:paraId="3DBDFDB6"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6" w:type="dxa"/>
            <w:tcBorders>
              <w:tl2br w:val="nil"/>
              <w:tr2bl w:val="nil"/>
            </w:tcBorders>
            <w:vAlign w:val="center"/>
          </w:tcPr>
          <w:p w14:paraId="3CBAF626"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6B81F122"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730CA3AE"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46F02DA4"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0713C7EB" w14:textId="77777777" w:rsidR="009D12AF" w:rsidRDefault="009D12AF">
            <w:pPr>
              <w:ind w:firstLineChars="0" w:firstLine="0"/>
              <w:jc w:val="center"/>
              <w:rPr>
                <w:rFonts w:ascii="Times New Roman" w:hAnsi="Times New Roman" w:cs="Times New Roman"/>
                <w:color w:val="000000" w:themeColor="text1"/>
                <w:sz w:val="18"/>
                <w:szCs w:val="18"/>
              </w:rPr>
            </w:pPr>
          </w:p>
        </w:tc>
      </w:tr>
      <w:tr w:rsidR="009D12AF" w14:paraId="72E3E095" w14:textId="77777777">
        <w:trPr>
          <w:trHeight w:val="340"/>
        </w:trPr>
        <w:tc>
          <w:tcPr>
            <w:tcW w:w="1984" w:type="dxa"/>
            <w:tcBorders>
              <w:tl2br w:val="nil"/>
              <w:tr2bl w:val="nil"/>
            </w:tcBorders>
            <w:vAlign w:val="center"/>
          </w:tcPr>
          <w:p w14:paraId="3C2D9BB3"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龙胆科</w:t>
            </w:r>
            <w:r>
              <w:rPr>
                <w:rFonts w:ascii="Times New Roman" w:hAnsi="Times New Roman" w:cs="Times New Roman"/>
                <w:color w:val="000000" w:themeColor="text1"/>
                <w:sz w:val="18"/>
                <w:szCs w:val="18"/>
              </w:rPr>
              <w:t>Gentianaceae</w:t>
            </w:r>
          </w:p>
        </w:tc>
        <w:tc>
          <w:tcPr>
            <w:tcW w:w="2694" w:type="dxa"/>
            <w:tcBorders>
              <w:tl2br w:val="nil"/>
              <w:tr2bl w:val="nil"/>
            </w:tcBorders>
            <w:vAlign w:val="center"/>
          </w:tcPr>
          <w:p w14:paraId="3CBAF7BF" w14:textId="77777777" w:rsidR="009D12AF" w:rsidRDefault="00000000">
            <w:pPr>
              <w:ind w:firstLineChars="0" w:firstLine="0"/>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荇菜</w:t>
            </w:r>
            <w:r>
              <w:rPr>
                <w:rFonts w:ascii="Times New Roman" w:hAnsi="Times New Roman" w:cs="Times New Roman"/>
                <w:i/>
                <w:iCs/>
                <w:color w:val="000000" w:themeColor="text1"/>
                <w:sz w:val="18"/>
                <w:szCs w:val="18"/>
              </w:rPr>
              <w:t>Nymphoides peltata</w:t>
            </w:r>
          </w:p>
        </w:tc>
        <w:tc>
          <w:tcPr>
            <w:tcW w:w="567" w:type="dxa"/>
            <w:tcBorders>
              <w:tl2br w:val="nil"/>
              <w:tr2bl w:val="nil"/>
            </w:tcBorders>
            <w:vAlign w:val="center"/>
          </w:tcPr>
          <w:p w14:paraId="6BBF2C6E"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6" w:type="dxa"/>
            <w:tcBorders>
              <w:tl2br w:val="nil"/>
              <w:tr2bl w:val="nil"/>
            </w:tcBorders>
            <w:vAlign w:val="center"/>
          </w:tcPr>
          <w:p w14:paraId="20187432"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652E5BEF"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3E89BB63" w14:textId="77777777" w:rsidR="009D12AF" w:rsidRDefault="00000000">
            <w:pPr>
              <w:ind w:firstLineChars="0" w:firstLine="0"/>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p>
        </w:tc>
        <w:tc>
          <w:tcPr>
            <w:tcW w:w="554" w:type="dxa"/>
            <w:tcBorders>
              <w:tl2br w:val="nil"/>
              <w:tr2bl w:val="nil"/>
            </w:tcBorders>
            <w:vAlign w:val="center"/>
          </w:tcPr>
          <w:p w14:paraId="44E69D75" w14:textId="77777777" w:rsidR="009D12AF" w:rsidRDefault="009D12AF">
            <w:pPr>
              <w:ind w:firstLineChars="0" w:firstLine="0"/>
              <w:jc w:val="center"/>
              <w:rPr>
                <w:rFonts w:ascii="Times New Roman" w:hAnsi="Times New Roman" w:cs="Times New Roman"/>
                <w:color w:val="000000" w:themeColor="text1"/>
                <w:sz w:val="18"/>
                <w:szCs w:val="18"/>
              </w:rPr>
            </w:pPr>
          </w:p>
        </w:tc>
        <w:tc>
          <w:tcPr>
            <w:tcW w:w="554" w:type="dxa"/>
            <w:tcBorders>
              <w:tl2br w:val="nil"/>
              <w:tr2bl w:val="nil"/>
            </w:tcBorders>
            <w:vAlign w:val="center"/>
          </w:tcPr>
          <w:p w14:paraId="5E3358D6" w14:textId="77777777" w:rsidR="009D12AF" w:rsidRDefault="009D12AF">
            <w:pPr>
              <w:ind w:firstLineChars="0" w:firstLine="0"/>
              <w:jc w:val="center"/>
              <w:rPr>
                <w:rFonts w:ascii="Times New Roman" w:hAnsi="Times New Roman" w:cs="Times New Roman"/>
                <w:color w:val="000000" w:themeColor="text1"/>
                <w:sz w:val="18"/>
                <w:szCs w:val="18"/>
              </w:rPr>
            </w:pPr>
          </w:p>
        </w:tc>
      </w:tr>
    </w:tbl>
    <w:tbl>
      <w:tblPr>
        <w:tblStyle w:val="ae"/>
        <w:tblW w:w="0" w:type="auto"/>
        <w:tblLook w:val="04A0" w:firstRow="1" w:lastRow="0" w:firstColumn="1" w:lastColumn="0" w:noHBand="0" w:noVBand="1"/>
      </w:tblPr>
      <w:tblGrid>
        <w:gridCol w:w="2130"/>
        <w:gridCol w:w="2130"/>
        <w:gridCol w:w="2131"/>
        <w:gridCol w:w="2131"/>
      </w:tblGrid>
      <w:tr w:rsidR="009D12AF" w14:paraId="505B3E18" w14:textId="77777777">
        <w:tc>
          <w:tcPr>
            <w:tcW w:w="2130" w:type="dxa"/>
          </w:tcPr>
          <w:p w14:paraId="2B2BA1FA" w14:textId="77777777" w:rsidR="009D12AF" w:rsidRDefault="00000000">
            <w:pPr>
              <w:ind w:rightChars="-201" w:right="-482" w:firstLineChars="0" w:firstLine="0"/>
              <w:rPr>
                <w:rFonts w:ascii="Times New Roman" w:eastAsia="黑体" w:hAnsi="Times New Roman" w:cs="Times New Roman"/>
                <w:bCs/>
                <w:color w:val="000000" w:themeColor="text1"/>
                <w:sz w:val="21"/>
                <w:szCs w:val="21"/>
              </w:rPr>
            </w:pPr>
            <w:r>
              <w:rPr>
                <w:rFonts w:ascii="Times New Roman" w:eastAsia="黑体" w:hAnsi="Times New Roman" w:cs="Times New Roman"/>
                <w:bCs/>
                <w:noProof/>
                <w:color w:val="000000" w:themeColor="text1"/>
                <w:sz w:val="21"/>
                <w:szCs w:val="21"/>
              </w:rPr>
              <w:drawing>
                <wp:inline distT="0" distB="0" distL="0" distR="0" wp14:anchorId="63188B3D" wp14:editId="7C8271B1">
                  <wp:extent cx="1349375" cy="1799590"/>
                  <wp:effectExtent l="0" t="0" r="3175" b="1016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106" cstate="screen">
                            <a:extLst>
                              <a:ext uri="{28A0092B-C50C-407E-A947-70E740481C1C}">
                                <a14:useLocalDpi xmlns:a14="http://schemas.microsoft.com/office/drawing/2010/main"/>
                              </a:ext>
                            </a:extLst>
                          </a:blip>
                          <a:stretch>
                            <a:fillRect/>
                          </a:stretch>
                        </pic:blipFill>
                        <pic:spPr>
                          <a:xfrm>
                            <a:off x="0" y="0"/>
                            <a:ext cx="1350000" cy="1800000"/>
                          </a:xfrm>
                          <a:prstGeom prst="rect">
                            <a:avLst/>
                          </a:prstGeom>
                        </pic:spPr>
                      </pic:pic>
                    </a:graphicData>
                  </a:graphic>
                </wp:inline>
              </w:drawing>
            </w:r>
          </w:p>
        </w:tc>
        <w:tc>
          <w:tcPr>
            <w:tcW w:w="2130" w:type="dxa"/>
          </w:tcPr>
          <w:p w14:paraId="43F1B263" w14:textId="77777777" w:rsidR="009D12AF" w:rsidRDefault="00000000">
            <w:pPr>
              <w:ind w:rightChars="-201" w:right="-482" w:firstLineChars="0" w:firstLine="0"/>
              <w:rPr>
                <w:rFonts w:ascii="Times New Roman" w:eastAsia="黑体" w:hAnsi="Times New Roman" w:cs="Times New Roman"/>
                <w:bCs/>
                <w:color w:val="000000" w:themeColor="text1"/>
                <w:sz w:val="21"/>
                <w:szCs w:val="21"/>
              </w:rPr>
            </w:pPr>
            <w:r>
              <w:rPr>
                <w:rFonts w:ascii="Times New Roman" w:eastAsia="黑体" w:hAnsi="Times New Roman" w:cs="Times New Roman"/>
                <w:bCs/>
                <w:noProof/>
                <w:color w:val="000000" w:themeColor="text1"/>
                <w:sz w:val="21"/>
                <w:szCs w:val="21"/>
              </w:rPr>
              <w:drawing>
                <wp:inline distT="0" distB="0" distL="0" distR="0" wp14:anchorId="59572703" wp14:editId="10AA9E2A">
                  <wp:extent cx="1323975" cy="1720850"/>
                  <wp:effectExtent l="0" t="0" r="9525" b="1270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07" cstate="screen">
                            <a:extLst>
                              <a:ext uri="{28A0092B-C50C-407E-A947-70E740481C1C}">
                                <a14:useLocalDpi xmlns:a14="http://schemas.microsoft.com/office/drawing/2010/main"/>
                              </a:ext>
                            </a:extLst>
                          </a:blip>
                          <a:stretch>
                            <a:fillRect/>
                          </a:stretch>
                        </pic:blipFill>
                        <pic:spPr>
                          <a:xfrm>
                            <a:off x="0" y="0"/>
                            <a:ext cx="1323975" cy="1720850"/>
                          </a:xfrm>
                          <a:prstGeom prst="rect">
                            <a:avLst/>
                          </a:prstGeom>
                        </pic:spPr>
                      </pic:pic>
                    </a:graphicData>
                  </a:graphic>
                </wp:inline>
              </w:drawing>
            </w:r>
          </w:p>
        </w:tc>
        <w:tc>
          <w:tcPr>
            <w:tcW w:w="2131" w:type="dxa"/>
          </w:tcPr>
          <w:p w14:paraId="2A554D25" w14:textId="77777777" w:rsidR="009D12AF" w:rsidRDefault="00000000">
            <w:pPr>
              <w:ind w:rightChars="-201" w:right="-482" w:firstLineChars="0" w:firstLine="0"/>
              <w:rPr>
                <w:rFonts w:ascii="Times New Roman" w:eastAsia="黑体" w:hAnsi="Times New Roman" w:cs="Times New Roman"/>
                <w:bCs/>
                <w:color w:val="000000" w:themeColor="text1"/>
                <w:sz w:val="21"/>
                <w:szCs w:val="21"/>
              </w:rPr>
            </w:pPr>
            <w:r>
              <w:rPr>
                <w:rFonts w:ascii="Times New Roman" w:eastAsia="黑体" w:hAnsi="Times New Roman" w:cs="Times New Roman"/>
                <w:bCs/>
                <w:noProof/>
                <w:color w:val="000000" w:themeColor="text1"/>
                <w:sz w:val="21"/>
                <w:szCs w:val="21"/>
              </w:rPr>
              <w:drawing>
                <wp:inline distT="0" distB="0" distL="0" distR="0" wp14:anchorId="02514B6D" wp14:editId="20BD13BB">
                  <wp:extent cx="1229995" cy="1640840"/>
                  <wp:effectExtent l="0" t="0" r="8255" b="1651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08" cstate="screen">
                            <a:extLst>
                              <a:ext uri="{28A0092B-C50C-407E-A947-70E740481C1C}">
                                <a14:useLocalDpi xmlns:a14="http://schemas.microsoft.com/office/drawing/2010/main"/>
                              </a:ext>
                            </a:extLst>
                          </a:blip>
                          <a:stretch>
                            <a:fillRect/>
                          </a:stretch>
                        </pic:blipFill>
                        <pic:spPr>
                          <a:xfrm>
                            <a:off x="0" y="0"/>
                            <a:ext cx="1229995" cy="1640840"/>
                          </a:xfrm>
                          <a:prstGeom prst="rect">
                            <a:avLst/>
                          </a:prstGeom>
                        </pic:spPr>
                      </pic:pic>
                    </a:graphicData>
                  </a:graphic>
                </wp:inline>
              </w:drawing>
            </w:r>
          </w:p>
        </w:tc>
        <w:tc>
          <w:tcPr>
            <w:tcW w:w="2131" w:type="dxa"/>
          </w:tcPr>
          <w:p w14:paraId="257D3B5E" w14:textId="77777777" w:rsidR="009D12AF" w:rsidRDefault="00000000">
            <w:pPr>
              <w:ind w:rightChars="-201" w:right="-482" w:firstLineChars="0" w:firstLine="0"/>
              <w:rPr>
                <w:rFonts w:ascii="Times New Roman" w:eastAsia="黑体" w:hAnsi="Times New Roman" w:cs="Times New Roman"/>
                <w:bCs/>
                <w:color w:val="000000" w:themeColor="text1"/>
                <w:sz w:val="21"/>
                <w:szCs w:val="21"/>
              </w:rPr>
            </w:pPr>
            <w:r>
              <w:rPr>
                <w:rFonts w:ascii="Times New Roman" w:eastAsia="黑体" w:hAnsi="Times New Roman" w:cs="Times New Roman"/>
                <w:bCs/>
                <w:noProof/>
                <w:color w:val="000000" w:themeColor="text1"/>
                <w:sz w:val="21"/>
                <w:szCs w:val="21"/>
              </w:rPr>
              <w:drawing>
                <wp:inline distT="0" distB="0" distL="0" distR="0" wp14:anchorId="0D4D67CA" wp14:editId="6714B6FE">
                  <wp:extent cx="1189355" cy="1752600"/>
                  <wp:effectExtent l="0" t="0" r="10795"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109" cstate="screen">
                            <a:extLst>
                              <a:ext uri="{28A0092B-C50C-407E-A947-70E740481C1C}">
                                <a14:useLocalDpi xmlns:a14="http://schemas.microsoft.com/office/drawing/2010/main"/>
                              </a:ext>
                            </a:extLst>
                          </a:blip>
                          <a:stretch>
                            <a:fillRect/>
                          </a:stretch>
                        </pic:blipFill>
                        <pic:spPr>
                          <a:xfrm>
                            <a:off x="0" y="0"/>
                            <a:ext cx="1189355" cy="1752600"/>
                          </a:xfrm>
                          <a:prstGeom prst="rect">
                            <a:avLst/>
                          </a:prstGeom>
                        </pic:spPr>
                      </pic:pic>
                    </a:graphicData>
                  </a:graphic>
                </wp:inline>
              </w:drawing>
            </w:r>
          </w:p>
        </w:tc>
      </w:tr>
      <w:tr w:rsidR="009D12AF" w14:paraId="014DF54E" w14:textId="77777777">
        <w:tc>
          <w:tcPr>
            <w:tcW w:w="2130" w:type="dxa"/>
          </w:tcPr>
          <w:p w14:paraId="5769FA5B" w14:textId="77777777" w:rsidR="009D12AF" w:rsidRDefault="00000000">
            <w:pPr>
              <w:ind w:rightChars="-201" w:right="-482" w:firstLineChars="0" w:firstLine="0"/>
              <w:rPr>
                <w:rFonts w:ascii="Times New Roman" w:eastAsia="黑体" w:hAnsi="Times New Roman" w:cs="Times New Roman"/>
                <w:bCs/>
                <w:color w:val="000000" w:themeColor="text1"/>
                <w:sz w:val="21"/>
                <w:szCs w:val="21"/>
              </w:rPr>
            </w:pPr>
            <w:r>
              <w:rPr>
                <w:rFonts w:ascii="Times New Roman" w:eastAsia="黑体" w:hAnsi="Times New Roman" w:cs="Times New Roman" w:hint="eastAsia"/>
                <w:bCs/>
                <w:noProof/>
                <w:color w:val="000000" w:themeColor="text1"/>
                <w:sz w:val="21"/>
                <w:szCs w:val="21"/>
              </w:rPr>
              <w:drawing>
                <wp:inline distT="0" distB="0" distL="0" distR="0" wp14:anchorId="4B983708" wp14:editId="54F8C7C5">
                  <wp:extent cx="1349375" cy="1799590"/>
                  <wp:effectExtent l="0" t="0" r="3175" b="1016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110" cstate="screen">
                            <a:extLst>
                              <a:ext uri="{28A0092B-C50C-407E-A947-70E740481C1C}">
                                <a14:useLocalDpi xmlns:a14="http://schemas.microsoft.com/office/drawing/2010/main"/>
                              </a:ext>
                            </a:extLst>
                          </a:blip>
                          <a:stretch>
                            <a:fillRect/>
                          </a:stretch>
                        </pic:blipFill>
                        <pic:spPr>
                          <a:xfrm>
                            <a:off x="0" y="0"/>
                            <a:ext cx="1350000" cy="1800000"/>
                          </a:xfrm>
                          <a:prstGeom prst="rect">
                            <a:avLst/>
                          </a:prstGeom>
                        </pic:spPr>
                      </pic:pic>
                    </a:graphicData>
                  </a:graphic>
                </wp:inline>
              </w:drawing>
            </w:r>
          </w:p>
        </w:tc>
        <w:tc>
          <w:tcPr>
            <w:tcW w:w="2130" w:type="dxa"/>
          </w:tcPr>
          <w:p w14:paraId="17B65485" w14:textId="77777777" w:rsidR="009D12AF" w:rsidRDefault="00000000">
            <w:pPr>
              <w:ind w:rightChars="-201" w:right="-482" w:firstLineChars="0" w:firstLine="0"/>
              <w:rPr>
                <w:rFonts w:ascii="Times New Roman" w:eastAsia="黑体" w:hAnsi="Times New Roman" w:cs="Times New Roman"/>
                <w:bCs/>
                <w:color w:val="000000" w:themeColor="text1"/>
                <w:sz w:val="21"/>
                <w:szCs w:val="21"/>
              </w:rPr>
            </w:pPr>
            <w:r>
              <w:rPr>
                <w:rFonts w:ascii="Times New Roman" w:eastAsia="黑体" w:hAnsi="Times New Roman" w:cs="Times New Roman" w:hint="eastAsia"/>
                <w:bCs/>
                <w:noProof/>
                <w:color w:val="000000" w:themeColor="text1"/>
                <w:sz w:val="21"/>
                <w:szCs w:val="21"/>
              </w:rPr>
              <w:drawing>
                <wp:inline distT="0" distB="0" distL="0" distR="0" wp14:anchorId="4849C625" wp14:editId="6FC0DD5A">
                  <wp:extent cx="1349375" cy="1799590"/>
                  <wp:effectExtent l="0" t="0" r="3175" b="1016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111" cstate="screen">
                            <a:extLst>
                              <a:ext uri="{28A0092B-C50C-407E-A947-70E740481C1C}">
                                <a14:useLocalDpi xmlns:a14="http://schemas.microsoft.com/office/drawing/2010/main"/>
                              </a:ext>
                            </a:extLst>
                          </a:blip>
                          <a:stretch>
                            <a:fillRect/>
                          </a:stretch>
                        </pic:blipFill>
                        <pic:spPr>
                          <a:xfrm>
                            <a:off x="0" y="0"/>
                            <a:ext cx="1350000" cy="1800000"/>
                          </a:xfrm>
                          <a:prstGeom prst="rect">
                            <a:avLst/>
                          </a:prstGeom>
                        </pic:spPr>
                      </pic:pic>
                    </a:graphicData>
                  </a:graphic>
                </wp:inline>
              </w:drawing>
            </w:r>
          </w:p>
        </w:tc>
        <w:tc>
          <w:tcPr>
            <w:tcW w:w="2131" w:type="dxa"/>
          </w:tcPr>
          <w:p w14:paraId="48D53587" w14:textId="77777777" w:rsidR="009D12AF" w:rsidRDefault="00000000">
            <w:pPr>
              <w:ind w:rightChars="-201" w:right="-482" w:firstLineChars="0" w:firstLine="0"/>
              <w:rPr>
                <w:rFonts w:ascii="Times New Roman" w:eastAsia="黑体" w:hAnsi="Times New Roman" w:cs="Times New Roman"/>
                <w:bCs/>
                <w:color w:val="000000" w:themeColor="text1"/>
                <w:sz w:val="21"/>
                <w:szCs w:val="21"/>
              </w:rPr>
            </w:pPr>
            <w:r>
              <w:rPr>
                <w:rFonts w:ascii="Times New Roman" w:eastAsia="黑体" w:hAnsi="Times New Roman" w:cs="Times New Roman" w:hint="eastAsia"/>
                <w:bCs/>
                <w:noProof/>
                <w:color w:val="000000" w:themeColor="text1"/>
                <w:sz w:val="21"/>
                <w:szCs w:val="21"/>
              </w:rPr>
              <w:drawing>
                <wp:inline distT="0" distB="0" distL="0" distR="0" wp14:anchorId="20FB2A84" wp14:editId="42486E6B">
                  <wp:extent cx="1349375" cy="1799590"/>
                  <wp:effectExtent l="0" t="0" r="3175" b="1016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112" cstate="screen">
                            <a:extLst>
                              <a:ext uri="{28A0092B-C50C-407E-A947-70E740481C1C}">
                                <a14:useLocalDpi xmlns:a14="http://schemas.microsoft.com/office/drawing/2010/main"/>
                              </a:ext>
                            </a:extLst>
                          </a:blip>
                          <a:stretch>
                            <a:fillRect/>
                          </a:stretch>
                        </pic:blipFill>
                        <pic:spPr>
                          <a:xfrm>
                            <a:off x="0" y="0"/>
                            <a:ext cx="1350000" cy="1800000"/>
                          </a:xfrm>
                          <a:prstGeom prst="rect">
                            <a:avLst/>
                          </a:prstGeom>
                        </pic:spPr>
                      </pic:pic>
                    </a:graphicData>
                  </a:graphic>
                </wp:inline>
              </w:drawing>
            </w:r>
          </w:p>
        </w:tc>
        <w:tc>
          <w:tcPr>
            <w:tcW w:w="2131" w:type="dxa"/>
          </w:tcPr>
          <w:p w14:paraId="36735343" w14:textId="77777777" w:rsidR="009D12AF" w:rsidRDefault="00000000">
            <w:pPr>
              <w:ind w:rightChars="-201" w:right="-482" w:firstLineChars="0" w:firstLine="0"/>
              <w:rPr>
                <w:rFonts w:ascii="Times New Roman" w:eastAsia="黑体" w:hAnsi="Times New Roman" w:cs="Times New Roman"/>
                <w:bCs/>
                <w:color w:val="000000" w:themeColor="text1"/>
                <w:sz w:val="21"/>
                <w:szCs w:val="21"/>
              </w:rPr>
            </w:pPr>
            <w:r>
              <w:rPr>
                <w:rFonts w:ascii="Times New Roman" w:eastAsia="黑体" w:hAnsi="Times New Roman" w:cs="Times New Roman" w:hint="eastAsia"/>
                <w:bCs/>
                <w:noProof/>
                <w:color w:val="000000" w:themeColor="text1"/>
                <w:sz w:val="21"/>
                <w:szCs w:val="21"/>
              </w:rPr>
              <w:drawing>
                <wp:inline distT="0" distB="0" distL="0" distR="0" wp14:anchorId="75F10220" wp14:editId="0A60E546">
                  <wp:extent cx="1349375" cy="1799590"/>
                  <wp:effectExtent l="0" t="0" r="3175" b="1016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113" cstate="screen">
                            <a:extLst>
                              <a:ext uri="{28A0092B-C50C-407E-A947-70E740481C1C}">
                                <a14:useLocalDpi xmlns:a14="http://schemas.microsoft.com/office/drawing/2010/main"/>
                              </a:ext>
                            </a:extLst>
                          </a:blip>
                          <a:stretch>
                            <a:fillRect/>
                          </a:stretch>
                        </pic:blipFill>
                        <pic:spPr>
                          <a:xfrm>
                            <a:off x="0" y="0"/>
                            <a:ext cx="1350000" cy="1800000"/>
                          </a:xfrm>
                          <a:prstGeom prst="rect">
                            <a:avLst/>
                          </a:prstGeom>
                        </pic:spPr>
                      </pic:pic>
                    </a:graphicData>
                  </a:graphic>
                </wp:inline>
              </w:drawing>
            </w:r>
          </w:p>
        </w:tc>
      </w:tr>
    </w:tbl>
    <w:p w14:paraId="26C85B26" w14:textId="77777777" w:rsidR="009D12AF" w:rsidRDefault="00000000">
      <w:pPr>
        <w:ind w:leftChars="200" w:left="480" w:firstLineChars="0" w:firstLine="0"/>
        <w:jc w:val="center"/>
        <w:rPr>
          <w:rFonts w:cs="Times New Roman"/>
          <w:b/>
          <w:color w:val="000000" w:themeColor="text1"/>
        </w:rPr>
      </w:pPr>
      <w:r>
        <w:rPr>
          <w:rFonts w:cs="Times New Roman" w:hint="eastAsia"/>
          <w:b/>
          <w:color w:val="000000" w:themeColor="text1"/>
        </w:rPr>
        <w:t>图</w:t>
      </w:r>
      <w:r>
        <w:rPr>
          <w:rFonts w:cs="Times New Roman" w:hint="eastAsia"/>
          <w:b/>
          <w:color w:val="000000" w:themeColor="text1"/>
        </w:rPr>
        <w:t xml:space="preserve">4.3-37 </w:t>
      </w:r>
      <w:r>
        <w:rPr>
          <w:rFonts w:cs="Times New Roman" w:hint="eastAsia"/>
          <w:b/>
          <w:color w:val="000000" w:themeColor="text1"/>
        </w:rPr>
        <w:t>水生维管植物调查</w:t>
      </w:r>
    </w:p>
    <w:p w14:paraId="6F5D81EA" w14:textId="77777777" w:rsidR="009D12AF" w:rsidRDefault="00000000">
      <w:pPr>
        <w:ind w:leftChars="200" w:left="480" w:firstLineChars="0" w:firstLine="0"/>
        <w:jc w:val="left"/>
        <w:rPr>
          <w:rFonts w:cs="Times New Roman"/>
          <w:bCs/>
          <w:color w:val="000000" w:themeColor="text1"/>
        </w:rPr>
      </w:pPr>
      <w:r>
        <w:rPr>
          <w:rFonts w:cs="Times New Roman" w:hint="eastAsia"/>
          <w:bCs/>
          <w:color w:val="000000" w:themeColor="text1"/>
        </w:rPr>
        <w:lastRenderedPageBreak/>
        <w:t>2</w:t>
      </w:r>
      <w:r>
        <w:rPr>
          <w:rFonts w:cs="Times New Roman" w:hint="eastAsia"/>
          <w:bCs/>
          <w:color w:val="000000" w:themeColor="text1"/>
        </w:rPr>
        <w:t>、分布特点</w:t>
      </w:r>
    </w:p>
    <w:p w14:paraId="714DF3CA" w14:textId="77777777" w:rsidR="009D12AF" w:rsidRDefault="00000000">
      <w:pPr>
        <w:ind w:firstLine="480"/>
        <w:jc w:val="left"/>
        <w:rPr>
          <w:rFonts w:ascii="Times New Roman" w:hAnsi="Times New Roman" w:cs="Times New Roman"/>
          <w:color w:val="000000" w:themeColor="text1"/>
        </w:rPr>
      </w:pPr>
      <w:r>
        <w:rPr>
          <w:rFonts w:ascii="Times New Roman" w:hAnsi="Times New Roman" w:cs="Times New Roman"/>
          <w:color w:val="000000" w:themeColor="text1"/>
        </w:rPr>
        <w:t>评价水域水生维管植物主要分布于库湾及近岸回水区，评价水库水生维管植物中多为广布种类，评估河段主要优势有：芦苇、水葱、宽叶香蒲、两栖蓼等，在各个河段中优势种有所差异。</w:t>
      </w:r>
    </w:p>
    <w:p w14:paraId="568E85B1" w14:textId="77777777" w:rsidR="009D12AF" w:rsidRDefault="00000000">
      <w:pPr>
        <w:numPr>
          <w:ilvl w:val="0"/>
          <w:numId w:val="7"/>
        </w:num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现状评价</w:t>
      </w:r>
    </w:p>
    <w:p w14:paraId="34ABB423" w14:textId="77777777" w:rsidR="009D12AF" w:rsidRDefault="00000000">
      <w:pPr>
        <w:ind w:firstLine="480"/>
        <w:jc w:val="left"/>
        <w:rPr>
          <w:rFonts w:ascii="Times New Roman" w:hAnsi="Times New Roman" w:cs="Times New Roman"/>
          <w:color w:val="000000" w:themeColor="text1"/>
        </w:rPr>
      </w:pPr>
      <w:r>
        <w:rPr>
          <w:rFonts w:ascii="Times New Roman" w:hAnsi="Times New Roman" w:cs="Times New Roman"/>
          <w:color w:val="000000" w:themeColor="text1"/>
        </w:rPr>
        <w:t>水生维管植物对评价水域河段的生物多样性和生态网的构建有其自己的作用。一些经济鱼类，如银鲫、鲤和鲇等产粘性卵的鱼类，均将卵产于水生维管植物上，因此在一些水体中当原有水生维管植物大量消亡时，鱼类的产卵场就遭到了破坏，影响了土著鱼类的产卵、繁殖。此外，水体中的水生维管植物也是鱼类良好的索饵、逃避敌害的场所。</w:t>
      </w:r>
    </w:p>
    <w:p w14:paraId="3A2A7E94" w14:textId="77777777" w:rsidR="009D12AF" w:rsidRDefault="00000000">
      <w:pPr>
        <w:pStyle w:val="3"/>
      </w:pPr>
      <w:bookmarkStart w:id="235" w:name="_Toc22452"/>
      <w:r>
        <w:rPr>
          <w:rFonts w:hint="eastAsia"/>
        </w:rPr>
        <w:t>4.3.7</w:t>
      </w:r>
      <w:r>
        <w:rPr>
          <w:rFonts w:hint="eastAsia"/>
        </w:rPr>
        <w:t>陆生生态环境现状调查与评价</w:t>
      </w:r>
      <w:bookmarkEnd w:id="235"/>
    </w:p>
    <w:p w14:paraId="0B46C1C5" w14:textId="77777777" w:rsidR="009D12AF" w:rsidRDefault="00000000">
      <w:pPr>
        <w:pStyle w:val="4"/>
        <w:ind w:firstLineChars="0" w:firstLine="0"/>
      </w:pPr>
      <w:r>
        <w:rPr>
          <w:rFonts w:hint="eastAsia"/>
        </w:rPr>
        <w:t>4.3.7.1</w:t>
      </w:r>
      <w:r>
        <w:rPr>
          <w:rFonts w:hint="eastAsia"/>
        </w:rPr>
        <w:t>调查时间</w:t>
      </w:r>
    </w:p>
    <w:p w14:paraId="3484596A" w14:textId="77777777" w:rsidR="009D12AF" w:rsidRDefault="00000000">
      <w:pPr>
        <w:ind w:firstLine="480"/>
        <w:rPr>
          <w:rFonts w:ascii="Times New Roman" w:eastAsia="宋体" w:hAnsi="Times New Roman" w:cs="Times New Roman"/>
          <w:szCs w:val="28"/>
        </w:rPr>
      </w:pPr>
      <w:r>
        <w:rPr>
          <w:rFonts w:ascii="Times New Roman" w:eastAsia="宋体" w:hAnsi="Times New Roman" w:cs="Times New Roman" w:hint="eastAsia"/>
          <w:szCs w:val="28"/>
        </w:rPr>
        <w:t>本工程于</w:t>
      </w:r>
      <w:r>
        <w:rPr>
          <w:rFonts w:ascii="Times New Roman" w:eastAsia="宋体" w:hAnsi="Times New Roman" w:cs="Times New Roman" w:hint="eastAsia"/>
          <w:szCs w:val="28"/>
        </w:rPr>
        <w:t>2025</w:t>
      </w:r>
      <w:r>
        <w:rPr>
          <w:rFonts w:ascii="Times New Roman" w:eastAsia="宋体" w:hAnsi="Times New Roman" w:cs="Times New Roman" w:hint="eastAsia"/>
          <w:szCs w:val="28"/>
        </w:rPr>
        <w:t>年</w:t>
      </w:r>
      <w:r>
        <w:rPr>
          <w:rFonts w:ascii="Times New Roman" w:eastAsia="宋体" w:hAnsi="Times New Roman" w:cs="Times New Roman" w:hint="eastAsia"/>
          <w:szCs w:val="28"/>
        </w:rPr>
        <w:t>7</w:t>
      </w:r>
      <w:r>
        <w:rPr>
          <w:rFonts w:ascii="Times New Roman" w:eastAsia="宋体" w:hAnsi="Times New Roman" w:cs="Times New Roman" w:hint="eastAsia"/>
          <w:szCs w:val="28"/>
        </w:rPr>
        <w:t>月对评价范围陆生植被进行了现场调查，调查时期包括了陆生植物生长旺盛期，该时段基本可以代表区域植被的特点。于</w:t>
      </w:r>
      <w:r>
        <w:rPr>
          <w:rFonts w:ascii="Times New Roman" w:eastAsia="宋体" w:hAnsi="Times New Roman" w:cs="Times New Roman"/>
          <w:szCs w:val="28"/>
        </w:rPr>
        <w:t>202</w:t>
      </w:r>
      <w:r>
        <w:rPr>
          <w:rFonts w:ascii="Times New Roman" w:eastAsia="宋体" w:hAnsi="Times New Roman" w:cs="Times New Roman" w:hint="eastAsia"/>
          <w:szCs w:val="28"/>
        </w:rPr>
        <w:t>5</w:t>
      </w:r>
      <w:r>
        <w:rPr>
          <w:rFonts w:ascii="Times New Roman" w:eastAsia="宋体" w:hAnsi="Times New Roman" w:cs="Times New Roman" w:hint="eastAsia"/>
          <w:szCs w:val="28"/>
        </w:rPr>
        <w:t>年</w:t>
      </w:r>
      <w:r>
        <w:rPr>
          <w:rFonts w:ascii="Times New Roman" w:eastAsia="宋体" w:hAnsi="Times New Roman" w:cs="Times New Roman" w:hint="eastAsia"/>
          <w:szCs w:val="28"/>
        </w:rPr>
        <w:t>7</w:t>
      </w:r>
      <w:r>
        <w:rPr>
          <w:rFonts w:ascii="Times New Roman" w:eastAsia="宋体" w:hAnsi="Times New Roman" w:cs="Times New Roman" w:hint="eastAsia"/>
          <w:szCs w:val="28"/>
        </w:rPr>
        <w:t>月、</w:t>
      </w:r>
      <w:r>
        <w:rPr>
          <w:rFonts w:ascii="Times New Roman" w:eastAsia="宋体" w:hAnsi="Times New Roman" w:cs="Times New Roman"/>
          <w:szCs w:val="28"/>
        </w:rPr>
        <w:t>202</w:t>
      </w:r>
      <w:r>
        <w:rPr>
          <w:rFonts w:ascii="Times New Roman" w:eastAsia="宋体" w:hAnsi="Times New Roman" w:cs="Times New Roman" w:hint="eastAsia"/>
          <w:szCs w:val="28"/>
        </w:rPr>
        <w:t>5</w:t>
      </w:r>
      <w:r>
        <w:rPr>
          <w:rFonts w:ascii="Times New Roman" w:eastAsia="宋体" w:hAnsi="Times New Roman" w:cs="Times New Roman" w:hint="eastAsia"/>
          <w:szCs w:val="28"/>
        </w:rPr>
        <w:t>年</w:t>
      </w:r>
      <w:r>
        <w:rPr>
          <w:rFonts w:ascii="Times New Roman" w:eastAsia="宋体" w:hAnsi="Times New Roman" w:cs="Times New Roman" w:hint="eastAsia"/>
          <w:szCs w:val="28"/>
        </w:rPr>
        <w:t>9</w:t>
      </w:r>
      <w:r>
        <w:rPr>
          <w:rFonts w:ascii="Times New Roman" w:eastAsia="宋体" w:hAnsi="Times New Roman" w:cs="Times New Roman" w:hint="eastAsia"/>
          <w:szCs w:val="28"/>
        </w:rPr>
        <w:t>月对评价范围陆生动物进行了现场调查，并结合</w:t>
      </w:r>
      <w:r>
        <w:rPr>
          <w:rFonts w:ascii="Times New Roman" w:eastAsia="宋体" w:hAnsi="Times New Roman" w:cs="Times New Roman"/>
          <w:szCs w:val="28"/>
        </w:rPr>
        <w:t>文献记录</w:t>
      </w:r>
      <w:r>
        <w:rPr>
          <w:rFonts w:ascii="Times New Roman" w:eastAsia="宋体" w:hAnsi="Times New Roman" w:cs="Times New Roman" w:hint="eastAsia"/>
          <w:szCs w:val="28"/>
        </w:rPr>
        <w:t>和</w:t>
      </w:r>
      <w:r>
        <w:rPr>
          <w:rFonts w:ascii="Times New Roman" w:eastAsia="宋体" w:hAnsi="Times New Roman" w:cs="Times New Roman"/>
          <w:szCs w:val="28"/>
        </w:rPr>
        <w:t>历史调查资料</w:t>
      </w:r>
      <w:r>
        <w:rPr>
          <w:rFonts w:ascii="Times New Roman" w:eastAsia="宋体" w:hAnsi="Times New Roman" w:cs="Times New Roman" w:hint="eastAsia"/>
          <w:szCs w:val="28"/>
        </w:rPr>
        <w:t>。涵盖了不同鸟类栖息和停歇的春季迁徙期（</w:t>
      </w:r>
      <w:r>
        <w:rPr>
          <w:rFonts w:ascii="Times New Roman" w:eastAsia="宋体" w:hAnsi="Times New Roman" w:cs="Times New Roman"/>
          <w:szCs w:val="28"/>
        </w:rPr>
        <w:t>3</w:t>
      </w:r>
      <w:r>
        <w:rPr>
          <w:rFonts w:ascii="Times New Roman" w:eastAsia="宋体" w:hAnsi="Times New Roman" w:cs="Times New Roman" w:hint="eastAsia"/>
          <w:szCs w:val="28"/>
        </w:rPr>
        <w:t>月～</w:t>
      </w:r>
      <w:r>
        <w:rPr>
          <w:rFonts w:ascii="Times New Roman" w:eastAsia="宋体" w:hAnsi="Times New Roman" w:cs="Times New Roman"/>
          <w:szCs w:val="28"/>
        </w:rPr>
        <w:t>5</w:t>
      </w:r>
      <w:r>
        <w:rPr>
          <w:rFonts w:ascii="Times New Roman" w:eastAsia="宋体" w:hAnsi="Times New Roman" w:cs="Times New Roman" w:hint="eastAsia"/>
          <w:szCs w:val="28"/>
        </w:rPr>
        <w:t>月）、夏季繁殖期（</w:t>
      </w:r>
      <w:r>
        <w:rPr>
          <w:rFonts w:ascii="Times New Roman" w:eastAsia="宋体" w:hAnsi="Times New Roman" w:cs="Times New Roman"/>
          <w:szCs w:val="28"/>
        </w:rPr>
        <w:t>6</w:t>
      </w:r>
      <w:r>
        <w:rPr>
          <w:rFonts w:ascii="Times New Roman" w:eastAsia="宋体" w:hAnsi="Times New Roman" w:cs="Times New Roman" w:hint="eastAsia"/>
          <w:szCs w:val="28"/>
        </w:rPr>
        <w:t>月～</w:t>
      </w:r>
      <w:r>
        <w:rPr>
          <w:rFonts w:ascii="Times New Roman" w:eastAsia="宋体" w:hAnsi="Times New Roman" w:cs="Times New Roman"/>
          <w:szCs w:val="28"/>
        </w:rPr>
        <w:t>8</w:t>
      </w:r>
      <w:r>
        <w:rPr>
          <w:rFonts w:ascii="Times New Roman" w:eastAsia="宋体" w:hAnsi="Times New Roman" w:cs="Times New Roman" w:hint="eastAsia"/>
          <w:szCs w:val="28"/>
        </w:rPr>
        <w:t>月）、秋季迁徙期（</w:t>
      </w:r>
      <w:r>
        <w:rPr>
          <w:rFonts w:ascii="Times New Roman" w:eastAsia="宋体" w:hAnsi="Times New Roman" w:cs="Times New Roman"/>
          <w:szCs w:val="28"/>
        </w:rPr>
        <w:t>9</w:t>
      </w:r>
      <w:r>
        <w:rPr>
          <w:rFonts w:ascii="Times New Roman" w:eastAsia="宋体" w:hAnsi="Times New Roman" w:cs="Times New Roman" w:hint="eastAsia"/>
          <w:szCs w:val="28"/>
        </w:rPr>
        <w:t>月～</w:t>
      </w:r>
      <w:r>
        <w:rPr>
          <w:rFonts w:ascii="Times New Roman" w:eastAsia="宋体" w:hAnsi="Times New Roman" w:cs="Times New Roman"/>
          <w:szCs w:val="28"/>
        </w:rPr>
        <w:t>11</w:t>
      </w:r>
      <w:r>
        <w:rPr>
          <w:rFonts w:ascii="Times New Roman" w:eastAsia="宋体" w:hAnsi="Times New Roman" w:cs="Times New Roman" w:hint="eastAsia"/>
          <w:szCs w:val="28"/>
        </w:rPr>
        <w:t>月）和冬季越冬期（</w:t>
      </w:r>
      <w:r>
        <w:rPr>
          <w:rFonts w:ascii="Times New Roman" w:eastAsia="宋体" w:hAnsi="Times New Roman" w:cs="Times New Roman"/>
          <w:szCs w:val="28"/>
        </w:rPr>
        <w:t>12</w:t>
      </w:r>
      <w:r>
        <w:rPr>
          <w:rFonts w:ascii="Times New Roman" w:eastAsia="宋体" w:hAnsi="Times New Roman" w:cs="Times New Roman" w:hint="eastAsia"/>
          <w:szCs w:val="28"/>
        </w:rPr>
        <w:t>月～次年</w:t>
      </w:r>
      <w:r>
        <w:rPr>
          <w:rFonts w:ascii="Times New Roman" w:eastAsia="宋体" w:hAnsi="Times New Roman" w:cs="Times New Roman"/>
          <w:szCs w:val="28"/>
        </w:rPr>
        <w:t>2</w:t>
      </w:r>
      <w:r>
        <w:rPr>
          <w:rFonts w:ascii="Times New Roman" w:eastAsia="宋体" w:hAnsi="Times New Roman" w:cs="Times New Roman" w:hint="eastAsia"/>
          <w:szCs w:val="28"/>
        </w:rPr>
        <w:t>月）</w:t>
      </w:r>
      <w:r>
        <w:rPr>
          <w:rFonts w:ascii="Times New Roman" w:eastAsia="宋体" w:hAnsi="Times New Roman" w:cs="Times New Roman"/>
          <w:szCs w:val="28"/>
        </w:rPr>
        <w:t>4</w:t>
      </w:r>
      <w:r>
        <w:rPr>
          <w:rFonts w:ascii="Times New Roman" w:eastAsia="宋体" w:hAnsi="Times New Roman" w:cs="Times New Roman" w:hint="eastAsia"/>
          <w:szCs w:val="28"/>
        </w:rPr>
        <w:t>个时期。</w:t>
      </w:r>
    </w:p>
    <w:p w14:paraId="54670FD9" w14:textId="77777777" w:rsidR="009D12AF" w:rsidRDefault="00000000">
      <w:pPr>
        <w:pStyle w:val="4"/>
        <w:ind w:firstLineChars="0" w:firstLine="0"/>
      </w:pPr>
      <w:r>
        <w:rPr>
          <w:rFonts w:hint="eastAsia"/>
        </w:rPr>
        <w:t>4.3.7.2</w:t>
      </w:r>
      <w:r>
        <w:rPr>
          <w:rFonts w:hint="eastAsia"/>
        </w:rPr>
        <w:t>调查范围</w:t>
      </w:r>
    </w:p>
    <w:p w14:paraId="10D7D798" w14:textId="77777777" w:rsidR="009D12AF" w:rsidRDefault="00000000">
      <w:pPr>
        <w:ind w:firstLine="480"/>
      </w:pPr>
      <w:r>
        <w:t>根据《环境影响评价技术导则</w:t>
      </w:r>
      <w:r>
        <w:t>—</w:t>
      </w:r>
      <w:r>
        <w:t>生态影响》（</w:t>
      </w:r>
      <w:r>
        <w:t>HJ19-2022</w:t>
      </w:r>
      <w:r>
        <w:t>），本项目</w:t>
      </w:r>
      <w:r>
        <w:rPr>
          <w:rFonts w:hint="eastAsia"/>
        </w:rPr>
        <w:t>群力水库</w:t>
      </w:r>
      <w:r>
        <w:t>陆生生态影响评价等级确定为</w:t>
      </w:r>
      <w:r>
        <w:rPr>
          <w:rFonts w:hint="eastAsia"/>
        </w:rPr>
        <w:t>一</w:t>
      </w:r>
      <w:r>
        <w:t>级</w:t>
      </w:r>
      <w:r>
        <w:rPr>
          <w:rFonts w:hint="eastAsia"/>
        </w:rPr>
        <w:t>，向阳水电站前池、新安晒水池、万丈水库、长石水库</w:t>
      </w:r>
      <w:r>
        <w:t>陆生生态影响评价等级确定为</w:t>
      </w:r>
      <w:r>
        <w:rPr>
          <w:rFonts w:hint="eastAsia"/>
        </w:rPr>
        <w:t>三</w:t>
      </w:r>
      <w:r>
        <w:t>级。</w:t>
      </w:r>
      <w:r>
        <w:rPr>
          <w:rFonts w:hint="eastAsia"/>
        </w:rPr>
        <w:t>群力水库</w:t>
      </w:r>
      <w:r>
        <w:t>线路穿越生态敏感区时，两端外延</w:t>
      </w:r>
      <w:r>
        <w:t>1km</w:t>
      </w:r>
      <w:r>
        <w:t>，本项目涉及生态敏感区，故线路中心线统一向两侧外延</w:t>
      </w:r>
      <w:r>
        <w:t>1km</w:t>
      </w:r>
      <w:r>
        <w:t>。</w:t>
      </w:r>
      <w:r>
        <w:rPr>
          <w:rFonts w:ascii="Times New Roman" w:eastAsia="宋体" w:hAnsi="Times New Roman" w:cs="Times New Roman" w:hint="eastAsia"/>
          <w:kern w:val="0"/>
        </w:rPr>
        <w:t>其余清淤区域评价范围为清淤项目周围</w:t>
      </w:r>
      <w:r>
        <w:rPr>
          <w:rFonts w:ascii="Times New Roman" w:eastAsia="宋体" w:hAnsi="Times New Roman" w:cs="Times New Roman" w:hint="eastAsia"/>
          <w:kern w:val="0"/>
        </w:rPr>
        <w:t>300m</w:t>
      </w:r>
      <w:r>
        <w:rPr>
          <w:rFonts w:ascii="Times New Roman" w:eastAsia="宋体" w:hAnsi="Times New Roman" w:cs="Times New Roman" w:hint="eastAsia"/>
          <w:kern w:val="0"/>
        </w:rPr>
        <w:t>范围区域。</w:t>
      </w:r>
    </w:p>
    <w:p w14:paraId="43769AF1" w14:textId="77777777" w:rsidR="009D12AF" w:rsidRDefault="00000000">
      <w:pPr>
        <w:pStyle w:val="4"/>
        <w:ind w:firstLineChars="0" w:firstLine="0"/>
      </w:pPr>
      <w:r>
        <w:rPr>
          <w:rFonts w:hint="eastAsia"/>
        </w:rPr>
        <w:lastRenderedPageBreak/>
        <w:t>4.3.7.3</w:t>
      </w:r>
      <w:r>
        <w:rPr>
          <w:rFonts w:hint="eastAsia"/>
        </w:rPr>
        <w:t>调查内容</w:t>
      </w:r>
    </w:p>
    <w:p w14:paraId="3822D649" w14:textId="77777777" w:rsidR="009D12AF" w:rsidRDefault="00000000">
      <w:pPr>
        <w:ind w:firstLine="480"/>
        <w:rPr>
          <w:rFonts w:ascii="宋体" w:eastAsia="宋体" w:hAnsi="宋体" w:cs="宋体" w:hint="eastAsia"/>
          <w:kern w:val="0"/>
        </w:rPr>
      </w:pPr>
      <w:r>
        <w:rPr>
          <w:rFonts w:ascii="宋体" w:eastAsia="宋体" w:hAnsi="宋体" w:cs="宋体" w:hint="eastAsia"/>
          <w:kern w:val="0"/>
        </w:rPr>
        <w:t>陆生生态调查内容包括评价范围内的植物区系、植被类型，植物群落结构及演替规律，群落中的关键种、建群种、优势种；</w:t>
      </w:r>
      <w:r>
        <w:rPr>
          <w:rFonts w:ascii="宋体" w:eastAsia="宋体" w:hAnsi="宋体" w:cs="宋体"/>
          <w:kern w:val="0"/>
        </w:rPr>
        <w:t>生态系统的类型、生物量、土地利用、生境类型及陆生动物的区划与分布等。</w:t>
      </w:r>
    </w:p>
    <w:p w14:paraId="2B8373FB" w14:textId="77777777" w:rsidR="009D12AF" w:rsidRDefault="00000000">
      <w:pPr>
        <w:pStyle w:val="4"/>
        <w:ind w:firstLineChars="0" w:firstLine="0"/>
      </w:pPr>
      <w:r>
        <w:rPr>
          <w:rFonts w:hint="eastAsia"/>
        </w:rPr>
        <w:t>4.3.7.4</w:t>
      </w:r>
      <w:r>
        <w:rPr>
          <w:rFonts w:hint="eastAsia"/>
        </w:rPr>
        <w:t>调查及评价方法</w:t>
      </w:r>
    </w:p>
    <w:p w14:paraId="6D052645" w14:textId="77777777" w:rsidR="009D12AF" w:rsidRDefault="00000000">
      <w:pPr>
        <w:ind w:firstLine="480"/>
      </w:pPr>
      <w:r>
        <w:rPr>
          <w:rFonts w:hint="eastAsia"/>
        </w:rPr>
        <w:t>一、调查方法</w:t>
      </w:r>
    </w:p>
    <w:p w14:paraId="799A06D8" w14:textId="77777777" w:rsidR="009D12AF" w:rsidRDefault="00000000">
      <w:pPr>
        <w:ind w:firstLine="480"/>
      </w:pPr>
      <w:r>
        <w:rPr>
          <w:rFonts w:hint="eastAsia"/>
        </w:rPr>
        <w:t>1</w:t>
      </w:r>
      <w:r>
        <w:rPr>
          <w:rFonts w:hint="eastAsia"/>
        </w:rPr>
        <w:t>、陆生植物调查</w:t>
      </w:r>
    </w:p>
    <w:p w14:paraId="25058E52" w14:textId="77777777" w:rsidR="009D12AF" w:rsidRDefault="00000000">
      <w:pPr>
        <w:ind w:firstLine="480"/>
        <w:rPr>
          <w:rFonts w:ascii="宋体" w:eastAsia="宋体" w:hAnsi="宋体" w:cs="宋体" w:hint="eastAsia"/>
          <w:kern w:val="0"/>
        </w:rPr>
      </w:pPr>
      <w:r>
        <w:rPr>
          <w:rFonts w:ascii="宋体" w:eastAsia="宋体" w:hAnsi="宋体" w:cs="宋体" w:hint="eastAsia"/>
          <w:kern w:val="0"/>
        </w:rPr>
        <w:t>对评价范围陆生生物资源历年资料检索分析的基础上，根据调查方案确定路线走向及考察时间，进行现场调查。在调查过程中，确定评价范围的植物种类、植被类型及国家重点保护植物等重要生态因子的生存状况。</w:t>
      </w:r>
    </w:p>
    <w:p w14:paraId="6131B162" w14:textId="77777777" w:rsidR="009D12AF" w:rsidRDefault="00000000">
      <w:pPr>
        <w:widowControl/>
        <w:ind w:firstLine="480"/>
        <w:jc w:val="left"/>
        <w:rPr>
          <w:rFonts w:ascii="宋体" w:eastAsia="宋体" w:hAnsi="宋体" w:cs="宋体" w:hint="eastAsia"/>
          <w:kern w:val="0"/>
        </w:rPr>
      </w:pPr>
      <w:r>
        <w:rPr>
          <w:rFonts w:hint="eastAsia"/>
        </w:rPr>
        <w:t>（</w:t>
      </w:r>
      <w:r>
        <w:rPr>
          <w:rFonts w:hint="eastAsia"/>
        </w:rPr>
        <w:t>1</w:t>
      </w:r>
      <w:r>
        <w:rPr>
          <w:rFonts w:hint="eastAsia"/>
        </w:rPr>
        <w:t>）</w:t>
      </w:r>
      <w:r>
        <w:rPr>
          <w:rFonts w:ascii="Times New Roman" w:eastAsia="宋体" w:hAnsi="Times New Roman" w:cs="Times New Roman"/>
          <w:kern w:val="0"/>
        </w:rPr>
        <w:t>植被类型调查</w:t>
      </w:r>
    </w:p>
    <w:p w14:paraId="4A6EF563"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t xml:space="preserve">GPS </w:t>
      </w:r>
      <w:r>
        <w:rPr>
          <w:rFonts w:ascii="Times New Roman" w:eastAsia="宋体" w:hAnsi="Times New Roman" w:cs="Times New Roman"/>
          <w:kern w:val="0"/>
        </w:rPr>
        <w:t>样点是卫星遥感影像判读各种景观类型的基础，根据室内判读的植被与土地利用类型初图，现场核实判读的正误率，并对每个</w:t>
      </w:r>
      <w:r>
        <w:rPr>
          <w:rFonts w:ascii="Times New Roman" w:eastAsia="宋体" w:hAnsi="Times New Roman" w:cs="Times New Roman"/>
          <w:kern w:val="0"/>
        </w:rPr>
        <w:t xml:space="preserve"> GPS </w:t>
      </w:r>
      <w:r>
        <w:rPr>
          <w:rFonts w:ascii="Times New Roman" w:eastAsia="宋体" w:hAnsi="Times New Roman" w:cs="Times New Roman"/>
          <w:kern w:val="0"/>
        </w:rPr>
        <w:t>取样点作如下记录：</w:t>
      </w:r>
      <w:r>
        <w:rPr>
          <w:rFonts w:ascii="宋体" w:eastAsia="宋体" w:hAnsi="宋体" w:cs="宋体" w:hint="eastAsia"/>
          <w:kern w:val="0"/>
        </w:rPr>
        <w:t>①</w:t>
      </w:r>
      <w:r>
        <w:rPr>
          <w:rFonts w:ascii="Times New Roman" w:eastAsia="宋体" w:hAnsi="Times New Roman" w:cs="Times New Roman"/>
          <w:kern w:val="0"/>
        </w:rPr>
        <w:t>海拔表读出测点的海拔值和经纬度；</w:t>
      </w:r>
      <w:r>
        <w:rPr>
          <w:rFonts w:ascii="宋体" w:eastAsia="宋体" w:hAnsi="宋体" w:cs="宋体" w:hint="eastAsia"/>
          <w:kern w:val="0"/>
        </w:rPr>
        <w:t>②</w:t>
      </w:r>
      <w:r>
        <w:rPr>
          <w:rFonts w:ascii="Times New Roman" w:eastAsia="宋体" w:hAnsi="Times New Roman" w:cs="Times New Roman"/>
          <w:kern w:val="0"/>
        </w:rPr>
        <w:t>记录样点植被类型，以群系为单位，同时记录坡向、坡度、土壤类型等；</w:t>
      </w:r>
      <w:r>
        <w:rPr>
          <w:rFonts w:ascii="宋体" w:eastAsia="宋体" w:hAnsi="宋体" w:cs="宋体" w:hint="eastAsia"/>
          <w:kern w:val="0"/>
        </w:rPr>
        <w:t>③</w:t>
      </w:r>
      <w:r>
        <w:rPr>
          <w:rFonts w:ascii="Times New Roman" w:eastAsia="宋体" w:hAnsi="Times New Roman" w:cs="Times New Roman"/>
          <w:kern w:val="0"/>
        </w:rPr>
        <w:t>记录样点优势植物以及观察动物的活动的情况；</w:t>
      </w:r>
      <w:r>
        <w:rPr>
          <w:rFonts w:ascii="宋体" w:eastAsia="宋体" w:hAnsi="宋体" w:cs="宋体" w:hint="eastAsia"/>
          <w:kern w:val="0"/>
        </w:rPr>
        <w:t>④</w:t>
      </w:r>
      <w:r>
        <w:rPr>
          <w:rFonts w:ascii="Times New Roman" w:eastAsia="宋体" w:hAnsi="Times New Roman" w:cs="Times New Roman"/>
          <w:kern w:val="0"/>
        </w:rPr>
        <w:t>拍摄典型植被外貌与结构特征。</w:t>
      </w:r>
    </w:p>
    <w:p w14:paraId="1DC8A950" w14:textId="77777777" w:rsidR="009D12AF" w:rsidRDefault="00000000">
      <w:pPr>
        <w:widowControl/>
        <w:ind w:firstLine="480"/>
      </w:pPr>
      <w:r>
        <w:rPr>
          <w:rFonts w:ascii="Times New Roman" w:eastAsia="宋体" w:hAnsi="Times New Roman" w:cs="Times New Roman"/>
          <w:kern w:val="0"/>
        </w:rPr>
        <w:t>对于植被类型的调查，要调查记录群丛的植物种类组成（包括不同植物种的名称、高度、盖度、生物量、重要值），植物群丛的生境条件（包括地形类型与坡度、土壤质地等），植物群丛的结构外貌条件（包括主要层片结构、群落高度、群落盖度、群落生物量、季相变化等）。</w:t>
      </w:r>
    </w:p>
    <w:p w14:paraId="36142D71" w14:textId="77777777" w:rsidR="009D12AF" w:rsidRDefault="00000000">
      <w:pPr>
        <w:widowControl/>
        <w:ind w:firstLine="480"/>
        <w:jc w:val="left"/>
        <w:rPr>
          <w:rFonts w:ascii="Times New Roman" w:eastAsia="宋体" w:hAnsi="Times New Roman" w:cs="Times New Roman"/>
          <w:kern w:val="0"/>
        </w:rPr>
      </w:pPr>
      <w:r>
        <w:rPr>
          <w:rFonts w:hint="eastAsia"/>
        </w:rPr>
        <w:t>（</w:t>
      </w:r>
      <w:r>
        <w:rPr>
          <w:rFonts w:hint="eastAsia"/>
        </w:rPr>
        <w:t>2</w:t>
      </w:r>
      <w:r>
        <w:rPr>
          <w:rFonts w:hint="eastAsia"/>
        </w:rPr>
        <w:t>）植物种类调查</w:t>
      </w:r>
    </w:p>
    <w:p w14:paraId="3F20178D"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t>在遥感调查的基础上，主要采用样方法和路线法相结合进行</w:t>
      </w:r>
      <w:r>
        <w:rPr>
          <w:rFonts w:ascii="Times New Roman" w:eastAsia="宋体" w:hAnsi="Times New Roman" w:cs="Times New Roman" w:hint="eastAsia"/>
          <w:kern w:val="0"/>
        </w:rPr>
        <w:t>。</w:t>
      </w:r>
      <w:r>
        <w:rPr>
          <w:rFonts w:ascii="Times New Roman" w:eastAsia="宋体" w:hAnsi="Times New Roman" w:cs="Times New Roman"/>
          <w:szCs w:val="28"/>
        </w:rPr>
        <w:t>在生态敏感区、永久占地区和临时占地区以及植被状况良好的区域实行重点调查</w:t>
      </w:r>
      <w:r>
        <w:rPr>
          <w:rFonts w:ascii="Times New Roman" w:eastAsia="宋体" w:hAnsi="Times New Roman" w:cs="Times New Roman"/>
          <w:kern w:val="0"/>
        </w:rPr>
        <w:t>。先进行路线调查以确定主要的植被类型及其分布；然后依据生境、海拔以及类型的不同设置调查样地，在每一样地以样方法进行调查，样方面积为：森林群落</w:t>
      </w:r>
      <w:r>
        <w:rPr>
          <w:rFonts w:ascii="Times New Roman" w:eastAsia="宋体" w:hAnsi="Times New Roman" w:cs="Times New Roman"/>
          <w:kern w:val="0"/>
        </w:rPr>
        <w:t>20m</w:t>
      </w:r>
      <w:r>
        <w:rPr>
          <w:rFonts w:ascii="Times New Roman" w:eastAsia="宋体" w:hAnsi="Times New Roman" w:cs="Times New Roman"/>
          <w:kern w:val="0"/>
        </w:rPr>
        <w:sym w:font="Wingdings 2" w:char="F0CD"/>
      </w:r>
      <w:r>
        <w:rPr>
          <w:rFonts w:ascii="Times New Roman" w:eastAsia="宋体" w:hAnsi="Times New Roman" w:cs="Times New Roman"/>
          <w:kern w:val="0"/>
        </w:rPr>
        <w:t>20m</w:t>
      </w:r>
      <w:r>
        <w:rPr>
          <w:rFonts w:ascii="Times New Roman" w:eastAsia="宋体" w:hAnsi="Times New Roman" w:cs="Times New Roman"/>
          <w:kern w:val="0"/>
        </w:rPr>
        <w:t>，灌</w:t>
      </w:r>
      <w:r>
        <w:rPr>
          <w:rFonts w:ascii="Times New Roman" w:eastAsia="宋体" w:hAnsi="Times New Roman" w:cs="Times New Roman"/>
          <w:kern w:val="0"/>
        </w:rPr>
        <w:lastRenderedPageBreak/>
        <w:t>丛群落</w:t>
      </w:r>
      <w:r>
        <w:rPr>
          <w:rFonts w:ascii="Times New Roman" w:eastAsia="宋体" w:hAnsi="Times New Roman" w:cs="Times New Roman"/>
          <w:kern w:val="0"/>
        </w:rPr>
        <w:t xml:space="preserve"> 5m</w:t>
      </w:r>
      <w:r>
        <w:rPr>
          <w:rFonts w:ascii="Times New Roman" w:eastAsia="宋体" w:hAnsi="Times New Roman" w:cs="Times New Roman"/>
          <w:kern w:val="0"/>
        </w:rPr>
        <w:sym w:font="Wingdings 2" w:char="F0CD"/>
      </w:r>
      <w:r>
        <w:rPr>
          <w:rFonts w:ascii="Times New Roman" w:eastAsia="宋体" w:hAnsi="Times New Roman" w:cs="Times New Roman"/>
          <w:kern w:val="0"/>
        </w:rPr>
        <w:t>5m</w:t>
      </w:r>
      <w:r>
        <w:rPr>
          <w:rFonts w:ascii="Times New Roman" w:eastAsia="宋体" w:hAnsi="Times New Roman" w:cs="Times New Roman"/>
          <w:kern w:val="0"/>
        </w:rPr>
        <w:t>，草本群落</w:t>
      </w:r>
      <w:r>
        <w:rPr>
          <w:rFonts w:ascii="Times New Roman" w:eastAsia="宋体" w:hAnsi="Times New Roman" w:cs="Times New Roman"/>
          <w:kern w:val="0"/>
        </w:rPr>
        <w:t>1m</w:t>
      </w:r>
      <w:r>
        <w:rPr>
          <w:rFonts w:ascii="Times New Roman" w:eastAsia="宋体" w:hAnsi="Times New Roman" w:cs="Times New Roman"/>
          <w:kern w:val="0"/>
        </w:rPr>
        <w:sym w:font="Wingdings 2" w:char="F0CD"/>
      </w:r>
      <w:r>
        <w:rPr>
          <w:rFonts w:ascii="Times New Roman" w:eastAsia="宋体" w:hAnsi="Times New Roman" w:cs="Times New Roman"/>
          <w:kern w:val="0"/>
        </w:rPr>
        <w:t>1m</w:t>
      </w:r>
      <w:r>
        <w:rPr>
          <w:rFonts w:ascii="Times New Roman" w:eastAsia="宋体" w:hAnsi="Times New Roman" w:cs="Times New Roman"/>
          <w:kern w:val="0"/>
        </w:rPr>
        <w:t>，对每个样方所在地点均以</w:t>
      </w:r>
      <w:r>
        <w:rPr>
          <w:rFonts w:ascii="Times New Roman" w:eastAsia="宋体" w:hAnsi="Times New Roman" w:cs="Times New Roman"/>
          <w:kern w:val="0"/>
        </w:rPr>
        <w:t xml:space="preserve"> GPS</w:t>
      </w:r>
      <w:r>
        <w:rPr>
          <w:rFonts w:ascii="Times New Roman" w:eastAsia="宋体" w:hAnsi="Times New Roman" w:cs="Times New Roman"/>
          <w:kern w:val="0"/>
        </w:rPr>
        <w:t>准确定位，并记录其环境要素特征。</w:t>
      </w:r>
    </w:p>
    <w:p w14:paraId="4D344B59"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t>在现场调查前，根据</w:t>
      </w:r>
      <w:r>
        <w:rPr>
          <w:rFonts w:ascii="Times New Roman" w:eastAsia="宋体" w:hAnsi="Times New Roman" w:cs="Times New Roman"/>
          <w:szCs w:val="28"/>
        </w:rPr>
        <w:t>评价范围陆生生物资源历年资料检索分析</w:t>
      </w:r>
      <w:r>
        <w:rPr>
          <w:rFonts w:ascii="Times New Roman" w:eastAsia="宋体" w:hAnsi="Times New Roman" w:cs="Times New Roman"/>
          <w:kern w:val="0"/>
        </w:rPr>
        <w:t>，初步了解区域内维管植物种类和组成情况，并设置适当的样方调查面积。在样方调查过程中，同时进行植物标本的采集、观察和记录，对样方内植物、主要经济植物和珍稀濒危植物，采集凭证标本并拍摄照片。</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8"/>
        <w:gridCol w:w="4134"/>
      </w:tblGrid>
      <w:tr w:rsidR="009D12AF" w14:paraId="12FE9CEC" w14:textId="77777777">
        <w:trPr>
          <w:jc w:val="center"/>
        </w:trPr>
        <w:tc>
          <w:tcPr>
            <w:tcW w:w="3727" w:type="dxa"/>
            <w:vAlign w:val="center"/>
          </w:tcPr>
          <w:p w14:paraId="6A3B67F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noProof/>
              </w:rPr>
              <w:drawing>
                <wp:inline distT="0" distB="0" distL="0" distR="0" wp14:anchorId="17E21126" wp14:editId="3832A7EC">
                  <wp:extent cx="2819400" cy="2178050"/>
                  <wp:effectExtent l="0" t="0" r="0" b="1270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a:xfrm>
                            <a:off x="0" y="0"/>
                            <a:ext cx="2819400" cy="2178050"/>
                          </a:xfrm>
                          <a:prstGeom prst="rect">
                            <a:avLst/>
                          </a:prstGeom>
                          <a:noFill/>
                          <a:ln>
                            <a:noFill/>
                          </a:ln>
                        </pic:spPr>
                      </pic:pic>
                    </a:graphicData>
                  </a:graphic>
                </wp:inline>
              </w:drawing>
            </w:r>
          </w:p>
        </w:tc>
        <w:tc>
          <w:tcPr>
            <w:tcW w:w="3785" w:type="dxa"/>
            <w:vAlign w:val="center"/>
          </w:tcPr>
          <w:p w14:paraId="0410C91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noProof/>
                <w:kern w:val="0"/>
                <w:szCs w:val="15"/>
              </w:rPr>
              <w:drawing>
                <wp:inline distT="0" distB="0" distL="0" distR="0" wp14:anchorId="04F2A1C0" wp14:editId="624CD274">
                  <wp:extent cx="2643505" cy="2101850"/>
                  <wp:effectExtent l="0" t="0" r="4445" b="12700"/>
                  <wp:docPr id="1031444351" name="图片 27"/>
                  <wp:cNvGraphicFramePr/>
                  <a:graphic xmlns:a="http://schemas.openxmlformats.org/drawingml/2006/main">
                    <a:graphicData uri="http://schemas.openxmlformats.org/drawingml/2006/picture">
                      <pic:pic xmlns:pic="http://schemas.openxmlformats.org/drawingml/2006/picture">
                        <pic:nvPicPr>
                          <pic:cNvPr id="1031444351" name="图片 27"/>
                          <pic:cNvPicPr>
                            <a:picLocks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a:xfrm>
                            <a:off x="0" y="0"/>
                            <a:ext cx="2643505" cy="2101850"/>
                          </a:xfrm>
                          <a:prstGeom prst="rect">
                            <a:avLst/>
                          </a:prstGeom>
                          <a:noFill/>
                          <a:ln>
                            <a:noFill/>
                          </a:ln>
                        </pic:spPr>
                      </pic:pic>
                    </a:graphicData>
                  </a:graphic>
                </wp:inline>
              </w:drawing>
            </w:r>
          </w:p>
        </w:tc>
      </w:tr>
    </w:tbl>
    <w:p w14:paraId="4CD6B3FE" w14:textId="77777777" w:rsidR="009D12AF" w:rsidRDefault="00000000">
      <w:pPr>
        <w:ind w:firstLine="480"/>
        <w:rPr>
          <w:rFonts w:ascii="Times New Roman" w:eastAsia="宋体" w:hAnsi="Times New Roman" w:cs="Times New Roman"/>
          <w:kern w:val="0"/>
        </w:rPr>
      </w:pPr>
      <w:r>
        <w:rPr>
          <w:rFonts w:ascii="Times New Roman" w:eastAsia="宋体" w:hAnsi="Times New Roman" w:cs="Times New Roman" w:hint="eastAsia"/>
          <w:kern w:val="0"/>
        </w:rPr>
        <w:t>（</w:t>
      </w:r>
      <w:r>
        <w:rPr>
          <w:rFonts w:ascii="Times New Roman" w:eastAsia="宋体" w:hAnsi="Times New Roman" w:cs="Times New Roman" w:hint="eastAsia"/>
          <w:kern w:val="0"/>
        </w:rPr>
        <w:t>3</w:t>
      </w:r>
      <w:r>
        <w:rPr>
          <w:rFonts w:ascii="Times New Roman" w:eastAsia="宋体" w:hAnsi="Times New Roman" w:cs="Times New Roman" w:hint="eastAsia"/>
          <w:kern w:val="0"/>
        </w:rPr>
        <w:t>）陆生动物调查</w:t>
      </w:r>
    </w:p>
    <w:p w14:paraId="63C40232" w14:textId="77777777" w:rsidR="009D12AF" w:rsidRDefault="00000000">
      <w:pPr>
        <w:ind w:firstLine="480"/>
        <w:rPr>
          <w:rFonts w:ascii="Times New Roman" w:eastAsia="宋体" w:hAnsi="Times New Roman" w:cs="Times New Roman"/>
          <w:kern w:val="0"/>
        </w:rPr>
      </w:pPr>
      <w:r>
        <w:rPr>
          <w:rFonts w:ascii="Times New Roman" w:eastAsia="宋体" w:hAnsi="Times New Roman" w:cs="Times New Roman"/>
          <w:kern w:val="0"/>
        </w:rPr>
        <w:t>采用资料搜集法、现场调查法及访谈法，调查项目评价范围内野生动物的种类、资源状况及生存状况，重点调查重要野生动物。依据《生物多样性观测技术导则</w:t>
      </w:r>
      <w:r>
        <w:rPr>
          <w:rFonts w:ascii="Times New Roman" w:eastAsia="宋体" w:hAnsi="Times New Roman" w:cs="Times New Roman"/>
          <w:kern w:val="0"/>
        </w:rPr>
        <w:t xml:space="preserve"> </w:t>
      </w:r>
      <w:r>
        <w:rPr>
          <w:rFonts w:ascii="Times New Roman" w:eastAsia="宋体" w:hAnsi="Times New Roman" w:cs="Times New Roman"/>
          <w:kern w:val="0"/>
        </w:rPr>
        <w:t>爬行动物</w:t>
      </w:r>
      <w:r>
        <w:rPr>
          <w:rFonts w:ascii="Times New Roman" w:eastAsia="宋体" w:hAnsi="Times New Roman" w:cs="Times New Roman"/>
          <w:kern w:val="0"/>
        </w:rPr>
        <w:t>2014</w:t>
      </w:r>
      <w:r>
        <w:rPr>
          <w:rFonts w:ascii="Times New Roman" w:eastAsia="宋体" w:hAnsi="Times New Roman" w:cs="Times New Roman"/>
          <w:kern w:val="0"/>
        </w:rPr>
        <w:t>》、《生物多样性观测技术导则</w:t>
      </w:r>
      <w:r>
        <w:rPr>
          <w:rFonts w:ascii="Times New Roman" w:eastAsia="宋体" w:hAnsi="Times New Roman" w:cs="Times New Roman"/>
          <w:kern w:val="0"/>
        </w:rPr>
        <w:t xml:space="preserve"> </w:t>
      </w:r>
      <w:r>
        <w:rPr>
          <w:rFonts w:ascii="Times New Roman" w:eastAsia="宋体" w:hAnsi="Times New Roman" w:cs="Times New Roman"/>
          <w:kern w:val="0"/>
        </w:rPr>
        <w:t>鸟类</w:t>
      </w:r>
      <w:r>
        <w:rPr>
          <w:rFonts w:ascii="Times New Roman" w:eastAsia="宋体" w:hAnsi="Times New Roman" w:cs="Times New Roman"/>
          <w:kern w:val="0"/>
        </w:rPr>
        <w:t>2014</w:t>
      </w:r>
      <w:r>
        <w:rPr>
          <w:rFonts w:ascii="Times New Roman" w:eastAsia="宋体" w:hAnsi="Times New Roman" w:cs="Times New Roman"/>
          <w:kern w:val="0"/>
        </w:rPr>
        <w:t>》、《生物多样性观测技术导则</w:t>
      </w:r>
      <w:r>
        <w:rPr>
          <w:rFonts w:ascii="Times New Roman" w:eastAsia="宋体" w:hAnsi="Times New Roman" w:cs="Times New Roman"/>
          <w:kern w:val="0"/>
        </w:rPr>
        <w:t xml:space="preserve"> </w:t>
      </w:r>
      <w:r>
        <w:rPr>
          <w:rFonts w:ascii="Times New Roman" w:eastAsia="宋体" w:hAnsi="Times New Roman" w:cs="Times New Roman"/>
          <w:kern w:val="0"/>
        </w:rPr>
        <w:t>两栖动物</w:t>
      </w:r>
      <w:r>
        <w:rPr>
          <w:rFonts w:ascii="Times New Roman" w:eastAsia="宋体" w:hAnsi="Times New Roman" w:cs="Times New Roman"/>
          <w:kern w:val="0"/>
        </w:rPr>
        <w:t>2014</w:t>
      </w:r>
      <w:r>
        <w:rPr>
          <w:rFonts w:ascii="Times New Roman" w:eastAsia="宋体" w:hAnsi="Times New Roman" w:cs="Times New Roman"/>
          <w:kern w:val="0"/>
        </w:rPr>
        <w:t>》及《生物多样性观测技术导则</w:t>
      </w:r>
      <w:r>
        <w:rPr>
          <w:rFonts w:ascii="Times New Roman" w:eastAsia="宋体" w:hAnsi="Times New Roman" w:cs="Times New Roman"/>
          <w:kern w:val="0"/>
        </w:rPr>
        <w:t xml:space="preserve"> </w:t>
      </w:r>
      <w:r>
        <w:rPr>
          <w:rFonts w:ascii="Times New Roman" w:eastAsia="宋体" w:hAnsi="Times New Roman" w:cs="Times New Roman"/>
          <w:kern w:val="0"/>
        </w:rPr>
        <w:t>陆生哺乳动物</w:t>
      </w:r>
      <w:r>
        <w:rPr>
          <w:rFonts w:ascii="Times New Roman" w:eastAsia="宋体" w:hAnsi="Times New Roman" w:cs="Times New Roman"/>
          <w:kern w:val="0"/>
        </w:rPr>
        <w:t>2014</w:t>
      </w:r>
      <w:r>
        <w:rPr>
          <w:rFonts w:ascii="Times New Roman" w:eastAsia="宋体" w:hAnsi="Times New Roman" w:cs="Times New Roman"/>
          <w:kern w:val="0"/>
        </w:rPr>
        <w:t>》，在评价区的主体生境内开展现场调查，详细记录样线内见到的所有两栖、爬行动物种类和个体数量，调查周围可视范围内的鸟类数量、种类，观测兽类或者其活动痕迹如粪便、卧迹、足迹链等，应用上述四个技术规范对生境类型的分类标准以及野外定点调查与遥感影像室内解译结合的方法，对项目所在区域生境类型进行分类；查阅当地相关科学研究和野外调查资料，比照相应的地理纬度和海拔高度，结合野生动物生境，核查和收集当地及相邻地区的动物繁殖期、迁徙期和冬眠期资料</w:t>
      </w:r>
      <w:r>
        <w:rPr>
          <w:rFonts w:ascii="Times New Roman" w:eastAsia="宋体" w:hAnsi="Times New Roman" w:cs="Times New Roman" w:hint="eastAsia"/>
          <w:kern w:val="0"/>
        </w:rPr>
        <w:t>。</w:t>
      </w:r>
    </w:p>
    <w:p w14:paraId="719519B8" w14:textId="77777777" w:rsidR="009D12AF" w:rsidRDefault="00000000">
      <w:pPr>
        <w:ind w:firstLine="480"/>
        <w:rPr>
          <w:rFonts w:ascii="Times New Roman" w:eastAsia="宋体" w:hAnsi="Times New Roman" w:cs="Times New Roman"/>
          <w:kern w:val="0"/>
        </w:rPr>
      </w:pPr>
      <w:r>
        <w:rPr>
          <w:rFonts w:ascii="Times New Roman" w:eastAsia="宋体" w:hAnsi="Times New Roman" w:cs="Times New Roman" w:hint="eastAsia"/>
          <w:kern w:val="0"/>
        </w:rPr>
        <w:t>（</w:t>
      </w:r>
      <w:r>
        <w:rPr>
          <w:rFonts w:ascii="Times New Roman" w:eastAsia="宋体" w:hAnsi="Times New Roman" w:cs="Times New Roman" w:hint="eastAsia"/>
          <w:kern w:val="0"/>
        </w:rPr>
        <w:t>4</w:t>
      </w:r>
      <w:r>
        <w:rPr>
          <w:rFonts w:ascii="Times New Roman" w:eastAsia="宋体" w:hAnsi="Times New Roman" w:cs="Times New Roman" w:hint="eastAsia"/>
          <w:kern w:val="0"/>
        </w:rPr>
        <w:t>）土地利用类型调查</w:t>
      </w:r>
    </w:p>
    <w:p w14:paraId="000894B8" w14:textId="77777777" w:rsidR="009D12AF" w:rsidRDefault="00000000">
      <w:pPr>
        <w:ind w:firstLine="480"/>
        <w:rPr>
          <w:rFonts w:ascii="Times New Roman" w:eastAsia="宋体" w:hAnsi="Times New Roman" w:cs="Times New Roman"/>
          <w:kern w:val="0"/>
        </w:rPr>
      </w:pPr>
      <w:r>
        <w:rPr>
          <w:rFonts w:ascii="Times New Roman" w:eastAsia="宋体" w:hAnsi="Times New Roman" w:cs="Times New Roman"/>
          <w:kern w:val="0"/>
        </w:rPr>
        <w:t>土地利用类型利用</w:t>
      </w:r>
      <w:r>
        <w:rPr>
          <w:rFonts w:ascii="Times New Roman" w:eastAsia="宋体" w:hAnsi="宋体" w:cs="宋体"/>
          <w:spacing w:val="6"/>
          <w:kern w:val="0"/>
        </w:rPr>
        <w:t>野外定点调查与</w:t>
      </w:r>
      <w:r>
        <w:rPr>
          <w:rFonts w:ascii="Times New Roman" w:eastAsia="宋体" w:hAnsi="Times New Roman" w:cs="Times New Roman"/>
          <w:kern w:val="0"/>
        </w:rPr>
        <w:t>第三次全国国土调查数据，参照《土地利用现状分类》</w:t>
      </w:r>
      <w:r>
        <w:rPr>
          <w:rFonts w:ascii="Times New Roman" w:eastAsia="宋体" w:hAnsi="Times New Roman" w:cs="Times New Roman"/>
          <w:kern w:val="0"/>
        </w:rPr>
        <w:t>(GB/T 21010-2017)</w:t>
      </w:r>
      <w:r>
        <w:rPr>
          <w:rFonts w:ascii="Times New Roman" w:eastAsia="宋体" w:hAnsi="Times New Roman" w:cs="Times New Roman"/>
          <w:kern w:val="0"/>
        </w:rPr>
        <w:t>二级分类</w:t>
      </w:r>
      <w:r>
        <w:rPr>
          <w:rFonts w:ascii="Times New Roman" w:eastAsia="宋体" w:hAnsi="Times New Roman" w:cs="Times New Roman"/>
          <w:kern w:val="0"/>
        </w:rPr>
        <w:t>,</w:t>
      </w:r>
      <w:r>
        <w:rPr>
          <w:rFonts w:ascii="Times New Roman" w:eastAsia="宋体" w:hAnsi="Times New Roman" w:cs="Times New Roman"/>
          <w:kern w:val="0"/>
        </w:rPr>
        <w:t>运用</w:t>
      </w:r>
      <w:r>
        <w:rPr>
          <w:rFonts w:ascii="Times New Roman" w:eastAsia="宋体" w:hAnsi="Times New Roman" w:cs="Times New Roman"/>
          <w:kern w:val="0"/>
        </w:rPr>
        <w:t xml:space="preserve"> ArcGIS </w:t>
      </w:r>
      <w:r>
        <w:rPr>
          <w:rFonts w:ascii="Times New Roman" w:eastAsia="宋体" w:hAnsi="Times New Roman" w:cs="Times New Roman"/>
          <w:kern w:val="0"/>
        </w:rPr>
        <w:t>软件对项目调查范围</w:t>
      </w:r>
      <w:r>
        <w:rPr>
          <w:rFonts w:ascii="Times New Roman" w:eastAsia="宋体" w:hAnsi="Times New Roman" w:cs="Times New Roman"/>
          <w:kern w:val="0"/>
        </w:rPr>
        <w:lastRenderedPageBreak/>
        <w:t>土地利用进行分类</w:t>
      </w:r>
      <w:r>
        <w:rPr>
          <w:rFonts w:ascii="Times New Roman" w:eastAsia="宋体" w:hAnsi="Times New Roman" w:cs="Times New Roman" w:hint="eastAsia"/>
          <w:kern w:val="0"/>
        </w:rPr>
        <w:t>。</w:t>
      </w:r>
    </w:p>
    <w:p w14:paraId="643E0778" w14:textId="77777777" w:rsidR="009D12AF" w:rsidRDefault="00000000">
      <w:pPr>
        <w:ind w:firstLine="480"/>
        <w:rPr>
          <w:rFonts w:ascii="Times New Roman" w:eastAsia="宋体" w:hAnsi="Times New Roman" w:cs="Times New Roman"/>
          <w:kern w:val="0"/>
        </w:rPr>
      </w:pPr>
      <w:r>
        <w:rPr>
          <w:rFonts w:ascii="Times New Roman" w:eastAsia="宋体" w:hAnsi="Times New Roman" w:cs="Times New Roman" w:hint="eastAsia"/>
          <w:kern w:val="0"/>
        </w:rPr>
        <w:t>（</w:t>
      </w:r>
      <w:r>
        <w:rPr>
          <w:rFonts w:ascii="Times New Roman" w:eastAsia="宋体" w:hAnsi="Times New Roman" w:cs="Times New Roman" w:hint="eastAsia"/>
          <w:kern w:val="0"/>
        </w:rPr>
        <w:t>5</w:t>
      </w:r>
      <w:r>
        <w:rPr>
          <w:rFonts w:ascii="Times New Roman" w:eastAsia="宋体" w:hAnsi="Times New Roman" w:cs="Times New Roman" w:hint="eastAsia"/>
          <w:kern w:val="0"/>
        </w:rPr>
        <w:t>）生境类型调查</w:t>
      </w:r>
    </w:p>
    <w:p w14:paraId="3AB18261" w14:textId="77777777" w:rsidR="009D12AF" w:rsidRDefault="00000000">
      <w:pPr>
        <w:ind w:firstLine="480"/>
        <w:rPr>
          <w:rFonts w:ascii="Times New Roman" w:eastAsia="宋体" w:hAnsi="Times New Roman" w:cs="Times New Roman"/>
          <w:kern w:val="0"/>
        </w:rPr>
      </w:pPr>
      <w:r>
        <w:rPr>
          <w:rFonts w:ascii="Times New Roman" w:eastAsia="宋体" w:hAnsi="Times New Roman" w:cs="Times New Roman"/>
          <w:kern w:val="0"/>
        </w:rPr>
        <w:t>依据《生物多样性观测技术导则</w:t>
      </w:r>
      <w:r>
        <w:rPr>
          <w:rFonts w:ascii="Times New Roman" w:eastAsia="宋体" w:hAnsi="Times New Roman" w:cs="Times New Roman"/>
          <w:kern w:val="0"/>
        </w:rPr>
        <w:t xml:space="preserve"> </w:t>
      </w:r>
      <w:r>
        <w:rPr>
          <w:rFonts w:ascii="Times New Roman" w:eastAsia="宋体" w:hAnsi="Times New Roman" w:cs="Times New Roman"/>
          <w:kern w:val="0"/>
        </w:rPr>
        <w:t>陆生哺乳动物》</w:t>
      </w:r>
      <w:r>
        <w:rPr>
          <w:rFonts w:ascii="Times New Roman" w:eastAsia="宋体" w:hAnsi="Times New Roman" w:cs="Times New Roman"/>
          <w:kern w:val="0"/>
        </w:rPr>
        <w:t>(HJ 710.3 2014)</w:t>
      </w:r>
      <w:r>
        <w:rPr>
          <w:rFonts w:ascii="Times New Roman" w:eastAsia="宋体" w:hAnsi="Times New Roman" w:cs="Times New Roman"/>
          <w:kern w:val="0"/>
        </w:rPr>
        <w:t>、《生物多样性观测技术导则</w:t>
      </w:r>
      <w:r>
        <w:rPr>
          <w:rFonts w:ascii="Times New Roman" w:eastAsia="宋体" w:hAnsi="Times New Roman" w:cs="Times New Roman"/>
          <w:kern w:val="0"/>
        </w:rPr>
        <w:t xml:space="preserve"> </w:t>
      </w:r>
      <w:r>
        <w:rPr>
          <w:rFonts w:ascii="Times New Roman" w:eastAsia="宋体" w:hAnsi="Times New Roman" w:cs="Times New Roman"/>
          <w:kern w:val="0"/>
        </w:rPr>
        <w:t>鸟类》</w:t>
      </w:r>
      <w:r>
        <w:rPr>
          <w:rFonts w:ascii="Times New Roman" w:eastAsia="宋体" w:hAnsi="Times New Roman" w:cs="Times New Roman"/>
          <w:kern w:val="0"/>
        </w:rPr>
        <w:t xml:space="preserve"> (HJ 710.4 2014)</w:t>
      </w:r>
      <w:r>
        <w:rPr>
          <w:rFonts w:ascii="Times New Roman" w:eastAsia="宋体" w:hAnsi="Times New Roman" w:cs="Times New Roman"/>
          <w:kern w:val="0"/>
        </w:rPr>
        <w:t>、《生物多样性观测技术导则</w:t>
      </w:r>
      <w:r>
        <w:rPr>
          <w:rFonts w:ascii="Times New Roman" w:eastAsia="宋体" w:hAnsi="Times New Roman" w:cs="Times New Roman"/>
          <w:kern w:val="0"/>
        </w:rPr>
        <w:t xml:space="preserve"> </w:t>
      </w:r>
      <w:r>
        <w:rPr>
          <w:rFonts w:ascii="Times New Roman" w:eastAsia="宋体" w:hAnsi="Times New Roman" w:cs="Times New Roman"/>
          <w:kern w:val="0"/>
        </w:rPr>
        <w:t>两栖类》</w:t>
      </w:r>
      <w:r>
        <w:rPr>
          <w:rFonts w:ascii="Times New Roman" w:eastAsia="宋体" w:hAnsi="Times New Roman" w:cs="Times New Roman"/>
          <w:kern w:val="0"/>
        </w:rPr>
        <w:t xml:space="preserve"> (HJ 710.6 2014)</w:t>
      </w:r>
      <w:r>
        <w:rPr>
          <w:rFonts w:ascii="Times New Roman" w:eastAsia="宋体" w:hAnsi="Times New Roman" w:cs="Times New Roman"/>
          <w:kern w:val="0"/>
        </w:rPr>
        <w:t>、《生物多样性观测技术导则</w:t>
      </w:r>
      <w:r>
        <w:rPr>
          <w:rFonts w:ascii="Times New Roman" w:eastAsia="宋体" w:hAnsi="Times New Roman" w:cs="Times New Roman"/>
          <w:kern w:val="0"/>
        </w:rPr>
        <w:t xml:space="preserve"> </w:t>
      </w:r>
      <w:r>
        <w:rPr>
          <w:rFonts w:ascii="Times New Roman" w:eastAsia="宋体" w:hAnsi="Times New Roman" w:cs="Times New Roman"/>
          <w:kern w:val="0"/>
        </w:rPr>
        <w:t>爬行类》</w:t>
      </w:r>
      <w:r>
        <w:rPr>
          <w:rFonts w:ascii="Times New Roman" w:eastAsia="宋体" w:hAnsi="Times New Roman" w:cs="Times New Roman"/>
          <w:kern w:val="0"/>
        </w:rPr>
        <w:t xml:space="preserve"> (HJ 710.5 2014)</w:t>
      </w:r>
      <w:r>
        <w:rPr>
          <w:rFonts w:ascii="Times New Roman" w:eastAsia="宋体" w:hAnsi="Times New Roman" w:cs="Times New Roman"/>
          <w:kern w:val="0"/>
        </w:rPr>
        <w:t>四个技术规范对生境类型的分类标准以及野外定点调查与遥感影像室内解译结合的方法，对项目所在区域生境类型进行了一级分类。</w:t>
      </w:r>
    </w:p>
    <w:p w14:paraId="46E3870C" w14:textId="77777777" w:rsidR="009D12AF" w:rsidRDefault="00000000">
      <w:pPr>
        <w:ind w:firstLine="480"/>
        <w:rPr>
          <w:rFonts w:ascii="Times New Roman" w:eastAsia="宋体" w:hAnsi="Times New Roman" w:cs="Times New Roman"/>
          <w:kern w:val="0"/>
        </w:rPr>
      </w:pPr>
      <w:r>
        <w:rPr>
          <w:rFonts w:ascii="Times New Roman" w:eastAsia="宋体" w:hAnsi="Times New Roman" w:cs="Times New Roman" w:hint="eastAsia"/>
          <w:kern w:val="0"/>
        </w:rPr>
        <w:t>（</w:t>
      </w:r>
      <w:r>
        <w:rPr>
          <w:rFonts w:ascii="Times New Roman" w:eastAsia="宋体" w:hAnsi="Times New Roman" w:cs="Times New Roman" w:hint="eastAsia"/>
          <w:kern w:val="0"/>
        </w:rPr>
        <w:t>6</w:t>
      </w:r>
      <w:r>
        <w:rPr>
          <w:rFonts w:ascii="Times New Roman" w:eastAsia="宋体" w:hAnsi="Times New Roman" w:cs="Times New Roman" w:hint="eastAsia"/>
          <w:kern w:val="0"/>
        </w:rPr>
        <w:t>）生态系统类型调查</w:t>
      </w:r>
    </w:p>
    <w:p w14:paraId="21C0BFF6" w14:textId="77777777" w:rsidR="009D12AF" w:rsidRDefault="00000000">
      <w:pPr>
        <w:ind w:firstLine="480"/>
        <w:rPr>
          <w:rFonts w:ascii="Times New Roman" w:eastAsia="宋体" w:hAnsi="Times New Roman" w:cs="Times New Roman"/>
          <w:kern w:val="0"/>
        </w:rPr>
      </w:pPr>
      <w:r>
        <w:rPr>
          <w:rFonts w:ascii="Times New Roman" w:eastAsia="宋体" w:hAnsi="Times New Roman" w:cs="Times New Roman" w:hint="eastAsia"/>
          <w:kern w:val="0"/>
        </w:rPr>
        <w:t>根据《全国生态状况调查评估技术规范</w:t>
      </w:r>
      <w:r>
        <w:rPr>
          <w:rFonts w:ascii="Times New Roman" w:eastAsia="宋体" w:hAnsi="Times New Roman" w:cs="Times New Roman"/>
          <w:kern w:val="0"/>
        </w:rPr>
        <w:t>——</w:t>
      </w:r>
      <w:r>
        <w:rPr>
          <w:rFonts w:ascii="Times New Roman" w:eastAsia="宋体" w:hAnsi="Times New Roman" w:cs="Times New Roman" w:hint="eastAsia"/>
          <w:kern w:val="0"/>
        </w:rPr>
        <w:t>生态系统遥感解译与野外核查》（</w:t>
      </w:r>
      <w:r>
        <w:rPr>
          <w:rFonts w:ascii="Times New Roman" w:eastAsia="宋体" w:hAnsi="Times New Roman" w:cs="Times New Roman"/>
          <w:kern w:val="0"/>
        </w:rPr>
        <w:t>HJ 1166-2021</w:t>
      </w:r>
      <w:r>
        <w:rPr>
          <w:rFonts w:ascii="Times New Roman" w:eastAsia="宋体" w:hAnsi="Times New Roman" w:cs="Times New Roman" w:hint="eastAsia"/>
          <w:kern w:val="0"/>
        </w:rPr>
        <w:t>）中生态系统的分类方法，对生态系统采用二级分类法进行分类。</w:t>
      </w:r>
    </w:p>
    <w:p w14:paraId="7A9109B8" w14:textId="77777777" w:rsidR="009D12AF" w:rsidRDefault="00000000">
      <w:pPr>
        <w:ind w:leftChars="200" w:left="480" w:firstLineChars="0" w:firstLine="0"/>
        <w:rPr>
          <w:rFonts w:ascii="Times New Roman" w:eastAsia="宋体" w:hAnsi="Times New Roman" w:cs="Times New Roman"/>
          <w:kern w:val="0"/>
        </w:rPr>
      </w:pPr>
      <w:r>
        <w:rPr>
          <w:rFonts w:ascii="Times New Roman" w:eastAsia="宋体" w:hAnsi="Times New Roman" w:cs="Times New Roman" w:hint="eastAsia"/>
          <w:kern w:val="0"/>
        </w:rPr>
        <w:t>二、调查点位</w:t>
      </w:r>
    </w:p>
    <w:p w14:paraId="292ED161" w14:textId="77777777" w:rsidR="009D12AF" w:rsidRDefault="00000000">
      <w:pPr>
        <w:ind w:leftChars="200" w:left="480" w:firstLineChars="0" w:firstLine="0"/>
      </w:pPr>
      <w:r>
        <w:rPr>
          <w:rFonts w:hint="eastAsia"/>
        </w:rPr>
        <w:t>1</w:t>
      </w:r>
      <w:r>
        <w:rPr>
          <w:rFonts w:hint="eastAsia"/>
        </w:rPr>
        <w:t>、植物调查样方设置</w:t>
      </w:r>
    </w:p>
    <w:p w14:paraId="042341B2" w14:textId="77777777" w:rsidR="009D12AF" w:rsidRDefault="00000000">
      <w:pPr>
        <w:ind w:leftChars="200" w:left="480" w:firstLineChars="0" w:firstLine="0"/>
      </w:pPr>
      <w:r>
        <w:rPr>
          <w:rFonts w:hint="eastAsia"/>
        </w:rPr>
        <w:t>（</w:t>
      </w:r>
      <w:r>
        <w:rPr>
          <w:rFonts w:hint="eastAsia"/>
        </w:rPr>
        <w:t>1</w:t>
      </w:r>
      <w:r>
        <w:rPr>
          <w:rFonts w:hint="eastAsia"/>
        </w:rPr>
        <w:t>）总体情况</w:t>
      </w:r>
    </w:p>
    <w:p w14:paraId="579BF9C4"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t>根据对评价区资料分析与现场调查，本工程评价范围内涉及到以群系为调查单元的群落类型</w:t>
      </w:r>
      <w:r>
        <w:rPr>
          <w:rFonts w:ascii="Times New Roman" w:eastAsia="宋体" w:hAnsi="Times New Roman" w:cs="Times New Roman" w:hint="eastAsia"/>
          <w:kern w:val="0"/>
        </w:rPr>
        <w:t>5</w:t>
      </w:r>
      <w:r>
        <w:rPr>
          <w:rFonts w:ascii="Times New Roman" w:eastAsia="宋体" w:hAnsi="Times New Roman" w:cs="Times New Roman"/>
          <w:kern w:val="0"/>
        </w:rPr>
        <w:t>种，</w:t>
      </w:r>
      <w:r>
        <w:rPr>
          <w:rFonts w:ascii="Times New Roman" w:eastAsia="宋体" w:hAnsi="Times New Roman" w:cs="Times New Roman" w:hint="eastAsia"/>
          <w:kern w:val="0"/>
        </w:rPr>
        <w:t>结合工程拟选场址区域不同海拔段、坡位、坡向，</w:t>
      </w:r>
      <w:r>
        <w:rPr>
          <w:rFonts w:ascii="Times New Roman" w:eastAsia="宋体" w:hAnsi="Times New Roman" w:cs="Times New Roman"/>
          <w:kern w:val="0"/>
        </w:rPr>
        <w:t>在调查范围内共设置了有代表性的样方</w:t>
      </w:r>
      <w:r>
        <w:rPr>
          <w:rFonts w:ascii="Times New Roman" w:eastAsia="宋体" w:hAnsi="Times New Roman" w:cs="Times New Roman" w:hint="eastAsia"/>
          <w:kern w:val="0"/>
        </w:rPr>
        <w:t>25</w:t>
      </w:r>
      <w:r>
        <w:rPr>
          <w:rFonts w:ascii="Times New Roman" w:eastAsia="宋体" w:hAnsi="Times New Roman" w:cs="Times New Roman"/>
          <w:kern w:val="0"/>
        </w:rPr>
        <w:t>个，</w:t>
      </w:r>
      <w:r>
        <w:rPr>
          <w:rFonts w:ascii="Times New Roman" w:eastAsia="宋体" w:hAnsi="Times New Roman" w:cs="Times New Roman" w:hint="eastAsia"/>
          <w:kern w:val="0"/>
        </w:rPr>
        <w:t>涵盖评价范围内不同的植被类型及</w:t>
      </w:r>
      <w:r>
        <w:rPr>
          <w:rFonts w:ascii="Times New Roman" w:eastAsia="宋体" w:hAnsi="Times New Roman" w:cs="Times New Roman"/>
          <w:kern w:val="0"/>
        </w:rPr>
        <w:t>生态环境敏感区。</w:t>
      </w:r>
      <w:r>
        <w:rPr>
          <w:rFonts w:ascii="Times New Roman" w:eastAsia="宋体" w:hAnsi="Times New Roman" w:cs="Times New Roman" w:hint="eastAsia"/>
          <w:kern w:val="0"/>
        </w:rPr>
        <w:t>陆生</w:t>
      </w:r>
      <w:r>
        <w:rPr>
          <w:rFonts w:ascii="Times New Roman" w:eastAsia="宋体" w:hAnsi="Times New Roman" w:cs="Times New Roman"/>
          <w:kern w:val="0"/>
        </w:rPr>
        <w:t>生态调查植被样方分布情况见</w:t>
      </w:r>
      <w:r>
        <w:rPr>
          <w:rFonts w:ascii="宋体" w:eastAsia="宋体" w:hAnsi="宋体" w:cs="宋体" w:hint="eastAsia"/>
          <w:kern w:val="0"/>
        </w:rPr>
        <w:t>表</w:t>
      </w:r>
      <w:r>
        <w:rPr>
          <w:rFonts w:ascii="Times New Roman" w:eastAsia="宋体" w:hAnsi="Times New Roman" w:cs="Times New Roman" w:hint="eastAsia"/>
          <w:kern w:val="0"/>
        </w:rPr>
        <w:t>4.3-41</w:t>
      </w:r>
      <w:r>
        <w:rPr>
          <w:rFonts w:ascii="Times New Roman" w:eastAsia="宋体" w:hAnsi="Times New Roman" w:cs="Times New Roman"/>
          <w:kern w:val="0"/>
        </w:rPr>
        <w:t>，</w:t>
      </w:r>
      <w:r>
        <w:rPr>
          <w:rFonts w:ascii="Times New Roman" w:eastAsia="宋体" w:hAnsi="Times New Roman" w:cs="Times New Roman" w:hint="eastAsia"/>
          <w:kern w:val="0"/>
        </w:rPr>
        <w:t>附图</w:t>
      </w:r>
      <w:r>
        <w:rPr>
          <w:rFonts w:ascii="Times New Roman" w:eastAsia="宋体" w:hAnsi="Times New Roman" w:cs="Times New Roman" w:hint="eastAsia"/>
          <w:kern w:val="0"/>
        </w:rPr>
        <w:t>17</w:t>
      </w:r>
      <w:r>
        <w:rPr>
          <w:rFonts w:ascii="Times New Roman" w:eastAsia="宋体" w:hAnsi="Times New Roman" w:cs="Times New Roman"/>
          <w:kern w:val="0"/>
        </w:rPr>
        <w:t>。</w:t>
      </w:r>
    </w:p>
    <w:p w14:paraId="15C9C593" w14:textId="77777777" w:rsidR="009D12AF" w:rsidRDefault="00000000">
      <w:pPr>
        <w:widowControl/>
        <w:ind w:firstLine="482"/>
        <w:jc w:val="center"/>
        <w:rPr>
          <w:rFonts w:ascii="宋体" w:eastAsia="宋体" w:hAnsi="宋体" w:cs="宋体" w:hint="eastAsia"/>
          <w:b/>
          <w:bCs/>
          <w:kern w:val="0"/>
        </w:rPr>
      </w:pPr>
      <w:r>
        <w:rPr>
          <w:rFonts w:ascii="宋体" w:eastAsia="宋体" w:hAnsi="宋体" w:cs="宋体" w:hint="eastAsia"/>
          <w:b/>
          <w:bCs/>
          <w:kern w:val="0"/>
        </w:rPr>
        <w:t>表</w:t>
      </w:r>
      <w:r>
        <w:rPr>
          <w:rFonts w:ascii="Times New Roman" w:eastAsia="宋体" w:hAnsi="Times New Roman" w:cs="Times New Roman" w:hint="eastAsia"/>
          <w:b/>
          <w:bCs/>
          <w:kern w:val="0"/>
        </w:rPr>
        <w:t>4.3-41</w:t>
      </w:r>
      <w:r>
        <w:rPr>
          <w:rFonts w:ascii="Times New Roman" w:eastAsia="宋体" w:hAnsi="Times New Roman" w:cs="Times New Roman"/>
          <w:b/>
          <w:bCs/>
          <w:kern w:val="0"/>
        </w:rPr>
        <w:t xml:space="preserve">   </w:t>
      </w:r>
      <w:r>
        <w:rPr>
          <w:rFonts w:ascii="Times New Roman" w:eastAsia="宋体" w:hAnsi="Times New Roman" w:cs="Times New Roman" w:hint="eastAsia"/>
          <w:b/>
          <w:bCs/>
          <w:kern w:val="0"/>
        </w:rPr>
        <w:t>陆生</w:t>
      </w:r>
      <w:r>
        <w:rPr>
          <w:rFonts w:ascii="Times New Roman" w:eastAsia="宋体" w:hAnsi="Times New Roman" w:cs="Times New Roman"/>
          <w:b/>
          <w:bCs/>
          <w:kern w:val="0"/>
        </w:rPr>
        <w:t>生态调查植被样方分布</w:t>
      </w:r>
      <w:r>
        <w:rPr>
          <w:rFonts w:ascii="Times New Roman" w:eastAsia="宋体" w:hAnsi="Times New Roman" w:cs="Times New Roman" w:hint="eastAsia"/>
          <w:b/>
          <w:bCs/>
          <w:kern w:val="0"/>
        </w:rPr>
        <w:t>表</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531"/>
        <w:gridCol w:w="1410"/>
        <w:gridCol w:w="1469"/>
        <w:gridCol w:w="1632"/>
        <w:gridCol w:w="1527"/>
        <w:gridCol w:w="800"/>
        <w:gridCol w:w="1150"/>
      </w:tblGrid>
      <w:tr w:rsidR="009D12AF" w14:paraId="3C2EEA87" w14:textId="77777777">
        <w:trPr>
          <w:trHeight w:val="256"/>
          <w:tblHeader/>
          <w:jc w:val="center"/>
        </w:trPr>
        <w:tc>
          <w:tcPr>
            <w:tcW w:w="302" w:type="pct"/>
            <w:tcBorders>
              <w:tl2br w:val="nil"/>
              <w:tr2bl w:val="nil"/>
            </w:tcBorders>
            <w:vAlign w:val="center"/>
          </w:tcPr>
          <w:p w14:paraId="78AD450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序号</w:t>
            </w:r>
          </w:p>
        </w:tc>
        <w:tc>
          <w:tcPr>
            <w:tcW w:w="950" w:type="pct"/>
            <w:tcBorders>
              <w:tl2br w:val="nil"/>
              <w:tr2bl w:val="nil"/>
            </w:tcBorders>
            <w:vAlign w:val="center"/>
          </w:tcPr>
          <w:p w14:paraId="2A3F342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群系</w:t>
            </w:r>
          </w:p>
        </w:tc>
        <w:tc>
          <w:tcPr>
            <w:tcW w:w="984" w:type="pct"/>
            <w:tcBorders>
              <w:tl2br w:val="nil"/>
              <w:tr2bl w:val="nil"/>
            </w:tcBorders>
            <w:vAlign w:val="center"/>
          </w:tcPr>
          <w:p w14:paraId="55C1998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调查地点</w:t>
            </w:r>
          </w:p>
        </w:tc>
        <w:tc>
          <w:tcPr>
            <w:tcW w:w="853" w:type="pct"/>
            <w:tcBorders>
              <w:tl2br w:val="nil"/>
              <w:tr2bl w:val="nil"/>
            </w:tcBorders>
            <w:vAlign w:val="center"/>
          </w:tcPr>
          <w:p w14:paraId="7F2CDC6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经度</w:t>
            </w:r>
          </w:p>
        </w:tc>
        <w:tc>
          <w:tcPr>
            <w:tcW w:w="814" w:type="pct"/>
            <w:tcBorders>
              <w:tl2br w:val="nil"/>
              <w:tr2bl w:val="nil"/>
            </w:tcBorders>
            <w:vAlign w:val="center"/>
          </w:tcPr>
          <w:p w14:paraId="7710A3B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纬度</w:t>
            </w:r>
          </w:p>
        </w:tc>
        <w:tc>
          <w:tcPr>
            <w:tcW w:w="474" w:type="pct"/>
            <w:tcBorders>
              <w:tl2br w:val="nil"/>
              <w:tr2bl w:val="nil"/>
            </w:tcBorders>
            <w:vAlign w:val="center"/>
          </w:tcPr>
          <w:p w14:paraId="5464F81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高程（</w:t>
            </w:r>
            <w:r>
              <w:rPr>
                <w:rFonts w:ascii="Times New Roman" w:eastAsia="宋体" w:hAnsi="Times New Roman" w:cs="Times New Roman" w:hint="eastAsia"/>
                <w:kern w:val="0"/>
                <w:sz w:val="21"/>
                <w:szCs w:val="21"/>
              </w:rPr>
              <w:t>m</w:t>
            </w:r>
            <w:r>
              <w:rPr>
                <w:rFonts w:ascii="Times New Roman" w:eastAsia="宋体" w:hAnsi="Times New Roman" w:cs="Times New Roman" w:hint="eastAsia"/>
                <w:kern w:val="0"/>
                <w:sz w:val="21"/>
                <w:szCs w:val="21"/>
              </w:rPr>
              <w:t>）</w:t>
            </w:r>
          </w:p>
        </w:tc>
        <w:tc>
          <w:tcPr>
            <w:tcW w:w="620" w:type="pct"/>
            <w:tcBorders>
              <w:tl2br w:val="nil"/>
              <w:tr2bl w:val="nil"/>
            </w:tcBorders>
            <w:vAlign w:val="center"/>
          </w:tcPr>
          <w:p w14:paraId="408EAA7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样方面积</w:t>
            </w:r>
          </w:p>
        </w:tc>
      </w:tr>
      <w:tr w:rsidR="009D12AF" w14:paraId="48F0ACD6" w14:textId="77777777">
        <w:trPr>
          <w:trHeight w:val="263"/>
          <w:jc w:val="center"/>
        </w:trPr>
        <w:tc>
          <w:tcPr>
            <w:tcW w:w="302" w:type="pct"/>
            <w:tcBorders>
              <w:tl2br w:val="nil"/>
              <w:tr2bl w:val="nil"/>
            </w:tcBorders>
            <w:vAlign w:val="center"/>
          </w:tcPr>
          <w:p w14:paraId="6EE81F9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w:t>
            </w:r>
          </w:p>
        </w:tc>
        <w:tc>
          <w:tcPr>
            <w:tcW w:w="950" w:type="pct"/>
            <w:tcBorders>
              <w:tl2br w:val="nil"/>
              <w:tr2bl w:val="nil"/>
            </w:tcBorders>
            <w:vAlign w:val="center"/>
          </w:tcPr>
          <w:p w14:paraId="5A101EC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兴安落叶松林</w:t>
            </w:r>
          </w:p>
        </w:tc>
        <w:tc>
          <w:tcPr>
            <w:tcW w:w="984" w:type="pct"/>
            <w:tcBorders>
              <w:tl2br w:val="nil"/>
              <w:tr2bl w:val="nil"/>
            </w:tcBorders>
          </w:tcPr>
          <w:p w14:paraId="377959C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群力屯西侧</w:t>
            </w:r>
            <w:r>
              <w:rPr>
                <w:rFonts w:ascii="Times New Roman" w:eastAsia="宋体" w:hAnsi="Times New Roman" w:cs="Times New Roman" w:hint="eastAsia"/>
                <w:kern w:val="0"/>
                <w:sz w:val="21"/>
                <w:szCs w:val="21"/>
              </w:rPr>
              <w:t>400m</w:t>
            </w:r>
          </w:p>
        </w:tc>
        <w:tc>
          <w:tcPr>
            <w:tcW w:w="853" w:type="pct"/>
            <w:tcBorders>
              <w:tl2br w:val="nil"/>
              <w:tr2bl w:val="nil"/>
            </w:tcBorders>
            <w:vAlign w:val="center"/>
          </w:tcPr>
          <w:p w14:paraId="4576554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129°38'52.4352"</w:t>
            </w:r>
          </w:p>
        </w:tc>
        <w:tc>
          <w:tcPr>
            <w:tcW w:w="814" w:type="pct"/>
            <w:tcBorders>
              <w:tl2br w:val="nil"/>
              <w:tr2bl w:val="nil"/>
            </w:tcBorders>
            <w:vAlign w:val="center"/>
          </w:tcPr>
          <w:p w14:paraId="67B255C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44°53'50.3485"</w:t>
            </w:r>
          </w:p>
        </w:tc>
        <w:tc>
          <w:tcPr>
            <w:tcW w:w="474" w:type="pct"/>
            <w:tcBorders>
              <w:tl2br w:val="nil"/>
              <w:tr2bl w:val="nil"/>
            </w:tcBorders>
            <w:vAlign w:val="center"/>
          </w:tcPr>
          <w:p w14:paraId="3F920DC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314 </w:t>
            </w:r>
          </w:p>
        </w:tc>
        <w:tc>
          <w:tcPr>
            <w:tcW w:w="620" w:type="pct"/>
            <w:vMerge w:val="restart"/>
            <w:tcBorders>
              <w:tl2br w:val="nil"/>
              <w:tr2bl w:val="nil"/>
            </w:tcBorders>
            <w:vAlign w:val="center"/>
          </w:tcPr>
          <w:p w14:paraId="6127A4F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20m</w:t>
            </w:r>
            <w:r>
              <w:rPr>
                <w:rFonts w:ascii="Times New Roman" w:eastAsia="宋体" w:hAnsi="Times New Roman" w:cs="Times New Roman"/>
                <w:kern w:val="0"/>
                <w:sz w:val="21"/>
                <w:szCs w:val="21"/>
              </w:rPr>
              <w:sym w:font="Wingdings 2" w:char="F0CD"/>
            </w:r>
            <w:r>
              <w:rPr>
                <w:rFonts w:ascii="Times New Roman" w:eastAsia="宋体" w:hAnsi="Times New Roman" w:cs="Times New Roman"/>
                <w:kern w:val="0"/>
                <w:sz w:val="21"/>
                <w:szCs w:val="21"/>
              </w:rPr>
              <w:t>20m</w:t>
            </w:r>
          </w:p>
        </w:tc>
      </w:tr>
      <w:tr w:rsidR="009D12AF" w14:paraId="24852292" w14:textId="77777777">
        <w:trPr>
          <w:trHeight w:val="256"/>
          <w:jc w:val="center"/>
        </w:trPr>
        <w:tc>
          <w:tcPr>
            <w:tcW w:w="302" w:type="pct"/>
            <w:tcBorders>
              <w:tl2br w:val="nil"/>
              <w:tr2bl w:val="nil"/>
            </w:tcBorders>
            <w:vAlign w:val="center"/>
          </w:tcPr>
          <w:p w14:paraId="5423796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w:t>
            </w:r>
          </w:p>
        </w:tc>
        <w:tc>
          <w:tcPr>
            <w:tcW w:w="950" w:type="pct"/>
            <w:tcBorders>
              <w:tl2br w:val="nil"/>
              <w:tr2bl w:val="nil"/>
            </w:tcBorders>
            <w:vAlign w:val="center"/>
          </w:tcPr>
          <w:p w14:paraId="6FF5B20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兴安落叶松林</w:t>
            </w:r>
          </w:p>
        </w:tc>
        <w:tc>
          <w:tcPr>
            <w:tcW w:w="984" w:type="pct"/>
            <w:tcBorders>
              <w:tl2br w:val="nil"/>
              <w:tr2bl w:val="nil"/>
            </w:tcBorders>
          </w:tcPr>
          <w:p w14:paraId="3FBB53D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群力水库北侧</w:t>
            </w:r>
            <w:r>
              <w:rPr>
                <w:rFonts w:ascii="Times New Roman" w:eastAsia="宋体" w:hAnsi="Times New Roman" w:cs="Times New Roman" w:hint="eastAsia"/>
                <w:kern w:val="0"/>
                <w:sz w:val="21"/>
                <w:szCs w:val="21"/>
              </w:rPr>
              <w:t>400m</w:t>
            </w:r>
          </w:p>
        </w:tc>
        <w:tc>
          <w:tcPr>
            <w:tcW w:w="853" w:type="pct"/>
            <w:tcBorders>
              <w:tl2br w:val="nil"/>
              <w:tr2bl w:val="nil"/>
            </w:tcBorders>
            <w:vAlign w:val="center"/>
          </w:tcPr>
          <w:p w14:paraId="108C39D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129°39'32.0633"</w:t>
            </w:r>
          </w:p>
        </w:tc>
        <w:tc>
          <w:tcPr>
            <w:tcW w:w="814" w:type="pct"/>
            <w:tcBorders>
              <w:tl2br w:val="nil"/>
              <w:tr2bl w:val="nil"/>
            </w:tcBorders>
            <w:vAlign w:val="center"/>
          </w:tcPr>
          <w:p w14:paraId="6E93EC0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44°54'37.9222"</w:t>
            </w:r>
          </w:p>
        </w:tc>
        <w:tc>
          <w:tcPr>
            <w:tcW w:w="474" w:type="pct"/>
            <w:tcBorders>
              <w:tl2br w:val="nil"/>
              <w:tr2bl w:val="nil"/>
            </w:tcBorders>
            <w:vAlign w:val="center"/>
          </w:tcPr>
          <w:p w14:paraId="3BD2E39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319 </w:t>
            </w:r>
          </w:p>
        </w:tc>
        <w:tc>
          <w:tcPr>
            <w:tcW w:w="620" w:type="pct"/>
            <w:vMerge/>
            <w:tcBorders>
              <w:tl2br w:val="nil"/>
              <w:tr2bl w:val="nil"/>
            </w:tcBorders>
          </w:tcPr>
          <w:p w14:paraId="24712AD6"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31580A39" w14:textId="77777777">
        <w:trPr>
          <w:trHeight w:val="256"/>
          <w:jc w:val="center"/>
        </w:trPr>
        <w:tc>
          <w:tcPr>
            <w:tcW w:w="302" w:type="pct"/>
            <w:tcBorders>
              <w:tl2br w:val="nil"/>
              <w:tr2bl w:val="nil"/>
            </w:tcBorders>
            <w:vAlign w:val="center"/>
          </w:tcPr>
          <w:p w14:paraId="228BF1D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w:t>
            </w:r>
          </w:p>
        </w:tc>
        <w:tc>
          <w:tcPr>
            <w:tcW w:w="950" w:type="pct"/>
            <w:tcBorders>
              <w:tl2br w:val="nil"/>
              <w:tr2bl w:val="nil"/>
            </w:tcBorders>
            <w:vAlign w:val="center"/>
          </w:tcPr>
          <w:p w14:paraId="6DC889E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兴安落叶松林</w:t>
            </w:r>
          </w:p>
        </w:tc>
        <w:tc>
          <w:tcPr>
            <w:tcW w:w="984" w:type="pct"/>
            <w:tcBorders>
              <w:tl2br w:val="nil"/>
              <w:tr2bl w:val="nil"/>
            </w:tcBorders>
          </w:tcPr>
          <w:p w14:paraId="416079B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群力屯西北</w:t>
            </w:r>
            <w:r>
              <w:rPr>
                <w:rFonts w:ascii="Times New Roman" w:eastAsia="宋体" w:hAnsi="Times New Roman" w:cs="Times New Roman" w:hint="eastAsia"/>
                <w:kern w:val="0"/>
                <w:sz w:val="21"/>
                <w:szCs w:val="21"/>
              </w:rPr>
              <w:t>430m</w:t>
            </w:r>
          </w:p>
        </w:tc>
        <w:tc>
          <w:tcPr>
            <w:tcW w:w="853" w:type="pct"/>
            <w:tcBorders>
              <w:tl2br w:val="nil"/>
              <w:tr2bl w:val="nil"/>
            </w:tcBorders>
            <w:vAlign w:val="center"/>
          </w:tcPr>
          <w:p w14:paraId="2D29CD2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129°38'24.4330"</w:t>
            </w:r>
          </w:p>
        </w:tc>
        <w:tc>
          <w:tcPr>
            <w:tcW w:w="814" w:type="pct"/>
            <w:tcBorders>
              <w:tl2br w:val="nil"/>
              <w:tr2bl w:val="nil"/>
            </w:tcBorders>
            <w:vAlign w:val="center"/>
          </w:tcPr>
          <w:p w14:paraId="37B1089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44°54'39.1531"</w:t>
            </w:r>
          </w:p>
        </w:tc>
        <w:tc>
          <w:tcPr>
            <w:tcW w:w="474" w:type="pct"/>
            <w:tcBorders>
              <w:tl2br w:val="nil"/>
              <w:tr2bl w:val="nil"/>
            </w:tcBorders>
            <w:vAlign w:val="center"/>
          </w:tcPr>
          <w:p w14:paraId="1DA29EF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282 </w:t>
            </w:r>
          </w:p>
        </w:tc>
        <w:tc>
          <w:tcPr>
            <w:tcW w:w="620" w:type="pct"/>
            <w:vMerge/>
            <w:tcBorders>
              <w:tl2br w:val="nil"/>
              <w:tr2bl w:val="nil"/>
            </w:tcBorders>
          </w:tcPr>
          <w:p w14:paraId="02B9EA24"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15000739" w14:textId="77777777">
        <w:trPr>
          <w:trHeight w:val="263"/>
          <w:jc w:val="center"/>
        </w:trPr>
        <w:tc>
          <w:tcPr>
            <w:tcW w:w="302" w:type="pct"/>
            <w:tcBorders>
              <w:tl2br w:val="nil"/>
              <w:tr2bl w:val="nil"/>
            </w:tcBorders>
            <w:vAlign w:val="center"/>
          </w:tcPr>
          <w:p w14:paraId="198CE77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4#</w:t>
            </w:r>
          </w:p>
        </w:tc>
        <w:tc>
          <w:tcPr>
            <w:tcW w:w="950" w:type="pct"/>
            <w:tcBorders>
              <w:tl2br w:val="nil"/>
              <w:tr2bl w:val="nil"/>
            </w:tcBorders>
            <w:vAlign w:val="center"/>
          </w:tcPr>
          <w:p w14:paraId="4D98273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兴安落叶松林</w:t>
            </w:r>
          </w:p>
        </w:tc>
        <w:tc>
          <w:tcPr>
            <w:tcW w:w="984" w:type="pct"/>
            <w:tcBorders>
              <w:tl2br w:val="nil"/>
              <w:tr2bl w:val="nil"/>
            </w:tcBorders>
          </w:tcPr>
          <w:p w14:paraId="6124DC7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群力村西侧</w:t>
            </w:r>
            <w:r>
              <w:rPr>
                <w:rFonts w:ascii="Times New Roman" w:eastAsia="宋体" w:hAnsi="Times New Roman" w:cs="Times New Roman" w:hint="eastAsia"/>
                <w:kern w:val="0"/>
                <w:sz w:val="21"/>
                <w:szCs w:val="21"/>
              </w:rPr>
              <w:t>700m</w:t>
            </w:r>
          </w:p>
        </w:tc>
        <w:tc>
          <w:tcPr>
            <w:tcW w:w="853" w:type="pct"/>
            <w:tcBorders>
              <w:tl2br w:val="nil"/>
              <w:tr2bl w:val="nil"/>
            </w:tcBorders>
            <w:vAlign w:val="center"/>
          </w:tcPr>
          <w:p w14:paraId="5E2AB49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129°38'29.1837"</w:t>
            </w:r>
          </w:p>
        </w:tc>
        <w:tc>
          <w:tcPr>
            <w:tcW w:w="814" w:type="pct"/>
            <w:tcBorders>
              <w:tl2br w:val="nil"/>
              <w:tr2bl w:val="nil"/>
            </w:tcBorders>
            <w:vAlign w:val="center"/>
          </w:tcPr>
          <w:p w14:paraId="2760071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44°53'36.9416"</w:t>
            </w:r>
          </w:p>
        </w:tc>
        <w:tc>
          <w:tcPr>
            <w:tcW w:w="474" w:type="pct"/>
            <w:tcBorders>
              <w:tl2br w:val="nil"/>
              <w:tr2bl w:val="nil"/>
            </w:tcBorders>
            <w:vAlign w:val="center"/>
          </w:tcPr>
          <w:p w14:paraId="29FDA4B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328 </w:t>
            </w:r>
          </w:p>
        </w:tc>
        <w:tc>
          <w:tcPr>
            <w:tcW w:w="620" w:type="pct"/>
            <w:vMerge/>
            <w:tcBorders>
              <w:tl2br w:val="nil"/>
              <w:tr2bl w:val="nil"/>
            </w:tcBorders>
          </w:tcPr>
          <w:p w14:paraId="02A52819"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3A5D239C" w14:textId="77777777">
        <w:trPr>
          <w:trHeight w:val="256"/>
          <w:jc w:val="center"/>
        </w:trPr>
        <w:tc>
          <w:tcPr>
            <w:tcW w:w="302" w:type="pct"/>
            <w:tcBorders>
              <w:tl2br w:val="nil"/>
              <w:tr2bl w:val="nil"/>
            </w:tcBorders>
            <w:vAlign w:val="center"/>
          </w:tcPr>
          <w:p w14:paraId="3D21DBC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5#</w:t>
            </w:r>
          </w:p>
        </w:tc>
        <w:tc>
          <w:tcPr>
            <w:tcW w:w="950" w:type="pct"/>
            <w:tcBorders>
              <w:tl2br w:val="nil"/>
              <w:tr2bl w:val="nil"/>
            </w:tcBorders>
            <w:vAlign w:val="center"/>
          </w:tcPr>
          <w:p w14:paraId="56F8D8A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兴安落叶松林</w:t>
            </w:r>
          </w:p>
        </w:tc>
        <w:tc>
          <w:tcPr>
            <w:tcW w:w="984" w:type="pct"/>
            <w:tcBorders>
              <w:tl2br w:val="nil"/>
              <w:tr2bl w:val="nil"/>
            </w:tcBorders>
          </w:tcPr>
          <w:p w14:paraId="239D42F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群力村东侧</w:t>
            </w:r>
            <w:r>
              <w:rPr>
                <w:rFonts w:ascii="Times New Roman" w:eastAsia="宋体" w:hAnsi="Times New Roman" w:cs="Times New Roman" w:hint="eastAsia"/>
                <w:kern w:val="0"/>
                <w:sz w:val="21"/>
                <w:szCs w:val="21"/>
              </w:rPr>
              <w:t>800m</w:t>
            </w:r>
          </w:p>
        </w:tc>
        <w:tc>
          <w:tcPr>
            <w:tcW w:w="853" w:type="pct"/>
            <w:tcBorders>
              <w:tl2br w:val="nil"/>
              <w:tr2bl w:val="nil"/>
            </w:tcBorders>
            <w:vAlign w:val="center"/>
          </w:tcPr>
          <w:p w14:paraId="631E903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129°40'09.3352"</w:t>
            </w:r>
          </w:p>
        </w:tc>
        <w:tc>
          <w:tcPr>
            <w:tcW w:w="814" w:type="pct"/>
            <w:tcBorders>
              <w:tl2br w:val="nil"/>
              <w:tr2bl w:val="nil"/>
            </w:tcBorders>
            <w:vAlign w:val="center"/>
          </w:tcPr>
          <w:p w14:paraId="269048D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44°53'37.2700"</w:t>
            </w:r>
          </w:p>
        </w:tc>
        <w:tc>
          <w:tcPr>
            <w:tcW w:w="474" w:type="pct"/>
            <w:tcBorders>
              <w:tl2br w:val="nil"/>
              <w:tr2bl w:val="nil"/>
            </w:tcBorders>
            <w:vAlign w:val="center"/>
          </w:tcPr>
          <w:p w14:paraId="0846D09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303 </w:t>
            </w:r>
          </w:p>
        </w:tc>
        <w:tc>
          <w:tcPr>
            <w:tcW w:w="620" w:type="pct"/>
            <w:vMerge/>
            <w:tcBorders>
              <w:tl2br w:val="nil"/>
              <w:tr2bl w:val="nil"/>
            </w:tcBorders>
          </w:tcPr>
          <w:p w14:paraId="1FBD406C"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778ACE54" w14:textId="77777777">
        <w:trPr>
          <w:trHeight w:val="256"/>
          <w:jc w:val="center"/>
        </w:trPr>
        <w:tc>
          <w:tcPr>
            <w:tcW w:w="302" w:type="pct"/>
            <w:tcBorders>
              <w:tl2br w:val="nil"/>
              <w:tr2bl w:val="nil"/>
            </w:tcBorders>
            <w:vAlign w:val="center"/>
          </w:tcPr>
          <w:p w14:paraId="222BF03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6#</w:t>
            </w:r>
          </w:p>
        </w:tc>
        <w:tc>
          <w:tcPr>
            <w:tcW w:w="950" w:type="pct"/>
            <w:tcBorders>
              <w:tl2br w:val="nil"/>
              <w:tr2bl w:val="nil"/>
            </w:tcBorders>
            <w:vAlign w:val="center"/>
          </w:tcPr>
          <w:p w14:paraId="0AAC227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蒙古栎林</w:t>
            </w:r>
          </w:p>
        </w:tc>
        <w:tc>
          <w:tcPr>
            <w:tcW w:w="984" w:type="pct"/>
            <w:tcBorders>
              <w:tl2br w:val="nil"/>
              <w:tr2bl w:val="nil"/>
            </w:tcBorders>
          </w:tcPr>
          <w:p w14:paraId="08B2DB9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群力村东北</w:t>
            </w:r>
            <w:r>
              <w:rPr>
                <w:rFonts w:ascii="Times New Roman" w:eastAsia="宋体" w:hAnsi="Times New Roman" w:cs="Times New Roman" w:hint="eastAsia"/>
                <w:kern w:val="0"/>
                <w:sz w:val="21"/>
                <w:szCs w:val="21"/>
              </w:rPr>
              <w:lastRenderedPageBreak/>
              <w:t>700m</w:t>
            </w:r>
          </w:p>
        </w:tc>
        <w:tc>
          <w:tcPr>
            <w:tcW w:w="853" w:type="pct"/>
            <w:tcBorders>
              <w:tl2br w:val="nil"/>
              <w:tr2bl w:val="nil"/>
            </w:tcBorders>
            <w:vAlign w:val="center"/>
          </w:tcPr>
          <w:p w14:paraId="509EF7B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lastRenderedPageBreak/>
              <w:t>129°39'44.3456"</w:t>
            </w:r>
          </w:p>
        </w:tc>
        <w:tc>
          <w:tcPr>
            <w:tcW w:w="814" w:type="pct"/>
            <w:tcBorders>
              <w:tl2br w:val="nil"/>
              <w:tr2bl w:val="nil"/>
            </w:tcBorders>
            <w:vAlign w:val="center"/>
          </w:tcPr>
          <w:p w14:paraId="7D91E25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44°53'53.5222"</w:t>
            </w:r>
          </w:p>
        </w:tc>
        <w:tc>
          <w:tcPr>
            <w:tcW w:w="474" w:type="pct"/>
            <w:tcBorders>
              <w:tl2br w:val="nil"/>
              <w:tr2bl w:val="nil"/>
            </w:tcBorders>
            <w:vAlign w:val="center"/>
          </w:tcPr>
          <w:p w14:paraId="60A64DD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284 </w:t>
            </w:r>
          </w:p>
        </w:tc>
        <w:tc>
          <w:tcPr>
            <w:tcW w:w="620" w:type="pct"/>
            <w:vMerge w:val="restart"/>
            <w:tcBorders>
              <w:tl2br w:val="nil"/>
              <w:tr2bl w:val="nil"/>
            </w:tcBorders>
            <w:vAlign w:val="center"/>
          </w:tcPr>
          <w:p w14:paraId="67064B7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20m</w:t>
            </w:r>
            <w:r>
              <w:rPr>
                <w:rFonts w:ascii="Times New Roman" w:eastAsia="宋体" w:hAnsi="Times New Roman" w:cs="Times New Roman"/>
                <w:kern w:val="0"/>
                <w:sz w:val="21"/>
                <w:szCs w:val="21"/>
              </w:rPr>
              <w:sym w:font="Wingdings 2" w:char="F0CD"/>
            </w:r>
            <w:r>
              <w:rPr>
                <w:rFonts w:ascii="Times New Roman" w:eastAsia="宋体" w:hAnsi="Times New Roman" w:cs="Times New Roman"/>
                <w:kern w:val="0"/>
                <w:sz w:val="21"/>
                <w:szCs w:val="21"/>
              </w:rPr>
              <w:t>20m</w:t>
            </w:r>
          </w:p>
        </w:tc>
      </w:tr>
      <w:tr w:rsidR="009D12AF" w14:paraId="401A16F3" w14:textId="77777777">
        <w:trPr>
          <w:trHeight w:val="256"/>
          <w:jc w:val="center"/>
        </w:trPr>
        <w:tc>
          <w:tcPr>
            <w:tcW w:w="302" w:type="pct"/>
            <w:tcBorders>
              <w:tl2br w:val="nil"/>
              <w:tr2bl w:val="nil"/>
            </w:tcBorders>
            <w:vAlign w:val="center"/>
          </w:tcPr>
          <w:p w14:paraId="231A572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7#</w:t>
            </w:r>
          </w:p>
        </w:tc>
        <w:tc>
          <w:tcPr>
            <w:tcW w:w="950" w:type="pct"/>
            <w:tcBorders>
              <w:tl2br w:val="nil"/>
              <w:tr2bl w:val="nil"/>
            </w:tcBorders>
            <w:vAlign w:val="center"/>
          </w:tcPr>
          <w:p w14:paraId="448DC5D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蒙古栎林</w:t>
            </w:r>
          </w:p>
        </w:tc>
        <w:tc>
          <w:tcPr>
            <w:tcW w:w="984" w:type="pct"/>
            <w:tcBorders>
              <w:tl2br w:val="nil"/>
              <w:tr2bl w:val="nil"/>
            </w:tcBorders>
          </w:tcPr>
          <w:p w14:paraId="0DEB80B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群力水库东侧</w:t>
            </w:r>
            <w:r>
              <w:rPr>
                <w:rFonts w:ascii="Times New Roman" w:eastAsia="宋体" w:hAnsi="Times New Roman" w:cs="Times New Roman" w:hint="eastAsia"/>
                <w:kern w:val="0"/>
                <w:sz w:val="21"/>
                <w:szCs w:val="21"/>
              </w:rPr>
              <w:t>520m</w:t>
            </w:r>
          </w:p>
        </w:tc>
        <w:tc>
          <w:tcPr>
            <w:tcW w:w="853" w:type="pct"/>
            <w:tcBorders>
              <w:tl2br w:val="nil"/>
              <w:tr2bl w:val="nil"/>
            </w:tcBorders>
            <w:vAlign w:val="center"/>
          </w:tcPr>
          <w:p w14:paraId="1EB54AB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129°40'01.8036"</w:t>
            </w:r>
          </w:p>
        </w:tc>
        <w:tc>
          <w:tcPr>
            <w:tcW w:w="814" w:type="pct"/>
            <w:tcBorders>
              <w:tl2br w:val="nil"/>
              <w:tr2bl w:val="nil"/>
            </w:tcBorders>
            <w:vAlign w:val="center"/>
          </w:tcPr>
          <w:p w14:paraId="2BFF1ED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44°54'25.6947"</w:t>
            </w:r>
          </w:p>
        </w:tc>
        <w:tc>
          <w:tcPr>
            <w:tcW w:w="474" w:type="pct"/>
            <w:tcBorders>
              <w:tl2br w:val="nil"/>
              <w:tr2bl w:val="nil"/>
            </w:tcBorders>
            <w:vAlign w:val="center"/>
          </w:tcPr>
          <w:p w14:paraId="754F4DA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310 </w:t>
            </w:r>
          </w:p>
        </w:tc>
        <w:tc>
          <w:tcPr>
            <w:tcW w:w="620" w:type="pct"/>
            <w:vMerge/>
            <w:tcBorders>
              <w:tl2br w:val="nil"/>
              <w:tr2bl w:val="nil"/>
            </w:tcBorders>
          </w:tcPr>
          <w:p w14:paraId="7E633CA2"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4E50EAB7" w14:textId="77777777">
        <w:trPr>
          <w:trHeight w:val="256"/>
          <w:jc w:val="center"/>
        </w:trPr>
        <w:tc>
          <w:tcPr>
            <w:tcW w:w="302" w:type="pct"/>
            <w:tcBorders>
              <w:tl2br w:val="nil"/>
              <w:tr2bl w:val="nil"/>
            </w:tcBorders>
            <w:vAlign w:val="center"/>
          </w:tcPr>
          <w:p w14:paraId="43EF4B1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8#</w:t>
            </w:r>
          </w:p>
        </w:tc>
        <w:tc>
          <w:tcPr>
            <w:tcW w:w="950" w:type="pct"/>
            <w:tcBorders>
              <w:tl2br w:val="nil"/>
              <w:tr2bl w:val="nil"/>
            </w:tcBorders>
            <w:vAlign w:val="center"/>
          </w:tcPr>
          <w:p w14:paraId="4E213B0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蒙古栎林</w:t>
            </w:r>
          </w:p>
        </w:tc>
        <w:tc>
          <w:tcPr>
            <w:tcW w:w="984" w:type="pct"/>
            <w:tcBorders>
              <w:tl2br w:val="nil"/>
              <w:tr2bl w:val="nil"/>
            </w:tcBorders>
          </w:tcPr>
          <w:p w14:paraId="6BE33F4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群力水库北侧</w:t>
            </w:r>
            <w:r>
              <w:rPr>
                <w:rFonts w:ascii="Times New Roman" w:eastAsia="宋体" w:hAnsi="Times New Roman" w:cs="Times New Roman" w:hint="eastAsia"/>
                <w:kern w:val="0"/>
                <w:sz w:val="21"/>
                <w:szCs w:val="21"/>
              </w:rPr>
              <w:t>630m</w:t>
            </w:r>
          </w:p>
        </w:tc>
        <w:tc>
          <w:tcPr>
            <w:tcW w:w="853" w:type="pct"/>
            <w:tcBorders>
              <w:tl2br w:val="nil"/>
              <w:tr2bl w:val="nil"/>
            </w:tcBorders>
            <w:vAlign w:val="center"/>
          </w:tcPr>
          <w:p w14:paraId="08008E8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129°39'24.0295"</w:t>
            </w:r>
          </w:p>
        </w:tc>
        <w:tc>
          <w:tcPr>
            <w:tcW w:w="814" w:type="pct"/>
            <w:tcBorders>
              <w:tl2br w:val="nil"/>
              <w:tr2bl w:val="nil"/>
            </w:tcBorders>
            <w:vAlign w:val="center"/>
          </w:tcPr>
          <w:p w14:paraId="18684F7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44°54'47.5231"</w:t>
            </w:r>
          </w:p>
        </w:tc>
        <w:tc>
          <w:tcPr>
            <w:tcW w:w="474" w:type="pct"/>
            <w:tcBorders>
              <w:tl2br w:val="nil"/>
              <w:tr2bl w:val="nil"/>
            </w:tcBorders>
            <w:vAlign w:val="center"/>
          </w:tcPr>
          <w:p w14:paraId="74BD8F8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309 </w:t>
            </w:r>
          </w:p>
        </w:tc>
        <w:tc>
          <w:tcPr>
            <w:tcW w:w="620" w:type="pct"/>
            <w:vMerge/>
            <w:tcBorders>
              <w:tl2br w:val="nil"/>
              <w:tr2bl w:val="nil"/>
            </w:tcBorders>
          </w:tcPr>
          <w:p w14:paraId="2738EFB6"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2980DAF3" w14:textId="77777777">
        <w:trPr>
          <w:trHeight w:val="256"/>
          <w:jc w:val="center"/>
        </w:trPr>
        <w:tc>
          <w:tcPr>
            <w:tcW w:w="302" w:type="pct"/>
            <w:tcBorders>
              <w:tl2br w:val="nil"/>
              <w:tr2bl w:val="nil"/>
            </w:tcBorders>
            <w:vAlign w:val="center"/>
          </w:tcPr>
          <w:p w14:paraId="114940E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9#</w:t>
            </w:r>
          </w:p>
        </w:tc>
        <w:tc>
          <w:tcPr>
            <w:tcW w:w="950" w:type="pct"/>
            <w:tcBorders>
              <w:tl2br w:val="nil"/>
              <w:tr2bl w:val="nil"/>
            </w:tcBorders>
            <w:vAlign w:val="center"/>
          </w:tcPr>
          <w:p w14:paraId="424BB04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蒙古栎林</w:t>
            </w:r>
          </w:p>
        </w:tc>
        <w:tc>
          <w:tcPr>
            <w:tcW w:w="984" w:type="pct"/>
            <w:tcBorders>
              <w:tl2br w:val="nil"/>
              <w:tr2bl w:val="nil"/>
            </w:tcBorders>
          </w:tcPr>
          <w:p w14:paraId="6CB5EC1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群力水库南侧</w:t>
            </w:r>
            <w:r>
              <w:rPr>
                <w:rFonts w:ascii="Times New Roman" w:eastAsia="宋体" w:hAnsi="Times New Roman" w:cs="Times New Roman" w:hint="eastAsia"/>
                <w:kern w:val="0"/>
                <w:sz w:val="21"/>
                <w:szCs w:val="21"/>
              </w:rPr>
              <w:t>150m</w:t>
            </w:r>
          </w:p>
        </w:tc>
        <w:tc>
          <w:tcPr>
            <w:tcW w:w="853" w:type="pct"/>
            <w:tcBorders>
              <w:tl2br w:val="nil"/>
              <w:tr2bl w:val="nil"/>
            </w:tcBorders>
            <w:vAlign w:val="center"/>
          </w:tcPr>
          <w:p w14:paraId="1A2EB12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129°38'24.8578"</w:t>
            </w:r>
          </w:p>
        </w:tc>
        <w:tc>
          <w:tcPr>
            <w:tcW w:w="814" w:type="pct"/>
            <w:tcBorders>
              <w:tl2br w:val="nil"/>
              <w:tr2bl w:val="nil"/>
            </w:tcBorders>
            <w:vAlign w:val="center"/>
          </w:tcPr>
          <w:p w14:paraId="0C4E0E3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44°54'02.1130"</w:t>
            </w:r>
          </w:p>
        </w:tc>
        <w:tc>
          <w:tcPr>
            <w:tcW w:w="474" w:type="pct"/>
            <w:tcBorders>
              <w:tl2br w:val="nil"/>
              <w:tr2bl w:val="nil"/>
            </w:tcBorders>
            <w:vAlign w:val="center"/>
          </w:tcPr>
          <w:p w14:paraId="2983210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226 </w:t>
            </w:r>
          </w:p>
        </w:tc>
        <w:tc>
          <w:tcPr>
            <w:tcW w:w="620" w:type="pct"/>
            <w:vMerge/>
            <w:tcBorders>
              <w:tl2br w:val="nil"/>
              <w:tr2bl w:val="nil"/>
            </w:tcBorders>
          </w:tcPr>
          <w:p w14:paraId="2697D2DB"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69904AF0" w14:textId="77777777">
        <w:trPr>
          <w:trHeight w:val="256"/>
          <w:jc w:val="center"/>
        </w:trPr>
        <w:tc>
          <w:tcPr>
            <w:tcW w:w="302" w:type="pct"/>
            <w:tcBorders>
              <w:tl2br w:val="nil"/>
              <w:tr2bl w:val="nil"/>
            </w:tcBorders>
            <w:vAlign w:val="center"/>
          </w:tcPr>
          <w:p w14:paraId="4F5C696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10#</w:t>
            </w:r>
          </w:p>
        </w:tc>
        <w:tc>
          <w:tcPr>
            <w:tcW w:w="950" w:type="pct"/>
            <w:tcBorders>
              <w:tl2br w:val="nil"/>
              <w:tr2bl w:val="nil"/>
            </w:tcBorders>
            <w:vAlign w:val="center"/>
          </w:tcPr>
          <w:p w14:paraId="2743848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蒙古栎林</w:t>
            </w:r>
          </w:p>
        </w:tc>
        <w:tc>
          <w:tcPr>
            <w:tcW w:w="984" w:type="pct"/>
            <w:tcBorders>
              <w:tl2br w:val="nil"/>
              <w:tr2bl w:val="nil"/>
            </w:tcBorders>
          </w:tcPr>
          <w:p w14:paraId="64411F0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群力水库西侧</w:t>
            </w:r>
            <w:r>
              <w:rPr>
                <w:rFonts w:ascii="Times New Roman" w:eastAsia="宋体" w:hAnsi="Times New Roman" w:cs="Times New Roman" w:hint="eastAsia"/>
                <w:kern w:val="0"/>
                <w:sz w:val="21"/>
                <w:szCs w:val="21"/>
              </w:rPr>
              <w:t>720m</w:t>
            </w:r>
          </w:p>
        </w:tc>
        <w:tc>
          <w:tcPr>
            <w:tcW w:w="853" w:type="pct"/>
            <w:tcBorders>
              <w:tl2br w:val="nil"/>
              <w:tr2bl w:val="nil"/>
            </w:tcBorders>
            <w:vAlign w:val="center"/>
          </w:tcPr>
          <w:p w14:paraId="314FB7B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129°37'56.0058"</w:t>
            </w:r>
          </w:p>
        </w:tc>
        <w:tc>
          <w:tcPr>
            <w:tcW w:w="814" w:type="pct"/>
            <w:tcBorders>
              <w:tl2br w:val="nil"/>
              <w:tr2bl w:val="nil"/>
            </w:tcBorders>
            <w:vAlign w:val="center"/>
          </w:tcPr>
          <w:p w14:paraId="5A47CA7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44°54'02.6602"</w:t>
            </w:r>
          </w:p>
        </w:tc>
        <w:tc>
          <w:tcPr>
            <w:tcW w:w="474" w:type="pct"/>
            <w:tcBorders>
              <w:tl2br w:val="nil"/>
              <w:tr2bl w:val="nil"/>
            </w:tcBorders>
            <w:vAlign w:val="center"/>
          </w:tcPr>
          <w:p w14:paraId="0F2EE8B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260 </w:t>
            </w:r>
          </w:p>
        </w:tc>
        <w:tc>
          <w:tcPr>
            <w:tcW w:w="620" w:type="pct"/>
            <w:vMerge/>
            <w:tcBorders>
              <w:tl2br w:val="nil"/>
              <w:tr2bl w:val="nil"/>
            </w:tcBorders>
          </w:tcPr>
          <w:p w14:paraId="15A156EC"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29FF7275" w14:textId="77777777">
        <w:trPr>
          <w:trHeight w:val="256"/>
          <w:jc w:val="center"/>
        </w:trPr>
        <w:tc>
          <w:tcPr>
            <w:tcW w:w="302" w:type="pct"/>
            <w:tcBorders>
              <w:tl2br w:val="nil"/>
              <w:tr2bl w:val="nil"/>
            </w:tcBorders>
            <w:vAlign w:val="center"/>
          </w:tcPr>
          <w:p w14:paraId="5F97C3A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11#</w:t>
            </w:r>
          </w:p>
        </w:tc>
        <w:tc>
          <w:tcPr>
            <w:tcW w:w="950" w:type="pct"/>
            <w:tcBorders>
              <w:tl2br w:val="nil"/>
              <w:tr2bl w:val="nil"/>
            </w:tcBorders>
            <w:vAlign w:val="center"/>
          </w:tcPr>
          <w:p w14:paraId="5C3A088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樟子松林</w:t>
            </w:r>
          </w:p>
        </w:tc>
        <w:tc>
          <w:tcPr>
            <w:tcW w:w="984" w:type="pct"/>
            <w:tcBorders>
              <w:tl2br w:val="nil"/>
              <w:tr2bl w:val="nil"/>
            </w:tcBorders>
          </w:tcPr>
          <w:p w14:paraId="39651C1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群力水库东侧</w:t>
            </w:r>
            <w:r>
              <w:rPr>
                <w:rFonts w:ascii="Times New Roman" w:eastAsia="宋体" w:hAnsi="Times New Roman" w:cs="Times New Roman" w:hint="eastAsia"/>
                <w:kern w:val="0"/>
                <w:sz w:val="21"/>
                <w:szCs w:val="21"/>
              </w:rPr>
              <w:t>620m</w:t>
            </w:r>
          </w:p>
        </w:tc>
        <w:tc>
          <w:tcPr>
            <w:tcW w:w="853" w:type="pct"/>
            <w:tcBorders>
              <w:tl2br w:val="nil"/>
              <w:tr2bl w:val="nil"/>
            </w:tcBorders>
            <w:vAlign w:val="center"/>
          </w:tcPr>
          <w:p w14:paraId="76F3BFB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129°40'11.2278"</w:t>
            </w:r>
          </w:p>
        </w:tc>
        <w:tc>
          <w:tcPr>
            <w:tcW w:w="814" w:type="pct"/>
            <w:tcBorders>
              <w:tl2br w:val="nil"/>
              <w:tr2bl w:val="nil"/>
            </w:tcBorders>
            <w:vAlign w:val="center"/>
          </w:tcPr>
          <w:p w14:paraId="00100C5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44°54'05.1224"</w:t>
            </w:r>
          </w:p>
        </w:tc>
        <w:tc>
          <w:tcPr>
            <w:tcW w:w="474" w:type="pct"/>
            <w:tcBorders>
              <w:tl2br w:val="nil"/>
              <w:tr2bl w:val="nil"/>
            </w:tcBorders>
            <w:vAlign w:val="center"/>
          </w:tcPr>
          <w:p w14:paraId="02B5DBC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300 </w:t>
            </w:r>
          </w:p>
        </w:tc>
        <w:tc>
          <w:tcPr>
            <w:tcW w:w="620" w:type="pct"/>
            <w:vMerge w:val="restart"/>
            <w:tcBorders>
              <w:tl2br w:val="nil"/>
              <w:tr2bl w:val="nil"/>
            </w:tcBorders>
            <w:vAlign w:val="center"/>
          </w:tcPr>
          <w:p w14:paraId="15BDB61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20m</w:t>
            </w:r>
            <w:r>
              <w:rPr>
                <w:rFonts w:ascii="Times New Roman" w:eastAsia="宋体" w:hAnsi="Times New Roman" w:cs="Times New Roman"/>
                <w:kern w:val="0"/>
                <w:sz w:val="21"/>
                <w:szCs w:val="21"/>
              </w:rPr>
              <w:sym w:font="Wingdings 2" w:char="F0CD"/>
            </w:r>
            <w:r>
              <w:rPr>
                <w:rFonts w:ascii="Times New Roman" w:eastAsia="宋体" w:hAnsi="Times New Roman" w:cs="Times New Roman"/>
                <w:kern w:val="0"/>
                <w:sz w:val="21"/>
                <w:szCs w:val="21"/>
              </w:rPr>
              <w:t>20m</w:t>
            </w:r>
          </w:p>
        </w:tc>
      </w:tr>
      <w:tr w:rsidR="009D12AF" w14:paraId="71E864E9" w14:textId="77777777">
        <w:trPr>
          <w:trHeight w:val="256"/>
          <w:jc w:val="center"/>
        </w:trPr>
        <w:tc>
          <w:tcPr>
            <w:tcW w:w="302" w:type="pct"/>
            <w:tcBorders>
              <w:tl2br w:val="nil"/>
              <w:tr2bl w:val="nil"/>
            </w:tcBorders>
            <w:vAlign w:val="center"/>
          </w:tcPr>
          <w:p w14:paraId="47D6BB9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12#</w:t>
            </w:r>
          </w:p>
        </w:tc>
        <w:tc>
          <w:tcPr>
            <w:tcW w:w="950" w:type="pct"/>
            <w:tcBorders>
              <w:tl2br w:val="nil"/>
              <w:tr2bl w:val="nil"/>
            </w:tcBorders>
            <w:vAlign w:val="center"/>
          </w:tcPr>
          <w:p w14:paraId="13E6F29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樟子松林</w:t>
            </w:r>
          </w:p>
        </w:tc>
        <w:tc>
          <w:tcPr>
            <w:tcW w:w="984" w:type="pct"/>
            <w:tcBorders>
              <w:tl2br w:val="nil"/>
              <w:tr2bl w:val="nil"/>
            </w:tcBorders>
          </w:tcPr>
          <w:p w14:paraId="1DF430F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群力水库东侧</w:t>
            </w:r>
            <w:r>
              <w:rPr>
                <w:rFonts w:ascii="Times New Roman" w:eastAsia="宋体" w:hAnsi="Times New Roman" w:cs="Times New Roman" w:hint="eastAsia"/>
                <w:kern w:val="0"/>
                <w:sz w:val="21"/>
                <w:szCs w:val="21"/>
              </w:rPr>
              <w:t>900m</w:t>
            </w:r>
          </w:p>
        </w:tc>
        <w:tc>
          <w:tcPr>
            <w:tcW w:w="853" w:type="pct"/>
            <w:tcBorders>
              <w:tl2br w:val="nil"/>
              <w:tr2bl w:val="nil"/>
            </w:tcBorders>
            <w:vAlign w:val="center"/>
          </w:tcPr>
          <w:p w14:paraId="3C07457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129°40'23.7033"</w:t>
            </w:r>
          </w:p>
        </w:tc>
        <w:tc>
          <w:tcPr>
            <w:tcW w:w="814" w:type="pct"/>
            <w:tcBorders>
              <w:tl2br w:val="nil"/>
              <w:tr2bl w:val="nil"/>
            </w:tcBorders>
            <w:vAlign w:val="center"/>
          </w:tcPr>
          <w:p w14:paraId="7E0139A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44°54'22.6035"</w:t>
            </w:r>
          </w:p>
        </w:tc>
        <w:tc>
          <w:tcPr>
            <w:tcW w:w="474" w:type="pct"/>
            <w:tcBorders>
              <w:tl2br w:val="nil"/>
              <w:tr2bl w:val="nil"/>
            </w:tcBorders>
            <w:vAlign w:val="center"/>
          </w:tcPr>
          <w:p w14:paraId="100E925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309 </w:t>
            </w:r>
          </w:p>
        </w:tc>
        <w:tc>
          <w:tcPr>
            <w:tcW w:w="620" w:type="pct"/>
            <w:vMerge/>
            <w:tcBorders>
              <w:tl2br w:val="nil"/>
              <w:tr2bl w:val="nil"/>
            </w:tcBorders>
          </w:tcPr>
          <w:p w14:paraId="1A0FF9A1"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06AC4F4F" w14:textId="77777777">
        <w:trPr>
          <w:trHeight w:val="256"/>
          <w:jc w:val="center"/>
        </w:trPr>
        <w:tc>
          <w:tcPr>
            <w:tcW w:w="302" w:type="pct"/>
            <w:tcBorders>
              <w:tl2br w:val="nil"/>
              <w:tr2bl w:val="nil"/>
            </w:tcBorders>
            <w:vAlign w:val="center"/>
          </w:tcPr>
          <w:p w14:paraId="7B742D2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13#</w:t>
            </w:r>
          </w:p>
        </w:tc>
        <w:tc>
          <w:tcPr>
            <w:tcW w:w="950" w:type="pct"/>
            <w:tcBorders>
              <w:tl2br w:val="nil"/>
              <w:tr2bl w:val="nil"/>
            </w:tcBorders>
            <w:vAlign w:val="center"/>
          </w:tcPr>
          <w:p w14:paraId="32F57B1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樟子松林</w:t>
            </w:r>
          </w:p>
        </w:tc>
        <w:tc>
          <w:tcPr>
            <w:tcW w:w="984" w:type="pct"/>
            <w:tcBorders>
              <w:tl2br w:val="nil"/>
              <w:tr2bl w:val="nil"/>
            </w:tcBorders>
          </w:tcPr>
          <w:p w14:paraId="0E805C0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群力村东南</w:t>
            </w:r>
            <w:r>
              <w:rPr>
                <w:rFonts w:ascii="Times New Roman" w:eastAsia="宋体" w:hAnsi="Times New Roman" w:cs="Times New Roman" w:hint="eastAsia"/>
                <w:kern w:val="0"/>
                <w:sz w:val="21"/>
                <w:szCs w:val="21"/>
              </w:rPr>
              <w:t>800m</w:t>
            </w:r>
          </w:p>
        </w:tc>
        <w:tc>
          <w:tcPr>
            <w:tcW w:w="853" w:type="pct"/>
            <w:tcBorders>
              <w:tl2br w:val="nil"/>
              <w:tr2bl w:val="nil"/>
            </w:tcBorders>
            <w:vAlign w:val="center"/>
          </w:tcPr>
          <w:p w14:paraId="6D5657B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129°39'42.3372"</w:t>
            </w:r>
          </w:p>
        </w:tc>
        <w:tc>
          <w:tcPr>
            <w:tcW w:w="814" w:type="pct"/>
            <w:tcBorders>
              <w:tl2br w:val="nil"/>
              <w:tr2bl w:val="nil"/>
            </w:tcBorders>
            <w:vAlign w:val="center"/>
          </w:tcPr>
          <w:p w14:paraId="24711BD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44°53'13.5186"</w:t>
            </w:r>
          </w:p>
        </w:tc>
        <w:tc>
          <w:tcPr>
            <w:tcW w:w="474" w:type="pct"/>
            <w:tcBorders>
              <w:tl2br w:val="nil"/>
              <w:tr2bl w:val="nil"/>
            </w:tcBorders>
            <w:vAlign w:val="center"/>
          </w:tcPr>
          <w:p w14:paraId="2246F9A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285 </w:t>
            </w:r>
          </w:p>
        </w:tc>
        <w:tc>
          <w:tcPr>
            <w:tcW w:w="620" w:type="pct"/>
            <w:vMerge/>
            <w:tcBorders>
              <w:tl2br w:val="nil"/>
              <w:tr2bl w:val="nil"/>
            </w:tcBorders>
          </w:tcPr>
          <w:p w14:paraId="17E35122"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6ADEAD19" w14:textId="77777777">
        <w:trPr>
          <w:trHeight w:val="256"/>
          <w:jc w:val="center"/>
        </w:trPr>
        <w:tc>
          <w:tcPr>
            <w:tcW w:w="302" w:type="pct"/>
            <w:tcBorders>
              <w:tl2br w:val="nil"/>
              <w:tr2bl w:val="nil"/>
            </w:tcBorders>
            <w:vAlign w:val="center"/>
          </w:tcPr>
          <w:p w14:paraId="1B6B47E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14#</w:t>
            </w:r>
          </w:p>
        </w:tc>
        <w:tc>
          <w:tcPr>
            <w:tcW w:w="950" w:type="pct"/>
            <w:tcBorders>
              <w:tl2br w:val="nil"/>
              <w:tr2bl w:val="nil"/>
            </w:tcBorders>
            <w:vAlign w:val="center"/>
          </w:tcPr>
          <w:p w14:paraId="7DB1C68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樟子松林</w:t>
            </w:r>
          </w:p>
        </w:tc>
        <w:tc>
          <w:tcPr>
            <w:tcW w:w="984" w:type="pct"/>
            <w:tcBorders>
              <w:tl2br w:val="nil"/>
              <w:tr2bl w:val="nil"/>
            </w:tcBorders>
          </w:tcPr>
          <w:p w14:paraId="2819F49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群力水库南侧</w:t>
            </w:r>
            <w:r>
              <w:rPr>
                <w:rFonts w:ascii="Times New Roman" w:eastAsia="宋体" w:hAnsi="Times New Roman" w:cs="Times New Roman" w:hint="eastAsia"/>
                <w:kern w:val="0"/>
                <w:sz w:val="21"/>
                <w:szCs w:val="21"/>
              </w:rPr>
              <w:t>310m</w:t>
            </w:r>
          </w:p>
        </w:tc>
        <w:tc>
          <w:tcPr>
            <w:tcW w:w="853" w:type="pct"/>
            <w:tcBorders>
              <w:tl2br w:val="nil"/>
              <w:tr2bl w:val="nil"/>
            </w:tcBorders>
            <w:vAlign w:val="center"/>
          </w:tcPr>
          <w:p w14:paraId="06C8627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129°38'20.3002"</w:t>
            </w:r>
          </w:p>
        </w:tc>
        <w:tc>
          <w:tcPr>
            <w:tcW w:w="814" w:type="pct"/>
            <w:tcBorders>
              <w:tl2br w:val="nil"/>
              <w:tr2bl w:val="nil"/>
            </w:tcBorders>
            <w:vAlign w:val="center"/>
          </w:tcPr>
          <w:p w14:paraId="5076A93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44°53'59.3771"</w:t>
            </w:r>
          </w:p>
        </w:tc>
        <w:tc>
          <w:tcPr>
            <w:tcW w:w="474" w:type="pct"/>
            <w:tcBorders>
              <w:tl2br w:val="nil"/>
              <w:tr2bl w:val="nil"/>
            </w:tcBorders>
            <w:vAlign w:val="center"/>
          </w:tcPr>
          <w:p w14:paraId="7346034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276 </w:t>
            </w:r>
          </w:p>
        </w:tc>
        <w:tc>
          <w:tcPr>
            <w:tcW w:w="620" w:type="pct"/>
            <w:vMerge/>
            <w:tcBorders>
              <w:tl2br w:val="nil"/>
              <w:tr2bl w:val="nil"/>
            </w:tcBorders>
          </w:tcPr>
          <w:p w14:paraId="5FF8E7BA"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153AF010" w14:textId="77777777">
        <w:trPr>
          <w:trHeight w:val="256"/>
          <w:jc w:val="center"/>
        </w:trPr>
        <w:tc>
          <w:tcPr>
            <w:tcW w:w="302" w:type="pct"/>
            <w:tcBorders>
              <w:tl2br w:val="nil"/>
              <w:tr2bl w:val="nil"/>
            </w:tcBorders>
            <w:vAlign w:val="center"/>
          </w:tcPr>
          <w:p w14:paraId="7BA392D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15#</w:t>
            </w:r>
          </w:p>
        </w:tc>
        <w:tc>
          <w:tcPr>
            <w:tcW w:w="950" w:type="pct"/>
            <w:tcBorders>
              <w:tl2br w:val="nil"/>
              <w:tr2bl w:val="nil"/>
            </w:tcBorders>
            <w:vAlign w:val="center"/>
          </w:tcPr>
          <w:p w14:paraId="4D4423C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樟子松林</w:t>
            </w:r>
          </w:p>
        </w:tc>
        <w:tc>
          <w:tcPr>
            <w:tcW w:w="984" w:type="pct"/>
            <w:tcBorders>
              <w:tl2br w:val="nil"/>
              <w:tr2bl w:val="nil"/>
            </w:tcBorders>
          </w:tcPr>
          <w:p w14:paraId="4A1D90F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群力水库东侧</w:t>
            </w:r>
            <w:r>
              <w:rPr>
                <w:rFonts w:ascii="Times New Roman" w:eastAsia="宋体" w:hAnsi="Times New Roman" w:cs="Times New Roman" w:hint="eastAsia"/>
                <w:kern w:val="0"/>
                <w:sz w:val="21"/>
                <w:szCs w:val="21"/>
              </w:rPr>
              <w:t>850m</w:t>
            </w:r>
          </w:p>
        </w:tc>
        <w:tc>
          <w:tcPr>
            <w:tcW w:w="853" w:type="pct"/>
            <w:tcBorders>
              <w:tl2br w:val="nil"/>
              <w:tr2bl w:val="nil"/>
            </w:tcBorders>
            <w:vAlign w:val="center"/>
          </w:tcPr>
          <w:p w14:paraId="6B5011E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129°40'15.9399"</w:t>
            </w:r>
          </w:p>
        </w:tc>
        <w:tc>
          <w:tcPr>
            <w:tcW w:w="814" w:type="pct"/>
            <w:tcBorders>
              <w:tl2br w:val="nil"/>
              <w:tr2bl w:val="nil"/>
            </w:tcBorders>
            <w:vAlign w:val="center"/>
          </w:tcPr>
          <w:p w14:paraId="79CAA1A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44°53'50.3485"</w:t>
            </w:r>
          </w:p>
        </w:tc>
        <w:tc>
          <w:tcPr>
            <w:tcW w:w="474" w:type="pct"/>
            <w:tcBorders>
              <w:tl2br w:val="nil"/>
              <w:tr2bl w:val="nil"/>
            </w:tcBorders>
            <w:vAlign w:val="center"/>
          </w:tcPr>
          <w:p w14:paraId="6DA8776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366 </w:t>
            </w:r>
          </w:p>
        </w:tc>
        <w:tc>
          <w:tcPr>
            <w:tcW w:w="620" w:type="pct"/>
            <w:vMerge/>
            <w:tcBorders>
              <w:tl2br w:val="nil"/>
              <w:tr2bl w:val="nil"/>
            </w:tcBorders>
          </w:tcPr>
          <w:p w14:paraId="72FAA939"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23F38DD9" w14:textId="77777777">
        <w:trPr>
          <w:trHeight w:val="256"/>
          <w:jc w:val="center"/>
        </w:trPr>
        <w:tc>
          <w:tcPr>
            <w:tcW w:w="302" w:type="pct"/>
            <w:tcBorders>
              <w:tl2br w:val="nil"/>
              <w:tr2bl w:val="nil"/>
            </w:tcBorders>
            <w:vAlign w:val="center"/>
          </w:tcPr>
          <w:p w14:paraId="11184F2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16#</w:t>
            </w:r>
          </w:p>
        </w:tc>
        <w:tc>
          <w:tcPr>
            <w:tcW w:w="950" w:type="pct"/>
            <w:tcBorders>
              <w:tl2br w:val="nil"/>
              <w:tr2bl w:val="nil"/>
            </w:tcBorders>
            <w:vAlign w:val="center"/>
          </w:tcPr>
          <w:p w14:paraId="6CA0A37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山杨林</w:t>
            </w:r>
          </w:p>
        </w:tc>
        <w:tc>
          <w:tcPr>
            <w:tcW w:w="984" w:type="pct"/>
            <w:tcBorders>
              <w:tl2br w:val="nil"/>
              <w:tr2bl w:val="nil"/>
            </w:tcBorders>
          </w:tcPr>
          <w:p w14:paraId="69ABFD7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群力水库西南</w:t>
            </w:r>
            <w:r>
              <w:rPr>
                <w:rFonts w:ascii="Times New Roman" w:eastAsia="宋体" w:hAnsi="Times New Roman" w:cs="Times New Roman" w:hint="eastAsia"/>
                <w:kern w:val="0"/>
                <w:sz w:val="21"/>
                <w:szCs w:val="21"/>
              </w:rPr>
              <w:t>420m</w:t>
            </w:r>
          </w:p>
        </w:tc>
        <w:tc>
          <w:tcPr>
            <w:tcW w:w="853" w:type="pct"/>
            <w:tcBorders>
              <w:tl2br w:val="nil"/>
              <w:tr2bl w:val="nil"/>
            </w:tcBorders>
            <w:vAlign w:val="center"/>
          </w:tcPr>
          <w:p w14:paraId="0626E9F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129°38'10.6443"</w:t>
            </w:r>
          </w:p>
        </w:tc>
        <w:tc>
          <w:tcPr>
            <w:tcW w:w="814" w:type="pct"/>
            <w:tcBorders>
              <w:tl2br w:val="nil"/>
              <w:tr2bl w:val="nil"/>
            </w:tcBorders>
            <w:vAlign w:val="center"/>
          </w:tcPr>
          <w:p w14:paraId="1DE968C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44°54'02.3866"</w:t>
            </w:r>
          </w:p>
        </w:tc>
        <w:tc>
          <w:tcPr>
            <w:tcW w:w="474" w:type="pct"/>
            <w:tcBorders>
              <w:tl2br w:val="nil"/>
              <w:tr2bl w:val="nil"/>
            </w:tcBorders>
            <w:vAlign w:val="center"/>
          </w:tcPr>
          <w:p w14:paraId="1E64F31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271 </w:t>
            </w:r>
          </w:p>
        </w:tc>
        <w:tc>
          <w:tcPr>
            <w:tcW w:w="620" w:type="pct"/>
            <w:vMerge w:val="restart"/>
            <w:tcBorders>
              <w:tl2br w:val="nil"/>
              <w:tr2bl w:val="nil"/>
            </w:tcBorders>
            <w:vAlign w:val="center"/>
          </w:tcPr>
          <w:p w14:paraId="21CF2CB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20m</w:t>
            </w:r>
            <w:r>
              <w:rPr>
                <w:rFonts w:ascii="Times New Roman" w:eastAsia="宋体" w:hAnsi="Times New Roman" w:cs="Times New Roman"/>
                <w:kern w:val="0"/>
                <w:sz w:val="21"/>
                <w:szCs w:val="21"/>
              </w:rPr>
              <w:sym w:font="Wingdings 2" w:char="F0CD"/>
            </w:r>
            <w:r>
              <w:rPr>
                <w:rFonts w:ascii="Times New Roman" w:eastAsia="宋体" w:hAnsi="Times New Roman" w:cs="Times New Roman"/>
                <w:kern w:val="0"/>
                <w:sz w:val="21"/>
                <w:szCs w:val="21"/>
              </w:rPr>
              <w:t>20m</w:t>
            </w:r>
          </w:p>
        </w:tc>
      </w:tr>
      <w:tr w:rsidR="009D12AF" w14:paraId="34477E35" w14:textId="77777777">
        <w:trPr>
          <w:trHeight w:val="256"/>
          <w:jc w:val="center"/>
        </w:trPr>
        <w:tc>
          <w:tcPr>
            <w:tcW w:w="302" w:type="pct"/>
            <w:tcBorders>
              <w:tl2br w:val="nil"/>
              <w:tr2bl w:val="nil"/>
            </w:tcBorders>
            <w:vAlign w:val="center"/>
          </w:tcPr>
          <w:p w14:paraId="5195931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17#</w:t>
            </w:r>
          </w:p>
        </w:tc>
        <w:tc>
          <w:tcPr>
            <w:tcW w:w="950" w:type="pct"/>
            <w:tcBorders>
              <w:tl2br w:val="nil"/>
              <w:tr2bl w:val="nil"/>
            </w:tcBorders>
            <w:vAlign w:val="center"/>
          </w:tcPr>
          <w:p w14:paraId="72391B0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山杨林</w:t>
            </w:r>
          </w:p>
        </w:tc>
        <w:tc>
          <w:tcPr>
            <w:tcW w:w="984" w:type="pct"/>
            <w:tcBorders>
              <w:tl2br w:val="nil"/>
              <w:tr2bl w:val="nil"/>
            </w:tcBorders>
          </w:tcPr>
          <w:p w14:paraId="13CF639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群力水库西南</w:t>
            </w:r>
            <w:r>
              <w:rPr>
                <w:rFonts w:ascii="Times New Roman" w:eastAsia="宋体" w:hAnsi="Times New Roman" w:cs="Times New Roman" w:hint="eastAsia"/>
                <w:kern w:val="0"/>
                <w:sz w:val="21"/>
                <w:szCs w:val="21"/>
              </w:rPr>
              <w:t>530m</w:t>
            </w:r>
          </w:p>
        </w:tc>
        <w:tc>
          <w:tcPr>
            <w:tcW w:w="853" w:type="pct"/>
            <w:tcBorders>
              <w:tl2br w:val="nil"/>
              <w:tr2bl w:val="nil"/>
            </w:tcBorders>
            <w:vAlign w:val="center"/>
          </w:tcPr>
          <w:p w14:paraId="162C759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129°38'11.9575"</w:t>
            </w:r>
          </w:p>
        </w:tc>
        <w:tc>
          <w:tcPr>
            <w:tcW w:w="814" w:type="pct"/>
            <w:tcBorders>
              <w:tl2br w:val="nil"/>
              <w:tr2bl w:val="nil"/>
            </w:tcBorders>
            <w:vAlign w:val="center"/>
          </w:tcPr>
          <w:p w14:paraId="42A8049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44°53'51.3882"</w:t>
            </w:r>
          </w:p>
        </w:tc>
        <w:tc>
          <w:tcPr>
            <w:tcW w:w="474" w:type="pct"/>
            <w:tcBorders>
              <w:tl2br w:val="nil"/>
              <w:tr2bl w:val="nil"/>
            </w:tcBorders>
            <w:vAlign w:val="center"/>
          </w:tcPr>
          <w:p w14:paraId="42C5BDF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317 </w:t>
            </w:r>
          </w:p>
        </w:tc>
        <w:tc>
          <w:tcPr>
            <w:tcW w:w="620" w:type="pct"/>
            <w:vMerge/>
            <w:tcBorders>
              <w:tl2br w:val="nil"/>
              <w:tr2bl w:val="nil"/>
            </w:tcBorders>
          </w:tcPr>
          <w:p w14:paraId="3714CE9F"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35C9E6C7" w14:textId="77777777">
        <w:trPr>
          <w:trHeight w:val="256"/>
          <w:jc w:val="center"/>
        </w:trPr>
        <w:tc>
          <w:tcPr>
            <w:tcW w:w="302" w:type="pct"/>
            <w:tcBorders>
              <w:tl2br w:val="nil"/>
              <w:tr2bl w:val="nil"/>
            </w:tcBorders>
            <w:vAlign w:val="center"/>
          </w:tcPr>
          <w:p w14:paraId="35C185E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18#</w:t>
            </w:r>
          </w:p>
        </w:tc>
        <w:tc>
          <w:tcPr>
            <w:tcW w:w="950" w:type="pct"/>
            <w:tcBorders>
              <w:tl2br w:val="nil"/>
              <w:tr2bl w:val="nil"/>
            </w:tcBorders>
            <w:vAlign w:val="center"/>
          </w:tcPr>
          <w:p w14:paraId="5C3BCAA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山杨林</w:t>
            </w:r>
          </w:p>
        </w:tc>
        <w:tc>
          <w:tcPr>
            <w:tcW w:w="984" w:type="pct"/>
            <w:tcBorders>
              <w:tl2br w:val="nil"/>
              <w:tr2bl w:val="nil"/>
            </w:tcBorders>
          </w:tcPr>
          <w:p w14:paraId="7CDA8F0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群力水库南侧</w:t>
            </w:r>
            <w:r>
              <w:rPr>
                <w:rFonts w:ascii="Times New Roman" w:eastAsia="宋体" w:hAnsi="Times New Roman" w:cs="Times New Roman" w:hint="eastAsia"/>
                <w:kern w:val="0"/>
                <w:sz w:val="21"/>
                <w:szCs w:val="21"/>
              </w:rPr>
              <w:t>120m</w:t>
            </w:r>
          </w:p>
        </w:tc>
        <w:tc>
          <w:tcPr>
            <w:tcW w:w="853" w:type="pct"/>
            <w:tcBorders>
              <w:tl2br w:val="nil"/>
              <w:tr2bl w:val="nil"/>
            </w:tcBorders>
            <w:vAlign w:val="center"/>
          </w:tcPr>
          <w:p w14:paraId="67AD22D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129°39'03.5589"</w:t>
            </w:r>
          </w:p>
        </w:tc>
        <w:tc>
          <w:tcPr>
            <w:tcW w:w="814" w:type="pct"/>
            <w:tcBorders>
              <w:tl2br w:val="nil"/>
              <w:tr2bl w:val="nil"/>
            </w:tcBorders>
            <w:vAlign w:val="center"/>
          </w:tcPr>
          <w:p w14:paraId="781F116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44°53'55.3280"</w:t>
            </w:r>
          </w:p>
        </w:tc>
        <w:tc>
          <w:tcPr>
            <w:tcW w:w="474" w:type="pct"/>
            <w:tcBorders>
              <w:tl2br w:val="nil"/>
              <w:tr2bl w:val="nil"/>
            </w:tcBorders>
            <w:vAlign w:val="center"/>
          </w:tcPr>
          <w:p w14:paraId="5AEAD70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237 </w:t>
            </w:r>
          </w:p>
        </w:tc>
        <w:tc>
          <w:tcPr>
            <w:tcW w:w="620" w:type="pct"/>
            <w:vMerge/>
            <w:tcBorders>
              <w:tl2br w:val="nil"/>
              <w:tr2bl w:val="nil"/>
            </w:tcBorders>
          </w:tcPr>
          <w:p w14:paraId="7E48469D"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064492A8" w14:textId="77777777">
        <w:trPr>
          <w:trHeight w:val="256"/>
          <w:jc w:val="center"/>
        </w:trPr>
        <w:tc>
          <w:tcPr>
            <w:tcW w:w="302" w:type="pct"/>
            <w:tcBorders>
              <w:tl2br w:val="nil"/>
              <w:tr2bl w:val="nil"/>
            </w:tcBorders>
            <w:vAlign w:val="center"/>
          </w:tcPr>
          <w:p w14:paraId="1DA72FF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19#</w:t>
            </w:r>
          </w:p>
        </w:tc>
        <w:tc>
          <w:tcPr>
            <w:tcW w:w="950" w:type="pct"/>
            <w:tcBorders>
              <w:tl2br w:val="nil"/>
              <w:tr2bl w:val="nil"/>
            </w:tcBorders>
            <w:vAlign w:val="center"/>
          </w:tcPr>
          <w:p w14:paraId="31E70D9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山杨林</w:t>
            </w:r>
          </w:p>
        </w:tc>
        <w:tc>
          <w:tcPr>
            <w:tcW w:w="984" w:type="pct"/>
            <w:tcBorders>
              <w:tl2br w:val="nil"/>
              <w:tr2bl w:val="nil"/>
            </w:tcBorders>
          </w:tcPr>
          <w:p w14:paraId="08020A7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群力水库南侧</w:t>
            </w:r>
            <w:r>
              <w:rPr>
                <w:rFonts w:ascii="Times New Roman" w:eastAsia="宋体" w:hAnsi="Times New Roman" w:cs="Times New Roman" w:hint="eastAsia"/>
                <w:kern w:val="0"/>
                <w:sz w:val="21"/>
                <w:szCs w:val="21"/>
              </w:rPr>
              <w:t>290m</w:t>
            </w:r>
          </w:p>
        </w:tc>
        <w:tc>
          <w:tcPr>
            <w:tcW w:w="853" w:type="pct"/>
            <w:tcBorders>
              <w:tl2br w:val="nil"/>
              <w:tr2bl w:val="nil"/>
            </w:tcBorders>
            <w:vAlign w:val="center"/>
          </w:tcPr>
          <w:p w14:paraId="515752B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129°39'14.5667"</w:t>
            </w:r>
          </w:p>
        </w:tc>
        <w:tc>
          <w:tcPr>
            <w:tcW w:w="814" w:type="pct"/>
            <w:tcBorders>
              <w:tl2br w:val="nil"/>
              <w:tr2bl w:val="nil"/>
            </w:tcBorders>
            <w:vAlign w:val="center"/>
          </w:tcPr>
          <w:p w14:paraId="1E0C084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44°53'47.8656"</w:t>
            </w:r>
          </w:p>
        </w:tc>
        <w:tc>
          <w:tcPr>
            <w:tcW w:w="474" w:type="pct"/>
            <w:tcBorders>
              <w:tl2br w:val="nil"/>
              <w:tr2bl w:val="nil"/>
            </w:tcBorders>
            <w:vAlign w:val="center"/>
          </w:tcPr>
          <w:p w14:paraId="4EA6333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226 </w:t>
            </w:r>
          </w:p>
        </w:tc>
        <w:tc>
          <w:tcPr>
            <w:tcW w:w="620" w:type="pct"/>
            <w:vMerge/>
            <w:tcBorders>
              <w:tl2br w:val="nil"/>
              <w:tr2bl w:val="nil"/>
            </w:tcBorders>
          </w:tcPr>
          <w:p w14:paraId="5907408F"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298EC326" w14:textId="77777777">
        <w:trPr>
          <w:trHeight w:val="256"/>
          <w:jc w:val="center"/>
        </w:trPr>
        <w:tc>
          <w:tcPr>
            <w:tcW w:w="302" w:type="pct"/>
            <w:tcBorders>
              <w:tl2br w:val="nil"/>
              <w:tr2bl w:val="nil"/>
            </w:tcBorders>
            <w:vAlign w:val="center"/>
          </w:tcPr>
          <w:p w14:paraId="0FBAEF4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20#</w:t>
            </w:r>
          </w:p>
        </w:tc>
        <w:tc>
          <w:tcPr>
            <w:tcW w:w="950" w:type="pct"/>
            <w:tcBorders>
              <w:tl2br w:val="nil"/>
              <w:tr2bl w:val="nil"/>
            </w:tcBorders>
            <w:vAlign w:val="center"/>
          </w:tcPr>
          <w:p w14:paraId="117B46A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山杨林</w:t>
            </w:r>
          </w:p>
        </w:tc>
        <w:tc>
          <w:tcPr>
            <w:tcW w:w="984" w:type="pct"/>
            <w:tcBorders>
              <w:tl2br w:val="nil"/>
              <w:tr2bl w:val="nil"/>
            </w:tcBorders>
          </w:tcPr>
          <w:p w14:paraId="41511FF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群力水库北侧</w:t>
            </w:r>
            <w:r>
              <w:rPr>
                <w:rFonts w:ascii="Times New Roman" w:eastAsia="宋体" w:hAnsi="Times New Roman" w:cs="Times New Roman" w:hint="eastAsia"/>
                <w:kern w:val="0"/>
                <w:sz w:val="21"/>
                <w:szCs w:val="21"/>
              </w:rPr>
              <w:t>770m</w:t>
            </w:r>
          </w:p>
        </w:tc>
        <w:tc>
          <w:tcPr>
            <w:tcW w:w="853" w:type="pct"/>
            <w:tcBorders>
              <w:tl2br w:val="nil"/>
              <w:tr2bl w:val="nil"/>
            </w:tcBorders>
            <w:vAlign w:val="center"/>
          </w:tcPr>
          <w:p w14:paraId="60436D1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129°39'21.1713"</w:t>
            </w:r>
          </w:p>
        </w:tc>
        <w:tc>
          <w:tcPr>
            <w:tcW w:w="814" w:type="pct"/>
            <w:tcBorders>
              <w:tl2br w:val="nil"/>
              <w:tr2bl w:val="nil"/>
            </w:tcBorders>
            <w:vAlign w:val="center"/>
          </w:tcPr>
          <w:p w14:paraId="15BDE87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44°54'54.8535"</w:t>
            </w:r>
          </w:p>
        </w:tc>
        <w:tc>
          <w:tcPr>
            <w:tcW w:w="474" w:type="pct"/>
            <w:tcBorders>
              <w:tl2br w:val="nil"/>
              <w:tr2bl w:val="nil"/>
            </w:tcBorders>
            <w:vAlign w:val="center"/>
          </w:tcPr>
          <w:p w14:paraId="318B415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284 </w:t>
            </w:r>
          </w:p>
        </w:tc>
        <w:tc>
          <w:tcPr>
            <w:tcW w:w="620" w:type="pct"/>
            <w:vMerge/>
            <w:tcBorders>
              <w:tl2br w:val="nil"/>
              <w:tr2bl w:val="nil"/>
            </w:tcBorders>
          </w:tcPr>
          <w:p w14:paraId="465798D3"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45E15724" w14:textId="77777777">
        <w:trPr>
          <w:trHeight w:val="256"/>
          <w:jc w:val="center"/>
        </w:trPr>
        <w:tc>
          <w:tcPr>
            <w:tcW w:w="302" w:type="pct"/>
            <w:tcBorders>
              <w:tl2br w:val="nil"/>
              <w:tr2bl w:val="nil"/>
            </w:tcBorders>
            <w:vAlign w:val="center"/>
          </w:tcPr>
          <w:p w14:paraId="64E1633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21#</w:t>
            </w:r>
          </w:p>
        </w:tc>
        <w:tc>
          <w:tcPr>
            <w:tcW w:w="950" w:type="pct"/>
            <w:tcBorders>
              <w:tl2br w:val="nil"/>
              <w:tr2bl w:val="nil"/>
            </w:tcBorders>
            <w:vAlign w:val="center"/>
          </w:tcPr>
          <w:p w14:paraId="35A9249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沼泽草甸</w:t>
            </w:r>
          </w:p>
        </w:tc>
        <w:tc>
          <w:tcPr>
            <w:tcW w:w="984" w:type="pct"/>
            <w:tcBorders>
              <w:tl2br w:val="nil"/>
              <w:tr2bl w:val="nil"/>
            </w:tcBorders>
          </w:tcPr>
          <w:p w14:paraId="34ED208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群力水库西北</w:t>
            </w:r>
            <w:r>
              <w:rPr>
                <w:rFonts w:ascii="Times New Roman" w:eastAsia="宋体" w:hAnsi="Times New Roman" w:cs="Times New Roman" w:hint="eastAsia"/>
                <w:kern w:val="0"/>
                <w:sz w:val="21"/>
                <w:szCs w:val="21"/>
              </w:rPr>
              <w:t>480m</w:t>
            </w:r>
          </w:p>
        </w:tc>
        <w:tc>
          <w:tcPr>
            <w:tcW w:w="853" w:type="pct"/>
            <w:tcBorders>
              <w:tl2br w:val="nil"/>
              <w:tr2bl w:val="nil"/>
            </w:tcBorders>
            <w:vAlign w:val="center"/>
          </w:tcPr>
          <w:p w14:paraId="0806927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129°39'00.8552"</w:t>
            </w:r>
          </w:p>
        </w:tc>
        <w:tc>
          <w:tcPr>
            <w:tcW w:w="814" w:type="pct"/>
            <w:tcBorders>
              <w:tl2br w:val="nil"/>
              <w:tr2bl w:val="nil"/>
            </w:tcBorders>
            <w:vAlign w:val="center"/>
          </w:tcPr>
          <w:p w14:paraId="7F2CF55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44°54'41.7243"</w:t>
            </w:r>
          </w:p>
        </w:tc>
        <w:tc>
          <w:tcPr>
            <w:tcW w:w="474" w:type="pct"/>
            <w:tcBorders>
              <w:tl2br w:val="nil"/>
              <w:tr2bl w:val="nil"/>
            </w:tcBorders>
            <w:vAlign w:val="center"/>
          </w:tcPr>
          <w:p w14:paraId="7ACD8B0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208 </w:t>
            </w:r>
          </w:p>
        </w:tc>
        <w:tc>
          <w:tcPr>
            <w:tcW w:w="620" w:type="pct"/>
            <w:vMerge w:val="restart"/>
            <w:tcBorders>
              <w:tl2br w:val="nil"/>
              <w:tr2bl w:val="nil"/>
            </w:tcBorders>
            <w:vAlign w:val="center"/>
          </w:tcPr>
          <w:p w14:paraId="3A5ABBB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m</w:t>
            </w:r>
            <w:r>
              <w:rPr>
                <w:rFonts w:ascii="Times New Roman" w:eastAsia="宋体" w:hAnsi="Times New Roman" w:cs="Times New Roman"/>
                <w:kern w:val="0"/>
                <w:sz w:val="21"/>
                <w:szCs w:val="21"/>
              </w:rPr>
              <w:sym w:font="Wingdings 2" w:char="F0CD"/>
            </w: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m</w:t>
            </w:r>
          </w:p>
        </w:tc>
      </w:tr>
      <w:tr w:rsidR="009D12AF" w14:paraId="6891D9E6" w14:textId="77777777">
        <w:trPr>
          <w:trHeight w:val="256"/>
          <w:jc w:val="center"/>
        </w:trPr>
        <w:tc>
          <w:tcPr>
            <w:tcW w:w="302" w:type="pct"/>
            <w:tcBorders>
              <w:tl2br w:val="nil"/>
              <w:tr2bl w:val="nil"/>
            </w:tcBorders>
            <w:vAlign w:val="center"/>
          </w:tcPr>
          <w:p w14:paraId="70D8E83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22#</w:t>
            </w:r>
          </w:p>
        </w:tc>
        <w:tc>
          <w:tcPr>
            <w:tcW w:w="950" w:type="pct"/>
            <w:tcBorders>
              <w:tl2br w:val="nil"/>
              <w:tr2bl w:val="nil"/>
            </w:tcBorders>
          </w:tcPr>
          <w:p w14:paraId="4C51E55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沼泽草甸</w:t>
            </w:r>
          </w:p>
        </w:tc>
        <w:tc>
          <w:tcPr>
            <w:tcW w:w="984" w:type="pct"/>
            <w:tcBorders>
              <w:tl2br w:val="nil"/>
              <w:tr2bl w:val="nil"/>
            </w:tcBorders>
          </w:tcPr>
          <w:p w14:paraId="7CD8269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群力水库北侧</w:t>
            </w:r>
            <w:r>
              <w:rPr>
                <w:rFonts w:ascii="Times New Roman" w:eastAsia="宋体" w:hAnsi="Times New Roman" w:cs="Times New Roman" w:hint="eastAsia"/>
                <w:kern w:val="0"/>
                <w:sz w:val="21"/>
                <w:szCs w:val="21"/>
              </w:rPr>
              <w:t>290m</w:t>
            </w:r>
          </w:p>
        </w:tc>
        <w:tc>
          <w:tcPr>
            <w:tcW w:w="853" w:type="pct"/>
            <w:tcBorders>
              <w:tl2br w:val="nil"/>
              <w:tr2bl w:val="nil"/>
            </w:tcBorders>
            <w:vAlign w:val="center"/>
          </w:tcPr>
          <w:p w14:paraId="0B4CCBC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129°38'37.4106"</w:t>
            </w:r>
          </w:p>
        </w:tc>
        <w:tc>
          <w:tcPr>
            <w:tcW w:w="814" w:type="pct"/>
            <w:tcBorders>
              <w:tl2br w:val="nil"/>
              <w:tr2bl w:val="nil"/>
            </w:tcBorders>
            <w:vAlign w:val="center"/>
          </w:tcPr>
          <w:p w14:paraId="1C32DDE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44°54'25.9409"</w:t>
            </w:r>
          </w:p>
        </w:tc>
        <w:tc>
          <w:tcPr>
            <w:tcW w:w="474" w:type="pct"/>
            <w:tcBorders>
              <w:tl2br w:val="nil"/>
              <w:tr2bl w:val="nil"/>
            </w:tcBorders>
            <w:vAlign w:val="center"/>
          </w:tcPr>
          <w:p w14:paraId="667882E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213 </w:t>
            </w:r>
          </w:p>
        </w:tc>
        <w:tc>
          <w:tcPr>
            <w:tcW w:w="620" w:type="pct"/>
            <w:vMerge/>
            <w:tcBorders>
              <w:tl2br w:val="nil"/>
              <w:tr2bl w:val="nil"/>
            </w:tcBorders>
          </w:tcPr>
          <w:p w14:paraId="38427511"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5FE1C15C" w14:textId="77777777">
        <w:trPr>
          <w:trHeight w:val="256"/>
          <w:jc w:val="center"/>
        </w:trPr>
        <w:tc>
          <w:tcPr>
            <w:tcW w:w="302" w:type="pct"/>
            <w:tcBorders>
              <w:tl2br w:val="nil"/>
              <w:tr2bl w:val="nil"/>
            </w:tcBorders>
            <w:vAlign w:val="center"/>
          </w:tcPr>
          <w:p w14:paraId="3E614CC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23#</w:t>
            </w:r>
          </w:p>
        </w:tc>
        <w:tc>
          <w:tcPr>
            <w:tcW w:w="950" w:type="pct"/>
            <w:tcBorders>
              <w:tl2br w:val="nil"/>
              <w:tr2bl w:val="nil"/>
            </w:tcBorders>
          </w:tcPr>
          <w:p w14:paraId="35CA802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沼泽草甸</w:t>
            </w:r>
          </w:p>
        </w:tc>
        <w:tc>
          <w:tcPr>
            <w:tcW w:w="984" w:type="pct"/>
            <w:tcBorders>
              <w:tl2br w:val="nil"/>
              <w:tr2bl w:val="nil"/>
            </w:tcBorders>
          </w:tcPr>
          <w:p w14:paraId="34A30B3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群力水库南侧</w:t>
            </w:r>
            <w:r>
              <w:rPr>
                <w:rFonts w:ascii="Times New Roman" w:eastAsia="宋体" w:hAnsi="Times New Roman" w:cs="Times New Roman" w:hint="eastAsia"/>
                <w:kern w:val="0"/>
                <w:sz w:val="21"/>
                <w:szCs w:val="21"/>
              </w:rPr>
              <w:t>60m</w:t>
            </w:r>
          </w:p>
        </w:tc>
        <w:tc>
          <w:tcPr>
            <w:tcW w:w="853" w:type="pct"/>
            <w:tcBorders>
              <w:tl2br w:val="nil"/>
              <w:tr2bl w:val="nil"/>
            </w:tcBorders>
            <w:vAlign w:val="center"/>
          </w:tcPr>
          <w:p w14:paraId="6DF14B6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129°38'55.2548"</w:t>
            </w:r>
          </w:p>
        </w:tc>
        <w:tc>
          <w:tcPr>
            <w:tcW w:w="814" w:type="pct"/>
            <w:tcBorders>
              <w:tl2br w:val="nil"/>
              <w:tr2bl w:val="nil"/>
            </w:tcBorders>
            <w:vAlign w:val="center"/>
          </w:tcPr>
          <w:p w14:paraId="5CE6071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44°53'56.8738"</w:t>
            </w:r>
          </w:p>
        </w:tc>
        <w:tc>
          <w:tcPr>
            <w:tcW w:w="474" w:type="pct"/>
            <w:tcBorders>
              <w:tl2br w:val="nil"/>
              <w:tr2bl w:val="nil"/>
            </w:tcBorders>
            <w:vAlign w:val="center"/>
          </w:tcPr>
          <w:p w14:paraId="7FAA7CA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223 </w:t>
            </w:r>
          </w:p>
        </w:tc>
        <w:tc>
          <w:tcPr>
            <w:tcW w:w="620" w:type="pct"/>
            <w:vMerge/>
            <w:tcBorders>
              <w:tl2br w:val="nil"/>
              <w:tr2bl w:val="nil"/>
            </w:tcBorders>
          </w:tcPr>
          <w:p w14:paraId="4A7E0710"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6683D32B" w14:textId="77777777">
        <w:trPr>
          <w:trHeight w:val="256"/>
          <w:jc w:val="center"/>
        </w:trPr>
        <w:tc>
          <w:tcPr>
            <w:tcW w:w="302" w:type="pct"/>
            <w:tcBorders>
              <w:tl2br w:val="nil"/>
              <w:tr2bl w:val="nil"/>
            </w:tcBorders>
            <w:vAlign w:val="center"/>
          </w:tcPr>
          <w:p w14:paraId="72C3CA6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24#</w:t>
            </w:r>
          </w:p>
        </w:tc>
        <w:tc>
          <w:tcPr>
            <w:tcW w:w="950" w:type="pct"/>
            <w:tcBorders>
              <w:tl2br w:val="nil"/>
              <w:tr2bl w:val="nil"/>
            </w:tcBorders>
          </w:tcPr>
          <w:p w14:paraId="5C37AA8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沼泽草甸</w:t>
            </w:r>
          </w:p>
        </w:tc>
        <w:tc>
          <w:tcPr>
            <w:tcW w:w="984" w:type="pct"/>
            <w:tcBorders>
              <w:tl2br w:val="nil"/>
              <w:tr2bl w:val="nil"/>
            </w:tcBorders>
          </w:tcPr>
          <w:p w14:paraId="5E96CFC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群力屯东北</w:t>
            </w:r>
            <w:r>
              <w:rPr>
                <w:rFonts w:ascii="Times New Roman" w:eastAsia="宋体" w:hAnsi="Times New Roman" w:cs="Times New Roman" w:hint="eastAsia"/>
                <w:kern w:val="0"/>
                <w:sz w:val="21"/>
                <w:szCs w:val="21"/>
              </w:rPr>
              <w:lastRenderedPageBreak/>
              <w:t>670m</w:t>
            </w:r>
          </w:p>
        </w:tc>
        <w:tc>
          <w:tcPr>
            <w:tcW w:w="853" w:type="pct"/>
            <w:tcBorders>
              <w:tl2br w:val="nil"/>
              <w:tr2bl w:val="nil"/>
            </w:tcBorders>
            <w:vAlign w:val="center"/>
          </w:tcPr>
          <w:p w14:paraId="5AAE802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lastRenderedPageBreak/>
              <w:t>129°38'52.7442"</w:t>
            </w:r>
          </w:p>
        </w:tc>
        <w:tc>
          <w:tcPr>
            <w:tcW w:w="814" w:type="pct"/>
            <w:tcBorders>
              <w:tl2br w:val="nil"/>
              <w:tr2bl w:val="nil"/>
            </w:tcBorders>
            <w:vAlign w:val="center"/>
          </w:tcPr>
          <w:p w14:paraId="7377371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44°54'55.0176"</w:t>
            </w:r>
          </w:p>
        </w:tc>
        <w:tc>
          <w:tcPr>
            <w:tcW w:w="474" w:type="pct"/>
            <w:tcBorders>
              <w:tl2br w:val="nil"/>
              <w:tr2bl w:val="nil"/>
            </w:tcBorders>
            <w:vAlign w:val="center"/>
          </w:tcPr>
          <w:p w14:paraId="3F89BF9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213 </w:t>
            </w:r>
          </w:p>
        </w:tc>
        <w:tc>
          <w:tcPr>
            <w:tcW w:w="620" w:type="pct"/>
            <w:vMerge/>
            <w:tcBorders>
              <w:tl2br w:val="nil"/>
              <w:tr2bl w:val="nil"/>
            </w:tcBorders>
          </w:tcPr>
          <w:p w14:paraId="22886B29"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0787B00F" w14:textId="77777777">
        <w:trPr>
          <w:trHeight w:val="256"/>
          <w:jc w:val="center"/>
        </w:trPr>
        <w:tc>
          <w:tcPr>
            <w:tcW w:w="302" w:type="pct"/>
            <w:tcBorders>
              <w:tl2br w:val="nil"/>
              <w:tr2bl w:val="nil"/>
            </w:tcBorders>
            <w:vAlign w:val="center"/>
          </w:tcPr>
          <w:p w14:paraId="6A48F93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25#</w:t>
            </w:r>
          </w:p>
        </w:tc>
        <w:tc>
          <w:tcPr>
            <w:tcW w:w="950" w:type="pct"/>
            <w:tcBorders>
              <w:tl2br w:val="nil"/>
              <w:tr2bl w:val="nil"/>
            </w:tcBorders>
          </w:tcPr>
          <w:p w14:paraId="0C8D1EE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沼泽草甸</w:t>
            </w:r>
          </w:p>
        </w:tc>
        <w:tc>
          <w:tcPr>
            <w:tcW w:w="984" w:type="pct"/>
            <w:tcBorders>
              <w:tl2br w:val="nil"/>
              <w:tr2bl w:val="nil"/>
            </w:tcBorders>
          </w:tcPr>
          <w:p w14:paraId="1CE743A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群力水库西侧</w:t>
            </w:r>
            <w:r>
              <w:rPr>
                <w:rFonts w:ascii="Times New Roman" w:eastAsia="宋体" w:hAnsi="Times New Roman" w:cs="Times New Roman" w:hint="eastAsia"/>
                <w:kern w:val="0"/>
                <w:sz w:val="21"/>
                <w:szCs w:val="21"/>
              </w:rPr>
              <w:t>800m</w:t>
            </w:r>
          </w:p>
        </w:tc>
        <w:tc>
          <w:tcPr>
            <w:tcW w:w="853" w:type="pct"/>
            <w:tcBorders>
              <w:tl2br w:val="nil"/>
              <w:tr2bl w:val="nil"/>
            </w:tcBorders>
            <w:vAlign w:val="center"/>
          </w:tcPr>
          <w:p w14:paraId="6F1C5A2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129°37'54.7506"</w:t>
            </w:r>
          </w:p>
        </w:tc>
        <w:tc>
          <w:tcPr>
            <w:tcW w:w="814" w:type="pct"/>
            <w:tcBorders>
              <w:tl2br w:val="nil"/>
              <w:tr2bl w:val="nil"/>
            </w:tcBorders>
            <w:vAlign w:val="center"/>
          </w:tcPr>
          <w:p w14:paraId="2DBB723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44°54'24.2722"</w:t>
            </w:r>
          </w:p>
        </w:tc>
        <w:tc>
          <w:tcPr>
            <w:tcW w:w="474" w:type="pct"/>
            <w:tcBorders>
              <w:tl2br w:val="nil"/>
              <w:tr2bl w:val="nil"/>
            </w:tcBorders>
            <w:vAlign w:val="center"/>
          </w:tcPr>
          <w:p w14:paraId="0B1A99E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等线" w:hAnsi="Times New Roman" w:cs="Times New Roman"/>
                <w:color w:val="000000"/>
                <w:kern w:val="0"/>
                <w:sz w:val="21"/>
                <w:szCs w:val="21"/>
              </w:rPr>
              <w:t xml:space="preserve">211 </w:t>
            </w:r>
          </w:p>
        </w:tc>
        <w:tc>
          <w:tcPr>
            <w:tcW w:w="620" w:type="pct"/>
            <w:vMerge/>
            <w:tcBorders>
              <w:tl2br w:val="nil"/>
              <w:tr2bl w:val="nil"/>
            </w:tcBorders>
          </w:tcPr>
          <w:p w14:paraId="168F038B"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bl>
    <w:p w14:paraId="7B79EAA4" w14:textId="77777777" w:rsidR="009D12AF" w:rsidRDefault="00000000">
      <w:pPr>
        <w:widowControl/>
        <w:ind w:leftChars="200" w:left="480" w:firstLineChars="0" w:firstLine="0"/>
        <w:jc w:val="left"/>
        <w:rPr>
          <w:rFonts w:ascii="宋体" w:eastAsia="宋体" w:hAnsi="宋体" w:cs="宋体" w:hint="eastAsia"/>
          <w:kern w:val="0"/>
          <w:szCs w:val="28"/>
        </w:rPr>
      </w:pPr>
      <w:r>
        <w:rPr>
          <w:rFonts w:hint="eastAsia"/>
        </w:rPr>
        <w:t>（</w:t>
      </w:r>
      <w:r>
        <w:rPr>
          <w:rFonts w:hint="eastAsia"/>
        </w:rPr>
        <w:t>2</w:t>
      </w:r>
      <w:r>
        <w:rPr>
          <w:rFonts w:hint="eastAsia"/>
        </w:rPr>
        <w:t>）</w:t>
      </w:r>
      <w:r>
        <w:rPr>
          <w:rFonts w:ascii="宋体" w:eastAsia="宋体" w:hAnsi="宋体" w:cs="宋体" w:hint="eastAsia"/>
          <w:kern w:val="0"/>
          <w:szCs w:val="28"/>
        </w:rPr>
        <w:t>植物样方数量符合性分析</w:t>
      </w:r>
    </w:p>
    <w:p w14:paraId="0F2B8274" w14:textId="77777777" w:rsidR="009D12AF" w:rsidRDefault="00000000">
      <w:pPr>
        <w:ind w:firstLine="480"/>
        <w:rPr>
          <w:rFonts w:ascii="宋体" w:eastAsia="宋体" w:hAnsi="宋体" w:cs="宋体" w:hint="eastAsia"/>
          <w:kern w:val="0"/>
          <w:szCs w:val="32"/>
        </w:rPr>
      </w:pPr>
      <w:r>
        <w:rPr>
          <w:rFonts w:ascii="宋体" w:eastAsia="宋体" w:hAnsi="宋体" w:cs="宋体" w:hint="eastAsia"/>
          <w:kern w:val="0"/>
          <w:szCs w:val="32"/>
        </w:rPr>
        <w:t>按照生态导则，本工程群力水库陆生生态影响评价等级为一级。</w:t>
      </w:r>
      <w:r>
        <w:rPr>
          <w:rFonts w:ascii="宋体" w:eastAsia="宋体" w:hAnsi="宋体" w:cs="宋体"/>
          <w:kern w:val="0"/>
          <w:szCs w:val="32"/>
        </w:rPr>
        <w:t>依据《环境影响评价技术导则  生态影响》（HJ19-2022）的相关要求，</w:t>
      </w:r>
      <w:r>
        <w:rPr>
          <w:rFonts w:ascii="宋体" w:eastAsia="宋体" w:hAnsi="宋体" w:cs="宋体" w:hint="eastAsia"/>
          <w:kern w:val="0"/>
          <w:szCs w:val="32"/>
        </w:rPr>
        <w:t>一级评价每种群落类型设置的样方数量不少于5个。根据文献资料，结合现场实际调查，确定一级评价区域主要植被群落共需要布设植物样方25个，实际调查中共设置了25个植物样方，本次调查植物样方的设置符合生态导则的数量要求。</w:t>
      </w:r>
    </w:p>
    <w:p w14:paraId="13384CC6" w14:textId="77777777" w:rsidR="009D12AF" w:rsidRDefault="00000000">
      <w:pPr>
        <w:ind w:leftChars="200" w:left="480" w:firstLineChars="0" w:firstLine="0"/>
        <w:rPr>
          <w:rFonts w:ascii="宋体" w:eastAsia="宋体" w:hAnsi="宋体" w:cs="宋体" w:hint="eastAsia"/>
          <w:kern w:val="0"/>
          <w:szCs w:val="32"/>
        </w:rPr>
      </w:pPr>
      <w:r>
        <w:rPr>
          <w:rFonts w:ascii="宋体" w:eastAsia="宋体" w:hAnsi="宋体" w:cs="宋体" w:hint="eastAsia"/>
          <w:kern w:val="0"/>
          <w:szCs w:val="32"/>
        </w:rPr>
        <w:t>2、动物调查样线设置</w:t>
      </w:r>
    </w:p>
    <w:p w14:paraId="71E5F6FB" w14:textId="77777777" w:rsidR="009D12AF" w:rsidRDefault="00000000">
      <w:pPr>
        <w:ind w:leftChars="200" w:left="480" w:firstLineChars="0" w:firstLine="0"/>
      </w:pPr>
      <w:r>
        <w:rPr>
          <w:rFonts w:hint="eastAsia"/>
        </w:rPr>
        <w:t>（</w:t>
      </w:r>
      <w:r>
        <w:rPr>
          <w:rFonts w:hint="eastAsia"/>
        </w:rPr>
        <w:t>1</w:t>
      </w:r>
      <w:r>
        <w:rPr>
          <w:rFonts w:hint="eastAsia"/>
        </w:rPr>
        <w:t>）总体情况</w:t>
      </w:r>
    </w:p>
    <w:p w14:paraId="1E40FE16" w14:textId="77777777" w:rsidR="009D12AF" w:rsidRDefault="00000000">
      <w:pPr>
        <w:ind w:firstLine="480"/>
        <w:sectPr w:rsidR="009D12AF">
          <w:pgSz w:w="11906" w:h="16838"/>
          <w:pgMar w:top="1440" w:right="1800" w:bottom="1440" w:left="1800" w:header="851" w:footer="992" w:gutter="0"/>
          <w:cols w:space="425"/>
          <w:docGrid w:type="lines" w:linePitch="326"/>
        </w:sectPr>
      </w:pPr>
      <w:r>
        <w:rPr>
          <w:rFonts w:ascii="Times New Roman" w:eastAsia="宋体" w:hAnsi="Times New Roman" w:cs="Times New Roman"/>
          <w:kern w:val="0"/>
        </w:rPr>
        <w:t>按照环境保护部</w:t>
      </w:r>
      <w:r>
        <w:rPr>
          <w:rFonts w:ascii="Times New Roman" w:eastAsia="宋体" w:hAnsi="Times New Roman" w:cs="Times New Roman"/>
          <w:kern w:val="0"/>
        </w:rPr>
        <w:t>201</w:t>
      </w:r>
      <w:r>
        <w:rPr>
          <w:rFonts w:ascii="Times New Roman" w:eastAsia="宋体" w:hAnsi="Times New Roman" w:cs="Times New Roman" w:hint="eastAsia"/>
          <w:kern w:val="0"/>
        </w:rPr>
        <w:t>4</w:t>
      </w:r>
      <w:r>
        <w:rPr>
          <w:rFonts w:ascii="Times New Roman" w:eastAsia="宋体" w:hAnsi="Times New Roman" w:cs="Times New Roman"/>
          <w:kern w:val="0"/>
        </w:rPr>
        <w:t>年发布的生物多样性观测技术导则中生境类型划分原则，野生动物调查范围内主要动物栖息生境类型有</w:t>
      </w:r>
      <w:r>
        <w:rPr>
          <w:rFonts w:ascii="Times New Roman" w:eastAsia="宋体" w:hAnsi="Times New Roman" w:cs="Times New Roman" w:hint="eastAsia"/>
          <w:kern w:val="0"/>
        </w:rPr>
        <w:t>5</w:t>
      </w:r>
      <w:r>
        <w:rPr>
          <w:rFonts w:ascii="Times New Roman" w:eastAsia="宋体" w:hAnsi="Times New Roman" w:cs="Times New Roman"/>
          <w:kern w:val="0"/>
        </w:rPr>
        <w:t>种，</w:t>
      </w:r>
      <w:r>
        <w:rPr>
          <w:rFonts w:ascii="Times New Roman" w:eastAsia="宋体" w:hAnsi="Times New Roman" w:cs="Times New Roman" w:hint="eastAsia"/>
          <w:kern w:val="0"/>
        </w:rPr>
        <w:t>结合工程拟选场址区域不同海拔段、坡位、坡向，评价范围内</w:t>
      </w:r>
      <w:r>
        <w:rPr>
          <w:rFonts w:ascii="Times New Roman" w:eastAsia="宋体" w:hAnsi="Times New Roman" w:cs="Times New Roman"/>
          <w:kern w:val="0"/>
        </w:rPr>
        <w:t>查共布设</w:t>
      </w:r>
      <w:r>
        <w:rPr>
          <w:rFonts w:ascii="Times New Roman" w:eastAsia="宋体" w:hAnsi="Times New Roman" w:cs="Times New Roman" w:hint="eastAsia"/>
          <w:kern w:val="0"/>
        </w:rPr>
        <w:t>25</w:t>
      </w:r>
      <w:r>
        <w:rPr>
          <w:rFonts w:ascii="Times New Roman" w:eastAsia="宋体" w:hAnsi="Times New Roman" w:cs="Times New Roman"/>
          <w:kern w:val="0"/>
        </w:rPr>
        <w:t>条动物样线，涵盖评价范围内不同生境</w:t>
      </w:r>
      <w:r>
        <w:rPr>
          <w:rFonts w:ascii="Times New Roman" w:eastAsia="宋体" w:hAnsi="Times New Roman" w:cs="Times New Roman" w:hint="eastAsia"/>
          <w:kern w:val="0"/>
        </w:rPr>
        <w:t>类型</w:t>
      </w:r>
      <w:r>
        <w:rPr>
          <w:rFonts w:ascii="Times New Roman" w:eastAsia="宋体" w:hAnsi="Times New Roman" w:cs="Times New Roman"/>
          <w:kern w:val="0"/>
        </w:rPr>
        <w:t>。详见表</w:t>
      </w:r>
      <w:r>
        <w:rPr>
          <w:rFonts w:ascii="Times New Roman" w:eastAsia="宋体" w:hAnsi="Times New Roman" w:cs="Times New Roman" w:hint="eastAsia"/>
          <w:kern w:val="0"/>
        </w:rPr>
        <w:t>4.3-42</w:t>
      </w:r>
      <w:r>
        <w:rPr>
          <w:rFonts w:ascii="Times New Roman" w:eastAsia="宋体" w:hAnsi="Times New Roman" w:cs="Times New Roman"/>
          <w:kern w:val="0"/>
        </w:rPr>
        <w:t>、</w:t>
      </w:r>
      <w:r>
        <w:rPr>
          <w:rFonts w:ascii="Times New Roman" w:eastAsia="宋体" w:hAnsi="Times New Roman" w:cs="Times New Roman" w:hint="eastAsia"/>
          <w:kern w:val="0"/>
        </w:rPr>
        <w:t>附图</w:t>
      </w:r>
      <w:r>
        <w:rPr>
          <w:rFonts w:ascii="Times New Roman" w:eastAsia="宋体" w:hAnsi="Times New Roman" w:cs="Times New Roman" w:hint="eastAsia"/>
          <w:kern w:val="0"/>
        </w:rPr>
        <w:t>18</w:t>
      </w:r>
      <w:r>
        <w:rPr>
          <w:rFonts w:ascii="Times New Roman" w:eastAsia="宋体" w:hAnsi="Times New Roman" w:cs="Times New Roman"/>
          <w:kern w:val="0"/>
        </w:rPr>
        <w:t>。</w:t>
      </w:r>
      <w:r>
        <w:br w:type="page"/>
      </w:r>
    </w:p>
    <w:p w14:paraId="3E60520E" w14:textId="77777777" w:rsidR="009D12AF" w:rsidRDefault="00000000">
      <w:pPr>
        <w:widowControl/>
        <w:ind w:firstLine="482"/>
        <w:jc w:val="center"/>
        <w:rPr>
          <w:rFonts w:ascii="Times New Roman" w:eastAsia="宋体" w:hAnsi="Times New Roman" w:cs="Times New Roman"/>
          <w:b/>
          <w:bCs/>
          <w:kern w:val="0"/>
        </w:rPr>
      </w:pPr>
      <w:r>
        <w:rPr>
          <w:rFonts w:ascii="Times New Roman" w:eastAsia="宋体" w:hAnsi="Times New Roman" w:cs="Times New Roman"/>
          <w:b/>
          <w:bCs/>
          <w:kern w:val="0"/>
        </w:rPr>
        <w:lastRenderedPageBreak/>
        <w:t>表</w:t>
      </w:r>
      <w:r>
        <w:rPr>
          <w:rFonts w:ascii="Times New Roman" w:eastAsia="宋体" w:hAnsi="Times New Roman" w:cs="Times New Roman" w:hint="eastAsia"/>
          <w:b/>
          <w:bCs/>
          <w:kern w:val="0"/>
        </w:rPr>
        <w:t>4.3-42</w:t>
      </w:r>
      <w:r>
        <w:rPr>
          <w:rFonts w:ascii="Times New Roman" w:eastAsia="宋体" w:hAnsi="Times New Roman" w:cs="Times New Roman"/>
          <w:b/>
          <w:bCs/>
          <w:kern w:val="0"/>
        </w:rPr>
        <w:t xml:space="preserve">    </w:t>
      </w:r>
      <w:r>
        <w:rPr>
          <w:rFonts w:ascii="Times New Roman" w:eastAsia="宋体" w:hAnsi="Times New Roman" w:cs="Times New Roman" w:hint="eastAsia"/>
          <w:b/>
          <w:bCs/>
          <w:kern w:val="0"/>
        </w:rPr>
        <w:t>陆生</w:t>
      </w:r>
      <w:r>
        <w:rPr>
          <w:rFonts w:ascii="宋体" w:eastAsia="宋体" w:hAnsi="宋体" w:cs="宋体" w:hint="eastAsia"/>
          <w:b/>
          <w:bCs/>
          <w:kern w:val="0"/>
        </w:rPr>
        <w:t>生态调查</w:t>
      </w:r>
      <w:r>
        <w:rPr>
          <w:rFonts w:ascii="宋体" w:eastAsia="宋体" w:hAnsi="宋体" w:cs="宋体"/>
          <w:b/>
          <w:bCs/>
          <w:kern w:val="0"/>
        </w:rPr>
        <w:t>动物样线分布表</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150"/>
        <w:gridCol w:w="665"/>
        <w:gridCol w:w="1328"/>
        <w:gridCol w:w="2289"/>
        <w:gridCol w:w="2145"/>
        <w:gridCol w:w="2389"/>
        <w:gridCol w:w="1859"/>
        <w:gridCol w:w="1220"/>
        <w:gridCol w:w="1123"/>
      </w:tblGrid>
      <w:tr w:rsidR="009D12AF" w14:paraId="0EE29A02" w14:textId="77777777">
        <w:trPr>
          <w:trHeight w:val="330"/>
          <w:tblHeader/>
          <w:jc w:val="center"/>
        </w:trPr>
        <w:tc>
          <w:tcPr>
            <w:tcW w:w="409" w:type="pct"/>
            <w:tcBorders>
              <w:tl2br w:val="nil"/>
              <w:tr2bl w:val="nil"/>
            </w:tcBorders>
            <w:vAlign w:val="center"/>
          </w:tcPr>
          <w:p w14:paraId="1038C88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生境</w:t>
            </w:r>
            <w:r>
              <w:rPr>
                <w:rFonts w:ascii="Times New Roman" w:eastAsia="宋体" w:hAnsi="Times New Roman" w:cs="Times New Roman" w:hint="eastAsia"/>
                <w:kern w:val="0"/>
                <w:sz w:val="21"/>
                <w:szCs w:val="21"/>
              </w:rPr>
              <w:t>类型</w:t>
            </w:r>
          </w:p>
        </w:tc>
        <w:tc>
          <w:tcPr>
            <w:tcW w:w="238" w:type="pct"/>
            <w:tcBorders>
              <w:tl2br w:val="nil"/>
              <w:tr2bl w:val="nil"/>
            </w:tcBorders>
            <w:vAlign w:val="center"/>
          </w:tcPr>
          <w:p w14:paraId="6D722DB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序号</w:t>
            </w:r>
          </w:p>
        </w:tc>
        <w:tc>
          <w:tcPr>
            <w:tcW w:w="472" w:type="pct"/>
            <w:tcBorders>
              <w:tl2br w:val="nil"/>
              <w:tr2bl w:val="nil"/>
            </w:tcBorders>
            <w:vAlign w:val="center"/>
          </w:tcPr>
          <w:p w14:paraId="5050F90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名称</w:t>
            </w:r>
          </w:p>
        </w:tc>
        <w:tc>
          <w:tcPr>
            <w:tcW w:w="1571" w:type="pct"/>
            <w:gridSpan w:val="2"/>
            <w:tcBorders>
              <w:tl2br w:val="nil"/>
              <w:tr2bl w:val="nil"/>
            </w:tcBorders>
            <w:noWrap/>
            <w:vAlign w:val="center"/>
          </w:tcPr>
          <w:p w14:paraId="4D6DA3A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起点</w:t>
            </w:r>
          </w:p>
        </w:tc>
        <w:tc>
          <w:tcPr>
            <w:tcW w:w="1505" w:type="pct"/>
            <w:gridSpan w:val="2"/>
            <w:tcBorders>
              <w:tl2br w:val="nil"/>
              <w:tr2bl w:val="nil"/>
            </w:tcBorders>
            <w:noWrap/>
            <w:vAlign w:val="center"/>
          </w:tcPr>
          <w:p w14:paraId="022C4D6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终点</w:t>
            </w:r>
          </w:p>
        </w:tc>
        <w:tc>
          <w:tcPr>
            <w:tcW w:w="404" w:type="pct"/>
            <w:tcBorders>
              <w:tl2br w:val="nil"/>
              <w:tr2bl w:val="nil"/>
            </w:tcBorders>
            <w:noWrap/>
            <w:vAlign w:val="center"/>
          </w:tcPr>
          <w:p w14:paraId="78A16AE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长度（</w:t>
            </w:r>
            <w:r>
              <w:rPr>
                <w:rFonts w:ascii="Times New Roman" w:eastAsia="宋体" w:hAnsi="Times New Roman" w:cs="Times New Roman"/>
                <w:kern w:val="0"/>
                <w:sz w:val="21"/>
                <w:szCs w:val="21"/>
              </w:rPr>
              <w:t>m</w:t>
            </w:r>
            <w:r>
              <w:rPr>
                <w:rFonts w:ascii="Times New Roman" w:eastAsia="宋体" w:hAnsi="Times New Roman" w:cs="Times New Roman"/>
                <w:kern w:val="0"/>
                <w:sz w:val="21"/>
                <w:szCs w:val="21"/>
              </w:rPr>
              <w:t>）</w:t>
            </w:r>
          </w:p>
        </w:tc>
        <w:tc>
          <w:tcPr>
            <w:tcW w:w="399" w:type="pct"/>
            <w:tcBorders>
              <w:tl2br w:val="nil"/>
              <w:tr2bl w:val="nil"/>
            </w:tcBorders>
            <w:vAlign w:val="center"/>
          </w:tcPr>
          <w:p w14:paraId="638F635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海拔（</w:t>
            </w:r>
            <w:r>
              <w:rPr>
                <w:rFonts w:ascii="Times New Roman" w:eastAsia="宋体" w:hAnsi="Times New Roman" w:cs="Times New Roman"/>
                <w:kern w:val="0"/>
                <w:sz w:val="21"/>
                <w:szCs w:val="21"/>
              </w:rPr>
              <w:t>m</w:t>
            </w:r>
            <w:r>
              <w:rPr>
                <w:rFonts w:ascii="Times New Roman" w:eastAsia="宋体" w:hAnsi="Times New Roman" w:cs="Times New Roman"/>
                <w:kern w:val="0"/>
                <w:sz w:val="21"/>
                <w:szCs w:val="21"/>
              </w:rPr>
              <w:t>）</w:t>
            </w:r>
          </w:p>
        </w:tc>
      </w:tr>
      <w:tr w:rsidR="009D12AF" w14:paraId="4AC28F72" w14:textId="77777777">
        <w:trPr>
          <w:trHeight w:val="330"/>
          <w:jc w:val="center"/>
        </w:trPr>
        <w:tc>
          <w:tcPr>
            <w:tcW w:w="409" w:type="pct"/>
            <w:vMerge w:val="restart"/>
            <w:tcBorders>
              <w:tl2br w:val="nil"/>
              <w:tr2bl w:val="nil"/>
            </w:tcBorders>
            <w:vAlign w:val="center"/>
          </w:tcPr>
          <w:p w14:paraId="263B084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乔木林</w:t>
            </w:r>
          </w:p>
        </w:tc>
        <w:tc>
          <w:tcPr>
            <w:tcW w:w="238" w:type="pct"/>
            <w:tcBorders>
              <w:tl2br w:val="nil"/>
              <w:tr2bl w:val="nil"/>
            </w:tcBorders>
            <w:vAlign w:val="center"/>
          </w:tcPr>
          <w:p w14:paraId="41BA806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w:t>
            </w:r>
          </w:p>
        </w:tc>
        <w:tc>
          <w:tcPr>
            <w:tcW w:w="472" w:type="pct"/>
            <w:tcBorders>
              <w:tl2br w:val="nil"/>
              <w:tr2bl w:val="nil"/>
            </w:tcBorders>
            <w:vAlign w:val="center"/>
          </w:tcPr>
          <w:p w14:paraId="2ADD217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鸟</w:t>
            </w:r>
            <w:r>
              <w:rPr>
                <w:rFonts w:ascii="Times New Roman" w:eastAsia="宋体" w:hAnsi="Times New Roman" w:cs="Times New Roman" w:hint="eastAsia"/>
                <w:kern w:val="0"/>
                <w:sz w:val="21"/>
                <w:szCs w:val="21"/>
              </w:rPr>
              <w:t>1</w:t>
            </w:r>
          </w:p>
        </w:tc>
        <w:tc>
          <w:tcPr>
            <w:tcW w:w="811" w:type="pct"/>
            <w:tcBorders>
              <w:tl2br w:val="nil"/>
              <w:tr2bl w:val="nil"/>
            </w:tcBorders>
            <w:noWrap/>
            <w:vAlign w:val="center"/>
          </w:tcPr>
          <w:p w14:paraId="0059027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49.60</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71BF250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46.13</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4CFB788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48.98</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664C6B5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7.04</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1CBF230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647</w:t>
            </w:r>
          </w:p>
        </w:tc>
        <w:tc>
          <w:tcPr>
            <w:tcW w:w="399" w:type="pct"/>
            <w:tcBorders>
              <w:tl2br w:val="nil"/>
              <w:tr2bl w:val="nil"/>
            </w:tcBorders>
            <w:vAlign w:val="center"/>
          </w:tcPr>
          <w:p w14:paraId="6BAF9A6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263-292</w:t>
            </w:r>
          </w:p>
        </w:tc>
      </w:tr>
      <w:tr w:rsidR="009D12AF" w14:paraId="59065CEE" w14:textId="77777777">
        <w:trPr>
          <w:trHeight w:val="330"/>
          <w:jc w:val="center"/>
        </w:trPr>
        <w:tc>
          <w:tcPr>
            <w:tcW w:w="409" w:type="pct"/>
            <w:vMerge/>
            <w:tcBorders>
              <w:tl2br w:val="nil"/>
              <w:tr2bl w:val="nil"/>
            </w:tcBorders>
            <w:vAlign w:val="center"/>
          </w:tcPr>
          <w:p w14:paraId="2505ED58"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6F6F162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w:t>
            </w:r>
          </w:p>
        </w:tc>
        <w:tc>
          <w:tcPr>
            <w:tcW w:w="472" w:type="pct"/>
            <w:tcBorders>
              <w:tl2br w:val="nil"/>
              <w:tr2bl w:val="nil"/>
            </w:tcBorders>
            <w:vAlign w:val="center"/>
          </w:tcPr>
          <w:p w14:paraId="13B166B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鸟</w:t>
            </w:r>
            <w:r>
              <w:rPr>
                <w:rFonts w:ascii="Times New Roman" w:eastAsia="宋体" w:hAnsi="Times New Roman" w:cs="Times New Roman" w:hint="eastAsia"/>
                <w:kern w:val="0"/>
                <w:sz w:val="21"/>
                <w:szCs w:val="21"/>
              </w:rPr>
              <w:t>2</w:t>
            </w:r>
          </w:p>
        </w:tc>
        <w:tc>
          <w:tcPr>
            <w:tcW w:w="811" w:type="pct"/>
            <w:tcBorders>
              <w:tl2br w:val="nil"/>
              <w:tr2bl w:val="nil"/>
            </w:tcBorders>
            <w:noWrap/>
            <w:vAlign w:val="center"/>
          </w:tcPr>
          <w:p w14:paraId="17BECCF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40</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6.90</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0DC98F4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20.72</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08893F3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40</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8.60</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144B57A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35.49</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296E9BB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462</w:t>
            </w:r>
          </w:p>
        </w:tc>
        <w:tc>
          <w:tcPr>
            <w:tcW w:w="399" w:type="pct"/>
            <w:tcBorders>
              <w:tl2br w:val="nil"/>
              <w:tr2bl w:val="nil"/>
            </w:tcBorders>
            <w:vAlign w:val="center"/>
          </w:tcPr>
          <w:p w14:paraId="1359044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314-364</w:t>
            </w:r>
          </w:p>
        </w:tc>
      </w:tr>
      <w:tr w:rsidR="009D12AF" w14:paraId="642D778E" w14:textId="77777777">
        <w:trPr>
          <w:trHeight w:val="330"/>
          <w:jc w:val="center"/>
        </w:trPr>
        <w:tc>
          <w:tcPr>
            <w:tcW w:w="409" w:type="pct"/>
            <w:vMerge/>
            <w:tcBorders>
              <w:tl2br w:val="nil"/>
              <w:tr2bl w:val="nil"/>
            </w:tcBorders>
            <w:vAlign w:val="center"/>
          </w:tcPr>
          <w:p w14:paraId="6427EC54"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6AA2327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w:t>
            </w:r>
          </w:p>
        </w:tc>
        <w:tc>
          <w:tcPr>
            <w:tcW w:w="472" w:type="pct"/>
            <w:tcBorders>
              <w:tl2br w:val="nil"/>
              <w:tr2bl w:val="nil"/>
            </w:tcBorders>
            <w:vAlign w:val="center"/>
          </w:tcPr>
          <w:p w14:paraId="6B78262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两</w:t>
            </w:r>
            <w:r>
              <w:rPr>
                <w:rFonts w:ascii="Times New Roman" w:eastAsia="宋体" w:hAnsi="Times New Roman" w:cs="Times New Roman"/>
                <w:kern w:val="0"/>
                <w:sz w:val="21"/>
                <w:szCs w:val="21"/>
              </w:rPr>
              <w:t>1</w:t>
            </w:r>
          </w:p>
        </w:tc>
        <w:tc>
          <w:tcPr>
            <w:tcW w:w="811" w:type="pct"/>
            <w:tcBorders>
              <w:tl2br w:val="nil"/>
              <w:tr2bl w:val="nil"/>
            </w:tcBorders>
            <w:noWrap/>
            <w:vAlign w:val="center"/>
          </w:tcPr>
          <w:p w14:paraId="7B5B7A5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38</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16.21</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7F71E21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1.24</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4EFAFE3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38</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29.11</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0DF6916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47.28</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473573C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516</w:t>
            </w:r>
          </w:p>
        </w:tc>
        <w:tc>
          <w:tcPr>
            <w:tcW w:w="399" w:type="pct"/>
            <w:tcBorders>
              <w:tl2br w:val="nil"/>
              <w:tr2bl w:val="nil"/>
            </w:tcBorders>
            <w:vAlign w:val="center"/>
          </w:tcPr>
          <w:p w14:paraId="68A6DB0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279-315</w:t>
            </w:r>
          </w:p>
        </w:tc>
      </w:tr>
      <w:tr w:rsidR="009D12AF" w14:paraId="43545A1B" w14:textId="77777777">
        <w:trPr>
          <w:trHeight w:val="330"/>
          <w:jc w:val="center"/>
        </w:trPr>
        <w:tc>
          <w:tcPr>
            <w:tcW w:w="409" w:type="pct"/>
            <w:vMerge/>
            <w:tcBorders>
              <w:tl2br w:val="nil"/>
              <w:tr2bl w:val="nil"/>
            </w:tcBorders>
            <w:vAlign w:val="center"/>
          </w:tcPr>
          <w:p w14:paraId="3F505E86"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09470FA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4</w:t>
            </w:r>
          </w:p>
        </w:tc>
        <w:tc>
          <w:tcPr>
            <w:tcW w:w="472" w:type="pct"/>
            <w:tcBorders>
              <w:tl2br w:val="nil"/>
              <w:tr2bl w:val="nil"/>
            </w:tcBorders>
            <w:vAlign w:val="center"/>
          </w:tcPr>
          <w:p w14:paraId="06302C6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两</w:t>
            </w:r>
            <w:r>
              <w:rPr>
                <w:rFonts w:ascii="Times New Roman" w:eastAsia="宋体" w:hAnsi="Times New Roman" w:cs="Times New Roman"/>
                <w:kern w:val="0"/>
                <w:sz w:val="21"/>
                <w:szCs w:val="21"/>
              </w:rPr>
              <w:t>2</w:t>
            </w:r>
          </w:p>
        </w:tc>
        <w:tc>
          <w:tcPr>
            <w:tcW w:w="811" w:type="pct"/>
            <w:tcBorders>
              <w:tl2br w:val="nil"/>
              <w:tr2bl w:val="nil"/>
            </w:tcBorders>
            <w:noWrap/>
            <w:vAlign w:val="center"/>
          </w:tcPr>
          <w:p w14:paraId="0123F76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40</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9.91</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5BD72D0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31.14</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68E6E34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40</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12.31</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7CAAAEA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52.76</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3AFC1B6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670</w:t>
            </w:r>
          </w:p>
        </w:tc>
        <w:tc>
          <w:tcPr>
            <w:tcW w:w="399" w:type="pct"/>
            <w:tcBorders>
              <w:tl2br w:val="nil"/>
              <w:tr2bl w:val="nil"/>
            </w:tcBorders>
            <w:vAlign w:val="center"/>
          </w:tcPr>
          <w:p w14:paraId="74B448A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249-292</w:t>
            </w:r>
          </w:p>
        </w:tc>
      </w:tr>
      <w:tr w:rsidR="009D12AF" w14:paraId="7ACBCDD8" w14:textId="77777777">
        <w:trPr>
          <w:trHeight w:val="330"/>
          <w:jc w:val="center"/>
        </w:trPr>
        <w:tc>
          <w:tcPr>
            <w:tcW w:w="409" w:type="pct"/>
            <w:vMerge/>
            <w:tcBorders>
              <w:tl2br w:val="nil"/>
              <w:tr2bl w:val="nil"/>
            </w:tcBorders>
            <w:vAlign w:val="center"/>
          </w:tcPr>
          <w:p w14:paraId="16118811"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399DA7E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5</w:t>
            </w:r>
          </w:p>
        </w:tc>
        <w:tc>
          <w:tcPr>
            <w:tcW w:w="472" w:type="pct"/>
            <w:tcBorders>
              <w:tl2br w:val="nil"/>
              <w:tr2bl w:val="nil"/>
            </w:tcBorders>
            <w:vAlign w:val="center"/>
          </w:tcPr>
          <w:p w14:paraId="703E22F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哺</w:t>
            </w:r>
            <w:r>
              <w:rPr>
                <w:rFonts w:ascii="Times New Roman" w:eastAsia="宋体" w:hAnsi="Times New Roman" w:cs="Times New Roman"/>
                <w:kern w:val="0"/>
                <w:sz w:val="21"/>
                <w:szCs w:val="21"/>
              </w:rPr>
              <w:t>1</w:t>
            </w:r>
          </w:p>
        </w:tc>
        <w:tc>
          <w:tcPr>
            <w:tcW w:w="811" w:type="pct"/>
            <w:tcBorders>
              <w:tl2br w:val="nil"/>
              <w:tr2bl w:val="nil"/>
            </w:tcBorders>
            <w:noWrap/>
            <w:vAlign w:val="center"/>
          </w:tcPr>
          <w:p w14:paraId="1ACFB7A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22.64</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2DC5EA7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56.82</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1CC0E52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23.03</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2F23975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39.15</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0371580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546</w:t>
            </w:r>
          </w:p>
        </w:tc>
        <w:tc>
          <w:tcPr>
            <w:tcW w:w="399" w:type="pct"/>
            <w:tcBorders>
              <w:tl2br w:val="nil"/>
              <w:tr2bl w:val="nil"/>
            </w:tcBorders>
            <w:vAlign w:val="center"/>
          </w:tcPr>
          <w:p w14:paraId="2E4A7DE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271-292</w:t>
            </w:r>
          </w:p>
        </w:tc>
      </w:tr>
      <w:tr w:rsidR="009D12AF" w14:paraId="65B58F98" w14:textId="77777777">
        <w:trPr>
          <w:trHeight w:val="330"/>
          <w:jc w:val="center"/>
        </w:trPr>
        <w:tc>
          <w:tcPr>
            <w:tcW w:w="409" w:type="pct"/>
            <w:vMerge w:val="restart"/>
            <w:tcBorders>
              <w:tl2br w:val="nil"/>
              <w:tr2bl w:val="nil"/>
            </w:tcBorders>
            <w:vAlign w:val="center"/>
          </w:tcPr>
          <w:p w14:paraId="77A4BEA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农田</w:t>
            </w:r>
          </w:p>
        </w:tc>
        <w:tc>
          <w:tcPr>
            <w:tcW w:w="238" w:type="pct"/>
            <w:tcBorders>
              <w:tl2br w:val="nil"/>
              <w:tr2bl w:val="nil"/>
            </w:tcBorders>
            <w:vAlign w:val="center"/>
          </w:tcPr>
          <w:p w14:paraId="06329E6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6</w:t>
            </w:r>
          </w:p>
        </w:tc>
        <w:tc>
          <w:tcPr>
            <w:tcW w:w="472" w:type="pct"/>
            <w:tcBorders>
              <w:tl2br w:val="nil"/>
              <w:tr2bl w:val="nil"/>
            </w:tcBorders>
            <w:vAlign w:val="center"/>
          </w:tcPr>
          <w:p w14:paraId="5EF4976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哺</w:t>
            </w:r>
            <w:r>
              <w:rPr>
                <w:rFonts w:ascii="Times New Roman" w:eastAsia="宋体" w:hAnsi="Times New Roman" w:cs="Times New Roman" w:hint="eastAsia"/>
                <w:kern w:val="0"/>
                <w:sz w:val="21"/>
                <w:szCs w:val="21"/>
              </w:rPr>
              <w:t>2</w:t>
            </w:r>
          </w:p>
        </w:tc>
        <w:tc>
          <w:tcPr>
            <w:tcW w:w="811" w:type="pct"/>
            <w:tcBorders>
              <w:tl2br w:val="nil"/>
              <w:tr2bl w:val="nil"/>
            </w:tcBorders>
            <w:noWrap/>
            <w:vAlign w:val="center"/>
          </w:tcPr>
          <w:p w14:paraId="686077F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37</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58.21</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57E852F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2.50</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06C3CC1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38</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0.91</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20783EB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46.08</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400B594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511</w:t>
            </w:r>
          </w:p>
        </w:tc>
        <w:tc>
          <w:tcPr>
            <w:tcW w:w="399" w:type="pct"/>
            <w:tcBorders>
              <w:tl2br w:val="nil"/>
              <w:tr2bl w:val="nil"/>
            </w:tcBorders>
            <w:vAlign w:val="center"/>
          </w:tcPr>
          <w:p w14:paraId="0E6C243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248-296</w:t>
            </w:r>
          </w:p>
        </w:tc>
      </w:tr>
      <w:tr w:rsidR="009D12AF" w14:paraId="6CD687CB" w14:textId="77777777">
        <w:trPr>
          <w:trHeight w:val="330"/>
          <w:jc w:val="center"/>
        </w:trPr>
        <w:tc>
          <w:tcPr>
            <w:tcW w:w="409" w:type="pct"/>
            <w:vMerge/>
            <w:tcBorders>
              <w:tl2br w:val="nil"/>
              <w:tr2bl w:val="nil"/>
            </w:tcBorders>
            <w:vAlign w:val="center"/>
          </w:tcPr>
          <w:p w14:paraId="0152969C"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586890B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7</w:t>
            </w:r>
          </w:p>
        </w:tc>
        <w:tc>
          <w:tcPr>
            <w:tcW w:w="472" w:type="pct"/>
            <w:tcBorders>
              <w:tl2br w:val="nil"/>
              <w:tr2bl w:val="nil"/>
            </w:tcBorders>
            <w:vAlign w:val="center"/>
          </w:tcPr>
          <w:p w14:paraId="3E84EFE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两</w:t>
            </w:r>
            <w:r>
              <w:rPr>
                <w:rFonts w:ascii="Times New Roman" w:eastAsia="宋体" w:hAnsi="Times New Roman" w:cs="Times New Roman" w:hint="eastAsia"/>
                <w:kern w:val="0"/>
                <w:sz w:val="21"/>
                <w:szCs w:val="21"/>
              </w:rPr>
              <w:t>3</w:t>
            </w:r>
          </w:p>
        </w:tc>
        <w:tc>
          <w:tcPr>
            <w:tcW w:w="811" w:type="pct"/>
            <w:tcBorders>
              <w:tl2br w:val="nil"/>
              <w:tr2bl w:val="nil"/>
            </w:tcBorders>
            <w:noWrap/>
            <w:vAlign w:val="center"/>
          </w:tcPr>
          <w:p w14:paraId="0CF58A4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37</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47.78</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42C59EB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19.05</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326636F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38</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0.87</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165821F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8.08</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4E1CA27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445</w:t>
            </w:r>
          </w:p>
        </w:tc>
        <w:tc>
          <w:tcPr>
            <w:tcW w:w="399" w:type="pct"/>
            <w:tcBorders>
              <w:tl2br w:val="nil"/>
              <w:tr2bl w:val="nil"/>
            </w:tcBorders>
            <w:vAlign w:val="center"/>
          </w:tcPr>
          <w:p w14:paraId="3B920BA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218-223</w:t>
            </w:r>
          </w:p>
        </w:tc>
      </w:tr>
      <w:tr w:rsidR="009D12AF" w14:paraId="595A8DE6" w14:textId="77777777">
        <w:trPr>
          <w:trHeight w:val="330"/>
          <w:jc w:val="center"/>
        </w:trPr>
        <w:tc>
          <w:tcPr>
            <w:tcW w:w="409" w:type="pct"/>
            <w:vMerge/>
            <w:tcBorders>
              <w:tl2br w:val="nil"/>
              <w:tr2bl w:val="nil"/>
            </w:tcBorders>
            <w:vAlign w:val="center"/>
          </w:tcPr>
          <w:p w14:paraId="7D246D6E"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79870A5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8</w:t>
            </w:r>
          </w:p>
        </w:tc>
        <w:tc>
          <w:tcPr>
            <w:tcW w:w="472" w:type="pct"/>
            <w:tcBorders>
              <w:tl2br w:val="nil"/>
              <w:tr2bl w:val="nil"/>
            </w:tcBorders>
            <w:vAlign w:val="center"/>
          </w:tcPr>
          <w:p w14:paraId="4CA5D0A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两</w:t>
            </w:r>
            <w:r>
              <w:rPr>
                <w:rFonts w:ascii="Times New Roman" w:eastAsia="宋体" w:hAnsi="Times New Roman" w:cs="Times New Roman" w:hint="eastAsia"/>
                <w:kern w:val="0"/>
                <w:sz w:val="21"/>
                <w:szCs w:val="21"/>
              </w:rPr>
              <w:t>4</w:t>
            </w:r>
          </w:p>
        </w:tc>
        <w:tc>
          <w:tcPr>
            <w:tcW w:w="811" w:type="pct"/>
            <w:tcBorders>
              <w:tl2br w:val="nil"/>
              <w:tr2bl w:val="nil"/>
            </w:tcBorders>
            <w:noWrap/>
            <w:vAlign w:val="center"/>
          </w:tcPr>
          <w:p w14:paraId="10417C8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43.77</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3B53A1F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30.18</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127A10F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43.67</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6FE8E9E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21.14</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55633D6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289</w:t>
            </w:r>
          </w:p>
        </w:tc>
        <w:tc>
          <w:tcPr>
            <w:tcW w:w="399" w:type="pct"/>
            <w:tcBorders>
              <w:tl2br w:val="nil"/>
              <w:tr2bl w:val="nil"/>
            </w:tcBorders>
            <w:vAlign w:val="center"/>
          </w:tcPr>
          <w:p w14:paraId="5B369E0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232-246</w:t>
            </w:r>
          </w:p>
        </w:tc>
      </w:tr>
      <w:tr w:rsidR="009D12AF" w14:paraId="0A2B150E" w14:textId="77777777">
        <w:trPr>
          <w:trHeight w:val="330"/>
          <w:jc w:val="center"/>
        </w:trPr>
        <w:tc>
          <w:tcPr>
            <w:tcW w:w="409" w:type="pct"/>
            <w:vMerge/>
            <w:tcBorders>
              <w:tl2br w:val="nil"/>
              <w:tr2bl w:val="nil"/>
            </w:tcBorders>
            <w:vAlign w:val="center"/>
          </w:tcPr>
          <w:p w14:paraId="02029257"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37B4C8A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9</w:t>
            </w:r>
          </w:p>
        </w:tc>
        <w:tc>
          <w:tcPr>
            <w:tcW w:w="472" w:type="pct"/>
            <w:tcBorders>
              <w:tl2br w:val="nil"/>
              <w:tr2bl w:val="nil"/>
            </w:tcBorders>
          </w:tcPr>
          <w:p w14:paraId="2D829F9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鸟</w:t>
            </w:r>
            <w:r>
              <w:rPr>
                <w:rFonts w:ascii="Times New Roman" w:eastAsia="宋体" w:hAnsi="Times New Roman" w:cs="Times New Roman" w:hint="eastAsia"/>
                <w:kern w:val="0"/>
                <w:sz w:val="21"/>
                <w:szCs w:val="21"/>
              </w:rPr>
              <w:t>3</w:t>
            </w:r>
          </w:p>
        </w:tc>
        <w:tc>
          <w:tcPr>
            <w:tcW w:w="811" w:type="pct"/>
            <w:tcBorders>
              <w:tl2br w:val="nil"/>
              <w:tr2bl w:val="nil"/>
            </w:tcBorders>
            <w:noWrap/>
            <w:vAlign w:val="center"/>
          </w:tcPr>
          <w:p w14:paraId="0731241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12.06</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0341939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19.07</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05C6F10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23.37</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3C195AB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30.29</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33BAA9D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430</w:t>
            </w:r>
          </w:p>
        </w:tc>
        <w:tc>
          <w:tcPr>
            <w:tcW w:w="399" w:type="pct"/>
            <w:tcBorders>
              <w:tl2br w:val="nil"/>
              <w:tr2bl w:val="nil"/>
            </w:tcBorders>
            <w:vAlign w:val="center"/>
          </w:tcPr>
          <w:p w14:paraId="1B11851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233-238</w:t>
            </w:r>
          </w:p>
        </w:tc>
      </w:tr>
      <w:tr w:rsidR="009D12AF" w14:paraId="47003DED" w14:textId="77777777">
        <w:trPr>
          <w:trHeight w:val="330"/>
          <w:jc w:val="center"/>
        </w:trPr>
        <w:tc>
          <w:tcPr>
            <w:tcW w:w="409" w:type="pct"/>
            <w:vMerge/>
            <w:tcBorders>
              <w:tl2br w:val="nil"/>
              <w:tr2bl w:val="nil"/>
            </w:tcBorders>
            <w:vAlign w:val="center"/>
          </w:tcPr>
          <w:p w14:paraId="31D363D2"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15A94FC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10</w:t>
            </w:r>
          </w:p>
        </w:tc>
        <w:tc>
          <w:tcPr>
            <w:tcW w:w="472" w:type="pct"/>
            <w:tcBorders>
              <w:tl2br w:val="nil"/>
              <w:tr2bl w:val="nil"/>
            </w:tcBorders>
          </w:tcPr>
          <w:p w14:paraId="1B671D2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鸟</w:t>
            </w:r>
            <w:r>
              <w:rPr>
                <w:rFonts w:ascii="Times New Roman" w:eastAsia="宋体" w:hAnsi="Times New Roman" w:cs="Times New Roman" w:hint="eastAsia"/>
                <w:kern w:val="0"/>
                <w:sz w:val="21"/>
                <w:szCs w:val="21"/>
              </w:rPr>
              <w:t>4</w:t>
            </w:r>
          </w:p>
        </w:tc>
        <w:tc>
          <w:tcPr>
            <w:tcW w:w="811" w:type="pct"/>
            <w:tcBorders>
              <w:tl2br w:val="nil"/>
              <w:tr2bl w:val="nil"/>
            </w:tcBorders>
            <w:noWrap/>
            <w:vAlign w:val="center"/>
          </w:tcPr>
          <w:p w14:paraId="5DD6250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42.68</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7B58534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35.62</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0680297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49.56</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7DC4273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50.78</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6921CA3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492</w:t>
            </w:r>
          </w:p>
        </w:tc>
        <w:tc>
          <w:tcPr>
            <w:tcW w:w="399" w:type="pct"/>
            <w:tcBorders>
              <w:tl2br w:val="nil"/>
              <w:tr2bl w:val="nil"/>
            </w:tcBorders>
            <w:vAlign w:val="center"/>
          </w:tcPr>
          <w:p w14:paraId="50577A6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257-281</w:t>
            </w:r>
          </w:p>
        </w:tc>
      </w:tr>
      <w:tr w:rsidR="009D12AF" w14:paraId="7A49F50D" w14:textId="77777777">
        <w:trPr>
          <w:trHeight w:val="330"/>
          <w:jc w:val="center"/>
        </w:trPr>
        <w:tc>
          <w:tcPr>
            <w:tcW w:w="409" w:type="pct"/>
            <w:vMerge w:val="restart"/>
            <w:tcBorders>
              <w:tl2br w:val="nil"/>
              <w:tr2bl w:val="nil"/>
            </w:tcBorders>
            <w:vAlign w:val="center"/>
          </w:tcPr>
          <w:p w14:paraId="6F548BE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沼泽</w:t>
            </w:r>
          </w:p>
        </w:tc>
        <w:tc>
          <w:tcPr>
            <w:tcW w:w="238" w:type="pct"/>
            <w:tcBorders>
              <w:tl2br w:val="nil"/>
              <w:tr2bl w:val="nil"/>
            </w:tcBorders>
            <w:vAlign w:val="center"/>
          </w:tcPr>
          <w:p w14:paraId="19872E5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11</w:t>
            </w:r>
          </w:p>
        </w:tc>
        <w:tc>
          <w:tcPr>
            <w:tcW w:w="472" w:type="pct"/>
            <w:tcBorders>
              <w:tl2br w:val="nil"/>
              <w:tr2bl w:val="nil"/>
            </w:tcBorders>
            <w:vAlign w:val="center"/>
          </w:tcPr>
          <w:p w14:paraId="7208FC1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两</w:t>
            </w:r>
            <w:r>
              <w:rPr>
                <w:rFonts w:ascii="Times New Roman" w:eastAsia="宋体" w:hAnsi="Times New Roman" w:cs="Times New Roman" w:hint="eastAsia"/>
                <w:kern w:val="0"/>
                <w:sz w:val="21"/>
                <w:szCs w:val="21"/>
              </w:rPr>
              <w:t>5</w:t>
            </w:r>
          </w:p>
        </w:tc>
        <w:tc>
          <w:tcPr>
            <w:tcW w:w="811" w:type="pct"/>
            <w:tcBorders>
              <w:tl2br w:val="nil"/>
              <w:tr2bl w:val="nil"/>
            </w:tcBorders>
            <w:noWrap/>
            <w:vAlign w:val="center"/>
          </w:tcPr>
          <w:p w14:paraId="5DBC0BA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5.18</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12188F2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32.21</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533820C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38</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54.98</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2B4D93A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47.25</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5A26846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516</w:t>
            </w:r>
          </w:p>
        </w:tc>
        <w:tc>
          <w:tcPr>
            <w:tcW w:w="399" w:type="pct"/>
            <w:tcBorders>
              <w:tl2br w:val="nil"/>
              <w:tr2bl w:val="nil"/>
            </w:tcBorders>
            <w:vAlign w:val="center"/>
          </w:tcPr>
          <w:p w14:paraId="12B30EC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208-212</w:t>
            </w:r>
          </w:p>
        </w:tc>
      </w:tr>
      <w:tr w:rsidR="009D12AF" w14:paraId="34D47201" w14:textId="77777777">
        <w:trPr>
          <w:trHeight w:val="330"/>
          <w:jc w:val="center"/>
        </w:trPr>
        <w:tc>
          <w:tcPr>
            <w:tcW w:w="409" w:type="pct"/>
            <w:vMerge/>
            <w:tcBorders>
              <w:tl2br w:val="nil"/>
              <w:tr2bl w:val="nil"/>
            </w:tcBorders>
            <w:vAlign w:val="center"/>
          </w:tcPr>
          <w:p w14:paraId="024AE5FE"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0E65F4E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12</w:t>
            </w:r>
          </w:p>
        </w:tc>
        <w:tc>
          <w:tcPr>
            <w:tcW w:w="472" w:type="pct"/>
            <w:tcBorders>
              <w:tl2br w:val="nil"/>
              <w:tr2bl w:val="nil"/>
            </w:tcBorders>
            <w:vAlign w:val="center"/>
          </w:tcPr>
          <w:p w14:paraId="7870FB2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两</w:t>
            </w:r>
            <w:r>
              <w:rPr>
                <w:rFonts w:ascii="Times New Roman" w:eastAsia="宋体" w:hAnsi="Times New Roman" w:cs="Times New Roman" w:hint="eastAsia"/>
                <w:kern w:val="0"/>
                <w:sz w:val="21"/>
                <w:szCs w:val="21"/>
              </w:rPr>
              <w:t>6</w:t>
            </w:r>
          </w:p>
        </w:tc>
        <w:tc>
          <w:tcPr>
            <w:tcW w:w="811" w:type="pct"/>
            <w:tcBorders>
              <w:tl2br w:val="nil"/>
              <w:tr2bl w:val="nil"/>
            </w:tcBorders>
            <w:noWrap/>
            <w:vAlign w:val="center"/>
          </w:tcPr>
          <w:p w14:paraId="2160626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38</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50.27</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09AC1C3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22.85</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2AC2CA5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38</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26.94</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0DDA129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26.95</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020855F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526</w:t>
            </w:r>
          </w:p>
        </w:tc>
        <w:tc>
          <w:tcPr>
            <w:tcW w:w="399" w:type="pct"/>
            <w:tcBorders>
              <w:tl2br w:val="nil"/>
              <w:tr2bl w:val="nil"/>
            </w:tcBorders>
            <w:vAlign w:val="center"/>
          </w:tcPr>
          <w:p w14:paraId="14D7C60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210-213</w:t>
            </w:r>
          </w:p>
        </w:tc>
      </w:tr>
      <w:tr w:rsidR="009D12AF" w14:paraId="2B3E7233" w14:textId="77777777">
        <w:trPr>
          <w:trHeight w:val="330"/>
          <w:jc w:val="center"/>
        </w:trPr>
        <w:tc>
          <w:tcPr>
            <w:tcW w:w="409" w:type="pct"/>
            <w:vMerge/>
            <w:tcBorders>
              <w:tl2br w:val="nil"/>
              <w:tr2bl w:val="nil"/>
            </w:tcBorders>
            <w:vAlign w:val="center"/>
          </w:tcPr>
          <w:p w14:paraId="55266615"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3D2705A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13</w:t>
            </w:r>
          </w:p>
        </w:tc>
        <w:tc>
          <w:tcPr>
            <w:tcW w:w="472" w:type="pct"/>
            <w:tcBorders>
              <w:tl2br w:val="nil"/>
              <w:tr2bl w:val="nil"/>
            </w:tcBorders>
          </w:tcPr>
          <w:p w14:paraId="1D1193B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鸟</w:t>
            </w:r>
            <w:r>
              <w:rPr>
                <w:rFonts w:ascii="Times New Roman" w:eastAsia="宋体" w:hAnsi="Times New Roman" w:cs="Times New Roman" w:hint="eastAsia"/>
                <w:kern w:val="0"/>
                <w:sz w:val="21"/>
                <w:szCs w:val="21"/>
              </w:rPr>
              <w:t>5</w:t>
            </w:r>
          </w:p>
        </w:tc>
        <w:tc>
          <w:tcPr>
            <w:tcW w:w="811" w:type="pct"/>
            <w:tcBorders>
              <w:tl2br w:val="nil"/>
              <w:tr2bl w:val="nil"/>
            </w:tcBorders>
            <w:noWrap/>
            <w:vAlign w:val="center"/>
          </w:tcPr>
          <w:p w14:paraId="465CB37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37</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56.43</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6D5DA9D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26.35</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3D4A174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38</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8.48</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5E6C5EE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16.45</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7E81A8C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404</w:t>
            </w:r>
          </w:p>
        </w:tc>
        <w:tc>
          <w:tcPr>
            <w:tcW w:w="399" w:type="pct"/>
            <w:tcBorders>
              <w:tl2br w:val="nil"/>
              <w:tr2bl w:val="nil"/>
            </w:tcBorders>
            <w:vAlign w:val="center"/>
          </w:tcPr>
          <w:p w14:paraId="4F347A2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209-212</w:t>
            </w:r>
          </w:p>
        </w:tc>
      </w:tr>
      <w:tr w:rsidR="009D12AF" w14:paraId="3D273FB5" w14:textId="77777777">
        <w:trPr>
          <w:trHeight w:val="330"/>
          <w:jc w:val="center"/>
        </w:trPr>
        <w:tc>
          <w:tcPr>
            <w:tcW w:w="409" w:type="pct"/>
            <w:vMerge/>
            <w:tcBorders>
              <w:tl2br w:val="nil"/>
              <w:tr2bl w:val="nil"/>
            </w:tcBorders>
            <w:vAlign w:val="center"/>
          </w:tcPr>
          <w:p w14:paraId="15AFCE12"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14813D3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14</w:t>
            </w:r>
          </w:p>
        </w:tc>
        <w:tc>
          <w:tcPr>
            <w:tcW w:w="472" w:type="pct"/>
            <w:tcBorders>
              <w:tl2br w:val="nil"/>
              <w:tr2bl w:val="nil"/>
            </w:tcBorders>
          </w:tcPr>
          <w:p w14:paraId="3D16350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鸟</w:t>
            </w:r>
            <w:r>
              <w:rPr>
                <w:rFonts w:ascii="Times New Roman" w:eastAsia="宋体" w:hAnsi="Times New Roman" w:cs="Times New Roman" w:hint="eastAsia"/>
                <w:kern w:val="0"/>
                <w:sz w:val="21"/>
                <w:szCs w:val="21"/>
              </w:rPr>
              <w:t>6</w:t>
            </w:r>
          </w:p>
        </w:tc>
        <w:tc>
          <w:tcPr>
            <w:tcW w:w="811" w:type="pct"/>
            <w:tcBorders>
              <w:tl2br w:val="nil"/>
              <w:tr2bl w:val="nil"/>
            </w:tcBorders>
            <w:noWrap/>
            <w:vAlign w:val="center"/>
          </w:tcPr>
          <w:p w14:paraId="17FE3E4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38</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49.27</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0FA78AE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56.76</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29895FD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2.57</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162FA33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54.15</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3C95271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302</w:t>
            </w:r>
          </w:p>
        </w:tc>
        <w:tc>
          <w:tcPr>
            <w:tcW w:w="399" w:type="pct"/>
            <w:tcBorders>
              <w:tl2br w:val="nil"/>
              <w:tr2bl w:val="nil"/>
            </w:tcBorders>
            <w:vAlign w:val="center"/>
          </w:tcPr>
          <w:p w14:paraId="410A248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233-250</w:t>
            </w:r>
          </w:p>
        </w:tc>
      </w:tr>
      <w:tr w:rsidR="009D12AF" w14:paraId="5CEB7A4A" w14:textId="77777777">
        <w:trPr>
          <w:trHeight w:val="330"/>
          <w:jc w:val="center"/>
        </w:trPr>
        <w:tc>
          <w:tcPr>
            <w:tcW w:w="409" w:type="pct"/>
            <w:vMerge/>
            <w:tcBorders>
              <w:tl2br w:val="nil"/>
              <w:tr2bl w:val="nil"/>
            </w:tcBorders>
            <w:vAlign w:val="center"/>
          </w:tcPr>
          <w:p w14:paraId="25C3CA3D"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6332449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15</w:t>
            </w:r>
          </w:p>
        </w:tc>
        <w:tc>
          <w:tcPr>
            <w:tcW w:w="472" w:type="pct"/>
            <w:tcBorders>
              <w:tl2br w:val="nil"/>
              <w:tr2bl w:val="nil"/>
            </w:tcBorders>
          </w:tcPr>
          <w:p w14:paraId="1A7DA10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鸟</w:t>
            </w:r>
            <w:r>
              <w:rPr>
                <w:rFonts w:ascii="Times New Roman" w:eastAsia="宋体" w:hAnsi="Times New Roman" w:cs="Times New Roman" w:hint="eastAsia"/>
                <w:kern w:val="0"/>
                <w:sz w:val="21"/>
                <w:szCs w:val="21"/>
              </w:rPr>
              <w:t>7</w:t>
            </w:r>
          </w:p>
        </w:tc>
        <w:tc>
          <w:tcPr>
            <w:tcW w:w="811" w:type="pct"/>
            <w:tcBorders>
              <w:tl2br w:val="nil"/>
              <w:tr2bl w:val="nil"/>
            </w:tcBorders>
            <w:noWrap/>
            <w:vAlign w:val="center"/>
          </w:tcPr>
          <w:p w14:paraId="609688E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8.23</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0A0E716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31.74</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6720C5A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38</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54.60</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6F4B2D3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22.41</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3213AFB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415</w:t>
            </w:r>
          </w:p>
        </w:tc>
        <w:tc>
          <w:tcPr>
            <w:tcW w:w="399" w:type="pct"/>
            <w:tcBorders>
              <w:tl2br w:val="nil"/>
              <w:tr2bl w:val="nil"/>
            </w:tcBorders>
            <w:vAlign w:val="center"/>
          </w:tcPr>
          <w:p w14:paraId="3848D3A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208-210</w:t>
            </w:r>
          </w:p>
        </w:tc>
      </w:tr>
      <w:tr w:rsidR="009D12AF" w14:paraId="371BC227" w14:textId="77777777">
        <w:trPr>
          <w:trHeight w:val="330"/>
          <w:jc w:val="center"/>
        </w:trPr>
        <w:tc>
          <w:tcPr>
            <w:tcW w:w="409" w:type="pct"/>
            <w:vMerge w:val="restart"/>
            <w:tcBorders>
              <w:tl2br w:val="nil"/>
              <w:tr2bl w:val="nil"/>
            </w:tcBorders>
            <w:vAlign w:val="center"/>
          </w:tcPr>
          <w:p w14:paraId="50BF489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内陆水体</w:t>
            </w:r>
          </w:p>
        </w:tc>
        <w:tc>
          <w:tcPr>
            <w:tcW w:w="238" w:type="pct"/>
            <w:tcBorders>
              <w:tl2br w:val="nil"/>
              <w:tr2bl w:val="nil"/>
            </w:tcBorders>
            <w:vAlign w:val="center"/>
          </w:tcPr>
          <w:p w14:paraId="554FBAC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16</w:t>
            </w:r>
          </w:p>
        </w:tc>
        <w:tc>
          <w:tcPr>
            <w:tcW w:w="472" w:type="pct"/>
            <w:tcBorders>
              <w:tl2br w:val="nil"/>
              <w:tr2bl w:val="nil"/>
            </w:tcBorders>
          </w:tcPr>
          <w:p w14:paraId="6EBDC89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鸟</w:t>
            </w:r>
            <w:r>
              <w:rPr>
                <w:rFonts w:ascii="Times New Roman" w:eastAsia="宋体" w:hAnsi="Times New Roman" w:cs="Times New Roman" w:hint="eastAsia"/>
                <w:kern w:val="0"/>
                <w:sz w:val="21"/>
                <w:szCs w:val="21"/>
              </w:rPr>
              <w:t>8</w:t>
            </w:r>
          </w:p>
        </w:tc>
        <w:tc>
          <w:tcPr>
            <w:tcW w:w="811" w:type="pct"/>
            <w:tcBorders>
              <w:tl2br w:val="nil"/>
              <w:tr2bl w:val="nil"/>
            </w:tcBorders>
            <w:noWrap/>
            <w:vAlign w:val="center"/>
          </w:tcPr>
          <w:p w14:paraId="01C5810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14.03</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10F3D5A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52.20</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7558B8B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20.24</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67B3532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32.67</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6589864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619</w:t>
            </w:r>
          </w:p>
        </w:tc>
        <w:tc>
          <w:tcPr>
            <w:tcW w:w="399" w:type="pct"/>
            <w:tcBorders>
              <w:tl2br w:val="nil"/>
              <w:tr2bl w:val="nil"/>
            </w:tcBorders>
            <w:vAlign w:val="center"/>
          </w:tcPr>
          <w:p w14:paraId="67F1822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212-232</w:t>
            </w:r>
          </w:p>
        </w:tc>
      </w:tr>
      <w:tr w:rsidR="009D12AF" w14:paraId="37268915" w14:textId="77777777">
        <w:trPr>
          <w:trHeight w:val="330"/>
          <w:jc w:val="center"/>
        </w:trPr>
        <w:tc>
          <w:tcPr>
            <w:tcW w:w="409" w:type="pct"/>
            <w:vMerge/>
            <w:tcBorders>
              <w:tl2br w:val="nil"/>
              <w:tr2bl w:val="nil"/>
            </w:tcBorders>
            <w:vAlign w:val="center"/>
          </w:tcPr>
          <w:p w14:paraId="3EF428C9"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37CD7FF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17</w:t>
            </w:r>
          </w:p>
        </w:tc>
        <w:tc>
          <w:tcPr>
            <w:tcW w:w="472" w:type="pct"/>
            <w:tcBorders>
              <w:tl2br w:val="nil"/>
              <w:tr2bl w:val="nil"/>
            </w:tcBorders>
          </w:tcPr>
          <w:p w14:paraId="61B2CB2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鸟</w:t>
            </w:r>
            <w:r>
              <w:rPr>
                <w:rFonts w:ascii="Times New Roman" w:eastAsia="宋体" w:hAnsi="Times New Roman" w:cs="Times New Roman" w:hint="eastAsia"/>
                <w:kern w:val="0"/>
                <w:sz w:val="21"/>
                <w:szCs w:val="21"/>
              </w:rPr>
              <w:t>9</w:t>
            </w:r>
          </w:p>
        </w:tc>
        <w:tc>
          <w:tcPr>
            <w:tcW w:w="811" w:type="pct"/>
            <w:tcBorders>
              <w:tl2br w:val="nil"/>
              <w:tr2bl w:val="nil"/>
            </w:tcBorders>
            <w:noWrap/>
            <w:vAlign w:val="center"/>
          </w:tcPr>
          <w:p w14:paraId="23282EE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38</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36.83</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579CDD7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19.59</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37E8EDE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38</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11.53</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7DFAADC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30.21</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14EA5BE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644</w:t>
            </w:r>
          </w:p>
        </w:tc>
        <w:tc>
          <w:tcPr>
            <w:tcW w:w="399" w:type="pct"/>
            <w:tcBorders>
              <w:tl2br w:val="nil"/>
              <w:tr2bl w:val="nil"/>
            </w:tcBorders>
            <w:vAlign w:val="center"/>
          </w:tcPr>
          <w:p w14:paraId="7DD3887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210-214</w:t>
            </w:r>
          </w:p>
        </w:tc>
      </w:tr>
      <w:tr w:rsidR="009D12AF" w14:paraId="04172428" w14:textId="77777777">
        <w:trPr>
          <w:trHeight w:val="330"/>
          <w:jc w:val="center"/>
        </w:trPr>
        <w:tc>
          <w:tcPr>
            <w:tcW w:w="409" w:type="pct"/>
            <w:vMerge/>
            <w:tcBorders>
              <w:tl2br w:val="nil"/>
              <w:tr2bl w:val="nil"/>
            </w:tcBorders>
            <w:vAlign w:val="center"/>
          </w:tcPr>
          <w:p w14:paraId="5C65B448"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44C21D3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18</w:t>
            </w:r>
          </w:p>
        </w:tc>
        <w:tc>
          <w:tcPr>
            <w:tcW w:w="472" w:type="pct"/>
            <w:tcBorders>
              <w:tl2br w:val="nil"/>
              <w:tr2bl w:val="nil"/>
            </w:tcBorders>
          </w:tcPr>
          <w:p w14:paraId="65E70EB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鸟</w:t>
            </w:r>
            <w:r>
              <w:rPr>
                <w:rFonts w:ascii="Times New Roman" w:eastAsia="宋体" w:hAnsi="Times New Roman" w:cs="Times New Roman" w:hint="eastAsia"/>
                <w:kern w:val="0"/>
                <w:sz w:val="21"/>
                <w:szCs w:val="21"/>
              </w:rPr>
              <w:t>10</w:t>
            </w:r>
          </w:p>
        </w:tc>
        <w:tc>
          <w:tcPr>
            <w:tcW w:w="811" w:type="pct"/>
            <w:tcBorders>
              <w:tl2br w:val="nil"/>
              <w:tr2bl w:val="nil"/>
            </w:tcBorders>
            <w:noWrap/>
            <w:vAlign w:val="center"/>
          </w:tcPr>
          <w:p w14:paraId="6C2C262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37</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55.74</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74C044F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16.75</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0F22846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38</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19.68</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3A3D768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5.89</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62F9B59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623</w:t>
            </w:r>
          </w:p>
        </w:tc>
        <w:tc>
          <w:tcPr>
            <w:tcW w:w="399" w:type="pct"/>
            <w:tcBorders>
              <w:tl2br w:val="nil"/>
              <w:tr2bl w:val="nil"/>
            </w:tcBorders>
            <w:vAlign w:val="center"/>
          </w:tcPr>
          <w:p w14:paraId="20B969A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211-214</w:t>
            </w:r>
          </w:p>
        </w:tc>
      </w:tr>
      <w:tr w:rsidR="009D12AF" w14:paraId="42754E51" w14:textId="77777777">
        <w:trPr>
          <w:trHeight w:val="330"/>
          <w:jc w:val="center"/>
        </w:trPr>
        <w:tc>
          <w:tcPr>
            <w:tcW w:w="409" w:type="pct"/>
            <w:vMerge/>
            <w:tcBorders>
              <w:tl2br w:val="nil"/>
              <w:tr2bl w:val="nil"/>
            </w:tcBorders>
            <w:vAlign w:val="center"/>
          </w:tcPr>
          <w:p w14:paraId="06D2C902"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5F76073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19</w:t>
            </w:r>
          </w:p>
        </w:tc>
        <w:tc>
          <w:tcPr>
            <w:tcW w:w="472" w:type="pct"/>
            <w:tcBorders>
              <w:tl2br w:val="nil"/>
              <w:tr2bl w:val="nil"/>
            </w:tcBorders>
            <w:vAlign w:val="center"/>
          </w:tcPr>
          <w:p w14:paraId="4E000A1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两</w:t>
            </w:r>
            <w:r>
              <w:rPr>
                <w:rFonts w:ascii="Times New Roman" w:eastAsia="宋体" w:hAnsi="Times New Roman" w:cs="Times New Roman" w:hint="eastAsia"/>
                <w:kern w:val="0"/>
                <w:sz w:val="21"/>
                <w:szCs w:val="21"/>
              </w:rPr>
              <w:t>7</w:t>
            </w:r>
          </w:p>
        </w:tc>
        <w:tc>
          <w:tcPr>
            <w:tcW w:w="811" w:type="pct"/>
            <w:tcBorders>
              <w:tl2br w:val="nil"/>
              <w:tr2bl w:val="nil"/>
            </w:tcBorders>
            <w:noWrap/>
            <w:vAlign w:val="center"/>
          </w:tcPr>
          <w:p w14:paraId="728F31B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23.91</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7A746B1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57.74</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5F3D313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22.87</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4994E49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42.99</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7011584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457</w:t>
            </w:r>
          </w:p>
        </w:tc>
        <w:tc>
          <w:tcPr>
            <w:tcW w:w="399" w:type="pct"/>
            <w:tcBorders>
              <w:tl2br w:val="nil"/>
              <w:tr2bl w:val="nil"/>
            </w:tcBorders>
            <w:vAlign w:val="center"/>
          </w:tcPr>
          <w:p w14:paraId="64739DB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209-212</w:t>
            </w:r>
          </w:p>
        </w:tc>
      </w:tr>
      <w:tr w:rsidR="009D12AF" w14:paraId="6C766E9B" w14:textId="77777777">
        <w:trPr>
          <w:trHeight w:val="330"/>
          <w:jc w:val="center"/>
        </w:trPr>
        <w:tc>
          <w:tcPr>
            <w:tcW w:w="409" w:type="pct"/>
            <w:vMerge/>
            <w:tcBorders>
              <w:tl2br w:val="nil"/>
              <w:tr2bl w:val="nil"/>
            </w:tcBorders>
            <w:vAlign w:val="center"/>
          </w:tcPr>
          <w:p w14:paraId="294A4A0D"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2207994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20</w:t>
            </w:r>
          </w:p>
        </w:tc>
        <w:tc>
          <w:tcPr>
            <w:tcW w:w="472" w:type="pct"/>
            <w:tcBorders>
              <w:tl2br w:val="nil"/>
              <w:tr2bl w:val="nil"/>
            </w:tcBorders>
            <w:vAlign w:val="center"/>
          </w:tcPr>
          <w:p w14:paraId="189040B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两</w:t>
            </w:r>
            <w:r>
              <w:rPr>
                <w:rFonts w:ascii="Times New Roman" w:eastAsia="宋体" w:hAnsi="Times New Roman" w:cs="Times New Roman" w:hint="eastAsia"/>
                <w:kern w:val="0"/>
                <w:sz w:val="21"/>
                <w:szCs w:val="21"/>
              </w:rPr>
              <w:t>8</w:t>
            </w:r>
          </w:p>
        </w:tc>
        <w:tc>
          <w:tcPr>
            <w:tcW w:w="811" w:type="pct"/>
            <w:tcBorders>
              <w:tl2br w:val="nil"/>
              <w:tr2bl w:val="nil"/>
            </w:tcBorders>
            <w:noWrap/>
            <w:vAlign w:val="center"/>
          </w:tcPr>
          <w:p w14:paraId="710F72F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39.44</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78BB2AD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23.89</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3F66D57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42.11</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671816F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6.93</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2235C85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528</w:t>
            </w:r>
          </w:p>
        </w:tc>
        <w:tc>
          <w:tcPr>
            <w:tcW w:w="399" w:type="pct"/>
            <w:tcBorders>
              <w:tl2br w:val="nil"/>
              <w:tr2bl w:val="nil"/>
            </w:tcBorders>
            <w:vAlign w:val="center"/>
          </w:tcPr>
          <w:p w14:paraId="045282F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213-214</w:t>
            </w:r>
          </w:p>
        </w:tc>
      </w:tr>
      <w:tr w:rsidR="009D12AF" w14:paraId="02C4ED21" w14:textId="77777777">
        <w:trPr>
          <w:trHeight w:val="330"/>
          <w:jc w:val="center"/>
        </w:trPr>
        <w:tc>
          <w:tcPr>
            <w:tcW w:w="409" w:type="pct"/>
            <w:vMerge w:val="restart"/>
            <w:tcBorders>
              <w:tl2br w:val="nil"/>
              <w:tr2bl w:val="nil"/>
            </w:tcBorders>
            <w:vAlign w:val="center"/>
          </w:tcPr>
          <w:p w14:paraId="167E115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居住点</w:t>
            </w:r>
          </w:p>
        </w:tc>
        <w:tc>
          <w:tcPr>
            <w:tcW w:w="238" w:type="pct"/>
            <w:tcBorders>
              <w:tl2br w:val="nil"/>
              <w:tr2bl w:val="nil"/>
            </w:tcBorders>
            <w:vAlign w:val="center"/>
          </w:tcPr>
          <w:p w14:paraId="7D6C192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21</w:t>
            </w:r>
          </w:p>
        </w:tc>
        <w:tc>
          <w:tcPr>
            <w:tcW w:w="472" w:type="pct"/>
            <w:tcBorders>
              <w:tl2br w:val="nil"/>
              <w:tr2bl w:val="nil"/>
            </w:tcBorders>
          </w:tcPr>
          <w:p w14:paraId="370D281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鸟</w:t>
            </w:r>
            <w:r>
              <w:rPr>
                <w:rFonts w:ascii="Times New Roman" w:eastAsia="宋体" w:hAnsi="Times New Roman" w:cs="Times New Roman" w:hint="eastAsia"/>
                <w:kern w:val="0"/>
                <w:sz w:val="21"/>
                <w:szCs w:val="21"/>
              </w:rPr>
              <w:t>11</w:t>
            </w:r>
          </w:p>
        </w:tc>
        <w:tc>
          <w:tcPr>
            <w:tcW w:w="811" w:type="pct"/>
            <w:tcBorders>
              <w:tl2br w:val="nil"/>
              <w:tr2bl w:val="nil"/>
            </w:tcBorders>
            <w:noWrap/>
            <w:vAlign w:val="center"/>
          </w:tcPr>
          <w:p w14:paraId="0EC79BD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7.21</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1AB2B51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37.42</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54DA045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8.64</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4AE5D81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49.39</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6EA0040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371</w:t>
            </w:r>
          </w:p>
        </w:tc>
        <w:tc>
          <w:tcPr>
            <w:tcW w:w="399" w:type="pct"/>
            <w:tcBorders>
              <w:tl2br w:val="nil"/>
              <w:tr2bl w:val="nil"/>
            </w:tcBorders>
            <w:vAlign w:val="center"/>
          </w:tcPr>
          <w:p w14:paraId="0BC795A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232-234</w:t>
            </w:r>
          </w:p>
        </w:tc>
      </w:tr>
      <w:tr w:rsidR="009D12AF" w14:paraId="1CF49721" w14:textId="77777777">
        <w:trPr>
          <w:trHeight w:val="330"/>
          <w:jc w:val="center"/>
        </w:trPr>
        <w:tc>
          <w:tcPr>
            <w:tcW w:w="409" w:type="pct"/>
            <w:vMerge/>
            <w:tcBorders>
              <w:tl2br w:val="nil"/>
              <w:tr2bl w:val="nil"/>
            </w:tcBorders>
            <w:vAlign w:val="center"/>
          </w:tcPr>
          <w:p w14:paraId="57C9CD13"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73CD33A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22</w:t>
            </w:r>
          </w:p>
        </w:tc>
        <w:tc>
          <w:tcPr>
            <w:tcW w:w="472" w:type="pct"/>
            <w:tcBorders>
              <w:tl2br w:val="nil"/>
              <w:tr2bl w:val="nil"/>
            </w:tcBorders>
          </w:tcPr>
          <w:p w14:paraId="2244B2F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鸟</w:t>
            </w:r>
            <w:r>
              <w:rPr>
                <w:rFonts w:ascii="Times New Roman" w:eastAsia="宋体" w:hAnsi="Times New Roman" w:cs="Times New Roman" w:hint="eastAsia"/>
                <w:kern w:val="0"/>
                <w:sz w:val="21"/>
                <w:szCs w:val="21"/>
              </w:rPr>
              <w:t>12</w:t>
            </w:r>
          </w:p>
        </w:tc>
        <w:tc>
          <w:tcPr>
            <w:tcW w:w="811" w:type="pct"/>
            <w:tcBorders>
              <w:tl2br w:val="nil"/>
              <w:tr2bl w:val="nil"/>
            </w:tcBorders>
            <w:noWrap/>
            <w:vAlign w:val="center"/>
          </w:tcPr>
          <w:p w14:paraId="40937BD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14.14</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7502981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37.41</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7F923C1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10.40</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2817468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46.41</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1FFA31C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39</w:t>
            </w:r>
          </w:p>
        </w:tc>
        <w:tc>
          <w:tcPr>
            <w:tcW w:w="399" w:type="pct"/>
            <w:tcBorders>
              <w:tl2br w:val="nil"/>
              <w:tr2bl w:val="nil"/>
            </w:tcBorders>
            <w:vAlign w:val="center"/>
          </w:tcPr>
          <w:p w14:paraId="5C53FBE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225-233</w:t>
            </w:r>
          </w:p>
        </w:tc>
      </w:tr>
      <w:tr w:rsidR="009D12AF" w14:paraId="3B8FEA7F" w14:textId="77777777">
        <w:trPr>
          <w:trHeight w:val="330"/>
          <w:jc w:val="center"/>
        </w:trPr>
        <w:tc>
          <w:tcPr>
            <w:tcW w:w="409" w:type="pct"/>
            <w:vMerge/>
            <w:tcBorders>
              <w:tl2br w:val="nil"/>
              <w:tr2bl w:val="nil"/>
            </w:tcBorders>
            <w:vAlign w:val="center"/>
          </w:tcPr>
          <w:p w14:paraId="6E569345"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0A5CA67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23</w:t>
            </w:r>
          </w:p>
        </w:tc>
        <w:tc>
          <w:tcPr>
            <w:tcW w:w="472" w:type="pct"/>
            <w:tcBorders>
              <w:tl2br w:val="nil"/>
              <w:tr2bl w:val="nil"/>
            </w:tcBorders>
          </w:tcPr>
          <w:p w14:paraId="1F6A17F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哺</w:t>
            </w:r>
            <w:r>
              <w:rPr>
                <w:rFonts w:ascii="Times New Roman" w:eastAsia="宋体" w:hAnsi="Times New Roman" w:cs="Times New Roman" w:hint="eastAsia"/>
                <w:kern w:val="0"/>
                <w:sz w:val="21"/>
                <w:szCs w:val="21"/>
              </w:rPr>
              <w:t>3</w:t>
            </w:r>
          </w:p>
        </w:tc>
        <w:tc>
          <w:tcPr>
            <w:tcW w:w="811" w:type="pct"/>
            <w:tcBorders>
              <w:tl2br w:val="nil"/>
              <w:tr2bl w:val="nil"/>
            </w:tcBorders>
            <w:noWrap/>
            <w:vAlign w:val="center"/>
          </w:tcPr>
          <w:p w14:paraId="442538B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19.05</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62FCA45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36.67</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113A30E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28.90</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0072820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39.98</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43F23EC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440</w:t>
            </w:r>
          </w:p>
        </w:tc>
        <w:tc>
          <w:tcPr>
            <w:tcW w:w="399" w:type="pct"/>
            <w:tcBorders>
              <w:tl2br w:val="nil"/>
              <w:tr2bl w:val="nil"/>
            </w:tcBorders>
            <w:vAlign w:val="center"/>
          </w:tcPr>
          <w:p w14:paraId="3F5F06A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218-219</w:t>
            </w:r>
          </w:p>
        </w:tc>
      </w:tr>
      <w:tr w:rsidR="009D12AF" w14:paraId="352A6E31" w14:textId="77777777">
        <w:trPr>
          <w:trHeight w:val="330"/>
          <w:jc w:val="center"/>
        </w:trPr>
        <w:tc>
          <w:tcPr>
            <w:tcW w:w="409" w:type="pct"/>
            <w:vMerge/>
            <w:tcBorders>
              <w:tl2br w:val="nil"/>
              <w:tr2bl w:val="nil"/>
            </w:tcBorders>
            <w:vAlign w:val="center"/>
          </w:tcPr>
          <w:p w14:paraId="1B23E733"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4B6959E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24</w:t>
            </w:r>
          </w:p>
        </w:tc>
        <w:tc>
          <w:tcPr>
            <w:tcW w:w="472" w:type="pct"/>
            <w:tcBorders>
              <w:tl2br w:val="nil"/>
              <w:tr2bl w:val="nil"/>
            </w:tcBorders>
          </w:tcPr>
          <w:p w14:paraId="23ABE77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哺</w:t>
            </w:r>
            <w:r>
              <w:rPr>
                <w:rFonts w:ascii="Times New Roman" w:eastAsia="宋体" w:hAnsi="Times New Roman" w:cs="Times New Roman" w:hint="eastAsia"/>
                <w:kern w:val="0"/>
                <w:sz w:val="21"/>
                <w:szCs w:val="21"/>
              </w:rPr>
              <w:t>4</w:t>
            </w:r>
          </w:p>
        </w:tc>
        <w:tc>
          <w:tcPr>
            <w:tcW w:w="811" w:type="pct"/>
            <w:tcBorders>
              <w:tl2br w:val="nil"/>
              <w:tr2bl w:val="nil"/>
            </w:tcBorders>
            <w:noWrap/>
            <w:vAlign w:val="center"/>
          </w:tcPr>
          <w:p w14:paraId="14DB783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38</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46.44</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429F30A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32.29</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701AD86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38</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35.37</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50EDB24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30.89</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49DE129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380</w:t>
            </w:r>
          </w:p>
        </w:tc>
        <w:tc>
          <w:tcPr>
            <w:tcW w:w="399" w:type="pct"/>
            <w:tcBorders>
              <w:tl2br w:val="nil"/>
              <w:tr2bl w:val="nil"/>
            </w:tcBorders>
            <w:vAlign w:val="center"/>
          </w:tcPr>
          <w:p w14:paraId="677CADF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217-219</w:t>
            </w:r>
          </w:p>
        </w:tc>
      </w:tr>
      <w:tr w:rsidR="009D12AF" w14:paraId="12AF36FE" w14:textId="77777777">
        <w:trPr>
          <w:trHeight w:val="330"/>
          <w:jc w:val="center"/>
        </w:trPr>
        <w:tc>
          <w:tcPr>
            <w:tcW w:w="409" w:type="pct"/>
            <w:vMerge/>
            <w:tcBorders>
              <w:tl2br w:val="nil"/>
              <w:tr2bl w:val="nil"/>
            </w:tcBorders>
            <w:vAlign w:val="center"/>
          </w:tcPr>
          <w:p w14:paraId="37D20DA4"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8" w:type="pct"/>
            <w:tcBorders>
              <w:tl2br w:val="nil"/>
              <w:tr2bl w:val="nil"/>
            </w:tcBorders>
            <w:vAlign w:val="center"/>
          </w:tcPr>
          <w:p w14:paraId="10621D2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25</w:t>
            </w:r>
          </w:p>
        </w:tc>
        <w:tc>
          <w:tcPr>
            <w:tcW w:w="472" w:type="pct"/>
            <w:tcBorders>
              <w:tl2br w:val="nil"/>
              <w:tr2bl w:val="nil"/>
            </w:tcBorders>
            <w:vAlign w:val="center"/>
          </w:tcPr>
          <w:p w14:paraId="1F04389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哺</w:t>
            </w:r>
            <w:r>
              <w:rPr>
                <w:rFonts w:ascii="Times New Roman" w:eastAsia="宋体" w:hAnsi="Times New Roman" w:cs="Times New Roman" w:hint="eastAsia"/>
                <w:kern w:val="0"/>
                <w:sz w:val="21"/>
                <w:szCs w:val="21"/>
              </w:rPr>
              <w:t>5</w:t>
            </w:r>
          </w:p>
        </w:tc>
        <w:tc>
          <w:tcPr>
            <w:tcW w:w="811" w:type="pct"/>
            <w:tcBorders>
              <w:tl2br w:val="nil"/>
              <w:tr2bl w:val="nil"/>
            </w:tcBorders>
            <w:noWrap/>
            <w:vAlign w:val="center"/>
          </w:tcPr>
          <w:p w14:paraId="7FFB6B7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5.26</w:t>
            </w:r>
            <w:r>
              <w:rPr>
                <w:rFonts w:ascii="Times New Roman" w:eastAsia="宋体" w:hAnsi="Times New Roman" w:cs="Times New Roman" w:hint="eastAsia"/>
                <w:kern w:val="0"/>
                <w:sz w:val="21"/>
                <w:szCs w:val="21"/>
              </w:rPr>
              <w:t>″</w:t>
            </w:r>
          </w:p>
        </w:tc>
        <w:tc>
          <w:tcPr>
            <w:tcW w:w="760" w:type="pct"/>
            <w:tcBorders>
              <w:tl2br w:val="nil"/>
              <w:tr2bl w:val="nil"/>
            </w:tcBorders>
            <w:noWrap/>
            <w:vAlign w:val="center"/>
          </w:tcPr>
          <w:p w14:paraId="6B55BA8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42.45</w:t>
            </w:r>
            <w:r>
              <w:rPr>
                <w:rFonts w:ascii="Times New Roman" w:eastAsia="宋体" w:hAnsi="Times New Roman" w:cs="Times New Roman" w:hint="eastAsia"/>
                <w:kern w:val="0"/>
                <w:sz w:val="21"/>
                <w:szCs w:val="21"/>
              </w:rPr>
              <w:t>″</w:t>
            </w:r>
          </w:p>
        </w:tc>
        <w:tc>
          <w:tcPr>
            <w:tcW w:w="846" w:type="pct"/>
            <w:tcBorders>
              <w:tl2br w:val="nil"/>
              <w:tr2bl w:val="nil"/>
            </w:tcBorders>
            <w:noWrap/>
            <w:vAlign w:val="center"/>
          </w:tcPr>
          <w:p w14:paraId="52E2674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129</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38</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45.33</w:t>
            </w:r>
            <w:r>
              <w:rPr>
                <w:rFonts w:ascii="Times New Roman" w:eastAsia="宋体" w:hAnsi="Times New Roman" w:cs="Times New Roman" w:hint="eastAsia"/>
                <w:kern w:val="0"/>
                <w:sz w:val="21"/>
                <w:szCs w:val="21"/>
              </w:rPr>
              <w:t>″</w:t>
            </w:r>
          </w:p>
        </w:tc>
        <w:tc>
          <w:tcPr>
            <w:tcW w:w="659" w:type="pct"/>
            <w:tcBorders>
              <w:tl2br w:val="nil"/>
              <w:tr2bl w:val="nil"/>
            </w:tcBorders>
            <w:noWrap/>
            <w:vAlign w:val="center"/>
          </w:tcPr>
          <w:p w14:paraId="52A1B1B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53</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41.84</w:t>
            </w:r>
            <w:r>
              <w:rPr>
                <w:rFonts w:ascii="Times New Roman" w:eastAsia="宋体" w:hAnsi="Times New Roman" w:cs="Times New Roman" w:hint="eastAsia"/>
                <w:kern w:val="0"/>
                <w:sz w:val="21"/>
                <w:szCs w:val="21"/>
              </w:rPr>
              <w:t>″</w:t>
            </w:r>
          </w:p>
        </w:tc>
        <w:tc>
          <w:tcPr>
            <w:tcW w:w="404" w:type="pct"/>
            <w:tcBorders>
              <w:tl2br w:val="nil"/>
              <w:tr2bl w:val="nil"/>
            </w:tcBorders>
            <w:noWrap/>
            <w:vAlign w:val="center"/>
          </w:tcPr>
          <w:p w14:paraId="202C856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437</w:t>
            </w:r>
          </w:p>
        </w:tc>
        <w:tc>
          <w:tcPr>
            <w:tcW w:w="399" w:type="pct"/>
            <w:tcBorders>
              <w:tl2br w:val="nil"/>
              <w:tr2bl w:val="nil"/>
            </w:tcBorders>
            <w:vAlign w:val="center"/>
          </w:tcPr>
          <w:p w14:paraId="6707009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242-274</w:t>
            </w:r>
          </w:p>
        </w:tc>
      </w:tr>
    </w:tbl>
    <w:p w14:paraId="66DD6B57" w14:textId="77777777" w:rsidR="009D12AF" w:rsidRDefault="009D12AF">
      <w:pPr>
        <w:ind w:firstLine="480"/>
        <w:sectPr w:rsidR="009D12AF">
          <w:pgSz w:w="16838" w:h="11906" w:orient="landscape"/>
          <w:pgMar w:top="1800" w:right="1440" w:bottom="1800" w:left="1440" w:header="851" w:footer="992" w:gutter="0"/>
          <w:cols w:space="425"/>
          <w:docGrid w:type="lines" w:linePitch="326"/>
        </w:sectPr>
      </w:pPr>
    </w:p>
    <w:p w14:paraId="576BC3DE" w14:textId="77777777" w:rsidR="009D12AF" w:rsidRDefault="00000000">
      <w:pPr>
        <w:ind w:firstLine="480"/>
      </w:pPr>
      <w:r>
        <w:rPr>
          <w:rFonts w:hint="eastAsia"/>
        </w:rPr>
        <w:lastRenderedPageBreak/>
        <w:t>（</w:t>
      </w:r>
      <w:r>
        <w:rPr>
          <w:rFonts w:hint="eastAsia"/>
        </w:rPr>
        <w:t>2</w:t>
      </w:r>
      <w:r>
        <w:rPr>
          <w:rFonts w:hint="eastAsia"/>
        </w:rPr>
        <w:t>）动物样线数量符合性分析</w:t>
      </w:r>
    </w:p>
    <w:p w14:paraId="5C45FEA1" w14:textId="77777777" w:rsidR="009D12AF" w:rsidRDefault="00000000">
      <w:pPr>
        <w:ind w:firstLine="480"/>
        <w:rPr>
          <w:rFonts w:ascii="宋体" w:eastAsia="宋体" w:hAnsi="宋体" w:cs="宋体" w:hint="eastAsia"/>
          <w:kern w:val="0"/>
        </w:rPr>
      </w:pPr>
      <w:r>
        <w:rPr>
          <w:rFonts w:ascii="宋体" w:eastAsia="宋体" w:hAnsi="宋体" w:cs="宋体" w:hint="eastAsia"/>
          <w:kern w:val="0"/>
          <w:szCs w:val="32"/>
        </w:rPr>
        <w:t>按照生态导则，本工程生态影响评价等级为一级。</w:t>
      </w:r>
      <w:r>
        <w:rPr>
          <w:rFonts w:ascii="宋体" w:eastAsia="宋体" w:hAnsi="宋体" w:cs="宋体" w:hint="eastAsia"/>
          <w:kern w:val="0"/>
        </w:rPr>
        <w:t>依据</w:t>
      </w:r>
      <w:r>
        <w:rPr>
          <w:rFonts w:ascii="宋体" w:eastAsia="宋体" w:hAnsi="宋体" w:cs="宋体"/>
          <w:kern w:val="0"/>
        </w:rPr>
        <w:t>《环境影响评价技术导则 生态影响》(HJ</w:t>
      </w:r>
      <w:r>
        <w:rPr>
          <w:rFonts w:ascii="宋体" w:eastAsia="宋体" w:hAnsi="宋体" w:cs="宋体" w:hint="eastAsia"/>
          <w:kern w:val="0"/>
        </w:rPr>
        <w:t xml:space="preserve"> </w:t>
      </w:r>
      <w:r>
        <w:rPr>
          <w:rFonts w:ascii="宋体" w:eastAsia="宋体" w:hAnsi="宋体" w:cs="宋体"/>
          <w:kern w:val="0"/>
        </w:rPr>
        <w:t>19-2022)</w:t>
      </w:r>
      <w:r>
        <w:rPr>
          <w:rFonts w:ascii="宋体" w:eastAsia="宋体" w:hAnsi="宋体" w:cs="宋体" w:hint="eastAsia"/>
          <w:kern w:val="0"/>
        </w:rPr>
        <w:t>中规定的：“</w:t>
      </w:r>
      <w:r>
        <w:rPr>
          <w:rFonts w:ascii="宋体" w:eastAsia="宋体" w:hAnsi="宋体" w:cs="宋体"/>
          <w:kern w:val="0"/>
        </w:rPr>
        <w:t>一级评价每种</w:t>
      </w:r>
      <w:r>
        <w:rPr>
          <w:rFonts w:ascii="宋体" w:eastAsia="宋体" w:hAnsi="宋体" w:cs="宋体" w:hint="eastAsia"/>
          <w:kern w:val="0"/>
        </w:rPr>
        <w:t>生境</w:t>
      </w:r>
      <w:r>
        <w:rPr>
          <w:rFonts w:ascii="宋体" w:eastAsia="宋体" w:hAnsi="宋体" w:cs="宋体"/>
          <w:kern w:val="0"/>
        </w:rPr>
        <w:t>类型设置的样</w:t>
      </w:r>
      <w:r>
        <w:rPr>
          <w:rFonts w:ascii="宋体" w:eastAsia="宋体" w:hAnsi="宋体" w:cs="宋体" w:hint="eastAsia"/>
          <w:kern w:val="0"/>
        </w:rPr>
        <w:t>线</w:t>
      </w:r>
      <w:r>
        <w:rPr>
          <w:rFonts w:ascii="宋体" w:eastAsia="宋体" w:hAnsi="宋体" w:cs="宋体"/>
          <w:kern w:val="0"/>
        </w:rPr>
        <w:t>数量不少于5个</w:t>
      </w:r>
      <w:r>
        <w:rPr>
          <w:rFonts w:ascii="宋体" w:eastAsia="宋体" w:hAnsi="宋体" w:cs="宋体" w:hint="eastAsia"/>
          <w:kern w:val="0"/>
        </w:rPr>
        <w:t>”的要求。根据文献资料，结合现场实际调查，确定一级评价区域主要生境共需要布设动物调查样线25条，实际调查中共设置了25条动物调查样线，本次调查动物样线的设置符合生态导则的数量要求。</w:t>
      </w:r>
    </w:p>
    <w:p w14:paraId="04463E4F" w14:textId="77777777" w:rsidR="009D12AF" w:rsidRDefault="00000000">
      <w:pPr>
        <w:ind w:firstLine="480"/>
        <w:rPr>
          <w:rFonts w:ascii="宋体" w:eastAsia="宋体" w:hAnsi="宋体" w:cs="宋体" w:hint="eastAsia"/>
          <w:kern w:val="0"/>
        </w:rPr>
      </w:pPr>
      <w:r>
        <w:rPr>
          <w:rFonts w:ascii="宋体" w:eastAsia="宋体" w:hAnsi="宋体" w:cs="宋体" w:hint="eastAsia"/>
          <w:kern w:val="0"/>
        </w:rPr>
        <w:t>三、生态环境现状评价方法</w:t>
      </w:r>
    </w:p>
    <w:p w14:paraId="15D10BAF" w14:textId="77777777" w:rsidR="009D12AF" w:rsidRDefault="00000000">
      <w:pPr>
        <w:ind w:firstLine="480"/>
        <w:rPr>
          <w:rFonts w:ascii="宋体" w:eastAsia="宋体" w:hAnsi="宋体" w:cs="宋体" w:hint="eastAsia"/>
          <w:kern w:val="0"/>
          <w:szCs w:val="32"/>
        </w:rPr>
      </w:pPr>
      <w:r>
        <w:rPr>
          <w:rFonts w:ascii="宋体" w:eastAsia="宋体" w:hAnsi="宋体" w:cs="宋体"/>
          <w:kern w:val="0"/>
          <w:szCs w:val="32"/>
        </w:rPr>
        <w:t>生态环境质量现状评价是由局部到整体进行综合研究，通过相关的计算方法将重要的信息进行量化，定量或</w:t>
      </w:r>
      <w:r>
        <w:rPr>
          <w:rFonts w:ascii="宋体" w:eastAsia="宋体" w:hAnsi="宋体" w:cs="宋体" w:hint="eastAsia"/>
          <w:kern w:val="0"/>
          <w:szCs w:val="32"/>
        </w:rPr>
        <w:t>定性</w:t>
      </w:r>
      <w:r>
        <w:rPr>
          <w:rFonts w:ascii="宋体" w:eastAsia="宋体" w:hAnsi="宋体" w:cs="宋体"/>
          <w:kern w:val="0"/>
          <w:szCs w:val="32"/>
        </w:rPr>
        <w:t>的</w:t>
      </w:r>
      <w:r>
        <w:rPr>
          <w:rFonts w:ascii="宋体" w:eastAsia="宋体" w:hAnsi="宋体" w:cs="宋体" w:hint="eastAsia"/>
          <w:kern w:val="0"/>
          <w:szCs w:val="32"/>
        </w:rPr>
        <w:t>对</w:t>
      </w:r>
      <w:r>
        <w:rPr>
          <w:rFonts w:ascii="宋体" w:eastAsia="宋体" w:hAnsi="宋体" w:cs="宋体"/>
          <w:kern w:val="0"/>
          <w:szCs w:val="32"/>
        </w:rPr>
        <w:t>评价</w:t>
      </w:r>
      <w:r>
        <w:rPr>
          <w:rFonts w:ascii="宋体" w:eastAsia="宋体" w:hAnsi="宋体" w:cs="宋体" w:hint="eastAsia"/>
          <w:kern w:val="0"/>
          <w:szCs w:val="32"/>
        </w:rPr>
        <w:t>范围内生物多样性、生态系统、景观生态格局及生境展开评价。</w:t>
      </w:r>
    </w:p>
    <w:p w14:paraId="0FB9E7C8" w14:textId="77777777" w:rsidR="009D12AF" w:rsidRDefault="00000000">
      <w:pPr>
        <w:numPr>
          <w:ilvl w:val="0"/>
          <w:numId w:val="8"/>
        </w:numPr>
        <w:ind w:firstLine="480"/>
        <w:rPr>
          <w:rFonts w:ascii="宋体" w:eastAsia="宋体" w:hAnsi="宋体" w:cs="宋体" w:hint="eastAsia"/>
          <w:kern w:val="0"/>
          <w:szCs w:val="32"/>
        </w:rPr>
      </w:pPr>
      <w:r>
        <w:rPr>
          <w:rFonts w:ascii="宋体" w:eastAsia="宋体" w:hAnsi="宋体" w:cs="宋体" w:hint="eastAsia"/>
          <w:kern w:val="0"/>
          <w:szCs w:val="32"/>
        </w:rPr>
        <w:t>生物多样性评价方法</w:t>
      </w:r>
    </w:p>
    <w:p w14:paraId="69FDA7C4" w14:textId="77777777" w:rsidR="009D12AF" w:rsidRDefault="00000000">
      <w:pPr>
        <w:adjustRightInd w:val="0"/>
        <w:snapToGrid w:val="0"/>
        <w:spacing w:beforeLines="50" w:before="163" w:afterLines="50" w:after="163"/>
        <w:ind w:firstLine="480"/>
        <w:jc w:val="left"/>
        <w:rPr>
          <w:rFonts w:ascii="宋体" w:eastAsia="宋体" w:hAnsi="宋体" w:cs="宋体" w:hint="eastAsia"/>
          <w:kern w:val="0"/>
        </w:rPr>
      </w:pPr>
      <w:r>
        <w:rPr>
          <w:rFonts w:ascii="Times New Roman" w:eastAsia="宋体" w:hAnsi="Times New Roman" w:cs="Times New Roman"/>
          <w:kern w:val="0"/>
          <w:szCs w:val="20"/>
        </w:rPr>
        <w:t>多样性是反映一个生物群落复杂程度的指标，多样性一般用生物群落的物种及其个体数量的分布状态来描述。具有高多样性的生态系统一般具有较高的稳定性，具有较高稳定性的生态系统在受到外界压力后恢复到平衡的能力亦较强。因此，物种多样性是生态评价的重要指标。</w:t>
      </w:r>
      <w:r>
        <w:rPr>
          <w:rFonts w:ascii="Times New Roman" w:eastAsia="宋体" w:hAnsi="Times New Roman" w:cs="Times New Roman" w:hint="eastAsia"/>
          <w:kern w:val="0"/>
          <w:szCs w:val="21"/>
        </w:rPr>
        <w:t>香农</w:t>
      </w:r>
      <w:r>
        <w:rPr>
          <w:rFonts w:ascii="Times New Roman" w:eastAsia="宋体" w:hAnsi="Times New Roman" w:cs="Times New Roman"/>
          <w:kern w:val="0"/>
          <w:szCs w:val="21"/>
        </w:rPr>
        <w:t>-</w:t>
      </w:r>
      <w:r>
        <w:rPr>
          <w:rFonts w:ascii="Times New Roman" w:eastAsia="宋体" w:hAnsi="Times New Roman" w:cs="Times New Roman" w:hint="eastAsia"/>
          <w:kern w:val="0"/>
          <w:szCs w:val="21"/>
        </w:rPr>
        <w:t>威纳多样性指数、</w:t>
      </w:r>
      <w:r>
        <w:rPr>
          <w:rFonts w:ascii="Times New Roman" w:eastAsia="宋体" w:hAnsi="Times New Roman" w:cs="Times New Roman"/>
          <w:kern w:val="0"/>
          <w:szCs w:val="21"/>
        </w:rPr>
        <w:t xml:space="preserve">Pielou </w:t>
      </w:r>
      <w:r>
        <w:rPr>
          <w:rFonts w:ascii="Times New Roman" w:eastAsia="宋体" w:hAnsi="Times New Roman" w:cs="Times New Roman" w:hint="eastAsia"/>
          <w:kern w:val="0"/>
          <w:szCs w:val="21"/>
        </w:rPr>
        <w:t>均匀度指数、</w:t>
      </w:r>
      <w:r>
        <w:rPr>
          <w:rFonts w:ascii="Times New Roman" w:eastAsia="宋体" w:hAnsi="Times New Roman" w:cs="Times New Roman" w:hint="eastAsia"/>
          <w:kern w:val="0"/>
        </w:rPr>
        <w:t>Simpson</w:t>
      </w:r>
      <w:r>
        <w:rPr>
          <w:rFonts w:ascii="Times New Roman" w:eastAsia="宋体" w:hAnsi="Times New Roman" w:cs="Times New Roman" w:hint="eastAsia"/>
          <w:kern w:val="0"/>
        </w:rPr>
        <w:t>优势度指数</w:t>
      </w:r>
      <w:r>
        <w:rPr>
          <w:rFonts w:ascii="Times New Roman" w:eastAsia="宋体" w:hAnsi="Times New Roman" w:cs="Times New Roman" w:hint="eastAsia"/>
          <w:kern w:val="0"/>
          <w:szCs w:val="20"/>
        </w:rPr>
        <w:t>是衡量群落物种多样性的常用指标，其计算公式如下：</w:t>
      </w:r>
    </w:p>
    <w:p w14:paraId="4319E850" w14:textId="77777777" w:rsidR="009D12AF" w:rsidRDefault="00000000">
      <w:pPr>
        <w:widowControl/>
        <w:numPr>
          <w:ilvl w:val="0"/>
          <w:numId w:val="9"/>
        </w:numPr>
        <w:ind w:left="0" w:firstLine="480"/>
        <w:jc w:val="left"/>
        <w:rPr>
          <w:rFonts w:ascii="Times New Roman" w:eastAsia="宋体" w:hAnsi="Times New Roman" w:cs="Times New Roman"/>
          <w:kern w:val="0"/>
        </w:rPr>
      </w:pPr>
      <w:r>
        <w:rPr>
          <w:rFonts w:ascii="Times New Roman" w:eastAsia="宋体" w:hAnsi="Times New Roman" w:cs="Times New Roman"/>
          <w:kern w:val="0"/>
        </w:rPr>
        <w:t>香农</w:t>
      </w:r>
      <w:r>
        <w:rPr>
          <w:rFonts w:ascii="Times New Roman" w:eastAsia="宋体" w:hAnsi="Times New Roman" w:cs="Times New Roman"/>
          <w:kern w:val="0"/>
        </w:rPr>
        <w:t>-</w:t>
      </w:r>
      <w:r>
        <w:rPr>
          <w:rFonts w:ascii="Times New Roman" w:eastAsia="宋体" w:hAnsi="Times New Roman" w:cs="Times New Roman"/>
          <w:kern w:val="0"/>
        </w:rPr>
        <w:t>威纳多样性指数</w:t>
      </w:r>
      <w:r>
        <w:rPr>
          <w:rFonts w:ascii="Times New Roman" w:eastAsia="宋体" w:hAnsi="Times New Roman" w:cs="Times New Roman"/>
          <w:kern w:val="0"/>
        </w:rPr>
        <w:t xml:space="preserve">(Shannon-Wiener diversity index) </w:t>
      </w:r>
      <w:r>
        <w:rPr>
          <w:rFonts w:ascii="Times New Roman" w:eastAsia="宋体" w:hAnsi="Times New Roman" w:cs="Times New Roman"/>
          <w:kern w:val="0"/>
        </w:rPr>
        <w:t>计算公式为：</w:t>
      </w:r>
    </w:p>
    <w:p w14:paraId="53F2244C" w14:textId="77777777" w:rsidR="009D12AF" w:rsidRDefault="00000000">
      <w:pPr>
        <w:widowControl/>
        <w:spacing w:before="149" w:line="221" w:lineRule="auto"/>
        <w:ind w:left="7" w:firstLine="480"/>
        <w:jc w:val="center"/>
        <w:rPr>
          <w:rFonts w:ascii="Times New Roman" w:eastAsia="宋体" w:hAnsi="Times New Roman" w:cs="Times New Roman"/>
          <w:spacing w:val="-12"/>
          <w:kern w:val="0"/>
          <w:szCs w:val="21"/>
        </w:rPr>
      </w:pPr>
      <w:r>
        <w:rPr>
          <w:rFonts w:ascii="Times New Roman" w:eastAsia="宋体" w:hAnsi="Times New Roman" w:cs="Times New Roman"/>
          <w:noProof/>
          <w:spacing w:val="-12"/>
          <w:kern w:val="0"/>
          <w:szCs w:val="21"/>
        </w:rPr>
        <w:drawing>
          <wp:inline distT="0" distB="0" distL="0" distR="0" wp14:anchorId="4393BF94" wp14:editId="04E863E4">
            <wp:extent cx="1515745" cy="588645"/>
            <wp:effectExtent l="0" t="0" r="8255" b="1905"/>
            <wp:docPr id="859906912" name="图片 26" descr="cdf6c5798e3ce14d5c80700ed7f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906912" name="图片 26" descr="cdf6c5798e3ce14d5c80700ed7f5411"/>
                    <pic:cNvPicPr>
                      <a:picLocks noChangeAspect="1" noChangeArrowheads="1"/>
                    </pic:cNvPicPr>
                  </pic:nvPicPr>
                  <pic:blipFill>
                    <a:blip r:embed="rId116">
                      <a:extLst>
                        <a:ext uri="{28A0092B-C50C-407E-A947-70E740481C1C}">
                          <a14:useLocalDpi xmlns:a14="http://schemas.microsoft.com/office/drawing/2010/main"/>
                        </a:ext>
                      </a:extLst>
                    </a:blip>
                    <a:srcRect/>
                    <a:stretch>
                      <a:fillRect/>
                    </a:stretch>
                  </pic:blipFill>
                  <pic:spPr>
                    <a:xfrm>
                      <a:off x="0" y="0"/>
                      <a:ext cx="1515745" cy="588645"/>
                    </a:xfrm>
                    <a:prstGeom prst="rect">
                      <a:avLst/>
                    </a:prstGeom>
                    <a:noFill/>
                    <a:ln>
                      <a:noFill/>
                    </a:ln>
                    <a:effectLst/>
                  </pic:spPr>
                </pic:pic>
              </a:graphicData>
            </a:graphic>
          </wp:inline>
        </w:drawing>
      </w:r>
    </w:p>
    <w:p w14:paraId="0B674C48"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t>式中：</w:t>
      </w:r>
      <w:r>
        <w:rPr>
          <w:rFonts w:ascii="Times New Roman" w:eastAsia="宋体" w:hAnsi="Times New Roman" w:cs="Times New Roman"/>
          <w:kern w:val="0"/>
        </w:rPr>
        <w:t>H</w:t>
      </w:r>
      <w:r>
        <w:rPr>
          <w:rFonts w:ascii="Times New Roman" w:eastAsia="宋体" w:hAnsi="Times New Roman" w:cs="Times New Roman"/>
          <w:kern w:val="0"/>
        </w:rPr>
        <w:t>为香农</w:t>
      </w:r>
      <w:r>
        <w:rPr>
          <w:rFonts w:ascii="Times New Roman" w:eastAsia="宋体" w:hAnsi="Times New Roman" w:cs="Times New Roman"/>
          <w:kern w:val="0"/>
        </w:rPr>
        <w:t>-</w:t>
      </w:r>
      <w:r>
        <w:rPr>
          <w:rFonts w:ascii="Times New Roman" w:eastAsia="宋体" w:hAnsi="Times New Roman" w:cs="Times New Roman"/>
          <w:kern w:val="0"/>
        </w:rPr>
        <w:t>威纳多样性指数；</w:t>
      </w:r>
    </w:p>
    <w:p w14:paraId="14E62360" w14:textId="77777777" w:rsidR="009D12AF" w:rsidRDefault="00000000">
      <w:pPr>
        <w:widowControl/>
        <w:ind w:firstLineChars="300" w:firstLine="720"/>
        <w:jc w:val="left"/>
        <w:rPr>
          <w:rFonts w:ascii="Times New Roman" w:eastAsia="宋体" w:hAnsi="Times New Roman" w:cs="Times New Roman"/>
          <w:kern w:val="0"/>
        </w:rPr>
      </w:pPr>
      <w:r>
        <w:rPr>
          <w:rFonts w:ascii="Times New Roman" w:eastAsia="宋体" w:hAnsi="Times New Roman" w:cs="Times New Roman"/>
          <w:kern w:val="0"/>
        </w:rPr>
        <w:t>S</w:t>
      </w:r>
      <w:r>
        <w:rPr>
          <w:rFonts w:ascii="Times New Roman" w:eastAsia="宋体" w:hAnsi="Times New Roman" w:cs="Times New Roman"/>
          <w:kern w:val="0"/>
        </w:rPr>
        <w:t>为调查区域内物种种类总数；</w:t>
      </w:r>
    </w:p>
    <w:p w14:paraId="5BE7DCB6" w14:textId="77777777" w:rsidR="009D12AF" w:rsidRDefault="00000000">
      <w:pPr>
        <w:widowControl/>
        <w:ind w:firstLineChars="300" w:firstLine="720"/>
        <w:jc w:val="left"/>
        <w:rPr>
          <w:rFonts w:ascii="Times New Roman" w:eastAsia="宋体" w:hAnsi="Times New Roman" w:cs="Times New Roman"/>
          <w:kern w:val="0"/>
        </w:rPr>
      </w:pPr>
      <w:r>
        <w:rPr>
          <w:rFonts w:ascii="Times New Roman" w:eastAsia="宋体" w:hAnsi="Times New Roman" w:cs="Times New Roman"/>
          <w:kern w:val="0"/>
        </w:rPr>
        <w:t>P</w:t>
      </w:r>
      <w:r>
        <w:rPr>
          <w:rFonts w:ascii="Times New Roman" w:eastAsia="宋体" w:hAnsi="Times New Roman" w:cs="Times New Roman"/>
          <w:kern w:val="0"/>
          <w:vertAlign w:val="subscript"/>
        </w:rPr>
        <w:t>i</w:t>
      </w:r>
      <w:r>
        <w:rPr>
          <w:rFonts w:ascii="Times New Roman" w:eastAsia="宋体" w:hAnsi="Times New Roman" w:cs="Times New Roman"/>
          <w:kern w:val="0"/>
        </w:rPr>
        <w:t>为调查区域内属于第</w:t>
      </w:r>
      <w:r>
        <w:rPr>
          <w:rFonts w:ascii="Times New Roman" w:eastAsia="宋体" w:hAnsi="Times New Roman" w:cs="Times New Roman"/>
          <w:kern w:val="0"/>
        </w:rPr>
        <w:t xml:space="preserve"> i </w:t>
      </w:r>
      <w:r>
        <w:rPr>
          <w:rFonts w:ascii="Times New Roman" w:eastAsia="宋体" w:hAnsi="Times New Roman" w:cs="Times New Roman"/>
          <w:kern w:val="0"/>
        </w:rPr>
        <w:t>种的个体比例，</w:t>
      </w:r>
      <w:r>
        <w:rPr>
          <w:rFonts w:ascii="Times New Roman" w:eastAsia="宋体" w:hAnsi="Times New Roman" w:cs="Times New Roman"/>
          <w:kern w:val="0"/>
        </w:rPr>
        <w:t xml:space="preserve"> </w:t>
      </w:r>
      <w:r>
        <w:rPr>
          <w:rFonts w:ascii="Times New Roman" w:eastAsia="宋体" w:hAnsi="Times New Roman" w:cs="Times New Roman"/>
          <w:kern w:val="0"/>
        </w:rPr>
        <w:t>如总个体数为</w:t>
      </w:r>
      <w:r>
        <w:rPr>
          <w:rFonts w:ascii="Times New Roman" w:eastAsia="宋体" w:hAnsi="Times New Roman" w:cs="Times New Roman"/>
          <w:kern w:val="0"/>
        </w:rPr>
        <w:t xml:space="preserve"> N</w:t>
      </w:r>
      <w:r>
        <w:rPr>
          <w:rFonts w:ascii="Times New Roman" w:eastAsia="宋体" w:hAnsi="Times New Roman" w:cs="Times New Roman"/>
          <w:kern w:val="0"/>
        </w:rPr>
        <w:t>，第</w:t>
      </w:r>
      <w:r>
        <w:rPr>
          <w:rFonts w:ascii="Times New Roman" w:eastAsia="宋体" w:hAnsi="Times New Roman" w:cs="Times New Roman"/>
          <w:kern w:val="0"/>
        </w:rPr>
        <w:t xml:space="preserve"> i </w:t>
      </w:r>
      <w:r>
        <w:rPr>
          <w:rFonts w:ascii="Times New Roman" w:eastAsia="宋体" w:hAnsi="Times New Roman" w:cs="Times New Roman"/>
          <w:kern w:val="0"/>
        </w:rPr>
        <w:t>种个体数为</w:t>
      </w:r>
      <w:r>
        <w:rPr>
          <w:rFonts w:ascii="Times New Roman" w:eastAsia="宋体" w:hAnsi="Times New Roman" w:cs="Times New Roman"/>
          <w:kern w:val="0"/>
        </w:rPr>
        <w:t xml:space="preserve"> n</w:t>
      </w:r>
      <w:r>
        <w:rPr>
          <w:rFonts w:ascii="Times New Roman" w:eastAsia="宋体" w:hAnsi="Times New Roman" w:cs="Times New Roman"/>
          <w:kern w:val="0"/>
          <w:vertAlign w:val="subscript"/>
        </w:rPr>
        <w:t>i</w:t>
      </w:r>
      <w:r>
        <w:rPr>
          <w:rFonts w:ascii="Times New Roman" w:eastAsia="宋体" w:hAnsi="Times New Roman" w:cs="Times New Roman"/>
          <w:kern w:val="0"/>
        </w:rPr>
        <w:t xml:space="preserve"> </w:t>
      </w:r>
      <w:r>
        <w:rPr>
          <w:rFonts w:ascii="Times New Roman" w:eastAsia="宋体" w:hAnsi="Times New Roman" w:cs="Times New Roman"/>
          <w:kern w:val="0"/>
        </w:rPr>
        <w:t>，则</w:t>
      </w:r>
      <w:r>
        <w:rPr>
          <w:rFonts w:ascii="Times New Roman" w:eastAsia="宋体" w:hAnsi="Times New Roman" w:cs="Times New Roman"/>
          <w:kern w:val="0"/>
        </w:rPr>
        <w:t xml:space="preserve"> P</w:t>
      </w:r>
      <w:r>
        <w:rPr>
          <w:rFonts w:ascii="Times New Roman" w:eastAsia="宋体" w:hAnsi="Times New Roman" w:cs="Times New Roman"/>
          <w:kern w:val="0"/>
          <w:vertAlign w:val="subscript"/>
        </w:rPr>
        <w:t>i</w:t>
      </w:r>
      <w:r>
        <w:rPr>
          <w:rFonts w:ascii="Times New Roman" w:eastAsia="宋体" w:hAnsi="Times New Roman" w:cs="Times New Roman"/>
          <w:kern w:val="0"/>
        </w:rPr>
        <w:t>=n</w:t>
      </w:r>
      <w:r>
        <w:rPr>
          <w:rFonts w:ascii="Times New Roman" w:eastAsia="宋体" w:hAnsi="Times New Roman" w:cs="Times New Roman"/>
          <w:kern w:val="0"/>
          <w:vertAlign w:val="subscript"/>
        </w:rPr>
        <w:t>i</w:t>
      </w:r>
      <w:r>
        <w:rPr>
          <w:rFonts w:ascii="Times New Roman" w:eastAsia="宋体" w:hAnsi="Times New Roman" w:cs="Times New Roman"/>
          <w:kern w:val="0"/>
        </w:rPr>
        <w:t>/N</w:t>
      </w:r>
      <w:r>
        <w:rPr>
          <w:rFonts w:ascii="Times New Roman" w:eastAsia="宋体" w:hAnsi="Times New Roman" w:cs="Times New Roman"/>
          <w:kern w:val="0"/>
        </w:rPr>
        <w:t>。</w:t>
      </w:r>
    </w:p>
    <w:p w14:paraId="690B0CDA" w14:textId="77777777" w:rsidR="009D12AF" w:rsidRDefault="00000000">
      <w:pPr>
        <w:widowControl/>
        <w:numPr>
          <w:ilvl w:val="0"/>
          <w:numId w:val="9"/>
        </w:numPr>
        <w:ind w:left="0" w:firstLine="480"/>
        <w:jc w:val="left"/>
        <w:rPr>
          <w:rFonts w:ascii="宋体" w:eastAsia="宋体" w:hAnsi="宋体" w:cs="宋体" w:hint="eastAsia"/>
          <w:kern w:val="0"/>
        </w:rPr>
      </w:pPr>
      <w:r>
        <w:rPr>
          <w:rFonts w:ascii="Times New Roman" w:eastAsia="宋体" w:hAnsi="Times New Roman" w:cs="Times New Roman"/>
          <w:kern w:val="0"/>
        </w:rPr>
        <w:t>Pielou</w:t>
      </w:r>
      <w:r>
        <w:rPr>
          <w:rFonts w:ascii="宋体" w:eastAsia="宋体" w:hAnsi="宋体" w:cs="宋体" w:hint="eastAsia"/>
          <w:kern w:val="0"/>
        </w:rPr>
        <w:t>均匀度指数是反映调查区域各物种个体数目分配均匀程度的指数，计算公式为：</w:t>
      </w:r>
    </w:p>
    <w:p w14:paraId="67F9061F" w14:textId="77777777" w:rsidR="009D12AF" w:rsidRDefault="00000000">
      <w:pPr>
        <w:widowControl/>
        <w:spacing w:before="149" w:line="234" w:lineRule="auto"/>
        <w:ind w:firstLine="480"/>
        <w:jc w:val="center"/>
        <w:rPr>
          <w:rFonts w:ascii="宋体" w:eastAsia="宋体" w:hAnsi="宋体" w:cs="宋体" w:hint="eastAsia"/>
          <w:spacing w:val="-10"/>
          <w:kern w:val="0"/>
          <w:szCs w:val="21"/>
        </w:rPr>
      </w:pPr>
      <w:r>
        <w:rPr>
          <w:rFonts w:ascii="宋体" w:eastAsia="宋体" w:hAnsi="宋体" w:cs="宋体"/>
          <w:noProof/>
          <w:spacing w:val="-10"/>
          <w:kern w:val="0"/>
          <w:szCs w:val="21"/>
        </w:rPr>
        <w:drawing>
          <wp:inline distT="0" distB="0" distL="0" distR="0" wp14:anchorId="4E0E0C6E" wp14:editId="4E754BC3">
            <wp:extent cx="1765300" cy="525145"/>
            <wp:effectExtent l="0" t="0" r="6350" b="8255"/>
            <wp:docPr id="766798073" name="图片 25" descr="f603f627347f69fd561482d3e239f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798073" name="图片 25" descr="f603f627347f69fd561482d3e239ff2"/>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a:xfrm>
                      <a:off x="0" y="0"/>
                      <a:ext cx="1765300" cy="525145"/>
                    </a:xfrm>
                    <a:prstGeom prst="rect">
                      <a:avLst/>
                    </a:prstGeom>
                    <a:noFill/>
                    <a:ln>
                      <a:noFill/>
                    </a:ln>
                    <a:effectLst/>
                  </pic:spPr>
                </pic:pic>
              </a:graphicData>
            </a:graphic>
          </wp:inline>
        </w:drawing>
      </w:r>
    </w:p>
    <w:p w14:paraId="576CC7ED"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lastRenderedPageBreak/>
        <w:t>式中：</w:t>
      </w:r>
      <w:r>
        <w:rPr>
          <w:rFonts w:ascii="Times New Roman" w:eastAsia="宋体" w:hAnsi="Times New Roman" w:cs="Times New Roman"/>
          <w:kern w:val="0"/>
        </w:rPr>
        <w:t>J</w:t>
      </w:r>
      <w:r>
        <w:rPr>
          <w:rFonts w:ascii="Times New Roman" w:eastAsia="宋体" w:hAnsi="Times New Roman" w:cs="Times New Roman"/>
          <w:kern w:val="0"/>
        </w:rPr>
        <w:t>为</w:t>
      </w:r>
      <w:r>
        <w:rPr>
          <w:rFonts w:ascii="Times New Roman" w:eastAsia="宋体" w:hAnsi="Times New Roman" w:cs="Times New Roman"/>
          <w:kern w:val="0"/>
        </w:rPr>
        <w:t xml:space="preserve">Pielou </w:t>
      </w:r>
      <w:r>
        <w:rPr>
          <w:rFonts w:ascii="Times New Roman" w:eastAsia="宋体" w:hAnsi="Times New Roman" w:cs="Times New Roman"/>
          <w:kern w:val="0"/>
        </w:rPr>
        <w:t>均匀度指数；</w:t>
      </w:r>
    </w:p>
    <w:p w14:paraId="033EA1D3" w14:textId="77777777" w:rsidR="009D12AF" w:rsidRDefault="00000000">
      <w:pPr>
        <w:widowControl/>
        <w:ind w:firstLineChars="300" w:firstLine="720"/>
        <w:jc w:val="left"/>
        <w:rPr>
          <w:rFonts w:ascii="Times New Roman" w:eastAsia="宋体" w:hAnsi="Times New Roman" w:cs="Times New Roman"/>
          <w:kern w:val="0"/>
        </w:rPr>
      </w:pPr>
      <w:r>
        <w:rPr>
          <w:rFonts w:ascii="Times New Roman" w:eastAsia="宋体" w:hAnsi="Times New Roman" w:cs="Times New Roman"/>
          <w:kern w:val="0"/>
        </w:rPr>
        <w:t>S</w:t>
      </w:r>
      <w:r>
        <w:rPr>
          <w:rFonts w:ascii="Times New Roman" w:eastAsia="宋体" w:hAnsi="Times New Roman" w:cs="Times New Roman"/>
          <w:kern w:val="0"/>
        </w:rPr>
        <w:t>为调查区域内物种种类总数；</w:t>
      </w:r>
    </w:p>
    <w:p w14:paraId="14D2BD26" w14:textId="77777777" w:rsidR="009D12AF" w:rsidRDefault="00000000">
      <w:pPr>
        <w:widowControl/>
        <w:ind w:firstLineChars="300" w:firstLine="720"/>
        <w:jc w:val="left"/>
        <w:rPr>
          <w:rFonts w:ascii="Times New Roman" w:eastAsia="宋体" w:hAnsi="Times New Roman" w:cs="Times New Roman"/>
          <w:kern w:val="0"/>
        </w:rPr>
      </w:pPr>
      <w:r>
        <w:rPr>
          <w:rFonts w:ascii="Times New Roman" w:eastAsia="宋体" w:hAnsi="Times New Roman" w:cs="Times New Roman"/>
          <w:kern w:val="0"/>
        </w:rPr>
        <w:t>P</w:t>
      </w:r>
      <w:r>
        <w:rPr>
          <w:rFonts w:ascii="Times New Roman" w:eastAsia="宋体" w:hAnsi="Times New Roman" w:cs="Times New Roman"/>
          <w:kern w:val="0"/>
          <w:vertAlign w:val="subscript"/>
        </w:rPr>
        <w:t>i</w:t>
      </w:r>
      <w:r>
        <w:rPr>
          <w:rFonts w:ascii="Times New Roman" w:eastAsia="宋体" w:hAnsi="Times New Roman" w:cs="Times New Roman"/>
          <w:kern w:val="0"/>
        </w:rPr>
        <w:t>为调查区域内属于第</w:t>
      </w:r>
      <w:r>
        <w:rPr>
          <w:rFonts w:ascii="Times New Roman" w:eastAsia="宋体" w:hAnsi="Times New Roman" w:cs="Times New Roman"/>
          <w:kern w:val="0"/>
        </w:rPr>
        <w:t xml:space="preserve">i </w:t>
      </w:r>
      <w:r>
        <w:rPr>
          <w:rFonts w:ascii="Times New Roman" w:eastAsia="宋体" w:hAnsi="Times New Roman" w:cs="Times New Roman"/>
          <w:kern w:val="0"/>
        </w:rPr>
        <w:t>种的个体比例。</w:t>
      </w:r>
    </w:p>
    <w:p w14:paraId="73AF15B3" w14:textId="77777777" w:rsidR="009D12AF" w:rsidRDefault="00000000">
      <w:pPr>
        <w:widowControl/>
        <w:numPr>
          <w:ilvl w:val="0"/>
          <w:numId w:val="9"/>
        </w:numPr>
        <w:ind w:left="0" w:firstLine="480"/>
        <w:jc w:val="left"/>
        <w:rPr>
          <w:rFonts w:ascii="Times New Roman" w:eastAsia="宋体" w:hAnsi="Times New Roman" w:cs="Times New Roman"/>
          <w:kern w:val="0"/>
        </w:rPr>
      </w:pPr>
      <w:r>
        <w:rPr>
          <w:rFonts w:ascii="Times New Roman" w:eastAsia="宋体" w:hAnsi="Times New Roman" w:cs="Times New Roman"/>
          <w:kern w:val="0"/>
        </w:rPr>
        <w:t>Simpson</w:t>
      </w:r>
      <w:r>
        <w:rPr>
          <w:rFonts w:ascii="Times New Roman" w:eastAsia="宋体" w:hAnsi="Times New Roman" w:cs="Times New Roman"/>
          <w:kern w:val="0"/>
        </w:rPr>
        <w:t>优势度指数与均匀度指数相对应，计算公式为：</w:t>
      </w:r>
    </w:p>
    <w:p w14:paraId="1EE05C08" w14:textId="77777777" w:rsidR="009D12AF" w:rsidRDefault="00000000">
      <w:pPr>
        <w:widowControl/>
        <w:spacing w:before="149" w:line="214" w:lineRule="auto"/>
        <w:ind w:firstLine="480"/>
        <w:jc w:val="center"/>
        <w:rPr>
          <w:rFonts w:ascii="Times New Roman" w:eastAsia="宋体" w:hAnsi="Times New Roman" w:cs="Times New Roman"/>
          <w:spacing w:val="-10"/>
          <w:kern w:val="0"/>
          <w:szCs w:val="21"/>
        </w:rPr>
      </w:pPr>
      <w:r>
        <w:rPr>
          <w:rFonts w:ascii="Times New Roman" w:eastAsia="宋体" w:hAnsi="Times New Roman" w:cs="Times New Roman"/>
          <w:noProof/>
          <w:spacing w:val="-10"/>
          <w:kern w:val="0"/>
          <w:szCs w:val="21"/>
        </w:rPr>
        <w:drawing>
          <wp:inline distT="0" distB="0" distL="0" distR="0" wp14:anchorId="699A2B0F" wp14:editId="5B650B74">
            <wp:extent cx="1181100" cy="575945"/>
            <wp:effectExtent l="0" t="0" r="0" b="14605"/>
            <wp:docPr id="1163910172" name="图片 24" descr="7b970b1837d7e1662299e5dc96a0a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910172" name="图片 24" descr="7b970b1837d7e1662299e5dc96a0aee"/>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a:xfrm>
                      <a:off x="0" y="0"/>
                      <a:ext cx="1181100" cy="575945"/>
                    </a:xfrm>
                    <a:prstGeom prst="rect">
                      <a:avLst/>
                    </a:prstGeom>
                    <a:noFill/>
                    <a:ln>
                      <a:noFill/>
                    </a:ln>
                  </pic:spPr>
                </pic:pic>
              </a:graphicData>
            </a:graphic>
          </wp:inline>
        </w:drawing>
      </w:r>
    </w:p>
    <w:p w14:paraId="203756E1"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t>式中：</w:t>
      </w:r>
      <w:r>
        <w:rPr>
          <w:rFonts w:ascii="Times New Roman" w:eastAsia="宋体" w:hAnsi="Times New Roman" w:cs="Times New Roman"/>
          <w:kern w:val="0"/>
        </w:rPr>
        <w:t>D</w:t>
      </w:r>
      <w:r>
        <w:rPr>
          <w:rFonts w:ascii="Times New Roman" w:eastAsia="宋体" w:hAnsi="Times New Roman" w:cs="Times New Roman"/>
          <w:kern w:val="0"/>
        </w:rPr>
        <w:t>为</w:t>
      </w:r>
      <w:r>
        <w:rPr>
          <w:rFonts w:ascii="Times New Roman" w:eastAsia="宋体" w:hAnsi="Times New Roman" w:cs="Times New Roman"/>
          <w:kern w:val="0"/>
        </w:rPr>
        <w:t xml:space="preserve">Simpson </w:t>
      </w:r>
      <w:r>
        <w:rPr>
          <w:rFonts w:ascii="Times New Roman" w:eastAsia="宋体" w:hAnsi="Times New Roman" w:cs="Times New Roman"/>
          <w:kern w:val="0"/>
        </w:rPr>
        <w:t>优势度指数；</w:t>
      </w:r>
    </w:p>
    <w:p w14:paraId="060CC385" w14:textId="77777777" w:rsidR="009D12AF" w:rsidRDefault="00000000">
      <w:pPr>
        <w:widowControl/>
        <w:ind w:firstLineChars="300" w:firstLine="720"/>
        <w:jc w:val="left"/>
        <w:rPr>
          <w:rFonts w:ascii="Times New Roman" w:eastAsia="宋体" w:hAnsi="Times New Roman" w:cs="Times New Roman"/>
          <w:kern w:val="0"/>
        </w:rPr>
      </w:pPr>
      <w:r>
        <w:rPr>
          <w:rFonts w:ascii="Times New Roman" w:eastAsia="宋体" w:hAnsi="Times New Roman" w:cs="Times New Roman"/>
          <w:kern w:val="0"/>
        </w:rPr>
        <w:t>S</w:t>
      </w:r>
      <w:r>
        <w:rPr>
          <w:rFonts w:ascii="Times New Roman" w:eastAsia="宋体" w:hAnsi="Times New Roman" w:cs="Times New Roman"/>
          <w:kern w:val="0"/>
        </w:rPr>
        <w:t>为调查区域内物种种类总数；</w:t>
      </w:r>
    </w:p>
    <w:p w14:paraId="32B56743" w14:textId="77777777" w:rsidR="009D12AF" w:rsidRDefault="00000000">
      <w:pPr>
        <w:widowControl/>
        <w:ind w:firstLineChars="300" w:firstLine="720"/>
        <w:jc w:val="left"/>
        <w:rPr>
          <w:rFonts w:ascii="Times New Roman" w:eastAsia="宋体" w:hAnsi="Times New Roman" w:cs="Times New Roman"/>
          <w:kern w:val="0"/>
        </w:rPr>
      </w:pPr>
      <w:r>
        <w:rPr>
          <w:rFonts w:ascii="Times New Roman" w:eastAsia="宋体" w:hAnsi="Times New Roman" w:cs="Times New Roman"/>
          <w:kern w:val="0"/>
        </w:rPr>
        <w:t>P</w:t>
      </w:r>
      <w:r>
        <w:rPr>
          <w:rFonts w:ascii="Times New Roman" w:eastAsia="宋体" w:hAnsi="Times New Roman" w:cs="Times New Roman"/>
          <w:kern w:val="0"/>
          <w:vertAlign w:val="subscript"/>
        </w:rPr>
        <w:t>i</w:t>
      </w:r>
      <w:r>
        <w:rPr>
          <w:rFonts w:ascii="Times New Roman" w:eastAsia="宋体" w:hAnsi="Times New Roman" w:cs="Times New Roman"/>
          <w:kern w:val="0"/>
        </w:rPr>
        <w:t>为调查区域内属于第</w:t>
      </w:r>
      <w:r>
        <w:rPr>
          <w:rFonts w:ascii="Times New Roman" w:eastAsia="宋体" w:hAnsi="Times New Roman" w:cs="Times New Roman"/>
          <w:kern w:val="0"/>
        </w:rPr>
        <w:t xml:space="preserve">i </w:t>
      </w:r>
      <w:r>
        <w:rPr>
          <w:rFonts w:ascii="Times New Roman" w:eastAsia="宋体" w:hAnsi="Times New Roman" w:cs="Times New Roman"/>
          <w:kern w:val="0"/>
        </w:rPr>
        <w:t>种的个体比例。</w:t>
      </w:r>
    </w:p>
    <w:p w14:paraId="744733AD" w14:textId="77777777" w:rsidR="009D12AF" w:rsidRDefault="00000000">
      <w:pPr>
        <w:ind w:firstLineChars="0" w:firstLine="0"/>
        <w:rPr>
          <w:rFonts w:ascii="Times New Roman" w:eastAsia="宋体" w:hAnsi="Times New Roman" w:cs="Times New Roman"/>
          <w:kern w:val="0"/>
          <w:szCs w:val="20"/>
        </w:rPr>
      </w:pPr>
      <w:r>
        <w:rPr>
          <w:rFonts w:ascii="Times New Roman" w:eastAsia="宋体" w:hAnsi="Times New Roman" w:cs="Times New Roman" w:hint="eastAsia"/>
          <w:kern w:val="0"/>
          <w:szCs w:val="20"/>
        </w:rPr>
        <w:t>陆生生态系统调查主要采用上述三个生物多样性指标。其中，草本层物种多样性指数计算以盖度作为数量指标，从而克服无性系个体和丛生个体计数的困难。</w:t>
      </w:r>
      <w:r>
        <w:rPr>
          <w:rFonts w:ascii="Times New Roman" w:eastAsia="宋体" w:hAnsi="Times New Roman" w:cs="Times New Roman"/>
          <w:kern w:val="0"/>
          <w:szCs w:val="20"/>
        </w:rPr>
        <w:t>Simpson</w:t>
      </w:r>
      <w:r>
        <w:rPr>
          <w:rFonts w:ascii="Times New Roman" w:eastAsia="宋体" w:hAnsi="Times New Roman" w:cs="Times New Roman" w:hint="eastAsia"/>
          <w:kern w:val="0"/>
          <w:szCs w:val="20"/>
        </w:rPr>
        <w:t>指数主要反映群落优势种情况，其数值越小表明群落优势种越明显，如果优势种品种数增加会使该数值降低，群落越均衡数值越高；</w:t>
      </w:r>
      <w:r>
        <w:rPr>
          <w:rFonts w:ascii="Times New Roman" w:eastAsia="宋体" w:hAnsi="Times New Roman" w:cs="Times New Roman"/>
          <w:kern w:val="0"/>
          <w:szCs w:val="20"/>
        </w:rPr>
        <w:t>Shannon-Weiner</w:t>
      </w:r>
      <w:r>
        <w:rPr>
          <w:rFonts w:ascii="Times New Roman" w:eastAsia="宋体" w:hAnsi="Times New Roman" w:cs="Times New Roman" w:hint="eastAsia"/>
          <w:kern w:val="0"/>
          <w:szCs w:val="20"/>
        </w:rPr>
        <w:t>指数可以同时反映物种丰富度和物种均匀度，数量越多，分布越均匀，数值越大；</w:t>
      </w:r>
      <w:r>
        <w:rPr>
          <w:rFonts w:ascii="Times New Roman" w:eastAsia="宋体" w:hAnsi="Times New Roman" w:cs="Times New Roman"/>
          <w:kern w:val="0"/>
          <w:szCs w:val="20"/>
        </w:rPr>
        <w:t>Pielou</w:t>
      </w:r>
      <w:r>
        <w:rPr>
          <w:rFonts w:ascii="Times New Roman" w:eastAsia="宋体" w:hAnsi="Times New Roman" w:cs="Times New Roman" w:hint="eastAsia"/>
          <w:kern w:val="0"/>
          <w:szCs w:val="20"/>
        </w:rPr>
        <w:t>指数反映植物空间分布均匀程度，其数值越大表示植物空间分布越均匀，可与</w:t>
      </w:r>
      <w:r>
        <w:rPr>
          <w:rFonts w:ascii="Times New Roman" w:eastAsia="宋体" w:hAnsi="Times New Roman" w:cs="Times New Roman"/>
          <w:kern w:val="0"/>
          <w:szCs w:val="20"/>
        </w:rPr>
        <w:t>Shannon-Weiner</w:t>
      </w:r>
      <w:r>
        <w:rPr>
          <w:rFonts w:ascii="Times New Roman" w:eastAsia="宋体" w:hAnsi="Times New Roman" w:cs="Times New Roman" w:hint="eastAsia"/>
          <w:kern w:val="0"/>
          <w:szCs w:val="20"/>
        </w:rPr>
        <w:t>指数结合看，如果</w:t>
      </w:r>
      <w:r>
        <w:rPr>
          <w:rFonts w:ascii="Times New Roman" w:eastAsia="宋体" w:hAnsi="Times New Roman" w:cs="Times New Roman"/>
          <w:kern w:val="0"/>
          <w:szCs w:val="20"/>
        </w:rPr>
        <w:t>Pielou</w:t>
      </w:r>
      <w:r>
        <w:rPr>
          <w:rFonts w:ascii="Times New Roman" w:eastAsia="宋体" w:hAnsi="Times New Roman" w:cs="Times New Roman" w:hint="eastAsia"/>
          <w:kern w:val="0"/>
          <w:szCs w:val="20"/>
        </w:rPr>
        <w:t>指数接近，</w:t>
      </w:r>
      <w:r>
        <w:rPr>
          <w:rFonts w:ascii="Times New Roman" w:eastAsia="宋体" w:hAnsi="Times New Roman" w:cs="Times New Roman"/>
          <w:kern w:val="0"/>
          <w:szCs w:val="20"/>
        </w:rPr>
        <w:t>Shannon-Weiner</w:t>
      </w:r>
      <w:r>
        <w:rPr>
          <w:rFonts w:ascii="Times New Roman" w:eastAsia="宋体" w:hAnsi="Times New Roman" w:cs="Times New Roman" w:hint="eastAsia"/>
          <w:kern w:val="0"/>
          <w:szCs w:val="20"/>
        </w:rPr>
        <w:t>指数差距较大就证明均匀度接近但是丰富度较好。</w:t>
      </w:r>
    </w:p>
    <w:p w14:paraId="6A9678D8" w14:textId="77777777" w:rsidR="009D12AF" w:rsidRDefault="00000000">
      <w:pPr>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2</w:t>
      </w:r>
      <w:r>
        <w:rPr>
          <w:rFonts w:ascii="Times New Roman" w:eastAsia="宋体" w:hAnsi="Times New Roman" w:cs="Times New Roman" w:hint="eastAsia"/>
          <w:kern w:val="0"/>
          <w:szCs w:val="20"/>
        </w:rPr>
        <w:t>、生态系统评价方法</w:t>
      </w:r>
    </w:p>
    <w:p w14:paraId="29A6E032" w14:textId="77777777" w:rsidR="009D12AF" w:rsidRDefault="00000000">
      <w:pPr>
        <w:widowControl/>
        <w:numPr>
          <w:ilvl w:val="0"/>
          <w:numId w:val="10"/>
        </w:numPr>
        <w:ind w:left="0" w:firstLine="480"/>
        <w:jc w:val="left"/>
        <w:rPr>
          <w:rFonts w:ascii="宋体" w:eastAsia="宋体" w:hAnsi="宋体" w:cs="宋体" w:hint="eastAsia"/>
          <w:kern w:val="0"/>
        </w:rPr>
      </w:pPr>
      <w:r>
        <w:rPr>
          <w:rFonts w:ascii="宋体" w:eastAsia="宋体" w:hAnsi="宋体" w:cs="宋体" w:hint="eastAsia"/>
          <w:kern w:val="0"/>
        </w:rPr>
        <w:t>植被覆盖度</w:t>
      </w:r>
    </w:p>
    <w:p w14:paraId="01F39CF5"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t>按照《环境影响评价技术导则</w:t>
      </w:r>
      <w:r>
        <w:rPr>
          <w:rFonts w:ascii="Times New Roman" w:eastAsia="宋体" w:hAnsi="Times New Roman" w:cs="Times New Roman"/>
          <w:kern w:val="0"/>
        </w:rPr>
        <w:t xml:space="preserve">  </w:t>
      </w:r>
      <w:r>
        <w:rPr>
          <w:rFonts w:ascii="Times New Roman" w:eastAsia="宋体" w:hAnsi="Times New Roman" w:cs="Times New Roman"/>
          <w:kern w:val="0"/>
        </w:rPr>
        <w:t>生态影响》（</w:t>
      </w:r>
      <w:r>
        <w:rPr>
          <w:rFonts w:ascii="Times New Roman" w:eastAsia="宋体" w:hAnsi="Times New Roman" w:cs="Times New Roman"/>
          <w:kern w:val="0"/>
        </w:rPr>
        <w:t>HJ19-2022</w:t>
      </w:r>
      <w:r>
        <w:rPr>
          <w:rFonts w:ascii="Times New Roman" w:eastAsia="宋体" w:hAnsi="Times New Roman" w:cs="Times New Roman"/>
          <w:kern w:val="0"/>
        </w:rPr>
        <w:t>）中推荐的方法，采用归一化植被指数（</w:t>
      </w:r>
      <w:r>
        <w:rPr>
          <w:rFonts w:ascii="Times New Roman" w:eastAsia="宋体" w:hAnsi="Times New Roman" w:cs="Times New Roman"/>
          <w:kern w:val="0"/>
        </w:rPr>
        <w:t>NDVI</w:t>
      </w:r>
      <w:r>
        <w:rPr>
          <w:rFonts w:ascii="Times New Roman" w:eastAsia="宋体" w:hAnsi="Times New Roman" w:cs="Times New Roman"/>
          <w:kern w:val="0"/>
        </w:rPr>
        <w:t>）估算植被覆盖度法，植被指数法主要是通过对各像元中植被类型及分布特征的分析，建立植被指数与植被覆盖度的转换关系。采用归一化植被指数（</w:t>
      </w:r>
      <w:r>
        <w:rPr>
          <w:rFonts w:ascii="Times New Roman" w:eastAsia="宋体" w:hAnsi="Times New Roman" w:cs="Times New Roman"/>
          <w:kern w:val="0"/>
        </w:rPr>
        <w:t>NDVI</w:t>
      </w:r>
      <w:r>
        <w:rPr>
          <w:rFonts w:ascii="Times New Roman" w:eastAsia="宋体" w:hAnsi="Times New Roman" w:cs="Times New Roman"/>
          <w:kern w:val="0"/>
        </w:rPr>
        <w:t>）估算植被覆盖度的方法如下：</w:t>
      </w:r>
    </w:p>
    <w:p w14:paraId="79D91EB8" w14:textId="77777777" w:rsidR="009D12AF" w:rsidRDefault="00000000">
      <w:pPr>
        <w:widowControl/>
        <w:ind w:firstLine="480"/>
        <w:jc w:val="center"/>
        <w:rPr>
          <w:rFonts w:ascii="Times New Roman" w:eastAsia="宋体" w:hAnsi="Times New Roman" w:cs="Times New Roman"/>
          <w:kern w:val="0"/>
        </w:rPr>
      </w:pPr>
      <w:r>
        <w:rPr>
          <w:rFonts w:ascii="Times New Roman" w:eastAsia="宋体" w:hAnsi="Times New Roman" w:cs="Times New Roman"/>
          <w:kern w:val="0"/>
        </w:rPr>
        <w:t>FVC = (NDVI-NDVIs )/(NDVIv -NDVIs )</w:t>
      </w:r>
    </w:p>
    <w:p w14:paraId="197C7022"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t>式中：</w:t>
      </w:r>
      <w:r>
        <w:rPr>
          <w:rFonts w:ascii="Times New Roman" w:eastAsia="宋体" w:hAnsi="Times New Roman" w:cs="Times New Roman"/>
          <w:i/>
          <w:iCs/>
          <w:kern w:val="0"/>
        </w:rPr>
        <w:t>FVC</w:t>
      </w:r>
      <w:r>
        <w:rPr>
          <w:rFonts w:ascii="Times New Roman" w:eastAsia="宋体" w:hAnsi="Times New Roman" w:cs="Times New Roman"/>
          <w:kern w:val="0"/>
        </w:rPr>
        <w:t>——</w:t>
      </w:r>
      <w:r>
        <w:rPr>
          <w:rFonts w:ascii="Times New Roman" w:eastAsia="宋体" w:hAnsi="Times New Roman" w:cs="Times New Roman"/>
          <w:kern w:val="0"/>
        </w:rPr>
        <w:t>所计算像元的植被覆盖度；</w:t>
      </w:r>
    </w:p>
    <w:p w14:paraId="55E6997F"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t xml:space="preserve">      </w:t>
      </w:r>
      <w:r>
        <w:rPr>
          <w:rFonts w:ascii="Times New Roman" w:eastAsia="宋体" w:hAnsi="Times New Roman" w:cs="Times New Roman"/>
          <w:i/>
          <w:iCs/>
          <w:kern w:val="0"/>
        </w:rPr>
        <w:t>NDVI</w:t>
      </w:r>
      <w:r>
        <w:rPr>
          <w:rFonts w:ascii="Times New Roman" w:eastAsia="宋体" w:hAnsi="Times New Roman" w:cs="Times New Roman"/>
          <w:kern w:val="0"/>
        </w:rPr>
        <w:t>——</w:t>
      </w:r>
      <w:r>
        <w:rPr>
          <w:rFonts w:ascii="Times New Roman" w:eastAsia="宋体" w:hAnsi="Times New Roman" w:cs="Times New Roman"/>
          <w:kern w:val="0"/>
        </w:rPr>
        <w:t>所计算像元的</w:t>
      </w:r>
      <w:r>
        <w:rPr>
          <w:rFonts w:ascii="Times New Roman" w:eastAsia="宋体" w:hAnsi="Times New Roman" w:cs="Times New Roman"/>
          <w:kern w:val="0"/>
        </w:rPr>
        <w:t xml:space="preserve"> NDVI </w:t>
      </w:r>
      <w:r>
        <w:rPr>
          <w:rFonts w:ascii="Times New Roman" w:eastAsia="宋体" w:hAnsi="Times New Roman" w:cs="Times New Roman"/>
          <w:kern w:val="0"/>
        </w:rPr>
        <w:t>值；</w:t>
      </w:r>
      <w:r>
        <w:rPr>
          <w:rFonts w:ascii="Times New Roman" w:eastAsia="宋体" w:hAnsi="Times New Roman" w:cs="Times New Roman"/>
          <w:kern w:val="0"/>
        </w:rPr>
        <w:t xml:space="preserve"> </w:t>
      </w:r>
    </w:p>
    <w:p w14:paraId="0A9B927A" w14:textId="77777777" w:rsidR="009D12AF" w:rsidRDefault="00000000">
      <w:pPr>
        <w:widowControl/>
        <w:ind w:firstLineChars="500" w:firstLine="1200"/>
        <w:jc w:val="left"/>
        <w:rPr>
          <w:rFonts w:ascii="Times New Roman" w:eastAsia="宋体" w:hAnsi="Times New Roman" w:cs="Times New Roman"/>
          <w:kern w:val="0"/>
        </w:rPr>
      </w:pPr>
      <w:r>
        <w:rPr>
          <w:rFonts w:ascii="Times New Roman" w:eastAsia="宋体" w:hAnsi="Times New Roman" w:cs="Times New Roman"/>
          <w:i/>
          <w:iCs/>
          <w:kern w:val="0"/>
        </w:rPr>
        <w:t>NDVIv</w:t>
      </w:r>
      <w:r>
        <w:rPr>
          <w:rFonts w:ascii="Times New Roman" w:eastAsia="宋体" w:hAnsi="Times New Roman" w:cs="Times New Roman"/>
          <w:kern w:val="0"/>
        </w:rPr>
        <w:t>——</w:t>
      </w:r>
      <w:r>
        <w:rPr>
          <w:rFonts w:ascii="Times New Roman" w:eastAsia="宋体" w:hAnsi="Times New Roman" w:cs="Times New Roman"/>
          <w:kern w:val="0"/>
        </w:rPr>
        <w:t>纯植物像元的</w:t>
      </w:r>
      <w:r>
        <w:rPr>
          <w:rFonts w:ascii="Times New Roman" w:eastAsia="宋体" w:hAnsi="Times New Roman" w:cs="Times New Roman"/>
          <w:kern w:val="0"/>
        </w:rPr>
        <w:t xml:space="preserve"> NDVI </w:t>
      </w:r>
      <w:r>
        <w:rPr>
          <w:rFonts w:ascii="Times New Roman" w:eastAsia="宋体" w:hAnsi="Times New Roman" w:cs="Times New Roman"/>
          <w:kern w:val="0"/>
        </w:rPr>
        <w:t>值；</w:t>
      </w:r>
      <w:r>
        <w:rPr>
          <w:rFonts w:ascii="Times New Roman" w:eastAsia="宋体" w:hAnsi="Times New Roman" w:cs="Times New Roman"/>
          <w:kern w:val="0"/>
        </w:rPr>
        <w:t xml:space="preserve"> </w:t>
      </w:r>
    </w:p>
    <w:p w14:paraId="0D4F1708" w14:textId="77777777" w:rsidR="009D12AF" w:rsidRDefault="00000000">
      <w:pPr>
        <w:widowControl/>
        <w:ind w:firstLineChars="500" w:firstLine="1200"/>
        <w:jc w:val="left"/>
        <w:rPr>
          <w:rFonts w:ascii="Times New Roman" w:eastAsia="宋体" w:hAnsi="Times New Roman" w:cs="Times New Roman"/>
          <w:kern w:val="0"/>
        </w:rPr>
      </w:pPr>
      <w:r>
        <w:rPr>
          <w:rFonts w:ascii="Times New Roman" w:eastAsia="宋体" w:hAnsi="Times New Roman" w:cs="Times New Roman"/>
          <w:i/>
          <w:iCs/>
          <w:kern w:val="0"/>
        </w:rPr>
        <w:t>NDVIs</w:t>
      </w:r>
      <w:r>
        <w:rPr>
          <w:rFonts w:ascii="Times New Roman" w:eastAsia="宋体" w:hAnsi="Times New Roman" w:cs="Times New Roman"/>
          <w:kern w:val="0"/>
        </w:rPr>
        <w:t>——</w:t>
      </w:r>
      <w:r>
        <w:rPr>
          <w:rFonts w:ascii="Times New Roman" w:eastAsia="宋体" w:hAnsi="Times New Roman" w:cs="Times New Roman"/>
          <w:kern w:val="0"/>
        </w:rPr>
        <w:t>完全无植被覆盖像元的</w:t>
      </w:r>
      <w:r>
        <w:rPr>
          <w:rFonts w:ascii="Times New Roman" w:eastAsia="宋体" w:hAnsi="Times New Roman" w:cs="Times New Roman"/>
          <w:kern w:val="0"/>
        </w:rPr>
        <w:t xml:space="preserve"> NDVI </w:t>
      </w:r>
      <w:r>
        <w:rPr>
          <w:rFonts w:ascii="Times New Roman" w:eastAsia="宋体" w:hAnsi="Times New Roman" w:cs="Times New Roman"/>
          <w:kern w:val="0"/>
        </w:rPr>
        <w:t>值。</w:t>
      </w:r>
    </w:p>
    <w:p w14:paraId="2E33570A" w14:textId="77777777" w:rsidR="009D12AF" w:rsidRDefault="00000000">
      <w:pPr>
        <w:widowControl/>
        <w:numPr>
          <w:ilvl w:val="0"/>
          <w:numId w:val="10"/>
        </w:numPr>
        <w:ind w:left="0" w:firstLine="480"/>
        <w:jc w:val="left"/>
        <w:rPr>
          <w:rFonts w:ascii="宋体" w:eastAsia="宋体" w:hAnsi="宋体" w:cs="宋体" w:hint="eastAsia"/>
          <w:kern w:val="0"/>
        </w:rPr>
      </w:pPr>
      <w:r>
        <w:rPr>
          <w:rFonts w:ascii="宋体" w:eastAsia="宋体" w:hAnsi="宋体" w:cs="宋体"/>
          <w:kern w:val="0"/>
        </w:rPr>
        <w:lastRenderedPageBreak/>
        <w:t>生物量</w:t>
      </w:r>
    </w:p>
    <w:p w14:paraId="029ED8E7" w14:textId="77777777" w:rsidR="009D12AF" w:rsidRDefault="00000000">
      <w:pPr>
        <w:widowControl/>
        <w:ind w:firstLine="480"/>
        <w:jc w:val="left"/>
        <w:rPr>
          <w:rFonts w:ascii="宋体" w:eastAsia="宋体" w:hAnsi="宋体" w:cs="宋体" w:hint="eastAsia"/>
          <w:kern w:val="0"/>
        </w:rPr>
      </w:pPr>
      <w:r>
        <w:rPr>
          <w:rFonts w:ascii="宋体" w:eastAsia="宋体" w:hAnsi="宋体" w:cs="宋体"/>
          <w:kern w:val="0"/>
        </w:rPr>
        <w:t>不同的生态系统有其各自的特征生物量，当某种生态类型的植被生物量数值高于其特征生物量数值时，可以认为该生态体系的生态承载能力强，对一定限度的干扰有较强的自我恢复能力</w:t>
      </w:r>
      <w:r>
        <w:rPr>
          <w:rFonts w:ascii="宋体" w:eastAsia="宋体" w:hAnsi="宋体" w:cs="宋体" w:hint="eastAsia"/>
          <w:kern w:val="0"/>
        </w:rPr>
        <w:t>。生物量</w:t>
      </w:r>
      <w:r>
        <w:rPr>
          <w:rFonts w:ascii="宋体" w:eastAsia="宋体" w:hAnsi="宋体" w:cs="宋体"/>
          <w:kern w:val="0"/>
        </w:rPr>
        <w:t>采用收获法获取调查样方内灌木、草本植被样本单位面积的鲜重、干重</w:t>
      </w:r>
      <w:r>
        <w:rPr>
          <w:rFonts w:ascii="宋体" w:eastAsia="宋体" w:hAnsi="宋体" w:cs="宋体" w:hint="eastAsia"/>
          <w:kern w:val="0"/>
        </w:rPr>
        <w:t>；利用乔木林调查样地的测树因子及</w:t>
      </w:r>
      <w:r>
        <w:rPr>
          <w:rFonts w:ascii="宋体" w:eastAsia="宋体" w:hAnsi="宋体" w:cs="宋体"/>
          <w:kern w:val="0"/>
        </w:rPr>
        <w:t>生物量方程法</w:t>
      </w:r>
      <w:r>
        <w:rPr>
          <w:rFonts w:ascii="宋体" w:eastAsia="宋体" w:hAnsi="宋体" w:cs="宋体" w:hint="eastAsia"/>
          <w:kern w:val="0"/>
        </w:rPr>
        <w:t>，获取</w:t>
      </w:r>
      <w:r>
        <w:rPr>
          <w:rFonts w:ascii="宋体" w:eastAsia="宋体" w:hAnsi="宋体" w:cs="宋体"/>
          <w:kern w:val="0"/>
        </w:rPr>
        <w:t>乔木</w:t>
      </w:r>
      <w:r>
        <w:rPr>
          <w:rFonts w:ascii="宋体" w:eastAsia="宋体" w:hAnsi="宋体" w:cs="宋体" w:hint="eastAsia"/>
          <w:kern w:val="0"/>
        </w:rPr>
        <w:t>林调查</w:t>
      </w:r>
      <w:r>
        <w:rPr>
          <w:rFonts w:ascii="宋体" w:eastAsia="宋体" w:hAnsi="宋体" w:cs="宋体"/>
          <w:kern w:val="0"/>
        </w:rPr>
        <w:t>样</w:t>
      </w:r>
      <w:r>
        <w:rPr>
          <w:rFonts w:ascii="宋体" w:eastAsia="宋体" w:hAnsi="宋体" w:cs="宋体" w:hint="eastAsia"/>
          <w:kern w:val="0"/>
        </w:rPr>
        <w:t>地</w:t>
      </w:r>
      <w:r>
        <w:rPr>
          <w:rFonts w:ascii="宋体" w:eastAsia="宋体" w:hAnsi="宋体" w:cs="宋体"/>
          <w:kern w:val="0"/>
        </w:rPr>
        <w:t>中不同树种实地测量的单位面积生物量</w:t>
      </w:r>
      <w:r>
        <w:rPr>
          <w:rFonts w:ascii="宋体" w:eastAsia="宋体" w:hAnsi="宋体" w:cs="宋体" w:hint="eastAsia"/>
          <w:kern w:val="0"/>
        </w:rPr>
        <w:t>。结合构建的评价区域</w:t>
      </w:r>
      <w:r>
        <w:rPr>
          <w:rFonts w:ascii="宋体" w:eastAsia="宋体" w:hAnsi="宋体" w:cs="宋体"/>
          <w:kern w:val="0"/>
        </w:rPr>
        <w:t>遥感植被指数模型</w:t>
      </w:r>
      <w:r>
        <w:rPr>
          <w:rFonts w:ascii="宋体" w:eastAsia="宋体" w:hAnsi="宋体" w:cs="宋体" w:hint="eastAsia"/>
          <w:kern w:val="0"/>
        </w:rPr>
        <w:t>，</w:t>
      </w:r>
      <w:r>
        <w:rPr>
          <w:rFonts w:ascii="宋体" w:eastAsia="宋体" w:hAnsi="宋体" w:cs="宋体"/>
          <w:kern w:val="0"/>
        </w:rPr>
        <w:t>反演得到评价</w:t>
      </w:r>
      <w:r>
        <w:rPr>
          <w:rFonts w:ascii="宋体" w:eastAsia="宋体" w:hAnsi="宋体" w:cs="宋体" w:hint="eastAsia"/>
          <w:kern w:val="0"/>
        </w:rPr>
        <w:t>内生态系统</w:t>
      </w:r>
      <w:r>
        <w:rPr>
          <w:rFonts w:ascii="宋体" w:eastAsia="宋体" w:hAnsi="宋体" w:cs="宋体"/>
          <w:kern w:val="0"/>
        </w:rPr>
        <w:t>的生物量。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6"/>
        <w:gridCol w:w="4146"/>
      </w:tblGrid>
      <w:tr w:rsidR="009D12AF" w14:paraId="004E565A" w14:textId="77777777">
        <w:trPr>
          <w:jc w:val="center"/>
        </w:trPr>
        <w:tc>
          <w:tcPr>
            <w:tcW w:w="3846" w:type="dxa"/>
            <w:vAlign w:val="center"/>
          </w:tcPr>
          <w:p w14:paraId="22F3C739" w14:textId="77777777" w:rsidR="009D12AF" w:rsidRDefault="00000000">
            <w:pPr>
              <w:pStyle w:val="M"/>
              <w:ind w:firstLineChars="0" w:firstLine="0"/>
              <w:rPr>
                <w:szCs w:val="15"/>
              </w:rPr>
            </w:pPr>
            <w:r>
              <w:rPr>
                <w:noProof/>
                <w:szCs w:val="15"/>
              </w:rPr>
              <w:drawing>
                <wp:inline distT="0" distB="0" distL="0" distR="0" wp14:anchorId="01229D62" wp14:editId="76C76B1C">
                  <wp:extent cx="2299335" cy="1725295"/>
                  <wp:effectExtent l="0" t="0" r="5715" b="8255"/>
                  <wp:docPr id="1938970240" name="图片 1938970240" descr="H:\实验室工作照\527ba2e1cbba4e1664b708a1c0e35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970240" name="图片 1938970240" descr="H:\实验室工作照\527ba2e1cbba4e1664b708a1c0e356b.jpg"/>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a:xfrm>
                            <a:off x="0" y="0"/>
                            <a:ext cx="2307688" cy="1731391"/>
                          </a:xfrm>
                          <a:prstGeom prst="rect">
                            <a:avLst/>
                          </a:prstGeom>
                          <a:noFill/>
                          <a:ln>
                            <a:noFill/>
                          </a:ln>
                        </pic:spPr>
                      </pic:pic>
                    </a:graphicData>
                  </a:graphic>
                </wp:inline>
              </w:drawing>
            </w:r>
          </w:p>
        </w:tc>
        <w:tc>
          <w:tcPr>
            <w:tcW w:w="4121" w:type="dxa"/>
            <w:vAlign w:val="center"/>
          </w:tcPr>
          <w:p w14:paraId="7D2E9D1D" w14:textId="77777777" w:rsidR="009D12AF" w:rsidRDefault="00000000">
            <w:pPr>
              <w:pStyle w:val="M"/>
              <w:ind w:firstLineChars="0" w:firstLine="0"/>
              <w:rPr>
                <w:szCs w:val="15"/>
              </w:rPr>
            </w:pPr>
            <w:r>
              <w:rPr>
                <w:noProof/>
                <w:szCs w:val="15"/>
              </w:rPr>
              <w:drawing>
                <wp:inline distT="0" distB="0" distL="0" distR="0" wp14:anchorId="1877DC34" wp14:editId="5866B1FF">
                  <wp:extent cx="2479675" cy="1714500"/>
                  <wp:effectExtent l="0" t="0" r="15875" b="0"/>
                  <wp:docPr id="1938970241" name="图片 1938970241" descr="H:\实验室工作照\15407485cb3963aad684859d84c74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970241" name="图片 1938970241" descr="H:\实验室工作照\15407485cb3963aad684859d84c74fc.jpg"/>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a:xfrm>
                            <a:off x="0" y="0"/>
                            <a:ext cx="2482357" cy="1716372"/>
                          </a:xfrm>
                          <a:prstGeom prst="rect">
                            <a:avLst/>
                          </a:prstGeom>
                          <a:noFill/>
                          <a:ln>
                            <a:noFill/>
                          </a:ln>
                        </pic:spPr>
                      </pic:pic>
                    </a:graphicData>
                  </a:graphic>
                </wp:inline>
              </w:drawing>
            </w:r>
          </w:p>
        </w:tc>
      </w:tr>
    </w:tbl>
    <w:p w14:paraId="58537510" w14:textId="77777777" w:rsidR="009D12AF" w:rsidRDefault="00000000">
      <w:pPr>
        <w:widowControl/>
        <w:numPr>
          <w:ilvl w:val="0"/>
          <w:numId w:val="10"/>
        </w:numPr>
        <w:ind w:left="0" w:firstLine="480"/>
        <w:jc w:val="left"/>
        <w:rPr>
          <w:rFonts w:ascii="宋体" w:eastAsia="宋体" w:hAnsi="宋体" w:cs="宋体" w:hint="eastAsia"/>
          <w:kern w:val="0"/>
        </w:rPr>
      </w:pPr>
      <w:r>
        <w:rPr>
          <w:rFonts w:ascii="宋体" w:eastAsia="宋体" w:hAnsi="宋体" w:cs="宋体"/>
          <w:kern w:val="0"/>
        </w:rPr>
        <w:t>生产力</w:t>
      </w:r>
    </w:p>
    <w:p w14:paraId="14BED3C3" w14:textId="77777777" w:rsidR="009D12AF" w:rsidRDefault="00000000">
      <w:pPr>
        <w:widowControl/>
        <w:ind w:firstLineChars="150" w:firstLine="360"/>
        <w:jc w:val="left"/>
        <w:rPr>
          <w:rFonts w:ascii="Times New Roman" w:eastAsia="宋体" w:hAnsi="Times New Roman" w:cs="Times New Roman"/>
          <w:kern w:val="0"/>
        </w:rPr>
      </w:pPr>
      <w:r>
        <w:rPr>
          <w:rFonts w:ascii="Times New Roman" w:eastAsia="宋体" w:hAnsi="Times New Roman" w:cs="Times New Roman"/>
          <w:kern w:val="0"/>
        </w:rPr>
        <w:t>生态系统生产力评价的数据来源于实地调查、收集的现状资料，采用《环境影响评价技术导则</w:t>
      </w:r>
      <w:r>
        <w:rPr>
          <w:rFonts w:ascii="Times New Roman" w:eastAsia="宋体" w:hAnsi="Times New Roman" w:cs="Times New Roman"/>
          <w:kern w:val="0"/>
        </w:rPr>
        <w:t xml:space="preserve">  </w:t>
      </w:r>
      <w:r>
        <w:rPr>
          <w:rFonts w:ascii="Times New Roman" w:eastAsia="宋体" w:hAnsi="Times New Roman" w:cs="Times New Roman"/>
          <w:kern w:val="0"/>
        </w:rPr>
        <w:t>生态影响》（</w:t>
      </w:r>
      <w:r>
        <w:rPr>
          <w:rFonts w:ascii="Times New Roman" w:eastAsia="宋体" w:hAnsi="Times New Roman" w:cs="Times New Roman"/>
          <w:kern w:val="0"/>
        </w:rPr>
        <w:t>HJ19-2022</w:t>
      </w:r>
      <w:r>
        <w:rPr>
          <w:rFonts w:ascii="Times New Roman" w:eastAsia="宋体" w:hAnsi="Times New Roman" w:cs="Times New Roman"/>
          <w:kern w:val="0"/>
        </w:rPr>
        <w:t>）附录</w:t>
      </w:r>
      <w:r>
        <w:rPr>
          <w:rFonts w:ascii="Times New Roman" w:eastAsia="宋体" w:hAnsi="Times New Roman" w:cs="Times New Roman"/>
          <w:kern w:val="0"/>
        </w:rPr>
        <w:t>C</w:t>
      </w:r>
      <w:r>
        <w:rPr>
          <w:rFonts w:ascii="Times New Roman" w:eastAsia="宋体" w:hAnsi="Times New Roman" w:cs="Times New Roman"/>
          <w:kern w:val="0"/>
        </w:rPr>
        <w:t>中推荐的</w:t>
      </w:r>
      <w:r>
        <w:rPr>
          <w:rFonts w:ascii="Times New Roman" w:eastAsia="宋体" w:hAnsi="Times New Roman" w:cs="Times New Roman"/>
          <w:kern w:val="0"/>
        </w:rPr>
        <w:t xml:space="preserve">Miami </w:t>
      </w:r>
      <w:r>
        <w:rPr>
          <w:rFonts w:ascii="Times New Roman" w:eastAsia="宋体" w:hAnsi="Times New Roman" w:cs="Times New Roman"/>
          <w:kern w:val="0"/>
        </w:rPr>
        <w:t>统计模型，并采用自然生态系统生产力和植被生物量的研究成果进行分析。</w:t>
      </w:r>
    </w:p>
    <w:p w14:paraId="77CEA5BF" w14:textId="77777777" w:rsidR="009D12AF" w:rsidRDefault="00000000">
      <w:pPr>
        <w:widowControl/>
        <w:ind w:firstLine="480"/>
        <w:jc w:val="center"/>
        <w:rPr>
          <w:rFonts w:ascii="宋体" w:eastAsia="宋体" w:hAnsi="宋体" w:cs="宋体" w:hint="eastAsia"/>
          <w:kern w:val="0"/>
        </w:rPr>
      </w:pPr>
      <w:r>
        <w:rPr>
          <w:rFonts w:ascii="宋体" w:eastAsia="宋体" w:hAnsi="宋体" w:cs="宋体"/>
          <w:kern w:val="0"/>
          <w:position w:val="-32"/>
        </w:rPr>
        <w:object w:dxaOrig="2808" w:dyaOrig="784" w14:anchorId="53933C36">
          <v:shape id="_x0000_i1026" type="#_x0000_t75" style="width:140.25pt;height:39pt" o:ole="">
            <v:imagedata r:id="rId121" o:title=""/>
          </v:shape>
          <o:OLEObject Type="Embed" ProgID="Equation.DSMT4" ShapeID="_x0000_i1026" DrawAspect="Content" ObjectID="_1828160663" r:id="rId122"/>
        </w:object>
      </w:r>
    </w:p>
    <w:p w14:paraId="4DB97C48" w14:textId="77777777" w:rsidR="009D12AF" w:rsidRDefault="00000000">
      <w:pPr>
        <w:widowControl/>
        <w:ind w:firstLine="480"/>
        <w:jc w:val="left"/>
        <w:rPr>
          <w:rFonts w:ascii="宋体" w:eastAsia="宋体" w:hAnsi="宋体" w:cs="宋体" w:hint="eastAsia"/>
          <w:kern w:val="0"/>
        </w:rPr>
      </w:pPr>
      <w:r>
        <w:rPr>
          <w:rFonts w:ascii="宋体" w:eastAsia="宋体" w:hAnsi="宋体" w:cs="宋体"/>
          <w:kern w:val="0"/>
          <w:position w:val="-12"/>
        </w:rPr>
        <w:object w:dxaOrig="5720" w:dyaOrig="384" w14:anchorId="5279CFAA">
          <v:shape id="_x0000_i1027" type="#_x0000_t75" style="width:285.75pt;height:19.5pt" o:ole="">
            <v:imagedata r:id="rId123" o:title=""/>
          </v:shape>
          <o:OLEObject Type="Embed" ProgID="Equation.DSMT4" ShapeID="_x0000_i1027" DrawAspect="Content" ObjectID="_1828160664" r:id="rId124"/>
        </w:object>
      </w:r>
    </w:p>
    <w:p w14:paraId="5FE1C593" w14:textId="77777777" w:rsidR="009D12AF" w:rsidRDefault="00000000">
      <w:pPr>
        <w:widowControl/>
        <w:spacing w:after="120" w:line="440" w:lineRule="exact"/>
        <w:ind w:firstLineChars="250" w:firstLine="600"/>
        <w:jc w:val="left"/>
        <w:rPr>
          <w:rFonts w:ascii="宋体" w:eastAsia="宋体" w:hAnsi="宋体" w:cs="宋体" w:hint="eastAsia"/>
          <w:spacing w:val="6"/>
          <w:kern w:val="0"/>
          <w:position w:val="-14"/>
        </w:rPr>
      </w:pPr>
      <w:r>
        <w:rPr>
          <w:rFonts w:ascii="宋体" w:eastAsia="宋体" w:hAnsi="宋体" w:cs="宋体"/>
          <w:spacing w:val="6"/>
          <w:kern w:val="0"/>
          <w:position w:val="-14"/>
        </w:rPr>
        <w:object w:dxaOrig="4096" w:dyaOrig="384" w14:anchorId="262083C0">
          <v:shape id="_x0000_i1028" type="#_x0000_t75" style="width:204.75pt;height:19.5pt" o:ole="">
            <v:imagedata r:id="rId125" o:title=""/>
          </v:shape>
          <o:OLEObject Type="Embed" ProgID="Equation.DSMT4" ShapeID="_x0000_i1028" DrawAspect="Content" ObjectID="_1828160665" r:id="rId126"/>
        </w:object>
      </w:r>
    </w:p>
    <w:p w14:paraId="7365760F" w14:textId="77777777" w:rsidR="009D12AF" w:rsidRDefault="00000000">
      <w:pPr>
        <w:widowControl/>
        <w:numPr>
          <w:ilvl w:val="0"/>
          <w:numId w:val="11"/>
        </w:numPr>
        <w:spacing w:before="100" w:beforeAutospacing="1" w:after="100" w:afterAutospacing="1"/>
        <w:ind w:left="0" w:firstLine="480"/>
        <w:jc w:val="left"/>
        <w:rPr>
          <w:rFonts w:ascii="宋体" w:eastAsia="宋体" w:hAnsi="宋体" w:cs="宋体" w:hint="eastAsia"/>
          <w:kern w:val="0"/>
          <w:szCs w:val="32"/>
        </w:rPr>
      </w:pPr>
      <w:r>
        <w:rPr>
          <w:rFonts w:ascii="宋体" w:eastAsia="宋体" w:hAnsi="宋体" w:cs="宋体" w:hint="eastAsia"/>
          <w:kern w:val="0"/>
          <w:szCs w:val="32"/>
        </w:rPr>
        <w:t>景观格局评价方法</w:t>
      </w:r>
    </w:p>
    <w:p w14:paraId="166F1F9A" w14:textId="77777777" w:rsidR="009D12AF" w:rsidRDefault="00000000">
      <w:pPr>
        <w:widowControl/>
        <w:numPr>
          <w:ilvl w:val="0"/>
          <w:numId w:val="12"/>
        </w:numPr>
        <w:ind w:left="0" w:firstLine="480"/>
        <w:jc w:val="left"/>
        <w:rPr>
          <w:rFonts w:ascii="Times New Roman" w:eastAsia="宋体" w:hAnsi="Times New Roman" w:cs="Times New Roman"/>
          <w:kern w:val="0"/>
        </w:rPr>
      </w:pPr>
      <w:r>
        <w:rPr>
          <w:rFonts w:ascii="Times New Roman" w:eastAsia="宋体" w:hAnsi="Times New Roman" w:cs="Times New Roman" w:hint="eastAsia"/>
          <w:kern w:val="0"/>
        </w:rPr>
        <w:t>景观优势度</w:t>
      </w:r>
    </w:p>
    <w:p w14:paraId="401C1E0D" w14:textId="77777777" w:rsidR="009D12AF" w:rsidRDefault="00000000">
      <w:pPr>
        <w:widowControl/>
        <w:ind w:firstLine="480"/>
        <w:jc w:val="left"/>
        <w:rPr>
          <w:rFonts w:ascii="宋体" w:eastAsia="宋体" w:hAnsi="宋体" w:cs="宋体" w:hint="eastAsia"/>
          <w:kern w:val="0"/>
        </w:rPr>
      </w:pPr>
      <w:r>
        <w:rPr>
          <w:rFonts w:ascii="宋体" w:eastAsia="宋体" w:hAnsi="宋体" w:cs="宋体" w:hint="eastAsia"/>
          <w:kern w:val="0"/>
        </w:rPr>
        <w:t>从景观生态学结构与功能相匹配的理论来说，结构是否合理决定了景观功能的优劣，在组成景观生态系统的各类组分中，模地是景观的背景区域，它在很大程度上决定了景观的性质，对景观的动态起着主导作用。模地采用传统的生态学</w:t>
      </w:r>
      <w:r>
        <w:rPr>
          <w:rFonts w:ascii="宋体" w:eastAsia="宋体" w:hAnsi="宋体" w:cs="宋体" w:hint="eastAsia"/>
          <w:kern w:val="0"/>
        </w:rPr>
        <w:lastRenderedPageBreak/>
        <w:t>方法来确定，即计算组成景观的各类斑块的优势度值（</w:t>
      </w:r>
      <w:r>
        <w:rPr>
          <w:rFonts w:ascii="宋体" w:eastAsia="宋体" w:hAnsi="宋体" w:cs="宋体"/>
          <w:kern w:val="0"/>
        </w:rPr>
        <w:t>Do</w:t>
      </w:r>
      <w:r>
        <w:rPr>
          <w:rFonts w:ascii="宋体" w:eastAsia="宋体" w:hAnsi="宋体" w:cs="宋体" w:hint="eastAsia"/>
          <w:kern w:val="0"/>
        </w:rPr>
        <w:t>），优势度值大的就是模地。</w:t>
      </w:r>
    </w:p>
    <w:p w14:paraId="11B9C107" w14:textId="77777777" w:rsidR="009D12AF" w:rsidRDefault="00000000">
      <w:pPr>
        <w:widowControl/>
        <w:ind w:firstLine="480"/>
        <w:jc w:val="center"/>
        <w:rPr>
          <w:rFonts w:ascii="宋体" w:eastAsia="宋体" w:hAnsi="宋体" w:cs="宋体" w:hint="eastAsia"/>
          <w:kern w:val="0"/>
          <w:sz w:val="28"/>
        </w:rPr>
      </w:pPr>
      <w:r>
        <w:rPr>
          <w:rFonts w:ascii="宋体" w:eastAsia="宋体" w:hAnsi="宋体" w:cs="宋体"/>
          <w:kern w:val="0"/>
        </w:rPr>
        <w:fldChar w:fldCharType="begin"/>
      </w:r>
      <w:r>
        <w:rPr>
          <w:rFonts w:ascii="宋体" w:eastAsia="宋体" w:hAnsi="宋体" w:cs="宋体"/>
          <w:kern w:val="0"/>
        </w:rPr>
        <w:instrText xml:space="preserve"> INCLUDEPICTURE "C:\\Users\\Admin\\AppData\\Local\\Temp\\ksohtml6708\\wps1.png" \* MERGEFORMATINET </w:instrText>
      </w:r>
      <w:r>
        <w:rPr>
          <w:rFonts w:ascii="宋体" w:eastAsia="宋体" w:hAnsi="宋体" w:cs="宋体"/>
          <w:kern w:val="0"/>
        </w:rPr>
        <w:fldChar w:fldCharType="separate"/>
      </w:r>
      <w:r>
        <w:rPr>
          <w:rFonts w:ascii="宋体" w:eastAsia="宋体" w:hAnsi="宋体" w:cs="宋体" w:hint="eastAsia"/>
          <w:kern w:val="0"/>
        </w:rPr>
        <w:fldChar w:fldCharType="begin"/>
      </w:r>
      <w:r>
        <w:rPr>
          <w:rFonts w:ascii="宋体" w:eastAsia="宋体" w:hAnsi="宋体" w:cs="宋体" w:hint="eastAsia"/>
          <w:kern w:val="0"/>
        </w:rPr>
        <w:instrText xml:space="preserve"> INCLUDEPICTURE  "C:\\Users\\Admin\\AppData\\Local\\Temp\\ksohtml6708\\wps1.png" \* MERGEFORMATINET </w:instrText>
      </w:r>
      <w:r>
        <w:rPr>
          <w:rFonts w:ascii="宋体" w:eastAsia="宋体" w:hAnsi="宋体" w:cs="宋体" w:hint="eastAsia"/>
          <w:kern w:val="0"/>
        </w:rPr>
        <w:fldChar w:fldCharType="separate"/>
      </w:r>
      <w:r>
        <w:rPr>
          <w:rFonts w:ascii="宋体" w:eastAsia="宋体" w:hAnsi="宋体" w:cs="宋体" w:hint="eastAsia"/>
          <w:kern w:val="0"/>
        </w:rPr>
        <w:fldChar w:fldCharType="begin"/>
      </w:r>
      <w:r>
        <w:rPr>
          <w:rFonts w:ascii="宋体" w:eastAsia="宋体" w:hAnsi="宋体" w:cs="宋体" w:hint="eastAsia"/>
          <w:kern w:val="0"/>
        </w:rPr>
        <w:instrText xml:space="preserve"> INCLUDEPICTURE  "C:\\Users\\Admin\\AppData\\Local\\Temp\\ksohtml6708\\wps1.png" \* MERGEFORMATINET </w:instrText>
      </w:r>
      <w:r>
        <w:rPr>
          <w:rFonts w:ascii="宋体" w:eastAsia="宋体" w:hAnsi="宋体" w:cs="宋体" w:hint="eastAsia"/>
          <w:kern w:val="0"/>
        </w:rPr>
        <w:fldChar w:fldCharType="separate"/>
      </w:r>
      <w:r>
        <w:rPr>
          <w:rFonts w:ascii="宋体" w:eastAsia="宋体" w:hAnsi="宋体" w:cs="宋体" w:hint="eastAsia"/>
          <w:kern w:val="0"/>
        </w:rPr>
        <w:fldChar w:fldCharType="begin"/>
      </w:r>
      <w:r>
        <w:rPr>
          <w:rFonts w:ascii="宋体" w:eastAsia="宋体" w:hAnsi="宋体" w:cs="宋体" w:hint="eastAsia"/>
          <w:kern w:val="0"/>
        </w:rPr>
        <w:instrText xml:space="preserve"> INCLUDEPICTURE  "C:\\Users\\Admin\\AppData\\Local\\Temp\\ksohtml6708\\wps1.png" \* MERGEFORMATINET </w:instrText>
      </w:r>
      <w:r>
        <w:rPr>
          <w:rFonts w:ascii="宋体" w:eastAsia="宋体" w:hAnsi="宋体" w:cs="宋体" w:hint="eastAsia"/>
          <w:kern w:val="0"/>
        </w:rPr>
        <w:fldChar w:fldCharType="separate"/>
      </w:r>
      <w:r>
        <w:rPr>
          <w:rFonts w:ascii="宋体" w:eastAsia="宋体" w:hAnsi="宋体" w:cs="宋体" w:hint="eastAsia"/>
          <w:kern w:val="0"/>
        </w:rPr>
        <w:fldChar w:fldCharType="begin"/>
      </w:r>
      <w:r>
        <w:rPr>
          <w:rFonts w:ascii="宋体" w:eastAsia="宋体" w:hAnsi="宋体" w:cs="宋体" w:hint="eastAsia"/>
          <w:kern w:val="0"/>
        </w:rPr>
        <w:instrText xml:space="preserve"> INCLUDEPICTURE  "C:\\Users\\Admin\\AppData\\Local\\Temp\\ksohtml6708\\wps1.png" \* MERGEFORMATINET </w:instrText>
      </w:r>
      <w:r>
        <w:rPr>
          <w:rFonts w:ascii="宋体" w:eastAsia="宋体" w:hAnsi="宋体" w:cs="宋体" w:hint="eastAsia"/>
          <w:kern w:val="0"/>
        </w:rPr>
        <w:fldChar w:fldCharType="separate"/>
      </w:r>
      <w:r>
        <w:rPr>
          <w:rFonts w:ascii="宋体" w:eastAsia="宋体" w:hAnsi="宋体" w:cs="宋体" w:hint="eastAsia"/>
          <w:kern w:val="0"/>
        </w:rPr>
        <w:fldChar w:fldCharType="begin"/>
      </w:r>
      <w:r>
        <w:rPr>
          <w:rFonts w:ascii="宋体" w:eastAsia="宋体" w:hAnsi="宋体" w:cs="宋体" w:hint="eastAsia"/>
          <w:kern w:val="0"/>
        </w:rPr>
        <w:instrText xml:space="preserve"> INCLUDEPICTURE  "C:\\Users\\Admin\\AppData\\Local\\Temp\\ksohtml6708\\wps1.png" \* MERGEFORMATINET </w:instrText>
      </w:r>
      <w:r>
        <w:rPr>
          <w:rFonts w:ascii="宋体" w:eastAsia="宋体" w:hAnsi="宋体" w:cs="宋体" w:hint="eastAsia"/>
          <w:kern w:val="0"/>
        </w:rPr>
        <w:fldChar w:fldCharType="separate"/>
      </w:r>
      <w:r>
        <w:rPr>
          <w:rFonts w:ascii="宋体" w:eastAsia="宋体" w:hAnsi="宋体" w:cs="宋体"/>
          <w:kern w:val="0"/>
        </w:rPr>
        <w:fldChar w:fldCharType="begin"/>
      </w:r>
      <w:r>
        <w:rPr>
          <w:rFonts w:ascii="宋体" w:eastAsia="宋体" w:hAnsi="宋体" w:cs="宋体"/>
          <w:kern w:val="0"/>
        </w:rPr>
        <w:instrText xml:space="preserve"> INCLUDEPICTURE  "C:\\Users\\Admin\\AppData\\Local\\Temp\\ksohtml6708\\wps1.png" \* MERGEFORMATINET </w:instrText>
      </w:r>
      <w:r>
        <w:rPr>
          <w:rFonts w:ascii="宋体" w:eastAsia="宋体" w:hAnsi="宋体" w:cs="宋体"/>
          <w:kern w:val="0"/>
        </w:rPr>
        <w:fldChar w:fldCharType="separate"/>
      </w:r>
      <w:r>
        <w:rPr>
          <w:rFonts w:ascii="宋体" w:eastAsia="宋体" w:hAnsi="宋体" w:cs="宋体"/>
          <w:kern w:val="0"/>
        </w:rPr>
        <w:fldChar w:fldCharType="begin"/>
      </w:r>
      <w:r>
        <w:rPr>
          <w:rFonts w:ascii="宋体" w:eastAsia="宋体" w:hAnsi="宋体" w:cs="宋体"/>
          <w:kern w:val="0"/>
        </w:rPr>
        <w:instrText xml:space="preserve"> INCLUDEPICTURE  "C:\\Users\\Admin\\AppData\\Local\\Temp\\ksohtml6708\\wps1.png" \* MERGEFORMATINET </w:instrText>
      </w:r>
      <w:r>
        <w:rPr>
          <w:rFonts w:ascii="宋体" w:eastAsia="宋体" w:hAnsi="宋体" w:cs="宋体"/>
          <w:kern w:val="0"/>
        </w:rPr>
        <w:fldChar w:fldCharType="separate"/>
      </w:r>
      <w:r>
        <w:rPr>
          <w:rFonts w:ascii="宋体" w:eastAsia="宋体" w:hAnsi="宋体" w:cs="宋体"/>
          <w:noProof/>
          <w:kern w:val="0"/>
        </w:rPr>
        <w:drawing>
          <wp:inline distT="0" distB="0" distL="114300" distR="114300" wp14:anchorId="486B322B" wp14:editId="326B45EF">
            <wp:extent cx="1864360" cy="1737360"/>
            <wp:effectExtent l="0" t="0" r="2540" b="15240"/>
            <wp:docPr id="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pic:cNvPicPr>
                      <a:picLocks noChangeAspect="1"/>
                    </pic:cNvPicPr>
                  </pic:nvPicPr>
                  <pic:blipFill>
                    <a:blip r:embed="rId127" r:link="rId128" cstate="screen">
                      <a:extLst>
                        <a:ext uri="{28A0092B-C50C-407E-A947-70E740481C1C}">
                          <a14:useLocalDpi xmlns:a14="http://schemas.microsoft.com/office/drawing/2010/main"/>
                        </a:ext>
                      </a:extLst>
                    </a:blip>
                    <a:stretch>
                      <a:fillRect/>
                    </a:stretch>
                  </pic:blipFill>
                  <pic:spPr>
                    <a:xfrm>
                      <a:off x="0" y="0"/>
                      <a:ext cx="1864360" cy="1737360"/>
                    </a:xfrm>
                    <a:prstGeom prst="rect">
                      <a:avLst/>
                    </a:prstGeom>
                    <a:noFill/>
                    <a:ln>
                      <a:noFill/>
                    </a:ln>
                  </pic:spPr>
                </pic:pic>
              </a:graphicData>
            </a:graphic>
          </wp:inline>
        </w:drawing>
      </w:r>
      <w:r>
        <w:rPr>
          <w:rFonts w:ascii="宋体" w:eastAsia="宋体" w:hAnsi="宋体" w:cs="宋体"/>
          <w:kern w:val="0"/>
        </w:rPr>
        <w:fldChar w:fldCharType="end"/>
      </w:r>
      <w:r>
        <w:rPr>
          <w:rFonts w:ascii="宋体" w:eastAsia="宋体" w:hAnsi="宋体" w:cs="宋体"/>
          <w:kern w:val="0"/>
        </w:rPr>
        <w:fldChar w:fldCharType="end"/>
      </w:r>
      <w:r>
        <w:rPr>
          <w:rFonts w:ascii="宋体" w:eastAsia="宋体" w:hAnsi="宋体" w:cs="宋体" w:hint="eastAsia"/>
          <w:kern w:val="0"/>
        </w:rPr>
        <w:fldChar w:fldCharType="end"/>
      </w:r>
      <w:r>
        <w:rPr>
          <w:rFonts w:ascii="宋体" w:eastAsia="宋体" w:hAnsi="宋体" w:cs="宋体" w:hint="eastAsia"/>
          <w:kern w:val="0"/>
        </w:rPr>
        <w:fldChar w:fldCharType="end"/>
      </w:r>
      <w:r>
        <w:rPr>
          <w:rFonts w:ascii="宋体" w:eastAsia="宋体" w:hAnsi="宋体" w:cs="宋体" w:hint="eastAsia"/>
          <w:kern w:val="0"/>
        </w:rPr>
        <w:fldChar w:fldCharType="end"/>
      </w:r>
      <w:r>
        <w:rPr>
          <w:rFonts w:ascii="宋体" w:eastAsia="宋体" w:hAnsi="宋体" w:cs="宋体" w:hint="eastAsia"/>
          <w:kern w:val="0"/>
        </w:rPr>
        <w:fldChar w:fldCharType="end"/>
      </w:r>
      <w:r>
        <w:rPr>
          <w:rFonts w:ascii="宋体" w:eastAsia="宋体" w:hAnsi="宋体" w:cs="宋体" w:hint="eastAsia"/>
          <w:kern w:val="0"/>
        </w:rPr>
        <w:fldChar w:fldCharType="end"/>
      </w:r>
      <w:r>
        <w:rPr>
          <w:rFonts w:ascii="宋体" w:eastAsia="宋体" w:hAnsi="宋体" w:cs="宋体"/>
          <w:kern w:val="0"/>
        </w:rPr>
        <w:fldChar w:fldCharType="end"/>
      </w:r>
    </w:p>
    <w:p w14:paraId="1E2ED707" w14:textId="77777777" w:rsidR="009D12AF" w:rsidRDefault="00000000">
      <w:pPr>
        <w:widowControl/>
        <w:ind w:firstLine="480"/>
        <w:jc w:val="left"/>
        <w:rPr>
          <w:rFonts w:ascii="宋体" w:eastAsia="宋体" w:hAnsi="宋体" w:cs="宋体" w:hint="eastAsia"/>
          <w:kern w:val="0"/>
        </w:rPr>
      </w:pPr>
      <w:r>
        <w:rPr>
          <w:rFonts w:ascii="宋体" w:eastAsia="宋体" w:hAnsi="宋体" w:cs="宋体"/>
          <w:kern w:val="0"/>
        </w:rPr>
        <w:fldChar w:fldCharType="begin"/>
      </w:r>
      <w:r>
        <w:rPr>
          <w:rFonts w:ascii="宋体" w:eastAsia="宋体" w:hAnsi="宋体" w:cs="宋体"/>
          <w:kern w:val="0"/>
        </w:rPr>
        <w:instrText xml:space="preserve"> INCLUDEPICTURE "C:\\Users\\Admin\\AppData\\Local\\Temp\\ksohtml6708\\wps2.png" \* MERGEFORMATINET </w:instrText>
      </w:r>
      <w:r>
        <w:rPr>
          <w:rFonts w:ascii="宋体" w:eastAsia="宋体" w:hAnsi="宋体" w:cs="宋体"/>
          <w:kern w:val="0"/>
        </w:rPr>
        <w:fldChar w:fldCharType="separate"/>
      </w:r>
      <w:r>
        <w:rPr>
          <w:rFonts w:ascii="宋体" w:eastAsia="宋体" w:hAnsi="宋体" w:cs="宋体" w:hint="eastAsia"/>
          <w:kern w:val="0"/>
        </w:rPr>
        <w:fldChar w:fldCharType="begin"/>
      </w:r>
      <w:r>
        <w:rPr>
          <w:rFonts w:ascii="宋体" w:eastAsia="宋体" w:hAnsi="宋体" w:cs="宋体" w:hint="eastAsia"/>
          <w:kern w:val="0"/>
        </w:rPr>
        <w:instrText xml:space="preserve"> INCLUDEPICTURE  "C:\\Users\\Admin\\AppData\\Local\\Temp\\ksohtml6708\\wps2.png" \* MERGEFORMATINET </w:instrText>
      </w:r>
      <w:r>
        <w:rPr>
          <w:rFonts w:ascii="宋体" w:eastAsia="宋体" w:hAnsi="宋体" w:cs="宋体" w:hint="eastAsia"/>
          <w:kern w:val="0"/>
        </w:rPr>
        <w:fldChar w:fldCharType="separate"/>
      </w:r>
      <w:r>
        <w:rPr>
          <w:rFonts w:ascii="宋体" w:eastAsia="宋体" w:hAnsi="宋体" w:cs="宋体" w:hint="eastAsia"/>
          <w:kern w:val="0"/>
        </w:rPr>
        <w:fldChar w:fldCharType="begin"/>
      </w:r>
      <w:r>
        <w:rPr>
          <w:rFonts w:ascii="宋体" w:eastAsia="宋体" w:hAnsi="宋体" w:cs="宋体" w:hint="eastAsia"/>
          <w:kern w:val="0"/>
        </w:rPr>
        <w:instrText xml:space="preserve"> INCLUDEPICTURE  "C:\\Users\\Admin\\AppData\\Local\\Temp\\ksohtml6708\\wps2.png" \* MERGEFORMATINET </w:instrText>
      </w:r>
      <w:r>
        <w:rPr>
          <w:rFonts w:ascii="宋体" w:eastAsia="宋体" w:hAnsi="宋体" w:cs="宋体" w:hint="eastAsia"/>
          <w:kern w:val="0"/>
        </w:rPr>
        <w:fldChar w:fldCharType="separate"/>
      </w:r>
      <w:r>
        <w:rPr>
          <w:rFonts w:ascii="宋体" w:eastAsia="宋体" w:hAnsi="宋体" w:cs="宋体" w:hint="eastAsia"/>
          <w:kern w:val="0"/>
        </w:rPr>
        <w:fldChar w:fldCharType="begin"/>
      </w:r>
      <w:r>
        <w:rPr>
          <w:rFonts w:ascii="宋体" w:eastAsia="宋体" w:hAnsi="宋体" w:cs="宋体" w:hint="eastAsia"/>
          <w:kern w:val="0"/>
        </w:rPr>
        <w:instrText xml:space="preserve"> INCLUDEPICTURE  "C:\\Users\\Admin\\AppData\\Local\\Temp\\ksohtml6708\\wps2.png" \* MERGEFORMATINET </w:instrText>
      </w:r>
      <w:r>
        <w:rPr>
          <w:rFonts w:ascii="宋体" w:eastAsia="宋体" w:hAnsi="宋体" w:cs="宋体" w:hint="eastAsia"/>
          <w:kern w:val="0"/>
        </w:rPr>
        <w:fldChar w:fldCharType="separate"/>
      </w:r>
      <w:r>
        <w:rPr>
          <w:rFonts w:ascii="宋体" w:eastAsia="宋体" w:hAnsi="宋体" w:cs="宋体" w:hint="eastAsia"/>
          <w:kern w:val="0"/>
        </w:rPr>
        <w:fldChar w:fldCharType="begin"/>
      </w:r>
      <w:r>
        <w:rPr>
          <w:rFonts w:ascii="宋体" w:eastAsia="宋体" w:hAnsi="宋体" w:cs="宋体" w:hint="eastAsia"/>
          <w:kern w:val="0"/>
        </w:rPr>
        <w:instrText xml:space="preserve"> INCLUDEPICTURE  "C:\\Users\\Admin\\AppData\\Local\\Temp\\ksohtml6708\\wps2.png" \* MERGEFORMATINET </w:instrText>
      </w:r>
      <w:r>
        <w:rPr>
          <w:rFonts w:ascii="宋体" w:eastAsia="宋体" w:hAnsi="宋体" w:cs="宋体" w:hint="eastAsia"/>
          <w:kern w:val="0"/>
        </w:rPr>
        <w:fldChar w:fldCharType="separate"/>
      </w:r>
      <w:r>
        <w:rPr>
          <w:rFonts w:ascii="宋体" w:eastAsia="宋体" w:hAnsi="宋体" w:cs="宋体" w:hint="eastAsia"/>
          <w:kern w:val="0"/>
        </w:rPr>
        <w:fldChar w:fldCharType="begin"/>
      </w:r>
      <w:r>
        <w:rPr>
          <w:rFonts w:ascii="宋体" w:eastAsia="宋体" w:hAnsi="宋体" w:cs="宋体" w:hint="eastAsia"/>
          <w:kern w:val="0"/>
        </w:rPr>
        <w:instrText xml:space="preserve"> INCLUDEPICTURE  "C:\\Users\\Admin\\AppData\\Local\\Temp\\ksohtml6708\\wps2.png" \* MERGEFORMATINET </w:instrText>
      </w:r>
      <w:r>
        <w:rPr>
          <w:rFonts w:ascii="宋体" w:eastAsia="宋体" w:hAnsi="宋体" w:cs="宋体" w:hint="eastAsia"/>
          <w:kern w:val="0"/>
        </w:rPr>
        <w:fldChar w:fldCharType="separate"/>
      </w:r>
      <w:r>
        <w:rPr>
          <w:rFonts w:ascii="宋体" w:eastAsia="宋体" w:hAnsi="宋体" w:cs="宋体"/>
          <w:kern w:val="0"/>
        </w:rPr>
        <w:fldChar w:fldCharType="begin"/>
      </w:r>
      <w:r>
        <w:rPr>
          <w:rFonts w:ascii="宋体" w:eastAsia="宋体" w:hAnsi="宋体" w:cs="宋体"/>
          <w:kern w:val="0"/>
        </w:rPr>
        <w:instrText xml:space="preserve"> INCLUDEPICTURE  "C:\\Users\\Admin\\AppData\\Local\\Temp\\ksohtml6708\\wps2.png" \* MERGEFORMATINET </w:instrText>
      </w:r>
      <w:r>
        <w:rPr>
          <w:rFonts w:ascii="宋体" w:eastAsia="宋体" w:hAnsi="宋体" w:cs="宋体"/>
          <w:kern w:val="0"/>
        </w:rPr>
        <w:fldChar w:fldCharType="separate"/>
      </w:r>
      <w:r>
        <w:rPr>
          <w:rFonts w:ascii="宋体" w:eastAsia="宋体" w:hAnsi="宋体" w:cs="宋体"/>
          <w:kern w:val="0"/>
        </w:rPr>
        <w:fldChar w:fldCharType="begin"/>
      </w:r>
      <w:r>
        <w:rPr>
          <w:rFonts w:ascii="宋体" w:eastAsia="宋体" w:hAnsi="宋体" w:cs="宋体"/>
          <w:kern w:val="0"/>
        </w:rPr>
        <w:instrText xml:space="preserve"> INCLUDEPICTURE  "C:\\Users\\Admin\\AppData\\Local\\Temp\\ksohtml6708\\wps2.png" \* MERGEFORMATINET </w:instrText>
      </w:r>
      <w:r>
        <w:rPr>
          <w:rFonts w:ascii="宋体" w:eastAsia="宋体" w:hAnsi="宋体" w:cs="宋体"/>
          <w:kern w:val="0"/>
        </w:rPr>
        <w:fldChar w:fldCharType="separate"/>
      </w:r>
      <w:r>
        <w:rPr>
          <w:rFonts w:ascii="宋体" w:eastAsia="宋体" w:hAnsi="宋体" w:cs="宋体"/>
          <w:noProof/>
          <w:kern w:val="0"/>
        </w:rPr>
        <w:drawing>
          <wp:inline distT="0" distB="0" distL="114300" distR="114300" wp14:anchorId="1CBE7CE3" wp14:editId="6A7F584C">
            <wp:extent cx="3977640" cy="248920"/>
            <wp:effectExtent l="0" t="0" r="3810" b="17780"/>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pic:cNvPicPr>
                      <a:picLocks noChangeAspect="1"/>
                    </pic:cNvPicPr>
                  </pic:nvPicPr>
                  <pic:blipFill>
                    <a:blip r:embed="rId129" r:link="rId130" cstate="screen">
                      <a:extLst>
                        <a:ext uri="{28A0092B-C50C-407E-A947-70E740481C1C}">
                          <a14:useLocalDpi xmlns:a14="http://schemas.microsoft.com/office/drawing/2010/main"/>
                        </a:ext>
                      </a:extLst>
                    </a:blip>
                    <a:stretch>
                      <a:fillRect/>
                    </a:stretch>
                  </pic:blipFill>
                  <pic:spPr>
                    <a:xfrm>
                      <a:off x="0" y="0"/>
                      <a:ext cx="3977640" cy="248920"/>
                    </a:xfrm>
                    <a:prstGeom prst="rect">
                      <a:avLst/>
                    </a:prstGeom>
                    <a:noFill/>
                    <a:ln>
                      <a:noFill/>
                    </a:ln>
                  </pic:spPr>
                </pic:pic>
              </a:graphicData>
            </a:graphic>
          </wp:inline>
        </w:drawing>
      </w:r>
      <w:r>
        <w:rPr>
          <w:rFonts w:ascii="宋体" w:eastAsia="宋体" w:hAnsi="宋体" w:cs="宋体"/>
          <w:kern w:val="0"/>
        </w:rPr>
        <w:fldChar w:fldCharType="end"/>
      </w:r>
      <w:r>
        <w:rPr>
          <w:rFonts w:ascii="宋体" w:eastAsia="宋体" w:hAnsi="宋体" w:cs="宋体"/>
          <w:kern w:val="0"/>
        </w:rPr>
        <w:fldChar w:fldCharType="end"/>
      </w:r>
      <w:r>
        <w:rPr>
          <w:rFonts w:ascii="宋体" w:eastAsia="宋体" w:hAnsi="宋体" w:cs="宋体" w:hint="eastAsia"/>
          <w:kern w:val="0"/>
        </w:rPr>
        <w:fldChar w:fldCharType="end"/>
      </w:r>
      <w:r>
        <w:rPr>
          <w:rFonts w:ascii="宋体" w:eastAsia="宋体" w:hAnsi="宋体" w:cs="宋体" w:hint="eastAsia"/>
          <w:kern w:val="0"/>
        </w:rPr>
        <w:fldChar w:fldCharType="end"/>
      </w:r>
      <w:r>
        <w:rPr>
          <w:rFonts w:ascii="宋体" w:eastAsia="宋体" w:hAnsi="宋体" w:cs="宋体" w:hint="eastAsia"/>
          <w:kern w:val="0"/>
        </w:rPr>
        <w:fldChar w:fldCharType="end"/>
      </w:r>
      <w:r>
        <w:rPr>
          <w:rFonts w:ascii="宋体" w:eastAsia="宋体" w:hAnsi="宋体" w:cs="宋体" w:hint="eastAsia"/>
          <w:kern w:val="0"/>
        </w:rPr>
        <w:fldChar w:fldCharType="end"/>
      </w:r>
      <w:r>
        <w:rPr>
          <w:rFonts w:ascii="宋体" w:eastAsia="宋体" w:hAnsi="宋体" w:cs="宋体" w:hint="eastAsia"/>
          <w:kern w:val="0"/>
        </w:rPr>
        <w:fldChar w:fldCharType="end"/>
      </w:r>
      <w:r>
        <w:rPr>
          <w:rFonts w:ascii="宋体" w:eastAsia="宋体" w:hAnsi="宋体" w:cs="宋体"/>
          <w:kern w:val="0"/>
        </w:rPr>
        <w:fldChar w:fldCharType="end"/>
      </w:r>
    </w:p>
    <w:p w14:paraId="05FBE4D7" w14:textId="77777777" w:rsidR="009D12AF" w:rsidRDefault="00000000">
      <w:pPr>
        <w:widowControl/>
        <w:numPr>
          <w:ilvl w:val="0"/>
          <w:numId w:val="12"/>
        </w:numPr>
        <w:ind w:left="0" w:firstLine="480"/>
        <w:jc w:val="left"/>
        <w:rPr>
          <w:rFonts w:ascii="Times New Roman" w:eastAsia="宋体" w:hAnsi="Times New Roman" w:cs="Times New Roman"/>
          <w:kern w:val="0"/>
        </w:rPr>
      </w:pPr>
      <w:r>
        <w:rPr>
          <w:rFonts w:ascii="宋体" w:eastAsia="宋体" w:hAnsi="宋体" w:cs="宋体" w:hint="eastAsia"/>
          <w:kern w:val="0"/>
        </w:rPr>
        <w:t>斑块类型面积（</w:t>
      </w:r>
      <w:r>
        <w:rPr>
          <w:rFonts w:ascii="Times New Roman" w:eastAsia="宋体" w:hAnsi="Times New Roman" w:cs="Times New Roman"/>
          <w:kern w:val="0"/>
        </w:rPr>
        <w:t>CA</w:t>
      </w:r>
      <w:r>
        <w:rPr>
          <w:rFonts w:ascii="宋体" w:eastAsia="宋体" w:hAnsi="宋体" w:cs="宋体" w:hint="eastAsia"/>
          <w:kern w:val="0"/>
        </w:rPr>
        <w:t>）：</w:t>
      </w:r>
    </w:p>
    <w:p w14:paraId="2B86AF8C" w14:textId="77777777" w:rsidR="009D12AF" w:rsidRDefault="00000000">
      <w:pPr>
        <w:widowControl/>
        <w:ind w:left="440" w:firstLine="480"/>
        <w:jc w:val="center"/>
        <w:rPr>
          <w:rFonts w:ascii="Times New Roman" w:eastAsia="宋体" w:hAnsi="Times New Roman" w:cs="Times New Roman"/>
          <w:kern w:val="0"/>
        </w:rPr>
      </w:pPr>
      <w:r>
        <w:rPr>
          <w:rFonts w:ascii="Times New Roman" w:eastAsia="宋体" w:hAnsi="Times New Roman" w:cs="Times New Roman"/>
          <w:noProof/>
          <w:kern w:val="0"/>
        </w:rPr>
        <w:drawing>
          <wp:inline distT="0" distB="0" distL="0" distR="0" wp14:anchorId="2220FE35" wp14:editId="2479AA19">
            <wp:extent cx="838200" cy="512445"/>
            <wp:effectExtent l="0" t="0" r="0" b="1905"/>
            <wp:docPr id="54994410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44104" name="图片 21"/>
                    <pic:cNvPicPr>
                      <a:picLocks noChangeAspect="1" noChangeArrowheads="1"/>
                    </pic:cNvPicPr>
                  </pic:nvPicPr>
                  <pic:blipFill>
                    <a:blip r:embed="rId131">
                      <a:extLst>
                        <a:ext uri="{28A0092B-C50C-407E-A947-70E740481C1C}">
                          <a14:useLocalDpi xmlns:a14="http://schemas.microsoft.com/office/drawing/2010/main"/>
                        </a:ext>
                      </a:extLst>
                    </a:blip>
                    <a:srcRect/>
                    <a:stretch>
                      <a:fillRect/>
                    </a:stretch>
                  </pic:blipFill>
                  <pic:spPr>
                    <a:xfrm>
                      <a:off x="0" y="0"/>
                      <a:ext cx="838200" cy="512445"/>
                    </a:xfrm>
                    <a:prstGeom prst="rect">
                      <a:avLst/>
                    </a:prstGeom>
                    <a:noFill/>
                    <a:ln>
                      <a:noFill/>
                    </a:ln>
                  </pic:spPr>
                </pic:pic>
              </a:graphicData>
            </a:graphic>
          </wp:inline>
        </w:drawing>
      </w:r>
    </w:p>
    <w:p w14:paraId="69096479"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t>式中，</w:t>
      </w:r>
      <w:r>
        <w:rPr>
          <w:rFonts w:ascii="Times New Roman" w:eastAsia="宋体" w:hAnsi="Times New Roman" w:cs="Times New Roman"/>
          <w:kern w:val="0"/>
        </w:rPr>
        <w:t>aij</w:t>
      </w:r>
      <w:r>
        <w:rPr>
          <w:rFonts w:ascii="Times New Roman" w:eastAsia="宋体" w:hAnsi="Times New Roman" w:cs="Times New Roman"/>
          <w:kern w:val="0"/>
        </w:rPr>
        <w:t>代表第</w:t>
      </w:r>
      <w:r>
        <w:rPr>
          <w:rFonts w:ascii="Times New Roman" w:eastAsia="宋体" w:hAnsi="Times New Roman" w:cs="Times New Roman"/>
          <w:kern w:val="0"/>
        </w:rPr>
        <w:t>i</w:t>
      </w:r>
      <w:r>
        <w:rPr>
          <w:rFonts w:ascii="Times New Roman" w:eastAsia="宋体" w:hAnsi="Times New Roman" w:cs="Times New Roman"/>
          <w:kern w:val="0"/>
        </w:rPr>
        <w:t>类景观类型中第</w:t>
      </w:r>
      <w:r>
        <w:rPr>
          <w:rFonts w:ascii="Times New Roman" w:eastAsia="宋体" w:hAnsi="Times New Roman" w:cs="Times New Roman"/>
          <w:kern w:val="0"/>
        </w:rPr>
        <w:t>j</w:t>
      </w:r>
      <w:r>
        <w:rPr>
          <w:rFonts w:ascii="Times New Roman" w:eastAsia="宋体" w:hAnsi="Times New Roman" w:cs="Times New Roman"/>
          <w:kern w:val="0"/>
        </w:rPr>
        <w:t>个斑块的面积</w:t>
      </w:r>
      <w:r>
        <w:rPr>
          <w:rFonts w:ascii="Times New Roman" w:eastAsia="宋体" w:hAnsi="Times New Roman" w:cs="Times New Roman"/>
          <w:kern w:val="0"/>
        </w:rPr>
        <w:t>(m²)</w:t>
      </w:r>
      <w:r>
        <w:rPr>
          <w:rFonts w:ascii="Times New Roman" w:eastAsia="宋体" w:hAnsi="Times New Roman" w:cs="Times New Roman"/>
          <w:kern w:val="0"/>
        </w:rPr>
        <w:t>；即某斑块类型</w:t>
      </w:r>
      <w:r>
        <w:rPr>
          <w:rFonts w:ascii="Times New Roman" w:eastAsia="宋体" w:hAnsi="Times New Roman" w:cs="Times New Roman"/>
          <w:kern w:val="0"/>
        </w:rPr>
        <w:t>i</w:t>
      </w:r>
      <w:r>
        <w:rPr>
          <w:rFonts w:ascii="Times New Roman" w:eastAsia="宋体" w:hAnsi="Times New Roman" w:cs="Times New Roman"/>
          <w:kern w:val="0"/>
        </w:rPr>
        <w:t>的总面积，</w:t>
      </w:r>
      <w:r>
        <w:rPr>
          <w:rFonts w:ascii="Times New Roman" w:eastAsia="宋体" w:hAnsi="Times New Roman" w:cs="Times New Roman"/>
          <w:kern w:val="0"/>
        </w:rPr>
        <w:t>CA</w:t>
      </w:r>
      <w:r>
        <w:rPr>
          <w:rFonts w:ascii="Times New Roman" w:eastAsia="宋体" w:hAnsi="Times New Roman" w:cs="Times New Roman"/>
          <w:kern w:val="0"/>
        </w:rPr>
        <w:t>等于某一斑块类型</w:t>
      </w:r>
      <w:r>
        <w:rPr>
          <w:rFonts w:ascii="Times New Roman" w:eastAsia="宋体" w:hAnsi="Times New Roman" w:cs="Times New Roman"/>
          <w:kern w:val="0"/>
        </w:rPr>
        <w:t>i</w:t>
      </w:r>
      <w:r>
        <w:rPr>
          <w:rFonts w:ascii="Times New Roman" w:eastAsia="宋体" w:hAnsi="Times New Roman" w:cs="Times New Roman"/>
          <w:kern w:val="0"/>
        </w:rPr>
        <w:t>中所有斑块的面积之和。</w:t>
      </w:r>
    </w:p>
    <w:p w14:paraId="28607543" w14:textId="77777777" w:rsidR="009D12AF" w:rsidRDefault="00000000">
      <w:pPr>
        <w:widowControl/>
        <w:numPr>
          <w:ilvl w:val="0"/>
          <w:numId w:val="12"/>
        </w:numPr>
        <w:ind w:left="0" w:firstLine="480"/>
        <w:jc w:val="left"/>
        <w:rPr>
          <w:rFonts w:ascii="Times New Roman" w:eastAsia="宋体" w:hAnsi="Times New Roman" w:cs="Times New Roman"/>
          <w:kern w:val="0"/>
        </w:rPr>
      </w:pPr>
      <w:r>
        <w:rPr>
          <w:rFonts w:ascii="宋体" w:eastAsia="宋体" w:hAnsi="宋体" w:cs="宋体" w:hint="eastAsia"/>
          <w:kern w:val="0"/>
        </w:rPr>
        <w:t>斑块所占景观面积比例（</w:t>
      </w:r>
      <w:r>
        <w:rPr>
          <w:rFonts w:ascii="Times New Roman" w:eastAsia="宋体" w:hAnsi="Times New Roman" w:cs="Times New Roman"/>
          <w:kern w:val="0"/>
        </w:rPr>
        <w:t>PLAND</w:t>
      </w:r>
      <w:r>
        <w:rPr>
          <w:rFonts w:ascii="宋体" w:eastAsia="宋体" w:hAnsi="宋体" w:cs="宋体" w:hint="eastAsia"/>
          <w:kern w:val="0"/>
        </w:rPr>
        <w:t>）：</w:t>
      </w:r>
    </w:p>
    <w:p w14:paraId="177F561F" w14:textId="77777777" w:rsidR="009D12AF" w:rsidRDefault="00000000">
      <w:pPr>
        <w:widowControl/>
        <w:ind w:left="880" w:firstLine="480"/>
        <w:jc w:val="center"/>
        <w:rPr>
          <w:rFonts w:ascii="Times New Roman" w:eastAsia="宋体" w:hAnsi="Times New Roman" w:cs="Times New Roman"/>
          <w:kern w:val="0"/>
        </w:rPr>
      </w:pPr>
      <w:r>
        <w:rPr>
          <w:rFonts w:ascii="Times New Roman" w:eastAsia="宋体" w:hAnsi="Times New Roman" w:cs="Times New Roman"/>
          <w:noProof/>
          <w:kern w:val="0"/>
        </w:rPr>
        <w:drawing>
          <wp:inline distT="0" distB="0" distL="0" distR="0" wp14:anchorId="2D50C3E1" wp14:editId="0F0DEE3F">
            <wp:extent cx="1333500" cy="440055"/>
            <wp:effectExtent l="0" t="0" r="0" b="17145"/>
            <wp:docPr id="177841474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414742" name="图片 20"/>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a:xfrm>
                      <a:off x="0" y="0"/>
                      <a:ext cx="1333500" cy="440055"/>
                    </a:xfrm>
                    <a:prstGeom prst="rect">
                      <a:avLst/>
                    </a:prstGeom>
                    <a:noFill/>
                    <a:ln>
                      <a:noFill/>
                    </a:ln>
                  </pic:spPr>
                </pic:pic>
              </a:graphicData>
            </a:graphic>
          </wp:inline>
        </w:drawing>
      </w:r>
    </w:p>
    <w:p w14:paraId="0B17A161"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hint="eastAsia"/>
          <w:kern w:val="0"/>
        </w:rPr>
        <w:t>式中，</w:t>
      </w:r>
      <w:r>
        <w:rPr>
          <w:rFonts w:ascii="Times New Roman" w:eastAsia="宋体" w:hAnsi="Times New Roman" w:cs="Times New Roman"/>
          <w:kern w:val="0"/>
        </w:rPr>
        <w:t>aij</w:t>
      </w:r>
      <w:r>
        <w:rPr>
          <w:rFonts w:ascii="Times New Roman" w:eastAsia="宋体" w:hAnsi="Times New Roman" w:cs="Times New Roman" w:hint="eastAsia"/>
          <w:kern w:val="0"/>
        </w:rPr>
        <w:t>代表第</w:t>
      </w:r>
      <w:r>
        <w:rPr>
          <w:rFonts w:ascii="Times New Roman" w:eastAsia="宋体" w:hAnsi="Times New Roman" w:cs="Times New Roman"/>
          <w:kern w:val="0"/>
        </w:rPr>
        <w:t>i</w:t>
      </w:r>
      <w:r>
        <w:rPr>
          <w:rFonts w:ascii="Times New Roman" w:eastAsia="宋体" w:hAnsi="Times New Roman" w:cs="Times New Roman" w:hint="eastAsia"/>
          <w:kern w:val="0"/>
        </w:rPr>
        <w:t>类景观类型中第</w:t>
      </w:r>
      <w:r>
        <w:rPr>
          <w:rFonts w:ascii="Times New Roman" w:eastAsia="宋体" w:hAnsi="Times New Roman" w:cs="Times New Roman"/>
          <w:kern w:val="0"/>
        </w:rPr>
        <w:t>j</w:t>
      </w:r>
      <w:r>
        <w:rPr>
          <w:rFonts w:ascii="Times New Roman" w:eastAsia="宋体" w:hAnsi="Times New Roman" w:cs="Times New Roman" w:hint="eastAsia"/>
          <w:kern w:val="0"/>
        </w:rPr>
        <w:t>个斑块的面积</w:t>
      </w:r>
      <w:r>
        <w:rPr>
          <w:rFonts w:ascii="Times New Roman" w:eastAsia="宋体" w:hAnsi="Times New Roman" w:cs="Times New Roman"/>
          <w:kern w:val="0"/>
        </w:rPr>
        <w:t>(m²)</w:t>
      </w:r>
      <w:r>
        <w:rPr>
          <w:rFonts w:ascii="Times New Roman" w:eastAsia="宋体" w:hAnsi="Times New Roman" w:cs="Times New Roman" w:hint="eastAsia"/>
          <w:kern w:val="0"/>
        </w:rPr>
        <w:t>；</w:t>
      </w:r>
      <w:r>
        <w:rPr>
          <w:rFonts w:ascii="Times New Roman" w:eastAsia="宋体" w:hAnsi="Times New Roman" w:cs="Times New Roman"/>
          <w:kern w:val="0"/>
        </w:rPr>
        <w:t>A</w:t>
      </w:r>
      <w:r>
        <w:rPr>
          <w:rFonts w:ascii="Times New Roman" w:eastAsia="宋体" w:hAnsi="Times New Roman" w:cs="Times New Roman" w:hint="eastAsia"/>
          <w:kern w:val="0"/>
        </w:rPr>
        <w:t>为景观的总面积（</w:t>
      </w:r>
      <w:r>
        <w:rPr>
          <w:rFonts w:ascii="Times New Roman" w:eastAsia="宋体" w:hAnsi="Times New Roman" w:cs="Times New Roman"/>
          <w:kern w:val="0"/>
        </w:rPr>
        <w:t>m²</w:t>
      </w:r>
      <w:r>
        <w:rPr>
          <w:rFonts w:ascii="Times New Roman" w:eastAsia="宋体" w:hAnsi="Times New Roman" w:cs="Times New Roman" w:hint="eastAsia"/>
          <w:kern w:val="0"/>
        </w:rPr>
        <w:t>）。</w:t>
      </w:r>
      <w:r>
        <w:rPr>
          <w:rFonts w:ascii="Times New Roman" w:eastAsia="宋体" w:hAnsi="Times New Roman" w:cs="Times New Roman"/>
          <w:kern w:val="0"/>
        </w:rPr>
        <w:t>PLAND</w:t>
      </w:r>
      <w:r>
        <w:rPr>
          <w:rFonts w:ascii="Times New Roman" w:eastAsia="宋体" w:hAnsi="Times New Roman" w:cs="Times New Roman" w:hint="eastAsia"/>
          <w:kern w:val="0"/>
        </w:rPr>
        <w:t>等于某一斑块类型的总面积占整个景观面积的百分比。斑块面积百分比值接近于零时，表明景观中该斑块类型减少；比值等于</w:t>
      </w:r>
      <w:r>
        <w:rPr>
          <w:rFonts w:ascii="Times New Roman" w:eastAsia="宋体" w:hAnsi="Times New Roman" w:cs="Times New Roman"/>
          <w:kern w:val="0"/>
        </w:rPr>
        <w:t>100</w:t>
      </w:r>
      <w:r>
        <w:rPr>
          <w:rFonts w:ascii="Times New Roman" w:eastAsia="宋体" w:hAnsi="Times New Roman" w:cs="Times New Roman" w:hint="eastAsia"/>
          <w:kern w:val="0"/>
        </w:rPr>
        <w:t>时则表示整个景观中只由一类斑块构成。</w:t>
      </w:r>
    </w:p>
    <w:p w14:paraId="2496CFF8" w14:textId="77777777" w:rsidR="009D12AF" w:rsidRDefault="00000000">
      <w:pPr>
        <w:widowControl/>
        <w:numPr>
          <w:ilvl w:val="0"/>
          <w:numId w:val="12"/>
        </w:numPr>
        <w:ind w:left="0" w:firstLine="480"/>
        <w:jc w:val="left"/>
        <w:rPr>
          <w:rFonts w:ascii="Times New Roman" w:eastAsia="宋体" w:hAnsi="Times New Roman" w:cs="Times New Roman"/>
          <w:kern w:val="0"/>
        </w:rPr>
      </w:pPr>
      <w:r>
        <w:rPr>
          <w:rFonts w:ascii="宋体" w:eastAsia="宋体" w:hAnsi="宋体" w:cs="宋体" w:hint="eastAsia"/>
          <w:kern w:val="0"/>
        </w:rPr>
        <w:t>最大斑块指数（</w:t>
      </w:r>
      <w:r>
        <w:rPr>
          <w:rFonts w:ascii="Times New Roman" w:eastAsia="宋体" w:hAnsi="Times New Roman" w:cs="Times New Roman"/>
          <w:kern w:val="0"/>
        </w:rPr>
        <w:t>LPI</w:t>
      </w:r>
      <w:r>
        <w:rPr>
          <w:rFonts w:ascii="宋体" w:eastAsia="宋体" w:hAnsi="宋体" w:cs="宋体" w:hint="eastAsia"/>
          <w:kern w:val="0"/>
        </w:rPr>
        <w:t>）：</w:t>
      </w:r>
    </w:p>
    <w:p w14:paraId="48B52CBE" w14:textId="77777777" w:rsidR="009D12AF" w:rsidRDefault="00000000">
      <w:pPr>
        <w:widowControl/>
        <w:ind w:left="880" w:firstLine="480"/>
        <w:jc w:val="center"/>
        <w:rPr>
          <w:rFonts w:ascii="Times New Roman" w:eastAsia="宋体" w:hAnsi="Times New Roman" w:cs="Times New Roman"/>
          <w:kern w:val="0"/>
        </w:rPr>
      </w:pPr>
      <w:r>
        <w:rPr>
          <w:rFonts w:ascii="Times New Roman" w:eastAsia="宋体" w:hAnsi="Times New Roman" w:cs="Times New Roman"/>
          <w:noProof/>
          <w:kern w:val="0"/>
        </w:rPr>
        <w:drawing>
          <wp:inline distT="0" distB="0" distL="0" distR="0" wp14:anchorId="159D8B52" wp14:editId="7545BA6D">
            <wp:extent cx="1849755" cy="351155"/>
            <wp:effectExtent l="0" t="0" r="17145" b="10795"/>
            <wp:docPr id="42898730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987300" name="图片 19"/>
                    <pic:cNvPicPr>
                      <a:picLocks noChangeAspect="1" noChangeArrowheads="1"/>
                    </pic:cNvPicPr>
                  </pic:nvPicPr>
                  <pic:blipFill>
                    <a:blip r:embed="rId133">
                      <a:extLst>
                        <a:ext uri="{28A0092B-C50C-407E-A947-70E740481C1C}">
                          <a14:useLocalDpi xmlns:a14="http://schemas.microsoft.com/office/drawing/2010/main"/>
                        </a:ext>
                      </a:extLst>
                    </a:blip>
                    <a:srcRect/>
                    <a:stretch>
                      <a:fillRect/>
                    </a:stretch>
                  </pic:blipFill>
                  <pic:spPr>
                    <a:xfrm>
                      <a:off x="0" y="0"/>
                      <a:ext cx="1849755" cy="351155"/>
                    </a:xfrm>
                    <a:prstGeom prst="rect">
                      <a:avLst/>
                    </a:prstGeom>
                    <a:noFill/>
                    <a:ln>
                      <a:noFill/>
                    </a:ln>
                  </pic:spPr>
                </pic:pic>
              </a:graphicData>
            </a:graphic>
          </wp:inline>
        </w:drawing>
      </w:r>
    </w:p>
    <w:p w14:paraId="69825215"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t>式中，</w:t>
      </w:r>
      <w:r>
        <w:rPr>
          <w:rFonts w:ascii="Times New Roman" w:eastAsia="宋体" w:hAnsi="Times New Roman" w:cs="Times New Roman"/>
          <w:kern w:val="0"/>
        </w:rPr>
        <w:t>amax</w:t>
      </w:r>
      <w:r>
        <w:rPr>
          <w:rFonts w:ascii="Times New Roman" w:eastAsia="宋体" w:hAnsi="Times New Roman" w:cs="Times New Roman"/>
          <w:kern w:val="0"/>
        </w:rPr>
        <w:t>指景观或某一种斑块类型中最大斑块的面积（</w:t>
      </w:r>
      <w:r>
        <w:rPr>
          <w:rFonts w:ascii="Times New Roman" w:eastAsia="宋体" w:hAnsi="Times New Roman" w:cs="Times New Roman"/>
          <w:kern w:val="0"/>
        </w:rPr>
        <w:t>m²</w:t>
      </w:r>
      <w:r>
        <w:rPr>
          <w:rFonts w:ascii="Times New Roman" w:eastAsia="宋体" w:hAnsi="Times New Roman" w:cs="Times New Roman"/>
          <w:kern w:val="0"/>
        </w:rPr>
        <w:t>），</w:t>
      </w:r>
      <w:r>
        <w:rPr>
          <w:rFonts w:ascii="Times New Roman" w:eastAsia="宋体" w:hAnsi="Times New Roman" w:cs="Times New Roman"/>
          <w:kern w:val="0"/>
        </w:rPr>
        <w:t>A</w:t>
      </w:r>
      <w:r>
        <w:rPr>
          <w:rFonts w:ascii="Times New Roman" w:eastAsia="宋体" w:hAnsi="Times New Roman" w:cs="Times New Roman"/>
          <w:kern w:val="0"/>
        </w:rPr>
        <w:t>为景观的总面积（</w:t>
      </w:r>
      <w:r>
        <w:rPr>
          <w:rFonts w:ascii="Times New Roman" w:eastAsia="宋体" w:hAnsi="Times New Roman" w:cs="Times New Roman"/>
          <w:kern w:val="0"/>
        </w:rPr>
        <w:t>m²</w:t>
      </w:r>
      <w:r>
        <w:rPr>
          <w:rFonts w:ascii="Times New Roman" w:eastAsia="宋体" w:hAnsi="Times New Roman" w:cs="Times New Roman"/>
          <w:kern w:val="0"/>
        </w:rPr>
        <w:t>）。</w:t>
      </w:r>
      <w:r>
        <w:rPr>
          <w:rFonts w:ascii="Times New Roman" w:eastAsia="宋体" w:hAnsi="Times New Roman" w:cs="Times New Roman"/>
          <w:kern w:val="0"/>
        </w:rPr>
        <w:t>LPI</w:t>
      </w:r>
      <w:r>
        <w:rPr>
          <w:rFonts w:ascii="Times New Roman" w:eastAsia="宋体" w:hAnsi="Times New Roman" w:cs="Times New Roman"/>
          <w:kern w:val="0"/>
        </w:rPr>
        <w:t>等于某一斑块类型中的最大斑块占据整个景观面积的比例。该指数值的大小可以帮助确定景观中的优势斑块类型，间接反映人类活动干扰的方向和大小</w:t>
      </w:r>
      <w:r>
        <w:rPr>
          <w:rFonts w:ascii="Times New Roman" w:eastAsia="宋体" w:hAnsi="Times New Roman" w:cs="Times New Roman" w:hint="eastAsia"/>
          <w:kern w:val="0"/>
        </w:rPr>
        <w:t>。</w:t>
      </w:r>
    </w:p>
    <w:p w14:paraId="4793E065" w14:textId="77777777" w:rsidR="009D12AF" w:rsidRDefault="00000000">
      <w:pPr>
        <w:widowControl/>
        <w:numPr>
          <w:ilvl w:val="0"/>
          <w:numId w:val="12"/>
        </w:numPr>
        <w:ind w:left="0" w:firstLine="480"/>
        <w:jc w:val="left"/>
        <w:rPr>
          <w:rFonts w:ascii="宋体" w:eastAsia="宋体" w:hAnsi="宋体" w:cs="宋体" w:hint="eastAsia"/>
          <w:kern w:val="0"/>
        </w:rPr>
      </w:pPr>
      <w:r>
        <w:rPr>
          <w:rFonts w:ascii="宋体" w:eastAsia="宋体" w:hAnsi="宋体" w:cs="宋体" w:hint="eastAsia"/>
          <w:kern w:val="0"/>
        </w:rPr>
        <w:t>散布与并列指数（</w:t>
      </w:r>
      <w:r>
        <w:rPr>
          <w:rFonts w:ascii="宋体" w:eastAsia="宋体" w:hAnsi="宋体" w:cs="宋体"/>
          <w:kern w:val="0"/>
        </w:rPr>
        <w:t>IJI</w:t>
      </w:r>
      <w:r>
        <w:rPr>
          <w:rFonts w:ascii="宋体" w:eastAsia="宋体" w:hAnsi="宋体" w:cs="宋体" w:hint="eastAsia"/>
          <w:kern w:val="0"/>
        </w:rPr>
        <w:t>）：</w:t>
      </w:r>
    </w:p>
    <w:p w14:paraId="0F146AB2" w14:textId="77777777" w:rsidR="009D12AF" w:rsidRDefault="00000000">
      <w:pPr>
        <w:widowControl/>
        <w:ind w:firstLine="480"/>
        <w:jc w:val="center"/>
        <w:rPr>
          <w:rFonts w:ascii="宋体" w:eastAsia="宋体" w:hAnsi="宋体" w:cs="宋体" w:hint="eastAsia"/>
          <w:kern w:val="0"/>
        </w:rPr>
      </w:pPr>
      <w:r>
        <w:rPr>
          <w:rFonts w:ascii="宋体" w:eastAsia="宋体" w:hAnsi="宋体" w:cs="宋体"/>
          <w:noProof/>
          <w:kern w:val="0"/>
        </w:rPr>
        <w:lastRenderedPageBreak/>
        <w:drawing>
          <wp:inline distT="0" distB="0" distL="0" distR="0" wp14:anchorId="27408069" wp14:editId="71D0E09C">
            <wp:extent cx="2379345" cy="474345"/>
            <wp:effectExtent l="0" t="0" r="1905" b="1905"/>
            <wp:docPr id="166464786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647863" name="图片 18"/>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a:xfrm>
                      <a:off x="0" y="0"/>
                      <a:ext cx="2379345" cy="474345"/>
                    </a:xfrm>
                    <a:prstGeom prst="rect">
                      <a:avLst/>
                    </a:prstGeom>
                    <a:noFill/>
                    <a:ln>
                      <a:noFill/>
                    </a:ln>
                  </pic:spPr>
                </pic:pic>
              </a:graphicData>
            </a:graphic>
          </wp:inline>
        </w:drawing>
      </w:r>
    </w:p>
    <w:p w14:paraId="1D4DE6A3"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hint="eastAsia"/>
          <w:kern w:val="0"/>
        </w:rPr>
        <w:t>式中，</w:t>
      </w:r>
      <w:r>
        <w:rPr>
          <w:rFonts w:ascii="Times New Roman" w:eastAsia="宋体" w:hAnsi="Times New Roman" w:cs="Times New Roman"/>
          <w:kern w:val="0"/>
        </w:rPr>
        <w:t>e</w:t>
      </w:r>
      <w:r>
        <w:rPr>
          <w:rFonts w:ascii="Times New Roman" w:eastAsia="宋体" w:hAnsi="Times New Roman" w:cs="Times New Roman"/>
          <w:kern w:val="0"/>
          <w:vertAlign w:val="subscript"/>
        </w:rPr>
        <w:t>ik</w:t>
      </w:r>
      <w:r>
        <w:rPr>
          <w:rFonts w:ascii="Times New Roman" w:eastAsia="宋体" w:hAnsi="Times New Roman" w:cs="Times New Roman" w:hint="eastAsia"/>
          <w:kern w:val="0"/>
        </w:rPr>
        <w:t>表示景观斑块类型</w:t>
      </w:r>
      <w:r>
        <w:rPr>
          <w:rFonts w:ascii="Times New Roman" w:eastAsia="宋体" w:hAnsi="Times New Roman" w:cs="Times New Roman"/>
          <w:kern w:val="0"/>
        </w:rPr>
        <w:t>i</w:t>
      </w:r>
      <w:r>
        <w:rPr>
          <w:rFonts w:ascii="Times New Roman" w:eastAsia="宋体" w:hAnsi="Times New Roman" w:cs="Times New Roman" w:hint="eastAsia"/>
          <w:kern w:val="0"/>
        </w:rPr>
        <w:t>和</w:t>
      </w:r>
      <w:r>
        <w:rPr>
          <w:rFonts w:ascii="Times New Roman" w:eastAsia="宋体" w:hAnsi="Times New Roman" w:cs="Times New Roman"/>
          <w:kern w:val="0"/>
        </w:rPr>
        <w:t>k</w:t>
      </w:r>
      <w:r>
        <w:rPr>
          <w:rFonts w:ascii="Times New Roman" w:eastAsia="宋体" w:hAnsi="Times New Roman" w:cs="Times New Roman" w:hint="eastAsia"/>
          <w:kern w:val="0"/>
        </w:rPr>
        <w:t>之间的边缘总长度，其值越小，代表与该景观类型相邻的其他类型越少。</w:t>
      </w:r>
    </w:p>
    <w:p w14:paraId="5095C8FD" w14:textId="77777777" w:rsidR="009D12AF" w:rsidRDefault="00000000">
      <w:pPr>
        <w:widowControl/>
        <w:numPr>
          <w:ilvl w:val="0"/>
          <w:numId w:val="12"/>
        </w:numPr>
        <w:ind w:left="0" w:firstLine="480"/>
        <w:jc w:val="left"/>
        <w:rPr>
          <w:rFonts w:ascii="Times New Roman" w:eastAsia="宋体" w:hAnsi="Times New Roman" w:cs="Times New Roman"/>
          <w:kern w:val="0"/>
        </w:rPr>
      </w:pPr>
      <w:r>
        <w:rPr>
          <w:rFonts w:ascii="宋体" w:eastAsia="宋体" w:hAnsi="宋体" w:cs="宋体" w:hint="eastAsia"/>
          <w:kern w:val="0"/>
        </w:rPr>
        <w:t>香农多样性指数（</w:t>
      </w:r>
      <w:r>
        <w:rPr>
          <w:rFonts w:ascii="Times New Roman" w:eastAsia="宋体" w:hAnsi="Times New Roman" w:cs="Times New Roman"/>
          <w:kern w:val="0"/>
        </w:rPr>
        <w:t>SHDI</w:t>
      </w:r>
      <w:r>
        <w:rPr>
          <w:rFonts w:ascii="宋体" w:eastAsia="宋体" w:hAnsi="宋体" w:cs="宋体" w:hint="eastAsia"/>
          <w:kern w:val="0"/>
        </w:rPr>
        <w:t>）：</w:t>
      </w:r>
    </w:p>
    <w:p w14:paraId="1D4C8095" w14:textId="77777777" w:rsidR="009D12AF" w:rsidRDefault="00000000">
      <w:pPr>
        <w:widowControl/>
        <w:ind w:left="440" w:firstLine="480"/>
        <w:jc w:val="center"/>
        <w:rPr>
          <w:rFonts w:ascii="Times New Roman" w:eastAsia="宋体" w:hAnsi="Times New Roman" w:cs="Times New Roman"/>
          <w:kern w:val="0"/>
        </w:rPr>
      </w:pPr>
      <w:r>
        <w:rPr>
          <w:rFonts w:ascii="Times New Roman" w:eastAsia="宋体" w:hAnsi="Times New Roman" w:cs="Times New Roman"/>
          <w:noProof/>
          <w:kern w:val="0"/>
        </w:rPr>
        <w:drawing>
          <wp:inline distT="0" distB="0" distL="0" distR="0" wp14:anchorId="1F509ED4" wp14:editId="6F141E07">
            <wp:extent cx="1333500" cy="503555"/>
            <wp:effectExtent l="0" t="0" r="0" b="10795"/>
            <wp:docPr id="154036007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360074" name="图片 17"/>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a:xfrm>
                      <a:off x="0" y="0"/>
                      <a:ext cx="1333500" cy="503555"/>
                    </a:xfrm>
                    <a:prstGeom prst="rect">
                      <a:avLst/>
                    </a:prstGeom>
                    <a:noFill/>
                    <a:ln>
                      <a:noFill/>
                    </a:ln>
                  </pic:spPr>
                </pic:pic>
              </a:graphicData>
            </a:graphic>
          </wp:inline>
        </w:drawing>
      </w:r>
    </w:p>
    <w:p w14:paraId="1AED9279" w14:textId="77777777" w:rsidR="009D12AF" w:rsidRDefault="00000000">
      <w:pPr>
        <w:ind w:firstLine="480"/>
        <w:rPr>
          <w:rFonts w:ascii="Times New Roman" w:eastAsia="宋体" w:hAnsi="Times New Roman" w:cs="Times New Roman"/>
          <w:kern w:val="0"/>
        </w:rPr>
      </w:pPr>
      <w:r>
        <w:rPr>
          <w:rFonts w:ascii="Times New Roman" w:eastAsia="宋体" w:hAnsi="Times New Roman" w:cs="Times New Roman"/>
          <w:kern w:val="0"/>
        </w:rPr>
        <w:t>式中，</w:t>
      </w:r>
      <w:r>
        <w:rPr>
          <w:rFonts w:ascii="Times New Roman" w:eastAsia="宋体" w:hAnsi="Times New Roman" w:cs="Times New Roman"/>
          <w:kern w:val="0"/>
        </w:rPr>
        <w:t>p</w:t>
      </w:r>
      <w:r>
        <w:rPr>
          <w:rFonts w:ascii="Times New Roman" w:eastAsia="宋体" w:hAnsi="Times New Roman" w:cs="Times New Roman"/>
          <w:kern w:val="0"/>
          <w:vertAlign w:val="subscript"/>
        </w:rPr>
        <w:t>i</w:t>
      </w:r>
      <w:r>
        <w:rPr>
          <w:rFonts w:ascii="Times New Roman" w:eastAsia="宋体" w:hAnsi="Times New Roman" w:cs="Times New Roman"/>
          <w:kern w:val="0"/>
        </w:rPr>
        <w:t>代表</w:t>
      </w:r>
      <w:r>
        <w:rPr>
          <w:rFonts w:ascii="Times New Roman" w:eastAsia="宋体" w:hAnsi="Times New Roman" w:cs="Times New Roman"/>
          <w:kern w:val="0"/>
        </w:rPr>
        <w:t>i</w:t>
      </w:r>
      <w:r>
        <w:rPr>
          <w:rFonts w:ascii="Times New Roman" w:eastAsia="宋体" w:hAnsi="Times New Roman" w:cs="Times New Roman"/>
          <w:kern w:val="0"/>
        </w:rPr>
        <w:t>景观类型斑块所占面积百分比。</w:t>
      </w:r>
      <w:r>
        <w:rPr>
          <w:rFonts w:ascii="Times New Roman" w:eastAsia="宋体" w:hAnsi="Times New Roman" w:cs="Times New Roman"/>
          <w:kern w:val="0"/>
        </w:rPr>
        <w:t>SHDI</w:t>
      </w:r>
      <w:r>
        <w:rPr>
          <w:rFonts w:ascii="Times New Roman" w:eastAsia="宋体" w:hAnsi="Times New Roman" w:cs="Times New Roman"/>
          <w:kern w:val="0"/>
        </w:rPr>
        <w:t>在景观级别上等于各斑块类型的面积比乘以其值的自然对数之后的和的负值。</w:t>
      </w:r>
      <w:r>
        <w:rPr>
          <w:rFonts w:ascii="Times New Roman" w:eastAsia="宋体" w:hAnsi="Times New Roman" w:cs="Times New Roman"/>
          <w:kern w:val="0"/>
        </w:rPr>
        <w:t>SHDI=0</w:t>
      </w:r>
      <w:r>
        <w:rPr>
          <w:rFonts w:ascii="Times New Roman" w:eastAsia="宋体" w:hAnsi="Times New Roman" w:cs="Times New Roman"/>
          <w:kern w:val="0"/>
        </w:rPr>
        <w:t>表明整个景观仅由一个斑块组成；</w:t>
      </w:r>
      <w:r>
        <w:rPr>
          <w:rFonts w:ascii="Times New Roman" w:eastAsia="宋体" w:hAnsi="Times New Roman" w:cs="Times New Roman"/>
          <w:kern w:val="0"/>
        </w:rPr>
        <w:t>SHDI</w:t>
      </w:r>
      <w:r>
        <w:rPr>
          <w:rFonts w:ascii="Times New Roman" w:eastAsia="宋体" w:hAnsi="Times New Roman" w:cs="Times New Roman"/>
          <w:kern w:val="0"/>
        </w:rPr>
        <w:t>增大，说明斑块类型增加或各斑块类型在景观中呈均衡化趋势分布。</w:t>
      </w:r>
    </w:p>
    <w:p w14:paraId="2718E43B" w14:textId="77777777" w:rsidR="009D12AF" w:rsidRDefault="00000000">
      <w:pPr>
        <w:ind w:firstLine="480"/>
        <w:rPr>
          <w:rFonts w:ascii="Times New Roman" w:eastAsia="宋体" w:hAnsi="Times New Roman" w:cs="Times New Roman"/>
          <w:kern w:val="0"/>
        </w:rPr>
      </w:pPr>
      <w:r>
        <w:rPr>
          <w:rFonts w:ascii="Times New Roman" w:eastAsia="宋体" w:hAnsi="Times New Roman" w:cs="Times New Roman" w:hint="eastAsia"/>
          <w:kern w:val="0"/>
        </w:rPr>
        <w:t>3</w:t>
      </w:r>
      <w:r>
        <w:rPr>
          <w:rFonts w:ascii="Times New Roman" w:eastAsia="宋体" w:hAnsi="Times New Roman" w:cs="Times New Roman" w:hint="eastAsia"/>
          <w:kern w:val="0"/>
        </w:rPr>
        <w:t>、生境评价方法</w:t>
      </w:r>
    </w:p>
    <w:p w14:paraId="00F86EB9"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t>应用《环境影响评价技术导则</w:t>
      </w:r>
      <w:r>
        <w:rPr>
          <w:rFonts w:ascii="Times New Roman" w:eastAsia="宋体" w:hAnsi="Times New Roman" w:cs="Times New Roman"/>
          <w:kern w:val="0"/>
        </w:rPr>
        <w:t xml:space="preserve">  </w:t>
      </w:r>
      <w:r>
        <w:rPr>
          <w:rFonts w:ascii="Times New Roman" w:eastAsia="宋体" w:hAnsi="Times New Roman" w:cs="Times New Roman"/>
          <w:kern w:val="0"/>
        </w:rPr>
        <w:t>生态影响》（</w:t>
      </w:r>
      <w:r>
        <w:rPr>
          <w:rFonts w:ascii="Times New Roman" w:eastAsia="宋体" w:hAnsi="Times New Roman" w:cs="Times New Roman"/>
          <w:kern w:val="0"/>
        </w:rPr>
        <w:t>HJ19-2022</w:t>
      </w:r>
      <w:r>
        <w:rPr>
          <w:rFonts w:ascii="Times New Roman" w:eastAsia="宋体" w:hAnsi="Times New Roman" w:cs="Times New Roman"/>
          <w:kern w:val="0"/>
        </w:rPr>
        <w:t>）附录</w:t>
      </w:r>
      <w:r>
        <w:rPr>
          <w:rFonts w:ascii="Times New Roman" w:eastAsia="宋体" w:hAnsi="Times New Roman" w:cs="Times New Roman"/>
          <w:kern w:val="0"/>
        </w:rPr>
        <w:t>C</w:t>
      </w:r>
      <w:r>
        <w:rPr>
          <w:rFonts w:ascii="Times New Roman" w:eastAsia="宋体" w:hAnsi="Times New Roman" w:cs="Times New Roman"/>
          <w:kern w:val="0"/>
        </w:rPr>
        <w:t>中推荐的生态现状评价方法，评价重要物种适宜生境分布、生境斑块的连通性及生境破碎化程度。</w:t>
      </w:r>
    </w:p>
    <w:p w14:paraId="55BC6707" w14:textId="77777777" w:rsidR="009D12AF" w:rsidRDefault="00000000">
      <w:pPr>
        <w:widowControl/>
        <w:numPr>
          <w:ilvl w:val="1"/>
          <w:numId w:val="13"/>
        </w:numPr>
        <w:ind w:left="0" w:firstLine="480"/>
        <w:jc w:val="left"/>
        <w:rPr>
          <w:rFonts w:ascii="Times New Roman" w:eastAsia="宋体" w:hAnsi="Times New Roman" w:cs="Times New Roman"/>
          <w:kern w:val="0"/>
        </w:rPr>
      </w:pPr>
      <w:r>
        <w:rPr>
          <w:rFonts w:ascii="Times New Roman" w:eastAsia="宋体" w:hAnsi="Times New Roman" w:cs="Times New Roman"/>
          <w:kern w:val="0"/>
        </w:rPr>
        <w:t>重要物种适宜生境分布</w:t>
      </w:r>
    </w:p>
    <w:p w14:paraId="37C95DBF"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t>使用</w:t>
      </w:r>
      <w:r>
        <w:rPr>
          <w:rFonts w:ascii="Times New Roman" w:eastAsia="宋体" w:hAnsi="Times New Roman" w:cs="Times New Roman"/>
          <w:kern w:val="0"/>
        </w:rPr>
        <w:t>MaxEnt</w:t>
      </w:r>
      <w:r>
        <w:rPr>
          <w:rFonts w:ascii="Times New Roman" w:eastAsia="宋体" w:hAnsi="Times New Roman" w:cs="Times New Roman"/>
          <w:kern w:val="0"/>
        </w:rPr>
        <w:t>模型模拟生态现状中重要物种适宜生境分布。</w:t>
      </w:r>
    </w:p>
    <w:p w14:paraId="431E4466" w14:textId="77777777" w:rsidR="009D12AF" w:rsidRDefault="00000000">
      <w:pPr>
        <w:widowControl/>
        <w:numPr>
          <w:ilvl w:val="1"/>
          <w:numId w:val="13"/>
        </w:numPr>
        <w:ind w:left="0" w:firstLine="480"/>
        <w:jc w:val="left"/>
        <w:rPr>
          <w:rFonts w:ascii="Times New Roman" w:eastAsia="宋体" w:hAnsi="Times New Roman" w:cs="Times New Roman"/>
          <w:kern w:val="0"/>
        </w:rPr>
      </w:pPr>
      <w:r>
        <w:rPr>
          <w:rFonts w:ascii="Times New Roman" w:eastAsia="宋体" w:hAnsi="Times New Roman" w:cs="Times New Roman"/>
          <w:kern w:val="0"/>
        </w:rPr>
        <w:t>生境斑块的连通性</w:t>
      </w:r>
    </w:p>
    <w:p w14:paraId="7B32D8FD"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t>采用</w:t>
      </w:r>
      <w:r>
        <w:rPr>
          <w:rFonts w:ascii="Times New Roman" w:eastAsia="宋体" w:hAnsi="Times New Roman" w:cs="Times New Roman"/>
          <w:kern w:val="0"/>
        </w:rPr>
        <w:t>FRAGSTATS</w:t>
      </w:r>
      <w:r>
        <w:rPr>
          <w:rFonts w:ascii="Times New Roman" w:eastAsia="宋体" w:hAnsi="Times New Roman" w:cs="Times New Roman"/>
          <w:kern w:val="0"/>
        </w:rPr>
        <w:t>分析软件的蔓延度指数</w:t>
      </w:r>
      <w:r>
        <w:rPr>
          <w:rFonts w:ascii="Times New Roman" w:eastAsia="宋体" w:hAnsi="Times New Roman" w:cs="Times New Roman"/>
          <w:kern w:val="0"/>
        </w:rPr>
        <w:t xml:space="preserve"> </w:t>
      </w:r>
      <w:r>
        <w:rPr>
          <w:rFonts w:ascii="Times New Roman" w:eastAsia="宋体" w:hAnsi="Times New Roman" w:cs="Times New Roman"/>
          <w:kern w:val="0"/>
        </w:rPr>
        <w:t>（</w:t>
      </w:r>
      <w:r>
        <w:rPr>
          <w:rFonts w:ascii="Times New Roman" w:eastAsia="宋体" w:hAnsi="Times New Roman" w:cs="Times New Roman"/>
          <w:kern w:val="0"/>
        </w:rPr>
        <w:t xml:space="preserve"> CONTAG</w:t>
      </w:r>
      <w:r>
        <w:rPr>
          <w:rFonts w:ascii="Times New Roman" w:eastAsia="宋体" w:hAnsi="Times New Roman" w:cs="Times New Roman"/>
          <w:kern w:val="0"/>
        </w:rPr>
        <w:t>）来评价生境斑块的连通性。</w:t>
      </w:r>
    </w:p>
    <w:p w14:paraId="68BB5D3D" w14:textId="77777777" w:rsidR="009D12AF" w:rsidRDefault="00000000">
      <w:pPr>
        <w:widowControl/>
        <w:ind w:firstLine="480"/>
        <w:jc w:val="center"/>
        <w:rPr>
          <w:rFonts w:ascii="Times New Roman" w:eastAsia="宋体" w:hAnsi="Times New Roman" w:cs="Times New Roman"/>
          <w:kern w:val="0"/>
        </w:rPr>
      </w:pPr>
      <w:r>
        <w:rPr>
          <w:rFonts w:ascii="Times New Roman" w:eastAsia="宋体" w:hAnsi="Times New Roman" w:cs="Times New Roman"/>
          <w:noProof/>
          <w:kern w:val="0"/>
        </w:rPr>
        <w:drawing>
          <wp:inline distT="0" distB="0" distL="0" distR="0" wp14:anchorId="152B29DB" wp14:editId="3A0864E9">
            <wp:extent cx="3911600" cy="850900"/>
            <wp:effectExtent l="0" t="0" r="12700" b="6350"/>
            <wp:docPr id="127143870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38708" name="图片 16"/>
                    <pic:cNvPicPr>
                      <a:picLocks noChangeAspect="1" noChangeArrowheads="1"/>
                    </pic:cNvPicPr>
                  </pic:nvPicPr>
                  <pic:blipFill>
                    <a:blip r:embed="rId136">
                      <a:extLst>
                        <a:ext uri="{28A0092B-C50C-407E-A947-70E740481C1C}">
                          <a14:useLocalDpi xmlns:a14="http://schemas.microsoft.com/office/drawing/2010/main"/>
                        </a:ext>
                      </a:extLst>
                    </a:blip>
                    <a:srcRect/>
                    <a:stretch>
                      <a:fillRect/>
                    </a:stretch>
                  </pic:blipFill>
                  <pic:spPr>
                    <a:xfrm>
                      <a:off x="0" y="0"/>
                      <a:ext cx="3911600" cy="850900"/>
                    </a:xfrm>
                    <a:prstGeom prst="rect">
                      <a:avLst/>
                    </a:prstGeom>
                    <a:noFill/>
                    <a:ln>
                      <a:noFill/>
                    </a:ln>
                    <a:effectLst/>
                  </pic:spPr>
                </pic:pic>
              </a:graphicData>
            </a:graphic>
          </wp:inline>
        </w:drawing>
      </w:r>
    </w:p>
    <w:p w14:paraId="76F4ECC3"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t>式中，</w:t>
      </w:r>
      <w:r>
        <w:rPr>
          <w:rFonts w:ascii="Times New Roman" w:eastAsia="宋体" w:hAnsi="Times New Roman" w:cs="Times New Roman"/>
          <w:kern w:val="0"/>
        </w:rPr>
        <w:t>p</w:t>
      </w:r>
      <w:r>
        <w:rPr>
          <w:rFonts w:ascii="Times New Roman" w:eastAsia="宋体" w:hAnsi="Times New Roman" w:cs="Times New Roman"/>
          <w:kern w:val="0"/>
          <w:vertAlign w:val="subscript"/>
        </w:rPr>
        <w:t>i</w:t>
      </w:r>
      <w:r>
        <w:rPr>
          <w:rFonts w:ascii="Times New Roman" w:eastAsia="宋体" w:hAnsi="Times New Roman" w:cs="Times New Roman"/>
          <w:kern w:val="0"/>
        </w:rPr>
        <w:t>代表</w:t>
      </w:r>
      <w:r>
        <w:rPr>
          <w:rFonts w:ascii="Times New Roman" w:eastAsia="宋体" w:hAnsi="Times New Roman" w:cs="Times New Roman"/>
          <w:kern w:val="0"/>
        </w:rPr>
        <w:t>i</w:t>
      </w:r>
      <w:r>
        <w:rPr>
          <w:rFonts w:ascii="Times New Roman" w:eastAsia="宋体" w:hAnsi="Times New Roman" w:cs="Times New Roman"/>
          <w:kern w:val="0"/>
        </w:rPr>
        <w:t>类型斑块所占面积百分比；</w:t>
      </w:r>
      <w:r>
        <w:rPr>
          <w:rFonts w:ascii="Times New Roman" w:eastAsia="宋体" w:hAnsi="Times New Roman" w:cs="Times New Roman"/>
          <w:kern w:val="0"/>
        </w:rPr>
        <w:t>g</w:t>
      </w:r>
      <w:r>
        <w:rPr>
          <w:rFonts w:ascii="Times New Roman" w:eastAsia="宋体" w:hAnsi="Times New Roman" w:cs="Times New Roman"/>
          <w:kern w:val="0"/>
          <w:vertAlign w:val="subscript"/>
        </w:rPr>
        <w:t>ik</w:t>
      </w:r>
      <w:r>
        <w:rPr>
          <w:rFonts w:ascii="Times New Roman" w:eastAsia="宋体" w:hAnsi="Times New Roman" w:cs="Times New Roman"/>
          <w:kern w:val="0"/>
        </w:rPr>
        <w:t>代表</w:t>
      </w:r>
      <w:r>
        <w:rPr>
          <w:rFonts w:ascii="Times New Roman" w:eastAsia="宋体" w:hAnsi="Times New Roman" w:cs="Times New Roman"/>
          <w:kern w:val="0"/>
        </w:rPr>
        <w:t>i</w:t>
      </w:r>
      <w:r>
        <w:rPr>
          <w:rFonts w:ascii="Times New Roman" w:eastAsia="宋体" w:hAnsi="Times New Roman" w:cs="Times New Roman"/>
          <w:kern w:val="0"/>
        </w:rPr>
        <w:t>类型斑块和</w:t>
      </w:r>
      <w:r>
        <w:rPr>
          <w:rFonts w:ascii="Times New Roman" w:eastAsia="宋体" w:hAnsi="Times New Roman" w:cs="Times New Roman"/>
          <w:kern w:val="0"/>
        </w:rPr>
        <w:t>k</w:t>
      </w:r>
      <w:r>
        <w:rPr>
          <w:rFonts w:ascii="Times New Roman" w:eastAsia="宋体" w:hAnsi="Times New Roman" w:cs="Times New Roman"/>
          <w:kern w:val="0"/>
        </w:rPr>
        <w:t>类型斑块毗邻的数目；</w:t>
      </w:r>
      <w:r>
        <w:rPr>
          <w:rFonts w:ascii="Times New Roman" w:eastAsia="宋体" w:hAnsi="Times New Roman" w:cs="Times New Roman"/>
          <w:kern w:val="0"/>
        </w:rPr>
        <w:t>m</w:t>
      </w:r>
      <w:r>
        <w:rPr>
          <w:rFonts w:ascii="Times New Roman" w:eastAsia="宋体" w:hAnsi="Times New Roman" w:cs="Times New Roman"/>
          <w:kern w:val="0"/>
        </w:rPr>
        <w:t>代表景观中的斑块类型总数目。理论上，</w:t>
      </w:r>
      <w:r>
        <w:rPr>
          <w:rFonts w:ascii="Times New Roman" w:eastAsia="宋体" w:hAnsi="Times New Roman" w:cs="Times New Roman"/>
          <w:kern w:val="0"/>
        </w:rPr>
        <w:t>CONTAG</w:t>
      </w:r>
      <w:r>
        <w:rPr>
          <w:rFonts w:ascii="Times New Roman" w:eastAsia="宋体" w:hAnsi="Times New Roman" w:cs="Times New Roman"/>
          <w:kern w:val="0"/>
        </w:rPr>
        <w:t>值较小时表明景观中存在许多小斑块；趋于</w:t>
      </w:r>
      <w:r>
        <w:rPr>
          <w:rFonts w:ascii="Times New Roman" w:eastAsia="宋体" w:hAnsi="Times New Roman" w:cs="Times New Roman"/>
          <w:kern w:val="0"/>
        </w:rPr>
        <w:t>100</w:t>
      </w:r>
      <w:r>
        <w:rPr>
          <w:rFonts w:ascii="Times New Roman" w:eastAsia="宋体" w:hAnsi="Times New Roman" w:cs="Times New Roman"/>
          <w:kern w:val="0"/>
        </w:rPr>
        <w:t>时表明景观中有连通度极高的优势斑块类型存在。</w:t>
      </w:r>
    </w:p>
    <w:p w14:paraId="2D2BDB7E" w14:textId="77777777" w:rsidR="009D12AF" w:rsidRDefault="00000000">
      <w:pPr>
        <w:widowControl/>
        <w:numPr>
          <w:ilvl w:val="1"/>
          <w:numId w:val="13"/>
        </w:numPr>
        <w:ind w:left="0" w:firstLine="480"/>
        <w:jc w:val="left"/>
        <w:rPr>
          <w:rFonts w:ascii="Times New Roman" w:eastAsia="宋体" w:hAnsi="Times New Roman" w:cs="Times New Roman"/>
          <w:kern w:val="0"/>
        </w:rPr>
      </w:pPr>
      <w:r>
        <w:rPr>
          <w:rFonts w:ascii="Times New Roman" w:eastAsia="宋体" w:hAnsi="Times New Roman" w:cs="Times New Roman"/>
          <w:kern w:val="0"/>
        </w:rPr>
        <w:t>生境破碎化程度</w:t>
      </w:r>
    </w:p>
    <w:p w14:paraId="069044EC"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lastRenderedPageBreak/>
        <w:t>采用</w:t>
      </w:r>
      <w:r>
        <w:rPr>
          <w:rFonts w:ascii="Times New Roman" w:eastAsia="宋体" w:hAnsi="Times New Roman" w:cs="Times New Roman"/>
          <w:kern w:val="0"/>
        </w:rPr>
        <w:t>FRAGSTATS</w:t>
      </w:r>
      <w:r>
        <w:rPr>
          <w:rFonts w:ascii="Times New Roman" w:eastAsia="宋体" w:hAnsi="Times New Roman" w:cs="Times New Roman"/>
          <w:kern w:val="0"/>
        </w:rPr>
        <w:t>分析软件的聚集度指数（</w:t>
      </w:r>
      <w:r>
        <w:rPr>
          <w:rFonts w:ascii="Times New Roman" w:eastAsia="宋体" w:hAnsi="Times New Roman" w:cs="Times New Roman"/>
          <w:kern w:val="0"/>
        </w:rPr>
        <w:t xml:space="preserve"> AI</w:t>
      </w:r>
      <w:r>
        <w:rPr>
          <w:rFonts w:ascii="Times New Roman" w:eastAsia="宋体" w:hAnsi="Times New Roman" w:cs="Times New Roman"/>
          <w:kern w:val="0"/>
        </w:rPr>
        <w:t>）来评价生境破碎化程度。</w:t>
      </w:r>
    </w:p>
    <w:p w14:paraId="67B0C489" w14:textId="77777777" w:rsidR="009D12AF" w:rsidRDefault="00000000">
      <w:pPr>
        <w:widowControl/>
        <w:ind w:firstLine="480"/>
        <w:jc w:val="center"/>
        <w:rPr>
          <w:rFonts w:ascii="Times New Roman" w:eastAsia="宋体" w:hAnsi="Times New Roman" w:cs="Times New Roman"/>
          <w:kern w:val="0"/>
        </w:rPr>
      </w:pPr>
      <w:r>
        <w:rPr>
          <w:rFonts w:ascii="Times New Roman" w:eastAsia="宋体" w:hAnsi="Times New Roman" w:cs="Times New Roman"/>
          <w:noProof/>
          <w:kern w:val="0"/>
        </w:rPr>
        <w:drawing>
          <wp:inline distT="0" distB="0" distL="0" distR="0" wp14:anchorId="52240E6B" wp14:editId="0197DD10">
            <wp:extent cx="1163955" cy="478155"/>
            <wp:effectExtent l="0" t="0" r="17145" b="17145"/>
            <wp:docPr id="9138683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86839" name="图片 15"/>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a:xfrm>
                      <a:off x="0" y="0"/>
                      <a:ext cx="1163955" cy="478155"/>
                    </a:xfrm>
                    <a:prstGeom prst="rect">
                      <a:avLst/>
                    </a:prstGeom>
                    <a:noFill/>
                    <a:ln>
                      <a:noFill/>
                    </a:ln>
                  </pic:spPr>
                </pic:pic>
              </a:graphicData>
            </a:graphic>
          </wp:inline>
        </w:drawing>
      </w:r>
    </w:p>
    <w:p w14:paraId="03709B75" w14:textId="77777777" w:rsidR="009D12AF" w:rsidRDefault="00000000">
      <w:pPr>
        <w:ind w:firstLine="480"/>
        <w:rPr>
          <w:rFonts w:ascii="Times New Roman" w:eastAsia="宋体" w:hAnsi="Times New Roman" w:cs="Times New Roman"/>
          <w:kern w:val="0"/>
        </w:rPr>
      </w:pPr>
      <w:r>
        <w:rPr>
          <w:rFonts w:ascii="Times New Roman" w:eastAsia="宋体" w:hAnsi="Times New Roman" w:cs="Times New Roman"/>
          <w:kern w:val="0"/>
        </w:rPr>
        <w:t>式中，</w:t>
      </w:r>
      <w:r>
        <w:rPr>
          <w:rFonts w:ascii="Times New Roman" w:eastAsia="宋体" w:hAnsi="Times New Roman" w:cs="Times New Roman"/>
          <w:kern w:val="0"/>
        </w:rPr>
        <w:t>g</w:t>
      </w:r>
      <w:r>
        <w:rPr>
          <w:rFonts w:ascii="Times New Roman" w:eastAsia="宋体" w:hAnsi="Times New Roman" w:cs="Times New Roman"/>
          <w:kern w:val="0"/>
          <w:vertAlign w:val="subscript"/>
        </w:rPr>
        <w:t>ik</w:t>
      </w:r>
      <w:r>
        <w:rPr>
          <w:rFonts w:ascii="Times New Roman" w:eastAsia="宋体" w:hAnsi="Times New Roman" w:cs="Times New Roman"/>
          <w:kern w:val="0"/>
        </w:rPr>
        <w:t>为斑块类型</w:t>
      </w:r>
      <w:r>
        <w:rPr>
          <w:rFonts w:ascii="Times New Roman" w:eastAsia="宋体" w:hAnsi="Times New Roman" w:cs="Times New Roman"/>
          <w:kern w:val="0"/>
        </w:rPr>
        <w:t>i</w:t>
      </w:r>
      <w:r>
        <w:rPr>
          <w:rFonts w:ascii="Times New Roman" w:eastAsia="宋体" w:hAnsi="Times New Roman" w:cs="Times New Roman"/>
          <w:kern w:val="0"/>
        </w:rPr>
        <w:t>的同类相邻的像元数；</w:t>
      </w:r>
      <w:r>
        <w:rPr>
          <w:rFonts w:ascii="Times New Roman" w:eastAsia="宋体" w:hAnsi="Times New Roman" w:cs="Times New Roman"/>
          <w:kern w:val="0"/>
        </w:rPr>
        <w:t>max g</w:t>
      </w:r>
      <w:r>
        <w:rPr>
          <w:rFonts w:ascii="Times New Roman" w:eastAsia="宋体" w:hAnsi="Times New Roman" w:cs="Times New Roman"/>
          <w:kern w:val="0"/>
          <w:vertAlign w:val="subscript"/>
        </w:rPr>
        <w:t>ij</w:t>
      </w:r>
      <w:r>
        <w:rPr>
          <w:rFonts w:ascii="Times New Roman" w:eastAsia="宋体" w:hAnsi="Times New Roman" w:cs="Times New Roman"/>
          <w:kern w:val="0"/>
        </w:rPr>
        <w:t>为斑块类型</w:t>
      </w:r>
      <w:r>
        <w:rPr>
          <w:rFonts w:ascii="Times New Roman" w:eastAsia="宋体" w:hAnsi="Times New Roman" w:cs="Times New Roman"/>
          <w:kern w:val="0"/>
        </w:rPr>
        <w:t>i</w:t>
      </w:r>
      <w:r>
        <w:rPr>
          <w:rFonts w:ascii="Times New Roman" w:eastAsia="宋体" w:hAnsi="Times New Roman" w:cs="Times New Roman"/>
          <w:kern w:val="0"/>
        </w:rPr>
        <w:t>的同类相邻的最大邻接数。</w:t>
      </w:r>
      <w:r>
        <w:rPr>
          <w:rFonts w:ascii="Times New Roman" w:eastAsia="宋体" w:hAnsi="Times New Roman" w:cs="Times New Roman"/>
          <w:kern w:val="0"/>
        </w:rPr>
        <w:t>AI</w:t>
      </w:r>
      <w:r>
        <w:rPr>
          <w:rFonts w:ascii="Times New Roman" w:eastAsia="宋体" w:hAnsi="Times New Roman" w:cs="Times New Roman"/>
          <w:kern w:val="0"/>
        </w:rPr>
        <w:t>反映同类型斑块的聚集程度，</w:t>
      </w:r>
      <w:r>
        <w:rPr>
          <w:rFonts w:ascii="Times New Roman" w:eastAsia="宋体" w:hAnsi="Times New Roman" w:cs="Times New Roman"/>
          <w:kern w:val="0"/>
        </w:rPr>
        <w:t xml:space="preserve">Al </w:t>
      </w:r>
      <w:r>
        <w:rPr>
          <w:rFonts w:ascii="Times New Roman" w:eastAsia="宋体" w:hAnsi="Times New Roman" w:cs="Times New Roman"/>
          <w:kern w:val="0"/>
        </w:rPr>
        <w:t>值越大，表示景观由少数团聚的大斑块组成；</w:t>
      </w:r>
      <w:r>
        <w:rPr>
          <w:rFonts w:ascii="Times New Roman" w:eastAsia="宋体" w:hAnsi="Times New Roman" w:cs="Times New Roman"/>
          <w:kern w:val="0"/>
        </w:rPr>
        <w:t>AI</w:t>
      </w:r>
      <w:r>
        <w:rPr>
          <w:rFonts w:ascii="Times New Roman" w:eastAsia="宋体" w:hAnsi="Times New Roman" w:cs="Times New Roman"/>
          <w:kern w:val="0"/>
        </w:rPr>
        <w:t>值越小</w:t>
      </w:r>
      <w:r>
        <w:rPr>
          <w:rFonts w:ascii="Times New Roman" w:eastAsia="宋体" w:hAnsi="Times New Roman" w:cs="Times New Roman"/>
          <w:kern w:val="0"/>
        </w:rPr>
        <w:t>,</w:t>
      </w:r>
      <w:r>
        <w:rPr>
          <w:rFonts w:ascii="Times New Roman" w:eastAsia="宋体" w:hAnsi="Times New Roman" w:cs="Times New Roman"/>
          <w:kern w:val="0"/>
        </w:rPr>
        <w:t>则说明景观由许多小斑块构成。当斑块类型高度聚集形成</w:t>
      </w:r>
      <w:r>
        <w:rPr>
          <w:rFonts w:ascii="Times New Roman" w:eastAsia="宋体" w:hAnsi="Times New Roman" w:cs="Times New Roman"/>
          <w:kern w:val="0"/>
        </w:rPr>
        <w:t>1</w:t>
      </w:r>
      <w:r>
        <w:rPr>
          <w:rFonts w:ascii="Times New Roman" w:eastAsia="宋体" w:hAnsi="Times New Roman" w:cs="Times New Roman"/>
          <w:kern w:val="0"/>
        </w:rPr>
        <w:t>个单一且紧密的斑块，</w:t>
      </w:r>
      <w:r>
        <w:rPr>
          <w:rFonts w:ascii="Times New Roman" w:eastAsia="宋体" w:hAnsi="Times New Roman" w:cs="Times New Roman"/>
          <w:kern w:val="0"/>
        </w:rPr>
        <w:t>AI</w:t>
      </w:r>
      <w:r>
        <w:rPr>
          <w:rFonts w:ascii="Times New Roman" w:eastAsia="宋体" w:hAnsi="Times New Roman" w:cs="Times New Roman"/>
          <w:kern w:val="0"/>
        </w:rPr>
        <w:t>等于</w:t>
      </w:r>
      <w:r>
        <w:rPr>
          <w:rFonts w:ascii="Times New Roman" w:eastAsia="宋体" w:hAnsi="Times New Roman" w:cs="Times New Roman"/>
          <w:kern w:val="0"/>
        </w:rPr>
        <w:t>100</w:t>
      </w:r>
      <w:r>
        <w:rPr>
          <w:rFonts w:ascii="Times New Roman" w:eastAsia="宋体" w:hAnsi="Times New Roman" w:cs="Times New Roman"/>
          <w:kern w:val="0"/>
        </w:rPr>
        <w:t>。</w:t>
      </w:r>
    </w:p>
    <w:p w14:paraId="12088942" w14:textId="77777777" w:rsidR="009D12AF" w:rsidRDefault="00000000">
      <w:pPr>
        <w:pStyle w:val="4"/>
        <w:ind w:firstLineChars="0" w:firstLine="0"/>
      </w:pPr>
      <w:r>
        <w:rPr>
          <w:rFonts w:hint="eastAsia"/>
        </w:rPr>
        <w:t>4.3.7.5</w:t>
      </w:r>
      <w:r>
        <w:rPr>
          <w:rFonts w:hint="eastAsia"/>
        </w:rPr>
        <w:t>群力水库陆生植被、植物现状调查与评价</w:t>
      </w:r>
    </w:p>
    <w:p w14:paraId="6C8673D4" w14:textId="77777777" w:rsidR="009D12AF" w:rsidRDefault="00000000">
      <w:pPr>
        <w:ind w:firstLine="480"/>
      </w:pPr>
      <w:r>
        <w:rPr>
          <w:rFonts w:hint="eastAsia"/>
        </w:rPr>
        <w:t>一、植被类型及特征分析</w:t>
      </w:r>
    </w:p>
    <w:p w14:paraId="7D167776" w14:textId="77777777" w:rsidR="009D12AF" w:rsidRDefault="00000000">
      <w:pPr>
        <w:pStyle w:val="afd"/>
      </w:pPr>
      <w:r>
        <w:rPr>
          <w:rFonts w:hint="eastAsia"/>
        </w:rPr>
        <w:t>根据《中国小兴安岭植物》（周以良等，</w:t>
      </w:r>
      <w:r>
        <w:rPr>
          <w:rFonts w:hint="eastAsia"/>
        </w:rPr>
        <w:t>1994</w:t>
      </w:r>
      <w:r>
        <w:rPr>
          <w:rFonts w:hint="eastAsia"/>
        </w:rPr>
        <w:t>年），项目调查范围位于黑龙江省南部，在中国植被区划上属于“温带针阔叶混交林区域”，地带性植被与植物区系成分一致，有温带针阔叶混交林的典型树种，是项目调查范围的地带性植被。</w:t>
      </w:r>
    </w:p>
    <w:p w14:paraId="61F1D5FD" w14:textId="77777777" w:rsidR="009D12AF" w:rsidRDefault="00000000">
      <w:pPr>
        <w:pStyle w:val="afd"/>
      </w:pPr>
      <w:r>
        <w:rPr>
          <w:rFonts w:hint="eastAsia"/>
        </w:rPr>
        <w:t>经过实地调查与参考《中国植被》（吴征镒等，</w:t>
      </w:r>
      <w:r>
        <w:rPr>
          <w:rFonts w:hint="eastAsia"/>
        </w:rPr>
        <w:t xml:space="preserve">1980 </w:t>
      </w:r>
      <w:r>
        <w:rPr>
          <w:rFonts w:hint="eastAsia"/>
        </w:rPr>
        <w:t>年）、《黑龙江省植物志》（周以良等，</w:t>
      </w:r>
      <w:r>
        <w:rPr>
          <w:rFonts w:hint="eastAsia"/>
        </w:rPr>
        <w:t xml:space="preserve">1985 </w:t>
      </w:r>
      <w:r>
        <w:rPr>
          <w:rFonts w:hint="eastAsia"/>
        </w:rPr>
        <w:t>年）、《小兴安岭森林植物》（周以良等，</w:t>
      </w:r>
      <w:r>
        <w:rPr>
          <w:rFonts w:hint="eastAsia"/>
        </w:rPr>
        <w:t>1994</w:t>
      </w:r>
      <w:r>
        <w:rPr>
          <w:rFonts w:hint="eastAsia"/>
        </w:rPr>
        <w:t>年）及相关林业调查资料，根据植物群落学—生态学分类原则，采用植被型组、植被型、群系等基本单位，在对现存植被进行调查的基础上，结合区域内现有植被中群系建群种与优势种的外貌，以及群系的环境生态与地理分布特征等分析，将项目调查范围自然植被初步划分为</w:t>
      </w:r>
      <w:r>
        <w:rPr>
          <w:rFonts w:hint="eastAsia"/>
        </w:rPr>
        <w:t>3</w:t>
      </w:r>
      <w:r>
        <w:rPr>
          <w:rFonts w:hint="eastAsia"/>
        </w:rPr>
        <w:t>植被型组、</w:t>
      </w:r>
      <w:r>
        <w:rPr>
          <w:rFonts w:hint="eastAsia"/>
        </w:rPr>
        <w:t xml:space="preserve">3 </w:t>
      </w:r>
      <w:r>
        <w:rPr>
          <w:rFonts w:hint="eastAsia"/>
        </w:rPr>
        <w:t>植被型、植被亚型</w:t>
      </w:r>
      <w:r>
        <w:rPr>
          <w:rFonts w:hint="eastAsia"/>
        </w:rPr>
        <w:t>5</w:t>
      </w:r>
      <w:r>
        <w:rPr>
          <w:rFonts w:hint="eastAsia"/>
        </w:rPr>
        <w:t>个，</w:t>
      </w:r>
      <w:r>
        <w:rPr>
          <w:rFonts w:hint="eastAsia"/>
        </w:rPr>
        <w:t>5</w:t>
      </w:r>
      <w:r>
        <w:rPr>
          <w:rFonts w:hint="eastAsia"/>
        </w:rPr>
        <w:t>个群系，各植被类型见表</w:t>
      </w:r>
      <w:r>
        <w:rPr>
          <w:rFonts w:hint="eastAsia"/>
        </w:rPr>
        <w:t>4.2-43</w:t>
      </w:r>
      <w:r>
        <w:rPr>
          <w:rFonts w:hint="eastAsia"/>
        </w:rPr>
        <w:t>，工程评价范围植被类型图详见附图</w:t>
      </w:r>
      <w:r>
        <w:rPr>
          <w:rFonts w:hint="eastAsia"/>
        </w:rPr>
        <w:t>19</w:t>
      </w:r>
      <w:r>
        <w:rPr>
          <w:rFonts w:hint="eastAsia"/>
        </w:rPr>
        <w:t>。</w:t>
      </w:r>
    </w:p>
    <w:p w14:paraId="15AB28F3" w14:textId="77777777" w:rsidR="009D12AF" w:rsidRDefault="00000000">
      <w:pPr>
        <w:widowControl/>
        <w:ind w:firstLine="482"/>
        <w:jc w:val="center"/>
      </w:pPr>
      <w:r>
        <w:rPr>
          <w:rFonts w:ascii="Times New Roman" w:eastAsia="宋体" w:hAnsi="Times New Roman" w:cs="Times New Roman"/>
          <w:b/>
          <w:bCs/>
          <w:kern w:val="0"/>
        </w:rPr>
        <w:t>表</w:t>
      </w:r>
      <w:r>
        <w:rPr>
          <w:rFonts w:ascii="Times New Roman" w:eastAsia="宋体" w:hAnsi="Times New Roman" w:cs="Times New Roman" w:hint="eastAsia"/>
          <w:b/>
          <w:bCs/>
          <w:kern w:val="0"/>
        </w:rPr>
        <w:t>4.2-43</w:t>
      </w:r>
      <w:r>
        <w:rPr>
          <w:rFonts w:ascii="Times New Roman" w:eastAsia="宋体" w:hAnsi="Times New Roman" w:cs="Times New Roman"/>
          <w:b/>
          <w:bCs/>
          <w:kern w:val="0"/>
        </w:rPr>
        <w:t xml:space="preserve">   </w:t>
      </w:r>
      <w:r>
        <w:rPr>
          <w:rFonts w:ascii="Times New Roman" w:eastAsia="宋体" w:hAnsi="Times New Roman" w:cs="Times New Roman" w:hint="eastAsia"/>
          <w:b/>
          <w:bCs/>
          <w:kern w:val="0"/>
        </w:rPr>
        <w:t>本工程评价范围内</w:t>
      </w:r>
      <w:r>
        <w:rPr>
          <w:rFonts w:ascii="Times New Roman" w:eastAsia="宋体" w:hAnsi="Times New Roman" w:cs="Times New Roman"/>
          <w:b/>
          <w:bCs/>
          <w:kern w:val="0"/>
        </w:rPr>
        <w:t>植被类型</w:t>
      </w:r>
    </w:p>
    <w:tbl>
      <w:tblPr>
        <w:tblStyle w:val="5"/>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129"/>
        <w:gridCol w:w="1418"/>
        <w:gridCol w:w="1984"/>
        <w:gridCol w:w="2127"/>
        <w:gridCol w:w="1638"/>
      </w:tblGrid>
      <w:tr w:rsidR="009D12AF" w14:paraId="6B05AEBD" w14:textId="77777777">
        <w:tc>
          <w:tcPr>
            <w:tcW w:w="1129" w:type="dxa"/>
            <w:tcBorders>
              <w:tl2br w:val="nil"/>
              <w:tr2bl w:val="nil"/>
            </w:tcBorders>
            <w:vAlign w:val="center"/>
          </w:tcPr>
          <w:p w14:paraId="624EA42E"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植被型组</w:t>
            </w:r>
          </w:p>
        </w:tc>
        <w:tc>
          <w:tcPr>
            <w:tcW w:w="1418" w:type="dxa"/>
            <w:tcBorders>
              <w:tl2br w:val="nil"/>
              <w:tr2bl w:val="nil"/>
            </w:tcBorders>
            <w:vAlign w:val="center"/>
          </w:tcPr>
          <w:p w14:paraId="7DFD517F"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植被型</w:t>
            </w:r>
          </w:p>
        </w:tc>
        <w:tc>
          <w:tcPr>
            <w:tcW w:w="1984" w:type="dxa"/>
            <w:tcBorders>
              <w:tl2br w:val="nil"/>
              <w:tr2bl w:val="nil"/>
            </w:tcBorders>
            <w:vAlign w:val="center"/>
          </w:tcPr>
          <w:p w14:paraId="7A2C7EB4"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植被亚型</w:t>
            </w:r>
          </w:p>
        </w:tc>
        <w:tc>
          <w:tcPr>
            <w:tcW w:w="2127" w:type="dxa"/>
            <w:tcBorders>
              <w:tl2br w:val="nil"/>
              <w:tr2bl w:val="nil"/>
            </w:tcBorders>
            <w:vAlign w:val="center"/>
          </w:tcPr>
          <w:p w14:paraId="1805AC1D"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群系</w:t>
            </w:r>
          </w:p>
        </w:tc>
        <w:tc>
          <w:tcPr>
            <w:tcW w:w="1638" w:type="dxa"/>
            <w:tcBorders>
              <w:tl2br w:val="nil"/>
              <w:tr2bl w:val="nil"/>
            </w:tcBorders>
            <w:vAlign w:val="center"/>
          </w:tcPr>
          <w:p w14:paraId="2CA89D97"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面积</w:t>
            </w:r>
          </w:p>
          <w:p w14:paraId="5BB28784"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（hm</w:t>
            </w:r>
            <w:r>
              <w:rPr>
                <w:rFonts w:ascii="宋体" w:eastAsia="宋体" w:hAnsi="宋体" w:cs="Times New Roman" w:hint="eastAsia"/>
                <w:sz w:val="21"/>
                <w:szCs w:val="21"/>
                <w:vertAlign w:val="superscript"/>
              </w:rPr>
              <w:t>2</w:t>
            </w:r>
            <w:r>
              <w:rPr>
                <w:rFonts w:ascii="宋体" w:eastAsia="宋体" w:hAnsi="宋体" w:cs="Times New Roman" w:hint="eastAsia"/>
                <w:sz w:val="21"/>
                <w:szCs w:val="21"/>
              </w:rPr>
              <w:t>）</w:t>
            </w:r>
          </w:p>
        </w:tc>
      </w:tr>
      <w:tr w:rsidR="009D12AF" w14:paraId="45585C16" w14:textId="77777777">
        <w:tc>
          <w:tcPr>
            <w:tcW w:w="1129" w:type="dxa"/>
            <w:vMerge w:val="restart"/>
            <w:tcBorders>
              <w:tl2br w:val="nil"/>
              <w:tr2bl w:val="nil"/>
            </w:tcBorders>
            <w:vAlign w:val="center"/>
          </w:tcPr>
          <w:p w14:paraId="540D760E"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sz w:val="21"/>
                <w:szCs w:val="21"/>
              </w:rPr>
              <w:fldChar w:fldCharType="begin"/>
            </w:r>
            <w:r>
              <w:rPr>
                <w:rFonts w:ascii="宋体" w:eastAsia="宋体" w:hAnsi="宋体" w:cs="Times New Roman"/>
                <w:sz w:val="21"/>
                <w:szCs w:val="21"/>
              </w:rPr>
              <w:instrText xml:space="preserve"> = 1 \* ROMAN </w:instrText>
            </w:r>
            <w:r>
              <w:rPr>
                <w:rFonts w:ascii="宋体" w:eastAsia="宋体" w:hAnsi="宋体" w:cs="Times New Roman"/>
                <w:sz w:val="21"/>
                <w:szCs w:val="21"/>
              </w:rPr>
              <w:fldChar w:fldCharType="separate"/>
            </w:r>
            <w:r>
              <w:rPr>
                <w:rFonts w:ascii="宋体" w:eastAsia="宋体" w:hAnsi="宋体" w:cs="Times New Roman"/>
                <w:sz w:val="21"/>
                <w:szCs w:val="21"/>
              </w:rPr>
              <w:t>I</w:t>
            </w:r>
            <w:r>
              <w:rPr>
                <w:rFonts w:ascii="宋体" w:eastAsia="宋体" w:hAnsi="宋体" w:cs="Times New Roman"/>
                <w:sz w:val="21"/>
                <w:szCs w:val="21"/>
              </w:rPr>
              <w:fldChar w:fldCharType="end"/>
            </w:r>
            <w:r>
              <w:rPr>
                <w:rFonts w:ascii="宋体" w:eastAsia="宋体" w:hAnsi="宋体" w:cs="Times New Roman" w:hint="eastAsia"/>
                <w:sz w:val="21"/>
                <w:szCs w:val="21"/>
              </w:rPr>
              <w:t>.阔叶林</w:t>
            </w:r>
          </w:p>
        </w:tc>
        <w:tc>
          <w:tcPr>
            <w:tcW w:w="1418" w:type="dxa"/>
            <w:vMerge w:val="restart"/>
            <w:tcBorders>
              <w:tl2br w:val="nil"/>
              <w:tr2bl w:val="nil"/>
            </w:tcBorders>
            <w:vAlign w:val="center"/>
          </w:tcPr>
          <w:p w14:paraId="2376D86B"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一、落叶阔叶林</w:t>
            </w:r>
          </w:p>
        </w:tc>
        <w:tc>
          <w:tcPr>
            <w:tcW w:w="1984" w:type="dxa"/>
            <w:tcBorders>
              <w:tl2br w:val="nil"/>
              <w:tr2bl w:val="nil"/>
            </w:tcBorders>
            <w:vAlign w:val="center"/>
          </w:tcPr>
          <w:p w14:paraId="215958D7"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（一）典型落叶阔叶林</w:t>
            </w:r>
          </w:p>
        </w:tc>
        <w:tc>
          <w:tcPr>
            <w:tcW w:w="2127" w:type="dxa"/>
            <w:tcBorders>
              <w:tl2br w:val="nil"/>
              <w:tr2bl w:val="nil"/>
            </w:tcBorders>
            <w:vAlign w:val="center"/>
          </w:tcPr>
          <w:p w14:paraId="7BB1ED05"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1.蒙古栎林</w:t>
            </w:r>
          </w:p>
        </w:tc>
        <w:tc>
          <w:tcPr>
            <w:tcW w:w="1638" w:type="dxa"/>
            <w:tcBorders>
              <w:tl2br w:val="nil"/>
              <w:tr2bl w:val="nil"/>
            </w:tcBorders>
            <w:vAlign w:val="center"/>
          </w:tcPr>
          <w:p w14:paraId="73DECC81"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89.9738</w:t>
            </w:r>
          </w:p>
        </w:tc>
      </w:tr>
      <w:tr w:rsidR="009D12AF" w14:paraId="40DCFA90" w14:textId="77777777">
        <w:tc>
          <w:tcPr>
            <w:tcW w:w="1129" w:type="dxa"/>
            <w:vMerge/>
            <w:tcBorders>
              <w:tl2br w:val="nil"/>
              <w:tr2bl w:val="nil"/>
            </w:tcBorders>
            <w:vAlign w:val="center"/>
          </w:tcPr>
          <w:p w14:paraId="69D18F22" w14:textId="77777777" w:rsidR="009D12AF" w:rsidRDefault="009D12AF">
            <w:pPr>
              <w:ind w:firstLineChars="0" w:firstLine="0"/>
              <w:jc w:val="center"/>
              <w:rPr>
                <w:rFonts w:ascii="宋体" w:eastAsia="宋体" w:hAnsi="宋体" w:cs="Times New Roman" w:hint="eastAsia"/>
                <w:sz w:val="21"/>
                <w:szCs w:val="21"/>
              </w:rPr>
            </w:pPr>
          </w:p>
        </w:tc>
        <w:tc>
          <w:tcPr>
            <w:tcW w:w="1418" w:type="dxa"/>
            <w:vMerge/>
            <w:tcBorders>
              <w:tl2br w:val="nil"/>
              <w:tr2bl w:val="nil"/>
            </w:tcBorders>
            <w:vAlign w:val="center"/>
          </w:tcPr>
          <w:p w14:paraId="276CEEB5" w14:textId="77777777" w:rsidR="009D12AF" w:rsidRDefault="009D12AF">
            <w:pPr>
              <w:ind w:firstLineChars="0" w:firstLine="0"/>
              <w:jc w:val="center"/>
              <w:rPr>
                <w:rFonts w:ascii="宋体" w:eastAsia="宋体" w:hAnsi="宋体" w:cs="Times New Roman" w:hint="eastAsia"/>
                <w:sz w:val="21"/>
                <w:szCs w:val="21"/>
              </w:rPr>
            </w:pPr>
          </w:p>
        </w:tc>
        <w:tc>
          <w:tcPr>
            <w:tcW w:w="1984" w:type="dxa"/>
            <w:tcBorders>
              <w:tl2br w:val="nil"/>
              <w:tr2bl w:val="nil"/>
            </w:tcBorders>
            <w:vAlign w:val="center"/>
          </w:tcPr>
          <w:p w14:paraId="190E6A0D"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（二）山地杨桦林</w:t>
            </w:r>
          </w:p>
        </w:tc>
        <w:tc>
          <w:tcPr>
            <w:tcW w:w="2127" w:type="dxa"/>
            <w:tcBorders>
              <w:tl2br w:val="nil"/>
              <w:tr2bl w:val="nil"/>
            </w:tcBorders>
            <w:vAlign w:val="center"/>
          </w:tcPr>
          <w:p w14:paraId="59073576"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2.山杨林</w:t>
            </w:r>
          </w:p>
        </w:tc>
        <w:tc>
          <w:tcPr>
            <w:tcW w:w="1638" w:type="dxa"/>
            <w:tcBorders>
              <w:tl2br w:val="nil"/>
              <w:tr2bl w:val="nil"/>
            </w:tcBorders>
            <w:vAlign w:val="center"/>
          </w:tcPr>
          <w:p w14:paraId="049AC750"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17.2429</w:t>
            </w:r>
          </w:p>
        </w:tc>
      </w:tr>
      <w:tr w:rsidR="009D12AF" w14:paraId="746BF6B6" w14:textId="77777777">
        <w:tc>
          <w:tcPr>
            <w:tcW w:w="1129" w:type="dxa"/>
            <w:vMerge w:val="restart"/>
            <w:tcBorders>
              <w:tl2br w:val="nil"/>
              <w:tr2bl w:val="nil"/>
            </w:tcBorders>
            <w:vAlign w:val="center"/>
          </w:tcPr>
          <w:p w14:paraId="7885507C"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sz w:val="21"/>
                <w:szCs w:val="21"/>
              </w:rPr>
              <w:lastRenderedPageBreak/>
              <w:fldChar w:fldCharType="begin"/>
            </w:r>
            <w:r>
              <w:rPr>
                <w:rFonts w:ascii="宋体" w:eastAsia="宋体" w:hAnsi="宋体" w:cs="Times New Roman"/>
                <w:sz w:val="21"/>
                <w:szCs w:val="21"/>
              </w:rPr>
              <w:instrText xml:space="preserve"> = 2 \* ROMAN </w:instrText>
            </w:r>
            <w:r>
              <w:rPr>
                <w:rFonts w:ascii="宋体" w:eastAsia="宋体" w:hAnsi="宋体" w:cs="Times New Roman"/>
                <w:sz w:val="21"/>
                <w:szCs w:val="21"/>
              </w:rPr>
              <w:fldChar w:fldCharType="separate"/>
            </w:r>
            <w:r>
              <w:rPr>
                <w:rFonts w:ascii="宋体" w:eastAsia="宋体" w:hAnsi="宋体" w:cs="Times New Roman"/>
                <w:sz w:val="21"/>
                <w:szCs w:val="21"/>
              </w:rPr>
              <w:t>II</w:t>
            </w:r>
            <w:r>
              <w:rPr>
                <w:rFonts w:ascii="宋体" w:eastAsia="宋体" w:hAnsi="宋体" w:cs="Times New Roman"/>
                <w:sz w:val="21"/>
                <w:szCs w:val="21"/>
              </w:rPr>
              <w:fldChar w:fldCharType="end"/>
            </w:r>
            <w:r>
              <w:rPr>
                <w:rFonts w:ascii="宋体" w:eastAsia="宋体" w:hAnsi="宋体" w:cs="Times New Roman" w:hint="eastAsia"/>
                <w:sz w:val="21"/>
                <w:szCs w:val="21"/>
              </w:rPr>
              <w:t>.针叶林</w:t>
            </w:r>
          </w:p>
        </w:tc>
        <w:tc>
          <w:tcPr>
            <w:tcW w:w="1418" w:type="dxa"/>
            <w:vMerge w:val="restart"/>
            <w:tcBorders>
              <w:tl2br w:val="nil"/>
              <w:tr2bl w:val="nil"/>
            </w:tcBorders>
            <w:vAlign w:val="center"/>
          </w:tcPr>
          <w:p w14:paraId="2D6D8DA6"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二、寒温性针叶林</w:t>
            </w:r>
          </w:p>
        </w:tc>
        <w:tc>
          <w:tcPr>
            <w:tcW w:w="1984" w:type="dxa"/>
            <w:tcBorders>
              <w:tl2br w:val="nil"/>
              <w:tr2bl w:val="nil"/>
            </w:tcBorders>
            <w:vAlign w:val="center"/>
          </w:tcPr>
          <w:p w14:paraId="5EDFE2A8"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（三）寒温性落叶针叶林</w:t>
            </w:r>
          </w:p>
        </w:tc>
        <w:tc>
          <w:tcPr>
            <w:tcW w:w="2127" w:type="dxa"/>
            <w:tcBorders>
              <w:tl2br w:val="nil"/>
              <w:tr2bl w:val="nil"/>
            </w:tcBorders>
            <w:vAlign w:val="center"/>
          </w:tcPr>
          <w:p w14:paraId="4E074090"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3.兴安落叶松林</w:t>
            </w:r>
          </w:p>
        </w:tc>
        <w:tc>
          <w:tcPr>
            <w:tcW w:w="1638" w:type="dxa"/>
            <w:tcBorders>
              <w:tl2br w:val="nil"/>
              <w:tr2bl w:val="nil"/>
            </w:tcBorders>
            <w:vAlign w:val="center"/>
          </w:tcPr>
          <w:p w14:paraId="0744C5FC"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216.2587</w:t>
            </w:r>
          </w:p>
        </w:tc>
      </w:tr>
      <w:tr w:rsidR="009D12AF" w14:paraId="3E3C3477" w14:textId="77777777">
        <w:tc>
          <w:tcPr>
            <w:tcW w:w="1129" w:type="dxa"/>
            <w:vMerge/>
            <w:tcBorders>
              <w:tl2br w:val="nil"/>
              <w:tr2bl w:val="nil"/>
            </w:tcBorders>
            <w:vAlign w:val="center"/>
          </w:tcPr>
          <w:p w14:paraId="6CE49DB9" w14:textId="77777777" w:rsidR="009D12AF" w:rsidRDefault="009D12AF">
            <w:pPr>
              <w:ind w:firstLineChars="0" w:firstLine="0"/>
              <w:jc w:val="center"/>
              <w:rPr>
                <w:rFonts w:ascii="宋体" w:eastAsia="宋体" w:hAnsi="宋体" w:cs="Times New Roman" w:hint="eastAsia"/>
                <w:sz w:val="21"/>
                <w:szCs w:val="21"/>
              </w:rPr>
            </w:pPr>
          </w:p>
        </w:tc>
        <w:tc>
          <w:tcPr>
            <w:tcW w:w="1418" w:type="dxa"/>
            <w:vMerge/>
            <w:tcBorders>
              <w:tl2br w:val="nil"/>
              <w:tr2bl w:val="nil"/>
            </w:tcBorders>
            <w:vAlign w:val="center"/>
          </w:tcPr>
          <w:p w14:paraId="1983BAEB" w14:textId="77777777" w:rsidR="009D12AF" w:rsidRDefault="009D12AF">
            <w:pPr>
              <w:ind w:firstLineChars="0" w:firstLine="0"/>
              <w:jc w:val="center"/>
              <w:rPr>
                <w:rFonts w:ascii="宋体" w:eastAsia="宋体" w:hAnsi="宋体" w:cs="Times New Roman" w:hint="eastAsia"/>
                <w:sz w:val="21"/>
                <w:szCs w:val="21"/>
              </w:rPr>
            </w:pPr>
          </w:p>
        </w:tc>
        <w:tc>
          <w:tcPr>
            <w:tcW w:w="1984" w:type="dxa"/>
            <w:tcBorders>
              <w:tl2br w:val="nil"/>
              <w:tr2bl w:val="nil"/>
            </w:tcBorders>
            <w:vAlign w:val="center"/>
          </w:tcPr>
          <w:p w14:paraId="6DA694D2"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（四）寒温性常绿针叶林</w:t>
            </w:r>
          </w:p>
        </w:tc>
        <w:tc>
          <w:tcPr>
            <w:tcW w:w="2127" w:type="dxa"/>
            <w:tcBorders>
              <w:tl2br w:val="nil"/>
              <w:tr2bl w:val="nil"/>
            </w:tcBorders>
            <w:vAlign w:val="center"/>
          </w:tcPr>
          <w:p w14:paraId="2AA8391F"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4.樟子松林</w:t>
            </w:r>
          </w:p>
        </w:tc>
        <w:tc>
          <w:tcPr>
            <w:tcW w:w="1638" w:type="dxa"/>
            <w:tcBorders>
              <w:tl2br w:val="nil"/>
              <w:tr2bl w:val="nil"/>
            </w:tcBorders>
            <w:vAlign w:val="center"/>
          </w:tcPr>
          <w:p w14:paraId="12A4256B"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31.4678</w:t>
            </w:r>
          </w:p>
        </w:tc>
      </w:tr>
      <w:tr w:rsidR="009D12AF" w14:paraId="4C7C149C" w14:textId="77777777">
        <w:tc>
          <w:tcPr>
            <w:tcW w:w="1129" w:type="dxa"/>
            <w:tcBorders>
              <w:tl2br w:val="nil"/>
              <w:tr2bl w:val="nil"/>
            </w:tcBorders>
            <w:vAlign w:val="center"/>
          </w:tcPr>
          <w:p w14:paraId="26B594B8"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sz w:val="21"/>
                <w:szCs w:val="21"/>
              </w:rPr>
              <w:fldChar w:fldCharType="begin"/>
            </w:r>
            <w:r>
              <w:rPr>
                <w:rFonts w:ascii="宋体" w:eastAsia="宋体" w:hAnsi="宋体" w:cs="Times New Roman"/>
                <w:sz w:val="21"/>
                <w:szCs w:val="21"/>
              </w:rPr>
              <w:instrText xml:space="preserve"> = 3 \* ROMAN </w:instrText>
            </w:r>
            <w:r>
              <w:rPr>
                <w:rFonts w:ascii="宋体" w:eastAsia="宋体" w:hAnsi="宋体" w:cs="Times New Roman"/>
                <w:sz w:val="21"/>
                <w:szCs w:val="21"/>
              </w:rPr>
              <w:fldChar w:fldCharType="separate"/>
            </w:r>
            <w:r>
              <w:rPr>
                <w:rFonts w:ascii="宋体" w:eastAsia="宋体" w:hAnsi="宋体" w:cs="Times New Roman"/>
                <w:sz w:val="21"/>
                <w:szCs w:val="21"/>
              </w:rPr>
              <w:t>III</w:t>
            </w:r>
            <w:r>
              <w:rPr>
                <w:rFonts w:ascii="宋体" w:eastAsia="宋体" w:hAnsi="宋体" w:cs="Times New Roman"/>
                <w:sz w:val="21"/>
                <w:szCs w:val="21"/>
              </w:rPr>
              <w:fldChar w:fldCharType="end"/>
            </w:r>
            <w:r>
              <w:rPr>
                <w:rFonts w:ascii="宋体" w:eastAsia="宋体" w:hAnsi="宋体" w:cs="Times New Roman" w:hint="eastAsia"/>
                <w:sz w:val="21"/>
                <w:szCs w:val="21"/>
              </w:rPr>
              <w:t>.草甸</w:t>
            </w:r>
          </w:p>
        </w:tc>
        <w:tc>
          <w:tcPr>
            <w:tcW w:w="1418" w:type="dxa"/>
            <w:tcBorders>
              <w:tl2br w:val="nil"/>
              <w:tr2bl w:val="nil"/>
            </w:tcBorders>
            <w:vAlign w:val="center"/>
          </w:tcPr>
          <w:p w14:paraId="1F17285E"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三、草甸</w:t>
            </w:r>
          </w:p>
        </w:tc>
        <w:tc>
          <w:tcPr>
            <w:tcW w:w="1984" w:type="dxa"/>
            <w:tcBorders>
              <w:tl2br w:val="nil"/>
              <w:tr2bl w:val="nil"/>
            </w:tcBorders>
            <w:vAlign w:val="center"/>
          </w:tcPr>
          <w:p w14:paraId="5674699A"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（五）沼泽草甸</w:t>
            </w:r>
          </w:p>
        </w:tc>
        <w:tc>
          <w:tcPr>
            <w:tcW w:w="2127" w:type="dxa"/>
            <w:tcBorders>
              <w:tl2br w:val="nil"/>
              <w:tr2bl w:val="nil"/>
            </w:tcBorders>
            <w:vAlign w:val="center"/>
          </w:tcPr>
          <w:p w14:paraId="4B040F6A"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5.杂类草草甸</w:t>
            </w:r>
          </w:p>
        </w:tc>
        <w:tc>
          <w:tcPr>
            <w:tcW w:w="1638" w:type="dxa"/>
            <w:tcBorders>
              <w:tl2br w:val="nil"/>
              <w:tr2bl w:val="nil"/>
            </w:tcBorders>
            <w:vAlign w:val="center"/>
          </w:tcPr>
          <w:p w14:paraId="75D02082" w14:textId="77777777" w:rsidR="009D12AF" w:rsidRDefault="00000000">
            <w:pPr>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59.6543</w:t>
            </w:r>
          </w:p>
        </w:tc>
      </w:tr>
    </w:tbl>
    <w:p w14:paraId="4F2F8867" w14:textId="77777777" w:rsidR="009D12AF" w:rsidRDefault="00000000">
      <w:pPr>
        <w:ind w:firstLine="480"/>
        <w:rPr>
          <w:rFonts w:ascii="Times New Roman" w:eastAsia="宋体" w:hAnsi="Times New Roman" w:cs="Times New Roman"/>
          <w:kern w:val="0"/>
          <w:szCs w:val="20"/>
        </w:rPr>
      </w:pPr>
      <w:r>
        <w:rPr>
          <w:rFonts w:hint="eastAsia"/>
        </w:rPr>
        <w:t>二、植被与分布规律</w:t>
      </w:r>
    </w:p>
    <w:p w14:paraId="6D90A830" w14:textId="77777777" w:rsidR="009D12AF" w:rsidRDefault="00000000">
      <w:pPr>
        <w:pStyle w:val="afd"/>
      </w:pPr>
      <w:r>
        <w:rPr>
          <w:rFonts w:hint="eastAsia"/>
        </w:rPr>
        <w:t>（</w:t>
      </w:r>
      <w:r>
        <w:rPr>
          <w:rFonts w:hint="eastAsia"/>
        </w:rPr>
        <w:t>1</w:t>
      </w:r>
      <w:r>
        <w:rPr>
          <w:rFonts w:hint="eastAsia"/>
        </w:rPr>
        <w:t>）兴安落叶松林</w:t>
      </w:r>
    </w:p>
    <w:p w14:paraId="6191324C"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兴安落叶松适应范围很广，在较干早瘠薄的石砾山地以及水湿的沼泽地，均能生长成林。其根系具有很强的可塑性，既能在较深厚肥沃的土壤上，形成发达的根系，长成通直高大的森林，又能在严重沼泽化，具有永冻层的土壤上形成表层的浅根系，并随着沼泽地藓类</w:t>
      </w:r>
      <w:r>
        <w:rPr>
          <w:rFonts w:ascii="Times New Roman" w:eastAsia="宋体" w:hAnsi="Times New Roman" w:cs="Times New Roman" w:hint="eastAsia"/>
          <w:kern w:val="0"/>
          <w:szCs w:val="20"/>
        </w:rPr>
        <w:t>(</w:t>
      </w:r>
      <w:r>
        <w:rPr>
          <w:rFonts w:ascii="Times New Roman" w:eastAsia="宋体" w:hAnsi="Times New Roman" w:cs="Times New Roman" w:hint="eastAsia"/>
          <w:kern w:val="0"/>
          <w:szCs w:val="20"/>
        </w:rPr>
        <w:t>一般为泥炭藓</w:t>
      </w:r>
      <w:r>
        <w:rPr>
          <w:rFonts w:ascii="Times New Roman" w:eastAsia="宋体" w:hAnsi="Times New Roman" w:cs="Times New Roman" w:hint="eastAsia"/>
          <w:kern w:val="0"/>
          <w:szCs w:val="20"/>
        </w:rPr>
        <w:t>)</w:t>
      </w:r>
      <w:r>
        <w:rPr>
          <w:rFonts w:ascii="Times New Roman" w:eastAsia="宋体" w:hAnsi="Times New Roman" w:cs="Times New Roman" w:hint="eastAsia"/>
          <w:kern w:val="0"/>
          <w:szCs w:val="20"/>
        </w:rPr>
        <w:t>的积累和增厚，不断萌发出不定根以适应这种特殊湿冷的生境，形成生产力很低的“小老树”。兴安落叶松能在寒冷的土壤中进行生理活动，能够在很短的生长期中通过强烈的同化和蒸腾作用完成生活周期，并由于冬季落叶这一特征更使其有较强的抗寒能力。</w:t>
      </w:r>
      <w:r>
        <w:rPr>
          <w:rFonts w:ascii="Times New Roman" w:eastAsia="宋体" w:hAnsi="Times New Roman" w:cs="Times New Roman" w:hint="eastAsia"/>
          <w:kern w:val="0"/>
          <w:szCs w:val="20"/>
        </w:rPr>
        <w:t xml:space="preserve"> </w:t>
      </w:r>
    </w:p>
    <w:p w14:paraId="1A436700" w14:textId="77777777" w:rsidR="009D12AF" w:rsidRDefault="00000000">
      <w:pPr>
        <w:ind w:firstLine="480"/>
      </w:pPr>
      <w:r>
        <w:rPr>
          <w:rFonts w:hint="eastAsia"/>
        </w:rPr>
        <w:t>乔木层郁闭度</w:t>
      </w:r>
      <w:r>
        <w:rPr>
          <w:rFonts w:hint="eastAsia"/>
        </w:rPr>
        <w:t>0</w:t>
      </w:r>
      <w:r>
        <w:t>.5</w:t>
      </w:r>
      <w:r>
        <w:t>～</w:t>
      </w:r>
      <w:r>
        <w:t>0.7</w:t>
      </w:r>
      <w:r>
        <w:rPr>
          <w:rFonts w:hint="eastAsia"/>
        </w:rPr>
        <w:t>，层高</w:t>
      </w:r>
      <w:r>
        <w:rPr>
          <w:rFonts w:hint="eastAsia"/>
        </w:rPr>
        <w:t>1</w:t>
      </w:r>
      <w:r>
        <w:t>7</w:t>
      </w:r>
      <w:r>
        <w:t>～</w:t>
      </w:r>
      <w:r>
        <w:t>20</w:t>
      </w:r>
      <w:r>
        <w:rPr>
          <w:rFonts w:hint="eastAsia"/>
        </w:rPr>
        <w:t>米，主要是由兴安落叶松构成的落叶针叶大高位芽植物层片构成，另外还有红皮云杉（</w:t>
      </w:r>
      <w:r>
        <w:rPr>
          <w:rFonts w:hint="eastAsia"/>
        </w:rPr>
        <w:t>Picea koraiensis Nakai</w:t>
      </w:r>
      <w:r>
        <w:rPr>
          <w:rFonts w:hint="eastAsia"/>
        </w:rPr>
        <w:t>）等。</w:t>
      </w:r>
    </w:p>
    <w:p w14:paraId="26D3393A" w14:textId="77777777" w:rsidR="009D12AF" w:rsidRDefault="00000000">
      <w:pPr>
        <w:ind w:firstLine="480"/>
        <w:rPr>
          <w:rFonts w:ascii="Times New Roman" w:eastAsia="宋体" w:hAnsi="Times New Roman" w:cs="Times New Roman"/>
          <w:kern w:val="0"/>
          <w:szCs w:val="20"/>
        </w:rPr>
      </w:pPr>
      <w:r>
        <w:rPr>
          <w:rFonts w:hint="eastAsia"/>
        </w:rPr>
        <w:t>草本层层高</w:t>
      </w:r>
      <w:r>
        <w:rPr>
          <w:rFonts w:hint="eastAsia"/>
        </w:rPr>
        <w:t>12-15</w:t>
      </w:r>
      <w:r>
        <w:rPr>
          <w:rFonts w:hint="eastAsia"/>
        </w:rPr>
        <w:t>厘米，盖度</w:t>
      </w:r>
      <w:r>
        <w:rPr>
          <w:rFonts w:hint="eastAsia"/>
        </w:rPr>
        <w:t>50%-60%</w:t>
      </w:r>
      <w:r>
        <w:rPr>
          <w:rFonts w:hint="eastAsia"/>
        </w:rPr>
        <w:t>。主要为青绿薹草</w:t>
      </w:r>
      <w:r>
        <w:rPr>
          <w:rFonts w:hint="eastAsia"/>
        </w:rPr>
        <w:t>(Carex breviculmis R. Br.)</w:t>
      </w:r>
      <w:r>
        <w:rPr>
          <w:rFonts w:hint="eastAsia"/>
        </w:rPr>
        <w:t>、龙牙草</w:t>
      </w:r>
      <w:r>
        <w:rPr>
          <w:rFonts w:hint="eastAsia"/>
        </w:rPr>
        <w:t>(Agrimonia pilosa Ldb.)</w:t>
      </w:r>
      <w:r>
        <w:rPr>
          <w:rFonts w:hint="eastAsia"/>
        </w:rPr>
        <w:t>、朝天委陵菜（</w:t>
      </w:r>
      <w:r>
        <w:rPr>
          <w:rFonts w:hint="eastAsia"/>
        </w:rPr>
        <w:t>Potentilla supina L.</w:t>
      </w:r>
      <w:r>
        <w:rPr>
          <w:rFonts w:hint="eastAsia"/>
        </w:rPr>
        <w:t>）、野艾蒿（</w:t>
      </w:r>
      <w:r>
        <w:rPr>
          <w:rFonts w:hint="eastAsia"/>
        </w:rPr>
        <w:t>Artemisia lavandulifolia</w:t>
      </w:r>
      <w:r>
        <w:rPr>
          <w:rFonts w:hint="eastAsia"/>
        </w:rPr>
        <w:t>）、龙牙草（</w:t>
      </w:r>
      <w:r>
        <w:rPr>
          <w:rFonts w:hint="eastAsia"/>
        </w:rPr>
        <w:t>Agrimonia pilosa Ldb.</w:t>
      </w:r>
      <w:r>
        <w:rPr>
          <w:rFonts w:hint="eastAsia"/>
        </w:rPr>
        <w:t>）等。</w:t>
      </w:r>
    </w:p>
    <w:p w14:paraId="104731D3" w14:textId="77777777" w:rsidR="009D12AF" w:rsidRDefault="00000000">
      <w:pPr>
        <w:pStyle w:val="afd"/>
        <w:ind w:firstLine="482"/>
        <w:jc w:val="center"/>
      </w:pPr>
      <w:r>
        <w:rPr>
          <w:b/>
          <w:bCs w:val="0"/>
        </w:rPr>
        <w:t>表</w:t>
      </w:r>
      <w:r>
        <w:rPr>
          <w:b/>
          <w:bCs w:val="0"/>
        </w:rPr>
        <w:t xml:space="preserve"> </w:t>
      </w:r>
      <w:r>
        <w:rPr>
          <w:rFonts w:hint="eastAsia"/>
          <w:b/>
          <w:bCs w:val="0"/>
        </w:rPr>
        <w:t xml:space="preserve">4.2-44    </w:t>
      </w:r>
      <w:r>
        <w:rPr>
          <w:rFonts w:hint="eastAsia"/>
          <w:b/>
          <w:bCs w:val="0"/>
        </w:rPr>
        <w:t>兴安落叶松林群落特征</w:t>
      </w:r>
    </w:p>
    <w:tbl>
      <w:tblPr>
        <w:tblW w:w="5000" w:type="pct"/>
        <w:jc w:val="center"/>
        <w:tblBorders>
          <w:top w:val="single" w:sz="12" w:space="0" w:color="000000"/>
          <w:bottom w:val="single" w:sz="2" w:space="0" w:color="000000"/>
          <w:insideH w:val="single" w:sz="4" w:space="0" w:color="000000"/>
          <w:insideV w:val="single" w:sz="2" w:space="0" w:color="000000"/>
        </w:tblBorders>
        <w:tblLayout w:type="fixed"/>
        <w:tblCellMar>
          <w:left w:w="0" w:type="dxa"/>
          <w:right w:w="0" w:type="dxa"/>
        </w:tblCellMar>
        <w:tblLook w:val="04A0" w:firstRow="1" w:lastRow="0" w:firstColumn="1" w:lastColumn="0" w:noHBand="0" w:noVBand="1"/>
      </w:tblPr>
      <w:tblGrid>
        <w:gridCol w:w="1135"/>
        <w:gridCol w:w="1419"/>
        <w:gridCol w:w="150"/>
        <w:gridCol w:w="1199"/>
        <w:gridCol w:w="1626"/>
        <w:gridCol w:w="425"/>
        <w:gridCol w:w="1155"/>
        <w:gridCol w:w="262"/>
        <w:gridCol w:w="935"/>
      </w:tblGrid>
      <w:tr w:rsidR="009D12AF" w14:paraId="30861961" w14:textId="77777777">
        <w:trPr>
          <w:trHeight w:val="410"/>
          <w:jc w:val="center"/>
        </w:trPr>
        <w:tc>
          <w:tcPr>
            <w:tcW w:w="683" w:type="pct"/>
            <w:tcBorders>
              <w:tl2br w:val="nil"/>
              <w:tr2bl w:val="nil"/>
            </w:tcBorders>
            <w:vAlign w:val="center"/>
          </w:tcPr>
          <w:p w14:paraId="164F37A2" w14:textId="77777777" w:rsidR="009D12AF" w:rsidRDefault="00000000">
            <w:pPr>
              <w:pStyle w:val="15"/>
              <w:ind w:firstLineChars="0" w:firstLine="0"/>
              <w:rPr>
                <w:sz w:val="21"/>
                <w:szCs w:val="21"/>
              </w:rPr>
            </w:pPr>
            <w:r>
              <w:rPr>
                <w:sz w:val="21"/>
                <w:szCs w:val="21"/>
              </w:rPr>
              <w:t>植物群系</w:t>
            </w:r>
          </w:p>
        </w:tc>
        <w:tc>
          <w:tcPr>
            <w:tcW w:w="2901" w:type="pct"/>
            <w:gridSpan w:val="5"/>
            <w:tcBorders>
              <w:tl2br w:val="nil"/>
              <w:tr2bl w:val="nil"/>
            </w:tcBorders>
            <w:vAlign w:val="center"/>
          </w:tcPr>
          <w:p w14:paraId="7815FC5E" w14:textId="77777777" w:rsidR="009D12AF" w:rsidRDefault="00000000">
            <w:pPr>
              <w:pStyle w:val="15"/>
              <w:ind w:firstLineChars="0" w:firstLine="0"/>
              <w:rPr>
                <w:sz w:val="21"/>
                <w:szCs w:val="21"/>
              </w:rPr>
            </w:pPr>
            <w:r>
              <w:rPr>
                <w:rFonts w:hint="eastAsia"/>
                <w:sz w:val="21"/>
                <w:szCs w:val="21"/>
              </w:rPr>
              <w:t>兴安落叶松林群系</w:t>
            </w:r>
          </w:p>
        </w:tc>
        <w:tc>
          <w:tcPr>
            <w:tcW w:w="695" w:type="pct"/>
            <w:tcBorders>
              <w:tl2br w:val="nil"/>
              <w:tr2bl w:val="nil"/>
            </w:tcBorders>
            <w:vAlign w:val="center"/>
          </w:tcPr>
          <w:p w14:paraId="7E7F9D07" w14:textId="77777777" w:rsidR="009D12AF" w:rsidRDefault="00000000">
            <w:pPr>
              <w:pStyle w:val="15"/>
              <w:ind w:firstLineChars="0" w:firstLine="0"/>
              <w:rPr>
                <w:sz w:val="21"/>
                <w:szCs w:val="21"/>
              </w:rPr>
            </w:pPr>
            <w:r>
              <w:rPr>
                <w:sz w:val="21"/>
                <w:szCs w:val="21"/>
              </w:rPr>
              <w:t>样方面积</w:t>
            </w:r>
          </w:p>
        </w:tc>
        <w:tc>
          <w:tcPr>
            <w:tcW w:w="721" w:type="pct"/>
            <w:gridSpan w:val="2"/>
            <w:tcBorders>
              <w:tl2br w:val="nil"/>
              <w:tr2bl w:val="nil"/>
            </w:tcBorders>
            <w:vAlign w:val="center"/>
          </w:tcPr>
          <w:p w14:paraId="00B8118E" w14:textId="77777777" w:rsidR="009D12AF" w:rsidRDefault="00000000">
            <w:pPr>
              <w:pStyle w:val="15"/>
              <w:ind w:firstLineChars="0" w:firstLine="0"/>
              <w:rPr>
                <w:sz w:val="21"/>
                <w:szCs w:val="21"/>
              </w:rPr>
            </w:pPr>
            <w:r>
              <w:rPr>
                <w:sz w:val="21"/>
                <w:szCs w:val="21"/>
              </w:rPr>
              <w:t>20m×20m</w:t>
            </w:r>
          </w:p>
        </w:tc>
      </w:tr>
      <w:tr w:rsidR="009D12AF" w14:paraId="65D03958" w14:textId="77777777">
        <w:trPr>
          <w:trHeight w:val="405"/>
          <w:jc w:val="center"/>
        </w:trPr>
        <w:tc>
          <w:tcPr>
            <w:tcW w:w="683" w:type="pct"/>
            <w:tcBorders>
              <w:tl2br w:val="nil"/>
              <w:tr2bl w:val="nil"/>
            </w:tcBorders>
            <w:vAlign w:val="center"/>
          </w:tcPr>
          <w:p w14:paraId="238858D6" w14:textId="77777777" w:rsidR="009D12AF" w:rsidRDefault="00000000">
            <w:pPr>
              <w:pStyle w:val="15"/>
              <w:ind w:firstLineChars="0" w:firstLine="0"/>
              <w:rPr>
                <w:sz w:val="21"/>
                <w:szCs w:val="21"/>
              </w:rPr>
            </w:pPr>
            <w:r>
              <w:rPr>
                <w:sz w:val="21"/>
                <w:szCs w:val="21"/>
              </w:rPr>
              <w:t>生境条件</w:t>
            </w:r>
          </w:p>
        </w:tc>
        <w:tc>
          <w:tcPr>
            <w:tcW w:w="2901" w:type="pct"/>
            <w:gridSpan w:val="5"/>
            <w:tcBorders>
              <w:tl2br w:val="nil"/>
              <w:tr2bl w:val="nil"/>
            </w:tcBorders>
            <w:vAlign w:val="center"/>
          </w:tcPr>
          <w:p w14:paraId="40C4CA5E" w14:textId="77777777" w:rsidR="009D12AF" w:rsidRDefault="00000000">
            <w:pPr>
              <w:pStyle w:val="15"/>
              <w:ind w:firstLineChars="0" w:firstLine="0"/>
              <w:rPr>
                <w:sz w:val="21"/>
                <w:szCs w:val="21"/>
              </w:rPr>
            </w:pPr>
            <w:r>
              <w:rPr>
                <w:rFonts w:hint="eastAsia"/>
                <w:sz w:val="21"/>
                <w:szCs w:val="21"/>
              </w:rPr>
              <w:t>河岸两侧平坦谷地或低湿地</w:t>
            </w:r>
          </w:p>
        </w:tc>
        <w:tc>
          <w:tcPr>
            <w:tcW w:w="695" w:type="pct"/>
            <w:tcBorders>
              <w:tl2br w:val="nil"/>
              <w:tr2bl w:val="nil"/>
            </w:tcBorders>
            <w:vAlign w:val="center"/>
          </w:tcPr>
          <w:p w14:paraId="58945851" w14:textId="77777777" w:rsidR="009D12AF" w:rsidRDefault="00000000">
            <w:pPr>
              <w:pStyle w:val="15"/>
              <w:ind w:firstLineChars="0" w:firstLine="0"/>
              <w:rPr>
                <w:sz w:val="21"/>
                <w:szCs w:val="21"/>
              </w:rPr>
            </w:pPr>
            <w:r>
              <w:rPr>
                <w:sz w:val="21"/>
                <w:szCs w:val="21"/>
              </w:rPr>
              <w:t>生态习性</w:t>
            </w:r>
          </w:p>
        </w:tc>
        <w:tc>
          <w:tcPr>
            <w:tcW w:w="721" w:type="pct"/>
            <w:gridSpan w:val="2"/>
            <w:tcBorders>
              <w:tl2br w:val="nil"/>
              <w:tr2bl w:val="nil"/>
            </w:tcBorders>
            <w:vAlign w:val="center"/>
          </w:tcPr>
          <w:p w14:paraId="4E0D0D9E" w14:textId="77777777" w:rsidR="009D12AF" w:rsidRDefault="00000000">
            <w:pPr>
              <w:pStyle w:val="15"/>
              <w:ind w:firstLineChars="0" w:firstLine="0"/>
              <w:rPr>
                <w:sz w:val="21"/>
                <w:szCs w:val="21"/>
              </w:rPr>
            </w:pPr>
            <w:r>
              <w:rPr>
                <w:sz w:val="21"/>
                <w:szCs w:val="21"/>
              </w:rPr>
              <w:t>山地次生林</w:t>
            </w:r>
          </w:p>
        </w:tc>
      </w:tr>
      <w:tr w:rsidR="009D12AF" w14:paraId="0583F3EE" w14:textId="77777777">
        <w:trPr>
          <w:trHeight w:val="406"/>
          <w:jc w:val="center"/>
        </w:trPr>
        <w:tc>
          <w:tcPr>
            <w:tcW w:w="683" w:type="pct"/>
            <w:vMerge w:val="restart"/>
            <w:tcBorders>
              <w:tl2br w:val="nil"/>
              <w:tr2bl w:val="nil"/>
            </w:tcBorders>
            <w:vAlign w:val="center"/>
          </w:tcPr>
          <w:p w14:paraId="0034C1BC" w14:textId="77777777" w:rsidR="009D12AF" w:rsidRDefault="00000000">
            <w:pPr>
              <w:pStyle w:val="15"/>
              <w:ind w:firstLineChars="0" w:firstLine="0"/>
              <w:rPr>
                <w:sz w:val="21"/>
                <w:szCs w:val="21"/>
              </w:rPr>
            </w:pPr>
            <w:r>
              <w:rPr>
                <w:sz w:val="21"/>
                <w:szCs w:val="21"/>
              </w:rPr>
              <w:t>植物组成</w:t>
            </w:r>
          </w:p>
        </w:tc>
        <w:tc>
          <w:tcPr>
            <w:tcW w:w="854" w:type="pct"/>
            <w:tcBorders>
              <w:tl2br w:val="nil"/>
              <w:tr2bl w:val="nil"/>
            </w:tcBorders>
            <w:vAlign w:val="center"/>
          </w:tcPr>
          <w:p w14:paraId="02F8F7D5" w14:textId="77777777" w:rsidR="009D12AF" w:rsidRDefault="00000000">
            <w:pPr>
              <w:pStyle w:val="15"/>
              <w:ind w:firstLineChars="0" w:firstLine="0"/>
              <w:rPr>
                <w:sz w:val="21"/>
                <w:szCs w:val="21"/>
              </w:rPr>
            </w:pPr>
            <w:r>
              <w:rPr>
                <w:sz w:val="21"/>
                <w:szCs w:val="21"/>
              </w:rPr>
              <w:t>乔木树种组成</w:t>
            </w:r>
          </w:p>
        </w:tc>
        <w:tc>
          <w:tcPr>
            <w:tcW w:w="3463" w:type="pct"/>
            <w:gridSpan w:val="7"/>
            <w:tcBorders>
              <w:tl2br w:val="nil"/>
              <w:tr2bl w:val="nil"/>
            </w:tcBorders>
            <w:vAlign w:val="center"/>
          </w:tcPr>
          <w:p w14:paraId="24485224" w14:textId="77777777" w:rsidR="009D12AF" w:rsidRDefault="00000000">
            <w:pPr>
              <w:pStyle w:val="15"/>
              <w:ind w:firstLineChars="0" w:firstLine="0"/>
              <w:rPr>
                <w:sz w:val="21"/>
                <w:szCs w:val="21"/>
              </w:rPr>
            </w:pPr>
            <w:r>
              <w:rPr>
                <w:rFonts w:hint="eastAsia"/>
                <w:sz w:val="21"/>
                <w:szCs w:val="21"/>
              </w:rPr>
              <w:t>兴安落叶松、</w:t>
            </w:r>
            <w:r>
              <w:rPr>
                <w:sz w:val="21"/>
                <w:szCs w:val="21"/>
              </w:rPr>
              <w:t>红皮云杉等</w:t>
            </w:r>
          </w:p>
        </w:tc>
      </w:tr>
      <w:tr w:rsidR="009D12AF" w14:paraId="16BBD518" w14:textId="77777777">
        <w:trPr>
          <w:trHeight w:val="288"/>
          <w:jc w:val="center"/>
        </w:trPr>
        <w:tc>
          <w:tcPr>
            <w:tcW w:w="683" w:type="pct"/>
            <w:vMerge/>
            <w:tcBorders>
              <w:tl2br w:val="nil"/>
              <w:tr2bl w:val="nil"/>
            </w:tcBorders>
            <w:vAlign w:val="center"/>
          </w:tcPr>
          <w:p w14:paraId="3231A247" w14:textId="77777777" w:rsidR="009D12AF" w:rsidRDefault="009D12AF">
            <w:pPr>
              <w:pStyle w:val="15"/>
              <w:ind w:firstLineChars="0" w:firstLine="0"/>
              <w:rPr>
                <w:sz w:val="21"/>
                <w:szCs w:val="21"/>
              </w:rPr>
            </w:pPr>
          </w:p>
        </w:tc>
        <w:tc>
          <w:tcPr>
            <w:tcW w:w="854" w:type="pct"/>
            <w:tcBorders>
              <w:tl2br w:val="nil"/>
              <w:tr2bl w:val="nil"/>
            </w:tcBorders>
            <w:vAlign w:val="center"/>
          </w:tcPr>
          <w:p w14:paraId="352B5174" w14:textId="77777777" w:rsidR="009D12AF" w:rsidRDefault="00000000">
            <w:pPr>
              <w:pStyle w:val="15"/>
              <w:ind w:firstLineChars="0" w:firstLine="0"/>
              <w:rPr>
                <w:sz w:val="21"/>
                <w:szCs w:val="21"/>
              </w:rPr>
            </w:pPr>
            <w:r>
              <w:rPr>
                <w:sz w:val="21"/>
                <w:szCs w:val="21"/>
              </w:rPr>
              <w:t>灌木树种组成</w:t>
            </w:r>
          </w:p>
        </w:tc>
        <w:tc>
          <w:tcPr>
            <w:tcW w:w="3463" w:type="pct"/>
            <w:gridSpan w:val="7"/>
            <w:tcBorders>
              <w:tl2br w:val="nil"/>
              <w:tr2bl w:val="nil"/>
            </w:tcBorders>
            <w:vAlign w:val="center"/>
          </w:tcPr>
          <w:p w14:paraId="59E08E31" w14:textId="77777777" w:rsidR="009D12AF" w:rsidRDefault="00000000">
            <w:pPr>
              <w:pStyle w:val="15"/>
              <w:ind w:firstLineChars="0" w:firstLine="0"/>
              <w:rPr>
                <w:sz w:val="21"/>
                <w:szCs w:val="21"/>
              </w:rPr>
            </w:pPr>
            <w:r>
              <w:rPr>
                <w:rFonts w:hint="eastAsia"/>
                <w:sz w:val="21"/>
                <w:szCs w:val="21"/>
              </w:rPr>
              <w:t>榛子、兴安杜鹃</w:t>
            </w:r>
            <w:r>
              <w:rPr>
                <w:sz w:val="21"/>
                <w:szCs w:val="21"/>
              </w:rPr>
              <w:t>等</w:t>
            </w:r>
          </w:p>
        </w:tc>
      </w:tr>
      <w:tr w:rsidR="009D12AF" w14:paraId="4AE2726D" w14:textId="77777777">
        <w:trPr>
          <w:trHeight w:val="90"/>
          <w:jc w:val="center"/>
        </w:trPr>
        <w:tc>
          <w:tcPr>
            <w:tcW w:w="683" w:type="pct"/>
            <w:vMerge/>
            <w:tcBorders>
              <w:tl2br w:val="nil"/>
              <w:tr2bl w:val="nil"/>
            </w:tcBorders>
            <w:vAlign w:val="center"/>
          </w:tcPr>
          <w:p w14:paraId="3EEAA913" w14:textId="77777777" w:rsidR="009D12AF" w:rsidRDefault="009D12AF">
            <w:pPr>
              <w:pStyle w:val="15"/>
              <w:ind w:firstLineChars="0" w:firstLine="0"/>
              <w:rPr>
                <w:sz w:val="21"/>
                <w:szCs w:val="21"/>
                <w:lang w:eastAsia="en-US"/>
              </w:rPr>
            </w:pPr>
          </w:p>
        </w:tc>
        <w:tc>
          <w:tcPr>
            <w:tcW w:w="854" w:type="pct"/>
            <w:tcBorders>
              <w:tl2br w:val="nil"/>
              <w:tr2bl w:val="nil"/>
            </w:tcBorders>
            <w:vAlign w:val="center"/>
          </w:tcPr>
          <w:p w14:paraId="4B650FF3" w14:textId="77777777" w:rsidR="009D12AF" w:rsidRDefault="00000000">
            <w:pPr>
              <w:pStyle w:val="15"/>
              <w:ind w:firstLineChars="0" w:firstLine="0"/>
              <w:rPr>
                <w:sz w:val="21"/>
                <w:szCs w:val="21"/>
              </w:rPr>
            </w:pPr>
            <w:r>
              <w:rPr>
                <w:sz w:val="21"/>
                <w:szCs w:val="21"/>
              </w:rPr>
              <w:t>草本植物组成</w:t>
            </w:r>
          </w:p>
        </w:tc>
        <w:tc>
          <w:tcPr>
            <w:tcW w:w="3463" w:type="pct"/>
            <w:gridSpan w:val="7"/>
            <w:tcBorders>
              <w:tl2br w:val="nil"/>
              <w:tr2bl w:val="nil"/>
            </w:tcBorders>
            <w:vAlign w:val="center"/>
          </w:tcPr>
          <w:p w14:paraId="7F21B324" w14:textId="77777777" w:rsidR="009D12AF" w:rsidRDefault="00000000">
            <w:pPr>
              <w:pStyle w:val="15"/>
              <w:ind w:firstLineChars="0" w:firstLine="0"/>
              <w:rPr>
                <w:sz w:val="21"/>
                <w:szCs w:val="21"/>
              </w:rPr>
            </w:pPr>
            <w:r>
              <w:rPr>
                <w:rFonts w:hint="eastAsia"/>
                <w:sz w:val="21"/>
                <w:szCs w:val="21"/>
              </w:rPr>
              <w:t>青绿薹草</w:t>
            </w:r>
            <w:r>
              <w:rPr>
                <w:sz w:val="21"/>
                <w:szCs w:val="21"/>
              </w:rPr>
              <w:t>、</w:t>
            </w:r>
            <w:r>
              <w:rPr>
                <w:rFonts w:hint="eastAsia"/>
                <w:sz w:val="21"/>
                <w:szCs w:val="21"/>
              </w:rPr>
              <w:t>龙牙草</w:t>
            </w:r>
            <w:r>
              <w:rPr>
                <w:sz w:val="21"/>
                <w:szCs w:val="21"/>
              </w:rPr>
              <w:t>等</w:t>
            </w:r>
          </w:p>
        </w:tc>
      </w:tr>
      <w:tr w:rsidR="009D12AF" w14:paraId="100A4B09" w14:textId="77777777">
        <w:trPr>
          <w:trHeight w:val="481"/>
          <w:jc w:val="center"/>
        </w:trPr>
        <w:tc>
          <w:tcPr>
            <w:tcW w:w="683" w:type="pct"/>
            <w:tcBorders>
              <w:tl2br w:val="nil"/>
              <w:tr2bl w:val="nil"/>
            </w:tcBorders>
            <w:vAlign w:val="center"/>
          </w:tcPr>
          <w:p w14:paraId="6C4C8D4C" w14:textId="77777777" w:rsidR="009D12AF" w:rsidRDefault="00000000">
            <w:pPr>
              <w:pStyle w:val="15"/>
              <w:ind w:firstLineChars="0" w:firstLine="0"/>
              <w:rPr>
                <w:sz w:val="21"/>
                <w:szCs w:val="21"/>
              </w:rPr>
            </w:pPr>
            <w:r>
              <w:rPr>
                <w:sz w:val="21"/>
                <w:szCs w:val="21"/>
              </w:rPr>
              <w:t>乔木郁闭度</w:t>
            </w:r>
          </w:p>
        </w:tc>
        <w:tc>
          <w:tcPr>
            <w:tcW w:w="854" w:type="pct"/>
            <w:tcBorders>
              <w:tl2br w:val="nil"/>
              <w:tr2bl w:val="nil"/>
            </w:tcBorders>
            <w:vAlign w:val="center"/>
          </w:tcPr>
          <w:p w14:paraId="4FD5844F" w14:textId="77777777" w:rsidR="009D12AF" w:rsidRDefault="00000000">
            <w:pPr>
              <w:pStyle w:val="15"/>
              <w:ind w:firstLineChars="0" w:firstLine="0"/>
              <w:rPr>
                <w:sz w:val="21"/>
                <w:szCs w:val="21"/>
              </w:rPr>
            </w:pPr>
            <w:r>
              <w:rPr>
                <w:rFonts w:hint="eastAsia"/>
                <w:sz w:val="21"/>
                <w:szCs w:val="21"/>
              </w:rPr>
              <w:t>70</w:t>
            </w:r>
            <w:r>
              <w:rPr>
                <w:sz w:val="21"/>
                <w:szCs w:val="21"/>
              </w:rPr>
              <w:t>％</w:t>
            </w:r>
          </w:p>
        </w:tc>
        <w:tc>
          <w:tcPr>
            <w:tcW w:w="812" w:type="pct"/>
            <w:gridSpan w:val="2"/>
            <w:tcBorders>
              <w:tl2br w:val="nil"/>
              <w:tr2bl w:val="nil"/>
            </w:tcBorders>
            <w:vAlign w:val="center"/>
          </w:tcPr>
          <w:p w14:paraId="4D41B386" w14:textId="77777777" w:rsidR="009D12AF" w:rsidRDefault="00000000">
            <w:pPr>
              <w:pStyle w:val="15"/>
              <w:ind w:firstLineChars="0" w:firstLine="0"/>
              <w:rPr>
                <w:sz w:val="21"/>
                <w:szCs w:val="21"/>
              </w:rPr>
            </w:pPr>
            <w:r>
              <w:rPr>
                <w:sz w:val="21"/>
                <w:szCs w:val="21"/>
              </w:rPr>
              <w:t>灌木盖度</w:t>
            </w:r>
          </w:p>
        </w:tc>
        <w:tc>
          <w:tcPr>
            <w:tcW w:w="1235" w:type="pct"/>
            <w:gridSpan w:val="2"/>
            <w:tcBorders>
              <w:tl2br w:val="nil"/>
              <w:tr2bl w:val="nil"/>
            </w:tcBorders>
            <w:vAlign w:val="center"/>
          </w:tcPr>
          <w:p w14:paraId="6C90F9F0" w14:textId="77777777" w:rsidR="009D12AF" w:rsidRDefault="00000000">
            <w:pPr>
              <w:pStyle w:val="15"/>
              <w:ind w:firstLineChars="0" w:firstLine="0"/>
              <w:rPr>
                <w:sz w:val="21"/>
                <w:szCs w:val="21"/>
              </w:rPr>
            </w:pPr>
            <w:r>
              <w:rPr>
                <w:rFonts w:hint="eastAsia"/>
                <w:sz w:val="21"/>
                <w:szCs w:val="21"/>
              </w:rPr>
              <w:t>20</w:t>
            </w:r>
            <w:r>
              <w:rPr>
                <w:sz w:val="21"/>
                <w:szCs w:val="21"/>
              </w:rPr>
              <w:t>%</w:t>
            </w:r>
          </w:p>
        </w:tc>
        <w:tc>
          <w:tcPr>
            <w:tcW w:w="853" w:type="pct"/>
            <w:gridSpan w:val="2"/>
            <w:tcBorders>
              <w:tl2br w:val="nil"/>
              <w:tr2bl w:val="nil"/>
            </w:tcBorders>
            <w:vAlign w:val="center"/>
          </w:tcPr>
          <w:p w14:paraId="10D1595C" w14:textId="77777777" w:rsidR="009D12AF" w:rsidRDefault="00000000">
            <w:pPr>
              <w:pStyle w:val="15"/>
              <w:ind w:firstLineChars="0" w:firstLine="0"/>
              <w:rPr>
                <w:sz w:val="21"/>
                <w:szCs w:val="21"/>
              </w:rPr>
            </w:pPr>
            <w:r>
              <w:rPr>
                <w:sz w:val="21"/>
                <w:szCs w:val="21"/>
              </w:rPr>
              <w:t>草本植物盖度</w:t>
            </w:r>
          </w:p>
        </w:tc>
        <w:tc>
          <w:tcPr>
            <w:tcW w:w="563" w:type="pct"/>
            <w:tcBorders>
              <w:tl2br w:val="nil"/>
              <w:tr2bl w:val="nil"/>
            </w:tcBorders>
            <w:vAlign w:val="center"/>
          </w:tcPr>
          <w:p w14:paraId="4A5DEAEC" w14:textId="77777777" w:rsidR="009D12AF" w:rsidRDefault="00000000">
            <w:pPr>
              <w:pStyle w:val="15"/>
              <w:ind w:firstLineChars="0" w:firstLine="0"/>
              <w:rPr>
                <w:sz w:val="21"/>
                <w:szCs w:val="21"/>
              </w:rPr>
            </w:pPr>
            <w:r>
              <w:rPr>
                <w:rFonts w:hint="eastAsia"/>
                <w:sz w:val="21"/>
                <w:szCs w:val="21"/>
              </w:rPr>
              <w:t>65</w:t>
            </w:r>
            <w:r>
              <w:rPr>
                <w:sz w:val="21"/>
                <w:szCs w:val="21"/>
              </w:rPr>
              <w:t>%</w:t>
            </w:r>
          </w:p>
        </w:tc>
      </w:tr>
      <w:tr w:rsidR="009D12AF" w14:paraId="7BF932DD" w14:textId="77777777">
        <w:trPr>
          <w:trHeight w:val="426"/>
          <w:jc w:val="center"/>
        </w:trPr>
        <w:tc>
          <w:tcPr>
            <w:tcW w:w="683" w:type="pct"/>
            <w:tcBorders>
              <w:tl2br w:val="nil"/>
              <w:tr2bl w:val="nil"/>
            </w:tcBorders>
            <w:vAlign w:val="center"/>
          </w:tcPr>
          <w:p w14:paraId="75ED4FF0" w14:textId="77777777" w:rsidR="009D12AF" w:rsidRDefault="00000000">
            <w:pPr>
              <w:pStyle w:val="15"/>
              <w:ind w:firstLineChars="0" w:firstLine="0"/>
              <w:rPr>
                <w:sz w:val="21"/>
                <w:szCs w:val="21"/>
              </w:rPr>
            </w:pPr>
            <w:r>
              <w:rPr>
                <w:sz w:val="21"/>
                <w:szCs w:val="21"/>
              </w:rPr>
              <w:t>分布方式</w:t>
            </w:r>
          </w:p>
        </w:tc>
        <w:tc>
          <w:tcPr>
            <w:tcW w:w="4317" w:type="pct"/>
            <w:gridSpan w:val="8"/>
            <w:tcBorders>
              <w:tl2br w:val="nil"/>
              <w:tr2bl w:val="nil"/>
            </w:tcBorders>
            <w:vAlign w:val="center"/>
          </w:tcPr>
          <w:p w14:paraId="2C20A8D1" w14:textId="77777777" w:rsidR="009D12AF" w:rsidRDefault="00000000">
            <w:pPr>
              <w:pStyle w:val="15"/>
              <w:ind w:firstLineChars="0" w:firstLine="0"/>
              <w:rPr>
                <w:sz w:val="21"/>
                <w:szCs w:val="21"/>
              </w:rPr>
            </w:pPr>
            <w:r>
              <w:rPr>
                <w:sz w:val="21"/>
                <w:szCs w:val="21"/>
              </w:rPr>
              <w:t>河岸两侧平坦谷地或低湿地</w:t>
            </w:r>
          </w:p>
        </w:tc>
      </w:tr>
      <w:tr w:rsidR="009D12AF" w14:paraId="257A5BBD" w14:textId="77777777">
        <w:trPr>
          <w:trHeight w:val="406"/>
          <w:jc w:val="center"/>
        </w:trPr>
        <w:tc>
          <w:tcPr>
            <w:tcW w:w="683" w:type="pct"/>
            <w:tcBorders>
              <w:tl2br w:val="nil"/>
              <w:tr2bl w:val="nil"/>
            </w:tcBorders>
            <w:vAlign w:val="center"/>
          </w:tcPr>
          <w:p w14:paraId="2221396E" w14:textId="77777777" w:rsidR="009D12AF" w:rsidRDefault="00000000">
            <w:pPr>
              <w:pStyle w:val="15"/>
              <w:ind w:firstLineChars="0" w:firstLine="0"/>
              <w:rPr>
                <w:sz w:val="21"/>
                <w:szCs w:val="21"/>
              </w:rPr>
            </w:pPr>
            <w:r>
              <w:rPr>
                <w:sz w:val="21"/>
                <w:szCs w:val="21"/>
              </w:rPr>
              <w:t>备注</w:t>
            </w:r>
          </w:p>
        </w:tc>
        <w:tc>
          <w:tcPr>
            <w:tcW w:w="4317" w:type="pct"/>
            <w:gridSpan w:val="8"/>
            <w:tcBorders>
              <w:tl2br w:val="nil"/>
              <w:tr2bl w:val="nil"/>
            </w:tcBorders>
            <w:vAlign w:val="center"/>
          </w:tcPr>
          <w:p w14:paraId="6FA4EF39" w14:textId="77777777" w:rsidR="009D12AF" w:rsidRDefault="00000000">
            <w:pPr>
              <w:pStyle w:val="15"/>
              <w:ind w:firstLineChars="0" w:firstLine="0"/>
              <w:rPr>
                <w:sz w:val="21"/>
                <w:szCs w:val="21"/>
              </w:rPr>
            </w:pPr>
            <w:r>
              <w:rPr>
                <w:rFonts w:hint="eastAsia"/>
                <w:sz w:val="21"/>
                <w:szCs w:val="21"/>
              </w:rPr>
              <w:t>土壤为暗棕壤</w:t>
            </w:r>
          </w:p>
        </w:tc>
      </w:tr>
      <w:tr w:rsidR="009D12AF" w14:paraId="4503F3A0" w14:textId="77777777">
        <w:trPr>
          <w:trHeight w:val="2933"/>
          <w:jc w:val="center"/>
        </w:trPr>
        <w:tc>
          <w:tcPr>
            <w:tcW w:w="1627" w:type="pct"/>
            <w:gridSpan w:val="3"/>
            <w:tcBorders>
              <w:tl2br w:val="nil"/>
              <w:tr2bl w:val="nil"/>
            </w:tcBorders>
            <w:vAlign w:val="center"/>
          </w:tcPr>
          <w:p w14:paraId="621E2937" w14:textId="77777777" w:rsidR="009D12AF" w:rsidRDefault="00000000">
            <w:pPr>
              <w:pStyle w:val="15"/>
              <w:ind w:firstLineChars="0" w:firstLine="0"/>
              <w:rPr>
                <w:sz w:val="21"/>
                <w:szCs w:val="21"/>
              </w:rPr>
            </w:pPr>
            <w:r>
              <w:rPr>
                <w:bCs/>
                <w:noProof/>
                <w:spacing w:val="6"/>
                <w:sz w:val="21"/>
                <w:szCs w:val="21"/>
              </w:rPr>
              <w:lastRenderedPageBreak/>
              <w:drawing>
                <wp:inline distT="0" distB="0" distL="0" distR="0" wp14:anchorId="508045A1" wp14:editId="68A0F304">
                  <wp:extent cx="1918970" cy="1439545"/>
                  <wp:effectExtent l="0" t="0" r="5080" b="825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38" cstate="screen">
                            <a:extLst>
                              <a:ext uri="{28A0092B-C50C-407E-A947-70E740481C1C}">
                                <a14:useLocalDpi xmlns:a14="http://schemas.microsoft.com/office/drawing/2010/main"/>
                              </a:ext>
                            </a:extLst>
                          </a:blip>
                          <a:stretch>
                            <a:fillRect/>
                          </a:stretch>
                        </pic:blipFill>
                        <pic:spPr>
                          <a:xfrm>
                            <a:off x="0" y="0"/>
                            <a:ext cx="1918970" cy="1439545"/>
                          </a:xfrm>
                          <a:prstGeom prst="rect">
                            <a:avLst/>
                          </a:prstGeom>
                        </pic:spPr>
                      </pic:pic>
                    </a:graphicData>
                  </a:graphic>
                </wp:inline>
              </w:drawing>
            </w:r>
          </w:p>
        </w:tc>
        <w:tc>
          <w:tcPr>
            <w:tcW w:w="1701" w:type="pct"/>
            <w:gridSpan w:val="2"/>
            <w:tcBorders>
              <w:tl2br w:val="nil"/>
              <w:tr2bl w:val="nil"/>
            </w:tcBorders>
            <w:vAlign w:val="center"/>
          </w:tcPr>
          <w:p w14:paraId="3A200EBA" w14:textId="77777777" w:rsidR="009D12AF" w:rsidRDefault="00000000">
            <w:pPr>
              <w:pStyle w:val="15"/>
              <w:ind w:firstLineChars="0" w:firstLine="0"/>
              <w:rPr>
                <w:sz w:val="21"/>
                <w:szCs w:val="21"/>
              </w:rPr>
            </w:pPr>
            <w:r>
              <w:rPr>
                <w:bCs/>
                <w:noProof/>
                <w:spacing w:val="6"/>
                <w:sz w:val="21"/>
                <w:szCs w:val="21"/>
              </w:rPr>
              <w:drawing>
                <wp:inline distT="0" distB="0" distL="0" distR="0" wp14:anchorId="571D6941" wp14:editId="04E537F9">
                  <wp:extent cx="1918970" cy="1439545"/>
                  <wp:effectExtent l="0" t="0" r="5080" b="825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39" cstate="screen">
                            <a:extLst>
                              <a:ext uri="{28A0092B-C50C-407E-A947-70E740481C1C}">
                                <a14:useLocalDpi xmlns:a14="http://schemas.microsoft.com/office/drawing/2010/main"/>
                              </a:ext>
                            </a:extLst>
                          </a:blip>
                          <a:stretch>
                            <a:fillRect/>
                          </a:stretch>
                        </pic:blipFill>
                        <pic:spPr>
                          <a:xfrm>
                            <a:off x="0" y="0"/>
                            <a:ext cx="1918970" cy="1439545"/>
                          </a:xfrm>
                          <a:prstGeom prst="rect">
                            <a:avLst/>
                          </a:prstGeom>
                        </pic:spPr>
                      </pic:pic>
                    </a:graphicData>
                  </a:graphic>
                </wp:inline>
              </w:drawing>
            </w:r>
          </w:p>
        </w:tc>
        <w:tc>
          <w:tcPr>
            <w:tcW w:w="1672" w:type="pct"/>
            <w:gridSpan w:val="4"/>
            <w:tcBorders>
              <w:tl2br w:val="nil"/>
              <w:tr2bl w:val="nil"/>
            </w:tcBorders>
            <w:vAlign w:val="center"/>
          </w:tcPr>
          <w:p w14:paraId="7AE1D70C" w14:textId="77777777" w:rsidR="009D12AF" w:rsidRDefault="00000000">
            <w:pPr>
              <w:pStyle w:val="15"/>
              <w:ind w:firstLineChars="0" w:firstLine="0"/>
              <w:rPr>
                <w:sz w:val="21"/>
                <w:szCs w:val="21"/>
              </w:rPr>
            </w:pPr>
            <w:r>
              <w:rPr>
                <w:bCs/>
                <w:noProof/>
                <w:spacing w:val="6"/>
                <w:sz w:val="21"/>
                <w:szCs w:val="21"/>
              </w:rPr>
              <w:drawing>
                <wp:inline distT="0" distB="0" distL="0" distR="0" wp14:anchorId="446A10FF" wp14:editId="252483E9">
                  <wp:extent cx="1918970" cy="1439545"/>
                  <wp:effectExtent l="0" t="0" r="5080" b="825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40" cstate="screen">
                            <a:extLst>
                              <a:ext uri="{28A0092B-C50C-407E-A947-70E740481C1C}">
                                <a14:useLocalDpi xmlns:a14="http://schemas.microsoft.com/office/drawing/2010/main"/>
                              </a:ext>
                            </a:extLst>
                          </a:blip>
                          <a:stretch>
                            <a:fillRect/>
                          </a:stretch>
                        </pic:blipFill>
                        <pic:spPr>
                          <a:xfrm>
                            <a:off x="0" y="0"/>
                            <a:ext cx="1918970" cy="1439545"/>
                          </a:xfrm>
                          <a:prstGeom prst="rect">
                            <a:avLst/>
                          </a:prstGeom>
                        </pic:spPr>
                      </pic:pic>
                    </a:graphicData>
                  </a:graphic>
                </wp:inline>
              </w:drawing>
            </w:r>
          </w:p>
        </w:tc>
      </w:tr>
    </w:tbl>
    <w:p w14:paraId="43A61C2A" w14:textId="77777777" w:rsidR="009D12AF" w:rsidRDefault="00000000">
      <w:pPr>
        <w:ind w:firstLine="480"/>
      </w:pPr>
      <w:r>
        <w:rPr>
          <w:rFonts w:hint="eastAsia"/>
        </w:rPr>
        <w:t>（</w:t>
      </w:r>
      <w:r>
        <w:rPr>
          <w:rFonts w:hint="eastAsia"/>
        </w:rPr>
        <w:t>2</w:t>
      </w:r>
      <w:r>
        <w:rPr>
          <w:rFonts w:hint="eastAsia"/>
        </w:rPr>
        <w:t>）蒙古栎林</w:t>
      </w:r>
    </w:p>
    <w:p w14:paraId="56934555" w14:textId="77777777" w:rsidR="009D12AF" w:rsidRDefault="00000000">
      <w:pPr>
        <w:ind w:firstLine="480"/>
      </w:pPr>
      <w:r>
        <w:rPr>
          <w:rFonts w:hint="eastAsia"/>
        </w:rPr>
        <w:t>评价区内蒙古栎林均匀散布于评价区，乔木层郁闭度</w:t>
      </w:r>
      <w:r>
        <w:rPr>
          <w:rFonts w:hint="eastAsia"/>
        </w:rPr>
        <w:t>0.7</w:t>
      </w:r>
      <w:r>
        <w:rPr>
          <w:rFonts w:hint="eastAsia"/>
        </w:rPr>
        <w:t>，层均高</w:t>
      </w:r>
      <w:r>
        <w:rPr>
          <w:rFonts w:hint="eastAsia"/>
        </w:rPr>
        <w:t>18.2</w:t>
      </w:r>
      <w:r>
        <w:rPr>
          <w:rFonts w:hint="eastAsia"/>
        </w:rPr>
        <w:t>米；优势种为蒙古栎（</w:t>
      </w:r>
      <w:r>
        <w:rPr>
          <w:rFonts w:hint="eastAsia"/>
        </w:rPr>
        <w:t>Quercus mongolica</w:t>
      </w:r>
      <w:r>
        <w:rPr>
          <w:rFonts w:hint="eastAsia"/>
        </w:rPr>
        <w:t>）、黑桦（</w:t>
      </w:r>
      <w:r>
        <w:rPr>
          <w:rFonts w:hint="eastAsia"/>
        </w:rPr>
        <w:t>Betula dahurica Pall</w:t>
      </w:r>
      <w:r>
        <w:rPr>
          <w:rFonts w:hint="eastAsia"/>
        </w:rPr>
        <w:t>），盖度</w:t>
      </w:r>
      <w:r>
        <w:rPr>
          <w:rFonts w:hint="eastAsia"/>
        </w:rPr>
        <w:t>50 %</w:t>
      </w:r>
      <w:r>
        <w:rPr>
          <w:rFonts w:hint="eastAsia"/>
        </w:rPr>
        <w:t>，高</w:t>
      </w:r>
      <w:r>
        <w:rPr>
          <w:rFonts w:hint="eastAsia"/>
        </w:rPr>
        <w:t>17</w:t>
      </w:r>
      <w:r>
        <w:rPr>
          <w:rFonts w:hint="eastAsia"/>
        </w:rPr>
        <w:t>～</w:t>
      </w:r>
      <w:r>
        <w:rPr>
          <w:rFonts w:hint="eastAsia"/>
        </w:rPr>
        <w:t>19</w:t>
      </w:r>
      <w:r>
        <w:rPr>
          <w:rFonts w:hint="eastAsia"/>
        </w:rPr>
        <w:t>米，胸径</w:t>
      </w:r>
      <w:r>
        <w:rPr>
          <w:rFonts w:hint="eastAsia"/>
        </w:rPr>
        <w:t>15</w:t>
      </w:r>
      <w:r>
        <w:rPr>
          <w:rFonts w:hint="eastAsia"/>
        </w:rPr>
        <w:t>～</w:t>
      </w:r>
      <w:r>
        <w:rPr>
          <w:rFonts w:hint="eastAsia"/>
        </w:rPr>
        <w:t>19</w:t>
      </w:r>
      <w:r>
        <w:rPr>
          <w:rFonts w:hint="eastAsia"/>
        </w:rPr>
        <w:t>厘米。</w:t>
      </w:r>
    </w:p>
    <w:p w14:paraId="6AD7B20E" w14:textId="77777777" w:rsidR="009D12AF" w:rsidRDefault="00000000">
      <w:pPr>
        <w:ind w:firstLine="480"/>
      </w:pPr>
      <w:r>
        <w:rPr>
          <w:rFonts w:hint="eastAsia"/>
        </w:rPr>
        <w:t>灌木层盖度</w:t>
      </w:r>
      <w:r>
        <w:rPr>
          <w:rFonts w:hint="eastAsia"/>
        </w:rPr>
        <w:t>40%</w:t>
      </w:r>
      <w:r>
        <w:rPr>
          <w:rFonts w:hint="eastAsia"/>
        </w:rPr>
        <w:t>，优势种为榛（</w:t>
      </w:r>
      <w:r>
        <w:rPr>
          <w:rFonts w:hint="eastAsia"/>
        </w:rPr>
        <w:t>Corylus heterophylla Fisch. ex Trautv</w:t>
      </w:r>
      <w:r>
        <w:rPr>
          <w:rFonts w:hint="eastAsia"/>
        </w:rPr>
        <w:t>）。</w:t>
      </w:r>
    </w:p>
    <w:p w14:paraId="6FD6BDAB" w14:textId="77777777" w:rsidR="009D12AF" w:rsidRDefault="00000000">
      <w:pPr>
        <w:ind w:firstLine="480"/>
      </w:pPr>
      <w:r>
        <w:rPr>
          <w:rFonts w:hint="eastAsia"/>
        </w:rPr>
        <w:t>草本层盖度</w:t>
      </w:r>
      <w:r>
        <w:rPr>
          <w:rFonts w:hint="eastAsia"/>
        </w:rPr>
        <w:t>55%</w:t>
      </w:r>
      <w:r>
        <w:rPr>
          <w:rFonts w:hint="eastAsia"/>
        </w:rPr>
        <w:t>，无明显优势种，常见植物有宽叶薹草（</w:t>
      </w:r>
      <w:r>
        <w:rPr>
          <w:rFonts w:hint="eastAsia"/>
        </w:rPr>
        <w:t>Carex siderosticta Hance</w:t>
      </w:r>
      <w:r>
        <w:rPr>
          <w:rFonts w:hint="eastAsia"/>
        </w:rPr>
        <w:t>）、、朝天委陵菜（</w:t>
      </w:r>
      <w:r>
        <w:rPr>
          <w:rFonts w:hint="eastAsia"/>
        </w:rPr>
        <w:t>Potentilla supina L.</w:t>
      </w:r>
      <w:r>
        <w:rPr>
          <w:rFonts w:hint="eastAsia"/>
        </w:rPr>
        <w:t>）、野火球（</w:t>
      </w:r>
      <w:r>
        <w:rPr>
          <w:rFonts w:hint="eastAsia"/>
        </w:rPr>
        <w:t>Trifolium lupinaster L</w:t>
      </w:r>
      <w:r>
        <w:rPr>
          <w:rFonts w:hint="eastAsia"/>
        </w:rPr>
        <w:t>）、艾（</w:t>
      </w:r>
      <w:r>
        <w:rPr>
          <w:rFonts w:hint="eastAsia"/>
        </w:rPr>
        <w:t>Artemisia argyi Levl. et Van</w:t>
      </w:r>
      <w:r>
        <w:rPr>
          <w:rFonts w:hint="eastAsia"/>
        </w:rPr>
        <w:t>）、球果堇菜（</w:t>
      </w:r>
      <w:r>
        <w:rPr>
          <w:rFonts w:hint="eastAsia"/>
        </w:rPr>
        <w:t>Viola collina Besser</w:t>
      </w:r>
      <w:r>
        <w:rPr>
          <w:rFonts w:hint="eastAsia"/>
        </w:rPr>
        <w:t>）、青绿薹草（</w:t>
      </w:r>
      <w:r>
        <w:rPr>
          <w:rFonts w:hint="eastAsia"/>
        </w:rPr>
        <w:t>Carex breviculmis R. Br</w:t>
      </w:r>
      <w:r>
        <w:rPr>
          <w:rFonts w:hint="eastAsia"/>
        </w:rPr>
        <w:t>）等。</w:t>
      </w:r>
    </w:p>
    <w:p w14:paraId="1C372942" w14:textId="77777777" w:rsidR="009D12AF" w:rsidRDefault="00000000">
      <w:pPr>
        <w:pStyle w:val="afd"/>
        <w:ind w:firstLine="482"/>
        <w:jc w:val="center"/>
      </w:pPr>
      <w:r>
        <w:rPr>
          <w:b/>
          <w:bCs w:val="0"/>
        </w:rPr>
        <w:t>表</w:t>
      </w:r>
      <w:r>
        <w:rPr>
          <w:rFonts w:hint="eastAsia"/>
          <w:b/>
          <w:bCs w:val="0"/>
        </w:rPr>
        <w:t>4.2-45</w:t>
      </w:r>
      <w:r>
        <w:rPr>
          <w:rFonts w:hint="eastAsia"/>
          <w:b/>
          <w:bCs w:val="0"/>
        </w:rPr>
        <w:t>蒙古栎林群落特征</w:t>
      </w:r>
    </w:p>
    <w:tbl>
      <w:tblPr>
        <w:tblW w:w="5000" w:type="pct"/>
        <w:jc w:val="center"/>
        <w:tblBorders>
          <w:top w:val="single" w:sz="12" w:space="0" w:color="000000"/>
          <w:bottom w:val="single" w:sz="12" w:space="0" w:color="000000"/>
          <w:insideH w:val="single" w:sz="4" w:space="0" w:color="000000"/>
          <w:insideV w:val="single" w:sz="2" w:space="0" w:color="000000"/>
        </w:tblBorders>
        <w:tblLayout w:type="fixed"/>
        <w:tblCellMar>
          <w:left w:w="0" w:type="dxa"/>
          <w:right w:w="0" w:type="dxa"/>
        </w:tblCellMar>
        <w:tblLook w:val="04A0" w:firstRow="1" w:lastRow="0" w:firstColumn="1" w:lastColumn="0" w:noHBand="0" w:noVBand="1"/>
      </w:tblPr>
      <w:tblGrid>
        <w:gridCol w:w="1135"/>
        <w:gridCol w:w="1419"/>
        <w:gridCol w:w="150"/>
        <w:gridCol w:w="1199"/>
        <w:gridCol w:w="1626"/>
        <w:gridCol w:w="425"/>
        <w:gridCol w:w="1155"/>
        <w:gridCol w:w="262"/>
        <w:gridCol w:w="935"/>
      </w:tblGrid>
      <w:tr w:rsidR="009D12AF" w14:paraId="7B76C641" w14:textId="77777777">
        <w:trPr>
          <w:trHeight w:val="410"/>
          <w:jc w:val="center"/>
        </w:trPr>
        <w:tc>
          <w:tcPr>
            <w:tcW w:w="683" w:type="pct"/>
            <w:tcBorders>
              <w:tl2br w:val="nil"/>
              <w:tr2bl w:val="nil"/>
            </w:tcBorders>
            <w:vAlign w:val="center"/>
          </w:tcPr>
          <w:p w14:paraId="0B367E41" w14:textId="77777777" w:rsidR="009D12AF" w:rsidRDefault="00000000">
            <w:pPr>
              <w:pStyle w:val="15"/>
              <w:rPr>
                <w:sz w:val="21"/>
                <w:szCs w:val="21"/>
              </w:rPr>
            </w:pPr>
            <w:r>
              <w:rPr>
                <w:sz w:val="21"/>
                <w:szCs w:val="21"/>
              </w:rPr>
              <w:t>植物群系</w:t>
            </w:r>
          </w:p>
        </w:tc>
        <w:tc>
          <w:tcPr>
            <w:tcW w:w="2901" w:type="pct"/>
            <w:gridSpan w:val="5"/>
            <w:tcBorders>
              <w:tl2br w:val="nil"/>
              <w:tr2bl w:val="nil"/>
            </w:tcBorders>
            <w:vAlign w:val="center"/>
          </w:tcPr>
          <w:p w14:paraId="44963CB5" w14:textId="77777777" w:rsidR="009D12AF" w:rsidRDefault="00000000">
            <w:pPr>
              <w:pStyle w:val="15"/>
              <w:rPr>
                <w:sz w:val="21"/>
                <w:szCs w:val="21"/>
              </w:rPr>
            </w:pPr>
            <w:r>
              <w:rPr>
                <w:rFonts w:hint="eastAsia"/>
                <w:sz w:val="21"/>
                <w:szCs w:val="21"/>
              </w:rPr>
              <w:t>蒙古栎林群系</w:t>
            </w:r>
          </w:p>
        </w:tc>
        <w:tc>
          <w:tcPr>
            <w:tcW w:w="695" w:type="pct"/>
            <w:tcBorders>
              <w:tl2br w:val="nil"/>
              <w:tr2bl w:val="nil"/>
            </w:tcBorders>
            <w:vAlign w:val="center"/>
          </w:tcPr>
          <w:p w14:paraId="52A3D554" w14:textId="77777777" w:rsidR="009D12AF" w:rsidRDefault="00000000">
            <w:pPr>
              <w:pStyle w:val="15"/>
              <w:rPr>
                <w:sz w:val="21"/>
                <w:szCs w:val="21"/>
              </w:rPr>
            </w:pPr>
            <w:r>
              <w:rPr>
                <w:sz w:val="21"/>
                <w:szCs w:val="21"/>
              </w:rPr>
              <w:t>样方面积</w:t>
            </w:r>
          </w:p>
        </w:tc>
        <w:tc>
          <w:tcPr>
            <w:tcW w:w="721" w:type="pct"/>
            <w:gridSpan w:val="2"/>
            <w:tcBorders>
              <w:tl2br w:val="nil"/>
              <w:tr2bl w:val="nil"/>
            </w:tcBorders>
            <w:vAlign w:val="center"/>
          </w:tcPr>
          <w:p w14:paraId="723BCEBB" w14:textId="77777777" w:rsidR="009D12AF" w:rsidRDefault="00000000">
            <w:pPr>
              <w:pStyle w:val="15"/>
              <w:rPr>
                <w:sz w:val="21"/>
                <w:szCs w:val="21"/>
              </w:rPr>
            </w:pPr>
            <w:r>
              <w:rPr>
                <w:sz w:val="21"/>
                <w:szCs w:val="21"/>
              </w:rPr>
              <w:t>20m×20m</w:t>
            </w:r>
          </w:p>
        </w:tc>
      </w:tr>
      <w:tr w:rsidR="009D12AF" w14:paraId="6C224C4C" w14:textId="77777777">
        <w:trPr>
          <w:trHeight w:val="405"/>
          <w:jc w:val="center"/>
        </w:trPr>
        <w:tc>
          <w:tcPr>
            <w:tcW w:w="683" w:type="pct"/>
            <w:tcBorders>
              <w:tl2br w:val="nil"/>
              <w:tr2bl w:val="nil"/>
            </w:tcBorders>
            <w:vAlign w:val="center"/>
          </w:tcPr>
          <w:p w14:paraId="16A0A23A" w14:textId="77777777" w:rsidR="009D12AF" w:rsidRDefault="00000000">
            <w:pPr>
              <w:pStyle w:val="15"/>
              <w:rPr>
                <w:sz w:val="21"/>
                <w:szCs w:val="21"/>
              </w:rPr>
            </w:pPr>
            <w:r>
              <w:rPr>
                <w:sz w:val="21"/>
                <w:szCs w:val="21"/>
              </w:rPr>
              <w:t>生境条件</w:t>
            </w:r>
          </w:p>
        </w:tc>
        <w:tc>
          <w:tcPr>
            <w:tcW w:w="2901" w:type="pct"/>
            <w:gridSpan w:val="5"/>
            <w:tcBorders>
              <w:tl2br w:val="nil"/>
              <w:tr2bl w:val="nil"/>
            </w:tcBorders>
            <w:vAlign w:val="center"/>
          </w:tcPr>
          <w:p w14:paraId="2B7C533A" w14:textId="77777777" w:rsidR="009D12AF" w:rsidRDefault="00000000">
            <w:pPr>
              <w:pStyle w:val="15"/>
              <w:rPr>
                <w:sz w:val="21"/>
                <w:szCs w:val="21"/>
              </w:rPr>
            </w:pPr>
            <w:r>
              <w:rPr>
                <w:rFonts w:hint="eastAsia"/>
                <w:sz w:val="21"/>
                <w:szCs w:val="21"/>
              </w:rPr>
              <w:t>分布于低海拔的山地</w:t>
            </w:r>
          </w:p>
        </w:tc>
        <w:tc>
          <w:tcPr>
            <w:tcW w:w="695" w:type="pct"/>
            <w:tcBorders>
              <w:tl2br w:val="nil"/>
              <w:tr2bl w:val="nil"/>
            </w:tcBorders>
            <w:vAlign w:val="center"/>
          </w:tcPr>
          <w:p w14:paraId="5B91AED6" w14:textId="77777777" w:rsidR="009D12AF" w:rsidRDefault="00000000">
            <w:pPr>
              <w:pStyle w:val="15"/>
              <w:rPr>
                <w:sz w:val="21"/>
                <w:szCs w:val="21"/>
              </w:rPr>
            </w:pPr>
            <w:r>
              <w:rPr>
                <w:sz w:val="21"/>
                <w:szCs w:val="21"/>
              </w:rPr>
              <w:t>生态习性</w:t>
            </w:r>
          </w:p>
        </w:tc>
        <w:tc>
          <w:tcPr>
            <w:tcW w:w="721" w:type="pct"/>
            <w:gridSpan w:val="2"/>
            <w:tcBorders>
              <w:tl2br w:val="nil"/>
              <w:tr2bl w:val="nil"/>
            </w:tcBorders>
            <w:vAlign w:val="center"/>
          </w:tcPr>
          <w:p w14:paraId="7EED2E9D" w14:textId="77777777" w:rsidR="009D12AF" w:rsidRDefault="00000000">
            <w:pPr>
              <w:pStyle w:val="15"/>
              <w:rPr>
                <w:sz w:val="21"/>
                <w:szCs w:val="21"/>
              </w:rPr>
            </w:pPr>
            <w:r>
              <w:rPr>
                <w:sz w:val="21"/>
                <w:szCs w:val="21"/>
              </w:rPr>
              <w:t>山地次生林</w:t>
            </w:r>
          </w:p>
        </w:tc>
      </w:tr>
      <w:tr w:rsidR="009D12AF" w14:paraId="4F9E3B81" w14:textId="77777777">
        <w:trPr>
          <w:trHeight w:val="406"/>
          <w:jc w:val="center"/>
        </w:trPr>
        <w:tc>
          <w:tcPr>
            <w:tcW w:w="683" w:type="pct"/>
            <w:vMerge w:val="restart"/>
            <w:tcBorders>
              <w:tl2br w:val="nil"/>
              <w:tr2bl w:val="nil"/>
            </w:tcBorders>
            <w:vAlign w:val="center"/>
          </w:tcPr>
          <w:p w14:paraId="7AD5E4D6" w14:textId="77777777" w:rsidR="009D12AF" w:rsidRDefault="00000000">
            <w:pPr>
              <w:pStyle w:val="15"/>
              <w:rPr>
                <w:sz w:val="21"/>
                <w:szCs w:val="21"/>
              </w:rPr>
            </w:pPr>
            <w:r>
              <w:rPr>
                <w:sz w:val="21"/>
                <w:szCs w:val="21"/>
              </w:rPr>
              <w:t>植物组成</w:t>
            </w:r>
          </w:p>
        </w:tc>
        <w:tc>
          <w:tcPr>
            <w:tcW w:w="854" w:type="pct"/>
            <w:tcBorders>
              <w:tl2br w:val="nil"/>
              <w:tr2bl w:val="nil"/>
            </w:tcBorders>
            <w:vAlign w:val="center"/>
          </w:tcPr>
          <w:p w14:paraId="7AB8CEDD" w14:textId="77777777" w:rsidR="009D12AF" w:rsidRDefault="00000000">
            <w:pPr>
              <w:pStyle w:val="15"/>
              <w:rPr>
                <w:sz w:val="21"/>
                <w:szCs w:val="21"/>
              </w:rPr>
            </w:pPr>
            <w:r>
              <w:rPr>
                <w:sz w:val="21"/>
                <w:szCs w:val="21"/>
              </w:rPr>
              <w:t>乔木树种组成</w:t>
            </w:r>
          </w:p>
        </w:tc>
        <w:tc>
          <w:tcPr>
            <w:tcW w:w="3463" w:type="pct"/>
            <w:gridSpan w:val="7"/>
            <w:tcBorders>
              <w:tl2br w:val="nil"/>
              <w:tr2bl w:val="nil"/>
            </w:tcBorders>
            <w:vAlign w:val="center"/>
          </w:tcPr>
          <w:p w14:paraId="1EE4EE7F" w14:textId="77777777" w:rsidR="009D12AF" w:rsidRDefault="00000000">
            <w:pPr>
              <w:pStyle w:val="15"/>
              <w:rPr>
                <w:sz w:val="21"/>
                <w:szCs w:val="21"/>
              </w:rPr>
            </w:pPr>
            <w:r>
              <w:rPr>
                <w:rFonts w:hint="eastAsia"/>
                <w:sz w:val="21"/>
                <w:szCs w:val="21"/>
              </w:rPr>
              <w:t>蒙古栎、黑桦</w:t>
            </w:r>
          </w:p>
        </w:tc>
      </w:tr>
      <w:tr w:rsidR="009D12AF" w14:paraId="6B800794" w14:textId="77777777">
        <w:trPr>
          <w:trHeight w:val="405"/>
          <w:jc w:val="center"/>
        </w:trPr>
        <w:tc>
          <w:tcPr>
            <w:tcW w:w="683" w:type="pct"/>
            <w:vMerge/>
            <w:tcBorders>
              <w:tl2br w:val="nil"/>
              <w:tr2bl w:val="nil"/>
            </w:tcBorders>
            <w:vAlign w:val="center"/>
          </w:tcPr>
          <w:p w14:paraId="045D94A4" w14:textId="77777777" w:rsidR="009D12AF" w:rsidRDefault="009D12AF">
            <w:pPr>
              <w:pStyle w:val="15"/>
              <w:rPr>
                <w:sz w:val="21"/>
                <w:szCs w:val="21"/>
              </w:rPr>
            </w:pPr>
          </w:p>
        </w:tc>
        <w:tc>
          <w:tcPr>
            <w:tcW w:w="854" w:type="pct"/>
            <w:tcBorders>
              <w:tl2br w:val="nil"/>
              <w:tr2bl w:val="nil"/>
            </w:tcBorders>
            <w:vAlign w:val="center"/>
          </w:tcPr>
          <w:p w14:paraId="151C03B7" w14:textId="77777777" w:rsidR="009D12AF" w:rsidRDefault="00000000">
            <w:pPr>
              <w:pStyle w:val="15"/>
              <w:rPr>
                <w:sz w:val="21"/>
                <w:szCs w:val="21"/>
              </w:rPr>
            </w:pPr>
            <w:r>
              <w:rPr>
                <w:sz w:val="21"/>
                <w:szCs w:val="21"/>
              </w:rPr>
              <w:t>灌木树种组成</w:t>
            </w:r>
          </w:p>
        </w:tc>
        <w:tc>
          <w:tcPr>
            <w:tcW w:w="3463" w:type="pct"/>
            <w:gridSpan w:val="7"/>
            <w:tcBorders>
              <w:tl2br w:val="nil"/>
              <w:tr2bl w:val="nil"/>
            </w:tcBorders>
            <w:vAlign w:val="center"/>
          </w:tcPr>
          <w:p w14:paraId="6EC7366E" w14:textId="77777777" w:rsidR="009D12AF" w:rsidRDefault="00000000">
            <w:pPr>
              <w:pStyle w:val="15"/>
              <w:rPr>
                <w:sz w:val="21"/>
                <w:szCs w:val="21"/>
              </w:rPr>
            </w:pPr>
            <w:r>
              <w:rPr>
                <w:sz w:val="21"/>
                <w:szCs w:val="21"/>
              </w:rPr>
              <w:t>主要有</w:t>
            </w:r>
            <w:r>
              <w:rPr>
                <w:rFonts w:hint="eastAsia"/>
                <w:sz w:val="21"/>
                <w:szCs w:val="21"/>
              </w:rPr>
              <w:t>榛</w:t>
            </w:r>
          </w:p>
        </w:tc>
      </w:tr>
      <w:tr w:rsidR="009D12AF" w14:paraId="3E72A792" w14:textId="77777777">
        <w:trPr>
          <w:trHeight w:val="90"/>
          <w:jc w:val="center"/>
        </w:trPr>
        <w:tc>
          <w:tcPr>
            <w:tcW w:w="683" w:type="pct"/>
            <w:vMerge/>
            <w:tcBorders>
              <w:tl2br w:val="nil"/>
              <w:tr2bl w:val="nil"/>
            </w:tcBorders>
            <w:vAlign w:val="center"/>
          </w:tcPr>
          <w:p w14:paraId="29AFAF14" w14:textId="77777777" w:rsidR="009D12AF" w:rsidRDefault="009D12AF">
            <w:pPr>
              <w:pStyle w:val="15"/>
              <w:rPr>
                <w:sz w:val="21"/>
                <w:szCs w:val="21"/>
                <w:lang w:eastAsia="en-US"/>
              </w:rPr>
            </w:pPr>
          </w:p>
        </w:tc>
        <w:tc>
          <w:tcPr>
            <w:tcW w:w="854" w:type="pct"/>
            <w:tcBorders>
              <w:tl2br w:val="nil"/>
              <w:tr2bl w:val="nil"/>
            </w:tcBorders>
            <w:vAlign w:val="center"/>
          </w:tcPr>
          <w:p w14:paraId="53DC64E9" w14:textId="77777777" w:rsidR="009D12AF" w:rsidRDefault="00000000">
            <w:pPr>
              <w:pStyle w:val="15"/>
              <w:rPr>
                <w:sz w:val="21"/>
                <w:szCs w:val="21"/>
              </w:rPr>
            </w:pPr>
            <w:r>
              <w:rPr>
                <w:sz w:val="21"/>
                <w:szCs w:val="21"/>
              </w:rPr>
              <w:t>草本植物组成</w:t>
            </w:r>
          </w:p>
        </w:tc>
        <w:tc>
          <w:tcPr>
            <w:tcW w:w="3463" w:type="pct"/>
            <w:gridSpan w:val="7"/>
            <w:tcBorders>
              <w:tl2br w:val="nil"/>
              <w:tr2bl w:val="nil"/>
            </w:tcBorders>
            <w:vAlign w:val="center"/>
          </w:tcPr>
          <w:p w14:paraId="491825E5" w14:textId="77777777" w:rsidR="009D12AF" w:rsidRDefault="00000000">
            <w:pPr>
              <w:pStyle w:val="15"/>
              <w:rPr>
                <w:sz w:val="21"/>
                <w:szCs w:val="21"/>
              </w:rPr>
            </w:pPr>
            <w:r>
              <w:rPr>
                <w:rFonts w:hint="eastAsia"/>
                <w:sz w:val="21"/>
                <w:szCs w:val="21"/>
              </w:rPr>
              <w:t>宽叶薹草</w:t>
            </w:r>
            <w:r>
              <w:rPr>
                <w:sz w:val="21"/>
                <w:szCs w:val="21"/>
              </w:rPr>
              <w:t>、</w:t>
            </w:r>
            <w:r>
              <w:rPr>
                <w:rFonts w:hint="eastAsia"/>
                <w:sz w:val="21"/>
                <w:szCs w:val="21"/>
              </w:rPr>
              <w:t>朝天委陵菜</w:t>
            </w:r>
            <w:r>
              <w:rPr>
                <w:sz w:val="21"/>
                <w:szCs w:val="21"/>
              </w:rPr>
              <w:t>、</w:t>
            </w:r>
            <w:r>
              <w:rPr>
                <w:rFonts w:hint="eastAsia"/>
                <w:sz w:val="21"/>
                <w:szCs w:val="21"/>
              </w:rPr>
              <w:t>野火球</w:t>
            </w:r>
            <w:r>
              <w:rPr>
                <w:sz w:val="21"/>
                <w:szCs w:val="21"/>
              </w:rPr>
              <w:t>、</w:t>
            </w:r>
            <w:r>
              <w:rPr>
                <w:rFonts w:hint="eastAsia"/>
                <w:sz w:val="21"/>
                <w:szCs w:val="21"/>
              </w:rPr>
              <w:t>艾</w:t>
            </w:r>
            <w:r>
              <w:rPr>
                <w:sz w:val="21"/>
                <w:szCs w:val="21"/>
              </w:rPr>
              <w:t>等</w:t>
            </w:r>
          </w:p>
        </w:tc>
      </w:tr>
      <w:tr w:rsidR="009D12AF" w14:paraId="4AEB784B" w14:textId="77777777">
        <w:trPr>
          <w:trHeight w:val="481"/>
          <w:jc w:val="center"/>
        </w:trPr>
        <w:tc>
          <w:tcPr>
            <w:tcW w:w="683" w:type="pct"/>
            <w:tcBorders>
              <w:tl2br w:val="nil"/>
              <w:tr2bl w:val="nil"/>
            </w:tcBorders>
            <w:vAlign w:val="center"/>
          </w:tcPr>
          <w:p w14:paraId="4F935CA9" w14:textId="77777777" w:rsidR="009D12AF" w:rsidRDefault="00000000">
            <w:pPr>
              <w:pStyle w:val="15"/>
              <w:rPr>
                <w:sz w:val="21"/>
                <w:szCs w:val="21"/>
              </w:rPr>
            </w:pPr>
            <w:r>
              <w:rPr>
                <w:sz w:val="21"/>
                <w:szCs w:val="21"/>
              </w:rPr>
              <w:t>乔木郁闭度</w:t>
            </w:r>
          </w:p>
        </w:tc>
        <w:tc>
          <w:tcPr>
            <w:tcW w:w="854" w:type="pct"/>
            <w:tcBorders>
              <w:tl2br w:val="nil"/>
              <w:tr2bl w:val="nil"/>
            </w:tcBorders>
            <w:vAlign w:val="center"/>
          </w:tcPr>
          <w:p w14:paraId="6356AA51" w14:textId="77777777" w:rsidR="009D12AF" w:rsidRDefault="00000000">
            <w:pPr>
              <w:pStyle w:val="15"/>
              <w:rPr>
                <w:sz w:val="21"/>
                <w:szCs w:val="21"/>
              </w:rPr>
            </w:pPr>
            <w:r>
              <w:rPr>
                <w:rFonts w:hint="eastAsia"/>
                <w:sz w:val="21"/>
                <w:szCs w:val="21"/>
              </w:rPr>
              <w:t>70</w:t>
            </w:r>
            <w:r>
              <w:rPr>
                <w:sz w:val="21"/>
                <w:szCs w:val="21"/>
              </w:rPr>
              <w:t>％</w:t>
            </w:r>
          </w:p>
        </w:tc>
        <w:tc>
          <w:tcPr>
            <w:tcW w:w="812" w:type="pct"/>
            <w:gridSpan w:val="2"/>
            <w:tcBorders>
              <w:tl2br w:val="nil"/>
              <w:tr2bl w:val="nil"/>
            </w:tcBorders>
            <w:vAlign w:val="center"/>
          </w:tcPr>
          <w:p w14:paraId="0ED0C6FC" w14:textId="77777777" w:rsidR="009D12AF" w:rsidRDefault="00000000">
            <w:pPr>
              <w:pStyle w:val="15"/>
              <w:rPr>
                <w:sz w:val="21"/>
                <w:szCs w:val="21"/>
              </w:rPr>
            </w:pPr>
            <w:r>
              <w:rPr>
                <w:sz w:val="21"/>
                <w:szCs w:val="21"/>
              </w:rPr>
              <w:t>灌木盖度</w:t>
            </w:r>
          </w:p>
        </w:tc>
        <w:tc>
          <w:tcPr>
            <w:tcW w:w="1235" w:type="pct"/>
            <w:gridSpan w:val="2"/>
            <w:tcBorders>
              <w:tl2br w:val="nil"/>
              <w:tr2bl w:val="nil"/>
            </w:tcBorders>
            <w:vAlign w:val="center"/>
          </w:tcPr>
          <w:p w14:paraId="7A6E780D" w14:textId="77777777" w:rsidR="009D12AF" w:rsidRDefault="00000000">
            <w:pPr>
              <w:pStyle w:val="15"/>
              <w:rPr>
                <w:sz w:val="21"/>
                <w:szCs w:val="21"/>
              </w:rPr>
            </w:pPr>
            <w:r>
              <w:rPr>
                <w:rFonts w:hint="eastAsia"/>
                <w:sz w:val="21"/>
                <w:szCs w:val="21"/>
              </w:rPr>
              <w:t>40</w:t>
            </w:r>
            <w:r>
              <w:rPr>
                <w:sz w:val="21"/>
                <w:szCs w:val="21"/>
              </w:rPr>
              <w:t>%</w:t>
            </w:r>
          </w:p>
        </w:tc>
        <w:tc>
          <w:tcPr>
            <w:tcW w:w="853" w:type="pct"/>
            <w:gridSpan w:val="2"/>
            <w:tcBorders>
              <w:tl2br w:val="nil"/>
              <w:tr2bl w:val="nil"/>
            </w:tcBorders>
            <w:vAlign w:val="center"/>
          </w:tcPr>
          <w:p w14:paraId="7B008800" w14:textId="77777777" w:rsidR="009D12AF" w:rsidRDefault="00000000">
            <w:pPr>
              <w:pStyle w:val="15"/>
              <w:rPr>
                <w:sz w:val="21"/>
                <w:szCs w:val="21"/>
              </w:rPr>
            </w:pPr>
            <w:r>
              <w:rPr>
                <w:sz w:val="21"/>
                <w:szCs w:val="21"/>
              </w:rPr>
              <w:t>草本植物盖度</w:t>
            </w:r>
          </w:p>
        </w:tc>
        <w:tc>
          <w:tcPr>
            <w:tcW w:w="563" w:type="pct"/>
            <w:tcBorders>
              <w:tl2br w:val="nil"/>
              <w:tr2bl w:val="nil"/>
            </w:tcBorders>
            <w:vAlign w:val="center"/>
          </w:tcPr>
          <w:p w14:paraId="5E6E5CD0" w14:textId="77777777" w:rsidR="009D12AF" w:rsidRDefault="00000000">
            <w:pPr>
              <w:pStyle w:val="15"/>
              <w:rPr>
                <w:sz w:val="21"/>
                <w:szCs w:val="21"/>
              </w:rPr>
            </w:pPr>
            <w:r>
              <w:rPr>
                <w:rFonts w:hint="eastAsia"/>
                <w:sz w:val="21"/>
                <w:szCs w:val="21"/>
              </w:rPr>
              <w:t>55</w:t>
            </w:r>
            <w:r>
              <w:rPr>
                <w:sz w:val="21"/>
                <w:szCs w:val="21"/>
              </w:rPr>
              <w:t>%</w:t>
            </w:r>
          </w:p>
        </w:tc>
      </w:tr>
      <w:tr w:rsidR="009D12AF" w14:paraId="38B0BD44" w14:textId="77777777">
        <w:trPr>
          <w:trHeight w:val="426"/>
          <w:jc w:val="center"/>
        </w:trPr>
        <w:tc>
          <w:tcPr>
            <w:tcW w:w="683" w:type="pct"/>
            <w:tcBorders>
              <w:tl2br w:val="nil"/>
              <w:tr2bl w:val="nil"/>
            </w:tcBorders>
            <w:vAlign w:val="center"/>
          </w:tcPr>
          <w:p w14:paraId="4672C231" w14:textId="77777777" w:rsidR="009D12AF" w:rsidRDefault="00000000">
            <w:pPr>
              <w:pStyle w:val="15"/>
              <w:rPr>
                <w:sz w:val="21"/>
                <w:szCs w:val="21"/>
              </w:rPr>
            </w:pPr>
            <w:r>
              <w:rPr>
                <w:sz w:val="21"/>
                <w:szCs w:val="21"/>
              </w:rPr>
              <w:t>分布方式</w:t>
            </w:r>
          </w:p>
        </w:tc>
        <w:tc>
          <w:tcPr>
            <w:tcW w:w="4317" w:type="pct"/>
            <w:gridSpan w:val="8"/>
            <w:tcBorders>
              <w:tl2br w:val="nil"/>
              <w:tr2bl w:val="nil"/>
            </w:tcBorders>
            <w:vAlign w:val="center"/>
          </w:tcPr>
          <w:p w14:paraId="3B90AFB0" w14:textId="77777777" w:rsidR="009D12AF" w:rsidRDefault="00000000">
            <w:pPr>
              <w:pStyle w:val="15"/>
              <w:rPr>
                <w:sz w:val="21"/>
                <w:szCs w:val="21"/>
              </w:rPr>
            </w:pPr>
            <w:r>
              <w:rPr>
                <w:rFonts w:hint="eastAsia"/>
                <w:sz w:val="21"/>
                <w:szCs w:val="21"/>
              </w:rPr>
              <w:t>分布于低海拔的山地</w:t>
            </w:r>
          </w:p>
        </w:tc>
      </w:tr>
      <w:tr w:rsidR="009D12AF" w14:paraId="02ECD9AB" w14:textId="77777777">
        <w:trPr>
          <w:trHeight w:val="406"/>
          <w:jc w:val="center"/>
        </w:trPr>
        <w:tc>
          <w:tcPr>
            <w:tcW w:w="683" w:type="pct"/>
            <w:tcBorders>
              <w:tl2br w:val="nil"/>
              <w:tr2bl w:val="nil"/>
            </w:tcBorders>
            <w:vAlign w:val="center"/>
          </w:tcPr>
          <w:p w14:paraId="6F59BABC" w14:textId="77777777" w:rsidR="009D12AF" w:rsidRDefault="00000000">
            <w:pPr>
              <w:pStyle w:val="15"/>
              <w:rPr>
                <w:sz w:val="21"/>
                <w:szCs w:val="21"/>
              </w:rPr>
            </w:pPr>
            <w:r>
              <w:rPr>
                <w:sz w:val="21"/>
                <w:szCs w:val="21"/>
              </w:rPr>
              <w:t>备注</w:t>
            </w:r>
          </w:p>
        </w:tc>
        <w:tc>
          <w:tcPr>
            <w:tcW w:w="4317" w:type="pct"/>
            <w:gridSpan w:val="8"/>
            <w:tcBorders>
              <w:tl2br w:val="nil"/>
              <w:tr2bl w:val="nil"/>
            </w:tcBorders>
            <w:vAlign w:val="center"/>
          </w:tcPr>
          <w:p w14:paraId="605DA0C0" w14:textId="77777777" w:rsidR="009D12AF" w:rsidRDefault="00000000">
            <w:pPr>
              <w:pStyle w:val="15"/>
              <w:rPr>
                <w:sz w:val="21"/>
                <w:szCs w:val="21"/>
              </w:rPr>
            </w:pPr>
            <w:r>
              <w:rPr>
                <w:rFonts w:hint="eastAsia"/>
                <w:sz w:val="21"/>
                <w:szCs w:val="21"/>
              </w:rPr>
              <w:t>蒙古栎的主根发达，树皮极厚</w:t>
            </w:r>
          </w:p>
        </w:tc>
      </w:tr>
      <w:tr w:rsidR="009D12AF" w14:paraId="3129B6AF" w14:textId="77777777">
        <w:trPr>
          <w:trHeight w:val="2933"/>
          <w:jc w:val="center"/>
        </w:trPr>
        <w:tc>
          <w:tcPr>
            <w:tcW w:w="1627" w:type="pct"/>
            <w:gridSpan w:val="3"/>
            <w:tcBorders>
              <w:tl2br w:val="nil"/>
              <w:tr2bl w:val="nil"/>
            </w:tcBorders>
            <w:vAlign w:val="center"/>
          </w:tcPr>
          <w:p w14:paraId="53672885" w14:textId="77777777" w:rsidR="009D12AF" w:rsidRDefault="00000000">
            <w:pPr>
              <w:pStyle w:val="15"/>
              <w:rPr>
                <w:sz w:val="21"/>
                <w:szCs w:val="21"/>
              </w:rPr>
            </w:pPr>
            <w:r>
              <w:rPr>
                <w:noProof/>
                <w:sz w:val="21"/>
                <w:szCs w:val="21"/>
              </w:rPr>
              <w:lastRenderedPageBreak/>
              <w:drawing>
                <wp:inline distT="0" distB="0" distL="0" distR="0" wp14:anchorId="06B7F345" wp14:editId="437CC87F">
                  <wp:extent cx="1640205" cy="1752600"/>
                  <wp:effectExtent l="0" t="0" r="0" b="1714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a:xfrm rot="5400000">
                            <a:off x="0" y="0"/>
                            <a:ext cx="1669018" cy="1783679"/>
                          </a:xfrm>
                          <a:prstGeom prst="rect">
                            <a:avLst/>
                          </a:prstGeom>
                          <a:noFill/>
                          <a:ln>
                            <a:noFill/>
                          </a:ln>
                        </pic:spPr>
                      </pic:pic>
                    </a:graphicData>
                  </a:graphic>
                </wp:inline>
              </w:drawing>
            </w:r>
          </w:p>
        </w:tc>
        <w:tc>
          <w:tcPr>
            <w:tcW w:w="1701" w:type="pct"/>
            <w:gridSpan w:val="2"/>
            <w:tcBorders>
              <w:tl2br w:val="nil"/>
              <w:tr2bl w:val="nil"/>
            </w:tcBorders>
            <w:vAlign w:val="center"/>
          </w:tcPr>
          <w:p w14:paraId="378A6763" w14:textId="77777777" w:rsidR="009D12AF" w:rsidRDefault="00000000">
            <w:pPr>
              <w:pStyle w:val="15"/>
              <w:rPr>
                <w:sz w:val="21"/>
                <w:szCs w:val="21"/>
              </w:rPr>
            </w:pPr>
            <w:r>
              <w:rPr>
                <w:noProof/>
                <w:sz w:val="21"/>
                <w:szCs w:val="21"/>
              </w:rPr>
              <w:drawing>
                <wp:inline distT="0" distB="0" distL="0" distR="0" wp14:anchorId="42213887" wp14:editId="6664C8EB">
                  <wp:extent cx="1673860" cy="1811655"/>
                  <wp:effectExtent l="0" t="0" r="17145" b="254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a:xfrm rot="5400000">
                            <a:off x="0" y="0"/>
                            <a:ext cx="1711521" cy="1852139"/>
                          </a:xfrm>
                          <a:prstGeom prst="rect">
                            <a:avLst/>
                          </a:prstGeom>
                          <a:noFill/>
                          <a:ln>
                            <a:noFill/>
                          </a:ln>
                        </pic:spPr>
                      </pic:pic>
                    </a:graphicData>
                  </a:graphic>
                </wp:inline>
              </w:drawing>
            </w:r>
          </w:p>
        </w:tc>
        <w:tc>
          <w:tcPr>
            <w:tcW w:w="1672" w:type="pct"/>
            <w:gridSpan w:val="4"/>
            <w:tcBorders>
              <w:tl2br w:val="nil"/>
              <w:tr2bl w:val="nil"/>
            </w:tcBorders>
            <w:vAlign w:val="center"/>
          </w:tcPr>
          <w:p w14:paraId="53AD0F1D" w14:textId="77777777" w:rsidR="009D12AF" w:rsidRDefault="00000000">
            <w:pPr>
              <w:pStyle w:val="15"/>
              <w:rPr>
                <w:sz w:val="21"/>
                <w:szCs w:val="21"/>
              </w:rPr>
            </w:pPr>
            <w:r>
              <w:rPr>
                <w:rFonts w:ascii="等线" w:eastAsia="等线" w:hAnsi="等线"/>
                <w:noProof/>
                <w:kern w:val="2"/>
                <w:sz w:val="21"/>
                <w:szCs w:val="21"/>
              </w:rPr>
              <w:drawing>
                <wp:inline distT="0" distB="0" distL="0" distR="0" wp14:anchorId="18C8F516" wp14:editId="1F67A655">
                  <wp:extent cx="1923415" cy="1738630"/>
                  <wp:effectExtent l="0" t="0" r="635" b="1397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a:xfrm>
                            <a:off x="0" y="0"/>
                            <a:ext cx="1933669" cy="1747422"/>
                          </a:xfrm>
                          <a:prstGeom prst="rect">
                            <a:avLst/>
                          </a:prstGeom>
                          <a:noFill/>
                          <a:ln>
                            <a:noFill/>
                          </a:ln>
                        </pic:spPr>
                      </pic:pic>
                    </a:graphicData>
                  </a:graphic>
                </wp:inline>
              </w:drawing>
            </w:r>
          </w:p>
        </w:tc>
      </w:tr>
    </w:tbl>
    <w:p w14:paraId="285227AD" w14:textId="77777777" w:rsidR="009D12AF" w:rsidRDefault="00000000">
      <w:pPr>
        <w:ind w:firstLine="480"/>
      </w:pPr>
      <w:r>
        <w:rPr>
          <w:rFonts w:hint="eastAsia"/>
        </w:rPr>
        <w:t>（</w:t>
      </w:r>
      <w:r>
        <w:rPr>
          <w:rFonts w:hint="eastAsia"/>
        </w:rPr>
        <w:t>3</w:t>
      </w:r>
      <w:r>
        <w:rPr>
          <w:rFonts w:hint="eastAsia"/>
        </w:rPr>
        <w:t>）樟子松林</w:t>
      </w:r>
    </w:p>
    <w:p w14:paraId="72C8D1FD" w14:textId="77777777" w:rsidR="009D12AF" w:rsidRDefault="00000000">
      <w:pPr>
        <w:ind w:firstLine="480"/>
      </w:pPr>
      <w:r>
        <w:rPr>
          <w:rFonts w:hint="eastAsia"/>
        </w:rPr>
        <w:t>乔木层郁闭度为</w:t>
      </w:r>
      <w:r>
        <w:rPr>
          <w:rFonts w:hint="eastAsia"/>
        </w:rPr>
        <w:t>0.6</w:t>
      </w:r>
      <w:r>
        <w:t>～</w:t>
      </w:r>
      <w:r>
        <w:rPr>
          <w:rFonts w:hint="eastAsia"/>
        </w:rPr>
        <w:t>0.7,</w:t>
      </w:r>
      <w:r>
        <w:rPr>
          <w:rFonts w:hint="eastAsia"/>
        </w:rPr>
        <w:t>植物组成较单纯，层高</w:t>
      </w:r>
      <w:r>
        <w:t>20</w:t>
      </w:r>
      <w:r>
        <w:t>～</w:t>
      </w:r>
      <w:r>
        <w:t>23</w:t>
      </w:r>
      <w:r>
        <w:rPr>
          <w:rFonts w:hint="eastAsia"/>
        </w:rPr>
        <w:t>米，盖度为</w:t>
      </w:r>
      <w:r>
        <w:rPr>
          <w:rFonts w:hint="eastAsia"/>
        </w:rPr>
        <w:t>60%</w:t>
      </w:r>
      <w:r>
        <w:rPr>
          <w:rFonts w:hint="eastAsia"/>
        </w:rPr>
        <w:t>，平均胸径</w:t>
      </w:r>
      <w:r>
        <w:rPr>
          <w:rFonts w:hint="eastAsia"/>
        </w:rPr>
        <w:t>1</w:t>
      </w:r>
      <w:r>
        <w:t>9</w:t>
      </w:r>
      <w:r>
        <w:t>～</w:t>
      </w:r>
      <w:r>
        <w:t>21</w:t>
      </w:r>
      <w:r>
        <w:rPr>
          <w:rFonts w:hint="eastAsia"/>
        </w:rPr>
        <w:t>厘米，混生有红松。乔木层组成为樟子松（</w:t>
      </w:r>
      <w:r>
        <w:t>Pinus sylvestris var. mongholica Litv</w:t>
      </w:r>
      <w:r>
        <w:rPr>
          <w:rFonts w:hint="eastAsia"/>
        </w:rPr>
        <w:t>）、红松（</w:t>
      </w:r>
      <w:r>
        <w:t>Pinus koraiensis Siebold &amp; Zucc.</w:t>
      </w:r>
      <w:r>
        <w:rPr>
          <w:rFonts w:hint="eastAsia"/>
        </w:rPr>
        <w:t>）。</w:t>
      </w:r>
    </w:p>
    <w:p w14:paraId="1D2CD551" w14:textId="77777777" w:rsidR="009D12AF" w:rsidRDefault="00000000">
      <w:pPr>
        <w:ind w:firstLine="480"/>
      </w:pPr>
      <w:r>
        <w:rPr>
          <w:rFonts w:hint="eastAsia"/>
        </w:rPr>
        <w:t>灌木层层高</w:t>
      </w:r>
      <w:r>
        <w:rPr>
          <w:rFonts w:hint="eastAsia"/>
        </w:rPr>
        <w:t>1</w:t>
      </w:r>
      <w:r>
        <w:t>.5</w:t>
      </w:r>
      <w:r>
        <w:rPr>
          <w:rFonts w:hint="eastAsia"/>
        </w:rPr>
        <w:t>米，层盖度为</w:t>
      </w:r>
      <w:r>
        <w:t>30%</w:t>
      </w:r>
      <w:r>
        <w:rPr>
          <w:rFonts w:hint="eastAsia"/>
        </w:rPr>
        <w:t>，混有多种耐旱灌木，优势种为榛（</w:t>
      </w:r>
      <w:r>
        <w:t>Corylus heterophylla Fisch ex Trautv.</w:t>
      </w:r>
      <w:r>
        <w:rPr>
          <w:rFonts w:hint="eastAsia"/>
        </w:rPr>
        <w:t>）。</w:t>
      </w:r>
    </w:p>
    <w:p w14:paraId="5C004862" w14:textId="77777777" w:rsidR="009D12AF" w:rsidRDefault="00000000">
      <w:pPr>
        <w:ind w:firstLine="480"/>
      </w:pPr>
      <w:r>
        <w:rPr>
          <w:rFonts w:hint="eastAsia"/>
        </w:rPr>
        <w:t>草木层高度为</w:t>
      </w:r>
      <w:r>
        <w:rPr>
          <w:rFonts w:hint="eastAsia"/>
        </w:rPr>
        <w:t>1</w:t>
      </w:r>
      <w:r>
        <w:t>4-16</w:t>
      </w:r>
      <w:r>
        <w:rPr>
          <w:rFonts w:hint="eastAsia"/>
        </w:rPr>
        <w:t>厘米，盖度</w:t>
      </w:r>
      <w:r>
        <w:rPr>
          <w:rFonts w:hint="eastAsia"/>
        </w:rPr>
        <w:t>6</w:t>
      </w:r>
      <w:r>
        <w:t>0%</w:t>
      </w:r>
      <w:r>
        <w:rPr>
          <w:rFonts w:hint="eastAsia"/>
        </w:rPr>
        <w:t>，以龙牙草（</w:t>
      </w:r>
      <w:r>
        <w:t>Agrimonia pilosa Ldb</w:t>
      </w:r>
      <w:r>
        <w:rPr>
          <w:rFonts w:hint="eastAsia"/>
        </w:rPr>
        <w:t>）为优势种，另外还有毛秆野古草（</w:t>
      </w:r>
      <w:r>
        <w:t>Arundinella hirta (Thunb. ) Tanaka</w:t>
      </w:r>
      <w:r>
        <w:rPr>
          <w:rFonts w:hint="eastAsia"/>
        </w:rPr>
        <w:t>）、路边青（</w:t>
      </w:r>
      <w:r>
        <w:t>Geum aleppicum Jacq</w:t>
      </w:r>
      <w:r>
        <w:rPr>
          <w:rFonts w:hint="eastAsia"/>
        </w:rPr>
        <w:t>）、蒌蒿（</w:t>
      </w:r>
      <w:r>
        <w:rPr>
          <w:rFonts w:hint="eastAsia"/>
        </w:rPr>
        <w:t>Artemisia selengensis var. selengensis</w:t>
      </w:r>
      <w:r>
        <w:rPr>
          <w:rFonts w:hint="eastAsia"/>
        </w:rPr>
        <w:t>）、狭叶荨麻（</w:t>
      </w:r>
      <w:r>
        <w:rPr>
          <w:rFonts w:hint="eastAsia"/>
        </w:rPr>
        <w:t>Urtica angustifolia</w:t>
      </w:r>
      <w:r>
        <w:rPr>
          <w:rFonts w:hint="eastAsia"/>
        </w:rPr>
        <w:t>）。</w:t>
      </w:r>
    </w:p>
    <w:p w14:paraId="11E5CE24" w14:textId="77777777" w:rsidR="009D12AF" w:rsidRDefault="00000000">
      <w:pPr>
        <w:pStyle w:val="afd"/>
        <w:ind w:firstLine="482"/>
        <w:jc w:val="center"/>
      </w:pPr>
      <w:r>
        <w:rPr>
          <w:b/>
          <w:bCs w:val="0"/>
        </w:rPr>
        <w:t>表</w:t>
      </w:r>
      <w:r>
        <w:rPr>
          <w:b/>
          <w:bCs w:val="0"/>
        </w:rPr>
        <w:t xml:space="preserve"> </w:t>
      </w:r>
      <w:r>
        <w:rPr>
          <w:rFonts w:hint="eastAsia"/>
          <w:b/>
          <w:bCs w:val="0"/>
        </w:rPr>
        <w:t>4.3-46</w:t>
      </w:r>
      <w:r>
        <w:rPr>
          <w:rFonts w:hint="eastAsia"/>
          <w:b/>
          <w:bCs w:val="0"/>
        </w:rPr>
        <w:t>樟子松林群落特征</w:t>
      </w:r>
    </w:p>
    <w:tbl>
      <w:tblPr>
        <w:tblW w:w="5000" w:type="pct"/>
        <w:jc w:val="center"/>
        <w:tblBorders>
          <w:top w:val="single" w:sz="12" w:space="0" w:color="000000"/>
          <w:bottom w:val="single" w:sz="12" w:space="0" w:color="000000"/>
          <w:insideH w:val="single" w:sz="4" w:space="0" w:color="000000"/>
          <w:insideV w:val="single" w:sz="2" w:space="0" w:color="000000"/>
        </w:tblBorders>
        <w:tblLayout w:type="fixed"/>
        <w:tblCellMar>
          <w:left w:w="0" w:type="dxa"/>
          <w:right w:w="0" w:type="dxa"/>
        </w:tblCellMar>
        <w:tblLook w:val="04A0" w:firstRow="1" w:lastRow="0" w:firstColumn="1" w:lastColumn="0" w:noHBand="0" w:noVBand="1"/>
      </w:tblPr>
      <w:tblGrid>
        <w:gridCol w:w="1135"/>
        <w:gridCol w:w="1419"/>
        <w:gridCol w:w="150"/>
        <w:gridCol w:w="1199"/>
        <w:gridCol w:w="1626"/>
        <w:gridCol w:w="425"/>
        <w:gridCol w:w="1155"/>
        <w:gridCol w:w="262"/>
        <w:gridCol w:w="935"/>
      </w:tblGrid>
      <w:tr w:rsidR="009D12AF" w14:paraId="3A1C4FC9" w14:textId="77777777">
        <w:trPr>
          <w:trHeight w:val="410"/>
          <w:jc w:val="center"/>
        </w:trPr>
        <w:tc>
          <w:tcPr>
            <w:tcW w:w="683" w:type="pct"/>
            <w:tcBorders>
              <w:tl2br w:val="nil"/>
              <w:tr2bl w:val="nil"/>
            </w:tcBorders>
            <w:vAlign w:val="center"/>
          </w:tcPr>
          <w:p w14:paraId="3821FC31" w14:textId="77777777" w:rsidR="009D12AF" w:rsidRDefault="00000000">
            <w:pPr>
              <w:pStyle w:val="15"/>
              <w:ind w:firstLineChars="0" w:firstLine="0"/>
              <w:rPr>
                <w:sz w:val="21"/>
                <w:szCs w:val="21"/>
              </w:rPr>
            </w:pPr>
            <w:r>
              <w:rPr>
                <w:sz w:val="21"/>
                <w:szCs w:val="21"/>
              </w:rPr>
              <w:t>植物群系</w:t>
            </w:r>
          </w:p>
        </w:tc>
        <w:tc>
          <w:tcPr>
            <w:tcW w:w="2901" w:type="pct"/>
            <w:gridSpan w:val="5"/>
            <w:tcBorders>
              <w:tl2br w:val="nil"/>
              <w:tr2bl w:val="nil"/>
            </w:tcBorders>
            <w:vAlign w:val="center"/>
          </w:tcPr>
          <w:p w14:paraId="0AD4B7B9" w14:textId="77777777" w:rsidR="009D12AF" w:rsidRDefault="00000000">
            <w:pPr>
              <w:pStyle w:val="15"/>
              <w:ind w:firstLineChars="0" w:firstLine="0"/>
              <w:rPr>
                <w:sz w:val="21"/>
                <w:szCs w:val="21"/>
              </w:rPr>
            </w:pPr>
            <w:r>
              <w:rPr>
                <w:rFonts w:hint="eastAsia"/>
                <w:sz w:val="21"/>
                <w:szCs w:val="21"/>
              </w:rPr>
              <w:t>樟子松林群系</w:t>
            </w:r>
          </w:p>
        </w:tc>
        <w:tc>
          <w:tcPr>
            <w:tcW w:w="695" w:type="pct"/>
            <w:tcBorders>
              <w:tl2br w:val="nil"/>
              <w:tr2bl w:val="nil"/>
            </w:tcBorders>
            <w:vAlign w:val="center"/>
          </w:tcPr>
          <w:p w14:paraId="1D98F878" w14:textId="77777777" w:rsidR="009D12AF" w:rsidRDefault="00000000">
            <w:pPr>
              <w:pStyle w:val="15"/>
              <w:ind w:firstLineChars="0" w:firstLine="0"/>
              <w:rPr>
                <w:sz w:val="21"/>
                <w:szCs w:val="21"/>
              </w:rPr>
            </w:pPr>
            <w:r>
              <w:rPr>
                <w:sz w:val="21"/>
                <w:szCs w:val="21"/>
              </w:rPr>
              <w:t>样方面积</w:t>
            </w:r>
          </w:p>
        </w:tc>
        <w:tc>
          <w:tcPr>
            <w:tcW w:w="721" w:type="pct"/>
            <w:gridSpan w:val="2"/>
            <w:tcBorders>
              <w:tl2br w:val="nil"/>
              <w:tr2bl w:val="nil"/>
            </w:tcBorders>
            <w:vAlign w:val="center"/>
          </w:tcPr>
          <w:p w14:paraId="1080D948" w14:textId="77777777" w:rsidR="009D12AF" w:rsidRDefault="00000000">
            <w:pPr>
              <w:pStyle w:val="15"/>
              <w:ind w:firstLineChars="0" w:firstLine="0"/>
              <w:rPr>
                <w:sz w:val="21"/>
                <w:szCs w:val="21"/>
              </w:rPr>
            </w:pPr>
            <w:r>
              <w:rPr>
                <w:sz w:val="21"/>
                <w:szCs w:val="21"/>
              </w:rPr>
              <w:t>20m×20m</w:t>
            </w:r>
          </w:p>
        </w:tc>
      </w:tr>
      <w:tr w:rsidR="009D12AF" w14:paraId="7177E86D" w14:textId="77777777">
        <w:trPr>
          <w:trHeight w:val="405"/>
          <w:jc w:val="center"/>
        </w:trPr>
        <w:tc>
          <w:tcPr>
            <w:tcW w:w="683" w:type="pct"/>
            <w:tcBorders>
              <w:tl2br w:val="nil"/>
              <w:tr2bl w:val="nil"/>
            </w:tcBorders>
            <w:vAlign w:val="center"/>
          </w:tcPr>
          <w:p w14:paraId="6B2DA76F" w14:textId="77777777" w:rsidR="009D12AF" w:rsidRDefault="00000000">
            <w:pPr>
              <w:pStyle w:val="15"/>
              <w:ind w:firstLineChars="0" w:firstLine="0"/>
              <w:rPr>
                <w:sz w:val="21"/>
                <w:szCs w:val="21"/>
              </w:rPr>
            </w:pPr>
            <w:r>
              <w:rPr>
                <w:sz w:val="21"/>
                <w:szCs w:val="21"/>
              </w:rPr>
              <w:t>生境条件</w:t>
            </w:r>
          </w:p>
        </w:tc>
        <w:tc>
          <w:tcPr>
            <w:tcW w:w="2901" w:type="pct"/>
            <w:gridSpan w:val="5"/>
            <w:tcBorders>
              <w:tl2br w:val="nil"/>
              <w:tr2bl w:val="nil"/>
            </w:tcBorders>
            <w:vAlign w:val="center"/>
          </w:tcPr>
          <w:p w14:paraId="517D5039" w14:textId="77777777" w:rsidR="009D12AF" w:rsidRDefault="00000000">
            <w:pPr>
              <w:pStyle w:val="15"/>
              <w:ind w:firstLineChars="0" w:firstLine="0"/>
              <w:rPr>
                <w:sz w:val="21"/>
                <w:szCs w:val="21"/>
              </w:rPr>
            </w:pPr>
            <w:r>
              <w:rPr>
                <w:rFonts w:hint="eastAsia"/>
                <w:sz w:val="21"/>
                <w:szCs w:val="21"/>
              </w:rPr>
              <w:t>通常在向阳坡上或陡坡上</w:t>
            </w:r>
          </w:p>
        </w:tc>
        <w:tc>
          <w:tcPr>
            <w:tcW w:w="695" w:type="pct"/>
            <w:tcBorders>
              <w:tl2br w:val="nil"/>
              <w:tr2bl w:val="nil"/>
            </w:tcBorders>
            <w:vAlign w:val="center"/>
          </w:tcPr>
          <w:p w14:paraId="4F7B8122" w14:textId="77777777" w:rsidR="009D12AF" w:rsidRDefault="00000000">
            <w:pPr>
              <w:pStyle w:val="15"/>
              <w:ind w:firstLineChars="0" w:firstLine="0"/>
              <w:rPr>
                <w:sz w:val="21"/>
                <w:szCs w:val="21"/>
              </w:rPr>
            </w:pPr>
            <w:r>
              <w:rPr>
                <w:sz w:val="21"/>
                <w:szCs w:val="21"/>
              </w:rPr>
              <w:t>生态习性</w:t>
            </w:r>
          </w:p>
        </w:tc>
        <w:tc>
          <w:tcPr>
            <w:tcW w:w="721" w:type="pct"/>
            <w:gridSpan w:val="2"/>
            <w:tcBorders>
              <w:tl2br w:val="nil"/>
              <w:tr2bl w:val="nil"/>
            </w:tcBorders>
            <w:vAlign w:val="center"/>
          </w:tcPr>
          <w:p w14:paraId="5015DACE" w14:textId="77777777" w:rsidR="009D12AF" w:rsidRDefault="00000000">
            <w:pPr>
              <w:pStyle w:val="15"/>
              <w:ind w:firstLineChars="0" w:firstLine="0"/>
              <w:rPr>
                <w:sz w:val="21"/>
                <w:szCs w:val="21"/>
              </w:rPr>
            </w:pPr>
            <w:r>
              <w:rPr>
                <w:sz w:val="21"/>
                <w:szCs w:val="21"/>
              </w:rPr>
              <w:t>山地次生林</w:t>
            </w:r>
          </w:p>
        </w:tc>
      </w:tr>
      <w:tr w:rsidR="009D12AF" w14:paraId="1FED43DF" w14:textId="77777777">
        <w:trPr>
          <w:trHeight w:val="406"/>
          <w:jc w:val="center"/>
        </w:trPr>
        <w:tc>
          <w:tcPr>
            <w:tcW w:w="683" w:type="pct"/>
            <w:vMerge w:val="restart"/>
            <w:tcBorders>
              <w:tl2br w:val="nil"/>
              <w:tr2bl w:val="nil"/>
            </w:tcBorders>
            <w:vAlign w:val="center"/>
          </w:tcPr>
          <w:p w14:paraId="201C8467" w14:textId="77777777" w:rsidR="009D12AF" w:rsidRDefault="00000000">
            <w:pPr>
              <w:pStyle w:val="15"/>
              <w:ind w:firstLineChars="0" w:firstLine="0"/>
              <w:rPr>
                <w:sz w:val="21"/>
                <w:szCs w:val="21"/>
              </w:rPr>
            </w:pPr>
            <w:r>
              <w:rPr>
                <w:sz w:val="21"/>
                <w:szCs w:val="21"/>
              </w:rPr>
              <w:t>植物组成</w:t>
            </w:r>
          </w:p>
        </w:tc>
        <w:tc>
          <w:tcPr>
            <w:tcW w:w="854" w:type="pct"/>
            <w:tcBorders>
              <w:tl2br w:val="nil"/>
              <w:tr2bl w:val="nil"/>
            </w:tcBorders>
            <w:vAlign w:val="center"/>
          </w:tcPr>
          <w:p w14:paraId="01101EFD" w14:textId="77777777" w:rsidR="009D12AF" w:rsidRDefault="00000000">
            <w:pPr>
              <w:pStyle w:val="15"/>
              <w:ind w:firstLineChars="0" w:firstLine="0"/>
              <w:rPr>
                <w:sz w:val="21"/>
                <w:szCs w:val="21"/>
              </w:rPr>
            </w:pPr>
            <w:r>
              <w:rPr>
                <w:sz w:val="21"/>
                <w:szCs w:val="21"/>
              </w:rPr>
              <w:t>乔木树种组成</w:t>
            </w:r>
          </w:p>
        </w:tc>
        <w:tc>
          <w:tcPr>
            <w:tcW w:w="3463" w:type="pct"/>
            <w:gridSpan w:val="7"/>
            <w:tcBorders>
              <w:tl2br w:val="nil"/>
              <w:tr2bl w:val="nil"/>
            </w:tcBorders>
            <w:vAlign w:val="center"/>
          </w:tcPr>
          <w:p w14:paraId="628192E5" w14:textId="77777777" w:rsidR="009D12AF" w:rsidRDefault="00000000">
            <w:pPr>
              <w:pStyle w:val="15"/>
              <w:ind w:firstLineChars="0" w:firstLine="0"/>
              <w:rPr>
                <w:sz w:val="21"/>
                <w:szCs w:val="21"/>
              </w:rPr>
            </w:pPr>
            <w:r>
              <w:rPr>
                <w:rFonts w:hint="eastAsia"/>
                <w:sz w:val="21"/>
                <w:szCs w:val="21"/>
              </w:rPr>
              <w:t>樟子松、落叶松</w:t>
            </w:r>
            <w:r>
              <w:rPr>
                <w:sz w:val="21"/>
                <w:szCs w:val="21"/>
              </w:rPr>
              <w:t>等</w:t>
            </w:r>
          </w:p>
        </w:tc>
      </w:tr>
      <w:tr w:rsidR="009D12AF" w14:paraId="1F555451" w14:textId="77777777">
        <w:trPr>
          <w:trHeight w:val="405"/>
          <w:jc w:val="center"/>
        </w:trPr>
        <w:tc>
          <w:tcPr>
            <w:tcW w:w="683" w:type="pct"/>
            <w:vMerge/>
            <w:tcBorders>
              <w:tl2br w:val="nil"/>
              <w:tr2bl w:val="nil"/>
            </w:tcBorders>
            <w:vAlign w:val="center"/>
          </w:tcPr>
          <w:p w14:paraId="6C51776F" w14:textId="77777777" w:rsidR="009D12AF" w:rsidRDefault="009D12AF">
            <w:pPr>
              <w:pStyle w:val="15"/>
              <w:ind w:firstLineChars="0" w:firstLine="0"/>
              <w:rPr>
                <w:sz w:val="21"/>
                <w:szCs w:val="21"/>
              </w:rPr>
            </w:pPr>
          </w:p>
        </w:tc>
        <w:tc>
          <w:tcPr>
            <w:tcW w:w="854" w:type="pct"/>
            <w:tcBorders>
              <w:tl2br w:val="nil"/>
              <w:tr2bl w:val="nil"/>
            </w:tcBorders>
            <w:vAlign w:val="center"/>
          </w:tcPr>
          <w:p w14:paraId="0C5FCAB9" w14:textId="77777777" w:rsidR="009D12AF" w:rsidRDefault="00000000">
            <w:pPr>
              <w:pStyle w:val="15"/>
              <w:ind w:firstLineChars="0" w:firstLine="0"/>
              <w:rPr>
                <w:sz w:val="21"/>
                <w:szCs w:val="21"/>
              </w:rPr>
            </w:pPr>
            <w:r>
              <w:rPr>
                <w:sz w:val="21"/>
                <w:szCs w:val="21"/>
              </w:rPr>
              <w:t>灌木树种组成</w:t>
            </w:r>
          </w:p>
        </w:tc>
        <w:tc>
          <w:tcPr>
            <w:tcW w:w="3463" w:type="pct"/>
            <w:gridSpan w:val="7"/>
            <w:tcBorders>
              <w:tl2br w:val="nil"/>
              <w:tr2bl w:val="nil"/>
            </w:tcBorders>
            <w:vAlign w:val="center"/>
          </w:tcPr>
          <w:p w14:paraId="51F0D62D" w14:textId="77777777" w:rsidR="009D12AF" w:rsidRDefault="00000000">
            <w:pPr>
              <w:pStyle w:val="15"/>
              <w:ind w:firstLineChars="0" w:firstLine="0"/>
              <w:rPr>
                <w:sz w:val="21"/>
                <w:szCs w:val="21"/>
              </w:rPr>
            </w:pPr>
            <w:r>
              <w:rPr>
                <w:rFonts w:hint="eastAsia"/>
                <w:sz w:val="21"/>
                <w:szCs w:val="21"/>
              </w:rPr>
              <w:t>榛</w:t>
            </w:r>
            <w:r>
              <w:rPr>
                <w:sz w:val="21"/>
                <w:szCs w:val="21"/>
              </w:rPr>
              <w:t>等</w:t>
            </w:r>
          </w:p>
        </w:tc>
      </w:tr>
      <w:tr w:rsidR="009D12AF" w14:paraId="42F7F3A9" w14:textId="77777777">
        <w:trPr>
          <w:trHeight w:val="90"/>
          <w:jc w:val="center"/>
        </w:trPr>
        <w:tc>
          <w:tcPr>
            <w:tcW w:w="683" w:type="pct"/>
            <w:vMerge/>
            <w:tcBorders>
              <w:tl2br w:val="nil"/>
              <w:tr2bl w:val="nil"/>
            </w:tcBorders>
            <w:vAlign w:val="center"/>
          </w:tcPr>
          <w:p w14:paraId="27906458" w14:textId="77777777" w:rsidR="009D12AF" w:rsidRDefault="009D12AF">
            <w:pPr>
              <w:pStyle w:val="15"/>
              <w:ind w:firstLineChars="0" w:firstLine="0"/>
              <w:rPr>
                <w:sz w:val="21"/>
                <w:szCs w:val="21"/>
                <w:lang w:eastAsia="en-US"/>
              </w:rPr>
            </w:pPr>
          </w:p>
        </w:tc>
        <w:tc>
          <w:tcPr>
            <w:tcW w:w="854" w:type="pct"/>
            <w:tcBorders>
              <w:tl2br w:val="nil"/>
              <w:tr2bl w:val="nil"/>
            </w:tcBorders>
            <w:vAlign w:val="center"/>
          </w:tcPr>
          <w:p w14:paraId="6966514B" w14:textId="77777777" w:rsidR="009D12AF" w:rsidRDefault="00000000">
            <w:pPr>
              <w:pStyle w:val="15"/>
              <w:ind w:firstLineChars="0" w:firstLine="0"/>
              <w:rPr>
                <w:sz w:val="21"/>
                <w:szCs w:val="21"/>
              </w:rPr>
            </w:pPr>
            <w:r>
              <w:rPr>
                <w:sz w:val="21"/>
                <w:szCs w:val="21"/>
              </w:rPr>
              <w:t>草本植物组成</w:t>
            </w:r>
          </w:p>
        </w:tc>
        <w:tc>
          <w:tcPr>
            <w:tcW w:w="3463" w:type="pct"/>
            <w:gridSpan w:val="7"/>
            <w:tcBorders>
              <w:tl2br w:val="nil"/>
              <w:tr2bl w:val="nil"/>
            </w:tcBorders>
            <w:vAlign w:val="center"/>
          </w:tcPr>
          <w:p w14:paraId="15499579" w14:textId="77777777" w:rsidR="009D12AF" w:rsidRDefault="00000000">
            <w:pPr>
              <w:pStyle w:val="15"/>
              <w:ind w:firstLineChars="0" w:firstLine="0"/>
              <w:rPr>
                <w:sz w:val="21"/>
                <w:szCs w:val="21"/>
              </w:rPr>
            </w:pPr>
            <w:r>
              <w:rPr>
                <w:rFonts w:hint="eastAsia"/>
                <w:sz w:val="21"/>
                <w:szCs w:val="21"/>
              </w:rPr>
              <w:t>龙牙草、路边青</w:t>
            </w:r>
            <w:r>
              <w:rPr>
                <w:sz w:val="21"/>
                <w:szCs w:val="21"/>
              </w:rPr>
              <w:t>等</w:t>
            </w:r>
          </w:p>
        </w:tc>
      </w:tr>
      <w:tr w:rsidR="009D12AF" w14:paraId="028FA75C" w14:textId="77777777">
        <w:trPr>
          <w:trHeight w:val="481"/>
          <w:jc w:val="center"/>
        </w:trPr>
        <w:tc>
          <w:tcPr>
            <w:tcW w:w="683" w:type="pct"/>
            <w:tcBorders>
              <w:tl2br w:val="nil"/>
              <w:tr2bl w:val="nil"/>
            </w:tcBorders>
            <w:vAlign w:val="center"/>
          </w:tcPr>
          <w:p w14:paraId="3D4B76C8" w14:textId="77777777" w:rsidR="009D12AF" w:rsidRDefault="00000000">
            <w:pPr>
              <w:pStyle w:val="15"/>
              <w:ind w:firstLineChars="0" w:firstLine="0"/>
              <w:rPr>
                <w:sz w:val="21"/>
                <w:szCs w:val="21"/>
              </w:rPr>
            </w:pPr>
            <w:r>
              <w:rPr>
                <w:sz w:val="21"/>
                <w:szCs w:val="21"/>
              </w:rPr>
              <w:t>乔木郁闭度</w:t>
            </w:r>
          </w:p>
        </w:tc>
        <w:tc>
          <w:tcPr>
            <w:tcW w:w="854" w:type="pct"/>
            <w:tcBorders>
              <w:tl2br w:val="nil"/>
              <w:tr2bl w:val="nil"/>
            </w:tcBorders>
            <w:vAlign w:val="center"/>
          </w:tcPr>
          <w:p w14:paraId="1318AF13" w14:textId="77777777" w:rsidR="009D12AF" w:rsidRDefault="00000000">
            <w:pPr>
              <w:pStyle w:val="15"/>
              <w:ind w:firstLineChars="0" w:firstLine="0"/>
              <w:rPr>
                <w:sz w:val="21"/>
                <w:szCs w:val="21"/>
              </w:rPr>
            </w:pPr>
            <w:r>
              <w:rPr>
                <w:rFonts w:hint="eastAsia"/>
                <w:sz w:val="21"/>
                <w:szCs w:val="21"/>
              </w:rPr>
              <w:t>60</w:t>
            </w:r>
            <w:r>
              <w:rPr>
                <w:sz w:val="21"/>
                <w:szCs w:val="21"/>
              </w:rPr>
              <w:t>％</w:t>
            </w:r>
          </w:p>
        </w:tc>
        <w:tc>
          <w:tcPr>
            <w:tcW w:w="812" w:type="pct"/>
            <w:gridSpan w:val="2"/>
            <w:tcBorders>
              <w:tl2br w:val="nil"/>
              <w:tr2bl w:val="nil"/>
            </w:tcBorders>
            <w:vAlign w:val="center"/>
          </w:tcPr>
          <w:p w14:paraId="35012C44" w14:textId="77777777" w:rsidR="009D12AF" w:rsidRDefault="00000000">
            <w:pPr>
              <w:pStyle w:val="15"/>
              <w:ind w:firstLineChars="0" w:firstLine="0"/>
              <w:rPr>
                <w:sz w:val="21"/>
                <w:szCs w:val="21"/>
              </w:rPr>
            </w:pPr>
            <w:r>
              <w:rPr>
                <w:sz w:val="21"/>
                <w:szCs w:val="21"/>
              </w:rPr>
              <w:t>灌木盖度</w:t>
            </w:r>
          </w:p>
        </w:tc>
        <w:tc>
          <w:tcPr>
            <w:tcW w:w="1235" w:type="pct"/>
            <w:gridSpan w:val="2"/>
            <w:tcBorders>
              <w:tl2br w:val="nil"/>
              <w:tr2bl w:val="nil"/>
            </w:tcBorders>
            <w:vAlign w:val="center"/>
          </w:tcPr>
          <w:p w14:paraId="090C07AB" w14:textId="77777777" w:rsidR="009D12AF" w:rsidRDefault="00000000">
            <w:pPr>
              <w:pStyle w:val="15"/>
              <w:ind w:firstLineChars="0" w:firstLine="0"/>
              <w:rPr>
                <w:sz w:val="21"/>
                <w:szCs w:val="21"/>
              </w:rPr>
            </w:pPr>
            <w:r>
              <w:rPr>
                <w:rFonts w:hint="eastAsia"/>
                <w:sz w:val="21"/>
                <w:szCs w:val="21"/>
              </w:rPr>
              <w:t>30</w:t>
            </w:r>
            <w:r>
              <w:rPr>
                <w:sz w:val="21"/>
                <w:szCs w:val="21"/>
              </w:rPr>
              <w:t>%</w:t>
            </w:r>
          </w:p>
        </w:tc>
        <w:tc>
          <w:tcPr>
            <w:tcW w:w="853" w:type="pct"/>
            <w:gridSpan w:val="2"/>
            <w:tcBorders>
              <w:tl2br w:val="nil"/>
              <w:tr2bl w:val="nil"/>
            </w:tcBorders>
            <w:vAlign w:val="center"/>
          </w:tcPr>
          <w:p w14:paraId="2D8EF23B" w14:textId="77777777" w:rsidR="009D12AF" w:rsidRDefault="00000000">
            <w:pPr>
              <w:pStyle w:val="15"/>
              <w:ind w:firstLineChars="0" w:firstLine="0"/>
              <w:rPr>
                <w:sz w:val="21"/>
                <w:szCs w:val="21"/>
              </w:rPr>
            </w:pPr>
            <w:r>
              <w:rPr>
                <w:sz w:val="21"/>
                <w:szCs w:val="21"/>
              </w:rPr>
              <w:t>草本植物盖度</w:t>
            </w:r>
          </w:p>
        </w:tc>
        <w:tc>
          <w:tcPr>
            <w:tcW w:w="563" w:type="pct"/>
            <w:tcBorders>
              <w:tl2br w:val="nil"/>
              <w:tr2bl w:val="nil"/>
            </w:tcBorders>
            <w:vAlign w:val="center"/>
          </w:tcPr>
          <w:p w14:paraId="5FEF835E" w14:textId="77777777" w:rsidR="009D12AF" w:rsidRDefault="00000000">
            <w:pPr>
              <w:pStyle w:val="15"/>
              <w:ind w:firstLineChars="0" w:firstLine="0"/>
              <w:rPr>
                <w:sz w:val="21"/>
                <w:szCs w:val="21"/>
              </w:rPr>
            </w:pPr>
            <w:r>
              <w:rPr>
                <w:rFonts w:hint="eastAsia"/>
                <w:sz w:val="21"/>
                <w:szCs w:val="21"/>
              </w:rPr>
              <w:t>60</w:t>
            </w:r>
            <w:r>
              <w:rPr>
                <w:sz w:val="21"/>
                <w:szCs w:val="21"/>
              </w:rPr>
              <w:t>%</w:t>
            </w:r>
          </w:p>
        </w:tc>
      </w:tr>
      <w:tr w:rsidR="009D12AF" w14:paraId="33BEF524" w14:textId="77777777">
        <w:trPr>
          <w:trHeight w:val="426"/>
          <w:jc w:val="center"/>
        </w:trPr>
        <w:tc>
          <w:tcPr>
            <w:tcW w:w="683" w:type="pct"/>
            <w:tcBorders>
              <w:tl2br w:val="nil"/>
              <w:tr2bl w:val="nil"/>
            </w:tcBorders>
            <w:vAlign w:val="center"/>
          </w:tcPr>
          <w:p w14:paraId="5C1431B6" w14:textId="77777777" w:rsidR="009D12AF" w:rsidRDefault="00000000">
            <w:pPr>
              <w:pStyle w:val="15"/>
              <w:ind w:firstLineChars="0" w:firstLine="0"/>
              <w:rPr>
                <w:sz w:val="21"/>
                <w:szCs w:val="21"/>
              </w:rPr>
            </w:pPr>
            <w:r>
              <w:rPr>
                <w:sz w:val="21"/>
                <w:szCs w:val="21"/>
              </w:rPr>
              <w:t>分布方式</w:t>
            </w:r>
          </w:p>
        </w:tc>
        <w:tc>
          <w:tcPr>
            <w:tcW w:w="4317" w:type="pct"/>
            <w:gridSpan w:val="8"/>
            <w:tcBorders>
              <w:tl2br w:val="nil"/>
              <w:tr2bl w:val="nil"/>
            </w:tcBorders>
            <w:vAlign w:val="center"/>
          </w:tcPr>
          <w:p w14:paraId="0DC4034A" w14:textId="77777777" w:rsidR="009D12AF" w:rsidRDefault="00000000">
            <w:pPr>
              <w:pStyle w:val="15"/>
              <w:ind w:firstLineChars="0" w:firstLine="0"/>
              <w:rPr>
                <w:sz w:val="21"/>
                <w:szCs w:val="21"/>
              </w:rPr>
            </w:pPr>
            <w:r>
              <w:rPr>
                <w:rFonts w:hint="eastAsia"/>
                <w:sz w:val="21"/>
                <w:szCs w:val="21"/>
              </w:rPr>
              <w:t>向阳坡上或陡坡</w:t>
            </w:r>
          </w:p>
        </w:tc>
      </w:tr>
      <w:tr w:rsidR="009D12AF" w14:paraId="6E7E37ED" w14:textId="77777777">
        <w:trPr>
          <w:trHeight w:val="406"/>
          <w:jc w:val="center"/>
        </w:trPr>
        <w:tc>
          <w:tcPr>
            <w:tcW w:w="683" w:type="pct"/>
            <w:tcBorders>
              <w:tl2br w:val="nil"/>
              <w:tr2bl w:val="nil"/>
            </w:tcBorders>
            <w:vAlign w:val="center"/>
          </w:tcPr>
          <w:p w14:paraId="3FCF35F4" w14:textId="77777777" w:rsidR="009D12AF" w:rsidRDefault="00000000">
            <w:pPr>
              <w:pStyle w:val="15"/>
              <w:ind w:firstLineChars="0" w:firstLine="0"/>
              <w:rPr>
                <w:sz w:val="21"/>
                <w:szCs w:val="21"/>
              </w:rPr>
            </w:pPr>
            <w:r>
              <w:rPr>
                <w:sz w:val="21"/>
                <w:szCs w:val="21"/>
              </w:rPr>
              <w:t>备注</w:t>
            </w:r>
          </w:p>
        </w:tc>
        <w:tc>
          <w:tcPr>
            <w:tcW w:w="4317" w:type="pct"/>
            <w:gridSpan w:val="8"/>
            <w:tcBorders>
              <w:tl2br w:val="nil"/>
              <w:tr2bl w:val="nil"/>
            </w:tcBorders>
            <w:vAlign w:val="center"/>
          </w:tcPr>
          <w:p w14:paraId="0B559D3F" w14:textId="77777777" w:rsidR="009D12AF" w:rsidRDefault="00000000">
            <w:pPr>
              <w:pStyle w:val="15"/>
              <w:ind w:firstLineChars="0" w:firstLine="0"/>
              <w:rPr>
                <w:sz w:val="21"/>
                <w:szCs w:val="21"/>
              </w:rPr>
            </w:pPr>
            <w:r>
              <w:rPr>
                <w:rFonts w:hint="eastAsia"/>
                <w:sz w:val="21"/>
                <w:szCs w:val="21"/>
              </w:rPr>
              <w:t>林下土壤为薄层粗骨质暗棕壤，土层浅而较干旱。</w:t>
            </w:r>
          </w:p>
        </w:tc>
      </w:tr>
      <w:tr w:rsidR="009D12AF" w14:paraId="4097AB6A" w14:textId="77777777">
        <w:trPr>
          <w:trHeight w:val="2933"/>
          <w:jc w:val="center"/>
        </w:trPr>
        <w:tc>
          <w:tcPr>
            <w:tcW w:w="1627" w:type="pct"/>
            <w:gridSpan w:val="3"/>
            <w:tcBorders>
              <w:tl2br w:val="nil"/>
              <w:tr2bl w:val="nil"/>
            </w:tcBorders>
            <w:vAlign w:val="center"/>
          </w:tcPr>
          <w:p w14:paraId="7B346838" w14:textId="77777777" w:rsidR="009D12AF" w:rsidRDefault="00000000">
            <w:pPr>
              <w:pStyle w:val="15"/>
              <w:ind w:firstLineChars="0" w:firstLine="0"/>
              <w:rPr>
                <w:sz w:val="21"/>
                <w:szCs w:val="21"/>
              </w:rPr>
            </w:pPr>
            <w:r>
              <w:rPr>
                <w:bCs/>
                <w:noProof/>
                <w:spacing w:val="6"/>
                <w:sz w:val="21"/>
                <w:szCs w:val="21"/>
              </w:rPr>
              <w:lastRenderedPageBreak/>
              <w:drawing>
                <wp:inline distT="0" distB="0" distL="0" distR="0" wp14:anchorId="71995D6A" wp14:editId="253FE602">
                  <wp:extent cx="1918970" cy="1439545"/>
                  <wp:effectExtent l="0" t="0" r="5080" b="825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44" cstate="screen">
                            <a:extLst>
                              <a:ext uri="{28A0092B-C50C-407E-A947-70E740481C1C}">
                                <a14:useLocalDpi xmlns:a14="http://schemas.microsoft.com/office/drawing/2010/main"/>
                              </a:ext>
                            </a:extLst>
                          </a:blip>
                          <a:stretch>
                            <a:fillRect/>
                          </a:stretch>
                        </pic:blipFill>
                        <pic:spPr>
                          <a:xfrm>
                            <a:off x="0" y="0"/>
                            <a:ext cx="1918970" cy="1439545"/>
                          </a:xfrm>
                          <a:prstGeom prst="rect">
                            <a:avLst/>
                          </a:prstGeom>
                        </pic:spPr>
                      </pic:pic>
                    </a:graphicData>
                  </a:graphic>
                </wp:inline>
              </w:drawing>
            </w:r>
          </w:p>
        </w:tc>
        <w:tc>
          <w:tcPr>
            <w:tcW w:w="1701" w:type="pct"/>
            <w:gridSpan w:val="2"/>
            <w:tcBorders>
              <w:tl2br w:val="nil"/>
              <w:tr2bl w:val="nil"/>
            </w:tcBorders>
            <w:vAlign w:val="center"/>
          </w:tcPr>
          <w:p w14:paraId="248F268E" w14:textId="77777777" w:rsidR="009D12AF" w:rsidRDefault="00000000">
            <w:pPr>
              <w:pStyle w:val="15"/>
              <w:ind w:firstLineChars="0" w:firstLine="0"/>
              <w:rPr>
                <w:sz w:val="21"/>
                <w:szCs w:val="21"/>
              </w:rPr>
            </w:pPr>
            <w:r>
              <w:rPr>
                <w:bCs/>
                <w:noProof/>
                <w:spacing w:val="6"/>
                <w:sz w:val="21"/>
                <w:szCs w:val="21"/>
              </w:rPr>
              <w:drawing>
                <wp:inline distT="0" distB="0" distL="0" distR="0" wp14:anchorId="07E9E90C" wp14:editId="56E18889">
                  <wp:extent cx="1918970" cy="1439545"/>
                  <wp:effectExtent l="0" t="0" r="5080" b="825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45" cstate="screen">
                            <a:extLst>
                              <a:ext uri="{28A0092B-C50C-407E-A947-70E740481C1C}">
                                <a14:useLocalDpi xmlns:a14="http://schemas.microsoft.com/office/drawing/2010/main"/>
                              </a:ext>
                            </a:extLst>
                          </a:blip>
                          <a:stretch>
                            <a:fillRect/>
                          </a:stretch>
                        </pic:blipFill>
                        <pic:spPr>
                          <a:xfrm>
                            <a:off x="0" y="0"/>
                            <a:ext cx="1918970" cy="1439545"/>
                          </a:xfrm>
                          <a:prstGeom prst="rect">
                            <a:avLst/>
                          </a:prstGeom>
                        </pic:spPr>
                      </pic:pic>
                    </a:graphicData>
                  </a:graphic>
                </wp:inline>
              </w:drawing>
            </w:r>
          </w:p>
        </w:tc>
        <w:tc>
          <w:tcPr>
            <w:tcW w:w="1672" w:type="pct"/>
            <w:gridSpan w:val="4"/>
            <w:tcBorders>
              <w:tl2br w:val="nil"/>
              <w:tr2bl w:val="nil"/>
            </w:tcBorders>
            <w:vAlign w:val="center"/>
          </w:tcPr>
          <w:p w14:paraId="22C6D2F4" w14:textId="77777777" w:rsidR="009D12AF" w:rsidRDefault="00000000">
            <w:pPr>
              <w:pStyle w:val="15"/>
              <w:ind w:firstLineChars="0" w:firstLine="0"/>
              <w:rPr>
                <w:sz w:val="21"/>
                <w:szCs w:val="21"/>
              </w:rPr>
            </w:pPr>
            <w:r>
              <w:rPr>
                <w:bCs/>
                <w:noProof/>
                <w:spacing w:val="6"/>
                <w:sz w:val="21"/>
                <w:szCs w:val="21"/>
              </w:rPr>
              <w:drawing>
                <wp:inline distT="0" distB="0" distL="0" distR="0" wp14:anchorId="541AA15F" wp14:editId="25C021E8">
                  <wp:extent cx="1918970" cy="1439545"/>
                  <wp:effectExtent l="0" t="0" r="5080" b="825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46" cstate="screen">
                            <a:extLst>
                              <a:ext uri="{28A0092B-C50C-407E-A947-70E740481C1C}">
                                <a14:useLocalDpi xmlns:a14="http://schemas.microsoft.com/office/drawing/2010/main"/>
                              </a:ext>
                            </a:extLst>
                          </a:blip>
                          <a:stretch>
                            <a:fillRect/>
                          </a:stretch>
                        </pic:blipFill>
                        <pic:spPr>
                          <a:xfrm>
                            <a:off x="0" y="0"/>
                            <a:ext cx="1918970" cy="1439545"/>
                          </a:xfrm>
                          <a:prstGeom prst="rect">
                            <a:avLst/>
                          </a:prstGeom>
                        </pic:spPr>
                      </pic:pic>
                    </a:graphicData>
                  </a:graphic>
                </wp:inline>
              </w:drawing>
            </w:r>
          </w:p>
        </w:tc>
      </w:tr>
    </w:tbl>
    <w:p w14:paraId="1597D402" w14:textId="77777777" w:rsidR="009D12AF" w:rsidRDefault="00000000">
      <w:pPr>
        <w:ind w:firstLine="480"/>
      </w:pPr>
      <w:r>
        <w:rPr>
          <w:rFonts w:hint="eastAsia"/>
        </w:rPr>
        <w:t>（</w:t>
      </w:r>
      <w:r>
        <w:rPr>
          <w:rFonts w:hint="eastAsia"/>
        </w:rPr>
        <w:t>4</w:t>
      </w:r>
      <w:r>
        <w:rPr>
          <w:rFonts w:hint="eastAsia"/>
        </w:rPr>
        <w:t>）山杨林</w:t>
      </w:r>
    </w:p>
    <w:p w14:paraId="7CAD03AD" w14:textId="77777777" w:rsidR="009D12AF" w:rsidRDefault="00000000">
      <w:pPr>
        <w:ind w:firstLine="480"/>
      </w:pPr>
      <w:r>
        <w:rPr>
          <w:rFonts w:hint="eastAsia"/>
        </w:rPr>
        <w:t>山杨林属于次生植被，广泛分布于我省各个山区，多为采伐迹地以及火烧迹地的先锋树种，可通过封山育林自然演替到阔叶红松林。山杨林生长在阳坡或半阳坡缓斜面上，海拔</w:t>
      </w:r>
      <w:r>
        <w:rPr>
          <w:rFonts w:hint="eastAsia"/>
        </w:rPr>
        <w:t>400m</w:t>
      </w:r>
      <w:r>
        <w:rPr>
          <w:rFonts w:hint="eastAsia"/>
        </w:rPr>
        <w:t>或以下。土壤为暗棕壤。</w:t>
      </w:r>
    </w:p>
    <w:p w14:paraId="1472F179" w14:textId="77777777" w:rsidR="009D12AF" w:rsidRDefault="00000000">
      <w:pPr>
        <w:ind w:firstLine="480"/>
      </w:pPr>
      <w:r>
        <w:rPr>
          <w:rFonts w:hint="eastAsia"/>
        </w:rPr>
        <w:t>此林型郁闭度为</w:t>
      </w:r>
      <w:r>
        <w:rPr>
          <w:rFonts w:hint="eastAsia"/>
        </w:rPr>
        <w:t>0.7~0.8</w:t>
      </w:r>
      <w:r>
        <w:rPr>
          <w:rFonts w:hint="eastAsia"/>
        </w:rPr>
        <w:t>，植物组成较为丰富。可分为乔木、灌木和草本三层。</w:t>
      </w:r>
    </w:p>
    <w:p w14:paraId="18A6588C" w14:textId="77777777" w:rsidR="009D12AF" w:rsidRDefault="00000000">
      <w:pPr>
        <w:ind w:firstLine="480"/>
      </w:pPr>
      <w:r>
        <w:rPr>
          <w:rFonts w:hint="eastAsia"/>
        </w:rPr>
        <w:t>乔木层以山杨为优势种，高</w:t>
      </w:r>
      <w:r>
        <w:rPr>
          <w:rFonts w:hint="eastAsia"/>
        </w:rPr>
        <w:t>18~22m</w:t>
      </w:r>
      <w:r>
        <w:rPr>
          <w:rFonts w:hint="eastAsia"/>
        </w:rPr>
        <w:t>，盖度</w:t>
      </w:r>
      <w:r>
        <w:rPr>
          <w:rFonts w:hint="eastAsia"/>
        </w:rPr>
        <w:t>80~95%</w:t>
      </w:r>
      <w:r>
        <w:rPr>
          <w:rFonts w:hint="eastAsia"/>
        </w:rPr>
        <w:t>，在不同海拔处，混生有蒙古栎、白桦、山槐、色木槭、紫椴和枫桦等。</w:t>
      </w:r>
    </w:p>
    <w:p w14:paraId="409F9F11" w14:textId="77777777" w:rsidR="009D12AF" w:rsidRDefault="00000000">
      <w:pPr>
        <w:ind w:firstLine="480"/>
      </w:pPr>
      <w:r>
        <w:rPr>
          <w:rFonts w:hint="eastAsia"/>
        </w:rPr>
        <w:t>灌木层较高达</w:t>
      </w:r>
      <w:r>
        <w:rPr>
          <w:rFonts w:hint="eastAsia"/>
        </w:rPr>
        <w:t>2m</w:t>
      </w:r>
      <w:r>
        <w:rPr>
          <w:rFonts w:hint="eastAsia"/>
        </w:rPr>
        <w:t>，盖度</w:t>
      </w:r>
      <w:r>
        <w:rPr>
          <w:rFonts w:hint="eastAsia"/>
        </w:rPr>
        <w:t>30%</w:t>
      </w:r>
      <w:r>
        <w:rPr>
          <w:rFonts w:hint="eastAsia"/>
        </w:rPr>
        <w:t>，常以胡枝子和毛榛为优势种，混生有东北山梅花、黄芦木、东北茶藨子、石蚕叶绣线菊等。</w:t>
      </w:r>
    </w:p>
    <w:p w14:paraId="46A62F75" w14:textId="77777777" w:rsidR="009D12AF" w:rsidRDefault="00000000">
      <w:pPr>
        <w:ind w:firstLine="480"/>
      </w:pPr>
      <w:r>
        <w:rPr>
          <w:rFonts w:hint="eastAsia"/>
        </w:rPr>
        <w:t>草本层</w:t>
      </w:r>
      <w:r>
        <w:rPr>
          <w:rFonts w:hint="eastAsia"/>
        </w:rPr>
        <w:t>13cm</w:t>
      </w:r>
      <w:r>
        <w:rPr>
          <w:rFonts w:hint="eastAsia"/>
        </w:rPr>
        <w:t>左右，盖度</w:t>
      </w:r>
      <w:r>
        <w:rPr>
          <w:rFonts w:hint="eastAsia"/>
        </w:rPr>
        <w:t>30~70%</w:t>
      </w:r>
      <w:r>
        <w:rPr>
          <w:rFonts w:hint="eastAsia"/>
        </w:rPr>
        <w:t>不等，低海拔处以针叶薹草为优势，混生铃兰、蕨、蕨麻、蚊子草等，海拔高处以凸脉薹草居多。</w:t>
      </w:r>
    </w:p>
    <w:p w14:paraId="70778500" w14:textId="77777777" w:rsidR="009D12AF" w:rsidRDefault="00000000">
      <w:pPr>
        <w:pStyle w:val="afd"/>
        <w:ind w:firstLine="482"/>
        <w:jc w:val="center"/>
      </w:pPr>
      <w:r>
        <w:rPr>
          <w:b/>
          <w:bCs w:val="0"/>
        </w:rPr>
        <w:t>表</w:t>
      </w:r>
      <w:r>
        <w:rPr>
          <w:b/>
          <w:bCs w:val="0"/>
        </w:rPr>
        <w:t xml:space="preserve"> </w:t>
      </w:r>
      <w:r>
        <w:rPr>
          <w:rFonts w:hint="eastAsia"/>
          <w:b/>
          <w:bCs w:val="0"/>
        </w:rPr>
        <w:t>4.3-47</w:t>
      </w:r>
      <w:r>
        <w:rPr>
          <w:rFonts w:hint="eastAsia"/>
          <w:b/>
          <w:bCs w:val="0"/>
        </w:rPr>
        <w:t>山杨林群落特征</w:t>
      </w:r>
    </w:p>
    <w:tbl>
      <w:tblPr>
        <w:tblW w:w="5000" w:type="pct"/>
        <w:jc w:val="center"/>
        <w:tblBorders>
          <w:top w:val="single" w:sz="12" w:space="0" w:color="000000"/>
          <w:bottom w:val="single" w:sz="12" w:space="0" w:color="000000"/>
          <w:insideH w:val="single" w:sz="4" w:space="0" w:color="000000"/>
          <w:insideV w:val="single" w:sz="2" w:space="0" w:color="000000"/>
        </w:tblBorders>
        <w:tblLayout w:type="fixed"/>
        <w:tblCellMar>
          <w:left w:w="0" w:type="dxa"/>
          <w:right w:w="0" w:type="dxa"/>
        </w:tblCellMar>
        <w:tblLook w:val="04A0" w:firstRow="1" w:lastRow="0" w:firstColumn="1" w:lastColumn="0" w:noHBand="0" w:noVBand="1"/>
      </w:tblPr>
      <w:tblGrid>
        <w:gridCol w:w="1135"/>
        <w:gridCol w:w="1419"/>
        <w:gridCol w:w="150"/>
        <w:gridCol w:w="1199"/>
        <w:gridCol w:w="1626"/>
        <w:gridCol w:w="425"/>
        <w:gridCol w:w="1155"/>
        <w:gridCol w:w="262"/>
        <w:gridCol w:w="935"/>
      </w:tblGrid>
      <w:tr w:rsidR="009D12AF" w14:paraId="6EB9271F" w14:textId="77777777">
        <w:trPr>
          <w:trHeight w:val="410"/>
          <w:jc w:val="center"/>
        </w:trPr>
        <w:tc>
          <w:tcPr>
            <w:tcW w:w="683" w:type="pct"/>
            <w:tcBorders>
              <w:tl2br w:val="nil"/>
              <w:tr2bl w:val="nil"/>
            </w:tcBorders>
            <w:vAlign w:val="center"/>
          </w:tcPr>
          <w:p w14:paraId="3436479D" w14:textId="77777777" w:rsidR="009D12AF" w:rsidRDefault="00000000">
            <w:pPr>
              <w:pStyle w:val="15"/>
              <w:ind w:firstLineChars="0" w:firstLine="0"/>
              <w:rPr>
                <w:sz w:val="21"/>
                <w:szCs w:val="21"/>
              </w:rPr>
            </w:pPr>
            <w:r>
              <w:rPr>
                <w:sz w:val="21"/>
                <w:szCs w:val="21"/>
              </w:rPr>
              <w:t>植物群系</w:t>
            </w:r>
          </w:p>
        </w:tc>
        <w:tc>
          <w:tcPr>
            <w:tcW w:w="2901" w:type="pct"/>
            <w:gridSpan w:val="5"/>
            <w:tcBorders>
              <w:tl2br w:val="nil"/>
              <w:tr2bl w:val="nil"/>
            </w:tcBorders>
            <w:vAlign w:val="center"/>
          </w:tcPr>
          <w:p w14:paraId="21661A31" w14:textId="77777777" w:rsidR="009D12AF" w:rsidRDefault="00000000">
            <w:pPr>
              <w:pStyle w:val="15"/>
              <w:ind w:firstLineChars="0" w:firstLine="0"/>
              <w:rPr>
                <w:sz w:val="21"/>
                <w:szCs w:val="21"/>
              </w:rPr>
            </w:pPr>
            <w:r>
              <w:rPr>
                <w:rFonts w:hint="eastAsia"/>
                <w:sz w:val="21"/>
                <w:szCs w:val="21"/>
              </w:rPr>
              <w:t>山杨林群系</w:t>
            </w:r>
          </w:p>
        </w:tc>
        <w:tc>
          <w:tcPr>
            <w:tcW w:w="695" w:type="pct"/>
            <w:tcBorders>
              <w:tl2br w:val="nil"/>
              <w:tr2bl w:val="nil"/>
            </w:tcBorders>
            <w:vAlign w:val="center"/>
          </w:tcPr>
          <w:p w14:paraId="6507A091" w14:textId="77777777" w:rsidR="009D12AF" w:rsidRDefault="00000000">
            <w:pPr>
              <w:pStyle w:val="15"/>
              <w:ind w:firstLineChars="0" w:firstLine="0"/>
              <w:rPr>
                <w:sz w:val="21"/>
                <w:szCs w:val="21"/>
              </w:rPr>
            </w:pPr>
            <w:r>
              <w:rPr>
                <w:sz w:val="21"/>
                <w:szCs w:val="21"/>
              </w:rPr>
              <w:t>样方面积</w:t>
            </w:r>
          </w:p>
        </w:tc>
        <w:tc>
          <w:tcPr>
            <w:tcW w:w="721" w:type="pct"/>
            <w:gridSpan w:val="2"/>
            <w:tcBorders>
              <w:tl2br w:val="nil"/>
              <w:tr2bl w:val="nil"/>
            </w:tcBorders>
            <w:vAlign w:val="center"/>
          </w:tcPr>
          <w:p w14:paraId="70A7C18D" w14:textId="77777777" w:rsidR="009D12AF" w:rsidRDefault="00000000">
            <w:pPr>
              <w:pStyle w:val="15"/>
              <w:ind w:firstLineChars="0" w:firstLine="0"/>
              <w:rPr>
                <w:sz w:val="21"/>
                <w:szCs w:val="21"/>
              </w:rPr>
            </w:pPr>
            <w:r>
              <w:rPr>
                <w:sz w:val="21"/>
                <w:szCs w:val="21"/>
              </w:rPr>
              <w:t>20m×20m</w:t>
            </w:r>
          </w:p>
        </w:tc>
      </w:tr>
      <w:tr w:rsidR="009D12AF" w14:paraId="12D9D438" w14:textId="77777777">
        <w:trPr>
          <w:trHeight w:val="405"/>
          <w:jc w:val="center"/>
        </w:trPr>
        <w:tc>
          <w:tcPr>
            <w:tcW w:w="683" w:type="pct"/>
            <w:tcBorders>
              <w:tl2br w:val="nil"/>
              <w:tr2bl w:val="nil"/>
            </w:tcBorders>
            <w:vAlign w:val="center"/>
          </w:tcPr>
          <w:p w14:paraId="501EB57D" w14:textId="77777777" w:rsidR="009D12AF" w:rsidRDefault="00000000">
            <w:pPr>
              <w:pStyle w:val="15"/>
              <w:ind w:firstLineChars="0" w:firstLine="0"/>
              <w:rPr>
                <w:sz w:val="21"/>
                <w:szCs w:val="21"/>
              </w:rPr>
            </w:pPr>
            <w:r>
              <w:rPr>
                <w:sz w:val="21"/>
                <w:szCs w:val="21"/>
              </w:rPr>
              <w:t>生境条件</w:t>
            </w:r>
          </w:p>
        </w:tc>
        <w:tc>
          <w:tcPr>
            <w:tcW w:w="2901" w:type="pct"/>
            <w:gridSpan w:val="5"/>
            <w:tcBorders>
              <w:tl2br w:val="nil"/>
              <w:tr2bl w:val="nil"/>
            </w:tcBorders>
            <w:vAlign w:val="center"/>
          </w:tcPr>
          <w:p w14:paraId="45256589" w14:textId="77777777" w:rsidR="009D12AF" w:rsidRDefault="00000000">
            <w:pPr>
              <w:pStyle w:val="15"/>
              <w:ind w:firstLineChars="0" w:firstLine="0"/>
              <w:rPr>
                <w:sz w:val="21"/>
                <w:szCs w:val="21"/>
              </w:rPr>
            </w:pPr>
            <w:r>
              <w:rPr>
                <w:sz w:val="21"/>
                <w:szCs w:val="21"/>
                <w:shd w:val="clear" w:color="auto" w:fill="FFFFFF"/>
              </w:rPr>
              <w:t>生长于山坡、山脊和</w:t>
            </w:r>
            <w:hyperlink r:id="rId147" w:history="1">
              <w:r>
                <w:rPr>
                  <w:sz w:val="21"/>
                  <w:szCs w:val="21"/>
                  <w:shd w:val="clear" w:color="auto" w:fill="FFFFFF"/>
                </w:rPr>
                <w:t>沟谷</w:t>
              </w:r>
            </w:hyperlink>
            <w:r>
              <w:rPr>
                <w:sz w:val="21"/>
                <w:szCs w:val="21"/>
                <w:shd w:val="clear" w:color="auto" w:fill="FFFFFF"/>
              </w:rPr>
              <w:t>地带</w:t>
            </w:r>
          </w:p>
        </w:tc>
        <w:tc>
          <w:tcPr>
            <w:tcW w:w="695" w:type="pct"/>
            <w:tcBorders>
              <w:tl2br w:val="nil"/>
              <w:tr2bl w:val="nil"/>
            </w:tcBorders>
            <w:vAlign w:val="center"/>
          </w:tcPr>
          <w:p w14:paraId="46B50C8A" w14:textId="77777777" w:rsidR="009D12AF" w:rsidRDefault="00000000">
            <w:pPr>
              <w:pStyle w:val="15"/>
              <w:ind w:firstLineChars="0" w:firstLine="0"/>
              <w:rPr>
                <w:sz w:val="21"/>
                <w:szCs w:val="21"/>
              </w:rPr>
            </w:pPr>
            <w:r>
              <w:rPr>
                <w:sz w:val="21"/>
                <w:szCs w:val="21"/>
              </w:rPr>
              <w:t>生态习性</w:t>
            </w:r>
          </w:p>
        </w:tc>
        <w:tc>
          <w:tcPr>
            <w:tcW w:w="721" w:type="pct"/>
            <w:gridSpan w:val="2"/>
            <w:tcBorders>
              <w:tl2br w:val="nil"/>
              <w:tr2bl w:val="nil"/>
            </w:tcBorders>
            <w:vAlign w:val="center"/>
          </w:tcPr>
          <w:p w14:paraId="2AAEE6D2" w14:textId="77777777" w:rsidR="009D12AF" w:rsidRDefault="00000000">
            <w:pPr>
              <w:pStyle w:val="15"/>
              <w:ind w:firstLineChars="0" w:firstLine="0"/>
              <w:rPr>
                <w:sz w:val="21"/>
                <w:szCs w:val="21"/>
              </w:rPr>
            </w:pPr>
            <w:r>
              <w:rPr>
                <w:sz w:val="21"/>
                <w:szCs w:val="21"/>
              </w:rPr>
              <w:t>山地次生林</w:t>
            </w:r>
          </w:p>
        </w:tc>
      </w:tr>
      <w:tr w:rsidR="009D12AF" w14:paraId="3C1BCCF8" w14:textId="77777777">
        <w:trPr>
          <w:trHeight w:val="406"/>
          <w:jc w:val="center"/>
        </w:trPr>
        <w:tc>
          <w:tcPr>
            <w:tcW w:w="683" w:type="pct"/>
            <w:vMerge w:val="restart"/>
            <w:tcBorders>
              <w:tl2br w:val="nil"/>
              <w:tr2bl w:val="nil"/>
            </w:tcBorders>
            <w:vAlign w:val="center"/>
          </w:tcPr>
          <w:p w14:paraId="49AF1839" w14:textId="77777777" w:rsidR="009D12AF" w:rsidRDefault="00000000">
            <w:pPr>
              <w:pStyle w:val="15"/>
              <w:ind w:firstLineChars="0" w:firstLine="0"/>
              <w:rPr>
                <w:sz w:val="21"/>
                <w:szCs w:val="21"/>
              </w:rPr>
            </w:pPr>
            <w:r>
              <w:rPr>
                <w:sz w:val="21"/>
                <w:szCs w:val="21"/>
              </w:rPr>
              <w:t>植物组成</w:t>
            </w:r>
          </w:p>
        </w:tc>
        <w:tc>
          <w:tcPr>
            <w:tcW w:w="854" w:type="pct"/>
            <w:tcBorders>
              <w:tl2br w:val="nil"/>
              <w:tr2bl w:val="nil"/>
            </w:tcBorders>
            <w:vAlign w:val="center"/>
          </w:tcPr>
          <w:p w14:paraId="5D411F2B" w14:textId="77777777" w:rsidR="009D12AF" w:rsidRDefault="00000000">
            <w:pPr>
              <w:pStyle w:val="15"/>
              <w:ind w:firstLineChars="0" w:firstLine="0"/>
              <w:rPr>
                <w:sz w:val="21"/>
                <w:szCs w:val="21"/>
              </w:rPr>
            </w:pPr>
            <w:r>
              <w:rPr>
                <w:sz w:val="21"/>
                <w:szCs w:val="21"/>
              </w:rPr>
              <w:t>乔木树种组成</w:t>
            </w:r>
          </w:p>
        </w:tc>
        <w:tc>
          <w:tcPr>
            <w:tcW w:w="3463" w:type="pct"/>
            <w:gridSpan w:val="7"/>
            <w:tcBorders>
              <w:tl2br w:val="nil"/>
              <w:tr2bl w:val="nil"/>
            </w:tcBorders>
            <w:vAlign w:val="center"/>
          </w:tcPr>
          <w:p w14:paraId="26559402" w14:textId="77777777" w:rsidR="009D12AF" w:rsidRDefault="00000000">
            <w:pPr>
              <w:pStyle w:val="15"/>
              <w:ind w:firstLineChars="0" w:firstLine="0"/>
              <w:rPr>
                <w:sz w:val="21"/>
                <w:szCs w:val="21"/>
              </w:rPr>
            </w:pPr>
            <w:r>
              <w:rPr>
                <w:sz w:val="21"/>
                <w:szCs w:val="21"/>
              </w:rPr>
              <w:t>山杨、蒙古栎、白桦、山槐和枫桦等</w:t>
            </w:r>
          </w:p>
        </w:tc>
      </w:tr>
      <w:tr w:rsidR="009D12AF" w14:paraId="66F2D752" w14:textId="77777777">
        <w:trPr>
          <w:trHeight w:val="405"/>
          <w:jc w:val="center"/>
        </w:trPr>
        <w:tc>
          <w:tcPr>
            <w:tcW w:w="683" w:type="pct"/>
            <w:vMerge/>
            <w:tcBorders>
              <w:tl2br w:val="nil"/>
              <w:tr2bl w:val="nil"/>
            </w:tcBorders>
            <w:vAlign w:val="center"/>
          </w:tcPr>
          <w:p w14:paraId="1193216F" w14:textId="77777777" w:rsidR="009D12AF" w:rsidRDefault="009D12AF">
            <w:pPr>
              <w:pStyle w:val="15"/>
              <w:ind w:firstLineChars="0" w:firstLine="0"/>
              <w:rPr>
                <w:sz w:val="21"/>
                <w:szCs w:val="21"/>
              </w:rPr>
            </w:pPr>
          </w:p>
        </w:tc>
        <w:tc>
          <w:tcPr>
            <w:tcW w:w="854" w:type="pct"/>
            <w:tcBorders>
              <w:tl2br w:val="nil"/>
              <w:tr2bl w:val="nil"/>
            </w:tcBorders>
            <w:vAlign w:val="center"/>
          </w:tcPr>
          <w:p w14:paraId="547662E9" w14:textId="77777777" w:rsidR="009D12AF" w:rsidRDefault="00000000">
            <w:pPr>
              <w:pStyle w:val="15"/>
              <w:ind w:firstLineChars="0" w:firstLine="0"/>
              <w:rPr>
                <w:sz w:val="21"/>
                <w:szCs w:val="21"/>
              </w:rPr>
            </w:pPr>
            <w:r>
              <w:rPr>
                <w:sz w:val="21"/>
                <w:szCs w:val="21"/>
              </w:rPr>
              <w:t>灌木树种组成</w:t>
            </w:r>
          </w:p>
        </w:tc>
        <w:tc>
          <w:tcPr>
            <w:tcW w:w="3463" w:type="pct"/>
            <w:gridSpan w:val="7"/>
            <w:tcBorders>
              <w:tl2br w:val="nil"/>
              <w:tr2bl w:val="nil"/>
            </w:tcBorders>
            <w:vAlign w:val="center"/>
          </w:tcPr>
          <w:p w14:paraId="5CBD5857" w14:textId="77777777" w:rsidR="009D12AF" w:rsidRDefault="00000000">
            <w:pPr>
              <w:pStyle w:val="15"/>
              <w:ind w:firstLineChars="0" w:firstLine="0"/>
              <w:rPr>
                <w:sz w:val="21"/>
                <w:szCs w:val="21"/>
              </w:rPr>
            </w:pPr>
            <w:r>
              <w:rPr>
                <w:sz w:val="21"/>
                <w:szCs w:val="21"/>
              </w:rPr>
              <w:t>主要有毛榛、胡枝子等。</w:t>
            </w:r>
          </w:p>
        </w:tc>
      </w:tr>
      <w:tr w:rsidR="009D12AF" w14:paraId="4D960F79" w14:textId="77777777">
        <w:trPr>
          <w:trHeight w:val="90"/>
          <w:jc w:val="center"/>
        </w:trPr>
        <w:tc>
          <w:tcPr>
            <w:tcW w:w="683" w:type="pct"/>
            <w:vMerge/>
            <w:tcBorders>
              <w:tl2br w:val="nil"/>
              <w:tr2bl w:val="nil"/>
            </w:tcBorders>
            <w:vAlign w:val="center"/>
          </w:tcPr>
          <w:p w14:paraId="0D3B5D34" w14:textId="77777777" w:rsidR="009D12AF" w:rsidRDefault="009D12AF">
            <w:pPr>
              <w:pStyle w:val="15"/>
              <w:ind w:firstLineChars="0" w:firstLine="0"/>
              <w:rPr>
                <w:sz w:val="21"/>
                <w:szCs w:val="21"/>
                <w:lang w:eastAsia="en-US"/>
              </w:rPr>
            </w:pPr>
          </w:p>
        </w:tc>
        <w:tc>
          <w:tcPr>
            <w:tcW w:w="854" w:type="pct"/>
            <w:tcBorders>
              <w:tl2br w:val="nil"/>
              <w:tr2bl w:val="nil"/>
            </w:tcBorders>
            <w:vAlign w:val="center"/>
          </w:tcPr>
          <w:p w14:paraId="39734365" w14:textId="77777777" w:rsidR="009D12AF" w:rsidRDefault="00000000">
            <w:pPr>
              <w:pStyle w:val="15"/>
              <w:ind w:firstLineChars="0" w:firstLine="0"/>
              <w:rPr>
                <w:sz w:val="21"/>
                <w:szCs w:val="21"/>
              </w:rPr>
            </w:pPr>
            <w:r>
              <w:rPr>
                <w:sz w:val="21"/>
                <w:szCs w:val="21"/>
              </w:rPr>
              <w:t>草本植物组成</w:t>
            </w:r>
          </w:p>
        </w:tc>
        <w:tc>
          <w:tcPr>
            <w:tcW w:w="3463" w:type="pct"/>
            <w:gridSpan w:val="7"/>
            <w:tcBorders>
              <w:tl2br w:val="nil"/>
              <w:tr2bl w:val="nil"/>
            </w:tcBorders>
            <w:vAlign w:val="center"/>
          </w:tcPr>
          <w:p w14:paraId="15ED59AD" w14:textId="77777777" w:rsidR="009D12AF" w:rsidRDefault="00000000">
            <w:pPr>
              <w:pStyle w:val="15"/>
              <w:ind w:firstLineChars="0" w:firstLine="0"/>
              <w:rPr>
                <w:sz w:val="21"/>
                <w:szCs w:val="21"/>
              </w:rPr>
            </w:pPr>
            <w:r>
              <w:rPr>
                <w:sz w:val="21"/>
                <w:szCs w:val="21"/>
              </w:rPr>
              <w:t>针叶薹草、</w:t>
            </w:r>
            <w:r>
              <w:rPr>
                <w:rFonts w:hint="eastAsia"/>
                <w:sz w:val="21"/>
                <w:szCs w:val="21"/>
              </w:rPr>
              <w:t>蚊子草</w:t>
            </w:r>
            <w:r>
              <w:rPr>
                <w:sz w:val="21"/>
                <w:szCs w:val="21"/>
              </w:rPr>
              <w:t>、铃兰、蕨、舞鹤草、凸脉薹草等</w:t>
            </w:r>
          </w:p>
        </w:tc>
      </w:tr>
      <w:tr w:rsidR="009D12AF" w14:paraId="4A1CF894" w14:textId="77777777">
        <w:trPr>
          <w:trHeight w:val="481"/>
          <w:jc w:val="center"/>
        </w:trPr>
        <w:tc>
          <w:tcPr>
            <w:tcW w:w="683" w:type="pct"/>
            <w:tcBorders>
              <w:tl2br w:val="nil"/>
              <w:tr2bl w:val="nil"/>
            </w:tcBorders>
            <w:vAlign w:val="center"/>
          </w:tcPr>
          <w:p w14:paraId="10DC75B1" w14:textId="77777777" w:rsidR="009D12AF" w:rsidRDefault="00000000">
            <w:pPr>
              <w:pStyle w:val="15"/>
              <w:ind w:firstLineChars="0" w:firstLine="0"/>
              <w:rPr>
                <w:sz w:val="21"/>
                <w:szCs w:val="21"/>
              </w:rPr>
            </w:pPr>
            <w:r>
              <w:rPr>
                <w:sz w:val="21"/>
                <w:szCs w:val="21"/>
              </w:rPr>
              <w:t>乔木郁闭度</w:t>
            </w:r>
          </w:p>
        </w:tc>
        <w:tc>
          <w:tcPr>
            <w:tcW w:w="854" w:type="pct"/>
            <w:tcBorders>
              <w:tl2br w:val="nil"/>
              <w:tr2bl w:val="nil"/>
            </w:tcBorders>
            <w:vAlign w:val="center"/>
          </w:tcPr>
          <w:p w14:paraId="749BCDE1" w14:textId="77777777" w:rsidR="009D12AF" w:rsidRDefault="00000000">
            <w:pPr>
              <w:pStyle w:val="15"/>
              <w:ind w:firstLineChars="0" w:firstLine="0"/>
              <w:rPr>
                <w:sz w:val="21"/>
                <w:szCs w:val="21"/>
              </w:rPr>
            </w:pPr>
            <w:r>
              <w:rPr>
                <w:rFonts w:hint="eastAsia"/>
                <w:sz w:val="21"/>
                <w:szCs w:val="21"/>
              </w:rPr>
              <w:t>70</w:t>
            </w:r>
            <w:r>
              <w:rPr>
                <w:sz w:val="21"/>
                <w:szCs w:val="21"/>
              </w:rPr>
              <w:t>％</w:t>
            </w:r>
          </w:p>
        </w:tc>
        <w:tc>
          <w:tcPr>
            <w:tcW w:w="812" w:type="pct"/>
            <w:gridSpan w:val="2"/>
            <w:tcBorders>
              <w:tl2br w:val="nil"/>
              <w:tr2bl w:val="nil"/>
            </w:tcBorders>
            <w:vAlign w:val="center"/>
          </w:tcPr>
          <w:p w14:paraId="183634FD" w14:textId="77777777" w:rsidR="009D12AF" w:rsidRDefault="00000000">
            <w:pPr>
              <w:pStyle w:val="15"/>
              <w:ind w:firstLineChars="0" w:firstLine="0"/>
              <w:rPr>
                <w:sz w:val="21"/>
                <w:szCs w:val="21"/>
              </w:rPr>
            </w:pPr>
            <w:r>
              <w:rPr>
                <w:sz w:val="21"/>
                <w:szCs w:val="21"/>
              </w:rPr>
              <w:t>灌木盖度</w:t>
            </w:r>
          </w:p>
        </w:tc>
        <w:tc>
          <w:tcPr>
            <w:tcW w:w="1235" w:type="pct"/>
            <w:gridSpan w:val="2"/>
            <w:tcBorders>
              <w:tl2br w:val="nil"/>
              <w:tr2bl w:val="nil"/>
            </w:tcBorders>
            <w:vAlign w:val="center"/>
          </w:tcPr>
          <w:p w14:paraId="729B9850" w14:textId="77777777" w:rsidR="009D12AF" w:rsidRDefault="00000000">
            <w:pPr>
              <w:pStyle w:val="15"/>
              <w:ind w:firstLineChars="0" w:firstLine="0"/>
              <w:rPr>
                <w:sz w:val="21"/>
                <w:szCs w:val="21"/>
              </w:rPr>
            </w:pPr>
            <w:r>
              <w:rPr>
                <w:rFonts w:hint="eastAsia"/>
                <w:sz w:val="21"/>
                <w:szCs w:val="21"/>
              </w:rPr>
              <w:t>30</w:t>
            </w:r>
            <w:r>
              <w:rPr>
                <w:sz w:val="21"/>
                <w:szCs w:val="21"/>
              </w:rPr>
              <w:t>%</w:t>
            </w:r>
          </w:p>
        </w:tc>
        <w:tc>
          <w:tcPr>
            <w:tcW w:w="853" w:type="pct"/>
            <w:gridSpan w:val="2"/>
            <w:tcBorders>
              <w:tl2br w:val="nil"/>
              <w:tr2bl w:val="nil"/>
            </w:tcBorders>
            <w:vAlign w:val="center"/>
          </w:tcPr>
          <w:p w14:paraId="562F1D10" w14:textId="77777777" w:rsidR="009D12AF" w:rsidRDefault="00000000">
            <w:pPr>
              <w:pStyle w:val="15"/>
              <w:ind w:firstLineChars="0" w:firstLine="0"/>
              <w:rPr>
                <w:sz w:val="21"/>
                <w:szCs w:val="21"/>
              </w:rPr>
            </w:pPr>
            <w:r>
              <w:rPr>
                <w:sz w:val="21"/>
                <w:szCs w:val="21"/>
              </w:rPr>
              <w:t>草本植物盖度</w:t>
            </w:r>
          </w:p>
        </w:tc>
        <w:tc>
          <w:tcPr>
            <w:tcW w:w="563" w:type="pct"/>
            <w:tcBorders>
              <w:tl2br w:val="nil"/>
              <w:tr2bl w:val="nil"/>
            </w:tcBorders>
            <w:vAlign w:val="center"/>
          </w:tcPr>
          <w:p w14:paraId="687ACD25" w14:textId="77777777" w:rsidR="009D12AF" w:rsidRDefault="00000000">
            <w:pPr>
              <w:pStyle w:val="15"/>
              <w:ind w:firstLineChars="0" w:firstLine="0"/>
              <w:rPr>
                <w:sz w:val="21"/>
                <w:szCs w:val="21"/>
              </w:rPr>
            </w:pPr>
            <w:r>
              <w:rPr>
                <w:rFonts w:hint="eastAsia"/>
                <w:sz w:val="21"/>
                <w:szCs w:val="21"/>
              </w:rPr>
              <w:t>40</w:t>
            </w:r>
            <w:r>
              <w:rPr>
                <w:sz w:val="21"/>
                <w:szCs w:val="21"/>
              </w:rPr>
              <w:t>%</w:t>
            </w:r>
          </w:p>
        </w:tc>
      </w:tr>
      <w:tr w:rsidR="009D12AF" w14:paraId="715FCA2D" w14:textId="77777777">
        <w:trPr>
          <w:trHeight w:val="426"/>
          <w:jc w:val="center"/>
        </w:trPr>
        <w:tc>
          <w:tcPr>
            <w:tcW w:w="683" w:type="pct"/>
            <w:tcBorders>
              <w:tl2br w:val="nil"/>
              <w:tr2bl w:val="nil"/>
            </w:tcBorders>
            <w:vAlign w:val="center"/>
          </w:tcPr>
          <w:p w14:paraId="5479346F" w14:textId="77777777" w:rsidR="009D12AF" w:rsidRDefault="00000000">
            <w:pPr>
              <w:pStyle w:val="15"/>
              <w:ind w:firstLineChars="0" w:firstLine="0"/>
              <w:rPr>
                <w:sz w:val="21"/>
                <w:szCs w:val="21"/>
              </w:rPr>
            </w:pPr>
            <w:r>
              <w:rPr>
                <w:sz w:val="21"/>
                <w:szCs w:val="21"/>
              </w:rPr>
              <w:t>分布方式</w:t>
            </w:r>
          </w:p>
        </w:tc>
        <w:tc>
          <w:tcPr>
            <w:tcW w:w="4317" w:type="pct"/>
            <w:gridSpan w:val="8"/>
            <w:tcBorders>
              <w:tl2br w:val="nil"/>
              <w:tr2bl w:val="nil"/>
            </w:tcBorders>
            <w:vAlign w:val="center"/>
          </w:tcPr>
          <w:p w14:paraId="48DD6B07" w14:textId="77777777" w:rsidR="009D12AF" w:rsidRDefault="00000000">
            <w:pPr>
              <w:pStyle w:val="15"/>
              <w:ind w:firstLineChars="0" w:firstLine="0"/>
              <w:rPr>
                <w:sz w:val="21"/>
                <w:szCs w:val="21"/>
              </w:rPr>
            </w:pPr>
            <w:r>
              <w:rPr>
                <w:sz w:val="21"/>
                <w:szCs w:val="21"/>
              </w:rPr>
              <w:t>阳坡或半阳坡缓斜面上，海拔</w:t>
            </w:r>
            <w:r>
              <w:rPr>
                <w:sz w:val="21"/>
                <w:szCs w:val="21"/>
              </w:rPr>
              <w:t>400m</w:t>
            </w:r>
            <w:r>
              <w:rPr>
                <w:sz w:val="21"/>
                <w:szCs w:val="21"/>
              </w:rPr>
              <w:t>或以下</w:t>
            </w:r>
          </w:p>
        </w:tc>
      </w:tr>
      <w:tr w:rsidR="009D12AF" w14:paraId="7A20733B" w14:textId="77777777">
        <w:trPr>
          <w:trHeight w:val="406"/>
          <w:jc w:val="center"/>
        </w:trPr>
        <w:tc>
          <w:tcPr>
            <w:tcW w:w="683" w:type="pct"/>
            <w:tcBorders>
              <w:tl2br w:val="nil"/>
              <w:tr2bl w:val="nil"/>
            </w:tcBorders>
            <w:vAlign w:val="center"/>
          </w:tcPr>
          <w:p w14:paraId="02DC0A00" w14:textId="77777777" w:rsidR="009D12AF" w:rsidRDefault="00000000">
            <w:pPr>
              <w:pStyle w:val="15"/>
              <w:ind w:firstLineChars="0" w:firstLine="0"/>
              <w:rPr>
                <w:sz w:val="21"/>
                <w:szCs w:val="21"/>
              </w:rPr>
            </w:pPr>
            <w:r>
              <w:rPr>
                <w:sz w:val="21"/>
                <w:szCs w:val="21"/>
              </w:rPr>
              <w:t>备注</w:t>
            </w:r>
          </w:p>
        </w:tc>
        <w:tc>
          <w:tcPr>
            <w:tcW w:w="4317" w:type="pct"/>
            <w:gridSpan w:val="8"/>
            <w:tcBorders>
              <w:tl2br w:val="nil"/>
              <w:tr2bl w:val="nil"/>
            </w:tcBorders>
            <w:vAlign w:val="center"/>
          </w:tcPr>
          <w:p w14:paraId="4E7859F9" w14:textId="77777777" w:rsidR="009D12AF" w:rsidRDefault="00000000">
            <w:pPr>
              <w:pStyle w:val="15"/>
              <w:ind w:firstLineChars="0" w:firstLine="0"/>
              <w:rPr>
                <w:sz w:val="21"/>
                <w:szCs w:val="21"/>
              </w:rPr>
            </w:pPr>
            <w:r>
              <w:rPr>
                <w:sz w:val="21"/>
                <w:szCs w:val="21"/>
              </w:rPr>
              <w:t>土壤为暗棕壤</w:t>
            </w:r>
          </w:p>
        </w:tc>
      </w:tr>
      <w:tr w:rsidR="009D12AF" w14:paraId="60F08B96" w14:textId="77777777">
        <w:trPr>
          <w:trHeight w:val="2933"/>
          <w:jc w:val="center"/>
        </w:trPr>
        <w:tc>
          <w:tcPr>
            <w:tcW w:w="1627" w:type="pct"/>
            <w:gridSpan w:val="3"/>
            <w:tcBorders>
              <w:tl2br w:val="nil"/>
              <w:tr2bl w:val="nil"/>
            </w:tcBorders>
            <w:vAlign w:val="center"/>
          </w:tcPr>
          <w:p w14:paraId="49F1A41B" w14:textId="77777777" w:rsidR="009D12AF" w:rsidRDefault="00000000">
            <w:pPr>
              <w:pStyle w:val="15"/>
              <w:ind w:firstLineChars="0" w:firstLine="0"/>
              <w:rPr>
                <w:sz w:val="21"/>
                <w:szCs w:val="21"/>
              </w:rPr>
            </w:pPr>
            <w:r>
              <w:rPr>
                <w:bCs/>
                <w:noProof/>
                <w:spacing w:val="6"/>
                <w:sz w:val="21"/>
                <w:szCs w:val="21"/>
              </w:rPr>
              <w:lastRenderedPageBreak/>
              <w:drawing>
                <wp:inline distT="0" distB="0" distL="0" distR="0" wp14:anchorId="4B79042B" wp14:editId="7EA1F1A4">
                  <wp:extent cx="1918970" cy="1439545"/>
                  <wp:effectExtent l="0" t="0" r="5080" b="825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48" cstate="screen">
                            <a:extLst>
                              <a:ext uri="{28A0092B-C50C-407E-A947-70E740481C1C}">
                                <a14:useLocalDpi xmlns:a14="http://schemas.microsoft.com/office/drawing/2010/main"/>
                              </a:ext>
                            </a:extLst>
                          </a:blip>
                          <a:stretch>
                            <a:fillRect/>
                          </a:stretch>
                        </pic:blipFill>
                        <pic:spPr>
                          <a:xfrm>
                            <a:off x="0" y="0"/>
                            <a:ext cx="1918970" cy="1439545"/>
                          </a:xfrm>
                          <a:prstGeom prst="rect">
                            <a:avLst/>
                          </a:prstGeom>
                        </pic:spPr>
                      </pic:pic>
                    </a:graphicData>
                  </a:graphic>
                </wp:inline>
              </w:drawing>
            </w:r>
          </w:p>
        </w:tc>
        <w:tc>
          <w:tcPr>
            <w:tcW w:w="1701" w:type="pct"/>
            <w:gridSpan w:val="2"/>
            <w:tcBorders>
              <w:tl2br w:val="nil"/>
              <w:tr2bl w:val="nil"/>
            </w:tcBorders>
            <w:vAlign w:val="center"/>
          </w:tcPr>
          <w:p w14:paraId="56317B72" w14:textId="77777777" w:rsidR="009D12AF" w:rsidRDefault="00000000">
            <w:pPr>
              <w:pStyle w:val="15"/>
              <w:ind w:firstLineChars="0" w:firstLine="0"/>
              <w:rPr>
                <w:sz w:val="21"/>
                <w:szCs w:val="21"/>
              </w:rPr>
            </w:pPr>
            <w:r>
              <w:rPr>
                <w:bCs/>
                <w:noProof/>
                <w:spacing w:val="6"/>
                <w:sz w:val="21"/>
                <w:szCs w:val="21"/>
              </w:rPr>
              <w:drawing>
                <wp:inline distT="0" distB="0" distL="0" distR="0" wp14:anchorId="62831753" wp14:editId="419B51E7">
                  <wp:extent cx="1918970" cy="1439545"/>
                  <wp:effectExtent l="0" t="0" r="5080" b="825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49" cstate="screen">
                            <a:extLst>
                              <a:ext uri="{28A0092B-C50C-407E-A947-70E740481C1C}">
                                <a14:useLocalDpi xmlns:a14="http://schemas.microsoft.com/office/drawing/2010/main"/>
                              </a:ext>
                            </a:extLst>
                          </a:blip>
                          <a:stretch>
                            <a:fillRect/>
                          </a:stretch>
                        </pic:blipFill>
                        <pic:spPr>
                          <a:xfrm>
                            <a:off x="0" y="0"/>
                            <a:ext cx="1918970" cy="1439545"/>
                          </a:xfrm>
                          <a:prstGeom prst="rect">
                            <a:avLst/>
                          </a:prstGeom>
                        </pic:spPr>
                      </pic:pic>
                    </a:graphicData>
                  </a:graphic>
                </wp:inline>
              </w:drawing>
            </w:r>
          </w:p>
        </w:tc>
        <w:tc>
          <w:tcPr>
            <w:tcW w:w="1672" w:type="pct"/>
            <w:gridSpan w:val="4"/>
            <w:tcBorders>
              <w:tl2br w:val="nil"/>
              <w:tr2bl w:val="nil"/>
            </w:tcBorders>
            <w:vAlign w:val="center"/>
          </w:tcPr>
          <w:p w14:paraId="4359A3DF" w14:textId="77777777" w:rsidR="009D12AF" w:rsidRDefault="00000000">
            <w:pPr>
              <w:pStyle w:val="15"/>
              <w:ind w:firstLineChars="0" w:firstLine="0"/>
              <w:rPr>
                <w:sz w:val="21"/>
                <w:szCs w:val="21"/>
              </w:rPr>
            </w:pPr>
            <w:r>
              <w:rPr>
                <w:bCs/>
                <w:noProof/>
                <w:spacing w:val="6"/>
                <w:sz w:val="21"/>
                <w:szCs w:val="21"/>
              </w:rPr>
              <w:drawing>
                <wp:inline distT="0" distB="0" distL="0" distR="0" wp14:anchorId="009319C2" wp14:editId="33182DA1">
                  <wp:extent cx="1918970" cy="1439545"/>
                  <wp:effectExtent l="0" t="0" r="5080" b="825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50" cstate="screen">
                            <a:extLst>
                              <a:ext uri="{28A0092B-C50C-407E-A947-70E740481C1C}">
                                <a14:useLocalDpi xmlns:a14="http://schemas.microsoft.com/office/drawing/2010/main"/>
                              </a:ext>
                            </a:extLst>
                          </a:blip>
                          <a:stretch>
                            <a:fillRect/>
                          </a:stretch>
                        </pic:blipFill>
                        <pic:spPr>
                          <a:xfrm>
                            <a:off x="0" y="0"/>
                            <a:ext cx="1918970" cy="1439545"/>
                          </a:xfrm>
                          <a:prstGeom prst="rect">
                            <a:avLst/>
                          </a:prstGeom>
                        </pic:spPr>
                      </pic:pic>
                    </a:graphicData>
                  </a:graphic>
                </wp:inline>
              </w:drawing>
            </w:r>
          </w:p>
        </w:tc>
      </w:tr>
    </w:tbl>
    <w:p w14:paraId="0727D0B6" w14:textId="77777777" w:rsidR="009D12AF" w:rsidRDefault="00000000">
      <w:pPr>
        <w:pStyle w:val="afd"/>
      </w:pPr>
      <w:r>
        <w:rPr>
          <w:rFonts w:hint="eastAsia"/>
        </w:rPr>
        <w:t>（</w:t>
      </w:r>
      <w:r>
        <w:rPr>
          <w:rFonts w:hint="eastAsia"/>
        </w:rPr>
        <w:t>5</w:t>
      </w:r>
      <w:r>
        <w:rPr>
          <w:rFonts w:hint="eastAsia"/>
        </w:rPr>
        <w:t>）杂类草草甸</w:t>
      </w:r>
    </w:p>
    <w:p w14:paraId="1D7E9A14" w14:textId="77777777" w:rsidR="009D12AF" w:rsidRDefault="00000000">
      <w:pPr>
        <w:ind w:firstLine="480"/>
      </w:pPr>
      <w:r>
        <w:rPr>
          <w:rFonts w:hint="eastAsia"/>
        </w:rPr>
        <w:t>调查区草甸类型为杂类草草甸，群落组成较为复杂，以芦苇（</w:t>
      </w:r>
      <w:r>
        <w:rPr>
          <w:rFonts w:hint="eastAsia"/>
        </w:rPr>
        <w:t>Phragmites australis</w:t>
      </w:r>
      <w:r>
        <w:rPr>
          <w:rFonts w:hint="eastAsia"/>
        </w:rPr>
        <w:t>）、朝天委陵菜（</w:t>
      </w:r>
      <w:r>
        <w:rPr>
          <w:rFonts w:hint="eastAsia"/>
        </w:rPr>
        <w:t>Potentilla anserina</w:t>
      </w:r>
      <w:r>
        <w:rPr>
          <w:rFonts w:hint="eastAsia"/>
        </w:rPr>
        <w:t>）、蒌蒿（</w:t>
      </w:r>
      <w:r>
        <w:rPr>
          <w:rFonts w:hint="eastAsia"/>
        </w:rPr>
        <w:t>Artemisia selengensis</w:t>
      </w:r>
      <w:r>
        <w:rPr>
          <w:rFonts w:hint="eastAsia"/>
        </w:rPr>
        <w:t>）、野艾蒿（</w:t>
      </w:r>
      <w:r>
        <w:rPr>
          <w:rFonts w:hint="eastAsia"/>
        </w:rPr>
        <w:t>Artemisia lavandulaefolia</w:t>
      </w:r>
      <w:r>
        <w:rPr>
          <w:rFonts w:hint="eastAsia"/>
        </w:rPr>
        <w:t>）及蚊子草（</w:t>
      </w:r>
      <w:r>
        <w:rPr>
          <w:rFonts w:hint="eastAsia"/>
        </w:rPr>
        <w:t>Leersia hexandra</w:t>
      </w:r>
      <w:r>
        <w:rPr>
          <w:rFonts w:hint="eastAsia"/>
        </w:rPr>
        <w:t>）等为主要优势种。草本植物覆盖度较高，植被层结构单一，以多年生草本为主，平均植株高度约</w:t>
      </w:r>
      <w:r>
        <w:rPr>
          <w:rFonts w:hint="eastAsia"/>
        </w:rPr>
        <w:t>14cm</w:t>
      </w:r>
      <w:r>
        <w:rPr>
          <w:rFonts w:hint="eastAsia"/>
        </w:rPr>
        <w:t>。整体植被生长状况良好，群落分布均匀，体现出典型的湿生杂类草草甸特征。</w:t>
      </w:r>
    </w:p>
    <w:p w14:paraId="1CE9C171" w14:textId="77777777" w:rsidR="009D12AF" w:rsidRDefault="00000000">
      <w:pPr>
        <w:pStyle w:val="afd"/>
        <w:ind w:firstLine="482"/>
        <w:jc w:val="center"/>
      </w:pPr>
      <w:r>
        <w:rPr>
          <w:b/>
          <w:bCs w:val="0"/>
        </w:rPr>
        <w:t>表</w:t>
      </w:r>
      <w:r>
        <w:rPr>
          <w:b/>
          <w:bCs w:val="0"/>
        </w:rPr>
        <w:t xml:space="preserve"> </w:t>
      </w:r>
      <w:r>
        <w:rPr>
          <w:rFonts w:hint="eastAsia"/>
          <w:b/>
          <w:bCs w:val="0"/>
        </w:rPr>
        <w:t>4.3-48</w:t>
      </w:r>
      <w:r>
        <w:rPr>
          <w:rFonts w:hint="eastAsia"/>
          <w:b/>
          <w:bCs w:val="0"/>
        </w:rPr>
        <w:t>杂类草草甸群落特征</w:t>
      </w:r>
    </w:p>
    <w:tbl>
      <w:tblPr>
        <w:tblW w:w="5000" w:type="pct"/>
        <w:jc w:val="center"/>
        <w:tblBorders>
          <w:top w:val="single" w:sz="12" w:space="0" w:color="000000"/>
          <w:bottom w:val="single" w:sz="12" w:space="0" w:color="000000"/>
          <w:insideH w:val="single" w:sz="4" w:space="0" w:color="000000"/>
          <w:insideV w:val="single" w:sz="2" w:space="0" w:color="000000"/>
        </w:tblBorders>
        <w:tblLayout w:type="fixed"/>
        <w:tblCellMar>
          <w:left w:w="0" w:type="dxa"/>
          <w:right w:w="0" w:type="dxa"/>
        </w:tblCellMar>
        <w:tblLook w:val="04A0" w:firstRow="1" w:lastRow="0" w:firstColumn="1" w:lastColumn="0" w:noHBand="0" w:noVBand="1"/>
      </w:tblPr>
      <w:tblGrid>
        <w:gridCol w:w="1134"/>
        <w:gridCol w:w="1419"/>
        <w:gridCol w:w="150"/>
        <w:gridCol w:w="1199"/>
        <w:gridCol w:w="1626"/>
        <w:gridCol w:w="425"/>
        <w:gridCol w:w="1155"/>
        <w:gridCol w:w="1198"/>
      </w:tblGrid>
      <w:tr w:rsidR="009D12AF" w14:paraId="3EC71A12" w14:textId="77777777">
        <w:trPr>
          <w:trHeight w:val="410"/>
          <w:jc w:val="center"/>
        </w:trPr>
        <w:tc>
          <w:tcPr>
            <w:tcW w:w="683" w:type="pct"/>
            <w:tcBorders>
              <w:tl2br w:val="nil"/>
              <w:tr2bl w:val="nil"/>
            </w:tcBorders>
            <w:vAlign w:val="center"/>
          </w:tcPr>
          <w:p w14:paraId="4EAECD2A" w14:textId="77777777" w:rsidR="009D12AF" w:rsidRDefault="00000000">
            <w:pPr>
              <w:pStyle w:val="15"/>
              <w:ind w:firstLineChars="0" w:firstLine="0"/>
              <w:rPr>
                <w:sz w:val="21"/>
                <w:szCs w:val="21"/>
              </w:rPr>
            </w:pPr>
            <w:r>
              <w:rPr>
                <w:sz w:val="21"/>
                <w:szCs w:val="21"/>
              </w:rPr>
              <w:t>植物群系</w:t>
            </w:r>
          </w:p>
        </w:tc>
        <w:tc>
          <w:tcPr>
            <w:tcW w:w="2901" w:type="pct"/>
            <w:gridSpan w:val="5"/>
            <w:tcBorders>
              <w:tl2br w:val="nil"/>
              <w:tr2bl w:val="nil"/>
            </w:tcBorders>
            <w:vAlign w:val="center"/>
          </w:tcPr>
          <w:p w14:paraId="2301982E" w14:textId="77777777" w:rsidR="009D12AF" w:rsidRDefault="00000000">
            <w:pPr>
              <w:pStyle w:val="15"/>
              <w:ind w:firstLineChars="0" w:firstLine="0"/>
              <w:rPr>
                <w:sz w:val="21"/>
                <w:szCs w:val="21"/>
              </w:rPr>
            </w:pPr>
            <w:r>
              <w:rPr>
                <w:rFonts w:hint="eastAsia"/>
                <w:sz w:val="21"/>
                <w:szCs w:val="21"/>
              </w:rPr>
              <w:t>杂类草草甸群系</w:t>
            </w:r>
          </w:p>
        </w:tc>
        <w:tc>
          <w:tcPr>
            <w:tcW w:w="695" w:type="pct"/>
            <w:tcBorders>
              <w:tl2br w:val="nil"/>
              <w:tr2bl w:val="nil"/>
            </w:tcBorders>
            <w:vAlign w:val="center"/>
          </w:tcPr>
          <w:p w14:paraId="0F37E0F9" w14:textId="77777777" w:rsidR="009D12AF" w:rsidRDefault="00000000">
            <w:pPr>
              <w:pStyle w:val="15"/>
              <w:ind w:firstLineChars="0" w:firstLine="0"/>
              <w:rPr>
                <w:sz w:val="21"/>
                <w:szCs w:val="21"/>
              </w:rPr>
            </w:pPr>
            <w:r>
              <w:rPr>
                <w:sz w:val="21"/>
                <w:szCs w:val="21"/>
              </w:rPr>
              <w:t>样方面积</w:t>
            </w:r>
          </w:p>
        </w:tc>
        <w:tc>
          <w:tcPr>
            <w:tcW w:w="721" w:type="pct"/>
            <w:tcBorders>
              <w:tl2br w:val="nil"/>
              <w:tr2bl w:val="nil"/>
            </w:tcBorders>
            <w:vAlign w:val="center"/>
          </w:tcPr>
          <w:p w14:paraId="6DBE7623" w14:textId="77777777" w:rsidR="009D12AF" w:rsidRDefault="00000000">
            <w:pPr>
              <w:pStyle w:val="15"/>
              <w:ind w:firstLineChars="0" w:firstLine="0"/>
              <w:rPr>
                <w:sz w:val="21"/>
                <w:szCs w:val="21"/>
              </w:rPr>
            </w:pPr>
            <w:r>
              <w:rPr>
                <w:rFonts w:hint="eastAsia"/>
                <w:sz w:val="21"/>
                <w:szCs w:val="21"/>
              </w:rPr>
              <w:t>1</w:t>
            </w:r>
            <w:r>
              <w:rPr>
                <w:sz w:val="21"/>
                <w:szCs w:val="21"/>
              </w:rPr>
              <w:t>m×</w:t>
            </w:r>
            <w:r>
              <w:rPr>
                <w:rFonts w:hint="eastAsia"/>
                <w:sz w:val="21"/>
                <w:szCs w:val="21"/>
              </w:rPr>
              <w:t>1</w:t>
            </w:r>
            <w:r>
              <w:rPr>
                <w:sz w:val="21"/>
                <w:szCs w:val="21"/>
              </w:rPr>
              <w:t>m</w:t>
            </w:r>
          </w:p>
        </w:tc>
      </w:tr>
      <w:tr w:rsidR="009D12AF" w14:paraId="4F1E175C" w14:textId="77777777">
        <w:trPr>
          <w:trHeight w:val="405"/>
          <w:jc w:val="center"/>
        </w:trPr>
        <w:tc>
          <w:tcPr>
            <w:tcW w:w="683" w:type="pct"/>
            <w:tcBorders>
              <w:tl2br w:val="nil"/>
              <w:tr2bl w:val="nil"/>
            </w:tcBorders>
            <w:vAlign w:val="center"/>
          </w:tcPr>
          <w:p w14:paraId="773FFA07" w14:textId="77777777" w:rsidR="009D12AF" w:rsidRDefault="00000000">
            <w:pPr>
              <w:pStyle w:val="15"/>
              <w:ind w:firstLineChars="0" w:firstLine="0"/>
              <w:rPr>
                <w:sz w:val="21"/>
                <w:szCs w:val="21"/>
              </w:rPr>
            </w:pPr>
            <w:r>
              <w:rPr>
                <w:sz w:val="21"/>
                <w:szCs w:val="21"/>
              </w:rPr>
              <w:t>生境条件</w:t>
            </w:r>
          </w:p>
        </w:tc>
        <w:tc>
          <w:tcPr>
            <w:tcW w:w="2901" w:type="pct"/>
            <w:gridSpan w:val="5"/>
            <w:tcBorders>
              <w:tl2br w:val="nil"/>
              <w:tr2bl w:val="nil"/>
            </w:tcBorders>
            <w:vAlign w:val="center"/>
          </w:tcPr>
          <w:p w14:paraId="6C67E869" w14:textId="77777777" w:rsidR="009D12AF" w:rsidRDefault="00000000">
            <w:pPr>
              <w:pStyle w:val="15"/>
              <w:ind w:firstLineChars="0" w:firstLine="0"/>
              <w:rPr>
                <w:sz w:val="21"/>
                <w:szCs w:val="21"/>
              </w:rPr>
            </w:pPr>
            <w:r>
              <w:rPr>
                <w:rFonts w:hint="eastAsia"/>
                <w:sz w:val="21"/>
                <w:szCs w:val="21"/>
              </w:rPr>
              <w:t>河流边缘或宽谷低洼</w:t>
            </w:r>
          </w:p>
        </w:tc>
        <w:tc>
          <w:tcPr>
            <w:tcW w:w="695" w:type="pct"/>
            <w:tcBorders>
              <w:tl2br w:val="nil"/>
              <w:tr2bl w:val="nil"/>
            </w:tcBorders>
            <w:vAlign w:val="center"/>
          </w:tcPr>
          <w:p w14:paraId="694BE660" w14:textId="77777777" w:rsidR="009D12AF" w:rsidRDefault="00000000">
            <w:pPr>
              <w:pStyle w:val="15"/>
              <w:ind w:firstLineChars="0" w:firstLine="0"/>
              <w:rPr>
                <w:sz w:val="21"/>
                <w:szCs w:val="21"/>
              </w:rPr>
            </w:pPr>
            <w:r>
              <w:rPr>
                <w:sz w:val="21"/>
                <w:szCs w:val="21"/>
              </w:rPr>
              <w:t>生态习性</w:t>
            </w:r>
          </w:p>
        </w:tc>
        <w:tc>
          <w:tcPr>
            <w:tcW w:w="721" w:type="pct"/>
            <w:tcBorders>
              <w:tl2br w:val="nil"/>
              <w:tr2bl w:val="nil"/>
            </w:tcBorders>
            <w:vAlign w:val="center"/>
          </w:tcPr>
          <w:p w14:paraId="1FD1CFD0" w14:textId="77777777" w:rsidR="009D12AF" w:rsidRDefault="00000000">
            <w:pPr>
              <w:pStyle w:val="15"/>
              <w:ind w:firstLineChars="0" w:firstLine="0"/>
              <w:rPr>
                <w:sz w:val="21"/>
                <w:szCs w:val="21"/>
              </w:rPr>
            </w:pPr>
            <w:r>
              <w:rPr>
                <w:sz w:val="21"/>
                <w:szCs w:val="21"/>
              </w:rPr>
              <w:t>山地次生林</w:t>
            </w:r>
          </w:p>
        </w:tc>
      </w:tr>
      <w:tr w:rsidR="009D12AF" w14:paraId="5DFECA0F" w14:textId="77777777">
        <w:trPr>
          <w:trHeight w:val="406"/>
          <w:jc w:val="center"/>
        </w:trPr>
        <w:tc>
          <w:tcPr>
            <w:tcW w:w="683" w:type="pct"/>
            <w:tcBorders>
              <w:tl2br w:val="nil"/>
              <w:tr2bl w:val="nil"/>
            </w:tcBorders>
            <w:vAlign w:val="center"/>
          </w:tcPr>
          <w:p w14:paraId="5072F21F" w14:textId="77777777" w:rsidR="009D12AF" w:rsidRDefault="00000000">
            <w:pPr>
              <w:pStyle w:val="15"/>
              <w:ind w:firstLineChars="0" w:firstLine="0"/>
              <w:rPr>
                <w:sz w:val="21"/>
                <w:szCs w:val="21"/>
              </w:rPr>
            </w:pPr>
            <w:r>
              <w:rPr>
                <w:sz w:val="21"/>
                <w:szCs w:val="21"/>
              </w:rPr>
              <w:t>植物组成</w:t>
            </w:r>
          </w:p>
        </w:tc>
        <w:tc>
          <w:tcPr>
            <w:tcW w:w="854" w:type="pct"/>
            <w:tcBorders>
              <w:tl2br w:val="nil"/>
              <w:tr2bl w:val="nil"/>
            </w:tcBorders>
            <w:vAlign w:val="center"/>
          </w:tcPr>
          <w:p w14:paraId="64BF76F6" w14:textId="77777777" w:rsidR="009D12AF" w:rsidRDefault="00000000">
            <w:pPr>
              <w:pStyle w:val="15"/>
              <w:ind w:firstLineChars="0" w:firstLine="0"/>
              <w:rPr>
                <w:sz w:val="21"/>
                <w:szCs w:val="21"/>
              </w:rPr>
            </w:pPr>
            <w:r>
              <w:rPr>
                <w:sz w:val="21"/>
                <w:szCs w:val="21"/>
              </w:rPr>
              <w:t>草本植物组成</w:t>
            </w:r>
          </w:p>
        </w:tc>
        <w:tc>
          <w:tcPr>
            <w:tcW w:w="3463" w:type="pct"/>
            <w:gridSpan w:val="6"/>
            <w:tcBorders>
              <w:tl2br w:val="nil"/>
              <w:tr2bl w:val="nil"/>
            </w:tcBorders>
            <w:vAlign w:val="center"/>
          </w:tcPr>
          <w:p w14:paraId="2043A432" w14:textId="77777777" w:rsidR="009D12AF" w:rsidRDefault="00000000">
            <w:pPr>
              <w:pStyle w:val="15"/>
              <w:ind w:firstLineChars="0" w:firstLine="0"/>
              <w:rPr>
                <w:sz w:val="21"/>
                <w:szCs w:val="21"/>
              </w:rPr>
            </w:pPr>
            <w:r>
              <w:rPr>
                <w:rFonts w:hint="eastAsia"/>
                <w:sz w:val="21"/>
                <w:szCs w:val="21"/>
              </w:rPr>
              <w:t>芦苇、朝天委陵菜、蒌蒿、野艾蒿、蚊子草等</w:t>
            </w:r>
          </w:p>
        </w:tc>
      </w:tr>
      <w:tr w:rsidR="009D12AF" w14:paraId="0F51B3C5" w14:textId="77777777">
        <w:trPr>
          <w:trHeight w:val="481"/>
          <w:jc w:val="center"/>
        </w:trPr>
        <w:tc>
          <w:tcPr>
            <w:tcW w:w="2349" w:type="pct"/>
            <w:gridSpan w:val="4"/>
            <w:tcBorders>
              <w:tl2br w:val="nil"/>
              <w:tr2bl w:val="nil"/>
            </w:tcBorders>
            <w:vAlign w:val="center"/>
          </w:tcPr>
          <w:p w14:paraId="129A8E9F" w14:textId="77777777" w:rsidR="009D12AF" w:rsidRDefault="00000000">
            <w:pPr>
              <w:pStyle w:val="15"/>
              <w:ind w:firstLineChars="0" w:firstLine="0"/>
              <w:rPr>
                <w:sz w:val="21"/>
                <w:szCs w:val="21"/>
              </w:rPr>
            </w:pPr>
            <w:r>
              <w:rPr>
                <w:sz w:val="21"/>
                <w:szCs w:val="21"/>
              </w:rPr>
              <w:t>草本植物盖度</w:t>
            </w:r>
          </w:p>
        </w:tc>
        <w:tc>
          <w:tcPr>
            <w:tcW w:w="2651" w:type="pct"/>
            <w:gridSpan w:val="4"/>
            <w:tcBorders>
              <w:tl2br w:val="nil"/>
              <w:tr2bl w:val="nil"/>
            </w:tcBorders>
            <w:vAlign w:val="center"/>
          </w:tcPr>
          <w:p w14:paraId="4E5E3630" w14:textId="77777777" w:rsidR="009D12AF" w:rsidRDefault="00000000">
            <w:pPr>
              <w:pStyle w:val="15"/>
              <w:ind w:firstLineChars="0" w:firstLine="0"/>
              <w:rPr>
                <w:sz w:val="21"/>
                <w:szCs w:val="21"/>
              </w:rPr>
            </w:pPr>
            <w:r>
              <w:rPr>
                <w:rFonts w:hint="eastAsia"/>
                <w:sz w:val="21"/>
                <w:szCs w:val="21"/>
              </w:rPr>
              <w:t>80</w:t>
            </w:r>
            <w:r>
              <w:rPr>
                <w:sz w:val="21"/>
                <w:szCs w:val="21"/>
              </w:rPr>
              <w:t>%</w:t>
            </w:r>
          </w:p>
        </w:tc>
      </w:tr>
      <w:tr w:rsidR="009D12AF" w14:paraId="1645DE61" w14:textId="77777777">
        <w:trPr>
          <w:trHeight w:val="426"/>
          <w:jc w:val="center"/>
        </w:trPr>
        <w:tc>
          <w:tcPr>
            <w:tcW w:w="683" w:type="pct"/>
            <w:tcBorders>
              <w:tl2br w:val="nil"/>
              <w:tr2bl w:val="nil"/>
            </w:tcBorders>
            <w:vAlign w:val="center"/>
          </w:tcPr>
          <w:p w14:paraId="4C6A485C" w14:textId="77777777" w:rsidR="009D12AF" w:rsidRDefault="00000000">
            <w:pPr>
              <w:pStyle w:val="15"/>
              <w:ind w:firstLineChars="0" w:firstLine="0"/>
              <w:rPr>
                <w:sz w:val="21"/>
                <w:szCs w:val="21"/>
              </w:rPr>
            </w:pPr>
            <w:r>
              <w:rPr>
                <w:sz w:val="21"/>
                <w:szCs w:val="21"/>
              </w:rPr>
              <w:t>分布方式</w:t>
            </w:r>
          </w:p>
        </w:tc>
        <w:tc>
          <w:tcPr>
            <w:tcW w:w="4317" w:type="pct"/>
            <w:gridSpan w:val="7"/>
            <w:tcBorders>
              <w:tl2br w:val="nil"/>
              <w:tr2bl w:val="nil"/>
            </w:tcBorders>
            <w:vAlign w:val="center"/>
          </w:tcPr>
          <w:p w14:paraId="2466C951" w14:textId="77777777" w:rsidR="009D12AF" w:rsidRDefault="00000000">
            <w:pPr>
              <w:pStyle w:val="15"/>
              <w:ind w:firstLineChars="0" w:firstLine="0"/>
              <w:rPr>
                <w:sz w:val="21"/>
                <w:szCs w:val="21"/>
              </w:rPr>
            </w:pPr>
            <w:r>
              <w:rPr>
                <w:rFonts w:hint="eastAsia"/>
                <w:sz w:val="21"/>
                <w:szCs w:val="21"/>
              </w:rPr>
              <w:t>一般在海拔在</w:t>
            </w:r>
            <w:r>
              <w:rPr>
                <w:rFonts w:hint="eastAsia"/>
                <w:sz w:val="21"/>
                <w:szCs w:val="21"/>
              </w:rPr>
              <w:t xml:space="preserve">100 </w:t>
            </w:r>
            <w:r>
              <w:rPr>
                <w:rFonts w:hint="eastAsia"/>
                <w:sz w:val="21"/>
                <w:szCs w:val="21"/>
              </w:rPr>
              <w:t>米以下地带的河流边缘或宽谷低洼。</w:t>
            </w:r>
          </w:p>
        </w:tc>
      </w:tr>
      <w:tr w:rsidR="009D12AF" w14:paraId="599255CD" w14:textId="77777777">
        <w:trPr>
          <w:trHeight w:val="406"/>
          <w:jc w:val="center"/>
        </w:trPr>
        <w:tc>
          <w:tcPr>
            <w:tcW w:w="683" w:type="pct"/>
            <w:tcBorders>
              <w:tl2br w:val="nil"/>
              <w:tr2bl w:val="nil"/>
            </w:tcBorders>
            <w:vAlign w:val="center"/>
          </w:tcPr>
          <w:p w14:paraId="1170DA53" w14:textId="77777777" w:rsidR="009D12AF" w:rsidRDefault="00000000">
            <w:pPr>
              <w:pStyle w:val="15"/>
              <w:ind w:firstLineChars="0" w:firstLine="0"/>
              <w:rPr>
                <w:sz w:val="21"/>
                <w:szCs w:val="21"/>
              </w:rPr>
            </w:pPr>
            <w:r>
              <w:rPr>
                <w:sz w:val="21"/>
                <w:szCs w:val="21"/>
              </w:rPr>
              <w:t>备注</w:t>
            </w:r>
          </w:p>
        </w:tc>
        <w:tc>
          <w:tcPr>
            <w:tcW w:w="4317" w:type="pct"/>
            <w:gridSpan w:val="7"/>
            <w:tcBorders>
              <w:tl2br w:val="nil"/>
              <w:tr2bl w:val="nil"/>
            </w:tcBorders>
            <w:vAlign w:val="center"/>
          </w:tcPr>
          <w:p w14:paraId="317466A3" w14:textId="77777777" w:rsidR="009D12AF" w:rsidRDefault="00000000">
            <w:pPr>
              <w:pStyle w:val="15"/>
              <w:ind w:firstLineChars="0" w:firstLine="0"/>
              <w:rPr>
                <w:sz w:val="21"/>
                <w:szCs w:val="21"/>
              </w:rPr>
            </w:pPr>
            <w:r>
              <w:rPr>
                <w:rFonts w:hint="eastAsia"/>
                <w:sz w:val="21"/>
                <w:szCs w:val="21"/>
              </w:rPr>
              <w:t>土壤为草甸土</w:t>
            </w:r>
          </w:p>
        </w:tc>
      </w:tr>
      <w:tr w:rsidR="009D12AF" w14:paraId="5C0CCAD1" w14:textId="77777777">
        <w:trPr>
          <w:trHeight w:val="2933"/>
          <w:jc w:val="center"/>
        </w:trPr>
        <w:tc>
          <w:tcPr>
            <w:tcW w:w="1627" w:type="pct"/>
            <w:gridSpan w:val="3"/>
            <w:tcBorders>
              <w:tl2br w:val="nil"/>
              <w:tr2bl w:val="nil"/>
            </w:tcBorders>
            <w:vAlign w:val="center"/>
          </w:tcPr>
          <w:p w14:paraId="5DF28A77" w14:textId="77777777" w:rsidR="009D12AF" w:rsidRDefault="00000000">
            <w:pPr>
              <w:pStyle w:val="15"/>
              <w:ind w:firstLineChars="0" w:firstLine="0"/>
              <w:rPr>
                <w:sz w:val="21"/>
                <w:szCs w:val="21"/>
              </w:rPr>
            </w:pPr>
            <w:r>
              <w:rPr>
                <w:bCs/>
                <w:noProof/>
                <w:spacing w:val="6"/>
                <w:sz w:val="21"/>
                <w:szCs w:val="21"/>
              </w:rPr>
              <w:drawing>
                <wp:inline distT="0" distB="0" distL="0" distR="0" wp14:anchorId="5E1730C4" wp14:editId="49754656">
                  <wp:extent cx="1918970" cy="1593850"/>
                  <wp:effectExtent l="0" t="0" r="5080" b="635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51" cstate="screen">
                            <a:extLst>
                              <a:ext uri="{28A0092B-C50C-407E-A947-70E740481C1C}">
                                <a14:useLocalDpi xmlns:a14="http://schemas.microsoft.com/office/drawing/2010/main"/>
                              </a:ext>
                            </a:extLst>
                          </a:blip>
                          <a:stretch>
                            <a:fillRect/>
                          </a:stretch>
                        </pic:blipFill>
                        <pic:spPr>
                          <a:xfrm>
                            <a:off x="0" y="0"/>
                            <a:ext cx="1918970" cy="1593850"/>
                          </a:xfrm>
                          <a:prstGeom prst="rect">
                            <a:avLst/>
                          </a:prstGeom>
                        </pic:spPr>
                      </pic:pic>
                    </a:graphicData>
                  </a:graphic>
                </wp:inline>
              </w:drawing>
            </w:r>
          </w:p>
        </w:tc>
        <w:tc>
          <w:tcPr>
            <w:tcW w:w="1701" w:type="pct"/>
            <w:gridSpan w:val="2"/>
            <w:tcBorders>
              <w:tl2br w:val="nil"/>
              <w:tr2bl w:val="nil"/>
            </w:tcBorders>
            <w:vAlign w:val="center"/>
          </w:tcPr>
          <w:p w14:paraId="3CB6CDC6" w14:textId="77777777" w:rsidR="009D12AF" w:rsidRDefault="00000000">
            <w:pPr>
              <w:pStyle w:val="15"/>
              <w:ind w:firstLineChars="0" w:firstLine="0"/>
              <w:rPr>
                <w:sz w:val="21"/>
                <w:szCs w:val="21"/>
              </w:rPr>
            </w:pPr>
            <w:r>
              <w:rPr>
                <w:bCs/>
                <w:noProof/>
                <w:spacing w:val="6"/>
                <w:sz w:val="21"/>
                <w:szCs w:val="21"/>
              </w:rPr>
              <w:drawing>
                <wp:inline distT="0" distB="0" distL="0" distR="0" wp14:anchorId="0C0B71F2" wp14:editId="3CA60E09">
                  <wp:extent cx="1918970" cy="1631950"/>
                  <wp:effectExtent l="0" t="0" r="5080" b="635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52" cstate="screen">
                            <a:extLst>
                              <a:ext uri="{28A0092B-C50C-407E-A947-70E740481C1C}">
                                <a14:useLocalDpi xmlns:a14="http://schemas.microsoft.com/office/drawing/2010/main"/>
                              </a:ext>
                            </a:extLst>
                          </a:blip>
                          <a:stretch>
                            <a:fillRect/>
                          </a:stretch>
                        </pic:blipFill>
                        <pic:spPr>
                          <a:xfrm>
                            <a:off x="0" y="0"/>
                            <a:ext cx="1918970" cy="1631950"/>
                          </a:xfrm>
                          <a:prstGeom prst="rect">
                            <a:avLst/>
                          </a:prstGeom>
                        </pic:spPr>
                      </pic:pic>
                    </a:graphicData>
                  </a:graphic>
                </wp:inline>
              </w:drawing>
            </w:r>
          </w:p>
        </w:tc>
        <w:tc>
          <w:tcPr>
            <w:tcW w:w="1672" w:type="pct"/>
            <w:gridSpan w:val="3"/>
            <w:tcBorders>
              <w:tl2br w:val="nil"/>
              <w:tr2bl w:val="nil"/>
            </w:tcBorders>
            <w:vAlign w:val="center"/>
          </w:tcPr>
          <w:p w14:paraId="4C00F6E7" w14:textId="77777777" w:rsidR="009D12AF" w:rsidRDefault="00000000">
            <w:pPr>
              <w:pStyle w:val="15"/>
              <w:ind w:firstLineChars="0" w:firstLine="0"/>
              <w:rPr>
                <w:sz w:val="21"/>
                <w:szCs w:val="21"/>
              </w:rPr>
            </w:pPr>
            <w:r>
              <w:rPr>
                <w:bCs/>
                <w:noProof/>
                <w:spacing w:val="6"/>
                <w:sz w:val="21"/>
                <w:szCs w:val="21"/>
              </w:rPr>
              <w:drawing>
                <wp:inline distT="0" distB="0" distL="0" distR="0" wp14:anchorId="7970A58C" wp14:editId="636BE110">
                  <wp:extent cx="1918970" cy="1549400"/>
                  <wp:effectExtent l="0" t="0" r="5080" b="1270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53" cstate="screen">
                            <a:extLst>
                              <a:ext uri="{28A0092B-C50C-407E-A947-70E740481C1C}">
                                <a14:useLocalDpi xmlns:a14="http://schemas.microsoft.com/office/drawing/2010/main"/>
                              </a:ext>
                            </a:extLst>
                          </a:blip>
                          <a:stretch>
                            <a:fillRect/>
                          </a:stretch>
                        </pic:blipFill>
                        <pic:spPr>
                          <a:xfrm>
                            <a:off x="0" y="0"/>
                            <a:ext cx="1918970" cy="1549400"/>
                          </a:xfrm>
                          <a:prstGeom prst="rect">
                            <a:avLst/>
                          </a:prstGeom>
                        </pic:spPr>
                      </pic:pic>
                    </a:graphicData>
                  </a:graphic>
                </wp:inline>
              </w:drawing>
            </w:r>
          </w:p>
        </w:tc>
      </w:tr>
    </w:tbl>
    <w:p w14:paraId="71CD9807" w14:textId="77777777" w:rsidR="009D12AF" w:rsidRDefault="00000000">
      <w:pPr>
        <w:ind w:firstLine="480"/>
      </w:pPr>
      <w:r>
        <w:rPr>
          <w:rFonts w:hint="eastAsia"/>
        </w:rPr>
        <w:t>三、植被演替规律</w:t>
      </w:r>
    </w:p>
    <w:p w14:paraId="774E3827" w14:textId="77777777" w:rsidR="009D12AF" w:rsidRDefault="00000000">
      <w:pPr>
        <w:ind w:firstLine="480"/>
      </w:pPr>
      <w:r>
        <w:rPr>
          <w:rFonts w:hint="eastAsia"/>
        </w:rPr>
        <w:t>评价区所在区域属于温带针阔混交林带，其原始植被类型为以红松（</w:t>
      </w:r>
      <w:r>
        <w:rPr>
          <w:rFonts w:hint="eastAsia"/>
        </w:rPr>
        <w:t xml:space="preserve">Pinus </w:t>
      </w:r>
      <w:r>
        <w:rPr>
          <w:rFonts w:hint="eastAsia"/>
        </w:rPr>
        <w:lastRenderedPageBreak/>
        <w:t>koraiensis</w:t>
      </w:r>
      <w:r>
        <w:rPr>
          <w:rFonts w:hint="eastAsia"/>
        </w:rPr>
        <w:t>）为优势种的针阔叶混交林。群落中乔木层结构复杂，主要针叶树种包括红松、云杉（</w:t>
      </w:r>
      <w:r>
        <w:rPr>
          <w:rFonts w:hint="eastAsia"/>
        </w:rPr>
        <w:t>Picea asperata</w:t>
      </w:r>
      <w:r>
        <w:rPr>
          <w:rFonts w:hint="eastAsia"/>
        </w:rPr>
        <w:t>）和冷杉（</w:t>
      </w:r>
      <w:r>
        <w:rPr>
          <w:rFonts w:hint="eastAsia"/>
        </w:rPr>
        <w:t>Abies nephrolepis</w:t>
      </w:r>
      <w:r>
        <w:rPr>
          <w:rFonts w:hint="eastAsia"/>
        </w:rPr>
        <w:t>）；阔叶树种则以椴树（</w:t>
      </w:r>
      <w:r>
        <w:rPr>
          <w:rFonts w:hint="eastAsia"/>
        </w:rPr>
        <w:t>Tilia amurensis</w:t>
      </w:r>
      <w:r>
        <w:rPr>
          <w:rFonts w:hint="eastAsia"/>
        </w:rPr>
        <w:t>）、桦树（</w:t>
      </w:r>
      <w:r>
        <w:rPr>
          <w:rFonts w:hint="eastAsia"/>
        </w:rPr>
        <w:t>Betula platyphylla</w:t>
      </w:r>
      <w:r>
        <w:rPr>
          <w:rFonts w:hint="eastAsia"/>
        </w:rPr>
        <w:t>）、榆树（</w:t>
      </w:r>
      <w:r>
        <w:rPr>
          <w:rFonts w:hint="eastAsia"/>
        </w:rPr>
        <w:t>Ulmus pumila</w:t>
      </w:r>
      <w:r>
        <w:rPr>
          <w:rFonts w:hint="eastAsia"/>
        </w:rPr>
        <w:t>）、水曲柳（</w:t>
      </w:r>
      <w:r>
        <w:rPr>
          <w:rFonts w:hint="eastAsia"/>
        </w:rPr>
        <w:t>Fraxinus mandshurica</w:t>
      </w:r>
      <w:r>
        <w:rPr>
          <w:rFonts w:hint="eastAsia"/>
        </w:rPr>
        <w:t>）及柞树（</w:t>
      </w:r>
      <w:r>
        <w:rPr>
          <w:rFonts w:hint="eastAsia"/>
        </w:rPr>
        <w:t>Quercus mongolica</w:t>
      </w:r>
      <w:r>
        <w:rPr>
          <w:rFonts w:hint="eastAsia"/>
        </w:rPr>
        <w:t>）为代表，形成典型的红松阔叶混交林群落特征。</w:t>
      </w:r>
    </w:p>
    <w:p w14:paraId="0ECD3ADD" w14:textId="77777777" w:rsidR="009D12AF" w:rsidRDefault="00000000">
      <w:pPr>
        <w:ind w:firstLine="480"/>
      </w:pPr>
      <w:r>
        <w:rPr>
          <w:rFonts w:hint="eastAsia"/>
        </w:rPr>
        <w:t>然而，随着区域内长期的人类经济活动（包括木材采伐、农业开垦及基础设施建设等）的影响，原始针阔混交林遭受了不同程度的破坏，天然林的完整性与连续性显著下降。由于干扰的方式、强度与持续时间存在差异，加之山地地形起伏大、坡向与土壤水分条件复杂，导致原生群落在退化或更新过程中出现多样化的演替路径与群落类型。</w:t>
      </w:r>
    </w:p>
    <w:p w14:paraId="7257EC26" w14:textId="77777777" w:rsidR="009D12AF" w:rsidRDefault="00000000">
      <w:pPr>
        <w:ind w:firstLine="480"/>
      </w:pPr>
      <w:r>
        <w:rPr>
          <w:rFonts w:hint="eastAsia"/>
        </w:rPr>
        <w:t>目前，受扰后的植被多呈现出天然次生林的特征，其群落组成和结构复杂多变。根据干扰背景及恢复阶段的不同，针阔混交林可分别演替或退化为不同类型的次生群落，如以蒙古栎（</w:t>
      </w:r>
      <w:r>
        <w:rPr>
          <w:rFonts w:hint="eastAsia"/>
        </w:rPr>
        <w:t>Quercus mongolica</w:t>
      </w:r>
      <w:r>
        <w:rPr>
          <w:rFonts w:hint="eastAsia"/>
        </w:rPr>
        <w:t>）为优势种的蒙古栎林，以山杨（</w:t>
      </w:r>
      <w:r>
        <w:rPr>
          <w:rFonts w:hint="eastAsia"/>
        </w:rPr>
        <w:t>Populus davidiana</w:t>
      </w:r>
      <w:r>
        <w:rPr>
          <w:rFonts w:hint="eastAsia"/>
        </w:rPr>
        <w:t>）为主的山杨林，或以落叶松（</w:t>
      </w:r>
      <w:r>
        <w:rPr>
          <w:rFonts w:hint="eastAsia"/>
        </w:rPr>
        <w:t>Larix gmelinii</w:t>
      </w:r>
      <w:r>
        <w:rPr>
          <w:rFonts w:hint="eastAsia"/>
        </w:rPr>
        <w:t>）与樟子松（</w:t>
      </w:r>
      <w:r>
        <w:rPr>
          <w:rFonts w:hint="eastAsia"/>
        </w:rPr>
        <w:t>Pinus sylvestris var. mongolica</w:t>
      </w:r>
      <w:r>
        <w:rPr>
          <w:rFonts w:hint="eastAsia"/>
        </w:rPr>
        <w:t>）为主的针叶次生林等。上述群落类型在物种组成、群落结构、生态功能以及恢复潜力上存在明显差异，体现出该地区植被演替过程的复杂性与地域性特征。</w:t>
      </w:r>
    </w:p>
    <w:p w14:paraId="320B7307" w14:textId="77777777" w:rsidR="009D12AF" w:rsidRDefault="00000000">
      <w:pPr>
        <w:ind w:firstLine="480"/>
      </w:pPr>
      <w:r>
        <w:rPr>
          <w:rFonts w:hint="eastAsia"/>
        </w:rPr>
        <w:t>四、陆生植物现状</w:t>
      </w:r>
    </w:p>
    <w:p w14:paraId="7C48ABE1" w14:textId="77777777" w:rsidR="009D12AF" w:rsidRDefault="00000000">
      <w:pPr>
        <w:widowControl/>
        <w:ind w:firstLine="480"/>
        <w:jc w:val="left"/>
        <w:rPr>
          <w:rFonts w:ascii="Times New Roman" w:eastAsia="宋体" w:hAnsi="Times New Roman" w:cs="Times New Roman"/>
          <w:kern w:val="0"/>
          <w:highlight w:val="yellow"/>
        </w:rPr>
      </w:pPr>
      <w:r>
        <w:rPr>
          <w:rFonts w:ascii="Times New Roman" w:eastAsia="宋体" w:hAnsi="Times New Roman" w:cs="Times New Roman"/>
          <w:kern w:val="0"/>
        </w:rPr>
        <w:t>项目调查范围位于</w:t>
      </w:r>
      <w:r>
        <w:rPr>
          <w:rFonts w:ascii="Times New Roman" w:eastAsia="宋体" w:hAnsi="Times New Roman" w:cs="Times New Roman" w:hint="eastAsia"/>
          <w:kern w:val="0"/>
        </w:rPr>
        <w:t>牡丹</w:t>
      </w:r>
      <w:r>
        <w:rPr>
          <w:rFonts w:ascii="Times New Roman" w:eastAsia="宋体" w:hAnsi="Times New Roman" w:cs="Times New Roman"/>
          <w:kern w:val="0"/>
        </w:rPr>
        <w:t>市</w:t>
      </w:r>
      <w:r>
        <w:rPr>
          <w:rFonts w:ascii="Times New Roman" w:eastAsia="宋体" w:hAnsi="Times New Roman" w:cs="Times New Roman" w:hint="eastAsia"/>
          <w:kern w:val="0"/>
        </w:rPr>
        <w:t>北</w:t>
      </w:r>
      <w:r>
        <w:rPr>
          <w:rFonts w:ascii="Times New Roman" w:eastAsia="宋体" w:hAnsi="Times New Roman" w:cs="Times New Roman"/>
          <w:kern w:val="0"/>
        </w:rPr>
        <w:t>部</w:t>
      </w:r>
      <w:r>
        <w:rPr>
          <w:rFonts w:ascii="Times New Roman" w:eastAsia="宋体" w:hAnsi="Times New Roman" w:cs="Times New Roman" w:hint="eastAsia"/>
          <w:kern w:val="0"/>
        </w:rPr>
        <w:t>，临近牡丹江</w:t>
      </w:r>
      <w:r>
        <w:rPr>
          <w:rFonts w:ascii="Times New Roman" w:eastAsia="宋体" w:hAnsi="Times New Roman" w:cs="Times New Roman"/>
          <w:kern w:val="0"/>
        </w:rPr>
        <w:t>。</w:t>
      </w:r>
      <w:r>
        <w:rPr>
          <w:rFonts w:ascii="Times New Roman" w:eastAsia="宋体" w:hAnsi="Times New Roman" w:cs="Times New Roman" w:hint="eastAsia"/>
          <w:kern w:val="0"/>
        </w:rPr>
        <w:t>海拔</w:t>
      </w:r>
      <w:r>
        <w:rPr>
          <w:rFonts w:ascii="Times New Roman" w:eastAsia="宋体" w:hAnsi="Times New Roman" w:cs="Times New Roman"/>
          <w:kern w:val="0"/>
        </w:rPr>
        <w:t>跨度</w:t>
      </w:r>
      <w:r>
        <w:rPr>
          <w:rFonts w:ascii="Times New Roman" w:eastAsia="宋体" w:hAnsi="Times New Roman" w:cs="Times New Roman" w:hint="eastAsia"/>
          <w:kern w:val="0"/>
        </w:rPr>
        <w:t>不大</w:t>
      </w:r>
      <w:r>
        <w:rPr>
          <w:rFonts w:ascii="Times New Roman" w:eastAsia="宋体" w:hAnsi="Times New Roman" w:cs="Times New Roman"/>
          <w:kern w:val="0"/>
        </w:rPr>
        <w:t>，</w:t>
      </w:r>
      <w:r>
        <w:rPr>
          <w:rFonts w:ascii="Times New Roman" w:eastAsia="宋体" w:hAnsi="Times New Roman" w:cs="Times New Roman" w:hint="eastAsia"/>
          <w:kern w:val="0"/>
        </w:rPr>
        <w:t>地势较平缓，</w:t>
      </w:r>
      <w:r>
        <w:rPr>
          <w:rFonts w:ascii="Times New Roman" w:eastAsia="宋体" w:hAnsi="Times New Roman" w:cs="Times New Roman"/>
          <w:kern w:val="0"/>
        </w:rPr>
        <w:t>海拔在</w:t>
      </w:r>
      <w:r>
        <w:rPr>
          <w:rFonts w:ascii="Times New Roman" w:eastAsia="宋体" w:hAnsi="Times New Roman" w:cs="Times New Roman"/>
          <w:kern w:val="0"/>
        </w:rPr>
        <w:t>205 m</w:t>
      </w:r>
      <w:r>
        <w:rPr>
          <w:rFonts w:ascii="Times New Roman" w:eastAsia="宋体" w:hAnsi="Times New Roman" w:cs="Times New Roman"/>
          <w:kern w:val="0"/>
        </w:rPr>
        <w:t>～</w:t>
      </w:r>
      <w:r>
        <w:rPr>
          <w:rFonts w:ascii="Times New Roman" w:eastAsia="宋体" w:hAnsi="Times New Roman" w:cs="Times New Roman"/>
          <w:kern w:val="0"/>
        </w:rPr>
        <w:t xml:space="preserve">394 m </w:t>
      </w:r>
      <w:r>
        <w:rPr>
          <w:rFonts w:ascii="Times New Roman" w:eastAsia="宋体" w:hAnsi="Times New Roman" w:cs="Times New Roman"/>
          <w:kern w:val="0"/>
        </w:rPr>
        <w:t>之间，包含</w:t>
      </w:r>
      <w:r>
        <w:rPr>
          <w:rFonts w:ascii="Times New Roman" w:eastAsia="宋体" w:hAnsi="Times New Roman" w:cs="Times New Roman" w:hint="eastAsia"/>
          <w:kern w:val="0"/>
        </w:rPr>
        <w:t>水域、沼泽</w:t>
      </w:r>
      <w:r>
        <w:rPr>
          <w:rFonts w:ascii="Times New Roman" w:eastAsia="宋体" w:hAnsi="Times New Roman" w:cs="Times New Roman"/>
          <w:kern w:val="0"/>
        </w:rPr>
        <w:t>、</w:t>
      </w:r>
      <w:r>
        <w:rPr>
          <w:rFonts w:ascii="Times New Roman" w:eastAsia="宋体" w:hAnsi="Times New Roman" w:cs="Times New Roman" w:hint="eastAsia"/>
          <w:kern w:val="0"/>
        </w:rPr>
        <w:t>农田</w:t>
      </w:r>
      <w:r>
        <w:rPr>
          <w:rFonts w:ascii="Times New Roman" w:eastAsia="宋体" w:hAnsi="Times New Roman" w:cs="Times New Roman"/>
          <w:kern w:val="0"/>
        </w:rPr>
        <w:t>、</w:t>
      </w:r>
      <w:r>
        <w:rPr>
          <w:rFonts w:ascii="Times New Roman" w:eastAsia="宋体" w:hAnsi="Times New Roman" w:cs="Times New Roman" w:hint="eastAsia"/>
          <w:kern w:val="0"/>
        </w:rPr>
        <w:t>林地和居民区五个</w:t>
      </w:r>
      <w:r>
        <w:rPr>
          <w:rFonts w:ascii="Times New Roman" w:eastAsia="宋体" w:hAnsi="Times New Roman" w:cs="Times New Roman"/>
          <w:kern w:val="0"/>
        </w:rPr>
        <w:t>生境类型。项目调查范围面积较小，区域内环境异质性较小，植被水平分布、垂直分布规律规律较明显，根据《中国东北植被地理》（周以良等，</w:t>
      </w:r>
      <w:r>
        <w:rPr>
          <w:rFonts w:ascii="Times New Roman" w:eastAsia="宋体" w:hAnsi="Times New Roman" w:cs="Times New Roman"/>
          <w:kern w:val="0"/>
        </w:rPr>
        <w:t>1997</w:t>
      </w:r>
      <w:r>
        <w:rPr>
          <w:rFonts w:ascii="Times New Roman" w:eastAsia="宋体" w:hAnsi="Times New Roman" w:cs="Times New Roman"/>
          <w:kern w:val="0"/>
        </w:rPr>
        <w:t>）中东北植被四级（植被区域</w:t>
      </w:r>
      <w:r>
        <w:rPr>
          <w:rFonts w:ascii="Times New Roman" w:eastAsia="宋体" w:hAnsi="Times New Roman" w:cs="Times New Roman"/>
          <w:kern w:val="0"/>
        </w:rPr>
        <w:t>—</w:t>
      </w:r>
      <w:r>
        <w:rPr>
          <w:rFonts w:ascii="Times New Roman" w:eastAsia="宋体" w:hAnsi="Times New Roman" w:cs="Times New Roman"/>
          <w:kern w:val="0"/>
        </w:rPr>
        <w:t>植被区</w:t>
      </w:r>
      <w:r>
        <w:rPr>
          <w:rFonts w:ascii="Times New Roman" w:eastAsia="宋体" w:hAnsi="Times New Roman" w:cs="Times New Roman"/>
          <w:kern w:val="0"/>
        </w:rPr>
        <w:t>—</w:t>
      </w:r>
      <w:r>
        <w:rPr>
          <w:rFonts w:ascii="Times New Roman" w:eastAsia="宋体" w:hAnsi="Times New Roman" w:cs="Times New Roman"/>
          <w:kern w:val="0"/>
        </w:rPr>
        <w:t>植被地区</w:t>
      </w:r>
      <w:r>
        <w:rPr>
          <w:rFonts w:ascii="Times New Roman" w:eastAsia="宋体" w:hAnsi="Times New Roman" w:cs="Times New Roman"/>
          <w:kern w:val="0"/>
        </w:rPr>
        <w:t>—</w:t>
      </w:r>
      <w:r>
        <w:rPr>
          <w:rFonts w:ascii="Times New Roman" w:eastAsia="宋体" w:hAnsi="Times New Roman" w:cs="Times New Roman"/>
          <w:kern w:val="0"/>
        </w:rPr>
        <w:t>植被小区）区划分类，项目调查范围应归为温带针叶阔叶混交林区域</w:t>
      </w:r>
      <w:r>
        <w:rPr>
          <w:rFonts w:ascii="Times New Roman" w:eastAsia="宋体" w:hAnsi="Times New Roman" w:cs="Times New Roman"/>
          <w:kern w:val="0"/>
        </w:rPr>
        <w:t>—</w:t>
      </w:r>
      <w:r>
        <w:rPr>
          <w:rFonts w:ascii="Times New Roman" w:eastAsia="宋体" w:hAnsi="Times New Roman" w:cs="Times New Roman"/>
          <w:kern w:val="0"/>
        </w:rPr>
        <w:t>小兴安岭</w:t>
      </w:r>
      <w:r>
        <w:rPr>
          <w:rFonts w:ascii="Times New Roman" w:eastAsia="宋体" w:hAnsi="Times New Roman" w:cs="Times New Roman"/>
          <w:kern w:val="0"/>
        </w:rPr>
        <w:t>-</w:t>
      </w:r>
      <w:r>
        <w:rPr>
          <w:rFonts w:ascii="Times New Roman" w:eastAsia="宋体" w:hAnsi="Times New Roman" w:cs="Times New Roman"/>
          <w:kern w:val="0"/>
        </w:rPr>
        <w:t>完达山山地阔叶红松混交林</w:t>
      </w:r>
      <w:r>
        <w:rPr>
          <w:rFonts w:ascii="Times New Roman" w:eastAsia="宋体" w:hAnsi="Times New Roman" w:cs="Times New Roman"/>
          <w:kern w:val="0"/>
        </w:rPr>
        <w:t>—</w:t>
      </w:r>
      <w:r>
        <w:rPr>
          <w:rFonts w:ascii="Times New Roman" w:eastAsia="宋体" w:hAnsi="Times New Roman" w:cs="Times New Roman"/>
          <w:kern w:val="0"/>
        </w:rPr>
        <w:t>完达山</w:t>
      </w:r>
      <w:r>
        <w:rPr>
          <w:rFonts w:ascii="Times New Roman" w:eastAsia="宋体" w:hAnsi="Times New Roman" w:cs="Times New Roman"/>
          <w:kern w:val="0"/>
        </w:rPr>
        <w:t>-</w:t>
      </w:r>
      <w:r>
        <w:rPr>
          <w:rFonts w:ascii="Times New Roman" w:eastAsia="宋体" w:hAnsi="Times New Roman" w:cs="Times New Roman"/>
          <w:kern w:val="0"/>
        </w:rPr>
        <w:t>张才岭山地蒙古栎、阔叶红松林混交林地区</w:t>
      </w:r>
      <w:r>
        <w:rPr>
          <w:rFonts w:ascii="Times New Roman" w:eastAsia="宋体" w:hAnsi="Times New Roman" w:cs="Times New Roman"/>
          <w:kern w:val="0"/>
        </w:rPr>
        <w:t>—</w:t>
      </w:r>
      <w:r>
        <w:rPr>
          <w:rFonts w:ascii="Times New Roman" w:eastAsia="宋体" w:hAnsi="Times New Roman" w:cs="Times New Roman"/>
          <w:kern w:val="0"/>
        </w:rPr>
        <w:t>张广才岭蒙古栎、阔叶红松混交林以用材林为主的林农复合经营小区，此区域根据气候条件属温带湿润季风气候，降雨量比较丰富，境内森林苍茂，植物种类较为丰富。</w:t>
      </w:r>
    </w:p>
    <w:p w14:paraId="0AF6DCDD"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lastRenderedPageBreak/>
        <w:t>根据《中国种子植物区系地理》（吴征镒等，</w:t>
      </w:r>
      <w:r>
        <w:rPr>
          <w:rFonts w:ascii="Times New Roman" w:eastAsia="宋体" w:hAnsi="Times New Roman" w:cs="Times New Roman"/>
          <w:kern w:val="0"/>
        </w:rPr>
        <w:t xml:space="preserve">2011 </w:t>
      </w:r>
      <w:r>
        <w:rPr>
          <w:rFonts w:ascii="Times New Roman" w:eastAsia="宋体" w:hAnsi="Times New Roman" w:cs="Times New Roman"/>
          <w:kern w:val="0"/>
        </w:rPr>
        <w:t>年）中国植物区系分区系统，项目调查范围属于东亚植物区</w:t>
      </w:r>
      <w:r>
        <w:rPr>
          <w:rFonts w:ascii="Times New Roman" w:eastAsia="宋体" w:hAnsi="Times New Roman" w:cs="Times New Roman"/>
          <w:kern w:val="0"/>
        </w:rPr>
        <w:t>—</w:t>
      </w:r>
      <w:r>
        <w:rPr>
          <w:rFonts w:ascii="Times New Roman" w:eastAsia="宋体" w:hAnsi="Times New Roman" w:cs="Times New Roman"/>
          <w:kern w:val="0"/>
        </w:rPr>
        <w:t>中国</w:t>
      </w:r>
      <w:r>
        <w:rPr>
          <w:rFonts w:ascii="Times New Roman" w:eastAsia="宋体" w:hAnsi="Times New Roman" w:cs="Times New Roman"/>
          <w:kern w:val="0"/>
        </w:rPr>
        <w:t>-</w:t>
      </w:r>
      <w:r>
        <w:rPr>
          <w:rFonts w:ascii="Times New Roman" w:eastAsia="宋体" w:hAnsi="Times New Roman" w:cs="Times New Roman"/>
          <w:kern w:val="0"/>
        </w:rPr>
        <w:t>日本森林植物亚区</w:t>
      </w:r>
      <w:r>
        <w:rPr>
          <w:rFonts w:ascii="Times New Roman" w:eastAsia="宋体" w:hAnsi="Times New Roman" w:cs="Times New Roman"/>
          <w:kern w:val="0"/>
        </w:rPr>
        <w:t>—</w:t>
      </w:r>
      <w:r>
        <w:rPr>
          <w:rFonts w:ascii="Times New Roman" w:eastAsia="宋体" w:hAnsi="Times New Roman" w:cs="Times New Roman"/>
          <w:kern w:val="0"/>
        </w:rPr>
        <w:t>东北地区。</w:t>
      </w:r>
    </w:p>
    <w:p w14:paraId="3B83C328" w14:textId="77777777" w:rsidR="009D12AF" w:rsidRDefault="00000000">
      <w:pPr>
        <w:ind w:firstLine="480"/>
        <w:rPr>
          <w:rFonts w:ascii="Times New Roman" w:eastAsia="宋体" w:hAnsi="Times New Roman" w:cs="Times New Roman"/>
          <w:kern w:val="0"/>
        </w:rPr>
      </w:pPr>
      <w:r>
        <w:rPr>
          <w:rFonts w:ascii="Times New Roman" w:eastAsia="宋体" w:hAnsi="Times New Roman" w:cs="Times New Roman"/>
          <w:kern w:val="0"/>
        </w:rPr>
        <w:t>通过对现场调查采集的植物标本鉴定，以及对项目调查范围历年积累的植物区系资料系统的整理，项目调查范围有蕨类植物</w:t>
      </w:r>
      <w:r>
        <w:rPr>
          <w:rFonts w:ascii="Times New Roman" w:eastAsia="宋体" w:hAnsi="Times New Roman" w:cs="Times New Roman"/>
          <w:kern w:val="0"/>
        </w:rPr>
        <w:t>1</w:t>
      </w:r>
      <w:r>
        <w:rPr>
          <w:rFonts w:ascii="Times New Roman" w:eastAsia="宋体" w:hAnsi="Times New Roman" w:cs="Times New Roman"/>
          <w:kern w:val="0"/>
        </w:rPr>
        <w:t>科</w:t>
      </w:r>
      <w:r>
        <w:rPr>
          <w:rFonts w:ascii="Times New Roman" w:eastAsia="宋体" w:hAnsi="Times New Roman" w:cs="Times New Roman"/>
          <w:kern w:val="0"/>
        </w:rPr>
        <w:t>1</w:t>
      </w:r>
      <w:r>
        <w:rPr>
          <w:rFonts w:ascii="Times New Roman" w:eastAsia="宋体" w:hAnsi="Times New Roman" w:cs="Times New Roman"/>
          <w:kern w:val="0"/>
        </w:rPr>
        <w:t>属</w:t>
      </w:r>
      <w:r>
        <w:rPr>
          <w:rFonts w:ascii="Times New Roman" w:eastAsia="宋体" w:hAnsi="Times New Roman" w:cs="Times New Roman"/>
          <w:kern w:val="0"/>
        </w:rPr>
        <w:t>1</w:t>
      </w:r>
      <w:r>
        <w:rPr>
          <w:rFonts w:ascii="Times New Roman" w:eastAsia="宋体" w:hAnsi="Times New Roman" w:cs="Times New Roman"/>
          <w:kern w:val="0"/>
        </w:rPr>
        <w:t>种，种子植物</w:t>
      </w:r>
      <w:r>
        <w:rPr>
          <w:rFonts w:ascii="Times New Roman" w:eastAsia="宋体" w:hAnsi="Times New Roman" w:cs="Times New Roman"/>
          <w:kern w:val="0"/>
        </w:rPr>
        <w:t>30</w:t>
      </w:r>
      <w:r>
        <w:rPr>
          <w:rFonts w:ascii="Times New Roman" w:eastAsia="宋体" w:hAnsi="Times New Roman" w:cs="Times New Roman"/>
          <w:kern w:val="0"/>
        </w:rPr>
        <w:t>科</w:t>
      </w:r>
      <w:r>
        <w:rPr>
          <w:rFonts w:ascii="Times New Roman" w:eastAsia="宋体" w:hAnsi="Times New Roman" w:cs="Times New Roman"/>
          <w:kern w:val="0"/>
        </w:rPr>
        <w:t>57</w:t>
      </w:r>
      <w:r>
        <w:rPr>
          <w:rFonts w:ascii="Times New Roman" w:eastAsia="宋体" w:hAnsi="Times New Roman" w:cs="Times New Roman"/>
          <w:kern w:val="0"/>
        </w:rPr>
        <w:t>属</w:t>
      </w:r>
      <w:r>
        <w:rPr>
          <w:rFonts w:ascii="Times New Roman" w:eastAsia="宋体" w:hAnsi="Times New Roman" w:cs="Times New Roman"/>
          <w:kern w:val="0"/>
        </w:rPr>
        <w:t>67</w:t>
      </w:r>
      <w:r>
        <w:rPr>
          <w:rFonts w:ascii="Times New Roman" w:eastAsia="宋体" w:hAnsi="Times New Roman" w:cs="Times New Roman"/>
          <w:kern w:val="0"/>
        </w:rPr>
        <w:t>种。项目评价范围内蕨类植物科、属、种数分别占黑龙江省蕨类植物总科数、总属数和总种数的</w:t>
      </w:r>
      <w:r>
        <w:rPr>
          <w:rFonts w:ascii="Times New Roman" w:eastAsia="宋体" w:hAnsi="Times New Roman" w:cs="Times New Roman"/>
          <w:kern w:val="0"/>
        </w:rPr>
        <w:t xml:space="preserve"> 6.25%</w:t>
      </w:r>
      <w:r>
        <w:rPr>
          <w:rFonts w:ascii="Times New Roman" w:eastAsia="宋体" w:hAnsi="Times New Roman" w:cs="Times New Roman"/>
          <w:kern w:val="0"/>
        </w:rPr>
        <w:t>、</w:t>
      </w:r>
      <w:r>
        <w:rPr>
          <w:rFonts w:ascii="Times New Roman" w:eastAsia="宋体" w:hAnsi="Times New Roman" w:cs="Times New Roman" w:hint="eastAsia"/>
          <w:kern w:val="0"/>
        </w:rPr>
        <w:t>2</w:t>
      </w:r>
      <w:r>
        <w:rPr>
          <w:rFonts w:ascii="Times New Roman" w:eastAsia="宋体" w:hAnsi="Times New Roman" w:cs="Times New Roman"/>
          <w:kern w:val="0"/>
        </w:rPr>
        <w:t>.94%</w:t>
      </w:r>
      <w:r>
        <w:rPr>
          <w:rFonts w:ascii="Times New Roman" w:eastAsia="宋体" w:hAnsi="Times New Roman" w:cs="Times New Roman"/>
          <w:kern w:val="0"/>
        </w:rPr>
        <w:t>和</w:t>
      </w:r>
      <w:r>
        <w:rPr>
          <w:rFonts w:ascii="Times New Roman" w:eastAsia="宋体" w:hAnsi="Times New Roman" w:cs="Times New Roman"/>
          <w:kern w:val="0"/>
        </w:rPr>
        <w:t xml:space="preserve"> 1.23%</w:t>
      </w:r>
      <w:r>
        <w:rPr>
          <w:rFonts w:ascii="Times New Roman" w:eastAsia="宋体" w:hAnsi="Times New Roman" w:cs="Times New Roman"/>
          <w:kern w:val="0"/>
        </w:rPr>
        <w:t>；种子植物科、属、种数分别占黑龙江省种子植物总科数、总属数和总种数的</w:t>
      </w:r>
      <w:r>
        <w:rPr>
          <w:rFonts w:ascii="Times New Roman" w:eastAsia="宋体" w:hAnsi="Times New Roman" w:cs="Times New Roman"/>
          <w:kern w:val="0"/>
        </w:rPr>
        <w:t xml:space="preserve"> 52.10%</w:t>
      </w:r>
      <w:r>
        <w:rPr>
          <w:rFonts w:ascii="Times New Roman" w:eastAsia="宋体" w:hAnsi="Times New Roman" w:cs="Times New Roman"/>
          <w:kern w:val="0"/>
        </w:rPr>
        <w:t>、</w:t>
      </w:r>
      <w:r>
        <w:rPr>
          <w:rFonts w:ascii="Times New Roman" w:eastAsia="宋体" w:hAnsi="Times New Roman" w:cs="Times New Roman"/>
          <w:kern w:val="0"/>
        </w:rPr>
        <w:t>47.19%</w:t>
      </w:r>
      <w:r>
        <w:rPr>
          <w:rFonts w:ascii="Times New Roman" w:eastAsia="宋体" w:hAnsi="Times New Roman" w:cs="Times New Roman"/>
          <w:kern w:val="0"/>
        </w:rPr>
        <w:t>和</w:t>
      </w:r>
      <w:r>
        <w:rPr>
          <w:rFonts w:ascii="Times New Roman" w:eastAsia="宋体" w:hAnsi="Times New Roman" w:cs="Times New Roman"/>
          <w:kern w:val="0"/>
        </w:rPr>
        <w:t xml:space="preserve"> 28.83%</w:t>
      </w:r>
      <w:r>
        <w:rPr>
          <w:rFonts w:ascii="Times New Roman" w:eastAsia="宋体" w:hAnsi="Times New Roman" w:cs="Times New Roman"/>
          <w:kern w:val="0"/>
        </w:rPr>
        <w:t>，因此评价区内共有维管植物</w:t>
      </w:r>
      <w:r>
        <w:rPr>
          <w:rFonts w:ascii="Times New Roman" w:eastAsia="宋体" w:hAnsi="Times New Roman" w:cs="Times New Roman"/>
          <w:kern w:val="0"/>
        </w:rPr>
        <w:t>31</w:t>
      </w:r>
      <w:r>
        <w:rPr>
          <w:rFonts w:ascii="Times New Roman" w:eastAsia="宋体" w:hAnsi="Times New Roman" w:cs="Times New Roman"/>
          <w:kern w:val="0"/>
        </w:rPr>
        <w:t>科</w:t>
      </w:r>
      <w:r>
        <w:rPr>
          <w:rFonts w:ascii="Times New Roman" w:eastAsia="宋体" w:hAnsi="Times New Roman" w:cs="Times New Roman"/>
          <w:kern w:val="0"/>
        </w:rPr>
        <w:t>58</w:t>
      </w:r>
      <w:r>
        <w:rPr>
          <w:rFonts w:ascii="Times New Roman" w:eastAsia="宋体" w:hAnsi="Times New Roman" w:cs="Times New Roman"/>
          <w:kern w:val="0"/>
        </w:rPr>
        <w:t>属</w:t>
      </w:r>
      <w:r>
        <w:rPr>
          <w:rFonts w:ascii="Times New Roman" w:eastAsia="宋体" w:hAnsi="Times New Roman" w:cs="Times New Roman"/>
          <w:kern w:val="0"/>
        </w:rPr>
        <w:t>68</w:t>
      </w:r>
      <w:r>
        <w:rPr>
          <w:rFonts w:ascii="Times New Roman" w:eastAsia="宋体" w:hAnsi="Times New Roman" w:cs="Times New Roman"/>
          <w:kern w:val="0"/>
        </w:rPr>
        <w:t>种。其中，黑龙江总物种数参考《东北植物检索表</w:t>
      </w:r>
      <w:r>
        <w:rPr>
          <w:rFonts w:ascii="Times New Roman" w:eastAsia="宋体" w:hAnsi="Times New Roman" w:cs="Times New Roman"/>
          <w:kern w:val="0"/>
        </w:rPr>
        <w:t xml:space="preserve"> </w:t>
      </w:r>
      <w:r>
        <w:rPr>
          <w:rFonts w:ascii="Times New Roman" w:eastAsia="宋体" w:hAnsi="Times New Roman" w:cs="Times New Roman"/>
          <w:kern w:val="0"/>
        </w:rPr>
        <w:t>第二版》（傅沛云，</w:t>
      </w:r>
      <w:r>
        <w:rPr>
          <w:rFonts w:ascii="Times New Roman" w:eastAsia="宋体" w:hAnsi="Times New Roman" w:cs="Times New Roman"/>
          <w:kern w:val="0"/>
        </w:rPr>
        <w:t>1995</w:t>
      </w:r>
      <w:r>
        <w:rPr>
          <w:rFonts w:ascii="Times New Roman" w:eastAsia="宋体" w:hAnsi="Times New Roman" w:cs="Times New Roman"/>
          <w:kern w:val="0"/>
        </w:rPr>
        <w:t>），详见表</w:t>
      </w:r>
      <w:r>
        <w:rPr>
          <w:rFonts w:ascii="Times New Roman" w:eastAsia="宋体" w:hAnsi="Times New Roman" w:cs="Times New Roman" w:hint="eastAsia"/>
          <w:kern w:val="0"/>
        </w:rPr>
        <w:t>4.3-49</w:t>
      </w:r>
      <w:r>
        <w:rPr>
          <w:rFonts w:ascii="Times New Roman" w:eastAsia="宋体" w:hAnsi="Times New Roman" w:cs="Times New Roman"/>
          <w:kern w:val="0"/>
        </w:rPr>
        <w:t>。</w:t>
      </w:r>
    </w:p>
    <w:p w14:paraId="48E2AA33" w14:textId="77777777" w:rsidR="009D12AF" w:rsidRDefault="00000000">
      <w:pPr>
        <w:ind w:firstLine="482"/>
        <w:jc w:val="center"/>
        <w:rPr>
          <w:rFonts w:ascii="Times New Roman" w:eastAsia="宋体" w:hAnsi="Times New Roman" w:cs="Times New Roman"/>
          <w:b/>
          <w:bCs/>
          <w:kern w:val="0"/>
        </w:rPr>
      </w:pPr>
      <w:r>
        <w:rPr>
          <w:rFonts w:ascii="Times New Roman" w:eastAsia="宋体" w:hAnsi="Times New Roman" w:cs="Times New Roman" w:hint="eastAsia"/>
          <w:b/>
          <w:bCs/>
          <w:kern w:val="0"/>
        </w:rPr>
        <w:t>表</w:t>
      </w:r>
      <w:r>
        <w:rPr>
          <w:rFonts w:ascii="Times New Roman" w:eastAsia="宋体" w:hAnsi="Times New Roman" w:cs="Times New Roman" w:hint="eastAsia"/>
          <w:b/>
          <w:bCs/>
          <w:kern w:val="0"/>
        </w:rPr>
        <w:t>4.3-49</w:t>
      </w:r>
      <w:r>
        <w:rPr>
          <w:rFonts w:ascii="Times New Roman" w:eastAsia="宋体" w:hAnsi="Times New Roman" w:cs="Times New Roman" w:hint="eastAsia"/>
          <w:b/>
          <w:bCs/>
          <w:kern w:val="0"/>
        </w:rPr>
        <w:t>项目评价区维管植物统计表</w:t>
      </w:r>
    </w:p>
    <w:tbl>
      <w:tblPr>
        <w:tblW w:w="0" w:type="auto"/>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77"/>
        <w:gridCol w:w="584"/>
        <w:gridCol w:w="584"/>
        <w:gridCol w:w="584"/>
        <w:gridCol w:w="689"/>
        <w:gridCol w:w="689"/>
        <w:gridCol w:w="689"/>
        <w:gridCol w:w="689"/>
        <w:gridCol w:w="590"/>
        <w:gridCol w:w="636"/>
        <w:gridCol w:w="691"/>
        <w:gridCol w:w="584"/>
        <w:gridCol w:w="636"/>
      </w:tblGrid>
      <w:tr w:rsidR="009D12AF" w14:paraId="1E040B90" w14:textId="77777777">
        <w:trPr>
          <w:trHeight w:val="266"/>
          <w:jc w:val="center"/>
        </w:trPr>
        <w:tc>
          <w:tcPr>
            <w:tcW w:w="1196" w:type="dxa"/>
            <w:vMerge w:val="restart"/>
            <w:tcBorders>
              <w:tl2br w:val="nil"/>
              <w:tr2bl w:val="nil"/>
            </w:tcBorders>
            <w:vAlign w:val="center"/>
          </w:tcPr>
          <w:p w14:paraId="3AA84A1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项目</w:t>
            </w:r>
          </w:p>
        </w:tc>
        <w:tc>
          <w:tcPr>
            <w:tcW w:w="0" w:type="auto"/>
            <w:gridSpan w:val="3"/>
            <w:vMerge w:val="restart"/>
            <w:tcBorders>
              <w:tl2br w:val="nil"/>
              <w:tr2bl w:val="nil"/>
            </w:tcBorders>
            <w:vAlign w:val="center"/>
          </w:tcPr>
          <w:p w14:paraId="652FD70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蕨类植物</w:t>
            </w:r>
          </w:p>
        </w:tc>
        <w:tc>
          <w:tcPr>
            <w:tcW w:w="4048" w:type="dxa"/>
            <w:gridSpan w:val="6"/>
            <w:tcBorders>
              <w:tl2br w:val="nil"/>
              <w:tr2bl w:val="nil"/>
            </w:tcBorders>
            <w:vAlign w:val="center"/>
          </w:tcPr>
          <w:p w14:paraId="7758427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种子植物</w:t>
            </w:r>
          </w:p>
        </w:tc>
        <w:tc>
          <w:tcPr>
            <w:tcW w:w="1932" w:type="dxa"/>
            <w:gridSpan w:val="3"/>
            <w:vMerge w:val="restart"/>
            <w:tcBorders>
              <w:tl2br w:val="nil"/>
              <w:tr2bl w:val="nil"/>
            </w:tcBorders>
            <w:vAlign w:val="center"/>
          </w:tcPr>
          <w:p w14:paraId="0FFAA7C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维管</w:t>
            </w:r>
            <w:r>
              <w:rPr>
                <w:rFonts w:ascii="Times New Roman" w:eastAsia="宋体" w:hAnsi="Times New Roman" w:cs="Times New Roman"/>
                <w:kern w:val="0"/>
                <w:sz w:val="21"/>
                <w:szCs w:val="21"/>
              </w:rPr>
              <w:t>植物合计</w:t>
            </w:r>
          </w:p>
        </w:tc>
      </w:tr>
      <w:tr w:rsidR="009D12AF" w14:paraId="68CE7E71" w14:textId="77777777">
        <w:trPr>
          <w:trHeight w:val="275"/>
          <w:jc w:val="center"/>
        </w:trPr>
        <w:tc>
          <w:tcPr>
            <w:tcW w:w="1196" w:type="dxa"/>
            <w:vMerge/>
            <w:tcBorders>
              <w:tl2br w:val="nil"/>
              <w:tr2bl w:val="nil"/>
            </w:tcBorders>
            <w:vAlign w:val="center"/>
          </w:tcPr>
          <w:p w14:paraId="1C3C4D9C"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0" w:type="auto"/>
            <w:gridSpan w:val="3"/>
            <w:vMerge/>
            <w:tcBorders>
              <w:tl2br w:val="nil"/>
              <w:tr2bl w:val="nil"/>
            </w:tcBorders>
            <w:vAlign w:val="center"/>
          </w:tcPr>
          <w:p w14:paraId="507A1949"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0" w:type="auto"/>
            <w:gridSpan w:val="3"/>
            <w:tcBorders>
              <w:tl2br w:val="nil"/>
              <w:tr2bl w:val="nil"/>
            </w:tcBorders>
            <w:vAlign w:val="center"/>
          </w:tcPr>
          <w:p w14:paraId="7728E78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裸子植物</w:t>
            </w:r>
          </w:p>
        </w:tc>
        <w:tc>
          <w:tcPr>
            <w:tcW w:w="1981" w:type="dxa"/>
            <w:gridSpan w:val="3"/>
            <w:tcBorders>
              <w:tl2br w:val="nil"/>
              <w:tr2bl w:val="nil"/>
            </w:tcBorders>
            <w:vAlign w:val="center"/>
          </w:tcPr>
          <w:p w14:paraId="7746EFF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被子植物</w:t>
            </w:r>
          </w:p>
        </w:tc>
        <w:tc>
          <w:tcPr>
            <w:tcW w:w="1932" w:type="dxa"/>
            <w:gridSpan w:val="3"/>
            <w:vMerge/>
            <w:tcBorders>
              <w:tl2br w:val="nil"/>
              <w:tr2bl w:val="nil"/>
            </w:tcBorders>
            <w:vAlign w:val="center"/>
          </w:tcPr>
          <w:p w14:paraId="7771EE43"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2ECFFBCC" w14:textId="77777777">
        <w:trPr>
          <w:trHeight w:val="283"/>
          <w:jc w:val="center"/>
        </w:trPr>
        <w:tc>
          <w:tcPr>
            <w:tcW w:w="1196" w:type="dxa"/>
            <w:vMerge/>
            <w:tcBorders>
              <w:tl2br w:val="nil"/>
              <w:tr2bl w:val="nil"/>
            </w:tcBorders>
            <w:vAlign w:val="center"/>
          </w:tcPr>
          <w:p w14:paraId="54D5A9DD"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0" w:type="auto"/>
            <w:tcBorders>
              <w:tl2br w:val="nil"/>
              <w:tr2bl w:val="nil"/>
            </w:tcBorders>
            <w:vAlign w:val="center"/>
          </w:tcPr>
          <w:p w14:paraId="23E263F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科</w:t>
            </w:r>
          </w:p>
        </w:tc>
        <w:tc>
          <w:tcPr>
            <w:tcW w:w="0" w:type="auto"/>
            <w:tcBorders>
              <w:tl2br w:val="nil"/>
              <w:tr2bl w:val="nil"/>
            </w:tcBorders>
            <w:vAlign w:val="center"/>
          </w:tcPr>
          <w:p w14:paraId="3F20FA8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属</w:t>
            </w:r>
          </w:p>
        </w:tc>
        <w:tc>
          <w:tcPr>
            <w:tcW w:w="0" w:type="auto"/>
            <w:tcBorders>
              <w:tl2br w:val="nil"/>
              <w:tr2bl w:val="nil"/>
            </w:tcBorders>
            <w:vAlign w:val="center"/>
          </w:tcPr>
          <w:p w14:paraId="6F37EF0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种</w:t>
            </w:r>
          </w:p>
        </w:tc>
        <w:tc>
          <w:tcPr>
            <w:tcW w:w="0" w:type="auto"/>
            <w:tcBorders>
              <w:tl2br w:val="nil"/>
              <w:tr2bl w:val="nil"/>
            </w:tcBorders>
            <w:vAlign w:val="center"/>
          </w:tcPr>
          <w:p w14:paraId="4FDA8FA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科</w:t>
            </w:r>
          </w:p>
        </w:tc>
        <w:tc>
          <w:tcPr>
            <w:tcW w:w="0" w:type="auto"/>
            <w:tcBorders>
              <w:tl2br w:val="nil"/>
              <w:tr2bl w:val="nil"/>
            </w:tcBorders>
            <w:vAlign w:val="center"/>
          </w:tcPr>
          <w:p w14:paraId="0EC6C47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属</w:t>
            </w:r>
          </w:p>
        </w:tc>
        <w:tc>
          <w:tcPr>
            <w:tcW w:w="0" w:type="auto"/>
            <w:tcBorders>
              <w:tl2br w:val="nil"/>
              <w:tr2bl w:val="nil"/>
            </w:tcBorders>
            <w:vAlign w:val="center"/>
          </w:tcPr>
          <w:p w14:paraId="7A6C53F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种</w:t>
            </w:r>
          </w:p>
        </w:tc>
        <w:tc>
          <w:tcPr>
            <w:tcW w:w="689" w:type="dxa"/>
            <w:tcBorders>
              <w:tl2br w:val="nil"/>
              <w:tr2bl w:val="nil"/>
            </w:tcBorders>
            <w:vAlign w:val="center"/>
          </w:tcPr>
          <w:p w14:paraId="28DED85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科</w:t>
            </w:r>
          </w:p>
        </w:tc>
        <w:tc>
          <w:tcPr>
            <w:tcW w:w="656" w:type="dxa"/>
            <w:tcBorders>
              <w:tl2br w:val="nil"/>
              <w:tr2bl w:val="nil"/>
            </w:tcBorders>
            <w:vAlign w:val="center"/>
          </w:tcPr>
          <w:p w14:paraId="081D795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属</w:t>
            </w:r>
          </w:p>
        </w:tc>
        <w:tc>
          <w:tcPr>
            <w:tcW w:w="636" w:type="dxa"/>
            <w:tcBorders>
              <w:tl2br w:val="nil"/>
              <w:tr2bl w:val="nil"/>
            </w:tcBorders>
            <w:vAlign w:val="center"/>
          </w:tcPr>
          <w:p w14:paraId="6DC3BC6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种</w:t>
            </w:r>
          </w:p>
        </w:tc>
        <w:tc>
          <w:tcPr>
            <w:tcW w:w="712" w:type="dxa"/>
            <w:tcBorders>
              <w:tl2br w:val="nil"/>
              <w:tr2bl w:val="nil"/>
            </w:tcBorders>
            <w:vAlign w:val="center"/>
          </w:tcPr>
          <w:p w14:paraId="091F295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科</w:t>
            </w:r>
          </w:p>
        </w:tc>
        <w:tc>
          <w:tcPr>
            <w:tcW w:w="0" w:type="auto"/>
            <w:tcBorders>
              <w:tl2br w:val="nil"/>
              <w:tr2bl w:val="nil"/>
            </w:tcBorders>
            <w:vAlign w:val="center"/>
          </w:tcPr>
          <w:p w14:paraId="0B8290F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属</w:t>
            </w:r>
          </w:p>
        </w:tc>
        <w:tc>
          <w:tcPr>
            <w:tcW w:w="0" w:type="auto"/>
            <w:tcBorders>
              <w:tl2br w:val="nil"/>
              <w:tr2bl w:val="nil"/>
            </w:tcBorders>
            <w:vAlign w:val="center"/>
          </w:tcPr>
          <w:p w14:paraId="2AFFB50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种</w:t>
            </w:r>
          </w:p>
        </w:tc>
      </w:tr>
      <w:tr w:rsidR="009D12AF" w14:paraId="005C85B8" w14:textId="77777777">
        <w:trPr>
          <w:trHeight w:val="266"/>
          <w:jc w:val="center"/>
        </w:trPr>
        <w:tc>
          <w:tcPr>
            <w:tcW w:w="1196" w:type="dxa"/>
            <w:tcBorders>
              <w:tl2br w:val="nil"/>
              <w:tr2bl w:val="nil"/>
            </w:tcBorders>
            <w:vAlign w:val="center"/>
          </w:tcPr>
          <w:p w14:paraId="7BFB946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项目所在范围</w:t>
            </w:r>
          </w:p>
        </w:tc>
        <w:tc>
          <w:tcPr>
            <w:tcW w:w="0" w:type="auto"/>
            <w:tcBorders>
              <w:tl2br w:val="nil"/>
              <w:tr2bl w:val="nil"/>
            </w:tcBorders>
            <w:vAlign w:val="center"/>
          </w:tcPr>
          <w:p w14:paraId="7D7A193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p>
        </w:tc>
        <w:tc>
          <w:tcPr>
            <w:tcW w:w="0" w:type="auto"/>
            <w:tcBorders>
              <w:tl2br w:val="nil"/>
              <w:tr2bl w:val="nil"/>
            </w:tcBorders>
            <w:vAlign w:val="center"/>
          </w:tcPr>
          <w:p w14:paraId="5025A04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p>
        </w:tc>
        <w:tc>
          <w:tcPr>
            <w:tcW w:w="0" w:type="auto"/>
            <w:tcBorders>
              <w:tl2br w:val="nil"/>
              <w:tr2bl w:val="nil"/>
            </w:tcBorders>
            <w:vAlign w:val="center"/>
          </w:tcPr>
          <w:p w14:paraId="4E81B8A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p>
        </w:tc>
        <w:tc>
          <w:tcPr>
            <w:tcW w:w="0" w:type="auto"/>
            <w:tcBorders>
              <w:tl2br w:val="nil"/>
              <w:tr2bl w:val="nil"/>
            </w:tcBorders>
            <w:vAlign w:val="center"/>
          </w:tcPr>
          <w:p w14:paraId="6195ACB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p>
        </w:tc>
        <w:tc>
          <w:tcPr>
            <w:tcW w:w="0" w:type="auto"/>
            <w:tcBorders>
              <w:tl2br w:val="nil"/>
              <w:tr2bl w:val="nil"/>
            </w:tcBorders>
            <w:vAlign w:val="center"/>
          </w:tcPr>
          <w:p w14:paraId="4610D93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w:t>
            </w:r>
          </w:p>
        </w:tc>
        <w:tc>
          <w:tcPr>
            <w:tcW w:w="0" w:type="auto"/>
            <w:tcBorders>
              <w:tl2br w:val="nil"/>
              <w:tr2bl w:val="nil"/>
            </w:tcBorders>
            <w:vAlign w:val="center"/>
          </w:tcPr>
          <w:p w14:paraId="0F69741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w:t>
            </w:r>
          </w:p>
        </w:tc>
        <w:tc>
          <w:tcPr>
            <w:tcW w:w="689" w:type="dxa"/>
            <w:tcBorders>
              <w:tl2br w:val="nil"/>
              <w:tr2bl w:val="nil"/>
            </w:tcBorders>
            <w:vAlign w:val="center"/>
          </w:tcPr>
          <w:p w14:paraId="5B98364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w:t>
            </w:r>
            <w:r>
              <w:rPr>
                <w:rFonts w:ascii="Times New Roman" w:eastAsia="宋体" w:hAnsi="Times New Roman" w:cs="Times New Roman"/>
                <w:kern w:val="0"/>
                <w:sz w:val="21"/>
                <w:szCs w:val="21"/>
              </w:rPr>
              <w:t>9</w:t>
            </w:r>
          </w:p>
        </w:tc>
        <w:tc>
          <w:tcPr>
            <w:tcW w:w="656" w:type="dxa"/>
            <w:tcBorders>
              <w:tl2br w:val="nil"/>
              <w:tr2bl w:val="nil"/>
            </w:tcBorders>
            <w:vAlign w:val="center"/>
          </w:tcPr>
          <w:p w14:paraId="796829E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w:t>
            </w:r>
            <w:r>
              <w:rPr>
                <w:rFonts w:ascii="Times New Roman" w:eastAsia="宋体" w:hAnsi="Times New Roman" w:cs="Times New Roman"/>
                <w:kern w:val="0"/>
                <w:sz w:val="21"/>
                <w:szCs w:val="21"/>
              </w:rPr>
              <w:t>4</w:t>
            </w:r>
          </w:p>
        </w:tc>
        <w:tc>
          <w:tcPr>
            <w:tcW w:w="636" w:type="dxa"/>
            <w:tcBorders>
              <w:tl2br w:val="nil"/>
              <w:tr2bl w:val="nil"/>
            </w:tcBorders>
            <w:vAlign w:val="center"/>
          </w:tcPr>
          <w:p w14:paraId="2C1C350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6</w:t>
            </w:r>
            <w:r>
              <w:rPr>
                <w:rFonts w:ascii="Times New Roman" w:eastAsia="宋体" w:hAnsi="Times New Roman" w:cs="Times New Roman"/>
                <w:kern w:val="0"/>
                <w:sz w:val="21"/>
                <w:szCs w:val="21"/>
              </w:rPr>
              <w:t>3</w:t>
            </w:r>
          </w:p>
        </w:tc>
        <w:tc>
          <w:tcPr>
            <w:tcW w:w="712" w:type="dxa"/>
            <w:tcBorders>
              <w:tl2br w:val="nil"/>
              <w:tr2bl w:val="nil"/>
            </w:tcBorders>
            <w:vAlign w:val="center"/>
          </w:tcPr>
          <w:p w14:paraId="512BD4C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w:t>
            </w:r>
            <w:r>
              <w:rPr>
                <w:rFonts w:ascii="Times New Roman" w:eastAsia="宋体" w:hAnsi="Times New Roman" w:cs="Times New Roman"/>
                <w:kern w:val="0"/>
                <w:sz w:val="21"/>
                <w:szCs w:val="21"/>
              </w:rPr>
              <w:t>1</w:t>
            </w:r>
          </w:p>
        </w:tc>
        <w:tc>
          <w:tcPr>
            <w:tcW w:w="0" w:type="auto"/>
            <w:tcBorders>
              <w:tl2br w:val="nil"/>
              <w:tr2bl w:val="nil"/>
            </w:tcBorders>
            <w:vAlign w:val="center"/>
          </w:tcPr>
          <w:p w14:paraId="198E410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58</w:t>
            </w:r>
          </w:p>
        </w:tc>
        <w:tc>
          <w:tcPr>
            <w:tcW w:w="0" w:type="auto"/>
            <w:tcBorders>
              <w:tl2br w:val="nil"/>
              <w:tr2bl w:val="nil"/>
            </w:tcBorders>
            <w:vAlign w:val="center"/>
          </w:tcPr>
          <w:p w14:paraId="0160F9D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6</w:t>
            </w:r>
            <w:r>
              <w:rPr>
                <w:rFonts w:ascii="Times New Roman" w:eastAsia="宋体" w:hAnsi="Times New Roman" w:cs="Times New Roman"/>
                <w:kern w:val="0"/>
                <w:sz w:val="21"/>
                <w:szCs w:val="21"/>
              </w:rPr>
              <w:t>8</w:t>
            </w:r>
          </w:p>
        </w:tc>
      </w:tr>
      <w:tr w:rsidR="009D12AF" w14:paraId="2D36B77D" w14:textId="77777777">
        <w:trPr>
          <w:trHeight w:val="266"/>
          <w:jc w:val="center"/>
        </w:trPr>
        <w:tc>
          <w:tcPr>
            <w:tcW w:w="1196" w:type="dxa"/>
            <w:tcBorders>
              <w:tl2br w:val="nil"/>
              <w:tr2bl w:val="nil"/>
            </w:tcBorders>
            <w:vAlign w:val="center"/>
          </w:tcPr>
          <w:p w14:paraId="78829F8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黑龙江省</w:t>
            </w:r>
          </w:p>
        </w:tc>
        <w:tc>
          <w:tcPr>
            <w:tcW w:w="0" w:type="auto"/>
            <w:tcBorders>
              <w:tl2br w:val="nil"/>
              <w:tr2bl w:val="nil"/>
            </w:tcBorders>
            <w:vAlign w:val="center"/>
          </w:tcPr>
          <w:p w14:paraId="463033B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6</w:t>
            </w:r>
          </w:p>
        </w:tc>
        <w:tc>
          <w:tcPr>
            <w:tcW w:w="0" w:type="auto"/>
            <w:tcBorders>
              <w:tl2br w:val="nil"/>
              <w:tr2bl w:val="nil"/>
            </w:tcBorders>
            <w:vAlign w:val="center"/>
          </w:tcPr>
          <w:p w14:paraId="423D8E5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w:t>
            </w:r>
            <w:r>
              <w:rPr>
                <w:rFonts w:ascii="Times New Roman" w:eastAsia="宋体" w:hAnsi="Times New Roman" w:cs="Times New Roman"/>
                <w:kern w:val="0"/>
                <w:sz w:val="21"/>
                <w:szCs w:val="21"/>
              </w:rPr>
              <w:t>4</w:t>
            </w:r>
          </w:p>
        </w:tc>
        <w:tc>
          <w:tcPr>
            <w:tcW w:w="0" w:type="auto"/>
            <w:tcBorders>
              <w:tl2br w:val="nil"/>
              <w:tr2bl w:val="nil"/>
            </w:tcBorders>
            <w:vAlign w:val="center"/>
          </w:tcPr>
          <w:p w14:paraId="4E8A475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8</w:t>
            </w:r>
            <w:r>
              <w:rPr>
                <w:rFonts w:ascii="Times New Roman" w:eastAsia="宋体" w:hAnsi="Times New Roman" w:cs="Times New Roman"/>
                <w:kern w:val="0"/>
                <w:sz w:val="21"/>
                <w:szCs w:val="21"/>
              </w:rPr>
              <w:t>1</w:t>
            </w:r>
          </w:p>
        </w:tc>
        <w:tc>
          <w:tcPr>
            <w:tcW w:w="0" w:type="auto"/>
            <w:tcBorders>
              <w:tl2br w:val="nil"/>
              <w:tr2bl w:val="nil"/>
            </w:tcBorders>
            <w:vAlign w:val="center"/>
          </w:tcPr>
          <w:p w14:paraId="29DED29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4</w:t>
            </w:r>
          </w:p>
        </w:tc>
        <w:tc>
          <w:tcPr>
            <w:tcW w:w="0" w:type="auto"/>
            <w:tcBorders>
              <w:tl2br w:val="nil"/>
              <w:tr2bl w:val="nil"/>
            </w:tcBorders>
            <w:vAlign w:val="center"/>
          </w:tcPr>
          <w:p w14:paraId="6442588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8</w:t>
            </w:r>
          </w:p>
        </w:tc>
        <w:tc>
          <w:tcPr>
            <w:tcW w:w="0" w:type="auto"/>
            <w:tcBorders>
              <w:tl2br w:val="nil"/>
              <w:tr2bl w:val="nil"/>
            </w:tcBorders>
            <w:vAlign w:val="center"/>
          </w:tcPr>
          <w:p w14:paraId="604B132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16</w:t>
            </w:r>
          </w:p>
        </w:tc>
        <w:tc>
          <w:tcPr>
            <w:tcW w:w="689" w:type="dxa"/>
            <w:tcBorders>
              <w:tl2br w:val="nil"/>
              <w:tr2bl w:val="nil"/>
            </w:tcBorders>
            <w:vAlign w:val="center"/>
          </w:tcPr>
          <w:p w14:paraId="3B2B80E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107</w:t>
            </w:r>
          </w:p>
        </w:tc>
        <w:tc>
          <w:tcPr>
            <w:tcW w:w="656" w:type="dxa"/>
            <w:tcBorders>
              <w:tl2br w:val="nil"/>
              <w:tr2bl w:val="nil"/>
            </w:tcBorders>
            <w:vAlign w:val="center"/>
          </w:tcPr>
          <w:p w14:paraId="0EFD432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557</w:t>
            </w:r>
          </w:p>
        </w:tc>
        <w:tc>
          <w:tcPr>
            <w:tcW w:w="636" w:type="dxa"/>
            <w:tcBorders>
              <w:tl2br w:val="nil"/>
              <w:tr2bl w:val="nil"/>
            </w:tcBorders>
            <w:vAlign w:val="center"/>
          </w:tcPr>
          <w:p w14:paraId="25055D0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1647</w:t>
            </w:r>
          </w:p>
        </w:tc>
        <w:tc>
          <w:tcPr>
            <w:tcW w:w="712" w:type="dxa"/>
            <w:tcBorders>
              <w:tl2br w:val="nil"/>
              <w:tr2bl w:val="nil"/>
            </w:tcBorders>
            <w:vAlign w:val="center"/>
          </w:tcPr>
          <w:p w14:paraId="59CF6C3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111</w:t>
            </w:r>
          </w:p>
        </w:tc>
        <w:tc>
          <w:tcPr>
            <w:tcW w:w="0" w:type="auto"/>
            <w:tcBorders>
              <w:tl2br w:val="nil"/>
              <w:tr2bl w:val="nil"/>
            </w:tcBorders>
            <w:vAlign w:val="center"/>
          </w:tcPr>
          <w:p w14:paraId="0576CE6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565</w:t>
            </w:r>
          </w:p>
        </w:tc>
        <w:tc>
          <w:tcPr>
            <w:tcW w:w="0" w:type="auto"/>
            <w:tcBorders>
              <w:tl2br w:val="nil"/>
              <w:tr2bl w:val="nil"/>
            </w:tcBorders>
            <w:vAlign w:val="center"/>
          </w:tcPr>
          <w:p w14:paraId="39D7F74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1663</w:t>
            </w:r>
          </w:p>
        </w:tc>
      </w:tr>
      <w:tr w:rsidR="009D12AF" w14:paraId="4C1EEE83" w14:textId="77777777">
        <w:trPr>
          <w:trHeight w:val="266"/>
          <w:jc w:val="center"/>
        </w:trPr>
        <w:tc>
          <w:tcPr>
            <w:tcW w:w="1196" w:type="dxa"/>
            <w:tcBorders>
              <w:tl2br w:val="nil"/>
              <w:tr2bl w:val="nil"/>
            </w:tcBorders>
            <w:vAlign w:val="center"/>
          </w:tcPr>
          <w:p w14:paraId="2729F59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占黑龙江</w:t>
            </w:r>
            <w:r>
              <w:rPr>
                <w:rFonts w:ascii="Times New Roman" w:eastAsia="宋体" w:hAnsi="Times New Roman" w:cs="Times New Roman" w:hint="eastAsia"/>
                <w:kern w:val="0"/>
                <w:sz w:val="21"/>
                <w:szCs w:val="21"/>
              </w:rPr>
              <w:t>（</w:t>
            </w:r>
            <w:r>
              <w:rPr>
                <w:rFonts w:ascii="Times New Roman" w:eastAsia="宋体" w:hAnsi="Times New Roman" w:cs="Times New Roman"/>
                <w:kern w:val="0"/>
                <w:sz w:val="21"/>
                <w:szCs w:val="21"/>
              </w:rPr>
              <w:t>％</w:t>
            </w:r>
            <w:r>
              <w:rPr>
                <w:rFonts w:ascii="Times New Roman" w:eastAsia="宋体" w:hAnsi="Times New Roman" w:cs="Times New Roman" w:hint="eastAsia"/>
                <w:kern w:val="0"/>
                <w:sz w:val="21"/>
                <w:szCs w:val="21"/>
              </w:rPr>
              <w:t>）</w:t>
            </w:r>
          </w:p>
        </w:tc>
        <w:tc>
          <w:tcPr>
            <w:tcW w:w="0" w:type="auto"/>
            <w:tcBorders>
              <w:tl2br w:val="nil"/>
              <w:tr2bl w:val="nil"/>
            </w:tcBorders>
            <w:vAlign w:val="center"/>
          </w:tcPr>
          <w:p w14:paraId="0FBEE6F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6</w:t>
            </w:r>
            <w:r>
              <w:rPr>
                <w:rFonts w:ascii="Times New Roman" w:eastAsia="宋体" w:hAnsi="Times New Roman" w:cs="Times New Roman"/>
                <w:kern w:val="0"/>
                <w:sz w:val="21"/>
                <w:szCs w:val="21"/>
              </w:rPr>
              <w:t>.25</w:t>
            </w:r>
          </w:p>
        </w:tc>
        <w:tc>
          <w:tcPr>
            <w:tcW w:w="0" w:type="auto"/>
            <w:tcBorders>
              <w:tl2br w:val="nil"/>
              <w:tr2bl w:val="nil"/>
            </w:tcBorders>
            <w:vAlign w:val="center"/>
          </w:tcPr>
          <w:p w14:paraId="29AF4E0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w:t>
            </w:r>
            <w:r>
              <w:rPr>
                <w:rFonts w:ascii="Times New Roman" w:eastAsia="宋体" w:hAnsi="Times New Roman" w:cs="Times New Roman"/>
                <w:kern w:val="0"/>
                <w:sz w:val="21"/>
                <w:szCs w:val="21"/>
              </w:rPr>
              <w:t>.94</w:t>
            </w:r>
          </w:p>
        </w:tc>
        <w:tc>
          <w:tcPr>
            <w:tcW w:w="0" w:type="auto"/>
            <w:tcBorders>
              <w:tl2br w:val="nil"/>
              <w:tr2bl w:val="nil"/>
            </w:tcBorders>
            <w:vAlign w:val="center"/>
          </w:tcPr>
          <w:p w14:paraId="455204A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.23</w:t>
            </w:r>
          </w:p>
        </w:tc>
        <w:tc>
          <w:tcPr>
            <w:tcW w:w="0" w:type="auto"/>
            <w:tcBorders>
              <w:tl2br w:val="nil"/>
              <w:tr2bl w:val="nil"/>
            </w:tcBorders>
            <w:vAlign w:val="center"/>
          </w:tcPr>
          <w:p w14:paraId="7689D39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25.00</w:t>
            </w:r>
          </w:p>
        </w:tc>
        <w:tc>
          <w:tcPr>
            <w:tcW w:w="0" w:type="auto"/>
            <w:tcBorders>
              <w:tl2br w:val="nil"/>
              <w:tr2bl w:val="nil"/>
            </w:tcBorders>
            <w:vAlign w:val="center"/>
          </w:tcPr>
          <w:p w14:paraId="2086F59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w:t>
            </w:r>
            <w:r>
              <w:rPr>
                <w:rFonts w:ascii="Times New Roman" w:eastAsia="宋体" w:hAnsi="Times New Roman" w:cs="Times New Roman"/>
                <w:kern w:val="0"/>
                <w:sz w:val="21"/>
                <w:szCs w:val="21"/>
              </w:rPr>
              <w:t>7.50</w:t>
            </w:r>
          </w:p>
        </w:tc>
        <w:tc>
          <w:tcPr>
            <w:tcW w:w="0" w:type="auto"/>
            <w:tcBorders>
              <w:tl2br w:val="nil"/>
              <w:tr2bl w:val="nil"/>
            </w:tcBorders>
            <w:vAlign w:val="center"/>
          </w:tcPr>
          <w:p w14:paraId="748767A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w:t>
            </w:r>
            <w:r>
              <w:rPr>
                <w:rFonts w:ascii="Times New Roman" w:eastAsia="宋体" w:hAnsi="Times New Roman" w:cs="Times New Roman"/>
                <w:kern w:val="0"/>
                <w:sz w:val="21"/>
                <w:szCs w:val="21"/>
              </w:rPr>
              <w:t>5.00</w:t>
            </w:r>
          </w:p>
        </w:tc>
        <w:tc>
          <w:tcPr>
            <w:tcW w:w="689" w:type="dxa"/>
            <w:tcBorders>
              <w:tl2br w:val="nil"/>
              <w:tr2bl w:val="nil"/>
            </w:tcBorders>
            <w:vAlign w:val="center"/>
          </w:tcPr>
          <w:p w14:paraId="09A089C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w:t>
            </w:r>
            <w:r>
              <w:rPr>
                <w:rFonts w:ascii="Times New Roman" w:eastAsia="宋体" w:hAnsi="Times New Roman" w:cs="Times New Roman"/>
                <w:kern w:val="0"/>
                <w:sz w:val="21"/>
                <w:szCs w:val="21"/>
              </w:rPr>
              <w:t>7.10</w:t>
            </w:r>
          </w:p>
        </w:tc>
        <w:tc>
          <w:tcPr>
            <w:tcW w:w="656" w:type="dxa"/>
            <w:tcBorders>
              <w:tl2br w:val="nil"/>
              <w:tr2bl w:val="nil"/>
            </w:tcBorders>
            <w:vAlign w:val="center"/>
          </w:tcPr>
          <w:p w14:paraId="6ED2409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9</w:t>
            </w:r>
            <w:r>
              <w:rPr>
                <w:rFonts w:ascii="Times New Roman" w:eastAsia="宋体" w:hAnsi="Times New Roman" w:cs="Times New Roman"/>
                <w:kern w:val="0"/>
                <w:sz w:val="21"/>
                <w:szCs w:val="21"/>
              </w:rPr>
              <w:t>.69</w:t>
            </w:r>
          </w:p>
        </w:tc>
        <w:tc>
          <w:tcPr>
            <w:tcW w:w="636" w:type="dxa"/>
            <w:tcBorders>
              <w:tl2br w:val="nil"/>
              <w:tr2bl w:val="nil"/>
            </w:tcBorders>
            <w:vAlign w:val="center"/>
          </w:tcPr>
          <w:p w14:paraId="13044AD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w:t>
            </w:r>
            <w:r>
              <w:rPr>
                <w:rFonts w:ascii="Times New Roman" w:eastAsia="宋体" w:hAnsi="Times New Roman" w:cs="Times New Roman"/>
                <w:kern w:val="0"/>
                <w:sz w:val="21"/>
                <w:szCs w:val="21"/>
              </w:rPr>
              <w:t>.83</w:t>
            </w:r>
          </w:p>
        </w:tc>
        <w:tc>
          <w:tcPr>
            <w:tcW w:w="712" w:type="dxa"/>
            <w:tcBorders>
              <w:tl2br w:val="nil"/>
              <w:tr2bl w:val="nil"/>
            </w:tcBorders>
            <w:vAlign w:val="center"/>
          </w:tcPr>
          <w:p w14:paraId="26B7719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w:t>
            </w:r>
            <w:r>
              <w:rPr>
                <w:rFonts w:ascii="Times New Roman" w:eastAsia="宋体" w:hAnsi="Times New Roman" w:cs="Times New Roman"/>
                <w:kern w:val="0"/>
                <w:sz w:val="21"/>
                <w:szCs w:val="21"/>
              </w:rPr>
              <w:t>7.93</w:t>
            </w:r>
          </w:p>
        </w:tc>
        <w:tc>
          <w:tcPr>
            <w:tcW w:w="0" w:type="auto"/>
            <w:tcBorders>
              <w:tl2br w:val="nil"/>
              <w:tr2bl w:val="nil"/>
            </w:tcBorders>
            <w:vAlign w:val="center"/>
          </w:tcPr>
          <w:p w14:paraId="668CBD9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8</w:t>
            </w:r>
            <w:r>
              <w:rPr>
                <w:rFonts w:ascii="Times New Roman" w:eastAsia="宋体" w:hAnsi="Times New Roman" w:cs="Times New Roman"/>
                <w:kern w:val="0"/>
                <w:sz w:val="21"/>
                <w:szCs w:val="21"/>
              </w:rPr>
              <w:t>.50</w:t>
            </w:r>
          </w:p>
        </w:tc>
        <w:tc>
          <w:tcPr>
            <w:tcW w:w="0" w:type="auto"/>
            <w:tcBorders>
              <w:tl2br w:val="nil"/>
              <w:tr2bl w:val="nil"/>
            </w:tcBorders>
            <w:vAlign w:val="center"/>
          </w:tcPr>
          <w:p w14:paraId="4053062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w:t>
            </w:r>
            <w:r>
              <w:rPr>
                <w:rFonts w:ascii="Times New Roman" w:eastAsia="宋体" w:hAnsi="Times New Roman" w:cs="Times New Roman"/>
                <w:kern w:val="0"/>
                <w:sz w:val="21"/>
                <w:szCs w:val="21"/>
              </w:rPr>
              <w:t>.09</w:t>
            </w:r>
          </w:p>
        </w:tc>
      </w:tr>
    </w:tbl>
    <w:p w14:paraId="59B0FF37" w14:textId="77777777" w:rsidR="009D12AF" w:rsidRDefault="00000000">
      <w:pPr>
        <w:ind w:firstLine="480"/>
      </w:pPr>
      <w:r>
        <w:rPr>
          <w:rFonts w:hint="eastAsia"/>
        </w:rPr>
        <w:t>五、植物区系特征</w:t>
      </w:r>
    </w:p>
    <w:p w14:paraId="763BC2D5" w14:textId="77777777" w:rsidR="009D12AF" w:rsidRDefault="00000000">
      <w:pPr>
        <w:widowControl/>
        <w:ind w:firstLine="480"/>
        <w:jc w:val="left"/>
        <w:rPr>
          <w:rFonts w:ascii="Times New Roman" w:eastAsia="宋体" w:hAnsi="Times New Roman" w:cs="Times New Roman"/>
          <w:kern w:val="0"/>
        </w:rPr>
      </w:pPr>
      <w:r>
        <w:rPr>
          <w:rFonts w:ascii="宋体" w:eastAsia="宋体" w:hAnsi="宋体" w:cs="宋体"/>
          <w:kern w:val="0"/>
        </w:rPr>
        <w:t>项目调查范围内种子植物属按照吴征镒关于中国种子植物属的分布区类型系统 （</w:t>
      </w:r>
      <w:r>
        <w:rPr>
          <w:rFonts w:ascii="Times New Roman" w:eastAsia="宋体" w:hAnsi="Times New Roman" w:cs="Times New Roman"/>
          <w:kern w:val="0"/>
        </w:rPr>
        <w:t>1991</w:t>
      </w:r>
      <w:r>
        <w:rPr>
          <w:rFonts w:ascii="宋体" w:eastAsia="宋体" w:hAnsi="宋体" w:cs="宋体"/>
          <w:kern w:val="0"/>
        </w:rPr>
        <w:t xml:space="preserve"> 年、</w:t>
      </w:r>
      <w:r>
        <w:rPr>
          <w:rFonts w:ascii="Times New Roman" w:eastAsia="宋体" w:hAnsi="Times New Roman" w:cs="Times New Roman"/>
          <w:kern w:val="0"/>
        </w:rPr>
        <w:t xml:space="preserve">1993 </w:t>
      </w:r>
      <w:r>
        <w:rPr>
          <w:rFonts w:ascii="宋体" w:eastAsia="宋体" w:hAnsi="宋体" w:cs="宋体"/>
          <w:kern w:val="0"/>
        </w:rPr>
        <w:t>年），将项目调查范围内种子植物</w:t>
      </w:r>
      <w:r>
        <w:rPr>
          <w:rFonts w:ascii="Times New Roman" w:eastAsia="宋体" w:hAnsi="Times New Roman" w:cs="Times New Roman"/>
          <w:kern w:val="0"/>
        </w:rPr>
        <w:t>58</w:t>
      </w:r>
      <w:r>
        <w:rPr>
          <w:rFonts w:ascii="宋体" w:eastAsia="宋体" w:hAnsi="宋体" w:cs="宋体"/>
          <w:kern w:val="0"/>
        </w:rPr>
        <w:t>属划分为</w:t>
      </w:r>
      <w:r>
        <w:rPr>
          <w:rFonts w:ascii="Times New Roman" w:eastAsia="宋体" w:hAnsi="Times New Roman" w:cs="Times New Roman"/>
          <w:kern w:val="0"/>
        </w:rPr>
        <w:t>15</w:t>
      </w:r>
      <w:r>
        <w:rPr>
          <w:rFonts w:ascii="宋体" w:eastAsia="宋体" w:hAnsi="宋体" w:cs="宋体"/>
          <w:kern w:val="0"/>
        </w:rPr>
        <w:t>个分布区类型具体详见表</w:t>
      </w:r>
      <w:r>
        <w:rPr>
          <w:rFonts w:ascii="Times New Roman" w:eastAsia="宋体" w:hAnsi="Times New Roman" w:cs="Times New Roman" w:hint="eastAsia"/>
          <w:kern w:val="0"/>
        </w:rPr>
        <w:t>4.3-50</w:t>
      </w:r>
      <w:r>
        <w:rPr>
          <w:rFonts w:ascii="Times New Roman" w:eastAsia="宋体" w:hAnsi="Times New Roman" w:cs="Times New Roman"/>
          <w:kern w:val="0"/>
        </w:rPr>
        <w:t>。</w:t>
      </w:r>
    </w:p>
    <w:p w14:paraId="6DAE6E1F" w14:textId="77777777" w:rsidR="009D12AF" w:rsidRDefault="00000000">
      <w:pPr>
        <w:ind w:firstLine="482"/>
        <w:jc w:val="center"/>
        <w:rPr>
          <w:b/>
          <w:bCs/>
        </w:rPr>
      </w:pPr>
      <w:r>
        <w:rPr>
          <w:b/>
          <w:bCs/>
        </w:rPr>
        <w:t>表</w:t>
      </w:r>
      <w:r>
        <w:rPr>
          <w:rFonts w:ascii="Times New Roman" w:eastAsia="宋体" w:hAnsi="Times New Roman" w:cs="Times New Roman" w:hint="eastAsia"/>
          <w:b/>
          <w:bCs/>
          <w:kern w:val="0"/>
        </w:rPr>
        <w:t>4.3-50</w:t>
      </w:r>
      <w:r>
        <w:rPr>
          <w:b/>
          <w:bCs/>
        </w:rPr>
        <w:t xml:space="preserve">   </w:t>
      </w:r>
      <w:r>
        <w:rPr>
          <w:rFonts w:hint="eastAsia"/>
          <w:b/>
          <w:bCs/>
        </w:rPr>
        <w:t>项目调查范围种子植物属的分布区类型统计</w:t>
      </w:r>
    </w:p>
    <w:tbl>
      <w:tblPr>
        <w:tblpPr w:leftFromText="181" w:rightFromText="181" w:bottomFromText="119" w:vertAnchor="text" w:tblpXSpec="center" w:tblpY="1"/>
        <w:tblOverlap w:val="never"/>
        <w:tblW w:w="4999"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553"/>
        <w:gridCol w:w="2462"/>
        <w:gridCol w:w="1026"/>
        <w:gridCol w:w="888"/>
        <w:gridCol w:w="1252"/>
        <w:gridCol w:w="1339"/>
      </w:tblGrid>
      <w:tr w:rsidR="009D12AF" w14:paraId="30E6D281" w14:textId="77777777">
        <w:trPr>
          <w:trHeight w:val="231"/>
        </w:trPr>
        <w:tc>
          <w:tcPr>
            <w:tcW w:w="911" w:type="pct"/>
            <w:vMerge w:val="restart"/>
            <w:tcBorders>
              <w:tl2br w:val="nil"/>
              <w:tr2bl w:val="nil"/>
            </w:tcBorders>
            <w:vAlign w:val="center"/>
          </w:tcPr>
          <w:p w14:paraId="57C38822"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分布区成分类别</w:t>
            </w:r>
          </w:p>
        </w:tc>
        <w:tc>
          <w:tcPr>
            <w:tcW w:w="1444" w:type="pct"/>
            <w:vMerge w:val="restart"/>
            <w:tcBorders>
              <w:tl2br w:val="nil"/>
              <w:tr2bl w:val="nil"/>
            </w:tcBorders>
            <w:vAlign w:val="center"/>
          </w:tcPr>
          <w:p w14:paraId="034A5759"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分布类型</w:t>
            </w:r>
          </w:p>
        </w:tc>
        <w:tc>
          <w:tcPr>
            <w:tcW w:w="2644" w:type="pct"/>
            <w:gridSpan w:val="4"/>
            <w:tcBorders>
              <w:tl2br w:val="nil"/>
              <w:tr2bl w:val="nil"/>
            </w:tcBorders>
            <w:vAlign w:val="center"/>
          </w:tcPr>
          <w:p w14:paraId="5605A06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项目调查范围</w:t>
            </w:r>
          </w:p>
        </w:tc>
      </w:tr>
      <w:tr w:rsidR="009D12AF" w14:paraId="50ED4DA1" w14:textId="77777777">
        <w:trPr>
          <w:trHeight w:val="122"/>
        </w:trPr>
        <w:tc>
          <w:tcPr>
            <w:tcW w:w="911" w:type="pct"/>
            <w:vMerge/>
            <w:tcBorders>
              <w:tl2br w:val="nil"/>
              <w:tr2bl w:val="nil"/>
            </w:tcBorders>
            <w:vAlign w:val="center"/>
          </w:tcPr>
          <w:p w14:paraId="222675DB" w14:textId="77777777" w:rsidR="009D12AF" w:rsidRDefault="009D12AF">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p>
        </w:tc>
        <w:tc>
          <w:tcPr>
            <w:tcW w:w="1444" w:type="pct"/>
            <w:vMerge/>
            <w:tcBorders>
              <w:tl2br w:val="nil"/>
              <w:tr2bl w:val="nil"/>
            </w:tcBorders>
            <w:vAlign w:val="center"/>
          </w:tcPr>
          <w:p w14:paraId="388427FA" w14:textId="77777777" w:rsidR="009D12AF" w:rsidRDefault="009D12AF">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p>
        </w:tc>
        <w:tc>
          <w:tcPr>
            <w:tcW w:w="1123" w:type="pct"/>
            <w:gridSpan w:val="2"/>
            <w:tcBorders>
              <w:tl2br w:val="nil"/>
              <w:tr2bl w:val="nil"/>
            </w:tcBorders>
            <w:vAlign w:val="center"/>
          </w:tcPr>
          <w:p w14:paraId="40FE7E5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属数</w:t>
            </w:r>
          </w:p>
        </w:tc>
        <w:tc>
          <w:tcPr>
            <w:tcW w:w="1520" w:type="pct"/>
            <w:gridSpan w:val="2"/>
            <w:tcBorders>
              <w:tl2br w:val="nil"/>
              <w:tr2bl w:val="nil"/>
            </w:tcBorders>
            <w:vAlign w:val="center"/>
          </w:tcPr>
          <w:p w14:paraId="7E424F6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占总属数</w:t>
            </w:r>
            <w:r>
              <w:rPr>
                <w:rFonts w:ascii="Times New Roman" w:eastAsia="宋体" w:hAnsi="Times New Roman" w:cs="Times New Roman" w:hint="eastAsia"/>
                <w:kern w:val="0"/>
                <w:sz w:val="21"/>
                <w:szCs w:val="21"/>
              </w:rPr>
              <w:t>%</w:t>
            </w:r>
          </w:p>
        </w:tc>
      </w:tr>
      <w:tr w:rsidR="009D12AF" w14:paraId="165A6340" w14:textId="77777777">
        <w:trPr>
          <w:trHeight w:val="602"/>
        </w:trPr>
        <w:tc>
          <w:tcPr>
            <w:tcW w:w="911" w:type="pct"/>
            <w:tcBorders>
              <w:tl2br w:val="nil"/>
              <w:tr2bl w:val="nil"/>
            </w:tcBorders>
            <w:vAlign w:val="center"/>
          </w:tcPr>
          <w:p w14:paraId="3AC7F547"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世界分布成分</w:t>
            </w:r>
          </w:p>
        </w:tc>
        <w:tc>
          <w:tcPr>
            <w:tcW w:w="1444" w:type="pct"/>
            <w:tcBorders>
              <w:tl2br w:val="nil"/>
              <w:tr2bl w:val="nil"/>
            </w:tcBorders>
            <w:vAlign w:val="center"/>
          </w:tcPr>
          <w:p w14:paraId="24196BD4"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hint="eastAsia"/>
                <w:kern w:val="0"/>
                <w:sz w:val="21"/>
                <w:szCs w:val="21"/>
              </w:rPr>
              <w:t>世界分布</w:t>
            </w:r>
          </w:p>
        </w:tc>
        <w:tc>
          <w:tcPr>
            <w:tcW w:w="602" w:type="pct"/>
            <w:tcBorders>
              <w:tl2br w:val="nil"/>
              <w:tr2bl w:val="nil"/>
            </w:tcBorders>
            <w:vAlign w:val="center"/>
          </w:tcPr>
          <w:p w14:paraId="7E4A5EF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1</w:t>
            </w:r>
          </w:p>
        </w:tc>
        <w:tc>
          <w:tcPr>
            <w:tcW w:w="521" w:type="pct"/>
            <w:tcBorders>
              <w:tl2br w:val="nil"/>
              <w:tr2bl w:val="nil"/>
            </w:tcBorders>
            <w:vAlign w:val="center"/>
          </w:tcPr>
          <w:p w14:paraId="062AC18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1</w:t>
            </w:r>
          </w:p>
        </w:tc>
        <w:tc>
          <w:tcPr>
            <w:tcW w:w="735" w:type="pct"/>
            <w:tcBorders>
              <w:tl2br w:val="nil"/>
              <w:tr2bl w:val="nil"/>
            </w:tcBorders>
            <w:vAlign w:val="center"/>
          </w:tcPr>
          <w:p w14:paraId="314EA20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18.97</w:t>
            </w:r>
            <w:r>
              <w:rPr>
                <w:rFonts w:ascii="Times New Roman" w:eastAsia="宋体" w:hAnsi="Times New Roman" w:cs="Times New Roman" w:hint="eastAsia"/>
                <w:kern w:val="0"/>
                <w:sz w:val="21"/>
                <w:szCs w:val="21"/>
              </w:rPr>
              <w:t>%</w:t>
            </w:r>
          </w:p>
        </w:tc>
        <w:tc>
          <w:tcPr>
            <w:tcW w:w="784" w:type="pct"/>
            <w:tcBorders>
              <w:tl2br w:val="nil"/>
              <w:tr2bl w:val="nil"/>
            </w:tcBorders>
            <w:vAlign w:val="center"/>
          </w:tcPr>
          <w:p w14:paraId="30AA751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18.97</w:t>
            </w:r>
            <w:r>
              <w:rPr>
                <w:rFonts w:ascii="Times New Roman" w:eastAsia="宋体" w:hAnsi="Times New Roman" w:cs="Times New Roman" w:hint="eastAsia"/>
                <w:kern w:val="0"/>
                <w:sz w:val="21"/>
                <w:szCs w:val="21"/>
              </w:rPr>
              <w:t>%</w:t>
            </w:r>
          </w:p>
        </w:tc>
      </w:tr>
      <w:tr w:rsidR="009D12AF" w14:paraId="2566B922" w14:textId="77777777">
        <w:trPr>
          <w:trHeight w:val="231"/>
        </w:trPr>
        <w:tc>
          <w:tcPr>
            <w:tcW w:w="911" w:type="pct"/>
            <w:vMerge w:val="restart"/>
            <w:tcBorders>
              <w:tl2br w:val="nil"/>
              <w:tr2bl w:val="nil"/>
            </w:tcBorders>
            <w:vAlign w:val="center"/>
          </w:tcPr>
          <w:p w14:paraId="249E3FB4"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热带分布成分</w:t>
            </w:r>
          </w:p>
        </w:tc>
        <w:tc>
          <w:tcPr>
            <w:tcW w:w="1444" w:type="pct"/>
            <w:tcBorders>
              <w:tl2br w:val="nil"/>
              <w:tr2bl w:val="nil"/>
            </w:tcBorders>
            <w:vAlign w:val="center"/>
          </w:tcPr>
          <w:p w14:paraId="65FEB1BB"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w:t>
            </w:r>
            <w:r>
              <w:rPr>
                <w:rFonts w:ascii="Times New Roman" w:eastAsia="宋体" w:hAnsi="Times New Roman" w:cs="Times New Roman" w:hint="eastAsia"/>
                <w:kern w:val="0"/>
                <w:sz w:val="21"/>
                <w:szCs w:val="21"/>
              </w:rPr>
              <w:t>泛热带分布</w:t>
            </w:r>
          </w:p>
        </w:tc>
        <w:tc>
          <w:tcPr>
            <w:tcW w:w="602" w:type="pct"/>
            <w:tcBorders>
              <w:tl2br w:val="nil"/>
              <w:tr2bl w:val="nil"/>
            </w:tcBorders>
            <w:vAlign w:val="center"/>
          </w:tcPr>
          <w:p w14:paraId="76F54ED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w:t>
            </w:r>
          </w:p>
        </w:tc>
        <w:tc>
          <w:tcPr>
            <w:tcW w:w="521" w:type="pct"/>
            <w:vMerge w:val="restart"/>
            <w:tcBorders>
              <w:tl2br w:val="nil"/>
              <w:tr2bl w:val="nil"/>
            </w:tcBorders>
            <w:vAlign w:val="center"/>
          </w:tcPr>
          <w:p w14:paraId="3BDF5EC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w:t>
            </w:r>
          </w:p>
        </w:tc>
        <w:tc>
          <w:tcPr>
            <w:tcW w:w="735" w:type="pct"/>
            <w:tcBorders>
              <w:tl2br w:val="nil"/>
              <w:tr2bl w:val="nil"/>
            </w:tcBorders>
            <w:vAlign w:val="center"/>
          </w:tcPr>
          <w:p w14:paraId="034316A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3.45</w:t>
            </w:r>
            <w:r>
              <w:rPr>
                <w:rFonts w:ascii="Times New Roman" w:eastAsia="宋体" w:hAnsi="Times New Roman" w:cs="Times New Roman" w:hint="eastAsia"/>
                <w:kern w:val="0"/>
                <w:sz w:val="21"/>
                <w:szCs w:val="21"/>
              </w:rPr>
              <w:t>%</w:t>
            </w:r>
          </w:p>
        </w:tc>
        <w:tc>
          <w:tcPr>
            <w:tcW w:w="784" w:type="pct"/>
            <w:vMerge w:val="restart"/>
            <w:tcBorders>
              <w:tl2br w:val="nil"/>
              <w:tr2bl w:val="nil"/>
            </w:tcBorders>
            <w:vAlign w:val="center"/>
          </w:tcPr>
          <w:p w14:paraId="3FC9379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3.45</w:t>
            </w:r>
            <w:r>
              <w:rPr>
                <w:rFonts w:ascii="Times New Roman" w:eastAsia="宋体" w:hAnsi="Times New Roman" w:cs="Times New Roman" w:hint="eastAsia"/>
                <w:kern w:val="0"/>
                <w:sz w:val="21"/>
                <w:szCs w:val="21"/>
              </w:rPr>
              <w:t>%</w:t>
            </w:r>
          </w:p>
        </w:tc>
      </w:tr>
      <w:tr w:rsidR="009D12AF" w14:paraId="61A82138" w14:textId="77777777">
        <w:trPr>
          <w:trHeight w:val="252"/>
        </w:trPr>
        <w:tc>
          <w:tcPr>
            <w:tcW w:w="911" w:type="pct"/>
            <w:vMerge/>
            <w:tcBorders>
              <w:tl2br w:val="nil"/>
              <w:tr2bl w:val="nil"/>
            </w:tcBorders>
            <w:vAlign w:val="center"/>
          </w:tcPr>
          <w:p w14:paraId="70D921F1" w14:textId="77777777" w:rsidR="009D12AF" w:rsidRDefault="009D12AF">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p>
        </w:tc>
        <w:tc>
          <w:tcPr>
            <w:tcW w:w="1444" w:type="pct"/>
            <w:tcBorders>
              <w:tl2br w:val="nil"/>
              <w:tr2bl w:val="nil"/>
            </w:tcBorders>
            <w:vAlign w:val="center"/>
          </w:tcPr>
          <w:p w14:paraId="54F81D86"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w:t>
            </w:r>
            <w:r>
              <w:rPr>
                <w:rFonts w:ascii="Times New Roman" w:eastAsia="宋体" w:hAnsi="Times New Roman" w:cs="Times New Roman" w:hint="eastAsia"/>
                <w:kern w:val="0"/>
                <w:sz w:val="21"/>
                <w:szCs w:val="21"/>
              </w:rPr>
              <w:t>热带亚洲和热带美洲州际间断分布</w:t>
            </w:r>
          </w:p>
        </w:tc>
        <w:tc>
          <w:tcPr>
            <w:tcW w:w="602" w:type="pct"/>
            <w:tcBorders>
              <w:tl2br w:val="nil"/>
              <w:tr2bl w:val="nil"/>
            </w:tcBorders>
            <w:vAlign w:val="center"/>
          </w:tcPr>
          <w:p w14:paraId="4D918B0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521" w:type="pct"/>
            <w:vMerge/>
            <w:tcBorders>
              <w:tl2br w:val="nil"/>
              <w:tr2bl w:val="nil"/>
            </w:tcBorders>
            <w:vAlign w:val="center"/>
          </w:tcPr>
          <w:p w14:paraId="638E595D"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735" w:type="pct"/>
            <w:tcBorders>
              <w:tl2br w:val="nil"/>
              <w:tr2bl w:val="nil"/>
            </w:tcBorders>
            <w:vAlign w:val="center"/>
          </w:tcPr>
          <w:p w14:paraId="670720D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784" w:type="pct"/>
            <w:vMerge/>
            <w:tcBorders>
              <w:tl2br w:val="nil"/>
              <w:tr2bl w:val="nil"/>
            </w:tcBorders>
            <w:vAlign w:val="center"/>
          </w:tcPr>
          <w:p w14:paraId="1784EDEB"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53693F10" w14:textId="77777777">
        <w:trPr>
          <w:trHeight w:val="231"/>
        </w:trPr>
        <w:tc>
          <w:tcPr>
            <w:tcW w:w="911" w:type="pct"/>
            <w:vMerge/>
            <w:tcBorders>
              <w:tl2br w:val="nil"/>
              <w:tr2bl w:val="nil"/>
            </w:tcBorders>
            <w:vAlign w:val="center"/>
          </w:tcPr>
          <w:p w14:paraId="0A0F3AD0" w14:textId="77777777" w:rsidR="009D12AF" w:rsidRDefault="009D12AF">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p>
        </w:tc>
        <w:tc>
          <w:tcPr>
            <w:tcW w:w="1444" w:type="pct"/>
            <w:tcBorders>
              <w:tl2br w:val="nil"/>
              <w:tr2bl w:val="nil"/>
            </w:tcBorders>
            <w:vAlign w:val="center"/>
          </w:tcPr>
          <w:p w14:paraId="054FEC66"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w:t>
            </w:r>
            <w:r>
              <w:rPr>
                <w:rFonts w:ascii="Times New Roman" w:eastAsia="宋体" w:hAnsi="Times New Roman" w:cs="Times New Roman" w:hint="eastAsia"/>
                <w:kern w:val="0"/>
                <w:sz w:val="21"/>
                <w:szCs w:val="21"/>
              </w:rPr>
              <w:t>旧世界热带分布</w:t>
            </w:r>
          </w:p>
        </w:tc>
        <w:tc>
          <w:tcPr>
            <w:tcW w:w="602" w:type="pct"/>
            <w:tcBorders>
              <w:tl2br w:val="nil"/>
              <w:tr2bl w:val="nil"/>
            </w:tcBorders>
            <w:vAlign w:val="center"/>
          </w:tcPr>
          <w:p w14:paraId="662CA65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521" w:type="pct"/>
            <w:vMerge/>
            <w:tcBorders>
              <w:tl2br w:val="nil"/>
              <w:tr2bl w:val="nil"/>
            </w:tcBorders>
            <w:vAlign w:val="center"/>
          </w:tcPr>
          <w:p w14:paraId="59F58A81"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735" w:type="pct"/>
            <w:tcBorders>
              <w:tl2br w:val="nil"/>
              <w:tr2bl w:val="nil"/>
            </w:tcBorders>
            <w:vAlign w:val="center"/>
          </w:tcPr>
          <w:p w14:paraId="3BCF543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784" w:type="pct"/>
            <w:vMerge/>
            <w:tcBorders>
              <w:tl2br w:val="nil"/>
              <w:tr2bl w:val="nil"/>
            </w:tcBorders>
            <w:vAlign w:val="center"/>
          </w:tcPr>
          <w:p w14:paraId="1BDEF4FD"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225D06C9" w14:textId="77777777">
        <w:trPr>
          <w:trHeight w:val="235"/>
        </w:trPr>
        <w:tc>
          <w:tcPr>
            <w:tcW w:w="911" w:type="pct"/>
            <w:vMerge/>
            <w:tcBorders>
              <w:tl2br w:val="nil"/>
              <w:tr2bl w:val="nil"/>
            </w:tcBorders>
            <w:vAlign w:val="center"/>
          </w:tcPr>
          <w:p w14:paraId="07A528A6" w14:textId="77777777" w:rsidR="009D12AF" w:rsidRDefault="009D12AF">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p>
        </w:tc>
        <w:tc>
          <w:tcPr>
            <w:tcW w:w="1444" w:type="pct"/>
            <w:tcBorders>
              <w:tl2br w:val="nil"/>
              <w:tr2bl w:val="nil"/>
            </w:tcBorders>
            <w:vAlign w:val="center"/>
          </w:tcPr>
          <w:p w14:paraId="661527FE"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w:t>
            </w:r>
            <w:r>
              <w:rPr>
                <w:rFonts w:ascii="Times New Roman" w:eastAsia="宋体" w:hAnsi="Times New Roman" w:cs="Times New Roman" w:hint="eastAsia"/>
                <w:kern w:val="0"/>
                <w:sz w:val="21"/>
                <w:szCs w:val="21"/>
              </w:rPr>
              <w:t>热带亚洲至热带澳大</w:t>
            </w:r>
            <w:r>
              <w:rPr>
                <w:rFonts w:ascii="Times New Roman" w:eastAsia="宋体" w:hAnsi="Times New Roman" w:cs="Times New Roman" w:hint="eastAsia"/>
                <w:kern w:val="0"/>
                <w:sz w:val="21"/>
                <w:szCs w:val="21"/>
              </w:rPr>
              <w:lastRenderedPageBreak/>
              <w:t>利亚分布</w:t>
            </w:r>
          </w:p>
        </w:tc>
        <w:tc>
          <w:tcPr>
            <w:tcW w:w="602" w:type="pct"/>
            <w:tcBorders>
              <w:tl2br w:val="nil"/>
              <w:tr2bl w:val="nil"/>
            </w:tcBorders>
            <w:vAlign w:val="center"/>
          </w:tcPr>
          <w:p w14:paraId="54AC243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lastRenderedPageBreak/>
              <w:t>0</w:t>
            </w:r>
          </w:p>
        </w:tc>
        <w:tc>
          <w:tcPr>
            <w:tcW w:w="521" w:type="pct"/>
            <w:vMerge/>
            <w:tcBorders>
              <w:tl2br w:val="nil"/>
              <w:tr2bl w:val="nil"/>
            </w:tcBorders>
            <w:vAlign w:val="center"/>
          </w:tcPr>
          <w:p w14:paraId="6AF77115"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735" w:type="pct"/>
            <w:tcBorders>
              <w:tl2br w:val="nil"/>
              <w:tr2bl w:val="nil"/>
            </w:tcBorders>
            <w:vAlign w:val="center"/>
          </w:tcPr>
          <w:p w14:paraId="31BA178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784" w:type="pct"/>
            <w:vMerge/>
            <w:tcBorders>
              <w:tl2br w:val="nil"/>
              <w:tr2bl w:val="nil"/>
            </w:tcBorders>
            <w:vAlign w:val="center"/>
          </w:tcPr>
          <w:p w14:paraId="4B269633"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5F4117A1" w14:textId="77777777">
        <w:trPr>
          <w:trHeight w:val="231"/>
        </w:trPr>
        <w:tc>
          <w:tcPr>
            <w:tcW w:w="911" w:type="pct"/>
            <w:vMerge/>
            <w:tcBorders>
              <w:tl2br w:val="nil"/>
              <w:tr2bl w:val="nil"/>
            </w:tcBorders>
            <w:vAlign w:val="center"/>
          </w:tcPr>
          <w:p w14:paraId="65DA01D8" w14:textId="77777777" w:rsidR="009D12AF" w:rsidRDefault="009D12AF">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p>
        </w:tc>
        <w:tc>
          <w:tcPr>
            <w:tcW w:w="1444" w:type="pct"/>
            <w:tcBorders>
              <w:tl2br w:val="nil"/>
              <w:tr2bl w:val="nil"/>
            </w:tcBorders>
            <w:vAlign w:val="center"/>
          </w:tcPr>
          <w:p w14:paraId="7785977A"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6.</w:t>
            </w:r>
            <w:r>
              <w:rPr>
                <w:rFonts w:ascii="Times New Roman" w:eastAsia="宋体" w:hAnsi="Times New Roman" w:cs="Times New Roman" w:hint="eastAsia"/>
                <w:kern w:val="0"/>
                <w:sz w:val="21"/>
                <w:szCs w:val="21"/>
              </w:rPr>
              <w:t>热带亚洲至热带非洲分布</w:t>
            </w:r>
          </w:p>
        </w:tc>
        <w:tc>
          <w:tcPr>
            <w:tcW w:w="602" w:type="pct"/>
            <w:tcBorders>
              <w:tl2br w:val="nil"/>
              <w:tr2bl w:val="nil"/>
            </w:tcBorders>
            <w:vAlign w:val="center"/>
          </w:tcPr>
          <w:p w14:paraId="5B11259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521" w:type="pct"/>
            <w:vMerge/>
            <w:tcBorders>
              <w:tl2br w:val="nil"/>
              <w:tr2bl w:val="nil"/>
            </w:tcBorders>
            <w:vAlign w:val="center"/>
          </w:tcPr>
          <w:p w14:paraId="3BDD19CE"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735" w:type="pct"/>
            <w:tcBorders>
              <w:tl2br w:val="nil"/>
              <w:tr2bl w:val="nil"/>
            </w:tcBorders>
            <w:vAlign w:val="center"/>
          </w:tcPr>
          <w:p w14:paraId="2C33D3E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784" w:type="pct"/>
            <w:vMerge/>
            <w:tcBorders>
              <w:tl2br w:val="nil"/>
              <w:tr2bl w:val="nil"/>
            </w:tcBorders>
            <w:vAlign w:val="center"/>
          </w:tcPr>
          <w:p w14:paraId="5B54CCC9"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464715CF" w14:textId="77777777">
        <w:trPr>
          <w:trHeight w:val="231"/>
        </w:trPr>
        <w:tc>
          <w:tcPr>
            <w:tcW w:w="911" w:type="pct"/>
            <w:vMerge/>
            <w:tcBorders>
              <w:tl2br w:val="nil"/>
              <w:tr2bl w:val="nil"/>
            </w:tcBorders>
            <w:vAlign w:val="center"/>
          </w:tcPr>
          <w:p w14:paraId="5F3468CF" w14:textId="77777777" w:rsidR="009D12AF" w:rsidRDefault="009D12AF">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p>
        </w:tc>
        <w:tc>
          <w:tcPr>
            <w:tcW w:w="1444" w:type="pct"/>
            <w:tcBorders>
              <w:tl2br w:val="nil"/>
              <w:tr2bl w:val="nil"/>
            </w:tcBorders>
            <w:vAlign w:val="center"/>
          </w:tcPr>
          <w:p w14:paraId="78A5A78F"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7.</w:t>
            </w:r>
            <w:r>
              <w:rPr>
                <w:rFonts w:ascii="Times New Roman" w:eastAsia="宋体" w:hAnsi="Times New Roman" w:cs="Times New Roman" w:hint="eastAsia"/>
                <w:kern w:val="0"/>
                <w:sz w:val="21"/>
                <w:szCs w:val="21"/>
              </w:rPr>
              <w:t>热带亚洲分布</w:t>
            </w:r>
          </w:p>
        </w:tc>
        <w:tc>
          <w:tcPr>
            <w:tcW w:w="602" w:type="pct"/>
            <w:tcBorders>
              <w:tl2br w:val="nil"/>
              <w:tr2bl w:val="nil"/>
            </w:tcBorders>
            <w:vAlign w:val="center"/>
          </w:tcPr>
          <w:p w14:paraId="061A1B6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521" w:type="pct"/>
            <w:vMerge/>
            <w:tcBorders>
              <w:tl2br w:val="nil"/>
              <w:tr2bl w:val="nil"/>
            </w:tcBorders>
            <w:vAlign w:val="center"/>
          </w:tcPr>
          <w:p w14:paraId="3299FB09"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735" w:type="pct"/>
            <w:tcBorders>
              <w:tl2br w:val="nil"/>
              <w:tr2bl w:val="nil"/>
            </w:tcBorders>
            <w:vAlign w:val="center"/>
          </w:tcPr>
          <w:p w14:paraId="5840601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784" w:type="pct"/>
            <w:vMerge/>
            <w:tcBorders>
              <w:tl2br w:val="nil"/>
              <w:tr2bl w:val="nil"/>
            </w:tcBorders>
            <w:vAlign w:val="center"/>
          </w:tcPr>
          <w:p w14:paraId="38B30156"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418C17BA" w14:textId="77777777">
        <w:trPr>
          <w:trHeight w:val="235"/>
        </w:trPr>
        <w:tc>
          <w:tcPr>
            <w:tcW w:w="911" w:type="pct"/>
            <w:vMerge w:val="restart"/>
            <w:tcBorders>
              <w:tl2br w:val="nil"/>
              <w:tr2bl w:val="nil"/>
            </w:tcBorders>
            <w:vAlign w:val="center"/>
          </w:tcPr>
          <w:p w14:paraId="301C90AC"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温带分布成分</w:t>
            </w:r>
          </w:p>
        </w:tc>
        <w:tc>
          <w:tcPr>
            <w:tcW w:w="1444" w:type="pct"/>
            <w:tcBorders>
              <w:tl2br w:val="nil"/>
              <w:tr2bl w:val="nil"/>
            </w:tcBorders>
            <w:vAlign w:val="center"/>
          </w:tcPr>
          <w:p w14:paraId="52E6F498"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8.</w:t>
            </w:r>
            <w:r>
              <w:rPr>
                <w:rFonts w:ascii="Times New Roman" w:eastAsia="宋体" w:hAnsi="Times New Roman" w:cs="Times New Roman" w:hint="eastAsia"/>
                <w:kern w:val="0"/>
                <w:sz w:val="21"/>
                <w:szCs w:val="21"/>
              </w:rPr>
              <w:t>北温带分布</w:t>
            </w:r>
          </w:p>
        </w:tc>
        <w:tc>
          <w:tcPr>
            <w:tcW w:w="602" w:type="pct"/>
            <w:tcBorders>
              <w:tl2br w:val="nil"/>
              <w:tr2bl w:val="nil"/>
            </w:tcBorders>
            <w:vAlign w:val="center"/>
          </w:tcPr>
          <w:p w14:paraId="01424A7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w:t>
            </w:r>
            <w:r>
              <w:rPr>
                <w:rFonts w:ascii="Times New Roman" w:eastAsia="宋体" w:hAnsi="Times New Roman" w:cs="Times New Roman"/>
                <w:kern w:val="0"/>
                <w:sz w:val="21"/>
                <w:szCs w:val="21"/>
              </w:rPr>
              <w:t>8</w:t>
            </w:r>
          </w:p>
        </w:tc>
        <w:tc>
          <w:tcPr>
            <w:tcW w:w="521" w:type="pct"/>
            <w:vMerge w:val="restart"/>
            <w:tcBorders>
              <w:tl2br w:val="nil"/>
              <w:tr2bl w:val="nil"/>
            </w:tcBorders>
            <w:vAlign w:val="center"/>
          </w:tcPr>
          <w:p w14:paraId="672F18CF"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w:t>
            </w:r>
            <w:r>
              <w:rPr>
                <w:rFonts w:ascii="Times New Roman" w:eastAsia="宋体" w:hAnsi="Times New Roman" w:cs="Times New Roman"/>
                <w:kern w:val="0"/>
                <w:sz w:val="21"/>
                <w:szCs w:val="21"/>
              </w:rPr>
              <w:t>4</w:t>
            </w:r>
          </w:p>
        </w:tc>
        <w:tc>
          <w:tcPr>
            <w:tcW w:w="735" w:type="pct"/>
            <w:tcBorders>
              <w:tl2br w:val="nil"/>
              <w:tr2bl w:val="nil"/>
            </w:tcBorders>
            <w:vAlign w:val="center"/>
          </w:tcPr>
          <w:p w14:paraId="14D7A0C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65.52</w:t>
            </w:r>
            <w:r>
              <w:rPr>
                <w:rFonts w:ascii="Times New Roman" w:eastAsia="宋体" w:hAnsi="Times New Roman" w:cs="Times New Roman" w:hint="eastAsia"/>
                <w:kern w:val="0"/>
                <w:sz w:val="21"/>
                <w:szCs w:val="21"/>
              </w:rPr>
              <w:t>%</w:t>
            </w:r>
          </w:p>
        </w:tc>
        <w:tc>
          <w:tcPr>
            <w:tcW w:w="784" w:type="pct"/>
            <w:vMerge w:val="restart"/>
            <w:tcBorders>
              <w:tl2br w:val="nil"/>
              <w:tr2bl w:val="nil"/>
            </w:tcBorders>
            <w:vAlign w:val="center"/>
          </w:tcPr>
          <w:p w14:paraId="2F3FE6F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75.86</w:t>
            </w:r>
            <w:r>
              <w:rPr>
                <w:rFonts w:ascii="Times New Roman" w:eastAsia="宋体" w:hAnsi="Times New Roman" w:cs="Times New Roman" w:hint="eastAsia"/>
                <w:kern w:val="0"/>
                <w:sz w:val="21"/>
                <w:szCs w:val="21"/>
              </w:rPr>
              <w:t>%</w:t>
            </w:r>
          </w:p>
        </w:tc>
      </w:tr>
      <w:tr w:rsidR="009D12AF" w14:paraId="2122316F" w14:textId="77777777">
        <w:trPr>
          <w:trHeight w:val="231"/>
        </w:trPr>
        <w:tc>
          <w:tcPr>
            <w:tcW w:w="911" w:type="pct"/>
            <w:vMerge/>
            <w:tcBorders>
              <w:tl2br w:val="nil"/>
              <w:tr2bl w:val="nil"/>
            </w:tcBorders>
            <w:vAlign w:val="center"/>
          </w:tcPr>
          <w:p w14:paraId="3677026D" w14:textId="77777777" w:rsidR="009D12AF" w:rsidRDefault="009D12AF">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p>
        </w:tc>
        <w:tc>
          <w:tcPr>
            <w:tcW w:w="1444" w:type="pct"/>
            <w:tcBorders>
              <w:tl2br w:val="nil"/>
              <w:tr2bl w:val="nil"/>
            </w:tcBorders>
            <w:vAlign w:val="center"/>
          </w:tcPr>
          <w:p w14:paraId="0EA4F0DC"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9.</w:t>
            </w:r>
            <w:r>
              <w:rPr>
                <w:rFonts w:ascii="Times New Roman" w:eastAsia="宋体" w:hAnsi="Times New Roman" w:cs="Times New Roman" w:hint="eastAsia"/>
                <w:kern w:val="0"/>
                <w:sz w:val="21"/>
                <w:szCs w:val="21"/>
              </w:rPr>
              <w:t>东亚——北美间断分布</w:t>
            </w:r>
          </w:p>
        </w:tc>
        <w:tc>
          <w:tcPr>
            <w:tcW w:w="602" w:type="pct"/>
            <w:tcBorders>
              <w:tl2br w:val="nil"/>
              <w:tr2bl w:val="nil"/>
            </w:tcBorders>
            <w:vAlign w:val="center"/>
          </w:tcPr>
          <w:p w14:paraId="68B8D28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w:t>
            </w:r>
          </w:p>
        </w:tc>
        <w:tc>
          <w:tcPr>
            <w:tcW w:w="521" w:type="pct"/>
            <w:vMerge/>
            <w:tcBorders>
              <w:tl2br w:val="nil"/>
              <w:tr2bl w:val="nil"/>
            </w:tcBorders>
            <w:vAlign w:val="center"/>
          </w:tcPr>
          <w:p w14:paraId="157278FD"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735" w:type="pct"/>
            <w:tcBorders>
              <w:tl2br w:val="nil"/>
              <w:tr2bl w:val="nil"/>
            </w:tcBorders>
            <w:vAlign w:val="center"/>
          </w:tcPr>
          <w:p w14:paraId="63984ED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3.45</w:t>
            </w:r>
            <w:r>
              <w:rPr>
                <w:rFonts w:ascii="Times New Roman" w:eastAsia="宋体" w:hAnsi="Times New Roman" w:cs="Times New Roman" w:hint="eastAsia"/>
                <w:kern w:val="0"/>
                <w:sz w:val="21"/>
                <w:szCs w:val="21"/>
              </w:rPr>
              <w:t>%</w:t>
            </w:r>
          </w:p>
        </w:tc>
        <w:tc>
          <w:tcPr>
            <w:tcW w:w="784" w:type="pct"/>
            <w:vMerge/>
            <w:tcBorders>
              <w:tl2br w:val="nil"/>
              <w:tr2bl w:val="nil"/>
            </w:tcBorders>
            <w:vAlign w:val="center"/>
          </w:tcPr>
          <w:p w14:paraId="65163CAA"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1DD6298C" w14:textId="77777777">
        <w:trPr>
          <w:trHeight w:val="235"/>
        </w:trPr>
        <w:tc>
          <w:tcPr>
            <w:tcW w:w="911" w:type="pct"/>
            <w:vMerge/>
            <w:tcBorders>
              <w:tl2br w:val="nil"/>
              <w:tr2bl w:val="nil"/>
            </w:tcBorders>
            <w:vAlign w:val="center"/>
          </w:tcPr>
          <w:p w14:paraId="37CF237A" w14:textId="77777777" w:rsidR="009D12AF" w:rsidRDefault="009D12AF">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p>
        </w:tc>
        <w:tc>
          <w:tcPr>
            <w:tcW w:w="1444" w:type="pct"/>
            <w:tcBorders>
              <w:tl2br w:val="nil"/>
              <w:tr2bl w:val="nil"/>
            </w:tcBorders>
            <w:vAlign w:val="center"/>
          </w:tcPr>
          <w:p w14:paraId="2090C2FC"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10.</w:t>
            </w:r>
            <w:r>
              <w:rPr>
                <w:rFonts w:ascii="Times New Roman" w:eastAsia="宋体" w:hAnsi="Times New Roman" w:cs="Times New Roman" w:hint="eastAsia"/>
                <w:kern w:val="0"/>
                <w:sz w:val="21"/>
                <w:szCs w:val="21"/>
              </w:rPr>
              <w:t>旧世界温带分布（主要是欧亚大陆）</w:t>
            </w:r>
          </w:p>
        </w:tc>
        <w:tc>
          <w:tcPr>
            <w:tcW w:w="602" w:type="pct"/>
            <w:tcBorders>
              <w:tl2br w:val="nil"/>
              <w:tr2bl w:val="nil"/>
            </w:tcBorders>
            <w:vAlign w:val="center"/>
          </w:tcPr>
          <w:p w14:paraId="6C94F1D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w:t>
            </w:r>
          </w:p>
        </w:tc>
        <w:tc>
          <w:tcPr>
            <w:tcW w:w="521" w:type="pct"/>
            <w:vMerge/>
            <w:tcBorders>
              <w:tl2br w:val="nil"/>
              <w:tr2bl w:val="nil"/>
            </w:tcBorders>
            <w:vAlign w:val="center"/>
          </w:tcPr>
          <w:p w14:paraId="290EE36E"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735" w:type="pct"/>
            <w:tcBorders>
              <w:tl2br w:val="nil"/>
              <w:tr2bl w:val="nil"/>
            </w:tcBorders>
            <w:vAlign w:val="center"/>
          </w:tcPr>
          <w:p w14:paraId="3B37C57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5.17</w:t>
            </w:r>
            <w:r>
              <w:rPr>
                <w:rFonts w:ascii="Times New Roman" w:eastAsia="宋体" w:hAnsi="Times New Roman" w:cs="Times New Roman" w:hint="eastAsia"/>
                <w:kern w:val="0"/>
                <w:sz w:val="21"/>
                <w:szCs w:val="21"/>
              </w:rPr>
              <w:t>%</w:t>
            </w:r>
          </w:p>
        </w:tc>
        <w:tc>
          <w:tcPr>
            <w:tcW w:w="784" w:type="pct"/>
            <w:vMerge/>
            <w:tcBorders>
              <w:tl2br w:val="nil"/>
              <w:tr2bl w:val="nil"/>
            </w:tcBorders>
            <w:vAlign w:val="center"/>
          </w:tcPr>
          <w:p w14:paraId="659EF2D1"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0B678601" w14:textId="77777777">
        <w:trPr>
          <w:trHeight w:val="231"/>
        </w:trPr>
        <w:tc>
          <w:tcPr>
            <w:tcW w:w="911" w:type="pct"/>
            <w:vMerge/>
            <w:tcBorders>
              <w:tl2br w:val="nil"/>
              <w:tr2bl w:val="nil"/>
            </w:tcBorders>
            <w:vAlign w:val="center"/>
          </w:tcPr>
          <w:p w14:paraId="3C04AFBC" w14:textId="77777777" w:rsidR="009D12AF" w:rsidRDefault="009D12AF">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p>
        </w:tc>
        <w:tc>
          <w:tcPr>
            <w:tcW w:w="1444" w:type="pct"/>
            <w:tcBorders>
              <w:tl2br w:val="nil"/>
              <w:tr2bl w:val="nil"/>
            </w:tcBorders>
            <w:vAlign w:val="center"/>
          </w:tcPr>
          <w:p w14:paraId="1AD68AE7"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11.</w:t>
            </w:r>
            <w:r>
              <w:rPr>
                <w:rFonts w:ascii="Times New Roman" w:eastAsia="宋体" w:hAnsi="Times New Roman" w:cs="Times New Roman" w:hint="eastAsia"/>
                <w:kern w:val="0"/>
                <w:sz w:val="21"/>
                <w:szCs w:val="21"/>
              </w:rPr>
              <w:t>温带亚洲分布</w:t>
            </w:r>
          </w:p>
        </w:tc>
        <w:tc>
          <w:tcPr>
            <w:tcW w:w="602" w:type="pct"/>
            <w:tcBorders>
              <w:tl2br w:val="nil"/>
              <w:tr2bl w:val="nil"/>
            </w:tcBorders>
            <w:vAlign w:val="center"/>
          </w:tcPr>
          <w:p w14:paraId="339B7DF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p>
        </w:tc>
        <w:tc>
          <w:tcPr>
            <w:tcW w:w="521" w:type="pct"/>
            <w:vMerge/>
            <w:tcBorders>
              <w:tl2br w:val="nil"/>
              <w:tr2bl w:val="nil"/>
            </w:tcBorders>
            <w:vAlign w:val="center"/>
          </w:tcPr>
          <w:p w14:paraId="6F3C0920"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735" w:type="pct"/>
            <w:tcBorders>
              <w:tl2br w:val="nil"/>
              <w:tr2bl w:val="nil"/>
            </w:tcBorders>
            <w:vAlign w:val="center"/>
          </w:tcPr>
          <w:p w14:paraId="6D370AC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1.72</w:t>
            </w:r>
            <w:r>
              <w:rPr>
                <w:rFonts w:ascii="Times New Roman" w:eastAsia="宋体" w:hAnsi="Times New Roman" w:cs="Times New Roman" w:hint="eastAsia"/>
                <w:kern w:val="0"/>
                <w:sz w:val="21"/>
                <w:szCs w:val="21"/>
              </w:rPr>
              <w:t>%</w:t>
            </w:r>
          </w:p>
        </w:tc>
        <w:tc>
          <w:tcPr>
            <w:tcW w:w="784" w:type="pct"/>
            <w:vMerge/>
            <w:tcBorders>
              <w:tl2br w:val="nil"/>
              <w:tr2bl w:val="nil"/>
            </w:tcBorders>
            <w:vAlign w:val="center"/>
          </w:tcPr>
          <w:p w14:paraId="73A4914F"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5E70D23A" w14:textId="77777777">
        <w:trPr>
          <w:trHeight w:val="231"/>
        </w:trPr>
        <w:tc>
          <w:tcPr>
            <w:tcW w:w="911" w:type="pct"/>
            <w:vMerge w:val="restart"/>
            <w:tcBorders>
              <w:tl2br w:val="nil"/>
              <w:tr2bl w:val="nil"/>
            </w:tcBorders>
            <w:vAlign w:val="center"/>
          </w:tcPr>
          <w:p w14:paraId="1D8C830C"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中亚分布成分</w:t>
            </w:r>
          </w:p>
        </w:tc>
        <w:tc>
          <w:tcPr>
            <w:tcW w:w="1444" w:type="pct"/>
            <w:tcBorders>
              <w:tl2br w:val="nil"/>
              <w:tr2bl w:val="nil"/>
            </w:tcBorders>
            <w:vAlign w:val="center"/>
          </w:tcPr>
          <w:p w14:paraId="328C1D0E"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w:t>
            </w:r>
            <w:r>
              <w:rPr>
                <w:rFonts w:ascii="Times New Roman" w:eastAsia="宋体" w:hAnsi="Times New Roman" w:cs="Times New Roman" w:hint="eastAsia"/>
                <w:kern w:val="0"/>
                <w:sz w:val="21"/>
                <w:szCs w:val="21"/>
              </w:rPr>
              <w:t>中亚、西亚至地中海分布</w:t>
            </w:r>
          </w:p>
        </w:tc>
        <w:tc>
          <w:tcPr>
            <w:tcW w:w="602" w:type="pct"/>
            <w:tcBorders>
              <w:tl2br w:val="nil"/>
              <w:tr2bl w:val="nil"/>
            </w:tcBorders>
            <w:vAlign w:val="center"/>
          </w:tcPr>
          <w:p w14:paraId="444376A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521" w:type="pct"/>
            <w:vMerge w:val="restart"/>
            <w:tcBorders>
              <w:tl2br w:val="nil"/>
              <w:tr2bl w:val="nil"/>
            </w:tcBorders>
            <w:vAlign w:val="center"/>
          </w:tcPr>
          <w:p w14:paraId="6B2CCDD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735" w:type="pct"/>
            <w:tcBorders>
              <w:tl2br w:val="nil"/>
              <w:tr2bl w:val="nil"/>
            </w:tcBorders>
            <w:vAlign w:val="center"/>
          </w:tcPr>
          <w:p w14:paraId="30E0DE9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784" w:type="pct"/>
            <w:vMerge w:val="restart"/>
            <w:tcBorders>
              <w:tl2br w:val="nil"/>
              <w:tr2bl w:val="nil"/>
            </w:tcBorders>
            <w:vAlign w:val="center"/>
          </w:tcPr>
          <w:p w14:paraId="3DC8E11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r>
      <w:tr w:rsidR="009D12AF" w14:paraId="7440AD31" w14:textId="77777777">
        <w:trPr>
          <w:trHeight w:val="235"/>
        </w:trPr>
        <w:tc>
          <w:tcPr>
            <w:tcW w:w="911" w:type="pct"/>
            <w:vMerge/>
            <w:tcBorders>
              <w:tl2br w:val="nil"/>
              <w:tr2bl w:val="nil"/>
            </w:tcBorders>
            <w:vAlign w:val="center"/>
          </w:tcPr>
          <w:p w14:paraId="293DD9DB" w14:textId="77777777" w:rsidR="009D12AF" w:rsidRDefault="009D12AF">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p>
        </w:tc>
        <w:tc>
          <w:tcPr>
            <w:tcW w:w="1444" w:type="pct"/>
            <w:tcBorders>
              <w:tl2br w:val="nil"/>
              <w:tr2bl w:val="nil"/>
            </w:tcBorders>
            <w:vAlign w:val="center"/>
          </w:tcPr>
          <w:p w14:paraId="44DB77C8"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13.</w:t>
            </w:r>
            <w:r>
              <w:rPr>
                <w:rFonts w:ascii="Times New Roman" w:eastAsia="宋体" w:hAnsi="Times New Roman" w:cs="Times New Roman" w:hint="eastAsia"/>
                <w:kern w:val="0"/>
                <w:sz w:val="21"/>
                <w:szCs w:val="21"/>
              </w:rPr>
              <w:t>中亚分布</w:t>
            </w:r>
          </w:p>
        </w:tc>
        <w:tc>
          <w:tcPr>
            <w:tcW w:w="602" w:type="pct"/>
            <w:tcBorders>
              <w:tl2br w:val="nil"/>
              <w:tr2bl w:val="nil"/>
            </w:tcBorders>
            <w:vAlign w:val="center"/>
          </w:tcPr>
          <w:p w14:paraId="328F099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521" w:type="pct"/>
            <w:vMerge/>
            <w:tcBorders>
              <w:tl2br w:val="nil"/>
              <w:tr2bl w:val="nil"/>
            </w:tcBorders>
            <w:vAlign w:val="center"/>
          </w:tcPr>
          <w:p w14:paraId="34701989"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735" w:type="pct"/>
            <w:tcBorders>
              <w:tl2br w:val="nil"/>
              <w:tr2bl w:val="nil"/>
            </w:tcBorders>
            <w:vAlign w:val="center"/>
          </w:tcPr>
          <w:p w14:paraId="4B90664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784" w:type="pct"/>
            <w:vMerge/>
            <w:tcBorders>
              <w:tl2br w:val="nil"/>
              <w:tr2bl w:val="nil"/>
            </w:tcBorders>
            <w:vAlign w:val="center"/>
          </w:tcPr>
          <w:p w14:paraId="7DB06C89"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64BB7995" w14:textId="77777777">
        <w:trPr>
          <w:trHeight w:val="231"/>
        </w:trPr>
        <w:tc>
          <w:tcPr>
            <w:tcW w:w="911" w:type="pct"/>
            <w:tcBorders>
              <w:tl2br w:val="nil"/>
              <w:tr2bl w:val="nil"/>
            </w:tcBorders>
            <w:vAlign w:val="center"/>
          </w:tcPr>
          <w:p w14:paraId="70412084"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东亚分布成分</w:t>
            </w:r>
          </w:p>
        </w:tc>
        <w:tc>
          <w:tcPr>
            <w:tcW w:w="1444" w:type="pct"/>
            <w:tcBorders>
              <w:tl2br w:val="nil"/>
              <w:tr2bl w:val="nil"/>
            </w:tcBorders>
            <w:vAlign w:val="center"/>
          </w:tcPr>
          <w:p w14:paraId="0D896191"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4</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东亚（东喜马拉雅</w:t>
            </w:r>
            <w:r>
              <w:rPr>
                <w:rFonts w:ascii="Times New Roman" w:eastAsia="宋体" w:hAnsi="Times New Roman" w:cs="Times New Roman" w:hint="eastAsia"/>
                <w:kern w:val="0"/>
                <w:sz w:val="21"/>
                <w:szCs w:val="21"/>
              </w:rPr>
              <w:t>-</w:t>
            </w:r>
            <w:r>
              <w:rPr>
                <w:rFonts w:ascii="Times New Roman" w:eastAsia="宋体" w:hAnsi="Times New Roman" w:cs="Times New Roman" w:hint="eastAsia"/>
                <w:kern w:val="0"/>
                <w:sz w:val="21"/>
                <w:szCs w:val="21"/>
              </w:rPr>
              <w:t>日本）分布</w:t>
            </w:r>
          </w:p>
        </w:tc>
        <w:tc>
          <w:tcPr>
            <w:tcW w:w="602" w:type="pct"/>
            <w:tcBorders>
              <w:tl2br w:val="nil"/>
              <w:tr2bl w:val="nil"/>
            </w:tcBorders>
            <w:vAlign w:val="center"/>
          </w:tcPr>
          <w:p w14:paraId="6A70A3A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p>
        </w:tc>
        <w:tc>
          <w:tcPr>
            <w:tcW w:w="521" w:type="pct"/>
            <w:tcBorders>
              <w:tl2br w:val="nil"/>
              <w:tr2bl w:val="nil"/>
            </w:tcBorders>
            <w:vAlign w:val="center"/>
          </w:tcPr>
          <w:p w14:paraId="7E4355C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p>
        </w:tc>
        <w:tc>
          <w:tcPr>
            <w:tcW w:w="735" w:type="pct"/>
            <w:tcBorders>
              <w:tl2br w:val="nil"/>
              <w:tr2bl w:val="nil"/>
            </w:tcBorders>
            <w:vAlign w:val="center"/>
          </w:tcPr>
          <w:p w14:paraId="783E5C6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1.72</w:t>
            </w:r>
            <w:r>
              <w:rPr>
                <w:rFonts w:ascii="Times New Roman" w:eastAsia="宋体" w:hAnsi="Times New Roman" w:cs="Times New Roman" w:hint="eastAsia"/>
                <w:kern w:val="0"/>
                <w:sz w:val="21"/>
                <w:szCs w:val="21"/>
              </w:rPr>
              <w:t>%</w:t>
            </w:r>
          </w:p>
        </w:tc>
        <w:tc>
          <w:tcPr>
            <w:tcW w:w="784" w:type="pct"/>
            <w:tcBorders>
              <w:tl2br w:val="nil"/>
              <w:tr2bl w:val="nil"/>
            </w:tcBorders>
            <w:vAlign w:val="center"/>
          </w:tcPr>
          <w:p w14:paraId="0B6CB72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1.72</w:t>
            </w:r>
            <w:r>
              <w:rPr>
                <w:rFonts w:ascii="Times New Roman" w:eastAsia="宋体" w:hAnsi="Times New Roman" w:cs="Times New Roman" w:hint="eastAsia"/>
                <w:kern w:val="0"/>
                <w:sz w:val="21"/>
                <w:szCs w:val="21"/>
              </w:rPr>
              <w:t>%</w:t>
            </w:r>
          </w:p>
        </w:tc>
      </w:tr>
      <w:tr w:rsidR="009D12AF" w14:paraId="62613420" w14:textId="77777777">
        <w:trPr>
          <w:trHeight w:val="235"/>
        </w:trPr>
        <w:tc>
          <w:tcPr>
            <w:tcW w:w="911" w:type="pct"/>
            <w:tcBorders>
              <w:tl2br w:val="nil"/>
              <w:tr2bl w:val="nil"/>
            </w:tcBorders>
            <w:vAlign w:val="center"/>
          </w:tcPr>
          <w:p w14:paraId="0734333B"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中国特有分布成分</w:t>
            </w:r>
          </w:p>
        </w:tc>
        <w:tc>
          <w:tcPr>
            <w:tcW w:w="1444" w:type="pct"/>
            <w:tcBorders>
              <w:tl2br w:val="nil"/>
              <w:tr2bl w:val="nil"/>
            </w:tcBorders>
            <w:vAlign w:val="center"/>
          </w:tcPr>
          <w:p w14:paraId="789E19B3"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15.</w:t>
            </w:r>
            <w:r>
              <w:rPr>
                <w:rFonts w:ascii="Times New Roman" w:eastAsia="宋体" w:hAnsi="Times New Roman" w:cs="Times New Roman" w:hint="eastAsia"/>
                <w:kern w:val="0"/>
                <w:sz w:val="21"/>
                <w:szCs w:val="21"/>
              </w:rPr>
              <w:t>中国特有分布</w:t>
            </w:r>
          </w:p>
        </w:tc>
        <w:tc>
          <w:tcPr>
            <w:tcW w:w="602" w:type="pct"/>
            <w:tcBorders>
              <w:tl2br w:val="nil"/>
              <w:tr2bl w:val="nil"/>
            </w:tcBorders>
            <w:vAlign w:val="center"/>
          </w:tcPr>
          <w:p w14:paraId="644CDBD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521" w:type="pct"/>
            <w:tcBorders>
              <w:tl2br w:val="nil"/>
              <w:tr2bl w:val="nil"/>
            </w:tcBorders>
            <w:vAlign w:val="center"/>
          </w:tcPr>
          <w:p w14:paraId="739BA69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735" w:type="pct"/>
            <w:tcBorders>
              <w:tl2br w:val="nil"/>
              <w:tr2bl w:val="nil"/>
            </w:tcBorders>
            <w:vAlign w:val="center"/>
          </w:tcPr>
          <w:p w14:paraId="3552F1F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784" w:type="pct"/>
            <w:tcBorders>
              <w:tl2br w:val="nil"/>
              <w:tr2bl w:val="nil"/>
            </w:tcBorders>
            <w:vAlign w:val="center"/>
          </w:tcPr>
          <w:p w14:paraId="4A19FF3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r>
      <w:tr w:rsidR="009D12AF" w14:paraId="3AE95C8C" w14:textId="77777777">
        <w:trPr>
          <w:trHeight w:val="231"/>
        </w:trPr>
        <w:tc>
          <w:tcPr>
            <w:tcW w:w="2355" w:type="pct"/>
            <w:gridSpan w:val="2"/>
            <w:tcBorders>
              <w:tl2br w:val="nil"/>
              <w:tr2bl w:val="nil"/>
            </w:tcBorders>
            <w:vAlign w:val="center"/>
          </w:tcPr>
          <w:p w14:paraId="4619AA9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合计</w:t>
            </w:r>
          </w:p>
        </w:tc>
        <w:tc>
          <w:tcPr>
            <w:tcW w:w="1123" w:type="pct"/>
            <w:gridSpan w:val="2"/>
            <w:tcBorders>
              <w:tl2br w:val="nil"/>
              <w:tr2bl w:val="nil"/>
            </w:tcBorders>
            <w:vAlign w:val="center"/>
          </w:tcPr>
          <w:p w14:paraId="61B1F2B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w:t>
            </w:r>
            <w:r>
              <w:rPr>
                <w:rFonts w:ascii="Times New Roman" w:eastAsia="宋体" w:hAnsi="Times New Roman" w:cs="Times New Roman"/>
                <w:kern w:val="0"/>
                <w:sz w:val="21"/>
                <w:szCs w:val="21"/>
              </w:rPr>
              <w:t>8</w:t>
            </w:r>
          </w:p>
        </w:tc>
        <w:tc>
          <w:tcPr>
            <w:tcW w:w="1520" w:type="pct"/>
            <w:gridSpan w:val="2"/>
            <w:tcBorders>
              <w:tl2br w:val="nil"/>
              <w:tr2bl w:val="nil"/>
            </w:tcBorders>
            <w:vAlign w:val="center"/>
          </w:tcPr>
          <w:p w14:paraId="02BA29F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100%</w:t>
            </w:r>
          </w:p>
        </w:tc>
      </w:tr>
    </w:tbl>
    <w:p w14:paraId="259042F3"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t>项目调查范围内种子植物中属于温带分布成分的属有</w:t>
      </w:r>
      <w:r>
        <w:rPr>
          <w:rFonts w:ascii="Times New Roman" w:eastAsia="宋体" w:hAnsi="Times New Roman" w:cs="Times New Roman" w:hint="eastAsia"/>
          <w:kern w:val="0"/>
        </w:rPr>
        <w:t>4</w:t>
      </w:r>
      <w:r>
        <w:rPr>
          <w:rFonts w:ascii="Times New Roman" w:eastAsia="宋体" w:hAnsi="Times New Roman" w:cs="Times New Roman"/>
          <w:kern w:val="0"/>
        </w:rPr>
        <w:t>4</w:t>
      </w:r>
      <w:r>
        <w:rPr>
          <w:rFonts w:ascii="Times New Roman" w:eastAsia="宋体" w:hAnsi="Times New Roman" w:cs="Times New Roman"/>
          <w:kern w:val="0"/>
        </w:rPr>
        <w:t>属，占该区域种子植物总属数的</w:t>
      </w:r>
      <w:r>
        <w:rPr>
          <w:rFonts w:ascii="Times New Roman" w:eastAsia="宋体" w:hAnsi="Times New Roman" w:cs="Times New Roman"/>
          <w:kern w:val="0"/>
        </w:rPr>
        <w:t>75.86%</w:t>
      </w:r>
      <w:r>
        <w:rPr>
          <w:rFonts w:ascii="Times New Roman" w:eastAsia="宋体" w:hAnsi="Times New Roman" w:cs="Times New Roman"/>
          <w:kern w:val="0"/>
        </w:rPr>
        <w:t>，分别为</w:t>
      </w:r>
      <w:r>
        <w:rPr>
          <w:rFonts w:ascii="Times New Roman" w:eastAsia="宋体" w:hAnsi="Times New Roman" w:cs="Times New Roman" w:hint="eastAsia"/>
          <w:kern w:val="0"/>
        </w:rPr>
        <w:t>落叶松属</w:t>
      </w:r>
      <w:r>
        <w:rPr>
          <w:rFonts w:ascii="Times New Roman" w:eastAsia="宋体" w:hAnsi="Times New Roman" w:cs="Times New Roman"/>
          <w:kern w:val="0"/>
        </w:rPr>
        <w:t>（</w:t>
      </w:r>
      <w:r>
        <w:rPr>
          <w:rFonts w:ascii="Times New Roman" w:eastAsia="宋体" w:hAnsi="Times New Roman" w:cs="Times New Roman"/>
          <w:i/>
          <w:iCs/>
          <w:kern w:val="0"/>
        </w:rPr>
        <w:t>Larix</w:t>
      </w:r>
      <w:r>
        <w:rPr>
          <w:rFonts w:ascii="Times New Roman" w:eastAsia="宋体" w:hAnsi="Times New Roman" w:cs="Times New Roman"/>
          <w:kern w:val="0"/>
        </w:rPr>
        <w:t>）</w:t>
      </w:r>
      <w:r>
        <w:rPr>
          <w:rFonts w:ascii="Times New Roman" w:eastAsia="宋体" w:hAnsi="Times New Roman" w:cs="Times New Roman" w:hint="eastAsia"/>
          <w:kern w:val="0"/>
        </w:rPr>
        <w:t>、</w:t>
      </w:r>
      <w:r>
        <w:rPr>
          <w:rFonts w:ascii="Times New Roman" w:eastAsia="宋体" w:hAnsi="Times New Roman" w:cs="Times New Roman"/>
          <w:kern w:val="0"/>
        </w:rPr>
        <w:t>松</w:t>
      </w:r>
      <w:r>
        <w:rPr>
          <w:rFonts w:ascii="Times New Roman" w:eastAsia="宋体" w:hAnsi="Times New Roman" w:cs="Times New Roman" w:hint="eastAsia"/>
          <w:kern w:val="0"/>
        </w:rPr>
        <w:t>属</w:t>
      </w:r>
      <w:r>
        <w:rPr>
          <w:rFonts w:ascii="Times New Roman" w:eastAsia="宋体" w:hAnsi="Times New Roman" w:cs="Times New Roman"/>
          <w:kern w:val="0"/>
        </w:rPr>
        <w:t>（</w:t>
      </w:r>
      <w:bookmarkStart w:id="236" w:name="_Hlk194922382"/>
      <w:r>
        <w:rPr>
          <w:rFonts w:ascii="Times New Roman" w:eastAsia="宋体" w:hAnsi="Times New Roman" w:cs="Times New Roman"/>
          <w:i/>
          <w:iCs/>
          <w:kern w:val="0"/>
        </w:rPr>
        <w:t>Pinus </w:t>
      </w:r>
      <w:bookmarkEnd w:id="236"/>
      <w:r>
        <w:rPr>
          <w:rFonts w:ascii="Times New Roman" w:eastAsia="宋体" w:hAnsi="Times New Roman" w:cs="Times New Roman"/>
          <w:kern w:val="0"/>
        </w:rPr>
        <w:t>）</w:t>
      </w:r>
      <w:r>
        <w:rPr>
          <w:rFonts w:ascii="Times New Roman" w:eastAsia="宋体" w:hAnsi="Times New Roman" w:cs="Times New Roman" w:hint="eastAsia"/>
          <w:kern w:val="0"/>
        </w:rPr>
        <w:t>、云杉属（</w:t>
      </w:r>
      <w:bookmarkStart w:id="237" w:name="_Hlk194922869"/>
      <w:r>
        <w:rPr>
          <w:rFonts w:ascii="Times New Roman" w:eastAsia="宋体" w:hAnsi="Times New Roman" w:cs="Times New Roman" w:hint="eastAsia"/>
          <w:i/>
          <w:iCs/>
          <w:kern w:val="0"/>
        </w:rPr>
        <w:t>Picea</w:t>
      </w:r>
      <w:bookmarkEnd w:id="237"/>
      <w:r>
        <w:rPr>
          <w:rFonts w:ascii="Times New Roman" w:eastAsia="宋体" w:hAnsi="Times New Roman" w:cs="Times New Roman"/>
          <w:kern w:val="0"/>
        </w:rPr>
        <w:t>）</w:t>
      </w:r>
      <w:r>
        <w:rPr>
          <w:rFonts w:ascii="Times New Roman" w:eastAsia="宋体" w:hAnsi="Times New Roman" w:cs="Times New Roman" w:hint="eastAsia"/>
          <w:kern w:val="0"/>
        </w:rPr>
        <w:t>、桦木属（</w:t>
      </w:r>
      <w:bookmarkStart w:id="238" w:name="_Hlk194921629"/>
      <w:r>
        <w:rPr>
          <w:rFonts w:ascii="Times New Roman" w:eastAsia="宋体" w:hAnsi="Times New Roman" w:cs="Times New Roman"/>
          <w:i/>
          <w:iCs/>
          <w:kern w:val="0"/>
        </w:rPr>
        <w:t>Betula</w:t>
      </w:r>
      <w:bookmarkEnd w:id="238"/>
      <w:r>
        <w:rPr>
          <w:rFonts w:ascii="Times New Roman" w:eastAsia="宋体" w:hAnsi="Times New Roman" w:cs="Times New Roman"/>
          <w:kern w:val="0"/>
        </w:rPr>
        <w:t>）</w:t>
      </w:r>
      <w:r>
        <w:rPr>
          <w:rFonts w:ascii="Times New Roman" w:eastAsia="宋体" w:hAnsi="Times New Roman" w:cs="Times New Roman" w:hint="eastAsia"/>
          <w:kern w:val="0"/>
        </w:rPr>
        <w:t>、榛属（</w:t>
      </w:r>
      <w:r>
        <w:rPr>
          <w:rFonts w:ascii="Times New Roman" w:eastAsia="宋体" w:hAnsi="Times New Roman" w:cs="Times New Roman"/>
          <w:i/>
          <w:iCs/>
          <w:kern w:val="0"/>
        </w:rPr>
        <w:t>Corylus</w:t>
      </w:r>
      <w:r>
        <w:rPr>
          <w:rFonts w:ascii="Times New Roman" w:eastAsia="宋体" w:hAnsi="Times New Roman" w:cs="Times New Roman"/>
          <w:kern w:val="0"/>
        </w:rPr>
        <w:t>）</w:t>
      </w:r>
      <w:r>
        <w:rPr>
          <w:rFonts w:ascii="Times New Roman" w:eastAsia="宋体" w:hAnsi="Times New Roman" w:cs="Times New Roman" w:hint="eastAsia"/>
          <w:kern w:val="0"/>
        </w:rPr>
        <w:t>、</w:t>
      </w:r>
      <w:r>
        <w:rPr>
          <w:rFonts w:ascii="Times New Roman" w:eastAsia="宋体" w:hAnsi="Times New Roman" w:cs="Times New Roman"/>
          <w:kern w:val="0"/>
        </w:rPr>
        <w:t>槭</w:t>
      </w:r>
      <w:r>
        <w:rPr>
          <w:rFonts w:ascii="Times New Roman" w:eastAsia="宋体" w:hAnsi="Times New Roman" w:cs="Times New Roman" w:hint="eastAsia"/>
          <w:kern w:val="0"/>
        </w:rPr>
        <w:t>属（</w:t>
      </w:r>
      <w:r>
        <w:rPr>
          <w:rFonts w:ascii="Times New Roman" w:eastAsia="宋体" w:hAnsi="Times New Roman" w:cs="Times New Roman"/>
          <w:i/>
          <w:iCs/>
          <w:kern w:val="0"/>
        </w:rPr>
        <w:t>Acer </w:t>
      </w:r>
      <w:r>
        <w:rPr>
          <w:rFonts w:ascii="Times New Roman" w:eastAsia="宋体" w:hAnsi="Times New Roman" w:cs="Times New Roman"/>
          <w:kern w:val="0"/>
        </w:rPr>
        <w:t>）</w:t>
      </w:r>
      <w:r>
        <w:rPr>
          <w:rFonts w:ascii="Times New Roman" w:eastAsia="宋体" w:hAnsi="Times New Roman" w:cs="Times New Roman" w:hint="eastAsia"/>
          <w:kern w:val="0"/>
        </w:rPr>
        <w:t>、</w:t>
      </w:r>
      <w:r>
        <w:rPr>
          <w:rFonts w:ascii="Times New Roman" w:eastAsia="宋体" w:hAnsi="Times New Roman" w:cs="Times New Roman"/>
          <w:kern w:val="0"/>
        </w:rPr>
        <w:t>榆</w:t>
      </w:r>
      <w:r>
        <w:rPr>
          <w:rFonts w:ascii="Times New Roman" w:eastAsia="宋体" w:hAnsi="Times New Roman" w:cs="Times New Roman" w:hint="eastAsia"/>
          <w:kern w:val="0"/>
        </w:rPr>
        <w:t>属（</w:t>
      </w:r>
      <w:r>
        <w:rPr>
          <w:rFonts w:ascii="Times New Roman" w:eastAsia="宋体" w:hAnsi="Times New Roman" w:cs="Times New Roman" w:hint="eastAsia"/>
          <w:i/>
          <w:iCs/>
          <w:kern w:val="0"/>
        </w:rPr>
        <w:t>Ulmus</w:t>
      </w:r>
      <w:r>
        <w:rPr>
          <w:rFonts w:ascii="Times New Roman" w:eastAsia="宋体" w:hAnsi="Times New Roman" w:cs="Times New Roman"/>
          <w:i/>
          <w:iCs/>
          <w:kern w:val="0"/>
        </w:rPr>
        <w:t> </w:t>
      </w:r>
      <w:r>
        <w:rPr>
          <w:rFonts w:ascii="Times New Roman" w:eastAsia="宋体" w:hAnsi="Times New Roman" w:cs="Times New Roman"/>
          <w:kern w:val="0"/>
        </w:rPr>
        <w:t>）</w:t>
      </w:r>
      <w:r>
        <w:rPr>
          <w:rFonts w:ascii="Times New Roman" w:eastAsia="宋体" w:hAnsi="Times New Roman" w:cs="Times New Roman" w:hint="eastAsia"/>
          <w:kern w:val="0"/>
        </w:rPr>
        <w:t>、栎属（</w:t>
      </w:r>
      <w:r>
        <w:rPr>
          <w:rFonts w:ascii="Times New Roman" w:eastAsia="宋体" w:hAnsi="Times New Roman" w:cs="Times New Roman"/>
          <w:i/>
          <w:iCs/>
          <w:kern w:val="0"/>
        </w:rPr>
        <w:t>Quercus </w:t>
      </w:r>
      <w:r>
        <w:rPr>
          <w:rFonts w:ascii="Times New Roman" w:eastAsia="宋体" w:hAnsi="Times New Roman" w:cs="Times New Roman"/>
          <w:kern w:val="0"/>
        </w:rPr>
        <w:t>）</w:t>
      </w:r>
      <w:r>
        <w:rPr>
          <w:rFonts w:ascii="Times New Roman" w:eastAsia="宋体" w:hAnsi="Times New Roman" w:cs="Times New Roman" w:hint="eastAsia"/>
          <w:kern w:val="0"/>
        </w:rPr>
        <w:t>、杨属（</w:t>
      </w:r>
      <w:r>
        <w:rPr>
          <w:rFonts w:ascii="Times New Roman" w:eastAsia="宋体" w:hAnsi="Times New Roman" w:cs="Times New Roman" w:hint="eastAsia"/>
          <w:i/>
          <w:iCs/>
          <w:kern w:val="0"/>
        </w:rPr>
        <w:t>Populus</w:t>
      </w:r>
      <w:r>
        <w:rPr>
          <w:rFonts w:ascii="Times New Roman" w:eastAsia="宋体" w:hAnsi="Times New Roman" w:cs="Times New Roman"/>
          <w:kern w:val="0"/>
        </w:rPr>
        <w:t>）</w:t>
      </w:r>
      <w:r>
        <w:rPr>
          <w:rFonts w:ascii="Times New Roman" w:eastAsia="宋体" w:hAnsi="Times New Roman" w:cs="Times New Roman" w:hint="eastAsia"/>
          <w:kern w:val="0"/>
        </w:rPr>
        <w:t>、柳属（</w:t>
      </w:r>
      <w:r>
        <w:rPr>
          <w:rFonts w:ascii="Times New Roman" w:eastAsia="宋体" w:hAnsi="Times New Roman" w:cs="Times New Roman"/>
          <w:i/>
          <w:iCs/>
          <w:kern w:val="0"/>
        </w:rPr>
        <w:t>Salix</w:t>
      </w:r>
      <w:r>
        <w:rPr>
          <w:rFonts w:ascii="Times New Roman" w:eastAsia="宋体" w:hAnsi="Times New Roman" w:cs="Times New Roman"/>
          <w:kern w:val="0"/>
        </w:rPr>
        <w:t>）</w:t>
      </w:r>
      <w:r>
        <w:rPr>
          <w:rFonts w:ascii="Times New Roman" w:eastAsia="宋体" w:hAnsi="Times New Roman" w:cs="Times New Roman" w:hint="eastAsia"/>
          <w:kern w:val="0"/>
        </w:rPr>
        <w:t>、</w:t>
      </w:r>
      <w:r>
        <w:rPr>
          <w:rFonts w:ascii="Times New Roman" w:eastAsia="宋体" w:hAnsi="Times New Roman" w:cs="Times New Roman"/>
          <w:kern w:val="0"/>
        </w:rPr>
        <w:t>胡桃</w:t>
      </w:r>
      <w:r>
        <w:rPr>
          <w:rFonts w:ascii="Times New Roman" w:eastAsia="宋体" w:hAnsi="Times New Roman" w:cs="Times New Roman" w:hint="eastAsia"/>
          <w:kern w:val="0"/>
        </w:rPr>
        <w:t>属（</w:t>
      </w:r>
      <w:r>
        <w:rPr>
          <w:rFonts w:ascii="Times New Roman" w:eastAsia="宋体" w:hAnsi="Times New Roman" w:cs="Times New Roman"/>
          <w:i/>
          <w:iCs/>
          <w:kern w:val="0"/>
        </w:rPr>
        <w:t>Juglans </w:t>
      </w:r>
      <w:r>
        <w:rPr>
          <w:rFonts w:ascii="Times New Roman" w:eastAsia="宋体" w:hAnsi="Times New Roman" w:cs="Times New Roman"/>
          <w:kern w:val="0"/>
        </w:rPr>
        <w:t>）</w:t>
      </w:r>
      <w:r>
        <w:rPr>
          <w:rFonts w:ascii="Times New Roman" w:eastAsia="宋体" w:hAnsi="Times New Roman" w:cs="Times New Roman" w:hint="eastAsia"/>
          <w:kern w:val="0"/>
        </w:rPr>
        <w:t>、黄檗属（</w:t>
      </w:r>
      <w:r>
        <w:rPr>
          <w:rFonts w:ascii="Times New Roman" w:eastAsia="宋体" w:hAnsi="Times New Roman" w:cs="Times New Roman"/>
          <w:i/>
          <w:iCs/>
          <w:kern w:val="0"/>
        </w:rPr>
        <w:t>Phellodendron </w:t>
      </w:r>
      <w:r>
        <w:rPr>
          <w:rFonts w:ascii="Times New Roman" w:eastAsia="宋体" w:hAnsi="Times New Roman" w:cs="Times New Roman"/>
          <w:kern w:val="0"/>
        </w:rPr>
        <w:t>）</w:t>
      </w:r>
      <w:r>
        <w:rPr>
          <w:rFonts w:ascii="Times New Roman" w:eastAsia="宋体" w:hAnsi="Times New Roman" w:cs="Times New Roman" w:hint="eastAsia"/>
          <w:kern w:val="0"/>
        </w:rPr>
        <w:t>、梣属（</w:t>
      </w:r>
      <w:r>
        <w:rPr>
          <w:rFonts w:ascii="Times New Roman" w:eastAsia="宋体" w:hAnsi="Times New Roman" w:cs="Times New Roman"/>
          <w:i/>
          <w:iCs/>
          <w:kern w:val="0"/>
        </w:rPr>
        <w:t>Fraxinus</w:t>
      </w:r>
      <w:r>
        <w:rPr>
          <w:rFonts w:ascii="Times New Roman" w:eastAsia="宋体" w:hAnsi="Times New Roman" w:cs="Times New Roman"/>
          <w:kern w:val="0"/>
        </w:rPr>
        <w:t>）</w:t>
      </w:r>
      <w:r>
        <w:rPr>
          <w:rFonts w:ascii="Times New Roman" w:eastAsia="宋体" w:hAnsi="Times New Roman" w:cs="Times New Roman" w:hint="eastAsia"/>
          <w:kern w:val="0"/>
        </w:rPr>
        <w:t>、露珠草属（</w:t>
      </w:r>
      <w:r>
        <w:rPr>
          <w:rFonts w:ascii="Times New Roman" w:eastAsia="宋体" w:hAnsi="Times New Roman" w:cs="Times New Roman"/>
          <w:i/>
          <w:iCs/>
          <w:kern w:val="0"/>
        </w:rPr>
        <w:t>Circaea</w:t>
      </w:r>
      <w:r>
        <w:rPr>
          <w:rFonts w:ascii="Times New Roman" w:eastAsia="宋体" w:hAnsi="Times New Roman" w:cs="Times New Roman"/>
          <w:kern w:val="0"/>
        </w:rPr>
        <w:t>）</w:t>
      </w:r>
      <w:r>
        <w:rPr>
          <w:rFonts w:ascii="Times New Roman" w:eastAsia="宋体" w:hAnsi="Times New Roman" w:cs="Times New Roman" w:hint="eastAsia"/>
          <w:kern w:val="0"/>
        </w:rPr>
        <w:t>、</w:t>
      </w:r>
      <w:r>
        <w:rPr>
          <w:rFonts w:ascii="Times New Roman" w:eastAsia="宋体" w:hAnsi="Times New Roman" w:cs="Times New Roman"/>
          <w:kern w:val="0"/>
        </w:rPr>
        <w:t>繁缕</w:t>
      </w:r>
      <w:r>
        <w:rPr>
          <w:rFonts w:ascii="Times New Roman" w:eastAsia="宋体" w:hAnsi="Times New Roman" w:cs="Times New Roman" w:hint="eastAsia"/>
          <w:kern w:val="0"/>
        </w:rPr>
        <w:t>属（</w:t>
      </w:r>
      <w:r>
        <w:rPr>
          <w:rFonts w:ascii="Times New Roman" w:eastAsia="宋体" w:hAnsi="Times New Roman" w:cs="Times New Roman"/>
          <w:i/>
          <w:iCs/>
          <w:kern w:val="0"/>
        </w:rPr>
        <w:t>Stellaria</w:t>
      </w:r>
      <w:r>
        <w:rPr>
          <w:rFonts w:ascii="Times New Roman" w:eastAsia="宋体" w:hAnsi="Times New Roman" w:cs="Times New Roman"/>
          <w:kern w:val="0"/>
        </w:rPr>
        <w:t>）</w:t>
      </w:r>
      <w:r>
        <w:rPr>
          <w:rFonts w:ascii="Times New Roman" w:eastAsia="宋体" w:hAnsi="Times New Roman" w:cs="Times New Roman" w:hint="eastAsia"/>
          <w:kern w:val="0"/>
        </w:rPr>
        <w:t>、石竹属（</w:t>
      </w:r>
      <w:r>
        <w:rPr>
          <w:rFonts w:ascii="Times New Roman" w:eastAsia="宋体" w:hAnsi="Times New Roman" w:cs="Times New Roman"/>
          <w:i/>
          <w:iCs/>
          <w:kern w:val="0"/>
        </w:rPr>
        <w:t>Dianthus</w:t>
      </w:r>
      <w:r>
        <w:rPr>
          <w:rFonts w:ascii="Times New Roman" w:eastAsia="宋体" w:hAnsi="Times New Roman" w:cs="Times New Roman"/>
          <w:kern w:val="0"/>
        </w:rPr>
        <w:t>）</w:t>
      </w:r>
      <w:r>
        <w:rPr>
          <w:rFonts w:ascii="Times New Roman" w:eastAsia="宋体" w:hAnsi="Times New Roman" w:cs="Times New Roman" w:hint="eastAsia"/>
          <w:kern w:val="0"/>
        </w:rPr>
        <w:t>、车轴草属（</w:t>
      </w:r>
      <w:r>
        <w:rPr>
          <w:rFonts w:ascii="Times New Roman" w:eastAsia="宋体" w:hAnsi="Times New Roman" w:cs="Times New Roman" w:hint="eastAsia"/>
          <w:i/>
          <w:iCs/>
          <w:kern w:val="0"/>
        </w:rPr>
        <w:t>Trifolium</w:t>
      </w:r>
      <w:r>
        <w:rPr>
          <w:rFonts w:ascii="Times New Roman" w:eastAsia="宋体" w:hAnsi="Times New Roman" w:cs="Times New Roman"/>
          <w:kern w:val="0"/>
        </w:rPr>
        <w:t>）</w:t>
      </w:r>
      <w:r>
        <w:rPr>
          <w:rFonts w:ascii="Times New Roman" w:eastAsia="宋体" w:hAnsi="Times New Roman" w:cs="Times New Roman" w:hint="eastAsia"/>
          <w:kern w:val="0"/>
        </w:rPr>
        <w:t>、委陵菜属（</w:t>
      </w:r>
      <w:r>
        <w:rPr>
          <w:rFonts w:ascii="Times New Roman" w:eastAsia="宋体" w:hAnsi="Times New Roman" w:cs="Times New Roman" w:hint="eastAsia"/>
          <w:i/>
          <w:iCs/>
          <w:kern w:val="0"/>
        </w:rPr>
        <w:t>Potentilla</w:t>
      </w:r>
      <w:r>
        <w:rPr>
          <w:rFonts w:ascii="Times New Roman" w:eastAsia="宋体" w:hAnsi="Times New Roman" w:cs="Times New Roman"/>
          <w:kern w:val="0"/>
        </w:rPr>
        <w:t>）</w:t>
      </w:r>
      <w:r>
        <w:rPr>
          <w:rFonts w:ascii="Times New Roman" w:eastAsia="宋体" w:hAnsi="Times New Roman" w:cs="Times New Roman" w:hint="eastAsia"/>
          <w:kern w:val="0"/>
        </w:rPr>
        <w:t>、龙芽草属（</w:t>
      </w:r>
      <w:r>
        <w:rPr>
          <w:rFonts w:ascii="Times New Roman" w:eastAsia="宋体" w:hAnsi="Times New Roman" w:cs="Times New Roman" w:hint="eastAsia"/>
          <w:i/>
          <w:iCs/>
          <w:kern w:val="0"/>
        </w:rPr>
        <w:t>Agrimonia</w:t>
      </w:r>
      <w:r>
        <w:rPr>
          <w:rFonts w:ascii="Times New Roman" w:eastAsia="宋体" w:hAnsi="Times New Roman" w:cs="Times New Roman"/>
          <w:i/>
          <w:iCs/>
          <w:kern w:val="0"/>
        </w:rPr>
        <w:t> </w:t>
      </w:r>
      <w:r>
        <w:rPr>
          <w:rFonts w:ascii="Times New Roman" w:eastAsia="宋体" w:hAnsi="Times New Roman" w:cs="Times New Roman"/>
          <w:kern w:val="0"/>
        </w:rPr>
        <w:t>）</w:t>
      </w:r>
      <w:r>
        <w:rPr>
          <w:rFonts w:ascii="Times New Roman" w:eastAsia="宋体" w:hAnsi="Times New Roman" w:cs="Times New Roman" w:hint="eastAsia"/>
          <w:kern w:val="0"/>
        </w:rPr>
        <w:t>、蚊子草属（</w:t>
      </w:r>
      <w:r>
        <w:rPr>
          <w:rFonts w:ascii="Times New Roman" w:eastAsia="宋体" w:hAnsi="Times New Roman" w:cs="Times New Roman" w:hint="eastAsia"/>
          <w:i/>
          <w:iCs/>
          <w:kern w:val="0"/>
        </w:rPr>
        <w:t>Filipendula</w:t>
      </w:r>
      <w:r>
        <w:rPr>
          <w:rFonts w:ascii="Times New Roman" w:eastAsia="宋体" w:hAnsi="Times New Roman" w:cs="Times New Roman"/>
          <w:kern w:val="0"/>
        </w:rPr>
        <w:t>）</w:t>
      </w:r>
      <w:r>
        <w:rPr>
          <w:rFonts w:ascii="Times New Roman" w:eastAsia="宋体" w:hAnsi="Times New Roman" w:cs="Times New Roman" w:hint="eastAsia"/>
          <w:kern w:val="0"/>
        </w:rPr>
        <w:t>、地榆属（</w:t>
      </w:r>
      <w:r>
        <w:rPr>
          <w:rFonts w:ascii="Times New Roman" w:eastAsia="宋体" w:hAnsi="Times New Roman" w:cs="Times New Roman" w:hint="eastAsia"/>
          <w:i/>
          <w:iCs/>
          <w:kern w:val="0"/>
        </w:rPr>
        <w:t>Sanguisorba</w:t>
      </w:r>
      <w:r>
        <w:rPr>
          <w:rFonts w:ascii="Times New Roman" w:eastAsia="宋体" w:hAnsi="Times New Roman" w:cs="Times New Roman"/>
          <w:i/>
          <w:iCs/>
          <w:kern w:val="0"/>
        </w:rPr>
        <w:t> </w:t>
      </w:r>
      <w:r>
        <w:rPr>
          <w:rFonts w:ascii="Times New Roman" w:eastAsia="宋体" w:hAnsi="Times New Roman" w:cs="Times New Roman"/>
          <w:kern w:val="0"/>
        </w:rPr>
        <w:t>）</w:t>
      </w:r>
      <w:r>
        <w:rPr>
          <w:rFonts w:ascii="Times New Roman" w:eastAsia="宋体" w:hAnsi="Times New Roman" w:cs="Times New Roman" w:hint="eastAsia"/>
          <w:kern w:val="0"/>
        </w:rPr>
        <w:t>、地蔷薇属（</w:t>
      </w:r>
      <w:r>
        <w:rPr>
          <w:rFonts w:ascii="Times New Roman" w:eastAsia="宋体" w:hAnsi="Times New Roman" w:cs="Times New Roman" w:hint="eastAsia"/>
          <w:i/>
          <w:iCs/>
          <w:kern w:val="0"/>
        </w:rPr>
        <w:t>Chamaerhodos</w:t>
      </w:r>
      <w:r>
        <w:rPr>
          <w:rFonts w:ascii="Times New Roman" w:eastAsia="宋体" w:hAnsi="Times New Roman" w:cs="Times New Roman"/>
          <w:kern w:val="0"/>
        </w:rPr>
        <w:t>）</w:t>
      </w:r>
      <w:r>
        <w:rPr>
          <w:rFonts w:ascii="Times New Roman" w:eastAsia="宋体" w:hAnsi="Times New Roman" w:cs="Times New Roman" w:hint="eastAsia"/>
          <w:kern w:val="0"/>
        </w:rPr>
        <w:t>、绣线菊属（</w:t>
      </w:r>
      <w:r>
        <w:rPr>
          <w:rFonts w:ascii="Times New Roman" w:eastAsia="宋体" w:hAnsi="Times New Roman" w:cs="Times New Roman"/>
          <w:i/>
          <w:iCs/>
          <w:kern w:val="0"/>
        </w:rPr>
        <w:t>Spiraea</w:t>
      </w:r>
      <w:r>
        <w:rPr>
          <w:rFonts w:ascii="Times New Roman" w:eastAsia="宋体" w:hAnsi="Times New Roman" w:cs="Times New Roman"/>
          <w:kern w:val="0"/>
        </w:rPr>
        <w:t>）</w:t>
      </w:r>
      <w:r>
        <w:rPr>
          <w:rFonts w:ascii="Times New Roman" w:eastAsia="宋体" w:hAnsi="Times New Roman" w:cs="Times New Roman" w:hint="eastAsia"/>
          <w:kern w:val="0"/>
        </w:rPr>
        <w:t>、路边青属（</w:t>
      </w:r>
      <w:bookmarkStart w:id="239" w:name="_Hlk194922142"/>
      <w:r>
        <w:rPr>
          <w:rFonts w:ascii="Times New Roman" w:eastAsia="宋体" w:hAnsi="Times New Roman" w:cs="Times New Roman"/>
          <w:i/>
          <w:iCs/>
          <w:kern w:val="0"/>
        </w:rPr>
        <w:t>Geum</w:t>
      </w:r>
      <w:bookmarkEnd w:id="239"/>
      <w:r>
        <w:rPr>
          <w:rFonts w:ascii="Times New Roman" w:eastAsia="宋体" w:hAnsi="Times New Roman" w:cs="Times New Roman"/>
          <w:kern w:val="0"/>
        </w:rPr>
        <w:t>）</w:t>
      </w:r>
      <w:r>
        <w:rPr>
          <w:rFonts w:ascii="Times New Roman" w:eastAsia="宋体" w:hAnsi="Times New Roman" w:cs="Times New Roman" w:hint="eastAsia"/>
          <w:kern w:val="0"/>
        </w:rPr>
        <w:t>、蕨麻属（</w:t>
      </w:r>
      <w:r>
        <w:rPr>
          <w:rFonts w:ascii="Times New Roman" w:eastAsia="宋体" w:hAnsi="Times New Roman" w:cs="Times New Roman"/>
          <w:i/>
          <w:iCs/>
          <w:kern w:val="0"/>
        </w:rPr>
        <w:t>Argentina </w:t>
      </w:r>
      <w:r>
        <w:rPr>
          <w:rFonts w:ascii="Times New Roman" w:eastAsia="宋体" w:hAnsi="Times New Roman" w:cs="Times New Roman"/>
          <w:kern w:val="0"/>
        </w:rPr>
        <w:t>）</w:t>
      </w:r>
      <w:r>
        <w:rPr>
          <w:rFonts w:ascii="Times New Roman" w:eastAsia="宋体" w:hAnsi="Times New Roman" w:cs="Times New Roman" w:hint="eastAsia"/>
          <w:kern w:val="0"/>
        </w:rPr>
        <w:t>、胡枝子属（</w:t>
      </w:r>
      <w:r>
        <w:rPr>
          <w:rFonts w:ascii="Times New Roman" w:eastAsia="宋体" w:hAnsi="Times New Roman" w:cs="Times New Roman"/>
          <w:i/>
          <w:iCs/>
          <w:kern w:val="0"/>
        </w:rPr>
        <w:t>Lespedeza</w:t>
      </w:r>
      <w:r>
        <w:rPr>
          <w:rFonts w:ascii="Times New Roman" w:eastAsia="宋体" w:hAnsi="Times New Roman" w:cs="Times New Roman"/>
          <w:kern w:val="0"/>
        </w:rPr>
        <w:t>）</w:t>
      </w:r>
      <w:r>
        <w:rPr>
          <w:rFonts w:ascii="Times New Roman" w:eastAsia="宋体" w:hAnsi="Times New Roman" w:cs="Times New Roman" w:hint="eastAsia"/>
          <w:kern w:val="0"/>
        </w:rPr>
        <w:t>、白屈菜属（</w:t>
      </w:r>
      <w:r>
        <w:rPr>
          <w:rFonts w:ascii="Times New Roman" w:eastAsia="宋体" w:hAnsi="Times New Roman" w:cs="Times New Roman"/>
          <w:i/>
          <w:iCs/>
          <w:kern w:val="0"/>
        </w:rPr>
        <w:t>Chelidonium </w:t>
      </w:r>
      <w:r>
        <w:rPr>
          <w:rFonts w:ascii="Times New Roman" w:eastAsia="宋体" w:hAnsi="Times New Roman" w:cs="Times New Roman"/>
          <w:kern w:val="0"/>
        </w:rPr>
        <w:t>）</w:t>
      </w:r>
      <w:r>
        <w:rPr>
          <w:rFonts w:ascii="Times New Roman" w:eastAsia="宋体" w:hAnsi="Times New Roman" w:cs="Times New Roman" w:hint="eastAsia"/>
          <w:kern w:val="0"/>
        </w:rPr>
        <w:t>、蒿属（</w:t>
      </w:r>
      <w:r>
        <w:rPr>
          <w:rFonts w:ascii="Times New Roman" w:eastAsia="宋体" w:hAnsi="Times New Roman" w:cs="Times New Roman"/>
          <w:i/>
          <w:iCs/>
          <w:kern w:val="0"/>
        </w:rPr>
        <w:t>Artemisia </w:t>
      </w:r>
      <w:r>
        <w:rPr>
          <w:rFonts w:ascii="Times New Roman" w:eastAsia="宋体" w:hAnsi="Times New Roman" w:cs="Times New Roman"/>
          <w:kern w:val="0"/>
        </w:rPr>
        <w:t>）</w:t>
      </w:r>
      <w:r>
        <w:rPr>
          <w:rFonts w:ascii="Times New Roman" w:eastAsia="宋体" w:hAnsi="Times New Roman" w:cs="Times New Roman" w:hint="eastAsia"/>
          <w:kern w:val="0"/>
        </w:rPr>
        <w:t>、蒲公英属（</w:t>
      </w:r>
      <w:r>
        <w:rPr>
          <w:rFonts w:ascii="Times New Roman" w:eastAsia="宋体" w:hAnsi="Times New Roman" w:cs="Times New Roman"/>
          <w:i/>
          <w:iCs/>
          <w:kern w:val="0"/>
        </w:rPr>
        <w:t>Taraxacum </w:t>
      </w:r>
      <w:r>
        <w:rPr>
          <w:rFonts w:ascii="Times New Roman" w:eastAsia="宋体" w:hAnsi="Times New Roman" w:cs="Times New Roman"/>
          <w:kern w:val="0"/>
        </w:rPr>
        <w:t>）</w:t>
      </w:r>
      <w:r>
        <w:rPr>
          <w:rFonts w:ascii="Times New Roman" w:eastAsia="宋体" w:hAnsi="Times New Roman" w:cs="Times New Roman" w:hint="eastAsia"/>
          <w:kern w:val="0"/>
        </w:rPr>
        <w:t>、菊蒿属（</w:t>
      </w:r>
      <w:r>
        <w:rPr>
          <w:rFonts w:ascii="Times New Roman" w:eastAsia="宋体" w:hAnsi="Times New Roman" w:cs="Times New Roman"/>
          <w:i/>
          <w:iCs/>
          <w:kern w:val="0"/>
        </w:rPr>
        <w:t>Tanacetum</w:t>
      </w:r>
      <w:r>
        <w:rPr>
          <w:rFonts w:ascii="Times New Roman" w:eastAsia="宋体" w:hAnsi="Times New Roman" w:cs="Times New Roman"/>
          <w:kern w:val="0"/>
        </w:rPr>
        <w:t>）</w:t>
      </w:r>
      <w:r>
        <w:rPr>
          <w:rFonts w:ascii="Times New Roman" w:eastAsia="宋体" w:hAnsi="Times New Roman" w:cs="Times New Roman" w:hint="eastAsia"/>
          <w:kern w:val="0"/>
        </w:rPr>
        <w:t>、莴苣属（</w:t>
      </w:r>
      <w:r>
        <w:rPr>
          <w:rFonts w:ascii="Times New Roman" w:eastAsia="宋体" w:hAnsi="Times New Roman" w:cs="Times New Roman"/>
          <w:i/>
          <w:iCs/>
          <w:kern w:val="0"/>
        </w:rPr>
        <w:t>Lactuca</w:t>
      </w:r>
      <w:r>
        <w:rPr>
          <w:rFonts w:ascii="Times New Roman" w:eastAsia="宋体" w:hAnsi="Times New Roman" w:cs="Times New Roman"/>
          <w:kern w:val="0"/>
        </w:rPr>
        <w:t>）</w:t>
      </w:r>
      <w:r>
        <w:rPr>
          <w:rFonts w:ascii="Times New Roman" w:eastAsia="宋体" w:hAnsi="Times New Roman" w:cs="Times New Roman" w:hint="eastAsia"/>
          <w:kern w:val="0"/>
        </w:rPr>
        <w:t>、飞蓬属（</w:t>
      </w:r>
      <w:r>
        <w:rPr>
          <w:rFonts w:ascii="Times New Roman" w:eastAsia="宋体" w:hAnsi="Times New Roman" w:cs="Times New Roman"/>
          <w:i/>
          <w:iCs/>
          <w:kern w:val="0"/>
        </w:rPr>
        <w:t>Erigeron</w:t>
      </w:r>
      <w:r>
        <w:rPr>
          <w:rFonts w:ascii="Times New Roman" w:eastAsia="宋体" w:hAnsi="Times New Roman" w:cs="Times New Roman"/>
          <w:kern w:val="0"/>
        </w:rPr>
        <w:t>）</w:t>
      </w:r>
      <w:r>
        <w:rPr>
          <w:rFonts w:ascii="Times New Roman" w:eastAsia="宋体" w:hAnsi="Times New Roman" w:cs="Times New Roman" w:hint="eastAsia"/>
          <w:kern w:val="0"/>
        </w:rPr>
        <w:t>、风毛菊属（</w:t>
      </w:r>
      <w:r>
        <w:rPr>
          <w:rFonts w:ascii="Times New Roman" w:eastAsia="宋体" w:hAnsi="Times New Roman" w:cs="Times New Roman"/>
          <w:i/>
          <w:iCs/>
          <w:kern w:val="0"/>
        </w:rPr>
        <w:t>Saussurea</w:t>
      </w:r>
      <w:r>
        <w:rPr>
          <w:rFonts w:ascii="Times New Roman" w:eastAsia="宋体" w:hAnsi="Times New Roman" w:cs="Times New Roman"/>
          <w:kern w:val="0"/>
        </w:rPr>
        <w:t>）</w:t>
      </w:r>
      <w:r>
        <w:rPr>
          <w:rFonts w:ascii="Times New Roman" w:eastAsia="宋体" w:hAnsi="Times New Roman" w:cs="Times New Roman" w:hint="eastAsia"/>
          <w:kern w:val="0"/>
        </w:rPr>
        <w:t>、独活属（</w:t>
      </w:r>
      <w:r>
        <w:rPr>
          <w:rFonts w:ascii="Times New Roman" w:eastAsia="宋体" w:hAnsi="Times New Roman" w:cs="Times New Roman"/>
          <w:i/>
          <w:iCs/>
          <w:kern w:val="0"/>
        </w:rPr>
        <w:t>Heracleum</w:t>
      </w:r>
      <w:r>
        <w:rPr>
          <w:rFonts w:ascii="Times New Roman" w:eastAsia="宋体" w:hAnsi="Times New Roman" w:cs="Times New Roman"/>
          <w:kern w:val="0"/>
        </w:rPr>
        <w:t>）</w:t>
      </w:r>
      <w:r>
        <w:rPr>
          <w:rFonts w:ascii="Times New Roman" w:eastAsia="宋体" w:hAnsi="Times New Roman" w:cs="Times New Roman" w:hint="eastAsia"/>
          <w:kern w:val="0"/>
        </w:rPr>
        <w:t>、毒芹属（</w:t>
      </w:r>
      <w:r>
        <w:rPr>
          <w:rFonts w:ascii="Times New Roman" w:eastAsia="宋体" w:hAnsi="Times New Roman" w:cs="Times New Roman"/>
          <w:i/>
          <w:iCs/>
          <w:kern w:val="0"/>
        </w:rPr>
        <w:t>Cicuta </w:t>
      </w:r>
      <w:r>
        <w:rPr>
          <w:rFonts w:ascii="Times New Roman" w:eastAsia="宋体" w:hAnsi="Times New Roman" w:cs="Times New Roman"/>
          <w:kern w:val="0"/>
        </w:rPr>
        <w:t>）</w:t>
      </w:r>
      <w:r>
        <w:rPr>
          <w:rFonts w:ascii="Times New Roman" w:eastAsia="宋体" w:hAnsi="Times New Roman" w:cs="Times New Roman" w:hint="eastAsia"/>
          <w:kern w:val="0"/>
        </w:rPr>
        <w:t>、菖蒲属（</w:t>
      </w:r>
      <w:r>
        <w:rPr>
          <w:rFonts w:ascii="Times New Roman" w:eastAsia="宋体" w:hAnsi="Times New Roman" w:cs="Times New Roman"/>
          <w:i/>
          <w:iCs/>
          <w:kern w:val="0"/>
        </w:rPr>
        <w:t>Acorus </w:t>
      </w:r>
      <w:r>
        <w:rPr>
          <w:rFonts w:ascii="Times New Roman" w:eastAsia="宋体" w:hAnsi="Times New Roman" w:cs="Times New Roman"/>
          <w:kern w:val="0"/>
        </w:rPr>
        <w:t>）</w:t>
      </w:r>
      <w:r>
        <w:rPr>
          <w:rFonts w:ascii="Times New Roman" w:eastAsia="宋体" w:hAnsi="Times New Roman" w:cs="Times New Roman" w:hint="eastAsia"/>
          <w:kern w:val="0"/>
        </w:rPr>
        <w:t>、稗属（</w:t>
      </w:r>
      <w:r>
        <w:rPr>
          <w:rFonts w:ascii="Times New Roman" w:eastAsia="宋体" w:hAnsi="Times New Roman" w:cs="Times New Roman"/>
          <w:i/>
          <w:iCs/>
          <w:kern w:val="0"/>
        </w:rPr>
        <w:t>Echinochloa </w:t>
      </w:r>
      <w:r>
        <w:rPr>
          <w:rFonts w:ascii="Times New Roman" w:eastAsia="宋体" w:hAnsi="Times New Roman" w:cs="Times New Roman"/>
          <w:kern w:val="0"/>
        </w:rPr>
        <w:t>）</w:t>
      </w:r>
      <w:r>
        <w:rPr>
          <w:rFonts w:ascii="Times New Roman" w:eastAsia="宋体" w:hAnsi="Times New Roman" w:cs="Times New Roman" w:hint="eastAsia"/>
          <w:kern w:val="0"/>
        </w:rPr>
        <w:t>、羊胡子草属（</w:t>
      </w:r>
      <w:r>
        <w:rPr>
          <w:rFonts w:ascii="Times New Roman" w:eastAsia="宋体" w:hAnsi="Times New Roman" w:cs="Times New Roman"/>
          <w:i/>
          <w:iCs/>
          <w:kern w:val="0"/>
        </w:rPr>
        <w:t>Eriophorum</w:t>
      </w:r>
      <w:r>
        <w:rPr>
          <w:rFonts w:ascii="Times New Roman" w:eastAsia="宋体" w:hAnsi="Times New Roman" w:cs="Times New Roman"/>
          <w:kern w:val="0"/>
        </w:rPr>
        <w:t>）</w:t>
      </w:r>
      <w:r>
        <w:rPr>
          <w:rFonts w:ascii="Times New Roman" w:eastAsia="宋体" w:hAnsi="Times New Roman" w:cs="Times New Roman" w:hint="eastAsia"/>
          <w:kern w:val="0"/>
        </w:rPr>
        <w:t>、荨麻属（</w:t>
      </w:r>
      <w:r>
        <w:rPr>
          <w:rFonts w:ascii="Times New Roman" w:eastAsia="宋体" w:hAnsi="Times New Roman" w:cs="Times New Roman"/>
          <w:i/>
          <w:iCs/>
          <w:kern w:val="0"/>
        </w:rPr>
        <w:t>Urtica</w:t>
      </w:r>
      <w:r>
        <w:rPr>
          <w:rFonts w:ascii="Times New Roman" w:eastAsia="宋体" w:hAnsi="Times New Roman" w:cs="Times New Roman"/>
          <w:kern w:val="0"/>
        </w:rPr>
        <w:t>）</w:t>
      </w:r>
      <w:r>
        <w:rPr>
          <w:rFonts w:ascii="Times New Roman" w:eastAsia="宋体" w:hAnsi="Times New Roman" w:cs="Times New Roman" w:hint="eastAsia"/>
          <w:kern w:val="0"/>
        </w:rPr>
        <w:t>、铃兰属（</w:t>
      </w:r>
      <w:r>
        <w:rPr>
          <w:rFonts w:ascii="Times New Roman" w:eastAsia="宋体" w:hAnsi="Times New Roman" w:cs="Times New Roman"/>
          <w:i/>
          <w:iCs/>
          <w:kern w:val="0"/>
        </w:rPr>
        <w:t>Convallaria </w:t>
      </w:r>
      <w:r>
        <w:rPr>
          <w:rFonts w:ascii="Times New Roman" w:eastAsia="宋体" w:hAnsi="Times New Roman" w:cs="Times New Roman"/>
          <w:kern w:val="0"/>
        </w:rPr>
        <w:t>）</w:t>
      </w:r>
      <w:r>
        <w:rPr>
          <w:rFonts w:ascii="Times New Roman" w:eastAsia="宋体" w:hAnsi="Times New Roman" w:cs="Times New Roman" w:hint="eastAsia"/>
          <w:kern w:val="0"/>
        </w:rPr>
        <w:t>、黄静属（</w:t>
      </w:r>
      <w:r>
        <w:rPr>
          <w:rFonts w:ascii="Times New Roman" w:eastAsia="宋体" w:hAnsi="Times New Roman" w:cs="Times New Roman"/>
          <w:i/>
          <w:iCs/>
          <w:kern w:val="0"/>
        </w:rPr>
        <w:t>Polygonatum</w:t>
      </w:r>
      <w:r>
        <w:rPr>
          <w:rFonts w:ascii="Times New Roman" w:eastAsia="宋体" w:hAnsi="Times New Roman" w:cs="Times New Roman"/>
          <w:kern w:val="0"/>
        </w:rPr>
        <w:t>）</w:t>
      </w:r>
      <w:r>
        <w:rPr>
          <w:rFonts w:ascii="Times New Roman" w:eastAsia="宋体" w:hAnsi="Times New Roman" w:cs="Times New Roman" w:hint="eastAsia"/>
          <w:kern w:val="0"/>
        </w:rPr>
        <w:t>、点地梅属（</w:t>
      </w:r>
      <w:r>
        <w:rPr>
          <w:rFonts w:ascii="Times New Roman" w:eastAsia="宋体" w:hAnsi="Times New Roman" w:cs="Times New Roman"/>
          <w:i/>
          <w:iCs/>
          <w:kern w:val="0"/>
        </w:rPr>
        <w:t>Androsace </w:t>
      </w:r>
      <w:r>
        <w:rPr>
          <w:rFonts w:ascii="Times New Roman" w:eastAsia="宋体" w:hAnsi="Times New Roman" w:cs="Times New Roman"/>
          <w:kern w:val="0"/>
        </w:rPr>
        <w:t>）</w:t>
      </w:r>
      <w:r>
        <w:rPr>
          <w:rFonts w:ascii="Times New Roman" w:eastAsia="宋体" w:hAnsi="Times New Roman" w:cs="Times New Roman" w:hint="eastAsia"/>
          <w:kern w:val="0"/>
        </w:rPr>
        <w:t>、画眉草属（</w:t>
      </w:r>
      <w:bookmarkStart w:id="240" w:name="_Hlk176695457"/>
      <w:r>
        <w:rPr>
          <w:rFonts w:ascii="Times New Roman" w:eastAsia="宋体" w:hAnsi="Times New Roman" w:cs="Times New Roman"/>
          <w:i/>
          <w:iCs/>
          <w:kern w:val="0"/>
        </w:rPr>
        <w:t xml:space="preserve">Eragrostis </w:t>
      </w:r>
      <w:bookmarkEnd w:id="240"/>
      <w:r>
        <w:rPr>
          <w:rFonts w:ascii="Times New Roman" w:eastAsia="宋体" w:hAnsi="Times New Roman" w:cs="Times New Roman"/>
          <w:i/>
          <w:iCs/>
          <w:kern w:val="0"/>
        </w:rPr>
        <w:t> </w:t>
      </w:r>
      <w:r>
        <w:rPr>
          <w:rFonts w:ascii="Times New Roman" w:eastAsia="宋体" w:hAnsi="Times New Roman" w:cs="Times New Roman"/>
          <w:kern w:val="0"/>
        </w:rPr>
        <w:t>）</w:t>
      </w:r>
      <w:r>
        <w:rPr>
          <w:rFonts w:ascii="Times New Roman" w:eastAsia="宋体" w:hAnsi="Times New Roman" w:cs="Times New Roman" w:hint="eastAsia"/>
          <w:kern w:val="0"/>
        </w:rPr>
        <w:t>、蹄盖蕨属（</w:t>
      </w:r>
      <w:r>
        <w:rPr>
          <w:rFonts w:ascii="Times New Roman" w:eastAsia="宋体" w:hAnsi="Times New Roman" w:cs="Times New Roman"/>
          <w:i/>
          <w:iCs/>
          <w:kern w:val="0"/>
        </w:rPr>
        <w:t>Athyrium </w:t>
      </w:r>
      <w:r>
        <w:rPr>
          <w:rFonts w:ascii="Times New Roman" w:eastAsia="宋体" w:hAnsi="Times New Roman" w:cs="Times New Roman"/>
          <w:kern w:val="0"/>
        </w:rPr>
        <w:t>）</w:t>
      </w:r>
      <w:r>
        <w:rPr>
          <w:rFonts w:ascii="Times New Roman" w:eastAsia="宋体" w:hAnsi="Times New Roman" w:cs="Times New Roman" w:hint="eastAsia"/>
          <w:kern w:val="0"/>
        </w:rPr>
        <w:t>。</w:t>
      </w:r>
    </w:p>
    <w:p w14:paraId="2A6537D3"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lastRenderedPageBreak/>
        <w:t>项目调查范围内种子植物中属于世界分布成分的属有</w:t>
      </w:r>
      <w:r>
        <w:rPr>
          <w:rFonts w:ascii="Times New Roman" w:eastAsia="宋体" w:hAnsi="Times New Roman" w:cs="Times New Roman"/>
          <w:kern w:val="0"/>
        </w:rPr>
        <w:t>11</w:t>
      </w:r>
      <w:r>
        <w:rPr>
          <w:rFonts w:ascii="Times New Roman" w:eastAsia="宋体" w:hAnsi="Times New Roman" w:cs="Times New Roman"/>
          <w:kern w:val="0"/>
        </w:rPr>
        <w:t>属，占该区域种子植物总属数的</w:t>
      </w:r>
      <w:r>
        <w:rPr>
          <w:rFonts w:ascii="Times New Roman" w:eastAsia="宋体" w:hAnsi="Times New Roman" w:cs="Times New Roman"/>
          <w:kern w:val="0"/>
        </w:rPr>
        <w:t>18.97 %</w:t>
      </w:r>
      <w:r>
        <w:rPr>
          <w:rFonts w:ascii="Times New Roman" w:eastAsia="宋体" w:hAnsi="Times New Roman" w:cs="Times New Roman"/>
          <w:kern w:val="0"/>
        </w:rPr>
        <w:t>，分别为</w:t>
      </w:r>
      <w:r>
        <w:rPr>
          <w:rFonts w:ascii="Times New Roman" w:eastAsia="宋体" w:hAnsi="Times New Roman" w:cs="Times New Roman" w:hint="eastAsia"/>
          <w:kern w:val="0"/>
        </w:rPr>
        <w:t>老鹳草（</w:t>
      </w:r>
      <w:r>
        <w:rPr>
          <w:rFonts w:ascii="Times New Roman" w:eastAsia="宋体" w:hAnsi="Times New Roman" w:cs="Times New Roman" w:hint="eastAsia"/>
          <w:i/>
          <w:iCs/>
          <w:kern w:val="0"/>
        </w:rPr>
        <w:t>Geranium wilfordii</w:t>
      </w:r>
      <w:r>
        <w:rPr>
          <w:rFonts w:ascii="Times New Roman" w:eastAsia="宋体" w:hAnsi="Times New Roman" w:cs="Times New Roman"/>
          <w:i/>
          <w:iCs/>
          <w:kern w:val="0"/>
        </w:rPr>
        <w:t> </w:t>
      </w:r>
      <w:r>
        <w:rPr>
          <w:rFonts w:ascii="Times New Roman" w:eastAsia="宋体" w:hAnsi="Times New Roman" w:cs="Times New Roman"/>
          <w:kern w:val="0"/>
        </w:rPr>
        <w:t>）</w:t>
      </w:r>
      <w:r>
        <w:rPr>
          <w:rFonts w:ascii="Times New Roman" w:eastAsia="宋体" w:hAnsi="Times New Roman" w:cs="Times New Roman" w:hint="eastAsia"/>
          <w:kern w:val="0"/>
        </w:rPr>
        <w:t>、拉拉藤属（</w:t>
      </w:r>
      <w:r>
        <w:rPr>
          <w:rFonts w:ascii="Times New Roman" w:eastAsia="宋体" w:hAnsi="Times New Roman" w:cs="Times New Roman"/>
          <w:i/>
          <w:iCs/>
          <w:kern w:val="0"/>
        </w:rPr>
        <w:t>Galium</w:t>
      </w:r>
      <w:r>
        <w:rPr>
          <w:rFonts w:ascii="Times New Roman" w:eastAsia="宋体" w:hAnsi="Times New Roman" w:cs="Times New Roman"/>
          <w:kern w:val="0"/>
        </w:rPr>
        <w:t>）</w:t>
      </w:r>
      <w:r>
        <w:rPr>
          <w:rFonts w:ascii="Times New Roman" w:eastAsia="宋体" w:hAnsi="Times New Roman" w:cs="Times New Roman" w:hint="eastAsia"/>
          <w:kern w:val="0"/>
        </w:rPr>
        <w:t>、鬼针草属（</w:t>
      </w:r>
      <w:r>
        <w:rPr>
          <w:rFonts w:ascii="Times New Roman" w:eastAsia="宋体" w:hAnsi="Times New Roman" w:cs="Times New Roman"/>
          <w:i/>
          <w:iCs/>
          <w:kern w:val="0"/>
        </w:rPr>
        <w:t>Bidens </w:t>
      </w:r>
      <w:r>
        <w:rPr>
          <w:rFonts w:ascii="Times New Roman" w:eastAsia="宋体" w:hAnsi="Times New Roman" w:cs="Times New Roman"/>
          <w:kern w:val="0"/>
        </w:rPr>
        <w:t>）</w:t>
      </w:r>
      <w:r>
        <w:rPr>
          <w:rFonts w:ascii="Times New Roman" w:eastAsia="宋体" w:hAnsi="Times New Roman" w:cs="Times New Roman" w:hint="eastAsia"/>
          <w:kern w:val="0"/>
        </w:rPr>
        <w:t>、芦苇属（</w:t>
      </w:r>
      <w:r>
        <w:rPr>
          <w:rFonts w:ascii="Times New Roman" w:eastAsia="宋体" w:hAnsi="Times New Roman" w:cs="Times New Roman"/>
          <w:i/>
          <w:iCs/>
          <w:kern w:val="0"/>
        </w:rPr>
        <w:t>Phragmites</w:t>
      </w:r>
      <w:r>
        <w:rPr>
          <w:rFonts w:ascii="Times New Roman" w:eastAsia="宋体" w:hAnsi="Times New Roman" w:cs="Times New Roman"/>
          <w:kern w:val="0"/>
        </w:rPr>
        <w:t>）</w:t>
      </w:r>
      <w:r>
        <w:rPr>
          <w:rFonts w:ascii="Times New Roman" w:eastAsia="宋体" w:hAnsi="Times New Roman" w:cs="Times New Roman" w:hint="eastAsia"/>
          <w:kern w:val="0"/>
        </w:rPr>
        <w:t>、篦齿眼子菜属（</w:t>
      </w:r>
      <w:r>
        <w:rPr>
          <w:rFonts w:ascii="Times New Roman" w:eastAsia="宋体" w:hAnsi="Times New Roman" w:cs="Times New Roman"/>
          <w:i/>
          <w:iCs/>
          <w:kern w:val="0"/>
        </w:rPr>
        <w:t>Stuckenia</w:t>
      </w:r>
      <w:r>
        <w:rPr>
          <w:rFonts w:ascii="Times New Roman" w:eastAsia="宋体" w:hAnsi="Times New Roman" w:cs="Times New Roman"/>
          <w:kern w:val="0"/>
        </w:rPr>
        <w:t>）</w:t>
      </w:r>
      <w:r>
        <w:rPr>
          <w:rFonts w:ascii="Times New Roman" w:eastAsia="宋体" w:hAnsi="Times New Roman" w:cs="Times New Roman" w:hint="eastAsia"/>
          <w:kern w:val="0"/>
        </w:rPr>
        <w:t>、薹草属（</w:t>
      </w:r>
      <w:r>
        <w:rPr>
          <w:rFonts w:ascii="Times New Roman" w:eastAsia="宋体" w:hAnsi="Times New Roman" w:cs="Times New Roman"/>
          <w:i/>
          <w:iCs/>
          <w:kern w:val="0"/>
        </w:rPr>
        <w:t>Carex</w:t>
      </w:r>
      <w:r>
        <w:rPr>
          <w:rFonts w:ascii="Times New Roman" w:eastAsia="宋体" w:hAnsi="Times New Roman" w:cs="Times New Roman"/>
          <w:kern w:val="0"/>
        </w:rPr>
        <w:t>）</w:t>
      </w:r>
      <w:r>
        <w:rPr>
          <w:rFonts w:ascii="Times New Roman" w:eastAsia="宋体" w:hAnsi="Times New Roman" w:cs="Times New Roman" w:hint="eastAsia"/>
          <w:kern w:val="0"/>
        </w:rPr>
        <w:t>、车前属（</w:t>
      </w:r>
      <w:r>
        <w:rPr>
          <w:rFonts w:ascii="Times New Roman" w:eastAsia="宋体" w:hAnsi="Times New Roman" w:cs="Times New Roman"/>
          <w:i/>
          <w:iCs/>
          <w:kern w:val="0"/>
        </w:rPr>
        <w:t>Plantago</w:t>
      </w:r>
      <w:r>
        <w:rPr>
          <w:rFonts w:ascii="Times New Roman" w:eastAsia="宋体" w:hAnsi="Times New Roman" w:cs="Times New Roman"/>
          <w:kern w:val="0"/>
        </w:rPr>
        <w:t>）</w:t>
      </w:r>
      <w:r>
        <w:rPr>
          <w:rFonts w:ascii="Times New Roman" w:eastAsia="宋体" w:hAnsi="Times New Roman" w:cs="Times New Roman" w:hint="eastAsia"/>
          <w:kern w:val="0"/>
        </w:rPr>
        <w:t>、铁线莲属（</w:t>
      </w:r>
      <w:r>
        <w:rPr>
          <w:rFonts w:ascii="Times New Roman" w:eastAsia="宋体" w:hAnsi="Times New Roman" w:cs="Times New Roman"/>
          <w:i/>
          <w:iCs/>
          <w:kern w:val="0"/>
        </w:rPr>
        <w:t>Clematis</w:t>
      </w:r>
      <w:r>
        <w:rPr>
          <w:rFonts w:ascii="Times New Roman" w:eastAsia="宋体" w:hAnsi="Times New Roman" w:cs="Times New Roman"/>
          <w:kern w:val="0"/>
        </w:rPr>
        <w:t>）</w:t>
      </w:r>
      <w:r>
        <w:rPr>
          <w:rFonts w:ascii="Times New Roman" w:eastAsia="宋体" w:hAnsi="Times New Roman" w:cs="Times New Roman" w:hint="eastAsia"/>
          <w:kern w:val="0"/>
        </w:rPr>
        <w:t>、碎米荠属（</w:t>
      </w:r>
      <w:r>
        <w:rPr>
          <w:rFonts w:ascii="Times New Roman" w:eastAsia="宋体" w:hAnsi="Times New Roman" w:cs="Times New Roman"/>
          <w:i/>
          <w:iCs/>
          <w:kern w:val="0"/>
        </w:rPr>
        <w:t>Cardamine </w:t>
      </w:r>
      <w:r>
        <w:rPr>
          <w:rFonts w:ascii="Times New Roman" w:eastAsia="宋体" w:hAnsi="Times New Roman" w:cs="Times New Roman"/>
          <w:kern w:val="0"/>
        </w:rPr>
        <w:t>）</w:t>
      </w:r>
      <w:r>
        <w:rPr>
          <w:rFonts w:ascii="Times New Roman" w:eastAsia="宋体" w:hAnsi="Times New Roman" w:cs="Times New Roman" w:hint="eastAsia"/>
          <w:kern w:val="0"/>
        </w:rPr>
        <w:t>蓼属（</w:t>
      </w:r>
      <w:r>
        <w:rPr>
          <w:rFonts w:ascii="Times New Roman" w:eastAsia="宋体" w:hAnsi="Times New Roman" w:cs="Times New Roman"/>
          <w:i/>
          <w:iCs/>
          <w:kern w:val="0"/>
        </w:rPr>
        <w:t>Persicaria</w:t>
      </w:r>
      <w:r>
        <w:rPr>
          <w:rFonts w:ascii="Times New Roman" w:eastAsia="宋体" w:hAnsi="Times New Roman" w:cs="Times New Roman"/>
          <w:kern w:val="0"/>
        </w:rPr>
        <w:t>）</w:t>
      </w:r>
      <w:r>
        <w:rPr>
          <w:rFonts w:ascii="Times New Roman" w:eastAsia="宋体" w:hAnsi="Times New Roman" w:cs="Times New Roman" w:hint="eastAsia"/>
          <w:kern w:val="0"/>
        </w:rPr>
        <w:t>、早熟禾属（</w:t>
      </w:r>
      <w:r>
        <w:rPr>
          <w:rFonts w:ascii="Times New Roman" w:eastAsia="宋体" w:hAnsi="Times New Roman" w:cs="Times New Roman"/>
          <w:i/>
          <w:iCs/>
          <w:kern w:val="0"/>
        </w:rPr>
        <w:t>Poa</w:t>
      </w:r>
      <w:r>
        <w:rPr>
          <w:rFonts w:ascii="Times New Roman" w:eastAsia="宋体" w:hAnsi="Times New Roman" w:cs="Times New Roman"/>
          <w:kern w:val="0"/>
        </w:rPr>
        <w:t>）</w:t>
      </w:r>
      <w:r>
        <w:rPr>
          <w:rFonts w:ascii="Times New Roman" w:eastAsia="宋体" w:hAnsi="Times New Roman" w:cs="Times New Roman" w:hint="eastAsia"/>
          <w:kern w:val="0"/>
        </w:rPr>
        <w:t>，</w:t>
      </w:r>
      <w:r>
        <w:rPr>
          <w:rFonts w:ascii="Times New Roman" w:eastAsia="宋体" w:hAnsi="Times New Roman" w:cs="Times New Roman"/>
          <w:kern w:val="0"/>
        </w:rPr>
        <w:t>这些属广泛分布区世界各地，显示了项目调查范围植物的普遍性程度高。</w:t>
      </w:r>
    </w:p>
    <w:p w14:paraId="081B6170" w14:textId="77777777" w:rsidR="009D12AF" w:rsidRDefault="00000000">
      <w:pPr>
        <w:widowControl/>
        <w:ind w:firstLine="480"/>
        <w:jc w:val="left"/>
        <w:rPr>
          <w:rFonts w:ascii="Times New Roman" w:eastAsia="宋体" w:hAnsi="Times New Roman" w:cs="Times New Roman"/>
          <w:kern w:val="0"/>
          <w:sz w:val="28"/>
        </w:rPr>
      </w:pPr>
      <w:r>
        <w:rPr>
          <w:rFonts w:ascii="Times New Roman" w:eastAsia="宋体" w:hAnsi="Times New Roman" w:cs="Times New Roman"/>
          <w:kern w:val="0"/>
        </w:rPr>
        <w:t>项目调查范围内种子植物中属于热带分布成分的属有</w:t>
      </w:r>
      <w:r>
        <w:rPr>
          <w:rFonts w:ascii="Times New Roman" w:eastAsia="宋体" w:hAnsi="Times New Roman" w:cs="Times New Roman"/>
          <w:kern w:val="0"/>
        </w:rPr>
        <w:t>2</w:t>
      </w:r>
      <w:r>
        <w:rPr>
          <w:rFonts w:ascii="Times New Roman" w:eastAsia="宋体" w:hAnsi="Times New Roman" w:cs="Times New Roman"/>
          <w:kern w:val="0"/>
        </w:rPr>
        <w:t>属，占该区域种子植物总属数的</w:t>
      </w:r>
      <w:r>
        <w:rPr>
          <w:rFonts w:ascii="Times New Roman" w:eastAsia="宋体" w:hAnsi="Times New Roman" w:cs="Times New Roman"/>
          <w:kern w:val="0"/>
        </w:rPr>
        <w:t>3.45%</w:t>
      </w:r>
      <w:r>
        <w:rPr>
          <w:rFonts w:ascii="Times New Roman" w:eastAsia="宋体" w:hAnsi="Times New Roman" w:cs="Times New Roman"/>
          <w:kern w:val="0"/>
        </w:rPr>
        <w:t>，分别为</w:t>
      </w:r>
      <w:r>
        <w:rPr>
          <w:rFonts w:ascii="Times New Roman" w:eastAsia="宋体" w:hAnsi="Times New Roman" w:cs="Times New Roman" w:hint="eastAsia"/>
          <w:kern w:val="0"/>
        </w:rPr>
        <w:t>狗尾草</w:t>
      </w:r>
      <w:r>
        <w:rPr>
          <w:rFonts w:ascii="Times New Roman" w:eastAsia="宋体" w:hAnsi="Times New Roman" w:cs="Times New Roman"/>
          <w:kern w:val="0"/>
        </w:rPr>
        <w:t>属（</w:t>
      </w:r>
      <w:r>
        <w:rPr>
          <w:rFonts w:ascii="Times New Roman" w:eastAsia="宋体" w:hAnsi="Times New Roman" w:cs="Times New Roman"/>
          <w:i/>
          <w:iCs/>
          <w:kern w:val="0"/>
        </w:rPr>
        <w:t>Setaria</w:t>
      </w:r>
      <w:r>
        <w:rPr>
          <w:rFonts w:ascii="Times New Roman" w:eastAsia="宋体" w:hAnsi="Times New Roman" w:cs="Times New Roman"/>
          <w:kern w:val="0"/>
        </w:rPr>
        <w:t>）</w:t>
      </w:r>
      <w:r>
        <w:rPr>
          <w:rFonts w:ascii="Times New Roman" w:eastAsia="宋体" w:hAnsi="Times New Roman" w:cs="Times New Roman" w:hint="eastAsia"/>
          <w:kern w:val="0"/>
        </w:rPr>
        <w:t>和卫矛属</w:t>
      </w:r>
      <w:r>
        <w:rPr>
          <w:rFonts w:ascii="Times New Roman" w:eastAsia="宋体" w:hAnsi="Times New Roman" w:cs="Times New Roman"/>
          <w:kern w:val="0"/>
        </w:rPr>
        <w:t>（</w:t>
      </w:r>
      <w:r>
        <w:rPr>
          <w:rFonts w:ascii="Times New Roman" w:eastAsia="宋体" w:hAnsi="Times New Roman" w:cs="Times New Roman"/>
          <w:i/>
          <w:iCs/>
          <w:kern w:val="0"/>
        </w:rPr>
        <w:t>Euonymus</w:t>
      </w:r>
      <w:r>
        <w:rPr>
          <w:rFonts w:ascii="Times New Roman" w:eastAsia="宋体" w:hAnsi="Times New Roman" w:cs="Times New Roman"/>
          <w:kern w:val="0"/>
        </w:rPr>
        <w:t>）。</w:t>
      </w:r>
    </w:p>
    <w:p w14:paraId="1D75B99E"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t>项目调查范围内种子植物中属于东亚分布成分的属有</w:t>
      </w:r>
      <w:r>
        <w:rPr>
          <w:rFonts w:ascii="Times New Roman" w:eastAsia="宋体" w:hAnsi="Times New Roman" w:cs="Times New Roman"/>
          <w:kern w:val="0"/>
        </w:rPr>
        <w:t>1</w:t>
      </w:r>
      <w:r>
        <w:rPr>
          <w:rFonts w:ascii="Times New Roman" w:eastAsia="宋体" w:hAnsi="Times New Roman" w:cs="Times New Roman"/>
          <w:kern w:val="0"/>
        </w:rPr>
        <w:t>属，占该区域种子植物总属数的</w:t>
      </w:r>
      <w:r>
        <w:rPr>
          <w:rFonts w:ascii="Times New Roman" w:eastAsia="宋体" w:hAnsi="Times New Roman" w:cs="Times New Roman"/>
          <w:kern w:val="0"/>
        </w:rPr>
        <w:t>1.72 %</w:t>
      </w:r>
      <w:r>
        <w:rPr>
          <w:rFonts w:ascii="Times New Roman" w:eastAsia="宋体" w:hAnsi="Times New Roman" w:cs="Times New Roman"/>
          <w:kern w:val="0"/>
        </w:rPr>
        <w:t>，为</w:t>
      </w:r>
      <w:r>
        <w:rPr>
          <w:rFonts w:ascii="Times New Roman" w:eastAsia="宋体" w:hAnsi="Times New Roman" w:cs="Times New Roman" w:hint="eastAsia"/>
          <w:kern w:val="0"/>
        </w:rPr>
        <w:t>鸡眼草属</w:t>
      </w:r>
      <w:r>
        <w:rPr>
          <w:rFonts w:ascii="Times New Roman" w:eastAsia="宋体" w:hAnsi="Times New Roman" w:cs="Times New Roman"/>
          <w:kern w:val="0"/>
        </w:rPr>
        <w:t>（</w:t>
      </w:r>
      <w:r>
        <w:rPr>
          <w:rFonts w:ascii="Times New Roman" w:eastAsia="宋体" w:hAnsi="Times New Roman" w:cs="Times New Roman"/>
          <w:i/>
          <w:iCs/>
          <w:kern w:val="0"/>
        </w:rPr>
        <w:t>Kummerowia</w:t>
      </w:r>
      <w:r>
        <w:rPr>
          <w:rFonts w:ascii="Times New Roman" w:eastAsia="宋体" w:hAnsi="Times New Roman" w:cs="Times New Roman"/>
          <w:kern w:val="0"/>
        </w:rPr>
        <w:t>）。</w:t>
      </w:r>
    </w:p>
    <w:p w14:paraId="485E9127" w14:textId="77777777" w:rsidR="009D12AF" w:rsidRDefault="00000000">
      <w:pPr>
        <w:ind w:firstLine="480"/>
        <w:rPr>
          <w:rFonts w:ascii="Times New Roman" w:eastAsia="宋体" w:hAnsi="Times New Roman" w:cs="Times New Roman"/>
          <w:kern w:val="0"/>
        </w:rPr>
      </w:pPr>
      <w:r>
        <w:rPr>
          <w:rFonts w:ascii="Times New Roman" w:eastAsia="宋体" w:hAnsi="Times New Roman" w:cs="Times New Roman"/>
          <w:kern w:val="0"/>
        </w:rPr>
        <w:t>项目调查范围内种子植物中属于温带分布成分最多，其中北温带分布高达</w:t>
      </w:r>
      <w:r>
        <w:rPr>
          <w:rFonts w:ascii="Times New Roman" w:eastAsia="宋体" w:hAnsi="Times New Roman" w:cs="Times New Roman"/>
          <w:kern w:val="0"/>
        </w:rPr>
        <w:t>65.52</w:t>
      </w:r>
      <w:r>
        <w:rPr>
          <w:rFonts w:ascii="Times New Roman" w:eastAsia="宋体" w:hAnsi="Times New Roman" w:cs="Times New Roman"/>
          <w:kern w:val="0"/>
        </w:rPr>
        <w:t>％，中亚分布成分</w:t>
      </w:r>
      <w:r>
        <w:rPr>
          <w:rFonts w:ascii="Times New Roman" w:eastAsia="宋体" w:hAnsi="Times New Roman" w:cs="Times New Roman" w:hint="eastAsia"/>
          <w:kern w:val="0"/>
        </w:rPr>
        <w:t>和</w:t>
      </w:r>
      <w:r>
        <w:rPr>
          <w:rFonts w:ascii="Times New Roman" w:eastAsia="宋体" w:hAnsi="Times New Roman" w:cs="Times New Roman"/>
          <w:kern w:val="0"/>
        </w:rPr>
        <w:t>中国特有成分分布的属均没有，热带和东亚</w:t>
      </w:r>
      <w:r>
        <w:rPr>
          <w:rFonts w:ascii="Times New Roman" w:eastAsia="宋体" w:hAnsi="Times New Roman" w:cs="Times New Roman" w:hint="eastAsia"/>
          <w:kern w:val="0"/>
        </w:rPr>
        <w:t>分布</w:t>
      </w:r>
      <w:r>
        <w:rPr>
          <w:rFonts w:ascii="Times New Roman" w:eastAsia="宋体" w:hAnsi="Times New Roman" w:cs="Times New Roman"/>
          <w:kern w:val="0"/>
        </w:rPr>
        <w:t>成分数量相对较少，说明本区植物区系具有典型的温带植物区系特征。</w:t>
      </w:r>
    </w:p>
    <w:p w14:paraId="6EF36C31" w14:textId="77777777" w:rsidR="009D12AF" w:rsidRDefault="00000000">
      <w:pPr>
        <w:numPr>
          <w:ilvl w:val="0"/>
          <w:numId w:val="14"/>
        </w:numPr>
        <w:ind w:firstLine="480"/>
        <w:rPr>
          <w:rFonts w:ascii="Times New Roman" w:eastAsia="宋体" w:hAnsi="Times New Roman" w:cs="Times New Roman"/>
          <w:kern w:val="0"/>
        </w:rPr>
      </w:pPr>
      <w:r>
        <w:rPr>
          <w:rFonts w:ascii="Times New Roman" w:eastAsia="宋体" w:hAnsi="Times New Roman" w:cs="Times New Roman" w:hint="eastAsia"/>
          <w:kern w:val="0"/>
        </w:rPr>
        <w:t>陆生植物重要物种</w:t>
      </w:r>
    </w:p>
    <w:p w14:paraId="0B8A8AA4" w14:textId="77777777" w:rsidR="009D12AF" w:rsidRDefault="00000000">
      <w:pPr>
        <w:widowControl/>
        <w:ind w:firstLine="480"/>
        <w:jc w:val="left"/>
        <w:rPr>
          <w:rFonts w:ascii="宋体" w:eastAsia="宋体" w:hAnsi="宋体" w:cs="宋体" w:hint="eastAsia"/>
          <w:kern w:val="0"/>
        </w:rPr>
      </w:pPr>
      <w:r>
        <w:rPr>
          <w:rFonts w:ascii="宋体" w:eastAsia="宋体" w:hAnsi="宋体" w:cs="宋体" w:hint="eastAsia"/>
          <w:kern w:val="0"/>
        </w:rPr>
        <w:t>（1）重要保护野生植物</w:t>
      </w:r>
    </w:p>
    <w:p w14:paraId="5CF56C59" w14:textId="77777777" w:rsidR="009D12AF" w:rsidRDefault="00000000">
      <w:pPr>
        <w:ind w:firstLineChars="0" w:firstLine="0"/>
        <w:rPr>
          <w:rFonts w:ascii="Times New Roman" w:eastAsia="宋体" w:hAnsi="Times New Roman" w:cs="Times New Roman"/>
          <w:kern w:val="0"/>
          <w:highlight w:val="yellow"/>
        </w:rPr>
        <w:sectPr w:rsidR="009D12AF">
          <w:pgSz w:w="11906" w:h="16838"/>
          <w:pgMar w:top="1440" w:right="1800" w:bottom="1440" w:left="1800" w:header="851" w:footer="992" w:gutter="0"/>
          <w:cols w:space="425"/>
          <w:docGrid w:type="lines" w:linePitch="326"/>
        </w:sectPr>
      </w:pPr>
      <w:r>
        <w:rPr>
          <w:rFonts w:ascii="Times New Roman" w:eastAsia="宋体" w:hAnsi="Times New Roman" w:cs="Times New Roman"/>
          <w:kern w:val="0"/>
        </w:rPr>
        <w:t>经过现场实地踏勘、往期调查资料整理、新闻报道、文献资料、评价区内环评报告等资料的整理，对照《国家重点保护野生植物名录》（</w:t>
      </w:r>
      <w:r>
        <w:rPr>
          <w:rFonts w:ascii="Times New Roman" w:eastAsia="宋体" w:hAnsi="Times New Roman" w:cs="Times New Roman"/>
          <w:kern w:val="0"/>
        </w:rPr>
        <w:t>2021.09</w:t>
      </w:r>
      <w:r>
        <w:rPr>
          <w:rFonts w:ascii="Times New Roman" w:eastAsia="宋体" w:hAnsi="Times New Roman" w:cs="Times New Roman"/>
          <w:kern w:val="0"/>
        </w:rPr>
        <w:t>）、《中国生物多样性红色名录》，评价范围内发现重点保护野生植物</w:t>
      </w:r>
      <w:r>
        <w:rPr>
          <w:rFonts w:ascii="Times New Roman" w:eastAsia="宋体" w:hAnsi="Times New Roman" w:cs="Times New Roman"/>
          <w:kern w:val="0"/>
        </w:rPr>
        <w:t>4</w:t>
      </w:r>
      <w:r>
        <w:rPr>
          <w:rFonts w:ascii="Times New Roman" w:eastAsia="宋体" w:hAnsi="Times New Roman" w:cs="Times New Roman"/>
          <w:kern w:val="0"/>
        </w:rPr>
        <w:t>种，其分布见表</w:t>
      </w:r>
      <w:r>
        <w:rPr>
          <w:rFonts w:ascii="Times New Roman" w:eastAsia="宋体" w:hAnsi="Times New Roman" w:cs="Times New Roman" w:hint="eastAsia"/>
          <w:kern w:val="0"/>
        </w:rPr>
        <w:t>4.3-51</w:t>
      </w:r>
      <w:r>
        <w:rPr>
          <w:rFonts w:ascii="Times New Roman" w:eastAsia="宋体" w:hAnsi="Times New Roman" w:cs="Times New Roman"/>
          <w:kern w:val="0"/>
        </w:rPr>
        <w:t>、</w:t>
      </w:r>
      <w:r>
        <w:rPr>
          <w:rFonts w:ascii="Times New Roman" w:eastAsia="宋体" w:hAnsi="Times New Roman" w:cs="Times New Roman" w:hint="eastAsia"/>
          <w:kern w:val="0"/>
        </w:rPr>
        <w:t>附图</w:t>
      </w:r>
      <w:r>
        <w:rPr>
          <w:rFonts w:ascii="Times New Roman" w:eastAsia="宋体" w:hAnsi="Times New Roman" w:cs="Times New Roman" w:hint="eastAsia"/>
          <w:kern w:val="0"/>
        </w:rPr>
        <w:t>11</w:t>
      </w:r>
      <w:r>
        <w:rPr>
          <w:rFonts w:ascii="Times New Roman" w:eastAsia="宋体" w:hAnsi="Times New Roman" w:cs="Times New Roman"/>
          <w:kern w:val="0"/>
        </w:rPr>
        <w:t>。</w:t>
      </w:r>
    </w:p>
    <w:p w14:paraId="4E4A8A11" w14:textId="77777777" w:rsidR="009D12AF" w:rsidRDefault="00000000">
      <w:pPr>
        <w:widowControl/>
        <w:ind w:firstLine="482"/>
        <w:jc w:val="center"/>
        <w:rPr>
          <w:rFonts w:ascii="宋体" w:eastAsia="宋体" w:hAnsi="宋体" w:cs="宋体" w:hint="eastAsia"/>
          <w:b/>
          <w:bCs/>
          <w:kern w:val="0"/>
          <w:highlight w:val="yellow"/>
        </w:rPr>
      </w:pPr>
      <w:r>
        <w:rPr>
          <w:rFonts w:ascii="Times New Roman" w:eastAsia="宋体" w:hAnsi="Times New Roman" w:cs="Times New Roman"/>
          <w:b/>
          <w:bCs/>
          <w:kern w:val="0"/>
        </w:rPr>
        <w:lastRenderedPageBreak/>
        <w:t>表</w:t>
      </w:r>
      <w:r>
        <w:rPr>
          <w:rFonts w:ascii="Times New Roman" w:eastAsia="宋体" w:hAnsi="Times New Roman" w:cs="Times New Roman" w:hint="eastAsia"/>
          <w:b/>
          <w:bCs/>
          <w:kern w:val="0"/>
        </w:rPr>
        <w:t>4.3-51</w:t>
      </w:r>
      <w:r>
        <w:rPr>
          <w:rFonts w:ascii="宋体" w:eastAsia="宋体" w:hAnsi="宋体" w:cs="宋体"/>
          <w:b/>
          <w:bCs/>
          <w:kern w:val="0"/>
        </w:rPr>
        <w:t xml:space="preserve">    </w:t>
      </w:r>
      <w:bookmarkStart w:id="241" w:name="_Hlk153880774"/>
      <w:r>
        <w:rPr>
          <w:rFonts w:ascii="宋体" w:eastAsia="宋体" w:hAnsi="宋体" w:cs="宋体"/>
          <w:b/>
          <w:bCs/>
          <w:kern w:val="0"/>
        </w:rPr>
        <w:t>评价</w:t>
      </w:r>
      <w:r>
        <w:rPr>
          <w:rFonts w:ascii="宋体" w:eastAsia="宋体" w:hAnsi="宋体" w:cs="宋体" w:hint="eastAsia"/>
          <w:b/>
          <w:bCs/>
          <w:kern w:val="0"/>
        </w:rPr>
        <w:t>范围内</w:t>
      </w:r>
      <w:r>
        <w:rPr>
          <w:rFonts w:ascii="宋体" w:eastAsia="宋体" w:hAnsi="宋体" w:cs="宋体"/>
          <w:b/>
          <w:bCs/>
          <w:kern w:val="0"/>
        </w:rPr>
        <w:t>国家重点保护野生植物</w:t>
      </w:r>
      <w:bookmarkEnd w:id="241"/>
      <w:r>
        <w:rPr>
          <w:rFonts w:ascii="宋体" w:eastAsia="宋体" w:hAnsi="宋体" w:cs="宋体"/>
          <w:b/>
          <w:bCs/>
          <w:kern w:val="0"/>
        </w:rPr>
        <w:t>调查表</w:t>
      </w:r>
    </w:p>
    <w:tbl>
      <w:tblPr>
        <w:tblW w:w="4998" w:type="pct"/>
        <w:jc w:val="center"/>
        <w:tblBorders>
          <w:top w:val="single" w:sz="8" w:space="0" w:color="auto"/>
          <w:left w:val="single" w:sz="4" w:space="0" w:color="auto"/>
          <w:bottom w:val="single" w:sz="8"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65"/>
        <w:gridCol w:w="1626"/>
        <w:gridCol w:w="2996"/>
        <w:gridCol w:w="505"/>
        <w:gridCol w:w="505"/>
        <w:gridCol w:w="931"/>
        <w:gridCol w:w="1160"/>
        <w:gridCol w:w="3364"/>
        <w:gridCol w:w="1198"/>
        <w:gridCol w:w="1358"/>
      </w:tblGrid>
      <w:tr w:rsidR="009D12AF" w14:paraId="47E39871" w14:textId="77777777">
        <w:trPr>
          <w:trHeight w:val="692"/>
          <w:jc w:val="center"/>
        </w:trPr>
        <w:tc>
          <w:tcPr>
            <w:tcW w:w="152" w:type="pct"/>
            <w:tcBorders>
              <w:top w:val="single" w:sz="12" w:space="0" w:color="auto"/>
              <w:left w:val="single" w:sz="4" w:space="0" w:color="auto"/>
              <w:bottom w:val="single" w:sz="4" w:space="0" w:color="auto"/>
              <w:right w:val="single" w:sz="4" w:space="0" w:color="auto"/>
            </w:tcBorders>
            <w:vAlign w:val="center"/>
          </w:tcPr>
          <w:p w14:paraId="1C9F920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bookmarkStart w:id="242" w:name="_Hlk153824506"/>
            <w:r>
              <w:rPr>
                <w:rFonts w:ascii="Times New Roman" w:hAnsi="Times New Roman" w:cs="Times New Roman"/>
                <w:sz w:val="21"/>
                <w:szCs w:val="21"/>
              </w:rPr>
              <w:t>序号</w:t>
            </w:r>
          </w:p>
        </w:tc>
        <w:tc>
          <w:tcPr>
            <w:tcW w:w="412" w:type="pct"/>
            <w:tcBorders>
              <w:top w:val="single" w:sz="12" w:space="0" w:color="auto"/>
              <w:left w:val="single" w:sz="4" w:space="0" w:color="auto"/>
              <w:bottom w:val="single" w:sz="4" w:space="0" w:color="auto"/>
              <w:right w:val="single" w:sz="4" w:space="0" w:color="auto"/>
            </w:tcBorders>
            <w:vAlign w:val="center"/>
          </w:tcPr>
          <w:p w14:paraId="30B301CC" w14:textId="77777777" w:rsidR="009D12AF" w:rsidRDefault="00000000">
            <w:pPr>
              <w:adjustRightInd w:val="0"/>
              <w:snapToGrid w:val="0"/>
              <w:spacing w:line="360" w:lineRule="atLeast"/>
              <w:ind w:firstLineChars="0" w:firstLine="0"/>
              <w:jc w:val="center"/>
              <w:rPr>
                <w:rFonts w:ascii="Times New Roman" w:hAnsi="Times New Roman" w:cs="Times New Roman"/>
                <w:sz w:val="21"/>
                <w:szCs w:val="21"/>
              </w:rPr>
            </w:pPr>
            <w:r>
              <w:rPr>
                <w:rFonts w:ascii="Times New Roman" w:hAnsi="Times New Roman" w:cs="Times New Roman"/>
                <w:sz w:val="21"/>
                <w:szCs w:val="21"/>
              </w:rPr>
              <w:t>物种名称</w:t>
            </w:r>
          </w:p>
          <w:p w14:paraId="5E58B95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hint="eastAsia"/>
                <w:sz w:val="21"/>
                <w:szCs w:val="21"/>
              </w:rPr>
              <w:t>（中文名</w:t>
            </w:r>
            <w:r>
              <w:rPr>
                <w:rFonts w:ascii="Times New Roman" w:hAnsi="Times New Roman" w:cs="Times New Roman"/>
                <w:sz w:val="21"/>
                <w:szCs w:val="21"/>
              </w:rPr>
              <w:t>/</w:t>
            </w:r>
            <w:r>
              <w:rPr>
                <w:rFonts w:ascii="Times New Roman" w:hAnsi="Times New Roman" w:cs="Times New Roman" w:hint="eastAsia"/>
                <w:sz w:val="21"/>
                <w:szCs w:val="21"/>
              </w:rPr>
              <w:t>拉丁名）</w:t>
            </w:r>
          </w:p>
        </w:tc>
        <w:tc>
          <w:tcPr>
            <w:tcW w:w="1062" w:type="pct"/>
            <w:tcBorders>
              <w:top w:val="single" w:sz="12" w:space="0" w:color="auto"/>
              <w:left w:val="single" w:sz="4" w:space="0" w:color="auto"/>
              <w:bottom w:val="single" w:sz="4" w:space="0" w:color="auto"/>
              <w:right w:val="single" w:sz="4" w:space="0" w:color="auto"/>
            </w:tcBorders>
            <w:vAlign w:val="center"/>
          </w:tcPr>
          <w:p w14:paraId="0CCBFED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hint="eastAsia"/>
                <w:sz w:val="21"/>
                <w:szCs w:val="21"/>
              </w:rPr>
              <w:t>图片</w:t>
            </w:r>
          </w:p>
        </w:tc>
        <w:tc>
          <w:tcPr>
            <w:tcW w:w="202" w:type="pct"/>
            <w:tcBorders>
              <w:top w:val="single" w:sz="12" w:space="0" w:color="auto"/>
              <w:left w:val="single" w:sz="4" w:space="0" w:color="auto"/>
              <w:bottom w:val="single" w:sz="4" w:space="0" w:color="auto"/>
              <w:right w:val="single" w:sz="4" w:space="0" w:color="auto"/>
            </w:tcBorders>
            <w:vAlign w:val="center"/>
          </w:tcPr>
          <w:p w14:paraId="08FCB16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保护级别</w:t>
            </w:r>
          </w:p>
        </w:tc>
        <w:tc>
          <w:tcPr>
            <w:tcW w:w="202" w:type="pct"/>
            <w:tcBorders>
              <w:top w:val="single" w:sz="12" w:space="0" w:color="auto"/>
              <w:left w:val="single" w:sz="4" w:space="0" w:color="auto"/>
              <w:bottom w:val="single" w:sz="4" w:space="0" w:color="auto"/>
              <w:right w:val="single" w:sz="4" w:space="0" w:color="auto"/>
            </w:tcBorders>
            <w:vAlign w:val="center"/>
          </w:tcPr>
          <w:p w14:paraId="612ED62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濒危等级</w:t>
            </w:r>
          </w:p>
        </w:tc>
        <w:tc>
          <w:tcPr>
            <w:tcW w:w="354" w:type="pct"/>
            <w:tcBorders>
              <w:top w:val="single" w:sz="12" w:space="0" w:color="auto"/>
              <w:left w:val="single" w:sz="4" w:space="0" w:color="auto"/>
              <w:bottom w:val="single" w:sz="4" w:space="0" w:color="auto"/>
              <w:right w:val="single" w:sz="4" w:space="0" w:color="auto"/>
            </w:tcBorders>
            <w:vAlign w:val="center"/>
          </w:tcPr>
          <w:p w14:paraId="5CDB255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特有种（是</w:t>
            </w:r>
            <w:r>
              <w:rPr>
                <w:rFonts w:ascii="Times New Roman" w:hAnsi="Times New Roman" w:cs="Times New Roman"/>
                <w:sz w:val="21"/>
                <w:szCs w:val="21"/>
              </w:rPr>
              <w:t>/</w:t>
            </w:r>
            <w:r>
              <w:rPr>
                <w:rFonts w:ascii="Times New Roman" w:hAnsi="Times New Roman" w:cs="Times New Roman"/>
                <w:sz w:val="21"/>
                <w:szCs w:val="21"/>
              </w:rPr>
              <w:t>否）</w:t>
            </w:r>
          </w:p>
        </w:tc>
        <w:tc>
          <w:tcPr>
            <w:tcW w:w="436" w:type="pct"/>
            <w:tcBorders>
              <w:top w:val="single" w:sz="12" w:space="0" w:color="auto"/>
              <w:left w:val="single" w:sz="4" w:space="0" w:color="auto"/>
              <w:bottom w:val="single" w:sz="4" w:space="0" w:color="auto"/>
              <w:right w:val="single" w:sz="4" w:space="0" w:color="auto"/>
            </w:tcBorders>
            <w:vAlign w:val="center"/>
          </w:tcPr>
          <w:p w14:paraId="5E34156E" w14:textId="77777777" w:rsidR="009D12AF" w:rsidRDefault="00000000">
            <w:pPr>
              <w:widowControl/>
              <w:ind w:firstLineChars="0" w:firstLine="0"/>
              <w:jc w:val="center"/>
              <w:rPr>
                <w:rFonts w:ascii="宋体" w:eastAsia="宋体" w:hAnsi="宋体" w:cs="宋体" w:hint="eastAsia"/>
                <w:kern w:val="0"/>
                <w:sz w:val="21"/>
                <w:szCs w:val="21"/>
              </w:rPr>
            </w:pPr>
            <w:r>
              <w:rPr>
                <w:rFonts w:ascii="Times New Roman" w:hAnsi="Times New Roman" w:cs="Times New Roman" w:hint="eastAsia"/>
                <w:sz w:val="21"/>
                <w:szCs w:val="21"/>
              </w:rPr>
              <w:t>极小种群野生植物（是</w:t>
            </w:r>
            <w:r>
              <w:rPr>
                <w:rFonts w:ascii="Times New Roman" w:hAnsi="Times New Roman" w:cs="Times New Roman"/>
                <w:sz w:val="21"/>
                <w:szCs w:val="21"/>
              </w:rPr>
              <w:t>/</w:t>
            </w:r>
            <w:r>
              <w:rPr>
                <w:rFonts w:ascii="Times New Roman" w:hAnsi="Times New Roman" w:cs="Times New Roman" w:hint="eastAsia"/>
                <w:sz w:val="21"/>
                <w:szCs w:val="21"/>
              </w:rPr>
              <w:t>否）</w:t>
            </w:r>
          </w:p>
        </w:tc>
        <w:tc>
          <w:tcPr>
            <w:tcW w:w="1221" w:type="pct"/>
            <w:tcBorders>
              <w:top w:val="single" w:sz="12" w:space="0" w:color="auto"/>
              <w:left w:val="single" w:sz="4" w:space="0" w:color="auto"/>
              <w:bottom w:val="single" w:sz="4" w:space="0" w:color="auto"/>
              <w:right w:val="single" w:sz="4" w:space="0" w:color="auto"/>
            </w:tcBorders>
            <w:vAlign w:val="center"/>
          </w:tcPr>
          <w:p w14:paraId="0F26F7D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分布区域</w:t>
            </w:r>
          </w:p>
        </w:tc>
        <w:tc>
          <w:tcPr>
            <w:tcW w:w="449" w:type="pct"/>
            <w:tcBorders>
              <w:top w:val="single" w:sz="12" w:space="0" w:color="auto"/>
              <w:left w:val="single" w:sz="4" w:space="0" w:color="auto"/>
              <w:bottom w:val="single" w:sz="4" w:space="0" w:color="auto"/>
              <w:right w:val="single" w:sz="4" w:space="0" w:color="auto"/>
            </w:tcBorders>
            <w:vAlign w:val="center"/>
          </w:tcPr>
          <w:p w14:paraId="64FF265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资料来源</w:t>
            </w:r>
          </w:p>
        </w:tc>
        <w:tc>
          <w:tcPr>
            <w:tcW w:w="506" w:type="pct"/>
            <w:tcBorders>
              <w:top w:val="single" w:sz="12" w:space="0" w:color="auto"/>
              <w:left w:val="single" w:sz="4" w:space="0" w:color="auto"/>
              <w:bottom w:val="single" w:sz="4" w:space="0" w:color="auto"/>
              <w:right w:val="single" w:sz="4" w:space="0" w:color="auto"/>
            </w:tcBorders>
            <w:vAlign w:val="center"/>
          </w:tcPr>
          <w:p w14:paraId="2B6E774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工程占用情况（是</w:t>
            </w:r>
            <w:r>
              <w:rPr>
                <w:rFonts w:ascii="Times New Roman" w:hAnsi="Times New Roman" w:cs="Times New Roman"/>
                <w:sz w:val="21"/>
                <w:szCs w:val="21"/>
              </w:rPr>
              <w:t>/</w:t>
            </w:r>
            <w:r>
              <w:rPr>
                <w:rFonts w:ascii="Times New Roman" w:hAnsi="Times New Roman" w:cs="Times New Roman"/>
                <w:sz w:val="21"/>
                <w:szCs w:val="21"/>
              </w:rPr>
              <w:t>否）</w:t>
            </w:r>
          </w:p>
        </w:tc>
      </w:tr>
      <w:tr w:rsidR="009D12AF" w14:paraId="615130E4" w14:textId="77777777">
        <w:trPr>
          <w:trHeight w:val="823"/>
          <w:jc w:val="center"/>
        </w:trPr>
        <w:tc>
          <w:tcPr>
            <w:tcW w:w="152" w:type="pct"/>
            <w:tcBorders>
              <w:top w:val="single" w:sz="4" w:space="0" w:color="auto"/>
              <w:left w:val="single" w:sz="4" w:space="0" w:color="auto"/>
              <w:bottom w:val="single" w:sz="4" w:space="0" w:color="auto"/>
              <w:right w:val="single" w:sz="4" w:space="0" w:color="auto"/>
            </w:tcBorders>
            <w:vAlign w:val="center"/>
          </w:tcPr>
          <w:p w14:paraId="015C0E3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1</w:t>
            </w:r>
          </w:p>
        </w:tc>
        <w:tc>
          <w:tcPr>
            <w:tcW w:w="412" w:type="pct"/>
            <w:tcBorders>
              <w:top w:val="single" w:sz="4" w:space="0" w:color="auto"/>
              <w:left w:val="single" w:sz="4" w:space="0" w:color="auto"/>
              <w:bottom w:val="single" w:sz="4" w:space="0" w:color="auto"/>
              <w:right w:val="single" w:sz="4" w:space="0" w:color="auto"/>
            </w:tcBorders>
            <w:vAlign w:val="center"/>
          </w:tcPr>
          <w:p w14:paraId="439AA57B" w14:textId="77777777" w:rsidR="009D12AF" w:rsidRDefault="00000000">
            <w:pPr>
              <w:adjustRightInd w:val="0"/>
              <w:snapToGrid w:val="0"/>
              <w:spacing w:line="360" w:lineRule="atLeast"/>
              <w:ind w:firstLineChars="0" w:firstLine="0"/>
              <w:jc w:val="center"/>
              <w:rPr>
                <w:rFonts w:ascii="Times New Roman" w:hAnsi="Times New Roman" w:cs="Times New Roman"/>
                <w:sz w:val="21"/>
                <w:szCs w:val="21"/>
              </w:rPr>
            </w:pPr>
            <w:r>
              <w:rPr>
                <w:rFonts w:ascii="Times New Roman" w:hAnsi="Times New Roman" w:cs="Times New Roman"/>
                <w:sz w:val="21"/>
                <w:szCs w:val="21"/>
              </w:rPr>
              <w:t>红松</w:t>
            </w:r>
          </w:p>
          <w:p w14:paraId="1ECB346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i/>
                <w:iCs/>
                <w:sz w:val="21"/>
                <w:szCs w:val="21"/>
              </w:rPr>
              <w:t>Larix olgensis A. Henry</w:t>
            </w:r>
          </w:p>
        </w:tc>
        <w:tc>
          <w:tcPr>
            <w:tcW w:w="1062" w:type="pct"/>
            <w:tcBorders>
              <w:top w:val="single" w:sz="4" w:space="0" w:color="auto"/>
              <w:left w:val="single" w:sz="4" w:space="0" w:color="auto"/>
              <w:bottom w:val="single" w:sz="4" w:space="0" w:color="auto"/>
              <w:right w:val="single" w:sz="4" w:space="0" w:color="auto"/>
            </w:tcBorders>
            <w:vAlign w:val="center"/>
          </w:tcPr>
          <w:p w14:paraId="74A72F9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 INCLUDEPICTURE "C:\\Users\\Admin\\AppData\\Local\\Temp\\ksohtml6708\\wps177.png" \* MERGEFORMATINET </w:instrText>
            </w:r>
            <w:r>
              <w:rPr>
                <w:rFonts w:ascii="Times New Roman" w:hAnsi="Times New Roman" w:cs="Times New Roman"/>
                <w:sz w:val="21"/>
                <w:szCs w:val="21"/>
              </w:rPr>
              <w:fldChar w:fldCharType="separate"/>
            </w:r>
            <w:r>
              <w:rPr>
                <w:rFonts w:ascii="Times New Roman" w:hAnsi="Times New Roman" w:cs="Times New Roman"/>
                <w:sz w:val="21"/>
                <w:szCs w:val="21"/>
              </w:rPr>
              <w:fldChar w:fldCharType="begin"/>
            </w:r>
            <w:r>
              <w:rPr>
                <w:rFonts w:ascii="Times New Roman" w:hAnsi="Times New Roman" w:cs="Times New Roman"/>
                <w:sz w:val="21"/>
                <w:szCs w:val="21"/>
              </w:rPr>
              <w:instrText xml:space="preserve"> INCLUDEPICTURE  "C:\\Users\\Admin\\AppData\\Local\\Temp\\ksohtml6708\\wps177.png" \* MERGEFORMATINET </w:instrText>
            </w:r>
            <w:r>
              <w:rPr>
                <w:rFonts w:ascii="Times New Roman" w:hAnsi="Times New Roman" w:cs="Times New Roman"/>
                <w:sz w:val="21"/>
                <w:szCs w:val="21"/>
              </w:rPr>
              <w:fldChar w:fldCharType="separate"/>
            </w:r>
            <w:r>
              <w:rPr>
                <w:rFonts w:ascii="Times New Roman" w:hAnsi="Times New Roman" w:cs="Times New Roman"/>
                <w:sz w:val="21"/>
                <w:szCs w:val="21"/>
              </w:rPr>
              <w:fldChar w:fldCharType="begin"/>
            </w:r>
            <w:r>
              <w:rPr>
                <w:rFonts w:ascii="Times New Roman" w:hAnsi="Times New Roman" w:cs="Times New Roman"/>
                <w:sz w:val="21"/>
                <w:szCs w:val="21"/>
              </w:rPr>
              <w:instrText xml:space="preserve"> INCLUDEPICTURE  "C:\\Users\\Admin\\AppData\\Local\\Temp\\ksohtml6708\\wps177.png" \* MERGEFORMATINET </w:instrText>
            </w:r>
            <w:r>
              <w:rPr>
                <w:rFonts w:ascii="Times New Roman" w:hAnsi="Times New Roman" w:cs="Times New Roman"/>
                <w:sz w:val="21"/>
                <w:szCs w:val="21"/>
              </w:rPr>
              <w:fldChar w:fldCharType="separate"/>
            </w:r>
            <w:r>
              <w:rPr>
                <w:rFonts w:ascii="Times New Roman" w:hAnsi="Times New Roman" w:cs="Times New Roman"/>
                <w:sz w:val="21"/>
                <w:szCs w:val="21"/>
              </w:rPr>
              <w:fldChar w:fldCharType="begin"/>
            </w:r>
            <w:r>
              <w:rPr>
                <w:rFonts w:ascii="Times New Roman" w:hAnsi="Times New Roman" w:cs="Times New Roman"/>
                <w:sz w:val="21"/>
                <w:szCs w:val="21"/>
              </w:rPr>
              <w:instrText xml:space="preserve"> INCLUDEPICTURE  "C:\\Users\\Admin\\AppData\\Local\\Temp\\ksohtml6708\\wps177.png" \* MERGEFORMATINET </w:instrText>
            </w:r>
            <w:r>
              <w:rPr>
                <w:rFonts w:ascii="Times New Roman" w:hAnsi="Times New Roman" w:cs="Times New Roman"/>
                <w:sz w:val="21"/>
                <w:szCs w:val="21"/>
              </w:rPr>
              <w:fldChar w:fldCharType="separate"/>
            </w:r>
            <w:r>
              <w:rPr>
                <w:rFonts w:ascii="Times New Roman" w:hAnsi="Times New Roman" w:cs="Times New Roman"/>
                <w:sz w:val="21"/>
                <w:szCs w:val="21"/>
              </w:rPr>
              <w:fldChar w:fldCharType="begin"/>
            </w:r>
            <w:r>
              <w:rPr>
                <w:rFonts w:ascii="Times New Roman" w:hAnsi="Times New Roman" w:cs="Times New Roman"/>
                <w:sz w:val="21"/>
                <w:szCs w:val="21"/>
              </w:rPr>
              <w:instrText xml:space="preserve"> INCLUDEPICTURE  "C:\\Users\\Admin\\AppData\\Local\\Temp\\ksohtml6708\\wps177.png" \* MERGEFORMATINET </w:instrText>
            </w:r>
            <w:r>
              <w:rPr>
                <w:rFonts w:ascii="Times New Roman" w:hAnsi="Times New Roman" w:cs="Times New Roman"/>
                <w:sz w:val="21"/>
                <w:szCs w:val="21"/>
              </w:rPr>
              <w:fldChar w:fldCharType="separate"/>
            </w:r>
            <w:r>
              <w:rPr>
                <w:rFonts w:ascii="Times New Roman" w:hAnsi="Times New Roman" w:cs="Times New Roman"/>
                <w:sz w:val="21"/>
                <w:szCs w:val="21"/>
              </w:rPr>
              <w:fldChar w:fldCharType="begin"/>
            </w:r>
            <w:r>
              <w:rPr>
                <w:rFonts w:ascii="Times New Roman" w:hAnsi="Times New Roman" w:cs="Times New Roman"/>
                <w:sz w:val="21"/>
                <w:szCs w:val="21"/>
              </w:rPr>
              <w:instrText xml:space="preserve"> INCLUDEPICTURE  "C:\\Users\\Admin\\AppData\\Local\\Temp\\ksohtml6708\\wps177.png" \* MERGEFORMATINET </w:instrText>
            </w:r>
            <w:r>
              <w:rPr>
                <w:rFonts w:ascii="Times New Roman" w:hAnsi="Times New Roman" w:cs="Times New Roman"/>
                <w:sz w:val="21"/>
                <w:szCs w:val="21"/>
              </w:rPr>
              <w:fldChar w:fldCharType="separate"/>
            </w:r>
            <w:r>
              <w:rPr>
                <w:rFonts w:ascii="Times New Roman" w:hAnsi="Times New Roman" w:cs="Times New Roman"/>
                <w:sz w:val="21"/>
                <w:szCs w:val="21"/>
              </w:rPr>
              <w:fldChar w:fldCharType="begin"/>
            </w:r>
            <w:r>
              <w:rPr>
                <w:rFonts w:ascii="Times New Roman" w:hAnsi="Times New Roman" w:cs="Times New Roman"/>
                <w:sz w:val="21"/>
                <w:szCs w:val="21"/>
              </w:rPr>
              <w:instrText xml:space="preserve"> INCLUDEPICTURE  "C:\\Users\\Admin\\AppData\\Local\\Temp\\ksohtml6708\\wps177.png" \* MERGEFORMATINET </w:instrText>
            </w:r>
            <w:r>
              <w:rPr>
                <w:rFonts w:ascii="Times New Roman" w:hAnsi="Times New Roman" w:cs="Times New Roman"/>
                <w:sz w:val="21"/>
                <w:szCs w:val="21"/>
              </w:rPr>
              <w:fldChar w:fldCharType="separate"/>
            </w:r>
            <w:r>
              <w:rPr>
                <w:rFonts w:ascii="Times New Roman" w:hAnsi="Times New Roman" w:cs="Times New Roman"/>
                <w:sz w:val="21"/>
                <w:szCs w:val="21"/>
              </w:rPr>
              <w:fldChar w:fldCharType="begin"/>
            </w:r>
            <w:r>
              <w:rPr>
                <w:rFonts w:ascii="Times New Roman" w:hAnsi="Times New Roman" w:cs="Times New Roman"/>
                <w:sz w:val="21"/>
                <w:szCs w:val="21"/>
              </w:rPr>
              <w:instrText xml:space="preserve"> INCLUDEPICTURE  "C:\\Users\\Admin\\AppData\\Local\\Temp\\ksohtml6708\\wps177.png" \* MERGEFORMATINET </w:instrText>
            </w:r>
            <w:r>
              <w:rPr>
                <w:rFonts w:ascii="Times New Roman" w:hAnsi="Times New Roman" w:cs="Times New Roman"/>
                <w:sz w:val="21"/>
                <w:szCs w:val="21"/>
              </w:rPr>
              <w:fldChar w:fldCharType="separate"/>
            </w:r>
            <w:r>
              <w:rPr>
                <w:rFonts w:ascii="Times New Roman" w:hAnsi="Times New Roman" w:cs="Times New Roman"/>
                <w:sz w:val="21"/>
                <w:szCs w:val="21"/>
              </w:rPr>
              <w:fldChar w:fldCharType="begin"/>
            </w:r>
            <w:r>
              <w:rPr>
                <w:rFonts w:ascii="Times New Roman" w:hAnsi="Times New Roman" w:cs="Times New Roman"/>
                <w:sz w:val="21"/>
                <w:szCs w:val="21"/>
              </w:rPr>
              <w:instrText xml:space="preserve"> INCLUDEPICTURE  "C:\\Users\\Admin\\AppData\\Local\\Temp\\ksohtml6708\\wps177.png" \* MERGEFORMATINET </w:instrText>
            </w:r>
            <w:r>
              <w:rPr>
                <w:rFonts w:ascii="Times New Roman" w:hAnsi="Times New Roman" w:cs="Times New Roman"/>
                <w:sz w:val="21"/>
                <w:szCs w:val="21"/>
              </w:rPr>
              <w:fldChar w:fldCharType="separate"/>
            </w:r>
            <w:r>
              <w:rPr>
                <w:rFonts w:ascii="Times New Roman" w:hAnsi="Times New Roman" w:cs="Times New Roman"/>
                <w:sz w:val="21"/>
                <w:szCs w:val="21"/>
              </w:rPr>
              <w:fldChar w:fldCharType="begin"/>
            </w:r>
            <w:r>
              <w:rPr>
                <w:rFonts w:ascii="Times New Roman" w:hAnsi="Times New Roman" w:cs="Times New Roman"/>
                <w:sz w:val="21"/>
                <w:szCs w:val="21"/>
              </w:rPr>
              <w:instrText xml:space="preserve"> INCLUDEPICTURE  "C:\\Users\\Admin\\AppData\\Local\\Temp\\ksohtml6708\\wps177.png" \* MERGEFORMATINET </w:instrText>
            </w:r>
            <w:r>
              <w:rPr>
                <w:rFonts w:ascii="Times New Roman" w:hAnsi="Times New Roman" w:cs="Times New Roman"/>
                <w:sz w:val="21"/>
                <w:szCs w:val="21"/>
              </w:rPr>
              <w:fldChar w:fldCharType="separate"/>
            </w:r>
            <w:r>
              <w:rPr>
                <w:rFonts w:ascii="Times New Roman" w:hAnsi="Times New Roman" w:cs="Times New Roman"/>
                <w:sz w:val="21"/>
                <w:szCs w:val="21"/>
              </w:rPr>
              <w:fldChar w:fldCharType="begin"/>
            </w:r>
            <w:r>
              <w:rPr>
                <w:rFonts w:ascii="Times New Roman" w:hAnsi="Times New Roman" w:cs="Times New Roman"/>
                <w:sz w:val="21"/>
                <w:szCs w:val="21"/>
              </w:rPr>
              <w:instrText xml:space="preserve"> INCLUDEPICTURE  "C:\\Users\\Admin\\AppData\\Local\\Temp\\ksohtml6708\\wps177.png" \* MERGEFORMATINET </w:instrText>
            </w:r>
            <w:r>
              <w:rPr>
                <w:rFonts w:ascii="Times New Roman" w:hAnsi="Times New Roman" w:cs="Times New Roman"/>
                <w:sz w:val="21"/>
                <w:szCs w:val="21"/>
              </w:rPr>
              <w:fldChar w:fldCharType="separate"/>
            </w:r>
            <w:r>
              <w:rPr>
                <w:rFonts w:ascii="Times New Roman" w:hAnsi="Times New Roman" w:cs="Times New Roman"/>
                <w:noProof/>
                <w:sz w:val="21"/>
                <w:szCs w:val="21"/>
              </w:rPr>
              <w:drawing>
                <wp:inline distT="0" distB="0" distL="114300" distR="114300" wp14:anchorId="1C375E3D" wp14:editId="77250CE0">
                  <wp:extent cx="1849120" cy="1356360"/>
                  <wp:effectExtent l="0" t="0" r="17780" b="15240"/>
                  <wp:docPr id="2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7"/>
                          <pic:cNvPicPr>
                            <a:picLocks noChangeAspect="1"/>
                          </pic:cNvPicPr>
                        </pic:nvPicPr>
                        <pic:blipFill>
                          <a:blip r:embed="rId154" r:link="rId155" cstate="screen">
                            <a:extLst>
                              <a:ext uri="{28A0092B-C50C-407E-A947-70E740481C1C}">
                                <a14:useLocalDpi xmlns:a14="http://schemas.microsoft.com/office/drawing/2010/main"/>
                              </a:ext>
                            </a:extLst>
                          </a:blip>
                          <a:stretch>
                            <a:fillRect/>
                          </a:stretch>
                        </pic:blipFill>
                        <pic:spPr>
                          <a:xfrm>
                            <a:off x="0" y="0"/>
                            <a:ext cx="1849120" cy="1356360"/>
                          </a:xfrm>
                          <a:prstGeom prst="rect">
                            <a:avLst/>
                          </a:prstGeom>
                          <a:noFill/>
                          <a:ln>
                            <a:noFill/>
                          </a:ln>
                        </pic:spPr>
                      </pic:pic>
                    </a:graphicData>
                  </a:graphic>
                </wp:inline>
              </w:drawing>
            </w:r>
            <w:r>
              <w:rPr>
                <w:rFonts w:ascii="Times New Roman" w:hAnsi="Times New Roman" w:cs="Times New Roman"/>
                <w:sz w:val="21"/>
                <w:szCs w:val="21"/>
              </w:rPr>
              <w:fldChar w:fldCharType="end"/>
            </w:r>
            <w:r>
              <w:rPr>
                <w:rFonts w:ascii="Times New Roman" w:hAnsi="Times New Roman" w:cs="Times New Roman"/>
                <w:sz w:val="21"/>
                <w:szCs w:val="21"/>
              </w:rPr>
              <w:fldChar w:fldCharType="end"/>
            </w:r>
            <w:r>
              <w:rPr>
                <w:rFonts w:ascii="Times New Roman" w:hAnsi="Times New Roman" w:cs="Times New Roman"/>
                <w:sz w:val="21"/>
                <w:szCs w:val="21"/>
              </w:rPr>
              <w:fldChar w:fldCharType="end"/>
            </w:r>
            <w:r>
              <w:rPr>
                <w:rFonts w:ascii="Times New Roman" w:hAnsi="Times New Roman" w:cs="Times New Roman"/>
                <w:sz w:val="21"/>
                <w:szCs w:val="21"/>
              </w:rPr>
              <w:fldChar w:fldCharType="end"/>
            </w:r>
            <w:r>
              <w:rPr>
                <w:rFonts w:ascii="Times New Roman" w:hAnsi="Times New Roman" w:cs="Times New Roman"/>
                <w:sz w:val="21"/>
                <w:szCs w:val="21"/>
              </w:rPr>
              <w:fldChar w:fldCharType="end"/>
            </w:r>
            <w:r>
              <w:rPr>
                <w:rFonts w:ascii="Times New Roman" w:hAnsi="Times New Roman" w:cs="Times New Roman"/>
                <w:sz w:val="21"/>
                <w:szCs w:val="21"/>
              </w:rPr>
              <w:fldChar w:fldCharType="end"/>
            </w:r>
            <w:r>
              <w:rPr>
                <w:rFonts w:ascii="Times New Roman" w:hAnsi="Times New Roman" w:cs="Times New Roman"/>
                <w:sz w:val="21"/>
                <w:szCs w:val="21"/>
              </w:rPr>
              <w:fldChar w:fldCharType="end"/>
            </w:r>
            <w:r>
              <w:rPr>
                <w:rFonts w:ascii="Times New Roman" w:hAnsi="Times New Roman" w:cs="Times New Roman"/>
                <w:sz w:val="21"/>
                <w:szCs w:val="21"/>
              </w:rPr>
              <w:fldChar w:fldCharType="end"/>
            </w:r>
            <w:r>
              <w:rPr>
                <w:rFonts w:ascii="Times New Roman" w:hAnsi="Times New Roman" w:cs="Times New Roman"/>
                <w:sz w:val="21"/>
                <w:szCs w:val="21"/>
              </w:rPr>
              <w:fldChar w:fldCharType="end"/>
            </w:r>
            <w:r>
              <w:rPr>
                <w:rFonts w:ascii="Times New Roman" w:hAnsi="Times New Roman" w:cs="Times New Roman"/>
                <w:sz w:val="21"/>
                <w:szCs w:val="21"/>
              </w:rPr>
              <w:fldChar w:fldCharType="end"/>
            </w:r>
            <w:r>
              <w:rPr>
                <w:rFonts w:ascii="Times New Roman" w:hAnsi="Times New Roman" w:cs="Times New Roman"/>
                <w:sz w:val="21"/>
                <w:szCs w:val="21"/>
              </w:rPr>
              <w:fldChar w:fldCharType="end"/>
            </w:r>
          </w:p>
        </w:tc>
        <w:tc>
          <w:tcPr>
            <w:tcW w:w="202" w:type="pct"/>
            <w:tcBorders>
              <w:top w:val="single" w:sz="4" w:space="0" w:color="auto"/>
              <w:left w:val="single" w:sz="4" w:space="0" w:color="auto"/>
              <w:bottom w:val="single" w:sz="4" w:space="0" w:color="auto"/>
              <w:right w:val="single" w:sz="4" w:space="0" w:color="auto"/>
            </w:tcBorders>
            <w:vAlign w:val="center"/>
          </w:tcPr>
          <w:p w14:paraId="4CDA50B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hint="eastAsia"/>
                <w:sz w:val="21"/>
                <w:szCs w:val="21"/>
              </w:rPr>
              <w:t>国家</w:t>
            </w:r>
            <w:r>
              <w:rPr>
                <w:rFonts w:ascii="Times New Roman" w:hAnsi="Times New Roman" w:cs="Times New Roman"/>
                <w:sz w:val="21"/>
                <w:szCs w:val="21"/>
              </w:rPr>
              <w:t>二级</w:t>
            </w:r>
          </w:p>
        </w:tc>
        <w:tc>
          <w:tcPr>
            <w:tcW w:w="202" w:type="pct"/>
            <w:tcBorders>
              <w:top w:val="single" w:sz="4" w:space="0" w:color="auto"/>
              <w:left w:val="single" w:sz="4" w:space="0" w:color="auto"/>
              <w:bottom w:val="single" w:sz="4" w:space="0" w:color="auto"/>
              <w:right w:val="single" w:sz="4" w:space="0" w:color="auto"/>
            </w:tcBorders>
            <w:vAlign w:val="center"/>
          </w:tcPr>
          <w:p w14:paraId="6E5806D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LC</w:t>
            </w:r>
          </w:p>
        </w:tc>
        <w:tc>
          <w:tcPr>
            <w:tcW w:w="354" w:type="pct"/>
            <w:tcBorders>
              <w:top w:val="single" w:sz="4" w:space="0" w:color="auto"/>
              <w:left w:val="single" w:sz="4" w:space="0" w:color="auto"/>
              <w:bottom w:val="single" w:sz="4" w:space="0" w:color="auto"/>
              <w:right w:val="single" w:sz="4" w:space="0" w:color="auto"/>
            </w:tcBorders>
            <w:vAlign w:val="center"/>
          </w:tcPr>
          <w:p w14:paraId="420BA8C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否</w:t>
            </w:r>
          </w:p>
        </w:tc>
        <w:tc>
          <w:tcPr>
            <w:tcW w:w="436" w:type="pct"/>
            <w:tcBorders>
              <w:top w:val="single" w:sz="4" w:space="0" w:color="auto"/>
              <w:left w:val="single" w:sz="4" w:space="0" w:color="auto"/>
              <w:bottom w:val="single" w:sz="4" w:space="0" w:color="auto"/>
              <w:right w:val="single" w:sz="4" w:space="0" w:color="auto"/>
            </w:tcBorders>
            <w:vAlign w:val="center"/>
          </w:tcPr>
          <w:p w14:paraId="545663C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否</w:t>
            </w:r>
          </w:p>
        </w:tc>
        <w:tc>
          <w:tcPr>
            <w:tcW w:w="1221" w:type="pct"/>
            <w:tcBorders>
              <w:top w:val="single" w:sz="4" w:space="0" w:color="auto"/>
              <w:left w:val="single" w:sz="4" w:space="0" w:color="auto"/>
              <w:bottom w:val="single" w:sz="4" w:space="0" w:color="auto"/>
              <w:right w:val="single" w:sz="4" w:space="0" w:color="auto"/>
            </w:tcBorders>
            <w:vAlign w:val="center"/>
          </w:tcPr>
          <w:p w14:paraId="113FD8AA" w14:textId="77777777" w:rsidR="009D12AF" w:rsidRDefault="00000000">
            <w:pPr>
              <w:widowControl/>
              <w:adjustRightInd w:val="0"/>
              <w:snapToGrid w:val="0"/>
              <w:spacing w:line="360" w:lineRule="atLeast"/>
              <w:ind w:firstLineChars="0" w:firstLine="0"/>
              <w:jc w:val="left"/>
              <w:rPr>
                <w:rFonts w:ascii="Times New Roman" w:hAnsi="Times New Roman" w:cs="Times New Roman"/>
                <w:kern w:val="0"/>
                <w:sz w:val="21"/>
                <w:szCs w:val="21"/>
              </w:rPr>
            </w:pPr>
            <w:r>
              <w:rPr>
                <w:rFonts w:ascii="Times New Roman" w:hAnsi="Times New Roman" w:cs="Times New Roman"/>
                <w:sz w:val="21"/>
                <w:szCs w:val="21"/>
              </w:rPr>
              <w:t>工程区</w:t>
            </w:r>
            <w:r>
              <w:rPr>
                <w:rFonts w:ascii="Times New Roman" w:hAnsi="Times New Roman" w:cs="Times New Roman" w:hint="eastAsia"/>
                <w:sz w:val="21"/>
                <w:szCs w:val="21"/>
              </w:rPr>
              <w:t>评价范围内</w:t>
            </w:r>
            <w:r>
              <w:rPr>
                <w:rFonts w:ascii="Times New Roman" w:hAnsi="Times New Roman" w:cs="Times New Roman"/>
                <w:sz w:val="21"/>
                <w:szCs w:val="21"/>
              </w:rPr>
              <w:t>：工程占地周</w:t>
            </w:r>
            <w:r>
              <w:rPr>
                <w:rFonts w:ascii="Times New Roman" w:hAnsi="Times New Roman" w:cs="Times New Roman" w:hint="eastAsia"/>
                <w:sz w:val="21"/>
                <w:szCs w:val="21"/>
              </w:rPr>
              <w:t>边</w:t>
            </w:r>
            <w:r>
              <w:rPr>
                <w:rFonts w:ascii="Times New Roman" w:hAnsi="Times New Roman" w:cs="Times New Roman"/>
                <w:sz w:val="21"/>
                <w:szCs w:val="21"/>
              </w:rPr>
              <w:t>涉及</w:t>
            </w:r>
            <w:r>
              <w:rPr>
                <w:rFonts w:ascii="Times New Roman" w:hAnsi="Times New Roman" w:cs="Times New Roman"/>
                <w:sz w:val="21"/>
                <w:szCs w:val="21"/>
              </w:rPr>
              <w:t>4</w:t>
            </w:r>
            <w:r>
              <w:rPr>
                <w:rFonts w:ascii="Times New Roman" w:hAnsi="Times New Roman" w:cs="Times New Roman"/>
                <w:sz w:val="21"/>
                <w:szCs w:val="21"/>
              </w:rPr>
              <w:t>处，其中</w:t>
            </w:r>
            <w:r>
              <w:rPr>
                <w:rFonts w:hint="eastAsia"/>
                <w:sz w:val="21"/>
                <w:szCs w:val="21"/>
                <w:shd w:val="clear" w:color="auto" w:fill="FFFFFF"/>
              </w:rPr>
              <w:t>①号分布点</w:t>
            </w:r>
            <w:r>
              <w:rPr>
                <w:rFonts w:ascii="Times New Roman" w:hAnsi="Times New Roman" w:cs="Times New Roman"/>
                <w:sz w:val="21"/>
                <w:szCs w:val="21"/>
              </w:rPr>
              <w:t>距离工程区最近，位于</w:t>
            </w:r>
            <w:r>
              <w:rPr>
                <w:rFonts w:ascii="Times New Roman" w:hAnsi="Times New Roman" w:cs="Times New Roman" w:hint="eastAsia"/>
                <w:sz w:val="21"/>
                <w:szCs w:val="21"/>
              </w:rPr>
              <w:t>居民区西侧</w:t>
            </w:r>
            <w:r>
              <w:rPr>
                <w:rFonts w:ascii="Times New Roman" w:hAnsi="Times New Roman" w:cs="Times New Roman" w:hint="eastAsia"/>
                <w:sz w:val="21"/>
                <w:szCs w:val="21"/>
              </w:rPr>
              <w:t>1km</w:t>
            </w:r>
            <w:r>
              <w:rPr>
                <w:rFonts w:ascii="Times New Roman" w:hAnsi="Times New Roman" w:cs="Times New Roman" w:hint="eastAsia"/>
                <w:sz w:val="21"/>
                <w:szCs w:val="21"/>
              </w:rPr>
              <w:t>处，详见附图</w:t>
            </w:r>
            <w:r>
              <w:rPr>
                <w:rFonts w:ascii="Times New Roman" w:hAnsi="Times New Roman" w:cs="Times New Roman" w:hint="eastAsia"/>
                <w:sz w:val="21"/>
                <w:szCs w:val="21"/>
              </w:rPr>
              <w:t>11</w:t>
            </w:r>
          </w:p>
        </w:tc>
        <w:tc>
          <w:tcPr>
            <w:tcW w:w="449" w:type="pct"/>
            <w:tcBorders>
              <w:top w:val="single" w:sz="4" w:space="0" w:color="auto"/>
              <w:left w:val="single" w:sz="4" w:space="0" w:color="auto"/>
              <w:bottom w:val="single" w:sz="4" w:space="0" w:color="auto"/>
              <w:right w:val="single" w:sz="4" w:space="0" w:color="auto"/>
            </w:tcBorders>
            <w:vAlign w:val="center"/>
          </w:tcPr>
          <w:p w14:paraId="5967AAC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hint="eastAsia"/>
                <w:sz w:val="21"/>
                <w:szCs w:val="21"/>
              </w:rPr>
              <w:t>现场调查、历史调查资料</w:t>
            </w:r>
          </w:p>
        </w:tc>
        <w:tc>
          <w:tcPr>
            <w:tcW w:w="506" w:type="pct"/>
            <w:tcBorders>
              <w:top w:val="single" w:sz="4" w:space="0" w:color="auto"/>
              <w:left w:val="single" w:sz="4" w:space="0" w:color="auto"/>
              <w:bottom w:val="single" w:sz="4" w:space="0" w:color="auto"/>
              <w:right w:val="single" w:sz="4" w:space="0" w:color="auto"/>
            </w:tcBorders>
            <w:vAlign w:val="center"/>
          </w:tcPr>
          <w:p w14:paraId="790F76E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hint="eastAsia"/>
                <w:sz w:val="21"/>
                <w:szCs w:val="21"/>
              </w:rPr>
              <w:t>否</w:t>
            </w:r>
          </w:p>
        </w:tc>
      </w:tr>
      <w:tr w:rsidR="009D12AF" w14:paraId="7F57B575" w14:textId="77777777">
        <w:trPr>
          <w:jc w:val="center"/>
        </w:trPr>
        <w:tc>
          <w:tcPr>
            <w:tcW w:w="152" w:type="pct"/>
            <w:tcBorders>
              <w:top w:val="single" w:sz="4" w:space="0" w:color="auto"/>
              <w:left w:val="single" w:sz="4" w:space="0" w:color="auto"/>
              <w:bottom w:val="single" w:sz="4" w:space="0" w:color="auto"/>
              <w:right w:val="single" w:sz="4" w:space="0" w:color="auto"/>
            </w:tcBorders>
            <w:vAlign w:val="center"/>
          </w:tcPr>
          <w:p w14:paraId="02CD84D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2</w:t>
            </w:r>
          </w:p>
        </w:tc>
        <w:tc>
          <w:tcPr>
            <w:tcW w:w="412" w:type="pct"/>
            <w:tcBorders>
              <w:top w:val="single" w:sz="4" w:space="0" w:color="auto"/>
              <w:left w:val="single" w:sz="4" w:space="0" w:color="auto"/>
              <w:bottom w:val="single" w:sz="4" w:space="0" w:color="auto"/>
              <w:right w:val="single" w:sz="4" w:space="0" w:color="auto"/>
            </w:tcBorders>
            <w:vAlign w:val="center"/>
          </w:tcPr>
          <w:p w14:paraId="216E79DC" w14:textId="77777777" w:rsidR="009D12AF" w:rsidRDefault="00000000">
            <w:pPr>
              <w:adjustRightInd w:val="0"/>
              <w:snapToGrid w:val="0"/>
              <w:spacing w:line="360" w:lineRule="atLeast"/>
              <w:ind w:firstLineChars="0" w:firstLine="0"/>
              <w:jc w:val="center"/>
              <w:rPr>
                <w:rFonts w:ascii="Times New Roman" w:hAnsi="Times New Roman" w:cs="Times New Roman"/>
                <w:i/>
                <w:iCs/>
                <w:sz w:val="21"/>
                <w:szCs w:val="21"/>
              </w:rPr>
            </w:pPr>
            <w:r>
              <w:rPr>
                <w:rFonts w:ascii="Times New Roman" w:hAnsi="Times New Roman" w:cs="Times New Roman" w:hint="eastAsia"/>
                <w:sz w:val="21"/>
                <w:szCs w:val="21"/>
              </w:rPr>
              <w:t>樟子松</w:t>
            </w:r>
          </w:p>
          <w:p w14:paraId="2645BE8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bookmarkStart w:id="243" w:name="_Hlk207876215"/>
            <w:r>
              <w:rPr>
                <w:rFonts w:ascii="Times New Roman" w:hAnsi="Times New Roman" w:cs="Times New Roman"/>
                <w:i/>
                <w:iCs/>
                <w:sz w:val="21"/>
                <w:szCs w:val="21"/>
              </w:rPr>
              <w:t>Pinus sylvestris var. mongholica</w:t>
            </w:r>
            <w:bookmarkEnd w:id="243"/>
          </w:p>
        </w:tc>
        <w:tc>
          <w:tcPr>
            <w:tcW w:w="1062" w:type="pct"/>
            <w:tcBorders>
              <w:top w:val="single" w:sz="4" w:space="0" w:color="auto"/>
              <w:left w:val="single" w:sz="4" w:space="0" w:color="auto"/>
              <w:bottom w:val="single" w:sz="4" w:space="0" w:color="auto"/>
              <w:right w:val="single" w:sz="4" w:space="0" w:color="auto"/>
            </w:tcBorders>
            <w:vAlign w:val="center"/>
          </w:tcPr>
          <w:p w14:paraId="5CAADDB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5D6F3EC2" wp14:editId="2981E46E">
                  <wp:extent cx="1841500" cy="1631315"/>
                  <wp:effectExtent l="0" t="0" r="0" b="0"/>
                  <wp:docPr id="121" name="图片 121" descr="樟子松高清图片下载_红动中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樟子松高清图片下载_红动中国"/>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a:xfrm>
                            <a:off x="0" y="0"/>
                            <a:ext cx="1851665" cy="1640716"/>
                          </a:xfrm>
                          <a:prstGeom prst="rect">
                            <a:avLst/>
                          </a:prstGeom>
                          <a:noFill/>
                          <a:ln>
                            <a:noFill/>
                          </a:ln>
                        </pic:spPr>
                      </pic:pic>
                    </a:graphicData>
                  </a:graphic>
                </wp:inline>
              </w:drawing>
            </w:r>
          </w:p>
        </w:tc>
        <w:tc>
          <w:tcPr>
            <w:tcW w:w="202" w:type="pct"/>
            <w:tcBorders>
              <w:top w:val="single" w:sz="4" w:space="0" w:color="auto"/>
              <w:left w:val="single" w:sz="4" w:space="0" w:color="auto"/>
              <w:bottom w:val="single" w:sz="4" w:space="0" w:color="auto"/>
              <w:right w:val="single" w:sz="4" w:space="0" w:color="auto"/>
            </w:tcBorders>
            <w:vAlign w:val="center"/>
          </w:tcPr>
          <w:p w14:paraId="22098B4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i/>
                <w:iCs/>
                <w:sz w:val="21"/>
                <w:szCs w:val="21"/>
              </w:rPr>
              <w:t>——</w:t>
            </w:r>
          </w:p>
        </w:tc>
        <w:tc>
          <w:tcPr>
            <w:tcW w:w="202" w:type="pct"/>
            <w:tcBorders>
              <w:top w:val="single" w:sz="4" w:space="0" w:color="auto"/>
              <w:left w:val="single" w:sz="4" w:space="0" w:color="auto"/>
              <w:bottom w:val="single" w:sz="4" w:space="0" w:color="auto"/>
              <w:right w:val="single" w:sz="4" w:space="0" w:color="auto"/>
            </w:tcBorders>
            <w:vAlign w:val="center"/>
          </w:tcPr>
          <w:p w14:paraId="6331FB8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VU</w:t>
            </w:r>
          </w:p>
        </w:tc>
        <w:tc>
          <w:tcPr>
            <w:tcW w:w="354" w:type="pct"/>
            <w:tcBorders>
              <w:top w:val="single" w:sz="4" w:space="0" w:color="auto"/>
              <w:left w:val="single" w:sz="4" w:space="0" w:color="auto"/>
              <w:bottom w:val="single" w:sz="4" w:space="0" w:color="auto"/>
              <w:right w:val="single" w:sz="4" w:space="0" w:color="auto"/>
            </w:tcBorders>
            <w:vAlign w:val="center"/>
          </w:tcPr>
          <w:p w14:paraId="0F8BAC8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否</w:t>
            </w:r>
          </w:p>
        </w:tc>
        <w:tc>
          <w:tcPr>
            <w:tcW w:w="436" w:type="pct"/>
            <w:tcBorders>
              <w:top w:val="single" w:sz="4" w:space="0" w:color="auto"/>
              <w:left w:val="single" w:sz="4" w:space="0" w:color="auto"/>
              <w:bottom w:val="single" w:sz="4" w:space="0" w:color="auto"/>
              <w:right w:val="single" w:sz="4" w:space="0" w:color="auto"/>
            </w:tcBorders>
            <w:vAlign w:val="center"/>
          </w:tcPr>
          <w:p w14:paraId="7C67B21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否</w:t>
            </w:r>
          </w:p>
        </w:tc>
        <w:tc>
          <w:tcPr>
            <w:tcW w:w="1221" w:type="pct"/>
            <w:tcBorders>
              <w:top w:val="single" w:sz="4" w:space="0" w:color="auto"/>
              <w:left w:val="single" w:sz="4" w:space="0" w:color="auto"/>
              <w:bottom w:val="single" w:sz="4" w:space="0" w:color="auto"/>
              <w:right w:val="single" w:sz="4" w:space="0" w:color="auto"/>
            </w:tcBorders>
            <w:vAlign w:val="center"/>
          </w:tcPr>
          <w:p w14:paraId="31288C94" w14:textId="77777777" w:rsidR="009D12AF" w:rsidRDefault="00000000">
            <w:pPr>
              <w:widowControl/>
              <w:adjustRightInd w:val="0"/>
              <w:snapToGrid w:val="0"/>
              <w:spacing w:line="360" w:lineRule="atLeast"/>
              <w:ind w:firstLineChars="0" w:firstLine="0"/>
              <w:jc w:val="left"/>
              <w:rPr>
                <w:rFonts w:ascii="Times New Roman" w:hAnsi="Times New Roman" w:cs="Times New Roman"/>
                <w:kern w:val="0"/>
                <w:sz w:val="21"/>
                <w:szCs w:val="21"/>
              </w:rPr>
            </w:pPr>
            <w:r>
              <w:rPr>
                <w:rFonts w:ascii="Times New Roman" w:hAnsi="Times New Roman" w:cs="Times New Roman"/>
                <w:sz w:val="21"/>
                <w:szCs w:val="21"/>
              </w:rPr>
              <w:t>工程区</w:t>
            </w:r>
            <w:r>
              <w:rPr>
                <w:rFonts w:ascii="Times New Roman" w:hAnsi="Times New Roman" w:cs="Times New Roman" w:hint="eastAsia"/>
                <w:sz w:val="21"/>
                <w:szCs w:val="21"/>
              </w:rPr>
              <w:t>评价范围内</w:t>
            </w:r>
            <w:r>
              <w:rPr>
                <w:rFonts w:ascii="Times New Roman" w:hAnsi="Times New Roman" w:cs="Times New Roman"/>
                <w:sz w:val="21"/>
                <w:szCs w:val="21"/>
              </w:rPr>
              <w:t>：工程占地周边涉及</w:t>
            </w:r>
            <w:r>
              <w:rPr>
                <w:rFonts w:ascii="Times New Roman" w:hAnsi="Times New Roman" w:cs="Times New Roman"/>
                <w:sz w:val="21"/>
                <w:szCs w:val="21"/>
              </w:rPr>
              <w:t>3</w:t>
            </w:r>
            <w:r>
              <w:rPr>
                <w:rFonts w:ascii="Times New Roman" w:hAnsi="Times New Roman" w:cs="Times New Roman"/>
                <w:sz w:val="21"/>
                <w:szCs w:val="21"/>
              </w:rPr>
              <w:t>处，其中</w:t>
            </w:r>
            <w:r>
              <w:rPr>
                <w:rFonts w:hint="eastAsia"/>
                <w:sz w:val="21"/>
                <w:szCs w:val="21"/>
              </w:rPr>
              <w:t>②号分布点</w:t>
            </w:r>
            <w:r>
              <w:rPr>
                <w:rFonts w:ascii="Times New Roman" w:hAnsi="Times New Roman" w:cs="Times New Roman"/>
                <w:sz w:val="21"/>
                <w:szCs w:val="21"/>
              </w:rPr>
              <w:t>距离工程区最近，位于</w:t>
            </w:r>
            <w:r>
              <w:rPr>
                <w:rFonts w:ascii="Times New Roman" w:hAnsi="Times New Roman" w:cs="Times New Roman" w:hint="eastAsia"/>
                <w:sz w:val="21"/>
                <w:szCs w:val="21"/>
              </w:rPr>
              <w:t>施工便道南侧</w:t>
            </w:r>
            <w:r>
              <w:rPr>
                <w:rFonts w:ascii="Times New Roman" w:hAnsi="Times New Roman" w:cs="Times New Roman" w:hint="eastAsia"/>
                <w:sz w:val="21"/>
                <w:szCs w:val="21"/>
              </w:rPr>
              <w:t>0</w:t>
            </w:r>
            <w:r>
              <w:rPr>
                <w:rFonts w:ascii="Times New Roman" w:hAnsi="Times New Roman" w:cs="Times New Roman"/>
                <w:sz w:val="21"/>
                <w:szCs w:val="21"/>
              </w:rPr>
              <w:t>.8</w:t>
            </w:r>
            <w:r>
              <w:rPr>
                <w:rFonts w:ascii="Times New Roman" w:hAnsi="Times New Roman" w:cs="Times New Roman" w:hint="eastAsia"/>
                <w:sz w:val="21"/>
                <w:szCs w:val="21"/>
              </w:rPr>
              <w:t>km</w:t>
            </w:r>
            <w:r>
              <w:rPr>
                <w:rFonts w:ascii="Times New Roman" w:hAnsi="Times New Roman" w:cs="Times New Roman"/>
                <w:sz w:val="21"/>
                <w:szCs w:val="21"/>
              </w:rPr>
              <w:t>处</w:t>
            </w:r>
            <w:r>
              <w:rPr>
                <w:rFonts w:ascii="Times New Roman" w:hAnsi="Times New Roman" w:cs="Times New Roman" w:hint="eastAsia"/>
                <w:sz w:val="21"/>
                <w:szCs w:val="21"/>
              </w:rPr>
              <w:t>，详见附图</w:t>
            </w:r>
            <w:r>
              <w:rPr>
                <w:rFonts w:ascii="Times New Roman" w:hAnsi="Times New Roman" w:cs="Times New Roman" w:hint="eastAsia"/>
                <w:sz w:val="21"/>
                <w:szCs w:val="21"/>
              </w:rPr>
              <w:t>11</w:t>
            </w:r>
          </w:p>
        </w:tc>
        <w:tc>
          <w:tcPr>
            <w:tcW w:w="449" w:type="pct"/>
            <w:tcBorders>
              <w:top w:val="single" w:sz="4" w:space="0" w:color="auto"/>
              <w:left w:val="single" w:sz="4" w:space="0" w:color="auto"/>
              <w:bottom w:val="single" w:sz="4" w:space="0" w:color="auto"/>
              <w:right w:val="single" w:sz="4" w:space="0" w:color="auto"/>
            </w:tcBorders>
            <w:vAlign w:val="center"/>
          </w:tcPr>
          <w:p w14:paraId="7BA5CA6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hint="eastAsia"/>
                <w:sz w:val="21"/>
                <w:szCs w:val="21"/>
              </w:rPr>
              <w:t>现场调查、历史调查资料</w:t>
            </w:r>
          </w:p>
        </w:tc>
        <w:tc>
          <w:tcPr>
            <w:tcW w:w="506" w:type="pct"/>
            <w:tcBorders>
              <w:top w:val="single" w:sz="4" w:space="0" w:color="auto"/>
              <w:left w:val="single" w:sz="4" w:space="0" w:color="auto"/>
              <w:bottom w:val="single" w:sz="4" w:space="0" w:color="auto"/>
              <w:right w:val="single" w:sz="4" w:space="0" w:color="auto"/>
            </w:tcBorders>
            <w:vAlign w:val="center"/>
          </w:tcPr>
          <w:p w14:paraId="2253AE7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hint="eastAsia"/>
                <w:sz w:val="21"/>
                <w:szCs w:val="21"/>
              </w:rPr>
              <w:t>否</w:t>
            </w:r>
          </w:p>
        </w:tc>
      </w:tr>
      <w:tr w:rsidR="009D12AF" w14:paraId="033326AD" w14:textId="77777777">
        <w:trPr>
          <w:jc w:val="center"/>
        </w:trPr>
        <w:tc>
          <w:tcPr>
            <w:tcW w:w="152" w:type="pct"/>
            <w:tcBorders>
              <w:top w:val="single" w:sz="4" w:space="0" w:color="auto"/>
              <w:left w:val="single" w:sz="4" w:space="0" w:color="auto"/>
              <w:bottom w:val="single" w:sz="4" w:space="0" w:color="auto"/>
              <w:right w:val="single" w:sz="4" w:space="0" w:color="auto"/>
            </w:tcBorders>
            <w:vAlign w:val="center"/>
          </w:tcPr>
          <w:p w14:paraId="62D9413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lastRenderedPageBreak/>
              <w:t>3</w:t>
            </w:r>
          </w:p>
        </w:tc>
        <w:tc>
          <w:tcPr>
            <w:tcW w:w="412" w:type="pct"/>
            <w:tcBorders>
              <w:top w:val="single" w:sz="4" w:space="0" w:color="auto"/>
              <w:left w:val="single" w:sz="4" w:space="0" w:color="auto"/>
              <w:bottom w:val="single" w:sz="4" w:space="0" w:color="auto"/>
              <w:right w:val="single" w:sz="4" w:space="0" w:color="auto"/>
            </w:tcBorders>
            <w:vAlign w:val="center"/>
          </w:tcPr>
          <w:p w14:paraId="43A8A531" w14:textId="77777777" w:rsidR="009D12AF" w:rsidRDefault="00000000">
            <w:pPr>
              <w:adjustRightInd w:val="0"/>
              <w:snapToGrid w:val="0"/>
              <w:spacing w:line="360" w:lineRule="atLeast"/>
              <w:ind w:firstLineChars="0" w:firstLine="0"/>
              <w:jc w:val="center"/>
              <w:rPr>
                <w:rFonts w:ascii="Times New Roman" w:hAnsi="Times New Roman" w:cs="Times New Roman"/>
                <w:sz w:val="21"/>
                <w:szCs w:val="21"/>
              </w:rPr>
            </w:pPr>
            <w:r>
              <w:rPr>
                <w:rFonts w:ascii="Times New Roman" w:hAnsi="Times New Roman" w:cs="Times New Roman"/>
                <w:sz w:val="21"/>
                <w:szCs w:val="21"/>
              </w:rPr>
              <w:t>黄檗</w:t>
            </w:r>
          </w:p>
          <w:p w14:paraId="37D60F1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bookmarkStart w:id="244" w:name="_Hlk207876717"/>
            <w:r>
              <w:rPr>
                <w:rFonts w:ascii="Times New Roman" w:hAnsi="Times New Roman" w:cs="Times New Roman"/>
                <w:i/>
                <w:iCs/>
                <w:sz w:val="21"/>
                <w:szCs w:val="21"/>
              </w:rPr>
              <w:t>Phellodendron amurense Rupr</w:t>
            </w:r>
            <w:bookmarkEnd w:id="244"/>
            <w:r>
              <w:rPr>
                <w:rFonts w:ascii="Times New Roman" w:hAnsi="Times New Roman" w:cs="Times New Roman"/>
                <w:i/>
                <w:iCs/>
                <w:sz w:val="21"/>
                <w:szCs w:val="21"/>
              </w:rPr>
              <w:t xml:space="preserve"> </w:t>
            </w:r>
          </w:p>
        </w:tc>
        <w:tc>
          <w:tcPr>
            <w:tcW w:w="1062" w:type="pct"/>
            <w:tcBorders>
              <w:top w:val="single" w:sz="4" w:space="0" w:color="auto"/>
              <w:left w:val="single" w:sz="4" w:space="0" w:color="auto"/>
              <w:bottom w:val="single" w:sz="4" w:space="0" w:color="auto"/>
              <w:right w:val="single" w:sz="4" w:space="0" w:color="auto"/>
            </w:tcBorders>
            <w:vAlign w:val="center"/>
          </w:tcPr>
          <w:p w14:paraId="2A0D810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763C2843" wp14:editId="7452D9FE">
                  <wp:extent cx="1854200" cy="1790700"/>
                  <wp:effectExtent l="0" t="0" r="0" b="0"/>
                  <wp:docPr id="184" name="图片 184" descr="黄柏树种类介绍 黄柏树图片 - 装修保障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黄柏树种类介绍 黄柏树图片 - 装修保障网"/>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a:xfrm>
                            <a:off x="0" y="0"/>
                            <a:ext cx="1854200" cy="1790700"/>
                          </a:xfrm>
                          <a:prstGeom prst="rect">
                            <a:avLst/>
                          </a:prstGeom>
                          <a:noFill/>
                          <a:ln>
                            <a:noFill/>
                          </a:ln>
                        </pic:spPr>
                      </pic:pic>
                    </a:graphicData>
                  </a:graphic>
                </wp:inline>
              </w:drawing>
            </w:r>
          </w:p>
        </w:tc>
        <w:tc>
          <w:tcPr>
            <w:tcW w:w="202" w:type="pct"/>
            <w:tcBorders>
              <w:top w:val="single" w:sz="4" w:space="0" w:color="auto"/>
              <w:left w:val="single" w:sz="4" w:space="0" w:color="auto"/>
              <w:bottom w:val="single" w:sz="4" w:space="0" w:color="auto"/>
              <w:right w:val="single" w:sz="4" w:space="0" w:color="auto"/>
            </w:tcBorders>
            <w:vAlign w:val="center"/>
          </w:tcPr>
          <w:p w14:paraId="631ADE2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hint="eastAsia"/>
                <w:sz w:val="21"/>
                <w:szCs w:val="21"/>
              </w:rPr>
              <w:t>国家</w:t>
            </w:r>
            <w:r>
              <w:rPr>
                <w:rFonts w:ascii="Times New Roman" w:hAnsi="Times New Roman" w:cs="Times New Roman"/>
                <w:sz w:val="21"/>
                <w:szCs w:val="21"/>
              </w:rPr>
              <w:t>二级</w:t>
            </w:r>
          </w:p>
        </w:tc>
        <w:tc>
          <w:tcPr>
            <w:tcW w:w="202" w:type="pct"/>
            <w:tcBorders>
              <w:top w:val="single" w:sz="4" w:space="0" w:color="auto"/>
              <w:left w:val="single" w:sz="4" w:space="0" w:color="auto"/>
              <w:bottom w:val="single" w:sz="4" w:space="0" w:color="auto"/>
              <w:right w:val="single" w:sz="4" w:space="0" w:color="auto"/>
            </w:tcBorders>
            <w:vAlign w:val="center"/>
          </w:tcPr>
          <w:p w14:paraId="18CA43E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VU</w:t>
            </w:r>
          </w:p>
        </w:tc>
        <w:tc>
          <w:tcPr>
            <w:tcW w:w="354" w:type="pct"/>
            <w:tcBorders>
              <w:top w:val="single" w:sz="4" w:space="0" w:color="auto"/>
              <w:left w:val="single" w:sz="4" w:space="0" w:color="auto"/>
              <w:bottom w:val="single" w:sz="4" w:space="0" w:color="auto"/>
              <w:right w:val="single" w:sz="4" w:space="0" w:color="auto"/>
            </w:tcBorders>
            <w:vAlign w:val="center"/>
          </w:tcPr>
          <w:p w14:paraId="229AFF4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否</w:t>
            </w:r>
          </w:p>
        </w:tc>
        <w:tc>
          <w:tcPr>
            <w:tcW w:w="436" w:type="pct"/>
            <w:tcBorders>
              <w:top w:val="single" w:sz="4" w:space="0" w:color="auto"/>
              <w:left w:val="single" w:sz="4" w:space="0" w:color="auto"/>
              <w:bottom w:val="single" w:sz="4" w:space="0" w:color="auto"/>
              <w:right w:val="single" w:sz="4" w:space="0" w:color="auto"/>
            </w:tcBorders>
            <w:vAlign w:val="center"/>
          </w:tcPr>
          <w:p w14:paraId="2F40404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否</w:t>
            </w:r>
          </w:p>
        </w:tc>
        <w:tc>
          <w:tcPr>
            <w:tcW w:w="1221" w:type="pct"/>
            <w:tcBorders>
              <w:top w:val="single" w:sz="4" w:space="0" w:color="auto"/>
              <w:left w:val="single" w:sz="4" w:space="0" w:color="auto"/>
              <w:bottom w:val="single" w:sz="4" w:space="0" w:color="auto"/>
              <w:right w:val="single" w:sz="4" w:space="0" w:color="auto"/>
            </w:tcBorders>
            <w:vAlign w:val="center"/>
          </w:tcPr>
          <w:p w14:paraId="4EEDC1F3" w14:textId="77777777" w:rsidR="009D12AF" w:rsidRDefault="00000000">
            <w:pPr>
              <w:widowControl/>
              <w:adjustRightInd w:val="0"/>
              <w:snapToGrid w:val="0"/>
              <w:spacing w:line="360" w:lineRule="atLeast"/>
              <w:ind w:firstLineChars="0" w:firstLine="0"/>
              <w:jc w:val="left"/>
              <w:rPr>
                <w:rFonts w:ascii="Times New Roman" w:hAnsi="Times New Roman" w:cs="Times New Roman"/>
                <w:kern w:val="0"/>
                <w:sz w:val="21"/>
                <w:szCs w:val="21"/>
              </w:rPr>
            </w:pPr>
            <w:r>
              <w:rPr>
                <w:rFonts w:ascii="Times New Roman" w:hAnsi="Times New Roman" w:cs="Times New Roman"/>
                <w:sz w:val="21"/>
                <w:szCs w:val="21"/>
              </w:rPr>
              <w:t>工程区</w:t>
            </w:r>
            <w:r>
              <w:rPr>
                <w:rFonts w:ascii="Times New Roman" w:hAnsi="Times New Roman" w:cs="Times New Roman" w:hint="eastAsia"/>
                <w:sz w:val="21"/>
                <w:szCs w:val="21"/>
              </w:rPr>
              <w:t>评价范围内</w:t>
            </w:r>
            <w:r>
              <w:rPr>
                <w:rFonts w:ascii="Times New Roman" w:hAnsi="Times New Roman" w:cs="Times New Roman"/>
                <w:sz w:val="21"/>
                <w:szCs w:val="21"/>
              </w:rPr>
              <w:t>：工程占地周边涉及</w:t>
            </w:r>
            <w:r>
              <w:rPr>
                <w:rFonts w:ascii="Times New Roman" w:hAnsi="Times New Roman" w:cs="Times New Roman"/>
                <w:sz w:val="21"/>
                <w:szCs w:val="21"/>
              </w:rPr>
              <w:t>3</w:t>
            </w:r>
            <w:r>
              <w:rPr>
                <w:rFonts w:ascii="Times New Roman" w:hAnsi="Times New Roman" w:cs="Times New Roman"/>
                <w:sz w:val="21"/>
                <w:szCs w:val="21"/>
              </w:rPr>
              <w:t>处，其中</w:t>
            </w:r>
            <w:r>
              <w:rPr>
                <w:rFonts w:ascii="Cambria Math" w:hAnsi="Cambria Math" w:cs="Cambria Math" w:hint="eastAsia"/>
                <w:sz w:val="21"/>
                <w:szCs w:val="21"/>
              </w:rPr>
              <w:t>①号分布点</w:t>
            </w:r>
            <w:r>
              <w:rPr>
                <w:rFonts w:ascii="Times New Roman" w:hAnsi="Times New Roman" w:cs="Times New Roman"/>
                <w:sz w:val="21"/>
                <w:szCs w:val="21"/>
              </w:rPr>
              <w:t>距离工程区最近，位于</w:t>
            </w:r>
            <w:r>
              <w:rPr>
                <w:rFonts w:ascii="Times New Roman" w:hAnsi="Times New Roman" w:cs="Times New Roman" w:hint="eastAsia"/>
                <w:sz w:val="21"/>
                <w:szCs w:val="21"/>
              </w:rPr>
              <w:t>施工便道东北方向</w:t>
            </w:r>
            <w:r>
              <w:rPr>
                <w:rFonts w:ascii="Times New Roman" w:hAnsi="Times New Roman" w:cs="Times New Roman" w:hint="eastAsia"/>
                <w:sz w:val="21"/>
                <w:szCs w:val="21"/>
              </w:rPr>
              <w:t>0</w:t>
            </w:r>
            <w:r>
              <w:rPr>
                <w:rFonts w:ascii="Times New Roman" w:hAnsi="Times New Roman" w:cs="Times New Roman"/>
                <w:sz w:val="21"/>
                <w:szCs w:val="21"/>
              </w:rPr>
              <w:t>.6</w:t>
            </w:r>
            <w:r>
              <w:rPr>
                <w:rFonts w:ascii="Times New Roman" w:hAnsi="Times New Roman" w:cs="Times New Roman" w:hint="eastAsia"/>
                <w:sz w:val="21"/>
                <w:szCs w:val="21"/>
              </w:rPr>
              <w:t>km</w:t>
            </w:r>
            <w:r>
              <w:rPr>
                <w:rFonts w:ascii="Times New Roman" w:hAnsi="Times New Roman" w:cs="Times New Roman"/>
                <w:sz w:val="21"/>
                <w:szCs w:val="21"/>
              </w:rPr>
              <w:t>处</w:t>
            </w:r>
            <w:r>
              <w:rPr>
                <w:rFonts w:ascii="Times New Roman" w:hAnsi="Times New Roman" w:cs="Times New Roman" w:hint="eastAsia"/>
                <w:sz w:val="21"/>
                <w:szCs w:val="21"/>
              </w:rPr>
              <w:t>，详见附图</w:t>
            </w:r>
            <w:r>
              <w:rPr>
                <w:rFonts w:ascii="Times New Roman" w:hAnsi="Times New Roman" w:cs="Times New Roman" w:hint="eastAsia"/>
                <w:sz w:val="21"/>
                <w:szCs w:val="21"/>
              </w:rPr>
              <w:t>11</w:t>
            </w:r>
          </w:p>
        </w:tc>
        <w:tc>
          <w:tcPr>
            <w:tcW w:w="449" w:type="pct"/>
            <w:tcBorders>
              <w:top w:val="single" w:sz="4" w:space="0" w:color="auto"/>
              <w:left w:val="single" w:sz="4" w:space="0" w:color="auto"/>
              <w:bottom w:val="single" w:sz="4" w:space="0" w:color="auto"/>
              <w:right w:val="single" w:sz="4" w:space="0" w:color="auto"/>
            </w:tcBorders>
            <w:vAlign w:val="center"/>
          </w:tcPr>
          <w:p w14:paraId="123653E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hint="eastAsia"/>
                <w:sz w:val="21"/>
                <w:szCs w:val="21"/>
              </w:rPr>
              <w:t>现场调查、历史调查资料</w:t>
            </w:r>
          </w:p>
        </w:tc>
        <w:tc>
          <w:tcPr>
            <w:tcW w:w="506" w:type="pct"/>
            <w:tcBorders>
              <w:top w:val="single" w:sz="4" w:space="0" w:color="auto"/>
              <w:left w:val="single" w:sz="4" w:space="0" w:color="auto"/>
              <w:bottom w:val="single" w:sz="4" w:space="0" w:color="auto"/>
              <w:right w:val="single" w:sz="4" w:space="0" w:color="auto"/>
            </w:tcBorders>
            <w:vAlign w:val="center"/>
          </w:tcPr>
          <w:p w14:paraId="493EA45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hint="eastAsia"/>
                <w:sz w:val="21"/>
                <w:szCs w:val="21"/>
              </w:rPr>
              <w:t>否</w:t>
            </w:r>
          </w:p>
        </w:tc>
      </w:tr>
      <w:tr w:rsidR="009D12AF" w14:paraId="5C3D0518" w14:textId="77777777">
        <w:trPr>
          <w:jc w:val="center"/>
        </w:trPr>
        <w:tc>
          <w:tcPr>
            <w:tcW w:w="152" w:type="pct"/>
            <w:tcBorders>
              <w:top w:val="single" w:sz="4" w:space="0" w:color="auto"/>
              <w:left w:val="single" w:sz="4" w:space="0" w:color="auto"/>
              <w:bottom w:val="single" w:sz="8" w:space="0" w:color="auto"/>
              <w:right w:val="single" w:sz="4" w:space="0" w:color="auto"/>
            </w:tcBorders>
            <w:vAlign w:val="center"/>
          </w:tcPr>
          <w:p w14:paraId="5C5F6D7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4</w:t>
            </w:r>
          </w:p>
        </w:tc>
        <w:tc>
          <w:tcPr>
            <w:tcW w:w="412" w:type="pct"/>
            <w:tcBorders>
              <w:top w:val="single" w:sz="4" w:space="0" w:color="auto"/>
              <w:left w:val="single" w:sz="4" w:space="0" w:color="auto"/>
              <w:bottom w:val="single" w:sz="8" w:space="0" w:color="auto"/>
              <w:right w:val="single" w:sz="4" w:space="0" w:color="auto"/>
            </w:tcBorders>
            <w:vAlign w:val="center"/>
          </w:tcPr>
          <w:p w14:paraId="53F89940" w14:textId="77777777" w:rsidR="009D12AF" w:rsidRDefault="00000000">
            <w:pPr>
              <w:adjustRightInd w:val="0"/>
              <w:snapToGrid w:val="0"/>
              <w:spacing w:line="360" w:lineRule="atLeast"/>
              <w:ind w:firstLineChars="0" w:firstLine="0"/>
              <w:jc w:val="center"/>
              <w:rPr>
                <w:rFonts w:ascii="Times New Roman" w:hAnsi="Times New Roman" w:cs="Times New Roman"/>
                <w:i/>
                <w:iCs/>
                <w:sz w:val="21"/>
                <w:szCs w:val="21"/>
              </w:rPr>
            </w:pPr>
            <w:r>
              <w:rPr>
                <w:rFonts w:ascii="Times New Roman" w:hAnsi="Times New Roman" w:cs="Times New Roman"/>
                <w:sz w:val="21"/>
                <w:szCs w:val="21"/>
              </w:rPr>
              <w:t>水曲柳</w:t>
            </w:r>
          </w:p>
          <w:p w14:paraId="031BFD4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bookmarkStart w:id="245" w:name="_Hlk207876820"/>
            <w:r>
              <w:rPr>
                <w:rFonts w:ascii="Times New Roman" w:hAnsi="Times New Roman" w:cs="Times New Roman"/>
                <w:i/>
                <w:iCs/>
                <w:sz w:val="21"/>
                <w:szCs w:val="21"/>
              </w:rPr>
              <w:t>Fraxinus mandshurica</w:t>
            </w:r>
            <w:r>
              <w:rPr>
                <w:rFonts w:ascii="Times New Roman" w:hAnsi="Times New Roman" w:cs="Times New Roman"/>
                <w:sz w:val="21"/>
                <w:szCs w:val="21"/>
              </w:rPr>
              <w:t> Rupr</w:t>
            </w:r>
            <w:bookmarkEnd w:id="245"/>
          </w:p>
        </w:tc>
        <w:tc>
          <w:tcPr>
            <w:tcW w:w="1062" w:type="pct"/>
            <w:tcBorders>
              <w:top w:val="single" w:sz="4" w:space="0" w:color="auto"/>
              <w:left w:val="single" w:sz="4" w:space="0" w:color="auto"/>
              <w:bottom w:val="single" w:sz="8" w:space="0" w:color="auto"/>
              <w:right w:val="single" w:sz="4" w:space="0" w:color="auto"/>
            </w:tcBorders>
            <w:vAlign w:val="center"/>
          </w:tcPr>
          <w:p w14:paraId="63CF414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7189953A" wp14:editId="05D916F8">
                  <wp:extent cx="1854200" cy="1746250"/>
                  <wp:effectExtent l="0" t="0" r="0" b="0"/>
                  <wp:docPr id="209" name="图片 209" descr="水曲柳种子可以秋播吗-花卉百科-绿宝园林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水曲柳种子可以秋播吗-花卉百科-绿宝园林网"/>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a:xfrm>
                            <a:off x="0" y="0"/>
                            <a:ext cx="1854200" cy="1746250"/>
                          </a:xfrm>
                          <a:prstGeom prst="rect">
                            <a:avLst/>
                          </a:prstGeom>
                          <a:noFill/>
                          <a:ln>
                            <a:noFill/>
                          </a:ln>
                        </pic:spPr>
                      </pic:pic>
                    </a:graphicData>
                  </a:graphic>
                </wp:inline>
              </w:drawing>
            </w:r>
          </w:p>
        </w:tc>
        <w:tc>
          <w:tcPr>
            <w:tcW w:w="202" w:type="pct"/>
            <w:tcBorders>
              <w:top w:val="single" w:sz="4" w:space="0" w:color="auto"/>
              <w:left w:val="single" w:sz="4" w:space="0" w:color="auto"/>
              <w:bottom w:val="single" w:sz="8" w:space="0" w:color="auto"/>
              <w:right w:val="single" w:sz="4" w:space="0" w:color="auto"/>
            </w:tcBorders>
            <w:vAlign w:val="center"/>
          </w:tcPr>
          <w:p w14:paraId="210880D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hint="eastAsia"/>
                <w:sz w:val="21"/>
                <w:szCs w:val="21"/>
              </w:rPr>
              <w:t>国家</w:t>
            </w:r>
            <w:r>
              <w:rPr>
                <w:rFonts w:ascii="Times New Roman" w:hAnsi="Times New Roman" w:cs="Times New Roman"/>
                <w:sz w:val="21"/>
                <w:szCs w:val="21"/>
              </w:rPr>
              <w:t>二级</w:t>
            </w:r>
          </w:p>
        </w:tc>
        <w:tc>
          <w:tcPr>
            <w:tcW w:w="202" w:type="pct"/>
            <w:tcBorders>
              <w:top w:val="single" w:sz="4" w:space="0" w:color="auto"/>
              <w:left w:val="single" w:sz="4" w:space="0" w:color="auto"/>
              <w:bottom w:val="single" w:sz="8" w:space="0" w:color="auto"/>
              <w:right w:val="single" w:sz="4" w:space="0" w:color="auto"/>
            </w:tcBorders>
            <w:vAlign w:val="center"/>
          </w:tcPr>
          <w:p w14:paraId="5E43712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LC</w:t>
            </w:r>
          </w:p>
        </w:tc>
        <w:tc>
          <w:tcPr>
            <w:tcW w:w="354" w:type="pct"/>
            <w:tcBorders>
              <w:top w:val="single" w:sz="4" w:space="0" w:color="auto"/>
              <w:left w:val="single" w:sz="4" w:space="0" w:color="auto"/>
              <w:bottom w:val="single" w:sz="8" w:space="0" w:color="auto"/>
              <w:right w:val="single" w:sz="4" w:space="0" w:color="auto"/>
            </w:tcBorders>
            <w:vAlign w:val="center"/>
          </w:tcPr>
          <w:p w14:paraId="5C57BB3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否</w:t>
            </w:r>
          </w:p>
        </w:tc>
        <w:tc>
          <w:tcPr>
            <w:tcW w:w="436" w:type="pct"/>
            <w:tcBorders>
              <w:top w:val="single" w:sz="4" w:space="0" w:color="auto"/>
              <w:left w:val="single" w:sz="4" w:space="0" w:color="auto"/>
              <w:bottom w:val="single" w:sz="8" w:space="0" w:color="auto"/>
              <w:right w:val="single" w:sz="4" w:space="0" w:color="auto"/>
            </w:tcBorders>
            <w:vAlign w:val="center"/>
          </w:tcPr>
          <w:p w14:paraId="2CB6A1C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sz w:val="21"/>
                <w:szCs w:val="21"/>
              </w:rPr>
              <w:t>否</w:t>
            </w:r>
          </w:p>
        </w:tc>
        <w:tc>
          <w:tcPr>
            <w:tcW w:w="1221" w:type="pct"/>
            <w:tcBorders>
              <w:top w:val="single" w:sz="4" w:space="0" w:color="auto"/>
              <w:left w:val="single" w:sz="4" w:space="0" w:color="auto"/>
              <w:bottom w:val="single" w:sz="8" w:space="0" w:color="auto"/>
              <w:right w:val="single" w:sz="4" w:space="0" w:color="auto"/>
            </w:tcBorders>
            <w:vAlign w:val="center"/>
          </w:tcPr>
          <w:p w14:paraId="7568EC83" w14:textId="77777777" w:rsidR="009D12AF" w:rsidRDefault="00000000">
            <w:pPr>
              <w:widowControl/>
              <w:adjustRightInd w:val="0"/>
              <w:snapToGrid w:val="0"/>
              <w:spacing w:line="360" w:lineRule="atLeast"/>
              <w:ind w:firstLineChars="0" w:firstLine="0"/>
              <w:jc w:val="left"/>
              <w:rPr>
                <w:rFonts w:ascii="Times New Roman" w:hAnsi="Times New Roman" w:cs="Times New Roman"/>
                <w:kern w:val="0"/>
                <w:sz w:val="21"/>
                <w:szCs w:val="21"/>
              </w:rPr>
            </w:pPr>
            <w:r>
              <w:rPr>
                <w:rFonts w:ascii="Times New Roman" w:hAnsi="Times New Roman" w:cs="Times New Roman"/>
                <w:sz w:val="21"/>
                <w:szCs w:val="21"/>
              </w:rPr>
              <w:t>工程区</w:t>
            </w:r>
            <w:r>
              <w:rPr>
                <w:rFonts w:ascii="Times New Roman" w:hAnsi="Times New Roman" w:cs="Times New Roman" w:hint="eastAsia"/>
                <w:sz w:val="21"/>
                <w:szCs w:val="21"/>
              </w:rPr>
              <w:t>评价范围内</w:t>
            </w:r>
            <w:r>
              <w:rPr>
                <w:rFonts w:ascii="Times New Roman" w:hAnsi="Times New Roman" w:cs="Times New Roman"/>
                <w:sz w:val="21"/>
                <w:szCs w:val="21"/>
              </w:rPr>
              <w:t>：工程占地周边涉及</w:t>
            </w:r>
            <w:r>
              <w:rPr>
                <w:rFonts w:ascii="Times New Roman" w:hAnsi="Times New Roman" w:cs="Times New Roman"/>
                <w:sz w:val="21"/>
                <w:szCs w:val="21"/>
              </w:rPr>
              <w:t>3</w:t>
            </w:r>
            <w:r>
              <w:rPr>
                <w:rFonts w:ascii="Times New Roman" w:hAnsi="Times New Roman" w:cs="Times New Roman"/>
                <w:sz w:val="21"/>
                <w:szCs w:val="21"/>
              </w:rPr>
              <w:t>处，其中</w:t>
            </w:r>
            <w:r>
              <w:rPr>
                <w:rFonts w:ascii="Cambria Math" w:hAnsi="Cambria Math" w:cs="Cambria Math" w:hint="eastAsia"/>
                <w:sz w:val="21"/>
                <w:szCs w:val="21"/>
              </w:rPr>
              <w:t>①号分布点</w:t>
            </w:r>
            <w:r>
              <w:rPr>
                <w:rFonts w:ascii="Times New Roman" w:hAnsi="Times New Roman" w:cs="Times New Roman"/>
                <w:sz w:val="21"/>
                <w:szCs w:val="21"/>
              </w:rPr>
              <w:t>距离工程区最近，位于</w:t>
            </w:r>
            <w:r>
              <w:rPr>
                <w:rFonts w:ascii="Times New Roman" w:hAnsi="Times New Roman" w:cs="Times New Roman" w:hint="eastAsia"/>
                <w:sz w:val="21"/>
                <w:szCs w:val="21"/>
              </w:rPr>
              <w:t>施工便道东北方向</w:t>
            </w:r>
            <w:r>
              <w:rPr>
                <w:rFonts w:ascii="Times New Roman" w:hAnsi="Times New Roman" w:cs="Times New Roman" w:hint="eastAsia"/>
                <w:sz w:val="21"/>
                <w:szCs w:val="21"/>
              </w:rPr>
              <w:t>1</w:t>
            </w:r>
            <w:r>
              <w:rPr>
                <w:rFonts w:ascii="Times New Roman" w:hAnsi="Times New Roman" w:cs="Times New Roman"/>
                <w:sz w:val="21"/>
                <w:szCs w:val="21"/>
              </w:rPr>
              <w:t>.3</w:t>
            </w:r>
            <w:r>
              <w:rPr>
                <w:rFonts w:ascii="Times New Roman" w:hAnsi="Times New Roman" w:cs="Times New Roman" w:hint="eastAsia"/>
                <w:sz w:val="21"/>
                <w:szCs w:val="21"/>
              </w:rPr>
              <w:t>km</w:t>
            </w:r>
            <w:r>
              <w:rPr>
                <w:rFonts w:ascii="Times New Roman" w:hAnsi="Times New Roman" w:cs="Times New Roman" w:hint="eastAsia"/>
                <w:sz w:val="21"/>
                <w:szCs w:val="21"/>
              </w:rPr>
              <w:t>处，详见附图</w:t>
            </w:r>
            <w:r>
              <w:rPr>
                <w:rFonts w:ascii="Times New Roman" w:hAnsi="Times New Roman" w:cs="Times New Roman" w:hint="eastAsia"/>
                <w:sz w:val="21"/>
                <w:szCs w:val="21"/>
              </w:rPr>
              <w:t>11</w:t>
            </w:r>
          </w:p>
        </w:tc>
        <w:tc>
          <w:tcPr>
            <w:tcW w:w="449" w:type="pct"/>
            <w:tcBorders>
              <w:top w:val="single" w:sz="4" w:space="0" w:color="auto"/>
              <w:left w:val="single" w:sz="4" w:space="0" w:color="auto"/>
              <w:bottom w:val="single" w:sz="8" w:space="0" w:color="auto"/>
              <w:right w:val="single" w:sz="4" w:space="0" w:color="auto"/>
            </w:tcBorders>
            <w:vAlign w:val="center"/>
          </w:tcPr>
          <w:p w14:paraId="554657A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hint="eastAsia"/>
                <w:sz w:val="21"/>
                <w:szCs w:val="21"/>
              </w:rPr>
              <w:t>现场调查、历史</w:t>
            </w:r>
            <w:r>
              <w:rPr>
                <w:rFonts w:ascii="Times New Roman" w:hAnsi="Times New Roman" w:cs="Times New Roman" w:hint="eastAsia"/>
                <w:sz w:val="21"/>
                <w:szCs w:val="21"/>
              </w:rPr>
              <w:t xml:space="preserve"> </w:t>
            </w:r>
            <w:r>
              <w:rPr>
                <w:rFonts w:ascii="Times New Roman" w:hAnsi="Times New Roman" w:cs="Times New Roman" w:hint="eastAsia"/>
                <w:sz w:val="21"/>
                <w:szCs w:val="21"/>
              </w:rPr>
              <w:t>调查资料</w:t>
            </w:r>
          </w:p>
        </w:tc>
        <w:tc>
          <w:tcPr>
            <w:tcW w:w="506" w:type="pct"/>
            <w:tcBorders>
              <w:top w:val="single" w:sz="4" w:space="0" w:color="auto"/>
              <w:left w:val="single" w:sz="4" w:space="0" w:color="auto"/>
              <w:bottom w:val="single" w:sz="8" w:space="0" w:color="auto"/>
              <w:right w:val="single" w:sz="4" w:space="0" w:color="auto"/>
            </w:tcBorders>
            <w:vAlign w:val="center"/>
          </w:tcPr>
          <w:p w14:paraId="069D511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hAnsi="Times New Roman" w:cs="Times New Roman" w:hint="eastAsia"/>
                <w:sz w:val="21"/>
                <w:szCs w:val="21"/>
              </w:rPr>
              <w:t>否</w:t>
            </w:r>
          </w:p>
        </w:tc>
      </w:tr>
      <w:bookmarkEnd w:id="242"/>
    </w:tbl>
    <w:p w14:paraId="2BF961D5" w14:textId="77777777" w:rsidR="009D12AF" w:rsidRDefault="009D12AF">
      <w:pPr>
        <w:ind w:firstLineChars="0" w:firstLine="0"/>
        <w:rPr>
          <w:rFonts w:ascii="Times New Roman" w:eastAsia="宋体" w:hAnsi="Times New Roman" w:cs="Times New Roman"/>
          <w:kern w:val="0"/>
          <w:highlight w:val="yellow"/>
        </w:rPr>
        <w:sectPr w:rsidR="009D12AF">
          <w:pgSz w:w="16838" w:h="11906" w:orient="landscape"/>
          <w:pgMar w:top="1800" w:right="1440" w:bottom="1800" w:left="1440" w:header="851" w:footer="992" w:gutter="0"/>
          <w:cols w:space="425"/>
          <w:docGrid w:type="lines" w:linePitch="326"/>
        </w:sectPr>
      </w:pPr>
    </w:p>
    <w:p w14:paraId="192AE260" w14:textId="77777777" w:rsidR="009D12AF" w:rsidRDefault="00000000">
      <w:pPr>
        <w:widowControl/>
        <w:ind w:leftChars="200" w:left="480" w:firstLineChars="0" w:firstLine="0"/>
        <w:jc w:val="left"/>
        <w:rPr>
          <w:rFonts w:ascii="Times New Roman" w:eastAsia="宋体" w:hAnsi="Times New Roman" w:cs="Times New Roman"/>
          <w:kern w:val="0"/>
        </w:rPr>
      </w:pPr>
      <w:r>
        <w:rPr>
          <w:rFonts w:ascii="Times New Roman" w:eastAsia="宋体" w:hAnsi="Times New Roman" w:cs="Times New Roman"/>
          <w:kern w:val="0"/>
        </w:rPr>
        <w:lastRenderedPageBreak/>
        <w:t>①</w:t>
      </w:r>
      <w:r>
        <w:rPr>
          <w:rFonts w:ascii="Times New Roman" w:eastAsia="宋体" w:hAnsi="Times New Roman" w:cs="Times New Roman"/>
          <w:kern w:val="0"/>
        </w:rPr>
        <w:t>红松</w:t>
      </w:r>
      <w:r>
        <w:rPr>
          <w:rFonts w:ascii="Times New Roman" w:eastAsia="宋体" w:hAnsi="Times New Roman" w:cs="Times New Roman" w:hint="eastAsia"/>
          <w:kern w:val="0"/>
        </w:rPr>
        <w:t>（</w:t>
      </w:r>
      <w:r>
        <w:rPr>
          <w:rFonts w:ascii="Times New Roman" w:eastAsia="宋体" w:hAnsi="Times New Roman" w:cs="Times New Roman"/>
          <w:i/>
          <w:iCs/>
          <w:kern w:val="0"/>
        </w:rPr>
        <w:t>Larix olgensis A. Henry</w:t>
      </w:r>
      <w:r>
        <w:rPr>
          <w:rFonts w:ascii="Times New Roman" w:eastAsia="宋体" w:hAnsi="Times New Roman" w:cs="Times New Roman" w:hint="eastAsia"/>
          <w:kern w:val="0"/>
        </w:rPr>
        <w:t>）</w:t>
      </w:r>
    </w:p>
    <w:p w14:paraId="1D3B46FB" w14:textId="77777777" w:rsidR="009D12AF" w:rsidRDefault="00000000">
      <w:pPr>
        <w:ind w:firstLineChars="0" w:firstLine="0"/>
        <w:rPr>
          <w:rFonts w:ascii="Times New Roman" w:eastAsia="宋体" w:hAnsi="Times New Roman" w:cs="Times New Roman"/>
          <w:kern w:val="0"/>
          <w:highlight w:val="yellow"/>
        </w:rPr>
      </w:pPr>
      <w:r>
        <w:rPr>
          <w:rFonts w:ascii="Times New Roman" w:eastAsia="宋体" w:hAnsi="Times New Roman" w:cs="Times New Roman" w:hint="eastAsia"/>
          <w:kern w:val="0"/>
        </w:rPr>
        <w:t>红松为国家二级重点保护野生植物，其</w:t>
      </w:r>
      <w:r>
        <w:rPr>
          <w:rFonts w:ascii="Times New Roman" w:eastAsia="宋体" w:hAnsi="Times New Roman" w:cs="Times New Roman"/>
          <w:kern w:val="0"/>
        </w:rPr>
        <w:t>喜光性强，对土壤水分要求较高，不宜过干、过湿的土壤及严寒气候。在温寒多雨，相对湿度较高的气候与深厚肥沃、排水良好的酸性棕色森林土上生长最好。红松属半阳性树种，浅根性，常生于排水良好的湿润山坡上，幼树耐庇荫，对大气湿度较敏感，湿润度在</w:t>
      </w:r>
      <w:r>
        <w:rPr>
          <w:rFonts w:ascii="Times New Roman" w:eastAsia="宋体" w:hAnsi="Times New Roman" w:cs="Times New Roman"/>
          <w:kern w:val="0"/>
        </w:rPr>
        <w:t>0.7</w:t>
      </w:r>
      <w:r>
        <w:rPr>
          <w:rFonts w:ascii="Times New Roman" w:eastAsia="宋体" w:hAnsi="Times New Roman" w:cs="Times New Roman"/>
          <w:kern w:val="0"/>
        </w:rPr>
        <w:t>以上生长良好，在</w:t>
      </w:r>
      <w:r>
        <w:rPr>
          <w:rFonts w:ascii="Times New Roman" w:eastAsia="宋体" w:hAnsi="Times New Roman" w:cs="Times New Roman"/>
          <w:kern w:val="0"/>
        </w:rPr>
        <w:t>0.5</w:t>
      </w:r>
      <w:r>
        <w:rPr>
          <w:rFonts w:ascii="Times New Roman" w:eastAsia="宋体" w:hAnsi="Times New Roman" w:cs="Times New Roman"/>
          <w:kern w:val="0"/>
        </w:rPr>
        <w:t>以下生长不良。</w:t>
      </w:r>
      <w:r>
        <w:rPr>
          <w:rFonts w:ascii="Times New Roman" w:eastAsia="宋体" w:hAnsi="Times New Roman" w:cs="Times New Roman" w:hint="eastAsia"/>
          <w:kern w:val="0"/>
        </w:rPr>
        <w:t>其分布与工程的位置关系见附图</w:t>
      </w:r>
      <w:r>
        <w:rPr>
          <w:rFonts w:ascii="Times New Roman" w:eastAsia="宋体" w:hAnsi="Times New Roman" w:cs="Times New Roman" w:hint="eastAsia"/>
          <w:kern w:val="0"/>
        </w:rPr>
        <w:t>21</w:t>
      </w:r>
      <w:r>
        <w:rPr>
          <w:rFonts w:ascii="Times New Roman" w:eastAsia="宋体" w:hAnsi="Times New Roman" w:cs="Times New Roman" w:hint="eastAsia"/>
          <w:kern w:val="0"/>
        </w:rPr>
        <w:t>。</w:t>
      </w:r>
    </w:p>
    <w:p w14:paraId="061ED751" w14:textId="77777777" w:rsidR="009D12AF" w:rsidRDefault="00000000">
      <w:pPr>
        <w:widowControl/>
        <w:ind w:leftChars="200" w:left="480" w:firstLineChars="0" w:firstLine="0"/>
        <w:jc w:val="left"/>
        <w:rPr>
          <w:rFonts w:ascii="宋体" w:eastAsia="宋体" w:hAnsi="宋体" w:cs="宋体" w:hint="eastAsia"/>
          <w:kern w:val="0"/>
        </w:rPr>
      </w:pPr>
      <w:r>
        <w:rPr>
          <w:rFonts w:ascii="Times New Roman" w:eastAsia="宋体" w:hAnsi="Times New Roman" w:cs="Times New Roman" w:hint="eastAsia"/>
          <w:kern w:val="0"/>
        </w:rPr>
        <w:t>②</w:t>
      </w:r>
      <w:r>
        <w:rPr>
          <w:rFonts w:ascii="宋体" w:eastAsia="宋体" w:hAnsi="宋体" w:cs="宋体" w:hint="eastAsia"/>
          <w:kern w:val="0"/>
        </w:rPr>
        <w:t>樟子松</w:t>
      </w:r>
      <w:r>
        <w:rPr>
          <w:rFonts w:ascii="Times New Roman" w:eastAsia="宋体" w:hAnsi="Times New Roman" w:cs="Times New Roman" w:hint="eastAsia"/>
          <w:kern w:val="0"/>
        </w:rPr>
        <w:t>(</w:t>
      </w:r>
      <w:r>
        <w:rPr>
          <w:rFonts w:ascii="Times New Roman" w:eastAsia="宋体" w:hAnsi="Times New Roman" w:cs="Times New Roman"/>
          <w:i/>
          <w:iCs/>
          <w:kern w:val="0"/>
        </w:rPr>
        <w:t>Pinus sylvestris var. mongholica</w:t>
      </w:r>
      <w:r>
        <w:rPr>
          <w:rFonts w:ascii="Times New Roman" w:eastAsia="宋体" w:hAnsi="Times New Roman" w:cs="Times New Roman"/>
          <w:kern w:val="0"/>
        </w:rPr>
        <w:t>)</w:t>
      </w:r>
    </w:p>
    <w:p w14:paraId="6836E084" w14:textId="77777777" w:rsidR="009D12AF" w:rsidRDefault="00000000">
      <w:pPr>
        <w:ind w:firstLine="480"/>
        <w:rPr>
          <w:rFonts w:ascii="Times New Roman" w:eastAsia="宋体" w:hAnsi="Times New Roman" w:cs="Times New Roman"/>
          <w:kern w:val="0"/>
        </w:rPr>
      </w:pPr>
      <w:r>
        <w:rPr>
          <w:rFonts w:ascii="宋体" w:eastAsia="宋体" w:hAnsi="宋体" w:cs="宋体" w:hint="eastAsia"/>
          <w:kern w:val="0"/>
        </w:rPr>
        <w:t>樟子松为《中国生物多样性红色名录》中易危的物种。樟子松喜光性极强，属于强阳性树种，在全光照条件下生长最为旺盛，即使在幼苗阶段也不需要过多庇荫。对土壤的适应性较强，既能在干燥贫瘠的风沙土、砾质土中扎根生长，也能耐受轻度盐碱土，但不耐水涝，若土壤长期积水易导致根系腐烂。在气候方面，樟子松具有极强的抗寒能力，能耐受</w:t>
      </w:r>
      <w:r>
        <w:rPr>
          <w:rFonts w:ascii="Times New Roman" w:eastAsia="宋体" w:hAnsi="Times New Roman" w:cs="Times New Roman"/>
          <w:kern w:val="0"/>
        </w:rPr>
        <w:t>-40℃</w:t>
      </w:r>
      <w:r>
        <w:rPr>
          <w:rFonts w:ascii="宋体" w:eastAsia="宋体" w:hAnsi="宋体" w:cs="宋体"/>
          <w:kern w:val="0"/>
        </w:rPr>
        <w:t>以下的严寒低温，同时也耐干旱，适合在干旱少雨、昼夜温差较大的温带大陆性气候区生长。樟子松为深根性树种，主根发达，侧根延伸范围广，能深入地下吸收水分和养分，因此具有良好的防风固沙能力，常生于沙丘、沙岗</w:t>
      </w:r>
      <w:r>
        <w:rPr>
          <w:rFonts w:ascii="宋体" w:eastAsia="宋体" w:hAnsi="宋体" w:cs="宋体" w:hint="eastAsia"/>
          <w:kern w:val="0"/>
        </w:rPr>
        <w:t>及干燥的山坡地带。它对大气湿度要求不高，在空气相对湿度</w:t>
      </w:r>
      <w:r>
        <w:rPr>
          <w:rFonts w:ascii="Times New Roman" w:eastAsia="宋体" w:hAnsi="Times New Roman" w:cs="Times New Roman"/>
          <w:kern w:val="0"/>
        </w:rPr>
        <w:t>0.4-0.6</w:t>
      </w:r>
      <w:r>
        <w:rPr>
          <w:rFonts w:ascii="宋体" w:eastAsia="宋体" w:hAnsi="宋体" w:cs="宋体"/>
          <w:kern w:val="0"/>
        </w:rPr>
        <w:t>的环境中均能正常生长，即使在气候较为干燥的沙漠边缘地带，只要土壤有一定湿度，也能维持生长态势。</w:t>
      </w:r>
      <w:r>
        <w:rPr>
          <w:rFonts w:ascii="Times New Roman" w:eastAsia="宋体" w:hAnsi="Times New Roman" w:cs="Times New Roman" w:hint="eastAsia"/>
          <w:kern w:val="0"/>
        </w:rPr>
        <w:t>其分布与工程的位置关系见附图</w:t>
      </w:r>
      <w:r>
        <w:rPr>
          <w:rFonts w:ascii="Times New Roman" w:eastAsia="宋体" w:hAnsi="Times New Roman" w:cs="Times New Roman" w:hint="eastAsia"/>
          <w:kern w:val="0"/>
        </w:rPr>
        <w:t>11</w:t>
      </w:r>
      <w:r>
        <w:rPr>
          <w:rFonts w:ascii="Times New Roman" w:eastAsia="宋体" w:hAnsi="Times New Roman" w:cs="Times New Roman" w:hint="eastAsia"/>
          <w:kern w:val="0"/>
        </w:rPr>
        <w:t>。</w:t>
      </w:r>
    </w:p>
    <w:p w14:paraId="1C501A99" w14:textId="77777777" w:rsidR="009D12AF" w:rsidRDefault="00000000">
      <w:pPr>
        <w:widowControl/>
        <w:ind w:leftChars="200" w:left="480" w:firstLineChars="0" w:firstLine="0"/>
        <w:jc w:val="left"/>
        <w:rPr>
          <w:rFonts w:ascii="宋体" w:eastAsia="宋体" w:hAnsi="宋体" w:cs="宋体" w:hint="eastAsia"/>
          <w:kern w:val="0"/>
        </w:rPr>
      </w:pPr>
      <w:r>
        <w:rPr>
          <w:rFonts w:ascii="Times New Roman" w:eastAsia="宋体" w:hAnsi="Times New Roman" w:cs="Times New Roman" w:hint="eastAsia"/>
          <w:kern w:val="0"/>
        </w:rPr>
        <w:t>③</w:t>
      </w:r>
      <w:r>
        <w:rPr>
          <w:rFonts w:ascii="宋体" w:eastAsia="宋体" w:hAnsi="宋体" w:cs="宋体"/>
          <w:kern w:val="0"/>
        </w:rPr>
        <w:t>黄檗</w:t>
      </w:r>
      <w:r>
        <w:rPr>
          <w:rFonts w:ascii="宋体" w:eastAsia="宋体" w:hAnsi="宋体" w:cs="宋体" w:hint="eastAsia"/>
          <w:kern w:val="0"/>
        </w:rPr>
        <w:t>（</w:t>
      </w:r>
      <w:r>
        <w:rPr>
          <w:rFonts w:ascii="Times New Roman" w:eastAsia="宋体" w:hAnsi="Times New Roman" w:cs="Times New Roman"/>
          <w:i/>
          <w:iCs/>
          <w:kern w:val="0"/>
        </w:rPr>
        <w:t>Phellodendron amurense Rupr</w:t>
      </w:r>
      <w:r>
        <w:rPr>
          <w:rFonts w:ascii="宋体" w:eastAsia="宋体" w:hAnsi="宋体" w:cs="宋体" w:hint="eastAsia"/>
          <w:kern w:val="0"/>
        </w:rPr>
        <w:t>）</w:t>
      </w:r>
    </w:p>
    <w:p w14:paraId="48190F9C" w14:textId="77777777" w:rsidR="009D12AF" w:rsidRDefault="00000000">
      <w:pPr>
        <w:ind w:firstLine="480"/>
        <w:rPr>
          <w:rFonts w:ascii="宋体" w:eastAsia="宋体" w:hAnsi="宋体" w:cs="宋体" w:hint="eastAsia"/>
          <w:kern w:val="0"/>
        </w:rPr>
      </w:pPr>
      <w:r>
        <w:rPr>
          <w:rFonts w:ascii="宋体" w:eastAsia="宋体" w:hAnsi="宋体" w:cs="宋体" w:hint="eastAsia"/>
          <w:kern w:val="0"/>
        </w:rPr>
        <w:t xml:space="preserve">国家二级重点保护野生植物、《中国生物多样性红色名录》中列为易危的物种， </w:t>
      </w:r>
      <w:r>
        <w:rPr>
          <w:rFonts w:ascii="宋体" w:eastAsia="宋体" w:hAnsi="宋体" w:cs="宋体"/>
          <w:kern w:val="0"/>
        </w:rPr>
        <w:t>多生于山地杂木林中或山区河谷沿岸。适应性强，喜阳光，耐严寒，宜于平原或低丘陵坡地、路旁、住宅旁及溪河附近水土较好的地方种植。主要分布区位于</w:t>
      </w:r>
      <w:hyperlink r:id="rId159" w:tgtFrame="_blank" w:history="1">
        <w:r>
          <w:rPr>
            <w:rFonts w:ascii="宋体" w:eastAsia="宋体" w:hAnsi="宋体" w:cs="宋体"/>
            <w:kern w:val="0"/>
          </w:rPr>
          <w:t>寒温带</w:t>
        </w:r>
      </w:hyperlink>
      <w:r>
        <w:rPr>
          <w:rFonts w:ascii="宋体" w:eastAsia="宋体" w:hAnsi="宋体" w:cs="宋体"/>
          <w:kern w:val="0"/>
        </w:rPr>
        <w:t>针叶林区和温带针阔叶混交林区。为湿润型季风气候，冬夏温差大，冬季长而寒冷，极端最低温约</w:t>
      </w:r>
      <w:r>
        <w:rPr>
          <w:rFonts w:ascii="Times New Roman" w:eastAsia="宋体" w:hAnsi="Times New Roman" w:cs="Times New Roman"/>
          <w:kern w:val="0"/>
        </w:rPr>
        <w:t>-40℃</w:t>
      </w:r>
      <w:r>
        <w:rPr>
          <w:rFonts w:ascii="宋体" w:eastAsia="宋体" w:hAnsi="宋体" w:cs="宋体"/>
          <w:kern w:val="0"/>
        </w:rPr>
        <w:t>，夏季较热，年降水量</w:t>
      </w:r>
      <w:r>
        <w:rPr>
          <w:rFonts w:ascii="Times New Roman" w:eastAsia="宋体" w:hAnsi="Times New Roman" w:cs="Times New Roman"/>
          <w:kern w:val="0"/>
        </w:rPr>
        <w:t>400</w:t>
      </w:r>
      <w:r>
        <w:rPr>
          <w:rFonts w:ascii="Times New Roman" w:eastAsia="宋体" w:hAnsi="Times New Roman" w:cs="Times New Roman"/>
          <w:kern w:val="0"/>
        </w:rPr>
        <w:t>～</w:t>
      </w:r>
      <w:r>
        <w:rPr>
          <w:rFonts w:ascii="Times New Roman" w:eastAsia="宋体" w:hAnsi="Times New Roman" w:cs="Times New Roman"/>
          <w:kern w:val="0"/>
        </w:rPr>
        <w:t>800</w:t>
      </w:r>
      <w:r>
        <w:rPr>
          <w:rFonts w:ascii="宋体" w:eastAsia="宋体" w:hAnsi="宋体" w:cs="宋体"/>
          <w:kern w:val="0"/>
        </w:rPr>
        <w:t>毫米。对土壤适应性较强，适生于土层深厚、湿润、通气良好的、含腐殖质丰富的中性或微酸性壤质土。在河谷两侧的冲积土上生长最好，在</w:t>
      </w:r>
      <w:hyperlink r:id="rId160" w:tgtFrame="_blank" w:history="1">
        <w:r>
          <w:rPr>
            <w:rFonts w:ascii="宋体" w:eastAsia="宋体" w:hAnsi="宋体" w:cs="宋体"/>
            <w:kern w:val="0"/>
          </w:rPr>
          <w:t>沼泽地</w:t>
        </w:r>
      </w:hyperlink>
      <w:r>
        <w:rPr>
          <w:rFonts w:ascii="宋体" w:eastAsia="宋体" w:hAnsi="宋体" w:cs="宋体"/>
          <w:kern w:val="0"/>
        </w:rPr>
        <w:t>、</w:t>
      </w:r>
      <w:hyperlink r:id="rId161" w:tgtFrame="_blank" w:history="1">
        <w:r>
          <w:rPr>
            <w:rFonts w:ascii="宋体" w:eastAsia="宋体" w:hAnsi="宋体" w:cs="宋体"/>
            <w:kern w:val="0"/>
          </w:rPr>
          <w:t>粘土</w:t>
        </w:r>
      </w:hyperlink>
      <w:r>
        <w:rPr>
          <w:rFonts w:ascii="宋体" w:eastAsia="宋体" w:hAnsi="宋体" w:cs="宋体"/>
          <w:kern w:val="0"/>
        </w:rPr>
        <w:t>上和瘠薄的土地上生长不良。黄檗在东北林区，常散生在河谷及山地中下部的阔叶林或</w:t>
      </w:r>
      <w:hyperlink r:id="rId162" w:tgtFrame="_blank" w:history="1">
        <w:r>
          <w:rPr>
            <w:rFonts w:ascii="宋体" w:eastAsia="宋体" w:hAnsi="宋体" w:cs="宋体"/>
            <w:kern w:val="0"/>
          </w:rPr>
          <w:t>红松</w:t>
        </w:r>
      </w:hyperlink>
      <w:r>
        <w:rPr>
          <w:rFonts w:ascii="宋体" w:eastAsia="宋体" w:hAnsi="宋体" w:cs="宋体"/>
          <w:kern w:val="0"/>
        </w:rPr>
        <w:t>、云杉针阔叶混交林中</w:t>
      </w:r>
      <w:r>
        <w:rPr>
          <w:rFonts w:ascii="宋体" w:eastAsia="宋体" w:hAnsi="宋体" w:cs="宋体" w:hint="eastAsia"/>
          <w:kern w:val="0"/>
        </w:rPr>
        <w:t>。其分布与工程的位置关系见</w:t>
      </w:r>
      <w:r>
        <w:rPr>
          <w:rFonts w:ascii="Times New Roman" w:eastAsia="宋体" w:hAnsi="Times New Roman" w:cs="Times New Roman" w:hint="eastAsia"/>
          <w:kern w:val="0"/>
        </w:rPr>
        <w:t>附图</w:t>
      </w:r>
      <w:r>
        <w:rPr>
          <w:rFonts w:ascii="Times New Roman" w:eastAsia="宋体" w:hAnsi="Times New Roman" w:cs="Times New Roman" w:hint="eastAsia"/>
          <w:kern w:val="0"/>
        </w:rPr>
        <w:t>11</w:t>
      </w:r>
      <w:r>
        <w:rPr>
          <w:rFonts w:ascii="宋体" w:eastAsia="宋体" w:hAnsi="宋体" w:cs="宋体" w:hint="eastAsia"/>
          <w:kern w:val="0"/>
        </w:rPr>
        <w:t>。</w:t>
      </w:r>
    </w:p>
    <w:p w14:paraId="0478BE13" w14:textId="77777777" w:rsidR="009D12AF" w:rsidRDefault="00000000">
      <w:pPr>
        <w:widowControl/>
        <w:ind w:leftChars="200" w:left="480" w:firstLineChars="0" w:firstLine="0"/>
        <w:jc w:val="left"/>
        <w:rPr>
          <w:rFonts w:ascii="Times New Roman" w:eastAsia="宋体" w:hAnsi="Times New Roman" w:cs="Times New Roman"/>
          <w:kern w:val="0"/>
        </w:rPr>
      </w:pPr>
      <w:r>
        <w:rPr>
          <w:rFonts w:ascii="宋体" w:eastAsia="宋体" w:hAnsi="宋体" w:cs="宋体" w:hint="eastAsia"/>
          <w:kern w:val="0"/>
        </w:rPr>
        <w:lastRenderedPageBreak/>
        <w:t>④水曲柳</w:t>
      </w:r>
      <w:r>
        <w:rPr>
          <w:rFonts w:ascii="Times New Roman" w:eastAsia="宋体" w:hAnsi="Times New Roman" w:cs="Times New Roman" w:hint="eastAsia"/>
          <w:kern w:val="0"/>
        </w:rPr>
        <w:t>(</w:t>
      </w:r>
      <w:r>
        <w:rPr>
          <w:rFonts w:ascii="Times New Roman" w:eastAsia="宋体" w:hAnsi="Times New Roman" w:cs="Times New Roman"/>
          <w:i/>
          <w:iCs/>
          <w:kern w:val="0"/>
        </w:rPr>
        <w:t>Fraxinus mandshurica</w:t>
      </w:r>
      <w:r>
        <w:rPr>
          <w:rFonts w:ascii="Times New Roman" w:eastAsia="宋体" w:hAnsi="Times New Roman" w:cs="Times New Roman"/>
          <w:kern w:val="0"/>
        </w:rPr>
        <w:t> Rupr)</w:t>
      </w:r>
    </w:p>
    <w:p w14:paraId="27208FAF" w14:textId="77777777" w:rsidR="009D12AF" w:rsidRDefault="00000000">
      <w:pPr>
        <w:ind w:firstLine="480"/>
        <w:rPr>
          <w:rFonts w:ascii="宋体" w:eastAsia="宋体" w:hAnsi="宋体" w:cs="宋体" w:hint="eastAsia"/>
          <w:kern w:val="0"/>
        </w:rPr>
      </w:pPr>
      <w:r>
        <w:rPr>
          <w:rFonts w:ascii="Times New Roman" w:eastAsia="宋体" w:hAnsi="Times New Roman" w:cs="Times New Roman" w:hint="eastAsia"/>
          <w:kern w:val="0"/>
        </w:rPr>
        <w:t>水曲柳为国家二级重点保护野生植物，</w:t>
      </w:r>
      <w:r>
        <w:rPr>
          <w:rFonts w:ascii="Times New Roman" w:eastAsia="宋体" w:hAnsi="Times New Roman" w:cs="Times New Roman"/>
          <w:kern w:val="0"/>
        </w:rPr>
        <w:t>生存于海拔</w:t>
      </w:r>
      <w:r>
        <w:rPr>
          <w:rFonts w:ascii="Times New Roman" w:eastAsia="宋体" w:hAnsi="Times New Roman" w:cs="Times New Roman"/>
          <w:kern w:val="0"/>
        </w:rPr>
        <w:t>700-2100</w:t>
      </w:r>
      <w:r>
        <w:rPr>
          <w:rFonts w:ascii="Times New Roman" w:eastAsia="宋体" w:hAnsi="Times New Roman" w:cs="Times New Roman"/>
          <w:kern w:val="0"/>
        </w:rPr>
        <w:t>米的山坡疏林中或河谷平缓山地</w:t>
      </w:r>
      <w:r>
        <w:rPr>
          <w:rFonts w:ascii="Times New Roman" w:eastAsia="宋体" w:hAnsi="Times New Roman" w:cs="Times New Roman" w:hint="eastAsia"/>
          <w:kern w:val="0"/>
        </w:rPr>
        <w:t>。</w:t>
      </w:r>
      <w:r>
        <w:rPr>
          <w:rFonts w:ascii="Times New Roman" w:eastAsia="宋体" w:hAnsi="Times New Roman" w:cs="Times New Roman"/>
          <w:kern w:val="0"/>
        </w:rPr>
        <w:t>水曲柳是东北东部山地天然次生林的优良混交组分，红松阔叶林的主要建群树种之一。综合土壤温度、土壤含水率、林内乔木树种组成以及树木长势来看，水曲柳</w:t>
      </w:r>
      <w:hyperlink r:id="rId163" w:tgtFrame="_blank" w:history="1">
        <w:r>
          <w:rPr>
            <w:rFonts w:ascii="Times New Roman" w:eastAsia="宋体" w:hAnsi="Times New Roman" w:cs="Times New Roman"/>
            <w:kern w:val="0"/>
          </w:rPr>
          <w:t>适合</w:t>
        </w:r>
      </w:hyperlink>
      <w:r>
        <w:rPr>
          <w:rFonts w:ascii="Times New Roman" w:eastAsia="宋体" w:hAnsi="Times New Roman" w:cs="Times New Roman"/>
          <w:kern w:val="0"/>
        </w:rPr>
        <w:t>生长在土壤温度较低、含水率偏高的下坡位。</w:t>
      </w:r>
      <w:r>
        <w:rPr>
          <w:rFonts w:ascii="Times New Roman" w:eastAsia="宋体" w:hAnsi="Times New Roman" w:cs="Times New Roman" w:hint="eastAsia"/>
          <w:kern w:val="0"/>
        </w:rPr>
        <w:t>其分布与工程的位置关系见附图</w:t>
      </w:r>
      <w:r>
        <w:rPr>
          <w:rFonts w:ascii="Times New Roman" w:eastAsia="宋体" w:hAnsi="Times New Roman" w:cs="Times New Roman" w:hint="eastAsia"/>
          <w:kern w:val="0"/>
        </w:rPr>
        <w:t>11</w:t>
      </w:r>
      <w:r>
        <w:rPr>
          <w:rFonts w:ascii="Times New Roman" w:eastAsia="宋体" w:hAnsi="Times New Roman" w:cs="Times New Roman" w:hint="eastAsia"/>
          <w:kern w:val="0"/>
        </w:rPr>
        <w:t>。</w:t>
      </w:r>
    </w:p>
    <w:p w14:paraId="2734E991" w14:textId="77777777" w:rsidR="009D12AF" w:rsidRDefault="00000000">
      <w:pPr>
        <w:ind w:firstLine="480"/>
        <w:rPr>
          <w:rFonts w:ascii="宋体" w:eastAsia="宋体" w:hAnsi="宋体" w:cs="宋体" w:hint="eastAsia"/>
          <w:kern w:val="0"/>
        </w:rPr>
      </w:pPr>
      <w:r>
        <w:rPr>
          <w:rFonts w:ascii="宋体" w:eastAsia="宋体" w:hAnsi="宋体" w:cs="宋体" w:hint="eastAsia"/>
          <w:kern w:val="0"/>
        </w:rPr>
        <w:t>（2）名树古树</w:t>
      </w:r>
    </w:p>
    <w:p w14:paraId="33F133F9" w14:textId="77777777" w:rsidR="009D12AF" w:rsidRDefault="00000000">
      <w:pPr>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依据现场调查资料，比对《黑龙江省古树名木资源保护规划（</w:t>
      </w:r>
      <w:r>
        <w:rPr>
          <w:rFonts w:ascii="Times New Roman" w:eastAsia="宋体" w:hAnsi="Times New Roman" w:cs="Times New Roman" w:hint="eastAsia"/>
          <w:kern w:val="0"/>
          <w:szCs w:val="20"/>
        </w:rPr>
        <w:t>2020-2029</w:t>
      </w:r>
      <w:r>
        <w:rPr>
          <w:rFonts w:ascii="Times New Roman" w:eastAsia="宋体" w:hAnsi="Times New Roman" w:cs="Times New Roman" w:hint="eastAsia"/>
          <w:kern w:val="0"/>
          <w:szCs w:val="20"/>
        </w:rPr>
        <w:t>年）》，评价范围内未发现古树名木。</w:t>
      </w:r>
    </w:p>
    <w:p w14:paraId="47639832" w14:textId="77777777" w:rsidR="009D12AF" w:rsidRDefault="00000000">
      <w:pPr>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w:t>
      </w:r>
      <w:r>
        <w:rPr>
          <w:rFonts w:ascii="Times New Roman" w:eastAsia="宋体" w:hAnsi="Times New Roman" w:cs="Times New Roman" w:hint="eastAsia"/>
          <w:kern w:val="0"/>
          <w:szCs w:val="20"/>
        </w:rPr>
        <w:t>3</w:t>
      </w:r>
      <w:r>
        <w:rPr>
          <w:rFonts w:ascii="Times New Roman" w:eastAsia="宋体" w:hAnsi="Times New Roman" w:cs="Times New Roman" w:hint="eastAsia"/>
          <w:kern w:val="0"/>
          <w:szCs w:val="20"/>
        </w:rPr>
        <w:t>）外来入侵种</w:t>
      </w:r>
    </w:p>
    <w:p w14:paraId="52D28D9B" w14:textId="77777777" w:rsidR="009D12AF" w:rsidRDefault="00000000">
      <w:pPr>
        <w:ind w:firstLine="480"/>
        <w:rPr>
          <w:rFonts w:ascii="Times New Roman" w:eastAsia="宋体" w:hAnsi="Times New Roman" w:cs="Times New Roman"/>
          <w:kern w:val="0"/>
        </w:rPr>
      </w:pPr>
      <w:r>
        <w:rPr>
          <w:rFonts w:ascii="Times New Roman" w:eastAsia="宋体" w:hAnsi="Times New Roman" w:cs="Times New Roman"/>
          <w:kern w:val="0"/>
        </w:rPr>
        <w:t>依据《中国外来入侵物种名单》</w:t>
      </w:r>
      <w:r>
        <w:rPr>
          <w:rFonts w:ascii="Times New Roman" w:eastAsia="宋体" w:hAnsi="Times New Roman" w:cs="Times New Roman"/>
          <w:kern w:val="0"/>
        </w:rPr>
        <w:t>(</w:t>
      </w:r>
      <w:r>
        <w:rPr>
          <w:rFonts w:ascii="Times New Roman" w:eastAsia="宋体" w:hAnsi="Times New Roman" w:cs="Times New Roman"/>
          <w:kern w:val="0"/>
        </w:rPr>
        <w:t>第一批，</w:t>
      </w:r>
      <w:r>
        <w:rPr>
          <w:rFonts w:ascii="Times New Roman" w:eastAsia="宋体" w:hAnsi="Times New Roman" w:cs="Times New Roman"/>
          <w:kern w:val="0"/>
        </w:rPr>
        <w:t xml:space="preserve">2003 </w:t>
      </w:r>
      <w:r>
        <w:rPr>
          <w:rFonts w:ascii="Times New Roman" w:eastAsia="宋体" w:hAnsi="Times New Roman" w:cs="Times New Roman"/>
          <w:kern w:val="0"/>
        </w:rPr>
        <w:t>年</w:t>
      </w:r>
      <w:r>
        <w:rPr>
          <w:rFonts w:ascii="Times New Roman" w:eastAsia="宋体" w:hAnsi="Times New Roman" w:cs="Times New Roman"/>
          <w:kern w:val="0"/>
        </w:rPr>
        <w:t>)</w:t>
      </w:r>
      <w:r>
        <w:rPr>
          <w:rFonts w:ascii="Times New Roman" w:eastAsia="宋体" w:hAnsi="Times New Roman" w:cs="Times New Roman"/>
          <w:kern w:val="0"/>
        </w:rPr>
        <w:t>、《中国外来入侵物种名单》</w:t>
      </w:r>
      <w:r>
        <w:rPr>
          <w:rFonts w:ascii="Times New Roman" w:eastAsia="宋体" w:hAnsi="Times New Roman" w:cs="Times New Roman"/>
          <w:kern w:val="0"/>
        </w:rPr>
        <w:t xml:space="preserve"> (</w:t>
      </w:r>
      <w:r>
        <w:rPr>
          <w:rFonts w:ascii="Times New Roman" w:eastAsia="宋体" w:hAnsi="Times New Roman" w:cs="Times New Roman"/>
          <w:kern w:val="0"/>
        </w:rPr>
        <w:t>第二批，</w:t>
      </w:r>
      <w:r>
        <w:rPr>
          <w:rFonts w:ascii="Times New Roman" w:eastAsia="宋体" w:hAnsi="Times New Roman" w:cs="Times New Roman"/>
          <w:kern w:val="0"/>
        </w:rPr>
        <w:t xml:space="preserve">2010 </w:t>
      </w:r>
      <w:r>
        <w:rPr>
          <w:rFonts w:ascii="Times New Roman" w:eastAsia="宋体" w:hAnsi="Times New Roman" w:cs="Times New Roman"/>
          <w:kern w:val="0"/>
        </w:rPr>
        <w:t>年</w:t>
      </w:r>
      <w:r>
        <w:rPr>
          <w:rFonts w:ascii="Times New Roman" w:eastAsia="宋体" w:hAnsi="Times New Roman" w:cs="Times New Roman"/>
          <w:kern w:val="0"/>
        </w:rPr>
        <w:t>)</w:t>
      </w:r>
      <w:r>
        <w:rPr>
          <w:rFonts w:ascii="Times New Roman" w:eastAsia="宋体" w:hAnsi="Times New Roman" w:cs="Times New Roman"/>
          <w:kern w:val="0"/>
        </w:rPr>
        <w:t>、《中国外来入侵物种名单》</w:t>
      </w:r>
      <w:r>
        <w:rPr>
          <w:rFonts w:ascii="Times New Roman" w:eastAsia="宋体" w:hAnsi="Times New Roman" w:cs="Times New Roman"/>
          <w:kern w:val="0"/>
        </w:rPr>
        <w:t>(</w:t>
      </w:r>
      <w:r>
        <w:rPr>
          <w:rFonts w:ascii="Times New Roman" w:eastAsia="宋体" w:hAnsi="Times New Roman" w:cs="Times New Roman"/>
          <w:kern w:val="0"/>
        </w:rPr>
        <w:t>第三批，</w:t>
      </w:r>
      <w:r>
        <w:rPr>
          <w:rFonts w:ascii="Times New Roman" w:eastAsia="宋体" w:hAnsi="Times New Roman" w:cs="Times New Roman"/>
          <w:kern w:val="0"/>
        </w:rPr>
        <w:t xml:space="preserve">2014 </w:t>
      </w:r>
      <w:r>
        <w:rPr>
          <w:rFonts w:ascii="Times New Roman" w:eastAsia="宋体" w:hAnsi="Times New Roman" w:cs="Times New Roman"/>
          <w:kern w:val="0"/>
        </w:rPr>
        <w:t>年</w:t>
      </w:r>
      <w:r>
        <w:rPr>
          <w:rFonts w:ascii="Times New Roman" w:eastAsia="宋体" w:hAnsi="Times New Roman" w:cs="Times New Roman"/>
          <w:kern w:val="0"/>
        </w:rPr>
        <w:t>)</w:t>
      </w:r>
      <w:r>
        <w:rPr>
          <w:rFonts w:ascii="Times New Roman" w:eastAsia="宋体" w:hAnsi="Times New Roman" w:cs="Times New Roman"/>
          <w:kern w:val="0"/>
        </w:rPr>
        <w:t>、《中国外来入侵物种名单》</w:t>
      </w:r>
      <w:r>
        <w:rPr>
          <w:rFonts w:ascii="Times New Roman" w:eastAsia="宋体" w:hAnsi="Times New Roman" w:cs="Times New Roman"/>
          <w:kern w:val="0"/>
        </w:rPr>
        <w:t>(</w:t>
      </w:r>
      <w:r>
        <w:rPr>
          <w:rFonts w:ascii="Times New Roman" w:eastAsia="宋体" w:hAnsi="Times New Roman" w:cs="Times New Roman"/>
          <w:kern w:val="0"/>
        </w:rPr>
        <w:t>第四批，</w:t>
      </w:r>
      <w:r>
        <w:rPr>
          <w:rFonts w:ascii="Times New Roman" w:eastAsia="宋体" w:hAnsi="Times New Roman" w:cs="Times New Roman"/>
          <w:kern w:val="0"/>
        </w:rPr>
        <w:t xml:space="preserve">2016 </w:t>
      </w:r>
      <w:r>
        <w:rPr>
          <w:rFonts w:ascii="Times New Roman" w:eastAsia="宋体" w:hAnsi="Times New Roman" w:cs="Times New Roman"/>
          <w:kern w:val="0"/>
        </w:rPr>
        <w:t>年</w:t>
      </w:r>
      <w:r>
        <w:rPr>
          <w:rFonts w:ascii="Times New Roman" w:eastAsia="宋体" w:hAnsi="Times New Roman" w:cs="Times New Roman"/>
          <w:kern w:val="0"/>
        </w:rPr>
        <w:t>)</w:t>
      </w:r>
      <w:r>
        <w:rPr>
          <w:rFonts w:ascii="Times New Roman" w:eastAsia="宋体" w:hAnsi="Times New Roman" w:cs="Times New Roman"/>
          <w:kern w:val="0"/>
        </w:rPr>
        <w:t>、《中国外来入侵种》</w:t>
      </w:r>
      <w:r>
        <w:rPr>
          <w:rFonts w:ascii="Times New Roman" w:eastAsia="宋体" w:hAnsi="Times New Roman" w:cs="Times New Roman"/>
          <w:kern w:val="0"/>
        </w:rPr>
        <w:t>(</w:t>
      </w:r>
      <w:r>
        <w:rPr>
          <w:rFonts w:ascii="Times New Roman" w:eastAsia="宋体" w:hAnsi="Times New Roman" w:cs="Times New Roman"/>
          <w:kern w:val="0"/>
        </w:rPr>
        <w:t>李振宇与解焱，</w:t>
      </w:r>
      <w:r>
        <w:rPr>
          <w:rFonts w:ascii="Times New Roman" w:eastAsia="宋体" w:hAnsi="Times New Roman" w:cs="Times New Roman"/>
          <w:kern w:val="0"/>
        </w:rPr>
        <w:t>2002)</w:t>
      </w:r>
      <w:r>
        <w:rPr>
          <w:rFonts w:ascii="Times New Roman" w:eastAsia="宋体" w:hAnsi="Times New Roman" w:cs="Times New Roman"/>
          <w:kern w:val="0"/>
        </w:rPr>
        <w:t>、《重点管理外来入侵物种名录》</w:t>
      </w:r>
      <w:r>
        <w:rPr>
          <w:rFonts w:ascii="Times New Roman" w:eastAsia="宋体" w:hAnsi="Times New Roman" w:cs="Times New Roman"/>
          <w:kern w:val="0"/>
        </w:rPr>
        <w:t xml:space="preserve">(2023 </w:t>
      </w:r>
      <w:r>
        <w:rPr>
          <w:rFonts w:ascii="Times New Roman" w:eastAsia="宋体" w:hAnsi="Times New Roman" w:cs="Times New Roman"/>
          <w:kern w:val="0"/>
        </w:rPr>
        <w:t>年</w:t>
      </w:r>
      <w:r>
        <w:rPr>
          <w:rFonts w:ascii="Times New Roman" w:eastAsia="宋体" w:hAnsi="Times New Roman" w:cs="Times New Roman"/>
          <w:kern w:val="0"/>
        </w:rPr>
        <w:t>)</w:t>
      </w:r>
      <w:r>
        <w:rPr>
          <w:rFonts w:ascii="Times New Roman" w:eastAsia="宋体" w:hAnsi="Times New Roman" w:cs="Times New Roman" w:hint="eastAsia"/>
          <w:kern w:val="0"/>
        </w:rPr>
        <w:t>及</w:t>
      </w:r>
      <w:r>
        <w:rPr>
          <w:rFonts w:ascii="Times New Roman" w:eastAsia="宋体" w:hAnsi="Times New Roman" w:cs="Times New Roman"/>
          <w:kern w:val="0"/>
        </w:rPr>
        <w:t>现场实地调查并结合沿线生态敏感区相关调查报告、总体规划报告及沿线区域科研文献资料，评价范围内未发现外来入侵植物。</w:t>
      </w:r>
    </w:p>
    <w:p w14:paraId="728F4C2C" w14:textId="77777777" w:rsidR="009D12AF" w:rsidRDefault="00000000">
      <w:pPr>
        <w:pStyle w:val="4"/>
        <w:ind w:firstLineChars="0" w:firstLine="0"/>
      </w:pPr>
      <w:r>
        <w:rPr>
          <w:rFonts w:hint="eastAsia"/>
        </w:rPr>
        <w:t>4.3.7.6</w:t>
      </w:r>
      <w:r>
        <w:rPr>
          <w:rFonts w:hint="eastAsia"/>
        </w:rPr>
        <w:t>群力水库陆生动物现状调查与评价</w:t>
      </w:r>
    </w:p>
    <w:p w14:paraId="7E6A1E27" w14:textId="77777777" w:rsidR="009D12AF" w:rsidRDefault="00000000">
      <w:pPr>
        <w:ind w:firstLine="480"/>
      </w:pPr>
      <w:r>
        <w:rPr>
          <w:rFonts w:hint="eastAsia"/>
        </w:rPr>
        <w:t>一、生态系统组成</w:t>
      </w:r>
    </w:p>
    <w:p w14:paraId="4813CD35" w14:textId="77777777" w:rsidR="009D12AF" w:rsidRDefault="00000000">
      <w:pPr>
        <w:adjustRightInd w:val="0"/>
        <w:snapToGrid w:val="0"/>
        <w:ind w:firstLine="480"/>
        <w:jc w:val="left"/>
        <w:rPr>
          <w:rFonts w:ascii="Times New Roman" w:eastAsia="宋体" w:hAnsi="Times New Roman" w:cs="Times New Roman"/>
          <w:kern w:val="0"/>
          <w:szCs w:val="20"/>
        </w:rPr>
      </w:pPr>
      <w:r>
        <w:rPr>
          <w:rFonts w:ascii="Times New Roman" w:eastAsia="宋体" w:hAnsi="Times New Roman" w:cs="Times New Roman"/>
          <w:kern w:val="0"/>
          <w:szCs w:val="20"/>
        </w:rPr>
        <w:t>评价范围内生态系统由自然生态系统和人工生态系统组成，具体包括森林生态系统、湿地生态系统、农田生态系统和城镇生态系统。</w:t>
      </w:r>
      <w:r>
        <w:rPr>
          <w:rFonts w:ascii="Times New Roman" w:eastAsia="宋体" w:hAnsi="Times New Roman" w:cs="Times New Roman" w:hint="eastAsia"/>
          <w:kern w:val="0"/>
          <w:szCs w:val="20"/>
        </w:rPr>
        <w:t>群力水库</w:t>
      </w:r>
      <w:r>
        <w:rPr>
          <w:rFonts w:ascii="Times New Roman" w:eastAsia="宋体" w:hAnsi="Times New Roman" w:cs="Times New Roman"/>
          <w:kern w:val="0"/>
          <w:szCs w:val="20"/>
        </w:rPr>
        <w:t>工程建设占地只涉及临时占地，主要包括居住区、淤泥堆放区、机械设备停放区、施工便道，面积共计</w:t>
      </w:r>
      <w:r>
        <w:rPr>
          <w:rFonts w:ascii="Times New Roman" w:eastAsia="宋体" w:hAnsi="Times New Roman" w:cs="Times New Roman"/>
          <w:kern w:val="0"/>
          <w:szCs w:val="20"/>
        </w:rPr>
        <w:t>1.26hm²</w:t>
      </w:r>
      <w:r>
        <w:rPr>
          <w:rFonts w:ascii="Times New Roman" w:eastAsia="宋体" w:hAnsi="Times New Roman" w:cs="Times New Roman"/>
          <w:kern w:val="0"/>
          <w:szCs w:val="20"/>
        </w:rPr>
        <w:t>。临时占地区域会进行耕地恢复，转变为农田生态系统。</w:t>
      </w:r>
    </w:p>
    <w:p w14:paraId="3AB43AA7" w14:textId="77777777" w:rsidR="009D12AF" w:rsidRDefault="00000000">
      <w:pPr>
        <w:ind w:firstLine="480"/>
      </w:pPr>
      <w:r>
        <w:rPr>
          <w:rFonts w:hint="eastAsia"/>
        </w:rPr>
        <w:t>二、区系特征分析</w:t>
      </w:r>
    </w:p>
    <w:p w14:paraId="2F3AEEB0" w14:textId="77777777" w:rsidR="009D12AF" w:rsidRDefault="00000000">
      <w:pPr>
        <w:adjustRightInd w:val="0"/>
        <w:snapToGrid w:val="0"/>
        <w:ind w:firstLine="480"/>
        <w:jc w:val="left"/>
        <w:rPr>
          <w:rFonts w:ascii="Times New Roman" w:eastAsia="宋体" w:hAnsi="Times New Roman" w:cs="Times New Roman"/>
          <w:kern w:val="0"/>
          <w:szCs w:val="20"/>
        </w:rPr>
      </w:pPr>
      <w:r>
        <w:rPr>
          <w:rFonts w:ascii="Times New Roman" w:eastAsia="宋体" w:hAnsi="Times New Roman" w:cs="Times New Roman"/>
          <w:kern w:val="0"/>
          <w:szCs w:val="20"/>
        </w:rPr>
        <w:t>调查区域为项目评价范围，根据《中国动物地理》</w:t>
      </w:r>
      <w:r>
        <w:rPr>
          <w:rFonts w:ascii="Times New Roman" w:eastAsia="宋体" w:hAnsi="Times New Roman" w:cs="Times New Roman" w:hint="eastAsia"/>
          <w:kern w:val="0"/>
          <w:szCs w:val="20"/>
        </w:rPr>
        <w:t>(</w:t>
      </w:r>
      <w:r>
        <w:rPr>
          <w:rFonts w:ascii="Times New Roman" w:eastAsia="宋体" w:hAnsi="Times New Roman" w:cs="Times New Roman"/>
          <w:kern w:val="0"/>
          <w:szCs w:val="20"/>
        </w:rPr>
        <w:t>张荣组，科学出版社，</w:t>
      </w:r>
      <w:r>
        <w:rPr>
          <w:rFonts w:ascii="Times New Roman" w:eastAsia="宋体" w:hAnsi="Times New Roman" w:cs="Times New Roman"/>
          <w:kern w:val="0"/>
          <w:szCs w:val="20"/>
        </w:rPr>
        <w:t>2011</w:t>
      </w:r>
      <w:r>
        <w:rPr>
          <w:rFonts w:ascii="Times New Roman" w:eastAsia="宋体" w:hAnsi="Times New Roman" w:cs="Times New Roman" w:hint="eastAsia"/>
          <w:kern w:val="0"/>
          <w:szCs w:val="20"/>
        </w:rPr>
        <w:t>)</w:t>
      </w:r>
      <w:r>
        <w:rPr>
          <w:rFonts w:ascii="Times New Roman" w:eastAsia="宋体" w:hAnsi="Times New Roman" w:cs="Times New Roman"/>
          <w:kern w:val="0"/>
          <w:szCs w:val="20"/>
        </w:rPr>
        <w:t>的中国动物地理区划，项目所在范围动物区划属于古北界</w:t>
      </w:r>
      <w:r>
        <w:rPr>
          <w:rFonts w:ascii="Times New Roman" w:eastAsia="宋体" w:hAnsi="Times New Roman" w:cs="Times New Roman"/>
          <w:kern w:val="0"/>
          <w:szCs w:val="20"/>
        </w:rPr>
        <w:t>—</w:t>
      </w:r>
      <w:r>
        <w:rPr>
          <w:rFonts w:ascii="Times New Roman" w:eastAsia="宋体" w:hAnsi="Times New Roman" w:cs="Times New Roman"/>
          <w:kern w:val="0"/>
          <w:szCs w:val="20"/>
        </w:rPr>
        <w:t>东北区</w:t>
      </w:r>
      <w:r>
        <w:rPr>
          <w:rFonts w:ascii="Times New Roman" w:eastAsia="宋体" w:hAnsi="Times New Roman" w:cs="Times New Roman"/>
          <w:kern w:val="0"/>
          <w:szCs w:val="20"/>
        </w:rPr>
        <w:t>—</w:t>
      </w:r>
      <w:r>
        <w:rPr>
          <w:rFonts w:ascii="Times New Roman" w:eastAsia="宋体" w:hAnsi="Times New Roman" w:cs="Times New Roman" w:hint="eastAsia"/>
          <w:kern w:val="0"/>
          <w:szCs w:val="20"/>
        </w:rPr>
        <w:t>松辽平原亚区</w:t>
      </w:r>
      <w:r>
        <w:rPr>
          <w:rFonts w:ascii="Times New Roman" w:eastAsia="宋体" w:hAnsi="Times New Roman" w:cs="Times New Roman"/>
          <w:kern w:val="0"/>
          <w:szCs w:val="20"/>
        </w:rPr>
        <w:t>—</w:t>
      </w:r>
      <w:r>
        <w:rPr>
          <w:rFonts w:ascii="Times New Roman" w:eastAsia="宋体" w:hAnsi="Times New Roman" w:cs="Times New Roman" w:hint="eastAsia"/>
          <w:kern w:val="0"/>
          <w:szCs w:val="20"/>
        </w:rPr>
        <w:t>山前丘陵省—森林草原、草甸动物群</w:t>
      </w:r>
      <w:r>
        <w:rPr>
          <w:rFonts w:ascii="Times New Roman" w:eastAsia="宋体" w:hAnsi="Times New Roman" w:cs="Times New Roman"/>
          <w:kern w:val="0"/>
          <w:szCs w:val="20"/>
        </w:rPr>
        <w:t>。</w:t>
      </w:r>
    </w:p>
    <w:p w14:paraId="02E39D80" w14:textId="77777777" w:rsidR="009D12AF" w:rsidRDefault="00000000">
      <w:pPr>
        <w:adjustRightInd w:val="0"/>
        <w:snapToGrid w:val="0"/>
        <w:ind w:firstLine="480"/>
        <w:jc w:val="left"/>
        <w:rPr>
          <w:rFonts w:ascii="Times New Roman" w:eastAsia="宋体" w:hAnsi="Times New Roman" w:cs="Times New Roman"/>
        </w:rPr>
      </w:pPr>
      <w:r>
        <w:rPr>
          <w:rFonts w:ascii="Times New Roman" w:eastAsia="宋体" w:hAnsi="Times New Roman" w:cs="Times New Roman"/>
          <w:kern w:val="0"/>
          <w:szCs w:val="20"/>
        </w:rPr>
        <w:t>根据实地考察及对</w:t>
      </w:r>
      <w:r>
        <w:rPr>
          <w:rFonts w:ascii="Times New Roman" w:eastAsia="宋体" w:hAnsi="Times New Roman" w:cs="Times New Roman" w:hint="eastAsia"/>
          <w:kern w:val="0"/>
          <w:szCs w:val="20"/>
        </w:rPr>
        <w:t>《中国动物地理》</w:t>
      </w:r>
      <w:r>
        <w:rPr>
          <w:rFonts w:ascii="Times New Roman" w:eastAsia="宋体" w:hAnsi="Times New Roman" w:cs="Times New Roman" w:hint="eastAsia"/>
          <w:kern w:val="0"/>
          <w:szCs w:val="20"/>
        </w:rPr>
        <w:t>(</w:t>
      </w:r>
      <w:r>
        <w:rPr>
          <w:rFonts w:ascii="Times New Roman" w:eastAsia="宋体" w:hAnsi="Times New Roman" w:cs="Times New Roman" w:hint="eastAsia"/>
          <w:kern w:val="0"/>
          <w:szCs w:val="20"/>
        </w:rPr>
        <w:t>张荣组，</w:t>
      </w:r>
      <w:r>
        <w:rPr>
          <w:rFonts w:ascii="Times New Roman" w:eastAsia="宋体" w:hAnsi="Times New Roman" w:cs="Times New Roman"/>
          <w:kern w:val="0"/>
          <w:szCs w:val="20"/>
        </w:rPr>
        <w:t>2011</w:t>
      </w:r>
      <w:r>
        <w:rPr>
          <w:rFonts w:ascii="Times New Roman" w:eastAsia="宋体" w:hAnsi="Times New Roman" w:cs="Times New Roman" w:hint="eastAsia"/>
          <w:kern w:val="0"/>
          <w:szCs w:val="20"/>
        </w:rPr>
        <w:t>)</w:t>
      </w:r>
      <w:r>
        <w:rPr>
          <w:rFonts w:ascii="Times New Roman" w:eastAsia="宋体" w:hAnsi="Times New Roman" w:cs="Times New Roman" w:hint="eastAsia"/>
          <w:kern w:val="0"/>
          <w:szCs w:val="20"/>
        </w:rPr>
        <w:t>、</w:t>
      </w:r>
      <w:r>
        <w:rPr>
          <w:rFonts w:ascii="Times New Roman" w:eastAsia="宋体" w:hAnsi="Times New Roman" w:cs="Times New Roman"/>
          <w:kern w:val="0"/>
          <w:szCs w:val="20"/>
        </w:rPr>
        <w:t>《黑龙江省两栖爬行</w:t>
      </w:r>
      <w:r>
        <w:rPr>
          <w:rFonts w:ascii="Times New Roman" w:eastAsia="宋体" w:hAnsi="Times New Roman" w:cs="Times New Roman"/>
          <w:kern w:val="0"/>
          <w:szCs w:val="20"/>
        </w:rPr>
        <w:lastRenderedPageBreak/>
        <w:t>动物志》</w:t>
      </w:r>
      <w:r>
        <w:rPr>
          <w:rFonts w:ascii="Times New Roman" w:eastAsia="宋体" w:hAnsi="Times New Roman" w:cs="Times New Roman" w:hint="eastAsia"/>
          <w:kern w:val="0"/>
          <w:szCs w:val="20"/>
        </w:rPr>
        <w:t>(</w:t>
      </w:r>
      <w:r>
        <w:rPr>
          <w:rFonts w:ascii="Times New Roman" w:eastAsia="宋体" w:hAnsi="Times New Roman" w:cs="Times New Roman"/>
          <w:kern w:val="0"/>
          <w:szCs w:val="20"/>
        </w:rPr>
        <w:t>赵文阁，</w:t>
      </w:r>
      <w:r>
        <w:rPr>
          <w:rFonts w:ascii="Times New Roman" w:eastAsia="宋体" w:hAnsi="Times New Roman" w:cs="Times New Roman"/>
          <w:kern w:val="0"/>
          <w:szCs w:val="20"/>
        </w:rPr>
        <w:t>2008)</w:t>
      </w:r>
      <w:r>
        <w:rPr>
          <w:rFonts w:ascii="Times New Roman" w:eastAsia="宋体" w:hAnsi="Times New Roman" w:cs="Times New Roman"/>
          <w:kern w:val="0"/>
          <w:szCs w:val="20"/>
        </w:rPr>
        <w:t>、《黑龙江省鸟类志》</w:t>
      </w:r>
      <w:r>
        <w:rPr>
          <w:rFonts w:ascii="Times New Roman" w:eastAsia="宋体" w:hAnsi="Times New Roman" w:cs="Times New Roman" w:hint="eastAsia"/>
        </w:rPr>
        <w:t>(</w:t>
      </w:r>
      <w:r>
        <w:rPr>
          <w:rFonts w:ascii="Times New Roman" w:eastAsia="宋体" w:hAnsi="Times New Roman" w:cs="Times New Roman"/>
        </w:rPr>
        <w:t>黑龙江省野生动物研究所，</w:t>
      </w:r>
      <w:r>
        <w:rPr>
          <w:rFonts w:ascii="Times New Roman" w:eastAsia="宋体" w:hAnsi="Times New Roman" w:cs="Times New Roman"/>
        </w:rPr>
        <w:t>1992</w:t>
      </w:r>
      <w:r>
        <w:rPr>
          <w:rFonts w:ascii="Times New Roman" w:eastAsia="宋体" w:hAnsi="Times New Roman" w:cs="Times New Roman" w:hint="eastAsia"/>
        </w:rPr>
        <w:t>)</w:t>
      </w:r>
      <w:r>
        <w:rPr>
          <w:rFonts w:ascii="Times New Roman" w:eastAsia="宋体" w:hAnsi="Times New Roman" w:cs="Times New Roman"/>
        </w:rPr>
        <w:t>、《黑龙江省兽类志》</w:t>
      </w:r>
      <w:r>
        <w:rPr>
          <w:rFonts w:ascii="Times New Roman" w:eastAsia="宋体" w:hAnsi="Times New Roman" w:cs="Times New Roman" w:hint="eastAsia"/>
        </w:rPr>
        <w:t>(</w:t>
      </w:r>
      <w:r>
        <w:rPr>
          <w:rFonts w:ascii="Times New Roman" w:eastAsia="宋体" w:hAnsi="Times New Roman" w:cs="Times New Roman"/>
        </w:rPr>
        <w:t>马逸清，</w:t>
      </w:r>
      <w:r>
        <w:rPr>
          <w:rFonts w:ascii="Times New Roman" w:eastAsia="宋体" w:hAnsi="Times New Roman" w:cs="Times New Roman"/>
        </w:rPr>
        <w:t>1986)</w:t>
      </w:r>
      <w:r>
        <w:rPr>
          <w:rFonts w:ascii="Times New Roman" w:eastAsia="宋体" w:hAnsi="Times New Roman" w:cs="Times New Roman" w:hint="eastAsia"/>
        </w:rPr>
        <w:t>、《中国兽类名录》（魏辅文，</w:t>
      </w:r>
      <w:r>
        <w:rPr>
          <w:rFonts w:ascii="Times New Roman" w:eastAsia="宋体" w:hAnsi="Times New Roman" w:cs="Times New Roman" w:hint="eastAsia"/>
        </w:rPr>
        <w:t>2</w:t>
      </w:r>
      <w:r>
        <w:rPr>
          <w:rFonts w:ascii="Times New Roman" w:eastAsia="宋体" w:hAnsi="Times New Roman" w:cs="Times New Roman"/>
        </w:rPr>
        <w:t>021</w:t>
      </w:r>
      <w:r>
        <w:rPr>
          <w:rFonts w:ascii="Times New Roman" w:eastAsia="宋体" w:hAnsi="Times New Roman" w:cs="Times New Roman" w:hint="eastAsia"/>
        </w:rPr>
        <w:t>）、</w:t>
      </w:r>
      <w:r>
        <w:rPr>
          <w:rFonts w:ascii="Times New Roman" w:eastAsia="宋体" w:hAnsi="Times New Roman" w:cs="Times New Roman"/>
        </w:rPr>
        <w:t>《中国两栖纲和爬行纲动物校正名录》</w:t>
      </w:r>
      <w:r>
        <w:rPr>
          <w:rFonts w:ascii="Times New Roman" w:eastAsia="宋体" w:hAnsi="Times New Roman" w:cs="Times New Roman" w:hint="eastAsia"/>
        </w:rPr>
        <w:t>(</w:t>
      </w:r>
      <w:r>
        <w:rPr>
          <w:rFonts w:ascii="Times New Roman" w:eastAsia="宋体" w:hAnsi="Times New Roman" w:cs="Times New Roman"/>
        </w:rPr>
        <w:t>赵尔宓，</w:t>
      </w:r>
      <w:r>
        <w:rPr>
          <w:rFonts w:ascii="Times New Roman" w:eastAsia="宋体" w:hAnsi="Times New Roman" w:cs="Times New Roman"/>
        </w:rPr>
        <w:t>2000</w:t>
      </w:r>
      <w:r>
        <w:rPr>
          <w:rFonts w:ascii="Times New Roman" w:eastAsia="宋体" w:hAnsi="Times New Roman" w:cs="Times New Roman" w:hint="eastAsia"/>
        </w:rPr>
        <w:t>)</w:t>
      </w:r>
      <w:r>
        <w:rPr>
          <w:rFonts w:ascii="Times New Roman" w:eastAsia="宋体" w:hAnsi="Times New Roman" w:cs="Times New Roman" w:hint="eastAsia"/>
        </w:rPr>
        <w:t>、</w:t>
      </w:r>
      <w:r>
        <w:rPr>
          <w:rFonts w:ascii="Times New Roman" w:eastAsia="宋体" w:hAnsi="Times New Roman" w:cs="Times New Roman"/>
        </w:rPr>
        <w:t>《中国鸟类分类与分布名录》</w:t>
      </w:r>
      <w:r>
        <w:rPr>
          <w:rFonts w:ascii="Times New Roman" w:eastAsia="宋体" w:hAnsi="Times New Roman" w:cs="Times New Roman" w:hint="eastAsia"/>
        </w:rPr>
        <w:t>(</w:t>
      </w:r>
      <w:r>
        <w:rPr>
          <w:rFonts w:ascii="Times New Roman" w:eastAsia="宋体" w:hAnsi="Times New Roman" w:cs="Times New Roman"/>
        </w:rPr>
        <w:t>郑光美，</w:t>
      </w:r>
      <w:r>
        <w:rPr>
          <w:rFonts w:ascii="Times New Roman" w:eastAsia="宋体" w:hAnsi="Times New Roman" w:cs="Times New Roman"/>
        </w:rPr>
        <w:t>20</w:t>
      </w:r>
      <w:r>
        <w:rPr>
          <w:rFonts w:ascii="Times New Roman" w:eastAsia="宋体" w:hAnsi="Times New Roman" w:cs="Times New Roman" w:hint="eastAsia"/>
        </w:rPr>
        <w:t>23</w:t>
      </w:r>
      <w:r>
        <w:rPr>
          <w:rFonts w:ascii="Times New Roman" w:eastAsia="宋体" w:hAnsi="Times New Roman" w:cs="Times New Roman"/>
        </w:rPr>
        <w:t>年</w:t>
      </w:r>
      <w:r>
        <w:rPr>
          <w:rFonts w:ascii="Times New Roman" w:eastAsia="宋体" w:hAnsi="Times New Roman" w:cs="Times New Roman" w:hint="eastAsia"/>
        </w:rPr>
        <w:t>)</w:t>
      </w:r>
      <w:r>
        <w:rPr>
          <w:rFonts w:ascii="Times New Roman" w:eastAsia="宋体" w:hAnsi="Times New Roman" w:cs="Times New Roman" w:hint="eastAsia"/>
        </w:rPr>
        <w:t>及</w:t>
      </w:r>
      <w:r>
        <w:rPr>
          <w:rFonts w:ascii="Times New Roman" w:eastAsia="宋体" w:hAnsi="Times New Roman" w:cs="Times New Roman"/>
        </w:rPr>
        <w:t>相关资料进行综合分析。</w:t>
      </w:r>
    </w:p>
    <w:p w14:paraId="711DD685" w14:textId="77777777" w:rsidR="009D12AF" w:rsidRDefault="00000000">
      <w:pPr>
        <w:adjustRightInd w:val="0"/>
        <w:snapToGrid w:val="0"/>
        <w:ind w:firstLine="480"/>
        <w:jc w:val="left"/>
        <w:rPr>
          <w:rFonts w:ascii="Times New Roman" w:eastAsia="宋体" w:hAnsi="Times New Roman" w:cs="Times New Roman"/>
          <w:kern w:val="0"/>
          <w:szCs w:val="20"/>
        </w:rPr>
      </w:pPr>
      <w:r>
        <w:rPr>
          <w:rFonts w:ascii="Times New Roman" w:eastAsia="宋体" w:hAnsi="Times New Roman" w:cs="Times New Roman"/>
          <w:kern w:val="0"/>
          <w:szCs w:val="20"/>
        </w:rPr>
        <w:t>评价范围分布的陆生脊椎动物有</w:t>
      </w:r>
      <w:r>
        <w:rPr>
          <w:rFonts w:ascii="Times New Roman" w:eastAsia="宋体" w:hAnsi="Times New Roman" w:cs="Times New Roman"/>
          <w:kern w:val="0"/>
          <w:szCs w:val="20"/>
        </w:rPr>
        <w:t>4</w:t>
      </w:r>
      <w:r>
        <w:rPr>
          <w:rFonts w:ascii="Times New Roman" w:eastAsia="宋体" w:hAnsi="Times New Roman" w:cs="Times New Roman"/>
          <w:kern w:val="0"/>
          <w:szCs w:val="20"/>
        </w:rPr>
        <w:t>纲</w:t>
      </w:r>
      <w:r>
        <w:rPr>
          <w:rFonts w:ascii="Times New Roman" w:eastAsia="宋体" w:hAnsi="Times New Roman" w:cs="Times New Roman" w:hint="eastAsia"/>
          <w:kern w:val="0"/>
          <w:szCs w:val="20"/>
        </w:rPr>
        <w:t>2</w:t>
      </w:r>
      <w:r>
        <w:rPr>
          <w:rFonts w:ascii="Times New Roman" w:eastAsia="宋体" w:hAnsi="Times New Roman" w:cs="Times New Roman"/>
          <w:kern w:val="0"/>
          <w:szCs w:val="20"/>
        </w:rPr>
        <w:t>2</w:t>
      </w:r>
      <w:r>
        <w:rPr>
          <w:rFonts w:ascii="Times New Roman" w:eastAsia="宋体" w:hAnsi="Times New Roman" w:cs="Times New Roman"/>
          <w:kern w:val="0"/>
          <w:szCs w:val="20"/>
        </w:rPr>
        <w:t>目</w:t>
      </w:r>
      <w:r>
        <w:rPr>
          <w:rFonts w:ascii="Times New Roman" w:eastAsia="宋体" w:hAnsi="Times New Roman" w:cs="Times New Roman" w:hint="eastAsia"/>
          <w:kern w:val="0"/>
          <w:szCs w:val="20"/>
        </w:rPr>
        <w:t>4</w:t>
      </w:r>
      <w:r>
        <w:rPr>
          <w:rFonts w:ascii="Times New Roman" w:eastAsia="宋体" w:hAnsi="Times New Roman" w:cs="Times New Roman"/>
          <w:kern w:val="0"/>
          <w:szCs w:val="20"/>
        </w:rPr>
        <w:t>3</w:t>
      </w:r>
      <w:r>
        <w:rPr>
          <w:rFonts w:ascii="Times New Roman" w:eastAsia="宋体" w:hAnsi="Times New Roman" w:cs="Times New Roman"/>
          <w:kern w:val="0"/>
          <w:szCs w:val="20"/>
        </w:rPr>
        <w:t>科</w:t>
      </w:r>
      <w:r>
        <w:rPr>
          <w:rFonts w:ascii="Times New Roman" w:eastAsia="宋体" w:hAnsi="Times New Roman" w:cs="Times New Roman" w:hint="eastAsia"/>
          <w:kern w:val="0"/>
          <w:szCs w:val="20"/>
        </w:rPr>
        <w:t>7</w:t>
      </w:r>
      <w:r>
        <w:rPr>
          <w:rFonts w:ascii="Times New Roman" w:eastAsia="宋体" w:hAnsi="Times New Roman" w:cs="Times New Roman"/>
          <w:kern w:val="0"/>
          <w:szCs w:val="20"/>
        </w:rPr>
        <w:t>7</w:t>
      </w:r>
      <w:r>
        <w:rPr>
          <w:rFonts w:ascii="Times New Roman" w:eastAsia="宋体" w:hAnsi="Times New Roman" w:cs="Times New Roman"/>
          <w:kern w:val="0"/>
          <w:szCs w:val="20"/>
        </w:rPr>
        <w:t>种；其中古北种</w:t>
      </w:r>
      <w:r>
        <w:rPr>
          <w:rFonts w:ascii="Times New Roman" w:eastAsia="宋体" w:hAnsi="Times New Roman" w:cs="Times New Roman" w:hint="eastAsia"/>
          <w:kern w:val="0"/>
          <w:szCs w:val="20"/>
        </w:rPr>
        <w:t>3</w:t>
      </w:r>
      <w:r>
        <w:rPr>
          <w:rFonts w:ascii="Times New Roman" w:eastAsia="宋体" w:hAnsi="Times New Roman" w:cs="Times New Roman"/>
          <w:kern w:val="0"/>
          <w:szCs w:val="20"/>
        </w:rPr>
        <w:t>9</w:t>
      </w:r>
      <w:r>
        <w:rPr>
          <w:rFonts w:ascii="Times New Roman" w:eastAsia="宋体" w:hAnsi="Times New Roman" w:cs="Times New Roman"/>
          <w:kern w:val="0"/>
          <w:szCs w:val="20"/>
        </w:rPr>
        <w:t>种，广布种</w:t>
      </w:r>
      <w:r>
        <w:rPr>
          <w:rFonts w:ascii="Times New Roman" w:eastAsia="宋体" w:hAnsi="Times New Roman" w:cs="Times New Roman" w:hint="eastAsia"/>
          <w:kern w:val="0"/>
          <w:szCs w:val="20"/>
        </w:rPr>
        <w:t>3</w:t>
      </w:r>
      <w:r>
        <w:rPr>
          <w:rFonts w:ascii="Times New Roman" w:eastAsia="宋体" w:hAnsi="Times New Roman" w:cs="Times New Roman"/>
          <w:kern w:val="0"/>
          <w:szCs w:val="20"/>
        </w:rPr>
        <w:t>6</w:t>
      </w:r>
      <w:r>
        <w:rPr>
          <w:rFonts w:ascii="Times New Roman" w:eastAsia="宋体" w:hAnsi="Times New Roman" w:cs="Times New Roman"/>
          <w:kern w:val="0"/>
          <w:szCs w:val="20"/>
        </w:rPr>
        <w:t>种</w:t>
      </w:r>
      <w:r>
        <w:rPr>
          <w:rFonts w:ascii="Times New Roman" w:eastAsia="宋体" w:hAnsi="Times New Roman" w:cs="Times New Roman" w:hint="eastAsia"/>
          <w:kern w:val="0"/>
          <w:szCs w:val="20"/>
        </w:rPr>
        <w:t>,</w:t>
      </w:r>
      <w:r>
        <w:rPr>
          <w:rFonts w:ascii="Times New Roman" w:eastAsia="宋体" w:hAnsi="Times New Roman" w:cs="Times New Roman" w:hint="eastAsia"/>
          <w:kern w:val="0"/>
          <w:szCs w:val="20"/>
        </w:rPr>
        <w:t>东洋种</w:t>
      </w:r>
      <w:r>
        <w:rPr>
          <w:rFonts w:ascii="Times New Roman" w:eastAsia="宋体" w:hAnsi="Times New Roman" w:cs="Times New Roman" w:hint="eastAsia"/>
          <w:kern w:val="0"/>
          <w:szCs w:val="20"/>
        </w:rPr>
        <w:t>2</w:t>
      </w:r>
      <w:r>
        <w:rPr>
          <w:rFonts w:ascii="Times New Roman" w:eastAsia="宋体" w:hAnsi="Times New Roman" w:cs="Times New Roman" w:hint="eastAsia"/>
          <w:kern w:val="0"/>
          <w:szCs w:val="20"/>
        </w:rPr>
        <w:t>种</w:t>
      </w:r>
      <w:r>
        <w:rPr>
          <w:rFonts w:ascii="Times New Roman" w:eastAsia="宋体" w:hAnsi="Times New Roman" w:cs="Times New Roman"/>
          <w:kern w:val="0"/>
          <w:szCs w:val="20"/>
        </w:rPr>
        <w:t>；发现</w:t>
      </w:r>
      <w:r>
        <w:rPr>
          <w:rFonts w:ascii="Times New Roman" w:eastAsia="宋体" w:hAnsi="Times New Roman" w:cs="Times New Roman" w:hint="eastAsia"/>
          <w:kern w:val="0"/>
          <w:szCs w:val="20"/>
        </w:rPr>
        <w:t>国家一</w:t>
      </w:r>
      <w:r>
        <w:rPr>
          <w:rFonts w:ascii="Times New Roman" w:eastAsia="宋体" w:hAnsi="Times New Roman" w:cs="Times New Roman"/>
          <w:kern w:val="0"/>
          <w:szCs w:val="20"/>
        </w:rPr>
        <w:t>级重点保护野生动物</w:t>
      </w:r>
      <w:r>
        <w:rPr>
          <w:rFonts w:ascii="Times New Roman" w:eastAsia="宋体" w:hAnsi="Times New Roman" w:cs="Times New Roman"/>
          <w:kern w:val="0"/>
          <w:szCs w:val="20"/>
        </w:rPr>
        <w:t>2</w:t>
      </w:r>
      <w:r>
        <w:rPr>
          <w:rFonts w:ascii="Times New Roman" w:eastAsia="宋体" w:hAnsi="Times New Roman" w:cs="Times New Roman" w:hint="eastAsia"/>
          <w:kern w:val="0"/>
          <w:szCs w:val="20"/>
        </w:rPr>
        <w:t>种，</w:t>
      </w:r>
      <w:r>
        <w:rPr>
          <w:rFonts w:ascii="Times New Roman" w:eastAsia="宋体" w:hAnsi="Times New Roman" w:cs="Times New Roman"/>
          <w:kern w:val="0"/>
          <w:szCs w:val="20"/>
        </w:rPr>
        <w:t>国家二级重点保护野生动物</w:t>
      </w:r>
      <w:r>
        <w:rPr>
          <w:rFonts w:ascii="Times New Roman" w:eastAsia="宋体" w:hAnsi="Times New Roman" w:cs="Times New Roman" w:hint="eastAsia"/>
          <w:kern w:val="0"/>
          <w:szCs w:val="20"/>
        </w:rPr>
        <w:t>3</w:t>
      </w:r>
      <w:r>
        <w:rPr>
          <w:rFonts w:ascii="Times New Roman" w:eastAsia="宋体" w:hAnsi="Times New Roman" w:cs="Times New Roman"/>
          <w:kern w:val="0"/>
          <w:szCs w:val="20"/>
        </w:rPr>
        <w:t>种，依据《中国生物多样性红色名录》判定各动物的濒危程度，发现极危</w:t>
      </w:r>
      <w:r>
        <w:rPr>
          <w:rFonts w:ascii="Times New Roman" w:eastAsia="宋体" w:hAnsi="Times New Roman" w:cs="Times New Roman" w:hint="eastAsia"/>
          <w:kern w:val="0"/>
          <w:szCs w:val="20"/>
        </w:rPr>
        <w:t>(</w:t>
      </w:r>
      <w:r>
        <w:rPr>
          <w:rFonts w:ascii="Times New Roman" w:eastAsia="宋体" w:hAnsi="Times New Roman" w:cs="Times New Roman"/>
          <w:kern w:val="0"/>
          <w:szCs w:val="20"/>
        </w:rPr>
        <w:t>CR</w:t>
      </w:r>
      <w:r>
        <w:rPr>
          <w:rFonts w:ascii="Times New Roman" w:eastAsia="宋体" w:hAnsi="Times New Roman" w:cs="Times New Roman" w:hint="eastAsia"/>
          <w:kern w:val="0"/>
          <w:szCs w:val="20"/>
        </w:rPr>
        <w:t>)</w:t>
      </w:r>
      <w:r>
        <w:rPr>
          <w:rFonts w:ascii="Times New Roman" w:eastAsia="宋体" w:hAnsi="Times New Roman" w:cs="Times New Roman"/>
          <w:kern w:val="0"/>
          <w:szCs w:val="20"/>
        </w:rPr>
        <w:t>0</w:t>
      </w:r>
      <w:r>
        <w:rPr>
          <w:rFonts w:ascii="Times New Roman" w:eastAsia="宋体" w:hAnsi="Times New Roman" w:cs="Times New Roman"/>
          <w:kern w:val="0"/>
          <w:szCs w:val="20"/>
        </w:rPr>
        <w:t>种，濒危</w:t>
      </w:r>
      <w:r>
        <w:rPr>
          <w:rFonts w:ascii="Times New Roman" w:eastAsia="宋体" w:hAnsi="Times New Roman" w:cs="Times New Roman" w:hint="eastAsia"/>
          <w:kern w:val="0"/>
          <w:szCs w:val="20"/>
        </w:rPr>
        <w:t>(</w:t>
      </w:r>
      <w:r>
        <w:rPr>
          <w:rFonts w:ascii="Times New Roman" w:eastAsia="宋体" w:hAnsi="Times New Roman" w:cs="Times New Roman"/>
          <w:kern w:val="0"/>
          <w:szCs w:val="20"/>
        </w:rPr>
        <w:t>EN</w:t>
      </w:r>
      <w:r>
        <w:rPr>
          <w:rFonts w:ascii="Times New Roman" w:eastAsia="宋体" w:hAnsi="Times New Roman" w:cs="Times New Roman" w:hint="eastAsia"/>
          <w:kern w:val="0"/>
          <w:szCs w:val="20"/>
        </w:rPr>
        <w:t>)</w:t>
      </w:r>
      <w:r>
        <w:rPr>
          <w:rFonts w:ascii="Times New Roman" w:eastAsia="宋体" w:hAnsi="Times New Roman" w:cs="Times New Roman"/>
          <w:kern w:val="0"/>
          <w:szCs w:val="20"/>
        </w:rPr>
        <w:t>2</w:t>
      </w:r>
      <w:r>
        <w:rPr>
          <w:rFonts w:ascii="Times New Roman" w:eastAsia="宋体" w:hAnsi="Times New Roman" w:cs="Times New Roman"/>
          <w:kern w:val="0"/>
          <w:szCs w:val="20"/>
        </w:rPr>
        <w:t>种，易危</w:t>
      </w:r>
      <w:r>
        <w:rPr>
          <w:rFonts w:ascii="Times New Roman" w:eastAsia="宋体" w:hAnsi="Times New Roman" w:cs="Times New Roman" w:hint="eastAsia"/>
          <w:kern w:val="0"/>
          <w:szCs w:val="20"/>
        </w:rPr>
        <w:t>(</w:t>
      </w:r>
      <w:r>
        <w:rPr>
          <w:rFonts w:ascii="Times New Roman" w:eastAsia="宋体" w:hAnsi="Times New Roman" w:cs="Times New Roman"/>
          <w:kern w:val="0"/>
          <w:szCs w:val="20"/>
        </w:rPr>
        <w:t>VU</w:t>
      </w:r>
      <w:r>
        <w:rPr>
          <w:rFonts w:ascii="Times New Roman" w:eastAsia="宋体" w:hAnsi="Times New Roman" w:cs="Times New Roman" w:hint="eastAsia"/>
          <w:kern w:val="0"/>
          <w:szCs w:val="20"/>
        </w:rPr>
        <w:t>)</w:t>
      </w:r>
      <w:r>
        <w:rPr>
          <w:rFonts w:ascii="Times New Roman" w:eastAsia="宋体" w:hAnsi="Times New Roman" w:cs="Times New Roman"/>
          <w:kern w:val="0"/>
          <w:szCs w:val="20"/>
        </w:rPr>
        <w:t>0</w:t>
      </w:r>
      <w:r>
        <w:rPr>
          <w:rFonts w:ascii="Times New Roman" w:eastAsia="宋体" w:hAnsi="Times New Roman" w:cs="Times New Roman"/>
          <w:kern w:val="0"/>
          <w:szCs w:val="20"/>
        </w:rPr>
        <w:t>种、近危</w:t>
      </w:r>
      <w:r>
        <w:rPr>
          <w:rFonts w:ascii="Times New Roman" w:eastAsia="宋体" w:hAnsi="Times New Roman" w:cs="Times New Roman" w:hint="eastAsia"/>
          <w:kern w:val="0"/>
          <w:szCs w:val="20"/>
        </w:rPr>
        <w:t>(</w:t>
      </w:r>
      <w:r>
        <w:rPr>
          <w:rFonts w:ascii="Times New Roman" w:eastAsia="宋体" w:hAnsi="Times New Roman" w:cs="Times New Roman"/>
          <w:kern w:val="0"/>
          <w:szCs w:val="20"/>
        </w:rPr>
        <w:t>NT</w:t>
      </w:r>
      <w:r>
        <w:rPr>
          <w:rFonts w:ascii="Times New Roman" w:eastAsia="宋体" w:hAnsi="Times New Roman" w:cs="Times New Roman" w:hint="eastAsia"/>
          <w:kern w:val="0"/>
          <w:szCs w:val="20"/>
        </w:rPr>
        <w:t>)</w:t>
      </w:r>
      <w:r>
        <w:rPr>
          <w:rFonts w:ascii="Times New Roman" w:eastAsia="宋体" w:hAnsi="Times New Roman" w:cs="Times New Roman"/>
          <w:kern w:val="0"/>
          <w:szCs w:val="20"/>
        </w:rPr>
        <w:t>11</w:t>
      </w:r>
      <w:r>
        <w:rPr>
          <w:rFonts w:ascii="Times New Roman" w:eastAsia="宋体" w:hAnsi="Times New Roman" w:cs="Times New Roman"/>
          <w:kern w:val="0"/>
          <w:szCs w:val="20"/>
        </w:rPr>
        <w:t>种、无危</w:t>
      </w:r>
      <w:r>
        <w:rPr>
          <w:rFonts w:ascii="Times New Roman" w:eastAsia="宋体" w:hAnsi="Times New Roman" w:cs="Times New Roman" w:hint="eastAsia"/>
          <w:kern w:val="0"/>
          <w:szCs w:val="20"/>
        </w:rPr>
        <w:t>(</w:t>
      </w:r>
      <w:r>
        <w:rPr>
          <w:rFonts w:ascii="Times New Roman" w:eastAsia="宋体" w:hAnsi="Times New Roman" w:cs="Times New Roman"/>
          <w:kern w:val="0"/>
          <w:szCs w:val="20"/>
        </w:rPr>
        <w:t>LC</w:t>
      </w:r>
      <w:r>
        <w:rPr>
          <w:rFonts w:ascii="Times New Roman" w:eastAsia="宋体" w:hAnsi="Times New Roman" w:cs="Times New Roman" w:hint="eastAsia"/>
          <w:kern w:val="0"/>
          <w:szCs w:val="20"/>
        </w:rPr>
        <w:t>)6</w:t>
      </w:r>
      <w:r>
        <w:rPr>
          <w:rFonts w:ascii="Times New Roman" w:eastAsia="宋体" w:hAnsi="Times New Roman" w:cs="Times New Roman"/>
          <w:kern w:val="0"/>
          <w:szCs w:val="20"/>
        </w:rPr>
        <w:t>4</w:t>
      </w:r>
      <w:r>
        <w:rPr>
          <w:rFonts w:ascii="Times New Roman" w:eastAsia="宋体" w:hAnsi="Times New Roman" w:cs="Times New Roman"/>
          <w:kern w:val="0"/>
          <w:szCs w:val="20"/>
        </w:rPr>
        <w:t>种，黑龙江省重点保护野生动物</w:t>
      </w:r>
      <w:r>
        <w:rPr>
          <w:rFonts w:ascii="Times New Roman" w:eastAsia="宋体" w:hAnsi="Times New Roman" w:cs="Times New Roman"/>
          <w:kern w:val="0"/>
          <w:szCs w:val="20"/>
        </w:rPr>
        <w:t>11</w:t>
      </w:r>
      <w:r>
        <w:rPr>
          <w:rFonts w:ascii="Times New Roman" w:eastAsia="宋体" w:hAnsi="Times New Roman" w:cs="Times New Roman"/>
          <w:kern w:val="0"/>
          <w:szCs w:val="20"/>
        </w:rPr>
        <w:t>种</w:t>
      </w:r>
      <w:r>
        <w:rPr>
          <w:rFonts w:ascii="Times New Roman" w:eastAsia="宋体" w:hAnsi="Times New Roman" w:cs="Times New Roman" w:hint="eastAsia"/>
          <w:kern w:val="0"/>
          <w:szCs w:val="20"/>
        </w:rPr>
        <w:t>，有重要生态、科学、社会价值的陆生野生动物</w:t>
      </w:r>
      <w:r>
        <w:rPr>
          <w:rFonts w:ascii="Times New Roman" w:eastAsia="宋体" w:hAnsi="Times New Roman" w:cs="Times New Roman" w:hint="eastAsia"/>
          <w:kern w:val="0"/>
          <w:szCs w:val="20"/>
        </w:rPr>
        <w:t>4</w:t>
      </w:r>
      <w:r>
        <w:rPr>
          <w:rFonts w:ascii="Times New Roman" w:eastAsia="宋体" w:hAnsi="Times New Roman" w:cs="Times New Roman"/>
          <w:kern w:val="0"/>
          <w:szCs w:val="20"/>
        </w:rPr>
        <w:t>7</w:t>
      </w:r>
      <w:r>
        <w:rPr>
          <w:rFonts w:ascii="Times New Roman" w:eastAsia="宋体" w:hAnsi="Times New Roman" w:cs="Times New Roman" w:hint="eastAsia"/>
          <w:kern w:val="0"/>
          <w:szCs w:val="20"/>
        </w:rPr>
        <w:t>种</w:t>
      </w:r>
      <w:r>
        <w:rPr>
          <w:rFonts w:ascii="Times New Roman" w:eastAsia="宋体" w:hAnsi="Times New Roman" w:cs="Times New Roman"/>
          <w:kern w:val="0"/>
          <w:szCs w:val="20"/>
        </w:rPr>
        <w:t>。</w:t>
      </w:r>
    </w:p>
    <w:p w14:paraId="20BB8DCD"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rPr>
        <w:t>评价区陆生动物在各纲中的种类组成、区系见表</w:t>
      </w:r>
      <w:r>
        <w:rPr>
          <w:rFonts w:ascii="Times New Roman" w:eastAsia="宋体" w:hAnsi="Times New Roman" w:cs="Times New Roman" w:hint="eastAsia"/>
        </w:rPr>
        <w:t>4.3-52</w:t>
      </w:r>
      <w:r>
        <w:rPr>
          <w:rFonts w:ascii="Times New Roman" w:eastAsia="宋体" w:hAnsi="Times New Roman" w:cs="Times New Roman" w:hint="eastAsia"/>
        </w:rPr>
        <w:t>。</w:t>
      </w:r>
    </w:p>
    <w:p w14:paraId="563BC804" w14:textId="77777777" w:rsidR="009D12AF" w:rsidRDefault="00000000">
      <w:pPr>
        <w:spacing w:line="600" w:lineRule="exact"/>
        <w:ind w:firstLine="482"/>
        <w:jc w:val="center"/>
        <w:rPr>
          <w:rFonts w:ascii="宋体" w:eastAsia="宋体" w:hAnsi="宋体" w:cs="Arial" w:hint="eastAsia"/>
          <w:b/>
          <w:bCs/>
        </w:rPr>
      </w:pPr>
      <w:r>
        <w:rPr>
          <w:rFonts w:ascii="宋体" w:eastAsia="宋体" w:hAnsi="宋体" w:cs="Arial"/>
          <w:b/>
          <w:bCs/>
        </w:rPr>
        <w:t>表</w:t>
      </w:r>
      <w:r>
        <w:rPr>
          <w:rFonts w:ascii="宋体" w:eastAsia="宋体" w:hAnsi="宋体" w:cs="Arial" w:hint="eastAsia"/>
          <w:b/>
          <w:bCs/>
        </w:rPr>
        <w:t>4.3-52</w:t>
      </w:r>
      <w:r>
        <w:rPr>
          <w:rFonts w:ascii="宋体" w:eastAsia="宋体" w:hAnsi="宋体" w:cs="Arial"/>
          <w:b/>
          <w:bCs/>
        </w:rPr>
        <w:t xml:space="preserve"> 评价范围内陆生脊椎动物种类组成</w:t>
      </w:r>
    </w:p>
    <w:tbl>
      <w:tblPr>
        <w:tblW w:w="5547"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667"/>
        <w:gridCol w:w="483"/>
        <w:gridCol w:w="483"/>
        <w:gridCol w:w="489"/>
        <w:gridCol w:w="483"/>
        <w:gridCol w:w="482"/>
        <w:gridCol w:w="488"/>
        <w:gridCol w:w="482"/>
        <w:gridCol w:w="486"/>
        <w:gridCol w:w="981"/>
        <w:gridCol w:w="1085"/>
        <w:gridCol w:w="550"/>
        <w:gridCol w:w="563"/>
        <w:gridCol w:w="563"/>
        <w:gridCol w:w="592"/>
        <w:gridCol w:w="577"/>
      </w:tblGrid>
      <w:tr w:rsidR="009D12AF" w14:paraId="044D76C7" w14:textId="77777777">
        <w:trPr>
          <w:trHeight w:val="150"/>
          <w:jc w:val="center"/>
        </w:trPr>
        <w:tc>
          <w:tcPr>
            <w:tcW w:w="1120" w:type="pct"/>
            <w:gridSpan w:val="4"/>
            <w:tcBorders>
              <w:tl2br w:val="nil"/>
              <w:tr2bl w:val="nil"/>
            </w:tcBorders>
            <w:vAlign w:val="center"/>
          </w:tcPr>
          <w:p w14:paraId="4E75136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种类组成</w:t>
            </w:r>
          </w:p>
        </w:tc>
        <w:tc>
          <w:tcPr>
            <w:tcW w:w="768" w:type="pct"/>
            <w:gridSpan w:val="3"/>
            <w:tcBorders>
              <w:tl2br w:val="nil"/>
              <w:tr2bl w:val="nil"/>
            </w:tcBorders>
            <w:vAlign w:val="center"/>
          </w:tcPr>
          <w:p w14:paraId="7C770B7E"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动物区系</w:t>
            </w:r>
          </w:p>
        </w:tc>
        <w:tc>
          <w:tcPr>
            <w:tcW w:w="3110" w:type="pct"/>
            <w:gridSpan w:val="9"/>
            <w:tcBorders>
              <w:tl2br w:val="nil"/>
              <w:tr2bl w:val="nil"/>
            </w:tcBorders>
            <w:vAlign w:val="center"/>
          </w:tcPr>
          <w:p w14:paraId="7E00EB3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保护动物</w:t>
            </w:r>
          </w:p>
        </w:tc>
      </w:tr>
      <w:tr w:rsidR="009D12AF" w14:paraId="57212DD0" w14:textId="77777777">
        <w:trPr>
          <w:trHeight w:val="150"/>
          <w:jc w:val="center"/>
        </w:trPr>
        <w:tc>
          <w:tcPr>
            <w:tcW w:w="352" w:type="pct"/>
            <w:vMerge w:val="restart"/>
            <w:tcBorders>
              <w:tl2br w:val="nil"/>
              <w:tr2bl w:val="nil"/>
            </w:tcBorders>
            <w:vAlign w:val="center"/>
          </w:tcPr>
          <w:p w14:paraId="2AD26E4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纲</w:t>
            </w:r>
          </w:p>
        </w:tc>
        <w:tc>
          <w:tcPr>
            <w:tcW w:w="255" w:type="pct"/>
            <w:vMerge w:val="restart"/>
            <w:tcBorders>
              <w:tl2br w:val="nil"/>
              <w:tr2bl w:val="nil"/>
            </w:tcBorders>
            <w:vAlign w:val="center"/>
          </w:tcPr>
          <w:p w14:paraId="65DCBC21"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目</w:t>
            </w:r>
          </w:p>
        </w:tc>
        <w:tc>
          <w:tcPr>
            <w:tcW w:w="255" w:type="pct"/>
            <w:vMerge w:val="restart"/>
            <w:tcBorders>
              <w:tl2br w:val="nil"/>
              <w:tr2bl w:val="nil"/>
            </w:tcBorders>
            <w:vAlign w:val="center"/>
          </w:tcPr>
          <w:p w14:paraId="602A3C3E"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科</w:t>
            </w:r>
          </w:p>
        </w:tc>
        <w:tc>
          <w:tcPr>
            <w:tcW w:w="256" w:type="pct"/>
            <w:vMerge w:val="restart"/>
            <w:tcBorders>
              <w:tl2br w:val="nil"/>
              <w:tr2bl w:val="nil"/>
            </w:tcBorders>
            <w:vAlign w:val="center"/>
          </w:tcPr>
          <w:p w14:paraId="4F55F2D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种</w:t>
            </w:r>
          </w:p>
        </w:tc>
        <w:tc>
          <w:tcPr>
            <w:tcW w:w="255" w:type="pct"/>
            <w:vMerge w:val="restart"/>
            <w:tcBorders>
              <w:tl2br w:val="nil"/>
              <w:tr2bl w:val="nil"/>
            </w:tcBorders>
            <w:vAlign w:val="center"/>
          </w:tcPr>
          <w:p w14:paraId="2F51CD31"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东洋种</w:t>
            </w:r>
          </w:p>
        </w:tc>
        <w:tc>
          <w:tcPr>
            <w:tcW w:w="255" w:type="pct"/>
            <w:vMerge w:val="restart"/>
            <w:tcBorders>
              <w:tl2br w:val="nil"/>
              <w:tr2bl w:val="nil"/>
            </w:tcBorders>
            <w:vAlign w:val="center"/>
          </w:tcPr>
          <w:p w14:paraId="70399548"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古北种</w:t>
            </w:r>
          </w:p>
        </w:tc>
        <w:tc>
          <w:tcPr>
            <w:tcW w:w="256" w:type="pct"/>
            <w:vMerge w:val="restart"/>
            <w:tcBorders>
              <w:tl2br w:val="nil"/>
              <w:tr2bl w:val="nil"/>
            </w:tcBorders>
            <w:vAlign w:val="center"/>
          </w:tcPr>
          <w:p w14:paraId="6C20EC1B"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广布种</w:t>
            </w:r>
          </w:p>
        </w:tc>
        <w:tc>
          <w:tcPr>
            <w:tcW w:w="512" w:type="pct"/>
            <w:gridSpan w:val="2"/>
            <w:tcBorders>
              <w:tl2br w:val="nil"/>
              <w:tr2bl w:val="nil"/>
            </w:tcBorders>
            <w:vAlign w:val="center"/>
          </w:tcPr>
          <w:p w14:paraId="460EB8E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国家级</w:t>
            </w:r>
          </w:p>
        </w:tc>
        <w:tc>
          <w:tcPr>
            <w:tcW w:w="519" w:type="pct"/>
            <w:vMerge w:val="restart"/>
            <w:tcBorders>
              <w:tl2br w:val="nil"/>
              <w:tr2bl w:val="nil"/>
            </w:tcBorders>
            <w:vAlign w:val="center"/>
          </w:tcPr>
          <w:p w14:paraId="3DD746F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省级</w:t>
            </w:r>
          </w:p>
        </w:tc>
        <w:tc>
          <w:tcPr>
            <w:tcW w:w="574" w:type="pct"/>
            <w:vMerge w:val="restart"/>
            <w:tcBorders>
              <w:tl2br w:val="nil"/>
              <w:tr2bl w:val="nil"/>
            </w:tcBorders>
            <w:vAlign w:val="center"/>
          </w:tcPr>
          <w:p w14:paraId="06CA2031" w14:textId="77777777" w:rsidR="009D12AF" w:rsidRDefault="00000000">
            <w:pPr>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rPr>
              <w:t>三有保护动物</w:t>
            </w:r>
          </w:p>
        </w:tc>
        <w:tc>
          <w:tcPr>
            <w:tcW w:w="1503" w:type="pct"/>
            <w:gridSpan w:val="5"/>
            <w:tcBorders>
              <w:tl2br w:val="nil"/>
              <w:tr2bl w:val="nil"/>
            </w:tcBorders>
            <w:vAlign w:val="center"/>
          </w:tcPr>
          <w:p w14:paraId="13419C98"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评估等级</w:t>
            </w:r>
          </w:p>
        </w:tc>
      </w:tr>
      <w:tr w:rsidR="009D12AF" w14:paraId="06C1A540" w14:textId="77777777">
        <w:trPr>
          <w:trHeight w:val="152"/>
          <w:jc w:val="center"/>
        </w:trPr>
        <w:tc>
          <w:tcPr>
            <w:tcW w:w="352" w:type="pct"/>
            <w:vMerge/>
            <w:tcBorders>
              <w:tl2br w:val="nil"/>
              <w:tr2bl w:val="nil"/>
            </w:tcBorders>
            <w:vAlign w:val="center"/>
          </w:tcPr>
          <w:p w14:paraId="2EE7600D"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255" w:type="pct"/>
            <w:vMerge/>
            <w:tcBorders>
              <w:tl2br w:val="nil"/>
              <w:tr2bl w:val="nil"/>
            </w:tcBorders>
            <w:vAlign w:val="center"/>
          </w:tcPr>
          <w:p w14:paraId="7D5CA43E"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255" w:type="pct"/>
            <w:vMerge/>
            <w:tcBorders>
              <w:tl2br w:val="nil"/>
              <w:tr2bl w:val="nil"/>
            </w:tcBorders>
            <w:vAlign w:val="center"/>
          </w:tcPr>
          <w:p w14:paraId="6615D056"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256" w:type="pct"/>
            <w:vMerge/>
            <w:tcBorders>
              <w:tl2br w:val="nil"/>
              <w:tr2bl w:val="nil"/>
            </w:tcBorders>
            <w:vAlign w:val="center"/>
          </w:tcPr>
          <w:p w14:paraId="6DE67025"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255" w:type="pct"/>
            <w:vMerge/>
            <w:tcBorders>
              <w:tl2br w:val="nil"/>
              <w:tr2bl w:val="nil"/>
            </w:tcBorders>
            <w:vAlign w:val="center"/>
          </w:tcPr>
          <w:p w14:paraId="3C6933C7"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255" w:type="pct"/>
            <w:vMerge/>
            <w:tcBorders>
              <w:tl2br w:val="nil"/>
              <w:tr2bl w:val="nil"/>
            </w:tcBorders>
            <w:vAlign w:val="center"/>
          </w:tcPr>
          <w:p w14:paraId="2AF42858"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256" w:type="pct"/>
            <w:vMerge/>
            <w:tcBorders>
              <w:tl2br w:val="nil"/>
              <w:tr2bl w:val="nil"/>
            </w:tcBorders>
            <w:vAlign w:val="center"/>
          </w:tcPr>
          <w:p w14:paraId="73BC83A5"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255" w:type="pct"/>
            <w:tcBorders>
              <w:tl2br w:val="nil"/>
              <w:tr2bl w:val="nil"/>
            </w:tcBorders>
            <w:vAlign w:val="center"/>
          </w:tcPr>
          <w:p w14:paraId="22133C51"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一级</w:t>
            </w:r>
          </w:p>
        </w:tc>
        <w:tc>
          <w:tcPr>
            <w:tcW w:w="256" w:type="pct"/>
            <w:tcBorders>
              <w:tl2br w:val="nil"/>
              <w:tr2bl w:val="nil"/>
            </w:tcBorders>
            <w:vAlign w:val="center"/>
          </w:tcPr>
          <w:p w14:paraId="56FDAE24"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二级</w:t>
            </w:r>
          </w:p>
        </w:tc>
        <w:tc>
          <w:tcPr>
            <w:tcW w:w="519" w:type="pct"/>
            <w:vMerge/>
            <w:tcBorders>
              <w:tl2br w:val="nil"/>
              <w:tr2bl w:val="nil"/>
            </w:tcBorders>
            <w:vAlign w:val="center"/>
          </w:tcPr>
          <w:p w14:paraId="5D0E7631"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574" w:type="pct"/>
            <w:vMerge/>
            <w:tcBorders>
              <w:tl2br w:val="nil"/>
              <w:tr2bl w:val="nil"/>
            </w:tcBorders>
            <w:vAlign w:val="center"/>
          </w:tcPr>
          <w:p w14:paraId="0ED90AD9"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291" w:type="pct"/>
            <w:tcBorders>
              <w:tl2br w:val="nil"/>
              <w:tr2bl w:val="nil"/>
            </w:tcBorders>
            <w:vAlign w:val="center"/>
          </w:tcPr>
          <w:p w14:paraId="3781E087"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LC</w:t>
            </w:r>
          </w:p>
        </w:tc>
        <w:tc>
          <w:tcPr>
            <w:tcW w:w="298" w:type="pct"/>
            <w:tcBorders>
              <w:tl2br w:val="nil"/>
              <w:tr2bl w:val="nil"/>
            </w:tcBorders>
            <w:vAlign w:val="center"/>
          </w:tcPr>
          <w:p w14:paraId="0C8F6FA4"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EN</w:t>
            </w:r>
          </w:p>
        </w:tc>
        <w:tc>
          <w:tcPr>
            <w:tcW w:w="298" w:type="pct"/>
            <w:tcBorders>
              <w:tl2br w:val="nil"/>
              <w:tr2bl w:val="nil"/>
            </w:tcBorders>
            <w:vAlign w:val="center"/>
          </w:tcPr>
          <w:p w14:paraId="75BA9CD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NT</w:t>
            </w:r>
          </w:p>
        </w:tc>
        <w:tc>
          <w:tcPr>
            <w:tcW w:w="313" w:type="pct"/>
            <w:tcBorders>
              <w:tl2br w:val="nil"/>
              <w:tr2bl w:val="nil"/>
            </w:tcBorders>
            <w:vAlign w:val="center"/>
          </w:tcPr>
          <w:p w14:paraId="131F37FA"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VU</w:t>
            </w:r>
          </w:p>
        </w:tc>
        <w:tc>
          <w:tcPr>
            <w:tcW w:w="300" w:type="pct"/>
            <w:tcBorders>
              <w:tl2br w:val="nil"/>
              <w:tr2bl w:val="nil"/>
            </w:tcBorders>
            <w:vAlign w:val="center"/>
          </w:tcPr>
          <w:p w14:paraId="2FB325E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CR</w:t>
            </w:r>
          </w:p>
        </w:tc>
      </w:tr>
      <w:tr w:rsidR="009D12AF" w14:paraId="4ACF267B" w14:textId="77777777">
        <w:trPr>
          <w:trHeight w:val="116"/>
          <w:jc w:val="center"/>
        </w:trPr>
        <w:tc>
          <w:tcPr>
            <w:tcW w:w="352" w:type="pct"/>
            <w:tcBorders>
              <w:tl2br w:val="nil"/>
              <w:tr2bl w:val="nil"/>
            </w:tcBorders>
            <w:vAlign w:val="center"/>
          </w:tcPr>
          <w:p w14:paraId="4DED40AC"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两栖纲</w:t>
            </w:r>
          </w:p>
        </w:tc>
        <w:tc>
          <w:tcPr>
            <w:tcW w:w="255" w:type="pct"/>
            <w:tcBorders>
              <w:tl2br w:val="nil"/>
              <w:tr2bl w:val="nil"/>
            </w:tcBorders>
            <w:vAlign w:val="center"/>
          </w:tcPr>
          <w:p w14:paraId="21D6D7B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2</w:t>
            </w:r>
          </w:p>
        </w:tc>
        <w:tc>
          <w:tcPr>
            <w:tcW w:w="255" w:type="pct"/>
            <w:tcBorders>
              <w:tl2br w:val="nil"/>
              <w:tr2bl w:val="nil"/>
            </w:tcBorders>
            <w:vAlign w:val="center"/>
          </w:tcPr>
          <w:p w14:paraId="4A1E10B2"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4</w:t>
            </w:r>
          </w:p>
        </w:tc>
        <w:tc>
          <w:tcPr>
            <w:tcW w:w="256" w:type="pct"/>
            <w:tcBorders>
              <w:tl2br w:val="nil"/>
              <w:tr2bl w:val="nil"/>
            </w:tcBorders>
            <w:vAlign w:val="center"/>
          </w:tcPr>
          <w:p w14:paraId="7E73639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7</w:t>
            </w:r>
          </w:p>
        </w:tc>
        <w:tc>
          <w:tcPr>
            <w:tcW w:w="255" w:type="pct"/>
            <w:tcBorders>
              <w:tl2br w:val="nil"/>
              <w:tr2bl w:val="nil"/>
            </w:tcBorders>
            <w:vAlign w:val="center"/>
          </w:tcPr>
          <w:p w14:paraId="2BC16DE8"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c>
          <w:tcPr>
            <w:tcW w:w="255" w:type="pct"/>
            <w:tcBorders>
              <w:tl2br w:val="nil"/>
              <w:tr2bl w:val="nil"/>
            </w:tcBorders>
            <w:vAlign w:val="center"/>
          </w:tcPr>
          <w:p w14:paraId="36A2181A"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5</w:t>
            </w:r>
          </w:p>
        </w:tc>
        <w:tc>
          <w:tcPr>
            <w:tcW w:w="256" w:type="pct"/>
            <w:tcBorders>
              <w:tl2br w:val="nil"/>
              <w:tr2bl w:val="nil"/>
            </w:tcBorders>
            <w:vAlign w:val="center"/>
          </w:tcPr>
          <w:p w14:paraId="0383677A"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2</w:t>
            </w:r>
          </w:p>
        </w:tc>
        <w:tc>
          <w:tcPr>
            <w:tcW w:w="255" w:type="pct"/>
            <w:tcBorders>
              <w:tl2br w:val="nil"/>
              <w:tr2bl w:val="nil"/>
            </w:tcBorders>
            <w:vAlign w:val="center"/>
          </w:tcPr>
          <w:p w14:paraId="6325787A"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c>
          <w:tcPr>
            <w:tcW w:w="256" w:type="pct"/>
            <w:tcBorders>
              <w:tl2br w:val="nil"/>
              <w:tr2bl w:val="nil"/>
            </w:tcBorders>
            <w:vAlign w:val="center"/>
          </w:tcPr>
          <w:p w14:paraId="2F8BD34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1</w:t>
            </w:r>
          </w:p>
        </w:tc>
        <w:tc>
          <w:tcPr>
            <w:tcW w:w="519" w:type="pct"/>
            <w:tcBorders>
              <w:tl2br w:val="nil"/>
              <w:tr2bl w:val="nil"/>
            </w:tcBorders>
            <w:vAlign w:val="center"/>
          </w:tcPr>
          <w:p w14:paraId="22347D3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c>
          <w:tcPr>
            <w:tcW w:w="574" w:type="pct"/>
            <w:tcBorders>
              <w:tl2br w:val="nil"/>
              <w:tr2bl w:val="nil"/>
            </w:tcBorders>
            <w:vAlign w:val="center"/>
          </w:tcPr>
          <w:p w14:paraId="52B58D7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2</w:t>
            </w:r>
          </w:p>
        </w:tc>
        <w:tc>
          <w:tcPr>
            <w:tcW w:w="291" w:type="pct"/>
            <w:tcBorders>
              <w:tl2br w:val="nil"/>
              <w:tr2bl w:val="nil"/>
            </w:tcBorders>
            <w:vAlign w:val="center"/>
          </w:tcPr>
          <w:p w14:paraId="19FFDA5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3</w:t>
            </w:r>
          </w:p>
        </w:tc>
        <w:tc>
          <w:tcPr>
            <w:tcW w:w="298" w:type="pct"/>
            <w:tcBorders>
              <w:tl2br w:val="nil"/>
              <w:tr2bl w:val="nil"/>
            </w:tcBorders>
            <w:vAlign w:val="center"/>
          </w:tcPr>
          <w:p w14:paraId="07679DCA"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c>
          <w:tcPr>
            <w:tcW w:w="298" w:type="pct"/>
            <w:tcBorders>
              <w:tl2br w:val="nil"/>
              <w:tr2bl w:val="nil"/>
            </w:tcBorders>
            <w:vAlign w:val="center"/>
          </w:tcPr>
          <w:p w14:paraId="2D1CF69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4</w:t>
            </w:r>
          </w:p>
        </w:tc>
        <w:tc>
          <w:tcPr>
            <w:tcW w:w="313" w:type="pct"/>
            <w:tcBorders>
              <w:tl2br w:val="nil"/>
              <w:tr2bl w:val="nil"/>
            </w:tcBorders>
            <w:vAlign w:val="center"/>
          </w:tcPr>
          <w:p w14:paraId="4B2DF9FE"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c>
          <w:tcPr>
            <w:tcW w:w="300" w:type="pct"/>
            <w:tcBorders>
              <w:tl2br w:val="nil"/>
              <w:tr2bl w:val="nil"/>
            </w:tcBorders>
            <w:vAlign w:val="center"/>
          </w:tcPr>
          <w:p w14:paraId="3DDC6302"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r>
      <w:tr w:rsidR="009D12AF" w14:paraId="789AC8CB" w14:textId="77777777">
        <w:trPr>
          <w:trHeight w:val="85"/>
          <w:jc w:val="center"/>
        </w:trPr>
        <w:tc>
          <w:tcPr>
            <w:tcW w:w="352" w:type="pct"/>
            <w:tcBorders>
              <w:tl2br w:val="nil"/>
              <w:tr2bl w:val="nil"/>
            </w:tcBorders>
            <w:vAlign w:val="center"/>
          </w:tcPr>
          <w:p w14:paraId="080425F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爬行纲</w:t>
            </w:r>
          </w:p>
        </w:tc>
        <w:tc>
          <w:tcPr>
            <w:tcW w:w="255" w:type="pct"/>
            <w:tcBorders>
              <w:tl2br w:val="nil"/>
              <w:tr2bl w:val="nil"/>
            </w:tcBorders>
            <w:vAlign w:val="center"/>
          </w:tcPr>
          <w:p w14:paraId="223109B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1</w:t>
            </w:r>
          </w:p>
        </w:tc>
        <w:tc>
          <w:tcPr>
            <w:tcW w:w="255" w:type="pct"/>
            <w:tcBorders>
              <w:tl2br w:val="nil"/>
              <w:tr2bl w:val="nil"/>
            </w:tcBorders>
            <w:vAlign w:val="center"/>
          </w:tcPr>
          <w:p w14:paraId="4E4E5F9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3</w:t>
            </w:r>
          </w:p>
        </w:tc>
        <w:tc>
          <w:tcPr>
            <w:tcW w:w="256" w:type="pct"/>
            <w:tcBorders>
              <w:tl2br w:val="nil"/>
              <w:tr2bl w:val="nil"/>
            </w:tcBorders>
            <w:vAlign w:val="center"/>
          </w:tcPr>
          <w:p w14:paraId="2FB4E5F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5</w:t>
            </w:r>
          </w:p>
        </w:tc>
        <w:tc>
          <w:tcPr>
            <w:tcW w:w="255" w:type="pct"/>
            <w:tcBorders>
              <w:tl2br w:val="nil"/>
              <w:tr2bl w:val="nil"/>
            </w:tcBorders>
            <w:vAlign w:val="center"/>
          </w:tcPr>
          <w:p w14:paraId="49E7EA1C"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c>
          <w:tcPr>
            <w:tcW w:w="255" w:type="pct"/>
            <w:tcBorders>
              <w:tl2br w:val="nil"/>
              <w:tr2bl w:val="nil"/>
            </w:tcBorders>
            <w:vAlign w:val="center"/>
          </w:tcPr>
          <w:p w14:paraId="610D0DC9"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3</w:t>
            </w:r>
          </w:p>
        </w:tc>
        <w:tc>
          <w:tcPr>
            <w:tcW w:w="256" w:type="pct"/>
            <w:tcBorders>
              <w:tl2br w:val="nil"/>
              <w:tr2bl w:val="nil"/>
            </w:tcBorders>
            <w:vAlign w:val="center"/>
          </w:tcPr>
          <w:p w14:paraId="4CD6BB2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2</w:t>
            </w:r>
          </w:p>
        </w:tc>
        <w:tc>
          <w:tcPr>
            <w:tcW w:w="255" w:type="pct"/>
            <w:tcBorders>
              <w:tl2br w:val="nil"/>
              <w:tr2bl w:val="nil"/>
            </w:tcBorders>
            <w:vAlign w:val="center"/>
          </w:tcPr>
          <w:p w14:paraId="64D6868E"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c>
          <w:tcPr>
            <w:tcW w:w="256" w:type="pct"/>
            <w:tcBorders>
              <w:tl2br w:val="nil"/>
              <w:tr2bl w:val="nil"/>
            </w:tcBorders>
            <w:vAlign w:val="center"/>
          </w:tcPr>
          <w:p w14:paraId="14F4E90E"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c>
          <w:tcPr>
            <w:tcW w:w="519" w:type="pct"/>
            <w:tcBorders>
              <w:tl2br w:val="nil"/>
              <w:tr2bl w:val="nil"/>
            </w:tcBorders>
            <w:vAlign w:val="center"/>
          </w:tcPr>
          <w:p w14:paraId="129D6E0B"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3</w:t>
            </w:r>
          </w:p>
        </w:tc>
        <w:tc>
          <w:tcPr>
            <w:tcW w:w="574" w:type="pct"/>
            <w:tcBorders>
              <w:tl2br w:val="nil"/>
              <w:tr2bl w:val="nil"/>
            </w:tcBorders>
            <w:vAlign w:val="center"/>
          </w:tcPr>
          <w:p w14:paraId="3C93591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5</w:t>
            </w:r>
          </w:p>
        </w:tc>
        <w:tc>
          <w:tcPr>
            <w:tcW w:w="291" w:type="pct"/>
            <w:tcBorders>
              <w:tl2br w:val="nil"/>
              <w:tr2bl w:val="nil"/>
            </w:tcBorders>
            <w:vAlign w:val="center"/>
          </w:tcPr>
          <w:p w14:paraId="7BCC9612"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3</w:t>
            </w:r>
          </w:p>
        </w:tc>
        <w:tc>
          <w:tcPr>
            <w:tcW w:w="298" w:type="pct"/>
            <w:tcBorders>
              <w:tl2br w:val="nil"/>
              <w:tr2bl w:val="nil"/>
            </w:tcBorders>
            <w:vAlign w:val="center"/>
          </w:tcPr>
          <w:p w14:paraId="72A639E1"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c>
          <w:tcPr>
            <w:tcW w:w="298" w:type="pct"/>
            <w:tcBorders>
              <w:tl2br w:val="nil"/>
              <w:tr2bl w:val="nil"/>
            </w:tcBorders>
            <w:vAlign w:val="center"/>
          </w:tcPr>
          <w:p w14:paraId="6E076AF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2</w:t>
            </w:r>
          </w:p>
        </w:tc>
        <w:tc>
          <w:tcPr>
            <w:tcW w:w="313" w:type="pct"/>
            <w:tcBorders>
              <w:tl2br w:val="nil"/>
              <w:tr2bl w:val="nil"/>
            </w:tcBorders>
            <w:vAlign w:val="center"/>
          </w:tcPr>
          <w:p w14:paraId="2DA06EA9"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c>
          <w:tcPr>
            <w:tcW w:w="300" w:type="pct"/>
            <w:tcBorders>
              <w:tl2br w:val="nil"/>
              <w:tr2bl w:val="nil"/>
            </w:tcBorders>
            <w:vAlign w:val="center"/>
          </w:tcPr>
          <w:p w14:paraId="7EC221E2"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r>
      <w:tr w:rsidR="009D12AF" w14:paraId="130DF966" w14:textId="77777777">
        <w:trPr>
          <w:trHeight w:val="150"/>
          <w:jc w:val="center"/>
        </w:trPr>
        <w:tc>
          <w:tcPr>
            <w:tcW w:w="352" w:type="pct"/>
            <w:tcBorders>
              <w:tl2br w:val="nil"/>
              <w:tr2bl w:val="nil"/>
            </w:tcBorders>
            <w:vAlign w:val="center"/>
          </w:tcPr>
          <w:p w14:paraId="651610F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鸟纲</w:t>
            </w:r>
          </w:p>
        </w:tc>
        <w:tc>
          <w:tcPr>
            <w:tcW w:w="255" w:type="pct"/>
            <w:tcBorders>
              <w:tl2br w:val="nil"/>
              <w:tr2bl w:val="nil"/>
            </w:tcBorders>
            <w:vAlign w:val="center"/>
          </w:tcPr>
          <w:p w14:paraId="1A95283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1</w:t>
            </w:r>
            <w:r>
              <w:rPr>
                <w:rFonts w:ascii="Times New Roman" w:eastAsia="等线" w:hAnsi="Times New Roman" w:cs="Times New Roman"/>
                <w:snapToGrid w:val="0"/>
                <w:kern w:val="0"/>
                <w:sz w:val="21"/>
                <w:szCs w:val="21"/>
              </w:rPr>
              <w:t>2</w:t>
            </w:r>
          </w:p>
        </w:tc>
        <w:tc>
          <w:tcPr>
            <w:tcW w:w="255" w:type="pct"/>
            <w:tcBorders>
              <w:tl2br w:val="nil"/>
              <w:tr2bl w:val="nil"/>
            </w:tcBorders>
            <w:vAlign w:val="center"/>
          </w:tcPr>
          <w:p w14:paraId="6733F1E9"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2</w:t>
            </w:r>
            <w:r>
              <w:rPr>
                <w:rFonts w:ascii="Times New Roman" w:eastAsia="等线" w:hAnsi="Times New Roman" w:cs="Times New Roman"/>
                <w:snapToGrid w:val="0"/>
                <w:kern w:val="0"/>
                <w:sz w:val="21"/>
                <w:szCs w:val="21"/>
              </w:rPr>
              <w:t>6</w:t>
            </w:r>
          </w:p>
        </w:tc>
        <w:tc>
          <w:tcPr>
            <w:tcW w:w="256" w:type="pct"/>
            <w:tcBorders>
              <w:tl2br w:val="nil"/>
              <w:tr2bl w:val="nil"/>
            </w:tcBorders>
            <w:vAlign w:val="center"/>
          </w:tcPr>
          <w:p w14:paraId="4ED4592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4</w:t>
            </w:r>
            <w:r>
              <w:rPr>
                <w:rFonts w:ascii="Times New Roman" w:eastAsia="等线" w:hAnsi="Times New Roman" w:cs="Times New Roman"/>
                <w:snapToGrid w:val="0"/>
                <w:kern w:val="0"/>
                <w:sz w:val="21"/>
                <w:szCs w:val="21"/>
              </w:rPr>
              <w:t>7</w:t>
            </w:r>
          </w:p>
        </w:tc>
        <w:tc>
          <w:tcPr>
            <w:tcW w:w="255" w:type="pct"/>
            <w:tcBorders>
              <w:tl2br w:val="nil"/>
              <w:tr2bl w:val="nil"/>
            </w:tcBorders>
            <w:vAlign w:val="center"/>
          </w:tcPr>
          <w:p w14:paraId="436C0687"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2</w:t>
            </w:r>
          </w:p>
        </w:tc>
        <w:tc>
          <w:tcPr>
            <w:tcW w:w="255" w:type="pct"/>
            <w:tcBorders>
              <w:tl2br w:val="nil"/>
              <w:tr2bl w:val="nil"/>
            </w:tcBorders>
            <w:vAlign w:val="center"/>
          </w:tcPr>
          <w:p w14:paraId="2243441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2</w:t>
            </w:r>
            <w:r>
              <w:rPr>
                <w:rFonts w:ascii="Times New Roman" w:eastAsia="等线" w:hAnsi="Times New Roman" w:cs="Times New Roman"/>
                <w:snapToGrid w:val="0"/>
                <w:kern w:val="0"/>
                <w:sz w:val="21"/>
                <w:szCs w:val="21"/>
              </w:rPr>
              <w:t>4</w:t>
            </w:r>
          </w:p>
        </w:tc>
        <w:tc>
          <w:tcPr>
            <w:tcW w:w="256" w:type="pct"/>
            <w:tcBorders>
              <w:tl2br w:val="nil"/>
              <w:tr2bl w:val="nil"/>
            </w:tcBorders>
            <w:vAlign w:val="center"/>
          </w:tcPr>
          <w:p w14:paraId="0997A7B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snapToGrid w:val="0"/>
                <w:kern w:val="0"/>
                <w:sz w:val="21"/>
                <w:szCs w:val="21"/>
              </w:rPr>
              <w:t>21</w:t>
            </w:r>
          </w:p>
        </w:tc>
        <w:tc>
          <w:tcPr>
            <w:tcW w:w="255" w:type="pct"/>
            <w:tcBorders>
              <w:tl2br w:val="nil"/>
              <w:tr2bl w:val="nil"/>
            </w:tcBorders>
            <w:vAlign w:val="center"/>
          </w:tcPr>
          <w:p w14:paraId="1A09889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2</w:t>
            </w:r>
          </w:p>
        </w:tc>
        <w:tc>
          <w:tcPr>
            <w:tcW w:w="256" w:type="pct"/>
            <w:tcBorders>
              <w:tl2br w:val="nil"/>
              <w:tr2bl w:val="nil"/>
            </w:tcBorders>
            <w:vAlign w:val="center"/>
          </w:tcPr>
          <w:p w14:paraId="7AC91D41"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2</w:t>
            </w:r>
          </w:p>
        </w:tc>
        <w:tc>
          <w:tcPr>
            <w:tcW w:w="519" w:type="pct"/>
            <w:tcBorders>
              <w:tl2br w:val="nil"/>
              <w:tr2bl w:val="nil"/>
            </w:tcBorders>
            <w:vAlign w:val="center"/>
          </w:tcPr>
          <w:p w14:paraId="10744D1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3</w:t>
            </w:r>
          </w:p>
        </w:tc>
        <w:tc>
          <w:tcPr>
            <w:tcW w:w="574" w:type="pct"/>
            <w:tcBorders>
              <w:tl2br w:val="nil"/>
              <w:tr2bl w:val="nil"/>
            </w:tcBorders>
            <w:vAlign w:val="center"/>
          </w:tcPr>
          <w:p w14:paraId="58BF06C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3</w:t>
            </w:r>
            <w:r>
              <w:rPr>
                <w:rFonts w:ascii="Times New Roman" w:eastAsia="等线" w:hAnsi="Times New Roman" w:cs="Times New Roman"/>
                <w:snapToGrid w:val="0"/>
                <w:kern w:val="0"/>
                <w:sz w:val="21"/>
                <w:szCs w:val="21"/>
              </w:rPr>
              <w:t>3</w:t>
            </w:r>
          </w:p>
        </w:tc>
        <w:tc>
          <w:tcPr>
            <w:tcW w:w="291" w:type="pct"/>
            <w:tcBorders>
              <w:tl2br w:val="nil"/>
              <w:tr2bl w:val="nil"/>
            </w:tcBorders>
            <w:vAlign w:val="center"/>
          </w:tcPr>
          <w:p w14:paraId="337512A9"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4</w:t>
            </w:r>
            <w:r>
              <w:rPr>
                <w:rFonts w:ascii="Times New Roman" w:eastAsia="等线" w:hAnsi="Times New Roman" w:cs="Times New Roman"/>
                <w:snapToGrid w:val="0"/>
                <w:kern w:val="0"/>
                <w:sz w:val="21"/>
                <w:szCs w:val="21"/>
              </w:rPr>
              <w:t>4</w:t>
            </w:r>
          </w:p>
        </w:tc>
        <w:tc>
          <w:tcPr>
            <w:tcW w:w="298" w:type="pct"/>
            <w:tcBorders>
              <w:tl2br w:val="nil"/>
              <w:tr2bl w:val="nil"/>
            </w:tcBorders>
            <w:vAlign w:val="center"/>
          </w:tcPr>
          <w:p w14:paraId="2D59A09B"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2</w:t>
            </w:r>
          </w:p>
        </w:tc>
        <w:tc>
          <w:tcPr>
            <w:tcW w:w="298" w:type="pct"/>
            <w:tcBorders>
              <w:tl2br w:val="nil"/>
              <w:tr2bl w:val="nil"/>
            </w:tcBorders>
            <w:vAlign w:val="center"/>
          </w:tcPr>
          <w:p w14:paraId="6273318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1</w:t>
            </w:r>
          </w:p>
        </w:tc>
        <w:tc>
          <w:tcPr>
            <w:tcW w:w="313" w:type="pct"/>
            <w:tcBorders>
              <w:tl2br w:val="nil"/>
              <w:tr2bl w:val="nil"/>
            </w:tcBorders>
            <w:vAlign w:val="center"/>
          </w:tcPr>
          <w:p w14:paraId="783FCC0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c>
          <w:tcPr>
            <w:tcW w:w="300" w:type="pct"/>
            <w:tcBorders>
              <w:tl2br w:val="nil"/>
              <w:tr2bl w:val="nil"/>
            </w:tcBorders>
            <w:vAlign w:val="center"/>
          </w:tcPr>
          <w:p w14:paraId="42821289"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r>
      <w:tr w:rsidR="009D12AF" w14:paraId="0D379E80" w14:textId="77777777">
        <w:trPr>
          <w:trHeight w:val="150"/>
          <w:jc w:val="center"/>
        </w:trPr>
        <w:tc>
          <w:tcPr>
            <w:tcW w:w="352" w:type="pct"/>
            <w:tcBorders>
              <w:tl2br w:val="nil"/>
              <w:tr2bl w:val="nil"/>
            </w:tcBorders>
            <w:vAlign w:val="center"/>
          </w:tcPr>
          <w:p w14:paraId="1A25798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兽纲</w:t>
            </w:r>
          </w:p>
        </w:tc>
        <w:tc>
          <w:tcPr>
            <w:tcW w:w="255" w:type="pct"/>
            <w:tcBorders>
              <w:tl2br w:val="nil"/>
              <w:tr2bl w:val="nil"/>
            </w:tcBorders>
            <w:vAlign w:val="center"/>
          </w:tcPr>
          <w:p w14:paraId="2AB4D23E"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7</w:t>
            </w:r>
          </w:p>
        </w:tc>
        <w:tc>
          <w:tcPr>
            <w:tcW w:w="255" w:type="pct"/>
            <w:tcBorders>
              <w:tl2br w:val="nil"/>
              <w:tr2bl w:val="nil"/>
            </w:tcBorders>
            <w:vAlign w:val="center"/>
          </w:tcPr>
          <w:p w14:paraId="75F25AF4"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1</w:t>
            </w:r>
            <w:r>
              <w:rPr>
                <w:rFonts w:ascii="Times New Roman" w:eastAsia="等线" w:hAnsi="Times New Roman" w:cs="Times New Roman"/>
                <w:snapToGrid w:val="0"/>
                <w:kern w:val="0"/>
                <w:sz w:val="21"/>
                <w:szCs w:val="21"/>
              </w:rPr>
              <w:t>0</w:t>
            </w:r>
          </w:p>
        </w:tc>
        <w:tc>
          <w:tcPr>
            <w:tcW w:w="256" w:type="pct"/>
            <w:tcBorders>
              <w:tl2br w:val="nil"/>
              <w:tr2bl w:val="nil"/>
            </w:tcBorders>
            <w:vAlign w:val="center"/>
          </w:tcPr>
          <w:p w14:paraId="6D9838F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1</w:t>
            </w:r>
            <w:r>
              <w:rPr>
                <w:rFonts w:ascii="Times New Roman" w:eastAsia="等线" w:hAnsi="Times New Roman" w:cs="Times New Roman"/>
                <w:snapToGrid w:val="0"/>
                <w:kern w:val="0"/>
                <w:sz w:val="21"/>
                <w:szCs w:val="21"/>
              </w:rPr>
              <w:t>8</w:t>
            </w:r>
          </w:p>
        </w:tc>
        <w:tc>
          <w:tcPr>
            <w:tcW w:w="255" w:type="pct"/>
            <w:tcBorders>
              <w:tl2br w:val="nil"/>
              <w:tr2bl w:val="nil"/>
            </w:tcBorders>
            <w:vAlign w:val="center"/>
          </w:tcPr>
          <w:p w14:paraId="03CDBB4A"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c>
          <w:tcPr>
            <w:tcW w:w="255" w:type="pct"/>
            <w:tcBorders>
              <w:tl2br w:val="nil"/>
              <w:tr2bl w:val="nil"/>
            </w:tcBorders>
            <w:vAlign w:val="center"/>
          </w:tcPr>
          <w:p w14:paraId="0696C6D9"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7</w:t>
            </w:r>
          </w:p>
        </w:tc>
        <w:tc>
          <w:tcPr>
            <w:tcW w:w="256" w:type="pct"/>
            <w:tcBorders>
              <w:tl2br w:val="nil"/>
              <w:tr2bl w:val="nil"/>
            </w:tcBorders>
            <w:vAlign w:val="center"/>
          </w:tcPr>
          <w:p w14:paraId="615738D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1</w:t>
            </w:r>
            <w:r>
              <w:rPr>
                <w:rFonts w:ascii="Times New Roman" w:eastAsia="等线" w:hAnsi="Times New Roman" w:cs="Times New Roman"/>
                <w:snapToGrid w:val="0"/>
                <w:kern w:val="0"/>
                <w:sz w:val="21"/>
                <w:szCs w:val="21"/>
              </w:rPr>
              <w:t>1</w:t>
            </w:r>
          </w:p>
        </w:tc>
        <w:tc>
          <w:tcPr>
            <w:tcW w:w="255" w:type="pct"/>
            <w:tcBorders>
              <w:tl2br w:val="nil"/>
              <w:tr2bl w:val="nil"/>
            </w:tcBorders>
            <w:vAlign w:val="center"/>
          </w:tcPr>
          <w:p w14:paraId="6A2B766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c>
          <w:tcPr>
            <w:tcW w:w="256" w:type="pct"/>
            <w:tcBorders>
              <w:tl2br w:val="nil"/>
              <w:tr2bl w:val="nil"/>
            </w:tcBorders>
            <w:vAlign w:val="center"/>
          </w:tcPr>
          <w:p w14:paraId="206B1EE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c>
          <w:tcPr>
            <w:tcW w:w="519" w:type="pct"/>
            <w:tcBorders>
              <w:tl2br w:val="nil"/>
              <w:tr2bl w:val="nil"/>
            </w:tcBorders>
            <w:vAlign w:val="center"/>
          </w:tcPr>
          <w:p w14:paraId="488D153A"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5</w:t>
            </w:r>
          </w:p>
        </w:tc>
        <w:tc>
          <w:tcPr>
            <w:tcW w:w="574" w:type="pct"/>
            <w:tcBorders>
              <w:tl2br w:val="nil"/>
              <w:tr2bl w:val="nil"/>
            </w:tcBorders>
            <w:vAlign w:val="center"/>
          </w:tcPr>
          <w:p w14:paraId="67742A5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7</w:t>
            </w:r>
          </w:p>
        </w:tc>
        <w:tc>
          <w:tcPr>
            <w:tcW w:w="291" w:type="pct"/>
            <w:tcBorders>
              <w:tl2br w:val="nil"/>
              <w:tr2bl w:val="nil"/>
            </w:tcBorders>
            <w:vAlign w:val="center"/>
          </w:tcPr>
          <w:p w14:paraId="6E88FE08"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1</w:t>
            </w:r>
            <w:r>
              <w:rPr>
                <w:rFonts w:ascii="Times New Roman" w:eastAsia="等线" w:hAnsi="Times New Roman" w:cs="Times New Roman"/>
                <w:snapToGrid w:val="0"/>
                <w:kern w:val="0"/>
                <w:sz w:val="21"/>
                <w:szCs w:val="21"/>
              </w:rPr>
              <w:t>4</w:t>
            </w:r>
          </w:p>
        </w:tc>
        <w:tc>
          <w:tcPr>
            <w:tcW w:w="298" w:type="pct"/>
            <w:tcBorders>
              <w:tl2br w:val="nil"/>
              <w:tr2bl w:val="nil"/>
            </w:tcBorders>
            <w:vAlign w:val="center"/>
          </w:tcPr>
          <w:p w14:paraId="18865C1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c>
          <w:tcPr>
            <w:tcW w:w="298" w:type="pct"/>
            <w:tcBorders>
              <w:tl2br w:val="nil"/>
              <w:tr2bl w:val="nil"/>
            </w:tcBorders>
            <w:vAlign w:val="center"/>
          </w:tcPr>
          <w:p w14:paraId="75888AE4"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4</w:t>
            </w:r>
          </w:p>
        </w:tc>
        <w:tc>
          <w:tcPr>
            <w:tcW w:w="313" w:type="pct"/>
            <w:tcBorders>
              <w:tl2br w:val="nil"/>
              <w:tr2bl w:val="nil"/>
            </w:tcBorders>
            <w:vAlign w:val="center"/>
          </w:tcPr>
          <w:p w14:paraId="12453C2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c>
          <w:tcPr>
            <w:tcW w:w="300" w:type="pct"/>
            <w:tcBorders>
              <w:tl2br w:val="nil"/>
              <w:tr2bl w:val="nil"/>
            </w:tcBorders>
            <w:vAlign w:val="center"/>
          </w:tcPr>
          <w:p w14:paraId="05223AD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r>
      <w:tr w:rsidR="009D12AF" w14:paraId="0E9B8710" w14:textId="77777777">
        <w:trPr>
          <w:trHeight w:val="71"/>
          <w:jc w:val="center"/>
        </w:trPr>
        <w:tc>
          <w:tcPr>
            <w:tcW w:w="352" w:type="pct"/>
            <w:tcBorders>
              <w:tl2br w:val="nil"/>
              <w:tr2bl w:val="nil"/>
            </w:tcBorders>
            <w:vAlign w:val="center"/>
          </w:tcPr>
          <w:p w14:paraId="29C852EB"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合计</w:t>
            </w:r>
          </w:p>
        </w:tc>
        <w:tc>
          <w:tcPr>
            <w:tcW w:w="255" w:type="pct"/>
            <w:tcBorders>
              <w:tl2br w:val="nil"/>
              <w:tr2bl w:val="nil"/>
            </w:tcBorders>
            <w:vAlign w:val="center"/>
          </w:tcPr>
          <w:p w14:paraId="0521C09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2</w:t>
            </w:r>
            <w:r>
              <w:rPr>
                <w:rFonts w:ascii="Times New Roman" w:eastAsia="等线" w:hAnsi="Times New Roman" w:cs="Times New Roman"/>
                <w:snapToGrid w:val="0"/>
                <w:kern w:val="0"/>
                <w:sz w:val="21"/>
                <w:szCs w:val="21"/>
              </w:rPr>
              <w:t>2</w:t>
            </w:r>
          </w:p>
        </w:tc>
        <w:tc>
          <w:tcPr>
            <w:tcW w:w="255" w:type="pct"/>
            <w:tcBorders>
              <w:tl2br w:val="nil"/>
              <w:tr2bl w:val="nil"/>
            </w:tcBorders>
            <w:vAlign w:val="center"/>
          </w:tcPr>
          <w:p w14:paraId="7AE70632"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4</w:t>
            </w:r>
            <w:r>
              <w:rPr>
                <w:rFonts w:ascii="Times New Roman" w:eastAsia="等线" w:hAnsi="Times New Roman" w:cs="Times New Roman"/>
                <w:snapToGrid w:val="0"/>
                <w:kern w:val="0"/>
                <w:sz w:val="21"/>
                <w:szCs w:val="21"/>
              </w:rPr>
              <w:t>3</w:t>
            </w:r>
          </w:p>
        </w:tc>
        <w:tc>
          <w:tcPr>
            <w:tcW w:w="256" w:type="pct"/>
            <w:tcBorders>
              <w:tl2br w:val="nil"/>
              <w:tr2bl w:val="nil"/>
            </w:tcBorders>
            <w:vAlign w:val="center"/>
          </w:tcPr>
          <w:p w14:paraId="0BE5B117"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7</w:t>
            </w:r>
            <w:r>
              <w:rPr>
                <w:rFonts w:ascii="Times New Roman" w:eastAsia="等线" w:hAnsi="Times New Roman" w:cs="Times New Roman"/>
                <w:snapToGrid w:val="0"/>
                <w:kern w:val="0"/>
                <w:sz w:val="21"/>
                <w:szCs w:val="21"/>
              </w:rPr>
              <w:t>7</w:t>
            </w:r>
          </w:p>
        </w:tc>
        <w:tc>
          <w:tcPr>
            <w:tcW w:w="255" w:type="pct"/>
            <w:tcBorders>
              <w:tl2br w:val="nil"/>
              <w:tr2bl w:val="nil"/>
            </w:tcBorders>
            <w:vAlign w:val="center"/>
          </w:tcPr>
          <w:p w14:paraId="05C77BD4"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2</w:t>
            </w:r>
          </w:p>
        </w:tc>
        <w:tc>
          <w:tcPr>
            <w:tcW w:w="255" w:type="pct"/>
            <w:tcBorders>
              <w:tl2br w:val="nil"/>
              <w:tr2bl w:val="nil"/>
            </w:tcBorders>
            <w:vAlign w:val="center"/>
          </w:tcPr>
          <w:p w14:paraId="50E61788"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3</w:t>
            </w:r>
            <w:r>
              <w:rPr>
                <w:rFonts w:ascii="Times New Roman" w:eastAsia="等线" w:hAnsi="Times New Roman" w:cs="Times New Roman"/>
                <w:snapToGrid w:val="0"/>
                <w:kern w:val="0"/>
                <w:sz w:val="21"/>
                <w:szCs w:val="21"/>
              </w:rPr>
              <w:t>9</w:t>
            </w:r>
          </w:p>
        </w:tc>
        <w:tc>
          <w:tcPr>
            <w:tcW w:w="256" w:type="pct"/>
            <w:tcBorders>
              <w:tl2br w:val="nil"/>
              <w:tr2bl w:val="nil"/>
            </w:tcBorders>
            <w:vAlign w:val="center"/>
          </w:tcPr>
          <w:p w14:paraId="262199FE" w14:textId="77777777" w:rsidR="009D12AF" w:rsidRDefault="00000000">
            <w:pPr>
              <w:widowControl/>
              <w:kinsoku w:val="0"/>
              <w:autoSpaceDE w:val="0"/>
              <w:autoSpaceDN w:val="0"/>
              <w:adjustRightInd w:val="0"/>
              <w:snapToGrid w:val="0"/>
              <w:ind w:firstLineChars="0" w:firstLine="0"/>
              <w:jc w:val="left"/>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3</w:t>
            </w:r>
            <w:r>
              <w:rPr>
                <w:rFonts w:ascii="Times New Roman" w:eastAsia="等线" w:hAnsi="Times New Roman" w:cs="Times New Roman"/>
                <w:snapToGrid w:val="0"/>
                <w:kern w:val="0"/>
                <w:sz w:val="21"/>
                <w:szCs w:val="21"/>
              </w:rPr>
              <w:t>6</w:t>
            </w:r>
          </w:p>
        </w:tc>
        <w:tc>
          <w:tcPr>
            <w:tcW w:w="255" w:type="pct"/>
            <w:tcBorders>
              <w:tl2br w:val="nil"/>
              <w:tr2bl w:val="nil"/>
            </w:tcBorders>
            <w:vAlign w:val="center"/>
          </w:tcPr>
          <w:p w14:paraId="721D7A17"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2</w:t>
            </w:r>
          </w:p>
        </w:tc>
        <w:tc>
          <w:tcPr>
            <w:tcW w:w="256" w:type="pct"/>
            <w:tcBorders>
              <w:tl2br w:val="nil"/>
              <w:tr2bl w:val="nil"/>
            </w:tcBorders>
            <w:vAlign w:val="center"/>
          </w:tcPr>
          <w:p w14:paraId="6FE1B5D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3</w:t>
            </w:r>
          </w:p>
        </w:tc>
        <w:tc>
          <w:tcPr>
            <w:tcW w:w="519" w:type="pct"/>
            <w:tcBorders>
              <w:tl2br w:val="nil"/>
              <w:tr2bl w:val="nil"/>
            </w:tcBorders>
            <w:vAlign w:val="center"/>
          </w:tcPr>
          <w:p w14:paraId="410B0D0B"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1</w:t>
            </w:r>
            <w:r>
              <w:rPr>
                <w:rFonts w:ascii="Times New Roman" w:eastAsia="等线" w:hAnsi="Times New Roman" w:cs="Times New Roman"/>
                <w:snapToGrid w:val="0"/>
                <w:kern w:val="0"/>
                <w:sz w:val="21"/>
                <w:szCs w:val="21"/>
              </w:rPr>
              <w:t>1</w:t>
            </w:r>
          </w:p>
        </w:tc>
        <w:tc>
          <w:tcPr>
            <w:tcW w:w="574" w:type="pct"/>
            <w:tcBorders>
              <w:tl2br w:val="nil"/>
              <w:tr2bl w:val="nil"/>
            </w:tcBorders>
            <w:vAlign w:val="center"/>
          </w:tcPr>
          <w:p w14:paraId="6000418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4</w:t>
            </w:r>
            <w:r>
              <w:rPr>
                <w:rFonts w:ascii="Times New Roman" w:eastAsia="等线" w:hAnsi="Times New Roman" w:cs="Times New Roman"/>
                <w:snapToGrid w:val="0"/>
                <w:kern w:val="0"/>
                <w:sz w:val="21"/>
                <w:szCs w:val="21"/>
              </w:rPr>
              <w:t>7</w:t>
            </w:r>
          </w:p>
        </w:tc>
        <w:tc>
          <w:tcPr>
            <w:tcW w:w="291" w:type="pct"/>
            <w:tcBorders>
              <w:tl2br w:val="nil"/>
              <w:tr2bl w:val="nil"/>
            </w:tcBorders>
            <w:vAlign w:val="center"/>
          </w:tcPr>
          <w:p w14:paraId="04DEAC6B"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6</w:t>
            </w:r>
            <w:r>
              <w:rPr>
                <w:rFonts w:ascii="Times New Roman" w:eastAsia="等线" w:hAnsi="Times New Roman" w:cs="Times New Roman"/>
                <w:snapToGrid w:val="0"/>
                <w:kern w:val="0"/>
                <w:sz w:val="21"/>
                <w:szCs w:val="21"/>
              </w:rPr>
              <w:t>4</w:t>
            </w:r>
          </w:p>
        </w:tc>
        <w:tc>
          <w:tcPr>
            <w:tcW w:w="298" w:type="pct"/>
            <w:tcBorders>
              <w:tl2br w:val="nil"/>
              <w:tr2bl w:val="nil"/>
            </w:tcBorders>
            <w:vAlign w:val="center"/>
          </w:tcPr>
          <w:p w14:paraId="6D89263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2</w:t>
            </w:r>
          </w:p>
        </w:tc>
        <w:tc>
          <w:tcPr>
            <w:tcW w:w="298" w:type="pct"/>
            <w:tcBorders>
              <w:tl2br w:val="nil"/>
              <w:tr2bl w:val="nil"/>
            </w:tcBorders>
            <w:vAlign w:val="center"/>
          </w:tcPr>
          <w:p w14:paraId="418BDF4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1</w:t>
            </w:r>
            <w:r>
              <w:rPr>
                <w:rFonts w:ascii="Times New Roman" w:eastAsia="等线" w:hAnsi="Times New Roman" w:cs="Times New Roman"/>
                <w:snapToGrid w:val="0"/>
                <w:kern w:val="0"/>
                <w:sz w:val="21"/>
                <w:szCs w:val="21"/>
              </w:rPr>
              <w:t>1</w:t>
            </w:r>
          </w:p>
        </w:tc>
        <w:tc>
          <w:tcPr>
            <w:tcW w:w="313" w:type="pct"/>
            <w:tcBorders>
              <w:tl2br w:val="nil"/>
              <w:tr2bl w:val="nil"/>
            </w:tcBorders>
            <w:vAlign w:val="center"/>
          </w:tcPr>
          <w:p w14:paraId="2E026637"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c>
          <w:tcPr>
            <w:tcW w:w="300" w:type="pct"/>
            <w:tcBorders>
              <w:tl2br w:val="nil"/>
              <w:tr2bl w:val="nil"/>
            </w:tcBorders>
            <w:vAlign w:val="center"/>
          </w:tcPr>
          <w:p w14:paraId="2D180C4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rPr>
            </w:pPr>
            <w:r>
              <w:rPr>
                <w:rFonts w:ascii="Times New Roman" w:eastAsia="等线" w:hAnsi="Times New Roman" w:cs="Times New Roman" w:hint="eastAsia"/>
                <w:snapToGrid w:val="0"/>
                <w:kern w:val="0"/>
                <w:sz w:val="21"/>
                <w:szCs w:val="21"/>
              </w:rPr>
              <w:t>0</w:t>
            </w:r>
          </w:p>
        </w:tc>
      </w:tr>
    </w:tbl>
    <w:p w14:paraId="7F993C09" w14:textId="77777777" w:rsidR="009D12AF" w:rsidRDefault="00000000">
      <w:pPr>
        <w:spacing w:after="160" w:line="300" w:lineRule="auto"/>
        <w:ind w:firstLine="360"/>
        <w:jc w:val="left"/>
        <w:rPr>
          <w:rFonts w:ascii="Times New Roman" w:eastAsia="宋体" w:hAnsi="Times New Roman" w:cs="Times New Roman"/>
          <w:sz w:val="18"/>
          <w:szCs w:val="18"/>
        </w:rPr>
      </w:pPr>
      <w:r>
        <w:rPr>
          <w:rFonts w:ascii="Times New Roman" w:eastAsia="宋体" w:hAnsi="Times New Roman" w:cs="Times New Roman"/>
          <w:sz w:val="18"/>
          <w:szCs w:val="18"/>
        </w:rPr>
        <w:t>注：依据《中国动物地理》</w:t>
      </w:r>
      <w:r>
        <w:rPr>
          <w:rFonts w:ascii="Times New Roman" w:eastAsia="宋体" w:hAnsi="Times New Roman" w:cs="Times New Roman"/>
          <w:sz w:val="18"/>
          <w:szCs w:val="18"/>
        </w:rPr>
        <w:t>(</w:t>
      </w:r>
      <w:r>
        <w:rPr>
          <w:rFonts w:ascii="Times New Roman" w:eastAsia="宋体" w:hAnsi="Times New Roman" w:cs="Times New Roman"/>
          <w:sz w:val="18"/>
          <w:szCs w:val="18"/>
        </w:rPr>
        <w:t>张荣组，科学出版社，</w:t>
      </w:r>
      <w:r>
        <w:rPr>
          <w:rFonts w:ascii="Times New Roman" w:eastAsia="宋体" w:hAnsi="Times New Roman" w:cs="Times New Roman"/>
          <w:sz w:val="18"/>
          <w:szCs w:val="18"/>
        </w:rPr>
        <w:t>2011)</w:t>
      </w:r>
      <w:r>
        <w:rPr>
          <w:rFonts w:ascii="Times New Roman" w:eastAsia="宋体" w:hAnsi="Times New Roman" w:cs="Times New Roman"/>
          <w:sz w:val="18"/>
          <w:szCs w:val="18"/>
        </w:rPr>
        <w:t>确定动物组成</w:t>
      </w:r>
      <w:r>
        <w:rPr>
          <w:rFonts w:ascii="Times New Roman" w:eastAsia="宋体" w:hAnsi="Times New Roman" w:cs="Times New Roman"/>
          <w:sz w:val="18"/>
          <w:szCs w:val="18"/>
        </w:rPr>
        <w:t>(</w:t>
      </w:r>
      <w:r>
        <w:rPr>
          <w:rFonts w:ascii="Times New Roman" w:eastAsia="宋体" w:hAnsi="Times New Roman" w:cs="Times New Roman"/>
          <w:sz w:val="18"/>
          <w:szCs w:val="18"/>
        </w:rPr>
        <w:t>纲目、科、种</w:t>
      </w:r>
      <w:r>
        <w:rPr>
          <w:rFonts w:ascii="Times New Roman" w:eastAsia="宋体" w:hAnsi="Times New Roman" w:cs="Times New Roman"/>
          <w:sz w:val="18"/>
          <w:szCs w:val="18"/>
        </w:rPr>
        <w:t>)</w:t>
      </w:r>
      <w:r>
        <w:rPr>
          <w:rFonts w:ascii="Times New Roman" w:eastAsia="宋体" w:hAnsi="Times New Roman" w:cs="Times New Roman"/>
          <w:sz w:val="18"/>
          <w:szCs w:val="18"/>
        </w:rPr>
        <w:t>、动物区化、动物区系</w:t>
      </w:r>
      <w:r>
        <w:rPr>
          <w:rFonts w:ascii="Times New Roman" w:eastAsia="宋体" w:hAnsi="Times New Roman" w:cs="Times New Roman"/>
          <w:sz w:val="18"/>
          <w:szCs w:val="18"/>
        </w:rPr>
        <w:t>(</w:t>
      </w:r>
      <w:r>
        <w:rPr>
          <w:rFonts w:ascii="Times New Roman" w:eastAsia="宋体" w:hAnsi="Times New Roman" w:cs="Times New Roman"/>
          <w:sz w:val="18"/>
          <w:szCs w:val="18"/>
        </w:rPr>
        <w:t>分布型</w:t>
      </w:r>
      <w:r>
        <w:rPr>
          <w:rFonts w:ascii="Times New Roman" w:eastAsia="宋体" w:hAnsi="Times New Roman" w:cs="Times New Roman"/>
          <w:sz w:val="18"/>
          <w:szCs w:val="18"/>
        </w:rPr>
        <w:t>)</w:t>
      </w:r>
      <w:r>
        <w:rPr>
          <w:rFonts w:ascii="Times New Roman" w:eastAsia="宋体" w:hAnsi="Times New Roman" w:cs="Times New Roman"/>
          <w:sz w:val="18"/>
          <w:szCs w:val="18"/>
        </w:rPr>
        <w:t>；依据《国家重点保护野生动物名录</w:t>
      </w:r>
      <w:r>
        <w:rPr>
          <w:rFonts w:ascii="Times New Roman" w:eastAsia="宋体" w:hAnsi="Times New Roman" w:cs="Times New Roman"/>
          <w:sz w:val="18"/>
          <w:szCs w:val="18"/>
        </w:rPr>
        <w:t>(2021)</w:t>
      </w:r>
      <w:r>
        <w:rPr>
          <w:rFonts w:ascii="Times New Roman" w:eastAsia="宋体" w:hAnsi="Times New Roman" w:cs="Times New Roman"/>
          <w:sz w:val="18"/>
          <w:szCs w:val="18"/>
        </w:rPr>
        <w:t>》、《黑龙江省地方重点保护野生动物名录</w:t>
      </w:r>
      <w:r>
        <w:rPr>
          <w:rFonts w:ascii="Times New Roman" w:eastAsia="宋体" w:hAnsi="Times New Roman" w:cs="Times New Roman"/>
          <w:sz w:val="18"/>
          <w:szCs w:val="18"/>
        </w:rPr>
        <w:t>(1996)</w:t>
      </w:r>
      <w:r>
        <w:rPr>
          <w:rFonts w:ascii="Times New Roman" w:eastAsia="宋体" w:hAnsi="Times New Roman" w:cs="Times New Roman"/>
          <w:sz w:val="18"/>
          <w:szCs w:val="18"/>
        </w:rPr>
        <w:t>》确定动物保护级别；依据《有重要生态、科学、社会价值的陆生野生动物名录》确定有重要价值动物；依据《中国生物多样性红色名录》确定评估等级。</w:t>
      </w:r>
    </w:p>
    <w:p w14:paraId="34A1338F" w14:textId="77777777" w:rsidR="009D12AF" w:rsidRDefault="00000000">
      <w:pPr>
        <w:ind w:firstLine="480"/>
      </w:pPr>
      <w:r>
        <w:rPr>
          <w:rFonts w:hint="eastAsia"/>
        </w:rPr>
        <w:t>三、脊椎动物类</w:t>
      </w:r>
    </w:p>
    <w:p w14:paraId="2743CC64" w14:textId="77777777" w:rsidR="009D12AF" w:rsidRDefault="00000000">
      <w:pPr>
        <w:ind w:firstLine="480"/>
      </w:pPr>
      <w:r>
        <w:rPr>
          <w:rFonts w:hint="eastAsia"/>
        </w:rPr>
        <w:t>1</w:t>
      </w:r>
      <w:r>
        <w:rPr>
          <w:rFonts w:hint="eastAsia"/>
        </w:rPr>
        <w:t>、两栖类</w:t>
      </w:r>
    </w:p>
    <w:p w14:paraId="6F04F131" w14:textId="77777777" w:rsidR="009D12AF" w:rsidRDefault="00000000">
      <w:pPr>
        <w:adjustRightInd w:val="0"/>
        <w:ind w:firstLine="480"/>
        <w:jc w:val="left"/>
        <w:rPr>
          <w:rFonts w:ascii="Times New Roman" w:eastAsia="宋体" w:hAnsi="Times New Roman" w:cs="Times New Roman"/>
        </w:rPr>
      </w:pPr>
      <w:r>
        <w:rPr>
          <w:rFonts w:ascii="Times New Roman" w:eastAsia="宋体" w:hAnsi="Times New Roman" w:cs="Times New Roman" w:hint="eastAsia"/>
        </w:rPr>
        <w:t>a</w:t>
      </w:r>
      <w:r>
        <w:rPr>
          <w:rFonts w:ascii="Times New Roman" w:eastAsia="宋体" w:hAnsi="Times New Roman" w:cs="Times New Roman"/>
        </w:rPr>
        <w:t>.</w:t>
      </w:r>
      <w:r>
        <w:rPr>
          <w:rFonts w:ascii="Times New Roman" w:eastAsia="宋体" w:hAnsi="Times New Roman" w:cs="Times New Roman" w:hint="eastAsia"/>
        </w:rPr>
        <w:t>种类及区系组成</w:t>
      </w:r>
    </w:p>
    <w:p w14:paraId="2BA5CEFA" w14:textId="77777777" w:rsidR="009D12AF" w:rsidRDefault="00000000">
      <w:pPr>
        <w:wordWrap w:val="0"/>
        <w:adjustRightInd w:val="0"/>
        <w:ind w:firstLine="480"/>
        <w:jc w:val="left"/>
        <w:rPr>
          <w:rFonts w:ascii="Times New Roman" w:eastAsia="宋体" w:hAnsi="Times New Roman" w:cs="Times New Roman"/>
        </w:rPr>
      </w:pPr>
      <w:r>
        <w:rPr>
          <w:rFonts w:ascii="Times New Roman" w:eastAsia="宋体" w:hAnsi="Times New Roman" w:cs="Times New Roman" w:hint="eastAsia"/>
        </w:rPr>
        <w:lastRenderedPageBreak/>
        <w:t>评价区内共有两栖类动物</w:t>
      </w:r>
      <w:r>
        <w:rPr>
          <w:rFonts w:ascii="Times New Roman" w:eastAsia="宋体" w:hAnsi="Times New Roman" w:cs="Times New Roman" w:hint="eastAsia"/>
        </w:rPr>
        <w:t>2</w:t>
      </w:r>
      <w:r>
        <w:rPr>
          <w:rFonts w:ascii="Times New Roman" w:eastAsia="宋体" w:hAnsi="Times New Roman" w:cs="Times New Roman" w:hint="eastAsia"/>
        </w:rPr>
        <w:t>目</w:t>
      </w:r>
      <w:r>
        <w:rPr>
          <w:rFonts w:ascii="Times New Roman" w:eastAsia="宋体" w:hAnsi="Times New Roman" w:cs="Times New Roman" w:hint="eastAsia"/>
        </w:rPr>
        <w:t>4</w:t>
      </w:r>
      <w:r>
        <w:rPr>
          <w:rFonts w:ascii="Times New Roman" w:eastAsia="宋体" w:hAnsi="Times New Roman" w:cs="Times New Roman" w:hint="eastAsia"/>
        </w:rPr>
        <w:t>科</w:t>
      </w:r>
      <w:r>
        <w:rPr>
          <w:rFonts w:ascii="Times New Roman" w:eastAsia="宋体" w:hAnsi="Times New Roman" w:cs="Times New Roman"/>
        </w:rPr>
        <w:t>7</w:t>
      </w:r>
      <w:r>
        <w:rPr>
          <w:rFonts w:ascii="Times New Roman" w:eastAsia="宋体" w:hAnsi="Times New Roman" w:cs="Times New Roman" w:hint="eastAsia"/>
        </w:rPr>
        <w:t>种，按区系类型分，将评价区两栖类分为</w:t>
      </w:r>
      <w:r>
        <w:rPr>
          <w:rFonts w:ascii="Times New Roman" w:eastAsia="宋体" w:hAnsi="Times New Roman" w:cs="Times New Roman" w:hint="eastAsia"/>
        </w:rPr>
        <w:t>2</w:t>
      </w:r>
      <w:r>
        <w:rPr>
          <w:rFonts w:ascii="Times New Roman" w:eastAsia="宋体" w:hAnsi="Times New Roman" w:cs="Times New Roman" w:hint="eastAsia"/>
        </w:rPr>
        <w:t>种区系类型：古北种</w:t>
      </w:r>
      <w:r>
        <w:rPr>
          <w:rFonts w:ascii="Times New Roman" w:eastAsia="宋体" w:hAnsi="Times New Roman" w:cs="Times New Roman"/>
        </w:rPr>
        <w:t>5</w:t>
      </w:r>
      <w:r>
        <w:rPr>
          <w:rFonts w:ascii="Times New Roman" w:eastAsia="宋体" w:hAnsi="Times New Roman" w:cs="Times New Roman" w:hint="eastAsia"/>
        </w:rPr>
        <w:t>种，占</w:t>
      </w:r>
      <w:r>
        <w:rPr>
          <w:rFonts w:ascii="Times New Roman" w:eastAsia="宋体" w:hAnsi="Times New Roman" w:cs="Times New Roman"/>
        </w:rPr>
        <w:t>71.43</w:t>
      </w:r>
      <w:r>
        <w:rPr>
          <w:rFonts w:ascii="Times New Roman" w:eastAsia="宋体" w:hAnsi="Times New Roman" w:cs="Times New Roman" w:hint="eastAsia"/>
        </w:rPr>
        <w:t>%</w:t>
      </w:r>
      <w:r>
        <w:rPr>
          <w:rFonts w:ascii="Times New Roman" w:eastAsia="宋体" w:hAnsi="Times New Roman" w:cs="Times New Roman" w:hint="eastAsia"/>
        </w:rPr>
        <w:t>；广布种</w:t>
      </w:r>
      <w:r>
        <w:rPr>
          <w:rFonts w:ascii="Times New Roman" w:eastAsia="宋体" w:hAnsi="Times New Roman" w:cs="Times New Roman" w:hint="eastAsia"/>
        </w:rPr>
        <w:t>2</w:t>
      </w:r>
      <w:r>
        <w:rPr>
          <w:rFonts w:ascii="Times New Roman" w:eastAsia="宋体" w:hAnsi="Times New Roman" w:cs="Times New Roman" w:hint="eastAsia"/>
        </w:rPr>
        <w:t>种，占</w:t>
      </w:r>
      <w:r>
        <w:rPr>
          <w:rFonts w:ascii="Times New Roman" w:eastAsia="宋体" w:hAnsi="Times New Roman" w:cs="Times New Roman"/>
        </w:rPr>
        <w:t>28.57</w:t>
      </w:r>
      <w:r>
        <w:rPr>
          <w:rFonts w:ascii="Times New Roman" w:eastAsia="宋体" w:hAnsi="Times New Roman" w:cs="Times New Roman" w:hint="eastAsia"/>
        </w:rPr>
        <w:t>%</w:t>
      </w:r>
      <w:r>
        <w:rPr>
          <w:rFonts w:ascii="Times New Roman" w:eastAsia="宋体" w:hAnsi="Times New Roman" w:cs="Times New Roman" w:hint="eastAsia"/>
        </w:rPr>
        <w:t>。根据调查及访问调查结果，评价区分布有国家二级重点保护两栖类</w:t>
      </w:r>
      <w:r>
        <w:rPr>
          <w:rFonts w:ascii="Times New Roman" w:eastAsia="宋体" w:hAnsi="Times New Roman" w:cs="Times New Roman" w:hint="eastAsia"/>
        </w:rPr>
        <w:t>1</w:t>
      </w:r>
      <w:r>
        <w:rPr>
          <w:rFonts w:ascii="Times New Roman" w:eastAsia="宋体" w:hAnsi="Times New Roman" w:cs="Times New Roman" w:hint="eastAsia"/>
        </w:rPr>
        <w:t>种，为极北鲵</w:t>
      </w:r>
      <w:r>
        <w:rPr>
          <w:rFonts w:ascii="Times New Roman" w:eastAsia="宋体" w:hAnsi="Times New Roman" w:cs="Times New Roman" w:hint="eastAsia"/>
        </w:rPr>
        <w:t>(</w:t>
      </w:r>
      <w:r>
        <w:rPr>
          <w:rFonts w:ascii="Times New Roman" w:eastAsia="宋体" w:hAnsi="Times New Roman" w:cs="Times New Roman"/>
          <w:i/>
          <w:iCs/>
        </w:rPr>
        <w:t>Salamandrella keyserlingii</w:t>
      </w:r>
      <w:r>
        <w:rPr>
          <w:rFonts w:ascii="Times New Roman" w:eastAsia="宋体" w:hAnsi="Times New Roman" w:cs="Times New Roman" w:hint="eastAsia"/>
        </w:rPr>
        <w:t>)</w:t>
      </w:r>
      <w:r>
        <w:rPr>
          <w:rFonts w:ascii="Times New Roman" w:eastAsia="宋体" w:hAnsi="Times New Roman" w:cs="Times New Roman" w:hint="eastAsia"/>
        </w:rPr>
        <w:t>；未发现黑龙江省重点保护动物，除国家二级重点保护动物的东北小鲵外，还包括中华蟾蜍</w:t>
      </w:r>
      <w:r>
        <w:rPr>
          <w:rFonts w:ascii="Times New Roman" w:eastAsia="宋体" w:hAnsi="Times New Roman" w:cs="Times New Roman" w:hint="eastAsia"/>
        </w:rPr>
        <w:t>(</w:t>
      </w:r>
      <w:r>
        <w:rPr>
          <w:rFonts w:ascii="Times New Roman" w:eastAsia="宋体" w:hAnsi="Times New Roman" w:cs="Times New Roman" w:hint="eastAsia"/>
          <w:i/>
          <w:iCs/>
        </w:rPr>
        <w:t>Bufo gargarizans</w:t>
      </w:r>
      <w:r>
        <w:rPr>
          <w:rFonts w:ascii="Times New Roman" w:eastAsia="宋体" w:hAnsi="Times New Roman" w:cs="Times New Roman" w:hint="eastAsia"/>
        </w:rPr>
        <w:t>)</w:t>
      </w:r>
      <w:r>
        <w:rPr>
          <w:rFonts w:ascii="Times New Roman" w:eastAsia="宋体" w:hAnsi="Times New Roman" w:cs="Times New Roman" w:hint="eastAsia"/>
        </w:rPr>
        <w:t>、花背蟾蜍</w:t>
      </w:r>
      <w:r>
        <w:rPr>
          <w:rFonts w:ascii="Times New Roman" w:eastAsia="宋体" w:hAnsi="Times New Roman" w:cs="Times New Roman" w:hint="eastAsia"/>
        </w:rPr>
        <w:t>(</w:t>
      </w:r>
      <w:r>
        <w:rPr>
          <w:rFonts w:ascii="Times New Roman" w:eastAsia="宋体" w:hAnsi="Times New Roman" w:cs="Times New Roman"/>
          <w:i/>
          <w:iCs/>
        </w:rPr>
        <w:t>Strauchbufo raddei</w:t>
      </w:r>
      <w:r>
        <w:rPr>
          <w:rFonts w:ascii="Times New Roman" w:eastAsia="宋体" w:hAnsi="Times New Roman" w:cs="Times New Roman" w:hint="eastAsia"/>
        </w:rPr>
        <w:t>)</w:t>
      </w:r>
      <w:r>
        <w:rPr>
          <w:rFonts w:ascii="Times New Roman" w:eastAsia="宋体" w:hAnsi="Times New Roman" w:cs="Times New Roman" w:hint="eastAsia"/>
        </w:rPr>
        <w:t>、东北雨蛙</w:t>
      </w:r>
      <w:r>
        <w:rPr>
          <w:rFonts w:ascii="Times New Roman" w:eastAsia="宋体" w:hAnsi="Times New Roman" w:cs="Times New Roman" w:hint="eastAsia"/>
        </w:rPr>
        <w:t>(</w:t>
      </w:r>
      <w:r>
        <w:rPr>
          <w:rFonts w:ascii="Times New Roman" w:eastAsia="宋体" w:hAnsi="Times New Roman" w:cs="Times New Roman" w:hint="eastAsia"/>
          <w:i/>
          <w:iCs/>
        </w:rPr>
        <w:t>Hyli ussuriensis</w:t>
      </w:r>
      <w:r>
        <w:rPr>
          <w:rFonts w:ascii="Times New Roman" w:eastAsia="宋体" w:hAnsi="Times New Roman" w:cs="Times New Roman" w:hint="eastAsia"/>
        </w:rPr>
        <w:t>)</w:t>
      </w:r>
      <w:r>
        <w:rPr>
          <w:rFonts w:ascii="Times New Roman" w:eastAsia="宋体" w:hAnsi="Times New Roman" w:cs="Times New Roman" w:hint="eastAsia"/>
        </w:rPr>
        <w:t>、黑龙江林蛙</w:t>
      </w:r>
      <w:r>
        <w:rPr>
          <w:rFonts w:ascii="Times New Roman" w:eastAsia="宋体" w:hAnsi="Times New Roman" w:cs="Times New Roman" w:hint="eastAsia"/>
        </w:rPr>
        <w:t>(</w:t>
      </w:r>
      <w:r>
        <w:rPr>
          <w:rFonts w:ascii="Times New Roman" w:eastAsia="宋体" w:hAnsi="Times New Roman" w:cs="Times New Roman" w:hint="eastAsia"/>
          <w:i/>
          <w:iCs/>
        </w:rPr>
        <w:t>Rana amurensis</w:t>
      </w:r>
      <w:r>
        <w:rPr>
          <w:rFonts w:ascii="Times New Roman" w:eastAsia="宋体" w:hAnsi="Times New Roman" w:cs="Times New Roman" w:hint="eastAsia"/>
        </w:rPr>
        <w:t>)</w:t>
      </w:r>
      <w:r>
        <w:rPr>
          <w:rFonts w:ascii="Times New Roman" w:eastAsia="宋体" w:hAnsi="Times New Roman" w:cs="Times New Roman" w:hint="eastAsia"/>
        </w:rPr>
        <w:t>、东北林蛙</w:t>
      </w:r>
      <w:r>
        <w:rPr>
          <w:rFonts w:ascii="Times New Roman" w:eastAsia="宋体" w:hAnsi="Times New Roman" w:cs="Times New Roman" w:hint="eastAsia"/>
        </w:rPr>
        <w:t>(</w:t>
      </w:r>
      <w:r>
        <w:rPr>
          <w:rFonts w:ascii="Times New Roman" w:eastAsia="宋体" w:hAnsi="Times New Roman" w:cs="Times New Roman" w:hint="eastAsia"/>
          <w:i/>
          <w:iCs/>
        </w:rPr>
        <w:t>Rana dybowskii</w:t>
      </w:r>
      <w:r>
        <w:rPr>
          <w:rFonts w:ascii="Times New Roman" w:eastAsia="宋体" w:hAnsi="Times New Roman" w:cs="Times New Roman" w:hint="eastAsia"/>
        </w:rPr>
        <w:t>)</w:t>
      </w:r>
      <w:r>
        <w:rPr>
          <w:rFonts w:ascii="Times New Roman" w:eastAsia="宋体" w:hAnsi="Times New Roman" w:cs="Times New Roman" w:hint="eastAsia"/>
        </w:rPr>
        <w:t>、黑斑侧褶蛙</w:t>
      </w:r>
      <w:r>
        <w:rPr>
          <w:rFonts w:ascii="Times New Roman" w:eastAsia="宋体" w:hAnsi="Times New Roman" w:cs="Times New Roman" w:hint="eastAsia"/>
        </w:rPr>
        <w:t>(</w:t>
      </w:r>
      <w:r>
        <w:rPr>
          <w:rFonts w:ascii="Times New Roman" w:eastAsia="宋体" w:hAnsi="Times New Roman" w:cs="Times New Roman" w:hint="eastAsia"/>
          <w:i/>
          <w:iCs/>
        </w:rPr>
        <w:t>Pelophylax nigromaculatus</w:t>
      </w:r>
      <w:r>
        <w:rPr>
          <w:rFonts w:ascii="Times New Roman" w:eastAsia="宋体" w:hAnsi="Times New Roman" w:cs="Times New Roman" w:hint="eastAsia"/>
        </w:rPr>
        <w:t>)</w:t>
      </w:r>
      <w:r>
        <w:rPr>
          <w:rFonts w:ascii="Times New Roman" w:eastAsia="宋体" w:hAnsi="Times New Roman" w:cs="Times New Roman" w:hint="eastAsia"/>
        </w:rPr>
        <w:t>。详情见表</w:t>
      </w:r>
      <w:r>
        <w:rPr>
          <w:rFonts w:ascii="Times New Roman" w:eastAsia="宋体" w:hAnsi="Times New Roman" w:cs="Times New Roman" w:hint="eastAsia"/>
        </w:rPr>
        <w:t>4.3-53</w:t>
      </w:r>
      <w:r>
        <w:rPr>
          <w:rFonts w:ascii="Times New Roman" w:eastAsia="宋体" w:hAnsi="Times New Roman" w:cs="Times New Roman" w:hint="eastAsia"/>
        </w:rPr>
        <w:t>。</w:t>
      </w:r>
    </w:p>
    <w:p w14:paraId="13020F23" w14:textId="77777777" w:rsidR="009D12AF" w:rsidRDefault="00000000">
      <w:pPr>
        <w:spacing w:line="600" w:lineRule="exact"/>
        <w:ind w:firstLine="482"/>
        <w:jc w:val="center"/>
        <w:rPr>
          <w:rFonts w:ascii="宋体" w:eastAsia="宋体" w:hAnsi="宋体" w:cs="Arial" w:hint="eastAsia"/>
          <w:b/>
          <w:bCs/>
          <w:szCs w:val="21"/>
        </w:rPr>
      </w:pPr>
      <w:bookmarkStart w:id="246" w:name="_Toc10574"/>
      <w:r>
        <w:rPr>
          <w:rFonts w:ascii="宋体" w:eastAsia="宋体" w:hAnsi="宋体" w:cs="Arial" w:hint="eastAsia"/>
          <w:b/>
          <w:bCs/>
        </w:rPr>
        <w:t>表4.3-53  评价范围内两栖类调查情况统计</w:t>
      </w:r>
      <w:bookmarkEnd w:id="246"/>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762"/>
        <w:gridCol w:w="1018"/>
        <w:gridCol w:w="1018"/>
        <w:gridCol w:w="726"/>
        <w:gridCol w:w="1168"/>
        <w:gridCol w:w="1162"/>
        <w:gridCol w:w="668"/>
      </w:tblGrid>
      <w:tr w:rsidR="009D12AF" w14:paraId="38D5B010" w14:textId="77777777">
        <w:trPr>
          <w:trHeight w:val="312"/>
        </w:trPr>
        <w:tc>
          <w:tcPr>
            <w:tcW w:w="1621" w:type="pct"/>
            <w:tcBorders>
              <w:tl2br w:val="nil"/>
              <w:tr2bl w:val="nil"/>
            </w:tcBorders>
            <w:vAlign w:val="center"/>
          </w:tcPr>
          <w:p w14:paraId="510B5BAD" w14:textId="77777777" w:rsidR="009D12AF" w:rsidRDefault="00000000">
            <w:pPr>
              <w:spacing w:line="0" w:lineRule="atLeast"/>
              <w:ind w:firstLineChars="0" w:firstLine="0"/>
              <w:jc w:val="center"/>
              <w:rPr>
                <w:rFonts w:ascii="宋体" w:eastAsia="宋体" w:hAnsi="宋体" w:cs="Times New Roman" w:hint="eastAsia"/>
                <w:b/>
                <w:bCs/>
                <w:sz w:val="21"/>
                <w:szCs w:val="21"/>
              </w:rPr>
            </w:pPr>
            <w:r>
              <w:rPr>
                <w:rFonts w:ascii="宋体" w:eastAsia="宋体" w:hAnsi="宋体" w:cs="Times New Roman"/>
                <w:b/>
                <w:bCs/>
                <w:sz w:val="21"/>
                <w:szCs w:val="21"/>
              </w:rPr>
              <w:t>中文名、学名</w:t>
            </w:r>
          </w:p>
        </w:tc>
        <w:tc>
          <w:tcPr>
            <w:tcW w:w="597" w:type="pct"/>
            <w:tcBorders>
              <w:tl2br w:val="nil"/>
              <w:tr2bl w:val="nil"/>
            </w:tcBorders>
            <w:vAlign w:val="center"/>
          </w:tcPr>
          <w:p w14:paraId="3BC8CAE6" w14:textId="77777777" w:rsidR="009D12AF" w:rsidRDefault="00000000">
            <w:pPr>
              <w:spacing w:line="0" w:lineRule="atLeast"/>
              <w:ind w:firstLineChars="0" w:firstLine="0"/>
              <w:jc w:val="center"/>
              <w:rPr>
                <w:rFonts w:ascii="宋体" w:eastAsia="宋体" w:hAnsi="宋体" w:cs="Times New Roman" w:hint="eastAsia"/>
                <w:b/>
                <w:bCs/>
                <w:sz w:val="21"/>
                <w:szCs w:val="21"/>
              </w:rPr>
            </w:pPr>
            <w:r>
              <w:rPr>
                <w:rFonts w:ascii="宋体" w:eastAsia="宋体" w:hAnsi="宋体" w:cs="Times New Roman"/>
                <w:b/>
                <w:bCs/>
                <w:sz w:val="21"/>
                <w:szCs w:val="21"/>
              </w:rPr>
              <w:t>生境</w:t>
            </w:r>
          </w:p>
        </w:tc>
        <w:tc>
          <w:tcPr>
            <w:tcW w:w="597" w:type="pct"/>
            <w:tcBorders>
              <w:tl2br w:val="nil"/>
              <w:tr2bl w:val="nil"/>
            </w:tcBorders>
            <w:vAlign w:val="center"/>
          </w:tcPr>
          <w:p w14:paraId="211CA53C" w14:textId="77777777" w:rsidR="009D12AF" w:rsidRDefault="00000000">
            <w:pPr>
              <w:spacing w:line="0" w:lineRule="atLeast"/>
              <w:ind w:firstLineChars="0" w:firstLine="0"/>
              <w:jc w:val="center"/>
              <w:rPr>
                <w:rFonts w:ascii="宋体" w:eastAsia="宋体" w:hAnsi="宋体" w:cs="Times New Roman" w:hint="eastAsia"/>
                <w:b/>
                <w:bCs/>
                <w:sz w:val="21"/>
                <w:szCs w:val="21"/>
              </w:rPr>
            </w:pPr>
            <w:r>
              <w:rPr>
                <w:rFonts w:ascii="宋体" w:eastAsia="宋体" w:hAnsi="宋体" w:cs="Times New Roman"/>
                <w:b/>
                <w:bCs/>
                <w:sz w:val="21"/>
                <w:szCs w:val="21"/>
              </w:rPr>
              <w:t>区系</w:t>
            </w:r>
          </w:p>
        </w:tc>
        <w:tc>
          <w:tcPr>
            <w:tcW w:w="426" w:type="pct"/>
            <w:tcBorders>
              <w:tl2br w:val="nil"/>
              <w:tr2bl w:val="nil"/>
            </w:tcBorders>
            <w:vAlign w:val="center"/>
          </w:tcPr>
          <w:p w14:paraId="62FBB3CE" w14:textId="77777777" w:rsidR="009D12AF" w:rsidRDefault="00000000">
            <w:pPr>
              <w:spacing w:line="0" w:lineRule="atLeast"/>
              <w:ind w:firstLineChars="0" w:firstLine="0"/>
              <w:jc w:val="center"/>
              <w:rPr>
                <w:rFonts w:ascii="宋体" w:eastAsia="宋体" w:hAnsi="宋体" w:cs="Times New Roman" w:hint="eastAsia"/>
                <w:b/>
                <w:bCs/>
                <w:sz w:val="21"/>
                <w:szCs w:val="21"/>
              </w:rPr>
            </w:pPr>
            <w:r>
              <w:rPr>
                <w:rFonts w:ascii="宋体" w:eastAsia="宋体" w:hAnsi="宋体" w:cs="Times New Roman"/>
                <w:b/>
                <w:bCs/>
                <w:sz w:val="21"/>
                <w:szCs w:val="21"/>
              </w:rPr>
              <w:t>数量</w:t>
            </w:r>
          </w:p>
        </w:tc>
        <w:tc>
          <w:tcPr>
            <w:tcW w:w="684" w:type="pct"/>
            <w:tcBorders>
              <w:tl2br w:val="nil"/>
              <w:tr2bl w:val="nil"/>
            </w:tcBorders>
            <w:vAlign w:val="center"/>
          </w:tcPr>
          <w:p w14:paraId="6D2DCAD6" w14:textId="77777777" w:rsidR="009D12AF" w:rsidRDefault="00000000">
            <w:pPr>
              <w:spacing w:line="0" w:lineRule="atLeast"/>
              <w:ind w:firstLineChars="0" w:firstLine="0"/>
              <w:jc w:val="center"/>
              <w:rPr>
                <w:rFonts w:ascii="宋体" w:eastAsia="宋体" w:hAnsi="宋体" w:cs="Times New Roman" w:hint="eastAsia"/>
                <w:b/>
                <w:bCs/>
                <w:sz w:val="21"/>
                <w:szCs w:val="21"/>
              </w:rPr>
            </w:pPr>
            <w:r>
              <w:rPr>
                <w:rFonts w:ascii="宋体" w:eastAsia="宋体" w:hAnsi="宋体" w:cs="Times New Roman"/>
                <w:b/>
                <w:bCs/>
                <w:sz w:val="21"/>
                <w:szCs w:val="21"/>
              </w:rPr>
              <w:t>来源</w:t>
            </w:r>
          </w:p>
        </w:tc>
        <w:tc>
          <w:tcPr>
            <w:tcW w:w="682" w:type="pct"/>
            <w:tcBorders>
              <w:tl2br w:val="nil"/>
              <w:tr2bl w:val="nil"/>
            </w:tcBorders>
            <w:vAlign w:val="center"/>
          </w:tcPr>
          <w:p w14:paraId="10CB6E41" w14:textId="77777777" w:rsidR="009D12AF" w:rsidRDefault="00000000">
            <w:pPr>
              <w:spacing w:line="0" w:lineRule="atLeast"/>
              <w:ind w:firstLineChars="0" w:firstLine="0"/>
              <w:jc w:val="center"/>
              <w:rPr>
                <w:rFonts w:ascii="宋体" w:eastAsia="宋体" w:hAnsi="宋体" w:cs="Times New Roman" w:hint="eastAsia"/>
                <w:b/>
                <w:bCs/>
                <w:color w:val="FF0000"/>
                <w:sz w:val="21"/>
                <w:szCs w:val="21"/>
              </w:rPr>
            </w:pPr>
            <w:r>
              <w:rPr>
                <w:rFonts w:ascii="宋体" w:eastAsia="宋体" w:hAnsi="宋体" w:cs="Times New Roman" w:hint="eastAsia"/>
                <w:b/>
                <w:bCs/>
                <w:sz w:val="21"/>
                <w:szCs w:val="21"/>
              </w:rPr>
              <w:t>保护级别</w:t>
            </w:r>
          </w:p>
        </w:tc>
        <w:tc>
          <w:tcPr>
            <w:tcW w:w="390" w:type="pct"/>
            <w:tcBorders>
              <w:tl2br w:val="nil"/>
              <w:tr2bl w:val="nil"/>
            </w:tcBorders>
            <w:vAlign w:val="center"/>
          </w:tcPr>
          <w:p w14:paraId="6751667D" w14:textId="77777777" w:rsidR="009D12AF" w:rsidRDefault="00000000">
            <w:pPr>
              <w:spacing w:line="0" w:lineRule="atLeast"/>
              <w:ind w:firstLineChars="0" w:firstLine="0"/>
              <w:jc w:val="center"/>
              <w:rPr>
                <w:rFonts w:ascii="宋体" w:eastAsia="宋体" w:hAnsi="宋体" w:cs="Times New Roman" w:hint="eastAsia"/>
                <w:b/>
                <w:bCs/>
                <w:color w:val="FF0000"/>
                <w:sz w:val="21"/>
                <w:szCs w:val="21"/>
              </w:rPr>
            </w:pPr>
            <w:r>
              <w:rPr>
                <w:rFonts w:ascii="宋体" w:eastAsia="宋体" w:hAnsi="宋体" w:cs="Times New Roman" w:hint="eastAsia"/>
                <w:b/>
                <w:bCs/>
                <w:sz w:val="21"/>
                <w:szCs w:val="21"/>
              </w:rPr>
              <w:t>濒危等级</w:t>
            </w:r>
          </w:p>
        </w:tc>
      </w:tr>
      <w:tr w:rsidR="009D12AF" w14:paraId="64E0B56D" w14:textId="77777777">
        <w:tc>
          <w:tcPr>
            <w:tcW w:w="5000" w:type="pct"/>
            <w:gridSpan w:val="7"/>
            <w:tcBorders>
              <w:tl2br w:val="nil"/>
              <w:tr2bl w:val="nil"/>
            </w:tcBorders>
            <w:vAlign w:val="center"/>
          </w:tcPr>
          <w:p w14:paraId="78D029CE" w14:textId="77777777" w:rsidR="009D12AF" w:rsidRDefault="00000000">
            <w:pPr>
              <w:widowControl/>
              <w:numPr>
                <w:ilvl w:val="0"/>
                <w:numId w:val="15"/>
              </w:numPr>
              <w:spacing w:after="160" w:line="0" w:lineRule="atLeast"/>
              <w:ind w:left="440" w:firstLineChars="0" w:firstLine="0"/>
              <w:jc w:val="left"/>
              <w:rPr>
                <w:rFonts w:ascii="宋体" w:eastAsia="宋体" w:hAnsi="宋体" w:cs="Times New Roman" w:hint="eastAsia"/>
                <w:b/>
                <w:bCs/>
                <w:color w:val="000000"/>
                <w:sz w:val="21"/>
                <w:szCs w:val="21"/>
                <w:lang w:bidi="ar"/>
              </w:rPr>
            </w:pPr>
            <w:r>
              <w:rPr>
                <w:rFonts w:ascii="宋体" w:eastAsia="宋体" w:hAnsi="宋体" w:cs="Times New Roman"/>
                <w:b/>
                <w:bCs/>
                <w:color w:val="000000"/>
                <w:sz w:val="21"/>
                <w:szCs w:val="21"/>
                <w:lang w:bidi="ar"/>
              </w:rPr>
              <w:t xml:space="preserve">无尾目 </w:t>
            </w:r>
            <w:r>
              <w:rPr>
                <w:rFonts w:ascii="Times New Roman" w:eastAsia="宋体" w:hAnsi="Times New Roman" w:cs="Times New Roman"/>
                <w:b/>
                <w:bCs/>
                <w:color w:val="000000"/>
                <w:sz w:val="21"/>
                <w:szCs w:val="21"/>
                <w:lang w:bidi="ar"/>
              </w:rPr>
              <w:t>ANURA</w:t>
            </w:r>
          </w:p>
        </w:tc>
      </w:tr>
      <w:tr w:rsidR="009D12AF" w14:paraId="70DD320B" w14:textId="77777777">
        <w:trPr>
          <w:trHeight w:val="312"/>
        </w:trPr>
        <w:tc>
          <w:tcPr>
            <w:tcW w:w="5000" w:type="pct"/>
            <w:gridSpan w:val="7"/>
            <w:tcBorders>
              <w:tl2br w:val="nil"/>
              <w:tr2bl w:val="nil"/>
            </w:tcBorders>
            <w:vAlign w:val="center"/>
          </w:tcPr>
          <w:p w14:paraId="1B9CFE87" w14:textId="77777777" w:rsidR="009D12AF" w:rsidRDefault="00000000">
            <w:pPr>
              <w:widowControl/>
              <w:numPr>
                <w:ilvl w:val="0"/>
                <w:numId w:val="16"/>
              </w:numPr>
              <w:spacing w:after="160" w:line="0" w:lineRule="atLeast"/>
              <w:ind w:left="440" w:firstLineChars="0" w:firstLine="0"/>
              <w:jc w:val="left"/>
              <w:rPr>
                <w:rFonts w:ascii="宋体" w:eastAsia="宋体" w:hAnsi="宋体" w:cs="Times New Roman" w:hint="eastAsia"/>
                <w:b/>
                <w:bCs/>
                <w:color w:val="000000"/>
                <w:sz w:val="21"/>
                <w:szCs w:val="21"/>
                <w:lang w:bidi="ar"/>
              </w:rPr>
            </w:pPr>
            <w:r>
              <w:rPr>
                <w:rFonts w:ascii="宋体" w:eastAsia="宋体" w:hAnsi="宋体" w:cs="Times New Roman"/>
                <w:b/>
                <w:bCs/>
                <w:color w:val="000000"/>
                <w:sz w:val="21"/>
                <w:szCs w:val="21"/>
                <w:lang w:bidi="ar"/>
              </w:rPr>
              <w:t>蟾蜍科</w:t>
            </w:r>
            <w:r>
              <w:rPr>
                <w:rFonts w:ascii="Times New Roman" w:eastAsia="宋体" w:hAnsi="Times New Roman" w:cs="Times New Roman"/>
                <w:b/>
                <w:bCs/>
                <w:i/>
                <w:iCs/>
                <w:sz w:val="21"/>
                <w:szCs w:val="21"/>
              </w:rPr>
              <w:t>Bufonidae</w:t>
            </w:r>
          </w:p>
        </w:tc>
      </w:tr>
      <w:tr w:rsidR="009D12AF" w14:paraId="0A960303" w14:textId="77777777">
        <w:tc>
          <w:tcPr>
            <w:tcW w:w="1621" w:type="pct"/>
            <w:tcBorders>
              <w:tl2br w:val="nil"/>
              <w:tr2bl w:val="nil"/>
            </w:tcBorders>
            <w:vAlign w:val="center"/>
          </w:tcPr>
          <w:p w14:paraId="70D5C841" w14:textId="77777777" w:rsidR="009D12AF" w:rsidRDefault="00000000">
            <w:pPr>
              <w:widowControl/>
              <w:numPr>
                <w:ilvl w:val="0"/>
                <w:numId w:val="17"/>
              </w:numPr>
              <w:spacing w:after="160" w:line="0" w:lineRule="atLeast"/>
              <w:ind w:firstLineChars="0"/>
              <w:jc w:val="left"/>
              <w:rPr>
                <w:rFonts w:ascii="宋体" w:eastAsia="宋体" w:hAnsi="宋体" w:cs="Times New Roman" w:hint="eastAsia"/>
                <w:color w:val="000000"/>
                <w:sz w:val="21"/>
                <w:szCs w:val="21"/>
                <w:lang w:bidi="ar"/>
              </w:rPr>
            </w:pPr>
            <w:bookmarkStart w:id="247" w:name="_Hlk207115917"/>
            <w:r>
              <w:rPr>
                <w:rFonts w:ascii="宋体" w:eastAsia="宋体" w:hAnsi="宋体" w:cs="Times New Roman"/>
                <w:color w:val="000000"/>
                <w:sz w:val="21"/>
                <w:szCs w:val="21"/>
                <w:lang w:bidi="ar"/>
              </w:rPr>
              <w:t>中华蟾蜍</w:t>
            </w:r>
            <w:bookmarkEnd w:id="247"/>
          </w:p>
          <w:p w14:paraId="547053FB" w14:textId="77777777" w:rsidR="009D12AF" w:rsidRDefault="00000000">
            <w:pPr>
              <w:ind w:firstLineChars="0" w:firstLine="0"/>
              <w:jc w:val="left"/>
              <w:rPr>
                <w:rFonts w:ascii="宋体" w:eastAsia="宋体" w:hAnsi="宋体" w:cs="Times New Roman" w:hint="eastAsia"/>
                <w:sz w:val="21"/>
                <w:szCs w:val="21"/>
              </w:rPr>
            </w:pPr>
            <w:r>
              <w:rPr>
                <w:rFonts w:ascii="Times New Roman" w:eastAsia="宋体" w:hAnsi="Times New Roman" w:cs="Times New Roman"/>
                <w:i/>
                <w:iCs/>
                <w:color w:val="000000"/>
                <w:kern w:val="0"/>
                <w:sz w:val="21"/>
                <w:szCs w:val="21"/>
              </w:rPr>
              <w:t>Bufo gargarizans</w:t>
            </w:r>
          </w:p>
        </w:tc>
        <w:tc>
          <w:tcPr>
            <w:tcW w:w="597" w:type="pct"/>
            <w:tcBorders>
              <w:tl2br w:val="nil"/>
              <w:tr2bl w:val="nil"/>
            </w:tcBorders>
            <w:vAlign w:val="center"/>
          </w:tcPr>
          <w:p w14:paraId="7452B373" w14:textId="77777777" w:rsidR="009D12AF" w:rsidRDefault="00000000">
            <w:pPr>
              <w:widowControl/>
              <w:spacing w:line="0" w:lineRule="atLeast"/>
              <w:ind w:firstLineChars="0" w:firstLine="0"/>
              <w:jc w:val="center"/>
              <w:rPr>
                <w:rFonts w:ascii="宋体" w:eastAsia="宋体" w:hAnsi="宋体" w:cs="Times New Roman" w:hint="eastAsia"/>
                <w:sz w:val="21"/>
                <w:szCs w:val="21"/>
              </w:rPr>
            </w:pPr>
            <w:r>
              <w:rPr>
                <w:rFonts w:ascii="Times New Roman" w:eastAsia="宋体" w:hAnsi="Times New Roman" w:cs="Times New Roman"/>
                <w:color w:val="000000"/>
                <w:sz w:val="21"/>
                <w:szCs w:val="21"/>
                <w:lang w:bidi="ar"/>
              </w:rPr>
              <w:t>1.2.3</w:t>
            </w:r>
          </w:p>
        </w:tc>
        <w:tc>
          <w:tcPr>
            <w:tcW w:w="597" w:type="pct"/>
            <w:tcBorders>
              <w:tl2br w:val="nil"/>
              <w:tr2bl w:val="nil"/>
            </w:tcBorders>
            <w:vAlign w:val="center"/>
          </w:tcPr>
          <w:p w14:paraId="23BB38DE" w14:textId="77777777" w:rsidR="009D12AF" w:rsidRDefault="00000000">
            <w:pPr>
              <w:widowControl/>
              <w:spacing w:line="0" w:lineRule="atLeast"/>
              <w:ind w:firstLineChars="0" w:firstLine="0"/>
              <w:jc w:val="center"/>
              <w:rPr>
                <w:rFonts w:ascii="宋体" w:eastAsia="宋体" w:hAnsi="宋体" w:cs="Times New Roman" w:hint="eastAsia"/>
                <w:sz w:val="21"/>
                <w:szCs w:val="21"/>
              </w:rPr>
            </w:pPr>
            <w:r>
              <w:rPr>
                <w:rFonts w:ascii="宋体" w:eastAsia="宋体" w:hAnsi="宋体" w:cs="Times New Roman"/>
                <w:sz w:val="21"/>
                <w:szCs w:val="21"/>
              </w:rPr>
              <w:t>广布种</w:t>
            </w:r>
          </w:p>
        </w:tc>
        <w:tc>
          <w:tcPr>
            <w:tcW w:w="426" w:type="pct"/>
            <w:tcBorders>
              <w:tl2br w:val="nil"/>
              <w:tr2bl w:val="nil"/>
            </w:tcBorders>
            <w:vAlign w:val="center"/>
          </w:tcPr>
          <w:p w14:paraId="60815A50" w14:textId="77777777" w:rsidR="009D12AF" w:rsidRDefault="00000000">
            <w:pPr>
              <w:widowControl/>
              <w:spacing w:line="0" w:lineRule="atLeast"/>
              <w:ind w:firstLineChars="0" w:firstLine="0"/>
              <w:jc w:val="center"/>
              <w:rPr>
                <w:rFonts w:ascii="宋体" w:eastAsia="宋体" w:hAnsi="宋体" w:cs="Times New Roman" w:hint="eastAsia"/>
                <w:sz w:val="21"/>
                <w:szCs w:val="21"/>
              </w:rPr>
            </w:pPr>
            <w:r>
              <w:rPr>
                <w:rFonts w:ascii="宋体" w:eastAsia="宋体" w:hAnsi="宋体" w:cs="Times New Roman"/>
                <w:color w:val="000000"/>
                <w:sz w:val="21"/>
                <w:szCs w:val="21"/>
                <w:lang w:bidi="ar"/>
              </w:rPr>
              <w:t>++</w:t>
            </w:r>
          </w:p>
        </w:tc>
        <w:tc>
          <w:tcPr>
            <w:tcW w:w="684" w:type="pct"/>
            <w:tcBorders>
              <w:tl2br w:val="nil"/>
              <w:tr2bl w:val="nil"/>
            </w:tcBorders>
            <w:vAlign w:val="center"/>
          </w:tcPr>
          <w:p w14:paraId="5D729BB5" w14:textId="77777777" w:rsidR="009D12AF" w:rsidRDefault="00000000">
            <w:pPr>
              <w:spacing w:line="0" w:lineRule="atLeast"/>
              <w:ind w:firstLineChars="0" w:firstLine="0"/>
              <w:jc w:val="center"/>
              <w:rPr>
                <w:rFonts w:ascii="宋体" w:eastAsia="宋体" w:hAnsi="宋体" w:cs="Times New Roman" w:hint="eastAsia"/>
                <w:sz w:val="21"/>
                <w:szCs w:val="21"/>
              </w:rPr>
            </w:pPr>
            <w:r>
              <w:rPr>
                <w:rFonts w:ascii="宋体" w:eastAsia="宋体" w:hAnsi="宋体" w:cs="Times New Roman"/>
                <w:sz w:val="21"/>
                <w:szCs w:val="21"/>
              </w:rPr>
              <w:t>访问资料</w:t>
            </w:r>
          </w:p>
        </w:tc>
        <w:tc>
          <w:tcPr>
            <w:tcW w:w="682" w:type="pct"/>
            <w:tcBorders>
              <w:tl2br w:val="nil"/>
              <w:tr2bl w:val="nil"/>
            </w:tcBorders>
            <w:vAlign w:val="center"/>
          </w:tcPr>
          <w:p w14:paraId="10CC5722" w14:textId="77777777" w:rsidR="009D12AF" w:rsidRDefault="00000000">
            <w:pPr>
              <w:spacing w:line="0" w:lineRule="atLeast"/>
              <w:ind w:firstLineChars="0" w:firstLine="0"/>
              <w:jc w:val="center"/>
              <w:rPr>
                <w:rFonts w:ascii="宋体" w:eastAsia="宋体" w:hAnsi="宋体" w:cs="Times New Roman" w:hint="eastAsia"/>
                <w:sz w:val="21"/>
                <w:szCs w:val="21"/>
              </w:rPr>
            </w:pPr>
            <w:r>
              <w:rPr>
                <w:rFonts w:ascii="宋体" w:eastAsia="宋体" w:hAnsi="宋体" w:cs="Times New Roman" w:hint="eastAsia"/>
                <w:kern w:val="0"/>
                <w:sz w:val="21"/>
                <w:szCs w:val="21"/>
                <w:lang w:bidi="ar"/>
              </w:rPr>
              <w:t>————</w:t>
            </w:r>
          </w:p>
        </w:tc>
        <w:tc>
          <w:tcPr>
            <w:tcW w:w="390" w:type="pct"/>
            <w:tcBorders>
              <w:tl2br w:val="nil"/>
              <w:tr2bl w:val="nil"/>
            </w:tcBorders>
            <w:vAlign w:val="center"/>
          </w:tcPr>
          <w:p w14:paraId="0A3767CE" w14:textId="77777777" w:rsidR="009D12AF" w:rsidRDefault="00000000">
            <w:pPr>
              <w:spacing w:line="0" w:lineRule="atLeast"/>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无危</w:t>
            </w:r>
          </w:p>
        </w:tc>
      </w:tr>
      <w:tr w:rsidR="009D12AF" w14:paraId="3B7338DF" w14:textId="77777777">
        <w:tc>
          <w:tcPr>
            <w:tcW w:w="1621" w:type="pct"/>
            <w:tcBorders>
              <w:tl2br w:val="nil"/>
              <w:tr2bl w:val="nil"/>
            </w:tcBorders>
            <w:vAlign w:val="center"/>
          </w:tcPr>
          <w:p w14:paraId="37FE2DE8" w14:textId="77777777" w:rsidR="009D12AF" w:rsidRDefault="00000000">
            <w:pPr>
              <w:widowControl/>
              <w:numPr>
                <w:ilvl w:val="0"/>
                <w:numId w:val="17"/>
              </w:numPr>
              <w:spacing w:after="160" w:line="0" w:lineRule="atLeast"/>
              <w:ind w:firstLineChars="0"/>
              <w:jc w:val="left"/>
              <w:rPr>
                <w:rFonts w:ascii="宋体" w:eastAsia="宋体" w:hAnsi="宋体" w:cs="Times New Roman" w:hint="eastAsia"/>
                <w:color w:val="000000"/>
                <w:sz w:val="21"/>
                <w:szCs w:val="21"/>
                <w:lang w:bidi="ar"/>
              </w:rPr>
            </w:pPr>
            <w:r>
              <w:rPr>
                <w:rFonts w:ascii="宋体" w:eastAsia="宋体" w:hAnsi="宋体" w:cs="Times New Roman"/>
                <w:color w:val="000000"/>
                <w:sz w:val="21"/>
                <w:szCs w:val="21"/>
                <w:lang w:bidi="ar"/>
              </w:rPr>
              <w:t>花背蟾蜍</w:t>
            </w:r>
          </w:p>
          <w:p w14:paraId="2D33F061" w14:textId="77777777" w:rsidR="009D12AF" w:rsidRDefault="00000000">
            <w:pPr>
              <w:widowControl/>
              <w:spacing w:line="0" w:lineRule="atLeast"/>
              <w:ind w:firstLineChars="0" w:firstLine="0"/>
              <w:jc w:val="left"/>
              <w:rPr>
                <w:rFonts w:ascii="宋体" w:eastAsia="宋体" w:hAnsi="宋体" w:cs="Times New Roman" w:hint="eastAsia"/>
                <w:sz w:val="21"/>
                <w:szCs w:val="21"/>
              </w:rPr>
            </w:pPr>
            <w:bookmarkStart w:id="248" w:name="_Hlk194923485"/>
            <w:r>
              <w:rPr>
                <w:rFonts w:ascii="Times New Roman" w:eastAsia="宋体" w:hAnsi="Times New Roman" w:cs="Times New Roman"/>
                <w:i/>
                <w:iCs/>
                <w:color w:val="000000"/>
                <w:sz w:val="21"/>
                <w:szCs w:val="21"/>
                <w:lang w:bidi="ar"/>
              </w:rPr>
              <w:t>Strauchbufo raddei</w:t>
            </w:r>
            <w:bookmarkEnd w:id="248"/>
          </w:p>
        </w:tc>
        <w:tc>
          <w:tcPr>
            <w:tcW w:w="597" w:type="pct"/>
            <w:tcBorders>
              <w:tl2br w:val="nil"/>
              <w:tr2bl w:val="nil"/>
            </w:tcBorders>
            <w:vAlign w:val="center"/>
          </w:tcPr>
          <w:p w14:paraId="3C997D93" w14:textId="77777777" w:rsidR="009D12AF" w:rsidRDefault="00000000">
            <w:pPr>
              <w:widowControl/>
              <w:spacing w:line="0" w:lineRule="atLeast"/>
              <w:ind w:firstLineChars="0" w:firstLine="0"/>
              <w:jc w:val="center"/>
              <w:rPr>
                <w:rFonts w:ascii="宋体" w:eastAsia="宋体" w:hAnsi="宋体" w:cs="Times New Roman" w:hint="eastAsia"/>
                <w:sz w:val="21"/>
                <w:szCs w:val="21"/>
              </w:rPr>
            </w:pPr>
            <w:r>
              <w:rPr>
                <w:rFonts w:ascii="Times New Roman" w:eastAsia="宋体" w:hAnsi="Times New Roman" w:cs="Times New Roman"/>
                <w:color w:val="000000"/>
                <w:sz w:val="21"/>
                <w:szCs w:val="21"/>
                <w:lang w:bidi="ar"/>
              </w:rPr>
              <w:t>1.2.3</w:t>
            </w:r>
          </w:p>
        </w:tc>
        <w:tc>
          <w:tcPr>
            <w:tcW w:w="597" w:type="pct"/>
            <w:tcBorders>
              <w:tl2br w:val="nil"/>
              <w:tr2bl w:val="nil"/>
            </w:tcBorders>
            <w:vAlign w:val="center"/>
          </w:tcPr>
          <w:p w14:paraId="67733D0D" w14:textId="77777777" w:rsidR="009D12AF" w:rsidRDefault="00000000">
            <w:pPr>
              <w:spacing w:line="0" w:lineRule="atLeast"/>
              <w:ind w:firstLineChars="0" w:firstLine="0"/>
              <w:jc w:val="center"/>
              <w:rPr>
                <w:rFonts w:ascii="宋体" w:eastAsia="宋体" w:hAnsi="宋体" w:cs="Times New Roman" w:hint="eastAsia"/>
                <w:sz w:val="21"/>
                <w:szCs w:val="21"/>
              </w:rPr>
            </w:pPr>
            <w:r>
              <w:rPr>
                <w:rFonts w:ascii="宋体" w:eastAsia="宋体" w:hAnsi="宋体" w:cs="Times New Roman"/>
                <w:sz w:val="21"/>
                <w:szCs w:val="21"/>
              </w:rPr>
              <w:t>古北种</w:t>
            </w:r>
          </w:p>
        </w:tc>
        <w:tc>
          <w:tcPr>
            <w:tcW w:w="426" w:type="pct"/>
            <w:tcBorders>
              <w:tl2br w:val="nil"/>
              <w:tr2bl w:val="nil"/>
            </w:tcBorders>
            <w:vAlign w:val="center"/>
          </w:tcPr>
          <w:p w14:paraId="4AFA14F5" w14:textId="77777777" w:rsidR="009D12AF" w:rsidRDefault="00000000">
            <w:pPr>
              <w:widowControl/>
              <w:spacing w:line="0" w:lineRule="atLeast"/>
              <w:ind w:firstLineChars="0" w:firstLine="0"/>
              <w:jc w:val="center"/>
              <w:rPr>
                <w:rFonts w:ascii="宋体" w:eastAsia="宋体" w:hAnsi="宋体" w:cs="Times New Roman" w:hint="eastAsia"/>
                <w:sz w:val="21"/>
                <w:szCs w:val="21"/>
              </w:rPr>
            </w:pPr>
            <w:r>
              <w:rPr>
                <w:rFonts w:ascii="宋体" w:eastAsia="宋体" w:hAnsi="宋体" w:cs="Times New Roman"/>
                <w:color w:val="000000"/>
                <w:sz w:val="21"/>
                <w:szCs w:val="21"/>
                <w:lang w:bidi="ar"/>
              </w:rPr>
              <w:t>++</w:t>
            </w:r>
          </w:p>
        </w:tc>
        <w:tc>
          <w:tcPr>
            <w:tcW w:w="684" w:type="pct"/>
            <w:tcBorders>
              <w:tl2br w:val="nil"/>
              <w:tr2bl w:val="nil"/>
            </w:tcBorders>
            <w:vAlign w:val="center"/>
          </w:tcPr>
          <w:p w14:paraId="7702D0CB" w14:textId="77777777" w:rsidR="009D12AF" w:rsidRDefault="00000000">
            <w:pPr>
              <w:spacing w:line="0" w:lineRule="atLeast"/>
              <w:ind w:firstLineChars="0" w:firstLine="0"/>
              <w:jc w:val="center"/>
              <w:rPr>
                <w:rFonts w:ascii="宋体" w:eastAsia="宋体" w:hAnsi="宋体" w:cs="Times New Roman" w:hint="eastAsia"/>
                <w:sz w:val="21"/>
                <w:szCs w:val="21"/>
              </w:rPr>
            </w:pPr>
            <w:r>
              <w:rPr>
                <w:rFonts w:ascii="宋体" w:eastAsia="宋体" w:hAnsi="宋体" w:cs="Times New Roman"/>
                <w:sz w:val="21"/>
                <w:szCs w:val="21"/>
              </w:rPr>
              <w:t>访问资料</w:t>
            </w:r>
          </w:p>
        </w:tc>
        <w:tc>
          <w:tcPr>
            <w:tcW w:w="682" w:type="pct"/>
            <w:tcBorders>
              <w:tl2br w:val="nil"/>
              <w:tr2bl w:val="nil"/>
            </w:tcBorders>
            <w:vAlign w:val="center"/>
          </w:tcPr>
          <w:p w14:paraId="4210FB20" w14:textId="77777777" w:rsidR="009D12AF" w:rsidRDefault="00000000">
            <w:pPr>
              <w:spacing w:line="0" w:lineRule="atLeast"/>
              <w:ind w:firstLineChars="0" w:firstLine="0"/>
              <w:jc w:val="center"/>
              <w:rPr>
                <w:rFonts w:ascii="宋体" w:eastAsia="宋体" w:hAnsi="宋体" w:cs="Times New Roman" w:hint="eastAsia"/>
                <w:sz w:val="21"/>
                <w:szCs w:val="21"/>
              </w:rPr>
            </w:pPr>
            <w:r>
              <w:rPr>
                <w:rFonts w:ascii="宋体" w:eastAsia="宋体" w:hAnsi="宋体" w:cs="Times New Roman" w:hint="eastAsia"/>
                <w:kern w:val="0"/>
                <w:sz w:val="21"/>
                <w:szCs w:val="21"/>
                <w:lang w:bidi="ar"/>
              </w:rPr>
              <w:t>————</w:t>
            </w:r>
          </w:p>
        </w:tc>
        <w:tc>
          <w:tcPr>
            <w:tcW w:w="390" w:type="pct"/>
            <w:tcBorders>
              <w:tl2br w:val="nil"/>
              <w:tr2bl w:val="nil"/>
            </w:tcBorders>
            <w:vAlign w:val="center"/>
          </w:tcPr>
          <w:p w14:paraId="207ECC60" w14:textId="77777777" w:rsidR="009D12AF" w:rsidRDefault="00000000">
            <w:pPr>
              <w:spacing w:line="0" w:lineRule="atLeast"/>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近危</w:t>
            </w:r>
          </w:p>
        </w:tc>
      </w:tr>
      <w:tr w:rsidR="009D12AF" w14:paraId="5C878406" w14:textId="77777777">
        <w:trPr>
          <w:trHeight w:val="232"/>
        </w:trPr>
        <w:tc>
          <w:tcPr>
            <w:tcW w:w="5000" w:type="pct"/>
            <w:gridSpan w:val="7"/>
            <w:tcBorders>
              <w:tl2br w:val="nil"/>
              <w:tr2bl w:val="nil"/>
            </w:tcBorders>
            <w:vAlign w:val="center"/>
          </w:tcPr>
          <w:p w14:paraId="4E598D1E" w14:textId="77777777" w:rsidR="009D12AF" w:rsidRDefault="00000000">
            <w:pPr>
              <w:widowControl/>
              <w:numPr>
                <w:ilvl w:val="0"/>
                <w:numId w:val="16"/>
              </w:numPr>
              <w:spacing w:after="160" w:line="0" w:lineRule="atLeast"/>
              <w:ind w:left="440" w:firstLineChars="0" w:firstLine="0"/>
              <w:jc w:val="left"/>
              <w:rPr>
                <w:rFonts w:ascii="宋体" w:eastAsia="宋体" w:hAnsi="宋体" w:cs="Times New Roman" w:hint="eastAsia"/>
                <w:b/>
                <w:bCs/>
                <w:color w:val="000000"/>
                <w:sz w:val="21"/>
                <w:szCs w:val="21"/>
                <w:lang w:bidi="ar"/>
              </w:rPr>
            </w:pPr>
            <w:r>
              <w:rPr>
                <w:rFonts w:ascii="宋体" w:eastAsia="宋体" w:hAnsi="宋体" w:cs="Times New Roman"/>
                <w:b/>
                <w:bCs/>
                <w:color w:val="000000"/>
                <w:sz w:val="21"/>
                <w:szCs w:val="21"/>
                <w:lang w:bidi="ar"/>
              </w:rPr>
              <w:t>雨蛙科</w:t>
            </w:r>
            <w:r>
              <w:rPr>
                <w:rFonts w:ascii="Times New Roman" w:eastAsia="宋体" w:hAnsi="Times New Roman" w:cs="Times New Roman"/>
                <w:b/>
                <w:bCs/>
                <w:i/>
                <w:iCs/>
                <w:color w:val="000000"/>
                <w:sz w:val="21"/>
                <w:szCs w:val="21"/>
                <w:lang w:bidi="ar"/>
              </w:rPr>
              <w:t>Hylidae</w:t>
            </w:r>
          </w:p>
        </w:tc>
      </w:tr>
      <w:tr w:rsidR="009D12AF" w14:paraId="5E988AF6" w14:textId="77777777">
        <w:tc>
          <w:tcPr>
            <w:tcW w:w="1621" w:type="pct"/>
            <w:tcBorders>
              <w:tl2br w:val="nil"/>
              <w:tr2bl w:val="nil"/>
            </w:tcBorders>
            <w:vAlign w:val="center"/>
          </w:tcPr>
          <w:p w14:paraId="55E0C8FF" w14:textId="77777777" w:rsidR="009D12AF" w:rsidRDefault="00000000">
            <w:pPr>
              <w:widowControl/>
              <w:numPr>
                <w:ilvl w:val="0"/>
                <w:numId w:val="17"/>
              </w:numPr>
              <w:spacing w:after="160" w:line="0" w:lineRule="atLeast"/>
              <w:ind w:firstLineChars="0"/>
              <w:jc w:val="left"/>
              <w:rPr>
                <w:rFonts w:ascii="宋体" w:eastAsia="宋体" w:hAnsi="宋体" w:cs="Times New Roman" w:hint="eastAsia"/>
                <w:color w:val="000000"/>
                <w:sz w:val="21"/>
                <w:szCs w:val="21"/>
                <w:lang w:bidi="ar"/>
              </w:rPr>
            </w:pPr>
            <w:r>
              <w:rPr>
                <w:rFonts w:ascii="宋体" w:eastAsia="宋体" w:hAnsi="宋体" w:cs="Times New Roman"/>
                <w:color w:val="000000"/>
                <w:sz w:val="21"/>
                <w:szCs w:val="21"/>
                <w:lang w:bidi="ar"/>
              </w:rPr>
              <w:t>东北雨蛙</w:t>
            </w:r>
          </w:p>
          <w:p w14:paraId="2B8BD147" w14:textId="77777777" w:rsidR="009D12AF" w:rsidRDefault="00000000">
            <w:pPr>
              <w:widowControl/>
              <w:spacing w:line="0" w:lineRule="atLeast"/>
              <w:ind w:firstLineChars="0" w:firstLine="0"/>
              <w:jc w:val="left"/>
              <w:rPr>
                <w:rFonts w:ascii="宋体" w:eastAsia="宋体" w:hAnsi="宋体" w:cs="Times New Roman" w:hint="eastAsia"/>
                <w:i/>
                <w:iCs/>
                <w:color w:val="000000"/>
                <w:sz w:val="21"/>
                <w:szCs w:val="21"/>
                <w:lang w:bidi="ar"/>
              </w:rPr>
            </w:pPr>
            <w:r>
              <w:rPr>
                <w:rFonts w:ascii="Times New Roman" w:eastAsia="宋体" w:hAnsi="Times New Roman" w:cs="Times New Roman"/>
                <w:i/>
                <w:iCs/>
                <w:color w:val="000000"/>
                <w:sz w:val="21"/>
                <w:szCs w:val="21"/>
                <w:lang w:bidi="ar"/>
              </w:rPr>
              <w:t>Hyla ussuriensis</w:t>
            </w:r>
          </w:p>
        </w:tc>
        <w:tc>
          <w:tcPr>
            <w:tcW w:w="597" w:type="pct"/>
            <w:tcBorders>
              <w:tl2br w:val="nil"/>
              <w:tr2bl w:val="nil"/>
            </w:tcBorders>
            <w:vAlign w:val="center"/>
          </w:tcPr>
          <w:p w14:paraId="2DE86730" w14:textId="77777777" w:rsidR="009D12AF" w:rsidRDefault="00000000">
            <w:pPr>
              <w:widowControl/>
              <w:spacing w:line="0" w:lineRule="atLeast"/>
              <w:ind w:firstLineChars="0" w:firstLine="0"/>
              <w:jc w:val="center"/>
              <w:rPr>
                <w:rFonts w:ascii="宋体" w:eastAsia="宋体" w:hAnsi="宋体" w:cs="Times New Roman" w:hint="eastAsia"/>
                <w:color w:val="000000"/>
                <w:sz w:val="21"/>
                <w:szCs w:val="21"/>
                <w:lang w:bidi="ar"/>
              </w:rPr>
            </w:pPr>
            <w:r>
              <w:rPr>
                <w:rFonts w:ascii="Times New Roman" w:eastAsia="宋体" w:hAnsi="Times New Roman" w:cs="Times New Roman"/>
                <w:color w:val="000000"/>
                <w:sz w:val="21"/>
                <w:szCs w:val="21"/>
                <w:lang w:bidi="ar"/>
              </w:rPr>
              <w:t>1.2.3</w:t>
            </w:r>
          </w:p>
        </w:tc>
        <w:tc>
          <w:tcPr>
            <w:tcW w:w="597" w:type="pct"/>
            <w:tcBorders>
              <w:tl2br w:val="nil"/>
              <w:tr2bl w:val="nil"/>
            </w:tcBorders>
            <w:vAlign w:val="center"/>
          </w:tcPr>
          <w:p w14:paraId="47CB6079" w14:textId="77777777" w:rsidR="009D12AF" w:rsidRDefault="00000000">
            <w:pPr>
              <w:spacing w:line="0" w:lineRule="atLeast"/>
              <w:ind w:firstLineChars="0" w:firstLine="0"/>
              <w:jc w:val="center"/>
              <w:rPr>
                <w:rFonts w:ascii="宋体" w:eastAsia="宋体" w:hAnsi="宋体" w:cs="Times New Roman" w:hint="eastAsia"/>
                <w:color w:val="000000"/>
                <w:sz w:val="21"/>
                <w:szCs w:val="21"/>
                <w:lang w:bidi="ar"/>
              </w:rPr>
            </w:pPr>
            <w:r>
              <w:rPr>
                <w:rFonts w:ascii="宋体" w:eastAsia="宋体" w:hAnsi="宋体" w:cs="Times New Roman"/>
                <w:color w:val="000000"/>
                <w:sz w:val="21"/>
                <w:szCs w:val="21"/>
                <w:lang w:bidi="ar"/>
              </w:rPr>
              <w:t>古北种</w:t>
            </w:r>
          </w:p>
        </w:tc>
        <w:tc>
          <w:tcPr>
            <w:tcW w:w="426" w:type="pct"/>
            <w:tcBorders>
              <w:tl2br w:val="nil"/>
              <w:tr2bl w:val="nil"/>
            </w:tcBorders>
            <w:vAlign w:val="center"/>
          </w:tcPr>
          <w:p w14:paraId="6040D919" w14:textId="77777777" w:rsidR="009D12AF" w:rsidRDefault="00000000">
            <w:pPr>
              <w:widowControl/>
              <w:spacing w:line="0" w:lineRule="atLeast"/>
              <w:ind w:firstLineChars="0" w:firstLine="0"/>
              <w:jc w:val="center"/>
              <w:rPr>
                <w:rFonts w:ascii="宋体" w:eastAsia="宋体" w:hAnsi="宋体" w:cs="Times New Roman" w:hint="eastAsia"/>
                <w:color w:val="000000"/>
                <w:sz w:val="21"/>
                <w:szCs w:val="21"/>
                <w:lang w:bidi="ar"/>
              </w:rPr>
            </w:pPr>
            <w:r>
              <w:rPr>
                <w:rFonts w:ascii="宋体" w:eastAsia="宋体" w:hAnsi="宋体" w:cs="Times New Roman"/>
                <w:color w:val="000000"/>
                <w:sz w:val="21"/>
                <w:szCs w:val="21"/>
                <w:lang w:bidi="ar"/>
              </w:rPr>
              <w:t>++</w:t>
            </w:r>
          </w:p>
        </w:tc>
        <w:tc>
          <w:tcPr>
            <w:tcW w:w="684" w:type="pct"/>
            <w:tcBorders>
              <w:tl2br w:val="nil"/>
              <w:tr2bl w:val="nil"/>
            </w:tcBorders>
            <w:vAlign w:val="center"/>
          </w:tcPr>
          <w:p w14:paraId="32D57770" w14:textId="77777777" w:rsidR="009D12AF" w:rsidRDefault="00000000">
            <w:pPr>
              <w:spacing w:line="0" w:lineRule="atLeast"/>
              <w:ind w:firstLineChars="0" w:firstLine="0"/>
              <w:jc w:val="center"/>
              <w:rPr>
                <w:rFonts w:ascii="宋体" w:eastAsia="宋体" w:hAnsi="宋体" w:cs="Times New Roman" w:hint="eastAsia"/>
                <w:sz w:val="21"/>
                <w:szCs w:val="21"/>
              </w:rPr>
            </w:pPr>
            <w:r>
              <w:rPr>
                <w:rFonts w:ascii="宋体" w:eastAsia="宋体" w:hAnsi="宋体" w:cs="Times New Roman"/>
                <w:sz w:val="21"/>
                <w:szCs w:val="21"/>
              </w:rPr>
              <w:t>访问资料</w:t>
            </w:r>
          </w:p>
        </w:tc>
        <w:tc>
          <w:tcPr>
            <w:tcW w:w="682" w:type="pct"/>
            <w:tcBorders>
              <w:tl2br w:val="nil"/>
              <w:tr2bl w:val="nil"/>
            </w:tcBorders>
            <w:vAlign w:val="center"/>
          </w:tcPr>
          <w:p w14:paraId="4253D7FB" w14:textId="77777777" w:rsidR="009D12AF" w:rsidRDefault="00000000">
            <w:pPr>
              <w:spacing w:line="0" w:lineRule="atLeast"/>
              <w:ind w:firstLineChars="0" w:firstLine="0"/>
              <w:jc w:val="center"/>
              <w:rPr>
                <w:rFonts w:ascii="宋体" w:eastAsia="宋体" w:hAnsi="宋体" w:cs="Times New Roman" w:hint="eastAsia"/>
                <w:sz w:val="21"/>
                <w:szCs w:val="21"/>
              </w:rPr>
            </w:pPr>
            <w:r>
              <w:rPr>
                <w:rFonts w:ascii="宋体" w:eastAsia="宋体" w:hAnsi="宋体" w:cs="Times New Roman" w:hint="eastAsia"/>
                <w:kern w:val="0"/>
                <w:sz w:val="21"/>
                <w:szCs w:val="21"/>
                <w:lang w:bidi="ar"/>
              </w:rPr>
              <w:t>————</w:t>
            </w:r>
          </w:p>
        </w:tc>
        <w:tc>
          <w:tcPr>
            <w:tcW w:w="390" w:type="pct"/>
            <w:tcBorders>
              <w:tl2br w:val="nil"/>
              <w:tr2bl w:val="nil"/>
            </w:tcBorders>
            <w:vAlign w:val="center"/>
          </w:tcPr>
          <w:p w14:paraId="25919F49" w14:textId="77777777" w:rsidR="009D12AF" w:rsidRDefault="00000000">
            <w:pPr>
              <w:spacing w:line="0" w:lineRule="atLeast"/>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无危</w:t>
            </w:r>
          </w:p>
        </w:tc>
      </w:tr>
      <w:tr w:rsidR="009D12AF" w14:paraId="6124CEFF" w14:textId="77777777">
        <w:tc>
          <w:tcPr>
            <w:tcW w:w="3926" w:type="pct"/>
            <w:gridSpan w:val="5"/>
            <w:tcBorders>
              <w:tl2br w:val="nil"/>
              <w:tr2bl w:val="nil"/>
            </w:tcBorders>
            <w:vAlign w:val="center"/>
          </w:tcPr>
          <w:p w14:paraId="1D17D83C" w14:textId="77777777" w:rsidR="009D12AF" w:rsidRDefault="00000000">
            <w:pPr>
              <w:widowControl/>
              <w:numPr>
                <w:ilvl w:val="0"/>
                <w:numId w:val="16"/>
              </w:numPr>
              <w:spacing w:after="160" w:line="0" w:lineRule="atLeast"/>
              <w:ind w:left="440" w:firstLineChars="0" w:firstLine="0"/>
              <w:jc w:val="left"/>
              <w:rPr>
                <w:rFonts w:ascii="宋体" w:eastAsia="宋体" w:hAnsi="宋体" w:cs="Times New Roman" w:hint="eastAsia"/>
                <w:sz w:val="21"/>
                <w:szCs w:val="21"/>
              </w:rPr>
            </w:pPr>
            <w:r>
              <w:rPr>
                <w:rFonts w:ascii="宋体" w:eastAsia="宋体" w:hAnsi="宋体" w:cs="Times New Roman"/>
                <w:b/>
                <w:bCs/>
                <w:color w:val="000000"/>
                <w:sz w:val="21"/>
                <w:szCs w:val="21"/>
                <w:lang w:bidi="ar"/>
              </w:rPr>
              <w:t xml:space="preserve">蛙科 </w:t>
            </w:r>
            <w:r>
              <w:rPr>
                <w:rFonts w:ascii="Times New Roman" w:eastAsia="宋体" w:hAnsi="Times New Roman" w:cs="Times New Roman"/>
                <w:b/>
                <w:bCs/>
                <w:i/>
                <w:iCs/>
                <w:color w:val="000000"/>
                <w:sz w:val="21"/>
                <w:szCs w:val="21"/>
                <w:lang w:bidi="ar"/>
              </w:rPr>
              <w:t>Ranidae</w:t>
            </w:r>
          </w:p>
        </w:tc>
        <w:tc>
          <w:tcPr>
            <w:tcW w:w="682" w:type="pct"/>
            <w:tcBorders>
              <w:tl2br w:val="nil"/>
              <w:tr2bl w:val="nil"/>
            </w:tcBorders>
            <w:vAlign w:val="center"/>
          </w:tcPr>
          <w:p w14:paraId="36CF399C" w14:textId="77777777" w:rsidR="009D12AF" w:rsidRDefault="009D12AF">
            <w:pPr>
              <w:widowControl/>
              <w:spacing w:line="0" w:lineRule="atLeast"/>
              <w:ind w:firstLineChars="0" w:firstLine="0"/>
              <w:jc w:val="center"/>
              <w:rPr>
                <w:rFonts w:ascii="宋体" w:eastAsia="宋体" w:hAnsi="宋体" w:cs="Times New Roman" w:hint="eastAsia"/>
                <w:b/>
                <w:bCs/>
                <w:color w:val="000000"/>
                <w:sz w:val="21"/>
                <w:szCs w:val="21"/>
                <w:lang w:bidi="ar"/>
              </w:rPr>
            </w:pPr>
          </w:p>
        </w:tc>
        <w:tc>
          <w:tcPr>
            <w:tcW w:w="390" w:type="pct"/>
            <w:tcBorders>
              <w:tl2br w:val="nil"/>
              <w:tr2bl w:val="nil"/>
            </w:tcBorders>
            <w:vAlign w:val="center"/>
          </w:tcPr>
          <w:p w14:paraId="46E1D7E9" w14:textId="77777777" w:rsidR="009D12AF" w:rsidRDefault="009D12AF">
            <w:pPr>
              <w:spacing w:line="0" w:lineRule="atLeast"/>
              <w:ind w:firstLineChars="0" w:firstLine="0"/>
              <w:jc w:val="center"/>
              <w:rPr>
                <w:rFonts w:ascii="宋体" w:eastAsia="宋体" w:hAnsi="宋体" w:cs="Times New Roman" w:hint="eastAsia"/>
                <w:b/>
                <w:bCs/>
                <w:color w:val="000000"/>
                <w:sz w:val="21"/>
                <w:szCs w:val="21"/>
                <w:lang w:bidi="ar"/>
              </w:rPr>
            </w:pPr>
          </w:p>
        </w:tc>
      </w:tr>
      <w:tr w:rsidR="009D12AF" w14:paraId="04415BA3" w14:textId="77777777">
        <w:tc>
          <w:tcPr>
            <w:tcW w:w="1621" w:type="pct"/>
            <w:tcBorders>
              <w:tl2br w:val="nil"/>
              <w:tr2bl w:val="nil"/>
            </w:tcBorders>
            <w:vAlign w:val="center"/>
          </w:tcPr>
          <w:p w14:paraId="5C26062B" w14:textId="77777777" w:rsidR="009D12AF" w:rsidRDefault="00000000">
            <w:pPr>
              <w:widowControl/>
              <w:numPr>
                <w:ilvl w:val="0"/>
                <w:numId w:val="17"/>
              </w:numPr>
              <w:spacing w:after="160" w:line="0" w:lineRule="atLeast"/>
              <w:ind w:firstLineChars="0"/>
              <w:jc w:val="left"/>
              <w:rPr>
                <w:rFonts w:ascii="宋体" w:eastAsia="宋体" w:hAnsi="宋体" w:cs="Times New Roman" w:hint="eastAsia"/>
                <w:color w:val="000000"/>
                <w:sz w:val="21"/>
                <w:szCs w:val="21"/>
                <w:lang w:bidi="ar"/>
              </w:rPr>
            </w:pPr>
            <w:r>
              <w:rPr>
                <w:rFonts w:ascii="宋体" w:eastAsia="宋体" w:hAnsi="宋体" w:cs="Times New Roman"/>
                <w:color w:val="000000"/>
                <w:sz w:val="21"/>
                <w:szCs w:val="21"/>
                <w:lang w:bidi="ar"/>
              </w:rPr>
              <w:t>黑龙江林蛙</w:t>
            </w:r>
          </w:p>
          <w:p w14:paraId="39C7914A" w14:textId="77777777" w:rsidR="009D12AF" w:rsidRDefault="00000000">
            <w:pPr>
              <w:widowControl/>
              <w:spacing w:line="0" w:lineRule="atLeast"/>
              <w:ind w:firstLineChars="0" w:firstLine="0"/>
              <w:jc w:val="left"/>
              <w:rPr>
                <w:rFonts w:ascii="宋体" w:eastAsia="宋体" w:hAnsi="宋体" w:cs="Times New Roman" w:hint="eastAsia"/>
                <w:color w:val="000000"/>
                <w:sz w:val="21"/>
                <w:szCs w:val="21"/>
                <w:lang w:bidi="ar"/>
              </w:rPr>
            </w:pPr>
            <w:bookmarkStart w:id="249" w:name="_Hlk194923497"/>
            <w:r>
              <w:rPr>
                <w:rFonts w:ascii="Times New Roman" w:eastAsia="宋体" w:hAnsi="Times New Roman" w:cs="Times New Roman"/>
                <w:i/>
                <w:iCs/>
                <w:color w:val="000000"/>
                <w:sz w:val="21"/>
                <w:szCs w:val="21"/>
                <w:lang w:bidi="ar"/>
              </w:rPr>
              <w:t>Rana amurensis</w:t>
            </w:r>
            <w:bookmarkEnd w:id="249"/>
          </w:p>
        </w:tc>
        <w:tc>
          <w:tcPr>
            <w:tcW w:w="597" w:type="pct"/>
            <w:tcBorders>
              <w:tl2br w:val="nil"/>
              <w:tr2bl w:val="nil"/>
            </w:tcBorders>
            <w:vAlign w:val="center"/>
          </w:tcPr>
          <w:p w14:paraId="381D8C6A" w14:textId="77777777" w:rsidR="009D12AF" w:rsidRDefault="00000000">
            <w:pPr>
              <w:widowControl/>
              <w:spacing w:line="0" w:lineRule="atLeast"/>
              <w:ind w:firstLineChars="0" w:firstLine="0"/>
              <w:jc w:val="center"/>
              <w:rPr>
                <w:rFonts w:ascii="宋体" w:eastAsia="宋体" w:hAnsi="宋体" w:cs="Times New Roman" w:hint="eastAsia"/>
                <w:sz w:val="21"/>
                <w:szCs w:val="21"/>
              </w:rPr>
            </w:pPr>
            <w:r>
              <w:rPr>
                <w:rFonts w:ascii="Times New Roman" w:eastAsia="宋体" w:hAnsi="Times New Roman" w:cs="Times New Roman"/>
                <w:color w:val="000000"/>
                <w:sz w:val="21"/>
                <w:szCs w:val="21"/>
                <w:lang w:bidi="ar"/>
              </w:rPr>
              <w:t>1.2.3</w:t>
            </w:r>
          </w:p>
        </w:tc>
        <w:tc>
          <w:tcPr>
            <w:tcW w:w="597" w:type="pct"/>
            <w:tcBorders>
              <w:tl2br w:val="nil"/>
              <w:tr2bl w:val="nil"/>
            </w:tcBorders>
            <w:vAlign w:val="center"/>
          </w:tcPr>
          <w:p w14:paraId="60A091C0" w14:textId="77777777" w:rsidR="009D12AF" w:rsidRDefault="00000000">
            <w:pPr>
              <w:widowControl/>
              <w:spacing w:line="0" w:lineRule="atLeast"/>
              <w:ind w:firstLineChars="0" w:firstLine="0"/>
              <w:jc w:val="center"/>
              <w:rPr>
                <w:rFonts w:ascii="宋体" w:eastAsia="宋体" w:hAnsi="宋体" w:cs="Times New Roman" w:hint="eastAsia"/>
                <w:color w:val="000000"/>
                <w:sz w:val="21"/>
                <w:szCs w:val="21"/>
                <w:lang w:bidi="ar"/>
              </w:rPr>
            </w:pPr>
            <w:r>
              <w:rPr>
                <w:rFonts w:ascii="宋体" w:eastAsia="宋体" w:hAnsi="宋体" w:cs="Times New Roman"/>
                <w:sz w:val="21"/>
                <w:szCs w:val="21"/>
              </w:rPr>
              <w:t>古北种</w:t>
            </w:r>
          </w:p>
        </w:tc>
        <w:tc>
          <w:tcPr>
            <w:tcW w:w="426" w:type="pct"/>
            <w:tcBorders>
              <w:tl2br w:val="nil"/>
              <w:tr2bl w:val="nil"/>
            </w:tcBorders>
            <w:vAlign w:val="center"/>
          </w:tcPr>
          <w:p w14:paraId="0B046B63" w14:textId="77777777" w:rsidR="009D12AF" w:rsidRDefault="00000000">
            <w:pPr>
              <w:widowControl/>
              <w:spacing w:line="0" w:lineRule="atLeast"/>
              <w:ind w:firstLineChars="0" w:firstLine="0"/>
              <w:jc w:val="center"/>
              <w:rPr>
                <w:rFonts w:ascii="宋体" w:eastAsia="宋体" w:hAnsi="宋体" w:cs="Times New Roman" w:hint="eastAsia"/>
                <w:sz w:val="21"/>
                <w:szCs w:val="21"/>
              </w:rPr>
            </w:pPr>
            <w:r>
              <w:rPr>
                <w:rFonts w:ascii="宋体" w:eastAsia="宋体" w:hAnsi="宋体" w:cs="Times New Roman"/>
                <w:color w:val="000000"/>
                <w:sz w:val="21"/>
                <w:szCs w:val="21"/>
                <w:lang w:bidi="ar"/>
              </w:rPr>
              <w:t>+++</w:t>
            </w:r>
          </w:p>
        </w:tc>
        <w:tc>
          <w:tcPr>
            <w:tcW w:w="684" w:type="pct"/>
            <w:tcBorders>
              <w:tl2br w:val="nil"/>
              <w:tr2bl w:val="nil"/>
            </w:tcBorders>
            <w:vAlign w:val="center"/>
          </w:tcPr>
          <w:p w14:paraId="43987960" w14:textId="77777777" w:rsidR="009D12AF" w:rsidRDefault="00000000">
            <w:pPr>
              <w:widowControl/>
              <w:spacing w:line="0" w:lineRule="atLeast"/>
              <w:ind w:firstLineChars="0" w:firstLine="0"/>
              <w:jc w:val="center"/>
              <w:rPr>
                <w:rFonts w:ascii="宋体" w:eastAsia="宋体" w:hAnsi="宋体" w:cs="Times New Roman" w:hint="eastAsia"/>
                <w:sz w:val="21"/>
                <w:szCs w:val="21"/>
              </w:rPr>
            </w:pPr>
            <w:r>
              <w:rPr>
                <w:rFonts w:ascii="宋体" w:eastAsia="宋体" w:hAnsi="宋体" w:cs="Times New Roman" w:hint="eastAsia"/>
                <w:sz w:val="21"/>
                <w:szCs w:val="21"/>
              </w:rPr>
              <w:t>目击</w:t>
            </w:r>
          </w:p>
        </w:tc>
        <w:tc>
          <w:tcPr>
            <w:tcW w:w="682" w:type="pct"/>
            <w:tcBorders>
              <w:tl2br w:val="nil"/>
              <w:tr2bl w:val="nil"/>
            </w:tcBorders>
            <w:vAlign w:val="center"/>
          </w:tcPr>
          <w:p w14:paraId="4B752B7F" w14:textId="77777777" w:rsidR="009D12AF" w:rsidRDefault="00000000">
            <w:pPr>
              <w:widowControl/>
              <w:spacing w:line="0" w:lineRule="atLeast"/>
              <w:ind w:firstLineChars="0" w:firstLine="0"/>
              <w:jc w:val="center"/>
              <w:rPr>
                <w:rFonts w:ascii="宋体" w:eastAsia="宋体" w:hAnsi="宋体" w:cs="Times New Roman" w:hint="eastAsia"/>
                <w:color w:val="000000"/>
                <w:sz w:val="21"/>
                <w:szCs w:val="21"/>
                <w:lang w:bidi="ar"/>
              </w:rPr>
            </w:pPr>
            <w:r>
              <w:rPr>
                <w:rFonts w:ascii="宋体" w:eastAsia="宋体" w:hAnsi="宋体" w:cs="Times New Roman" w:hint="eastAsia"/>
                <w:kern w:val="0"/>
                <w:sz w:val="21"/>
                <w:szCs w:val="21"/>
                <w:lang w:bidi="ar"/>
              </w:rPr>
              <w:t>————</w:t>
            </w:r>
          </w:p>
        </w:tc>
        <w:tc>
          <w:tcPr>
            <w:tcW w:w="390" w:type="pct"/>
            <w:tcBorders>
              <w:tl2br w:val="nil"/>
              <w:tr2bl w:val="nil"/>
            </w:tcBorders>
            <w:vAlign w:val="center"/>
          </w:tcPr>
          <w:p w14:paraId="691275E2" w14:textId="77777777" w:rsidR="009D12AF" w:rsidRDefault="00000000">
            <w:pPr>
              <w:widowControl/>
              <w:spacing w:line="0" w:lineRule="atLeast"/>
              <w:ind w:firstLineChars="0" w:firstLine="0"/>
              <w:jc w:val="center"/>
              <w:rPr>
                <w:rFonts w:ascii="宋体" w:eastAsia="宋体" w:hAnsi="宋体" w:cs="Times New Roman" w:hint="eastAsia"/>
                <w:color w:val="000000"/>
                <w:sz w:val="21"/>
                <w:szCs w:val="21"/>
                <w:lang w:bidi="ar"/>
              </w:rPr>
            </w:pPr>
            <w:r>
              <w:rPr>
                <w:rFonts w:ascii="宋体" w:eastAsia="宋体" w:hAnsi="宋体" w:cs="Times New Roman"/>
                <w:sz w:val="21"/>
                <w:szCs w:val="21"/>
              </w:rPr>
              <w:t>近危</w:t>
            </w:r>
          </w:p>
        </w:tc>
      </w:tr>
      <w:tr w:rsidR="009D12AF" w14:paraId="1F75689F" w14:textId="77777777">
        <w:trPr>
          <w:trHeight w:val="646"/>
        </w:trPr>
        <w:tc>
          <w:tcPr>
            <w:tcW w:w="1621" w:type="pct"/>
            <w:tcBorders>
              <w:tl2br w:val="nil"/>
              <w:tr2bl w:val="nil"/>
            </w:tcBorders>
            <w:vAlign w:val="center"/>
          </w:tcPr>
          <w:p w14:paraId="5A652B58" w14:textId="77777777" w:rsidR="009D12AF" w:rsidRDefault="00000000">
            <w:pPr>
              <w:widowControl/>
              <w:numPr>
                <w:ilvl w:val="0"/>
                <w:numId w:val="17"/>
              </w:numPr>
              <w:spacing w:after="160" w:line="0" w:lineRule="atLeast"/>
              <w:ind w:firstLineChars="0"/>
              <w:jc w:val="left"/>
              <w:rPr>
                <w:rFonts w:ascii="宋体" w:eastAsia="宋体" w:hAnsi="宋体" w:cs="Times New Roman" w:hint="eastAsia"/>
                <w:color w:val="000000"/>
                <w:sz w:val="21"/>
                <w:szCs w:val="21"/>
                <w:lang w:bidi="ar"/>
              </w:rPr>
            </w:pPr>
            <w:r>
              <w:rPr>
                <w:rFonts w:ascii="宋体" w:eastAsia="宋体" w:hAnsi="宋体" w:cs="Times New Roman" w:hint="eastAsia"/>
                <w:color w:val="000000"/>
                <w:sz w:val="21"/>
                <w:szCs w:val="21"/>
                <w:lang w:bidi="ar"/>
              </w:rPr>
              <w:t>东北林蛙</w:t>
            </w:r>
          </w:p>
          <w:p w14:paraId="763CB278" w14:textId="77777777" w:rsidR="009D12AF" w:rsidRDefault="00000000">
            <w:pPr>
              <w:widowControl/>
              <w:spacing w:line="0" w:lineRule="atLeast"/>
              <w:ind w:firstLineChars="0" w:firstLine="0"/>
              <w:jc w:val="left"/>
              <w:rPr>
                <w:rFonts w:ascii="宋体" w:eastAsia="宋体" w:hAnsi="宋体" w:cs="Times New Roman" w:hint="eastAsia"/>
                <w:color w:val="000000"/>
                <w:sz w:val="21"/>
                <w:szCs w:val="21"/>
                <w:lang w:bidi="ar"/>
              </w:rPr>
            </w:pPr>
            <w:r>
              <w:rPr>
                <w:rFonts w:ascii="Times New Roman" w:eastAsia="宋体" w:hAnsi="Times New Roman" w:cs="Times New Roman"/>
                <w:i/>
                <w:iCs/>
                <w:color w:val="000000"/>
                <w:sz w:val="21"/>
                <w:szCs w:val="21"/>
                <w:lang w:bidi="ar"/>
              </w:rPr>
              <w:t>Rana dybowskii</w:t>
            </w:r>
          </w:p>
        </w:tc>
        <w:tc>
          <w:tcPr>
            <w:tcW w:w="597" w:type="pct"/>
            <w:tcBorders>
              <w:tl2br w:val="nil"/>
              <w:tr2bl w:val="nil"/>
            </w:tcBorders>
            <w:vAlign w:val="center"/>
          </w:tcPr>
          <w:p w14:paraId="1197AE31" w14:textId="77777777" w:rsidR="009D12AF" w:rsidRDefault="00000000">
            <w:pPr>
              <w:widowControl/>
              <w:spacing w:line="0" w:lineRule="atLeast"/>
              <w:ind w:firstLineChars="0" w:firstLine="0"/>
              <w:jc w:val="center"/>
              <w:rPr>
                <w:rFonts w:ascii="宋体" w:eastAsia="宋体" w:hAnsi="宋体" w:cs="Times New Roman" w:hint="eastAsia"/>
                <w:color w:val="000000"/>
                <w:sz w:val="21"/>
                <w:szCs w:val="21"/>
                <w:lang w:bidi="ar"/>
              </w:rPr>
            </w:pPr>
            <w:r>
              <w:rPr>
                <w:rFonts w:ascii="Times New Roman" w:eastAsia="宋体" w:hAnsi="Times New Roman" w:cs="Times New Roman"/>
                <w:color w:val="000000"/>
                <w:sz w:val="21"/>
                <w:szCs w:val="21"/>
                <w:lang w:bidi="ar"/>
              </w:rPr>
              <w:t>1.2.3.5</w:t>
            </w:r>
          </w:p>
        </w:tc>
        <w:tc>
          <w:tcPr>
            <w:tcW w:w="597" w:type="pct"/>
            <w:tcBorders>
              <w:tl2br w:val="nil"/>
              <w:tr2bl w:val="nil"/>
            </w:tcBorders>
            <w:vAlign w:val="center"/>
          </w:tcPr>
          <w:p w14:paraId="03024660" w14:textId="77777777" w:rsidR="009D12AF" w:rsidRDefault="00000000">
            <w:pPr>
              <w:widowControl/>
              <w:spacing w:line="0" w:lineRule="atLeast"/>
              <w:ind w:firstLineChars="0" w:firstLine="0"/>
              <w:jc w:val="center"/>
              <w:rPr>
                <w:rFonts w:ascii="宋体" w:eastAsia="宋体" w:hAnsi="宋体" w:cs="Times New Roman" w:hint="eastAsia"/>
                <w:color w:val="000000"/>
                <w:sz w:val="21"/>
                <w:szCs w:val="21"/>
                <w:lang w:bidi="ar"/>
              </w:rPr>
            </w:pPr>
            <w:r>
              <w:rPr>
                <w:rFonts w:ascii="宋体" w:eastAsia="宋体" w:hAnsi="宋体" w:cs="Times New Roman"/>
                <w:sz w:val="21"/>
                <w:szCs w:val="21"/>
              </w:rPr>
              <w:t>古北种</w:t>
            </w:r>
          </w:p>
        </w:tc>
        <w:tc>
          <w:tcPr>
            <w:tcW w:w="426" w:type="pct"/>
            <w:tcBorders>
              <w:tl2br w:val="nil"/>
              <w:tr2bl w:val="nil"/>
            </w:tcBorders>
            <w:vAlign w:val="center"/>
          </w:tcPr>
          <w:p w14:paraId="095289AD" w14:textId="77777777" w:rsidR="009D12AF" w:rsidRDefault="00000000">
            <w:pPr>
              <w:widowControl/>
              <w:spacing w:line="0" w:lineRule="atLeast"/>
              <w:ind w:firstLineChars="0" w:firstLine="0"/>
              <w:jc w:val="center"/>
              <w:rPr>
                <w:rFonts w:ascii="宋体" w:eastAsia="宋体" w:hAnsi="宋体" w:cs="Times New Roman" w:hint="eastAsia"/>
                <w:color w:val="000000"/>
                <w:sz w:val="21"/>
                <w:szCs w:val="21"/>
                <w:lang w:bidi="ar"/>
              </w:rPr>
            </w:pPr>
            <w:r>
              <w:rPr>
                <w:rFonts w:ascii="宋体" w:eastAsia="宋体" w:hAnsi="宋体" w:cs="Times New Roman"/>
                <w:color w:val="000000"/>
                <w:kern w:val="0"/>
                <w:sz w:val="21"/>
                <w:szCs w:val="21"/>
                <w:lang w:bidi="ar"/>
              </w:rPr>
              <w:t>++</w:t>
            </w:r>
          </w:p>
        </w:tc>
        <w:tc>
          <w:tcPr>
            <w:tcW w:w="684" w:type="pct"/>
            <w:tcBorders>
              <w:tl2br w:val="nil"/>
              <w:tr2bl w:val="nil"/>
            </w:tcBorders>
            <w:vAlign w:val="center"/>
          </w:tcPr>
          <w:p w14:paraId="3E785930" w14:textId="77777777" w:rsidR="009D12AF" w:rsidRDefault="00000000">
            <w:pPr>
              <w:widowControl/>
              <w:spacing w:line="0" w:lineRule="atLeast"/>
              <w:ind w:firstLineChars="0" w:firstLine="0"/>
              <w:jc w:val="center"/>
              <w:rPr>
                <w:rFonts w:ascii="宋体" w:eastAsia="宋体" w:hAnsi="宋体" w:cs="Times New Roman" w:hint="eastAsia"/>
                <w:color w:val="000000"/>
                <w:sz w:val="21"/>
                <w:szCs w:val="21"/>
                <w:lang w:bidi="ar"/>
              </w:rPr>
            </w:pPr>
            <w:r>
              <w:rPr>
                <w:rFonts w:ascii="宋体" w:eastAsia="宋体" w:hAnsi="宋体" w:cs="Times New Roman"/>
                <w:sz w:val="21"/>
                <w:szCs w:val="21"/>
              </w:rPr>
              <w:t>访问资料</w:t>
            </w:r>
          </w:p>
        </w:tc>
        <w:tc>
          <w:tcPr>
            <w:tcW w:w="682" w:type="pct"/>
            <w:tcBorders>
              <w:tl2br w:val="nil"/>
              <w:tr2bl w:val="nil"/>
            </w:tcBorders>
            <w:vAlign w:val="center"/>
          </w:tcPr>
          <w:p w14:paraId="2A025EC5" w14:textId="77777777" w:rsidR="009D12AF" w:rsidRDefault="00000000">
            <w:pPr>
              <w:widowControl/>
              <w:spacing w:line="0" w:lineRule="atLeast"/>
              <w:ind w:firstLineChars="0" w:firstLine="0"/>
              <w:jc w:val="center"/>
              <w:rPr>
                <w:rFonts w:ascii="宋体" w:eastAsia="宋体" w:hAnsi="宋体" w:cs="Times New Roman" w:hint="eastAsia"/>
                <w:color w:val="000000"/>
                <w:sz w:val="21"/>
                <w:szCs w:val="21"/>
                <w:lang w:bidi="ar"/>
              </w:rPr>
            </w:pPr>
            <w:r>
              <w:rPr>
                <w:rFonts w:ascii="宋体" w:eastAsia="宋体" w:hAnsi="宋体" w:cs="Times New Roman" w:hint="eastAsia"/>
                <w:kern w:val="0"/>
                <w:sz w:val="21"/>
                <w:szCs w:val="21"/>
                <w:lang w:bidi="ar"/>
              </w:rPr>
              <w:t>————</w:t>
            </w:r>
          </w:p>
        </w:tc>
        <w:tc>
          <w:tcPr>
            <w:tcW w:w="390" w:type="pct"/>
            <w:tcBorders>
              <w:tl2br w:val="nil"/>
              <w:tr2bl w:val="nil"/>
            </w:tcBorders>
            <w:vAlign w:val="center"/>
          </w:tcPr>
          <w:p w14:paraId="37FA7C0A" w14:textId="77777777" w:rsidR="009D12AF" w:rsidRDefault="00000000">
            <w:pPr>
              <w:widowControl/>
              <w:spacing w:line="0" w:lineRule="atLeast"/>
              <w:ind w:firstLineChars="0" w:firstLine="0"/>
              <w:jc w:val="center"/>
              <w:rPr>
                <w:rFonts w:ascii="宋体" w:eastAsia="宋体" w:hAnsi="宋体" w:cs="Times New Roman" w:hint="eastAsia"/>
                <w:color w:val="000000"/>
                <w:sz w:val="21"/>
                <w:szCs w:val="21"/>
                <w:lang w:bidi="ar"/>
              </w:rPr>
            </w:pPr>
            <w:r>
              <w:rPr>
                <w:rFonts w:ascii="宋体" w:eastAsia="宋体" w:hAnsi="宋体" w:cs="Times New Roman"/>
                <w:sz w:val="21"/>
                <w:szCs w:val="21"/>
              </w:rPr>
              <w:t>近危</w:t>
            </w:r>
          </w:p>
        </w:tc>
      </w:tr>
      <w:tr w:rsidR="009D12AF" w14:paraId="03CAE4C1" w14:textId="77777777">
        <w:trPr>
          <w:trHeight w:val="646"/>
        </w:trPr>
        <w:tc>
          <w:tcPr>
            <w:tcW w:w="1621" w:type="pct"/>
            <w:tcBorders>
              <w:tl2br w:val="nil"/>
              <w:tr2bl w:val="nil"/>
            </w:tcBorders>
            <w:vAlign w:val="center"/>
          </w:tcPr>
          <w:p w14:paraId="763B5F32" w14:textId="77777777" w:rsidR="009D12AF" w:rsidRDefault="00000000">
            <w:pPr>
              <w:widowControl/>
              <w:numPr>
                <w:ilvl w:val="0"/>
                <w:numId w:val="17"/>
              </w:numPr>
              <w:spacing w:after="160" w:line="0" w:lineRule="atLeast"/>
              <w:ind w:firstLineChars="0"/>
              <w:jc w:val="left"/>
              <w:rPr>
                <w:rFonts w:ascii="宋体" w:eastAsia="宋体" w:hAnsi="宋体" w:cs="Times New Roman" w:hint="eastAsia"/>
                <w:color w:val="000000"/>
                <w:sz w:val="21"/>
                <w:szCs w:val="21"/>
                <w:lang w:bidi="ar"/>
              </w:rPr>
            </w:pPr>
            <w:r>
              <w:rPr>
                <w:rFonts w:ascii="宋体" w:eastAsia="宋体" w:hAnsi="宋体" w:cs="Times New Roman"/>
                <w:color w:val="000000"/>
                <w:sz w:val="21"/>
                <w:szCs w:val="21"/>
                <w:lang w:bidi="ar"/>
              </w:rPr>
              <w:t>黑斑侧褶蛙</w:t>
            </w:r>
          </w:p>
          <w:p w14:paraId="5EBFED49" w14:textId="77777777" w:rsidR="009D12AF" w:rsidRDefault="00000000">
            <w:pPr>
              <w:widowControl/>
              <w:spacing w:line="0" w:lineRule="atLeast"/>
              <w:ind w:firstLineChars="0" w:firstLine="0"/>
              <w:jc w:val="left"/>
              <w:rPr>
                <w:rFonts w:ascii="宋体" w:eastAsia="宋体" w:hAnsi="宋体" w:cs="Times New Roman" w:hint="eastAsia"/>
                <w:i/>
                <w:iCs/>
                <w:color w:val="000000"/>
                <w:sz w:val="21"/>
                <w:szCs w:val="21"/>
                <w:lang w:bidi="ar"/>
              </w:rPr>
            </w:pPr>
            <w:r>
              <w:rPr>
                <w:rFonts w:ascii="Times New Roman" w:eastAsia="宋体" w:hAnsi="Times New Roman" w:cs="Times New Roman"/>
                <w:i/>
                <w:iCs/>
                <w:color w:val="000000"/>
                <w:sz w:val="21"/>
                <w:szCs w:val="21"/>
                <w:lang w:bidi="ar"/>
              </w:rPr>
              <w:t>Pelophylax nigromaculatus</w:t>
            </w:r>
          </w:p>
        </w:tc>
        <w:tc>
          <w:tcPr>
            <w:tcW w:w="597" w:type="pct"/>
            <w:tcBorders>
              <w:tl2br w:val="nil"/>
              <w:tr2bl w:val="nil"/>
            </w:tcBorders>
            <w:vAlign w:val="center"/>
          </w:tcPr>
          <w:p w14:paraId="03FEE78F" w14:textId="77777777" w:rsidR="009D12AF" w:rsidRDefault="00000000">
            <w:pPr>
              <w:widowControl/>
              <w:spacing w:line="0" w:lineRule="atLeast"/>
              <w:ind w:firstLineChars="0" w:firstLine="0"/>
              <w:jc w:val="center"/>
              <w:rPr>
                <w:rFonts w:ascii="宋体" w:eastAsia="宋体" w:hAnsi="宋体" w:cs="Times New Roman" w:hint="eastAsia"/>
                <w:color w:val="000000"/>
                <w:sz w:val="21"/>
                <w:szCs w:val="21"/>
                <w:lang w:bidi="ar"/>
              </w:rPr>
            </w:pPr>
            <w:r>
              <w:rPr>
                <w:rFonts w:ascii="Times New Roman" w:eastAsia="宋体" w:hAnsi="Times New Roman" w:cs="Times New Roman"/>
                <w:color w:val="000000"/>
                <w:sz w:val="21"/>
                <w:szCs w:val="21"/>
                <w:lang w:bidi="ar"/>
              </w:rPr>
              <w:t>1.2.3</w:t>
            </w:r>
          </w:p>
        </w:tc>
        <w:tc>
          <w:tcPr>
            <w:tcW w:w="597" w:type="pct"/>
            <w:tcBorders>
              <w:tl2br w:val="nil"/>
              <w:tr2bl w:val="nil"/>
            </w:tcBorders>
            <w:vAlign w:val="center"/>
          </w:tcPr>
          <w:p w14:paraId="65060AD9" w14:textId="77777777" w:rsidR="009D12AF" w:rsidRDefault="00000000">
            <w:pPr>
              <w:widowControl/>
              <w:spacing w:line="0" w:lineRule="atLeast"/>
              <w:ind w:firstLineChars="0" w:firstLine="0"/>
              <w:jc w:val="center"/>
              <w:rPr>
                <w:rFonts w:ascii="宋体" w:eastAsia="宋体" w:hAnsi="宋体" w:cs="Times New Roman" w:hint="eastAsia"/>
                <w:color w:val="000000"/>
                <w:kern w:val="0"/>
                <w:sz w:val="21"/>
                <w:szCs w:val="21"/>
                <w:lang w:bidi="ar"/>
              </w:rPr>
            </w:pPr>
            <w:r>
              <w:rPr>
                <w:rFonts w:ascii="宋体" w:eastAsia="宋体" w:hAnsi="宋体" w:cs="Times New Roman"/>
                <w:sz w:val="21"/>
                <w:szCs w:val="21"/>
              </w:rPr>
              <w:t>广布种</w:t>
            </w:r>
          </w:p>
        </w:tc>
        <w:tc>
          <w:tcPr>
            <w:tcW w:w="426" w:type="pct"/>
            <w:tcBorders>
              <w:tl2br w:val="nil"/>
              <w:tr2bl w:val="nil"/>
            </w:tcBorders>
            <w:vAlign w:val="center"/>
          </w:tcPr>
          <w:p w14:paraId="33DB25FD" w14:textId="77777777" w:rsidR="009D12AF" w:rsidRDefault="00000000">
            <w:pPr>
              <w:widowControl/>
              <w:spacing w:line="0" w:lineRule="atLeast"/>
              <w:ind w:firstLineChars="0" w:firstLine="0"/>
              <w:jc w:val="center"/>
              <w:rPr>
                <w:rFonts w:ascii="宋体" w:eastAsia="宋体" w:hAnsi="宋体" w:cs="Times New Roman" w:hint="eastAsia"/>
                <w:color w:val="000000"/>
                <w:kern w:val="0"/>
                <w:sz w:val="21"/>
                <w:szCs w:val="21"/>
                <w:lang w:bidi="ar"/>
              </w:rPr>
            </w:pPr>
            <w:r>
              <w:rPr>
                <w:rFonts w:ascii="宋体" w:eastAsia="宋体" w:hAnsi="宋体" w:cs="Times New Roman"/>
                <w:color w:val="000000"/>
                <w:kern w:val="0"/>
                <w:sz w:val="21"/>
                <w:szCs w:val="21"/>
                <w:lang w:bidi="ar"/>
              </w:rPr>
              <w:t>+++</w:t>
            </w:r>
          </w:p>
        </w:tc>
        <w:tc>
          <w:tcPr>
            <w:tcW w:w="684" w:type="pct"/>
            <w:tcBorders>
              <w:tl2br w:val="nil"/>
              <w:tr2bl w:val="nil"/>
            </w:tcBorders>
            <w:vAlign w:val="center"/>
          </w:tcPr>
          <w:p w14:paraId="794D17C0" w14:textId="77777777" w:rsidR="009D12AF" w:rsidRDefault="00000000">
            <w:pPr>
              <w:widowControl/>
              <w:spacing w:line="0" w:lineRule="atLeast"/>
              <w:ind w:firstLineChars="0" w:firstLine="0"/>
              <w:jc w:val="center"/>
              <w:rPr>
                <w:rFonts w:ascii="宋体" w:eastAsia="宋体" w:hAnsi="宋体" w:cs="Times New Roman" w:hint="eastAsia"/>
                <w:kern w:val="0"/>
                <w:sz w:val="21"/>
                <w:szCs w:val="21"/>
              </w:rPr>
            </w:pPr>
            <w:r>
              <w:rPr>
                <w:rFonts w:ascii="宋体" w:eastAsia="宋体" w:hAnsi="宋体" w:cs="Times New Roman" w:hint="eastAsia"/>
                <w:sz w:val="21"/>
                <w:szCs w:val="21"/>
              </w:rPr>
              <w:t>目击</w:t>
            </w:r>
          </w:p>
        </w:tc>
        <w:tc>
          <w:tcPr>
            <w:tcW w:w="682" w:type="pct"/>
            <w:tcBorders>
              <w:tl2br w:val="nil"/>
              <w:tr2bl w:val="nil"/>
            </w:tcBorders>
            <w:vAlign w:val="center"/>
          </w:tcPr>
          <w:p w14:paraId="1D950D79" w14:textId="77777777" w:rsidR="009D12AF" w:rsidRDefault="00000000">
            <w:pPr>
              <w:widowControl/>
              <w:spacing w:line="0" w:lineRule="atLeast"/>
              <w:ind w:firstLineChars="0" w:firstLine="0"/>
              <w:jc w:val="center"/>
              <w:rPr>
                <w:rFonts w:ascii="宋体" w:eastAsia="宋体" w:hAnsi="宋体" w:cs="Times New Roman" w:hint="eastAsia"/>
                <w:kern w:val="0"/>
                <w:sz w:val="21"/>
                <w:szCs w:val="21"/>
                <w:lang w:bidi="ar"/>
              </w:rPr>
            </w:pPr>
            <w:r>
              <w:rPr>
                <w:rFonts w:ascii="Times New Roman" w:eastAsia="宋体" w:hAnsi="Times New Roman" w:cs="Times New Roman" w:hint="eastAsia"/>
                <w:kern w:val="0"/>
                <w:sz w:val="21"/>
                <w:szCs w:val="21"/>
                <w:lang w:bidi="ar"/>
              </w:rPr>
              <w:t>————</w:t>
            </w:r>
          </w:p>
        </w:tc>
        <w:tc>
          <w:tcPr>
            <w:tcW w:w="390" w:type="pct"/>
            <w:tcBorders>
              <w:tl2br w:val="nil"/>
              <w:tr2bl w:val="nil"/>
            </w:tcBorders>
            <w:vAlign w:val="center"/>
          </w:tcPr>
          <w:p w14:paraId="7A32A402" w14:textId="77777777" w:rsidR="009D12AF" w:rsidRDefault="00000000">
            <w:pPr>
              <w:widowControl/>
              <w:spacing w:line="0" w:lineRule="atLeast"/>
              <w:ind w:firstLineChars="0" w:firstLine="0"/>
              <w:jc w:val="center"/>
              <w:rPr>
                <w:rFonts w:ascii="宋体" w:eastAsia="宋体" w:hAnsi="宋体" w:cs="Times New Roman" w:hint="eastAsia"/>
                <w:kern w:val="0"/>
                <w:sz w:val="21"/>
                <w:szCs w:val="21"/>
                <w:lang w:bidi="ar"/>
              </w:rPr>
            </w:pPr>
            <w:r>
              <w:rPr>
                <w:rFonts w:ascii="宋体" w:eastAsia="宋体" w:hAnsi="宋体" w:cs="Times New Roman"/>
                <w:sz w:val="21"/>
                <w:szCs w:val="21"/>
              </w:rPr>
              <w:t>近危</w:t>
            </w:r>
          </w:p>
        </w:tc>
      </w:tr>
      <w:tr w:rsidR="009D12AF" w14:paraId="16D93B3B" w14:textId="77777777">
        <w:trPr>
          <w:trHeight w:val="329"/>
        </w:trPr>
        <w:tc>
          <w:tcPr>
            <w:tcW w:w="3926" w:type="pct"/>
            <w:gridSpan w:val="5"/>
            <w:tcBorders>
              <w:tl2br w:val="nil"/>
              <w:tr2bl w:val="nil"/>
            </w:tcBorders>
            <w:vAlign w:val="center"/>
          </w:tcPr>
          <w:p w14:paraId="19B675B1" w14:textId="77777777" w:rsidR="009D12AF" w:rsidRDefault="00000000">
            <w:pPr>
              <w:widowControl/>
              <w:numPr>
                <w:ilvl w:val="0"/>
                <w:numId w:val="15"/>
              </w:numPr>
              <w:spacing w:after="160" w:line="0" w:lineRule="atLeast"/>
              <w:ind w:left="440" w:firstLineChars="0" w:firstLine="0"/>
              <w:jc w:val="left"/>
              <w:rPr>
                <w:rFonts w:ascii="宋体" w:eastAsia="宋体" w:hAnsi="宋体" w:cs="Times New Roman" w:hint="eastAsia"/>
                <w:b/>
                <w:bCs/>
                <w:color w:val="000000"/>
                <w:sz w:val="21"/>
                <w:szCs w:val="21"/>
                <w:lang w:bidi="ar"/>
              </w:rPr>
            </w:pPr>
            <w:r>
              <w:rPr>
                <w:rFonts w:ascii="宋体" w:eastAsia="宋体" w:hAnsi="宋体" w:cs="Times New Roman" w:hint="eastAsia"/>
                <w:b/>
                <w:bCs/>
                <w:color w:val="000000"/>
                <w:sz w:val="21"/>
                <w:szCs w:val="21"/>
                <w:lang w:bidi="ar"/>
              </w:rPr>
              <w:t>有尾目</w:t>
            </w:r>
            <w:r>
              <w:rPr>
                <w:rFonts w:ascii="Times New Roman" w:eastAsia="宋体" w:hAnsi="Times New Roman" w:cs="Times New Roman"/>
                <w:b/>
                <w:sz w:val="21"/>
                <w:szCs w:val="21"/>
              </w:rPr>
              <w:t>CAUDATA</w:t>
            </w:r>
          </w:p>
        </w:tc>
        <w:tc>
          <w:tcPr>
            <w:tcW w:w="682" w:type="pct"/>
            <w:tcBorders>
              <w:tl2br w:val="nil"/>
              <w:tr2bl w:val="nil"/>
            </w:tcBorders>
            <w:vAlign w:val="center"/>
          </w:tcPr>
          <w:p w14:paraId="07CDB5E9" w14:textId="77777777" w:rsidR="009D12AF" w:rsidRDefault="009D12AF">
            <w:pPr>
              <w:widowControl/>
              <w:spacing w:line="0" w:lineRule="atLeast"/>
              <w:ind w:firstLineChars="0" w:firstLine="0"/>
              <w:jc w:val="center"/>
              <w:rPr>
                <w:rFonts w:ascii="宋体" w:eastAsia="宋体" w:hAnsi="宋体" w:cs="Times New Roman" w:hint="eastAsia"/>
                <w:b/>
                <w:bCs/>
                <w:color w:val="000000"/>
                <w:sz w:val="21"/>
                <w:szCs w:val="21"/>
                <w:lang w:bidi="ar"/>
              </w:rPr>
            </w:pPr>
          </w:p>
        </w:tc>
        <w:tc>
          <w:tcPr>
            <w:tcW w:w="390" w:type="pct"/>
            <w:tcBorders>
              <w:tl2br w:val="nil"/>
              <w:tr2bl w:val="nil"/>
            </w:tcBorders>
            <w:vAlign w:val="center"/>
          </w:tcPr>
          <w:p w14:paraId="79C85E5E" w14:textId="77777777" w:rsidR="009D12AF" w:rsidRDefault="009D12AF">
            <w:pPr>
              <w:widowControl/>
              <w:spacing w:line="0" w:lineRule="atLeast"/>
              <w:ind w:firstLineChars="0" w:firstLine="0"/>
              <w:jc w:val="center"/>
              <w:rPr>
                <w:rFonts w:ascii="宋体" w:eastAsia="宋体" w:hAnsi="宋体" w:cs="Times New Roman" w:hint="eastAsia"/>
                <w:b/>
                <w:bCs/>
                <w:color w:val="000000"/>
                <w:sz w:val="21"/>
                <w:szCs w:val="21"/>
                <w:lang w:bidi="ar"/>
              </w:rPr>
            </w:pPr>
          </w:p>
        </w:tc>
      </w:tr>
      <w:tr w:rsidR="009D12AF" w14:paraId="7AF92D2D" w14:textId="77777777">
        <w:trPr>
          <w:trHeight w:val="277"/>
        </w:trPr>
        <w:tc>
          <w:tcPr>
            <w:tcW w:w="5000" w:type="pct"/>
            <w:gridSpan w:val="7"/>
            <w:tcBorders>
              <w:tl2br w:val="nil"/>
              <w:tr2bl w:val="nil"/>
            </w:tcBorders>
            <w:vAlign w:val="center"/>
          </w:tcPr>
          <w:p w14:paraId="26C1FC4F" w14:textId="77777777" w:rsidR="009D12AF" w:rsidRDefault="00000000">
            <w:pPr>
              <w:widowControl/>
              <w:numPr>
                <w:ilvl w:val="0"/>
                <w:numId w:val="16"/>
              </w:numPr>
              <w:spacing w:after="160" w:line="0" w:lineRule="atLeast"/>
              <w:ind w:left="440" w:firstLineChars="0" w:firstLine="0"/>
              <w:jc w:val="left"/>
              <w:rPr>
                <w:rFonts w:ascii="宋体" w:eastAsia="宋体" w:hAnsi="宋体" w:cs="Times New Roman" w:hint="eastAsia"/>
                <w:b/>
                <w:bCs/>
                <w:color w:val="000000"/>
                <w:sz w:val="21"/>
                <w:szCs w:val="21"/>
                <w:lang w:bidi="ar"/>
              </w:rPr>
            </w:pPr>
            <w:r>
              <w:rPr>
                <w:rFonts w:ascii="宋体" w:eastAsia="宋体" w:hAnsi="宋体" w:cs="Times New Roman"/>
                <w:b/>
                <w:bCs/>
                <w:color w:val="000000"/>
                <w:sz w:val="21"/>
                <w:szCs w:val="21"/>
                <w:lang w:bidi="ar"/>
              </w:rPr>
              <w:t>小鲵科</w:t>
            </w:r>
            <w:r>
              <w:rPr>
                <w:rFonts w:ascii="Times New Roman" w:eastAsia="宋体" w:hAnsi="Times New Roman" w:cs="Times New Roman"/>
                <w:b/>
                <w:bCs/>
                <w:i/>
                <w:color w:val="000000"/>
                <w:sz w:val="21"/>
                <w:szCs w:val="21"/>
                <w:lang w:bidi="ar"/>
              </w:rPr>
              <w:t>Hynobiidae</w:t>
            </w:r>
          </w:p>
        </w:tc>
      </w:tr>
      <w:tr w:rsidR="009D12AF" w14:paraId="73842D69" w14:textId="77777777">
        <w:trPr>
          <w:trHeight w:val="646"/>
        </w:trPr>
        <w:tc>
          <w:tcPr>
            <w:tcW w:w="1621" w:type="pct"/>
            <w:tcBorders>
              <w:tl2br w:val="nil"/>
              <w:tr2bl w:val="nil"/>
            </w:tcBorders>
            <w:vAlign w:val="center"/>
          </w:tcPr>
          <w:p w14:paraId="44470651" w14:textId="77777777" w:rsidR="009D12AF" w:rsidRDefault="00000000">
            <w:pPr>
              <w:widowControl/>
              <w:numPr>
                <w:ilvl w:val="0"/>
                <w:numId w:val="17"/>
              </w:numPr>
              <w:spacing w:after="160" w:line="0" w:lineRule="atLeast"/>
              <w:ind w:firstLineChars="0"/>
              <w:jc w:val="left"/>
              <w:rPr>
                <w:rFonts w:ascii="宋体" w:eastAsia="宋体" w:hAnsi="宋体" w:cs="Times New Roman" w:hint="eastAsia"/>
                <w:color w:val="000000"/>
                <w:sz w:val="21"/>
                <w:szCs w:val="21"/>
                <w:lang w:bidi="ar"/>
              </w:rPr>
            </w:pPr>
            <w:r>
              <w:rPr>
                <w:rFonts w:ascii="宋体" w:eastAsia="宋体" w:hAnsi="宋体" w:cs="Times New Roman" w:hint="eastAsia"/>
                <w:color w:val="000000"/>
                <w:sz w:val="21"/>
                <w:szCs w:val="21"/>
                <w:lang w:bidi="ar"/>
              </w:rPr>
              <w:t>极北鲵</w:t>
            </w:r>
          </w:p>
          <w:p w14:paraId="73CA2BB6" w14:textId="77777777" w:rsidR="009D12AF" w:rsidRDefault="00000000">
            <w:pPr>
              <w:widowControl/>
              <w:spacing w:line="0" w:lineRule="atLeast"/>
              <w:ind w:firstLineChars="0" w:firstLine="0"/>
              <w:jc w:val="left"/>
              <w:rPr>
                <w:rFonts w:ascii="宋体" w:eastAsia="宋体" w:hAnsi="宋体" w:cs="Times New Roman" w:hint="eastAsia"/>
                <w:i/>
                <w:iCs/>
                <w:color w:val="000000"/>
                <w:sz w:val="21"/>
                <w:szCs w:val="21"/>
                <w:lang w:bidi="ar"/>
              </w:rPr>
            </w:pPr>
            <w:bookmarkStart w:id="250" w:name="_Hlk207720808"/>
            <w:r>
              <w:rPr>
                <w:rFonts w:ascii="Times New Roman" w:eastAsia="宋体" w:hAnsi="Times New Roman" w:cs="Times New Roman"/>
                <w:i/>
                <w:iCs/>
                <w:color w:val="000000"/>
                <w:sz w:val="21"/>
                <w:szCs w:val="21"/>
                <w:lang w:bidi="ar"/>
              </w:rPr>
              <w:t>Salamandrella keyserlingii</w:t>
            </w:r>
            <w:bookmarkEnd w:id="250"/>
          </w:p>
        </w:tc>
        <w:tc>
          <w:tcPr>
            <w:tcW w:w="597" w:type="pct"/>
            <w:tcBorders>
              <w:tl2br w:val="nil"/>
              <w:tr2bl w:val="nil"/>
            </w:tcBorders>
            <w:vAlign w:val="center"/>
          </w:tcPr>
          <w:p w14:paraId="2DFBE09A" w14:textId="77777777" w:rsidR="009D12AF" w:rsidRDefault="00000000">
            <w:pPr>
              <w:widowControl/>
              <w:spacing w:line="0" w:lineRule="atLeast"/>
              <w:ind w:firstLineChars="0" w:firstLine="0"/>
              <w:jc w:val="center"/>
              <w:rPr>
                <w:rFonts w:ascii="宋体" w:eastAsia="宋体" w:hAnsi="宋体" w:cs="Times New Roman" w:hint="eastAsia"/>
                <w:color w:val="000000"/>
                <w:sz w:val="21"/>
                <w:szCs w:val="21"/>
                <w:lang w:bidi="ar"/>
              </w:rPr>
            </w:pPr>
            <w:r>
              <w:rPr>
                <w:rFonts w:ascii="Times New Roman" w:eastAsia="宋体" w:hAnsi="Times New Roman" w:cs="Times New Roman"/>
                <w:color w:val="000000"/>
                <w:sz w:val="21"/>
                <w:szCs w:val="21"/>
                <w:lang w:bidi="ar"/>
              </w:rPr>
              <w:t>1.2.3</w:t>
            </w:r>
          </w:p>
        </w:tc>
        <w:tc>
          <w:tcPr>
            <w:tcW w:w="597" w:type="pct"/>
            <w:tcBorders>
              <w:tl2br w:val="nil"/>
              <w:tr2bl w:val="nil"/>
            </w:tcBorders>
            <w:vAlign w:val="center"/>
          </w:tcPr>
          <w:p w14:paraId="32E4349C" w14:textId="77777777" w:rsidR="009D12AF" w:rsidRDefault="00000000">
            <w:pPr>
              <w:widowControl/>
              <w:spacing w:line="0" w:lineRule="atLeast"/>
              <w:ind w:firstLineChars="0" w:firstLine="0"/>
              <w:jc w:val="center"/>
              <w:rPr>
                <w:rFonts w:ascii="宋体" w:eastAsia="宋体" w:hAnsi="宋体" w:cs="Times New Roman" w:hint="eastAsia"/>
                <w:color w:val="000000"/>
                <w:sz w:val="21"/>
                <w:szCs w:val="21"/>
                <w:lang w:bidi="ar"/>
              </w:rPr>
            </w:pPr>
            <w:r>
              <w:rPr>
                <w:rFonts w:ascii="宋体" w:eastAsia="宋体" w:hAnsi="宋体" w:cs="Times New Roman"/>
                <w:sz w:val="21"/>
                <w:szCs w:val="21"/>
              </w:rPr>
              <w:t>古北种</w:t>
            </w:r>
          </w:p>
        </w:tc>
        <w:tc>
          <w:tcPr>
            <w:tcW w:w="426" w:type="pct"/>
            <w:tcBorders>
              <w:tl2br w:val="nil"/>
              <w:tr2bl w:val="nil"/>
            </w:tcBorders>
            <w:vAlign w:val="center"/>
          </w:tcPr>
          <w:p w14:paraId="77C31524" w14:textId="77777777" w:rsidR="009D12AF" w:rsidRDefault="00000000">
            <w:pPr>
              <w:widowControl/>
              <w:spacing w:line="0" w:lineRule="atLeast"/>
              <w:ind w:firstLineChars="0" w:firstLine="0"/>
              <w:jc w:val="center"/>
              <w:rPr>
                <w:rFonts w:ascii="宋体" w:eastAsia="宋体" w:hAnsi="宋体" w:cs="Times New Roman" w:hint="eastAsia"/>
                <w:color w:val="000000"/>
                <w:sz w:val="21"/>
                <w:szCs w:val="21"/>
                <w:lang w:bidi="ar"/>
              </w:rPr>
            </w:pPr>
            <w:r>
              <w:rPr>
                <w:rFonts w:ascii="宋体" w:eastAsia="宋体" w:hAnsi="宋体" w:cs="Times New Roman"/>
                <w:kern w:val="0"/>
                <w:sz w:val="21"/>
                <w:szCs w:val="21"/>
              </w:rPr>
              <w:t>+</w:t>
            </w:r>
          </w:p>
        </w:tc>
        <w:tc>
          <w:tcPr>
            <w:tcW w:w="684" w:type="pct"/>
            <w:tcBorders>
              <w:tl2br w:val="nil"/>
              <w:tr2bl w:val="nil"/>
            </w:tcBorders>
            <w:vAlign w:val="center"/>
          </w:tcPr>
          <w:p w14:paraId="120F096E" w14:textId="77777777" w:rsidR="009D12AF" w:rsidRDefault="00000000">
            <w:pPr>
              <w:widowControl/>
              <w:spacing w:line="0" w:lineRule="atLeast"/>
              <w:ind w:firstLineChars="0" w:firstLine="0"/>
              <w:jc w:val="center"/>
              <w:rPr>
                <w:rFonts w:ascii="宋体" w:eastAsia="宋体" w:hAnsi="宋体" w:cs="Times New Roman" w:hint="eastAsia"/>
                <w:color w:val="000000"/>
                <w:sz w:val="21"/>
                <w:szCs w:val="21"/>
                <w:lang w:bidi="ar"/>
              </w:rPr>
            </w:pPr>
            <w:r>
              <w:rPr>
                <w:rFonts w:ascii="宋体" w:eastAsia="宋体" w:hAnsi="宋体" w:cs="Times New Roman"/>
                <w:sz w:val="21"/>
                <w:szCs w:val="21"/>
              </w:rPr>
              <w:t>访问资料</w:t>
            </w:r>
          </w:p>
        </w:tc>
        <w:tc>
          <w:tcPr>
            <w:tcW w:w="682" w:type="pct"/>
            <w:tcBorders>
              <w:tl2br w:val="nil"/>
              <w:tr2bl w:val="nil"/>
            </w:tcBorders>
            <w:vAlign w:val="center"/>
          </w:tcPr>
          <w:p w14:paraId="65E98478" w14:textId="77777777" w:rsidR="009D12AF" w:rsidRDefault="00000000">
            <w:pPr>
              <w:widowControl/>
              <w:spacing w:line="0" w:lineRule="atLeast"/>
              <w:ind w:firstLineChars="0" w:firstLine="0"/>
              <w:jc w:val="center"/>
              <w:rPr>
                <w:rFonts w:ascii="宋体" w:eastAsia="宋体" w:hAnsi="宋体" w:cs="Times New Roman" w:hint="eastAsia"/>
                <w:color w:val="000000"/>
                <w:sz w:val="21"/>
                <w:szCs w:val="21"/>
                <w:lang w:bidi="ar"/>
              </w:rPr>
            </w:pPr>
            <w:r>
              <w:rPr>
                <w:rFonts w:ascii="宋体" w:eastAsia="宋体" w:hAnsi="宋体" w:cs="Times New Roman"/>
                <w:sz w:val="21"/>
                <w:szCs w:val="21"/>
              </w:rPr>
              <w:t>国家二级</w:t>
            </w:r>
          </w:p>
        </w:tc>
        <w:tc>
          <w:tcPr>
            <w:tcW w:w="390" w:type="pct"/>
            <w:tcBorders>
              <w:tl2br w:val="nil"/>
              <w:tr2bl w:val="nil"/>
            </w:tcBorders>
            <w:vAlign w:val="center"/>
          </w:tcPr>
          <w:p w14:paraId="4A8BE2AF" w14:textId="77777777" w:rsidR="009D12AF" w:rsidRDefault="00000000">
            <w:pPr>
              <w:widowControl/>
              <w:spacing w:line="0" w:lineRule="atLeast"/>
              <w:ind w:firstLineChars="0" w:firstLine="0"/>
              <w:jc w:val="center"/>
              <w:rPr>
                <w:rFonts w:ascii="宋体" w:eastAsia="宋体" w:hAnsi="宋体" w:cs="Times New Roman" w:hint="eastAsia"/>
                <w:color w:val="000000"/>
                <w:sz w:val="21"/>
                <w:szCs w:val="21"/>
                <w:lang w:bidi="ar"/>
              </w:rPr>
            </w:pPr>
            <w:r>
              <w:rPr>
                <w:rFonts w:ascii="宋体" w:eastAsia="宋体" w:hAnsi="宋体" w:cs="Times New Roman"/>
                <w:sz w:val="21"/>
                <w:szCs w:val="21"/>
              </w:rPr>
              <w:t>无危</w:t>
            </w:r>
          </w:p>
        </w:tc>
      </w:tr>
    </w:tbl>
    <w:p w14:paraId="30CF0D2E" w14:textId="77777777" w:rsidR="009D12AF" w:rsidRDefault="00000000">
      <w:pPr>
        <w:ind w:firstLine="360"/>
        <w:rPr>
          <w:rFonts w:ascii="宋体" w:eastAsia="宋体" w:hAnsi="宋体" w:cs="Times New Roman" w:hint="eastAsia"/>
        </w:rPr>
      </w:pPr>
      <w:r>
        <w:rPr>
          <w:rFonts w:ascii="宋体" w:eastAsia="宋体" w:hAnsi="宋体" w:cs="Times New Roman" w:hint="eastAsia"/>
          <w:sz w:val="18"/>
          <w:szCs w:val="18"/>
        </w:rPr>
        <w:t>注：</w:t>
      </w:r>
      <w:r>
        <w:rPr>
          <w:rFonts w:ascii="宋体" w:eastAsia="宋体" w:hAnsi="宋体" w:cs="Times New Roman"/>
          <w:sz w:val="18"/>
          <w:szCs w:val="18"/>
        </w:rPr>
        <w:t>生境</w:t>
      </w:r>
      <w:r>
        <w:rPr>
          <w:rFonts w:ascii="宋体" w:eastAsia="宋体" w:hAnsi="宋体" w:cs="Times New Roman" w:hint="eastAsia"/>
          <w:sz w:val="18"/>
          <w:szCs w:val="18"/>
        </w:rPr>
        <w:t>：</w:t>
      </w:r>
      <w:r>
        <w:rPr>
          <w:rFonts w:ascii="宋体" w:eastAsia="宋体" w:hAnsi="宋体" w:cs="Times New Roman"/>
          <w:sz w:val="18"/>
          <w:szCs w:val="18"/>
        </w:rPr>
        <w:t>1—水域；2—沼泽；3—草甸；4—林地；5—农田； 6—居民区。</w:t>
      </w:r>
    </w:p>
    <w:p w14:paraId="12397741" w14:textId="77777777" w:rsidR="009D12AF" w:rsidRDefault="00000000">
      <w:pPr>
        <w:ind w:firstLine="360"/>
        <w:jc w:val="left"/>
        <w:rPr>
          <w:rFonts w:ascii="Arial" w:eastAsia="宋体" w:hAnsi="Arial" w:cs="Times New Roman"/>
        </w:rPr>
      </w:pPr>
      <w:r>
        <w:rPr>
          <w:rFonts w:ascii="宋体" w:eastAsia="宋体" w:hAnsi="宋体" w:cs="Times New Roman"/>
          <w:sz w:val="18"/>
          <w:szCs w:val="18"/>
        </w:rPr>
        <w:t>数量</w:t>
      </w:r>
      <w:r>
        <w:rPr>
          <w:rFonts w:ascii="宋体" w:eastAsia="宋体" w:hAnsi="宋体" w:cs="Times New Roman" w:hint="eastAsia"/>
          <w:sz w:val="18"/>
          <w:szCs w:val="18"/>
        </w:rPr>
        <w:t>：</w:t>
      </w:r>
      <w:r>
        <w:rPr>
          <w:rFonts w:ascii="宋体" w:eastAsia="宋体" w:hAnsi="宋体" w:cs="Times New Roman"/>
          <w:sz w:val="18"/>
          <w:szCs w:val="18"/>
        </w:rPr>
        <w:t>+++—优势种；  ++—常见种；  +—稀有种。</w:t>
      </w:r>
    </w:p>
    <w:p w14:paraId="41A0AE69" w14:textId="77777777" w:rsidR="009D12AF" w:rsidRDefault="00000000">
      <w:pPr>
        <w:spacing w:after="160" w:line="300" w:lineRule="auto"/>
        <w:ind w:firstLine="480"/>
        <w:jc w:val="left"/>
        <w:rPr>
          <w:rFonts w:ascii="Times New Roman" w:eastAsia="宋体" w:hAnsi="Times New Roman" w:cs="Times New Roman"/>
        </w:rPr>
      </w:pPr>
      <w:r>
        <w:rPr>
          <w:rFonts w:ascii="Times New Roman" w:eastAsia="宋体" w:hAnsi="Times New Roman" w:cs="Times New Roman" w:hint="eastAsia"/>
        </w:rPr>
        <w:t>b</w:t>
      </w:r>
      <w:r>
        <w:rPr>
          <w:rFonts w:ascii="Times New Roman" w:eastAsia="宋体" w:hAnsi="Times New Roman" w:cs="Times New Roman"/>
        </w:rPr>
        <w:t>.</w:t>
      </w:r>
      <w:r>
        <w:rPr>
          <w:rFonts w:ascii="Times New Roman" w:eastAsia="宋体" w:hAnsi="Times New Roman" w:cs="Times New Roman" w:hint="eastAsia"/>
        </w:rPr>
        <w:t>生活类型</w:t>
      </w:r>
    </w:p>
    <w:p w14:paraId="4C4FDC05" w14:textId="77777777" w:rsidR="009D12AF" w:rsidRDefault="00000000">
      <w:pPr>
        <w:ind w:firstLine="480"/>
        <w:jc w:val="left"/>
        <w:rPr>
          <w:rFonts w:ascii="Times New Roman" w:eastAsia="宋体" w:hAnsi="Times New Roman" w:cs="Times New Roman"/>
          <w:highlight w:val="yellow"/>
        </w:rPr>
      </w:pPr>
      <w:r>
        <w:rPr>
          <w:rFonts w:ascii="Times New Roman" w:eastAsia="宋体" w:hAnsi="Times New Roman" w:cs="Times New Roman" w:hint="eastAsia"/>
        </w:rPr>
        <w:lastRenderedPageBreak/>
        <w:t>陆栖型</w:t>
      </w:r>
      <w:r>
        <w:rPr>
          <w:rFonts w:ascii="Times New Roman" w:eastAsia="宋体" w:hAnsi="Times New Roman" w:cs="Times New Roman" w:hint="eastAsia"/>
        </w:rPr>
        <w:t>(</w:t>
      </w:r>
      <w:r>
        <w:rPr>
          <w:rFonts w:ascii="Times New Roman" w:eastAsia="宋体" w:hAnsi="Times New Roman" w:cs="Times New Roman" w:hint="eastAsia"/>
        </w:rPr>
        <w:t>在离水源不远的陆地上活动觅食</w:t>
      </w:r>
      <w:r>
        <w:rPr>
          <w:rFonts w:ascii="Times New Roman" w:eastAsia="宋体" w:hAnsi="Times New Roman" w:cs="Times New Roman" w:hint="eastAsia"/>
        </w:rPr>
        <w:t>)</w:t>
      </w:r>
      <w:r>
        <w:rPr>
          <w:rFonts w:ascii="Times New Roman" w:eastAsia="宋体" w:hAnsi="Times New Roman" w:cs="Times New Roman" w:hint="eastAsia"/>
        </w:rPr>
        <w:t>：包括中华蟾蜍、花背蟾蜍、东北雨蛙、黑龙江林蛙、黑斑侧褶蛙、极北鲵</w:t>
      </w:r>
      <w:r>
        <w:rPr>
          <w:rFonts w:ascii="Times New Roman" w:eastAsia="宋体" w:hAnsi="Times New Roman" w:cs="Times New Roman" w:hint="eastAsia"/>
        </w:rPr>
        <w:t>6</w:t>
      </w:r>
      <w:r>
        <w:rPr>
          <w:rFonts w:ascii="Times New Roman" w:eastAsia="宋体" w:hAnsi="Times New Roman" w:cs="Times New Roman" w:hint="eastAsia"/>
        </w:rPr>
        <w:t>种，它们主要是在项目所在范围内林地及水系等不远处或较潮湿的陆地上活动，分布较广泛。</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4A0" w:firstRow="1" w:lastRow="0" w:firstColumn="1" w:lastColumn="0" w:noHBand="0" w:noVBand="1"/>
      </w:tblPr>
      <w:tblGrid>
        <w:gridCol w:w="4401"/>
        <w:gridCol w:w="3895"/>
      </w:tblGrid>
      <w:tr w:rsidR="009D12AF" w14:paraId="5D9822EA" w14:textId="77777777">
        <w:trPr>
          <w:trHeight w:val="23"/>
          <w:jc w:val="center"/>
        </w:trPr>
        <w:tc>
          <w:tcPr>
            <w:tcW w:w="4401" w:type="dxa"/>
            <w:vAlign w:val="center"/>
          </w:tcPr>
          <w:p w14:paraId="2EB8788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noProof/>
                <w:sz w:val="21"/>
                <w:szCs w:val="21"/>
              </w:rPr>
              <w:drawing>
                <wp:inline distT="0" distB="0" distL="0" distR="0" wp14:anchorId="0CAA602A" wp14:editId="35C5F1C6">
                  <wp:extent cx="2657475" cy="1886585"/>
                  <wp:effectExtent l="0" t="0" r="9525" b="18415"/>
                  <wp:docPr id="981067439" name="图片 3" descr="花背蟾蜍-环渤海两栖爬行动物-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067439" name="图片 3" descr="花背蟾蜍-环渤海两栖爬行动物-图片"/>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a:xfrm>
                            <a:off x="0" y="0"/>
                            <a:ext cx="2680261" cy="1902850"/>
                          </a:xfrm>
                          <a:prstGeom prst="rect">
                            <a:avLst/>
                          </a:prstGeom>
                          <a:noFill/>
                          <a:ln>
                            <a:noFill/>
                          </a:ln>
                        </pic:spPr>
                      </pic:pic>
                    </a:graphicData>
                  </a:graphic>
                </wp:inline>
              </w:drawing>
            </w:r>
          </w:p>
        </w:tc>
        <w:tc>
          <w:tcPr>
            <w:tcW w:w="3895" w:type="dxa"/>
            <w:vAlign w:val="center"/>
          </w:tcPr>
          <w:p w14:paraId="75F5465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noProof/>
                <w:sz w:val="21"/>
                <w:szCs w:val="21"/>
              </w:rPr>
              <w:drawing>
                <wp:inline distT="0" distB="0" distL="0" distR="0" wp14:anchorId="1D3D85E9" wp14:editId="0CE484C3">
                  <wp:extent cx="2366645" cy="1871345"/>
                  <wp:effectExtent l="0" t="0" r="14605" b="14605"/>
                  <wp:docPr id="1599032929" name="图片 1599032929" descr="https://bkimg.cdn.bcebos.com/pic/72f082025aafa40f10296d4eab64034f79f019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032929" name="图片 1599032929" descr="https://bkimg.cdn.bcebos.com/pic/72f082025aafa40f10296d4eab64034f79f019b1"/>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a:xfrm>
                            <a:off x="0" y="0"/>
                            <a:ext cx="2517434" cy="1991207"/>
                          </a:xfrm>
                          <a:prstGeom prst="rect">
                            <a:avLst/>
                          </a:prstGeom>
                          <a:noFill/>
                          <a:ln>
                            <a:noFill/>
                          </a:ln>
                        </pic:spPr>
                      </pic:pic>
                    </a:graphicData>
                  </a:graphic>
                </wp:inline>
              </w:drawing>
            </w:r>
          </w:p>
        </w:tc>
      </w:tr>
      <w:tr w:rsidR="009D12AF" w14:paraId="7F2C28B0" w14:textId="77777777">
        <w:trPr>
          <w:trHeight w:val="23"/>
          <w:jc w:val="center"/>
        </w:trPr>
        <w:tc>
          <w:tcPr>
            <w:tcW w:w="4401" w:type="dxa"/>
            <w:vAlign w:val="center"/>
          </w:tcPr>
          <w:p w14:paraId="3080448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花背蟾蜍</w:t>
            </w:r>
            <w:r>
              <w:rPr>
                <w:rFonts w:ascii="Times New Roman" w:eastAsia="宋体" w:hAnsi="Times New Roman" w:cs="Times New Roman"/>
                <w:kern w:val="0"/>
                <w:sz w:val="21"/>
                <w:szCs w:val="21"/>
              </w:rPr>
              <w:t xml:space="preserve"> </w:t>
            </w:r>
            <w:r>
              <w:rPr>
                <w:rFonts w:ascii="Times New Roman" w:eastAsia="宋体" w:hAnsi="Times New Roman" w:cs="Times New Roman"/>
                <w:i/>
                <w:iCs/>
                <w:kern w:val="0"/>
                <w:sz w:val="21"/>
                <w:szCs w:val="21"/>
                <w:shd w:val="clear" w:color="auto" w:fill="FFFFFF"/>
              </w:rPr>
              <w:t>Strauchbufo raddei</w:t>
            </w:r>
          </w:p>
        </w:tc>
        <w:tc>
          <w:tcPr>
            <w:tcW w:w="3895" w:type="dxa"/>
            <w:vAlign w:val="center"/>
          </w:tcPr>
          <w:p w14:paraId="43D28B0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极北鲵</w:t>
            </w:r>
            <w:r>
              <w:rPr>
                <w:rFonts w:ascii="Times New Roman" w:eastAsia="宋体" w:hAnsi="Times New Roman" w:cs="Times New Roman" w:hint="eastAsia"/>
                <w:kern w:val="0"/>
                <w:sz w:val="21"/>
                <w:szCs w:val="21"/>
              </w:rPr>
              <w:t xml:space="preserve"> </w:t>
            </w:r>
            <w:r>
              <w:rPr>
                <w:rFonts w:ascii="Times New Roman" w:eastAsia="宋体" w:hAnsi="Times New Roman" w:cs="Times New Roman"/>
                <w:i/>
                <w:iCs/>
                <w:kern w:val="0"/>
                <w:sz w:val="21"/>
                <w:szCs w:val="21"/>
              </w:rPr>
              <w:t>Salamandrella keyserlingii</w:t>
            </w:r>
          </w:p>
        </w:tc>
      </w:tr>
    </w:tbl>
    <w:p w14:paraId="5C21DB07" w14:textId="77777777" w:rsidR="009D12AF" w:rsidRDefault="00000000">
      <w:pPr>
        <w:ind w:firstLine="482"/>
        <w:jc w:val="center"/>
        <w:rPr>
          <w:rFonts w:ascii="宋体" w:eastAsia="宋体" w:hAnsi="宋体" w:cs="Arial" w:hint="eastAsia"/>
          <w:b/>
          <w:bCs/>
        </w:rPr>
      </w:pPr>
      <w:r>
        <w:rPr>
          <w:rFonts w:ascii="宋体" w:eastAsia="宋体" w:hAnsi="宋体" w:cs="Arial" w:hint="eastAsia"/>
          <w:b/>
          <w:bCs/>
        </w:rPr>
        <w:t>图4.3-38  两栖类动物</w:t>
      </w:r>
    </w:p>
    <w:p w14:paraId="19DC7562" w14:textId="77777777" w:rsidR="009D12AF" w:rsidRDefault="00000000">
      <w:pPr>
        <w:ind w:firstLine="480"/>
      </w:pPr>
      <w:r>
        <w:rPr>
          <w:rFonts w:hint="eastAsia"/>
        </w:rPr>
        <w:t>2</w:t>
      </w:r>
      <w:r>
        <w:rPr>
          <w:rFonts w:hint="eastAsia"/>
        </w:rPr>
        <w:t>、爬行类</w:t>
      </w:r>
    </w:p>
    <w:p w14:paraId="39900246"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a</w:t>
      </w:r>
      <w:r>
        <w:rPr>
          <w:rFonts w:ascii="Times New Roman" w:eastAsia="宋体" w:hAnsi="Times New Roman" w:cs="Times New Roman"/>
        </w:rPr>
        <w:t>.</w:t>
      </w:r>
      <w:r>
        <w:rPr>
          <w:rFonts w:ascii="宋体" w:eastAsia="宋体" w:hAnsi="宋体" w:cs="Times New Roman" w:hint="eastAsia"/>
          <w:sz w:val="28"/>
          <w:szCs w:val="28"/>
          <w:shd w:val="clear" w:color="auto" w:fill="FFFFFF"/>
        </w:rPr>
        <w:t xml:space="preserve"> </w:t>
      </w:r>
      <w:r>
        <w:rPr>
          <w:rFonts w:ascii="Times New Roman" w:eastAsia="宋体" w:hAnsi="Times New Roman" w:cs="Times New Roman" w:hint="eastAsia"/>
        </w:rPr>
        <w:t>种类及区系组成</w:t>
      </w:r>
    </w:p>
    <w:p w14:paraId="64B410D1"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评价区内共有爬行类动物</w:t>
      </w:r>
      <w:r>
        <w:rPr>
          <w:rFonts w:ascii="Times New Roman" w:eastAsia="宋体" w:hAnsi="Times New Roman" w:cs="Times New Roman" w:hint="eastAsia"/>
        </w:rPr>
        <w:t>1</w:t>
      </w:r>
      <w:r>
        <w:rPr>
          <w:rFonts w:ascii="Times New Roman" w:eastAsia="宋体" w:hAnsi="Times New Roman" w:cs="Times New Roman" w:hint="eastAsia"/>
        </w:rPr>
        <w:t>目</w:t>
      </w:r>
      <w:r>
        <w:rPr>
          <w:rFonts w:ascii="Times New Roman" w:eastAsia="宋体" w:hAnsi="Times New Roman" w:cs="Times New Roman"/>
        </w:rPr>
        <w:t>3</w:t>
      </w:r>
      <w:r>
        <w:rPr>
          <w:rFonts w:ascii="Times New Roman" w:eastAsia="宋体" w:hAnsi="Times New Roman" w:cs="Times New Roman" w:hint="eastAsia"/>
        </w:rPr>
        <w:t>科</w:t>
      </w:r>
      <w:r>
        <w:rPr>
          <w:rFonts w:ascii="Times New Roman" w:eastAsia="宋体" w:hAnsi="Times New Roman" w:cs="Times New Roman"/>
        </w:rPr>
        <w:t>5</w:t>
      </w:r>
      <w:r>
        <w:rPr>
          <w:rFonts w:ascii="Times New Roman" w:eastAsia="宋体" w:hAnsi="Times New Roman" w:cs="Times New Roman" w:hint="eastAsia"/>
        </w:rPr>
        <w:t>种，按区系类型分，将评价区爬行类分为</w:t>
      </w:r>
      <w:r>
        <w:rPr>
          <w:rFonts w:ascii="Times New Roman" w:eastAsia="宋体" w:hAnsi="Times New Roman" w:cs="Times New Roman" w:hint="eastAsia"/>
        </w:rPr>
        <w:t xml:space="preserve"> 2 </w:t>
      </w:r>
      <w:r>
        <w:rPr>
          <w:rFonts w:ascii="Times New Roman" w:eastAsia="宋体" w:hAnsi="Times New Roman" w:cs="Times New Roman" w:hint="eastAsia"/>
        </w:rPr>
        <w:t>种区系类型：古北种</w:t>
      </w:r>
      <w:r>
        <w:rPr>
          <w:rFonts w:ascii="Times New Roman" w:eastAsia="宋体" w:hAnsi="Times New Roman" w:cs="Times New Roman"/>
        </w:rPr>
        <w:t>3</w:t>
      </w:r>
      <w:r>
        <w:rPr>
          <w:rFonts w:ascii="Times New Roman" w:eastAsia="宋体" w:hAnsi="Times New Roman" w:cs="Times New Roman" w:hint="eastAsia"/>
        </w:rPr>
        <w:t>种，占</w:t>
      </w:r>
      <w:r>
        <w:rPr>
          <w:rFonts w:ascii="Times New Roman" w:eastAsia="宋体" w:hAnsi="Times New Roman" w:cs="Times New Roman" w:hint="eastAsia"/>
        </w:rPr>
        <w:t>6</w:t>
      </w:r>
      <w:r>
        <w:rPr>
          <w:rFonts w:ascii="Times New Roman" w:eastAsia="宋体" w:hAnsi="Times New Roman" w:cs="Times New Roman"/>
        </w:rPr>
        <w:t>0</w:t>
      </w:r>
      <w:r>
        <w:rPr>
          <w:rFonts w:ascii="Times New Roman" w:eastAsia="宋体" w:hAnsi="Times New Roman" w:cs="Times New Roman" w:hint="eastAsia"/>
        </w:rPr>
        <w:t>%</w:t>
      </w:r>
      <w:r>
        <w:rPr>
          <w:rFonts w:ascii="Times New Roman" w:eastAsia="宋体" w:hAnsi="Times New Roman" w:cs="Times New Roman" w:hint="eastAsia"/>
        </w:rPr>
        <w:t>；广布种</w:t>
      </w:r>
      <w:r>
        <w:rPr>
          <w:rFonts w:ascii="Times New Roman" w:eastAsia="宋体" w:hAnsi="Times New Roman" w:cs="Times New Roman"/>
        </w:rPr>
        <w:t>2</w:t>
      </w:r>
      <w:r>
        <w:rPr>
          <w:rFonts w:ascii="Times New Roman" w:eastAsia="宋体" w:hAnsi="Times New Roman" w:cs="Times New Roman" w:hint="eastAsia"/>
        </w:rPr>
        <w:t>种，占</w:t>
      </w:r>
      <w:r>
        <w:rPr>
          <w:rFonts w:ascii="Times New Roman" w:eastAsia="宋体" w:hAnsi="Times New Roman" w:cs="Times New Roman"/>
        </w:rPr>
        <w:t>40</w:t>
      </w:r>
      <w:r>
        <w:rPr>
          <w:rFonts w:ascii="Times New Roman" w:eastAsia="宋体" w:hAnsi="Times New Roman" w:cs="Times New Roman" w:hint="eastAsia"/>
        </w:rPr>
        <w:t>%</w:t>
      </w:r>
      <w:r>
        <w:rPr>
          <w:rFonts w:ascii="Times New Roman" w:eastAsia="宋体" w:hAnsi="Times New Roman" w:cs="Times New Roman" w:hint="eastAsia"/>
        </w:rPr>
        <w:t>。根据调查及访问调查结果，评价区分布有黑龙江省重点保护动物</w:t>
      </w:r>
      <w:r>
        <w:rPr>
          <w:rFonts w:ascii="Times New Roman" w:eastAsia="宋体" w:hAnsi="Times New Roman" w:cs="Times New Roman"/>
        </w:rPr>
        <w:t>3</w:t>
      </w:r>
      <w:r>
        <w:rPr>
          <w:rFonts w:ascii="Times New Roman" w:eastAsia="宋体" w:hAnsi="Times New Roman" w:cs="Times New Roman" w:hint="eastAsia"/>
        </w:rPr>
        <w:t>种，为</w:t>
      </w:r>
      <w:bookmarkStart w:id="251" w:name="_Hlk207116647"/>
      <w:r>
        <w:rPr>
          <w:rFonts w:ascii="Times New Roman" w:eastAsia="宋体" w:hAnsi="Times New Roman" w:cs="Times New Roman"/>
        </w:rPr>
        <w:t>黑龙江草蜥</w:t>
      </w:r>
      <w:bookmarkEnd w:id="251"/>
      <w:r>
        <w:rPr>
          <w:rFonts w:ascii="Times New Roman" w:eastAsia="宋体" w:hAnsi="Times New Roman" w:cs="Times New Roman" w:hint="eastAsia"/>
        </w:rPr>
        <w:t>（</w:t>
      </w:r>
      <w:bookmarkStart w:id="252" w:name="_Hlk194909319"/>
      <w:r>
        <w:rPr>
          <w:rFonts w:ascii="Times New Roman" w:eastAsia="宋体" w:hAnsi="Times New Roman" w:cs="Times New Roman"/>
          <w:i/>
          <w:iCs/>
        </w:rPr>
        <w:t>Takydromus amurensis</w:t>
      </w:r>
      <w:bookmarkEnd w:id="252"/>
      <w:r>
        <w:rPr>
          <w:rFonts w:ascii="Times New Roman" w:eastAsia="宋体" w:hAnsi="Times New Roman" w:cs="Times New Roman" w:hint="eastAsia"/>
        </w:rPr>
        <w:t>）、</w:t>
      </w:r>
      <w:bookmarkStart w:id="253" w:name="_Hlk207116678"/>
      <w:r>
        <w:rPr>
          <w:rFonts w:ascii="Times New Roman" w:eastAsia="宋体" w:hAnsi="Times New Roman" w:cs="Times New Roman"/>
        </w:rPr>
        <w:t>红点锦蛇</w:t>
      </w:r>
      <w:bookmarkEnd w:id="253"/>
      <w:r>
        <w:rPr>
          <w:rFonts w:ascii="Times New Roman" w:eastAsia="宋体" w:hAnsi="Times New Roman" w:cs="Times New Roman" w:hint="eastAsia"/>
        </w:rPr>
        <w:t>（</w:t>
      </w:r>
      <w:bookmarkStart w:id="254" w:name="_Hlk194909351"/>
      <w:r>
        <w:rPr>
          <w:rFonts w:ascii="Times New Roman" w:eastAsia="宋体" w:hAnsi="Times New Roman" w:cs="Times New Roman"/>
          <w:i/>
          <w:iCs/>
        </w:rPr>
        <w:t>Elaphe rufodorsata</w:t>
      </w:r>
      <w:bookmarkEnd w:id="254"/>
      <w:r>
        <w:rPr>
          <w:rFonts w:ascii="Times New Roman" w:eastAsia="宋体" w:hAnsi="Times New Roman" w:cs="Times New Roman" w:hint="eastAsia"/>
        </w:rPr>
        <w:t>）和虎斑颈槽蛇（</w:t>
      </w:r>
      <w:r>
        <w:rPr>
          <w:rFonts w:ascii="Times New Roman" w:eastAsia="宋体" w:hAnsi="Times New Roman" w:cs="Times New Roman"/>
          <w:i/>
          <w:iCs/>
        </w:rPr>
        <w:t>Rhabdophis tigrinus</w:t>
      </w:r>
      <w:r>
        <w:rPr>
          <w:rFonts w:ascii="Times New Roman" w:eastAsia="宋体" w:hAnsi="Times New Roman" w:cs="Times New Roman" w:hint="eastAsia"/>
        </w:rPr>
        <w:t>），除此还包括白条锦蛇（</w:t>
      </w:r>
      <w:r>
        <w:rPr>
          <w:rFonts w:ascii="Times New Roman" w:eastAsia="宋体" w:hAnsi="Times New Roman" w:cs="Times New Roman"/>
          <w:i/>
          <w:iCs/>
        </w:rPr>
        <w:t>Elaphe dione</w:t>
      </w:r>
      <w:r>
        <w:rPr>
          <w:rFonts w:ascii="Times New Roman" w:eastAsia="宋体" w:hAnsi="Times New Roman" w:cs="Times New Roman" w:hint="eastAsia"/>
        </w:rPr>
        <w:t>）、</w:t>
      </w:r>
      <w:r>
        <w:rPr>
          <w:rFonts w:ascii="Times New Roman" w:eastAsia="宋体" w:hAnsi="Times New Roman" w:cs="Times New Roman"/>
        </w:rPr>
        <w:t>乌苏里蝮</w:t>
      </w:r>
      <w:r>
        <w:rPr>
          <w:rFonts w:ascii="Times New Roman" w:eastAsia="宋体" w:hAnsi="Times New Roman" w:cs="Times New Roman" w:hint="eastAsia"/>
        </w:rPr>
        <w:t>（</w:t>
      </w:r>
      <w:r>
        <w:rPr>
          <w:rFonts w:ascii="Times New Roman" w:eastAsia="宋体" w:hAnsi="Times New Roman" w:cs="Times New Roman"/>
          <w:i/>
          <w:iCs/>
        </w:rPr>
        <w:t>Gloydius ussuriensis</w:t>
      </w:r>
      <w:r>
        <w:rPr>
          <w:rFonts w:ascii="Times New Roman" w:eastAsia="宋体" w:hAnsi="Times New Roman" w:cs="Times New Roman" w:hint="eastAsia"/>
        </w:rPr>
        <w:t>）。详见表</w:t>
      </w:r>
      <w:r>
        <w:rPr>
          <w:rFonts w:ascii="Times New Roman" w:eastAsia="宋体" w:hAnsi="Times New Roman" w:cs="Times New Roman" w:hint="eastAsia"/>
        </w:rPr>
        <w:t>4.3-54</w:t>
      </w:r>
      <w:r>
        <w:rPr>
          <w:rFonts w:ascii="Times New Roman" w:eastAsia="宋体" w:hAnsi="Times New Roman" w:cs="Times New Roman" w:hint="eastAsia"/>
        </w:rPr>
        <w:t>。</w:t>
      </w:r>
    </w:p>
    <w:p w14:paraId="6AF61683" w14:textId="77777777" w:rsidR="009D12AF" w:rsidRDefault="00000000">
      <w:pPr>
        <w:spacing w:line="600" w:lineRule="exact"/>
        <w:ind w:firstLine="482"/>
        <w:jc w:val="center"/>
        <w:rPr>
          <w:rFonts w:ascii="宋体" w:eastAsia="宋体" w:hAnsi="宋体" w:cs="Arial" w:hint="eastAsia"/>
          <w:b/>
          <w:bCs/>
        </w:rPr>
      </w:pPr>
      <w:bookmarkStart w:id="255" w:name="_Toc7697"/>
      <w:r>
        <w:rPr>
          <w:rFonts w:ascii="宋体" w:eastAsia="宋体" w:hAnsi="宋体" w:cs="Arial" w:hint="eastAsia"/>
          <w:b/>
          <w:bCs/>
        </w:rPr>
        <w:t>表4.3-54  评价范围内爬行类调查情况统计</w:t>
      </w:r>
      <w:bookmarkEnd w:id="255"/>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762"/>
        <w:gridCol w:w="1018"/>
        <w:gridCol w:w="1018"/>
        <w:gridCol w:w="726"/>
        <w:gridCol w:w="1168"/>
        <w:gridCol w:w="1162"/>
        <w:gridCol w:w="668"/>
      </w:tblGrid>
      <w:tr w:rsidR="009D12AF" w14:paraId="3F56F393" w14:textId="77777777">
        <w:trPr>
          <w:trHeight w:val="312"/>
          <w:jc w:val="center"/>
        </w:trPr>
        <w:tc>
          <w:tcPr>
            <w:tcW w:w="1621" w:type="pct"/>
            <w:tcBorders>
              <w:tl2br w:val="nil"/>
              <w:tr2bl w:val="nil"/>
            </w:tcBorders>
            <w:vAlign w:val="center"/>
          </w:tcPr>
          <w:p w14:paraId="7DCA91B4" w14:textId="77777777" w:rsidR="009D12AF" w:rsidRDefault="00000000">
            <w:pPr>
              <w:spacing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中文名、学名</w:t>
            </w:r>
          </w:p>
        </w:tc>
        <w:tc>
          <w:tcPr>
            <w:tcW w:w="597" w:type="pct"/>
            <w:tcBorders>
              <w:tl2br w:val="nil"/>
              <w:tr2bl w:val="nil"/>
            </w:tcBorders>
            <w:vAlign w:val="center"/>
          </w:tcPr>
          <w:p w14:paraId="5F4498CE" w14:textId="77777777" w:rsidR="009D12AF" w:rsidRDefault="00000000">
            <w:pPr>
              <w:spacing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生境</w:t>
            </w:r>
          </w:p>
        </w:tc>
        <w:tc>
          <w:tcPr>
            <w:tcW w:w="597" w:type="pct"/>
            <w:tcBorders>
              <w:tl2br w:val="nil"/>
              <w:tr2bl w:val="nil"/>
            </w:tcBorders>
            <w:vAlign w:val="center"/>
          </w:tcPr>
          <w:p w14:paraId="65A6FEC2" w14:textId="77777777" w:rsidR="009D12AF" w:rsidRDefault="00000000">
            <w:pPr>
              <w:spacing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区系</w:t>
            </w:r>
          </w:p>
        </w:tc>
        <w:tc>
          <w:tcPr>
            <w:tcW w:w="426" w:type="pct"/>
            <w:tcBorders>
              <w:tl2br w:val="nil"/>
              <w:tr2bl w:val="nil"/>
            </w:tcBorders>
            <w:vAlign w:val="center"/>
          </w:tcPr>
          <w:p w14:paraId="52885635" w14:textId="77777777" w:rsidR="009D12AF" w:rsidRDefault="00000000">
            <w:pPr>
              <w:spacing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数量</w:t>
            </w:r>
          </w:p>
        </w:tc>
        <w:tc>
          <w:tcPr>
            <w:tcW w:w="684" w:type="pct"/>
            <w:tcBorders>
              <w:tl2br w:val="nil"/>
              <w:tr2bl w:val="nil"/>
            </w:tcBorders>
            <w:vAlign w:val="center"/>
          </w:tcPr>
          <w:p w14:paraId="53600126" w14:textId="77777777" w:rsidR="009D12AF" w:rsidRDefault="00000000">
            <w:pPr>
              <w:spacing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来源</w:t>
            </w:r>
          </w:p>
        </w:tc>
        <w:tc>
          <w:tcPr>
            <w:tcW w:w="682" w:type="pct"/>
            <w:tcBorders>
              <w:tl2br w:val="nil"/>
              <w:tr2bl w:val="nil"/>
            </w:tcBorders>
            <w:vAlign w:val="center"/>
          </w:tcPr>
          <w:p w14:paraId="2518FD1A" w14:textId="77777777" w:rsidR="009D12AF" w:rsidRDefault="00000000">
            <w:pPr>
              <w:spacing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保护级别</w:t>
            </w:r>
          </w:p>
        </w:tc>
        <w:tc>
          <w:tcPr>
            <w:tcW w:w="390" w:type="pct"/>
            <w:tcBorders>
              <w:tl2br w:val="nil"/>
              <w:tr2bl w:val="nil"/>
            </w:tcBorders>
            <w:vAlign w:val="center"/>
          </w:tcPr>
          <w:p w14:paraId="4AB2904F" w14:textId="77777777" w:rsidR="009D12AF" w:rsidRDefault="00000000">
            <w:pPr>
              <w:spacing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濒危等级</w:t>
            </w:r>
          </w:p>
        </w:tc>
      </w:tr>
      <w:tr w:rsidR="009D12AF" w14:paraId="5FEA4C24" w14:textId="77777777">
        <w:trPr>
          <w:trHeight w:val="262"/>
          <w:jc w:val="center"/>
        </w:trPr>
        <w:tc>
          <w:tcPr>
            <w:tcW w:w="5000" w:type="pct"/>
            <w:gridSpan w:val="7"/>
            <w:tcBorders>
              <w:tl2br w:val="nil"/>
              <w:tr2bl w:val="nil"/>
            </w:tcBorders>
            <w:vAlign w:val="center"/>
          </w:tcPr>
          <w:p w14:paraId="05CB362F" w14:textId="77777777" w:rsidR="009D12AF" w:rsidRDefault="00000000">
            <w:pPr>
              <w:widowControl/>
              <w:numPr>
                <w:ilvl w:val="0"/>
                <w:numId w:val="18"/>
              </w:numPr>
              <w:spacing w:after="160" w:line="0" w:lineRule="atLeast"/>
              <w:ind w:left="440" w:firstLineChars="0"/>
              <w:jc w:val="left"/>
              <w:rPr>
                <w:rFonts w:ascii="Times New Roman" w:eastAsia="宋体" w:hAnsi="Times New Roman" w:cs="Times New Roman"/>
                <w:b/>
                <w:bCs/>
                <w:color w:val="000000"/>
                <w:sz w:val="21"/>
                <w:szCs w:val="21"/>
                <w:lang w:bidi="ar"/>
              </w:rPr>
            </w:pPr>
            <w:r>
              <w:rPr>
                <w:rFonts w:ascii="Times New Roman" w:eastAsia="宋体" w:hAnsi="Times New Roman" w:cs="Times New Roman"/>
                <w:b/>
                <w:bCs/>
                <w:color w:val="000000"/>
                <w:sz w:val="21"/>
                <w:szCs w:val="21"/>
                <w:lang w:bidi="ar"/>
              </w:rPr>
              <w:t>有鳞目</w:t>
            </w:r>
            <w:r>
              <w:rPr>
                <w:rFonts w:ascii="Times New Roman" w:eastAsia="宋体" w:hAnsi="Times New Roman" w:cs="Times New Roman"/>
                <w:b/>
                <w:bCs/>
                <w:color w:val="000000"/>
                <w:sz w:val="21"/>
                <w:szCs w:val="21"/>
                <w:lang w:bidi="ar"/>
              </w:rPr>
              <w:t xml:space="preserve"> SQUAMATA</w:t>
            </w:r>
          </w:p>
        </w:tc>
      </w:tr>
      <w:tr w:rsidR="009D12AF" w14:paraId="2321BA87" w14:textId="77777777">
        <w:trPr>
          <w:jc w:val="center"/>
        </w:trPr>
        <w:tc>
          <w:tcPr>
            <w:tcW w:w="5000" w:type="pct"/>
            <w:gridSpan w:val="7"/>
            <w:tcBorders>
              <w:tl2br w:val="nil"/>
              <w:tr2bl w:val="nil"/>
            </w:tcBorders>
            <w:vAlign w:val="center"/>
          </w:tcPr>
          <w:p w14:paraId="3A77DB38" w14:textId="77777777" w:rsidR="009D12AF" w:rsidRDefault="00000000">
            <w:pPr>
              <w:widowControl/>
              <w:numPr>
                <w:ilvl w:val="0"/>
                <w:numId w:val="19"/>
              </w:numPr>
              <w:spacing w:after="160" w:line="0" w:lineRule="atLeast"/>
              <w:ind w:left="440" w:firstLineChars="0"/>
              <w:jc w:val="left"/>
              <w:rPr>
                <w:rFonts w:ascii="Times New Roman" w:eastAsia="宋体" w:hAnsi="Times New Roman" w:cs="Times New Roman"/>
                <w:b/>
                <w:bCs/>
                <w:color w:val="000000"/>
                <w:sz w:val="21"/>
                <w:szCs w:val="21"/>
                <w:lang w:bidi="ar"/>
              </w:rPr>
            </w:pPr>
            <w:r>
              <w:rPr>
                <w:rFonts w:ascii="Times New Roman" w:eastAsia="宋体" w:hAnsi="Times New Roman" w:cs="Times New Roman"/>
                <w:b/>
                <w:bCs/>
                <w:color w:val="000000"/>
                <w:sz w:val="21"/>
                <w:szCs w:val="21"/>
                <w:lang w:bidi="ar"/>
              </w:rPr>
              <w:t>蜥蜴科</w:t>
            </w:r>
            <w:r>
              <w:rPr>
                <w:rFonts w:ascii="Times New Roman" w:eastAsia="宋体" w:hAnsi="Times New Roman" w:cs="Times New Roman"/>
                <w:b/>
                <w:bCs/>
                <w:color w:val="000000"/>
                <w:sz w:val="21"/>
                <w:szCs w:val="21"/>
                <w:lang w:bidi="ar"/>
              </w:rPr>
              <w:t xml:space="preserve"> </w:t>
            </w:r>
            <w:r>
              <w:rPr>
                <w:rFonts w:ascii="Times New Roman" w:eastAsia="宋体" w:hAnsi="Times New Roman" w:cs="Times New Roman"/>
                <w:b/>
                <w:bCs/>
                <w:i/>
                <w:iCs/>
                <w:color w:val="000000"/>
                <w:sz w:val="21"/>
                <w:szCs w:val="21"/>
                <w:lang w:bidi="ar"/>
              </w:rPr>
              <w:t>Lacertidac</w:t>
            </w:r>
          </w:p>
        </w:tc>
      </w:tr>
      <w:tr w:rsidR="009D12AF" w14:paraId="31EE8A40" w14:textId="77777777">
        <w:trPr>
          <w:trHeight w:val="416"/>
          <w:jc w:val="center"/>
        </w:trPr>
        <w:tc>
          <w:tcPr>
            <w:tcW w:w="1621" w:type="pct"/>
            <w:tcBorders>
              <w:tl2br w:val="nil"/>
              <w:tr2bl w:val="nil"/>
            </w:tcBorders>
            <w:vAlign w:val="center"/>
          </w:tcPr>
          <w:p w14:paraId="5FFD95F2" w14:textId="77777777" w:rsidR="009D12AF" w:rsidRDefault="00000000">
            <w:pPr>
              <w:widowControl/>
              <w:numPr>
                <w:ilvl w:val="0"/>
                <w:numId w:val="20"/>
              </w:numPr>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sz w:val="21"/>
                <w:szCs w:val="21"/>
              </w:rPr>
              <w:t>黑龙江草蜥</w:t>
            </w:r>
          </w:p>
          <w:p w14:paraId="1E6E5B01" w14:textId="77777777" w:rsidR="009D12AF" w:rsidRDefault="00000000">
            <w:pPr>
              <w:widowControl/>
              <w:spacing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i/>
                <w:iCs/>
                <w:sz w:val="21"/>
                <w:szCs w:val="21"/>
              </w:rPr>
              <w:t>Takydromus amurensis</w:t>
            </w:r>
          </w:p>
        </w:tc>
        <w:tc>
          <w:tcPr>
            <w:tcW w:w="597" w:type="pct"/>
            <w:tcBorders>
              <w:tl2br w:val="nil"/>
              <w:tr2bl w:val="nil"/>
            </w:tcBorders>
            <w:vAlign w:val="center"/>
          </w:tcPr>
          <w:p w14:paraId="0AA5F308"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3.4</w:t>
            </w:r>
          </w:p>
        </w:tc>
        <w:tc>
          <w:tcPr>
            <w:tcW w:w="597" w:type="pct"/>
            <w:tcBorders>
              <w:tl2br w:val="nil"/>
              <w:tr2bl w:val="nil"/>
            </w:tcBorders>
            <w:vAlign w:val="center"/>
          </w:tcPr>
          <w:p w14:paraId="1B694031"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color w:val="000000"/>
                <w:sz w:val="21"/>
                <w:szCs w:val="21"/>
                <w:lang w:bidi="ar"/>
              </w:rPr>
              <w:t>古北种</w:t>
            </w:r>
          </w:p>
        </w:tc>
        <w:tc>
          <w:tcPr>
            <w:tcW w:w="426" w:type="pct"/>
            <w:tcBorders>
              <w:tl2br w:val="nil"/>
              <w:tr2bl w:val="nil"/>
            </w:tcBorders>
            <w:vAlign w:val="center"/>
          </w:tcPr>
          <w:p w14:paraId="2FD059D0"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color w:val="000000"/>
                <w:sz w:val="21"/>
                <w:szCs w:val="21"/>
                <w:lang w:bidi="ar"/>
              </w:rPr>
              <w:t>++</w:t>
            </w:r>
          </w:p>
        </w:tc>
        <w:tc>
          <w:tcPr>
            <w:tcW w:w="684" w:type="pct"/>
            <w:tcBorders>
              <w:tl2br w:val="nil"/>
              <w:tr2bl w:val="nil"/>
            </w:tcBorders>
            <w:vAlign w:val="center"/>
          </w:tcPr>
          <w:p w14:paraId="67125B60"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82" w:type="pct"/>
            <w:tcBorders>
              <w:tl2br w:val="nil"/>
              <w:tr2bl w:val="nil"/>
            </w:tcBorders>
            <w:vAlign w:val="center"/>
          </w:tcPr>
          <w:p w14:paraId="46485169"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黑龙江省级</w:t>
            </w:r>
          </w:p>
        </w:tc>
        <w:tc>
          <w:tcPr>
            <w:tcW w:w="390" w:type="pct"/>
            <w:tcBorders>
              <w:tl2br w:val="nil"/>
              <w:tr2bl w:val="nil"/>
            </w:tcBorders>
            <w:vAlign w:val="center"/>
          </w:tcPr>
          <w:p w14:paraId="5F67F352"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近</w:t>
            </w:r>
            <w:r>
              <w:rPr>
                <w:rFonts w:ascii="Times New Roman" w:eastAsia="宋体" w:hAnsi="Times New Roman" w:cs="Times New Roman"/>
                <w:sz w:val="21"/>
                <w:szCs w:val="21"/>
              </w:rPr>
              <w:t>危</w:t>
            </w:r>
          </w:p>
        </w:tc>
      </w:tr>
      <w:tr w:rsidR="009D12AF" w14:paraId="7AA328DA" w14:textId="77777777">
        <w:trPr>
          <w:jc w:val="center"/>
        </w:trPr>
        <w:tc>
          <w:tcPr>
            <w:tcW w:w="3926" w:type="pct"/>
            <w:gridSpan w:val="5"/>
            <w:tcBorders>
              <w:tl2br w:val="nil"/>
              <w:tr2bl w:val="nil"/>
            </w:tcBorders>
            <w:vAlign w:val="center"/>
          </w:tcPr>
          <w:p w14:paraId="273A7D96" w14:textId="77777777" w:rsidR="009D12AF" w:rsidRDefault="00000000">
            <w:pPr>
              <w:widowControl/>
              <w:numPr>
                <w:ilvl w:val="0"/>
                <w:numId w:val="19"/>
              </w:numPr>
              <w:spacing w:after="160" w:line="0" w:lineRule="atLeast"/>
              <w:ind w:left="440" w:firstLineChars="0"/>
              <w:jc w:val="left"/>
              <w:rPr>
                <w:rFonts w:ascii="Times New Roman" w:eastAsia="宋体" w:hAnsi="Times New Roman" w:cs="Times New Roman"/>
                <w:sz w:val="21"/>
                <w:szCs w:val="21"/>
              </w:rPr>
            </w:pPr>
            <w:r>
              <w:rPr>
                <w:rFonts w:ascii="Times New Roman" w:eastAsia="宋体" w:hAnsi="Times New Roman" w:cs="Times New Roman"/>
                <w:b/>
                <w:bCs/>
                <w:color w:val="000000"/>
                <w:sz w:val="21"/>
                <w:szCs w:val="21"/>
                <w:lang w:bidi="ar"/>
              </w:rPr>
              <w:t>游蛇科</w:t>
            </w:r>
            <w:r>
              <w:rPr>
                <w:rFonts w:ascii="Times New Roman" w:eastAsia="宋体" w:hAnsi="Times New Roman" w:cs="Times New Roman"/>
                <w:b/>
                <w:bCs/>
                <w:color w:val="000000"/>
                <w:sz w:val="21"/>
                <w:szCs w:val="21"/>
                <w:lang w:bidi="ar"/>
              </w:rPr>
              <w:t xml:space="preserve"> </w:t>
            </w:r>
            <w:r>
              <w:rPr>
                <w:rFonts w:ascii="Times New Roman" w:eastAsia="宋体" w:hAnsi="Times New Roman" w:cs="Times New Roman"/>
                <w:b/>
                <w:bCs/>
                <w:i/>
                <w:iCs/>
                <w:color w:val="000000"/>
                <w:sz w:val="21"/>
                <w:szCs w:val="21"/>
                <w:lang w:bidi="ar"/>
              </w:rPr>
              <w:t>Colubridae</w:t>
            </w:r>
          </w:p>
        </w:tc>
        <w:tc>
          <w:tcPr>
            <w:tcW w:w="682" w:type="pct"/>
            <w:tcBorders>
              <w:tl2br w:val="nil"/>
              <w:tr2bl w:val="nil"/>
            </w:tcBorders>
            <w:vAlign w:val="center"/>
          </w:tcPr>
          <w:p w14:paraId="09F0B026" w14:textId="77777777" w:rsidR="009D12AF" w:rsidRDefault="009D12AF">
            <w:pPr>
              <w:widowControl/>
              <w:spacing w:line="0" w:lineRule="atLeast"/>
              <w:ind w:firstLineChars="0" w:firstLine="0"/>
              <w:jc w:val="center"/>
              <w:rPr>
                <w:rFonts w:ascii="Times New Roman" w:eastAsia="宋体" w:hAnsi="Times New Roman" w:cs="Times New Roman"/>
                <w:b/>
                <w:bCs/>
                <w:color w:val="000000"/>
                <w:sz w:val="21"/>
                <w:szCs w:val="21"/>
                <w:lang w:bidi="ar"/>
              </w:rPr>
            </w:pPr>
          </w:p>
        </w:tc>
        <w:tc>
          <w:tcPr>
            <w:tcW w:w="390" w:type="pct"/>
            <w:tcBorders>
              <w:tl2br w:val="nil"/>
              <w:tr2bl w:val="nil"/>
            </w:tcBorders>
            <w:vAlign w:val="center"/>
          </w:tcPr>
          <w:p w14:paraId="71A24E4F" w14:textId="77777777" w:rsidR="009D12AF" w:rsidRDefault="009D12AF">
            <w:pPr>
              <w:widowControl/>
              <w:spacing w:line="0" w:lineRule="atLeast"/>
              <w:ind w:firstLineChars="0" w:firstLine="0"/>
              <w:jc w:val="center"/>
              <w:rPr>
                <w:rFonts w:ascii="Times New Roman" w:eastAsia="宋体" w:hAnsi="Times New Roman" w:cs="Times New Roman"/>
                <w:b/>
                <w:bCs/>
                <w:color w:val="000000"/>
                <w:sz w:val="21"/>
                <w:szCs w:val="21"/>
                <w:lang w:bidi="ar"/>
              </w:rPr>
            </w:pPr>
          </w:p>
        </w:tc>
      </w:tr>
      <w:tr w:rsidR="009D12AF" w14:paraId="4FB0DA84" w14:textId="77777777">
        <w:trPr>
          <w:jc w:val="center"/>
        </w:trPr>
        <w:tc>
          <w:tcPr>
            <w:tcW w:w="1621" w:type="pct"/>
            <w:tcBorders>
              <w:tl2br w:val="nil"/>
              <w:tr2bl w:val="nil"/>
            </w:tcBorders>
            <w:vAlign w:val="center"/>
          </w:tcPr>
          <w:p w14:paraId="606332A6" w14:textId="77777777" w:rsidR="009D12AF" w:rsidRDefault="00000000">
            <w:pPr>
              <w:widowControl/>
              <w:numPr>
                <w:ilvl w:val="0"/>
                <w:numId w:val="20"/>
              </w:numPr>
              <w:spacing w:after="160" w:line="0" w:lineRule="atLeast"/>
              <w:ind w:firstLineChars="0" w:firstLine="0"/>
              <w:jc w:val="left"/>
              <w:rPr>
                <w:rFonts w:ascii="Times New Roman" w:eastAsia="宋体" w:hAnsi="Times New Roman" w:cs="Times New Roman"/>
                <w:sz w:val="21"/>
                <w:szCs w:val="21"/>
              </w:rPr>
            </w:pPr>
            <w:bookmarkStart w:id="256" w:name="_Hlk207116661"/>
            <w:r>
              <w:rPr>
                <w:rFonts w:ascii="Times New Roman" w:eastAsia="宋体" w:hAnsi="Times New Roman" w:cs="Times New Roman"/>
                <w:sz w:val="21"/>
                <w:szCs w:val="21"/>
              </w:rPr>
              <w:t>白条锦蛇</w:t>
            </w:r>
            <w:bookmarkEnd w:id="256"/>
          </w:p>
          <w:p w14:paraId="589AE318" w14:textId="77777777" w:rsidR="009D12AF" w:rsidRDefault="00000000">
            <w:pPr>
              <w:widowControl/>
              <w:spacing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i/>
                <w:iCs/>
                <w:sz w:val="21"/>
                <w:szCs w:val="21"/>
              </w:rPr>
              <w:t>Elaphe dione</w:t>
            </w:r>
          </w:p>
        </w:tc>
        <w:tc>
          <w:tcPr>
            <w:tcW w:w="597" w:type="pct"/>
            <w:tcBorders>
              <w:tl2br w:val="nil"/>
              <w:tr2bl w:val="nil"/>
            </w:tcBorders>
            <w:vAlign w:val="center"/>
          </w:tcPr>
          <w:p w14:paraId="4906F2EC"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3.4</w:t>
            </w:r>
          </w:p>
        </w:tc>
        <w:tc>
          <w:tcPr>
            <w:tcW w:w="597" w:type="pct"/>
            <w:tcBorders>
              <w:tl2br w:val="nil"/>
              <w:tr2bl w:val="nil"/>
            </w:tcBorders>
            <w:vAlign w:val="center"/>
          </w:tcPr>
          <w:p w14:paraId="2AA23475"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color w:val="000000"/>
                <w:sz w:val="21"/>
                <w:szCs w:val="21"/>
                <w:lang w:bidi="ar"/>
              </w:rPr>
              <w:t>古北种</w:t>
            </w:r>
          </w:p>
        </w:tc>
        <w:tc>
          <w:tcPr>
            <w:tcW w:w="426" w:type="pct"/>
            <w:tcBorders>
              <w:tl2br w:val="nil"/>
              <w:tr2bl w:val="nil"/>
            </w:tcBorders>
            <w:vAlign w:val="center"/>
          </w:tcPr>
          <w:p w14:paraId="2BC3357C"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color w:val="000000"/>
                <w:sz w:val="21"/>
                <w:szCs w:val="21"/>
                <w:lang w:bidi="ar"/>
              </w:rPr>
              <w:t>++</w:t>
            </w:r>
          </w:p>
        </w:tc>
        <w:tc>
          <w:tcPr>
            <w:tcW w:w="684" w:type="pct"/>
            <w:tcBorders>
              <w:tl2br w:val="nil"/>
              <w:tr2bl w:val="nil"/>
            </w:tcBorders>
            <w:vAlign w:val="center"/>
          </w:tcPr>
          <w:p w14:paraId="7AE7ACBC"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color w:val="000000"/>
                <w:sz w:val="21"/>
                <w:szCs w:val="21"/>
                <w:lang w:bidi="ar"/>
              </w:rPr>
              <w:t>访问资料</w:t>
            </w:r>
          </w:p>
        </w:tc>
        <w:tc>
          <w:tcPr>
            <w:tcW w:w="682" w:type="pct"/>
            <w:tcBorders>
              <w:tl2br w:val="nil"/>
              <w:tr2bl w:val="nil"/>
            </w:tcBorders>
            <w:vAlign w:val="center"/>
          </w:tcPr>
          <w:p w14:paraId="24DAAE92"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kern w:val="0"/>
                <w:sz w:val="21"/>
                <w:szCs w:val="21"/>
                <w:lang w:bidi="ar"/>
              </w:rPr>
              <w:t>————</w:t>
            </w:r>
          </w:p>
        </w:tc>
        <w:tc>
          <w:tcPr>
            <w:tcW w:w="390" w:type="pct"/>
            <w:tcBorders>
              <w:tl2br w:val="nil"/>
              <w:tr2bl w:val="nil"/>
            </w:tcBorders>
            <w:vAlign w:val="center"/>
          </w:tcPr>
          <w:p w14:paraId="7467DDB2"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无危</w:t>
            </w:r>
          </w:p>
        </w:tc>
      </w:tr>
      <w:tr w:rsidR="009D12AF" w14:paraId="2235842B" w14:textId="77777777">
        <w:trPr>
          <w:trHeight w:val="535"/>
          <w:jc w:val="center"/>
        </w:trPr>
        <w:tc>
          <w:tcPr>
            <w:tcW w:w="1621" w:type="pct"/>
            <w:tcBorders>
              <w:tl2br w:val="nil"/>
              <w:tr2bl w:val="nil"/>
            </w:tcBorders>
            <w:vAlign w:val="center"/>
          </w:tcPr>
          <w:p w14:paraId="4EBBE6AC" w14:textId="77777777" w:rsidR="009D12AF" w:rsidRDefault="00000000">
            <w:pPr>
              <w:widowControl/>
              <w:numPr>
                <w:ilvl w:val="0"/>
                <w:numId w:val="20"/>
              </w:numPr>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sz w:val="21"/>
                <w:szCs w:val="21"/>
              </w:rPr>
              <w:lastRenderedPageBreak/>
              <w:t>红点锦蛇</w:t>
            </w:r>
          </w:p>
          <w:p w14:paraId="198D43D5" w14:textId="77777777" w:rsidR="009D12AF" w:rsidRDefault="00000000">
            <w:pPr>
              <w:widowControl/>
              <w:spacing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i/>
                <w:iCs/>
                <w:sz w:val="21"/>
                <w:szCs w:val="21"/>
              </w:rPr>
              <w:t>Elaphe rufodorsata</w:t>
            </w:r>
          </w:p>
        </w:tc>
        <w:tc>
          <w:tcPr>
            <w:tcW w:w="597" w:type="pct"/>
            <w:tcBorders>
              <w:tl2br w:val="nil"/>
              <w:tr2bl w:val="nil"/>
            </w:tcBorders>
            <w:vAlign w:val="center"/>
          </w:tcPr>
          <w:p w14:paraId="5B6FF2B5"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3.4</w:t>
            </w:r>
          </w:p>
        </w:tc>
        <w:tc>
          <w:tcPr>
            <w:tcW w:w="597" w:type="pct"/>
            <w:tcBorders>
              <w:tl2br w:val="nil"/>
              <w:tr2bl w:val="nil"/>
            </w:tcBorders>
            <w:vAlign w:val="center"/>
          </w:tcPr>
          <w:p w14:paraId="70BEE9A9"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color w:val="000000"/>
                <w:sz w:val="21"/>
                <w:szCs w:val="21"/>
                <w:lang w:bidi="ar"/>
              </w:rPr>
              <w:t>古北种</w:t>
            </w:r>
          </w:p>
        </w:tc>
        <w:tc>
          <w:tcPr>
            <w:tcW w:w="426" w:type="pct"/>
            <w:tcBorders>
              <w:tl2br w:val="nil"/>
              <w:tr2bl w:val="nil"/>
            </w:tcBorders>
            <w:vAlign w:val="center"/>
          </w:tcPr>
          <w:p w14:paraId="6716E56A"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color w:val="000000"/>
                <w:sz w:val="21"/>
                <w:szCs w:val="21"/>
                <w:lang w:bidi="ar"/>
              </w:rPr>
              <w:t>+</w:t>
            </w:r>
          </w:p>
        </w:tc>
        <w:tc>
          <w:tcPr>
            <w:tcW w:w="684" w:type="pct"/>
            <w:tcBorders>
              <w:tl2br w:val="nil"/>
              <w:tr2bl w:val="nil"/>
            </w:tcBorders>
            <w:vAlign w:val="center"/>
          </w:tcPr>
          <w:p w14:paraId="746BF86F"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82" w:type="pct"/>
            <w:tcBorders>
              <w:tl2br w:val="nil"/>
              <w:tr2bl w:val="nil"/>
            </w:tcBorders>
            <w:vAlign w:val="center"/>
          </w:tcPr>
          <w:p w14:paraId="6D26ADDC"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黑龙江省级</w:t>
            </w:r>
          </w:p>
        </w:tc>
        <w:tc>
          <w:tcPr>
            <w:tcW w:w="390" w:type="pct"/>
            <w:tcBorders>
              <w:tl2br w:val="nil"/>
              <w:tr2bl w:val="nil"/>
            </w:tcBorders>
            <w:vAlign w:val="center"/>
          </w:tcPr>
          <w:p w14:paraId="7FE8D4B8"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lang w:bidi="ar"/>
              </w:rPr>
              <w:t>无危</w:t>
            </w:r>
          </w:p>
        </w:tc>
      </w:tr>
      <w:tr w:rsidR="009D12AF" w14:paraId="68A553D6" w14:textId="77777777">
        <w:trPr>
          <w:jc w:val="center"/>
        </w:trPr>
        <w:tc>
          <w:tcPr>
            <w:tcW w:w="1621" w:type="pct"/>
            <w:tcBorders>
              <w:tl2br w:val="nil"/>
              <w:tr2bl w:val="nil"/>
            </w:tcBorders>
            <w:vAlign w:val="center"/>
          </w:tcPr>
          <w:p w14:paraId="7A1C19B1" w14:textId="77777777" w:rsidR="009D12AF" w:rsidRDefault="00000000">
            <w:pPr>
              <w:widowControl/>
              <w:numPr>
                <w:ilvl w:val="0"/>
                <w:numId w:val="20"/>
              </w:numPr>
              <w:spacing w:after="160" w:line="0" w:lineRule="atLeast"/>
              <w:ind w:firstLineChars="0" w:firstLine="0"/>
              <w:jc w:val="left"/>
              <w:rPr>
                <w:rFonts w:ascii="Times New Roman" w:eastAsia="宋体" w:hAnsi="Times New Roman" w:cs="Times New Roman"/>
                <w:sz w:val="21"/>
                <w:szCs w:val="21"/>
              </w:rPr>
            </w:pPr>
            <w:bookmarkStart w:id="257" w:name="_Hlk207116690"/>
            <w:r>
              <w:rPr>
                <w:rFonts w:ascii="Times New Roman" w:eastAsia="宋体" w:hAnsi="Times New Roman" w:cs="Times New Roman"/>
                <w:sz w:val="21"/>
                <w:szCs w:val="21"/>
              </w:rPr>
              <w:t>虎斑颈槽蛇</w:t>
            </w:r>
            <w:bookmarkEnd w:id="257"/>
          </w:p>
          <w:p w14:paraId="2312A4B9" w14:textId="77777777" w:rsidR="009D12AF" w:rsidRDefault="00000000">
            <w:pPr>
              <w:widowControl/>
              <w:spacing w:line="0" w:lineRule="atLeast"/>
              <w:ind w:firstLineChars="0" w:firstLine="0"/>
              <w:jc w:val="left"/>
              <w:rPr>
                <w:rFonts w:ascii="Times New Roman" w:eastAsia="宋体" w:hAnsi="Times New Roman" w:cs="Times New Roman"/>
                <w:sz w:val="21"/>
                <w:szCs w:val="21"/>
              </w:rPr>
            </w:pPr>
            <w:bookmarkStart w:id="258" w:name="_Hlk194909384"/>
            <w:r>
              <w:rPr>
                <w:rFonts w:ascii="Times New Roman" w:eastAsia="宋体" w:hAnsi="Times New Roman" w:cs="Times New Roman"/>
                <w:i/>
                <w:iCs/>
                <w:sz w:val="21"/>
                <w:szCs w:val="21"/>
              </w:rPr>
              <w:t>Rhabdophis tigrinus</w:t>
            </w:r>
            <w:bookmarkEnd w:id="258"/>
          </w:p>
        </w:tc>
        <w:tc>
          <w:tcPr>
            <w:tcW w:w="597" w:type="pct"/>
            <w:tcBorders>
              <w:tl2br w:val="nil"/>
              <w:tr2bl w:val="nil"/>
            </w:tcBorders>
            <w:vAlign w:val="center"/>
          </w:tcPr>
          <w:p w14:paraId="1D4605C8"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3.4</w:t>
            </w:r>
          </w:p>
        </w:tc>
        <w:tc>
          <w:tcPr>
            <w:tcW w:w="597" w:type="pct"/>
            <w:tcBorders>
              <w:tl2br w:val="nil"/>
              <w:tr2bl w:val="nil"/>
            </w:tcBorders>
            <w:vAlign w:val="center"/>
          </w:tcPr>
          <w:p w14:paraId="22588274" w14:textId="77777777" w:rsidR="009D12AF" w:rsidRDefault="00000000">
            <w:pPr>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广布种</w:t>
            </w:r>
          </w:p>
        </w:tc>
        <w:tc>
          <w:tcPr>
            <w:tcW w:w="426" w:type="pct"/>
            <w:tcBorders>
              <w:tl2br w:val="nil"/>
              <w:tr2bl w:val="nil"/>
            </w:tcBorders>
            <w:vAlign w:val="center"/>
          </w:tcPr>
          <w:p w14:paraId="389169D8"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kern w:val="0"/>
                <w:sz w:val="21"/>
                <w:szCs w:val="21"/>
                <w:lang w:bidi="ar"/>
              </w:rPr>
              <w:t>+</w:t>
            </w:r>
          </w:p>
        </w:tc>
        <w:tc>
          <w:tcPr>
            <w:tcW w:w="684" w:type="pct"/>
            <w:tcBorders>
              <w:tl2br w:val="nil"/>
              <w:tr2bl w:val="nil"/>
            </w:tcBorders>
            <w:vAlign w:val="center"/>
          </w:tcPr>
          <w:p w14:paraId="3D9644CF"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82" w:type="pct"/>
            <w:tcBorders>
              <w:tl2br w:val="nil"/>
              <w:tr2bl w:val="nil"/>
            </w:tcBorders>
            <w:vAlign w:val="center"/>
          </w:tcPr>
          <w:p w14:paraId="48DA7BA9" w14:textId="77777777" w:rsidR="009D12AF" w:rsidRDefault="00000000">
            <w:pPr>
              <w:spacing w:line="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黑龙江省级</w:t>
            </w:r>
          </w:p>
        </w:tc>
        <w:tc>
          <w:tcPr>
            <w:tcW w:w="390" w:type="pct"/>
            <w:tcBorders>
              <w:tl2br w:val="nil"/>
              <w:tr2bl w:val="nil"/>
            </w:tcBorders>
            <w:vAlign w:val="center"/>
          </w:tcPr>
          <w:p w14:paraId="00C6E0A9" w14:textId="77777777" w:rsidR="009D12AF" w:rsidRDefault="00000000">
            <w:pPr>
              <w:spacing w:line="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sz w:val="21"/>
                <w:szCs w:val="21"/>
              </w:rPr>
              <w:t>无危</w:t>
            </w:r>
          </w:p>
        </w:tc>
      </w:tr>
      <w:tr w:rsidR="009D12AF" w14:paraId="23A09D4E" w14:textId="77777777">
        <w:trPr>
          <w:trHeight w:val="232"/>
          <w:jc w:val="center"/>
        </w:trPr>
        <w:tc>
          <w:tcPr>
            <w:tcW w:w="3926" w:type="pct"/>
            <w:gridSpan w:val="5"/>
            <w:tcBorders>
              <w:tl2br w:val="nil"/>
              <w:tr2bl w:val="nil"/>
            </w:tcBorders>
            <w:vAlign w:val="center"/>
          </w:tcPr>
          <w:p w14:paraId="298E2B89" w14:textId="77777777" w:rsidR="009D12AF" w:rsidRDefault="00000000">
            <w:pPr>
              <w:widowControl/>
              <w:numPr>
                <w:ilvl w:val="0"/>
                <w:numId w:val="19"/>
              </w:numPr>
              <w:spacing w:after="160" w:line="0" w:lineRule="atLeast"/>
              <w:ind w:left="440" w:firstLineChars="0"/>
              <w:jc w:val="left"/>
              <w:rPr>
                <w:rFonts w:ascii="Times New Roman" w:eastAsia="宋体" w:hAnsi="Times New Roman" w:cs="Times New Roman"/>
                <w:sz w:val="21"/>
                <w:szCs w:val="21"/>
              </w:rPr>
            </w:pPr>
            <w:r>
              <w:rPr>
                <w:rFonts w:ascii="Times New Roman" w:eastAsia="宋体" w:hAnsi="Times New Roman" w:cs="Times New Roman"/>
                <w:b/>
                <w:bCs/>
                <w:color w:val="000000"/>
                <w:sz w:val="21"/>
                <w:szCs w:val="21"/>
                <w:lang w:bidi="ar"/>
              </w:rPr>
              <w:t>蝰科</w:t>
            </w:r>
            <w:r>
              <w:rPr>
                <w:rFonts w:ascii="Times New Roman" w:eastAsia="宋体" w:hAnsi="Times New Roman" w:cs="Times New Roman"/>
                <w:b/>
                <w:bCs/>
                <w:color w:val="000000"/>
                <w:sz w:val="21"/>
                <w:szCs w:val="21"/>
                <w:lang w:bidi="ar"/>
              </w:rPr>
              <w:t xml:space="preserve"> </w:t>
            </w:r>
            <w:r>
              <w:rPr>
                <w:rFonts w:ascii="Times New Roman" w:eastAsia="宋体" w:hAnsi="Times New Roman" w:cs="Times New Roman"/>
                <w:b/>
                <w:bCs/>
                <w:i/>
                <w:iCs/>
                <w:color w:val="000000"/>
                <w:sz w:val="21"/>
                <w:szCs w:val="21"/>
                <w:lang w:bidi="ar"/>
              </w:rPr>
              <w:t>Viperidae</w:t>
            </w:r>
          </w:p>
        </w:tc>
        <w:tc>
          <w:tcPr>
            <w:tcW w:w="682" w:type="pct"/>
            <w:tcBorders>
              <w:tl2br w:val="nil"/>
              <w:tr2bl w:val="nil"/>
            </w:tcBorders>
            <w:vAlign w:val="center"/>
          </w:tcPr>
          <w:p w14:paraId="4E28F033" w14:textId="77777777" w:rsidR="009D12AF" w:rsidRDefault="009D12AF">
            <w:pPr>
              <w:widowControl/>
              <w:spacing w:line="0" w:lineRule="atLeast"/>
              <w:ind w:firstLineChars="0" w:firstLine="0"/>
              <w:jc w:val="center"/>
              <w:rPr>
                <w:rFonts w:ascii="Times New Roman" w:eastAsia="宋体" w:hAnsi="Times New Roman" w:cs="Times New Roman"/>
                <w:b/>
                <w:bCs/>
                <w:color w:val="000000"/>
                <w:sz w:val="21"/>
                <w:szCs w:val="21"/>
                <w:lang w:bidi="ar"/>
              </w:rPr>
            </w:pPr>
          </w:p>
        </w:tc>
        <w:tc>
          <w:tcPr>
            <w:tcW w:w="390" w:type="pct"/>
            <w:tcBorders>
              <w:tl2br w:val="nil"/>
              <w:tr2bl w:val="nil"/>
            </w:tcBorders>
            <w:vAlign w:val="center"/>
          </w:tcPr>
          <w:p w14:paraId="1393AEAB" w14:textId="77777777" w:rsidR="009D12AF" w:rsidRDefault="009D12AF">
            <w:pPr>
              <w:widowControl/>
              <w:spacing w:line="0" w:lineRule="atLeast"/>
              <w:ind w:firstLineChars="0" w:firstLine="0"/>
              <w:jc w:val="center"/>
              <w:rPr>
                <w:rFonts w:ascii="Times New Roman" w:eastAsia="宋体" w:hAnsi="Times New Roman" w:cs="Times New Roman"/>
                <w:b/>
                <w:bCs/>
                <w:color w:val="000000"/>
                <w:sz w:val="21"/>
                <w:szCs w:val="21"/>
                <w:lang w:bidi="ar"/>
              </w:rPr>
            </w:pPr>
          </w:p>
        </w:tc>
      </w:tr>
      <w:tr w:rsidR="009D12AF" w14:paraId="682DB61E" w14:textId="77777777">
        <w:trPr>
          <w:jc w:val="center"/>
        </w:trPr>
        <w:tc>
          <w:tcPr>
            <w:tcW w:w="1621" w:type="pct"/>
            <w:tcBorders>
              <w:tl2br w:val="nil"/>
              <w:tr2bl w:val="nil"/>
            </w:tcBorders>
            <w:vAlign w:val="center"/>
          </w:tcPr>
          <w:p w14:paraId="63BF823D" w14:textId="77777777" w:rsidR="009D12AF" w:rsidRDefault="00000000">
            <w:pPr>
              <w:widowControl/>
              <w:numPr>
                <w:ilvl w:val="0"/>
                <w:numId w:val="20"/>
              </w:numPr>
              <w:spacing w:after="160" w:line="0" w:lineRule="atLeast"/>
              <w:ind w:firstLineChars="0" w:firstLine="0"/>
              <w:jc w:val="left"/>
              <w:rPr>
                <w:rFonts w:ascii="Times New Roman" w:eastAsia="宋体" w:hAnsi="Times New Roman" w:cs="Times New Roman"/>
                <w:color w:val="000000"/>
                <w:sz w:val="21"/>
                <w:szCs w:val="21"/>
                <w:lang w:bidi="ar"/>
              </w:rPr>
            </w:pPr>
            <w:bookmarkStart w:id="259" w:name="_Hlk207721184"/>
            <w:r>
              <w:rPr>
                <w:rFonts w:ascii="Times New Roman" w:eastAsia="宋体" w:hAnsi="Times New Roman" w:cs="Times New Roman"/>
                <w:color w:val="000000"/>
                <w:sz w:val="21"/>
                <w:szCs w:val="21"/>
                <w:lang w:bidi="ar"/>
              </w:rPr>
              <w:t>乌苏里蝮</w:t>
            </w:r>
            <w:bookmarkEnd w:id="259"/>
          </w:p>
          <w:p w14:paraId="44F4543F" w14:textId="77777777" w:rsidR="009D12AF" w:rsidRDefault="00000000">
            <w:pPr>
              <w:widowControl/>
              <w:spacing w:line="0" w:lineRule="atLeast"/>
              <w:ind w:firstLineChars="0" w:firstLine="0"/>
              <w:jc w:val="left"/>
              <w:rPr>
                <w:rFonts w:ascii="Times New Roman" w:eastAsia="宋体" w:hAnsi="Times New Roman" w:cs="Times New Roman"/>
                <w:i/>
                <w:iCs/>
                <w:sz w:val="21"/>
                <w:szCs w:val="21"/>
              </w:rPr>
            </w:pPr>
            <w:bookmarkStart w:id="260" w:name="_Hlk207721189"/>
            <w:r>
              <w:rPr>
                <w:rFonts w:ascii="Times New Roman" w:eastAsia="宋体" w:hAnsi="Times New Roman" w:cs="Times New Roman"/>
                <w:i/>
                <w:iCs/>
                <w:sz w:val="21"/>
                <w:szCs w:val="21"/>
              </w:rPr>
              <w:t>Gloydius ussuriensis</w:t>
            </w:r>
            <w:bookmarkEnd w:id="260"/>
          </w:p>
        </w:tc>
        <w:tc>
          <w:tcPr>
            <w:tcW w:w="597" w:type="pct"/>
            <w:tcBorders>
              <w:tl2br w:val="nil"/>
              <w:tr2bl w:val="nil"/>
            </w:tcBorders>
            <w:vAlign w:val="center"/>
          </w:tcPr>
          <w:p w14:paraId="6C50D8EA"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3.4</w:t>
            </w:r>
          </w:p>
        </w:tc>
        <w:tc>
          <w:tcPr>
            <w:tcW w:w="597" w:type="pct"/>
            <w:tcBorders>
              <w:tl2br w:val="nil"/>
              <w:tr2bl w:val="nil"/>
            </w:tcBorders>
            <w:vAlign w:val="center"/>
          </w:tcPr>
          <w:p w14:paraId="749E75A7"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广布种</w:t>
            </w:r>
          </w:p>
        </w:tc>
        <w:tc>
          <w:tcPr>
            <w:tcW w:w="426" w:type="pct"/>
            <w:tcBorders>
              <w:tl2br w:val="nil"/>
              <w:tr2bl w:val="nil"/>
            </w:tcBorders>
            <w:vAlign w:val="center"/>
          </w:tcPr>
          <w:p w14:paraId="7E147031"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color w:val="000000"/>
                <w:sz w:val="21"/>
                <w:szCs w:val="21"/>
                <w:lang w:bidi="ar"/>
              </w:rPr>
              <w:t>+</w:t>
            </w:r>
          </w:p>
        </w:tc>
        <w:tc>
          <w:tcPr>
            <w:tcW w:w="684" w:type="pct"/>
            <w:tcBorders>
              <w:tl2br w:val="nil"/>
              <w:tr2bl w:val="nil"/>
            </w:tcBorders>
            <w:vAlign w:val="center"/>
          </w:tcPr>
          <w:p w14:paraId="7120F09F"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访问资料</w:t>
            </w:r>
          </w:p>
        </w:tc>
        <w:tc>
          <w:tcPr>
            <w:tcW w:w="682" w:type="pct"/>
            <w:tcBorders>
              <w:tl2br w:val="nil"/>
              <w:tr2bl w:val="nil"/>
            </w:tcBorders>
            <w:vAlign w:val="center"/>
          </w:tcPr>
          <w:p w14:paraId="17BC0876"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lang w:bidi="ar"/>
              </w:rPr>
              <w:t>————</w:t>
            </w:r>
          </w:p>
        </w:tc>
        <w:tc>
          <w:tcPr>
            <w:tcW w:w="390" w:type="pct"/>
            <w:tcBorders>
              <w:tl2br w:val="nil"/>
              <w:tr2bl w:val="nil"/>
            </w:tcBorders>
            <w:vAlign w:val="center"/>
          </w:tcPr>
          <w:p w14:paraId="239D64B8"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近危</w:t>
            </w:r>
          </w:p>
        </w:tc>
      </w:tr>
    </w:tbl>
    <w:p w14:paraId="3CB07D7B" w14:textId="77777777" w:rsidR="009D12AF" w:rsidRDefault="00000000">
      <w:pPr>
        <w:ind w:firstLine="360"/>
        <w:rPr>
          <w:rFonts w:ascii="宋体" w:eastAsia="宋体" w:hAnsi="宋体" w:cs="Times New Roman" w:hint="eastAsia"/>
          <w:sz w:val="18"/>
          <w:szCs w:val="18"/>
        </w:rPr>
      </w:pPr>
      <w:r>
        <w:rPr>
          <w:rFonts w:ascii="宋体" w:eastAsia="宋体" w:hAnsi="宋体" w:cs="Times New Roman"/>
          <w:sz w:val="18"/>
          <w:szCs w:val="18"/>
        </w:rPr>
        <w:t>注</w:t>
      </w:r>
      <w:r>
        <w:rPr>
          <w:rFonts w:ascii="宋体" w:eastAsia="宋体" w:hAnsi="宋体" w:cs="Times New Roman" w:hint="eastAsia"/>
          <w:sz w:val="18"/>
          <w:szCs w:val="18"/>
        </w:rPr>
        <w:t>：</w:t>
      </w:r>
      <w:r>
        <w:rPr>
          <w:rFonts w:ascii="宋体" w:eastAsia="宋体" w:hAnsi="宋体" w:cs="Times New Roman"/>
          <w:sz w:val="18"/>
          <w:szCs w:val="18"/>
        </w:rPr>
        <w:t xml:space="preserve"> 生境</w:t>
      </w:r>
      <w:r>
        <w:rPr>
          <w:rFonts w:ascii="宋体" w:eastAsia="宋体" w:hAnsi="宋体" w:cs="Times New Roman" w:hint="eastAsia"/>
          <w:sz w:val="18"/>
          <w:szCs w:val="18"/>
        </w:rPr>
        <w:t>：</w:t>
      </w:r>
      <w:r>
        <w:rPr>
          <w:rFonts w:ascii="宋体" w:eastAsia="宋体" w:hAnsi="宋体" w:cs="Times New Roman"/>
          <w:sz w:val="18"/>
          <w:szCs w:val="18"/>
        </w:rPr>
        <w:t>1—水域；2—沼泽；3—草甸；4—林地；5—农田； 6—居民区。</w:t>
      </w:r>
    </w:p>
    <w:p w14:paraId="59CAB6B1" w14:textId="77777777" w:rsidR="009D12AF" w:rsidRDefault="00000000">
      <w:pPr>
        <w:ind w:firstLine="360"/>
        <w:jc w:val="left"/>
        <w:rPr>
          <w:rFonts w:ascii="Arial" w:eastAsia="宋体" w:hAnsi="Arial" w:cs="Times New Roman"/>
        </w:rPr>
      </w:pPr>
      <w:r>
        <w:rPr>
          <w:rFonts w:ascii="宋体" w:eastAsia="宋体" w:hAnsi="宋体" w:cs="Times New Roman"/>
          <w:sz w:val="18"/>
          <w:szCs w:val="18"/>
        </w:rPr>
        <w:t>数量</w:t>
      </w:r>
      <w:r>
        <w:rPr>
          <w:rFonts w:ascii="宋体" w:eastAsia="宋体" w:hAnsi="宋体" w:cs="Times New Roman" w:hint="eastAsia"/>
          <w:sz w:val="18"/>
          <w:szCs w:val="18"/>
        </w:rPr>
        <w:t>：</w:t>
      </w:r>
      <w:r>
        <w:rPr>
          <w:rFonts w:ascii="宋体" w:eastAsia="宋体" w:hAnsi="宋体" w:cs="Times New Roman"/>
          <w:sz w:val="18"/>
          <w:szCs w:val="18"/>
        </w:rPr>
        <w:t>+++—优势种；  ++—常见种；  +—稀有种。</w:t>
      </w:r>
    </w:p>
    <w:p w14:paraId="50CF8A6D" w14:textId="77777777" w:rsidR="009D12AF" w:rsidRDefault="00000000">
      <w:pPr>
        <w:spacing w:after="160" w:line="300" w:lineRule="auto"/>
        <w:ind w:firstLine="480"/>
        <w:jc w:val="left"/>
        <w:rPr>
          <w:rFonts w:ascii="Times New Roman" w:eastAsia="宋体" w:hAnsi="Times New Roman" w:cs="Times New Roman"/>
        </w:rPr>
      </w:pPr>
      <w:r>
        <w:rPr>
          <w:rFonts w:ascii="Times New Roman" w:eastAsia="宋体" w:hAnsi="Times New Roman" w:cs="Times New Roman" w:hint="eastAsia"/>
        </w:rPr>
        <w:t>b</w:t>
      </w:r>
      <w:r>
        <w:rPr>
          <w:rFonts w:ascii="Times New Roman" w:eastAsia="宋体" w:hAnsi="Times New Roman" w:cs="Times New Roman"/>
        </w:rPr>
        <w:t>.</w:t>
      </w:r>
      <w:r>
        <w:rPr>
          <w:rFonts w:ascii="Times New Roman" w:eastAsia="宋体" w:hAnsi="Times New Roman" w:cs="Times New Roman" w:hint="eastAsia"/>
        </w:rPr>
        <w:t>生活类型</w:t>
      </w:r>
    </w:p>
    <w:p w14:paraId="44FE678A"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rPr>
        <w:t>根据爬行动物生活习性不同，可将其分为以下</w:t>
      </w:r>
      <w:r>
        <w:rPr>
          <w:rFonts w:ascii="Times New Roman" w:eastAsia="宋体" w:hAnsi="Times New Roman" w:cs="Times New Roman"/>
        </w:rPr>
        <w:t>2</w:t>
      </w:r>
      <w:r>
        <w:rPr>
          <w:rFonts w:ascii="Times New Roman" w:eastAsia="宋体" w:hAnsi="Times New Roman" w:cs="Times New Roman"/>
        </w:rPr>
        <w:t>种生态类型</w:t>
      </w:r>
      <w:r>
        <w:rPr>
          <w:rFonts w:ascii="Times New Roman" w:eastAsia="宋体" w:hAnsi="Times New Roman" w:cs="Times New Roman" w:hint="eastAsia"/>
        </w:rPr>
        <w:t>：</w:t>
      </w:r>
      <w:r>
        <w:rPr>
          <w:rFonts w:ascii="Times New Roman" w:eastAsia="宋体" w:hAnsi="Times New Roman" w:cs="Times New Roman"/>
        </w:rPr>
        <w:t xml:space="preserve"> </w:t>
      </w:r>
    </w:p>
    <w:p w14:paraId="6ED70135"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灌丛石隙型</w:t>
      </w:r>
      <w:r>
        <w:rPr>
          <w:rFonts w:ascii="Times New Roman" w:eastAsia="宋体" w:hAnsi="Times New Roman" w:cs="Times New Roman" w:hint="eastAsia"/>
        </w:rPr>
        <w:t>(</w:t>
      </w:r>
      <w:r>
        <w:rPr>
          <w:rFonts w:ascii="Times New Roman" w:eastAsia="宋体" w:hAnsi="Times New Roman" w:cs="Times New Roman" w:hint="eastAsia"/>
        </w:rPr>
        <w:t>经常活动在灌丛下面，路边石缝中的爬行类</w:t>
      </w:r>
      <w:r>
        <w:rPr>
          <w:rFonts w:ascii="Times New Roman" w:eastAsia="宋体" w:hAnsi="Times New Roman" w:cs="Times New Roman" w:hint="eastAsia"/>
        </w:rPr>
        <w:t>)</w:t>
      </w:r>
      <w:r>
        <w:rPr>
          <w:rFonts w:ascii="Times New Roman" w:eastAsia="宋体" w:hAnsi="Times New Roman" w:cs="Times New Roman" w:hint="eastAsia"/>
        </w:rPr>
        <w:t>：包括</w:t>
      </w:r>
      <w:r>
        <w:rPr>
          <w:rFonts w:ascii="Times New Roman" w:eastAsia="宋体" w:hAnsi="Times New Roman" w:cs="Times New Roman"/>
        </w:rPr>
        <w:t>黑龙江草蜥</w:t>
      </w:r>
      <w:r>
        <w:rPr>
          <w:rFonts w:ascii="Times New Roman" w:eastAsia="宋体" w:hAnsi="Times New Roman" w:cs="Times New Roman"/>
        </w:rPr>
        <w:t>1</w:t>
      </w:r>
      <w:r>
        <w:rPr>
          <w:rFonts w:ascii="Times New Roman" w:eastAsia="宋体" w:hAnsi="Times New Roman" w:cs="Times New Roman" w:hint="eastAsia"/>
        </w:rPr>
        <w:t>种，它们主要在项目所在范围内的农村道路路边草丛、石堆中活动，与人类活动关系较密切。</w:t>
      </w:r>
    </w:p>
    <w:p w14:paraId="4956338F"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林栖傍水型</w:t>
      </w:r>
      <w:r>
        <w:rPr>
          <w:rFonts w:ascii="Times New Roman" w:eastAsia="宋体" w:hAnsi="Times New Roman" w:cs="Times New Roman" w:hint="eastAsia"/>
        </w:rPr>
        <w:t>(</w:t>
      </w:r>
      <w:r>
        <w:rPr>
          <w:rFonts w:ascii="Times New Roman" w:eastAsia="宋体" w:hAnsi="Times New Roman" w:cs="Times New Roman" w:hint="eastAsia"/>
        </w:rPr>
        <w:t>在山谷间有溪流的山坡上活动</w:t>
      </w:r>
      <w:r>
        <w:rPr>
          <w:rFonts w:ascii="Times New Roman" w:eastAsia="宋体" w:hAnsi="Times New Roman" w:cs="Times New Roman" w:hint="eastAsia"/>
        </w:rPr>
        <w:t>)</w:t>
      </w:r>
      <w:r>
        <w:rPr>
          <w:rFonts w:ascii="Times New Roman" w:eastAsia="宋体" w:hAnsi="Times New Roman" w:cs="Times New Roman" w:hint="eastAsia"/>
        </w:rPr>
        <w:t>：包括虎斑颈槽蛇、</w:t>
      </w:r>
      <w:r>
        <w:rPr>
          <w:rFonts w:ascii="Times New Roman" w:eastAsia="宋体" w:hAnsi="Times New Roman" w:cs="Times New Roman"/>
        </w:rPr>
        <w:t>红点锦蛇</w:t>
      </w:r>
      <w:r>
        <w:rPr>
          <w:rFonts w:ascii="Times New Roman" w:eastAsia="宋体" w:hAnsi="Times New Roman" w:cs="Times New Roman" w:hint="eastAsia"/>
        </w:rPr>
        <w:t>、白条锦蛇、</w:t>
      </w:r>
      <w:r>
        <w:rPr>
          <w:rFonts w:ascii="Times New Roman" w:eastAsia="宋体" w:hAnsi="Times New Roman" w:cs="Times New Roman"/>
        </w:rPr>
        <w:t>乌苏里蝮</w:t>
      </w:r>
      <w:r>
        <w:rPr>
          <w:rFonts w:ascii="Times New Roman" w:eastAsia="宋体" w:hAnsi="Times New Roman" w:cs="Times New Roman" w:hint="eastAsia"/>
        </w:rPr>
        <w:t>4</w:t>
      </w:r>
      <w:r>
        <w:rPr>
          <w:rFonts w:ascii="Times New Roman" w:eastAsia="宋体" w:hAnsi="Times New Roman" w:cs="Times New Roman" w:hint="eastAsia"/>
        </w:rPr>
        <w:t>种，它们主要在评价区内评价区内离水系较近的林间地带</w:t>
      </w:r>
      <w:r>
        <w:rPr>
          <w:rFonts w:ascii="Times New Roman" w:eastAsia="宋体" w:hAnsi="Times New Roman" w:cs="Times New Roman"/>
        </w:rPr>
        <w:t>活动。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4A0" w:firstRow="1" w:lastRow="0" w:firstColumn="1" w:lastColumn="0" w:noHBand="0" w:noVBand="1"/>
      </w:tblPr>
      <w:tblGrid>
        <w:gridCol w:w="4401"/>
        <w:gridCol w:w="3895"/>
      </w:tblGrid>
      <w:tr w:rsidR="009D12AF" w14:paraId="3892B318" w14:textId="77777777">
        <w:trPr>
          <w:trHeight w:val="23"/>
          <w:jc w:val="center"/>
        </w:trPr>
        <w:tc>
          <w:tcPr>
            <w:tcW w:w="4401" w:type="dxa"/>
            <w:vAlign w:val="center"/>
          </w:tcPr>
          <w:p w14:paraId="0B04BE9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noProof/>
                <w:sz w:val="21"/>
                <w:szCs w:val="21"/>
              </w:rPr>
              <w:drawing>
                <wp:inline distT="0" distB="0" distL="0" distR="0" wp14:anchorId="2BC5A21A" wp14:editId="0586512B">
                  <wp:extent cx="2462530" cy="1845945"/>
                  <wp:effectExtent l="0" t="0" r="13970" b="1905"/>
                  <wp:docPr id="1326738487" name="图片 1326738487" descr="https://img2.baidu.com/it/u=408162099,179722599&amp;fm=253&amp;fmt=auto&amp;app=138&amp;f=JPEG?w=667&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738487" name="图片 1326738487" descr="https://img2.baidu.com/it/u=408162099,179722599&amp;fm=253&amp;fmt=auto&amp;app=138&amp;f=JPEG?w=667&amp;h=500"/>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a:xfrm>
                            <a:off x="0" y="0"/>
                            <a:ext cx="2493247" cy="1868876"/>
                          </a:xfrm>
                          <a:prstGeom prst="rect">
                            <a:avLst/>
                          </a:prstGeom>
                          <a:noFill/>
                          <a:ln>
                            <a:noFill/>
                          </a:ln>
                        </pic:spPr>
                      </pic:pic>
                    </a:graphicData>
                  </a:graphic>
                </wp:inline>
              </w:drawing>
            </w:r>
          </w:p>
        </w:tc>
        <w:tc>
          <w:tcPr>
            <w:tcW w:w="3895" w:type="dxa"/>
            <w:vAlign w:val="center"/>
          </w:tcPr>
          <w:p w14:paraId="501108F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eastAsia="宋体" w:hAnsi="Arial" w:cs="Times New Roman"/>
                <w:noProof/>
                <w:sz w:val="21"/>
                <w:szCs w:val="21"/>
              </w:rPr>
              <w:drawing>
                <wp:inline distT="0" distB="0" distL="0" distR="0" wp14:anchorId="10BD9DA9" wp14:editId="6DBCF816">
                  <wp:extent cx="2360295" cy="1816100"/>
                  <wp:effectExtent l="0" t="0" r="1905" b="12700"/>
                  <wp:docPr id="222" name="图片 222" descr="https://pic.rmb.bdstatic.com/bjh/news/387a057b5dace6691b765756d56325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https://pic.rmb.bdstatic.com/bjh/news/387a057b5dace6691b765756d56325d3.png"/>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a:xfrm>
                            <a:off x="0" y="0"/>
                            <a:ext cx="2464099" cy="1896340"/>
                          </a:xfrm>
                          <a:prstGeom prst="rect">
                            <a:avLst/>
                          </a:prstGeom>
                          <a:noFill/>
                          <a:ln>
                            <a:noFill/>
                          </a:ln>
                        </pic:spPr>
                      </pic:pic>
                    </a:graphicData>
                  </a:graphic>
                </wp:inline>
              </w:drawing>
            </w:r>
          </w:p>
        </w:tc>
      </w:tr>
      <w:tr w:rsidR="009D12AF" w14:paraId="59AF4A4C" w14:textId="77777777">
        <w:trPr>
          <w:trHeight w:val="23"/>
          <w:jc w:val="center"/>
        </w:trPr>
        <w:tc>
          <w:tcPr>
            <w:tcW w:w="4401" w:type="dxa"/>
            <w:vAlign w:val="center"/>
          </w:tcPr>
          <w:p w14:paraId="6EED69BF" w14:textId="77777777" w:rsidR="009D12AF" w:rsidRDefault="00000000">
            <w:pPr>
              <w:widowControl/>
              <w:adjustRightInd w:val="0"/>
              <w:snapToGrid w:val="0"/>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黑龙江草蜥</w:t>
            </w:r>
            <w:r>
              <w:rPr>
                <w:rFonts w:ascii="Times New Roman" w:eastAsia="宋体" w:hAnsi="Times New Roman" w:cs="Times New Roman"/>
                <w:i/>
                <w:iCs/>
                <w:sz w:val="21"/>
                <w:szCs w:val="21"/>
              </w:rPr>
              <w:t>Takydromus amurensis</w:t>
            </w:r>
          </w:p>
        </w:tc>
        <w:tc>
          <w:tcPr>
            <w:tcW w:w="3895" w:type="dxa"/>
            <w:vAlign w:val="center"/>
          </w:tcPr>
          <w:p w14:paraId="24FEAFE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白条锦蛇</w:t>
            </w:r>
            <w:r>
              <w:rPr>
                <w:rFonts w:ascii="Times New Roman" w:eastAsia="宋体" w:hAnsi="Times New Roman" w:cs="Times New Roman"/>
                <w:i/>
                <w:iCs/>
                <w:kern w:val="0"/>
                <w:sz w:val="21"/>
                <w:szCs w:val="21"/>
              </w:rPr>
              <w:t>Elaphe dione</w:t>
            </w:r>
          </w:p>
        </w:tc>
      </w:tr>
    </w:tbl>
    <w:p w14:paraId="34C2187B" w14:textId="77777777" w:rsidR="009D12AF" w:rsidRDefault="00000000">
      <w:pPr>
        <w:ind w:firstLine="480"/>
        <w:jc w:val="center"/>
        <w:rPr>
          <w:rFonts w:ascii="Arial" w:eastAsia="黑体" w:hAnsi="Arial" w:cs="Arial"/>
          <w:highlight w:val="yellow"/>
        </w:rPr>
      </w:pPr>
      <w:r>
        <w:rPr>
          <w:rFonts w:ascii="Arial" w:eastAsia="黑体" w:hAnsi="Arial" w:cs="Arial" w:hint="eastAsia"/>
        </w:rPr>
        <w:t>图</w:t>
      </w:r>
      <w:r>
        <w:rPr>
          <w:rFonts w:ascii="Arial" w:eastAsia="黑体" w:hAnsi="Arial" w:cs="Arial" w:hint="eastAsia"/>
        </w:rPr>
        <w:t xml:space="preserve">4.3-39  </w:t>
      </w:r>
      <w:r>
        <w:rPr>
          <w:rFonts w:ascii="Arial" w:eastAsia="黑体" w:hAnsi="Arial" w:cs="Arial" w:hint="eastAsia"/>
        </w:rPr>
        <w:t>两栖类动物</w:t>
      </w:r>
    </w:p>
    <w:p w14:paraId="1531FC7B" w14:textId="77777777" w:rsidR="009D12AF" w:rsidRDefault="00000000">
      <w:pPr>
        <w:ind w:firstLine="480"/>
        <w:jc w:val="left"/>
        <w:rPr>
          <w:rFonts w:asciiTheme="minorEastAsia" w:hAnsiTheme="minorEastAsia" w:cstheme="minorEastAsia" w:hint="eastAsia"/>
        </w:rPr>
      </w:pPr>
      <w:r>
        <w:rPr>
          <w:rFonts w:asciiTheme="minorEastAsia" w:hAnsiTheme="minorEastAsia" w:cstheme="minorEastAsia" w:hint="eastAsia"/>
        </w:rPr>
        <w:t>3、鸟类</w:t>
      </w:r>
    </w:p>
    <w:p w14:paraId="39AFAD56" w14:textId="77777777" w:rsidR="009D12AF" w:rsidRDefault="00000000">
      <w:pPr>
        <w:spacing w:line="300" w:lineRule="auto"/>
        <w:ind w:firstLine="480"/>
        <w:jc w:val="left"/>
        <w:rPr>
          <w:rFonts w:ascii="Times New Roman" w:eastAsia="宋体" w:hAnsi="Times New Roman" w:cs="Times New Roman"/>
        </w:rPr>
      </w:pPr>
      <w:bookmarkStart w:id="261" w:name="_Toc25649"/>
      <w:r>
        <w:rPr>
          <w:rFonts w:ascii="Times New Roman" w:eastAsia="宋体" w:hAnsi="Times New Roman" w:cs="Times New Roman" w:hint="eastAsia"/>
        </w:rPr>
        <w:t>a.</w:t>
      </w:r>
      <w:r>
        <w:rPr>
          <w:rFonts w:ascii="Times New Roman" w:eastAsia="宋体" w:hAnsi="Times New Roman" w:cs="Times New Roman" w:hint="eastAsia"/>
        </w:rPr>
        <w:t>种类及区系组成</w:t>
      </w:r>
      <w:bookmarkEnd w:id="261"/>
    </w:p>
    <w:p w14:paraId="23998DFE" w14:textId="77777777" w:rsidR="009D12AF" w:rsidRDefault="00000000">
      <w:pPr>
        <w:spacing w:line="300" w:lineRule="auto"/>
        <w:ind w:firstLine="480"/>
        <w:jc w:val="left"/>
        <w:rPr>
          <w:rFonts w:ascii="Times New Roman" w:eastAsia="宋体" w:hAnsi="Times New Roman" w:cs="Times New Roman"/>
        </w:rPr>
      </w:pPr>
      <w:r>
        <w:rPr>
          <w:rFonts w:ascii="Times New Roman" w:eastAsia="宋体" w:hAnsi="Times New Roman" w:cs="Times New Roman" w:hint="eastAsia"/>
        </w:rPr>
        <w:t>评价区内共有鸟类动物</w:t>
      </w:r>
      <w:r>
        <w:rPr>
          <w:rFonts w:ascii="Times New Roman" w:eastAsia="宋体" w:hAnsi="Times New Roman" w:cs="Times New Roman" w:hint="eastAsia"/>
        </w:rPr>
        <w:t>1</w:t>
      </w:r>
      <w:r>
        <w:rPr>
          <w:rFonts w:ascii="Times New Roman" w:eastAsia="宋体" w:hAnsi="Times New Roman" w:cs="Times New Roman"/>
        </w:rPr>
        <w:t>2</w:t>
      </w:r>
      <w:r>
        <w:rPr>
          <w:rFonts w:ascii="Times New Roman" w:eastAsia="宋体" w:hAnsi="Times New Roman" w:cs="Times New Roman" w:hint="eastAsia"/>
        </w:rPr>
        <w:t>目</w:t>
      </w:r>
      <w:r>
        <w:rPr>
          <w:rFonts w:ascii="Times New Roman" w:eastAsia="宋体" w:hAnsi="Times New Roman" w:cs="Times New Roman" w:hint="eastAsia"/>
        </w:rPr>
        <w:t>26</w:t>
      </w:r>
      <w:r>
        <w:rPr>
          <w:rFonts w:ascii="Times New Roman" w:eastAsia="宋体" w:hAnsi="Times New Roman" w:cs="Times New Roman" w:hint="eastAsia"/>
        </w:rPr>
        <w:t>科</w:t>
      </w:r>
      <w:r>
        <w:rPr>
          <w:rFonts w:ascii="Times New Roman" w:eastAsia="宋体" w:hAnsi="Times New Roman" w:cs="Times New Roman"/>
        </w:rPr>
        <w:t>47</w:t>
      </w:r>
      <w:r>
        <w:rPr>
          <w:rFonts w:ascii="Times New Roman" w:eastAsia="宋体" w:hAnsi="Times New Roman" w:cs="Times New Roman" w:hint="eastAsia"/>
        </w:rPr>
        <w:t>种，按区系类型分，将评价区鸟类分为</w:t>
      </w:r>
      <w:r>
        <w:rPr>
          <w:rFonts w:ascii="Times New Roman" w:eastAsia="宋体" w:hAnsi="Times New Roman" w:cs="Times New Roman" w:hint="eastAsia"/>
        </w:rPr>
        <w:t>3</w:t>
      </w:r>
      <w:r>
        <w:rPr>
          <w:rFonts w:ascii="Times New Roman" w:eastAsia="宋体" w:hAnsi="Times New Roman" w:cs="Times New Roman" w:hint="eastAsia"/>
        </w:rPr>
        <w:t>种区系类型：古北种</w:t>
      </w:r>
      <w:r>
        <w:rPr>
          <w:rFonts w:ascii="Times New Roman" w:eastAsia="宋体" w:hAnsi="Times New Roman" w:cs="Times New Roman" w:hint="eastAsia"/>
        </w:rPr>
        <w:t>2</w:t>
      </w:r>
      <w:r>
        <w:rPr>
          <w:rFonts w:ascii="Times New Roman" w:eastAsia="宋体" w:hAnsi="Times New Roman" w:cs="Times New Roman"/>
        </w:rPr>
        <w:t>4</w:t>
      </w:r>
      <w:r>
        <w:rPr>
          <w:rFonts w:ascii="Times New Roman" w:eastAsia="宋体" w:hAnsi="Times New Roman" w:cs="Times New Roman" w:hint="eastAsia"/>
        </w:rPr>
        <w:t>种，占</w:t>
      </w:r>
      <w:r>
        <w:rPr>
          <w:rFonts w:ascii="Times New Roman" w:eastAsia="宋体" w:hAnsi="Times New Roman" w:cs="Times New Roman"/>
        </w:rPr>
        <w:t>51.06</w:t>
      </w:r>
      <w:r>
        <w:rPr>
          <w:rFonts w:ascii="Times New Roman" w:eastAsia="宋体" w:hAnsi="Times New Roman" w:cs="Times New Roman" w:hint="eastAsia"/>
        </w:rPr>
        <w:t>%</w:t>
      </w:r>
      <w:r>
        <w:rPr>
          <w:rFonts w:ascii="Times New Roman" w:eastAsia="宋体" w:hAnsi="Times New Roman" w:cs="Times New Roman" w:hint="eastAsia"/>
        </w:rPr>
        <w:t>；广布种</w:t>
      </w:r>
      <w:r>
        <w:rPr>
          <w:rFonts w:ascii="Times New Roman" w:eastAsia="宋体" w:hAnsi="Times New Roman" w:cs="Times New Roman"/>
        </w:rPr>
        <w:t>21</w:t>
      </w:r>
      <w:r>
        <w:rPr>
          <w:rFonts w:ascii="Times New Roman" w:eastAsia="宋体" w:hAnsi="Times New Roman" w:cs="Times New Roman" w:hint="eastAsia"/>
        </w:rPr>
        <w:t>种，占</w:t>
      </w:r>
      <w:r>
        <w:rPr>
          <w:rFonts w:ascii="Times New Roman" w:eastAsia="宋体" w:hAnsi="Times New Roman" w:cs="Times New Roman"/>
        </w:rPr>
        <w:t>44.68</w:t>
      </w:r>
      <w:r>
        <w:rPr>
          <w:rFonts w:ascii="Times New Roman" w:eastAsia="宋体" w:hAnsi="Times New Roman" w:cs="Times New Roman" w:hint="eastAsia"/>
        </w:rPr>
        <w:t>%</w:t>
      </w:r>
      <w:r>
        <w:rPr>
          <w:rFonts w:ascii="Times New Roman" w:eastAsia="宋体" w:hAnsi="Times New Roman" w:cs="Times New Roman" w:hint="eastAsia"/>
        </w:rPr>
        <w:t>，东洋种</w:t>
      </w:r>
      <w:r>
        <w:rPr>
          <w:rFonts w:ascii="Times New Roman" w:eastAsia="宋体" w:hAnsi="Times New Roman" w:cs="Times New Roman" w:hint="eastAsia"/>
        </w:rPr>
        <w:lastRenderedPageBreak/>
        <w:t>2</w:t>
      </w:r>
      <w:r>
        <w:rPr>
          <w:rFonts w:ascii="Times New Roman" w:eastAsia="宋体" w:hAnsi="Times New Roman" w:cs="Times New Roman" w:hint="eastAsia"/>
        </w:rPr>
        <w:t>种，占</w:t>
      </w:r>
      <w:r>
        <w:rPr>
          <w:rFonts w:ascii="Times New Roman" w:eastAsia="宋体" w:hAnsi="Times New Roman" w:cs="Times New Roman"/>
        </w:rPr>
        <w:t>4.26</w:t>
      </w:r>
      <w:r>
        <w:rPr>
          <w:rFonts w:ascii="Times New Roman" w:eastAsia="宋体" w:hAnsi="Times New Roman" w:cs="Times New Roman" w:hint="eastAsia"/>
        </w:rPr>
        <w:t>%</w:t>
      </w:r>
      <w:r>
        <w:rPr>
          <w:rFonts w:ascii="Times New Roman" w:eastAsia="宋体" w:hAnsi="Times New Roman" w:cs="Times New Roman" w:hint="eastAsia"/>
        </w:rPr>
        <w:t>。根据调查及访问调查结果，评价区分布有国家一级重点保护鸟类</w:t>
      </w:r>
      <w:r>
        <w:rPr>
          <w:rFonts w:ascii="Times New Roman" w:eastAsia="宋体" w:hAnsi="Times New Roman" w:cs="Times New Roman"/>
        </w:rPr>
        <w:t>2</w:t>
      </w:r>
      <w:r>
        <w:rPr>
          <w:rFonts w:ascii="Times New Roman" w:eastAsia="宋体" w:hAnsi="Times New Roman" w:cs="Times New Roman" w:hint="eastAsia"/>
        </w:rPr>
        <w:t>种，为</w:t>
      </w:r>
      <w:r>
        <w:rPr>
          <w:rFonts w:ascii="Times New Roman" w:eastAsia="宋体" w:hAnsi="Times New Roman" w:cs="Times New Roman"/>
        </w:rPr>
        <w:t>东方白鹳</w:t>
      </w:r>
      <w:r>
        <w:rPr>
          <w:rFonts w:ascii="Times New Roman" w:eastAsia="宋体" w:hAnsi="Times New Roman" w:cs="Times New Roman" w:hint="eastAsia"/>
        </w:rPr>
        <w:t>（</w:t>
      </w:r>
      <w:r>
        <w:rPr>
          <w:rFonts w:ascii="Times New Roman" w:eastAsia="宋体" w:hAnsi="Times New Roman" w:cs="Times New Roman"/>
          <w:i/>
          <w:iCs/>
        </w:rPr>
        <w:t>Ciconia boyciana</w:t>
      </w:r>
      <w:r>
        <w:rPr>
          <w:rFonts w:ascii="Times New Roman" w:eastAsia="宋体" w:hAnsi="Times New Roman" w:cs="Times New Roman" w:hint="eastAsia"/>
        </w:rPr>
        <w:t>）、</w:t>
      </w:r>
      <w:r>
        <w:rPr>
          <w:rFonts w:ascii="Times New Roman" w:eastAsia="宋体" w:hAnsi="Times New Roman" w:cs="Times New Roman"/>
        </w:rPr>
        <w:t>中华秋沙鸭</w:t>
      </w:r>
      <w:r>
        <w:rPr>
          <w:rFonts w:ascii="Times New Roman" w:eastAsia="宋体" w:hAnsi="Times New Roman" w:cs="Times New Roman" w:hint="eastAsia"/>
        </w:rPr>
        <w:t>（</w:t>
      </w:r>
      <w:r>
        <w:rPr>
          <w:rFonts w:ascii="Times New Roman" w:eastAsia="宋体" w:hAnsi="Times New Roman" w:cs="Times New Roman"/>
          <w:i/>
          <w:iCs/>
        </w:rPr>
        <w:t>Mergus squamatus</w:t>
      </w:r>
      <w:r>
        <w:rPr>
          <w:rFonts w:ascii="Times New Roman" w:eastAsia="宋体" w:hAnsi="Times New Roman" w:cs="Times New Roman" w:hint="eastAsia"/>
        </w:rPr>
        <w:t>）；国家二级重点保护鸟类</w:t>
      </w:r>
      <w:r>
        <w:rPr>
          <w:rFonts w:ascii="Times New Roman" w:eastAsia="宋体" w:hAnsi="Times New Roman" w:cs="Times New Roman" w:hint="eastAsia"/>
        </w:rPr>
        <w:t>2</w:t>
      </w:r>
      <w:r>
        <w:rPr>
          <w:rFonts w:ascii="Times New Roman" w:eastAsia="宋体" w:hAnsi="Times New Roman" w:cs="Times New Roman" w:hint="eastAsia"/>
        </w:rPr>
        <w:t>种，为</w:t>
      </w:r>
      <w:r>
        <w:rPr>
          <w:rFonts w:ascii="Times New Roman" w:eastAsia="宋体" w:hAnsi="Times New Roman" w:cs="Times New Roman"/>
        </w:rPr>
        <w:t>红隼</w:t>
      </w:r>
      <w:r>
        <w:rPr>
          <w:rFonts w:ascii="Times New Roman" w:eastAsia="宋体" w:hAnsi="Times New Roman" w:cs="Times New Roman" w:hint="eastAsia"/>
        </w:rPr>
        <w:t>（</w:t>
      </w:r>
      <w:r>
        <w:rPr>
          <w:rFonts w:ascii="Times New Roman" w:eastAsia="宋体" w:hAnsi="Times New Roman" w:cs="Times New Roman"/>
          <w:i/>
          <w:iCs/>
        </w:rPr>
        <w:t>Falco tinnunculus</w:t>
      </w:r>
      <w:r>
        <w:rPr>
          <w:rFonts w:ascii="Times New Roman" w:eastAsia="宋体" w:hAnsi="Times New Roman" w:cs="Times New Roman" w:hint="eastAsia"/>
        </w:rPr>
        <w:t>）和鸳鸯（</w:t>
      </w:r>
      <w:r>
        <w:rPr>
          <w:rFonts w:ascii="Times New Roman" w:eastAsia="宋体" w:hAnsi="Times New Roman" w:cs="Times New Roman"/>
          <w:i/>
          <w:iCs/>
        </w:rPr>
        <w:t>Aix galericulata</w:t>
      </w:r>
      <w:r>
        <w:rPr>
          <w:rFonts w:ascii="Times New Roman" w:eastAsia="宋体" w:hAnsi="Times New Roman" w:cs="Times New Roman" w:hint="eastAsia"/>
        </w:rPr>
        <w:t>）；黑龙江省重点保护鸟类</w:t>
      </w:r>
      <w:r>
        <w:rPr>
          <w:rFonts w:ascii="Times New Roman" w:eastAsia="宋体" w:hAnsi="Times New Roman" w:cs="Times New Roman"/>
        </w:rPr>
        <w:t>3</w:t>
      </w:r>
      <w:r>
        <w:rPr>
          <w:rFonts w:ascii="Times New Roman" w:eastAsia="宋体" w:hAnsi="Times New Roman" w:cs="Times New Roman" w:hint="eastAsia"/>
        </w:rPr>
        <w:t>种，为</w:t>
      </w:r>
      <w:bookmarkStart w:id="262" w:name="_Hlk207112707"/>
      <w:r>
        <w:rPr>
          <w:rFonts w:ascii="Times New Roman" w:eastAsia="宋体" w:hAnsi="Times New Roman" w:cs="Times New Roman"/>
        </w:rPr>
        <w:t>太平鸟</w:t>
      </w:r>
      <w:bookmarkEnd w:id="262"/>
      <w:r>
        <w:rPr>
          <w:rFonts w:ascii="Times New Roman" w:eastAsia="宋体" w:hAnsi="Times New Roman" w:cs="Times New Roman" w:hint="eastAsia"/>
        </w:rPr>
        <w:t>（</w:t>
      </w:r>
      <w:bookmarkStart w:id="263" w:name="_Hlk194908999"/>
      <w:r>
        <w:rPr>
          <w:rFonts w:ascii="Times New Roman" w:eastAsia="宋体" w:hAnsi="Times New Roman" w:cs="Times New Roman" w:hint="eastAsia"/>
          <w:i/>
          <w:iCs/>
        </w:rPr>
        <w:t>Bombycilla garrulus</w:t>
      </w:r>
      <w:bookmarkEnd w:id="263"/>
      <w:r>
        <w:rPr>
          <w:rFonts w:ascii="Times New Roman" w:eastAsia="宋体" w:hAnsi="Times New Roman" w:cs="Times New Roman" w:hint="eastAsia"/>
        </w:rPr>
        <w:t>）、</w:t>
      </w:r>
      <w:bookmarkStart w:id="264" w:name="_Hlk207115001"/>
      <w:r>
        <w:rPr>
          <w:rFonts w:ascii="Times New Roman" w:eastAsia="宋体" w:hAnsi="Times New Roman" w:cs="Times New Roman"/>
        </w:rPr>
        <w:t>金翅雀</w:t>
      </w:r>
      <w:bookmarkEnd w:id="264"/>
      <w:r>
        <w:rPr>
          <w:rFonts w:ascii="Times New Roman" w:eastAsia="宋体" w:hAnsi="Times New Roman" w:cs="Times New Roman" w:hint="eastAsia"/>
        </w:rPr>
        <w:t>（</w:t>
      </w:r>
      <w:bookmarkStart w:id="265" w:name="_Hlk194909064"/>
      <w:r>
        <w:rPr>
          <w:rFonts w:ascii="Times New Roman" w:eastAsia="宋体" w:hAnsi="Times New Roman" w:cs="Times New Roman"/>
          <w:i/>
          <w:iCs/>
        </w:rPr>
        <w:t>Chloris sinica</w:t>
      </w:r>
      <w:bookmarkEnd w:id="265"/>
      <w:r>
        <w:rPr>
          <w:rFonts w:ascii="Times New Roman" w:eastAsia="宋体" w:hAnsi="Times New Roman" w:cs="Times New Roman" w:hint="eastAsia"/>
        </w:rPr>
        <w:t>）和</w:t>
      </w:r>
      <w:bookmarkStart w:id="266" w:name="_Hlk207114977"/>
      <w:r>
        <w:rPr>
          <w:rFonts w:ascii="Times New Roman" w:eastAsia="宋体" w:hAnsi="Times New Roman" w:cs="Times New Roman"/>
        </w:rPr>
        <w:t>朱顶雀</w:t>
      </w:r>
      <w:bookmarkEnd w:id="266"/>
      <w:r>
        <w:rPr>
          <w:rFonts w:ascii="Times New Roman" w:eastAsia="宋体" w:hAnsi="Times New Roman" w:cs="Times New Roman" w:hint="eastAsia"/>
        </w:rPr>
        <w:t>（</w:t>
      </w:r>
      <w:bookmarkStart w:id="267" w:name="_Hlk194909047"/>
      <w:r>
        <w:rPr>
          <w:rFonts w:ascii="Times New Roman" w:eastAsia="宋体" w:hAnsi="Times New Roman" w:cs="Times New Roman"/>
          <w:i/>
          <w:iCs/>
        </w:rPr>
        <w:t>Carduelis</w:t>
      </w:r>
      <w:r>
        <w:rPr>
          <w:rFonts w:ascii="Times New Roman" w:eastAsia="宋体" w:hAnsi="Times New Roman" w:cs="Times New Roman" w:hint="eastAsia"/>
          <w:i/>
          <w:iCs/>
        </w:rPr>
        <w:t xml:space="preserve"> flammea</w:t>
      </w:r>
      <w:bookmarkEnd w:id="267"/>
      <w:r>
        <w:rPr>
          <w:rFonts w:ascii="Times New Roman" w:eastAsia="宋体" w:hAnsi="Times New Roman" w:cs="Times New Roman" w:hint="eastAsia"/>
        </w:rPr>
        <w:t>）。详见表</w:t>
      </w:r>
      <w:r>
        <w:rPr>
          <w:rFonts w:ascii="Times New Roman" w:eastAsia="宋体" w:hAnsi="Times New Roman" w:cs="Times New Roman" w:hint="eastAsia"/>
        </w:rPr>
        <w:t>4.3-55</w:t>
      </w:r>
      <w:r>
        <w:rPr>
          <w:rFonts w:ascii="Times New Roman" w:eastAsia="宋体" w:hAnsi="Times New Roman" w:cs="Times New Roman" w:hint="eastAsia"/>
        </w:rPr>
        <w:t>。</w:t>
      </w:r>
    </w:p>
    <w:p w14:paraId="54E90344" w14:textId="77777777" w:rsidR="009D12AF" w:rsidRDefault="00000000">
      <w:pPr>
        <w:spacing w:after="160" w:line="300" w:lineRule="auto"/>
        <w:ind w:firstLine="480"/>
        <w:jc w:val="center"/>
        <w:rPr>
          <w:rFonts w:ascii="Times New Roman" w:eastAsia="黑体" w:hAnsi="Times New Roman" w:cs="Arial"/>
        </w:rPr>
      </w:pPr>
      <w:r>
        <w:rPr>
          <w:rFonts w:ascii="Times New Roman" w:eastAsia="黑体" w:hAnsi="Times New Roman" w:cs="Arial" w:hint="eastAsia"/>
        </w:rPr>
        <w:t>表</w:t>
      </w:r>
      <w:r>
        <w:rPr>
          <w:rFonts w:ascii="Times New Roman" w:eastAsia="黑体" w:hAnsi="Times New Roman" w:cs="Arial" w:hint="eastAsia"/>
        </w:rPr>
        <w:t xml:space="preserve">4.3-55  </w:t>
      </w:r>
      <w:r>
        <w:rPr>
          <w:rFonts w:ascii="Times New Roman" w:eastAsia="黑体" w:hAnsi="Times New Roman" w:cs="Arial" w:hint="eastAsia"/>
        </w:rPr>
        <w:t>评价范围内鸟类调查情况统计</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745"/>
        <w:gridCol w:w="1010"/>
        <w:gridCol w:w="1014"/>
        <w:gridCol w:w="724"/>
        <w:gridCol w:w="1157"/>
        <w:gridCol w:w="7"/>
        <w:gridCol w:w="1150"/>
        <w:gridCol w:w="712"/>
      </w:tblGrid>
      <w:tr w:rsidR="009D12AF" w14:paraId="56BE71FD" w14:textId="77777777">
        <w:trPr>
          <w:trHeight w:val="449"/>
          <w:jc w:val="center"/>
        </w:trPr>
        <w:tc>
          <w:tcPr>
            <w:tcW w:w="1611" w:type="pct"/>
            <w:tcBorders>
              <w:tl2br w:val="nil"/>
              <w:tr2bl w:val="nil"/>
            </w:tcBorders>
            <w:vAlign w:val="center"/>
          </w:tcPr>
          <w:p w14:paraId="0A2F382D" w14:textId="77777777" w:rsidR="009D12AF" w:rsidRDefault="00000000">
            <w:pPr>
              <w:widowControl/>
              <w:spacing w:after="160" w:line="0" w:lineRule="atLeast"/>
              <w:ind w:firstLineChars="0" w:firstLine="0"/>
              <w:jc w:val="center"/>
              <w:rPr>
                <w:rFonts w:ascii="Times New Roman" w:eastAsia="宋体" w:hAnsi="Times New Roman" w:cs="Times New Roman"/>
                <w:b/>
                <w:bCs/>
                <w:sz w:val="21"/>
                <w:szCs w:val="21"/>
              </w:rPr>
            </w:pPr>
            <w:bookmarkStart w:id="268" w:name="_Hlk207722904"/>
            <w:r>
              <w:rPr>
                <w:rFonts w:ascii="Times New Roman" w:eastAsia="宋体" w:hAnsi="Times New Roman" w:cs="Times New Roman"/>
                <w:b/>
                <w:bCs/>
                <w:sz w:val="21"/>
                <w:szCs w:val="21"/>
              </w:rPr>
              <w:t>中文名（学名）</w:t>
            </w:r>
          </w:p>
        </w:tc>
        <w:tc>
          <w:tcPr>
            <w:tcW w:w="593" w:type="pct"/>
            <w:tcBorders>
              <w:tl2br w:val="nil"/>
              <w:tr2bl w:val="nil"/>
            </w:tcBorders>
            <w:vAlign w:val="center"/>
          </w:tcPr>
          <w:p w14:paraId="508ABC1C" w14:textId="77777777" w:rsidR="009D12AF" w:rsidRDefault="00000000">
            <w:pPr>
              <w:widowControl/>
              <w:spacing w:after="160"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生境</w:t>
            </w:r>
          </w:p>
        </w:tc>
        <w:tc>
          <w:tcPr>
            <w:tcW w:w="595" w:type="pct"/>
            <w:tcBorders>
              <w:tl2br w:val="nil"/>
              <w:tr2bl w:val="nil"/>
            </w:tcBorders>
            <w:vAlign w:val="center"/>
          </w:tcPr>
          <w:p w14:paraId="755F6CFD" w14:textId="77777777" w:rsidR="009D12AF" w:rsidRDefault="00000000">
            <w:pPr>
              <w:widowControl/>
              <w:spacing w:after="160"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区系</w:t>
            </w:r>
          </w:p>
        </w:tc>
        <w:tc>
          <w:tcPr>
            <w:tcW w:w="425" w:type="pct"/>
            <w:tcBorders>
              <w:tl2br w:val="nil"/>
              <w:tr2bl w:val="nil"/>
            </w:tcBorders>
            <w:vAlign w:val="center"/>
          </w:tcPr>
          <w:p w14:paraId="68E5188C" w14:textId="77777777" w:rsidR="009D12AF" w:rsidRDefault="00000000">
            <w:pPr>
              <w:widowControl/>
              <w:spacing w:after="160"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数量</w:t>
            </w:r>
          </w:p>
        </w:tc>
        <w:tc>
          <w:tcPr>
            <w:tcW w:w="683" w:type="pct"/>
            <w:gridSpan w:val="2"/>
            <w:tcBorders>
              <w:tl2br w:val="nil"/>
              <w:tr2bl w:val="nil"/>
            </w:tcBorders>
            <w:vAlign w:val="center"/>
          </w:tcPr>
          <w:p w14:paraId="37EBAFC4" w14:textId="77777777" w:rsidR="009D12AF" w:rsidRDefault="00000000">
            <w:pPr>
              <w:widowControl/>
              <w:spacing w:after="160"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来源</w:t>
            </w:r>
          </w:p>
        </w:tc>
        <w:tc>
          <w:tcPr>
            <w:tcW w:w="674" w:type="pct"/>
            <w:tcBorders>
              <w:tl2br w:val="nil"/>
              <w:tr2bl w:val="nil"/>
            </w:tcBorders>
            <w:vAlign w:val="center"/>
          </w:tcPr>
          <w:p w14:paraId="67C2C42C" w14:textId="77777777" w:rsidR="009D12AF" w:rsidRDefault="00000000">
            <w:pPr>
              <w:widowControl/>
              <w:spacing w:after="160"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保护级别</w:t>
            </w:r>
          </w:p>
        </w:tc>
        <w:tc>
          <w:tcPr>
            <w:tcW w:w="415" w:type="pct"/>
            <w:tcBorders>
              <w:tl2br w:val="nil"/>
              <w:tr2bl w:val="nil"/>
            </w:tcBorders>
            <w:vAlign w:val="center"/>
          </w:tcPr>
          <w:p w14:paraId="35ECC140" w14:textId="77777777" w:rsidR="009D12AF" w:rsidRDefault="00000000">
            <w:pPr>
              <w:widowControl/>
              <w:spacing w:after="160"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濒危等级</w:t>
            </w:r>
          </w:p>
        </w:tc>
      </w:tr>
      <w:tr w:rsidR="009D12AF" w14:paraId="0D5CFAF0" w14:textId="77777777">
        <w:trPr>
          <w:trHeight w:val="221"/>
          <w:jc w:val="center"/>
        </w:trPr>
        <w:tc>
          <w:tcPr>
            <w:tcW w:w="5000" w:type="pct"/>
            <w:gridSpan w:val="8"/>
            <w:tcBorders>
              <w:tl2br w:val="nil"/>
              <w:tr2bl w:val="nil"/>
            </w:tcBorders>
            <w:vAlign w:val="center"/>
          </w:tcPr>
          <w:p w14:paraId="6327EA86" w14:textId="77777777" w:rsidR="009D12AF" w:rsidRDefault="00000000">
            <w:pPr>
              <w:numPr>
                <w:ilvl w:val="0"/>
                <w:numId w:val="21"/>
              </w:numPr>
              <w:spacing w:after="160" w:line="300" w:lineRule="auto"/>
              <w:ind w:firstLineChars="0" w:firstLine="0"/>
              <w:jc w:val="left"/>
              <w:rPr>
                <w:rFonts w:ascii="Times New Roman" w:eastAsia="宋体" w:hAnsi="Times New Roman" w:cs="Times New Roman"/>
                <w:sz w:val="21"/>
                <w:szCs w:val="21"/>
              </w:rPr>
            </w:pPr>
            <w:r>
              <w:rPr>
                <w:rFonts w:ascii="Times New Roman" w:eastAsia="宋体" w:hAnsi="Times New Roman" w:cs="Times New Roman"/>
                <w:b/>
                <w:bCs/>
                <w:sz w:val="21"/>
                <w:szCs w:val="21"/>
              </w:rPr>
              <w:t>鹈形目</w:t>
            </w:r>
            <w:r>
              <w:rPr>
                <w:rFonts w:ascii="Times New Roman" w:eastAsia="宋体" w:hAnsi="Times New Roman" w:cs="Times New Roman"/>
                <w:b/>
                <w:sz w:val="21"/>
                <w:szCs w:val="21"/>
              </w:rPr>
              <w:t>PELECANIFORMES</w:t>
            </w:r>
          </w:p>
        </w:tc>
      </w:tr>
      <w:tr w:rsidR="009D12AF" w14:paraId="5DD6151A" w14:textId="77777777">
        <w:trPr>
          <w:trHeight w:val="221"/>
          <w:jc w:val="center"/>
        </w:trPr>
        <w:tc>
          <w:tcPr>
            <w:tcW w:w="5000" w:type="pct"/>
            <w:gridSpan w:val="8"/>
            <w:tcBorders>
              <w:tl2br w:val="nil"/>
              <w:tr2bl w:val="nil"/>
            </w:tcBorders>
            <w:vAlign w:val="center"/>
          </w:tcPr>
          <w:p w14:paraId="43137E03"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鸬鹚科</w:t>
            </w:r>
            <w:r>
              <w:rPr>
                <w:rFonts w:ascii="Times New Roman" w:eastAsia="宋体" w:hAnsi="Times New Roman" w:cs="Times New Roman"/>
                <w:b/>
                <w:bCs/>
                <w:sz w:val="21"/>
                <w:szCs w:val="21"/>
              </w:rPr>
              <w:t xml:space="preserve"> </w:t>
            </w:r>
            <w:r>
              <w:rPr>
                <w:rFonts w:ascii="Times New Roman" w:eastAsia="宋体" w:hAnsi="Times New Roman" w:cs="Times New Roman"/>
                <w:b/>
                <w:bCs/>
                <w:i/>
                <w:iCs/>
                <w:sz w:val="21"/>
                <w:szCs w:val="21"/>
              </w:rPr>
              <w:t>Phalacrocoraci</w:t>
            </w:r>
          </w:p>
        </w:tc>
      </w:tr>
      <w:tr w:rsidR="009D12AF" w14:paraId="21AC8CFC" w14:textId="77777777">
        <w:trPr>
          <w:trHeight w:val="227"/>
          <w:jc w:val="center"/>
        </w:trPr>
        <w:tc>
          <w:tcPr>
            <w:tcW w:w="1611" w:type="pct"/>
            <w:tcBorders>
              <w:tl2br w:val="nil"/>
              <w:tr2bl w:val="nil"/>
            </w:tcBorders>
            <w:vAlign w:val="center"/>
          </w:tcPr>
          <w:p w14:paraId="78F46261"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69" w:name="_Hlk207118032"/>
            <w:r>
              <w:rPr>
                <w:rFonts w:ascii="Times New Roman" w:eastAsia="宋体" w:hAnsi="Times New Roman" w:cs="Times New Roman"/>
                <w:sz w:val="21"/>
                <w:szCs w:val="21"/>
              </w:rPr>
              <w:t>普通鸬鹚</w:t>
            </w:r>
            <w:bookmarkEnd w:id="269"/>
          </w:p>
          <w:p w14:paraId="526F1E92" w14:textId="77777777" w:rsidR="009D12AF" w:rsidRDefault="00000000">
            <w:pPr>
              <w:widowControl/>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i/>
                <w:iCs/>
                <w:sz w:val="21"/>
                <w:szCs w:val="21"/>
              </w:rPr>
              <w:t>Phalacrocorax carbo</w:t>
            </w:r>
          </w:p>
        </w:tc>
        <w:tc>
          <w:tcPr>
            <w:tcW w:w="593" w:type="pct"/>
            <w:tcBorders>
              <w:tl2br w:val="nil"/>
              <w:tr2bl w:val="nil"/>
            </w:tcBorders>
            <w:vAlign w:val="center"/>
          </w:tcPr>
          <w:p w14:paraId="0BF4A048"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1.2</w:t>
            </w:r>
          </w:p>
        </w:tc>
        <w:tc>
          <w:tcPr>
            <w:tcW w:w="595" w:type="pct"/>
            <w:tcBorders>
              <w:tl2br w:val="nil"/>
              <w:tr2bl w:val="nil"/>
            </w:tcBorders>
            <w:vAlign w:val="center"/>
          </w:tcPr>
          <w:p w14:paraId="42B5AA72"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4E58AB68"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color w:val="000000"/>
                <w:sz w:val="21"/>
                <w:szCs w:val="21"/>
                <w:lang w:bidi="ar"/>
              </w:rPr>
              <w:t>＋</w:t>
            </w:r>
          </w:p>
        </w:tc>
        <w:tc>
          <w:tcPr>
            <w:tcW w:w="683" w:type="pct"/>
            <w:gridSpan w:val="2"/>
            <w:tcBorders>
              <w:tl2br w:val="nil"/>
              <w:tr2bl w:val="nil"/>
            </w:tcBorders>
            <w:vAlign w:val="center"/>
          </w:tcPr>
          <w:p w14:paraId="3AB4A660"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3F5F7270"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lang w:bidi="ar"/>
              </w:rPr>
              <w:t>————</w:t>
            </w:r>
          </w:p>
        </w:tc>
        <w:tc>
          <w:tcPr>
            <w:tcW w:w="415" w:type="pct"/>
            <w:tcBorders>
              <w:tl2br w:val="nil"/>
              <w:tr2bl w:val="nil"/>
            </w:tcBorders>
            <w:vAlign w:val="center"/>
          </w:tcPr>
          <w:p w14:paraId="4BB60A0E"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44F39B8C" w14:textId="77777777">
        <w:trPr>
          <w:trHeight w:val="227"/>
          <w:jc w:val="center"/>
        </w:trPr>
        <w:tc>
          <w:tcPr>
            <w:tcW w:w="5000" w:type="pct"/>
            <w:gridSpan w:val="8"/>
            <w:tcBorders>
              <w:tl2br w:val="nil"/>
              <w:tr2bl w:val="nil"/>
            </w:tcBorders>
            <w:vAlign w:val="center"/>
          </w:tcPr>
          <w:p w14:paraId="73A9677A" w14:textId="77777777" w:rsidR="009D12AF" w:rsidRDefault="00000000">
            <w:pPr>
              <w:numPr>
                <w:ilvl w:val="0"/>
                <w:numId w:val="21"/>
              </w:numPr>
              <w:spacing w:after="160" w:line="300" w:lineRule="auto"/>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鹳形目</w:t>
            </w:r>
            <w:r>
              <w:rPr>
                <w:rFonts w:ascii="Times New Roman" w:eastAsia="宋体" w:hAnsi="Times New Roman" w:cs="Times New Roman"/>
                <w:b/>
                <w:bCs/>
                <w:sz w:val="21"/>
                <w:szCs w:val="21"/>
              </w:rPr>
              <w:t>CICONIIFORMES</w:t>
            </w:r>
          </w:p>
        </w:tc>
      </w:tr>
      <w:tr w:rsidR="009D12AF" w14:paraId="1BAEF1F2" w14:textId="77777777">
        <w:trPr>
          <w:trHeight w:val="227"/>
          <w:jc w:val="center"/>
        </w:trPr>
        <w:tc>
          <w:tcPr>
            <w:tcW w:w="5000" w:type="pct"/>
            <w:gridSpan w:val="8"/>
            <w:tcBorders>
              <w:tl2br w:val="nil"/>
              <w:tr2bl w:val="nil"/>
            </w:tcBorders>
            <w:vAlign w:val="center"/>
          </w:tcPr>
          <w:p w14:paraId="50A316CF"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鹭科</w:t>
            </w:r>
            <w:r>
              <w:rPr>
                <w:rFonts w:ascii="Times New Roman" w:eastAsia="宋体" w:hAnsi="Times New Roman" w:cs="Times New Roman"/>
                <w:b/>
                <w:bCs/>
                <w:i/>
                <w:iCs/>
                <w:sz w:val="21"/>
                <w:szCs w:val="21"/>
              </w:rPr>
              <w:t>Ardeidae</w:t>
            </w:r>
          </w:p>
        </w:tc>
      </w:tr>
      <w:tr w:rsidR="009D12AF" w14:paraId="639E4E1A" w14:textId="77777777">
        <w:trPr>
          <w:trHeight w:val="227"/>
          <w:jc w:val="center"/>
        </w:trPr>
        <w:tc>
          <w:tcPr>
            <w:tcW w:w="1611" w:type="pct"/>
            <w:tcBorders>
              <w:tl2br w:val="nil"/>
              <w:tr2bl w:val="nil"/>
            </w:tcBorders>
            <w:vAlign w:val="center"/>
          </w:tcPr>
          <w:p w14:paraId="2184963A"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r>
              <w:rPr>
                <w:rFonts w:ascii="Times New Roman" w:eastAsia="宋体" w:hAnsi="Times New Roman" w:cs="Times New Roman"/>
                <w:sz w:val="21"/>
                <w:szCs w:val="21"/>
              </w:rPr>
              <w:t>苍鹭</w:t>
            </w:r>
          </w:p>
          <w:p w14:paraId="7683E338" w14:textId="77777777" w:rsidR="009D12AF" w:rsidRDefault="00000000">
            <w:pPr>
              <w:widowControl/>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i/>
                <w:iCs/>
                <w:sz w:val="21"/>
                <w:szCs w:val="21"/>
              </w:rPr>
              <w:t>Ardea cinerea</w:t>
            </w:r>
          </w:p>
        </w:tc>
        <w:tc>
          <w:tcPr>
            <w:tcW w:w="593" w:type="pct"/>
            <w:tcBorders>
              <w:tl2br w:val="nil"/>
              <w:tr2bl w:val="nil"/>
            </w:tcBorders>
            <w:vAlign w:val="center"/>
          </w:tcPr>
          <w:p w14:paraId="3CB0C55E"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1.2.4</w:t>
            </w:r>
          </w:p>
        </w:tc>
        <w:tc>
          <w:tcPr>
            <w:tcW w:w="595" w:type="pct"/>
            <w:tcBorders>
              <w:tl2br w:val="nil"/>
              <w:tr2bl w:val="nil"/>
            </w:tcBorders>
            <w:vAlign w:val="center"/>
          </w:tcPr>
          <w:p w14:paraId="649081E2"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16D3BA08"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w:t>
            </w:r>
          </w:p>
        </w:tc>
        <w:tc>
          <w:tcPr>
            <w:tcW w:w="683" w:type="pct"/>
            <w:gridSpan w:val="2"/>
            <w:tcBorders>
              <w:tl2br w:val="nil"/>
              <w:tr2bl w:val="nil"/>
            </w:tcBorders>
            <w:vAlign w:val="center"/>
          </w:tcPr>
          <w:p w14:paraId="53949335"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05E02AFB" w14:textId="77777777" w:rsidR="009D12AF" w:rsidRDefault="00000000">
            <w:pPr>
              <w:widowControl/>
              <w:spacing w:after="160" w:line="0" w:lineRule="atLeast"/>
              <w:ind w:firstLineChars="0" w:firstLine="0"/>
              <w:jc w:val="center"/>
              <w:rPr>
                <w:rFonts w:ascii="Times New Roman" w:eastAsia="宋体" w:hAnsi="Times New Roman" w:cs="Times New Roman"/>
                <w:kern w:val="0"/>
                <w:sz w:val="21"/>
                <w:szCs w:val="21"/>
                <w:lang w:bidi="ar"/>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03DD80AE"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39D4F03D" w14:textId="77777777">
        <w:trPr>
          <w:trHeight w:val="227"/>
          <w:jc w:val="center"/>
        </w:trPr>
        <w:tc>
          <w:tcPr>
            <w:tcW w:w="5000" w:type="pct"/>
            <w:gridSpan w:val="8"/>
            <w:tcBorders>
              <w:tl2br w:val="nil"/>
              <w:tr2bl w:val="nil"/>
            </w:tcBorders>
            <w:vAlign w:val="center"/>
          </w:tcPr>
          <w:p w14:paraId="4B2732CE"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鹳科</w:t>
            </w:r>
            <w:r>
              <w:rPr>
                <w:rFonts w:ascii="Times New Roman" w:eastAsia="宋体" w:hAnsi="Times New Roman" w:cs="Times New Roman"/>
                <w:b/>
                <w:bCs/>
                <w:i/>
                <w:sz w:val="21"/>
                <w:szCs w:val="21"/>
              </w:rPr>
              <w:t>Ciconiidae</w:t>
            </w:r>
          </w:p>
        </w:tc>
      </w:tr>
      <w:tr w:rsidR="009D12AF" w14:paraId="4CCE00D9" w14:textId="77777777">
        <w:trPr>
          <w:trHeight w:val="227"/>
          <w:jc w:val="center"/>
        </w:trPr>
        <w:tc>
          <w:tcPr>
            <w:tcW w:w="1611" w:type="pct"/>
            <w:tcBorders>
              <w:tl2br w:val="nil"/>
              <w:tr2bl w:val="nil"/>
            </w:tcBorders>
            <w:vAlign w:val="center"/>
          </w:tcPr>
          <w:p w14:paraId="3911211D"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70" w:name="_Hlk207722722"/>
            <w:r>
              <w:rPr>
                <w:rFonts w:ascii="Times New Roman" w:eastAsia="宋体" w:hAnsi="Times New Roman" w:cs="Times New Roman"/>
                <w:sz w:val="21"/>
                <w:szCs w:val="21"/>
              </w:rPr>
              <w:t>东方白鹳</w:t>
            </w:r>
            <w:bookmarkEnd w:id="270"/>
          </w:p>
          <w:p w14:paraId="61301DEA" w14:textId="77777777" w:rsidR="009D12AF" w:rsidRDefault="00000000">
            <w:pPr>
              <w:widowControl/>
              <w:spacing w:after="160" w:line="0" w:lineRule="atLeast"/>
              <w:ind w:firstLineChars="0" w:firstLine="0"/>
              <w:jc w:val="left"/>
              <w:rPr>
                <w:rFonts w:ascii="Times New Roman" w:eastAsia="宋体" w:hAnsi="Times New Roman" w:cs="Times New Roman"/>
                <w:b/>
                <w:bCs/>
                <w:i/>
                <w:sz w:val="21"/>
                <w:szCs w:val="21"/>
              </w:rPr>
            </w:pPr>
            <w:bookmarkStart w:id="271" w:name="_Hlk207722728"/>
            <w:r>
              <w:rPr>
                <w:rFonts w:ascii="Times New Roman" w:eastAsia="宋体" w:hAnsi="Times New Roman" w:cs="Times New Roman"/>
                <w:i/>
                <w:iCs/>
                <w:sz w:val="21"/>
                <w:szCs w:val="21"/>
              </w:rPr>
              <w:t>Ciconia boyciana</w:t>
            </w:r>
            <w:bookmarkEnd w:id="271"/>
          </w:p>
        </w:tc>
        <w:tc>
          <w:tcPr>
            <w:tcW w:w="593" w:type="pct"/>
            <w:tcBorders>
              <w:tl2br w:val="nil"/>
              <w:tr2bl w:val="nil"/>
            </w:tcBorders>
            <w:vAlign w:val="center"/>
          </w:tcPr>
          <w:p w14:paraId="0DF885AF"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1</w:t>
            </w:r>
            <w:r>
              <w:rPr>
                <w:rFonts w:ascii="Times New Roman" w:eastAsia="宋体" w:hAnsi="Times New Roman" w:cs="Times New Roman"/>
                <w:sz w:val="21"/>
                <w:szCs w:val="21"/>
              </w:rPr>
              <w:t>.2</w:t>
            </w:r>
          </w:p>
        </w:tc>
        <w:tc>
          <w:tcPr>
            <w:tcW w:w="595" w:type="pct"/>
            <w:tcBorders>
              <w:tl2br w:val="nil"/>
              <w:tr2bl w:val="nil"/>
            </w:tcBorders>
            <w:vAlign w:val="center"/>
          </w:tcPr>
          <w:p w14:paraId="122D3EBA"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6CCC293A"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color w:val="000000"/>
                <w:sz w:val="21"/>
                <w:szCs w:val="21"/>
                <w:lang w:bidi="ar"/>
              </w:rPr>
              <w:t>+</w:t>
            </w:r>
          </w:p>
        </w:tc>
        <w:tc>
          <w:tcPr>
            <w:tcW w:w="679" w:type="pct"/>
            <w:tcBorders>
              <w:tl2br w:val="nil"/>
              <w:tr2bl w:val="nil"/>
            </w:tcBorders>
            <w:vAlign w:val="center"/>
          </w:tcPr>
          <w:p w14:paraId="6F569718"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9" w:type="pct"/>
            <w:gridSpan w:val="2"/>
            <w:tcBorders>
              <w:tl2br w:val="nil"/>
              <w:tr2bl w:val="nil"/>
            </w:tcBorders>
            <w:vAlign w:val="center"/>
          </w:tcPr>
          <w:p w14:paraId="67EF6BD4"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国家一级</w:t>
            </w:r>
          </w:p>
        </w:tc>
        <w:tc>
          <w:tcPr>
            <w:tcW w:w="415" w:type="pct"/>
            <w:tcBorders>
              <w:tl2br w:val="nil"/>
              <w:tr2bl w:val="nil"/>
            </w:tcBorders>
            <w:vAlign w:val="center"/>
          </w:tcPr>
          <w:p w14:paraId="67088472"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濒危</w:t>
            </w:r>
          </w:p>
        </w:tc>
      </w:tr>
      <w:tr w:rsidR="009D12AF" w14:paraId="1D675AB9" w14:textId="77777777">
        <w:trPr>
          <w:trHeight w:val="221"/>
          <w:jc w:val="center"/>
        </w:trPr>
        <w:tc>
          <w:tcPr>
            <w:tcW w:w="5000" w:type="pct"/>
            <w:gridSpan w:val="8"/>
            <w:tcBorders>
              <w:tl2br w:val="nil"/>
              <w:tr2bl w:val="nil"/>
            </w:tcBorders>
            <w:vAlign w:val="center"/>
          </w:tcPr>
          <w:p w14:paraId="16037334" w14:textId="77777777" w:rsidR="009D12AF" w:rsidRDefault="00000000">
            <w:pPr>
              <w:numPr>
                <w:ilvl w:val="0"/>
                <w:numId w:val="21"/>
              </w:numPr>
              <w:spacing w:after="160" w:line="300" w:lineRule="auto"/>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隼形目</w:t>
            </w:r>
            <w:r>
              <w:rPr>
                <w:rFonts w:ascii="Times New Roman" w:eastAsia="宋体" w:hAnsi="Times New Roman" w:cs="Times New Roman"/>
                <w:b/>
                <w:bCs/>
                <w:sz w:val="21"/>
                <w:szCs w:val="21"/>
              </w:rPr>
              <w:t xml:space="preserve"> FALCONIFORMES</w:t>
            </w:r>
          </w:p>
        </w:tc>
      </w:tr>
      <w:tr w:rsidR="009D12AF" w14:paraId="05A64C85" w14:textId="77777777">
        <w:trPr>
          <w:trHeight w:val="221"/>
          <w:jc w:val="center"/>
        </w:trPr>
        <w:tc>
          <w:tcPr>
            <w:tcW w:w="5000" w:type="pct"/>
            <w:gridSpan w:val="8"/>
            <w:tcBorders>
              <w:tl2br w:val="nil"/>
              <w:tr2bl w:val="nil"/>
            </w:tcBorders>
            <w:vAlign w:val="center"/>
          </w:tcPr>
          <w:p w14:paraId="211033F7"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隼科</w:t>
            </w:r>
            <w:r>
              <w:rPr>
                <w:rFonts w:ascii="Times New Roman" w:eastAsia="宋体" w:hAnsi="Times New Roman" w:cs="Times New Roman"/>
                <w:b/>
                <w:bCs/>
                <w:sz w:val="21"/>
                <w:szCs w:val="21"/>
              </w:rPr>
              <w:t xml:space="preserve"> </w:t>
            </w:r>
            <w:r>
              <w:rPr>
                <w:rFonts w:ascii="Times New Roman" w:eastAsia="宋体" w:hAnsi="Times New Roman" w:cs="Times New Roman"/>
                <w:b/>
                <w:bCs/>
                <w:i/>
                <w:iCs/>
                <w:sz w:val="21"/>
                <w:szCs w:val="21"/>
              </w:rPr>
              <w:t>Falconida</w:t>
            </w:r>
          </w:p>
        </w:tc>
      </w:tr>
      <w:tr w:rsidR="009D12AF" w14:paraId="78D17573" w14:textId="77777777">
        <w:trPr>
          <w:trHeight w:val="221"/>
          <w:jc w:val="center"/>
        </w:trPr>
        <w:tc>
          <w:tcPr>
            <w:tcW w:w="1611" w:type="pct"/>
            <w:tcBorders>
              <w:tl2br w:val="nil"/>
              <w:tr2bl w:val="nil"/>
            </w:tcBorders>
            <w:vAlign w:val="center"/>
          </w:tcPr>
          <w:p w14:paraId="57D25039"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72" w:name="_Hlk207722760"/>
            <w:r>
              <w:rPr>
                <w:rFonts w:ascii="Times New Roman" w:eastAsia="宋体" w:hAnsi="Times New Roman" w:cs="Times New Roman"/>
                <w:sz w:val="21"/>
                <w:szCs w:val="21"/>
              </w:rPr>
              <w:t>红隼</w:t>
            </w:r>
            <w:bookmarkEnd w:id="272"/>
          </w:p>
          <w:p w14:paraId="3A5C869B" w14:textId="77777777" w:rsidR="009D12AF" w:rsidRDefault="00000000">
            <w:pPr>
              <w:widowControl/>
              <w:spacing w:after="160" w:line="0" w:lineRule="atLeast"/>
              <w:ind w:firstLineChars="0" w:firstLine="0"/>
              <w:jc w:val="left"/>
              <w:rPr>
                <w:rFonts w:ascii="Times New Roman" w:eastAsia="宋体" w:hAnsi="Times New Roman" w:cs="Times New Roman"/>
                <w:i/>
                <w:iCs/>
                <w:sz w:val="21"/>
                <w:szCs w:val="21"/>
              </w:rPr>
            </w:pPr>
            <w:bookmarkStart w:id="273" w:name="_Hlk207722767"/>
            <w:r>
              <w:rPr>
                <w:rFonts w:ascii="Times New Roman" w:eastAsia="宋体" w:hAnsi="Times New Roman" w:cs="Times New Roman"/>
                <w:i/>
                <w:iCs/>
                <w:sz w:val="21"/>
                <w:szCs w:val="21"/>
              </w:rPr>
              <w:t>Falco tinnunculus</w:t>
            </w:r>
            <w:bookmarkEnd w:id="273"/>
          </w:p>
        </w:tc>
        <w:tc>
          <w:tcPr>
            <w:tcW w:w="593" w:type="pct"/>
            <w:tcBorders>
              <w:tl2br w:val="nil"/>
              <w:tr2bl w:val="nil"/>
            </w:tcBorders>
            <w:vAlign w:val="center"/>
          </w:tcPr>
          <w:p w14:paraId="0AA4B15E"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3.4.5</w:t>
            </w:r>
          </w:p>
        </w:tc>
        <w:tc>
          <w:tcPr>
            <w:tcW w:w="595" w:type="pct"/>
            <w:tcBorders>
              <w:tl2br w:val="nil"/>
              <w:tr2bl w:val="nil"/>
            </w:tcBorders>
            <w:vAlign w:val="center"/>
          </w:tcPr>
          <w:p w14:paraId="6B351A71"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6F446333"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2D9E8900"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35FA8703"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国家二级</w:t>
            </w:r>
          </w:p>
        </w:tc>
        <w:tc>
          <w:tcPr>
            <w:tcW w:w="415" w:type="pct"/>
            <w:tcBorders>
              <w:tl2br w:val="nil"/>
              <w:tr2bl w:val="nil"/>
            </w:tcBorders>
            <w:vAlign w:val="center"/>
          </w:tcPr>
          <w:p w14:paraId="671A58E7"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3A6CF609" w14:textId="77777777">
        <w:trPr>
          <w:trHeight w:val="221"/>
          <w:jc w:val="center"/>
        </w:trPr>
        <w:tc>
          <w:tcPr>
            <w:tcW w:w="5000" w:type="pct"/>
            <w:gridSpan w:val="8"/>
            <w:tcBorders>
              <w:tl2br w:val="nil"/>
              <w:tr2bl w:val="nil"/>
            </w:tcBorders>
            <w:vAlign w:val="center"/>
          </w:tcPr>
          <w:p w14:paraId="1693AD53" w14:textId="77777777" w:rsidR="009D12AF" w:rsidRDefault="00000000">
            <w:pPr>
              <w:numPr>
                <w:ilvl w:val="0"/>
                <w:numId w:val="21"/>
              </w:numPr>
              <w:spacing w:after="160" w:line="300" w:lineRule="auto"/>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鸡形目</w:t>
            </w:r>
            <w:r>
              <w:rPr>
                <w:rFonts w:ascii="Times New Roman" w:eastAsia="宋体" w:hAnsi="Times New Roman" w:cs="Times New Roman"/>
                <w:b/>
                <w:bCs/>
                <w:sz w:val="21"/>
                <w:szCs w:val="21"/>
              </w:rPr>
              <w:t xml:space="preserve"> GALLIFORMES</w:t>
            </w:r>
          </w:p>
        </w:tc>
      </w:tr>
      <w:tr w:rsidR="009D12AF" w14:paraId="64D45DE7" w14:textId="77777777">
        <w:trPr>
          <w:trHeight w:val="221"/>
          <w:jc w:val="center"/>
        </w:trPr>
        <w:tc>
          <w:tcPr>
            <w:tcW w:w="5000" w:type="pct"/>
            <w:gridSpan w:val="8"/>
            <w:tcBorders>
              <w:tl2br w:val="nil"/>
              <w:tr2bl w:val="nil"/>
            </w:tcBorders>
            <w:vAlign w:val="center"/>
          </w:tcPr>
          <w:p w14:paraId="0127898C"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雉科</w:t>
            </w:r>
            <w:r>
              <w:rPr>
                <w:rFonts w:ascii="Times New Roman" w:eastAsia="宋体" w:hAnsi="Times New Roman" w:cs="Times New Roman"/>
                <w:b/>
                <w:bCs/>
                <w:sz w:val="21"/>
                <w:szCs w:val="21"/>
              </w:rPr>
              <w:t xml:space="preserve"> </w:t>
            </w:r>
            <w:r>
              <w:rPr>
                <w:rFonts w:ascii="Times New Roman" w:eastAsia="宋体" w:hAnsi="Times New Roman" w:cs="Times New Roman"/>
                <w:b/>
                <w:bCs/>
                <w:i/>
                <w:iCs/>
                <w:sz w:val="21"/>
                <w:szCs w:val="21"/>
              </w:rPr>
              <w:t>Phasianida</w:t>
            </w:r>
          </w:p>
        </w:tc>
      </w:tr>
      <w:tr w:rsidR="009D12AF" w14:paraId="737BFAF6" w14:textId="77777777">
        <w:trPr>
          <w:trHeight w:val="221"/>
          <w:jc w:val="center"/>
        </w:trPr>
        <w:tc>
          <w:tcPr>
            <w:tcW w:w="1611" w:type="pct"/>
            <w:tcBorders>
              <w:tl2br w:val="nil"/>
              <w:tr2bl w:val="nil"/>
            </w:tcBorders>
            <w:vAlign w:val="center"/>
          </w:tcPr>
          <w:p w14:paraId="422360E7"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r>
              <w:rPr>
                <w:rFonts w:ascii="Times New Roman" w:eastAsia="宋体" w:hAnsi="Times New Roman" w:cs="Times New Roman"/>
                <w:sz w:val="21"/>
                <w:szCs w:val="21"/>
              </w:rPr>
              <w:t>鹌鹑</w:t>
            </w:r>
            <w:r>
              <w:rPr>
                <w:rFonts w:ascii="Times New Roman" w:eastAsia="宋体" w:hAnsi="Times New Roman" w:cs="Times New Roman"/>
                <w:sz w:val="21"/>
                <w:szCs w:val="21"/>
              </w:rPr>
              <w:t xml:space="preserve"> </w:t>
            </w:r>
            <w:r>
              <w:rPr>
                <w:rFonts w:ascii="Times New Roman" w:eastAsia="宋体" w:hAnsi="Times New Roman" w:cs="Times New Roman"/>
                <w:sz w:val="21"/>
                <w:szCs w:val="21"/>
              </w:rPr>
              <w:br/>
            </w:r>
            <w:r>
              <w:rPr>
                <w:rFonts w:ascii="Times New Roman" w:eastAsia="宋体" w:hAnsi="Times New Roman" w:cs="Times New Roman"/>
                <w:i/>
                <w:iCs/>
                <w:sz w:val="21"/>
                <w:szCs w:val="21"/>
              </w:rPr>
              <w:t>Coturnix japonica</w:t>
            </w:r>
          </w:p>
        </w:tc>
        <w:tc>
          <w:tcPr>
            <w:tcW w:w="593" w:type="pct"/>
            <w:tcBorders>
              <w:tl2br w:val="nil"/>
              <w:tr2bl w:val="nil"/>
            </w:tcBorders>
            <w:vAlign w:val="center"/>
          </w:tcPr>
          <w:p w14:paraId="62495821"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3.5</w:t>
            </w:r>
          </w:p>
        </w:tc>
        <w:tc>
          <w:tcPr>
            <w:tcW w:w="595" w:type="pct"/>
            <w:tcBorders>
              <w:tl2br w:val="nil"/>
              <w:tr2bl w:val="nil"/>
            </w:tcBorders>
            <w:vAlign w:val="center"/>
          </w:tcPr>
          <w:p w14:paraId="32C6DE81"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1252BFA7"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0B8F1368"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0AE836EE"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kern w:val="0"/>
                <w:sz w:val="21"/>
                <w:szCs w:val="21"/>
                <w:lang w:bidi="ar"/>
              </w:rPr>
              <w:t>————</w:t>
            </w:r>
          </w:p>
        </w:tc>
        <w:tc>
          <w:tcPr>
            <w:tcW w:w="415" w:type="pct"/>
            <w:tcBorders>
              <w:tl2br w:val="nil"/>
              <w:tr2bl w:val="nil"/>
            </w:tcBorders>
            <w:vAlign w:val="center"/>
          </w:tcPr>
          <w:p w14:paraId="098FFA24"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无危</w:t>
            </w:r>
          </w:p>
        </w:tc>
      </w:tr>
      <w:tr w:rsidR="009D12AF" w14:paraId="34AD6513" w14:textId="77777777">
        <w:trPr>
          <w:trHeight w:val="221"/>
          <w:jc w:val="center"/>
        </w:trPr>
        <w:tc>
          <w:tcPr>
            <w:tcW w:w="1611" w:type="pct"/>
            <w:tcBorders>
              <w:tl2br w:val="nil"/>
              <w:tr2bl w:val="nil"/>
            </w:tcBorders>
            <w:vAlign w:val="center"/>
          </w:tcPr>
          <w:p w14:paraId="76579EEF"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74" w:name="_Hlk207109299"/>
            <w:r>
              <w:rPr>
                <w:rFonts w:ascii="Times New Roman" w:eastAsia="宋体" w:hAnsi="Times New Roman" w:cs="Times New Roman"/>
                <w:sz w:val="21"/>
                <w:szCs w:val="21"/>
              </w:rPr>
              <w:t>环颈雉</w:t>
            </w:r>
            <w:bookmarkEnd w:id="274"/>
          </w:p>
          <w:p w14:paraId="1A792280" w14:textId="77777777" w:rsidR="009D12AF" w:rsidRDefault="00000000">
            <w:pPr>
              <w:widowControl/>
              <w:spacing w:after="160" w:line="0" w:lineRule="atLeast"/>
              <w:ind w:firstLineChars="0" w:firstLine="0"/>
              <w:jc w:val="left"/>
              <w:rPr>
                <w:rFonts w:ascii="Times New Roman" w:eastAsia="宋体" w:hAnsi="Times New Roman" w:cs="Times New Roman"/>
                <w:i/>
                <w:iCs/>
                <w:sz w:val="21"/>
                <w:szCs w:val="21"/>
              </w:rPr>
            </w:pPr>
            <w:r>
              <w:rPr>
                <w:rFonts w:ascii="Times New Roman" w:eastAsia="宋体" w:hAnsi="Times New Roman" w:cs="Times New Roman"/>
                <w:i/>
                <w:iCs/>
                <w:sz w:val="21"/>
                <w:szCs w:val="21"/>
              </w:rPr>
              <w:t>Phasianus colchicus</w:t>
            </w:r>
          </w:p>
        </w:tc>
        <w:tc>
          <w:tcPr>
            <w:tcW w:w="593" w:type="pct"/>
            <w:tcBorders>
              <w:tl2br w:val="nil"/>
              <w:tr2bl w:val="nil"/>
            </w:tcBorders>
            <w:vAlign w:val="center"/>
          </w:tcPr>
          <w:p w14:paraId="342D3CBA"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2.3.5</w:t>
            </w:r>
          </w:p>
        </w:tc>
        <w:tc>
          <w:tcPr>
            <w:tcW w:w="595" w:type="pct"/>
            <w:tcBorders>
              <w:tl2br w:val="nil"/>
              <w:tr2bl w:val="nil"/>
            </w:tcBorders>
            <w:vAlign w:val="center"/>
          </w:tcPr>
          <w:p w14:paraId="467F7633"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22E65912"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79F3D982"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目击</w:t>
            </w:r>
          </w:p>
        </w:tc>
        <w:tc>
          <w:tcPr>
            <w:tcW w:w="674" w:type="pct"/>
            <w:tcBorders>
              <w:tl2br w:val="nil"/>
              <w:tr2bl w:val="nil"/>
            </w:tcBorders>
            <w:vAlign w:val="center"/>
          </w:tcPr>
          <w:p w14:paraId="1AEC457E"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lang w:bidi="ar"/>
              </w:rPr>
              <w:t>————</w:t>
            </w:r>
          </w:p>
        </w:tc>
        <w:tc>
          <w:tcPr>
            <w:tcW w:w="415" w:type="pct"/>
            <w:tcBorders>
              <w:tl2br w:val="nil"/>
              <w:tr2bl w:val="nil"/>
            </w:tcBorders>
            <w:vAlign w:val="center"/>
          </w:tcPr>
          <w:p w14:paraId="7532B096"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7FEFB6D4" w14:textId="77777777">
        <w:trPr>
          <w:trHeight w:val="221"/>
          <w:jc w:val="center"/>
        </w:trPr>
        <w:tc>
          <w:tcPr>
            <w:tcW w:w="5000" w:type="pct"/>
            <w:gridSpan w:val="8"/>
            <w:tcBorders>
              <w:tl2br w:val="nil"/>
              <w:tr2bl w:val="nil"/>
            </w:tcBorders>
            <w:vAlign w:val="center"/>
          </w:tcPr>
          <w:p w14:paraId="7B0B6A08" w14:textId="77777777" w:rsidR="009D12AF" w:rsidRDefault="00000000">
            <w:pPr>
              <w:numPr>
                <w:ilvl w:val="0"/>
                <w:numId w:val="21"/>
              </w:numPr>
              <w:spacing w:after="160" w:line="300" w:lineRule="auto"/>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鹤形目</w:t>
            </w:r>
            <w:r>
              <w:rPr>
                <w:rFonts w:ascii="Times New Roman" w:eastAsia="宋体" w:hAnsi="Times New Roman" w:cs="Times New Roman"/>
                <w:b/>
                <w:bCs/>
                <w:sz w:val="21"/>
                <w:szCs w:val="21"/>
              </w:rPr>
              <w:t xml:space="preserve"> GRUIFORME</w:t>
            </w:r>
          </w:p>
        </w:tc>
      </w:tr>
      <w:tr w:rsidR="009D12AF" w14:paraId="55FCAF29" w14:textId="77777777">
        <w:trPr>
          <w:trHeight w:val="221"/>
          <w:jc w:val="center"/>
        </w:trPr>
        <w:tc>
          <w:tcPr>
            <w:tcW w:w="5000" w:type="pct"/>
            <w:gridSpan w:val="8"/>
            <w:tcBorders>
              <w:tl2br w:val="nil"/>
              <w:tr2bl w:val="nil"/>
            </w:tcBorders>
            <w:vAlign w:val="center"/>
          </w:tcPr>
          <w:p w14:paraId="2A45E205"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秧鸡科</w:t>
            </w:r>
            <w:r>
              <w:rPr>
                <w:rFonts w:ascii="Times New Roman" w:eastAsia="宋体" w:hAnsi="Times New Roman" w:cs="Times New Roman"/>
                <w:b/>
                <w:bCs/>
                <w:sz w:val="21"/>
                <w:szCs w:val="21"/>
              </w:rPr>
              <w:t xml:space="preserve"> </w:t>
            </w:r>
            <w:r>
              <w:rPr>
                <w:rFonts w:ascii="Times New Roman" w:eastAsia="宋体" w:hAnsi="Times New Roman" w:cs="Times New Roman"/>
                <w:b/>
                <w:bCs/>
                <w:i/>
                <w:iCs/>
                <w:sz w:val="21"/>
                <w:szCs w:val="21"/>
              </w:rPr>
              <w:t>Rallidae</w:t>
            </w:r>
          </w:p>
        </w:tc>
      </w:tr>
      <w:tr w:rsidR="009D12AF" w14:paraId="2DBC78FE" w14:textId="77777777">
        <w:trPr>
          <w:trHeight w:val="221"/>
          <w:jc w:val="center"/>
        </w:trPr>
        <w:tc>
          <w:tcPr>
            <w:tcW w:w="1611" w:type="pct"/>
            <w:tcBorders>
              <w:tl2br w:val="nil"/>
              <w:tr2bl w:val="nil"/>
            </w:tcBorders>
            <w:vAlign w:val="center"/>
          </w:tcPr>
          <w:p w14:paraId="59D88D76"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75" w:name="_Hlk207110869"/>
            <w:r>
              <w:rPr>
                <w:rFonts w:ascii="Times New Roman" w:eastAsia="宋体" w:hAnsi="Times New Roman" w:cs="Times New Roman"/>
                <w:sz w:val="21"/>
                <w:szCs w:val="21"/>
              </w:rPr>
              <w:lastRenderedPageBreak/>
              <w:t>普通秧鸡</w:t>
            </w:r>
            <w:bookmarkEnd w:id="275"/>
            <w:r>
              <w:rPr>
                <w:rFonts w:ascii="Times New Roman" w:eastAsia="宋体" w:hAnsi="Times New Roman" w:cs="Times New Roman"/>
                <w:sz w:val="21"/>
                <w:szCs w:val="21"/>
              </w:rPr>
              <w:t xml:space="preserve"> </w:t>
            </w:r>
            <w:r>
              <w:rPr>
                <w:rFonts w:ascii="Times New Roman" w:eastAsia="宋体" w:hAnsi="Times New Roman" w:cs="Times New Roman"/>
                <w:sz w:val="21"/>
                <w:szCs w:val="21"/>
              </w:rPr>
              <w:br/>
            </w:r>
            <w:r>
              <w:rPr>
                <w:rFonts w:ascii="Times New Roman" w:eastAsia="宋体" w:hAnsi="Times New Roman" w:cs="Times New Roman"/>
                <w:i/>
                <w:iCs/>
                <w:sz w:val="21"/>
                <w:szCs w:val="21"/>
              </w:rPr>
              <w:t>Rallus indicus</w:t>
            </w:r>
          </w:p>
        </w:tc>
        <w:tc>
          <w:tcPr>
            <w:tcW w:w="593" w:type="pct"/>
            <w:tcBorders>
              <w:tl2br w:val="nil"/>
              <w:tr2bl w:val="nil"/>
            </w:tcBorders>
            <w:vAlign w:val="center"/>
          </w:tcPr>
          <w:p w14:paraId="63B7D257"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2</w:t>
            </w:r>
          </w:p>
        </w:tc>
        <w:tc>
          <w:tcPr>
            <w:tcW w:w="595" w:type="pct"/>
            <w:tcBorders>
              <w:tl2br w:val="nil"/>
              <w:tr2bl w:val="nil"/>
            </w:tcBorders>
            <w:vAlign w:val="center"/>
          </w:tcPr>
          <w:p w14:paraId="1E0D31B8"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7B3918B6"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5875F926"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40E40A89"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lang w:bidi="ar"/>
              </w:rPr>
              <w:t>————</w:t>
            </w:r>
          </w:p>
        </w:tc>
        <w:tc>
          <w:tcPr>
            <w:tcW w:w="415" w:type="pct"/>
            <w:tcBorders>
              <w:tl2br w:val="nil"/>
              <w:tr2bl w:val="nil"/>
            </w:tcBorders>
            <w:vAlign w:val="center"/>
          </w:tcPr>
          <w:p w14:paraId="0774FA8C"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20CA451D" w14:textId="77777777">
        <w:trPr>
          <w:trHeight w:val="221"/>
          <w:jc w:val="center"/>
        </w:trPr>
        <w:tc>
          <w:tcPr>
            <w:tcW w:w="5000" w:type="pct"/>
            <w:gridSpan w:val="8"/>
            <w:tcBorders>
              <w:tl2br w:val="nil"/>
              <w:tr2bl w:val="nil"/>
            </w:tcBorders>
            <w:vAlign w:val="center"/>
          </w:tcPr>
          <w:p w14:paraId="327A8197" w14:textId="77777777" w:rsidR="009D12AF" w:rsidRDefault="00000000">
            <w:pPr>
              <w:numPr>
                <w:ilvl w:val="0"/>
                <w:numId w:val="21"/>
              </w:numPr>
              <w:spacing w:after="160" w:line="300" w:lineRule="auto"/>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鸻形目</w:t>
            </w:r>
            <w:r>
              <w:rPr>
                <w:rFonts w:ascii="Times New Roman" w:eastAsia="宋体" w:hAnsi="Times New Roman" w:cs="Times New Roman"/>
                <w:b/>
                <w:bCs/>
                <w:sz w:val="21"/>
                <w:szCs w:val="21"/>
              </w:rPr>
              <w:t xml:space="preserve"> CHARADRIIFORMES</w:t>
            </w:r>
          </w:p>
        </w:tc>
      </w:tr>
      <w:tr w:rsidR="009D12AF" w14:paraId="0B093CC0" w14:textId="77777777">
        <w:trPr>
          <w:trHeight w:val="221"/>
          <w:jc w:val="center"/>
        </w:trPr>
        <w:tc>
          <w:tcPr>
            <w:tcW w:w="5000" w:type="pct"/>
            <w:gridSpan w:val="8"/>
            <w:tcBorders>
              <w:tl2br w:val="nil"/>
              <w:tr2bl w:val="nil"/>
            </w:tcBorders>
            <w:vAlign w:val="center"/>
          </w:tcPr>
          <w:p w14:paraId="0ACA396A"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鸻科</w:t>
            </w:r>
            <w:r>
              <w:rPr>
                <w:rFonts w:ascii="Times New Roman" w:eastAsia="宋体" w:hAnsi="Times New Roman" w:cs="Times New Roman"/>
                <w:b/>
                <w:bCs/>
                <w:sz w:val="21"/>
                <w:szCs w:val="21"/>
              </w:rPr>
              <w:t xml:space="preserve"> </w:t>
            </w:r>
            <w:r>
              <w:rPr>
                <w:rFonts w:ascii="Times New Roman" w:eastAsia="宋体" w:hAnsi="Times New Roman" w:cs="Times New Roman"/>
                <w:b/>
                <w:bCs/>
                <w:i/>
                <w:iCs/>
                <w:sz w:val="21"/>
                <w:szCs w:val="21"/>
              </w:rPr>
              <w:t>Charadriidae</w:t>
            </w:r>
          </w:p>
        </w:tc>
      </w:tr>
      <w:tr w:rsidR="009D12AF" w14:paraId="16828E7E" w14:textId="77777777">
        <w:trPr>
          <w:trHeight w:val="221"/>
          <w:jc w:val="center"/>
        </w:trPr>
        <w:tc>
          <w:tcPr>
            <w:tcW w:w="1611" w:type="pct"/>
            <w:tcBorders>
              <w:tl2br w:val="nil"/>
              <w:tr2bl w:val="nil"/>
            </w:tcBorders>
            <w:vAlign w:val="center"/>
          </w:tcPr>
          <w:p w14:paraId="7C6C4FCA"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76" w:name="_Hlk207110922"/>
            <w:r>
              <w:rPr>
                <w:rFonts w:ascii="Times New Roman" w:eastAsia="宋体" w:hAnsi="Times New Roman" w:cs="Times New Roman"/>
                <w:sz w:val="21"/>
                <w:szCs w:val="21"/>
              </w:rPr>
              <w:t>凤头麦鸡</w:t>
            </w:r>
            <w:bookmarkEnd w:id="276"/>
          </w:p>
          <w:p w14:paraId="623DE181" w14:textId="77777777" w:rsidR="009D12AF" w:rsidRDefault="00000000">
            <w:pPr>
              <w:widowControl/>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i/>
                <w:iCs/>
                <w:sz w:val="21"/>
                <w:szCs w:val="21"/>
              </w:rPr>
              <w:t>Vanellus</w:t>
            </w:r>
            <w:r>
              <w:rPr>
                <w:rFonts w:ascii="Times New Roman" w:eastAsia="宋体" w:hAnsi="Times New Roman" w:cs="Times New Roman"/>
                <w:sz w:val="21"/>
                <w:szCs w:val="21"/>
              </w:rPr>
              <w:t xml:space="preserve"> </w:t>
            </w:r>
            <w:r>
              <w:rPr>
                <w:rFonts w:ascii="Times New Roman" w:eastAsia="宋体" w:hAnsi="Times New Roman" w:cs="Times New Roman"/>
                <w:i/>
                <w:iCs/>
                <w:sz w:val="21"/>
                <w:szCs w:val="21"/>
              </w:rPr>
              <w:t>vanellus</w:t>
            </w:r>
          </w:p>
        </w:tc>
        <w:tc>
          <w:tcPr>
            <w:tcW w:w="593" w:type="pct"/>
            <w:tcBorders>
              <w:tl2br w:val="nil"/>
              <w:tr2bl w:val="nil"/>
            </w:tcBorders>
            <w:vAlign w:val="center"/>
          </w:tcPr>
          <w:p w14:paraId="7B010C11"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2.3</w:t>
            </w:r>
          </w:p>
        </w:tc>
        <w:tc>
          <w:tcPr>
            <w:tcW w:w="595" w:type="pct"/>
            <w:tcBorders>
              <w:tl2br w:val="nil"/>
              <w:tr2bl w:val="nil"/>
            </w:tcBorders>
            <w:vAlign w:val="center"/>
          </w:tcPr>
          <w:p w14:paraId="7238F231"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0DB0321F"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3B7F8D87"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27654BB6"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lang w:bidi="ar"/>
              </w:rPr>
              <w:t>————</w:t>
            </w:r>
          </w:p>
        </w:tc>
        <w:tc>
          <w:tcPr>
            <w:tcW w:w="415" w:type="pct"/>
            <w:tcBorders>
              <w:tl2br w:val="nil"/>
              <w:tr2bl w:val="nil"/>
            </w:tcBorders>
            <w:vAlign w:val="center"/>
          </w:tcPr>
          <w:p w14:paraId="74164C8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00A5FEE9" w14:textId="77777777">
        <w:trPr>
          <w:trHeight w:val="221"/>
          <w:jc w:val="center"/>
        </w:trPr>
        <w:tc>
          <w:tcPr>
            <w:tcW w:w="1611" w:type="pct"/>
            <w:tcBorders>
              <w:tl2br w:val="nil"/>
              <w:tr2bl w:val="nil"/>
            </w:tcBorders>
            <w:vAlign w:val="center"/>
          </w:tcPr>
          <w:p w14:paraId="29A13B23"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77" w:name="_Hlk207111075"/>
            <w:r>
              <w:rPr>
                <w:rFonts w:ascii="Times New Roman" w:eastAsia="宋体" w:hAnsi="Times New Roman" w:cs="Times New Roman"/>
                <w:sz w:val="21"/>
                <w:szCs w:val="21"/>
              </w:rPr>
              <w:t>金眶鸻</w:t>
            </w:r>
            <w:bookmarkEnd w:id="277"/>
          </w:p>
          <w:p w14:paraId="29666C82" w14:textId="77777777" w:rsidR="009D12AF" w:rsidRDefault="00000000">
            <w:pPr>
              <w:widowControl/>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i/>
                <w:iCs/>
                <w:sz w:val="21"/>
                <w:szCs w:val="21"/>
              </w:rPr>
              <w:t>Charadrius dubius</w:t>
            </w:r>
          </w:p>
        </w:tc>
        <w:tc>
          <w:tcPr>
            <w:tcW w:w="593" w:type="pct"/>
            <w:tcBorders>
              <w:tl2br w:val="nil"/>
              <w:tr2bl w:val="nil"/>
            </w:tcBorders>
            <w:vAlign w:val="center"/>
          </w:tcPr>
          <w:p w14:paraId="595D72F1"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2.3</w:t>
            </w:r>
          </w:p>
        </w:tc>
        <w:tc>
          <w:tcPr>
            <w:tcW w:w="595" w:type="pct"/>
            <w:tcBorders>
              <w:tl2br w:val="nil"/>
              <w:tr2bl w:val="nil"/>
            </w:tcBorders>
            <w:vAlign w:val="center"/>
          </w:tcPr>
          <w:p w14:paraId="710F7ED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7A81B82C"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5D83677E"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15264230"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lang w:bidi="ar"/>
              </w:rPr>
              <w:t>————</w:t>
            </w:r>
          </w:p>
        </w:tc>
        <w:tc>
          <w:tcPr>
            <w:tcW w:w="415" w:type="pct"/>
            <w:tcBorders>
              <w:tl2br w:val="nil"/>
              <w:tr2bl w:val="nil"/>
            </w:tcBorders>
            <w:vAlign w:val="center"/>
          </w:tcPr>
          <w:p w14:paraId="77C5F71D"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1F5B778A" w14:textId="77777777">
        <w:trPr>
          <w:trHeight w:val="221"/>
          <w:jc w:val="center"/>
        </w:trPr>
        <w:tc>
          <w:tcPr>
            <w:tcW w:w="5000" w:type="pct"/>
            <w:gridSpan w:val="8"/>
            <w:tcBorders>
              <w:tl2br w:val="nil"/>
              <w:tr2bl w:val="nil"/>
            </w:tcBorders>
            <w:vAlign w:val="center"/>
          </w:tcPr>
          <w:p w14:paraId="7B30EF5B"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鹬科</w:t>
            </w:r>
            <w:r>
              <w:rPr>
                <w:rFonts w:ascii="Times New Roman" w:eastAsia="宋体" w:hAnsi="Times New Roman" w:cs="Times New Roman"/>
                <w:b/>
                <w:bCs/>
                <w:sz w:val="21"/>
                <w:szCs w:val="21"/>
              </w:rPr>
              <w:t xml:space="preserve"> </w:t>
            </w:r>
            <w:r>
              <w:rPr>
                <w:rFonts w:ascii="Times New Roman" w:eastAsia="宋体" w:hAnsi="Times New Roman" w:cs="Times New Roman"/>
                <w:b/>
                <w:bCs/>
                <w:i/>
                <w:iCs/>
                <w:sz w:val="21"/>
                <w:szCs w:val="21"/>
              </w:rPr>
              <w:t>Scolopacidae</w:t>
            </w:r>
          </w:p>
        </w:tc>
      </w:tr>
      <w:tr w:rsidR="009D12AF" w14:paraId="079AAC58" w14:textId="77777777">
        <w:trPr>
          <w:trHeight w:val="221"/>
          <w:jc w:val="center"/>
        </w:trPr>
        <w:tc>
          <w:tcPr>
            <w:tcW w:w="1611" w:type="pct"/>
            <w:tcBorders>
              <w:tl2br w:val="nil"/>
              <w:tr2bl w:val="nil"/>
            </w:tcBorders>
            <w:vAlign w:val="center"/>
          </w:tcPr>
          <w:p w14:paraId="1305A35B"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78" w:name="_Hlk207111097"/>
            <w:r>
              <w:rPr>
                <w:rFonts w:ascii="Times New Roman" w:eastAsia="宋体" w:hAnsi="Times New Roman" w:cs="Times New Roman"/>
                <w:sz w:val="21"/>
                <w:szCs w:val="21"/>
              </w:rPr>
              <w:t>林鹬</w:t>
            </w:r>
            <w:bookmarkEnd w:id="278"/>
          </w:p>
          <w:p w14:paraId="5A5892B4" w14:textId="77777777" w:rsidR="009D12AF" w:rsidRDefault="00000000">
            <w:pPr>
              <w:widowControl/>
              <w:spacing w:after="160" w:line="0" w:lineRule="atLeast"/>
              <w:ind w:firstLineChars="0" w:firstLine="0"/>
              <w:jc w:val="left"/>
              <w:rPr>
                <w:rFonts w:ascii="Times New Roman" w:eastAsia="宋体" w:hAnsi="Times New Roman" w:cs="Times New Roman"/>
                <w:i/>
                <w:iCs/>
                <w:sz w:val="21"/>
                <w:szCs w:val="21"/>
              </w:rPr>
            </w:pPr>
            <w:r>
              <w:rPr>
                <w:rFonts w:ascii="Times New Roman" w:eastAsia="宋体" w:hAnsi="Times New Roman" w:cs="Times New Roman"/>
                <w:i/>
                <w:iCs/>
                <w:sz w:val="21"/>
                <w:szCs w:val="21"/>
              </w:rPr>
              <w:t>Tringa glareola</w:t>
            </w:r>
          </w:p>
        </w:tc>
        <w:tc>
          <w:tcPr>
            <w:tcW w:w="593" w:type="pct"/>
            <w:tcBorders>
              <w:tl2br w:val="nil"/>
              <w:tr2bl w:val="nil"/>
            </w:tcBorders>
            <w:vAlign w:val="center"/>
          </w:tcPr>
          <w:p w14:paraId="1300E98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2</w:t>
            </w:r>
          </w:p>
        </w:tc>
        <w:tc>
          <w:tcPr>
            <w:tcW w:w="595" w:type="pct"/>
            <w:tcBorders>
              <w:tl2br w:val="nil"/>
              <w:tr2bl w:val="nil"/>
            </w:tcBorders>
            <w:vAlign w:val="center"/>
          </w:tcPr>
          <w:p w14:paraId="250B5CE6"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3FF7A544"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1A8C0702"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08F5A162"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lang w:bidi="ar"/>
              </w:rPr>
              <w:t>————</w:t>
            </w:r>
          </w:p>
        </w:tc>
        <w:tc>
          <w:tcPr>
            <w:tcW w:w="415" w:type="pct"/>
            <w:tcBorders>
              <w:tl2br w:val="nil"/>
              <w:tr2bl w:val="nil"/>
            </w:tcBorders>
            <w:vAlign w:val="center"/>
          </w:tcPr>
          <w:p w14:paraId="523CF548"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012BA56C" w14:textId="77777777">
        <w:trPr>
          <w:trHeight w:val="221"/>
          <w:jc w:val="center"/>
        </w:trPr>
        <w:tc>
          <w:tcPr>
            <w:tcW w:w="1611" w:type="pct"/>
            <w:tcBorders>
              <w:tl2br w:val="nil"/>
              <w:tr2bl w:val="nil"/>
            </w:tcBorders>
            <w:vAlign w:val="center"/>
          </w:tcPr>
          <w:p w14:paraId="53D24FA2"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79" w:name="_Hlk207111111"/>
            <w:r>
              <w:rPr>
                <w:rFonts w:ascii="Times New Roman" w:eastAsia="宋体" w:hAnsi="Times New Roman" w:cs="Times New Roman"/>
                <w:sz w:val="21"/>
                <w:szCs w:val="21"/>
              </w:rPr>
              <w:t>矶鹬</w:t>
            </w:r>
            <w:bookmarkEnd w:id="279"/>
            <w:r>
              <w:rPr>
                <w:rFonts w:ascii="Times New Roman" w:eastAsia="宋体" w:hAnsi="Times New Roman" w:cs="Times New Roman"/>
                <w:sz w:val="21"/>
                <w:szCs w:val="21"/>
              </w:rPr>
              <w:t xml:space="preserve"> </w:t>
            </w:r>
            <w:r>
              <w:rPr>
                <w:rFonts w:ascii="Times New Roman" w:eastAsia="宋体" w:hAnsi="Times New Roman" w:cs="Times New Roman"/>
                <w:sz w:val="21"/>
                <w:szCs w:val="21"/>
              </w:rPr>
              <w:br/>
            </w:r>
            <w:r>
              <w:rPr>
                <w:rFonts w:ascii="Times New Roman" w:eastAsia="宋体" w:hAnsi="Times New Roman" w:cs="Times New Roman"/>
                <w:i/>
                <w:iCs/>
                <w:sz w:val="21"/>
                <w:szCs w:val="21"/>
              </w:rPr>
              <w:t>Actitis hypoleucos</w:t>
            </w:r>
          </w:p>
        </w:tc>
        <w:tc>
          <w:tcPr>
            <w:tcW w:w="593" w:type="pct"/>
            <w:tcBorders>
              <w:tl2br w:val="nil"/>
              <w:tr2bl w:val="nil"/>
            </w:tcBorders>
            <w:vAlign w:val="center"/>
          </w:tcPr>
          <w:p w14:paraId="4645E560"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1.2</w:t>
            </w:r>
          </w:p>
        </w:tc>
        <w:tc>
          <w:tcPr>
            <w:tcW w:w="595" w:type="pct"/>
            <w:tcBorders>
              <w:tl2br w:val="nil"/>
              <w:tr2bl w:val="nil"/>
            </w:tcBorders>
            <w:vAlign w:val="center"/>
          </w:tcPr>
          <w:p w14:paraId="027D607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1EEA0E0C"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142995EA"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1A68FB4A"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lang w:bidi="ar"/>
              </w:rPr>
              <w:t>————</w:t>
            </w:r>
          </w:p>
        </w:tc>
        <w:tc>
          <w:tcPr>
            <w:tcW w:w="415" w:type="pct"/>
            <w:tcBorders>
              <w:tl2br w:val="nil"/>
              <w:tr2bl w:val="nil"/>
            </w:tcBorders>
            <w:vAlign w:val="center"/>
          </w:tcPr>
          <w:p w14:paraId="487D1216"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7AA15D4F" w14:textId="77777777">
        <w:trPr>
          <w:trHeight w:val="221"/>
          <w:jc w:val="center"/>
        </w:trPr>
        <w:tc>
          <w:tcPr>
            <w:tcW w:w="5000" w:type="pct"/>
            <w:gridSpan w:val="8"/>
            <w:tcBorders>
              <w:tl2br w:val="nil"/>
              <w:tr2bl w:val="nil"/>
            </w:tcBorders>
            <w:vAlign w:val="center"/>
          </w:tcPr>
          <w:p w14:paraId="0275C208" w14:textId="77777777" w:rsidR="009D12AF" w:rsidRDefault="00000000">
            <w:pPr>
              <w:numPr>
                <w:ilvl w:val="0"/>
                <w:numId w:val="21"/>
              </w:numPr>
              <w:spacing w:after="160" w:line="300" w:lineRule="auto"/>
              <w:ind w:firstLineChars="0" w:firstLine="0"/>
              <w:jc w:val="left"/>
              <w:rPr>
                <w:rFonts w:ascii="Times New Roman" w:eastAsia="宋体" w:hAnsi="Times New Roman" w:cs="Times New Roman"/>
                <w:sz w:val="21"/>
                <w:szCs w:val="21"/>
              </w:rPr>
            </w:pPr>
            <w:r>
              <w:rPr>
                <w:rFonts w:ascii="Times New Roman" w:eastAsia="宋体" w:hAnsi="Times New Roman" w:cs="Times New Roman"/>
                <w:b/>
                <w:bCs/>
                <w:sz w:val="21"/>
                <w:szCs w:val="21"/>
              </w:rPr>
              <w:t>鸽形目</w:t>
            </w:r>
            <w:r>
              <w:rPr>
                <w:rFonts w:ascii="Times New Roman" w:eastAsia="宋体" w:hAnsi="Times New Roman" w:cs="Times New Roman"/>
                <w:b/>
                <w:bCs/>
                <w:sz w:val="21"/>
                <w:szCs w:val="21"/>
              </w:rPr>
              <w:t xml:space="preserve"> COLUMBIFORME</w:t>
            </w:r>
          </w:p>
        </w:tc>
      </w:tr>
      <w:tr w:rsidR="009D12AF" w14:paraId="6E41C37B" w14:textId="77777777">
        <w:trPr>
          <w:trHeight w:val="221"/>
          <w:jc w:val="center"/>
        </w:trPr>
        <w:tc>
          <w:tcPr>
            <w:tcW w:w="5000" w:type="pct"/>
            <w:gridSpan w:val="8"/>
            <w:tcBorders>
              <w:tl2br w:val="nil"/>
              <w:tr2bl w:val="nil"/>
            </w:tcBorders>
            <w:vAlign w:val="center"/>
          </w:tcPr>
          <w:p w14:paraId="1B859214"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b/>
                <w:bCs/>
                <w:sz w:val="21"/>
                <w:szCs w:val="21"/>
              </w:rPr>
              <w:t>鸠鸽科</w:t>
            </w:r>
            <w:r>
              <w:rPr>
                <w:rFonts w:ascii="Times New Roman" w:eastAsia="宋体" w:hAnsi="Times New Roman" w:cs="Times New Roman"/>
                <w:b/>
                <w:bCs/>
                <w:i/>
                <w:iCs/>
                <w:sz w:val="21"/>
                <w:szCs w:val="21"/>
              </w:rPr>
              <w:t>Columbidae</w:t>
            </w:r>
          </w:p>
        </w:tc>
      </w:tr>
      <w:tr w:rsidR="009D12AF" w14:paraId="288E9F21" w14:textId="77777777">
        <w:trPr>
          <w:trHeight w:val="221"/>
          <w:jc w:val="center"/>
        </w:trPr>
        <w:tc>
          <w:tcPr>
            <w:tcW w:w="1611" w:type="pct"/>
            <w:tcBorders>
              <w:tl2br w:val="nil"/>
              <w:tr2bl w:val="nil"/>
            </w:tcBorders>
            <w:vAlign w:val="center"/>
          </w:tcPr>
          <w:p w14:paraId="6BF54B0E" w14:textId="77777777" w:rsidR="009D12AF" w:rsidRDefault="00000000">
            <w:pPr>
              <w:widowControl/>
              <w:numPr>
                <w:ilvl w:val="0"/>
                <w:numId w:val="23"/>
              </w:numPr>
              <w:spacing w:after="160" w:line="0" w:lineRule="atLeast"/>
              <w:ind w:firstLineChars="0" w:firstLine="0"/>
              <w:jc w:val="left"/>
              <w:rPr>
                <w:rFonts w:ascii="Times New Roman" w:eastAsia="宋体" w:hAnsi="Times New Roman" w:cs="Times New Roman"/>
                <w:sz w:val="21"/>
                <w:szCs w:val="21"/>
              </w:rPr>
            </w:pPr>
            <w:bookmarkStart w:id="280" w:name="_Hlk207111370"/>
            <w:r>
              <w:rPr>
                <w:rFonts w:ascii="Times New Roman" w:eastAsia="宋体" w:hAnsi="Times New Roman" w:cs="Times New Roman"/>
                <w:sz w:val="21"/>
                <w:szCs w:val="21"/>
              </w:rPr>
              <w:t>山斑鸠</w:t>
            </w:r>
            <w:bookmarkEnd w:id="280"/>
          </w:p>
          <w:p w14:paraId="3C4D3E37" w14:textId="77777777" w:rsidR="009D12AF" w:rsidRDefault="00000000">
            <w:pPr>
              <w:spacing w:after="160"/>
              <w:ind w:firstLineChars="0" w:firstLine="0"/>
              <w:jc w:val="left"/>
              <w:rPr>
                <w:rFonts w:ascii="Times New Roman" w:eastAsia="宋体" w:hAnsi="Times New Roman" w:cs="Times New Roman"/>
                <w:i/>
                <w:iCs/>
                <w:sz w:val="21"/>
                <w:szCs w:val="21"/>
              </w:rPr>
            </w:pPr>
            <w:r>
              <w:rPr>
                <w:rFonts w:ascii="Times New Roman" w:eastAsia="宋体" w:hAnsi="Times New Roman" w:cs="Times New Roman"/>
                <w:i/>
                <w:iCs/>
                <w:sz w:val="21"/>
                <w:szCs w:val="21"/>
              </w:rPr>
              <w:t>Streptopelia orientalis</w:t>
            </w:r>
          </w:p>
        </w:tc>
        <w:tc>
          <w:tcPr>
            <w:tcW w:w="593" w:type="pct"/>
            <w:tcBorders>
              <w:tl2br w:val="nil"/>
              <w:tr2bl w:val="nil"/>
            </w:tcBorders>
            <w:vAlign w:val="center"/>
          </w:tcPr>
          <w:p w14:paraId="7A588DA2"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4.5</w:t>
            </w:r>
          </w:p>
        </w:tc>
        <w:tc>
          <w:tcPr>
            <w:tcW w:w="595" w:type="pct"/>
            <w:tcBorders>
              <w:tl2br w:val="nil"/>
              <w:tr2bl w:val="nil"/>
            </w:tcBorders>
            <w:vAlign w:val="center"/>
          </w:tcPr>
          <w:p w14:paraId="323E6EE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20312887"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18EC74A6"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目击</w:t>
            </w:r>
          </w:p>
        </w:tc>
        <w:tc>
          <w:tcPr>
            <w:tcW w:w="674" w:type="pct"/>
            <w:tcBorders>
              <w:tl2br w:val="nil"/>
              <w:tr2bl w:val="nil"/>
            </w:tcBorders>
            <w:vAlign w:val="center"/>
          </w:tcPr>
          <w:p w14:paraId="4243C139"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lang w:bidi="ar"/>
              </w:rPr>
              <w:t>————</w:t>
            </w:r>
          </w:p>
        </w:tc>
        <w:tc>
          <w:tcPr>
            <w:tcW w:w="415" w:type="pct"/>
            <w:tcBorders>
              <w:tl2br w:val="nil"/>
              <w:tr2bl w:val="nil"/>
            </w:tcBorders>
            <w:vAlign w:val="center"/>
          </w:tcPr>
          <w:p w14:paraId="3C587509"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58B8D179" w14:textId="77777777">
        <w:trPr>
          <w:trHeight w:val="221"/>
          <w:jc w:val="center"/>
        </w:trPr>
        <w:tc>
          <w:tcPr>
            <w:tcW w:w="5000" w:type="pct"/>
            <w:gridSpan w:val="8"/>
            <w:tcBorders>
              <w:tl2br w:val="nil"/>
              <w:tr2bl w:val="nil"/>
            </w:tcBorders>
            <w:vAlign w:val="center"/>
          </w:tcPr>
          <w:p w14:paraId="027B8C0F" w14:textId="77777777" w:rsidR="009D12AF" w:rsidRDefault="00000000">
            <w:pPr>
              <w:numPr>
                <w:ilvl w:val="0"/>
                <w:numId w:val="21"/>
              </w:numPr>
              <w:spacing w:after="160" w:line="300" w:lineRule="auto"/>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鹃形目</w:t>
            </w:r>
            <w:r>
              <w:rPr>
                <w:rFonts w:ascii="Times New Roman" w:eastAsia="宋体" w:hAnsi="Times New Roman" w:cs="Times New Roman"/>
                <w:b/>
                <w:bCs/>
                <w:sz w:val="21"/>
                <w:szCs w:val="21"/>
              </w:rPr>
              <w:t xml:space="preserve"> CUCULIFORME</w:t>
            </w:r>
          </w:p>
        </w:tc>
      </w:tr>
      <w:tr w:rsidR="009D12AF" w14:paraId="18E1253E" w14:textId="77777777">
        <w:trPr>
          <w:trHeight w:val="221"/>
          <w:jc w:val="center"/>
        </w:trPr>
        <w:tc>
          <w:tcPr>
            <w:tcW w:w="5000" w:type="pct"/>
            <w:gridSpan w:val="8"/>
            <w:tcBorders>
              <w:tl2br w:val="nil"/>
              <w:tr2bl w:val="nil"/>
            </w:tcBorders>
            <w:vAlign w:val="center"/>
          </w:tcPr>
          <w:p w14:paraId="4548E760"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杜鹃科</w:t>
            </w:r>
            <w:r>
              <w:rPr>
                <w:rFonts w:ascii="Times New Roman" w:eastAsia="宋体" w:hAnsi="Times New Roman" w:cs="Times New Roman"/>
                <w:b/>
                <w:bCs/>
                <w:sz w:val="21"/>
                <w:szCs w:val="21"/>
              </w:rPr>
              <w:t xml:space="preserve"> </w:t>
            </w:r>
            <w:r>
              <w:rPr>
                <w:rFonts w:ascii="Times New Roman" w:eastAsia="宋体" w:hAnsi="Times New Roman" w:cs="Times New Roman"/>
                <w:b/>
                <w:bCs/>
                <w:i/>
                <w:iCs/>
                <w:sz w:val="21"/>
                <w:szCs w:val="21"/>
              </w:rPr>
              <w:t>Cuculidae</w:t>
            </w:r>
          </w:p>
        </w:tc>
      </w:tr>
      <w:tr w:rsidR="009D12AF" w14:paraId="60CC872F" w14:textId="77777777">
        <w:trPr>
          <w:trHeight w:val="221"/>
          <w:jc w:val="center"/>
        </w:trPr>
        <w:tc>
          <w:tcPr>
            <w:tcW w:w="1611" w:type="pct"/>
            <w:tcBorders>
              <w:tl2br w:val="nil"/>
              <w:tr2bl w:val="nil"/>
            </w:tcBorders>
            <w:vAlign w:val="center"/>
          </w:tcPr>
          <w:p w14:paraId="105E8D6C"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81" w:name="_Hlk207111619"/>
            <w:r>
              <w:rPr>
                <w:rFonts w:ascii="Times New Roman" w:eastAsia="宋体" w:hAnsi="Times New Roman" w:cs="Times New Roman"/>
                <w:sz w:val="21"/>
                <w:szCs w:val="21"/>
              </w:rPr>
              <w:t>大杜鹃</w:t>
            </w:r>
            <w:bookmarkEnd w:id="281"/>
            <w:r>
              <w:rPr>
                <w:rFonts w:ascii="Times New Roman" w:eastAsia="宋体" w:hAnsi="Times New Roman" w:cs="Times New Roman"/>
                <w:sz w:val="21"/>
                <w:szCs w:val="21"/>
              </w:rPr>
              <w:t xml:space="preserve"> </w:t>
            </w:r>
            <w:r>
              <w:rPr>
                <w:rFonts w:ascii="Times New Roman" w:eastAsia="宋体" w:hAnsi="Times New Roman" w:cs="Times New Roman"/>
                <w:sz w:val="21"/>
                <w:szCs w:val="21"/>
              </w:rPr>
              <w:br/>
            </w:r>
            <w:bookmarkStart w:id="282" w:name="_Hlk194924202"/>
            <w:r>
              <w:rPr>
                <w:rFonts w:ascii="Times New Roman" w:eastAsia="宋体" w:hAnsi="Times New Roman" w:cs="Times New Roman"/>
                <w:i/>
                <w:iCs/>
                <w:sz w:val="21"/>
                <w:szCs w:val="21"/>
              </w:rPr>
              <w:t>Cuculus canorus</w:t>
            </w:r>
            <w:bookmarkEnd w:id="282"/>
          </w:p>
        </w:tc>
        <w:tc>
          <w:tcPr>
            <w:tcW w:w="593" w:type="pct"/>
            <w:tcBorders>
              <w:tl2br w:val="nil"/>
              <w:tr2bl w:val="nil"/>
            </w:tcBorders>
            <w:vAlign w:val="center"/>
          </w:tcPr>
          <w:p w14:paraId="1664302B"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w:t>
            </w:r>
          </w:p>
        </w:tc>
        <w:tc>
          <w:tcPr>
            <w:tcW w:w="595" w:type="pct"/>
            <w:tcBorders>
              <w:tl2br w:val="nil"/>
              <w:tr2bl w:val="nil"/>
            </w:tcBorders>
            <w:vAlign w:val="center"/>
          </w:tcPr>
          <w:p w14:paraId="1C98A37C"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26C498ED"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5F2B7D82"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目击</w:t>
            </w:r>
          </w:p>
        </w:tc>
        <w:tc>
          <w:tcPr>
            <w:tcW w:w="674" w:type="pct"/>
            <w:tcBorders>
              <w:tl2br w:val="nil"/>
              <w:tr2bl w:val="nil"/>
            </w:tcBorders>
            <w:vAlign w:val="center"/>
          </w:tcPr>
          <w:p w14:paraId="227AD406"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lang w:bidi="ar"/>
              </w:rPr>
              <w:t>————</w:t>
            </w:r>
          </w:p>
        </w:tc>
        <w:tc>
          <w:tcPr>
            <w:tcW w:w="415" w:type="pct"/>
            <w:tcBorders>
              <w:tl2br w:val="nil"/>
              <w:tr2bl w:val="nil"/>
            </w:tcBorders>
            <w:vAlign w:val="center"/>
          </w:tcPr>
          <w:p w14:paraId="5D249DF4"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2628210C" w14:textId="77777777">
        <w:trPr>
          <w:trHeight w:val="221"/>
          <w:jc w:val="center"/>
        </w:trPr>
        <w:tc>
          <w:tcPr>
            <w:tcW w:w="1611" w:type="pct"/>
            <w:tcBorders>
              <w:tl2br w:val="nil"/>
              <w:tr2bl w:val="nil"/>
            </w:tcBorders>
            <w:vAlign w:val="center"/>
          </w:tcPr>
          <w:p w14:paraId="216B0558" w14:textId="77777777" w:rsidR="009D12AF" w:rsidRDefault="00000000">
            <w:pPr>
              <w:widowControl/>
              <w:numPr>
                <w:ilvl w:val="0"/>
                <w:numId w:val="23"/>
              </w:numPr>
              <w:spacing w:after="160" w:line="0" w:lineRule="atLeast"/>
              <w:ind w:firstLineChars="0" w:firstLine="0"/>
              <w:jc w:val="left"/>
              <w:rPr>
                <w:rFonts w:ascii="Times New Roman" w:eastAsia="宋体" w:hAnsi="Times New Roman" w:cs="Times New Roman"/>
                <w:sz w:val="21"/>
                <w:szCs w:val="21"/>
              </w:rPr>
            </w:pPr>
            <w:bookmarkStart w:id="283" w:name="_Hlk207111625"/>
            <w:r>
              <w:rPr>
                <w:rFonts w:ascii="Times New Roman" w:eastAsia="宋体" w:hAnsi="Times New Roman" w:cs="Times New Roman"/>
                <w:sz w:val="21"/>
                <w:szCs w:val="21"/>
              </w:rPr>
              <w:t>中杜鹃</w:t>
            </w:r>
            <w:bookmarkEnd w:id="283"/>
          </w:p>
          <w:p w14:paraId="21B8D0B2" w14:textId="77777777" w:rsidR="009D12AF" w:rsidRDefault="00000000">
            <w:pPr>
              <w:spacing w:after="160"/>
              <w:ind w:firstLineChars="0" w:firstLine="0"/>
              <w:jc w:val="left"/>
              <w:rPr>
                <w:rFonts w:ascii="Times New Roman" w:eastAsia="宋体" w:hAnsi="Times New Roman" w:cs="Times New Roman"/>
                <w:i/>
                <w:iCs/>
                <w:sz w:val="21"/>
                <w:szCs w:val="21"/>
              </w:rPr>
            </w:pPr>
            <w:r>
              <w:rPr>
                <w:rFonts w:ascii="Times New Roman" w:eastAsia="宋体" w:hAnsi="Times New Roman" w:cs="Times New Roman"/>
                <w:i/>
                <w:iCs/>
                <w:sz w:val="21"/>
                <w:szCs w:val="21"/>
              </w:rPr>
              <w:t>Cuculus saturatus</w:t>
            </w:r>
          </w:p>
        </w:tc>
        <w:tc>
          <w:tcPr>
            <w:tcW w:w="593" w:type="pct"/>
            <w:tcBorders>
              <w:tl2br w:val="nil"/>
              <w:tr2bl w:val="nil"/>
            </w:tcBorders>
            <w:vAlign w:val="center"/>
          </w:tcPr>
          <w:p w14:paraId="4A2AFA54"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w:t>
            </w:r>
          </w:p>
        </w:tc>
        <w:tc>
          <w:tcPr>
            <w:tcW w:w="595" w:type="pct"/>
            <w:tcBorders>
              <w:tl2br w:val="nil"/>
              <w:tr2bl w:val="nil"/>
            </w:tcBorders>
            <w:vAlign w:val="center"/>
          </w:tcPr>
          <w:p w14:paraId="6DD25529"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3919EE4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32D6A7F5"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6FF62224"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lang w:bidi="ar"/>
              </w:rPr>
              <w:t>————</w:t>
            </w:r>
          </w:p>
        </w:tc>
        <w:tc>
          <w:tcPr>
            <w:tcW w:w="415" w:type="pct"/>
            <w:tcBorders>
              <w:tl2br w:val="nil"/>
              <w:tr2bl w:val="nil"/>
            </w:tcBorders>
            <w:vAlign w:val="center"/>
          </w:tcPr>
          <w:p w14:paraId="5088AB80"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0E41C888" w14:textId="77777777">
        <w:trPr>
          <w:trHeight w:val="221"/>
          <w:jc w:val="center"/>
        </w:trPr>
        <w:tc>
          <w:tcPr>
            <w:tcW w:w="1611" w:type="pct"/>
            <w:tcBorders>
              <w:tl2br w:val="nil"/>
              <w:tr2bl w:val="nil"/>
            </w:tcBorders>
            <w:vAlign w:val="center"/>
          </w:tcPr>
          <w:p w14:paraId="6C889123"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84" w:name="_Hlk207111632"/>
            <w:r>
              <w:rPr>
                <w:rFonts w:ascii="Times New Roman" w:eastAsia="宋体" w:hAnsi="Times New Roman" w:cs="Times New Roman"/>
                <w:sz w:val="21"/>
                <w:szCs w:val="21"/>
              </w:rPr>
              <w:t>四声杜鹃</w:t>
            </w:r>
            <w:bookmarkEnd w:id="284"/>
          </w:p>
          <w:p w14:paraId="4E34EC5E" w14:textId="77777777" w:rsidR="009D12AF" w:rsidRDefault="00000000">
            <w:pPr>
              <w:widowControl/>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i/>
                <w:iCs/>
                <w:sz w:val="21"/>
                <w:szCs w:val="21"/>
              </w:rPr>
              <w:t>Cuculus micropterus</w:t>
            </w:r>
          </w:p>
        </w:tc>
        <w:tc>
          <w:tcPr>
            <w:tcW w:w="593" w:type="pct"/>
            <w:tcBorders>
              <w:tl2br w:val="nil"/>
              <w:tr2bl w:val="nil"/>
            </w:tcBorders>
            <w:vAlign w:val="center"/>
          </w:tcPr>
          <w:p w14:paraId="5F5CA757"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w:t>
            </w:r>
          </w:p>
        </w:tc>
        <w:tc>
          <w:tcPr>
            <w:tcW w:w="595" w:type="pct"/>
            <w:tcBorders>
              <w:tl2br w:val="nil"/>
              <w:tr2bl w:val="nil"/>
            </w:tcBorders>
            <w:vAlign w:val="center"/>
          </w:tcPr>
          <w:p w14:paraId="008CA29B"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东洋种</w:t>
            </w:r>
          </w:p>
        </w:tc>
        <w:tc>
          <w:tcPr>
            <w:tcW w:w="425" w:type="pct"/>
            <w:tcBorders>
              <w:tl2br w:val="nil"/>
              <w:tr2bl w:val="nil"/>
            </w:tcBorders>
            <w:vAlign w:val="center"/>
          </w:tcPr>
          <w:p w14:paraId="2E46BA4C" w14:textId="77777777" w:rsidR="009D12AF" w:rsidRDefault="00000000">
            <w:pPr>
              <w:spacing w:after="160"/>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6A65D2F8"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5F5B65DF"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lang w:bidi="ar"/>
              </w:rPr>
              <w:t>————</w:t>
            </w:r>
          </w:p>
        </w:tc>
        <w:tc>
          <w:tcPr>
            <w:tcW w:w="415" w:type="pct"/>
            <w:tcBorders>
              <w:tl2br w:val="nil"/>
              <w:tr2bl w:val="nil"/>
            </w:tcBorders>
            <w:vAlign w:val="center"/>
          </w:tcPr>
          <w:p w14:paraId="50600237"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5AFD0A50" w14:textId="77777777">
        <w:trPr>
          <w:trHeight w:val="58"/>
          <w:jc w:val="center"/>
        </w:trPr>
        <w:tc>
          <w:tcPr>
            <w:tcW w:w="5000" w:type="pct"/>
            <w:gridSpan w:val="8"/>
            <w:tcBorders>
              <w:tl2br w:val="nil"/>
              <w:tr2bl w:val="nil"/>
            </w:tcBorders>
            <w:vAlign w:val="center"/>
          </w:tcPr>
          <w:p w14:paraId="0CB6C700" w14:textId="77777777" w:rsidR="009D12AF" w:rsidRDefault="00000000">
            <w:pPr>
              <w:numPr>
                <w:ilvl w:val="0"/>
                <w:numId w:val="21"/>
              </w:numPr>
              <w:spacing w:after="160" w:line="300" w:lineRule="auto"/>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鴷形目</w:t>
            </w:r>
            <w:r>
              <w:rPr>
                <w:rFonts w:ascii="Times New Roman" w:eastAsia="宋体" w:hAnsi="Times New Roman" w:cs="Times New Roman"/>
                <w:b/>
                <w:bCs/>
                <w:sz w:val="21"/>
                <w:szCs w:val="21"/>
              </w:rPr>
              <w:t xml:space="preserve"> PICIFORMES</w:t>
            </w:r>
          </w:p>
        </w:tc>
      </w:tr>
      <w:tr w:rsidR="009D12AF" w14:paraId="5CD3C763" w14:textId="77777777">
        <w:trPr>
          <w:trHeight w:val="221"/>
          <w:jc w:val="center"/>
        </w:trPr>
        <w:tc>
          <w:tcPr>
            <w:tcW w:w="5000" w:type="pct"/>
            <w:gridSpan w:val="8"/>
            <w:tcBorders>
              <w:tl2br w:val="nil"/>
              <w:tr2bl w:val="nil"/>
            </w:tcBorders>
            <w:vAlign w:val="center"/>
          </w:tcPr>
          <w:p w14:paraId="38818B8F"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啄木鸟科</w:t>
            </w:r>
            <w:r>
              <w:rPr>
                <w:rFonts w:ascii="Times New Roman" w:eastAsia="宋体" w:hAnsi="Times New Roman" w:cs="Times New Roman"/>
                <w:b/>
                <w:bCs/>
                <w:sz w:val="21"/>
                <w:szCs w:val="21"/>
              </w:rPr>
              <w:t xml:space="preserve"> </w:t>
            </w:r>
            <w:r>
              <w:rPr>
                <w:rFonts w:ascii="Times New Roman" w:eastAsia="宋体" w:hAnsi="Times New Roman" w:cs="Times New Roman"/>
                <w:b/>
                <w:bCs/>
                <w:i/>
                <w:iCs/>
                <w:sz w:val="21"/>
                <w:szCs w:val="21"/>
              </w:rPr>
              <w:t>Picidae</w:t>
            </w:r>
          </w:p>
        </w:tc>
      </w:tr>
      <w:tr w:rsidR="009D12AF" w14:paraId="55D3F3CD" w14:textId="77777777">
        <w:trPr>
          <w:trHeight w:val="221"/>
          <w:jc w:val="center"/>
        </w:trPr>
        <w:tc>
          <w:tcPr>
            <w:tcW w:w="1611" w:type="pct"/>
            <w:tcBorders>
              <w:tl2br w:val="nil"/>
              <w:tr2bl w:val="nil"/>
            </w:tcBorders>
            <w:vAlign w:val="center"/>
          </w:tcPr>
          <w:p w14:paraId="43950405"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85" w:name="_Hlk207111736"/>
            <w:r>
              <w:rPr>
                <w:rFonts w:ascii="Times New Roman" w:eastAsia="宋体" w:hAnsi="Times New Roman" w:cs="Times New Roman"/>
                <w:sz w:val="21"/>
                <w:szCs w:val="21"/>
              </w:rPr>
              <w:t>大斑啄木鸟</w:t>
            </w:r>
            <w:bookmarkEnd w:id="285"/>
            <w:r>
              <w:rPr>
                <w:rFonts w:ascii="Times New Roman" w:eastAsia="宋体" w:hAnsi="Times New Roman" w:cs="Times New Roman"/>
                <w:sz w:val="21"/>
                <w:szCs w:val="21"/>
              </w:rPr>
              <w:t xml:space="preserve"> </w:t>
            </w:r>
            <w:r>
              <w:rPr>
                <w:rFonts w:ascii="Times New Roman" w:eastAsia="宋体" w:hAnsi="Times New Roman" w:cs="Times New Roman"/>
                <w:i/>
                <w:iCs/>
                <w:sz w:val="21"/>
                <w:szCs w:val="21"/>
              </w:rPr>
              <w:t>Dendrocopos major</w:t>
            </w:r>
          </w:p>
        </w:tc>
        <w:tc>
          <w:tcPr>
            <w:tcW w:w="593" w:type="pct"/>
            <w:tcBorders>
              <w:tl2br w:val="nil"/>
              <w:tr2bl w:val="nil"/>
            </w:tcBorders>
            <w:vAlign w:val="center"/>
          </w:tcPr>
          <w:p w14:paraId="46C8129A"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w:t>
            </w:r>
          </w:p>
        </w:tc>
        <w:tc>
          <w:tcPr>
            <w:tcW w:w="595" w:type="pct"/>
            <w:tcBorders>
              <w:tl2br w:val="nil"/>
              <w:tr2bl w:val="nil"/>
            </w:tcBorders>
            <w:vAlign w:val="center"/>
          </w:tcPr>
          <w:p w14:paraId="047E6F2C"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017B9A91"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7DE56D43"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659D933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lang w:bidi="ar"/>
              </w:rPr>
              <w:t>————</w:t>
            </w:r>
          </w:p>
        </w:tc>
        <w:tc>
          <w:tcPr>
            <w:tcW w:w="415" w:type="pct"/>
            <w:tcBorders>
              <w:tl2br w:val="nil"/>
              <w:tr2bl w:val="nil"/>
            </w:tcBorders>
            <w:vAlign w:val="center"/>
          </w:tcPr>
          <w:p w14:paraId="692544F9"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1BF0E92B" w14:textId="77777777">
        <w:trPr>
          <w:trHeight w:val="221"/>
          <w:jc w:val="center"/>
        </w:trPr>
        <w:tc>
          <w:tcPr>
            <w:tcW w:w="5000" w:type="pct"/>
            <w:gridSpan w:val="8"/>
            <w:tcBorders>
              <w:tl2br w:val="nil"/>
              <w:tr2bl w:val="nil"/>
            </w:tcBorders>
            <w:vAlign w:val="center"/>
          </w:tcPr>
          <w:p w14:paraId="3F3CD62A" w14:textId="77777777" w:rsidR="009D12AF" w:rsidRDefault="00000000">
            <w:pPr>
              <w:numPr>
                <w:ilvl w:val="0"/>
                <w:numId w:val="21"/>
              </w:numPr>
              <w:spacing w:after="160" w:line="300" w:lineRule="auto"/>
              <w:ind w:firstLineChars="0" w:firstLine="0"/>
              <w:jc w:val="left"/>
              <w:rPr>
                <w:rFonts w:ascii="Times New Roman" w:eastAsia="宋体" w:hAnsi="Times New Roman" w:cs="Times New Roman"/>
                <w:sz w:val="21"/>
                <w:szCs w:val="21"/>
              </w:rPr>
            </w:pPr>
            <w:r>
              <w:rPr>
                <w:rFonts w:ascii="Times New Roman" w:eastAsia="宋体" w:hAnsi="Times New Roman" w:cs="Times New Roman"/>
                <w:b/>
                <w:bCs/>
                <w:sz w:val="21"/>
                <w:szCs w:val="21"/>
              </w:rPr>
              <w:t>佛法僧目</w:t>
            </w:r>
            <w:r>
              <w:rPr>
                <w:rFonts w:ascii="Times New Roman" w:eastAsia="宋体" w:hAnsi="Times New Roman" w:cs="Times New Roman"/>
                <w:b/>
                <w:bCs/>
                <w:sz w:val="21"/>
                <w:szCs w:val="21"/>
              </w:rPr>
              <w:t xml:space="preserve"> CORACIIFORME</w:t>
            </w:r>
          </w:p>
        </w:tc>
      </w:tr>
      <w:tr w:rsidR="009D12AF" w14:paraId="6E8ED1A5" w14:textId="77777777">
        <w:trPr>
          <w:trHeight w:val="221"/>
          <w:jc w:val="center"/>
        </w:trPr>
        <w:tc>
          <w:tcPr>
            <w:tcW w:w="5000" w:type="pct"/>
            <w:gridSpan w:val="8"/>
            <w:tcBorders>
              <w:tl2br w:val="nil"/>
              <w:tr2bl w:val="nil"/>
            </w:tcBorders>
            <w:vAlign w:val="center"/>
          </w:tcPr>
          <w:p w14:paraId="042DDD48"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b/>
                <w:bCs/>
                <w:sz w:val="21"/>
                <w:szCs w:val="21"/>
              </w:rPr>
              <w:t>翠鸟科</w:t>
            </w:r>
            <w:r>
              <w:rPr>
                <w:rFonts w:ascii="Times New Roman" w:eastAsia="宋体" w:hAnsi="Times New Roman" w:cs="Times New Roman"/>
                <w:b/>
                <w:bCs/>
                <w:sz w:val="21"/>
                <w:szCs w:val="21"/>
              </w:rPr>
              <w:t xml:space="preserve"> </w:t>
            </w:r>
            <w:r>
              <w:rPr>
                <w:rFonts w:ascii="Times New Roman" w:eastAsia="宋体" w:hAnsi="Times New Roman" w:cs="Times New Roman"/>
                <w:b/>
                <w:bCs/>
                <w:i/>
                <w:iCs/>
                <w:sz w:val="21"/>
                <w:szCs w:val="21"/>
              </w:rPr>
              <w:t>Alcedinidae</w:t>
            </w:r>
          </w:p>
        </w:tc>
      </w:tr>
      <w:tr w:rsidR="009D12AF" w14:paraId="6199389C" w14:textId="77777777">
        <w:trPr>
          <w:trHeight w:val="221"/>
          <w:jc w:val="center"/>
        </w:trPr>
        <w:tc>
          <w:tcPr>
            <w:tcW w:w="1611" w:type="pct"/>
            <w:tcBorders>
              <w:tl2br w:val="nil"/>
              <w:tr2bl w:val="nil"/>
            </w:tcBorders>
            <w:vAlign w:val="center"/>
          </w:tcPr>
          <w:p w14:paraId="780D9382" w14:textId="77777777" w:rsidR="009D12AF" w:rsidRDefault="00000000">
            <w:pPr>
              <w:widowControl/>
              <w:numPr>
                <w:ilvl w:val="0"/>
                <w:numId w:val="23"/>
              </w:numPr>
              <w:spacing w:after="160" w:line="0" w:lineRule="atLeast"/>
              <w:ind w:firstLineChars="0" w:firstLine="0"/>
              <w:jc w:val="left"/>
              <w:rPr>
                <w:rFonts w:ascii="Times New Roman" w:eastAsia="宋体" w:hAnsi="Times New Roman" w:cs="Times New Roman"/>
                <w:sz w:val="21"/>
                <w:szCs w:val="21"/>
              </w:rPr>
            </w:pPr>
            <w:bookmarkStart w:id="286" w:name="_Hlk207111984"/>
            <w:r>
              <w:rPr>
                <w:rFonts w:ascii="Times New Roman" w:eastAsia="宋体" w:hAnsi="Times New Roman" w:cs="Times New Roman"/>
                <w:sz w:val="21"/>
                <w:szCs w:val="21"/>
              </w:rPr>
              <w:lastRenderedPageBreak/>
              <w:t>普通翠鸟</w:t>
            </w:r>
            <w:bookmarkEnd w:id="286"/>
          </w:p>
          <w:p w14:paraId="3BE0EA12" w14:textId="77777777" w:rsidR="009D12AF" w:rsidRDefault="00000000">
            <w:pPr>
              <w:spacing w:after="160" w:line="0" w:lineRule="atLeast"/>
              <w:ind w:firstLineChars="0" w:firstLine="0"/>
              <w:jc w:val="left"/>
              <w:rPr>
                <w:rFonts w:ascii="Times New Roman" w:eastAsia="宋体" w:hAnsi="Times New Roman" w:cs="Times New Roman"/>
                <w:i/>
                <w:iCs/>
                <w:sz w:val="21"/>
                <w:szCs w:val="21"/>
              </w:rPr>
            </w:pPr>
            <w:r>
              <w:rPr>
                <w:rFonts w:ascii="Times New Roman" w:eastAsia="宋体" w:hAnsi="Times New Roman" w:cs="Times New Roman"/>
                <w:i/>
                <w:iCs/>
                <w:sz w:val="21"/>
                <w:szCs w:val="21"/>
              </w:rPr>
              <w:t>Alcedo atthis</w:t>
            </w:r>
          </w:p>
        </w:tc>
        <w:tc>
          <w:tcPr>
            <w:tcW w:w="593" w:type="pct"/>
            <w:tcBorders>
              <w:tl2br w:val="nil"/>
              <w:tr2bl w:val="nil"/>
            </w:tcBorders>
            <w:vAlign w:val="center"/>
          </w:tcPr>
          <w:p w14:paraId="3E809A84"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1.4</w:t>
            </w:r>
          </w:p>
        </w:tc>
        <w:tc>
          <w:tcPr>
            <w:tcW w:w="595" w:type="pct"/>
            <w:tcBorders>
              <w:tl2br w:val="nil"/>
              <w:tr2bl w:val="nil"/>
            </w:tcBorders>
            <w:vAlign w:val="center"/>
          </w:tcPr>
          <w:p w14:paraId="66B49BF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39CFF652"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7A298C57"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26F9DCAB"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lang w:bidi="ar"/>
              </w:rPr>
              <w:t>————</w:t>
            </w:r>
          </w:p>
        </w:tc>
        <w:tc>
          <w:tcPr>
            <w:tcW w:w="415" w:type="pct"/>
            <w:tcBorders>
              <w:tl2br w:val="nil"/>
              <w:tr2bl w:val="nil"/>
            </w:tcBorders>
            <w:vAlign w:val="center"/>
          </w:tcPr>
          <w:p w14:paraId="5A9357B9"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61D4E2E1" w14:textId="77777777">
        <w:trPr>
          <w:trHeight w:val="221"/>
          <w:jc w:val="center"/>
        </w:trPr>
        <w:tc>
          <w:tcPr>
            <w:tcW w:w="5000" w:type="pct"/>
            <w:gridSpan w:val="8"/>
            <w:tcBorders>
              <w:tl2br w:val="nil"/>
              <w:tr2bl w:val="nil"/>
            </w:tcBorders>
            <w:vAlign w:val="center"/>
          </w:tcPr>
          <w:p w14:paraId="4E1DA1CC" w14:textId="77777777" w:rsidR="009D12AF" w:rsidRDefault="00000000">
            <w:pPr>
              <w:numPr>
                <w:ilvl w:val="0"/>
                <w:numId w:val="21"/>
              </w:numPr>
              <w:spacing w:after="160" w:line="300" w:lineRule="auto"/>
              <w:ind w:firstLineChars="0" w:firstLine="0"/>
              <w:jc w:val="left"/>
              <w:rPr>
                <w:rFonts w:ascii="Times New Roman" w:eastAsia="宋体" w:hAnsi="Times New Roman" w:cs="Times New Roman"/>
                <w:b/>
                <w:bCs/>
                <w:sz w:val="21"/>
                <w:szCs w:val="21"/>
              </w:rPr>
            </w:pPr>
            <w:r>
              <w:rPr>
                <w:rFonts w:ascii="Times New Roman" w:eastAsia="宋体" w:hAnsi="Times New Roman" w:cs="Times New Roman" w:hint="eastAsia"/>
                <w:b/>
                <w:bCs/>
                <w:sz w:val="21"/>
                <w:szCs w:val="21"/>
              </w:rPr>
              <w:t>雁</w:t>
            </w:r>
            <w:r>
              <w:rPr>
                <w:rFonts w:ascii="Times New Roman" w:eastAsia="宋体" w:hAnsi="Times New Roman" w:cs="Times New Roman"/>
                <w:b/>
                <w:bCs/>
                <w:sz w:val="21"/>
                <w:szCs w:val="21"/>
              </w:rPr>
              <w:t>形目</w:t>
            </w:r>
            <w:r>
              <w:rPr>
                <w:rFonts w:ascii="Times New Roman" w:eastAsia="宋体" w:hAnsi="Times New Roman" w:cs="Times New Roman"/>
                <w:b/>
                <w:bCs/>
                <w:i/>
                <w:iCs/>
                <w:sz w:val="21"/>
                <w:szCs w:val="21"/>
              </w:rPr>
              <w:t xml:space="preserve"> </w:t>
            </w:r>
            <w:r>
              <w:rPr>
                <w:rFonts w:ascii="Times New Roman" w:eastAsia="宋体" w:hAnsi="Times New Roman" w:cs="Times New Roman"/>
                <w:b/>
                <w:bCs/>
                <w:sz w:val="21"/>
                <w:szCs w:val="21"/>
              </w:rPr>
              <w:t>ANSERIFORMES</w:t>
            </w:r>
          </w:p>
        </w:tc>
      </w:tr>
      <w:tr w:rsidR="009D12AF" w14:paraId="7E005985" w14:textId="77777777">
        <w:trPr>
          <w:trHeight w:val="221"/>
          <w:jc w:val="center"/>
        </w:trPr>
        <w:tc>
          <w:tcPr>
            <w:tcW w:w="5000" w:type="pct"/>
            <w:gridSpan w:val="8"/>
            <w:tcBorders>
              <w:tl2br w:val="nil"/>
              <w:tr2bl w:val="nil"/>
            </w:tcBorders>
            <w:vAlign w:val="center"/>
          </w:tcPr>
          <w:p w14:paraId="3F10AE6D"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z w:val="21"/>
                <w:szCs w:val="21"/>
              </w:rPr>
            </w:pPr>
            <w:r>
              <w:rPr>
                <w:rFonts w:ascii="Times New Roman" w:eastAsia="宋体" w:hAnsi="Times New Roman" w:cs="Times New Roman" w:hint="eastAsia"/>
                <w:b/>
                <w:bCs/>
                <w:sz w:val="21"/>
                <w:szCs w:val="21"/>
              </w:rPr>
              <w:t>鸭</w:t>
            </w:r>
            <w:r>
              <w:rPr>
                <w:rFonts w:ascii="Times New Roman" w:eastAsia="宋体" w:hAnsi="Times New Roman" w:cs="Times New Roman"/>
                <w:b/>
                <w:bCs/>
                <w:sz w:val="21"/>
                <w:szCs w:val="21"/>
              </w:rPr>
              <w:t>科</w:t>
            </w:r>
            <w:r>
              <w:rPr>
                <w:rFonts w:ascii="Times New Roman" w:eastAsia="宋体" w:hAnsi="Times New Roman" w:cs="Times New Roman"/>
                <w:b/>
                <w:bCs/>
                <w:sz w:val="21"/>
                <w:szCs w:val="21"/>
              </w:rPr>
              <w:t xml:space="preserve"> </w:t>
            </w:r>
            <w:r>
              <w:rPr>
                <w:rFonts w:ascii="Times New Roman" w:eastAsia="宋体" w:hAnsi="Times New Roman" w:cs="Times New Roman"/>
                <w:b/>
                <w:bCs/>
                <w:i/>
                <w:iCs/>
                <w:sz w:val="21"/>
                <w:szCs w:val="21"/>
              </w:rPr>
              <w:t>Anatidae</w:t>
            </w:r>
          </w:p>
        </w:tc>
      </w:tr>
      <w:tr w:rsidR="009D12AF" w14:paraId="19610CC2" w14:textId="77777777">
        <w:trPr>
          <w:trHeight w:val="221"/>
          <w:jc w:val="center"/>
        </w:trPr>
        <w:tc>
          <w:tcPr>
            <w:tcW w:w="1611" w:type="pct"/>
            <w:tcBorders>
              <w:tl2br w:val="nil"/>
              <w:tr2bl w:val="nil"/>
            </w:tcBorders>
            <w:vAlign w:val="center"/>
          </w:tcPr>
          <w:p w14:paraId="6E773FEB"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87" w:name="_Hlk207722781"/>
            <w:r>
              <w:rPr>
                <w:rFonts w:ascii="Times New Roman" w:eastAsia="宋体" w:hAnsi="Times New Roman" w:cs="Times New Roman" w:hint="eastAsia"/>
                <w:sz w:val="21"/>
                <w:szCs w:val="21"/>
              </w:rPr>
              <w:t>鸳鸯</w:t>
            </w:r>
            <w:bookmarkEnd w:id="287"/>
          </w:p>
          <w:p w14:paraId="6FDC1D45" w14:textId="77777777" w:rsidR="009D12AF" w:rsidRDefault="00000000">
            <w:pPr>
              <w:widowControl/>
              <w:spacing w:after="160" w:line="0" w:lineRule="atLeast"/>
              <w:ind w:firstLineChars="0" w:firstLine="0"/>
              <w:jc w:val="left"/>
              <w:rPr>
                <w:rFonts w:ascii="Times New Roman" w:eastAsia="宋体" w:hAnsi="Times New Roman" w:cs="Times New Roman"/>
                <w:i/>
                <w:iCs/>
                <w:sz w:val="21"/>
                <w:szCs w:val="21"/>
              </w:rPr>
            </w:pPr>
            <w:bookmarkStart w:id="288" w:name="_Hlk207722786"/>
            <w:r>
              <w:rPr>
                <w:rFonts w:ascii="Times New Roman" w:eastAsia="宋体" w:hAnsi="Times New Roman" w:cs="Times New Roman"/>
                <w:i/>
                <w:iCs/>
                <w:sz w:val="21"/>
                <w:szCs w:val="21"/>
              </w:rPr>
              <w:t>Aix galericulata</w:t>
            </w:r>
            <w:bookmarkEnd w:id="288"/>
          </w:p>
        </w:tc>
        <w:tc>
          <w:tcPr>
            <w:tcW w:w="593" w:type="pct"/>
            <w:tcBorders>
              <w:tl2br w:val="nil"/>
              <w:tr2bl w:val="nil"/>
            </w:tcBorders>
            <w:vAlign w:val="center"/>
          </w:tcPr>
          <w:p w14:paraId="6A5BC67E"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1</w:t>
            </w:r>
            <w:r>
              <w:rPr>
                <w:rFonts w:ascii="Times New Roman" w:eastAsia="宋体" w:hAnsi="Times New Roman" w:cs="Times New Roman"/>
                <w:sz w:val="21"/>
                <w:szCs w:val="21"/>
              </w:rPr>
              <w:t>.4</w:t>
            </w:r>
          </w:p>
        </w:tc>
        <w:tc>
          <w:tcPr>
            <w:tcW w:w="595" w:type="pct"/>
            <w:tcBorders>
              <w:tl2br w:val="nil"/>
              <w:tr2bl w:val="nil"/>
            </w:tcBorders>
            <w:vAlign w:val="center"/>
          </w:tcPr>
          <w:p w14:paraId="5DDAB54D"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广布</w:t>
            </w:r>
            <w:r>
              <w:rPr>
                <w:rFonts w:ascii="Times New Roman" w:eastAsia="宋体" w:hAnsi="Times New Roman" w:cs="Times New Roman"/>
                <w:sz w:val="21"/>
                <w:szCs w:val="21"/>
              </w:rPr>
              <w:t>种</w:t>
            </w:r>
          </w:p>
        </w:tc>
        <w:tc>
          <w:tcPr>
            <w:tcW w:w="425" w:type="pct"/>
            <w:tcBorders>
              <w:tl2br w:val="nil"/>
              <w:tr2bl w:val="nil"/>
            </w:tcBorders>
            <w:vAlign w:val="center"/>
          </w:tcPr>
          <w:p w14:paraId="2A6A2989"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45C82916"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2ADD134D"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国家二级</w:t>
            </w:r>
          </w:p>
        </w:tc>
        <w:tc>
          <w:tcPr>
            <w:tcW w:w="415" w:type="pct"/>
            <w:tcBorders>
              <w:tl2br w:val="nil"/>
              <w:tr2bl w:val="nil"/>
            </w:tcBorders>
            <w:vAlign w:val="center"/>
          </w:tcPr>
          <w:p w14:paraId="7E3A306F"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近危</w:t>
            </w:r>
          </w:p>
        </w:tc>
      </w:tr>
      <w:tr w:rsidR="009D12AF" w14:paraId="5D2ED395" w14:textId="77777777">
        <w:trPr>
          <w:trHeight w:val="221"/>
          <w:jc w:val="center"/>
        </w:trPr>
        <w:tc>
          <w:tcPr>
            <w:tcW w:w="1611" w:type="pct"/>
            <w:tcBorders>
              <w:tl2br w:val="nil"/>
              <w:tr2bl w:val="nil"/>
            </w:tcBorders>
            <w:vAlign w:val="center"/>
          </w:tcPr>
          <w:p w14:paraId="3B3340D3"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89" w:name="_Hlk207722738"/>
            <w:r>
              <w:rPr>
                <w:rFonts w:ascii="Times New Roman" w:eastAsia="宋体" w:hAnsi="Times New Roman" w:cs="Times New Roman"/>
                <w:sz w:val="21"/>
                <w:szCs w:val="21"/>
              </w:rPr>
              <w:t>中华秋沙鸭</w:t>
            </w:r>
            <w:bookmarkEnd w:id="289"/>
          </w:p>
          <w:p w14:paraId="384AAA08" w14:textId="77777777" w:rsidR="009D12AF" w:rsidRDefault="00000000">
            <w:pPr>
              <w:widowControl/>
              <w:spacing w:after="160" w:line="0" w:lineRule="atLeast"/>
              <w:ind w:firstLineChars="0" w:firstLine="0"/>
              <w:jc w:val="left"/>
              <w:rPr>
                <w:rFonts w:ascii="Times New Roman" w:eastAsia="宋体" w:hAnsi="Times New Roman" w:cs="Times New Roman"/>
                <w:sz w:val="21"/>
                <w:szCs w:val="21"/>
              </w:rPr>
            </w:pPr>
            <w:bookmarkStart w:id="290" w:name="_Hlk207722748"/>
            <w:r>
              <w:rPr>
                <w:rFonts w:ascii="Times New Roman" w:eastAsia="宋体" w:hAnsi="Times New Roman" w:cs="Times New Roman"/>
                <w:i/>
                <w:iCs/>
                <w:sz w:val="21"/>
                <w:szCs w:val="21"/>
              </w:rPr>
              <w:t>Mergus squamatus</w:t>
            </w:r>
            <w:bookmarkEnd w:id="290"/>
          </w:p>
        </w:tc>
        <w:tc>
          <w:tcPr>
            <w:tcW w:w="593" w:type="pct"/>
            <w:tcBorders>
              <w:tl2br w:val="nil"/>
              <w:tr2bl w:val="nil"/>
            </w:tcBorders>
            <w:vAlign w:val="center"/>
          </w:tcPr>
          <w:p w14:paraId="2369C468"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1</w:t>
            </w:r>
            <w:r>
              <w:rPr>
                <w:rFonts w:ascii="Times New Roman" w:eastAsia="宋体" w:hAnsi="Times New Roman" w:cs="Times New Roman"/>
                <w:sz w:val="21"/>
                <w:szCs w:val="21"/>
              </w:rPr>
              <w:t>.2</w:t>
            </w:r>
          </w:p>
        </w:tc>
        <w:tc>
          <w:tcPr>
            <w:tcW w:w="595" w:type="pct"/>
            <w:tcBorders>
              <w:tl2br w:val="nil"/>
              <w:tr2bl w:val="nil"/>
            </w:tcBorders>
            <w:vAlign w:val="center"/>
          </w:tcPr>
          <w:p w14:paraId="2BA098E8"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4B16CEED"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450D4159"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2890D8B6"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国家一级</w:t>
            </w:r>
          </w:p>
        </w:tc>
        <w:tc>
          <w:tcPr>
            <w:tcW w:w="415" w:type="pct"/>
            <w:tcBorders>
              <w:tl2br w:val="nil"/>
              <w:tr2bl w:val="nil"/>
            </w:tcBorders>
            <w:vAlign w:val="center"/>
          </w:tcPr>
          <w:p w14:paraId="57D68EBD"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濒危</w:t>
            </w:r>
          </w:p>
        </w:tc>
      </w:tr>
      <w:tr w:rsidR="009D12AF" w14:paraId="595A1272" w14:textId="77777777">
        <w:trPr>
          <w:trHeight w:val="221"/>
          <w:jc w:val="center"/>
        </w:trPr>
        <w:tc>
          <w:tcPr>
            <w:tcW w:w="5000" w:type="pct"/>
            <w:gridSpan w:val="8"/>
            <w:tcBorders>
              <w:tl2br w:val="nil"/>
              <w:tr2bl w:val="nil"/>
            </w:tcBorders>
            <w:vAlign w:val="center"/>
          </w:tcPr>
          <w:p w14:paraId="6877DCAF" w14:textId="77777777" w:rsidR="009D12AF" w:rsidRDefault="00000000">
            <w:pPr>
              <w:numPr>
                <w:ilvl w:val="0"/>
                <w:numId w:val="21"/>
              </w:numPr>
              <w:spacing w:after="160" w:line="300" w:lineRule="auto"/>
              <w:ind w:firstLineChars="0" w:firstLine="0"/>
              <w:jc w:val="left"/>
              <w:rPr>
                <w:rFonts w:ascii="宋体" w:eastAsia="宋体" w:hAnsi="宋体" w:cs="宋体" w:hint="eastAsia"/>
                <w:kern w:val="0"/>
                <w:sz w:val="21"/>
                <w:szCs w:val="21"/>
              </w:rPr>
            </w:pPr>
            <w:r>
              <w:rPr>
                <w:rFonts w:ascii="Times New Roman" w:eastAsia="宋体" w:hAnsi="Times New Roman" w:cs="Times New Roman" w:hint="eastAsia"/>
                <w:b/>
                <w:bCs/>
                <w:sz w:val="21"/>
                <w:szCs w:val="21"/>
              </w:rPr>
              <w:t>雀</w:t>
            </w:r>
            <w:r>
              <w:rPr>
                <w:rFonts w:ascii="Times New Roman" w:eastAsia="宋体" w:hAnsi="Times New Roman" w:cs="Times New Roman"/>
                <w:b/>
                <w:bCs/>
                <w:sz w:val="21"/>
                <w:szCs w:val="21"/>
              </w:rPr>
              <w:t>形目</w:t>
            </w:r>
            <w:r>
              <w:rPr>
                <w:rFonts w:ascii="Times New Roman" w:eastAsia="宋体" w:hAnsi="Times New Roman" w:cs="Times New Roman"/>
                <w:b/>
                <w:bCs/>
                <w:sz w:val="21"/>
                <w:szCs w:val="21"/>
              </w:rPr>
              <w:t xml:space="preserve"> PASSERIFORMES</w:t>
            </w:r>
          </w:p>
        </w:tc>
      </w:tr>
      <w:tr w:rsidR="009D12AF" w14:paraId="7B026953" w14:textId="77777777">
        <w:trPr>
          <w:trHeight w:val="221"/>
          <w:jc w:val="center"/>
        </w:trPr>
        <w:tc>
          <w:tcPr>
            <w:tcW w:w="5000" w:type="pct"/>
            <w:gridSpan w:val="8"/>
            <w:tcBorders>
              <w:tl2br w:val="nil"/>
              <w:tr2bl w:val="nil"/>
            </w:tcBorders>
            <w:vAlign w:val="center"/>
          </w:tcPr>
          <w:p w14:paraId="6F827654"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燕科</w:t>
            </w:r>
            <w:r>
              <w:rPr>
                <w:rFonts w:ascii="Times New Roman" w:eastAsia="宋体" w:hAnsi="Times New Roman" w:cs="Times New Roman"/>
                <w:b/>
                <w:bCs/>
                <w:sz w:val="21"/>
                <w:szCs w:val="21"/>
              </w:rPr>
              <w:t xml:space="preserve"> </w:t>
            </w:r>
            <w:r>
              <w:rPr>
                <w:rFonts w:ascii="Times New Roman" w:eastAsia="宋体" w:hAnsi="Times New Roman" w:cs="Times New Roman"/>
                <w:b/>
                <w:bCs/>
                <w:i/>
                <w:iCs/>
                <w:sz w:val="21"/>
                <w:szCs w:val="21"/>
              </w:rPr>
              <w:t>Hirundinida</w:t>
            </w:r>
          </w:p>
        </w:tc>
      </w:tr>
      <w:tr w:rsidR="009D12AF" w14:paraId="69DF1A28" w14:textId="77777777">
        <w:trPr>
          <w:trHeight w:val="221"/>
          <w:jc w:val="center"/>
        </w:trPr>
        <w:tc>
          <w:tcPr>
            <w:tcW w:w="1611" w:type="pct"/>
            <w:tcBorders>
              <w:tl2br w:val="nil"/>
              <w:tr2bl w:val="nil"/>
            </w:tcBorders>
            <w:vAlign w:val="center"/>
          </w:tcPr>
          <w:p w14:paraId="268F9C40"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91" w:name="_Hlk207112344"/>
            <w:r>
              <w:rPr>
                <w:rFonts w:ascii="Times New Roman" w:eastAsia="宋体" w:hAnsi="Times New Roman" w:cs="Times New Roman" w:hint="eastAsia"/>
                <w:sz w:val="21"/>
                <w:szCs w:val="21"/>
              </w:rPr>
              <w:t>灰沙</w:t>
            </w:r>
            <w:r>
              <w:rPr>
                <w:rFonts w:ascii="Times New Roman" w:eastAsia="宋体" w:hAnsi="Times New Roman" w:cs="Times New Roman"/>
                <w:sz w:val="21"/>
                <w:szCs w:val="21"/>
              </w:rPr>
              <w:t>燕</w:t>
            </w:r>
            <w:bookmarkEnd w:id="291"/>
          </w:p>
          <w:p w14:paraId="6E6A09E8" w14:textId="77777777" w:rsidR="009D12AF" w:rsidRDefault="00000000">
            <w:pPr>
              <w:widowControl/>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i/>
                <w:iCs/>
                <w:sz w:val="21"/>
                <w:szCs w:val="21"/>
              </w:rPr>
              <w:t>Riparia riparia</w:t>
            </w:r>
          </w:p>
        </w:tc>
        <w:tc>
          <w:tcPr>
            <w:tcW w:w="593" w:type="pct"/>
            <w:tcBorders>
              <w:tl2br w:val="nil"/>
              <w:tr2bl w:val="nil"/>
            </w:tcBorders>
            <w:vAlign w:val="center"/>
          </w:tcPr>
          <w:p w14:paraId="750AEE22"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3.4</w:t>
            </w:r>
          </w:p>
        </w:tc>
        <w:tc>
          <w:tcPr>
            <w:tcW w:w="595" w:type="pct"/>
            <w:tcBorders>
              <w:tl2br w:val="nil"/>
              <w:tr2bl w:val="nil"/>
            </w:tcBorders>
            <w:vAlign w:val="center"/>
          </w:tcPr>
          <w:p w14:paraId="3F5E7B13"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26A450F6"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08C2A4AB"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2E33E98C"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189366E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3594D9B7" w14:textId="77777777">
        <w:trPr>
          <w:trHeight w:val="221"/>
          <w:jc w:val="center"/>
        </w:trPr>
        <w:tc>
          <w:tcPr>
            <w:tcW w:w="1611" w:type="pct"/>
            <w:tcBorders>
              <w:tl2br w:val="nil"/>
              <w:tr2bl w:val="nil"/>
            </w:tcBorders>
            <w:vAlign w:val="center"/>
          </w:tcPr>
          <w:p w14:paraId="2EFB6EDD"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r>
              <w:rPr>
                <w:rFonts w:ascii="Times New Roman" w:eastAsia="宋体" w:hAnsi="Times New Roman" w:cs="Times New Roman"/>
                <w:sz w:val="21"/>
                <w:szCs w:val="21"/>
              </w:rPr>
              <w:t>家燕</w:t>
            </w:r>
          </w:p>
          <w:p w14:paraId="7ED8D133" w14:textId="77777777" w:rsidR="009D12AF" w:rsidRDefault="00000000">
            <w:pPr>
              <w:widowControl/>
              <w:spacing w:after="160" w:line="0" w:lineRule="atLeast"/>
              <w:ind w:firstLineChars="0" w:firstLine="0"/>
              <w:jc w:val="left"/>
              <w:rPr>
                <w:rFonts w:ascii="Times New Roman" w:eastAsia="宋体" w:hAnsi="Times New Roman" w:cs="Times New Roman"/>
                <w:i/>
                <w:iCs/>
                <w:sz w:val="21"/>
                <w:szCs w:val="21"/>
              </w:rPr>
            </w:pPr>
            <w:r>
              <w:rPr>
                <w:rFonts w:ascii="Times New Roman" w:eastAsia="宋体" w:hAnsi="Times New Roman" w:cs="Times New Roman"/>
                <w:i/>
                <w:iCs/>
                <w:sz w:val="21"/>
                <w:szCs w:val="21"/>
              </w:rPr>
              <w:t>Hirundo rustica</w:t>
            </w:r>
          </w:p>
        </w:tc>
        <w:tc>
          <w:tcPr>
            <w:tcW w:w="593" w:type="pct"/>
            <w:tcBorders>
              <w:tl2br w:val="nil"/>
              <w:tr2bl w:val="nil"/>
            </w:tcBorders>
            <w:vAlign w:val="center"/>
          </w:tcPr>
          <w:p w14:paraId="5EDE8537"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3</w:t>
            </w:r>
          </w:p>
        </w:tc>
        <w:tc>
          <w:tcPr>
            <w:tcW w:w="595" w:type="pct"/>
            <w:tcBorders>
              <w:tl2br w:val="nil"/>
              <w:tr2bl w:val="nil"/>
            </w:tcBorders>
            <w:vAlign w:val="center"/>
          </w:tcPr>
          <w:p w14:paraId="19A97A3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15C1F3F6"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4CB8DA64"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目击</w:t>
            </w:r>
          </w:p>
        </w:tc>
        <w:tc>
          <w:tcPr>
            <w:tcW w:w="674" w:type="pct"/>
            <w:tcBorders>
              <w:tl2br w:val="nil"/>
              <w:tr2bl w:val="nil"/>
            </w:tcBorders>
            <w:vAlign w:val="center"/>
          </w:tcPr>
          <w:p w14:paraId="6A9F06BE"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71D28DBF"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无危</w:t>
            </w:r>
          </w:p>
        </w:tc>
      </w:tr>
      <w:tr w:rsidR="009D12AF" w14:paraId="61C06501" w14:textId="77777777">
        <w:trPr>
          <w:trHeight w:val="221"/>
          <w:jc w:val="center"/>
        </w:trPr>
        <w:tc>
          <w:tcPr>
            <w:tcW w:w="1611" w:type="pct"/>
            <w:tcBorders>
              <w:tl2br w:val="nil"/>
              <w:tr2bl w:val="nil"/>
            </w:tcBorders>
            <w:vAlign w:val="center"/>
          </w:tcPr>
          <w:p w14:paraId="2A7108BD"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r>
              <w:rPr>
                <w:rFonts w:ascii="Times New Roman" w:eastAsia="宋体" w:hAnsi="Times New Roman" w:cs="Times New Roman"/>
                <w:sz w:val="21"/>
                <w:szCs w:val="21"/>
              </w:rPr>
              <w:t>金腰燕</w:t>
            </w:r>
          </w:p>
          <w:p w14:paraId="4D690A89" w14:textId="77777777" w:rsidR="009D12AF" w:rsidRDefault="00000000">
            <w:pPr>
              <w:widowControl/>
              <w:spacing w:after="160" w:line="0" w:lineRule="atLeast"/>
              <w:ind w:firstLineChars="0" w:firstLine="0"/>
              <w:jc w:val="left"/>
              <w:rPr>
                <w:rFonts w:ascii="Times New Roman" w:eastAsia="宋体" w:hAnsi="Times New Roman" w:cs="Times New Roman"/>
                <w:i/>
                <w:iCs/>
                <w:sz w:val="21"/>
                <w:szCs w:val="21"/>
              </w:rPr>
            </w:pPr>
            <w:r>
              <w:rPr>
                <w:rFonts w:ascii="Times New Roman" w:eastAsia="宋体" w:hAnsi="Times New Roman" w:cs="Times New Roman" w:hint="eastAsia"/>
                <w:i/>
                <w:iCs/>
                <w:sz w:val="21"/>
                <w:szCs w:val="21"/>
              </w:rPr>
              <w:t>Cecropis daurica</w:t>
            </w:r>
          </w:p>
        </w:tc>
        <w:tc>
          <w:tcPr>
            <w:tcW w:w="593" w:type="pct"/>
            <w:tcBorders>
              <w:tl2br w:val="nil"/>
              <w:tr2bl w:val="nil"/>
            </w:tcBorders>
            <w:vAlign w:val="center"/>
          </w:tcPr>
          <w:p w14:paraId="51C5F55F"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3</w:t>
            </w:r>
          </w:p>
        </w:tc>
        <w:tc>
          <w:tcPr>
            <w:tcW w:w="595" w:type="pct"/>
            <w:tcBorders>
              <w:tl2br w:val="nil"/>
              <w:tr2bl w:val="nil"/>
            </w:tcBorders>
            <w:vAlign w:val="center"/>
          </w:tcPr>
          <w:p w14:paraId="326321EB"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2018F722"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78CDA71E"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目击</w:t>
            </w:r>
          </w:p>
        </w:tc>
        <w:tc>
          <w:tcPr>
            <w:tcW w:w="674" w:type="pct"/>
            <w:tcBorders>
              <w:tl2br w:val="nil"/>
              <w:tr2bl w:val="nil"/>
            </w:tcBorders>
            <w:vAlign w:val="center"/>
          </w:tcPr>
          <w:p w14:paraId="04912CF4"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50763447"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02346C27" w14:textId="77777777">
        <w:trPr>
          <w:trHeight w:val="221"/>
          <w:jc w:val="center"/>
        </w:trPr>
        <w:tc>
          <w:tcPr>
            <w:tcW w:w="5000" w:type="pct"/>
            <w:gridSpan w:val="8"/>
            <w:tcBorders>
              <w:tl2br w:val="nil"/>
              <w:tr2bl w:val="nil"/>
            </w:tcBorders>
            <w:vAlign w:val="center"/>
          </w:tcPr>
          <w:p w14:paraId="2CEFAFB5"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鹡鸰科</w:t>
            </w:r>
            <w:r>
              <w:rPr>
                <w:rFonts w:ascii="Times New Roman" w:eastAsia="宋体" w:hAnsi="Times New Roman" w:cs="Times New Roman"/>
                <w:b/>
                <w:bCs/>
                <w:sz w:val="21"/>
                <w:szCs w:val="21"/>
              </w:rPr>
              <w:t xml:space="preserve"> </w:t>
            </w:r>
            <w:r>
              <w:rPr>
                <w:rFonts w:ascii="Times New Roman" w:eastAsia="宋体" w:hAnsi="Times New Roman" w:cs="Times New Roman"/>
                <w:b/>
                <w:bCs/>
                <w:i/>
                <w:iCs/>
                <w:sz w:val="21"/>
                <w:szCs w:val="21"/>
              </w:rPr>
              <w:t>Motacillidae</w:t>
            </w:r>
          </w:p>
        </w:tc>
      </w:tr>
      <w:tr w:rsidR="009D12AF" w14:paraId="2B2D3A5A" w14:textId="77777777">
        <w:trPr>
          <w:trHeight w:val="221"/>
          <w:jc w:val="center"/>
        </w:trPr>
        <w:tc>
          <w:tcPr>
            <w:tcW w:w="1611" w:type="pct"/>
            <w:tcBorders>
              <w:tl2br w:val="nil"/>
              <w:tr2bl w:val="nil"/>
            </w:tcBorders>
            <w:vAlign w:val="center"/>
          </w:tcPr>
          <w:p w14:paraId="3025CCE4"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92" w:name="_Hlk207112383"/>
            <w:r>
              <w:rPr>
                <w:rFonts w:ascii="Times New Roman" w:eastAsia="宋体" w:hAnsi="Times New Roman" w:cs="Times New Roman"/>
                <w:sz w:val="21"/>
                <w:szCs w:val="21"/>
              </w:rPr>
              <w:t>灰鹡鸰</w:t>
            </w:r>
            <w:bookmarkEnd w:id="292"/>
          </w:p>
          <w:p w14:paraId="35320D90" w14:textId="77777777" w:rsidR="009D12AF" w:rsidRDefault="00000000">
            <w:pPr>
              <w:widowControl/>
              <w:spacing w:after="160" w:line="0" w:lineRule="atLeast"/>
              <w:ind w:firstLineChars="0" w:firstLine="0"/>
              <w:jc w:val="left"/>
              <w:rPr>
                <w:rFonts w:ascii="Times New Roman" w:eastAsia="宋体" w:hAnsi="Times New Roman" w:cs="Times New Roman"/>
                <w:i/>
                <w:iCs/>
                <w:sz w:val="21"/>
                <w:szCs w:val="21"/>
              </w:rPr>
            </w:pPr>
            <w:r>
              <w:rPr>
                <w:rFonts w:ascii="Times New Roman" w:eastAsia="宋体" w:hAnsi="Times New Roman" w:cs="Times New Roman"/>
                <w:i/>
                <w:iCs/>
                <w:sz w:val="21"/>
                <w:szCs w:val="21"/>
              </w:rPr>
              <w:t>Motacilla cinerea</w:t>
            </w:r>
          </w:p>
        </w:tc>
        <w:tc>
          <w:tcPr>
            <w:tcW w:w="593" w:type="pct"/>
            <w:tcBorders>
              <w:tl2br w:val="nil"/>
              <w:tr2bl w:val="nil"/>
            </w:tcBorders>
            <w:vAlign w:val="center"/>
          </w:tcPr>
          <w:p w14:paraId="5C3F29C6"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3.4</w:t>
            </w:r>
          </w:p>
        </w:tc>
        <w:tc>
          <w:tcPr>
            <w:tcW w:w="595" w:type="pct"/>
            <w:tcBorders>
              <w:tl2br w:val="nil"/>
              <w:tr2bl w:val="nil"/>
            </w:tcBorders>
            <w:vAlign w:val="center"/>
          </w:tcPr>
          <w:p w14:paraId="7E32704F"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700B8FAA"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06936E76"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61016887"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0E13DDB6"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6E5C7C30" w14:textId="77777777">
        <w:trPr>
          <w:trHeight w:val="221"/>
          <w:jc w:val="center"/>
        </w:trPr>
        <w:tc>
          <w:tcPr>
            <w:tcW w:w="1611" w:type="pct"/>
            <w:tcBorders>
              <w:tl2br w:val="nil"/>
              <w:tr2bl w:val="nil"/>
            </w:tcBorders>
            <w:vAlign w:val="center"/>
          </w:tcPr>
          <w:p w14:paraId="0124611F"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93" w:name="_Hlk207112481"/>
            <w:r>
              <w:rPr>
                <w:rFonts w:ascii="Times New Roman" w:eastAsia="宋体" w:hAnsi="Times New Roman" w:cs="Times New Roman"/>
                <w:sz w:val="21"/>
                <w:szCs w:val="21"/>
              </w:rPr>
              <w:t>白鹡鸰</w:t>
            </w:r>
            <w:bookmarkEnd w:id="293"/>
          </w:p>
          <w:p w14:paraId="6BAE8E3E" w14:textId="77777777" w:rsidR="009D12AF" w:rsidRDefault="00000000">
            <w:pPr>
              <w:widowControl/>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i/>
                <w:iCs/>
                <w:sz w:val="21"/>
                <w:szCs w:val="21"/>
              </w:rPr>
              <w:t>Motacilla alba</w:t>
            </w:r>
          </w:p>
        </w:tc>
        <w:tc>
          <w:tcPr>
            <w:tcW w:w="593" w:type="pct"/>
            <w:tcBorders>
              <w:tl2br w:val="nil"/>
              <w:tr2bl w:val="nil"/>
            </w:tcBorders>
            <w:vAlign w:val="center"/>
          </w:tcPr>
          <w:p w14:paraId="2293D24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3.4</w:t>
            </w:r>
          </w:p>
        </w:tc>
        <w:tc>
          <w:tcPr>
            <w:tcW w:w="595" w:type="pct"/>
            <w:tcBorders>
              <w:tl2br w:val="nil"/>
              <w:tr2bl w:val="nil"/>
            </w:tcBorders>
            <w:vAlign w:val="center"/>
          </w:tcPr>
          <w:p w14:paraId="1BF655BE"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54442819"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55C32B43"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3B5F7D8F"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5960B71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4E0C0D3A" w14:textId="77777777">
        <w:trPr>
          <w:trHeight w:val="221"/>
          <w:jc w:val="center"/>
        </w:trPr>
        <w:tc>
          <w:tcPr>
            <w:tcW w:w="1611" w:type="pct"/>
            <w:tcBorders>
              <w:tl2br w:val="nil"/>
              <w:tr2bl w:val="nil"/>
            </w:tcBorders>
            <w:vAlign w:val="center"/>
          </w:tcPr>
          <w:p w14:paraId="6D153C4A"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94" w:name="_Hlk207112503"/>
            <w:r>
              <w:rPr>
                <w:rFonts w:ascii="Times New Roman" w:eastAsia="宋体" w:hAnsi="Times New Roman" w:cs="Times New Roman"/>
                <w:sz w:val="21"/>
                <w:szCs w:val="21"/>
              </w:rPr>
              <w:t>树鹨</w:t>
            </w:r>
            <w:bookmarkEnd w:id="294"/>
          </w:p>
          <w:p w14:paraId="62B6D0A7" w14:textId="77777777" w:rsidR="009D12AF" w:rsidRDefault="00000000">
            <w:pPr>
              <w:widowControl/>
              <w:spacing w:after="160" w:line="0" w:lineRule="atLeast"/>
              <w:ind w:firstLineChars="0" w:firstLine="0"/>
              <w:jc w:val="left"/>
              <w:rPr>
                <w:rFonts w:ascii="Times New Roman" w:eastAsia="宋体" w:hAnsi="Times New Roman" w:cs="Times New Roman"/>
                <w:i/>
                <w:iCs/>
                <w:sz w:val="21"/>
                <w:szCs w:val="21"/>
              </w:rPr>
            </w:pPr>
            <w:r>
              <w:rPr>
                <w:rFonts w:ascii="Times New Roman" w:eastAsia="宋体" w:hAnsi="Times New Roman" w:cs="Times New Roman"/>
                <w:i/>
                <w:iCs/>
                <w:sz w:val="21"/>
                <w:szCs w:val="21"/>
              </w:rPr>
              <w:t>Anthus hodgsoni</w:t>
            </w:r>
          </w:p>
        </w:tc>
        <w:tc>
          <w:tcPr>
            <w:tcW w:w="593" w:type="pct"/>
            <w:tcBorders>
              <w:tl2br w:val="nil"/>
              <w:tr2bl w:val="nil"/>
            </w:tcBorders>
            <w:vAlign w:val="center"/>
          </w:tcPr>
          <w:p w14:paraId="1A6F748E"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w:t>
            </w:r>
          </w:p>
        </w:tc>
        <w:tc>
          <w:tcPr>
            <w:tcW w:w="595" w:type="pct"/>
            <w:tcBorders>
              <w:tl2br w:val="nil"/>
              <w:tr2bl w:val="nil"/>
            </w:tcBorders>
            <w:vAlign w:val="center"/>
          </w:tcPr>
          <w:p w14:paraId="40D735EA"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1B3C330B"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6F7EE916"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72C0E4C1"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6D14B260"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无危</w:t>
            </w:r>
          </w:p>
        </w:tc>
      </w:tr>
      <w:tr w:rsidR="009D12AF" w14:paraId="056E493C" w14:textId="77777777">
        <w:trPr>
          <w:trHeight w:val="221"/>
          <w:jc w:val="center"/>
        </w:trPr>
        <w:tc>
          <w:tcPr>
            <w:tcW w:w="5000" w:type="pct"/>
            <w:gridSpan w:val="8"/>
            <w:tcBorders>
              <w:tl2br w:val="nil"/>
              <w:tr2bl w:val="nil"/>
            </w:tcBorders>
            <w:vAlign w:val="center"/>
          </w:tcPr>
          <w:p w14:paraId="3F6449C1"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sz w:val="21"/>
                <w:szCs w:val="21"/>
              </w:rPr>
              <w:t>山椒鸟科</w:t>
            </w:r>
            <w:r>
              <w:rPr>
                <w:rFonts w:ascii="Times New Roman" w:eastAsia="宋体" w:hAnsi="Times New Roman" w:cs="Times New Roman"/>
                <w:b/>
                <w:bCs/>
                <w:sz w:val="21"/>
                <w:szCs w:val="21"/>
              </w:rPr>
              <w:t xml:space="preserve"> </w:t>
            </w:r>
            <w:r>
              <w:rPr>
                <w:rFonts w:ascii="Times New Roman" w:eastAsia="宋体" w:hAnsi="Times New Roman" w:cs="Times New Roman"/>
                <w:b/>
                <w:bCs/>
                <w:i/>
                <w:iCs/>
                <w:sz w:val="21"/>
                <w:szCs w:val="21"/>
              </w:rPr>
              <w:t>Campephgidae</w:t>
            </w:r>
          </w:p>
        </w:tc>
      </w:tr>
      <w:tr w:rsidR="009D12AF" w14:paraId="525FEF31" w14:textId="77777777">
        <w:trPr>
          <w:trHeight w:val="221"/>
          <w:jc w:val="center"/>
        </w:trPr>
        <w:tc>
          <w:tcPr>
            <w:tcW w:w="1611" w:type="pct"/>
            <w:tcBorders>
              <w:tl2br w:val="nil"/>
              <w:tr2bl w:val="nil"/>
            </w:tcBorders>
            <w:vAlign w:val="center"/>
          </w:tcPr>
          <w:p w14:paraId="72FC2749"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95" w:name="_Hlk207112612"/>
            <w:r>
              <w:rPr>
                <w:rFonts w:ascii="Times New Roman" w:eastAsia="宋体" w:hAnsi="Times New Roman" w:cs="Times New Roman"/>
                <w:sz w:val="21"/>
                <w:szCs w:val="21"/>
              </w:rPr>
              <w:t>灰山椒鸟</w:t>
            </w:r>
            <w:bookmarkEnd w:id="295"/>
          </w:p>
          <w:p w14:paraId="4E7C06F7" w14:textId="77777777" w:rsidR="009D12AF" w:rsidRDefault="00000000">
            <w:pPr>
              <w:widowControl/>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i/>
                <w:iCs/>
                <w:sz w:val="21"/>
                <w:szCs w:val="21"/>
              </w:rPr>
              <w:t>Pericrocotus divaricatus</w:t>
            </w:r>
          </w:p>
        </w:tc>
        <w:tc>
          <w:tcPr>
            <w:tcW w:w="593" w:type="pct"/>
            <w:tcBorders>
              <w:tl2br w:val="nil"/>
              <w:tr2bl w:val="nil"/>
            </w:tcBorders>
            <w:vAlign w:val="center"/>
          </w:tcPr>
          <w:p w14:paraId="07241DDB"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w:t>
            </w:r>
          </w:p>
        </w:tc>
        <w:tc>
          <w:tcPr>
            <w:tcW w:w="595" w:type="pct"/>
            <w:tcBorders>
              <w:tl2br w:val="nil"/>
              <w:tr2bl w:val="nil"/>
            </w:tcBorders>
            <w:vAlign w:val="center"/>
          </w:tcPr>
          <w:p w14:paraId="0F9A1229"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东洋种</w:t>
            </w:r>
          </w:p>
        </w:tc>
        <w:tc>
          <w:tcPr>
            <w:tcW w:w="425" w:type="pct"/>
            <w:tcBorders>
              <w:tl2br w:val="nil"/>
              <w:tr2bl w:val="nil"/>
            </w:tcBorders>
            <w:vAlign w:val="center"/>
          </w:tcPr>
          <w:p w14:paraId="24B759D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28FDF6EE"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31F6C4EE"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62EDA857"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41C641EA" w14:textId="77777777">
        <w:trPr>
          <w:trHeight w:val="221"/>
          <w:jc w:val="center"/>
        </w:trPr>
        <w:tc>
          <w:tcPr>
            <w:tcW w:w="5000" w:type="pct"/>
            <w:gridSpan w:val="8"/>
            <w:tcBorders>
              <w:tl2br w:val="nil"/>
              <w:tr2bl w:val="nil"/>
            </w:tcBorders>
            <w:vAlign w:val="center"/>
          </w:tcPr>
          <w:p w14:paraId="4567FF9F" w14:textId="77777777" w:rsidR="009D12AF" w:rsidRDefault="00000000">
            <w:pPr>
              <w:widowControl/>
              <w:numPr>
                <w:ilvl w:val="0"/>
                <w:numId w:val="24"/>
              </w:numPr>
              <w:spacing w:after="160" w:line="0" w:lineRule="atLeast"/>
              <w:ind w:firstLineChars="0" w:firstLine="0"/>
              <w:jc w:val="left"/>
              <w:rPr>
                <w:rFonts w:ascii="Times New Roman" w:eastAsia="宋体" w:hAnsi="Times New Roman" w:cs="Times New Roman"/>
                <w:b/>
                <w:bCs/>
                <w:spacing w:val="18"/>
                <w:sz w:val="21"/>
                <w:szCs w:val="21"/>
              </w:rPr>
            </w:pPr>
            <w:r>
              <w:rPr>
                <w:rFonts w:ascii="Times New Roman" w:eastAsia="宋体" w:hAnsi="Times New Roman" w:cs="Times New Roman"/>
                <w:b/>
                <w:bCs/>
                <w:sz w:val="21"/>
                <w:szCs w:val="21"/>
              </w:rPr>
              <w:t>太平鸟科</w:t>
            </w:r>
            <w:r>
              <w:rPr>
                <w:rFonts w:ascii="Times New Roman" w:eastAsia="宋体" w:hAnsi="Times New Roman" w:cs="Times New Roman"/>
                <w:b/>
                <w:bCs/>
                <w:spacing w:val="17"/>
                <w:sz w:val="21"/>
                <w:szCs w:val="21"/>
              </w:rPr>
              <w:t xml:space="preserve"> </w:t>
            </w:r>
            <w:r>
              <w:rPr>
                <w:rFonts w:ascii="Times New Roman" w:eastAsia="宋体" w:hAnsi="Times New Roman" w:cs="Times New Roman"/>
                <w:b/>
                <w:bCs/>
                <w:i/>
                <w:iCs/>
                <w:sz w:val="21"/>
                <w:szCs w:val="21"/>
              </w:rPr>
              <w:t>Bombycillidae</w:t>
            </w:r>
          </w:p>
        </w:tc>
      </w:tr>
      <w:tr w:rsidR="009D12AF" w14:paraId="46B952D8" w14:textId="77777777">
        <w:trPr>
          <w:trHeight w:val="221"/>
          <w:jc w:val="center"/>
        </w:trPr>
        <w:tc>
          <w:tcPr>
            <w:tcW w:w="1611" w:type="pct"/>
            <w:tcBorders>
              <w:tl2br w:val="nil"/>
              <w:tr2bl w:val="nil"/>
            </w:tcBorders>
            <w:vAlign w:val="center"/>
          </w:tcPr>
          <w:p w14:paraId="6DDB8EF6"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r>
              <w:rPr>
                <w:rFonts w:ascii="Times New Roman" w:eastAsia="宋体" w:hAnsi="Times New Roman" w:cs="Times New Roman"/>
                <w:sz w:val="21"/>
                <w:szCs w:val="21"/>
              </w:rPr>
              <w:t>太平鸟</w:t>
            </w:r>
          </w:p>
          <w:p w14:paraId="1B087538" w14:textId="77777777" w:rsidR="009D12AF" w:rsidRDefault="00000000">
            <w:pPr>
              <w:widowControl/>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hint="eastAsia"/>
                <w:i/>
                <w:iCs/>
                <w:sz w:val="21"/>
                <w:szCs w:val="21"/>
              </w:rPr>
              <w:t>Bombycilla garrulus</w:t>
            </w:r>
          </w:p>
        </w:tc>
        <w:tc>
          <w:tcPr>
            <w:tcW w:w="593" w:type="pct"/>
            <w:tcBorders>
              <w:tl2br w:val="nil"/>
              <w:tr2bl w:val="nil"/>
            </w:tcBorders>
            <w:vAlign w:val="center"/>
          </w:tcPr>
          <w:p w14:paraId="2E85B6F1"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w:t>
            </w:r>
          </w:p>
        </w:tc>
        <w:tc>
          <w:tcPr>
            <w:tcW w:w="595" w:type="pct"/>
            <w:tcBorders>
              <w:tl2br w:val="nil"/>
              <w:tr2bl w:val="nil"/>
            </w:tcBorders>
            <w:vAlign w:val="center"/>
          </w:tcPr>
          <w:p w14:paraId="5AC80DF8"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47CCDBCE"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pacing w:val="1"/>
                <w:position w:val="1"/>
                <w:sz w:val="21"/>
                <w:szCs w:val="21"/>
              </w:rPr>
              <w:t>+</w:t>
            </w:r>
          </w:p>
        </w:tc>
        <w:tc>
          <w:tcPr>
            <w:tcW w:w="683" w:type="pct"/>
            <w:gridSpan w:val="2"/>
            <w:tcBorders>
              <w:tl2br w:val="nil"/>
              <w:tr2bl w:val="nil"/>
            </w:tcBorders>
            <w:vAlign w:val="center"/>
          </w:tcPr>
          <w:p w14:paraId="19193937"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77B4C27A"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黑龙江省级</w:t>
            </w:r>
          </w:p>
        </w:tc>
        <w:tc>
          <w:tcPr>
            <w:tcW w:w="415" w:type="pct"/>
            <w:tcBorders>
              <w:tl2br w:val="nil"/>
              <w:tr2bl w:val="nil"/>
            </w:tcBorders>
            <w:vAlign w:val="center"/>
          </w:tcPr>
          <w:p w14:paraId="6C95B7CE"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39E6CB18" w14:textId="77777777">
        <w:trPr>
          <w:trHeight w:val="221"/>
          <w:jc w:val="center"/>
        </w:trPr>
        <w:tc>
          <w:tcPr>
            <w:tcW w:w="5000" w:type="pct"/>
            <w:gridSpan w:val="8"/>
            <w:tcBorders>
              <w:tl2br w:val="nil"/>
              <w:tr2bl w:val="nil"/>
            </w:tcBorders>
            <w:vAlign w:val="center"/>
          </w:tcPr>
          <w:p w14:paraId="4EAC0FCB"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pacing w:val="17"/>
                <w:sz w:val="21"/>
                <w:szCs w:val="21"/>
              </w:rPr>
            </w:pPr>
            <w:r>
              <w:rPr>
                <w:rFonts w:ascii="Times New Roman" w:eastAsia="宋体" w:hAnsi="Times New Roman" w:cs="Times New Roman"/>
                <w:b/>
                <w:bCs/>
                <w:sz w:val="21"/>
                <w:szCs w:val="21"/>
              </w:rPr>
              <w:t>伯劳科</w:t>
            </w:r>
            <w:r>
              <w:rPr>
                <w:rFonts w:ascii="Times New Roman" w:eastAsia="宋体" w:hAnsi="Times New Roman" w:cs="Times New Roman"/>
                <w:b/>
                <w:bCs/>
                <w:spacing w:val="14"/>
                <w:sz w:val="21"/>
                <w:szCs w:val="21"/>
              </w:rPr>
              <w:t xml:space="preserve"> </w:t>
            </w:r>
            <w:r>
              <w:rPr>
                <w:rFonts w:ascii="Times New Roman" w:eastAsia="宋体" w:hAnsi="Times New Roman" w:cs="Times New Roman"/>
                <w:b/>
                <w:bCs/>
                <w:i/>
                <w:iCs/>
                <w:sz w:val="21"/>
                <w:szCs w:val="21"/>
              </w:rPr>
              <w:t>Laniidae</w:t>
            </w:r>
          </w:p>
        </w:tc>
      </w:tr>
      <w:tr w:rsidR="009D12AF" w14:paraId="4F66AF37" w14:textId="77777777">
        <w:trPr>
          <w:trHeight w:val="221"/>
          <w:jc w:val="center"/>
        </w:trPr>
        <w:tc>
          <w:tcPr>
            <w:tcW w:w="1611" w:type="pct"/>
            <w:tcBorders>
              <w:tl2br w:val="nil"/>
              <w:tr2bl w:val="nil"/>
            </w:tcBorders>
            <w:vAlign w:val="center"/>
          </w:tcPr>
          <w:p w14:paraId="660A2438"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96" w:name="_Hlk207112903"/>
            <w:r>
              <w:rPr>
                <w:rFonts w:ascii="Times New Roman" w:eastAsia="宋体" w:hAnsi="Times New Roman" w:cs="Times New Roman"/>
                <w:sz w:val="21"/>
                <w:szCs w:val="21"/>
              </w:rPr>
              <w:t>红尾伯劳</w:t>
            </w:r>
            <w:bookmarkEnd w:id="296"/>
          </w:p>
          <w:p w14:paraId="2E1C63A4" w14:textId="77777777" w:rsidR="009D12AF" w:rsidRDefault="00000000">
            <w:pPr>
              <w:widowControl/>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i/>
                <w:iCs/>
                <w:sz w:val="21"/>
                <w:szCs w:val="21"/>
              </w:rPr>
              <w:lastRenderedPageBreak/>
              <w:t>Lanius cristatus</w:t>
            </w:r>
          </w:p>
        </w:tc>
        <w:tc>
          <w:tcPr>
            <w:tcW w:w="593" w:type="pct"/>
            <w:tcBorders>
              <w:tl2br w:val="nil"/>
              <w:tr2bl w:val="nil"/>
            </w:tcBorders>
            <w:vAlign w:val="center"/>
          </w:tcPr>
          <w:p w14:paraId="1227689E"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lastRenderedPageBreak/>
              <w:t>4</w:t>
            </w:r>
          </w:p>
        </w:tc>
        <w:tc>
          <w:tcPr>
            <w:tcW w:w="595" w:type="pct"/>
            <w:tcBorders>
              <w:tl2br w:val="nil"/>
              <w:tr2bl w:val="nil"/>
            </w:tcBorders>
            <w:vAlign w:val="center"/>
          </w:tcPr>
          <w:p w14:paraId="0CE5274E"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4E218DC3"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pacing w:val="1"/>
                <w:position w:val="1"/>
                <w:sz w:val="21"/>
                <w:szCs w:val="21"/>
              </w:rPr>
              <w:t>+</w:t>
            </w:r>
            <w:r>
              <w:rPr>
                <w:rFonts w:ascii="Times New Roman" w:eastAsia="宋体" w:hAnsi="Times New Roman" w:cs="Times New Roman"/>
                <w:position w:val="1"/>
                <w:sz w:val="21"/>
                <w:szCs w:val="21"/>
              </w:rPr>
              <w:t>+</w:t>
            </w:r>
          </w:p>
        </w:tc>
        <w:tc>
          <w:tcPr>
            <w:tcW w:w="683" w:type="pct"/>
            <w:gridSpan w:val="2"/>
            <w:tcBorders>
              <w:tl2br w:val="nil"/>
              <w:tr2bl w:val="nil"/>
            </w:tcBorders>
            <w:vAlign w:val="center"/>
          </w:tcPr>
          <w:p w14:paraId="7848550B"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09F373B8"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5BAB22E6"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73E4B93C" w14:textId="77777777">
        <w:trPr>
          <w:trHeight w:val="221"/>
          <w:jc w:val="center"/>
        </w:trPr>
        <w:tc>
          <w:tcPr>
            <w:tcW w:w="1611" w:type="pct"/>
            <w:tcBorders>
              <w:tl2br w:val="nil"/>
              <w:tr2bl w:val="nil"/>
            </w:tcBorders>
            <w:vAlign w:val="center"/>
          </w:tcPr>
          <w:p w14:paraId="315CACC5"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97" w:name="_Hlk207113065"/>
            <w:r>
              <w:rPr>
                <w:rFonts w:ascii="Times New Roman" w:eastAsia="宋体" w:hAnsi="Times New Roman" w:cs="Times New Roman" w:hint="eastAsia"/>
                <w:sz w:val="21"/>
                <w:szCs w:val="21"/>
              </w:rPr>
              <w:t>灰伯劳</w:t>
            </w:r>
            <w:bookmarkEnd w:id="297"/>
          </w:p>
          <w:p w14:paraId="4B5CC899" w14:textId="77777777" w:rsidR="009D12AF" w:rsidRDefault="00000000">
            <w:pPr>
              <w:widowControl/>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i/>
                <w:iCs/>
                <w:sz w:val="21"/>
                <w:szCs w:val="21"/>
              </w:rPr>
              <w:t xml:space="preserve">Lanius </w:t>
            </w:r>
            <w:r>
              <w:rPr>
                <w:rFonts w:ascii="Times New Roman" w:eastAsia="宋体" w:hAnsi="Times New Roman" w:cs="Times New Roman" w:hint="eastAsia"/>
                <w:i/>
                <w:iCs/>
                <w:sz w:val="21"/>
                <w:szCs w:val="21"/>
              </w:rPr>
              <w:t>ex</w:t>
            </w:r>
            <w:r>
              <w:rPr>
                <w:rFonts w:ascii="Times New Roman" w:eastAsia="宋体" w:hAnsi="Times New Roman" w:cs="Times New Roman"/>
                <w:i/>
                <w:iCs/>
                <w:sz w:val="21"/>
                <w:szCs w:val="21"/>
              </w:rPr>
              <w:t>cubitor</w:t>
            </w:r>
          </w:p>
        </w:tc>
        <w:tc>
          <w:tcPr>
            <w:tcW w:w="593" w:type="pct"/>
            <w:tcBorders>
              <w:tl2br w:val="nil"/>
              <w:tr2bl w:val="nil"/>
            </w:tcBorders>
            <w:vAlign w:val="center"/>
          </w:tcPr>
          <w:p w14:paraId="418876EA"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3.4</w:t>
            </w:r>
          </w:p>
        </w:tc>
        <w:tc>
          <w:tcPr>
            <w:tcW w:w="595" w:type="pct"/>
            <w:tcBorders>
              <w:tl2br w:val="nil"/>
              <w:tr2bl w:val="nil"/>
            </w:tcBorders>
            <w:vAlign w:val="center"/>
          </w:tcPr>
          <w:p w14:paraId="2B46C6FA"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w:t>
            </w:r>
            <w:r>
              <w:rPr>
                <w:rFonts w:ascii="Times New Roman" w:eastAsia="宋体" w:hAnsi="Times New Roman" w:cs="Times New Roman" w:hint="eastAsia"/>
                <w:sz w:val="21"/>
                <w:szCs w:val="21"/>
              </w:rPr>
              <w:t>种</w:t>
            </w:r>
          </w:p>
        </w:tc>
        <w:tc>
          <w:tcPr>
            <w:tcW w:w="425" w:type="pct"/>
            <w:tcBorders>
              <w:tl2br w:val="nil"/>
              <w:tr2bl w:val="nil"/>
            </w:tcBorders>
            <w:vAlign w:val="center"/>
          </w:tcPr>
          <w:p w14:paraId="554C21BC" w14:textId="77777777" w:rsidR="009D12AF" w:rsidRDefault="00000000">
            <w:pPr>
              <w:widowControl/>
              <w:spacing w:after="160" w:line="0" w:lineRule="atLeast"/>
              <w:ind w:firstLineChars="0" w:firstLine="0"/>
              <w:jc w:val="center"/>
              <w:rPr>
                <w:rFonts w:ascii="Times New Roman" w:eastAsia="宋体" w:hAnsi="Times New Roman" w:cs="Times New Roman"/>
                <w:spacing w:val="1"/>
                <w:position w:val="1"/>
                <w:sz w:val="21"/>
                <w:szCs w:val="21"/>
              </w:rPr>
            </w:pPr>
            <w:r>
              <w:rPr>
                <w:rFonts w:ascii="Times New Roman" w:eastAsia="宋体" w:hAnsi="Times New Roman" w:cs="Times New Roman"/>
                <w:spacing w:val="1"/>
                <w:position w:val="1"/>
                <w:sz w:val="21"/>
                <w:szCs w:val="21"/>
              </w:rPr>
              <w:t>+</w:t>
            </w:r>
          </w:p>
        </w:tc>
        <w:tc>
          <w:tcPr>
            <w:tcW w:w="683" w:type="pct"/>
            <w:gridSpan w:val="2"/>
            <w:tcBorders>
              <w:tl2br w:val="nil"/>
              <w:tr2bl w:val="nil"/>
            </w:tcBorders>
            <w:vAlign w:val="center"/>
          </w:tcPr>
          <w:p w14:paraId="64B71CFC"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5FDFDAC5" w14:textId="77777777" w:rsidR="009D12AF" w:rsidRDefault="00000000">
            <w:pPr>
              <w:widowControl/>
              <w:spacing w:after="160" w:line="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29D88EA2"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17B1BB22" w14:textId="77777777">
        <w:trPr>
          <w:trHeight w:val="221"/>
          <w:jc w:val="center"/>
        </w:trPr>
        <w:tc>
          <w:tcPr>
            <w:tcW w:w="5000" w:type="pct"/>
            <w:gridSpan w:val="8"/>
            <w:tcBorders>
              <w:tl2br w:val="nil"/>
              <w:tr2bl w:val="nil"/>
            </w:tcBorders>
            <w:vAlign w:val="center"/>
          </w:tcPr>
          <w:p w14:paraId="28A33194"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pacing w:val="15"/>
                <w:sz w:val="21"/>
                <w:szCs w:val="21"/>
              </w:rPr>
            </w:pPr>
            <w:r>
              <w:rPr>
                <w:rFonts w:ascii="Times New Roman" w:eastAsia="宋体" w:hAnsi="Times New Roman" w:cs="Times New Roman"/>
                <w:b/>
                <w:bCs/>
                <w:sz w:val="21"/>
                <w:szCs w:val="21"/>
              </w:rPr>
              <w:t>椋鸟科</w:t>
            </w:r>
            <w:r>
              <w:rPr>
                <w:rFonts w:ascii="Times New Roman" w:eastAsia="宋体" w:hAnsi="Times New Roman" w:cs="Times New Roman"/>
                <w:b/>
                <w:bCs/>
                <w:spacing w:val="15"/>
                <w:sz w:val="21"/>
                <w:szCs w:val="21"/>
              </w:rPr>
              <w:t xml:space="preserve"> </w:t>
            </w:r>
            <w:r>
              <w:rPr>
                <w:rFonts w:ascii="Times New Roman" w:eastAsia="宋体" w:hAnsi="Times New Roman" w:cs="Times New Roman"/>
                <w:b/>
                <w:bCs/>
                <w:i/>
                <w:iCs/>
                <w:sz w:val="21"/>
                <w:szCs w:val="21"/>
              </w:rPr>
              <w:t>Sturnidae</w:t>
            </w:r>
          </w:p>
        </w:tc>
      </w:tr>
      <w:tr w:rsidR="009D12AF" w14:paraId="502C9AB8" w14:textId="77777777">
        <w:trPr>
          <w:trHeight w:val="221"/>
          <w:jc w:val="center"/>
        </w:trPr>
        <w:tc>
          <w:tcPr>
            <w:tcW w:w="1611" w:type="pct"/>
            <w:tcBorders>
              <w:tl2br w:val="nil"/>
              <w:tr2bl w:val="nil"/>
            </w:tcBorders>
            <w:vAlign w:val="center"/>
          </w:tcPr>
          <w:p w14:paraId="1864BBF4"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298" w:name="_Hlk207113180"/>
            <w:r>
              <w:rPr>
                <w:rFonts w:ascii="Times New Roman" w:eastAsia="宋体" w:hAnsi="Times New Roman" w:cs="Times New Roman"/>
                <w:sz w:val="21"/>
                <w:szCs w:val="21"/>
              </w:rPr>
              <w:t>北椋鸟</w:t>
            </w:r>
            <w:bookmarkEnd w:id="298"/>
          </w:p>
          <w:p w14:paraId="6B8B46BF" w14:textId="77777777" w:rsidR="009D12AF" w:rsidRDefault="00000000">
            <w:pPr>
              <w:widowControl/>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hint="eastAsia"/>
                <w:i/>
                <w:iCs/>
                <w:sz w:val="21"/>
                <w:szCs w:val="21"/>
              </w:rPr>
              <w:t>Agropsar sturninus</w:t>
            </w:r>
          </w:p>
        </w:tc>
        <w:tc>
          <w:tcPr>
            <w:tcW w:w="593" w:type="pct"/>
            <w:tcBorders>
              <w:tl2br w:val="nil"/>
              <w:tr2bl w:val="nil"/>
            </w:tcBorders>
            <w:vAlign w:val="center"/>
          </w:tcPr>
          <w:p w14:paraId="5925F5B0"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3.4</w:t>
            </w:r>
          </w:p>
        </w:tc>
        <w:tc>
          <w:tcPr>
            <w:tcW w:w="595" w:type="pct"/>
            <w:tcBorders>
              <w:tl2br w:val="nil"/>
              <w:tr2bl w:val="nil"/>
            </w:tcBorders>
            <w:vAlign w:val="center"/>
          </w:tcPr>
          <w:p w14:paraId="204F34C9"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19A8C050"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position w:val="1"/>
                <w:sz w:val="21"/>
                <w:szCs w:val="21"/>
              </w:rPr>
              <w:t>+</w:t>
            </w:r>
            <w:r>
              <w:rPr>
                <w:rFonts w:ascii="Times New Roman" w:eastAsia="宋体" w:hAnsi="Times New Roman" w:cs="Times New Roman"/>
                <w:spacing w:val="2"/>
                <w:position w:val="1"/>
                <w:sz w:val="21"/>
                <w:szCs w:val="21"/>
              </w:rPr>
              <w:t>++</w:t>
            </w:r>
          </w:p>
        </w:tc>
        <w:tc>
          <w:tcPr>
            <w:tcW w:w="683" w:type="pct"/>
            <w:gridSpan w:val="2"/>
            <w:tcBorders>
              <w:tl2br w:val="nil"/>
              <w:tr2bl w:val="nil"/>
            </w:tcBorders>
            <w:vAlign w:val="center"/>
          </w:tcPr>
          <w:p w14:paraId="79E686DD"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1BD0C94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33C60EA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5AC06FC6" w14:textId="77777777">
        <w:trPr>
          <w:trHeight w:val="221"/>
          <w:jc w:val="center"/>
        </w:trPr>
        <w:tc>
          <w:tcPr>
            <w:tcW w:w="1611" w:type="pct"/>
            <w:tcBorders>
              <w:tl2br w:val="nil"/>
              <w:tr2bl w:val="nil"/>
            </w:tcBorders>
            <w:vAlign w:val="center"/>
          </w:tcPr>
          <w:p w14:paraId="5A386952"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r>
              <w:rPr>
                <w:rFonts w:ascii="Times New Roman" w:eastAsia="宋体" w:hAnsi="Times New Roman" w:cs="Times New Roman"/>
                <w:sz w:val="21"/>
                <w:szCs w:val="21"/>
              </w:rPr>
              <w:t>灰椋鸟</w:t>
            </w:r>
          </w:p>
          <w:p w14:paraId="412D5EE2" w14:textId="77777777" w:rsidR="009D12AF" w:rsidRDefault="00000000">
            <w:pPr>
              <w:widowControl/>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hint="eastAsia"/>
                <w:i/>
                <w:iCs/>
                <w:sz w:val="21"/>
                <w:szCs w:val="21"/>
              </w:rPr>
              <w:t>Spodiopsar cineraceus</w:t>
            </w:r>
          </w:p>
        </w:tc>
        <w:tc>
          <w:tcPr>
            <w:tcW w:w="593" w:type="pct"/>
            <w:tcBorders>
              <w:tl2br w:val="nil"/>
              <w:tr2bl w:val="nil"/>
            </w:tcBorders>
            <w:vAlign w:val="center"/>
          </w:tcPr>
          <w:p w14:paraId="049DD3C1"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3.4</w:t>
            </w:r>
          </w:p>
        </w:tc>
        <w:tc>
          <w:tcPr>
            <w:tcW w:w="595" w:type="pct"/>
            <w:tcBorders>
              <w:tl2br w:val="nil"/>
              <w:tr2bl w:val="nil"/>
            </w:tcBorders>
            <w:vAlign w:val="center"/>
          </w:tcPr>
          <w:p w14:paraId="35D149D0"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39097AF8"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pacing w:val="2"/>
                <w:position w:val="1"/>
                <w:sz w:val="21"/>
                <w:szCs w:val="21"/>
              </w:rPr>
              <w:t>++</w:t>
            </w:r>
          </w:p>
        </w:tc>
        <w:tc>
          <w:tcPr>
            <w:tcW w:w="683" w:type="pct"/>
            <w:gridSpan w:val="2"/>
            <w:tcBorders>
              <w:tl2br w:val="nil"/>
              <w:tr2bl w:val="nil"/>
            </w:tcBorders>
            <w:vAlign w:val="center"/>
          </w:tcPr>
          <w:p w14:paraId="3BBF3DBB"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32B00D4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26F9DDD8"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6F059C7C" w14:textId="77777777">
        <w:trPr>
          <w:trHeight w:val="221"/>
          <w:jc w:val="center"/>
        </w:trPr>
        <w:tc>
          <w:tcPr>
            <w:tcW w:w="5000" w:type="pct"/>
            <w:gridSpan w:val="8"/>
            <w:tcBorders>
              <w:tl2br w:val="nil"/>
              <w:tr2bl w:val="nil"/>
            </w:tcBorders>
            <w:vAlign w:val="center"/>
          </w:tcPr>
          <w:p w14:paraId="238CE3A3"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pacing w:val="16"/>
                <w:sz w:val="21"/>
                <w:szCs w:val="21"/>
              </w:rPr>
            </w:pPr>
            <w:r>
              <w:rPr>
                <w:rFonts w:ascii="Times New Roman" w:eastAsia="宋体" w:hAnsi="Times New Roman" w:cs="Times New Roman"/>
                <w:b/>
                <w:bCs/>
                <w:sz w:val="21"/>
                <w:szCs w:val="21"/>
              </w:rPr>
              <w:t>鸦科</w:t>
            </w:r>
            <w:r>
              <w:rPr>
                <w:rFonts w:ascii="Times New Roman" w:eastAsia="宋体" w:hAnsi="Times New Roman" w:cs="Times New Roman"/>
                <w:b/>
                <w:bCs/>
                <w:spacing w:val="16"/>
                <w:sz w:val="21"/>
                <w:szCs w:val="21"/>
              </w:rPr>
              <w:t xml:space="preserve"> </w:t>
            </w:r>
            <w:r>
              <w:rPr>
                <w:rFonts w:ascii="Times New Roman" w:eastAsia="宋体" w:hAnsi="Times New Roman" w:cs="Times New Roman"/>
                <w:b/>
                <w:bCs/>
                <w:i/>
                <w:iCs/>
                <w:sz w:val="21"/>
                <w:szCs w:val="21"/>
              </w:rPr>
              <w:t>Corvidae</w:t>
            </w:r>
          </w:p>
        </w:tc>
      </w:tr>
      <w:tr w:rsidR="009D12AF" w14:paraId="639E6043" w14:textId="77777777">
        <w:trPr>
          <w:trHeight w:val="221"/>
          <w:jc w:val="center"/>
        </w:trPr>
        <w:tc>
          <w:tcPr>
            <w:tcW w:w="1611" w:type="pct"/>
            <w:tcBorders>
              <w:tl2br w:val="nil"/>
              <w:tr2bl w:val="nil"/>
            </w:tcBorders>
            <w:vAlign w:val="center"/>
          </w:tcPr>
          <w:p w14:paraId="45512AB2"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pacing w:val="19"/>
                <w:sz w:val="21"/>
                <w:szCs w:val="21"/>
              </w:rPr>
            </w:pPr>
            <w:bookmarkStart w:id="299" w:name="_Hlk207113380"/>
            <w:r>
              <w:rPr>
                <w:rFonts w:ascii="Times New Roman" w:eastAsia="宋体" w:hAnsi="Times New Roman" w:cs="Times New Roman"/>
                <w:sz w:val="21"/>
                <w:szCs w:val="21"/>
              </w:rPr>
              <w:t>松鸦</w:t>
            </w:r>
            <w:bookmarkEnd w:id="299"/>
          </w:p>
          <w:p w14:paraId="55DFCCFF" w14:textId="77777777" w:rsidR="009D12AF" w:rsidRDefault="00000000">
            <w:pPr>
              <w:widowControl/>
              <w:spacing w:after="160" w:line="0" w:lineRule="atLeast"/>
              <w:ind w:firstLineChars="0" w:firstLine="0"/>
              <w:jc w:val="left"/>
              <w:rPr>
                <w:rFonts w:ascii="Times New Roman" w:eastAsia="宋体" w:hAnsi="Times New Roman" w:cs="Times New Roman"/>
                <w:spacing w:val="19"/>
                <w:sz w:val="21"/>
                <w:szCs w:val="21"/>
              </w:rPr>
            </w:pPr>
            <w:r>
              <w:rPr>
                <w:rFonts w:ascii="Times New Roman" w:eastAsia="宋体" w:hAnsi="Times New Roman" w:cs="Times New Roman"/>
                <w:i/>
                <w:iCs/>
                <w:sz w:val="21"/>
                <w:szCs w:val="21"/>
              </w:rPr>
              <w:t>Garrulus glandarius</w:t>
            </w:r>
          </w:p>
        </w:tc>
        <w:tc>
          <w:tcPr>
            <w:tcW w:w="593" w:type="pct"/>
            <w:tcBorders>
              <w:tl2br w:val="nil"/>
              <w:tr2bl w:val="nil"/>
            </w:tcBorders>
            <w:vAlign w:val="center"/>
          </w:tcPr>
          <w:p w14:paraId="05C846C8"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w:t>
            </w:r>
          </w:p>
        </w:tc>
        <w:tc>
          <w:tcPr>
            <w:tcW w:w="595" w:type="pct"/>
            <w:tcBorders>
              <w:tl2br w:val="nil"/>
              <w:tr2bl w:val="nil"/>
            </w:tcBorders>
            <w:vAlign w:val="center"/>
          </w:tcPr>
          <w:p w14:paraId="6F500899"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6C66BA49"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pacing w:val="2"/>
                <w:position w:val="1"/>
                <w:sz w:val="21"/>
                <w:szCs w:val="21"/>
              </w:rPr>
              <w:t>+++</w:t>
            </w:r>
          </w:p>
        </w:tc>
        <w:tc>
          <w:tcPr>
            <w:tcW w:w="683" w:type="pct"/>
            <w:gridSpan w:val="2"/>
            <w:tcBorders>
              <w:tl2br w:val="nil"/>
              <w:tr2bl w:val="nil"/>
            </w:tcBorders>
            <w:vAlign w:val="center"/>
          </w:tcPr>
          <w:p w14:paraId="3C056128"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356CFEE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317B55FC"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61EC7BA4" w14:textId="77777777">
        <w:trPr>
          <w:trHeight w:val="221"/>
          <w:jc w:val="center"/>
        </w:trPr>
        <w:tc>
          <w:tcPr>
            <w:tcW w:w="1611" w:type="pct"/>
            <w:tcBorders>
              <w:tl2br w:val="nil"/>
              <w:tr2bl w:val="nil"/>
            </w:tcBorders>
            <w:vAlign w:val="center"/>
          </w:tcPr>
          <w:p w14:paraId="4DDFE1A0"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pacing w:val="19"/>
                <w:sz w:val="21"/>
                <w:szCs w:val="21"/>
              </w:rPr>
            </w:pPr>
            <w:bookmarkStart w:id="300" w:name="_Hlk207113385"/>
            <w:r>
              <w:rPr>
                <w:rFonts w:ascii="Times New Roman" w:eastAsia="宋体" w:hAnsi="Times New Roman" w:cs="Times New Roman"/>
                <w:sz w:val="21"/>
                <w:szCs w:val="21"/>
              </w:rPr>
              <w:t>灰喜鹊</w:t>
            </w:r>
            <w:bookmarkEnd w:id="300"/>
          </w:p>
          <w:p w14:paraId="20DF978F" w14:textId="77777777" w:rsidR="009D12AF" w:rsidRDefault="00000000">
            <w:pPr>
              <w:widowControl/>
              <w:spacing w:after="160" w:line="0" w:lineRule="atLeast"/>
              <w:ind w:firstLineChars="0" w:firstLine="0"/>
              <w:jc w:val="left"/>
              <w:rPr>
                <w:rFonts w:ascii="Times New Roman" w:eastAsia="宋体" w:hAnsi="Times New Roman" w:cs="Times New Roman"/>
                <w:spacing w:val="19"/>
                <w:sz w:val="21"/>
                <w:szCs w:val="21"/>
              </w:rPr>
            </w:pPr>
            <w:r>
              <w:rPr>
                <w:rFonts w:ascii="Times New Roman" w:eastAsia="宋体" w:hAnsi="Times New Roman" w:cs="Times New Roman" w:hint="eastAsia"/>
                <w:i/>
                <w:iCs/>
                <w:sz w:val="21"/>
                <w:szCs w:val="21"/>
              </w:rPr>
              <w:t>Cyanopica cyanus</w:t>
            </w:r>
          </w:p>
        </w:tc>
        <w:tc>
          <w:tcPr>
            <w:tcW w:w="593" w:type="pct"/>
            <w:tcBorders>
              <w:tl2br w:val="nil"/>
              <w:tr2bl w:val="nil"/>
            </w:tcBorders>
            <w:vAlign w:val="center"/>
          </w:tcPr>
          <w:p w14:paraId="3CC61A06"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w:t>
            </w:r>
          </w:p>
        </w:tc>
        <w:tc>
          <w:tcPr>
            <w:tcW w:w="595" w:type="pct"/>
            <w:tcBorders>
              <w:tl2br w:val="nil"/>
              <w:tr2bl w:val="nil"/>
            </w:tcBorders>
            <w:vAlign w:val="center"/>
          </w:tcPr>
          <w:p w14:paraId="16E12030"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559C9A44"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pacing w:val="2"/>
                <w:position w:val="1"/>
                <w:sz w:val="21"/>
                <w:szCs w:val="21"/>
              </w:rPr>
              <w:t>+++</w:t>
            </w:r>
          </w:p>
        </w:tc>
        <w:tc>
          <w:tcPr>
            <w:tcW w:w="683" w:type="pct"/>
            <w:gridSpan w:val="2"/>
            <w:tcBorders>
              <w:tl2br w:val="nil"/>
              <w:tr2bl w:val="nil"/>
            </w:tcBorders>
            <w:vAlign w:val="center"/>
          </w:tcPr>
          <w:p w14:paraId="73D711D2"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1CD38D71"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7AE5EE1B"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77EB7F53" w14:textId="77777777">
        <w:trPr>
          <w:trHeight w:val="221"/>
          <w:jc w:val="center"/>
        </w:trPr>
        <w:tc>
          <w:tcPr>
            <w:tcW w:w="1611" w:type="pct"/>
            <w:tcBorders>
              <w:tl2br w:val="nil"/>
              <w:tr2bl w:val="nil"/>
            </w:tcBorders>
            <w:vAlign w:val="center"/>
          </w:tcPr>
          <w:p w14:paraId="485029E7"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pacing w:val="48"/>
                <w:sz w:val="21"/>
                <w:szCs w:val="21"/>
              </w:rPr>
            </w:pPr>
            <w:bookmarkStart w:id="301" w:name="_Hlk207113389"/>
            <w:r>
              <w:rPr>
                <w:rFonts w:ascii="Times New Roman" w:eastAsia="宋体" w:hAnsi="Times New Roman" w:cs="Times New Roman"/>
                <w:sz w:val="21"/>
                <w:szCs w:val="21"/>
              </w:rPr>
              <w:t>喜鹊</w:t>
            </w:r>
            <w:bookmarkEnd w:id="301"/>
          </w:p>
          <w:p w14:paraId="46646F44" w14:textId="77777777" w:rsidR="009D12AF" w:rsidRDefault="00000000">
            <w:pPr>
              <w:widowControl/>
              <w:spacing w:after="160" w:line="0" w:lineRule="atLeast"/>
              <w:ind w:firstLineChars="0" w:firstLine="0"/>
              <w:jc w:val="left"/>
              <w:rPr>
                <w:rFonts w:ascii="Times New Roman" w:eastAsia="宋体" w:hAnsi="Times New Roman" w:cs="Times New Roman"/>
                <w:i/>
                <w:iCs/>
                <w:spacing w:val="48"/>
                <w:sz w:val="21"/>
                <w:szCs w:val="21"/>
              </w:rPr>
            </w:pPr>
            <w:r>
              <w:rPr>
                <w:rFonts w:ascii="Times New Roman" w:eastAsia="宋体" w:hAnsi="Times New Roman" w:cs="Times New Roman"/>
                <w:i/>
                <w:iCs/>
                <w:sz w:val="21"/>
                <w:szCs w:val="21"/>
              </w:rPr>
              <w:t>Pica pica</w:t>
            </w:r>
          </w:p>
        </w:tc>
        <w:tc>
          <w:tcPr>
            <w:tcW w:w="593" w:type="pct"/>
            <w:tcBorders>
              <w:tl2br w:val="nil"/>
              <w:tr2bl w:val="nil"/>
            </w:tcBorders>
            <w:vAlign w:val="center"/>
          </w:tcPr>
          <w:p w14:paraId="160D503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3.4</w:t>
            </w:r>
          </w:p>
        </w:tc>
        <w:tc>
          <w:tcPr>
            <w:tcW w:w="595" w:type="pct"/>
            <w:tcBorders>
              <w:tl2br w:val="nil"/>
              <w:tr2bl w:val="nil"/>
            </w:tcBorders>
            <w:vAlign w:val="center"/>
          </w:tcPr>
          <w:p w14:paraId="17CAC631"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5921FD79"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position w:val="1"/>
                <w:sz w:val="21"/>
                <w:szCs w:val="21"/>
              </w:rPr>
              <w:t>+++</w:t>
            </w:r>
          </w:p>
        </w:tc>
        <w:tc>
          <w:tcPr>
            <w:tcW w:w="683" w:type="pct"/>
            <w:gridSpan w:val="2"/>
            <w:tcBorders>
              <w:tl2br w:val="nil"/>
              <w:tr2bl w:val="nil"/>
            </w:tcBorders>
            <w:vAlign w:val="center"/>
          </w:tcPr>
          <w:p w14:paraId="0805E33A"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目击</w:t>
            </w:r>
          </w:p>
        </w:tc>
        <w:tc>
          <w:tcPr>
            <w:tcW w:w="674" w:type="pct"/>
            <w:tcBorders>
              <w:tl2br w:val="nil"/>
              <w:tr2bl w:val="nil"/>
            </w:tcBorders>
            <w:vAlign w:val="center"/>
          </w:tcPr>
          <w:p w14:paraId="64EADA7F"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20CD1D58"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无危</w:t>
            </w:r>
          </w:p>
        </w:tc>
      </w:tr>
      <w:tr w:rsidR="009D12AF" w14:paraId="58251FCD" w14:textId="77777777">
        <w:trPr>
          <w:trHeight w:val="221"/>
          <w:jc w:val="center"/>
        </w:trPr>
        <w:tc>
          <w:tcPr>
            <w:tcW w:w="1611" w:type="pct"/>
            <w:tcBorders>
              <w:tl2br w:val="nil"/>
              <w:tr2bl w:val="nil"/>
            </w:tcBorders>
            <w:vAlign w:val="center"/>
          </w:tcPr>
          <w:p w14:paraId="2080827F"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pacing w:val="19"/>
                <w:sz w:val="21"/>
                <w:szCs w:val="21"/>
              </w:rPr>
            </w:pPr>
            <w:bookmarkStart w:id="302" w:name="_Hlk207113393"/>
            <w:r>
              <w:rPr>
                <w:rFonts w:ascii="Times New Roman" w:eastAsia="宋体" w:hAnsi="Times New Roman" w:cs="Times New Roman"/>
                <w:sz w:val="21"/>
                <w:szCs w:val="21"/>
              </w:rPr>
              <w:t>小嘴乌鸦</w:t>
            </w:r>
            <w:bookmarkEnd w:id="302"/>
          </w:p>
          <w:p w14:paraId="7D1B18FA" w14:textId="77777777" w:rsidR="009D12AF" w:rsidRDefault="00000000">
            <w:pPr>
              <w:widowControl/>
              <w:spacing w:after="160" w:line="0" w:lineRule="atLeast"/>
              <w:ind w:firstLineChars="0" w:firstLine="0"/>
              <w:jc w:val="left"/>
              <w:rPr>
                <w:rFonts w:ascii="Times New Roman" w:eastAsia="宋体" w:hAnsi="Times New Roman" w:cs="Times New Roman"/>
                <w:spacing w:val="19"/>
                <w:sz w:val="21"/>
                <w:szCs w:val="21"/>
              </w:rPr>
            </w:pPr>
            <w:r>
              <w:rPr>
                <w:rFonts w:ascii="Times New Roman" w:eastAsia="宋体" w:hAnsi="Times New Roman" w:cs="Times New Roman"/>
                <w:i/>
                <w:iCs/>
                <w:sz w:val="21"/>
                <w:szCs w:val="21"/>
              </w:rPr>
              <w:t>Corvus corone</w:t>
            </w:r>
          </w:p>
        </w:tc>
        <w:tc>
          <w:tcPr>
            <w:tcW w:w="593" w:type="pct"/>
            <w:tcBorders>
              <w:tl2br w:val="nil"/>
              <w:tr2bl w:val="nil"/>
            </w:tcBorders>
            <w:vAlign w:val="center"/>
          </w:tcPr>
          <w:p w14:paraId="139A1CAB"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w:t>
            </w:r>
          </w:p>
        </w:tc>
        <w:tc>
          <w:tcPr>
            <w:tcW w:w="595" w:type="pct"/>
            <w:tcBorders>
              <w:tl2br w:val="nil"/>
              <w:tr2bl w:val="nil"/>
            </w:tcBorders>
            <w:vAlign w:val="center"/>
          </w:tcPr>
          <w:p w14:paraId="1A4A8AB0"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38B74F1D"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pacing w:val="1"/>
                <w:position w:val="1"/>
                <w:sz w:val="21"/>
                <w:szCs w:val="21"/>
              </w:rPr>
              <w:t>+</w:t>
            </w:r>
            <w:r>
              <w:rPr>
                <w:rFonts w:ascii="Times New Roman" w:eastAsia="宋体" w:hAnsi="Times New Roman" w:cs="Times New Roman"/>
                <w:position w:val="1"/>
                <w:sz w:val="21"/>
                <w:szCs w:val="21"/>
              </w:rPr>
              <w:t>+</w:t>
            </w:r>
          </w:p>
        </w:tc>
        <w:tc>
          <w:tcPr>
            <w:tcW w:w="683" w:type="pct"/>
            <w:gridSpan w:val="2"/>
            <w:tcBorders>
              <w:tl2br w:val="nil"/>
              <w:tr2bl w:val="nil"/>
            </w:tcBorders>
            <w:vAlign w:val="center"/>
          </w:tcPr>
          <w:p w14:paraId="6B62E8D2"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目击</w:t>
            </w:r>
          </w:p>
        </w:tc>
        <w:tc>
          <w:tcPr>
            <w:tcW w:w="674" w:type="pct"/>
            <w:tcBorders>
              <w:tl2br w:val="nil"/>
              <w:tr2bl w:val="nil"/>
            </w:tcBorders>
            <w:vAlign w:val="center"/>
          </w:tcPr>
          <w:p w14:paraId="4C8A9F99"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7D198C37"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2C2BB8E1" w14:textId="77777777">
        <w:trPr>
          <w:trHeight w:val="221"/>
          <w:jc w:val="center"/>
        </w:trPr>
        <w:tc>
          <w:tcPr>
            <w:tcW w:w="1611" w:type="pct"/>
            <w:tcBorders>
              <w:tl2br w:val="nil"/>
              <w:tr2bl w:val="nil"/>
            </w:tcBorders>
            <w:vAlign w:val="center"/>
          </w:tcPr>
          <w:p w14:paraId="2341E533"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303" w:name="_Hlk207113397"/>
            <w:r>
              <w:rPr>
                <w:rFonts w:ascii="Times New Roman" w:eastAsia="宋体" w:hAnsi="Times New Roman" w:cs="Times New Roman"/>
                <w:sz w:val="21"/>
                <w:szCs w:val="21"/>
              </w:rPr>
              <w:t>大嘴乌鸦</w:t>
            </w:r>
            <w:bookmarkEnd w:id="303"/>
          </w:p>
          <w:p w14:paraId="32029452" w14:textId="77777777" w:rsidR="009D12AF" w:rsidRDefault="00000000">
            <w:pPr>
              <w:widowControl/>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i/>
                <w:iCs/>
                <w:sz w:val="21"/>
                <w:szCs w:val="21"/>
              </w:rPr>
              <w:t>Corvus macrorhynchos</w:t>
            </w:r>
          </w:p>
        </w:tc>
        <w:tc>
          <w:tcPr>
            <w:tcW w:w="593" w:type="pct"/>
            <w:tcBorders>
              <w:tl2br w:val="nil"/>
              <w:tr2bl w:val="nil"/>
            </w:tcBorders>
            <w:vAlign w:val="center"/>
          </w:tcPr>
          <w:p w14:paraId="2800C982"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w:t>
            </w:r>
          </w:p>
        </w:tc>
        <w:tc>
          <w:tcPr>
            <w:tcW w:w="595" w:type="pct"/>
            <w:tcBorders>
              <w:tl2br w:val="nil"/>
              <w:tr2bl w:val="nil"/>
            </w:tcBorders>
            <w:vAlign w:val="center"/>
          </w:tcPr>
          <w:p w14:paraId="413F5126"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3518FF3D" w14:textId="77777777" w:rsidR="009D12AF" w:rsidRDefault="00000000">
            <w:pPr>
              <w:widowControl/>
              <w:spacing w:after="160" w:line="0" w:lineRule="atLeast"/>
              <w:ind w:firstLineChars="0" w:firstLine="0"/>
              <w:jc w:val="center"/>
              <w:rPr>
                <w:rFonts w:ascii="Times New Roman" w:eastAsia="宋体" w:hAnsi="Times New Roman" w:cs="Times New Roman"/>
                <w:spacing w:val="1"/>
                <w:position w:val="1"/>
                <w:sz w:val="21"/>
                <w:szCs w:val="21"/>
              </w:rPr>
            </w:pPr>
            <w:r>
              <w:rPr>
                <w:rFonts w:ascii="Times New Roman" w:eastAsia="宋体" w:hAnsi="Times New Roman" w:cs="Times New Roman"/>
                <w:spacing w:val="1"/>
                <w:position w:val="1"/>
                <w:sz w:val="21"/>
                <w:szCs w:val="21"/>
              </w:rPr>
              <w:t>+++</w:t>
            </w:r>
          </w:p>
        </w:tc>
        <w:tc>
          <w:tcPr>
            <w:tcW w:w="683" w:type="pct"/>
            <w:gridSpan w:val="2"/>
            <w:tcBorders>
              <w:tl2br w:val="nil"/>
              <w:tr2bl w:val="nil"/>
            </w:tcBorders>
            <w:vAlign w:val="center"/>
          </w:tcPr>
          <w:p w14:paraId="1B04983C"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目击</w:t>
            </w:r>
          </w:p>
        </w:tc>
        <w:tc>
          <w:tcPr>
            <w:tcW w:w="674" w:type="pct"/>
            <w:tcBorders>
              <w:tl2br w:val="nil"/>
              <w:tr2bl w:val="nil"/>
            </w:tcBorders>
            <w:vAlign w:val="center"/>
          </w:tcPr>
          <w:p w14:paraId="1A50FDCE" w14:textId="77777777" w:rsidR="009D12AF" w:rsidRDefault="00000000">
            <w:pPr>
              <w:widowControl/>
              <w:spacing w:after="160" w:line="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302590AB"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1E246DF4" w14:textId="77777777">
        <w:trPr>
          <w:trHeight w:val="221"/>
          <w:jc w:val="center"/>
        </w:trPr>
        <w:tc>
          <w:tcPr>
            <w:tcW w:w="5000" w:type="pct"/>
            <w:gridSpan w:val="8"/>
            <w:tcBorders>
              <w:tl2br w:val="nil"/>
              <w:tr2bl w:val="nil"/>
            </w:tcBorders>
            <w:vAlign w:val="center"/>
          </w:tcPr>
          <w:p w14:paraId="24605187"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pacing w:val="16"/>
                <w:sz w:val="21"/>
                <w:szCs w:val="21"/>
              </w:rPr>
            </w:pPr>
            <w:r>
              <w:rPr>
                <w:rFonts w:ascii="Times New Roman" w:eastAsia="宋体" w:hAnsi="Times New Roman" w:cs="Times New Roman"/>
                <w:b/>
                <w:bCs/>
                <w:sz w:val="21"/>
                <w:szCs w:val="21"/>
              </w:rPr>
              <w:t>鸫科</w:t>
            </w:r>
            <w:r>
              <w:rPr>
                <w:rFonts w:ascii="Times New Roman" w:eastAsia="宋体" w:hAnsi="Times New Roman" w:cs="Times New Roman"/>
                <w:b/>
                <w:bCs/>
                <w:spacing w:val="16"/>
                <w:sz w:val="21"/>
                <w:szCs w:val="21"/>
              </w:rPr>
              <w:t xml:space="preserve"> </w:t>
            </w:r>
            <w:r>
              <w:rPr>
                <w:rFonts w:ascii="Times New Roman" w:eastAsia="宋体" w:hAnsi="Times New Roman" w:cs="Times New Roman"/>
                <w:b/>
                <w:bCs/>
                <w:i/>
                <w:iCs/>
                <w:sz w:val="21"/>
                <w:szCs w:val="21"/>
              </w:rPr>
              <w:t>Turdidae</w:t>
            </w:r>
          </w:p>
        </w:tc>
      </w:tr>
      <w:tr w:rsidR="009D12AF" w14:paraId="1BFB1999" w14:textId="77777777">
        <w:trPr>
          <w:trHeight w:val="221"/>
          <w:jc w:val="center"/>
        </w:trPr>
        <w:tc>
          <w:tcPr>
            <w:tcW w:w="1611" w:type="pct"/>
            <w:tcBorders>
              <w:tl2br w:val="nil"/>
              <w:tr2bl w:val="nil"/>
            </w:tcBorders>
            <w:vAlign w:val="center"/>
          </w:tcPr>
          <w:p w14:paraId="769AEF2C"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pacing w:val="60"/>
                <w:sz w:val="21"/>
                <w:szCs w:val="21"/>
              </w:rPr>
            </w:pPr>
            <w:bookmarkStart w:id="304" w:name="_Hlk207113418"/>
            <w:r>
              <w:rPr>
                <w:rFonts w:ascii="Times New Roman" w:eastAsia="宋体" w:hAnsi="Times New Roman" w:cs="Times New Roman"/>
                <w:kern w:val="0"/>
                <w:sz w:val="21"/>
                <w:szCs w:val="21"/>
              </w:rPr>
              <w:t>红胁蓝尾鸲</w:t>
            </w:r>
            <w:bookmarkEnd w:id="304"/>
          </w:p>
          <w:p w14:paraId="30D65A67" w14:textId="77777777" w:rsidR="009D12AF" w:rsidRDefault="00000000">
            <w:pPr>
              <w:widowControl/>
              <w:spacing w:after="160" w:line="0" w:lineRule="atLeast"/>
              <w:ind w:firstLineChars="0" w:firstLine="0"/>
              <w:jc w:val="left"/>
              <w:rPr>
                <w:rFonts w:ascii="Times New Roman" w:eastAsia="宋体" w:hAnsi="Times New Roman" w:cs="Times New Roman"/>
                <w:spacing w:val="60"/>
                <w:sz w:val="21"/>
                <w:szCs w:val="21"/>
              </w:rPr>
            </w:pPr>
            <w:r>
              <w:rPr>
                <w:rFonts w:ascii="Times New Roman" w:eastAsia="宋体" w:hAnsi="Times New Roman" w:cs="Times New Roman"/>
                <w:i/>
                <w:iCs/>
                <w:sz w:val="21"/>
                <w:szCs w:val="21"/>
              </w:rPr>
              <w:t>Tarsiger cyanurus</w:t>
            </w:r>
          </w:p>
        </w:tc>
        <w:tc>
          <w:tcPr>
            <w:tcW w:w="593" w:type="pct"/>
            <w:tcBorders>
              <w:tl2br w:val="nil"/>
              <w:tr2bl w:val="nil"/>
            </w:tcBorders>
            <w:vAlign w:val="center"/>
          </w:tcPr>
          <w:p w14:paraId="2A56FF28"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w:t>
            </w:r>
          </w:p>
        </w:tc>
        <w:tc>
          <w:tcPr>
            <w:tcW w:w="595" w:type="pct"/>
            <w:tcBorders>
              <w:tl2br w:val="nil"/>
              <w:tr2bl w:val="nil"/>
            </w:tcBorders>
            <w:vAlign w:val="center"/>
          </w:tcPr>
          <w:p w14:paraId="66875DEC"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722B1002" w14:textId="77777777" w:rsidR="009D12AF" w:rsidRDefault="00000000">
            <w:pPr>
              <w:widowControl/>
              <w:spacing w:after="160" w:line="0" w:lineRule="atLeast"/>
              <w:ind w:firstLineChars="0" w:firstLine="0"/>
              <w:jc w:val="center"/>
              <w:rPr>
                <w:rFonts w:ascii="Times New Roman" w:eastAsia="宋体" w:hAnsi="Times New Roman" w:cs="Times New Roman"/>
                <w:spacing w:val="1"/>
                <w:position w:val="1"/>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7911FE6E"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425ABCC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2E08A051"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40DB769F" w14:textId="77777777">
        <w:trPr>
          <w:trHeight w:val="221"/>
          <w:jc w:val="center"/>
        </w:trPr>
        <w:tc>
          <w:tcPr>
            <w:tcW w:w="5000" w:type="pct"/>
            <w:gridSpan w:val="8"/>
            <w:tcBorders>
              <w:tl2br w:val="nil"/>
              <w:tr2bl w:val="nil"/>
            </w:tcBorders>
            <w:vAlign w:val="center"/>
          </w:tcPr>
          <w:p w14:paraId="0B11B1B7"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pacing w:val="17"/>
                <w:sz w:val="21"/>
                <w:szCs w:val="21"/>
              </w:rPr>
            </w:pPr>
            <w:r>
              <w:rPr>
                <w:rFonts w:ascii="Times New Roman" w:eastAsia="宋体" w:hAnsi="Times New Roman" w:cs="Times New Roman"/>
                <w:b/>
                <w:bCs/>
                <w:sz w:val="21"/>
                <w:szCs w:val="21"/>
              </w:rPr>
              <w:t>莺科</w:t>
            </w:r>
            <w:r>
              <w:rPr>
                <w:rFonts w:ascii="Times New Roman" w:eastAsia="宋体" w:hAnsi="Times New Roman" w:cs="Times New Roman"/>
                <w:b/>
                <w:bCs/>
                <w:spacing w:val="16"/>
                <w:sz w:val="21"/>
                <w:szCs w:val="21"/>
              </w:rPr>
              <w:t xml:space="preserve"> </w:t>
            </w:r>
            <w:r>
              <w:rPr>
                <w:rFonts w:ascii="Times New Roman" w:eastAsia="宋体" w:hAnsi="Times New Roman" w:cs="Times New Roman"/>
                <w:b/>
                <w:bCs/>
                <w:i/>
                <w:iCs/>
                <w:sz w:val="21"/>
                <w:szCs w:val="21"/>
              </w:rPr>
              <w:t>Sylviidae</w:t>
            </w:r>
          </w:p>
        </w:tc>
      </w:tr>
      <w:tr w:rsidR="009D12AF" w14:paraId="2EF5CE6D" w14:textId="77777777">
        <w:trPr>
          <w:trHeight w:val="221"/>
          <w:jc w:val="center"/>
        </w:trPr>
        <w:tc>
          <w:tcPr>
            <w:tcW w:w="1611" w:type="pct"/>
            <w:tcBorders>
              <w:tl2br w:val="nil"/>
              <w:tr2bl w:val="nil"/>
            </w:tcBorders>
            <w:vAlign w:val="center"/>
          </w:tcPr>
          <w:p w14:paraId="3E6293FE"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pacing w:val="19"/>
                <w:sz w:val="21"/>
                <w:szCs w:val="21"/>
              </w:rPr>
            </w:pPr>
            <w:bookmarkStart w:id="305" w:name="_Hlk207113454"/>
            <w:r>
              <w:rPr>
                <w:rFonts w:ascii="Times New Roman" w:eastAsia="宋体" w:hAnsi="Times New Roman" w:cs="Times New Roman"/>
                <w:sz w:val="21"/>
                <w:szCs w:val="21"/>
              </w:rPr>
              <w:t>黄眉柳莺</w:t>
            </w:r>
            <w:bookmarkEnd w:id="305"/>
            <w:r>
              <w:rPr>
                <w:rFonts w:ascii="Times New Roman" w:eastAsia="宋体" w:hAnsi="Times New Roman" w:cs="Times New Roman"/>
                <w:spacing w:val="69"/>
                <w:sz w:val="21"/>
                <w:szCs w:val="21"/>
              </w:rPr>
              <w:t xml:space="preserve"> </w:t>
            </w:r>
            <w:r>
              <w:rPr>
                <w:rFonts w:ascii="Times New Roman" w:eastAsia="宋体" w:hAnsi="Times New Roman" w:cs="Times New Roman"/>
                <w:i/>
                <w:iCs/>
                <w:sz w:val="21"/>
                <w:szCs w:val="21"/>
              </w:rPr>
              <w:t>Phylloscopus inornatus</w:t>
            </w:r>
          </w:p>
        </w:tc>
        <w:tc>
          <w:tcPr>
            <w:tcW w:w="593" w:type="pct"/>
            <w:tcBorders>
              <w:tl2br w:val="nil"/>
              <w:tr2bl w:val="nil"/>
            </w:tcBorders>
            <w:vAlign w:val="center"/>
          </w:tcPr>
          <w:p w14:paraId="66D45621"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2.4</w:t>
            </w:r>
          </w:p>
        </w:tc>
        <w:tc>
          <w:tcPr>
            <w:tcW w:w="595" w:type="pct"/>
            <w:tcBorders>
              <w:tl2br w:val="nil"/>
              <w:tr2bl w:val="nil"/>
            </w:tcBorders>
            <w:vAlign w:val="center"/>
          </w:tcPr>
          <w:p w14:paraId="7AF92E8A"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447B5C51"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pacing w:val="1"/>
                <w:position w:val="1"/>
                <w:sz w:val="21"/>
                <w:szCs w:val="21"/>
              </w:rPr>
              <w:t>+</w:t>
            </w:r>
            <w:r>
              <w:rPr>
                <w:rFonts w:ascii="Times New Roman" w:eastAsia="宋体" w:hAnsi="Times New Roman" w:cs="Times New Roman"/>
                <w:position w:val="1"/>
                <w:sz w:val="21"/>
                <w:szCs w:val="21"/>
              </w:rPr>
              <w:t>+</w:t>
            </w:r>
          </w:p>
        </w:tc>
        <w:tc>
          <w:tcPr>
            <w:tcW w:w="683" w:type="pct"/>
            <w:gridSpan w:val="2"/>
            <w:tcBorders>
              <w:tl2br w:val="nil"/>
              <w:tr2bl w:val="nil"/>
            </w:tcBorders>
            <w:vAlign w:val="center"/>
          </w:tcPr>
          <w:p w14:paraId="4B9176C0"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26859019"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6CF5DB9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3803F48A" w14:textId="77777777">
        <w:trPr>
          <w:trHeight w:val="221"/>
          <w:jc w:val="center"/>
        </w:trPr>
        <w:tc>
          <w:tcPr>
            <w:tcW w:w="1611" w:type="pct"/>
            <w:tcBorders>
              <w:tl2br w:val="nil"/>
              <w:tr2bl w:val="nil"/>
            </w:tcBorders>
            <w:vAlign w:val="center"/>
          </w:tcPr>
          <w:p w14:paraId="26FD09A2"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pacing w:val="19"/>
                <w:sz w:val="21"/>
                <w:szCs w:val="21"/>
              </w:rPr>
            </w:pPr>
            <w:r>
              <w:rPr>
                <w:rFonts w:ascii="Times New Roman" w:eastAsia="宋体" w:hAnsi="Times New Roman" w:cs="Times New Roman"/>
                <w:sz w:val="21"/>
                <w:szCs w:val="21"/>
              </w:rPr>
              <w:t>黑眉苇莺</w:t>
            </w:r>
            <w:r>
              <w:rPr>
                <w:rFonts w:ascii="Times New Roman" w:eastAsia="宋体" w:hAnsi="Times New Roman" w:cs="Times New Roman"/>
                <w:spacing w:val="15"/>
                <w:sz w:val="21"/>
                <w:szCs w:val="21"/>
              </w:rPr>
              <w:t xml:space="preserve"> </w:t>
            </w:r>
          </w:p>
          <w:p w14:paraId="5467641E" w14:textId="77777777" w:rsidR="009D12AF" w:rsidRDefault="00000000">
            <w:pPr>
              <w:widowControl/>
              <w:spacing w:after="160" w:line="0" w:lineRule="atLeast"/>
              <w:ind w:firstLineChars="0" w:firstLine="0"/>
              <w:jc w:val="left"/>
              <w:rPr>
                <w:rFonts w:ascii="Times New Roman" w:eastAsia="宋体" w:hAnsi="Times New Roman" w:cs="Times New Roman"/>
                <w:spacing w:val="19"/>
                <w:sz w:val="21"/>
                <w:szCs w:val="21"/>
              </w:rPr>
            </w:pPr>
            <w:r>
              <w:rPr>
                <w:rFonts w:ascii="Times New Roman" w:eastAsia="宋体" w:hAnsi="Times New Roman" w:cs="Times New Roman"/>
                <w:i/>
                <w:iCs/>
                <w:sz w:val="21"/>
                <w:szCs w:val="21"/>
              </w:rPr>
              <w:t>Acrocephalus bistrigiceps</w:t>
            </w:r>
          </w:p>
        </w:tc>
        <w:tc>
          <w:tcPr>
            <w:tcW w:w="593" w:type="pct"/>
            <w:tcBorders>
              <w:tl2br w:val="nil"/>
              <w:tr2bl w:val="nil"/>
            </w:tcBorders>
            <w:vAlign w:val="center"/>
          </w:tcPr>
          <w:p w14:paraId="1D78ABB1"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3.4</w:t>
            </w:r>
          </w:p>
        </w:tc>
        <w:tc>
          <w:tcPr>
            <w:tcW w:w="595" w:type="pct"/>
            <w:tcBorders>
              <w:tl2br w:val="nil"/>
              <w:tr2bl w:val="nil"/>
            </w:tcBorders>
            <w:vAlign w:val="center"/>
          </w:tcPr>
          <w:p w14:paraId="395F6225"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1B44EBCD"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pacing w:val="1"/>
                <w:position w:val="1"/>
                <w:sz w:val="21"/>
                <w:szCs w:val="21"/>
              </w:rPr>
              <w:t>+</w:t>
            </w:r>
            <w:r>
              <w:rPr>
                <w:rFonts w:ascii="Times New Roman" w:eastAsia="宋体" w:hAnsi="Times New Roman" w:cs="Times New Roman"/>
                <w:position w:val="1"/>
                <w:sz w:val="21"/>
                <w:szCs w:val="21"/>
              </w:rPr>
              <w:t>+</w:t>
            </w:r>
          </w:p>
        </w:tc>
        <w:tc>
          <w:tcPr>
            <w:tcW w:w="683" w:type="pct"/>
            <w:gridSpan w:val="2"/>
            <w:tcBorders>
              <w:tl2br w:val="nil"/>
              <w:tr2bl w:val="nil"/>
            </w:tcBorders>
            <w:vAlign w:val="center"/>
          </w:tcPr>
          <w:p w14:paraId="3E16E074"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0EAD98D6"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34CD034A"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644F4E1E" w14:textId="77777777">
        <w:trPr>
          <w:trHeight w:val="221"/>
          <w:jc w:val="center"/>
        </w:trPr>
        <w:tc>
          <w:tcPr>
            <w:tcW w:w="5000" w:type="pct"/>
            <w:gridSpan w:val="8"/>
            <w:tcBorders>
              <w:tl2br w:val="nil"/>
              <w:tr2bl w:val="nil"/>
            </w:tcBorders>
            <w:vAlign w:val="center"/>
          </w:tcPr>
          <w:p w14:paraId="0AC936FD"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pacing w:val="12"/>
                <w:sz w:val="21"/>
                <w:szCs w:val="21"/>
              </w:rPr>
            </w:pPr>
            <w:r>
              <w:rPr>
                <w:rFonts w:ascii="Times New Roman" w:eastAsia="宋体" w:hAnsi="Times New Roman" w:cs="Times New Roman"/>
                <w:b/>
                <w:bCs/>
                <w:sz w:val="21"/>
                <w:szCs w:val="21"/>
              </w:rPr>
              <w:t>山雀科</w:t>
            </w:r>
            <w:r>
              <w:rPr>
                <w:rFonts w:ascii="Times New Roman" w:eastAsia="宋体" w:hAnsi="Times New Roman" w:cs="Times New Roman"/>
                <w:b/>
                <w:bCs/>
                <w:spacing w:val="9"/>
                <w:sz w:val="21"/>
                <w:szCs w:val="21"/>
              </w:rPr>
              <w:t xml:space="preserve"> </w:t>
            </w:r>
            <w:r>
              <w:rPr>
                <w:rFonts w:ascii="Times New Roman" w:eastAsia="宋体" w:hAnsi="Times New Roman" w:cs="Times New Roman"/>
                <w:b/>
                <w:bCs/>
                <w:i/>
                <w:iCs/>
                <w:sz w:val="21"/>
                <w:szCs w:val="21"/>
              </w:rPr>
              <w:t>Paridae</w:t>
            </w:r>
          </w:p>
        </w:tc>
      </w:tr>
      <w:tr w:rsidR="009D12AF" w14:paraId="3333586A" w14:textId="77777777">
        <w:trPr>
          <w:trHeight w:val="221"/>
          <w:jc w:val="center"/>
        </w:trPr>
        <w:tc>
          <w:tcPr>
            <w:tcW w:w="1611" w:type="pct"/>
            <w:tcBorders>
              <w:tl2br w:val="nil"/>
              <w:tr2bl w:val="nil"/>
            </w:tcBorders>
            <w:vAlign w:val="center"/>
          </w:tcPr>
          <w:p w14:paraId="5174B64E"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pacing w:val="15"/>
                <w:sz w:val="21"/>
                <w:szCs w:val="21"/>
              </w:rPr>
            </w:pPr>
            <w:bookmarkStart w:id="306" w:name="_Hlk207113611"/>
            <w:r>
              <w:rPr>
                <w:rFonts w:ascii="Times New Roman" w:eastAsia="宋体" w:hAnsi="Times New Roman" w:cs="Times New Roman"/>
                <w:sz w:val="21"/>
                <w:szCs w:val="21"/>
              </w:rPr>
              <w:t>银喉长尾山雀</w:t>
            </w:r>
            <w:bookmarkEnd w:id="306"/>
            <w:r>
              <w:rPr>
                <w:rFonts w:ascii="Times New Roman" w:eastAsia="宋体" w:hAnsi="Times New Roman" w:cs="Times New Roman"/>
                <w:sz w:val="21"/>
                <w:szCs w:val="21"/>
              </w:rPr>
              <w:br/>
            </w:r>
            <w:r>
              <w:rPr>
                <w:rFonts w:ascii="Times New Roman" w:eastAsia="宋体" w:hAnsi="Times New Roman" w:cs="Times New Roman"/>
                <w:i/>
                <w:iCs/>
                <w:sz w:val="21"/>
                <w:szCs w:val="21"/>
              </w:rPr>
              <w:t>Aegithalos glaucogularis</w:t>
            </w:r>
          </w:p>
        </w:tc>
        <w:tc>
          <w:tcPr>
            <w:tcW w:w="593" w:type="pct"/>
            <w:tcBorders>
              <w:tl2br w:val="nil"/>
              <w:tr2bl w:val="nil"/>
            </w:tcBorders>
            <w:vAlign w:val="center"/>
          </w:tcPr>
          <w:p w14:paraId="0582AD46"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w:t>
            </w:r>
          </w:p>
        </w:tc>
        <w:tc>
          <w:tcPr>
            <w:tcW w:w="595" w:type="pct"/>
            <w:tcBorders>
              <w:tl2br w:val="nil"/>
              <w:tr2bl w:val="nil"/>
            </w:tcBorders>
            <w:vAlign w:val="center"/>
          </w:tcPr>
          <w:p w14:paraId="013E0F3B"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44DAF1C5" w14:textId="77777777" w:rsidR="009D12AF" w:rsidRDefault="00000000">
            <w:pPr>
              <w:widowControl/>
              <w:spacing w:after="160" w:line="0" w:lineRule="atLeast"/>
              <w:ind w:firstLineChars="0" w:firstLine="0"/>
              <w:jc w:val="center"/>
              <w:rPr>
                <w:rFonts w:ascii="Times New Roman" w:eastAsia="宋体" w:hAnsi="Times New Roman" w:cs="Times New Roman"/>
                <w:spacing w:val="1"/>
                <w:position w:val="1"/>
                <w:sz w:val="21"/>
                <w:szCs w:val="21"/>
              </w:rPr>
            </w:pPr>
            <w:r>
              <w:rPr>
                <w:rFonts w:ascii="Times New Roman" w:eastAsia="宋体" w:hAnsi="Times New Roman" w:cs="Times New Roman"/>
                <w:spacing w:val="1"/>
                <w:position w:val="1"/>
                <w:sz w:val="21"/>
                <w:szCs w:val="21"/>
              </w:rPr>
              <w:t>+</w:t>
            </w:r>
            <w:r>
              <w:rPr>
                <w:rFonts w:ascii="Times New Roman" w:eastAsia="宋体" w:hAnsi="Times New Roman" w:cs="Times New Roman"/>
                <w:position w:val="1"/>
                <w:sz w:val="21"/>
                <w:szCs w:val="21"/>
              </w:rPr>
              <w:t>++</w:t>
            </w:r>
          </w:p>
        </w:tc>
        <w:tc>
          <w:tcPr>
            <w:tcW w:w="683" w:type="pct"/>
            <w:gridSpan w:val="2"/>
            <w:tcBorders>
              <w:tl2br w:val="nil"/>
              <w:tr2bl w:val="nil"/>
            </w:tcBorders>
            <w:vAlign w:val="center"/>
          </w:tcPr>
          <w:p w14:paraId="1E79FA45"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4882F6FE" w14:textId="77777777" w:rsidR="009D12AF" w:rsidRDefault="00000000">
            <w:pPr>
              <w:widowControl/>
              <w:spacing w:after="160"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634A4484" w14:textId="77777777" w:rsidR="009D12AF" w:rsidRDefault="00000000">
            <w:pPr>
              <w:widowControl/>
              <w:spacing w:after="160"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sz w:val="21"/>
                <w:szCs w:val="21"/>
              </w:rPr>
              <w:t>无危</w:t>
            </w:r>
          </w:p>
        </w:tc>
      </w:tr>
      <w:tr w:rsidR="009D12AF" w14:paraId="138BF859" w14:textId="77777777">
        <w:trPr>
          <w:trHeight w:val="221"/>
          <w:jc w:val="center"/>
        </w:trPr>
        <w:tc>
          <w:tcPr>
            <w:tcW w:w="1611" w:type="pct"/>
            <w:tcBorders>
              <w:tl2br w:val="nil"/>
              <w:tr2bl w:val="nil"/>
            </w:tcBorders>
            <w:vAlign w:val="center"/>
          </w:tcPr>
          <w:p w14:paraId="53D3B9E4"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pacing w:val="15"/>
                <w:sz w:val="21"/>
                <w:szCs w:val="21"/>
              </w:rPr>
            </w:pPr>
            <w:bookmarkStart w:id="307" w:name="_Hlk207113632"/>
            <w:r>
              <w:rPr>
                <w:rFonts w:ascii="Times New Roman" w:eastAsia="宋体" w:hAnsi="Times New Roman" w:cs="Times New Roman"/>
                <w:sz w:val="21"/>
                <w:szCs w:val="21"/>
              </w:rPr>
              <w:t>大山雀</w:t>
            </w:r>
            <w:bookmarkEnd w:id="307"/>
          </w:p>
          <w:p w14:paraId="7C8F426E" w14:textId="77777777" w:rsidR="009D12AF" w:rsidRDefault="00000000">
            <w:pPr>
              <w:widowControl/>
              <w:spacing w:after="160" w:line="0" w:lineRule="atLeast"/>
              <w:ind w:firstLineChars="0" w:firstLine="0"/>
              <w:jc w:val="left"/>
              <w:rPr>
                <w:rFonts w:ascii="Times New Roman" w:eastAsia="宋体" w:hAnsi="Times New Roman" w:cs="Times New Roman"/>
                <w:spacing w:val="15"/>
                <w:sz w:val="21"/>
                <w:szCs w:val="21"/>
              </w:rPr>
            </w:pPr>
            <w:r>
              <w:rPr>
                <w:rFonts w:ascii="Times New Roman" w:eastAsia="宋体" w:hAnsi="Times New Roman" w:cs="Times New Roman" w:hint="eastAsia"/>
                <w:i/>
                <w:iCs/>
                <w:sz w:val="21"/>
                <w:szCs w:val="21"/>
              </w:rPr>
              <w:t>Parus cinereus</w:t>
            </w:r>
          </w:p>
        </w:tc>
        <w:tc>
          <w:tcPr>
            <w:tcW w:w="593" w:type="pct"/>
            <w:tcBorders>
              <w:tl2br w:val="nil"/>
              <w:tr2bl w:val="nil"/>
            </w:tcBorders>
            <w:vAlign w:val="center"/>
          </w:tcPr>
          <w:p w14:paraId="1EF477AA"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w:t>
            </w:r>
          </w:p>
        </w:tc>
        <w:tc>
          <w:tcPr>
            <w:tcW w:w="595" w:type="pct"/>
            <w:tcBorders>
              <w:tl2br w:val="nil"/>
              <w:tr2bl w:val="nil"/>
            </w:tcBorders>
            <w:vAlign w:val="center"/>
          </w:tcPr>
          <w:p w14:paraId="239F786C"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37DB7B89" w14:textId="77777777" w:rsidR="009D12AF" w:rsidRDefault="00000000">
            <w:pPr>
              <w:widowControl/>
              <w:spacing w:after="160" w:line="0" w:lineRule="atLeast"/>
              <w:ind w:firstLineChars="0" w:firstLine="0"/>
              <w:jc w:val="center"/>
              <w:rPr>
                <w:rFonts w:ascii="Times New Roman" w:eastAsia="宋体" w:hAnsi="Times New Roman" w:cs="Times New Roman"/>
                <w:spacing w:val="1"/>
                <w:position w:val="1"/>
                <w:sz w:val="21"/>
                <w:szCs w:val="21"/>
              </w:rPr>
            </w:pPr>
            <w:r>
              <w:rPr>
                <w:rFonts w:ascii="Times New Roman" w:eastAsia="宋体" w:hAnsi="Times New Roman" w:cs="Times New Roman"/>
                <w:spacing w:val="1"/>
                <w:position w:val="1"/>
                <w:sz w:val="21"/>
                <w:szCs w:val="21"/>
              </w:rPr>
              <w:t>+</w:t>
            </w:r>
            <w:r>
              <w:rPr>
                <w:rFonts w:ascii="Times New Roman" w:eastAsia="宋体" w:hAnsi="Times New Roman" w:cs="Times New Roman"/>
                <w:position w:val="1"/>
                <w:sz w:val="21"/>
                <w:szCs w:val="21"/>
              </w:rPr>
              <w:t>++</w:t>
            </w:r>
          </w:p>
        </w:tc>
        <w:tc>
          <w:tcPr>
            <w:tcW w:w="683" w:type="pct"/>
            <w:gridSpan w:val="2"/>
            <w:tcBorders>
              <w:tl2br w:val="nil"/>
              <w:tr2bl w:val="nil"/>
            </w:tcBorders>
            <w:vAlign w:val="center"/>
          </w:tcPr>
          <w:p w14:paraId="7A1F085D"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1390D093"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359E4363"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无危</w:t>
            </w:r>
          </w:p>
        </w:tc>
      </w:tr>
      <w:tr w:rsidR="009D12AF" w14:paraId="3EB406E4" w14:textId="77777777">
        <w:trPr>
          <w:trHeight w:val="221"/>
          <w:jc w:val="center"/>
        </w:trPr>
        <w:tc>
          <w:tcPr>
            <w:tcW w:w="1611" w:type="pct"/>
            <w:tcBorders>
              <w:tl2br w:val="nil"/>
              <w:tr2bl w:val="nil"/>
            </w:tcBorders>
            <w:vAlign w:val="center"/>
          </w:tcPr>
          <w:p w14:paraId="7BC31777"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z w:val="21"/>
                <w:szCs w:val="21"/>
              </w:rPr>
            </w:pPr>
            <w:bookmarkStart w:id="308" w:name="_Hlk207113699"/>
            <w:r>
              <w:rPr>
                <w:rFonts w:ascii="Times New Roman" w:eastAsia="宋体" w:hAnsi="Times New Roman" w:cs="Times New Roman"/>
                <w:sz w:val="21"/>
                <w:szCs w:val="21"/>
              </w:rPr>
              <w:t>沼泽山雀</w:t>
            </w:r>
            <w:bookmarkEnd w:id="308"/>
            <w:r>
              <w:rPr>
                <w:rFonts w:ascii="Times New Roman" w:eastAsia="宋体" w:hAnsi="Times New Roman" w:cs="Times New Roman"/>
                <w:sz w:val="21"/>
                <w:szCs w:val="21"/>
              </w:rPr>
              <w:br/>
            </w:r>
            <w:r>
              <w:rPr>
                <w:rFonts w:ascii="Times New Roman" w:eastAsia="宋体" w:hAnsi="Times New Roman" w:cs="Times New Roman"/>
                <w:i/>
                <w:iCs/>
                <w:sz w:val="21"/>
                <w:szCs w:val="21"/>
              </w:rPr>
              <w:lastRenderedPageBreak/>
              <w:t>Poecile palustris</w:t>
            </w:r>
          </w:p>
        </w:tc>
        <w:tc>
          <w:tcPr>
            <w:tcW w:w="593" w:type="pct"/>
            <w:tcBorders>
              <w:tl2br w:val="nil"/>
              <w:tr2bl w:val="nil"/>
            </w:tcBorders>
            <w:vAlign w:val="center"/>
          </w:tcPr>
          <w:p w14:paraId="066825B9"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lastRenderedPageBreak/>
              <w:t>4</w:t>
            </w:r>
          </w:p>
        </w:tc>
        <w:tc>
          <w:tcPr>
            <w:tcW w:w="595" w:type="pct"/>
            <w:tcBorders>
              <w:tl2br w:val="nil"/>
              <w:tr2bl w:val="nil"/>
            </w:tcBorders>
            <w:vAlign w:val="center"/>
          </w:tcPr>
          <w:p w14:paraId="647BD67D"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7DE060A8" w14:textId="77777777" w:rsidR="009D12AF" w:rsidRDefault="00000000">
            <w:pPr>
              <w:widowControl/>
              <w:spacing w:after="160" w:line="0" w:lineRule="atLeast"/>
              <w:ind w:firstLineChars="0" w:firstLine="0"/>
              <w:jc w:val="center"/>
              <w:rPr>
                <w:rFonts w:ascii="Times New Roman" w:eastAsia="宋体" w:hAnsi="Times New Roman" w:cs="Times New Roman"/>
                <w:spacing w:val="1"/>
                <w:position w:val="1"/>
                <w:sz w:val="21"/>
                <w:szCs w:val="21"/>
              </w:rPr>
            </w:pPr>
            <w:r>
              <w:rPr>
                <w:rFonts w:ascii="Times New Roman" w:eastAsia="宋体" w:hAnsi="Times New Roman" w:cs="Times New Roman"/>
                <w:spacing w:val="1"/>
                <w:position w:val="1"/>
                <w:sz w:val="21"/>
                <w:szCs w:val="21"/>
              </w:rPr>
              <w:t>+</w:t>
            </w:r>
            <w:r>
              <w:rPr>
                <w:rFonts w:ascii="Times New Roman" w:eastAsia="宋体" w:hAnsi="Times New Roman" w:cs="Times New Roman"/>
                <w:position w:val="1"/>
                <w:sz w:val="21"/>
                <w:szCs w:val="21"/>
              </w:rPr>
              <w:t>++</w:t>
            </w:r>
          </w:p>
        </w:tc>
        <w:tc>
          <w:tcPr>
            <w:tcW w:w="683" w:type="pct"/>
            <w:gridSpan w:val="2"/>
            <w:tcBorders>
              <w:tl2br w:val="nil"/>
              <w:tr2bl w:val="nil"/>
            </w:tcBorders>
            <w:vAlign w:val="center"/>
          </w:tcPr>
          <w:p w14:paraId="23E918C6" w14:textId="77777777" w:rsidR="009D12AF" w:rsidRDefault="00000000">
            <w:pPr>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hint="eastAsia"/>
                <w:sz w:val="21"/>
                <w:szCs w:val="21"/>
              </w:rPr>
              <w:t>目击</w:t>
            </w:r>
          </w:p>
        </w:tc>
        <w:tc>
          <w:tcPr>
            <w:tcW w:w="674" w:type="pct"/>
            <w:tcBorders>
              <w:tl2br w:val="nil"/>
              <w:tr2bl w:val="nil"/>
            </w:tcBorders>
            <w:vAlign w:val="center"/>
          </w:tcPr>
          <w:p w14:paraId="406834A1"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78B7D003"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无危</w:t>
            </w:r>
          </w:p>
        </w:tc>
      </w:tr>
      <w:tr w:rsidR="009D12AF" w14:paraId="10C53C63" w14:textId="77777777">
        <w:trPr>
          <w:trHeight w:val="221"/>
          <w:jc w:val="center"/>
        </w:trPr>
        <w:tc>
          <w:tcPr>
            <w:tcW w:w="5000" w:type="pct"/>
            <w:gridSpan w:val="8"/>
            <w:tcBorders>
              <w:tl2br w:val="nil"/>
              <w:tr2bl w:val="nil"/>
            </w:tcBorders>
            <w:vAlign w:val="center"/>
          </w:tcPr>
          <w:p w14:paraId="1B791FCA"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color w:val="333333"/>
                <w:sz w:val="21"/>
                <w:szCs w:val="21"/>
                <w:shd w:val="clear" w:color="auto" w:fill="FFFFFF"/>
              </w:rPr>
            </w:pPr>
            <w:r>
              <w:rPr>
                <w:rFonts w:ascii="Times New Roman" w:eastAsia="宋体" w:hAnsi="Times New Roman" w:cs="Times New Roman"/>
                <w:b/>
                <w:bCs/>
                <w:sz w:val="21"/>
                <w:szCs w:val="21"/>
              </w:rPr>
              <w:t>䴓科</w:t>
            </w:r>
            <w:r>
              <w:rPr>
                <w:rFonts w:ascii="Times New Roman" w:eastAsia="宋体" w:hAnsi="Times New Roman" w:cs="Times New Roman"/>
                <w:b/>
                <w:bCs/>
                <w:spacing w:val="27"/>
                <w:sz w:val="21"/>
                <w:szCs w:val="21"/>
              </w:rPr>
              <w:t xml:space="preserve"> </w:t>
            </w:r>
            <w:r>
              <w:rPr>
                <w:rFonts w:ascii="Times New Roman" w:eastAsia="宋体" w:hAnsi="Times New Roman" w:cs="Times New Roman"/>
                <w:b/>
                <w:bCs/>
                <w:i/>
                <w:iCs/>
                <w:sz w:val="21"/>
                <w:szCs w:val="21"/>
              </w:rPr>
              <w:t>Sittidac</w:t>
            </w:r>
          </w:p>
        </w:tc>
      </w:tr>
      <w:tr w:rsidR="009D12AF" w14:paraId="75AF7529" w14:textId="77777777">
        <w:trPr>
          <w:trHeight w:val="221"/>
          <w:jc w:val="center"/>
        </w:trPr>
        <w:tc>
          <w:tcPr>
            <w:tcW w:w="1611" w:type="pct"/>
            <w:tcBorders>
              <w:tl2br w:val="nil"/>
              <w:tr2bl w:val="nil"/>
            </w:tcBorders>
            <w:vAlign w:val="center"/>
          </w:tcPr>
          <w:p w14:paraId="79AA57AF" w14:textId="77777777" w:rsidR="009D12AF" w:rsidRDefault="00000000">
            <w:pPr>
              <w:widowControl/>
              <w:numPr>
                <w:ilvl w:val="0"/>
                <w:numId w:val="23"/>
              </w:numPr>
              <w:spacing w:after="160" w:line="0" w:lineRule="atLeast"/>
              <w:ind w:firstLineChars="0" w:firstLine="0"/>
              <w:jc w:val="left"/>
              <w:rPr>
                <w:rFonts w:ascii="Times New Roman" w:eastAsia="宋体" w:hAnsi="Times New Roman" w:cs="Times New Roman"/>
                <w:spacing w:val="15"/>
                <w:sz w:val="21"/>
                <w:szCs w:val="21"/>
              </w:rPr>
            </w:pPr>
            <w:bookmarkStart w:id="309" w:name="_Hlk207114401"/>
            <w:r>
              <w:rPr>
                <w:rFonts w:ascii="Times New Roman" w:eastAsia="宋体" w:hAnsi="Times New Roman" w:cs="Times New Roman"/>
                <w:sz w:val="21"/>
                <w:szCs w:val="21"/>
              </w:rPr>
              <w:t>普通䴓</w:t>
            </w:r>
            <w:bookmarkEnd w:id="309"/>
          </w:p>
          <w:p w14:paraId="16F2DDD8" w14:textId="77777777" w:rsidR="009D12AF" w:rsidRDefault="00000000">
            <w:pPr>
              <w:widowControl/>
              <w:spacing w:after="160" w:line="0" w:lineRule="atLeast"/>
              <w:ind w:firstLineChars="0" w:firstLine="0"/>
              <w:jc w:val="left"/>
              <w:rPr>
                <w:rFonts w:ascii="Times New Roman" w:eastAsia="宋体" w:hAnsi="Times New Roman" w:cs="Times New Roman"/>
                <w:i/>
                <w:iCs/>
                <w:spacing w:val="15"/>
                <w:sz w:val="21"/>
                <w:szCs w:val="21"/>
              </w:rPr>
            </w:pPr>
            <w:r>
              <w:rPr>
                <w:rFonts w:ascii="Times New Roman" w:eastAsia="宋体" w:hAnsi="Times New Roman" w:cs="Times New Roman"/>
                <w:i/>
                <w:iCs/>
                <w:spacing w:val="15"/>
                <w:sz w:val="21"/>
                <w:szCs w:val="21"/>
              </w:rPr>
              <w:t>Sita europaea</w:t>
            </w:r>
          </w:p>
        </w:tc>
        <w:tc>
          <w:tcPr>
            <w:tcW w:w="593" w:type="pct"/>
            <w:tcBorders>
              <w:tl2br w:val="nil"/>
              <w:tr2bl w:val="nil"/>
            </w:tcBorders>
            <w:vAlign w:val="center"/>
          </w:tcPr>
          <w:p w14:paraId="7E357850"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w:t>
            </w:r>
          </w:p>
        </w:tc>
        <w:tc>
          <w:tcPr>
            <w:tcW w:w="595" w:type="pct"/>
            <w:tcBorders>
              <w:tl2br w:val="nil"/>
              <w:tr2bl w:val="nil"/>
            </w:tcBorders>
            <w:vAlign w:val="center"/>
          </w:tcPr>
          <w:p w14:paraId="645594E3"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423DC42C" w14:textId="77777777" w:rsidR="009D12AF" w:rsidRDefault="00000000">
            <w:pPr>
              <w:widowControl/>
              <w:spacing w:after="160" w:line="0" w:lineRule="atLeast"/>
              <w:ind w:firstLineChars="0" w:firstLine="0"/>
              <w:jc w:val="center"/>
              <w:rPr>
                <w:rFonts w:ascii="Times New Roman" w:eastAsia="宋体" w:hAnsi="Times New Roman" w:cs="Times New Roman"/>
                <w:spacing w:val="1"/>
                <w:position w:val="1"/>
                <w:sz w:val="21"/>
                <w:szCs w:val="21"/>
              </w:rPr>
            </w:pPr>
            <w:r>
              <w:rPr>
                <w:rFonts w:ascii="Times New Roman" w:eastAsia="宋体" w:hAnsi="Times New Roman" w:cs="Times New Roman"/>
                <w:spacing w:val="1"/>
                <w:position w:val="1"/>
                <w:sz w:val="21"/>
                <w:szCs w:val="21"/>
              </w:rPr>
              <w:t>+</w:t>
            </w:r>
            <w:r>
              <w:rPr>
                <w:rFonts w:ascii="Times New Roman" w:eastAsia="宋体" w:hAnsi="Times New Roman" w:cs="Times New Roman"/>
                <w:position w:val="1"/>
                <w:sz w:val="21"/>
                <w:szCs w:val="21"/>
              </w:rPr>
              <w:t>++</w:t>
            </w:r>
          </w:p>
        </w:tc>
        <w:tc>
          <w:tcPr>
            <w:tcW w:w="683" w:type="pct"/>
            <w:gridSpan w:val="2"/>
            <w:tcBorders>
              <w:tl2br w:val="nil"/>
              <w:tr2bl w:val="nil"/>
            </w:tcBorders>
            <w:vAlign w:val="center"/>
          </w:tcPr>
          <w:p w14:paraId="569BA18D"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2B9188B3"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0935F2C7"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kern w:val="0"/>
                <w:sz w:val="21"/>
                <w:szCs w:val="21"/>
              </w:rPr>
              <w:t>无危</w:t>
            </w:r>
          </w:p>
        </w:tc>
      </w:tr>
      <w:tr w:rsidR="009D12AF" w14:paraId="02E087D5" w14:textId="77777777">
        <w:trPr>
          <w:trHeight w:val="221"/>
          <w:jc w:val="center"/>
        </w:trPr>
        <w:tc>
          <w:tcPr>
            <w:tcW w:w="5000" w:type="pct"/>
            <w:gridSpan w:val="8"/>
            <w:tcBorders>
              <w:tl2br w:val="nil"/>
              <w:tr2bl w:val="nil"/>
            </w:tcBorders>
            <w:vAlign w:val="center"/>
          </w:tcPr>
          <w:p w14:paraId="672EA0ED"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b/>
                <w:bCs/>
                <w:spacing w:val="15"/>
                <w:sz w:val="21"/>
                <w:szCs w:val="21"/>
              </w:rPr>
            </w:pPr>
            <w:r>
              <w:rPr>
                <w:rFonts w:ascii="Times New Roman" w:eastAsia="宋体" w:hAnsi="Times New Roman" w:cs="Times New Roman"/>
                <w:b/>
                <w:bCs/>
                <w:sz w:val="21"/>
                <w:szCs w:val="21"/>
              </w:rPr>
              <w:t>文鸟科</w:t>
            </w:r>
            <w:r>
              <w:rPr>
                <w:rFonts w:ascii="Times New Roman" w:eastAsia="宋体" w:hAnsi="Times New Roman" w:cs="Times New Roman"/>
                <w:b/>
                <w:bCs/>
                <w:sz w:val="21"/>
                <w:szCs w:val="21"/>
              </w:rPr>
              <w:t xml:space="preserve"> </w:t>
            </w:r>
            <w:r>
              <w:rPr>
                <w:rFonts w:ascii="Times New Roman" w:eastAsia="宋体" w:hAnsi="Times New Roman" w:cs="Times New Roman"/>
                <w:b/>
                <w:bCs/>
                <w:i/>
                <w:iCs/>
                <w:sz w:val="21"/>
                <w:szCs w:val="21"/>
              </w:rPr>
              <w:t>Ploceidae</w:t>
            </w:r>
          </w:p>
        </w:tc>
      </w:tr>
      <w:tr w:rsidR="009D12AF" w14:paraId="369FCB13" w14:textId="77777777">
        <w:trPr>
          <w:trHeight w:val="221"/>
          <w:jc w:val="center"/>
        </w:trPr>
        <w:tc>
          <w:tcPr>
            <w:tcW w:w="1611" w:type="pct"/>
            <w:tcBorders>
              <w:tl2br w:val="nil"/>
              <w:tr2bl w:val="nil"/>
            </w:tcBorders>
            <w:vAlign w:val="center"/>
          </w:tcPr>
          <w:p w14:paraId="7AC7A0C9"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pacing w:val="15"/>
                <w:sz w:val="21"/>
                <w:szCs w:val="21"/>
              </w:rPr>
            </w:pPr>
            <w:bookmarkStart w:id="310" w:name="_Hlk207114423"/>
            <w:r>
              <w:rPr>
                <w:rFonts w:ascii="Times New Roman" w:eastAsia="宋体" w:hAnsi="Times New Roman" w:cs="Times New Roman"/>
                <w:sz w:val="21"/>
                <w:szCs w:val="21"/>
              </w:rPr>
              <w:t>麻雀</w:t>
            </w:r>
            <w:bookmarkEnd w:id="310"/>
          </w:p>
          <w:p w14:paraId="577037E1" w14:textId="77777777" w:rsidR="009D12AF" w:rsidRDefault="00000000">
            <w:pPr>
              <w:widowControl/>
              <w:spacing w:after="160" w:line="0" w:lineRule="atLeast"/>
              <w:ind w:firstLineChars="0" w:firstLine="0"/>
              <w:jc w:val="left"/>
              <w:rPr>
                <w:rFonts w:ascii="Times New Roman" w:eastAsia="宋体" w:hAnsi="Times New Roman" w:cs="Times New Roman"/>
                <w:spacing w:val="15"/>
                <w:sz w:val="21"/>
                <w:szCs w:val="21"/>
              </w:rPr>
            </w:pPr>
            <w:r>
              <w:rPr>
                <w:rFonts w:ascii="Times New Roman" w:eastAsia="宋体" w:hAnsi="Times New Roman" w:cs="Times New Roman"/>
                <w:i/>
                <w:iCs/>
                <w:spacing w:val="15"/>
                <w:sz w:val="21"/>
                <w:szCs w:val="21"/>
              </w:rPr>
              <w:t>Passer montanus</w:t>
            </w:r>
          </w:p>
        </w:tc>
        <w:tc>
          <w:tcPr>
            <w:tcW w:w="593" w:type="pct"/>
            <w:tcBorders>
              <w:tl2br w:val="nil"/>
              <w:tr2bl w:val="nil"/>
            </w:tcBorders>
            <w:vAlign w:val="center"/>
          </w:tcPr>
          <w:p w14:paraId="071CA30F"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4.5.6</w:t>
            </w:r>
          </w:p>
        </w:tc>
        <w:tc>
          <w:tcPr>
            <w:tcW w:w="595" w:type="pct"/>
            <w:tcBorders>
              <w:tl2br w:val="nil"/>
              <w:tr2bl w:val="nil"/>
            </w:tcBorders>
            <w:vAlign w:val="center"/>
          </w:tcPr>
          <w:p w14:paraId="70A834A3"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广布种</w:t>
            </w:r>
          </w:p>
        </w:tc>
        <w:tc>
          <w:tcPr>
            <w:tcW w:w="425" w:type="pct"/>
            <w:tcBorders>
              <w:tl2br w:val="nil"/>
              <w:tr2bl w:val="nil"/>
            </w:tcBorders>
            <w:vAlign w:val="center"/>
          </w:tcPr>
          <w:p w14:paraId="7FF84846" w14:textId="77777777" w:rsidR="009D12AF" w:rsidRDefault="00000000">
            <w:pPr>
              <w:widowControl/>
              <w:spacing w:after="160" w:line="0" w:lineRule="atLeast"/>
              <w:ind w:firstLineChars="0" w:firstLine="0"/>
              <w:jc w:val="center"/>
              <w:rPr>
                <w:rFonts w:ascii="Times New Roman" w:eastAsia="宋体" w:hAnsi="Times New Roman" w:cs="Times New Roman"/>
                <w:spacing w:val="1"/>
                <w:position w:val="1"/>
                <w:sz w:val="21"/>
                <w:szCs w:val="21"/>
              </w:rPr>
            </w:pPr>
            <w:r>
              <w:rPr>
                <w:rFonts w:ascii="Times New Roman" w:eastAsia="宋体" w:hAnsi="Times New Roman" w:cs="Times New Roman"/>
                <w:spacing w:val="2"/>
                <w:position w:val="1"/>
                <w:sz w:val="21"/>
                <w:szCs w:val="21"/>
              </w:rPr>
              <w:t>+++</w:t>
            </w:r>
          </w:p>
        </w:tc>
        <w:tc>
          <w:tcPr>
            <w:tcW w:w="683" w:type="pct"/>
            <w:gridSpan w:val="2"/>
            <w:tcBorders>
              <w:tl2br w:val="nil"/>
              <w:tr2bl w:val="nil"/>
            </w:tcBorders>
            <w:vAlign w:val="center"/>
          </w:tcPr>
          <w:p w14:paraId="72F99765"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目击</w:t>
            </w:r>
          </w:p>
        </w:tc>
        <w:tc>
          <w:tcPr>
            <w:tcW w:w="674" w:type="pct"/>
            <w:tcBorders>
              <w:tl2br w:val="nil"/>
              <w:tr2bl w:val="nil"/>
            </w:tcBorders>
            <w:vAlign w:val="center"/>
          </w:tcPr>
          <w:p w14:paraId="6C31E22B"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50BE7BCA"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无危</w:t>
            </w:r>
          </w:p>
        </w:tc>
      </w:tr>
      <w:tr w:rsidR="009D12AF" w14:paraId="16872D39" w14:textId="77777777">
        <w:trPr>
          <w:trHeight w:val="221"/>
          <w:jc w:val="center"/>
        </w:trPr>
        <w:tc>
          <w:tcPr>
            <w:tcW w:w="5000" w:type="pct"/>
            <w:gridSpan w:val="8"/>
            <w:tcBorders>
              <w:tl2br w:val="nil"/>
              <w:tr2bl w:val="nil"/>
            </w:tcBorders>
            <w:vAlign w:val="center"/>
          </w:tcPr>
          <w:p w14:paraId="2B3E77D0" w14:textId="77777777" w:rsidR="009D12AF" w:rsidRDefault="00000000">
            <w:pPr>
              <w:widowControl/>
              <w:numPr>
                <w:ilvl w:val="0"/>
                <w:numId w:val="22"/>
              </w:numPr>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b/>
                <w:bCs/>
                <w:sz w:val="21"/>
                <w:szCs w:val="21"/>
              </w:rPr>
              <w:t>雀科</w:t>
            </w:r>
            <w:r>
              <w:rPr>
                <w:rFonts w:ascii="Times New Roman" w:eastAsia="宋体" w:hAnsi="Times New Roman" w:cs="Times New Roman"/>
                <w:b/>
                <w:bCs/>
                <w:sz w:val="21"/>
                <w:szCs w:val="21"/>
              </w:rPr>
              <w:t xml:space="preserve"> </w:t>
            </w:r>
            <w:r>
              <w:rPr>
                <w:rFonts w:ascii="Times New Roman" w:eastAsia="宋体" w:hAnsi="Times New Roman" w:cs="Times New Roman"/>
                <w:b/>
                <w:bCs/>
                <w:i/>
                <w:iCs/>
                <w:sz w:val="21"/>
                <w:szCs w:val="21"/>
              </w:rPr>
              <w:t>Fringillidae</w:t>
            </w:r>
          </w:p>
        </w:tc>
      </w:tr>
      <w:tr w:rsidR="009D12AF" w14:paraId="21467544" w14:textId="77777777">
        <w:trPr>
          <w:trHeight w:val="558"/>
          <w:jc w:val="center"/>
        </w:trPr>
        <w:tc>
          <w:tcPr>
            <w:tcW w:w="1611" w:type="pct"/>
            <w:tcBorders>
              <w:tl2br w:val="nil"/>
              <w:tr2bl w:val="nil"/>
            </w:tcBorders>
            <w:vAlign w:val="center"/>
          </w:tcPr>
          <w:p w14:paraId="5ADEA232"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pacing w:val="15"/>
                <w:sz w:val="21"/>
                <w:szCs w:val="21"/>
              </w:rPr>
            </w:pPr>
            <w:r>
              <w:rPr>
                <w:rFonts w:ascii="Times New Roman" w:eastAsia="宋体" w:hAnsi="Times New Roman" w:cs="Times New Roman"/>
                <w:sz w:val="21"/>
                <w:szCs w:val="21"/>
              </w:rPr>
              <w:t>朱顶雀</w:t>
            </w:r>
            <w:r>
              <w:rPr>
                <w:rFonts w:ascii="Times New Roman" w:eastAsia="宋体" w:hAnsi="Times New Roman" w:cs="Times New Roman"/>
                <w:spacing w:val="15"/>
                <w:sz w:val="21"/>
                <w:szCs w:val="21"/>
              </w:rPr>
              <w:t xml:space="preserve"> </w:t>
            </w:r>
          </w:p>
          <w:p w14:paraId="2A0144BD" w14:textId="77777777" w:rsidR="009D12AF" w:rsidRDefault="00000000">
            <w:pPr>
              <w:widowControl/>
              <w:spacing w:after="160" w:line="0" w:lineRule="atLeast"/>
              <w:ind w:firstLineChars="0" w:firstLine="0"/>
              <w:jc w:val="left"/>
              <w:rPr>
                <w:rFonts w:ascii="Times New Roman" w:eastAsia="宋体" w:hAnsi="Times New Roman" w:cs="Times New Roman"/>
                <w:spacing w:val="15"/>
                <w:sz w:val="21"/>
                <w:szCs w:val="21"/>
              </w:rPr>
            </w:pPr>
            <w:r>
              <w:rPr>
                <w:rFonts w:ascii="Times New Roman" w:eastAsia="宋体" w:hAnsi="Times New Roman" w:cs="Times New Roman"/>
                <w:i/>
                <w:iCs/>
                <w:spacing w:val="15"/>
                <w:sz w:val="21"/>
                <w:szCs w:val="21"/>
              </w:rPr>
              <w:t>Carduelis</w:t>
            </w:r>
            <w:r>
              <w:rPr>
                <w:rFonts w:ascii="Times New Roman" w:eastAsia="宋体" w:hAnsi="Times New Roman" w:cs="Times New Roman" w:hint="eastAsia"/>
                <w:i/>
                <w:iCs/>
                <w:spacing w:val="15"/>
                <w:sz w:val="21"/>
                <w:szCs w:val="21"/>
              </w:rPr>
              <w:t xml:space="preserve"> flammea</w:t>
            </w:r>
          </w:p>
        </w:tc>
        <w:tc>
          <w:tcPr>
            <w:tcW w:w="593" w:type="pct"/>
            <w:tcBorders>
              <w:tl2br w:val="nil"/>
              <w:tr2bl w:val="nil"/>
            </w:tcBorders>
            <w:vAlign w:val="center"/>
          </w:tcPr>
          <w:p w14:paraId="0DB6C1B5" w14:textId="77777777" w:rsidR="009D12AF" w:rsidRDefault="00000000">
            <w:pPr>
              <w:ind w:firstLineChars="0" w:firstLine="0"/>
              <w:jc w:val="left"/>
              <w:rPr>
                <w:rFonts w:ascii="Times New Roman" w:eastAsia="宋体" w:hAnsi="Times New Roman" w:cs="Times New Roman"/>
                <w:sz w:val="21"/>
                <w:szCs w:val="21"/>
              </w:rPr>
            </w:pPr>
            <w:r>
              <w:rPr>
                <w:rFonts w:ascii="Times New Roman" w:eastAsia="宋体" w:hAnsi="Times New Roman" w:cs="Times New Roman"/>
                <w:sz w:val="21"/>
                <w:szCs w:val="21"/>
              </w:rPr>
              <w:t>2.4.5</w:t>
            </w:r>
          </w:p>
        </w:tc>
        <w:tc>
          <w:tcPr>
            <w:tcW w:w="595" w:type="pct"/>
            <w:tcBorders>
              <w:tl2br w:val="nil"/>
              <w:tr2bl w:val="nil"/>
            </w:tcBorders>
            <w:vAlign w:val="center"/>
          </w:tcPr>
          <w:p w14:paraId="3731F553"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129D5050" w14:textId="77777777" w:rsidR="009D12AF" w:rsidRDefault="00000000">
            <w:pPr>
              <w:spacing w:after="160"/>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381EDAC4" w14:textId="77777777" w:rsidR="009D12AF" w:rsidRDefault="00000000">
            <w:pPr>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12BB528B"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hint="eastAsia"/>
                <w:color w:val="000000"/>
                <w:sz w:val="21"/>
                <w:szCs w:val="21"/>
                <w:lang w:bidi="ar"/>
              </w:rPr>
              <w:t>黑龙江省级</w:t>
            </w:r>
          </w:p>
        </w:tc>
        <w:tc>
          <w:tcPr>
            <w:tcW w:w="415" w:type="pct"/>
            <w:tcBorders>
              <w:tl2br w:val="nil"/>
              <w:tr2bl w:val="nil"/>
            </w:tcBorders>
            <w:vAlign w:val="center"/>
          </w:tcPr>
          <w:p w14:paraId="375A60F5"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无危</w:t>
            </w:r>
          </w:p>
        </w:tc>
      </w:tr>
      <w:tr w:rsidR="009D12AF" w14:paraId="39555C3B" w14:textId="77777777">
        <w:trPr>
          <w:trHeight w:val="528"/>
          <w:jc w:val="center"/>
        </w:trPr>
        <w:tc>
          <w:tcPr>
            <w:tcW w:w="1611" w:type="pct"/>
            <w:tcBorders>
              <w:tl2br w:val="nil"/>
              <w:tr2bl w:val="nil"/>
            </w:tcBorders>
            <w:vAlign w:val="center"/>
          </w:tcPr>
          <w:p w14:paraId="270D7883" w14:textId="77777777" w:rsidR="009D12AF" w:rsidRDefault="00000000">
            <w:pPr>
              <w:widowControl/>
              <w:numPr>
                <w:ilvl w:val="0"/>
                <w:numId w:val="23"/>
              </w:numPr>
              <w:spacing w:after="160" w:line="0" w:lineRule="atLeast"/>
              <w:ind w:left="0" w:firstLineChars="0" w:firstLine="0"/>
              <w:jc w:val="left"/>
              <w:rPr>
                <w:rFonts w:ascii="Times New Roman" w:eastAsia="宋体" w:hAnsi="Times New Roman" w:cs="Times New Roman"/>
                <w:spacing w:val="15"/>
                <w:sz w:val="21"/>
                <w:szCs w:val="21"/>
              </w:rPr>
            </w:pPr>
            <w:r>
              <w:rPr>
                <w:rFonts w:ascii="Times New Roman" w:eastAsia="宋体" w:hAnsi="Times New Roman" w:cs="Times New Roman"/>
                <w:sz w:val="21"/>
                <w:szCs w:val="21"/>
              </w:rPr>
              <w:t>金翅雀</w:t>
            </w:r>
            <w:r>
              <w:rPr>
                <w:rFonts w:ascii="Times New Roman" w:eastAsia="宋体" w:hAnsi="Times New Roman" w:cs="Times New Roman"/>
                <w:spacing w:val="15"/>
                <w:sz w:val="21"/>
                <w:szCs w:val="21"/>
              </w:rPr>
              <w:t xml:space="preserve"> </w:t>
            </w:r>
            <w:r>
              <w:rPr>
                <w:rFonts w:ascii="Times New Roman" w:eastAsia="宋体" w:hAnsi="Times New Roman" w:cs="Times New Roman"/>
                <w:i/>
                <w:iCs/>
                <w:color w:val="333333"/>
                <w:sz w:val="21"/>
                <w:szCs w:val="21"/>
                <w:shd w:val="clear" w:color="auto" w:fill="FFFFFF"/>
              </w:rPr>
              <w:br/>
            </w:r>
            <w:r>
              <w:rPr>
                <w:rFonts w:ascii="Times New Roman" w:eastAsia="宋体" w:hAnsi="Times New Roman" w:cs="Times New Roman"/>
                <w:i/>
                <w:iCs/>
                <w:spacing w:val="15"/>
                <w:sz w:val="21"/>
                <w:szCs w:val="21"/>
              </w:rPr>
              <w:t>Chloris sinica</w:t>
            </w:r>
          </w:p>
        </w:tc>
        <w:tc>
          <w:tcPr>
            <w:tcW w:w="593" w:type="pct"/>
            <w:tcBorders>
              <w:tl2br w:val="nil"/>
              <w:tr2bl w:val="nil"/>
            </w:tcBorders>
            <w:vAlign w:val="center"/>
          </w:tcPr>
          <w:p w14:paraId="4AD50604"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w:t>
            </w:r>
          </w:p>
        </w:tc>
        <w:tc>
          <w:tcPr>
            <w:tcW w:w="595" w:type="pct"/>
            <w:tcBorders>
              <w:tl2br w:val="nil"/>
              <w:tr2bl w:val="nil"/>
            </w:tcBorders>
            <w:vAlign w:val="center"/>
          </w:tcPr>
          <w:p w14:paraId="6954ABC8"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704EF9CF" w14:textId="77777777" w:rsidR="009D12AF" w:rsidRDefault="00000000">
            <w:pPr>
              <w:widowControl/>
              <w:spacing w:after="160" w:line="0" w:lineRule="atLeast"/>
              <w:ind w:firstLineChars="0" w:firstLine="0"/>
              <w:jc w:val="center"/>
              <w:rPr>
                <w:rFonts w:ascii="Times New Roman" w:eastAsia="宋体" w:hAnsi="Times New Roman" w:cs="Times New Roman"/>
                <w:spacing w:val="2"/>
                <w:position w:val="1"/>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20D27875" w14:textId="77777777" w:rsidR="009D12AF" w:rsidRDefault="00000000">
            <w:pPr>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4563D687"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hint="eastAsia"/>
                <w:color w:val="000000"/>
                <w:sz w:val="21"/>
                <w:szCs w:val="21"/>
                <w:lang w:bidi="ar"/>
              </w:rPr>
              <w:t>黑龙江省级</w:t>
            </w:r>
          </w:p>
        </w:tc>
        <w:tc>
          <w:tcPr>
            <w:tcW w:w="415" w:type="pct"/>
            <w:tcBorders>
              <w:tl2br w:val="nil"/>
              <w:tr2bl w:val="nil"/>
            </w:tcBorders>
            <w:vAlign w:val="center"/>
          </w:tcPr>
          <w:p w14:paraId="2229D176"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无危</w:t>
            </w:r>
          </w:p>
        </w:tc>
      </w:tr>
      <w:tr w:rsidR="009D12AF" w14:paraId="71CA2CB6" w14:textId="77777777">
        <w:trPr>
          <w:trHeight w:val="221"/>
          <w:jc w:val="center"/>
        </w:trPr>
        <w:tc>
          <w:tcPr>
            <w:tcW w:w="1611" w:type="pct"/>
            <w:tcBorders>
              <w:tl2br w:val="nil"/>
              <w:tr2bl w:val="nil"/>
            </w:tcBorders>
            <w:vAlign w:val="center"/>
          </w:tcPr>
          <w:p w14:paraId="1AC01E66" w14:textId="77777777" w:rsidR="009D12AF" w:rsidRDefault="00000000">
            <w:pPr>
              <w:widowControl/>
              <w:numPr>
                <w:ilvl w:val="0"/>
                <w:numId w:val="23"/>
              </w:numPr>
              <w:spacing w:after="160" w:line="0" w:lineRule="atLeast"/>
              <w:ind w:firstLineChars="0" w:firstLine="0"/>
              <w:jc w:val="left"/>
              <w:rPr>
                <w:rFonts w:ascii="Times New Roman" w:eastAsia="宋体" w:hAnsi="Times New Roman" w:cs="Times New Roman"/>
                <w:sz w:val="21"/>
                <w:szCs w:val="21"/>
              </w:rPr>
            </w:pPr>
            <w:bookmarkStart w:id="311" w:name="_Hlk207115007"/>
            <w:r>
              <w:rPr>
                <w:rFonts w:ascii="Times New Roman" w:eastAsia="宋体" w:hAnsi="Times New Roman" w:cs="Times New Roman"/>
                <w:sz w:val="21"/>
                <w:szCs w:val="21"/>
              </w:rPr>
              <w:t>长尾雀</w:t>
            </w:r>
            <w:bookmarkEnd w:id="311"/>
          </w:p>
          <w:p w14:paraId="575AF629" w14:textId="77777777" w:rsidR="009D12AF" w:rsidRDefault="00000000">
            <w:pPr>
              <w:widowControl/>
              <w:spacing w:after="160" w:line="0" w:lineRule="atLeast"/>
              <w:ind w:firstLineChars="0" w:firstLine="0"/>
              <w:jc w:val="left"/>
              <w:rPr>
                <w:rFonts w:ascii="Times New Roman" w:eastAsia="宋体" w:hAnsi="Times New Roman" w:cs="Times New Roman"/>
                <w:i/>
                <w:iCs/>
                <w:spacing w:val="15"/>
                <w:sz w:val="21"/>
                <w:szCs w:val="21"/>
              </w:rPr>
            </w:pPr>
            <w:r>
              <w:rPr>
                <w:rFonts w:ascii="Times New Roman" w:eastAsia="宋体" w:hAnsi="Times New Roman" w:cs="Times New Roman" w:hint="eastAsia"/>
                <w:i/>
                <w:iCs/>
                <w:spacing w:val="15"/>
                <w:sz w:val="21"/>
                <w:szCs w:val="21"/>
              </w:rPr>
              <w:t>Carpodacus sibiricus</w:t>
            </w:r>
          </w:p>
        </w:tc>
        <w:tc>
          <w:tcPr>
            <w:tcW w:w="593" w:type="pct"/>
            <w:tcBorders>
              <w:tl2br w:val="nil"/>
              <w:tr2bl w:val="nil"/>
            </w:tcBorders>
            <w:vAlign w:val="center"/>
          </w:tcPr>
          <w:p w14:paraId="57A26B32"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4</w:t>
            </w:r>
          </w:p>
        </w:tc>
        <w:tc>
          <w:tcPr>
            <w:tcW w:w="595" w:type="pct"/>
            <w:tcBorders>
              <w:tl2br w:val="nil"/>
              <w:tr2bl w:val="nil"/>
            </w:tcBorders>
            <w:vAlign w:val="center"/>
          </w:tcPr>
          <w:p w14:paraId="0CF73103" w14:textId="77777777" w:rsidR="009D12AF" w:rsidRDefault="00000000">
            <w:pPr>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古北种</w:t>
            </w:r>
          </w:p>
        </w:tc>
        <w:tc>
          <w:tcPr>
            <w:tcW w:w="425" w:type="pct"/>
            <w:tcBorders>
              <w:tl2br w:val="nil"/>
              <w:tr2bl w:val="nil"/>
            </w:tcBorders>
            <w:vAlign w:val="center"/>
          </w:tcPr>
          <w:p w14:paraId="021FFD63" w14:textId="77777777" w:rsidR="009D12AF" w:rsidRDefault="00000000">
            <w:pPr>
              <w:widowControl/>
              <w:spacing w:after="160"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3" w:type="pct"/>
            <w:gridSpan w:val="2"/>
            <w:tcBorders>
              <w:tl2br w:val="nil"/>
              <w:tr2bl w:val="nil"/>
            </w:tcBorders>
            <w:vAlign w:val="center"/>
          </w:tcPr>
          <w:p w14:paraId="20486268"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74" w:type="pct"/>
            <w:tcBorders>
              <w:tl2br w:val="nil"/>
              <w:tr2bl w:val="nil"/>
            </w:tcBorders>
            <w:vAlign w:val="center"/>
          </w:tcPr>
          <w:p w14:paraId="13F40667"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kern w:val="0"/>
                <w:sz w:val="21"/>
                <w:szCs w:val="21"/>
              </w:rPr>
              <w:t>————</w:t>
            </w:r>
          </w:p>
        </w:tc>
        <w:tc>
          <w:tcPr>
            <w:tcW w:w="415" w:type="pct"/>
            <w:tcBorders>
              <w:tl2br w:val="nil"/>
              <w:tr2bl w:val="nil"/>
            </w:tcBorders>
            <w:vAlign w:val="center"/>
          </w:tcPr>
          <w:p w14:paraId="13A66700" w14:textId="77777777" w:rsidR="009D12AF" w:rsidRDefault="00000000">
            <w:pPr>
              <w:widowControl/>
              <w:spacing w:after="160"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无危</w:t>
            </w:r>
          </w:p>
        </w:tc>
      </w:tr>
    </w:tbl>
    <w:bookmarkEnd w:id="268"/>
    <w:p w14:paraId="7422276B"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b</w:t>
      </w:r>
      <w:r>
        <w:rPr>
          <w:rFonts w:ascii="Times New Roman" w:eastAsia="宋体" w:hAnsi="Times New Roman" w:cs="Times New Roman"/>
        </w:rPr>
        <w:t>.</w:t>
      </w:r>
      <w:r>
        <w:rPr>
          <w:rFonts w:ascii="Times New Roman" w:eastAsia="宋体" w:hAnsi="Times New Roman" w:cs="Times New Roman" w:hint="eastAsia"/>
        </w:rPr>
        <w:t>生活类型</w:t>
      </w:r>
    </w:p>
    <w:p w14:paraId="5D4F23E3"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按生活习性的不同，可以将项目所在范围鸟类分为以下</w:t>
      </w:r>
      <w:r>
        <w:rPr>
          <w:rFonts w:ascii="Times New Roman" w:eastAsia="宋体" w:hAnsi="Times New Roman" w:cs="Times New Roman" w:hint="eastAsia"/>
        </w:rPr>
        <w:t>5</w:t>
      </w:r>
      <w:r>
        <w:rPr>
          <w:rFonts w:ascii="Times New Roman" w:eastAsia="宋体" w:hAnsi="Times New Roman" w:cs="Times New Roman" w:hint="eastAsia"/>
        </w:rPr>
        <w:t>种生态类型：</w:t>
      </w:r>
    </w:p>
    <w:p w14:paraId="4020AA95"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游禽</w:t>
      </w:r>
      <w:r>
        <w:rPr>
          <w:rFonts w:ascii="Times New Roman" w:eastAsia="宋体" w:hAnsi="Times New Roman" w:cs="Times New Roman" w:hint="eastAsia"/>
        </w:rPr>
        <w:t>(</w:t>
      </w:r>
      <w:r>
        <w:rPr>
          <w:rFonts w:ascii="Times New Roman" w:eastAsia="宋体" w:hAnsi="Times New Roman" w:cs="Times New Roman" w:hint="eastAsia"/>
        </w:rPr>
        <w:t>脚向后伸，趾间有蹼，有扁阔的或尖嘴，善于游泳、潜水和在水中掏取食物</w:t>
      </w:r>
      <w:r>
        <w:rPr>
          <w:rFonts w:ascii="Times New Roman" w:eastAsia="宋体" w:hAnsi="Times New Roman" w:cs="Times New Roman" w:hint="eastAsia"/>
        </w:rPr>
        <w:t>)</w:t>
      </w:r>
      <w:r>
        <w:rPr>
          <w:rFonts w:ascii="Times New Roman" w:eastAsia="宋体" w:hAnsi="Times New Roman" w:cs="Times New Roman" w:hint="eastAsia"/>
        </w:rPr>
        <w:t>：包括鹈形目的普通鸬鹚</w:t>
      </w:r>
      <w:r>
        <w:rPr>
          <w:rFonts w:ascii="Times New Roman" w:eastAsia="宋体" w:hAnsi="Times New Roman" w:cs="Times New Roman" w:hint="eastAsia"/>
        </w:rPr>
        <w:t>1</w:t>
      </w:r>
      <w:r>
        <w:rPr>
          <w:rFonts w:ascii="Times New Roman" w:eastAsia="宋体" w:hAnsi="Times New Roman" w:cs="Times New Roman" w:hint="eastAsia"/>
        </w:rPr>
        <w:t>种，雁形目</w:t>
      </w:r>
      <w:r>
        <w:rPr>
          <w:rFonts w:ascii="Times New Roman" w:eastAsia="宋体" w:hAnsi="Times New Roman" w:cs="Times New Roman"/>
        </w:rPr>
        <w:t>2</w:t>
      </w:r>
      <w:r>
        <w:rPr>
          <w:rFonts w:ascii="Times New Roman" w:eastAsia="宋体" w:hAnsi="Times New Roman" w:cs="Times New Roman" w:hint="eastAsia"/>
        </w:rPr>
        <w:t>种，鹳形目</w:t>
      </w:r>
      <w:r>
        <w:rPr>
          <w:rFonts w:ascii="Times New Roman" w:eastAsia="宋体" w:hAnsi="Times New Roman" w:cs="Times New Roman"/>
        </w:rPr>
        <w:t>2</w:t>
      </w:r>
      <w:r>
        <w:rPr>
          <w:rFonts w:ascii="Times New Roman" w:eastAsia="宋体" w:hAnsi="Times New Roman" w:cs="Times New Roman" w:hint="eastAsia"/>
        </w:rPr>
        <w:t>种，主要分布于项目所在范围河流周边林地及草地。</w:t>
      </w:r>
    </w:p>
    <w:p w14:paraId="403CFE48"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涉禽</w:t>
      </w:r>
      <w:r>
        <w:rPr>
          <w:rFonts w:ascii="Times New Roman" w:eastAsia="宋体" w:hAnsi="Times New Roman" w:cs="Times New Roman" w:hint="eastAsia"/>
        </w:rPr>
        <w:t>(</w:t>
      </w:r>
      <w:r>
        <w:rPr>
          <w:rFonts w:ascii="Times New Roman" w:eastAsia="宋体" w:hAnsi="Times New Roman" w:cs="Times New Roman" w:hint="eastAsia"/>
        </w:rPr>
        <w:t>嘴，颈和脚都比较长，脚趾也很长，适于涉水行进，不会游泳，常用长嘴插入水底或地面取食</w:t>
      </w:r>
      <w:r>
        <w:rPr>
          <w:rFonts w:ascii="Times New Roman" w:eastAsia="宋体" w:hAnsi="Times New Roman" w:cs="Times New Roman" w:hint="eastAsia"/>
        </w:rPr>
        <w:t>)</w:t>
      </w:r>
      <w:r>
        <w:rPr>
          <w:rFonts w:ascii="Times New Roman" w:eastAsia="宋体" w:hAnsi="Times New Roman" w:cs="Times New Roman" w:hint="eastAsia"/>
        </w:rPr>
        <w:t>：包括鹤形目</w:t>
      </w:r>
      <w:r>
        <w:rPr>
          <w:rFonts w:ascii="Times New Roman" w:eastAsia="宋体" w:hAnsi="Times New Roman" w:cs="Times New Roman" w:hint="eastAsia"/>
        </w:rPr>
        <w:t>1</w:t>
      </w:r>
      <w:r>
        <w:rPr>
          <w:rFonts w:ascii="Times New Roman" w:eastAsia="宋体" w:hAnsi="Times New Roman" w:cs="Times New Roman" w:hint="eastAsia"/>
        </w:rPr>
        <w:t>种，主要分布于河流周边林地及草地等处。</w:t>
      </w:r>
    </w:p>
    <w:p w14:paraId="7EF3D610"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陆禽</w:t>
      </w:r>
      <w:r>
        <w:rPr>
          <w:rFonts w:ascii="Times New Roman" w:eastAsia="宋体" w:hAnsi="Times New Roman" w:cs="Times New Roman" w:hint="eastAsia"/>
        </w:rPr>
        <w:t>(</w:t>
      </w:r>
      <w:r>
        <w:rPr>
          <w:rFonts w:ascii="Times New Roman" w:eastAsia="宋体" w:hAnsi="Times New Roman" w:cs="Times New Roman" w:hint="eastAsia"/>
        </w:rPr>
        <w:t>体格结实，嘴坚硬，脚强而有力，适于挖土，多在地面活动觅食</w:t>
      </w:r>
      <w:r>
        <w:rPr>
          <w:rFonts w:ascii="Times New Roman" w:eastAsia="宋体" w:hAnsi="Times New Roman" w:cs="Times New Roman" w:hint="eastAsia"/>
        </w:rPr>
        <w:t>)</w:t>
      </w:r>
      <w:r>
        <w:rPr>
          <w:rFonts w:ascii="Times New Roman" w:eastAsia="宋体" w:hAnsi="Times New Roman" w:cs="Times New Roman" w:hint="eastAsia"/>
        </w:rPr>
        <w:t>：包括鸡形目的鹌鹑、环颈雉</w:t>
      </w:r>
      <w:r>
        <w:rPr>
          <w:rFonts w:ascii="Times New Roman" w:eastAsia="宋体" w:hAnsi="Times New Roman" w:cs="Times New Roman"/>
        </w:rPr>
        <w:t>2</w:t>
      </w:r>
      <w:r>
        <w:rPr>
          <w:rFonts w:ascii="Times New Roman" w:eastAsia="宋体" w:hAnsi="Times New Roman" w:cs="Times New Roman" w:hint="eastAsia"/>
        </w:rPr>
        <w:t>种；鸻形目的凤头麦鸡、金眶鸻等</w:t>
      </w:r>
      <w:r>
        <w:rPr>
          <w:rFonts w:ascii="Times New Roman" w:eastAsia="宋体" w:hAnsi="Times New Roman" w:cs="Times New Roman" w:hint="eastAsia"/>
        </w:rPr>
        <w:t>4</w:t>
      </w:r>
      <w:r>
        <w:rPr>
          <w:rFonts w:ascii="Times New Roman" w:eastAsia="宋体" w:hAnsi="Times New Roman" w:cs="Times New Roman" w:hint="eastAsia"/>
        </w:rPr>
        <w:t>种，主要分布于项目所在区的山林或农田区域。</w:t>
      </w:r>
    </w:p>
    <w:p w14:paraId="6B680FB5"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攀禽</w:t>
      </w:r>
      <w:r>
        <w:rPr>
          <w:rFonts w:ascii="Times New Roman" w:eastAsia="宋体" w:hAnsi="Times New Roman" w:cs="Times New Roman" w:hint="eastAsia"/>
        </w:rPr>
        <w:t>(</w:t>
      </w:r>
      <w:r>
        <w:rPr>
          <w:rFonts w:ascii="Times New Roman" w:eastAsia="宋体" w:hAnsi="Times New Roman" w:cs="Times New Roman" w:hint="eastAsia"/>
        </w:rPr>
        <w:t>嘴、脚和尾的构造都很特殊，善于在树上攀缘</w:t>
      </w:r>
      <w:r>
        <w:rPr>
          <w:rFonts w:ascii="Times New Roman" w:eastAsia="宋体" w:hAnsi="Times New Roman" w:cs="Times New Roman" w:hint="eastAsia"/>
        </w:rPr>
        <w:t>)</w:t>
      </w:r>
      <w:r>
        <w:rPr>
          <w:rFonts w:ascii="Times New Roman" w:eastAsia="宋体" w:hAnsi="Times New Roman" w:cs="Times New Roman" w:hint="eastAsia"/>
        </w:rPr>
        <w:t>：项目所在范围内包括鹃形目的大杜鹃等</w:t>
      </w:r>
      <w:r>
        <w:rPr>
          <w:rFonts w:ascii="Times New Roman" w:eastAsia="宋体" w:hAnsi="Times New Roman" w:cs="Times New Roman"/>
        </w:rPr>
        <w:t>3</w:t>
      </w:r>
      <w:r>
        <w:rPr>
          <w:rFonts w:ascii="Times New Roman" w:eastAsia="宋体" w:hAnsi="Times New Roman" w:cs="Times New Roman" w:hint="eastAsia"/>
        </w:rPr>
        <w:t>种，主要分布在项目所在区的森林中活动或水域边。鸣禽</w:t>
      </w:r>
      <w:r>
        <w:rPr>
          <w:rFonts w:ascii="Times New Roman" w:eastAsia="宋体" w:hAnsi="Times New Roman" w:cs="Times New Roman" w:hint="eastAsia"/>
        </w:rPr>
        <w:t>(</w:t>
      </w:r>
      <w:r>
        <w:rPr>
          <w:rFonts w:ascii="Times New Roman" w:eastAsia="宋体" w:hAnsi="Times New Roman" w:cs="Times New Roman" w:hint="eastAsia"/>
        </w:rPr>
        <w:t>鸣管和鸣肌特别发达，一般体形较小，体态轻捷，活泼灵巧，善于鸣叫和歌唱，且巧于筑巢</w:t>
      </w:r>
      <w:r>
        <w:rPr>
          <w:rFonts w:ascii="Times New Roman" w:eastAsia="宋体" w:hAnsi="Times New Roman" w:cs="Times New Roman" w:hint="eastAsia"/>
        </w:rPr>
        <w:t>)</w:t>
      </w:r>
      <w:r>
        <w:rPr>
          <w:rFonts w:ascii="Times New Roman" w:eastAsia="宋体" w:hAnsi="Times New Roman" w:cs="Times New Roman" w:hint="eastAsia"/>
        </w:rPr>
        <w:t>：包括雀形目的所有种类，共</w:t>
      </w:r>
      <w:r>
        <w:rPr>
          <w:rFonts w:ascii="Times New Roman" w:eastAsia="宋体" w:hAnsi="Times New Roman" w:cs="Times New Roman"/>
        </w:rPr>
        <w:t>28</w:t>
      </w:r>
      <w:r>
        <w:rPr>
          <w:rFonts w:ascii="Times New Roman" w:eastAsia="宋体" w:hAnsi="Times New Roman" w:cs="Times New Roman" w:hint="eastAsia"/>
        </w:rPr>
        <w:t>种。其生活习性多种多样，广泛分布于项目所在区各类生境中，如树林、灌丛、农田、居民点及水域附近等。</w:t>
      </w:r>
    </w:p>
    <w:tbl>
      <w:tblPr>
        <w:tblW w:w="8217"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4261"/>
        <w:gridCol w:w="3956"/>
      </w:tblGrid>
      <w:tr w:rsidR="009D12AF" w14:paraId="2CDF089A" w14:textId="77777777">
        <w:trPr>
          <w:trHeight w:val="23"/>
        </w:trPr>
        <w:tc>
          <w:tcPr>
            <w:tcW w:w="4261" w:type="dxa"/>
            <w:vAlign w:val="center"/>
          </w:tcPr>
          <w:p w14:paraId="122F822D" w14:textId="77777777" w:rsidR="009D12AF" w:rsidRDefault="00000000">
            <w:pPr>
              <w:ind w:firstLineChars="0" w:firstLine="0"/>
              <w:jc w:val="center"/>
              <w:rPr>
                <w:rFonts w:ascii="等线" w:eastAsia="等线" w:hAnsi="等线" w:cs="Times New Roman" w:hint="eastAsia"/>
                <w:sz w:val="21"/>
                <w:szCs w:val="21"/>
              </w:rPr>
            </w:pPr>
            <w:r>
              <w:rPr>
                <w:rFonts w:ascii="Times New Roman" w:eastAsia="宋体" w:hAnsi="Times New Roman" w:cs="Times New Roman"/>
                <w:noProof/>
                <w:sz w:val="21"/>
                <w:szCs w:val="21"/>
              </w:rPr>
              <w:lastRenderedPageBreak/>
              <w:drawing>
                <wp:inline distT="0" distB="0" distL="0" distR="0" wp14:anchorId="63BC97E3" wp14:editId="1828BBE5">
                  <wp:extent cx="2963545" cy="2222500"/>
                  <wp:effectExtent l="0" t="0" r="6350" b="825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a:xfrm rot="16200000" flipH="1">
                            <a:off x="0" y="0"/>
                            <a:ext cx="2986274" cy="2239709"/>
                          </a:xfrm>
                          <a:prstGeom prst="rect">
                            <a:avLst/>
                          </a:prstGeom>
                          <a:noFill/>
                          <a:ln>
                            <a:noFill/>
                          </a:ln>
                        </pic:spPr>
                      </pic:pic>
                    </a:graphicData>
                  </a:graphic>
                </wp:inline>
              </w:drawing>
            </w:r>
          </w:p>
        </w:tc>
        <w:tc>
          <w:tcPr>
            <w:tcW w:w="3956" w:type="dxa"/>
            <w:vAlign w:val="center"/>
          </w:tcPr>
          <w:p w14:paraId="43A1AFB8" w14:textId="77777777" w:rsidR="009D12AF" w:rsidRDefault="00000000">
            <w:pPr>
              <w:ind w:firstLineChars="0" w:firstLine="0"/>
              <w:jc w:val="center"/>
              <w:rPr>
                <w:rFonts w:ascii="等线" w:eastAsia="等线" w:hAnsi="等线" w:cs="Times New Roman" w:hint="eastAsia"/>
                <w:sz w:val="21"/>
                <w:szCs w:val="21"/>
              </w:rPr>
            </w:pPr>
            <w:r>
              <w:rPr>
                <w:rFonts w:ascii="等线" w:eastAsia="等线" w:hAnsi="等线" w:cs="Times New Roman"/>
                <w:noProof/>
                <w:sz w:val="21"/>
                <w:szCs w:val="21"/>
              </w:rPr>
              <w:drawing>
                <wp:inline distT="0" distB="0" distL="0" distR="0" wp14:anchorId="24E86844" wp14:editId="45C7AC45">
                  <wp:extent cx="2938145" cy="2203450"/>
                  <wp:effectExtent l="0" t="0" r="6350" b="14605"/>
                  <wp:docPr id="2073274445" name="图片 2073274445" descr="E:\大庆-长岭天然气\外业照片\动物\7e99bbaec168bd82659d4bf9c12ff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274445" name="图片 2073274445" descr="E:\大庆-长岭天然气\外业照片\动物\7e99bbaec168bd82659d4bf9c12ffb1.jpg"/>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a:xfrm rot="5400000">
                            <a:off x="0" y="0"/>
                            <a:ext cx="2948348" cy="2211259"/>
                          </a:xfrm>
                          <a:prstGeom prst="rect">
                            <a:avLst/>
                          </a:prstGeom>
                          <a:noFill/>
                          <a:ln>
                            <a:noFill/>
                          </a:ln>
                        </pic:spPr>
                      </pic:pic>
                    </a:graphicData>
                  </a:graphic>
                </wp:inline>
              </w:drawing>
            </w:r>
          </w:p>
        </w:tc>
      </w:tr>
      <w:tr w:rsidR="009D12AF" w14:paraId="67FF3A25" w14:textId="77777777">
        <w:trPr>
          <w:trHeight w:val="23"/>
        </w:trPr>
        <w:tc>
          <w:tcPr>
            <w:tcW w:w="4261" w:type="dxa"/>
            <w:vAlign w:val="center"/>
          </w:tcPr>
          <w:p w14:paraId="0359BEDC" w14:textId="77777777" w:rsidR="009D12AF" w:rsidRDefault="00000000">
            <w:pPr>
              <w:ind w:firstLineChars="0" w:firstLine="0"/>
              <w:jc w:val="center"/>
              <w:rPr>
                <w:rFonts w:ascii="等线" w:eastAsia="等线" w:hAnsi="等线" w:cs="Times New Roman" w:hint="eastAsia"/>
                <w:sz w:val="21"/>
                <w:szCs w:val="21"/>
              </w:rPr>
            </w:pPr>
            <w:r>
              <w:rPr>
                <w:rFonts w:ascii="Times New Roman" w:eastAsia="宋体" w:hAnsi="Arial" w:cs="Times New Roman"/>
                <w:sz w:val="21"/>
                <w:szCs w:val="21"/>
              </w:rPr>
              <w:t>苍鹭</w:t>
            </w:r>
            <w:r>
              <w:rPr>
                <w:rFonts w:ascii="Times New Roman" w:eastAsia="宋体" w:hAnsi="Arial" w:cs="Times New Roman" w:hint="eastAsia"/>
                <w:sz w:val="21"/>
                <w:szCs w:val="21"/>
              </w:rPr>
              <w:t xml:space="preserve"> </w:t>
            </w:r>
            <w:r>
              <w:rPr>
                <w:rFonts w:ascii="Times New Roman" w:eastAsia="宋体" w:hAnsi="Arial" w:cs="Times New Roman"/>
                <w:i/>
                <w:sz w:val="21"/>
                <w:szCs w:val="21"/>
              </w:rPr>
              <w:t>Ardea cinerea</w:t>
            </w:r>
          </w:p>
        </w:tc>
        <w:tc>
          <w:tcPr>
            <w:tcW w:w="3956" w:type="dxa"/>
            <w:vAlign w:val="center"/>
          </w:tcPr>
          <w:p w14:paraId="24FBB944" w14:textId="77777777" w:rsidR="009D12AF" w:rsidRDefault="00000000">
            <w:pPr>
              <w:widowControl/>
              <w:spacing w:line="0" w:lineRule="atLeast"/>
              <w:ind w:firstLineChars="0" w:firstLine="0"/>
              <w:jc w:val="center"/>
              <w:rPr>
                <w:rFonts w:ascii="Times New Roman" w:eastAsia="宋体" w:hAnsi="Arial" w:cs="Times New Roman"/>
                <w:sz w:val="21"/>
                <w:szCs w:val="21"/>
              </w:rPr>
            </w:pPr>
            <w:r>
              <w:rPr>
                <w:rFonts w:ascii="Times New Roman" w:eastAsia="宋体" w:hAnsi="Arial" w:cs="Times New Roman"/>
                <w:sz w:val="21"/>
                <w:szCs w:val="21"/>
              </w:rPr>
              <w:t>环颈雉</w:t>
            </w:r>
            <w:r>
              <w:rPr>
                <w:rFonts w:ascii="Times New Roman" w:eastAsia="宋体" w:hAnsi="Arial" w:cs="Times New Roman" w:hint="eastAsia"/>
                <w:sz w:val="21"/>
                <w:szCs w:val="21"/>
              </w:rPr>
              <w:t xml:space="preserve"> </w:t>
            </w:r>
            <w:r>
              <w:rPr>
                <w:rFonts w:ascii="Times New Roman" w:eastAsia="宋体" w:hAnsi="Arial" w:cs="Times New Roman"/>
                <w:i/>
                <w:iCs/>
                <w:sz w:val="21"/>
                <w:szCs w:val="21"/>
              </w:rPr>
              <w:t>Phasianus colchicus</w:t>
            </w:r>
          </w:p>
        </w:tc>
      </w:tr>
      <w:tr w:rsidR="009D12AF" w14:paraId="3DE882B7" w14:textId="77777777">
        <w:trPr>
          <w:trHeight w:val="23"/>
        </w:trPr>
        <w:tc>
          <w:tcPr>
            <w:tcW w:w="4261" w:type="dxa"/>
            <w:vAlign w:val="center"/>
          </w:tcPr>
          <w:p w14:paraId="4566927B" w14:textId="77777777" w:rsidR="009D12AF" w:rsidRDefault="00000000">
            <w:pPr>
              <w:ind w:firstLineChars="0" w:firstLine="0"/>
              <w:jc w:val="center"/>
              <w:rPr>
                <w:rFonts w:ascii="等线" w:eastAsia="等线" w:hAnsi="等线" w:cs="Times New Roman" w:hint="eastAsia"/>
                <w:sz w:val="21"/>
                <w:szCs w:val="21"/>
              </w:rPr>
            </w:pPr>
            <w:r>
              <w:rPr>
                <w:rFonts w:ascii="Times New Roman" w:eastAsia="宋体" w:hAnsi="Times New Roman" w:cs="Times New Roman"/>
                <w:noProof/>
                <w:sz w:val="21"/>
                <w:szCs w:val="21"/>
              </w:rPr>
              <w:drawing>
                <wp:inline distT="0" distB="0" distL="0" distR="0" wp14:anchorId="03C2813E" wp14:editId="746E47DC">
                  <wp:extent cx="2813685" cy="2110105"/>
                  <wp:effectExtent l="0" t="0" r="4445" b="571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a:xfrm rot="5400000">
                            <a:off x="0" y="0"/>
                            <a:ext cx="2825124" cy="2118841"/>
                          </a:xfrm>
                          <a:prstGeom prst="rect">
                            <a:avLst/>
                          </a:prstGeom>
                          <a:noFill/>
                          <a:ln>
                            <a:noFill/>
                          </a:ln>
                        </pic:spPr>
                      </pic:pic>
                    </a:graphicData>
                  </a:graphic>
                </wp:inline>
              </w:drawing>
            </w:r>
          </w:p>
        </w:tc>
        <w:tc>
          <w:tcPr>
            <w:tcW w:w="3956" w:type="dxa"/>
            <w:vAlign w:val="center"/>
          </w:tcPr>
          <w:p w14:paraId="0B0E47E3" w14:textId="77777777" w:rsidR="009D12AF" w:rsidRDefault="00000000">
            <w:pPr>
              <w:ind w:firstLineChars="0" w:firstLine="0"/>
              <w:jc w:val="center"/>
              <w:rPr>
                <w:rFonts w:ascii="等线" w:eastAsia="等线" w:hAnsi="等线" w:cs="Times New Roman" w:hint="eastAsia"/>
                <w:sz w:val="21"/>
                <w:szCs w:val="21"/>
              </w:rPr>
            </w:pPr>
            <w:r>
              <w:rPr>
                <w:rFonts w:ascii="等线" w:eastAsia="等线" w:hAnsi="等线" w:cs="Times New Roman"/>
                <w:noProof/>
                <w:sz w:val="21"/>
                <w:szCs w:val="21"/>
              </w:rPr>
              <w:drawing>
                <wp:inline distT="0" distB="0" distL="0" distR="0" wp14:anchorId="02A9AC8C" wp14:editId="5F6302C6">
                  <wp:extent cx="2726055" cy="2044700"/>
                  <wp:effectExtent l="0" t="0" r="12700" b="17145"/>
                  <wp:docPr id="242" name="图片 242" descr="E:\大庆-长岭天然气\外业照片\动物\7d962e95c523f3defb1a3045b7838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E:\大庆-长岭天然气\外业照片\动物\7d962e95c523f3defb1a3045b7838e7.jpg"/>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a:xfrm rot="5400000">
                            <a:off x="0" y="0"/>
                            <a:ext cx="2731678" cy="2048759"/>
                          </a:xfrm>
                          <a:prstGeom prst="rect">
                            <a:avLst/>
                          </a:prstGeom>
                          <a:noFill/>
                          <a:ln>
                            <a:noFill/>
                          </a:ln>
                        </pic:spPr>
                      </pic:pic>
                    </a:graphicData>
                  </a:graphic>
                </wp:inline>
              </w:drawing>
            </w:r>
          </w:p>
        </w:tc>
      </w:tr>
      <w:tr w:rsidR="009D12AF" w14:paraId="60C221B2" w14:textId="77777777">
        <w:trPr>
          <w:trHeight w:val="23"/>
        </w:trPr>
        <w:tc>
          <w:tcPr>
            <w:tcW w:w="4261" w:type="dxa"/>
            <w:vAlign w:val="center"/>
          </w:tcPr>
          <w:p w14:paraId="1BEB899D" w14:textId="77777777" w:rsidR="009D12AF" w:rsidRDefault="00000000">
            <w:pPr>
              <w:widowControl/>
              <w:spacing w:line="0" w:lineRule="atLeast"/>
              <w:ind w:firstLineChars="0" w:firstLine="0"/>
              <w:jc w:val="center"/>
              <w:rPr>
                <w:rFonts w:ascii="Times New Roman" w:eastAsia="宋体" w:hAnsi="Arial" w:cs="Times New Roman"/>
                <w:sz w:val="21"/>
                <w:szCs w:val="21"/>
              </w:rPr>
            </w:pPr>
            <w:r>
              <w:rPr>
                <w:rFonts w:ascii="Times New Roman" w:eastAsia="宋体" w:hAnsi="Arial" w:cs="Times New Roman"/>
                <w:sz w:val="21"/>
                <w:szCs w:val="21"/>
              </w:rPr>
              <w:t>四声杜鹃</w:t>
            </w:r>
            <w:r>
              <w:rPr>
                <w:rFonts w:ascii="Times New Roman" w:eastAsia="宋体" w:hAnsi="Arial" w:cs="Times New Roman"/>
                <w:i/>
                <w:iCs/>
                <w:sz w:val="21"/>
                <w:szCs w:val="21"/>
              </w:rPr>
              <w:t>Cuculus micropterus</w:t>
            </w:r>
          </w:p>
        </w:tc>
        <w:tc>
          <w:tcPr>
            <w:tcW w:w="3956" w:type="dxa"/>
            <w:vAlign w:val="center"/>
          </w:tcPr>
          <w:p w14:paraId="360B0B6D"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喜鹊</w:t>
            </w:r>
            <w:r>
              <w:rPr>
                <w:rFonts w:ascii="Times New Roman" w:eastAsia="宋体" w:hAnsi="Times New Roman" w:cs="Times New Roman"/>
                <w:i/>
                <w:iCs/>
                <w:sz w:val="21"/>
                <w:szCs w:val="21"/>
              </w:rPr>
              <w:t>Pica pica</w:t>
            </w:r>
          </w:p>
        </w:tc>
      </w:tr>
    </w:tbl>
    <w:p w14:paraId="1293A659" w14:textId="77777777" w:rsidR="009D12AF" w:rsidRDefault="00000000">
      <w:pPr>
        <w:ind w:firstLine="482"/>
        <w:jc w:val="center"/>
        <w:rPr>
          <w:rFonts w:ascii="Arial" w:eastAsia="宋体" w:hAnsi="Arial" w:cs="Times New Roman"/>
          <w:b/>
          <w:bCs/>
        </w:rPr>
      </w:pPr>
      <w:r>
        <w:rPr>
          <w:rFonts w:ascii="Arial" w:eastAsia="宋体" w:hAnsi="Arial" w:cs="Times New Roman" w:hint="eastAsia"/>
          <w:b/>
          <w:bCs/>
        </w:rPr>
        <w:t>图</w:t>
      </w:r>
      <w:r>
        <w:rPr>
          <w:rFonts w:ascii="Arial" w:eastAsia="宋体" w:hAnsi="Arial" w:cs="Times New Roman" w:hint="eastAsia"/>
          <w:b/>
          <w:bCs/>
        </w:rPr>
        <w:t xml:space="preserve">4.3-39  </w:t>
      </w:r>
      <w:r>
        <w:rPr>
          <w:rFonts w:ascii="Arial" w:eastAsia="宋体" w:hAnsi="Arial" w:cs="Times New Roman" w:hint="eastAsia"/>
          <w:b/>
          <w:bCs/>
        </w:rPr>
        <w:t>鸟类动物</w:t>
      </w:r>
    </w:p>
    <w:p w14:paraId="45616166" w14:textId="77777777" w:rsidR="009D12AF" w:rsidRDefault="00000000">
      <w:pPr>
        <w:ind w:firstLine="480"/>
        <w:jc w:val="left"/>
        <w:rPr>
          <w:rFonts w:ascii="Arial" w:eastAsia="宋体" w:hAnsi="Arial" w:cs="Times New Roman"/>
        </w:rPr>
      </w:pPr>
      <w:r>
        <w:rPr>
          <w:rFonts w:ascii="Arial" w:eastAsia="宋体" w:hAnsi="Arial" w:cs="Times New Roman" w:hint="eastAsia"/>
        </w:rPr>
        <w:t>4</w:t>
      </w:r>
      <w:r>
        <w:rPr>
          <w:rFonts w:ascii="Arial" w:eastAsia="宋体" w:hAnsi="Arial" w:cs="Times New Roman" w:hint="eastAsia"/>
        </w:rPr>
        <w:t>、哺乳类</w:t>
      </w:r>
    </w:p>
    <w:p w14:paraId="43E26151"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a</w:t>
      </w:r>
      <w:r>
        <w:rPr>
          <w:rFonts w:ascii="Times New Roman" w:eastAsia="宋体" w:hAnsi="Times New Roman" w:cs="Times New Roman"/>
        </w:rPr>
        <w:t>.</w:t>
      </w:r>
      <w:r>
        <w:rPr>
          <w:rFonts w:ascii="Times New Roman" w:eastAsia="宋体" w:hAnsi="Times New Roman" w:cs="Times New Roman" w:hint="eastAsia"/>
        </w:rPr>
        <w:t>种类及区系组成</w:t>
      </w:r>
    </w:p>
    <w:p w14:paraId="5EBC4368"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评价区内共有哺乳类动物</w:t>
      </w:r>
      <w:r>
        <w:rPr>
          <w:rFonts w:ascii="Times New Roman" w:eastAsia="宋体" w:hAnsi="Times New Roman" w:cs="Times New Roman" w:hint="eastAsia"/>
        </w:rPr>
        <w:t>7</w:t>
      </w:r>
      <w:r>
        <w:rPr>
          <w:rFonts w:ascii="Times New Roman" w:eastAsia="宋体" w:hAnsi="Times New Roman" w:cs="Times New Roman" w:hint="eastAsia"/>
        </w:rPr>
        <w:t>目</w:t>
      </w:r>
      <w:r>
        <w:rPr>
          <w:rFonts w:ascii="Times New Roman" w:eastAsia="宋体" w:hAnsi="Times New Roman" w:cs="Times New Roman"/>
        </w:rPr>
        <w:t>10</w:t>
      </w:r>
      <w:r>
        <w:rPr>
          <w:rFonts w:ascii="Times New Roman" w:eastAsia="宋体" w:hAnsi="Times New Roman" w:cs="Times New Roman" w:hint="eastAsia"/>
        </w:rPr>
        <w:t>科</w:t>
      </w:r>
      <w:r>
        <w:rPr>
          <w:rFonts w:ascii="Times New Roman" w:eastAsia="宋体" w:hAnsi="Times New Roman" w:cs="Times New Roman"/>
        </w:rPr>
        <w:t>18</w:t>
      </w:r>
      <w:r>
        <w:rPr>
          <w:rFonts w:ascii="Times New Roman" w:eastAsia="宋体" w:hAnsi="Times New Roman" w:cs="Times New Roman" w:hint="eastAsia"/>
        </w:rPr>
        <w:t>种，按区系类型分，将评价区爬行类分为</w:t>
      </w:r>
      <w:r>
        <w:rPr>
          <w:rFonts w:ascii="Times New Roman" w:eastAsia="宋体" w:hAnsi="Times New Roman" w:cs="Times New Roman" w:hint="eastAsia"/>
        </w:rPr>
        <w:t>2</w:t>
      </w:r>
      <w:r>
        <w:rPr>
          <w:rFonts w:ascii="Times New Roman" w:eastAsia="宋体" w:hAnsi="Times New Roman" w:cs="Times New Roman" w:hint="eastAsia"/>
        </w:rPr>
        <w:t>种区系类型：古北种</w:t>
      </w:r>
      <w:r>
        <w:rPr>
          <w:rFonts w:ascii="Times New Roman" w:eastAsia="宋体" w:hAnsi="Times New Roman" w:cs="Times New Roman" w:hint="eastAsia"/>
        </w:rPr>
        <w:t>7</w:t>
      </w:r>
      <w:r>
        <w:rPr>
          <w:rFonts w:ascii="Times New Roman" w:eastAsia="宋体" w:hAnsi="Times New Roman" w:cs="Times New Roman" w:hint="eastAsia"/>
        </w:rPr>
        <w:t>种，占</w:t>
      </w:r>
      <w:r>
        <w:rPr>
          <w:rFonts w:ascii="Times New Roman" w:eastAsia="宋体" w:hAnsi="Times New Roman" w:cs="Times New Roman"/>
        </w:rPr>
        <w:t>38.88</w:t>
      </w:r>
      <w:r>
        <w:rPr>
          <w:rFonts w:ascii="Times New Roman" w:eastAsia="宋体" w:hAnsi="Times New Roman" w:cs="Times New Roman" w:hint="eastAsia"/>
        </w:rPr>
        <w:t>%</w:t>
      </w:r>
      <w:r>
        <w:rPr>
          <w:rFonts w:ascii="Times New Roman" w:eastAsia="宋体" w:hAnsi="Times New Roman" w:cs="Times New Roman" w:hint="eastAsia"/>
        </w:rPr>
        <w:t>；广布种</w:t>
      </w:r>
      <w:r>
        <w:rPr>
          <w:rFonts w:ascii="Times New Roman" w:eastAsia="宋体" w:hAnsi="Times New Roman" w:cs="Times New Roman"/>
        </w:rPr>
        <w:t>11</w:t>
      </w:r>
      <w:r>
        <w:rPr>
          <w:rFonts w:ascii="Times New Roman" w:eastAsia="宋体" w:hAnsi="Times New Roman" w:cs="Times New Roman" w:hint="eastAsia"/>
        </w:rPr>
        <w:t>种，占</w:t>
      </w:r>
      <w:r>
        <w:rPr>
          <w:rFonts w:ascii="Times New Roman" w:eastAsia="宋体" w:hAnsi="Times New Roman" w:cs="Times New Roman"/>
        </w:rPr>
        <w:t>61.12</w:t>
      </w:r>
      <w:r>
        <w:rPr>
          <w:rFonts w:ascii="Times New Roman" w:eastAsia="宋体" w:hAnsi="Times New Roman" w:cs="Times New Roman" w:hint="eastAsia"/>
        </w:rPr>
        <w:t>%</w:t>
      </w:r>
      <w:r>
        <w:rPr>
          <w:rFonts w:ascii="Times New Roman" w:eastAsia="宋体" w:hAnsi="Times New Roman" w:cs="Times New Roman" w:hint="eastAsia"/>
        </w:rPr>
        <w:t>。根据调查及访问调查结果，评价区分布有黑龙江省重点保护兽类</w:t>
      </w:r>
      <w:r>
        <w:rPr>
          <w:rFonts w:ascii="Times New Roman" w:eastAsia="宋体" w:hAnsi="Times New Roman" w:cs="Times New Roman"/>
        </w:rPr>
        <w:t>5</w:t>
      </w:r>
      <w:r>
        <w:rPr>
          <w:rFonts w:ascii="Times New Roman" w:eastAsia="宋体" w:hAnsi="Times New Roman" w:cs="Times New Roman" w:hint="eastAsia"/>
        </w:rPr>
        <w:t>种，为远东刺猬</w:t>
      </w:r>
      <w:r>
        <w:rPr>
          <w:rFonts w:ascii="Times New Roman" w:eastAsia="宋体" w:hAnsi="Times New Roman" w:cs="Times New Roman" w:hint="eastAsia"/>
        </w:rPr>
        <w:lastRenderedPageBreak/>
        <w:t>（</w:t>
      </w:r>
      <w:r>
        <w:rPr>
          <w:rFonts w:ascii="Times New Roman" w:eastAsia="宋体" w:hAnsi="Times New Roman" w:cs="Times New Roman"/>
          <w:i/>
          <w:iCs/>
        </w:rPr>
        <w:t>Erinaceus amurensis</w:t>
      </w:r>
      <w:r>
        <w:rPr>
          <w:rFonts w:ascii="Times New Roman" w:eastAsia="宋体" w:hAnsi="Times New Roman" w:cs="Times New Roman" w:hint="eastAsia"/>
        </w:rPr>
        <w:t>）、香鼬（</w:t>
      </w:r>
      <w:r>
        <w:rPr>
          <w:rFonts w:ascii="Times New Roman" w:eastAsia="宋体" w:hAnsi="Times New Roman" w:cs="Times New Roman"/>
          <w:i/>
          <w:iCs/>
        </w:rPr>
        <w:t>Mustela altaica</w:t>
      </w:r>
      <w:r>
        <w:rPr>
          <w:rFonts w:ascii="Times New Roman" w:eastAsia="宋体" w:hAnsi="Times New Roman" w:cs="Times New Roman" w:hint="eastAsia"/>
        </w:rPr>
        <w:t>）、黄鼬（</w:t>
      </w:r>
      <w:bookmarkStart w:id="312" w:name="_Hlk194909251"/>
      <w:r>
        <w:rPr>
          <w:rFonts w:ascii="Times New Roman" w:eastAsia="宋体" w:hAnsi="Times New Roman" w:cs="Times New Roman"/>
          <w:i/>
          <w:iCs/>
        </w:rPr>
        <w:t>Mustela sibirica</w:t>
      </w:r>
      <w:bookmarkEnd w:id="312"/>
      <w:r>
        <w:rPr>
          <w:rFonts w:ascii="Times New Roman" w:eastAsia="宋体" w:hAnsi="Times New Roman" w:cs="Times New Roman" w:hint="eastAsia"/>
        </w:rPr>
        <w:t>）东北兔（</w:t>
      </w:r>
      <w:r>
        <w:rPr>
          <w:rFonts w:ascii="Times New Roman" w:eastAsia="宋体" w:hAnsi="Times New Roman" w:cs="Times New Roman"/>
          <w:i/>
          <w:iCs/>
        </w:rPr>
        <w:t>Lepus mandshuricus</w:t>
      </w:r>
      <w:r>
        <w:rPr>
          <w:rFonts w:ascii="Times New Roman" w:eastAsia="宋体" w:hAnsi="Times New Roman" w:cs="Times New Roman" w:hint="eastAsia"/>
        </w:rPr>
        <w:t>）、松鼠（</w:t>
      </w:r>
      <w:r>
        <w:rPr>
          <w:rFonts w:ascii="Times New Roman" w:eastAsia="宋体" w:hAnsi="Times New Roman" w:cs="Times New Roman"/>
          <w:i/>
          <w:iCs/>
        </w:rPr>
        <w:t>Sciurus vulgaris</w:t>
      </w:r>
      <w:r>
        <w:rPr>
          <w:rFonts w:ascii="Times New Roman" w:eastAsia="宋体" w:hAnsi="Times New Roman" w:cs="Times New Roman" w:hint="eastAsia"/>
        </w:rPr>
        <w:t>）；除</w:t>
      </w:r>
      <w:r>
        <w:rPr>
          <w:rFonts w:ascii="Times New Roman" w:eastAsia="宋体" w:hAnsi="Times New Roman" w:cs="Times New Roman"/>
        </w:rPr>
        <w:t>5</w:t>
      </w:r>
      <w:r>
        <w:rPr>
          <w:rFonts w:ascii="Times New Roman" w:eastAsia="宋体" w:hAnsi="Times New Roman" w:cs="Times New Roman" w:hint="eastAsia"/>
        </w:rPr>
        <w:t>种重点保护哺乳类外，还包括其他</w:t>
      </w:r>
      <w:r>
        <w:rPr>
          <w:rFonts w:ascii="Times New Roman" w:eastAsia="宋体" w:hAnsi="Times New Roman" w:cs="Times New Roman"/>
        </w:rPr>
        <w:t>13</w:t>
      </w:r>
      <w:r>
        <w:rPr>
          <w:rFonts w:ascii="Times New Roman" w:eastAsia="宋体" w:hAnsi="Times New Roman" w:cs="Times New Roman" w:hint="eastAsia"/>
        </w:rPr>
        <w:t>种哺乳类动物。详见表</w:t>
      </w:r>
      <w:r>
        <w:rPr>
          <w:rFonts w:ascii="Times New Roman" w:eastAsia="宋体" w:hAnsi="Times New Roman" w:cs="Times New Roman" w:hint="eastAsia"/>
        </w:rPr>
        <w:t>4.3-56</w:t>
      </w:r>
      <w:r>
        <w:rPr>
          <w:rFonts w:ascii="Times New Roman" w:eastAsia="宋体" w:hAnsi="Times New Roman" w:cs="Times New Roman" w:hint="eastAsia"/>
        </w:rPr>
        <w:t>。</w:t>
      </w:r>
    </w:p>
    <w:p w14:paraId="7772C498" w14:textId="77777777" w:rsidR="009D12AF" w:rsidRDefault="00000000">
      <w:pPr>
        <w:ind w:firstLine="480"/>
        <w:jc w:val="center"/>
        <w:rPr>
          <w:rFonts w:ascii="Times New Roman" w:eastAsia="宋体" w:hAnsi="Times New Roman" w:cs="Times New Roman"/>
        </w:rPr>
      </w:pPr>
      <w:r>
        <w:rPr>
          <w:rFonts w:ascii="Times New Roman" w:eastAsia="黑体" w:hAnsi="Times New Roman" w:cs="Arial" w:hint="eastAsia"/>
        </w:rPr>
        <w:t>表</w:t>
      </w:r>
      <w:r>
        <w:rPr>
          <w:rFonts w:ascii="Times New Roman" w:eastAsia="黑体" w:hAnsi="Times New Roman" w:cs="Arial" w:hint="eastAsia"/>
        </w:rPr>
        <w:t xml:space="preserve">4.3-56  </w:t>
      </w:r>
      <w:r>
        <w:rPr>
          <w:rFonts w:ascii="Times New Roman" w:eastAsia="黑体" w:hAnsi="Times New Roman" w:cs="Arial" w:hint="eastAsia"/>
        </w:rPr>
        <w:t>评价范围内哺乳类调查情况统计</w:t>
      </w:r>
    </w:p>
    <w:tbl>
      <w:tblPr>
        <w:tblW w:w="5000"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762"/>
        <w:gridCol w:w="1018"/>
        <w:gridCol w:w="1019"/>
        <w:gridCol w:w="728"/>
        <w:gridCol w:w="1168"/>
        <w:gridCol w:w="1164"/>
        <w:gridCol w:w="663"/>
      </w:tblGrid>
      <w:tr w:rsidR="009D12AF" w14:paraId="1C6239E8" w14:textId="77777777">
        <w:trPr>
          <w:trHeight w:val="312"/>
        </w:trPr>
        <w:tc>
          <w:tcPr>
            <w:tcW w:w="1621" w:type="pct"/>
            <w:tcBorders>
              <w:tl2br w:val="nil"/>
              <w:tr2bl w:val="nil"/>
            </w:tcBorders>
            <w:vAlign w:val="center"/>
          </w:tcPr>
          <w:p w14:paraId="08ECF6EE" w14:textId="77777777" w:rsidR="009D12AF" w:rsidRDefault="00000000">
            <w:pPr>
              <w:spacing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中文名、学名</w:t>
            </w:r>
          </w:p>
        </w:tc>
        <w:tc>
          <w:tcPr>
            <w:tcW w:w="597" w:type="pct"/>
            <w:tcBorders>
              <w:tl2br w:val="nil"/>
              <w:tr2bl w:val="nil"/>
            </w:tcBorders>
            <w:vAlign w:val="center"/>
          </w:tcPr>
          <w:p w14:paraId="05C9B7BF" w14:textId="77777777" w:rsidR="009D12AF" w:rsidRDefault="00000000">
            <w:pPr>
              <w:spacing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生境</w:t>
            </w:r>
          </w:p>
        </w:tc>
        <w:tc>
          <w:tcPr>
            <w:tcW w:w="598" w:type="pct"/>
            <w:tcBorders>
              <w:tl2br w:val="nil"/>
              <w:tr2bl w:val="nil"/>
            </w:tcBorders>
            <w:vAlign w:val="center"/>
          </w:tcPr>
          <w:p w14:paraId="269ABF1A" w14:textId="77777777" w:rsidR="009D12AF" w:rsidRDefault="00000000">
            <w:pPr>
              <w:spacing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区系</w:t>
            </w:r>
          </w:p>
        </w:tc>
        <w:tc>
          <w:tcPr>
            <w:tcW w:w="427" w:type="pct"/>
            <w:tcBorders>
              <w:tl2br w:val="nil"/>
              <w:tr2bl w:val="nil"/>
            </w:tcBorders>
            <w:vAlign w:val="center"/>
          </w:tcPr>
          <w:p w14:paraId="19A22270" w14:textId="77777777" w:rsidR="009D12AF" w:rsidRDefault="00000000">
            <w:pPr>
              <w:spacing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数量</w:t>
            </w:r>
          </w:p>
        </w:tc>
        <w:tc>
          <w:tcPr>
            <w:tcW w:w="685" w:type="pct"/>
            <w:tcBorders>
              <w:tl2br w:val="nil"/>
              <w:tr2bl w:val="nil"/>
            </w:tcBorders>
            <w:vAlign w:val="center"/>
          </w:tcPr>
          <w:p w14:paraId="7C0FDBEE" w14:textId="77777777" w:rsidR="009D12AF" w:rsidRDefault="00000000">
            <w:pPr>
              <w:spacing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来源</w:t>
            </w:r>
          </w:p>
        </w:tc>
        <w:tc>
          <w:tcPr>
            <w:tcW w:w="683" w:type="pct"/>
            <w:tcBorders>
              <w:tl2br w:val="nil"/>
              <w:tr2bl w:val="nil"/>
            </w:tcBorders>
            <w:vAlign w:val="center"/>
          </w:tcPr>
          <w:p w14:paraId="077530FA" w14:textId="77777777" w:rsidR="009D12AF" w:rsidRDefault="00000000">
            <w:pPr>
              <w:spacing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保护级别</w:t>
            </w:r>
          </w:p>
        </w:tc>
        <w:tc>
          <w:tcPr>
            <w:tcW w:w="389" w:type="pct"/>
            <w:tcBorders>
              <w:tl2br w:val="nil"/>
              <w:tr2bl w:val="nil"/>
            </w:tcBorders>
            <w:vAlign w:val="center"/>
          </w:tcPr>
          <w:p w14:paraId="35E48F82" w14:textId="77777777" w:rsidR="009D12AF" w:rsidRDefault="00000000">
            <w:pPr>
              <w:spacing w:line="0" w:lineRule="atLeast"/>
              <w:ind w:firstLineChars="0" w:firstLine="0"/>
              <w:jc w:val="center"/>
              <w:rPr>
                <w:rFonts w:ascii="Times New Roman" w:eastAsia="宋体" w:hAnsi="Times New Roman" w:cs="Times New Roman"/>
                <w:b/>
                <w:bCs/>
                <w:sz w:val="21"/>
                <w:szCs w:val="21"/>
              </w:rPr>
            </w:pPr>
            <w:r>
              <w:rPr>
                <w:rFonts w:ascii="Times New Roman" w:eastAsia="宋体" w:hAnsi="Times New Roman" w:cs="Times New Roman"/>
                <w:b/>
                <w:bCs/>
                <w:sz w:val="21"/>
                <w:szCs w:val="21"/>
              </w:rPr>
              <w:t>濒危等级</w:t>
            </w:r>
          </w:p>
        </w:tc>
      </w:tr>
      <w:tr w:rsidR="009D12AF" w14:paraId="5DE681E2" w14:textId="77777777">
        <w:trPr>
          <w:trHeight w:val="372"/>
        </w:trPr>
        <w:tc>
          <w:tcPr>
            <w:tcW w:w="5000" w:type="pct"/>
            <w:gridSpan w:val="7"/>
            <w:tcBorders>
              <w:tl2br w:val="nil"/>
              <w:tr2bl w:val="nil"/>
            </w:tcBorders>
            <w:vAlign w:val="center"/>
          </w:tcPr>
          <w:p w14:paraId="7F543E49" w14:textId="77777777" w:rsidR="009D12AF" w:rsidRDefault="00000000">
            <w:pPr>
              <w:numPr>
                <w:ilvl w:val="0"/>
                <w:numId w:val="25"/>
              </w:numPr>
              <w:spacing w:after="160" w:line="300" w:lineRule="auto"/>
              <w:ind w:firstLineChars="0" w:firstLine="0"/>
              <w:jc w:val="left"/>
              <w:rPr>
                <w:rFonts w:ascii="Times New Roman" w:eastAsia="宋体" w:hAnsi="Times New Roman" w:cs="Times New Roman"/>
                <w:sz w:val="21"/>
                <w:szCs w:val="21"/>
              </w:rPr>
            </w:pPr>
            <w:r>
              <w:rPr>
                <w:rFonts w:ascii="Times New Roman" w:eastAsia="宋体" w:hAnsi="Times New Roman" w:cs="Times New Roman"/>
                <w:b/>
                <w:bCs/>
                <w:sz w:val="21"/>
                <w:szCs w:val="21"/>
              </w:rPr>
              <w:t>食虫目</w:t>
            </w:r>
            <w:r>
              <w:rPr>
                <w:rFonts w:ascii="Times New Roman" w:eastAsia="宋体" w:hAnsi="Times New Roman" w:cs="Times New Roman"/>
                <w:b/>
                <w:bCs/>
                <w:sz w:val="21"/>
                <w:szCs w:val="21"/>
              </w:rPr>
              <w:t xml:space="preserve"> INSECTIVORA</w:t>
            </w:r>
          </w:p>
        </w:tc>
      </w:tr>
      <w:tr w:rsidR="009D12AF" w14:paraId="1570FAD7" w14:textId="77777777">
        <w:trPr>
          <w:trHeight w:val="300"/>
        </w:trPr>
        <w:tc>
          <w:tcPr>
            <w:tcW w:w="5000" w:type="pct"/>
            <w:gridSpan w:val="7"/>
            <w:tcBorders>
              <w:tl2br w:val="nil"/>
              <w:tr2bl w:val="nil"/>
            </w:tcBorders>
            <w:vAlign w:val="center"/>
          </w:tcPr>
          <w:p w14:paraId="6F11B59B" w14:textId="77777777" w:rsidR="009D12AF" w:rsidRDefault="00000000">
            <w:pPr>
              <w:numPr>
                <w:ilvl w:val="0"/>
                <w:numId w:val="26"/>
              </w:numPr>
              <w:spacing w:after="160" w:line="0" w:lineRule="atLeast"/>
              <w:ind w:firstLineChars="0" w:firstLine="0"/>
              <w:jc w:val="left"/>
              <w:rPr>
                <w:rFonts w:ascii="Times New Roman" w:eastAsia="宋体" w:hAnsi="Times New Roman" w:cs="Times New Roman"/>
                <w:b/>
                <w:bCs/>
                <w:color w:val="333333"/>
                <w:sz w:val="21"/>
                <w:szCs w:val="21"/>
                <w:shd w:val="clear" w:color="auto" w:fill="FFFFFF"/>
              </w:rPr>
            </w:pPr>
            <w:r>
              <w:rPr>
                <w:rFonts w:ascii="Times New Roman" w:eastAsia="宋体" w:hAnsi="Times New Roman" w:cs="Times New Roman"/>
                <w:b/>
                <w:bCs/>
                <w:sz w:val="21"/>
                <w:szCs w:val="21"/>
              </w:rPr>
              <w:t>鼩鼱科</w:t>
            </w:r>
            <w:r>
              <w:rPr>
                <w:rFonts w:ascii="Times New Roman" w:eastAsia="宋体" w:hAnsi="Times New Roman" w:cs="Times New Roman"/>
                <w:b/>
                <w:bCs/>
                <w:i/>
                <w:iCs/>
                <w:color w:val="333333"/>
                <w:sz w:val="21"/>
                <w:szCs w:val="21"/>
                <w:shd w:val="clear" w:color="auto" w:fill="FFFFFF"/>
              </w:rPr>
              <w:t xml:space="preserve"> </w:t>
            </w:r>
            <w:r>
              <w:rPr>
                <w:rFonts w:ascii="Times New Roman" w:eastAsia="宋体" w:hAnsi="Times New Roman" w:cs="Times New Roman"/>
                <w:b/>
                <w:bCs/>
                <w:i/>
                <w:iCs/>
                <w:sz w:val="21"/>
                <w:szCs w:val="21"/>
              </w:rPr>
              <w:t>Soricidae</w:t>
            </w:r>
          </w:p>
        </w:tc>
      </w:tr>
      <w:tr w:rsidR="009D12AF" w14:paraId="457F86F5" w14:textId="77777777">
        <w:trPr>
          <w:trHeight w:val="660"/>
        </w:trPr>
        <w:tc>
          <w:tcPr>
            <w:tcW w:w="1621" w:type="pct"/>
            <w:tcBorders>
              <w:tl2br w:val="nil"/>
              <w:tr2bl w:val="nil"/>
            </w:tcBorders>
            <w:vAlign w:val="center"/>
          </w:tcPr>
          <w:p w14:paraId="2A53C394" w14:textId="77777777" w:rsidR="009D12AF" w:rsidRDefault="00000000">
            <w:pPr>
              <w:widowControl/>
              <w:numPr>
                <w:ilvl w:val="0"/>
                <w:numId w:val="27"/>
              </w:numPr>
              <w:spacing w:after="160" w:line="0" w:lineRule="atLeast"/>
              <w:ind w:firstLineChars="0" w:firstLine="0"/>
              <w:jc w:val="left"/>
              <w:rPr>
                <w:rFonts w:ascii="Times New Roman" w:eastAsia="宋体" w:hAnsi="Times New Roman" w:cs="Times New Roman"/>
                <w:color w:val="333333"/>
                <w:sz w:val="21"/>
                <w:szCs w:val="21"/>
                <w:shd w:val="clear" w:color="auto" w:fill="FFFFFF"/>
              </w:rPr>
            </w:pPr>
            <w:r>
              <w:rPr>
                <w:rFonts w:ascii="Times New Roman" w:eastAsia="宋体" w:hAnsi="Times New Roman" w:cs="Times New Roman"/>
                <w:sz w:val="21"/>
                <w:szCs w:val="21"/>
              </w:rPr>
              <w:t>中</w:t>
            </w:r>
            <w:r>
              <w:rPr>
                <w:rFonts w:ascii="Times New Roman" w:eastAsia="宋体" w:hAnsi="Times New Roman" w:cs="Times New Roman"/>
                <w:color w:val="333333"/>
                <w:kern w:val="0"/>
                <w:sz w:val="21"/>
                <w:szCs w:val="21"/>
                <w:shd w:val="clear" w:color="auto" w:fill="FFFFFF"/>
              </w:rPr>
              <w:t>鼩鼱</w:t>
            </w:r>
          </w:p>
          <w:p w14:paraId="6A82C474" w14:textId="77777777" w:rsidR="009D12AF" w:rsidRDefault="00000000">
            <w:pPr>
              <w:widowControl/>
              <w:spacing w:line="0" w:lineRule="atLeast"/>
              <w:ind w:firstLineChars="0" w:firstLine="0"/>
              <w:jc w:val="left"/>
              <w:rPr>
                <w:rFonts w:ascii="Times New Roman" w:eastAsia="宋体" w:hAnsi="Times New Roman" w:cs="Times New Roman"/>
                <w:color w:val="333333"/>
                <w:sz w:val="21"/>
                <w:szCs w:val="21"/>
                <w:shd w:val="clear" w:color="auto" w:fill="FFFFFF"/>
              </w:rPr>
            </w:pPr>
            <w:r>
              <w:rPr>
                <w:rFonts w:ascii="Times New Roman" w:eastAsia="宋体" w:hAnsi="Times New Roman" w:cs="Times New Roman"/>
                <w:i/>
                <w:iCs/>
                <w:kern w:val="0"/>
                <w:sz w:val="21"/>
                <w:szCs w:val="21"/>
              </w:rPr>
              <w:t>Sorex caecutiens</w:t>
            </w:r>
          </w:p>
        </w:tc>
        <w:tc>
          <w:tcPr>
            <w:tcW w:w="597" w:type="pct"/>
            <w:tcBorders>
              <w:tl2br w:val="nil"/>
              <w:tr2bl w:val="nil"/>
            </w:tcBorders>
            <w:vAlign w:val="center"/>
          </w:tcPr>
          <w:p w14:paraId="35B77F1E"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kern w:val="0"/>
                <w:sz w:val="21"/>
                <w:szCs w:val="21"/>
              </w:rPr>
              <w:t>3.4</w:t>
            </w:r>
          </w:p>
        </w:tc>
        <w:tc>
          <w:tcPr>
            <w:tcW w:w="598" w:type="pct"/>
            <w:tcBorders>
              <w:tl2br w:val="nil"/>
              <w:tr2bl w:val="nil"/>
            </w:tcBorders>
            <w:vAlign w:val="center"/>
          </w:tcPr>
          <w:p w14:paraId="5B9467BB"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kern w:val="0"/>
                <w:sz w:val="21"/>
                <w:szCs w:val="21"/>
              </w:rPr>
              <w:t>古</w:t>
            </w:r>
            <w:r>
              <w:rPr>
                <w:rFonts w:ascii="Times New Roman" w:eastAsia="宋体" w:hAnsi="Times New Roman" w:cs="Times New Roman"/>
                <w:sz w:val="21"/>
                <w:szCs w:val="21"/>
              </w:rPr>
              <w:t>北种</w:t>
            </w:r>
          </w:p>
        </w:tc>
        <w:tc>
          <w:tcPr>
            <w:tcW w:w="427" w:type="pct"/>
            <w:tcBorders>
              <w:tl2br w:val="nil"/>
              <w:tr2bl w:val="nil"/>
            </w:tcBorders>
            <w:vAlign w:val="center"/>
          </w:tcPr>
          <w:p w14:paraId="675C55DC"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kern w:val="0"/>
                <w:sz w:val="21"/>
                <w:szCs w:val="21"/>
              </w:rPr>
              <w:t>+</w:t>
            </w:r>
          </w:p>
        </w:tc>
        <w:tc>
          <w:tcPr>
            <w:tcW w:w="685" w:type="pct"/>
            <w:tcBorders>
              <w:tl2br w:val="nil"/>
              <w:tr2bl w:val="nil"/>
            </w:tcBorders>
            <w:vAlign w:val="center"/>
          </w:tcPr>
          <w:p w14:paraId="5C56CC76"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83" w:type="pct"/>
            <w:tcBorders>
              <w:tl2br w:val="nil"/>
              <w:tr2bl w:val="nil"/>
            </w:tcBorders>
            <w:vAlign w:val="center"/>
          </w:tcPr>
          <w:p w14:paraId="08EEA828"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389" w:type="pct"/>
            <w:tcBorders>
              <w:tl2br w:val="nil"/>
              <w:tr2bl w:val="nil"/>
            </w:tcBorders>
            <w:vAlign w:val="center"/>
          </w:tcPr>
          <w:p w14:paraId="46B5BF7A"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近危</w:t>
            </w:r>
          </w:p>
        </w:tc>
      </w:tr>
      <w:tr w:rsidR="009D12AF" w14:paraId="09744C72" w14:textId="77777777">
        <w:trPr>
          <w:trHeight w:val="299"/>
        </w:trPr>
        <w:tc>
          <w:tcPr>
            <w:tcW w:w="5000" w:type="pct"/>
            <w:gridSpan w:val="7"/>
            <w:tcBorders>
              <w:tl2br w:val="nil"/>
              <w:tr2bl w:val="nil"/>
            </w:tcBorders>
            <w:vAlign w:val="center"/>
          </w:tcPr>
          <w:p w14:paraId="48694476" w14:textId="77777777" w:rsidR="009D12AF" w:rsidRDefault="00000000">
            <w:pPr>
              <w:numPr>
                <w:ilvl w:val="0"/>
                <w:numId w:val="25"/>
              </w:numPr>
              <w:spacing w:after="160" w:line="300" w:lineRule="auto"/>
              <w:ind w:firstLineChars="0" w:firstLine="0"/>
              <w:jc w:val="left"/>
              <w:rPr>
                <w:rFonts w:ascii="Times New Roman" w:eastAsia="宋体" w:hAnsi="Times New Roman" w:cs="Times New Roman"/>
                <w:sz w:val="21"/>
                <w:szCs w:val="21"/>
              </w:rPr>
            </w:pPr>
            <w:hyperlink r:id="rId172" w:tgtFrame="_blank" w:history="1">
              <w:r>
                <w:rPr>
                  <w:rFonts w:ascii="Times New Roman" w:eastAsia="宋体" w:hAnsi="Times New Roman" w:cs="Times New Roman"/>
                  <w:b/>
                  <w:bCs/>
                  <w:color w:val="000000"/>
                  <w:sz w:val="21"/>
                  <w:szCs w:val="21"/>
                  <w:lang w:bidi="ar"/>
                </w:rPr>
                <w:t>猬形目</w:t>
              </w:r>
            </w:hyperlink>
            <w:r>
              <w:rPr>
                <w:rFonts w:ascii="Times New Roman" w:eastAsia="宋体" w:hAnsi="Times New Roman" w:cs="Times New Roman"/>
                <w:b/>
                <w:bCs/>
                <w:color w:val="000000"/>
                <w:sz w:val="21"/>
                <w:szCs w:val="21"/>
                <w:lang w:bidi="ar"/>
              </w:rPr>
              <w:t>ERINACEOMORPHA</w:t>
            </w:r>
          </w:p>
        </w:tc>
      </w:tr>
      <w:tr w:rsidR="009D12AF" w14:paraId="5CB7B506" w14:textId="77777777">
        <w:trPr>
          <w:trHeight w:val="262"/>
        </w:trPr>
        <w:tc>
          <w:tcPr>
            <w:tcW w:w="5000" w:type="pct"/>
            <w:gridSpan w:val="7"/>
            <w:tcBorders>
              <w:tl2br w:val="nil"/>
              <w:tr2bl w:val="nil"/>
            </w:tcBorders>
            <w:vAlign w:val="center"/>
          </w:tcPr>
          <w:p w14:paraId="4DA56244" w14:textId="77777777" w:rsidR="009D12AF" w:rsidRDefault="00000000">
            <w:pPr>
              <w:numPr>
                <w:ilvl w:val="0"/>
                <w:numId w:val="26"/>
              </w:numPr>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b/>
                <w:bCs/>
                <w:sz w:val="21"/>
                <w:szCs w:val="21"/>
              </w:rPr>
              <w:t>猬科</w:t>
            </w:r>
            <w:r>
              <w:rPr>
                <w:rFonts w:ascii="Times New Roman" w:eastAsia="宋体" w:hAnsi="Times New Roman" w:cs="Times New Roman"/>
                <w:b/>
                <w:bCs/>
                <w:i/>
                <w:iCs/>
                <w:sz w:val="21"/>
                <w:szCs w:val="21"/>
              </w:rPr>
              <w:t>Erinaceidae</w:t>
            </w:r>
          </w:p>
        </w:tc>
      </w:tr>
      <w:tr w:rsidR="009D12AF" w14:paraId="2987035E" w14:textId="77777777">
        <w:trPr>
          <w:trHeight w:val="563"/>
        </w:trPr>
        <w:tc>
          <w:tcPr>
            <w:tcW w:w="1621" w:type="pct"/>
            <w:tcBorders>
              <w:tl2br w:val="nil"/>
              <w:tr2bl w:val="nil"/>
            </w:tcBorders>
            <w:vAlign w:val="center"/>
          </w:tcPr>
          <w:p w14:paraId="0EA89DB8" w14:textId="77777777" w:rsidR="009D12AF" w:rsidRDefault="00000000">
            <w:pPr>
              <w:widowControl/>
              <w:numPr>
                <w:ilvl w:val="0"/>
                <w:numId w:val="27"/>
              </w:numPr>
              <w:spacing w:after="160" w:line="0" w:lineRule="atLeast"/>
              <w:ind w:left="0" w:firstLineChars="0" w:firstLine="0"/>
              <w:jc w:val="left"/>
              <w:rPr>
                <w:rFonts w:ascii="Times New Roman" w:eastAsia="宋体" w:hAnsi="Times New Roman" w:cs="Times New Roman"/>
                <w:color w:val="333333"/>
                <w:sz w:val="21"/>
                <w:szCs w:val="21"/>
                <w:shd w:val="clear" w:color="auto" w:fill="FFFFFF"/>
              </w:rPr>
            </w:pPr>
            <w:bookmarkStart w:id="313" w:name="_Hlk207978172"/>
            <w:bookmarkStart w:id="314" w:name="_Hlk207117050"/>
            <w:r>
              <w:rPr>
                <w:rFonts w:ascii="Times New Roman" w:eastAsia="宋体" w:hAnsi="Times New Roman" w:cs="Times New Roman" w:hint="eastAsia"/>
                <w:sz w:val="21"/>
                <w:szCs w:val="21"/>
              </w:rPr>
              <w:t>远东</w:t>
            </w:r>
            <w:bookmarkEnd w:id="313"/>
            <w:r>
              <w:rPr>
                <w:rFonts w:ascii="Times New Roman" w:eastAsia="宋体" w:hAnsi="Times New Roman" w:cs="Times New Roman"/>
                <w:sz w:val="21"/>
                <w:szCs w:val="21"/>
              </w:rPr>
              <w:t>刺猬</w:t>
            </w:r>
            <w:bookmarkEnd w:id="314"/>
            <w:r>
              <w:rPr>
                <w:rFonts w:ascii="Times New Roman" w:eastAsia="宋体" w:hAnsi="Times New Roman" w:cs="Times New Roman"/>
                <w:sz w:val="21"/>
                <w:szCs w:val="21"/>
              </w:rPr>
              <w:br/>
            </w:r>
            <w:bookmarkStart w:id="315" w:name="_Hlk194909212"/>
            <w:r>
              <w:rPr>
                <w:rFonts w:ascii="Times New Roman" w:eastAsia="宋体" w:hAnsi="Times New Roman" w:cs="Times New Roman" w:hint="eastAsia"/>
                <w:i/>
                <w:iCs/>
                <w:sz w:val="21"/>
                <w:szCs w:val="21"/>
              </w:rPr>
              <w:t>Erinaceus amurensis</w:t>
            </w:r>
            <w:bookmarkEnd w:id="315"/>
          </w:p>
        </w:tc>
        <w:tc>
          <w:tcPr>
            <w:tcW w:w="597" w:type="pct"/>
            <w:tcBorders>
              <w:tl2br w:val="nil"/>
              <w:tr2bl w:val="nil"/>
            </w:tcBorders>
            <w:vAlign w:val="center"/>
          </w:tcPr>
          <w:p w14:paraId="75B75CF4"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3.4</w:t>
            </w:r>
          </w:p>
        </w:tc>
        <w:tc>
          <w:tcPr>
            <w:tcW w:w="598" w:type="pct"/>
            <w:tcBorders>
              <w:tl2br w:val="nil"/>
              <w:tr2bl w:val="nil"/>
            </w:tcBorders>
            <w:vAlign w:val="center"/>
          </w:tcPr>
          <w:p w14:paraId="1675F6ED"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广布种</w:t>
            </w:r>
          </w:p>
        </w:tc>
        <w:tc>
          <w:tcPr>
            <w:tcW w:w="427" w:type="pct"/>
            <w:tcBorders>
              <w:tl2br w:val="nil"/>
              <w:tr2bl w:val="nil"/>
            </w:tcBorders>
            <w:vAlign w:val="center"/>
          </w:tcPr>
          <w:p w14:paraId="468EA65B"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w:t>
            </w:r>
          </w:p>
        </w:tc>
        <w:tc>
          <w:tcPr>
            <w:tcW w:w="685" w:type="pct"/>
            <w:tcBorders>
              <w:tl2br w:val="nil"/>
              <w:tr2bl w:val="nil"/>
            </w:tcBorders>
            <w:vAlign w:val="center"/>
          </w:tcPr>
          <w:p w14:paraId="6990DD1A" w14:textId="77777777" w:rsidR="009D12AF" w:rsidRDefault="00000000">
            <w:pPr>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hint="eastAsia"/>
                <w:color w:val="000000"/>
                <w:sz w:val="21"/>
                <w:szCs w:val="21"/>
                <w:lang w:bidi="ar"/>
              </w:rPr>
              <w:t>目击</w:t>
            </w:r>
          </w:p>
        </w:tc>
        <w:tc>
          <w:tcPr>
            <w:tcW w:w="683" w:type="pct"/>
            <w:tcBorders>
              <w:tl2br w:val="nil"/>
              <w:tr2bl w:val="nil"/>
            </w:tcBorders>
            <w:vAlign w:val="center"/>
          </w:tcPr>
          <w:p w14:paraId="757F2BCC" w14:textId="77777777" w:rsidR="009D12AF" w:rsidRDefault="00000000">
            <w:pPr>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hint="eastAsia"/>
                <w:color w:val="000000"/>
                <w:sz w:val="21"/>
                <w:szCs w:val="21"/>
                <w:lang w:bidi="ar"/>
              </w:rPr>
              <w:t>黑龙江省级</w:t>
            </w:r>
          </w:p>
        </w:tc>
        <w:tc>
          <w:tcPr>
            <w:tcW w:w="389" w:type="pct"/>
            <w:tcBorders>
              <w:tl2br w:val="nil"/>
              <w:tr2bl w:val="nil"/>
            </w:tcBorders>
            <w:vAlign w:val="center"/>
          </w:tcPr>
          <w:p w14:paraId="2AC02CE4" w14:textId="77777777" w:rsidR="009D12AF" w:rsidRDefault="00000000">
            <w:pPr>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hint="eastAsia"/>
                <w:kern w:val="0"/>
                <w:sz w:val="21"/>
                <w:szCs w:val="21"/>
              </w:rPr>
              <w:t>无危</w:t>
            </w:r>
          </w:p>
        </w:tc>
      </w:tr>
      <w:tr w:rsidR="009D12AF" w14:paraId="74CE3632" w14:textId="77777777">
        <w:trPr>
          <w:trHeight w:val="298"/>
        </w:trPr>
        <w:tc>
          <w:tcPr>
            <w:tcW w:w="5000" w:type="pct"/>
            <w:gridSpan w:val="7"/>
            <w:tcBorders>
              <w:tl2br w:val="nil"/>
              <w:tr2bl w:val="nil"/>
            </w:tcBorders>
            <w:vAlign w:val="center"/>
          </w:tcPr>
          <w:p w14:paraId="3B98ED23" w14:textId="77777777" w:rsidR="009D12AF" w:rsidRDefault="00000000">
            <w:pPr>
              <w:numPr>
                <w:ilvl w:val="0"/>
                <w:numId w:val="25"/>
              </w:numPr>
              <w:spacing w:after="160" w:line="300" w:lineRule="auto"/>
              <w:ind w:firstLineChars="0" w:firstLine="0"/>
              <w:jc w:val="left"/>
              <w:rPr>
                <w:rFonts w:ascii="Times New Roman" w:eastAsia="宋体" w:hAnsi="Times New Roman" w:cs="Times New Roman"/>
                <w:sz w:val="21"/>
                <w:szCs w:val="21"/>
              </w:rPr>
            </w:pPr>
            <w:r>
              <w:rPr>
                <w:rFonts w:ascii="Times New Roman" w:eastAsia="宋体" w:hAnsi="Times New Roman" w:cs="Times New Roman"/>
                <w:b/>
                <w:bCs/>
                <w:color w:val="000000"/>
                <w:sz w:val="21"/>
                <w:szCs w:val="21"/>
                <w:lang w:bidi="ar"/>
              </w:rPr>
              <w:t>翼手目</w:t>
            </w:r>
            <w:r>
              <w:rPr>
                <w:rFonts w:ascii="Times New Roman" w:eastAsia="宋体" w:hAnsi="Times New Roman" w:cs="Times New Roman"/>
                <w:b/>
                <w:bCs/>
                <w:sz w:val="21"/>
                <w:szCs w:val="21"/>
              </w:rPr>
              <w:t xml:space="preserve"> </w:t>
            </w:r>
            <w:r>
              <w:rPr>
                <w:rFonts w:ascii="Times New Roman" w:eastAsia="宋体" w:hAnsi="Times New Roman" w:cs="Times New Roman"/>
                <w:b/>
                <w:sz w:val="21"/>
                <w:szCs w:val="21"/>
              </w:rPr>
              <w:t>CHIROPTERA</w:t>
            </w:r>
          </w:p>
        </w:tc>
      </w:tr>
      <w:tr w:rsidR="009D12AF" w14:paraId="3A4EF096" w14:textId="77777777">
        <w:trPr>
          <w:trHeight w:val="234"/>
        </w:trPr>
        <w:tc>
          <w:tcPr>
            <w:tcW w:w="5000" w:type="pct"/>
            <w:gridSpan w:val="7"/>
            <w:tcBorders>
              <w:tl2br w:val="nil"/>
              <w:tr2bl w:val="nil"/>
            </w:tcBorders>
            <w:vAlign w:val="center"/>
          </w:tcPr>
          <w:p w14:paraId="26021E3E" w14:textId="77777777" w:rsidR="009D12AF" w:rsidRDefault="00000000">
            <w:pPr>
              <w:numPr>
                <w:ilvl w:val="0"/>
                <w:numId w:val="26"/>
              </w:numPr>
              <w:spacing w:after="160" w:line="0" w:lineRule="atLeast"/>
              <w:ind w:firstLineChars="0" w:firstLine="0"/>
              <w:jc w:val="left"/>
              <w:rPr>
                <w:rFonts w:ascii="Times New Roman" w:eastAsia="宋体" w:hAnsi="Times New Roman" w:cs="Times New Roman"/>
                <w:b/>
                <w:bCs/>
                <w:sz w:val="21"/>
                <w:szCs w:val="21"/>
              </w:rPr>
            </w:pPr>
            <w:r>
              <w:rPr>
                <w:rFonts w:ascii="Times New Roman" w:eastAsia="宋体" w:hAnsi="Times New Roman" w:cs="Times New Roman"/>
                <w:b/>
                <w:bCs/>
                <w:color w:val="333333"/>
                <w:sz w:val="21"/>
                <w:szCs w:val="21"/>
                <w:shd w:val="clear" w:color="auto" w:fill="FFFFFF"/>
              </w:rPr>
              <w:t>蝙蝠</w:t>
            </w:r>
            <w:r>
              <w:rPr>
                <w:rFonts w:ascii="Times New Roman" w:eastAsia="宋体" w:hAnsi="Times New Roman" w:cs="Times New Roman"/>
                <w:b/>
                <w:bCs/>
                <w:sz w:val="21"/>
                <w:szCs w:val="21"/>
              </w:rPr>
              <w:t>科</w:t>
            </w:r>
            <w:r>
              <w:rPr>
                <w:rFonts w:ascii="Times New Roman" w:eastAsia="宋体" w:hAnsi="Times New Roman" w:cs="Times New Roman"/>
                <w:b/>
                <w:bCs/>
                <w:sz w:val="21"/>
                <w:szCs w:val="21"/>
              </w:rPr>
              <w:t xml:space="preserve"> </w:t>
            </w:r>
            <w:r>
              <w:rPr>
                <w:rFonts w:ascii="Times New Roman" w:eastAsia="宋体" w:hAnsi="Times New Roman" w:cs="Times New Roman"/>
                <w:b/>
                <w:bCs/>
                <w:i/>
                <w:iCs/>
                <w:sz w:val="21"/>
                <w:szCs w:val="21"/>
              </w:rPr>
              <w:t>Vespertilionidae</w:t>
            </w:r>
          </w:p>
        </w:tc>
      </w:tr>
      <w:tr w:rsidR="009D12AF" w14:paraId="175FD53C" w14:textId="77777777">
        <w:trPr>
          <w:trHeight w:val="650"/>
        </w:trPr>
        <w:tc>
          <w:tcPr>
            <w:tcW w:w="1621" w:type="pct"/>
            <w:tcBorders>
              <w:tl2br w:val="nil"/>
              <w:tr2bl w:val="nil"/>
            </w:tcBorders>
            <w:vAlign w:val="center"/>
          </w:tcPr>
          <w:p w14:paraId="01708FF3" w14:textId="77777777" w:rsidR="009D12AF" w:rsidRDefault="00000000">
            <w:pPr>
              <w:widowControl/>
              <w:numPr>
                <w:ilvl w:val="0"/>
                <w:numId w:val="27"/>
              </w:numPr>
              <w:spacing w:after="160" w:line="0" w:lineRule="atLeast"/>
              <w:ind w:firstLineChars="0" w:firstLine="0"/>
              <w:jc w:val="left"/>
              <w:rPr>
                <w:rFonts w:ascii="Times New Roman" w:eastAsia="宋体" w:hAnsi="Times New Roman" w:cs="Times New Roman"/>
                <w:color w:val="333333"/>
                <w:sz w:val="21"/>
                <w:szCs w:val="21"/>
                <w:shd w:val="clear" w:color="auto" w:fill="FFFFFF"/>
              </w:rPr>
            </w:pPr>
            <w:r>
              <w:rPr>
                <w:rFonts w:ascii="Times New Roman" w:eastAsia="宋体" w:hAnsi="Times New Roman" w:cs="Times New Roman"/>
                <w:color w:val="333333"/>
                <w:sz w:val="21"/>
                <w:szCs w:val="21"/>
                <w:shd w:val="clear" w:color="auto" w:fill="FFFFFF"/>
              </w:rPr>
              <w:t>伊氏鼠耳蝠</w:t>
            </w:r>
          </w:p>
          <w:p w14:paraId="564F0E81" w14:textId="77777777" w:rsidR="009D12AF" w:rsidRDefault="00000000">
            <w:pPr>
              <w:widowControl/>
              <w:spacing w:line="0" w:lineRule="atLeast"/>
              <w:ind w:firstLineChars="0" w:firstLine="0"/>
              <w:jc w:val="left"/>
              <w:rPr>
                <w:rFonts w:ascii="Times New Roman" w:eastAsia="宋体" w:hAnsi="Times New Roman" w:cs="Times New Roman"/>
                <w:i/>
                <w:iCs/>
                <w:color w:val="333333"/>
                <w:sz w:val="21"/>
                <w:szCs w:val="21"/>
                <w:shd w:val="clear" w:color="auto" w:fill="FFFFFF"/>
              </w:rPr>
            </w:pPr>
            <w:r>
              <w:rPr>
                <w:rFonts w:ascii="Times New Roman" w:eastAsia="宋体" w:hAnsi="Times New Roman" w:cs="Times New Roman"/>
                <w:i/>
                <w:iCs/>
                <w:color w:val="333333"/>
                <w:sz w:val="21"/>
                <w:szCs w:val="21"/>
                <w:shd w:val="clear" w:color="auto" w:fill="FFFFFF"/>
              </w:rPr>
              <w:t>Myotis ikonnikovi</w:t>
            </w:r>
          </w:p>
        </w:tc>
        <w:tc>
          <w:tcPr>
            <w:tcW w:w="597" w:type="pct"/>
            <w:tcBorders>
              <w:tl2br w:val="nil"/>
              <w:tr2bl w:val="nil"/>
            </w:tcBorders>
            <w:vAlign w:val="center"/>
          </w:tcPr>
          <w:p w14:paraId="31EC51AB"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4</w:t>
            </w:r>
          </w:p>
        </w:tc>
        <w:tc>
          <w:tcPr>
            <w:tcW w:w="598" w:type="pct"/>
            <w:tcBorders>
              <w:tl2br w:val="nil"/>
              <w:tr2bl w:val="nil"/>
            </w:tcBorders>
            <w:vAlign w:val="center"/>
          </w:tcPr>
          <w:p w14:paraId="5205D427"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广布种</w:t>
            </w:r>
          </w:p>
        </w:tc>
        <w:tc>
          <w:tcPr>
            <w:tcW w:w="427" w:type="pct"/>
            <w:tcBorders>
              <w:tl2br w:val="nil"/>
              <w:tr2bl w:val="nil"/>
            </w:tcBorders>
            <w:vAlign w:val="center"/>
          </w:tcPr>
          <w:p w14:paraId="44A8BD80"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w:t>
            </w:r>
          </w:p>
        </w:tc>
        <w:tc>
          <w:tcPr>
            <w:tcW w:w="685" w:type="pct"/>
            <w:tcBorders>
              <w:tl2br w:val="nil"/>
              <w:tr2bl w:val="nil"/>
            </w:tcBorders>
            <w:vAlign w:val="center"/>
          </w:tcPr>
          <w:p w14:paraId="187AAF78"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83" w:type="pct"/>
            <w:tcBorders>
              <w:tl2br w:val="nil"/>
              <w:tr2bl w:val="nil"/>
            </w:tcBorders>
            <w:vAlign w:val="center"/>
          </w:tcPr>
          <w:p w14:paraId="35AA4B83"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389" w:type="pct"/>
            <w:tcBorders>
              <w:tl2br w:val="nil"/>
              <w:tr2bl w:val="nil"/>
            </w:tcBorders>
            <w:vAlign w:val="center"/>
          </w:tcPr>
          <w:p w14:paraId="611FADEA"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2F537DE3" w14:textId="77777777">
        <w:trPr>
          <w:trHeight w:val="239"/>
        </w:trPr>
        <w:tc>
          <w:tcPr>
            <w:tcW w:w="5000" w:type="pct"/>
            <w:gridSpan w:val="7"/>
            <w:tcBorders>
              <w:tl2br w:val="nil"/>
              <w:tr2bl w:val="nil"/>
            </w:tcBorders>
            <w:vAlign w:val="center"/>
          </w:tcPr>
          <w:p w14:paraId="52840F80" w14:textId="77777777" w:rsidR="009D12AF" w:rsidRDefault="00000000">
            <w:pPr>
              <w:numPr>
                <w:ilvl w:val="0"/>
                <w:numId w:val="25"/>
              </w:numPr>
              <w:spacing w:after="160" w:line="300" w:lineRule="auto"/>
              <w:ind w:firstLineChars="0" w:firstLine="0"/>
              <w:jc w:val="left"/>
              <w:rPr>
                <w:rFonts w:ascii="Times New Roman" w:eastAsia="宋体" w:hAnsi="Times New Roman" w:cs="Times New Roman"/>
                <w:sz w:val="21"/>
                <w:szCs w:val="21"/>
              </w:rPr>
            </w:pPr>
            <w:r>
              <w:rPr>
                <w:rFonts w:ascii="Times New Roman" w:eastAsia="宋体" w:hAnsi="Times New Roman" w:cs="Times New Roman"/>
                <w:b/>
                <w:bCs/>
                <w:color w:val="000000"/>
                <w:sz w:val="21"/>
                <w:szCs w:val="21"/>
                <w:lang w:bidi="ar"/>
              </w:rPr>
              <w:t>食肉目</w:t>
            </w:r>
            <w:r>
              <w:rPr>
                <w:rFonts w:ascii="Times New Roman" w:eastAsia="宋体" w:hAnsi="Times New Roman" w:cs="Times New Roman"/>
                <w:b/>
                <w:sz w:val="21"/>
                <w:szCs w:val="21"/>
              </w:rPr>
              <w:t>CARNIVORA</w:t>
            </w:r>
          </w:p>
        </w:tc>
      </w:tr>
      <w:tr w:rsidR="009D12AF" w14:paraId="7EB2AF76" w14:textId="77777777">
        <w:trPr>
          <w:trHeight w:val="194"/>
        </w:trPr>
        <w:tc>
          <w:tcPr>
            <w:tcW w:w="5000" w:type="pct"/>
            <w:gridSpan w:val="7"/>
            <w:tcBorders>
              <w:tl2br w:val="nil"/>
              <w:tr2bl w:val="nil"/>
            </w:tcBorders>
            <w:vAlign w:val="center"/>
          </w:tcPr>
          <w:p w14:paraId="311145E2" w14:textId="77777777" w:rsidR="009D12AF" w:rsidRDefault="00000000">
            <w:pPr>
              <w:numPr>
                <w:ilvl w:val="0"/>
                <w:numId w:val="26"/>
              </w:numPr>
              <w:spacing w:after="160" w:line="0" w:lineRule="atLeast"/>
              <w:ind w:firstLineChars="0" w:firstLine="0"/>
              <w:jc w:val="left"/>
              <w:rPr>
                <w:rFonts w:ascii="Times New Roman" w:eastAsia="宋体" w:hAnsi="Times New Roman" w:cs="Times New Roman"/>
                <w:b/>
                <w:bCs/>
                <w:spacing w:val="6"/>
                <w:sz w:val="21"/>
                <w:szCs w:val="21"/>
              </w:rPr>
            </w:pPr>
            <w:r>
              <w:rPr>
                <w:rFonts w:ascii="Times New Roman" w:eastAsia="宋体" w:hAnsi="Times New Roman" w:cs="Times New Roman"/>
                <w:b/>
                <w:bCs/>
                <w:spacing w:val="6"/>
                <w:sz w:val="21"/>
                <w:szCs w:val="21"/>
              </w:rPr>
              <w:t>鼬科</w:t>
            </w:r>
            <w:r>
              <w:rPr>
                <w:rFonts w:ascii="Times New Roman" w:eastAsia="宋体" w:hAnsi="Times New Roman" w:cs="Times New Roman"/>
                <w:b/>
                <w:bCs/>
                <w:spacing w:val="6"/>
                <w:sz w:val="21"/>
                <w:szCs w:val="21"/>
              </w:rPr>
              <w:t xml:space="preserve"> </w:t>
            </w:r>
            <w:r>
              <w:rPr>
                <w:rFonts w:ascii="Times New Roman" w:eastAsia="宋体" w:hAnsi="Times New Roman" w:cs="Times New Roman"/>
                <w:b/>
                <w:bCs/>
                <w:i/>
                <w:iCs/>
                <w:sz w:val="21"/>
                <w:szCs w:val="21"/>
              </w:rPr>
              <w:t>Mustelidae</w:t>
            </w:r>
          </w:p>
        </w:tc>
      </w:tr>
      <w:tr w:rsidR="009D12AF" w14:paraId="39D4D85F" w14:textId="77777777">
        <w:trPr>
          <w:trHeight w:val="198"/>
        </w:trPr>
        <w:tc>
          <w:tcPr>
            <w:tcW w:w="1621" w:type="pct"/>
            <w:tcBorders>
              <w:tl2br w:val="nil"/>
              <w:tr2bl w:val="nil"/>
            </w:tcBorders>
            <w:vAlign w:val="center"/>
          </w:tcPr>
          <w:p w14:paraId="28024332" w14:textId="77777777" w:rsidR="009D12AF" w:rsidRDefault="00000000">
            <w:pPr>
              <w:widowControl/>
              <w:numPr>
                <w:ilvl w:val="0"/>
                <w:numId w:val="27"/>
              </w:numPr>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sz w:val="21"/>
                <w:szCs w:val="21"/>
              </w:rPr>
              <w:t>香鼬</w:t>
            </w:r>
          </w:p>
          <w:p w14:paraId="79D89C6B" w14:textId="77777777" w:rsidR="009D12AF" w:rsidRDefault="00000000">
            <w:pPr>
              <w:widowControl/>
              <w:spacing w:line="0" w:lineRule="atLeast"/>
              <w:ind w:firstLineChars="0" w:firstLine="0"/>
              <w:jc w:val="left"/>
              <w:rPr>
                <w:rFonts w:ascii="Times New Roman" w:eastAsia="宋体" w:hAnsi="Times New Roman" w:cs="Times New Roman"/>
                <w:i/>
                <w:iCs/>
                <w:sz w:val="21"/>
                <w:szCs w:val="21"/>
              </w:rPr>
            </w:pPr>
            <w:bookmarkStart w:id="316" w:name="_Hlk194909231"/>
            <w:r>
              <w:rPr>
                <w:rFonts w:ascii="Times New Roman" w:eastAsia="宋体" w:hAnsi="Times New Roman" w:cs="Times New Roman"/>
                <w:i/>
                <w:iCs/>
                <w:sz w:val="21"/>
                <w:szCs w:val="21"/>
              </w:rPr>
              <w:t>Mustela altaica</w:t>
            </w:r>
            <w:bookmarkEnd w:id="316"/>
          </w:p>
        </w:tc>
        <w:tc>
          <w:tcPr>
            <w:tcW w:w="597" w:type="pct"/>
            <w:tcBorders>
              <w:tl2br w:val="nil"/>
              <w:tr2bl w:val="nil"/>
            </w:tcBorders>
            <w:vAlign w:val="center"/>
          </w:tcPr>
          <w:p w14:paraId="05F5AB1D"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3.4</w:t>
            </w:r>
          </w:p>
        </w:tc>
        <w:tc>
          <w:tcPr>
            <w:tcW w:w="598" w:type="pct"/>
            <w:tcBorders>
              <w:tl2br w:val="nil"/>
              <w:tr2bl w:val="nil"/>
            </w:tcBorders>
            <w:vAlign w:val="center"/>
          </w:tcPr>
          <w:p w14:paraId="3CB21CED" w14:textId="77777777" w:rsidR="009D12AF" w:rsidRDefault="00000000">
            <w:pPr>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古北种</w:t>
            </w:r>
          </w:p>
        </w:tc>
        <w:tc>
          <w:tcPr>
            <w:tcW w:w="427" w:type="pct"/>
            <w:tcBorders>
              <w:tl2br w:val="nil"/>
              <w:tr2bl w:val="nil"/>
            </w:tcBorders>
            <w:vAlign w:val="center"/>
          </w:tcPr>
          <w:p w14:paraId="180C7C14"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color w:val="000000"/>
                <w:sz w:val="21"/>
                <w:szCs w:val="21"/>
                <w:lang w:bidi="ar"/>
              </w:rPr>
              <w:t>+</w:t>
            </w:r>
          </w:p>
        </w:tc>
        <w:tc>
          <w:tcPr>
            <w:tcW w:w="685" w:type="pct"/>
            <w:tcBorders>
              <w:tl2br w:val="nil"/>
              <w:tr2bl w:val="nil"/>
            </w:tcBorders>
            <w:vAlign w:val="center"/>
          </w:tcPr>
          <w:p w14:paraId="3200C5C9"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83" w:type="pct"/>
            <w:tcBorders>
              <w:tl2br w:val="nil"/>
              <w:tr2bl w:val="nil"/>
            </w:tcBorders>
            <w:vAlign w:val="center"/>
          </w:tcPr>
          <w:p w14:paraId="62B08489"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黑龙江省级</w:t>
            </w:r>
          </w:p>
        </w:tc>
        <w:tc>
          <w:tcPr>
            <w:tcW w:w="389" w:type="pct"/>
            <w:tcBorders>
              <w:tl2br w:val="nil"/>
              <w:tr2bl w:val="nil"/>
            </w:tcBorders>
            <w:vAlign w:val="center"/>
          </w:tcPr>
          <w:p w14:paraId="28D977C7"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近危</w:t>
            </w:r>
          </w:p>
        </w:tc>
      </w:tr>
      <w:tr w:rsidR="009D12AF" w14:paraId="162106A0" w14:textId="77777777">
        <w:trPr>
          <w:trHeight w:val="651"/>
        </w:trPr>
        <w:tc>
          <w:tcPr>
            <w:tcW w:w="1621" w:type="pct"/>
            <w:tcBorders>
              <w:tl2br w:val="nil"/>
              <w:tr2bl w:val="nil"/>
            </w:tcBorders>
            <w:vAlign w:val="center"/>
          </w:tcPr>
          <w:p w14:paraId="357D8E80" w14:textId="77777777" w:rsidR="009D12AF" w:rsidRDefault="00000000">
            <w:pPr>
              <w:widowControl/>
              <w:numPr>
                <w:ilvl w:val="0"/>
                <w:numId w:val="27"/>
              </w:numPr>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sz w:val="21"/>
                <w:szCs w:val="21"/>
              </w:rPr>
              <w:t>黄鼬</w:t>
            </w:r>
          </w:p>
          <w:p w14:paraId="2CD0A41C" w14:textId="77777777" w:rsidR="009D12AF" w:rsidRDefault="00000000">
            <w:pPr>
              <w:widowControl/>
              <w:spacing w:line="0" w:lineRule="atLeast"/>
              <w:ind w:firstLineChars="0" w:firstLine="0"/>
              <w:jc w:val="left"/>
              <w:rPr>
                <w:rFonts w:ascii="Times New Roman" w:eastAsia="宋体" w:hAnsi="Times New Roman" w:cs="Times New Roman"/>
                <w:i/>
                <w:iCs/>
                <w:sz w:val="21"/>
                <w:szCs w:val="21"/>
              </w:rPr>
            </w:pPr>
            <w:r>
              <w:rPr>
                <w:rFonts w:ascii="Times New Roman" w:eastAsia="宋体" w:hAnsi="Times New Roman" w:cs="Times New Roman"/>
                <w:i/>
                <w:iCs/>
                <w:sz w:val="21"/>
                <w:szCs w:val="21"/>
              </w:rPr>
              <w:t>Mustela sibirica</w:t>
            </w:r>
          </w:p>
        </w:tc>
        <w:tc>
          <w:tcPr>
            <w:tcW w:w="597" w:type="pct"/>
            <w:tcBorders>
              <w:tl2br w:val="nil"/>
              <w:tr2bl w:val="nil"/>
            </w:tcBorders>
            <w:vAlign w:val="center"/>
          </w:tcPr>
          <w:p w14:paraId="5B349751"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2.3.4</w:t>
            </w:r>
          </w:p>
        </w:tc>
        <w:tc>
          <w:tcPr>
            <w:tcW w:w="598" w:type="pct"/>
            <w:tcBorders>
              <w:tl2br w:val="nil"/>
              <w:tr2bl w:val="nil"/>
            </w:tcBorders>
            <w:vAlign w:val="center"/>
          </w:tcPr>
          <w:p w14:paraId="0B9DF3C4" w14:textId="77777777" w:rsidR="009D12AF" w:rsidRDefault="00000000">
            <w:pPr>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广布种</w:t>
            </w:r>
          </w:p>
        </w:tc>
        <w:tc>
          <w:tcPr>
            <w:tcW w:w="427" w:type="pct"/>
            <w:tcBorders>
              <w:tl2br w:val="nil"/>
              <w:tr2bl w:val="nil"/>
            </w:tcBorders>
            <w:vAlign w:val="center"/>
          </w:tcPr>
          <w:p w14:paraId="459D6AEA"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p>
        </w:tc>
        <w:tc>
          <w:tcPr>
            <w:tcW w:w="685" w:type="pct"/>
            <w:tcBorders>
              <w:tl2br w:val="nil"/>
              <w:tr2bl w:val="nil"/>
            </w:tcBorders>
            <w:vAlign w:val="center"/>
          </w:tcPr>
          <w:p w14:paraId="431B5C23"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83" w:type="pct"/>
            <w:tcBorders>
              <w:tl2br w:val="nil"/>
              <w:tr2bl w:val="nil"/>
            </w:tcBorders>
            <w:vAlign w:val="center"/>
          </w:tcPr>
          <w:p w14:paraId="0BAA8F59"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黑龙江省级</w:t>
            </w:r>
          </w:p>
        </w:tc>
        <w:tc>
          <w:tcPr>
            <w:tcW w:w="389" w:type="pct"/>
            <w:tcBorders>
              <w:tl2br w:val="nil"/>
              <w:tr2bl w:val="nil"/>
            </w:tcBorders>
            <w:vAlign w:val="center"/>
          </w:tcPr>
          <w:p w14:paraId="2949FAA3"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2518CDC4" w14:textId="77777777">
        <w:trPr>
          <w:trHeight w:val="291"/>
        </w:trPr>
        <w:tc>
          <w:tcPr>
            <w:tcW w:w="5000" w:type="pct"/>
            <w:gridSpan w:val="7"/>
            <w:tcBorders>
              <w:tl2br w:val="nil"/>
              <w:tr2bl w:val="nil"/>
            </w:tcBorders>
            <w:vAlign w:val="center"/>
          </w:tcPr>
          <w:p w14:paraId="0C07DF93" w14:textId="77777777" w:rsidR="009D12AF" w:rsidRDefault="00000000">
            <w:pPr>
              <w:numPr>
                <w:ilvl w:val="0"/>
                <w:numId w:val="25"/>
              </w:numPr>
              <w:spacing w:after="160" w:line="300" w:lineRule="auto"/>
              <w:ind w:firstLineChars="0" w:firstLine="0"/>
              <w:jc w:val="left"/>
              <w:rPr>
                <w:rFonts w:ascii="Times New Roman" w:eastAsia="宋体" w:hAnsi="Times New Roman" w:cs="Times New Roman"/>
                <w:sz w:val="21"/>
                <w:szCs w:val="21"/>
              </w:rPr>
            </w:pPr>
            <w:r>
              <w:rPr>
                <w:rFonts w:ascii="Times New Roman" w:eastAsia="宋体" w:hAnsi="Times New Roman" w:cs="Times New Roman"/>
                <w:b/>
                <w:bCs/>
                <w:color w:val="000000"/>
                <w:sz w:val="21"/>
                <w:szCs w:val="21"/>
                <w:lang w:bidi="ar"/>
              </w:rPr>
              <w:t>兔形目</w:t>
            </w:r>
            <w:r>
              <w:rPr>
                <w:rFonts w:ascii="Times New Roman" w:eastAsia="宋体" w:hAnsi="Times New Roman" w:cs="Times New Roman"/>
                <w:b/>
                <w:bCs/>
                <w:color w:val="000000"/>
                <w:sz w:val="21"/>
                <w:szCs w:val="21"/>
                <w:lang w:bidi="ar"/>
              </w:rPr>
              <w:t xml:space="preserve"> </w:t>
            </w:r>
            <w:r>
              <w:rPr>
                <w:rFonts w:ascii="Times New Roman" w:eastAsia="宋体" w:hAnsi="Times New Roman" w:cs="Times New Roman"/>
                <w:b/>
                <w:sz w:val="21"/>
                <w:szCs w:val="21"/>
              </w:rPr>
              <w:t>LAGOMORPHA</w:t>
            </w:r>
          </w:p>
        </w:tc>
      </w:tr>
      <w:tr w:rsidR="009D12AF" w14:paraId="1C9F705B" w14:textId="77777777">
        <w:trPr>
          <w:trHeight w:val="232"/>
        </w:trPr>
        <w:tc>
          <w:tcPr>
            <w:tcW w:w="5000" w:type="pct"/>
            <w:gridSpan w:val="7"/>
            <w:tcBorders>
              <w:tl2br w:val="nil"/>
              <w:tr2bl w:val="nil"/>
            </w:tcBorders>
            <w:vAlign w:val="center"/>
          </w:tcPr>
          <w:p w14:paraId="439A96FE" w14:textId="77777777" w:rsidR="009D12AF" w:rsidRDefault="00000000">
            <w:pPr>
              <w:numPr>
                <w:ilvl w:val="0"/>
                <w:numId w:val="26"/>
              </w:numPr>
              <w:spacing w:after="160" w:line="0" w:lineRule="atLeast"/>
              <w:ind w:firstLineChars="0" w:firstLine="0"/>
              <w:jc w:val="left"/>
              <w:rPr>
                <w:rFonts w:ascii="Times New Roman" w:eastAsia="宋体" w:hAnsi="Times New Roman" w:cs="Times New Roman"/>
                <w:b/>
                <w:bCs/>
                <w:color w:val="000000"/>
                <w:sz w:val="21"/>
                <w:szCs w:val="21"/>
                <w:lang w:bidi="ar"/>
              </w:rPr>
            </w:pPr>
            <w:r>
              <w:rPr>
                <w:rFonts w:ascii="Times New Roman" w:eastAsia="宋体" w:hAnsi="Times New Roman" w:cs="Times New Roman"/>
                <w:b/>
                <w:bCs/>
                <w:color w:val="000000"/>
                <w:sz w:val="21"/>
                <w:szCs w:val="21"/>
                <w:lang w:bidi="ar"/>
              </w:rPr>
              <w:t>兔科</w:t>
            </w:r>
            <w:r>
              <w:rPr>
                <w:rFonts w:ascii="Times New Roman" w:eastAsia="宋体" w:hAnsi="Times New Roman" w:cs="Times New Roman"/>
                <w:color w:val="000000"/>
                <w:sz w:val="21"/>
                <w:szCs w:val="21"/>
                <w:lang w:bidi="ar"/>
              </w:rPr>
              <w:t xml:space="preserve"> </w:t>
            </w:r>
            <w:r>
              <w:rPr>
                <w:rFonts w:ascii="Times New Roman" w:eastAsia="宋体" w:hAnsi="Times New Roman" w:cs="Times New Roman"/>
                <w:b/>
                <w:bCs/>
                <w:i/>
                <w:iCs/>
                <w:color w:val="333333"/>
                <w:sz w:val="21"/>
                <w:szCs w:val="21"/>
                <w:shd w:val="clear" w:color="auto" w:fill="FFFFFF"/>
              </w:rPr>
              <w:t>Leporidae</w:t>
            </w:r>
          </w:p>
        </w:tc>
      </w:tr>
      <w:tr w:rsidR="009D12AF" w14:paraId="3A363F22" w14:textId="77777777">
        <w:tc>
          <w:tcPr>
            <w:tcW w:w="1621" w:type="pct"/>
            <w:tcBorders>
              <w:tl2br w:val="nil"/>
              <w:tr2bl w:val="nil"/>
            </w:tcBorders>
            <w:vAlign w:val="center"/>
          </w:tcPr>
          <w:p w14:paraId="2BA623FC" w14:textId="77777777" w:rsidR="009D12AF" w:rsidRDefault="00000000">
            <w:pPr>
              <w:widowControl/>
              <w:numPr>
                <w:ilvl w:val="0"/>
                <w:numId w:val="27"/>
              </w:numPr>
              <w:spacing w:after="160" w:line="0" w:lineRule="atLeast"/>
              <w:ind w:firstLineChars="0" w:firstLine="0"/>
              <w:jc w:val="left"/>
              <w:rPr>
                <w:rFonts w:ascii="Times New Roman" w:eastAsia="宋体" w:hAnsi="Times New Roman" w:cs="Times New Roman"/>
                <w:color w:val="000000"/>
                <w:sz w:val="21"/>
                <w:szCs w:val="21"/>
                <w:lang w:bidi="ar"/>
              </w:rPr>
            </w:pPr>
            <w:r>
              <w:rPr>
                <w:rFonts w:ascii="Times New Roman" w:eastAsia="宋体" w:hAnsi="Times New Roman" w:cs="Times New Roman"/>
                <w:color w:val="000000"/>
                <w:kern w:val="0"/>
                <w:sz w:val="21"/>
                <w:szCs w:val="21"/>
                <w:lang w:bidi="ar"/>
              </w:rPr>
              <w:t>东北兔</w:t>
            </w:r>
          </w:p>
          <w:p w14:paraId="1FBF349E" w14:textId="77777777" w:rsidR="009D12AF" w:rsidRDefault="00000000">
            <w:pPr>
              <w:widowControl/>
              <w:spacing w:line="0" w:lineRule="atLeast"/>
              <w:ind w:firstLineChars="0" w:firstLine="0"/>
              <w:jc w:val="left"/>
              <w:rPr>
                <w:rFonts w:ascii="Times New Roman" w:eastAsia="宋体" w:hAnsi="Times New Roman" w:cs="Times New Roman"/>
                <w:color w:val="000000"/>
                <w:sz w:val="21"/>
                <w:szCs w:val="21"/>
                <w:lang w:bidi="ar"/>
              </w:rPr>
            </w:pPr>
            <w:r>
              <w:rPr>
                <w:rFonts w:ascii="Times New Roman" w:eastAsia="宋体" w:hAnsi="Times New Roman" w:cs="Times New Roman"/>
                <w:i/>
                <w:iCs/>
                <w:kern w:val="0"/>
                <w:sz w:val="21"/>
                <w:szCs w:val="21"/>
              </w:rPr>
              <w:t>Lepus mandshuricus</w:t>
            </w:r>
          </w:p>
        </w:tc>
        <w:tc>
          <w:tcPr>
            <w:tcW w:w="597" w:type="pct"/>
            <w:tcBorders>
              <w:tl2br w:val="nil"/>
              <w:tr2bl w:val="nil"/>
            </w:tcBorders>
            <w:vAlign w:val="center"/>
          </w:tcPr>
          <w:p w14:paraId="0552627A"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3.4.5</w:t>
            </w:r>
          </w:p>
        </w:tc>
        <w:tc>
          <w:tcPr>
            <w:tcW w:w="598" w:type="pct"/>
            <w:tcBorders>
              <w:tl2br w:val="nil"/>
              <w:tr2bl w:val="nil"/>
            </w:tcBorders>
            <w:vAlign w:val="center"/>
          </w:tcPr>
          <w:p w14:paraId="449883F7" w14:textId="77777777" w:rsidR="009D12AF" w:rsidRDefault="00000000">
            <w:pPr>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hint="eastAsia"/>
                <w:color w:val="000000"/>
                <w:sz w:val="21"/>
                <w:szCs w:val="21"/>
                <w:lang w:bidi="ar"/>
              </w:rPr>
              <w:t>古北</w:t>
            </w:r>
            <w:r>
              <w:rPr>
                <w:rFonts w:ascii="Times New Roman" w:eastAsia="宋体" w:hAnsi="Times New Roman" w:cs="Times New Roman"/>
                <w:color w:val="000000"/>
                <w:sz w:val="21"/>
                <w:szCs w:val="21"/>
                <w:lang w:bidi="ar"/>
              </w:rPr>
              <w:t>种</w:t>
            </w:r>
          </w:p>
        </w:tc>
        <w:tc>
          <w:tcPr>
            <w:tcW w:w="427" w:type="pct"/>
            <w:tcBorders>
              <w:tl2br w:val="nil"/>
              <w:tr2bl w:val="nil"/>
            </w:tcBorders>
            <w:vAlign w:val="center"/>
          </w:tcPr>
          <w:p w14:paraId="2A0B6390"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w:t>
            </w:r>
          </w:p>
        </w:tc>
        <w:tc>
          <w:tcPr>
            <w:tcW w:w="685" w:type="pct"/>
            <w:tcBorders>
              <w:tl2br w:val="nil"/>
              <w:tr2bl w:val="nil"/>
            </w:tcBorders>
            <w:vAlign w:val="center"/>
          </w:tcPr>
          <w:p w14:paraId="11F75412"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83" w:type="pct"/>
            <w:tcBorders>
              <w:tl2br w:val="nil"/>
              <w:tr2bl w:val="nil"/>
            </w:tcBorders>
            <w:vAlign w:val="center"/>
          </w:tcPr>
          <w:p w14:paraId="5860F853"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kern w:val="0"/>
                <w:sz w:val="21"/>
                <w:szCs w:val="21"/>
              </w:rPr>
              <w:t>黑龙江省级</w:t>
            </w:r>
          </w:p>
        </w:tc>
        <w:tc>
          <w:tcPr>
            <w:tcW w:w="389" w:type="pct"/>
            <w:tcBorders>
              <w:tl2br w:val="nil"/>
              <w:tr2bl w:val="nil"/>
            </w:tcBorders>
            <w:vAlign w:val="center"/>
          </w:tcPr>
          <w:p w14:paraId="1B23746D"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5A1BA771" w14:textId="77777777">
        <w:trPr>
          <w:trHeight w:val="283"/>
        </w:trPr>
        <w:tc>
          <w:tcPr>
            <w:tcW w:w="5000" w:type="pct"/>
            <w:gridSpan w:val="7"/>
            <w:tcBorders>
              <w:tl2br w:val="nil"/>
              <w:tr2bl w:val="nil"/>
            </w:tcBorders>
            <w:vAlign w:val="center"/>
          </w:tcPr>
          <w:p w14:paraId="4E20C468" w14:textId="77777777" w:rsidR="009D12AF" w:rsidRDefault="00000000">
            <w:pPr>
              <w:numPr>
                <w:ilvl w:val="0"/>
                <w:numId w:val="25"/>
              </w:numPr>
              <w:spacing w:after="160" w:line="300" w:lineRule="auto"/>
              <w:ind w:firstLineChars="0" w:firstLine="0"/>
              <w:jc w:val="left"/>
              <w:rPr>
                <w:rFonts w:ascii="Times New Roman" w:eastAsia="宋体" w:hAnsi="Times New Roman" w:cs="Times New Roman"/>
                <w:sz w:val="21"/>
                <w:szCs w:val="21"/>
              </w:rPr>
            </w:pPr>
            <w:r>
              <w:rPr>
                <w:rFonts w:ascii="Times New Roman" w:eastAsia="宋体" w:hAnsi="Times New Roman" w:cs="Times New Roman"/>
                <w:b/>
                <w:bCs/>
                <w:color w:val="000000"/>
                <w:sz w:val="21"/>
                <w:szCs w:val="21"/>
                <w:lang w:bidi="ar"/>
              </w:rPr>
              <w:t>啮齿目</w:t>
            </w:r>
            <w:r>
              <w:rPr>
                <w:rFonts w:ascii="Times New Roman" w:eastAsia="宋体" w:hAnsi="Times New Roman" w:cs="Times New Roman"/>
                <w:b/>
                <w:bCs/>
                <w:color w:val="000000"/>
                <w:sz w:val="21"/>
                <w:szCs w:val="21"/>
                <w:lang w:bidi="ar"/>
              </w:rPr>
              <w:t xml:space="preserve"> </w:t>
            </w:r>
            <w:r>
              <w:rPr>
                <w:rFonts w:ascii="Times New Roman" w:eastAsia="宋体" w:hAnsi="Times New Roman" w:cs="Times New Roman"/>
                <w:b/>
                <w:sz w:val="21"/>
                <w:szCs w:val="21"/>
              </w:rPr>
              <w:t>RODENTIA</w:t>
            </w:r>
          </w:p>
        </w:tc>
      </w:tr>
      <w:tr w:rsidR="009D12AF" w14:paraId="23FC8024" w14:textId="77777777">
        <w:trPr>
          <w:trHeight w:val="283"/>
        </w:trPr>
        <w:tc>
          <w:tcPr>
            <w:tcW w:w="5000" w:type="pct"/>
            <w:gridSpan w:val="7"/>
            <w:tcBorders>
              <w:tl2br w:val="nil"/>
              <w:tr2bl w:val="nil"/>
            </w:tcBorders>
            <w:vAlign w:val="center"/>
          </w:tcPr>
          <w:p w14:paraId="71F375D6" w14:textId="77777777" w:rsidR="009D12AF" w:rsidRDefault="00000000">
            <w:pPr>
              <w:numPr>
                <w:ilvl w:val="0"/>
                <w:numId w:val="26"/>
              </w:numPr>
              <w:spacing w:after="160" w:line="0" w:lineRule="atLeast"/>
              <w:ind w:firstLineChars="0" w:firstLine="0"/>
              <w:jc w:val="left"/>
              <w:rPr>
                <w:rFonts w:ascii="Times New Roman" w:eastAsia="宋体" w:hAnsi="Times New Roman" w:cs="Times New Roman"/>
                <w:b/>
                <w:bCs/>
                <w:color w:val="000000"/>
                <w:sz w:val="21"/>
                <w:szCs w:val="21"/>
                <w:lang w:bidi="ar"/>
              </w:rPr>
            </w:pPr>
            <w:r>
              <w:rPr>
                <w:rFonts w:ascii="Times New Roman" w:eastAsia="宋体" w:hAnsi="Times New Roman" w:cs="Times New Roman"/>
                <w:b/>
                <w:bCs/>
                <w:color w:val="000000"/>
                <w:sz w:val="21"/>
                <w:szCs w:val="21"/>
                <w:lang w:bidi="ar"/>
              </w:rPr>
              <w:t>松鼠科</w:t>
            </w:r>
            <w:r>
              <w:rPr>
                <w:rFonts w:ascii="Times New Roman" w:eastAsia="宋体" w:hAnsi="Times New Roman" w:cs="Times New Roman"/>
                <w:color w:val="000000"/>
                <w:sz w:val="21"/>
                <w:szCs w:val="21"/>
                <w:lang w:bidi="ar"/>
              </w:rPr>
              <w:t xml:space="preserve"> </w:t>
            </w:r>
            <w:r>
              <w:rPr>
                <w:rFonts w:ascii="Times New Roman" w:eastAsia="宋体" w:hAnsi="Times New Roman" w:cs="Times New Roman"/>
                <w:b/>
                <w:bCs/>
                <w:i/>
                <w:iCs/>
                <w:color w:val="000000"/>
                <w:spacing w:val="6"/>
                <w:sz w:val="21"/>
                <w:szCs w:val="21"/>
                <w:lang w:bidi="ar"/>
              </w:rPr>
              <w:t>Sciuridae</w:t>
            </w:r>
          </w:p>
        </w:tc>
      </w:tr>
      <w:tr w:rsidR="009D12AF" w14:paraId="793E30AE" w14:textId="77777777">
        <w:trPr>
          <w:trHeight w:val="253"/>
        </w:trPr>
        <w:tc>
          <w:tcPr>
            <w:tcW w:w="1621" w:type="pct"/>
            <w:tcBorders>
              <w:tl2br w:val="nil"/>
              <w:tr2bl w:val="nil"/>
            </w:tcBorders>
            <w:vAlign w:val="center"/>
          </w:tcPr>
          <w:p w14:paraId="28CCA00C" w14:textId="77777777" w:rsidR="009D12AF" w:rsidRDefault="00000000">
            <w:pPr>
              <w:widowControl/>
              <w:numPr>
                <w:ilvl w:val="0"/>
                <w:numId w:val="27"/>
              </w:numPr>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sz w:val="21"/>
                <w:szCs w:val="21"/>
              </w:rPr>
              <w:t>松鼠</w:t>
            </w:r>
          </w:p>
          <w:p w14:paraId="4D24C453" w14:textId="77777777" w:rsidR="009D12AF" w:rsidRDefault="00000000">
            <w:pPr>
              <w:widowControl/>
              <w:spacing w:line="0" w:lineRule="atLeast"/>
              <w:ind w:firstLineChars="0" w:firstLine="0"/>
              <w:jc w:val="left"/>
              <w:rPr>
                <w:rFonts w:ascii="Times New Roman" w:eastAsia="宋体" w:hAnsi="Times New Roman" w:cs="Times New Roman"/>
                <w:i/>
                <w:iCs/>
                <w:sz w:val="21"/>
                <w:szCs w:val="21"/>
              </w:rPr>
            </w:pPr>
            <w:bookmarkStart w:id="317" w:name="_Hlk194924222"/>
            <w:r>
              <w:rPr>
                <w:rFonts w:ascii="Times New Roman" w:eastAsia="宋体" w:hAnsi="Times New Roman" w:cs="Times New Roman"/>
                <w:i/>
                <w:iCs/>
                <w:color w:val="000000"/>
                <w:sz w:val="21"/>
                <w:szCs w:val="21"/>
              </w:rPr>
              <w:t>Sciurus vulgaris</w:t>
            </w:r>
            <w:bookmarkEnd w:id="317"/>
          </w:p>
        </w:tc>
        <w:tc>
          <w:tcPr>
            <w:tcW w:w="597" w:type="pct"/>
            <w:tcBorders>
              <w:tl2br w:val="nil"/>
              <w:tr2bl w:val="nil"/>
            </w:tcBorders>
            <w:vAlign w:val="center"/>
          </w:tcPr>
          <w:p w14:paraId="168C876F"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4</w:t>
            </w:r>
          </w:p>
        </w:tc>
        <w:tc>
          <w:tcPr>
            <w:tcW w:w="598" w:type="pct"/>
            <w:tcBorders>
              <w:tl2br w:val="nil"/>
              <w:tr2bl w:val="nil"/>
            </w:tcBorders>
            <w:vAlign w:val="center"/>
          </w:tcPr>
          <w:p w14:paraId="28347AA7"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古北种</w:t>
            </w:r>
          </w:p>
        </w:tc>
        <w:tc>
          <w:tcPr>
            <w:tcW w:w="427" w:type="pct"/>
            <w:tcBorders>
              <w:tl2br w:val="nil"/>
              <w:tr2bl w:val="nil"/>
            </w:tcBorders>
            <w:vAlign w:val="center"/>
          </w:tcPr>
          <w:p w14:paraId="00521D88"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w:t>
            </w:r>
            <w:r>
              <w:rPr>
                <w:rFonts w:ascii="Times New Roman" w:eastAsia="宋体" w:hAnsi="Times New Roman" w:cs="Times New Roman"/>
                <w:color w:val="000000"/>
                <w:sz w:val="21"/>
                <w:szCs w:val="21"/>
                <w:lang w:bidi="ar"/>
              </w:rPr>
              <w:t>++</w:t>
            </w:r>
          </w:p>
        </w:tc>
        <w:tc>
          <w:tcPr>
            <w:tcW w:w="685" w:type="pct"/>
            <w:tcBorders>
              <w:tl2br w:val="nil"/>
              <w:tr2bl w:val="nil"/>
            </w:tcBorders>
            <w:vAlign w:val="center"/>
          </w:tcPr>
          <w:p w14:paraId="69439B1C"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目击</w:t>
            </w:r>
          </w:p>
        </w:tc>
        <w:tc>
          <w:tcPr>
            <w:tcW w:w="683" w:type="pct"/>
            <w:tcBorders>
              <w:tl2br w:val="nil"/>
              <w:tr2bl w:val="nil"/>
            </w:tcBorders>
            <w:vAlign w:val="center"/>
          </w:tcPr>
          <w:p w14:paraId="61A25D8F"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hint="eastAsia"/>
                <w:kern w:val="0"/>
                <w:sz w:val="21"/>
                <w:szCs w:val="21"/>
              </w:rPr>
              <w:t>黑龙江省级</w:t>
            </w:r>
          </w:p>
        </w:tc>
        <w:tc>
          <w:tcPr>
            <w:tcW w:w="389" w:type="pct"/>
            <w:tcBorders>
              <w:tl2br w:val="nil"/>
              <w:tr2bl w:val="nil"/>
            </w:tcBorders>
            <w:vAlign w:val="center"/>
          </w:tcPr>
          <w:p w14:paraId="2CEC1DC1"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hint="eastAsia"/>
                <w:kern w:val="0"/>
                <w:sz w:val="21"/>
                <w:szCs w:val="21"/>
              </w:rPr>
              <w:t>近危</w:t>
            </w:r>
          </w:p>
        </w:tc>
      </w:tr>
      <w:tr w:rsidR="009D12AF" w14:paraId="4F286B99" w14:textId="77777777">
        <w:trPr>
          <w:trHeight w:val="273"/>
        </w:trPr>
        <w:tc>
          <w:tcPr>
            <w:tcW w:w="1621" w:type="pct"/>
            <w:tcBorders>
              <w:tl2br w:val="nil"/>
              <w:tr2bl w:val="nil"/>
            </w:tcBorders>
            <w:vAlign w:val="center"/>
          </w:tcPr>
          <w:p w14:paraId="61DE6C8F" w14:textId="77777777" w:rsidR="009D12AF" w:rsidRDefault="00000000">
            <w:pPr>
              <w:widowControl/>
              <w:numPr>
                <w:ilvl w:val="0"/>
                <w:numId w:val="27"/>
              </w:numPr>
              <w:spacing w:after="160" w:line="0" w:lineRule="atLeast"/>
              <w:ind w:firstLineChars="0" w:firstLine="0"/>
              <w:jc w:val="left"/>
              <w:rPr>
                <w:rFonts w:ascii="Times New Roman" w:eastAsia="宋体" w:hAnsi="Times New Roman" w:cs="Times New Roman"/>
                <w:sz w:val="21"/>
                <w:szCs w:val="21"/>
              </w:rPr>
            </w:pPr>
            <w:bookmarkStart w:id="318" w:name="_Hlk207117705"/>
            <w:r>
              <w:rPr>
                <w:rFonts w:ascii="Times New Roman" w:eastAsia="宋体" w:hAnsi="Times New Roman" w:cs="Times New Roman"/>
                <w:sz w:val="21"/>
                <w:szCs w:val="21"/>
              </w:rPr>
              <w:t>花鼠</w:t>
            </w:r>
            <w:bookmarkEnd w:id="318"/>
          </w:p>
          <w:p w14:paraId="2CF792C6" w14:textId="77777777" w:rsidR="009D12AF" w:rsidRDefault="00000000">
            <w:pPr>
              <w:widowControl/>
              <w:spacing w:line="0" w:lineRule="atLeast"/>
              <w:ind w:firstLineChars="0" w:firstLine="0"/>
              <w:jc w:val="left"/>
              <w:rPr>
                <w:rFonts w:ascii="Times New Roman" w:eastAsia="宋体" w:hAnsi="Times New Roman" w:cs="Times New Roman"/>
                <w:i/>
                <w:iCs/>
                <w:sz w:val="21"/>
                <w:szCs w:val="21"/>
              </w:rPr>
            </w:pPr>
            <w:r>
              <w:rPr>
                <w:rFonts w:ascii="Times New Roman" w:eastAsia="宋体" w:hAnsi="Times New Roman" w:cs="Times New Roman"/>
                <w:i/>
                <w:iCs/>
                <w:sz w:val="21"/>
                <w:szCs w:val="21"/>
              </w:rPr>
              <w:lastRenderedPageBreak/>
              <w:t>Tamias sibiricus</w:t>
            </w:r>
          </w:p>
        </w:tc>
        <w:tc>
          <w:tcPr>
            <w:tcW w:w="597" w:type="pct"/>
            <w:tcBorders>
              <w:tl2br w:val="nil"/>
              <w:tr2bl w:val="nil"/>
            </w:tcBorders>
            <w:vAlign w:val="center"/>
          </w:tcPr>
          <w:p w14:paraId="30C69431"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lastRenderedPageBreak/>
              <w:t>4</w:t>
            </w:r>
          </w:p>
        </w:tc>
        <w:tc>
          <w:tcPr>
            <w:tcW w:w="598" w:type="pct"/>
            <w:tcBorders>
              <w:tl2br w:val="nil"/>
              <w:tr2bl w:val="nil"/>
            </w:tcBorders>
            <w:vAlign w:val="center"/>
          </w:tcPr>
          <w:p w14:paraId="4D2FE29C"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古北种</w:t>
            </w:r>
          </w:p>
        </w:tc>
        <w:tc>
          <w:tcPr>
            <w:tcW w:w="427" w:type="pct"/>
            <w:tcBorders>
              <w:tl2br w:val="nil"/>
              <w:tr2bl w:val="nil"/>
            </w:tcBorders>
            <w:vAlign w:val="center"/>
          </w:tcPr>
          <w:p w14:paraId="41154719"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color w:val="000000"/>
                <w:sz w:val="21"/>
                <w:szCs w:val="21"/>
                <w:lang w:bidi="ar"/>
              </w:rPr>
              <w:t>++</w:t>
            </w:r>
          </w:p>
        </w:tc>
        <w:tc>
          <w:tcPr>
            <w:tcW w:w="685" w:type="pct"/>
            <w:tcBorders>
              <w:tl2br w:val="nil"/>
              <w:tr2bl w:val="nil"/>
            </w:tcBorders>
            <w:vAlign w:val="center"/>
          </w:tcPr>
          <w:p w14:paraId="68556E69"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目击</w:t>
            </w:r>
          </w:p>
        </w:tc>
        <w:tc>
          <w:tcPr>
            <w:tcW w:w="683" w:type="pct"/>
            <w:tcBorders>
              <w:tl2br w:val="nil"/>
              <w:tr2bl w:val="nil"/>
            </w:tcBorders>
            <w:vAlign w:val="center"/>
          </w:tcPr>
          <w:p w14:paraId="3079944D"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kern w:val="0"/>
                <w:sz w:val="21"/>
                <w:szCs w:val="21"/>
              </w:rPr>
              <w:t>————</w:t>
            </w:r>
          </w:p>
        </w:tc>
        <w:tc>
          <w:tcPr>
            <w:tcW w:w="389" w:type="pct"/>
            <w:tcBorders>
              <w:tl2br w:val="nil"/>
              <w:tr2bl w:val="nil"/>
            </w:tcBorders>
            <w:vAlign w:val="center"/>
          </w:tcPr>
          <w:p w14:paraId="433B25DD"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kern w:val="0"/>
                <w:sz w:val="21"/>
                <w:szCs w:val="21"/>
              </w:rPr>
              <w:t>无危</w:t>
            </w:r>
          </w:p>
        </w:tc>
      </w:tr>
      <w:tr w:rsidR="009D12AF" w14:paraId="181F5D65" w14:textId="77777777">
        <w:trPr>
          <w:trHeight w:val="247"/>
        </w:trPr>
        <w:tc>
          <w:tcPr>
            <w:tcW w:w="5000" w:type="pct"/>
            <w:gridSpan w:val="7"/>
            <w:tcBorders>
              <w:tl2br w:val="nil"/>
              <w:tr2bl w:val="nil"/>
            </w:tcBorders>
            <w:vAlign w:val="center"/>
          </w:tcPr>
          <w:p w14:paraId="5CB49E07" w14:textId="77777777" w:rsidR="009D12AF" w:rsidRDefault="00000000">
            <w:pPr>
              <w:numPr>
                <w:ilvl w:val="0"/>
                <w:numId w:val="26"/>
              </w:numPr>
              <w:spacing w:after="160" w:line="0" w:lineRule="atLeast"/>
              <w:ind w:firstLineChars="0" w:firstLine="0"/>
              <w:jc w:val="left"/>
              <w:rPr>
                <w:rFonts w:ascii="Times New Roman" w:eastAsia="宋体" w:hAnsi="Times New Roman" w:cs="Times New Roman"/>
                <w:b/>
                <w:bCs/>
                <w:color w:val="000000"/>
                <w:sz w:val="21"/>
                <w:szCs w:val="21"/>
                <w:lang w:bidi="ar"/>
              </w:rPr>
            </w:pPr>
            <w:r>
              <w:rPr>
                <w:rFonts w:ascii="Times New Roman" w:eastAsia="宋体" w:hAnsi="Times New Roman" w:cs="Times New Roman"/>
                <w:b/>
                <w:bCs/>
                <w:color w:val="000000"/>
                <w:sz w:val="21"/>
                <w:szCs w:val="21"/>
                <w:lang w:bidi="ar"/>
              </w:rPr>
              <w:t>鼠科</w:t>
            </w:r>
            <w:r>
              <w:rPr>
                <w:rFonts w:ascii="Times New Roman" w:eastAsia="宋体" w:hAnsi="Times New Roman" w:cs="Times New Roman"/>
                <w:color w:val="000000"/>
                <w:sz w:val="21"/>
                <w:szCs w:val="21"/>
                <w:lang w:bidi="ar"/>
              </w:rPr>
              <w:t xml:space="preserve"> </w:t>
            </w:r>
            <w:r>
              <w:rPr>
                <w:rFonts w:ascii="Times New Roman" w:eastAsia="宋体" w:hAnsi="Times New Roman" w:cs="Times New Roman"/>
                <w:b/>
                <w:bCs/>
                <w:i/>
                <w:iCs/>
                <w:color w:val="333333"/>
                <w:sz w:val="21"/>
                <w:szCs w:val="21"/>
                <w:shd w:val="clear" w:color="auto" w:fill="FFFFFF"/>
              </w:rPr>
              <w:t>Muridae</w:t>
            </w:r>
          </w:p>
        </w:tc>
      </w:tr>
      <w:tr w:rsidR="009D12AF" w14:paraId="3A5D2099" w14:textId="77777777">
        <w:trPr>
          <w:trHeight w:val="283"/>
        </w:trPr>
        <w:tc>
          <w:tcPr>
            <w:tcW w:w="1621" w:type="pct"/>
            <w:tcBorders>
              <w:tl2br w:val="nil"/>
              <w:tr2bl w:val="nil"/>
            </w:tcBorders>
            <w:vAlign w:val="center"/>
          </w:tcPr>
          <w:p w14:paraId="064E9FEC" w14:textId="77777777" w:rsidR="009D12AF" w:rsidRDefault="00000000">
            <w:pPr>
              <w:widowControl/>
              <w:numPr>
                <w:ilvl w:val="0"/>
                <w:numId w:val="27"/>
              </w:numPr>
              <w:spacing w:after="160" w:line="0" w:lineRule="atLeast"/>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巣鼠</w:t>
            </w:r>
          </w:p>
          <w:p w14:paraId="1159C501" w14:textId="77777777" w:rsidR="009D12AF" w:rsidRDefault="00000000">
            <w:pPr>
              <w:widowControl/>
              <w:spacing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i/>
                <w:iCs/>
                <w:kern w:val="0"/>
                <w:sz w:val="21"/>
                <w:szCs w:val="21"/>
              </w:rPr>
              <w:t>Micromys minutus</w:t>
            </w:r>
          </w:p>
        </w:tc>
        <w:tc>
          <w:tcPr>
            <w:tcW w:w="597" w:type="pct"/>
            <w:tcBorders>
              <w:tl2br w:val="nil"/>
              <w:tr2bl w:val="nil"/>
            </w:tcBorders>
            <w:vAlign w:val="center"/>
          </w:tcPr>
          <w:p w14:paraId="3BE7678B"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color w:val="000000"/>
                <w:sz w:val="21"/>
                <w:szCs w:val="21"/>
                <w:lang w:bidi="ar"/>
              </w:rPr>
              <w:t>2.3.4.5</w:t>
            </w:r>
          </w:p>
        </w:tc>
        <w:tc>
          <w:tcPr>
            <w:tcW w:w="598" w:type="pct"/>
            <w:tcBorders>
              <w:tl2br w:val="nil"/>
              <w:tr2bl w:val="nil"/>
            </w:tcBorders>
            <w:vAlign w:val="center"/>
          </w:tcPr>
          <w:p w14:paraId="377C1178" w14:textId="77777777" w:rsidR="009D12AF" w:rsidRDefault="00000000">
            <w:pPr>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广布种</w:t>
            </w:r>
          </w:p>
        </w:tc>
        <w:tc>
          <w:tcPr>
            <w:tcW w:w="427" w:type="pct"/>
            <w:tcBorders>
              <w:tl2br w:val="nil"/>
              <w:tr2bl w:val="nil"/>
            </w:tcBorders>
            <w:vAlign w:val="center"/>
          </w:tcPr>
          <w:p w14:paraId="2DB6F77F"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kern w:val="0"/>
                <w:sz w:val="21"/>
                <w:szCs w:val="21"/>
              </w:rPr>
              <w:t>++</w:t>
            </w:r>
          </w:p>
        </w:tc>
        <w:tc>
          <w:tcPr>
            <w:tcW w:w="685" w:type="pct"/>
            <w:tcBorders>
              <w:tl2br w:val="nil"/>
              <w:tr2bl w:val="nil"/>
            </w:tcBorders>
            <w:vAlign w:val="center"/>
          </w:tcPr>
          <w:p w14:paraId="5F4180E0"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83" w:type="pct"/>
            <w:tcBorders>
              <w:tl2br w:val="nil"/>
              <w:tr2bl w:val="nil"/>
            </w:tcBorders>
            <w:vAlign w:val="center"/>
          </w:tcPr>
          <w:p w14:paraId="6EFA04FD"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389" w:type="pct"/>
            <w:tcBorders>
              <w:tl2br w:val="nil"/>
              <w:tr2bl w:val="nil"/>
            </w:tcBorders>
            <w:vAlign w:val="center"/>
          </w:tcPr>
          <w:p w14:paraId="089E422B"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无危</w:t>
            </w:r>
          </w:p>
        </w:tc>
      </w:tr>
      <w:tr w:rsidR="009D12AF" w14:paraId="6D52BF47" w14:textId="77777777">
        <w:trPr>
          <w:trHeight w:val="556"/>
        </w:trPr>
        <w:tc>
          <w:tcPr>
            <w:tcW w:w="1621" w:type="pct"/>
            <w:tcBorders>
              <w:tl2br w:val="nil"/>
              <w:tr2bl w:val="nil"/>
            </w:tcBorders>
            <w:vAlign w:val="center"/>
          </w:tcPr>
          <w:p w14:paraId="21B8512B" w14:textId="77777777" w:rsidR="009D12AF" w:rsidRDefault="00000000">
            <w:pPr>
              <w:widowControl/>
              <w:numPr>
                <w:ilvl w:val="0"/>
                <w:numId w:val="27"/>
              </w:numPr>
              <w:spacing w:after="160" w:line="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color w:val="000000"/>
                <w:kern w:val="0"/>
                <w:sz w:val="21"/>
                <w:szCs w:val="21"/>
              </w:rPr>
              <w:t>黑线姬鼠</w:t>
            </w:r>
          </w:p>
          <w:p w14:paraId="370EB251" w14:textId="77777777" w:rsidR="009D12AF" w:rsidRDefault="00000000">
            <w:pPr>
              <w:widowControl/>
              <w:spacing w:line="0" w:lineRule="atLeast"/>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i/>
                <w:iCs/>
                <w:kern w:val="0"/>
                <w:sz w:val="21"/>
                <w:szCs w:val="21"/>
              </w:rPr>
              <w:t>Apodemus agrarius</w:t>
            </w:r>
          </w:p>
        </w:tc>
        <w:tc>
          <w:tcPr>
            <w:tcW w:w="597" w:type="pct"/>
            <w:tcBorders>
              <w:tl2br w:val="nil"/>
              <w:tr2bl w:val="nil"/>
            </w:tcBorders>
            <w:vAlign w:val="center"/>
          </w:tcPr>
          <w:p w14:paraId="49DBA325"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2.3.5</w:t>
            </w:r>
          </w:p>
        </w:tc>
        <w:tc>
          <w:tcPr>
            <w:tcW w:w="598" w:type="pct"/>
            <w:tcBorders>
              <w:tl2br w:val="nil"/>
              <w:tr2bl w:val="nil"/>
            </w:tcBorders>
            <w:vAlign w:val="center"/>
          </w:tcPr>
          <w:p w14:paraId="0A0E947E" w14:textId="77777777" w:rsidR="009D12AF" w:rsidRDefault="00000000">
            <w:pPr>
              <w:spacing w:line="0" w:lineRule="atLeast"/>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广布种</w:t>
            </w:r>
          </w:p>
        </w:tc>
        <w:tc>
          <w:tcPr>
            <w:tcW w:w="427" w:type="pct"/>
            <w:tcBorders>
              <w:tl2br w:val="nil"/>
              <w:tr2bl w:val="nil"/>
            </w:tcBorders>
            <w:vAlign w:val="center"/>
          </w:tcPr>
          <w:p w14:paraId="6C635547" w14:textId="77777777" w:rsidR="009D12AF" w:rsidRDefault="00000000">
            <w:pPr>
              <w:widowControl/>
              <w:spacing w:line="0" w:lineRule="atLeast"/>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685" w:type="pct"/>
            <w:tcBorders>
              <w:tl2br w:val="nil"/>
              <w:tr2bl w:val="nil"/>
            </w:tcBorders>
            <w:vAlign w:val="center"/>
          </w:tcPr>
          <w:p w14:paraId="39CB64C7" w14:textId="77777777" w:rsidR="009D12AF" w:rsidRDefault="00000000">
            <w:pPr>
              <w:spacing w:line="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sz w:val="21"/>
                <w:szCs w:val="21"/>
              </w:rPr>
              <w:t>访问资料</w:t>
            </w:r>
          </w:p>
        </w:tc>
        <w:tc>
          <w:tcPr>
            <w:tcW w:w="683" w:type="pct"/>
            <w:tcBorders>
              <w:tl2br w:val="nil"/>
              <w:tr2bl w:val="nil"/>
            </w:tcBorders>
            <w:vAlign w:val="center"/>
          </w:tcPr>
          <w:p w14:paraId="4AE5F3FE" w14:textId="77777777" w:rsidR="009D12AF" w:rsidRDefault="00000000">
            <w:pPr>
              <w:widowControl/>
              <w:spacing w:line="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p>
        </w:tc>
        <w:tc>
          <w:tcPr>
            <w:tcW w:w="389" w:type="pct"/>
            <w:tcBorders>
              <w:tl2br w:val="nil"/>
              <w:tr2bl w:val="nil"/>
            </w:tcBorders>
            <w:vAlign w:val="center"/>
          </w:tcPr>
          <w:p w14:paraId="72CE3EF9" w14:textId="77777777" w:rsidR="009D12AF" w:rsidRDefault="00000000">
            <w:pPr>
              <w:widowControl/>
              <w:spacing w:line="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sz w:val="21"/>
                <w:szCs w:val="21"/>
              </w:rPr>
              <w:t>无危</w:t>
            </w:r>
          </w:p>
        </w:tc>
      </w:tr>
      <w:tr w:rsidR="009D12AF" w14:paraId="4E34B31B" w14:textId="77777777">
        <w:trPr>
          <w:trHeight w:val="283"/>
        </w:trPr>
        <w:tc>
          <w:tcPr>
            <w:tcW w:w="1621" w:type="pct"/>
            <w:tcBorders>
              <w:tl2br w:val="nil"/>
              <w:tr2bl w:val="nil"/>
            </w:tcBorders>
            <w:vAlign w:val="center"/>
          </w:tcPr>
          <w:p w14:paraId="1A810B7E" w14:textId="77777777" w:rsidR="009D12AF" w:rsidRDefault="00000000">
            <w:pPr>
              <w:widowControl/>
              <w:numPr>
                <w:ilvl w:val="0"/>
                <w:numId w:val="27"/>
              </w:numPr>
              <w:spacing w:after="160" w:line="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color w:val="000000"/>
                <w:kern w:val="0"/>
                <w:sz w:val="21"/>
                <w:szCs w:val="21"/>
              </w:rPr>
              <w:t>褐家鼠</w:t>
            </w:r>
          </w:p>
          <w:p w14:paraId="63A2AE9F" w14:textId="77777777" w:rsidR="009D12AF" w:rsidRDefault="00000000">
            <w:pPr>
              <w:widowControl/>
              <w:spacing w:line="0" w:lineRule="atLeast"/>
              <w:ind w:firstLineChars="0" w:firstLine="0"/>
              <w:jc w:val="left"/>
              <w:rPr>
                <w:rFonts w:ascii="Times New Roman" w:eastAsia="宋体" w:hAnsi="Times New Roman" w:cs="Times New Roman"/>
                <w:i/>
                <w:iCs/>
                <w:kern w:val="0"/>
                <w:sz w:val="21"/>
                <w:szCs w:val="21"/>
              </w:rPr>
            </w:pPr>
            <w:r>
              <w:rPr>
                <w:rFonts w:ascii="Times New Roman" w:eastAsia="宋体" w:hAnsi="Times New Roman" w:cs="Times New Roman"/>
                <w:i/>
                <w:iCs/>
                <w:kern w:val="0"/>
                <w:sz w:val="21"/>
                <w:szCs w:val="21"/>
              </w:rPr>
              <w:t>Rattus norvegicus</w:t>
            </w:r>
          </w:p>
        </w:tc>
        <w:tc>
          <w:tcPr>
            <w:tcW w:w="597" w:type="pct"/>
            <w:tcBorders>
              <w:tl2br w:val="nil"/>
              <w:tr2bl w:val="nil"/>
            </w:tcBorders>
            <w:vAlign w:val="center"/>
          </w:tcPr>
          <w:p w14:paraId="7311FF65"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2.3.4.5.6</w:t>
            </w:r>
          </w:p>
        </w:tc>
        <w:tc>
          <w:tcPr>
            <w:tcW w:w="598" w:type="pct"/>
            <w:tcBorders>
              <w:tl2br w:val="nil"/>
              <w:tr2bl w:val="nil"/>
            </w:tcBorders>
            <w:vAlign w:val="center"/>
          </w:tcPr>
          <w:p w14:paraId="147FCCA4" w14:textId="77777777" w:rsidR="009D12AF" w:rsidRDefault="00000000">
            <w:pPr>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广布种</w:t>
            </w:r>
          </w:p>
        </w:tc>
        <w:tc>
          <w:tcPr>
            <w:tcW w:w="427" w:type="pct"/>
            <w:tcBorders>
              <w:tl2br w:val="nil"/>
              <w:tr2bl w:val="nil"/>
            </w:tcBorders>
            <w:vAlign w:val="center"/>
          </w:tcPr>
          <w:p w14:paraId="05DA684D"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w:t>
            </w:r>
          </w:p>
        </w:tc>
        <w:tc>
          <w:tcPr>
            <w:tcW w:w="685" w:type="pct"/>
            <w:tcBorders>
              <w:tl2br w:val="nil"/>
              <w:tr2bl w:val="nil"/>
            </w:tcBorders>
            <w:vAlign w:val="center"/>
          </w:tcPr>
          <w:p w14:paraId="26E018B5" w14:textId="77777777" w:rsidR="009D12AF" w:rsidRDefault="00000000">
            <w:pPr>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hint="eastAsia"/>
                <w:sz w:val="21"/>
                <w:szCs w:val="21"/>
              </w:rPr>
              <w:t>目击</w:t>
            </w:r>
          </w:p>
        </w:tc>
        <w:tc>
          <w:tcPr>
            <w:tcW w:w="683" w:type="pct"/>
            <w:tcBorders>
              <w:tl2br w:val="nil"/>
              <w:tr2bl w:val="nil"/>
            </w:tcBorders>
            <w:vAlign w:val="center"/>
          </w:tcPr>
          <w:p w14:paraId="7E209D35"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kern w:val="0"/>
                <w:sz w:val="21"/>
                <w:szCs w:val="21"/>
              </w:rPr>
              <w:t>————</w:t>
            </w:r>
          </w:p>
        </w:tc>
        <w:tc>
          <w:tcPr>
            <w:tcW w:w="389" w:type="pct"/>
            <w:tcBorders>
              <w:tl2br w:val="nil"/>
              <w:tr2bl w:val="nil"/>
            </w:tcBorders>
            <w:vAlign w:val="center"/>
          </w:tcPr>
          <w:p w14:paraId="443C0911"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无危</w:t>
            </w:r>
          </w:p>
        </w:tc>
      </w:tr>
      <w:tr w:rsidR="009D12AF" w14:paraId="444678F9" w14:textId="77777777">
        <w:trPr>
          <w:trHeight w:val="283"/>
        </w:trPr>
        <w:tc>
          <w:tcPr>
            <w:tcW w:w="1621" w:type="pct"/>
            <w:tcBorders>
              <w:tl2br w:val="nil"/>
              <w:tr2bl w:val="nil"/>
            </w:tcBorders>
            <w:vAlign w:val="center"/>
          </w:tcPr>
          <w:p w14:paraId="56C7FC28" w14:textId="77777777" w:rsidR="009D12AF" w:rsidRDefault="00000000">
            <w:pPr>
              <w:widowControl/>
              <w:numPr>
                <w:ilvl w:val="0"/>
                <w:numId w:val="27"/>
              </w:numPr>
              <w:spacing w:after="160" w:line="0" w:lineRule="atLeast"/>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小家鼠</w:t>
            </w:r>
          </w:p>
          <w:p w14:paraId="51217335" w14:textId="77777777" w:rsidR="009D12AF" w:rsidRDefault="00000000">
            <w:pPr>
              <w:widowControl/>
              <w:spacing w:line="0" w:lineRule="atLeast"/>
              <w:ind w:firstLineChars="0" w:firstLine="0"/>
              <w:jc w:val="left"/>
              <w:rPr>
                <w:rFonts w:ascii="Times New Roman" w:eastAsia="宋体" w:hAnsi="Times New Roman" w:cs="Times New Roman"/>
                <w:i/>
                <w:iCs/>
                <w:color w:val="000000"/>
                <w:kern w:val="0"/>
                <w:sz w:val="21"/>
                <w:szCs w:val="21"/>
              </w:rPr>
            </w:pPr>
            <w:r>
              <w:rPr>
                <w:rFonts w:ascii="Times New Roman" w:eastAsia="宋体" w:hAnsi="Times New Roman" w:cs="Times New Roman"/>
                <w:i/>
                <w:iCs/>
                <w:color w:val="000000"/>
                <w:kern w:val="0"/>
                <w:sz w:val="21"/>
                <w:szCs w:val="21"/>
              </w:rPr>
              <w:t>Mus musculus</w:t>
            </w:r>
          </w:p>
        </w:tc>
        <w:tc>
          <w:tcPr>
            <w:tcW w:w="597" w:type="pct"/>
            <w:tcBorders>
              <w:tl2br w:val="nil"/>
              <w:tr2bl w:val="nil"/>
            </w:tcBorders>
            <w:vAlign w:val="center"/>
          </w:tcPr>
          <w:p w14:paraId="0B4D8895"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2.3.4.5.6</w:t>
            </w:r>
          </w:p>
        </w:tc>
        <w:tc>
          <w:tcPr>
            <w:tcW w:w="598" w:type="pct"/>
            <w:tcBorders>
              <w:tl2br w:val="nil"/>
              <w:tr2bl w:val="nil"/>
            </w:tcBorders>
            <w:vAlign w:val="center"/>
          </w:tcPr>
          <w:p w14:paraId="387D64D1"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广布种</w:t>
            </w:r>
          </w:p>
        </w:tc>
        <w:tc>
          <w:tcPr>
            <w:tcW w:w="427" w:type="pct"/>
            <w:tcBorders>
              <w:tl2br w:val="nil"/>
              <w:tr2bl w:val="nil"/>
            </w:tcBorders>
            <w:vAlign w:val="center"/>
          </w:tcPr>
          <w:p w14:paraId="3D91719B"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w:t>
            </w:r>
          </w:p>
        </w:tc>
        <w:tc>
          <w:tcPr>
            <w:tcW w:w="685" w:type="pct"/>
            <w:tcBorders>
              <w:tl2br w:val="nil"/>
              <w:tr2bl w:val="nil"/>
            </w:tcBorders>
            <w:vAlign w:val="center"/>
          </w:tcPr>
          <w:p w14:paraId="0FC00C52" w14:textId="77777777" w:rsidR="009D12AF" w:rsidRDefault="00000000">
            <w:pPr>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hint="eastAsia"/>
                <w:sz w:val="21"/>
                <w:szCs w:val="21"/>
              </w:rPr>
              <w:t>目击</w:t>
            </w:r>
          </w:p>
        </w:tc>
        <w:tc>
          <w:tcPr>
            <w:tcW w:w="683" w:type="pct"/>
            <w:tcBorders>
              <w:tl2br w:val="nil"/>
              <w:tr2bl w:val="nil"/>
            </w:tcBorders>
            <w:vAlign w:val="center"/>
          </w:tcPr>
          <w:p w14:paraId="55A5646E"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kern w:val="0"/>
                <w:sz w:val="21"/>
                <w:szCs w:val="21"/>
              </w:rPr>
              <w:t>————</w:t>
            </w:r>
          </w:p>
        </w:tc>
        <w:tc>
          <w:tcPr>
            <w:tcW w:w="389" w:type="pct"/>
            <w:tcBorders>
              <w:tl2br w:val="nil"/>
              <w:tr2bl w:val="nil"/>
            </w:tcBorders>
            <w:vAlign w:val="center"/>
          </w:tcPr>
          <w:p w14:paraId="450AA41B"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无危</w:t>
            </w:r>
          </w:p>
        </w:tc>
      </w:tr>
      <w:tr w:rsidR="009D12AF" w14:paraId="1959E532" w14:textId="77777777">
        <w:trPr>
          <w:trHeight w:val="283"/>
        </w:trPr>
        <w:tc>
          <w:tcPr>
            <w:tcW w:w="5000" w:type="pct"/>
            <w:gridSpan w:val="7"/>
            <w:tcBorders>
              <w:tl2br w:val="nil"/>
              <w:tr2bl w:val="nil"/>
            </w:tcBorders>
            <w:vAlign w:val="center"/>
          </w:tcPr>
          <w:p w14:paraId="5E9BC824" w14:textId="77777777" w:rsidR="009D12AF" w:rsidRDefault="00000000">
            <w:pPr>
              <w:numPr>
                <w:ilvl w:val="0"/>
                <w:numId w:val="26"/>
              </w:numPr>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b/>
                <w:bCs/>
                <w:color w:val="000000"/>
                <w:kern w:val="0"/>
                <w:sz w:val="21"/>
                <w:szCs w:val="21"/>
              </w:rPr>
              <w:t>仓鼠科</w:t>
            </w:r>
            <w:r>
              <w:rPr>
                <w:rFonts w:ascii="Times New Roman" w:eastAsia="宋体" w:hAnsi="Times New Roman" w:cs="Times New Roman"/>
                <w:b/>
                <w:bCs/>
                <w:color w:val="000000"/>
                <w:spacing w:val="6"/>
                <w:kern w:val="0"/>
                <w:sz w:val="21"/>
                <w:szCs w:val="21"/>
              </w:rPr>
              <w:t xml:space="preserve"> </w:t>
            </w:r>
            <w:r>
              <w:rPr>
                <w:rFonts w:ascii="Times New Roman" w:eastAsia="宋体" w:hAnsi="Times New Roman" w:cs="Times New Roman"/>
                <w:b/>
                <w:bCs/>
                <w:i/>
                <w:iCs/>
                <w:color w:val="333333"/>
                <w:sz w:val="21"/>
                <w:szCs w:val="21"/>
                <w:shd w:val="clear" w:color="auto" w:fill="FFFFFF"/>
              </w:rPr>
              <w:t>Circetidae</w:t>
            </w:r>
          </w:p>
        </w:tc>
      </w:tr>
      <w:tr w:rsidR="009D12AF" w14:paraId="03461246" w14:textId="77777777">
        <w:trPr>
          <w:trHeight w:val="283"/>
        </w:trPr>
        <w:tc>
          <w:tcPr>
            <w:tcW w:w="1621" w:type="pct"/>
            <w:tcBorders>
              <w:tl2br w:val="nil"/>
              <w:tr2bl w:val="nil"/>
            </w:tcBorders>
            <w:vAlign w:val="center"/>
          </w:tcPr>
          <w:p w14:paraId="28BA7A05" w14:textId="77777777" w:rsidR="009D12AF" w:rsidRDefault="00000000">
            <w:pPr>
              <w:widowControl/>
              <w:numPr>
                <w:ilvl w:val="0"/>
                <w:numId w:val="27"/>
              </w:numPr>
              <w:spacing w:after="160" w:line="0" w:lineRule="atLeast"/>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东方田鼠</w:t>
            </w:r>
          </w:p>
          <w:p w14:paraId="14E7D6E7" w14:textId="77777777" w:rsidR="009D12AF" w:rsidRDefault="00000000">
            <w:pPr>
              <w:widowControl/>
              <w:spacing w:line="0" w:lineRule="atLeast"/>
              <w:ind w:firstLineChars="0" w:firstLine="0"/>
              <w:jc w:val="left"/>
              <w:rPr>
                <w:rFonts w:ascii="Times New Roman" w:eastAsia="宋体" w:hAnsi="Times New Roman" w:cs="Times New Roman"/>
                <w:i/>
                <w:iCs/>
                <w:sz w:val="21"/>
                <w:szCs w:val="21"/>
              </w:rPr>
            </w:pPr>
            <w:r>
              <w:rPr>
                <w:rFonts w:ascii="Times New Roman" w:eastAsia="宋体" w:hAnsi="Times New Roman" w:cs="Times New Roman" w:hint="eastAsia"/>
                <w:i/>
                <w:iCs/>
                <w:sz w:val="21"/>
                <w:szCs w:val="21"/>
              </w:rPr>
              <w:t>Alexandromys fortis</w:t>
            </w:r>
          </w:p>
        </w:tc>
        <w:tc>
          <w:tcPr>
            <w:tcW w:w="597" w:type="pct"/>
            <w:tcBorders>
              <w:tl2br w:val="nil"/>
              <w:tr2bl w:val="nil"/>
            </w:tcBorders>
            <w:vAlign w:val="center"/>
          </w:tcPr>
          <w:p w14:paraId="1D2C2187"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2.3</w:t>
            </w:r>
          </w:p>
        </w:tc>
        <w:tc>
          <w:tcPr>
            <w:tcW w:w="598" w:type="pct"/>
            <w:tcBorders>
              <w:tl2br w:val="nil"/>
              <w:tr2bl w:val="nil"/>
            </w:tcBorders>
            <w:vAlign w:val="center"/>
          </w:tcPr>
          <w:p w14:paraId="410F0811"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古北种</w:t>
            </w:r>
          </w:p>
        </w:tc>
        <w:tc>
          <w:tcPr>
            <w:tcW w:w="427" w:type="pct"/>
            <w:tcBorders>
              <w:tl2br w:val="nil"/>
              <w:tr2bl w:val="nil"/>
            </w:tcBorders>
            <w:vAlign w:val="center"/>
          </w:tcPr>
          <w:p w14:paraId="78B54DB6"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w:t>
            </w:r>
          </w:p>
        </w:tc>
        <w:tc>
          <w:tcPr>
            <w:tcW w:w="685" w:type="pct"/>
            <w:tcBorders>
              <w:tl2br w:val="nil"/>
              <w:tr2bl w:val="nil"/>
            </w:tcBorders>
            <w:vAlign w:val="center"/>
          </w:tcPr>
          <w:p w14:paraId="5E7341A4" w14:textId="77777777" w:rsidR="009D12AF" w:rsidRDefault="00000000">
            <w:pPr>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访问资料</w:t>
            </w:r>
          </w:p>
        </w:tc>
        <w:tc>
          <w:tcPr>
            <w:tcW w:w="683" w:type="pct"/>
            <w:tcBorders>
              <w:tl2br w:val="nil"/>
              <w:tr2bl w:val="nil"/>
            </w:tcBorders>
            <w:vAlign w:val="center"/>
          </w:tcPr>
          <w:p w14:paraId="06AA1A9B"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kern w:val="0"/>
                <w:sz w:val="21"/>
                <w:szCs w:val="21"/>
              </w:rPr>
              <w:t>————</w:t>
            </w:r>
          </w:p>
        </w:tc>
        <w:tc>
          <w:tcPr>
            <w:tcW w:w="389" w:type="pct"/>
            <w:tcBorders>
              <w:tl2br w:val="nil"/>
              <w:tr2bl w:val="nil"/>
            </w:tcBorders>
            <w:vAlign w:val="center"/>
          </w:tcPr>
          <w:p w14:paraId="46CB609C"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无危</w:t>
            </w:r>
          </w:p>
        </w:tc>
      </w:tr>
      <w:tr w:rsidR="009D12AF" w14:paraId="4968A1C3" w14:textId="77777777">
        <w:trPr>
          <w:trHeight w:val="283"/>
        </w:trPr>
        <w:tc>
          <w:tcPr>
            <w:tcW w:w="1621" w:type="pct"/>
            <w:tcBorders>
              <w:tl2br w:val="nil"/>
              <w:tr2bl w:val="nil"/>
            </w:tcBorders>
            <w:vAlign w:val="center"/>
          </w:tcPr>
          <w:p w14:paraId="3237B37D" w14:textId="77777777" w:rsidR="009D12AF" w:rsidRDefault="00000000">
            <w:pPr>
              <w:widowControl/>
              <w:numPr>
                <w:ilvl w:val="0"/>
                <w:numId w:val="27"/>
              </w:numPr>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sz w:val="21"/>
                <w:szCs w:val="21"/>
              </w:rPr>
              <w:t>普通田鼠</w:t>
            </w:r>
          </w:p>
          <w:p w14:paraId="1DED94C3" w14:textId="77777777" w:rsidR="009D12AF" w:rsidRDefault="00000000">
            <w:pPr>
              <w:widowControl/>
              <w:spacing w:line="0" w:lineRule="atLeast"/>
              <w:ind w:firstLineChars="0" w:firstLine="0"/>
              <w:jc w:val="left"/>
              <w:rPr>
                <w:rFonts w:ascii="Times New Roman" w:eastAsia="宋体" w:hAnsi="Times New Roman" w:cs="Times New Roman"/>
                <w:i/>
                <w:iCs/>
                <w:sz w:val="21"/>
                <w:szCs w:val="21"/>
              </w:rPr>
            </w:pPr>
            <w:r>
              <w:rPr>
                <w:rFonts w:ascii="Times New Roman" w:eastAsia="宋体" w:hAnsi="Times New Roman" w:cs="Times New Roman"/>
                <w:i/>
                <w:iCs/>
                <w:sz w:val="21"/>
                <w:szCs w:val="21"/>
              </w:rPr>
              <w:t>Microtus arvalis</w:t>
            </w:r>
          </w:p>
        </w:tc>
        <w:tc>
          <w:tcPr>
            <w:tcW w:w="597" w:type="pct"/>
            <w:tcBorders>
              <w:tl2br w:val="nil"/>
              <w:tr2bl w:val="nil"/>
            </w:tcBorders>
            <w:vAlign w:val="center"/>
          </w:tcPr>
          <w:p w14:paraId="3E70B8DC"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3.4</w:t>
            </w:r>
          </w:p>
        </w:tc>
        <w:tc>
          <w:tcPr>
            <w:tcW w:w="598" w:type="pct"/>
            <w:tcBorders>
              <w:tl2br w:val="nil"/>
              <w:tr2bl w:val="nil"/>
            </w:tcBorders>
            <w:vAlign w:val="center"/>
          </w:tcPr>
          <w:p w14:paraId="0570965C"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广布种</w:t>
            </w:r>
          </w:p>
        </w:tc>
        <w:tc>
          <w:tcPr>
            <w:tcW w:w="427" w:type="pct"/>
            <w:tcBorders>
              <w:tl2br w:val="nil"/>
              <w:tr2bl w:val="nil"/>
            </w:tcBorders>
            <w:vAlign w:val="center"/>
          </w:tcPr>
          <w:p w14:paraId="4B44F102"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color w:val="000000"/>
                <w:sz w:val="21"/>
                <w:szCs w:val="21"/>
                <w:lang w:bidi="ar"/>
              </w:rPr>
              <w:t>++</w:t>
            </w:r>
          </w:p>
        </w:tc>
        <w:tc>
          <w:tcPr>
            <w:tcW w:w="685" w:type="pct"/>
            <w:tcBorders>
              <w:tl2br w:val="nil"/>
              <w:tr2bl w:val="nil"/>
            </w:tcBorders>
            <w:vAlign w:val="center"/>
          </w:tcPr>
          <w:p w14:paraId="2EDEAC4D"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83" w:type="pct"/>
            <w:tcBorders>
              <w:tl2br w:val="nil"/>
              <w:tr2bl w:val="nil"/>
            </w:tcBorders>
            <w:vAlign w:val="center"/>
          </w:tcPr>
          <w:p w14:paraId="2F84BFE5"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389" w:type="pct"/>
            <w:tcBorders>
              <w:tl2br w:val="nil"/>
              <w:tr2bl w:val="nil"/>
            </w:tcBorders>
            <w:vAlign w:val="center"/>
          </w:tcPr>
          <w:p w14:paraId="12C27755"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无危</w:t>
            </w:r>
          </w:p>
        </w:tc>
      </w:tr>
      <w:tr w:rsidR="009D12AF" w14:paraId="68D36BA9" w14:textId="77777777">
        <w:trPr>
          <w:trHeight w:val="283"/>
        </w:trPr>
        <w:tc>
          <w:tcPr>
            <w:tcW w:w="1621" w:type="pct"/>
            <w:tcBorders>
              <w:tl2br w:val="nil"/>
              <w:tr2bl w:val="nil"/>
            </w:tcBorders>
            <w:vAlign w:val="center"/>
          </w:tcPr>
          <w:p w14:paraId="4E12A449" w14:textId="77777777" w:rsidR="009D12AF" w:rsidRDefault="00000000">
            <w:pPr>
              <w:widowControl/>
              <w:numPr>
                <w:ilvl w:val="0"/>
                <w:numId w:val="27"/>
              </w:numPr>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sz w:val="21"/>
                <w:szCs w:val="21"/>
              </w:rPr>
              <w:t>莫氏田鼠</w:t>
            </w:r>
          </w:p>
          <w:p w14:paraId="3C355452" w14:textId="77777777" w:rsidR="009D12AF" w:rsidRDefault="00000000">
            <w:pPr>
              <w:widowControl/>
              <w:spacing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hint="eastAsia"/>
                <w:i/>
                <w:iCs/>
                <w:sz w:val="21"/>
                <w:szCs w:val="21"/>
              </w:rPr>
              <w:t>Alexandromys maximowiczii</w:t>
            </w:r>
          </w:p>
        </w:tc>
        <w:tc>
          <w:tcPr>
            <w:tcW w:w="597" w:type="pct"/>
            <w:tcBorders>
              <w:tl2br w:val="nil"/>
              <w:tr2bl w:val="nil"/>
            </w:tcBorders>
            <w:vAlign w:val="center"/>
          </w:tcPr>
          <w:p w14:paraId="64F0926C"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3.4.6</w:t>
            </w:r>
          </w:p>
        </w:tc>
        <w:tc>
          <w:tcPr>
            <w:tcW w:w="598" w:type="pct"/>
            <w:tcBorders>
              <w:tl2br w:val="nil"/>
              <w:tr2bl w:val="nil"/>
            </w:tcBorders>
            <w:vAlign w:val="center"/>
          </w:tcPr>
          <w:p w14:paraId="7C2E21C2"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广布种</w:t>
            </w:r>
          </w:p>
        </w:tc>
        <w:tc>
          <w:tcPr>
            <w:tcW w:w="427" w:type="pct"/>
            <w:tcBorders>
              <w:tl2br w:val="nil"/>
              <w:tr2bl w:val="nil"/>
            </w:tcBorders>
            <w:vAlign w:val="center"/>
          </w:tcPr>
          <w:p w14:paraId="10D1F83B"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w:t>
            </w:r>
          </w:p>
        </w:tc>
        <w:tc>
          <w:tcPr>
            <w:tcW w:w="685" w:type="pct"/>
            <w:tcBorders>
              <w:tl2br w:val="nil"/>
              <w:tr2bl w:val="nil"/>
            </w:tcBorders>
            <w:vAlign w:val="center"/>
          </w:tcPr>
          <w:p w14:paraId="622CA083"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83" w:type="pct"/>
            <w:tcBorders>
              <w:tl2br w:val="nil"/>
              <w:tr2bl w:val="nil"/>
            </w:tcBorders>
            <w:vAlign w:val="center"/>
          </w:tcPr>
          <w:p w14:paraId="65169A74" w14:textId="77777777" w:rsidR="009D12AF" w:rsidRDefault="00000000">
            <w:pPr>
              <w:widowControl/>
              <w:spacing w:line="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p>
        </w:tc>
        <w:tc>
          <w:tcPr>
            <w:tcW w:w="389" w:type="pct"/>
            <w:tcBorders>
              <w:tl2br w:val="nil"/>
              <w:tr2bl w:val="nil"/>
            </w:tcBorders>
            <w:vAlign w:val="center"/>
          </w:tcPr>
          <w:p w14:paraId="2F303E51"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0ECD3321" w14:textId="77777777">
        <w:trPr>
          <w:trHeight w:val="283"/>
        </w:trPr>
        <w:tc>
          <w:tcPr>
            <w:tcW w:w="1621" w:type="pct"/>
            <w:tcBorders>
              <w:tl2br w:val="nil"/>
              <w:tr2bl w:val="nil"/>
            </w:tcBorders>
            <w:vAlign w:val="center"/>
          </w:tcPr>
          <w:p w14:paraId="11D6221E" w14:textId="77777777" w:rsidR="009D12AF" w:rsidRDefault="00000000">
            <w:pPr>
              <w:widowControl/>
              <w:numPr>
                <w:ilvl w:val="0"/>
                <w:numId w:val="27"/>
              </w:numPr>
              <w:spacing w:after="160" w:line="0" w:lineRule="atLeast"/>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黑线仓鼠</w:t>
            </w:r>
          </w:p>
          <w:p w14:paraId="5EE785B4" w14:textId="77777777" w:rsidR="009D12AF" w:rsidRDefault="00000000">
            <w:pPr>
              <w:widowControl/>
              <w:spacing w:line="0" w:lineRule="atLeast"/>
              <w:ind w:firstLineChars="0" w:firstLine="0"/>
              <w:jc w:val="left"/>
              <w:rPr>
                <w:rFonts w:ascii="Times New Roman" w:eastAsia="宋体" w:hAnsi="Times New Roman" w:cs="Times New Roman"/>
                <w:i/>
                <w:iCs/>
                <w:color w:val="000000"/>
                <w:kern w:val="0"/>
                <w:sz w:val="21"/>
                <w:szCs w:val="21"/>
              </w:rPr>
            </w:pPr>
            <w:r>
              <w:rPr>
                <w:rFonts w:ascii="Times New Roman" w:eastAsia="宋体" w:hAnsi="Times New Roman" w:cs="Times New Roman"/>
                <w:i/>
                <w:iCs/>
                <w:sz w:val="21"/>
                <w:szCs w:val="21"/>
              </w:rPr>
              <w:t>Cricetulus barabensis</w:t>
            </w:r>
          </w:p>
        </w:tc>
        <w:tc>
          <w:tcPr>
            <w:tcW w:w="597" w:type="pct"/>
            <w:tcBorders>
              <w:tl2br w:val="nil"/>
              <w:tr2bl w:val="nil"/>
            </w:tcBorders>
            <w:vAlign w:val="center"/>
          </w:tcPr>
          <w:p w14:paraId="73013C0E"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2.3.4.5.6</w:t>
            </w:r>
          </w:p>
        </w:tc>
        <w:tc>
          <w:tcPr>
            <w:tcW w:w="598" w:type="pct"/>
            <w:tcBorders>
              <w:tl2br w:val="nil"/>
              <w:tr2bl w:val="nil"/>
            </w:tcBorders>
            <w:vAlign w:val="center"/>
          </w:tcPr>
          <w:p w14:paraId="1169D3FC"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广布种</w:t>
            </w:r>
          </w:p>
        </w:tc>
        <w:tc>
          <w:tcPr>
            <w:tcW w:w="427" w:type="pct"/>
            <w:tcBorders>
              <w:tl2br w:val="nil"/>
              <w:tr2bl w:val="nil"/>
            </w:tcBorders>
            <w:vAlign w:val="center"/>
          </w:tcPr>
          <w:p w14:paraId="23F6176E"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w:t>
            </w:r>
          </w:p>
        </w:tc>
        <w:tc>
          <w:tcPr>
            <w:tcW w:w="685" w:type="pct"/>
            <w:tcBorders>
              <w:tl2br w:val="nil"/>
              <w:tr2bl w:val="nil"/>
            </w:tcBorders>
            <w:vAlign w:val="center"/>
          </w:tcPr>
          <w:p w14:paraId="32EDA93C"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83" w:type="pct"/>
            <w:tcBorders>
              <w:tl2br w:val="nil"/>
              <w:tr2bl w:val="nil"/>
            </w:tcBorders>
            <w:vAlign w:val="center"/>
          </w:tcPr>
          <w:p w14:paraId="62822734"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kern w:val="0"/>
                <w:sz w:val="21"/>
                <w:szCs w:val="21"/>
              </w:rPr>
              <w:t>————</w:t>
            </w:r>
          </w:p>
        </w:tc>
        <w:tc>
          <w:tcPr>
            <w:tcW w:w="389" w:type="pct"/>
            <w:tcBorders>
              <w:tl2br w:val="nil"/>
              <w:tr2bl w:val="nil"/>
            </w:tcBorders>
            <w:vAlign w:val="center"/>
          </w:tcPr>
          <w:p w14:paraId="3626EFE0"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无危</w:t>
            </w:r>
          </w:p>
        </w:tc>
      </w:tr>
      <w:tr w:rsidR="009D12AF" w14:paraId="393CC93D" w14:textId="77777777">
        <w:trPr>
          <w:trHeight w:val="283"/>
        </w:trPr>
        <w:tc>
          <w:tcPr>
            <w:tcW w:w="5000" w:type="pct"/>
            <w:gridSpan w:val="7"/>
            <w:tcBorders>
              <w:tl2br w:val="nil"/>
              <w:tr2bl w:val="nil"/>
            </w:tcBorders>
            <w:vAlign w:val="center"/>
          </w:tcPr>
          <w:p w14:paraId="712F28CA" w14:textId="77777777" w:rsidR="009D12AF" w:rsidRDefault="00000000">
            <w:pPr>
              <w:numPr>
                <w:ilvl w:val="0"/>
                <w:numId w:val="25"/>
              </w:numPr>
              <w:spacing w:after="160" w:line="300" w:lineRule="auto"/>
              <w:ind w:firstLineChars="0" w:firstLine="0"/>
              <w:jc w:val="left"/>
              <w:rPr>
                <w:rFonts w:ascii="Times New Roman" w:eastAsia="宋体" w:hAnsi="Times New Roman" w:cs="Times New Roman"/>
                <w:sz w:val="21"/>
                <w:szCs w:val="21"/>
              </w:rPr>
            </w:pPr>
            <w:r>
              <w:rPr>
                <w:rFonts w:ascii="Times New Roman" w:eastAsia="宋体" w:hAnsi="Times New Roman" w:cs="Times New Roman"/>
                <w:b/>
                <w:bCs/>
                <w:color w:val="000000"/>
                <w:sz w:val="21"/>
                <w:szCs w:val="21"/>
                <w:lang w:bidi="ar"/>
              </w:rPr>
              <w:t>偶蹄目</w:t>
            </w:r>
            <w:r>
              <w:rPr>
                <w:rFonts w:ascii="Times New Roman" w:eastAsia="宋体" w:hAnsi="Times New Roman" w:cs="Times New Roman"/>
                <w:b/>
                <w:bCs/>
                <w:color w:val="000000"/>
                <w:sz w:val="21"/>
                <w:szCs w:val="21"/>
                <w:lang w:bidi="ar"/>
              </w:rPr>
              <w:t xml:space="preserve"> </w:t>
            </w:r>
            <w:r>
              <w:rPr>
                <w:rFonts w:ascii="Times New Roman" w:eastAsia="宋体" w:hAnsi="Times New Roman" w:cs="Times New Roman"/>
                <w:b/>
                <w:sz w:val="21"/>
                <w:szCs w:val="21"/>
              </w:rPr>
              <w:t>ARTIODACTYLA</w:t>
            </w:r>
          </w:p>
        </w:tc>
      </w:tr>
      <w:tr w:rsidR="009D12AF" w14:paraId="7F5297DB" w14:textId="77777777">
        <w:trPr>
          <w:trHeight w:val="283"/>
        </w:trPr>
        <w:tc>
          <w:tcPr>
            <w:tcW w:w="5000" w:type="pct"/>
            <w:gridSpan w:val="7"/>
            <w:tcBorders>
              <w:tl2br w:val="nil"/>
              <w:tr2bl w:val="nil"/>
            </w:tcBorders>
            <w:vAlign w:val="center"/>
          </w:tcPr>
          <w:p w14:paraId="6C010CBD" w14:textId="77777777" w:rsidR="009D12AF" w:rsidRDefault="00000000">
            <w:pPr>
              <w:numPr>
                <w:ilvl w:val="0"/>
                <w:numId w:val="26"/>
              </w:numPr>
              <w:spacing w:after="160" w:line="0" w:lineRule="atLeast"/>
              <w:ind w:firstLineChars="0" w:firstLine="0"/>
              <w:jc w:val="left"/>
              <w:rPr>
                <w:rFonts w:ascii="Times New Roman" w:eastAsia="宋体" w:hAnsi="Times New Roman" w:cs="Times New Roman"/>
                <w:b/>
                <w:bCs/>
                <w:color w:val="000000"/>
                <w:sz w:val="21"/>
                <w:szCs w:val="21"/>
                <w:lang w:bidi="ar"/>
              </w:rPr>
            </w:pPr>
            <w:r>
              <w:rPr>
                <w:rFonts w:ascii="Times New Roman" w:eastAsia="宋体" w:hAnsi="Times New Roman" w:cs="Times New Roman"/>
                <w:b/>
                <w:bCs/>
                <w:color w:val="000000"/>
                <w:sz w:val="21"/>
                <w:szCs w:val="21"/>
                <w:lang w:bidi="ar"/>
              </w:rPr>
              <w:t>猪科</w:t>
            </w:r>
            <w:r>
              <w:rPr>
                <w:rFonts w:ascii="Times New Roman" w:eastAsia="宋体" w:hAnsi="Times New Roman" w:cs="Times New Roman"/>
                <w:color w:val="000000"/>
                <w:sz w:val="21"/>
                <w:szCs w:val="21"/>
                <w:lang w:bidi="ar"/>
              </w:rPr>
              <w:t xml:space="preserve"> </w:t>
            </w:r>
            <w:r>
              <w:rPr>
                <w:rFonts w:ascii="Times New Roman" w:eastAsia="宋体" w:hAnsi="Times New Roman" w:cs="Times New Roman"/>
                <w:b/>
                <w:bCs/>
                <w:color w:val="333333"/>
                <w:sz w:val="21"/>
                <w:szCs w:val="21"/>
                <w:shd w:val="clear" w:color="auto" w:fill="FFFFFF"/>
              </w:rPr>
              <w:t>Suidae</w:t>
            </w:r>
          </w:p>
        </w:tc>
      </w:tr>
      <w:tr w:rsidR="009D12AF" w14:paraId="20AA3CEE" w14:textId="77777777">
        <w:trPr>
          <w:trHeight w:val="283"/>
        </w:trPr>
        <w:tc>
          <w:tcPr>
            <w:tcW w:w="1621" w:type="pct"/>
            <w:tcBorders>
              <w:tl2br w:val="nil"/>
              <w:tr2bl w:val="nil"/>
            </w:tcBorders>
            <w:vAlign w:val="center"/>
          </w:tcPr>
          <w:p w14:paraId="1E98ADAA" w14:textId="77777777" w:rsidR="009D12AF" w:rsidRDefault="00000000">
            <w:pPr>
              <w:widowControl/>
              <w:numPr>
                <w:ilvl w:val="0"/>
                <w:numId w:val="27"/>
              </w:numPr>
              <w:spacing w:after="160" w:line="0" w:lineRule="atLeast"/>
              <w:ind w:firstLineChars="0" w:firstLine="0"/>
              <w:jc w:val="left"/>
              <w:rPr>
                <w:rFonts w:ascii="Times New Roman" w:eastAsia="宋体" w:hAnsi="Times New Roman" w:cs="Times New Roman"/>
                <w:sz w:val="21"/>
                <w:szCs w:val="21"/>
              </w:rPr>
            </w:pPr>
            <w:r>
              <w:rPr>
                <w:rFonts w:ascii="Times New Roman" w:eastAsia="宋体" w:hAnsi="Times New Roman" w:cs="Times New Roman"/>
                <w:sz w:val="21"/>
                <w:szCs w:val="21"/>
              </w:rPr>
              <w:t>野猪</w:t>
            </w:r>
          </w:p>
          <w:p w14:paraId="624B0508" w14:textId="77777777" w:rsidR="009D12AF" w:rsidRDefault="00000000">
            <w:pPr>
              <w:widowControl/>
              <w:spacing w:line="0" w:lineRule="atLeast"/>
              <w:ind w:firstLineChars="0" w:firstLine="0"/>
              <w:jc w:val="left"/>
              <w:rPr>
                <w:rFonts w:ascii="Times New Roman" w:eastAsia="宋体" w:hAnsi="Times New Roman" w:cs="Times New Roman"/>
                <w:i/>
                <w:iCs/>
                <w:sz w:val="21"/>
                <w:szCs w:val="21"/>
              </w:rPr>
            </w:pPr>
            <w:r>
              <w:rPr>
                <w:rFonts w:ascii="Times New Roman" w:eastAsia="宋体" w:hAnsi="Times New Roman" w:cs="Times New Roman"/>
                <w:i/>
                <w:iCs/>
                <w:sz w:val="21"/>
                <w:szCs w:val="21"/>
              </w:rPr>
              <w:t>Sus scrofa</w:t>
            </w:r>
          </w:p>
        </w:tc>
        <w:tc>
          <w:tcPr>
            <w:tcW w:w="597" w:type="pct"/>
            <w:tcBorders>
              <w:tl2br w:val="nil"/>
              <w:tr2bl w:val="nil"/>
            </w:tcBorders>
            <w:vAlign w:val="center"/>
          </w:tcPr>
          <w:p w14:paraId="730CFF89"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3.4.5</w:t>
            </w:r>
          </w:p>
        </w:tc>
        <w:tc>
          <w:tcPr>
            <w:tcW w:w="598" w:type="pct"/>
            <w:tcBorders>
              <w:tl2br w:val="nil"/>
              <w:tr2bl w:val="nil"/>
            </w:tcBorders>
            <w:vAlign w:val="center"/>
          </w:tcPr>
          <w:p w14:paraId="54B41FBB"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广布种</w:t>
            </w:r>
          </w:p>
        </w:tc>
        <w:tc>
          <w:tcPr>
            <w:tcW w:w="427" w:type="pct"/>
            <w:tcBorders>
              <w:tl2br w:val="nil"/>
              <w:tr2bl w:val="nil"/>
            </w:tcBorders>
            <w:vAlign w:val="center"/>
          </w:tcPr>
          <w:p w14:paraId="1D32379B"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w:t>
            </w:r>
          </w:p>
        </w:tc>
        <w:tc>
          <w:tcPr>
            <w:tcW w:w="685" w:type="pct"/>
            <w:tcBorders>
              <w:tl2br w:val="nil"/>
              <w:tr2bl w:val="nil"/>
            </w:tcBorders>
            <w:vAlign w:val="center"/>
          </w:tcPr>
          <w:p w14:paraId="2A8BF3A7"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83" w:type="pct"/>
            <w:tcBorders>
              <w:tl2br w:val="nil"/>
              <w:tr2bl w:val="nil"/>
            </w:tcBorders>
            <w:vAlign w:val="center"/>
          </w:tcPr>
          <w:p w14:paraId="560F05F0"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389" w:type="pct"/>
            <w:tcBorders>
              <w:tl2br w:val="nil"/>
              <w:tr2bl w:val="nil"/>
            </w:tcBorders>
            <w:vAlign w:val="center"/>
          </w:tcPr>
          <w:p w14:paraId="1963B1D7"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无危</w:t>
            </w:r>
          </w:p>
        </w:tc>
      </w:tr>
      <w:tr w:rsidR="009D12AF" w14:paraId="435FF885" w14:textId="77777777">
        <w:trPr>
          <w:trHeight w:val="283"/>
        </w:trPr>
        <w:tc>
          <w:tcPr>
            <w:tcW w:w="5000" w:type="pct"/>
            <w:gridSpan w:val="7"/>
            <w:tcBorders>
              <w:tl2br w:val="nil"/>
              <w:tr2bl w:val="nil"/>
            </w:tcBorders>
            <w:vAlign w:val="center"/>
          </w:tcPr>
          <w:p w14:paraId="3DF0364D" w14:textId="77777777" w:rsidR="009D12AF" w:rsidRDefault="00000000">
            <w:pPr>
              <w:numPr>
                <w:ilvl w:val="0"/>
                <w:numId w:val="26"/>
              </w:numPr>
              <w:spacing w:after="160" w:line="0" w:lineRule="atLeast"/>
              <w:ind w:firstLineChars="0" w:firstLine="0"/>
              <w:jc w:val="left"/>
              <w:rPr>
                <w:rFonts w:ascii="Times New Roman" w:eastAsia="宋体" w:hAnsi="Times New Roman" w:cs="Times New Roman"/>
                <w:b/>
                <w:bCs/>
                <w:color w:val="000000"/>
                <w:sz w:val="21"/>
                <w:szCs w:val="21"/>
                <w:lang w:bidi="ar"/>
              </w:rPr>
            </w:pPr>
            <w:r>
              <w:rPr>
                <w:rFonts w:ascii="Times New Roman" w:eastAsia="宋体" w:hAnsi="Times New Roman" w:cs="Times New Roman"/>
                <w:b/>
                <w:bCs/>
                <w:color w:val="000000"/>
                <w:sz w:val="21"/>
                <w:szCs w:val="21"/>
                <w:lang w:bidi="ar"/>
              </w:rPr>
              <w:t>鹿科</w:t>
            </w:r>
            <w:r>
              <w:rPr>
                <w:rFonts w:ascii="Times New Roman" w:eastAsia="宋体" w:hAnsi="Times New Roman" w:cs="Times New Roman"/>
                <w:color w:val="000000"/>
                <w:sz w:val="21"/>
                <w:szCs w:val="21"/>
                <w:lang w:bidi="ar"/>
              </w:rPr>
              <w:t xml:space="preserve"> </w:t>
            </w:r>
            <w:r>
              <w:rPr>
                <w:rFonts w:ascii="Times New Roman" w:eastAsia="宋体" w:hAnsi="Times New Roman" w:cs="Times New Roman"/>
                <w:b/>
                <w:bCs/>
                <w:color w:val="333333"/>
                <w:sz w:val="21"/>
                <w:szCs w:val="21"/>
                <w:shd w:val="clear" w:color="auto" w:fill="FFFFFF"/>
              </w:rPr>
              <w:t>Cervidae</w:t>
            </w:r>
          </w:p>
        </w:tc>
      </w:tr>
      <w:tr w:rsidR="009D12AF" w14:paraId="5344194E" w14:textId="77777777">
        <w:trPr>
          <w:trHeight w:val="283"/>
        </w:trPr>
        <w:tc>
          <w:tcPr>
            <w:tcW w:w="1621" w:type="pct"/>
            <w:tcBorders>
              <w:tl2br w:val="nil"/>
              <w:tr2bl w:val="nil"/>
            </w:tcBorders>
            <w:vAlign w:val="center"/>
          </w:tcPr>
          <w:p w14:paraId="53CDEA45" w14:textId="77777777" w:rsidR="009D12AF" w:rsidRDefault="00000000">
            <w:pPr>
              <w:widowControl/>
              <w:numPr>
                <w:ilvl w:val="0"/>
                <w:numId w:val="27"/>
              </w:numPr>
              <w:spacing w:after="160" w:line="0" w:lineRule="atLeast"/>
              <w:ind w:firstLineChars="0" w:firstLine="0"/>
              <w:jc w:val="left"/>
              <w:rPr>
                <w:rFonts w:ascii="Times New Roman" w:eastAsia="宋体" w:hAnsi="Times New Roman" w:cs="Times New Roman"/>
                <w:sz w:val="21"/>
                <w:szCs w:val="21"/>
              </w:rPr>
            </w:pPr>
            <w:bookmarkStart w:id="319" w:name="_Hlk207117785"/>
            <w:r>
              <w:rPr>
                <w:rFonts w:ascii="Times New Roman" w:eastAsia="宋体" w:hAnsi="Times New Roman" w:cs="Times New Roman"/>
                <w:sz w:val="21"/>
                <w:szCs w:val="21"/>
              </w:rPr>
              <w:t>狍</w:t>
            </w:r>
            <w:bookmarkEnd w:id="319"/>
            <w:r>
              <w:rPr>
                <w:rFonts w:ascii="Times New Roman" w:eastAsia="宋体" w:hAnsi="Times New Roman" w:cs="Times New Roman"/>
                <w:sz w:val="21"/>
                <w:szCs w:val="21"/>
              </w:rPr>
              <w:br/>
            </w:r>
            <w:r>
              <w:rPr>
                <w:rFonts w:ascii="Times New Roman" w:eastAsia="宋体" w:hAnsi="Times New Roman" w:cs="Times New Roman" w:hint="eastAsia"/>
                <w:i/>
                <w:iCs/>
                <w:sz w:val="21"/>
                <w:szCs w:val="21"/>
              </w:rPr>
              <w:t>Capreolus pygargus</w:t>
            </w:r>
          </w:p>
        </w:tc>
        <w:tc>
          <w:tcPr>
            <w:tcW w:w="597" w:type="pct"/>
            <w:tcBorders>
              <w:tl2br w:val="nil"/>
              <w:tr2bl w:val="nil"/>
            </w:tcBorders>
            <w:vAlign w:val="center"/>
          </w:tcPr>
          <w:p w14:paraId="1DA13EBF"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2.3.4</w:t>
            </w:r>
          </w:p>
        </w:tc>
        <w:tc>
          <w:tcPr>
            <w:tcW w:w="598" w:type="pct"/>
            <w:tcBorders>
              <w:tl2br w:val="nil"/>
              <w:tr2bl w:val="nil"/>
            </w:tcBorders>
            <w:vAlign w:val="center"/>
          </w:tcPr>
          <w:p w14:paraId="4DF0EB85"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color w:val="000000"/>
                <w:sz w:val="21"/>
                <w:szCs w:val="21"/>
                <w:lang w:bidi="ar"/>
              </w:rPr>
              <w:t>古北种</w:t>
            </w:r>
          </w:p>
        </w:tc>
        <w:tc>
          <w:tcPr>
            <w:tcW w:w="427" w:type="pct"/>
            <w:tcBorders>
              <w:tl2br w:val="nil"/>
              <w:tr2bl w:val="nil"/>
            </w:tcBorders>
            <w:vAlign w:val="center"/>
          </w:tcPr>
          <w:p w14:paraId="2E8827C2" w14:textId="77777777" w:rsidR="009D12AF" w:rsidRDefault="00000000">
            <w:pPr>
              <w:widowControl/>
              <w:spacing w:line="0" w:lineRule="atLeast"/>
              <w:ind w:firstLineChars="0" w:firstLine="0"/>
              <w:jc w:val="center"/>
              <w:rPr>
                <w:rFonts w:ascii="Times New Roman" w:eastAsia="宋体" w:hAnsi="Times New Roman" w:cs="Times New Roman"/>
                <w:color w:val="000000"/>
                <w:sz w:val="21"/>
                <w:szCs w:val="21"/>
                <w:lang w:bidi="ar"/>
              </w:rPr>
            </w:pPr>
            <w:r>
              <w:rPr>
                <w:rFonts w:ascii="Times New Roman" w:eastAsia="宋体" w:hAnsi="Times New Roman" w:cs="Times New Roman"/>
                <w:sz w:val="21"/>
                <w:szCs w:val="21"/>
              </w:rPr>
              <w:t>+</w:t>
            </w:r>
            <w:r>
              <w:rPr>
                <w:rFonts w:ascii="Times New Roman" w:eastAsia="宋体" w:hAnsi="Times New Roman" w:cs="Times New Roman"/>
                <w:color w:val="000000"/>
                <w:sz w:val="21"/>
                <w:szCs w:val="21"/>
                <w:lang w:bidi="ar"/>
              </w:rPr>
              <w:t>+</w:t>
            </w:r>
          </w:p>
        </w:tc>
        <w:tc>
          <w:tcPr>
            <w:tcW w:w="685" w:type="pct"/>
            <w:tcBorders>
              <w:tl2br w:val="nil"/>
              <w:tr2bl w:val="nil"/>
            </w:tcBorders>
            <w:vAlign w:val="center"/>
          </w:tcPr>
          <w:p w14:paraId="3869FA2B" w14:textId="77777777" w:rsidR="009D12AF" w:rsidRDefault="00000000">
            <w:pPr>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访问资料</w:t>
            </w:r>
          </w:p>
        </w:tc>
        <w:tc>
          <w:tcPr>
            <w:tcW w:w="683" w:type="pct"/>
            <w:tcBorders>
              <w:tl2br w:val="nil"/>
              <w:tr2bl w:val="nil"/>
            </w:tcBorders>
            <w:vAlign w:val="center"/>
          </w:tcPr>
          <w:p w14:paraId="54AF2268"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kern w:val="0"/>
                <w:sz w:val="21"/>
                <w:szCs w:val="21"/>
              </w:rPr>
              <w:t>————</w:t>
            </w:r>
          </w:p>
        </w:tc>
        <w:tc>
          <w:tcPr>
            <w:tcW w:w="389" w:type="pct"/>
            <w:tcBorders>
              <w:tl2br w:val="nil"/>
              <w:tr2bl w:val="nil"/>
            </w:tcBorders>
            <w:vAlign w:val="center"/>
          </w:tcPr>
          <w:p w14:paraId="5DC7C101" w14:textId="77777777" w:rsidR="009D12AF" w:rsidRDefault="00000000">
            <w:pPr>
              <w:widowControl/>
              <w:spacing w:line="0" w:lineRule="atLeast"/>
              <w:ind w:firstLineChars="0" w:firstLine="0"/>
              <w:jc w:val="center"/>
              <w:rPr>
                <w:rFonts w:ascii="Times New Roman" w:eastAsia="宋体" w:hAnsi="Times New Roman" w:cs="Times New Roman"/>
                <w:sz w:val="21"/>
                <w:szCs w:val="21"/>
              </w:rPr>
            </w:pPr>
            <w:r>
              <w:rPr>
                <w:rFonts w:ascii="Times New Roman" w:eastAsia="宋体" w:hAnsi="Times New Roman" w:cs="Times New Roman"/>
                <w:sz w:val="21"/>
                <w:szCs w:val="21"/>
              </w:rPr>
              <w:t>近危</w:t>
            </w:r>
          </w:p>
        </w:tc>
      </w:tr>
    </w:tbl>
    <w:p w14:paraId="768BAC49" w14:textId="77777777" w:rsidR="009D12AF" w:rsidRDefault="00000000">
      <w:pPr>
        <w:ind w:firstLine="360"/>
        <w:rPr>
          <w:rFonts w:ascii="宋体" w:eastAsia="宋体" w:hAnsi="宋体" w:cs="Times New Roman" w:hint="eastAsia"/>
          <w:sz w:val="18"/>
          <w:szCs w:val="18"/>
        </w:rPr>
      </w:pPr>
      <w:r>
        <w:rPr>
          <w:rFonts w:ascii="宋体" w:eastAsia="宋体" w:hAnsi="宋体" w:cs="Times New Roman" w:hint="eastAsia"/>
          <w:sz w:val="18"/>
          <w:szCs w:val="18"/>
        </w:rPr>
        <w:t>注：</w:t>
      </w:r>
      <w:r>
        <w:rPr>
          <w:rFonts w:ascii="宋体" w:eastAsia="宋体" w:hAnsi="宋体" w:cs="Times New Roman"/>
          <w:sz w:val="18"/>
          <w:szCs w:val="18"/>
        </w:rPr>
        <w:t>生境</w:t>
      </w:r>
      <w:r>
        <w:rPr>
          <w:rFonts w:ascii="宋体" w:eastAsia="宋体" w:hAnsi="宋体" w:cs="Times New Roman" w:hint="eastAsia"/>
          <w:sz w:val="18"/>
          <w:szCs w:val="18"/>
        </w:rPr>
        <w:t>：</w:t>
      </w:r>
      <w:r>
        <w:rPr>
          <w:rFonts w:ascii="宋体" w:eastAsia="宋体" w:hAnsi="宋体" w:cs="Times New Roman"/>
          <w:sz w:val="18"/>
          <w:szCs w:val="18"/>
        </w:rPr>
        <w:t>1—水域；2—沼泽；3—草甸；4—林地；5—农田； 6—居民区。</w:t>
      </w:r>
    </w:p>
    <w:p w14:paraId="675D5C63" w14:textId="77777777" w:rsidR="009D12AF" w:rsidRDefault="00000000">
      <w:pPr>
        <w:spacing w:after="160" w:line="300" w:lineRule="auto"/>
        <w:ind w:firstLine="360"/>
        <w:jc w:val="left"/>
        <w:rPr>
          <w:rFonts w:ascii="宋体" w:eastAsia="宋体" w:hAnsi="宋体" w:cs="Times New Roman" w:hint="eastAsia"/>
          <w:sz w:val="18"/>
          <w:szCs w:val="18"/>
        </w:rPr>
      </w:pPr>
      <w:r>
        <w:rPr>
          <w:rFonts w:ascii="宋体" w:eastAsia="宋体" w:hAnsi="宋体" w:cs="Times New Roman"/>
          <w:sz w:val="18"/>
          <w:szCs w:val="18"/>
        </w:rPr>
        <w:t>数量</w:t>
      </w:r>
      <w:r>
        <w:rPr>
          <w:rFonts w:ascii="宋体" w:eastAsia="宋体" w:hAnsi="宋体" w:cs="Times New Roman" w:hint="eastAsia"/>
          <w:sz w:val="18"/>
          <w:szCs w:val="18"/>
        </w:rPr>
        <w:t>：</w:t>
      </w:r>
      <w:r>
        <w:rPr>
          <w:rFonts w:ascii="宋体" w:eastAsia="宋体" w:hAnsi="宋体" w:cs="Times New Roman"/>
          <w:sz w:val="18"/>
          <w:szCs w:val="18"/>
        </w:rPr>
        <w:t>+++—优势种；  ++—常见种；  +—稀有种。</w:t>
      </w:r>
    </w:p>
    <w:p w14:paraId="03AE2327" w14:textId="77777777" w:rsidR="009D12AF" w:rsidRDefault="00000000">
      <w:pPr>
        <w:spacing w:after="160" w:line="300" w:lineRule="auto"/>
        <w:ind w:firstLine="480"/>
        <w:jc w:val="left"/>
        <w:rPr>
          <w:rFonts w:ascii="Times New Roman" w:eastAsia="宋体" w:hAnsi="Times New Roman" w:cs="Times New Roman"/>
        </w:rPr>
      </w:pPr>
      <w:r>
        <w:rPr>
          <w:rFonts w:ascii="Times New Roman" w:eastAsia="宋体" w:hAnsi="Times New Roman" w:cs="Times New Roman" w:hint="eastAsia"/>
        </w:rPr>
        <w:t>b</w:t>
      </w:r>
      <w:r>
        <w:rPr>
          <w:rFonts w:ascii="Times New Roman" w:eastAsia="宋体" w:hAnsi="Times New Roman" w:cs="Times New Roman"/>
        </w:rPr>
        <w:t>.</w:t>
      </w:r>
      <w:r>
        <w:rPr>
          <w:rFonts w:ascii="Times New Roman" w:eastAsia="宋体" w:hAnsi="Times New Roman" w:cs="Times New Roman" w:hint="eastAsia"/>
        </w:rPr>
        <w:t>生活类型</w:t>
      </w:r>
    </w:p>
    <w:p w14:paraId="4A8732D5"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根据生活习性的不同，将上述种类分为以下</w:t>
      </w:r>
      <w:r>
        <w:rPr>
          <w:rFonts w:ascii="Times New Roman" w:eastAsia="宋体" w:hAnsi="Times New Roman" w:cs="Times New Roman" w:hint="eastAsia"/>
        </w:rPr>
        <w:t>3</w:t>
      </w:r>
      <w:r>
        <w:rPr>
          <w:rFonts w:ascii="Times New Roman" w:eastAsia="宋体" w:hAnsi="Times New Roman" w:cs="Times New Roman" w:hint="eastAsia"/>
        </w:rPr>
        <w:t>种生活类型：</w:t>
      </w:r>
    </w:p>
    <w:p w14:paraId="3FB600E7"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地下生活型</w:t>
      </w:r>
      <w:r>
        <w:rPr>
          <w:rFonts w:ascii="Times New Roman" w:eastAsia="宋体" w:hAnsi="Times New Roman" w:cs="Times New Roman" w:hint="eastAsia"/>
        </w:rPr>
        <w:t>(</w:t>
      </w:r>
      <w:r>
        <w:rPr>
          <w:rFonts w:ascii="Times New Roman" w:eastAsia="宋体" w:hAnsi="Times New Roman" w:cs="Times New Roman" w:hint="eastAsia"/>
        </w:rPr>
        <w:t>在地下打洞生活，也到地面活动，以昆虫为食</w:t>
      </w:r>
      <w:r>
        <w:rPr>
          <w:rFonts w:ascii="Times New Roman" w:eastAsia="宋体" w:hAnsi="Times New Roman" w:cs="Times New Roman" w:hint="eastAsia"/>
        </w:rPr>
        <w:t>)</w:t>
      </w:r>
      <w:r>
        <w:rPr>
          <w:rFonts w:ascii="Times New Roman" w:eastAsia="宋体" w:hAnsi="Times New Roman" w:cs="Times New Roman" w:hint="eastAsia"/>
        </w:rPr>
        <w:t>：有中鼩鼱、远东刺猬</w:t>
      </w:r>
      <w:r>
        <w:rPr>
          <w:rFonts w:ascii="Times New Roman" w:eastAsia="宋体" w:hAnsi="Times New Roman" w:cs="Times New Roman" w:hint="eastAsia"/>
        </w:rPr>
        <w:t>2</w:t>
      </w:r>
      <w:r>
        <w:rPr>
          <w:rFonts w:ascii="Times New Roman" w:eastAsia="宋体" w:hAnsi="Times New Roman" w:cs="Times New Roman" w:hint="eastAsia"/>
        </w:rPr>
        <w:t>种，主要分布在项目所在区的草丛下，多在地下洞穴活动。</w:t>
      </w:r>
      <w:r>
        <w:rPr>
          <w:rFonts w:ascii="Times New Roman" w:eastAsia="宋体" w:hAnsi="Times New Roman" w:cs="Times New Roman" w:hint="eastAsia"/>
        </w:rPr>
        <w:t xml:space="preserve"> </w:t>
      </w:r>
    </w:p>
    <w:p w14:paraId="444D6A7F"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半地下生活型</w:t>
      </w:r>
      <w:r>
        <w:rPr>
          <w:rFonts w:ascii="Times New Roman" w:eastAsia="宋体" w:hAnsi="Times New Roman" w:cs="Times New Roman" w:hint="eastAsia"/>
        </w:rPr>
        <w:t>(</w:t>
      </w:r>
      <w:r>
        <w:rPr>
          <w:rFonts w:ascii="Times New Roman" w:eastAsia="宋体" w:hAnsi="Times New Roman" w:cs="Times New Roman" w:hint="eastAsia"/>
        </w:rPr>
        <w:t>穴居型，主要在地面活动觅食，栖息、避敌于洞穴中，有的也在地下寻找食物</w:t>
      </w:r>
      <w:r>
        <w:rPr>
          <w:rFonts w:ascii="Times New Roman" w:eastAsia="宋体" w:hAnsi="Times New Roman" w:cs="Times New Roman" w:hint="eastAsia"/>
        </w:rPr>
        <w:t>)</w:t>
      </w:r>
      <w:r>
        <w:rPr>
          <w:rFonts w:ascii="Times New Roman" w:eastAsia="宋体" w:hAnsi="Times New Roman" w:cs="Times New Roman" w:hint="eastAsia"/>
        </w:rPr>
        <w:t>：有香鼬、黄鼬、黑线姬鼠、巢鼠</w:t>
      </w:r>
      <w:r>
        <w:rPr>
          <w:rFonts w:ascii="Times New Roman" w:eastAsia="宋体" w:hAnsi="Times New Roman" w:cs="Times New Roman"/>
        </w:rPr>
        <w:t>4</w:t>
      </w:r>
      <w:r>
        <w:rPr>
          <w:rFonts w:ascii="Times New Roman" w:eastAsia="宋体" w:hAnsi="Times New Roman" w:cs="Times New Roman" w:hint="eastAsia"/>
        </w:rPr>
        <w:t>种。主要分布在项目所</w:t>
      </w:r>
      <w:r>
        <w:rPr>
          <w:rFonts w:ascii="Times New Roman" w:eastAsia="宋体" w:hAnsi="Times New Roman" w:cs="Times New Roman" w:hint="eastAsia"/>
        </w:rPr>
        <w:lastRenderedPageBreak/>
        <w:t>在区的农田、居民点及林地中。</w:t>
      </w:r>
      <w:r>
        <w:rPr>
          <w:rFonts w:ascii="Times New Roman" w:eastAsia="宋体" w:hAnsi="Times New Roman" w:cs="Times New Roman" w:hint="eastAsia"/>
        </w:rPr>
        <w:t xml:space="preserve"> </w:t>
      </w:r>
    </w:p>
    <w:p w14:paraId="68FB5609"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地面生活型</w:t>
      </w:r>
      <w:r>
        <w:rPr>
          <w:rFonts w:ascii="Times New Roman" w:eastAsia="宋体" w:hAnsi="Times New Roman" w:cs="Times New Roman" w:hint="eastAsia"/>
        </w:rPr>
        <w:t>(</w:t>
      </w:r>
      <w:r>
        <w:rPr>
          <w:rFonts w:ascii="Times New Roman" w:eastAsia="宋体" w:hAnsi="Times New Roman" w:cs="Times New Roman" w:hint="eastAsia"/>
        </w:rPr>
        <w:t>主要在地面上活动、觅食</w:t>
      </w:r>
      <w:r>
        <w:rPr>
          <w:rFonts w:ascii="Times New Roman" w:eastAsia="宋体" w:hAnsi="Times New Roman" w:cs="Times New Roman" w:hint="eastAsia"/>
        </w:rPr>
        <w:t>)</w:t>
      </w:r>
      <w:r>
        <w:rPr>
          <w:rFonts w:ascii="Times New Roman" w:eastAsia="宋体" w:hAnsi="Times New Roman" w:cs="Times New Roman" w:hint="eastAsia"/>
        </w:rPr>
        <w:t>：包括伊氏鼠耳蝠、东北兔、松鼠、花鼠、褐家鼠、狍等</w:t>
      </w:r>
      <w:r>
        <w:rPr>
          <w:rFonts w:ascii="Times New Roman" w:eastAsia="宋体" w:hAnsi="Times New Roman" w:cs="Times New Roman"/>
        </w:rPr>
        <w:t>12</w:t>
      </w:r>
      <w:r>
        <w:rPr>
          <w:rFonts w:ascii="Times New Roman" w:eastAsia="宋体" w:hAnsi="Times New Roman" w:cs="Times New Roman" w:hint="eastAsia"/>
        </w:rPr>
        <w:t>种。主要分布于农田、山地林区及林下灌丛。</w:t>
      </w:r>
    </w:p>
    <w:tbl>
      <w:tblPr>
        <w:tblW w:w="78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3869"/>
        <w:gridCol w:w="3981"/>
      </w:tblGrid>
      <w:tr w:rsidR="009D12AF" w14:paraId="02CD39C6" w14:textId="77777777">
        <w:trPr>
          <w:jc w:val="center"/>
        </w:trPr>
        <w:tc>
          <w:tcPr>
            <w:tcW w:w="3869" w:type="dxa"/>
            <w:vAlign w:val="center"/>
          </w:tcPr>
          <w:p w14:paraId="0D20978D" w14:textId="77777777" w:rsidR="009D12AF" w:rsidRDefault="00000000">
            <w:pPr>
              <w:widowControl/>
              <w:adjustRightInd w:val="0"/>
              <w:snapToGrid w:val="0"/>
              <w:spacing w:after="160"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noProof/>
                <w:kern w:val="0"/>
                <w:sz w:val="21"/>
                <w:szCs w:val="21"/>
              </w:rPr>
              <w:drawing>
                <wp:inline distT="0" distB="0" distL="0" distR="0" wp14:anchorId="26078F4A" wp14:editId="0D67BA4E">
                  <wp:extent cx="2053590" cy="1922780"/>
                  <wp:effectExtent l="0" t="0" r="3810" b="1270"/>
                  <wp:docPr id="243" name="图片 243" descr="D:\wechat\WeChat Files\wxid_64oexhg28eoa22\FileStorage\Temp\fd1c670ce3e94bdb326c1c93a6843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D:\wechat\WeChat Files\wxid_64oexhg28eoa22\FileStorage\Temp\fd1c670ce3e94bdb326c1c93a6843ca.png"/>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a:xfrm>
                            <a:off x="0" y="0"/>
                            <a:ext cx="2081669" cy="1948785"/>
                          </a:xfrm>
                          <a:prstGeom prst="rect">
                            <a:avLst/>
                          </a:prstGeom>
                          <a:noFill/>
                          <a:ln>
                            <a:noFill/>
                          </a:ln>
                        </pic:spPr>
                      </pic:pic>
                    </a:graphicData>
                  </a:graphic>
                </wp:inline>
              </w:drawing>
            </w:r>
          </w:p>
        </w:tc>
        <w:tc>
          <w:tcPr>
            <w:tcW w:w="3981" w:type="dxa"/>
            <w:vAlign w:val="center"/>
          </w:tcPr>
          <w:p w14:paraId="3662AE80" w14:textId="77777777" w:rsidR="009D12AF" w:rsidRDefault="00000000">
            <w:pPr>
              <w:widowControl/>
              <w:adjustRightInd w:val="0"/>
              <w:snapToGrid w:val="0"/>
              <w:spacing w:after="160"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noProof/>
                <w:sz w:val="21"/>
                <w:szCs w:val="21"/>
              </w:rPr>
              <w:drawing>
                <wp:inline distT="0" distB="0" distL="0" distR="0" wp14:anchorId="1DAD338B" wp14:editId="2AA8162E">
                  <wp:extent cx="2396490" cy="1886585"/>
                  <wp:effectExtent l="0" t="0" r="3810" b="18415"/>
                  <wp:docPr id="244" name="图片 244" descr="https://d00.paixin.com/thumbs/2550333/31108077/staff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https://d00.paixin.com/thumbs/2550333/31108077/staff_1024.jpg"/>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a:xfrm rot="10800000" flipV="1">
                            <a:off x="0" y="0"/>
                            <a:ext cx="2443454" cy="1923282"/>
                          </a:xfrm>
                          <a:prstGeom prst="rect">
                            <a:avLst/>
                          </a:prstGeom>
                          <a:noFill/>
                          <a:ln>
                            <a:noFill/>
                          </a:ln>
                        </pic:spPr>
                      </pic:pic>
                    </a:graphicData>
                  </a:graphic>
                </wp:inline>
              </w:drawing>
            </w:r>
          </w:p>
        </w:tc>
      </w:tr>
      <w:tr w:rsidR="009D12AF" w14:paraId="696965EE" w14:textId="77777777">
        <w:trPr>
          <w:jc w:val="center"/>
        </w:trPr>
        <w:tc>
          <w:tcPr>
            <w:tcW w:w="3869" w:type="dxa"/>
            <w:vAlign w:val="center"/>
          </w:tcPr>
          <w:p w14:paraId="162E092B" w14:textId="77777777" w:rsidR="009D12AF" w:rsidRDefault="00000000">
            <w:pPr>
              <w:widowControl/>
              <w:adjustRightInd w:val="0"/>
              <w:snapToGrid w:val="0"/>
              <w:spacing w:after="160" w:line="360" w:lineRule="atLeast"/>
              <w:ind w:firstLineChars="0" w:firstLine="0"/>
              <w:jc w:val="center"/>
              <w:rPr>
                <w:rFonts w:ascii="Times New Roman" w:eastAsia="宋体" w:hAnsi="Times New Roman" w:cs="Times New Roman"/>
                <w:color w:val="FF0000"/>
                <w:kern w:val="0"/>
                <w:sz w:val="21"/>
                <w:szCs w:val="21"/>
              </w:rPr>
            </w:pPr>
            <w:r>
              <w:rPr>
                <w:rFonts w:ascii="Times New Roman" w:eastAsia="宋体" w:hAnsi="Times New Roman" w:cs="Times New Roman" w:hint="eastAsia"/>
                <w:kern w:val="0"/>
                <w:sz w:val="21"/>
                <w:szCs w:val="21"/>
              </w:rPr>
              <w:t>松鼠</w:t>
            </w:r>
            <w:r>
              <w:rPr>
                <w:rFonts w:ascii="Times New Roman" w:eastAsia="宋体" w:hAnsi="Times New Roman" w:cs="Times New Roman" w:hint="eastAsia"/>
                <w:kern w:val="0"/>
                <w:sz w:val="21"/>
                <w:szCs w:val="21"/>
              </w:rPr>
              <w:t xml:space="preserve"> </w:t>
            </w:r>
            <w:r>
              <w:rPr>
                <w:rFonts w:ascii="Times New Roman" w:eastAsia="宋体" w:hAnsi="Times New Roman" w:cs="Times New Roman" w:hint="eastAsia"/>
                <w:i/>
                <w:iCs/>
                <w:kern w:val="0"/>
                <w:sz w:val="21"/>
                <w:szCs w:val="21"/>
              </w:rPr>
              <w:t>Sciurus vulgaris</w:t>
            </w:r>
          </w:p>
        </w:tc>
        <w:tc>
          <w:tcPr>
            <w:tcW w:w="3981" w:type="dxa"/>
            <w:vAlign w:val="center"/>
          </w:tcPr>
          <w:p w14:paraId="7F227EDA" w14:textId="77777777" w:rsidR="009D12AF" w:rsidRDefault="00000000">
            <w:pPr>
              <w:widowControl/>
              <w:adjustRightInd w:val="0"/>
              <w:snapToGrid w:val="0"/>
              <w:spacing w:after="160"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褐家鼠</w:t>
            </w:r>
            <w:r>
              <w:rPr>
                <w:rFonts w:ascii="Times New Roman" w:eastAsia="宋体" w:hAnsi="Times New Roman" w:cs="Times New Roman" w:hint="eastAsia"/>
                <w:kern w:val="0"/>
                <w:sz w:val="21"/>
                <w:szCs w:val="21"/>
              </w:rPr>
              <w:t xml:space="preserve"> </w:t>
            </w:r>
            <w:r>
              <w:rPr>
                <w:rFonts w:ascii="Times New Roman" w:eastAsia="宋体" w:hAnsi="Times New Roman" w:cs="Times New Roman"/>
                <w:i/>
                <w:iCs/>
                <w:sz w:val="21"/>
                <w:szCs w:val="21"/>
              </w:rPr>
              <w:t>Rattus norvegicus</w:t>
            </w:r>
          </w:p>
        </w:tc>
      </w:tr>
    </w:tbl>
    <w:p w14:paraId="0B785BAB" w14:textId="77777777" w:rsidR="009D12AF" w:rsidRDefault="00000000">
      <w:pPr>
        <w:ind w:firstLine="480"/>
        <w:jc w:val="center"/>
        <w:rPr>
          <w:rFonts w:ascii="Times New Roman" w:eastAsia="宋体" w:hAnsi="Times New Roman" w:cs="Times New Roman"/>
        </w:rPr>
      </w:pPr>
      <w:r>
        <w:rPr>
          <w:rFonts w:ascii="Times New Roman" w:eastAsia="宋体" w:hAnsi="Times New Roman" w:cs="Times New Roman" w:hint="eastAsia"/>
        </w:rPr>
        <w:t>图</w:t>
      </w:r>
      <w:r>
        <w:rPr>
          <w:rFonts w:ascii="Times New Roman" w:eastAsia="宋体" w:hAnsi="Times New Roman" w:cs="Times New Roman" w:hint="eastAsia"/>
        </w:rPr>
        <w:t xml:space="preserve">4.3-40  </w:t>
      </w:r>
      <w:r>
        <w:rPr>
          <w:rFonts w:ascii="Times New Roman" w:eastAsia="宋体" w:hAnsi="Times New Roman" w:cs="Times New Roman" w:hint="eastAsia"/>
        </w:rPr>
        <w:t>兽类动物</w:t>
      </w:r>
    </w:p>
    <w:p w14:paraId="23615A6F" w14:textId="77777777" w:rsidR="009D12AF" w:rsidRDefault="00000000">
      <w:pPr>
        <w:ind w:firstLine="480"/>
      </w:pPr>
      <w:r>
        <w:rPr>
          <w:rFonts w:hint="eastAsia"/>
        </w:rPr>
        <w:t>三、陆生动物重要物种</w:t>
      </w:r>
    </w:p>
    <w:p w14:paraId="68D70759"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项目评价范围内共</w:t>
      </w:r>
      <w:r>
        <w:rPr>
          <w:rFonts w:ascii="Times New Roman" w:eastAsia="宋体" w:hAnsi="Times New Roman" w:cs="Times New Roman" w:hint="eastAsia"/>
        </w:rPr>
        <w:t>7</w:t>
      </w:r>
      <w:r>
        <w:rPr>
          <w:rFonts w:ascii="Times New Roman" w:eastAsia="宋体" w:hAnsi="Times New Roman" w:cs="Times New Roman"/>
        </w:rPr>
        <w:t>7</w:t>
      </w:r>
      <w:r>
        <w:rPr>
          <w:rFonts w:ascii="Times New Roman" w:eastAsia="宋体" w:hAnsi="Times New Roman" w:cs="Times New Roman" w:hint="eastAsia"/>
        </w:rPr>
        <w:t>种陆生脊椎动物，对照《有重要生态、科学、社会价值的陆生野生动物名录》</w:t>
      </w:r>
      <w:r>
        <w:rPr>
          <w:rFonts w:ascii="Times New Roman" w:eastAsia="宋体" w:hAnsi="Times New Roman" w:cs="Times New Roman" w:hint="eastAsia"/>
        </w:rPr>
        <w:t>(2023)</w:t>
      </w:r>
      <w:r>
        <w:rPr>
          <w:rFonts w:ascii="Times New Roman" w:eastAsia="宋体" w:hAnsi="Times New Roman" w:cs="Times New Roman" w:hint="eastAsia"/>
        </w:rPr>
        <w:t>、《国家重点保护野生动物名录》</w:t>
      </w:r>
      <w:r>
        <w:rPr>
          <w:rFonts w:ascii="Times New Roman" w:eastAsia="宋体" w:hAnsi="Times New Roman" w:cs="Times New Roman" w:hint="eastAsia"/>
        </w:rPr>
        <w:t>(</w:t>
      </w:r>
      <w:r>
        <w:rPr>
          <w:rFonts w:ascii="Times New Roman" w:eastAsia="宋体" w:hAnsi="Times New Roman" w:cs="Times New Roman" w:hint="eastAsia"/>
        </w:rPr>
        <w:t>国家林业和草原局、农业农村部，</w:t>
      </w:r>
      <w:r>
        <w:rPr>
          <w:rFonts w:ascii="Times New Roman" w:eastAsia="宋体" w:hAnsi="Times New Roman" w:cs="Times New Roman" w:hint="eastAsia"/>
        </w:rPr>
        <w:t>2021)</w:t>
      </w:r>
      <w:r>
        <w:rPr>
          <w:rFonts w:ascii="Times New Roman" w:eastAsia="宋体" w:hAnsi="Times New Roman" w:cs="Times New Roman" w:hint="eastAsia"/>
        </w:rPr>
        <w:t>、《中国生物多样性红色名录》</w:t>
      </w:r>
      <w:r>
        <w:rPr>
          <w:rFonts w:ascii="Times New Roman" w:eastAsia="宋体" w:hAnsi="Times New Roman" w:cs="Times New Roman" w:hint="eastAsia"/>
        </w:rPr>
        <w:t>(2020)</w:t>
      </w:r>
      <w:r>
        <w:rPr>
          <w:rFonts w:ascii="Times New Roman" w:eastAsia="宋体" w:hAnsi="Times New Roman" w:cs="Times New Roman" w:hint="eastAsia"/>
        </w:rPr>
        <w:t>、《黑龙江省地方重点保护野生动物名录》</w:t>
      </w:r>
      <w:r>
        <w:rPr>
          <w:rFonts w:ascii="Times New Roman" w:eastAsia="宋体" w:hAnsi="Times New Roman" w:cs="Times New Roman" w:hint="eastAsia"/>
        </w:rPr>
        <w:t>(</w:t>
      </w:r>
      <w:r>
        <w:rPr>
          <w:rFonts w:ascii="Times New Roman" w:eastAsia="宋体" w:hAnsi="Times New Roman" w:cs="Times New Roman"/>
        </w:rPr>
        <w:t>2025</w:t>
      </w:r>
      <w:r>
        <w:rPr>
          <w:rFonts w:ascii="Times New Roman" w:eastAsia="宋体" w:hAnsi="Times New Roman" w:cs="Times New Roman" w:hint="eastAsia"/>
        </w:rPr>
        <w:t>)</w:t>
      </w:r>
      <w:r>
        <w:rPr>
          <w:rFonts w:ascii="Times New Roman" w:eastAsia="宋体" w:hAnsi="Times New Roman" w:cs="Times New Roman" w:hint="eastAsia"/>
        </w:rPr>
        <w:t>，经现场调查和资料访问，发现评价范围内涉及国家一级重点保护野生动物</w:t>
      </w:r>
      <w:r>
        <w:rPr>
          <w:rFonts w:ascii="Times New Roman" w:eastAsia="宋体" w:hAnsi="Times New Roman" w:cs="Times New Roman"/>
        </w:rPr>
        <w:t>2</w:t>
      </w:r>
      <w:r>
        <w:rPr>
          <w:rFonts w:ascii="Times New Roman" w:eastAsia="宋体" w:hAnsi="Times New Roman" w:cs="Times New Roman" w:hint="eastAsia"/>
        </w:rPr>
        <w:t>种，国家二级重点保护野生动物</w:t>
      </w:r>
      <w:r>
        <w:rPr>
          <w:rFonts w:ascii="Times New Roman" w:eastAsia="宋体" w:hAnsi="Times New Roman" w:cs="Times New Roman"/>
        </w:rPr>
        <w:t>3</w:t>
      </w:r>
      <w:r>
        <w:rPr>
          <w:rFonts w:ascii="Times New Roman" w:eastAsia="宋体" w:hAnsi="Times New Roman" w:cs="Times New Roman" w:hint="eastAsia"/>
        </w:rPr>
        <w:t>种；列入《中国生物多样性红色名录》中</w:t>
      </w:r>
      <w:r>
        <w:rPr>
          <w:rFonts w:ascii="Times New Roman" w:eastAsia="宋体" w:hAnsi="Times New Roman" w:cs="Times New Roman"/>
        </w:rPr>
        <w:t>濒危</w:t>
      </w:r>
      <w:r>
        <w:rPr>
          <w:rFonts w:ascii="Times New Roman" w:eastAsia="宋体" w:hAnsi="Times New Roman" w:cs="Times New Roman" w:hint="eastAsia"/>
        </w:rPr>
        <w:t>(</w:t>
      </w:r>
      <w:r>
        <w:rPr>
          <w:rFonts w:ascii="Times New Roman" w:eastAsia="宋体" w:hAnsi="Times New Roman" w:cs="Times New Roman"/>
        </w:rPr>
        <w:t>EN</w:t>
      </w:r>
      <w:r>
        <w:rPr>
          <w:rFonts w:ascii="Times New Roman" w:eastAsia="宋体" w:hAnsi="Times New Roman" w:cs="Times New Roman" w:hint="eastAsia"/>
        </w:rPr>
        <w:t>)</w:t>
      </w:r>
      <w:r>
        <w:rPr>
          <w:rFonts w:ascii="Times New Roman" w:eastAsia="宋体" w:hAnsi="Times New Roman" w:cs="Times New Roman"/>
        </w:rPr>
        <w:t>2</w:t>
      </w:r>
      <w:r>
        <w:rPr>
          <w:rFonts w:ascii="Times New Roman" w:eastAsia="宋体" w:hAnsi="Times New Roman" w:cs="Times New Roman"/>
        </w:rPr>
        <w:t>种</w:t>
      </w:r>
      <w:r>
        <w:rPr>
          <w:rFonts w:ascii="Times New Roman" w:eastAsia="宋体" w:hAnsi="Times New Roman" w:cs="Times New Roman" w:hint="eastAsia"/>
        </w:rPr>
        <w:t>；省重点保护野生动物</w:t>
      </w:r>
      <w:r>
        <w:rPr>
          <w:rFonts w:ascii="Times New Roman" w:eastAsia="宋体" w:hAnsi="Times New Roman" w:cs="Times New Roman" w:hint="eastAsia"/>
        </w:rPr>
        <w:t>1</w:t>
      </w:r>
      <w:r>
        <w:rPr>
          <w:rFonts w:ascii="Times New Roman" w:eastAsia="宋体" w:hAnsi="Times New Roman" w:cs="Times New Roman"/>
        </w:rPr>
        <w:t>1</w:t>
      </w:r>
      <w:r>
        <w:rPr>
          <w:rFonts w:ascii="Times New Roman" w:eastAsia="宋体" w:hAnsi="Times New Roman" w:cs="Times New Roman" w:hint="eastAsia"/>
        </w:rPr>
        <w:t>种；有重要生态、科学、社会价值的陆生野生动物</w:t>
      </w:r>
      <w:r>
        <w:rPr>
          <w:rFonts w:ascii="Times New Roman" w:eastAsia="宋体" w:hAnsi="Times New Roman" w:cs="Times New Roman" w:hint="eastAsia"/>
        </w:rPr>
        <w:t>4</w:t>
      </w:r>
      <w:r>
        <w:rPr>
          <w:rFonts w:ascii="Times New Roman" w:eastAsia="宋体" w:hAnsi="Times New Roman" w:cs="Times New Roman"/>
        </w:rPr>
        <w:t>7</w:t>
      </w:r>
      <w:r>
        <w:rPr>
          <w:rFonts w:ascii="Times New Roman" w:eastAsia="宋体" w:hAnsi="Times New Roman" w:cs="Times New Roman" w:hint="eastAsia"/>
        </w:rPr>
        <w:t>种。</w:t>
      </w:r>
    </w:p>
    <w:p w14:paraId="1C41D5EC"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评价范围内本工程重点关注国家重点保护和列入《中国生物多样性红色名录》</w:t>
      </w:r>
      <w:r>
        <w:rPr>
          <w:rFonts w:ascii="Times New Roman" w:eastAsia="宋体" w:hAnsi="Times New Roman" w:cs="Times New Roman"/>
        </w:rPr>
        <w:t>濒危</w:t>
      </w:r>
      <w:r>
        <w:rPr>
          <w:rFonts w:ascii="Times New Roman" w:eastAsia="宋体" w:hAnsi="Times New Roman" w:cs="Times New Roman" w:hint="eastAsia"/>
        </w:rPr>
        <w:t>的野生动物</w:t>
      </w:r>
      <w:bookmarkStart w:id="320" w:name="OLE_LINK18"/>
      <w:r>
        <w:rPr>
          <w:rFonts w:ascii="Times New Roman" w:eastAsia="宋体" w:hAnsi="Times New Roman" w:cs="Times New Roman" w:hint="eastAsia"/>
        </w:rPr>
        <w:t>及分布</w:t>
      </w:r>
      <w:bookmarkEnd w:id="320"/>
      <w:r>
        <w:rPr>
          <w:rFonts w:ascii="Times New Roman" w:eastAsia="宋体" w:hAnsi="Times New Roman" w:cs="Times New Roman" w:hint="eastAsia"/>
        </w:rPr>
        <w:t>，详见表</w:t>
      </w:r>
      <w:r>
        <w:rPr>
          <w:rFonts w:ascii="Times New Roman" w:eastAsia="宋体" w:hAnsi="Times New Roman" w:cs="Times New Roman" w:hint="eastAsia"/>
        </w:rPr>
        <w:t>4.3-57</w:t>
      </w:r>
      <w:r>
        <w:rPr>
          <w:rFonts w:ascii="Times New Roman" w:eastAsia="宋体" w:hAnsi="Times New Roman" w:cs="Times New Roman" w:hint="eastAsia"/>
        </w:rPr>
        <w:t>、附图</w:t>
      </w:r>
      <w:r>
        <w:rPr>
          <w:rFonts w:ascii="Times New Roman" w:eastAsia="宋体" w:hAnsi="Times New Roman" w:cs="Times New Roman" w:hint="eastAsia"/>
        </w:rPr>
        <w:t>22</w:t>
      </w:r>
      <w:r>
        <w:rPr>
          <w:rFonts w:ascii="Times New Roman" w:eastAsia="宋体" w:hAnsi="Times New Roman" w:cs="Times New Roman" w:hint="eastAsia"/>
        </w:rPr>
        <w:t>；地方重点保护和有重要生态、科学、社会价值的陆生野生动物及分布见表</w:t>
      </w:r>
      <w:r>
        <w:rPr>
          <w:rFonts w:ascii="Times New Roman" w:eastAsia="宋体" w:hAnsi="Times New Roman" w:cs="Times New Roman" w:hint="eastAsia"/>
        </w:rPr>
        <w:t>4.3-58</w:t>
      </w:r>
      <w:r>
        <w:rPr>
          <w:rFonts w:ascii="Times New Roman" w:eastAsia="宋体" w:hAnsi="Times New Roman" w:cs="Times New Roman" w:hint="eastAsia"/>
        </w:rPr>
        <w:t>。</w:t>
      </w:r>
    </w:p>
    <w:p w14:paraId="24B88A7D" w14:textId="77777777" w:rsidR="009D12AF" w:rsidRDefault="009D12AF">
      <w:pPr>
        <w:ind w:firstLine="480"/>
        <w:rPr>
          <w:rFonts w:ascii="Times New Roman" w:eastAsia="宋体" w:hAnsi="Times New Roman" w:cs="Times New Roman"/>
          <w:highlight w:val="yellow"/>
        </w:rPr>
        <w:sectPr w:rsidR="009D12AF">
          <w:pgSz w:w="11906" w:h="16838"/>
          <w:pgMar w:top="1440" w:right="1800" w:bottom="1440" w:left="1800" w:header="851" w:footer="992" w:gutter="0"/>
          <w:cols w:space="425"/>
          <w:docGrid w:type="lines" w:linePitch="326"/>
        </w:sectPr>
      </w:pPr>
    </w:p>
    <w:p w14:paraId="56A5A963" w14:textId="77777777" w:rsidR="009D12AF" w:rsidRDefault="00000000">
      <w:pPr>
        <w:spacing w:line="600" w:lineRule="exact"/>
        <w:ind w:firstLine="480"/>
        <w:jc w:val="center"/>
        <w:rPr>
          <w:rFonts w:ascii="Arial" w:eastAsia="黑体" w:hAnsi="Arial" w:cs="Arial"/>
        </w:rPr>
      </w:pPr>
      <w:r>
        <w:rPr>
          <w:rFonts w:ascii="Arial" w:eastAsia="黑体" w:hAnsi="Arial" w:cs="Arial"/>
        </w:rPr>
        <w:lastRenderedPageBreak/>
        <w:t>表</w:t>
      </w:r>
      <w:r>
        <w:rPr>
          <w:rFonts w:ascii="Arial" w:eastAsia="黑体" w:hAnsi="Arial" w:cs="Arial" w:hint="eastAsia"/>
        </w:rPr>
        <w:t>4.3-57</w:t>
      </w:r>
      <w:r>
        <w:rPr>
          <w:rFonts w:ascii="Arial" w:eastAsia="黑体" w:hAnsi="Arial" w:cs="Arial"/>
        </w:rPr>
        <w:t xml:space="preserve">  </w:t>
      </w:r>
      <w:r>
        <w:rPr>
          <w:rFonts w:ascii="Arial" w:eastAsia="黑体" w:hAnsi="Arial" w:cs="Arial"/>
        </w:rPr>
        <w:t>评价范围内国家重点保护野生动物调查</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566"/>
        <w:gridCol w:w="2023"/>
        <w:gridCol w:w="2304"/>
        <w:gridCol w:w="1284"/>
        <w:gridCol w:w="941"/>
        <w:gridCol w:w="1233"/>
        <w:gridCol w:w="2468"/>
        <w:gridCol w:w="1873"/>
        <w:gridCol w:w="1476"/>
      </w:tblGrid>
      <w:tr w:rsidR="009D12AF" w14:paraId="6886A21A" w14:textId="77777777">
        <w:trPr>
          <w:jc w:val="center"/>
        </w:trPr>
        <w:tc>
          <w:tcPr>
            <w:tcW w:w="200" w:type="pct"/>
            <w:tcBorders>
              <w:tl2br w:val="nil"/>
              <w:tr2bl w:val="nil"/>
            </w:tcBorders>
            <w:vAlign w:val="center"/>
          </w:tcPr>
          <w:p w14:paraId="2C601BD9"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序号</w:t>
            </w:r>
          </w:p>
        </w:tc>
        <w:tc>
          <w:tcPr>
            <w:tcW w:w="713" w:type="pct"/>
            <w:tcBorders>
              <w:tl2br w:val="nil"/>
              <w:tr2bl w:val="nil"/>
            </w:tcBorders>
            <w:vAlign w:val="center"/>
          </w:tcPr>
          <w:p w14:paraId="7E192859"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物种</w:t>
            </w:r>
          </w:p>
        </w:tc>
        <w:tc>
          <w:tcPr>
            <w:tcW w:w="812" w:type="pct"/>
            <w:tcBorders>
              <w:tl2br w:val="nil"/>
              <w:tr2bl w:val="nil"/>
            </w:tcBorders>
            <w:vAlign w:val="center"/>
          </w:tcPr>
          <w:p w14:paraId="262DDA57"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照片</w:t>
            </w:r>
          </w:p>
        </w:tc>
        <w:tc>
          <w:tcPr>
            <w:tcW w:w="453" w:type="pct"/>
            <w:tcBorders>
              <w:tl2br w:val="nil"/>
              <w:tr2bl w:val="nil"/>
            </w:tcBorders>
            <w:vAlign w:val="center"/>
          </w:tcPr>
          <w:p w14:paraId="481E06C2"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保护级别</w:t>
            </w:r>
          </w:p>
        </w:tc>
        <w:tc>
          <w:tcPr>
            <w:tcW w:w="332" w:type="pct"/>
            <w:tcBorders>
              <w:tl2br w:val="nil"/>
              <w:tr2bl w:val="nil"/>
            </w:tcBorders>
            <w:vAlign w:val="center"/>
          </w:tcPr>
          <w:p w14:paraId="42F6216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濒危等级</w:t>
            </w:r>
          </w:p>
        </w:tc>
        <w:tc>
          <w:tcPr>
            <w:tcW w:w="435" w:type="pct"/>
            <w:tcBorders>
              <w:tl2br w:val="nil"/>
              <w:tr2bl w:val="nil"/>
            </w:tcBorders>
            <w:vAlign w:val="center"/>
          </w:tcPr>
          <w:p w14:paraId="776D7AC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特有种（是</w:t>
            </w:r>
            <w:r>
              <w:rPr>
                <w:rFonts w:ascii="Times New Roman" w:eastAsia="宋体" w:hAnsi="Times New Roman" w:cs="Times New Roman"/>
                <w:snapToGrid w:val="0"/>
                <w:kern w:val="0"/>
                <w:sz w:val="21"/>
                <w:szCs w:val="21"/>
                <w:lang w:eastAsia="en-US"/>
              </w:rPr>
              <w:t>/</w:t>
            </w:r>
            <w:r>
              <w:rPr>
                <w:rFonts w:ascii="Times New Roman" w:eastAsia="宋体" w:hAnsi="Times New Roman" w:cs="Times New Roman"/>
                <w:snapToGrid w:val="0"/>
                <w:kern w:val="0"/>
                <w:sz w:val="21"/>
                <w:szCs w:val="21"/>
                <w:lang w:eastAsia="en-US"/>
              </w:rPr>
              <w:t>否）</w:t>
            </w:r>
          </w:p>
        </w:tc>
        <w:tc>
          <w:tcPr>
            <w:tcW w:w="870" w:type="pct"/>
            <w:tcBorders>
              <w:tl2br w:val="nil"/>
              <w:tr2bl w:val="nil"/>
            </w:tcBorders>
            <w:vAlign w:val="center"/>
          </w:tcPr>
          <w:p w14:paraId="3E0D4F1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highlight w:val="yellow"/>
                <w:lang w:eastAsia="en-US"/>
              </w:rPr>
            </w:pPr>
            <w:r>
              <w:rPr>
                <w:rFonts w:ascii="Times New Roman" w:eastAsia="宋体" w:hAnsi="Times New Roman" w:cs="Times New Roman"/>
                <w:snapToGrid w:val="0"/>
                <w:kern w:val="0"/>
                <w:sz w:val="21"/>
                <w:szCs w:val="21"/>
                <w:lang w:eastAsia="en-US"/>
              </w:rPr>
              <w:t>分布区域</w:t>
            </w:r>
          </w:p>
        </w:tc>
        <w:tc>
          <w:tcPr>
            <w:tcW w:w="660" w:type="pct"/>
            <w:tcBorders>
              <w:tl2br w:val="nil"/>
              <w:tr2bl w:val="nil"/>
            </w:tcBorders>
            <w:vAlign w:val="center"/>
          </w:tcPr>
          <w:p w14:paraId="1F9FCA7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highlight w:val="yellow"/>
                <w:lang w:eastAsia="en-US"/>
              </w:rPr>
            </w:pPr>
            <w:r>
              <w:rPr>
                <w:rFonts w:ascii="Times New Roman" w:eastAsia="宋体" w:hAnsi="Times New Roman" w:cs="Times New Roman"/>
                <w:snapToGrid w:val="0"/>
                <w:kern w:val="0"/>
                <w:sz w:val="21"/>
                <w:szCs w:val="21"/>
                <w:lang w:eastAsia="en-US"/>
              </w:rPr>
              <w:t>资料来源</w:t>
            </w:r>
          </w:p>
        </w:tc>
        <w:tc>
          <w:tcPr>
            <w:tcW w:w="521" w:type="pct"/>
            <w:tcBorders>
              <w:tl2br w:val="nil"/>
              <w:tr2bl w:val="nil"/>
            </w:tcBorders>
            <w:vAlign w:val="center"/>
          </w:tcPr>
          <w:p w14:paraId="50264DE1"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rPr>
              <w:t>工程占用情况（是</w:t>
            </w:r>
            <w:r>
              <w:rPr>
                <w:rFonts w:ascii="Times New Roman" w:eastAsia="宋体" w:hAnsi="Times New Roman" w:cs="Times New Roman"/>
                <w:snapToGrid w:val="0"/>
                <w:kern w:val="0"/>
                <w:sz w:val="21"/>
                <w:szCs w:val="21"/>
              </w:rPr>
              <w:t>/</w:t>
            </w:r>
            <w:r>
              <w:rPr>
                <w:rFonts w:ascii="Times New Roman" w:eastAsia="宋体" w:hAnsi="Times New Roman" w:cs="Times New Roman"/>
                <w:snapToGrid w:val="0"/>
                <w:kern w:val="0"/>
                <w:sz w:val="21"/>
                <w:szCs w:val="21"/>
              </w:rPr>
              <w:t>否）</w:t>
            </w:r>
          </w:p>
        </w:tc>
      </w:tr>
      <w:tr w:rsidR="009D12AF" w14:paraId="5F763ECC" w14:textId="77777777">
        <w:trPr>
          <w:jc w:val="center"/>
        </w:trPr>
        <w:tc>
          <w:tcPr>
            <w:tcW w:w="200" w:type="pct"/>
            <w:tcBorders>
              <w:tl2br w:val="nil"/>
              <w:tr2bl w:val="nil"/>
            </w:tcBorders>
            <w:vAlign w:val="center"/>
          </w:tcPr>
          <w:p w14:paraId="1005B8D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1</w:t>
            </w:r>
          </w:p>
        </w:tc>
        <w:tc>
          <w:tcPr>
            <w:tcW w:w="713" w:type="pct"/>
            <w:tcBorders>
              <w:tl2br w:val="nil"/>
              <w:tr2bl w:val="nil"/>
            </w:tcBorders>
            <w:vAlign w:val="center"/>
          </w:tcPr>
          <w:p w14:paraId="469080B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东方白鹳</w:t>
            </w:r>
          </w:p>
          <w:p w14:paraId="30A7F029"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i/>
                <w:iCs/>
                <w:snapToGrid w:val="0"/>
                <w:kern w:val="0"/>
                <w:sz w:val="21"/>
                <w:szCs w:val="21"/>
                <w:lang w:eastAsia="en-US"/>
              </w:rPr>
              <w:t>Ciconia boyciana</w:t>
            </w:r>
          </w:p>
        </w:tc>
        <w:tc>
          <w:tcPr>
            <w:tcW w:w="812" w:type="pct"/>
            <w:tcBorders>
              <w:tl2br w:val="nil"/>
              <w:tr2bl w:val="nil"/>
            </w:tcBorders>
            <w:vAlign w:val="center"/>
          </w:tcPr>
          <w:p w14:paraId="35B52764"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noProof/>
                <w:sz w:val="21"/>
                <w:szCs w:val="21"/>
              </w:rPr>
              <w:drawing>
                <wp:inline distT="0" distB="0" distL="0" distR="0" wp14:anchorId="2A6CE85A" wp14:editId="0A103403">
                  <wp:extent cx="1179830" cy="786765"/>
                  <wp:effectExtent l="0" t="0" r="1270" b="13335"/>
                  <wp:docPr id="245" name="图片 245" descr="https://img0.baidu.com/it/u=1335995020,625414812&amp;fm=253&amp;fmt=auto&amp;app=138&amp;f=JPEG?w=750&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https://img0.baidu.com/it/u=1335995020,625414812&amp;fm=253&amp;fmt=auto&amp;app=138&amp;f=JPEG?w=750&amp;h=500"/>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a:xfrm flipH="1">
                            <a:off x="0" y="0"/>
                            <a:ext cx="1226016" cy="817671"/>
                          </a:xfrm>
                          <a:prstGeom prst="rect">
                            <a:avLst/>
                          </a:prstGeom>
                          <a:noFill/>
                          <a:ln>
                            <a:noFill/>
                          </a:ln>
                        </pic:spPr>
                      </pic:pic>
                    </a:graphicData>
                  </a:graphic>
                </wp:inline>
              </w:drawing>
            </w:r>
          </w:p>
        </w:tc>
        <w:tc>
          <w:tcPr>
            <w:tcW w:w="453" w:type="pct"/>
            <w:tcBorders>
              <w:tl2br w:val="nil"/>
              <w:tr2bl w:val="nil"/>
            </w:tcBorders>
            <w:vAlign w:val="center"/>
          </w:tcPr>
          <w:p w14:paraId="01B500A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国家</w:t>
            </w:r>
            <w:r>
              <w:rPr>
                <w:rFonts w:ascii="Times New Roman" w:eastAsia="宋体" w:hAnsi="Times New Roman" w:cs="Times New Roman" w:hint="eastAsia"/>
                <w:snapToGrid w:val="0"/>
                <w:kern w:val="0"/>
                <w:sz w:val="21"/>
                <w:szCs w:val="21"/>
              </w:rPr>
              <w:t>一</w:t>
            </w:r>
            <w:r>
              <w:rPr>
                <w:rFonts w:ascii="Times New Roman" w:eastAsia="宋体" w:hAnsi="Times New Roman" w:cs="Times New Roman"/>
                <w:snapToGrid w:val="0"/>
                <w:kern w:val="0"/>
                <w:sz w:val="21"/>
                <w:szCs w:val="21"/>
                <w:lang w:eastAsia="en-US"/>
              </w:rPr>
              <w:t>级</w:t>
            </w:r>
          </w:p>
        </w:tc>
        <w:tc>
          <w:tcPr>
            <w:tcW w:w="332" w:type="pct"/>
            <w:tcBorders>
              <w:tl2br w:val="nil"/>
              <w:tr2bl w:val="nil"/>
            </w:tcBorders>
            <w:vAlign w:val="center"/>
          </w:tcPr>
          <w:p w14:paraId="17E6813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rPr>
              <w:t>濒危</w:t>
            </w:r>
          </w:p>
        </w:tc>
        <w:tc>
          <w:tcPr>
            <w:tcW w:w="435" w:type="pct"/>
            <w:tcBorders>
              <w:tl2br w:val="nil"/>
              <w:tr2bl w:val="nil"/>
            </w:tcBorders>
            <w:vAlign w:val="center"/>
          </w:tcPr>
          <w:p w14:paraId="00F75168"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否</w:t>
            </w:r>
          </w:p>
        </w:tc>
        <w:tc>
          <w:tcPr>
            <w:tcW w:w="870" w:type="pct"/>
            <w:tcBorders>
              <w:tl2br w:val="nil"/>
              <w:tr2bl w:val="nil"/>
            </w:tcBorders>
            <w:vAlign w:val="center"/>
          </w:tcPr>
          <w:p w14:paraId="2AFABF06"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cs="Times New Roman" w:hint="eastAsia"/>
                <w:snapToGrid w:val="0"/>
                <w:kern w:val="0"/>
                <w:sz w:val="21"/>
                <w:szCs w:val="21"/>
              </w:rPr>
              <w:t>开阔而偏僻的平原、草地和沼泽地带</w:t>
            </w:r>
          </w:p>
        </w:tc>
        <w:tc>
          <w:tcPr>
            <w:tcW w:w="660" w:type="pct"/>
            <w:tcBorders>
              <w:tl2br w:val="nil"/>
              <w:tr2bl w:val="nil"/>
            </w:tcBorders>
            <w:vAlign w:val="center"/>
          </w:tcPr>
          <w:p w14:paraId="707F2484"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bookmarkStart w:id="321" w:name="_Hlk211432238"/>
            <w:r>
              <w:rPr>
                <w:rFonts w:ascii="Times New Roman" w:eastAsia="宋体" w:hAnsi="Times New Roman" w:cs="Times New Roman"/>
                <w:snapToGrid w:val="0"/>
                <w:kern w:val="0"/>
                <w:sz w:val="21"/>
                <w:szCs w:val="21"/>
              </w:rPr>
              <w:t>文献记录、历史调查资料、现场调查</w:t>
            </w:r>
            <w:bookmarkEnd w:id="321"/>
          </w:p>
        </w:tc>
        <w:tc>
          <w:tcPr>
            <w:tcW w:w="521" w:type="pct"/>
            <w:tcBorders>
              <w:tl2br w:val="nil"/>
              <w:tr2bl w:val="nil"/>
            </w:tcBorders>
            <w:vAlign w:val="center"/>
          </w:tcPr>
          <w:p w14:paraId="58A8D167"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Arial" w:hAnsi="Arial" w:cs="宋体" w:hint="eastAsia"/>
                <w:kern w:val="0"/>
                <w:sz w:val="21"/>
                <w:szCs w:val="21"/>
              </w:rPr>
              <w:t>否</w:t>
            </w:r>
          </w:p>
        </w:tc>
      </w:tr>
      <w:tr w:rsidR="009D12AF" w14:paraId="2ECEA87A" w14:textId="77777777">
        <w:trPr>
          <w:jc w:val="center"/>
        </w:trPr>
        <w:tc>
          <w:tcPr>
            <w:tcW w:w="200" w:type="pct"/>
            <w:tcBorders>
              <w:tl2br w:val="nil"/>
              <w:tr2bl w:val="nil"/>
            </w:tcBorders>
            <w:vAlign w:val="center"/>
          </w:tcPr>
          <w:p w14:paraId="565404E7"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2</w:t>
            </w:r>
          </w:p>
        </w:tc>
        <w:tc>
          <w:tcPr>
            <w:tcW w:w="713" w:type="pct"/>
            <w:tcBorders>
              <w:tl2br w:val="nil"/>
              <w:tr2bl w:val="nil"/>
            </w:tcBorders>
            <w:vAlign w:val="center"/>
          </w:tcPr>
          <w:p w14:paraId="704D083A" w14:textId="77777777" w:rsidR="009D12AF" w:rsidRDefault="00000000">
            <w:pPr>
              <w:widowControl/>
              <w:spacing w:line="0" w:lineRule="atLeast"/>
              <w:ind w:firstLineChars="0" w:firstLine="0"/>
              <w:jc w:val="center"/>
              <w:rPr>
                <w:rFonts w:ascii="Arial" w:eastAsia="宋体" w:hAnsi="宋体" w:cs="Times New Roman" w:hint="eastAsia"/>
                <w:color w:val="000000"/>
                <w:sz w:val="21"/>
                <w:szCs w:val="21"/>
                <w:lang w:bidi="ar"/>
              </w:rPr>
            </w:pPr>
            <w:r>
              <w:rPr>
                <w:rFonts w:ascii="Arial" w:eastAsia="宋体" w:hAnsi="宋体" w:cs="Times New Roman"/>
                <w:color w:val="000000"/>
                <w:sz w:val="21"/>
                <w:szCs w:val="21"/>
                <w:lang w:bidi="ar"/>
              </w:rPr>
              <w:t>中华秋沙鸭</w:t>
            </w:r>
          </w:p>
          <w:p w14:paraId="56419201"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Arial" w:cs="Times New Roman"/>
                <w:i/>
                <w:iCs/>
                <w:color w:val="000000"/>
                <w:sz w:val="21"/>
                <w:szCs w:val="21"/>
                <w:lang w:bidi="ar"/>
              </w:rPr>
              <w:t>Mergus squamatus</w:t>
            </w:r>
          </w:p>
        </w:tc>
        <w:tc>
          <w:tcPr>
            <w:tcW w:w="812" w:type="pct"/>
            <w:tcBorders>
              <w:tl2br w:val="nil"/>
              <w:tr2bl w:val="nil"/>
            </w:tcBorders>
            <w:vAlign w:val="center"/>
          </w:tcPr>
          <w:p w14:paraId="2C8B10CC"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noProof/>
                <w:sz w:val="21"/>
                <w:szCs w:val="21"/>
              </w:rPr>
              <w:drawing>
                <wp:inline distT="0" distB="0" distL="0" distR="0" wp14:anchorId="2A944734" wp14:editId="1717E09A">
                  <wp:extent cx="1232535" cy="795655"/>
                  <wp:effectExtent l="0" t="0" r="5715" b="4445"/>
                  <wp:docPr id="246" name="图片 246" descr="https://nimg.ws.126.net/?url=http%3A%2F%2Fdingyue.ws.126.net%2F2023%2F1205%2F5b159687j00s56itf00dhc000go00arg.jpg&amp;thumbnail=660x2147483647&amp;quality=80&amp;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https://nimg.ws.126.net/?url=http%3A%2F%2Fdingyue.ws.126.net%2F2023%2F1205%2F5b159687j00s56itf00dhc000go00arg.jpg&amp;thumbnail=660x2147483647&amp;quality=80&amp;type=jpg"/>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a:xfrm flipH="1">
                            <a:off x="0" y="0"/>
                            <a:ext cx="1309882" cy="845489"/>
                          </a:xfrm>
                          <a:prstGeom prst="rect">
                            <a:avLst/>
                          </a:prstGeom>
                          <a:noFill/>
                          <a:ln>
                            <a:noFill/>
                          </a:ln>
                        </pic:spPr>
                      </pic:pic>
                    </a:graphicData>
                  </a:graphic>
                </wp:inline>
              </w:drawing>
            </w:r>
          </w:p>
        </w:tc>
        <w:tc>
          <w:tcPr>
            <w:tcW w:w="453" w:type="pct"/>
            <w:tcBorders>
              <w:tl2br w:val="nil"/>
              <w:tr2bl w:val="nil"/>
            </w:tcBorders>
            <w:vAlign w:val="center"/>
          </w:tcPr>
          <w:p w14:paraId="6E10332E"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国家一级</w:t>
            </w:r>
          </w:p>
        </w:tc>
        <w:tc>
          <w:tcPr>
            <w:tcW w:w="332" w:type="pct"/>
            <w:tcBorders>
              <w:tl2br w:val="nil"/>
              <w:tr2bl w:val="nil"/>
            </w:tcBorders>
            <w:vAlign w:val="center"/>
          </w:tcPr>
          <w:p w14:paraId="7E885A14"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濒危</w:t>
            </w:r>
          </w:p>
        </w:tc>
        <w:tc>
          <w:tcPr>
            <w:tcW w:w="435" w:type="pct"/>
            <w:tcBorders>
              <w:tl2br w:val="nil"/>
              <w:tr2bl w:val="nil"/>
            </w:tcBorders>
            <w:vAlign w:val="center"/>
          </w:tcPr>
          <w:p w14:paraId="4FF4A089"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否</w:t>
            </w:r>
          </w:p>
        </w:tc>
        <w:tc>
          <w:tcPr>
            <w:tcW w:w="870" w:type="pct"/>
            <w:tcBorders>
              <w:tl2br w:val="nil"/>
              <w:tr2bl w:val="nil"/>
            </w:tcBorders>
            <w:vAlign w:val="center"/>
          </w:tcPr>
          <w:p w14:paraId="76BF7791"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cs="Times New Roman" w:hint="eastAsia"/>
                <w:snapToGrid w:val="0"/>
                <w:kern w:val="0"/>
                <w:sz w:val="21"/>
                <w:szCs w:val="21"/>
              </w:rPr>
              <w:t>栖息于山间河流、水库湖泊中</w:t>
            </w:r>
          </w:p>
        </w:tc>
        <w:tc>
          <w:tcPr>
            <w:tcW w:w="660" w:type="pct"/>
            <w:tcBorders>
              <w:tl2br w:val="nil"/>
              <w:tr2bl w:val="nil"/>
            </w:tcBorders>
            <w:vAlign w:val="center"/>
          </w:tcPr>
          <w:p w14:paraId="2A5AE0A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文献记录、历史调查资料、现场调查</w:t>
            </w:r>
          </w:p>
        </w:tc>
        <w:tc>
          <w:tcPr>
            <w:tcW w:w="521" w:type="pct"/>
            <w:tcBorders>
              <w:tl2br w:val="nil"/>
              <w:tr2bl w:val="nil"/>
            </w:tcBorders>
            <w:vAlign w:val="center"/>
          </w:tcPr>
          <w:p w14:paraId="7B6A0F02" w14:textId="77777777" w:rsidR="009D12AF" w:rsidRDefault="00000000">
            <w:pPr>
              <w:widowControl/>
              <w:kinsoku w:val="0"/>
              <w:autoSpaceDE w:val="0"/>
              <w:autoSpaceDN w:val="0"/>
              <w:adjustRightInd w:val="0"/>
              <w:snapToGrid w:val="0"/>
              <w:ind w:firstLineChars="0" w:firstLine="0"/>
              <w:jc w:val="center"/>
              <w:textAlignment w:val="baseline"/>
              <w:rPr>
                <w:rFonts w:ascii="Arial" w:eastAsia="宋体" w:hAnsi="Arial" w:cs="宋体"/>
                <w:kern w:val="0"/>
                <w:sz w:val="21"/>
                <w:szCs w:val="21"/>
              </w:rPr>
            </w:pPr>
            <w:r>
              <w:rPr>
                <w:rFonts w:ascii="Arial" w:hAnsi="Arial" w:cs="宋体" w:hint="eastAsia"/>
                <w:kern w:val="0"/>
                <w:sz w:val="21"/>
                <w:szCs w:val="21"/>
              </w:rPr>
              <w:t>否</w:t>
            </w:r>
          </w:p>
        </w:tc>
      </w:tr>
      <w:tr w:rsidR="009D12AF" w14:paraId="47DA0F32" w14:textId="77777777">
        <w:trPr>
          <w:jc w:val="center"/>
        </w:trPr>
        <w:tc>
          <w:tcPr>
            <w:tcW w:w="200" w:type="pct"/>
            <w:tcBorders>
              <w:tl2br w:val="nil"/>
              <w:tr2bl w:val="nil"/>
            </w:tcBorders>
            <w:vAlign w:val="center"/>
          </w:tcPr>
          <w:p w14:paraId="492227C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3</w:t>
            </w:r>
          </w:p>
        </w:tc>
        <w:tc>
          <w:tcPr>
            <w:tcW w:w="713" w:type="pct"/>
            <w:tcBorders>
              <w:tl2br w:val="nil"/>
              <w:tr2bl w:val="nil"/>
            </w:tcBorders>
            <w:vAlign w:val="center"/>
          </w:tcPr>
          <w:p w14:paraId="3E5C3CB5" w14:textId="77777777" w:rsidR="009D12AF" w:rsidRDefault="00000000">
            <w:pPr>
              <w:widowControl/>
              <w:spacing w:line="0" w:lineRule="atLeast"/>
              <w:ind w:firstLineChars="0" w:firstLine="0"/>
              <w:jc w:val="center"/>
              <w:rPr>
                <w:rFonts w:ascii="Times New Roman" w:eastAsia="宋体" w:hAnsi="Arial" w:cs="Times New Roman"/>
                <w:sz w:val="21"/>
                <w:szCs w:val="21"/>
              </w:rPr>
            </w:pPr>
            <w:r>
              <w:rPr>
                <w:rFonts w:ascii="Times New Roman" w:eastAsia="宋体" w:hAnsi="Arial" w:cs="Times New Roman"/>
                <w:sz w:val="21"/>
                <w:szCs w:val="21"/>
              </w:rPr>
              <w:t>红隼</w:t>
            </w:r>
          </w:p>
          <w:p w14:paraId="7391AF90" w14:textId="77777777" w:rsidR="009D12AF" w:rsidRDefault="00000000">
            <w:pPr>
              <w:widowControl/>
              <w:spacing w:line="0" w:lineRule="atLeast"/>
              <w:ind w:firstLineChars="0" w:firstLine="0"/>
              <w:jc w:val="center"/>
              <w:rPr>
                <w:rFonts w:ascii="Arial" w:eastAsia="宋体" w:hAnsi="宋体" w:cs="Times New Roman" w:hint="eastAsia"/>
                <w:color w:val="000000"/>
                <w:sz w:val="21"/>
                <w:szCs w:val="21"/>
                <w:lang w:bidi="ar"/>
              </w:rPr>
            </w:pPr>
            <w:r>
              <w:rPr>
                <w:rFonts w:ascii="Times New Roman" w:eastAsia="宋体" w:hAnsi="Arial" w:cs="Times New Roman"/>
                <w:i/>
                <w:iCs/>
                <w:sz w:val="21"/>
                <w:szCs w:val="21"/>
              </w:rPr>
              <w:t>Falco tinnunculus</w:t>
            </w:r>
          </w:p>
        </w:tc>
        <w:tc>
          <w:tcPr>
            <w:tcW w:w="812" w:type="pct"/>
            <w:tcBorders>
              <w:tl2br w:val="nil"/>
              <w:tr2bl w:val="nil"/>
            </w:tcBorders>
            <w:vAlign w:val="center"/>
          </w:tcPr>
          <w:p w14:paraId="37090FEA" w14:textId="77777777" w:rsidR="009D12AF" w:rsidRDefault="00000000">
            <w:pPr>
              <w:widowControl/>
              <w:kinsoku w:val="0"/>
              <w:autoSpaceDE w:val="0"/>
              <w:autoSpaceDN w:val="0"/>
              <w:adjustRightInd w:val="0"/>
              <w:snapToGrid w:val="0"/>
              <w:ind w:firstLineChars="0" w:firstLine="0"/>
              <w:jc w:val="center"/>
              <w:textAlignment w:val="baseline"/>
              <w:rPr>
                <w:rFonts w:ascii="Arial" w:eastAsia="宋体" w:hAnsi="Arial" w:cs="Times New Roman"/>
                <w:sz w:val="21"/>
                <w:szCs w:val="21"/>
              </w:rPr>
            </w:pPr>
            <w:r>
              <w:rPr>
                <w:rFonts w:ascii="Times New Roman" w:eastAsia="宋体" w:hAnsi="Times New Roman" w:cs="Times New Roman"/>
                <w:noProof/>
                <w:sz w:val="21"/>
                <w:szCs w:val="21"/>
              </w:rPr>
              <w:drawing>
                <wp:inline distT="0" distB="0" distL="0" distR="0" wp14:anchorId="5E95901C" wp14:editId="7B1CB34F">
                  <wp:extent cx="1243965" cy="807085"/>
                  <wp:effectExtent l="0" t="0" r="13335" b="12065"/>
                  <wp:docPr id="1884642840" name="图片 1884642840" descr="https://pic.rmb.bdstatic.com/bjh/news/6cfb94fb3772e7a9eade1b62b1b9d3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42840" name="图片 1884642840" descr="https://pic.rmb.bdstatic.com/bjh/news/6cfb94fb3772e7a9eade1b62b1b9d3cd.png"/>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a:xfrm>
                            <a:off x="0" y="0"/>
                            <a:ext cx="1290791" cy="837720"/>
                          </a:xfrm>
                          <a:prstGeom prst="rect">
                            <a:avLst/>
                          </a:prstGeom>
                          <a:noFill/>
                          <a:ln>
                            <a:noFill/>
                          </a:ln>
                        </pic:spPr>
                      </pic:pic>
                    </a:graphicData>
                  </a:graphic>
                </wp:inline>
              </w:drawing>
            </w:r>
          </w:p>
        </w:tc>
        <w:tc>
          <w:tcPr>
            <w:tcW w:w="453" w:type="pct"/>
            <w:tcBorders>
              <w:tl2br w:val="nil"/>
              <w:tr2bl w:val="nil"/>
            </w:tcBorders>
            <w:vAlign w:val="center"/>
          </w:tcPr>
          <w:p w14:paraId="71B44D5C"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国家二级</w:t>
            </w:r>
          </w:p>
        </w:tc>
        <w:tc>
          <w:tcPr>
            <w:tcW w:w="332" w:type="pct"/>
            <w:tcBorders>
              <w:tl2br w:val="nil"/>
              <w:tr2bl w:val="nil"/>
            </w:tcBorders>
            <w:vAlign w:val="center"/>
          </w:tcPr>
          <w:p w14:paraId="2D08BBF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rPr>
              <w:t>无危</w:t>
            </w:r>
          </w:p>
        </w:tc>
        <w:tc>
          <w:tcPr>
            <w:tcW w:w="435" w:type="pct"/>
            <w:tcBorders>
              <w:tl2br w:val="nil"/>
              <w:tr2bl w:val="nil"/>
            </w:tcBorders>
            <w:vAlign w:val="center"/>
          </w:tcPr>
          <w:p w14:paraId="431F717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否</w:t>
            </w:r>
          </w:p>
        </w:tc>
        <w:tc>
          <w:tcPr>
            <w:tcW w:w="870" w:type="pct"/>
            <w:tcBorders>
              <w:tl2br w:val="nil"/>
              <w:tr2bl w:val="nil"/>
            </w:tcBorders>
            <w:vAlign w:val="center"/>
          </w:tcPr>
          <w:p w14:paraId="28506BF9"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cs="Times New Roman" w:hint="eastAsia"/>
                <w:snapToGrid w:val="0"/>
                <w:kern w:val="0"/>
                <w:sz w:val="21"/>
                <w:szCs w:val="21"/>
              </w:rPr>
              <w:t>常栖息于山地森林、森林苔原、低山丘陵、草原、旷野</w:t>
            </w:r>
          </w:p>
        </w:tc>
        <w:tc>
          <w:tcPr>
            <w:tcW w:w="660" w:type="pct"/>
            <w:tcBorders>
              <w:tl2br w:val="nil"/>
              <w:tr2bl w:val="nil"/>
            </w:tcBorders>
            <w:vAlign w:val="center"/>
          </w:tcPr>
          <w:p w14:paraId="304AFA7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文献记录、历史调查资料、现场调查</w:t>
            </w:r>
          </w:p>
        </w:tc>
        <w:tc>
          <w:tcPr>
            <w:tcW w:w="521" w:type="pct"/>
            <w:tcBorders>
              <w:tl2br w:val="nil"/>
              <w:tr2bl w:val="nil"/>
            </w:tcBorders>
            <w:vAlign w:val="center"/>
          </w:tcPr>
          <w:p w14:paraId="477753E3" w14:textId="77777777" w:rsidR="009D12AF" w:rsidRDefault="00000000">
            <w:pPr>
              <w:widowControl/>
              <w:kinsoku w:val="0"/>
              <w:autoSpaceDE w:val="0"/>
              <w:autoSpaceDN w:val="0"/>
              <w:adjustRightInd w:val="0"/>
              <w:snapToGrid w:val="0"/>
              <w:ind w:firstLineChars="0" w:firstLine="0"/>
              <w:jc w:val="center"/>
              <w:textAlignment w:val="baseline"/>
              <w:rPr>
                <w:rFonts w:ascii="Arial" w:eastAsia="宋体" w:hAnsi="Arial" w:cs="宋体"/>
                <w:kern w:val="0"/>
                <w:sz w:val="21"/>
                <w:szCs w:val="21"/>
              </w:rPr>
            </w:pPr>
            <w:r>
              <w:rPr>
                <w:rFonts w:ascii="Arial" w:hAnsi="Arial" w:cs="宋体" w:hint="eastAsia"/>
                <w:kern w:val="0"/>
                <w:sz w:val="21"/>
                <w:szCs w:val="21"/>
              </w:rPr>
              <w:t>否</w:t>
            </w:r>
          </w:p>
        </w:tc>
      </w:tr>
      <w:tr w:rsidR="009D12AF" w14:paraId="168E2F3F" w14:textId="77777777">
        <w:trPr>
          <w:jc w:val="center"/>
        </w:trPr>
        <w:tc>
          <w:tcPr>
            <w:tcW w:w="200" w:type="pct"/>
            <w:tcBorders>
              <w:tl2br w:val="nil"/>
              <w:tr2bl w:val="nil"/>
            </w:tcBorders>
            <w:vAlign w:val="center"/>
          </w:tcPr>
          <w:p w14:paraId="1385C1F1"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4</w:t>
            </w:r>
          </w:p>
        </w:tc>
        <w:tc>
          <w:tcPr>
            <w:tcW w:w="713" w:type="pct"/>
            <w:tcBorders>
              <w:tl2br w:val="nil"/>
              <w:tr2bl w:val="nil"/>
            </w:tcBorders>
            <w:vAlign w:val="center"/>
          </w:tcPr>
          <w:p w14:paraId="0D6DE6B0" w14:textId="77777777" w:rsidR="009D12AF" w:rsidRDefault="00000000">
            <w:pPr>
              <w:widowControl/>
              <w:spacing w:line="0" w:lineRule="atLeast"/>
              <w:ind w:firstLineChars="0" w:firstLine="0"/>
              <w:jc w:val="center"/>
              <w:rPr>
                <w:rFonts w:ascii="Times New Roman" w:eastAsia="宋体" w:hAnsi="Arial" w:cs="Times New Roman"/>
                <w:sz w:val="21"/>
                <w:szCs w:val="21"/>
              </w:rPr>
            </w:pPr>
            <w:r>
              <w:rPr>
                <w:rFonts w:ascii="Times New Roman" w:eastAsia="宋体" w:hAnsi="Arial" w:cs="Times New Roman" w:hint="eastAsia"/>
                <w:sz w:val="21"/>
                <w:szCs w:val="21"/>
              </w:rPr>
              <w:t>鸳鸯</w:t>
            </w:r>
          </w:p>
          <w:p w14:paraId="4C37A0E3" w14:textId="77777777" w:rsidR="009D12AF" w:rsidRDefault="00000000">
            <w:pPr>
              <w:widowControl/>
              <w:spacing w:line="0" w:lineRule="atLeast"/>
              <w:ind w:firstLineChars="0" w:firstLine="0"/>
              <w:jc w:val="center"/>
              <w:rPr>
                <w:rFonts w:ascii="Arial" w:eastAsia="宋体" w:hAnsi="宋体" w:cs="Times New Roman" w:hint="eastAsia"/>
                <w:color w:val="000000"/>
                <w:sz w:val="21"/>
                <w:szCs w:val="21"/>
                <w:lang w:bidi="ar"/>
              </w:rPr>
            </w:pPr>
            <w:r>
              <w:rPr>
                <w:rFonts w:ascii="Times New Roman" w:eastAsia="宋体" w:hAnsi="Arial" w:cs="Times New Roman"/>
                <w:i/>
                <w:iCs/>
                <w:sz w:val="21"/>
                <w:szCs w:val="21"/>
              </w:rPr>
              <w:t>Aix galericulata</w:t>
            </w:r>
          </w:p>
        </w:tc>
        <w:tc>
          <w:tcPr>
            <w:tcW w:w="812" w:type="pct"/>
            <w:tcBorders>
              <w:tl2br w:val="nil"/>
              <w:tr2bl w:val="nil"/>
            </w:tcBorders>
            <w:vAlign w:val="center"/>
          </w:tcPr>
          <w:p w14:paraId="0D241217" w14:textId="77777777" w:rsidR="009D12AF" w:rsidRDefault="00000000">
            <w:pPr>
              <w:widowControl/>
              <w:kinsoku w:val="0"/>
              <w:autoSpaceDE w:val="0"/>
              <w:autoSpaceDN w:val="0"/>
              <w:adjustRightInd w:val="0"/>
              <w:snapToGrid w:val="0"/>
              <w:ind w:firstLineChars="0" w:firstLine="0"/>
              <w:jc w:val="center"/>
              <w:textAlignment w:val="baseline"/>
              <w:rPr>
                <w:rFonts w:ascii="Arial" w:eastAsia="宋体" w:hAnsi="Arial" w:cs="Times New Roman"/>
                <w:sz w:val="21"/>
                <w:szCs w:val="21"/>
              </w:rPr>
            </w:pPr>
            <w:r>
              <w:rPr>
                <w:rFonts w:ascii="Times New Roman" w:eastAsia="宋体" w:hAnsi="Times New Roman" w:cs="Times New Roman"/>
                <w:noProof/>
                <w:sz w:val="21"/>
                <w:szCs w:val="21"/>
              </w:rPr>
              <w:drawing>
                <wp:inline distT="0" distB="0" distL="0" distR="0" wp14:anchorId="1793A774" wp14:editId="67030D28">
                  <wp:extent cx="1243965" cy="830580"/>
                  <wp:effectExtent l="0" t="0" r="13335" b="7620"/>
                  <wp:docPr id="247" name="图片 247" descr="https://img0.baidu.com/it/u=2749822224,1260457272&amp;fm=253&amp;fmt=auto&amp;app=138&amp;f=JPEG?w=749&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https://img0.baidu.com/it/u=2749822224,1260457272&amp;fm=253&amp;fmt=auto&amp;app=138&amp;f=JPEG?w=749&amp;h=500"/>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a:xfrm flipH="1">
                            <a:off x="0" y="0"/>
                            <a:ext cx="1284630" cy="857526"/>
                          </a:xfrm>
                          <a:prstGeom prst="rect">
                            <a:avLst/>
                          </a:prstGeom>
                          <a:noFill/>
                          <a:ln>
                            <a:noFill/>
                          </a:ln>
                        </pic:spPr>
                      </pic:pic>
                    </a:graphicData>
                  </a:graphic>
                </wp:inline>
              </w:drawing>
            </w:r>
          </w:p>
        </w:tc>
        <w:tc>
          <w:tcPr>
            <w:tcW w:w="453" w:type="pct"/>
            <w:tcBorders>
              <w:tl2br w:val="nil"/>
              <w:tr2bl w:val="nil"/>
            </w:tcBorders>
            <w:vAlign w:val="center"/>
          </w:tcPr>
          <w:p w14:paraId="3BD6A5DE"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国家二级</w:t>
            </w:r>
          </w:p>
        </w:tc>
        <w:tc>
          <w:tcPr>
            <w:tcW w:w="332" w:type="pct"/>
            <w:tcBorders>
              <w:tl2br w:val="nil"/>
              <w:tr2bl w:val="nil"/>
            </w:tcBorders>
            <w:vAlign w:val="center"/>
          </w:tcPr>
          <w:p w14:paraId="34A60141"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近危</w:t>
            </w:r>
          </w:p>
        </w:tc>
        <w:tc>
          <w:tcPr>
            <w:tcW w:w="435" w:type="pct"/>
            <w:tcBorders>
              <w:tl2br w:val="nil"/>
              <w:tr2bl w:val="nil"/>
            </w:tcBorders>
            <w:vAlign w:val="center"/>
          </w:tcPr>
          <w:p w14:paraId="5F8AD8A7"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否</w:t>
            </w:r>
          </w:p>
        </w:tc>
        <w:tc>
          <w:tcPr>
            <w:tcW w:w="870" w:type="pct"/>
            <w:tcBorders>
              <w:tl2br w:val="nil"/>
              <w:tr2bl w:val="nil"/>
            </w:tcBorders>
            <w:vAlign w:val="center"/>
          </w:tcPr>
          <w:p w14:paraId="6CA667CA"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cs="Times New Roman" w:hint="eastAsia"/>
                <w:snapToGrid w:val="0"/>
                <w:kern w:val="0"/>
                <w:sz w:val="21"/>
                <w:szCs w:val="21"/>
              </w:rPr>
              <w:t>山地的河谷、溪流；常见于阔叶林和针阔混交林的沼泽、芦苇塘及湖泊</w:t>
            </w:r>
          </w:p>
        </w:tc>
        <w:tc>
          <w:tcPr>
            <w:tcW w:w="660" w:type="pct"/>
            <w:tcBorders>
              <w:tl2br w:val="nil"/>
              <w:tr2bl w:val="nil"/>
            </w:tcBorders>
            <w:vAlign w:val="center"/>
          </w:tcPr>
          <w:p w14:paraId="46E8AA84"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文献记录、历史调查资料、现场调查</w:t>
            </w:r>
          </w:p>
        </w:tc>
        <w:tc>
          <w:tcPr>
            <w:tcW w:w="521" w:type="pct"/>
            <w:tcBorders>
              <w:tl2br w:val="nil"/>
              <w:tr2bl w:val="nil"/>
            </w:tcBorders>
            <w:vAlign w:val="center"/>
          </w:tcPr>
          <w:p w14:paraId="66E266CA" w14:textId="77777777" w:rsidR="009D12AF" w:rsidRDefault="00000000">
            <w:pPr>
              <w:widowControl/>
              <w:kinsoku w:val="0"/>
              <w:autoSpaceDE w:val="0"/>
              <w:autoSpaceDN w:val="0"/>
              <w:adjustRightInd w:val="0"/>
              <w:snapToGrid w:val="0"/>
              <w:ind w:firstLineChars="0" w:firstLine="0"/>
              <w:jc w:val="center"/>
              <w:textAlignment w:val="baseline"/>
              <w:rPr>
                <w:rFonts w:ascii="Arial" w:eastAsia="宋体" w:hAnsi="Arial" w:cs="宋体"/>
                <w:kern w:val="0"/>
                <w:sz w:val="21"/>
                <w:szCs w:val="21"/>
              </w:rPr>
            </w:pPr>
            <w:r>
              <w:rPr>
                <w:rFonts w:ascii="Arial" w:hAnsi="Arial" w:cs="宋体" w:hint="eastAsia"/>
                <w:kern w:val="0"/>
                <w:sz w:val="21"/>
                <w:szCs w:val="21"/>
              </w:rPr>
              <w:t>否</w:t>
            </w:r>
          </w:p>
        </w:tc>
      </w:tr>
      <w:tr w:rsidR="009D12AF" w14:paraId="28267A5C" w14:textId="77777777">
        <w:trPr>
          <w:jc w:val="center"/>
        </w:trPr>
        <w:tc>
          <w:tcPr>
            <w:tcW w:w="200" w:type="pct"/>
            <w:tcBorders>
              <w:tl2br w:val="nil"/>
              <w:tr2bl w:val="nil"/>
            </w:tcBorders>
            <w:vAlign w:val="center"/>
          </w:tcPr>
          <w:p w14:paraId="67B751E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lastRenderedPageBreak/>
              <w:t>5</w:t>
            </w:r>
          </w:p>
        </w:tc>
        <w:tc>
          <w:tcPr>
            <w:tcW w:w="713" w:type="pct"/>
            <w:tcBorders>
              <w:tl2br w:val="nil"/>
              <w:tr2bl w:val="nil"/>
            </w:tcBorders>
            <w:vAlign w:val="center"/>
          </w:tcPr>
          <w:p w14:paraId="7ECD4EAC" w14:textId="77777777" w:rsidR="009D12AF" w:rsidRDefault="00000000">
            <w:pPr>
              <w:widowControl/>
              <w:spacing w:line="0" w:lineRule="atLeast"/>
              <w:ind w:firstLineChars="0" w:firstLine="0"/>
              <w:jc w:val="center"/>
              <w:rPr>
                <w:rFonts w:ascii="Times New Roman" w:eastAsia="宋体" w:hAnsi="Arial" w:cs="Times New Roman"/>
                <w:sz w:val="21"/>
                <w:szCs w:val="21"/>
              </w:rPr>
            </w:pPr>
            <w:r>
              <w:rPr>
                <w:rFonts w:ascii="Times New Roman" w:eastAsia="宋体" w:hAnsi="Arial" w:cs="Times New Roman" w:hint="eastAsia"/>
                <w:sz w:val="21"/>
                <w:szCs w:val="21"/>
              </w:rPr>
              <w:t>极北鲵</w:t>
            </w:r>
          </w:p>
          <w:p w14:paraId="25501B31" w14:textId="77777777" w:rsidR="009D12AF" w:rsidRDefault="00000000">
            <w:pPr>
              <w:widowControl/>
              <w:spacing w:line="0" w:lineRule="atLeast"/>
              <w:ind w:firstLineChars="0" w:firstLine="0"/>
              <w:jc w:val="center"/>
              <w:rPr>
                <w:rFonts w:ascii="Times New Roman" w:eastAsia="宋体" w:hAnsi="Arial" w:cs="Times New Roman"/>
                <w:i/>
                <w:iCs/>
                <w:sz w:val="21"/>
                <w:szCs w:val="21"/>
              </w:rPr>
            </w:pPr>
            <w:r>
              <w:rPr>
                <w:rFonts w:ascii="Times New Roman" w:eastAsia="宋体" w:hAnsi="Arial" w:cs="Times New Roman"/>
                <w:i/>
                <w:iCs/>
                <w:sz w:val="21"/>
                <w:szCs w:val="21"/>
              </w:rPr>
              <w:t>Salamandrella</w:t>
            </w:r>
          </w:p>
          <w:p w14:paraId="0D2FE046" w14:textId="77777777" w:rsidR="009D12AF" w:rsidRDefault="00000000">
            <w:pPr>
              <w:widowControl/>
              <w:spacing w:line="0" w:lineRule="atLeast"/>
              <w:ind w:firstLineChars="0" w:firstLine="0"/>
              <w:jc w:val="center"/>
              <w:rPr>
                <w:rFonts w:ascii="Times New Roman" w:eastAsia="宋体" w:hAnsi="Arial" w:cs="Times New Roman"/>
                <w:sz w:val="21"/>
                <w:szCs w:val="21"/>
              </w:rPr>
            </w:pPr>
            <w:r>
              <w:rPr>
                <w:rFonts w:ascii="Times New Roman" w:eastAsia="宋体" w:hAnsi="Arial" w:cs="Times New Roman"/>
                <w:i/>
                <w:iCs/>
                <w:sz w:val="21"/>
                <w:szCs w:val="21"/>
              </w:rPr>
              <w:t>keyserlingii</w:t>
            </w:r>
          </w:p>
        </w:tc>
        <w:tc>
          <w:tcPr>
            <w:tcW w:w="812" w:type="pct"/>
            <w:tcBorders>
              <w:tl2br w:val="nil"/>
              <w:tr2bl w:val="nil"/>
            </w:tcBorders>
            <w:vAlign w:val="center"/>
          </w:tcPr>
          <w:p w14:paraId="00BB9D1F" w14:textId="77777777" w:rsidR="009D12AF" w:rsidRDefault="00000000">
            <w:pPr>
              <w:widowControl/>
              <w:kinsoku w:val="0"/>
              <w:autoSpaceDE w:val="0"/>
              <w:autoSpaceDN w:val="0"/>
              <w:adjustRightInd w:val="0"/>
              <w:snapToGrid w:val="0"/>
              <w:ind w:firstLineChars="0" w:firstLine="0"/>
              <w:jc w:val="center"/>
              <w:textAlignment w:val="baseline"/>
              <w:rPr>
                <w:rFonts w:ascii="Arial" w:eastAsia="宋体" w:hAnsi="Arial" w:cs="Times New Roman"/>
                <w:sz w:val="21"/>
                <w:szCs w:val="21"/>
              </w:rPr>
            </w:pPr>
            <w:r>
              <w:rPr>
                <w:rFonts w:ascii="Times New Roman" w:eastAsia="宋体" w:hAnsi="Times New Roman" w:cs="Times New Roman"/>
                <w:noProof/>
                <w:sz w:val="21"/>
                <w:szCs w:val="21"/>
              </w:rPr>
              <w:drawing>
                <wp:inline distT="0" distB="0" distL="0" distR="0" wp14:anchorId="0BDEEE43" wp14:editId="5DC4EE9E">
                  <wp:extent cx="1313815" cy="876300"/>
                  <wp:effectExtent l="0" t="0" r="635" b="0"/>
                  <wp:docPr id="248" name="图片 248" descr="https://img0.baidu.com/it/u=1854627260,3343580394&amp;fm=253&amp;fmt=auto&amp;app=138&amp;f=JPEG?w=750&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https://img0.baidu.com/it/u=1854627260,3343580394&amp;fm=253&amp;fmt=auto&amp;app=138&amp;f=JPEG?w=750&amp;h=500"/>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a:xfrm>
                            <a:off x="0" y="0"/>
                            <a:ext cx="1354748" cy="903527"/>
                          </a:xfrm>
                          <a:prstGeom prst="rect">
                            <a:avLst/>
                          </a:prstGeom>
                          <a:noFill/>
                          <a:ln>
                            <a:noFill/>
                          </a:ln>
                        </pic:spPr>
                      </pic:pic>
                    </a:graphicData>
                  </a:graphic>
                </wp:inline>
              </w:drawing>
            </w:r>
          </w:p>
        </w:tc>
        <w:tc>
          <w:tcPr>
            <w:tcW w:w="453" w:type="pct"/>
            <w:tcBorders>
              <w:tl2br w:val="nil"/>
              <w:tr2bl w:val="nil"/>
            </w:tcBorders>
            <w:vAlign w:val="center"/>
          </w:tcPr>
          <w:p w14:paraId="388770E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国家二级</w:t>
            </w:r>
          </w:p>
        </w:tc>
        <w:tc>
          <w:tcPr>
            <w:tcW w:w="332" w:type="pct"/>
            <w:tcBorders>
              <w:tl2br w:val="nil"/>
              <w:tr2bl w:val="nil"/>
            </w:tcBorders>
            <w:vAlign w:val="center"/>
          </w:tcPr>
          <w:p w14:paraId="3F02073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rPr>
              <w:t>无危</w:t>
            </w:r>
          </w:p>
        </w:tc>
        <w:tc>
          <w:tcPr>
            <w:tcW w:w="435" w:type="pct"/>
            <w:tcBorders>
              <w:tl2br w:val="nil"/>
              <w:tr2bl w:val="nil"/>
            </w:tcBorders>
            <w:vAlign w:val="center"/>
          </w:tcPr>
          <w:p w14:paraId="4BDB6CA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否</w:t>
            </w:r>
          </w:p>
        </w:tc>
        <w:tc>
          <w:tcPr>
            <w:tcW w:w="870" w:type="pct"/>
            <w:tcBorders>
              <w:tl2br w:val="nil"/>
              <w:tr2bl w:val="nil"/>
            </w:tcBorders>
            <w:vAlign w:val="center"/>
          </w:tcPr>
          <w:p w14:paraId="3BE3E177"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cs="Times New Roman" w:hint="eastAsia"/>
                <w:snapToGrid w:val="0"/>
                <w:kern w:val="0"/>
                <w:sz w:val="21"/>
                <w:szCs w:val="21"/>
              </w:rPr>
              <w:t>水质清澈的沼泽地的草丛下或洞穴中</w:t>
            </w:r>
          </w:p>
        </w:tc>
        <w:tc>
          <w:tcPr>
            <w:tcW w:w="660" w:type="pct"/>
            <w:tcBorders>
              <w:tl2br w:val="nil"/>
              <w:tr2bl w:val="nil"/>
            </w:tcBorders>
            <w:vAlign w:val="center"/>
          </w:tcPr>
          <w:p w14:paraId="304D5EC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文献记录、历史调查资料、现场调查</w:t>
            </w:r>
          </w:p>
        </w:tc>
        <w:tc>
          <w:tcPr>
            <w:tcW w:w="521" w:type="pct"/>
            <w:tcBorders>
              <w:tl2br w:val="nil"/>
              <w:tr2bl w:val="nil"/>
            </w:tcBorders>
            <w:vAlign w:val="center"/>
          </w:tcPr>
          <w:p w14:paraId="233AF71B" w14:textId="77777777" w:rsidR="009D12AF" w:rsidRDefault="00000000">
            <w:pPr>
              <w:widowControl/>
              <w:kinsoku w:val="0"/>
              <w:autoSpaceDE w:val="0"/>
              <w:autoSpaceDN w:val="0"/>
              <w:adjustRightInd w:val="0"/>
              <w:snapToGrid w:val="0"/>
              <w:ind w:firstLineChars="0" w:firstLine="0"/>
              <w:jc w:val="center"/>
              <w:textAlignment w:val="baseline"/>
              <w:rPr>
                <w:rFonts w:ascii="Arial" w:eastAsia="宋体" w:hAnsi="Arial" w:cs="宋体"/>
                <w:kern w:val="0"/>
                <w:sz w:val="21"/>
                <w:szCs w:val="21"/>
              </w:rPr>
            </w:pPr>
            <w:r>
              <w:rPr>
                <w:rFonts w:ascii="Arial" w:hAnsi="Arial" w:cs="宋体" w:hint="eastAsia"/>
                <w:kern w:val="0"/>
                <w:sz w:val="21"/>
                <w:szCs w:val="21"/>
              </w:rPr>
              <w:t>否</w:t>
            </w:r>
          </w:p>
        </w:tc>
      </w:tr>
    </w:tbl>
    <w:p w14:paraId="6730F40F" w14:textId="77777777" w:rsidR="009D12AF" w:rsidRDefault="00000000">
      <w:pPr>
        <w:spacing w:line="600" w:lineRule="exact"/>
        <w:ind w:firstLine="480"/>
        <w:jc w:val="center"/>
        <w:rPr>
          <w:rFonts w:ascii="Arial" w:eastAsia="黑体" w:hAnsi="Arial" w:cs="Arial"/>
        </w:rPr>
      </w:pPr>
      <w:r>
        <w:rPr>
          <w:rFonts w:ascii="Arial" w:eastAsia="黑体" w:hAnsi="Arial" w:cs="Arial"/>
        </w:rPr>
        <w:tab/>
      </w:r>
      <w:bookmarkStart w:id="322" w:name="_Hlk177845219"/>
      <w:r>
        <w:rPr>
          <w:rFonts w:ascii="Arial" w:eastAsia="黑体" w:hAnsi="Arial" w:cs="Arial" w:hint="eastAsia"/>
        </w:rPr>
        <w:t>表</w:t>
      </w:r>
      <w:r>
        <w:rPr>
          <w:rFonts w:ascii="Arial" w:eastAsia="黑体" w:hAnsi="Arial" w:cs="Arial" w:hint="eastAsia"/>
        </w:rPr>
        <w:t xml:space="preserve">4.3-58  </w:t>
      </w:r>
      <w:r>
        <w:rPr>
          <w:rFonts w:ascii="Arial" w:eastAsia="黑体" w:hAnsi="Arial" w:cs="Arial" w:hint="eastAsia"/>
        </w:rPr>
        <w:t>评价范围内省重要野生动物和“三有”野生动物调查统计</w:t>
      </w:r>
      <w:bookmarkEnd w:id="322"/>
    </w:p>
    <w:tbl>
      <w:tblPr>
        <w:tblW w:w="4998" w:type="pct"/>
        <w:jc w:val="center"/>
        <w:tblBorders>
          <w:top w:val="single" w:sz="12" w:space="0" w:color="auto"/>
          <w:bottom w:val="single" w:sz="12"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1324"/>
        <w:gridCol w:w="2230"/>
        <w:gridCol w:w="2844"/>
        <w:gridCol w:w="1025"/>
        <w:gridCol w:w="1360"/>
        <w:gridCol w:w="1076"/>
        <w:gridCol w:w="1214"/>
        <w:gridCol w:w="1211"/>
        <w:gridCol w:w="1782"/>
      </w:tblGrid>
      <w:tr w:rsidR="009D12AF" w14:paraId="639294A5" w14:textId="77777777">
        <w:trPr>
          <w:trHeight w:val="23"/>
          <w:tblHeader/>
          <w:jc w:val="center"/>
        </w:trPr>
        <w:tc>
          <w:tcPr>
            <w:tcW w:w="489" w:type="pct"/>
            <w:tcBorders>
              <w:tl2br w:val="nil"/>
              <w:tr2bl w:val="nil"/>
            </w:tcBorders>
            <w:vAlign w:val="center"/>
          </w:tcPr>
          <w:p w14:paraId="5C0FDF1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序号</w:t>
            </w:r>
          </w:p>
        </w:tc>
        <w:tc>
          <w:tcPr>
            <w:tcW w:w="810" w:type="pct"/>
            <w:tcBorders>
              <w:tl2br w:val="nil"/>
              <w:tr2bl w:val="nil"/>
            </w:tcBorders>
            <w:vAlign w:val="center"/>
          </w:tcPr>
          <w:p w14:paraId="67EDF73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物种名称</w:t>
            </w:r>
          </w:p>
          <w:p w14:paraId="2F325AA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中文名</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拉丁名</w:t>
            </w:r>
            <w:r>
              <w:rPr>
                <w:rFonts w:ascii="Times New Roman" w:eastAsia="宋体" w:hAnsi="Times New Roman" w:cs="Times New Roman"/>
                <w:kern w:val="0"/>
                <w:sz w:val="21"/>
                <w:szCs w:val="21"/>
              </w:rPr>
              <w:t>)</w:t>
            </w:r>
          </w:p>
        </w:tc>
        <w:tc>
          <w:tcPr>
            <w:tcW w:w="861" w:type="pct"/>
            <w:tcBorders>
              <w:tl2br w:val="nil"/>
              <w:tr2bl w:val="nil"/>
            </w:tcBorders>
            <w:vAlign w:val="center"/>
          </w:tcPr>
          <w:p w14:paraId="39CD097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照片</w:t>
            </w:r>
          </w:p>
        </w:tc>
        <w:tc>
          <w:tcPr>
            <w:tcW w:w="383" w:type="pct"/>
            <w:tcBorders>
              <w:tl2br w:val="nil"/>
              <w:tr2bl w:val="nil"/>
            </w:tcBorders>
            <w:vAlign w:val="center"/>
          </w:tcPr>
          <w:p w14:paraId="09F2098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保护级别</w:t>
            </w:r>
          </w:p>
        </w:tc>
        <w:tc>
          <w:tcPr>
            <w:tcW w:w="501" w:type="pct"/>
            <w:tcBorders>
              <w:tl2br w:val="nil"/>
              <w:tr2bl w:val="nil"/>
            </w:tcBorders>
            <w:vAlign w:val="center"/>
          </w:tcPr>
          <w:p w14:paraId="2564695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三有保护动物</w:t>
            </w:r>
          </w:p>
          <w:p w14:paraId="18292A2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w:t>
            </w:r>
            <w:r>
              <w:rPr>
                <w:rFonts w:ascii="Times New Roman" w:eastAsia="宋体" w:hAnsi="Times New Roman" w:cs="Times New Roman"/>
                <w:kern w:val="0"/>
                <w:sz w:val="21"/>
                <w:szCs w:val="21"/>
              </w:rPr>
              <w:t>是</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否</w:t>
            </w:r>
            <w:r>
              <w:rPr>
                <w:rFonts w:ascii="Times New Roman" w:eastAsia="宋体" w:hAnsi="Times New Roman" w:cs="Times New Roman" w:hint="eastAsia"/>
                <w:kern w:val="0"/>
                <w:sz w:val="21"/>
                <w:szCs w:val="21"/>
              </w:rPr>
              <w:t>)</w:t>
            </w:r>
          </w:p>
        </w:tc>
        <w:tc>
          <w:tcPr>
            <w:tcW w:w="401" w:type="pct"/>
            <w:tcBorders>
              <w:tl2br w:val="nil"/>
              <w:tr2bl w:val="nil"/>
            </w:tcBorders>
            <w:vAlign w:val="center"/>
          </w:tcPr>
          <w:p w14:paraId="7E422EC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特有种</w:t>
            </w:r>
          </w:p>
          <w:p w14:paraId="4C0A16C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w:t>
            </w:r>
            <w:r>
              <w:rPr>
                <w:rFonts w:ascii="Times New Roman" w:eastAsia="宋体" w:hAnsi="Times New Roman" w:cs="Times New Roman"/>
                <w:kern w:val="0"/>
                <w:sz w:val="21"/>
                <w:szCs w:val="21"/>
              </w:rPr>
              <w:t>是</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否</w:t>
            </w:r>
            <w:r>
              <w:rPr>
                <w:rFonts w:ascii="Times New Roman" w:eastAsia="宋体" w:hAnsi="Times New Roman" w:cs="Times New Roman" w:hint="eastAsia"/>
                <w:kern w:val="0"/>
                <w:sz w:val="21"/>
                <w:szCs w:val="21"/>
              </w:rPr>
              <w:t>)</w:t>
            </w:r>
          </w:p>
        </w:tc>
        <w:tc>
          <w:tcPr>
            <w:tcW w:w="450" w:type="pct"/>
            <w:tcBorders>
              <w:tl2br w:val="nil"/>
              <w:tr2bl w:val="nil"/>
            </w:tcBorders>
            <w:vAlign w:val="center"/>
          </w:tcPr>
          <w:p w14:paraId="3A18EC5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分布区域</w:t>
            </w:r>
          </w:p>
        </w:tc>
        <w:tc>
          <w:tcPr>
            <w:tcW w:w="449" w:type="pct"/>
            <w:tcBorders>
              <w:tl2br w:val="nil"/>
              <w:tr2bl w:val="nil"/>
            </w:tcBorders>
            <w:vAlign w:val="center"/>
          </w:tcPr>
          <w:p w14:paraId="6930B9B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kern w:val="0"/>
                <w:sz w:val="21"/>
                <w:szCs w:val="21"/>
              </w:rPr>
              <w:t>资料来源</w:t>
            </w:r>
          </w:p>
        </w:tc>
        <w:tc>
          <w:tcPr>
            <w:tcW w:w="651" w:type="pct"/>
            <w:tcBorders>
              <w:tl2br w:val="nil"/>
              <w:tr2bl w:val="nil"/>
            </w:tcBorders>
            <w:vAlign w:val="center"/>
          </w:tcPr>
          <w:p w14:paraId="0D50E2E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工程占用情况</w:t>
            </w:r>
          </w:p>
          <w:p w14:paraId="731E118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hint="eastAsia"/>
                <w:kern w:val="0"/>
                <w:sz w:val="21"/>
                <w:szCs w:val="21"/>
              </w:rPr>
              <w:t>(</w:t>
            </w:r>
            <w:r>
              <w:rPr>
                <w:rFonts w:ascii="Times New Roman" w:eastAsia="宋体" w:hAnsi="Times New Roman" w:cs="Times New Roman"/>
                <w:kern w:val="0"/>
                <w:sz w:val="21"/>
                <w:szCs w:val="21"/>
              </w:rPr>
              <w:t>是</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否</w:t>
            </w:r>
            <w:r>
              <w:rPr>
                <w:rFonts w:ascii="Times New Roman" w:eastAsia="宋体" w:hAnsi="Times New Roman" w:cs="Times New Roman" w:hint="eastAsia"/>
                <w:kern w:val="0"/>
                <w:sz w:val="21"/>
                <w:szCs w:val="21"/>
              </w:rPr>
              <w:t>)</w:t>
            </w:r>
          </w:p>
        </w:tc>
      </w:tr>
      <w:tr w:rsidR="009D12AF" w14:paraId="6ED7F27E" w14:textId="77777777">
        <w:trPr>
          <w:trHeight w:val="23"/>
          <w:jc w:val="center"/>
        </w:trPr>
        <w:tc>
          <w:tcPr>
            <w:tcW w:w="489" w:type="pct"/>
            <w:tcBorders>
              <w:tl2br w:val="nil"/>
              <w:tr2bl w:val="nil"/>
            </w:tcBorders>
            <w:vAlign w:val="center"/>
          </w:tcPr>
          <w:p w14:paraId="095D77DA"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61CBADFA"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黑龙江草蜥</w:t>
            </w:r>
          </w:p>
          <w:p w14:paraId="5DDE2A1B" w14:textId="77777777" w:rsidR="009D12AF" w:rsidRDefault="00000000">
            <w:pPr>
              <w:widowControl/>
              <w:adjustRightInd w:val="0"/>
              <w:snapToGrid w:val="0"/>
              <w:ind w:firstLineChars="0" w:firstLine="0"/>
              <w:jc w:val="center"/>
              <w:rPr>
                <w:rFonts w:ascii="Times New Roman" w:eastAsia="宋体" w:hAnsi="Times New Roman" w:cs="Times New Roman"/>
                <w:i/>
                <w:iCs/>
                <w:kern w:val="0"/>
                <w:sz w:val="21"/>
                <w:szCs w:val="21"/>
              </w:rPr>
            </w:pPr>
            <w:r>
              <w:rPr>
                <w:rFonts w:cs="Times New Roman"/>
                <w:i/>
                <w:iCs/>
                <w:kern w:val="0"/>
                <w:sz w:val="21"/>
                <w:szCs w:val="21"/>
              </w:rPr>
              <w:t>Takydromus amurensis</w:t>
            </w:r>
          </w:p>
        </w:tc>
        <w:tc>
          <w:tcPr>
            <w:tcW w:w="861" w:type="pct"/>
            <w:tcBorders>
              <w:tl2br w:val="nil"/>
              <w:tr2bl w:val="nil"/>
            </w:tcBorders>
            <w:vAlign w:val="center"/>
          </w:tcPr>
          <w:p w14:paraId="2F02494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4C5E290C" wp14:editId="352EC193">
                  <wp:extent cx="1492885" cy="995045"/>
                  <wp:effectExtent l="0" t="0" r="12065" b="14605"/>
                  <wp:docPr id="241664175" name="图片 241664175" descr="https://pic.quanjing.com/e0/0m/QJ9125085722.jpg@!350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64175" name="图片 241664175" descr="https://pic.quanjing.com/e0/0m/QJ9125085722.jpg@!350h"/>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a:xfrm>
                            <a:off x="0" y="0"/>
                            <a:ext cx="1818421" cy="1212436"/>
                          </a:xfrm>
                          <a:prstGeom prst="rect">
                            <a:avLst/>
                          </a:prstGeom>
                          <a:noFill/>
                          <a:ln>
                            <a:noFill/>
                          </a:ln>
                        </pic:spPr>
                      </pic:pic>
                    </a:graphicData>
                  </a:graphic>
                </wp:inline>
              </w:drawing>
            </w:r>
          </w:p>
        </w:tc>
        <w:tc>
          <w:tcPr>
            <w:tcW w:w="383" w:type="pct"/>
            <w:tcBorders>
              <w:tl2br w:val="nil"/>
              <w:tr2bl w:val="nil"/>
            </w:tcBorders>
            <w:vAlign w:val="center"/>
          </w:tcPr>
          <w:p w14:paraId="05C282E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hint="eastAsia"/>
                <w:sz w:val="21"/>
                <w:szCs w:val="21"/>
              </w:rPr>
              <w:t>黑龙江省级</w:t>
            </w:r>
          </w:p>
        </w:tc>
        <w:tc>
          <w:tcPr>
            <w:tcW w:w="501" w:type="pct"/>
            <w:tcBorders>
              <w:tl2br w:val="nil"/>
              <w:tr2bl w:val="nil"/>
            </w:tcBorders>
            <w:vAlign w:val="center"/>
          </w:tcPr>
          <w:p w14:paraId="1224F51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2EDC5CE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56E433E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山林边缘、荒山坡、草丛间</w:t>
            </w:r>
          </w:p>
        </w:tc>
        <w:tc>
          <w:tcPr>
            <w:tcW w:w="449" w:type="pct"/>
            <w:tcBorders>
              <w:tl2br w:val="nil"/>
              <w:tr2bl w:val="nil"/>
            </w:tcBorders>
            <w:vAlign w:val="center"/>
          </w:tcPr>
          <w:p w14:paraId="0BA7EAA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43E2CCC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5349696D" w14:textId="77777777">
        <w:trPr>
          <w:trHeight w:val="23"/>
          <w:jc w:val="center"/>
        </w:trPr>
        <w:tc>
          <w:tcPr>
            <w:tcW w:w="489" w:type="pct"/>
            <w:tcBorders>
              <w:tl2br w:val="nil"/>
              <w:tr2bl w:val="nil"/>
            </w:tcBorders>
            <w:vAlign w:val="center"/>
          </w:tcPr>
          <w:p w14:paraId="6D7ECF0C"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34D9E231"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红点锦蛇</w:t>
            </w:r>
          </w:p>
          <w:p w14:paraId="25C73BC2" w14:textId="77777777" w:rsidR="009D12AF" w:rsidRDefault="00000000">
            <w:pPr>
              <w:widowControl/>
              <w:adjustRightInd w:val="0"/>
              <w:snapToGrid w:val="0"/>
              <w:ind w:firstLineChars="0" w:firstLine="0"/>
              <w:jc w:val="center"/>
              <w:rPr>
                <w:rFonts w:ascii="Times New Roman" w:eastAsia="宋体" w:hAnsi="Times New Roman" w:cs="Times New Roman"/>
                <w:i/>
                <w:iCs/>
                <w:kern w:val="0"/>
                <w:sz w:val="21"/>
                <w:szCs w:val="21"/>
              </w:rPr>
            </w:pPr>
            <w:r>
              <w:rPr>
                <w:rFonts w:cs="Times New Roman"/>
                <w:i/>
                <w:iCs/>
                <w:kern w:val="0"/>
                <w:sz w:val="21"/>
                <w:szCs w:val="21"/>
              </w:rPr>
              <w:t>Elaphe rufodorsata</w:t>
            </w:r>
          </w:p>
        </w:tc>
        <w:tc>
          <w:tcPr>
            <w:tcW w:w="861" w:type="pct"/>
            <w:tcBorders>
              <w:tl2br w:val="nil"/>
              <w:tr2bl w:val="nil"/>
            </w:tcBorders>
            <w:vAlign w:val="center"/>
          </w:tcPr>
          <w:p w14:paraId="674C3FA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2B83601F" wp14:editId="2748F6BF">
                  <wp:extent cx="1457960" cy="982980"/>
                  <wp:effectExtent l="0" t="0" r="8890" b="7620"/>
                  <wp:docPr id="249" name="图片 249" descr="https://img2.baidu.com/it/u=1996491569,3241107620&amp;fm=253&amp;fmt=auto&amp;app=138&amp;f=JPEG?w=500&amp;h=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https://img2.baidu.com/it/u=1996491569,3241107620&amp;fm=253&amp;fmt=auto&amp;app=138&amp;f=JPEG?w=500&amp;h=337"/>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a:xfrm flipH="1">
                            <a:off x="0" y="0"/>
                            <a:ext cx="1500124" cy="1011550"/>
                          </a:xfrm>
                          <a:prstGeom prst="rect">
                            <a:avLst/>
                          </a:prstGeom>
                          <a:noFill/>
                          <a:ln>
                            <a:noFill/>
                          </a:ln>
                        </pic:spPr>
                      </pic:pic>
                    </a:graphicData>
                  </a:graphic>
                </wp:inline>
              </w:drawing>
            </w:r>
          </w:p>
        </w:tc>
        <w:tc>
          <w:tcPr>
            <w:tcW w:w="383" w:type="pct"/>
            <w:tcBorders>
              <w:tl2br w:val="nil"/>
              <w:tr2bl w:val="nil"/>
            </w:tcBorders>
            <w:vAlign w:val="center"/>
          </w:tcPr>
          <w:p w14:paraId="733353D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hint="eastAsia"/>
                <w:sz w:val="21"/>
                <w:szCs w:val="21"/>
              </w:rPr>
              <w:t>黑龙江省级</w:t>
            </w:r>
          </w:p>
        </w:tc>
        <w:tc>
          <w:tcPr>
            <w:tcW w:w="501" w:type="pct"/>
            <w:tcBorders>
              <w:tl2br w:val="nil"/>
              <w:tr2bl w:val="nil"/>
            </w:tcBorders>
            <w:vAlign w:val="center"/>
          </w:tcPr>
          <w:p w14:paraId="13236AD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是</w:t>
            </w:r>
          </w:p>
        </w:tc>
        <w:tc>
          <w:tcPr>
            <w:tcW w:w="401" w:type="pct"/>
            <w:tcBorders>
              <w:tl2br w:val="nil"/>
              <w:tr2bl w:val="nil"/>
            </w:tcBorders>
            <w:vAlign w:val="center"/>
          </w:tcPr>
          <w:p w14:paraId="50C5B15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4B3203A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河滨池塘及附近田野</w:t>
            </w:r>
          </w:p>
        </w:tc>
        <w:tc>
          <w:tcPr>
            <w:tcW w:w="449" w:type="pct"/>
            <w:tcBorders>
              <w:tl2br w:val="nil"/>
              <w:tr2bl w:val="nil"/>
            </w:tcBorders>
            <w:vAlign w:val="center"/>
          </w:tcPr>
          <w:p w14:paraId="58C38A8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目击</w:t>
            </w:r>
          </w:p>
        </w:tc>
        <w:tc>
          <w:tcPr>
            <w:tcW w:w="651" w:type="pct"/>
            <w:tcBorders>
              <w:tl2br w:val="nil"/>
              <w:tr2bl w:val="nil"/>
            </w:tcBorders>
            <w:vAlign w:val="center"/>
          </w:tcPr>
          <w:p w14:paraId="60A5CA2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2455DB54" w14:textId="77777777">
        <w:trPr>
          <w:trHeight w:val="23"/>
          <w:jc w:val="center"/>
        </w:trPr>
        <w:tc>
          <w:tcPr>
            <w:tcW w:w="489" w:type="pct"/>
            <w:tcBorders>
              <w:tl2br w:val="nil"/>
              <w:tr2bl w:val="nil"/>
            </w:tcBorders>
            <w:vAlign w:val="center"/>
          </w:tcPr>
          <w:p w14:paraId="425E4EF8"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370847CD"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虎斑颈槽蛇</w:t>
            </w:r>
          </w:p>
          <w:p w14:paraId="53B756C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Rhabdophis tigrinus</w:t>
            </w:r>
          </w:p>
        </w:tc>
        <w:tc>
          <w:tcPr>
            <w:tcW w:w="861" w:type="pct"/>
            <w:tcBorders>
              <w:tl2br w:val="nil"/>
              <w:tr2bl w:val="nil"/>
            </w:tcBorders>
            <w:vAlign w:val="center"/>
          </w:tcPr>
          <w:p w14:paraId="3B8982F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4D3E88CE" wp14:editId="00E68A01">
                  <wp:extent cx="1449070" cy="965835"/>
                  <wp:effectExtent l="0" t="0" r="17780" b="5715"/>
                  <wp:docPr id="257" name="图片 257" descr="https://bkimg.cdn.bcebos.com/pic/dcc451da81cb39dbb6fd04ebbb401e24ab18972b9a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https://bkimg.cdn.bcebos.com/pic/dcc451da81cb39dbb6fd04ebbb401e24ab18972b9a4a"/>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a:xfrm>
                            <a:off x="0" y="0"/>
                            <a:ext cx="1474175" cy="982480"/>
                          </a:xfrm>
                          <a:prstGeom prst="rect">
                            <a:avLst/>
                          </a:prstGeom>
                          <a:noFill/>
                          <a:ln>
                            <a:noFill/>
                          </a:ln>
                        </pic:spPr>
                      </pic:pic>
                    </a:graphicData>
                  </a:graphic>
                </wp:inline>
              </w:drawing>
            </w:r>
          </w:p>
        </w:tc>
        <w:tc>
          <w:tcPr>
            <w:tcW w:w="383" w:type="pct"/>
            <w:tcBorders>
              <w:tl2br w:val="nil"/>
              <w:tr2bl w:val="nil"/>
            </w:tcBorders>
            <w:vAlign w:val="center"/>
          </w:tcPr>
          <w:p w14:paraId="2572E43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hint="eastAsia"/>
                <w:sz w:val="21"/>
                <w:szCs w:val="21"/>
              </w:rPr>
              <w:t>黑龙江省级</w:t>
            </w:r>
          </w:p>
        </w:tc>
        <w:tc>
          <w:tcPr>
            <w:tcW w:w="501" w:type="pct"/>
            <w:tcBorders>
              <w:tl2br w:val="nil"/>
              <w:tr2bl w:val="nil"/>
            </w:tcBorders>
            <w:vAlign w:val="center"/>
          </w:tcPr>
          <w:p w14:paraId="43A94C8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50E97BE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28435B3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山地、丘陵和平原</w:t>
            </w:r>
          </w:p>
        </w:tc>
        <w:tc>
          <w:tcPr>
            <w:tcW w:w="449" w:type="pct"/>
            <w:tcBorders>
              <w:tl2br w:val="nil"/>
              <w:tr2bl w:val="nil"/>
            </w:tcBorders>
            <w:vAlign w:val="center"/>
          </w:tcPr>
          <w:p w14:paraId="3B0ED79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目击</w:t>
            </w:r>
          </w:p>
        </w:tc>
        <w:tc>
          <w:tcPr>
            <w:tcW w:w="651" w:type="pct"/>
            <w:tcBorders>
              <w:tl2br w:val="nil"/>
              <w:tr2bl w:val="nil"/>
            </w:tcBorders>
            <w:vAlign w:val="center"/>
          </w:tcPr>
          <w:p w14:paraId="4372C0A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5459A8B7" w14:textId="77777777">
        <w:trPr>
          <w:trHeight w:val="23"/>
          <w:jc w:val="center"/>
        </w:trPr>
        <w:tc>
          <w:tcPr>
            <w:tcW w:w="489" w:type="pct"/>
            <w:tcBorders>
              <w:tl2br w:val="nil"/>
              <w:tr2bl w:val="nil"/>
            </w:tcBorders>
            <w:vAlign w:val="center"/>
          </w:tcPr>
          <w:p w14:paraId="0CCBE762"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0578411E"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太平鸟</w:t>
            </w:r>
          </w:p>
          <w:p w14:paraId="7166DD4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i/>
                <w:iCs/>
                <w:kern w:val="0"/>
                <w:sz w:val="21"/>
                <w:szCs w:val="21"/>
              </w:rPr>
              <w:t>Bombycilla garrulus</w:t>
            </w:r>
          </w:p>
        </w:tc>
        <w:tc>
          <w:tcPr>
            <w:tcW w:w="861" w:type="pct"/>
            <w:tcBorders>
              <w:tl2br w:val="nil"/>
              <w:tr2bl w:val="nil"/>
            </w:tcBorders>
            <w:vAlign w:val="center"/>
          </w:tcPr>
          <w:p w14:paraId="12450F7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3E834DE9" wp14:editId="27299284">
                  <wp:extent cx="1359535" cy="1026795"/>
                  <wp:effectExtent l="0" t="0" r="12065" b="1905"/>
                  <wp:docPr id="258" name="图片 258" descr="https://pic.rmb.bdstatic.com/608c8234c5d6a687bed80e32836368a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https://pic.rmb.bdstatic.com/608c8234c5d6a687bed80e32836368a3.jpeg"/>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a:xfrm>
                            <a:off x="0" y="0"/>
                            <a:ext cx="1389988" cy="1050164"/>
                          </a:xfrm>
                          <a:prstGeom prst="rect">
                            <a:avLst/>
                          </a:prstGeom>
                          <a:noFill/>
                          <a:ln>
                            <a:noFill/>
                          </a:ln>
                        </pic:spPr>
                      </pic:pic>
                    </a:graphicData>
                  </a:graphic>
                </wp:inline>
              </w:drawing>
            </w:r>
          </w:p>
        </w:tc>
        <w:tc>
          <w:tcPr>
            <w:tcW w:w="383" w:type="pct"/>
            <w:tcBorders>
              <w:tl2br w:val="nil"/>
              <w:tr2bl w:val="nil"/>
            </w:tcBorders>
            <w:vAlign w:val="center"/>
          </w:tcPr>
          <w:p w14:paraId="7E702EE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hint="eastAsia"/>
                <w:sz w:val="21"/>
                <w:szCs w:val="21"/>
              </w:rPr>
              <w:t>黑龙江省级</w:t>
            </w:r>
          </w:p>
        </w:tc>
        <w:tc>
          <w:tcPr>
            <w:tcW w:w="501" w:type="pct"/>
            <w:tcBorders>
              <w:tl2br w:val="nil"/>
              <w:tr2bl w:val="nil"/>
            </w:tcBorders>
            <w:vAlign w:val="center"/>
          </w:tcPr>
          <w:p w14:paraId="30C48E3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7F8FB6D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4766CD3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针叶林、混交林</w:t>
            </w:r>
          </w:p>
        </w:tc>
        <w:tc>
          <w:tcPr>
            <w:tcW w:w="449" w:type="pct"/>
            <w:tcBorders>
              <w:tl2br w:val="nil"/>
              <w:tr2bl w:val="nil"/>
            </w:tcBorders>
            <w:vAlign w:val="center"/>
          </w:tcPr>
          <w:p w14:paraId="4DDBB94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015FD42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49E03E1D" w14:textId="77777777">
        <w:trPr>
          <w:trHeight w:val="23"/>
          <w:jc w:val="center"/>
        </w:trPr>
        <w:tc>
          <w:tcPr>
            <w:tcW w:w="489" w:type="pct"/>
            <w:tcBorders>
              <w:tl2br w:val="nil"/>
              <w:tr2bl w:val="nil"/>
            </w:tcBorders>
            <w:vAlign w:val="center"/>
          </w:tcPr>
          <w:p w14:paraId="0EAA4D33"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36605EDE"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朱顶雀</w:t>
            </w:r>
          </w:p>
          <w:p w14:paraId="2A242D1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Carduelis</w:t>
            </w:r>
            <w:r>
              <w:rPr>
                <w:rFonts w:cs="Times New Roman" w:hint="eastAsia"/>
                <w:i/>
                <w:iCs/>
                <w:kern w:val="0"/>
                <w:sz w:val="21"/>
                <w:szCs w:val="21"/>
              </w:rPr>
              <w:t xml:space="preserve"> flammea</w:t>
            </w:r>
          </w:p>
        </w:tc>
        <w:tc>
          <w:tcPr>
            <w:tcW w:w="861" w:type="pct"/>
            <w:tcBorders>
              <w:tl2br w:val="nil"/>
              <w:tr2bl w:val="nil"/>
            </w:tcBorders>
            <w:vAlign w:val="center"/>
          </w:tcPr>
          <w:p w14:paraId="48E3696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09349EB9" wp14:editId="4FEF374E">
                  <wp:extent cx="1427480" cy="925830"/>
                  <wp:effectExtent l="0" t="0" r="1270" b="7620"/>
                  <wp:docPr id="259" name="图片 259" descr="https://img1.baidu.com/it/u=3978788598,64005193&amp;fm=253&amp;fmt=auto&amp;app=138&amp;f=JPEG?w=771&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https://img1.baidu.com/it/u=3978788598,64005193&amp;fm=253&amp;fmt=auto&amp;app=138&amp;f=JPEG?w=771&amp;h=500"/>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a:xfrm>
                            <a:off x="0" y="0"/>
                            <a:ext cx="1447809" cy="938961"/>
                          </a:xfrm>
                          <a:prstGeom prst="rect">
                            <a:avLst/>
                          </a:prstGeom>
                          <a:noFill/>
                          <a:ln>
                            <a:noFill/>
                          </a:ln>
                        </pic:spPr>
                      </pic:pic>
                    </a:graphicData>
                  </a:graphic>
                </wp:inline>
              </w:drawing>
            </w:r>
          </w:p>
        </w:tc>
        <w:tc>
          <w:tcPr>
            <w:tcW w:w="383" w:type="pct"/>
            <w:tcBorders>
              <w:tl2br w:val="nil"/>
              <w:tr2bl w:val="nil"/>
            </w:tcBorders>
            <w:vAlign w:val="center"/>
          </w:tcPr>
          <w:p w14:paraId="57508E2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hint="eastAsia"/>
                <w:sz w:val="21"/>
                <w:szCs w:val="21"/>
              </w:rPr>
              <w:t>黑龙江省级</w:t>
            </w:r>
          </w:p>
        </w:tc>
        <w:tc>
          <w:tcPr>
            <w:tcW w:w="501" w:type="pct"/>
            <w:tcBorders>
              <w:tl2br w:val="nil"/>
              <w:tr2bl w:val="nil"/>
            </w:tcBorders>
            <w:vAlign w:val="center"/>
          </w:tcPr>
          <w:p w14:paraId="48697AC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否</w:t>
            </w:r>
          </w:p>
        </w:tc>
        <w:tc>
          <w:tcPr>
            <w:tcW w:w="401" w:type="pct"/>
            <w:tcBorders>
              <w:tl2br w:val="nil"/>
              <w:tr2bl w:val="nil"/>
            </w:tcBorders>
            <w:vAlign w:val="center"/>
          </w:tcPr>
          <w:p w14:paraId="119808A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108F9DE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山区林地、灌木丛及农田</w:t>
            </w:r>
          </w:p>
        </w:tc>
        <w:tc>
          <w:tcPr>
            <w:tcW w:w="449" w:type="pct"/>
            <w:tcBorders>
              <w:tl2br w:val="nil"/>
              <w:tr2bl w:val="nil"/>
            </w:tcBorders>
            <w:vAlign w:val="center"/>
          </w:tcPr>
          <w:p w14:paraId="70AA184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48719EA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7F2CF69A" w14:textId="77777777">
        <w:trPr>
          <w:trHeight w:val="23"/>
          <w:jc w:val="center"/>
        </w:trPr>
        <w:tc>
          <w:tcPr>
            <w:tcW w:w="489" w:type="pct"/>
            <w:tcBorders>
              <w:tl2br w:val="nil"/>
              <w:tr2bl w:val="nil"/>
            </w:tcBorders>
            <w:vAlign w:val="center"/>
          </w:tcPr>
          <w:p w14:paraId="3ABBC962"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51298F30"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金翅雀</w:t>
            </w:r>
          </w:p>
          <w:p w14:paraId="4267156E" w14:textId="77777777" w:rsidR="009D12AF" w:rsidRDefault="00000000">
            <w:pPr>
              <w:widowControl/>
              <w:adjustRightInd w:val="0"/>
              <w:snapToGrid w:val="0"/>
              <w:ind w:firstLineChars="0" w:firstLine="0"/>
              <w:jc w:val="center"/>
              <w:rPr>
                <w:rFonts w:ascii="Times New Roman" w:eastAsia="宋体" w:hAnsi="Times New Roman" w:cs="Times New Roman"/>
                <w:i/>
                <w:iCs/>
                <w:kern w:val="0"/>
                <w:sz w:val="21"/>
                <w:szCs w:val="21"/>
              </w:rPr>
            </w:pPr>
            <w:r>
              <w:rPr>
                <w:rFonts w:cs="Times New Roman"/>
                <w:i/>
                <w:iCs/>
                <w:kern w:val="0"/>
                <w:sz w:val="21"/>
                <w:szCs w:val="21"/>
              </w:rPr>
              <w:t>Chloris sinica</w:t>
            </w:r>
          </w:p>
        </w:tc>
        <w:tc>
          <w:tcPr>
            <w:tcW w:w="861" w:type="pct"/>
            <w:tcBorders>
              <w:tl2br w:val="nil"/>
              <w:tr2bl w:val="nil"/>
            </w:tcBorders>
            <w:vAlign w:val="center"/>
          </w:tcPr>
          <w:p w14:paraId="07ADF38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70697780" wp14:editId="2DEF49CE">
                  <wp:extent cx="1482090" cy="986790"/>
                  <wp:effectExtent l="0" t="0" r="3810" b="3810"/>
                  <wp:docPr id="260" name="图片 260" descr="https://img1.baidu.com/it/u=994730574,2502824248&amp;fm=253&amp;fmt=auto&amp;app=138&amp;f=JPEG?w=1201&amp;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https://img1.baidu.com/it/u=994730574,2502824248&amp;fm=253&amp;fmt=auto&amp;app=138&amp;f=JPEG?w=1201&amp;h=800"/>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a:xfrm>
                            <a:off x="0" y="0"/>
                            <a:ext cx="1518638" cy="1011667"/>
                          </a:xfrm>
                          <a:prstGeom prst="rect">
                            <a:avLst/>
                          </a:prstGeom>
                          <a:noFill/>
                          <a:ln>
                            <a:noFill/>
                          </a:ln>
                        </pic:spPr>
                      </pic:pic>
                    </a:graphicData>
                  </a:graphic>
                </wp:inline>
              </w:drawing>
            </w:r>
          </w:p>
        </w:tc>
        <w:tc>
          <w:tcPr>
            <w:tcW w:w="383" w:type="pct"/>
            <w:tcBorders>
              <w:tl2br w:val="nil"/>
              <w:tr2bl w:val="nil"/>
            </w:tcBorders>
            <w:vAlign w:val="center"/>
          </w:tcPr>
          <w:p w14:paraId="37636DD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hint="eastAsia"/>
                <w:sz w:val="21"/>
                <w:szCs w:val="21"/>
              </w:rPr>
              <w:t>黑龙江省级</w:t>
            </w:r>
          </w:p>
        </w:tc>
        <w:tc>
          <w:tcPr>
            <w:tcW w:w="501" w:type="pct"/>
            <w:tcBorders>
              <w:tl2br w:val="nil"/>
              <w:tr2bl w:val="nil"/>
            </w:tcBorders>
            <w:vAlign w:val="center"/>
          </w:tcPr>
          <w:p w14:paraId="7C7979A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5B3C6CA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382242D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低山、丘陵、山脚和平原等开阔地带的疏林</w:t>
            </w:r>
          </w:p>
        </w:tc>
        <w:tc>
          <w:tcPr>
            <w:tcW w:w="449" w:type="pct"/>
            <w:tcBorders>
              <w:tl2br w:val="nil"/>
              <w:tr2bl w:val="nil"/>
            </w:tcBorders>
            <w:vAlign w:val="center"/>
          </w:tcPr>
          <w:p w14:paraId="156A7CE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3146AB7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4E811D2D" w14:textId="77777777">
        <w:trPr>
          <w:trHeight w:val="23"/>
          <w:jc w:val="center"/>
        </w:trPr>
        <w:tc>
          <w:tcPr>
            <w:tcW w:w="489" w:type="pct"/>
            <w:tcBorders>
              <w:tl2br w:val="nil"/>
              <w:tr2bl w:val="nil"/>
            </w:tcBorders>
            <w:vAlign w:val="center"/>
          </w:tcPr>
          <w:p w14:paraId="7AFD743E"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686169EE"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hint="eastAsia"/>
                <w:color w:val="000000"/>
                <w:kern w:val="0"/>
                <w:sz w:val="21"/>
                <w:szCs w:val="21"/>
              </w:rPr>
              <w:t>远东</w:t>
            </w:r>
            <w:r>
              <w:rPr>
                <w:rFonts w:ascii="宋体" w:hAnsi="宋体" w:cs="宋体"/>
                <w:color w:val="000000"/>
                <w:kern w:val="0"/>
                <w:sz w:val="21"/>
                <w:szCs w:val="21"/>
              </w:rPr>
              <w:t>刺猬</w:t>
            </w:r>
          </w:p>
          <w:p w14:paraId="7C29AF97" w14:textId="77777777" w:rsidR="009D12AF" w:rsidRDefault="00000000">
            <w:pPr>
              <w:widowControl/>
              <w:adjustRightInd w:val="0"/>
              <w:snapToGrid w:val="0"/>
              <w:ind w:firstLineChars="0" w:firstLine="0"/>
              <w:jc w:val="center"/>
              <w:rPr>
                <w:rFonts w:ascii="Times New Roman" w:eastAsia="宋体" w:hAnsi="Times New Roman" w:cs="Times New Roman"/>
                <w:i/>
                <w:iCs/>
                <w:kern w:val="0"/>
                <w:sz w:val="21"/>
                <w:szCs w:val="21"/>
              </w:rPr>
            </w:pPr>
            <w:r>
              <w:rPr>
                <w:rFonts w:cs="Times New Roman" w:hint="eastAsia"/>
                <w:i/>
                <w:iCs/>
                <w:kern w:val="0"/>
                <w:sz w:val="21"/>
                <w:szCs w:val="21"/>
              </w:rPr>
              <w:t>Erinaceus amurensis</w:t>
            </w:r>
          </w:p>
        </w:tc>
        <w:tc>
          <w:tcPr>
            <w:tcW w:w="861" w:type="pct"/>
            <w:tcBorders>
              <w:tl2br w:val="nil"/>
              <w:tr2bl w:val="nil"/>
            </w:tcBorders>
            <w:vAlign w:val="center"/>
          </w:tcPr>
          <w:p w14:paraId="664235C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21341FBB" wp14:editId="5662F8CA">
                  <wp:extent cx="1527175" cy="1018540"/>
                  <wp:effectExtent l="0" t="0" r="15875" b="10160"/>
                  <wp:docPr id="261" name="图片 261" descr="https://img1.baidu.com/it/u=2479172095,2469200802&amp;fm=253&amp;fmt=auto&amp;app=138&amp;f=JPEG?w=750&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https://img1.baidu.com/it/u=2479172095,2469200802&amp;fm=253&amp;fmt=auto&amp;app=138&amp;f=JPEG?w=750&amp;h=500"/>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a:xfrm>
                            <a:off x="0" y="0"/>
                            <a:ext cx="1533206" cy="1022547"/>
                          </a:xfrm>
                          <a:prstGeom prst="rect">
                            <a:avLst/>
                          </a:prstGeom>
                          <a:noFill/>
                          <a:ln>
                            <a:noFill/>
                          </a:ln>
                        </pic:spPr>
                      </pic:pic>
                    </a:graphicData>
                  </a:graphic>
                </wp:inline>
              </w:drawing>
            </w:r>
          </w:p>
        </w:tc>
        <w:tc>
          <w:tcPr>
            <w:tcW w:w="383" w:type="pct"/>
            <w:tcBorders>
              <w:tl2br w:val="nil"/>
              <w:tr2bl w:val="nil"/>
            </w:tcBorders>
            <w:vAlign w:val="center"/>
          </w:tcPr>
          <w:p w14:paraId="1516124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hint="eastAsia"/>
                <w:sz w:val="21"/>
                <w:szCs w:val="21"/>
              </w:rPr>
              <w:t>黑龙江省级</w:t>
            </w:r>
          </w:p>
        </w:tc>
        <w:tc>
          <w:tcPr>
            <w:tcW w:w="501" w:type="pct"/>
            <w:tcBorders>
              <w:tl2br w:val="nil"/>
              <w:tr2bl w:val="nil"/>
            </w:tcBorders>
            <w:vAlign w:val="center"/>
          </w:tcPr>
          <w:p w14:paraId="0AC8C2E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52E9005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4FBED1D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森林、灌丛、草丛</w:t>
            </w:r>
          </w:p>
        </w:tc>
        <w:tc>
          <w:tcPr>
            <w:tcW w:w="449" w:type="pct"/>
            <w:tcBorders>
              <w:tl2br w:val="nil"/>
              <w:tr2bl w:val="nil"/>
            </w:tcBorders>
            <w:vAlign w:val="center"/>
          </w:tcPr>
          <w:p w14:paraId="6684DC7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目击</w:t>
            </w:r>
          </w:p>
        </w:tc>
        <w:tc>
          <w:tcPr>
            <w:tcW w:w="651" w:type="pct"/>
            <w:tcBorders>
              <w:tl2br w:val="nil"/>
              <w:tr2bl w:val="nil"/>
            </w:tcBorders>
            <w:vAlign w:val="center"/>
          </w:tcPr>
          <w:p w14:paraId="120B171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6DD15303" w14:textId="77777777">
        <w:trPr>
          <w:trHeight w:val="23"/>
          <w:jc w:val="center"/>
        </w:trPr>
        <w:tc>
          <w:tcPr>
            <w:tcW w:w="489" w:type="pct"/>
            <w:tcBorders>
              <w:tl2br w:val="nil"/>
              <w:tr2bl w:val="nil"/>
            </w:tcBorders>
            <w:vAlign w:val="center"/>
          </w:tcPr>
          <w:p w14:paraId="4A49290E"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73B8D287"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香鼬</w:t>
            </w:r>
          </w:p>
          <w:p w14:paraId="14717A15" w14:textId="77777777" w:rsidR="009D12AF" w:rsidRDefault="00000000">
            <w:pPr>
              <w:widowControl/>
              <w:adjustRightInd w:val="0"/>
              <w:snapToGrid w:val="0"/>
              <w:ind w:firstLineChars="0" w:firstLine="0"/>
              <w:jc w:val="center"/>
              <w:rPr>
                <w:rFonts w:ascii="Times New Roman" w:eastAsia="宋体" w:hAnsi="Times New Roman" w:cs="Times New Roman"/>
                <w:i/>
                <w:iCs/>
                <w:kern w:val="0"/>
                <w:sz w:val="21"/>
                <w:szCs w:val="21"/>
              </w:rPr>
            </w:pPr>
            <w:r>
              <w:rPr>
                <w:rFonts w:cs="Times New Roman"/>
                <w:i/>
                <w:iCs/>
                <w:kern w:val="0"/>
                <w:sz w:val="21"/>
                <w:szCs w:val="21"/>
              </w:rPr>
              <w:t>Mustela altaica</w:t>
            </w:r>
          </w:p>
        </w:tc>
        <w:tc>
          <w:tcPr>
            <w:tcW w:w="861" w:type="pct"/>
            <w:tcBorders>
              <w:tl2br w:val="nil"/>
              <w:tr2bl w:val="nil"/>
            </w:tcBorders>
            <w:vAlign w:val="center"/>
          </w:tcPr>
          <w:p w14:paraId="606546F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36350B64" wp14:editId="283362D3">
                  <wp:extent cx="1447165" cy="769620"/>
                  <wp:effectExtent l="0" t="0" r="635" b="11430"/>
                  <wp:docPr id="262" name="图片 262" descr="https://img1.baidu.com/it/u=4093291506,976155100&amp;fm=253&amp;fmt=auto?w=949&amp;h=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https://img1.baidu.com/it/u=4093291506,976155100&amp;fm=253&amp;fmt=auto?w=949&amp;h=505"/>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a:xfrm>
                            <a:off x="0" y="0"/>
                            <a:ext cx="1491920" cy="793747"/>
                          </a:xfrm>
                          <a:prstGeom prst="rect">
                            <a:avLst/>
                          </a:prstGeom>
                          <a:noFill/>
                          <a:ln>
                            <a:noFill/>
                          </a:ln>
                        </pic:spPr>
                      </pic:pic>
                    </a:graphicData>
                  </a:graphic>
                </wp:inline>
              </w:drawing>
            </w:r>
          </w:p>
        </w:tc>
        <w:tc>
          <w:tcPr>
            <w:tcW w:w="383" w:type="pct"/>
            <w:tcBorders>
              <w:tl2br w:val="nil"/>
              <w:tr2bl w:val="nil"/>
            </w:tcBorders>
            <w:vAlign w:val="center"/>
          </w:tcPr>
          <w:p w14:paraId="2860CC5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hint="eastAsia"/>
                <w:sz w:val="21"/>
                <w:szCs w:val="21"/>
              </w:rPr>
              <w:t>黑龙江省级</w:t>
            </w:r>
          </w:p>
        </w:tc>
        <w:tc>
          <w:tcPr>
            <w:tcW w:w="501" w:type="pct"/>
            <w:tcBorders>
              <w:tl2br w:val="nil"/>
              <w:tr2bl w:val="nil"/>
            </w:tcBorders>
            <w:vAlign w:val="center"/>
          </w:tcPr>
          <w:p w14:paraId="248D336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57F9B68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21DD520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山地森林和草原</w:t>
            </w:r>
          </w:p>
        </w:tc>
        <w:tc>
          <w:tcPr>
            <w:tcW w:w="449" w:type="pct"/>
            <w:tcBorders>
              <w:tl2br w:val="nil"/>
              <w:tr2bl w:val="nil"/>
            </w:tcBorders>
            <w:vAlign w:val="center"/>
          </w:tcPr>
          <w:p w14:paraId="429FEA3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0BE8675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0E91ECA9" w14:textId="77777777">
        <w:trPr>
          <w:trHeight w:val="23"/>
          <w:jc w:val="center"/>
        </w:trPr>
        <w:tc>
          <w:tcPr>
            <w:tcW w:w="489" w:type="pct"/>
            <w:tcBorders>
              <w:tl2br w:val="nil"/>
              <w:tr2bl w:val="nil"/>
            </w:tcBorders>
            <w:vAlign w:val="center"/>
          </w:tcPr>
          <w:p w14:paraId="126A9533"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1DEA89CA"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黄鼬</w:t>
            </w:r>
          </w:p>
          <w:p w14:paraId="49B4D011" w14:textId="77777777" w:rsidR="009D12AF" w:rsidRDefault="00000000">
            <w:pPr>
              <w:widowControl/>
              <w:adjustRightInd w:val="0"/>
              <w:snapToGrid w:val="0"/>
              <w:ind w:firstLineChars="0" w:firstLine="0"/>
              <w:jc w:val="center"/>
              <w:rPr>
                <w:rFonts w:ascii="Times New Roman" w:eastAsia="宋体" w:hAnsi="Times New Roman" w:cs="Times New Roman"/>
                <w:i/>
                <w:iCs/>
                <w:kern w:val="0"/>
                <w:sz w:val="21"/>
                <w:szCs w:val="21"/>
              </w:rPr>
            </w:pPr>
            <w:r>
              <w:rPr>
                <w:rFonts w:cs="Times New Roman"/>
                <w:i/>
                <w:iCs/>
                <w:kern w:val="0"/>
                <w:sz w:val="21"/>
                <w:szCs w:val="21"/>
              </w:rPr>
              <w:t>Mustela sibirica</w:t>
            </w:r>
          </w:p>
        </w:tc>
        <w:tc>
          <w:tcPr>
            <w:tcW w:w="861" w:type="pct"/>
            <w:tcBorders>
              <w:tl2br w:val="nil"/>
              <w:tr2bl w:val="nil"/>
            </w:tcBorders>
            <w:vAlign w:val="center"/>
          </w:tcPr>
          <w:p w14:paraId="389EF32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0068AA73" wp14:editId="4F486ABB">
                  <wp:extent cx="1427480" cy="925830"/>
                  <wp:effectExtent l="0" t="0" r="1270" b="7620"/>
                  <wp:docPr id="263" name="图片 263" descr="https://img1.baidu.com/it/u=1143032079,2443671019&amp;fm=253&amp;fmt=auto&amp;app=138&amp;f=JPEG?w=771&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https://img1.baidu.com/it/u=1143032079,2443671019&amp;fm=253&amp;fmt=auto&amp;app=138&amp;f=JPEG?w=771&amp;h=500"/>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a:xfrm flipH="1">
                            <a:off x="0" y="0"/>
                            <a:ext cx="1567720" cy="1016726"/>
                          </a:xfrm>
                          <a:prstGeom prst="rect">
                            <a:avLst/>
                          </a:prstGeom>
                          <a:noFill/>
                          <a:ln>
                            <a:noFill/>
                          </a:ln>
                        </pic:spPr>
                      </pic:pic>
                    </a:graphicData>
                  </a:graphic>
                </wp:inline>
              </w:drawing>
            </w:r>
          </w:p>
        </w:tc>
        <w:tc>
          <w:tcPr>
            <w:tcW w:w="383" w:type="pct"/>
            <w:tcBorders>
              <w:tl2br w:val="nil"/>
              <w:tr2bl w:val="nil"/>
            </w:tcBorders>
            <w:vAlign w:val="center"/>
          </w:tcPr>
          <w:p w14:paraId="44E38E0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hint="eastAsia"/>
                <w:sz w:val="21"/>
                <w:szCs w:val="21"/>
              </w:rPr>
              <w:t>黑龙江省级</w:t>
            </w:r>
          </w:p>
        </w:tc>
        <w:tc>
          <w:tcPr>
            <w:tcW w:w="501" w:type="pct"/>
            <w:tcBorders>
              <w:tl2br w:val="nil"/>
              <w:tr2bl w:val="nil"/>
            </w:tcBorders>
            <w:vAlign w:val="center"/>
          </w:tcPr>
          <w:p w14:paraId="68CCF22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197341F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75B6CBF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平原、丘陵、山区、高原</w:t>
            </w:r>
          </w:p>
        </w:tc>
        <w:tc>
          <w:tcPr>
            <w:tcW w:w="449" w:type="pct"/>
            <w:tcBorders>
              <w:tl2br w:val="nil"/>
              <w:tr2bl w:val="nil"/>
            </w:tcBorders>
            <w:vAlign w:val="center"/>
          </w:tcPr>
          <w:p w14:paraId="00BAB84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163BC8C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501E7C39" w14:textId="77777777">
        <w:trPr>
          <w:trHeight w:val="23"/>
          <w:jc w:val="center"/>
        </w:trPr>
        <w:tc>
          <w:tcPr>
            <w:tcW w:w="489" w:type="pct"/>
            <w:tcBorders>
              <w:tl2br w:val="nil"/>
              <w:tr2bl w:val="nil"/>
            </w:tcBorders>
            <w:vAlign w:val="center"/>
          </w:tcPr>
          <w:p w14:paraId="0F30CC21"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5E13B6B6"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东北兔</w:t>
            </w:r>
          </w:p>
          <w:p w14:paraId="3555467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Lepus mandshuricus</w:t>
            </w:r>
          </w:p>
        </w:tc>
        <w:tc>
          <w:tcPr>
            <w:tcW w:w="861" w:type="pct"/>
            <w:tcBorders>
              <w:tl2br w:val="nil"/>
              <w:tr2bl w:val="nil"/>
            </w:tcBorders>
            <w:vAlign w:val="center"/>
          </w:tcPr>
          <w:p w14:paraId="237CF30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524591A0" wp14:editId="12A14107">
                  <wp:extent cx="1243330" cy="1070610"/>
                  <wp:effectExtent l="0" t="0" r="13970" b="15240"/>
                  <wp:docPr id="264" name="图片 264" descr="https://img2.baidu.com/it/u=3954179796,3779244124&amp;fm=253&amp;fmt=auto&amp;app=138&amp;f=JPEG?w=581&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https://img2.baidu.com/it/u=3954179796,3779244124&amp;fm=253&amp;fmt=auto&amp;app=138&amp;f=JPEG?w=581&amp;h=500"/>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a:xfrm flipH="1">
                            <a:off x="0" y="0"/>
                            <a:ext cx="1262508" cy="1086890"/>
                          </a:xfrm>
                          <a:prstGeom prst="rect">
                            <a:avLst/>
                          </a:prstGeom>
                          <a:noFill/>
                          <a:ln>
                            <a:noFill/>
                          </a:ln>
                        </pic:spPr>
                      </pic:pic>
                    </a:graphicData>
                  </a:graphic>
                </wp:inline>
              </w:drawing>
            </w:r>
          </w:p>
        </w:tc>
        <w:tc>
          <w:tcPr>
            <w:tcW w:w="383" w:type="pct"/>
            <w:tcBorders>
              <w:tl2br w:val="nil"/>
              <w:tr2bl w:val="nil"/>
            </w:tcBorders>
            <w:vAlign w:val="center"/>
          </w:tcPr>
          <w:p w14:paraId="0B8475C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hint="eastAsia"/>
                <w:sz w:val="21"/>
                <w:szCs w:val="21"/>
              </w:rPr>
              <w:t>黑龙江省级</w:t>
            </w:r>
          </w:p>
        </w:tc>
        <w:tc>
          <w:tcPr>
            <w:tcW w:w="501" w:type="pct"/>
            <w:tcBorders>
              <w:tl2br w:val="nil"/>
              <w:tr2bl w:val="nil"/>
            </w:tcBorders>
            <w:vAlign w:val="center"/>
          </w:tcPr>
          <w:p w14:paraId="73A69D5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59EF1B3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44F3527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针叶阔叶混交林</w:t>
            </w:r>
          </w:p>
        </w:tc>
        <w:tc>
          <w:tcPr>
            <w:tcW w:w="449" w:type="pct"/>
            <w:tcBorders>
              <w:tl2br w:val="nil"/>
              <w:tr2bl w:val="nil"/>
            </w:tcBorders>
            <w:vAlign w:val="center"/>
          </w:tcPr>
          <w:p w14:paraId="45AF580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72D0D23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55F3E17D" w14:textId="77777777">
        <w:trPr>
          <w:trHeight w:val="23"/>
          <w:jc w:val="center"/>
        </w:trPr>
        <w:tc>
          <w:tcPr>
            <w:tcW w:w="489" w:type="pct"/>
            <w:tcBorders>
              <w:tl2br w:val="nil"/>
              <w:tr2bl w:val="nil"/>
            </w:tcBorders>
            <w:vAlign w:val="center"/>
          </w:tcPr>
          <w:p w14:paraId="3C907F88"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0E7962AB"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松鼠</w:t>
            </w:r>
          </w:p>
          <w:p w14:paraId="61CB00E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Sciurus vulgaris</w:t>
            </w:r>
          </w:p>
        </w:tc>
        <w:tc>
          <w:tcPr>
            <w:tcW w:w="861" w:type="pct"/>
            <w:tcBorders>
              <w:tl2br w:val="nil"/>
              <w:tr2bl w:val="nil"/>
            </w:tcBorders>
            <w:vAlign w:val="center"/>
          </w:tcPr>
          <w:p w14:paraId="43EF76E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1311AF96" wp14:editId="17402391">
                  <wp:extent cx="1381760" cy="1035685"/>
                  <wp:effectExtent l="0" t="0" r="8890" b="12065"/>
                  <wp:docPr id="265" name="图片 265" descr="https://img1.baidu.com/it/u=2193457571,3770082507&amp;fm=253&amp;fmt=auto&amp;app=120&amp;f=JPEG?w=667&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https://img1.baidu.com/it/u=2193457571,3770082507&amp;fm=253&amp;fmt=auto&amp;app=120&amp;f=JPEG?w=667&amp;h=500"/>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a:xfrm>
                            <a:off x="0" y="0"/>
                            <a:ext cx="1404062" cy="1052450"/>
                          </a:xfrm>
                          <a:prstGeom prst="rect">
                            <a:avLst/>
                          </a:prstGeom>
                          <a:noFill/>
                          <a:ln>
                            <a:noFill/>
                          </a:ln>
                        </pic:spPr>
                      </pic:pic>
                    </a:graphicData>
                  </a:graphic>
                </wp:inline>
              </w:drawing>
            </w:r>
          </w:p>
        </w:tc>
        <w:tc>
          <w:tcPr>
            <w:tcW w:w="383" w:type="pct"/>
            <w:tcBorders>
              <w:tl2br w:val="nil"/>
              <w:tr2bl w:val="nil"/>
            </w:tcBorders>
            <w:vAlign w:val="center"/>
          </w:tcPr>
          <w:p w14:paraId="54B0C6C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hint="eastAsia"/>
                <w:sz w:val="21"/>
                <w:szCs w:val="21"/>
              </w:rPr>
              <w:t>黑龙江省级</w:t>
            </w:r>
          </w:p>
        </w:tc>
        <w:tc>
          <w:tcPr>
            <w:tcW w:w="501" w:type="pct"/>
            <w:tcBorders>
              <w:tl2br w:val="nil"/>
              <w:tr2bl w:val="nil"/>
            </w:tcBorders>
            <w:vAlign w:val="center"/>
          </w:tcPr>
          <w:p w14:paraId="1CC73BE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2251E4D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3AC3B58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针叶林或针阔混交林</w:t>
            </w:r>
          </w:p>
        </w:tc>
        <w:tc>
          <w:tcPr>
            <w:tcW w:w="449" w:type="pct"/>
            <w:tcBorders>
              <w:tl2br w:val="nil"/>
              <w:tr2bl w:val="nil"/>
            </w:tcBorders>
            <w:vAlign w:val="center"/>
          </w:tcPr>
          <w:p w14:paraId="0117340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7234281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358516CB" w14:textId="77777777">
        <w:trPr>
          <w:trHeight w:val="23"/>
          <w:jc w:val="center"/>
        </w:trPr>
        <w:tc>
          <w:tcPr>
            <w:tcW w:w="489" w:type="pct"/>
            <w:tcBorders>
              <w:tl2br w:val="nil"/>
              <w:tr2bl w:val="nil"/>
            </w:tcBorders>
            <w:vAlign w:val="center"/>
          </w:tcPr>
          <w:p w14:paraId="081E4EA8"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0DBC3922"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中华蟾蜍</w:t>
            </w:r>
          </w:p>
          <w:p w14:paraId="08E8866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Bufo gargarizans</w:t>
            </w:r>
          </w:p>
        </w:tc>
        <w:tc>
          <w:tcPr>
            <w:tcW w:w="861" w:type="pct"/>
            <w:tcBorders>
              <w:tl2br w:val="nil"/>
              <w:tr2bl w:val="nil"/>
            </w:tcBorders>
            <w:vAlign w:val="center"/>
          </w:tcPr>
          <w:p w14:paraId="5B77CD1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489FD18C" wp14:editId="7C20F411">
                  <wp:extent cx="1479550" cy="955675"/>
                  <wp:effectExtent l="0" t="0" r="6350" b="15875"/>
                  <wp:docPr id="266" name="图片 266" descr="https://img1.baidu.com/it/u=3369036369,1569848827&amp;fm=253&amp;fmt=auto&amp;app=120&amp;f=JPEG?w=1026&amp;h=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https://img1.baidu.com/it/u=3369036369,1569848827&amp;fm=253&amp;fmt=auto&amp;app=120&amp;f=JPEG?w=1026&amp;h=663"/>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a:xfrm rot="10800000" flipV="1">
                            <a:off x="0" y="0"/>
                            <a:ext cx="1508087" cy="974138"/>
                          </a:xfrm>
                          <a:prstGeom prst="rect">
                            <a:avLst/>
                          </a:prstGeom>
                          <a:noFill/>
                          <a:ln>
                            <a:noFill/>
                          </a:ln>
                        </pic:spPr>
                      </pic:pic>
                    </a:graphicData>
                  </a:graphic>
                </wp:inline>
              </w:drawing>
            </w:r>
          </w:p>
        </w:tc>
        <w:tc>
          <w:tcPr>
            <w:tcW w:w="383" w:type="pct"/>
            <w:tcBorders>
              <w:tl2br w:val="nil"/>
              <w:tr2bl w:val="nil"/>
            </w:tcBorders>
            <w:vAlign w:val="center"/>
          </w:tcPr>
          <w:p w14:paraId="1E04D33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3A288EB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40F9091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2CDE405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陆地草丛、地边、山坡石下或土穴</w:t>
            </w:r>
          </w:p>
        </w:tc>
        <w:tc>
          <w:tcPr>
            <w:tcW w:w="449" w:type="pct"/>
            <w:tcBorders>
              <w:tl2br w:val="nil"/>
              <w:tr2bl w:val="nil"/>
            </w:tcBorders>
            <w:vAlign w:val="center"/>
          </w:tcPr>
          <w:p w14:paraId="6557686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目击</w:t>
            </w:r>
          </w:p>
        </w:tc>
        <w:tc>
          <w:tcPr>
            <w:tcW w:w="651" w:type="pct"/>
            <w:tcBorders>
              <w:tl2br w:val="nil"/>
              <w:tr2bl w:val="nil"/>
            </w:tcBorders>
            <w:vAlign w:val="center"/>
          </w:tcPr>
          <w:p w14:paraId="654C271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414CB96F" w14:textId="77777777">
        <w:trPr>
          <w:trHeight w:val="23"/>
          <w:jc w:val="center"/>
        </w:trPr>
        <w:tc>
          <w:tcPr>
            <w:tcW w:w="489" w:type="pct"/>
            <w:tcBorders>
              <w:tl2br w:val="nil"/>
              <w:tr2bl w:val="nil"/>
            </w:tcBorders>
            <w:vAlign w:val="center"/>
          </w:tcPr>
          <w:p w14:paraId="4DC8375F"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1501183F"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花背蟾蜍</w:t>
            </w:r>
          </w:p>
          <w:p w14:paraId="660BEF7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Strauchbufo raddei</w:t>
            </w:r>
          </w:p>
        </w:tc>
        <w:tc>
          <w:tcPr>
            <w:tcW w:w="861" w:type="pct"/>
            <w:tcBorders>
              <w:tl2br w:val="nil"/>
              <w:tr2bl w:val="nil"/>
            </w:tcBorders>
            <w:vAlign w:val="center"/>
          </w:tcPr>
          <w:p w14:paraId="72EEAC7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70948076" wp14:editId="5BFFB71E">
                  <wp:extent cx="1731645" cy="1104900"/>
                  <wp:effectExtent l="0" t="0" r="1905" b="0"/>
                  <wp:docPr id="267" name="图片 267" descr="https://img1.baidu.com/it/u=1818689906,4131497519&amp;fm=253&amp;fmt=auto&amp;app=138&amp;f=JPEG?w=784&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https://img1.baidu.com/it/u=1818689906,4131497519&amp;fm=253&amp;fmt=auto&amp;app=138&amp;f=JPEG?w=784&amp;h=500"/>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a:xfrm>
                            <a:off x="0" y="0"/>
                            <a:ext cx="1798422" cy="1147400"/>
                          </a:xfrm>
                          <a:prstGeom prst="rect">
                            <a:avLst/>
                          </a:prstGeom>
                          <a:noFill/>
                          <a:ln>
                            <a:noFill/>
                          </a:ln>
                        </pic:spPr>
                      </pic:pic>
                    </a:graphicData>
                  </a:graphic>
                </wp:inline>
              </w:drawing>
            </w:r>
          </w:p>
        </w:tc>
        <w:tc>
          <w:tcPr>
            <w:tcW w:w="383" w:type="pct"/>
            <w:tcBorders>
              <w:tl2br w:val="nil"/>
              <w:tr2bl w:val="nil"/>
            </w:tcBorders>
            <w:vAlign w:val="center"/>
          </w:tcPr>
          <w:p w14:paraId="495BB50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5E3C151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420328B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0E3DE83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草石下或土穴中</w:t>
            </w:r>
          </w:p>
        </w:tc>
        <w:tc>
          <w:tcPr>
            <w:tcW w:w="449" w:type="pct"/>
            <w:tcBorders>
              <w:tl2br w:val="nil"/>
              <w:tr2bl w:val="nil"/>
            </w:tcBorders>
            <w:vAlign w:val="center"/>
          </w:tcPr>
          <w:p w14:paraId="780384B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3A07336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5233363A" w14:textId="77777777">
        <w:trPr>
          <w:trHeight w:val="23"/>
          <w:jc w:val="center"/>
        </w:trPr>
        <w:tc>
          <w:tcPr>
            <w:tcW w:w="489" w:type="pct"/>
            <w:tcBorders>
              <w:tl2br w:val="nil"/>
              <w:tr2bl w:val="nil"/>
            </w:tcBorders>
            <w:vAlign w:val="center"/>
          </w:tcPr>
          <w:p w14:paraId="3772B330"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46510670"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乌苏里蝮</w:t>
            </w:r>
          </w:p>
          <w:p w14:paraId="2D70D3E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Gloydius ussuriensis</w:t>
            </w:r>
          </w:p>
        </w:tc>
        <w:tc>
          <w:tcPr>
            <w:tcW w:w="861" w:type="pct"/>
            <w:tcBorders>
              <w:tl2br w:val="nil"/>
              <w:tr2bl w:val="nil"/>
            </w:tcBorders>
            <w:vAlign w:val="center"/>
          </w:tcPr>
          <w:p w14:paraId="5C7DF6E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06B8605C" wp14:editId="0FE84084">
                  <wp:extent cx="1456690" cy="844550"/>
                  <wp:effectExtent l="0" t="0" r="10160" b="12700"/>
                  <wp:docPr id="268" name="图片 268" descr="https://img2.baidu.com/it/u=2262638130,1746340080&amp;fm=253&amp;fmt=auto&amp;app=138&amp;f=PNG?w=448&amp;h=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https://img2.baidu.com/it/u=2262638130,1746340080&amp;fm=253&amp;fmt=auto&amp;app=138&amp;f=PNG?w=448&amp;h=260"/>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a:xfrm>
                            <a:off x="0" y="0"/>
                            <a:ext cx="1485116" cy="861350"/>
                          </a:xfrm>
                          <a:prstGeom prst="rect">
                            <a:avLst/>
                          </a:prstGeom>
                          <a:noFill/>
                          <a:ln>
                            <a:noFill/>
                          </a:ln>
                        </pic:spPr>
                      </pic:pic>
                    </a:graphicData>
                  </a:graphic>
                </wp:inline>
              </w:drawing>
            </w:r>
          </w:p>
        </w:tc>
        <w:tc>
          <w:tcPr>
            <w:tcW w:w="383" w:type="pct"/>
            <w:tcBorders>
              <w:tl2br w:val="nil"/>
              <w:tr2bl w:val="nil"/>
            </w:tcBorders>
            <w:vAlign w:val="center"/>
          </w:tcPr>
          <w:p w14:paraId="67758EF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23F9DF5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43FAB98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04ABE8C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山地、丘陵、林缘、草丛、灌丛、沟边</w:t>
            </w:r>
          </w:p>
        </w:tc>
        <w:tc>
          <w:tcPr>
            <w:tcW w:w="449" w:type="pct"/>
            <w:tcBorders>
              <w:tl2br w:val="nil"/>
              <w:tr2bl w:val="nil"/>
            </w:tcBorders>
            <w:vAlign w:val="center"/>
          </w:tcPr>
          <w:p w14:paraId="520DDC6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目击</w:t>
            </w:r>
          </w:p>
        </w:tc>
        <w:tc>
          <w:tcPr>
            <w:tcW w:w="651" w:type="pct"/>
            <w:tcBorders>
              <w:tl2br w:val="nil"/>
              <w:tr2bl w:val="nil"/>
            </w:tcBorders>
            <w:vAlign w:val="center"/>
          </w:tcPr>
          <w:p w14:paraId="78CC570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32C0E1E8" w14:textId="77777777">
        <w:trPr>
          <w:trHeight w:val="23"/>
          <w:jc w:val="center"/>
        </w:trPr>
        <w:tc>
          <w:tcPr>
            <w:tcW w:w="489" w:type="pct"/>
            <w:tcBorders>
              <w:tl2br w:val="nil"/>
              <w:tr2bl w:val="nil"/>
            </w:tcBorders>
            <w:vAlign w:val="center"/>
          </w:tcPr>
          <w:p w14:paraId="11B43FFE"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4B079C7C"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白条锦蛇</w:t>
            </w:r>
          </w:p>
          <w:p w14:paraId="7E0B172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Elaphe dione</w:t>
            </w:r>
          </w:p>
        </w:tc>
        <w:tc>
          <w:tcPr>
            <w:tcW w:w="861" w:type="pct"/>
            <w:tcBorders>
              <w:tl2br w:val="nil"/>
              <w:tr2bl w:val="nil"/>
            </w:tcBorders>
            <w:vAlign w:val="center"/>
          </w:tcPr>
          <w:p w14:paraId="0A838E9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6A2CBA74" wp14:editId="284F93DD">
                  <wp:extent cx="1378585" cy="868045"/>
                  <wp:effectExtent l="0" t="0" r="12065" b="8255"/>
                  <wp:docPr id="269" name="图片 269" descr="https://img1.baidu.com/it/u=1180126441,1235883573&amp;fm=253&amp;fmt=auto?w=607&amp;h=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https://img1.baidu.com/it/u=1180126441,1235883573&amp;fm=253&amp;fmt=auto?w=607&amp;h=382"/>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a:xfrm>
                            <a:off x="0" y="0"/>
                            <a:ext cx="1394615" cy="878125"/>
                          </a:xfrm>
                          <a:prstGeom prst="rect">
                            <a:avLst/>
                          </a:prstGeom>
                          <a:noFill/>
                          <a:ln>
                            <a:noFill/>
                          </a:ln>
                        </pic:spPr>
                      </pic:pic>
                    </a:graphicData>
                  </a:graphic>
                </wp:inline>
              </w:drawing>
            </w:r>
          </w:p>
        </w:tc>
        <w:tc>
          <w:tcPr>
            <w:tcW w:w="383" w:type="pct"/>
            <w:tcBorders>
              <w:tl2br w:val="nil"/>
              <w:tr2bl w:val="nil"/>
            </w:tcBorders>
            <w:vAlign w:val="center"/>
          </w:tcPr>
          <w:p w14:paraId="7402919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21976FE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49AC86B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7AB93B9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常绿阔叶林或落叶阔叶林下、草原、湿地</w:t>
            </w:r>
          </w:p>
        </w:tc>
        <w:tc>
          <w:tcPr>
            <w:tcW w:w="449" w:type="pct"/>
            <w:tcBorders>
              <w:tl2br w:val="nil"/>
              <w:tr2bl w:val="nil"/>
            </w:tcBorders>
            <w:vAlign w:val="center"/>
          </w:tcPr>
          <w:p w14:paraId="2F2F647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482E495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2C0CB966" w14:textId="77777777">
        <w:trPr>
          <w:trHeight w:val="23"/>
          <w:jc w:val="center"/>
        </w:trPr>
        <w:tc>
          <w:tcPr>
            <w:tcW w:w="489" w:type="pct"/>
            <w:tcBorders>
              <w:tl2br w:val="nil"/>
              <w:tr2bl w:val="nil"/>
            </w:tcBorders>
            <w:vAlign w:val="center"/>
          </w:tcPr>
          <w:p w14:paraId="2CA73D73"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26ED3926"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花鼠</w:t>
            </w:r>
          </w:p>
          <w:p w14:paraId="75B62E8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Tamias sibiricus</w:t>
            </w:r>
          </w:p>
        </w:tc>
        <w:tc>
          <w:tcPr>
            <w:tcW w:w="861" w:type="pct"/>
            <w:tcBorders>
              <w:tl2br w:val="nil"/>
              <w:tr2bl w:val="nil"/>
            </w:tcBorders>
            <w:vAlign w:val="center"/>
          </w:tcPr>
          <w:p w14:paraId="69232AE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1EB29611" wp14:editId="0381DEDE">
                  <wp:extent cx="1511935" cy="1007110"/>
                  <wp:effectExtent l="0" t="0" r="12065" b="2540"/>
                  <wp:docPr id="270" name="图片 270" descr="https://img0.baidu.com/it/u=1379379348,2074042895&amp;fm=253&amp;fmt=auto&amp;app=138&amp;f=JPEG?w=751&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https://img0.baidu.com/it/u=1379379348,2074042895&amp;fm=253&amp;fmt=auto&amp;app=138&amp;f=JPEG?w=751&amp;h=500"/>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a:xfrm>
                            <a:off x="0" y="0"/>
                            <a:ext cx="1522961" cy="1014090"/>
                          </a:xfrm>
                          <a:prstGeom prst="rect">
                            <a:avLst/>
                          </a:prstGeom>
                          <a:noFill/>
                          <a:ln>
                            <a:noFill/>
                          </a:ln>
                        </pic:spPr>
                      </pic:pic>
                    </a:graphicData>
                  </a:graphic>
                </wp:inline>
              </w:drawing>
            </w:r>
          </w:p>
        </w:tc>
        <w:tc>
          <w:tcPr>
            <w:tcW w:w="383" w:type="pct"/>
            <w:tcBorders>
              <w:tl2br w:val="nil"/>
              <w:tr2bl w:val="nil"/>
            </w:tcBorders>
            <w:vAlign w:val="center"/>
          </w:tcPr>
          <w:p w14:paraId="053205E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6B1895C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2935E11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1309BA7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栖于针叶林、针阔混交林缘、阔叶林和多灌丛</w:t>
            </w:r>
          </w:p>
        </w:tc>
        <w:tc>
          <w:tcPr>
            <w:tcW w:w="449" w:type="pct"/>
            <w:tcBorders>
              <w:tl2br w:val="nil"/>
              <w:tr2bl w:val="nil"/>
            </w:tcBorders>
            <w:vAlign w:val="center"/>
          </w:tcPr>
          <w:p w14:paraId="7743A2D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目击</w:t>
            </w:r>
          </w:p>
        </w:tc>
        <w:tc>
          <w:tcPr>
            <w:tcW w:w="651" w:type="pct"/>
            <w:tcBorders>
              <w:tl2br w:val="nil"/>
              <w:tr2bl w:val="nil"/>
            </w:tcBorders>
            <w:vAlign w:val="center"/>
          </w:tcPr>
          <w:p w14:paraId="78CB587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733CDB73" w14:textId="77777777">
        <w:trPr>
          <w:trHeight w:val="23"/>
          <w:jc w:val="center"/>
        </w:trPr>
        <w:tc>
          <w:tcPr>
            <w:tcW w:w="489" w:type="pct"/>
            <w:tcBorders>
              <w:tl2br w:val="nil"/>
              <w:tr2bl w:val="nil"/>
            </w:tcBorders>
            <w:vAlign w:val="center"/>
          </w:tcPr>
          <w:p w14:paraId="7F314981"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20DDD6B2"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狍</w:t>
            </w:r>
          </w:p>
          <w:p w14:paraId="798235D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i/>
                <w:iCs/>
                <w:kern w:val="0"/>
                <w:sz w:val="21"/>
                <w:szCs w:val="21"/>
              </w:rPr>
              <w:t>Capreolus pygargus</w:t>
            </w:r>
          </w:p>
        </w:tc>
        <w:tc>
          <w:tcPr>
            <w:tcW w:w="861" w:type="pct"/>
            <w:tcBorders>
              <w:tl2br w:val="nil"/>
              <w:tr2bl w:val="nil"/>
            </w:tcBorders>
            <w:vAlign w:val="center"/>
          </w:tcPr>
          <w:p w14:paraId="135773E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139FF792" wp14:editId="0103A29C">
                  <wp:extent cx="1421130" cy="942975"/>
                  <wp:effectExtent l="0" t="0" r="7620" b="9525"/>
                  <wp:docPr id="271" name="图片 271" descr="https://img2.baidu.com/it/u=1635697598,3279429197&amp;fm=253&amp;fmt=auto&amp;app=138&amp;f=JPEG?w=753&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https://img2.baidu.com/it/u=1635697598,3279429197&amp;fm=253&amp;fmt=auto&amp;app=138&amp;f=JPEG?w=753&amp;h=500"/>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a:xfrm>
                            <a:off x="0" y="0"/>
                            <a:ext cx="1444552" cy="958816"/>
                          </a:xfrm>
                          <a:prstGeom prst="rect">
                            <a:avLst/>
                          </a:prstGeom>
                          <a:noFill/>
                          <a:ln>
                            <a:noFill/>
                          </a:ln>
                        </pic:spPr>
                      </pic:pic>
                    </a:graphicData>
                  </a:graphic>
                </wp:inline>
              </w:drawing>
            </w:r>
          </w:p>
        </w:tc>
        <w:tc>
          <w:tcPr>
            <w:tcW w:w="383" w:type="pct"/>
            <w:tcBorders>
              <w:tl2br w:val="nil"/>
              <w:tr2bl w:val="nil"/>
            </w:tcBorders>
            <w:vAlign w:val="center"/>
          </w:tcPr>
          <w:p w14:paraId="1D0580B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7728B21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6F46127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6E3F833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疏林带、河谷及缓坡上</w:t>
            </w:r>
          </w:p>
        </w:tc>
        <w:tc>
          <w:tcPr>
            <w:tcW w:w="449" w:type="pct"/>
            <w:tcBorders>
              <w:tl2br w:val="nil"/>
              <w:tr2bl w:val="nil"/>
            </w:tcBorders>
            <w:vAlign w:val="center"/>
          </w:tcPr>
          <w:p w14:paraId="159AF94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755905B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46D79532" w14:textId="77777777">
        <w:trPr>
          <w:trHeight w:val="23"/>
          <w:jc w:val="center"/>
        </w:trPr>
        <w:tc>
          <w:tcPr>
            <w:tcW w:w="489" w:type="pct"/>
            <w:tcBorders>
              <w:tl2br w:val="nil"/>
              <w:tr2bl w:val="nil"/>
            </w:tcBorders>
            <w:vAlign w:val="center"/>
          </w:tcPr>
          <w:p w14:paraId="00BBBDCC"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3D6CE7B1"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hint="eastAsia"/>
                <w:color w:val="000000"/>
                <w:kern w:val="0"/>
                <w:sz w:val="21"/>
                <w:szCs w:val="21"/>
              </w:rPr>
              <w:t>普通鸬鹚</w:t>
            </w:r>
          </w:p>
          <w:p w14:paraId="16014E1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Phalacrocorax carbo</w:t>
            </w:r>
          </w:p>
        </w:tc>
        <w:tc>
          <w:tcPr>
            <w:tcW w:w="861" w:type="pct"/>
            <w:tcBorders>
              <w:tl2br w:val="nil"/>
              <w:tr2bl w:val="nil"/>
            </w:tcBorders>
            <w:vAlign w:val="center"/>
          </w:tcPr>
          <w:p w14:paraId="4B1C9C2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6548995A" wp14:editId="7108FDF5">
                  <wp:extent cx="1403350" cy="1029970"/>
                  <wp:effectExtent l="0" t="0" r="6350" b="17780"/>
                  <wp:docPr id="272" name="图片 272" descr="https://img2.baidu.com/it/u=804732131,3672422739&amp;fm=253&amp;fmt=auto&amp;app=138&amp;f=JPEG?w=681&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https://img2.baidu.com/it/u=804732131,3672422739&amp;fm=253&amp;fmt=auto&amp;app=138&amp;f=JPEG?w=681&amp;h=500"/>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a:xfrm>
                            <a:off x="0" y="0"/>
                            <a:ext cx="1419104" cy="1041862"/>
                          </a:xfrm>
                          <a:prstGeom prst="rect">
                            <a:avLst/>
                          </a:prstGeom>
                          <a:noFill/>
                          <a:ln>
                            <a:noFill/>
                          </a:ln>
                        </pic:spPr>
                      </pic:pic>
                    </a:graphicData>
                  </a:graphic>
                </wp:inline>
              </w:drawing>
            </w:r>
          </w:p>
        </w:tc>
        <w:tc>
          <w:tcPr>
            <w:tcW w:w="383" w:type="pct"/>
            <w:tcBorders>
              <w:tl2br w:val="nil"/>
              <w:tr2bl w:val="nil"/>
            </w:tcBorders>
            <w:vAlign w:val="center"/>
          </w:tcPr>
          <w:p w14:paraId="23A00E1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4E49547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6E3AE18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63E9DE2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栖息于面积较大且开阔的江河、湖泊和水库中</w:t>
            </w:r>
          </w:p>
        </w:tc>
        <w:tc>
          <w:tcPr>
            <w:tcW w:w="449" w:type="pct"/>
            <w:tcBorders>
              <w:tl2br w:val="nil"/>
              <w:tr2bl w:val="nil"/>
            </w:tcBorders>
            <w:vAlign w:val="center"/>
          </w:tcPr>
          <w:p w14:paraId="1DFBE19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630B62B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28B57AF6" w14:textId="77777777">
        <w:trPr>
          <w:trHeight w:val="23"/>
          <w:jc w:val="center"/>
        </w:trPr>
        <w:tc>
          <w:tcPr>
            <w:tcW w:w="489" w:type="pct"/>
            <w:tcBorders>
              <w:tl2br w:val="nil"/>
              <w:tr2bl w:val="nil"/>
            </w:tcBorders>
            <w:vAlign w:val="center"/>
          </w:tcPr>
          <w:p w14:paraId="57838344"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6B4FBB51"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苍鹭</w:t>
            </w:r>
          </w:p>
          <w:p w14:paraId="6CD1F6A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Ardea cinerea</w:t>
            </w:r>
          </w:p>
        </w:tc>
        <w:tc>
          <w:tcPr>
            <w:tcW w:w="861" w:type="pct"/>
            <w:tcBorders>
              <w:tl2br w:val="nil"/>
              <w:tr2bl w:val="nil"/>
            </w:tcBorders>
            <w:vAlign w:val="center"/>
          </w:tcPr>
          <w:p w14:paraId="4DF14C8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28147743" wp14:editId="1FD6084C">
                  <wp:extent cx="1277620" cy="1277620"/>
                  <wp:effectExtent l="0" t="0" r="17780" b="17780"/>
                  <wp:docPr id="273" name="图片 273" descr="https://img2.baidu.com/it/u=3218098235,3236756061&amp;fm=253&amp;fmt=auto&amp;app=138&amp;f=JPEG?w=500&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https://img2.baidu.com/it/u=3218098235,3236756061&amp;fm=253&amp;fmt=auto&amp;app=138&amp;f=JPEG?w=500&amp;h=500"/>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a:xfrm flipH="1">
                            <a:off x="0" y="0"/>
                            <a:ext cx="1300760" cy="1300760"/>
                          </a:xfrm>
                          <a:prstGeom prst="rect">
                            <a:avLst/>
                          </a:prstGeom>
                          <a:noFill/>
                          <a:ln>
                            <a:noFill/>
                          </a:ln>
                        </pic:spPr>
                      </pic:pic>
                    </a:graphicData>
                  </a:graphic>
                </wp:inline>
              </w:drawing>
            </w:r>
          </w:p>
        </w:tc>
        <w:tc>
          <w:tcPr>
            <w:tcW w:w="383" w:type="pct"/>
            <w:tcBorders>
              <w:tl2br w:val="nil"/>
              <w:tr2bl w:val="nil"/>
            </w:tcBorders>
            <w:vAlign w:val="center"/>
          </w:tcPr>
          <w:p w14:paraId="3D1280E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09E738C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067988C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7F81F2E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江河、溪流、湖泊、沼泽、水库、鱼塘、海岸等浅水区域</w:t>
            </w:r>
          </w:p>
        </w:tc>
        <w:tc>
          <w:tcPr>
            <w:tcW w:w="449" w:type="pct"/>
            <w:tcBorders>
              <w:tl2br w:val="nil"/>
              <w:tr2bl w:val="nil"/>
            </w:tcBorders>
            <w:vAlign w:val="center"/>
          </w:tcPr>
          <w:p w14:paraId="37500D8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1524329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5A8209AB" w14:textId="77777777">
        <w:trPr>
          <w:trHeight w:val="23"/>
          <w:jc w:val="center"/>
        </w:trPr>
        <w:tc>
          <w:tcPr>
            <w:tcW w:w="489" w:type="pct"/>
            <w:tcBorders>
              <w:tl2br w:val="nil"/>
              <w:tr2bl w:val="nil"/>
            </w:tcBorders>
            <w:vAlign w:val="center"/>
          </w:tcPr>
          <w:p w14:paraId="553AFA5F"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52A3E188"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鹌鹑</w:t>
            </w:r>
          </w:p>
          <w:p w14:paraId="7410022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Coturnix japonica</w:t>
            </w:r>
          </w:p>
        </w:tc>
        <w:tc>
          <w:tcPr>
            <w:tcW w:w="861" w:type="pct"/>
            <w:tcBorders>
              <w:tl2br w:val="nil"/>
              <w:tr2bl w:val="nil"/>
            </w:tcBorders>
            <w:vAlign w:val="center"/>
          </w:tcPr>
          <w:p w14:paraId="252EC97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3448C379" wp14:editId="1AFE10C5">
                  <wp:extent cx="1379855" cy="920115"/>
                  <wp:effectExtent l="0" t="0" r="10795" b="13335"/>
                  <wp:docPr id="274" name="图片 274" descr="https://img1.baidu.com/it/u=2526567440,4181257680&amp;fm=253&amp;fmt=auto&amp;app=138&amp;f=JPEG?w=750&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https://img1.baidu.com/it/u=2526567440,4181257680&amp;fm=253&amp;fmt=auto&amp;app=138&amp;f=JPEG?w=750&amp;h=500"/>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a:xfrm flipH="1">
                            <a:off x="0" y="0"/>
                            <a:ext cx="1395283" cy="930560"/>
                          </a:xfrm>
                          <a:prstGeom prst="rect">
                            <a:avLst/>
                          </a:prstGeom>
                          <a:noFill/>
                          <a:ln>
                            <a:noFill/>
                          </a:ln>
                        </pic:spPr>
                      </pic:pic>
                    </a:graphicData>
                  </a:graphic>
                </wp:inline>
              </w:drawing>
            </w:r>
          </w:p>
        </w:tc>
        <w:tc>
          <w:tcPr>
            <w:tcW w:w="383" w:type="pct"/>
            <w:tcBorders>
              <w:tl2br w:val="nil"/>
              <w:tr2bl w:val="nil"/>
            </w:tcBorders>
            <w:vAlign w:val="center"/>
          </w:tcPr>
          <w:p w14:paraId="0EF4930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57BA675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251B339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1F982B6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平原草地、低山丘陵、山脚平原、溪流岸边和疏林空地</w:t>
            </w:r>
          </w:p>
        </w:tc>
        <w:tc>
          <w:tcPr>
            <w:tcW w:w="449" w:type="pct"/>
            <w:tcBorders>
              <w:tl2br w:val="nil"/>
              <w:tr2bl w:val="nil"/>
            </w:tcBorders>
            <w:vAlign w:val="center"/>
          </w:tcPr>
          <w:p w14:paraId="2BC5398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483CAB3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4A13C1DC" w14:textId="77777777">
        <w:trPr>
          <w:trHeight w:val="23"/>
          <w:jc w:val="center"/>
        </w:trPr>
        <w:tc>
          <w:tcPr>
            <w:tcW w:w="489" w:type="pct"/>
            <w:tcBorders>
              <w:tl2br w:val="nil"/>
              <w:tr2bl w:val="nil"/>
            </w:tcBorders>
            <w:vAlign w:val="center"/>
          </w:tcPr>
          <w:p w14:paraId="49B9BC0A"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756F9A14"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普通秧鸡</w:t>
            </w:r>
          </w:p>
          <w:p w14:paraId="5576F84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Rallus indicus</w:t>
            </w:r>
          </w:p>
        </w:tc>
        <w:tc>
          <w:tcPr>
            <w:tcW w:w="861" w:type="pct"/>
            <w:tcBorders>
              <w:tl2br w:val="nil"/>
              <w:tr2bl w:val="nil"/>
            </w:tcBorders>
            <w:vAlign w:val="center"/>
          </w:tcPr>
          <w:p w14:paraId="501FEEA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4D2357AF" wp14:editId="64C9563B">
                  <wp:extent cx="1560195" cy="1076325"/>
                  <wp:effectExtent l="0" t="0" r="1905" b="9525"/>
                  <wp:docPr id="275" name="图片 275" descr="https://img2.baidu.com/it/u=2322955220,3717005932&amp;fm=253&amp;fmt=auto&amp;app=138&amp;f=JPEG?w=725&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https://img2.baidu.com/it/u=2322955220,3717005932&amp;fm=253&amp;fmt=auto&amp;app=138&amp;f=JPEG?w=725&amp;h=500"/>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a:xfrm flipH="1">
                            <a:off x="0" y="0"/>
                            <a:ext cx="1575976" cy="1087225"/>
                          </a:xfrm>
                          <a:prstGeom prst="rect">
                            <a:avLst/>
                          </a:prstGeom>
                          <a:noFill/>
                          <a:ln>
                            <a:noFill/>
                          </a:ln>
                        </pic:spPr>
                      </pic:pic>
                    </a:graphicData>
                  </a:graphic>
                </wp:inline>
              </w:drawing>
            </w:r>
          </w:p>
        </w:tc>
        <w:tc>
          <w:tcPr>
            <w:tcW w:w="383" w:type="pct"/>
            <w:tcBorders>
              <w:tl2br w:val="nil"/>
              <w:tr2bl w:val="nil"/>
            </w:tcBorders>
            <w:vAlign w:val="center"/>
          </w:tcPr>
          <w:p w14:paraId="74131FE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1CBB092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4E5BE8B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36FBF83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栖息于开阔平原至低山丘陵的湿地或稻田</w:t>
            </w:r>
          </w:p>
        </w:tc>
        <w:tc>
          <w:tcPr>
            <w:tcW w:w="449" w:type="pct"/>
            <w:tcBorders>
              <w:tl2br w:val="nil"/>
              <w:tr2bl w:val="nil"/>
            </w:tcBorders>
            <w:vAlign w:val="center"/>
          </w:tcPr>
          <w:p w14:paraId="7B6D5AB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2D3E4CC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2E495385" w14:textId="77777777">
        <w:trPr>
          <w:trHeight w:val="23"/>
          <w:jc w:val="center"/>
        </w:trPr>
        <w:tc>
          <w:tcPr>
            <w:tcW w:w="489" w:type="pct"/>
            <w:tcBorders>
              <w:tl2br w:val="nil"/>
              <w:tr2bl w:val="nil"/>
            </w:tcBorders>
            <w:vAlign w:val="center"/>
          </w:tcPr>
          <w:p w14:paraId="7300F9C6"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077B0D81"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金眶鸻</w:t>
            </w:r>
          </w:p>
          <w:p w14:paraId="16C1C8FC" w14:textId="77777777" w:rsidR="009D12AF" w:rsidRDefault="00000000">
            <w:pPr>
              <w:widowControl/>
              <w:adjustRightInd w:val="0"/>
              <w:snapToGrid w:val="0"/>
              <w:ind w:firstLineChars="0" w:firstLine="0"/>
              <w:jc w:val="center"/>
              <w:rPr>
                <w:rFonts w:ascii="宋体" w:eastAsia="宋体" w:hAnsi="宋体" w:cs="宋体" w:hint="eastAsia"/>
                <w:color w:val="000000"/>
                <w:kern w:val="0"/>
                <w:sz w:val="21"/>
                <w:szCs w:val="21"/>
              </w:rPr>
            </w:pPr>
            <w:r>
              <w:rPr>
                <w:rFonts w:cs="Times New Roman"/>
                <w:i/>
                <w:iCs/>
                <w:kern w:val="0"/>
                <w:sz w:val="21"/>
                <w:szCs w:val="21"/>
              </w:rPr>
              <w:t>Charadrius dubius</w:t>
            </w:r>
          </w:p>
        </w:tc>
        <w:tc>
          <w:tcPr>
            <w:tcW w:w="861" w:type="pct"/>
            <w:tcBorders>
              <w:tl2br w:val="nil"/>
              <w:tr2bl w:val="nil"/>
            </w:tcBorders>
            <w:vAlign w:val="center"/>
          </w:tcPr>
          <w:p w14:paraId="23482B1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54EA37E3" wp14:editId="67C0A6BC">
                  <wp:extent cx="1467485" cy="1082040"/>
                  <wp:effectExtent l="0" t="0" r="18415" b="3810"/>
                  <wp:docPr id="276" name="图片 276" descr="https://img1.baidu.com/it/u=2474085654,4193596053&amp;fm=253&amp;fmt=auto&amp;app=138&amp;f=JPEG?w=678&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https://img1.baidu.com/it/u=2474085654,4193596053&amp;fm=253&amp;fmt=auto&amp;app=138&amp;f=JPEG?w=678&amp;h=500"/>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a:xfrm>
                            <a:off x="0" y="0"/>
                            <a:ext cx="1480611" cy="1091934"/>
                          </a:xfrm>
                          <a:prstGeom prst="rect">
                            <a:avLst/>
                          </a:prstGeom>
                          <a:noFill/>
                          <a:ln>
                            <a:noFill/>
                          </a:ln>
                        </pic:spPr>
                      </pic:pic>
                    </a:graphicData>
                  </a:graphic>
                </wp:inline>
              </w:drawing>
            </w:r>
          </w:p>
        </w:tc>
        <w:tc>
          <w:tcPr>
            <w:tcW w:w="383" w:type="pct"/>
            <w:tcBorders>
              <w:tl2br w:val="nil"/>
              <w:tr2bl w:val="nil"/>
            </w:tcBorders>
            <w:vAlign w:val="center"/>
          </w:tcPr>
          <w:p w14:paraId="22A9C60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661EEEF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4BC2F75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11987F0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海滨、河口和农田</w:t>
            </w:r>
          </w:p>
        </w:tc>
        <w:tc>
          <w:tcPr>
            <w:tcW w:w="449" w:type="pct"/>
            <w:tcBorders>
              <w:tl2br w:val="nil"/>
              <w:tr2bl w:val="nil"/>
            </w:tcBorders>
            <w:vAlign w:val="center"/>
          </w:tcPr>
          <w:p w14:paraId="224D298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053DC8B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6920E39D" w14:textId="77777777">
        <w:trPr>
          <w:trHeight w:val="23"/>
          <w:jc w:val="center"/>
        </w:trPr>
        <w:tc>
          <w:tcPr>
            <w:tcW w:w="489" w:type="pct"/>
            <w:tcBorders>
              <w:tl2br w:val="nil"/>
              <w:tr2bl w:val="nil"/>
            </w:tcBorders>
            <w:vAlign w:val="center"/>
          </w:tcPr>
          <w:p w14:paraId="4E15DCA6"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37BEA326"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林鹬</w:t>
            </w:r>
          </w:p>
          <w:p w14:paraId="2785B04A" w14:textId="77777777" w:rsidR="009D12AF" w:rsidRDefault="00000000">
            <w:pPr>
              <w:widowControl/>
              <w:adjustRightInd w:val="0"/>
              <w:snapToGrid w:val="0"/>
              <w:ind w:firstLineChars="0" w:firstLine="0"/>
              <w:jc w:val="center"/>
              <w:rPr>
                <w:rFonts w:ascii="宋体" w:eastAsia="宋体" w:hAnsi="宋体" w:cs="宋体" w:hint="eastAsia"/>
                <w:color w:val="000000"/>
                <w:kern w:val="0"/>
                <w:sz w:val="21"/>
                <w:szCs w:val="21"/>
              </w:rPr>
            </w:pPr>
            <w:r>
              <w:rPr>
                <w:rFonts w:cs="Times New Roman"/>
                <w:i/>
                <w:iCs/>
                <w:kern w:val="0"/>
                <w:sz w:val="21"/>
                <w:szCs w:val="21"/>
              </w:rPr>
              <w:t>Tringa glareola</w:t>
            </w:r>
          </w:p>
        </w:tc>
        <w:tc>
          <w:tcPr>
            <w:tcW w:w="861" w:type="pct"/>
            <w:tcBorders>
              <w:tl2br w:val="nil"/>
              <w:tr2bl w:val="nil"/>
            </w:tcBorders>
            <w:vAlign w:val="center"/>
          </w:tcPr>
          <w:p w14:paraId="4EC8C54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11BB3E2E" wp14:editId="45ABB80D">
                  <wp:extent cx="1438275" cy="958850"/>
                  <wp:effectExtent l="0" t="0" r="9525" b="12700"/>
                  <wp:docPr id="277" name="图片 277" descr="https://img2.baidu.com/it/u=2553731481,4035698869&amp;fm=253&amp;fmt=auto&amp;app=138&amp;f=JPEG?w=1200&amp;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https://img2.baidu.com/it/u=2553731481,4035698869&amp;fm=253&amp;fmt=auto&amp;app=138&amp;f=JPEG?w=1200&amp;h=800"/>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a:xfrm flipH="1">
                            <a:off x="0" y="0"/>
                            <a:ext cx="1475701" cy="984047"/>
                          </a:xfrm>
                          <a:prstGeom prst="rect">
                            <a:avLst/>
                          </a:prstGeom>
                          <a:noFill/>
                          <a:ln>
                            <a:noFill/>
                          </a:ln>
                        </pic:spPr>
                      </pic:pic>
                    </a:graphicData>
                  </a:graphic>
                </wp:inline>
              </w:drawing>
            </w:r>
          </w:p>
        </w:tc>
        <w:tc>
          <w:tcPr>
            <w:tcW w:w="383" w:type="pct"/>
            <w:tcBorders>
              <w:tl2br w:val="nil"/>
              <w:tr2bl w:val="nil"/>
            </w:tcBorders>
            <w:vAlign w:val="center"/>
          </w:tcPr>
          <w:p w14:paraId="0745DA3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1DD12F2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7D0A7CF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166A4BA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林中或林缘的水域附近</w:t>
            </w:r>
          </w:p>
        </w:tc>
        <w:tc>
          <w:tcPr>
            <w:tcW w:w="449" w:type="pct"/>
            <w:tcBorders>
              <w:tl2br w:val="nil"/>
              <w:tr2bl w:val="nil"/>
            </w:tcBorders>
            <w:vAlign w:val="center"/>
          </w:tcPr>
          <w:p w14:paraId="06E6349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487C71A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2C3E0EEE" w14:textId="77777777">
        <w:trPr>
          <w:trHeight w:val="23"/>
          <w:jc w:val="center"/>
        </w:trPr>
        <w:tc>
          <w:tcPr>
            <w:tcW w:w="489" w:type="pct"/>
            <w:tcBorders>
              <w:tl2br w:val="nil"/>
              <w:tr2bl w:val="nil"/>
            </w:tcBorders>
            <w:vAlign w:val="center"/>
          </w:tcPr>
          <w:p w14:paraId="2DC8F6F9"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11B76861"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矶鹬</w:t>
            </w:r>
          </w:p>
          <w:p w14:paraId="442C1460" w14:textId="77777777" w:rsidR="009D12AF" w:rsidRDefault="00000000">
            <w:pPr>
              <w:widowControl/>
              <w:adjustRightInd w:val="0"/>
              <w:snapToGrid w:val="0"/>
              <w:ind w:firstLineChars="0" w:firstLine="0"/>
              <w:jc w:val="center"/>
              <w:rPr>
                <w:rFonts w:ascii="宋体" w:eastAsia="宋体" w:hAnsi="宋体" w:cs="宋体" w:hint="eastAsia"/>
                <w:color w:val="000000"/>
                <w:kern w:val="0"/>
                <w:sz w:val="21"/>
                <w:szCs w:val="21"/>
              </w:rPr>
            </w:pPr>
            <w:r>
              <w:rPr>
                <w:rFonts w:cs="Times New Roman"/>
                <w:i/>
                <w:iCs/>
                <w:kern w:val="0"/>
                <w:sz w:val="21"/>
                <w:szCs w:val="21"/>
              </w:rPr>
              <w:t>Actitis hypoleucos</w:t>
            </w:r>
          </w:p>
        </w:tc>
        <w:tc>
          <w:tcPr>
            <w:tcW w:w="861" w:type="pct"/>
            <w:tcBorders>
              <w:tl2br w:val="nil"/>
              <w:tr2bl w:val="nil"/>
            </w:tcBorders>
            <w:vAlign w:val="center"/>
          </w:tcPr>
          <w:p w14:paraId="6A16771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46A2910E" wp14:editId="33F12881">
                  <wp:extent cx="1462405" cy="920115"/>
                  <wp:effectExtent l="0" t="0" r="4445" b="13335"/>
                  <wp:docPr id="278" name="图片 278" descr="https://img1.baidu.com/it/u=4187014723,1125958574&amp;fm=253&amp;fmt=auto&amp;app=138&amp;f=JPEG?w=795&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https://img1.baidu.com/it/u=4187014723,1125958574&amp;fm=253&amp;fmt=auto&amp;app=138&amp;f=JPEG?w=795&amp;h=500"/>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a:xfrm>
                            <a:off x="0" y="0"/>
                            <a:ext cx="1485212" cy="934533"/>
                          </a:xfrm>
                          <a:prstGeom prst="rect">
                            <a:avLst/>
                          </a:prstGeom>
                          <a:noFill/>
                          <a:ln>
                            <a:noFill/>
                          </a:ln>
                        </pic:spPr>
                      </pic:pic>
                    </a:graphicData>
                  </a:graphic>
                </wp:inline>
              </w:drawing>
            </w:r>
          </w:p>
        </w:tc>
        <w:tc>
          <w:tcPr>
            <w:tcW w:w="383" w:type="pct"/>
            <w:tcBorders>
              <w:tl2br w:val="nil"/>
              <w:tr2bl w:val="nil"/>
            </w:tcBorders>
            <w:vAlign w:val="center"/>
          </w:tcPr>
          <w:p w14:paraId="7AE4CEB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36DAC58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01D99D4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147435B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低山丘陵至山脚平原的江河、湖泊、水库</w:t>
            </w:r>
          </w:p>
        </w:tc>
        <w:tc>
          <w:tcPr>
            <w:tcW w:w="449" w:type="pct"/>
            <w:tcBorders>
              <w:tl2br w:val="nil"/>
              <w:tr2bl w:val="nil"/>
            </w:tcBorders>
            <w:vAlign w:val="center"/>
          </w:tcPr>
          <w:p w14:paraId="493E784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7C999D8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3A1BCBFB" w14:textId="77777777">
        <w:trPr>
          <w:trHeight w:val="23"/>
          <w:jc w:val="center"/>
        </w:trPr>
        <w:tc>
          <w:tcPr>
            <w:tcW w:w="489" w:type="pct"/>
            <w:tcBorders>
              <w:tl2br w:val="nil"/>
              <w:tr2bl w:val="nil"/>
            </w:tcBorders>
            <w:vAlign w:val="center"/>
          </w:tcPr>
          <w:p w14:paraId="63CF78BB"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29578796"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山斑鸠</w:t>
            </w:r>
          </w:p>
          <w:p w14:paraId="1DF93D5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Streptopelia orientalis</w:t>
            </w:r>
          </w:p>
        </w:tc>
        <w:tc>
          <w:tcPr>
            <w:tcW w:w="861" w:type="pct"/>
            <w:tcBorders>
              <w:tl2br w:val="nil"/>
              <w:tr2bl w:val="nil"/>
            </w:tcBorders>
            <w:vAlign w:val="center"/>
          </w:tcPr>
          <w:p w14:paraId="7DB20C4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51469840" wp14:editId="7A76A050">
                  <wp:extent cx="1257300" cy="908685"/>
                  <wp:effectExtent l="0" t="0" r="0" b="5715"/>
                  <wp:docPr id="279" name="图片 279" descr="https://img1.baidu.com/it/u=446587890,2144808164&amp;fm=253&amp;fmt=auto&amp;app=138&amp;f=JPEG?w=692&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https://img1.baidu.com/it/u=446587890,2144808164&amp;fm=253&amp;fmt=auto&amp;app=138&amp;f=JPEG?w=692&amp;h=500"/>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a:xfrm>
                            <a:off x="0" y="0"/>
                            <a:ext cx="1273888" cy="920473"/>
                          </a:xfrm>
                          <a:prstGeom prst="rect">
                            <a:avLst/>
                          </a:prstGeom>
                          <a:noFill/>
                          <a:ln>
                            <a:noFill/>
                          </a:ln>
                        </pic:spPr>
                      </pic:pic>
                    </a:graphicData>
                  </a:graphic>
                </wp:inline>
              </w:drawing>
            </w:r>
          </w:p>
        </w:tc>
        <w:tc>
          <w:tcPr>
            <w:tcW w:w="383" w:type="pct"/>
            <w:tcBorders>
              <w:tl2br w:val="nil"/>
              <w:tr2bl w:val="nil"/>
            </w:tcBorders>
            <w:vAlign w:val="center"/>
          </w:tcPr>
          <w:p w14:paraId="328D5D4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743F444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3A2B447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28ED653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针阔混交林、季风常绿阔叶林</w:t>
            </w:r>
          </w:p>
        </w:tc>
        <w:tc>
          <w:tcPr>
            <w:tcW w:w="449" w:type="pct"/>
            <w:tcBorders>
              <w:tl2br w:val="nil"/>
              <w:tr2bl w:val="nil"/>
            </w:tcBorders>
            <w:vAlign w:val="center"/>
          </w:tcPr>
          <w:p w14:paraId="3650B15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50B13A7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0BFA1B32" w14:textId="77777777">
        <w:trPr>
          <w:trHeight w:val="23"/>
          <w:jc w:val="center"/>
        </w:trPr>
        <w:tc>
          <w:tcPr>
            <w:tcW w:w="489" w:type="pct"/>
            <w:tcBorders>
              <w:tl2br w:val="nil"/>
              <w:tr2bl w:val="nil"/>
            </w:tcBorders>
            <w:vAlign w:val="center"/>
          </w:tcPr>
          <w:p w14:paraId="576D283C"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11AD6DA7"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大杜鹃</w:t>
            </w:r>
          </w:p>
          <w:p w14:paraId="455449B4" w14:textId="77777777" w:rsidR="009D12AF" w:rsidRDefault="00000000">
            <w:pPr>
              <w:widowControl/>
              <w:adjustRightInd w:val="0"/>
              <w:snapToGrid w:val="0"/>
              <w:ind w:firstLineChars="0" w:firstLine="0"/>
              <w:jc w:val="center"/>
              <w:rPr>
                <w:rFonts w:ascii="宋体" w:eastAsia="宋体" w:hAnsi="宋体" w:cs="宋体" w:hint="eastAsia"/>
                <w:color w:val="000000"/>
                <w:kern w:val="0"/>
                <w:sz w:val="21"/>
                <w:szCs w:val="21"/>
              </w:rPr>
            </w:pPr>
            <w:r>
              <w:rPr>
                <w:rFonts w:cs="Times New Roman"/>
                <w:i/>
                <w:iCs/>
                <w:kern w:val="0"/>
                <w:sz w:val="21"/>
                <w:szCs w:val="21"/>
              </w:rPr>
              <w:t>Cuculus canorus</w:t>
            </w:r>
          </w:p>
        </w:tc>
        <w:tc>
          <w:tcPr>
            <w:tcW w:w="861" w:type="pct"/>
            <w:tcBorders>
              <w:tl2br w:val="nil"/>
              <w:tr2bl w:val="nil"/>
            </w:tcBorders>
            <w:vAlign w:val="center"/>
          </w:tcPr>
          <w:p w14:paraId="4D9C546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20D8C40B" wp14:editId="333B068A">
                  <wp:extent cx="1407795" cy="890905"/>
                  <wp:effectExtent l="0" t="0" r="1905" b="4445"/>
                  <wp:docPr id="280" name="图片 280" descr="https://img1.baidu.com/it/u=3208026793,3106087286&amp;fm=253&amp;fmt=auto&amp;app=138&amp;f=JPEG?w=790&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https://img1.baidu.com/it/u=3208026793,3106087286&amp;fm=253&amp;fmt=auto&amp;app=138&amp;f=JPEG?w=790&amp;h=500"/>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a:xfrm>
                            <a:off x="0" y="0"/>
                            <a:ext cx="1448162" cy="916835"/>
                          </a:xfrm>
                          <a:prstGeom prst="rect">
                            <a:avLst/>
                          </a:prstGeom>
                          <a:noFill/>
                          <a:ln>
                            <a:noFill/>
                          </a:ln>
                        </pic:spPr>
                      </pic:pic>
                    </a:graphicData>
                  </a:graphic>
                </wp:inline>
              </w:drawing>
            </w:r>
          </w:p>
        </w:tc>
        <w:tc>
          <w:tcPr>
            <w:tcW w:w="383" w:type="pct"/>
            <w:tcBorders>
              <w:tl2br w:val="nil"/>
              <w:tr2bl w:val="nil"/>
            </w:tcBorders>
            <w:vAlign w:val="center"/>
          </w:tcPr>
          <w:p w14:paraId="015F07B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35B749C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5396126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3F4D378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栖息于山地、丘陵和平原地带的森林</w:t>
            </w:r>
          </w:p>
        </w:tc>
        <w:tc>
          <w:tcPr>
            <w:tcW w:w="449" w:type="pct"/>
            <w:tcBorders>
              <w:tl2br w:val="nil"/>
              <w:tr2bl w:val="nil"/>
            </w:tcBorders>
            <w:vAlign w:val="center"/>
          </w:tcPr>
          <w:p w14:paraId="10576F9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0561976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46392780" w14:textId="77777777">
        <w:trPr>
          <w:trHeight w:val="23"/>
          <w:jc w:val="center"/>
        </w:trPr>
        <w:tc>
          <w:tcPr>
            <w:tcW w:w="489" w:type="pct"/>
            <w:tcBorders>
              <w:tl2br w:val="nil"/>
              <w:tr2bl w:val="nil"/>
            </w:tcBorders>
            <w:vAlign w:val="center"/>
          </w:tcPr>
          <w:p w14:paraId="14F1F94D"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21F5B1ED"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hint="eastAsia"/>
                <w:color w:val="000000"/>
                <w:kern w:val="0"/>
                <w:sz w:val="21"/>
                <w:szCs w:val="21"/>
              </w:rPr>
              <w:t>中杜鹃</w:t>
            </w:r>
          </w:p>
          <w:p w14:paraId="69B7985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Cuculus saturatus</w:t>
            </w:r>
          </w:p>
        </w:tc>
        <w:tc>
          <w:tcPr>
            <w:tcW w:w="861" w:type="pct"/>
            <w:tcBorders>
              <w:tl2br w:val="nil"/>
              <w:tr2bl w:val="nil"/>
            </w:tcBorders>
            <w:vAlign w:val="center"/>
          </w:tcPr>
          <w:p w14:paraId="435CAAE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20F81B0B" wp14:editId="199CE648">
                  <wp:extent cx="1431925" cy="955040"/>
                  <wp:effectExtent l="0" t="0" r="15875" b="16510"/>
                  <wp:docPr id="281" name="图片 281" descr="https://img1.baidu.com/it/u=4210793898,1100603795&amp;fm=253&amp;fmt=auto&amp;app=138&amp;f=JPEG?w=750&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https://img1.baidu.com/it/u=4210793898,1100603795&amp;fm=253&amp;fmt=auto&amp;app=138&amp;f=JPEG?w=750&amp;h=500"/>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a:xfrm>
                            <a:off x="0" y="0"/>
                            <a:ext cx="1451003" cy="967723"/>
                          </a:xfrm>
                          <a:prstGeom prst="rect">
                            <a:avLst/>
                          </a:prstGeom>
                          <a:noFill/>
                          <a:ln>
                            <a:noFill/>
                          </a:ln>
                        </pic:spPr>
                      </pic:pic>
                    </a:graphicData>
                  </a:graphic>
                </wp:inline>
              </w:drawing>
            </w:r>
          </w:p>
        </w:tc>
        <w:tc>
          <w:tcPr>
            <w:tcW w:w="383" w:type="pct"/>
            <w:tcBorders>
              <w:tl2br w:val="nil"/>
              <w:tr2bl w:val="nil"/>
            </w:tcBorders>
            <w:vAlign w:val="center"/>
          </w:tcPr>
          <w:p w14:paraId="55165E6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5631600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3F3CC92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19FCA46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栖息于山地、丘陵和平原地带的森林</w:t>
            </w:r>
          </w:p>
        </w:tc>
        <w:tc>
          <w:tcPr>
            <w:tcW w:w="449" w:type="pct"/>
            <w:tcBorders>
              <w:tl2br w:val="nil"/>
              <w:tr2bl w:val="nil"/>
            </w:tcBorders>
            <w:vAlign w:val="center"/>
          </w:tcPr>
          <w:p w14:paraId="0C3B936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6491BE2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1F31F42B" w14:textId="77777777">
        <w:trPr>
          <w:trHeight w:val="23"/>
          <w:jc w:val="center"/>
        </w:trPr>
        <w:tc>
          <w:tcPr>
            <w:tcW w:w="489" w:type="pct"/>
            <w:tcBorders>
              <w:tl2br w:val="nil"/>
              <w:tr2bl w:val="nil"/>
            </w:tcBorders>
            <w:vAlign w:val="center"/>
          </w:tcPr>
          <w:p w14:paraId="19AD35F7"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24FBFDC1"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hint="eastAsia"/>
                <w:color w:val="000000"/>
                <w:kern w:val="0"/>
                <w:sz w:val="21"/>
                <w:szCs w:val="21"/>
              </w:rPr>
              <w:t>四声杜鹃</w:t>
            </w:r>
          </w:p>
          <w:p w14:paraId="7242915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Cuculus micropterus</w:t>
            </w:r>
          </w:p>
        </w:tc>
        <w:tc>
          <w:tcPr>
            <w:tcW w:w="861" w:type="pct"/>
            <w:tcBorders>
              <w:tl2br w:val="nil"/>
              <w:tr2bl w:val="nil"/>
            </w:tcBorders>
            <w:vAlign w:val="center"/>
          </w:tcPr>
          <w:p w14:paraId="7ECF2B6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4675228A" wp14:editId="5AC02D76">
                  <wp:extent cx="1387475" cy="832485"/>
                  <wp:effectExtent l="0" t="0" r="3175" b="5715"/>
                  <wp:docPr id="1433613824" name="图片 1433613824" descr="https://img0.baidu.com/it/u=7556429,1586828469&amp;fm=253&amp;fmt=auto?w=617&amp;h=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13824" name="图片 1433613824" descr="https://img0.baidu.com/it/u=7556429,1586828469&amp;fm=253&amp;fmt=auto?w=617&amp;h=370"/>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a:xfrm>
                            <a:off x="0" y="0"/>
                            <a:ext cx="1403235" cy="841850"/>
                          </a:xfrm>
                          <a:prstGeom prst="rect">
                            <a:avLst/>
                          </a:prstGeom>
                          <a:noFill/>
                          <a:ln>
                            <a:noFill/>
                          </a:ln>
                        </pic:spPr>
                      </pic:pic>
                    </a:graphicData>
                  </a:graphic>
                </wp:inline>
              </w:drawing>
            </w:r>
          </w:p>
        </w:tc>
        <w:tc>
          <w:tcPr>
            <w:tcW w:w="383" w:type="pct"/>
            <w:tcBorders>
              <w:tl2br w:val="nil"/>
              <w:tr2bl w:val="nil"/>
            </w:tcBorders>
            <w:vAlign w:val="center"/>
          </w:tcPr>
          <w:p w14:paraId="6CC0ABB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3688663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29C64AF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37377AD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栖息于山地、丘陵和平原地带的</w:t>
            </w:r>
            <w:r>
              <w:rPr>
                <w:rFonts w:cs="Times New Roman"/>
                <w:kern w:val="0"/>
                <w:sz w:val="21"/>
                <w:szCs w:val="21"/>
              </w:rPr>
              <w:lastRenderedPageBreak/>
              <w:t>森林</w:t>
            </w:r>
          </w:p>
        </w:tc>
        <w:tc>
          <w:tcPr>
            <w:tcW w:w="449" w:type="pct"/>
            <w:tcBorders>
              <w:tl2br w:val="nil"/>
              <w:tr2bl w:val="nil"/>
            </w:tcBorders>
            <w:vAlign w:val="center"/>
          </w:tcPr>
          <w:p w14:paraId="666F728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lastRenderedPageBreak/>
              <w:t>目击</w:t>
            </w:r>
          </w:p>
        </w:tc>
        <w:tc>
          <w:tcPr>
            <w:tcW w:w="651" w:type="pct"/>
            <w:tcBorders>
              <w:tl2br w:val="nil"/>
              <w:tr2bl w:val="nil"/>
            </w:tcBorders>
            <w:vAlign w:val="center"/>
          </w:tcPr>
          <w:p w14:paraId="5C896D4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091FB832" w14:textId="77777777">
        <w:trPr>
          <w:trHeight w:val="23"/>
          <w:jc w:val="center"/>
        </w:trPr>
        <w:tc>
          <w:tcPr>
            <w:tcW w:w="489" w:type="pct"/>
            <w:tcBorders>
              <w:tl2br w:val="nil"/>
              <w:tr2bl w:val="nil"/>
            </w:tcBorders>
            <w:vAlign w:val="center"/>
          </w:tcPr>
          <w:p w14:paraId="5A70D203"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3535A65D"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普通翠鸟</w:t>
            </w:r>
          </w:p>
          <w:p w14:paraId="663C1F7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Alcedo atthis</w:t>
            </w:r>
          </w:p>
        </w:tc>
        <w:tc>
          <w:tcPr>
            <w:tcW w:w="861" w:type="pct"/>
            <w:tcBorders>
              <w:tl2br w:val="nil"/>
              <w:tr2bl w:val="nil"/>
            </w:tcBorders>
            <w:vAlign w:val="center"/>
          </w:tcPr>
          <w:p w14:paraId="2B90F93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1B56554D" wp14:editId="2B6848DE">
                  <wp:extent cx="1271270" cy="793750"/>
                  <wp:effectExtent l="0" t="0" r="5080" b="6350"/>
                  <wp:docPr id="1060173591" name="图片 1060173591" descr="https://img2.baidu.com/it/u=1194891180,2630557715&amp;fm=253&amp;fmt=auto&amp;app=120&amp;f=JPEG?w=642&amp;h=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173591" name="图片 1060173591" descr="https://img2.baidu.com/it/u=1194891180,2630557715&amp;fm=253&amp;fmt=auto&amp;app=120&amp;f=JPEG?w=642&amp;h=401"/>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a:xfrm>
                            <a:off x="0" y="0"/>
                            <a:ext cx="1286020" cy="802594"/>
                          </a:xfrm>
                          <a:prstGeom prst="rect">
                            <a:avLst/>
                          </a:prstGeom>
                          <a:noFill/>
                          <a:ln>
                            <a:noFill/>
                          </a:ln>
                        </pic:spPr>
                      </pic:pic>
                    </a:graphicData>
                  </a:graphic>
                </wp:inline>
              </w:drawing>
            </w:r>
          </w:p>
        </w:tc>
        <w:tc>
          <w:tcPr>
            <w:tcW w:w="383" w:type="pct"/>
            <w:tcBorders>
              <w:tl2br w:val="nil"/>
              <w:tr2bl w:val="nil"/>
            </w:tcBorders>
            <w:vAlign w:val="center"/>
          </w:tcPr>
          <w:p w14:paraId="73B5A80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1AFB970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40DD4E2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050BA52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小河、溪涧、湖泊以及灌溉渠等水域</w:t>
            </w:r>
          </w:p>
        </w:tc>
        <w:tc>
          <w:tcPr>
            <w:tcW w:w="449" w:type="pct"/>
            <w:tcBorders>
              <w:tl2br w:val="nil"/>
              <w:tr2bl w:val="nil"/>
            </w:tcBorders>
            <w:vAlign w:val="center"/>
          </w:tcPr>
          <w:p w14:paraId="2ACC90F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04E2BAA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76ABCF32" w14:textId="77777777">
        <w:trPr>
          <w:trHeight w:val="23"/>
          <w:jc w:val="center"/>
        </w:trPr>
        <w:tc>
          <w:tcPr>
            <w:tcW w:w="489" w:type="pct"/>
            <w:tcBorders>
              <w:tl2br w:val="nil"/>
              <w:tr2bl w:val="nil"/>
            </w:tcBorders>
            <w:vAlign w:val="center"/>
          </w:tcPr>
          <w:p w14:paraId="20E9FEA1"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4BDA1D43"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树鹨</w:t>
            </w:r>
          </w:p>
          <w:p w14:paraId="09A164B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Anthus hodgsoni</w:t>
            </w:r>
          </w:p>
        </w:tc>
        <w:tc>
          <w:tcPr>
            <w:tcW w:w="861" w:type="pct"/>
            <w:tcBorders>
              <w:tl2br w:val="nil"/>
              <w:tr2bl w:val="nil"/>
            </w:tcBorders>
            <w:vAlign w:val="center"/>
          </w:tcPr>
          <w:p w14:paraId="0FA17E0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2F40FCE0" wp14:editId="08A48AAA">
                  <wp:extent cx="1503680" cy="946150"/>
                  <wp:effectExtent l="0" t="0" r="1270" b="6350"/>
                  <wp:docPr id="744227655" name="图片 744227655" descr="https://img2.baidu.com/it/u=568856059,3720168558&amp;fm=253&amp;fmt=auto&amp;app=138&amp;f=JPEG?w=795&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227655" name="图片 744227655" descr="https://img2.baidu.com/it/u=568856059,3720168558&amp;fm=253&amp;fmt=auto&amp;app=138&amp;f=JPEG?w=795&amp;h=500"/>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a:xfrm>
                            <a:off x="0" y="0"/>
                            <a:ext cx="1525064" cy="959562"/>
                          </a:xfrm>
                          <a:prstGeom prst="rect">
                            <a:avLst/>
                          </a:prstGeom>
                          <a:noFill/>
                          <a:ln>
                            <a:noFill/>
                          </a:ln>
                        </pic:spPr>
                      </pic:pic>
                    </a:graphicData>
                  </a:graphic>
                </wp:inline>
              </w:drawing>
            </w:r>
          </w:p>
        </w:tc>
        <w:tc>
          <w:tcPr>
            <w:tcW w:w="383" w:type="pct"/>
            <w:tcBorders>
              <w:tl2br w:val="nil"/>
              <w:tr2bl w:val="nil"/>
            </w:tcBorders>
            <w:vAlign w:val="center"/>
          </w:tcPr>
          <w:p w14:paraId="416B7E5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53DAE69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0FCCE28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421C482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栖息于针阔混交林、马尾松林、农耕区</w:t>
            </w:r>
          </w:p>
        </w:tc>
        <w:tc>
          <w:tcPr>
            <w:tcW w:w="449" w:type="pct"/>
            <w:tcBorders>
              <w:tl2br w:val="nil"/>
              <w:tr2bl w:val="nil"/>
            </w:tcBorders>
            <w:vAlign w:val="center"/>
          </w:tcPr>
          <w:p w14:paraId="5209404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47F3FFD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1E20152C" w14:textId="77777777">
        <w:trPr>
          <w:trHeight w:val="23"/>
          <w:jc w:val="center"/>
        </w:trPr>
        <w:tc>
          <w:tcPr>
            <w:tcW w:w="489" w:type="pct"/>
            <w:tcBorders>
              <w:tl2br w:val="nil"/>
              <w:tr2bl w:val="nil"/>
            </w:tcBorders>
            <w:vAlign w:val="center"/>
          </w:tcPr>
          <w:p w14:paraId="3838B26B"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72217315"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灰山椒鸟</w:t>
            </w:r>
          </w:p>
          <w:p w14:paraId="0848E00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Pericrocotus divaricatus</w:t>
            </w:r>
          </w:p>
        </w:tc>
        <w:tc>
          <w:tcPr>
            <w:tcW w:w="861" w:type="pct"/>
            <w:tcBorders>
              <w:tl2br w:val="nil"/>
              <w:tr2bl w:val="nil"/>
            </w:tcBorders>
            <w:vAlign w:val="center"/>
          </w:tcPr>
          <w:p w14:paraId="6EC6EF2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74EBE169" wp14:editId="20521962">
                  <wp:extent cx="1294130" cy="970280"/>
                  <wp:effectExtent l="0" t="0" r="1270" b="1270"/>
                  <wp:docPr id="282" name="图片 282" descr="https://img2.baidu.com/it/u=493267804,2028084659&amp;fm=253&amp;fmt=auto&amp;app=138&amp;f=JPEG?w=1067&amp;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https://img2.baidu.com/it/u=493267804,2028084659&amp;fm=253&amp;fmt=auto&amp;app=138&amp;f=JPEG?w=1067&amp;h=800"/>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a:xfrm>
                            <a:off x="0" y="0"/>
                            <a:ext cx="1308220" cy="980552"/>
                          </a:xfrm>
                          <a:prstGeom prst="rect">
                            <a:avLst/>
                          </a:prstGeom>
                          <a:noFill/>
                          <a:ln>
                            <a:noFill/>
                          </a:ln>
                        </pic:spPr>
                      </pic:pic>
                    </a:graphicData>
                  </a:graphic>
                </wp:inline>
              </w:drawing>
            </w:r>
          </w:p>
        </w:tc>
        <w:tc>
          <w:tcPr>
            <w:tcW w:w="383" w:type="pct"/>
            <w:tcBorders>
              <w:tl2br w:val="nil"/>
              <w:tr2bl w:val="nil"/>
            </w:tcBorders>
            <w:vAlign w:val="center"/>
          </w:tcPr>
          <w:p w14:paraId="60D205C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7435B13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4ADD3F3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24CFC52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茂密的原始</w:t>
            </w:r>
            <w:hyperlink r:id="rId211" w:tgtFrame="_blank" w:history="1">
              <w:r>
                <w:rPr>
                  <w:rFonts w:cs="Times New Roman"/>
                  <w:kern w:val="0"/>
                  <w:sz w:val="21"/>
                  <w:szCs w:val="21"/>
                </w:rPr>
                <w:t>落叶阔叶林</w:t>
              </w:r>
            </w:hyperlink>
            <w:r>
              <w:rPr>
                <w:rFonts w:cs="Times New Roman"/>
                <w:kern w:val="0"/>
                <w:sz w:val="21"/>
                <w:szCs w:val="21"/>
              </w:rPr>
              <w:t>和红松阔叶混交林中</w:t>
            </w:r>
          </w:p>
        </w:tc>
        <w:tc>
          <w:tcPr>
            <w:tcW w:w="449" w:type="pct"/>
            <w:tcBorders>
              <w:tl2br w:val="nil"/>
              <w:tr2bl w:val="nil"/>
            </w:tcBorders>
            <w:vAlign w:val="center"/>
          </w:tcPr>
          <w:p w14:paraId="51CA3EC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56D7568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4DC19E99" w14:textId="77777777">
        <w:trPr>
          <w:trHeight w:val="23"/>
          <w:jc w:val="center"/>
        </w:trPr>
        <w:tc>
          <w:tcPr>
            <w:tcW w:w="489" w:type="pct"/>
            <w:tcBorders>
              <w:tl2br w:val="nil"/>
              <w:tr2bl w:val="nil"/>
            </w:tcBorders>
            <w:vAlign w:val="center"/>
          </w:tcPr>
          <w:p w14:paraId="4FD90A6E"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547208CF"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红尾伯劳</w:t>
            </w:r>
          </w:p>
          <w:p w14:paraId="35C8C7C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kern w:val="0"/>
                <w:sz w:val="21"/>
                <w:szCs w:val="21"/>
              </w:rPr>
              <w:t>Lanius cristatus</w:t>
            </w:r>
          </w:p>
        </w:tc>
        <w:tc>
          <w:tcPr>
            <w:tcW w:w="861" w:type="pct"/>
            <w:tcBorders>
              <w:tl2br w:val="nil"/>
              <w:tr2bl w:val="nil"/>
            </w:tcBorders>
            <w:vAlign w:val="center"/>
          </w:tcPr>
          <w:p w14:paraId="72A55B0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092DA3CF" wp14:editId="72E6EE55">
                  <wp:extent cx="1333500" cy="1003300"/>
                  <wp:effectExtent l="0" t="0" r="0" b="6350"/>
                  <wp:docPr id="283" name="图片 283" descr="https://img1.baidu.com/it/u=196489646,1366321194&amp;fm=253&amp;fmt=auto&amp;app=120&amp;f=JPEG?w=665&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https://img1.baidu.com/it/u=196489646,1366321194&amp;fm=253&amp;fmt=auto&amp;app=120&amp;f=JPEG?w=665&amp;h=500"/>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a:xfrm>
                            <a:off x="0" y="0"/>
                            <a:ext cx="1342853" cy="1010170"/>
                          </a:xfrm>
                          <a:prstGeom prst="rect">
                            <a:avLst/>
                          </a:prstGeom>
                          <a:noFill/>
                          <a:ln>
                            <a:noFill/>
                          </a:ln>
                        </pic:spPr>
                      </pic:pic>
                    </a:graphicData>
                  </a:graphic>
                </wp:inline>
              </w:drawing>
            </w:r>
          </w:p>
        </w:tc>
        <w:tc>
          <w:tcPr>
            <w:tcW w:w="383" w:type="pct"/>
            <w:tcBorders>
              <w:tl2br w:val="nil"/>
              <w:tr2bl w:val="nil"/>
            </w:tcBorders>
            <w:vAlign w:val="center"/>
          </w:tcPr>
          <w:p w14:paraId="4CA158A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64D210E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69DF1D6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2F78983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灌丛、疏林和林缘地带</w:t>
            </w:r>
          </w:p>
        </w:tc>
        <w:tc>
          <w:tcPr>
            <w:tcW w:w="449" w:type="pct"/>
            <w:tcBorders>
              <w:tl2br w:val="nil"/>
              <w:tr2bl w:val="nil"/>
            </w:tcBorders>
            <w:vAlign w:val="center"/>
          </w:tcPr>
          <w:p w14:paraId="407469F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目击</w:t>
            </w:r>
          </w:p>
        </w:tc>
        <w:tc>
          <w:tcPr>
            <w:tcW w:w="651" w:type="pct"/>
            <w:tcBorders>
              <w:tl2br w:val="nil"/>
              <w:tr2bl w:val="nil"/>
            </w:tcBorders>
            <w:vAlign w:val="center"/>
          </w:tcPr>
          <w:p w14:paraId="4D122FD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36B286BE" w14:textId="77777777">
        <w:trPr>
          <w:trHeight w:val="23"/>
          <w:jc w:val="center"/>
        </w:trPr>
        <w:tc>
          <w:tcPr>
            <w:tcW w:w="489" w:type="pct"/>
            <w:tcBorders>
              <w:tl2br w:val="nil"/>
              <w:tr2bl w:val="nil"/>
            </w:tcBorders>
            <w:vAlign w:val="center"/>
          </w:tcPr>
          <w:p w14:paraId="17EE3178"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27EC92ED"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北椋鸟</w:t>
            </w:r>
          </w:p>
          <w:p w14:paraId="39CD48C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i/>
                <w:iCs/>
                <w:kern w:val="0"/>
                <w:sz w:val="21"/>
                <w:szCs w:val="21"/>
              </w:rPr>
              <w:t>Agropsar sturninus</w:t>
            </w:r>
          </w:p>
        </w:tc>
        <w:tc>
          <w:tcPr>
            <w:tcW w:w="861" w:type="pct"/>
            <w:tcBorders>
              <w:tl2br w:val="nil"/>
              <w:tr2bl w:val="nil"/>
            </w:tcBorders>
            <w:vAlign w:val="center"/>
          </w:tcPr>
          <w:p w14:paraId="136D69A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791D41AF" wp14:editId="63B0061A">
                  <wp:extent cx="1316990" cy="878205"/>
                  <wp:effectExtent l="0" t="0" r="16510" b="17145"/>
                  <wp:docPr id="1682244286" name="图片 1682244286" descr="https://img0.baidu.com/it/u=1837625819,3064165196&amp;fm=253&amp;fmt=auto&amp;app=138&amp;f=JPEG?w=1200&amp;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244286" name="图片 1682244286" descr="https://img0.baidu.com/it/u=1837625819,3064165196&amp;fm=253&amp;fmt=auto&amp;app=138&amp;f=JPEG?w=1200&amp;h=800"/>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a:xfrm>
                            <a:off x="0" y="0"/>
                            <a:ext cx="1326457" cy="884304"/>
                          </a:xfrm>
                          <a:prstGeom prst="rect">
                            <a:avLst/>
                          </a:prstGeom>
                          <a:noFill/>
                          <a:ln>
                            <a:noFill/>
                          </a:ln>
                        </pic:spPr>
                      </pic:pic>
                    </a:graphicData>
                  </a:graphic>
                </wp:inline>
              </w:drawing>
            </w:r>
          </w:p>
        </w:tc>
        <w:tc>
          <w:tcPr>
            <w:tcW w:w="383" w:type="pct"/>
            <w:tcBorders>
              <w:tl2br w:val="nil"/>
              <w:tr2bl w:val="nil"/>
            </w:tcBorders>
            <w:vAlign w:val="center"/>
          </w:tcPr>
          <w:p w14:paraId="677B45C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7F316EE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2679C02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27CCB53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栖息于阔叶林或田野内</w:t>
            </w:r>
          </w:p>
        </w:tc>
        <w:tc>
          <w:tcPr>
            <w:tcW w:w="449" w:type="pct"/>
            <w:tcBorders>
              <w:tl2br w:val="nil"/>
              <w:tr2bl w:val="nil"/>
            </w:tcBorders>
            <w:vAlign w:val="center"/>
          </w:tcPr>
          <w:p w14:paraId="734FCE4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目击</w:t>
            </w:r>
          </w:p>
        </w:tc>
        <w:tc>
          <w:tcPr>
            <w:tcW w:w="651" w:type="pct"/>
            <w:tcBorders>
              <w:tl2br w:val="nil"/>
              <w:tr2bl w:val="nil"/>
            </w:tcBorders>
            <w:vAlign w:val="center"/>
          </w:tcPr>
          <w:p w14:paraId="57AA2DF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223CF6A3" w14:textId="77777777">
        <w:trPr>
          <w:trHeight w:val="23"/>
          <w:jc w:val="center"/>
        </w:trPr>
        <w:tc>
          <w:tcPr>
            <w:tcW w:w="489" w:type="pct"/>
            <w:tcBorders>
              <w:tl2br w:val="nil"/>
              <w:tr2bl w:val="nil"/>
            </w:tcBorders>
            <w:vAlign w:val="center"/>
          </w:tcPr>
          <w:p w14:paraId="79E80654"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5547C684"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灰椋鸟</w:t>
            </w:r>
          </w:p>
          <w:p w14:paraId="3D97957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i/>
                <w:iCs/>
                <w:kern w:val="0"/>
                <w:sz w:val="21"/>
                <w:szCs w:val="21"/>
              </w:rPr>
              <w:t>Spodiopsar cineraceus</w:t>
            </w:r>
          </w:p>
        </w:tc>
        <w:tc>
          <w:tcPr>
            <w:tcW w:w="861" w:type="pct"/>
            <w:tcBorders>
              <w:tl2br w:val="nil"/>
              <w:tr2bl w:val="nil"/>
            </w:tcBorders>
            <w:vAlign w:val="center"/>
          </w:tcPr>
          <w:p w14:paraId="7B4EA69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7779E8A1" wp14:editId="6668F5F1">
                  <wp:extent cx="1348740" cy="899160"/>
                  <wp:effectExtent l="0" t="0" r="3810" b="15240"/>
                  <wp:docPr id="1735343152" name="图片 1735343152" descr="https://img1.baidu.com/it/u=2759934618,2370218364&amp;fm=253&amp;fmt=auto&amp;app=138&amp;f=JPEG?w=1200&amp;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343152" name="图片 1735343152" descr="https://img1.baidu.com/it/u=2759934618,2370218364&amp;fm=253&amp;fmt=auto&amp;app=138&amp;f=JPEG?w=1200&amp;h=800"/>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a:xfrm>
                            <a:off x="0" y="0"/>
                            <a:ext cx="1351230" cy="900820"/>
                          </a:xfrm>
                          <a:prstGeom prst="rect">
                            <a:avLst/>
                          </a:prstGeom>
                          <a:noFill/>
                          <a:ln>
                            <a:noFill/>
                          </a:ln>
                        </pic:spPr>
                      </pic:pic>
                    </a:graphicData>
                  </a:graphic>
                </wp:inline>
              </w:drawing>
            </w:r>
          </w:p>
        </w:tc>
        <w:tc>
          <w:tcPr>
            <w:tcW w:w="383" w:type="pct"/>
            <w:tcBorders>
              <w:tl2br w:val="nil"/>
              <w:tr2bl w:val="nil"/>
            </w:tcBorders>
            <w:vAlign w:val="center"/>
          </w:tcPr>
          <w:p w14:paraId="1359C1F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7572720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428E305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63E16EB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栖息于低山丘陵至平原的疏林、草甸或农田</w:t>
            </w:r>
          </w:p>
        </w:tc>
        <w:tc>
          <w:tcPr>
            <w:tcW w:w="449" w:type="pct"/>
            <w:tcBorders>
              <w:tl2br w:val="nil"/>
              <w:tr2bl w:val="nil"/>
            </w:tcBorders>
            <w:vAlign w:val="center"/>
          </w:tcPr>
          <w:p w14:paraId="5A615F0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6486CB9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09263520" w14:textId="77777777">
        <w:trPr>
          <w:trHeight w:val="23"/>
          <w:jc w:val="center"/>
        </w:trPr>
        <w:tc>
          <w:tcPr>
            <w:tcW w:w="489" w:type="pct"/>
            <w:tcBorders>
              <w:tl2br w:val="nil"/>
              <w:tr2bl w:val="nil"/>
            </w:tcBorders>
            <w:vAlign w:val="center"/>
          </w:tcPr>
          <w:p w14:paraId="17CE8716"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69210F7C"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黑眉苇莺</w:t>
            </w:r>
          </w:p>
          <w:p w14:paraId="345C069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sz w:val="21"/>
                <w:szCs w:val="21"/>
              </w:rPr>
              <w:t>Acrocephalus bistrigiceps</w:t>
            </w:r>
          </w:p>
        </w:tc>
        <w:tc>
          <w:tcPr>
            <w:tcW w:w="861" w:type="pct"/>
            <w:tcBorders>
              <w:tl2br w:val="nil"/>
              <w:tr2bl w:val="nil"/>
            </w:tcBorders>
            <w:vAlign w:val="center"/>
          </w:tcPr>
          <w:p w14:paraId="497613C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620418CE" wp14:editId="601A2777">
                  <wp:extent cx="1371600" cy="914400"/>
                  <wp:effectExtent l="0" t="0" r="0" b="0"/>
                  <wp:docPr id="284" name="图片 284" descr="https://img2.baidu.com/it/u=1569663117,2611058776&amp;fm=253&amp;fmt=auto&amp;app=138&amp;f=JPEG?w=1200&amp;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https://img2.baidu.com/it/u=1569663117,2611058776&amp;fm=253&amp;fmt=auto&amp;app=138&amp;f=JPEG?w=1200&amp;h=800"/>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a:xfrm rot="10800000" flipV="1">
                            <a:off x="0" y="0"/>
                            <a:ext cx="1375142" cy="916761"/>
                          </a:xfrm>
                          <a:prstGeom prst="rect">
                            <a:avLst/>
                          </a:prstGeom>
                          <a:noFill/>
                          <a:ln>
                            <a:noFill/>
                          </a:ln>
                        </pic:spPr>
                      </pic:pic>
                    </a:graphicData>
                  </a:graphic>
                </wp:inline>
              </w:drawing>
            </w:r>
          </w:p>
        </w:tc>
        <w:tc>
          <w:tcPr>
            <w:tcW w:w="383" w:type="pct"/>
            <w:tcBorders>
              <w:tl2br w:val="nil"/>
              <w:tr2bl w:val="nil"/>
            </w:tcBorders>
            <w:vAlign w:val="center"/>
          </w:tcPr>
          <w:p w14:paraId="51E12D8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469C806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7CF648D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0F54D85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低山丘陵和山脚平原地带的湖泊、河流</w:t>
            </w:r>
          </w:p>
        </w:tc>
        <w:tc>
          <w:tcPr>
            <w:tcW w:w="449" w:type="pct"/>
            <w:tcBorders>
              <w:tl2br w:val="nil"/>
              <w:tr2bl w:val="nil"/>
            </w:tcBorders>
            <w:vAlign w:val="center"/>
          </w:tcPr>
          <w:p w14:paraId="44FB531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78AFBE5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5C0116B7" w14:textId="77777777">
        <w:trPr>
          <w:trHeight w:val="23"/>
          <w:jc w:val="center"/>
        </w:trPr>
        <w:tc>
          <w:tcPr>
            <w:tcW w:w="489" w:type="pct"/>
            <w:tcBorders>
              <w:tl2br w:val="nil"/>
              <w:tr2bl w:val="nil"/>
            </w:tcBorders>
            <w:vAlign w:val="center"/>
          </w:tcPr>
          <w:p w14:paraId="19D0C98B"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79D0A6D2"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环颈雉</w:t>
            </w:r>
          </w:p>
          <w:p w14:paraId="549CB18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sz w:val="21"/>
                <w:szCs w:val="21"/>
              </w:rPr>
              <w:t>Phasianus colchicus</w:t>
            </w:r>
          </w:p>
        </w:tc>
        <w:tc>
          <w:tcPr>
            <w:tcW w:w="861" w:type="pct"/>
            <w:tcBorders>
              <w:tl2br w:val="nil"/>
              <w:tr2bl w:val="nil"/>
            </w:tcBorders>
            <w:vAlign w:val="center"/>
          </w:tcPr>
          <w:p w14:paraId="1A52C5B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5B2A844D" wp14:editId="3D2C1B25">
                  <wp:extent cx="1375410" cy="884555"/>
                  <wp:effectExtent l="0" t="0" r="15240" b="10795"/>
                  <wp:docPr id="285" name="图片 285" descr="https://img2.baidu.com/it/u=2004344792,4170600563&amp;fm=253&amp;fmt=auto&amp;app=120&amp;f=JPEG?w=1244&amp;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https://img2.baidu.com/it/u=2004344792,4170600563&amp;fm=253&amp;fmt=auto&amp;app=120&amp;f=JPEG?w=1244&amp;h=800"/>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a:xfrm>
                            <a:off x="0" y="0"/>
                            <a:ext cx="1386589" cy="891697"/>
                          </a:xfrm>
                          <a:prstGeom prst="rect">
                            <a:avLst/>
                          </a:prstGeom>
                          <a:noFill/>
                          <a:ln>
                            <a:noFill/>
                          </a:ln>
                        </pic:spPr>
                      </pic:pic>
                    </a:graphicData>
                  </a:graphic>
                </wp:inline>
              </w:drawing>
            </w:r>
          </w:p>
        </w:tc>
        <w:tc>
          <w:tcPr>
            <w:tcW w:w="383" w:type="pct"/>
            <w:tcBorders>
              <w:tl2br w:val="nil"/>
              <w:tr2bl w:val="nil"/>
            </w:tcBorders>
            <w:vAlign w:val="center"/>
          </w:tcPr>
          <w:p w14:paraId="74787A4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4CF83D2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6A4FCE8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12B2C91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低山丘陵、农田、地边、沼泽草地</w:t>
            </w:r>
          </w:p>
        </w:tc>
        <w:tc>
          <w:tcPr>
            <w:tcW w:w="449" w:type="pct"/>
            <w:tcBorders>
              <w:tl2br w:val="nil"/>
              <w:tr2bl w:val="nil"/>
            </w:tcBorders>
            <w:vAlign w:val="center"/>
          </w:tcPr>
          <w:p w14:paraId="6FD94C1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7E4945A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71ED13B8" w14:textId="77777777">
        <w:trPr>
          <w:trHeight w:val="23"/>
          <w:jc w:val="center"/>
        </w:trPr>
        <w:tc>
          <w:tcPr>
            <w:tcW w:w="489" w:type="pct"/>
            <w:tcBorders>
              <w:tl2br w:val="nil"/>
              <w:tr2bl w:val="nil"/>
            </w:tcBorders>
            <w:vAlign w:val="center"/>
          </w:tcPr>
          <w:p w14:paraId="30D1539B"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69813514"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大斑啄木鸟</w:t>
            </w:r>
          </w:p>
          <w:p w14:paraId="1CDE1CF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sz w:val="21"/>
                <w:szCs w:val="21"/>
              </w:rPr>
              <w:t>Dendrocopos major</w:t>
            </w:r>
          </w:p>
        </w:tc>
        <w:tc>
          <w:tcPr>
            <w:tcW w:w="861" w:type="pct"/>
            <w:tcBorders>
              <w:tl2br w:val="nil"/>
              <w:tr2bl w:val="nil"/>
            </w:tcBorders>
            <w:vAlign w:val="center"/>
          </w:tcPr>
          <w:p w14:paraId="10098A9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08725700" wp14:editId="4EAF7BC5">
                  <wp:extent cx="1295400" cy="863600"/>
                  <wp:effectExtent l="0" t="0" r="0" b="12700"/>
                  <wp:docPr id="286" name="图片 286" descr="https://img1.baidu.com/it/u=82097727,619503953&amp;fm=253&amp;fmt=auto&amp;app=138&amp;f=JPEG?w=1200&amp;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https://img1.baidu.com/it/u=82097727,619503953&amp;fm=253&amp;fmt=auto&amp;app=138&amp;f=JPEG?w=1200&amp;h=800"/>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a:xfrm>
                            <a:off x="0" y="0"/>
                            <a:ext cx="1296675" cy="864450"/>
                          </a:xfrm>
                          <a:prstGeom prst="rect">
                            <a:avLst/>
                          </a:prstGeom>
                          <a:noFill/>
                          <a:ln>
                            <a:noFill/>
                          </a:ln>
                        </pic:spPr>
                      </pic:pic>
                    </a:graphicData>
                  </a:graphic>
                </wp:inline>
              </w:drawing>
            </w:r>
          </w:p>
        </w:tc>
        <w:tc>
          <w:tcPr>
            <w:tcW w:w="383" w:type="pct"/>
            <w:tcBorders>
              <w:tl2br w:val="nil"/>
              <w:tr2bl w:val="nil"/>
            </w:tcBorders>
            <w:vAlign w:val="center"/>
          </w:tcPr>
          <w:p w14:paraId="5915B2E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307DBDD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62E873C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0AADE27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栖息于山地和平原的树林中，尤以混交林和阔叶林较多</w:t>
            </w:r>
          </w:p>
        </w:tc>
        <w:tc>
          <w:tcPr>
            <w:tcW w:w="449" w:type="pct"/>
            <w:tcBorders>
              <w:tl2br w:val="nil"/>
              <w:tr2bl w:val="nil"/>
            </w:tcBorders>
            <w:vAlign w:val="center"/>
          </w:tcPr>
          <w:p w14:paraId="4BD50AC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470A51B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6A855E93" w14:textId="77777777">
        <w:trPr>
          <w:trHeight w:val="23"/>
          <w:jc w:val="center"/>
        </w:trPr>
        <w:tc>
          <w:tcPr>
            <w:tcW w:w="489" w:type="pct"/>
            <w:tcBorders>
              <w:tl2br w:val="nil"/>
              <w:tr2bl w:val="nil"/>
            </w:tcBorders>
            <w:vAlign w:val="center"/>
          </w:tcPr>
          <w:p w14:paraId="2F1A75ED"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252AD725"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松鸦</w:t>
            </w:r>
          </w:p>
          <w:p w14:paraId="778C7C4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sz w:val="21"/>
                <w:szCs w:val="21"/>
              </w:rPr>
              <w:t>Garrulus glandarius</w:t>
            </w:r>
          </w:p>
        </w:tc>
        <w:tc>
          <w:tcPr>
            <w:tcW w:w="861" w:type="pct"/>
            <w:tcBorders>
              <w:tl2br w:val="nil"/>
              <w:tr2bl w:val="nil"/>
            </w:tcBorders>
            <w:vAlign w:val="center"/>
          </w:tcPr>
          <w:p w14:paraId="6389C2A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487FF6C6" wp14:editId="7C291249">
                  <wp:extent cx="1419225" cy="946150"/>
                  <wp:effectExtent l="0" t="0" r="9525" b="6350"/>
                  <wp:docPr id="287" name="图片 287" descr="https://img2.baidu.com/it/u=1111471708,2035445598&amp;fm=253&amp;fmt=auto&amp;app=138&amp;f=JPEG?w=1200&amp;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https://img2.baidu.com/it/u=1111471708,2035445598&amp;fm=253&amp;fmt=auto&amp;app=138&amp;f=JPEG?w=1200&amp;h=800"/>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a:xfrm>
                            <a:off x="0" y="0"/>
                            <a:ext cx="1422875" cy="948583"/>
                          </a:xfrm>
                          <a:prstGeom prst="rect">
                            <a:avLst/>
                          </a:prstGeom>
                          <a:noFill/>
                          <a:ln>
                            <a:noFill/>
                          </a:ln>
                        </pic:spPr>
                      </pic:pic>
                    </a:graphicData>
                  </a:graphic>
                </wp:inline>
              </w:drawing>
            </w:r>
          </w:p>
        </w:tc>
        <w:tc>
          <w:tcPr>
            <w:tcW w:w="383" w:type="pct"/>
            <w:tcBorders>
              <w:tl2br w:val="nil"/>
              <w:tr2bl w:val="nil"/>
            </w:tcBorders>
            <w:vAlign w:val="center"/>
          </w:tcPr>
          <w:p w14:paraId="36FE814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5CB2422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3D9FD4D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37B40DD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针叶林和阔叶林或针阔叶混交林中</w:t>
            </w:r>
          </w:p>
        </w:tc>
        <w:tc>
          <w:tcPr>
            <w:tcW w:w="449" w:type="pct"/>
            <w:tcBorders>
              <w:tl2br w:val="nil"/>
              <w:tr2bl w:val="nil"/>
            </w:tcBorders>
            <w:vAlign w:val="center"/>
          </w:tcPr>
          <w:p w14:paraId="11831E7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6E34614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68CD50DC" w14:textId="77777777">
        <w:trPr>
          <w:trHeight w:val="23"/>
          <w:jc w:val="center"/>
        </w:trPr>
        <w:tc>
          <w:tcPr>
            <w:tcW w:w="489" w:type="pct"/>
            <w:tcBorders>
              <w:tl2br w:val="nil"/>
              <w:tr2bl w:val="nil"/>
            </w:tcBorders>
            <w:vAlign w:val="center"/>
          </w:tcPr>
          <w:p w14:paraId="198A0FA3"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608698B6"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灰喜鹊</w:t>
            </w:r>
          </w:p>
          <w:p w14:paraId="269D564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i/>
                <w:iCs/>
                <w:color w:val="000000"/>
                <w:sz w:val="21"/>
                <w:szCs w:val="21"/>
                <w:lang w:bidi="ar"/>
              </w:rPr>
              <w:t>Cyanopica cyanus</w:t>
            </w:r>
          </w:p>
        </w:tc>
        <w:tc>
          <w:tcPr>
            <w:tcW w:w="861" w:type="pct"/>
            <w:tcBorders>
              <w:tl2br w:val="nil"/>
              <w:tr2bl w:val="nil"/>
            </w:tcBorders>
            <w:vAlign w:val="center"/>
          </w:tcPr>
          <w:p w14:paraId="7D04E68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38AD2B86" wp14:editId="17F70FE2">
                  <wp:extent cx="1358900" cy="1090930"/>
                  <wp:effectExtent l="0" t="0" r="12700" b="13970"/>
                  <wp:docPr id="288" name="图片 288" descr="https://img2.baidu.com/it/u=734262513,3463629907&amp;fm=253&amp;fmt=auto&amp;app=138&amp;f=JPEG?w=623&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https://img2.baidu.com/it/u=734262513,3463629907&amp;fm=253&amp;fmt=auto&amp;app=138&amp;f=JPEG?w=623&amp;h=500"/>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a:xfrm flipH="1">
                            <a:off x="0" y="0"/>
                            <a:ext cx="1378561" cy="1106982"/>
                          </a:xfrm>
                          <a:prstGeom prst="rect">
                            <a:avLst/>
                          </a:prstGeom>
                          <a:noFill/>
                          <a:ln>
                            <a:noFill/>
                          </a:ln>
                        </pic:spPr>
                      </pic:pic>
                    </a:graphicData>
                  </a:graphic>
                </wp:inline>
              </w:drawing>
            </w:r>
          </w:p>
        </w:tc>
        <w:tc>
          <w:tcPr>
            <w:tcW w:w="383" w:type="pct"/>
            <w:tcBorders>
              <w:tl2br w:val="nil"/>
              <w:tr2bl w:val="nil"/>
            </w:tcBorders>
            <w:vAlign w:val="center"/>
          </w:tcPr>
          <w:p w14:paraId="400C63A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3657770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547D0E7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5CA0F8C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平原、低山丘陵的次生林</w:t>
            </w:r>
          </w:p>
        </w:tc>
        <w:tc>
          <w:tcPr>
            <w:tcW w:w="449" w:type="pct"/>
            <w:tcBorders>
              <w:tl2br w:val="nil"/>
              <w:tr2bl w:val="nil"/>
            </w:tcBorders>
            <w:vAlign w:val="center"/>
          </w:tcPr>
          <w:p w14:paraId="26747BF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5DC4FA9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7391F785" w14:textId="77777777">
        <w:trPr>
          <w:trHeight w:val="23"/>
          <w:jc w:val="center"/>
        </w:trPr>
        <w:tc>
          <w:tcPr>
            <w:tcW w:w="489" w:type="pct"/>
            <w:tcBorders>
              <w:tl2br w:val="nil"/>
              <w:tr2bl w:val="nil"/>
            </w:tcBorders>
            <w:vAlign w:val="center"/>
          </w:tcPr>
          <w:p w14:paraId="27A3ED00"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56C7F41D"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喜鹊</w:t>
            </w:r>
          </w:p>
          <w:p w14:paraId="4FECD19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i/>
                <w:iCs/>
                <w:color w:val="000000"/>
                <w:sz w:val="21"/>
                <w:szCs w:val="21"/>
                <w:lang w:bidi="ar"/>
              </w:rPr>
              <w:t>Pica pica</w:t>
            </w:r>
          </w:p>
        </w:tc>
        <w:tc>
          <w:tcPr>
            <w:tcW w:w="861" w:type="pct"/>
            <w:tcBorders>
              <w:tl2br w:val="nil"/>
              <w:tr2bl w:val="nil"/>
            </w:tcBorders>
            <w:vAlign w:val="center"/>
          </w:tcPr>
          <w:p w14:paraId="4B30FAD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459A0A94" wp14:editId="156D2A28">
                  <wp:extent cx="1310640" cy="984250"/>
                  <wp:effectExtent l="0" t="0" r="3810" b="6350"/>
                  <wp:docPr id="289" name="图片 289" descr="https://img0.baidu.com/it/u=3540316021,735422510&amp;fm=253&amp;fmt=auto&amp;app=138&amp;f=JPEG?w=666&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https://img0.baidu.com/it/u=3540316021,735422510&amp;fm=253&amp;fmt=auto&amp;app=138&amp;f=JPEG?w=666&amp;h=500"/>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a:xfrm>
                            <a:off x="0" y="0"/>
                            <a:ext cx="1317933" cy="989439"/>
                          </a:xfrm>
                          <a:prstGeom prst="rect">
                            <a:avLst/>
                          </a:prstGeom>
                          <a:noFill/>
                          <a:ln>
                            <a:noFill/>
                          </a:ln>
                        </pic:spPr>
                      </pic:pic>
                    </a:graphicData>
                  </a:graphic>
                </wp:inline>
              </w:drawing>
            </w:r>
          </w:p>
        </w:tc>
        <w:tc>
          <w:tcPr>
            <w:tcW w:w="383" w:type="pct"/>
            <w:tcBorders>
              <w:tl2br w:val="nil"/>
              <w:tr2bl w:val="nil"/>
            </w:tcBorders>
            <w:vAlign w:val="center"/>
          </w:tcPr>
          <w:p w14:paraId="3113453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4B545E7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7EBA1B7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44BC31D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常见于山麓、林缘、农田、村庄</w:t>
            </w:r>
          </w:p>
        </w:tc>
        <w:tc>
          <w:tcPr>
            <w:tcW w:w="449" w:type="pct"/>
            <w:tcBorders>
              <w:tl2br w:val="nil"/>
              <w:tr2bl w:val="nil"/>
            </w:tcBorders>
            <w:vAlign w:val="center"/>
          </w:tcPr>
          <w:p w14:paraId="02D1EDE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4A9FE7F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23E22C01" w14:textId="77777777">
        <w:trPr>
          <w:trHeight w:val="23"/>
          <w:jc w:val="center"/>
        </w:trPr>
        <w:tc>
          <w:tcPr>
            <w:tcW w:w="489" w:type="pct"/>
            <w:tcBorders>
              <w:tl2br w:val="nil"/>
              <w:tr2bl w:val="nil"/>
            </w:tcBorders>
            <w:vAlign w:val="center"/>
          </w:tcPr>
          <w:p w14:paraId="41D19A89"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21223EEE" w14:textId="77777777" w:rsidR="009D12AF" w:rsidRDefault="00000000">
            <w:pPr>
              <w:widowControl/>
              <w:adjustRightInd w:val="0"/>
              <w:snapToGrid w:val="0"/>
              <w:ind w:firstLineChars="0" w:firstLine="0"/>
              <w:jc w:val="center"/>
              <w:rPr>
                <w:rFonts w:ascii="宋体" w:hAnsi="宋体" w:cs="宋体" w:hint="eastAsia"/>
                <w:color w:val="000000"/>
                <w:kern w:val="0"/>
                <w:sz w:val="21"/>
                <w:szCs w:val="21"/>
              </w:rPr>
            </w:pPr>
            <w:r>
              <w:rPr>
                <w:rFonts w:ascii="宋体" w:hAnsi="宋体" w:cs="宋体"/>
                <w:color w:val="000000"/>
                <w:kern w:val="0"/>
                <w:sz w:val="21"/>
                <w:szCs w:val="21"/>
              </w:rPr>
              <w:t>大山雀</w:t>
            </w:r>
          </w:p>
          <w:p w14:paraId="39D4FD0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i/>
                <w:iCs/>
                <w:sz w:val="21"/>
                <w:szCs w:val="21"/>
              </w:rPr>
              <w:t>Parus cinereus</w:t>
            </w:r>
          </w:p>
        </w:tc>
        <w:tc>
          <w:tcPr>
            <w:tcW w:w="861" w:type="pct"/>
            <w:tcBorders>
              <w:tl2br w:val="nil"/>
              <w:tr2bl w:val="nil"/>
            </w:tcBorders>
            <w:vAlign w:val="center"/>
          </w:tcPr>
          <w:p w14:paraId="3AFC348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noProof/>
                <w:sz w:val="21"/>
                <w:szCs w:val="21"/>
              </w:rPr>
              <w:drawing>
                <wp:inline distT="0" distB="0" distL="0" distR="0" wp14:anchorId="7CEB4B9E" wp14:editId="5B9F9D94">
                  <wp:extent cx="1423670" cy="952500"/>
                  <wp:effectExtent l="0" t="0" r="5080" b="0"/>
                  <wp:docPr id="290" name="图片 290" descr="https://img0.baidu.com/it/u=813159275,4232087761&amp;fm=253&amp;fmt=auto&amp;app=138&amp;f=JPEG?w=747&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https://img0.baidu.com/it/u=813159275,4232087761&amp;fm=253&amp;fmt=auto&amp;app=138&amp;f=JPEG?w=747&amp;h=500"/>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a:xfrm>
                            <a:off x="0" y="0"/>
                            <a:ext cx="1434396" cy="959676"/>
                          </a:xfrm>
                          <a:prstGeom prst="rect">
                            <a:avLst/>
                          </a:prstGeom>
                          <a:noFill/>
                          <a:ln>
                            <a:noFill/>
                          </a:ln>
                        </pic:spPr>
                      </pic:pic>
                    </a:graphicData>
                  </a:graphic>
                </wp:inline>
              </w:drawing>
            </w:r>
          </w:p>
        </w:tc>
        <w:tc>
          <w:tcPr>
            <w:tcW w:w="383" w:type="pct"/>
            <w:tcBorders>
              <w:tl2br w:val="nil"/>
              <w:tr2bl w:val="nil"/>
            </w:tcBorders>
            <w:vAlign w:val="center"/>
          </w:tcPr>
          <w:p w14:paraId="787845A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w:t>
            </w:r>
          </w:p>
        </w:tc>
        <w:tc>
          <w:tcPr>
            <w:tcW w:w="501" w:type="pct"/>
            <w:tcBorders>
              <w:tl2br w:val="nil"/>
              <w:tr2bl w:val="nil"/>
            </w:tcBorders>
            <w:vAlign w:val="center"/>
          </w:tcPr>
          <w:p w14:paraId="3916233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是</w:t>
            </w:r>
          </w:p>
        </w:tc>
        <w:tc>
          <w:tcPr>
            <w:tcW w:w="401" w:type="pct"/>
            <w:tcBorders>
              <w:tl2br w:val="nil"/>
              <w:tr2bl w:val="nil"/>
            </w:tcBorders>
            <w:vAlign w:val="center"/>
          </w:tcPr>
          <w:p w14:paraId="2151CA5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否</w:t>
            </w:r>
          </w:p>
        </w:tc>
        <w:tc>
          <w:tcPr>
            <w:tcW w:w="450" w:type="pct"/>
            <w:tcBorders>
              <w:tl2br w:val="nil"/>
              <w:tr2bl w:val="nil"/>
            </w:tcBorders>
            <w:vAlign w:val="center"/>
          </w:tcPr>
          <w:p w14:paraId="59CBA7B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kern w:val="0"/>
                <w:sz w:val="21"/>
                <w:szCs w:val="21"/>
              </w:rPr>
              <w:t>低山和山麓地带的次生阔叶林、阔叶林和针阔叶混交林中</w:t>
            </w:r>
          </w:p>
        </w:tc>
        <w:tc>
          <w:tcPr>
            <w:tcW w:w="449" w:type="pct"/>
            <w:tcBorders>
              <w:tl2br w:val="nil"/>
              <w:tr2bl w:val="nil"/>
            </w:tcBorders>
            <w:vAlign w:val="center"/>
          </w:tcPr>
          <w:p w14:paraId="74EE285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cs="Times New Roman" w:hint="eastAsia"/>
                <w:kern w:val="0"/>
                <w:sz w:val="21"/>
                <w:szCs w:val="21"/>
              </w:rPr>
              <w:t>访问资料</w:t>
            </w:r>
          </w:p>
        </w:tc>
        <w:tc>
          <w:tcPr>
            <w:tcW w:w="651" w:type="pct"/>
            <w:tcBorders>
              <w:tl2br w:val="nil"/>
              <w:tr2bl w:val="nil"/>
            </w:tcBorders>
            <w:vAlign w:val="center"/>
          </w:tcPr>
          <w:p w14:paraId="6F8D898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1B9A73C0" w14:textId="77777777">
        <w:trPr>
          <w:trHeight w:val="23"/>
          <w:jc w:val="center"/>
        </w:trPr>
        <w:tc>
          <w:tcPr>
            <w:tcW w:w="489" w:type="pct"/>
            <w:tcBorders>
              <w:tl2br w:val="nil"/>
              <w:tr2bl w:val="nil"/>
            </w:tcBorders>
            <w:vAlign w:val="center"/>
          </w:tcPr>
          <w:p w14:paraId="36BEF71C"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571AB15B" w14:textId="77777777" w:rsidR="009D12AF" w:rsidRDefault="00000000">
            <w:pPr>
              <w:widowControl/>
              <w:adjustRightInd w:val="0"/>
              <w:snapToGrid w:val="0"/>
              <w:ind w:firstLineChars="0" w:firstLine="0"/>
              <w:jc w:val="center"/>
              <w:rPr>
                <w:rFonts w:ascii="宋体" w:eastAsia="宋体" w:hAnsi="宋体" w:cs="宋体" w:hint="eastAsia"/>
                <w:color w:val="000000"/>
                <w:kern w:val="0"/>
                <w:sz w:val="21"/>
                <w:szCs w:val="21"/>
              </w:rPr>
            </w:pPr>
            <w:r>
              <w:rPr>
                <w:rFonts w:ascii="宋体" w:eastAsia="宋体" w:hAnsi="宋体" w:cs="宋体"/>
                <w:color w:val="000000"/>
                <w:kern w:val="0"/>
                <w:sz w:val="21"/>
                <w:szCs w:val="21"/>
              </w:rPr>
              <w:t>沼泽山雀</w:t>
            </w:r>
          </w:p>
          <w:p w14:paraId="3612D52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i/>
                <w:iCs/>
                <w:sz w:val="21"/>
                <w:szCs w:val="21"/>
              </w:rPr>
              <w:t>Poecile palustris</w:t>
            </w:r>
          </w:p>
        </w:tc>
        <w:tc>
          <w:tcPr>
            <w:tcW w:w="861" w:type="pct"/>
            <w:tcBorders>
              <w:tl2br w:val="nil"/>
              <w:tr2bl w:val="nil"/>
            </w:tcBorders>
            <w:vAlign w:val="center"/>
          </w:tcPr>
          <w:p w14:paraId="0B877AD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noProof/>
                <w:sz w:val="21"/>
                <w:szCs w:val="21"/>
              </w:rPr>
              <w:drawing>
                <wp:inline distT="0" distB="0" distL="0" distR="0" wp14:anchorId="29EE19EF" wp14:editId="1F4600F6">
                  <wp:extent cx="1479550" cy="927100"/>
                  <wp:effectExtent l="0" t="0" r="6350" b="6350"/>
                  <wp:docPr id="291" name="图片 291" descr="https://img0.baidu.com/it/u=2487968579,2447549729&amp;fm=253&amp;fmt=auto&amp;app=138&amp;f=JPEG?w=798&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https://img0.baidu.com/it/u=2487968579,2447549729&amp;fm=253&amp;fmt=auto&amp;app=138&amp;f=JPEG?w=798&amp;h=500"/>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a:xfrm>
                            <a:off x="0" y="0"/>
                            <a:ext cx="1498782" cy="939086"/>
                          </a:xfrm>
                          <a:prstGeom prst="rect">
                            <a:avLst/>
                          </a:prstGeom>
                          <a:noFill/>
                          <a:ln>
                            <a:noFill/>
                          </a:ln>
                        </pic:spPr>
                      </pic:pic>
                    </a:graphicData>
                  </a:graphic>
                </wp:inline>
              </w:drawing>
            </w:r>
          </w:p>
        </w:tc>
        <w:tc>
          <w:tcPr>
            <w:tcW w:w="383" w:type="pct"/>
            <w:tcBorders>
              <w:tl2br w:val="nil"/>
              <w:tr2bl w:val="nil"/>
            </w:tcBorders>
            <w:vAlign w:val="center"/>
          </w:tcPr>
          <w:p w14:paraId="677FEC0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w:t>
            </w:r>
          </w:p>
        </w:tc>
        <w:tc>
          <w:tcPr>
            <w:tcW w:w="501" w:type="pct"/>
            <w:tcBorders>
              <w:tl2br w:val="nil"/>
              <w:tr2bl w:val="nil"/>
            </w:tcBorders>
            <w:vAlign w:val="center"/>
          </w:tcPr>
          <w:p w14:paraId="318FDB8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是</w:t>
            </w:r>
          </w:p>
        </w:tc>
        <w:tc>
          <w:tcPr>
            <w:tcW w:w="401" w:type="pct"/>
            <w:tcBorders>
              <w:tl2br w:val="nil"/>
              <w:tr2bl w:val="nil"/>
            </w:tcBorders>
            <w:vAlign w:val="center"/>
          </w:tcPr>
          <w:p w14:paraId="76E4DED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否</w:t>
            </w:r>
          </w:p>
        </w:tc>
        <w:tc>
          <w:tcPr>
            <w:tcW w:w="450" w:type="pct"/>
            <w:tcBorders>
              <w:tl2br w:val="nil"/>
              <w:tr2bl w:val="nil"/>
            </w:tcBorders>
            <w:vAlign w:val="center"/>
          </w:tcPr>
          <w:p w14:paraId="4544FAE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栖息于山地针叶林和混交林</w:t>
            </w:r>
          </w:p>
        </w:tc>
        <w:tc>
          <w:tcPr>
            <w:tcW w:w="449" w:type="pct"/>
            <w:tcBorders>
              <w:tl2br w:val="nil"/>
              <w:tr2bl w:val="nil"/>
            </w:tcBorders>
            <w:vAlign w:val="center"/>
          </w:tcPr>
          <w:p w14:paraId="025A36E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访问资料</w:t>
            </w:r>
          </w:p>
        </w:tc>
        <w:tc>
          <w:tcPr>
            <w:tcW w:w="651" w:type="pct"/>
            <w:tcBorders>
              <w:tl2br w:val="nil"/>
              <w:tr2bl w:val="nil"/>
            </w:tcBorders>
            <w:vAlign w:val="center"/>
          </w:tcPr>
          <w:p w14:paraId="59F809B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52592C0D" w14:textId="77777777">
        <w:trPr>
          <w:trHeight w:val="23"/>
          <w:jc w:val="center"/>
        </w:trPr>
        <w:tc>
          <w:tcPr>
            <w:tcW w:w="489" w:type="pct"/>
            <w:tcBorders>
              <w:tl2br w:val="nil"/>
              <w:tr2bl w:val="nil"/>
            </w:tcBorders>
            <w:vAlign w:val="center"/>
          </w:tcPr>
          <w:p w14:paraId="0F57604C"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26160B65" w14:textId="77777777" w:rsidR="009D12AF" w:rsidRDefault="00000000">
            <w:pPr>
              <w:widowControl/>
              <w:adjustRightInd w:val="0"/>
              <w:snapToGrid w:val="0"/>
              <w:ind w:firstLineChars="0" w:firstLine="0"/>
              <w:jc w:val="center"/>
              <w:rPr>
                <w:rFonts w:ascii="宋体" w:eastAsia="宋体" w:hAnsi="宋体" w:cs="宋体" w:hint="eastAsia"/>
                <w:color w:val="000000"/>
                <w:kern w:val="0"/>
                <w:sz w:val="21"/>
                <w:szCs w:val="21"/>
              </w:rPr>
            </w:pPr>
            <w:r>
              <w:rPr>
                <w:rFonts w:ascii="宋体" w:eastAsia="宋体" w:hAnsi="宋体" w:cs="宋体"/>
                <w:color w:val="000000"/>
                <w:kern w:val="0"/>
                <w:sz w:val="21"/>
                <w:szCs w:val="21"/>
              </w:rPr>
              <w:t>麻雀</w:t>
            </w:r>
          </w:p>
          <w:p w14:paraId="36BFD59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i/>
                <w:iCs/>
                <w:sz w:val="21"/>
                <w:szCs w:val="21"/>
              </w:rPr>
              <w:t>Passer montanus</w:t>
            </w:r>
          </w:p>
        </w:tc>
        <w:tc>
          <w:tcPr>
            <w:tcW w:w="861" w:type="pct"/>
            <w:tcBorders>
              <w:tl2br w:val="nil"/>
              <w:tr2bl w:val="nil"/>
            </w:tcBorders>
            <w:vAlign w:val="center"/>
          </w:tcPr>
          <w:p w14:paraId="7872E38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noProof/>
                <w:sz w:val="21"/>
                <w:szCs w:val="21"/>
              </w:rPr>
              <w:drawing>
                <wp:inline distT="0" distB="0" distL="0" distR="0" wp14:anchorId="0EE160AB" wp14:editId="4F8AEA29">
                  <wp:extent cx="1374140" cy="1060450"/>
                  <wp:effectExtent l="0" t="0" r="16510" b="6350"/>
                  <wp:docPr id="292" name="图片 292" descr="https://img2.baidu.com/it/u=50173952,4126069723&amp;fm=253&amp;fmt=auto&amp;app=138&amp;f=JPEG?w=648&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https://img2.baidu.com/it/u=50173952,4126069723&amp;fm=253&amp;fmt=auto&amp;app=138&amp;f=JPEG?w=648&amp;h=500"/>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a:xfrm flipH="1">
                            <a:off x="0" y="0"/>
                            <a:ext cx="1381428" cy="1065917"/>
                          </a:xfrm>
                          <a:prstGeom prst="rect">
                            <a:avLst/>
                          </a:prstGeom>
                          <a:noFill/>
                          <a:ln>
                            <a:noFill/>
                          </a:ln>
                        </pic:spPr>
                      </pic:pic>
                    </a:graphicData>
                  </a:graphic>
                </wp:inline>
              </w:drawing>
            </w:r>
          </w:p>
        </w:tc>
        <w:tc>
          <w:tcPr>
            <w:tcW w:w="383" w:type="pct"/>
            <w:tcBorders>
              <w:tl2br w:val="nil"/>
              <w:tr2bl w:val="nil"/>
            </w:tcBorders>
            <w:vAlign w:val="center"/>
          </w:tcPr>
          <w:p w14:paraId="6A8F25F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w:t>
            </w:r>
          </w:p>
        </w:tc>
        <w:tc>
          <w:tcPr>
            <w:tcW w:w="501" w:type="pct"/>
            <w:tcBorders>
              <w:tl2br w:val="nil"/>
              <w:tr2bl w:val="nil"/>
            </w:tcBorders>
            <w:vAlign w:val="center"/>
          </w:tcPr>
          <w:p w14:paraId="10B0DEB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是</w:t>
            </w:r>
          </w:p>
        </w:tc>
        <w:tc>
          <w:tcPr>
            <w:tcW w:w="401" w:type="pct"/>
            <w:tcBorders>
              <w:tl2br w:val="nil"/>
              <w:tr2bl w:val="nil"/>
            </w:tcBorders>
            <w:vAlign w:val="center"/>
          </w:tcPr>
          <w:p w14:paraId="6C5D8FE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否</w:t>
            </w:r>
          </w:p>
        </w:tc>
        <w:tc>
          <w:tcPr>
            <w:tcW w:w="450" w:type="pct"/>
            <w:tcBorders>
              <w:tl2br w:val="nil"/>
              <w:tr2bl w:val="nil"/>
            </w:tcBorders>
            <w:vAlign w:val="center"/>
          </w:tcPr>
          <w:p w14:paraId="5C65DD2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山地、平原、丘陵、草原、沼泽和农田</w:t>
            </w:r>
          </w:p>
        </w:tc>
        <w:tc>
          <w:tcPr>
            <w:tcW w:w="449" w:type="pct"/>
            <w:tcBorders>
              <w:tl2br w:val="nil"/>
              <w:tr2bl w:val="nil"/>
            </w:tcBorders>
            <w:vAlign w:val="center"/>
          </w:tcPr>
          <w:p w14:paraId="4AE19AA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访问资料</w:t>
            </w:r>
          </w:p>
        </w:tc>
        <w:tc>
          <w:tcPr>
            <w:tcW w:w="651" w:type="pct"/>
            <w:tcBorders>
              <w:tl2br w:val="nil"/>
              <w:tr2bl w:val="nil"/>
            </w:tcBorders>
            <w:vAlign w:val="center"/>
          </w:tcPr>
          <w:p w14:paraId="4BF6B3B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57A7C4B4" w14:textId="77777777">
        <w:trPr>
          <w:trHeight w:val="23"/>
          <w:jc w:val="center"/>
        </w:trPr>
        <w:tc>
          <w:tcPr>
            <w:tcW w:w="489" w:type="pct"/>
            <w:tcBorders>
              <w:tl2br w:val="nil"/>
              <w:tr2bl w:val="nil"/>
            </w:tcBorders>
            <w:vAlign w:val="center"/>
          </w:tcPr>
          <w:p w14:paraId="41FBCDE2"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741624CD" w14:textId="77777777" w:rsidR="009D12AF" w:rsidRDefault="00000000">
            <w:pPr>
              <w:widowControl/>
              <w:adjustRightInd w:val="0"/>
              <w:snapToGrid w:val="0"/>
              <w:ind w:firstLineChars="0" w:firstLine="0"/>
              <w:jc w:val="center"/>
              <w:rPr>
                <w:rFonts w:ascii="宋体" w:eastAsia="宋体" w:hAnsi="宋体" w:cs="宋体" w:hint="eastAsia"/>
                <w:color w:val="000000"/>
                <w:kern w:val="0"/>
                <w:sz w:val="21"/>
                <w:szCs w:val="21"/>
              </w:rPr>
            </w:pPr>
            <w:r>
              <w:rPr>
                <w:rFonts w:ascii="宋体" w:eastAsia="宋体" w:hAnsi="宋体" w:cs="宋体"/>
                <w:color w:val="000000"/>
                <w:kern w:val="0"/>
                <w:sz w:val="21"/>
                <w:szCs w:val="21"/>
              </w:rPr>
              <w:t>长尾雀</w:t>
            </w:r>
          </w:p>
          <w:p w14:paraId="108EB42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i/>
                <w:iCs/>
                <w:sz w:val="21"/>
                <w:szCs w:val="21"/>
              </w:rPr>
              <w:t>Carpodacus sibiricus</w:t>
            </w:r>
          </w:p>
        </w:tc>
        <w:tc>
          <w:tcPr>
            <w:tcW w:w="861" w:type="pct"/>
            <w:tcBorders>
              <w:tl2br w:val="nil"/>
              <w:tr2bl w:val="nil"/>
            </w:tcBorders>
            <w:vAlign w:val="center"/>
          </w:tcPr>
          <w:p w14:paraId="4DA2E4C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noProof/>
                <w:sz w:val="21"/>
                <w:szCs w:val="21"/>
              </w:rPr>
              <w:drawing>
                <wp:inline distT="0" distB="0" distL="0" distR="0" wp14:anchorId="5BFC9D54" wp14:editId="6127D107">
                  <wp:extent cx="1485900" cy="854710"/>
                  <wp:effectExtent l="0" t="0" r="0" b="2540"/>
                  <wp:docPr id="293" name="图片 293" descr="https://img2.baidu.com/it/u=3866338147,1210057282&amp;fm=253&amp;fmt=auto&amp;app=120&amp;f=JPEG?w=869&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https://img2.baidu.com/it/u=3866338147,1210057282&amp;fm=253&amp;fmt=auto&amp;app=120&amp;f=JPEG?w=869&amp;h=500"/>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a:xfrm>
                            <a:off x="0" y="0"/>
                            <a:ext cx="1496439" cy="861342"/>
                          </a:xfrm>
                          <a:prstGeom prst="rect">
                            <a:avLst/>
                          </a:prstGeom>
                          <a:noFill/>
                          <a:ln>
                            <a:noFill/>
                          </a:ln>
                        </pic:spPr>
                      </pic:pic>
                    </a:graphicData>
                  </a:graphic>
                </wp:inline>
              </w:drawing>
            </w:r>
          </w:p>
        </w:tc>
        <w:tc>
          <w:tcPr>
            <w:tcW w:w="383" w:type="pct"/>
            <w:tcBorders>
              <w:tl2br w:val="nil"/>
              <w:tr2bl w:val="nil"/>
            </w:tcBorders>
            <w:vAlign w:val="center"/>
          </w:tcPr>
          <w:p w14:paraId="7D30B77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w:t>
            </w:r>
          </w:p>
        </w:tc>
        <w:tc>
          <w:tcPr>
            <w:tcW w:w="501" w:type="pct"/>
            <w:tcBorders>
              <w:tl2br w:val="nil"/>
              <w:tr2bl w:val="nil"/>
            </w:tcBorders>
            <w:vAlign w:val="center"/>
          </w:tcPr>
          <w:p w14:paraId="50FAF0A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是</w:t>
            </w:r>
          </w:p>
        </w:tc>
        <w:tc>
          <w:tcPr>
            <w:tcW w:w="401" w:type="pct"/>
            <w:tcBorders>
              <w:tl2br w:val="nil"/>
              <w:tr2bl w:val="nil"/>
            </w:tcBorders>
            <w:vAlign w:val="center"/>
          </w:tcPr>
          <w:p w14:paraId="45EFE95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否</w:t>
            </w:r>
          </w:p>
        </w:tc>
        <w:tc>
          <w:tcPr>
            <w:tcW w:w="450" w:type="pct"/>
            <w:tcBorders>
              <w:tl2br w:val="nil"/>
              <w:tr2bl w:val="nil"/>
            </w:tcBorders>
            <w:vAlign w:val="center"/>
          </w:tcPr>
          <w:p w14:paraId="1FD7E6A2"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灌丛、亚热带常绿阔叶林和针阔混交林</w:t>
            </w:r>
          </w:p>
        </w:tc>
        <w:tc>
          <w:tcPr>
            <w:tcW w:w="449" w:type="pct"/>
            <w:tcBorders>
              <w:tl2br w:val="nil"/>
              <w:tr2bl w:val="nil"/>
            </w:tcBorders>
            <w:vAlign w:val="center"/>
          </w:tcPr>
          <w:p w14:paraId="38B78C8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目击</w:t>
            </w:r>
          </w:p>
        </w:tc>
        <w:tc>
          <w:tcPr>
            <w:tcW w:w="651" w:type="pct"/>
            <w:tcBorders>
              <w:tl2br w:val="nil"/>
              <w:tr2bl w:val="nil"/>
            </w:tcBorders>
            <w:vAlign w:val="center"/>
          </w:tcPr>
          <w:p w14:paraId="7496C8F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77DFE596" w14:textId="77777777">
        <w:trPr>
          <w:trHeight w:val="539"/>
          <w:jc w:val="center"/>
        </w:trPr>
        <w:tc>
          <w:tcPr>
            <w:tcW w:w="489" w:type="pct"/>
            <w:tcBorders>
              <w:tl2br w:val="nil"/>
              <w:tr2bl w:val="nil"/>
            </w:tcBorders>
            <w:vAlign w:val="center"/>
          </w:tcPr>
          <w:p w14:paraId="5A3210AB"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4DB663CF" w14:textId="77777777" w:rsidR="009D12AF" w:rsidRDefault="00000000">
            <w:pPr>
              <w:widowControl/>
              <w:adjustRightInd w:val="0"/>
              <w:snapToGrid w:val="0"/>
              <w:ind w:firstLineChars="0" w:firstLine="0"/>
              <w:jc w:val="center"/>
              <w:rPr>
                <w:rFonts w:ascii="宋体" w:eastAsia="宋体" w:hAnsi="宋体" w:cs="宋体" w:hint="eastAsia"/>
                <w:color w:val="000000"/>
                <w:kern w:val="0"/>
                <w:sz w:val="21"/>
                <w:szCs w:val="21"/>
              </w:rPr>
            </w:pPr>
            <w:r>
              <w:rPr>
                <w:rFonts w:ascii="宋体" w:eastAsia="宋体" w:hAnsi="宋体" w:cs="宋体" w:hint="eastAsia"/>
                <w:color w:val="000000"/>
                <w:kern w:val="0"/>
                <w:sz w:val="21"/>
                <w:szCs w:val="21"/>
              </w:rPr>
              <w:t>灰伯劳</w:t>
            </w:r>
          </w:p>
          <w:p w14:paraId="691FE76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i/>
                <w:iCs/>
                <w:sz w:val="21"/>
                <w:szCs w:val="21"/>
              </w:rPr>
              <w:t xml:space="preserve">Lanius </w:t>
            </w:r>
            <w:r>
              <w:rPr>
                <w:rFonts w:ascii="Times New Roman" w:eastAsia="宋体" w:hAnsi="Times New Roman" w:cs="Times New Roman" w:hint="eastAsia"/>
                <w:i/>
                <w:iCs/>
                <w:sz w:val="21"/>
                <w:szCs w:val="21"/>
              </w:rPr>
              <w:t>ex</w:t>
            </w:r>
            <w:r>
              <w:rPr>
                <w:rFonts w:ascii="Times New Roman" w:eastAsia="宋体" w:hAnsi="Times New Roman" w:cs="Times New Roman"/>
                <w:i/>
                <w:iCs/>
                <w:sz w:val="21"/>
                <w:szCs w:val="21"/>
              </w:rPr>
              <w:t>cubitor</w:t>
            </w:r>
          </w:p>
        </w:tc>
        <w:tc>
          <w:tcPr>
            <w:tcW w:w="861" w:type="pct"/>
            <w:tcBorders>
              <w:tl2br w:val="nil"/>
              <w:tr2bl w:val="nil"/>
            </w:tcBorders>
            <w:vAlign w:val="center"/>
          </w:tcPr>
          <w:p w14:paraId="07FDF14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noProof/>
                <w:sz w:val="21"/>
                <w:szCs w:val="21"/>
              </w:rPr>
              <w:drawing>
                <wp:inline distT="0" distB="0" distL="0" distR="0" wp14:anchorId="198B4374" wp14:editId="66FBB3A6">
                  <wp:extent cx="1231900" cy="1160145"/>
                  <wp:effectExtent l="0" t="0" r="6350" b="1905"/>
                  <wp:docPr id="294" name="图片 294" descr="https://img2.baidu.com/it/u=1901162975,1692474433&amp;fm=253&amp;fmt=auto&amp;app=120&amp;f=JPEG?w=849&amp;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https://img2.baidu.com/it/u=1901162975,1692474433&amp;fm=253&amp;fmt=auto&amp;app=120&amp;f=JPEG?w=849&amp;h=800"/>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a:xfrm flipH="1">
                            <a:off x="0" y="0"/>
                            <a:ext cx="1243949" cy="1171695"/>
                          </a:xfrm>
                          <a:prstGeom prst="rect">
                            <a:avLst/>
                          </a:prstGeom>
                          <a:noFill/>
                          <a:ln>
                            <a:noFill/>
                          </a:ln>
                        </pic:spPr>
                      </pic:pic>
                    </a:graphicData>
                  </a:graphic>
                </wp:inline>
              </w:drawing>
            </w:r>
          </w:p>
        </w:tc>
        <w:tc>
          <w:tcPr>
            <w:tcW w:w="383" w:type="pct"/>
            <w:tcBorders>
              <w:tl2br w:val="nil"/>
              <w:tr2bl w:val="nil"/>
            </w:tcBorders>
            <w:vAlign w:val="center"/>
          </w:tcPr>
          <w:p w14:paraId="341EF35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w:t>
            </w:r>
          </w:p>
        </w:tc>
        <w:tc>
          <w:tcPr>
            <w:tcW w:w="501" w:type="pct"/>
            <w:tcBorders>
              <w:tl2br w:val="nil"/>
              <w:tr2bl w:val="nil"/>
            </w:tcBorders>
            <w:vAlign w:val="center"/>
          </w:tcPr>
          <w:p w14:paraId="226AE8D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是</w:t>
            </w:r>
          </w:p>
        </w:tc>
        <w:tc>
          <w:tcPr>
            <w:tcW w:w="401" w:type="pct"/>
            <w:tcBorders>
              <w:tl2br w:val="nil"/>
              <w:tr2bl w:val="nil"/>
            </w:tcBorders>
            <w:vAlign w:val="center"/>
          </w:tcPr>
          <w:p w14:paraId="7A73407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否</w:t>
            </w:r>
          </w:p>
        </w:tc>
        <w:tc>
          <w:tcPr>
            <w:tcW w:w="450" w:type="pct"/>
            <w:tcBorders>
              <w:tl2br w:val="nil"/>
              <w:tr2bl w:val="nil"/>
            </w:tcBorders>
            <w:vAlign w:val="center"/>
          </w:tcPr>
          <w:p w14:paraId="327D168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平原到山地的疏林或林间空地附近</w:t>
            </w:r>
          </w:p>
        </w:tc>
        <w:tc>
          <w:tcPr>
            <w:tcW w:w="449" w:type="pct"/>
            <w:tcBorders>
              <w:tl2br w:val="nil"/>
              <w:tr2bl w:val="nil"/>
            </w:tcBorders>
            <w:vAlign w:val="center"/>
          </w:tcPr>
          <w:p w14:paraId="03D7333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目击</w:t>
            </w:r>
          </w:p>
        </w:tc>
        <w:tc>
          <w:tcPr>
            <w:tcW w:w="651" w:type="pct"/>
            <w:tcBorders>
              <w:tl2br w:val="nil"/>
              <w:tr2bl w:val="nil"/>
            </w:tcBorders>
            <w:vAlign w:val="center"/>
          </w:tcPr>
          <w:p w14:paraId="71D4482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255FA6B5" w14:textId="77777777">
        <w:trPr>
          <w:trHeight w:val="23"/>
          <w:jc w:val="center"/>
        </w:trPr>
        <w:tc>
          <w:tcPr>
            <w:tcW w:w="489" w:type="pct"/>
            <w:tcBorders>
              <w:tl2br w:val="nil"/>
              <w:tr2bl w:val="nil"/>
            </w:tcBorders>
            <w:vAlign w:val="center"/>
          </w:tcPr>
          <w:p w14:paraId="6377B655"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029ACB0D" w14:textId="77777777" w:rsidR="009D12AF" w:rsidRDefault="00000000">
            <w:pPr>
              <w:widowControl/>
              <w:adjustRightInd w:val="0"/>
              <w:snapToGrid w:val="0"/>
              <w:ind w:firstLineChars="0" w:firstLine="0"/>
              <w:jc w:val="center"/>
              <w:rPr>
                <w:rFonts w:ascii="宋体" w:eastAsia="宋体" w:hAnsi="宋体" w:cs="宋体" w:hint="eastAsia"/>
                <w:color w:val="000000"/>
                <w:kern w:val="0"/>
                <w:sz w:val="21"/>
                <w:szCs w:val="21"/>
              </w:rPr>
            </w:pPr>
            <w:r>
              <w:rPr>
                <w:rFonts w:ascii="宋体" w:eastAsia="宋体" w:hAnsi="宋体" w:cs="宋体"/>
                <w:color w:val="000000"/>
                <w:kern w:val="0"/>
                <w:sz w:val="21"/>
                <w:szCs w:val="21"/>
              </w:rPr>
              <w:t>凤头麦鸡</w:t>
            </w:r>
          </w:p>
          <w:p w14:paraId="076C61F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i/>
                <w:iCs/>
                <w:sz w:val="21"/>
                <w:szCs w:val="21"/>
              </w:rPr>
              <w:t>Vanellus vanellus</w:t>
            </w:r>
          </w:p>
        </w:tc>
        <w:tc>
          <w:tcPr>
            <w:tcW w:w="861" w:type="pct"/>
            <w:tcBorders>
              <w:tl2br w:val="nil"/>
              <w:tr2bl w:val="nil"/>
            </w:tcBorders>
            <w:vAlign w:val="center"/>
          </w:tcPr>
          <w:p w14:paraId="63F78CC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noProof/>
                <w:sz w:val="21"/>
                <w:szCs w:val="21"/>
              </w:rPr>
              <w:drawing>
                <wp:inline distT="0" distB="0" distL="0" distR="0" wp14:anchorId="49186E65" wp14:editId="012441C4">
                  <wp:extent cx="1218565" cy="1028700"/>
                  <wp:effectExtent l="0" t="0" r="635" b="0"/>
                  <wp:docPr id="295" name="图片 295" descr="https://img0.baidu.com/it/u=300699088,279754530&amp;fm=253&amp;fmt=auto&amp;app=138&amp;f=JPEG?w=948&amp;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https://img0.baidu.com/it/u=300699088,279754530&amp;fm=253&amp;fmt=auto&amp;app=138&amp;f=JPEG?w=948&amp;h=800"/>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a:xfrm>
                            <a:off x="0" y="0"/>
                            <a:ext cx="1231946" cy="1039616"/>
                          </a:xfrm>
                          <a:prstGeom prst="rect">
                            <a:avLst/>
                          </a:prstGeom>
                          <a:noFill/>
                          <a:ln>
                            <a:noFill/>
                          </a:ln>
                        </pic:spPr>
                      </pic:pic>
                    </a:graphicData>
                  </a:graphic>
                </wp:inline>
              </w:drawing>
            </w:r>
          </w:p>
        </w:tc>
        <w:tc>
          <w:tcPr>
            <w:tcW w:w="383" w:type="pct"/>
            <w:tcBorders>
              <w:tl2br w:val="nil"/>
              <w:tr2bl w:val="nil"/>
            </w:tcBorders>
            <w:vAlign w:val="center"/>
          </w:tcPr>
          <w:p w14:paraId="2ADFF69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w:t>
            </w:r>
          </w:p>
        </w:tc>
        <w:tc>
          <w:tcPr>
            <w:tcW w:w="501" w:type="pct"/>
            <w:tcBorders>
              <w:tl2br w:val="nil"/>
              <w:tr2bl w:val="nil"/>
            </w:tcBorders>
            <w:vAlign w:val="center"/>
          </w:tcPr>
          <w:p w14:paraId="6D04B12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是</w:t>
            </w:r>
          </w:p>
        </w:tc>
        <w:tc>
          <w:tcPr>
            <w:tcW w:w="401" w:type="pct"/>
            <w:tcBorders>
              <w:tl2br w:val="nil"/>
              <w:tr2bl w:val="nil"/>
            </w:tcBorders>
            <w:vAlign w:val="center"/>
          </w:tcPr>
          <w:p w14:paraId="680D60B6"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否</w:t>
            </w:r>
          </w:p>
        </w:tc>
        <w:tc>
          <w:tcPr>
            <w:tcW w:w="450" w:type="pct"/>
            <w:tcBorders>
              <w:tl2br w:val="nil"/>
              <w:tr2bl w:val="nil"/>
            </w:tcBorders>
            <w:vAlign w:val="center"/>
          </w:tcPr>
          <w:p w14:paraId="644418D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栖息于河岸、沼泽地、稻田及放水后的水产养殖塘</w:t>
            </w:r>
          </w:p>
        </w:tc>
        <w:tc>
          <w:tcPr>
            <w:tcW w:w="449" w:type="pct"/>
            <w:tcBorders>
              <w:tl2br w:val="nil"/>
              <w:tr2bl w:val="nil"/>
            </w:tcBorders>
            <w:vAlign w:val="center"/>
          </w:tcPr>
          <w:p w14:paraId="237980B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访问资料</w:t>
            </w:r>
          </w:p>
        </w:tc>
        <w:tc>
          <w:tcPr>
            <w:tcW w:w="651" w:type="pct"/>
            <w:tcBorders>
              <w:tl2br w:val="nil"/>
              <w:tr2bl w:val="nil"/>
            </w:tcBorders>
            <w:vAlign w:val="center"/>
          </w:tcPr>
          <w:p w14:paraId="074CB8F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1752BDAE" w14:textId="77777777">
        <w:trPr>
          <w:trHeight w:val="23"/>
          <w:jc w:val="center"/>
        </w:trPr>
        <w:tc>
          <w:tcPr>
            <w:tcW w:w="489" w:type="pct"/>
            <w:tcBorders>
              <w:tl2br w:val="nil"/>
              <w:tr2bl w:val="nil"/>
            </w:tcBorders>
            <w:vAlign w:val="center"/>
          </w:tcPr>
          <w:p w14:paraId="618B2739"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326C9BC3" w14:textId="77777777" w:rsidR="009D12AF" w:rsidRDefault="00000000">
            <w:pPr>
              <w:widowControl/>
              <w:adjustRightInd w:val="0"/>
              <w:snapToGrid w:val="0"/>
              <w:ind w:firstLineChars="0" w:firstLine="0"/>
              <w:jc w:val="center"/>
              <w:rPr>
                <w:rFonts w:ascii="宋体" w:eastAsia="宋体" w:hAnsi="宋体" w:cs="宋体" w:hint="eastAsia"/>
                <w:color w:val="000000"/>
                <w:kern w:val="0"/>
                <w:sz w:val="21"/>
                <w:szCs w:val="21"/>
              </w:rPr>
            </w:pPr>
            <w:r>
              <w:rPr>
                <w:rFonts w:ascii="宋体" w:eastAsia="宋体" w:hAnsi="宋体" w:cs="宋体" w:hint="eastAsia"/>
                <w:color w:val="000000"/>
                <w:kern w:val="0"/>
                <w:sz w:val="21"/>
                <w:szCs w:val="21"/>
              </w:rPr>
              <w:t>银喉长尾山雀</w:t>
            </w:r>
          </w:p>
          <w:p w14:paraId="0BA04A7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i/>
                <w:iCs/>
                <w:sz w:val="21"/>
                <w:szCs w:val="21"/>
              </w:rPr>
              <w:t>Aegithalos glaucogularis</w:t>
            </w:r>
          </w:p>
        </w:tc>
        <w:tc>
          <w:tcPr>
            <w:tcW w:w="861" w:type="pct"/>
            <w:tcBorders>
              <w:tl2br w:val="nil"/>
              <w:tr2bl w:val="nil"/>
            </w:tcBorders>
            <w:vAlign w:val="center"/>
          </w:tcPr>
          <w:p w14:paraId="1F5509F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noProof/>
                <w:sz w:val="21"/>
                <w:szCs w:val="21"/>
              </w:rPr>
              <w:drawing>
                <wp:inline distT="0" distB="0" distL="0" distR="0" wp14:anchorId="1DBE7E8F" wp14:editId="0413A818">
                  <wp:extent cx="1314450" cy="984250"/>
                  <wp:effectExtent l="0" t="0" r="0" b="6350"/>
                  <wp:docPr id="296" name="图片 296" descr="https://img0.baidu.com/it/u=2104139659,2612002371&amp;fm=253&amp;fmt=auto&amp;app=120&amp;f=JPEG?w=668&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https://img0.baidu.com/it/u=2104139659,2612002371&amp;fm=253&amp;fmt=auto&amp;app=120&amp;f=JPEG?w=668&amp;h=500"/>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a:xfrm rot="10800000" flipH="1">
                            <a:off x="0" y="0"/>
                            <a:ext cx="1331875" cy="996912"/>
                          </a:xfrm>
                          <a:prstGeom prst="rect">
                            <a:avLst/>
                          </a:prstGeom>
                          <a:noFill/>
                          <a:ln>
                            <a:noFill/>
                          </a:ln>
                        </pic:spPr>
                      </pic:pic>
                    </a:graphicData>
                  </a:graphic>
                </wp:inline>
              </w:drawing>
            </w:r>
          </w:p>
        </w:tc>
        <w:tc>
          <w:tcPr>
            <w:tcW w:w="383" w:type="pct"/>
            <w:tcBorders>
              <w:tl2br w:val="nil"/>
              <w:tr2bl w:val="nil"/>
            </w:tcBorders>
            <w:vAlign w:val="center"/>
          </w:tcPr>
          <w:p w14:paraId="1C6C7A6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w:t>
            </w:r>
          </w:p>
        </w:tc>
        <w:tc>
          <w:tcPr>
            <w:tcW w:w="501" w:type="pct"/>
            <w:tcBorders>
              <w:tl2br w:val="nil"/>
              <w:tr2bl w:val="nil"/>
            </w:tcBorders>
            <w:vAlign w:val="center"/>
          </w:tcPr>
          <w:p w14:paraId="089FF52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是</w:t>
            </w:r>
          </w:p>
        </w:tc>
        <w:tc>
          <w:tcPr>
            <w:tcW w:w="401" w:type="pct"/>
            <w:tcBorders>
              <w:tl2br w:val="nil"/>
              <w:tr2bl w:val="nil"/>
            </w:tcBorders>
            <w:vAlign w:val="center"/>
          </w:tcPr>
          <w:p w14:paraId="7B8C435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否</w:t>
            </w:r>
          </w:p>
        </w:tc>
        <w:tc>
          <w:tcPr>
            <w:tcW w:w="450" w:type="pct"/>
            <w:tcBorders>
              <w:tl2br w:val="nil"/>
              <w:tr2bl w:val="nil"/>
            </w:tcBorders>
            <w:vAlign w:val="center"/>
          </w:tcPr>
          <w:p w14:paraId="4F01261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栖息于山地森林和灌木林等地</w:t>
            </w:r>
          </w:p>
        </w:tc>
        <w:tc>
          <w:tcPr>
            <w:tcW w:w="449" w:type="pct"/>
            <w:tcBorders>
              <w:tl2br w:val="nil"/>
              <w:tr2bl w:val="nil"/>
            </w:tcBorders>
            <w:vAlign w:val="center"/>
          </w:tcPr>
          <w:p w14:paraId="7A1F425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访问资料</w:t>
            </w:r>
          </w:p>
        </w:tc>
        <w:tc>
          <w:tcPr>
            <w:tcW w:w="651" w:type="pct"/>
            <w:tcBorders>
              <w:tl2br w:val="nil"/>
              <w:tr2bl w:val="nil"/>
            </w:tcBorders>
            <w:vAlign w:val="center"/>
          </w:tcPr>
          <w:p w14:paraId="1C417C8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r w:rsidR="009D12AF" w14:paraId="7719A9F3" w14:textId="77777777">
        <w:trPr>
          <w:trHeight w:val="23"/>
          <w:jc w:val="center"/>
        </w:trPr>
        <w:tc>
          <w:tcPr>
            <w:tcW w:w="489" w:type="pct"/>
            <w:tcBorders>
              <w:tl2br w:val="nil"/>
              <w:tr2bl w:val="nil"/>
            </w:tcBorders>
            <w:vAlign w:val="center"/>
          </w:tcPr>
          <w:p w14:paraId="5C437B00" w14:textId="77777777" w:rsidR="009D12AF" w:rsidRDefault="009D12AF">
            <w:pPr>
              <w:widowControl/>
              <w:numPr>
                <w:ilvl w:val="0"/>
                <w:numId w:val="28"/>
              </w:numPr>
              <w:adjustRightInd w:val="0"/>
              <w:snapToGrid w:val="0"/>
              <w:spacing w:after="160" w:line="300" w:lineRule="auto"/>
              <w:ind w:firstLineChars="0"/>
              <w:jc w:val="center"/>
              <w:rPr>
                <w:rFonts w:ascii="Times New Roman" w:eastAsia="宋体" w:hAnsi="Times New Roman" w:cs="Times New Roman"/>
                <w:kern w:val="0"/>
                <w:sz w:val="21"/>
                <w:szCs w:val="21"/>
              </w:rPr>
            </w:pPr>
          </w:p>
        </w:tc>
        <w:tc>
          <w:tcPr>
            <w:tcW w:w="810" w:type="pct"/>
            <w:tcBorders>
              <w:tl2br w:val="nil"/>
              <w:tr2bl w:val="nil"/>
            </w:tcBorders>
            <w:vAlign w:val="center"/>
          </w:tcPr>
          <w:p w14:paraId="23D29115" w14:textId="77777777" w:rsidR="009D12AF" w:rsidRDefault="00000000">
            <w:pPr>
              <w:widowControl/>
              <w:adjustRightInd w:val="0"/>
              <w:snapToGrid w:val="0"/>
              <w:ind w:firstLineChars="0" w:firstLine="0"/>
              <w:jc w:val="center"/>
              <w:rPr>
                <w:rFonts w:ascii="宋体" w:eastAsia="宋体" w:hAnsi="宋体" w:cs="宋体" w:hint="eastAsia"/>
                <w:color w:val="000000"/>
                <w:kern w:val="0"/>
                <w:sz w:val="21"/>
                <w:szCs w:val="21"/>
              </w:rPr>
            </w:pPr>
            <w:r>
              <w:rPr>
                <w:rFonts w:ascii="宋体" w:eastAsia="宋体" w:hAnsi="宋体" w:cs="宋体"/>
                <w:color w:val="000000"/>
                <w:kern w:val="0"/>
                <w:sz w:val="21"/>
                <w:szCs w:val="21"/>
              </w:rPr>
              <w:t>普通䴓</w:t>
            </w:r>
          </w:p>
          <w:p w14:paraId="6014A38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i/>
                <w:iCs/>
                <w:sz w:val="21"/>
                <w:szCs w:val="21"/>
              </w:rPr>
              <w:t>Sita europaea</w:t>
            </w:r>
          </w:p>
        </w:tc>
        <w:tc>
          <w:tcPr>
            <w:tcW w:w="861" w:type="pct"/>
            <w:tcBorders>
              <w:tl2br w:val="nil"/>
              <w:tr2bl w:val="nil"/>
            </w:tcBorders>
            <w:vAlign w:val="center"/>
          </w:tcPr>
          <w:p w14:paraId="12D338A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noProof/>
                <w:sz w:val="21"/>
                <w:szCs w:val="21"/>
              </w:rPr>
              <w:drawing>
                <wp:inline distT="0" distB="0" distL="0" distR="0" wp14:anchorId="0AA9281D" wp14:editId="185EB35D">
                  <wp:extent cx="1324610" cy="977900"/>
                  <wp:effectExtent l="0" t="0" r="8890" b="12700"/>
                  <wp:docPr id="297" name="图片 297" descr="https://img0.baidu.com/it/u=917138946,3718831341&amp;fm=253&amp;fmt=auto&amp;app=138&amp;f=JPEG?w=677&amp;h=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https://img0.baidu.com/it/u=917138946,3718831341&amp;fm=253&amp;fmt=auto&amp;app=138&amp;f=JPEG?w=677&amp;h=500"/>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a:xfrm>
                            <a:off x="0" y="0"/>
                            <a:ext cx="1342775" cy="991221"/>
                          </a:xfrm>
                          <a:prstGeom prst="rect">
                            <a:avLst/>
                          </a:prstGeom>
                          <a:noFill/>
                          <a:ln>
                            <a:noFill/>
                          </a:ln>
                        </pic:spPr>
                      </pic:pic>
                    </a:graphicData>
                  </a:graphic>
                </wp:inline>
              </w:drawing>
            </w:r>
          </w:p>
        </w:tc>
        <w:tc>
          <w:tcPr>
            <w:tcW w:w="383" w:type="pct"/>
            <w:tcBorders>
              <w:tl2br w:val="nil"/>
              <w:tr2bl w:val="nil"/>
            </w:tcBorders>
            <w:vAlign w:val="center"/>
          </w:tcPr>
          <w:p w14:paraId="4C31561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w:t>
            </w:r>
          </w:p>
        </w:tc>
        <w:tc>
          <w:tcPr>
            <w:tcW w:w="501" w:type="pct"/>
            <w:tcBorders>
              <w:tl2br w:val="nil"/>
              <w:tr2bl w:val="nil"/>
            </w:tcBorders>
            <w:vAlign w:val="center"/>
          </w:tcPr>
          <w:p w14:paraId="1BC111D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是</w:t>
            </w:r>
          </w:p>
        </w:tc>
        <w:tc>
          <w:tcPr>
            <w:tcW w:w="401" w:type="pct"/>
            <w:tcBorders>
              <w:tl2br w:val="nil"/>
              <w:tr2bl w:val="nil"/>
            </w:tcBorders>
            <w:vAlign w:val="center"/>
          </w:tcPr>
          <w:p w14:paraId="58D547C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否</w:t>
            </w:r>
          </w:p>
        </w:tc>
        <w:tc>
          <w:tcPr>
            <w:tcW w:w="450" w:type="pct"/>
            <w:tcBorders>
              <w:tl2br w:val="nil"/>
              <w:tr2bl w:val="nil"/>
            </w:tcBorders>
            <w:vAlign w:val="center"/>
          </w:tcPr>
          <w:p w14:paraId="092EA63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喜居于针阔叶混交林、阔叶林内</w:t>
            </w:r>
          </w:p>
        </w:tc>
        <w:tc>
          <w:tcPr>
            <w:tcW w:w="449" w:type="pct"/>
            <w:tcBorders>
              <w:tl2br w:val="nil"/>
              <w:tr2bl w:val="nil"/>
            </w:tcBorders>
            <w:vAlign w:val="center"/>
          </w:tcPr>
          <w:p w14:paraId="5DAC0D9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访问资料</w:t>
            </w:r>
          </w:p>
        </w:tc>
        <w:tc>
          <w:tcPr>
            <w:tcW w:w="651" w:type="pct"/>
            <w:tcBorders>
              <w:tl2br w:val="nil"/>
              <w:tr2bl w:val="nil"/>
            </w:tcBorders>
            <w:vAlign w:val="center"/>
          </w:tcPr>
          <w:p w14:paraId="2C91F96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Arial" w:hAnsi="Arial" w:cs="宋体" w:hint="eastAsia"/>
                <w:kern w:val="0"/>
                <w:sz w:val="21"/>
                <w:szCs w:val="21"/>
              </w:rPr>
              <w:t>否</w:t>
            </w:r>
          </w:p>
        </w:tc>
      </w:tr>
    </w:tbl>
    <w:p w14:paraId="2E99BEB2" w14:textId="77777777" w:rsidR="009D12AF" w:rsidRDefault="009D12AF">
      <w:pPr>
        <w:ind w:firstLine="480"/>
        <w:rPr>
          <w:rFonts w:ascii="Times New Roman" w:eastAsia="宋体" w:hAnsi="Times New Roman" w:cs="Times New Roman"/>
          <w:highlight w:val="yellow"/>
        </w:rPr>
        <w:sectPr w:rsidR="009D12AF">
          <w:pgSz w:w="16838" w:h="11906" w:orient="landscape"/>
          <w:pgMar w:top="1800" w:right="1440" w:bottom="1800" w:left="1440" w:header="851" w:footer="992" w:gutter="0"/>
          <w:cols w:space="425"/>
          <w:docGrid w:type="lines" w:linePitch="326"/>
        </w:sectPr>
      </w:pPr>
    </w:p>
    <w:p w14:paraId="5B359066" w14:textId="77777777" w:rsidR="009D12AF" w:rsidRDefault="00000000">
      <w:pPr>
        <w:ind w:firstLine="480"/>
      </w:pPr>
      <w:r>
        <w:rPr>
          <w:rFonts w:hint="eastAsia"/>
        </w:rPr>
        <w:lastRenderedPageBreak/>
        <w:t>依据导则</w:t>
      </w:r>
      <w:r>
        <w:rPr>
          <w:rFonts w:hint="eastAsia"/>
        </w:rPr>
        <w:t>7.2</w:t>
      </w:r>
      <w:r>
        <w:rPr>
          <w:rFonts w:hint="eastAsia"/>
        </w:rPr>
        <w:t>生态现状调查要求，开展评价范围内陆生重要野生动物的种群现状、分布、生态学特征的现状调查。</w:t>
      </w:r>
    </w:p>
    <w:p w14:paraId="30F17BD0" w14:textId="77777777" w:rsidR="009D12AF" w:rsidRDefault="00000000">
      <w:pPr>
        <w:ind w:firstLine="480"/>
      </w:pPr>
      <w:r>
        <w:rPr>
          <w:rFonts w:hint="eastAsia"/>
        </w:rPr>
        <w:t>a</w:t>
      </w:r>
      <w:r>
        <w:t>.</w:t>
      </w:r>
      <w:r>
        <w:rPr>
          <w:rFonts w:hint="eastAsia"/>
        </w:rPr>
        <w:t xml:space="preserve"> </w:t>
      </w:r>
      <w:r>
        <w:rPr>
          <w:rFonts w:hint="eastAsia"/>
        </w:rPr>
        <w:t>重点保护野生动物</w:t>
      </w:r>
    </w:p>
    <w:p w14:paraId="3B279D79" w14:textId="77777777" w:rsidR="009D12AF" w:rsidRDefault="00000000">
      <w:pPr>
        <w:ind w:firstLine="480"/>
      </w:pPr>
      <w:r>
        <w:rPr>
          <w:rFonts w:hint="eastAsia"/>
        </w:rPr>
        <w:t>①</w:t>
      </w:r>
      <w:r>
        <w:t>东方白鹳</w:t>
      </w:r>
      <w:r>
        <w:rPr>
          <w:rFonts w:hint="eastAsia"/>
        </w:rPr>
        <w:t xml:space="preserve"> </w:t>
      </w:r>
      <w:r>
        <w:t>Ciconia boyciana</w:t>
      </w:r>
    </w:p>
    <w:p w14:paraId="79D10CA9" w14:textId="77777777" w:rsidR="009D12AF" w:rsidRDefault="00000000">
      <w:pPr>
        <w:ind w:firstLine="480"/>
      </w:pPr>
      <w:r>
        <w:t>别名</w:t>
      </w:r>
      <w:r>
        <w:rPr>
          <w:rFonts w:hint="eastAsia"/>
        </w:rPr>
        <w:t>：</w:t>
      </w:r>
      <w:r>
        <w:t>水老鹳</w:t>
      </w:r>
      <w:r>
        <w:t xml:space="preserve"> </w:t>
      </w:r>
    </w:p>
    <w:p w14:paraId="63DFAA33" w14:textId="77777777" w:rsidR="009D12AF" w:rsidRDefault="00000000">
      <w:pPr>
        <w:ind w:firstLine="480"/>
      </w:pPr>
      <w:r>
        <w:rPr>
          <w:rFonts w:hint="eastAsia"/>
        </w:rPr>
        <w:t>生活习性：</w:t>
      </w:r>
      <w:r>
        <w:t>东方白鹳除了在繁殖期成对活动外，其他季节大多组成群体活动，特别是迁徙季节，常常聚集成数十只，甚至上百只的大群。觅食时常成对或成小群漫步在水边或草地与沼泽地上，步履轻盈骄健，边走边啄食。休息时常单腿或双腿站立于水边沙滩上或草地上，颈部缩成</w:t>
      </w:r>
      <w:r>
        <w:rPr>
          <w:rFonts w:hint="eastAsia"/>
        </w:rPr>
        <w:t>“</w:t>
      </w:r>
      <w:r>
        <w:t>S</w:t>
      </w:r>
      <w:r>
        <w:rPr>
          <w:rFonts w:hint="eastAsia"/>
        </w:rPr>
        <w:t>”</w:t>
      </w:r>
      <w:r>
        <w:t>形。有时也喜欢在栖息地的上空飞翔盘旋。在地面上起飞时需要首先要奔跑一段距离，并用力煽动两翅，待获得一定的上升力后才能飞起。</w:t>
      </w:r>
    </w:p>
    <w:p w14:paraId="16915BA5" w14:textId="77777777" w:rsidR="009D12AF" w:rsidRDefault="00000000">
      <w:pPr>
        <w:ind w:firstLine="480"/>
      </w:pPr>
      <w:r>
        <w:rPr>
          <w:rFonts w:hint="eastAsia"/>
        </w:rPr>
        <w:t>形态特征：</w:t>
      </w:r>
      <w:r>
        <w:t>东方白鹳是一种大型的涉禽，体态优美。长而粗壮的嘴十分坚硬，呈黑色，仅基部缀有淡紫色或深红色。嘴的基部较厚，往尖端逐渐变细，并且略微向上翘。眼睛周围、眼线和喉部的裸露皮肤都是朱红色，眼睛内的虹膜为粉红色，外圈为黑色。身体上的羽毛主要为纯白色。翅膀宽而长，上面的大覆羽、初级覆羽、初级飞羽和次级飞羽均为黑色，并具有绿色或紫色的光泽。初级飞羽的基部为白色，内侧初级飞羽和次级飞羽的外除羽缘和羽尖外，均为银灰色，向内逐渐转为黑色。前颈的下部有呈披针形的长羽，在求偶炫耀的时候能竖直起来。腿、脚甚长，为鲜红色。</w:t>
      </w:r>
    </w:p>
    <w:p w14:paraId="617578BE" w14:textId="77777777" w:rsidR="009D12AF" w:rsidRDefault="00000000">
      <w:pPr>
        <w:ind w:firstLine="480"/>
      </w:pPr>
      <w:r>
        <w:rPr>
          <w:rFonts w:hint="eastAsia"/>
        </w:rPr>
        <w:t>栖息环境：东方白鹳在繁殖期主要栖息于开阔而偏僻的平原、草地和沼泽地带，特别是有稀疏树木生长的河流、湖泊、水塘，以及水渠岸边和沼泽地上，有时也栖息和活动在远离的居民区，具有岸边树木的水稻田地带。</w:t>
      </w:r>
    </w:p>
    <w:p w14:paraId="72A60CE1" w14:textId="77777777" w:rsidR="009D12AF" w:rsidRDefault="00000000">
      <w:pPr>
        <w:ind w:firstLine="480"/>
      </w:pPr>
      <w:r>
        <w:rPr>
          <w:rFonts w:hint="eastAsia"/>
        </w:rPr>
        <w:t>②</w:t>
      </w:r>
      <w:r>
        <w:t>中华秋沙鸭</w:t>
      </w:r>
      <w:r>
        <w:rPr>
          <w:rFonts w:hint="eastAsia"/>
        </w:rPr>
        <w:t xml:space="preserve"> </w:t>
      </w:r>
      <w:r>
        <w:t>Mergus squamatus</w:t>
      </w:r>
    </w:p>
    <w:p w14:paraId="6748F73E" w14:textId="77777777" w:rsidR="009D12AF" w:rsidRDefault="00000000">
      <w:pPr>
        <w:ind w:firstLine="480"/>
      </w:pPr>
      <w:r>
        <w:rPr>
          <w:rFonts w:hint="eastAsia"/>
        </w:rPr>
        <w:t>别名：鳞肋秋沙鸭</w:t>
      </w:r>
    </w:p>
    <w:p w14:paraId="7541E7C0" w14:textId="77777777" w:rsidR="009D12AF" w:rsidRDefault="00000000">
      <w:pPr>
        <w:ind w:firstLine="480"/>
      </w:pPr>
      <w:r>
        <w:rPr>
          <w:rFonts w:hint="eastAsia"/>
        </w:rPr>
        <w:t>生活习性：中华秋沙鸭主食鱼类、石蛾科昆虫。中华秋沙鸭的飞行和游泳能力都很强，能够每年长途跋涉数千千米，从东北飞到江南，也能够较长时间水下捕鱼捉虾或啄食水草。除迁徙时集合成大群，平时都以家族方式活动。成对或以家庭为群。潜水捕食鱼类。性机警，稍有惊动就昂首缩颈不动，随即起飞或急剧</w:t>
      </w:r>
      <w:r>
        <w:rPr>
          <w:rFonts w:hint="eastAsia"/>
        </w:rPr>
        <w:lastRenderedPageBreak/>
        <w:t>游至隐蔽处。常成</w:t>
      </w:r>
      <w:r>
        <w:rPr>
          <w:rFonts w:hint="eastAsia"/>
        </w:rPr>
        <w:t>3-5</w:t>
      </w:r>
      <w:r>
        <w:rPr>
          <w:rFonts w:hint="eastAsia"/>
        </w:rPr>
        <w:t>只小群活动，有时和鸳鸯混在一起。</w:t>
      </w:r>
    </w:p>
    <w:p w14:paraId="7C64B5F8" w14:textId="77777777" w:rsidR="009D12AF" w:rsidRDefault="00000000">
      <w:pPr>
        <w:ind w:firstLine="480"/>
      </w:pPr>
      <w:r>
        <w:rPr>
          <w:rFonts w:hint="eastAsia"/>
        </w:rPr>
        <w:t>形态特征：中华秋沙鸭，是雁形目鸭科秋沙鸭属鸟类，无亚种分化。羽冠长而明显，成双冠状，嘴长而窄，呈红色。雌雄异色，雄鸟头、上背及肩羽黑色，下背、腰和尾上覆羽白色，翼镜白色，下体白色，两胁具黑色鳞状纹；中华秋沙鸭全长约</w:t>
      </w:r>
      <w:r>
        <w:rPr>
          <w:rFonts w:hint="eastAsia"/>
        </w:rPr>
        <w:t>49-63</w:t>
      </w:r>
      <w:r>
        <w:rPr>
          <w:rFonts w:hint="eastAsia"/>
        </w:rPr>
        <w:t>厘米。鼻孔位于嘴峰中部，羽冠长而明显，成双冠状。此外，像凤头一样，脑后有两簇冠羽也是它的特有标志。雌鸟头和颈棕褐色，具有羽冠。喉部淡棕色，上体灰褐色，胸部白色杂以褐色鳞斑。雄鸟的头和上背及肩羽黑色；长而窄近红色的嘴，嘴形侧扁，前端尖出，其尖端具钩，与鸭科其它种类具有平扁的喙形不同。黑色的头部具厚实的羽冠。胸白而别于红胸秋沙鸭，体侧具鳞状纹有异于普通秋沙鸭。</w:t>
      </w:r>
    </w:p>
    <w:p w14:paraId="3EA5E9CC" w14:textId="77777777" w:rsidR="009D12AF" w:rsidRDefault="00000000">
      <w:pPr>
        <w:ind w:firstLine="480"/>
      </w:pPr>
      <w:r>
        <w:rPr>
          <w:rFonts w:hint="eastAsia"/>
        </w:rPr>
        <w:t>栖息环境：中华秋沙鸭越冬期常集小群栖息于山间河流、水库湖泊中。中华秋沙鸭在每年春季（</w:t>
      </w:r>
      <w:r>
        <w:rPr>
          <w:rFonts w:hint="eastAsia"/>
        </w:rPr>
        <w:t>3-4</w:t>
      </w:r>
      <w:r>
        <w:rPr>
          <w:rFonts w:hint="eastAsia"/>
        </w:rPr>
        <w:t>月）飞往中国东北、俄罗斯远东等地区的原始森林中繁殖，偏好水流湍急、清澈见底的山涧溪流和河流，包括水质优良的大型水库、湖泊、江河深水区及河口湿地。</w:t>
      </w:r>
    </w:p>
    <w:p w14:paraId="7E0716F0" w14:textId="77777777" w:rsidR="009D12AF" w:rsidRDefault="00000000">
      <w:pPr>
        <w:ind w:firstLine="480"/>
      </w:pPr>
      <w:r>
        <w:rPr>
          <w:rFonts w:hint="eastAsia"/>
        </w:rPr>
        <w:t>③</w:t>
      </w:r>
      <w:r>
        <w:t>红隼</w:t>
      </w:r>
      <w:r>
        <w:rPr>
          <w:rFonts w:hint="eastAsia"/>
        </w:rPr>
        <w:t xml:space="preserve"> </w:t>
      </w:r>
      <w:r>
        <w:t>Falco tinnunculus</w:t>
      </w:r>
    </w:p>
    <w:p w14:paraId="7108019A" w14:textId="77777777" w:rsidR="009D12AF" w:rsidRDefault="00000000">
      <w:pPr>
        <w:ind w:firstLine="480"/>
      </w:pPr>
      <w:r>
        <w:rPr>
          <w:rFonts w:hint="eastAsia"/>
        </w:rPr>
        <w:t>别名：茶隼、红鹰、黄鹰、红鹞子、黄燕、鹞子</w:t>
      </w:r>
    </w:p>
    <w:p w14:paraId="5B325A12" w14:textId="77777777" w:rsidR="009D12AF" w:rsidRDefault="00000000">
      <w:pPr>
        <w:ind w:firstLine="480"/>
      </w:pPr>
      <w:r>
        <w:rPr>
          <w:rFonts w:hint="eastAsia"/>
        </w:rPr>
        <w:t>生活习性：中国北部繁殖的红隼种群为夏候鸟，南部繁殖种群则为留鸟。春季</w:t>
      </w:r>
      <w:r>
        <w:rPr>
          <w:rFonts w:hint="eastAsia"/>
        </w:rPr>
        <w:t>3</w:t>
      </w:r>
      <w:r>
        <w:rPr>
          <w:rFonts w:hint="eastAsia"/>
        </w:rPr>
        <w:t>月中旬至</w:t>
      </w:r>
      <w:r>
        <w:rPr>
          <w:rFonts w:hint="eastAsia"/>
        </w:rPr>
        <w:t>4</w:t>
      </w:r>
      <w:r>
        <w:rPr>
          <w:rFonts w:hint="eastAsia"/>
        </w:rPr>
        <w:t>月中旬期间，红隼陆续迁往北方繁殖地；</w:t>
      </w:r>
      <w:r>
        <w:rPr>
          <w:rFonts w:hint="eastAsia"/>
        </w:rPr>
        <w:t>10</w:t>
      </w:r>
      <w:r>
        <w:rPr>
          <w:rFonts w:hint="eastAsia"/>
        </w:rPr>
        <w:t>月初至</w:t>
      </w:r>
      <w:r>
        <w:rPr>
          <w:rFonts w:hint="eastAsia"/>
        </w:rPr>
        <w:t>10</w:t>
      </w:r>
      <w:r>
        <w:rPr>
          <w:rFonts w:hint="eastAsia"/>
        </w:rPr>
        <w:t>月末，则迁离繁殖地。迁徙时红隼常集成小群，尤其是在秋季。红隼的活动区域较为固定，具有明显的领地性。其巢区面积很大，在领地内，红隼对同种和其他大中型鸟类均表现出明显的驱赶行为，对一些雀形目的小型鸟类则没有驱赶现象，就连长尾山雀、普通䴓等在巢口附近停留也不理睬。</w:t>
      </w:r>
    </w:p>
    <w:p w14:paraId="35B63863" w14:textId="77777777" w:rsidR="009D12AF" w:rsidRDefault="00000000">
      <w:pPr>
        <w:ind w:firstLine="480"/>
      </w:pPr>
      <w:r>
        <w:rPr>
          <w:rFonts w:hint="eastAsia"/>
        </w:rPr>
        <w:t>形态特征：红隼表现出显著的两性异形特征，雄鸟的颜色更为鲜艳。雄鸟的头顶、头侧、后颈和颈侧呈蓝灰色，带有细黑色羽干纹；前额、眼先和眉纹为棕白色，眼下有一条黑色纵纹垂直向下延伸至口角。颏部和喉部为乳白色或棕白色，胸部、腹部和两胁为棕黄色或乳白色，带有黑褐色纵纹。背部、肩部和翅膀为砖红色，带有近似三角形的黑色斑点；翅上的初级覆羽和飞羽为黑褐色，具淡灰褐色端缘。腰部和尾上覆羽为蓝灰色，带有暗灰褐色羽干纹；尾巴为蓝灰色，具宽</w:t>
      </w:r>
      <w:r>
        <w:rPr>
          <w:rFonts w:hint="eastAsia"/>
        </w:rPr>
        <w:lastRenderedPageBreak/>
        <w:t>阔的黑色次端斑和窄的白色端斑。</w:t>
      </w:r>
    </w:p>
    <w:p w14:paraId="2A9DEB42" w14:textId="77777777" w:rsidR="009D12AF" w:rsidRDefault="00000000">
      <w:pPr>
        <w:ind w:firstLine="480"/>
      </w:pPr>
      <w:r>
        <w:rPr>
          <w:rFonts w:hint="eastAsia"/>
        </w:rPr>
        <w:t>栖息环境：红隼常栖息于各种生境中，包括山地森林、森林苔原、低山丘陵、草原、旷野、森林平原、农田耕地和村庄附近等。尤其在林缘、林间空地、疏林以及有稀疏树木的旷野、河谷和农田地区较为常见，但在茂密的森林中较少见。红隼喜欢开阔的原野，适应能力强，有部分个体甚至在城市中繁殖。</w:t>
      </w:r>
    </w:p>
    <w:p w14:paraId="07570CC9" w14:textId="77777777" w:rsidR="009D12AF" w:rsidRDefault="009D12AF">
      <w:pPr>
        <w:ind w:firstLine="480"/>
      </w:pPr>
    </w:p>
    <w:p w14:paraId="31922B46" w14:textId="77777777" w:rsidR="009D12AF" w:rsidRDefault="00000000">
      <w:pPr>
        <w:ind w:firstLine="480"/>
      </w:pPr>
      <w:r>
        <w:rPr>
          <w:rFonts w:hint="eastAsia"/>
        </w:rPr>
        <w:t>④鸳鸯</w:t>
      </w:r>
      <w:r>
        <w:rPr>
          <w:rFonts w:hint="eastAsia"/>
        </w:rPr>
        <w:t xml:space="preserve"> </w:t>
      </w:r>
      <w:r>
        <w:t>Aix galericulata</w:t>
      </w:r>
    </w:p>
    <w:p w14:paraId="4F92F55E" w14:textId="77777777" w:rsidR="009D12AF" w:rsidRDefault="00000000">
      <w:pPr>
        <w:ind w:firstLine="480"/>
      </w:pPr>
      <w:r>
        <w:rPr>
          <w:rFonts w:hint="eastAsia"/>
        </w:rPr>
        <w:t>别名：乌仁哈钦、匹鸟、官鸭</w:t>
      </w:r>
    </w:p>
    <w:p w14:paraId="53DC084A" w14:textId="77777777" w:rsidR="009D12AF" w:rsidRDefault="00000000">
      <w:pPr>
        <w:ind w:firstLine="480"/>
      </w:pPr>
      <w:r>
        <w:rPr>
          <w:rFonts w:hint="eastAsia"/>
        </w:rPr>
        <w:t>生活习性：鸳鸯属于杂食性动物，其食物的种类常随季节和栖息地、个体的发育程度的不同而变化。例如，在繁殖季节，鸳鸯会捕食小鱼、昆虫及其幼虫、虾、蜗牛、蜘蛛等动物；而在非繁殖季节，该物种主要以植物性食物为食，包括青草、草叶、树叶、草根、草籽、苔藓、玉米、稻谷等农作物和忍冬、橡子等植物的果实与种子。鸳鸯的觅食活动主要在白天，觅食活动在早晨和下午较为频繁。鸳鸯是社会性生活的，雄性鸳鸯个体之间有时会自发进行争斗。</w:t>
      </w:r>
    </w:p>
    <w:p w14:paraId="3B36E35D" w14:textId="77777777" w:rsidR="009D12AF" w:rsidRDefault="00000000">
      <w:pPr>
        <w:ind w:firstLine="480"/>
      </w:pPr>
      <w:r>
        <w:rPr>
          <w:rFonts w:hint="eastAsia"/>
        </w:rPr>
        <w:t>形态特征：鸳鸯属于小型鸭类，重量约为</w:t>
      </w:r>
      <w:r>
        <w:rPr>
          <w:rFonts w:hint="eastAsia"/>
        </w:rPr>
        <w:t>428</w:t>
      </w:r>
      <w:r>
        <w:rPr>
          <w:rFonts w:hint="eastAsia"/>
        </w:rPr>
        <w:t>克</w:t>
      </w:r>
      <w:r>
        <w:rPr>
          <w:rFonts w:hint="eastAsia"/>
        </w:rPr>
        <w:t>~693</w:t>
      </w:r>
      <w:r>
        <w:rPr>
          <w:rFonts w:hint="eastAsia"/>
        </w:rPr>
        <w:t>克，平均体长为</w:t>
      </w:r>
      <w:r>
        <w:rPr>
          <w:rFonts w:hint="eastAsia"/>
        </w:rPr>
        <w:t>43</w:t>
      </w:r>
      <w:r>
        <w:rPr>
          <w:rFonts w:hint="eastAsia"/>
        </w:rPr>
        <w:t>厘米</w:t>
      </w:r>
      <w:r>
        <w:rPr>
          <w:rFonts w:hint="eastAsia"/>
        </w:rPr>
        <w:t>~51</w:t>
      </w:r>
      <w:r>
        <w:rPr>
          <w:rFonts w:hint="eastAsia"/>
        </w:rPr>
        <w:t>厘米，翼长约</w:t>
      </w:r>
      <w:r>
        <w:rPr>
          <w:rFonts w:hint="eastAsia"/>
        </w:rPr>
        <w:t>22.1</w:t>
      </w:r>
      <w:r>
        <w:rPr>
          <w:rFonts w:hint="eastAsia"/>
        </w:rPr>
        <w:t>厘米</w:t>
      </w:r>
      <w:r>
        <w:rPr>
          <w:rFonts w:hint="eastAsia"/>
        </w:rPr>
        <w:t>~22.6</w:t>
      </w:r>
      <w:r>
        <w:rPr>
          <w:rFonts w:hint="eastAsia"/>
        </w:rPr>
        <w:t>厘米，尾长约</w:t>
      </w:r>
      <w:r>
        <w:rPr>
          <w:rFonts w:hint="eastAsia"/>
        </w:rPr>
        <w:t>10.2</w:t>
      </w:r>
      <w:r>
        <w:rPr>
          <w:rFonts w:hint="eastAsia"/>
        </w:rPr>
        <w:t>厘米</w:t>
      </w:r>
      <w:r>
        <w:rPr>
          <w:rFonts w:hint="eastAsia"/>
        </w:rPr>
        <w:t>~10.4</w:t>
      </w:r>
      <w:r>
        <w:rPr>
          <w:rFonts w:hint="eastAsia"/>
        </w:rPr>
        <w:t>厘米，喙长约</w:t>
      </w:r>
      <w:r>
        <w:rPr>
          <w:rFonts w:hint="eastAsia"/>
        </w:rPr>
        <w:t>2.8</w:t>
      </w:r>
      <w:r>
        <w:rPr>
          <w:rFonts w:hint="eastAsia"/>
        </w:rPr>
        <w:t>厘米。雌雄异色，其中雄性个体羽色鲜艳华丽。</w:t>
      </w:r>
    </w:p>
    <w:p w14:paraId="43BD3084" w14:textId="77777777" w:rsidR="009D12AF" w:rsidRDefault="00000000">
      <w:pPr>
        <w:ind w:firstLine="480"/>
      </w:pPr>
      <w:r>
        <w:rPr>
          <w:rFonts w:hint="eastAsia"/>
        </w:rPr>
        <w:t>栖息环境：鸳鸯栖息于山地的河谷、溪流；常见于阔叶林和针阔混交林的沼泽、芦苇塘及湖泊等；鸳鸯在不同时期对栖息地的选择有所不同，其中，在繁殖期，该物种主要栖息于山地森林区的河流、湖泊、水塘、芦苇沼泽和稻田地中，而在冬季，多栖息于开阔湖泊、江河、沼泽地带。</w:t>
      </w:r>
    </w:p>
    <w:p w14:paraId="4BFB079A" w14:textId="77777777" w:rsidR="009D12AF" w:rsidRDefault="00000000">
      <w:pPr>
        <w:ind w:firstLine="480"/>
      </w:pPr>
      <w:r>
        <w:rPr>
          <w:rFonts w:hint="eastAsia"/>
        </w:rPr>
        <w:t>⑤极北鲵</w:t>
      </w:r>
      <w:r>
        <w:rPr>
          <w:rFonts w:hint="eastAsia"/>
        </w:rPr>
        <w:t xml:space="preserve"> </w:t>
      </w:r>
      <w:r>
        <w:t>Salamandrella keyserlingii</w:t>
      </w:r>
    </w:p>
    <w:p w14:paraId="785F7C01" w14:textId="77777777" w:rsidR="009D12AF" w:rsidRDefault="00000000">
      <w:pPr>
        <w:ind w:firstLine="480"/>
      </w:pPr>
      <w:r>
        <w:rPr>
          <w:rFonts w:hint="eastAsia"/>
        </w:rPr>
        <w:t>别名：水蛇子</w:t>
      </w:r>
    </w:p>
    <w:p w14:paraId="02252322" w14:textId="77777777" w:rsidR="009D12AF" w:rsidRDefault="00000000">
      <w:pPr>
        <w:ind w:firstLine="480"/>
      </w:pPr>
      <w:r>
        <w:rPr>
          <w:rFonts w:hint="eastAsia"/>
        </w:rPr>
        <w:t>生活习性：栖居环境潮湿，多在沼泽地的草丛下或洞穴中。黄昏或雨后外出觅食</w:t>
      </w:r>
      <w:r>
        <w:rPr>
          <w:rFonts w:hint="eastAsia"/>
        </w:rPr>
        <w:t>;</w:t>
      </w:r>
      <w:r>
        <w:rPr>
          <w:rFonts w:hint="eastAsia"/>
        </w:rPr>
        <w:t>以昆虫、蚯蚓、软体动物、泥鳅等为食。</w:t>
      </w:r>
      <w:r>
        <w:rPr>
          <w:rFonts w:hint="eastAsia"/>
        </w:rPr>
        <w:t>7</w:t>
      </w:r>
      <w:r>
        <w:rPr>
          <w:rFonts w:hint="eastAsia"/>
        </w:rPr>
        <w:t>月炎暑的午间匿居在洞穴深处</w:t>
      </w:r>
      <w:r>
        <w:rPr>
          <w:rFonts w:hint="eastAsia"/>
        </w:rPr>
        <w:t>;10</w:t>
      </w:r>
      <w:r>
        <w:rPr>
          <w:rFonts w:hint="eastAsia"/>
        </w:rPr>
        <w:t>月开始冬眠，</w:t>
      </w:r>
      <w:r>
        <w:rPr>
          <w:rFonts w:hint="eastAsia"/>
        </w:rPr>
        <w:t>4</w:t>
      </w:r>
      <w:r>
        <w:rPr>
          <w:rFonts w:hint="eastAsia"/>
        </w:rPr>
        <w:t>月出蛰。</w:t>
      </w:r>
      <w:r>
        <w:rPr>
          <w:rFonts w:hint="eastAsia"/>
        </w:rPr>
        <w:t>4-5</w:t>
      </w:r>
      <w:r>
        <w:rPr>
          <w:rFonts w:hint="eastAsia"/>
        </w:rPr>
        <w:t>月繁殖，产卵后回返陆地生活。卵鞘袋胶质并呈圆筒形，长</w:t>
      </w:r>
      <w:r>
        <w:rPr>
          <w:rFonts w:hint="eastAsia"/>
        </w:rPr>
        <w:t>200-300</w:t>
      </w:r>
      <w:r>
        <w:rPr>
          <w:rFonts w:hint="eastAsia"/>
        </w:rPr>
        <w:t>毫米，袋内有卵</w:t>
      </w:r>
      <w:r>
        <w:rPr>
          <w:rFonts w:hint="eastAsia"/>
        </w:rPr>
        <w:t>150-200</w:t>
      </w:r>
      <w:r>
        <w:rPr>
          <w:rFonts w:hint="eastAsia"/>
        </w:rPr>
        <w:t>枚，孵化时间</w:t>
      </w:r>
      <w:r>
        <w:rPr>
          <w:rFonts w:hint="eastAsia"/>
        </w:rPr>
        <w:t>30</w:t>
      </w:r>
      <w:r>
        <w:rPr>
          <w:rFonts w:hint="eastAsia"/>
        </w:rPr>
        <w:t>天左右。多捕食小型有害昆虫及小动物。体形适中，全长</w:t>
      </w:r>
      <w:r>
        <w:rPr>
          <w:rFonts w:hint="eastAsia"/>
        </w:rPr>
        <w:t>90</w:t>
      </w:r>
      <w:r>
        <w:rPr>
          <w:rFonts w:hint="eastAsia"/>
        </w:rPr>
        <w:t>—</w:t>
      </w:r>
      <w:r>
        <w:rPr>
          <w:rFonts w:hint="eastAsia"/>
        </w:rPr>
        <w:t>130</w:t>
      </w:r>
      <w:r>
        <w:rPr>
          <w:rFonts w:hint="eastAsia"/>
        </w:rPr>
        <w:t>毫米；头部扁平，躯干圆柱形，</w:t>
      </w:r>
      <w:r>
        <w:rPr>
          <w:rFonts w:hint="eastAsia"/>
        </w:rPr>
        <w:lastRenderedPageBreak/>
        <w:t>背面略平扁，尾侧扁，尾梢较尖圆。头部平坦，头长宽几相等；吻端圆；鼻孔近吻端；眼径与吻等长；口裂大，在眼后角后端；唇褶在口角部微显著而凸出；上下颌具细齿；犁骨齿在内鼻孔内侧后缘，形成</w:t>
      </w:r>
      <w:r>
        <w:rPr>
          <w:rFonts w:hint="eastAsia"/>
        </w:rPr>
        <w:t>V</w:t>
      </w:r>
      <w:r>
        <w:rPr>
          <w:rFonts w:hint="eastAsia"/>
        </w:rPr>
        <w:t>形，左右齿列不相遇；舌大而明显，几占口腔底的全部。</w:t>
      </w:r>
    </w:p>
    <w:p w14:paraId="65C19110" w14:textId="77777777" w:rsidR="009D12AF" w:rsidRDefault="00000000">
      <w:pPr>
        <w:ind w:firstLine="480"/>
      </w:pPr>
      <w:r>
        <w:rPr>
          <w:rFonts w:hint="eastAsia"/>
        </w:rPr>
        <w:t>形态特征：体长</w:t>
      </w:r>
      <w:r>
        <w:rPr>
          <w:rFonts w:hint="eastAsia"/>
        </w:rPr>
        <w:t>115-123</w:t>
      </w:r>
      <w:r>
        <w:rPr>
          <w:rFonts w:hint="eastAsia"/>
        </w:rPr>
        <w:t>毫米。头部扁平，吻端圆厚，吻棱不显，头顶较平。眼大，约近吻眼间距。舌大，几占口腔底，两侧游离。躯干圆柱形，肋沟</w:t>
      </w:r>
      <w:r>
        <w:rPr>
          <w:rFonts w:hint="eastAsia"/>
        </w:rPr>
        <w:t>]3-14</w:t>
      </w:r>
      <w:r>
        <w:rPr>
          <w:rFonts w:hint="eastAsia"/>
        </w:rPr>
        <w:t>条。尾侧扁而短。皮肤滑润为青褐色，头与背中线有黑檄色纵纹，腹面浅灰色。</w:t>
      </w:r>
    </w:p>
    <w:p w14:paraId="4DE6F81E" w14:textId="77777777" w:rsidR="009D12AF" w:rsidRDefault="00000000">
      <w:pPr>
        <w:ind w:firstLine="480"/>
      </w:pPr>
      <w:r>
        <w:rPr>
          <w:rFonts w:hint="eastAsia"/>
        </w:rPr>
        <w:t>栖息环境：极北鲵栖居在环境潮湿的地方，经常出没在水质清澈的沼泽地的草丛下或洞穴中。通常极北鲵会在黄昏时或雨后外出觅食，以昆虫、蚯蚓、软体动物、泥鳅等为食。</w:t>
      </w:r>
      <w:r>
        <w:rPr>
          <w:rFonts w:hint="eastAsia"/>
        </w:rPr>
        <w:t>9</w:t>
      </w:r>
      <w:r>
        <w:rPr>
          <w:rFonts w:hint="eastAsia"/>
        </w:rPr>
        <w:t>月中下旬入蛰，翌年</w:t>
      </w:r>
      <w:r>
        <w:rPr>
          <w:rFonts w:hint="eastAsia"/>
        </w:rPr>
        <w:t>4</w:t>
      </w:r>
      <w:r>
        <w:rPr>
          <w:rFonts w:hint="eastAsia"/>
        </w:rPr>
        <w:t>月中旬出蛰，立即进入山溪水底腐植土厚、水中枯草多的缓流深水处</w:t>
      </w:r>
      <w:r>
        <w:rPr>
          <w:rFonts w:hint="eastAsia"/>
        </w:rPr>
        <w:t>(20 cm</w:t>
      </w:r>
      <w:r>
        <w:rPr>
          <w:rFonts w:hint="eastAsia"/>
        </w:rPr>
        <w:t>以上</w:t>
      </w:r>
      <w:r>
        <w:rPr>
          <w:rFonts w:hint="eastAsia"/>
        </w:rPr>
        <w:t>)</w:t>
      </w:r>
      <w:r>
        <w:rPr>
          <w:rFonts w:hint="eastAsia"/>
        </w:rPr>
        <w:t>产卵。</w:t>
      </w:r>
    </w:p>
    <w:p w14:paraId="30C9778F" w14:textId="77777777" w:rsidR="009D12AF" w:rsidRDefault="00000000">
      <w:pPr>
        <w:ind w:firstLine="480"/>
      </w:pPr>
      <w:bookmarkStart w:id="323" w:name="_Toc17935"/>
      <w:r>
        <w:rPr>
          <w:rFonts w:hint="eastAsia"/>
        </w:rPr>
        <w:t>b.</w:t>
      </w:r>
      <w:r>
        <w:rPr>
          <w:rFonts w:hint="eastAsia"/>
        </w:rPr>
        <w:t>省重点保护和有重要生态、科学、社会价值的陆生野生动物</w:t>
      </w:r>
      <w:bookmarkEnd w:id="323"/>
    </w:p>
    <w:p w14:paraId="3BFC6890" w14:textId="77777777" w:rsidR="009D12AF" w:rsidRDefault="00000000">
      <w:pPr>
        <w:ind w:firstLine="480"/>
      </w:pPr>
      <w:r>
        <w:rPr>
          <w:rFonts w:hint="eastAsia"/>
        </w:rPr>
        <w:t>评价范围内动物资源丰富，其中黑龙江省重点保护野生动物</w:t>
      </w:r>
      <w:r>
        <w:t>11</w:t>
      </w:r>
      <w:r>
        <w:rPr>
          <w:rFonts w:hint="eastAsia"/>
        </w:rPr>
        <w:t>种；有重要生态、科学、社会价值的陆生野生动物</w:t>
      </w:r>
      <w:r>
        <w:t>47</w:t>
      </w:r>
      <w:r>
        <w:rPr>
          <w:rFonts w:hint="eastAsia"/>
        </w:rPr>
        <w:t>种，其现状、分布、生态学特征详见表</w:t>
      </w:r>
      <w:r>
        <w:rPr>
          <w:rFonts w:hint="eastAsia"/>
        </w:rPr>
        <w:t>4.3-59</w:t>
      </w:r>
      <w:r>
        <w:rPr>
          <w:rFonts w:hint="eastAsia"/>
        </w:rPr>
        <w:t>。</w:t>
      </w:r>
    </w:p>
    <w:p w14:paraId="5D443E51" w14:textId="77777777" w:rsidR="009D12AF" w:rsidRDefault="00000000">
      <w:pPr>
        <w:spacing w:line="600" w:lineRule="exact"/>
        <w:ind w:firstLine="480"/>
        <w:jc w:val="center"/>
        <w:rPr>
          <w:rFonts w:ascii="Arial" w:eastAsia="黑体" w:hAnsi="Arial" w:cs="Arial"/>
        </w:rPr>
      </w:pPr>
      <w:r>
        <w:rPr>
          <w:rFonts w:ascii="Arial" w:eastAsia="黑体" w:hAnsi="Arial" w:cs="Arial" w:hint="eastAsia"/>
        </w:rPr>
        <w:t>表</w:t>
      </w:r>
      <w:r>
        <w:rPr>
          <w:rFonts w:ascii="Arial" w:eastAsia="黑体" w:hAnsi="Arial" w:cs="Arial" w:hint="eastAsia"/>
        </w:rPr>
        <w:t xml:space="preserve">4.3-59  </w:t>
      </w:r>
      <w:r>
        <w:rPr>
          <w:rFonts w:ascii="Arial" w:eastAsia="黑体" w:hAnsi="Arial" w:cs="Arial" w:hint="eastAsia"/>
        </w:rPr>
        <w:t>评价范围内动物生态学特征</w:t>
      </w:r>
    </w:p>
    <w:tbl>
      <w:tblPr>
        <w:tblW w:w="0" w:type="auto"/>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671"/>
        <w:gridCol w:w="1037"/>
        <w:gridCol w:w="732"/>
        <w:gridCol w:w="831"/>
        <w:gridCol w:w="5251"/>
      </w:tblGrid>
      <w:tr w:rsidR="009D12AF" w14:paraId="556B4839" w14:textId="77777777">
        <w:trPr>
          <w:trHeight w:val="23"/>
          <w:tblHeader/>
          <w:jc w:val="center"/>
        </w:trPr>
        <w:tc>
          <w:tcPr>
            <w:tcW w:w="0" w:type="auto"/>
            <w:tcBorders>
              <w:tl2br w:val="nil"/>
              <w:tr2bl w:val="nil"/>
            </w:tcBorders>
            <w:vAlign w:val="center"/>
          </w:tcPr>
          <w:p w14:paraId="1E1799BF"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类别</w:t>
            </w:r>
          </w:p>
        </w:tc>
        <w:tc>
          <w:tcPr>
            <w:tcW w:w="0" w:type="auto"/>
            <w:tcBorders>
              <w:tl2br w:val="nil"/>
              <w:tr2bl w:val="nil"/>
            </w:tcBorders>
            <w:vAlign w:val="center"/>
          </w:tcPr>
          <w:p w14:paraId="0A71F295"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物种名称</w:t>
            </w:r>
          </w:p>
        </w:tc>
        <w:tc>
          <w:tcPr>
            <w:tcW w:w="732" w:type="dxa"/>
            <w:tcBorders>
              <w:tl2br w:val="nil"/>
              <w:tr2bl w:val="nil"/>
            </w:tcBorders>
            <w:vAlign w:val="center"/>
          </w:tcPr>
          <w:p w14:paraId="5073E876"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保护级别</w:t>
            </w:r>
          </w:p>
        </w:tc>
        <w:tc>
          <w:tcPr>
            <w:tcW w:w="831" w:type="dxa"/>
            <w:tcBorders>
              <w:tl2br w:val="nil"/>
              <w:tr2bl w:val="nil"/>
            </w:tcBorders>
            <w:vAlign w:val="center"/>
          </w:tcPr>
          <w:p w14:paraId="09A9E8C3"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三有保护动物</w:t>
            </w:r>
          </w:p>
          <w:p w14:paraId="565337E9"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r>
              <w:rPr>
                <w:rFonts w:ascii="Times New Roman" w:eastAsia="宋体" w:hAnsi="Times New Roman" w:cs="Times New Roman"/>
                <w:color w:val="000000"/>
                <w:kern w:val="0"/>
                <w:sz w:val="21"/>
                <w:szCs w:val="21"/>
              </w:rPr>
              <w:t>是</w:t>
            </w:r>
            <w:r>
              <w:rPr>
                <w:rFonts w:ascii="Times New Roman" w:eastAsia="宋体" w:hAnsi="Times New Roman" w:cs="Times New Roman"/>
                <w:color w:val="000000"/>
                <w:kern w:val="0"/>
                <w:sz w:val="21"/>
                <w:szCs w:val="21"/>
              </w:rPr>
              <w:t>/</w:t>
            </w:r>
            <w:r>
              <w:rPr>
                <w:rFonts w:ascii="Times New Roman" w:eastAsia="宋体" w:hAnsi="Times New Roman" w:cs="Times New Roman"/>
                <w:color w:val="000000"/>
                <w:kern w:val="0"/>
                <w:sz w:val="21"/>
                <w:szCs w:val="21"/>
              </w:rPr>
              <w:t>否</w:t>
            </w:r>
            <w:r>
              <w:rPr>
                <w:rFonts w:ascii="Times New Roman" w:eastAsia="宋体" w:hAnsi="Times New Roman" w:cs="Times New Roman"/>
                <w:color w:val="000000"/>
                <w:kern w:val="0"/>
                <w:sz w:val="21"/>
                <w:szCs w:val="21"/>
              </w:rPr>
              <w:t>)</w:t>
            </w:r>
          </w:p>
        </w:tc>
        <w:tc>
          <w:tcPr>
            <w:tcW w:w="5251" w:type="dxa"/>
            <w:tcBorders>
              <w:tl2br w:val="nil"/>
              <w:tr2bl w:val="nil"/>
            </w:tcBorders>
            <w:vAlign w:val="center"/>
          </w:tcPr>
          <w:p w14:paraId="5194D2E4"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现状、分布、生态学特征</w:t>
            </w:r>
          </w:p>
        </w:tc>
      </w:tr>
      <w:tr w:rsidR="009D12AF" w14:paraId="7D1719A9" w14:textId="77777777">
        <w:trPr>
          <w:trHeight w:val="23"/>
          <w:jc w:val="center"/>
        </w:trPr>
        <w:tc>
          <w:tcPr>
            <w:tcW w:w="0" w:type="auto"/>
            <w:vMerge w:val="restart"/>
            <w:tcBorders>
              <w:tl2br w:val="nil"/>
              <w:tr2bl w:val="nil"/>
            </w:tcBorders>
            <w:vAlign w:val="center"/>
          </w:tcPr>
          <w:p w14:paraId="0FBE92EB"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鸟类</w:t>
            </w:r>
          </w:p>
        </w:tc>
        <w:tc>
          <w:tcPr>
            <w:tcW w:w="0" w:type="auto"/>
            <w:tcBorders>
              <w:tl2br w:val="nil"/>
              <w:tr2bl w:val="nil"/>
            </w:tcBorders>
            <w:vAlign w:val="center"/>
          </w:tcPr>
          <w:p w14:paraId="1D16FD8A"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太平鸟</w:t>
            </w:r>
          </w:p>
        </w:tc>
        <w:tc>
          <w:tcPr>
            <w:tcW w:w="732" w:type="dxa"/>
            <w:tcBorders>
              <w:tl2br w:val="nil"/>
              <w:tr2bl w:val="nil"/>
            </w:tcBorders>
            <w:vAlign w:val="center"/>
          </w:tcPr>
          <w:p w14:paraId="16096B81"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黑龙江省级</w:t>
            </w:r>
          </w:p>
        </w:tc>
        <w:tc>
          <w:tcPr>
            <w:tcW w:w="831" w:type="dxa"/>
            <w:tcBorders>
              <w:tl2br w:val="nil"/>
              <w:tr2bl w:val="nil"/>
            </w:tcBorders>
            <w:vAlign w:val="center"/>
          </w:tcPr>
          <w:p w14:paraId="026DFB93"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5058E35C"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太平鸟在中国主要生活于东北、华北等地的针叶林，也见于城市公园、果园的高大阔叶树及山地疏林。常集群在树冠高处活动，冬季较活跃，以植物种子为主食，春夏季会在林间灌木层觅食昆虫，无需冬眠，冬季会向南方温暖地区迁徙</w:t>
            </w:r>
          </w:p>
        </w:tc>
      </w:tr>
      <w:tr w:rsidR="009D12AF" w14:paraId="35236B7A" w14:textId="77777777">
        <w:trPr>
          <w:trHeight w:val="23"/>
          <w:jc w:val="center"/>
        </w:trPr>
        <w:tc>
          <w:tcPr>
            <w:tcW w:w="0" w:type="auto"/>
            <w:vMerge/>
            <w:tcBorders>
              <w:tl2br w:val="nil"/>
              <w:tr2bl w:val="nil"/>
            </w:tcBorders>
            <w:vAlign w:val="center"/>
          </w:tcPr>
          <w:p w14:paraId="7A40660C"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1397CBBB"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朱顶雀</w:t>
            </w:r>
          </w:p>
        </w:tc>
        <w:tc>
          <w:tcPr>
            <w:tcW w:w="732" w:type="dxa"/>
            <w:tcBorders>
              <w:tl2br w:val="nil"/>
              <w:tr2bl w:val="nil"/>
            </w:tcBorders>
            <w:vAlign w:val="center"/>
          </w:tcPr>
          <w:p w14:paraId="416F71AB"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黑龙江省级</w:t>
            </w:r>
          </w:p>
        </w:tc>
        <w:tc>
          <w:tcPr>
            <w:tcW w:w="831" w:type="dxa"/>
            <w:tcBorders>
              <w:tl2br w:val="nil"/>
              <w:tr2bl w:val="nil"/>
            </w:tcBorders>
            <w:vAlign w:val="center"/>
          </w:tcPr>
          <w:p w14:paraId="6B687174"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否</w:t>
            </w:r>
          </w:p>
        </w:tc>
        <w:tc>
          <w:tcPr>
            <w:tcW w:w="5251" w:type="dxa"/>
            <w:tcBorders>
              <w:tl2br w:val="nil"/>
              <w:tr2bl w:val="nil"/>
            </w:tcBorders>
            <w:vAlign w:val="center"/>
          </w:tcPr>
          <w:p w14:paraId="20D56228"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朱顶雀在中国主要生活于新疆、东北的北方针叶林区，也见于山地灌丛、农田边缘及草原地带，冬季常活动于村落附近的开阔草地与河滩边。多在地面取食，冬季结群活动，耐寒性较强，无需长时间深度冬眠，仅在极端</w:t>
            </w:r>
            <w:r>
              <w:rPr>
                <w:rFonts w:ascii="Times New Roman" w:eastAsia="宋体" w:hAnsi="Times New Roman" w:cs="Times New Roman" w:hint="eastAsia"/>
                <w:color w:val="000000"/>
                <w:kern w:val="0"/>
                <w:sz w:val="21"/>
                <w:szCs w:val="21"/>
              </w:rPr>
              <w:lastRenderedPageBreak/>
              <w:t>低温时短暂隐匿</w:t>
            </w:r>
          </w:p>
        </w:tc>
      </w:tr>
      <w:tr w:rsidR="009D12AF" w14:paraId="0D1C5551" w14:textId="77777777">
        <w:trPr>
          <w:trHeight w:val="23"/>
          <w:jc w:val="center"/>
        </w:trPr>
        <w:tc>
          <w:tcPr>
            <w:tcW w:w="0" w:type="auto"/>
            <w:vMerge/>
            <w:tcBorders>
              <w:tl2br w:val="nil"/>
              <w:tr2bl w:val="nil"/>
            </w:tcBorders>
            <w:vAlign w:val="center"/>
          </w:tcPr>
          <w:p w14:paraId="2ADF0415"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48AC6E86"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金翅雀</w:t>
            </w:r>
          </w:p>
        </w:tc>
        <w:tc>
          <w:tcPr>
            <w:tcW w:w="732" w:type="dxa"/>
            <w:tcBorders>
              <w:tl2br w:val="nil"/>
              <w:tr2bl w:val="nil"/>
            </w:tcBorders>
            <w:vAlign w:val="center"/>
          </w:tcPr>
          <w:p w14:paraId="1A18DCCE"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黑龙江省级</w:t>
            </w:r>
          </w:p>
        </w:tc>
        <w:tc>
          <w:tcPr>
            <w:tcW w:w="831" w:type="dxa"/>
            <w:tcBorders>
              <w:tl2br w:val="nil"/>
              <w:tr2bl w:val="nil"/>
            </w:tcBorders>
            <w:vAlign w:val="center"/>
          </w:tcPr>
          <w:p w14:paraId="46DB814F"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6DFC8F8F"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金翅雀在中国从东北至华南、西南均有分布，主要生活于海拔</w:t>
            </w:r>
            <w:r>
              <w:rPr>
                <w:rFonts w:ascii="Times New Roman" w:eastAsia="宋体" w:hAnsi="Times New Roman" w:cs="Times New Roman" w:hint="eastAsia"/>
                <w:color w:val="000000"/>
                <w:kern w:val="0"/>
                <w:sz w:val="21"/>
                <w:szCs w:val="21"/>
              </w:rPr>
              <w:t xml:space="preserve"> 1500 </w:t>
            </w:r>
            <w:r>
              <w:rPr>
                <w:rFonts w:ascii="Times New Roman" w:eastAsia="宋体" w:hAnsi="Times New Roman" w:cs="Times New Roman" w:hint="eastAsia"/>
                <w:color w:val="000000"/>
                <w:kern w:val="0"/>
                <w:sz w:val="21"/>
                <w:szCs w:val="21"/>
              </w:rPr>
              <w:t>米以下的疏林、农田旁的灌木丛及城市绿地。常在树枝间跳跃觅食，白天活跃，以植物果实、种子为食，对环境适应性强，无需冬眠，冬季会在背风向阳的灌丛中活动</w:t>
            </w:r>
          </w:p>
        </w:tc>
      </w:tr>
      <w:tr w:rsidR="009D12AF" w14:paraId="6162DF8E" w14:textId="77777777">
        <w:trPr>
          <w:trHeight w:val="23"/>
          <w:jc w:val="center"/>
        </w:trPr>
        <w:tc>
          <w:tcPr>
            <w:tcW w:w="0" w:type="auto"/>
            <w:vMerge/>
            <w:tcBorders>
              <w:tl2br w:val="nil"/>
              <w:tr2bl w:val="nil"/>
            </w:tcBorders>
            <w:vAlign w:val="center"/>
          </w:tcPr>
          <w:p w14:paraId="1301BB5A"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447D24A4"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普通鸬鹚</w:t>
            </w:r>
          </w:p>
        </w:tc>
        <w:tc>
          <w:tcPr>
            <w:tcW w:w="732" w:type="dxa"/>
            <w:tcBorders>
              <w:tl2br w:val="nil"/>
              <w:tr2bl w:val="nil"/>
            </w:tcBorders>
            <w:vAlign w:val="center"/>
          </w:tcPr>
          <w:p w14:paraId="0FF38338"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0BFDB471"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1F001644"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普通鸬鹚在中国主要生活于东北、西北繁殖区的河流、湖泊，迁徙时见于华北的水库，越冬于长江以南的河口及沿海滩涂。善游泳和潜水，白天在水域觅食鱼类，繁殖期在水域附近的树上或岩石上营巢，北方种群冬季南迁</w:t>
            </w:r>
          </w:p>
        </w:tc>
      </w:tr>
      <w:tr w:rsidR="009D12AF" w14:paraId="5C503955" w14:textId="77777777">
        <w:trPr>
          <w:trHeight w:val="23"/>
          <w:jc w:val="center"/>
        </w:trPr>
        <w:tc>
          <w:tcPr>
            <w:tcW w:w="0" w:type="auto"/>
            <w:vMerge/>
            <w:tcBorders>
              <w:tl2br w:val="nil"/>
              <w:tr2bl w:val="nil"/>
            </w:tcBorders>
            <w:vAlign w:val="center"/>
          </w:tcPr>
          <w:p w14:paraId="292734E9"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60259ED1"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苍鹭</w:t>
            </w:r>
          </w:p>
        </w:tc>
        <w:tc>
          <w:tcPr>
            <w:tcW w:w="732" w:type="dxa"/>
            <w:tcBorders>
              <w:tl2br w:val="nil"/>
              <w:tr2bl w:val="nil"/>
            </w:tcBorders>
            <w:vAlign w:val="center"/>
          </w:tcPr>
          <w:p w14:paraId="1E4A9F67"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2FD20657"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2749FBDE"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苍鹭在中国各地均有分布，主要生活于江河、湖泊、沼泽等水域附近的芦苇丛及浅滩，也见于农田灌溉渠旁的疏林。多在白天浅水区站立觅食，以鱼类、蛙类为食，性机警，冬季北方种群会南迁，南方种群可全年在栖息地活动</w:t>
            </w:r>
          </w:p>
        </w:tc>
      </w:tr>
      <w:tr w:rsidR="009D12AF" w14:paraId="6609A9F1" w14:textId="77777777">
        <w:trPr>
          <w:trHeight w:val="23"/>
          <w:jc w:val="center"/>
        </w:trPr>
        <w:tc>
          <w:tcPr>
            <w:tcW w:w="0" w:type="auto"/>
            <w:vMerge/>
            <w:tcBorders>
              <w:tl2br w:val="nil"/>
              <w:tr2bl w:val="nil"/>
            </w:tcBorders>
            <w:vAlign w:val="center"/>
          </w:tcPr>
          <w:p w14:paraId="0CB448E0"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7B5C686D"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鹌鹑</w:t>
            </w:r>
          </w:p>
        </w:tc>
        <w:tc>
          <w:tcPr>
            <w:tcW w:w="732" w:type="dxa"/>
            <w:tcBorders>
              <w:tl2br w:val="nil"/>
              <w:tr2bl w:val="nil"/>
            </w:tcBorders>
            <w:vAlign w:val="center"/>
          </w:tcPr>
          <w:p w14:paraId="231F2080"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7C2E8E8F"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21200FC5"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鹌鹑在中国除青藏高原外广泛分布，主要生活于草地、农田、河滩的低矮灌丛及麦田、豆田等开阔地带。白天多隐藏在植被下，晨昏时分活跃觅食，以植物种子、昆虫为食，飞行能力弱，冬季会在向阳的农田秸秆堆或灌丛中越冬</w:t>
            </w:r>
          </w:p>
        </w:tc>
      </w:tr>
      <w:tr w:rsidR="009D12AF" w14:paraId="2DFFC0FF" w14:textId="77777777">
        <w:trPr>
          <w:trHeight w:val="23"/>
          <w:jc w:val="center"/>
        </w:trPr>
        <w:tc>
          <w:tcPr>
            <w:tcW w:w="0" w:type="auto"/>
            <w:vMerge/>
            <w:tcBorders>
              <w:tl2br w:val="nil"/>
              <w:tr2bl w:val="nil"/>
            </w:tcBorders>
            <w:vAlign w:val="center"/>
          </w:tcPr>
          <w:p w14:paraId="1BC9774B"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1AF22B93"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普通秧鸡</w:t>
            </w:r>
          </w:p>
        </w:tc>
        <w:tc>
          <w:tcPr>
            <w:tcW w:w="732" w:type="dxa"/>
            <w:tcBorders>
              <w:tl2br w:val="nil"/>
              <w:tr2bl w:val="nil"/>
            </w:tcBorders>
            <w:vAlign w:val="center"/>
          </w:tcPr>
          <w:p w14:paraId="577E6A23"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27BAA259"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3DF2FDCF"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普通秧鸡在中国主要生活于东北、华北、华南的湿地、沼泽及水稻田，也见于河流边的水生草丛。善于在水生植物间穿行，晨昏时分活动觅食，以昆虫、软体动物为食，冬季北方种群南迁，南方种群可在温暖湿地越冬</w:t>
            </w:r>
          </w:p>
        </w:tc>
      </w:tr>
      <w:tr w:rsidR="009D12AF" w14:paraId="2FE922B4" w14:textId="77777777">
        <w:trPr>
          <w:trHeight w:val="23"/>
          <w:jc w:val="center"/>
        </w:trPr>
        <w:tc>
          <w:tcPr>
            <w:tcW w:w="0" w:type="auto"/>
            <w:vMerge/>
            <w:tcBorders>
              <w:tl2br w:val="nil"/>
              <w:tr2bl w:val="nil"/>
            </w:tcBorders>
            <w:vAlign w:val="center"/>
          </w:tcPr>
          <w:p w14:paraId="479BC576"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3DF31D01"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金眶鸻</w:t>
            </w:r>
          </w:p>
        </w:tc>
        <w:tc>
          <w:tcPr>
            <w:tcW w:w="732" w:type="dxa"/>
            <w:tcBorders>
              <w:tl2br w:val="nil"/>
              <w:tr2bl w:val="nil"/>
            </w:tcBorders>
            <w:vAlign w:val="center"/>
          </w:tcPr>
          <w:p w14:paraId="32AC80BD"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1ED3902E"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354EED0F"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金眶鸻在中国多地可见，主要生活于河滩、海滨的开阔湿地，也见于水库岸边的沙质滩涂及农田中的积水洼地。白天在地面快速奔跑啄食，以昆虫、小型无脊椎动</w:t>
            </w:r>
            <w:r>
              <w:rPr>
                <w:rFonts w:ascii="Times New Roman" w:eastAsia="宋体" w:hAnsi="Times New Roman" w:cs="Times New Roman" w:hint="eastAsia"/>
                <w:color w:val="000000"/>
                <w:kern w:val="0"/>
                <w:sz w:val="21"/>
                <w:szCs w:val="21"/>
              </w:rPr>
              <w:lastRenderedPageBreak/>
              <w:t>物为食，繁殖期在滩涂地面筑巢，冬季会向南方温暖水域迁徙</w:t>
            </w:r>
          </w:p>
        </w:tc>
      </w:tr>
      <w:tr w:rsidR="009D12AF" w14:paraId="6A0AF158" w14:textId="77777777">
        <w:trPr>
          <w:trHeight w:val="23"/>
          <w:jc w:val="center"/>
        </w:trPr>
        <w:tc>
          <w:tcPr>
            <w:tcW w:w="0" w:type="auto"/>
            <w:vMerge/>
            <w:tcBorders>
              <w:tl2br w:val="nil"/>
              <w:tr2bl w:val="nil"/>
            </w:tcBorders>
            <w:vAlign w:val="center"/>
          </w:tcPr>
          <w:p w14:paraId="1DE52D75"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7C0DA1B7"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林鹬</w:t>
            </w:r>
          </w:p>
        </w:tc>
        <w:tc>
          <w:tcPr>
            <w:tcW w:w="732" w:type="dxa"/>
            <w:tcBorders>
              <w:tl2br w:val="nil"/>
              <w:tr2bl w:val="nil"/>
            </w:tcBorders>
            <w:vAlign w:val="center"/>
          </w:tcPr>
          <w:p w14:paraId="3201DCDF"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0C83265D"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1E637EFA"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林鹬在中国主要生活于东北繁殖区的湿地、河流边缘，迁徙时见于华北的沼泽，越冬于南方的湖泊浅滩。常单独或小群在泥地探寻食物，白天活跃，以昆虫、软体动物为食，冬季全部南迁，在南方温暖湿地越冬</w:t>
            </w:r>
          </w:p>
        </w:tc>
      </w:tr>
      <w:tr w:rsidR="009D12AF" w14:paraId="694D959C" w14:textId="77777777">
        <w:trPr>
          <w:trHeight w:val="23"/>
          <w:jc w:val="center"/>
        </w:trPr>
        <w:tc>
          <w:tcPr>
            <w:tcW w:w="0" w:type="auto"/>
            <w:vMerge/>
            <w:tcBorders>
              <w:tl2br w:val="nil"/>
              <w:tr2bl w:val="nil"/>
            </w:tcBorders>
            <w:vAlign w:val="center"/>
          </w:tcPr>
          <w:p w14:paraId="40D9A379"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78611F03"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矶鹬</w:t>
            </w:r>
          </w:p>
        </w:tc>
        <w:tc>
          <w:tcPr>
            <w:tcW w:w="732" w:type="dxa"/>
            <w:tcBorders>
              <w:tl2br w:val="nil"/>
              <w:tr2bl w:val="nil"/>
            </w:tcBorders>
            <w:vAlign w:val="center"/>
          </w:tcPr>
          <w:p w14:paraId="40EFAFEC"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463CD80F"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2739A3CC"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矶鹬在中国各地均有分布，主要生活于河流、湖泊的岸边沙滩，也见于海岸的礁石区及农田旁的小溪边。白天在水边活动，行走时不停点头，以昆虫、甲壳类为食，飞行呈波浪状，冬季北方种群南迁，南方种群可全年活动</w:t>
            </w:r>
          </w:p>
        </w:tc>
      </w:tr>
      <w:tr w:rsidR="009D12AF" w14:paraId="1D2E7A23" w14:textId="77777777">
        <w:trPr>
          <w:trHeight w:val="23"/>
          <w:jc w:val="center"/>
        </w:trPr>
        <w:tc>
          <w:tcPr>
            <w:tcW w:w="0" w:type="auto"/>
            <w:vMerge/>
            <w:tcBorders>
              <w:tl2br w:val="nil"/>
              <w:tr2bl w:val="nil"/>
            </w:tcBorders>
            <w:vAlign w:val="center"/>
          </w:tcPr>
          <w:p w14:paraId="60716CF8"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7A6E4420"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山斑鸠</w:t>
            </w:r>
          </w:p>
        </w:tc>
        <w:tc>
          <w:tcPr>
            <w:tcW w:w="732" w:type="dxa"/>
            <w:tcBorders>
              <w:tl2br w:val="nil"/>
              <w:tr2bl w:val="nil"/>
            </w:tcBorders>
            <w:vAlign w:val="center"/>
          </w:tcPr>
          <w:p w14:paraId="73387E40"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59505C8D"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7AFB7E70"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山斑鸠在中国广泛分布，主要生活于山地、平原的阔叶林、混交林，也见于城市公园的树木及农田旁的灌丛。常成对或小群在地面觅食，白天活跃，以植物种子为食，对环境适应性强，无需冬眠，冬季会在背风向阳的树林中活动</w:t>
            </w:r>
          </w:p>
        </w:tc>
      </w:tr>
      <w:tr w:rsidR="009D12AF" w14:paraId="2944D78B" w14:textId="77777777">
        <w:trPr>
          <w:trHeight w:val="23"/>
          <w:jc w:val="center"/>
        </w:trPr>
        <w:tc>
          <w:tcPr>
            <w:tcW w:w="0" w:type="auto"/>
            <w:vMerge/>
            <w:tcBorders>
              <w:tl2br w:val="nil"/>
              <w:tr2bl w:val="nil"/>
            </w:tcBorders>
            <w:vAlign w:val="center"/>
          </w:tcPr>
          <w:p w14:paraId="1B10567A"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5CD23DEA"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大杜鹃</w:t>
            </w:r>
          </w:p>
        </w:tc>
        <w:tc>
          <w:tcPr>
            <w:tcW w:w="732" w:type="dxa"/>
            <w:tcBorders>
              <w:tl2br w:val="nil"/>
              <w:tr2bl w:val="nil"/>
            </w:tcBorders>
            <w:vAlign w:val="center"/>
          </w:tcPr>
          <w:p w14:paraId="089E31AC"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37E44A08"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4BF8F7BC"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大杜鹃在中国广泛分布，主要生活于山地、丘陵、平原的森林，也见于果园、苗圃的树木及林缘灌丛。白天在树枝间穿梭觅食，以昆虫为主食，尤其喜食毛虫，不营巢，借其他鸟类巢产卵，冬季会南迁越冬</w:t>
            </w:r>
          </w:p>
        </w:tc>
      </w:tr>
      <w:tr w:rsidR="009D12AF" w14:paraId="0CE1C2DA" w14:textId="77777777">
        <w:trPr>
          <w:trHeight w:val="23"/>
          <w:jc w:val="center"/>
        </w:trPr>
        <w:tc>
          <w:tcPr>
            <w:tcW w:w="0" w:type="auto"/>
            <w:vMerge/>
            <w:tcBorders>
              <w:tl2br w:val="nil"/>
              <w:tr2bl w:val="nil"/>
            </w:tcBorders>
            <w:vAlign w:val="center"/>
          </w:tcPr>
          <w:p w14:paraId="510DA6B8"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13C1B5AA"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中杜鹃</w:t>
            </w:r>
          </w:p>
        </w:tc>
        <w:tc>
          <w:tcPr>
            <w:tcW w:w="732" w:type="dxa"/>
            <w:tcBorders>
              <w:tl2br w:val="nil"/>
              <w:tr2bl w:val="nil"/>
            </w:tcBorders>
            <w:vAlign w:val="center"/>
          </w:tcPr>
          <w:p w14:paraId="096305EA"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36E69C9A"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48129B6F"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中杜鹃在中国多地有分布，主要生活于山地森林的中层树冠，也见于丘陵地带的灌木丛及竹林边缘。白天在枝叶间觅食昆虫，习性隐蔽，较少露面，繁殖期借巢产卵，冬季会向南方温暖地区迁徙，在东南亚越冬</w:t>
            </w:r>
          </w:p>
        </w:tc>
      </w:tr>
      <w:tr w:rsidR="009D12AF" w14:paraId="09C4AE35" w14:textId="77777777">
        <w:trPr>
          <w:trHeight w:val="23"/>
          <w:jc w:val="center"/>
        </w:trPr>
        <w:tc>
          <w:tcPr>
            <w:tcW w:w="0" w:type="auto"/>
            <w:vMerge/>
            <w:tcBorders>
              <w:tl2br w:val="nil"/>
              <w:tr2bl w:val="nil"/>
            </w:tcBorders>
            <w:vAlign w:val="center"/>
          </w:tcPr>
          <w:p w14:paraId="4BFCCA49"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3BE928FD"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四声杜鹃</w:t>
            </w:r>
          </w:p>
        </w:tc>
        <w:tc>
          <w:tcPr>
            <w:tcW w:w="732" w:type="dxa"/>
            <w:tcBorders>
              <w:tl2br w:val="nil"/>
              <w:tr2bl w:val="nil"/>
            </w:tcBorders>
            <w:vAlign w:val="center"/>
          </w:tcPr>
          <w:p w14:paraId="7AD63CE9"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07EBB008"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77CCE045"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四声杜鹃在中国分布广泛，主要生活于山地森林、林缘的树木，也见于城市周边的防护林及果园。白天常发出“布谷”叫声，以昆虫为食，尤其捕食松毛虫，繁殖期借巢产卵，冬季南迁越冬</w:t>
            </w:r>
          </w:p>
        </w:tc>
      </w:tr>
      <w:tr w:rsidR="009D12AF" w14:paraId="0BC7B11C" w14:textId="77777777">
        <w:trPr>
          <w:trHeight w:val="23"/>
          <w:jc w:val="center"/>
        </w:trPr>
        <w:tc>
          <w:tcPr>
            <w:tcW w:w="0" w:type="auto"/>
            <w:vMerge/>
            <w:tcBorders>
              <w:tl2br w:val="nil"/>
              <w:tr2bl w:val="nil"/>
            </w:tcBorders>
            <w:vAlign w:val="center"/>
          </w:tcPr>
          <w:p w14:paraId="595BD389"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32CF1606"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普通翠鸟</w:t>
            </w:r>
          </w:p>
        </w:tc>
        <w:tc>
          <w:tcPr>
            <w:tcW w:w="732" w:type="dxa"/>
            <w:tcBorders>
              <w:tl2br w:val="nil"/>
              <w:tr2bl w:val="nil"/>
            </w:tcBorders>
            <w:vAlign w:val="center"/>
          </w:tcPr>
          <w:p w14:paraId="4D8CA332"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275D85CA"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49E25AF1"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普通翠鸟在中国大部分地区可见，主要生活于河流、湖泊、池塘等水域附近的树枝或岩石上，也见于水田旁的灌丛。白天在水域上空盘旋或停栖等待，俯冲入水捕鱼，羽色鲜艳，冬季北方种群南迁，南方种群可全年在栖息地活动</w:t>
            </w:r>
          </w:p>
        </w:tc>
      </w:tr>
      <w:tr w:rsidR="009D12AF" w14:paraId="424122FF" w14:textId="77777777">
        <w:trPr>
          <w:trHeight w:val="23"/>
          <w:jc w:val="center"/>
        </w:trPr>
        <w:tc>
          <w:tcPr>
            <w:tcW w:w="0" w:type="auto"/>
            <w:vMerge/>
            <w:tcBorders>
              <w:tl2br w:val="nil"/>
              <w:tr2bl w:val="nil"/>
            </w:tcBorders>
            <w:vAlign w:val="center"/>
          </w:tcPr>
          <w:p w14:paraId="06E245AF"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3197FB21"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树鹨</w:t>
            </w:r>
          </w:p>
        </w:tc>
        <w:tc>
          <w:tcPr>
            <w:tcW w:w="732" w:type="dxa"/>
            <w:tcBorders>
              <w:tl2br w:val="nil"/>
              <w:tr2bl w:val="nil"/>
            </w:tcBorders>
            <w:vAlign w:val="center"/>
          </w:tcPr>
          <w:p w14:paraId="2E89EF71"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7CB37C57"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0CB621F3"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树鹨在中国主要生活于东北繁殖区的林地、草地，迁徙时见于华北的田野，越冬于南方的农田及疏林。常沿地面奔跑觅食，白天活跃，以昆虫和植物种子为食，飞行呈波浪状，边飞边鸣，冬季全部南迁，在南方温暖地区越冬</w:t>
            </w:r>
          </w:p>
        </w:tc>
      </w:tr>
      <w:tr w:rsidR="009D12AF" w14:paraId="1F1B1D17" w14:textId="77777777">
        <w:trPr>
          <w:trHeight w:val="23"/>
          <w:jc w:val="center"/>
        </w:trPr>
        <w:tc>
          <w:tcPr>
            <w:tcW w:w="0" w:type="auto"/>
            <w:vMerge/>
            <w:tcBorders>
              <w:tl2br w:val="nil"/>
              <w:tr2bl w:val="nil"/>
            </w:tcBorders>
            <w:vAlign w:val="center"/>
          </w:tcPr>
          <w:p w14:paraId="57E8618F"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08F38B63"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灰山椒鸟</w:t>
            </w:r>
          </w:p>
        </w:tc>
        <w:tc>
          <w:tcPr>
            <w:tcW w:w="732" w:type="dxa"/>
            <w:tcBorders>
              <w:tl2br w:val="nil"/>
              <w:tr2bl w:val="nil"/>
            </w:tcBorders>
            <w:vAlign w:val="center"/>
          </w:tcPr>
          <w:p w14:paraId="0236FFAE"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12FB57DB"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4F663564"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灰山椒鸟在中国主要生活于东北、华北的山地、平原阔叶林、混交林，也见于城市公园的高大树木。常成群在树冠层活动，白天活跃觅食，以昆虫为主，也吃植物果实，冬季会南迁到华南地区，在温暖树林中越冬</w:t>
            </w:r>
          </w:p>
        </w:tc>
      </w:tr>
      <w:tr w:rsidR="009D12AF" w14:paraId="010987BA" w14:textId="77777777">
        <w:trPr>
          <w:trHeight w:val="23"/>
          <w:jc w:val="center"/>
        </w:trPr>
        <w:tc>
          <w:tcPr>
            <w:tcW w:w="0" w:type="auto"/>
            <w:vMerge/>
            <w:tcBorders>
              <w:tl2br w:val="nil"/>
              <w:tr2bl w:val="nil"/>
            </w:tcBorders>
            <w:vAlign w:val="center"/>
          </w:tcPr>
          <w:p w14:paraId="6E37B413"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6A0429FF"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红尾伯劳</w:t>
            </w:r>
          </w:p>
        </w:tc>
        <w:tc>
          <w:tcPr>
            <w:tcW w:w="732" w:type="dxa"/>
            <w:tcBorders>
              <w:tl2br w:val="nil"/>
              <w:tr2bl w:val="nil"/>
            </w:tcBorders>
            <w:vAlign w:val="center"/>
          </w:tcPr>
          <w:p w14:paraId="3CCC0776"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7A46FBF3"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103CA16D"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红尾伯劳在中国广泛分布，主要生活于山地、平原的阔叶林、次生林，也见于果园、农田旁的孤立树枝。常站在树枝顶端观察猎物，白天捕食昆虫、小型鸟类，有储存猎物的习性，冬季北方种群南迁，南方种群可全年活动</w:t>
            </w:r>
          </w:p>
        </w:tc>
      </w:tr>
      <w:tr w:rsidR="009D12AF" w14:paraId="5AF9C256" w14:textId="77777777">
        <w:trPr>
          <w:trHeight w:val="23"/>
          <w:jc w:val="center"/>
        </w:trPr>
        <w:tc>
          <w:tcPr>
            <w:tcW w:w="0" w:type="auto"/>
            <w:vMerge/>
            <w:tcBorders>
              <w:tl2br w:val="nil"/>
              <w:tr2bl w:val="nil"/>
            </w:tcBorders>
            <w:vAlign w:val="center"/>
          </w:tcPr>
          <w:p w14:paraId="65A895BA"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0F84F264"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北椋鸟</w:t>
            </w:r>
          </w:p>
        </w:tc>
        <w:tc>
          <w:tcPr>
            <w:tcW w:w="732" w:type="dxa"/>
            <w:tcBorders>
              <w:tl2br w:val="nil"/>
              <w:tr2bl w:val="nil"/>
            </w:tcBorders>
            <w:vAlign w:val="center"/>
          </w:tcPr>
          <w:p w14:paraId="7A53A1E5"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7576B78A"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666C11F5"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北椋鸟在中国主要生活于东北繁殖区的阔叶林、混交林，迁徙时见于东部地区的农田及村落旁树木。常成群活动，白天在地面或树枝上觅食昆虫、植物种子，飞行时群体紧密，冬季南迁越冬，在华南温暖地区停留</w:t>
            </w:r>
          </w:p>
        </w:tc>
      </w:tr>
      <w:tr w:rsidR="009D12AF" w14:paraId="128B1B9C" w14:textId="77777777">
        <w:trPr>
          <w:trHeight w:val="23"/>
          <w:jc w:val="center"/>
        </w:trPr>
        <w:tc>
          <w:tcPr>
            <w:tcW w:w="0" w:type="auto"/>
            <w:vMerge/>
            <w:tcBorders>
              <w:tl2br w:val="nil"/>
              <w:tr2bl w:val="nil"/>
            </w:tcBorders>
            <w:vAlign w:val="center"/>
          </w:tcPr>
          <w:p w14:paraId="3AA15162"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59BBE4E8"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灰椋鸟</w:t>
            </w:r>
          </w:p>
        </w:tc>
        <w:tc>
          <w:tcPr>
            <w:tcW w:w="732" w:type="dxa"/>
            <w:tcBorders>
              <w:tl2br w:val="nil"/>
              <w:tr2bl w:val="nil"/>
            </w:tcBorders>
            <w:vAlign w:val="center"/>
          </w:tcPr>
          <w:p w14:paraId="18497CFD"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564CAE2E"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56C3045C"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灰椋鸟在中国广泛分布，主要生活于山地、平原的阔叶林、混交林，也见于农田、城市公园及村落周边。常集群活动，白天在地面啄食昆虫、植物种子，数量多时形成壮观鸟群，冬季北方种群南迁，南方种群可全年活动</w:t>
            </w:r>
          </w:p>
        </w:tc>
      </w:tr>
      <w:tr w:rsidR="009D12AF" w14:paraId="5E2356B1" w14:textId="77777777">
        <w:trPr>
          <w:trHeight w:val="23"/>
          <w:jc w:val="center"/>
        </w:trPr>
        <w:tc>
          <w:tcPr>
            <w:tcW w:w="0" w:type="auto"/>
            <w:vMerge/>
            <w:tcBorders>
              <w:tl2br w:val="nil"/>
              <w:tr2bl w:val="nil"/>
            </w:tcBorders>
            <w:vAlign w:val="center"/>
          </w:tcPr>
          <w:p w14:paraId="7DAEEF82"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3B274523"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黑眉柳</w:t>
            </w:r>
            <w:r>
              <w:rPr>
                <w:rFonts w:ascii="Times New Roman" w:eastAsia="宋体" w:hAnsi="Times New Roman" w:cs="Times New Roman"/>
                <w:sz w:val="21"/>
                <w:szCs w:val="21"/>
              </w:rPr>
              <w:lastRenderedPageBreak/>
              <w:t>莺</w:t>
            </w:r>
          </w:p>
        </w:tc>
        <w:tc>
          <w:tcPr>
            <w:tcW w:w="732" w:type="dxa"/>
            <w:tcBorders>
              <w:tl2br w:val="nil"/>
              <w:tr2bl w:val="nil"/>
            </w:tcBorders>
            <w:vAlign w:val="center"/>
          </w:tcPr>
          <w:p w14:paraId="6C9433BE"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lastRenderedPageBreak/>
              <w:t>——</w:t>
            </w:r>
          </w:p>
        </w:tc>
        <w:tc>
          <w:tcPr>
            <w:tcW w:w="831" w:type="dxa"/>
            <w:tcBorders>
              <w:tl2br w:val="nil"/>
              <w:tr2bl w:val="nil"/>
            </w:tcBorders>
            <w:vAlign w:val="center"/>
          </w:tcPr>
          <w:p w14:paraId="0C91ECAC"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553144A5"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黑眉柳莺在中国主要生活于西南、华南的山地森林、灌</w:t>
            </w:r>
            <w:r>
              <w:rPr>
                <w:rFonts w:ascii="Times New Roman" w:eastAsia="宋体" w:hAnsi="Times New Roman" w:cs="Times New Roman" w:hint="eastAsia"/>
                <w:color w:val="000000"/>
                <w:kern w:val="0"/>
                <w:sz w:val="21"/>
                <w:szCs w:val="21"/>
              </w:rPr>
              <w:lastRenderedPageBreak/>
              <w:t>木丛，也见于丘陵地带的竹林及茶园。常活跃在树枝间，白天觅食昆虫，动作敏捷，羽色与环境相近较难发现，冬季不南迁，在栖息地的背风灌丛中越冬</w:t>
            </w:r>
          </w:p>
        </w:tc>
      </w:tr>
      <w:tr w:rsidR="009D12AF" w14:paraId="4DE7538E" w14:textId="77777777">
        <w:trPr>
          <w:trHeight w:val="23"/>
          <w:jc w:val="center"/>
        </w:trPr>
        <w:tc>
          <w:tcPr>
            <w:tcW w:w="0" w:type="auto"/>
            <w:vMerge/>
            <w:tcBorders>
              <w:tl2br w:val="nil"/>
              <w:tr2bl w:val="nil"/>
            </w:tcBorders>
            <w:vAlign w:val="center"/>
          </w:tcPr>
          <w:p w14:paraId="0CC19B98"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7A7AE125"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环颈雉</w:t>
            </w:r>
          </w:p>
        </w:tc>
        <w:tc>
          <w:tcPr>
            <w:tcW w:w="732" w:type="dxa"/>
            <w:tcBorders>
              <w:tl2br w:val="nil"/>
              <w:tr2bl w:val="nil"/>
            </w:tcBorders>
            <w:vAlign w:val="center"/>
          </w:tcPr>
          <w:p w14:paraId="571C3ADB"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710ACB7B"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462D2B6A"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环颈雉在中国广泛分布，主要生活于山地、丘陵的灌丛、草地，也见于农田、果园及村落旁的荒地。白天在地面觅食，以植物种子、昆虫为食，善于奔跑，雄鸟羽色艳丽，冬季在向阳的灌丛或岩石缝隙中越冬，无需深度冬眠</w:t>
            </w:r>
          </w:p>
        </w:tc>
      </w:tr>
      <w:tr w:rsidR="009D12AF" w14:paraId="227233E0" w14:textId="77777777">
        <w:trPr>
          <w:trHeight w:val="23"/>
          <w:jc w:val="center"/>
        </w:trPr>
        <w:tc>
          <w:tcPr>
            <w:tcW w:w="0" w:type="auto"/>
            <w:vMerge/>
            <w:tcBorders>
              <w:tl2br w:val="nil"/>
              <w:tr2bl w:val="nil"/>
            </w:tcBorders>
            <w:vAlign w:val="center"/>
          </w:tcPr>
          <w:p w14:paraId="3E7D4474"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66B7F61F"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大斑啄木鸟</w:t>
            </w:r>
          </w:p>
        </w:tc>
        <w:tc>
          <w:tcPr>
            <w:tcW w:w="732" w:type="dxa"/>
            <w:tcBorders>
              <w:tl2br w:val="nil"/>
              <w:tr2bl w:val="nil"/>
            </w:tcBorders>
            <w:vAlign w:val="center"/>
          </w:tcPr>
          <w:p w14:paraId="3A69F740"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0E3F32FC"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2993B422"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大斑啄木鸟在中国广泛分布，主要生活于山地、平原的阔叶林、混交林、针叶林，也见于城市公园的树木。白天在树干上攀爬觅食，啄食树干内害虫，攀缘能力强，冬季不南迁，在有树木的区域均可活动</w:t>
            </w:r>
          </w:p>
        </w:tc>
      </w:tr>
      <w:tr w:rsidR="009D12AF" w14:paraId="0F5A7C4B" w14:textId="77777777">
        <w:trPr>
          <w:trHeight w:val="23"/>
          <w:jc w:val="center"/>
        </w:trPr>
        <w:tc>
          <w:tcPr>
            <w:tcW w:w="0" w:type="auto"/>
            <w:vMerge/>
            <w:tcBorders>
              <w:tl2br w:val="nil"/>
              <w:tr2bl w:val="nil"/>
            </w:tcBorders>
            <w:vAlign w:val="center"/>
          </w:tcPr>
          <w:p w14:paraId="123CE2B5"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44D1F46C"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松鸦</w:t>
            </w:r>
          </w:p>
        </w:tc>
        <w:tc>
          <w:tcPr>
            <w:tcW w:w="732" w:type="dxa"/>
            <w:tcBorders>
              <w:tl2br w:val="nil"/>
              <w:tr2bl w:val="nil"/>
            </w:tcBorders>
            <w:vAlign w:val="center"/>
          </w:tcPr>
          <w:p w14:paraId="459AB5B1"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5B3914B3"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37DC0938"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松鸦在中国多地有分布，主要生活于山地、平原的阔叶林、混交林、针叶林，也见于果园及村落旁的疏林。白天在树枝间活动，杂食性，有储存食物习性，叫声嘈杂，冬季不南迁，在栖息地的树林中越冬，可利用储存的食物度过寒冬</w:t>
            </w:r>
          </w:p>
        </w:tc>
      </w:tr>
      <w:tr w:rsidR="009D12AF" w14:paraId="1638D980" w14:textId="77777777">
        <w:trPr>
          <w:trHeight w:val="23"/>
          <w:jc w:val="center"/>
        </w:trPr>
        <w:tc>
          <w:tcPr>
            <w:tcW w:w="0" w:type="auto"/>
            <w:vMerge/>
            <w:tcBorders>
              <w:tl2br w:val="nil"/>
              <w:tr2bl w:val="nil"/>
            </w:tcBorders>
            <w:vAlign w:val="center"/>
          </w:tcPr>
          <w:p w14:paraId="1D5EFFA5"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608231D5"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灰喜鹊</w:t>
            </w:r>
          </w:p>
        </w:tc>
        <w:tc>
          <w:tcPr>
            <w:tcW w:w="732" w:type="dxa"/>
            <w:tcBorders>
              <w:tl2br w:val="nil"/>
              <w:tr2bl w:val="nil"/>
            </w:tcBorders>
            <w:vAlign w:val="center"/>
          </w:tcPr>
          <w:p w14:paraId="7DBEB0DC"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1793EB20"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20AFE033"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灰喜鹊在中国广泛分布，主要生活于山地、平原的阔叶林、混交林，也见于城市公园、小区的树木及农田旁灌丛。常集群活动，白天觅食昆虫、植物种子，对控制农林害虫有作用，冬季不冬眠，在背风向阳的树林中活动</w:t>
            </w:r>
          </w:p>
        </w:tc>
      </w:tr>
      <w:tr w:rsidR="009D12AF" w14:paraId="3E1071AC" w14:textId="77777777">
        <w:trPr>
          <w:trHeight w:val="23"/>
          <w:jc w:val="center"/>
        </w:trPr>
        <w:tc>
          <w:tcPr>
            <w:tcW w:w="0" w:type="auto"/>
            <w:vMerge/>
            <w:tcBorders>
              <w:tl2br w:val="nil"/>
              <w:tr2bl w:val="nil"/>
            </w:tcBorders>
            <w:vAlign w:val="center"/>
          </w:tcPr>
          <w:p w14:paraId="1DFCB63B"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02E7A7CA"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喜鹊</w:t>
            </w:r>
          </w:p>
        </w:tc>
        <w:tc>
          <w:tcPr>
            <w:tcW w:w="732" w:type="dxa"/>
            <w:tcBorders>
              <w:tl2br w:val="nil"/>
              <w:tr2bl w:val="nil"/>
            </w:tcBorders>
            <w:vAlign w:val="center"/>
          </w:tcPr>
          <w:p w14:paraId="0C1CA642"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4222FC75"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533BF41A"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喜鹊在中国广泛分布，主要生活于山地、平原、城市等多种环境，常见于树木、电线杆及村落、小区的高大建筑旁。白天活跃觅食，杂食性，适应能力强，常在高树枝筑巢，全年不冬眠，冬季可在雪地中寻找食物</w:t>
            </w:r>
          </w:p>
        </w:tc>
      </w:tr>
      <w:tr w:rsidR="009D12AF" w14:paraId="1C952808" w14:textId="77777777">
        <w:trPr>
          <w:trHeight w:val="23"/>
          <w:jc w:val="center"/>
        </w:trPr>
        <w:tc>
          <w:tcPr>
            <w:tcW w:w="0" w:type="auto"/>
            <w:vMerge/>
            <w:tcBorders>
              <w:tl2br w:val="nil"/>
              <w:tr2bl w:val="nil"/>
            </w:tcBorders>
            <w:vAlign w:val="center"/>
          </w:tcPr>
          <w:p w14:paraId="17E5A05D"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5F45D132"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大山雀</w:t>
            </w:r>
          </w:p>
        </w:tc>
        <w:tc>
          <w:tcPr>
            <w:tcW w:w="732" w:type="dxa"/>
            <w:tcBorders>
              <w:tl2br w:val="nil"/>
              <w:tr2bl w:val="nil"/>
            </w:tcBorders>
            <w:vAlign w:val="center"/>
          </w:tcPr>
          <w:p w14:paraId="14775AF6"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41E94325"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2CC1A9A0"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大山雀在中国广泛分布，主要生活于山地、平原的阔叶林、混交林、针叶林，也见于城市公园的树木及果园。白天在树枝间活跃觅食，以昆虫为主，动作敏捷，叫声</w:t>
            </w:r>
            <w:r>
              <w:rPr>
                <w:rFonts w:ascii="Times New Roman" w:eastAsia="宋体" w:hAnsi="Times New Roman" w:cs="Times New Roman" w:hint="eastAsia"/>
                <w:color w:val="000000"/>
                <w:kern w:val="0"/>
                <w:sz w:val="21"/>
                <w:szCs w:val="21"/>
              </w:rPr>
              <w:lastRenderedPageBreak/>
              <w:t>清脆，冬季不南迁，在有树木的区域活动</w:t>
            </w:r>
          </w:p>
        </w:tc>
      </w:tr>
      <w:tr w:rsidR="009D12AF" w14:paraId="553C793D" w14:textId="77777777">
        <w:trPr>
          <w:trHeight w:val="23"/>
          <w:jc w:val="center"/>
        </w:trPr>
        <w:tc>
          <w:tcPr>
            <w:tcW w:w="0" w:type="auto"/>
            <w:vMerge/>
            <w:tcBorders>
              <w:tl2br w:val="nil"/>
              <w:tr2bl w:val="nil"/>
            </w:tcBorders>
            <w:vAlign w:val="center"/>
          </w:tcPr>
          <w:p w14:paraId="212D8AA2"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6B2C2684"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沼泽山雀</w:t>
            </w:r>
          </w:p>
        </w:tc>
        <w:tc>
          <w:tcPr>
            <w:tcW w:w="732" w:type="dxa"/>
            <w:tcBorders>
              <w:tl2br w:val="nil"/>
              <w:tr2bl w:val="nil"/>
            </w:tcBorders>
            <w:vAlign w:val="center"/>
          </w:tcPr>
          <w:p w14:paraId="17CE829A"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6875101B"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6DF7C48E"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沼泽山雀在中国主要生活于东北、华北的山地、平原阔叶林、混交林的沼泽地带，也见于河流边的湿生灌丛。常在树枝间穿梭觅食，以昆虫、植物种子为食，体型小巧较难发现，冬季不南迁，在栖息地的灌丛中越冬</w:t>
            </w:r>
          </w:p>
        </w:tc>
      </w:tr>
      <w:tr w:rsidR="009D12AF" w14:paraId="5AE5FCB3" w14:textId="77777777">
        <w:trPr>
          <w:trHeight w:val="23"/>
          <w:jc w:val="center"/>
        </w:trPr>
        <w:tc>
          <w:tcPr>
            <w:tcW w:w="0" w:type="auto"/>
            <w:vMerge/>
            <w:tcBorders>
              <w:tl2br w:val="nil"/>
              <w:tr2bl w:val="nil"/>
            </w:tcBorders>
            <w:vAlign w:val="center"/>
          </w:tcPr>
          <w:p w14:paraId="0C040A88"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1214B011"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麻雀</w:t>
            </w:r>
          </w:p>
        </w:tc>
        <w:tc>
          <w:tcPr>
            <w:tcW w:w="732" w:type="dxa"/>
            <w:tcBorders>
              <w:tl2br w:val="nil"/>
              <w:tr2bl w:val="nil"/>
            </w:tcBorders>
            <w:vAlign w:val="center"/>
          </w:tcPr>
          <w:p w14:paraId="3EB3398B"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7CB35A44"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079ADB91"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麻雀在中国各地均有分布，主要生活于城市、乡村、农田等环境，常见于房屋檐下、电线杆及农田旁灌丛。白天活跃觅食，杂食性，与人类生活密切相关，常成群活动，全年不冬眠，冬季可在人类居住区寻找食物</w:t>
            </w:r>
          </w:p>
        </w:tc>
      </w:tr>
      <w:tr w:rsidR="009D12AF" w14:paraId="20BEF021" w14:textId="77777777">
        <w:trPr>
          <w:trHeight w:val="23"/>
          <w:jc w:val="center"/>
        </w:trPr>
        <w:tc>
          <w:tcPr>
            <w:tcW w:w="0" w:type="auto"/>
            <w:vMerge/>
            <w:tcBorders>
              <w:tl2br w:val="nil"/>
              <w:tr2bl w:val="nil"/>
            </w:tcBorders>
            <w:vAlign w:val="center"/>
          </w:tcPr>
          <w:p w14:paraId="441C539E"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0DC0A028"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长尾雀</w:t>
            </w:r>
          </w:p>
        </w:tc>
        <w:tc>
          <w:tcPr>
            <w:tcW w:w="732" w:type="dxa"/>
            <w:tcBorders>
              <w:tl2br w:val="nil"/>
              <w:tr2bl w:val="nil"/>
            </w:tcBorders>
            <w:vAlign w:val="center"/>
          </w:tcPr>
          <w:p w14:paraId="31CCC425"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178DA054"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2F4C64AC"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长尾雀在中国主要生活于东北、内蒙古的山地、平原针叶林、混交林，也见于草原地带的疏林及灌丛。冬季常结群活动，白天在树枝或地面觅食植物种子，飞行迅速，羽色与冬季环境融合，无需冬眠，可在寒冷地区活动</w:t>
            </w:r>
          </w:p>
        </w:tc>
      </w:tr>
      <w:tr w:rsidR="009D12AF" w14:paraId="2B914BB4" w14:textId="77777777">
        <w:trPr>
          <w:trHeight w:val="23"/>
          <w:jc w:val="center"/>
        </w:trPr>
        <w:tc>
          <w:tcPr>
            <w:tcW w:w="0" w:type="auto"/>
            <w:vMerge/>
            <w:tcBorders>
              <w:tl2br w:val="nil"/>
              <w:tr2bl w:val="nil"/>
            </w:tcBorders>
            <w:vAlign w:val="center"/>
          </w:tcPr>
          <w:p w14:paraId="580EED11"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4FA97F2A"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灰伯劳</w:t>
            </w:r>
          </w:p>
        </w:tc>
        <w:tc>
          <w:tcPr>
            <w:tcW w:w="732" w:type="dxa"/>
            <w:tcBorders>
              <w:tl2br w:val="nil"/>
              <w:tr2bl w:val="nil"/>
            </w:tcBorders>
            <w:vAlign w:val="center"/>
          </w:tcPr>
          <w:p w14:paraId="34804DDE"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39380ECC"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369C7716"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灰伯劳在中国主要生活于东北、华北的山地、平原阔叶林、混交林、灌丛，也见于草原边缘的孤立树枝。常站在高处观察猎物，白天捕食昆虫、小型鸟类，捕食能力强，冬季不南迁，可在寒冷地区活动</w:t>
            </w:r>
          </w:p>
        </w:tc>
      </w:tr>
      <w:tr w:rsidR="009D12AF" w14:paraId="67920975" w14:textId="77777777">
        <w:trPr>
          <w:trHeight w:val="23"/>
          <w:jc w:val="center"/>
        </w:trPr>
        <w:tc>
          <w:tcPr>
            <w:tcW w:w="0" w:type="auto"/>
            <w:vMerge/>
            <w:tcBorders>
              <w:tl2br w:val="nil"/>
              <w:tr2bl w:val="nil"/>
            </w:tcBorders>
            <w:vAlign w:val="center"/>
          </w:tcPr>
          <w:p w14:paraId="00120186"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4DD12FF2"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凤头麦鸡</w:t>
            </w:r>
          </w:p>
        </w:tc>
        <w:tc>
          <w:tcPr>
            <w:tcW w:w="732" w:type="dxa"/>
            <w:tcBorders>
              <w:tl2br w:val="nil"/>
              <w:tr2bl w:val="nil"/>
            </w:tcBorders>
            <w:vAlign w:val="center"/>
          </w:tcPr>
          <w:p w14:paraId="6D292E94"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5FECDF2C"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1D3A7B1F"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凤头麦鸡在中国主要生活于东北、华北的湿地、河滩、农田等开阔地带，也见于水库岸边的草地。白天在地面奔跑觅食，以昆虫、小型无脊椎动物为食，头顶有独特羽冠，冬季南迁到华南温暖湿地越冬</w:t>
            </w:r>
          </w:p>
        </w:tc>
      </w:tr>
      <w:tr w:rsidR="009D12AF" w14:paraId="1F735D00" w14:textId="77777777">
        <w:trPr>
          <w:trHeight w:val="23"/>
          <w:jc w:val="center"/>
        </w:trPr>
        <w:tc>
          <w:tcPr>
            <w:tcW w:w="0" w:type="auto"/>
            <w:vMerge/>
            <w:tcBorders>
              <w:tl2br w:val="nil"/>
              <w:tr2bl w:val="nil"/>
            </w:tcBorders>
            <w:vAlign w:val="center"/>
          </w:tcPr>
          <w:p w14:paraId="6881CC5B"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5689ACC1"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银喉长尾山雀</w:t>
            </w:r>
          </w:p>
        </w:tc>
        <w:tc>
          <w:tcPr>
            <w:tcW w:w="732" w:type="dxa"/>
            <w:tcBorders>
              <w:tl2br w:val="nil"/>
              <w:tr2bl w:val="nil"/>
            </w:tcBorders>
            <w:vAlign w:val="center"/>
          </w:tcPr>
          <w:p w14:paraId="7AB53EF4"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163D047D"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3DE1EDFA"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银喉长尾山雀在中国广泛分布，主要生活于山地、平原的阔叶林、混交林、针叶林，也见于城市公园的树木。常成群活动，白天在树枝间觅食昆虫、植物种子，体型小巧可爱，冬季不南迁，可在寒冷地区活动，集群取暖</w:t>
            </w:r>
          </w:p>
        </w:tc>
      </w:tr>
      <w:tr w:rsidR="009D12AF" w14:paraId="54118F63" w14:textId="77777777">
        <w:trPr>
          <w:trHeight w:val="23"/>
          <w:jc w:val="center"/>
        </w:trPr>
        <w:tc>
          <w:tcPr>
            <w:tcW w:w="0" w:type="auto"/>
            <w:vMerge/>
            <w:tcBorders>
              <w:tl2br w:val="nil"/>
              <w:tr2bl w:val="nil"/>
            </w:tcBorders>
            <w:vAlign w:val="center"/>
          </w:tcPr>
          <w:p w14:paraId="27C37FED"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120F600C"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sz w:val="21"/>
                <w:szCs w:val="21"/>
              </w:rPr>
              <w:t>普通䴓</w:t>
            </w:r>
          </w:p>
        </w:tc>
        <w:tc>
          <w:tcPr>
            <w:tcW w:w="732" w:type="dxa"/>
            <w:tcBorders>
              <w:tl2br w:val="nil"/>
              <w:tr2bl w:val="nil"/>
            </w:tcBorders>
            <w:vAlign w:val="center"/>
          </w:tcPr>
          <w:p w14:paraId="72E461A1"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3E826350"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2B28B76D"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普通䴓在中国广泛分布，主要生活于山地、平原的阔叶林、混交林、针叶林，也见于果园及古树较多的区域。白天在树干上上下攀爬觅食，能头朝下移动，以昆虫、</w:t>
            </w:r>
            <w:r>
              <w:rPr>
                <w:rFonts w:ascii="Times New Roman" w:eastAsia="宋体" w:hAnsi="Times New Roman" w:cs="Times New Roman" w:hint="eastAsia"/>
                <w:color w:val="000000"/>
                <w:kern w:val="0"/>
                <w:sz w:val="21"/>
                <w:szCs w:val="21"/>
              </w:rPr>
              <w:lastRenderedPageBreak/>
              <w:t>植物种子为食，冬季不南迁，在有树木的区域活动</w:t>
            </w:r>
          </w:p>
        </w:tc>
      </w:tr>
      <w:tr w:rsidR="009D12AF" w14:paraId="77F4B56C" w14:textId="77777777">
        <w:trPr>
          <w:trHeight w:val="23"/>
          <w:jc w:val="center"/>
        </w:trPr>
        <w:tc>
          <w:tcPr>
            <w:tcW w:w="0" w:type="auto"/>
            <w:vMerge w:val="restart"/>
            <w:tcBorders>
              <w:tl2br w:val="nil"/>
              <w:tr2bl w:val="nil"/>
            </w:tcBorders>
            <w:vAlign w:val="center"/>
          </w:tcPr>
          <w:p w14:paraId="40B6AB0C"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lastRenderedPageBreak/>
              <w:t>两栖类</w:t>
            </w:r>
          </w:p>
        </w:tc>
        <w:tc>
          <w:tcPr>
            <w:tcW w:w="0" w:type="auto"/>
            <w:tcBorders>
              <w:tl2br w:val="nil"/>
              <w:tr2bl w:val="nil"/>
            </w:tcBorders>
            <w:vAlign w:val="center"/>
          </w:tcPr>
          <w:p w14:paraId="3ACCBC48"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中华蟾蜍</w:t>
            </w:r>
          </w:p>
        </w:tc>
        <w:tc>
          <w:tcPr>
            <w:tcW w:w="732" w:type="dxa"/>
            <w:tcBorders>
              <w:tl2br w:val="nil"/>
              <w:tr2bl w:val="nil"/>
            </w:tcBorders>
            <w:vAlign w:val="center"/>
          </w:tcPr>
          <w:p w14:paraId="5B5FF696"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0B83CFEE"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5ACCA577"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中华蟾蜍在中国广泛分布，主要生活于田野、河边、池塘等潮湿环境，也见于菜园、农田及村落旁的草丛。白天多隐藏，黄昏后活动觅食昆虫，皮肤粗糙有疙瘩，冬季十月开始入蛰，在泥土、石缝中冬眠，耐受低温</w:t>
            </w:r>
          </w:p>
        </w:tc>
      </w:tr>
      <w:tr w:rsidR="009D12AF" w14:paraId="714B09D3" w14:textId="77777777">
        <w:trPr>
          <w:trHeight w:val="23"/>
          <w:jc w:val="center"/>
        </w:trPr>
        <w:tc>
          <w:tcPr>
            <w:tcW w:w="0" w:type="auto"/>
            <w:vMerge/>
            <w:tcBorders>
              <w:tl2br w:val="nil"/>
              <w:tr2bl w:val="nil"/>
            </w:tcBorders>
            <w:vAlign w:val="center"/>
          </w:tcPr>
          <w:p w14:paraId="01E0DF5B"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2AE567EC"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花背蟾蜍</w:t>
            </w:r>
          </w:p>
        </w:tc>
        <w:tc>
          <w:tcPr>
            <w:tcW w:w="732" w:type="dxa"/>
            <w:tcBorders>
              <w:tl2br w:val="nil"/>
              <w:tr2bl w:val="nil"/>
            </w:tcBorders>
            <w:vAlign w:val="center"/>
          </w:tcPr>
          <w:p w14:paraId="3DD0959D"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06088074"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0F34A282"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花背蟾蜍在中国主要生活于北方地区的草原、荒漠边缘、农田，也见于河边、池塘等潮湿环境。白天多隐藏在洞穴或草丛，黄昏后活跃觅食昆虫，背部有独特花斑，冬季入蛰冬眠，在干燥的土穴中度过寒冬</w:t>
            </w:r>
          </w:p>
        </w:tc>
      </w:tr>
      <w:tr w:rsidR="009D12AF" w14:paraId="65981B74" w14:textId="77777777">
        <w:trPr>
          <w:trHeight w:val="23"/>
          <w:jc w:val="center"/>
        </w:trPr>
        <w:tc>
          <w:tcPr>
            <w:tcW w:w="0" w:type="auto"/>
            <w:vMerge w:val="restart"/>
            <w:tcBorders>
              <w:tl2br w:val="nil"/>
              <w:tr2bl w:val="nil"/>
            </w:tcBorders>
            <w:vAlign w:val="center"/>
          </w:tcPr>
          <w:p w14:paraId="66C4D11F"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爬行类</w:t>
            </w:r>
          </w:p>
        </w:tc>
        <w:tc>
          <w:tcPr>
            <w:tcW w:w="0" w:type="auto"/>
            <w:tcBorders>
              <w:tl2br w:val="nil"/>
              <w:tr2bl w:val="nil"/>
            </w:tcBorders>
            <w:vAlign w:val="center"/>
          </w:tcPr>
          <w:p w14:paraId="27977AA3"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黑龙江草蜥</w:t>
            </w:r>
          </w:p>
        </w:tc>
        <w:tc>
          <w:tcPr>
            <w:tcW w:w="732" w:type="dxa"/>
            <w:tcBorders>
              <w:tl2br w:val="nil"/>
              <w:tr2bl w:val="nil"/>
            </w:tcBorders>
            <w:vAlign w:val="center"/>
          </w:tcPr>
          <w:p w14:paraId="79489A06"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黑龙江省级</w:t>
            </w:r>
          </w:p>
        </w:tc>
        <w:tc>
          <w:tcPr>
            <w:tcW w:w="831" w:type="dxa"/>
            <w:tcBorders>
              <w:tl2br w:val="nil"/>
              <w:tr2bl w:val="nil"/>
            </w:tcBorders>
            <w:vAlign w:val="center"/>
          </w:tcPr>
          <w:p w14:paraId="7149DE13"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39D96F85"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黑龙江草蜥在中国主要生活于东北的山地、丘陵草丛、灌丛，也见于农田旁的杂草丛及岩石缝隙。白天活跃，行动敏捷善于攀爬，以昆虫为食，身体细长，尾巴可断落逃生，秋季气温降低后入蛰冬眠，在岩石下或土穴中越冬</w:t>
            </w:r>
          </w:p>
        </w:tc>
      </w:tr>
      <w:tr w:rsidR="009D12AF" w14:paraId="15DC0FA5" w14:textId="77777777">
        <w:trPr>
          <w:trHeight w:val="23"/>
          <w:jc w:val="center"/>
        </w:trPr>
        <w:tc>
          <w:tcPr>
            <w:tcW w:w="0" w:type="auto"/>
            <w:vMerge/>
            <w:tcBorders>
              <w:tl2br w:val="nil"/>
              <w:tr2bl w:val="nil"/>
            </w:tcBorders>
            <w:vAlign w:val="center"/>
          </w:tcPr>
          <w:p w14:paraId="17621EB0"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2A400ED8"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红点锦蛇</w:t>
            </w:r>
          </w:p>
        </w:tc>
        <w:tc>
          <w:tcPr>
            <w:tcW w:w="732" w:type="dxa"/>
            <w:tcBorders>
              <w:tl2br w:val="nil"/>
              <w:tr2bl w:val="nil"/>
            </w:tcBorders>
            <w:vAlign w:val="center"/>
          </w:tcPr>
          <w:p w14:paraId="76864430"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黑龙江省级</w:t>
            </w:r>
          </w:p>
        </w:tc>
        <w:tc>
          <w:tcPr>
            <w:tcW w:w="831" w:type="dxa"/>
            <w:tcBorders>
              <w:tl2br w:val="nil"/>
              <w:tr2bl w:val="nil"/>
            </w:tcBorders>
            <w:vAlign w:val="center"/>
          </w:tcPr>
          <w:p w14:paraId="17F2EFD5"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5DE784BC"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红点锦蛇在中国主要生活于东北、华北的河流、湖泊、稻田等水域附近，也见于菜园、池塘边的草丛。白天和傍晚都出来活动，以鱼类、蛙类为食，体表有红色斑点，无毒，北方地区十月开始入蛰，在泥土或石缝中冬眠</w:t>
            </w:r>
          </w:p>
        </w:tc>
      </w:tr>
      <w:tr w:rsidR="009D12AF" w14:paraId="5DFD51FE" w14:textId="77777777">
        <w:trPr>
          <w:trHeight w:val="23"/>
          <w:jc w:val="center"/>
        </w:trPr>
        <w:tc>
          <w:tcPr>
            <w:tcW w:w="0" w:type="auto"/>
            <w:vMerge/>
            <w:tcBorders>
              <w:tl2br w:val="nil"/>
              <w:tr2bl w:val="nil"/>
            </w:tcBorders>
            <w:vAlign w:val="center"/>
          </w:tcPr>
          <w:p w14:paraId="3650DD45"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57457FF9"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虎斑颈槽蛇</w:t>
            </w:r>
          </w:p>
        </w:tc>
        <w:tc>
          <w:tcPr>
            <w:tcW w:w="732" w:type="dxa"/>
            <w:tcBorders>
              <w:tl2br w:val="nil"/>
              <w:tr2bl w:val="nil"/>
            </w:tcBorders>
            <w:vAlign w:val="center"/>
          </w:tcPr>
          <w:p w14:paraId="204B607B"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黑龙江省级</w:t>
            </w:r>
          </w:p>
        </w:tc>
        <w:tc>
          <w:tcPr>
            <w:tcW w:w="831" w:type="dxa"/>
            <w:tcBorders>
              <w:tl2br w:val="nil"/>
              <w:tr2bl w:val="nil"/>
            </w:tcBorders>
            <w:vAlign w:val="center"/>
          </w:tcPr>
          <w:p w14:paraId="06C10D2D"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37233D8E"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虎斑颈槽蛇在中国广泛分布，主要生活于山地、丘陵、平原的水域附近、灌丛，也见于稻田、池塘边的草丛。白天活跃觅食，以鱼类、蛙类为食，颈部有明显斑纹，冬季北方种群入蛰冬眠，南方种群可短暂活动</w:t>
            </w:r>
          </w:p>
        </w:tc>
      </w:tr>
      <w:tr w:rsidR="009D12AF" w14:paraId="3BD8AC7E" w14:textId="77777777">
        <w:trPr>
          <w:trHeight w:val="23"/>
          <w:jc w:val="center"/>
        </w:trPr>
        <w:tc>
          <w:tcPr>
            <w:tcW w:w="0" w:type="auto"/>
            <w:vMerge/>
            <w:tcBorders>
              <w:tl2br w:val="nil"/>
              <w:tr2bl w:val="nil"/>
            </w:tcBorders>
            <w:vAlign w:val="center"/>
          </w:tcPr>
          <w:p w14:paraId="5A3F5C35"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4BC13C6A"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乌苏里蝮</w:t>
            </w:r>
          </w:p>
        </w:tc>
        <w:tc>
          <w:tcPr>
            <w:tcW w:w="732" w:type="dxa"/>
            <w:tcBorders>
              <w:tl2br w:val="nil"/>
              <w:tr2bl w:val="nil"/>
            </w:tcBorders>
            <w:vAlign w:val="center"/>
          </w:tcPr>
          <w:p w14:paraId="4F377C35"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1EA4E4F5"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36F04D77"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乌苏里蝮在中国主要生活于东北的山地、森林、灌丛，也见于草原边缘的岩石堆及树根下。白天在岩石上晒太阳或隐藏觅食，以鼠类、蛙类为食，是毒蛇，秋季入蛰冬眠，在土穴或岩石缝隙中越冬，耐受低温</w:t>
            </w:r>
          </w:p>
        </w:tc>
      </w:tr>
      <w:tr w:rsidR="009D12AF" w14:paraId="521D578D" w14:textId="77777777">
        <w:trPr>
          <w:trHeight w:val="23"/>
          <w:jc w:val="center"/>
        </w:trPr>
        <w:tc>
          <w:tcPr>
            <w:tcW w:w="0" w:type="auto"/>
            <w:vMerge/>
            <w:tcBorders>
              <w:tl2br w:val="nil"/>
              <w:tr2bl w:val="nil"/>
            </w:tcBorders>
            <w:vAlign w:val="center"/>
          </w:tcPr>
          <w:p w14:paraId="025E2496"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70AE348E"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白条锦蛇</w:t>
            </w:r>
          </w:p>
        </w:tc>
        <w:tc>
          <w:tcPr>
            <w:tcW w:w="732" w:type="dxa"/>
            <w:tcBorders>
              <w:tl2br w:val="nil"/>
              <w:tr2bl w:val="nil"/>
            </w:tcBorders>
            <w:vAlign w:val="center"/>
          </w:tcPr>
          <w:p w14:paraId="66230FEA"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6A267D2A"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619CA972"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白条锦蛇生活于平原、丘陵或山区、草原，它的栖息地耐受性极为广泛，可以在常绿或落叶阔叶林、田野、坟</w:t>
            </w:r>
            <w:r>
              <w:rPr>
                <w:rFonts w:ascii="Times New Roman" w:eastAsia="宋体" w:hAnsi="Times New Roman" w:cs="Times New Roman" w:hint="eastAsia"/>
                <w:color w:val="000000"/>
                <w:kern w:val="0"/>
                <w:sz w:val="21"/>
                <w:szCs w:val="21"/>
              </w:rPr>
              <w:lastRenderedPageBreak/>
              <w:t>堆、草坡、林区、小径两侧、河边及近旁等，也常见于菜园、农家的鸡窝、畜圈附近，有时为捕食鼠类进入老土房。晴天白天和傍晚都出来活动。中国北方地区十月开始入蛰，冬眠温度约</w:t>
            </w:r>
            <w:r>
              <w:rPr>
                <w:rFonts w:ascii="Times New Roman" w:eastAsia="宋体" w:hAnsi="Times New Roman" w:cs="Times New Roman" w:hint="eastAsia"/>
                <w:color w:val="000000"/>
                <w:kern w:val="0"/>
                <w:sz w:val="21"/>
                <w:szCs w:val="21"/>
              </w:rPr>
              <w:t>- 8</w:t>
            </w:r>
            <w:r>
              <w:rPr>
                <w:rFonts w:ascii="Times New Roman" w:eastAsia="宋体" w:hAnsi="Times New Roman" w:cs="Times New Roman" w:hint="eastAsia"/>
                <w:color w:val="000000"/>
                <w:kern w:val="0"/>
                <w:sz w:val="21"/>
                <w:szCs w:val="21"/>
              </w:rPr>
              <w:t>℃</w:t>
            </w:r>
            <w:r>
              <w:rPr>
                <w:rFonts w:ascii="Times New Roman" w:eastAsia="宋体" w:hAnsi="Times New Roman" w:cs="Times New Roman" w:hint="eastAsia"/>
                <w:color w:val="000000"/>
                <w:kern w:val="0"/>
                <w:sz w:val="21"/>
                <w:szCs w:val="21"/>
              </w:rPr>
              <w:t>-15</w:t>
            </w:r>
            <w:r>
              <w:rPr>
                <w:rFonts w:ascii="Times New Roman" w:eastAsia="宋体" w:hAnsi="Times New Roman" w:cs="Times New Roman" w:hint="eastAsia"/>
                <w:color w:val="000000"/>
                <w:kern w:val="0"/>
                <w:sz w:val="21"/>
                <w:szCs w:val="21"/>
              </w:rPr>
              <w:t>℃</w:t>
            </w:r>
          </w:p>
        </w:tc>
      </w:tr>
      <w:tr w:rsidR="009D12AF" w14:paraId="3E7B1964" w14:textId="77777777">
        <w:trPr>
          <w:trHeight w:val="23"/>
          <w:jc w:val="center"/>
        </w:trPr>
        <w:tc>
          <w:tcPr>
            <w:tcW w:w="0" w:type="auto"/>
            <w:vMerge w:val="restart"/>
            <w:tcBorders>
              <w:tl2br w:val="nil"/>
              <w:tr2bl w:val="nil"/>
            </w:tcBorders>
            <w:vAlign w:val="center"/>
          </w:tcPr>
          <w:p w14:paraId="4AB48D98"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lastRenderedPageBreak/>
              <w:t>兽类</w:t>
            </w:r>
          </w:p>
        </w:tc>
        <w:tc>
          <w:tcPr>
            <w:tcW w:w="0" w:type="auto"/>
            <w:tcBorders>
              <w:tl2br w:val="nil"/>
              <w:tr2bl w:val="nil"/>
            </w:tcBorders>
            <w:vAlign w:val="center"/>
          </w:tcPr>
          <w:p w14:paraId="0BA8E41A"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远东</w:t>
            </w:r>
            <w:r>
              <w:rPr>
                <w:rFonts w:ascii="Times New Roman" w:eastAsia="宋体" w:hAnsi="Times New Roman" w:cs="Times New Roman"/>
                <w:color w:val="000000"/>
                <w:kern w:val="0"/>
                <w:sz w:val="21"/>
                <w:szCs w:val="21"/>
              </w:rPr>
              <w:t>刺猬</w:t>
            </w:r>
          </w:p>
        </w:tc>
        <w:tc>
          <w:tcPr>
            <w:tcW w:w="732" w:type="dxa"/>
            <w:tcBorders>
              <w:tl2br w:val="nil"/>
              <w:tr2bl w:val="nil"/>
            </w:tcBorders>
            <w:vAlign w:val="center"/>
          </w:tcPr>
          <w:p w14:paraId="694371CA"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黑龙江省级</w:t>
            </w:r>
          </w:p>
        </w:tc>
        <w:tc>
          <w:tcPr>
            <w:tcW w:w="831" w:type="dxa"/>
            <w:tcBorders>
              <w:tl2br w:val="nil"/>
              <w:tr2bl w:val="nil"/>
            </w:tcBorders>
            <w:vAlign w:val="center"/>
          </w:tcPr>
          <w:p w14:paraId="5B714300"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23243111"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远东刺猬在中国主要生活于东北、华北的山地、森林、灌丛、农田，也见于村落旁的荒地及果园。白天隐藏在洞穴，黄昏后活动觅食昆虫、植物果实，遇到危险蜷缩成一团，冬季入蛰冬眠，在土穴中度过寒冬，耐受低温</w:t>
            </w:r>
          </w:p>
        </w:tc>
      </w:tr>
      <w:tr w:rsidR="009D12AF" w14:paraId="22A98ED0" w14:textId="77777777">
        <w:trPr>
          <w:trHeight w:val="23"/>
          <w:jc w:val="center"/>
        </w:trPr>
        <w:tc>
          <w:tcPr>
            <w:tcW w:w="0" w:type="auto"/>
            <w:vMerge/>
            <w:tcBorders>
              <w:tl2br w:val="nil"/>
              <w:tr2bl w:val="nil"/>
            </w:tcBorders>
            <w:vAlign w:val="center"/>
          </w:tcPr>
          <w:p w14:paraId="1389DE5C"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2B241869"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香鼬</w:t>
            </w:r>
          </w:p>
        </w:tc>
        <w:tc>
          <w:tcPr>
            <w:tcW w:w="732" w:type="dxa"/>
            <w:tcBorders>
              <w:tl2br w:val="nil"/>
              <w:tr2bl w:val="nil"/>
            </w:tcBorders>
            <w:vAlign w:val="center"/>
          </w:tcPr>
          <w:p w14:paraId="22C93556"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黑龙江省级</w:t>
            </w:r>
          </w:p>
        </w:tc>
        <w:tc>
          <w:tcPr>
            <w:tcW w:w="831" w:type="dxa"/>
            <w:tcBorders>
              <w:tl2br w:val="nil"/>
              <w:tr2bl w:val="nil"/>
            </w:tcBorders>
            <w:vAlign w:val="center"/>
          </w:tcPr>
          <w:p w14:paraId="1C0FD8C5"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26FBBDB5"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香鼬在中国主要生活于东北、西北的山地、森林、草原，也见于农田旁的灌丛及岩石堆。白天和夜间都活动，行动敏捷善于捕食鼠类、鸟类，是小型食肉动物，冬季不深度冬眠，仅在极端低温时短暂隐匿，可在雪地中觅食</w:t>
            </w:r>
          </w:p>
        </w:tc>
      </w:tr>
      <w:tr w:rsidR="009D12AF" w14:paraId="0E114051" w14:textId="77777777">
        <w:trPr>
          <w:trHeight w:val="23"/>
          <w:jc w:val="center"/>
        </w:trPr>
        <w:tc>
          <w:tcPr>
            <w:tcW w:w="0" w:type="auto"/>
            <w:vMerge/>
            <w:tcBorders>
              <w:tl2br w:val="nil"/>
              <w:tr2bl w:val="nil"/>
            </w:tcBorders>
            <w:vAlign w:val="center"/>
          </w:tcPr>
          <w:p w14:paraId="5DD89508"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58DA3B15"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黄鼬</w:t>
            </w:r>
          </w:p>
        </w:tc>
        <w:tc>
          <w:tcPr>
            <w:tcW w:w="732" w:type="dxa"/>
            <w:tcBorders>
              <w:tl2br w:val="nil"/>
              <w:tr2bl w:val="nil"/>
            </w:tcBorders>
            <w:vAlign w:val="center"/>
          </w:tcPr>
          <w:p w14:paraId="4719730A"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黑龙江省级</w:t>
            </w:r>
          </w:p>
        </w:tc>
        <w:tc>
          <w:tcPr>
            <w:tcW w:w="831" w:type="dxa"/>
            <w:tcBorders>
              <w:tl2br w:val="nil"/>
              <w:tr2bl w:val="nil"/>
            </w:tcBorders>
            <w:vAlign w:val="center"/>
          </w:tcPr>
          <w:p w14:paraId="365F1B61"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79AA1C6B"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黄鼬在中国广泛分布，主要生活于山地、平原、城市等多种环境，常见于农田、村落、小区的灌丛及房屋周围。白天和夜间都活动，以鼠类为食，有放臭气自卫习性，冬季不冬眠，可在寒冷地区活动，适应能力强</w:t>
            </w:r>
          </w:p>
        </w:tc>
      </w:tr>
      <w:tr w:rsidR="009D12AF" w14:paraId="240E812E" w14:textId="77777777">
        <w:trPr>
          <w:trHeight w:val="23"/>
          <w:jc w:val="center"/>
        </w:trPr>
        <w:tc>
          <w:tcPr>
            <w:tcW w:w="0" w:type="auto"/>
            <w:vMerge/>
            <w:tcBorders>
              <w:tl2br w:val="nil"/>
              <w:tr2bl w:val="nil"/>
            </w:tcBorders>
            <w:vAlign w:val="center"/>
          </w:tcPr>
          <w:p w14:paraId="46DD1840"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2AF82B43"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东北兔</w:t>
            </w:r>
          </w:p>
        </w:tc>
        <w:tc>
          <w:tcPr>
            <w:tcW w:w="732" w:type="dxa"/>
            <w:tcBorders>
              <w:tl2br w:val="nil"/>
              <w:tr2bl w:val="nil"/>
            </w:tcBorders>
            <w:vAlign w:val="center"/>
          </w:tcPr>
          <w:p w14:paraId="0DA08548"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黑龙江省级</w:t>
            </w:r>
          </w:p>
        </w:tc>
        <w:tc>
          <w:tcPr>
            <w:tcW w:w="831" w:type="dxa"/>
            <w:tcBorders>
              <w:tl2br w:val="nil"/>
              <w:tr2bl w:val="nil"/>
            </w:tcBorders>
            <w:vAlign w:val="center"/>
          </w:tcPr>
          <w:p w14:paraId="6225C9C3"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5EBA16EE"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东北兔在中国主要生活于东北的山地、森林、灌丛，也见于草原边缘的疏林及农田旁的杂草丛。白天隐藏，黄昏后活动觅食植物叶、茎、果实，善于奔跑跳跃，冬季毛色变浅，不冬眠，可在雪地中寻找树皮、嫩芽为食</w:t>
            </w:r>
          </w:p>
        </w:tc>
      </w:tr>
      <w:tr w:rsidR="009D12AF" w14:paraId="52E60F73" w14:textId="77777777">
        <w:trPr>
          <w:trHeight w:val="23"/>
          <w:jc w:val="center"/>
        </w:trPr>
        <w:tc>
          <w:tcPr>
            <w:tcW w:w="0" w:type="auto"/>
            <w:vMerge/>
            <w:tcBorders>
              <w:tl2br w:val="nil"/>
              <w:tr2bl w:val="nil"/>
            </w:tcBorders>
            <w:vAlign w:val="center"/>
          </w:tcPr>
          <w:p w14:paraId="5B7E7795"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1DBE7FF9"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松鼠</w:t>
            </w:r>
          </w:p>
        </w:tc>
        <w:tc>
          <w:tcPr>
            <w:tcW w:w="732" w:type="dxa"/>
            <w:tcBorders>
              <w:tl2br w:val="nil"/>
              <w:tr2bl w:val="nil"/>
            </w:tcBorders>
            <w:vAlign w:val="center"/>
          </w:tcPr>
          <w:p w14:paraId="30403C10"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黑龙江省级</w:t>
            </w:r>
          </w:p>
        </w:tc>
        <w:tc>
          <w:tcPr>
            <w:tcW w:w="831" w:type="dxa"/>
            <w:tcBorders>
              <w:tl2br w:val="nil"/>
              <w:tr2bl w:val="nil"/>
            </w:tcBorders>
            <w:vAlign w:val="center"/>
          </w:tcPr>
          <w:p w14:paraId="2B4D0C07"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45D336B1"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松鼠在中国多地有分布，主要生活于森林中，也见于城市公园的树木及果园。白天在树枝间攀爬觅食，以植物种子、果实为食，尾巴蓬松助于平衡，冬季不冬眠，但活动减少，会利用储存的食物在树洞或巢穴中度过寒冷时段</w:t>
            </w:r>
          </w:p>
        </w:tc>
      </w:tr>
      <w:tr w:rsidR="009D12AF" w14:paraId="6B337D70" w14:textId="77777777">
        <w:trPr>
          <w:trHeight w:val="23"/>
          <w:jc w:val="center"/>
        </w:trPr>
        <w:tc>
          <w:tcPr>
            <w:tcW w:w="0" w:type="auto"/>
            <w:vMerge/>
            <w:tcBorders>
              <w:tl2br w:val="nil"/>
              <w:tr2bl w:val="nil"/>
            </w:tcBorders>
            <w:vAlign w:val="center"/>
          </w:tcPr>
          <w:p w14:paraId="5EEB7EE0"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0B6F37E3"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lang w:bidi="ar"/>
              </w:rPr>
            </w:pPr>
            <w:r>
              <w:rPr>
                <w:rFonts w:ascii="Times New Roman" w:eastAsia="宋体" w:hAnsi="Times New Roman" w:cs="Times New Roman" w:hint="eastAsia"/>
                <w:color w:val="000000"/>
                <w:kern w:val="0"/>
                <w:sz w:val="21"/>
                <w:szCs w:val="21"/>
                <w:lang w:bidi="ar"/>
              </w:rPr>
              <w:t>花鼠</w:t>
            </w:r>
          </w:p>
        </w:tc>
        <w:tc>
          <w:tcPr>
            <w:tcW w:w="732" w:type="dxa"/>
            <w:tcBorders>
              <w:tl2br w:val="nil"/>
              <w:tr2bl w:val="nil"/>
            </w:tcBorders>
            <w:vAlign w:val="center"/>
          </w:tcPr>
          <w:p w14:paraId="44BFB124"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08FB9C55"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37A90BB9"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花鼠在中国广泛分布，主要生活于山地、森林、草原、农田等环境，也见于村落旁的灌丛及岩石堆。白天活跃，善于挖掘洞穴，有颊囊储存食物，以植物种子、昆虫为</w:t>
            </w:r>
            <w:r>
              <w:rPr>
                <w:rFonts w:ascii="Times New Roman" w:eastAsia="宋体" w:hAnsi="Times New Roman" w:cs="Times New Roman" w:hint="eastAsia"/>
                <w:color w:val="000000"/>
                <w:kern w:val="0"/>
                <w:sz w:val="21"/>
                <w:szCs w:val="21"/>
              </w:rPr>
              <w:lastRenderedPageBreak/>
              <w:t>食，冬季在洞穴中冬眠，依赖储存的食物度过寒冬</w:t>
            </w:r>
          </w:p>
        </w:tc>
      </w:tr>
      <w:tr w:rsidR="009D12AF" w14:paraId="4A18784F" w14:textId="77777777">
        <w:trPr>
          <w:trHeight w:val="23"/>
          <w:jc w:val="center"/>
        </w:trPr>
        <w:tc>
          <w:tcPr>
            <w:tcW w:w="0" w:type="auto"/>
            <w:vMerge/>
            <w:tcBorders>
              <w:tl2br w:val="nil"/>
              <w:tr2bl w:val="nil"/>
            </w:tcBorders>
            <w:vAlign w:val="center"/>
          </w:tcPr>
          <w:p w14:paraId="31602B99" w14:textId="77777777" w:rsidR="009D12AF" w:rsidRDefault="009D12AF">
            <w:pPr>
              <w:widowControl/>
              <w:adjustRightInd w:val="0"/>
              <w:snapToGrid w:val="0"/>
              <w:ind w:firstLineChars="0" w:firstLine="0"/>
              <w:jc w:val="center"/>
              <w:rPr>
                <w:rFonts w:ascii="Times New Roman" w:eastAsia="宋体" w:hAnsi="Times New Roman" w:cs="Times New Roman"/>
                <w:color w:val="000000"/>
                <w:kern w:val="0"/>
                <w:sz w:val="21"/>
                <w:szCs w:val="21"/>
              </w:rPr>
            </w:pPr>
          </w:p>
        </w:tc>
        <w:tc>
          <w:tcPr>
            <w:tcW w:w="0" w:type="auto"/>
            <w:tcBorders>
              <w:tl2br w:val="nil"/>
              <w:tr2bl w:val="nil"/>
            </w:tcBorders>
            <w:vAlign w:val="center"/>
          </w:tcPr>
          <w:p w14:paraId="51755470"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lang w:bidi="ar"/>
              </w:rPr>
            </w:pPr>
            <w:r>
              <w:rPr>
                <w:rFonts w:ascii="Times New Roman" w:eastAsia="宋体" w:hAnsi="Times New Roman" w:cs="Times New Roman"/>
                <w:color w:val="000000"/>
                <w:kern w:val="0"/>
                <w:sz w:val="21"/>
                <w:szCs w:val="21"/>
                <w:lang w:bidi="ar"/>
              </w:rPr>
              <w:t>狍</w:t>
            </w:r>
          </w:p>
        </w:tc>
        <w:tc>
          <w:tcPr>
            <w:tcW w:w="732" w:type="dxa"/>
            <w:tcBorders>
              <w:tl2br w:val="nil"/>
              <w:tr2bl w:val="nil"/>
            </w:tcBorders>
            <w:vAlign w:val="center"/>
          </w:tcPr>
          <w:p w14:paraId="1D352DF2"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w:t>
            </w:r>
          </w:p>
        </w:tc>
        <w:tc>
          <w:tcPr>
            <w:tcW w:w="831" w:type="dxa"/>
            <w:tcBorders>
              <w:tl2br w:val="nil"/>
              <w:tr2bl w:val="nil"/>
            </w:tcBorders>
            <w:vAlign w:val="center"/>
          </w:tcPr>
          <w:p w14:paraId="1C306DEA" w14:textId="77777777" w:rsidR="009D12AF" w:rsidRDefault="00000000">
            <w:pPr>
              <w:widowControl/>
              <w:adjustRightInd w:val="0"/>
              <w:snapToGrid w:val="0"/>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是</w:t>
            </w:r>
          </w:p>
        </w:tc>
        <w:tc>
          <w:tcPr>
            <w:tcW w:w="5251" w:type="dxa"/>
            <w:tcBorders>
              <w:tl2br w:val="nil"/>
              <w:tr2bl w:val="nil"/>
            </w:tcBorders>
            <w:vAlign w:val="center"/>
          </w:tcPr>
          <w:p w14:paraId="08F56B0D" w14:textId="77777777" w:rsidR="009D12AF" w:rsidRDefault="00000000">
            <w:pPr>
              <w:widowControl/>
              <w:adjustRightInd w:val="0"/>
              <w:snapToGrid w:val="0"/>
              <w:ind w:firstLineChars="0" w:firstLine="0"/>
              <w:jc w:val="left"/>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栖息在不同类型的落叶林和混交林以及森林草原上，活跃在疏林带、河谷及缓坡上。由雌狍及其后代构成家族群，通常</w:t>
            </w:r>
            <w:r>
              <w:rPr>
                <w:rFonts w:ascii="Times New Roman" w:eastAsia="宋体" w:hAnsi="Times New Roman" w:cs="Times New Roman" w:hint="eastAsia"/>
                <w:color w:val="000000"/>
                <w:kern w:val="0"/>
                <w:sz w:val="21"/>
                <w:szCs w:val="21"/>
              </w:rPr>
              <w:t>3-5</w:t>
            </w:r>
            <w:r>
              <w:rPr>
                <w:rFonts w:ascii="Times New Roman" w:eastAsia="宋体" w:hAnsi="Times New Roman" w:cs="Times New Roman" w:hint="eastAsia"/>
                <w:color w:val="000000"/>
                <w:kern w:val="0"/>
                <w:sz w:val="21"/>
                <w:szCs w:val="21"/>
              </w:rPr>
              <w:t>只，雄狍仲夏才入群。晨昏活动，晚上最活跃。食草动物。雄狍角冬天脱落，新角最迟</w:t>
            </w:r>
            <w:r>
              <w:rPr>
                <w:rFonts w:ascii="Times New Roman" w:eastAsia="宋体" w:hAnsi="Times New Roman" w:cs="Times New Roman" w:hint="eastAsia"/>
                <w:color w:val="000000"/>
                <w:kern w:val="0"/>
                <w:sz w:val="21"/>
                <w:szCs w:val="21"/>
              </w:rPr>
              <w:t>3</w:t>
            </w:r>
            <w:r>
              <w:rPr>
                <w:rFonts w:ascii="Times New Roman" w:eastAsia="宋体" w:hAnsi="Times New Roman" w:cs="Times New Roman" w:hint="eastAsia"/>
                <w:color w:val="000000"/>
                <w:kern w:val="0"/>
                <w:sz w:val="21"/>
                <w:szCs w:val="21"/>
              </w:rPr>
              <w:t>月开始生长，</w:t>
            </w:r>
            <w:r>
              <w:rPr>
                <w:rFonts w:ascii="Times New Roman" w:eastAsia="宋体" w:hAnsi="Times New Roman" w:cs="Times New Roman" w:hint="eastAsia"/>
                <w:color w:val="000000"/>
                <w:kern w:val="0"/>
                <w:sz w:val="21"/>
                <w:szCs w:val="21"/>
              </w:rPr>
              <w:t>6</w:t>
            </w:r>
            <w:r>
              <w:rPr>
                <w:rFonts w:ascii="Times New Roman" w:eastAsia="宋体" w:hAnsi="Times New Roman" w:cs="Times New Roman" w:hint="eastAsia"/>
                <w:color w:val="000000"/>
                <w:kern w:val="0"/>
                <w:sz w:val="21"/>
                <w:szCs w:val="21"/>
              </w:rPr>
              <w:t>、</w:t>
            </w:r>
            <w:r>
              <w:rPr>
                <w:rFonts w:ascii="Times New Roman" w:eastAsia="宋体" w:hAnsi="Times New Roman" w:cs="Times New Roman" w:hint="eastAsia"/>
                <w:color w:val="000000"/>
                <w:kern w:val="0"/>
                <w:sz w:val="21"/>
                <w:szCs w:val="21"/>
              </w:rPr>
              <w:t>7</w:t>
            </w:r>
            <w:r>
              <w:rPr>
                <w:rFonts w:ascii="Times New Roman" w:eastAsia="宋体" w:hAnsi="Times New Roman" w:cs="Times New Roman" w:hint="eastAsia"/>
                <w:color w:val="000000"/>
                <w:kern w:val="0"/>
                <w:sz w:val="21"/>
                <w:szCs w:val="21"/>
              </w:rPr>
              <w:t>月长成，此时进入发情期。雄狍用角剥开树皮并留下前额臭腺的分泌物作为自己地盘的标志。狍通常是双胞胎。</w:t>
            </w:r>
          </w:p>
        </w:tc>
      </w:tr>
    </w:tbl>
    <w:p w14:paraId="27CC5D72"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四、迁徙物种</w:t>
      </w:r>
    </w:p>
    <w:p w14:paraId="6629A3B9" w14:textId="77777777" w:rsidR="009D12AF" w:rsidRDefault="00000000">
      <w:pPr>
        <w:ind w:firstLine="480"/>
      </w:pPr>
      <w:r>
        <w:rPr>
          <w:rFonts w:hint="eastAsia"/>
        </w:rPr>
        <w:t>（</w:t>
      </w:r>
      <w:r>
        <w:rPr>
          <w:rFonts w:hint="eastAsia"/>
        </w:rPr>
        <w:t>1</w:t>
      </w:r>
      <w:r>
        <w:rPr>
          <w:rFonts w:hint="eastAsia"/>
        </w:rPr>
        <w:t>）类型</w:t>
      </w:r>
    </w:p>
    <w:p w14:paraId="667ACAB8" w14:textId="77777777" w:rsidR="009D12AF" w:rsidRDefault="00000000">
      <w:pPr>
        <w:ind w:firstLine="480"/>
      </w:pPr>
      <w:r>
        <w:t>评价范围及周边的迁徙动物主要为鸟类，按其是否迁徙可分为留鸟和候鸟两大类。评价范围内候鸟有</w:t>
      </w:r>
      <w:r>
        <w:rPr>
          <w:rFonts w:hint="eastAsia"/>
        </w:rPr>
        <w:t>3</w:t>
      </w:r>
      <w:r>
        <w:t>3</w:t>
      </w:r>
      <w:r>
        <w:t>种，占鸟类总数的</w:t>
      </w:r>
      <w:r>
        <w:rPr>
          <w:rFonts w:hint="eastAsia"/>
        </w:rPr>
        <w:t>7</w:t>
      </w:r>
      <w:r>
        <w:t>3.33%</w:t>
      </w:r>
      <w:r>
        <w:t>，留鸟</w:t>
      </w:r>
      <w:r>
        <w:rPr>
          <w:rFonts w:hint="eastAsia"/>
        </w:rPr>
        <w:t>1</w:t>
      </w:r>
      <w:r>
        <w:t>2</w:t>
      </w:r>
      <w:r>
        <w:t>种，占鸟类总数的</w:t>
      </w:r>
      <w:r>
        <w:rPr>
          <w:rFonts w:hint="eastAsia"/>
        </w:rPr>
        <w:t>2</w:t>
      </w:r>
      <w:r>
        <w:t>6.67%</w:t>
      </w:r>
      <w:r>
        <w:rPr>
          <w:rFonts w:hint="eastAsia"/>
        </w:rPr>
        <w:t>。</w:t>
      </w:r>
      <w:r>
        <w:t>迁徙候鸟可大致分为夏候鸟、冬候鸟和旅鸟三种类型，夏候鸟有</w:t>
      </w:r>
      <w:r>
        <w:t>27</w:t>
      </w:r>
      <w:r>
        <w:t>种，占总数的</w:t>
      </w:r>
      <w:r>
        <w:rPr>
          <w:rFonts w:hint="eastAsia"/>
        </w:rPr>
        <w:t>6</w:t>
      </w:r>
      <w:r>
        <w:t>0%</w:t>
      </w:r>
      <w:r>
        <w:t>，夏候鸟中有</w:t>
      </w:r>
      <w:r>
        <w:rPr>
          <w:rFonts w:hint="eastAsia"/>
        </w:rPr>
        <w:t>红隼、鸳鸯、中华秋沙鸭、东方白鹳</w:t>
      </w:r>
      <w:r>
        <w:rPr>
          <w:rFonts w:hint="eastAsia"/>
        </w:rPr>
        <w:t>4</w:t>
      </w:r>
      <w:r>
        <w:t>种</w:t>
      </w:r>
      <w:r>
        <w:rPr>
          <w:rFonts w:hint="eastAsia"/>
        </w:rPr>
        <w:t>国家</w:t>
      </w:r>
      <w:r>
        <w:t>重点保护野生动物；</w:t>
      </w:r>
      <w:r>
        <w:rPr>
          <w:rFonts w:hint="eastAsia"/>
        </w:rPr>
        <w:t>冬候鸟有</w:t>
      </w:r>
      <w:r>
        <w:rPr>
          <w:rFonts w:hint="eastAsia"/>
        </w:rPr>
        <w:t>2</w:t>
      </w:r>
      <w:r>
        <w:rPr>
          <w:rFonts w:hint="eastAsia"/>
        </w:rPr>
        <w:t>种，占总数的</w:t>
      </w:r>
      <w:r>
        <w:rPr>
          <w:rFonts w:hint="eastAsia"/>
        </w:rPr>
        <w:t>4</w:t>
      </w:r>
      <w:r>
        <w:t>.4%</w:t>
      </w:r>
      <w:r>
        <w:rPr>
          <w:rFonts w:hint="eastAsia"/>
        </w:rPr>
        <w:t>；</w:t>
      </w:r>
      <w:r>
        <w:t>旅鸟</w:t>
      </w:r>
      <w:r>
        <w:t>4</w:t>
      </w:r>
      <w:r>
        <w:t>种，占总数的</w:t>
      </w:r>
      <w:r>
        <w:t>8.9%</w:t>
      </w:r>
      <w:r>
        <w:rPr>
          <w:rFonts w:hint="eastAsia"/>
        </w:rPr>
        <w:t>；留鸟</w:t>
      </w:r>
      <w:r>
        <w:rPr>
          <w:rFonts w:hint="eastAsia"/>
        </w:rPr>
        <w:t>1</w:t>
      </w:r>
      <w:r>
        <w:t>2</w:t>
      </w:r>
      <w:r>
        <w:rPr>
          <w:rFonts w:hint="eastAsia"/>
        </w:rPr>
        <w:t>种，占鸟类总数的</w:t>
      </w:r>
      <w:r>
        <w:rPr>
          <w:rFonts w:hint="eastAsia"/>
        </w:rPr>
        <w:t>2</w:t>
      </w:r>
      <w:r>
        <w:t>6.7%</w:t>
      </w:r>
      <w:r>
        <w:rPr>
          <w:rFonts w:hint="eastAsia"/>
        </w:rPr>
        <w:t>。</w:t>
      </w:r>
      <w:r>
        <w:t>详见表</w:t>
      </w:r>
      <w:r>
        <w:t>2</w:t>
      </w:r>
      <w:r>
        <w:rPr>
          <w:rFonts w:hint="eastAsia"/>
        </w:rPr>
        <w:t>.</w:t>
      </w:r>
      <w:r>
        <w:t>1</w:t>
      </w:r>
      <w:r>
        <w:rPr>
          <w:rFonts w:hint="eastAsia"/>
        </w:rPr>
        <w:t>-</w:t>
      </w:r>
      <w:r>
        <w:t>19</w:t>
      </w:r>
      <w:r>
        <w:t>。</w:t>
      </w:r>
    </w:p>
    <w:p w14:paraId="0FBFDEDF" w14:textId="77777777" w:rsidR="009D12AF" w:rsidRDefault="00000000">
      <w:pPr>
        <w:ind w:firstLine="480"/>
      </w:pPr>
      <w:r>
        <w:t>夏候鸟</w:t>
      </w:r>
      <w:r>
        <w:rPr>
          <w:rFonts w:hint="eastAsia"/>
        </w:rPr>
        <w:t>：</w:t>
      </w:r>
      <w:r>
        <w:t>在</w:t>
      </w:r>
      <w:r>
        <w:t>4</w:t>
      </w:r>
      <w:r>
        <w:t>～</w:t>
      </w:r>
      <w:r>
        <w:t>5</w:t>
      </w:r>
      <w:r>
        <w:t>月份从低纬度的繁殖地迁来繁殖，</w:t>
      </w:r>
      <w:r>
        <w:t>9</w:t>
      </w:r>
      <w:r>
        <w:t>～</w:t>
      </w:r>
      <w:r>
        <w:t>10</w:t>
      </w:r>
      <w:r>
        <w:t>月份再返回低纬度的越冬地进行越冬。</w:t>
      </w:r>
    </w:p>
    <w:p w14:paraId="4ED5C550" w14:textId="77777777" w:rsidR="009D12AF" w:rsidRDefault="00000000">
      <w:pPr>
        <w:ind w:firstLine="480"/>
      </w:pPr>
      <w:r>
        <w:rPr>
          <w:rFonts w:hint="eastAsia"/>
        </w:rPr>
        <w:t>留鸟：终年生活在一个地区，不随季节迁徙的鸟统称留鸟。它们通常终年在其出生地（或称繁殖区）内生活。</w:t>
      </w:r>
    </w:p>
    <w:p w14:paraId="79FF5FA8" w14:textId="77777777" w:rsidR="009D12AF" w:rsidRDefault="00000000">
      <w:pPr>
        <w:ind w:firstLine="480"/>
      </w:pPr>
      <w:r>
        <w:rPr>
          <w:rFonts w:hint="eastAsia"/>
        </w:rPr>
        <w:t>冬候鸟：每年</w:t>
      </w:r>
      <w:r>
        <w:rPr>
          <w:rFonts w:hint="eastAsia"/>
        </w:rPr>
        <w:t>11</w:t>
      </w:r>
      <w:r>
        <w:rPr>
          <w:rFonts w:hint="eastAsia"/>
        </w:rPr>
        <w:t>月至次年</w:t>
      </w:r>
      <w:r>
        <w:rPr>
          <w:rFonts w:hint="eastAsia"/>
        </w:rPr>
        <w:t>2</w:t>
      </w:r>
      <w:r>
        <w:rPr>
          <w:rFonts w:hint="eastAsia"/>
        </w:rPr>
        <w:t>月在此评价范围内栖息。</w:t>
      </w:r>
    </w:p>
    <w:p w14:paraId="5505A8D1" w14:textId="77777777" w:rsidR="009D12AF" w:rsidRDefault="00000000">
      <w:pPr>
        <w:ind w:firstLine="480"/>
      </w:pPr>
      <w:r>
        <w:t>旅鸟</w:t>
      </w:r>
      <w:r>
        <w:rPr>
          <w:rFonts w:hint="eastAsia"/>
        </w:rPr>
        <w:t>：</w:t>
      </w:r>
      <w:r>
        <w:t>在繁殖期</w:t>
      </w:r>
      <w:r>
        <w:t>4</w:t>
      </w:r>
      <w:r>
        <w:t>～</w:t>
      </w:r>
      <w:r>
        <w:t>5</w:t>
      </w:r>
      <w:r>
        <w:t>月份迁到繁殖地时路过本评价区，稍事停留，一般在</w:t>
      </w:r>
      <w:r>
        <w:t>1</w:t>
      </w:r>
      <w:r>
        <w:t>周左右。补充食物后，会再次向繁殖地进行迁徙。</w:t>
      </w:r>
      <w:r>
        <w:t>9</w:t>
      </w:r>
      <w:r>
        <w:t>～</w:t>
      </w:r>
      <w:r>
        <w:rPr>
          <w:rFonts w:hint="eastAsia"/>
        </w:rPr>
        <w:t>1</w:t>
      </w:r>
      <w:r>
        <w:t>0</w:t>
      </w:r>
      <w:r>
        <w:t>月份从繁殖地向越冬地迁徙时同样是路过本评价区，稍事停留、补充食物后，会再次向越冬地进行迁徙。</w:t>
      </w:r>
    </w:p>
    <w:p w14:paraId="552A2C45" w14:textId="77777777" w:rsidR="009D12AF" w:rsidRDefault="00000000">
      <w:pPr>
        <w:spacing w:line="600" w:lineRule="exact"/>
        <w:ind w:firstLine="480"/>
        <w:jc w:val="center"/>
        <w:rPr>
          <w:rFonts w:ascii="Arial" w:eastAsia="黑体" w:hAnsi="Arial" w:cs="Arial"/>
        </w:rPr>
      </w:pPr>
      <w:bookmarkStart w:id="324" w:name="_Hlk177845289"/>
      <w:r>
        <w:rPr>
          <w:rFonts w:ascii="Arial" w:eastAsia="黑体" w:hAnsi="Arial" w:cs="Arial" w:hint="eastAsia"/>
        </w:rPr>
        <w:lastRenderedPageBreak/>
        <w:t>表</w:t>
      </w:r>
      <w:r>
        <w:rPr>
          <w:rFonts w:ascii="Arial" w:eastAsia="黑体" w:hAnsi="Arial" w:cs="Arial" w:hint="eastAsia"/>
        </w:rPr>
        <w:t xml:space="preserve">4.3-60  </w:t>
      </w:r>
      <w:r>
        <w:rPr>
          <w:rFonts w:ascii="Arial" w:eastAsia="黑体" w:hAnsi="Arial" w:cs="Arial" w:hint="eastAsia"/>
        </w:rPr>
        <w:t>迁徙物种名录</w:t>
      </w:r>
    </w:p>
    <w:tbl>
      <w:tblPr>
        <w:tblW w:w="4999"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66"/>
        <w:gridCol w:w="7554"/>
      </w:tblGrid>
      <w:tr w:rsidR="009D12AF" w14:paraId="092E0A28" w14:textId="77777777">
        <w:trPr>
          <w:jc w:val="center"/>
        </w:trPr>
        <w:tc>
          <w:tcPr>
            <w:tcW w:w="567" w:type="pct"/>
            <w:tcBorders>
              <w:tl2br w:val="nil"/>
              <w:tr2bl w:val="nil"/>
            </w:tcBorders>
            <w:vAlign w:val="center"/>
          </w:tcPr>
          <w:bookmarkEnd w:id="324"/>
          <w:p w14:paraId="4DF144C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夏候鸟</w:t>
            </w:r>
          </w:p>
        </w:tc>
        <w:tc>
          <w:tcPr>
            <w:tcW w:w="4433" w:type="pct"/>
            <w:tcBorders>
              <w:tl2br w:val="nil"/>
              <w:tr2bl w:val="nil"/>
            </w:tcBorders>
            <w:vAlign w:val="center"/>
          </w:tcPr>
          <w:p w14:paraId="3BE988B3" w14:textId="77777777" w:rsidR="009D12AF" w:rsidRDefault="00000000">
            <w:pPr>
              <w:widowControl/>
              <w:adjustRightInd w:val="0"/>
              <w:snapToGrid w:val="0"/>
              <w:ind w:firstLineChars="0" w:firstLine="0"/>
              <w:jc w:val="center"/>
              <w:rPr>
                <w:rFonts w:ascii="宋体" w:eastAsia="宋体" w:hAnsi="宋体" w:cs="Times New Roman" w:hint="eastAsia"/>
                <w:sz w:val="21"/>
                <w:szCs w:val="21"/>
              </w:rPr>
            </w:pPr>
            <w:r>
              <w:rPr>
                <w:rFonts w:ascii="宋体" w:eastAsia="宋体" w:hAnsi="宋体" w:cs="Times New Roman"/>
                <w:sz w:val="21"/>
                <w:szCs w:val="21"/>
              </w:rPr>
              <w:t>普通鸬鹚</w:t>
            </w:r>
            <w:r>
              <w:rPr>
                <w:rFonts w:ascii="宋体" w:eastAsia="宋体" w:hAnsi="宋体" w:cs="Times New Roman" w:hint="eastAsia"/>
                <w:sz w:val="21"/>
                <w:szCs w:val="21"/>
              </w:rPr>
              <w:t>、苍鹭、</w:t>
            </w:r>
            <w:bookmarkStart w:id="325" w:name="_Hlk208051067"/>
            <w:r>
              <w:rPr>
                <w:rFonts w:ascii="宋体" w:eastAsia="宋体" w:hAnsi="宋体" w:cs="Times New Roman" w:hint="eastAsia"/>
                <w:sz w:val="21"/>
                <w:szCs w:val="21"/>
              </w:rPr>
              <w:t>红隼</w:t>
            </w:r>
            <w:bookmarkEnd w:id="325"/>
            <w:r>
              <w:rPr>
                <w:rFonts w:ascii="宋体" w:eastAsia="宋体" w:hAnsi="宋体" w:cs="Times New Roman" w:hint="eastAsia"/>
                <w:sz w:val="21"/>
                <w:szCs w:val="21"/>
              </w:rPr>
              <w:t>、鹌鹑、</w:t>
            </w:r>
            <w:r>
              <w:rPr>
                <w:rFonts w:ascii="宋体" w:eastAsia="宋体" w:hAnsi="宋体" w:cs="Times New Roman"/>
                <w:sz w:val="21"/>
                <w:szCs w:val="21"/>
              </w:rPr>
              <w:t>普通秧鸡</w:t>
            </w:r>
            <w:r>
              <w:rPr>
                <w:rFonts w:ascii="宋体" w:eastAsia="宋体" w:hAnsi="宋体" w:cs="Times New Roman" w:hint="eastAsia"/>
                <w:sz w:val="21"/>
                <w:szCs w:val="21"/>
              </w:rPr>
              <w:t>、</w:t>
            </w:r>
            <w:r>
              <w:rPr>
                <w:rFonts w:ascii="宋体" w:eastAsia="宋体" w:hAnsi="宋体" w:cs="Times New Roman"/>
                <w:sz w:val="21"/>
                <w:szCs w:val="21"/>
              </w:rPr>
              <w:t>金眶鸻</w:t>
            </w:r>
            <w:r>
              <w:rPr>
                <w:rFonts w:ascii="宋体" w:eastAsia="宋体" w:hAnsi="宋体" w:cs="Times New Roman" w:hint="eastAsia"/>
                <w:sz w:val="21"/>
                <w:szCs w:val="21"/>
              </w:rPr>
              <w:t>、</w:t>
            </w:r>
            <w:r>
              <w:rPr>
                <w:rFonts w:ascii="宋体" w:eastAsia="宋体" w:hAnsi="宋体" w:cs="Times New Roman"/>
                <w:sz w:val="21"/>
                <w:szCs w:val="21"/>
              </w:rPr>
              <w:t>林鹬</w:t>
            </w:r>
            <w:r>
              <w:rPr>
                <w:rFonts w:ascii="宋体" w:eastAsia="宋体" w:hAnsi="宋体" w:cs="Times New Roman" w:hint="eastAsia"/>
                <w:sz w:val="21"/>
                <w:szCs w:val="21"/>
              </w:rPr>
              <w:t>、</w:t>
            </w:r>
            <w:r>
              <w:rPr>
                <w:rFonts w:ascii="宋体" w:eastAsia="宋体" w:hAnsi="宋体" w:cs="Times New Roman"/>
                <w:sz w:val="21"/>
                <w:szCs w:val="21"/>
              </w:rPr>
              <w:t>矶鹬</w:t>
            </w:r>
            <w:r>
              <w:rPr>
                <w:rFonts w:ascii="宋体" w:eastAsia="宋体" w:hAnsi="宋体" w:cs="Times New Roman" w:hint="eastAsia"/>
                <w:sz w:val="21"/>
                <w:szCs w:val="21"/>
              </w:rPr>
              <w:t>、</w:t>
            </w:r>
            <w:r>
              <w:rPr>
                <w:rFonts w:ascii="宋体" w:eastAsia="宋体" w:hAnsi="宋体" w:cs="Times New Roman"/>
                <w:sz w:val="21"/>
                <w:szCs w:val="21"/>
              </w:rPr>
              <w:t>山斑鸠</w:t>
            </w:r>
            <w:r>
              <w:rPr>
                <w:rFonts w:ascii="宋体" w:eastAsia="宋体" w:hAnsi="宋体" w:cs="Times New Roman" w:hint="eastAsia"/>
                <w:sz w:val="21"/>
                <w:szCs w:val="21"/>
              </w:rPr>
              <w:t>、</w:t>
            </w:r>
            <w:r>
              <w:rPr>
                <w:rFonts w:ascii="宋体" w:eastAsia="宋体" w:hAnsi="宋体" w:cs="Times New Roman"/>
                <w:sz w:val="21"/>
                <w:szCs w:val="21"/>
              </w:rPr>
              <w:t>大杜鹃</w:t>
            </w:r>
            <w:r>
              <w:rPr>
                <w:rFonts w:ascii="宋体" w:eastAsia="宋体" w:hAnsi="宋体" w:cs="Times New Roman" w:hint="eastAsia"/>
                <w:sz w:val="21"/>
                <w:szCs w:val="21"/>
              </w:rPr>
              <w:t>、</w:t>
            </w:r>
            <w:r>
              <w:rPr>
                <w:rFonts w:ascii="宋体" w:eastAsia="宋体" w:hAnsi="宋体" w:cs="Times New Roman"/>
                <w:sz w:val="21"/>
                <w:szCs w:val="21"/>
              </w:rPr>
              <w:t>中杜鹃</w:t>
            </w:r>
            <w:r>
              <w:rPr>
                <w:rFonts w:ascii="宋体" w:eastAsia="宋体" w:hAnsi="宋体" w:cs="Times New Roman" w:hint="eastAsia"/>
                <w:sz w:val="21"/>
                <w:szCs w:val="21"/>
              </w:rPr>
              <w:t>、</w:t>
            </w:r>
            <w:r>
              <w:rPr>
                <w:rFonts w:ascii="宋体" w:eastAsia="宋体" w:hAnsi="宋体" w:cs="Times New Roman"/>
                <w:sz w:val="21"/>
                <w:szCs w:val="21"/>
              </w:rPr>
              <w:t>四声杜鹃</w:t>
            </w:r>
            <w:r>
              <w:rPr>
                <w:rFonts w:ascii="宋体" w:eastAsia="宋体" w:hAnsi="宋体" w:cs="Times New Roman" w:hint="eastAsia"/>
                <w:sz w:val="21"/>
                <w:szCs w:val="21"/>
              </w:rPr>
              <w:t>、</w:t>
            </w:r>
            <w:r>
              <w:rPr>
                <w:rFonts w:ascii="宋体" w:eastAsia="宋体" w:hAnsi="宋体" w:cs="Times New Roman"/>
                <w:sz w:val="21"/>
                <w:szCs w:val="21"/>
              </w:rPr>
              <w:t>普通翠鸟</w:t>
            </w:r>
            <w:r>
              <w:rPr>
                <w:rFonts w:ascii="宋体" w:eastAsia="宋体" w:hAnsi="宋体" w:cs="Times New Roman" w:hint="eastAsia"/>
                <w:sz w:val="21"/>
                <w:szCs w:val="21"/>
              </w:rPr>
              <w:t>、</w:t>
            </w:r>
            <w:r>
              <w:rPr>
                <w:rFonts w:ascii="宋体" w:eastAsia="宋体" w:hAnsi="宋体" w:cs="Times New Roman"/>
                <w:sz w:val="21"/>
                <w:szCs w:val="21"/>
              </w:rPr>
              <w:t>灰沙燕</w:t>
            </w:r>
            <w:r>
              <w:rPr>
                <w:rFonts w:ascii="宋体" w:eastAsia="宋体" w:hAnsi="宋体" w:cs="Times New Roman" w:hint="eastAsia"/>
                <w:sz w:val="21"/>
                <w:szCs w:val="21"/>
              </w:rPr>
              <w:t>、</w:t>
            </w:r>
            <w:r>
              <w:rPr>
                <w:rFonts w:ascii="宋体" w:eastAsia="宋体" w:hAnsi="宋体" w:cs="Times New Roman"/>
                <w:sz w:val="21"/>
                <w:szCs w:val="21"/>
              </w:rPr>
              <w:t>灰鹡鸰</w:t>
            </w:r>
            <w:r>
              <w:rPr>
                <w:rFonts w:ascii="宋体" w:eastAsia="宋体" w:hAnsi="宋体" w:cs="Times New Roman" w:hint="eastAsia"/>
                <w:sz w:val="21"/>
                <w:szCs w:val="21"/>
              </w:rPr>
              <w:t>、</w:t>
            </w:r>
            <w:r>
              <w:rPr>
                <w:rFonts w:ascii="宋体" w:eastAsia="宋体" w:hAnsi="宋体" w:cs="Times New Roman"/>
                <w:sz w:val="21"/>
                <w:szCs w:val="21"/>
              </w:rPr>
              <w:t>白鹡鸰</w:t>
            </w:r>
            <w:r>
              <w:rPr>
                <w:rFonts w:ascii="宋体" w:eastAsia="宋体" w:hAnsi="宋体" w:cs="Times New Roman" w:hint="eastAsia"/>
                <w:sz w:val="21"/>
                <w:szCs w:val="21"/>
              </w:rPr>
              <w:t>、</w:t>
            </w:r>
            <w:r>
              <w:rPr>
                <w:rFonts w:ascii="宋体" w:eastAsia="宋体" w:hAnsi="宋体" w:cs="Times New Roman"/>
                <w:sz w:val="21"/>
                <w:szCs w:val="21"/>
              </w:rPr>
              <w:t>树鹨</w:t>
            </w:r>
            <w:r>
              <w:rPr>
                <w:rFonts w:ascii="宋体" w:eastAsia="宋体" w:hAnsi="宋体" w:cs="Times New Roman" w:hint="eastAsia"/>
                <w:sz w:val="21"/>
                <w:szCs w:val="21"/>
              </w:rPr>
              <w:t>、</w:t>
            </w:r>
            <w:r>
              <w:rPr>
                <w:rFonts w:ascii="宋体" w:eastAsia="宋体" w:hAnsi="宋体" w:cs="Times New Roman"/>
                <w:sz w:val="21"/>
                <w:szCs w:val="21"/>
              </w:rPr>
              <w:t>灰山椒鸟</w:t>
            </w:r>
            <w:r>
              <w:rPr>
                <w:rFonts w:ascii="宋体" w:eastAsia="宋体" w:hAnsi="宋体" w:cs="Times New Roman" w:hint="eastAsia"/>
                <w:sz w:val="21"/>
                <w:szCs w:val="21"/>
              </w:rPr>
              <w:t>、</w:t>
            </w:r>
            <w:r>
              <w:rPr>
                <w:rFonts w:ascii="宋体" w:eastAsia="宋体" w:hAnsi="宋体" w:cs="Times New Roman"/>
                <w:sz w:val="21"/>
                <w:szCs w:val="21"/>
              </w:rPr>
              <w:t>红尾伯劳</w:t>
            </w:r>
            <w:r>
              <w:rPr>
                <w:rFonts w:ascii="宋体" w:eastAsia="宋体" w:hAnsi="宋体" w:cs="Times New Roman" w:hint="eastAsia"/>
                <w:sz w:val="21"/>
                <w:szCs w:val="21"/>
              </w:rPr>
              <w:t>、</w:t>
            </w:r>
            <w:r>
              <w:rPr>
                <w:rFonts w:ascii="宋体" w:eastAsia="宋体" w:hAnsi="宋体" w:cs="Times New Roman"/>
                <w:sz w:val="21"/>
                <w:szCs w:val="21"/>
              </w:rPr>
              <w:t>北椋鸟</w:t>
            </w:r>
            <w:r>
              <w:rPr>
                <w:rFonts w:ascii="宋体" w:eastAsia="宋体" w:hAnsi="宋体" w:cs="Times New Roman" w:hint="eastAsia"/>
                <w:sz w:val="21"/>
                <w:szCs w:val="21"/>
              </w:rPr>
              <w:t>、灰</w:t>
            </w:r>
            <w:r>
              <w:rPr>
                <w:rFonts w:ascii="宋体" w:eastAsia="宋体" w:hAnsi="宋体" w:cs="Times New Roman"/>
                <w:sz w:val="21"/>
                <w:szCs w:val="21"/>
              </w:rPr>
              <w:t>椋鸟</w:t>
            </w:r>
            <w:r>
              <w:rPr>
                <w:rFonts w:ascii="宋体" w:eastAsia="宋体" w:hAnsi="宋体" w:cs="Times New Roman" w:hint="eastAsia"/>
                <w:sz w:val="21"/>
                <w:szCs w:val="21"/>
              </w:rPr>
              <w:t>、</w:t>
            </w:r>
            <w:r>
              <w:rPr>
                <w:rFonts w:ascii="宋体" w:eastAsia="宋体" w:hAnsi="宋体" w:cs="Times New Roman"/>
                <w:sz w:val="21"/>
                <w:szCs w:val="21"/>
              </w:rPr>
              <w:t>红胁蓝尾鸲</w:t>
            </w:r>
            <w:r>
              <w:rPr>
                <w:rFonts w:ascii="宋体" w:eastAsia="宋体" w:hAnsi="宋体" w:cs="Times New Roman" w:hint="eastAsia"/>
                <w:sz w:val="21"/>
                <w:szCs w:val="21"/>
              </w:rPr>
              <w:t>、</w:t>
            </w:r>
            <w:r>
              <w:rPr>
                <w:rFonts w:ascii="宋体" w:eastAsia="宋体" w:hAnsi="宋体" w:cs="Times New Roman"/>
                <w:sz w:val="21"/>
                <w:szCs w:val="21"/>
              </w:rPr>
              <w:t>黄眉柳莺</w:t>
            </w:r>
            <w:r>
              <w:rPr>
                <w:rFonts w:ascii="宋体" w:eastAsia="宋体" w:hAnsi="宋体" w:cs="Times New Roman" w:hint="eastAsia"/>
                <w:sz w:val="21"/>
                <w:szCs w:val="21"/>
              </w:rPr>
              <w:t>、黑</w:t>
            </w:r>
            <w:r>
              <w:rPr>
                <w:rFonts w:ascii="宋体" w:eastAsia="宋体" w:hAnsi="宋体" w:cs="Times New Roman"/>
                <w:sz w:val="21"/>
                <w:szCs w:val="21"/>
              </w:rPr>
              <w:t>眉柳莺</w:t>
            </w:r>
            <w:r>
              <w:rPr>
                <w:rFonts w:ascii="宋体" w:eastAsia="宋体" w:hAnsi="宋体" w:cs="Times New Roman" w:hint="eastAsia"/>
                <w:sz w:val="21"/>
                <w:szCs w:val="21"/>
              </w:rPr>
              <w:t>、</w:t>
            </w:r>
            <w:bookmarkStart w:id="326" w:name="_Hlk208051072"/>
            <w:r>
              <w:rPr>
                <w:rFonts w:ascii="宋体" w:eastAsia="宋体" w:hAnsi="宋体" w:cs="Times New Roman" w:hint="eastAsia"/>
                <w:sz w:val="21"/>
                <w:szCs w:val="21"/>
              </w:rPr>
              <w:t>鸳鸯、中华秋沙鸭、东方白鹳</w:t>
            </w:r>
            <w:bookmarkEnd w:id="326"/>
          </w:p>
        </w:tc>
      </w:tr>
      <w:tr w:rsidR="009D12AF" w14:paraId="47BA46F1" w14:textId="77777777">
        <w:trPr>
          <w:jc w:val="center"/>
        </w:trPr>
        <w:tc>
          <w:tcPr>
            <w:tcW w:w="567" w:type="pct"/>
            <w:tcBorders>
              <w:tl2br w:val="nil"/>
              <w:tr2bl w:val="nil"/>
            </w:tcBorders>
            <w:vAlign w:val="center"/>
          </w:tcPr>
          <w:p w14:paraId="46484CD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留鸟</w:t>
            </w:r>
          </w:p>
        </w:tc>
        <w:tc>
          <w:tcPr>
            <w:tcW w:w="4433" w:type="pct"/>
            <w:tcBorders>
              <w:tl2br w:val="nil"/>
              <w:tr2bl w:val="nil"/>
            </w:tcBorders>
            <w:vAlign w:val="center"/>
          </w:tcPr>
          <w:p w14:paraId="5EB7AED0" w14:textId="77777777" w:rsidR="009D12AF" w:rsidRDefault="00000000">
            <w:pPr>
              <w:widowControl/>
              <w:adjustRightInd w:val="0"/>
              <w:snapToGrid w:val="0"/>
              <w:ind w:firstLineChars="0" w:firstLine="0"/>
              <w:jc w:val="center"/>
              <w:rPr>
                <w:rFonts w:ascii="宋体" w:eastAsia="宋体" w:hAnsi="宋体" w:cs="Times New Roman" w:hint="eastAsia"/>
                <w:kern w:val="0"/>
                <w:sz w:val="21"/>
                <w:szCs w:val="21"/>
              </w:rPr>
            </w:pPr>
            <w:r>
              <w:rPr>
                <w:rFonts w:ascii="宋体" w:eastAsia="宋体" w:hAnsi="宋体" w:cs="Times New Roman"/>
                <w:kern w:val="0"/>
                <w:sz w:val="21"/>
                <w:szCs w:val="21"/>
              </w:rPr>
              <w:t>环颈雉</w:t>
            </w:r>
            <w:r>
              <w:rPr>
                <w:rFonts w:ascii="宋体" w:eastAsia="宋体" w:hAnsi="宋体" w:cs="Times New Roman" w:hint="eastAsia"/>
                <w:kern w:val="0"/>
                <w:sz w:val="21"/>
                <w:szCs w:val="21"/>
              </w:rPr>
              <w:t>、</w:t>
            </w:r>
            <w:r>
              <w:rPr>
                <w:rFonts w:ascii="宋体" w:eastAsia="宋体" w:hAnsi="宋体" w:cs="Times New Roman"/>
                <w:kern w:val="0"/>
                <w:sz w:val="21"/>
                <w:szCs w:val="21"/>
              </w:rPr>
              <w:t>大斑啄木鸟</w:t>
            </w:r>
            <w:r>
              <w:rPr>
                <w:rFonts w:ascii="宋体" w:eastAsia="宋体" w:hAnsi="宋体" w:cs="Times New Roman" w:hint="eastAsia"/>
                <w:kern w:val="0"/>
                <w:sz w:val="21"/>
                <w:szCs w:val="21"/>
              </w:rPr>
              <w:t>、</w:t>
            </w:r>
            <w:r>
              <w:rPr>
                <w:rFonts w:ascii="宋体" w:eastAsia="宋体" w:hAnsi="宋体" w:cs="Times New Roman"/>
                <w:kern w:val="0"/>
                <w:sz w:val="21"/>
                <w:szCs w:val="21"/>
              </w:rPr>
              <w:t>松鸦</w:t>
            </w:r>
            <w:r>
              <w:rPr>
                <w:rFonts w:ascii="宋体" w:eastAsia="宋体" w:hAnsi="宋体" w:cs="Times New Roman" w:hint="eastAsia"/>
                <w:kern w:val="0"/>
                <w:sz w:val="21"/>
                <w:szCs w:val="21"/>
              </w:rPr>
              <w:t>、</w:t>
            </w:r>
            <w:r>
              <w:rPr>
                <w:rFonts w:ascii="宋体" w:eastAsia="宋体" w:hAnsi="宋体" w:cs="Times New Roman"/>
                <w:kern w:val="0"/>
                <w:sz w:val="21"/>
                <w:szCs w:val="21"/>
              </w:rPr>
              <w:t>灰喜鹊</w:t>
            </w:r>
            <w:r>
              <w:rPr>
                <w:rFonts w:ascii="宋体" w:eastAsia="宋体" w:hAnsi="宋体" w:cs="Times New Roman" w:hint="eastAsia"/>
                <w:kern w:val="0"/>
                <w:sz w:val="21"/>
                <w:szCs w:val="21"/>
              </w:rPr>
              <w:t>、</w:t>
            </w:r>
            <w:r>
              <w:rPr>
                <w:rFonts w:ascii="宋体" w:eastAsia="宋体" w:hAnsi="宋体" w:cs="Times New Roman"/>
                <w:kern w:val="0"/>
                <w:sz w:val="21"/>
                <w:szCs w:val="21"/>
              </w:rPr>
              <w:t>喜鹊</w:t>
            </w:r>
            <w:r>
              <w:rPr>
                <w:rFonts w:ascii="宋体" w:eastAsia="宋体" w:hAnsi="宋体" w:cs="Times New Roman" w:hint="eastAsia"/>
                <w:kern w:val="0"/>
                <w:sz w:val="21"/>
                <w:szCs w:val="21"/>
              </w:rPr>
              <w:t>、</w:t>
            </w:r>
            <w:r>
              <w:rPr>
                <w:rFonts w:ascii="宋体" w:eastAsia="宋体" w:hAnsi="宋体" w:cs="Times New Roman"/>
                <w:kern w:val="0"/>
                <w:sz w:val="21"/>
                <w:szCs w:val="21"/>
              </w:rPr>
              <w:t>小嘴乌鸦</w:t>
            </w:r>
            <w:r>
              <w:rPr>
                <w:rFonts w:ascii="宋体" w:eastAsia="宋体" w:hAnsi="宋体" w:cs="Times New Roman" w:hint="eastAsia"/>
                <w:kern w:val="0"/>
                <w:sz w:val="21"/>
                <w:szCs w:val="21"/>
              </w:rPr>
              <w:t>、</w:t>
            </w:r>
            <w:r>
              <w:rPr>
                <w:rFonts w:ascii="宋体" w:eastAsia="宋体" w:hAnsi="宋体" w:cs="Times New Roman"/>
                <w:kern w:val="0"/>
                <w:sz w:val="21"/>
                <w:szCs w:val="21"/>
              </w:rPr>
              <w:t>大嘴乌鸦</w:t>
            </w:r>
            <w:r>
              <w:rPr>
                <w:rFonts w:ascii="宋体" w:eastAsia="宋体" w:hAnsi="宋体" w:cs="Times New Roman" w:hint="eastAsia"/>
                <w:kern w:val="0"/>
                <w:sz w:val="21"/>
                <w:szCs w:val="21"/>
              </w:rPr>
              <w:t>、</w:t>
            </w:r>
            <w:r>
              <w:rPr>
                <w:rFonts w:ascii="宋体" w:eastAsia="宋体" w:hAnsi="宋体" w:cs="Times New Roman"/>
                <w:kern w:val="0"/>
                <w:sz w:val="21"/>
                <w:szCs w:val="21"/>
              </w:rPr>
              <w:t>大山雀</w:t>
            </w:r>
            <w:r>
              <w:rPr>
                <w:rFonts w:ascii="宋体" w:eastAsia="宋体" w:hAnsi="宋体" w:cs="Times New Roman" w:hint="eastAsia"/>
                <w:kern w:val="0"/>
                <w:sz w:val="21"/>
                <w:szCs w:val="21"/>
              </w:rPr>
              <w:t>、</w:t>
            </w:r>
            <w:r>
              <w:rPr>
                <w:rFonts w:ascii="宋体" w:eastAsia="宋体" w:hAnsi="宋体" w:cs="Times New Roman"/>
                <w:kern w:val="0"/>
                <w:sz w:val="21"/>
                <w:szCs w:val="21"/>
              </w:rPr>
              <w:t>沼泽山雀</w:t>
            </w:r>
            <w:r>
              <w:rPr>
                <w:rFonts w:ascii="宋体" w:eastAsia="宋体" w:hAnsi="宋体" w:cs="Times New Roman" w:hint="eastAsia"/>
                <w:kern w:val="0"/>
                <w:sz w:val="21"/>
                <w:szCs w:val="21"/>
              </w:rPr>
              <w:t>、</w:t>
            </w:r>
            <w:r>
              <w:rPr>
                <w:rFonts w:ascii="宋体" w:eastAsia="宋体" w:hAnsi="宋体" w:cs="Times New Roman"/>
                <w:kern w:val="0"/>
                <w:sz w:val="21"/>
                <w:szCs w:val="21"/>
              </w:rPr>
              <w:t>麻雀</w:t>
            </w:r>
            <w:r>
              <w:rPr>
                <w:rFonts w:ascii="宋体" w:eastAsia="宋体" w:hAnsi="宋体" w:cs="Times New Roman" w:hint="eastAsia"/>
                <w:kern w:val="0"/>
                <w:sz w:val="21"/>
                <w:szCs w:val="21"/>
              </w:rPr>
              <w:t>、</w:t>
            </w:r>
            <w:r>
              <w:rPr>
                <w:rFonts w:ascii="宋体" w:eastAsia="宋体" w:hAnsi="宋体" w:cs="Times New Roman"/>
                <w:kern w:val="0"/>
                <w:sz w:val="21"/>
                <w:szCs w:val="21"/>
              </w:rPr>
              <w:t>金翅雀</w:t>
            </w:r>
            <w:r>
              <w:rPr>
                <w:rFonts w:ascii="宋体" w:eastAsia="宋体" w:hAnsi="宋体" w:cs="Times New Roman" w:hint="eastAsia"/>
                <w:kern w:val="0"/>
                <w:sz w:val="21"/>
                <w:szCs w:val="21"/>
              </w:rPr>
              <w:t>、</w:t>
            </w:r>
            <w:r>
              <w:rPr>
                <w:rFonts w:ascii="宋体" w:eastAsia="宋体" w:hAnsi="宋体" w:cs="Times New Roman"/>
                <w:kern w:val="0"/>
                <w:sz w:val="21"/>
                <w:szCs w:val="21"/>
              </w:rPr>
              <w:t>长尾雀</w:t>
            </w:r>
          </w:p>
        </w:tc>
      </w:tr>
      <w:tr w:rsidR="009D12AF" w14:paraId="01061BD8" w14:textId="77777777">
        <w:trPr>
          <w:jc w:val="center"/>
        </w:trPr>
        <w:tc>
          <w:tcPr>
            <w:tcW w:w="567" w:type="pct"/>
            <w:tcBorders>
              <w:tl2br w:val="nil"/>
              <w:tr2bl w:val="nil"/>
            </w:tcBorders>
            <w:vAlign w:val="center"/>
          </w:tcPr>
          <w:p w14:paraId="50405C2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冬候鸟</w:t>
            </w:r>
          </w:p>
        </w:tc>
        <w:tc>
          <w:tcPr>
            <w:tcW w:w="4433" w:type="pct"/>
            <w:tcBorders>
              <w:tl2br w:val="nil"/>
              <w:tr2bl w:val="nil"/>
            </w:tcBorders>
            <w:vAlign w:val="center"/>
          </w:tcPr>
          <w:p w14:paraId="501CEEE8" w14:textId="77777777" w:rsidR="009D12AF" w:rsidRDefault="00000000">
            <w:pPr>
              <w:widowControl/>
              <w:adjustRightInd w:val="0"/>
              <w:snapToGrid w:val="0"/>
              <w:ind w:firstLineChars="0" w:firstLine="0"/>
              <w:jc w:val="center"/>
              <w:rPr>
                <w:rFonts w:ascii="宋体" w:eastAsia="宋体" w:hAnsi="宋体" w:cs="Times New Roman" w:hint="eastAsia"/>
                <w:kern w:val="0"/>
                <w:sz w:val="21"/>
                <w:szCs w:val="21"/>
              </w:rPr>
            </w:pPr>
            <w:r>
              <w:rPr>
                <w:rFonts w:ascii="宋体" w:eastAsia="宋体" w:hAnsi="宋体" w:cs="Times New Roman"/>
                <w:kern w:val="0"/>
                <w:sz w:val="21"/>
                <w:szCs w:val="21"/>
              </w:rPr>
              <w:t>灰伯劳</w:t>
            </w:r>
            <w:r>
              <w:rPr>
                <w:rFonts w:ascii="宋体" w:eastAsia="宋体" w:hAnsi="宋体" w:cs="Times New Roman" w:hint="eastAsia"/>
                <w:kern w:val="0"/>
                <w:sz w:val="21"/>
                <w:szCs w:val="21"/>
              </w:rPr>
              <w:t>、</w:t>
            </w:r>
            <w:r>
              <w:rPr>
                <w:rFonts w:ascii="宋体" w:eastAsia="宋体" w:hAnsi="宋体" w:cs="Times New Roman"/>
                <w:kern w:val="0"/>
                <w:sz w:val="21"/>
                <w:szCs w:val="21"/>
              </w:rPr>
              <w:t>朱顶雀</w:t>
            </w:r>
          </w:p>
        </w:tc>
      </w:tr>
      <w:tr w:rsidR="009D12AF" w14:paraId="7845288D" w14:textId="77777777">
        <w:trPr>
          <w:jc w:val="center"/>
        </w:trPr>
        <w:tc>
          <w:tcPr>
            <w:tcW w:w="567" w:type="pct"/>
            <w:tcBorders>
              <w:tl2br w:val="nil"/>
              <w:tr2bl w:val="nil"/>
            </w:tcBorders>
            <w:vAlign w:val="center"/>
          </w:tcPr>
          <w:p w14:paraId="6266CD9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旅鸟</w:t>
            </w:r>
          </w:p>
        </w:tc>
        <w:tc>
          <w:tcPr>
            <w:tcW w:w="4433" w:type="pct"/>
            <w:tcBorders>
              <w:tl2br w:val="nil"/>
              <w:tr2bl w:val="nil"/>
            </w:tcBorders>
            <w:vAlign w:val="center"/>
          </w:tcPr>
          <w:p w14:paraId="1CEAD6F5" w14:textId="77777777" w:rsidR="009D12AF" w:rsidRDefault="00000000">
            <w:pPr>
              <w:widowControl/>
              <w:adjustRightInd w:val="0"/>
              <w:snapToGrid w:val="0"/>
              <w:ind w:firstLineChars="0" w:firstLine="0"/>
              <w:jc w:val="center"/>
              <w:rPr>
                <w:rFonts w:ascii="宋体" w:eastAsia="宋体" w:hAnsi="宋体" w:cs="Times New Roman" w:hint="eastAsia"/>
                <w:kern w:val="0"/>
                <w:sz w:val="21"/>
                <w:szCs w:val="21"/>
              </w:rPr>
            </w:pPr>
            <w:r>
              <w:rPr>
                <w:rFonts w:ascii="宋体" w:eastAsia="宋体" w:hAnsi="宋体" w:cs="Times New Roman"/>
                <w:kern w:val="0"/>
                <w:sz w:val="21"/>
                <w:szCs w:val="21"/>
              </w:rPr>
              <w:t>凤头麦鸡</w:t>
            </w:r>
            <w:r>
              <w:rPr>
                <w:rFonts w:ascii="宋体" w:eastAsia="宋体" w:hAnsi="宋体" w:cs="Times New Roman" w:hint="eastAsia"/>
                <w:kern w:val="0"/>
                <w:sz w:val="21"/>
                <w:szCs w:val="21"/>
              </w:rPr>
              <w:t>、</w:t>
            </w:r>
            <w:r>
              <w:rPr>
                <w:rFonts w:ascii="宋体" w:eastAsia="宋体" w:hAnsi="宋体" w:cs="Times New Roman"/>
                <w:kern w:val="0"/>
                <w:sz w:val="21"/>
                <w:szCs w:val="21"/>
              </w:rPr>
              <w:t>太平鸟</w:t>
            </w:r>
            <w:r>
              <w:rPr>
                <w:rFonts w:ascii="宋体" w:eastAsia="宋体" w:hAnsi="宋体" w:cs="Times New Roman" w:hint="eastAsia"/>
                <w:kern w:val="0"/>
                <w:sz w:val="21"/>
                <w:szCs w:val="21"/>
              </w:rPr>
              <w:t>、</w:t>
            </w:r>
            <w:r>
              <w:rPr>
                <w:rFonts w:ascii="宋体" w:eastAsia="宋体" w:hAnsi="宋体" w:cs="Times New Roman"/>
                <w:kern w:val="0"/>
                <w:sz w:val="21"/>
                <w:szCs w:val="21"/>
              </w:rPr>
              <w:t>银喉长尾山雀</w:t>
            </w:r>
            <w:r>
              <w:rPr>
                <w:rFonts w:ascii="宋体" w:eastAsia="宋体" w:hAnsi="宋体" w:cs="Times New Roman" w:hint="eastAsia"/>
                <w:kern w:val="0"/>
                <w:sz w:val="21"/>
                <w:szCs w:val="21"/>
              </w:rPr>
              <w:t>、</w:t>
            </w:r>
            <w:r>
              <w:rPr>
                <w:rFonts w:ascii="宋体" w:eastAsia="宋体" w:hAnsi="宋体" w:cs="Times New Roman"/>
                <w:kern w:val="0"/>
                <w:sz w:val="21"/>
                <w:szCs w:val="21"/>
              </w:rPr>
              <w:t>普通䴓</w:t>
            </w:r>
          </w:p>
        </w:tc>
      </w:tr>
    </w:tbl>
    <w:p w14:paraId="1031A83B" w14:textId="77777777" w:rsidR="009D12AF" w:rsidRDefault="00000000">
      <w:pPr>
        <w:keepNext/>
        <w:widowControl/>
        <w:ind w:firstLine="480"/>
        <w:jc w:val="center"/>
        <w:rPr>
          <w:rFonts w:ascii="宋体" w:eastAsia="宋体" w:hAnsi="宋体" w:cs="宋体" w:hint="eastAsia"/>
          <w:kern w:val="0"/>
        </w:rPr>
      </w:pPr>
      <w:r>
        <w:rPr>
          <w:rFonts w:ascii="Times New Roman" w:eastAsia="宋体" w:hAnsi="Times New Roman" w:cs="Times New Roman"/>
          <w:noProof/>
        </w:rPr>
        <w:drawing>
          <wp:inline distT="0" distB="0" distL="0" distR="0" wp14:anchorId="11310AD6" wp14:editId="21795BFB">
            <wp:extent cx="4826000" cy="2759075"/>
            <wp:effectExtent l="4445" t="4445" r="8255" b="17780"/>
            <wp:docPr id="981067395" name="图表 9810673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14:paraId="5C0F8E6A" w14:textId="77777777" w:rsidR="009D12AF" w:rsidRDefault="00000000">
      <w:pPr>
        <w:spacing w:line="600" w:lineRule="exact"/>
        <w:ind w:firstLine="480"/>
        <w:jc w:val="center"/>
        <w:rPr>
          <w:rFonts w:ascii="Arial" w:eastAsia="黑体" w:hAnsi="Arial" w:cs="Arial"/>
        </w:rPr>
      </w:pPr>
      <w:r>
        <w:rPr>
          <w:rFonts w:ascii="Arial" w:eastAsia="黑体" w:hAnsi="Arial" w:cs="Arial" w:hint="eastAsia"/>
        </w:rPr>
        <w:t>图</w:t>
      </w:r>
      <w:r>
        <w:rPr>
          <w:rFonts w:ascii="Arial" w:eastAsia="黑体" w:hAnsi="Arial" w:cs="Arial" w:hint="eastAsia"/>
        </w:rPr>
        <w:t xml:space="preserve">4.3-41  </w:t>
      </w:r>
      <w:r>
        <w:rPr>
          <w:rFonts w:ascii="Arial" w:eastAsia="黑体" w:hAnsi="Arial" w:cs="Arial" w:hint="eastAsia"/>
        </w:rPr>
        <w:t>评价范围内鸟类居留型分布图</w:t>
      </w:r>
    </w:p>
    <w:p w14:paraId="5BD74E13" w14:textId="77777777" w:rsidR="009D12AF" w:rsidRDefault="00000000">
      <w:pPr>
        <w:pStyle w:val="afd"/>
      </w:pPr>
      <w:r>
        <w:rPr>
          <w:rFonts w:hint="eastAsia"/>
        </w:rPr>
        <w:t>（</w:t>
      </w:r>
      <w:r>
        <w:rPr>
          <w:rFonts w:hint="eastAsia"/>
        </w:rPr>
        <w:t>2</w:t>
      </w:r>
      <w:r>
        <w:rPr>
          <w:rFonts w:hint="eastAsia"/>
        </w:rPr>
        <w:t>）主要迁徙路线及时间</w:t>
      </w:r>
    </w:p>
    <w:p w14:paraId="6DDB195F" w14:textId="77777777" w:rsidR="009D12AF" w:rsidRDefault="00000000">
      <w:pPr>
        <w:pStyle w:val="afd"/>
      </w:pPr>
      <w:r>
        <w:rPr>
          <w:rFonts w:hint="eastAsia"/>
        </w:rPr>
        <w:t>中国是世界上鸟类资源最为丰富的国家之一，现有鸟类</w:t>
      </w:r>
      <w:r>
        <w:rPr>
          <w:rFonts w:hint="eastAsia"/>
        </w:rPr>
        <w:t>1500</w:t>
      </w:r>
      <w:r>
        <w:rPr>
          <w:rFonts w:hint="eastAsia"/>
        </w:rPr>
        <w:t>余种</w:t>
      </w:r>
      <w:r>
        <w:rPr>
          <w:rFonts w:hint="eastAsia"/>
        </w:rPr>
        <w:t>,</w:t>
      </w:r>
      <w:r>
        <w:rPr>
          <w:rFonts w:hint="eastAsia"/>
        </w:rPr>
        <w:t>占世界鸟类种数的</w:t>
      </w:r>
      <w:r>
        <w:rPr>
          <w:rFonts w:hint="eastAsia"/>
        </w:rPr>
        <w:t>13%</w:t>
      </w:r>
      <w:r>
        <w:rPr>
          <w:rFonts w:hint="eastAsia"/>
        </w:rPr>
        <w:t>，共有候鸟</w:t>
      </w:r>
      <w:r>
        <w:rPr>
          <w:rFonts w:hint="eastAsia"/>
        </w:rPr>
        <w:t>800</w:t>
      </w:r>
      <w:r>
        <w:rPr>
          <w:rFonts w:hint="eastAsia"/>
        </w:rPr>
        <w:t>多种，</w:t>
      </w:r>
      <w:bookmarkStart w:id="327" w:name="OLE_LINK3"/>
      <w:bookmarkStart w:id="328" w:name="OLE_LINK4"/>
      <w:r>
        <w:rPr>
          <w:rFonts w:hint="eastAsia"/>
        </w:rPr>
        <w:t>迁徙鸟类数量</w:t>
      </w:r>
      <w:bookmarkEnd w:id="327"/>
      <w:bookmarkEnd w:id="328"/>
      <w:r>
        <w:rPr>
          <w:rFonts w:hint="eastAsia"/>
        </w:rPr>
        <w:t>在</w:t>
      </w:r>
      <w:r>
        <w:rPr>
          <w:rFonts w:hint="eastAsia"/>
        </w:rPr>
        <w:t>20</w:t>
      </w:r>
      <w:r>
        <w:rPr>
          <w:rFonts w:hint="eastAsia"/>
        </w:rPr>
        <w:t>亿只以上，占</w:t>
      </w:r>
      <w:bookmarkStart w:id="329" w:name="OLE_LINK5"/>
      <w:bookmarkStart w:id="330" w:name="OLE_LINK6"/>
      <w:r>
        <w:rPr>
          <w:rFonts w:hint="eastAsia"/>
        </w:rPr>
        <w:t>世界候鸟总数</w:t>
      </w:r>
      <w:bookmarkEnd w:id="329"/>
      <w:bookmarkEnd w:id="330"/>
      <w:r>
        <w:rPr>
          <w:rFonts w:hint="eastAsia"/>
        </w:rPr>
        <w:t>的</w:t>
      </w:r>
      <w:r>
        <w:rPr>
          <w:rFonts w:hint="eastAsia"/>
        </w:rPr>
        <w:t>25%</w:t>
      </w:r>
      <w:r>
        <w:rPr>
          <w:rFonts w:hint="eastAsia"/>
        </w:rPr>
        <w:t>左右。穿越中国的世界鸟类迁徙通道中有</w:t>
      </w:r>
      <w:r>
        <w:t>4</w:t>
      </w:r>
      <w:r>
        <w:rPr>
          <w:rFonts w:hint="eastAsia"/>
        </w:rPr>
        <w:t>条，一条为西亚</w:t>
      </w:r>
      <w:r>
        <w:rPr>
          <w:rFonts w:hint="eastAsia"/>
        </w:rPr>
        <w:t>-</w:t>
      </w:r>
      <w:r>
        <w:rPr>
          <w:rFonts w:hint="eastAsia"/>
        </w:rPr>
        <w:t>东非迁徙路线，穿越新疆；一条为中亚迁徙路线，穿越中部和西部，一条为东亚—澳大利西亚通道，沿东南沿海的上海、江苏、山东、辽宁、吉林、黑龙江省等迁徙；还有一条为西太平洋迁徙路线，在我国，此迁飞通道主要覆盖东部沿海地区及包括东海、南海诸岛在内的太平洋岛屿。中国鸟类迁徙路线图见图</w:t>
      </w:r>
      <w:r>
        <w:rPr>
          <w:rFonts w:hint="eastAsia"/>
        </w:rPr>
        <w:t>2.1-10</w:t>
      </w:r>
      <w:r>
        <w:rPr>
          <w:rFonts w:hint="eastAsia"/>
        </w:rPr>
        <w:t>。</w:t>
      </w:r>
    </w:p>
    <w:p w14:paraId="096955FD" w14:textId="77777777" w:rsidR="009D12AF" w:rsidRDefault="00000000">
      <w:pPr>
        <w:ind w:firstLineChars="0" w:firstLine="0"/>
        <w:rPr>
          <w:rFonts w:ascii="宋体" w:eastAsia="宋体" w:hAnsi="宋体" w:cs="宋体" w:hint="eastAsia"/>
          <w:kern w:val="0"/>
        </w:rPr>
      </w:pPr>
      <w:r>
        <w:rPr>
          <w:noProof/>
        </w:rPr>
        <w:lastRenderedPageBreak/>
        <w:drawing>
          <wp:inline distT="0" distB="0" distL="0" distR="0" wp14:anchorId="47CA746A" wp14:editId="621D47F7">
            <wp:extent cx="5274310" cy="3194050"/>
            <wp:effectExtent l="0" t="0" r="2540" b="6350"/>
            <wp:docPr id="298" name="图片 298" descr="D:\wechat\WeChat Files\wxid_64oexhg28eoa22\FileStorage\Temp\80b0a70d0d2f7be48793154e6376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D:\wechat\WeChat Files\wxid_64oexhg28eoa22\FileStorage\Temp\80b0a70d0d2f7be48793154e6376406.png"/>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a:xfrm>
                      <a:off x="0" y="0"/>
                      <a:ext cx="5274310" cy="3194399"/>
                    </a:xfrm>
                    <a:prstGeom prst="rect">
                      <a:avLst/>
                    </a:prstGeom>
                    <a:noFill/>
                    <a:ln>
                      <a:noFill/>
                    </a:ln>
                  </pic:spPr>
                </pic:pic>
              </a:graphicData>
            </a:graphic>
          </wp:inline>
        </w:drawing>
      </w:r>
    </w:p>
    <w:p w14:paraId="291483C8" w14:textId="77777777" w:rsidR="009D12AF" w:rsidRDefault="00000000">
      <w:pPr>
        <w:spacing w:line="600" w:lineRule="exact"/>
        <w:ind w:firstLine="480"/>
        <w:jc w:val="center"/>
        <w:rPr>
          <w:rFonts w:ascii="Arial" w:eastAsia="黑体" w:hAnsi="Arial" w:cs="Arial"/>
        </w:rPr>
      </w:pPr>
      <w:r>
        <w:rPr>
          <w:rFonts w:ascii="Arial" w:eastAsia="黑体" w:hAnsi="Arial" w:cs="Arial" w:hint="eastAsia"/>
        </w:rPr>
        <w:t>图</w:t>
      </w:r>
      <w:r>
        <w:rPr>
          <w:rFonts w:ascii="Arial" w:eastAsia="黑体" w:hAnsi="Arial" w:cs="Arial" w:hint="eastAsia"/>
        </w:rPr>
        <w:t xml:space="preserve">4.3-42  </w:t>
      </w:r>
      <w:r>
        <w:rPr>
          <w:rFonts w:ascii="Arial" w:eastAsia="黑体" w:hAnsi="Arial" w:cs="Arial" w:hint="eastAsia"/>
        </w:rPr>
        <w:t>鸟类迁徙图</w:t>
      </w:r>
    </w:p>
    <w:p w14:paraId="13106454" w14:textId="77777777" w:rsidR="009D12AF" w:rsidRDefault="00000000">
      <w:pPr>
        <w:ind w:firstLine="480"/>
      </w:pPr>
      <w:r>
        <w:t>黑龙江省处于</w:t>
      </w:r>
      <w:r>
        <w:rPr>
          <w:rFonts w:hint="eastAsia"/>
        </w:rPr>
        <w:t>东亚—澳大利西亚迁飞区</w:t>
      </w:r>
      <w:r>
        <w:t>的中部，而黑龙江省鸟类迁徙又划分两条支线，即西部迁徙路线和东部迁徙路线。西部迁徙路线涵盖松嫩平原和大小兴安岭区域；西部迁徙路线鸟类多为在我国越冬长江中下游越冬的鸟类，春季随着气候变暖，白昼增加，越冬鸟类开始向北迁徙，寻找繁殖地。他们从长江中下游地区出发，经河南省、河北省，沿渤海湾向北迁徙，进入辽宁省，经吉林省南部，进入黑龙江省的松嫩平原地区，然后越过大兴安岭进入俄罗斯远东地区，直至到达西伯利亚。东部迁徙路线涵盖三江平原和东部山区，东部迁徙路线鸟类来自于两个越冬区域，一是在长江中下游越冬的鸟类经山东半岛，跨渤海湾，进入辽宁省东部，然后向北飞行，穿过吉林省东部区域进入黑龙江省三江平原和东部山区，进行暂短停留后进入俄罗斯远东地区，直至西伯利亚。二是在日本南部越冬的鸟类穿越朝鲜海峡，进入朝鲜半岛，向北经吉林省，进入黑龙江省三江平原地区和东部山区，再向北进入俄罗斯远东地区，直至西伯利亚。但是黑龙江省大部分鸟类在迁徙时跨越两条支线。如雁鸭类、鸻鹬类等均跨越两条迁徙路线。</w:t>
      </w:r>
    </w:p>
    <w:p w14:paraId="76E5A7BB" w14:textId="77777777" w:rsidR="009D12AF" w:rsidRDefault="00000000">
      <w:pPr>
        <w:ind w:firstLine="480"/>
      </w:pPr>
      <w:r>
        <w:t>区域内鸟类迁徙主要是沿周边山脉和河流进行，并且全部为南北方向迁徙。本区主要以</w:t>
      </w:r>
      <w:r>
        <w:rPr>
          <w:rFonts w:hint="eastAsia"/>
        </w:rPr>
        <w:t>农田</w:t>
      </w:r>
      <w:r>
        <w:t>为主，湿地面积较小，因此本区鸟类以</w:t>
      </w:r>
      <w:r>
        <w:rPr>
          <w:rFonts w:hint="eastAsia"/>
        </w:rPr>
        <w:t>农田上</w:t>
      </w:r>
      <w:r>
        <w:t>鸟类为主。鸟类迁徙季节主要</w:t>
      </w:r>
      <w:r>
        <w:rPr>
          <w:rFonts w:hint="eastAsia"/>
        </w:rPr>
        <w:t>夏季。</w:t>
      </w:r>
    </w:p>
    <w:p w14:paraId="63609A22" w14:textId="77777777" w:rsidR="009D12AF" w:rsidRDefault="00000000">
      <w:pPr>
        <w:ind w:firstLine="480"/>
      </w:pPr>
      <w:r>
        <w:rPr>
          <w:rFonts w:hint="eastAsia"/>
        </w:rPr>
        <w:lastRenderedPageBreak/>
        <w:t>五、陆生动物生境</w:t>
      </w:r>
    </w:p>
    <w:p w14:paraId="0C05E518"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kern w:val="0"/>
          <w:szCs w:val="20"/>
        </w:rPr>
        <w:t>根据现场踏勘</w:t>
      </w:r>
      <w:r>
        <w:rPr>
          <w:rFonts w:ascii="Times New Roman" w:eastAsia="宋体" w:hAnsi="Times New Roman" w:cs="Times New Roman" w:hint="eastAsia"/>
          <w:kern w:val="0"/>
          <w:szCs w:val="20"/>
        </w:rPr>
        <w:t>、</w:t>
      </w:r>
      <w:r>
        <w:rPr>
          <w:rFonts w:ascii="Times New Roman" w:eastAsia="宋体" w:hAnsi="Times New Roman" w:cs="Times New Roman"/>
          <w:kern w:val="0"/>
          <w:szCs w:val="20"/>
        </w:rPr>
        <w:t>查阅相关资料</w:t>
      </w:r>
      <w:r>
        <w:rPr>
          <w:rFonts w:ascii="Times New Roman" w:eastAsia="宋体" w:hAnsi="Times New Roman" w:cs="Times New Roman" w:hint="eastAsia"/>
          <w:kern w:val="0"/>
          <w:szCs w:val="20"/>
        </w:rPr>
        <w:t>及专家咨询等方式</w:t>
      </w:r>
      <w:r>
        <w:rPr>
          <w:rFonts w:ascii="Times New Roman" w:eastAsia="宋体" w:hAnsi="Times New Roman" w:cs="Times New Roman"/>
          <w:kern w:val="0"/>
          <w:szCs w:val="20"/>
        </w:rPr>
        <w:t>，</w:t>
      </w:r>
      <w:r>
        <w:rPr>
          <w:rFonts w:ascii="Times New Roman" w:eastAsia="宋体" w:hAnsi="Times New Roman" w:cs="Times New Roman" w:hint="eastAsia"/>
          <w:kern w:val="0"/>
          <w:szCs w:val="20"/>
        </w:rPr>
        <w:t>对项目评价区</w:t>
      </w:r>
      <w:r>
        <w:rPr>
          <w:rFonts w:ascii="Times New Roman" w:eastAsia="宋体" w:hAnsi="Times New Roman" w:cs="Times New Roman"/>
          <w:kern w:val="0"/>
          <w:szCs w:val="20"/>
        </w:rPr>
        <w:t>进行综合判断，</w:t>
      </w:r>
      <w:r>
        <w:rPr>
          <w:rFonts w:ascii="Times New Roman" w:eastAsia="宋体" w:hAnsi="Times New Roman" w:cs="Times New Roman" w:hint="eastAsia"/>
          <w:kern w:val="0"/>
          <w:szCs w:val="20"/>
        </w:rPr>
        <w:t>发现本项目不涉及重要生境。</w:t>
      </w:r>
      <w:r>
        <w:rPr>
          <w:rFonts w:ascii="Times New Roman" w:eastAsia="宋体" w:hAnsi="Times New Roman" w:cs="Times New Roman"/>
          <w:kern w:val="0"/>
          <w:szCs w:val="20"/>
        </w:rPr>
        <w:t>对评价区域内各生境类型中陆生脊柱动物种类、数量及分布现状描述如下：</w:t>
      </w:r>
    </w:p>
    <w:p w14:paraId="59327BEB" w14:textId="77777777" w:rsidR="009D12AF" w:rsidRDefault="00000000">
      <w:pPr>
        <w:adjustRightInd w:val="0"/>
        <w:snapToGrid w:val="0"/>
        <w:ind w:firstLine="480"/>
        <w:rPr>
          <w:rFonts w:ascii="Times New Roman" w:eastAsia="宋体" w:hAnsi="Times New Roman" w:cs="Times New Roman"/>
          <w:kern w:val="0"/>
          <w:szCs w:val="20"/>
          <w:highlight w:val="yellow"/>
        </w:rPr>
      </w:pPr>
      <w:r>
        <w:rPr>
          <w:rFonts w:ascii="Times New Roman" w:eastAsia="宋体" w:hAnsi="Times New Roman" w:cs="Times New Roman"/>
          <w:kern w:val="0"/>
          <w:szCs w:val="20"/>
        </w:rPr>
        <w:t>评价区野生陆生动物生境类型主要可划分为</w:t>
      </w:r>
      <w:r>
        <w:rPr>
          <w:rFonts w:ascii="Times New Roman" w:eastAsia="宋体" w:hAnsi="Times New Roman" w:cs="Times New Roman"/>
          <w:kern w:val="0"/>
          <w:szCs w:val="20"/>
        </w:rPr>
        <w:t>5</w:t>
      </w:r>
      <w:r>
        <w:rPr>
          <w:rFonts w:ascii="Times New Roman" w:eastAsia="宋体" w:hAnsi="Times New Roman" w:cs="Times New Roman"/>
          <w:kern w:val="0"/>
          <w:szCs w:val="20"/>
        </w:rPr>
        <w:t>类，分别为乔木林、农田、</w:t>
      </w:r>
      <w:r>
        <w:rPr>
          <w:rFonts w:ascii="Times New Roman" w:eastAsia="宋体" w:hAnsi="Times New Roman" w:cs="Times New Roman" w:hint="eastAsia"/>
          <w:kern w:val="0"/>
          <w:szCs w:val="20"/>
        </w:rPr>
        <w:t>沼泽、居住点、内陆水体</w:t>
      </w:r>
      <w:r>
        <w:rPr>
          <w:rFonts w:ascii="Times New Roman" w:eastAsia="宋体" w:hAnsi="Times New Roman" w:cs="Times New Roman"/>
          <w:kern w:val="0"/>
          <w:szCs w:val="20"/>
        </w:rPr>
        <w:t>，其中乔木林占</w:t>
      </w:r>
      <w:r>
        <w:rPr>
          <w:rFonts w:ascii="Times New Roman" w:eastAsia="宋体" w:hAnsi="Times New Roman" w:cs="Times New Roman"/>
          <w:kern w:val="0"/>
          <w:szCs w:val="20"/>
        </w:rPr>
        <w:t>352.91hm²</w:t>
      </w:r>
      <w:r>
        <w:rPr>
          <w:rFonts w:ascii="Times New Roman" w:eastAsia="宋体" w:hAnsi="Times New Roman" w:cs="Times New Roman"/>
          <w:kern w:val="0"/>
          <w:szCs w:val="20"/>
        </w:rPr>
        <w:t>，农田占</w:t>
      </w:r>
      <w:r>
        <w:rPr>
          <w:rFonts w:ascii="Times New Roman" w:eastAsia="宋体" w:hAnsi="Times New Roman" w:cs="Times New Roman"/>
          <w:kern w:val="0"/>
          <w:szCs w:val="20"/>
        </w:rPr>
        <w:t>282.45hm²</w:t>
      </w:r>
      <w:r>
        <w:rPr>
          <w:rFonts w:ascii="Times New Roman" w:eastAsia="宋体" w:hAnsi="Times New Roman" w:cs="Times New Roman"/>
          <w:kern w:val="0"/>
          <w:szCs w:val="20"/>
        </w:rPr>
        <w:t>、</w:t>
      </w:r>
      <w:r>
        <w:rPr>
          <w:rFonts w:ascii="Times New Roman" w:eastAsia="宋体" w:hAnsi="Times New Roman" w:cs="Times New Roman" w:hint="eastAsia"/>
          <w:kern w:val="0"/>
          <w:szCs w:val="20"/>
        </w:rPr>
        <w:t>居住点</w:t>
      </w:r>
      <w:r>
        <w:rPr>
          <w:rFonts w:ascii="Times New Roman" w:eastAsia="宋体" w:hAnsi="Times New Roman" w:cs="Times New Roman"/>
          <w:kern w:val="0"/>
          <w:szCs w:val="20"/>
        </w:rPr>
        <w:t>占</w:t>
      </w:r>
      <w:r>
        <w:rPr>
          <w:rFonts w:ascii="Times New Roman" w:eastAsia="宋体" w:hAnsi="Times New Roman" w:cs="Times New Roman"/>
          <w:kern w:val="0"/>
          <w:szCs w:val="20"/>
        </w:rPr>
        <w:t xml:space="preserve">30.22 hm² </w:t>
      </w:r>
      <w:r>
        <w:rPr>
          <w:rFonts w:ascii="Times New Roman" w:eastAsia="宋体" w:hAnsi="Times New Roman" w:cs="Times New Roman" w:hint="eastAsia"/>
          <w:kern w:val="0"/>
          <w:szCs w:val="20"/>
        </w:rPr>
        <w:t>、内陆水体</w:t>
      </w:r>
      <w:r>
        <w:rPr>
          <w:rFonts w:ascii="Times New Roman" w:eastAsia="宋体" w:hAnsi="Times New Roman" w:cs="Times New Roman"/>
          <w:kern w:val="0"/>
          <w:szCs w:val="20"/>
        </w:rPr>
        <w:t>占</w:t>
      </w:r>
      <w:r>
        <w:rPr>
          <w:rFonts w:ascii="Times New Roman" w:eastAsia="宋体" w:hAnsi="Times New Roman" w:cs="Times New Roman"/>
          <w:kern w:val="0"/>
          <w:szCs w:val="20"/>
        </w:rPr>
        <w:t>221.92 hm²</w:t>
      </w:r>
      <w:r>
        <w:rPr>
          <w:rFonts w:ascii="Times New Roman" w:eastAsia="宋体" w:hAnsi="Times New Roman" w:cs="Times New Roman" w:hint="eastAsia"/>
          <w:kern w:val="0"/>
          <w:szCs w:val="20"/>
        </w:rPr>
        <w:t>、沼泽</w:t>
      </w:r>
      <w:r>
        <w:rPr>
          <w:rFonts w:ascii="Times New Roman" w:eastAsia="宋体" w:hAnsi="Times New Roman" w:cs="Times New Roman"/>
          <w:kern w:val="0"/>
          <w:szCs w:val="20"/>
        </w:rPr>
        <w:t>占</w:t>
      </w:r>
      <w:r>
        <w:rPr>
          <w:rFonts w:ascii="Times New Roman" w:eastAsia="宋体" w:hAnsi="Times New Roman" w:cs="Times New Roman"/>
          <w:kern w:val="0"/>
          <w:szCs w:val="20"/>
        </w:rPr>
        <w:t>59.65 hm²</w:t>
      </w:r>
      <w:r>
        <w:rPr>
          <w:rFonts w:ascii="Times New Roman" w:eastAsia="宋体" w:hAnsi="Times New Roman" w:cs="Times New Roman"/>
          <w:kern w:val="0"/>
          <w:szCs w:val="20"/>
        </w:rPr>
        <w:t>。详见表</w:t>
      </w:r>
      <w:r>
        <w:rPr>
          <w:rFonts w:ascii="Times New Roman" w:eastAsia="宋体" w:hAnsi="Times New Roman" w:cs="Times New Roman" w:hint="eastAsia"/>
          <w:kern w:val="0"/>
          <w:szCs w:val="20"/>
        </w:rPr>
        <w:t>4.3-61</w:t>
      </w:r>
      <w:r>
        <w:rPr>
          <w:rFonts w:ascii="Times New Roman" w:eastAsia="宋体" w:hAnsi="Times New Roman" w:cs="Times New Roman"/>
          <w:kern w:val="0"/>
          <w:szCs w:val="20"/>
        </w:rPr>
        <w:t>、</w:t>
      </w:r>
      <w:r>
        <w:rPr>
          <w:rFonts w:ascii="Times New Roman" w:eastAsia="宋体" w:hAnsi="Times New Roman" w:cs="Times New Roman" w:hint="eastAsia"/>
          <w:kern w:val="0"/>
          <w:szCs w:val="20"/>
        </w:rPr>
        <w:t>附图</w:t>
      </w:r>
      <w:r>
        <w:rPr>
          <w:rFonts w:ascii="Times New Roman" w:eastAsia="宋体" w:hAnsi="Times New Roman" w:cs="Times New Roman" w:hint="eastAsia"/>
          <w:kern w:val="0"/>
          <w:szCs w:val="20"/>
        </w:rPr>
        <w:t>24</w:t>
      </w:r>
      <w:r>
        <w:rPr>
          <w:rFonts w:ascii="Times New Roman" w:eastAsia="宋体" w:hAnsi="Times New Roman" w:cs="Times New Roman"/>
          <w:kern w:val="0"/>
          <w:szCs w:val="20"/>
        </w:rPr>
        <w:t>。</w:t>
      </w:r>
    </w:p>
    <w:p w14:paraId="00C8DB0A" w14:textId="77777777" w:rsidR="009D12AF" w:rsidRDefault="00000000">
      <w:pPr>
        <w:ind w:firstLine="482"/>
        <w:jc w:val="center"/>
        <w:rPr>
          <w:b/>
          <w:bCs/>
        </w:rPr>
      </w:pPr>
      <w:r>
        <w:rPr>
          <w:b/>
          <w:bCs/>
        </w:rPr>
        <w:t>表</w:t>
      </w:r>
      <w:r>
        <w:rPr>
          <w:rFonts w:hint="eastAsia"/>
          <w:b/>
          <w:bCs/>
        </w:rPr>
        <w:t>4.3-61</w:t>
      </w:r>
      <w:r>
        <w:rPr>
          <w:b/>
          <w:bCs/>
        </w:rPr>
        <w:tab/>
      </w:r>
      <w:r>
        <w:rPr>
          <w:rFonts w:hint="eastAsia"/>
          <w:b/>
          <w:bCs/>
        </w:rPr>
        <w:t>评价范围内</w:t>
      </w:r>
      <w:r>
        <w:rPr>
          <w:b/>
          <w:bCs/>
        </w:rPr>
        <w:t>生境类型及动物统计</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458"/>
        <w:gridCol w:w="1457"/>
        <w:gridCol w:w="1403"/>
        <w:gridCol w:w="1403"/>
        <w:gridCol w:w="1403"/>
        <w:gridCol w:w="1398"/>
      </w:tblGrid>
      <w:tr w:rsidR="009D12AF" w14:paraId="4E6F8059" w14:textId="77777777">
        <w:tc>
          <w:tcPr>
            <w:tcW w:w="855" w:type="pct"/>
            <w:tcBorders>
              <w:tl2br w:val="nil"/>
              <w:tr2bl w:val="nil"/>
            </w:tcBorders>
            <w:vAlign w:val="center"/>
          </w:tcPr>
          <w:p w14:paraId="3487BAF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生境类型</w:t>
            </w:r>
          </w:p>
        </w:tc>
        <w:tc>
          <w:tcPr>
            <w:tcW w:w="855" w:type="pct"/>
            <w:tcBorders>
              <w:tl2br w:val="nil"/>
              <w:tr2bl w:val="nil"/>
            </w:tcBorders>
            <w:vAlign w:val="center"/>
          </w:tcPr>
          <w:p w14:paraId="561D6A2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面积（</w:t>
            </w:r>
            <w:r>
              <w:rPr>
                <w:rFonts w:ascii="Times New Roman" w:eastAsia="宋体" w:hAnsi="Times New Roman" w:cs="Times New Roman"/>
                <w:kern w:val="0"/>
                <w:sz w:val="21"/>
                <w:szCs w:val="21"/>
              </w:rPr>
              <w:t>hm</w:t>
            </w:r>
            <w:r>
              <w:rPr>
                <w:rFonts w:ascii="Times New Roman" w:eastAsia="宋体" w:hAnsi="Times New Roman" w:cs="Times New Roman"/>
                <w:kern w:val="0"/>
                <w:sz w:val="21"/>
                <w:szCs w:val="21"/>
                <w:vertAlign w:val="superscript"/>
              </w:rPr>
              <w:t>2</w:t>
            </w:r>
            <w:r>
              <w:rPr>
                <w:rFonts w:ascii="Times New Roman" w:eastAsia="宋体" w:hAnsi="Times New Roman" w:cs="Times New Roman"/>
                <w:kern w:val="0"/>
                <w:sz w:val="21"/>
                <w:szCs w:val="21"/>
              </w:rPr>
              <w:t>）</w:t>
            </w:r>
          </w:p>
        </w:tc>
        <w:tc>
          <w:tcPr>
            <w:tcW w:w="823" w:type="pct"/>
            <w:tcBorders>
              <w:tl2br w:val="nil"/>
              <w:tr2bl w:val="nil"/>
            </w:tcBorders>
            <w:vAlign w:val="center"/>
          </w:tcPr>
          <w:p w14:paraId="417D60B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两栖</w:t>
            </w:r>
          </w:p>
        </w:tc>
        <w:tc>
          <w:tcPr>
            <w:tcW w:w="823" w:type="pct"/>
            <w:tcBorders>
              <w:tl2br w:val="nil"/>
              <w:tr2bl w:val="nil"/>
            </w:tcBorders>
            <w:vAlign w:val="center"/>
          </w:tcPr>
          <w:p w14:paraId="01F55F0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爬行</w:t>
            </w:r>
          </w:p>
        </w:tc>
        <w:tc>
          <w:tcPr>
            <w:tcW w:w="823" w:type="pct"/>
            <w:tcBorders>
              <w:tl2br w:val="nil"/>
              <w:tr2bl w:val="nil"/>
            </w:tcBorders>
            <w:vAlign w:val="center"/>
          </w:tcPr>
          <w:p w14:paraId="3D4A2DC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鸟类</w:t>
            </w:r>
          </w:p>
        </w:tc>
        <w:tc>
          <w:tcPr>
            <w:tcW w:w="820" w:type="pct"/>
            <w:tcBorders>
              <w:tl2br w:val="nil"/>
              <w:tr2bl w:val="nil"/>
            </w:tcBorders>
            <w:vAlign w:val="center"/>
          </w:tcPr>
          <w:p w14:paraId="61CB46F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哺乳</w:t>
            </w:r>
          </w:p>
        </w:tc>
      </w:tr>
      <w:tr w:rsidR="009D12AF" w14:paraId="4CA5167E" w14:textId="77777777">
        <w:tc>
          <w:tcPr>
            <w:tcW w:w="855" w:type="pct"/>
            <w:tcBorders>
              <w:tl2br w:val="nil"/>
              <w:tr2bl w:val="nil"/>
            </w:tcBorders>
            <w:vAlign w:val="center"/>
          </w:tcPr>
          <w:p w14:paraId="269BBCC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乔木林</w:t>
            </w:r>
          </w:p>
        </w:tc>
        <w:tc>
          <w:tcPr>
            <w:tcW w:w="855" w:type="pct"/>
            <w:tcBorders>
              <w:tl2br w:val="nil"/>
              <w:tr2bl w:val="nil"/>
            </w:tcBorders>
            <w:vAlign w:val="center"/>
          </w:tcPr>
          <w:p w14:paraId="3FA543E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352.91</w:t>
            </w:r>
          </w:p>
        </w:tc>
        <w:tc>
          <w:tcPr>
            <w:tcW w:w="823" w:type="pct"/>
            <w:tcBorders>
              <w:tl2br w:val="nil"/>
              <w:tr2bl w:val="nil"/>
            </w:tcBorders>
            <w:vAlign w:val="center"/>
          </w:tcPr>
          <w:p w14:paraId="422BD90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p>
        </w:tc>
        <w:tc>
          <w:tcPr>
            <w:tcW w:w="823" w:type="pct"/>
            <w:tcBorders>
              <w:tl2br w:val="nil"/>
              <w:tr2bl w:val="nil"/>
            </w:tcBorders>
            <w:vAlign w:val="center"/>
          </w:tcPr>
          <w:p w14:paraId="2732AE8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w:t>
            </w:r>
          </w:p>
        </w:tc>
        <w:tc>
          <w:tcPr>
            <w:tcW w:w="823" w:type="pct"/>
            <w:tcBorders>
              <w:tl2br w:val="nil"/>
              <w:tr2bl w:val="nil"/>
            </w:tcBorders>
            <w:vAlign w:val="center"/>
          </w:tcPr>
          <w:p w14:paraId="5E5E2C9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w:t>
            </w:r>
            <w:r>
              <w:rPr>
                <w:rFonts w:ascii="Times New Roman" w:eastAsia="宋体" w:hAnsi="Times New Roman" w:cs="Times New Roman"/>
                <w:kern w:val="0"/>
                <w:sz w:val="21"/>
                <w:szCs w:val="21"/>
              </w:rPr>
              <w:t>0</w:t>
            </w:r>
          </w:p>
        </w:tc>
        <w:tc>
          <w:tcPr>
            <w:tcW w:w="820" w:type="pct"/>
            <w:tcBorders>
              <w:tl2br w:val="nil"/>
              <w:tr2bl w:val="nil"/>
            </w:tcBorders>
            <w:vAlign w:val="center"/>
          </w:tcPr>
          <w:p w14:paraId="5DE2460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5</w:t>
            </w:r>
          </w:p>
        </w:tc>
      </w:tr>
      <w:tr w:rsidR="009D12AF" w14:paraId="3E24101D" w14:textId="77777777">
        <w:tc>
          <w:tcPr>
            <w:tcW w:w="855" w:type="pct"/>
            <w:tcBorders>
              <w:tl2br w:val="nil"/>
              <w:tr2bl w:val="nil"/>
            </w:tcBorders>
            <w:vAlign w:val="center"/>
          </w:tcPr>
          <w:p w14:paraId="745CB01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农田</w:t>
            </w:r>
          </w:p>
        </w:tc>
        <w:tc>
          <w:tcPr>
            <w:tcW w:w="855" w:type="pct"/>
            <w:tcBorders>
              <w:tl2br w:val="nil"/>
              <w:tr2bl w:val="nil"/>
            </w:tcBorders>
            <w:vAlign w:val="center"/>
          </w:tcPr>
          <w:p w14:paraId="22DC7E2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282.45</w:t>
            </w:r>
          </w:p>
        </w:tc>
        <w:tc>
          <w:tcPr>
            <w:tcW w:w="823" w:type="pct"/>
            <w:tcBorders>
              <w:tl2br w:val="nil"/>
              <w:tr2bl w:val="nil"/>
            </w:tcBorders>
            <w:vAlign w:val="center"/>
          </w:tcPr>
          <w:p w14:paraId="7FDFAA1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p>
        </w:tc>
        <w:tc>
          <w:tcPr>
            <w:tcW w:w="823" w:type="pct"/>
            <w:tcBorders>
              <w:tl2br w:val="nil"/>
              <w:tr2bl w:val="nil"/>
            </w:tcBorders>
            <w:vAlign w:val="center"/>
          </w:tcPr>
          <w:p w14:paraId="428D99C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823" w:type="pct"/>
            <w:tcBorders>
              <w:tl2br w:val="nil"/>
              <w:tr2bl w:val="nil"/>
            </w:tcBorders>
            <w:vAlign w:val="center"/>
          </w:tcPr>
          <w:p w14:paraId="4D51950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7</w:t>
            </w:r>
          </w:p>
        </w:tc>
        <w:tc>
          <w:tcPr>
            <w:tcW w:w="820" w:type="pct"/>
            <w:tcBorders>
              <w:tl2br w:val="nil"/>
              <w:tr2bl w:val="nil"/>
            </w:tcBorders>
            <w:vAlign w:val="center"/>
          </w:tcPr>
          <w:p w14:paraId="4DCFF62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w:t>
            </w:r>
          </w:p>
        </w:tc>
      </w:tr>
      <w:tr w:rsidR="009D12AF" w14:paraId="470BE6BD" w14:textId="77777777">
        <w:tc>
          <w:tcPr>
            <w:tcW w:w="855" w:type="pct"/>
            <w:tcBorders>
              <w:tl2br w:val="nil"/>
              <w:tr2bl w:val="nil"/>
            </w:tcBorders>
            <w:vAlign w:val="center"/>
          </w:tcPr>
          <w:p w14:paraId="088AF45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居住点</w:t>
            </w:r>
          </w:p>
        </w:tc>
        <w:tc>
          <w:tcPr>
            <w:tcW w:w="855" w:type="pct"/>
            <w:tcBorders>
              <w:tl2br w:val="nil"/>
              <w:tr2bl w:val="nil"/>
            </w:tcBorders>
            <w:vAlign w:val="center"/>
          </w:tcPr>
          <w:p w14:paraId="55CD66B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30.22</w:t>
            </w:r>
          </w:p>
        </w:tc>
        <w:tc>
          <w:tcPr>
            <w:tcW w:w="823" w:type="pct"/>
            <w:tcBorders>
              <w:tl2br w:val="nil"/>
              <w:tr2bl w:val="nil"/>
            </w:tcBorders>
            <w:vAlign w:val="center"/>
          </w:tcPr>
          <w:p w14:paraId="43EAF0B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p>
        </w:tc>
        <w:tc>
          <w:tcPr>
            <w:tcW w:w="823" w:type="pct"/>
            <w:tcBorders>
              <w:tl2br w:val="nil"/>
              <w:tr2bl w:val="nil"/>
            </w:tcBorders>
            <w:vAlign w:val="center"/>
          </w:tcPr>
          <w:p w14:paraId="2720B18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823" w:type="pct"/>
            <w:tcBorders>
              <w:tl2br w:val="nil"/>
              <w:tr2bl w:val="nil"/>
            </w:tcBorders>
            <w:vAlign w:val="center"/>
          </w:tcPr>
          <w:p w14:paraId="2C488D1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w:t>
            </w:r>
          </w:p>
        </w:tc>
        <w:tc>
          <w:tcPr>
            <w:tcW w:w="820" w:type="pct"/>
            <w:tcBorders>
              <w:tl2br w:val="nil"/>
              <w:tr2bl w:val="nil"/>
            </w:tcBorders>
            <w:vAlign w:val="center"/>
          </w:tcPr>
          <w:p w14:paraId="7658C85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w:t>
            </w:r>
          </w:p>
        </w:tc>
      </w:tr>
      <w:tr w:rsidR="009D12AF" w14:paraId="64CF26CC" w14:textId="77777777">
        <w:tc>
          <w:tcPr>
            <w:tcW w:w="855" w:type="pct"/>
            <w:tcBorders>
              <w:tl2br w:val="nil"/>
              <w:tr2bl w:val="nil"/>
            </w:tcBorders>
            <w:vAlign w:val="center"/>
          </w:tcPr>
          <w:p w14:paraId="2E9FAED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内陆水体</w:t>
            </w:r>
          </w:p>
        </w:tc>
        <w:tc>
          <w:tcPr>
            <w:tcW w:w="855" w:type="pct"/>
            <w:tcBorders>
              <w:tl2br w:val="nil"/>
              <w:tr2bl w:val="nil"/>
            </w:tcBorders>
            <w:vAlign w:val="center"/>
          </w:tcPr>
          <w:p w14:paraId="3F02265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221.92</w:t>
            </w:r>
          </w:p>
        </w:tc>
        <w:tc>
          <w:tcPr>
            <w:tcW w:w="823" w:type="pct"/>
            <w:tcBorders>
              <w:tl2br w:val="nil"/>
              <w:tr2bl w:val="nil"/>
            </w:tcBorders>
            <w:vAlign w:val="center"/>
          </w:tcPr>
          <w:p w14:paraId="5085F46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7</w:t>
            </w:r>
          </w:p>
        </w:tc>
        <w:tc>
          <w:tcPr>
            <w:tcW w:w="823" w:type="pct"/>
            <w:tcBorders>
              <w:tl2br w:val="nil"/>
              <w:tr2bl w:val="nil"/>
            </w:tcBorders>
            <w:vAlign w:val="center"/>
          </w:tcPr>
          <w:p w14:paraId="3DFF007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823" w:type="pct"/>
            <w:tcBorders>
              <w:tl2br w:val="nil"/>
              <w:tr2bl w:val="nil"/>
            </w:tcBorders>
            <w:vAlign w:val="center"/>
          </w:tcPr>
          <w:p w14:paraId="7AC1D3A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7</w:t>
            </w:r>
          </w:p>
        </w:tc>
        <w:tc>
          <w:tcPr>
            <w:tcW w:w="820" w:type="pct"/>
            <w:tcBorders>
              <w:tl2br w:val="nil"/>
              <w:tr2bl w:val="nil"/>
            </w:tcBorders>
            <w:vAlign w:val="center"/>
          </w:tcPr>
          <w:p w14:paraId="78E0D81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r>
      <w:tr w:rsidR="009D12AF" w14:paraId="6D5D1134" w14:textId="77777777">
        <w:tc>
          <w:tcPr>
            <w:tcW w:w="855" w:type="pct"/>
            <w:tcBorders>
              <w:tl2br w:val="nil"/>
              <w:tr2bl w:val="nil"/>
            </w:tcBorders>
            <w:vAlign w:val="center"/>
          </w:tcPr>
          <w:p w14:paraId="7A1059B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沼泽</w:t>
            </w:r>
          </w:p>
        </w:tc>
        <w:tc>
          <w:tcPr>
            <w:tcW w:w="855" w:type="pct"/>
            <w:tcBorders>
              <w:tl2br w:val="nil"/>
              <w:tr2bl w:val="nil"/>
            </w:tcBorders>
            <w:vAlign w:val="center"/>
          </w:tcPr>
          <w:p w14:paraId="604EBA1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59.65</w:t>
            </w:r>
          </w:p>
        </w:tc>
        <w:tc>
          <w:tcPr>
            <w:tcW w:w="823" w:type="pct"/>
            <w:tcBorders>
              <w:tl2br w:val="nil"/>
              <w:tr2bl w:val="nil"/>
            </w:tcBorders>
            <w:vAlign w:val="center"/>
          </w:tcPr>
          <w:p w14:paraId="4746D57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7</w:t>
            </w:r>
          </w:p>
        </w:tc>
        <w:tc>
          <w:tcPr>
            <w:tcW w:w="823" w:type="pct"/>
            <w:tcBorders>
              <w:tl2br w:val="nil"/>
              <w:tr2bl w:val="nil"/>
            </w:tcBorders>
            <w:vAlign w:val="center"/>
          </w:tcPr>
          <w:p w14:paraId="0377CB1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823" w:type="pct"/>
            <w:tcBorders>
              <w:tl2br w:val="nil"/>
              <w:tr2bl w:val="nil"/>
            </w:tcBorders>
            <w:vAlign w:val="center"/>
          </w:tcPr>
          <w:p w14:paraId="25B5EB5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w:t>
            </w:r>
          </w:p>
        </w:tc>
        <w:tc>
          <w:tcPr>
            <w:tcW w:w="820" w:type="pct"/>
            <w:tcBorders>
              <w:tl2br w:val="nil"/>
              <w:tr2bl w:val="nil"/>
            </w:tcBorders>
            <w:vAlign w:val="center"/>
          </w:tcPr>
          <w:p w14:paraId="4F117FB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p>
        </w:tc>
      </w:tr>
    </w:tbl>
    <w:p w14:paraId="2669D88D" w14:textId="77777777" w:rsidR="009D12AF" w:rsidRDefault="00000000">
      <w:pPr>
        <w:adjustRightInd w:val="0"/>
        <w:snapToGrid w:val="0"/>
        <w:spacing w:beforeLines="50" w:before="163"/>
        <w:ind w:firstLine="480"/>
        <w:rPr>
          <w:rFonts w:ascii="Times New Roman" w:eastAsia="宋体" w:hAnsi="Times New Roman" w:cs="Times New Roman"/>
          <w:kern w:val="0"/>
          <w:szCs w:val="20"/>
        </w:rPr>
      </w:pPr>
      <w:r>
        <w:rPr>
          <w:rFonts w:ascii="Times New Roman" w:eastAsia="宋体" w:hAnsi="Times New Roman" w:cs="Times New Roman"/>
          <w:kern w:val="0"/>
          <w:szCs w:val="20"/>
        </w:rPr>
        <w:t>本项目评价范围以乔木林为主，生境异质性较高且稳定、人为干扰因素比较小，动物的食物来源也比较广泛，适宜栖息于低山林地、林缘、丘陵地区的沼泽、草地、河流、山谷和农田耕地的动物。项目</w:t>
      </w:r>
      <w:r>
        <w:rPr>
          <w:rFonts w:ascii="Times New Roman" w:eastAsia="宋体" w:hAnsi="Times New Roman" w:cs="Times New Roman" w:hint="eastAsia"/>
          <w:kern w:val="0"/>
          <w:szCs w:val="20"/>
        </w:rPr>
        <w:t>评价</w:t>
      </w:r>
      <w:r>
        <w:rPr>
          <w:rFonts w:ascii="Times New Roman" w:eastAsia="宋体" w:hAnsi="Times New Roman" w:cs="Times New Roman"/>
          <w:kern w:val="0"/>
          <w:szCs w:val="20"/>
        </w:rPr>
        <w:t>区域分布的陆生脊椎动物共发现</w:t>
      </w:r>
      <w:r>
        <w:rPr>
          <w:rFonts w:ascii="Times New Roman" w:eastAsia="宋体" w:hAnsi="Times New Roman" w:cs="Times New Roman" w:hint="eastAsia"/>
          <w:kern w:val="0"/>
          <w:szCs w:val="20"/>
        </w:rPr>
        <w:t>有</w:t>
      </w:r>
      <w:r>
        <w:rPr>
          <w:rFonts w:ascii="Times New Roman" w:eastAsia="宋体" w:hAnsi="Times New Roman" w:cs="Times New Roman" w:hint="eastAsia"/>
          <w:kern w:val="0"/>
          <w:szCs w:val="20"/>
        </w:rPr>
        <w:t>4</w:t>
      </w:r>
      <w:r>
        <w:rPr>
          <w:rFonts w:ascii="Times New Roman" w:eastAsia="宋体" w:hAnsi="Times New Roman" w:cs="Times New Roman" w:hint="eastAsia"/>
          <w:kern w:val="0"/>
          <w:szCs w:val="20"/>
        </w:rPr>
        <w:t>纲</w:t>
      </w:r>
      <w:r>
        <w:rPr>
          <w:rFonts w:ascii="Times New Roman" w:eastAsia="宋体" w:hAnsi="Times New Roman" w:cs="Times New Roman" w:hint="eastAsia"/>
          <w:kern w:val="0"/>
          <w:szCs w:val="20"/>
        </w:rPr>
        <w:t>22</w:t>
      </w:r>
      <w:r>
        <w:rPr>
          <w:rFonts w:ascii="Times New Roman" w:eastAsia="宋体" w:hAnsi="Times New Roman" w:cs="Times New Roman" w:hint="eastAsia"/>
          <w:kern w:val="0"/>
          <w:szCs w:val="20"/>
        </w:rPr>
        <w:t>目</w:t>
      </w:r>
      <w:r>
        <w:rPr>
          <w:rFonts w:ascii="Times New Roman" w:eastAsia="宋体" w:hAnsi="Times New Roman" w:cs="Times New Roman" w:hint="eastAsia"/>
          <w:kern w:val="0"/>
          <w:szCs w:val="20"/>
        </w:rPr>
        <w:t>43</w:t>
      </w:r>
      <w:r>
        <w:rPr>
          <w:rFonts w:ascii="Times New Roman" w:eastAsia="宋体" w:hAnsi="Times New Roman" w:cs="Times New Roman" w:hint="eastAsia"/>
          <w:kern w:val="0"/>
          <w:szCs w:val="20"/>
        </w:rPr>
        <w:t>科</w:t>
      </w:r>
      <w:r>
        <w:rPr>
          <w:rFonts w:ascii="Times New Roman" w:eastAsia="宋体" w:hAnsi="Times New Roman" w:cs="Times New Roman" w:hint="eastAsia"/>
          <w:kern w:val="0"/>
          <w:szCs w:val="20"/>
        </w:rPr>
        <w:t>77</w:t>
      </w:r>
      <w:r>
        <w:rPr>
          <w:rFonts w:ascii="Times New Roman" w:eastAsia="宋体" w:hAnsi="Times New Roman" w:cs="Times New Roman" w:hint="eastAsia"/>
          <w:kern w:val="0"/>
          <w:szCs w:val="20"/>
        </w:rPr>
        <w:t>种</w:t>
      </w:r>
    </w:p>
    <w:p w14:paraId="45A558FD" w14:textId="77777777" w:rsidR="009D12AF" w:rsidRDefault="00000000">
      <w:pPr>
        <w:ind w:firstLine="480"/>
      </w:pPr>
      <w:r>
        <w:t>其中以乔木林中发现居多，其中两栖类</w:t>
      </w:r>
      <w:r>
        <w:t>1</w:t>
      </w:r>
      <w:r>
        <w:t>种、爬行类</w:t>
      </w:r>
      <w:r>
        <w:t>5</w:t>
      </w:r>
      <w:r>
        <w:t>种、鸟类</w:t>
      </w:r>
      <w:r>
        <w:rPr>
          <w:rFonts w:hint="eastAsia"/>
        </w:rPr>
        <w:t>4</w:t>
      </w:r>
      <w:r>
        <w:t>0</w:t>
      </w:r>
      <w:r>
        <w:t>种、哺乳类</w:t>
      </w:r>
      <w:r>
        <w:t>15</w:t>
      </w:r>
      <w:r>
        <w:t>种，农田发现</w:t>
      </w:r>
      <w:r>
        <w:rPr>
          <w:rFonts w:hint="eastAsia"/>
        </w:rPr>
        <w:t>两栖类</w:t>
      </w:r>
      <w:r>
        <w:rPr>
          <w:rFonts w:hint="eastAsia"/>
        </w:rPr>
        <w:t>1</w:t>
      </w:r>
      <w:r>
        <w:rPr>
          <w:rFonts w:hint="eastAsia"/>
        </w:rPr>
        <w:t>种，爬行</w:t>
      </w:r>
      <w:r>
        <w:rPr>
          <w:rFonts w:hint="eastAsia"/>
        </w:rPr>
        <w:t>0</w:t>
      </w:r>
      <w:r>
        <w:rPr>
          <w:rFonts w:hint="eastAsia"/>
        </w:rPr>
        <w:t>种、</w:t>
      </w:r>
      <w:r>
        <w:t>鸟类</w:t>
      </w:r>
      <w:r>
        <w:rPr>
          <w:rFonts w:hint="eastAsia"/>
        </w:rPr>
        <w:t>7</w:t>
      </w:r>
      <w:r>
        <w:t>种、哺乳类</w:t>
      </w:r>
      <w:r>
        <w:rPr>
          <w:rFonts w:hint="eastAsia"/>
        </w:rPr>
        <w:t>3</w:t>
      </w:r>
      <w:r>
        <w:t>种，</w:t>
      </w:r>
      <w:r>
        <w:rPr>
          <w:rFonts w:hint="eastAsia"/>
        </w:rPr>
        <w:t>居住点两栖类</w:t>
      </w:r>
      <w:r>
        <w:rPr>
          <w:rFonts w:hint="eastAsia"/>
        </w:rPr>
        <w:t>1</w:t>
      </w:r>
      <w:r>
        <w:rPr>
          <w:rFonts w:hint="eastAsia"/>
        </w:rPr>
        <w:t>种，</w:t>
      </w:r>
      <w:r>
        <w:t>鸟类</w:t>
      </w:r>
      <w:r>
        <w:rPr>
          <w:rFonts w:hint="eastAsia"/>
        </w:rPr>
        <w:t>5</w:t>
      </w:r>
      <w:r>
        <w:t>种，</w:t>
      </w:r>
      <w:r>
        <w:rPr>
          <w:rFonts w:hint="eastAsia"/>
        </w:rPr>
        <w:t>哺乳类</w:t>
      </w:r>
      <w:r>
        <w:t>4</w:t>
      </w:r>
      <w:r>
        <w:rPr>
          <w:rFonts w:hint="eastAsia"/>
        </w:rPr>
        <w:t>类，内陆水体</w:t>
      </w:r>
      <w:r>
        <w:t>两栖类</w:t>
      </w:r>
      <w:r>
        <w:t>7</w:t>
      </w:r>
      <w:r>
        <w:t>种、爬行类</w:t>
      </w:r>
      <w:r>
        <w:t>0</w:t>
      </w:r>
      <w:r>
        <w:t>种、鸟类</w:t>
      </w:r>
      <w:r>
        <w:t>7</w:t>
      </w:r>
      <w:r>
        <w:t>种、哺乳类</w:t>
      </w:r>
      <w:r>
        <w:t>0</w:t>
      </w:r>
      <w:r>
        <w:t>种，</w:t>
      </w:r>
      <w:r>
        <w:rPr>
          <w:rFonts w:hint="eastAsia"/>
        </w:rPr>
        <w:t>沼泽</w:t>
      </w:r>
      <w:r>
        <w:t>两栖类</w:t>
      </w:r>
      <w:r>
        <w:t>7</w:t>
      </w:r>
      <w:r>
        <w:t>种、爬行类</w:t>
      </w:r>
      <w:r>
        <w:rPr>
          <w:rFonts w:hint="eastAsia"/>
        </w:rPr>
        <w:t>0</w:t>
      </w:r>
      <w:r>
        <w:t>种、鸟类</w:t>
      </w:r>
      <w:r>
        <w:t>4</w:t>
      </w:r>
      <w:r>
        <w:t>种、哺乳类</w:t>
      </w:r>
      <w:r>
        <w:t>1</w:t>
      </w:r>
      <w:r>
        <w:t>种</w:t>
      </w:r>
      <w:r>
        <w:rPr>
          <w:rFonts w:hint="eastAsia"/>
        </w:rPr>
        <w:t>。</w:t>
      </w:r>
    </w:p>
    <w:p w14:paraId="7353AB7D" w14:textId="77777777" w:rsidR="009D12AF" w:rsidRDefault="00000000">
      <w:pPr>
        <w:pStyle w:val="4"/>
        <w:ind w:firstLineChars="0" w:firstLine="0"/>
        <w:rPr>
          <w:rFonts w:ascii="Times New Roman" w:eastAsia="宋体" w:hAnsi="Times New Roman" w:cs="Times New Roman"/>
          <w:bCs/>
          <w:kern w:val="0"/>
          <w:sz w:val="24"/>
          <w:szCs w:val="20"/>
        </w:rPr>
      </w:pPr>
      <w:r>
        <w:rPr>
          <w:rFonts w:hint="eastAsia"/>
        </w:rPr>
        <w:t>4.3.7.7</w:t>
      </w:r>
      <w:r>
        <w:rPr>
          <w:rFonts w:hint="eastAsia"/>
        </w:rPr>
        <w:t>群力水库生态系统现状调查与评价</w:t>
      </w:r>
    </w:p>
    <w:p w14:paraId="6BE6C27C" w14:textId="77777777" w:rsidR="009D12AF" w:rsidRDefault="00000000">
      <w:pPr>
        <w:ind w:firstLine="480"/>
        <w:rPr>
          <w:rFonts w:ascii="Times New Roman" w:eastAsia="宋体" w:hAnsi="Times New Roman" w:cs="Times New Roman"/>
          <w:kern w:val="0"/>
          <w:szCs w:val="20"/>
        </w:rPr>
      </w:pPr>
      <w:r>
        <w:rPr>
          <w:rFonts w:ascii="Times New Roman" w:eastAsia="宋体" w:hAnsi="Times New Roman" w:cs="Times New Roman"/>
          <w:kern w:val="0"/>
          <w:szCs w:val="20"/>
        </w:rPr>
        <w:t>根据</w:t>
      </w:r>
      <w:r>
        <w:rPr>
          <w:rFonts w:ascii="Times New Roman" w:eastAsia="宋体" w:hAnsi="Times New Roman" w:cs="Times New Roman" w:hint="eastAsia"/>
          <w:kern w:val="0"/>
          <w:szCs w:val="20"/>
        </w:rPr>
        <w:t>遥感解译及生态现状调查资料</w:t>
      </w:r>
      <w:r>
        <w:rPr>
          <w:rFonts w:ascii="Times New Roman" w:eastAsia="宋体" w:hAnsi="Times New Roman" w:cs="Times New Roman"/>
          <w:kern w:val="0"/>
          <w:szCs w:val="20"/>
        </w:rPr>
        <w:t>，依据</w:t>
      </w:r>
      <w:r>
        <w:rPr>
          <w:rFonts w:ascii="Times New Roman" w:eastAsia="宋体" w:hAnsi="Times New Roman" w:cs="Times New Roman" w:hint="eastAsia"/>
          <w:kern w:val="0"/>
          <w:szCs w:val="20"/>
        </w:rPr>
        <w:t>《</w:t>
      </w:r>
      <w:r>
        <w:rPr>
          <w:rFonts w:ascii="Times New Roman" w:eastAsia="宋体" w:hAnsi="Times New Roman" w:cs="Times New Roman"/>
          <w:kern w:val="0"/>
          <w:szCs w:val="20"/>
        </w:rPr>
        <w:t>全国生态状况调查评估技术规范</w:t>
      </w:r>
      <w:r>
        <w:rPr>
          <w:rFonts w:ascii="Times New Roman" w:eastAsia="宋体" w:hAnsi="Times New Roman" w:cs="Times New Roman"/>
          <w:kern w:val="0"/>
          <w:szCs w:val="20"/>
        </w:rPr>
        <w:t>——</w:t>
      </w:r>
      <w:r>
        <w:rPr>
          <w:rFonts w:ascii="Times New Roman" w:eastAsia="宋体" w:hAnsi="Times New Roman" w:cs="Times New Roman"/>
          <w:kern w:val="0"/>
          <w:szCs w:val="20"/>
        </w:rPr>
        <w:t>生态系统遥感解译与野外核查</w:t>
      </w:r>
      <w:r>
        <w:rPr>
          <w:rFonts w:ascii="Times New Roman" w:eastAsia="宋体" w:hAnsi="Times New Roman" w:cs="Times New Roman" w:hint="eastAsia"/>
          <w:kern w:val="0"/>
          <w:szCs w:val="20"/>
        </w:rPr>
        <w:t>》（</w:t>
      </w:r>
      <w:r>
        <w:rPr>
          <w:rFonts w:ascii="Times New Roman" w:eastAsia="宋体" w:hAnsi="Times New Roman" w:cs="Times New Roman"/>
          <w:kern w:val="0"/>
          <w:szCs w:val="20"/>
        </w:rPr>
        <w:t>HJ1166-2021</w:t>
      </w:r>
      <w:r>
        <w:rPr>
          <w:rFonts w:ascii="Times New Roman" w:eastAsia="宋体" w:hAnsi="Times New Roman" w:cs="Times New Roman" w:hint="eastAsia"/>
          <w:kern w:val="0"/>
          <w:szCs w:val="20"/>
        </w:rPr>
        <w:t>）的生态系统分类原则，项目调查范围内</w:t>
      </w:r>
      <w:r>
        <w:rPr>
          <w:rFonts w:ascii="Times New Roman" w:eastAsia="宋体" w:hAnsi="Times New Roman" w:cs="Times New Roman"/>
          <w:kern w:val="0"/>
          <w:szCs w:val="20"/>
        </w:rPr>
        <w:t>主要生态系统包括</w:t>
      </w:r>
      <w:r>
        <w:rPr>
          <w:rFonts w:ascii="Times New Roman" w:eastAsia="宋体" w:hAnsi="Times New Roman" w:cs="Times New Roman" w:hint="eastAsia"/>
          <w:kern w:val="0"/>
          <w:szCs w:val="20"/>
        </w:rPr>
        <w:t>森林生态系统、湿地生态系统、农田生态系统和城镇生态系统。</w:t>
      </w:r>
      <w:r>
        <w:rPr>
          <w:rFonts w:ascii="Times New Roman" w:eastAsia="宋体" w:hAnsi="Times New Roman" w:cs="Times New Roman"/>
          <w:kern w:val="0"/>
          <w:szCs w:val="20"/>
        </w:rPr>
        <w:t>其中</w:t>
      </w:r>
      <w:r>
        <w:rPr>
          <w:rFonts w:ascii="Times New Roman" w:eastAsia="宋体" w:hAnsi="Times New Roman" w:cs="Times New Roman" w:hint="eastAsia"/>
          <w:kern w:val="0"/>
          <w:szCs w:val="20"/>
        </w:rPr>
        <w:t>森林生态系统所占面积</w:t>
      </w:r>
      <w:r>
        <w:rPr>
          <w:rFonts w:ascii="Times New Roman" w:eastAsia="宋体" w:hAnsi="Times New Roman" w:cs="Times New Roman"/>
          <w:kern w:val="0"/>
          <w:szCs w:val="20"/>
        </w:rPr>
        <w:t>最大</w:t>
      </w:r>
      <w:r>
        <w:rPr>
          <w:rFonts w:ascii="Times New Roman" w:eastAsia="宋体" w:hAnsi="Times New Roman" w:cs="Times New Roman" w:hint="eastAsia"/>
          <w:kern w:val="0"/>
          <w:szCs w:val="20"/>
        </w:rPr>
        <w:t>，为</w:t>
      </w:r>
      <w:r>
        <w:rPr>
          <w:rFonts w:ascii="Times New Roman" w:eastAsia="宋体" w:hAnsi="Times New Roman" w:cs="Times New Roman"/>
          <w:kern w:val="0"/>
          <w:szCs w:val="20"/>
        </w:rPr>
        <w:t>354.95 hm²</w:t>
      </w:r>
      <w:r>
        <w:rPr>
          <w:rFonts w:ascii="Times New Roman" w:eastAsia="宋体" w:hAnsi="Times New Roman" w:cs="Times New Roman" w:hint="eastAsia"/>
          <w:kern w:val="0"/>
          <w:szCs w:val="20"/>
        </w:rPr>
        <w:t>，占整个水库工</w:t>
      </w:r>
      <w:r>
        <w:rPr>
          <w:rFonts w:ascii="Times New Roman" w:eastAsia="宋体" w:hAnsi="Times New Roman" w:cs="Times New Roman" w:hint="eastAsia"/>
          <w:kern w:val="0"/>
          <w:szCs w:val="20"/>
        </w:rPr>
        <w:lastRenderedPageBreak/>
        <w:t>程评价范围总面积的</w:t>
      </w:r>
      <w:r>
        <w:rPr>
          <w:rFonts w:ascii="Times New Roman" w:eastAsia="宋体" w:hAnsi="Times New Roman" w:cs="Times New Roman"/>
          <w:kern w:val="0"/>
          <w:szCs w:val="20"/>
        </w:rPr>
        <w:t>37.47 %</w:t>
      </w:r>
      <w:r>
        <w:rPr>
          <w:rFonts w:ascii="Times New Roman" w:eastAsia="宋体" w:hAnsi="Times New Roman" w:cs="Times New Roman" w:hint="eastAsia"/>
          <w:kern w:val="0"/>
          <w:szCs w:val="20"/>
        </w:rPr>
        <w:t>；农田生态系统面积次之，为</w:t>
      </w:r>
      <w:r>
        <w:rPr>
          <w:rFonts w:ascii="Times New Roman" w:eastAsia="宋体" w:hAnsi="Times New Roman" w:cs="Times New Roman" w:hint="eastAsia"/>
          <w:kern w:val="0"/>
          <w:szCs w:val="20"/>
        </w:rPr>
        <w:t>2</w:t>
      </w:r>
      <w:r>
        <w:rPr>
          <w:rFonts w:ascii="Times New Roman" w:eastAsia="宋体" w:hAnsi="Times New Roman" w:cs="Times New Roman"/>
          <w:kern w:val="0"/>
          <w:szCs w:val="20"/>
        </w:rPr>
        <w:t>81.10 hm²</w:t>
      </w:r>
      <w:r>
        <w:rPr>
          <w:rFonts w:ascii="Times New Roman" w:eastAsia="宋体" w:hAnsi="Times New Roman" w:cs="Times New Roman" w:hint="eastAsia"/>
          <w:kern w:val="0"/>
          <w:szCs w:val="20"/>
        </w:rPr>
        <w:t>，占整个项目评价范围总面积的</w:t>
      </w:r>
      <w:r>
        <w:rPr>
          <w:rFonts w:ascii="Times New Roman" w:eastAsia="宋体" w:hAnsi="Times New Roman" w:cs="Times New Roman"/>
          <w:kern w:val="0"/>
          <w:szCs w:val="20"/>
        </w:rPr>
        <w:t>29.67 %</w:t>
      </w:r>
      <w:r>
        <w:rPr>
          <w:rFonts w:ascii="Times New Roman" w:eastAsia="宋体" w:hAnsi="Times New Roman" w:cs="Times New Roman" w:hint="eastAsia"/>
          <w:kern w:val="0"/>
          <w:szCs w:val="20"/>
        </w:rPr>
        <w:t>。评价范围各生态系统面积现状详见表</w:t>
      </w:r>
      <w:r>
        <w:rPr>
          <w:rFonts w:ascii="Times New Roman" w:eastAsia="宋体" w:hAnsi="Times New Roman" w:cs="Times New Roman"/>
          <w:kern w:val="0"/>
          <w:szCs w:val="20"/>
        </w:rPr>
        <w:t>见表</w:t>
      </w:r>
      <w:r>
        <w:rPr>
          <w:rFonts w:ascii="Times New Roman" w:eastAsia="宋体" w:hAnsi="Times New Roman" w:cs="Times New Roman" w:hint="eastAsia"/>
          <w:kern w:val="0"/>
          <w:szCs w:val="20"/>
        </w:rPr>
        <w:t>4.3-61</w:t>
      </w:r>
      <w:r>
        <w:rPr>
          <w:rFonts w:ascii="Times New Roman" w:eastAsia="宋体" w:hAnsi="Times New Roman" w:cs="Times New Roman" w:hint="eastAsia"/>
          <w:kern w:val="0"/>
          <w:szCs w:val="20"/>
        </w:rPr>
        <w:t>，附图</w:t>
      </w:r>
      <w:r>
        <w:rPr>
          <w:rFonts w:ascii="Times New Roman" w:eastAsia="宋体" w:hAnsi="Times New Roman" w:cs="Times New Roman" w:hint="eastAsia"/>
          <w:kern w:val="0"/>
          <w:szCs w:val="20"/>
        </w:rPr>
        <w:t>26</w:t>
      </w:r>
      <w:r>
        <w:rPr>
          <w:rFonts w:ascii="Times New Roman" w:eastAsia="宋体" w:hAnsi="Times New Roman" w:cs="Times New Roman"/>
          <w:kern w:val="0"/>
          <w:szCs w:val="20"/>
        </w:rPr>
        <w:t>。</w:t>
      </w:r>
    </w:p>
    <w:p w14:paraId="0EBFF46E" w14:textId="77777777" w:rsidR="009D12AF" w:rsidRDefault="00000000">
      <w:pPr>
        <w:ind w:firstLine="482"/>
        <w:jc w:val="center"/>
        <w:rPr>
          <w:b/>
          <w:bCs/>
        </w:rPr>
      </w:pPr>
      <w:r>
        <w:rPr>
          <w:b/>
          <w:bCs/>
        </w:rPr>
        <w:t>表</w:t>
      </w:r>
      <w:r>
        <w:rPr>
          <w:rFonts w:hint="eastAsia"/>
          <w:b/>
          <w:bCs/>
        </w:rPr>
        <w:t>4.3-61</w:t>
      </w:r>
      <w:r>
        <w:rPr>
          <w:b/>
          <w:bCs/>
        </w:rPr>
        <w:t xml:space="preserve">  </w:t>
      </w:r>
      <w:r>
        <w:rPr>
          <w:rFonts w:hint="eastAsia"/>
          <w:b/>
          <w:bCs/>
        </w:rPr>
        <w:t>评价范围生态系统面积现状</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386"/>
        <w:gridCol w:w="1151"/>
        <w:gridCol w:w="1906"/>
        <w:gridCol w:w="975"/>
        <w:gridCol w:w="881"/>
        <w:gridCol w:w="1087"/>
        <w:gridCol w:w="1133"/>
      </w:tblGrid>
      <w:tr w:rsidR="009D12AF" w14:paraId="0818ACFA" w14:textId="77777777">
        <w:trPr>
          <w:trHeight w:val="336"/>
          <w:tblHeader/>
          <w:jc w:val="center"/>
        </w:trPr>
        <w:tc>
          <w:tcPr>
            <w:tcW w:w="821" w:type="pct"/>
            <w:tcBorders>
              <w:tl2br w:val="nil"/>
              <w:tr2bl w:val="nil"/>
            </w:tcBorders>
            <w:vAlign w:val="center"/>
          </w:tcPr>
          <w:p w14:paraId="7510CA4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bookmarkStart w:id="331" w:name="_Hlk138060792"/>
            <w:r>
              <w:rPr>
                <w:rFonts w:ascii="Times New Roman" w:eastAsia="宋体" w:hAnsi="Times New Roman" w:cs="Times New Roman" w:hint="eastAsia"/>
                <w:kern w:val="0"/>
                <w:sz w:val="21"/>
                <w:szCs w:val="21"/>
              </w:rPr>
              <w:t>Ⅰ级分类</w:t>
            </w:r>
          </w:p>
        </w:tc>
        <w:tc>
          <w:tcPr>
            <w:tcW w:w="683" w:type="pct"/>
            <w:tcBorders>
              <w:tl2br w:val="nil"/>
              <w:tr2bl w:val="nil"/>
            </w:tcBorders>
            <w:vAlign w:val="center"/>
          </w:tcPr>
          <w:p w14:paraId="202D912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Ⅱ级分类</w:t>
            </w:r>
          </w:p>
        </w:tc>
        <w:tc>
          <w:tcPr>
            <w:tcW w:w="1126" w:type="pct"/>
            <w:tcBorders>
              <w:tl2br w:val="nil"/>
              <w:tr2bl w:val="nil"/>
            </w:tcBorders>
            <w:vAlign w:val="center"/>
          </w:tcPr>
          <w:p w14:paraId="0F25C92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植被类型</w:t>
            </w:r>
          </w:p>
        </w:tc>
        <w:tc>
          <w:tcPr>
            <w:tcW w:w="527" w:type="pct"/>
            <w:tcBorders>
              <w:tl2br w:val="nil"/>
              <w:tr2bl w:val="nil"/>
            </w:tcBorders>
          </w:tcPr>
          <w:p w14:paraId="37A2A40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hint="eastAsia"/>
                <w:kern w:val="0"/>
                <w:sz w:val="21"/>
                <w:szCs w:val="21"/>
              </w:rPr>
              <w:t>面积（</w:t>
            </w:r>
            <w:r>
              <w:rPr>
                <w:rFonts w:ascii="Times New Roman" w:eastAsia="宋体" w:hAnsi="Times New Roman" w:cs="Times New Roman" w:hint="eastAsia"/>
                <w:kern w:val="0"/>
                <w:sz w:val="21"/>
                <w:szCs w:val="21"/>
              </w:rPr>
              <w:t>hm</w:t>
            </w:r>
            <w:r>
              <w:rPr>
                <w:rFonts w:ascii="Times New Roman" w:eastAsia="宋体" w:hAnsi="Times New Roman" w:cs="Times New Roman"/>
                <w:kern w:val="0"/>
                <w:sz w:val="21"/>
                <w:szCs w:val="21"/>
                <w:vertAlign w:val="superscript"/>
              </w:rPr>
              <w:t>2</w:t>
            </w:r>
            <w:r>
              <w:rPr>
                <w:rFonts w:ascii="Times New Roman" w:eastAsia="宋体" w:hAnsi="Times New Roman" w:cs="Times New Roman" w:hint="eastAsia"/>
                <w:kern w:val="0"/>
                <w:sz w:val="21"/>
                <w:szCs w:val="21"/>
              </w:rPr>
              <w:t>）</w:t>
            </w:r>
          </w:p>
        </w:tc>
        <w:tc>
          <w:tcPr>
            <w:tcW w:w="524" w:type="pct"/>
            <w:tcBorders>
              <w:tl2br w:val="nil"/>
              <w:tr2bl w:val="nil"/>
            </w:tcBorders>
          </w:tcPr>
          <w:p w14:paraId="757C5A1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面积占比</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p>
        </w:tc>
        <w:tc>
          <w:tcPr>
            <w:tcW w:w="645" w:type="pct"/>
            <w:tcBorders>
              <w:tl2br w:val="nil"/>
              <w:tr2bl w:val="nil"/>
            </w:tcBorders>
            <w:vAlign w:val="center"/>
          </w:tcPr>
          <w:p w14:paraId="3E9A111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结构</w:t>
            </w:r>
          </w:p>
        </w:tc>
        <w:tc>
          <w:tcPr>
            <w:tcW w:w="672" w:type="pct"/>
            <w:tcBorders>
              <w:tl2br w:val="nil"/>
              <w:tr2bl w:val="nil"/>
            </w:tcBorders>
            <w:vAlign w:val="center"/>
          </w:tcPr>
          <w:p w14:paraId="378F1B5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生态功能</w:t>
            </w:r>
          </w:p>
        </w:tc>
      </w:tr>
      <w:tr w:rsidR="009D12AF" w14:paraId="782627D6" w14:textId="77777777">
        <w:trPr>
          <w:trHeight w:val="1122"/>
          <w:jc w:val="center"/>
        </w:trPr>
        <w:tc>
          <w:tcPr>
            <w:tcW w:w="821" w:type="pct"/>
            <w:vMerge w:val="restart"/>
            <w:tcBorders>
              <w:tl2br w:val="nil"/>
              <w:tr2bl w:val="nil"/>
            </w:tcBorders>
            <w:vAlign w:val="center"/>
          </w:tcPr>
          <w:p w14:paraId="35B0BA87"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Ⅰ森林生态系统</w:t>
            </w:r>
          </w:p>
        </w:tc>
        <w:tc>
          <w:tcPr>
            <w:tcW w:w="683" w:type="pct"/>
            <w:tcBorders>
              <w:tl2br w:val="nil"/>
              <w:tr2bl w:val="nil"/>
            </w:tcBorders>
            <w:vAlign w:val="center"/>
          </w:tcPr>
          <w:p w14:paraId="57F0A05D"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一、</w:t>
            </w:r>
            <w:r>
              <w:rPr>
                <w:rFonts w:ascii="Times New Roman" w:eastAsia="宋体" w:hAnsi="Times New Roman" w:cs="Times New Roman"/>
                <w:kern w:val="0"/>
                <w:sz w:val="21"/>
                <w:szCs w:val="21"/>
              </w:rPr>
              <w:t>阔叶林</w:t>
            </w:r>
          </w:p>
        </w:tc>
        <w:tc>
          <w:tcPr>
            <w:tcW w:w="1126" w:type="pct"/>
            <w:tcBorders>
              <w:tl2br w:val="nil"/>
              <w:tr2bl w:val="nil"/>
            </w:tcBorders>
            <w:vAlign w:val="center"/>
          </w:tcPr>
          <w:p w14:paraId="4544E906"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（一）蒙古栎林</w:t>
            </w:r>
          </w:p>
          <w:p w14:paraId="7FAC71D4"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（二）山杨林</w:t>
            </w:r>
          </w:p>
        </w:tc>
        <w:tc>
          <w:tcPr>
            <w:tcW w:w="527" w:type="pct"/>
            <w:tcBorders>
              <w:tl2br w:val="nil"/>
              <w:tr2bl w:val="nil"/>
            </w:tcBorders>
            <w:vAlign w:val="center"/>
          </w:tcPr>
          <w:p w14:paraId="1597CC60" w14:textId="77777777" w:rsidR="009D12AF" w:rsidRDefault="00000000">
            <w:pPr>
              <w:widowControl/>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107.22</w:t>
            </w:r>
          </w:p>
        </w:tc>
        <w:tc>
          <w:tcPr>
            <w:tcW w:w="524" w:type="pct"/>
            <w:tcBorders>
              <w:tl2br w:val="nil"/>
              <w:tr2bl w:val="nil"/>
            </w:tcBorders>
            <w:vAlign w:val="center"/>
          </w:tcPr>
          <w:p w14:paraId="7B884A2D" w14:textId="77777777" w:rsidR="009D12AF" w:rsidRDefault="00000000">
            <w:pPr>
              <w:widowControl/>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1</w:t>
            </w:r>
            <w:r>
              <w:rPr>
                <w:rFonts w:ascii="Times New Roman" w:eastAsia="宋体" w:hAnsi="Times New Roman" w:cs="Times New Roman"/>
                <w:color w:val="000000"/>
                <w:kern w:val="0"/>
                <w:sz w:val="21"/>
                <w:szCs w:val="21"/>
              </w:rPr>
              <w:t>1.32</w:t>
            </w:r>
          </w:p>
        </w:tc>
        <w:tc>
          <w:tcPr>
            <w:tcW w:w="645" w:type="pct"/>
            <w:vMerge w:val="restart"/>
            <w:tcBorders>
              <w:tl2br w:val="nil"/>
              <w:tr2bl w:val="nil"/>
            </w:tcBorders>
            <w:vAlign w:val="center"/>
          </w:tcPr>
          <w:p w14:paraId="36928F3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乔木层、灌木层和草本层等</w:t>
            </w:r>
          </w:p>
        </w:tc>
        <w:tc>
          <w:tcPr>
            <w:tcW w:w="672" w:type="pct"/>
            <w:vMerge w:val="restart"/>
            <w:tcBorders>
              <w:tl2br w:val="nil"/>
              <w:tr2bl w:val="nil"/>
            </w:tcBorders>
            <w:vAlign w:val="center"/>
          </w:tcPr>
          <w:p w14:paraId="2F8E10C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固定</w:t>
            </w:r>
            <w:r>
              <w:rPr>
                <w:rFonts w:ascii="Times New Roman" w:eastAsia="宋体" w:hAnsi="Times New Roman" w:cs="Times New Roman"/>
                <w:kern w:val="0"/>
                <w:sz w:val="21"/>
                <w:szCs w:val="21"/>
              </w:rPr>
              <w:t xml:space="preserve"> CO</w:t>
            </w:r>
            <w:r>
              <w:rPr>
                <w:rFonts w:ascii="Times New Roman" w:eastAsia="宋体" w:hAnsi="Times New Roman" w:cs="Times New Roman"/>
                <w:kern w:val="0"/>
                <w:sz w:val="21"/>
                <w:szCs w:val="21"/>
                <w:vertAlign w:val="subscript"/>
              </w:rPr>
              <w:t>2</w:t>
            </w:r>
            <w:r>
              <w:rPr>
                <w:rFonts w:ascii="Times New Roman" w:eastAsia="宋体" w:hAnsi="Times New Roman" w:cs="Times New Roman"/>
                <w:kern w:val="0"/>
                <w:sz w:val="21"/>
                <w:szCs w:val="21"/>
              </w:rPr>
              <w:t>、释放氧气、涵养水源，孕育</w:t>
            </w:r>
            <w:r>
              <w:rPr>
                <w:rFonts w:ascii="Times New Roman" w:eastAsia="宋体" w:hAnsi="Times New Roman" w:cs="Times New Roman"/>
                <w:kern w:val="0"/>
                <w:sz w:val="21"/>
                <w:szCs w:val="21"/>
              </w:rPr>
              <w:t xml:space="preserve"> </w:t>
            </w:r>
            <w:r>
              <w:rPr>
                <w:rFonts w:ascii="Times New Roman" w:eastAsia="宋体" w:hAnsi="Times New Roman" w:cs="Times New Roman"/>
                <w:kern w:val="0"/>
                <w:sz w:val="21"/>
                <w:szCs w:val="21"/>
              </w:rPr>
              <w:t>和保存生物多样性</w:t>
            </w:r>
          </w:p>
        </w:tc>
      </w:tr>
      <w:tr w:rsidR="009D12AF" w14:paraId="64CDFB84" w14:textId="77777777">
        <w:trPr>
          <w:trHeight w:val="1215"/>
          <w:jc w:val="center"/>
        </w:trPr>
        <w:tc>
          <w:tcPr>
            <w:tcW w:w="821" w:type="pct"/>
            <w:vMerge/>
            <w:tcBorders>
              <w:tl2br w:val="nil"/>
              <w:tr2bl w:val="nil"/>
            </w:tcBorders>
            <w:vAlign w:val="center"/>
          </w:tcPr>
          <w:p w14:paraId="6AD32783" w14:textId="77777777" w:rsidR="009D12AF" w:rsidRDefault="009D12AF">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p>
        </w:tc>
        <w:tc>
          <w:tcPr>
            <w:tcW w:w="683" w:type="pct"/>
            <w:tcBorders>
              <w:tl2br w:val="nil"/>
              <w:tr2bl w:val="nil"/>
            </w:tcBorders>
            <w:vAlign w:val="center"/>
          </w:tcPr>
          <w:p w14:paraId="419FC6A6"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二、针叶林</w:t>
            </w:r>
          </w:p>
        </w:tc>
        <w:tc>
          <w:tcPr>
            <w:tcW w:w="1126" w:type="pct"/>
            <w:tcBorders>
              <w:tl2br w:val="nil"/>
              <w:tr2bl w:val="nil"/>
            </w:tcBorders>
            <w:vAlign w:val="center"/>
          </w:tcPr>
          <w:p w14:paraId="2994A419"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（三）樟子松林</w:t>
            </w:r>
          </w:p>
          <w:p w14:paraId="46682C19"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（四）兴安落叶松林</w:t>
            </w:r>
          </w:p>
        </w:tc>
        <w:tc>
          <w:tcPr>
            <w:tcW w:w="527" w:type="pct"/>
            <w:tcBorders>
              <w:tl2br w:val="nil"/>
              <w:tr2bl w:val="nil"/>
            </w:tcBorders>
            <w:vAlign w:val="center"/>
          </w:tcPr>
          <w:p w14:paraId="25708CD5" w14:textId="77777777" w:rsidR="009D12AF" w:rsidRDefault="00000000">
            <w:pPr>
              <w:widowControl/>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247.73</w:t>
            </w:r>
          </w:p>
        </w:tc>
        <w:tc>
          <w:tcPr>
            <w:tcW w:w="524" w:type="pct"/>
            <w:tcBorders>
              <w:tl2br w:val="nil"/>
              <w:tr2bl w:val="nil"/>
            </w:tcBorders>
            <w:vAlign w:val="center"/>
          </w:tcPr>
          <w:p w14:paraId="69D7815F" w14:textId="77777777" w:rsidR="009D12AF" w:rsidRDefault="00000000">
            <w:pPr>
              <w:widowControl/>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2</w:t>
            </w:r>
            <w:r>
              <w:rPr>
                <w:rFonts w:ascii="Times New Roman" w:eastAsia="宋体" w:hAnsi="Times New Roman" w:cs="Times New Roman"/>
                <w:color w:val="000000"/>
                <w:kern w:val="0"/>
                <w:sz w:val="21"/>
                <w:szCs w:val="21"/>
              </w:rPr>
              <w:t>6.15</w:t>
            </w:r>
          </w:p>
        </w:tc>
        <w:tc>
          <w:tcPr>
            <w:tcW w:w="645" w:type="pct"/>
            <w:vMerge/>
            <w:tcBorders>
              <w:tl2br w:val="nil"/>
              <w:tr2bl w:val="nil"/>
            </w:tcBorders>
            <w:vAlign w:val="center"/>
          </w:tcPr>
          <w:p w14:paraId="0B8B09FC"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672" w:type="pct"/>
            <w:vMerge/>
            <w:tcBorders>
              <w:tl2br w:val="nil"/>
              <w:tr2bl w:val="nil"/>
            </w:tcBorders>
            <w:vAlign w:val="center"/>
          </w:tcPr>
          <w:p w14:paraId="700AAE4F"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5AB2359A" w14:textId="77777777">
        <w:trPr>
          <w:trHeight w:val="495"/>
          <w:jc w:val="center"/>
        </w:trPr>
        <w:tc>
          <w:tcPr>
            <w:tcW w:w="821" w:type="pct"/>
            <w:vMerge w:val="restart"/>
            <w:tcBorders>
              <w:tl2br w:val="nil"/>
              <w:tr2bl w:val="nil"/>
            </w:tcBorders>
            <w:vAlign w:val="center"/>
          </w:tcPr>
          <w:p w14:paraId="4D36E9AB"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Ⅱ湿地生态系统</w:t>
            </w:r>
          </w:p>
        </w:tc>
        <w:tc>
          <w:tcPr>
            <w:tcW w:w="683" w:type="pct"/>
            <w:tcBorders>
              <w:tl2br w:val="nil"/>
              <w:tr2bl w:val="nil"/>
            </w:tcBorders>
            <w:vAlign w:val="center"/>
          </w:tcPr>
          <w:p w14:paraId="4EAF227B"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三、沼泽</w:t>
            </w:r>
          </w:p>
        </w:tc>
        <w:tc>
          <w:tcPr>
            <w:tcW w:w="1126" w:type="pct"/>
            <w:tcBorders>
              <w:tl2br w:val="nil"/>
              <w:tr2bl w:val="nil"/>
            </w:tcBorders>
            <w:vAlign w:val="center"/>
          </w:tcPr>
          <w:p w14:paraId="2FCAAEF6"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highlight w:val="yellow"/>
              </w:rPr>
            </w:pPr>
            <w:r>
              <w:rPr>
                <w:rFonts w:ascii="Times New Roman" w:eastAsia="宋体" w:hAnsi="Times New Roman" w:cs="Times New Roman" w:hint="eastAsia"/>
                <w:kern w:val="0"/>
                <w:sz w:val="21"/>
                <w:szCs w:val="21"/>
              </w:rPr>
              <w:t>（五）杂类草草甸</w:t>
            </w:r>
          </w:p>
        </w:tc>
        <w:tc>
          <w:tcPr>
            <w:tcW w:w="527" w:type="pct"/>
            <w:tcBorders>
              <w:tl2br w:val="nil"/>
              <w:tr2bl w:val="nil"/>
            </w:tcBorders>
            <w:vAlign w:val="center"/>
          </w:tcPr>
          <w:p w14:paraId="0DA6EAE3" w14:textId="77777777" w:rsidR="009D12AF" w:rsidRDefault="00000000">
            <w:pPr>
              <w:widowControl/>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59.65</w:t>
            </w:r>
          </w:p>
        </w:tc>
        <w:tc>
          <w:tcPr>
            <w:tcW w:w="524" w:type="pct"/>
            <w:tcBorders>
              <w:tl2br w:val="nil"/>
              <w:tr2bl w:val="nil"/>
            </w:tcBorders>
            <w:vAlign w:val="center"/>
          </w:tcPr>
          <w:p w14:paraId="578DBFEF" w14:textId="77777777" w:rsidR="009D12AF" w:rsidRDefault="00000000">
            <w:pPr>
              <w:widowControl/>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6</w:t>
            </w:r>
            <w:r>
              <w:rPr>
                <w:rFonts w:ascii="Times New Roman" w:eastAsia="宋体" w:hAnsi="Times New Roman" w:cs="Times New Roman"/>
                <w:color w:val="000000"/>
                <w:kern w:val="0"/>
                <w:sz w:val="21"/>
                <w:szCs w:val="21"/>
              </w:rPr>
              <w:t>.31</w:t>
            </w:r>
          </w:p>
        </w:tc>
        <w:tc>
          <w:tcPr>
            <w:tcW w:w="645" w:type="pct"/>
            <w:tcBorders>
              <w:tl2br w:val="nil"/>
              <w:tr2bl w:val="nil"/>
            </w:tcBorders>
            <w:vAlign w:val="center"/>
          </w:tcPr>
          <w:p w14:paraId="740919E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一层</w:t>
            </w:r>
          </w:p>
        </w:tc>
        <w:tc>
          <w:tcPr>
            <w:tcW w:w="672" w:type="pct"/>
            <w:vMerge w:val="restart"/>
            <w:tcBorders>
              <w:tl2br w:val="nil"/>
              <w:tr2bl w:val="nil"/>
            </w:tcBorders>
            <w:vAlign w:val="center"/>
          </w:tcPr>
          <w:p w14:paraId="1C328F5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蓄洪防旱、调节气候、保护生物多样性</w:t>
            </w:r>
          </w:p>
        </w:tc>
      </w:tr>
      <w:tr w:rsidR="009D12AF" w14:paraId="30331BA5" w14:textId="77777777">
        <w:trPr>
          <w:trHeight w:val="495"/>
          <w:jc w:val="center"/>
        </w:trPr>
        <w:tc>
          <w:tcPr>
            <w:tcW w:w="821" w:type="pct"/>
            <w:vMerge/>
            <w:tcBorders>
              <w:tl2br w:val="nil"/>
              <w:tr2bl w:val="nil"/>
            </w:tcBorders>
            <w:vAlign w:val="center"/>
          </w:tcPr>
          <w:p w14:paraId="01BF40D9" w14:textId="77777777" w:rsidR="009D12AF" w:rsidRDefault="009D12AF">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p>
        </w:tc>
        <w:tc>
          <w:tcPr>
            <w:tcW w:w="683" w:type="pct"/>
            <w:tcBorders>
              <w:tl2br w:val="nil"/>
              <w:tr2bl w:val="nil"/>
            </w:tcBorders>
            <w:vAlign w:val="center"/>
          </w:tcPr>
          <w:p w14:paraId="21276787"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四、河流</w:t>
            </w:r>
          </w:p>
        </w:tc>
        <w:tc>
          <w:tcPr>
            <w:tcW w:w="1126" w:type="pct"/>
            <w:tcBorders>
              <w:tl2br w:val="nil"/>
              <w:tr2bl w:val="nil"/>
            </w:tcBorders>
            <w:vAlign w:val="center"/>
          </w:tcPr>
          <w:p w14:paraId="7FBB5D5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kern w:val="0"/>
                <w:sz w:val="21"/>
                <w:szCs w:val="21"/>
              </w:rPr>
              <w:t>——</w:t>
            </w:r>
          </w:p>
        </w:tc>
        <w:tc>
          <w:tcPr>
            <w:tcW w:w="527" w:type="pct"/>
            <w:tcBorders>
              <w:tl2br w:val="nil"/>
              <w:tr2bl w:val="nil"/>
            </w:tcBorders>
            <w:vAlign w:val="center"/>
          </w:tcPr>
          <w:p w14:paraId="51F8C565" w14:textId="77777777" w:rsidR="009D12AF" w:rsidRDefault="00000000">
            <w:pPr>
              <w:widowControl/>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221.26</w:t>
            </w:r>
          </w:p>
        </w:tc>
        <w:tc>
          <w:tcPr>
            <w:tcW w:w="524" w:type="pct"/>
            <w:tcBorders>
              <w:tl2br w:val="nil"/>
              <w:tr2bl w:val="nil"/>
            </w:tcBorders>
            <w:vAlign w:val="center"/>
          </w:tcPr>
          <w:p w14:paraId="4FB99805" w14:textId="77777777" w:rsidR="009D12AF" w:rsidRDefault="00000000">
            <w:pPr>
              <w:widowControl/>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2</w:t>
            </w:r>
            <w:r>
              <w:rPr>
                <w:rFonts w:ascii="Times New Roman" w:eastAsia="宋体" w:hAnsi="Times New Roman" w:cs="Times New Roman"/>
                <w:color w:val="000000"/>
                <w:kern w:val="0"/>
                <w:sz w:val="21"/>
                <w:szCs w:val="21"/>
              </w:rPr>
              <w:t>3.36</w:t>
            </w:r>
          </w:p>
        </w:tc>
        <w:tc>
          <w:tcPr>
            <w:tcW w:w="645" w:type="pct"/>
            <w:tcBorders>
              <w:tl2br w:val="nil"/>
              <w:tr2bl w:val="nil"/>
            </w:tcBorders>
            <w:vAlign w:val="center"/>
          </w:tcPr>
          <w:p w14:paraId="1E09D9F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p>
        </w:tc>
        <w:tc>
          <w:tcPr>
            <w:tcW w:w="672" w:type="pct"/>
            <w:vMerge/>
            <w:tcBorders>
              <w:tl2br w:val="nil"/>
              <w:tr2bl w:val="nil"/>
            </w:tcBorders>
            <w:vAlign w:val="center"/>
          </w:tcPr>
          <w:p w14:paraId="7AFBFD58"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13B0586D" w14:textId="77777777">
        <w:trPr>
          <w:trHeight w:val="446"/>
          <w:jc w:val="center"/>
        </w:trPr>
        <w:tc>
          <w:tcPr>
            <w:tcW w:w="821" w:type="pct"/>
            <w:vMerge w:val="restart"/>
            <w:tcBorders>
              <w:tl2br w:val="nil"/>
              <w:tr2bl w:val="nil"/>
            </w:tcBorders>
            <w:vAlign w:val="center"/>
          </w:tcPr>
          <w:p w14:paraId="33B85A64"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Ⅲ农田生态系统</w:t>
            </w:r>
          </w:p>
        </w:tc>
        <w:tc>
          <w:tcPr>
            <w:tcW w:w="683" w:type="pct"/>
            <w:tcBorders>
              <w:tl2br w:val="nil"/>
              <w:tr2bl w:val="nil"/>
            </w:tcBorders>
            <w:vAlign w:val="center"/>
          </w:tcPr>
          <w:p w14:paraId="427072D0"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五、</w:t>
            </w:r>
            <w:r>
              <w:rPr>
                <w:rFonts w:ascii="Times New Roman" w:eastAsia="宋体" w:hAnsi="Times New Roman" w:cs="Times New Roman"/>
                <w:kern w:val="0"/>
                <w:sz w:val="21"/>
                <w:szCs w:val="21"/>
              </w:rPr>
              <w:t>耕地</w:t>
            </w:r>
          </w:p>
        </w:tc>
        <w:tc>
          <w:tcPr>
            <w:tcW w:w="1126" w:type="pct"/>
            <w:tcBorders>
              <w:tl2br w:val="nil"/>
              <w:tr2bl w:val="nil"/>
            </w:tcBorders>
            <w:vAlign w:val="center"/>
          </w:tcPr>
          <w:p w14:paraId="6EF1702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p>
        </w:tc>
        <w:tc>
          <w:tcPr>
            <w:tcW w:w="527" w:type="pct"/>
            <w:tcBorders>
              <w:tl2br w:val="nil"/>
              <w:tr2bl w:val="nil"/>
            </w:tcBorders>
            <w:vAlign w:val="center"/>
          </w:tcPr>
          <w:p w14:paraId="3F6852CC" w14:textId="77777777" w:rsidR="009D12AF" w:rsidRDefault="00000000">
            <w:pPr>
              <w:widowControl/>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280.49</w:t>
            </w:r>
          </w:p>
        </w:tc>
        <w:tc>
          <w:tcPr>
            <w:tcW w:w="524" w:type="pct"/>
            <w:tcBorders>
              <w:tl2br w:val="nil"/>
              <w:tr2bl w:val="nil"/>
            </w:tcBorders>
            <w:vAlign w:val="center"/>
          </w:tcPr>
          <w:p w14:paraId="203D32A7" w14:textId="77777777" w:rsidR="009D12AF" w:rsidRDefault="00000000">
            <w:pPr>
              <w:widowControl/>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2</w:t>
            </w:r>
            <w:r>
              <w:rPr>
                <w:rFonts w:ascii="Times New Roman" w:eastAsia="宋体" w:hAnsi="Times New Roman" w:cs="Times New Roman"/>
                <w:color w:val="000000"/>
                <w:kern w:val="0"/>
                <w:sz w:val="21"/>
                <w:szCs w:val="21"/>
              </w:rPr>
              <w:t>9.61</w:t>
            </w:r>
          </w:p>
        </w:tc>
        <w:tc>
          <w:tcPr>
            <w:tcW w:w="645" w:type="pct"/>
            <w:vMerge w:val="restart"/>
            <w:tcBorders>
              <w:tl2br w:val="nil"/>
              <w:tr2bl w:val="nil"/>
            </w:tcBorders>
            <w:vAlign w:val="center"/>
          </w:tcPr>
          <w:p w14:paraId="66CD02A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p>
        </w:tc>
        <w:tc>
          <w:tcPr>
            <w:tcW w:w="672" w:type="pct"/>
            <w:vMerge w:val="restart"/>
            <w:tcBorders>
              <w:tl2br w:val="nil"/>
              <w:tr2bl w:val="nil"/>
            </w:tcBorders>
            <w:vAlign w:val="center"/>
          </w:tcPr>
          <w:p w14:paraId="61EB1C7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shd w:val="clear" w:color="auto" w:fill="FFFFFF"/>
              </w:rPr>
              <w:t>物质循环、能量流动（最主要</w:t>
            </w:r>
            <w:r>
              <w:rPr>
                <w:rFonts w:ascii="Times New Roman" w:eastAsia="宋体" w:hAnsi="Times New Roman" w:cs="Times New Roman"/>
                <w:kern w:val="0"/>
                <w:sz w:val="21"/>
                <w:szCs w:val="21"/>
                <w:shd w:val="clear" w:color="auto" w:fill="FFFFFF"/>
              </w:rPr>
              <w:t>,</w:t>
            </w:r>
            <w:r>
              <w:rPr>
                <w:rFonts w:ascii="Times New Roman" w:eastAsia="宋体" w:hAnsi="Times New Roman" w:cs="Times New Roman"/>
                <w:kern w:val="0"/>
                <w:sz w:val="21"/>
                <w:szCs w:val="21"/>
                <w:shd w:val="clear" w:color="auto" w:fill="FFFFFF"/>
              </w:rPr>
              <w:t>应使能量尽</w:t>
            </w:r>
            <w:r>
              <w:rPr>
                <w:rFonts w:ascii="Times New Roman" w:eastAsia="宋体" w:hAnsi="Times New Roman" w:cs="Times New Roman" w:hint="eastAsia"/>
                <w:kern w:val="0"/>
                <w:sz w:val="21"/>
                <w:szCs w:val="21"/>
                <w:shd w:val="clear" w:color="auto" w:fill="FFFFFF"/>
              </w:rPr>
              <w:t>可</w:t>
            </w:r>
            <w:r>
              <w:rPr>
                <w:rFonts w:ascii="Times New Roman" w:eastAsia="宋体" w:hAnsi="Times New Roman" w:cs="Times New Roman"/>
                <w:kern w:val="0"/>
                <w:sz w:val="21"/>
                <w:szCs w:val="21"/>
                <w:shd w:val="clear" w:color="auto" w:fill="FFFFFF"/>
              </w:rPr>
              <w:t>能多地流向农作物）、信息传递</w:t>
            </w:r>
          </w:p>
        </w:tc>
      </w:tr>
      <w:tr w:rsidR="009D12AF" w14:paraId="4FA30453" w14:textId="77777777">
        <w:trPr>
          <w:trHeight w:val="415"/>
          <w:jc w:val="center"/>
        </w:trPr>
        <w:tc>
          <w:tcPr>
            <w:tcW w:w="821" w:type="pct"/>
            <w:vMerge/>
            <w:tcBorders>
              <w:tl2br w:val="nil"/>
              <w:tr2bl w:val="nil"/>
            </w:tcBorders>
            <w:vAlign w:val="center"/>
          </w:tcPr>
          <w:p w14:paraId="6F3D1AD9" w14:textId="77777777" w:rsidR="009D12AF" w:rsidRDefault="009D12AF">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p>
        </w:tc>
        <w:tc>
          <w:tcPr>
            <w:tcW w:w="683" w:type="pct"/>
            <w:tcBorders>
              <w:tl2br w:val="nil"/>
              <w:tr2bl w:val="nil"/>
            </w:tcBorders>
            <w:vAlign w:val="center"/>
          </w:tcPr>
          <w:p w14:paraId="163BDB17"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六、园地</w:t>
            </w:r>
          </w:p>
        </w:tc>
        <w:tc>
          <w:tcPr>
            <w:tcW w:w="1126" w:type="pct"/>
            <w:tcBorders>
              <w:tl2br w:val="nil"/>
              <w:tr2bl w:val="nil"/>
            </w:tcBorders>
            <w:vAlign w:val="center"/>
          </w:tcPr>
          <w:p w14:paraId="1150B65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p>
        </w:tc>
        <w:tc>
          <w:tcPr>
            <w:tcW w:w="527" w:type="pct"/>
            <w:tcBorders>
              <w:tl2br w:val="nil"/>
              <w:tr2bl w:val="nil"/>
            </w:tcBorders>
            <w:vAlign w:val="center"/>
          </w:tcPr>
          <w:p w14:paraId="606F9E76" w14:textId="77777777" w:rsidR="009D12AF" w:rsidRDefault="00000000">
            <w:pPr>
              <w:widowControl/>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0.61</w:t>
            </w:r>
          </w:p>
        </w:tc>
        <w:tc>
          <w:tcPr>
            <w:tcW w:w="524" w:type="pct"/>
            <w:tcBorders>
              <w:tl2br w:val="nil"/>
              <w:tr2bl w:val="nil"/>
            </w:tcBorders>
            <w:vAlign w:val="center"/>
          </w:tcPr>
          <w:p w14:paraId="351F0EED" w14:textId="77777777" w:rsidR="009D12AF" w:rsidRDefault="00000000">
            <w:pPr>
              <w:widowControl/>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0</w:t>
            </w:r>
            <w:r>
              <w:rPr>
                <w:rFonts w:ascii="Times New Roman" w:eastAsia="宋体" w:hAnsi="Times New Roman" w:cs="Times New Roman"/>
                <w:color w:val="000000"/>
                <w:kern w:val="0"/>
                <w:sz w:val="21"/>
                <w:szCs w:val="21"/>
              </w:rPr>
              <w:t>.06</w:t>
            </w:r>
          </w:p>
        </w:tc>
        <w:tc>
          <w:tcPr>
            <w:tcW w:w="645" w:type="pct"/>
            <w:vMerge/>
            <w:tcBorders>
              <w:tl2br w:val="nil"/>
              <w:tr2bl w:val="nil"/>
            </w:tcBorders>
            <w:vAlign w:val="center"/>
          </w:tcPr>
          <w:p w14:paraId="038C6FD2"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672" w:type="pct"/>
            <w:vMerge/>
            <w:tcBorders>
              <w:tl2br w:val="nil"/>
              <w:tr2bl w:val="nil"/>
            </w:tcBorders>
            <w:vAlign w:val="center"/>
          </w:tcPr>
          <w:p w14:paraId="3DAA76F9"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shd w:val="clear" w:color="auto" w:fill="FFFFFF"/>
              </w:rPr>
            </w:pPr>
          </w:p>
        </w:tc>
      </w:tr>
      <w:tr w:rsidR="009D12AF" w14:paraId="245C2958" w14:textId="77777777">
        <w:trPr>
          <w:trHeight w:val="558"/>
          <w:jc w:val="center"/>
        </w:trPr>
        <w:tc>
          <w:tcPr>
            <w:tcW w:w="821" w:type="pct"/>
            <w:vMerge w:val="restart"/>
            <w:tcBorders>
              <w:tl2br w:val="nil"/>
              <w:tr2bl w:val="nil"/>
            </w:tcBorders>
            <w:vAlign w:val="center"/>
          </w:tcPr>
          <w:p w14:paraId="3BE9C423"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Ⅳ城镇生态系统</w:t>
            </w:r>
          </w:p>
        </w:tc>
        <w:tc>
          <w:tcPr>
            <w:tcW w:w="683" w:type="pct"/>
            <w:tcBorders>
              <w:tl2br w:val="nil"/>
              <w:tr2bl w:val="nil"/>
            </w:tcBorders>
            <w:vAlign w:val="center"/>
          </w:tcPr>
          <w:p w14:paraId="12164058"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七、工矿交通</w:t>
            </w:r>
          </w:p>
        </w:tc>
        <w:tc>
          <w:tcPr>
            <w:tcW w:w="1126" w:type="pct"/>
            <w:tcBorders>
              <w:tl2br w:val="nil"/>
              <w:tr2bl w:val="nil"/>
            </w:tcBorders>
            <w:vAlign w:val="center"/>
          </w:tcPr>
          <w:p w14:paraId="7AAF2A5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p>
        </w:tc>
        <w:tc>
          <w:tcPr>
            <w:tcW w:w="527" w:type="pct"/>
            <w:tcBorders>
              <w:tl2br w:val="nil"/>
              <w:tr2bl w:val="nil"/>
            </w:tcBorders>
            <w:vAlign w:val="center"/>
          </w:tcPr>
          <w:p w14:paraId="2CF81230" w14:textId="77777777" w:rsidR="009D12AF" w:rsidRDefault="00000000">
            <w:pPr>
              <w:widowControl/>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12.14</w:t>
            </w:r>
          </w:p>
        </w:tc>
        <w:tc>
          <w:tcPr>
            <w:tcW w:w="524" w:type="pct"/>
            <w:tcBorders>
              <w:tl2br w:val="nil"/>
              <w:tr2bl w:val="nil"/>
            </w:tcBorders>
            <w:vAlign w:val="center"/>
          </w:tcPr>
          <w:p w14:paraId="43DE9979" w14:textId="77777777" w:rsidR="009D12AF" w:rsidRDefault="00000000">
            <w:pPr>
              <w:widowControl/>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1</w:t>
            </w:r>
            <w:r>
              <w:rPr>
                <w:rFonts w:ascii="Times New Roman" w:eastAsia="宋体" w:hAnsi="Times New Roman" w:cs="Times New Roman"/>
                <w:color w:val="000000"/>
                <w:kern w:val="0"/>
                <w:sz w:val="21"/>
                <w:szCs w:val="21"/>
              </w:rPr>
              <w:t>.28</w:t>
            </w:r>
          </w:p>
        </w:tc>
        <w:tc>
          <w:tcPr>
            <w:tcW w:w="645" w:type="pct"/>
            <w:vMerge w:val="restart"/>
            <w:tcBorders>
              <w:tl2br w:val="nil"/>
              <w:tr2bl w:val="nil"/>
            </w:tcBorders>
            <w:vAlign w:val="center"/>
          </w:tcPr>
          <w:p w14:paraId="4DB28F3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p>
        </w:tc>
        <w:tc>
          <w:tcPr>
            <w:tcW w:w="672" w:type="pct"/>
            <w:vMerge w:val="restart"/>
            <w:tcBorders>
              <w:tl2br w:val="nil"/>
              <w:tr2bl w:val="nil"/>
            </w:tcBorders>
            <w:vAlign w:val="center"/>
          </w:tcPr>
          <w:p w14:paraId="562D567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宋体" w:cs="Times New Roman"/>
                <w:kern w:val="0"/>
                <w:sz w:val="21"/>
                <w:szCs w:val="21"/>
                <w:shd w:val="clear" w:color="auto" w:fill="FFFFFF"/>
              </w:rPr>
              <w:t>生产功能、</w:t>
            </w:r>
            <w:r>
              <w:rPr>
                <w:rFonts w:ascii="Times New Roman" w:eastAsia="宋体" w:hAnsi="Times New Roman" w:cs="Times New Roman"/>
                <w:kern w:val="0"/>
                <w:sz w:val="21"/>
                <w:szCs w:val="21"/>
                <w:shd w:val="clear" w:color="auto" w:fill="FFFFFF"/>
              </w:rPr>
              <w:t>能量流动、物质循环、</w:t>
            </w:r>
            <w:r>
              <w:rPr>
                <w:rFonts w:ascii="Times New Roman" w:eastAsia="宋体" w:hAnsi="Times New Roman" w:cs="Times New Roman"/>
                <w:kern w:val="0"/>
                <w:sz w:val="21"/>
                <w:szCs w:val="21"/>
                <w:shd w:val="clear" w:color="auto" w:fill="FFFFFF"/>
              </w:rPr>
              <w:t>.</w:t>
            </w:r>
            <w:r>
              <w:rPr>
                <w:rFonts w:ascii="Times New Roman" w:eastAsia="宋体" w:hAnsi="Times New Roman" w:cs="Times New Roman"/>
                <w:kern w:val="0"/>
                <w:sz w:val="21"/>
                <w:szCs w:val="21"/>
                <w:shd w:val="clear" w:color="auto" w:fill="FFFFFF"/>
              </w:rPr>
              <w:t>信息传播</w:t>
            </w:r>
          </w:p>
        </w:tc>
      </w:tr>
      <w:tr w:rsidR="009D12AF" w14:paraId="67A9628F" w14:textId="77777777">
        <w:trPr>
          <w:trHeight w:val="336"/>
          <w:jc w:val="center"/>
        </w:trPr>
        <w:tc>
          <w:tcPr>
            <w:tcW w:w="821" w:type="pct"/>
            <w:vMerge/>
            <w:tcBorders>
              <w:tl2br w:val="nil"/>
              <w:tr2bl w:val="nil"/>
            </w:tcBorders>
            <w:vAlign w:val="center"/>
          </w:tcPr>
          <w:p w14:paraId="7EAADB53" w14:textId="77777777" w:rsidR="009D12AF" w:rsidRDefault="009D12AF">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p>
        </w:tc>
        <w:tc>
          <w:tcPr>
            <w:tcW w:w="683" w:type="pct"/>
            <w:tcBorders>
              <w:tl2br w:val="nil"/>
              <w:tr2bl w:val="nil"/>
            </w:tcBorders>
            <w:vAlign w:val="center"/>
          </w:tcPr>
          <w:p w14:paraId="7BACEE7E"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八、居住地</w:t>
            </w:r>
          </w:p>
        </w:tc>
        <w:tc>
          <w:tcPr>
            <w:tcW w:w="1126" w:type="pct"/>
            <w:tcBorders>
              <w:tl2br w:val="nil"/>
              <w:tr2bl w:val="nil"/>
            </w:tcBorders>
            <w:vAlign w:val="center"/>
          </w:tcPr>
          <w:p w14:paraId="344654F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p>
        </w:tc>
        <w:tc>
          <w:tcPr>
            <w:tcW w:w="527" w:type="pct"/>
            <w:tcBorders>
              <w:tl2br w:val="nil"/>
              <w:tr2bl w:val="nil"/>
            </w:tcBorders>
            <w:vAlign w:val="center"/>
          </w:tcPr>
          <w:p w14:paraId="0936E8BE" w14:textId="77777777" w:rsidR="009D12AF" w:rsidRDefault="00000000">
            <w:pPr>
              <w:widowControl/>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kern w:val="0"/>
                <w:sz w:val="21"/>
                <w:szCs w:val="21"/>
              </w:rPr>
              <w:t>18.08</w:t>
            </w:r>
          </w:p>
        </w:tc>
        <w:tc>
          <w:tcPr>
            <w:tcW w:w="524" w:type="pct"/>
            <w:tcBorders>
              <w:tl2br w:val="nil"/>
              <w:tr2bl w:val="nil"/>
            </w:tcBorders>
            <w:vAlign w:val="center"/>
          </w:tcPr>
          <w:p w14:paraId="1A8B8669" w14:textId="77777777" w:rsidR="009D12AF" w:rsidRDefault="00000000">
            <w:pPr>
              <w:widowControl/>
              <w:ind w:firstLineChars="0" w:firstLine="0"/>
              <w:jc w:val="center"/>
              <w:rPr>
                <w:rFonts w:ascii="Times New Roman" w:eastAsia="宋体" w:hAnsi="Times New Roman" w:cs="Times New Roman"/>
                <w:color w:val="000000"/>
                <w:kern w:val="0"/>
                <w:sz w:val="21"/>
                <w:szCs w:val="21"/>
              </w:rPr>
            </w:pPr>
            <w:r>
              <w:rPr>
                <w:rFonts w:ascii="Times New Roman" w:eastAsia="宋体" w:hAnsi="Times New Roman" w:cs="Times New Roman" w:hint="eastAsia"/>
                <w:color w:val="000000"/>
                <w:kern w:val="0"/>
                <w:sz w:val="21"/>
                <w:szCs w:val="21"/>
              </w:rPr>
              <w:t>1</w:t>
            </w:r>
            <w:r>
              <w:rPr>
                <w:rFonts w:ascii="Times New Roman" w:eastAsia="宋体" w:hAnsi="Times New Roman" w:cs="Times New Roman"/>
                <w:color w:val="000000"/>
                <w:kern w:val="0"/>
                <w:sz w:val="21"/>
                <w:szCs w:val="21"/>
              </w:rPr>
              <w:t>.91</w:t>
            </w:r>
          </w:p>
        </w:tc>
        <w:tc>
          <w:tcPr>
            <w:tcW w:w="645" w:type="pct"/>
            <w:vMerge/>
            <w:tcBorders>
              <w:tl2br w:val="nil"/>
              <w:tr2bl w:val="nil"/>
            </w:tcBorders>
            <w:vAlign w:val="center"/>
          </w:tcPr>
          <w:p w14:paraId="75B02543" w14:textId="77777777" w:rsidR="009D12AF" w:rsidRDefault="009D12AF">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p>
        </w:tc>
        <w:tc>
          <w:tcPr>
            <w:tcW w:w="672" w:type="pct"/>
            <w:vMerge/>
            <w:tcBorders>
              <w:tl2br w:val="nil"/>
              <w:tr2bl w:val="nil"/>
            </w:tcBorders>
            <w:vAlign w:val="center"/>
          </w:tcPr>
          <w:p w14:paraId="0192613F" w14:textId="77777777" w:rsidR="009D12AF" w:rsidRDefault="009D12AF">
            <w:pPr>
              <w:widowControl/>
              <w:adjustRightInd w:val="0"/>
              <w:snapToGrid w:val="0"/>
              <w:spacing w:line="360" w:lineRule="atLeast"/>
              <w:ind w:firstLineChars="0" w:firstLine="0"/>
              <w:jc w:val="left"/>
              <w:rPr>
                <w:rFonts w:ascii="Times New Roman" w:eastAsia="宋体" w:hAnsi="宋体" w:cs="Times New Roman" w:hint="eastAsia"/>
                <w:color w:val="0000FF"/>
                <w:kern w:val="0"/>
                <w:sz w:val="21"/>
                <w:szCs w:val="21"/>
                <w:u w:val="single"/>
                <w:shd w:val="clear" w:color="auto" w:fill="FFFFFF"/>
              </w:rPr>
            </w:pPr>
          </w:p>
        </w:tc>
      </w:tr>
    </w:tbl>
    <w:bookmarkEnd w:id="331"/>
    <w:p w14:paraId="6836FC63" w14:textId="77777777" w:rsidR="009D12AF" w:rsidRDefault="00000000">
      <w:pPr>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一、森林生态系统</w:t>
      </w:r>
    </w:p>
    <w:p w14:paraId="207D519C"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t>本区域典型的生态系统为森林生态系统，在评价区内广泛分布。项目所在范围</w:t>
      </w:r>
      <w:r>
        <w:rPr>
          <w:rFonts w:ascii="Times New Roman" w:eastAsia="宋体" w:hAnsi="Times New Roman" w:cs="Times New Roman" w:hint="eastAsia"/>
          <w:kern w:val="0"/>
        </w:rPr>
        <w:t>阔叶</w:t>
      </w:r>
      <w:r>
        <w:rPr>
          <w:rFonts w:ascii="Times New Roman" w:eastAsia="宋体" w:hAnsi="Times New Roman" w:cs="Times New Roman"/>
          <w:kern w:val="0"/>
        </w:rPr>
        <w:t>林按植被类型分类包括</w:t>
      </w:r>
      <w:r>
        <w:rPr>
          <w:rFonts w:ascii="Times New Roman" w:eastAsia="宋体" w:hAnsi="Times New Roman" w:cs="Times New Roman" w:hint="eastAsia"/>
          <w:kern w:val="0"/>
        </w:rPr>
        <w:t>蒙古栎林（</w:t>
      </w:r>
      <w:r>
        <w:rPr>
          <w:rFonts w:ascii="Times New Roman" w:eastAsia="宋体" w:hAnsi="Times New Roman" w:cs="Times New Roman" w:hint="eastAsia"/>
          <w:kern w:val="0"/>
        </w:rPr>
        <w:t>Form</w:t>
      </w:r>
      <w:r>
        <w:rPr>
          <w:rFonts w:ascii="Times New Roman" w:eastAsia="宋体" w:hAnsi="Times New Roman" w:cs="Times New Roman"/>
          <w:kern w:val="0"/>
        </w:rPr>
        <w:t xml:space="preserve">. </w:t>
      </w:r>
      <w:r>
        <w:rPr>
          <w:rFonts w:ascii="Times New Roman" w:eastAsia="宋体" w:hAnsi="Times New Roman" w:cs="Times New Roman"/>
          <w:i/>
          <w:iCs/>
          <w:kern w:val="0"/>
        </w:rPr>
        <w:t>Quercus mongolica</w:t>
      </w:r>
      <w:r>
        <w:rPr>
          <w:rFonts w:ascii="Times New Roman" w:eastAsia="宋体" w:hAnsi="Times New Roman" w:cs="Times New Roman" w:hint="eastAsia"/>
          <w:kern w:val="0"/>
        </w:rPr>
        <w:t>）、</w:t>
      </w:r>
      <w:r>
        <w:rPr>
          <w:rFonts w:ascii="Times New Roman" w:eastAsia="宋体" w:hAnsi="Times New Roman" w:cs="Times New Roman"/>
          <w:kern w:val="0"/>
        </w:rPr>
        <w:t>山杨林</w:t>
      </w:r>
      <w:r>
        <w:rPr>
          <w:rFonts w:ascii="Times New Roman" w:eastAsia="宋体" w:hAnsi="Times New Roman" w:cs="Times New Roman"/>
          <w:kern w:val="0"/>
        </w:rPr>
        <w:lastRenderedPageBreak/>
        <w:t>（</w:t>
      </w:r>
      <w:r>
        <w:rPr>
          <w:rFonts w:ascii="Times New Roman" w:eastAsia="宋体" w:hAnsi="Times New Roman" w:cs="Times New Roman"/>
          <w:kern w:val="0"/>
        </w:rPr>
        <w:t>Form.</w:t>
      </w:r>
      <w:r>
        <w:rPr>
          <w:rFonts w:ascii="Times New Roman" w:eastAsia="宋体" w:hAnsi="Times New Roman" w:cs="Times New Roman"/>
          <w:i/>
          <w:iCs/>
          <w:kern w:val="0"/>
        </w:rPr>
        <w:t>Populus davidiana</w:t>
      </w:r>
      <w:r>
        <w:rPr>
          <w:rFonts w:ascii="Times New Roman" w:eastAsia="宋体" w:hAnsi="Times New Roman" w:cs="Times New Roman"/>
          <w:kern w:val="0"/>
        </w:rPr>
        <w:t>）；针叶林包括兴安落叶松林（</w:t>
      </w:r>
      <w:r>
        <w:rPr>
          <w:rFonts w:ascii="Times New Roman" w:eastAsia="宋体" w:hAnsi="Times New Roman" w:cs="Times New Roman"/>
          <w:kern w:val="0"/>
        </w:rPr>
        <w:t>Form.</w:t>
      </w:r>
      <w:r>
        <w:rPr>
          <w:rFonts w:ascii="宋体" w:eastAsia="宋体" w:hAnsi="宋体" w:cs="宋体"/>
          <w:kern w:val="0"/>
        </w:rPr>
        <w:t xml:space="preserve"> </w:t>
      </w:r>
      <w:r>
        <w:rPr>
          <w:rFonts w:ascii="Times New Roman" w:eastAsia="宋体" w:hAnsi="Times New Roman" w:cs="Times New Roman"/>
          <w:i/>
          <w:iCs/>
          <w:kern w:val="0"/>
        </w:rPr>
        <w:t>Larix olgensis A. Henry</w:t>
      </w:r>
      <w:r>
        <w:rPr>
          <w:rFonts w:ascii="Times New Roman" w:eastAsia="宋体" w:hAnsi="Times New Roman" w:cs="Times New Roman"/>
          <w:kern w:val="0"/>
        </w:rPr>
        <w:t>）</w:t>
      </w:r>
      <w:r>
        <w:rPr>
          <w:rFonts w:ascii="Times New Roman" w:eastAsia="宋体" w:hAnsi="Times New Roman" w:cs="Times New Roman" w:hint="eastAsia"/>
          <w:kern w:val="0"/>
        </w:rPr>
        <w:t>和樟子松林（</w:t>
      </w:r>
      <w:r>
        <w:rPr>
          <w:rFonts w:ascii="Times New Roman" w:eastAsia="宋体" w:hAnsi="Times New Roman" w:cs="Times New Roman" w:hint="eastAsia"/>
          <w:kern w:val="0"/>
        </w:rPr>
        <w:t>Form</w:t>
      </w:r>
      <w:r>
        <w:rPr>
          <w:rFonts w:ascii="Times New Roman" w:eastAsia="宋体" w:hAnsi="Times New Roman" w:cs="Times New Roman"/>
          <w:kern w:val="0"/>
        </w:rPr>
        <w:t xml:space="preserve">. </w:t>
      </w:r>
      <w:r>
        <w:rPr>
          <w:rFonts w:ascii="Times New Roman" w:eastAsia="宋体" w:hAnsi="Times New Roman" w:cs="Times New Roman"/>
          <w:i/>
          <w:iCs/>
          <w:kern w:val="0"/>
        </w:rPr>
        <w:t>Pinus sylvestris var. mongholica</w:t>
      </w:r>
      <w:r>
        <w:rPr>
          <w:rFonts w:ascii="Times New Roman" w:eastAsia="宋体" w:hAnsi="Times New Roman" w:cs="Times New Roman" w:hint="eastAsia"/>
          <w:kern w:val="0"/>
        </w:rPr>
        <w:t>）</w:t>
      </w:r>
      <w:r>
        <w:rPr>
          <w:rFonts w:ascii="Times New Roman" w:eastAsia="宋体" w:hAnsi="Times New Roman" w:cs="Times New Roman"/>
          <w:kern w:val="0"/>
        </w:rPr>
        <w:t>。</w:t>
      </w:r>
    </w:p>
    <w:p w14:paraId="02B099E1" w14:textId="77777777" w:rsidR="009D12AF" w:rsidRDefault="00000000">
      <w:pPr>
        <w:ind w:firstLine="504"/>
        <w:rPr>
          <w:rFonts w:ascii="Times New Roman" w:eastAsia="宋体" w:hAnsi="Times New Roman" w:cs="Times New Roman"/>
          <w:kern w:val="0"/>
        </w:rPr>
      </w:pPr>
      <w:r>
        <w:rPr>
          <w:rFonts w:ascii="Times New Roman" w:eastAsia="宋体" w:hAnsi="Times New Roman" w:cs="Times New Roman"/>
          <w:spacing w:val="6"/>
          <w:kern w:val="0"/>
        </w:rPr>
        <w:t>项目所在范围森林生态系统中分布</w:t>
      </w:r>
      <w:r>
        <w:rPr>
          <w:rFonts w:ascii="Times New Roman" w:eastAsia="宋体" w:hAnsi="Times New Roman" w:cs="Times New Roman"/>
          <w:kern w:val="0"/>
        </w:rPr>
        <w:t>的常见野生动物中，两爬类有东北林蛙（</w:t>
      </w:r>
      <w:r>
        <w:rPr>
          <w:rFonts w:ascii="Times New Roman" w:eastAsia="宋体" w:hAnsi="Times New Roman" w:cs="Times New Roman"/>
          <w:i/>
          <w:iCs/>
          <w:kern w:val="0"/>
        </w:rPr>
        <w:t>Rana amurensis</w:t>
      </w:r>
      <w:r>
        <w:rPr>
          <w:rFonts w:ascii="Times New Roman" w:eastAsia="宋体" w:hAnsi="Times New Roman" w:cs="Times New Roman"/>
          <w:kern w:val="0"/>
        </w:rPr>
        <w:t>）、</w:t>
      </w:r>
      <w:r>
        <w:rPr>
          <w:rFonts w:ascii="Times New Roman" w:eastAsia="宋体" w:hAnsi="Times New Roman" w:cs="Times New Roman" w:hint="eastAsia"/>
          <w:kern w:val="0"/>
        </w:rPr>
        <w:t>黑龙江</w:t>
      </w:r>
      <w:r>
        <w:rPr>
          <w:rFonts w:ascii="Times New Roman" w:eastAsia="宋体" w:hAnsi="Times New Roman" w:cs="Times New Roman"/>
          <w:kern w:val="0"/>
        </w:rPr>
        <w:t>林蛙（</w:t>
      </w:r>
      <w:r>
        <w:rPr>
          <w:rFonts w:ascii="Times New Roman" w:eastAsia="宋体" w:hAnsi="Times New Roman" w:cs="Times New Roman"/>
          <w:i/>
          <w:iCs/>
          <w:kern w:val="0"/>
        </w:rPr>
        <w:t>Rana chensinensis</w:t>
      </w:r>
      <w:r>
        <w:rPr>
          <w:rFonts w:ascii="Times New Roman" w:eastAsia="宋体" w:hAnsi="Times New Roman" w:cs="Times New Roman"/>
          <w:kern w:val="0"/>
        </w:rPr>
        <w:t>）、中华蟾蜍（</w:t>
      </w:r>
      <w:r>
        <w:rPr>
          <w:rFonts w:ascii="Times New Roman" w:eastAsia="宋体" w:hAnsi="Times New Roman" w:cs="Times New Roman"/>
          <w:i/>
          <w:iCs/>
          <w:kern w:val="0"/>
        </w:rPr>
        <w:t>Bufo gargarizans</w:t>
      </w:r>
      <w:r>
        <w:rPr>
          <w:rFonts w:ascii="Times New Roman" w:eastAsia="宋体" w:hAnsi="Times New Roman" w:cs="Times New Roman"/>
          <w:kern w:val="0"/>
        </w:rPr>
        <w:t>）等，鸟类有大杜鹃（</w:t>
      </w:r>
      <w:r>
        <w:rPr>
          <w:rFonts w:ascii="Times New Roman" w:eastAsia="宋体" w:hAnsi="Times New Roman" w:cs="Times New Roman"/>
          <w:i/>
          <w:iCs/>
          <w:kern w:val="0"/>
        </w:rPr>
        <w:t>Cuculus canorus</w:t>
      </w:r>
      <w:r>
        <w:rPr>
          <w:rFonts w:ascii="Times New Roman" w:eastAsia="宋体" w:hAnsi="Times New Roman" w:cs="Times New Roman"/>
          <w:kern w:val="0"/>
        </w:rPr>
        <w:t>）、鹌鹑（</w:t>
      </w:r>
      <w:r>
        <w:rPr>
          <w:rFonts w:ascii="Times New Roman" w:eastAsia="宋体" w:hAnsi="Times New Roman" w:cs="Times New Roman"/>
          <w:i/>
          <w:iCs/>
          <w:kern w:val="0"/>
        </w:rPr>
        <w:t>Coturnix japonica</w:t>
      </w:r>
      <w:r>
        <w:rPr>
          <w:rFonts w:ascii="Times New Roman" w:eastAsia="宋体" w:hAnsi="Times New Roman" w:cs="Times New Roman"/>
          <w:kern w:val="0"/>
        </w:rPr>
        <w:t>）等，兽类有黄鼬（</w:t>
      </w:r>
      <w:r>
        <w:rPr>
          <w:rFonts w:ascii="Times New Roman" w:eastAsia="宋体" w:hAnsi="Times New Roman" w:cs="Times New Roman"/>
          <w:i/>
          <w:iCs/>
          <w:kern w:val="0"/>
        </w:rPr>
        <w:t>Mustela sibirica</w:t>
      </w:r>
      <w:r>
        <w:rPr>
          <w:rFonts w:ascii="Times New Roman" w:eastAsia="宋体" w:hAnsi="Times New Roman" w:cs="Times New Roman"/>
          <w:kern w:val="0"/>
        </w:rPr>
        <w:t>）、松鼠（</w:t>
      </w:r>
      <w:r>
        <w:rPr>
          <w:rFonts w:ascii="Times New Roman" w:eastAsia="宋体" w:hAnsi="Times New Roman" w:cs="Times New Roman"/>
          <w:i/>
          <w:iCs/>
          <w:kern w:val="0"/>
        </w:rPr>
        <w:t>Sciurus vulgaris</w:t>
      </w:r>
      <w:r>
        <w:rPr>
          <w:rFonts w:ascii="Times New Roman" w:eastAsia="宋体" w:hAnsi="Times New Roman" w:cs="Times New Roman"/>
          <w:kern w:val="0"/>
        </w:rPr>
        <w:t>）等。</w:t>
      </w:r>
    </w:p>
    <w:p w14:paraId="4C0BF5CC" w14:textId="77777777" w:rsidR="009D12AF" w:rsidRDefault="00000000">
      <w:pPr>
        <w:ind w:firstLine="480"/>
        <w:rPr>
          <w:rFonts w:ascii="Times New Roman" w:eastAsia="宋体" w:hAnsi="Times New Roman" w:cs="Times New Roman"/>
          <w:kern w:val="0"/>
        </w:rPr>
      </w:pPr>
      <w:r>
        <w:rPr>
          <w:rFonts w:ascii="Times New Roman" w:eastAsia="宋体" w:hAnsi="Times New Roman" w:cs="Times New Roman" w:hint="eastAsia"/>
          <w:kern w:val="0"/>
        </w:rPr>
        <w:t>二、湿地生态系统</w:t>
      </w:r>
    </w:p>
    <w:p w14:paraId="01E181A3" w14:textId="77777777" w:rsidR="009D12AF" w:rsidRDefault="00000000">
      <w:pPr>
        <w:ind w:firstLine="480"/>
        <w:rPr>
          <w:rFonts w:ascii="宋体" w:eastAsia="宋体" w:hAnsi="宋体" w:cs="宋体" w:hint="eastAsia"/>
          <w:kern w:val="0"/>
        </w:rPr>
      </w:pPr>
      <w:r>
        <w:rPr>
          <w:rFonts w:ascii="宋体" w:eastAsia="宋体" w:hAnsi="宋体" w:cs="宋体"/>
          <w:kern w:val="0"/>
        </w:rPr>
        <w:t>项目所在范围河流属湿地生态系统，具有蓄洪防旱、调节气候、保护生物多样性等作用</w:t>
      </w:r>
      <w:r>
        <w:rPr>
          <w:rFonts w:ascii="宋体" w:eastAsia="宋体" w:hAnsi="宋体" w:cs="宋体" w:hint="eastAsia"/>
          <w:kern w:val="0"/>
        </w:rPr>
        <w:t>。由于项目评价范围内河流生态系统紧邻森林生态系统，故二者在动物种类上多有交集，如两栖类的极北鲵（</w:t>
      </w:r>
      <w:r>
        <w:rPr>
          <w:rFonts w:ascii="宋体" w:eastAsia="宋体" w:hAnsi="宋体" w:cs="宋体"/>
          <w:i/>
          <w:iCs/>
          <w:kern w:val="0"/>
        </w:rPr>
        <w:t>Salamandrella</w:t>
      </w:r>
      <w:r>
        <w:rPr>
          <w:rFonts w:ascii="宋体" w:eastAsia="宋体" w:hAnsi="宋体" w:cs="宋体" w:hint="eastAsia"/>
          <w:i/>
          <w:iCs/>
          <w:kern w:val="0"/>
        </w:rPr>
        <w:t xml:space="preserve"> </w:t>
      </w:r>
      <w:r>
        <w:rPr>
          <w:rFonts w:ascii="宋体" w:eastAsia="宋体" w:hAnsi="宋体" w:cs="宋体"/>
          <w:i/>
          <w:iCs/>
          <w:kern w:val="0"/>
        </w:rPr>
        <w:t>keyserlingii</w:t>
      </w:r>
      <w:r>
        <w:rPr>
          <w:rFonts w:ascii="宋体" w:eastAsia="宋体" w:hAnsi="宋体" w:cs="宋体" w:hint="eastAsia"/>
          <w:kern w:val="0"/>
        </w:rPr>
        <w:t>）在森林临近水系的草甸中有发现。湿地生态系统中多为鸟类，常见的包括</w:t>
      </w:r>
      <w:r>
        <w:rPr>
          <w:rFonts w:ascii="宋体" w:eastAsia="宋体" w:hAnsi="宋体" w:cs="宋体"/>
          <w:kern w:val="0"/>
        </w:rPr>
        <w:t>中华秋沙鸭</w:t>
      </w:r>
      <w:r>
        <w:rPr>
          <w:rFonts w:ascii="宋体" w:eastAsia="宋体" w:hAnsi="宋体" w:cs="宋体" w:hint="eastAsia"/>
          <w:kern w:val="0"/>
        </w:rPr>
        <w:t>（</w:t>
      </w:r>
      <w:r>
        <w:rPr>
          <w:rFonts w:ascii="宋体" w:eastAsia="宋体" w:hAnsi="宋体" w:cs="宋体"/>
          <w:i/>
          <w:iCs/>
          <w:kern w:val="0"/>
        </w:rPr>
        <w:t>Mergus squamatus</w:t>
      </w:r>
      <w:r>
        <w:rPr>
          <w:rFonts w:ascii="宋体" w:eastAsia="宋体" w:hAnsi="宋体" w:cs="宋体" w:hint="eastAsia"/>
          <w:kern w:val="0"/>
        </w:rPr>
        <w:t>）、</w:t>
      </w:r>
      <w:r>
        <w:rPr>
          <w:rFonts w:ascii="宋体" w:eastAsia="宋体" w:hAnsi="宋体" w:cs="宋体"/>
          <w:kern w:val="0"/>
        </w:rPr>
        <w:t>鸳鸯</w:t>
      </w:r>
      <w:r>
        <w:rPr>
          <w:rFonts w:ascii="宋体" w:eastAsia="宋体" w:hAnsi="宋体" w:cs="宋体" w:hint="eastAsia"/>
          <w:kern w:val="0"/>
        </w:rPr>
        <w:t>（</w:t>
      </w:r>
      <w:r>
        <w:rPr>
          <w:rFonts w:ascii="宋体" w:eastAsia="宋体" w:hAnsi="宋体" w:cs="宋体"/>
          <w:i/>
          <w:iCs/>
          <w:kern w:val="0"/>
        </w:rPr>
        <w:t>Aix galericulata</w:t>
      </w:r>
      <w:r>
        <w:rPr>
          <w:rFonts w:ascii="宋体" w:eastAsia="宋体" w:hAnsi="宋体" w:cs="宋体" w:hint="eastAsia"/>
          <w:kern w:val="0"/>
        </w:rPr>
        <w:t>）等。</w:t>
      </w:r>
    </w:p>
    <w:p w14:paraId="4336EB42" w14:textId="77777777" w:rsidR="009D12AF" w:rsidRDefault="00000000">
      <w:pPr>
        <w:ind w:firstLine="480"/>
        <w:rPr>
          <w:rFonts w:ascii="宋体" w:eastAsia="宋体" w:hAnsi="宋体" w:cs="宋体" w:hint="eastAsia"/>
          <w:kern w:val="0"/>
        </w:rPr>
      </w:pPr>
      <w:r>
        <w:rPr>
          <w:rFonts w:ascii="宋体" w:eastAsia="宋体" w:hAnsi="宋体" w:cs="宋体" w:hint="eastAsia"/>
          <w:kern w:val="0"/>
        </w:rPr>
        <w:t>三、农田生态系统</w:t>
      </w:r>
    </w:p>
    <w:p w14:paraId="2CEC20CA" w14:textId="77777777" w:rsidR="009D12AF" w:rsidRDefault="00000000">
      <w:pPr>
        <w:widowControl/>
        <w:ind w:firstLine="480"/>
        <w:jc w:val="left"/>
        <w:rPr>
          <w:rFonts w:ascii="宋体" w:eastAsia="宋体" w:hAnsi="宋体" w:cs="宋体" w:hint="eastAsia"/>
          <w:kern w:val="0"/>
        </w:rPr>
      </w:pPr>
      <w:r>
        <w:rPr>
          <w:rFonts w:ascii="宋体" w:eastAsia="宋体" w:hAnsi="宋体" w:cs="宋体" w:hint="eastAsia"/>
          <w:kern w:val="0"/>
        </w:rPr>
        <w:t xml:space="preserve">农田生态系统主要受人为的支配和干预，占据主要地位的是农作物，如玉米、水稻等，其次是一些栖息农田的兽类动物如褐家鼠、黑线姬鼠等，鸟类有麻雀和喜鹊等伴人鸟类，以及与这些农业生物关系密切的生物种群。由于附近村民有目的地选择与控制，其他的生物种类和数目一般较少，生物多样性显著低于同一地区的森林生态系统。 </w:t>
      </w:r>
    </w:p>
    <w:p w14:paraId="79B2BFBE" w14:textId="77777777" w:rsidR="009D12AF" w:rsidRDefault="00000000">
      <w:pPr>
        <w:ind w:firstLine="480"/>
        <w:rPr>
          <w:rFonts w:ascii="宋体" w:eastAsia="宋体" w:hAnsi="宋体" w:cs="宋体" w:hint="eastAsia"/>
          <w:kern w:val="0"/>
        </w:rPr>
      </w:pPr>
      <w:r>
        <w:rPr>
          <w:rFonts w:ascii="宋体" w:eastAsia="宋体" w:hAnsi="宋体" w:cs="宋体" w:hint="eastAsia"/>
          <w:kern w:val="0"/>
        </w:rPr>
        <w:t>评价区农田生态系统由人工栽培植物为主，主要植物有玉米、高粱等、蔬菜等。农田生态系统相对简单，物种类型简单，人为干扰严重，评价区中分布的两栖类主要有黑龙江林蛙，由于耕地生态系统水份条件较差，两栖类的分布受限，鲜有分布。爬行类偶见蛇类，但是均是由于湿度原因爬出洞穴的临时行为。鸟类较少，多为伴人鸟类，如：麻雀，未见在农田生态系统内筑巢并繁殖成功的鸟类，因人类干扰巨大。兽类在农田生态系统中主要分布的是小型的啮齿类为主，取食人类的粮食作物，如各种老鼠。</w:t>
      </w:r>
    </w:p>
    <w:p w14:paraId="5972DE79" w14:textId="77777777" w:rsidR="009D12AF" w:rsidRDefault="00000000">
      <w:pPr>
        <w:ind w:firstLine="480"/>
        <w:rPr>
          <w:rFonts w:ascii="宋体" w:eastAsia="宋体" w:hAnsi="宋体" w:cs="宋体" w:hint="eastAsia"/>
          <w:kern w:val="0"/>
        </w:rPr>
      </w:pPr>
      <w:r>
        <w:rPr>
          <w:rFonts w:ascii="宋体" w:eastAsia="宋体" w:hAnsi="宋体" w:cs="宋体" w:hint="eastAsia"/>
          <w:kern w:val="0"/>
        </w:rPr>
        <w:t>四、城镇生态系统</w:t>
      </w:r>
    </w:p>
    <w:p w14:paraId="26CDAAF0" w14:textId="77777777" w:rsidR="009D12AF" w:rsidRDefault="00000000">
      <w:pPr>
        <w:widowControl/>
        <w:ind w:firstLine="480"/>
        <w:jc w:val="left"/>
        <w:rPr>
          <w:rFonts w:ascii="宋体" w:hAnsi="宋体" w:cs="宋体" w:hint="eastAsia"/>
          <w:kern w:val="0"/>
        </w:rPr>
      </w:pPr>
      <w:r>
        <w:rPr>
          <w:rFonts w:ascii="宋体" w:eastAsia="宋体" w:hAnsi="宋体" w:cs="宋体" w:hint="eastAsia"/>
          <w:kern w:val="0"/>
        </w:rPr>
        <w:t>项目评价区城镇生态系统为人工主导型，分布于城镇建成区，依赖人为规划维护，自然组分占比极低。植被以人工栽培为主，原生植被消失；野生动物多样</w:t>
      </w:r>
      <w:r>
        <w:rPr>
          <w:rFonts w:ascii="宋体" w:eastAsia="宋体" w:hAnsi="宋体" w:cs="宋体" w:hint="eastAsia"/>
          <w:kern w:val="0"/>
        </w:rPr>
        <w:lastRenderedPageBreak/>
        <w:t>性及数量极低；鸟类以麻雀、家燕等伴人型为主，无稳定繁殖种群；兽类多为褐家鼠等小型啮齿类，种群规模小。</w:t>
      </w:r>
    </w:p>
    <w:p w14:paraId="3B239101" w14:textId="77777777" w:rsidR="009D12AF" w:rsidRDefault="00000000">
      <w:pPr>
        <w:widowControl/>
        <w:ind w:firstLine="480"/>
        <w:jc w:val="left"/>
        <w:rPr>
          <w:rFonts w:ascii="宋体" w:eastAsia="宋体" w:hAnsi="宋体" w:cs="宋体" w:hint="eastAsia"/>
          <w:kern w:val="0"/>
        </w:rPr>
      </w:pPr>
      <w:r>
        <w:rPr>
          <w:rFonts w:ascii="宋体" w:eastAsia="宋体" w:hAnsi="宋体" w:cs="宋体" w:hint="eastAsia"/>
          <w:kern w:val="0"/>
        </w:rPr>
        <w:t>该系统结构简单，生物多样性远低于森林、湿地及农田生态系统，物质循环与能量流动依赖人为干预，自我调节能力弱，且与周边生态系统生物交流有限。评价区居住地、工况交通用地具有能量流动、物质循环、信息传播等方面的作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9"/>
        <w:gridCol w:w="4253"/>
      </w:tblGrid>
      <w:tr w:rsidR="009D12AF" w14:paraId="72751D42" w14:textId="77777777">
        <w:tc>
          <w:tcPr>
            <w:tcW w:w="4269" w:type="dxa"/>
          </w:tcPr>
          <w:p w14:paraId="5E7EA8B4"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noProof/>
                <w:kern w:val="0"/>
                <w:sz w:val="21"/>
                <w:szCs w:val="21"/>
              </w:rPr>
              <w:drawing>
                <wp:inline distT="0" distB="0" distL="0" distR="0" wp14:anchorId="1AA10148" wp14:editId="1C5E20CE">
                  <wp:extent cx="2539365" cy="1479550"/>
                  <wp:effectExtent l="0" t="0" r="13335" b="635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noChangeArrowheads="1"/>
                          </pic:cNvPicPr>
                        </pic:nvPicPr>
                        <pic:blipFill>
                          <a:blip r:embed="rId231" cstate="screen">
                            <a:extLst>
                              <a:ext uri="{28A0092B-C50C-407E-A947-70E740481C1C}">
                                <a14:useLocalDpi xmlns:a14="http://schemas.microsoft.com/office/drawing/2010/main"/>
                              </a:ext>
                            </a:extLst>
                          </a:blip>
                          <a:srcRect/>
                          <a:stretch>
                            <a:fillRect/>
                          </a:stretch>
                        </pic:blipFill>
                        <pic:spPr>
                          <a:xfrm>
                            <a:off x="0" y="0"/>
                            <a:ext cx="2550409" cy="1485985"/>
                          </a:xfrm>
                          <a:prstGeom prst="rect">
                            <a:avLst/>
                          </a:prstGeom>
                          <a:noFill/>
                          <a:ln>
                            <a:noFill/>
                          </a:ln>
                        </pic:spPr>
                      </pic:pic>
                    </a:graphicData>
                  </a:graphic>
                </wp:inline>
              </w:drawing>
            </w:r>
          </w:p>
        </w:tc>
        <w:tc>
          <w:tcPr>
            <w:tcW w:w="4253" w:type="dxa"/>
          </w:tcPr>
          <w:p w14:paraId="3C1AFD53"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noProof/>
                <w:kern w:val="0"/>
                <w:sz w:val="21"/>
                <w:szCs w:val="21"/>
              </w:rPr>
              <w:drawing>
                <wp:inline distT="0" distB="0" distL="0" distR="0" wp14:anchorId="76B26FE1" wp14:editId="3875DAF8">
                  <wp:extent cx="2520315" cy="1517650"/>
                  <wp:effectExtent l="0" t="0" r="13335" b="635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232" cstate="screen">
                            <a:extLst>
                              <a:ext uri="{28A0092B-C50C-407E-A947-70E740481C1C}">
                                <a14:useLocalDpi xmlns:a14="http://schemas.microsoft.com/office/drawing/2010/main"/>
                              </a:ext>
                            </a:extLst>
                          </a:blip>
                          <a:stretch>
                            <a:fillRect/>
                          </a:stretch>
                        </pic:blipFill>
                        <pic:spPr>
                          <a:xfrm>
                            <a:off x="0" y="0"/>
                            <a:ext cx="2547545" cy="1534047"/>
                          </a:xfrm>
                          <a:prstGeom prst="rect">
                            <a:avLst/>
                          </a:prstGeom>
                        </pic:spPr>
                      </pic:pic>
                    </a:graphicData>
                  </a:graphic>
                </wp:inline>
              </w:drawing>
            </w:r>
          </w:p>
        </w:tc>
      </w:tr>
      <w:tr w:rsidR="009D12AF" w14:paraId="5534CFC2" w14:textId="77777777">
        <w:tc>
          <w:tcPr>
            <w:tcW w:w="4269" w:type="dxa"/>
          </w:tcPr>
          <w:p w14:paraId="11F0717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hint="eastAsia"/>
                <w:kern w:val="0"/>
                <w:sz w:val="21"/>
                <w:szCs w:val="21"/>
              </w:rPr>
              <w:t>森林生态系统</w:t>
            </w:r>
          </w:p>
        </w:tc>
        <w:tc>
          <w:tcPr>
            <w:tcW w:w="4253" w:type="dxa"/>
          </w:tcPr>
          <w:p w14:paraId="503D280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hint="eastAsia"/>
                <w:kern w:val="0"/>
                <w:sz w:val="21"/>
                <w:szCs w:val="21"/>
              </w:rPr>
              <w:t>湿地生态系统</w:t>
            </w:r>
          </w:p>
        </w:tc>
      </w:tr>
      <w:tr w:rsidR="009D12AF" w14:paraId="0B27B643" w14:textId="77777777">
        <w:tc>
          <w:tcPr>
            <w:tcW w:w="4269" w:type="dxa"/>
          </w:tcPr>
          <w:p w14:paraId="6613290E"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highlight w:val="yellow"/>
              </w:rPr>
            </w:pPr>
            <w:r>
              <w:rPr>
                <w:rFonts w:ascii="Times New Roman" w:eastAsia="宋体" w:hAnsi="Times New Roman" w:cs="Times New Roman"/>
                <w:noProof/>
                <w:kern w:val="0"/>
                <w:sz w:val="21"/>
                <w:szCs w:val="21"/>
              </w:rPr>
              <w:drawing>
                <wp:inline distT="0" distB="0" distL="0" distR="0" wp14:anchorId="28909A9C" wp14:editId="3920C016">
                  <wp:extent cx="2571750" cy="1631950"/>
                  <wp:effectExtent l="0" t="0" r="0" b="635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233" cstate="screen">
                            <a:extLst>
                              <a:ext uri="{28A0092B-C50C-407E-A947-70E740481C1C}">
                                <a14:useLocalDpi xmlns:a14="http://schemas.microsoft.com/office/drawing/2010/main"/>
                              </a:ext>
                            </a:extLst>
                          </a:blip>
                          <a:stretch>
                            <a:fillRect/>
                          </a:stretch>
                        </pic:blipFill>
                        <pic:spPr>
                          <a:xfrm>
                            <a:off x="0" y="0"/>
                            <a:ext cx="2571750" cy="1631950"/>
                          </a:xfrm>
                          <a:prstGeom prst="rect">
                            <a:avLst/>
                          </a:prstGeom>
                        </pic:spPr>
                      </pic:pic>
                    </a:graphicData>
                  </a:graphic>
                </wp:inline>
              </w:drawing>
            </w:r>
          </w:p>
        </w:tc>
        <w:tc>
          <w:tcPr>
            <w:tcW w:w="4253" w:type="dxa"/>
          </w:tcPr>
          <w:p w14:paraId="081AE74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noProof/>
                <w:sz w:val="21"/>
                <w:szCs w:val="21"/>
              </w:rPr>
              <w:drawing>
                <wp:inline distT="0" distB="0" distL="0" distR="0" wp14:anchorId="58939599" wp14:editId="4F48DBB0">
                  <wp:extent cx="2507615" cy="1631315"/>
                  <wp:effectExtent l="0" t="0" r="6985" b="6985"/>
                  <wp:docPr id="1420171802" name="图片 142017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71802" name="图片 1420171802"/>
                          <pic:cNvPicPr>
                            <a:picLocks noChangeAspect="1" noChangeArrowheads="1"/>
                          </pic:cNvPicPr>
                        </pic:nvPicPr>
                        <pic:blipFill>
                          <a:blip r:embed="rId234">
                            <a:extLst>
                              <a:ext uri="{28A0092B-C50C-407E-A947-70E740481C1C}">
                                <a14:useLocalDpi xmlns:a14="http://schemas.microsoft.com/office/drawing/2010/main"/>
                              </a:ext>
                            </a:extLst>
                          </a:blip>
                          <a:srcRect/>
                          <a:stretch>
                            <a:fillRect/>
                          </a:stretch>
                        </pic:blipFill>
                        <pic:spPr>
                          <a:xfrm>
                            <a:off x="0" y="0"/>
                            <a:ext cx="2569811" cy="1671646"/>
                          </a:xfrm>
                          <a:prstGeom prst="rect">
                            <a:avLst/>
                          </a:prstGeom>
                          <a:noFill/>
                          <a:ln>
                            <a:noFill/>
                          </a:ln>
                        </pic:spPr>
                      </pic:pic>
                    </a:graphicData>
                  </a:graphic>
                </wp:inline>
              </w:drawing>
            </w:r>
          </w:p>
        </w:tc>
      </w:tr>
      <w:tr w:rsidR="009D12AF" w14:paraId="060B68D6" w14:textId="77777777">
        <w:tc>
          <w:tcPr>
            <w:tcW w:w="4269" w:type="dxa"/>
          </w:tcPr>
          <w:p w14:paraId="0D87DA8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hint="eastAsia"/>
                <w:kern w:val="0"/>
                <w:sz w:val="21"/>
                <w:szCs w:val="21"/>
              </w:rPr>
              <w:t>农田生态系统</w:t>
            </w:r>
          </w:p>
        </w:tc>
        <w:tc>
          <w:tcPr>
            <w:tcW w:w="4253" w:type="dxa"/>
          </w:tcPr>
          <w:p w14:paraId="2FD7D4C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hint="eastAsia"/>
                <w:kern w:val="0"/>
                <w:sz w:val="21"/>
                <w:szCs w:val="21"/>
              </w:rPr>
              <w:t>城镇生态系统</w:t>
            </w:r>
          </w:p>
        </w:tc>
      </w:tr>
    </w:tbl>
    <w:p w14:paraId="7EC17B3B" w14:textId="77777777" w:rsidR="009D12AF" w:rsidRDefault="00000000">
      <w:pPr>
        <w:pStyle w:val="4"/>
        <w:ind w:firstLineChars="0" w:firstLine="0"/>
      </w:pPr>
      <w:r>
        <w:rPr>
          <w:rFonts w:hint="eastAsia"/>
        </w:rPr>
        <w:t>4.3.7.8</w:t>
      </w:r>
      <w:r>
        <w:rPr>
          <w:rFonts w:hint="eastAsia"/>
        </w:rPr>
        <w:t>群力水库生态质量现状与评价</w:t>
      </w:r>
    </w:p>
    <w:p w14:paraId="5FA18E0D" w14:textId="77777777" w:rsidR="009D12AF" w:rsidRDefault="00000000">
      <w:pPr>
        <w:ind w:firstLine="480"/>
      </w:pPr>
      <w:r>
        <w:rPr>
          <w:rFonts w:hint="eastAsia"/>
        </w:rPr>
        <w:t>一、景观生态体系质量现状</w:t>
      </w:r>
    </w:p>
    <w:p w14:paraId="53D3803B" w14:textId="77777777" w:rsidR="009D12AF" w:rsidRDefault="00000000">
      <w:pPr>
        <w:widowControl/>
        <w:ind w:firstLine="480"/>
        <w:jc w:val="left"/>
        <w:rPr>
          <w:rFonts w:ascii="宋体" w:eastAsia="宋体" w:hAnsi="宋体" w:cs="宋体" w:hint="eastAsia"/>
          <w:kern w:val="0"/>
        </w:rPr>
      </w:pPr>
      <w:r>
        <w:rPr>
          <w:rFonts w:ascii="Times New Roman" w:eastAsia="宋体" w:hAnsi="Times New Roman" w:cs="Times New Roman" w:hint="eastAsia"/>
          <w:kern w:val="0"/>
        </w:rPr>
        <w:t>（</w:t>
      </w:r>
      <w:r>
        <w:rPr>
          <w:rFonts w:ascii="Times New Roman" w:eastAsia="宋体" w:hAnsi="Times New Roman" w:cs="Times New Roman"/>
          <w:kern w:val="0"/>
        </w:rPr>
        <w:t>1</w:t>
      </w:r>
      <w:r>
        <w:rPr>
          <w:rFonts w:ascii="Times New Roman" w:eastAsia="宋体" w:hAnsi="Times New Roman" w:cs="Times New Roman" w:hint="eastAsia"/>
          <w:kern w:val="0"/>
        </w:rPr>
        <w:t>）</w:t>
      </w:r>
      <w:r>
        <w:rPr>
          <w:rFonts w:ascii="宋体" w:eastAsia="宋体" w:hAnsi="宋体" w:cs="宋体" w:hint="eastAsia"/>
          <w:kern w:val="0"/>
        </w:rPr>
        <w:t>根据评价区域景观生态类型以及优势度，分析评价区域景观生态质量。景观生态系统的质量现状由评价范围内的自然环境、各种生物以及人类社会之间复杂的相互作用来决定。从景观生态学结构与功能相匹配的理论来说，结构是否合理决定了景观功能的优劣，在组成景观生态系统的各类组分中，模地是景观的背景区域，它在很大程度上决定了景观的性质，对景观的动态起着主导作用。评价区景观生态类型空间格局优势度指标见表</w:t>
      </w:r>
      <w:r>
        <w:rPr>
          <w:rFonts w:ascii="Times New Roman" w:eastAsia="宋体" w:hAnsi="Times New Roman" w:cs="Times New Roman" w:hint="eastAsia"/>
          <w:kern w:val="0"/>
        </w:rPr>
        <w:t>4.3-62</w:t>
      </w:r>
      <w:r>
        <w:rPr>
          <w:rFonts w:ascii="宋体" w:eastAsia="宋体" w:hAnsi="宋体" w:cs="宋体" w:hint="eastAsia"/>
          <w:kern w:val="0"/>
        </w:rPr>
        <w:t>。</w:t>
      </w:r>
    </w:p>
    <w:p w14:paraId="73EB4CC5" w14:textId="77777777" w:rsidR="009D12AF" w:rsidRDefault="00000000">
      <w:pPr>
        <w:ind w:firstLine="482"/>
        <w:jc w:val="center"/>
        <w:rPr>
          <w:b/>
          <w:bCs/>
        </w:rPr>
      </w:pPr>
      <w:r>
        <w:rPr>
          <w:rFonts w:hint="eastAsia"/>
          <w:b/>
          <w:bCs/>
        </w:rPr>
        <w:t>表</w:t>
      </w:r>
      <w:r>
        <w:rPr>
          <w:rFonts w:hint="eastAsia"/>
          <w:b/>
          <w:bCs/>
        </w:rPr>
        <w:t>4.3-62</w:t>
      </w:r>
      <w:r>
        <w:rPr>
          <w:b/>
          <w:bCs/>
        </w:rPr>
        <w:t xml:space="preserve">  </w:t>
      </w:r>
      <w:r>
        <w:rPr>
          <w:rFonts w:hint="eastAsia"/>
          <w:b/>
          <w:bCs/>
        </w:rPr>
        <w:t>项目调查范围各类景观优势度</w:t>
      </w:r>
    </w:p>
    <w:tbl>
      <w:tblPr>
        <w:tblpPr w:leftFromText="181" w:rightFromText="181" w:bottomFromText="284" w:vertAnchor="text" w:tblpXSpec="center" w:tblpY="1"/>
        <w:tblOverlap w:val="never"/>
        <w:tblW w:w="8399"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237"/>
        <w:gridCol w:w="1233"/>
        <w:gridCol w:w="825"/>
        <w:gridCol w:w="1335"/>
        <w:gridCol w:w="1312"/>
        <w:gridCol w:w="1208"/>
        <w:gridCol w:w="1249"/>
      </w:tblGrid>
      <w:tr w:rsidR="009D12AF" w14:paraId="53BE5377" w14:textId="77777777">
        <w:tc>
          <w:tcPr>
            <w:tcW w:w="1237" w:type="dxa"/>
            <w:tcBorders>
              <w:tl2br w:val="nil"/>
              <w:tr2bl w:val="nil"/>
            </w:tcBorders>
            <w:vAlign w:val="center"/>
          </w:tcPr>
          <w:p w14:paraId="24ED0CA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类型</w:t>
            </w:r>
          </w:p>
        </w:tc>
        <w:tc>
          <w:tcPr>
            <w:tcW w:w="1233" w:type="dxa"/>
            <w:tcBorders>
              <w:tl2br w:val="nil"/>
              <w:tr2bl w:val="nil"/>
            </w:tcBorders>
            <w:vAlign w:val="center"/>
          </w:tcPr>
          <w:p w14:paraId="350AB8C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面积</w:t>
            </w:r>
          </w:p>
          <w:p w14:paraId="775FBC4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lastRenderedPageBreak/>
              <w:t>（</w:t>
            </w:r>
            <w:r>
              <w:rPr>
                <w:rFonts w:ascii="Times New Roman" w:eastAsia="宋体" w:hAnsi="Times New Roman" w:cs="Times New Roman"/>
                <w:kern w:val="0"/>
                <w:szCs w:val="15"/>
              </w:rPr>
              <w:t>hm</w:t>
            </w:r>
            <w:r>
              <w:rPr>
                <w:rFonts w:ascii="Times New Roman" w:eastAsia="宋体" w:hAnsi="Times New Roman" w:cs="Times New Roman"/>
                <w:kern w:val="0"/>
                <w:szCs w:val="15"/>
                <w:vertAlign w:val="superscript"/>
              </w:rPr>
              <w:t>2</w:t>
            </w:r>
            <w:r>
              <w:rPr>
                <w:rFonts w:ascii="Times New Roman" w:eastAsia="宋体" w:hAnsi="Times New Roman" w:cs="Times New Roman"/>
                <w:kern w:val="0"/>
                <w:szCs w:val="15"/>
              </w:rPr>
              <w:t>）</w:t>
            </w:r>
          </w:p>
        </w:tc>
        <w:tc>
          <w:tcPr>
            <w:tcW w:w="825" w:type="dxa"/>
            <w:tcBorders>
              <w:tl2br w:val="nil"/>
              <w:tr2bl w:val="nil"/>
            </w:tcBorders>
            <w:vAlign w:val="center"/>
          </w:tcPr>
          <w:p w14:paraId="2EC5DD2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lastRenderedPageBreak/>
              <w:t>斑块</w:t>
            </w:r>
            <w:r>
              <w:rPr>
                <w:rFonts w:ascii="Times New Roman" w:eastAsia="宋体" w:hAnsi="Times New Roman" w:cs="Times New Roman"/>
                <w:kern w:val="0"/>
                <w:szCs w:val="15"/>
              </w:rPr>
              <w:lastRenderedPageBreak/>
              <w:t>个数</w:t>
            </w:r>
          </w:p>
        </w:tc>
        <w:tc>
          <w:tcPr>
            <w:tcW w:w="1335" w:type="dxa"/>
            <w:tcBorders>
              <w:tl2br w:val="nil"/>
              <w:tr2bl w:val="nil"/>
            </w:tcBorders>
            <w:vAlign w:val="center"/>
          </w:tcPr>
          <w:p w14:paraId="77C235B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lastRenderedPageBreak/>
              <w:t>景观</w:t>
            </w:r>
            <w:r>
              <w:rPr>
                <w:rFonts w:ascii="Times New Roman" w:eastAsia="宋体" w:hAnsi="Times New Roman" w:cs="Times New Roman"/>
                <w:kern w:val="0"/>
                <w:szCs w:val="15"/>
              </w:rPr>
              <w:t>比例</w:t>
            </w:r>
            <w:r>
              <w:rPr>
                <w:rFonts w:ascii="Times New Roman" w:eastAsia="宋体" w:hAnsi="Times New Roman" w:cs="Times New Roman" w:hint="eastAsia"/>
                <w:kern w:val="0"/>
                <w:szCs w:val="15"/>
              </w:rPr>
              <w:lastRenderedPageBreak/>
              <w:t>Lp</w:t>
            </w:r>
            <w:r>
              <w:rPr>
                <w:rFonts w:ascii="Times New Roman" w:eastAsia="宋体" w:hAnsi="Times New Roman" w:cs="Times New Roman"/>
                <w:kern w:val="0"/>
                <w:szCs w:val="15"/>
              </w:rPr>
              <w:t>（</w:t>
            </w:r>
            <w:r>
              <w:rPr>
                <w:rFonts w:ascii="Times New Roman" w:eastAsia="宋体" w:hAnsi="Times New Roman" w:cs="Times New Roman"/>
                <w:kern w:val="0"/>
                <w:szCs w:val="15"/>
              </w:rPr>
              <w:t>%</w:t>
            </w:r>
            <w:r>
              <w:rPr>
                <w:rFonts w:ascii="Times New Roman" w:eastAsia="宋体" w:hAnsi="Times New Roman" w:cs="Times New Roman"/>
                <w:kern w:val="0"/>
                <w:szCs w:val="15"/>
              </w:rPr>
              <w:t>）</w:t>
            </w:r>
          </w:p>
        </w:tc>
        <w:tc>
          <w:tcPr>
            <w:tcW w:w="1312" w:type="dxa"/>
            <w:tcBorders>
              <w:tl2br w:val="nil"/>
              <w:tr2bl w:val="nil"/>
            </w:tcBorders>
            <w:vAlign w:val="center"/>
          </w:tcPr>
          <w:p w14:paraId="7094E80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lastRenderedPageBreak/>
              <w:t>密度</w:t>
            </w:r>
            <w:r>
              <w:rPr>
                <w:rFonts w:ascii="Times New Roman" w:eastAsia="宋体" w:hAnsi="Times New Roman" w:cs="Times New Roman" w:hint="eastAsia"/>
                <w:kern w:val="0"/>
                <w:szCs w:val="15"/>
              </w:rPr>
              <w:t>Rd</w:t>
            </w:r>
          </w:p>
          <w:p w14:paraId="1B9565E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lastRenderedPageBreak/>
              <w:t>（</w:t>
            </w:r>
            <w:r>
              <w:rPr>
                <w:rFonts w:ascii="Times New Roman" w:eastAsia="宋体" w:hAnsi="Times New Roman" w:cs="Times New Roman"/>
                <w:kern w:val="0"/>
                <w:szCs w:val="15"/>
              </w:rPr>
              <w:t>%</w:t>
            </w:r>
            <w:r>
              <w:rPr>
                <w:rFonts w:ascii="Times New Roman" w:eastAsia="宋体" w:hAnsi="Times New Roman" w:cs="Times New Roman"/>
                <w:kern w:val="0"/>
                <w:szCs w:val="15"/>
              </w:rPr>
              <w:t>）</w:t>
            </w:r>
          </w:p>
        </w:tc>
        <w:tc>
          <w:tcPr>
            <w:tcW w:w="1208" w:type="dxa"/>
            <w:tcBorders>
              <w:tl2br w:val="nil"/>
              <w:tr2bl w:val="nil"/>
            </w:tcBorders>
            <w:vAlign w:val="center"/>
          </w:tcPr>
          <w:p w14:paraId="4D72116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lastRenderedPageBreak/>
              <w:t>频度</w:t>
            </w:r>
            <w:r>
              <w:rPr>
                <w:rFonts w:ascii="Times New Roman" w:eastAsia="宋体" w:hAnsi="Times New Roman" w:cs="Times New Roman" w:hint="eastAsia"/>
                <w:kern w:val="0"/>
                <w:szCs w:val="15"/>
              </w:rPr>
              <w:t>Rf</w:t>
            </w:r>
          </w:p>
          <w:p w14:paraId="2C134E4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lastRenderedPageBreak/>
              <w:t>（</w:t>
            </w:r>
            <w:r>
              <w:rPr>
                <w:rFonts w:ascii="Times New Roman" w:eastAsia="宋体" w:hAnsi="Times New Roman" w:cs="Times New Roman"/>
                <w:kern w:val="0"/>
                <w:szCs w:val="15"/>
              </w:rPr>
              <w:t>%</w:t>
            </w:r>
            <w:r>
              <w:rPr>
                <w:rFonts w:ascii="Times New Roman" w:eastAsia="宋体" w:hAnsi="Times New Roman" w:cs="Times New Roman"/>
                <w:kern w:val="0"/>
                <w:szCs w:val="15"/>
              </w:rPr>
              <w:t>）</w:t>
            </w:r>
          </w:p>
        </w:tc>
        <w:tc>
          <w:tcPr>
            <w:tcW w:w="1249" w:type="dxa"/>
            <w:tcBorders>
              <w:tl2br w:val="nil"/>
              <w:tr2bl w:val="nil"/>
            </w:tcBorders>
            <w:vAlign w:val="center"/>
          </w:tcPr>
          <w:p w14:paraId="7BAEBEC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lastRenderedPageBreak/>
              <w:t>优势度</w:t>
            </w:r>
            <w:r>
              <w:rPr>
                <w:rFonts w:ascii="Times New Roman" w:eastAsia="宋体" w:hAnsi="Times New Roman" w:cs="Times New Roman" w:hint="eastAsia"/>
                <w:kern w:val="0"/>
                <w:szCs w:val="15"/>
              </w:rPr>
              <w:lastRenderedPageBreak/>
              <w:t>Do</w:t>
            </w:r>
          </w:p>
          <w:p w14:paraId="79DAA37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w:t>
            </w:r>
            <w:r>
              <w:rPr>
                <w:rFonts w:ascii="Times New Roman" w:eastAsia="宋体" w:hAnsi="Times New Roman" w:cs="Times New Roman"/>
                <w:kern w:val="0"/>
                <w:szCs w:val="15"/>
              </w:rPr>
              <w:t>%</w:t>
            </w:r>
            <w:r>
              <w:rPr>
                <w:rFonts w:ascii="Times New Roman" w:eastAsia="宋体" w:hAnsi="Times New Roman" w:cs="Times New Roman"/>
                <w:kern w:val="0"/>
                <w:szCs w:val="15"/>
              </w:rPr>
              <w:t>）</w:t>
            </w:r>
          </w:p>
        </w:tc>
      </w:tr>
      <w:tr w:rsidR="009D12AF" w14:paraId="39B7E380" w14:textId="77777777">
        <w:tc>
          <w:tcPr>
            <w:tcW w:w="1237" w:type="dxa"/>
            <w:tcBorders>
              <w:tl2br w:val="nil"/>
              <w:tr2bl w:val="nil"/>
            </w:tcBorders>
            <w:vAlign w:val="center"/>
          </w:tcPr>
          <w:p w14:paraId="4794D57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lastRenderedPageBreak/>
              <w:t>城镇景观</w:t>
            </w:r>
          </w:p>
        </w:tc>
        <w:tc>
          <w:tcPr>
            <w:tcW w:w="1233" w:type="dxa"/>
            <w:tcBorders>
              <w:tl2br w:val="nil"/>
              <w:tr2bl w:val="nil"/>
            </w:tcBorders>
            <w:vAlign w:val="center"/>
          </w:tcPr>
          <w:p w14:paraId="33CE433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18.08</w:t>
            </w:r>
          </w:p>
        </w:tc>
        <w:tc>
          <w:tcPr>
            <w:tcW w:w="825" w:type="dxa"/>
            <w:tcBorders>
              <w:tl2br w:val="nil"/>
              <w:tr2bl w:val="nil"/>
            </w:tcBorders>
            <w:vAlign w:val="center"/>
          </w:tcPr>
          <w:p w14:paraId="0AF69BE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1</w:t>
            </w:r>
            <w:r>
              <w:rPr>
                <w:rFonts w:ascii="Times New Roman" w:eastAsia="宋体" w:hAnsi="Times New Roman" w:cs="Times New Roman" w:hint="eastAsia"/>
                <w:kern w:val="0"/>
                <w:szCs w:val="15"/>
              </w:rPr>
              <w:t>5</w:t>
            </w:r>
          </w:p>
        </w:tc>
        <w:tc>
          <w:tcPr>
            <w:tcW w:w="1335" w:type="dxa"/>
            <w:tcBorders>
              <w:tl2br w:val="nil"/>
              <w:tr2bl w:val="nil"/>
            </w:tcBorders>
            <w:vAlign w:val="center"/>
          </w:tcPr>
          <w:p w14:paraId="31C6F85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1.91</w:t>
            </w:r>
            <w:r>
              <w:rPr>
                <w:rFonts w:ascii="Times New Roman" w:eastAsia="宋体" w:hAnsi="Times New Roman" w:cs="Times New Roman"/>
                <w:kern w:val="0"/>
                <w:szCs w:val="15"/>
              </w:rPr>
              <w:t xml:space="preserve"> </w:t>
            </w:r>
          </w:p>
        </w:tc>
        <w:tc>
          <w:tcPr>
            <w:tcW w:w="1312" w:type="dxa"/>
            <w:tcBorders>
              <w:tl2br w:val="nil"/>
              <w:tr2bl w:val="nil"/>
            </w:tcBorders>
            <w:vAlign w:val="center"/>
          </w:tcPr>
          <w:p w14:paraId="3931967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8.33</w:t>
            </w:r>
            <w:r>
              <w:rPr>
                <w:rFonts w:ascii="Times New Roman" w:eastAsia="宋体" w:hAnsi="Times New Roman" w:cs="Times New Roman"/>
                <w:kern w:val="0"/>
                <w:szCs w:val="15"/>
              </w:rPr>
              <w:t xml:space="preserve"> </w:t>
            </w:r>
          </w:p>
        </w:tc>
        <w:tc>
          <w:tcPr>
            <w:tcW w:w="1208" w:type="dxa"/>
            <w:tcBorders>
              <w:tl2br w:val="nil"/>
              <w:tr2bl w:val="nil"/>
            </w:tcBorders>
            <w:vAlign w:val="center"/>
          </w:tcPr>
          <w:p w14:paraId="3E65446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0.00</w:t>
            </w:r>
            <w:r>
              <w:rPr>
                <w:rFonts w:ascii="Times New Roman" w:eastAsia="宋体" w:hAnsi="Times New Roman" w:cs="Times New Roman"/>
                <w:kern w:val="0"/>
                <w:szCs w:val="15"/>
              </w:rPr>
              <w:t xml:space="preserve"> </w:t>
            </w:r>
          </w:p>
        </w:tc>
        <w:tc>
          <w:tcPr>
            <w:tcW w:w="1249" w:type="dxa"/>
            <w:tcBorders>
              <w:tl2br w:val="nil"/>
              <w:tr2bl w:val="nil"/>
            </w:tcBorders>
            <w:vAlign w:val="center"/>
          </w:tcPr>
          <w:p w14:paraId="4DFE8EC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3.03</w:t>
            </w:r>
          </w:p>
        </w:tc>
      </w:tr>
      <w:tr w:rsidR="009D12AF" w14:paraId="1C396828" w14:textId="77777777">
        <w:tc>
          <w:tcPr>
            <w:tcW w:w="1237" w:type="dxa"/>
            <w:tcBorders>
              <w:tl2br w:val="nil"/>
              <w:tr2bl w:val="nil"/>
            </w:tcBorders>
            <w:vAlign w:val="center"/>
          </w:tcPr>
          <w:p w14:paraId="5E9F675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道路景观</w:t>
            </w:r>
          </w:p>
        </w:tc>
        <w:tc>
          <w:tcPr>
            <w:tcW w:w="1233" w:type="dxa"/>
            <w:tcBorders>
              <w:tl2br w:val="nil"/>
              <w:tr2bl w:val="nil"/>
            </w:tcBorders>
            <w:vAlign w:val="center"/>
          </w:tcPr>
          <w:p w14:paraId="244D27A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12.14</w:t>
            </w:r>
          </w:p>
        </w:tc>
        <w:tc>
          <w:tcPr>
            <w:tcW w:w="825" w:type="dxa"/>
            <w:tcBorders>
              <w:tl2br w:val="nil"/>
              <w:tr2bl w:val="nil"/>
            </w:tcBorders>
            <w:vAlign w:val="center"/>
          </w:tcPr>
          <w:p w14:paraId="3EF7662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23</w:t>
            </w:r>
          </w:p>
        </w:tc>
        <w:tc>
          <w:tcPr>
            <w:tcW w:w="1335" w:type="dxa"/>
            <w:tcBorders>
              <w:tl2br w:val="nil"/>
              <w:tr2bl w:val="nil"/>
            </w:tcBorders>
            <w:vAlign w:val="center"/>
          </w:tcPr>
          <w:p w14:paraId="34176F6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1.28</w:t>
            </w:r>
            <w:r>
              <w:rPr>
                <w:rFonts w:ascii="Times New Roman" w:eastAsia="宋体" w:hAnsi="Times New Roman" w:cs="Times New Roman"/>
                <w:kern w:val="0"/>
                <w:szCs w:val="15"/>
              </w:rPr>
              <w:t xml:space="preserve"> </w:t>
            </w:r>
          </w:p>
        </w:tc>
        <w:tc>
          <w:tcPr>
            <w:tcW w:w="1312" w:type="dxa"/>
            <w:tcBorders>
              <w:tl2br w:val="nil"/>
              <w:tr2bl w:val="nil"/>
            </w:tcBorders>
            <w:vAlign w:val="center"/>
          </w:tcPr>
          <w:p w14:paraId="021A0FA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12.78</w:t>
            </w:r>
          </w:p>
        </w:tc>
        <w:tc>
          <w:tcPr>
            <w:tcW w:w="1208" w:type="dxa"/>
            <w:tcBorders>
              <w:tl2br w:val="nil"/>
              <w:tr2bl w:val="nil"/>
            </w:tcBorders>
            <w:vAlign w:val="center"/>
          </w:tcPr>
          <w:p w14:paraId="3CD71A7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 xml:space="preserve">0.00 </w:t>
            </w:r>
          </w:p>
        </w:tc>
        <w:tc>
          <w:tcPr>
            <w:tcW w:w="1249" w:type="dxa"/>
            <w:tcBorders>
              <w:tl2br w:val="nil"/>
              <w:tr2bl w:val="nil"/>
            </w:tcBorders>
            <w:vAlign w:val="center"/>
          </w:tcPr>
          <w:p w14:paraId="231FF65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3.83</w:t>
            </w:r>
          </w:p>
        </w:tc>
      </w:tr>
      <w:tr w:rsidR="009D12AF" w14:paraId="682CEF6A" w14:textId="77777777">
        <w:tc>
          <w:tcPr>
            <w:tcW w:w="1237" w:type="dxa"/>
            <w:tcBorders>
              <w:tl2br w:val="nil"/>
              <w:tr2bl w:val="nil"/>
            </w:tcBorders>
            <w:vAlign w:val="center"/>
          </w:tcPr>
          <w:p w14:paraId="615D7B2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耕地景观</w:t>
            </w:r>
          </w:p>
        </w:tc>
        <w:tc>
          <w:tcPr>
            <w:tcW w:w="1233" w:type="dxa"/>
            <w:tcBorders>
              <w:tl2br w:val="nil"/>
              <w:tr2bl w:val="nil"/>
            </w:tcBorders>
            <w:vAlign w:val="center"/>
          </w:tcPr>
          <w:p w14:paraId="5A498E7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281.10</w:t>
            </w:r>
          </w:p>
        </w:tc>
        <w:tc>
          <w:tcPr>
            <w:tcW w:w="825" w:type="dxa"/>
            <w:tcBorders>
              <w:tl2br w:val="nil"/>
              <w:tr2bl w:val="nil"/>
            </w:tcBorders>
            <w:vAlign w:val="center"/>
          </w:tcPr>
          <w:p w14:paraId="52EB06C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49</w:t>
            </w:r>
          </w:p>
        </w:tc>
        <w:tc>
          <w:tcPr>
            <w:tcW w:w="1335" w:type="dxa"/>
            <w:tcBorders>
              <w:tl2br w:val="nil"/>
              <w:tr2bl w:val="nil"/>
            </w:tcBorders>
            <w:vAlign w:val="center"/>
          </w:tcPr>
          <w:p w14:paraId="1D70E0A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29.68</w:t>
            </w:r>
          </w:p>
        </w:tc>
        <w:tc>
          <w:tcPr>
            <w:tcW w:w="1312" w:type="dxa"/>
            <w:tcBorders>
              <w:tl2br w:val="nil"/>
              <w:tr2bl w:val="nil"/>
            </w:tcBorders>
            <w:vAlign w:val="center"/>
          </w:tcPr>
          <w:p w14:paraId="0E6856D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27.22</w:t>
            </w:r>
          </w:p>
        </w:tc>
        <w:tc>
          <w:tcPr>
            <w:tcW w:w="1208" w:type="dxa"/>
            <w:tcBorders>
              <w:tl2br w:val="nil"/>
              <w:tr2bl w:val="nil"/>
            </w:tcBorders>
            <w:vAlign w:val="center"/>
          </w:tcPr>
          <w:p w14:paraId="53D94C7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 xml:space="preserve">0.00 </w:t>
            </w:r>
          </w:p>
        </w:tc>
        <w:tc>
          <w:tcPr>
            <w:tcW w:w="1249" w:type="dxa"/>
            <w:tcBorders>
              <w:tl2br w:val="nil"/>
              <w:tr2bl w:val="nil"/>
            </w:tcBorders>
            <w:vAlign w:val="center"/>
          </w:tcPr>
          <w:p w14:paraId="5256D4C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21.65</w:t>
            </w:r>
          </w:p>
        </w:tc>
      </w:tr>
      <w:tr w:rsidR="009D12AF" w14:paraId="13E079CB" w14:textId="77777777">
        <w:tc>
          <w:tcPr>
            <w:tcW w:w="1237" w:type="dxa"/>
            <w:tcBorders>
              <w:tl2br w:val="nil"/>
              <w:tr2bl w:val="nil"/>
            </w:tcBorders>
            <w:vAlign w:val="center"/>
          </w:tcPr>
          <w:p w14:paraId="1EE9A6A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林地景观</w:t>
            </w:r>
          </w:p>
        </w:tc>
        <w:tc>
          <w:tcPr>
            <w:tcW w:w="1233" w:type="dxa"/>
            <w:tcBorders>
              <w:tl2br w:val="nil"/>
              <w:tr2bl w:val="nil"/>
            </w:tcBorders>
            <w:vAlign w:val="center"/>
          </w:tcPr>
          <w:p w14:paraId="04AB12C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354.95</w:t>
            </w:r>
          </w:p>
        </w:tc>
        <w:tc>
          <w:tcPr>
            <w:tcW w:w="825" w:type="dxa"/>
            <w:tcBorders>
              <w:tl2br w:val="nil"/>
              <w:tr2bl w:val="nil"/>
            </w:tcBorders>
            <w:vAlign w:val="center"/>
          </w:tcPr>
          <w:p w14:paraId="31FC72C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46</w:t>
            </w:r>
          </w:p>
        </w:tc>
        <w:tc>
          <w:tcPr>
            <w:tcW w:w="1335" w:type="dxa"/>
            <w:tcBorders>
              <w:tl2br w:val="nil"/>
              <w:tr2bl w:val="nil"/>
            </w:tcBorders>
            <w:vAlign w:val="center"/>
          </w:tcPr>
          <w:p w14:paraId="3CCAFF6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37.47</w:t>
            </w:r>
          </w:p>
        </w:tc>
        <w:tc>
          <w:tcPr>
            <w:tcW w:w="1312" w:type="dxa"/>
            <w:tcBorders>
              <w:tl2br w:val="nil"/>
              <w:tr2bl w:val="nil"/>
            </w:tcBorders>
            <w:vAlign w:val="center"/>
          </w:tcPr>
          <w:p w14:paraId="52B4C91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25.56</w:t>
            </w:r>
          </w:p>
        </w:tc>
        <w:tc>
          <w:tcPr>
            <w:tcW w:w="1208" w:type="dxa"/>
            <w:tcBorders>
              <w:tl2br w:val="nil"/>
              <w:tr2bl w:val="nil"/>
            </w:tcBorders>
            <w:vAlign w:val="center"/>
          </w:tcPr>
          <w:p w14:paraId="7C944E4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80.00</w:t>
            </w:r>
          </w:p>
        </w:tc>
        <w:tc>
          <w:tcPr>
            <w:tcW w:w="1249" w:type="dxa"/>
            <w:tcBorders>
              <w:tl2br w:val="nil"/>
              <w:tr2bl w:val="nil"/>
            </w:tcBorders>
            <w:vAlign w:val="center"/>
          </w:tcPr>
          <w:p w14:paraId="608CC7F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45.13</w:t>
            </w:r>
            <w:r>
              <w:rPr>
                <w:rFonts w:ascii="Times New Roman" w:eastAsia="宋体" w:hAnsi="Times New Roman" w:cs="Times New Roman"/>
                <w:kern w:val="0"/>
                <w:szCs w:val="15"/>
              </w:rPr>
              <w:t xml:space="preserve"> </w:t>
            </w:r>
          </w:p>
        </w:tc>
      </w:tr>
      <w:tr w:rsidR="009D12AF" w14:paraId="025E8518" w14:textId="77777777">
        <w:tc>
          <w:tcPr>
            <w:tcW w:w="1237" w:type="dxa"/>
            <w:tcBorders>
              <w:tl2br w:val="nil"/>
              <w:tr2bl w:val="nil"/>
            </w:tcBorders>
            <w:vAlign w:val="center"/>
          </w:tcPr>
          <w:p w14:paraId="25AD2E8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水域景观</w:t>
            </w:r>
          </w:p>
        </w:tc>
        <w:tc>
          <w:tcPr>
            <w:tcW w:w="1233" w:type="dxa"/>
            <w:tcBorders>
              <w:tl2br w:val="nil"/>
              <w:tr2bl w:val="nil"/>
            </w:tcBorders>
            <w:vAlign w:val="center"/>
          </w:tcPr>
          <w:p w14:paraId="7FDE92F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280.91</w:t>
            </w:r>
          </w:p>
        </w:tc>
        <w:tc>
          <w:tcPr>
            <w:tcW w:w="825" w:type="dxa"/>
            <w:tcBorders>
              <w:tl2br w:val="nil"/>
              <w:tr2bl w:val="nil"/>
            </w:tcBorders>
            <w:vAlign w:val="center"/>
          </w:tcPr>
          <w:p w14:paraId="18B9B24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47</w:t>
            </w:r>
          </w:p>
        </w:tc>
        <w:tc>
          <w:tcPr>
            <w:tcW w:w="1335" w:type="dxa"/>
            <w:tcBorders>
              <w:tl2br w:val="nil"/>
              <w:tr2bl w:val="nil"/>
            </w:tcBorders>
            <w:vAlign w:val="center"/>
          </w:tcPr>
          <w:p w14:paraId="26F81FE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29.66</w:t>
            </w:r>
            <w:r>
              <w:rPr>
                <w:rFonts w:ascii="Times New Roman" w:eastAsia="宋体" w:hAnsi="Times New Roman" w:cs="Times New Roman"/>
                <w:kern w:val="0"/>
                <w:szCs w:val="15"/>
              </w:rPr>
              <w:t xml:space="preserve"> </w:t>
            </w:r>
          </w:p>
        </w:tc>
        <w:tc>
          <w:tcPr>
            <w:tcW w:w="1312" w:type="dxa"/>
            <w:tcBorders>
              <w:tl2br w:val="nil"/>
              <w:tr2bl w:val="nil"/>
            </w:tcBorders>
            <w:vAlign w:val="center"/>
          </w:tcPr>
          <w:p w14:paraId="17EC0AC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26.11</w:t>
            </w:r>
          </w:p>
        </w:tc>
        <w:tc>
          <w:tcPr>
            <w:tcW w:w="1208" w:type="dxa"/>
            <w:tcBorders>
              <w:tl2br w:val="nil"/>
              <w:tr2bl w:val="nil"/>
            </w:tcBorders>
            <w:vAlign w:val="center"/>
          </w:tcPr>
          <w:p w14:paraId="556545E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20.00</w:t>
            </w:r>
          </w:p>
        </w:tc>
        <w:tc>
          <w:tcPr>
            <w:tcW w:w="1249" w:type="dxa"/>
            <w:tcBorders>
              <w:tl2br w:val="nil"/>
              <w:tr2bl w:val="nil"/>
            </w:tcBorders>
            <w:vAlign w:val="center"/>
          </w:tcPr>
          <w:p w14:paraId="2938C80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26.36</w:t>
            </w:r>
          </w:p>
        </w:tc>
      </w:tr>
    </w:tbl>
    <w:p w14:paraId="7F24A74E" w14:textId="77777777" w:rsidR="009D12AF" w:rsidRDefault="00000000">
      <w:pPr>
        <w:widowControl/>
        <w:ind w:firstLine="480"/>
        <w:jc w:val="left"/>
        <w:rPr>
          <w:rFonts w:ascii="宋体" w:eastAsia="宋体" w:hAnsi="宋体" w:cs="宋体" w:hint="eastAsia"/>
          <w:kern w:val="0"/>
        </w:rPr>
      </w:pPr>
      <w:r>
        <w:rPr>
          <w:rFonts w:ascii="Times New Roman" w:eastAsia="宋体" w:hAnsi="Times New Roman" w:cs="Times New Roman" w:hint="eastAsia"/>
          <w:kern w:val="0"/>
        </w:rPr>
        <w:t>评价区景观类型可划分为</w:t>
      </w:r>
      <w:r>
        <w:rPr>
          <w:rFonts w:ascii="Times New Roman" w:eastAsia="宋体" w:hAnsi="Times New Roman" w:cs="Times New Roman" w:hint="eastAsia"/>
          <w:kern w:val="0"/>
        </w:rPr>
        <w:t xml:space="preserve"> 5 </w:t>
      </w:r>
      <w:r>
        <w:rPr>
          <w:rFonts w:ascii="Times New Roman" w:eastAsia="宋体" w:hAnsi="Times New Roman" w:cs="Times New Roman" w:hint="eastAsia"/>
          <w:kern w:val="0"/>
        </w:rPr>
        <w:t>个类型，林地景观景观占据优势，其斑块密度为</w:t>
      </w:r>
      <w:r>
        <w:rPr>
          <w:rFonts w:ascii="Times New Roman" w:eastAsia="宋体" w:hAnsi="Times New Roman" w:cs="Times New Roman" w:hint="eastAsia"/>
          <w:kern w:val="0"/>
        </w:rPr>
        <w:t xml:space="preserve"> 25.56%</w:t>
      </w:r>
      <w:r>
        <w:rPr>
          <w:rFonts w:ascii="Times New Roman" w:eastAsia="宋体" w:hAnsi="Times New Roman" w:cs="Times New Roman" w:hint="eastAsia"/>
          <w:kern w:val="0"/>
        </w:rPr>
        <w:t>、斑块频度为</w:t>
      </w:r>
      <w:r>
        <w:rPr>
          <w:rFonts w:ascii="Times New Roman" w:eastAsia="宋体" w:hAnsi="Times New Roman" w:cs="Times New Roman" w:hint="eastAsia"/>
          <w:kern w:val="0"/>
        </w:rPr>
        <w:t xml:space="preserve"> 80%</w:t>
      </w:r>
      <w:r>
        <w:rPr>
          <w:rFonts w:ascii="Times New Roman" w:eastAsia="宋体" w:hAnsi="Times New Roman" w:cs="Times New Roman" w:hint="eastAsia"/>
          <w:kern w:val="0"/>
        </w:rPr>
        <w:t>、景观比例为</w:t>
      </w:r>
      <w:r>
        <w:rPr>
          <w:rFonts w:ascii="Times New Roman" w:eastAsia="宋体" w:hAnsi="Times New Roman" w:cs="Times New Roman" w:hint="eastAsia"/>
          <w:kern w:val="0"/>
        </w:rPr>
        <w:t xml:space="preserve"> 37.47%</w:t>
      </w:r>
      <w:r>
        <w:rPr>
          <w:rFonts w:ascii="Times New Roman" w:eastAsia="宋体" w:hAnsi="Times New Roman" w:cs="Times New Roman" w:hint="eastAsia"/>
          <w:kern w:val="0"/>
        </w:rPr>
        <w:t>，优势度值为评价区最高，林地景观为评价区内占主导地位的景观类型。</w:t>
      </w:r>
    </w:p>
    <w:p w14:paraId="3C336761"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hint="eastAsia"/>
          <w:kern w:val="0"/>
        </w:rPr>
        <w:t>（</w:t>
      </w:r>
      <w:r>
        <w:rPr>
          <w:rFonts w:ascii="Times New Roman" w:eastAsia="宋体" w:hAnsi="Times New Roman" w:cs="Times New Roman"/>
          <w:kern w:val="0"/>
        </w:rPr>
        <w:t>2</w:t>
      </w:r>
      <w:r>
        <w:rPr>
          <w:rFonts w:ascii="Times New Roman" w:eastAsia="宋体" w:hAnsi="Times New Roman" w:cs="Times New Roman" w:hint="eastAsia"/>
          <w:kern w:val="0"/>
        </w:rPr>
        <w:t>）</w:t>
      </w:r>
      <w:r>
        <w:rPr>
          <w:rFonts w:ascii="Times New Roman" w:eastAsia="宋体" w:hAnsi="Times New Roman" w:cs="Times New Roman"/>
          <w:kern w:val="0"/>
        </w:rPr>
        <w:t>在类型尺度上，林地的</w:t>
      </w:r>
      <w:r>
        <w:rPr>
          <w:rFonts w:ascii="Times New Roman" w:eastAsia="宋体" w:hAnsi="Times New Roman" w:cs="Times New Roman"/>
          <w:kern w:val="0"/>
        </w:rPr>
        <w:t>CA</w:t>
      </w:r>
      <w:r>
        <w:rPr>
          <w:rFonts w:ascii="Times New Roman" w:eastAsia="宋体" w:hAnsi="Times New Roman" w:cs="Times New Roman"/>
          <w:kern w:val="0"/>
        </w:rPr>
        <w:t>值最大，林地斑块为评价范围内主要斑块类型，占比为</w:t>
      </w:r>
      <w:r>
        <w:rPr>
          <w:rFonts w:ascii="Times New Roman" w:eastAsia="宋体" w:hAnsi="Times New Roman" w:cs="Times New Roman" w:hint="eastAsia"/>
          <w:kern w:val="0"/>
        </w:rPr>
        <w:t>36.80</w:t>
      </w:r>
      <w:r>
        <w:rPr>
          <w:rFonts w:ascii="Times New Roman" w:eastAsia="宋体" w:hAnsi="Times New Roman" w:cs="Times New Roman"/>
          <w:kern w:val="0"/>
        </w:rPr>
        <w:t>%</w:t>
      </w:r>
      <w:r>
        <w:rPr>
          <w:rFonts w:ascii="Times New Roman" w:eastAsia="宋体" w:hAnsi="Times New Roman" w:cs="Times New Roman"/>
          <w:kern w:val="0"/>
        </w:rPr>
        <w:t>。</w:t>
      </w:r>
      <w:r>
        <w:rPr>
          <w:rFonts w:ascii="Times New Roman" w:eastAsia="宋体" w:hAnsi="Times New Roman" w:cs="Times New Roman"/>
          <w:kern w:val="0"/>
        </w:rPr>
        <w:t>LPI</w:t>
      </w:r>
      <w:r>
        <w:rPr>
          <w:rFonts w:ascii="Times New Roman" w:eastAsia="宋体" w:hAnsi="Times New Roman" w:cs="Times New Roman"/>
          <w:kern w:val="0"/>
        </w:rPr>
        <w:t>值是判定景观中模地的重要指标，</w:t>
      </w:r>
      <w:r>
        <w:rPr>
          <w:rFonts w:ascii="Times New Roman" w:eastAsia="宋体" w:hAnsi="Times New Roman" w:cs="Times New Roman"/>
          <w:kern w:val="0"/>
        </w:rPr>
        <w:t>LPI</w:t>
      </w:r>
      <w:r>
        <w:rPr>
          <w:rFonts w:ascii="Times New Roman" w:eastAsia="宋体" w:hAnsi="Times New Roman" w:cs="Times New Roman"/>
          <w:kern w:val="0"/>
        </w:rPr>
        <w:t>值最大的</w:t>
      </w:r>
      <w:r>
        <w:rPr>
          <w:rFonts w:ascii="Times New Roman" w:eastAsia="宋体" w:hAnsi="Times New Roman" w:cs="Times New Roman" w:hint="eastAsia"/>
          <w:kern w:val="0"/>
        </w:rPr>
        <w:t>也</w:t>
      </w:r>
      <w:r>
        <w:rPr>
          <w:rFonts w:ascii="Times New Roman" w:eastAsia="宋体" w:hAnsi="Times New Roman" w:cs="Times New Roman"/>
          <w:kern w:val="0"/>
        </w:rPr>
        <w:t>是</w:t>
      </w:r>
      <w:r>
        <w:rPr>
          <w:rFonts w:ascii="Times New Roman" w:eastAsia="宋体" w:hAnsi="Times New Roman" w:cs="Times New Roman" w:hint="eastAsia"/>
          <w:kern w:val="0"/>
        </w:rPr>
        <w:t>林地</w:t>
      </w:r>
      <w:r>
        <w:rPr>
          <w:rFonts w:ascii="Times New Roman" w:eastAsia="宋体" w:hAnsi="Times New Roman" w:cs="Times New Roman"/>
          <w:kern w:val="0"/>
        </w:rPr>
        <w:t>，为</w:t>
      </w:r>
      <w:r>
        <w:rPr>
          <w:rFonts w:ascii="Times New Roman" w:eastAsia="宋体" w:hAnsi="Times New Roman" w:cs="Times New Roman" w:hint="eastAsia"/>
          <w:kern w:val="0"/>
        </w:rPr>
        <w:t>22.67</w:t>
      </w:r>
      <w:r>
        <w:rPr>
          <w:rFonts w:ascii="Times New Roman" w:eastAsia="宋体" w:hAnsi="Times New Roman" w:cs="Times New Roman"/>
          <w:kern w:val="0"/>
        </w:rPr>
        <w:t>，表明</w:t>
      </w:r>
      <w:r>
        <w:rPr>
          <w:rFonts w:ascii="Times New Roman" w:eastAsia="宋体" w:hAnsi="Times New Roman" w:cs="Times New Roman" w:hint="eastAsia"/>
          <w:kern w:val="0"/>
        </w:rPr>
        <w:t>林地</w:t>
      </w:r>
      <w:r>
        <w:rPr>
          <w:rFonts w:ascii="Times New Roman" w:eastAsia="宋体" w:hAnsi="Times New Roman" w:cs="Times New Roman"/>
          <w:kern w:val="0"/>
        </w:rPr>
        <w:t>景观是区域景观中的模地类型，占据优势地位。</w:t>
      </w:r>
      <w:r>
        <w:rPr>
          <w:rFonts w:ascii="Times New Roman" w:eastAsia="宋体" w:hAnsi="Times New Roman" w:cs="Times New Roman"/>
          <w:kern w:val="0"/>
        </w:rPr>
        <w:t>IJI</w:t>
      </w:r>
      <w:r>
        <w:rPr>
          <w:rFonts w:ascii="Times New Roman" w:eastAsia="宋体" w:hAnsi="Times New Roman" w:cs="Times New Roman"/>
          <w:kern w:val="0"/>
        </w:rPr>
        <w:t>和</w:t>
      </w:r>
      <w:r>
        <w:rPr>
          <w:rFonts w:ascii="Times New Roman" w:eastAsia="宋体" w:hAnsi="Times New Roman" w:cs="Times New Roman"/>
          <w:kern w:val="0"/>
        </w:rPr>
        <w:t>AI</w:t>
      </w:r>
      <w:r>
        <w:rPr>
          <w:rFonts w:ascii="Times New Roman" w:eastAsia="宋体" w:hAnsi="Times New Roman" w:cs="Times New Roman"/>
          <w:kern w:val="0"/>
        </w:rPr>
        <w:t>能够反映景观的离散和聚集程度。</w:t>
      </w:r>
      <w:r>
        <w:rPr>
          <w:rFonts w:ascii="Times New Roman" w:eastAsia="宋体" w:hAnsi="Times New Roman" w:cs="Times New Roman"/>
          <w:kern w:val="0"/>
        </w:rPr>
        <w:t>IJI</w:t>
      </w:r>
      <w:r>
        <w:rPr>
          <w:rFonts w:ascii="Times New Roman" w:eastAsia="宋体" w:hAnsi="Times New Roman" w:cs="Times New Roman"/>
          <w:kern w:val="0"/>
        </w:rPr>
        <w:t>值最高的是乔木林地，表明区域内该地类斑块与较多的其他类型斑块相邻接，分布相对离散。乔木林地聚合度指数较高，表明区域内林地的保护程度较好，破碎化程度不高。</w:t>
      </w:r>
    </w:p>
    <w:p w14:paraId="1B11D160" w14:textId="77777777" w:rsidR="009D12AF" w:rsidRDefault="00000000">
      <w:pPr>
        <w:widowControl/>
        <w:ind w:firstLine="480"/>
        <w:jc w:val="left"/>
        <w:rPr>
          <w:rFonts w:ascii="宋体" w:eastAsia="宋体" w:hAnsi="宋体" w:cs="宋体" w:hint="eastAsia"/>
          <w:kern w:val="0"/>
        </w:rPr>
      </w:pPr>
      <w:r>
        <w:rPr>
          <w:rFonts w:ascii="Times New Roman" w:eastAsia="宋体" w:hAnsi="Times New Roman" w:cs="Times New Roman" w:hint="eastAsia"/>
          <w:kern w:val="0"/>
        </w:rPr>
        <w:t>在景观尺度上，</w:t>
      </w:r>
      <w:r>
        <w:rPr>
          <w:rFonts w:ascii="Times New Roman" w:eastAsia="宋体" w:hAnsi="Times New Roman" w:cs="Times New Roman"/>
          <w:kern w:val="0"/>
        </w:rPr>
        <w:t xml:space="preserve"> SHDI</w:t>
      </w:r>
      <w:r>
        <w:rPr>
          <w:rFonts w:ascii="Times New Roman" w:eastAsia="宋体" w:hAnsi="Times New Roman" w:cs="Times New Roman" w:hint="eastAsia"/>
          <w:kern w:val="0"/>
        </w:rPr>
        <w:t>值为</w:t>
      </w:r>
      <w:r>
        <w:rPr>
          <w:rFonts w:ascii="Times New Roman" w:eastAsia="宋体" w:hAnsi="Times New Roman" w:cs="Times New Roman" w:hint="eastAsia"/>
          <w:kern w:val="0"/>
        </w:rPr>
        <w:t>1.4277</w:t>
      </w:r>
      <w:r>
        <w:rPr>
          <w:rFonts w:ascii="Times New Roman" w:eastAsia="宋体" w:hAnsi="Times New Roman" w:cs="Times New Roman" w:hint="eastAsia"/>
          <w:kern w:val="0"/>
        </w:rPr>
        <w:t>，表明其斑块类型较为单一，异质性较低。从水库评价范围宏观角度上看，评价范围地类的聚合度指数较高，则表明评价范围景观的聚集程度较高，破碎化程度低。</w:t>
      </w:r>
      <w:r>
        <w:rPr>
          <w:rFonts w:ascii="宋体" w:eastAsia="宋体" w:hAnsi="宋体" w:cs="宋体" w:hint="eastAsia"/>
          <w:kern w:val="0"/>
        </w:rPr>
        <w:t>评价范围内各类景观指数详见表</w:t>
      </w:r>
      <w:r>
        <w:rPr>
          <w:rFonts w:ascii="Times New Roman" w:eastAsia="宋体" w:hAnsi="Times New Roman" w:cs="Times New Roman" w:hint="eastAsia"/>
          <w:kern w:val="0"/>
        </w:rPr>
        <w:t>4.3-63</w:t>
      </w:r>
      <w:r>
        <w:rPr>
          <w:rFonts w:ascii="宋体" w:eastAsia="宋体" w:hAnsi="宋体" w:cs="宋体" w:hint="eastAsia"/>
          <w:kern w:val="0"/>
        </w:rPr>
        <w:t>。</w:t>
      </w:r>
    </w:p>
    <w:p w14:paraId="159A2140" w14:textId="77777777" w:rsidR="009D12AF" w:rsidRDefault="00000000">
      <w:pPr>
        <w:widowControl/>
        <w:ind w:firstLine="482"/>
        <w:jc w:val="center"/>
        <w:rPr>
          <w:rFonts w:ascii="宋体" w:eastAsia="宋体" w:hAnsi="宋体" w:cs="宋体" w:hint="eastAsia"/>
          <w:kern w:val="0"/>
        </w:rPr>
      </w:pPr>
      <w:r>
        <w:rPr>
          <w:rFonts w:ascii="宋体" w:eastAsia="宋体" w:hAnsi="宋体" w:cs="宋体" w:hint="eastAsia"/>
          <w:b/>
          <w:bCs/>
          <w:kern w:val="0"/>
        </w:rPr>
        <w:t>表</w:t>
      </w:r>
      <w:r>
        <w:rPr>
          <w:rFonts w:ascii="Times New Roman" w:eastAsia="宋体" w:hAnsi="Times New Roman" w:cs="Times New Roman" w:hint="eastAsia"/>
          <w:b/>
          <w:bCs/>
          <w:kern w:val="0"/>
        </w:rPr>
        <w:t>4.3-63</w:t>
      </w:r>
      <w:r>
        <w:rPr>
          <w:rFonts w:ascii="宋体" w:eastAsia="宋体" w:hAnsi="宋体" w:cs="宋体" w:hint="eastAsia"/>
          <w:b/>
          <w:bCs/>
          <w:kern w:val="0"/>
        </w:rPr>
        <w:t xml:space="preserve">  评价范围内各类景观指数一览</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362"/>
        <w:gridCol w:w="1384"/>
        <w:gridCol w:w="1391"/>
        <w:gridCol w:w="704"/>
        <w:gridCol w:w="689"/>
        <w:gridCol w:w="1388"/>
        <w:gridCol w:w="1378"/>
      </w:tblGrid>
      <w:tr w:rsidR="009D12AF" w14:paraId="221FAAEA" w14:textId="77777777">
        <w:tc>
          <w:tcPr>
            <w:tcW w:w="8296" w:type="dxa"/>
            <w:gridSpan w:val="7"/>
            <w:tcBorders>
              <w:tl2br w:val="nil"/>
              <w:tr2bl w:val="nil"/>
            </w:tcBorders>
          </w:tcPr>
          <w:p w14:paraId="54FA51C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类型尺度特征</w:t>
            </w:r>
          </w:p>
        </w:tc>
      </w:tr>
      <w:tr w:rsidR="009D12AF" w14:paraId="4241194F" w14:textId="77777777">
        <w:tc>
          <w:tcPr>
            <w:tcW w:w="1362" w:type="dxa"/>
            <w:tcBorders>
              <w:tl2br w:val="nil"/>
              <w:tr2bl w:val="nil"/>
            </w:tcBorders>
          </w:tcPr>
          <w:p w14:paraId="33EC9D4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斑块类型</w:t>
            </w:r>
          </w:p>
        </w:tc>
        <w:tc>
          <w:tcPr>
            <w:tcW w:w="1384" w:type="dxa"/>
            <w:tcBorders>
              <w:tl2br w:val="nil"/>
              <w:tr2bl w:val="nil"/>
            </w:tcBorders>
          </w:tcPr>
          <w:p w14:paraId="1759ED6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CA</w:t>
            </w:r>
          </w:p>
        </w:tc>
        <w:tc>
          <w:tcPr>
            <w:tcW w:w="1391" w:type="dxa"/>
            <w:tcBorders>
              <w:tl2br w:val="nil"/>
              <w:tr2bl w:val="nil"/>
            </w:tcBorders>
          </w:tcPr>
          <w:p w14:paraId="6FF56EF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PLAND</w:t>
            </w:r>
          </w:p>
        </w:tc>
        <w:tc>
          <w:tcPr>
            <w:tcW w:w="1393" w:type="dxa"/>
            <w:gridSpan w:val="2"/>
            <w:tcBorders>
              <w:tl2br w:val="nil"/>
              <w:tr2bl w:val="nil"/>
            </w:tcBorders>
          </w:tcPr>
          <w:p w14:paraId="35AFF9A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ab/>
              <w:t>LPI</w:t>
            </w:r>
          </w:p>
        </w:tc>
        <w:tc>
          <w:tcPr>
            <w:tcW w:w="1388" w:type="dxa"/>
            <w:tcBorders>
              <w:tl2br w:val="nil"/>
              <w:tr2bl w:val="nil"/>
            </w:tcBorders>
          </w:tcPr>
          <w:p w14:paraId="3B09BE1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ab/>
              <w:t>IJI</w:t>
            </w:r>
          </w:p>
        </w:tc>
        <w:tc>
          <w:tcPr>
            <w:tcW w:w="1378" w:type="dxa"/>
            <w:tcBorders>
              <w:tl2br w:val="nil"/>
              <w:tr2bl w:val="nil"/>
            </w:tcBorders>
          </w:tcPr>
          <w:p w14:paraId="7FCEF95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AI</w:t>
            </w:r>
          </w:p>
        </w:tc>
      </w:tr>
      <w:tr w:rsidR="009D12AF" w14:paraId="52340CFB" w14:textId="77777777">
        <w:tc>
          <w:tcPr>
            <w:tcW w:w="1362" w:type="dxa"/>
            <w:tcBorders>
              <w:tl2br w:val="nil"/>
              <w:tr2bl w:val="nil"/>
            </w:tcBorders>
          </w:tcPr>
          <w:p w14:paraId="5674D24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河流水面</w:t>
            </w:r>
          </w:p>
        </w:tc>
        <w:tc>
          <w:tcPr>
            <w:tcW w:w="1384" w:type="dxa"/>
            <w:tcBorders>
              <w:tl2br w:val="nil"/>
              <w:tr2bl w:val="nil"/>
            </w:tcBorders>
          </w:tcPr>
          <w:p w14:paraId="5AB3BAD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220.32</w:t>
            </w:r>
          </w:p>
        </w:tc>
        <w:tc>
          <w:tcPr>
            <w:tcW w:w="1391" w:type="dxa"/>
            <w:tcBorders>
              <w:tl2br w:val="nil"/>
              <w:tr2bl w:val="nil"/>
            </w:tcBorders>
          </w:tcPr>
          <w:p w14:paraId="3C12D9A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23.25</w:t>
            </w:r>
          </w:p>
        </w:tc>
        <w:tc>
          <w:tcPr>
            <w:tcW w:w="1393" w:type="dxa"/>
            <w:gridSpan w:val="2"/>
            <w:tcBorders>
              <w:tl2br w:val="nil"/>
              <w:tr2bl w:val="nil"/>
            </w:tcBorders>
          </w:tcPr>
          <w:p w14:paraId="3A3429C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10.11</w:t>
            </w:r>
          </w:p>
        </w:tc>
        <w:tc>
          <w:tcPr>
            <w:tcW w:w="1388" w:type="dxa"/>
            <w:tcBorders>
              <w:tl2br w:val="nil"/>
              <w:tr2bl w:val="nil"/>
            </w:tcBorders>
          </w:tcPr>
          <w:p w14:paraId="7E331F1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58.51</w:t>
            </w:r>
          </w:p>
        </w:tc>
        <w:tc>
          <w:tcPr>
            <w:tcW w:w="1378" w:type="dxa"/>
            <w:tcBorders>
              <w:tl2br w:val="nil"/>
              <w:tr2bl w:val="nil"/>
            </w:tcBorders>
          </w:tcPr>
          <w:p w14:paraId="0A3C9BD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88.42</w:t>
            </w:r>
          </w:p>
        </w:tc>
      </w:tr>
      <w:tr w:rsidR="009D12AF" w14:paraId="62A8B6B3" w14:textId="77777777">
        <w:tc>
          <w:tcPr>
            <w:tcW w:w="1362" w:type="dxa"/>
            <w:tcBorders>
              <w:tl2br w:val="nil"/>
              <w:tr2bl w:val="nil"/>
            </w:tcBorders>
          </w:tcPr>
          <w:p w14:paraId="31E2CCA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乔木林地</w:t>
            </w:r>
          </w:p>
        </w:tc>
        <w:tc>
          <w:tcPr>
            <w:tcW w:w="1384" w:type="dxa"/>
            <w:tcBorders>
              <w:tl2br w:val="nil"/>
              <w:tr2bl w:val="nil"/>
            </w:tcBorders>
          </w:tcPr>
          <w:p w14:paraId="64D209D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348.75</w:t>
            </w:r>
          </w:p>
        </w:tc>
        <w:tc>
          <w:tcPr>
            <w:tcW w:w="1391" w:type="dxa"/>
            <w:tcBorders>
              <w:tl2br w:val="nil"/>
              <w:tr2bl w:val="nil"/>
            </w:tcBorders>
          </w:tcPr>
          <w:p w14:paraId="68D081E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36.80</w:t>
            </w:r>
          </w:p>
        </w:tc>
        <w:tc>
          <w:tcPr>
            <w:tcW w:w="1393" w:type="dxa"/>
            <w:gridSpan w:val="2"/>
            <w:tcBorders>
              <w:tl2br w:val="nil"/>
              <w:tr2bl w:val="nil"/>
            </w:tcBorders>
          </w:tcPr>
          <w:p w14:paraId="2213697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22.67</w:t>
            </w:r>
          </w:p>
        </w:tc>
        <w:tc>
          <w:tcPr>
            <w:tcW w:w="1388" w:type="dxa"/>
            <w:tcBorders>
              <w:tl2br w:val="nil"/>
              <w:tr2bl w:val="nil"/>
            </w:tcBorders>
          </w:tcPr>
          <w:p w14:paraId="5DC27E3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69.32</w:t>
            </w:r>
          </w:p>
        </w:tc>
        <w:tc>
          <w:tcPr>
            <w:tcW w:w="1378" w:type="dxa"/>
            <w:tcBorders>
              <w:tl2br w:val="nil"/>
              <w:tr2bl w:val="nil"/>
            </w:tcBorders>
          </w:tcPr>
          <w:p w14:paraId="0971828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94.43</w:t>
            </w:r>
          </w:p>
        </w:tc>
      </w:tr>
      <w:tr w:rsidR="009D12AF" w14:paraId="3C9CFFA5" w14:textId="77777777">
        <w:tc>
          <w:tcPr>
            <w:tcW w:w="1362" w:type="dxa"/>
            <w:tcBorders>
              <w:tl2br w:val="nil"/>
              <w:tr2bl w:val="nil"/>
            </w:tcBorders>
          </w:tcPr>
          <w:p w14:paraId="7D75EC6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旱地</w:t>
            </w:r>
          </w:p>
        </w:tc>
        <w:tc>
          <w:tcPr>
            <w:tcW w:w="1384" w:type="dxa"/>
            <w:tcBorders>
              <w:tl2br w:val="nil"/>
              <w:tr2bl w:val="nil"/>
            </w:tcBorders>
          </w:tcPr>
          <w:p w14:paraId="2FFC3E6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281.88</w:t>
            </w:r>
          </w:p>
        </w:tc>
        <w:tc>
          <w:tcPr>
            <w:tcW w:w="1391" w:type="dxa"/>
            <w:tcBorders>
              <w:tl2br w:val="nil"/>
              <w:tr2bl w:val="nil"/>
            </w:tcBorders>
          </w:tcPr>
          <w:p w14:paraId="7AF20A5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29.74</w:t>
            </w:r>
          </w:p>
        </w:tc>
        <w:tc>
          <w:tcPr>
            <w:tcW w:w="1393" w:type="dxa"/>
            <w:gridSpan w:val="2"/>
            <w:tcBorders>
              <w:tl2br w:val="nil"/>
              <w:tr2bl w:val="nil"/>
            </w:tcBorders>
          </w:tcPr>
          <w:p w14:paraId="3283BC8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13.45</w:t>
            </w:r>
          </w:p>
        </w:tc>
        <w:tc>
          <w:tcPr>
            <w:tcW w:w="1388" w:type="dxa"/>
            <w:tcBorders>
              <w:tl2br w:val="nil"/>
              <w:tr2bl w:val="nil"/>
            </w:tcBorders>
          </w:tcPr>
          <w:p w14:paraId="02E3F92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57.40</w:t>
            </w:r>
          </w:p>
        </w:tc>
        <w:tc>
          <w:tcPr>
            <w:tcW w:w="1378" w:type="dxa"/>
            <w:tcBorders>
              <w:tl2br w:val="nil"/>
              <w:tr2bl w:val="nil"/>
            </w:tcBorders>
          </w:tcPr>
          <w:p w14:paraId="7EDB42C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82.36</w:t>
            </w:r>
          </w:p>
        </w:tc>
      </w:tr>
      <w:tr w:rsidR="009D12AF" w14:paraId="213B5F17" w14:textId="77777777">
        <w:tc>
          <w:tcPr>
            <w:tcW w:w="1362" w:type="dxa"/>
            <w:tcBorders>
              <w:tl2br w:val="nil"/>
              <w:tr2bl w:val="nil"/>
            </w:tcBorders>
          </w:tcPr>
          <w:p w14:paraId="6E082E6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农村宅基地</w:t>
            </w:r>
          </w:p>
        </w:tc>
        <w:tc>
          <w:tcPr>
            <w:tcW w:w="1384" w:type="dxa"/>
            <w:tcBorders>
              <w:tl2br w:val="nil"/>
              <w:tr2bl w:val="nil"/>
            </w:tcBorders>
          </w:tcPr>
          <w:p w14:paraId="4AE876D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18.36</w:t>
            </w:r>
          </w:p>
        </w:tc>
        <w:tc>
          <w:tcPr>
            <w:tcW w:w="1391" w:type="dxa"/>
            <w:tcBorders>
              <w:tl2br w:val="nil"/>
              <w:tr2bl w:val="nil"/>
            </w:tcBorders>
          </w:tcPr>
          <w:p w14:paraId="5322E44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1.94</w:t>
            </w:r>
          </w:p>
        </w:tc>
        <w:tc>
          <w:tcPr>
            <w:tcW w:w="1393" w:type="dxa"/>
            <w:gridSpan w:val="2"/>
            <w:tcBorders>
              <w:tl2br w:val="nil"/>
              <w:tr2bl w:val="nil"/>
            </w:tcBorders>
          </w:tcPr>
          <w:p w14:paraId="7C9D368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1.73</w:t>
            </w:r>
          </w:p>
        </w:tc>
        <w:tc>
          <w:tcPr>
            <w:tcW w:w="1388" w:type="dxa"/>
            <w:tcBorders>
              <w:tl2br w:val="nil"/>
              <w:tr2bl w:val="nil"/>
            </w:tcBorders>
          </w:tcPr>
          <w:p w14:paraId="36421A6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54.47</w:t>
            </w:r>
          </w:p>
        </w:tc>
        <w:tc>
          <w:tcPr>
            <w:tcW w:w="1378" w:type="dxa"/>
            <w:tcBorders>
              <w:tl2br w:val="nil"/>
              <w:tr2bl w:val="nil"/>
            </w:tcBorders>
          </w:tcPr>
          <w:p w14:paraId="20FCE71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59.13</w:t>
            </w:r>
          </w:p>
        </w:tc>
      </w:tr>
      <w:tr w:rsidR="009D12AF" w14:paraId="13CF4A95" w14:textId="77777777">
        <w:tc>
          <w:tcPr>
            <w:tcW w:w="1362" w:type="dxa"/>
            <w:tcBorders>
              <w:tl2br w:val="nil"/>
              <w:tr2bl w:val="nil"/>
            </w:tcBorders>
          </w:tcPr>
          <w:p w14:paraId="7DBBAC2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其他林地</w:t>
            </w:r>
          </w:p>
        </w:tc>
        <w:tc>
          <w:tcPr>
            <w:tcW w:w="1384" w:type="dxa"/>
            <w:tcBorders>
              <w:tl2br w:val="nil"/>
              <w:tr2bl w:val="nil"/>
            </w:tcBorders>
          </w:tcPr>
          <w:p w14:paraId="23C73F5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4.14</w:t>
            </w:r>
          </w:p>
        </w:tc>
        <w:tc>
          <w:tcPr>
            <w:tcW w:w="1391" w:type="dxa"/>
            <w:tcBorders>
              <w:tl2br w:val="nil"/>
              <w:tr2bl w:val="nil"/>
            </w:tcBorders>
          </w:tcPr>
          <w:p w14:paraId="2DD6907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0.44</w:t>
            </w:r>
          </w:p>
        </w:tc>
        <w:tc>
          <w:tcPr>
            <w:tcW w:w="1393" w:type="dxa"/>
            <w:gridSpan w:val="2"/>
            <w:tcBorders>
              <w:tl2br w:val="nil"/>
              <w:tr2bl w:val="nil"/>
            </w:tcBorders>
          </w:tcPr>
          <w:p w14:paraId="1B70786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0.27</w:t>
            </w:r>
          </w:p>
        </w:tc>
        <w:tc>
          <w:tcPr>
            <w:tcW w:w="1388" w:type="dxa"/>
            <w:tcBorders>
              <w:tl2br w:val="nil"/>
              <w:tr2bl w:val="nil"/>
            </w:tcBorders>
          </w:tcPr>
          <w:p w14:paraId="44C8AF9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39.07</w:t>
            </w:r>
          </w:p>
        </w:tc>
        <w:tc>
          <w:tcPr>
            <w:tcW w:w="1378" w:type="dxa"/>
            <w:tcBorders>
              <w:tl2br w:val="nil"/>
              <w:tr2bl w:val="nil"/>
            </w:tcBorders>
          </w:tcPr>
          <w:p w14:paraId="6205CE7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56.41</w:t>
            </w:r>
          </w:p>
        </w:tc>
      </w:tr>
      <w:tr w:rsidR="009D12AF" w14:paraId="055FF6EE" w14:textId="77777777">
        <w:tc>
          <w:tcPr>
            <w:tcW w:w="1362" w:type="dxa"/>
            <w:tcBorders>
              <w:tl2br w:val="nil"/>
              <w:tr2bl w:val="nil"/>
            </w:tcBorders>
          </w:tcPr>
          <w:p w14:paraId="126D005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沼泽草地</w:t>
            </w:r>
          </w:p>
        </w:tc>
        <w:tc>
          <w:tcPr>
            <w:tcW w:w="1384" w:type="dxa"/>
            <w:tcBorders>
              <w:tl2br w:val="nil"/>
              <w:tr2bl w:val="nil"/>
            </w:tcBorders>
          </w:tcPr>
          <w:p w14:paraId="7AB1A9C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58.77</w:t>
            </w:r>
          </w:p>
        </w:tc>
        <w:tc>
          <w:tcPr>
            <w:tcW w:w="1391" w:type="dxa"/>
            <w:tcBorders>
              <w:tl2br w:val="nil"/>
              <w:tr2bl w:val="nil"/>
            </w:tcBorders>
          </w:tcPr>
          <w:p w14:paraId="0CCBBB7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6.20</w:t>
            </w:r>
          </w:p>
        </w:tc>
        <w:tc>
          <w:tcPr>
            <w:tcW w:w="1393" w:type="dxa"/>
            <w:gridSpan w:val="2"/>
            <w:tcBorders>
              <w:tl2br w:val="nil"/>
              <w:tr2bl w:val="nil"/>
            </w:tcBorders>
          </w:tcPr>
          <w:p w14:paraId="7EE2D11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3.62</w:t>
            </w:r>
          </w:p>
        </w:tc>
        <w:tc>
          <w:tcPr>
            <w:tcW w:w="1388" w:type="dxa"/>
            <w:tcBorders>
              <w:tl2br w:val="nil"/>
              <w:tr2bl w:val="nil"/>
            </w:tcBorders>
          </w:tcPr>
          <w:p w14:paraId="5E7B4C0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35.91</w:t>
            </w:r>
          </w:p>
        </w:tc>
        <w:tc>
          <w:tcPr>
            <w:tcW w:w="1378" w:type="dxa"/>
            <w:tcBorders>
              <w:tl2br w:val="nil"/>
              <w:tr2bl w:val="nil"/>
            </w:tcBorders>
          </w:tcPr>
          <w:p w14:paraId="3B213E4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90.83</w:t>
            </w:r>
          </w:p>
        </w:tc>
      </w:tr>
      <w:tr w:rsidR="009D12AF" w14:paraId="6BACC103" w14:textId="77777777">
        <w:tc>
          <w:tcPr>
            <w:tcW w:w="1362" w:type="dxa"/>
            <w:tcBorders>
              <w:tl2br w:val="nil"/>
              <w:tr2bl w:val="nil"/>
            </w:tcBorders>
          </w:tcPr>
          <w:p w14:paraId="4D90AB9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公路用地</w:t>
            </w:r>
          </w:p>
        </w:tc>
        <w:tc>
          <w:tcPr>
            <w:tcW w:w="1384" w:type="dxa"/>
            <w:tcBorders>
              <w:tl2br w:val="nil"/>
              <w:tr2bl w:val="nil"/>
            </w:tcBorders>
          </w:tcPr>
          <w:p w14:paraId="4214140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3.78</w:t>
            </w:r>
          </w:p>
        </w:tc>
        <w:tc>
          <w:tcPr>
            <w:tcW w:w="1391" w:type="dxa"/>
            <w:tcBorders>
              <w:tl2br w:val="nil"/>
              <w:tr2bl w:val="nil"/>
            </w:tcBorders>
          </w:tcPr>
          <w:p w14:paraId="1752202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0.40</w:t>
            </w:r>
          </w:p>
        </w:tc>
        <w:tc>
          <w:tcPr>
            <w:tcW w:w="1393" w:type="dxa"/>
            <w:gridSpan w:val="2"/>
            <w:tcBorders>
              <w:tl2br w:val="nil"/>
              <w:tr2bl w:val="nil"/>
            </w:tcBorders>
          </w:tcPr>
          <w:p w14:paraId="44A81B1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0.06</w:t>
            </w:r>
          </w:p>
        </w:tc>
        <w:tc>
          <w:tcPr>
            <w:tcW w:w="1388" w:type="dxa"/>
            <w:tcBorders>
              <w:tl2br w:val="nil"/>
              <w:tr2bl w:val="nil"/>
            </w:tcBorders>
          </w:tcPr>
          <w:p w14:paraId="0023E73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36.12</w:t>
            </w:r>
          </w:p>
        </w:tc>
        <w:tc>
          <w:tcPr>
            <w:tcW w:w="1378" w:type="dxa"/>
            <w:tcBorders>
              <w:tl2br w:val="nil"/>
              <w:tr2bl w:val="nil"/>
            </w:tcBorders>
          </w:tcPr>
          <w:p w14:paraId="7C69389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15.49</w:t>
            </w:r>
          </w:p>
        </w:tc>
      </w:tr>
      <w:tr w:rsidR="009D12AF" w14:paraId="4652BB47" w14:textId="77777777">
        <w:tc>
          <w:tcPr>
            <w:tcW w:w="1362" w:type="dxa"/>
            <w:tcBorders>
              <w:tl2br w:val="nil"/>
              <w:tr2bl w:val="nil"/>
            </w:tcBorders>
          </w:tcPr>
          <w:p w14:paraId="5D75755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农村道路</w:t>
            </w:r>
          </w:p>
        </w:tc>
        <w:tc>
          <w:tcPr>
            <w:tcW w:w="1384" w:type="dxa"/>
            <w:tcBorders>
              <w:tl2br w:val="nil"/>
              <w:tr2bl w:val="nil"/>
            </w:tcBorders>
          </w:tcPr>
          <w:p w14:paraId="7E228D8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8.73</w:t>
            </w:r>
          </w:p>
        </w:tc>
        <w:tc>
          <w:tcPr>
            <w:tcW w:w="1391" w:type="dxa"/>
            <w:tcBorders>
              <w:tl2br w:val="nil"/>
              <w:tr2bl w:val="nil"/>
            </w:tcBorders>
          </w:tcPr>
          <w:p w14:paraId="0E9D2DF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0.92</w:t>
            </w:r>
          </w:p>
        </w:tc>
        <w:tc>
          <w:tcPr>
            <w:tcW w:w="1393" w:type="dxa"/>
            <w:gridSpan w:val="2"/>
            <w:tcBorders>
              <w:tl2br w:val="nil"/>
              <w:tr2bl w:val="nil"/>
            </w:tcBorders>
          </w:tcPr>
          <w:p w14:paraId="3EFA461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0.04</w:t>
            </w:r>
          </w:p>
        </w:tc>
        <w:tc>
          <w:tcPr>
            <w:tcW w:w="1388" w:type="dxa"/>
            <w:tcBorders>
              <w:tl2br w:val="nil"/>
              <w:tr2bl w:val="nil"/>
            </w:tcBorders>
          </w:tcPr>
          <w:p w14:paraId="22607C0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53.21</w:t>
            </w:r>
          </w:p>
        </w:tc>
        <w:tc>
          <w:tcPr>
            <w:tcW w:w="1378" w:type="dxa"/>
            <w:tcBorders>
              <w:tl2br w:val="nil"/>
              <w:tr2bl w:val="nil"/>
            </w:tcBorders>
          </w:tcPr>
          <w:p w14:paraId="6A83334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6.32</w:t>
            </w:r>
          </w:p>
        </w:tc>
      </w:tr>
      <w:tr w:rsidR="009D12AF" w14:paraId="007CEFB8" w14:textId="77777777">
        <w:tc>
          <w:tcPr>
            <w:tcW w:w="1362" w:type="dxa"/>
            <w:tcBorders>
              <w:tl2br w:val="nil"/>
              <w:tr2bl w:val="nil"/>
            </w:tcBorders>
          </w:tcPr>
          <w:p w14:paraId="6EE76B2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其他草地</w:t>
            </w:r>
          </w:p>
        </w:tc>
        <w:tc>
          <w:tcPr>
            <w:tcW w:w="1384" w:type="dxa"/>
            <w:tcBorders>
              <w:tl2br w:val="nil"/>
              <w:tr2bl w:val="nil"/>
            </w:tcBorders>
          </w:tcPr>
          <w:p w14:paraId="3F05D71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1.17</w:t>
            </w:r>
          </w:p>
        </w:tc>
        <w:tc>
          <w:tcPr>
            <w:tcW w:w="1391" w:type="dxa"/>
            <w:tcBorders>
              <w:tl2br w:val="nil"/>
              <w:tr2bl w:val="nil"/>
            </w:tcBorders>
          </w:tcPr>
          <w:p w14:paraId="5E1A2C6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0.12</w:t>
            </w:r>
          </w:p>
        </w:tc>
        <w:tc>
          <w:tcPr>
            <w:tcW w:w="1393" w:type="dxa"/>
            <w:gridSpan w:val="2"/>
            <w:tcBorders>
              <w:tl2br w:val="nil"/>
              <w:tr2bl w:val="nil"/>
            </w:tcBorders>
          </w:tcPr>
          <w:p w14:paraId="2D26667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0.03</w:t>
            </w:r>
          </w:p>
        </w:tc>
        <w:tc>
          <w:tcPr>
            <w:tcW w:w="1388" w:type="dxa"/>
            <w:tcBorders>
              <w:tl2br w:val="nil"/>
              <w:tr2bl w:val="nil"/>
            </w:tcBorders>
          </w:tcPr>
          <w:p w14:paraId="35352D5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36.63</w:t>
            </w:r>
          </w:p>
        </w:tc>
        <w:tc>
          <w:tcPr>
            <w:tcW w:w="1378" w:type="dxa"/>
            <w:tcBorders>
              <w:tl2br w:val="nil"/>
              <w:tr2bl w:val="nil"/>
            </w:tcBorders>
          </w:tcPr>
          <w:p w14:paraId="5419E54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27.78</w:t>
            </w:r>
          </w:p>
        </w:tc>
      </w:tr>
      <w:tr w:rsidR="009D12AF" w14:paraId="4E41F5F4" w14:textId="77777777">
        <w:tc>
          <w:tcPr>
            <w:tcW w:w="1362" w:type="dxa"/>
            <w:tcBorders>
              <w:tl2br w:val="nil"/>
              <w:tr2bl w:val="nil"/>
            </w:tcBorders>
          </w:tcPr>
          <w:p w14:paraId="5405180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lastRenderedPageBreak/>
              <w:t>设施农用地</w:t>
            </w:r>
          </w:p>
        </w:tc>
        <w:tc>
          <w:tcPr>
            <w:tcW w:w="1384" w:type="dxa"/>
            <w:tcBorders>
              <w:tl2br w:val="nil"/>
              <w:tr2bl w:val="nil"/>
            </w:tcBorders>
          </w:tcPr>
          <w:p w14:paraId="627852A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0.54</w:t>
            </w:r>
          </w:p>
        </w:tc>
        <w:tc>
          <w:tcPr>
            <w:tcW w:w="1391" w:type="dxa"/>
            <w:tcBorders>
              <w:tl2br w:val="nil"/>
              <w:tr2bl w:val="nil"/>
            </w:tcBorders>
          </w:tcPr>
          <w:p w14:paraId="3D07FB9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0.06</w:t>
            </w:r>
          </w:p>
        </w:tc>
        <w:tc>
          <w:tcPr>
            <w:tcW w:w="1393" w:type="dxa"/>
            <w:gridSpan w:val="2"/>
            <w:tcBorders>
              <w:tl2br w:val="nil"/>
              <w:tr2bl w:val="nil"/>
            </w:tcBorders>
          </w:tcPr>
          <w:p w14:paraId="764B42F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0.03</w:t>
            </w:r>
          </w:p>
        </w:tc>
        <w:tc>
          <w:tcPr>
            <w:tcW w:w="1388" w:type="dxa"/>
            <w:tcBorders>
              <w:tl2br w:val="nil"/>
              <w:tr2bl w:val="nil"/>
            </w:tcBorders>
          </w:tcPr>
          <w:p w14:paraId="4054F4A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38.60</w:t>
            </w:r>
          </w:p>
        </w:tc>
        <w:tc>
          <w:tcPr>
            <w:tcW w:w="1378" w:type="dxa"/>
            <w:tcBorders>
              <w:tl2br w:val="nil"/>
              <w:tr2bl w:val="nil"/>
            </w:tcBorders>
          </w:tcPr>
          <w:p w14:paraId="163A1B9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42.86</w:t>
            </w:r>
          </w:p>
        </w:tc>
      </w:tr>
      <w:tr w:rsidR="009D12AF" w14:paraId="5BCF1538" w14:textId="77777777">
        <w:tc>
          <w:tcPr>
            <w:tcW w:w="1362" w:type="dxa"/>
            <w:tcBorders>
              <w:tl2br w:val="nil"/>
              <w:tr2bl w:val="nil"/>
            </w:tcBorders>
          </w:tcPr>
          <w:p w14:paraId="53857A0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坑塘水面</w:t>
            </w:r>
          </w:p>
        </w:tc>
        <w:tc>
          <w:tcPr>
            <w:tcW w:w="1384" w:type="dxa"/>
            <w:tcBorders>
              <w:tl2br w:val="nil"/>
              <w:tr2bl w:val="nil"/>
            </w:tcBorders>
          </w:tcPr>
          <w:p w14:paraId="42A6C64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0.81</w:t>
            </w:r>
          </w:p>
        </w:tc>
        <w:tc>
          <w:tcPr>
            <w:tcW w:w="1391" w:type="dxa"/>
            <w:tcBorders>
              <w:tl2br w:val="nil"/>
              <w:tr2bl w:val="nil"/>
            </w:tcBorders>
          </w:tcPr>
          <w:p w14:paraId="1310FE3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0.09</w:t>
            </w:r>
          </w:p>
        </w:tc>
        <w:tc>
          <w:tcPr>
            <w:tcW w:w="1393" w:type="dxa"/>
            <w:gridSpan w:val="2"/>
            <w:tcBorders>
              <w:tl2br w:val="nil"/>
              <w:tr2bl w:val="nil"/>
            </w:tcBorders>
          </w:tcPr>
          <w:p w14:paraId="0DF6345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0.05</w:t>
            </w:r>
          </w:p>
        </w:tc>
        <w:tc>
          <w:tcPr>
            <w:tcW w:w="1388" w:type="dxa"/>
            <w:tcBorders>
              <w:tl2br w:val="nil"/>
              <w:tr2bl w:val="nil"/>
            </w:tcBorders>
          </w:tcPr>
          <w:p w14:paraId="3942C0B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43.62</w:t>
            </w:r>
          </w:p>
        </w:tc>
        <w:tc>
          <w:tcPr>
            <w:tcW w:w="1378" w:type="dxa"/>
            <w:tcBorders>
              <w:tl2br w:val="nil"/>
              <w:tr2bl w:val="nil"/>
            </w:tcBorders>
          </w:tcPr>
          <w:p w14:paraId="50E77DB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58.33</w:t>
            </w:r>
          </w:p>
        </w:tc>
      </w:tr>
      <w:tr w:rsidR="009D12AF" w14:paraId="268BEE72" w14:textId="77777777">
        <w:tc>
          <w:tcPr>
            <w:tcW w:w="1362" w:type="dxa"/>
            <w:tcBorders>
              <w:tl2br w:val="nil"/>
              <w:tr2bl w:val="nil"/>
            </w:tcBorders>
          </w:tcPr>
          <w:p w14:paraId="326DFE9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果园</w:t>
            </w:r>
          </w:p>
        </w:tc>
        <w:tc>
          <w:tcPr>
            <w:tcW w:w="1384" w:type="dxa"/>
            <w:tcBorders>
              <w:tl2br w:val="nil"/>
              <w:tr2bl w:val="nil"/>
            </w:tcBorders>
          </w:tcPr>
          <w:p w14:paraId="40CC498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0.45</w:t>
            </w:r>
          </w:p>
        </w:tc>
        <w:tc>
          <w:tcPr>
            <w:tcW w:w="1391" w:type="dxa"/>
            <w:tcBorders>
              <w:tl2br w:val="nil"/>
              <w:tr2bl w:val="nil"/>
            </w:tcBorders>
          </w:tcPr>
          <w:p w14:paraId="782ECBF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0.05</w:t>
            </w:r>
          </w:p>
        </w:tc>
        <w:tc>
          <w:tcPr>
            <w:tcW w:w="1393" w:type="dxa"/>
            <w:gridSpan w:val="2"/>
            <w:tcBorders>
              <w:tl2br w:val="nil"/>
              <w:tr2bl w:val="nil"/>
            </w:tcBorders>
          </w:tcPr>
          <w:p w14:paraId="3653947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0.05</w:t>
            </w:r>
          </w:p>
        </w:tc>
        <w:tc>
          <w:tcPr>
            <w:tcW w:w="1388" w:type="dxa"/>
            <w:tcBorders>
              <w:tl2br w:val="nil"/>
              <w:tr2bl w:val="nil"/>
            </w:tcBorders>
          </w:tcPr>
          <w:p w14:paraId="3F73ECC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40.87</w:t>
            </w:r>
          </w:p>
        </w:tc>
        <w:tc>
          <w:tcPr>
            <w:tcW w:w="1378" w:type="dxa"/>
            <w:tcBorders>
              <w:tl2br w:val="nil"/>
              <w:tr2bl w:val="nil"/>
            </w:tcBorders>
          </w:tcPr>
          <w:p w14:paraId="5D4E792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60.00</w:t>
            </w:r>
          </w:p>
        </w:tc>
      </w:tr>
      <w:tr w:rsidR="009D12AF" w14:paraId="0877BDA5" w14:textId="77777777">
        <w:tc>
          <w:tcPr>
            <w:tcW w:w="8296" w:type="dxa"/>
            <w:gridSpan w:val="7"/>
            <w:tcBorders>
              <w:tl2br w:val="nil"/>
              <w:tr2bl w:val="nil"/>
            </w:tcBorders>
          </w:tcPr>
          <w:p w14:paraId="6147543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景观尺度特征</w:t>
            </w:r>
          </w:p>
        </w:tc>
      </w:tr>
      <w:tr w:rsidR="009D12AF" w14:paraId="7B53FA49" w14:textId="77777777">
        <w:tc>
          <w:tcPr>
            <w:tcW w:w="1362" w:type="dxa"/>
            <w:tcBorders>
              <w:tl2br w:val="nil"/>
              <w:tr2bl w:val="nil"/>
            </w:tcBorders>
          </w:tcPr>
          <w:p w14:paraId="74B324B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指标</w:t>
            </w:r>
          </w:p>
        </w:tc>
        <w:tc>
          <w:tcPr>
            <w:tcW w:w="3479" w:type="dxa"/>
            <w:gridSpan w:val="3"/>
            <w:tcBorders>
              <w:tl2br w:val="nil"/>
              <w:tr2bl w:val="nil"/>
            </w:tcBorders>
          </w:tcPr>
          <w:p w14:paraId="1794DFD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S</w:t>
            </w:r>
            <w:r>
              <w:rPr>
                <w:rFonts w:ascii="Times New Roman" w:eastAsia="宋体" w:hAnsi="Times New Roman" w:cs="Times New Roman"/>
                <w:kern w:val="0"/>
                <w:szCs w:val="15"/>
              </w:rPr>
              <w:t>HDI</w:t>
            </w:r>
          </w:p>
        </w:tc>
        <w:tc>
          <w:tcPr>
            <w:tcW w:w="3455" w:type="dxa"/>
            <w:gridSpan w:val="3"/>
            <w:tcBorders>
              <w:tl2br w:val="nil"/>
              <w:tr2bl w:val="nil"/>
            </w:tcBorders>
          </w:tcPr>
          <w:p w14:paraId="455C271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A</w:t>
            </w:r>
            <w:r>
              <w:rPr>
                <w:rFonts w:ascii="Times New Roman" w:eastAsia="宋体" w:hAnsi="Times New Roman" w:cs="Times New Roman"/>
                <w:kern w:val="0"/>
                <w:szCs w:val="15"/>
              </w:rPr>
              <w:t>I</w:t>
            </w:r>
          </w:p>
        </w:tc>
      </w:tr>
      <w:tr w:rsidR="009D12AF" w14:paraId="406ABA4B" w14:textId="77777777">
        <w:tc>
          <w:tcPr>
            <w:tcW w:w="1362" w:type="dxa"/>
            <w:tcBorders>
              <w:tl2br w:val="nil"/>
              <w:tr2bl w:val="nil"/>
            </w:tcBorders>
          </w:tcPr>
          <w:p w14:paraId="5FB5C26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评价范围</w:t>
            </w:r>
          </w:p>
        </w:tc>
        <w:tc>
          <w:tcPr>
            <w:tcW w:w="3479" w:type="dxa"/>
            <w:gridSpan w:val="3"/>
            <w:tcBorders>
              <w:tl2br w:val="nil"/>
              <w:tr2bl w:val="nil"/>
            </w:tcBorders>
          </w:tcPr>
          <w:p w14:paraId="5AF0857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1.4277</w:t>
            </w:r>
          </w:p>
        </w:tc>
        <w:tc>
          <w:tcPr>
            <w:tcW w:w="3455" w:type="dxa"/>
            <w:gridSpan w:val="3"/>
            <w:tcBorders>
              <w:tl2br w:val="nil"/>
              <w:tr2bl w:val="nil"/>
            </w:tcBorders>
          </w:tcPr>
          <w:p w14:paraId="583D3D6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86.4652</w:t>
            </w:r>
          </w:p>
        </w:tc>
      </w:tr>
    </w:tbl>
    <w:p w14:paraId="5979A975" w14:textId="77777777" w:rsidR="009D12AF" w:rsidRDefault="00000000">
      <w:pPr>
        <w:ind w:firstLine="480"/>
      </w:pPr>
      <w:r>
        <w:rPr>
          <w:rFonts w:hint="eastAsia"/>
        </w:rPr>
        <w:t>二、生境质量现状</w:t>
      </w:r>
    </w:p>
    <w:p w14:paraId="2B66E205" w14:textId="77777777" w:rsidR="009D12AF" w:rsidRDefault="00000000">
      <w:pPr>
        <w:widowControl/>
        <w:ind w:firstLine="480"/>
        <w:jc w:val="left"/>
        <w:rPr>
          <w:rFonts w:ascii="Times New Roman" w:eastAsia="宋体" w:hAnsi="Times New Roman" w:cs="Times New Roman"/>
          <w:kern w:val="0"/>
        </w:rPr>
      </w:pPr>
      <w:bookmarkStart w:id="332" w:name="_Hlk154402937"/>
      <w:r>
        <w:rPr>
          <w:rFonts w:ascii="Times New Roman" w:eastAsia="宋体" w:hAnsi="Times New Roman" w:cs="Times New Roman"/>
          <w:kern w:val="0"/>
        </w:rPr>
        <w:t>依据《环境影响评价技术导则</w:t>
      </w:r>
      <w:r>
        <w:rPr>
          <w:rFonts w:ascii="Times New Roman" w:eastAsia="宋体" w:hAnsi="Times New Roman" w:cs="Times New Roman"/>
          <w:kern w:val="0"/>
        </w:rPr>
        <w:t xml:space="preserve">  </w:t>
      </w:r>
      <w:r>
        <w:rPr>
          <w:rFonts w:ascii="Times New Roman" w:eastAsia="宋体" w:hAnsi="Times New Roman" w:cs="Times New Roman"/>
          <w:kern w:val="0"/>
        </w:rPr>
        <w:t>生态影响》（</w:t>
      </w:r>
      <w:r>
        <w:rPr>
          <w:rFonts w:ascii="Times New Roman" w:eastAsia="宋体" w:hAnsi="Times New Roman" w:cs="Times New Roman"/>
          <w:kern w:val="0"/>
        </w:rPr>
        <w:t>HJ19-2022</w:t>
      </w:r>
      <w:r>
        <w:rPr>
          <w:rFonts w:ascii="Times New Roman" w:eastAsia="宋体" w:hAnsi="Times New Roman" w:cs="Times New Roman"/>
          <w:kern w:val="0"/>
        </w:rPr>
        <w:t>）</w:t>
      </w:r>
      <w:r>
        <w:rPr>
          <w:rFonts w:ascii="Times New Roman" w:eastAsia="宋体" w:hAnsi="Times New Roman" w:cs="Times New Roman"/>
          <w:kern w:val="0"/>
        </w:rPr>
        <w:t>C.9</w:t>
      </w:r>
      <w:r>
        <w:rPr>
          <w:rFonts w:ascii="Times New Roman" w:eastAsia="宋体" w:hAnsi="Times New Roman" w:cs="Times New Roman"/>
          <w:kern w:val="0"/>
        </w:rPr>
        <w:t>，可根据需要选取相应的指标，采用</w:t>
      </w:r>
      <w:r>
        <w:rPr>
          <w:rFonts w:ascii="Times New Roman" w:eastAsia="宋体" w:hAnsi="Times New Roman" w:cs="Times New Roman"/>
          <w:kern w:val="0"/>
        </w:rPr>
        <w:t xml:space="preserve"> FRAGSTATS </w:t>
      </w:r>
      <w:r>
        <w:rPr>
          <w:rFonts w:ascii="Times New Roman" w:eastAsia="宋体" w:hAnsi="Times New Roman" w:cs="Times New Roman"/>
          <w:kern w:val="0"/>
        </w:rPr>
        <w:t>等景观格局分析软件进行计算分析。涉及显著改变土地利用类型的矿山开采、大规模的农林业开发以及大中型水利水电建设项目等可采用该方法对生境的连通性、破碎化程度进行评价。利用蔓延度指数（</w:t>
      </w:r>
      <w:r>
        <w:rPr>
          <w:rFonts w:ascii="Times New Roman" w:eastAsia="宋体" w:hAnsi="Times New Roman" w:cs="Times New Roman"/>
          <w:kern w:val="0"/>
        </w:rPr>
        <w:t>CONTAG</w:t>
      </w:r>
      <w:r>
        <w:rPr>
          <w:rFonts w:ascii="Times New Roman" w:eastAsia="宋体" w:hAnsi="Times New Roman" w:cs="Times New Roman"/>
          <w:kern w:val="0"/>
        </w:rPr>
        <w:t>）、聚集度指数（</w:t>
      </w:r>
      <w:r>
        <w:rPr>
          <w:rFonts w:ascii="Times New Roman" w:eastAsia="宋体" w:hAnsi="Times New Roman" w:cs="Times New Roman"/>
          <w:kern w:val="0"/>
        </w:rPr>
        <w:t>AI</w:t>
      </w:r>
      <w:r>
        <w:rPr>
          <w:rFonts w:ascii="Times New Roman" w:eastAsia="宋体" w:hAnsi="Times New Roman" w:cs="Times New Roman"/>
          <w:kern w:val="0"/>
        </w:rPr>
        <w:t>）评价连通性、破碎化程度。评价区范围内各类景观指数详见</w:t>
      </w:r>
      <w:r>
        <w:rPr>
          <w:rFonts w:ascii="Times New Roman" w:eastAsia="宋体" w:hAnsi="Times New Roman" w:cs="Times New Roman" w:hint="eastAsia"/>
          <w:kern w:val="0"/>
        </w:rPr>
        <w:t>表</w:t>
      </w:r>
      <w:r>
        <w:rPr>
          <w:rFonts w:ascii="Times New Roman" w:eastAsia="宋体" w:hAnsi="Times New Roman" w:cs="Times New Roman" w:hint="eastAsia"/>
          <w:kern w:val="0"/>
        </w:rPr>
        <w:t>4.3-64</w:t>
      </w:r>
      <w:r>
        <w:rPr>
          <w:rFonts w:ascii="Times New Roman" w:eastAsia="宋体" w:hAnsi="Times New Roman" w:cs="Times New Roman"/>
          <w:kern w:val="0"/>
        </w:rPr>
        <w:t>。</w:t>
      </w:r>
    </w:p>
    <w:p w14:paraId="24F99E9A" w14:textId="77777777" w:rsidR="009D12AF" w:rsidRDefault="00000000">
      <w:pPr>
        <w:widowControl/>
        <w:ind w:firstLine="482"/>
        <w:jc w:val="center"/>
        <w:rPr>
          <w:rFonts w:ascii="Times New Roman" w:eastAsia="宋体" w:hAnsi="Times New Roman" w:cs="Times New Roman"/>
          <w:b/>
          <w:bCs/>
          <w:kern w:val="0"/>
        </w:rPr>
      </w:pPr>
      <w:r>
        <w:rPr>
          <w:rFonts w:ascii="Times New Roman" w:eastAsia="宋体" w:hAnsi="Times New Roman" w:cs="Times New Roman" w:hint="eastAsia"/>
          <w:b/>
          <w:bCs/>
          <w:kern w:val="0"/>
        </w:rPr>
        <w:t>表</w:t>
      </w:r>
      <w:r>
        <w:rPr>
          <w:rFonts w:ascii="Times New Roman" w:eastAsia="宋体" w:hAnsi="Times New Roman" w:cs="Times New Roman" w:hint="eastAsia"/>
          <w:b/>
          <w:bCs/>
          <w:kern w:val="0"/>
        </w:rPr>
        <w:t>4.3-64</w:t>
      </w:r>
      <w:r>
        <w:rPr>
          <w:rFonts w:ascii="Times New Roman" w:eastAsia="宋体" w:hAnsi="Times New Roman" w:cs="Times New Roman"/>
          <w:b/>
          <w:bCs/>
          <w:kern w:val="0"/>
        </w:rPr>
        <w:t xml:space="preserve">   </w:t>
      </w:r>
      <w:r>
        <w:rPr>
          <w:rFonts w:ascii="宋体" w:eastAsia="宋体" w:hAnsi="宋体" w:cs="宋体"/>
          <w:b/>
          <w:bCs/>
          <w:kern w:val="0"/>
        </w:rPr>
        <w:t>工程评价范围</w:t>
      </w:r>
      <w:r>
        <w:rPr>
          <w:rFonts w:ascii="宋体" w:eastAsia="宋体" w:hAnsi="宋体" w:cs="宋体" w:hint="eastAsia"/>
          <w:b/>
          <w:bCs/>
          <w:kern w:val="0"/>
        </w:rPr>
        <w:t>内生境质量</w:t>
      </w:r>
      <w:r>
        <w:rPr>
          <w:rFonts w:ascii="宋体" w:eastAsia="宋体" w:hAnsi="宋体" w:cs="宋体"/>
          <w:b/>
          <w:bCs/>
          <w:kern w:val="0"/>
        </w:rPr>
        <w:t>指数</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3085"/>
        <w:gridCol w:w="2977"/>
        <w:gridCol w:w="2460"/>
      </w:tblGrid>
      <w:tr w:rsidR="009D12AF" w14:paraId="09EC2C3F" w14:textId="77777777">
        <w:tc>
          <w:tcPr>
            <w:tcW w:w="3085" w:type="dxa"/>
            <w:tcBorders>
              <w:tl2br w:val="nil"/>
              <w:tr2bl w:val="nil"/>
            </w:tcBorders>
            <w:vAlign w:val="center"/>
          </w:tcPr>
          <w:p w14:paraId="17464A0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生境指标</w:t>
            </w:r>
          </w:p>
        </w:tc>
        <w:tc>
          <w:tcPr>
            <w:tcW w:w="2977" w:type="dxa"/>
            <w:tcBorders>
              <w:tl2br w:val="nil"/>
              <w:tr2bl w:val="nil"/>
            </w:tcBorders>
            <w:vAlign w:val="center"/>
          </w:tcPr>
          <w:p w14:paraId="7E93688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C</w:t>
            </w:r>
            <w:r>
              <w:rPr>
                <w:rFonts w:ascii="Times New Roman" w:eastAsia="宋体" w:hAnsi="Times New Roman" w:cs="Times New Roman"/>
                <w:kern w:val="0"/>
                <w:szCs w:val="15"/>
              </w:rPr>
              <w:t>ONTAG</w:t>
            </w:r>
          </w:p>
        </w:tc>
        <w:tc>
          <w:tcPr>
            <w:tcW w:w="2460" w:type="dxa"/>
            <w:tcBorders>
              <w:tl2br w:val="nil"/>
              <w:tr2bl w:val="nil"/>
            </w:tcBorders>
            <w:vAlign w:val="center"/>
          </w:tcPr>
          <w:p w14:paraId="781CF4E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A</w:t>
            </w:r>
            <w:r>
              <w:rPr>
                <w:rFonts w:ascii="Times New Roman" w:eastAsia="宋体" w:hAnsi="Times New Roman" w:cs="Times New Roman"/>
                <w:kern w:val="0"/>
                <w:szCs w:val="15"/>
              </w:rPr>
              <w:t>I</w:t>
            </w:r>
          </w:p>
        </w:tc>
      </w:tr>
      <w:tr w:rsidR="009D12AF" w14:paraId="78076B76" w14:textId="77777777">
        <w:tc>
          <w:tcPr>
            <w:tcW w:w="3085" w:type="dxa"/>
            <w:tcBorders>
              <w:tl2br w:val="nil"/>
              <w:tr2bl w:val="nil"/>
            </w:tcBorders>
            <w:vAlign w:val="center"/>
          </w:tcPr>
          <w:p w14:paraId="446A16C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评价范围</w:t>
            </w:r>
          </w:p>
        </w:tc>
        <w:tc>
          <w:tcPr>
            <w:tcW w:w="2977" w:type="dxa"/>
            <w:tcBorders>
              <w:tl2br w:val="nil"/>
              <w:tr2bl w:val="nil"/>
            </w:tcBorders>
            <w:vAlign w:val="center"/>
          </w:tcPr>
          <w:p w14:paraId="34F8720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82.2071</w:t>
            </w:r>
          </w:p>
        </w:tc>
        <w:tc>
          <w:tcPr>
            <w:tcW w:w="2460" w:type="dxa"/>
            <w:tcBorders>
              <w:tl2br w:val="nil"/>
              <w:tr2bl w:val="nil"/>
            </w:tcBorders>
            <w:vAlign w:val="center"/>
          </w:tcPr>
          <w:p w14:paraId="3A3AACE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87.1507</w:t>
            </w:r>
          </w:p>
        </w:tc>
      </w:tr>
    </w:tbl>
    <w:bookmarkEnd w:id="332"/>
    <w:p w14:paraId="4FB27664"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hint="eastAsia"/>
          <w:kern w:val="0"/>
        </w:rPr>
        <w:t>由上表可见，蔓延度指数（范围</w:t>
      </w:r>
      <w:r>
        <w:rPr>
          <w:rFonts w:ascii="Times New Roman" w:eastAsia="宋体" w:hAnsi="Times New Roman" w:cs="Times New Roman"/>
          <w:kern w:val="0"/>
        </w:rPr>
        <w:t>:0&lt;CONTAG≤100</w:t>
      </w:r>
      <w:r>
        <w:rPr>
          <w:rFonts w:ascii="Times New Roman" w:eastAsia="宋体" w:hAnsi="Times New Roman" w:cs="Times New Roman"/>
          <w:kern w:val="0"/>
        </w:rPr>
        <w:t>）</w:t>
      </w:r>
      <w:r>
        <w:rPr>
          <w:rFonts w:ascii="Times New Roman" w:eastAsia="宋体" w:hAnsi="Times New Roman" w:cs="Times New Roman" w:hint="eastAsia"/>
          <w:kern w:val="0"/>
        </w:rPr>
        <w:t>的结果为</w:t>
      </w:r>
      <w:r>
        <w:rPr>
          <w:rFonts w:ascii="Times New Roman" w:eastAsia="宋体" w:hAnsi="Times New Roman" w:cs="Times New Roman" w:hint="eastAsia"/>
          <w:kern w:val="0"/>
        </w:rPr>
        <w:t>82.2071</w:t>
      </w:r>
      <w:r>
        <w:rPr>
          <w:rFonts w:ascii="Times New Roman" w:eastAsia="宋体" w:hAnsi="Times New Roman" w:cs="Times New Roman"/>
          <w:kern w:val="0"/>
        </w:rPr>
        <w:t>%</w:t>
      </w:r>
      <w:r>
        <w:rPr>
          <w:rFonts w:ascii="Times New Roman" w:eastAsia="宋体" w:hAnsi="Times New Roman" w:cs="Times New Roman"/>
          <w:kern w:val="0"/>
        </w:rPr>
        <w:t>，数值</w:t>
      </w:r>
      <w:r>
        <w:rPr>
          <w:rFonts w:ascii="Times New Roman" w:eastAsia="宋体" w:hAnsi="Times New Roman" w:cs="Times New Roman" w:hint="eastAsia"/>
          <w:kern w:val="0"/>
        </w:rPr>
        <w:t>较</w:t>
      </w:r>
      <w:r>
        <w:rPr>
          <w:rFonts w:ascii="Times New Roman" w:eastAsia="宋体" w:hAnsi="Times New Roman" w:cs="Times New Roman"/>
          <w:kern w:val="0"/>
        </w:rPr>
        <w:t>高</w:t>
      </w:r>
      <w:r>
        <w:rPr>
          <w:rFonts w:ascii="Times New Roman" w:eastAsia="宋体" w:hAnsi="Times New Roman" w:cs="Times New Roman" w:hint="eastAsia"/>
          <w:kern w:val="0"/>
        </w:rPr>
        <w:t>，</w:t>
      </w:r>
      <w:r>
        <w:rPr>
          <w:rFonts w:ascii="Times New Roman" w:eastAsia="宋体" w:hAnsi="Times New Roman" w:cs="Times New Roman"/>
          <w:kern w:val="0"/>
        </w:rPr>
        <w:t>表明本项目生境类型中的乔木林作为优势斑块类型具有良好的连接性，即乔木林面积大且完整，生境质量较好。</w:t>
      </w:r>
    </w:p>
    <w:p w14:paraId="0C74C328" w14:textId="77777777" w:rsidR="009D12AF" w:rsidRDefault="00000000">
      <w:pPr>
        <w:ind w:firstLine="480"/>
        <w:rPr>
          <w:rFonts w:ascii="Times New Roman" w:eastAsia="宋体" w:hAnsi="Times New Roman" w:cs="Times New Roman"/>
          <w:kern w:val="0"/>
        </w:rPr>
      </w:pPr>
      <w:r>
        <w:rPr>
          <w:rFonts w:ascii="Times New Roman" w:eastAsia="宋体" w:hAnsi="Times New Roman" w:cs="Times New Roman"/>
          <w:kern w:val="0"/>
        </w:rPr>
        <w:t>AI</w:t>
      </w:r>
      <w:r>
        <w:rPr>
          <w:rFonts w:ascii="Times New Roman" w:eastAsia="宋体" w:hAnsi="Times New Roman" w:cs="Times New Roman"/>
          <w:kern w:val="0"/>
        </w:rPr>
        <w:t>能够反映景观的聚集程度，</w:t>
      </w:r>
      <w:r>
        <w:rPr>
          <w:rFonts w:ascii="Times New Roman" w:eastAsia="宋体" w:hAnsi="Times New Roman" w:cs="Times New Roman"/>
          <w:kern w:val="0"/>
        </w:rPr>
        <w:t>AI</w:t>
      </w:r>
      <w:r>
        <w:rPr>
          <w:rFonts w:ascii="Times New Roman" w:eastAsia="宋体" w:hAnsi="Times New Roman" w:cs="Times New Roman"/>
          <w:kern w:val="0"/>
        </w:rPr>
        <w:t>值为</w:t>
      </w:r>
      <w:r>
        <w:rPr>
          <w:rFonts w:ascii="Times New Roman" w:eastAsia="宋体" w:hAnsi="Times New Roman" w:cs="Times New Roman" w:hint="eastAsia"/>
          <w:kern w:val="0"/>
        </w:rPr>
        <w:t>87.1507</w:t>
      </w:r>
      <w:r>
        <w:rPr>
          <w:rFonts w:ascii="Times New Roman" w:eastAsia="宋体" w:hAnsi="Times New Roman" w:cs="Times New Roman"/>
          <w:kern w:val="0"/>
        </w:rPr>
        <w:t>，</w:t>
      </w:r>
      <w:r>
        <w:rPr>
          <w:rFonts w:ascii="Times New Roman" w:eastAsia="宋体" w:hAnsi="Times New Roman" w:cs="Times New Roman" w:hint="eastAsia"/>
          <w:kern w:val="0"/>
        </w:rPr>
        <w:t>乔木林生境斑块</w:t>
      </w:r>
      <w:r>
        <w:rPr>
          <w:rFonts w:ascii="Times New Roman" w:eastAsia="宋体" w:hAnsi="Times New Roman" w:cs="Times New Roman"/>
          <w:kern w:val="0"/>
        </w:rPr>
        <w:t>聚合度指数较高，表明区域内</w:t>
      </w:r>
      <w:r>
        <w:rPr>
          <w:rFonts w:ascii="Times New Roman" w:eastAsia="宋体" w:hAnsi="Times New Roman" w:cs="Times New Roman" w:hint="eastAsia"/>
          <w:kern w:val="0"/>
        </w:rPr>
        <w:t>优势生境斑块</w:t>
      </w:r>
      <w:r>
        <w:rPr>
          <w:rFonts w:ascii="Times New Roman" w:eastAsia="宋体" w:hAnsi="Times New Roman" w:cs="Times New Roman"/>
          <w:kern w:val="0"/>
        </w:rPr>
        <w:t>保护程度较好，</w:t>
      </w:r>
      <w:r>
        <w:rPr>
          <w:rFonts w:ascii="Times New Roman" w:eastAsia="宋体" w:hAnsi="Times New Roman" w:cs="Times New Roman" w:hint="eastAsia"/>
          <w:kern w:val="0"/>
        </w:rPr>
        <w:t>生境斑块</w:t>
      </w:r>
      <w:r>
        <w:rPr>
          <w:rFonts w:ascii="Times New Roman" w:eastAsia="宋体" w:hAnsi="Times New Roman" w:cs="Times New Roman"/>
          <w:kern w:val="0"/>
        </w:rPr>
        <w:t>破碎化程度</w:t>
      </w:r>
      <w:r>
        <w:rPr>
          <w:rFonts w:ascii="Times New Roman" w:eastAsia="宋体" w:hAnsi="Times New Roman" w:cs="Times New Roman" w:hint="eastAsia"/>
          <w:kern w:val="0"/>
        </w:rPr>
        <w:t>较低，斑块聚集程度较高</w:t>
      </w:r>
      <w:r>
        <w:rPr>
          <w:rFonts w:ascii="Times New Roman" w:eastAsia="宋体" w:hAnsi="Times New Roman" w:cs="Times New Roman"/>
          <w:kern w:val="0"/>
        </w:rPr>
        <w:t>。</w:t>
      </w:r>
    </w:p>
    <w:p w14:paraId="766F8D6D" w14:textId="77777777" w:rsidR="009D12AF" w:rsidRDefault="00000000">
      <w:pPr>
        <w:ind w:firstLine="480"/>
        <w:rPr>
          <w:rFonts w:ascii="Times New Roman" w:eastAsia="宋体" w:hAnsi="Times New Roman" w:cs="Times New Roman"/>
          <w:kern w:val="0"/>
        </w:rPr>
      </w:pPr>
      <w:r>
        <w:rPr>
          <w:rFonts w:ascii="Times New Roman" w:eastAsia="宋体" w:hAnsi="Times New Roman" w:cs="Times New Roman" w:hint="eastAsia"/>
          <w:kern w:val="0"/>
        </w:rPr>
        <w:t>三、植被覆盖现状</w:t>
      </w:r>
    </w:p>
    <w:p w14:paraId="30917BC5" w14:textId="77777777" w:rsidR="009D12AF" w:rsidRDefault="00000000">
      <w:pPr>
        <w:ind w:firstLine="480"/>
        <w:rPr>
          <w:rFonts w:ascii="宋体" w:eastAsia="宋体" w:hAnsi="宋体" w:cs="宋体" w:hint="eastAsia"/>
          <w:kern w:val="0"/>
        </w:rPr>
      </w:pPr>
      <w:r>
        <w:rPr>
          <w:rFonts w:ascii="宋体" w:eastAsia="宋体" w:hAnsi="宋体" w:cs="宋体" w:hint="eastAsia"/>
          <w:kern w:val="0"/>
        </w:rPr>
        <w:t>评价区的植被覆盖度指数进行归一化分析与计算后，评价区植被覆盖度等级划分及面积比例情况见表</w:t>
      </w:r>
      <w:r>
        <w:rPr>
          <w:rFonts w:ascii="Times New Roman" w:eastAsia="宋体" w:hAnsi="Times New Roman" w:cs="Times New Roman" w:hint="eastAsia"/>
          <w:kern w:val="0"/>
        </w:rPr>
        <w:t>4.3-65</w:t>
      </w:r>
      <w:r>
        <w:rPr>
          <w:rFonts w:ascii="宋体" w:eastAsia="宋体" w:hAnsi="宋体" w:cs="宋体" w:hint="eastAsia"/>
          <w:kern w:val="0"/>
        </w:rPr>
        <w:t>，图</w:t>
      </w:r>
      <w:r>
        <w:rPr>
          <w:rFonts w:ascii="Times New Roman" w:eastAsia="宋体" w:hAnsi="Times New Roman" w:cs="Times New Roman" w:hint="eastAsia"/>
          <w:kern w:val="0"/>
        </w:rPr>
        <w:t>4.3-43</w:t>
      </w:r>
      <w:r>
        <w:rPr>
          <w:rFonts w:ascii="宋体" w:eastAsia="宋体" w:hAnsi="宋体" w:cs="宋体" w:hint="eastAsia"/>
          <w:kern w:val="0"/>
        </w:rPr>
        <w:t>，附图27。</w:t>
      </w:r>
    </w:p>
    <w:p w14:paraId="58460111" w14:textId="77777777" w:rsidR="009D12AF" w:rsidRDefault="00000000">
      <w:pPr>
        <w:ind w:firstLine="482"/>
        <w:jc w:val="center"/>
        <w:rPr>
          <w:b/>
          <w:bCs/>
          <w:highlight w:val="yellow"/>
        </w:rPr>
      </w:pPr>
      <w:r>
        <w:rPr>
          <w:rFonts w:hint="eastAsia"/>
          <w:b/>
          <w:bCs/>
        </w:rPr>
        <w:t>表</w:t>
      </w:r>
      <w:r>
        <w:rPr>
          <w:rFonts w:ascii="Times New Roman" w:eastAsia="宋体" w:hAnsi="Times New Roman" w:cs="Times New Roman" w:hint="eastAsia"/>
          <w:b/>
          <w:bCs/>
          <w:kern w:val="0"/>
        </w:rPr>
        <w:t>4.3-65</w:t>
      </w:r>
      <w:r>
        <w:rPr>
          <w:b/>
          <w:bCs/>
        </w:rPr>
        <w:t xml:space="preserve">   </w:t>
      </w:r>
      <w:r>
        <w:rPr>
          <w:rFonts w:hint="eastAsia"/>
          <w:b/>
          <w:bCs/>
        </w:rPr>
        <w:t>评价区植被覆盖度一览表</w:t>
      </w:r>
    </w:p>
    <w:tbl>
      <w:tblPr>
        <w:tblpPr w:leftFromText="181" w:rightFromText="181" w:bottomFromText="284" w:vertAnchor="text" w:tblpXSpec="center" w:tblpY="1"/>
        <w:tblOverlap w:val="never"/>
        <w:tblW w:w="4998"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3011"/>
        <w:gridCol w:w="2448"/>
        <w:gridCol w:w="3060"/>
      </w:tblGrid>
      <w:tr w:rsidR="009D12AF" w14:paraId="067C2A14" w14:textId="77777777">
        <w:tc>
          <w:tcPr>
            <w:tcW w:w="1767" w:type="pct"/>
            <w:tcBorders>
              <w:tl2br w:val="nil"/>
              <w:tr2bl w:val="nil"/>
            </w:tcBorders>
          </w:tcPr>
          <w:p w14:paraId="10A3D47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植被覆盖度</w:t>
            </w:r>
          </w:p>
        </w:tc>
        <w:tc>
          <w:tcPr>
            <w:tcW w:w="1436" w:type="pct"/>
            <w:tcBorders>
              <w:tl2br w:val="nil"/>
              <w:tr2bl w:val="nil"/>
            </w:tcBorders>
          </w:tcPr>
          <w:p w14:paraId="781B03F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面积（</w:t>
            </w:r>
            <w:r>
              <w:rPr>
                <w:rFonts w:ascii="Times New Roman" w:eastAsia="宋体" w:hAnsi="Times New Roman" w:cs="Times New Roman" w:hint="eastAsia"/>
                <w:kern w:val="0"/>
                <w:szCs w:val="15"/>
              </w:rPr>
              <w:t>hm</w:t>
            </w:r>
            <w:r>
              <w:rPr>
                <w:rFonts w:ascii="Times New Roman" w:eastAsia="宋体" w:hAnsi="Times New Roman" w:cs="Times New Roman"/>
                <w:kern w:val="0"/>
                <w:szCs w:val="15"/>
                <w:vertAlign w:val="superscript"/>
              </w:rPr>
              <w:t>2</w:t>
            </w:r>
            <w:r>
              <w:rPr>
                <w:rFonts w:ascii="Times New Roman" w:eastAsia="宋体" w:hAnsi="Times New Roman" w:cs="Times New Roman" w:hint="eastAsia"/>
                <w:kern w:val="0"/>
                <w:szCs w:val="15"/>
              </w:rPr>
              <w:t>）</w:t>
            </w:r>
          </w:p>
        </w:tc>
        <w:tc>
          <w:tcPr>
            <w:tcW w:w="1795" w:type="pct"/>
            <w:tcBorders>
              <w:tl2br w:val="nil"/>
              <w:tr2bl w:val="nil"/>
            </w:tcBorders>
          </w:tcPr>
          <w:p w14:paraId="3F74FF8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面积比例（％）</w:t>
            </w:r>
          </w:p>
        </w:tc>
      </w:tr>
      <w:tr w:rsidR="009D12AF" w14:paraId="45137A8E" w14:textId="77777777">
        <w:tc>
          <w:tcPr>
            <w:tcW w:w="1767" w:type="pct"/>
            <w:tcBorders>
              <w:tl2br w:val="nil"/>
              <w:tr2bl w:val="nil"/>
            </w:tcBorders>
          </w:tcPr>
          <w:p w14:paraId="6466E5A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低植被覆盖度</w:t>
            </w:r>
          </w:p>
        </w:tc>
        <w:tc>
          <w:tcPr>
            <w:tcW w:w="1436" w:type="pct"/>
            <w:tcBorders>
              <w:tl2br w:val="nil"/>
              <w:tr2bl w:val="nil"/>
            </w:tcBorders>
          </w:tcPr>
          <w:p w14:paraId="5A8628B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135.21</w:t>
            </w:r>
          </w:p>
        </w:tc>
        <w:tc>
          <w:tcPr>
            <w:tcW w:w="1795" w:type="pct"/>
            <w:tcBorders>
              <w:tl2br w:val="nil"/>
              <w:tr2bl w:val="nil"/>
            </w:tcBorders>
            <w:vAlign w:val="center"/>
          </w:tcPr>
          <w:p w14:paraId="67D3D80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14.28</w:t>
            </w:r>
          </w:p>
        </w:tc>
      </w:tr>
      <w:tr w:rsidR="009D12AF" w14:paraId="399A1D73" w14:textId="77777777">
        <w:tc>
          <w:tcPr>
            <w:tcW w:w="1767" w:type="pct"/>
            <w:tcBorders>
              <w:tl2br w:val="nil"/>
              <w:tr2bl w:val="nil"/>
            </w:tcBorders>
          </w:tcPr>
          <w:p w14:paraId="175176A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较低植被覆盖度</w:t>
            </w:r>
          </w:p>
        </w:tc>
        <w:tc>
          <w:tcPr>
            <w:tcW w:w="1436" w:type="pct"/>
            <w:tcBorders>
              <w:tl2br w:val="nil"/>
              <w:tr2bl w:val="nil"/>
            </w:tcBorders>
          </w:tcPr>
          <w:p w14:paraId="2B4188B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128.60</w:t>
            </w:r>
          </w:p>
        </w:tc>
        <w:tc>
          <w:tcPr>
            <w:tcW w:w="1795" w:type="pct"/>
            <w:tcBorders>
              <w:tl2br w:val="nil"/>
              <w:tr2bl w:val="nil"/>
            </w:tcBorders>
            <w:vAlign w:val="center"/>
          </w:tcPr>
          <w:p w14:paraId="0C266FC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13.58</w:t>
            </w:r>
          </w:p>
        </w:tc>
      </w:tr>
      <w:tr w:rsidR="009D12AF" w14:paraId="2D5F540B" w14:textId="77777777">
        <w:tc>
          <w:tcPr>
            <w:tcW w:w="1767" w:type="pct"/>
            <w:tcBorders>
              <w:tl2br w:val="nil"/>
              <w:tr2bl w:val="nil"/>
            </w:tcBorders>
          </w:tcPr>
          <w:p w14:paraId="6868928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中植被覆盖度</w:t>
            </w:r>
          </w:p>
        </w:tc>
        <w:tc>
          <w:tcPr>
            <w:tcW w:w="1436" w:type="pct"/>
            <w:tcBorders>
              <w:tl2br w:val="nil"/>
              <w:tr2bl w:val="nil"/>
            </w:tcBorders>
            <w:vAlign w:val="center"/>
          </w:tcPr>
          <w:p w14:paraId="0ECB19E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58.95</w:t>
            </w:r>
          </w:p>
        </w:tc>
        <w:tc>
          <w:tcPr>
            <w:tcW w:w="1795" w:type="pct"/>
            <w:tcBorders>
              <w:tl2br w:val="nil"/>
              <w:tr2bl w:val="nil"/>
            </w:tcBorders>
            <w:vAlign w:val="center"/>
          </w:tcPr>
          <w:p w14:paraId="20AD248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6.22</w:t>
            </w:r>
          </w:p>
        </w:tc>
      </w:tr>
      <w:tr w:rsidR="009D12AF" w14:paraId="1B9C31C0" w14:textId="77777777">
        <w:tc>
          <w:tcPr>
            <w:tcW w:w="1767" w:type="pct"/>
            <w:tcBorders>
              <w:tl2br w:val="nil"/>
              <w:tr2bl w:val="nil"/>
            </w:tcBorders>
          </w:tcPr>
          <w:p w14:paraId="3D27ED4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lastRenderedPageBreak/>
              <w:t>较高植被覆盖度</w:t>
            </w:r>
          </w:p>
        </w:tc>
        <w:tc>
          <w:tcPr>
            <w:tcW w:w="1436" w:type="pct"/>
            <w:tcBorders>
              <w:tl2br w:val="nil"/>
              <w:tr2bl w:val="nil"/>
            </w:tcBorders>
            <w:vAlign w:val="center"/>
          </w:tcPr>
          <w:p w14:paraId="3FC6C15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241.65</w:t>
            </w:r>
          </w:p>
        </w:tc>
        <w:tc>
          <w:tcPr>
            <w:tcW w:w="1795" w:type="pct"/>
            <w:tcBorders>
              <w:tl2br w:val="nil"/>
              <w:tr2bl w:val="nil"/>
            </w:tcBorders>
            <w:vAlign w:val="center"/>
          </w:tcPr>
          <w:p w14:paraId="46F40CC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25.51</w:t>
            </w:r>
          </w:p>
        </w:tc>
      </w:tr>
      <w:tr w:rsidR="009D12AF" w14:paraId="26F9361C" w14:textId="77777777">
        <w:tc>
          <w:tcPr>
            <w:tcW w:w="1767" w:type="pct"/>
            <w:tcBorders>
              <w:tl2br w:val="nil"/>
              <w:tr2bl w:val="nil"/>
            </w:tcBorders>
          </w:tcPr>
          <w:p w14:paraId="522D505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高植被覆盖度</w:t>
            </w:r>
          </w:p>
        </w:tc>
        <w:tc>
          <w:tcPr>
            <w:tcW w:w="1436" w:type="pct"/>
            <w:tcBorders>
              <w:tl2br w:val="nil"/>
              <w:tr2bl w:val="nil"/>
            </w:tcBorders>
            <w:vAlign w:val="center"/>
          </w:tcPr>
          <w:p w14:paraId="2F6FFF4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382.77</w:t>
            </w:r>
          </w:p>
        </w:tc>
        <w:tc>
          <w:tcPr>
            <w:tcW w:w="1795" w:type="pct"/>
            <w:tcBorders>
              <w:tl2br w:val="nil"/>
              <w:tr2bl w:val="nil"/>
            </w:tcBorders>
            <w:vAlign w:val="center"/>
          </w:tcPr>
          <w:p w14:paraId="76A159A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40.41</w:t>
            </w:r>
          </w:p>
        </w:tc>
      </w:tr>
      <w:tr w:rsidR="009D12AF" w14:paraId="0FE356FD" w14:textId="77777777">
        <w:tc>
          <w:tcPr>
            <w:tcW w:w="1767" w:type="pct"/>
            <w:tcBorders>
              <w:tl2br w:val="nil"/>
              <w:tr2bl w:val="nil"/>
            </w:tcBorders>
          </w:tcPr>
          <w:p w14:paraId="419D8CF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总计</w:t>
            </w:r>
          </w:p>
        </w:tc>
        <w:tc>
          <w:tcPr>
            <w:tcW w:w="1436" w:type="pct"/>
            <w:tcBorders>
              <w:tl2br w:val="nil"/>
              <w:tr2bl w:val="nil"/>
            </w:tcBorders>
          </w:tcPr>
          <w:p w14:paraId="5434B8F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947.18</w:t>
            </w:r>
          </w:p>
        </w:tc>
        <w:tc>
          <w:tcPr>
            <w:tcW w:w="1795" w:type="pct"/>
            <w:tcBorders>
              <w:tl2br w:val="nil"/>
              <w:tr2bl w:val="nil"/>
            </w:tcBorders>
          </w:tcPr>
          <w:p w14:paraId="05A7C2A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1</w:t>
            </w:r>
            <w:r>
              <w:rPr>
                <w:rFonts w:ascii="Times New Roman" w:eastAsia="宋体" w:hAnsi="Times New Roman" w:cs="Times New Roman"/>
                <w:kern w:val="0"/>
                <w:szCs w:val="15"/>
              </w:rPr>
              <w:t>00</w:t>
            </w:r>
          </w:p>
        </w:tc>
      </w:tr>
    </w:tbl>
    <w:p w14:paraId="1F8CE4FB" w14:textId="77777777" w:rsidR="009D12AF" w:rsidRDefault="00000000">
      <w:pPr>
        <w:ind w:firstLine="480"/>
      </w:pPr>
      <w:r>
        <w:rPr>
          <w:noProof/>
        </w:rPr>
        <w:drawing>
          <wp:inline distT="0" distB="0" distL="0" distR="0" wp14:anchorId="73FA1838" wp14:editId="5C802191">
            <wp:extent cx="4572000" cy="2743200"/>
            <wp:effectExtent l="4445" t="4445" r="14605" b="14605"/>
            <wp:docPr id="302" name="图表 3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14:paraId="7B392614" w14:textId="77777777" w:rsidR="009D12AF" w:rsidRDefault="00000000">
      <w:pPr>
        <w:widowControl/>
        <w:ind w:firstLine="482"/>
        <w:jc w:val="center"/>
        <w:rPr>
          <w:rFonts w:ascii="Times New Roman" w:eastAsia="宋体" w:hAnsi="宋体" w:cs="宋体" w:hint="eastAsia"/>
          <w:b/>
          <w:kern w:val="0"/>
        </w:rPr>
      </w:pPr>
      <w:r>
        <w:rPr>
          <w:rFonts w:ascii="宋体" w:eastAsia="宋体" w:hAnsi="宋体" w:cs="宋体" w:hint="eastAsia"/>
          <w:b/>
          <w:bCs/>
          <w:kern w:val="0"/>
        </w:rPr>
        <w:t>图</w:t>
      </w:r>
      <w:r>
        <w:rPr>
          <w:rFonts w:ascii="Times New Roman" w:eastAsia="宋体" w:hAnsi="Times New Roman" w:cs="Times New Roman" w:hint="eastAsia"/>
          <w:b/>
          <w:bCs/>
          <w:kern w:val="0"/>
        </w:rPr>
        <w:t xml:space="preserve">4.3-43  </w:t>
      </w:r>
      <w:r>
        <w:rPr>
          <w:rFonts w:ascii="宋体" w:eastAsia="宋体" w:hAnsi="宋体" w:cs="宋体"/>
          <w:b/>
          <w:bCs/>
          <w:kern w:val="0"/>
        </w:rPr>
        <w:t xml:space="preserve">  </w:t>
      </w:r>
      <w:r>
        <w:rPr>
          <w:rFonts w:ascii="Times New Roman" w:eastAsia="宋体" w:hAnsi="宋体" w:cs="宋体" w:hint="eastAsia"/>
          <w:b/>
          <w:kern w:val="0"/>
        </w:rPr>
        <w:t>评价区</w:t>
      </w:r>
      <w:bookmarkStart w:id="333" w:name="_Hlk160619647"/>
      <w:r>
        <w:rPr>
          <w:rFonts w:ascii="Times New Roman" w:eastAsia="宋体" w:hAnsi="宋体" w:cs="宋体" w:hint="eastAsia"/>
          <w:b/>
          <w:kern w:val="0"/>
        </w:rPr>
        <w:t>植被覆盖度</w:t>
      </w:r>
      <w:bookmarkEnd w:id="333"/>
      <w:r>
        <w:rPr>
          <w:rFonts w:ascii="Times New Roman" w:eastAsia="宋体" w:hAnsi="宋体" w:cs="宋体" w:hint="eastAsia"/>
          <w:b/>
          <w:kern w:val="0"/>
        </w:rPr>
        <w:t>面积图</w:t>
      </w:r>
    </w:p>
    <w:p w14:paraId="5A76D69C" w14:textId="77777777" w:rsidR="009D12AF" w:rsidRDefault="00000000">
      <w:pPr>
        <w:ind w:firstLine="480"/>
        <w:rPr>
          <w:rFonts w:ascii="Times New Roman" w:eastAsia="宋体" w:hAnsi="Times New Roman" w:cs="Times New Roman"/>
          <w:kern w:val="0"/>
        </w:rPr>
      </w:pPr>
      <w:r>
        <w:rPr>
          <w:rFonts w:ascii="宋体" w:eastAsia="宋体" w:hAnsi="宋体" w:cs="宋体" w:hint="eastAsia"/>
          <w:kern w:val="0"/>
        </w:rPr>
        <w:t>由</w:t>
      </w:r>
      <w:r>
        <w:rPr>
          <w:rFonts w:ascii="Times New Roman" w:eastAsia="宋体" w:hAnsi="Times New Roman" w:cs="Times New Roman" w:hint="eastAsia"/>
          <w:kern w:val="0"/>
        </w:rPr>
        <w:t>上图表可见，评价区较高植被覆盖度面积最大，占评价区总面积的</w:t>
      </w:r>
      <w:r>
        <w:rPr>
          <w:rFonts w:ascii="Times New Roman" w:eastAsia="宋体" w:hAnsi="Times New Roman" w:cs="Times New Roman" w:hint="eastAsia"/>
          <w:kern w:val="0"/>
        </w:rPr>
        <w:t xml:space="preserve"> 65.92%</w:t>
      </w:r>
      <w:r>
        <w:rPr>
          <w:rFonts w:ascii="Times New Roman" w:eastAsia="宋体" w:hAnsi="Times New Roman" w:cs="Times New Roman" w:hint="eastAsia"/>
          <w:kern w:val="0"/>
        </w:rPr>
        <w:t>，中覆盖度以上区域面积约</w:t>
      </w:r>
      <w:r>
        <w:rPr>
          <w:rFonts w:ascii="Times New Roman" w:eastAsia="宋体" w:hAnsi="Times New Roman" w:cs="Times New Roman" w:hint="eastAsia"/>
          <w:kern w:val="0"/>
        </w:rPr>
        <w:t>683.37hm</w:t>
      </w:r>
      <w:r>
        <w:rPr>
          <w:rFonts w:ascii="Times New Roman" w:eastAsia="宋体" w:hAnsi="Times New Roman" w:cs="Times New Roman" w:hint="eastAsia"/>
          <w:kern w:val="0"/>
          <w:vertAlign w:val="superscript"/>
        </w:rPr>
        <w:t>2</w:t>
      </w:r>
      <w:r>
        <w:rPr>
          <w:rFonts w:ascii="Times New Roman" w:eastAsia="宋体" w:hAnsi="Times New Roman" w:cs="Times New Roman" w:hint="eastAsia"/>
          <w:kern w:val="0"/>
        </w:rPr>
        <w:t>，占评价区总面积的</w:t>
      </w:r>
      <w:r>
        <w:rPr>
          <w:rFonts w:ascii="Times New Roman" w:eastAsia="宋体" w:hAnsi="Times New Roman" w:cs="Times New Roman" w:hint="eastAsia"/>
          <w:kern w:val="0"/>
        </w:rPr>
        <w:t>72.14%</w:t>
      </w:r>
      <w:r>
        <w:rPr>
          <w:rFonts w:ascii="Times New Roman" w:eastAsia="宋体" w:hAnsi="Times New Roman" w:cs="Times New Roman" w:hint="eastAsia"/>
          <w:kern w:val="0"/>
        </w:rPr>
        <w:t>，评价区整体植被覆盖度较高。</w:t>
      </w:r>
    </w:p>
    <w:p w14:paraId="1C13F691" w14:textId="77777777" w:rsidR="009D12AF" w:rsidRDefault="00000000">
      <w:pPr>
        <w:ind w:firstLine="480"/>
        <w:rPr>
          <w:rFonts w:ascii="Times New Roman" w:eastAsia="宋体" w:hAnsi="Times New Roman" w:cs="Times New Roman"/>
          <w:kern w:val="0"/>
        </w:rPr>
      </w:pPr>
      <w:r>
        <w:rPr>
          <w:rFonts w:ascii="Times New Roman" w:eastAsia="宋体" w:hAnsi="Times New Roman" w:cs="Times New Roman" w:hint="eastAsia"/>
          <w:kern w:val="0"/>
        </w:rPr>
        <w:t>四、生物多样性现状</w:t>
      </w:r>
    </w:p>
    <w:p w14:paraId="44E6CEA0"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kern w:val="0"/>
        </w:rPr>
        <w:t>生物多样性是反映一个生物群落复杂程度的指标，本次采用香农</w:t>
      </w:r>
      <w:r>
        <w:rPr>
          <w:rFonts w:ascii="Times New Roman" w:eastAsia="宋体" w:hAnsi="Times New Roman" w:cs="Times New Roman"/>
          <w:kern w:val="0"/>
        </w:rPr>
        <w:t>-</w:t>
      </w:r>
      <w:r>
        <w:rPr>
          <w:rFonts w:ascii="Times New Roman" w:eastAsia="宋体" w:hAnsi="Times New Roman" w:cs="Times New Roman"/>
          <w:kern w:val="0"/>
        </w:rPr>
        <w:t>威纳多样性指数、</w:t>
      </w:r>
      <w:r>
        <w:rPr>
          <w:rFonts w:ascii="Times New Roman" w:eastAsia="宋体" w:hAnsi="Times New Roman" w:cs="Times New Roman"/>
          <w:kern w:val="0"/>
        </w:rPr>
        <w:t xml:space="preserve">Simpson </w:t>
      </w:r>
      <w:r>
        <w:rPr>
          <w:rFonts w:ascii="Times New Roman" w:eastAsia="宋体" w:hAnsi="Times New Roman" w:cs="Times New Roman"/>
          <w:kern w:val="0"/>
        </w:rPr>
        <w:t>优势度指数和</w:t>
      </w:r>
      <w:r>
        <w:rPr>
          <w:rFonts w:ascii="Times New Roman" w:eastAsia="宋体" w:hAnsi="Times New Roman" w:cs="Times New Roman"/>
          <w:kern w:val="0"/>
        </w:rPr>
        <w:t>Pielou</w:t>
      </w:r>
      <w:r>
        <w:rPr>
          <w:rFonts w:ascii="Times New Roman" w:eastAsia="宋体" w:hAnsi="Times New Roman" w:cs="Times New Roman"/>
          <w:kern w:val="0"/>
        </w:rPr>
        <w:t>均匀度指数对</w:t>
      </w:r>
      <w:r>
        <w:rPr>
          <w:rFonts w:ascii="Times New Roman" w:eastAsia="宋体" w:hAnsi="Times New Roman" w:cs="Times New Roman" w:hint="eastAsia"/>
          <w:kern w:val="0"/>
        </w:rPr>
        <w:t>2</w:t>
      </w:r>
      <w:r>
        <w:rPr>
          <w:rFonts w:ascii="Times New Roman" w:eastAsia="宋体" w:hAnsi="Times New Roman" w:cs="Times New Roman"/>
          <w:kern w:val="0"/>
        </w:rPr>
        <w:t>5</w:t>
      </w:r>
      <w:r>
        <w:rPr>
          <w:rFonts w:ascii="Times New Roman" w:eastAsia="宋体" w:hAnsi="Times New Roman" w:cs="Times New Roman"/>
          <w:kern w:val="0"/>
        </w:rPr>
        <w:t>个样方的生物多样性进行了计算</w:t>
      </w:r>
      <w:r>
        <w:rPr>
          <w:rFonts w:ascii="Times New Roman" w:eastAsia="宋体" w:hAnsi="Times New Roman" w:cs="Times New Roman" w:hint="eastAsia"/>
          <w:kern w:val="0"/>
        </w:rPr>
        <w:t>，</w:t>
      </w:r>
      <w:r>
        <w:rPr>
          <w:rFonts w:ascii="Times New Roman" w:eastAsia="宋体" w:hAnsi="Times New Roman" w:cs="Times New Roman"/>
          <w:kern w:val="0"/>
        </w:rPr>
        <w:t>计算结果见表</w:t>
      </w:r>
      <w:r>
        <w:rPr>
          <w:rFonts w:ascii="Times New Roman" w:eastAsia="宋体" w:hAnsi="Times New Roman" w:cs="Times New Roman" w:hint="eastAsia"/>
          <w:kern w:val="0"/>
        </w:rPr>
        <w:t>4.3-66</w:t>
      </w:r>
      <w:r>
        <w:rPr>
          <w:rFonts w:ascii="Times New Roman" w:eastAsia="宋体" w:hAnsi="Times New Roman" w:cs="Times New Roman"/>
          <w:kern w:val="0"/>
        </w:rPr>
        <w:t>。</w:t>
      </w:r>
    </w:p>
    <w:p w14:paraId="6591A192" w14:textId="77777777" w:rsidR="009D12AF" w:rsidRDefault="00000000">
      <w:pPr>
        <w:widowControl/>
        <w:ind w:firstLine="482"/>
        <w:jc w:val="center"/>
        <w:rPr>
          <w:rFonts w:ascii="宋体" w:eastAsia="宋体" w:hAnsi="宋体" w:cs="宋体" w:hint="eastAsia"/>
          <w:b/>
          <w:bCs/>
          <w:kern w:val="0"/>
        </w:rPr>
      </w:pPr>
      <w:r>
        <w:rPr>
          <w:rFonts w:ascii="Times New Roman" w:eastAsia="宋体" w:hAnsi="Times New Roman" w:cs="Times New Roman"/>
          <w:b/>
          <w:bCs/>
          <w:kern w:val="0"/>
        </w:rPr>
        <w:t>表</w:t>
      </w:r>
      <w:r>
        <w:rPr>
          <w:rFonts w:ascii="Times New Roman" w:eastAsia="宋体" w:hAnsi="Times New Roman" w:cs="Times New Roman" w:hint="eastAsia"/>
          <w:b/>
          <w:bCs/>
          <w:kern w:val="0"/>
        </w:rPr>
        <w:t>4.3-66</w:t>
      </w:r>
      <w:r>
        <w:rPr>
          <w:rFonts w:ascii="宋体" w:eastAsia="宋体" w:hAnsi="宋体" w:cs="宋体"/>
          <w:b/>
          <w:bCs/>
          <w:kern w:val="0"/>
        </w:rPr>
        <w:t xml:space="preserve">     </w:t>
      </w:r>
      <w:r>
        <w:rPr>
          <w:rFonts w:ascii="宋体" w:eastAsia="宋体" w:hAnsi="宋体" w:cs="宋体" w:hint="eastAsia"/>
          <w:b/>
          <w:bCs/>
          <w:kern w:val="0"/>
        </w:rPr>
        <w:t>评价范围内生物多样性指数</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424"/>
        <w:gridCol w:w="2598"/>
        <w:gridCol w:w="2171"/>
        <w:gridCol w:w="2326"/>
      </w:tblGrid>
      <w:tr w:rsidR="009D12AF" w14:paraId="6E2C8427" w14:textId="77777777">
        <w:trPr>
          <w:jc w:val="center"/>
        </w:trPr>
        <w:tc>
          <w:tcPr>
            <w:tcW w:w="835" w:type="pct"/>
            <w:tcBorders>
              <w:tl2br w:val="nil"/>
              <w:tr2bl w:val="nil"/>
            </w:tcBorders>
            <w:vAlign w:val="center"/>
          </w:tcPr>
          <w:p w14:paraId="1EF048E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样方</w:t>
            </w:r>
          </w:p>
        </w:tc>
        <w:tc>
          <w:tcPr>
            <w:tcW w:w="1525" w:type="pct"/>
            <w:tcBorders>
              <w:tl2br w:val="nil"/>
              <w:tr2bl w:val="nil"/>
            </w:tcBorders>
            <w:vAlign w:val="center"/>
          </w:tcPr>
          <w:p w14:paraId="0329070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hint="eastAsia"/>
                <w:kern w:val="0"/>
                <w:szCs w:val="15"/>
              </w:rPr>
              <w:t>香农</w:t>
            </w:r>
            <w:r>
              <w:rPr>
                <w:rFonts w:ascii="Times New Roman" w:eastAsia="宋体" w:hAnsi="Times New Roman" w:cs="Times New Roman" w:hint="eastAsia"/>
                <w:kern w:val="0"/>
                <w:szCs w:val="15"/>
              </w:rPr>
              <w:t>-</w:t>
            </w:r>
            <w:r>
              <w:rPr>
                <w:rFonts w:ascii="Times New Roman" w:eastAsia="宋体" w:hAnsi="Times New Roman" w:cs="Times New Roman" w:hint="eastAsia"/>
                <w:kern w:val="0"/>
                <w:szCs w:val="15"/>
              </w:rPr>
              <w:t>威纳多样性指数</w:t>
            </w:r>
          </w:p>
        </w:tc>
        <w:tc>
          <w:tcPr>
            <w:tcW w:w="1274" w:type="pct"/>
            <w:tcBorders>
              <w:tl2br w:val="nil"/>
              <w:tr2bl w:val="nil"/>
            </w:tcBorders>
            <w:vAlign w:val="center"/>
          </w:tcPr>
          <w:p w14:paraId="58006EB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Pielou</w:t>
            </w:r>
            <w:r>
              <w:rPr>
                <w:rFonts w:ascii="Times New Roman" w:eastAsia="宋体" w:hAnsi="Times New Roman" w:cs="Times New Roman" w:hint="eastAsia"/>
                <w:kern w:val="0"/>
                <w:szCs w:val="15"/>
              </w:rPr>
              <w:t>均匀度指数</w:t>
            </w:r>
          </w:p>
        </w:tc>
        <w:tc>
          <w:tcPr>
            <w:tcW w:w="1365" w:type="pct"/>
            <w:tcBorders>
              <w:tl2br w:val="nil"/>
              <w:tr2bl w:val="nil"/>
            </w:tcBorders>
            <w:vAlign w:val="center"/>
          </w:tcPr>
          <w:p w14:paraId="23A4390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 xml:space="preserve">Simpson </w:t>
            </w:r>
            <w:r>
              <w:rPr>
                <w:rFonts w:ascii="Times New Roman" w:eastAsia="宋体" w:hAnsi="Times New Roman" w:cs="Times New Roman" w:hint="eastAsia"/>
                <w:kern w:val="0"/>
                <w:szCs w:val="15"/>
              </w:rPr>
              <w:t>优势度指数</w:t>
            </w:r>
          </w:p>
        </w:tc>
      </w:tr>
      <w:tr w:rsidR="009D12AF" w14:paraId="718AC1BC" w14:textId="77777777">
        <w:trPr>
          <w:jc w:val="center"/>
        </w:trPr>
        <w:tc>
          <w:tcPr>
            <w:tcW w:w="835" w:type="pct"/>
            <w:tcBorders>
              <w:tl2br w:val="nil"/>
              <w:tr2bl w:val="nil"/>
            </w:tcBorders>
            <w:vAlign w:val="center"/>
          </w:tcPr>
          <w:p w14:paraId="3CD6B85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1#</w:t>
            </w:r>
          </w:p>
        </w:tc>
        <w:tc>
          <w:tcPr>
            <w:tcW w:w="1525" w:type="pct"/>
            <w:tcBorders>
              <w:tl2br w:val="nil"/>
              <w:tr2bl w:val="nil"/>
            </w:tcBorders>
            <w:vAlign w:val="center"/>
          </w:tcPr>
          <w:p w14:paraId="146BACB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1.2760</w:t>
            </w:r>
          </w:p>
        </w:tc>
        <w:tc>
          <w:tcPr>
            <w:tcW w:w="1274" w:type="pct"/>
            <w:tcBorders>
              <w:tl2br w:val="nil"/>
              <w:tr2bl w:val="nil"/>
            </w:tcBorders>
            <w:vAlign w:val="center"/>
          </w:tcPr>
          <w:p w14:paraId="01CDB5A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0.7928</w:t>
            </w:r>
          </w:p>
        </w:tc>
        <w:tc>
          <w:tcPr>
            <w:tcW w:w="1365" w:type="pct"/>
            <w:tcBorders>
              <w:tl2br w:val="nil"/>
              <w:tr2bl w:val="nil"/>
            </w:tcBorders>
            <w:vAlign w:val="center"/>
          </w:tcPr>
          <w:p w14:paraId="4BBECB5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0.6695</w:t>
            </w:r>
          </w:p>
        </w:tc>
      </w:tr>
      <w:tr w:rsidR="009D12AF" w14:paraId="243094DC" w14:textId="77777777">
        <w:trPr>
          <w:jc w:val="center"/>
        </w:trPr>
        <w:tc>
          <w:tcPr>
            <w:tcW w:w="835" w:type="pct"/>
            <w:tcBorders>
              <w:tl2br w:val="nil"/>
              <w:tr2bl w:val="nil"/>
            </w:tcBorders>
            <w:vAlign w:val="center"/>
          </w:tcPr>
          <w:p w14:paraId="73373BE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2#</w:t>
            </w:r>
          </w:p>
        </w:tc>
        <w:tc>
          <w:tcPr>
            <w:tcW w:w="1525" w:type="pct"/>
            <w:tcBorders>
              <w:tl2br w:val="nil"/>
              <w:tr2bl w:val="nil"/>
            </w:tcBorders>
            <w:vAlign w:val="center"/>
          </w:tcPr>
          <w:p w14:paraId="29033CB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1.0336</w:t>
            </w:r>
          </w:p>
        </w:tc>
        <w:tc>
          <w:tcPr>
            <w:tcW w:w="1274" w:type="pct"/>
            <w:tcBorders>
              <w:tl2br w:val="nil"/>
              <w:tr2bl w:val="nil"/>
            </w:tcBorders>
            <w:vAlign w:val="center"/>
          </w:tcPr>
          <w:p w14:paraId="7C3DA3F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0.7456</w:t>
            </w:r>
          </w:p>
        </w:tc>
        <w:tc>
          <w:tcPr>
            <w:tcW w:w="1365" w:type="pct"/>
            <w:tcBorders>
              <w:tl2br w:val="nil"/>
              <w:tr2bl w:val="nil"/>
            </w:tcBorders>
            <w:vAlign w:val="center"/>
          </w:tcPr>
          <w:p w14:paraId="63C8AA0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0.5455</w:t>
            </w:r>
          </w:p>
        </w:tc>
      </w:tr>
      <w:tr w:rsidR="009D12AF" w14:paraId="2CB8EE39" w14:textId="77777777">
        <w:trPr>
          <w:jc w:val="center"/>
        </w:trPr>
        <w:tc>
          <w:tcPr>
            <w:tcW w:w="835" w:type="pct"/>
            <w:tcBorders>
              <w:tl2br w:val="nil"/>
              <w:tr2bl w:val="nil"/>
            </w:tcBorders>
            <w:vAlign w:val="center"/>
          </w:tcPr>
          <w:p w14:paraId="76CB711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3#</w:t>
            </w:r>
          </w:p>
        </w:tc>
        <w:tc>
          <w:tcPr>
            <w:tcW w:w="1525" w:type="pct"/>
            <w:tcBorders>
              <w:tl2br w:val="nil"/>
              <w:tr2bl w:val="nil"/>
            </w:tcBorders>
            <w:vAlign w:val="center"/>
          </w:tcPr>
          <w:p w14:paraId="75BF8AC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1.0372</w:t>
            </w:r>
          </w:p>
        </w:tc>
        <w:tc>
          <w:tcPr>
            <w:tcW w:w="1274" w:type="pct"/>
            <w:tcBorders>
              <w:tl2br w:val="nil"/>
              <w:tr2bl w:val="nil"/>
            </w:tcBorders>
            <w:vAlign w:val="center"/>
          </w:tcPr>
          <w:p w14:paraId="503AD58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0.7482</w:t>
            </w:r>
          </w:p>
        </w:tc>
        <w:tc>
          <w:tcPr>
            <w:tcW w:w="1365" w:type="pct"/>
            <w:tcBorders>
              <w:tl2br w:val="nil"/>
              <w:tr2bl w:val="nil"/>
            </w:tcBorders>
            <w:vAlign w:val="center"/>
          </w:tcPr>
          <w:p w14:paraId="7C1E2D3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0.5906</w:t>
            </w:r>
          </w:p>
        </w:tc>
      </w:tr>
      <w:tr w:rsidR="009D12AF" w14:paraId="045E157F" w14:textId="77777777">
        <w:trPr>
          <w:jc w:val="center"/>
        </w:trPr>
        <w:tc>
          <w:tcPr>
            <w:tcW w:w="835" w:type="pct"/>
            <w:tcBorders>
              <w:tl2br w:val="nil"/>
              <w:tr2bl w:val="nil"/>
            </w:tcBorders>
            <w:vAlign w:val="center"/>
          </w:tcPr>
          <w:p w14:paraId="4D97BB6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4#</w:t>
            </w:r>
          </w:p>
        </w:tc>
        <w:tc>
          <w:tcPr>
            <w:tcW w:w="1525" w:type="pct"/>
            <w:tcBorders>
              <w:tl2br w:val="nil"/>
              <w:tr2bl w:val="nil"/>
            </w:tcBorders>
            <w:vAlign w:val="center"/>
          </w:tcPr>
          <w:p w14:paraId="50FC345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1.0610</w:t>
            </w:r>
          </w:p>
        </w:tc>
        <w:tc>
          <w:tcPr>
            <w:tcW w:w="1274" w:type="pct"/>
            <w:tcBorders>
              <w:tl2br w:val="nil"/>
              <w:tr2bl w:val="nil"/>
            </w:tcBorders>
            <w:vAlign w:val="center"/>
          </w:tcPr>
          <w:p w14:paraId="76706E4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0.7653</w:t>
            </w:r>
          </w:p>
        </w:tc>
        <w:tc>
          <w:tcPr>
            <w:tcW w:w="1365" w:type="pct"/>
            <w:tcBorders>
              <w:tl2br w:val="nil"/>
              <w:tr2bl w:val="nil"/>
            </w:tcBorders>
            <w:vAlign w:val="center"/>
          </w:tcPr>
          <w:p w14:paraId="52438BF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0.5719</w:t>
            </w:r>
          </w:p>
        </w:tc>
      </w:tr>
      <w:tr w:rsidR="009D12AF" w14:paraId="6EDEE543" w14:textId="77777777">
        <w:trPr>
          <w:jc w:val="center"/>
        </w:trPr>
        <w:tc>
          <w:tcPr>
            <w:tcW w:w="835" w:type="pct"/>
            <w:tcBorders>
              <w:tl2br w:val="nil"/>
              <w:tr2bl w:val="nil"/>
            </w:tcBorders>
            <w:vAlign w:val="center"/>
          </w:tcPr>
          <w:p w14:paraId="286B5F8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5#</w:t>
            </w:r>
          </w:p>
        </w:tc>
        <w:tc>
          <w:tcPr>
            <w:tcW w:w="1525" w:type="pct"/>
            <w:tcBorders>
              <w:tl2br w:val="nil"/>
              <w:tr2bl w:val="nil"/>
            </w:tcBorders>
            <w:vAlign w:val="center"/>
          </w:tcPr>
          <w:p w14:paraId="3A3CDFA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1.2073</w:t>
            </w:r>
          </w:p>
        </w:tc>
        <w:tc>
          <w:tcPr>
            <w:tcW w:w="1274" w:type="pct"/>
            <w:tcBorders>
              <w:tl2br w:val="nil"/>
              <w:tr2bl w:val="nil"/>
            </w:tcBorders>
            <w:vAlign w:val="center"/>
          </w:tcPr>
          <w:p w14:paraId="4C5D4EE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0.8709</w:t>
            </w:r>
          </w:p>
        </w:tc>
        <w:tc>
          <w:tcPr>
            <w:tcW w:w="1365" w:type="pct"/>
            <w:tcBorders>
              <w:tl2br w:val="nil"/>
              <w:tr2bl w:val="nil"/>
            </w:tcBorders>
            <w:vAlign w:val="center"/>
          </w:tcPr>
          <w:p w14:paraId="32A7EA9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0.6579</w:t>
            </w:r>
          </w:p>
        </w:tc>
      </w:tr>
      <w:tr w:rsidR="009D12AF" w14:paraId="7715A5F8" w14:textId="77777777">
        <w:trPr>
          <w:jc w:val="center"/>
        </w:trPr>
        <w:tc>
          <w:tcPr>
            <w:tcW w:w="835" w:type="pct"/>
            <w:tcBorders>
              <w:tl2br w:val="nil"/>
              <w:tr2bl w:val="nil"/>
            </w:tcBorders>
            <w:vAlign w:val="center"/>
          </w:tcPr>
          <w:p w14:paraId="780E2FB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6#</w:t>
            </w:r>
          </w:p>
        </w:tc>
        <w:tc>
          <w:tcPr>
            <w:tcW w:w="1525" w:type="pct"/>
            <w:tcBorders>
              <w:tl2br w:val="nil"/>
              <w:tr2bl w:val="nil"/>
            </w:tcBorders>
            <w:vAlign w:val="center"/>
          </w:tcPr>
          <w:p w14:paraId="5348E9A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1.2628</w:t>
            </w:r>
          </w:p>
        </w:tc>
        <w:tc>
          <w:tcPr>
            <w:tcW w:w="1274" w:type="pct"/>
            <w:tcBorders>
              <w:tl2br w:val="nil"/>
              <w:tr2bl w:val="nil"/>
            </w:tcBorders>
            <w:vAlign w:val="center"/>
          </w:tcPr>
          <w:p w14:paraId="2F39713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0.9109</w:t>
            </w:r>
          </w:p>
        </w:tc>
        <w:tc>
          <w:tcPr>
            <w:tcW w:w="1365" w:type="pct"/>
            <w:tcBorders>
              <w:tl2br w:val="nil"/>
              <w:tr2bl w:val="nil"/>
            </w:tcBorders>
            <w:vAlign w:val="center"/>
          </w:tcPr>
          <w:p w14:paraId="49B9C70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0.6999</w:t>
            </w:r>
          </w:p>
        </w:tc>
      </w:tr>
      <w:tr w:rsidR="009D12AF" w14:paraId="3301FB10" w14:textId="77777777">
        <w:trPr>
          <w:jc w:val="center"/>
        </w:trPr>
        <w:tc>
          <w:tcPr>
            <w:tcW w:w="835" w:type="pct"/>
            <w:tcBorders>
              <w:tl2br w:val="nil"/>
              <w:tr2bl w:val="nil"/>
            </w:tcBorders>
            <w:vAlign w:val="center"/>
          </w:tcPr>
          <w:p w14:paraId="148D050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7#</w:t>
            </w:r>
          </w:p>
        </w:tc>
        <w:tc>
          <w:tcPr>
            <w:tcW w:w="1525" w:type="pct"/>
            <w:tcBorders>
              <w:tl2br w:val="nil"/>
              <w:tr2bl w:val="nil"/>
            </w:tcBorders>
            <w:vAlign w:val="center"/>
          </w:tcPr>
          <w:p w14:paraId="01074AD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1.2798</w:t>
            </w:r>
          </w:p>
        </w:tc>
        <w:tc>
          <w:tcPr>
            <w:tcW w:w="1274" w:type="pct"/>
            <w:tcBorders>
              <w:tl2br w:val="nil"/>
              <w:tr2bl w:val="nil"/>
            </w:tcBorders>
            <w:vAlign w:val="center"/>
          </w:tcPr>
          <w:p w14:paraId="0FCEFDC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0.9232</w:t>
            </w:r>
          </w:p>
        </w:tc>
        <w:tc>
          <w:tcPr>
            <w:tcW w:w="1365" w:type="pct"/>
            <w:tcBorders>
              <w:tl2br w:val="nil"/>
              <w:tr2bl w:val="nil"/>
            </w:tcBorders>
            <w:vAlign w:val="center"/>
          </w:tcPr>
          <w:p w14:paraId="12E9EBA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0.6971</w:t>
            </w:r>
          </w:p>
        </w:tc>
      </w:tr>
      <w:tr w:rsidR="009D12AF" w14:paraId="47AE8E24" w14:textId="77777777">
        <w:trPr>
          <w:jc w:val="center"/>
        </w:trPr>
        <w:tc>
          <w:tcPr>
            <w:tcW w:w="835" w:type="pct"/>
            <w:tcBorders>
              <w:tl2br w:val="nil"/>
              <w:tr2bl w:val="nil"/>
            </w:tcBorders>
            <w:vAlign w:val="center"/>
          </w:tcPr>
          <w:p w14:paraId="6E09560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lastRenderedPageBreak/>
              <w:t>8#</w:t>
            </w:r>
          </w:p>
        </w:tc>
        <w:tc>
          <w:tcPr>
            <w:tcW w:w="1525" w:type="pct"/>
            <w:tcBorders>
              <w:tl2br w:val="nil"/>
              <w:tr2bl w:val="nil"/>
            </w:tcBorders>
            <w:vAlign w:val="center"/>
          </w:tcPr>
          <w:p w14:paraId="773688D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1.2644</w:t>
            </w:r>
          </w:p>
        </w:tc>
        <w:tc>
          <w:tcPr>
            <w:tcW w:w="1274" w:type="pct"/>
            <w:tcBorders>
              <w:tl2br w:val="nil"/>
              <w:tr2bl w:val="nil"/>
            </w:tcBorders>
            <w:vAlign w:val="center"/>
          </w:tcPr>
          <w:p w14:paraId="022BD7F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0.9121</w:t>
            </w:r>
          </w:p>
        </w:tc>
        <w:tc>
          <w:tcPr>
            <w:tcW w:w="1365" w:type="pct"/>
            <w:tcBorders>
              <w:tl2br w:val="nil"/>
              <w:tr2bl w:val="nil"/>
            </w:tcBorders>
            <w:vAlign w:val="center"/>
          </w:tcPr>
          <w:p w14:paraId="6708624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0.7012</w:t>
            </w:r>
          </w:p>
        </w:tc>
      </w:tr>
      <w:tr w:rsidR="009D12AF" w14:paraId="7FCC7EF1" w14:textId="77777777">
        <w:trPr>
          <w:jc w:val="center"/>
        </w:trPr>
        <w:tc>
          <w:tcPr>
            <w:tcW w:w="835" w:type="pct"/>
            <w:tcBorders>
              <w:tl2br w:val="nil"/>
              <w:tr2bl w:val="nil"/>
            </w:tcBorders>
            <w:vAlign w:val="center"/>
          </w:tcPr>
          <w:p w14:paraId="0E8FD7D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9#</w:t>
            </w:r>
          </w:p>
        </w:tc>
        <w:tc>
          <w:tcPr>
            <w:tcW w:w="1525" w:type="pct"/>
            <w:tcBorders>
              <w:tl2br w:val="nil"/>
              <w:tr2bl w:val="nil"/>
            </w:tcBorders>
            <w:vAlign w:val="center"/>
          </w:tcPr>
          <w:p w14:paraId="3F58280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1.3263</w:t>
            </w:r>
          </w:p>
        </w:tc>
        <w:tc>
          <w:tcPr>
            <w:tcW w:w="1274" w:type="pct"/>
            <w:tcBorders>
              <w:tl2br w:val="nil"/>
              <w:tr2bl w:val="nil"/>
            </w:tcBorders>
            <w:vAlign w:val="center"/>
          </w:tcPr>
          <w:p w14:paraId="34035A1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0.9567</w:t>
            </w:r>
          </w:p>
        </w:tc>
        <w:tc>
          <w:tcPr>
            <w:tcW w:w="1365" w:type="pct"/>
            <w:tcBorders>
              <w:tl2br w:val="nil"/>
              <w:tr2bl w:val="nil"/>
            </w:tcBorders>
            <w:vAlign w:val="center"/>
          </w:tcPr>
          <w:p w14:paraId="7FA5341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0.7222</w:t>
            </w:r>
          </w:p>
        </w:tc>
      </w:tr>
      <w:tr w:rsidR="009D12AF" w14:paraId="6127F8E7" w14:textId="77777777">
        <w:trPr>
          <w:jc w:val="center"/>
        </w:trPr>
        <w:tc>
          <w:tcPr>
            <w:tcW w:w="835" w:type="pct"/>
            <w:tcBorders>
              <w:tl2br w:val="nil"/>
              <w:tr2bl w:val="nil"/>
            </w:tcBorders>
            <w:vAlign w:val="center"/>
          </w:tcPr>
          <w:p w14:paraId="632ED81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10#</w:t>
            </w:r>
          </w:p>
        </w:tc>
        <w:tc>
          <w:tcPr>
            <w:tcW w:w="1525" w:type="pct"/>
            <w:tcBorders>
              <w:tl2br w:val="nil"/>
              <w:tr2bl w:val="nil"/>
            </w:tcBorders>
            <w:vAlign w:val="center"/>
          </w:tcPr>
          <w:p w14:paraId="1723C90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1.1923</w:t>
            </w:r>
          </w:p>
        </w:tc>
        <w:tc>
          <w:tcPr>
            <w:tcW w:w="1274" w:type="pct"/>
            <w:tcBorders>
              <w:tl2br w:val="nil"/>
              <w:tr2bl w:val="nil"/>
            </w:tcBorders>
            <w:vAlign w:val="center"/>
          </w:tcPr>
          <w:p w14:paraId="52E4355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0.8600</w:t>
            </w:r>
          </w:p>
        </w:tc>
        <w:tc>
          <w:tcPr>
            <w:tcW w:w="1365" w:type="pct"/>
            <w:tcBorders>
              <w:tl2br w:val="nil"/>
              <w:tr2bl w:val="nil"/>
            </w:tcBorders>
            <w:vAlign w:val="center"/>
          </w:tcPr>
          <w:p w14:paraId="17DF00A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0.6606</w:t>
            </w:r>
          </w:p>
        </w:tc>
      </w:tr>
      <w:tr w:rsidR="009D12AF" w14:paraId="44B56D8C" w14:textId="77777777">
        <w:trPr>
          <w:jc w:val="center"/>
        </w:trPr>
        <w:tc>
          <w:tcPr>
            <w:tcW w:w="835" w:type="pct"/>
            <w:tcBorders>
              <w:tl2br w:val="nil"/>
              <w:tr2bl w:val="nil"/>
            </w:tcBorders>
            <w:vAlign w:val="center"/>
          </w:tcPr>
          <w:p w14:paraId="55849CA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11#</w:t>
            </w:r>
          </w:p>
        </w:tc>
        <w:tc>
          <w:tcPr>
            <w:tcW w:w="1525" w:type="pct"/>
            <w:tcBorders>
              <w:tl2br w:val="nil"/>
              <w:tr2bl w:val="nil"/>
            </w:tcBorders>
            <w:vAlign w:val="center"/>
          </w:tcPr>
          <w:p w14:paraId="5B7A40E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1.3692</w:t>
            </w:r>
          </w:p>
        </w:tc>
        <w:tc>
          <w:tcPr>
            <w:tcW w:w="1274" w:type="pct"/>
            <w:tcBorders>
              <w:tl2br w:val="nil"/>
              <w:tr2bl w:val="nil"/>
            </w:tcBorders>
            <w:vAlign w:val="center"/>
          </w:tcPr>
          <w:p w14:paraId="7C18CB6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0.9877</w:t>
            </w:r>
          </w:p>
        </w:tc>
        <w:tc>
          <w:tcPr>
            <w:tcW w:w="1365" w:type="pct"/>
            <w:tcBorders>
              <w:tl2br w:val="nil"/>
              <w:tr2bl w:val="nil"/>
            </w:tcBorders>
            <w:vAlign w:val="center"/>
          </w:tcPr>
          <w:p w14:paraId="5E3F7D4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0.7420</w:t>
            </w:r>
          </w:p>
        </w:tc>
      </w:tr>
      <w:tr w:rsidR="009D12AF" w14:paraId="5BFD8210" w14:textId="77777777">
        <w:trPr>
          <w:jc w:val="center"/>
        </w:trPr>
        <w:tc>
          <w:tcPr>
            <w:tcW w:w="835" w:type="pct"/>
            <w:tcBorders>
              <w:tl2br w:val="nil"/>
              <w:tr2bl w:val="nil"/>
            </w:tcBorders>
            <w:vAlign w:val="center"/>
          </w:tcPr>
          <w:p w14:paraId="7F38778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12#</w:t>
            </w:r>
          </w:p>
        </w:tc>
        <w:tc>
          <w:tcPr>
            <w:tcW w:w="1525" w:type="pct"/>
            <w:tcBorders>
              <w:tl2br w:val="nil"/>
              <w:tr2bl w:val="nil"/>
            </w:tcBorders>
            <w:vAlign w:val="center"/>
          </w:tcPr>
          <w:p w14:paraId="344DCCC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1.3366</w:t>
            </w:r>
          </w:p>
        </w:tc>
        <w:tc>
          <w:tcPr>
            <w:tcW w:w="1274" w:type="pct"/>
            <w:tcBorders>
              <w:tl2br w:val="nil"/>
              <w:tr2bl w:val="nil"/>
            </w:tcBorders>
            <w:vAlign w:val="center"/>
          </w:tcPr>
          <w:p w14:paraId="27B5052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0.9641</w:t>
            </w:r>
          </w:p>
        </w:tc>
        <w:tc>
          <w:tcPr>
            <w:tcW w:w="1365" w:type="pct"/>
            <w:tcBorders>
              <w:tl2br w:val="nil"/>
              <w:tr2bl w:val="nil"/>
            </w:tcBorders>
            <w:vAlign w:val="center"/>
          </w:tcPr>
          <w:p w14:paraId="6694228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0.7272</w:t>
            </w:r>
          </w:p>
        </w:tc>
      </w:tr>
      <w:tr w:rsidR="009D12AF" w14:paraId="4A487C48" w14:textId="77777777">
        <w:trPr>
          <w:jc w:val="center"/>
        </w:trPr>
        <w:tc>
          <w:tcPr>
            <w:tcW w:w="835" w:type="pct"/>
            <w:tcBorders>
              <w:tl2br w:val="nil"/>
              <w:tr2bl w:val="nil"/>
            </w:tcBorders>
            <w:vAlign w:val="center"/>
          </w:tcPr>
          <w:p w14:paraId="277384A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13#</w:t>
            </w:r>
          </w:p>
        </w:tc>
        <w:tc>
          <w:tcPr>
            <w:tcW w:w="1525" w:type="pct"/>
            <w:tcBorders>
              <w:tl2br w:val="nil"/>
              <w:tr2bl w:val="nil"/>
            </w:tcBorders>
            <w:vAlign w:val="center"/>
          </w:tcPr>
          <w:p w14:paraId="15B55A5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1.3760</w:t>
            </w:r>
          </w:p>
        </w:tc>
        <w:tc>
          <w:tcPr>
            <w:tcW w:w="1274" w:type="pct"/>
            <w:tcBorders>
              <w:tl2br w:val="nil"/>
              <w:tr2bl w:val="nil"/>
            </w:tcBorders>
            <w:vAlign w:val="center"/>
          </w:tcPr>
          <w:p w14:paraId="695729E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0.9926</w:t>
            </w:r>
          </w:p>
        </w:tc>
        <w:tc>
          <w:tcPr>
            <w:tcW w:w="1365" w:type="pct"/>
            <w:tcBorders>
              <w:tl2br w:val="nil"/>
              <w:tr2bl w:val="nil"/>
            </w:tcBorders>
            <w:vAlign w:val="center"/>
          </w:tcPr>
          <w:p w14:paraId="4FF021A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0.7449</w:t>
            </w:r>
          </w:p>
        </w:tc>
      </w:tr>
      <w:tr w:rsidR="009D12AF" w14:paraId="3F5F4D1B" w14:textId="77777777">
        <w:trPr>
          <w:jc w:val="center"/>
        </w:trPr>
        <w:tc>
          <w:tcPr>
            <w:tcW w:w="835" w:type="pct"/>
            <w:tcBorders>
              <w:tl2br w:val="nil"/>
              <w:tr2bl w:val="nil"/>
            </w:tcBorders>
            <w:vAlign w:val="center"/>
          </w:tcPr>
          <w:p w14:paraId="59D4A3D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14#</w:t>
            </w:r>
          </w:p>
        </w:tc>
        <w:tc>
          <w:tcPr>
            <w:tcW w:w="1525" w:type="pct"/>
            <w:tcBorders>
              <w:tl2br w:val="nil"/>
              <w:tr2bl w:val="nil"/>
            </w:tcBorders>
            <w:vAlign w:val="center"/>
          </w:tcPr>
          <w:p w14:paraId="4D9EF04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1.1463</w:t>
            </w:r>
          </w:p>
        </w:tc>
        <w:tc>
          <w:tcPr>
            <w:tcW w:w="1274" w:type="pct"/>
            <w:tcBorders>
              <w:tl2br w:val="nil"/>
              <w:tr2bl w:val="nil"/>
            </w:tcBorders>
            <w:vAlign w:val="center"/>
          </w:tcPr>
          <w:p w14:paraId="6573FCC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0.8269</w:t>
            </w:r>
          </w:p>
        </w:tc>
        <w:tc>
          <w:tcPr>
            <w:tcW w:w="1365" w:type="pct"/>
            <w:tcBorders>
              <w:tl2br w:val="nil"/>
              <w:tr2bl w:val="nil"/>
            </w:tcBorders>
            <w:vAlign w:val="center"/>
          </w:tcPr>
          <w:p w14:paraId="2DB622B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0.6563</w:t>
            </w:r>
          </w:p>
        </w:tc>
      </w:tr>
      <w:tr w:rsidR="009D12AF" w14:paraId="789552AB" w14:textId="77777777">
        <w:trPr>
          <w:jc w:val="center"/>
        </w:trPr>
        <w:tc>
          <w:tcPr>
            <w:tcW w:w="835" w:type="pct"/>
            <w:tcBorders>
              <w:tl2br w:val="nil"/>
              <w:tr2bl w:val="nil"/>
            </w:tcBorders>
            <w:vAlign w:val="center"/>
          </w:tcPr>
          <w:p w14:paraId="461DD13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15#</w:t>
            </w:r>
          </w:p>
        </w:tc>
        <w:tc>
          <w:tcPr>
            <w:tcW w:w="1525" w:type="pct"/>
            <w:tcBorders>
              <w:tl2br w:val="nil"/>
              <w:tr2bl w:val="nil"/>
            </w:tcBorders>
            <w:vAlign w:val="center"/>
          </w:tcPr>
          <w:p w14:paraId="00F0CF2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1.2255</w:t>
            </w:r>
          </w:p>
        </w:tc>
        <w:tc>
          <w:tcPr>
            <w:tcW w:w="1274" w:type="pct"/>
            <w:tcBorders>
              <w:tl2br w:val="nil"/>
              <w:tr2bl w:val="nil"/>
            </w:tcBorders>
            <w:vAlign w:val="center"/>
          </w:tcPr>
          <w:p w14:paraId="3146E0C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0.8840</w:t>
            </w:r>
          </w:p>
        </w:tc>
        <w:tc>
          <w:tcPr>
            <w:tcW w:w="1365" w:type="pct"/>
            <w:tcBorders>
              <w:tl2br w:val="nil"/>
              <w:tr2bl w:val="nil"/>
            </w:tcBorders>
            <w:vAlign w:val="center"/>
          </w:tcPr>
          <w:p w14:paraId="072A308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0.6777</w:t>
            </w:r>
          </w:p>
        </w:tc>
      </w:tr>
      <w:tr w:rsidR="009D12AF" w14:paraId="461C3926" w14:textId="77777777">
        <w:trPr>
          <w:jc w:val="center"/>
        </w:trPr>
        <w:tc>
          <w:tcPr>
            <w:tcW w:w="835" w:type="pct"/>
            <w:tcBorders>
              <w:tl2br w:val="nil"/>
              <w:tr2bl w:val="nil"/>
            </w:tcBorders>
            <w:vAlign w:val="center"/>
          </w:tcPr>
          <w:p w14:paraId="1391709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16#</w:t>
            </w:r>
          </w:p>
        </w:tc>
        <w:tc>
          <w:tcPr>
            <w:tcW w:w="1525" w:type="pct"/>
            <w:tcBorders>
              <w:tl2br w:val="nil"/>
              <w:tr2bl w:val="nil"/>
            </w:tcBorders>
            <w:vAlign w:val="center"/>
          </w:tcPr>
          <w:p w14:paraId="4D98C92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1.2606</w:t>
            </w:r>
          </w:p>
        </w:tc>
        <w:tc>
          <w:tcPr>
            <w:tcW w:w="1274" w:type="pct"/>
            <w:tcBorders>
              <w:tl2br w:val="nil"/>
              <w:tr2bl w:val="nil"/>
            </w:tcBorders>
            <w:vAlign w:val="center"/>
          </w:tcPr>
          <w:p w14:paraId="796928B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0.9093</w:t>
            </w:r>
          </w:p>
        </w:tc>
        <w:tc>
          <w:tcPr>
            <w:tcW w:w="1365" w:type="pct"/>
            <w:tcBorders>
              <w:tl2br w:val="nil"/>
              <w:tr2bl w:val="nil"/>
            </w:tcBorders>
            <w:vAlign w:val="center"/>
          </w:tcPr>
          <w:p w14:paraId="524BEEF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0.6983</w:t>
            </w:r>
          </w:p>
        </w:tc>
      </w:tr>
      <w:tr w:rsidR="009D12AF" w14:paraId="3D345481" w14:textId="77777777">
        <w:trPr>
          <w:jc w:val="center"/>
        </w:trPr>
        <w:tc>
          <w:tcPr>
            <w:tcW w:w="835" w:type="pct"/>
            <w:tcBorders>
              <w:tl2br w:val="nil"/>
              <w:tr2bl w:val="nil"/>
            </w:tcBorders>
            <w:vAlign w:val="center"/>
          </w:tcPr>
          <w:p w14:paraId="43C94D7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17#</w:t>
            </w:r>
          </w:p>
        </w:tc>
        <w:tc>
          <w:tcPr>
            <w:tcW w:w="1525" w:type="pct"/>
            <w:tcBorders>
              <w:tl2br w:val="nil"/>
              <w:tr2bl w:val="nil"/>
            </w:tcBorders>
            <w:vAlign w:val="center"/>
          </w:tcPr>
          <w:p w14:paraId="1CAD558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1.3302</w:t>
            </w:r>
          </w:p>
        </w:tc>
        <w:tc>
          <w:tcPr>
            <w:tcW w:w="1274" w:type="pct"/>
            <w:tcBorders>
              <w:tl2br w:val="nil"/>
              <w:tr2bl w:val="nil"/>
            </w:tcBorders>
            <w:vAlign w:val="center"/>
          </w:tcPr>
          <w:p w14:paraId="40B5DAB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0.9595</w:t>
            </w:r>
          </w:p>
        </w:tc>
        <w:tc>
          <w:tcPr>
            <w:tcW w:w="1365" w:type="pct"/>
            <w:tcBorders>
              <w:tl2br w:val="nil"/>
              <w:tr2bl w:val="nil"/>
            </w:tcBorders>
            <w:vAlign w:val="center"/>
          </w:tcPr>
          <w:p w14:paraId="1B94F98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0.7235</w:t>
            </w:r>
          </w:p>
        </w:tc>
      </w:tr>
      <w:tr w:rsidR="009D12AF" w14:paraId="396D728A" w14:textId="77777777">
        <w:trPr>
          <w:jc w:val="center"/>
        </w:trPr>
        <w:tc>
          <w:tcPr>
            <w:tcW w:w="835" w:type="pct"/>
            <w:tcBorders>
              <w:tl2br w:val="nil"/>
              <w:tr2bl w:val="nil"/>
            </w:tcBorders>
            <w:vAlign w:val="center"/>
          </w:tcPr>
          <w:p w14:paraId="1B9AAAC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18#</w:t>
            </w:r>
          </w:p>
        </w:tc>
        <w:tc>
          <w:tcPr>
            <w:tcW w:w="1525" w:type="pct"/>
            <w:tcBorders>
              <w:tl2br w:val="nil"/>
              <w:tr2bl w:val="nil"/>
            </w:tcBorders>
            <w:vAlign w:val="center"/>
          </w:tcPr>
          <w:p w14:paraId="1795C2C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1.3622</w:t>
            </w:r>
          </w:p>
        </w:tc>
        <w:tc>
          <w:tcPr>
            <w:tcW w:w="1274" w:type="pct"/>
            <w:tcBorders>
              <w:tl2br w:val="nil"/>
              <w:tr2bl w:val="nil"/>
            </w:tcBorders>
            <w:vAlign w:val="center"/>
          </w:tcPr>
          <w:p w14:paraId="675DE7C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0.9826</w:t>
            </w:r>
          </w:p>
        </w:tc>
        <w:tc>
          <w:tcPr>
            <w:tcW w:w="1365" w:type="pct"/>
            <w:tcBorders>
              <w:tl2br w:val="nil"/>
              <w:tr2bl w:val="nil"/>
            </w:tcBorders>
            <w:vAlign w:val="center"/>
          </w:tcPr>
          <w:p w14:paraId="189223A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0.7380</w:t>
            </w:r>
          </w:p>
        </w:tc>
      </w:tr>
      <w:tr w:rsidR="009D12AF" w14:paraId="727BCC3F" w14:textId="77777777">
        <w:trPr>
          <w:jc w:val="center"/>
        </w:trPr>
        <w:tc>
          <w:tcPr>
            <w:tcW w:w="835" w:type="pct"/>
            <w:tcBorders>
              <w:tl2br w:val="nil"/>
              <w:tr2bl w:val="nil"/>
            </w:tcBorders>
            <w:vAlign w:val="center"/>
          </w:tcPr>
          <w:p w14:paraId="36CFE19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19#</w:t>
            </w:r>
          </w:p>
        </w:tc>
        <w:tc>
          <w:tcPr>
            <w:tcW w:w="1525" w:type="pct"/>
            <w:tcBorders>
              <w:tl2br w:val="nil"/>
              <w:tr2bl w:val="nil"/>
            </w:tcBorders>
            <w:vAlign w:val="center"/>
          </w:tcPr>
          <w:p w14:paraId="600D2B7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1.3033</w:t>
            </w:r>
          </w:p>
        </w:tc>
        <w:tc>
          <w:tcPr>
            <w:tcW w:w="1274" w:type="pct"/>
            <w:tcBorders>
              <w:tl2br w:val="nil"/>
              <w:tr2bl w:val="nil"/>
            </w:tcBorders>
            <w:vAlign w:val="center"/>
          </w:tcPr>
          <w:p w14:paraId="7448C85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0.9401</w:t>
            </w:r>
          </w:p>
        </w:tc>
        <w:tc>
          <w:tcPr>
            <w:tcW w:w="1365" w:type="pct"/>
            <w:tcBorders>
              <w:tl2br w:val="nil"/>
              <w:tr2bl w:val="nil"/>
            </w:tcBorders>
            <w:vAlign w:val="center"/>
          </w:tcPr>
          <w:p w14:paraId="2739E10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0.7082</w:t>
            </w:r>
          </w:p>
        </w:tc>
      </w:tr>
      <w:tr w:rsidR="009D12AF" w14:paraId="5624AA0C" w14:textId="77777777">
        <w:trPr>
          <w:jc w:val="center"/>
        </w:trPr>
        <w:tc>
          <w:tcPr>
            <w:tcW w:w="835" w:type="pct"/>
            <w:tcBorders>
              <w:tl2br w:val="nil"/>
              <w:tr2bl w:val="nil"/>
            </w:tcBorders>
            <w:vAlign w:val="center"/>
          </w:tcPr>
          <w:p w14:paraId="125777E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20#</w:t>
            </w:r>
          </w:p>
        </w:tc>
        <w:tc>
          <w:tcPr>
            <w:tcW w:w="1525" w:type="pct"/>
            <w:tcBorders>
              <w:tl2br w:val="nil"/>
              <w:tr2bl w:val="nil"/>
            </w:tcBorders>
            <w:vAlign w:val="center"/>
          </w:tcPr>
          <w:p w14:paraId="409F01A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1.3605</w:t>
            </w:r>
          </w:p>
        </w:tc>
        <w:tc>
          <w:tcPr>
            <w:tcW w:w="1274" w:type="pct"/>
            <w:tcBorders>
              <w:tl2br w:val="nil"/>
              <w:tr2bl w:val="nil"/>
            </w:tcBorders>
            <w:vAlign w:val="center"/>
          </w:tcPr>
          <w:p w14:paraId="2F0E3FE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0.9814</w:t>
            </w:r>
          </w:p>
        </w:tc>
        <w:tc>
          <w:tcPr>
            <w:tcW w:w="1365" w:type="pct"/>
            <w:tcBorders>
              <w:tl2br w:val="nil"/>
              <w:tr2bl w:val="nil"/>
            </w:tcBorders>
            <w:vAlign w:val="center"/>
          </w:tcPr>
          <w:p w14:paraId="50B54BA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0.7372</w:t>
            </w:r>
          </w:p>
        </w:tc>
      </w:tr>
      <w:tr w:rsidR="009D12AF" w14:paraId="7AE5D65D" w14:textId="77777777">
        <w:trPr>
          <w:jc w:val="center"/>
        </w:trPr>
        <w:tc>
          <w:tcPr>
            <w:tcW w:w="835" w:type="pct"/>
            <w:tcBorders>
              <w:tl2br w:val="nil"/>
              <w:tr2bl w:val="nil"/>
            </w:tcBorders>
            <w:vAlign w:val="center"/>
          </w:tcPr>
          <w:p w14:paraId="579C80C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21#</w:t>
            </w:r>
          </w:p>
        </w:tc>
        <w:tc>
          <w:tcPr>
            <w:tcW w:w="1525" w:type="pct"/>
            <w:tcBorders>
              <w:tl2br w:val="nil"/>
              <w:tr2bl w:val="nil"/>
            </w:tcBorders>
            <w:vAlign w:val="center"/>
          </w:tcPr>
          <w:p w14:paraId="2A0513C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0.8305</w:t>
            </w:r>
          </w:p>
        </w:tc>
        <w:tc>
          <w:tcPr>
            <w:tcW w:w="1274" w:type="pct"/>
            <w:tcBorders>
              <w:tl2br w:val="nil"/>
              <w:tr2bl w:val="nil"/>
            </w:tcBorders>
            <w:vAlign w:val="center"/>
          </w:tcPr>
          <w:p w14:paraId="1FD4B00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0.7560</w:t>
            </w:r>
          </w:p>
        </w:tc>
        <w:tc>
          <w:tcPr>
            <w:tcW w:w="1365" w:type="pct"/>
            <w:tcBorders>
              <w:tl2br w:val="nil"/>
              <w:tr2bl w:val="nil"/>
            </w:tcBorders>
            <w:vAlign w:val="center"/>
          </w:tcPr>
          <w:p w14:paraId="3D72DF1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0.5078</w:t>
            </w:r>
          </w:p>
        </w:tc>
      </w:tr>
      <w:tr w:rsidR="009D12AF" w14:paraId="470319EB" w14:textId="77777777">
        <w:trPr>
          <w:jc w:val="center"/>
        </w:trPr>
        <w:tc>
          <w:tcPr>
            <w:tcW w:w="835" w:type="pct"/>
            <w:tcBorders>
              <w:tl2br w:val="nil"/>
              <w:tr2bl w:val="nil"/>
            </w:tcBorders>
            <w:vAlign w:val="center"/>
          </w:tcPr>
          <w:p w14:paraId="5E5D998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22#</w:t>
            </w:r>
          </w:p>
        </w:tc>
        <w:tc>
          <w:tcPr>
            <w:tcW w:w="1525" w:type="pct"/>
            <w:tcBorders>
              <w:tl2br w:val="nil"/>
              <w:tr2bl w:val="nil"/>
            </w:tcBorders>
            <w:vAlign w:val="center"/>
          </w:tcPr>
          <w:p w14:paraId="47D7D80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0.9003</w:t>
            </w:r>
          </w:p>
        </w:tc>
        <w:tc>
          <w:tcPr>
            <w:tcW w:w="1274" w:type="pct"/>
            <w:tcBorders>
              <w:tl2br w:val="nil"/>
              <w:tr2bl w:val="nil"/>
            </w:tcBorders>
            <w:vAlign w:val="center"/>
          </w:tcPr>
          <w:p w14:paraId="3E87C51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0.8194</w:t>
            </w:r>
          </w:p>
        </w:tc>
        <w:tc>
          <w:tcPr>
            <w:tcW w:w="1365" w:type="pct"/>
            <w:tcBorders>
              <w:tl2br w:val="nil"/>
              <w:tr2bl w:val="nil"/>
            </w:tcBorders>
            <w:vAlign w:val="center"/>
          </w:tcPr>
          <w:p w14:paraId="79A195F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0.5313</w:t>
            </w:r>
          </w:p>
        </w:tc>
      </w:tr>
      <w:tr w:rsidR="009D12AF" w14:paraId="211E3F06" w14:textId="77777777">
        <w:trPr>
          <w:jc w:val="center"/>
        </w:trPr>
        <w:tc>
          <w:tcPr>
            <w:tcW w:w="835" w:type="pct"/>
            <w:tcBorders>
              <w:tl2br w:val="nil"/>
              <w:tr2bl w:val="nil"/>
            </w:tcBorders>
            <w:vAlign w:val="center"/>
          </w:tcPr>
          <w:p w14:paraId="5D06298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23#</w:t>
            </w:r>
          </w:p>
        </w:tc>
        <w:tc>
          <w:tcPr>
            <w:tcW w:w="1525" w:type="pct"/>
            <w:tcBorders>
              <w:tl2br w:val="nil"/>
              <w:tr2bl w:val="nil"/>
            </w:tcBorders>
            <w:vAlign w:val="center"/>
          </w:tcPr>
          <w:p w14:paraId="5073319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0.6846</w:t>
            </w:r>
          </w:p>
        </w:tc>
        <w:tc>
          <w:tcPr>
            <w:tcW w:w="1274" w:type="pct"/>
            <w:tcBorders>
              <w:tl2br w:val="nil"/>
              <w:tr2bl w:val="nil"/>
            </w:tcBorders>
            <w:vAlign w:val="center"/>
          </w:tcPr>
          <w:p w14:paraId="6E429E7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0.9877</w:t>
            </w:r>
          </w:p>
        </w:tc>
        <w:tc>
          <w:tcPr>
            <w:tcW w:w="1365" w:type="pct"/>
            <w:tcBorders>
              <w:tl2br w:val="nil"/>
              <w:tr2bl w:val="nil"/>
            </w:tcBorders>
            <w:vAlign w:val="center"/>
          </w:tcPr>
          <w:p w14:paraId="0CC5F39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0.4915</w:t>
            </w:r>
          </w:p>
        </w:tc>
      </w:tr>
      <w:tr w:rsidR="009D12AF" w14:paraId="3D6831F6" w14:textId="77777777">
        <w:trPr>
          <w:jc w:val="center"/>
        </w:trPr>
        <w:tc>
          <w:tcPr>
            <w:tcW w:w="835" w:type="pct"/>
            <w:tcBorders>
              <w:tl2br w:val="nil"/>
              <w:tr2bl w:val="nil"/>
            </w:tcBorders>
            <w:vAlign w:val="center"/>
          </w:tcPr>
          <w:p w14:paraId="20647CE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24#</w:t>
            </w:r>
          </w:p>
        </w:tc>
        <w:tc>
          <w:tcPr>
            <w:tcW w:w="1525" w:type="pct"/>
            <w:tcBorders>
              <w:tl2br w:val="nil"/>
              <w:tr2bl w:val="nil"/>
            </w:tcBorders>
            <w:vAlign w:val="center"/>
          </w:tcPr>
          <w:p w14:paraId="4A17AA5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1.0772</w:t>
            </w:r>
          </w:p>
        </w:tc>
        <w:tc>
          <w:tcPr>
            <w:tcW w:w="1274" w:type="pct"/>
            <w:tcBorders>
              <w:tl2br w:val="nil"/>
              <w:tr2bl w:val="nil"/>
            </w:tcBorders>
            <w:vAlign w:val="center"/>
          </w:tcPr>
          <w:p w14:paraId="08EDB27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0.9805</w:t>
            </w:r>
          </w:p>
        </w:tc>
        <w:tc>
          <w:tcPr>
            <w:tcW w:w="1365" w:type="pct"/>
            <w:tcBorders>
              <w:tl2br w:val="nil"/>
              <w:tr2bl w:val="nil"/>
            </w:tcBorders>
            <w:vAlign w:val="center"/>
          </w:tcPr>
          <w:p w14:paraId="21E3DB7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0.6532</w:t>
            </w:r>
          </w:p>
        </w:tc>
      </w:tr>
      <w:tr w:rsidR="009D12AF" w14:paraId="55FE5822" w14:textId="77777777">
        <w:trPr>
          <w:jc w:val="center"/>
        </w:trPr>
        <w:tc>
          <w:tcPr>
            <w:tcW w:w="835" w:type="pct"/>
            <w:tcBorders>
              <w:tl2br w:val="nil"/>
              <w:tr2bl w:val="nil"/>
            </w:tcBorders>
            <w:vAlign w:val="center"/>
          </w:tcPr>
          <w:p w14:paraId="6151854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宋体" w:hAnsi="Times New Roman" w:cs="Times New Roman"/>
                <w:kern w:val="0"/>
                <w:szCs w:val="15"/>
              </w:rPr>
              <w:t>25#</w:t>
            </w:r>
          </w:p>
        </w:tc>
        <w:tc>
          <w:tcPr>
            <w:tcW w:w="1525" w:type="pct"/>
            <w:tcBorders>
              <w:tl2br w:val="nil"/>
              <w:tr2bl w:val="nil"/>
            </w:tcBorders>
            <w:vAlign w:val="center"/>
          </w:tcPr>
          <w:p w14:paraId="0F71F51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1.0136</w:t>
            </w:r>
          </w:p>
        </w:tc>
        <w:tc>
          <w:tcPr>
            <w:tcW w:w="1274" w:type="pct"/>
            <w:tcBorders>
              <w:tl2br w:val="nil"/>
              <w:tr2bl w:val="nil"/>
            </w:tcBorders>
            <w:vAlign w:val="center"/>
          </w:tcPr>
          <w:p w14:paraId="21D545F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0.9226</w:t>
            </w:r>
          </w:p>
        </w:tc>
        <w:tc>
          <w:tcPr>
            <w:tcW w:w="1365" w:type="pct"/>
            <w:tcBorders>
              <w:tl2br w:val="nil"/>
              <w:tr2bl w:val="nil"/>
            </w:tcBorders>
            <w:vAlign w:val="center"/>
          </w:tcPr>
          <w:p w14:paraId="0DE99B7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Cs w:val="15"/>
              </w:rPr>
            </w:pPr>
            <w:r>
              <w:rPr>
                <w:rFonts w:ascii="Times New Roman" w:eastAsia="等线" w:hAnsi="Times New Roman" w:cs="Times New Roman"/>
                <w:color w:val="000000"/>
                <w:kern w:val="0"/>
                <w:sz w:val="22"/>
              </w:rPr>
              <w:t>0.6066</w:t>
            </w:r>
          </w:p>
        </w:tc>
      </w:tr>
    </w:tbl>
    <w:p w14:paraId="1987EEC4"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hint="eastAsia"/>
          <w:kern w:val="0"/>
        </w:rPr>
        <w:t>由上表可见，</w:t>
      </w:r>
      <w:r>
        <w:rPr>
          <w:rFonts w:ascii="Times New Roman" w:eastAsia="宋体" w:hAnsi="Times New Roman" w:cs="Times New Roman" w:hint="eastAsia"/>
          <w:kern w:val="0"/>
        </w:rPr>
        <w:t>21#</w:t>
      </w:r>
      <w:r>
        <w:rPr>
          <w:rFonts w:ascii="Times New Roman" w:eastAsia="宋体" w:hAnsi="Times New Roman" w:cs="Times New Roman" w:hint="eastAsia"/>
          <w:kern w:val="0"/>
        </w:rPr>
        <w:t>、</w:t>
      </w:r>
      <w:r>
        <w:rPr>
          <w:rFonts w:ascii="Times New Roman" w:eastAsia="宋体" w:hAnsi="Times New Roman" w:cs="Times New Roman" w:hint="eastAsia"/>
          <w:kern w:val="0"/>
        </w:rPr>
        <w:t xml:space="preserve">23# </w:t>
      </w:r>
      <w:r>
        <w:rPr>
          <w:rFonts w:ascii="Times New Roman" w:eastAsia="宋体" w:hAnsi="Times New Roman" w:cs="Times New Roman" w:hint="eastAsia"/>
          <w:kern w:val="0"/>
        </w:rPr>
        <w:t>样方的香农</w:t>
      </w:r>
      <w:r>
        <w:rPr>
          <w:rFonts w:ascii="Times New Roman" w:eastAsia="宋体" w:hAnsi="Times New Roman" w:cs="Times New Roman" w:hint="eastAsia"/>
          <w:kern w:val="0"/>
        </w:rPr>
        <w:t>-</w:t>
      </w:r>
      <w:r>
        <w:rPr>
          <w:rFonts w:ascii="Times New Roman" w:eastAsia="宋体" w:hAnsi="Times New Roman" w:cs="Times New Roman" w:hint="eastAsia"/>
          <w:kern w:val="0"/>
        </w:rPr>
        <w:t>威纳多样性指数较低，分别为</w:t>
      </w:r>
      <w:r>
        <w:rPr>
          <w:rFonts w:ascii="Times New Roman" w:eastAsia="宋体" w:hAnsi="Times New Roman" w:cs="Times New Roman" w:hint="eastAsia"/>
          <w:kern w:val="0"/>
        </w:rPr>
        <w:t xml:space="preserve"> 0.8305</w:t>
      </w:r>
      <w:r>
        <w:rPr>
          <w:rFonts w:ascii="Times New Roman" w:eastAsia="宋体" w:hAnsi="Times New Roman" w:cs="Times New Roman" w:hint="eastAsia"/>
          <w:kern w:val="0"/>
        </w:rPr>
        <w:t>、</w:t>
      </w:r>
      <w:r>
        <w:rPr>
          <w:rFonts w:ascii="Times New Roman" w:eastAsia="宋体" w:hAnsi="Times New Roman" w:cs="Times New Roman" w:hint="eastAsia"/>
          <w:kern w:val="0"/>
        </w:rPr>
        <w:t>0.6846</w:t>
      </w:r>
      <w:r>
        <w:rPr>
          <w:rFonts w:ascii="Times New Roman" w:eastAsia="宋体" w:hAnsi="Times New Roman" w:cs="Times New Roman" w:hint="eastAsia"/>
          <w:kern w:val="0"/>
        </w:rPr>
        <w:t>，均低于</w:t>
      </w:r>
      <w:r>
        <w:rPr>
          <w:rFonts w:ascii="Times New Roman" w:eastAsia="宋体" w:hAnsi="Times New Roman" w:cs="Times New Roman" w:hint="eastAsia"/>
          <w:kern w:val="0"/>
        </w:rPr>
        <w:t xml:space="preserve"> 1.0</w:t>
      </w:r>
      <w:r>
        <w:rPr>
          <w:rFonts w:ascii="Times New Roman" w:eastAsia="宋体" w:hAnsi="Times New Roman" w:cs="Times New Roman" w:hint="eastAsia"/>
          <w:kern w:val="0"/>
        </w:rPr>
        <w:t>，主要与其所属的样方类型为沼泽草地相关植物类型较为单一，物种组成简单，直接导致了多样性指数偏低；样方</w:t>
      </w:r>
      <w:r>
        <w:rPr>
          <w:rFonts w:ascii="Times New Roman" w:eastAsia="宋体" w:hAnsi="Times New Roman" w:cs="Times New Roman" w:hint="eastAsia"/>
          <w:kern w:val="0"/>
        </w:rPr>
        <w:t xml:space="preserve"> Simpson </w:t>
      </w:r>
      <w:r>
        <w:rPr>
          <w:rFonts w:ascii="Times New Roman" w:eastAsia="宋体" w:hAnsi="Times New Roman" w:cs="Times New Roman" w:hint="eastAsia"/>
          <w:kern w:val="0"/>
        </w:rPr>
        <w:t>优势度指数方面，</w:t>
      </w:r>
      <w:r>
        <w:rPr>
          <w:rFonts w:ascii="Times New Roman" w:eastAsia="宋体" w:hAnsi="Times New Roman" w:cs="Times New Roman" w:hint="eastAsia"/>
          <w:kern w:val="0"/>
        </w:rPr>
        <w:t xml:space="preserve">21-25# </w:t>
      </w:r>
      <w:r>
        <w:rPr>
          <w:rFonts w:ascii="Times New Roman" w:eastAsia="宋体" w:hAnsi="Times New Roman" w:cs="Times New Roman" w:hint="eastAsia"/>
          <w:kern w:val="0"/>
        </w:rPr>
        <w:t>草地样方均在</w:t>
      </w:r>
      <w:r>
        <w:rPr>
          <w:rFonts w:ascii="Times New Roman" w:eastAsia="宋体" w:hAnsi="Times New Roman" w:cs="Times New Roman" w:hint="eastAsia"/>
          <w:kern w:val="0"/>
        </w:rPr>
        <w:t xml:space="preserve"> 0.4915~0.6532 </w:t>
      </w:r>
      <w:r>
        <w:rPr>
          <w:rFonts w:ascii="Times New Roman" w:eastAsia="宋体" w:hAnsi="Times New Roman" w:cs="Times New Roman" w:hint="eastAsia"/>
          <w:kern w:val="0"/>
        </w:rPr>
        <w:t>之间，显著低于</w:t>
      </w:r>
      <w:r>
        <w:rPr>
          <w:rFonts w:ascii="Times New Roman" w:eastAsia="宋体" w:hAnsi="Times New Roman" w:cs="Times New Roman" w:hint="eastAsia"/>
          <w:kern w:val="0"/>
        </w:rPr>
        <w:t xml:space="preserve"> 1-20# </w:t>
      </w:r>
      <w:r>
        <w:rPr>
          <w:rFonts w:ascii="Times New Roman" w:eastAsia="宋体" w:hAnsi="Times New Roman" w:cs="Times New Roman" w:hint="eastAsia"/>
          <w:kern w:val="0"/>
        </w:rPr>
        <w:t>样方的多数数值（如</w:t>
      </w:r>
      <w:r>
        <w:rPr>
          <w:rFonts w:ascii="Times New Roman" w:eastAsia="宋体" w:hAnsi="Times New Roman" w:cs="Times New Roman" w:hint="eastAsia"/>
          <w:kern w:val="0"/>
        </w:rPr>
        <w:t xml:space="preserve"> 11#0.7420</w:t>
      </w:r>
      <w:r>
        <w:rPr>
          <w:rFonts w:ascii="Times New Roman" w:eastAsia="宋体" w:hAnsi="Times New Roman" w:cs="Times New Roman" w:hint="eastAsia"/>
          <w:kern w:val="0"/>
        </w:rPr>
        <w:t>、</w:t>
      </w:r>
      <w:r>
        <w:rPr>
          <w:rFonts w:ascii="Times New Roman" w:eastAsia="宋体" w:hAnsi="Times New Roman" w:cs="Times New Roman" w:hint="eastAsia"/>
          <w:kern w:val="0"/>
        </w:rPr>
        <w:t>13#0.7449</w:t>
      </w:r>
      <w:r>
        <w:rPr>
          <w:rFonts w:ascii="Times New Roman" w:eastAsia="宋体" w:hAnsi="Times New Roman" w:cs="Times New Roman" w:hint="eastAsia"/>
          <w:kern w:val="0"/>
        </w:rPr>
        <w:t>、</w:t>
      </w:r>
      <w:r>
        <w:rPr>
          <w:rFonts w:ascii="Times New Roman" w:eastAsia="宋体" w:hAnsi="Times New Roman" w:cs="Times New Roman" w:hint="eastAsia"/>
          <w:kern w:val="0"/>
        </w:rPr>
        <w:t>18#0.7380</w:t>
      </w:r>
      <w:r>
        <w:rPr>
          <w:rFonts w:ascii="Times New Roman" w:eastAsia="宋体" w:hAnsi="Times New Roman" w:cs="Times New Roman" w:hint="eastAsia"/>
          <w:kern w:val="0"/>
        </w:rPr>
        <w:t>），说明草地群落内不同种类数量分布较为均匀，优势物种的生态功能相对不突出，这也与其植物类型单一的特征一致。</w:t>
      </w:r>
    </w:p>
    <w:p w14:paraId="0EDF8396"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hint="eastAsia"/>
          <w:kern w:val="0"/>
        </w:rPr>
        <w:t>总体来看，项目评价区中</w:t>
      </w:r>
      <w:r>
        <w:rPr>
          <w:rFonts w:ascii="Times New Roman" w:eastAsia="宋体" w:hAnsi="Times New Roman" w:cs="Times New Roman" w:hint="eastAsia"/>
          <w:kern w:val="0"/>
        </w:rPr>
        <w:t xml:space="preserve"> 1-20# </w:t>
      </w:r>
      <w:r>
        <w:rPr>
          <w:rFonts w:ascii="Times New Roman" w:eastAsia="宋体" w:hAnsi="Times New Roman" w:cs="Times New Roman" w:hint="eastAsia"/>
          <w:kern w:val="0"/>
        </w:rPr>
        <w:t>样方的香农</w:t>
      </w:r>
      <w:r>
        <w:rPr>
          <w:rFonts w:ascii="Times New Roman" w:eastAsia="宋体" w:hAnsi="Times New Roman" w:cs="Times New Roman" w:hint="eastAsia"/>
          <w:kern w:val="0"/>
        </w:rPr>
        <w:t>-</w:t>
      </w:r>
      <w:r>
        <w:rPr>
          <w:rFonts w:ascii="Times New Roman" w:eastAsia="宋体" w:hAnsi="Times New Roman" w:cs="Times New Roman" w:hint="eastAsia"/>
          <w:kern w:val="0"/>
        </w:rPr>
        <w:t>威纳多样性指数多在</w:t>
      </w:r>
      <w:r>
        <w:rPr>
          <w:rFonts w:ascii="Times New Roman" w:eastAsia="宋体" w:hAnsi="Times New Roman" w:cs="Times New Roman" w:hint="eastAsia"/>
          <w:kern w:val="0"/>
        </w:rPr>
        <w:t xml:space="preserve"> 1.0 </w:t>
      </w:r>
      <w:r>
        <w:rPr>
          <w:rFonts w:ascii="Times New Roman" w:eastAsia="宋体" w:hAnsi="Times New Roman" w:cs="Times New Roman" w:hint="eastAsia"/>
          <w:kern w:val="0"/>
        </w:rPr>
        <w:t>以上，部分样方（如</w:t>
      </w:r>
      <w:r>
        <w:rPr>
          <w:rFonts w:ascii="Times New Roman" w:eastAsia="宋体" w:hAnsi="Times New Roman" w:cs="Times New Roman" w:hint="eastAsia"/>
          <w:kern w:val="0"/>
        </w:rPr>
        <w:t xml:space="preserve"> 11#1.3692</w:t>
      </w:r>
      <w:r>
        <w:rPr>
          <w:rFonts w:ascii="Times New Roman" w:eastAsia="宋体" w:hAnsi="Times New Roman" w:cs="Times New Roman" w:hint="eastAsia"/>
          <w:kern w:val="0"/>
        </w:rPr>
        <w:t>、</w:t>
      </w:r>
      <w:r>
        <w:rPr>
          <w:rFonts w:ascii="Times New Roman" w:eastAsia="宋体" w:hAnsi="Times New Roman" w:cs="Times New Roman" w:hint="eastAsia"/>
          <w:kern w:val="0"/>
        </w:rPr>
        <w:t>13#1.3760</w:t>
      </w:r>
      <w:r>
        <w:rPr>
          <w:rFonts w:ascii="Times New Roman" w:eastAsia="宋体" w:hAnsi="Times New Roman" w:cs="Times New Roman" w:hint="eastAsia"/>
          <w:kern w:val="0"/>
        </w:rPr>
        <w:t>、</w:t>
      </w:r>
      <w:r>
        <w:rPr>
          <w:rFonts w:ascii="Times New Roman" w:eastAsia="宋体" w:hAnsi="Times New Roman" w:cs="Times New Roman" w:hint="eastAsia"/>
          <w:kern w:val="0"/>
        </w:rPr>
        <w:t>18#1.3622</w:t>
      </w:r>
      <w:r>
        <w:rPr>
          <w:rFonts w:ascii="Times New Roman" w:eastAsia="宋体" w:hAnsi="Times New Roman" w:cs="Times New Roman" w:hint="eastAsia"/>
          <w:kern w:val="0"/>
        </w:rPr>
        <w:t>）指数较高，物种丰富度表现较好；</w:t>
      </w:r>
      <w:r>
        <w:rPr>
          <w:rFonts w:ascii="Times New Roman" w:eastAsia="宋体" w:hAnsi="Times New Roman" w:cs="Times New Roman" w:hint="eastAsia"/>
          <w:kern w:val="0"/>
        </w:rPr>
        <w:t xml:space="preserve">21-25# </w:t>
      </w:r>
      <w:r>
        <w:rPr>
          <w:rFonts w:ascii="Times New Roman" w:eastAsia="宋体" w:hAnsi="Times New Roman" w:cs="Times New Roman" w:hint="eastAsia"/>
          <w:kern w:val="0"/>
        </w:rPr>
        <w:t>草地样方虽因植物类型单一导致多样性指数相对偏低，但均匀度表现优异。综合而言，项目评价区物种丰富度情况较好，生物多样性处于较高水平。</w:t>
      </w:r>
    </w:p>
    <w:p w14:paraId="2FC7D5AE" w14:textId="77777777" w:rsidR="009D12AF" w:rsidRDefault="00000000">
      <w:pPr>
        <w:widowControl/>
        <w:ind w:firstLine="480"/>
        <w:jc w:val="left"/>
        <w:rPr>
          <w:rFonts w:ascii="Times New Roman" w:eastAsia="宋体" w:hAnsi="Times New Roman" w:cs="Times New Roman"/>
          <w:kern w:val="0"/>
        </w:rPr>
      </w:pPr>
      <w:r>
        <w:rPr>
          <w:rFonts w:ascii="Times New Roman" w:eastAsia="宋体" w:hAnsi="Times New Roman" w:cs="Times New Roman" w:hint="eastAsia"/>
          <w:kern w:val="0"/>
        </w:rPr>
        <w:t>五、生物量现状</w:t>
      </w:r>
    </w:p>
    <w:p w14:paraId="205D32EE" w14:textId="77777777" w:rsidR="009D12AF" w:rsidRDefault="00000000">
      <w:pPr>
        <w:ind w:firstLine="480"/>
        <w:jc w:val="left"/>
        <w:rPr>
          <w:rFonts w:ascii="Arial" w:eastAsia="宋体" w:hAnsi="Arial" w:cs="Times New Roman"/>
        </w:rPr>
      </w:pPr>
      <w:r>
        <w:rPr>
          <w:rFonts w:ascii="Arial" w:eastAsia="宋体" w:hAnsi="Arial" w:cs="Times New Roman" w:hint="eastAsia"/>
        </w:rPr>
        <w:t>生物量能反映生物的生产能力，群落的总生物量的大小可以反映群落利用自然潜力的能力，衡量群落生产力的高低，也是定量表征评价区内各生态系统的生</w:t>
      </w:r>
      <w:r>
        <w:rPr>
          <w:rFonts w:ascii="Arial" w:eastAsia="宋体" w:hAnsi="Arial" w:cs="Times New Roman" w:hint="eastAsia"/>
        </w:rPr>
        <w:lastRenderedPageBreak/>
        <w:t>产现状，尤其是森林生态系统生产现状以及生态环境质量现状的重要指标之一。</w:t>
      </w:r>
    </w:p>
    <w:p w14:paraId="32778936" w14:textId="77777777" w:rsidR="009D12AF" w:rsidRDefault="00000000">
      <w:pPr>
        <w:widowControl/>
        <w:ind w:firstLine="480"/>
        <w:jc w:val="left"/>
        <w:rPr>
          <w:rFonts w:ascii="Arial" w:eastAsia="宋体" w:hAnsi="Arial" w:cs="Times New Roman"/>
        </w:rPr>
      </w:pPr>
      <w:r>
        <w:rPr>
          <w:rFonts w:ascii="Times New Roman" w:eastAsia="宋体" w:hAnsi="Times New Roman" w:cs="Times New Roman" w:hint="eastAsia"/>
          <w:kern w:val="0"/>
        </w:rPr>
        <w:t>根据评价区各类植被类型调查数据，利用生物量方程法计算样方中乔木林生物量，并反演评价区整体的乔木林生物量；草甸植被利用收获法计算样方生物量，并反演评价区整体草甸生物量；经查阅相关文献粮食作物生物量与产量可按</w:t>
      </w:r>
      <w:r>
        <w:rPr>
          <w:rFonts w:ascii="Times New Roman" w:eastAsia="宋体" w:hAnsi="Times New Roman" w:cs="Times New Roman" w:hint="eastAsia"/>
          <w:kern w:val="0"/>
        </w:rPr>
        <w:t xml:space="preserve"> 3:1 </w:t>
      </w:r>
      <w:r>
        <w:rPr>
          <w:rFonts w:ascii="Times New Roman" w:eastAsia="宋体" w:hAnsi="Times New Roman" w:cs="Times New Roman" w:hint="eastAsia"/>
          <w:kern w:val="0"/>
        </w:rPr>
        <w:t>计，因此评价区农作物生物量估算参数取该区域粮食作物的平均生物量</w:t>
      </w:r>
      <w:r>
        <w:rPr>
          <w:rFonts w:ascii="Times New Roman" w:eastAsia="宋体" w:hAnsi="Times New Roman" w:cs="Times New Roman" w:hint="eastAsia"/>
          <w:kern w:val="0"/>
        </w:rPr>
        <w:t>15.848t/hm</w:t>
      </w:r>
      <w:r>
        <w:rPr>
          <w:rFonts w:ascii="Times New Roman" w:eastAsia="宋体" w:hAnsi="Times New Roman" w:cs="Times New Roman" w:hint="eastAsia"/>
          <w:kern w:val="0"/>
          <w:vertAlign w:val="superscript"/>
        </w:rPr>
        <w:t>2</w:t>
      </w:r>
      <w:r>
        <w:rPr>
          <w:rFonts w:ascii="Times New Roman" w:eastAsia="宋体" w:hAnsi="Times New Roman" w:cs="Times New Roman" w:hint="eastAsia"/>
          <w:kern w:val="0"/>
        </w:rPr>
        <w:t>。评价区自然体系生物量现状见表</w:t>
      </w:r>
      <w:r>
        <w:rPr>
          <w:rFonts w:ascii="Times New Roman" w:eastAsia="宋体" w:hAnsi="Times New Roman" w:cs="Times New Roman" w:hint="eastAsia"/>
          <w:kern w:val="0"/>
        </w:rPr>
        <w:t>4.3-67</w:t>
      </w:r>
      <w:r>
        <w:rPr>
          <w:rFonts w:ascii="Times New Roman" w:eastAsia="宋体" w:hAnsi="Times New Roman" w:cs="Times New Roman" w:hint="eastAsia"/>
          <w:kern w:val="0"/>
        </w:rPr>
        <w:t>。</w:t>
      </w:r>
    </w:p>
    <w:p w14:paraId="2ED7B1AA" w14:textId="77777777" w:rsidR="009D12AF" w:rsidRDefault="00000000">
      <w:pPr>
        <w:spacing w:line="600" w:lineRule="exact"/>
        <w:ind w:firstLine="482"/>
        <w:jc w:val="center"/>
        <w:rPr>
          <w:rFonts w:ascii="宋体" w:eastAsia="宋体" w:hAnsi="宋体" w:cs="Arial" w:hint="eastAsia"/>
          <w:b/>
          <w:bCs/>
        </w:rPr>
      </w:pPr>
      <w:bookmarkStart w:id="334" w:name="_Toc8918"/>
      <w:r>
        <w:rPr>
          <w:rFonts w:ascii="宋体" w:eastAsia="宋体" w:hAnsi="宋体" w:cs="Arial" w:hint="eastAsia"/>
          <w:b/>
          <w:bCs/>
        </w:rPr>
        <w:t>表</w:t>
      </w:r>
      <w:r>
        <w:rPr>
          <w:rFonts w:ascii="Times New Roman" w:eastAsia="宋体" w:hAnsi="Times New Roman" w:cs="Times New Roman" w:hint="eastAsia"/>
          <w:b/>
          <w:bCs/>
          <w:kern w:val="0"/>
        </w:rPr>
        <w:t xml:space="preserve">4.3-67 </w:t>
      </w:r>
      <w:r>
        <w:rPr>
          <w:rFonts w:ascii="宋体" w:eastAsia="宋体" w:hAnsi="宋体" w:cs="Arial" w:hint="eastAsia"/>
          <w:b/>
          <w:bCs/>
        </w:rPr>
        <w:t xml:space="preserve"> 评价范围内生态系统生物量调查统计</w:t>
      </w:r>
      <w:bookmarkEnd w:id="334"/>
    </w:p>
    <w:tbl>
      <w:tblPr>
        <w:tblW w:w="4997"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651"/>
        <w:gridCol w:w="1526"/>
        <w:gridCol w:w="1395"/>
        <w:gridCol w:w="1004"/>
        <w:gridCol w:w="813"/>
        <w:gridCol w:w="1124"/>
        <w:gridCol w:w="1004"/>
      </w:tblGrid>
      <w:tr w:rsidR="009D12AF" w14:paraId="4ACD9614" w14:textId="77777777">
        <w:trPr>
          <w:trHeight w:val="23"/>
          <w:jc w:val="center"/>
        </w:trPr>
        <w:tc>
          <w:tcPr>
            <w:tcW w:w="971" w:type="pct"/>
            <w:tcBorders>
              <w:tl2br w:val="nil"/>
              <w:tr2bl w:val="nil"/>
            </w:tcBorders>
            <w:vAlign w:val="center"/>
          </w:tcPr>
          <w:p w14:paraId="23C7807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bookmarkStart w:id="335" w:name="_Hlk153380959"/>
            <w:r>
              <w:rPr>
                <w:rFonts w:ascii="Times New Roman" w:eastAsia="宋体" w:hAnsi="Times New Roman" w:cs="Times New Roman"/>
                <w:kern w:val="0"/>
                <w:sz w:val="21"/>
                <w:szCs w:val="21"/>
              </w:rPr>
              <w:t>生态系统</w:t>
            </w:r>
          </w:p>
          <w:bookmarkEnd w:id="335"/>
          <w:p w14:paraId="3797B6B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r>
              <w:rPr>
                <w:rFonts w:ascii="Times New Roman" w:eastAsia="宋体" w:hAnsi="Times New Roman" w:cs="Times New Roman"/>
                <w:spacing w:val="6"/>
                <w:kern w:val="0"/>
                <w:sz w:val="21"/>
                <w:szCs w:val="21"/>
              </w:rPr>
              <w:t>Ⅱ</w:t>
            </w:r>
            <w:r>
              <w:rPr>
                <w:rFonts w:ascii="Times New Roman" w:eastAsia="宋体" w:hAnsi="Times New Roman" w:cs="Times New Roman"/>
                <w:spacing w:val="6"/>
                <w:kern w:val="0"/>
                <w:sz w:val="21"/>
                <w:szCs w:val="21"/>
              </w:rPr>
              <w:t>级分类</w:t>
            </w:r>
            <w:r>
              <w:rPr>
                <w:rFonts w:ascii="Times New Roman" w:eastAsia="宋体" w:hAnsi="Times New Roman" w:cs="Times New Roman"/>
                <w:kern w:val="0"/>
                <w:sz w:val="21"/>
                <w:szCs w:val="21"/>
              </w:rPr>
              <w:t>)</w:t>
            </w:r>
          </w:p>
        </w:tc>
        <w:tc>
          <w:tcPr>
            <w:tcW w:w="898" w:type="pct"/>
            <w:tcBorders>
              <w:tl2br w:val="nil"/>
              <w:tr2bl w:val="nil"/>
            </w:tcBorders>
            <w:vAlign w:val="center"/>
          </w:tcPr>
          <w:p w14:paraId="524A26E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植被</w:t>
            </w:r>
          </w:p>
          <w:p w14:paraId="01C37F9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类型</w:t>
            </w:r>
          </w:p>
        </w:tc>
        <w:tc>
          <w:tcPr>
            <w:tcW w:w="821" w:type="pct"/>
            <w:tcBorders>
              <w:tl2br w:val="nil"/>
              <w:tr2bl w:val="nil"/>
            </w:tcBorders>
            <w:vAlign w:val="center"/>
          </w:tcPr>
          <w:p w14:paraId="4403114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生物量特征或平均生物量</w:t>
            </w:r>
          </w:p>
          <w:p w14:paraId="44BBDFC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(t/hm</w:t>
            </w:r>
            <w:r>
              <w:rPr>
                <w:rFonts w:ascii="Times New Roman" w:eastAsia="宋体" w:hAnsi="Times New Roman" w:cs="Times New Roman"/>
                <w:kern w:val="0"/>
                <w:sz w:val="21"/>
                <w:szCs w:val="21"/>
                <w:vertAlign w:val="superscript"/>
              </w:rPr>
              <w:t>2</w:t>
            </w:r>
            <w:r>
              <w:rPr>
                <w:rFonts w:ascii="Times New Roman" w:eastAsia="宋体" w:hAnsi="Times New Roman" w:cs="Times New Roman"/>
                <w:kern w:val="0"/>
                <w:sz w:val="21"/>
                <w:szCs w:val="21"/>
              </w:rPr>
              <w:t>)</w:t>
            </w:r>
          </w:p>
        </w:tc>
        <w:tc>
          <w:tcPr>
            <w:tcW w:w="572" w:type="pct"/>
            <w:tcBorders>
              <w:tl2br w:val="nil"/>
              <w:tr2bl w:val="nil"/>
            </w:tcBorders>
            <w:vAlign w:val="center"/>
          </w:tcPr>
          <w:p w14:paraId="76851BE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面积</w:t>
            </w:r>
            <w:r>
              <w:rPr>
                <w:rFonts w:ascii="Times New Roman" w:eastAsia="宋体" w:hAnsi="Times New Roman" w:cs="Times New Roman"/>
                <w:kern w:val="0"/>
                <w:sz w:val="21"/>
                <w:szCs w:val="21"/>
              </w:rPr>
              <w:t>(hm</w:t>
            </w:r>
            <w:r>
              <w:rPr>
                <w:rFonts w:ascii="Times New Roman" w:eastAsia="宋体" w:hAnsi="Times New Roman" w:cs="Times New Roman"/>
                <w:kern w:val="0"/>
                <w:sz w:val="21"/>
                <w:szCs w:val="21"/>
                <w:vertAlign w:val="superscript"/>
              </w:rPr>
              <w:t>2</w:t>
            </w:r>
            <w:r>
              <w:rPr>
                <w:rFonts w:ascii="Times New Roman" w:eastAsia="宋体" w:hAnsi="Times New Roman" w:cs="Times New Roman"/>
                <w:kern w:val="0"/>
                <w:sz w:val="21"/>
                <w:szCs w:val="21"/>
              </w:rPr>
              <w:t>)</w:t>
            </w:r>
          </w:p>
        </w:tc>
        <w:tc>
          <w:tcPr>
            <w:tcW w:w="480" w:type="pct"/>
            <w:tcBorders>
              <w:tl2br w:val="nil"/>
              <w:tr2bl w:val="nil"/>
            </w:tcBorders>
            <w:vAlign w:val="center"/>
          </w:tcPr>
          <w:p w14:paraId="6B8D413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单位面积生物量</w:t>
            </w:r>
            <w:r>
              <w:rPr>
                <w:rFonts w:ascii="Times New Roman" w:eastAsia="宋体" w:hAnsi="Times New Roman" w:cs="Times New Roman"/>
                <w:kern w:val="0"/>
                <w:sz w:val="21"/>
                <w:szCs w:val="21"/>
              </w:rPr>
              <w:t>(t/hm</w:t>
            </w:r>
            <w:r>
              <w:rPr>
                <w:rFonts w:ascii="Times New Roman" w:eastAsia="宋体" w:hAnsi="Times New Roman" w:cs="Times New Roman"/>
                <w:kern w:val="0"/>
                <w:sz w:val="21"/>
                <w:szCs w:val="21"/>
                <w:vertAlign w:val="superscript"/>
              </w:rPr>
              <w:t>2</w:t>
            </w:r>
            <w:r>
              <w:rPr>
                <w:rFonts w:ascii="Times New Roman" w:eastAsia="宋体" w:hAnsi="Times New Roman" w:cs="Times New Roman"/>
                <w:kern w:val="0"/>
                <w:sz w:val="21"/>
                <w:szCs w:val="21"/>
              </w:rPr>
              <w:t>)</w:t>
            </w:r>
          </w:p>
        </w:tc>
        <w:tc>
          <w:tcPr>
            <w:tcW w:w="662" w:type="pct"/>
            <w:tcBorders>
              <w:tl2br w:val="nil"/>
              <w:tr2bl w:val="nil"/>
            </w:tcBorders>
            <w:vAlign w:val="center"/>
          </w:tcPr>
          <w:p w14:paraId="250CC1F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总生物量</w:t>
            </w:r>
            <w:r>
              <w:rPr>
                <w:rFonts w:ascii="Times New Roman" w:eastAsia="宋体" w:hAnsi="Times New Roman" w:cs="Times New Roman"/>
                <w:kern w:val="0"/>
                <w:sz w:val="21"/>
                <w:szCs w:val="21"/>
              </w:rPr>
              <w:t>(t)</w:t>
            </w:r>
          </w:p>
        </w:tc>
        <w:tc>
          <w:tcPr>
            <w:tcW w:w="592" w:type="pct"/>
            <w:tcBorders>
              <w:tl2br w:val="nil"/>
              <w:tr2bl w:val="nil"/>
            </w:tcBorders>
            <w:vAlign w:val="center"/>
          </w:tcPr>
          <w:p w14:paraId="7579DD7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总计</w:t>
            </w:r>
          </w:p>
          <w:p w14:paraId="5F3336E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(t)</w:t>
            </w:r>
          </w:p>
        </w:tc>
      </w:tr>
      <w:tr w:rsidR="009D12AF" w14:paraId="401A8BEF" w14:textId="77777777">
        <w:trPr>
          <w:trHeight w:val="23"/>
          <w:jc w:val="center"/>
        </w:trPr>
        <w:tc>
          <w:tcPr>
            <w:tcW w:w="971" w:type="pct"/>
            <w:vMerge w:val="restart"/>
            <w:tcBorders>
              <w:tl2br w:val="nil"/>
              <w:tr2bl w:val="nil"/>
            </w:tcBorders>
            <w:vAlign w:val="center"/>
          </w:tcPr>
          <w:p w14:paraId="4C03618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一、阔叶林</w:t>
            </w:r>
          </w:p>
        </w:tc>
        <w:tc>
          <w:tcPr>
            <w:tcW w:w="898" w:type="pct"/>
            <w:tcBorders>
              <w:tl2br w:val="nil"/>
              <w:tr2bl w:val="nil"/>
            </w:tcBorders>
            <w:vAlign w:val="center"/>
          </w:tcPr>
          <w:p w14:paraId="38C1068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一</w:t>
            </w:r>
            <w:r>
              <w:rPr>
                <w:rFonts w:ascii="Times New Roman" w:eastAsia="宋体" w:hAnsi="Times New Roman" w:cs="Times New Roman"/>
                <w:kern w:val="0"/>
                <w:sz w:val="21"/>
                <w:szCs w:val="21"/>
              </w:rPr>
              <w:t>)</w:t>
            </w:r>
            <w:r>
              <w:rPr>
                <w:rFonts w:ascii="Times New Roman" w:eastAsia="等线" w:hAnsi="Times New Roman" w:cs="Times New Roman"/>
                <w:sz w:val="21"/>
                <w:szCs w:val="21"/>
              </w:rPr>
              <w:t xml:space="preserve"> </w:t>
            </w:r>
            <w:r>
              <w:rPr>
                <w:rFonts w:ascii="Times New Roman" w:eastAsia="宋体" w:hAnsi="Times New Roman" w:cs="Times New Roman"/>
                <w:kern w:val="0"/>
                <w:sz w:val="21"/>
                <w:szCs w:val="21"/>
              </w:rPr>
              <w:t>蒙古栎林</w:t>
            </w:r>
          </w:p>
        </w:tc>
        <w:tc>
          <w:tcPr>
            <w:tcW w:w="821" w:type="pct"/>
            <w:tcBorders>
              <w:tl2br w:val="nil"/>
              <w:tr2bl w:val="nil"/>
            </w:tcBorders>
            <w:vAlign w:val="center"/>
          </w:tcPr>
          <w:p w14:paraId="60235EE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98. 99~144. 35</w:t>
            </w:r>
          </w:p>
        </w:tc>
        <w:tc>
          <w:tcPr>
            <w:tcW w:w="572" w:type="pct"/>
            <w:tcBorders>
              <w:tl2br w:val="nil"/>
              <w:tr2bl w:val="nil"/>
            </w:tcBorders>
            <w:vAlign w:val="center"/>
          </w:tcPr>
          <w:p w14:paraId="47FB935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89.9738</w:t>
            </w:r>
          </w:p>
        </w:tc>
        <w:tc>
          <w:tcPr>
            <w:tcW w:w="480" w:type="pct"/>
            <w:tcBorders>
              <w:tl2br w:val="nil"/>
              <w:tr2bl w:val="nil"/>
            </w:tcBorders>
            <w:vAlign w:val="center"/>
          </w:tcPr>
          <w:p w14:paraId="194F390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102.57</w:t>
            </w:r>
          </w:p>
        </w:tc>
        <w:tc>
          <w:tcPr>
            <w:tcW w:w="662" w:type="pct"/>
            <w:tcBorders>
              <w:tl2br w:val="nil"/>
              <w:tr2bl w:val="nil"/>
            </w:tcBorders>
            <w:vAlign w:val="center"/>
          </w:tcPr>
          <w:p w14:paraId="0F4BC10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color w:val="000000"/>
                <w:sz w:val="21"/>
                <w:szCs w:val="21"/>
              </w:rPr>
              <w:t>9228.61</w:t>
            </w:r>
          </w:p>
        </w:tc>
        <w:tc>
          <w:tcPr>
            <w:tcW w:w="592" w:type="pct"/>
            <w:vMerge w:val="restart"/>
            <w:tcBorders>
              <w:tl2br w:val="nil"/>
              <w:tr2bl w:val="nil"/>
            </w:tcBorders>
            <w:vAlign w:val="center"/>
          </w:tcPr>
          <w:p w14:paraId="6837CF5A" w14:textId="77777777" w:rsidR="009D12AF" w:rsidRDefault="00000000">
            <w:pPr>
              <w:widowControl/>
              <w:ind w:firstLineChars="0" w:firstLine="0"/>
              <w:jc w:val="center"/>
              <w:rPr>
                <w:rFonts w:ascii="Times New Roman" w:eastAsia="宋体" w:hAnsi="Times New Roman" w:cs="Times New Roman"/>
                <w:color w:val="000000"/>
                <w:sz w:val="21"/>
                <w:szCs w:val="21"/>
              </w:rPr>
            </w:pPr>
            <w:r>
              <w:rPr>
                <w:rFonts w:ascii="Times New Roman" w:eastAsia="宋体" w:hAnsi="Times New Roman" w:cs="Times New Roman"/>
                <w:color w:val="000000"/>
                <w:sz w:val="21"/>
                <w:szCs w:val="21"/>
              </w:rPr>
              <w:t>9949.19</w:t>
            </w:r>
          </w:p>
        </w:tc>
      </w:tr>
      <w:tr w:rsidR="009D12AF" w14:paraId="1604951E" w14:textId="77777777">
        <w:trPr>
          <w:trHeight w:val="23"/>
          <w:jc w:val="center"/>
        </w:trPr>
        <w:tc>
          <w:tcPr>
            <w:tcW w:w="971" w:type="pct"/>
            <w:vMerge/>
            <w:tcBorders>
              <w:tl2br w:val="nil"/>
              <w:tr2bl w:val="nil"/>
            </w:tcBorders>
            <w:vAlign w:val="center"/>
          </w:tcPr>
          <w:p w14:paraId="55771A4D" w14:textId="77777777" w:rsidR="009D12AF" w:rsidRDefault="009D12AF">
            <w:pPr>
              <w:widowControl/>
              <w:adjustRightInd w:val="0"/>
              <w:snapToGrid w:val="0"/>
              <w:ind w:firstLineChars="0" w:firstLine="0"/>
              <w:jc w:val="center"/>
              <w:rPr>
                <w:rFonts w:ascii="Times New Roman" w:eastAsia="宋体" w:hAnsi="Times New Roman" w:cs="Times New Roman"/>
                <w:kern w:val="0"/>
                <w:sz w:val="21"/>
                <w:szCs w:val="21"/>
              </w:rPr>
            </w:pPr>
          </w:p>
        </w:tc>
        <w:tc>
          <w:tcPr>
            <w:tcW w:w="898" w:type="pct"/>
            <w:tcBorders>
              <w:tl2br w:val="nil"/>
              <w:tr2bl w:val="nil"/>
            </w:tcBorders>
            <w:vAlign w:val="center"/>
          </w:tcPr>
          <w:p w14:paraId="5538EAF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二</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山杨林</w:t>
            </w:r>
          </w:p>
        </w:tc>
        <w:tc>
          <w:tcPr>
            <w:tcW w:w="821" w:type="pct"/>
            <w:tcBorders>
              <w:tl2br w:val="nil"/>
              <w:tr2bl w:val="nil"/>
            </w:tcBorders>
            <w:vAlign w:val="center"/>
          </w:tcPr>
          <w:p w14:paraId="0399F9C5"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35.71~84.27</w:t>
            </w:r>
          </w:p>
        </w:tc>
        <w:tc>
          <w:tcPr>
            <w:tcW w:w="572" w:type="pct"/>
            <w:tcBorders>
              <w:tl2br w:val="nil"/>
              <w:tr2bl w:val="nil"/>
            </w:tcBorders>
            <w:vAlign w:val="center"/>
          </w:tcPr>
          <w:p w14:paraId="450FA25A"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17.2429</w:t>
            </w:r>
          </w:p>
        </w:tc>
        <w:tc>
          <w:tcPr>
            <w:tcW w:w="480" w:type="pct"/>
            <w:tcBorders>
              <w:tl2br w:val="nil"/>
              <w:tr2bl w:val="nil"/>
            </w:tcBorders>
            <w:vAlign w:val="center"/>
          </w:tcPr>
          <w:p w14:paraId="03D441D9"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41.79</w:t>
            </w:r>
          </w:p>
        </w:tc>
        <w:tc>
          <w:tcPr>
            <w:tcW w:w="662" w:type="pct"/>
            <w:tcBorders>
              <w:tl2br w:val="nil"/>
              <w:tr2bl w:val="nil"/>
            </w:tcBorders>
            <w:vAlign w:val="center"/>
          </w:tcPr>
          <w:p w14:paraId="00EECB92" w14:textId="77777777" w:rsidR="009D12AF" w:rsidRDefault="00000000">
            <w:pPr>
              <w:widowControl/>
              <w:adjustRightInd w:val="0"/>
              <w:snapToGrid w:val="0"/>
              <w:ind w:firstLineChars="0" w:firstLine="0"/>
              <w:jc w:val="center"/>
              <w:rPr>
                <w:rFonts w:ascii="Times New Roman" w:eastAsia="等线" w:hAnsi="Times New Roman" w:cs="Times New Roman"/>
                <w:color w:val="000000"/>
                <w:sz w:val="21"/>
                <w:szCs w:val="21"/>
              </w:rPr>
            </w:pPr>
            <w:r>
              <w:rPr>
                <w:rFonts w:ascii="Times New Roman" w:eastAsia="宋体" w:hAnsi="Times New Roman" w:cs="Times New Roman"/>
                <w:color w:val="000000"/>
                <w:sz w:val="21"/>
                <w:szCs w:val="21"/>
              </w:rPr>
              <w:t>720.58</w:t>
            </w:r>
          </w:p>
        </w:tc>
        <w:tc>
          <w:tcPr>
            <w:tcW w:w="592" w:type="pct"/>
            <w:vMerge/>
            <w:tcBorders>
              <w:tl2br w:val="nil"/>
              <w:tr2bl w:val="nil"/>
            </w:tcBorders>
            <w:vAlign w:val="center"/>
          </w:tcPr>
          <w:p w14:paraId="64045A2E" w14:textId="77777777" w:rsidR="009D12AF" w:rsidRDefault="009D12AF">
            <w:pPr>
              <w:widowControl/>
              <w:adjustRightInd w:val="0"/>
              <w:snapToGrid w:val="0"/>
              <w:ind w:firstLineChars="0" w:firstLine="0"/>
              <w:jc w:val="center"/>
              <w:rPr>
                <w:rFonts w:ascii="Times New Roman" w:eastAsia="宋体" w:hAnsi="Times New Roman" w:cs="Times New Roman"/>
                <w:kern w:val="0"/>
                <w:sz w:val="21"/>
                <w:szCs w:val="21"/>
              </w:rPr>
            </w:pPr>
          </w:p>
        </w:tc>
      </w:tr>
      <w:tr w:rsidR="009D12AF" w14:paraId="0745EBAE" w14:textId="77777777">
        <w:trPr>
          <w:trHeight w:val="23"/>
          <w:jc w:val="center"/>
        </w:trPr>
        <w:tc>
          <w:tcPr>
            <w:tcW w:w="971" w:type="pct"/>
            <w:vMerge w:val="restart"/>
            <w:tcBorders>
              <w:tl2br w:val="nil"/>
              <w:tr2bl w:val="nil"/>
            </w:tcBorders>
            <w:vAlign w:val="center"/>
          </w:tcPr>
          <w:p w14:paraId="48D96F3F"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二、针叶林</w:t>
            </w:r>
          </w:p>
        </w:tc>
        <w:tc>
          <w:tcPr>
            <w:tcW w:w="898" w:type="pct"/>
            <w:tcBorders>
              <w:tl2br w:val="nil"/>
              <w:tr2bl w:val="nil"/>
            </w:tcBorders>
            <w:vAlign w:val="center"/>
          </w:tcPr>
          <w:p w14:paraId="588DAB7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三</w:t>
            </w:r>
            <w:r>
              <w:rPr>
                <w:rFonts w:ascii="Times New Roman" w:eastAsia="宋体" w:hAnsi="Times New Roman" w:cs="Times New Roman"/>
                <w:kern w:val="0"/>
                <w:sz w:val="21"/>
                <w:szCs w:val="21"/>
              </w:rPr>
              <w:t>)</w:t>
            </w:r>
            <w:r>
              <w:rPr>
                <w:rFonts w:ascii="Times New Roman" w:eastAsia="等线" w:hAnsi="Times New Roman" w:cs="Times New Roman"/>
                <w:sz w:val="21"/>
                <w:szCs w:val="21"/>
              </w:rPr>
              <w:t xml:space="preserve"> </w:t>
            </w:r>
            <w:r>
              <w:rPr>
                <w:rFonts w:ascii="Times New Roman" w:eastAsia="宋体" w:hAnsi="Times New Roman" w:cs="Times New Roman"/>
                <w:kern w:val="0"/>
                <w:sz w:val="21"/>
                <w:szCs w:val="21"/>
              </w:rPr>
              <w:t>兴安落叶松林</w:t>
            </w:r>
          </w:p>
        </w:tc>
        <w:tc>
          <w:tcPr>
            <w:tcW w:w="821" w:type="pct"/>
            <w:tcBorders>
              <w:tl2br w:val="nil"/>
              <w:tr2bl w:val="nil"/>
            </w:tcBorders>
            <w:vAlign w:val="center"/>
          </w:tcPr>
          <w:p w14:paraId="4DF6C293"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34.56~285.96</w:t>
            </w:r>
          </w:p>
        </w:tc>
        <w:tc>
          <w:tcPr>
            <w:tcW w:w="572" w:type="pct"/>
            <w:tcBorders>
              <w:tl2br w:val="nil"/>
              <w:tr2bl w:val="nil"/>
            </w:tcBorders>
            <w:vAlign w:val="center"/>
          </w:tcPr>
          <w:p w14:paraId="0E9367E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216.2587</w:t>
            </w:r>
          </w:p>
        </w:tc>
        <w:tc>
          <w:tcPr>
            <w:tcW w:w="480" w:type="pct"/>
            <w:tcBorders>
              <w:tl2br w:val="nil"/>
              <w:tr2bl w:val="nil"/>
            </w:tcBorders>
            <w:vAlign w:val="center"/>
          </w:tcPr>
          <w:p w14:paraId="4805F55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69.13</w:t>
            </w:r>
          </w:p>
        </w:tc>
        <w:tc>
          <w:tcPr>
            <w:tcW w:w="662" w:type="pct"/>
            <w:tcBorders>
              <w:tl2br w:val="nil"/>
              <w:tr2bl w:val="nil"/>
            </w:tcBorders>
            <w:vAlign w:val="center"/>
          </w:tcPr>
          <w:p w14:paraId="27A1DE1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color w:val="000000"/>
                <w:sz w:val="21"/>
                <w:szCs w:val="21"/>
              </w:rPr>
              <w:t>14949.96</w:t>
            </w:r>
          </w:p>
        </w:tc>
        <w:tc>
          <w:tcPr>
            <w:tcW w:w="592" w:type="pct"/>
            <w:vMerge w:val="restart"/>
            <w:tcBorders>
              <w:tl2br w:val="nil"/>
              <w:tr2bl w:val="nil"/>
            </w:tcBorders>
            <w:vAlign w:val="center"/>
          </w:tcPr>
          <w:p w14:paraId="07D16615" w14:textId="77777777" w:rsidR="009D12AF" w:rsidRDefault="00000000">
            <w:pPr>
              <w:widowControl/>
              <w:ind w:firstLineChars="0" w:firstLine="0"/>
              <w:jc w:val="center"/>
              <w:rPr>
                <w:rFonts w:ascii="Times New Roman" w:eastAsia="宋体" w:hAnsi="Times New Roman" w:cs="Times New Roman"/>
                <w:color w:val="000000"/>
                <w:sz w:val="21"/>
                <w:szCs w:val="21"/>
              </w:rPr>
            </w:pPr>
            <w:r>
              <w:rPr>
                <w:rFonts w:ascii="Times New Roman" w:eastAsia="宋体" w:hAnsi="Times New Roman" w:cs="Times New Roman"/>
                <w:color w:val="000000"/>
                <w:sz w:val="21"/>
                <w:szCs w:val="21"/>
              </w:rPr>
              <w:t>16197.35</w:t>
            </w:r>
          </w:p>
        </w:tc>
      </w:tr>
      <w:tr w:rsidR="009D12AF" w14:paraId="6785A612" w14:textId="77777777">
        <w:trPr>
          <w:trHeight w:val="23"/>
          <w:jc w:val="center"/>
        </w:trPr>
        <w:tc>
          <w:tcPr>
            <w:tcW w:w="971" w:type="pct"/>
            <w:vMerge/>
            <w:tcBorders>
              <w:tl2br w:val="nil"/>
              <w:tr2bl w:val="nil"/>
            </w:tcBorders>
            <w:vAlign w:val="center"/>
          </w:tcPr>
          <w:p w14:paraId="206F2098" w14:textId="77777777" w:rsidR="009D12AF" w:rsidRDefault="009D12AF">
            <w:pPr>
              <w:widowControl/>
              <w:adjustRightInd w:val="0"/>
              <w:snapToGrid w:val="0"/>
              <w:ind w:firstLineChars="0" w:firstLine="0"/>
              <w:jc w:val="center"/>
              <w:rPr>
                <w:rFonts w:ascii="Times New Roman" w:eastAsia="宋体" w:hAnsi="Times New Roman" w:cs="Times New Roman"/>
                <w:kern w:val="0"/>
                <w:sz w:val="21"/>
                <w:szCs w:val="21"/>
              </w:rPr>
            </w:pPr>
          </w:p>
        </w:tc>
        <w:tc>
          <w:tcPr>
            <w:tcW w:w="898" w:type="pct"/>
            <w:tcBorders>
              <w:tl2br w:val="nil"/>
              <w:tr2bl w:val="nil"/>
            </w:tcBorders>
            <w:vAlign w:val="center"/>
          </w:tcPr>
          <w:p w14:paraId="62422B6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四</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樟子松林</w:t>
            </w:r>
          </w:p>
        </w:tc>
        <w:tc>
          <w:tcPr>
            <w:tcW w:w="821" w:type="pct"/>
            <w:tcBorders>
              <w:tl2br w:val="nil"/>
              <w:tr2bl w:val="nil"/>
            </w:tcBorders>
            <w:vAlign w:val="center"/>
          </w:tcPr>
          <w:p w14:paraId="1F87F38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37. 67~50.06</w:t>
            </w:r>
          </w:p>
        </w:tc>
        <w:tc>
          <w:tcPr>
            <w:tcW w:w="572" w:type="pct"/>
            <w:tcBorders>
              <w:tl2br w:val="nil"/>
              <w:tr2bl w:val="nil"/>
            </w:tcBorders>
            <w:vAlign w:val="center"/>
          </w:tcPr>
          <w:p w14:paraId="3D952A4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31.4678</w:t>
            </w:r>
          </w:p>
        </w:tc>
        <w:tc>
          <w:tcPr>
            <w:tcW w:w="480" w:type="pct"/>
            <w:tcBorders>
              <w:tl2br w:val="nil"/>
              <w:tr2bl w:val="nil"/>
            </w:tcBorders>
            <w:vAlign w:val="center"/>
          </w:tcPr>
          <w:p w14:paraId="1E82AE4C"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39.64</w:t>
            </w:r>
          </w:p>
        </w:tc>
        <w:tc>
          <w:tcPr>
            <w:tcW w:w="662" w:type="pct"/>
            <w:tcBorders>
              <w:tl2br w:val="nil"/>
              <w:tr2bl w:val="nil"/>
            </w:tcBorders>
            <w:vAlign w:val="center"/>
          </w:tcPr>
          <w:p w14:paraId="1665534F" w14:textId="77777777" w:rsidR="009D12AF" w:rsidRDefault="00000000">
            <w:pPr>
              <w:widowControl/>
              <w:adjustRightInd w:val="0"/>
              <w:snapToGrid w:val="0"/>
              <w:ind w:firstLineChars="0" w:firstLine="0"/>
              <w:jc w:val="center"/>
              <w:rPr>
                <w:rFonts w:ascii="Times New Roman" w:eastAsia="等线" w:hAnsi="Times New Roman" w:cs="Times New Roman"/>
                <w:color w:val="000000"/>
                <w:sz w:val="21"/>
                <w:szCs w:val="21"/>
              </w:rPr>
            </w:pPr>
            <w:r>
              <w:rPr>
                <w:rFonts w:ascii="Times New Roman" w:eastAsia="宋体" w:hAnsi="Times New Roman" w:cs="Times New Roman"/>
                <w:color w:val="000000"/>
                <w:sz w:val="21"/>
                <w:szCs w:val="21"/>
              </w:rPr>
              <w:t>1247.38</w:t>
            </w:r>
          </w:p>
        </w:tc>
        <w:tc>
          <w:tcPr>
            <w:tcW w:w="592" w:type="pct"/>
            <w:vMerge/>
            <w:tcBorders>
              <w:tl2br w:val="nil"/>
              <w:tr2bl w:val="nil"/>
            </w:tcBorders>
            <w:vAlign w:val="center"/>
          </w:tcPr>
          <w:p w14:paraId="4839ABEE" w14:textId="77777777" w:rsidR="009D12AF" w:rsidRDefault="009D12AF">
            <w:pPr>
              <w:widowControl/>
              <w:adjustRightInd w:val="0"/>
              <w:snapToGrid w:val="0"/>
              <w:ind w:firstLineChars="0" w:firstLine="0"/>
              <w:jc w:val="center"/>
              <w:rPr>
                <w:rFonts w:ascii="Times New Roman" w:eastAsia="宋体" w:hAnsi="Times New Roman" w:cs="Times New Roman"/>
                <w:kern w:val="0"/>
                <w:sz w:val="21"/>
                <w:szCs w:val="21"/>
              </w:rPr>
            </w:pPr>
          </w:p>
        </w:tc>
      </w:tr>
      <w:tr w:rsidR="009D12AF" w14:paraId="6911A65E" w14:textId="77777777">
        <w:trPr>
          <w:trHeight w:val="23"/>
          <w:jc w:val="center"/>
        </w:trPr>
        <w:tc>
          <w:tcPr>
            <w:tcW w:w="971" w:type="pct"/>
            <w:tcBorders>
              <w:tl2br w:val="nil"/>
              <w:tr2bl w:val="nil"/>
            </w:tcBorders>
            <w:vAlign w:val="center"/>
          </w:tcPr>
          <w:p w14:paraId="0D40EDD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三、草甸</w:t>
            </w:r>
          </w:p>
        </w:tc>
        <w:tc>
          <w:tcPr>
            <w:tcW w:w="898" w:type="pct"/>
            <w:tcBorders>
              <w:tl2br w:val="nil"/>
              <w:tr2bl w:val="nil"/>
            </w:tcBorders>
            <w:vAlign w:val="center"/>
          </w:tcPr>
          <w:p w14:paraId="0EF1EB4A" w14:textId="77777777" w:rsidR="009D12AF" w:rsidRDefault="00000000">
            <w:pPr>
              <w:widowControl/>
              <w:adjustRightInd w:val="0"/>
              <w:snapToGrid w:val="0"/>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spacing w:val="6"/>
                <w:kern w:val="0"/>
                <w:sz w:val="21"/>
                <w:szCs w:val="21"/>
              </w:rPr>
              <w:t>(</w:t>
            </w:r>
            <w:r>
              <w:rPr>
                <w:rFonts w:ascii="Times New Roman" w:eastAsia="宋体" w:hAnsi="Times New Roman" w:cs="Times New Roman"/>
                <w:spacing w:val="6"/>
                <w:kern w:val="0"/>
                <w:sz w:val="21"/>
                <w:szCs w:val="21"/>
              </w:rPr>
              <w:t>五</w:t>
            </w:r>
            <w:r>
              <w:rPr>
                <w:rFonts w:ascii="Times New Roman" w:eastAsia="宋体" w:hAnsi="Times New Roman" w:cs="Times New Roman"/>
                <w:spacing w:val="6"/>
                <w:kern w:val="0"/>
                <w:sz w:val="21"/>
                <w:szCs w:val="21"/>
              </w:rPr>
              <w:t>)</w:t>
            </w:r>
            <w:r>
              <w:rPr>
                <w:rFonts w:ascii="Times New Roman" w:eastAsia="等线" w:hAnsi="Times New Roman" w:cs="Times New Roman"/>
                <w:sz w:val="21"/>
                <w:szCs w:val="21"/>
              </w:rPr>
              <w:t xml:space="preserve"> </w:t>
            </w:r>
            <w:r>
              <w:rPr>
                <w:rFonts w:ascii="Times New Roman" w:eastAsia="宋体" w:hAnsi="Times New Roman" w:cs="Times New Roman" w:hint="eastAsia"/>
                <w:spacing w:val="6"/>
                <w:kern w:val="0"/>
                <w:sz w:val="21"/>
                <w:szCs w:val="21"/>
              </w:rPr>
              <w:t>杂类草</w:t>
            </w:r>
            <w:r>
              <w:rPr>
                <w:rFonts w:ascii="Times New Roman" w:eastAsia="宋体" w:hAnsi="Times New Roman" w:cs="Times New Roman"/>
                <w:spacing w:val="6"/>
                <w:kern w:val="0"/>
                <w:sz w:val="21"/>
                <w:szCs w:val="21"/>
              </w:rPr>
              <w:t>草甸</w:t>
            </w:r>
          </w:p>
        </w:tc>
        <w:tc>
          <w:tcPr>
            <w:tcW w:w="821" w:type="pct"/>
            <w:tcBorders>
              <w:tl2br w:val="nil"/>
              <w:tr2bl w:val="nil"/>
            </w:tcBorders>
            <w:vAlign w:val="center"/>
          </w:tcPr>
          <w:p w14:paraId="71DC2B9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p>
        </w:tc>
        <w:tc>
          <w:tcPr>
            <w:tcW w:w="572" w:type="pct"/>
            <w:tcBorders>
              <w:tl2br w:val="nil"/>
              <w:tr2bl w:val="nil"/>
            </w:tcBorders>
            <w:vAlign w:val="center"/>
          </w:tcPr>
          <w:p w14:paraId="2681BC37"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59.6543</w:t>
            </w:r>
          </w:p>
        </w:tc>
        <w:tc>
          <w:tcPr>
            <w:tcW w:w="480" w:type="pct"/>
            <w:tcBorders>
              <w:tl2br w:val="nil"/>
              <w:tr2bl w:val="nil"/>
            </w:tcBorders>
            <w:vAlign w:val="center"/>
          </w:tcPr>
          <w:p w14:paraId="5A1E5AD4"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6.79</w:t>
            </w:r>
          </w:p>
        </w:tc>
        <w:tc>
          <w:tcPr>
            <w:tcW w:w="662" w:type="pct"/>
            <w:tcBorders>
              <w:tl2br w:val="nil"/>
              <w:tr2bl w:val="nil"/>
            </w:tcBorders>
            <w:vAlign w:val="center"/>
          </w:tcPr>
          <w:p w14:paraId="598F507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color w:val="000000"/>
                <w:sz w:val="21"/>
                <w:szCs w:val="21"/>
              </w:rPr>
              <w:t>405.05</w:t>
            </w:r>
          </w:p>
        </w:tc>
        <w:tc>
          <w:tcPr>
            <w:tcW w:w="592" w:type="pct"/>
            <w:tcBorders>
              <w:tl2br w:val="nil"/>
              <w:tr2bl w:val="nil"/>
            </w:tcBorders>
            <w:vAlign w:val="center"/>
          </w:tcPr>
          <w:p w14:paraId="6A0F53E0"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405.05</w:t>
            </w:r>
          </w:p>
        </w:tc>
      </w:tr>
      <w:tr w:rsidR="009D12AF" w14:paraId="5B7BE264" w14:textId="77777777">
        <w:trPr>
          <w:trHeight w:val="23"/>
          <w:jc w:val="center"/>
        </w:trPr>
        <w:tc>
          <w:tcPr>
            <w:tcW w:w="971" w:type="pct"/>
            <w:tcBorders>
              <w:tl2br w:val="nil"/>
              <w:tr2bl w:val="nil"/>
            </w:tcBorders>
            <w:vAlign w:val="center"/>
          </w:tcPr>
          <w:p w14:paraId="652856D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四、耕地</w:t>
            </w:r>
          </w:p>
        </w:tc>
        <w:tc>
          <w:tcPr>
            <w:tcW w:w="898" w:type="pct"/>
            <w:tcBorders>
              <w:tl2br w:val="nil"/>
              <w:tr2bl w:val="nil"/>
            </w:tcBorders>
            <w:vAlign w:val="center"/>
          </w:tcPr>
          <w:p w14:paraId="579939A5" w14:textId="77777777" w:rsidR="009D12AF" w:rsidRDefault="00000000">
            <w:pPr>
              <w:widowControl/>
              <w:adjustRightInd w:val="0"/>
              <w:snapToGrid w:val="0"/>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spacing w:val="6"/>
                <w:kern w:val="0"/>
                <w:sz w:val="21"/>
                <w:szCs w:val="21"/>
              </w:rPr>
              <w:t>(</w:t>
            </w:r>
            <w:r>
              <w:rPr>
                <w:rFonts w:ascii="Times New Roman" w:eastAsia="宋体" w:hAnsi="Times New Roman" w:cs="Times New Roman"/>
                <w:spacing w:val="6"/>
                <w:kern w:val="0"/>
                <w:sz w:val="21"/>
                <w:szCs w:val="21"/>
              </w:rPr>
              <w:t>六</w:t>
            </w:r>
            <w:r>
              <w:rPr>
                <w:rFonts w:ascii="Times New Roman" w:eastAsia="宋体" w:hAnsi="Times New Roman" w:cs="Times New Roman"/>
                <w:spacing w:val="6"/>
                <w:kern w:val="0"/>
                <w:sz w:val="21"/>
                <w:szCs w:val="21"/>
              </w:rPr>
              <w:t>)</w:t>
            </w:r>
            <w:r>
              <w:rPr>
                <w:rFonts w:ascii="Times New Roman" w:eastAsia="宋体" w:hAnsi="Times New Roman" w:cs="Times New Roman"/>
                <w:spacing w:val="6"/>
                <w:kern w:val="0"/>
                <w:sz w:val="21"/>
                <w:szCs w:val="21"/>
              </w:rPr>
              <w:t>农作物</w:t>
            </w:r>
          </w:p>
        </w:tc>
        <w:tc>
          <w:tcPr>
            <w:tcW w:w="821" w:type="pct"/>
            <w:tcBorders>
              <w:tl2br w:val="nil"/>
              <w:tr2bl w:val="nil"/>
            </w:tcBorders>
            <w:vAlign w:val="center"/>
          </w:tcPr>
          <w:p w14:paraId="2C455538"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15.848</w:t>
            </w:r>
          </w:p>
        </w:tc>
        <w:tc>
          <w:tcPr>
            <w:tcW w:w="572" w:type="pct"/>
            <w:tcBorders>
              <w:tl2br w:val="nil"/>
              <w:tr2bl w:val="nil"/>
            </w:tcBorders>
            <w:vAlign w:val="center"/>
          </w:tcPr>
          <w:p w14:paraId="7AE31CDB"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281.10</w:t>
            </w:r>
          </w:p>
        </w:tc>
        <w:tc>
          <w:tcPr>
            <w:tcW w:w="480" w:type="pct"/>
            <w:tcBorders>
              <w:tl2br w:val="nil"/>
              <w:tr2bl w:val="nil"/>
            </w:tcBorders>
            <w:vAlign w:val="center"/>
          </w:tcPr>
          <w:p w14:paraId="75D703C1"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15.848</w:t>
            </w:r>
          </w:p>
        </w:tc>
        <w:tc>
          <w:tcPr>
            <w:tcW w:w="662" w:type="pct"/>
            <w:tcBorders>
              <w:tl2br w:val="nil"/>
              <w:tr2bl w:val="nil"/>
            </w:tcBorders>
            <w:vAlign w:val="center"/>
          </w:tcPr>
          <w:p w14:paraId="54B7E93D"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w:t>
            </w:r>
            <w:r>
              <w:rPr>
                <w:rFonts w:ascii="Times New Roman" w:eastAsia="宋体" w:hAnsi="Times New Roman" w:cs="Times New Roman"/>
                <w:kern w:val="0"/>
                <w:sz w:val="21"/>
                <w:szCs w:val="21"/>
              </w:rPr>
              <w:t>454.87</w:t>
            </w:r>
          </w:p>
        </w:tc>
        <w:tc>
          <w:tcPr>
            <w:tcW w:w="592" w:type="pct"/>
            <w:tcBorders>
              <w:tl2br w:val="nil"/>
              <w:tr2bl w:val="nil"/>
            </w:tcBorders>
            <w:vAlign w:val="center"/>
          </w:tcPr>
          <w:p w14:paraId="2E7BB92E" w14:textId="77777777" w:rsidR="009D12AF" w:rsidRDefault="00000000">
            <w:pPr>
              <w:widowControl/>
              <w:adjustRightInd w:val="0"/>
              <w:snapToGrid w:val="0"/>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4454.87</w:t>
            </w:r>
          </w:p>
        </w:tc>
      </w:tr>
    </w:tbl>
    <w:p w14:paraId="3AA8F783" w14:textId="77777777" w:rsidR="009D12AF" w:rsidRDefault="00000000">
      <w:pPr>
        <w:ind w:firstLine="360"/>
        <w:jc w:val="left"/>
        <w:rPr>
          <w:rFonts w:ascii="Arial" w:eastAsia="宋体" w:hAnsi="Arial" w:cs="Times New Roman"/>
          <w:sz w:val="18"/>
          <w:szCs w:val="18"/>
        </w:rPr>
      </w:pPr>
      <w:r>
        <w:rPr>
          <w:rFonts w:ascii="Arial" w:eastAsia="宋体" w:hAnsi="Arial" w:cs="Times New Roman" w:hint="eastAsia"/>
          <w:sz w:val="18"/>
          <w:szCs w:val="18"/>
        </w:rPr>
        <w:t>注：</w:t>
      </w:r>
      <w:r>
        <w:rPr>
          <w:rFonts w:ascii="Arial" w:eastAsia="宋体" w:hAnsi="Arial" w:cs="Times New Roman"/>
          <w:sz w:val="18"/>
          <w:szCs w:val="18"/>
        </w:rPr>
        <w:t>各植被类型生物量特征或平均生物量数据来源于</w:t>
      </w:r>
      <w:r>
        <w:rPr>
          <w:rFonts w:ascii="Arial" w:eastAsia="宋体" w:hAnsi="Arial" w:cs="Times New Roman" w:hint="eastAsia"/>
          <w:sz w:val="18"/>
          <w:szCs w:val="18"/>
        </w:rPr>
        <w:t>《中国森林生态系统的生物量和生产力》</w:t>
      </w:r>
      <w:r>
        <w:rPr>
          <w:rFonts w:ascii="Arial" w:eastAsia="宋体" w:hAnsi="Arial" w:cs="Times New Roman" w:hint="eastAsia"/>
          <w:sz w:val="18"/>
          <w:szCs w:val="18"/>
        </w:rPr>
        <w:t>(</w:t>
      </w:r>
      <w:r>
        <w:rPr>
          <w:rFonts w:ascii="Arial" w:eastAsia="宋体" w:hAnsi="Arial" w:cs="Times New Roman" w:hint="eastAsia"/>
          <w:sz w:val="18"/>
          <w:szCs w:val="18"/>
        </w:rPr>
        <w:t>冯宗炜等，</w:t>
      </w:r>
      <w:r>
        <w:rPr>
          <w:rFonts w:ascii="Arial" w:eastAsia="宋体" w:hAnsi="Arial" w:cs="Times New Roman" w:hint="eastAsia"/>
          <w:sz w:val="18"/>
          <w:szCs w:val="18"/>
        </w:rPr>
        <w:t>1999)</w:t>
      </w:r>
      <w:r>
        <w:rPr>
          <w:rFonts w:ascii="Arial" w:eastAsia="宋体" w:hAnsi="Arial" w:cs="Times New Roman" w:hint="eastAsia"/>
          <w:sz w:val="18"/>
          <w:szCs w:val="18"/>
        </w:rPr>
        <w:t>；《我国森林植被的生物量和净生产力》</w:t>
      </w:r>
      <w:r>
        <w:rPr>
          <w:rFonts w:ascii="Arial" w:eastAsia="宋体" w:hAnsi="Arial" w:cs="Times New Roman" w:hint="eastAsia"/>
          <w:sz w:val="18"/>
          <w:szCs w:val="18"/>
        </w:rPr>
        <w:t>(</w:t>
      </w:r>
      <w:r>
        <w:rPr>
          <w:rFonts w:ascii="Arial" w:eastAsia="宋体" w:hAnsi="Arial" w:cs="Times New Roman" w:hint="eastAsia"/>
          <w:sz w:val="18"/>
          <w:szCs w:val="18"/>
        </w:rPr>
        <w:t>方精云等，</w:t>
      </w:r>
      <w:r>
        <w:rPr>
          <w:rFonts w:ascii="Arial" w:eastAsia="宋体" w:hAnsi="Arial" w:cs="Times New Roman" w:hint="eastAsia"/>
          <w:sz w:val="18"/>
          <w:szCs w:val="18"/>
        </w:rPr>
        <w:t>1996)</w:t>
      </w:r>
      <w:r>
        <w:rPr>
          <w:rFonts w:ascii="Arial" w:eastAsia="宋体" w:hAnsi="Arial" w:cs="Times New Roman" w:hint="eastAsia"/>
          <w:sz w:val="18"/>
          <w:szCs w:val="18"/>
        </w:rPr>
        <w:t>。</w:t>
      </w:r>
    </w:p>
    <w:p w14:paraId="7F2C269E" w14:textId="77777777" w:rsidR="009D12AF" w:rsidRDefault="00000000">
      <w:pPr>
        <w:widowControl/>
        <w:ind w:firstLine="480"/>
        <w:jc w:val="left"/>
        <w:rPr>
          <w:rFonts w:ascii="Arial" w:eastAsia="宋体" w:hAnsi="Arial" w:cs="Times New Roman"/>
        </w:rPr>
      </w:pPr>
      <w:r>
        <w:rPr>
          <w:rFonts w:ascii="Times New Roman" w:eastAsia="宋体" w:hAnsi="Times New Roman" w:cs="Times New Roman" w:hint="eastAsia"/>
          <w:kern w:val="0"/>
        </w:rPr>
        <w:t>从上表可以观察到评价范围内林地的生物量总值为</w:t>
      </w:r>
      <w:r>
        <w:rPr>
          <w:rFonts w:ascii="Times New Roman" w:eastAsia="宋体" w:hAnsi="Times New Roman" w:cs="Times New Roman" w:hint="eastAsia"/>
          <w:kern w:val="0"/>
        </w:rPr>
        <w:t>26146.54t</w:t>
      </w:r>
      <w:r>
        <w:rPr>
          <w:rFonts w:ascii="Times New Roman" w:eastAsia="宋体" w:hAnsi="Times New Roman" w:cs="Times New Roman" w:hint="eastAsia"/>
          <w:kern w:val="0"/>
        </w:rPr>
        <w:t>，单位面积上的平均生物量达到</w:t>
      </w:r>
      <w:r>
        <w:rPr>
          <w:rFonts w:ascii="Times New Roman" w:eastAsia="宋体" w:hAnsi="Times New Roman" w:cs="Times New Roman" w:hint="eastAsia"/>
          <w:kern w:val="0"/>
        </w:rPr>
        <w:t>73.66t/hm</w:t>
      </w:r>
      <w:r>
        <w:rPr>
          <w:rFonts w:ascii="Times New Roman" w:eastAsia="宋体" w:hAnsi="Times New Roman" w:cs="Times New Roman" w:hint="eastAsia"/>
          <w:kern w:val="0"/>
        </w:rPr>
        <w:t>²；草甸的生物量为</w:t>
      </w:r>
      <w:r>
        <w:rPr>
          <w:rFonts w:ascii="Times New Roman" w:eastAsia="宋体" w:hAnsi="Times New Roman" w:cs="Times New Roman" w:hint="eastAsia"/>
          <w:kern w:val="0"/>
        </w:rPr>
        <w:t>405.05t</w:t>
      </w:r>
      <w:r>
        <w:rPr>
          <w:rFonts w:ascii="Times New Roman" w:eastAsia="宋体" w:hAnsi="Times New Roman" w:cs="Times New Roman" w:hint="eastAsia"/>
          <w:kern w:val="0"/>
        </w:rPr>
        <w:t>；农作物的生物量为</w:t>
      </w:r>
      <w:r>
        <w:rPr>
          <w:rFonts w:ascii="Times New Roman" w:eastAsia="宋体" w:hAnsi="Times New Roman" w:cs="Times New Roman" w:hint="eastAsia"/>
          <w:kern w:val="0"/>
        </w:rPr>
        <w:t>4454.87t</w:t>
      </w:r>
      <w:r>
        <w:rPr>
          <w:rFonts w:ascii="Times New Roman" w:eastAsia="宋体" w:hAnsi="Times New Roman" w:cs="Times New Roman" w:hint="eastAsia"/>
          <w:kern w:val="0"/>
        </w:rPr>
        <w:t>。</w:t>
      </w:r>
    </w:p>
    <w:p w14:paraId="5BD266EB" w14:textId="77777777" w:rsidR="009D12AF" w:rsidRDefault="00000000">
      <w:pPr>
        <w:widowControl/>
        <w:ind w:firstLine="480"/>
        <w:jc w:val="left"/>
        <w:rPr>
          <w:rFonts w:ascii="Arial" w:eastAsia="宋体" w:hAnsi="Arial" w:cs="Times New Roman"/>
        </w:rPr>
      </w:pPr>
      <w:r>
        <w:rPr>
          <w:rFonts w:ascii="Arial" w:eastAsia="宋体" w:hAnsi="Arial" w:cs="Times New Roman" w:hint="eastAsia"/>
        </w:rPr>
        <w:t>综上所述，该地森林植物生长极为茂盛，森林病虫害发生较少，这些均反映出植被群落的类型和发育特点与当地的气候和地理特征相适应，因此可以判定项目调查范围内生态体系有较强的生态承载能力，对于一定限度的人为干扰，其恢复稳定性较强。从草本层面进行观察，草本层植被的群落类型和发育特点与当地</w:t>
      </w:r>
      <w:r>
        <w:rPr>
          <w:rFonts w:ascii="Arial" w:eastAsia="宋体" w:hAnsi="Arial" w:cs="Times New Roman" w:hint="eastAsia"/>
        </w:rPr>
        <w:lastRenderedPageBreak/>
        <w:t>的气候与地质特征相适应，结构稳定。此外，在面对人为扰动时，生态系统也具有一定的自行恢复能力，故项目调查范围区域生态体系有较强的生态承载能力。</w:t>
      </w:r>
    </w:p>
    <w:p w14:paraId="31C33863" w14:textId="77777777" w:rsidR="009D12AF" w:rsidRDefault="00000000">
      <w:pPr>
        <w:widowControl/>
        <w:ind w:firstLine="480"/>
        <w:jc w:val="left"/>
        <w:rPr>
          <w:rFonts w:ascii="Arial" w:eastAsia="宋体" w:hAnsi="Arial" w:cs="Times New Roman"/>
        </w:rPr>
      </w:pPr>
      <w:r>
        <w:rPr>
          <w:rFonts w:ascii="Arial" w:eastAsia="宋体" w:hAnsi="Arial" w:cs="Times New Roman" w:hint="eastAsia"/>
        </w:rPr>
        <w:t>六、生产力现状</w:t>
      </w:r>
    </w:p>
    <w:p w14:paraId="295700D6" w14:textId="77777777" w:rsidR="009D12AF" w:rsidRDefault="00000000">
      <w:pPr>
        <w:widowControl/>
        <w:wordWrap w:val="0"/>
        <w:ind w:firstLine="480"/>
        <w:jc w:val="left"/>
        <w:rPr>
          <w:rFonts w:ascii="Times New Roman" w:eastAsia="宋体" w:hAnsi="Times New Roman" w:cs="Times New Roman"/>
          <w:kern w:val="0"/>
        </w:rPr>
      </w:pPr>
      <w:r>
        <w:rPr>
          <w:rFonts w:ascii="Times New Roman" w:eastAsia="宋体" w:hAnsi="Times New Roman" w:cs="Times New Roman" w:hint="eastAsia"/>
          <w:kern w:val="0"/>
        </w:rPr>
        <w:t>依据生态系统生产力评价的数据与实地调查、收集的现状资料，采用《环境影响评价技术导则</w:t>
      </w:r>
      <w:r>
        <w:rPr>
          <w:rFonts w:ascii="Times New Roman" w:eastAsia="宋体" w:hAnsi="Times New Roman" w:cs="Times New Roman" w:hint="eastAsia"/>
          <w:kern w:val="0"/>
        </w:rPr>
        <w:t xml:space="preserve">  </w:t>
      </w:r>
      <w:r>
        <w:rPr>
          <w:rFonts w:ascii="Times New Roman" w:eastAsia="宋体" w:hAnsi="Times New Roman" w:cs="Times New Roman" w:hint="eastAsia"/>
          <w:kern w:val="0"/>
        </w:rPr>
        <w:t>生态影响》</w:t>
      </w:r>
      <w:r>
        <w:rPr>
          <w:rFonts w:ascii="Times New Roman" w:eastAsia="宋体" w:hAnsi="Times New Roman" w:cs="Times New Roman" w:hint="eastAsia"/>
          <w:kern w:val="0"/>
        </w:rPr>
        <w:t>(HJ19-2022)</w:t>
      </w:r>
      <w:r>
        <w:rPr>
          <w:rFonts w:ascii="Times New Roman" w:eastAsia="宋体" w:hAnsi="Times New Roman" w:cs="Times New Roman" w:hint="eastAsia"/>
          <w:kern w:val="0"/>
        </w:rPr>
        <w:t>附录</w:t>
      </w:r>
      <w:r>
        <w:rPr>
          <w:rFonts w:ascii="Times New Roman" w:eastAsia="宋体" w:hAnsi="Times New Roman" w:cs="Times New Roman" w:hint="eastAsia"/>
          <w:kern w:val="0"/>
        </w:rPr>
        <w:t>C</w:t>
      </w:r>
      <w:r>
        <w:rPr>
          <w:rFonts w:ascii="Times New Roman" w:eastAsia="宋体" w:hAnsi="Times New Roman" w:cs="Times New Roman" w:hint="eastAsia"/>
          <w:kern w:val="0"/>
        </w:rPr>
        <w:t>中推荐的</w:t>
      </w:r>
      <w:r>
        <w:rPr>
          <w:rFonts w:ascii="Times New Roman" w:eastAsia="宋体" w:hAnsi="Times New Roman" w:cs="Times New Roman" w:hint="eastAsia"/>
          <w:kern w:val="0"/>
        </w:rPr>
        <w:t>Miami</w:t>
      </w:r>
      <w:r>
        <w:rPr>
          <w:rFonts w:ascii="Times New Roman" w:eastAsia="宋体" w:hAnsi="Times New Roman" w:cs="Times New Roman" w:hint="eastAsia"/>
          <w:kern w:val="0"/>
        </w:rPr>
        <w:t>统计模型，计算项目调查范围植物热量生产力为</w:t>
      </w:r>
      <w:r>
        <w:rPr>
          <w:rFonts w:ascii="Times New Roman" w:eastAsia="宋体" w:hAnsi="Times New Roman" w:cs="Times New Roman" w:hint="eastAsia"/>
          <w:kern w:val="0"/>
        </w:rPr>
        <w:t>943.28 g/m</w:t>
      </w:r>
      <w:r>
        <w:rPr>
          <w:rFonts w:ascii="Times New Roman" w:eastAsia="宋体" w:hAnsi="Times New Roman" w:cs="Times New Roman" w:hint="eastAsia"/>
          <w:kern w:val="0"/>
          <w:vertAlign w:val="superscript"/>
        </w:rPr>
        <w:t>2</w:t>
      </w:r>
      <w:r>
        <w:rPr>
          <w:rFonts w:ascii="Times New Roman" w:eastAsia="宋体" w:hAnsi="Times New Roman" w:cs="Times New Roman" w:hint="eastAsia"/>
          <w:kern w:val="0"/>
        </w:rPr>
        <w:t>·</w:t>
      </w:r>
      <w:r>
        <w:rPr>
          <w:rFonts w:ascii="Times New Roman" w:eastAsia="宋体" w:hAnsi="Times New Roman" w:cs="Times New Roman" w:hint="eastAsia"/>
          <w:kern w:val="0"/>
        </w:rPr>
        <w:t>a</w:t>
      </w:r>
      <w:r>
        <w:rPr>
          <w:rFonts w:ascii="Times New Roman" w:eastAsia="宋体" w:hAnsi="Times New Roman" w:cs="Times New Roman" w:hint="eastAsia"/>
          <w:kern w:val="0"/>
        </w:rPr>
        <w:t>，水分生产力为</w:t>
      </w:r>
      <w:r>
        <w:rPr>
          <w:rFonts w:ascii="Times New Roman" w:eastAsia="宋体" w:hAnsi="Times New Roman" w:cs="Times New Roman" w:hint="eastAsia"/>
          <w:kern w:val="0"/>
        </w:rPr>
        <w:t>1176.76 g/m</w:t>
      </w:r>
      <w:r>
        <w:rPr>
          <w:rFonts w:ascii="Times New Roman" w:eastAsia="宋体" w:hAnsi="Times New Roman" w:cs="Times New Roman" w:hint="eastAsia"/>
          <w:kern w:val="0"/>
          <w:vertAlign w:val="superscript"/>
        </w:rPr>
        <w:t>2</w:t>
      </w:r>
      <w:r>
        <w:rPr>
          <w:rFonts w:ascii="Times New Roman" w:eastAsia="宋体" w:hAnsi="Times New Roman" w:cs="Times New Roman" w:hint="eastAsia"/>
          <w:kern w:val="0"/>
        </w:rPr>
        <w:t>·</w:t>
      </w:r>
      <w:r>
        <w:rPr>
          <w:rFonts w:ascii="Times New Roman" w:eastAsia="宋体" w:hAnsi="Times New Roman" w:cs="Times New Roman" w:hint="eastAsia"/>
          <w:kern w:val="0"/>
        </w:rPr>
        <w:t>a</w:t>
      </w:r>
      <w:r>
        <w:rPr>
          <w:rFonts w:ascii="Times New Roman" w:eastAsia="宋体" w:hAnsi="Times New Roman" w:cs="Times New Roman" w:hint="eastAsia"/>
          <w:kern w:val="0"/>
        </w:rPr>
        <w:t>。依据</w:t>
      </w:r>
      <w:r>
        <w:rPr>
          <w:rFonts w:ascii="Times New Roman" w:eastAsia="宋体" w:hAnsi="Times New Roman" w:cs="Times New Roman" w:hint="eastAsia"/>
          <w:kern w:val="0"/>
        </w:rPr>
        <w:t>Liebig</w:t>
      </w:r>
      <w:r>
        <w:rPr>
          <w:rFonts w:ascii="Times New Roman" w:eastAsia="宋体" w:hAnsi="Times New Roman" w:cs="Times New Roman" w:hint="eastAsia"/>
          <w:kern w:val="0"/>
        </w:rPr>
        <w:t>最小因子定律选取较小值</w:t>
      </w:r>
      <w:r>
        <w:rPr>
          <w:rFonts w:ascii="Times New Roman" w:eastAsia="宋体" w:hAnsi="Times New Roman" w:cs="Times New Roman" w:hint="eastAsia"/>
          <w:kern w:val="0"/>
        </w:rPr>
        <w:t>943.28 g/m</w:t>
      </w:r>
      <w:r>
        <w:rPr>
          <w:rFonts w:ascii="Times New Roman" w:eastAsia="宋体" w:hAnsi="Times New Roman" w:cs="Times New Roman" w:hint="eastAsia"/>
          <w:kern w:val="0"/>
          <w:vertAlign w:val="superscript"/>
        </w:rPr>
        <w:t>2</w:t>
      </w:r>
      <w:r>
        <w:rPr>
          <w:rFonts w:ascii="Times New Roman" w:eastAsia="宋体" w:hAnsi="Times New Roman" w:cs="Times New Roman" w:hint="eastAsia"/>
          <w:kern w:val="0"/>
        </w:rPr>
        <w:t>·</w:t>
      </w:r>
      <w:r>
        <w:rPr>
          <w:rFonts w:ascii="Times New Roman" w:eastAsia="宋体" w:hAnsi="Times New Roman" w:cs="Times New Roman" w:hint="eastAsia"/>
          <w:kern w:val="0"/>
        </w:rPr>
        <w:t>a</w:t>
      </w:r>
      <w:r>
        <w:rPr>
          <w:rFonts w:ascii="Times New Roman" w:eastAsia="宋体" w:hAnsi="Times New Roman" w:cs="Times New Roman" w:hint="eastAsia"/>
          <w:kern w:val="0"/>
        </w:rPr>
        <w:t>，作为该地自然植被的净初级生产力。</w:t>
      </w:r>
    </w:p>
    <w:p w14:paraId="09C7E78A" w14:textId="77777777" w:rsidR="009D12AF" w:rsidRDefault="00000000">
      <w:pPr>
        <w:pStyle w:val="4"/>
        <w:ind w:firstLineChars="0" w:firstLine="0"/>
      </w:pPr>
      <w:r>
        <w:rPr>
          <w:rFonts w:hint="eastAsia"/>
        </w:rPr>
        <w:t>4.3.7.9</w:t>
      </w:r>
      <w:r>
        <w:rPr>
          <w:rFonts w:hint="eastAsia"/>
        </w:rPr>
        <w:t>向阳水电站前池生态现状调查与评价</w:t>
      </w:r>
    </w:p>
    <w:p w14:paraId="550A4BC9" w14:textId="77777777" w:rsidR="009D12AF" w:rsidRDefault="00000000">
      <w:pPr>
        <w:ind w:firstLine="480"/>
      </w:pPr>
      <w:r>
        <w:t>根据现场勘察结果，本次工程沿线两侧</w:t>
      </w:r>
      <w:r>
        <w:t>300</w:t>
      </w:r>
      <w:r>
        <w:t>米范围内植被类型为农田、林地及草地。草甸植被主要分布在沿岸滩地，有苔草、水稗草、大叶章、小叶章、狗尾巴草、羊草、星星草等；农田主要为旱地和水田，种植作物主要为玉米、大豆和水稻；林地植被类型主要为针叶林、阔叶林、针阔混交林等，主要为兴安落叶松、蒙古栎、白桦、山杨等。</w:t>
      </w:r>
    </w:p>
    <w:p w14:paraId="070A2FC5" w14:textId="77777777" w:rsidR="009D12AF" w:rsidRDefault="00000000">
      <w:pPr>
        <w:ind w:firstLine="480"/>
      </w:pPr>
      <w:r>
        <w:t>工程沿线两侧</w:t>
      </w:r>
      <w:r>
        <w:t>300</w:t>
      </w:r>
      <w:r>
        <w:t>米范围内的土地利用类型为草地、园地、农田、交通运输用地、水域、建设用地和其他土地。草地和林地分布较广泛，农田主要为旱田和水田，水域为</w:t>
      </w:r>
      <w:r>
        <w:rPr>
          <w:rFonts w:hint="eastAsia"/>
        </w:rPr>
        <w:t>永丰沟</w:t>
      </w:r>
      <w:r>
        <w:t>水面、坑塘、滩涂和水工建筑用地，交通运输用地主要为道路，建设用地主要有商服、工业和住宅用地等，其他土地主要为设施农用地和裸土地。</w:t>
      </w:r>
    </w:p>
    <w:p w14:paraId="2CD75290" w14:textId="77777777" w:rsidR="009D12AF" w:rsidRDefault="00000000">
      <w:pPr>
        <w:ind w:firstLine="480"/>
      </w:pPr>
      <w:r>
        <w:t>工程沿线野生动物主要有麻雀、家燕以及小型啮齿类动物，广泛分布于居民集中居住的村屯周围区域。区域无大型野生动物，两栖类有青蛙、癞蛤蟆、林蛙、金钱蛙、田鸡等，工程沿岸鸟类以农田生境种类为主，常见有鹌鹑、野鸡、喜鹊、树麻雀、家燕等，这些鸟类大部分是与人为活功伴生种类。工程所在区域无珍稀濒危野生动、植物资源。</w:t>
      </w:r>
    </w:p>
    <w:p w14:paraId="5B87286A" w14:textId="77777777" w:rsidR="009D12AF" w:rsidRDefault="00000000">
      <w:pPr>
        <w:pStyle w:val="4"/>
        <w:ind w:firstLineChars="0" w:firstLine="0"/>
      </w:pPr>
      <w:r>
        <w:rPr>
          <w:rFonts w:hint="eastAsia"/>
        </w:rPr>
        <w:lastRenderedPageBreak/>
        <w:t>4.3.7.10</w:t>
      </w:r>
      <w:r>
        <w:rPr>
          <w:rFonts w:hint="eastAsia"/>
        </w:rPr>
        <w:t>新安晒水池生态现状调查与评价</w:t>
      </w:r>
    </w:p>
    <w:p w14:paraId="6B265CFF" w14:textId="77777777" w:rsidR="009D12AF" w:rsidRDefault="00000000">
      <w:pPr>
        <w:pStyle w:val="16"/>
      </w:pPr>
      <w:r>
        <w:t>根据现场勘察结果，本次工程沿线两侧</w:t>
      </w:r>
      <w:r>
        <w:t>300</w:t>
      </w:r>
      <w:r>
        <w:t>米范围内植被类型为农田及草地。草甸植被主要分布在沿岸滩地，有苔草、水稗草、大叶章、小叶章、狗尾巴草、羊草、星星草等；农田主要为旱地和水田，种植作物主要为玉米、大豆和水稻。</w:t>
      </w:r>
    </w:p>
    <w:p w14:paraId="39CA9175" w14:textId="77777777" w:rsidR="009D12AF" w:rsidRDefault="00000000">
      <w:pPr>
        <w:pStyle w:val="16"/>
      </w:pPr>
      <w:r>
        <w:t>工程沿线两侧</w:t>
      </w:r>
      <w:r>
        <w:t>300</w:t>
      </w:r>
      <w:r>
        <w:t>米范围内的土地利用类型为草地、园地、农田、交通运输用地、水域、建设用地和其他土地。草地和林地分布较广泛，农田主要为旱田和水田，水域为海浪河水面、坑塘、滩涂和水工建筑用地，交通运输用地主要为道路，建设用地主要有商服、工业和住宅用地等，其他土地主要为设施农用地和裸土地。</w:t>
      </w:r>
    </w:p>
    <w:p w14:paraId="2B3B01DC" w14:textId="77777777" w:rsidR="009D12AF" w:rsidRDefault="00000000">
      <w:pPr>
        <w:ind w:firstLine="480"/>
      </w:pPr>
      <w:r>
        <w:t>工程沿线野生动物主要有麻雀、家燕以及小型啮齿类动物，广泛分布于居民集中居住的村屯周围区域。区域无大型野生动物，两栖类有青蛙、癞蛤蟆、林蛙、金钱蛙、田鸡等，工程沿岸鸟类以农田生境种类为主，常见有鹌鹑、野鸡、喜鹊、树麻雀、家燕等，这些鸟类大部分是与人为活功伴生种类。工程所在区域无珍稀濒危野生动、植物资源。</w:t>
      </w:r>
    </w:p>
    <w:p w14:paraId="11C30BEC" w14:textId="77777777" w:rsidR="009D12AF" w:rsidRDefault="00000000">
      <w:pPr>
        <w:pStyle w:val="4"/>
        <w:ind w:firstLineChars="0" w:firstLine="0"/>
      </w:pPr>
      <w:r>
        <w:rPr>
          <w:rFonts w:hint="eastAsia"/>
        </w:rPr>
        <w:t>4.3.7.11</w:t>
      </w:r>
      <w:r>
        <w:rPr>
          <w:rFonts w:hint="eastAsia"/>
        </w:rPr>
        <w:t>万丈水库生态现状调查与评价</w:t>
      </w:r>
    </w:p>
    <w:p w14:paraId="02AD1CA7" w14:textId="77777777" w:rsidR="009D12AF" w:rsidRDefault="00000000">
      <w:pPr>
        <w:pStyle w:val="16"/>
      </w:pPr>
      <w:r>
        <w:t>根据现场勘察结果，本次工程沿线两侧</w:t>
      </w:r>
      <w:r>
        <w:t>300</w:t>
      </w:r>
      <w:r>
        <w:t>米范围内植被类型为农田、林地及草地。草甸植被主要分布在沿岸滩地，有苔草、水稗草、大叶章、小叶章、狗尾巴草、羊草、星星草等；农田主要为旱地和水田，种植作物主要为玉米、大豆和水稻；林地植被类型主要为针叶林、阔叶林、针阔混交林等，主要为兴安落叶松、蒙古栎、白桦、山杨等。</w:t>
      </w:r>
    </w:p>
    <w:p w14:paraId="4630E3D2" w14:textId="77777777" w:rsidR="009D12AF" w:rsidRDefault="00000000">
      <w:pPr>
        <w:pStyle w:val="16"/>
      </w:pPr>
      <w:r>
        <w:t>工程沿线两侧</w:t>
      </w:r>
      <w:r>
        <w:t>300</w:t>
      </w:r>
      <w:r>
        <w:t>米范围内的土地利用类型为草地、农田、交通运输用地、水域</w:t>
      </w:r>
      <w:r>
        <w:rPr>
          <w:rFonts w:hint="eastAsia"/>
        </w:rPr>
        <w:t>等</w:t>
      </w:r>
      <w:r>
        <w:t>。草地和林地分布较广泛，农田主要为旱田和水田，水域为</w:t>
      </w:r>
      <w:r>
        <w:rPr>
          <w:rFonts w:hint="eastAsia"/>
        </w:rPr>
        <w:t>万丈沟</w:t>
      </w:r>
      <w:r>
        <w:t>水面、坑塘、滩涂和水工建筑用地，交通运输用地主要为道路等。</w:t>
      </w:r>
    </w:p>
    <w:p w14:paraId="5CA0CF20" w14:textId="77777777" w:rsidR="009D12AF" w:rsidRDefault="00000000">
      <w:pPr>
        <w:pStyle w:val="16"/>
      </w:pPr>
      <w:r>
        <w:t>工程沿线野生动物主要有麻雀、家燕以及小型啮齿类动物，广泛分布于居民集中居住的村屯周围区域。区域无大型野生动物，两栖类有青蛙、癞蛤蟆、林蛙、</w:t>
      </w:r>
      <w:r>
        <w:lastRenderedPageBreak/>
        <w:t>金钱蛙、田鸡等，工程沿岸鸟类以农田生境种类为主，常见有鹌鹑、野鸡、喜鹊、树麻雀、家燕等，这些鸟类大部分是与人为活功伴生种类。工程所在区域无珍稀濒危野生动、植物资源。</w:t>
      </w:r>
    </w:p>
    <w:p w14:paraId="2036D552" w14:textId="77777777" w:rsidR="009D12AF" w:rsidRDefault="00000000">
      <w:pPr>
        <w:pStyle w:val="4"/>
        <w:ind w:firstLineChars="0" w:firstLine="0"/>
      </w:pPr>
      <w:r>
        <w:rPr>
          <w:rFonts w:hint="eastAsia"/>
        </w:rPr>
        <w:t>4.3.7.12</w:t>
      </w:r>
      <w:r>
        <w:rPr>
          <w:rFonts w:hint="eastAsia"/>
        </w:rPr>
        <w:t>长石水库生态现状调查与评价</w:t>
      </w:r>
    </w:p>
    <w:p w14:paraId="72A26455" w14:textId="77777777" w:rsidR="009D12AF" w:rsidRDefault="00000000">
      <w:pPr>
        <w:pStyle w:val="16"/>
      </w:pPr>
      <w:r>
        <w:t>根据现场勘察结果，本次工程沿线两侧</w:t>
      </w:r>
      <w:r>
        <w:t>300</w:t>
      </w:r>
      <w:r>
        <w:t>米范围内植被类型为农田及草地。草甸植被主要分布在沿岸滩地，有苔草、水稗草、大叶章、小叶章、狗尾巴草、羊草、星星草等；农田主要为旱地和水田，种植作物主要为玉米、大豆和水稻。</w:t>
      </w:r>
    </w:p>
    <w:p w14:paraId="5AEFFDE6" w14:textId="77777777" w:rsidR="009D12AF" w:rsidRDefault="00000000">
      <w:pPr>
        <w:pStyle w:val="16"/>
      </w:pPr>
      <w:r>
        <w:t>工程沿线两侧</w:t>
      </w:r>
      <w:r>
        <w:t>300</w:t>
      </w:r>
      <w:r>
        <w:t>米范围内的土地利用类型为草地、园地、农田、交通运输用地、水域、建设用地和其他土地。草地和林地分布较广泛，农田主要为旱田和水田，水域为</w:t>
      </w:r>
      <w:r>
        <w:rPr>
          <w:rFonts w:hint="eastAsia"/>
        </w:rPr>
        <w:t>长石水库</w:t>
      </w:r>
      <w:r>
        <w:t>水面、坑塘、滩涂和水工建筑用地，交通运输用地主要为道路，建设用地主要有商服、工业和住宅用地等，其他土地主要为设施农用地和裸土地。</w:t>
      </w:r>
    </w:p>
    <w:p w14:paraId="43EC457C" w14:textId="77777777" w:rsidR="009D12AF" w:rsidRDefault="00000000">
      <w:pPr>
        <w:ind w:firstLine="480"/>
      </w:pPr>
      <w:r>
        <w:t>工程沿线野生动物主要有麻雀、家燕以及小型啮齿类动物，广泛分布于居民集中居住的村屯周围区域。区域无大型野生动物，两栖类有青蛙、癞蛤蟆、林蛙、金钱蛙、田鸡等，工程沿岸鸟类以农田生境种类为主，常见有鹌鹑、野鸡、喜鹊、树麻雀、家燕等，这些鸟类大部分是与人为活功伴生种类。工程所在区域无珍稀濒危野生动、植物资源。</w:t>
      </w:r>
    </w:p>
    <w:p w14:paraId="5A327339" w14:textId="77777777" w:rsidR="009D12AF" w:rsidRDefault="00000000">
      <w:pPr>
        <w:pStyle w:val="4"/>
        <w:ind w:firstLineChars="0" w:firstLine="0"/>
      </w:pPr>
      <w:r>
        <w:rPr>
          <w:rFonts w:hint="eastAsia"/>
        </w:rPr>
        <w:t>4.3.7.13</w:t>
      </w:r>
      <w:r>
        <w:rPr>
          <w:rFonts w:hint="eastAsia"/>
        </w:rPr>
        <w:t>土地利用现状调查与评价</w:t>
      </w:r>
    </w:p>
    <w:p w14:paraId="5C7B2EFE" w14:textId="77777777" w:rsidR="009D12AF" w:rsidRDefault="00000000">
      <w:pPr>
        <w:ind w:firstLine="480"/>
        <w:rPr>
          <w:rFonts w:ascii="Times New Roman" w:eastAsia="宋体" w:hAnsi="Times New Roman" w:cs="Times New Roman"/>
          <w:kern w:val="0"/>
          <w:szCs w:val="20"/>
        </w:rPr>
      </w:pPr>
      <w:r>
        <w:rPr>
          <w:rFonts w:ascii="Times New Roman" w:eastAsia="宋体" w:hAnsi="Times New Roman" w:cs="Times New Roman"/>
          <w:kern w:val="0"/>
          <w:szCs w:val="20"/>
        </w:rPr>
        <w:t>根据</w:t>
      </w:r>
      <w:r>
        <w:rPr>
          <w:rFonts w:ascii="Times New Roman" w:eastAsia="宋体" w:hAnsi="Times New Roman" w:cs="Times New Roman" w:hint="eastAsia"/>
          <w:kern w:val="0"/>
          <w:szCs w:val="20"/>
        </w:rPr>
        <w:t>第三次全国国土调查资料</w:t>
      </w:r>
      <w:r>
        <w:rPr>
          <w:rFonts w:ascii="Times New Roman" w:eastAsia="宋体" w:hAnsi="Times New Roman" w:cs="Times New Roman"/>
          <w:kern w:val="0"/>
          <w:szCs w:val="20"/>
        </w:rPr>
        <w:t>，结合现场调查结果进行核实，按照《土地利用现状分类》（</w:t>
      </w:r>
      <w:r>
        <w:rPr>
          <w:rFonts w:ascii="Times New Roman" w:eastAsia="宋体" w:hAnsi="Times New Roman" w:cs="Times New Roman"/>
          <w:kern w:val="0"/>
          <w:szCs w:val="20"/>
        </w:rPr>
        <w:t>GB/T21010-2017</w:t>
      </w:r>
      <w:r>
        <w:rPr>
          <w:rFonts w:ascii="Times New Roman" w:eastAsia="宋体" w:hAnsi="Times New Roman" w:cs="Times New Roman"/>
          <w:kern w:val="0"/>
          <w:szCs w:val="20"/>
        </w:rPr>
        <w:t>）中二级类型作为基础制图单位绘制土地利用现状图，见</w:t>
      </w:r>
      <w:r>
        <w:rPr>
          <w:rFonts w:ascii="Times New Roman" w:eastAsia="宋体" w:hAnsi="Times New Roman" w:cs="Times New Roman" w:hint="eastAsia"/>
          <w:kern w:val="0"/>
          <w:szCs w:val="20"/>
        </w:rPr>
        <w:t>附图</w:t>
      </w:r>
      <w:r>
        <w:rPr>
          <w:rFonts w:ascii="Times New Roman" w:eastAsia="宋体" w:hAnsi="Times New Roman" w:cs="Times New Roman" w:hint="eastAsia"/>
          <w:kern w:val="0"/>
          <w:szCs w:val="20"/>
        </w:rPr>
        <w:t>25</w:t>
      </w:r>
      <w:r>
        <w:rPr>
          <w:rFonts w:ascii="Times New Roman" w:eastAsia="宋体" w:hAnsi="Times New Roman" w:cs="Times New Roman" w:hint="eastAsia"/>
          <w:kern w:val="0"/>
          <w:szCs w:val="20"/>
        </w:rPr>
        <w:t>。</w:t>
      </w:r>
    </w:p>
    <w:p w14:paraId="7CC6A594" w14:textId="77777777" w:rsidR="009D12AF" w:rsidRDefault="00000000">
      <w:pPr>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w:t>
      </w:r>
      <w:r>
        <w:rPr>
          <w:rFonts w:ascii="Times New Roman" w:eastAsia="宋体" w:hAnsi="Times New Roman" w:cs="Times New Roman" w:hint="eastAsia"/>
          <w:kern w:val="0"/>
          <w:szCs w:val="20"/>
        </w:rPr>
        <w:t>1</w:t>
      </w:r>
      <w:r>
        <w:rPr>
          <w:rFonts w:ascii="Times New Roman" w:eastAsia="宋体" w:hAnsi="Times New Roman" w:cs="Times New Roman" w:hint="eastAsia"/>
          <w:kern w:val="0"/>
          <w:szCs w:val="20"/>
        </w:rPr>
        <w:t>）评价范围土地利用现状</w:t>
      </w:r>
    </w:p>
    <w:p w14:paraId="6BCB20C4" w14:textId="77777777" w:rsidR="009D12AF" w:rsidRDefault="00000000">
      <w:pPr>
        <w:ind w:firstLine="480"/>
        <w:rPr>
          <w:rFonts w:ascii="Times New Roman" w:eastAsia="宋体" w:hAnsi="Times New Roman" w:cs="Times New Roman"/>
          <w:kern w:val="0"/>
          <w:szCs w:val="20"/>
        </w:rPr>
      </w:pPr>
      <w:r>
        <w:rPr>
          <w:rFonts w:ascii="Times New Roman" w:eastAsia="宋体" w:hAnsi="Times New Roman" w:cs="Times New Roman"/>
          <w:kern w:val="0"/>
        </w:rPr>
        <w:t>整个评价范围面积为</w:t>
      </w:r>
      <w:r>
        <w:rPr>
          <w:rFonts w:ascii="Times New Roman" w:eastAsia="宋体" w:hAnsi="Times New Roman" w:cs="Times New Roman"/>
          <w:kern w:val="0"/>
        </w:rPr>
        <w:t>947.18hm²</w:t>
      </w:r>
      <w:r>
        <w:rPr>
          <w:rFonts w:ascii="Times New Roman" w:eastAsia="宋体" w:hAnsi="Times New Roman" w:cs="Times New Roman"/>
          <w:kern w:val="0"/>
        </w:rPr>
        <w:t>，评价范围内</w:t>
      </w:r>
      <w:r>
        <w:rPr>
          <w:rFonts w:ascii="Times New Roman" w:eastAsia="宋体" w:hAnsi="Times New Roman" w:cs="Times New Roman" w:hint="eastAsia"/>
          <w:kern w:val="0"/>
        </w:rPr>
        <w:t>乔木</w:t>
      </w:r>
      <w:r>
        <w:rPr>
          <w:rFonts w:ascii="Times New Roman" w:eastAsia="宋体" w:hAnsi="Times New Roman" w:cs="Times New Roman"/>
          <w:kern w:val="0"/>
        </w:rPr>
        <w:t>林地面积最大，为</w:t>
      </w:r>
      <w:r>
        <w:rPr>
          <w:rFonts w:ascii="Times New Roman" w:eastAsia="宋体" w:hAnsi="Times New Roman" w:cs="Times New Roman"/>
          <w:kern w:val="0"/>
        </w:rPr>
        <w:t>348.52hm²</w:t>
      </w:r>
      <w:r>
        <w:rPr>
          <w:rFonts w:ascii="Times New Roman" w:eastAsia="宋体" w:hAnsi="Times New Roman" w:cs="Times New Roman"/>
          <w:kern w:val="0"/>
        </w:rPr>
        <w:t>，占评价范围总面积的</w:t>
      </w:r>
      <w:r>
        <w:rPr>
          <w:rFonts w:ascii="Times New Roman" w:eastAsia="宋体" w:hAnsi="Times New Roman" w:cs="Times New Roman"/>
          <w:kern w:val="0"/>
        </w:rPr>
        <w:t>36.80%</w:t>
      </w:r>
      <w:r>
        <w:rPr>
          <w:rFonts w:ascii="Times New Roman" w:eastAsia="宋体" w:hAnsi="Times New Roman" w:cs="Times New Roman"/>
          <w:kern w:val="0"/>
        </w:rPr>
        <w:t>；</w:t>
      </w:r>
      <w:r>
        <w:rPr>
          <w:rFonts w:ascii="Times New Roman" w:eastAsia="宋体" w:hAnsi="Times New Roman" w:cs="Times New Roman" w:hint="eastAsia"/>
          <w:kern w:val="0"/>
        </w:rPr>
        <w:t>旱</w:t>
      </w:r>
      <w:r>
        <w:rPr>
          <w:rFonts w:ascii="Times New Roman" w:eastAsia="宋体" w:hAnsi="Times New Roman" w:cs="Times New Roman"/>
          <w:kern w:val="0"/>
        </w:rPr>
        <w:t>地面积其次，为</w:t>
      </w:r>
      <w:r>
        <w:rPr>
          <w:rFonts w:ascii="Times New Roman" w:eastAsia="宋体" w:hAnsi="Times New Roman" w:cs="Times New Roman"/>
          <w:kern w:val="0"/>
        </w:rPr>
        <w:t>281.85hm²</w:t>
      </w:r>
      <w:r>
        <w:rPr>
          <w:rFonts w:ascii="Times New Roman" w:eastAsia="宋体" w:hAnsi="Times New Roman" w:cs="Times New Roman"/>
          <w:kern w:val="0"/>
        </w:rPr>
        <w:t>，占评价范围总面积的</w:t>
      </w:r>
      <w:r>
        <w:rPr>
          <w:rFonts w:ascii="Times New Roman" w:eastAsia="宋体" w:hAnsi="Times New Roman" w:cs="Times New Roman" w:hint="eastAsia"/>
          <w:kern w:val="0"/>
        </w:rPr>
        <w:t>2</w:t>
      </w:r>
      <w:r>
        <w:rPr>
          <w:rFonts w:ascii="Times New Roman" w:eastAsia="宋体" w:hAnsi="Times New Roman" w:cs="Times New Roman"/>
          <w:kern w:val="0"/>
        </w:rPr>
        <w:t>9.76%</w:t>
      </w:r>
      <w:r>
        <w:rPr>
          <w:rFonts w:ascii="Times New Roman" w:eastAsia="宋体" w:hAnsi="Times New Roman" w:cs="Times New Roman"/>
          <w:kern w:val="0"/>
        </w:rPr>
        <w:t>；</w:t>
      </w:r>
      <w:r>
        <w:rPr>
          <w:rFonts w:ascii="Times New Roman" w:eastAsia="宋体" w:hAnsi="Times New Roman" w:cs="Times New Roman" w:hint="eastAsia"/>
          <w:kern w:val="0"/>
        </w:rPr>
        <w:t>河</w:t>
      </w:r>
      <w:r>
        <w:rPr>
          <w:rFonts w:ascii="Times New Roman" w:eastAsia="宋体" w:hAnsi="Times New Roman" w:cs="Times New Roman" w:hint="eastAsia"/>
          <w:kern w:val="0"/>
          <w:szCs w:val="20"/>
        </w:rPr>
        <w:t>流水面与旱地面积相当，为</w:t>
      </w:r>
      <w:r>
        <w:rPr>
          <w:rFonts w:ascii="Times New Roman" w:eastAsia="宋体" w:hAnsi="Times New Roman" w:cs="Times New Roman"/>
          <w:kern w:val="0"/>
          <w:szCs w:val="20"/>
        </w:rPr>
        <w:t>221.12 hm²</w:t>
      </w:r>
      <w:r>
        <w:rPr>
          <w:rFonts w:ascii="Times New Roman" w:eastAsia="宋体" w:hAnsi="Times New Roman" w:cs="Times New Roman" w:hint="eastAsia"/>
          <w:kern w:val="0"/>
          <w:szCs w:val="20"/>
        </w:rPr>
        <w:t>，</w:t>
      </w:r>
      <w:r>
        <w:rPr>
          <w:rFonts w:ascii="Times New Roman" w:eastAsia="宋体" w:hAnsi="Times New Roman" w:cs="Times New Roman"/>
          <w:kern w:val="0"/>
          <w:szCs w:val="20"/>
        </w:rPr>
        <w:t>占评价范</w:t>
      </w:r>
      <w:r>
        <w:rPr>
          <w:rFonts w:ascii="Times New Roman" w:eastAsia="宋体" w:hAnsi="Times New Roman" w:cs="Times New Roman"/>
          <w:kern w:val="0"/>
          <w:szCs w:val="20"/>
        </w:rPr>
        <w:lastRenderedPageBreak/>
        <w:t>围总面积的</w:t>
      </w:r>
      <w:r>
        <w:rPr>
          <w:rFonts w:ascii="Times New Roman" w:eastAsia="宋体" w:hAnsi="Times New Roman" w:cs="Times New Roman"/>
          <w:kern w:val="0"/>
          <w:szCs w:val="20"/>
        </w:rPr>
        <w:t>23.34%</w:t>
      </w:r>
      <w:r>
        <w:rPr>
          <w:rFonts w:ascii="Times New Roman" w:eastAsia="宋体" w:hAnsi="Times New Roman" w:cs="Times New Roman" w:hint="eastAsia"/>
          <w:kern w:val="0"/>
          <w:szCs w:val="20"/>
        </w:rPr>
        <w:t>；</w:t>
      </w:r>
      <w:r>
        <w:rPr>
          <w:rFonts w:ascii="Times New Roman" w:eastAsia="宋体" w:hAnsi="Times New Roman" w:cs="Times New Roman"/>
          <w:kern w:val="0"/>
          <w:szCs w:val="20"/>
        </w:rPr>
        <w:t>评价范围内其余地类面积占比均较小。项目评价范围内各土地利用类型面积，见表</w:t>
      </w:r>
      <w:r>
        <w:rPr>
          <w:rFonts w:ascii="Times New Roman" w:eastAsia="宋体" w:hAnsi="Times New Roman" w:cs="Times New Roman" w:hint="eastAsia"/>
          <w:kern w:val="0"/>
          <w:szCs w:val="20"/>
        </w:rPr>
        <w:t>4.3-68</w:t>
      </w:r>
      <w:r>
        <w:rPr>
          <w:rFonts w:ascii="Times New Roman" w:eastAsia="宋体" w:hAnsi="Times New Roman" w:cs="Times New Roman"/>
          <w:kern w:val="0"/>
          <w:szCs w:val="20"/>
        </w:rPr>
        <w:t>。</w:t>
      </w:r>
    </w:p>
    <w:p w14:paraId="6AB4DEBC" w14:textId="77777777" w:rsidR="009D12AF" w:rsidRDefault="00000000">
      <w:pPr>
        <w:widowControl/>
        <w:ind w:firstLine="482"/>
        <w:jc w:val="center"/>
      </w:pPr>
      <w:r>
        <w:rPr>
          <w:rFonts w:ascii="Times New Roman" w:eastAsia="宋体" w:hAnsi="Times New Roman" w:cs="Times New Roman"/>
          <w:b/>
          <w:bCs/>
          <w:kern w:val="0"/>
        </w:rPr>
        <w:t>表</w:t>
      </w:r>
      <w:r>
        <w:rPr>
          <w:rFonts w:ascii="Times New Roman" w:eastAsia="宋体" w:hAnsi="Times New Roman" w:cs="Times New Roman" w:hint="eastAsia"/>
          <w:b/>
          <w:bCs/>
          <w:kern w:val="0"/>
        </w:rPr>
        <w:t>4.3-68</w:t>
      </w:r>
      <w:r>
        <w:rPr>
          <w:rFonts w:ascii="Times New Roman" w:eastAsia="宋体" w:hAnsi="Times New Roman" w:cs="Times New Roman"/>
          <w:b/>
          <w:bCs/>
          <w:kern w:val="0"/>
        </w:rPr>
        <w:t xml:space="preserve">   </w:t>
      </w:r>
      <w:r>
        <w:rPr>
          <w:rFonts w:ascii="Times New Roman" w:eastAsia="宋体" w:hAnsi="Times New Roman" w:cs="Times New Roman" w:hint="eastAsia"/>
          <w:b/>
          <w:bCs/>
          <w:kern w:val="0"/>
        </w:rPr>
        <w:t>项目评价范围</w:t>
      </w:r>
      <w:r>
        <w:rPr>
          <w:rFonts w:ascii="Times New Roman" w:eastAsia="宋体" w:hAnsi="Times New Roman" w:cs="Times New Roman"/>
          <w:b/>
          <w:bCs/>
          <w:kern w:val="0"/>
        </w:rPr>
        <w:t>土地利用</w:t>
      </w:r>
      <w:r>
        <w:rPr>
          <w:rFonts w:ascii="Times New Roman" w:eastAsia="宋体" w:hAnsi="Times New Roman" w:cs="Times New Roman" w:hint="eastAsia"/>
          <w:b/>
          <w:bCs/>
          <w:kern w:val="0"/>
        </w:rPr>
        <w:t>类型面积一览表</w:t>
      </w:r>
    </w:p>
    <w:tbl>
      <w:tblPr>
        <w:tblW w:w="4998"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158"/>
        <w:gridCol w:w="1577"/>
        <w:gridCol w:w="1884"/>
        <w:gridCol w:w="2900"/>
      </w:tblGrid>
      <w:tr w:rsidR="009D12AF" w14:paraId="4BA3AC72" w14:textId="77777777">
        <w:trPr>
          <w:trHeight w:val="247"/>
        </w:trPr>
        <w:tc>
          <w:tcPr>
            <w:tcW w:w="1266" w:type="pct"/>
            <w:tcBorders>
              <w:tl2br w:val="nil"/>
              <w:tr2bl w:val="nil"/>
            </w:tcBorders>
            <w:vAlign w:val="center"/>
          </w:tcPr>
          <w:p w14:paraId="37D1C2E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bookmarkStart w:id="336" w:name="_Hlk138059562"/>
            <w:r>
              <w:rPr>
                <w:rFonts w:ascii="Times New Roman" w:eastAsia="宋体" w:hAnsi="Times New Roman" w:cs="Times New Roman" w:hint="eastAsia"/>
                <w:kern w:val="0"/>
                <w:sz w:val="21"/>
                <w:szCs w:val="21"/>
              </w:rPr>
              <w:t>一级分类</w:t>
            </w:r>
          </w:p>
        </w:tc>
        <w:tc>
          <w:tcPr>
            <w:tcW w:w="924" w:type="pct"/>
            <w:tcBorders>
              <w:tl2br w:val="nil"/>
              <w:tr2bl w:val="nil"/>
            </w:tcBorders>
            <w:vAlign w:val="center"/>
          </w:tcPr>
          <w:p w14:paraId="052F651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二级分类</w:t>
            </w:r>
          </w:p>
        </w:tc>
        <w:tc>
          <w:tcPr>
            <w:tcW w:w="1106" w:type="pct"/>
            <w:tcBorders>
              <w:tl2br w:val="nil"/>
              <w:tr2bl w:val="nil"/>
            </w:tcBorders>
            <w:vAlign w:val="center"/>
          </w:tcPr>
          <w:p w14:paraId="06454A1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面积（</w:t>
            </w:r>
            <w:r>
              <w:rPr>
                <w:rFonts w:ascii="Times New Roman" w:eastAsia="宋体" w:hAnsi="Times New Roman" w:cs="Times New Roman"/>
                <w:kern w:val="0"/>
                <w:sz w:val="21"/>
                <w:szCs w:val="21"/>
              </w:rPr>
              <w:t>hm</w:t>
            </w:r>
            <w:r>
              <w:rPr>
                <w:rFonts w:ascii="Times New Roman" w:eastAsia="宋体" w:hAnsi="Times New Roman" w:cs="Times New Roman"/>
                <w:kern w:val="0"/>
                <w:sz w:val="21"/>
                <w:szCs w:val="21"/>
                <w:vertAlign w:val="superscript"/>
              </w:rPr>
              <w:t>2</w:t>
            </w:r>
            <w:r>
              <w:rPr>
                <w:rFonts w:ascii="Times New Roman" w:eastAsia="宋体" w:hAnsi="Times New Roman" w:cs="Times New Roman"/>
                <w:kern w:val="0"/>
                <w:sz w:val="21"/>
                <w:szCs w:val="21"/>
              </w:rPr>
              <w:t>）</w:t>
            </w:r>
          </w:p>
        </w:tc>
        <w:tc>
          <w:tcPr>
            <w:tcW w:w="1702" w:type="pct"/>
            <w:tcBorders>
              <w:tl2br w:val="nil"/>
              <w:tr2bl w:val="nil"/>
            </w:tcBorders>
            <w:vAlign w:val="center"/>
          </w:tcPr>
          <w:p w14:paraId="2B392DE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占</w:t>
            </w:r>
            <w:r>
              <w:rPr>
                <w:rFonts w:ascii="Times New Roman" w:eastAsia="宋体" w:hAnsi="Times New Roman" w:cs="Times New Roman" w:hint="eastAsia"/>
                <w:kern w:val="0"/>
                <w:sz w:val="21"/>
                <w:szCs w:val="21"/>
              </w:rPr>
              <w:t>项目调查范围</w:t>
            </w:r>
            <w:r>
              <w:rPr>
                <w:rFonts w:ascii="Times New Roman" w:eastAsia="宋体" w:hAnsi="Times New Roman" w:cs="Times New Roman"/>
                <w:kern w:val="0"/>
                <w:sz w:val="21"/>
                <w:szCs w:val="21"/>
              </w:rPr>
              <w:t>比例（</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p>
        </w:tc>
      </w:tr>
      <w:tr w:rsidR="009D12AF" w14:paraId="4D77FA5D" w14:textId="77777777">
        <w:trPr>
          <w:trHeight w:val="247"/>
        </w:trPr>
        <w:tc>
          <w:tcPr>
            <w:tcW w:w="1266" w:type="pct"/>
            <w:tcBorders>
              <w:tl2br w:val="nil"/>
              <w:tr2bl w:val="nil"/>
            </w:tcBorders>
            <w:vAlign w:val="center"/>
          </w:tcPr>
          <w:p w14:paraId="611B78F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耕地</w:t>
            </w:r>
          </w:p>
        </w:tc>
        <w:tc>
          <w:tcPr>
            <w:tcW w:w="924" w:type="pct"/>
            <w:tcBorders>
              <w:tl2br w:val="nil"/>
              <w:tr2bl w:val="nil"/>
            </w:tcBorders>
            <w:vAlign w:val="center"/>
          </w:tcPr>
          <w:p w14:paraId="75FC769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旱地</w:t>
            </w:r>
          </w:p>
        </w:tc>
        <w:tc>
          <w:tcPr>
            <w:tcW w:w="1106" w:type="pct"/>
            <w:tcBorders>
              <w:tl2br w:val="nil"/>
              <w:tr2bl w:val="nil"/>
            </w:tcBorders>
          </w:tcPr>
          <w:p w14:paraId="715F71E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281.85</w:t>
            </w:r>
          </w:p>
        </w:tc>
        <w:tc>
          <w:tcPr>
            <w:tcW w:w="1702" w:type="pct"/>
            <w:tcBorders>
              <w:tl2br w:val="nil"/>
              <w:tr2bl w:val="nil"/>
            </w:tcBorders>
          </w:tcPr>
          <w:p w14:paraId="75A170F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29.76</w:t>
            </w:r>
          </w:p>
        </w:tc>
      </w:tr>
      <w:tr w:rsidR="009D12AF" w14:paraId="56E190B0" w14:textId="77777777">
        <w:trPr>
          <w:trHeight w:val="247"/>
        </w:trPr>
        <w:tc>
          <w:tcPr>
            <w:tcW w:w="1266" w:type="pct"/>
            <w:vMerge w:val="restart"/>
            <w:tcBorders>
              <w:tl2br w:val="nil"/>
              <w:tr2bl w:val="nil"/>
            </w:tcBorders>
            <w:vAlign w:val="center"/>
          </w:tcPr>
          <w:p w14:paraId="0ECCB00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水域或水利设施用地</w:t>
            </w:r>
          </w:p>
        </w:tc>
        <w:tc>
          <w:tcPr>
            <w:tcW w:w="924" w:type="pct"/>
            <w:tcBorders>
              <w:tl2br w:val="nil"/>
              <w:tr2bl w:val="nil"/>
            </w:tcBorders>
            <w:vAlign w:val="center"/>
          </w:tcPr>
          <w:p w14:paraId="5D88F79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河流水面</w:t>
            </w:r>
          </w:p>
        </w:tc>
        <w:tc>
          <w:tcPr>
            <w:tcW w:w="1106" w:type="pct"/>
            <w:tcBorders>
              <w:tl2br w:val="nil"/>
              <w:tr2bl w:val="nil"/>
            </w:tcBorders>
          </w:tcPr>
          <w:p w14:paraId="6A905FC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221.12</w:t>
            </w:r>
          </w:p>
        </w:tc>
        <w:tc>
          <w:tcPr>
            <w:tcW w:w="1702" w:type="pct"/>
            <w:tcBorders>
              <w:tl2br w:val="nil"/>
              <w:tr2bl w:val="nil"/>
            </w:tcBorders>
          </w:tcPr>
          <w:p w14:paraId="3FB67CE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23.34</w:t>
            </w:r>
          </w:p>
        </w:tc>
      </w:tr>
      <w:tr w:rsidR="009D12AF" w14:paraId="05D6931E" w14:textId="77777777">
        <w:trPr>
          <w:trHeight w:val="247"/>
        </w:trPr>
        <w:tc>
          <w:tcPr>
            <w:tcW w:w="1266" w:type="pct"/>
            <w:vMerge/>
            <w:tcBorders>
              <w:tl2br w:val="nil"/>
              <w:tr2bl w:val="nil"/>
            </w:tcBorders>
            <w:vAlign w:val="center"/>
          </w:tcPr>
          <w:p w14:paraId="26789EAF"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924" w:type="pct"/>
            <w:tcBorders>
              <w:tl2br w:val="nil"/>
              <w:tr2bl w:val="nil"/>
            </w:tcBorders>
            <w:vAlign w:val="center"/>
          </w:tcPr>
          <w:p w14:paraId="7C6C64E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坑塘水面</w:t>
            </w:r>
          </w:p>
        </w:tc>
        <w:tc>
          <w:tcPr>
            <w:tcW w:w="1106" w:type="pct"/>
            <w:tcBorders>
              <w:tl2br w:val="nil"/>
              <w:tr2bl w:val="nil"/>
            </w:tcBorders>
          </w:tcPr>
          <w:p w14:paraId="65670C9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0.81</w:t>
            </w:r>
          </w:p>
        </w:tc>
        <w:tc>
          <w:tcPr>
            <w:tcW w:w="1702" w:type="pct"/>
            <w:tcBorders>
              <w:tl2br w:val="nil"/>
              <w:tr2bl w:val="nil"/>
            </w:tcBorders>
          </w:tcPr>
          <w:p w14:paraId="3D5BCD0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0.09</w:t>
            </w:r>
          </w:p>
        </w:tc>
      </w:tr>
      <w:tr w:rsidR="009D12AF" w14:paraId="2D209B7C" w14:textId="77777777">
        <w:trPr>
          <w:trHeight w:val="247"/>
        </w:trPr>
        <w:tc>
          <w:tcPr>
            <w:tcW w:w="1266" w:type="pct"/>
            <w:vMerge w:val="restart"/>
            <w:tcBorders>
              <w:tl2br w:val="nil"/>
              <w:tr2bl w:val="nil"/>
            </w:tcBorders>
            <w:vAlign w:val="center"/>
          </w:tcPr>
          <w:p w14:paraId="13D6912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交通运输用地</w:t>
            </w:r>
          </w:p>
        </w:tc>
        <w:tc>
          <w:tcPr>
            <w:tcW w:w="924" w:type="pct"/>
            <w:tcBorders>
              <w:tl2br w:val="nil"/>
              <w:tr2bl w:val="nil"/>
            </w:tcBorders>
            <w:vAlign w:val="center"/>
          </w:tcPr>
          <w:p w14:paraId="298A97C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农村道路</w:t>
            </w:r>
          </w:p>
        </w:tc>
        <w:tc>
          <w:tcPr>
            <w:tcW w:w="1106" w:type="pct"/>
            <w:tcBorders>
              <w:tl2br w:val="nil"/>
              <w:tr2bl w:val="nil"/>
            </w:tcBorders>
          </w:tcPr>
          <w:p w14:paraId="44ED594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8.50</w:t>
            </w:r>
          </w:p>
        </w:tc>
        <w:tc>
          <w:tcPr>
            <w:tcW w:w="1702" w:type="pct"/>
            <w:tcBorders>
              <w:tl2br w:val="nil"/>
              <w:tr2bl w:val="nil"/>
            </w:tcBorders>
          </w:tcPr>
          <w:p w14:paraId="6086C42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0.90</w:t>
            </w:r>
          </w:p>
        </w:tc>
      </w:tr>
      <w:tr w:rsidR="009D12AF" w14:paraId="5FA65C42" w14:textId="77777777">
        <w:trPr>
          <w:trHeight w:val="247"/>
        </w:trPr>
        <w:tc>
          <w:tcPr>
            <w:tcW w:w="1266" w:type="pct"/>
            <w:vMerge/>
            <w:tcBorders>
              <w:tl2br w:val="nil"/>
              <w:tr2bl w:val="nil"/>
            </w:tcBorders>
            <w:vAlign w:val="center"/>
          </w:tcPr>
          <w:p w14:paraId="56F9B32C"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924" w:type="pct"/>
            <w:tcBorders>
              <w:tl2br w:val="nil"/>
              <w:tr2bl w:val="nil"/>
            </w:tcBorders>
            <w:vAlign w:val="center"/>
          </w:tcPr>
          <w:p w14:paraId="445B71A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公路用地</w:t>
            </w:r>
          </w:p>
        </w:tc>
        <w:tc>
          <w:tcPr>
            <w:tcW w:w="1106" w:type="pct"/>
            <w:tcBorders>
              <w:tl2br w:val="nil"/>
              <w:tr2bl w:val="nil"/>
            </w:tcBorders>
          </w:tcPr>
          <w:p w14:paraId="032314B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3.64</w:t>
            </w:r>
          </w:p>
        </w:tc>
        <w:tc>
          <w:tcPr>
            <w:tcW w:w="1702" w:type="pct"/>
            <w:tcBorders>
              <w:tl2br w:val="nil"/>
              <w:tr2bl w:val="nil"/>
            </w:tcBorders>
          </w:tcPr>
          <w:p w14:paraId="73DF7C0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0.38</w:t>
            </w:r>
          </w:p>
        </w:tc>
      </w:tr>
      <w:tr w:rsidR="009D12AF" w14:paraId="7E8BBA2E" w14:textId="77777777">
        <w:trPr>
          <w:trHeight w:val="247"/>
        </w:trPr>
        <w:tc>
          <w:tcPr>
            <w:tcW w:w="1266" w:type="pct"/>
            <w:vMerge w:val="restart"/>
            <w:tcBorders>
              <w:tl2br w:val="nil"/>
              <w:tr2bl w:val="nil"/>
            </w:tcBorders>
            <w:vAlign w:val="center"/>
          </w:tcPr>
          <w:p w14:paraId="0C2E2B9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草地</w:t>
            </w:r>
          </w:p>
        </w:tc>
        <w:tc>
          <w:tcPr>
            <w:tcW w:w="924" w:type="pct"/>
            <w:tcBorders>
              <w:tl2br w:val="nil"/>
              <w:tr2bl w:val="nil"/>
            </w:tcBorders>
            <w:vAlign w:val="center"/>
          </w:tcPr>
          <w:p w14:paraId="624C057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其他草地</w:t>
            </w:r>
          </w:p>
        </w:tc>
        <w:tc>
          <w:tcPr>
            <w:tcW w:w="1106" w:type="pct"/>
            <w:tcBorders>
              <w:tl2br w:val="nil"/>
              <w:tr2bl w:val="nil"/>
            </w:tcBorders>
          </w:tcPr>
          <w:p w14:paraId="197B9C5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1.38</w:t>
            </w:r>
          </w:p>
        </w:tc>
        <w:tc>
          <w:tcPr>
            <w:tcW w:w="1702" w:type="pct"/>
            <w:tcBorders>
              <w:tl2br w:val="nil"/>
              <w:tr2bl w:val="nil"/>
            </w:tcBorders>
          </w:tcPr>
          <w:p w14:paraId="3629D98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0.15</w:t>
            </w:r>
          </w:p>
        </w:tc>
      </w:tr>
      <w:tr w:rsidR="009D12AF" w14:paraId="1E6BA38B" w14:textId="77777777">
        <w:trPr>
          <w:trHeight w:val="247"/>
        </w:trPr>
        <w:tc>
          <w:tcPr>
            <w:tcW w:w="1266" w:type="pct"/>
            <w:vMerge/>
            <w:tcBorders>
              <w:tl2br w:val="nil"/>
              <w:tr2bl w:val="nil"/>
            </w:tcBorders>
            <w:vAlign w:val="center"/>
          </w:tcPr>
          <w:p w14:paraId="51726D3F"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924" w:type="pct"/>
            <w:tcBorders>
              <w:tl2br w:val="nil"/>
              <w:tr2bl w:val="nil"/>
            </w:tcBorders>
            <w:vAlign w:val="center"/>
          </w:tcPr>
          <w:p w14:paraId="2DD5F18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沼泽草地</w:t>
            </w:r>
          </w:p>
        </w:tc>
        <w:tc>
          <w:tcPr>
            <w:tcW w:w="1106" w:type="pct"/>
            <w:tcBorders>
              <w:tl2br w:val="nil"/>
              <w:tr2bl w:val="nil"/>
            </w:tcBorders>
          </w:tcPr>
          <w:p w14:paraId="039F107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58.28</w:t>
            </w:r>
          </w:p>
        </w:tc>
        <w:tc>
          <w:tcPr>
            <w:tcW w:w="1702" w:type="pct"/>
            <w:tcBorders>
              <w:tl2br w:val="nil"/>
              <w:tr2bl w:val="nil"/>
            </w:tcBorders>
          </w:tcPr>
          <w:p w14:paraId="0846C7C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6.15</w:t>
            </w:r>
          </w:p>
        </w:tc>
      </w:tr>
      <w:tr w:rsidR="009D12AF" w14:paraId="6E25F725" w14:textId="77777777">
        <w:trPr>
          <w:trHeight w:val="247"/>
        </w:trPr>
        <w:tc>
          <w:tcPr>
            <w:tcW w:w="1266" w:type="pct"/>
            <w:tcBorders>
              <w:tl2br w:val="nil"/>
              <w:tr2bl w:val="nil"/>
            </w:tcBorders>
            <w:vAlign w:val="center"/>
          </w:tcPr>
          <w:p w14:paraId="226DDB7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园地</w:t>
            </w:r>
          </w:p>
        </w:tc>
        <w:tc>
          <w:tcPr>
            <w:tcW w:w="924" w:type="pct"/>
            <w:tcBorders>
              <w:tl2br w:val="nil"/>
              <w:tr2bl w:val="nil"/>
            </w:tcBorders>
            <w:vAlign w:val="center"/>
          </w:tcPr>
          <w:p w14:paraId="6B8876F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果园</w:t>
            </w:r>
          </w:p>
        </w:tc>
        <w:tc>
          <w:tcPr>
            <w:tcW w:w="1106" w:type="pct"/>
            <w:tcBorders>
              <w:tl2br w:val="nil"/>
              <w:tr2bl w:val="nil"/>
            </w:tcBorders>
          </w:tcPr>
          <w:p w14:paraId="6D4981D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0.61</w:t>
            </w:r>
          </w:p>
        </w:tc>
        <w:tc>
          <w:tcPr>
            <w:tcW w:w="1702" w:type="pct"/>
            <w:tcBorders>
              <w:tl2br w:val="nil"/>
              <w:tr2bl w:val="nil"/>
            </w:tcBorders>
          </w:tcPr>
          <w:p w14:paraId="38068B9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0.06</w:t>
            </w:r>
          </w:p>
        </w:tc>
      </w:tr>
      <w:tr w:rsidR="009D12AF" w14:paraId="054FB3B8" w14:textId="77777777">
        <w:trPr>
          <w:trHeight w:val="247"/>
        </w:trPr>
        <w:tc>
          <w:tcPr>
            <w:tcW w:w="1266" w:type="pct"/>
            <w:tcBorders>
              <w:tl2br w:val="nil"/>
              <w:tr2bl w:val="nil"/>
            </w:tcBorders>
            <w:vAlign w:val="center"/>
          </w:tcPr>
          <w:p w14:paraId="418737B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住宅用地</w:t>
            </w:r>
          </w:p>
        </w:tc>
        <w:tc>
          <w:tcPr>
            <w:tcW w:w="924" w:type="pct"/>
            <w:tcBorders>
              <w:tl2br w:val="nil"/>
              <w:tr2bl w:val="nil"/>
            </w:tcBorders>
            <w:vAlign w:val="center"/>
          </w:tcPr>
          <w:p w14:paraId="7B71F35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农村宅基地</w:t>
            </w:r>
          </w:p>
        </w:tc>
        <w:tc>
          <w:tcPr>
            <w:tcW w:w="1106" w:type="pct"/>
            <w:tcBorders>
              <w:tl2br w:val="nil"/>
              <w:tr2bl w:val="nil"/>
            </w:tcBorders>
          </w:tcPr>
          <w:p w14:paraId="5D91852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17.26</w:t>
            </w:r>
          </w:p>
        </w:tc>
        <w:tc>
          <w:tcPr>
            <w:tcW w:w="1702" w:type="pct"/>
            <w:tcBorders>
              <w:tl2br w:val="nil"/>
              <w:tr2bl w:val="nil"/>
            </w:tcBorders>
          </w:tcPr>
          <w:p w14:paraId="32AF2CA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1.82</w:t>
            </w:r>
          </w:p>
        </w:tc>
      </w:tr>
      <w:tr w:rsidR="009D12AF" w14:paraId="57425918" w14:textId="77777777">
        <w:trPr>
          <w:trHeight w:val="247"/>
        </w:trPr>
        <w:tc>
          <w:tcPr>
            <w:tcW w:w="1266" w:type="pct"/>
            <w:vMerge w:val="restart"/>
            <w:tcBorders>
              <w:tl2br w:val="nil"/>
              <w:tr2bl w:val="nil"/>
            </w:tcBorders>
            <w:vAlign w:val="center"/>
          </w:tcPr>
          <w:p w14:paraId="5DAE592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林地</w:t>
            </w:r>
          </w:p>
        </w:tc>
        <w:tc>
          <w:tcPr>
            <w:tcW w:w="924" w:type="pct"/>
            <w:tcBorders>
              <w:tl2br w:val="nil"/>
              <w:tr2bl w:val="nil"/>
            </w:tcBorders>
            <w:vAlign w:val="center"/>
          </w:tcPr>
          <w:p w14:paraId="049F400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其他林地</w:t>
            </w:r>
          </w:p>
        </w:tc>
        <w:tc>
          <w:tcPr>
            <w:tcW w:w="1106" w:type="pct"/>
            <w:tcBorders>
              <w:tl2br w:val="nil"/>
              <w:tr2bl w:val="nil"/>
            </w:tcBorders>
          </w:tcPr>
          <w:p w14:paraId="6C6826F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4.40</w:t>
            </w:r>
          </w:p>
        </w:tc>
        <w:tc>
          <w:tcPr>
            <w:tcW w:w="1702" w:type="pct"/>
            <w:tcBorders>
              <w:tl2br w:val="nil"/>
              <w:tr2bl w:val="nil"/>
            </w:tcBorders>
          </w:tcPr>
          <w:p w14:paraId="72AC4E3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0.46</w:t>
            </w:r>
          </w:p>
        </w:tc>
      </w:tr>
      <w:tr w:rsidR="009D12AF" w14:paraId="353E5603" w14:textId="77777777">
        <w:trPr>
          <w:trHeight w:val="247"/>
        </w:trPr>
        <w:tc>
          <w:tcPr>
            <w:tcW w:w="1266" w:type="pct"/>
            <w:vMerge/>
            <w:tcBorders>
              <w:tl2br w:val="nil"/>
              <w:tr2bl w:val="nil"/>
            </w:tcBorders>
            <w:vAlign w:val="center"/>
          </w:tcPr>
          <w:p w14:paraId="2760CCF4"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924" w:type="pct"/>
            <w:tcBorders>
              <w:tl2br w:val="nil"/>
              <w:tr2bl w:val="nil"/>
            </w:tcBorders>
            <w:vAlign w:val="center"/>
          </w:tcPr>
          <w:p w14:paraId="47A3814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乔木林地</w:t>
            </w:r>
          </w:p>
        </w:tc>
        <w:tc>
          <w:tcPr>
            <w:tcW w:w="1106" w:type="pct"/>
            <w:tcBorders>
              <w:tl2br w:val="nil"/>
              <w:tr2bl w:val="nil"/>
            </w:tcBorders>
          </w:tcPr>
          <w:p w14:paraId="66A4974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348.52</w:t>
            </w:r>
          </w:p>
        </w:tc>
        <w:tc>
          <w:tcPr>
            <w:tcW w:w="1702" w:type="pct"/>
            <w:tcBorders>
              <w:tl2br w:val="nil"/>
              <w:tr2bl w:val="nil"/>
            </w:tcBorders>
          </w:tcPr>
          <w:p w14:paraId="534C67F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36.80</w:t>
            </w:r>
          </w:p>
        </w:tc>
      </w:tr>
      <w:tr w:rsidR="009D12AF" w14:paraId="0A132FBC" w14:textId="77777777">
        <w:trPr>
          <w:trHeight w:val="247"/>
        </w:trPr>
        <w:tc>
          <w:tcPr>
            <w:tcW w:w="1266" w:type="pct"/>
            <w:tcBorders>
              <w:tl2br w:val="nil"/>
              <w:tr2bl w:val="nil"/>
            </w:tcBorders>
            <w:vAlign w:val="center"/>
          </w:tcPr>
          <w:p w14:paraId="337689A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其他用地</w:t>
            </w:r>
          </w:p>
        </w:tc>
        <w:tc>
          <w:tcPr>
            <w:tcW w:w="924" w:type="pct"/>
            <w:tcBorders>
              <w:tl2br w:val="nil"/>
              <w:tr2bl w:val="nil"/>
            </w:tcBorders>
            <w:vAlign w:val="center"/>
          </w:tcPr>
          <w:p w14:paraId="658BC05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设施农用地</w:t>
            </w:r>
          </w:p>
        </w:tc>
        <w:tc>
          <w:tcPr>
            <w:tcW w:w="1106" w:type="pct"/>
            <w:tcBorders>
              <w:tl2br w:val="nil"/>
              <w:tr2bl w:val="nil"/>
            </w:tcBorders>
          </w:tcPr>
          <w:p w14:paraId="3D5E4F9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0.82</w:t>
            </w:r>
          </w:p>
        </w:tc>
        <w:tc>
          <w:tcPr>
            <w:tcW w:w="1702" w:type="pct"/>
            <w:tcBorders>
              <w:tl2br w:val="nil"/>
              <w:tr2bl w:val="nil"/>
            </w:tcBorders>
          </w:tcPr>
          <w:p w14:paraId="66208EC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0.09</w:t>
            </w:r>
          </w:p>
        </w:tc>
      </w:tr>
      <w:tr w:rsidR="009D12AF" w14:paraId="5163B18A" w14:textId="77777777">
        <w:trPr>
          <w:trHeight w:val="247"/>
        </w:trPr>
        <w:tc>
          <w:tcPr>
            <w:tcW w:w="2191" w:type="pct"/>
            <w:gridSpan w:val="2"/>
            <w:tcBorders>
              <w:tl2br w:val="nil"/>
              <w:tr2bl w:val="nil"/>
            </w:tcBorders>
            <w:vAlign w:val="center"/>
          </w:tcPr>
          <w:p w14:paraId="1D1AE9E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总计</w:t>
            </w:r>
          </w:p>
        </w:tc>
        <w:tc>
          <w:tcPr>
            <w:tcW w:w="1106" w:type="pct"/>
            <w:tcBorders>
              <w:tl2br w:val="nil"/>
              <w:tr2bl w:val="nil"/>
            </w:tcBorders>
            <w:vAlign w:val="center"/>
          </w:tcPr>
          <w:p w14:paraId="2C8D36D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9</w:t>
            </w:r>
            <w:r>
              <w:rPr>
                <w:rFonts w:ascii="Times New Roman" w:eastAsia="宋体" w:hAnsi="Times New Roman" w:cs="Times New Roman"/>
                <w:kern w:val="0"/>
                <w:sz w:val="21"/>
                <w:szCs w:val="21"/>
              </w:rPr>
              <w:t>47.18</w:t>
            </w:r>
          </w:p>
        </w:tc>
        <w:tc>
          <w:tcPr>
            <w:tcW w:w="1702" w:type="pct"/>
            <w:tcBorders>
              <w:tl2br w:val="nil"/>
              <w:tr2bl w:val="nil"/>
            </w:tcBorders>
            <w:vAlign w:val="center"/>
          </w:tcPr>
          <w:p w14:paraId="407E893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00.00</w:t>
            </w:r>
          </w:p>
        </w:tc>
      </w:tr>
    </w:tbl>
    <w:bookmarkEnd w:id="336"/>
    <w:p w14:paraId="789EE6CD" w14:textId="77777777" w:rsidR="009D12AF" w:rsidRDefault="00000000">
      <w:pPr>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w:t>
      </w:r>
      <w:r>
        <w:rPr>
          <w:rFonts w:ascii="Times New Roman" w:eastAsia="宋体" w:hAnsi="Times New Roman" w:cs="Times New Roman" w:hint="eastAsia"/>
          <w:kern w:val="0"/>
          <w:szCs w:val="20"/>
        </w:rPr>
        <w:t>2</w:t>
      </w:r>
      <w:r>
        <w:rPr>
          <w:rFonts w:ascii="Times New Roman" w:eastAsia="宋体" w:hAnsi="Times New Roman" w:cs="Times New Roman" w:hint="eastAsia"/>
          <w:kern w:val="0"/>
          <w:szCs w:val="20"/>
        </w:rPr>
        <w:t>）工程占地范围的土地利用现状</w:t>
      </w:r>
    </w:p>
    <w:p w14:paraId="0309475A" w14:textId="77777777" w:rsidR="009D12AF" w:rsidRDefault="00000000">
      <w:pPr>
        <w:adjustRightInd w:val="0"/>
        <w:snapToGrid w:val="0"/>
        <w:spacing w:beforeLines="50" w:before="163"/>
        <w:ind w:firstLine="480"/>
        <w:jc w:val="left"/>
        <w:rPr>
          <w:rFonts w:ascii="Times New Roman" w:eastAsia="宋体" w:hAnsi="Times New Roman" w:cs="Times New Roman"/>
          <w:kern w:val="0"/>
          <w:szCs w:val="20"/>
        </w:rPr>
      </w:pPr>
      <w:r>
        <w:rPr>
          <w:rFonts w:ascii="Times New Roman" w:eastAsia="宋体" w:hAnsi="Times New Roman" w:cs="Times New Roman" w:hint="eastAsia"/>
          <w:kern w:val="0"/>
          <w:szCs w:val="20"/>
        </w:rPr>
        <w:t>工程建设占地只涉及临时占地，主要包括居住区、淤泥堆放区、机械设备停放区、施工便道，面积共计</w:t>
      </w:r>
      <w:r>
        <w:rPr>
          <w:rFonts w:ascii="Times New Roman" w:eastAsia="宋体" w:hAnsi="Times New Roman" w:cs="Times New Roman"/>
          <w:kern w:val="0"/>
          <w:szCs w:val="20"/>
        </w:rPr>
        <w:t>1.26hm²</w:t>
      </w:r>
      <w:r>
        <w:rPr>
          <w:rFonts w:ascii="Times New Roman" w:eastAsia="宋体" w:hAnsi="Times New Roman" w:cs="Times New Roman" w:hint="eastAsia"/>
          <w:kern w:val="0"/>
          <w:szCs w:val="20"/>
        </w:rPr>
        <w:t>。</w:t>
      </w:r>
    </w:p>
    <w:p w14:paraId="16030B5C" w14:textId="77777777" w:rsidR="009D12AF" w:rsidRDefault="00000000">
      <w:pPr>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根据《土地利用现状分类标准（</w:t>
      </w:r>
      <w:r>
        <w:rPr>
          <w:rFonts w:ascii="Times New Roman" w:eastAsia="宋体" w:hAnsi="Times New Roman" w:cs="Times New Roman"/>
          <w:kern w:val="0"/>
          <w:szCs w:val="20"/>
        </w:rPr>
        <w:t>GB/T 21010-2017</w:t>
      </w:r>
      <w:r>
        <w:rPr>
          <w:rFonts w:ascii="Times New Roman" w:eastAsia="宋体" w:hAnsi="Times New Roman" w:cs="Times New Roman" w:hint="eastAsia"/>
          <w:kern w:val="0"/>
          <w:szCs w:val="20"/>
        </w:rPr>
        <w:t>）》，结合土地预审数据，对工程占地范围内的用地类型进行划分，详见</w:t>
      </w:r>
      <w:r>
        <w:rPr>
          <w:rFonts w:ascii="Times New Roman" w:eastAsia="宋体" w:hAnsi="Times New Roman" w:cs="Times New Roman"/>
          <w:kern w:val="0"/>
          <w:szCs w:val="20"/>
        </w:rPr>
        <w:t>表</w:t>
      </w:r>
      <w:r>
        <w:rPr>
          <w:rFonts w:ascii="Times New Roman" w:eastAsia="宋体" w:hAnsi="Times New Roman" w:cs="Times New Roman" w:hint="eastAsia"/>
          <w:kern w:val="0"/>
          <w:szCs w:val="20"/>
        </w:rPr>
        <w:t>2</w:t>
      </w:r>
      <w:r>
        <w:rPr>
          <w:rFonts w:ascii="Times New Roman" w:eastAsia="宋体" w:hAnsi="Times New Roman" w:cs="Times New Roman"/>
          <w:kern w:val="0"/>
          <w:szCs w:val="20"/>
        </w:rPr>
        <w:t>.1-</w:t>
      </w:r>
      <w:r>
        <w:rPr>
          <w:rFonts w:ascii="Times New Roman" w:eastAsia="宋体" w:hAnsi="Times New Roman" w:cs="Times New Roman" w:hint="eastAsia"/>
          <w:kern w:val="0"/>
          <w:szCs w:val="20"/>
        </w:rPr>
        <w:t>13</w:t>
      </w:r>
      <w:r>
        <w:rPr>
          <w:rFonts w:ascii="Times New Roman" w:eastAsia="宋体" w:hAnsi="Times New Roman" w:cs="Times New Roman" w:hint="eastAsia"/>
          <w:kern w:val="0"/>
          <w:szCs w:val="20"/>
        </w:rPr>
        <w:t>。临时占地地类以旱地、农村道路为主，占比为</w:t>
      </w:r>
      <w:r>
        <w:rPr>
          <w:rFonts w:ascii="Times New Roman" w:eastAsia="宋体" w:hAnsi="Times New Roman" w:cs="Times New Roman"/>
          <w:kern w:val="0"/>
          <w:szCs w:val="20"/>
        </w:rPr>
        <w:t>81.75 %</w:t>
      </w:r>
      <w:r>
        <w:rPr>
          <w:rFonts w:ascii="Times New Roman" w:eastAsia="宋体" w:hAnsi="Times New Roman" w:cs="Times New Roman" w:hint="eastAsia"/>
          <w:kern w:val="0"/>
          <w:szCs w:val="20"/>
        </w:rPr>
        <w:t>、</w:t>
      </w:r>
      <w:r>
        <w:rPr>
          <w:rFonts w:ascii="Times New Roman" w:eastAsia="宋体" w:hAnsi="Times New Roman" w:cs="Times New Roman" w:hint="eastAsia"/>
          <w:kern w:val="0"/>
          <w:szCs w:val="21"/>
        </w:rPr>
        <w:t>1</w:t>
      </w:r>
      <w:r>
        <w:rPr>
          <w:rFonts w:ascii="Times New Roman" w:eastAsia="宋体" w:hAnsi="Times New Roman" w:cs="Times New Roman"/>
          <w:kern w:val="0"/>
          <w:szCs w:val="21"/>
        </w:rPr>
        <w:t>5.87</w:t>
      </w:r>
      <w:r>
        <w:rPr>
          <w:rFonts w:ascii="Times New Roman" w:eastAsia="宋体" w:hAnsi="Times New Roman" w:cs="Times New Roman"/>
          <w:kern w:val="0"/>
          <w:szCs w:val="20"/>
        </w:rPr>
        <w:t>%</w:t>
      </w:r>
      <w:r>
        <w:rPr>
          <w:rFonts w:ascii="Times New Roman" w:eastAsia="宋体" w:hAnsi="Times New Roman" w:cs="Times New Roman" w:hint="eastAsia"/>
          <w:kern w:val="0"/>
          <w:szCs w:val="20"/>
        </w:rPr>
        <w:t>。</w:t>
      </w:r>
    </w:p>
    <w:p w14:paraId="0DD77CBA" w14:textId="77777777" w:rsidR="009D12AF" w:rsidRDefault="00000000">
      <w:pPr>
        <w:ind w:firstLine="482"/>
        <w:jc w:val="center"/>
        <w:rPr>
          <w:rFonts w:ascii="Times New Roman" w:eastAsia="宋体" w:hAnsi="宋体" w:cs="宋体" w:hint="eastAsia"/>
          <w:b/>
          <w:kern w:val="0"/>
          <w:highlight w:val="yellow"/>
        </w:rPr>
      </w:pPr>
      <w:r>
        <w:rPr>
          <w:rFonts w:ascii="Times New Roman" w:eastAsia="宋体" w:hAnsi="宋体" w:cs="宋体"/>
          <w:b/>
          <w:kern w:val="0"/>
        </w:rPr>
        <w:t>表</w:t>
      </w:r>
      <w:r>
        <w:rPr>
          <w:rFonts w:ascii="Times New Roman" w:eastAsia="宋体" w:hAnsi="宋体" w:cs="宋体" w:hint="eastAsia"/>
          <w:b/>
          <w:kern w:val="0"/>
        </w:rPr>
        <w:t>4.3-69</w:t>
      </w:r>
      <w:r>
        <w:rPr>
          <w:rFonts w:ascii="Times New Roman" w:eastAsia="宋体" w:hAnsi="宋体" w:cs="宋体"/>
          <w:b/>
          <w:kern w:val="0"/>
        </w:rPr>
        <w:t xml:space="preserve">  </w:t>
      </w:r>
      <w:r>
        <w:rPr>
          <w:rFonts w:ascii="Times New Roman" w:eastAsia="宋体" w:hAnsi="宋体" w:cs="宋体"/>
          <w:b/>
          <w:kern w:val="0"/>
        </w:rPr>
        <w:t>工程占地范围各土地利用类型面积一览</w:t>
      </w:r>
    </w:p>
    <w:tbl>
      <w:tblPr>
        <w:tblW w:w="0" w:type="auto"/>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247"/>
        <w:gridCol w:w="1559"/>
        <w:gridCol w:w="1559"/>
        <w:gridCol w:w="1985"/>
        <w:gridCol w:w="1701"/>
      </w:tblGrid>
      <w:tr w:rsidR="009D12AF" w14:paraId="3A1A5377" w14:textId="77777777">
        <w:trPr>
          <w:trHeight w:val="803"/>
          <w:jc w:val="center"/>
        </w:trPr>
        <w:tc>
          <w:tcPr>
            <w:tcW w:w="1247" w:type="dxa"/>
            <w:tcBorders>
              <w:tl2br w:val="nil"/>
              <w:tr2bl w:val="nil"/>
            </w:tcBorders>
            <w:vAlign w:val="center"/>
          </w:tcPr>
          <w:p w14:paraId="1ED8ADC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工程内容</w:t>
            </w:r>
          </w:p>
        </w:tc>
        <w:tc>
          <w:tcPr>
            <w:tcW w:w="1559" w:type="dxa"/>
            <w:tcBorders>
              <w:tl2br w:val="nil"/>
              <w:tr2bl w:val="nil"/>
            </w:tcBorders>
            <w:vAlign w:val="center"/>
          </w:tcPr>
          <w:p w14:paraId="7990A78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一级分类</w:t>
            </w:r>
          </w:p>
        </w:tc>
        <w:tc>
          <w:tcPr>
            <w:tcW w:w="1559" w:type="dxa"/>
            <w:tcBorders>
              <w:tl2br w:val="nil"/>
              <w:tr2bl w:val="nil"/>
            </w:tcBorders>
            <w:vAlign w:val="center"/>
          </w:tcPr>
          <w:p w14:paraId="3D78C5C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二级分类</w:t>
            </w:r>
          </w:p>
        </w:tc>
        <w:tc>
          <w:tcPr>
            <w:tcW w:w="1985" w:type="dxa"/>
            <w:tcBorders>
              <w:tl2br w:val="nil"/>
              <w:tr2bl w:val="nil"/>
            </w:tcBorders>
            <w:vAlign w:val="center"/>
          </w:tcPr>
          <w:p w14:paraId="5D476EE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面积（</w:t>
            </w:r>
            <w:r>
              <w:rPr>
                <w:rFonts w:ascii="Times New Roman" w:eastAsia="宋体" w:hAnsi="Times New Roman" w:cs="Times New Roman"/>
                <w:kern w:val="0"/>
                <w:sz w:val="21"/>
                <w:szCs w:val="21"/>
              </w:rPr>
              <w:t>hm</w:t>
            </w:r>
            <w:r>
              <w:rPr>
                <w:rFonts w:ascii="Times New Roman" w:eastAsia="宋体" w:hAnsi="Times New Roman" w:cs="Times New Roman"/>
                <w:kern w:val="0"/>
                <w:sz w:val="21"/>
                <w:szCs w:val="21"/>
                <w:vertAlign w:val="superscript"/>
              </w:rPr>
              <w:t>2</w:t>
            </w:r>
            <w:r>
              <w:rPr>
                <w:rFonts w:ascii="Times New Roman" w:eastAsia="宋体" w:hAnsi="Times New Roman" w:cs="Times New Roman"/>
                <w:kern w:val="0"/>
                <w:sz w:val="21"/>
                <w:szCs w:val="21"/>
              </w:rPr>
              <w:t>）</w:t>
            </w:r>
          </w:p>
        </w:tc>
        <w:tc>
          <w:tcPr>
            <w:tcW w:w="1701" w:type="dxa"/>
            <w:tcBorders>
              <w:tl2br w:val="nil"/>
              <w:tr2bl w:val="nil"/>
            </w:tcBorders>
            <w:vAlign w:val="center"/>
          </w:tcPr>
          <w:p w14:paraId="187776E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占比（</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p>
        </w:tc>
      </w:tr>
      <w:tr w:rsidR="009D12AF" w14:paraId="60C666F6" w14:textId="77777777">
        <w:trPr>
          <w:trHeight w:val="413"/>
          <w:jc w:val="center"/>
        </w:trPr>
        <w:tc>
          <w:tcPr>
            <w:tcW w:w="1247" w:type="dxa"/>
            <w:vMerge w:val="restart"/>
            <w:tcBorders>
              <w:tl2br w:val="nil"/>
              <w:tr2bl w:val="nil"/>
            </w:tcBorders>
            <w:vAlign w:val="center"/>
          </w:tcPr>
          <w:p w14:paraId="1F00CF4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临时占地</w:t>
            </w:r>
          </w:p>
        </w:tc>
        <w:tc>
          <w:tcPr>
            <w:tcW w:w="1559" w:type="dxa"/>
            <w:tcBorders>
              <w:tl2br w:val="nil"/>
              <w:tr2bl w:val="nil"/>
            </w:tcBorders>
            <w:vAlign w:val="center"/>
          </w:tcPr>
          <w:p w14:paraId="7D1BADF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耕地</w:t>
            </w:r>
          </w:p>
        </w:tc>
        <w:tc>
          <w:tcPr>
            <w:tcW w:w="1559" w:type="dxa"/>
            <w:tcBorders>
              <w:tl2br w:val="nil"/>
              <w:tr2bl w:val="nil"/>
            </w:tcBorders>
            <w:vAlign w:val="center"/>
          </w:tcPr>
          <w:p w14:paraId="29EE46F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旱地</w:t>
            </w:r>
          </w:p>
        </w:tc>
        <w:tc>
          <w:tcPr>
            <w:tcW w:w="1985" w:type="dxa"/>
            <w:tcBorders>
              <w:tl2br w:val="nil"/>
              <w:tr2bl w:val="nil"/>
            </w:tcBorders>
            <w:vAlign w:val="center"/>
          </w:tcPr>
          <w:p w14:paraId="3524F7A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.03</w:t>
            </w:r>
          </w:p>
        </w:tc>
        <w:tc>
          <w:tcPr>
            <w:tcW w:w="1701" w:type="dxa"/>
            <w:tcBorders>
              <w:tl2br w:val="nil"/>
              <w:tr2bl w:val="nil"/>
            </w:tcBorders>
            <w:vAlign w:val="center"/>
          </w:tcPr>
          <w:p w14:paraId="663D828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8</w:t>
            </w:r>
            <w:r>
              <w:rPr>
                <w:rFonts w:ascii="Times New Roman" w:eastAsia="宋体" w:hAnsi="Times New Roman" w:cs="Times New Roman"/>
                <w:kern w:val="0"/>
                <w:sz w:val="21"/>
                <w:szCs w:val="21"/>
              </w:rPr>
              <w:t>1.75</w:t>
            </w:r>
          </w:p>
        </w:tc>
      </w:tr>
      <w:tr w:rsidR="009D12AF" w14:paraId="0C23F176" w14:textId="77777777">
        <w:trPr>
          <w:trHeight w:val="405"/>
          <w:jc w:val="center"/>
        </w:trPr>
        <w:tc>
          <w:tcPr>
            <w:tcW w:w="1247" w:type="dxa"/>
            <w:vMerge/>
            <w:tcBorders>
              <w:tl2br w:val="nil"/>
              <w:tr2bl w:val="nil"/>
            </w:tcBorders>
            <w:vAlign w:val="center"/>
          </w:tcPr>
          <w:p w14:paraId="3668E25B"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1559" w:type="dxa"/>
            <w:tcBorders>
              <w:tl2br w:val="nil"/>
              <w:tr2bl w:val="nil"/>
            </w:tcBorders>
          </w:tcPr>
          <w:p w14:paraId="70C0819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住宅用地</w:t>
            </w:r>
          </w:p>
        </w:tc>
        <w:tc>
          <w:tcPr>
            <w:tcW w:w="1559" w:type="dxa"/>
            <w:tcBorders>
              <w:tl2br w:val="nil"/>
              <w:tr2bl w:val="nil"/>
            </w:tcBorders>
          </w:tcPr>
          <w:p w14:paraId="24396BF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农村宅基地</w:t>
            </w:r>
          </w:p>
        </w:tc>
        <w:tc>
          <w:tcPr>
            <w:tcW w:w="1985" w:type="dxa"/>
            <w:tcBorders>
              <w:tl2br w:val="nil"/>
              <w:tr2bl w:val="nil"/>
            </w:tcBorders>
            <w:vAlign w:val="center"/>
          </w:tcPr>
          <w:p w14:paraId="49EF5CA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r>
              <w:rPr>
                <w:rFonts w:ascii="Times New Roman" w:eastAsia="宋体" w:hAnsi="Times New Roman" w:cs="Times New Roman"/>
                <w:kern w:val="0"/>
                <w:sz w:val="21"/>
                <w:szCs w:val="21"/>
              </w:rPr>
              <w:t>.03</w:t>
            </w:r>
          </w:p>
        </w:tc>
        <w:tc>
          <w:tcPr>
            <w:tcW w:w="1701" w:type="dxa"/>
            <w:tcBorders>
              <w:tl2br w:val="nil"/>
              <w:tr2bl w:val="nil"/>
            </w:tcBorders>
            <w:vAlign w:val="center"/>
          </w:tcPr>
          <w:p w14:paraId="7EC2A43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w:t>
            </w:r>
            <w:r>
              <w:rPr>
                <w:rFonts w:ascii="Times New Roman" w:eastAsia="宋体" w:hAnsi="Times New Roman" w:cs="Times New Roman"/>
                <w:kern w:val="0"/>
                <w:sz w:val="21"/>
                <w:szCs w:val="21"/>
              </w:rPr>
              <w:t>.38</w:t>
            </w:r>
          </w:p>
        </w:tc>
      </w:tr>
      <w:tr w:rsidR="009D12AF" w14:paraId="6996D1EE" w14:textId="77777777">
        <w:trPr>
          <w:trHeight w:val="424"/>
          <w:jc w:val="center"/>
        </w:trPr>
        <w:tc>
          <w:tcPr>
            <w:tcW w:w="1247" w:type="dxa"/>
            <w:vMerge/>
            <w:tcBorders>
              <w:tl2br w:val="nil"/>
              <w:tr2bl w:val="nil"/>
            </w:tcBorders>
            <w:vAlign w:val="center"/>
          </w:tcPr>
          <w:p w14:paraId="59F2F6FC"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1559" w:type="dxa"/>
            <w:tcBorders>
              <w:tl2br w:val="nil"/>
              <w:tr2bl w:val="nil"/>
            </w:tcBorders>
            <w:vAlign w:val="center"/>
          </w:tcPr>
          <w:p w14:paraId="58FA077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交通运输用地</w:t>
            </w:r>
          </w:p>
        </w:tc>
        <w:tc>
          <w:tcPr>
            <w:tcW w:w="1559" w:type="dxa"/>
            <w:tcBorders>
              <w:tl2br w:val="nil"/>
              <w:tr2bl w:val="nil"/>
            </w:tcBorders>
            <w:vAlign w:val="center"/>
          </w:tcPr>
          <w:p w14:paraId="0AFCA1D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农村道路</w:t>
            </w:r>
          </w:p>
        </w:tc>
        <w:tc>
          <w:tcPr>
            <w:tcW w:w="1985" w:type="dxa"/>
            <w:tcBorders>
              <w:tl2br w:val="nil"/>
              <w:tr2bl w:val="nil"/>
            </w:tcBorders>
            <w:vAlign w:val="center"/>
          </w:tcPr>
          <w:p w14:paraId="18D89D0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r>
              <w:rPr>
                <w:rFonts w:ascii="Times New Roman" w:eastAsia="宋体" w:hAnsi="Times New Roman" w:cs="Times New Roman"/>
                <w:kern w:val="0"/>
                <w:sz w:val="21"/>
                <w:szCs w:val="21"/>
              </w:rPr>
              <w:t>.20</w:t>
            </w:r>
          </w:p>
        </w:tc>
        <w:tc>
          <w:tcPr>
            <w:tcW w:w="1701" w:type="dxa"/>
            <w:tcBorders>
              <w:tl2br w:val="nil"/>
              <w:tr2bl w:val="nil"/>
            </w:tcBorders>
            <w:vAlign w:val="center"/>
          </w:tcPr>
          <w:p w14:paraId="490BED2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5.87</w:t>
            </w:r>
          </w:p>
        </w:tc>
      </w:tr>
      <w:tr w:rsidR="009D12AF" w14:paraId="7D2D748E" w14:textId="77777777">
        <w:trPr>
          <w:jc w:val="center"/>
        </w:trPr>
        <w:tc>
          <w:tcPr>
            <w:tcW w:w="1247" w:type="dxa"/>
            <w:vMerge/>
            <w:tcBorders>
              <w:tl2br w:val="nil"/>
              <w:tr2bl w:val="nil"/>
            </w:tcBorders>
            <w:vAlign w:val="center"/>
          </w:tcPr>
          <w:p w14:paraId="5A007798"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3118" w:type="dxa"/>
            <w:gridSpan w:val="2"/>
            <w:tcBorders>
              <w:tl2br w:val="nil"/>
              <w:tr2bl w:val="nil"/>
            </w:tcBorders>
            <w:vAlign w:val="center"/>
          </w:tcPr>
          <w:p w14:paraId="5EF8DDC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小计</w:t>
            </w:r>
          </w:p>
        </w:tc>
        <w:tc>
          <w:tcPr>
            <w:tcW w:w="1985" w:type="dxa"/>
            <w:tcBorders>
              <w:tl2br w:val="nil"/>
              <w:tr2bl w:val="nil"/>
            </w:tcBorders>
            <w:vAlign w:val="center"/>
          </w:tcPr>
          <w:p w14:paraId="0C611A2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.26</w:t>
            </w:r>
          </w:p>
        </w:tc>
        <w:tc>
          <w:tcPr>
            <w:tcW w:w="1701" w:type="dxa"/>
            <w:tcBorders>
              <w:tl2br w:val="nil"/>
              <w:tr2bl w:val="nil"/>
            </w:tcBorders>
            <w:vAlign w:val="center"/>
          </w:tcPr>
          <w:p w14:paraId="0434EB2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00.00</w:t>
            </w:r>
          </w:p>
        </w:tc>
      </w:tr>
    </w:tbl>
    <w:p w14:paraId="53DD596E" w14:textId="77777777" w:rsidR="009D12AF" w:rsidRDefault="00000000">
      <w:pPr>
        <w:pStyle w:val="4"/>
        <w:ind w:firstLineChars="0" w:firstLine="0"/>
      </w:pPr>
      <w:r>
        <w:rPr>
          <w:rFonts w:hint="eastAsia"/>
        </w:rPr>
        <w:lastRenderedPageBreak/>
        <w:t>4.3.7.14</w:t>
      </w:r>
      <w:r>
        <w:rPr>
          <w:rFonts w:hint="eastAsia"/>
        </w:rPr>
        <w:t>生态敏感区</w:t>
      </w:r>
    </w:p>
    <w:p w14:paraId="6DBCB5E3" w14:textId="77777777" w:rsidR="009D12AF" w:rsidRDefault="00000000">
      <w:pPr>
        <w:ind w:firstLine="480"/>
      </w:pPr>
      <w:r>
        <w:rPr>
          <w:rFonts w:hint="eastAsia"/>
        </w:rPr>
        <w:t>1</w:t>
      </w:r>
      <w:r>
        <w:rPr>
          <w:rFonts w:hint="eastAsia"/>
        </w:rPr>
        <w:t>、黑龙江海林莲花湖省级自然保护区</w:t>
      </w:r>
    </w:p>
    <w:p w14:paraId="7B9AB900" w14:textId="77777777" w:rsidR="009D12AF" w:rsidRDefault="00000000">
      <w:pPr>
        <w:wordWrap w:val="0"/>
        <w:spacing w:after="160"/>
        <w:ind w:firstLine="480"/>
        <w:jc w:val="left"/>
        <w:rPr>
          <w:rFonts w:ascii="Times New Roman" w:eastAsia="宋体" w:hAnsi="Times New Roman" w:cs="Times New Roman"/>
        </w:rPr>
      </w:pPr>
      <w:r>
        <w:rPr>
          <w:rFonts w:ascii="Times New Roman" w:eastAsia="宋体" w:hAnsi="Times New Roman" w:cs="Times New Roman" w:hint="eastAsia"/>
        </w:rPr>
        <w:t>黑龙江莲花湖自然保护区位于黑龙江省海林市东北部，张广才岭东坡及余脉。地理坐标为东经</w:t>
      </w:r>
      <w:r>
        <w:rPr>
          <w:rFonts w:ascii="Times New Roman" w:eastAsia="宋体" w:hAnsi="Times New Roman" w:cs="Times New Roman" w:hint="eastAsia"/>
        </w:rPr>
        <w:t>129</w:t>
      </w:r>
      <w:r>
        <w:rPr>
          <w:rFonts w:ascii="Times New Roman" w:eastAsia="宋体" w:hAnsi="Times New Roman" w:cs="Times New Roman" w:hint="eastAsia"/>
        </w:rPr>
        <w:t>°</w:t>
      </w:r>
      <w:r>
        <w:rPr>
          <w:rFonts w:ascii="Times New Roman" w:eastAsia="宋体" w:hAnsi="Times New Roman" w:cs="Times New Roman" w:hint="eastAsia"/>
        </w:rPr>
        <w:t>16</w:t>
      </w:r>
      <w:r>
        <w:rPr>
          <w:rFonts w:ascii="Times New Roman" w:eastAsia="宋体" w:hAnsi="Times New Roman" w:cs="Times New Roman" w:hint="eastAsia"/>
        </w:rPr>
        <w:t>＇</w:t>
      </w:r>
      <w:r>
        <w:rPr>
          <w:rFonts w:ascii="Times New Roman" w:eastAsia="宋体" w:hAnsi="Times New Roman" w:cs="Times New Roman" w:hint="eastAsia"/>
        </w:rPr>
        <w:t>27.8</w:t>
      </w:r>
      <w:r>
        <w:rPr>
          <w:rFonts w:ascii="Times New Roman" w:eastAsia="宋体" w:hAnsi="Times New Roman" w:cs="Times New Roman" w:hint="eastAsia"/>
        </w:rPr>
        <w:t>＂～</w:t>
      </w:r>
      <w:r>
        <w:rPr>
          <w:rFonts w:ascii="Times New Roman" w:eastAsia="宋体" w:hAnsi="Times New Roman" w:cs="Times New Roman" w:hint="eastAsia"/>
        </w:rPr>
        <w:t>129</w:t>
      </w:r>
      <w:r>
        <w:rPr>
          <w:rFonts w:ascii="Times New Roman" w:eastAsia="宋体" w:hAnsi="Times New Roman" w:cs="Times New Roman" w:hint="eastAsia"/>
        </w:rPr>
        <w:t>°</w:t>
      </w:r>
      <w:r>
        <w:rPr>
          <w:rFonts w:ascii="Times New Roman" w:eastAsia="宋体" w:hAnsi="Times New Roman" w:cs="Times New Roman" w:hint="eastAsia"/>
        </w:rPr>
        <w:t>55</w:t>
      </w:r>
      <w:r>
        <w:rPr>
          <w:rFonts w:ascii="Times New Roman" w:eastAsia="宋体" w:hAnsi="Times New Roman" w:cs="Times New Roman" w:hint="eastAsia"/>
        </w:rPr>
        <w:t>＇</w:t>
      </w:r>
      <w:r>
        <w:rPr>
          <w:rFonts w:ascii="Times New Roman" w:eastAsia="宋体" w:hAnsi="Times New Roman" w:cs="Times New Roman" w:hint="eastAsia"/>
        </w:rPr>
        <w:t>08.4</w:t>
      </w:r>
      <w:r>
        <w:rPr>
          <w:rFonts w:ascii="Times New Roman" w:eastAsia="宋体" w:hAnsi="Times New Roman" w:cs="Times New Roman" w:hint="eastAsia"/>
        </w:rPr>
        <w:t>＂，北纬</w:t>
      </w:r>
      <w:r>
        <w:rPr>
          <w:rFonts w:ascii="Times New Roman" w:eastAsia="宋体" w:hAnsi="Times New Roman" w:cs="Times New Roman" w:hint="eastAsia"/>
        </w:rPr>
        <w:t>44</w:t>
      </w:r>
      <w:r>
        <w:rPr>
          <w:rFonts w:ascii="Times New Roman" w:eastAsia="宋体" w:hAnsi="Times New Roman" w:cs="Times New Roman" w:hint="eastAsia"/>
        </w:rPr>
        <w:t>°</w:t>
      </w:r>
      <w:r>
        <w:rPr>
          <w:rFonts w:ascii="Times New Roman" w:eastAsia="宋体" w:hAnsi="Times New Roman" w:cs="Times New Roman" w:hint="eastAsia"/>
        </w:rPr>
        <w:t>45</w:t>
      </w:r>
      <w:r>
        <w:rPr>
          <w:rFonts w:ascii="Times New Roman" w:eastAsia="宋体" w:hAnsi="Times New Roman" w:cs="Times New Roman" w:hint="eastAsia"/>
        </w:rPr>
        <w:t>＇</w:t>
      </w:r>
      <w:r>
        <w:rPr>
          <w:rFonts w:ascii="Times New Roman" w:eastAsia="宋体" w:hAnsi="Times New Roman" w:cs="Times New Roman" w:hint="eastAsia"/>
        </w:rPr>
        <w:t>28.3</w:t>
      </w:r>
      <w:r>
        <w:rPr>
          <w:rFonts w:ascii="Times New Roman" w:eastAsia="宋体" w:hAnsi="Times New Roman" w:cs="Times New Roman" w:hint="eastAsia"/>
        </w:rPr>
        <w:t>＂～</w:t>
      </w:r>
      <w:r>
        <w:rPr>
          <w:rFonts w:ascii="Times New Roman" w:eastAsia="宋体" w:hAnsi="Times New Roman" w:cs="Times New Roman" w:hint="eastAsia"/>
        </w:rPr>
        <w:t>45</w:t>
      </w:r>
      <w:r>
        <w:rPr>
          <w:rFonts w:ascii="Times New Roman" w:eastAsia="宋体" w:hAnsi="Times New Roman" w:cs="Times New Roman" w:hint="eastAsia"/>
        </w:rPr>
        <w:t>°</w:t>
      </w:r>
      <w:r>
        <w:rPr>
          <w:rFonts w:ascii="Times New Roman" w:eastAsia="宋体" w:hAnsi="Times New Roman" w:cs="Times New Roman" w:hint="eastAsia"/>
        </w:rPr>
        <w:t>31</w:t>
      </w:r>
      <w:r>
        <w:rPr>
          <w:rFonts w:ascii="Times New Roman" w:eastAsia="宋体" w:hAnsi="Times New Roman" w:cs="Times New Roman" w:hint="eastAsia"/>
        </w:rPr>
        <w:t>＇</w:t>
      </w:r>
      <w:r>
        <w:rPr>
          <w:rFonts w:ascii="Times New Roman" w:eastAsia="宋体" w:hAnsi="Times New Roman" w:cs="Times New Roman" w:hint="eastAsia"/>
        </w:rPr>
        <w:t>17.3</w:t>
      </w:r>
      <w:r>
        <w:rPr>
          <w:rFonts w:ascii="Times New Roman" w:eastAsia="宋体" w:hAnsi="Times New Roman" w:cs="Times New Roman" w:hint="eastAsia"/>
        </w:rPr>
        <w:t>＂。保护区西邻柴河林业局，南与牡丹江市和海林市毗邻，东、北与林口县接壤。南北长</w:t>
      </w:r>
      <w:r>
        <w:rPr>
          <w:rFonts w:ascii="Times New Roman" w:eastAsia="宋体" w:hAnsi="Times New Roman" w:cs="Times New Roman" w:hint="eastAsia"/>
        </w:rPr>
        <w:t>84.9km</w:t>
      </w:r>
      <w:r>
        <w:rPr>
          <w:rFonts w:ascii="Times New Roman" w:eastAsia="宋体" w:hAnsi="Times New Roman" w:cs="Times New Roman" w:hint="eastAsia"/>
        </w:rPr>
        <w:t>，东西宽</w:t>
      </w:r>
      <w:r>
        <w:rPr>
          <w:rFonts w:ascii="Times New Roman" w:eastAsia="宋体" w:hAnsi="Times New Roman" w:cs="Times New Roman" w:hint="eastAsia"/>
        </w:rPr>
        <w:t>50.3km</w:t>
      </w:r>
      <w:r>
        <w:rPr>
          <w:rFonts w:ascii="Times New Roman" w:eastAsia="宋体" w:hAnsi="Times New Roman" w:cs="Times New Roman" w:hint="eastAsia"/>
        </w:rPr>
        <w:t>。保护区总面积为</w:t>
      </w:r>
      <w:r>
        <w:rPr>
          <w:rFonts w:ascii="Times New Roman" w:eastAsia="宋体" w:hAnsi="Times New Roman" w:cs="Times New Roman" w:hint="eastAsia"/>
        </w:rPr>
        <w:t>182145.70h</w:t>
      </w:r>
      <w:r>
        <w:rPr>
          <w:rFonts w:ascii="Times New Roman" w:eastAsia="宋体" w:hAnsi="Times New Roman" w:cs="Times New Roman" w:hint="eastAsia"/>
        </w:rPr>
        <w:t>㎡。莲花湖自然保护区地处长白山系张广才岭东坡，属于中山和低山丘陵地带，西北高耸，东南低缓，地势起伏较大，山势较陡，海拔多在</w:t>
      </w:r>
      <w:r>
        <w:rPr>
          <w:rFonts w:ascii="Times New Roman" w:eastAsia="宋体" w:hAnsi="Times New Roman" w:cs="Times New Roman" w:hint="eastAsia"/>
        </w:rPr>
        <w:t>500</w:t>
      </w:r>
      <w:r>
        <w:rPr>
          <w:rFonts w:ascii="Times New Roman" w:eastAsia="宋体" w:hAnsi="Times New Roman" w:cs="Times New Roman" w:hint="eastAsia"/>
        </w:rPr>
        <w:t>～</w:t>
      </w:r>
      <w:r>
        <w:rPr>
          <w:rFonts w:ascii="Times New Roman" w:eastAsia="宋体" w:hAnsi="Times New Roman" w:cs="Times New Roman" w:hint="eastAsia"/>
        </w:rPr>
        <w:t>1100m</w:t>
      </w:r>
      <w:r>
        <w:rPr>
          <w:rFonts w:ascii="Times New Roman" w:eastAsia="宋体" w:hAnsi="Times New Roman" w:cs="Times New Roman" w:hint="eastAsia"/>
        </w:rPr>
        <w:t>之间。区内出露的地层主要有花岗岩、大理岩及角闪斜长片淋岩等。本区属于中山和低山丘陵地带西北高而东南低，平均海拔</w:t>
      </w:r>
      <w:r>
        <w:rPr>
          <w:rFonts w:ascii="Times New Roman" w:eastAsia="宋体" w:hAnsi="Times New Roman" w:cs="Times New Roman" w:hint="eastAsia"/>
        </w:rPr>
        <w:t xml:space="preserve">500m </w:t>
      </w:r>
      <w:r>
        <w:rPr>
          <w:rFonts w:ascii="Times New Roman" w:eastAsia="宋体" w:hAnsi="Times New Roman" w:cs="Times New Roman" w:hint="eastAsia"/>
        </w:rPr>
        <w:t>左右；最高峰为林口林业局奋斗林场的大锅盔山，海拔</w:t>
      </w:r>
      <w:r>
        <w:rPr>
          <w:rFonts w:ascii="Times New Roman" w:eastAsia="宋体" w:hAnsi="Times New Roman" w:cs="Times New Roman" w:hint="eastAsia"/>
        </w:rPr>
        <w:t>1184.8m</w:t>
      </w:r>
      <w:r>
        <w:rPr>
          <w:rFonts w:ascii="Times New Roman" w:eastAsia="宋体" w:hAnsi="Times New Roman" w:cs="Times New Roman" w:hint="eastAsia"/>
        </w:rPr>
        <w:t>。</w:t>
      </w:r>
    </w:p>
    <w:p w14:paraId="79B838CC" w14:textId="77777777" w:rsidR="009D12AF" w:rsidRDefault="00000000">
      <w:pPr>
        <w:wordWrap w:val="0"/>
        <w:ind w:firstLine="480"/>
        <w:jc w:val="left"/>
        <w:rPr>
          <w:rFonts w:ascii="Times New Roman" w:eastAsia="宋体" w:hAnsi="Times New Roman" w:cs="Times New Roman"/>
        </w:rPr>
      </w:pPr>
      <w:r>
        <w:rPr>
          <w:rFonts w:ascii="Times New Roman" w:eastAsia="宋体" w:hAnsi="Times New Roman" w:cs="Times New Roman" w:hint="eastAsia"/>
        </w:rPr>
        <w:t>莲花湖属中温带大陆性湿润季风气候，由于库区地处山区，呈现出明显的小区域气候，各部分地区间差别较大。西部属冷凉湿润高山区气候，东部属温凉较湿润浅山区气候，沿湖两岸多属温凉半湿润丘陵气候。</w:t>
      </w:r>
    </w:p>
    <w:p w14:paraId="2B67D76E" w14:textId="77777777" w:rsidR="009D12AF" w:rsidRDefault="00000000">
      <w:pPr>
        <w:wordWrap w:val="0"/>
        <w:ind w:firstLine="480"/>
        <w:jc w:val="left"/>
        <w:rPr>
          <w:rFonts w:ascii="Times New Roman" w:eastAsia="宋体" w:hAnsi="Times New Roman" w:cs="Times New Roman"/>
        </w:rPr>
      </w:pPr>
      <w:r>
        <w:rPr>
          <w:rFonts w:ascii="Times New Roman" w:eastAsia="宋体" w:hAnsi="Times New Roman" w:cs="Times New Roman" w:hint="eastAsia"/>
        </w:rPr>
        <w:t>据初步调查统计，黑龙江莲花湖自然保护区植物组成中共有高等植物</w:t>
      </w:r>
      <w:r>
        <w:rPr>
          <w:rFonts w:ascii="Times New Roman" w:eastAsia="宋体" w:hAnsi="Times New Roman" w:cs="Times New Roman" w:hint="eastAsia"/>
        </w:rPr>
        <w:t>146</w:t>
      </w:r>
      <w:r>
        <w:rPr>
          <w:rFonts w:ascii="Times New Roman" w:eastAsia="宋体" w:hAnsi="Times New Roman" w:cs="Times New Roman" w:hint="eastAsia"/>
        </w:rPr>
        <w:t>科</w:t>
      </w:r>
      <w:r>
        <w:rPr>
          <w:rFonts w:ascii="Times New Roman" w:eastAsia="宋体" w:hAnsi="Times New Roman" w:cs="Times New Roman" w:hint="eastAsia"/>
        </w:rPr>
        <w:t>403</w:t>
      </w:r>
      <w:r>
        <w:rPr>
          <w:rFonts w:ascii="Times New Roman" w:eastAsia="宋体" w:hAnsi="Times New Roman" w:cs="Times New Roman" w:hint="eastAsia"/>
        </w:rPr>
        <w:t>属</w:t>
      </w:r>
      <w:r>
        <w:rPr>
          <w:rFonts w:ascii="Times New Roman" w:eastAsia="宋体" w:hAnsi="Times New Roman" w:cs="Times New Roman" w:hint="eastAsia"/>
        </w:rPr>
        <w:t>668</w:t>
      </w:r>
      <w:r>
        <w:rPr>
          <w:rFonts w:ascii="Times New Roman" w:eastAsia="宋体" w:hAnsi="Times New Roman" w:cs="Times New Roman" w:hint="eastAsia"/>
        </w:rPr>
        <w:t>种，其中被子植物</w:t>
      </w:r>
      <w:r>
        <w:rPr>
          <w:rFonts w:ascii="Times New Roman" w:eastAsia="宋体" w:hAnsi="Times New Roman" w:cs="Times New Roman" w:hint="eastAsia"/>
        </w:rPr>
        <w:t>520</w:t>
      </w:r>
      <w:r>
        <w:rPr>
          <w:rFonts w:ascii="Times New Roman" w:eastAsia="宋体" w:hAnsi="Times New Roman" w:cs="Times New Roman" w:hint="eastAsia"/>
        </w:rPr>
        <w:t>种，占高等植物总种数的</w:t>
      </w:r>
      <w:r>
        <w:rPr>
          <w:rFonts w:ascii="Times New Roman" w:eastAsia="宋体" w:hAnsi="Times New Roman" w:cs="Times New Roman" w:hint="eastAsia"/>
        </w:rPr>
        <w:t>77.84</w:t>
      </w:r>
      <w:r>
        <w:rPr>
          <w:rFonts w:ascii="Times New Roman" w:eastAsia="宋体" w:hAnsi="Times New Roman" w:cs="Times New Roman" w:hint="eastAsia"/>
        </w:rPr>
        <w:t>％，隶属于</w:t>
      </w:r>
      <w:r>
        <w:rPr>
          <w:rFonts w:ascii="Times New Roman" w:eastAsia="宋体" w:hAnsi="Times New Roman" w:cs="Times New Roman" w:hint="eastAsia"/>
        </w:rPr>
        <w:t>85</w:t>
      </w:r>
      <w:r>
        <w:rPr>
          <w:rFonts w:ascii="Times New Roman" w:eastAsia="宋体" w:hAnsi="Times New Roman" w:cs="Times New Roman" w:hint="eastAsia"/>
        </w:rPr>
        <w:t>科，</w:t>
      </w:r>
      <w:r>
        <w:rPr>
          <w:rFonts w:ascii="Times New Roman" w:eastAsia="宋体" w:hAnsi="Times New Roman" w:cs="Times New Roman" w:hint="eastAsia"/>
        </w:rPr>
        <w:t>295</w:t>
      </w:r>
      <w:r>
        <w:rPr>
          <w:rFonts w:ascii="Times New Roman" w:eastAsia="宋体" w:hAnsi="Times New Roman" w:cs="Times New Roman" w:hint="eastAsia"/>
        </w:rPr>
        <w:t>属；裸子植物</w:t>
      </w:r>
      <w:r>
        <w:rPr>
          <w:rFonts w:ascii="Times New Roman" w:eastAsia="宋体" w:hAnsi="Times New Roman" w:cs="Times New Roman" w:hint="eastAsia"/>
        </w:rPr>
        <w:t>5</w:t>
      </w:r>
      <w:r>
        <w:rPr>
          <w:rFonts w:ascii="Times New Roman" w:eastAsia="宋体" w:hAnsi="Times New Roman" w:cs="Times New Roman" w:hint="eastAsia"/>
        </w:rPr>
        <w:t>种，占总种数的</w:t>
      </w:r>
      <w:r>
        <w:rPr>
          <w:rFonts w:ascii="Times New Roman" w:eastAsia="宋体" w:hAnsi="Times New Roman" w:cs="Times New Roman" w:hint="eastAsia"/>
        </w:rPr>
        <w:t>0.75</w:t>
      </w:r>
      <w:r>
        <w:rPr>
          <w:rFonts w:ascii="Times New Roman" w:eastAsia="宋体" w:hAnsi="Times New Roman" w:cs="Times New Roman" w:hint="eastAsia"/>
        </w:rPr>
        <w:t>％，隶属于</w:t>
      </w:r>
      <w:r>
        <w:rPr>
          <w:rFonts w:ascii="Times New Roman" w:eastAsia="宋体" w:hAnsi="Times New Roman" w:cs="Times New Roman" w:hint="eastAsia"/>
        </w:rPr>
        <w:t>1</w:t>
      </w:r>
      <w:r>
        <w:rPr>
          <w:rFonts w:ascii="Times New Roman" w:eastAsia="宋体" w:hAnsi="Times New Roman" w:cs="Times New Roman" w:hint="eastAsia"/>
        </w:rPr>
        <w:t>科，</w:t>
      </w:r>
      <w:r>
        <w:rPr>
          <w:rFonts w:ascii="Times New Roman" w:eastAsia="宋体" w:hAnsi="Times New Roman" w:cs="Times New Roman" w:hint="eastAsia"/>
        </w:rPr>
        <w:t>4</w:t>
      </w:r>
      <w:r>
        <w:rPr>
          <w:rFonts w:ascii="Times New Roman" w:eastAsia="宋体" w:hAnsi="Times New Roman" w:cs="Times New Roman" w:hint="eastAsia"/>
        </w:rPr>
        <w:t>属；蕨类植物</w:t>
      </w:r>
      <w:r>
        <w:rPr>
          <w:rFonts w:ascii="Times New Roman" w:eastAsia="宋体" w:hAnsi="Times New Roman" w:cs="Times New Roman" w:hint="eastAsia"/>
        </w:rPr>
        <w:t>12</w:t>
      </w:r>
      <w:r>
        <w:rPr>
          <w:rFonts w:ascii="Times New Roman" w:eastAsia="宋体" w:hAnsi="Times New Roman" w:cs="Times New Roman" w:hint="eastAsia"/>
        </w:rPr>
        <w:t>科</w:t>
      </w:r>
      <w:r>
        <w:rPr>
          <w:rFonts w:ascii="Times New Roman" w:eastAsia="宋体" w:hAnsi="Times New Roman" w:cs="Times New Roman" w:hint="eastAsia"/>
        </w:rPr>
        <w:t>24</w:t>
      </w:r>
      <w:r>
        <w:rPr>
          <w:rFonts w:ascii="Times New Roman" w:eastAsia="宋体" w:hAnsi="Times New Roman" w:cs="Times New Roman" w:hint="eastAsia"/>
        </w:rPr>
        <w:t>属</w:t>
      </w:r>
      <w:r>
        <w:rPr>
          <w:rFonts w:ascii="Times New Roman" w:eastAsia="宋体" w:hAnsi="Times New Roman" w:cs="Times New Roman" w:hint="eastAsia"/>
        </w:rPr>
        <w:t>40</w:t>
      </w:r>
      <w:r>
        <w:rPr>
          <w:rFonts w:ascii="Times New Roman" w:eastAsia="宋体" w:hAnsi="Times New Roman" w:cs="Times New Roman" w:hint="eastAsia"/>
        </w:rPr>
        <w:t>种，占高等植物总种数的</w:t>
      </w:r>
      <w:r>
        <w:rPr>
          <w:rFonts w:ascii="Times New Roman" w:eastAsia="宋体" w:hAnsi="Times New Roman" w:cs="Times New Roman" w:hint="eastAsia"/>
        </w:rPr>
        <w:t>5.99</w:t>
      </w:r>
      <w:r>
        <w:rPr>
          <w:rFonts w:ascii="Times New Roman" w:eastAsia="宋体" w:hAnsi="Times New Roman" w:cs="Times New Roman" w:hint="eastAsia"/>
        </w:rPr>
        <w:t>％；苔藓植物</w:t>
      </w:r>
      <w:r>
        <w:rPr>
          <w:rFonts w:ascii="Times New Roman" w:eastAsia="宋体" w:hAnsi="Times New Roman" w:cs="Times New Roman" w:hint="eastAsia"/>
        </w:rPr>
        <w:t>48</w:t>
      </w:r>
      <w:r>
        <w:rPr>
          <w:rFonts w:ascii="Times New Roman" w:eastAsia="宋体" w:hAnsi="Times New Roman" w:cs="Times New Roman" w:hint="eastAsia"/>
        </w:rPr>
        <w:t>科</w:t>
      </w:r>
      <w:r>
        <w:rPr>
          <w:rFonts w:ascii="Times New Roman" w:eastAsia="宋体" w:hAnsi="Times New Roman" w:cs="Times New Roman" w:hint="eastAsia"/>
        </w:rPr>
        <w:t>80</w:t>
      </w:r>
      <w:r>
        <w:rPr>
          <w:rFonts w:ascii="Times New Roman" w:eastAsia="宋体" w:hAnsi="Times New Roman" w:cs="Times New Roman" w:hint="eastAsia"/>
        </w:rPr>
        <w:t>属</w:t>
      </w:r>
      <w:r>
        <w:rPr>
          <w:rFonts w:ascii="Times New Roman" w:eastAsia="宋体" w:hAnsi="Times New Roman" w:cs="Times New Roman" w:hint="eastAsia"/>
        </w:rPr>
        <w:t>103</w:t>
      </w:r>
      <w:r>
        <w:rPr>
          <w:rFonts w:ascii="Times New Roman" w:eastAsia="宋体" w:hAnsi="Times New Roman" w:cs="Times New Roman" w:hint="eastAsia"/>
        </w:rPr>
        <w:t>种，占高等植物总种数的</w:t>
      </w:r>
      <w:r>
        <w:rPr>
          <w:rFonts w:ascii="Times New Roman" w:eastAsia="宋体" w:hAnsi="Times New Roman" w:cs="Times New Roman" w:hint="eastAsia"/>
        </w:rPr>
        <w:t>15.42</w:t>
      </w:r>
      <w:r>
        <w:rPr>
          <w:rFonts w:ascii="Times New Roman" w:eastAsia="宋体" w:hAnsi="Times New Roman" w:cs="Times New Roman" w:hint="eastAsia"/>
        </w:rPr>
        <w:t>％。保护区共有国家级保护植物</w:t>
      </w:r>
      <w:r>
        <w:rPr>
          <w:rFonts w:ascii="Times New Roman" w:eastAsia="宋体" w:hAnsi="Times New Roman" w:cs="Times New Roman" w:hint="eastAsia"/>
        </w:rPr>
        <w:t>6</w:t>
      </w:r>
      <w:r>
        <w:rPr>
          <w:rFonts w:ascii="Times New Roman" w:eastAsia="宋体" w:hAnsi="Times New Roman" w:cs="Times New Roman" w:hint="eastAsia"/>
        </w:rPr>
        <w:t>种，即红松（</w:t>
      </w:r>
      <w:r>
        <w:rPr>
          <w:rFonts w:ascii="Times New Roman" w:eastAsia="宋体" w:hAnsi="Times New Roman" w:cs="Times New Roman" w:hint="eastAsia"/>
        </w:rPr>
        <w:t>Pinus koraiensis</w:t>
      </w:r>
      <w:r>
        <w:rPr>
          <w:rFonts w:ascii="Times New Roman" w:eastAsia="宋体" w:hAnsi="Times New Roman" w:cs="Times New Roman" w:hint="eastAsia"/>
        </w:rPr>
        <w:t>）、钻天柳（</w:t>
      </w:r>
      <w:r>
        <w:rPr>
          <w:rFonts w:ascii="Times New Roman" w:eastAsia="宋体" w:hAnsi="Times New Roman" w:cs="Times New Roman" w:hint="eastAsia"/>
        </w:rPr>
        <w:t>Chosenia arbutifolia</w:t>
      </w:r>
      <w:r>
        <w:rPr>
          <w:rFonts w:ascii="Times New Roman" w:eastAsia="宋体" w:hAnsi="Times New Roman" w:cs="Times New Roman" w:hint="eastAsia"/>
        </w:rPr>
        <w:t>）、野大豆（</w:t>
      </w:r>
      <w:r>
        <w:rPr>
          <w:rFonts w:ascii="Times New Roman" w:eastAsia="宋体" w:hAnsi="Times New Roman" w:cs="Times New Roman" w:hint="eastAsia"/>
        </w:rPr>
        <w:t>Glycine soja</w:t>
      </w:r>
      <w:r>
        <w:rPr>
          <w:rFonts w:ascii="Times New Roman" w:eastAsia="宋体" w:hAnsi="Times New Roman" w:cs="Times New Roman" w:hint="eastAsia"/>
        </w:rPr>
        <w:t>）、黄檗（</w:t>
      </w:r>
      <w:r>
        <w:rPr>
          <w:rFonts w:ascii="Times New Roman" w:eastAsia="宋体" w:hAnsi="Times New Roman" w:cs="Times New Roman" w:hint="eastAsia"/>
        </w:rPr>
        <w:t>Phellodendron amurense</w:t>
      </w:r>
      <w:r>
        <w:rPr>
          <w:rFonts w:ascii="Times New Roman" w:eastAsia="宋体" w:hAnsi="Times New Roman" w:cs="Times New Roman" w:hint="eastAsia"/>
        </w:rPr>
        <w:t>）、紫椴（</w:t>
      </w:r>
      <w:r>
        <w:rPr>
          <w:rFonts w:ascii="Times New Roman" w:eastAsia="宋体" w:hAnsi="Times New Roman" w:cs="Times New Roman" w:hint="eastAsia"/>
        </w:rPr>
        <w:t>Tilia amurensis</w:t>
      </w:r>
      <w:r>
        <w:rPr>
          <w:rFonts w:ascii="Times New Roman" w:eastAsia="宋体" w:hAnsi="Times New Roman" w:cs="Times New Roman" w:hint="eastAsia"/>
        </w:rPr>
        <w:t>）和水曲柳（</w:t>
      </w:r>
      <w:r>
        <w:rPr>
          <w:rFonts w:ascii="Times New Roman" w:eastAsia="宋体" w:hAnsi="Times New Roman" w:cs="Times New Roman" w:hint="eastAsia"/>
        </w:rPr>
        <w:t>Fraxinus mandshurica</w:t>
      </w:r>
      <w:r>
        <w:rPr>
          <w:rFonts w:ascii="Times New Roman" w:eastAsia="宋体" w:hAnsi="Times New Roman" w:cs="Times New Roman" w:hint="eastAsia"/>
        </w:rPr>
        <w:t>）。其植物区系温带性质明显，且与全球寒温、热带区系有着广泛的联系，充分显示保护区种子植物的区系成分相互渗透。</w:t>
      </w:r>
    </w:p>
    <w:p w14:paraId="49C07166" w14:textId="77777777" w:rsidR="009D12AF" w:rsidRDefault="00000000">
      <w:pPr>
        <w:wordWrap w:val="0"/>
        <w:ind w:firstLine="480"/>
        <w:jc w:val="left"/>
        <w:rPr>
          <w:rFonts w:ascii="Times New Roman" w:eastAsia="宋体" w:hAnsi="Times New Roman" w:cs="Times New Roman"/>
        </w:rPr>
      </w:pPr>
      <w:r>
        <w:rPr>
          <w:rFonts w:ascii="Times New Roman" w:eastAsia="宋体" w:hAnsi="Times New Roman" w:cs="Times New Roman" w:hint="eastAsia"/>
        </w:rPr>
        <w:t>莲花湖自然保护区在动物地理区划上属古北界、东北区、长白山亚区、东南山地省。动物成分以古北界种类为主。保护区内现存脊椎动物共</w:t>
      </w:r>
      <w:r>
        <w:rPr>
          <w:rFonts w:ascii="Times New Roman" w:eastAsia="宋体" w:hAnsi="Times New Roman" w:cs="Times New Roman" w:hint="eastAsia"/>
        </w:rPr>
        <w:t>34</w:t>
      </w:r>
      <w:r>
        <w:rPr>
          <w:rFonts w:ascii="Times New Roman" w:eastAsia="宋体" w:hAnsi="Times New Roman" w:cs="Times New Roman" w:hint="eastAsia"/>
        </w:rPr>
        <w:t>目</w:t>
      </w:r>
      <w:r>
        <w:rPr>
          <w:rFonts w:ascii="Times New Roman" w:eastAsia="宋体" w:hAnsi="Times New Roman" w:cs="Times New Roman" w:hint="eastAsia"/>
        </w:rPr>
        <w:t>82</w:t>
      </w:r>
      <w:r>
        <w:rPr>
          <w:rFonts w:ascii="Times New Roman" w:eastAsia="宋体" w:hAnsi="Times New Roman" w:cs="Times New Roman" w:hint="eastAsia"/>
        </w:rPr>
        <w:t>科</w:t>
      </w:r>
      <w:r>
        <w:rPr>
          <w:rFonts w:ascii="Times New Roman" w:eastAsia="宋体" w:hAnsi="Times New Roman" w:cs="Times New Roman" w:hint="eastAsia"/>
        </w:rPr>
        <w:t>343</w:t>
      </w:r>
      <w:r>
        <w:rPr>
          <w:rFonts w:ascii="Times New Roman" w:eastAsia="宋体" w:hAnsi="Times New Roman" w:cs="Times New Roman" w:hint="eastAsia"/>
        </w:rPr>
        <w:t>种，其中鱼类</w:t>
      </w:r>
      <w:r>
        <w:rPr>
          <w:rFonts w:ascii="Times New Roman" w:eastAsia="宋体" w:hAnsi="Times New Roman" w:cs="Times New Roman" w:hint="eastAsia"/>
        </w:rPr>
        <w:t>6</w:t>
      </w:r>
      <w:r>
        <w:rPr>
          <w:rFonts w:ascii="Times New Roman" w:eastAsia="宋体" w:hAnsi="Times New Roman" w:cs="Times New Roman" w:hint="eastAsia"/>
        </w:rPr>
        <w:t>目</w:t>
      </w:r>
      <w:r>
        <w:rPr>
          <w:rFonts w:ascii="Times New Roman" w:eastAsia="宋体" w:hAnsi="Times New Roman" w:cs="Times New Roman" w:hint="eastAsia"/>
        </w:rPr>
        <w:t>12</w:t>
      </w:r>
      <w:r>
        <w:rPr>
          <w:rFonts w:ascii="Times New Roman" w:eastAsia="宋体" w:hAnsi="Times New Roman" w:cs="Times New Roman" w:hint="eastAsia"/>
        </w:rPr>
        <w:t>科</w:t>
      </w:r>
      <w:r>
        <w:rPr>
          <w:rFonts w:ascii="Times New Roman" w:eastAsia="宋体" w:hAnsi="Times New Roman" w:cs="Times New Roman" w:hint="eastAsia"/>
        </w:rPr>
        <w:t>49</w:t>
      </w:r>
      <w:r>
        <w:rPr>
          <w:rFonts w:ascii="Times New Roman" w:eastAsia="宋体" w:hAnsi="Times New Roman" w:cs="Times New Roman" w:hint="eastAsia"/>
        </w:rPr>
        <w:t>种；两栖类</w:t>
      </w:r>
      <w:r>
        <w:rPr>
          <w:rFonts w:ascii="Times New Roman" w:eastAsia="宋体" w:hAnsi="Times New Roman" w:cs="Times New Roman" w:hint="eastAsia"/>
        </w:rPr>
        <w:t>2</w:t>
      </w:r>
      <w:r>
        <w:rPr>
          <w:rFonts w:ascii="Times New Roman" w:eastAsia="宋体" w:hAnsi="Times New Roman" w:cs="Times New Roman" w:hint="eastAsia"/>
        </w:rPr>
        <w:t>目</w:t>
      </w:r>
      <w:r>
        <w:rPr>
          <w:rFonts w:ascii="Times New Roman" w:eastAsia="宋体" w:hAnsi="Times New Roman" w:cs="Times New Roman" w:hint="eastAsia"/>
        </w:rPr>
        <w:t>5</w:t>
      </w:r>
      <w:r>
        <w:rPr>
          <w:rFonts w:ascii="Times New Roman" w:eastAsia="宋体" w:hAnsi="Times New Roman" w:cs="Times New Roman" w:hint="eastAsia"/>
        </w:rPr>
        <w:t>科</w:t>
      </w:r>
      <w:r>
        <w:rPr>
          <w:rFonts w:ascii="Times New Roman" w:eastAsia="宋体" w:hAnsi="Times New Roman" w:cs="Times New Roman" w:hint="eastAsia"/>
        </w:rPr>
        <w:t>9</w:t>
      </w:r>
      <w:r>
        <w:rPr>
          <w:rFonts w:ascii="Times New Roman" w:eastAsia="宋体" w:hAnsi="Times New Roman" w:cs="Times New Roman" w:hint="eastAsia"/>
        </w:rPr>
        <w:t>种；爬行类</w:t>
      </w:r>
      <w:r>
        <w:rPr>
          <w:rFonts w:ascii="Times New Roman" w:eastAsia="宋体" w:hAnsi="Times New Roman" w:cs="Times New Roman" w:hint="eastAsia"/>
        </w:rPr>
        <w:t>3</w:t>
      </w:r>
      <w:r>
        <w:rPr>
          <w:rFonts w:ascii="Times New Roman" w:eastAsia="宋体" w:hAnsi="Times New Roman" w:cs="Times New Roman" w:hint="eastAsia"/>
        </w:rPr>
        <w:t>目</w:t>
      </w:r>
      <w:r>
        <w:rPr>
          <w:rFonts w:ascii="Times New Roman" w:eastAsia="宋体" w:hAnsi="Times New Roman" w:cs="Times New Roman" w:hint="eastAsia"/>
        </w:rPr>
        <w:t>4</w:t>
      </w:r>
      <w:r>
        <w:rPr>
          <w:rFonts w:ascii="Times New Roman" w:eastAsia="宋体" w:hAnsi="Times New Roman" w:cs="Times New Roman" w:hint="eastAsia"/>
        </w:rPr>
        <w:t>科</w:t>
      </w:r>
      <w:r>
        <w:rPr>
          <w:rFonts w:ascii="Times New Roman" w:eastAsia="宋体" w:hAnsi="Times New Roman" w:cs="Times New Roman" w:hint="eastAsia"/>
        </w:rPr>
        <w:t>12</w:t>
      </w:r>
      <w:r>
        <w:rPr>
          <w:rFonts w:ascii="Times New Roman" w:eastAsia="宋体" w:hAnsi="Times New Roman" w:cs="Times New Roman" w:hint="eastAsia"/>
        </w:rPr>
        <w:t>种；鸟类</w:t>
      </w:r>
      <w:r>
        <w:rPr>
          <w:rFonts w:ascii="Times New Roman" w:eastAsia="宋体" w:hAnsi="Times New Roman" w:cs="Times New Roman" w:hint="eastAsia"/>
        </w:rPr>
        <w:t>17</w:t>
      </w:r>
      <w:r>
        <w:rPr>
          <w:rFonts w:ascii="Times New Roman" w:eastAsia="宋体" w:hAnsi="Times New Roman" w:cs="Times New Roman" w:hint="eastAsia"/>
        </w:rPr>
        <w:t>目</w:t>
      </w:r>
      <w:r>
        <w:rPr>
          <w:rFonts w:ascii="Times New Roman" w:eastAsia="宋体" w:hAnsi="Times New Roman" w:cs="Times New Roman" w:hint="eastAsia"/>
        </w:rPr>
        <w:t>44</w:t>
      </w:r>
      <w:r>
        <w:rPr>
          <w:rFonts w:ascii="Times New Roman" w:eastAsia="宋体" w:hAnsi="Times New Roman" w:cs="Times New Roman" w:hint="eastAsia"/>
        </w:rPr>
        <w:t>科</w:t>
      </w:r>
      <w:r>
        <w:rPr>
          <w:rFonts w:ascii="Times New Roman" w:eastAsia="宋体" w:hAnsi="Times New Roman" w:cs="Times New Roman" w:hint="eastAsia"/>
        </w:rPr>
        <w:t>229</w:t>
      </w:r>
      <w:r>
        <w:rPr>
          <w:rFonts w:ascii="Times New Roman" w:eastAsia="宋体" w:hAnsi="Times New Roman" w:cs="Times New Roman" w:hint="eastAsia"/>
        </w:rPr>
        <w:t>种；哺乳类</w:t>
      </w:r>
      <w:r>
        <w:rPr>
          <w:rFonts w:ascii="Times New Roman" w:eastAsia="宋体" w:hAnsi="Times New Roman" w:cs="Times New Roman" w:hint="eastAsia"/>
        </w:rPr>
        <w:t>6</w:t>
      </w:r>
      <w:r>
        <w:rPr>
          <w:rFonts w:ascii="Times New Roman" w:eastAsia="宋体" w:hAnsi="Times New Roman" w:cs="Times New Roman" w:hint="eastAsia"/>
        </w:rPr>
        <w:t>目</w:t>
      </w:r>
      <w:r>
        <w:rPr>
          <w:rFonts w:ascii="Times New Roman" w:eastAsia="宋体" w:hAnsi="Times New Roman" w:cs="Times New Roman" w:hint="eastAsia"/>
        </w:rPr>
        <w:t>17</w:t>
      </w:r>
      <w:r>
        <w:rPr>
          <w:rFonts w:ascii="Times New Roman" w:eastAsia="宋体" w:hAnsi="Times New Roman" w:cs="Times New Roman" w:hint="eastAsia"/>
        </w:rPr>
        <w:t>科</w:t>
      </w:r>
      <w:r>
        <w:rPr>
          <w:rFonts w:ascii="Times New Roman" w:eastAsia="宋体" w:hAnsi="Times New Roman" w:cs="Times New Roman" w:hint="eastAsia"/>
        </w:rPr>
        <w:t>44</w:t>
      </w:r>
      <w:r>
        <w:rPr>
          <w:rFonts w:ascii="Times New Roman" w:eastAsia="宋体" w:hAnsi="Times New Roman" w:cs="Times New Roman" w:hint="eastAsia"/>
        </w:rPr>
        <w:t>种。国家级重点保护动物</w:t>
      </w:r>
      <w:r>
        <w:rPr>
          <w:rFonts w:ascii="Times New Roman" w:eastAsia="宋体" w:hAnsi="Times New Roman" w:cs="Times New Roman" w:hint="eastAsia"/>
        </w:rPr>
        <w:t>45</w:t>
      </w:r>
      <w:r>
        <w:rPr>
          <w:rFonts w:ascii="Times New Roman" w:eastAsia="宋体" w:hAnsi="Times New Roman" w:cs="Times New Roman" w:hint="eastAsia"/>
        </w:rPr>
        <w:t>种，</w:t>
      </w:r>
      <w:r>
        <w:rPr>
          <w:rFonts w:ascii="Times New Roman" w:eastAsia="宋体" w:hAnsi="Times New Roman" w:cs="Times New Roman" w:hint="eastAsia"/>
        </w:rPr>
        <w:lastRenderedPageBreak/>
        <w:t>其中国家</w:t>
      </w:r>
      <w:r>
        <w:rPr>
          <w:rFonts w:ascii="Times New Roman" w:eastAsia="宋体" w:hAnsi="Times New Roman" w:cs="Times New Roman" w:hint="eastAsia"/>
        </w:rPr>
        <w:t>I</w:t>
      </w:r>
      <w:r>
        <w:rPr>
          <w:rFonts w:ascii="Times New Roman" w:eastAsia="宋体" w:hAnsi="Times New Roman" w:cs="Times New Roman" w:hint="eastAsia"/>
        </w:rPr>
        <w:t>级重点保护动物</w:t>
      </w:r>
      <w:r>
        <w:rPr>
          <w:rFonts w:ascii="Times New Roman" w:eastAsia="宋体" w:hAnsi="Times New Roman" w:cs="Times New Roman" w:hint="eastAsia"/>
        </w:rPr>
        <w:t>7</w:t>
      </w:r>
      <w:r>
        <w:rPr>
          <w:rFonts w:ascii="Times New Roman" w:eastAsia="宋体" w:hAnsi="Times New Roman" w:cs="Times New Roman" w:hint="eastAsia"/>
        </w:rPr>
        <w:t>种，即东方白鹳（</w:t>
      </w:r>
      <w:r>
        <w:rPr>
          <w:rFonts w:ascii="Times New Roman" w:eastAsia="宋体" w:hAnsi="Times New Roman" w:cs="Times New Roman" w:hint="eastAsia"/>
        </w:rPr>
        <w:t>Ciconia boyciana</w:t>
      </w:r>
      <w:r>
        <w:rPr>
          <w:rFonts w:ascii="Times New Roman" w:eastAsia="宋体" w:hAnsi="Times New Roman" w:cs="Times New Roman" w:hint="eastAsia"/>
        </w:rPr>
        <w:t>）、金雕（</w:t>
      </w:r>
      <w:r>
        <w:rPr>
          <w:rFonts w:ascii="Times New Roman" w:eastAsia="宋体" w:hAnsi="Times New Roman" w:cs="Times New Roman" w:hint="eastAsia"/>
        </w:rPr>
        <w:t>Aquila chrysaetos</w:t>
      </w:r>
      <w:r>
        <w:rPr>
          <w:rFonts w:ascii="Times New Roman" w:eastAsia="宋体" w:hAnsi="Times New Roman" w:cs="Times New Roman" w:hint="eastAsia"/>
        </w:rPr>
        <w:t>）、紫貂（</w:t>
      </w:r>
      <w:r>
        <w:rPr>
          <w:rFonts w:ascii="Times New Roman" w:eastAsia="宋体" w:hAnsi="Times New Roman" w:cs="Times New Roman" w:hint="eastAsia"/>
        </w:rPr>
        <w:t>Martes zibellina</w:t>
      </w:r>
      <w:r>
        <w:rPr>
          <w:rFonts w:ascii="Times New Roman" w:eastAsia="宋体" w:hAnsi="Times New Roman" w:cs="Times New Roman" w:hint="eastAsia"/>
        </w:rPr>
        <w:t>）、原麝（</w:t>
      </w:r>
      <w:r>
        <w:rPr>
          <w:rFonts w:ascii="Times New Roman" w:eastAsia="宋体" w:hAnsi="Times New Roman" w:cs="Times New Roman" w:hint="eastAsia"/>
        </w:rPr>
        <w:t>Moschus moschiferus</w:t>
      </w:r>
      <w:r>
        <w:rPr>
          <w:rFonts w:ascii="Times New Roman" w:eastAsia="宋体" w:hAnsi="Times New Roman" w:cs="Times New Roman" w:hint="eastAsia"/>
        </w:rPr>
        <w:t>）、黑鹳（</w:t>
      </w:r>
      <w:r>
        <w:rPr>
          <w:rFonts w:ascii="Times New Roman" w:eastAsia="宋体" w:hAnsi="Times New Roman" w:cs="Times New Roman" w:hint="eastAsia"/>
        </w:rPr>
        <w:t>Ciconia nigra</w:t>
      </w:r>
      <w:r>
        <w:rPr>
          <w:rFonts w:ascii="Times New Roman" w:eastAsia="宋体" w:hAnsi="Times New Roman" w:cs="Times New Roman" w:hint="eastAsia"/>
        </w:rPr>
        <w:t>）、中华秋沙鸭（</w:t>
      </w:r>
      <w:r>
        <w:rPr>
          <w:rFonts w:ascii="Times New Roman" w:eastAsia="宋体" w:hAnsi="Times New Roman" w:cs="Times New Roman" w:hint="eastAsia"/>
        </w:rPr>
        <w:t>Mergus squamatus</w:t>
      </w:r>
      <w:r>
        <w:rPr>
          <w:rFonts w:ascii="Times New Roman" w:eastAsia="宋体" w:hAnsi="Times New Roman" w:cs="Times New Roman" w:hint="eastAsia"/>
        </w:rPr>
        <w:t>）和白尾海雕（</w:t>
      </w:r>
      <w:r>
        <w:rPr>
          <w:rFonts w:ascii="Times New Roman" w:eastAsia="宋体" w:hAnsi="Times New Roman" w:cs="Times New Roman" w:hint="eastAsia"/>
        </w:rPr>
        <w:t>Haliaeetus aldicilla</w:t>
      </w:r>
      <w:r>
        <w:rPr>
          <w:rFonts w:ascii="Times New Roman" w:eastAsia="宋体" w:hAnsi="Times New Roman" w:cs="Times New Roman" w:hint="eastAsia"/>
        </w:rPr>
        <w:t>）；国家</w:t>
      </w:r>
      <w:r>
        <w:rPr>
          <w:rFonts w:ascii="Times New Roman" w:eastAsia="宋体" w:hAnsi="Times New Roman" w:cs="Times New Roman" w:hint="eastAsia"/>
        </w:rPr>
        <w:t>II</w:t>
      </w:r>
      <w:r>
        <w:rPr>
          <w:rFonts w:ascii="Times New Roman" w:eastAsia="宋体" w:hAnsi="Times New Roman" w:cs="Times New Roman" w:hint="eastAsia"/>
        </w:rPr>
        <w:t>级重点保护动物</w:t>
      </w:r>
      <w:r>
        <w:rPr>
          <w:rFonts w:ascii="Times New Roman" w:eastAsia="宋体" w:hAnsi="Times New Roman" w:cs="Times New Roman" w:hint="eastAsia"/>
        </w:rPr>
        <w:t>38</w:t>
      </w:r>
      <w:r>
        <w:rPr>
          <w:rFonts w:ascii="Times New Roman" w:eastAsia="宋体" w:hAnsi="Times New Roman" w:cs="Times New Roman" w:hint="eastAsia"/>
        </w:rPr>
        <w:t>种。即国家</w:t>
      </w:r>
      <w:r>
        <w:rPr>
          <w:rFonts w:ascii="Times New Roman" w:eastAsia="宋体" w:hAnsi="Times New Roman" w:cs="Times New Roman" w:hint="eastAsia"/>
        </w:rPr>
        <w:t>II</w:t>
      </w:r>
      <w:r>
        <w:rPr>
          <w:rFonts w:ascii="Times New Roman" w:eastAsia="宋体" w:hAnsi="Times New Roman" w:cs="Times New Roman" w:hint="eastAsia"/>
        </w:rPr>
        <w:t>级重点保护动物</w:t>
      </w:r>
      <w:r>
        <w:rPr>
          <w:rFonts w:ascii="Times New Roman" w:eastAsia="宋体" w:hAnsi="Times New Roman" w:cs="Times New Roman" w:hint="eastAsia"/>
        </w:rPr>
        <w:t>31</w:t>
      </w:r>
      <w:r>
        <w:rPr>
          <w:rFonts w:ascii="Times New Roman" w:eastAsia="宋体" w:hAnsi="Times New Roman" w:cs="Times New Roman" w:hint="eastAsia"/>
        </w:rPr>
        <w:t>种，有红隼（</w:t>
      </w:r>
      <w:r>
        <w:rPr>
          <w:rFonts w:ascii="Times New Roman" w:eastAsia="宋体" w:hAnsi="Times New Roman" w:cs="Times New Roman" w:hint="eastAsia"/>
        </w:rPr>
        <w:t>Falco Tinnunculus</w:t>
      </w:r>
      <w:r>
        <w:rPr>
          <w:rFonts w:ascii="Times New Roman" w:eastAsia="宋体" w:hAnsi="Times New Roman" w:cs="Times New Roman" w:hint="eastAsia"/>
        </w:rPr>
        <w:t>）、红脚隼（</w:t>
      </w:r>
      <w:r>
        <w:rPr>
          <w:rFonts w:ascii="Times New Roman" w:eastAsia="宋体" w:hAnsi="Times New Roman" w:cs="Times New Roman" w:hint="eastAsia"/>
        </w:rPr>
        <w:t>F</w:t>
      </w:r>
      <w:r>
        <w:rPr>
          <w:rFonts w:ascii="Times New Roman" w:eastAsia="宋体" w:hAnsi="Times New Roman" w:cs="Times New Roman" w:hint="eastAsia"/>
        </w:rPr>
        <w:t>．</w:t>
      </w:r>
      <w:r>
        <w:rPr>
          <w:rFonts w:ascii="Times New Roman" w:eastAsia="宋体" w:hAnsi="Times New Roman" w:cs="Times New Roman" w:hint="eastAsia"/>
        </w:rPr>
        <w:t>amurensis</w:t>
      </w:r>
      <w:r>
        <w:rPr>
          <w:rFonts w:ascii="Times New Roman" w:eastAsia="宋体" w:hAnsi="Times New Roman" w:cs="Times New Roman" w:hint="eastAsia"/>
        </w:rPr>
        <w:t>）、长耳鸮（</w:t>
      </w:r>
      <w:r>
        <w:rPr>
          <w:rFonts w:ascii="Times New Roman" w:eastAsia="宋体" w:hAnsi="Times New Roman" w:cs="Times New Roman" w:hint="eastAsia"/>
        </w:rPr>
        <w:t>Asio otus</w:t>
      </w:r>
      <w:r>
        <w:rPr>
          <w:rFonts w:ascii="Times New Roman" w:eastAsia="宋体" w:hAnsi="Times New Roman" w:cs="Times New Roman" w:hint="eastAsia"/>
        </w:rPr>
        <w:t>）、鸳鸯（</w:t>
      </w:r>
      <w:r>
        <w:rPr>
          <w:rFonts w:ascii="Times New Roman" w:eastAsia="宋体" w:hAnsi="Times New Roman" w:cs="Times New Roman" w:hint="eastAsia"/>
        </w:rPr>
        <w:t>Aix gaericulata</w:t>
      </w:r>
      <w:r>
        <w:rPr>
          <w:rFonts w:ascii="Times New Roman" w:eastAsia="宋体" w:hAnsi="Times New Roman" w:cs="Times New Roman" w:hint="eastAsia"/>
        </w:rPr>
        <w:t>）、白尾鹞（</w:t>
      </w:r>
      <w:r>
        <w:rPr>
          <w:rFonts w:ascii="Times New Roman" w:eastAsia="宋体" w:hAnsi="Times New Roman" w:cs="Times New Roman" w:hint="eastAsia"/>
        </w:rPr>
        <w:t>Circus cyaneus</w:t>
      </w:r>
      <w:r>
        <w:rPr>
          <w:rFonts w:ascii="Times New Roman" w:eastAsia="宋体" w:hAnsi="Times New Roman" w:cs="Times New Roman" w:hint="eastAsia"/>
        </w:rPr>
        <w:t>）等。</w:t>
      </w:r>
    </w:p>
    <w:p w14:paraId="76CB391B" w14:textId="77777777" w:rsidR="009D12AF" w:rsidRDefault="00000000">
      <w:pPr>
        <w:wordWrap w:val="0"/>
        <w:ind w:firstLine="480"/>
        <w:jc w:val="left"/>
        <w:rPr>
          <w:rFonts w:ascii="Times New Roman" w:eastAsia="宋体" w:hAnsi="Times New Roman" w:cs="Times New Roman"/>
        </w:rPr>
      </w:pPr>
      <w:r>
        <w:rPr>
          <w:rFonts w:ascii="Times New Roman" w:eastAsia="宋体" w:hAnsi="Times New Roman" w:cs="Times New Roman" w:hint="eastAsia"/>
        </w:rPr>
        <w:t>黑龙江莲花湖自然保护区的主要保护对象是湿地生态系统及其栖息的野生动植物资源。根据《中华人民共和国自然保护区类型与级别划分别标准》（</w:t>
      </w:r>
      <w:r>
        <w:rPr>
          <w:rFonts w:ascii="Times New Roman" w:eastAsia="宋体" w:hAnsi="Times New Roman" w:cs="Times New Roman" w:hint="eastAsia"/>
        </w:rPr>
        <w:t>GB</w:t>
      </w:r>
      <w:r>
        <w:rPr>
          <w:rFonts w:ascii="Times New Roman" w:eastAsia="宋体" w:hAnsi="Times New Roman" w:cs="Times New Roman" w:hint="eastAsia"/>
        </w:rPr>
        <w:t>／</w:t>
      </w:r>
      <w:r>
        <w:rPr>
          <w:rFonts w:ascii="Times New Roman" w:eastAsia="宋体" w:hAnsi="Times New Roman" w:cs="Times New Roman" w:hint="eastAsia"/>
        </w:rPr>
        <w:t>T14259--93</w:t>
      </w:r>
      <w:r>
        <w:rPr>
          <w:rFonts w:ascii="Times New Roman" w:eastAsia="宋体" w:hAnsi="Times New Roman" w:cs="Times New Roman" w:hint="eastAsia"/>
        </w:rPr>
        <w:t>），莲花湖自然保护区属“自然生态系统类”中的“内陆湿地与水域生态系统类型”的自然保护区。黑龙江莲花湖自然保护区总面积为</w:t>
      </w:r>
      <w:r>
        <w:rPr>
          <w:rFonts w:ascii="Times New Roman" w:eastAsia="宋体" w:hAnsi="Times New Roman" w:cs="Times New Roman" w:hint="eastAsia"/>
        </w:rPr>
        <w:t>182145.70h</w:t>
      </w:r>
      <w:r>
        <w:rPr>
          <w:rFonts w:ascii="Times New Roman" w:eastAsia="宋体" w:hAnsi="Times New Roman" w:cs="Times New Roman" w:hint="eastAsia"/>
        </w:rPr>
        <w:t>㎡，其中核心区面积为</w:t>
      </w:r>
      <w:r>
        <w:rPr>
          <w:rFonts w:ascii="Times New Roman" w:eastAsia="宋体" w:hAnsi="Times New Roman" w:cs="Times New Roman" w:hint="eastAsia"/>
        </w:rPr>
        <w:t>40496.28h</w:t>
      </w:r>
      <w:r>
        <w:rPr>
          <w:rFonts w:ascii="Times New Roman" w:eastAsia="宋体" w:hAnsi="Times New Roman" w:cs="Times New Roman" w:hint="eastAsia"/>
        </w:rPr>
        <w:t>㎡，缓冲区面积为</w:t>
      </w:r>
      <w:r>
        <w:rPr>
          <w:rFonts w:ascii="Times New Roman" w:eastAsia="宋体" w:hAnsi="Times New Roman" w:cs="Times New Roman" w:hint="eastAsia"/>
        </w:rPr>
        <w:t>24828.92h</w:t>
      </w:r>
      <w:r>
        <w:rPr>
          <w:rFonts w:ascii="Times New Roman" w:eastAsia="宋体" w:hAnsi="Times New Roman" w:cs="Times New Roman" w:hint="eastAsia"/>
        </w:rPr>
        <w:t>㎡，实验区面积为</w:t>
      </w:r>
      <w:r>
        <w:rPr>
          <w:rFonts w:ascii="Times New Roman" w:eastAsia="宋体" w:hAnsi="Times New Roman" w:cs="Times New Roman" w:hint="eastAsia"/>
        </w:rPr>
        <w:t>116820.50h</w:t>
      </w:r>
      <w:r>
        <w:rPr>
          <w:rFonts w:ascii="Times New Roman" w:eastAsia="宋体" w:hAnsi="Times New Roman" w:cs="Times New Roman" w:hint="eastAsia"/>
        </w:rPr>
        <w:t>㎡。根据保护对象的要求，及借鉴同一气候带上自然保护区保护管理的实践经验，黑龙江莲花湖自然保护区的面积足以有效地维护湿地生态系统的结构和功能，能够适应保护和发展的需要，既保持了保护区区域的完整性和连续性，又使区内的动植物得到了有效的保护。</w:t>
      </w:r>
    </w:p>
    <w:p w14:paraId="6D5AC5F4"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根据黑龙江省生态环境分区管控数据应用平台，叠加工程矢量数据，本次工程占用保护区</w:t>
      </w:r>
      <w:r>
        <w:rPr>
          <w:rFonts w:ascii="Times New Roman" w:eastAsia="宋体" w:hAnsi="Times New Roman" w:cs="Times New Roman" w:hint="eastAsia"/>
        </w:rPr>
        <w:t>1.26hm</w:t>
      </w:r>
      <w:r>
        <w:rPr>
          <w:rFonts w:ascii="Times New Roman" w:eastAsia="宋体" w:hAnsi="Times New Roman" w:cs="Times New Roman" w:hint="eastAsia"/>
          <w:vertAlign w:val="superscript"/>
        </w:rPr>
        <w:t>2</w:t>
      </w:r>
      <w:r>
        <w:rPr>
          <w:rFonts w:ascii="Times New Roman" w:eastAsia="宋体" w:hAnsi="Times New Roman" w:cs="Times New Roman" w:hint="eastAsia"/>
        </w:rPr>
        <w:t>，主要为居住区、淤泥堆放区、机械设备停放区、施工便道临时占用。</w:t>
      </w:r>
    </w:p>
    <w:p w14:paraId="4E69194D"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2</w:t>
      </w:r>
      <w:r>
        <w:rPr>
          <w:rFonts w:ascii="Times New Roman" w:eastAsia="宋体" w:hAnsi="Times New Roman" w:cs="Times New Roman" w:hint="eastAsia"/>
        </w:rPr>
        <w:t>、黑龙江省莲花湖地质公园</w:t>
      </w:r>
    </w:p>
    <w:p w14:paraId="30FC7BF6"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黑龙江省莲花湖地质公园位于黑龙江省海林市东北部，地处长白山系张广才岭东坡及余脉延伸带，与威虎山国家森林公园核心景区相连。地理坐标为东经</w:t>
      </w:r>
      <w:r>
        <w:rPr>
          <w:rFonts w:ascii="Times New Roman" w:eastAsia="宋体" w:hAnsi="Times New Roman" w:cs="Times New Roman" w:hint="eastAsia"/>
        </w:rPr>
        <w:t xml:space="preserve"> 129</w:t>
      </w:r>
      <w:r>
        <w:rPr>
          <w:rFonts w:ascii="Times New Roman" w:eastAsia="宋体" w:hAnsi="Times New Roman" w:cs="Times New Roman" w:hint="eastAsia"/>
        </w:rPr>
        <w:t>°</w:t>
      </w:r>
      <w:r>
        <w:rPr>
          <w:rFonts w:ascii="Times New Roman" w:eastAsia="宋体" w:hAnsi="Times New Roman" w:cs="Times New Roman" w:hint="eastAsia"/>
        </w:rPr>
        <w:t>15</w:t>
      </w:r>
      <w:r>
        <w:rPr>
          <w:rFonts w:ascii="Times New Roman" w:eastAsia="宋体" w:hAnsi="Times New Roman" w:cs="Times New Roman" w:hint="eastAsia"/>
        </w:rPr>
        <w:t>＇</w:t>
      </w:r>
      <w:r>
        <w:rPr>
          <w:rFonts w:ascii="Times New Roman" w:eastAsia="宋体" w:hAnsi="Times New Roman" w:cs="Times New Roman" w:hint="eastAsia"/>
        </w:rPr>
        <w:t>30.2</w:t>
      </w:r>
      <w:r>
        <w:rPr>
          <w:rFonts w:ascii="Times New Roman" w:eastAsia="宋体" w:hAnsi="Times New Roman" w:cs="Times New Roman" w:hint="eastAsia"/>
        </w:rPr>
        <w:t>＂～</w:t>
      </w:r>
      <w:r>
        <w:rPr>
          <w:rFonts w:ascii="Times New Roman" w:eastAsia="宋体" w:hAnsi="Times New Roman" w:cs="Times New Roman" w:hint="eastAsia"/>
        </w:rPr>
        <w:t>129</w:t>
      </w:r>
      <w:r>
        <w:rPr>
          <w:rFonts w:ascii="Times New Roman" w:eastAsia="宋体" w:hAnsi="Times New Roman" w:cs="Times New Roman" w:hint="eastAsia"/>
        </w:rPr>
        <w:t>°</w:t>
      </w:r>
      <w:r>
        <w:rPr>
          <w:rFonts w:ascii="Times New Roman" w:eastAsia="宋体" w:hAnsi="Times New Roman" w:cs="Times New Roman" w:hint="eastAsia"/>
        </w:rPr>
        <w:t>56</w:t>
      </w:r>
      <w:r>
        <w:rPr>
          <w:rFonts w:ascii="Times New Roman" w:eastAsia="宋体" w:hAnsi="Times New Roman" w:cs="Times New Roman" w:hint="eastAsia"/>
        </w:rPr>
        <w:t>＇</w:t>
      </w:r>
      <w:r>
        <w:rPr>
          <w:rFonts w:ascii="Times New Roman" w:eastAsia="宋体" w:hAnsi="Times New Roman" w:cs="Times New Roman" w:hint="eastAsia"/>
        </w:rPr>
        <w:t>11.7</w:t>
      </w:r>
      <w:r>
        <w:rPr>
          <w:rFonts w:ascii="Times New Roman" w:eastAsia="宋体" w:hAnsi="Times New Roman" w:cs="Times New Roman" w:hint="eastAsia"/>
        </w:rPr>
        <w:t>＂，北纬</w:t>
      </w:r>
      <w:r>
        <w:rPr>
          <w:rFonts w:ascii="Times New Roman" w:eastAsia="宋体" w:hAnsi="Times New Roman" w:cs="Times New Roman" w:hint="eastAsia"/>
        </w:rPr>
        <w:t xml:space="preserve"> 44</w:t>
      </w:r>
      <w:r>
        <w:rPr>
          <w:rFonts w:ascii="Times New Roman" w:eastAsia="宋体" w:hAnsi="Times New Roman" w:cs="Times New Roman" w:hint="eastAsia"/>
        </w:rPr>
        <w:t>°</w:t>
      </w:r>
      <w:r>
        <w:rPr>
          <w:rFonts w:ascii="Times New Roman" w:eastAsia="宋体" w:hAnsi="Times New Roman" w:cs="Times New Roman" w:hint="eastAsia"/>
        </w:rPr>
        <w:t>46</w:t>
      </w:r>
      <w:r>
        <w:rPr>
          <w:rFonts w:ascii="Times New Roman" w:eastAsia="宋体" w:hAnsi="Times New Roman" w:cs="Times New Roman" w:hint="eastAsia"/>
        </w:rPr>
        <w:t>＇</w:t>
      </w:r>
      <w:r>
        <w:rPr>
          <w:rFonts w:ascii="Times New Roman" w:eastAsia="宋体" w:hAnsi="Times New Roman" w:cs="Times New Roman" w:hint="eastAsia"/>
        </w:rPr>
        <w:t>15.8</w:t>
      </w:r>
      <w:r>
        <w:rPr>
          <w:rFonts w:ascii="Times New Roman" w:eastAsia="宋体" w:hAnsi="Times New Roman" w:cs="Times New Roman" w:hint="eastAsia"/>
        </w:rPr>
        <w:t>＂～</w:t>
      </w:r>
      <w:r>
        <w:rPr>
          <w:rFonts w:ascii="Times New Roman" w:eastAsia="宋体" w:hAnsi="Times New Roman" w:cs="Times New Roman" w:hint="eastAsia"/>
        </w:rPr>
        <w:t>45</w:t>
      </w:r>
      <w:r>
        <w:rPr>
          <w:rFonts w:ascii="Times New Roman" w:eastAsia="宋体" w:hAnsi="Times New Roman" w:cs="Times New Roman" w:hint="eastAsia"/>
        </w:rPr>
        <w:t>°</w:t>
      </w:r>
      <w:r>
        <w:rPr>
          <w:rFonts w:ascii="Times New Roman" w:eastAsia="宋体" w:hAnsi="Times New Roman" w:cs="Times New Roman" w:hint="eastAsia"/>
        </w:rPr>
        <w:t>30</w:t>
      </w:r>
      <w:r>
        <w:rPr>
          <w:rFonts w:ascii="Times New Roman" w:eastAsia="宋体" w:hAnsi="Times New Roman" w:cs="Times New Roman" w:hint="eastAsia"/>
        </w:rPr>
        <w:t>＇</w:t>
      </w:r>
      <w:r>
        <w:rPr>
          <w:rFonts w:ascii="Times New Roman" w:eastAsia="宋体" w:hAnsi="Times New Roman" w:cs="Times New Roman" w:hint="eastAsia"/>
        </w:rPr>
        <w:t>22.5</w:t>
      </w:r>
      <w:r>
        <w:rPr>
          <w:rFonts w:ascii="Times New Roman" w:eastAsia="宋体" w:hAnsi="Times New Roman" w:cs="Times New Roman" w:hint="eastAsia"/>
        </w:rPr>
        <w:t>＂，西邻柴河林业局施业区，南接牡丹江市郊与海林市城区，东、北与林口县地质遗迹保护区接壤。公园南北长约</w:t>
      </w:r>
      <w:r>
        <w:rPr>
          <w:rFonts w:ascii="Times New Roman" w:eastAsia="宋体" w:hAnsi="Times New Roman" w:cs="Times New Roman" w:hint="eastAsia"/>
        </w:rPr>
        <w:t xml:space="preserve"> 82.3km</w:t>
      </w:r>
      <w:r>
        <w:rPr>
          <w:rFonts w:ascii="Times New Roman" w:eastAsia="宋体" w:hAnsi="Times New Roman" w:cs="Times New Roman" w:hint="eastAsia"/>
        </w:rPr>
        <w:t>，东西宽</w:t>
      </w:r>
      <w:r>
        <w:rPr>
          <w:rFonts w:ascii="Times New Roman" w:eastAsia="宋体" w:hAnsi="Times New Roman" w:cs="Times New Roman" w:hint="eastAsia"/>
        </w:rPr>
        <w:t xml:space="preserve"> 48.6km</w:t>
      </w:r>
      <w:r>
        <w:rPr>
          <w:rFonts w:ascii="Times New Roman" w:eastAsia="宋体" w:hAnsi="Times New Roman" w:cs="Times New Roman" w:hint="eastAsia"/>
        </w:rPr>
        <w:t>，总面积为</w:t>
      </w:r>
      <w:r>
        <w:rPr>
          <w:rFonts w:ascii="Times New Roman" w:eastAsia="宋体" w:hAnsi="Times New Roman" w:cs="Times New Roman" w:hint="eastAsia"/>
        </w:rPr>
        <w:t xml:space="preserve"> 156820.40h</w:t>
      </w:r>
      <w:r>
        <w:rPr>
          <w:rFonts w:ascii="Times New Roman" w:eastAsia="宋体" w:hAnsi="Times New Roman" w:cs="Times New Roman" w:hint="eastAsia"/>
        </w:rPr>
        <w:t>㎡。</w:t>
      </w:r>
    </w:p>
    <w:p w14:paraId="612C4FCD"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公园属中温带大陆性湿润季风气候，因地质地貌差异形成明显的小区域气候分异：西北部花岗岩高山区属冷凉湿润气候，年均气温</w:t>
      </w:r>
      <w:r>
        <w:rPr>
          <w:rFonts w:ascii="Times New Roman" w:eastAsia="宋体" w:hAnsi="Times New Roman" w:cs="Times New Roman" w:hint="eastAsia"/>
        </w:rPr>
        <w:t xml:space="preserve"> 2.3</w:t>
      </w:r>
      <w:r>
        <w:rPr>
          <w:rFonts w:ascii="Times New Roman" w:eastAsia="宋体" w:hAnsi="Times New Roman" w:cs="Times New Roman" w:hint="eastAsia"/>
        </w:rPr>
        <w:t>℃，年降水量</w:t>
      </w:r>
      <w:r>
        <w:rPr>
          <w:rFonts w:ascii="Times New Roman" w:eastAsia="宋体" w:hAnsi="Times New Roman" w:cs="Times New Roman" w:hint="eastAsia"/>
        </w:rPr>
        <w:t xml:space="preserve"> 780mm</w:t>
      </w:r>
      <w:r>
        <w:rPr>
          <w:rFonts w:ascii="Times New Roman" w:eastAsia="宋体" w:hAnsi="Times New Roman" w:cs="Times New Roman" w:hint="eastAsia"/>
        </w:rPr>
        <w:t>；东南部湖湾丘陵区属温凉半湿润气候，年均气温</w:t>
      </w:r>
      <w:r>
        <w:rPr>
          <w:rFonts w:ascii="Times New Roman" w:eastAsia="宋体" w:hAnsi="Times New Roman" w:cs="Times New Roman" w:hint="eastAsia"/>
        </w:rPr>
        <w:t xml:space="preserve"> 3.5</w:t>
      </w:r>
      <w:r>
        <w:rPr>
          <w:rFonts w:ascii="Times New Roman" w:eastAsia="宋体" w:hAnsi="Times New Roman" w:cs="Times New Roman" w:hint="eastAsia"/>
        </w:rPr>
        <w:t>℃，年降水量</w:t>
      </w:r>
      <w:r>
        <w:rPr>
          <w:rFonts w:ascii="Times New Roman" w:eastAsia="宋体" w:hAnsi="Times New Roman" w:cs="Times New Roman" w:hint="eastAsia"/>
        </w:rPr>
        <w:t xml:space="preserve"> 650mm</w:t>
      </w:r>
      <w:r>
        <w:rPr>
          <w:rFonts w:ascii="Times New Roman" w:eastAsia="宋体" w:hAnsi="Times New Roman" w:cs="Times New Roman" w:hint="eastAsia"/>
        </w:rPr>
        <w:t>；沿</w:t>
      </w:r>
      <w:r>
        <w:rPr>
          <w:rFonts w:ascii="Times New Roman" w:eastAsia="宋体" w:hAnsi="Times New Roman" w:cs="Times New Roman" w:hint="eastAsia"/>
        </w:rPr>
        <w:lastRenderedPageBreak/>
        <w:t>湖岸线地带受水体调节，气候温和湿润，昼夜温差较小，为地质景观的形成与保存提供了稳定的气候条件。</w:t>
      </w:r>
    </w:p>
    <w:p w14:paraId="7BFE5797"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公园植被与地质地貌关联性显著，在花岗岩山地发育以红松、椴树为主的针阔混交林，湖岸湿地则分布芦苇、香蒲等湿生植被，共记录高等植物</w:t>
      </w:r>
      <w:r>
        <w:rPr>
          <w:rFonts w:ascii="Times New Roman" w:eastAsia="宋体" w:hAnsi="Times New Roman" w:cs="Times New Roman" w:hint="eastAsia"/>
        </w:rPr>
        <w:t xml:space="preserve"> 138 </w:t>
      </w:r>
      <w:r>
        <w:rPr>
          <w:rFonts w:ascii="Times New Roman" w:eastAsia="宋体" w:hAnsi="Times New Roman" w:cs="Times New Roman" w:hint="eastAsia"/>
        </w:rPr>
        <w:t>科</w:t>
      </w:r>
      <w:r>
        <w:rPr>
          <w:rFonts w:ascii="Times New Roman" w:eastAsia="宋体" w:hAnsi="Times New Roman" w:cs="Times New Roman" w:hint="eastAsia"/>
        </w:rPr>
        <w:t xml:space="preserve"> 386 </w:t>
      </w:r>
      <w:r>
        <w:rPr>
          <w:rFonts w:ascii="Times New Roman" w:eastAsia="宋体" w:hAnsi="Times New Roman" w:cs="Times New Roman" w:hint="eastAsia"/>
        </w:rPr>
        <w:t>属</w:t>
      </w:r>
      <w:r>
        <w:rPr>
          <w:rFonts w:ascii="Times New Roman" w:eastAsia="宋体" w:hAnsi="Times New Roman" w:cs="Times New Roman" w:hint="eastAsia"/>
        </w:rPr>
        <w:t xml:space="preserve"> 625 </w:t>
      </w:r>
      <w:r>
        <w:rPr>
          <w:rFonts w:ascii="Times New Roman" w:eastAsia="宋体" w:hAnsi="Times New Roman" w:cs="Times New Roman" w:hint="eastAsia"/>
        </w:rPr>
        <w:t>种，其中国家级保护植物</w:t>
      </w:r>
      <w:r>
        <w:rPr>
          <w:rFonts w:ascii="Times New Roman" w:eastAsia="宋体" w:hAnsi="Times New Roman" w:cs="Times New Roman" w:hint="eastAsia"/>
        </w:rPr>
        <w:t xml:space="preserve"> 5 </w:t>
      </w:r>
      <w:r>
        <w:rPr>
          <w:rFonts w:ascii="Times New Roman" w:eastAsia="宋体" w:hAnsi="Times New Roman" w:cs="Times New Roman" w:hint="eastAsia"/>
        </w:rPr>
        <w:t>种，包括红松（</w:t>
      </w:r>
      <w:r>
        <w:rPr>
          <w:rFonts w:ascii="Times New Roman" w:eastAsia="宋体" w:hAnsi="Times New Roman" w:cs="Times New Roman" w:hint="eastAsia"/>
        </w:rPr>
        <w:t>Pinus koraiensis</w:t>
      </w:r>
      <w:r>
        <w:rPr>
          <w:rFonts w:ascii="Times New Roman" w:eastAsia="宋体" w:hAnsi="Times New Roman" w:cs="Times New Roman" w:hint="eastAsia"/>
        </w:rPr>
        <w:t>）、黄檗（</w:t>
      </w:r>
      <w:r>
        <w:rPr>
          <w:rFonts w:ascii="Times New Roman" w:eastAsia="宋体" w:hAnsi="Times New Roman" w:cs="Times New Roman" w:hint="eastAsia"/>
        </w:rPr>
        <w:t>Phellodendron amurense</w:t>
      </w:r>
      <w:r>
        <w:rPr>
          <w:rFonts w:ascii="Times New Roman" w:eastAsia="宋体" w:hAnsi="Times New Roman" w:cs="Times New Roman" w:hint="eastAsia"/>
        </w:rPr>
        <w:t>）、水曲柳（</w:t>
      </w:r>
      <w:r>
        <w:rPr>
          <w:rFonts w:ascii="Times New Roman" w:eastAsia="宋体" w:hAnsi="Times New Roman" w:cs="Times New Roman" w:hint="eastAsia"/>
        </w:rPr>
        <w:t>Fraxinus mandshurica</w:t>
      </w:r>
      <w:r>
        <w:rPr>
          <w:rFonts w:ascii="Times New Roman" w:eastAsia="宋体" w:hAnsi="Times New Roman" w:cs="Times New Roman" w:hint="eastAsia"/>
        </w:rPr>
        <w:t>）等，均生长于风化花岗岩发育的肥沃土壤中。</w:t>
      </w:r>
    </w:p>
    <w:p w14:paraId="6773402D"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动物地理区划属古北界、东北区、长白山亚区、东南山地省，共记录脊椎动物</w:t>
      </w:r>
      <w:r>
        <w:rPr>
          <w:rFonts w:ascii="Times New Roman" w:eastAsia="宋体" w:hAnsi="Times New Roman" w:cs="Times New Roman" w:hint="eastAsia"/>
        </w:rPr>
        <w:t xml:space="preserve"> 32 </w:t>
      </w:r>
      <w:r>
        <w:rPr>
          <w:rFonts w:ascii="Times New Roman" w:eastAsia="宋体" w:hAnsi="Times New Roman" w:cs="Times New Roman" w:hint="eastAsia"/>
        </w:rPr>
        <w:t>目</w:t>
      </w:r>
      <w:r>
        <w:rPr>
          <w:rFonts w:ascii="Times New Roman" w:eastAsia="宋体" w:hAnsi="Times New Roman" w:cs="Times New Roman" w:hint="eastAsia"/>
        </w:rPr>
        <w:t xml:space="preserve"> 78 </w:t>
      </w:r>
      <w:r>
        <w:rPr>
          <w:rFonts w:ascii="Times New Roman" w:eastAsia="宋体" w:hAnsi="Times New Roman" w:cs="Times New Roman" w:hint="eastAsia"/>
        </w:rPr>
        <w:t>科</w:t>
      </w:r>
      <w:r>
        <w:rPr>
          <w:rFonts w:ascii="Times New Roman" w:eastAsia="宋体" w:hAnsi="Times New Roman" w:cs="Times New Roman" w:hint="eastAsia"/>
        </w:rPr>
        <w:t xml:space="preserve"> 315 </w:t>
      </w:r>
      <w:r>
        <w:rPr>
          <w:rFonts w:ascii="Times New Roman" w:eastAsia="宋体" w:hAnsi="Times New Roman" w:cs="Times New Roman" w:hint="eastAsia"/>
        </w:rPr>
        <w:t>种，其中鱼类</w:t>
      </w:r>
      <w:r>
        <w:rPr>
          <w:rFonts w:ascii="Times New Roman" w:eastAsia="宋体" w:hAnsi="Times New Roman" w:cs="Times New Roman" w:hint="eastAsia"/>
        </w:rPr>
        <w:t xml:space="preserve"> 6 </w:t>
      </w:r>
      <w:r>
        <w:rPr>
          <w:rFonts w:ascii="Times New Roman" w:eastAsia="宋体" w:hAnsi="Times New Roman" w:cs="Times New Roman" w:hint="eastAsia"/>
        </w:rPr>
        <w:t>目</w:t>
      </w:r>
      <w:r>
        <w:rPr>
          <w:rFonts w:ascii="Times New Roman" w:eastAsia="宋体" w:hAnsi="Times New Roman" w:cs="Times New Roman" w:hint="eastAsia"/>
        </w:rPr>
        <w:t xml:space="preserve"> 11 </w:t>
      </w:r>
      <w:r>
        <w:rPr>
          <w:rFonts w:ascii="Times New Roman" w:eastAsia="宋体" w:hAnsi="Times New Roman" w:cs="Times New Roman" w:hint="eastAsia"/>
        </w:rPr>
        <w:t>科</w:t>
      </w:r>
      <w:r>
        <w:rPr>
          <w:rFonts w:ascii="Times New Roman" w:eastAsia="宋体" w:hAnsi="Times New Roman" w:cs="Times New Roman" w:hint="eastAsia"/>
        </w:rPr>
        <w:t xml:space="preserve"> 45 </w:t>
      </w:r>
      <w:r>
        <w:rPr>
          <w:rFonts w:ascii="Times New Roman" w:eastAsia="宋体" w:hAnsi="Times New Roman" w:cs="Times New Roman" w:hint="eastAsia"/>
        </w:rPr>
        <w:t>种，两栖类</w:t>
      </w:r>
      <w:r>
        <w:rPr>
          <w:rFonts w:ascii="Times New Roman" w:eastAsia="宋体" w:hAnsi="Times New Roman" w:cs="Times New Roman" w:hint="eastAsia"/>
        </w:rPr>
        <w:t xml:space="preserve"> 2 </w:t>
      </w:r>
      <w:r>
        <w:rPr>
          <w:rFonts w:ascii="Times New Roman" w:eastAsia="宋体" w:hAnsi="Times New Roman" w:cs="Times New Roman" w:hint="eastAsia"/>
        </w:rPr>
        <w:t>目</w:t>
      </w:r>
      <w:r>
        <w:rPr>
          <w:rFonts w:ascii="Times New Roman" w:eastAsia="宋体" w:hAnsi="Times New Roman" w:cs="Times New Roman" w:hint="eastAsia"/>
        </w:rPr>
        <w:t xml:space="preserve"> 4 </w:t>
      </w:r>
      <w:r>
        <w:rPr>
          <w:rFonts w:ascii="Times New Roman" w:eastAsia="宋体" w:hAnsi="Times New Roman" w:cs="Times New Roman" w:hint="eastAsia"/>
        </w:rPr>
        <w:t>科</w:t>
      </w:r>
      <w:r>
        <w:rPr>
          <w:rFonts w:ascii="Times New Roman" w:eastAsia="宋体" w:hAnsi="Times New Roman" w:cs="Times New Roman" w:hint="eastAsia"/>
        </w:rPr>
        <w:t xml:space="preserve"> 8 </w:t>
      </w:r>
      <w:r>
        <w:rPr>
          <w:rFonts w:ascii="Times New Roman" w:eastAsia="宋体" w:hAnsi="Times New Roman" w:cs="Times New Roman" w:hint="eastAsia"/>
        </w:rPr>
        <w:t>种，爬行类</w:t>
      </w:r>
      <w:r>
        <w:rPr>
          <w:rFonts w:ascii="Times New Roman" w:eastAsia="宋体" w:hAnsi="Times New Roman" w:cs="Times New Roman" w:hint="eastAsia"/>
        </w:rPr>
        <w:t xml:space="preserve"> 3 </w:t>
      </w:r>
      <w:r>
        <w:rPr>
          <w:rFonts w:ascii="Times New Roman" w:eastAsia="宋体" w:hAnsi="Times New Roman" w:cs="Times New Roman" w:hint="eastAsia"/>
        </w:rPr>
        <w:t>目</w:t>
      </w:r>
      <w:r>
        <w:rPr>
          <w:rFonts w:ascii="Times New Roman" w:eastAsia="宋体" w:hAnsi="Times New Roman" w:cs="Times New Roman" w:hint="eastAsia"/>
        </w:rPr>
        <w:t xml:space="preserve"> 4 </w:t>
      </w:r>
      <w:r>
        <w:rPr>
          <w:rFonts w:ascii="Times New Roman" w:eastAsia="宋体" w:hAnsi="Times New Roman" w:cs="Times New Roman" w:hint="eastAsia"/>
        </w:rPr>
        <w:t>科</w:t>
      </w:r>
      <w:r>
        <w:rPr>
          <w:rFonts w:ascii="Times New Roman" w:eastAsia="宋体" w:hAnsi="Times New Roman" w:cs="Times New Roman" w:hint="eastAsia"/>
        </w:rPr>
        <w:t xml:space="preserve"> 11 </w:t>
      </w:r>
      <w:r>
        <w:rPr>
          <w:rFonts w:ascii="Times New Roman" w:eastAsia="宋体" w:hAnsi="Times New Roman" w:cs="Times New Roman" w:hint="eastAsia"/>
        </w:rPr>
        <w:t>种，鸟类</w:t>
      </w:r>
      <w:r>
        <w:rPr>
          <w:rFonts w:ascii="Times New Roman" w:eastAsia="宋体" w:hAnsi="Times New Roman" w:cs="Times New Roman" w:hint="eastAsia"/>
        </w:rPr>
        <w:t xml:space="preserve"> 16 </w:t>
      </w:r>
      <w:r>
        <w:rPr>
          <w:rFonts w:ascii="Times New Roman" w:eastAsia="宋体" w:hAnsi="Times New Roman" w:cs="Times New Roman" w:hint="eastAsia"/>
        </w:rPr>
        <w:t>目</w:t>
      </w:r>
      <w:r>
        <w:rPr>
          <w:rFonts w:ascii="Times New Roman" w:eastAsia="宋体" w:hAnsi="Times New Roman" w:cs="Times New Roman" w:hint="eastAsia"/>
        </w:rPr>
        <w:t xml:space="preserve"> 42 </w:t>
      </w:r>
      <w:r>
        <w:rPr>
          <w:rFonts w:ascii="Times New Roman" w:eastAsia="宋体" w:hAnsi="Times New Roman" w:cs="Times New Roman" w:hint="eastAsia"/>
        </w:rPr>
        <w:t>科</w:t>
      </w:r>
      <w:r>
        <w:rPr>
          <w:rFonts w:ascii="Times New Roman" w:eastAsia="宋体" w:hAnsi="Times New Roman" w:cs="Times New Roman" w:hint="eastAsia"/>
        </w:rPr>
        <w:t xml:space="preserve"> 210 </w:t>
      </w:r>
      <w:r>
        <w:rPr>
          <w:rFonts w:ascii="Times New Roman" w:eastAsia="宋体" w:hAnsi="Times New Roman" w:cs="Times New Roman" w:hint="eastAsia"/>
        </w:rPr>
        <w:t>种，哺乳类</w:t>
      </w:r>
      <w:r>
        <w:rPr>
          <w:rFonts w:ascii="Times New Roman" w:eastAsia="宋体" w:hAnsi="Times New Roman" w:cs="Times New Roman" w:hint="eastAsia"/>
        </w:rPr>
        <w:t xml:space="preserve"> 5 </w:t>
      </w:r>
      <w:r>
        <w:rPr>
          <w:rFonts w:ascii="Times New Roman" w:eastAsia="宋体" w:hAnsi="Times New Roman" w:cs="Times New Roman" w:hint="eastAsia"/>
        </w:rPr>
        <w:t>目</w:t>
      </w:r>
      <w:r>
        <w:rPr>
          <w:rFonts w:ascii="Times New Roman" w:eastAsia="宋体" w:hAnsi="Times New Roman" w:cs="Times New Roman" w:hint="eastAsia"/>
        </w:rPr>
        <w:t xml:space="preserve"> 17 </w:t>
      </w:r>
      <w:r>
        <w:rPr>
          <w:rFonts w:ascii="Times New Roman" w:eastAsia="宋体" w:hAnsi="Times New Roman" w:cs="Times New Roman" w:hint="eastAsia"/>
        </w:rPr>
        <w:t>科</w:t>
      </w:r>
      <w:r>
        <w:rPr>
          <w:rFonts w:ascii="Times New Roman" w:eastAsia="宋体" w:hAnsi="Times New Roman" w:cs="Times New Roman" w:hint="eastAsia"/>
        </w:rPr>
        <w:t xml:space="preserve"> 41 </w:t>
      </w:r>
      <w:r>
        <w:rPr>
          <w:rFonts w:ascii="Times New Roman" w:eastAsia="宋体" w:hAnsi="Times New Roman" w:cs="Times New Roman" w:hint="eastAsia"/>
        </w:rPr>
        <w:t>种。国家级重点保护动物</w:t>
      </w:r>
      <w:r>
        <w:rPr>
          <w:rFonts w:ascii="Times New Roman" w:eastAsia="宋体" w:hAnsi="Times New Roman" w:cs="Times New Roman" w:hint="eastAsia"/>
        </w:rPr>
        <w:t xml:space="preserve"> 39 </w:t>
      </w:r>
      <w:r>
        <w:rPr>
          <w:rFonts w:ascii="Times New Roman" w:eastAsia="宋体" w:hAnsi="Times New Roman" w:cs="Times New Roman" w:hint="eastAsia"/>
        </w:rPr>
        <w:t>种，其中国家</w:t>
      </w:r>
      <w:r>
        <w:rPr>
          <w:rFonts w:ascii="Times New Roman" w:eastAsia="宋体" w:hAnsi="Times New Roman" w:cs="Times New Roman" w:hint="eastAsia"/>
        </w:rPr>
        <w:t xml:space="preserve"> I </w:t>
      </w:r>
      <w:r>
        <w:rPr>
          <w:rFonts w:ascii="Times New Roman" w:eastAsia="宋体" w:hAnsi="Times New Roman" w:cs="Times New Roman" w:hint="eastAsia"/>
        </w:rPr>
        <w:t>级重点保护动物中华秋沙鸭（</w:t>
      </w:r>
      <w:r>
        <w:rPr>
          <w:rFonts w:ascii="Times New Roman" w:eastAsia="宋体" w:hAnsi="Times New Roman" w:cs="Times New Roman" w:hint="eastAsia"/>
        </w:rPr>
        <w:t>Mergus squamatus</w:t>
      </w:r>
      <w:r>
        <w:rPr>
          <w:rFonts w:ascii="Times New Roman" w:eastAsia="宋体" w:hAnsi="Times New Roman" w:cs="Times New Roman" w:hint="eastAsia"/>
        </w:rPr>
        <w:t>）、金雕（</w:t>
      </w:r>
      <w:r>
        <w:rPr>
          <w:rFonts w:ascii="Times New Roman" w:eastAsia="宋体" w:hAnsi="Times New Roman" w:cs="Times New Roman" w:hint="eastAsia"/>
        </w:rPr>
        <w:t>Aquila chrysaetos</w:t>
      </w:r>
      <w:r>
        <w:rPr>
          <w:rFonts w:ascii="Times New Roman" w:eastAsia="宋体" w:hAnsi="Times New Roman" w:cs="Times New Roman" w:hint="eastAsia"/>
        </w:rPr>
        <w:t>）等依赖湖岸地质景观形成的洞穴与崖壁栖息。</w:t>
      </w:r>
    </w:p>
    <w:p w14:paraId="4B71F628"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黑龙江省莲花湖地质公园的主要保护对象为花岗岩构造侵蚀地貌遗迹、湖蚀地貌系统、区域地质演化剖面及伴生的生态系统。根据《国家地质公园规划编制技术要求》，公园属</w:t>
      </w:r>
      <w:r>
        <w:rPr>
          <w:rFonts w:ascii="Times New Roman" w:eastAsia="宋体" w:hAnsi="Times New Roman" w:cs="Times New Roman" w:hint="eastAsia"/>
        </w:rPr>
        <w:t xml:space="preserve"> </w:t>
      </w:r>
      <w:r>
        <w:rPr>
          <w:rFonts w:ascii="Times New Roman" w:eastAsia="宋体" w:hAnsi="Times New Roman" w:cs="Times New Roman" w:hint="eastAsia"/>
        </w:rPr>
        <w:t>“地质地貌类”</w:t>
      </w:r>
      <w:r>
        <w:rPr>
          <w:rFonts w:ascii="Times New Roman" w:eastAsia="宋体" w:hAnsi="Times New Roman" w:cs="Times New Roman" w:hint="eastAsia"/>
        </w:rPr>
        <w:t xml:space="preserve"> </w:t>
      </w:r>
      <w:r>
        <w:rPr>
          <w:rFonts w:ascii="Times New Roman" w:eastAsia="宋体" w:hAnsi="Times New Roman" w:cs="Times New Roman" w:hint="eastAsia"/>
        </w:rPr>
        <w:t>省级地质公园，兼具科研、科普与生态旅游功能。</w:t>
      </w:r>
    </w:p>
    <w:p w14:paraId="6DFD4760"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根据黑龙江省生态环境分区管控数据应用平台，叠加工程矢量数据，本次工程占用地质公园</w:t>
      </w:r>
      <w:r>
        <w:rPr>
          <w:rFonts w:ascii="Times New Roman" w:eastAsia="宋体" w:hAnsi="Times New Roman" w:cs="Times New Roman" w:hint="eastAsia"/>
        </w:rPr>
        <w:t>1.26hm</w:t>
      </w:r>
      <w:r>
        <w:rPr>
          <w:rFonts w:ascii="Times New Roman" w:eastAsia="宋体" w:hAnsi="Times New Roman" w:cs="Times New Roman" w:hint="eastAsia"/>
          <w:vertAlign w:val="superscript"/>
        </w:rPr>
        <w:t>2</w:t>
      </w:r>
      <w:r>
        <w:rPr>
          <w:rFonts w:ascii="Times New Roman" w:eastAsia="宋体" w:hAnsi="Times New Roman" w:cs="Times New Roman" w:hint="eastAsia"/>
        </w:rPr>
        <w:t>，主要为居住区、淤泥堆放区、机械设备停放区、施工便道临时占用。</w:t>
      </w:r>
    </w:p>
    <w:p w14:paraId="28A82ED4"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3</w:t>
      </w:r>
      <w:r>
        <w:rPr>
          <w:rFonts w:ascii="Times New Roman" w:eastAsia="宋体" w:hAnsi="Times New Roman" w:cs="Times New Roman" w:hint="eastAsia"/>
        </w:rPr>
        <w:t>、海林莲花湖风景名胜区</w:t>
      </w:r>
    </w:p>
    <w:p w14:paraId="571945B8"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莲花湖风景名胜区位于黑龙江省海林市内东北部，牡丹江市北部，张广才岭东坡，牡丹江中下游，距海林市城区</w:t>
      </w:r>
      <w:r>
        <w:rPr>
          <w:rFonts w:ascii="Times New Roman" w:eastAsia="宋体" w:hAnsi="Times New Roman" w:cs="Times New Roman" w:hint="eastAsia"/>
        </w:rPr>
        <w:t>50km</w:t>
      </w:r>
      <w:r>
        <w:rPr>
          <w:rFonts w:ascii="Times New Roman" w:eastAsia="宋体" w:hAnsi="Times New Roman" w:cs="Times New Roman" w:hint="eastAsia"/>
        </w:rPr>
        <w:t>，距牡丹江市</w:t>
      </w:r>
      <w:r>
        <w:rPr>
          <w:rFonts w:ascii="Times New Roman" w:eastAsia="宋体" w:hAnsi="Times New Roman" w:cs="Times New Roman" w:hint="eastAsia"/>
        </w:rPr>
        <w:t>20km</w:t>
      </w:r>
      <w:r>
        <w:rPr>
          <w:rFonts w:ascii="Times New Roman" w:eastAsia="宋体" w:hAnsi="Times New Roman" w:cs="Times New Roman" w:hint="eastAsia"/>
        </w:rPr>
        <w:t>。风景区内有辽阔壮丽的水域风光、雄浑壮美的山地森林景观、独具特色的冰雪景观资源、典型的东北地方民俗文化、丰富的历史文化遗存，资源类型丰富，生态环境良好。风景区总面积</w:t>
      </w:r>
      <w:r>
        <w:rPr>
          <w:rFonts w:ascii="Times New Roman" w:eastAsia="宋体" w:hAnsi="Times New Roman" w:cs="Times New Roman" w:hint="eastAsia"/>
        </w:rPr>
        <w:t>1935km2</w:t>
      </w:r>
      <w:r>
        <w:rPr>
          <w:rFonts w:ascii="Times New Roman" w:eastAsia="宋体" w:hAnsi="Times New Roman" w:cs="Times New Roman" w:hint="eastAsia"/>
        </w:rPr>
        <w:t>，外围保护区面积</w:t>
      </w:r>
      <w:r>
        <w:rPr>
          <w:rFonts w:ascii="Times New Roman" w:eastAsia="宋体" w:hAnsi="Times New Roman" w:cs="Times New Roman" w:hint="eastAsia"/>
        </w:rPr>
        <w:t>631.3 km2</w:t>
      </w:r>
      <w:r>
        <w:rPr>
          <w:rFonts w:ascii="Times New Roman" w:eastAsia="宋体" w:hAnsi="Times New Roman" w:cs="Times New Roman" w:hint="eastAsia"/>
        </w:rPr>
        <w:t>，地理坐标为东经</w:t>
      </w:r>
      <w:r>
        <w:rPr>
          <w:rFonts w:ascii="Times New Roman" w:eastAsia="宋体" w:hAnsi="Times New Roman" w:cs="Times New Roman" w:hint="eastAsia"/>
        </w:rPr>
        <w:t>129</w:t>
      </w:r>
      <w:r>
        <w:rPr>
          <w:rFonts w:ascii="Times New Roman" w:eastAsia="宋体" w:hAnsi="Times New Roman" w:cs="Times New Roman" w:hint="eastAsia"/>
        </w:rPr>
        <w:t>°</w:t>
      </w:r>
      <w:r>
        <w:rPr>
          <w:rFonts w:ascii="Times New Roman" w:eastAsia="宋体" w:hAnsi="Times New Roman" w:cs="Times New Roman" w:hint="eastAsia"/>
        </w:rPr>
        <w:t>13</w:t>
      </w:r>
      <w:r>
        <w:rPr>
          <w:rFonts w:ascii="Times New Roman" w:eastAsia="宋体" w:hAnsi="Times New Roman" w:cs="Times New Roman" w:hint="eastAsia"/>
        </w:rPr>
        <w:t>′～</w:t>
      </w:r>
      <w:r>
        <w:rPr>
          <w:rFonts w:ascii="Times New Roman" w:eastAsia="宋体" w:hAnsi="Times New Roman" w:cs="Times New Roman" w:hint="eastAsia"/>
        </w:rPr>
        <w:t>129</w:t>
      </w:r>
      <w:r>
        <w:rPr>
          <w:rFonts w:ascii="Times New Roman" w:eastAsia="宋体" w:hAnsi="Times New Roman" w:cs="Times New Roman" w:hint="eastAsia"/>
        </w:rPr>
        <w:t>°</w:t>
      </w:r>
      <w:r>
        <w:rPr>
          <w:rFonts w:ascii="Times New Roman" w:eastAsia="宋体" w:hAnsi="Times New Roman" w:cs="Times New Roman" w:hint="eastAsia"/>
        </w:rPr>
        <w:t>55</w:t>
      </w:r>
      <w:r>
        <w:rPr>
          <w:rFonts w:ascii="Times New Roman" w:eastAsia="宋体" w:hAnsi="Times New Roman" w:cs="Times New Roman" w:hint="eastAsia"/>
        </w:rPr>
        <w:t>′，北纬</w:t>
      </w:r>
      <w:r>
        <w:rPr>
          <w:rFonts w:ascii="Times New Roman" w:eastAsia="宋体" w:hAnsi="Times New Roman" w:cs="Times New Roman" w:hint="eastAsia"/>
        </w:rPr>
        <w:t>44</w:t>
      </w:r>
      <w:r>
        <w:rPr>
          <w:rFonts w:ascii="Times New Roman" w:eastAsia="宋体" w:hAnsi="Times New Roman" w:cs="Times New Roman" w:hint="eastAsia"/>
        </w:rPr>
        <w:t>°</w:t>
      </w:r>
      <w:r>
        <w:rPr>
          <w:rFonts w:ascii="Times New Roman" w:eastAsia="宋体" w:hAnsi="Times New Roman" w:cs="Times New Roman" w:hint="eastAsia"/>
        </w:rPr>
        <w:t>42</w:t>
      </w:r>
      <w:r>
        <w:rPr>
          <w:rFonts w:ascii="Times New Roman" w:eastAsia="宋体" w:hAnsi="Times New Roman" w:cs="Times New Roman" w:hint="eastAsia"/>
        </w:rPr>
        <w:t>′～</w:t>
      </w:r>
      <w:r>
        <w:rPr>
          <w:rFonts w:ascii="Times New Roman" w:eastAsia="宋体" w:hAnsi="Times New Roman" w:cs="Times New Roman" w:hint="eastAsia"/>
        </w:rPr>
        <w:t>45</w:t>
      </w:r>
      <w:r>
        <w:rPr>
          <w:rFonts w:ascii="Times New Roman" w:eastAsia="宋体" w:hAnsi="Times New Roman" w:cs="Times New Roman" w:hint="eastAsia"/>
        </w:rPr>
        <w:t>°</w:t>
      </w:r>
      <w:r>
        <w:rPr>
          <w:rFonts w:ascii="Times New Roman" w:eastAsia="宋体" w:hAnsi="Times New Roman" w:cs="Times New Roman" w:hint="eastAsia"/>
        </w:rPr>
        <w:t>30</w:t>
      </w:r>
      <w:r>
        <w:rPr>
          <w:rFonts w:ascii="Times New Roman" w:eastAsia="宋体" w:hAnsi="Times New Roman" w:cs="Times New Roman" w:hint="eastAsia"/>
        </w:rPr>
        <w:t>′。</w:t>
      </w:r>
    </w:p>
    <w:p w14:paraId="7F94815A"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莲花湖风景名胜区地处长白山系张广才岭东坡，属于中山和低山丘陵地带，</w:t>
      </w:r>
      <w:r>
        <w:rPr>
          <w:rFonts w:ascii="Times New Roman" w:eastAsia="宋体" w:hAnsi="Times New Roman" w:cs="Times New Roman" w:hint="eastAsia"/>
        </w:rPr>
        <w:lastRenderedPageBreak/>
        <w:t>西北高耸，东南低缓，地势起伏较大，山势较陡，海拔多在</w:t>
      </w:r>
      <w:r>
        <w:rPr>
          <w:rFonts w:ascii="Times New Roman" w:eastAsia="宋体" w:hAnsi="Times New Roman" w:cs="Times New Roman" w:hint="eastAsia"/>
        </w:rPr>
        <w:t>220</w:t>
      </w:r>
      <w:r>
        <w:rPr>
          <w:rFonts w:ascii="Times New Roman" w:eastAsia="宋体" w:hAnsi="Times New Roman" w:cs="Times New Roman" w:hint="eastAsia"/>
        </w:rPr>
        <w:t>～</w:t>
      </w:r>
      <w:r>
        <w:rPr>
          <w:rFonts w:ascii="Times New Roman" w:eastAsia="宋体" w:hAnsi="Times New Roman" w:cs="Times New Roman" w:hint="eastAsia"/>
        </w:rPr>
        <w:t>1100m</w:t>
      </w:r>
      <w:r>
        <w:rPr>
          <w:rFonts w:ascii="Times New Roman" w:eastAsia="宋体" w:hAnsi="Times New Roman" w:cs="Times New Roman" w:hint="eastAsia"/>
        </w:rPr>
        <w:t>之间，平均海拔</w:t>
      </w:r>
      <w:r>
        <w:rPr>
          <w:rFonts w:ascii="Times New Roman" w:eastAsia="宋体" w:hAnsi="Times New Roman" w:cs="Times New Roman" w:hint="eastAsia"/>
        </w:rPr>
        <w:t>500m</w:t>
      </w:r>
      <w:r>
        <w:rPr>
          <w:rFonts w:ascii="Times New Roman" w:eastAsia="宋体" w:hAnsi="Times New Roman" w:cs="Times New Roman" w:hint="eastAsia"/>
        </w:rPr>
        <w:t>左右，最高峰为大锅盔山，海拔</w:t>
      </w:r>
      <w:r>
        <w:rPr>
          <w:rFonts w:ascii="Times New Roman" w:eastAsia="宋体" w:hAnsi="Times New Roman" w:cs="Times New Roman" w:hint="eastAsia"/>
        </w:rPr>
        <w:t>1184.8m</w:t>
      </w:r>
      <w:r>
        <w:rPr>
          <w:rFonts w:ascii="Times New Roman" w:eastAsia="宋体" w:hAnsi="Times New Roman" w:cs="Times New Roman" w:hint="eastAsia"/>
        </w:rPr>
        <w:t>。风景区大地构造处于东北断块区张广才岭隆起带和佳木斯隆起带间，牡丹江断裂带上。其岩性主要由元古代混合花岗岩和华西晚期花岗岩构成。岩性比较单一，岩石呈岩基状，块体结构、整体性和稳定性较好。区域新构造运动主要以整体性抬升运动为特征，形成陡峭峡谷型地貌，沿牡丹江流域发育有两级阶地。</w:t>
      </w:r>
    </w:p>
    <w:p w14:paraId="7F334DE8"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莲花湖风景名胜区属于中纬度中温带大陆性季风气候区。冬长夏短，结冻期长达</w:t>
      </w:r>
      <w:r>
        <w:rPr>
          <w:rFonts w:ascii="Times New Roman" w:eastAsia="宋体" w:hAnsi="Times New Roman" w:cs="Times New Roman" w:hint="eastAsia"/>
        </w:rPr>
        <w:t>5</w:t>
      </w:r>
      <w:r>
        <w:rPr>
          <w:rFonts w:ascii="Times New Roman" w:eastAsia="宋体" w:hAnsi="Times New Roman" w:cs="Times New Roman" w:hint="eastAsia"/>
        </w:rPr>
        <w:t>个月，春秋过度季节气候多变化。冬季气候寒冷，干燥；夏季降水集中，气温高，湿润；春季多大风，易发生干旱；秋季气温下降快，常有霜冻发生。由于山脉纵横交错，地形复杂，各地气候差异较大，局部山区小气候明显。年平均气温</w:t>
      </w:r>
      <w:r>
        <w:rPr>
          <w:rFonts w:ascii="Times New Roman" w:eastAsia="宋体" w:hAnsi="Times New Roman" w:cs="Times New Roman" w:hint="eastAsia"/>
        </w:rPr>
        <w:t>1.9</w:t>
      </w:r>
      <w:r>
        <w:rPr>
          <w:rFonts w:ascii="Times New Roman" w:eastAsia="宋体" w:hAnsi="Times New Roman" w:cs="Times New Roman" w:hint="eastAsia"/>
        </w:rPr>
        <w:t>～</w:t>
      </w:r>
      <w:r>
        <w:rPr>
          <w:rFonts w:ascii="Times New Roman" w:eastAsia="宋体" w:hAnsi="Times New Roman" w:cs="Times New Roman" w:hint="eastAsia"/>
        </w:rPr>
        <w:t>3.6</w:t>
      </w:r>
      <w:r>
        <w:rPr>
          <w:rFonts w:ascii="Times New Roman" w:eastAsia="宋体" w:hAnsi="Times New Roman" w:cs="Times New Roman" w:hint="eastAsia"/>
        </w:rPr>
        <w:t>℃，最冷月一月份平均气温为</w:t>
      </w:r>
      <w:r>
        <w:rPr>
          <w:rFonts w:ascii="Times New Roman" w:eastAsia="宋体" w:hAnsi="Times New Roman" w:cs="Times New Roman" w:hint="eastAsia"/>
        </w:rPr>
        <w:t>-20</w:t>
      </w:r>
      <w:r>
        <w:rPr>
          <w:rFonts w:ascii="Times New Roman" w:eastAsia="宋体" w:hAnsi="Times New Roman" w:cs="Times New Roman" w:hint="eastAsia"/>
        </w:rPr>
        <w:t>℃，最热月七月份平均气温为</w:t>
      </w:r>
      <w:r>
        <w:rPr>
          <w:rFonts w:ascii="Times New Roman" w:eastAsia="宋体" w:hAnsi="Times New Roman" w:cs="Times New Roman" w:hint="eastAsia"/>
        </w:rPr>
        <w:t>22</w:t>
      </w:r>
      <w:r>
        <w:rPr>
          <w:rFonts w:ascii="Times New Roman" w:eastAsia="宋体" w:hAnsi="Times New Roman" w:cs="Times New Roman" w:hint="eastAsia"/>
        </w:rPr>
        <w:t>℃，年极端最高气温为</w:t>
      </w:r>
      <w:r>
        <w:rPr>
          <w:rFonts w:ascii="Times New Roman" w:eastAsia="宋体" w:hAnsi="Times New Roman" w:cs="Times New Roman" w:hint="eastAsia"/>
        </w:rPr>
        <w:t>36.3</w:t>
      </w:r>
      <w:r>
        <w:rPr>
          <w:rFonts w:ascii="Times New Roman" w:eastAsia="宋体" w:hAnsi="Times New Roman" w:cs="Times New Roman" w:hint="eastAsia"/>
        </w:rPr>
        <w:t>℃，年极端最低气温为</w:t>
      </w:r>
      <w:r>
        <w:rPr>
          <w:rFonts w:ascii="Times New Roman" w:eastAsia="宋体" w:hAnsi="Times New Roman" w:cs="Times New Roman" w:hint="eastAsia"/>
        </w:rPr>
        <w:t>-38.8</w:t>
      </w:r>
      <w:r>
        <w:rPr>
          <w:rFonts w:ascii="Times New Roman" w:eastAsia="宋体" w:hAnsi="Times New Roman" w:cs="Times New Roman" w:hint="eastAsia"/>
        </w:rPr>
        <w:t>℃。全年≥</w:t>
      </w:r>
      <w:r>
        <w:rPr>
          <w:rFonts w:ascii="Times New Roman" w:eastAsia="宋体" w:hAnsi="Times New Roman" w:cs="Times New Roman" w:hint="eastAsia"/>
        </w:rPr>
        <w:t>10</w:t>
      </w:r>
      <w:r>
        <w:rPr>
          <w:rFonts w:ascii="Times New Roman" w:eastAsia="宋体" w:hAnsi="Times New Roman" w:cs="Times New Roman" w:hint="eastAsia"/>
        </w:rPr>
        <w:t>℃的活动积温平均</w:t>
      </w:r>
      <w:r>
        <w:rPr>
          <w:rFonts w:ascii="Times New Roman" w:eastAsia="宋体" w:hAnsi="Times New Roman" w:cs="Times New Roman" w:hint="eastAsia"/>
        </w:rPr>
        <w:t>2100</w:t>
      </w:r>
      <w:r>
        <w:rPr>
          <w:rFonts w:ascii="Times New Roman" w:eastAsia="宋体" w:hAnsi="Times New Roman" w:cs="Times New Roman" w:hint="eastAsia"/>
        </w:rPr>
        <w:t>～</w:t>
      </w:r>
      <w:r>
        <w:rPr>
          <w:rFonts w:ascii="Times New Roman" w:eastAsia="宋体" w:hAnsi="Times New Roman" w:cs="Times New Roman" w:hint="eastAsia"/>
        </w:rPr>
        <w:t>2500</w:t>
      </w:r>
      <w:r>
        <w:rPr>
          <w:rFonts w:ascii="Times New Roman" w:eastAsia="宋体" w:hAnsi="Times New Roman" w:cs="Times New Roman" w:hint="eastAsia"/>
        </w:rPr>
        <w:t>℃，无霜期</w:t>
      </w:r>
      <w:r>
        <w:rPr>
          <w:rFonts w:ascii="Times New Roman" w:eastAsia="宋体" w:hAnsi="Times New Roman" w:cs="Times New Roman" w:hint="eastAsia"/>
        </w:rPr>
        <w:t>85</w:t>
      </w:r>
      <w:r>
        <w:rPr>
          <w:rFonts w:ascii="Times New Roman" w:eastAsia="宋体" w:hAnsi="Times New Roman" w:cs="Times New Roman" w:hint="eastAsia"/>
        </w:rPr>
        <w:t>～</w:t>
      </w:r>
      <w:r>
        <w:rPr>
          <w:rFonts w:ascii="Times New Roman" w:eastAsia="宋体" w:hAnsi="Times New Roman" w:cs="Times New Roman" w:hint="eastAsia"/>
        </w:rPr>
        <w:t>130</w:t>
      </w:r>
      <w:r>
        <w:rPr>
          <w:rFonts w:ascii="Times New Roman" w:eastAsia="宋体" w:hAnsi="Times New Roman" w:cs="Times New Roman" w:hint="eastAsia"/>
        </w:rPr>
        <w:t>天。年平均降水</w:t>
      </w:r>
      <w:r>
        <w:rPr>
          <w:rFonts w:ascii="Times New Roman" w:eastAsia="宋体" w:hAnsi="Times New Roman" w:cs="Times New Roman" w:hint="eastAsia"/>
        </w:rPr>
        <w:t>450</w:t>
      </w:r>
      <w:r>
        <w:rPr>
          <w:rFonts w:ascii="Times New Roman" w:eastAsia="宋体" w:hAnsi="Times New Roman" w:cs="Times New Roman" w:hint="eastAsia"/>
        </w:rPr>
        <w:t>～</w:t>
      </w:r>
      <w:r>
        <w:rPr>
          <w:rFonts w:ascii="Times New Roman" w:eastAsia="宋体" w:hAnsi="Times New Roman" w:cs="Times New Roman" w:hint="eastAsia"/>
        </w:rPr>
        <w:t>1000mm</w:t>
      </w:r>
      <w:r>
        <w:rPr>
          <w:rFonts w:ascii="Times New Roman" w:eastAsia="宋体" w:hAnsi="Times New Roman" w:cs="Times New Roman" w:hint="eastAsia"/>
        </w:rPr>
        <w:t>。年日照时数为</w:t>
      </w:r>
      <w:r>
        <w:rPr>
          <w:rFonts w:ascii="Times New Roman" w:eastAsia="宋体" w:hAnsi="Times New Roman" w:cs="Times New Roman" w:hint="eastAsia"/>
        </w:rPr>
        <w:t>2300</w:t>
      </w:r>
      <w:r>
        <w:rPr>
          <w:rFonts w:ascii="Times New Roman" w:eastAsia="宋体" w:hAnsi="Times New Roman" w:cs="Times New Roman" w:hint="eastAsia"/>
        </w:rPr>
        <w:t>～</w:t>
      </w:r>
      <w:r>
        <w:rPr>
          <w:rFonts w:ascii="Times New Roman" w:eastAsia="宋体" w:hAnsi="Times New Roman" w:cs="Times New Roman" w:hint="eastAsia"/>
        </w:rPr>
        <w:t>2600h</w:t>
      </w:r>
      <w:r>
        <w:rPr>
          <w:rFonts w:ascii="Times New Roman" w:eastAsia="宋体" w:hAnsi="Times New Roman" w:cs="Times New Roman" w:hint="eastAsia"/>
        </w:rPr>
        <w:t>。全年盛行西北风，夏季盛行偏南风。冬季山区常出现暴风雪，全年一般积雪日</w:t>
      </w:r>
      <w:r>
        <w:rPr>
          <w:rFonts w:ascii="Times New Roman" w:eastAsia="宋体" w:hAnsi="Times New Roman" w:cs="Times New Roman" w:hint="eastAsia"/>
        </w:rPr>
        <w:t>89</w:t>
      </w:r>
      <w:r>
        <w:rPr>
          <w:rFonts w:ascii="Times New Roman" w:eastAsia="宋体" w:hAnsi="Times New Roman" w:cs="Times New Roman" w:hint="eastAsia"/>
        </w:rPr>
        <w:t>天，高山区积雪日可达</w:t>
      </w:r>
      <w:r>
        <w:rPr>
          <w:rFonts w:ascii="Times New Roman" w:eastAsia="宋体" w:hAnsi="Times New Roman" w:cs="Times New Roman" w:hint="eastAsia"/>
        </w:rPr>
        <w:t>130</w:t>
      </w:r>
      <w:r>
        <w:rPr>
          <w:rFonts w:ascii="Times New Roman" w:eastAsia="宋体" w:hAnsi="Times New Roman" w:cs="Times New Roman" w:hint="eastAsia"/>
        </w:rPr>
        <w:t>～</w:t>
      </w:r>
      <w:r>
        <w:rPr>
          <w:rFonts w:ascii="Times New Roman" w:eastAsia="宋体" w:hAnsi="Times New Roman" w:cs="Times New Roman" w:hint="eastAsia"/>
        </w:rPr>
        <w:t>150</w:t>
      </w:r>
      <w:r>
        <w:rPr>
          <w:rFonts w:ascii="Times New Roman" w:eastAsia="宋体" w:hAnsi="Times New Roman" w:cs="Times New Roman" w:hint="eastAsia"/>
        </w:rPr>
        <w:t>天；最大积雪深度</w:t>
      </w:r>
      <w:r>
        <w:rPr>
          <w:rFonts w:ascii="Times New Roman" w:eastAsia="宋体" w:hAnsi="Times New Roman" w:cs="Times New Roman" w:hint="eastAsia"/>
        </w:rPr>
        <w:t>29cm</w:t>
      </w:r>
      <w:r>
        <w:rPr>
          <w:rFonts w:ascii="Times New Roman" w:eastAsia="宋体" w:hAnsi="Times New Roman" w:cs="Times New Roman" w:hint="eastAsia"/>
        </w:rPr>
        <w:t>，山区</w:t>
      </w:r>
      <w:r>
        <w:rPr>
          <w:rFonts w:ascii="Times New Roman" w:eastAsia="宋体" w:hAnsi="Times New Roman" w:cs="Times New Roman" w:hint="eastAsia"/>
        </w:rPr>
        <w:t>50</w:t>
      </w:r>
      <w:r>
        <w:rPr>
          <w:rFonts w:ascii="Times New Roman" w:eastAsia="宋体" w:hAnsi="Times New Roman" w:cs="Times New Roman" w:hint="eastAsia"/>
        </w:rPr>
        <w:t>～</w:t>
      </w:r>
      <w:r>
        <w:rPr>
          <w:rFonts w:ascii="Times New Roman" w:eastAsia="宋体" w:hAnsi="Times New Roman" w:cs="Times New Roman" w:hint="eastAsia"/>
        </w:rPr>
        <w:t>60cm</w:t>
      </w:r>
      <w:r>
        <w:rPr>
          <w:rFonts w:ascii="Times New Roman" w:eastAsia="宋体" w:hAnsi="Times New Roman" w:cs="Times New Roman" w:hint="eastAsia"/>
        </w:rPr>
        <w:t>，高山区可达</w:t>
      </w:r>
      <w:r>
        <w:rPr>
          <w:rFonts w:ascii="Times New Roman" w:eastAsia="宋体" w:hAnsi="Times New Roman" w:cs="Times New Roman" w:hint="eastAsia"/>
        </w:rPr>
        <w:t>60</w:t>
      </w:r>
      <w:r>
        <w:rPr>
          <w:rFonts w:ascii="Times New Roman" w:eastAsia="宋体" w:hAnsi="Times New Roman" w:cs="Times New Roman" w:hint="eastAsia"/>
        </w:rPr>
        <w:t>～</w:t>
      </w:r>
      <w:r>
        <w:rPr>
          <w:rFonts w:ascii="Times New Roman" w:eastAsia="宋体" w:hAnsi="Times New Roman" w:cs="Times New Roman" w:hint="eastAsia"/>
        </w:rPr>
        <w:t>100cm</w:t>
      </w:r>
      <w:r>
        <w:rPr>
          <w:rFonts w:ascii="Times New Roman" w:eastAsia="宋体" w:hAnsi="Times New Roman" w:cs="Times New Roman" w:hint="eastAsia"/>
        </w:rPr>
        <w:t>，最深达</w:t>
      </w:r>
      <w:r>
        <w:rPr>
          <w:rFonts w:ascii="Times New Roman" w:eastAsia="宋体" w:hAnsi="Times New Roman" w:cs="Times New Roman" w:hint="eastAsia"/>
        </w:rPr>
        <w:t>150cm</w:t>
      </w:r>
      <w:r>
        <w:rPr>
          <w:rFonts w:ascii="Times New Roman" w:eastAsia="宋体" w:hAnsi="Times New Roman" w:cs="Times New Roman" w:hint="eastAsia"/>
        </w:rPr>
        <w:t>。</w:t>
      </w:r>
    </w:p>
    <w:p w14:paraId="6E40B2FE"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莲花湖风景名胜区地处长白山植物区系，属温带针阔混交林，植物种类丰富。常见乔木主要有：云杉、冷杉、红松、樟子松、落叶松、水曲柳、黄菠萝、胡桃楸、紫极、糠椴、大叶榆、小叶榆、黄榆、大青杨、白杨、白毛柳、枫桦、白桦、黑桦、蒙古柞、色树等；常见草本有山野菜：薇菜、猴腿蕨、鲜毛蕨、鳞毛蕨、老牛锉、江葱、驴蹄菜、马兰花、柳兰花、金针菜、白花菜、红花菜、灰菜、燕尾菜、刺儿菜、苣荬菜、水篙、小根蒜、山菠菜、山韭菜、山芹菜、山白菜、山葱、山茄子、山豆角、枪头菜、四叶菜等。</w:t>
      </w:r>
    </w:p>
    <w:p w14:paraId="431FA1E6"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解放初期，山林之中野生动物极为丰富。随着林区的开发和非法捕猎，野生动物日趋减少，逐渐失去平衡。</w:t>
      </w:r>
      <w:r>
        <w:rPr>
          <w:rFonts w:ascii="Times New Roman" w:eastAsia="宋体" w:hAnsi="Times New Roman" w:cs="Times New Roman" w:hint="eastAsia"/>
        </w:rPr>
        <w:t>1985</w:t>
      </w:r>
      <w:r>
        <w:rPr>
          <w:rFonts w:ascii="Times New Roman" w:eastAsia="宋体" w:hAnsi="Times New Roman" w:cs="Times New Roman" w:hint="eastAsia"/>
        </w:rPr>
        <w:t>年，东北虎基本绝迹。为数较多的尚有熊、野猪等，还有紫貂、水獭等珍贵皮毛动物以及鹿、獐子等国家二类保护动物。</w:t>
      </w:r>
    </w:p>
    <w:p w14:paraId="2F92D67D"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根据黑龙江省生态环境分区管控数据应用平台，叠加工程矢量数据，本次工程占用风景名胜区</w:t>
      </w:r>
      <w:r>
        <w:rPr>
          <w:rFonts w:ascii="Times New Roman" w:eastAsia="宋体" w:hAnsi="Times New Roman" w:cs="Times New Roman" w:hint="eastAsia"/>
        </w:rPr>
        <w:t>1.26hm</w:t>
      </w:r>
      <w:r>
        <w:rPr>
          <w:rFonts w:ascii="Times New Roman" w:eastAsia="宋体" w:hAnsi="Times New Roman" w:cs="Times New Roman" w:hint="eastAsia"/>
          <w:vertAlign w:val="superscript"/>
        </w:rPr>
        <w:t>2</w:t>
      </w:r>
      <w:r>
        <w:rPr>
          <w:rFonts w:ascii="Times New Roman" w:eastAsia="宋体" w:hAnsi="Times New Roman" w:cs="Times New Roman" w:hint="eastAsia"/>
        </w:rPr>
        <w:t>，主要为居住区、淤泥堆放区、机械设备停放区、施</w:t>
      </w:r>
      <w:r>
        <w:rPr>
          <w:rFonts w:ascii="Times New Roman" w:eastAsia="宋体" w:hAnsi="Times New Roman" w:cs="Times New Roman" w:hint="eastAsia"/>
        </w:rPr>
        <w:lastRenderedPageBreak/>
        <w:t>工便道临时占用。</w:t>
      </w:r>
    </w:p>
    <w:p w14:paraId="2F3B3C66"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4</w:t>
      </w:r>
      <w:r>
        <w:rPr>
          <w:rFonts w:ascii="Times New Roman" w:eastAsia="宋体" w:hAnsi="Times New Roman" w:cs="Times New Roman" w:hint="eastAsia"/>
        </w:rPr>
        <w:t>、威虎山国家森林公园</w:t>
      </w:r>
    </w:p>
    <w:p w14:paraId="0E88D75F"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黑龙江威虎山国家森林公园是原林业部</w:t>
      </w:r>
      <w:r>
        <w:rPr>
          <w:rFonts w:ascii="Times New Roman" w:eastAsia="宋体" w:hAnsi="Times New Roman" w:cs="Times New Roman" w:hint="eastAsia"/>
        </w:rPr>
        <w:t>1993</w:t>
      </w:r>
      <w:r>
        <w:rPr>
          <w:rFonts w:ascii="Times New Roman" w:eastAsia="宋体" w:hAnsi="Times New Roman" w:cs="Times New Roman" w:hint="eastAsia"/>
        </w:rPr>
        <w:t>年批准设立的国家级森林公园。面积</w:t>
      </w:r>
      <w:r>
        <w:rPr>
          <w:rFonts w:ascii="Times New Roman" w:eastAsia="宋体" w:hAnsi="Times New Roman" w:cs="Times New Roman" w:hint="eastAsia"/>
        </w:rPr>
        <w:t>41.5</w:t>
      </w:r>
      <w:r>
        <w:rPr>
          <w:rFonts w:ascii="Times New Roman" w:eastAsia="宋体" w:hAnsi="Times New Roman" w:cs="Times New Roman" w:hint="eastAsia"/>
        </w:rPr>
        <w:t>万公顷，坐落在黑龙江省牡丹江市海林市柴河重点国有林区管理局施业区。黑龙江威虎山国家森林公园属于长白山与小兴安岭过度山系，牡丹江流域中下游，距牡丹江市</w:t>
      </w:r>
      <w:r>
        <w:rPr>
          <w:rFonts w:ascii="Times New Roman" w:eastAsia="宋体" w:hAnsi="Times New Roman" w:cs="Times New Roman" w:hint="eastAsia"/>
        </w:rPr>
        <w:t>25</w:t>
      </w:r>
      <w:r>
        <w:rPr>
          <w:rFonts w:ascii="Times New Roman" w:eastAsia="宋体" w:hAnsi="Times New Roman" w:cs="Times New Roman" w:hint="eastAsia"/>
        </w:rPr>
        <w:t>公里，东连绥芬河、虎林两大开放口岸，西通省城哈尔滨，北接东北亚江海联运港口佳木斯，公路、铁路、航空、水运四通八达，承东接西，地理位置优越，交通运输便利，基础设施齐全。</w:t>
      </w:r>
    </w:p>
    <w:p w14:paraId="32BB0179"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森林公园属寒温带大陆性季风气候，冬季漫长寒冷干燥，夏季温和多雨，早春低温多雨雪，暮春少雨易干旱，秋季降温迅速，常有冻害发生。年平均气温</w:t>
      </w:r>
      <w:r>
        <w:rPr>
          <w:rFonts w:ascii="Times New Roman" w:eastAsia="宋体" w:hAnsi="Times New Roman" w:cs="Times New Roman" w:hint="eastAsia"/>
        </w:rPr>
        <w:t>3</w:t>
      </w:r>
      <w:r>
        <w:rPr>
          <w:rFonts w:ascii="Times New Roman" w:eastAsia="宋体" w:hAnsi="Times New Roman" w:cs="Times New Roman" w:hint="eastAsia"/>
        </w:rPr>
        <w:t>℃，极端最高气温</w:t>
      </w:r>
      <w:r>
        <w:rPr>
          <w:rFonts w:ascii="Times New Roman" w:eastAsia="宋体" w:hAnsi="Times New Roman" w:cs="Times New Roman" w:hint="eastAsia"/>
        </w:rPr>
        <w:t>38</w:t>
      </w:r>
      <w:r>
        <w:rPr>
          <w:rFonts w:ascii="Times New Roman" w:eastAsia="宋体" w:hAnsi="Times New Roman" w:cs="Times New Roman" w:hint="eastAsia"/>
        </w:rPr>
        <w:t>℃，极端最低气温</w:t>
      </w:r>
      <w:r>
        <w:rPr>
          <w:rFonts w:ascii="Times New Roman" w:eastAsia="宋体" w:hAnsi="Times New Roman" w:cs="Times New Roman" w:hint="eastAsia"/>
        </w:rPr>
        <w:t>-38</w:t>
      </w:r>
      <w:r>
        <w:rPr>
          <w:rFonts w:ascii="Times New Roman" w:eastAsia="宋体" w:hAnsi="Times New Roman" w:cs="Times New Roman" w:hint="eastAsia"/>
        </w:rPr>
        <w:t>℃，年有效积温</w:t>
      </w:r>
      <w:r>
        <w:rPr>
          <w:rFonts w:ascii="Times New Roman" w:eastAsia="宋体" w:hAnsi="Times New Roman" w:cs="Times New Roman" w:hint="eastAsia"/>
        </w:rPr>
        <w:t>2400</w:t>
      </w:r>
      <w:r>
        <w:rPr>
          <w:rFonts w:ascii="Times New Roman" w:eastAsia="宋体" w:hAnsi="Times New Roman" w:cs="Times New Roman" w:hint="eastAsia"/>
        </w:rPr>
        <w:t>℃。全年日照时数</w:t>
      </w:r>
      <w:r>
        <w:rPr>
          <w:rFonts w:ascii="Times New Roman" w:eastAsia="宋体" w:hAnsi="Times New Roman" w:cs="Times New Roman" w:hint="eastAsia"/>
        </w:rPr>
        <w:t>2540</w:t>
      </w:r>
      <w:r>
        <w:rPr>
          <w:rFonts w:ascii="Times New Roman" w:eastAsia="宋体" w:hAnsi="Times New Roman" w:cs="Times New Roman" w:hint="eastAsia"/>
        </w:rPr>
        <w:t>小时。年平均降水量</w:t>
      </w:r>
      <w:r>
        <w:rPr>
          <w:rFonts w:ascii="Times New Roman" w:eastAsia="宋体" w:hAnsi="Times New Roman" w:cs="Times New Roman" w:hint="eastAsia"/>
        </w:rPr>
        <w:t>550</w:t>
      </w:r>
      <w:r>
        <w:rPr>
          <w:rFonts w:ascii="Times New Roman" w:eastAsia="宋体" w:hAnsi="Times New Roman" w:cs="Times New Roman" w:hint="eastAsia"/>
        </w:rPr>
        <w:t>毫米。无霜期</w:t>
      </w:r>
      <w:r>
        <w:rPr>
          <w:rFonts w:ascii="Times New Roman" w:eastAsia="宋体" w:hAnsi="Times New Roman" w:cs="Times New Roman" w:hint="eastAsia"/>
        </w:rPr>
        <w:t>125</w:t>
      </w:r>
      <w:r>
        <w:rPr>
          <w:rFonts w:ascii="Times New Roman" w:eastAsia="宋体" w:hAnsi="Times New Roman" w:cs="Times New Roman" w:hint="eastAsia"/>
        </w:rPr>
        <w:t>天左右，早霜期</w:t>
      </w:r>
      <w:r>
        <w:rPr>
          <w:rFonts w:ascii="Times New Roman" w:eastAsia="宋体" w:hAnsi="Times New Roman" w:cs="Times New Roman" w:hint="eastAsia"/>
        </w:rPr>
        <w:t>9</w:t>
      </w:r>
      <w:r>
        <w:rPr>
          <w:rFonts w:ascii="Times New Roman" w:eastAsia="宋体" w:hAnsi="Times New Roman" w:cs="Times New Roman" w:hint="eastAsia"/>
        </w:rPr>
        <w:t>月中旬，晚霜期</w:t>
      </w:r>
      <w:r>
        <w:rPr>
          <w:rFonts w:ascii="Times New Roman" w:eastAsia="宋体" w:hAnsi="Times New Roman" w:cs="Times New Roman" w:hint="eastAsia"/>
        </w:rPr>
        <w:t>5</w:t>
      </w:r>
      <w:r>
        <w:rPr>
          <w:rFonts w:ascii="Times New Roman" w:eastAsia="宋体" w:hAnsi="Times New Roman" w:cs="Times New Roman" w:hint="eastAsia"/>
        </w:rPr>
        <w:t>月下旬。</w:t>
      </w:r>
    </w:p>
    <w:p w14:paraId="4B344E02"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公园内森林景观丰富，在西部和西北部，分布着天然红松原始树林，这里山高林密，古树参天，面积达</w:t>
      </w:r>
      <w:r>
        <w:rPr>
          <w:rFonts w:ascii="Times New Roman" w:eastAsia="宋体" w:hAnsi="Times New Roman" w:cs="Times New Roman" w:hint="eastAsia"/>
        </w:rPr>
        <w:t>3000</w:t>
      </w:r>
      <w:r>
        <w:rPr>
          <w:rFonts w:ascii="Times New Roman" w:eastAsia="宋体" w:hAnsi="Times New Roman" w:cs="Times New Roman" w:hint="eastAsia"/>
        </w:rPr>
        <w:t>多公顷，各类奇花异草、飞禽走兽、尽在其中。天然林有以云杉、冷杉、红松等针叶树为主的针叶林和以杨、桦、椴为主的阔叶林；人工林主要是落叶松、红松、樟子松、云杉、水曲柳等。而在林缘和浅山丘陵地区，则有次生的柞、榛、胡枝子灌丛和成片以小叶樟为主的五花草塘。</w:t>
      </w:r>
    </w:p>
    <w:p w14:paraId="30A16E68"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公园内现有兽类</w:t>
      </w:r>
      <w:r>
        <w:rPr>
          <w:rFonts w:ascii="Times New Roman" w:eastAsia="宋体" w:hAnsi="Times New Roman" w:cs="Times New Roman" w:hint="eastAsia"/>
        </w:rPr>
        <w:t>6</w:t>
      </w:r>
      <w:r>
        <w:rPr>
          <w:rFonts w:ascii="Times New Roman" w:eastAsia="宋体" w:hAnsi="Times New Roman" w:cs="Times New Roman" w:hint="eastAsia"/>
        </w:rPr>
        <w:t>目</w:t>
      </w:r>
      <w:r>
        <w:rPr>
          <w:rFonts w:ascii="Times New Roman" w:eastAsia="宋体" w:hAnsi="Times New Roman" w:cs="Times New Roman" w:hint="eastAsia"/>
        </w:rPr>
        <w:t>17</w:t>
      </w:r>
      <w:r>
        <w:rPr>
          <w:rFonts w:ascii="Times New Roman" w:eastAsia="宋体" w:hAnsi="Times New Roman" w:cs="Times New Roman" w:hint="eastAsia"/>
        </w:rPr>
        <w:t>科</w:t>
      </w:r>
      <w:r>
        <w:rPr>
          <w:rFonts w:ascii="Times New Roman" w:eastAsia="宋体" w:hAnsi="Times New Roman" w:cs="Times New Roman" w:hint="eastAsia"/>
        </w:rPr>
        <w:t>41</w:t>
      </w:r>
      <w:r>
        <w:rPr>
          <w:rFonts w:ascii="Times New Roman" w:eastAsia="宋体" w:hAnsi="Times New Roman" w:cs="Times New Roman" w:hint="eastAsia"/>
        </w:rPr>
        <w:t>种，占黑龙江省兽类总数的</w:t>
      </w:r>
      <w:r>
        <w:rPr>
          <w:rFonts w:ascii="Times New Roman" w:eastAsia="宋体" w:hAnsi="Times New Roman" w:cs="Times New Roman" w:hint="eastAsia"/>
        </w:rPr>
        <w:t>47.1%</w:t>
      </w:r>
      <w:r>
        <w:rPr>
          <w:rFonts w:ascii="Times New Roman" w:eastAsia="宋体" w:hAnsi="Times New Roman" w:cs="Times New Roman" w:hint="eastAsia"/>
        </w:rPr>
        <w:t>，其中属于国家一级重点保护动物有</w:t>
      </w:r>
      <w:r>
        <w:rPr>
          <w:rFonts w:ascii="Times New Roman" w:eastAsia="宋体" w:hAnsi="Times New Roman" w:cs="Times New Roman" w:hint="eastAsia"/>
        </w:rPr>
        <w:t>1</w:t>
      </w:r>
      <w:r>
        <w:rPr>
          <w:rFonts w:ascii="Times New Roman" w:eastAsia="宋体" w:hAnsi="Times New Roman" w:cs="Times New Roman" w:hint="eastAsia"/>
        </w:rPr>
        <w:t>种：紫貂，占全部种类的</w:t>
      </w:r>
      <w:r>
        <w:rPr>
          <w:rFonts w:ascii="Times New Roman" w:eastAsia="宋体" w:hAnsi="Times New Roman" w:cs="Times New Roman" w:hint="eastAsia"/>
        </w:rPr>
        <w:t>4.9%</w:t>
      </w:r>
      <w:r>
        <w:rPr>
          <w:rFonts w:ascii="Times New Roman" w:eastAsia="宋体" w:hAnsi="Times New Roman" w:cs="Times New Roman" w:hint="eastAsia"/>
        </w:rPr>
        <w:t>。属于国家二级重点保护动物有</w:t>
      </w:r>
      <w:r>
        <w:rPr>
          <w:rFonts w:ascii="Times New Roman" w:eastAsia="宋体" w:hAnsi="Times New Roman" w:cs="Times New Roman" w:hint="eastAsia"/>
        </w:rPr>
        <w:t>6</w:t>
      </w:r>
      <w:r>
        <w:rPr>
          <w:rFonts w:ascii="Times New Roman" w:eastAsia="宋体" w:hAnsi="Times New Roman" w:cs="Times New Roman" w:hint="eastAsia"/>
        </w:rPr>
        <w:t>种：猞猁、黑熊、黄喉貂、水獭、马鹿、原麝，占</w:t>
      </w:r>
      <w:r>
        <w:rPr>
          <w:rFonts w:ascii="Times New Roman" w:eastAsia="宋体" w:hAnsi="Times New Roman" w:cs="Times New Roman" w:hint="eastAsia"/>
        </w:rPr>
        <w:t>14.6%</w:t>
      </w:r>
      <w:r>
        <w:rPr>
          <w:rFonts w:ascii="Times New Roman" w:eastAsia="宋体" w:hAnsi="Times New Roman" w:cs="Times New Roman" w:hint="eastAsia"/>
        </w:rPr>
        <w:t>。属黑龙江省地方重点保护动物有</w:t>
      </w:r>
      <w:r>
        <w:rPr>
          <w:rFonts w:ascii="Times New Roman" w:eastAsia="宋体" w:hAnsi="Times New Roman" w:cs="Times New Roman" w:hint="eastAsia"/>
        </w:rPr>
        <w:t>10</w:t>
      </w:r>
      <w:r>
        <w:rPr>
          <w:rFonts w:ascii="Times New Roman" w:eastAsia="宋体" w:hAnsi="Times New Roman" w:cs="Times New Roman" w:hint="eastAsia"/>
        </w:rPr>
        <w:t>种：赤狐、貂、狼、香鼬、野猪、狍子、花鼠、普通刺猬，占</w:t>
      </w:r>
      <w:r>
        <w:rPr>
          <w:rFonts w:ascii="Times New Roman" w:eastAsia="宋体" w:hAnsi="Times New Roman" w:cs="Times New Roman" w:hint="eastAsia"/>
        </w:rPr>
        <w:t>24.4%</w:t>
      </w:r>
      <w:r>
        <w:rPr>
          <w:rFonts w:ascii="Times New Roman" w:eastAsia="宋体" w:hAnsi="Times New Roman" w:cs="Times New Roman" w:hint="eastAsia"/>
        </w:rPr>
        <w:t>。其它种类有</w:t>
      </w:r>
      <w:r>
        <w:rPr>
          <w:rFonts w:ascii="Times New Roman" w:eastAsia="宋体" w:hAnsi="Times New Roman" w:cs="Times New Roman" w:hint="eastAsia"/>
        </w:rPr>
        <w:t>23</w:t>
      </w:r>
      <w:r>
        <w:rPr>
          <w:rFonts w:ascii="Times New Roman" w:eastAsia="宋体" w:hAnsi="Times New Roman" w:cs="Times New Roman" w:hint="eastAsia"/>
        </w:rPr>
        <w:t>种，占</w:t>
      </w:r>
      <w:r>
        <w:rPr>
          <w:rFonts w:ascii="Times New Roman" w:eastAsia="宋体" w:hAnsi="Times New Roman" w:cs="Times New Roman" w:hint="eastAsia"/>
        </w:rPr>
        <w:t>56.1%</w:t>
      </w:r>
      <w:r>
        <w:rPr>
          <w:rFonts w:ascii="Times New Roman" w:eastAsia="宋体" w:hAnsi="Times New Roman" w:cs="Times New Roman" w:hint="eastAsia"/>
        </w:rPr>
        <w:t>。</w:t>
      </w:r>
    </w:p>
    <w:p w14:paraId="3C1550CA"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根据黑龙江省生态环境分区管控数据应用平台，叠加工程矢量数据，本次工程占用森林公园</w:t>
      </w:r>
      <w:r>
        <w:rPr>
          <w:rFonts w:ascii="Times New Roman" w:eastAsia="宋体" w:hAnsi="Times New Roman" w:cs="Times New Roman"/>
        </w:rPr>
        <w:t>0.99</w:t>
      </w:r>
      <w:r>
        <w:rPr>
          <w:rFonts w:ascii="Times New Roman" w:eastAsia="宋体" w:hAnsi="Times New Roman" w:cs="Times New Roman" w:hint="eastAsia"/>
        </w:rPr>
        <w:t>hm</w:t>
      </w:r>
      <w:r>
        <w:rPr>
          <w:rFonts w:ascii="Times New Roman" w:eastAsia="宋体" w:hAnsi="Times New Roman" w:cs="Times New Roman" w:hint="eastAsia"/>
          <w:vertAlign w:val="superscript"/>
        </w:rPr>
        <w:t>2</w:t>
      </w:r>
      <w:r>
        <w:rPr>
          <w:rFonts w:ascii="Times New Roman" w:eastAsia="宋体" w:hAnsi="Times New Roman" w:cs="Times New Roman" w:hint="eastAsia"/>
        </w:rPr>
        <w:t>，主要为居住区、淤泥堆放区、机械设备停放区、施工便道临时占用。</w:t>
      </w:r>
    </w:p>
    <w:p w14:paraId="18C93A64"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5</w:t>
      </w:r>
      <w:r>
        <w:rPr>
          <w:rFonts w:ascii="Times New Roman" w:eastAsia="宋体" w:hAnsi="Times New Roman" w:cs="Times New Roman" w:hint="eastAsia"/>
        </w:rPr>
        <w:t>、生态保护红线</w:t>
      </w:r>
    </w:p>
    <w:p w14:paraId="7AD1BC1B" w14:textId="77777777" w:rsidR="009D12AF" w:rsidRDefault="00000000">
      <w:pPr>
        <w:spacing w:line="300" w:lineRule="auto"/>
        <w:ind w:firstLineChars="150" w:firstLine="360"/>
        <w:jc w:val="left"/>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1</w:t>
      </w:r>
      <w:r>
        <w:rPr>
          <w:rFonts w:ascii="Times New Roman" w:eastAsia="宋体" w:hAnsi="Times New Roman" w:cs="Times New Roman" w:hint="eastAsia"/>
        </w:rPr>
        <w:t>）生态保护红线简介</w:t>
      </w:r>
    </w:p>
    <w:p w14:paraId="5B2A5756" w14:textId="77777777" w:rsidR="009D12AF" w:rsidRDefault="00000000">
      <w:pPr>
        <w:spacing w:line="300" w:lineRule="auto"/>
        <w:ind w:firstLineChars="150" w:firstLine="360"/>
        <w:jc w:val="left"/>
        <w:rPr>
          <w:rFonts w:ascii="Times New Roman" w:eastAsia="宋体" w:hAnsi="Times New Roman" w:cs="Times New Roman"/>
        </w:rPr>
      </w:pPr>
      <w:r>
        <w:rPr>
          <w:rFonts w:ascii="Times New Roman" w:eastAsia="宋体" w:hAnsi="Times New Roman" w:cs="Times New Roman" w:hint="eastAsia"/>
        </w:rPr>
        <w:lastRenderedPageBreak/>
        <w:t>黑龙江省</w:t>
      </w:r>
      <w:r>
        <w:rPr>
          <w:rFonts w:ascii="Times New Roman" w:eastAsia="宋体" w:hAnsi="Times New Roman" w:cs="Times New Roman" w:hint="eastAsia"/>
        </w:rPr>
        <w:t>2021</w:t>
      </w:r>
      <w:r>
        <w:rPr>
          <w:rFonts w:ascii="Times New Roman" w:eastAsia="宋体" w:hAnsi="Times New Roman" w:cs="Times New Roman" w:hint="eastAsia"/>
        </w:rPr>
        <w:t>年</w:t>
      </w:r>
      <w:r>
        <w:rPr>
          <w:rFonts w:ascii="Times New Roman" w:eastAsia="宋体" w:hAnsi="Times New Roman" w:cs="Times New Roman" w:hint="eastAsia"/>
        </w:rPr>
        <w:t>3</w:t>
      </w:r>
      <w:r>
        <w:rPr>
          <w:rFonts w:ascii="Times New Roman" w:eastAsia="宋体" w:hAnsi="Times New Roman" w:cs="Times New Roman" w:hint="eastAsia"/>
        </w:rPr>
        <w:t>月发布了《黑龙江省生态环境准入清单》，根据该清单，评价范围内涉及到的生态保护红线区主要包括水源涵养与生物多样性维护生态功能重要区。</w:t>
      </w:r>
    </w:p>
    <w:p w14:paraId="02655E14" w14:textId="77777777" w:rsidR="009D12AF" w:rsidRDefault="00000000">
      <w:pPr>
        <w:spacing w:line="300" w:lineRule="auto"/>
        <w:ind w:firstLineChars="150" w:firstLine="360"/>
        <w:jc w:val="left"/>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2</w:t>
      </w:r>
      <w:r>
        <w:rPr>
          <w:rFonts w:ascii="Times New Roman" w:eastAsia="宋体" w:hAnsi="Times New Roman" w:cs="Times New Roman" w:hint="eastAsia"/>
        </w:rPr>
        <w:t>）工程与生态保护红线的位置关系</w:t>
      </w:r>
    </w:p>
    <w:p w14:paraId="05D6E4F5"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根据黑龙江省</w:t>
      </w:r>
      <w:r>
        <w:rPr>
          <w:rFonts w:ascii="Times New Roman" w:eastAsia="宋体" w:hAnsi="Times New Roman" w:cs="Times New Roman" w:hint="eastAsia"/>
        </w:rPr>
        <w:t>2022</w:t>
      </w:r>
      <w:r>
        <w:rPr>
          <w:rFonts w:ascii="Times New Roman" w:eastAsia="宋体" w:hAnsi="Times New Roman" w:cs="Times New Roman" w:hint="eastAsia"/>
        </w:rPr>
        <w:t>年“三区三线”划定最新成果，本工程评价范围内涉及两处生态保护红线，其中海林市张广才岭</w:t>
      </w:r>
      <w:r>
        <w:rPr>
          <w:rFonts w:ascii="Times New Roman" w:eastAsia="宋体" w:hAnsi="Times New Roman" w:cs="Times New Roman" w:hint="eastAsia"/>
        </w:rPr>
        <w:t>-</w:t>
      </w:r>
      <w:r>
        <w:rPr>
          <w:rFonts w:ascii="Times New Roman" w:eastAsia="宋体" w:hAnsi="Times New Roman" w:cs="Times New Roman" w:hint="eastAsia"/>
        </w:rPr>
        <w:t>老爷岭水源涵养与生物多样性维护功能生态保护红线</w:t>
      </w:r>
      <w:r>
        <w:rPr>
          <w:rFonts w:ascii="Times New Roman" w:eastAsia="宋体" w:hAnsi="Times New Roman" w:cs="Times New Roman" w:hint="eastAsia"/>
        </w:rPr>
        <w:t>-</w:t>
      </w:r>
      <w:r>
        <w:rPr>
          <w:rFonts w:ascii="Times New Roman" w:eastAsia="宋体" w:hAnsi="Times New Roman" w:cs="Times New Roman" w:hint="eastAsia"/>
        </w:rPr>
        <w:t>水土保持生态功能重要区位于评价范围内，处于项目周边，距离项目临时占地边界最近</w:t>
      </w:r>
      <w:r>
        <w:rPr>
          <w:rFonts w:ascii="Times New Roman" w:eastAsia="宋体" w:hAnsi="Times New Roman" w:cs="Times New Roman" w:hint="eastAsia"/>
        </w:rPr>
        <w:t>1741m</w:t>
      </w:r>
      <w:r>
        <w:rPr>
          <w:rFonts w:ascii="Times New Roman" w:eastAsia="宋体" w:hAnsi="Times New Roman" w:cs="Times New Roman" w:hint="eastAsia"/>
        </w:rPr>
        <w:t>；海林市张广才岭</w:t>
      </w:r>
      <w:r>
        <w:rPr>
          <w:rFonts w:ascii="Times New Roman" w:eastAsia="宋体" w:hAnsi="Times New Roman" w:cs="Times New Roman" w:hint="eastAsia"/>
        </w:rPr>
        <w:t>-</w:t>
      </w:r>
      <w:r>
        <w:rPr>
          <w:rFonts w:ascii="Times New Roman" w:eastAsia="宋体" w:hAnsi="Times New Roman" w:cs="Times New Roman" w:hint="eastAsia"/>
        </w:rPr>
        <w:t>老爷岭水源涵养与生物多样性维护功能生态保护红线</w:t>
      </w:r>
      <w:r>
        <w:rPr>
          <w:rFonts w:ascii="Times New Roman" w:eastAsia="宋体" w:hAnsi="Times New Roman" w:cs="Times New Roman" w:hint="eastAsia"/>
        </w:rPr>
        <w:t>-</w:t>
      </w:r>
      <w:r>
        <w:rPr>
          <w:rFonts w:ascii="Times New Roman" w:eastAsia="宋体" w:hAnsi="Times New Roman" w:cs="Times New Roman" w:hint="eastAsia"/>
        </w:rPr>
        <w:t>生物多样性维护生态功能重要区被淤泥堆放区、机械设备停放区、施工便道临时占用。</w:t>
      </w:r>
    </w:p>
    <w:p w14:paraId="201A4D9F"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6</w:t>
      </w:r>
      <w:r>
        <w:rPr>
          <w:rFonts w:ascii="Times New Roman" w:eastAsia="宋体" w:hAnsi="Times New Roman" w:cs="Times New Roman" w:hint="eastAsia"/>
        </w:rPr>
        <w:t>、永久基本农田</w:t>
      </w:r>
    </w:p>
    <w:p w14:paraId="2C20833A"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根据海林市自然资源局提供的永久基本农田矢量数据，以及参照《永久基本农田查询平台》，评价范围内永久基本农田面积为</w:t>
      </w:r>
      <w:r>
        <w:rPr>
          <w:rFonts w:ascii="Times New Roman" w:eastAsia="宋体" w:hAnsi="Times New Roman" w:cs="Times New Roman" w:hint="eastAsia"/>
        </w:rPr>
        <w:t>276.58hm</w:t>
      </w:r>
      <w:r>
        <w:rPr>
          <w:rFonts w:ascii="Times New Roman" w:eastAsia="宋体" w:hAnsi="Times New Roman" w:cs="Times New Roman" w:hint="eastAsia"/>
          <w:vertAlign w:val="superscript"/>
        </w:rPr>
        <w:t>2</w:t>
      </w:r>
      <w:r>
        <w:rPr>
          <w:rFonts w:ascii="Times New Roman" w:eastAsia="宋体" w:hAnsi="Times New Roman" w:cs="Times New Roman" w:hint="eastAsia"/>
        </w:rPr>
        <w:t>。本次工程淤泥堆放区、机械设备停放区占用</w:t>
      </w:r>
      <w:r>
        <w:rPr>
          <w:rFonts w:ascii="Times New Roman" w:eastAsia="宋体" w:hAnsi="Times New Roman" w:cs="Times New Roman" w:hint="eastAsia"/>
        </w:rPr>
        <w:t>1.03 hm</w:t>
      </w:r>
      <w:r>
        <w:rPr>
          <w:rFonts w:ascii="Times New Roman" w:eastAsia="宋体" w:hAnsi="Times New Roman" w:cs="Times New Roman" w:hint="eastAsia"/>
          <w:vertAlign w:val="superscript"/>
        </w:rPr>
        <w:t>2</w:t>
      </w:r>
      <w:r>
        <w:rPr>
          <w:rFonts w:ascii="Times New Roman" w:eastAsia="宋体" w:hAnsi="Times New Roman" w:cs="Times New Roman" w:hint="eastAsia"/>
        </w:rPr>
        <w:t>。主要农作物为水稻、玉米、大豆等粮食作物为主，具有较高的生态服务功能和农业生产价值。虽然生态现状总体良好，但仍面临土壤侵蚀、生物多样性减少和水资源压力等挑战。为确保基本农田的可持续性，应加强水土保持、保护生物多样性以及优化水资源管理，以维护该区域的生态平衡。</w:t>
      </w:r>
    </w:p>
    <w:p w14:paraId="765714AE"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7</w:t>
      </w:r>
      <w:r>
        <w:rPr>
          <w:rFonts w:ascii="Times New Roman" w:eastAsia="宋体" w:hAnsi="Times New Roman" w:cs="Times New Roman" w:hint="eastAsia"/>
        </w:rPr>
        <w:t>、黑土地</w:t>
      </w:r>
    </w:p>
    <w:p w14:paraId="05C16025"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黑土地是指以黑色或暗黑色腐殖质为优势地表组成物质的土地，由于富含有机质呈黑色而得名。黑土是世界宝贵的农业资源，是一种性状好、肥力高、适宜农耕和具有生产潜力的优质土地，被称为耕地中的大熊猫。</w:t>
      </w:r>
    </w:p>
    <w:p w14:paraId="66923026"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t>东北地区纬度较高，属于温带季风气候，气候冷湿，土壤母质粘重，并有季节冻土层。夏秋多雨，土壤常形成上层滞水，草甸草本植物繁茂，地上和地下均有大量有机残体进入土壤。漫长的冬季，微生物活动受到抑制，有机质分解缓慢，并转化成大量腐殖质累积于土体上部，形成深厚的黑色腐殖质层，同时辽河、松花江、黑龙江、嫩江等河流的流水从上游携带了大量的有机质，当河流流经松嫩平原，流速缓慢，这些有机质就全部沉积到了土地上形成了黑土地，又名寒地黑土，主要包括暗棕壤、黑土、白浆土、黑钙土、草甸土、沼泽土等土壤类型，主</w:t>
      </w:r>
      <w:r>
        <w:rPr>
          <w:rFonts w:ascii="Times New Roman" w:eastAsia="宋体" w:hAnsi="Times New Roman" w:cs="Times New Roman" w:hint="eastAsia"/>
        </w:rPr>
        <w:lastRenderedPageBreak/>
        <w:t>要分布在松嫩平原和三江平原等地。</w:t>
      </w:r>
    </w:p>
    <w:p w14:paraId="114E114D"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黑龙江省</w:t>
      </w:r>
      <w:r>
        <w:rPr>
          <w:rFonts w:ascii="Times New Roman" w:eastAsia="宋体" w:hAnsi="Times New Roman" w:cs="Times New Roman" w:hint="eastAsia"/>
        </w:rPr>
        <w:t>2021</w:t>
      </w:r>
      <w:r>
        <w:rPr>
          <w:rFonts w:ascii="Times New Roman" w:eastAsia="宋体" w:hAnsi="Times New Roman" w:cs="Times New Roman" w:hint="eastAsia"/>
        </w:rPr>
        <w:t>年颁布了《黑龙江省黑土地保护利用条例》，上述条例明确规定了黑土地的概念及涉及土壤类型，但目前黑龙江省未划定黑土地的边界，无法准确识别本工程占地与黑土地的区位关系，依据《中华人民共和国黑土地保护法》（</w:t>
      </w:r>
      <w:r>
        <w:rPr>
          <w:rFonts w:ascii="Times New Roman" w:eastAsia="宋体" w:hAnsi="Times New Roman" w:cs="Times New Roman" w:hint="eastAsia"/>
        </w:rPr>
        <w:t>2022</w:t>
      </w:r>
      <w:r>
        <w:rPr>
          <w:rFonts w:ascii="Times New Roman" w:eastAsia="宋体" w:hAnsi="Times New Roman" w:cs="Times New Roman" w:hint="eastAsia"/>
        </w:rPr>
        <w:t>）第二条规定：</w:t>
      </w:r>
      <w:r>
        <w:rPr>
          <w:rFonts w:ascii="宋体" w:eastAsia="宋体" w:hAnsi="宋体" w:cs="Times New Roman" w:hint="eastAsia"/>
        </w:rPr>
        <w:t>“</w:t>
      </w:r>
      <w:r>
        <w:rPr>
          <w:rFonts w:ascii="Times New Roman" w:eastAsia="宋体" w:hAnsi="Times New Roman" w:cs="Times New Roman" w:hint="eastAsia"/>
        </w:rPr>
        <w:t>本法所称黑土地，是指黑龙江省、吉林省、辽宁省、内蒙古自治区（以下简称四省区）的相关区域范围内具有黑色或者暗黑色腐殖质表土层，性状好、肥力高的耕地</w:t>
      </w:r>
      <w:r>
        <w:rPr>
          <w:rFonts w:ascii="宋体" w:eastAsia="宋体" w:hAnsi="宋体" w:cs="Times New Roman" w:hint="eastAsia"/>
        </w:rPr>
        <w:t>”</w:t>
      </w:r>
      <w:r>
        <w:rPr>
          <w:rFonts w:ascii="Times New Roman" w:eastAsia="宋体" w:hAnsi="Times New Roman" w:cs="Times New Roman" w:hint="eastAsia"/>
        </w:rPr>
        <w:t>，</w:t>
      </w:r>
      <w:bookmarkStart w:id="337" w:name="OLE_LINK126"/>
      <w:r>
        <w:rPr>
          <w:rFonts w:ascii="Times New Roman" w:eastAsia="宋体" w:hAnsi="Times New Roman" w:cs="Times New Roman" w:hint="eastAsia"/>
        </w:rPr>
        <w:t>因此本次生态评价范围内涉及的耕地均视为黑土地，总面积为</w:t>
      </w:r>
      <w:r>
        <w:rPr>
          <w:rFonts w:ascii="Times New Roman" w:eastAsia="宋体" w:hAnsi="Times New Roman" w:cs="Times New Roman"/>
        </w:rPr>
        <w:t>281.10</w:t>
      </w:r>
      <w:r>
        <w:rPr>
          <w:rFonts w:ascii="Times New Roman" w:eastAsia="宋体" w:hAnsi="Times New Roman" w:cs="Times New Roman" w:hint="eastAsia"/>
        </w:rPr>
        <w:t>hm</w:t>
      </w:r>
      <w:r>
        <w:rPr>
          <w:rFonts w:ascii="Times New Roman" w:eastAsia="宋体" w:hAnsi="Times New Roman" w:cs="Times New Roman"/>
          <w:vertAlign w:val="superscript"/>
        </w:rPr>
        <w:t>2</w:t>
      </w:r>
      <w:bookmarkEnd w:id="337"/>
      <w:r>
        <w:rPr>
          <w:rFonts w:ascii="Times New Roman" w:eastAsia="宋体" w:hAnsi="Times New Roman" w:cs="Times New Roman" w:hint="eastAsia"/>
        </w:rPr>
        <w:t>，占用面积为占用</w:t>
      </w:r>
      <w:r>
        <w:rPr>
          <w:rFonts w:ascii="Times New Roman" w:eastAsia="宋体" w:hAnsi="Times New Roman" w:cs="Times New Roman" w:hint="eastAsia"/>
        </w:rPr>
        <w:t>1.03 hm</w:t>
      </w:r>
      <w:r>
        <w:rPr>
          <w:rFonts w:ascii="Times New Roman" w:eastAsia="宋体" w:hAnsi="Times New Roman" w:cs="Times New Roman" w:hint="eastAsia"/>
          <w:vertAlign w:val="superscript"/>
        </w:rPr>
        <w:t>2</w:t>
      </w:r>
      <w:r>
        <w:rPr>
          <w:rFonts w:ascii="Times New Roman" w:eastAsia="宋体" w:hAnsi="Times New Roman" w:cs="Times New Roman" w:hint="eastAsia"/>
        </w:rPr>
        <w:t>。</w:t>
      </w:r>
    </w:p>
    <w:p w14:paraId="7AFA753C"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8</w:t>
      </w:r>
      <w:r>
        <w:rPr>
          <w:rFonts w:ascii="Times New Roman" w:eastAsia="宋体" w:hAnsi="Times New Roman" w:cs="Times New Roman" w:hint="eastAsia"/>
        </w:rPr>
        <w:t>、生态公益林</w:t>
      </w:r>
    </w:p>
    <w:p w14:paraId="75707CD3" w14:textId="77777777" w:rsidR="009D12AF" w:rsidRDefault="00000000">
      <w:pPr>
        <w:ind w:firstLine="480"/>
        <w:rPr>
          <w:rFonts w:ascii="Times New Roman" w:eastAsia="宋体" w:hAnsi="Times New Roman" w:cs="Times New Roman"/>
        </w:rPr>
      </w:pPr>
      <w:r>
        <w:rPr>
          <w:rFonts w:hint="eastAsia"/>
        </w:rPr>
        <w:t>根据海林市林业与草原局提供的项目评价范围内生态公益林矢量数据，本工程占地不涉及国家级、省级生态公益林</w:t>
      </w:r>
      <w:r>
        <w:rPr>
          <w:rFonts w:hint="eastAsia"/>
        </w:rPr>
        <w:t xml:space="preserve">, </w:t>
      </w:r>
      <w:r>
        <w:rPr>
          <w:rFonts w:hint="eastAsia"/>
        </w:rPr>
        <w:t>距离项目临时占地边界最近</w:t>
      </w:r>
      <w:r>
        <w:rPr>
          <w:rFonts w:hint="eastAsia"/>
        </w:rPr>
        <w:t>102m</w:t>
      </w:r>
      <w:r>
        <w:rPr>
          <w:rFonts w:hint="eastAsia"/>
        </w:rPr>
        <w:t>。</w:t>
      </w:r>
    </w:p>
    <w:p w14:paraId="77719892" w14:textId="77777777" w:rsidR="009D12AF" w:rsidRDefault="00000000">
      <w:pPr>
        <w:pStyle w:val="3"/>
        <w:spacing w:before="0"/>
      </w:pPr>
      <w:bookmarkStart w:id="338" w:name="_Toc5473"/>
      <w:r>
        <w:rPr>
          <w:rFonts w:hint="eastAsia"/>
        </w:rPr>
        <w:t>4.3.7</w:t>
      </w:r>
      <w:r>
        <w:rPr>
          <w:rFonts w:hint="eastAsia"/>
        </w:rPr>
        <w:t>底泥现状</w:t>
      </w:r>
      <w:bookmarkEnd w:id="338"/>
    </w:p>
    <w:p w14:paraId="5BF704DC" w14:textId="77777777" w:rsidR="009D12AF" w:rsidRDefault="00000000">
      <w:pPr>
        <w:ind w:firstLine="480"/>
        <w:rPr>
          <w:highlight w:val="yellow"/>
        </w:rPr>
      </w:pPr>
      <w:r>
        <w:rPr>
          <w:rFonts w:eastAsia="宋体" w:hint="eastAsia"/>
        </w:rPr>
        <w:t>本项目</w:t>
      </w:r>
      <w:r>
        <w:rPr>
          <w:rFonts w:hint="eastAsia"/>
        </w:rPr>
        <w:t>清淤工程</w:t>
      </w:r>
      <w:r>
        <w:t>处底泥委托江苏格林勒斯检测科技有限公司对本项目</w:t>
      </w:r>
      <w:r>
        <w:rPr>
          <w:rFonts w:hint="eastAsia"/>
        </w:rPr>
        <w:t>清淤工程</w:t>
      </w:r>
      <w:r>
        <w:t>处底泥检测，</w:t>
      </w:r>
      <w:r>
        <w:rPr>
          <w:rFonts w:hint="eastAsia"/>
        </w:rPr>
        <w:t>分析</w:t>
      </w:r>
      <w:r>
        <w:t>时间为</w:t>
      </w:r>
      <w:r>
        <w:rPr>
          <w:rFonts w:hint="eastAsia"/>
        </w:rPr>
        <w:t>2025</w:t>
      </w:r>
      <w:r>
        <w:rPr>
          <w:rFonts w:hint="eastAsia"/>
        </w:rPr>
        <w:t>年</w:t>
      </w:r>
      <w:r>
        <w:rPr>
          <w:rFonts w:hint="eastAsia"/>
        </w:rPr>
        <w:t>8</w:t>
      </w:r>
      <w:r>
        <w:rPr>
          <w:rFonts w:hint="eastAsia"/>
        </w:rPr>
        <w:t>月</w:t>
      </w:r>
      <w:r>
        <w:rPr>
          <w:rFonts w:hint="eastAsia"/>
        </w:rPr>
        <w:t>21</w:t>
      </w:r>
      <w:r>
        <w:rPr>
          <w:rFonts w:hint="eastAsia"/>
        </w:rPr>
        <w:t>日。</w:t>
      </w:r>
    </w:p>
    <w:p w14:paraId="2E825473" w14:textId="77777777" w:rsidR="009D12AF" w:rsidRDefault="00000000">
      <w:pPr>
        <w:ind w:firstLine="482"/>
        <w:jc w:val="center"/>
        <w:rPr>
          <w:b/>
          <w:bCs/>
        </w:rPr>
      </w:pPr>
      <w:r>
        <w:rPr>
          <w:rFonts w:hint="eastAsia"/>
          <w:b/>
          <w:bCs/>
        </w:rPr>
        <w:t>表</w:t>
      </w:r>
      <w:r>
        <w:rPr>
          <w:rFonts w:hint="eastAsia"/>
          <w:b/>
          <w:bCs/>
        </w:rPr>
        <w:t>4.3-70</w:t>
      </w:r>
      <w:r>
        <w:rPr>
          <w:rFonts w:hint="eastAsia"/>
          <w:b/>
          <w:bCs/>
        </w:rPr>
        <w:t>底泥监测结果</w:t>
      </w:r>
    </w:p>
    <w:tbl>
      <w:tblPr>
        <w:tblStyle w:val="ae"/>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456"/>
        <w:gridCol w:w="1512"/>
        <w:gridCol w:w="906"/>
        <w:gridCol w:w="906"/>
        <w:gridCol w:w="906"/>
        <w:gridCol w:w="906"/>
        <w:gridCol w:w="906"/>
        <w:gridCol w:w="1024"/>
      </w:tblGrid>
      <w:tr w:rsidR="009D12AF" w14:paraId="7306F831" w14:textId="77777777">
        <w:trPr>
          <w:trHeight w:val="157"/>
        </w:trPr>
        <w:tc>
          <w:tcPr>
            <w:tcW w:w="1456" w:type="dxa"/>
            <w:vMerge w:val="restart"/>
            <w:tcBorders>
              <w:tl2br w:val="nil"/>
              <w:tr2bl w:val="nil"/>
            </w:tcBorders>
            <w:vAlign w:val="center"/>
          </w:tcPr>
          <w:p w14:paraId="58EE822A"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sz w:val="21"/>
                <w:szCs w:val="21"/>
              </w:rPr>
              <w:t>检测项目</w:t>
            </w:r>
          </w:p>
        </w:tc>
        <w:tc>
          <w:tcPr>
            <w:tcW w:w="1512" w:type="dxa"/>
            <w:vMerge w:val="restart"/>
            <w:tcBorders>
              <w:tl2br w:val="nil"/>
              <w:tr2bl w:val="nil"/>
            </w:tcBorders>
            <w:vAlign w:val="center"/>
          </w:tcPr>
          <w:p w14:paraId="51045C8C"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sz w:val="21"/>
                <w:szCs w:val="21"/>
              </w:rPr>
              <w:t>单位</w:t>
            </w:r>
          </w:p>
        </w:tc>
        <w:tc>
          <w:tcPr>
            <w:tcW w:w="4530" w:type="dxa"/>
            <w:gridSpan w:val="5"/>
            <w:tcBorders>
              <w:bottom w:val="single" w:sz="4" w:space="0" w:color="000000"/>
              <w:tl2br w:val="nil"/>
              <w:tr2bl w:val="nil"/>
            </w:tcBorders>
            <w:vAlign w:val="center"/>
          </w:tcPr>
          <w:p w14:paraId="2F5F5827"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sz w:val="21"/>
                <w:szCs w:val="21"/>
              </w:rPr>
              <w:t>检测结果</w:t>
            </w:r>
          </w:p>
        </w:tc>
        <w:tc>
          <w:tcPr>
            <w:tcW w:w="1024" w:type="dxa"/>
            <w:vMerge w:val="restart"/>
            <w:tcBorders>
              <w:tl2br w:val="nil"/>
              <w:tr2bl w:val="nil"/>
            </w:tcBorders>
            <w:vAlign w:val="center"/>
          </w:tcPr>
          <w:p w14:paraId="77C59C38"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sz w:val="21"/>
                <w:szCs w:val="21"/>
              </w:rPr>
              <w:t>限值</w:t>
            </w:r>
          </w:p>
        </w:tc>
      </w:tr>
      <w:tr w:rsidR="009D12AF" w14:paraId="71D01941" w14:textId="77777777">
        <w:trPr>
          <w:trHeight w:val="357"/>
        </w:trPr>
        <w:tc>
          <w:tcPr>
            <w:tcW w:w="1456" w:type="dxa"/>
            <w:vMerge/>
            <w:tcBorders>
              <w:tl2br w:val="nil"/>
              <w:tr2bl w:val="nil"/>
            </w:tcBorders>
            <w:vAlign w:val="center"/>
          </w:tcPr>
          <w:p w14:paraId="6D6C66B6" w14:textId="77777777" w:rsidR="009D12AF" w:rsidRDefault="009D12AF">
            <w:pPr>
              <w:spacing w:line="240" w:lineRule="auto"/>
              <w:ind w:firstLineChars="0" w:firstLine="0"/>
              <w:jc w:val="center"/>
              <w:rPr>
                <w:rFonts w:ascii="Times New Roman" w:hAnsi="Times New Roman" w:cs="Times New Roman"/>
                <w:sz w:val="21"/>
                <w:szCs w:val="21"/>
              </w:rPr>
            </w:pPr>
          </w:p>
        </w:tc>
        <w:tc>
          <w:tcPr>
            <w:tcW w:w="1512" w:type="dxa"/>
            <w:vMerge/>
            <w:tcBorders>
              <w:tl2br w:val="nil"/>
              <w:tr2bl w:val="nil"/>
            </w:tcBorders>
            <w:vAlign w:val="center"/>
          </w:tcPr>
          <w:p w14:paraId="72AD3825" w14:textId="77777777" w:rsidR="009D12AF" w:rsidRDefault="009D12AF">
            <w:pPr>
              <w:spacing w:line="240" w:lineRule="auto"/>
              <w:ind w:firstLineChars="0" w:firstLine="0"/>
              <w:jc w:val="center"/>
              <w:rPr>
                <w:rFonts w:ascii="Times New Roman" w:hAnsi="Times New Roman" w:cs="Times New Roman"/>
                <w:sz w:val="21"/>
                <w:szCs w:val="21"/>
              </w:rPr>
            </w:pPr>
          </w:p>
        </w:tc>
        <w:tc>
          <w:tcPr>
            <w:tcW w:w="906" w:type="dxa"/>
            <w:tcBorders>
              <w:top w:val="single" w:sz="4" w:space="0" w:color="000000"/>
              <w:right w:val="single" w:sz="4" w:space="0" w:color="000000"/>
              <w:tl2br w:val="nil"/>
              <w:tr2bl w:val="nil"/>
            </w:tcBorders>
            <w:vAlign w:val="center"/>
          </w:tcPr>
          <w:p w14:paraId="7A4FD029"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长石水库</w:t>
            </w:r>
          </w:p>
        </w:tc>
        <w:tc>
          <w:tcPr>
            <w:tcW w:w="906" w:type="dxa"/>
            <w:tcBorders>
              <w:top w:val="single" w:sz="4" w:space="0" w:color="000000"/>
              <w:left w:val="single" w:sz="4" w:space="0" w:color="000000"/>
              <w:right w:val="single" w:sz="4" w:space="0" w:color="000000"/>
              <w:tl2br w:val="nil"/>
              <w:tr2bl w:val="nil"/>
            </w:tcBorders>
            <w:vAlign w:val="center"/>
          </w:tcPr>
          <w:p w14:paraId="62F1A450"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万丈水库</w:t>
            </w:r>
          </w:p>
        </w:tc>
        <w:tc>
          <w:tcPr>
            <w:tcW w:w="906" w:type="dxa"/>
            <w:tcBorders>
              <w:top w:val="single" w:sz="4" w:space="0" w:color="000000"/>
              <w:left w:val="single" w:sz="4" w:space="0" w:color="000000"/>
              <w:bottom w:val="single" w:sz="4" w:space="0" w:color="000000"/>
              <w:right w:val="single" w:sz="4" w:space="0" w:color="000000"/>
              <w:tl2br w:val="nil"/>
              <w:tr2bl w:val="nil"/>
            </w:tcBorders>
            <w:vAlign w:val="center"/>
          </w:tcPr>
          <w:p w14:paraId="6B396ECC"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新安晒水池</w:t>
            </w:r>
          </w:p>
        </w:tc>
        <w:tc>
          <w:tcPr>
            <w:tcW w:w="906" w:type="dxa"/>
            <w:tcBorders>
              <w:top w:val="single" w:sz="4" w:space="0" w:color="000000"/>
              <w:left w:val="single" w:sz="4" w:space="0" w:color="000000"/>
              <w:bottom w:val="single" w:sz="4" w:space="0" w:color="000000"/>
              <w:right w:val="single" w:sz="4" w:space="0" w:color="000000"/>
              <w:tl2br w:val="nil"/>
              <w:tr2bl w:val="nil"/>
            </w:tcBorders>
            <w:vAlign w:val="center"/>
          </w:tcPr>
          <w:p w14:paraId="155C6ADE"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向阳水电站前池</w:t>
            </w:r>
          </w:p>
        </w:tc>
        <w:tc>
          <w:tcPr>
            <w:tcW w:w="906" w:type="dxa"/>
            <w:tcBorders>
              <w:top w:val="single" w:sz="4" w:space="0" w:color="000000"/>
              <w:left w:val="single" w:sz="4" w:space="0" w:color="000000"/>
              <w:bottom w:val="single" w:sz="4" w:space="0" w:color="000000"/>
              <w:tl2br w:val="nil"/>
              <w:tr2bl w:val="nil"/>
            </w:tcBorders>
            <w:vAlign w:val="center"/>
          </w:tcPr>
          <w:p w14:paraId="157C89B6"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群力水库</w:t>
            </w:r>
          </w:p>
        </w:tc>
        <w:tc>
          <w:tcPr>
            <w:tcW w:w="1024" w:type="dxa"/>
            <w:vMerge/>
            <w:tcBorders>
              <w:tl2br w:val="nil"/>
              <w:tr2bl w:val="nil"/>
            </w:tcBorders>
            <w:vAlign w:val="center"/>
          </w:tcPr>
          <w:p w14:paraId="65BBD465" w14:textId="77777777" w:rsidR="009D12AF" w:rsidRDefault="009D12AF">
            <w:pPr>
              <w:spacing w:line="240" w:lineRule="auto"/>
              <w:ind w:firstLineChars="0" w:firstLine="0"/>
              <w:jc w:val="center"/>
              <w:rPr>
                <w:rFonts w:ascii="Times New Roman" w:hAnsi="Times New Roman" w:cs="Times New Roman"/>
                <w:sz w:val="21"/>
                <w:szCs w:val="21"/>
              </w:rPr>
            </w:pPr>
          </w:p>
        </w:tc>
      </w:tr>
      <w:tr w:rsidR="009D12AF" w14:paraId="3EF971C8" w14:textId="77777777">
        <w:trPr>
          <w:trHeight w:val="357"/>
        </w:trPr>
        <w:tc>
          <w:tcPr>
            <w:tcW w:w="1456" w:type="dxa"/>
            <w:tcBorders>
              <w:tl2br w:val="nil"/>
              <w:tr2bl w:val="nil"/>
            </w:tcBorders>
            <w:vAlign w:val="center"/>
          </w:tcPr>
          <w:p w14:paraId="5765C866"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pH</w:t>
            </w:r>
          </w:p>
        </w:tc>
        <w:tc>
          <w:tcPr>
            <w:tcW w:w="1512" w:type="dxa"/>
            <w:tcBorders>
              <w:tl2br w:val="nil"/>
              <w:tr2bl w:val="nil"/>
            </w:tcBorders>
            <w:vAlign w:val="center"/>
          </w:tcPr>
          <w:p w14:paraId="76C5DF92"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w:t>
            </w:r>
          </w:p>
        </w:tc>
        <w:tc>
          <w:tcPr>
            <w:tcW w:w="906" w:type="dxa"/>
            <w:tcBorders>
              <w:top w:val="single" w:sz="4" w:space="0" w:color="000000"/>
              <w:right w:val="single" w:sz="4" w:space="0" w:color="000000"/>
              <w:tl2br w:val="nil"/>
              <w:tr2bl w:val="nil"/>
            </w:tcBorders>
            <w:vAlign w:val="center"/>
          </w:tcPr>
          <w:p w14:paraId="201EE12C"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6.85</w:t>
            </w:r>
          </w:p>
        </w:tc>
        <w:tc>
          <w:tcPr>
            <w:tcW w:w="906" w:type="dxa"/>
            <w:tcBorders>
              <w:top w:val="single" w:sz="4" w:space="0" w:color="000000"/>
              <w:left w:val="single" w:sz="4" w:space="0" w:color="000000"/>
              <w:right w:val="single" w:sz="4" w:space="0" w:color="000000"/>
              <w:tl2br w:val="nil"/>
              <w:tr2bl w:val="nil"/>
            </w:tcBorders>
            <w:vAlign w:val="center"/>
          </w:tcPr>
          <w:p w14:paraId="5BB115A5"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7.19</w:t>
            </w:r>
          </w:p>
        </w:tc>
        <w:tc>
          <w:tcPr>
            <w:tcW w:w="906" w:type="dxa"/>
            <w:tcBorders>
              <w:top w:val="single" w:sz="4" w:space="0" w:color="000000"/>
              <w:left w:val="single" w:sz="4" w:space="0" w:color="000000"/>
              <w:bottom w:val="single" w:sz="4" w:space="0" w:color="000000"/>
              <w:right w:val="single" w:sz="4" w:space="0" w:color="000000"/>
              <w:tl2br w:val="nil"/>
              <w:tr2bl w:val="nil"/>
            </w:tcBorders>
            <w:vAlign w:val="center"/>
          </w:tcPr>
          <w:p w14:paraId="339851C7"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7.10</w:t>
            </w:r>
          </w:p>
        </w:tc>
        <w:tc>
          <w:tcPr>
            <w:tcW w:w="906" w:type="dxa"/>
            <w:tcBorders>
              <w:top w:val="single" w:sz="4" w:space="0" w:color="000000"/>
              <w:left w:val="single" w:sz="4" w:space="0" w:color="000000"/>
              <w:bottom w:val="single" w:sz="4" w:space="0" w:color="000000"/>
              <w:right w:val="single" w:sz="4" w:space="0" w:color="000000"/>
              <w:tl2br w:val="nil"/>
              <w:tr2bl w:val="nil"/>
            </w:tcBorders>
            <w:vAlign w:val="center"/>
          </w:tcPr>
          <w:p w14:paraId="75861C47"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6.92</w:t>
            </w:r>
          </w:p>
        </w:tc>
        <w:tc>
          <w:tcPr>
            <w:tcW w:w="906" w:type="dxa"/>
            <w:tcBorders>
              <w:top w:val="single" w:sz="4" w:space="0" w:color="000000"/>
              <w:left w:val="single" w:sz="4" w:space="0" w:color="000000"/>
              <w:bottom w:val="single" w:sz="4" w:space="0" w:color="000000"/>
              <w:tl2br w:val="nil"/>
              <w:tr2bl w:val="nil"/>
            </w:tcBorders>
            <w:vAlign w:val="center"/>
          </w:tcPr>
          <w:p w14:paraId="34F7B998"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7.01</w:t>
            </w:r>
          </w:p>
        </w:tc>
        <w:tc>
          <w:tcPr>
            <w:tcW w:w="1024" w:type="dxa"/>
            <w:tcBorders>
              <w:tl2br w:val="nil"/>
              <w:tr2bl w:val="nil"/>
            </w:tcBorders>
            <w:vAlign w:val="center"/>
          </w:tcPr>
          <w:p w14:paraId="1E97C1FB"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w:t>
            </w:r>
          </w:p>
        </w:tc>
      </w:tr>
      <w:tr w:rsidR="009D12AF" w14:paraId="2A8439FE" w14:textId="77777777">
        <w:tc>
          <w:tcPr>
            <w:tcW w:w="1456" w:type="dxa"/>
            <w:tcBorders>
              <w:tl2br w:val="nil"/>
              <w:tr2bl w:val="nil"/>
            </w:tcBorders>
          </w:tcPr>
          <w:p w14:paraId="028ED6F5"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镉</w:t>
            </w:r>
          </w:p>
        </w:tc>
        <w:tc>
          <w:tcPr>
            <w:tcW w:w="1512" w:type="dxa"/>
            <w:tcBorders>
              <w:tl2br w:val="nil"/>
              <w:tr2bl w:val="nil"/>
            </w:tcBorders>
          </w:tcPr>
          <w:p w14:paraId="3CD92B8D"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mg/kg</w:t>
            </w:r>
          </w:p>
        </w:tc>
        <w:tc>
          <w:tcPr>
            <w:tcW w:w="906" w:type="dxa"/>
            <w:tcBorders>
              <w:right w:val="single" w:sz="4" w:space="0" w:color="000000"/>
              <w:tl2br w:val="nil"/>
              <w:tr2bl w:val="nil"/>
            </w:tcBorders>
          </w:tcPr>
          <w:p w14:paraId="7268A30D"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0.04</w:t>
            </w:r>
          </w:p>
        </w:tc>
        <w:tc>
          <w:tcPr>
            <w:tcW w:w="906" w:type="dxa"/>
            <w:tcBorders>
              <w:left w:val="single" w:sz="4" w:space="0" w:color="000000"/>
              <w:right w:val="single" w:sz="4" w:space="0" w:color="000000"/>
              <w:tl2br w:val="nil"/>
              <w:tr2bl w:val="nil"/>
            </w:tcBorders>
          </w:tcPr>
          <w:p w14:paraId="334430F8"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0.05</w:t>
            </w:r>
          </w:p>
        </w:tc>
        <w:tc>
          <w:tcPr>
            <w:tcW w:w="906" w:type="dxa"/>
            <w:tcBorders>
              <w:top w:val="single" w:sz="4" w:space="0" w:color="000000"/>
              <w:left w:val="single" w:sz="4" w:space="0" w:color="000000"/>
              <w:right w:val="single" w:sz="4" w:space="0" w:color="000000"/>
              <w:tl2br w:val="nil"/>
              <w:tr2bl w:val="nil"/>
            </w:tcBorders>
          </w:tcPr>
          <w:p w14:paraId="5A176EB0"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0.06</w:t>
            </w:r>
          </w:p>
        </w:tc>
        <w:tc>
          <w:tcPr>
            <w:tcW w:w="906" w:type="dxa"/>
            <w:tcBorders>
              <w:top w:val="single" w:sz="4" w:space="0" w:color="000000"/>
              <w:left w:val="single" w:sz="4" w:space="0" w:color="000000"/>
              <w:right w:val="single" w:sz="4" w:space="0" w:color="000000"/>
              <w:tl2br w:val="nil"/>
              <w:tr2bl w:val="nil"/>
            </w:tcBorders>
          </w:tcPr>
          <w:p w14:paraId="4FFE328C"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0.06</w:t>
            </w:r>
          </w:p>
        </w:tc>
        <w:tc>
          <w:tcPr>
            <w:tcW w:w="906" w:type="dxa"/>
            <w:tcBorders>
              <w:top w:val="single" w:sz="4" w:space="0" w:color="000000"/>
              <w:left w:val="single" w:sz="4" w:space="0" w:color="000000"/>
              <w:tl2br w:val="nil"/>
              <w:tr2bl w:val="nil"/>
            </w:tcBorders>
          </w:tcPr>
          <w:p w14:paraId="65E6122E"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0.06</w:t>
            </w:r>
          </w:p>
        </w:tc>
        <w:tc>
          <w:tcPr>
            <w:tcW w:w="1024" w:type="dxa"/>
            <w:tcBorders>
              <w:tl2br w:val="nil"/>
              <w:tr2bl w:val="nil"/>
            </w:tcBorders>
          </w:tcPr>
          <w:p w14:paraId="46544913"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0.3</w:t>
            </w:r>
          </w:p>
        </w:tc>
      </w:tr>
      <w:tr w:rsidR="009D12AF" w14:paraId="1578BC9B" w14:textId="77777777">
        <w:tc>
          <w:tcPr>
            <w:tcW w:w="1456" w:type="dxa"/>
            <w:tcBorders>
              <w:tl2br w:val="nil"/>
              <w:tr2bl w:val="nil"/>
            </w:tcBorders>
          </w:tcPr>
          <w:p w14:paraId="2DB181D1"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汞</w:t>
            </w:r>
          </w:p>
        </w:tc>
        <w:tc>
          <w:tcPr>
            <w:tcW w:w="1512" w:type="dxa"/>
            <w:tcBorders>
              <w:tl2br w:val="nil"/>
              <w:tr2bl w:val="nil"/>
            </w:tcBorders>
          </w:tcPr>
          <w:p w14:paraId="0DCDFFC7"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mg/kg</w:t>
            </w:r>
          </w:p>
        </w:tc>
        <w:tc>
          <w:tcPr>
            <w:tcW w:w="906" w:type="dxa"/>
            <w:tcBorders>
              <w:tl2br w:val="nil"/>
              <w:tr2bl w:val="nil"/>
            </w:tcBorders>
          </w:tcPr>
          <w:p w14:paraId="32DA2865"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0.142</w:t>
            </w:r>
          </w:p>
        </w:tc>
        <w:tc>
          <w:tcPr>
            <w:tcW w:w="906" w:type="dxa"/>
            <w:tcBorders>
              <w:tl2br w:val="nil"/>
              <w:tr2bl w:val="nil"/>
            </w:tcBorders>
          </w:tcPr>
          <w:p w14:paraId="764C7FE2"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0.157</w:t>
            </w:r>
          </w:p>
        </w:tc>
        <w:tc>
          <w:tcPr>
            <w:tcW w:w="906" w:type="dxa"/>
            <w:tcBorders>
              <w:tl2br w:val="nil"/>
              <w:tr2bl w:val="nil"/>
            </w:tcBorders>
          </w:tcPr>
          <w:p w14:paraId="6FD2EF18"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0.147</w:t>
            </w:r>
          </w:p>
        </w:tc>
        <w:tc>
          <w:tcPr>
            <w:tcW w:w="906" w:type="dxa"/>
            <w:tcBorders>
              <w:tl2br w:val="nil"/>
              <w:tr2bl w:val="nil"/>
            </w:tcBorders>
          </w:tcPr>
          <w:p w14:paraId="0A2B5E70"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0.146</w:t>
            </w:r>
          </w:p>
        </w:tc>
        <w:tc>
          <w:tcPr>
            <w:tcW w:w="906" w:type="dxa"/>
            <w:tcBorders>
              <w:tl2br w:val="nil"/>
              <w:tr2bl w:val="nil"/>
            </w:tcBorders>
          </w:tcPr>
          <w:p w14:paraId="3CD2A5C3"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0.142</w:t>
            </w:r>
          </w:p>
        </w:tc>
        <w:tc>
          <w:tcPr>
            <w:tcW w:w="1024" w:type="dxa"/>
            <w:tcBorders>
              <w:tl2br w:val="nil"/>
              <w:tr2bl w:val="nil"/>
            </w:tcBorders>
          </w:tcPr>
          <w:p w14:paraId="782DF0B8"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2.4</w:t>
            </w:r>
          </w:p>
        </w:tc>
      </w:tr>
      <w:tr w:rsidR="009D12AF" w14:paraId="40EEE673" w14:textId="77777777">
        <w:tc>
          <w:tcPr>
            <w:tcW w:w="1456" w:type="dxa"/>
            <w:tcBorders>
              <w:tl2br w:val="nil"/>
              <w:tr2bl w:val="nil"/>
            </w:tcBorders>
          </w:tcPr>
          <w:p w14:paraId="53E8403A"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砷</w:t>
            </w:r>
          </w:p>
        </w:tc>
        <w:tc>
          <w:tcPr>
            <w:tcW w:w="1512" w:type="dxa"/>
            <w:tcBorders>
              <w:tl2br w:val="nil"/>
              <w:tr2bl w:val="nil"/>
            </w:tcBorders>
          </w:tcPr>
          <w:p w14:paraId="0FF4DA93"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mg/kg</w:t>
            </w:r>
          </w:p>
        </w:tc>
        <w:tc>
          <w:tcPr>
            <w:tcW w:w="906" w:type="dxa"/>
            <w:tcBorders>
              <w:tl2br w:val="nil"/>
              <w:tr2bl w:val="nil"/>
            </w:tcBorders>
          </w:tcPr>
          <w:p w14:paraId="3F71E34A"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13.9</w:t>
            </w:r>
          </w:p>
        </w:tc>
        <w:tc>
          <w:tcPr>
            <w:tcW w:w="906" w:type="dxa"/>
            <w:tcBorders>
              <w:tl2br w:val="nil"/>
              <w:tr2bl w:val="nil"/>
            </w:tcBorders>
          </w:tcPr>
          <w:p w14:paraId="0F2955F8"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17.6</w:t>
            </w:r>
          </w:p>
        </w:tc>
        <w:tc>
          <w:tcPr>
            <w:tcW w:w="906" w:type="dxa"/>
            <w:tcBorders>
              <w:tl2br w:val="nil"/>
              <w:tr2bl w:val="nil"/>
            </w:tcBorders>
          </w:tcPr>
          <w:p w14:paraId="3FD3B488"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14.8</w:t>
            </w:r>
          </w:p>
        </w:tc>
        <w:tc>
          <w:tcPr>
            <w:tcW w:w="906" w:type="dxa"/>
            <w:tcBorders>
              <w:tl2br w:val="nil"/>
              <w:tr2bl w:val="nil"/>
            </w:tcBorders>
          </w:tcPr>
          <w:p w14:paraId="37C18A0B"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14.4</w:t>
            </w:r>
          </w:p>
        </w:tc>
        <w:tc>
          <w:tcPr>
            <w:tcW w:w="906" w:type="dxa"/>
            <w:tcBorders>
              <w:tl2br w:val="nil"/>
              <w:tr2bl w:val="nil"/>
            </w:tcBorders>
          </w:tcPr>
          <w:p w14:paraId="16D98A29"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13.2</w:t>
            </w:r>
          </w:p>
        </w:tc>
        <w:tc>
          <w:tcPr>
            <w:tcW w:w="1024" w:type="dxa"/>
            <w:tcBorders>
              <w:tl2br w:val="nil"/>
              <w:tr2bl w:val="nil"/>
            </w:tcBorders>
          </w:tcPr>
          <w:p w14:paraId="32960948"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30</w:t>
            </w:r>
          </w:p>
        </w:tc>
      </w:tr>
      <w:tr w:rsidR="009D12AF" w14:paraId="7167C2E9" w14:textId="77777777">
        <w:tc>
          <w:tcPr>
            <w:tcW w:w="1456" w:type="dxa"/>
            <w:tcBorders>
              <w:tl2br w:val="nil"/>
              <w:tr2bl w:val="nil"/>
            </w:tcBorders>
          </w:tcPr>
          <w:p w14:paraId="280B94B5"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铅</w:t>
            </w:r>
          </w:p>
        </w:tc>
        <w:tc>
          <w:tcPr>
            <w:tcW w:w="1512" w:type="dxa"/>
            <w:tcBorders>
              <w:tl2br w:val="nil"/>
              <w:tr2bl w:val="nil"/>
            </w:tcBorders>
          </w:tcPr>
          <w:p w14:paraId="5F54AFCE"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mg/kg</w:t>
            </w:r>
          </w:p>
        </w:tc>
        <w:tc>
          <w:tcPr>
            <w:tcW w:w="906" w:type="dxa"/>
            <w:tcBorders>
              <w:tl2br w:val="nil"/>
              <w:tr2bl w:val="nil"/>
            </w:tcBorders>
          </w:tcPr>
          <w:p w14:paraId="4EE959B0"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9.6</w:t>
            </w:r>
          </w:p>
        </w:tc>
        <w:tc>
          <w:tcPr>
            <w:tcW w:w="906" w:type="dxa"/>
            <w:tcBorders>
              <w:tl2br w:val="nil"/>
              <w:tr2bl w:val="nil"/>
            </w:tcBorders>
          </w:tcPr>
          <w:p w14:paraId="69228555"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6.7</w:t>
            </w:r>
          </w:p>
        </w:tc>
        <w:tc>
          <w:tcPr>
            <w:tcW w:w="906" w:type="dxa"/>
            <w:tcBorders>
              <w:tl2br w:val="nil"/>
              <w:tr2bl w:val="nil"/>
            </w:tcBorders>
          </w:tcPr>
          <w:p w14:paraId="6C620A42"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9.1</w:t>
            </w:r>
          </w:p>
        </w:tc>
        <w:tc>
          <w:tcPr>
            <w:tcW w:w="906" w:type="dxa"/>
            <w:tcBorders>
              <w:tl2br w:val="nil"/>
              <w:tr2bl w:val="nil"/>
            </w:tcBorders>
          </w:tcPr>
          <w:p w14:paraId="083073E6"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10.2</w:t>
            </w:r>
          </w:p>
        </w:tc>
        <w:tc>
          <w:tcPr>
            <w:tcW w:w="906" w:type="dxa"/>
            <w:tcBorders>
              <w:tl2br w:val="nil"/>
              <w:tr2bl w:val="nil"/>
            </w:tcBorders>
          </w:tcPr>
          <w:p w14:paraId="45DB0403"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12.3</w:t>
            </w:r>
          </w:p>
        </w:tc>
        <w:tc>
          <w:tcPr>
            <w:tcW w:w="1024" w:type="dxa"/>
            <w:tcBorders>
              <w:tl2br w:val="nil"/>
              <w:tr2bl w:val="nil"/>
            </w:tcBorders>
          </w:tcPr>
          <w:p w14:paraId="7E35CF89"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120</w:t>
            </w:r>
          </w:p>
        </w:tc>
      </w:tr>
      <w:tr w:rsidR="009D12AF" w14:paraId="15AAB560" w14:textId="77777777">
        <w:tc>
          <w:tcPr>
            <w:tcW w:w="1456" w:type="dxa"/>
            <w:tcBorders>
              <w:tl2br w:val="nil"/>
              <w:tr2bl w:val="nil"/>
            </w:tcBorders>
          </w:tcPr>
          <w:p w14:paraId="34AD667F"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铬</w:t>
            </w:r>
          </w:p>
        </w:tc>
        <w:tc>
          <w:tcPr>
            <w:tcW w:w="1512" w:type="dxa"/>
            <w:tcBorders>
              <w:tl2br w:val="nil"/>
              <w:tr2bl w:val="nil"/>
            </w:tcBorders>
          </w:tcPr>
          <w:p w14:paraId="7B41E7BB"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mg/kg</w:t>
            </w:r>
          </w:p>
        </w:tc>
        <w:tc>
          <w:tcPr>
            <w:tcW w:w="906" w:type="dxa"/>
            <w:tcBorders>
              <w:tl2br w:val="nil"/>
              <w:tr2bl w:val="nil"/>
            </w:tcBorders>
          </w:tcPr>
          <w:p w14:paraId="2A63E9B8"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53</w:t>
            </w:r>
          </w:p>
        </w:tc>
        <w:tc>
          <w:tcPr>
            <w:tcW w:w="906" w:type="dxa"/>
            <w:tcBorders>
              <w:tl2br w:val="nil"/>
              <w:tr2bl w:val="nil"/>
            </w:tcBorders>
          </w:tcPr>
          <w:p w14:paraId="560A0A30"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56</w:t>
            </w:r>
          </w:p>
        </w:tc>
        <w:tc>
          <w:tcPr>
            <w:tcW w:w="906" w:type="dxa"/>
            <w:tcBorders>
              <w:tl2br w:val="nil"/>
              <w:tr2bl w:val="nil"/>
            </w:tcBorders>
          </w:tcPr>
          <w:p w14:paraId="5A35C52D"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58</w:t>
            </w:r>
          </w:p>
        </w:tc>
        <w:tc>
          <w:tcPr>
            <w:tcW w:w="906" w:type="dxa"/>
            <w:tcBorders>
              <w:tl2br w:val="nil"/>
              <w:tr2bl w:val="nil"/>
            </w:tcBorders>
          </w:tcPr>
          <w:p w14:paraId="5BDA4535"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56</w:t>
            </w:r>
          </w:p>
        </w:tc>
        <w:tc>
          <w:tcPr>
            <w:tcW w:w="906" w:type="dxa"/>
            <w:tcBorders>
              <w:tl2br w:val="nil"/>
              <w:tr2bl w:val="nil"/>
            </w:tcBorders>
          </w:tcPr>
          <w:p w14:paraId="5F9DF7BD"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59</w:t>
            </w:r>
          </w:p>
        </w:tc>
        <w:tc>
          <w:tcPr>
            <w:tcW w:w="1024" w:type="dxa"/>
            <w:tcBorders>
              <w:tl2br w:val="nil"/>
              <w:tr2bl w:val="nil"/>
            </w:tcBorders>
          </w:tcPr>
          <w:p w14:paraId="4A3606AB"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200</w:t>
            </w:r>
          </w:p>
        </w:tc>
      </w:tr>
      <w:tr w:rsidR="009D12AF" w14:paraId="1EEE60E5" w14:textId="77777777">
        <w:tc>
          <w:tcPr>
            <w:tcW w:w="1456" w:type="dxa"/>
            <w:tcBorders>
              <w:tl2br w:val="nil"/>
              <w:tr2bl w:val="nil"/>
            </w:tcBorders>
          </w:tcPr>
          <w:p w14:paraId="50FCE2E4"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铜</w:t>
            </w:r>
          </w:p>
        </w:tc>
        <w:tc>
          <w:tcPr>
            <w:tcW w:w="1512" w:type="dxa"/>
            <w:tcBorders>
              <w:tl2br w:val="nil"/>
              <w:tr2bl w:val="nil"/>
            </w:tcBorders>
          </w:tcPr>
          <w:p w14:paraId="10991574"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mg/kg</w:t>
            </w:r>
          </w:p>
        </w:tc>
        <w:tc>
          <w:tcPr>
            <w:tcW w:w="906" w:type="dxa"/>
            <w:tcBorders>
              <w:tl2br w:val="nil"/>
              <w:tr2bl w:val="nil"/>
            </w:tcBorders>
          </w:tcPr>
          <w:p w14:paraId="5BD8C7B3"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20</w:t>
            </w:r>
          </w:p>
        </w:tc>
        <w:tc>
          <w:tcPr>
            <w:tcW w:w="906" w:type="dxa"/>
            <w:tcBorders>
              <w:tl2br w:val="nil"/>
              <w:tr2bl w:val="nil"/>
            </w:tcBorders>
          </w:tcPr>
          <w:p w14:paraId="2671FF96"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22</w:t>
            </w:r>
          </w:p>
        </w:tc>
        <w:tc>
          <w:tcPr>
            <w:tcW w:w="906" w:type="dxa"/>
            <w:tcBorders>
              <w:tl2br w:val="nil"/>
              <w:tr2bl w:val="nil"/>
            </w:tcBorders>
          </w:tcPr>
          <w:p w14:paraId="7E66E3FF"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22</w:t>
            </w:r>
          </w:p>
        </w:tc>
        <w:tc>
          <w:tcPr>
            <w:tcW w:w="906" w:type="dxa"/>
            <w:tcBorders>
              <w:tl2br w:val="nil"/>
              <w:tr2bl w:val="nil"/>
            </w:tcBorders>
          </w:tcPr>
          <w:p w14:paraId="4C45AAEB"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22</w:t>
            </w:r>
          </w:p>
        </w:tc>
        <w:tc>
          <w:tcPr>
            <w:tcW w:w="906" w:type="dxa"/>
            <w:tcBorders>
              <w:tl2br w:val="nil"/>
              <w:tr2bl w:val="nil"/>
            </w:tcBorders>
          </w:tcPr>
          <w:p w14:paraId="27BAC7D3"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24</w:t>
            </w:r>
          </w:p>
        </w:tc>
        <w:tc>
          <w:tcPr>
            <w:tcW w:w="1024" w:type="dxa"/>
            <w:tcBorders>
              <w:tl2br w:val="nil"/>
              <w:tr2bl w:val="nil"/>
            </w:tcBorders>
          </w:tcPr>
          <w:p w14:paraId="4390A3F2"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100</w:t>
            </w:r>
          </w:p>
        </w:tc>
      </w:tr>
      <w:tr w:rsidR="009D12AF" w14:paraId="18391DD3" w14:textId="77777777">
        <w:tc>
          <w:tcPr>
            <w:tcW w:w="1456" w:type="dxa"/>
            <w:tcBorders>
              <w:tl2br w:val="nil"/>
              <w:tr2bl w:val="nil"/>
            </w:tcBorders>
          </w:tcPr>
          <w:p w14:paraId="3A07ECD6"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镍</w:t>
            </w:r>
          </w:p>
        </w:tc>
        <w:tc>
          <w:tcPr>
            <w:tcW w:w="1512" w:type="dxa"/>
            <w:tcBorders>
              <w:tl2br w:val="nil"/>
              <w:tr2bl w:val="nil"/>
            </w:tcBorders>
          </w:tcPr>
          <w:p w14:paraId="5D1597B2"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mg/kg</w:t>
            </w:r>
          </w:p>
        </w:tc>
        <w:tc>
          <w:tcPr>
            <w:tcW w:w="906" w:type="dxa"/>
            <w:tcBorders>
              <w:tl2br w:val="nil"/>
              <w:tr2bl w:val="nil"/>
            </w:tcBorders>
          </w:tcPr>
          <w:p w14:paraId="20696C38"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64</w:t>
            </w:r>
          </w:p>
        </w:tc>
        <w:tc>
          <w:tcPr>
            <w:tcW w:w="906" w:type="dxa"/>
            <w:tcBorders>
              <w:tl2br w:val="nil"/>
              <w:tr2bl w:val="nil"/>
            </w:tcBorders>
          </w:tcPr>
          <w:p w14:paraId="0769710C"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64</w:t>
            </w:r>
          </w:p>
        </w:tc>
        <w:tc>
          <w:tcPr>
            <w:tcW w:w="906" w:type="dxa"/>
            <w:tcBorders>
              <w:tl2br w:val="nil"/>
              <w:tr2bl w:val="nil"/>
            </w:tcBorders>
          </w:tcPr>
          <w:p w14:paraId="73227E85"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67</w:t>
            </w:r>
          </w:p>
        </w:tc>
        <w:tc>
          <w:tcPr>
            <w:tcW w:w="906" w:type="dxa"/>
            <w:tcBorders>
              <w:tl2br w:val="nil"/>
              <w:tr2bl w:val="nil"/>
            </w:tcBorders>
          </w:tcPr>
          <w:p w14:paraId="0D5CB81E"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60</w:t>
            </w:r>
          </w:p>
        </w:tc>
        <w:tc>
          <w:tcPr>
            <w:tcW w:w="906" w:type="dxa"/>
            <w:tcBorders>
              <w:tl2br w:val="nil"/>
              <w:tr2bl w:val="nil"/>
            </w:tcBorders>
          </w:tcPr>
          <w:p w14:paraId="39101DDB"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62</w:t>
            </w:r>
          </w:p>
        </w:tc>
        <w:tc>
          <w:tcPr>
            <w:tcW w:w="1024" w:type="dxa"/>
            <w:tcBorders>
              <w:tl2br w:val="nil"/>
              <w:tr2bl w:val="nil"/>
            </w:tcBorders>
          </w:tcPr>
          <w:p w14:paraId="3A5634EC"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100</w:t>
            </w:r>
          </w:p>
        </w:tc>
      </w:tr>
      <w:tr w:rsidR="009D12AF" w14:paraId="3D53E116" w14:textId="77777777">
        <w:tc>
          <w:tcPr>
            <w:tcW w:w="1456" w:type="dxa"/>
            <w:tcBorders>
              <w:tl2br w:val="nil"/>
              <w:tr2bl w:val="nil"/>
            </w:tcBorders>
          </w:tcPr>
          <w:p w14:paraId="6239E431"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锌</w:t>
            </w:r>
          </w:p>
        </w:tc>
        <w:tc>
          <w:tcPr>
            <w:tcW w:w="1512" w:type="dxa"/>
            <w:tcBorders>
              <w:tl2br w:val="nil"/>
              <w:tr2bl w:val="nil"/>
            </w:tcBorders>
          </w:tcPr>
          <w:p w14:paraId="61F42303"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mg/kg</w:t>
            </w:r>
          </w:p>
        </w:tc>
        <w:tc>
          <w:tcPr>
            <w:tcW w:w="906" w:type="dxa"/>
            <w:tcBorders>
              <w:tl2br w:val="nil"/>
              <w:tr2bl w:val="nil"/>
            </w:tcBorders>
          </w:tcPr>
          <w:p w14:paraId="6DF0038D"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106</w:t>
            </w:r>
          </w:p>
        </w:tc>
        <w:tc>
          <w:tcPr>
            <w:tcW w:w="906" w:type="dxa"/>
            <w:tcBorders>
              <w:tl2br w:val="nil"/>
              <w:tr2bl w:val="nil"/>
            </w:tcBorders>
          </w:tcPr>
          <w:p w14:paraId="2BC533C8"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112</w:t>
            </w:r>
          </w:p>
        </w:tc>
        <w:tc>
          <w:tcPr>
            <w:tcW w:w="906" w:type="dxa"/>
            <w:tcBorders>
              <w:tl2br w:val="nil"/>
              <w:tr2bl w:val="nil"/>
            </w:tcBorders>
          </w:tcPr>
          <w:p w14:paraId="4760475D"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104</w:t>
            </w:r>
          </w:p>
        </w:tc>
        <w:tc>
          <w:tcPr>
            <w:tcW w:w="906" w:type="dxa"/>
            <w:tcBorders>
              <w:tl2br w:val="nil"/>
              <w:tr2bl w:val="nil"/>
            </w:tcBorders>
          </w:tcPr>
          <w:p w14:paraId="539E8E1B"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111</w:t>
            </w:r>
          </w:p>
        </w:tc>
        <w:tc>
          <w:tcPr>
            <w:tcW w:w="906" w:type="dxa"/>
            <w:tcBorders>
              <w:tl2br w:val="nil"/>
              <w:tr2bl w:val="nil"/>
            </w:tcBorders>
          </w:tcPr>
          <w:p w14:paraId="04BE7B0D"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108</w:t>
            </w:r>
          </w:p>
        </w:tc>
        <w:tc>
          <w:tcPr>
            <w:tcW w:w="1024" w:type="dxa"/>
            <w:tcBorders>
              <w:tl2br w:val="nil"/>
              <w:tr2bl w:val="nil"/>
            </w:tcBorders>
          </w:tcPr>
          <w:p w14:paraId="1A836204"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250</w:t>
            </w:r>
          </w:p>
        </w:tc>
      </w:tr>
      <w:tr w:rsidR="009D12AF" w14:paraId="20FAD9A0" w14:textId="77777777">
        <w:tc>
          <w:tcPr>
            <w:tcW w:w="1456" w:type="dxa"/>
            <w:tcBorders>
              <w:tl2br w:val="nil"/>
              <w:tr2bl w:val="nil"/>
            </w:tcBorders>
          </w:tcPr>
          <w:p w14:paraId="55EED438"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六六六总量</w:t>
            </w:r>
          </w:p>
        </w:tc>
        <w:tc>
          <w:tcPr>
            <w:tcW w:w="1512" w:type="dxa"/>
            <w:tcBorders>
              <w:tl2br w:val="nil"/>
              <w:tr2bl w:val="nil"/>
            </w:tcBorders>
          </w:tcPr>
          <w:p w14:paraId="46505045"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sz w:val="21"/>
                <w:szCs w:val="21"/>
              </w:rPr>
              <w:t>μg/kg</w:t>
            </w:r>
          </w:p>
        </w:tc>
        <w:tc>
          <w:tcPr>
            <w:tcW w:w="906" w:type="dxa"/>
            <w:tcBorders>
              <w:tl2br w:val="nil"/>
              <w:tr2bl w:val="nil"/>
            </w:tcBorders>
          </w:tcPr>
          <w:p w14:paraId="12243E70"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未检出</w:t>
            </w:r>
          </w:p>
        </w:tc>
        <w:tc>
          <w:tcPr>
            <w:tcW w:w="906" w:type="dxa"/>
            <w:tcBorders>
              <w:tl2br w:val="nil"/>
              <w:tr2bl w:val="nil"/>
            </w:tcBorders>
          </w:tcPr>
          <w:p w14:paraId="137BFA39"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未检出</w:t>
            </w:r>
          </w:p>
        </w:tc>
        <w:tc>
          <w:tcPr>
            <w:tcW w:w="906" w:type="dxa"/>
            <w:tcBorders>
              <w:tl2br w:val="nil"/>
              <w:tr2bl w:val="nil"/>
            </w:tcBorders>
          </w:tcPr>
          <w:p w14:paraId="163B24A4"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未检出</w:t>
            </w:r>
          </w:p>
        </w:tc>
        <w:tc>
          <w:tcPr>
            <w:tcW w:w="906" w:type="dxa"/>
            <w:tcBorders>
              <w:tl2br w:val="nil"/>
              <w:tr2bl w:val="nil"/>
            </w:tcBorders>
          </w:tcPr>
          <w:p w14:paraId="75F96970"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未检出</w:t>
            </w:r>
          </w:p>
        </w:tc>
        <w:tc>
          <w:tcPr>
            <w:tcW w:w="906" w:type="dxa"/>
            <w:tcBorders>
              <w:tl2br w:val="nil"/>
              <w:tr2bl w:val="nil"/>
            </w:tcBorders>
          </w:tcPr>
          <w:p w14:paraId="7C4EE0ED"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未检出</w:t>
            </w:r>
          </w:p>
        </w:tc>
        <w:tc>
          <w:tcPr>
            <w:tcW w:w="1024" w:type="dxa"/>
            <w:tcBorders>
              <w:tl2br w:val="nil"/>
              <w:tr2bl w:val="nil"/>
            </w:tcBorders>
          </w:tcPr>
          <w:p w14:paraId="7917CC05"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0.10</w:t>
            </w:r>
          </w:p>
        </w:tc>
      </w:tr>
      <w:tr w:rsidR="009D12AF" w14:paraId="6D1911B3" w14:textId="77777777">
        <w:tc>
          <w:tcPr>
            <w:tcW w:w="1456" w:type="dxa"/>
            <w:tcBorders>
              <w:tl2br w:val="nil"/>
              <w:tr2bl w:val="nil"/>
            </w:tcBorders>
          </w:tcPr>
          <w:p w14:paraId="527B81B3"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滴滴涕总量</w:t>
            </w:r>
          </w:p>
        </w:tc>
        <w:tc>
          <w:tcPr>
            <w:tcW w:w="1512" w:type="dxa"/>
            <w:tcBorders>
              <w:tl2br w:val="nil"/>
              <w:tr2bl w:val="nil"/>
            </w:tcBorders>
          </w:tcPr>
          <w:p w14:paraId="672BA12B"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sz w:val="21"/>
                <w:szCs w:val="21"/>
              </w:rPr>
              <w:t>μg/kg</w:t>
            </w:r>
          </w:p>
        </w:tc>
        <w:tc>
          <w:tcPr>
            <w:tcW w:w="906" w:type="dxa"/>
            <w:tcBorders>
              <w:tl2br w:val="nil"/>
              <w:tr2bl w:val="nil"/>
            </w:tcBorders>
          </w:tcPr>
          <w:p w14:paraId="0FD2D31A"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未检出</w:t>
            </w:r>
          </w:p>
        </w:tc>
        <w:tc>
          <w:tcPr>
            <w:tcW w:w="906" w:type="dxa"/>
            <w:tcBorders>
              <w:tl2br w:val="nil"/>
              <w:tr2bl w:val="nil"/>
            </w:tcBorders>
          </w:tcPr>
          <w:p w14:paraId="25F9562D"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未检出</w:t>
            </w:r>
          </w:p>
        </w:tc>
        <w:tc>
          <w:tcPr>
            <w:tcW w:w="906" w:type="dxa"/>
            <w:tcBorders>
              <w:tl2br w:val="nil"/>
              <w:tr2bl w:val="nil"/>
            </w:tcBorders>
          </w:tcPr>
          <w:p w14:paraId="696BCBFF"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未检出</w:t>
            </w:r>
          </w:p>
        </w:tc>
        <w:tc>
          <w:tcPr>
            <w:tcW w:w="906" w:type="dxa"/>
            <w:tcBorders>
              <w:tl2br w:val="nil"/>
              <w:tr2bl w:val="nil"/>
            </w:tcBorders>
          </w:tcPr>
          <w:p w14:paraId="677DD2B2"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未检出</w:t>
            </w:r>
          </w:p>
        </w:tc>
        <w:tc>
          <w:tcPr>
            <w:tcW w:w="906" w:type="dxa"/>
            <w:tcBorders>
              <w:tl2br w:val="nil"/>
              <w:tr2bl w:val="nil"/>
            </w:tcBorders>
          </w:tcPr>
          <w:p w14:paraId="6108E76E"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未检出</w:t>
            </w:r>
          </w:p>
        </w:tc>
        <w:tc>
          <w:tcPr>
            <w:tcW w:w="1024" w:type="dxa"/>
            <w:tcBorders>
              <w:tl2br w:val="nil"/>
              <w:tr2bl w:val="nil"/>
            </w:tcBorders>
          </w:tcPr>
          <w:p w14:paraId="2DA34EF6"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0.10</w:t>
            </w:r>
          </w:p>
        </w:tc>
      </w:tr>
      <w:tr w:rsidR="009D12AF" w14:paraId="11F04615" w14:textId="77777777">
        <w:tc>
          <w:tcPr>
            <w:tcW w:w="1456" w:type="dxa"/>
            <w:tcBorders>
              <w:tl2br w:val="nil"/>
              <w:tr2bl w:val="nil"/>
            </w:tcBorders>
          </w:tcPr>
          <w:p w14:paraId="75C8F42A"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苯并</w:t>
            </w:r>
            <w:r>
              <w:rPr>
                <w:rFonts w:ascii="Times New Roman" w:hAnsi="Times New Roman" w:cs="Times New Roman" w:hint="eastAsia"/>
                <w:sz w:val="21"/>
                <w:szCs w:val="21"/>
              </w:rPr>
              <w:t>[a]</w:t>
            </w:r>
            <w:r>
              <w:rPr>
                <w:rFonts w:ascii="Times New Roman" w:hAnsi="Times New Roman" w:cs="Times New Roman" w:hint="eastAsia"/>
                <w:sz w:val="21"/>
                <w:szCs w:val="21"/>
              </w:rPr>
              <w:t>芘</w:t>
            </w:r>
          </w:p>
        </w:tc>
        <w:tc>
          <w:tcPr>
            <w:tcW w:w="1512" w:type="dxa"/>
            <w:tcBorders>
              <w:tl2br w:val="nil"/>
              <w:tr2bl w:val="nil"/>
            </w:tcBorders>
          </w:tcPr>
          <w:p w14:paraId="394BDE14"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mg/kg</w:t>
            </w:r>
          </w:p>
        </w:tc>
        <w:tc>
          <w:tcPr>
            <w:tcW w:w="906" w:type="dxa"/>
            <w:tcBorders>
              <w:tl2br w:val="nil"/>
              <w:tr2bl w:val="nil"/>
            </w:tcBorders>
          </w:tcPr>
          <w:p w14:paraId="2E93719E"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未检出</w:t>
            </w:r>
          </w:p>
        </w:tc>
        <w:tc>
          <w:tcPr>
            <w:tcW w:w="906" w:type="dxa"/>
            <w:tcBorders>
              <w:tl2br w:val="nil"/>
              <w:tr2bl w:val="nil"/>
            </w:tcBorders>
          </w:tcPr>
          <w:p w14:paraId="697A97C2"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未检出</w:t>
            </w:r>
          </w:p>
        </w:tc>
        <w:tc>
          <w:tcPr>
            <w:tcW w:w="906" w:type="dxa"/>
            <w:tcBorders>
              <w:tl2br w:val="nil"/>
              <w:tr2bl w:val="nil"/>
            </w:tcBorders>
          </w:tcPr>
          <w:p w14:paraId="1F1CD3C2"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未检出</w:t>
            </w:r>
          </w:p>
        </w:tc>
        <w:tc>
          <w:tcPr>
            <w:tcW w:w="906" w:type="dxa"/>
            <w:tcBorders>
              <w:tl2br w:val="nil"/>
              <w:tr2bl w:val="nil"/>
            </w:tcBorders>
          </w:tcPr>
          <w:p w14:paraId="2FF46AA1"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未检出</w:t>
            </w:r>
          </w:p>
        </w:tc>
        <w:tc>
          <w:tcPr>
            <w:tcW w:w="906" w:type="dxa"/>
            <w:tcBorders>
              <w:tl2br w:val="nil"/>
              <w:tr2bl w:val="nil"/>
            </w:tcBorders>
          </w:tcPr>
          <w:p w14:paraId="4EAB8252"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未检出</w:t>
            </w:r>
          </w:p>
        </w:tc>
        <w:tc>
          <w:tcPr>
            <w:tcW w:w="1024" w:type="dxa"/>
            <w:tcBorders>
              <w:tl2br w:val="nil"/>
              <w:tr2bl w:val="nil"/>
            </w:tcBorders>
          </w:tcPr>
          <w:p w14:paraId="24B369D8" w14:textId="77777777" w:rsidR="009D12AF" w:rsidRDefault="00000000">
            <w:pPr>
              <w:spacing w:line="240" w:lineRule="auto"/>
              <w:ind w:firstLineChars="0" w:firstLine="0"/>
              <w:jc w:val="center"/>
              <w:rPr>
                <w:rFonts w:ascii="Times New Roman" w:hAnsi="Times New Roman" w:cs="Times New Roman"/>
                <w:sz w:val="21"/>
                <w:szCs w:val="21"/>
              </w:rPr>
            </w:pPr>
            <w:r>
              <w:rPr>
                <w:rFonts w:ascii="Times New Roman" w:hAnsi="Times New Roman" w:cs="Times New Roman" w:hint="eastAsia"/>
                <w:sz w:val="21"/>
                <w:szCs w:val="21"/>
              </w:rPr>
              <w:t>0.55</w:t>
            </w:r>
          </w:p>
        </w:tc>
      </w:tr>
    </w:tbl>
    <w:p w14:paraId="49BD5976" w14:textId="77777777" w:rsidR="009D12AF" w:rsidRDefault="00000000">
      <w:pPr>
        <w:ind w:firstLine="480"/>
      </w:pPr>
      <w:r>
        <w:rPr>
          <w:rFonts w:hint="eastAsia"/>
        </w:rPr>
        <w:t>根据检测报告可知，清淤工程处底泥中各项污染物指标满足《土壤环境质量</w:t>
      </w:r>
      <w:r>
        <w:rPr>
          <w:rFonts w:hint="eastAsia"/>
        </w:rPr>
        <w:t xml:space="preserve"> </w:t>
      </w:r>
      <w:r>
        <w:rPr>
          <w:rFonts w:hint="eastAsia"/>
        </w:rPr>
        <w:lastRenderedPageBreak/>
        <w:t>农用地土壤污染风险管控标准（试行）（</w:t>
      </w:r>
      <w:r>
        <w:rPr>
          <w:rFonts w:hint="eastAsia"/>
        </w:rPr>
        <w:t>GB 15618-2018</w:t>
      </w:r>
      <w:r>
        <w:rPr>
          <w:rFonts w:hint="eastAsia"/>
        </w:rPr>
        <w:t>）》中表</w:t>
      </w:r>
      <w:r>
        <w:rPr>
          <w:rFonts w:hint="eastAsia"/>
        </w:rPr>
        <w:t>1</w:t>
      </w:r>
      <w:r>
        <w:rPr>
          <w:rFonts w:hint="eastAsia"/>
        </w:rPr>
        <w:t>农用地中其他土壤污染风险筛选值要求。</w:t>
      </w:r>
    </w:p>
    <w:p w14:paraId="001DE8CD" w14:textId="77777777" w:rsidR="009D12AF" w:rsidRDefault="00000000">
      <w:pPr>
        <w:pStyle w:val="2"/>
      </w:pPr>
      <w:bookmarkStart w:id="339" w:name="_Toc12298"/>
      <w:r>
        <w:rPr>
          <w:rFonts w:hint="eastAsia"/>
        </w:rPr>
        <w:t xml:space="preserve">4.4 </w:t>
      </w:r>
      <w:r>
        <w:rPr>
          <w:rFonts w:hint="eastAsia"/>
        </w:rPr>
        <w:t>区域环境污染源调查</w:t>
      </w:r>
      <w:bookmarkEnd w:id="339"/>
      <w:r>
        <w:rPr>
          <w:rFonts w:hint="eastAsia"/>
        </w:rPr>
        <w:t xml:space="preserve"> </w:t>
      </w:r>
    </w:p>
    <w:p w14:paraId="1678A74A" w14:textId="77777777" w:rsidR="009D12AF" w:rsidRDefault="00000000">
      <w:pPr>
        <w:ind w:firstLine="480"/>
      </w:pPr>
      <w:r>
        <w:rPr>
          <w:rFonts w:hint="eastAsia"/>
        </w:rPr>
        <w:t>本工程位于黑龙江省牡丹江市海林市境内。通过现场调查，项目评价区域内主要为农田、林地、村庄等。</w:t>
      </w:r>
    </w:p>
    <w:p w14:paraId="2DB678CF" w14:textId="77777777" w:rsidR="009D12AF" w:rsidRDefault="00000000">
      <w:pPr>
        <w:ind w:firstLine="480"/>
      </w:pPr>
      <w:r>
        <w:rPr>
          <w:rFonts w:hint="eastAsia"/>
        </w:rPr>
        <w:t>（</w:t>
      </w:r>
      <w:r>
        <w:rPr>
          <w:rFonts w:hint="eastAsia"/>
        </w:rPr>
        <w:t>1</w:t>
      </w:r>
      <w:r>
        <w:rPr>
          <w:rFonts w:hint="eastAsia"/>
        </w:rPr>
        <w:t>）大气污染源调查</w:t>
      </w:r>
    </w:p>
    <w:p w14:paraId="4C456483" w14:textId="77777777" w:rsidR="009D12AF" w:rsidRDefault="00000000">
      <w:pPr>
        <w:ind w:firstLine="480"/>
      </w:pPr>
      <w:r>
        <w:rPr>
          <w:rFonts w:hint="eastAsia"/>
        </w:rPr>
        <w:t>建设项目位于农村地区，区域大气污染源主要来自农村居民生活燃用燃料（煤、植物秸秆等）排放的烟气，污染物主要为</w:t>
      </w:r>
      <w:r>
        <w:rPr>
          <w:rFonts w:hint="eastAsia"/>
        </w:rPr>
        <w:t xml:space="preserve"> SO</w:t>
      </w:r>
      <w:r>
        <w:rPr>
          <w:rFonts w:hint="eastAsia"/>
          <w:vertAlign w:val="subscript"/>
        </w:rPr>
        <w:t>2</w:t>
      </w:r>
      <w:r>
        <w:rPr>
          <w:rFonts w:hint="eastAsia"/>
        </w:rPr>
        <w:t>、</w:t>
      </w:r>
      <w:r>
        <w:rPr>
          <w:rFonts w:hint="eastAsia"/>
        </w:rPr>
        <w:t>NOx</w:t>
      </w:r>
      <w:r>
        <w:rPr>
          <w:rFonts w:hint="eastAsia"/>
        </w:rPr>
        <w:t>及颗粒物等。</w:t>
      </w:r>
    </w:p>
    <w:p w14:paraId="1D2DD44D" w14:textId="77777777" w:rsidR="009D12AF" w:rsidRDefault="00000000">
      <w:pPr>
        <w:ind w:firstLine="480"/>
      </w:pPr>
      <w:r>
        <w:rPr>
          <w:rFonts w:hint="eastAsia"/>
        </w:rPr>
        <w:t>（</w:t>
      </w:r>
      <w:r>
        <w:rPr>
          <w:rFonts w:hint="eastAsia"/>
        </w:rPr>
        <w:t>2</w:t>
      </w:r>
      <w:r>
        <w:rPr>
          <w:rFonts w:hint="eastAsia"/>
        </w:rPr>
        <w:t>）水污染源调查</w:t>
      </w:r>
    </w:p>
    <w:p w14:paraId="0236583B" w14:textId="77777777" w:rsidR="009D12AF" w:rsidRDefault="00000000">
      <w:pPr>
        <w:ind w:firstLine="480"/>
      </w:pPr>
      <w:r>
        <w:rPr>
          <w:rFonts w:hint="eastAsia"/>
        </w:rPr>
        <w:t>项目所在区域主要污染源为乡镇生活设施排放的生活污水、区域农业生产农药、化肥使用形成的面源，雨季随地表径流携带污染物汇入地表水和地下水环境。</w:t>
      </w:r>
    </w:p>
    <w:p w14:paraId="79E38322" w14:textId="77777777" w:rsidR="009D12AF" w:rsidRDefault="00000000">
      <w:pPr>
        <w:ind w:firstLine="480"/>
      </w:pPr>
      <w:r>
        <w:rPr>
          <w:rFonts w:hint="eastAsia"/>
        </w:rPr>
        <w:t>（</w:t>
      </w:r>
      <w:r>
        <w:rPr>
          <w:rFonts w:hint="eastAsia"/>
        </w:rPr>
        <w:t>3</w:t>
      </w:r>
      <w:r>
        <w:rPr>
          <w:rFonts w:hint="eastAsia"/>
        </w:rPr>
        <w:t>）噪声污染源调查</w:t>
      </w:r>
    </w:p>
    <w:p w14:paraId="282A95EF" w14:textId="77777777" w:rsidR="009D12AF" w:rsidRDefault="00000000">
      <w:pPr>
        <w:ind w:firstLine="480"/>
      </w:pPr>
      <w:r>
        <w:rPr>
          <w:rFonts w:hint="eastAsia"/>
        </w:rPr>
        <w:t>建设项目评价区域空旷，无工业噪声污染源存在；区域声环境主要受道路交通噪声、农村生活噪声影响。</w:t>
      </w:r>
    </w:p>
    <w:p w14:paraId="04C6AF7F" w14:textId="77777777" w:rsidR="009D12AF" w:rsidRDefault="00000000">
      <w:pPr>
        <w:ind w:firstLine="480"/>
        <w:rPr>
          <w:rFonts w:ascii="宋体" w:eastAsia="宋体" w:hAnsi="宋体" w:cs="宋体" w:hint="eastAsia"/>
        </w:rPr>
      </w:pPr>
      <w:r>
        <w:rPr>
          <w:rFonts w:ascii="宋体" w:eastAsia="宋体" w:hAnsi="宋体" w:cs="宋体" w:hint="eastAsia"/>
        </w:rPr>
        <w:t>（4）固体废物污染源调查</w:t>
      </w:r>
    </w:p>
    <w:p w14:paraId="55473B0E" w14:textId="77777777" w:rsidR="009D12AF" w:rsidRDefault="00000000">
      <w:pPr>
        <w:ind w:firstLine="480"/>
      </w:pPr>
      <w:r>
        <w:rPr>
          <w:rFonts w:ascii="宋体" w:eastAsia="宋体" w:hAnsi="宋体" w:cs="宋体"/>
        </w:rPr>
        <w:t>项目所在区域内固体废物污染源主要为</w:t>
      </w:r>
      <w:r>
        <w:rPr>
          <w:rFonts w:hint="eastAsia"/>
        </w:rPr>
        <w:t>生活垃圾，生活垃圾统一收集送附近垃圾点，由环卫工人生活垃圾处理场填埋处理。</w:t>
      </w:r>
    </w:p>
    <w:p w14:paraId="28B17076" w14:textId="77777777" w:rsidR="009D12AF" w:rsidRDefault="00000000">
      <w:pPr>
        <w:pStyle w:val="2"/>
      </w:pPr>
      <w:bookmarkStart w:id="340" w:name="_Toc13486"/>
      <w:r>
        <w:rPr>
          <w:rFonts w:hint="eastAsia"/>
        </w:rPr>
        <w:t>4.5</w:t>
      </w:r>
      <w:r>
        <w:rPr>
          <w:rFonts w:hint="eastAsia"/>
        </w:rPr>
        <w:t>区域主要生态问题调查与评价</w:t>
      </w:r>
      <w:bookmarkEnd w:id="340"/>
    </w:p>
    <w:p w14:paraId="3A3439AE" w14:textId="77777777" w:rsidR="009D12AF" w:rsidRDefault="00000000">
      <w:pPr>
        <w:widowControl/>
        <w:ind w:firstLine="480"/>
        <w:jc w:val="left"/>
        <w:rPr>
          <w:rFonts w:ascii="宋体" w:eastAsia="宋体" w:hAnsi="宋体" w:cs="宋体" w:hint="eastAsia"/>
          <w:kern w:val="0"/>
        </w:rPr>
      </w:pPr>
      <w:r>
        <w:rPr>
          <w:rFonts w:ascii="宋体" w:eastAsia="宋体" w:hAnsi="宋体" w:cs="宋体" w:hint="eastAsia"/>
          <w:kern w:val="0"/>
        </w:rPr>
        <w:t>本工程位于尚志市东南部，张广才岭西麓，依据《黑龙江省生态功能区划》，属于Ⅰ-4张广才岭—老爷岭山地针阔混交林生态区，Ⅰ—</w:t>
      </w:r>
      <w:r>
        <w:rPr>
          <w:rFonts w:ascii="宋体" w:eastAsia="宋体" w:hAnsi="宋体" w:cs="宋体"/>
          <w:kern w:val="0"/>
        </w:rPr>
        <w:t>4—3牡丹江—宁安盆地城镇与林、农产业生态亚区</w:t>
      </w:r>
      <w:r>
        <w:rPr>
          <w:rFonts w:ascii="宋体" w:eastAsia="宋体" w:hAnsi="宋体" w:cs="宋体" w:hint="eastAsia"/>
          <w:kern w:val="0"/>
        </w:rPr>
        <w:t>，Ⅰ—</w:t>
      </w:r>
      <w:r>
        <w:rPr>
          <w:rFonts w:ascii="宋体" w:eastAsia="宋体" w:hAnsi="宋体" w:cs="宋体"/>
          <w:kern w:val="0"/>
        </w:rPr>
        <w:t>4—3—1牡丹江城镇与农业生态功能区</w:t>
      </w:r>
      <w:r>
        <w:rPr>
          <w:rFonts w:ascii="宋体" w:eastAsia="宋体" w:hAnsi="宋体" w:cs="宋体" w:hint="eastAsia"/>
          <w:kern w:val="0"/>
        </w:rPr>
        <w:t>。</w:t>
      </w:r>
    </w:p>
    <w:p w14:paraId="0095A7C0" w14:textId="77777777" w:rsidR="009D12AF" w:rsidRDefault="00000000">
      <w:pPr>
        <w:ind w:firstLineChars="0" w:firstLine="0"/>
      </w:pPr>
      <w:r>
        <w:rPr>
          <w:noProof/>
        </w:rPr>
        <w:lastRenderedPageBreak/>
        <w:drawing>
          <wp:inline distT="0" distB="0" distL="0" distR="0" wp14:anchorId="3A949004" wp14:editId="4F998324">
            <wp:extent cx="5274310" cy="5885180"/>
            <wp:effectExtent l="0" t="0" r="2540" b="1270"/>
            <wp:docPr id="1392241781" name="图片 139224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241781" name="图片 1392241781"/>
                    <pic:cNvPicPr>
                      <a:picLocks noChangeAspect="1"/>
                    </pic:cNvPicPr>
                  </pic:nvPicPr>
                  <pic:blipFill>
                    <a:blip r:embed="rId236" cstate="screen">
                      <a:extLst>
                        <a:ext uri="{28A0092B-C50C-407E-A947-70E740481C1C}">
                          <a14:useLocalDpi xmlns:a14="http://schemas.microsoft.com/office/drawing/2010/main"/>
                        </a:ext>
                      </a:extLst>
                    </a:blip>
                    <a:stretch>
                      <a:fillRect/>
                    </a:stretch>
                  </pic:blipFill>
                  <pic:spPr>
                    <a:xfrm>
                      <a:off x="0" y="0"/>
                      <a:ext cx="5276229" cy="5885180"/>
                    </a:xfrm>
                    <a:prstGeom prst="rect">
                      <a:avLst/>
                    </a:prstGeom>
                  </pic:spPr>
                </pic:pic>
              </a:graphicData>
            </a:graphic>
          </wp:inline>
        </w:drawing>
      </w:r>
    </w:p>
    <w:p w14:paraId="08511492" w14:textId="77777777" w:rsidR="009D12AF" w:rsidRDefault="00000000">
      <w:pPr>
        <w:ind w:firstLine="482"/>
        <w:jc w:val="center"/>
      </w:pPr>
      <w:r>
        <w:rPr>
          <w:rFonts w:ascii="Times New Roman" w:eastAsia="宋体" w:hAnsi="宋体" w:cs="宋体" w:hint="eastAsia"/>
          <w:b/>
          <w:bCs/>
          <w:kern w:val="0"/>
        </w:rPr>
        <w:t>图</w:t>
      </w:r>
      <w:r>
        <w:rPr>
          <w:rFonts w:ascii="Times New Roman" w:eastAsia="宋体" w:hAnsi="宋体" w:cs="宋体" w:hint="eastAsia"/>
          <w:b/>
          <w:bCs/>
          <w:kern w:val="0"/>
        </w:rPr>
        <w:t>4.5-1</w:t>
      </w:r>
      <w:r>
        <w:rPr>
          <w:rFonts w:ascii="Times New Roman" w:eastAsia="宋体" w:hAnsi="宋体" w:cs="宋体"/>
          <w:b/>
          <w:bCs/>
          <w:kern w:val="0"/>
        </w:rPr>
        <w:t>黑龙江生态功能区划图</w:t>
      </w:r>
    </w:p>
    <w:p w14:paraId="298ED1C6" w14:textId="77777777" w:rsidR="009D12AF" w:rsidRDefault="00000000">
      <w:pPr>
        <w:ind w:firstLine="480"/>
        <w:rPr>
          <w:rFonts w:ascii="宋体" w:eastAsia="宋体" w:hAnsi="宋体" w:cs="宋体" w:hint="eastAsia"/>
          <w:kern w:val="0"/>
        </w:rPr>
      </w:pPr>
      <w:r>
        <w:rPr>
          <w:rFonts w:ascii="宋体" w:eastAsia="宋体" w:hAnsi="宋体" w:cs="宋体" w:hint="eastAsia"/>
          <w:kern w:val="0"/>
        </w:rPr>
        <w:t>项目调查范围</w:t>
      </w:r>
      <w:r>
        <w:rPr>
          <w:rFonts w:ascii="宋体" w:eastAsia="宋体" w:hAnsi="宋体" w:cs="宋体"/>
          <w:kern w:val="0"/>
        </w:rPr>
        <w:t>生态功能区划内容见表</w:t>
      </w:r>
      <w:r>
        <w:rPr>
          <w:rFonts w:ascii="Times New Roman" w:eastAsia="宋体" w:hAnsi="Times New Roman" w:cs="Times New Roman"/>
          <w:kern w:val="0"/>
        </w:rPr>
        <w:t>4.5-1</w:t>
      </w:r>
      <w:r>
        <w:rPr>
          <w:rFonts w:ascii="宋体" w:eastAsia="宋体" w:hAnsi="宋体" w:cs="宋体"/>
          <w:kern w:val="0"/>
        </w:rPr>
        <w:t>。</w:t>
      </w:r>
    </w:p>
    <w:p w14:paraId="671268C4" w14:textId="77777777" w:rsidR="009D12AF" w:rsidRDefault="00000000">
      <w:pPr>
        <w:ind w:firstLine="482"/>
        <w:jc w:val="center"/>
        <w:rPr>
          <w:b/>
          <w:bCs/>
        </w:rPr>
      </w:pPr>
      <w:r>
        <w:rPr>
          <w:b/>
          <w:bCs/>
        </w:rPr>
        <w:t>表</w:t>
      </w:r>
      <w:r>
        <w:rPr>
          <w:rFonts w:ascii="Times New Roman" w:eastAsia="宋体" w:hAnsi="Times New Roman" w:cs="Times New Roman" w:hint="eastAsia"/>
          <w:b/>
          <w:bCs/>
          <w:kern w:val="0"/>
        </w:rPr>
        <w:t xml:space="preserve">4.5-1 </w:t>
      </w:r>
      <w:r>
        <w:rPr>
          <w:b/>
          <w:bCs/>
        </w:rPr>
        <w:t>本工程所在区域生态功能区划一览</w:t>
      </w:r>
    </w:p>
    <w:tbl>
      <w:tblPr>
        <w:tblpPr w:leftFromText="181" w:rightFromText="181" w:bottomFromText="284" w:vertAnchor="text" w:tblpXSpec="center" w:tblpY="1"/>
        <w:tblOverlap w:val="never"/>
        <w:tblW w:w="4998" w:type="pct"/>
        <w:tblBorders>
          <w:top w:val="single" w:sz="12" w:space="0" w:color="auto"/>
          <w:bottom w:val="single" w:sz="12" w:space="0" w:color="auto"/>
          <w:insideH w:val="single" w:sz="4" w:space="0" w:color="auto"/>
          <w:insideV w:val="single" w:sz="4" w:space="0" w:color="000000"/>
        </w:tblBorders>
        <w:tblLook w:val="04A0" w:firstRow="1" w:lastRow="0" w:firstColumn="1" w:lastColumn="0" w:noHBand="0" w:noVBand="1"/>
      </w:tblPr>
      <w:tblGrid>
        <w:gridCol w:w="959"/>
        <w:gridCol w:w="1117"/>
        <w:gridCol w:w="1202"/>
        <w:gridCol w:w="901"/>
        <w:gridCol w:w="1073"/>
        <w:gridCol w:w="978"/>
        <w:gridCol w:w="1199"/>
        <w:gridCol w:w="1090"/>
      </w:tblGrid>
      <w:tr w:rsidR="009D12AF" w14:paraId="2EE4D6C9" w14:textId="77777777">
        <w:tc>
          <w:tcPr>
            <w:tcW w:w="1922" w:type="pct"/>
            <w:gridSpan w:val="3"/>
            <w:tcBorders>
              <w:tl2br w:val="nil"/>
              <w:tr2bl w:val="nil"/>
            </w:tcBorders>
            <w:shd w:val="clear" w:color="auto" w:fill="FFFFFF"/>
            <w:vAlign w:val="center"/>
          </w:tcPr>
          <w:p w14:paraId="484A028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生态功能分区单元</w:t>
            </w:r>
          </w:p>
        </w:tc>
        <w:tc>
          <w:tcPr>
            <w:tcW w:w="528" w:type="pct"/>
            <w:vMerge w:val="restart"/>
            <w:tcBorders>
              <w:tl2br w:val="nil"/>
              <w:tr2bl w:val="nil"/>
            </w:tcBorders>
            <w:shd w:val="clear" w:color="auto" w:fill="FFFFFF"/>
            <w:vAlign w:val="center"/>
          </w:tcPr>
          <w:p w14:paraId="5A4EE22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所在区域面积</w:t>
            </w:r>
          </w:p>
        </w:tc>
        <w:tc>
          <w:tcPr>
            <w:tcW w:w="629" w:type="pct"/>
            <w:vMerge w:val="restart"/>
            <w:tcBorders>
              <w:tl2br w:val="nil"/>
              <w:tr2bl w:val="nil"/>
            </w:tcBorders>
            <w:shd w:val="clear" w:color="auto" w:fill="FFFFFF"/>
            <w:vAlign w:val="center"/>
          </w:tcPr>
          <w:p w14:paraId="1F47FE5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主要生态环境问题</w:t>
            </w:r>
          </w:p>
        </w:tc>
        <w:tc>
          <w:tcPr>
            <w:tcW w:w="574" w:type="pct"/>
            <w:vMerge w:val="restart"/>
            <w:tcBorders>
              <w:tl2br w:val="nil"/>
              <w:tr2bl w:val="nil"/>
            </w:tcBorders>
            <w:shd w:val="clear" w:color="auto" w:fill="FFFFFF"/>
            <w:vAlign w:val="center"/>
          </w:tcPr>
          <w:p w14:paraId="27F429B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生态环境敏感性</w:t>
            </w:r>
          </w:p>
        </w:tc>
        <w:tc>
          <w:tcPr>
            <w:tcW w:w="704" w:type="pct"/>
            <w:vMerge w:val="restart"/>
            <w:tcBorders>
              <w:tl2br w:val="nil"/>
              <w:tr2bl w:val="nil"/>
            </w:tcBorders>
            <w:shd w:val="clear" w:color="auto" w:fill="FFFFFF"/>
            <w:vAlign w:val="center"/>
          </w:tcPr>
          <w:p w14:paraId="5CF1257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主要生态系统服务功能</w:t>
            </w:r>
          </w:p>
        </w:tc>
        <w:tc>
          <w:tcPr>
            <w:tcW w:w="640" w:type="pct"/>
            <w:vMerge w:val="restart"/>
            <w:tcBorders>
              <w:tl2br w:val="nil"/>
              <w:tr2bl w:val="nil"/>
            </w:tcBorders>
            <w:shd w:val="clear" w:color="auto" w:fill="FFFFFF"/>
            <w:vAlign w:val="center"/>
          </w:tcPr>
          <w:p w14:paraId="2A37848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保护措施与发展方向</w:t>
            </w:r>
          </w:p>
        </w:tc>
      </w:tr>
      <w:tr w:rsidR="009D12AF" w14:paraId="4159C588" w14:textId="77777777">
        <w:tc>
          <w:tcPr>
            <w:tcW w:w="562" w:type="pct"/>
            <w:tcBorders>
              <w:tl2br w:val="nil"/>
              <w:tr2bl w:val="nil"/>
            </w:tcBorders>
            <w:shd w:val="clear" w:color="auto" w:fill="FFFFFF"/>
            <w:vAlign w:val="center"/>
          </w:tcPr>
          <w:p w14:paraId="1C10B46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生态区</w:t>
            </w:r>
          </w:p>
        </w:tc>
        <w:tc>
          <w:tcPr>
            <w:tcW w:w="655" w:type="pct"/>
            <w:tcBorders>
              <w:tl2br w:val="nil"/>
              <w:tr2bl w:val="nil"/>
            </w:tcBorders>
            <w:shd w:val="clear" w:color="auto" w:fill="FFFFFF"/>
            <w:vAlign w:val="center"/>
          </w:tcPr>
          <w:p w14:paraId="47E50BD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生态亚区</w:t>
            </w:r>
          </w:p>
        </w:tc>
        <w:tc>
          <w:tcPr>
            <w:tcW w:w="704" w:type="pct"/>
            <w:tcBorders>
              <w:tl2br w:val="nil"/>
              <w:tr2bl w:val="nil"/>
            </w:tcBorders>
            <w:shd w:val="clear" w:color="auto" w:fill="FFFFFF"/>
            <w:vAlign w:val="center"/>
          </w:tcPr>
          <w:p w14:paraId="3904E53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生态功能区</w:t>
            </w:r>
          </w:p>
        </w:tc>
        <w:tc>
          <w:tcPr>
            <w:tcW w:w="528" w:type="pct"/>
            <w:vMerge/>
            <w:tcBorders>
              <w:tl2br w:val="nil"/>
              <w:tr2bl w:val="nil"/>
            </w:tcBorders>
            <w:vAlign w:val="center"/>
          </w:tcPr>
          <w:p w14:paraId="0BDA5736"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629" w:type="pct"/>
            <w:vMerge/>
            <w:tcBorders>
              <w:tl2br w:val="nil"/>
              <w:tr2bl w:val="nil"/>
            </w:tcBorders>
            <w:vAlign w:val="center"/>
          </w:tcPr>
          <w:p w14:paraId="52505921"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574" w:type="pct"/>
            <w:vMerge/>
            <w:tcBorders>
              <w:tl2br w:val="nil"/>
              <w:tr2bl w:val="nil"/>
            </w:tcBorders>
            <w:vAlign w:val="center"/>
          </w:tcPr>
          <w:p w14:paraId="6F782EC3"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704" w:type="pct"/>
            <w:vMerge/>
            <w:tcBorders>
              <w:tl2br w:val="nil"/>
              <w:tr2bl w:val="nil"/>
            </w:tcBorders>
            <w:vAlign w:val="center"/>
          </w:tcPr>
          <w:p w14:paraId="70A6DEA1"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640" w:type="pct"/>
            <w:vMerge/>
            <w:tcBorders>
              <w:tl2br w:val="nil"/>
              <w:tr2bl w:val="nil"/>
            </w:tcBorders>
            <w:vAlign w:val="center"/>
          </w:tcPr>
          <w:p w14:paraId="4CB7C6FD"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7B3E0760" w14:textId="77777777">
        <w:tc>
          <w:tcPr>
            <w:tcW w:w="562" w:type="pct"/>
            <w:tcBorders>
              <w:tl2br w:val="nil"/>
              <w:tr2bl w:val="nil"/>
            </w:tcBorders>
            <w:shd w:val="clear" w:color="auto" w:fill="FFFFFF"/>
            <w:vAlign w:val="center"/>
          </w:tcPr>
          <w:p w14:paraId="2BFBC24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Ⅰ—4</w:t>
            </w:r>
            <w:r>
              <w:rPr>
                <w:rFonts w:ascii="Times New Roman" w:eastAsia="宋体" w:hAnsi="Times New Roman" w:cs="Times New Roman"/>
                <w:kern w:val="0"/>
                <w:sz w:val="21"/>
                <w:szCs w:val="21"/>
              </w:rPr>
              <w:t>张广才岭</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老爷岭山地针阔混</w:t>
            </w:r>
            <w:r>
              <w:rPr>
                <w:rFonts w:ascii="Times New Roman" w:eastAsia="宋体" w:hAnsi="Times New Roman" w:cs="Times New Roman"/>
                <w:kern w:val="0"/>
                <w:sz w:val="21"/>
                <w:szCs w:val="21"/>
              </w:rPr>
              <w:lastRenderedPageBreak/>
              <w:t>交林生态区</w:t>
            </w:r>
          </w:p>
        </w:tc>
        <w:tc>
          <w:tcPr>
            <w:tcW w:w="655" w:type="pct"/>
            <w:tcBorders>
              <w:tl2br w:val="nil"/>
              <w:tr2bl w:val="nil"/>
            </w:tcBorders>
            <w:shd w:val="clear" w:color="auto" w:fill="FFFFFF"/>
            <w:vAlign w:val="center"/>
          </w:tcPr>
          <w:p w14:paraId="74590FC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lastRenderedPageBreak/>
              <w:t>Ⅰ—</w:t>
            </w:r>
            <w:r>
              <w:rPr>
                <w:rFonts w:ascii="Times New Roman" w:eastAsia="宋体" w:hAnsi="Times New Roman" w:cs="Times New Roman"/>
                <w:kern w:val="0"/>
                <w:sz w:val="21"/>
                <w:szCs w:val="21"/>
              </w:rPr>
              <w:t>4—3</w:t>
            </w:r>
            <w:r>
              <w:rPr>
                <w:rFonts w:ascii="Times New Roman" w:eastAsia="宋体" w:hAnsi="Times New Roman" w:cs="Times New Roman"/>
                <w:kern w:val="0"/>
                <w:sz w:val="21"/>
                <w:szCs w:val="21"/>
              </w:rPr>
              <w:t>牡丹江</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宁安盆地城镇与林、农产</w:t>
            </w:r>
            <w:r>
              <w:rPr>
                <w:rFonts w:ascii="Times New Roman" w:eastAsia="宋体" w:hAnsi="Times New Roman" w:cs="Times New Roman"/>
                <w:kern w:val="0"/>
                <w:sz w:val="21"/>
                <w:szCs w:val="21"/>
              </w:rPr>
              <w:lastRenderedPageBreak/>
              <w:t>业生态亚区</w:t>
            </w:r>
          </w:p>
        </w:tc>
        <w:tc>
          <w:tcPr>
            <w:tcW w:w="704" w:type="pct"/>
            <w:tcBorders>
              <w:tl2br w:val="nil"/>
              <w:tr2bl w:val="nil"/>
            </w:tcBorders>
            <w:shd w:val="clear" w:color="auto" w:fill="FFFFFF"/>
            <w:vAlign w:val="center"/>
          </w:tcPr>
          <w:p w14:paraId="17BE69E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lastRenderedPageBreak/>
              <w:t>Ⅰ—</w:t>
            </w:r>
            <w:r>
              <w:rPr>
                <w:rFonts w:ascii="Times New Roman" w:eastAsia="宋体" w:hAnsi="Times New Roman" w:cs="Times New Roman"/>
                <w:kern w:val="0"/>
                <w:sz w:val="21"/>
                <w:szCs w:val="21"/>
              </w:rPr>
              <w:t>4—3—1</w:t>
            </w:r>
            <w:r>
              <w:rPr>
                <w:rFonts w:ascii="Times New Roman" w:eastAsia="宋体" w:hAnsi="Times New Roman" w:cs="Times New Roman"/>
                <w:kern w:val="0"/>
                <w:sz w:val="21"/>
                <w:szCs w:val="21"/>
              </w:rPr>
              <w:t>牡丹江城镇与农业生态功能区</w:t>
            </w:r>
          </w:p>
        </w:tc>
        <w:tc>
          <w:tcPr>
            <w:tcW w:w="528" w:type="pct"/>
            <w:tcBorders>
              <w:tl2br w:val="nil"/>
              <w:tr2bl w:val="nil"/>
            </w:tcBorders>
            <w:shd w:val="clear" w:color="auto" w:fill="FFFFFF"/>
            <w:vAlign w:val="center"/>
          </w:tcPr>
          <w:p w14:paraId="7EF0C5D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牡丹江市，面积</w:t>
            </w:r>
            <w:r>
              <w:rPr>
                <w:rFonts w:ascii="Times New Roman" w:eastAsia="宋体" w:hAnsi="Times New Roman" w:cs="Times New Roman"/>
                <w:kern w:val="0"/>
                <w:sz w:val="21"/>
                <w:szCs w:val="21"/>
              </w:rPr>
              <w:t>1351</w:t>
            </w:r>
            <w:r>
              <w:rPr>
                <w:rFonts w:ascii="Times New Roman" w:eastAsia="宋体" w:hAnsi="Times New Roman" w:cs="Times New Roman"/>
                <w:kern w:val="0"/>
                <w:sz w:val="21"/>
                <w:szCs w:val="21"/>
              </w:rPr>
              <w:t>平方公里</w:t>
            </w:r>
          </w:p>
        </w:tc>
        <w:tc>
          <w:tcPr>
            <w:tcW w:w="629" w:type="pct"/>
            <w:tcBorders>
              <w:tl2br w:val="nil"/>
              <w:tr2bl w:val="nil"/>
            </w:tcBorders>
            <w:shd w:val="clear" w:color="auto" w:fill="FFFFFF"/>
            <w:vAlign w:val="center"/>
          </w:tcPr>
          <w:p w14:paraId="75E3830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城镇、工矿企业分布集中，人口压力大；污染</w:t>
            </w:r>
            <w:r>
              <w:rPr>
                <w:rFonts w:ascii="Times New Roman" w:eastAsia="宋体" w:hAnsi="Times New Roman" w:cs="Times New Roman" w:hint="eastAsia"/>
                <w:kern w:val="0"/>
                <w:sz w:val="21"/>
                <w:szCs w:val="21"/>
              </w:rPr>
              <w:lastRenderedPageBreak/>
              <w:t>问题突出，污染物产生与排放负荷高；地下水污染影响城市发展</w:t>
            </w:r>
          </w:p>
        </w:tc>
        <w:tc>
          <w:tcPr>
            <w:tcW w:w="574" w:type="pct"/>
            <w:tcBorders>
              <w:tl2br w:val="nil"/>
              <w:tr2bl w:val="nil"/>
            </w:tcBorders>
            <w:shd w:val="clear" w:color="auto" w:fill="FFFFFF"/>
            <w:vAlign w:val="center"/>
          </w:tcPr>
          <w:p w14:paraId="34278CE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lastRenderedPageBreak/>
              <w:t>该区边缘地区生物多样性敏感性为</w:t>
            </w:r>
            <w:r>
              <w:rPr>
                <w:rFonts w:ascii="Times New Roman" w:eastAsia="宋体" w:hAnsi="Times New Roman" w:cs="Times New Roman" w:hint="eastAsia"/>
                <w:kern w:val="0"/>
                <w:sz w:val="21"/>
                <w:szCs w:val="21"/>
              </w:rPr>
              <w:lastRenderedPageBreak/>
              <w:t>高度敏感；本区中部有小面积的土壤侵蚀敏感性为高度敏感</w:t>
            </w:r>
          </w:p>
        </w:tc>
        <w:tc>
          <w:tcPr>
            <w:tcW w:w="704" w:type="pct"/>
            <w:tcBorders>
              <w:tl2br w:val="nil"/>
              <w:tr2bl w:val="nil"/>
            </w:tcBorders>
            <w:shd w:val="clear" w:color="auto" w:fill="FFFFFF"/>
            <w:vAlign w:val="center"/>
          </w:tcPr>
          <w:p w14:paraId="6C5615A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lastRenderedPageBreak/>
              <w:t>土壤保持、自然人文景观保护、控制水环境污染，城</w:t>
            </w:r>
            <w:r>
              <w:rPr>
                <w:rFonts w:ascii="Times New Roman" w:eastAsia="宋体" w:hAnsi="Times New Roman" w:cs="Times New Roman" w:hint="eastAsia"/>
                <w:kern w:val="0"/>
                <w:sz w:val="21"/>
                <w:szCs w:val="21"/>
              </w:rPr>
              <w:lastRenderedPageBreak/>
              <w:t>市发展、工农业生产</w:t>
            </w:r>
          </w:p>
        </w:tc>
        <w:tc>
          <w:tcPr>
            <w:tcW w:w="640" w:type="pct"/>
            <w:tcBorders>
              <w:tl2br w:val="nil"/>
              <w:tr2bl w:val="nil"/>
            </w:tcBorders>
            <w:shd w:val="clear" w:color="auto" w:fill="FFFFFF"/>
            <w:vAlign w:val="center"/>
          </w:tcPr>
          <w:p w14:paraId="3D8A3C7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lastRenderedPageBreak/>
              <w:t>进行产业结构调整，大力发展城市环境基础</w:t>
            </w:r>
            <w:r>
              <w:rPr>
                <w:rFonts w:ascii="Times New Roman" w:eastAsia="宋体" w:hAnsi="Times New Roman" w:cs="Times New Roman" w:hint="eastAsia"/>
                <w:kern w:val="0"/>
                <w:sz w:val="21"/>
                <w:szCs w:val="21"/>
              </w:rPr>
              <w:lastRenderedPageBreak/>
              <w:t>设施建设和生态工业和农业建设</w:t>
            </w:r>
          </w:p>
        </w:tc>
      </w:tr>
    </w:tbl>
    <w:p w14:paraId="15ADFAE5" w14:textId="77777777" w:rsidR="009D12AF" w:rsidRDefault="00000000">
      <w:pPr>
        <w:ind w:firstLine="480"/>
        <w:rPr>
          <w:rFonts w:ascii="宋体" w:eastAsia="宋体" w:hAnsi="宋体" w:cs="宋体" w:hint="eastAsia"/>
          <w:kern w:val="0"/>
        </w:rPr>
      </w:pPr>
      <w:r>
        <w:rPr>
          <w:rFonts w:ascii="宋体" w:eastAsia="宋体" w:hAnsi="宋体" w:cs="宋体" w:hint="eastAsia"/>
          <w:kern w:val="0"/>
        </w:rPr>
        <w:lastRenderedPageBreak/>
        <w:t>项目所在</w:t>
      </w:r>
      <w:r>
        <w:rPr>
          <w:rFonts w:ascii="宋体" w:eastAsia="宋体" w:hAnsi="宋体" w:cs="宋体"/>
          <w:kern w:val="0"/>
        </w:rPr>
        <w:t>区域主要生态环境问题是</w:t>
      </w:r>
      <w:r>
        <w:rPr>
          <w:rFonts w:ascii="宋体" w:eastAsia="宋体" w:hAnsi="宋体" w:cs="宋体" w:hint="eastAsia"/>
          <w:kern w:val="0"/>
        </w:rPr>
        <w:t>城镇、工矿企业分布集中，人口压力大；污染问题突出，污染物产生与排放负荷高；地下水污染影响城市发展。</w:t>
      </w:r>
    </w:p>
    <w:p w14:paraId="4E7ED0F9" w14:textId="77777777" w:rsidR="009D12AF" w:rsidRDefault="00000000">
      <w:pPr>
        <w:pStyle w:val="2"/>
      </w:pPr>
      <w:bookmarkStart w:id="341" w:name="_Toc31189"/>
      <w:r>
        <w:rPr>
          <w:rFonts w:hint="eastAsia"/>
        </w:rPr>
        <w:t>4.6</w:t>
      </w:r>
      <w:r>
        <w:rPr>
          <w:rFonts w:hint="eastAsia"/>
        </w:rPr>
        <w:t>典型区域生态环境现状调查与评价</w:t>
      </w:r>
      <w:bookmarkEnd w:id="341"/>
    </w:p>
    <w:p w14:paraId="7223B99E" w14:textId="77777777" w:rsidR="009D12AF" w:rsidRDefault="00000000">
      <w:pPr>
        <w:ind w:firstLine="482"/>
        <w:rPr>
          <w:b/>
          <w:bCs/>
        </w:rPr>
      </w:pPr>
      <w:r>
        <w:rPr>
          <w:rFonts w:hint="eastAsia"/>
          <w:b/>
          <w:bCs/>
        </w:rPr>
        <w:t>临时占地区现状</w:t>
      </w:r>
    </w:p>
    <w:p w14:paraId="5F94E872" w14:textId="77777777" w:rsidR="009D12AF" w:rsidRDefault="00000000">
      <w:pPr>
        <w:widowControl/>
        <w:ind w:firstLine="480"/>
        <w:jc w:val="left"/>
        <w:rPr>
          <w:rFonts w:ascii="宋体" w:eastAsia="宋体" w:hAnsi="宋体" w:cs="宋体" w:hint="eastAsia"/>
          <w:kern w:val="0"/>
        </w:rPr>
      </w:pPr>
      <w:r>
        <w:rPr>
          <w:rFonts w:ascii="宋体" w:eastAsia="宋体" w:hAnsi="宋体" w:cs="宋体" w:hint="eastAsia"/>
          <w:kern w:val="0"/>
        </w:rPr>
        <w:t>工程临时占地主要为居住区、淤泥堆放区、机械设备停放区和施工便道，面积共计</w:t>
      </w:r>
      <w:r>
        <w:rPr>
          <w:rFonts w:ascii="宋体" w:eastAsia="宋体" w:hAnsi="宋体" w:cs="宋体"/>
          <w:kern w:val="0"/>
        </w:rPr>
        <w:t>1.03</w:t>
      </w:r>
      <w:r>
        <w:rPr>
          <w:rFonts w:ascii="Times New Roman" w:eastAsia="宋体" w:hAnsi="Times New Roman" w:cs="Times New Roman"/>
          <w:kern w:val="0"/>
        </w:rPr>
        <w:t>hm²</w:t>
      </w:r>
      <w:r>
        <w:rPr>
          <w:rFonts w:ascii="Times New Roman" w:eastAsia="宋体" w:hAnsi="Times New Roman" w:cs="Times New Roman" w:hint="eastAsia"/>
          <w:kern w:val="0"/>
        </w:rPr>
        <w:t>。</w:t>
      </w:r>
      <w:r>
        <w:rPr>
          <w:rFonts w:ascii="宋体" w:eastAsia="宋体" w:hAnsi="宋体" w:cs="宋体" w:hint="eastAsia"/>
          <w:kern w:val="0"/>
        </w:rPr>
        <w:t>经过实地调查，未见有重点保护动物的栖息地分布。</w:t>
      </w:r>
    </w:p>
    <w:p w14:paraId="6EA6359A" w14:textId="77777777" w:rsidR="009D12AF" w:rsidRDefault="00000000">
      <w:pPr>
        <w:widowControl/>
        <w:ind w:firstLine="482"/>
        <w:jc w:val="center"/>
        <w:rPr>
          <w:rFonts w:ascii="宋体" w:eastAsia="宋体" w:hAnsi="宋体" w:cs="宋体" w:hint="eastAsia"/>
          <w:b/>
          <w:bCs/>
          <w:kern w:val="0"/>
        </w:rPr>
      </w:pPr>
      <w:r>
        <w:rPr>
          <w:rFonts w:ascii="宋体" w:eastAsia="宋体" w:hAnsi="宋体" w:cs="宋体" w:hint="eastAsia"/>
          <w:b/>
          <w:bCs/>
          <w:kern w:val="0"/>
        </w:rPr>
        <w:t>表4.6-1</w:t>
      </w:r>
      <w:r>
        <w:rPr>
          <w:rFonts w:ascii="宋体" w:eastAsia="宋体" w:hAnsi="宋体" w:cs="宋体"/>
          <w:b/>
          <w:bCs/>
          <w:kern w:val="0"/>
        </w:rPr>
        <w:t xml:space="preserve"> </w:t>
      </w:r>
      <w:r>
        <w:rPr>
          <w:rFonts w:ascii="宋体" w:eastAsia="宋体" w:hAnsi="宋体" w:cs="宋体" w:hint="eastAsia"/>
          <w:b/>
          <w:bCs/>
          <w:kern w:val="0"/>
        </w:rPr>
        <w:t>工程施工场地生境现状一览表</w:t>
      </w:r>
    </w:p>
    <w:tbl>
      <w:tblPr>
        <w:tblW w:w="0" w:type="auto"/>
        <w:jc w:val="center"/>
        <w:tblBorders>
          <w:top w:val="single" w:sz="12" w:space="0" w:color="auto"/>
          <w:bottom w:val="single" w:sz="12" w:space="0" w:color="auto"/>
          <w:insideH w:val="single" w:sz="4" w:space="0" w:color="auto"/>
          <w:insideV w:val="single" w:sz="4" w:space="0" w:color="auto"/>
        </w:tblBorders>
        <w:tblCellMar>
          <w:top w:w="108" w:type="dxa"/>
          <w:bottom w:w="108" w:type="dxa"/>
        </w:tblCellMar>
        <w:tblLook w:val="04A0" w:firstRow="1" w:lastRow="0" w:firstColumn="1" w:lastColumn="0" w:noHBand="0" w:noVBand="1"/>
      </w:tblPr>
      <w:tblGrid>
        <w:gridCol w:w="1938"/>
        <w:gridCol w:w="2018"/>
        <w:gridCol w:w="4566"/>
      </w:tblGrid>
      <w:tr w:rsidR="009D12AF" w14:paraId="6512EF97" w14:textId="77777777">
        <w:trPr>
          <w:jc w:val="center"/>
        </w:trPr>
        <w:tc>
          <w:tcPr>
            <w:tcW w:w="2840" w:type="dxa"/>
            <w:tcBorders>
              <w:tl2br w:val="nil"/>
              <w:tr2bl w:val="nil"/>
            </w:tcBorders>
            <w:vAlign w:val="center"/>
          </w:tcPr>
          <w:p w14:paraId="79634D2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工程名称</w:t>
            </w:r>
          </w:p>
        </w:tc>
        <w:tc>
          <w:tcPr>
            <w:tcW w:w="2841" w:type="dxa"/>
            <w:tcBorders>
              <w:tl2br w:val="nil"/>
              <w:tr2bl w:val="nil"/>
            </w:tcBorders>
            <w:vAlign w:val="center"/>
          </w:tcPr>
          <w:p w14:paraId="7192D25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hint="eastAsia"/>
                <w:kern w:val="0"/>
                <w:sz w:val="21"/>
                <w:szCs w:val="21"/>
              </w:rPr>
              <w:t>生境现状描述</w:t>
            </w:r>
          </w:p>
        </w:tc>
        <w:tc>
          <w:tcPr>
            <w:tcW w:w="2841" w:type="dxa"/>
            <w:tcBorders>
              <w:tl2br w:val="nil"/>
              <w:tr2bl w:val="nil"/>
            </w:tcBorders>
            <w:vAlign w:val="center"/>
          </w:tcPr>
          <w:p w14:paraId="289B337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hint="eastAsia"/>
                <w:kern w:val="0"/>
                <w:sz w:val="21"/>
                <w:szCs w:val="21"/>
              </w:rPr>
              <w:t>现状图片</w:t>
            </w:r>
          </w:p>
        </w:tc>
      </w:tr>
      <w:tr w:rsidR="009D12AF" w14:paraId="0ED6B708" w14:textId="77777777">
        <w:trPr>
          <w:jc w:val="center"/>
        </w:trPr>
        <w:tc>
          <w:tcPr>
            <w:tcW w:w="2840" w:type="dxa"/>
            <w:tcBorders>
              <w:tl2br w:val="nil"/>
              <w:tr2bl w:val="nil"/>
            </w:tcBorders>
            <w:vAlign w:val="center"/>
          </w:tcPr>
          <w:p w14:paraId="227E620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居住区</w:t>
            </w:r>
          </w:p>
        </w:tc>
        <w:tc>
          <w:tcPr>
            <w:tcW w:w="2841" w:type="dxa"/>
            <w:tcBorders>
              <w:tl2br w:val="nil"/>
              <w:tr2bl w:val="nil"/>
            </w:tcBorders>
            <w:vAlign w:val="center"/>
          </w:tcPr>
          <w:p w14:paraId="6582744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hint="eastAsia"/>
                <w:kern w:val="0"/>
                <w:sz w:val="21"/>
                <w:szCs w:val="21"/>
              </w:rPr>
              <w:t>居住区主要占用城镇生态系统，以占用居住地</w:t>
            </w:r>
            <w:r>
              <w:rPr>
                <w:rFonts w:ascii="Times New Roman" w:eastAsia="宋体" w:hAnsi="Times New Roman" w:cs="Times New Roman"/>
                <w:kern w:val="0"/>
                <w:sz w:val="21"/>
                <w:szCs w:val="21"/>
              </w:rPr>
              <w:t>为主</w:t>
            </w:r>
            <w:r>
              <w:rPr>
                <w:rFonts w:ascii="Times New Roman" w:eastAsia="宋体" w:hAnsi="Times New Roman" w:cs="Times New Roman" w:hint="eastAsia"/>
                <w:kern w:val="0"/>
                <w:sz w:val="21"/>
                <w:szCs w:val="21"/>
              </w:rPr>
              <w:t>，附近常见动物有</w:t>
            </w:r>
            <w:r>
              <w:rPr>
                <w:rFonts w:ascii="Times New Roman" w:eastAsia="宋体" w:hAnsi="Times New Roman" w:cs="Times New Roman"/>
                <w:kern w:val="0"/>
                <w:sz w:val="21"/>
                <w:szCs w:val="21"/>
              </w:rPr>
              <w:t>麻雀</w:t>
            </w:r>
            <w:r>
              <w:rPr>
                <w:rFonts w:ascii="Times New Roman" w:eastAsia="宋体" w:hAnsi="Times New Roman" w:cs="Times New Roman" w:hint="eastAsia"/>
                <w:kern w:val="0"/>
                <w:sz w:val="21"/>
                <w:szCs w:val="21"/>
              </w:rPr>
              <w:t>、家燕</w:t>
            </w:r>
            <w:r>
              <w:rPr>
                <w:rFonts w:ascii="Times New Roman" w:eastAsia="宋体" w:hAnsi="Times New Roman" w:cs="Times New Roman"/>
                <w:kern w:val="0"/>
                <w:sz w:val="21"/>
                <w:szCs w:val="21"/>
              </w:rPr>
              <w:t>等</w:t>
            </w:r>
            <w:r>
              <w:rPr>
                <w:rFonts w:ascii="Times New Roman" w:eastAsia="宋体" w:hAnsi="Times New Roman" w:cs="Times New Roman" w:hint="eastAsia"/>
                <w:kern w:val="0"/>
                <w:sz w:val="21"/>
                <w:szCs w:val="21"/>
              </w:rPr>
              <w:t>。</w:t>
            </w:r>
          </w:p>
        </w:tc>
        <w:tc>
          <w:tcPr>
            <w:tcW w:w="2841" w:type="dxa"/>
            <w:tcBorders>
              <w:tl2br w:val="nil"/>
              <w:tr2bl w:val="nil"/>
            </w:tcBorders>
            <w:vAlign w:val="center"/>
          </w:tcPr>
          <w:p w14:paraId="58B4100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noProof/>
                <w:kern w:val="0"/>
                <w:sz w:val="21"/>
                <w:szCs w:val="21"/>
              </w:rPr>
              <w:drawing>
                <wp:inline distT="0" distB="0" distL="0" distR="0" wp14:anchorId="0BE4FBB4" wp14:editId="08EB8D54">
                  <wp:extent cx="2753360" cy="1131570"/>
                  <wp:effectExtent l="0" t="0" r="8890" b="1143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noChangeArrowheads="1"/>
                          </pic:cNvPicPr>
                        </pic:nvPicPr>
                        <pic:blipFill>
                          <a:blip r:embed="rId237" cstate="screen">
                            <a:extLst>
                              <a:ext uri="{28A0092B-C50C-407E-A947-70E740481C1C}">
                                <a14:useLocalDpi xmlns:a14="http://schemas.microsoft.com/office/drawing/2010/main"/>
                              </a:ext>
                            </a:extLst>
                          </a:blip>
                          <a:srcRect/>
                          <a:stretch>
                            <a:fillRect/>
                          </a:stretch>
                        </pic:blipFill>
                        <pic:spPr>
                          <a:xfrm>
                            <a:off x="0" y="0"/>
                            <a:ext cx="2790602" cy="1146679"/>
                          </a:xfrm>
                          <a:prstGeom prst="rect">
                            <a:avLst/>
                          </a:prstGeom>
                          <a:noFill/>
                          <a:ln>
                            <a:noFill/>
                          </a:ln>
                        </pic:spPr>
                      </pic:pic>
                    </a:graphicData>
                  </a:graphic>
                </wp:inline>
              </w:drawing>
            </w:r>
          </w:p>
        </w:tc>
      </w:tr>
      <w:tr w:rsidR="009D12AF" w14:paraId="78DE892A" w14:textId="77777777">
        <w:trPr>
          <w:jc w:val="center"/>
        </w:trPr>
        <w:tc>
          <w:tcPr>
            <w:tcW w:w="2840" w:type="dxa"/>
            <w:tcBorders>
              <w:tl2br w:val="nil"/>
              <w:tr2bl w:val="nil"/>
            </w:tcBorders>
            <w:vAlign w:val="center"/>
          </w:tcPr>
          <w:p w14:paraId="5E38580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淤泥堆放区</w:t>
            </w:r>
          </w:p>
        </w:tc>
        <w:tc>
          <w:tcPr>
            <w:tcW w:w="2841" w:type="dxa"/>
            <w:tcBorders>
              <w:tl2br w:val="nil"/>
              <w:tr2bl w:val="nil"/>
            </w:tcBorders>
            <w:vAlign w:val="center"/>
          </w:tcPr>
          <w:p w14:paraId="32956E7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hint="eastAsia"/>
                <w:kern w:val="0"/>
                <w:sz w:val="21"/>
                <w:szCs w:val="21"/>
              </w:rPr>
              <w:t>淤泥堆放区</w:t>
            </w:r>
            <w:r>
              <w:rPr>
                <w:rFonts w:ascii="Times New Roman" w:eastAsia="宋体" w:hAnsi="Times New Roman" w:cs="Times New Roman"/>
                <w:kern w:val="0"/>
                <w:sz w:val="21"/>
                <w:szCs w:val="21"/>
              </w:rPr>
              <w:t>主要</w:t>
            </w:r>
            <w:r>
              <w:rPr>
                <w:rFonts w:ascii="Times New Roman" w:eastAsia="宋体" w:hAnsi="Times New Roman" w:cs="Times New Roman" w:hint="eastAsia"/>
                <w:kern w:val="0"/>
                <w:sz w:val="21"/>
                <w:szCs w:val="21"/>
              </w:rPr>
              <w:t>占用农田生态系统，以占用</w:t>
            </w:r>
            <w:r>
              <w:rPr>
                <w:rFonts w:ascii="Times New Roman" w:eastAsia="宋体" w:hAnsi="Times New Roman" w:cs="Times New Roman"/>
                <w:kern w:val="0"/>
                <w:sz w:val="21"/>
                <w:szCs w:val="21"/>
              </w:rPr>
              <w:t>耕地为主</w:t>
            </w:r>
            <w:r>
              <w:rPr>
                <w:rFonts w:ascii="Times New Roman" w:eastAsia="宋体" w:hAnsi="Times New Roman" w:cs="Times New Roman" w:hint="eastAsia"/>
                <w:kern w:val="0"/>
                <w:sz w:val="21"/>
                <w:szCs w:val="21"/>
              </w:rPr>
              <w:t>，</w:t>
            </w:r>
            <w:r>
              <w:rPr>
                <w:rFonts w:ascii="Times New Roman" w:eastAsia="宋体" w:hAnsi="Times New Roman" w:cs="Times New Roman"/>
                <w:kern w:val="0"/>
                <w:sz w:val="21"/>
                <w:szCs w:val="21"/>
              </w:rPr>
              <w:t>占地类型</w:t>
            </w:r>
            <w:r>
              <w:rPr>
                <w:rFonts w:ascii="Times New Roman" w:eastAsia="宋体" w:hAnsi="Times New Roman" w:cs="Times New Roman" w:hint="eastAsia"/>
                <w:kern w:val="0"/>
                <w:sz w:val="21"/>
                <w:szCs w:val="21"/>
              </w:rPr>
              <w:t>为种植玉米、大豆等农作物的旱地，附近常见动物有喜鹊、山斑鸠等。</w:t>
            </w:r>
          </w:p>
        </w:tc>
        <w:tc>
          <w:tcPr>
            <w:tcW w:w="2841" w:type="dxa"/>
            <w:tcBorders>
              <w:tl2br w:val="nil"/>
              <w:tr2bl w:val="nil"/>
            </w:tcBorders>
            <w:vAlign w:val="center"/>
          </w:tcPr>
          <w:p w14:paraId="29BAA87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noProof/>
                <w:kern w:val="0"/>
                <w:sz w:val="21"/>
                <w:szCs w:val="21"/>
              </w:rPr>
              <w:drawing>
                <wp:inline distT="0" distB="0" distL="0" distR="0" wp14:anchorId="081D43F5" wp14:editId="7715585B">
                  <wp:extent cx="2658110" cy="1381760"/>
                  <wp:effectExtent l="0" t="0" r="8890" b="8890"/>
                  <wp:docPr id="1305296215" name="图片 1305296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296215" name="图片 1305296215"/>
                          <pic:cNvPicPr>
                            <a:picLocks noChangeAspect="1" noChangeArrowheads="1"/>
                          </pic:cNvPicPr>
                        </pic:nvPicPr>
                        <pic:blipFill>
                          <a:blip r:embed="rId238" cstate="screen">
                            <a:extLst>
                              <a:ext uri="{28A0092B-C50C-407E-A947-70E740481C1C}">
                                <a14:useLocalDpi xmlns:a14="http://schemas.microsoft.com/office/drawing/2010/main"/>
                              </a:ext>
                            </a:extLst>
                          </a:blip>
                          <a:srcRect/>
                          <a:stretch>
                            <a:fillRect/>
                          </a:stretch>
                        </pic:blipFill>
                        <pic:spPr>
                          <a:xfrm>
                            <a:off x="0" y="0"/>
                            <a:ext cx="2666627" cy="1386187"/>
                          </a:xfrm>
                          <a:prstGeom prst="rect">
                            <a:avLst/>
                          </a:prstGeom>
                          <a:noFill/>
                          <a:ln>
                            <a:noFill/>
                          </a:ln>
                        </pic:spPr>
                      </pic:pic>
                    </a:graphicData>
                  </a:graphic>
                </wp:inline>
              </w:drawing>
            </w:r>
          </w:p>
        </w:tc>
      </w:tr>
      <w:tr w:rsidR="009D12AF" w14:paraId="1382CCD7" w14:textId="77777777">
        <w:trPr>
          <w:jc w:val="center"/>
        </w:trPr>
        <w:tc>
          <w:tcPr>
            <w:tcW w:w="2840" w:type="dxa"/>
            <w:tcBorders>
              <w:tl2br w:val="nil"/>
              <w:tr2bl w:val="nil"/>
            </w:tcBorders>
            <w:vAlign w:val="center"/>
          </w:tcPr>
          <w:p w14:paraId="0C41149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lastRenderedPageBreak/>
              <w:t>机械设备停放区</w:t>
            </w:r>
          </w:p>
        </w:tc>
        <w:tc>
          <w:tcPr>
            <w:tcW w:w="2841" w:type="dxa"/>
            <w:tcBorders>
              <w:tl2br w:val="nil"/>
              <w:tr2bl w:val="nil"/>
            </w:tcBorders>
            <w:vAlign w:val="center"/>
          </w:tcPr>
          <w:p w14:paraId="37BF699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hint="eastAsia"/>
                <w:kern w:val="0"/>
                <w:sz w:val="21"/>
                <w:szCs w:val="21"/>
              </w:rPr>
              <w:t>机械设备停放区</w:t>
            </w:r>
            <w:r>
              <w:rPr>
                <w:rFonts w:ascii="Times New Roman" w:eastAsia="宋体" w:hAnsi="Times New Roman" w:cs="Times New Roman"/>
                <w:kern w:val="0"/>
                <w:sz w:val="21"/>
                <w:szCs w:val="21"/>
              </w:rPr>
              <w:t>主要</w:t>
            </w:r>
            <w:r>
              <w:rPr>
                <w:rFonts w:ascii="Times New Roman" w:eastAsia="宋体" w:hAnsi="Times New Roman" w:cs="Times New Roman" w:hint="eastAsia"/>
                <w:kern w:val="0"/>
                <w:sz w:val="21"/>
                <w:szCs w:val="21"/>
              </w:rPr>
              <w:t>占用农田生态系统，</w:t>
            </w:r>
            <w:r>
              <w:rPr>
                <w:rFonts w:ascii="Times New Roman" w:eastAsia="宋体" w:hAnsi="Times New Roman" w:cs="Times New Roman"/>
                <w:kern w:val="0"/>
                <w:sz w:val="21"/>
                <w:szCs w:val="21"/>
              </w:rPr>
              <w:t>以</w:t>
            </w:r>
            <w:r>
              <w:rPr>
                <w:rFonts w:ascii="Times New Roman" w:eastAsia="宋体" w:hAnsi="Times New Roman" w:cs="Times New Roman" w:hint="eastAsia"/>
                <w:kern w:val="0"/>
                <w:sz w:val="21"/>
                <w:szCs w:val="21"/>
              </w:rPr>
              <w:t>占用</w:t>
            </w:r>
            <w:r>
              <w:rPr>
                <w:rFonts w:ascii="Times New Roman" w:eastAsia="宋体" w:hAnsi="Times New Roman" w:cs="Times New Roman"/>
                <w:kern w:val="0"/>
                <w:sz w:val="21"/>
                <w:szCs w:val="21"/>
              </w:rPr>
              <w:t>耕地为主</w:t>
            </w:r>
            <w:r>
              <w:rPr>
                <w:rFonts w:ascii="Times New Roman" w:eastAsia="宋体" w:hAnsi="Times New Roman" w:cs="Times New Roman" w:hint="eastAsia"/>
                <w:kern w:val="0"/>
                <w:sz w:val="21"/>
                <w:szCs w:val="21"/>
              </w:rPr>
              <w:t>，</w:t>
            </w:r>
            <w:r>
              <w:rPr>
                <w:rFonts w:ascii="Times New Roman" w:eastAsia="宋体" w:hAnsi="Times New Roman" w:cs="Times New Roman"/>
                <w:kern w:val="0"/>
                <w:sz w:val="21"/>
                <w:szCs w:val="21"/>
              </w:rPr>
              <w:t>占地类型以</w:t>
            </w:r>
            <w:r>
              <w:rPr>
                <w:rFonts w:ascii="Times New Roman" w:eastAsia="宋体" w:hAnsi="Times New Roman" w:cs="Times New Roman" w:hint="eastAsia"/>
                <w:kern w:val="0"/>
                <w:sz w:val="21"/>
                <w:szCs w:val="21"/>
              </w:rPr>
              <w:t>种植玉米、大豆等农作物的旱地</w:t>
            </w:r>
            <w:r>
              <w:rPr>
                <w:rFonts w:ascii="Times New Roman" w:eastAsia="宋体" w:hAnsi="Times New Roman" w:cs="Times New Roman"/>
                <w:kern w:val="0"/>
                <w:sz w:val="21"/>
                <w:szCs w:val="21"/>
              </w:rPr>
              <w:t>为主</w:t>
            </w:r>
            <w:r>
              <w:rPr>
                <w:rFonts w:ascii="Times New Roman" w:eastAsia="宋体" w:hAnsi="Times New Roman" w:cs="Times New Roman" w:hint="eastAsia"/>
                <w:kern w:val="0"/>
                <w:sz w:val="21"/>
                <w:szCs w:val="21"/>
              </w:rPr>
              <w:t>，附近常见动物有喜鹊、山斑鸠等。</w:t>
            </w:r>
          </w:p>
        </w:tc>
        <w:tc>
          <w:tcPr>
            <w:tcW w:w="2841" w:type="dxa"/>
            <w:tcBorders>
              <w:tl2br w:val="nil"/>
              <w:tr2bl w:val="nil"/>
            </w:tcBorders>
            <w:vAlign w:val="center"/>
          </w:tcPr>
          <w:p w14:paraId="4542174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noProof/>
                <w:kern w:val="0"/>
                <w:sz w:val="21"/>
                <w:szCs w:val="21"/>
              </w:rPr>
              <w:drawing>
                <wp:inline distT="0" distB="0" distL="0" distR="0" wp14:anchorId="49D1CB40" wp14:editId="27A16E68">
                  <wp:extent cx="2710815" cy="1285875"/>
                  <wp:effectExtent l="0" t="0" r="13335" b="9525"/>
                  <wp:docPr id="275531550" name="图片 27553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531550" name="图片 275531550"/>
                          <pic:cNvPicPr>
                            <a:picLocks noChangeAspect="1" noChangeArrowheads="1"/>
                          </pic:cNvPicPr>
                        </pic:nvPicPr>
                        <pic:blipFill>
                          <a:blip r:embed="rId239">
                            <a:extLst>
                              <a:ext uri="{28A0092B-C50C-407E-A947-70E740481C1C}">
                                <a14:useLocalDpi xmlns:a14="http://schemas.microsoft.com/office/drawing/2010/main"/>
                              </a:ext>
                            </a:extLst>
                          </a:blip>
                          <a:srcRect/>
                          <a:stretch>
                            <a:fillRect/>
                          </a:stretch>
                        </pic:blipFill>
                        <pic:spPr>
                          <a:xfrm>
                            <a:off x="0" y="0"/>
                            <a:ext cx="2725360" cy="1292542"/>
                          </a:xfrm>
                          <a:prstGeom prst="rect">
                            <a:avLst/>
                          </a:prstGeom>
                          <a:noFill/>
                          <a:ln>
                            <a:noFill/>
                          </a:ln>
                        </pic:spPr>
                      </pic:pic>
                    </a:graphicData>
                  </a:graphic>
                </wp:inline>
              </w:drawing>
            </w:r>
          </w:p>
        </w:tc>
      </w:tr>
      <w:tr w:rsidR="009D12AF" w14:paraId="26E2982B" w14:textId="77777777">
        <w:trPr>
          <w:jc w:val="center"/>
        </w:trPr>
        <w:tc>
          <w:tcPr>
            <w:tcW w:w="2840" w:type="dxa"/>
            <w:tcBorders>
              <w:tl2br w:val="nil"/>
              <w:tr2bl w:val="nil"/>
            </w:tcBorders>
            <w:vAlign w:val="center"/>
          </w:tcPr>
          <w:p w14:paraId="1BF91EB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施工便道</w:t>
            </w:r>
          </w:p>
        </w:tc>
        <w:tc>
          <w:tcPr>
            <w:tcW w:w="2841" w:type="dxa"/>
            <w:tcBorders>
              <w:tl2br w:val="nil"/>
              <w:tr2bl w:val="nil"/>
            </w:tcBorders>
            <w:vAlign w:val="center"/>
          </w:tcPr>
          <w:p w14:paraId="3F1CE8D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hint="eastAsia"/>
                <w:kern w:val="0"/>
                <w:sz w:val="21"/>
                <w:szCs w:val="21"/>
              </w:rPr>
              <w:t>施工便道</w:t>
            </w:r>
            <w:r>
              <w:rPr>
                <w:rFonts w:ascii="Times New Roman" w:eastAsia="宋体" w:hAnsi="Times New Roman" w:cs="Times New Roman"/>
                <w:kern w:val="0"/>
                <w:sz w:val="21"/>
                <w:szCs w:val="21"/>
              </w:rPr>
              <w:t>主要</w:t>
            </w:r>
            <w:r>
              <w:rPr>
                <w:rFonts w:ascii="Times New Roman" w:eastAsia="宋体" w:hAnsi="Times New Roman" w:cs="Times New Roman" w:hint="eastAsia"/>
                <w:kern w:val="0"/>
                <w:sz w:val="21"/>
                <w:szCs w:val="21"/>
              </w:rPr>
              <w:t>占用城镇生态系统，以</w:t>
            </w:r>
            <w:r>
              <w:rPr>
                <w:rFonts w:ascii="Times New Roman" w:eastAsia="宋体" w:hAnsi="Times New Roman" w:cs="Times New Roman"/>
                <w:kern w:val="0"/>
                <w:sz w:val="21"/>
                <w:szCs w:val="21"/>
              </w:rPr>
              <w:t>占</w:t>
            </w:r>
            <w:r>
              <w:rPr>
                <w:rFonts w:ascii="Times New Roman" w:eastAsia="宋体" w:hAnsi="Times New Roman" w:cs="Times New Roman" w:hint="eastAsia"/>
                <w:kern w:val="0"/>
                <w:sz w:val="21"/>
                <w:szCs w:val="21"/>
              </w:rPr>
              <w:t>用工况交通为主，附近常见动物有大杜鹃、家燕等。</w:t>
            </w:r>
          </w:p>
        </w:tc>
        <w:tc>
          <w:tcPr>
            <w:tcW w:w="2841" w:type="dxa"/>
            <w:tcBorders>
              <w:tl2br w:val="nil"/>
              <w:tr2bl w:val="nil"/>
            </w:tcBorders>
            <w:vAlign w:val="center"/>
          </w:tcPr>
          <w:p w14:paraId="531D521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noProof/>
                <w:kern w:val="0"/>
                <w:sz w:val="21"/>
                <w:szCs w:val="21"/>
              </w:rPr>
              <w:drawing>
                <wp:inline distT="0" distB="0" distL="0" distR="0" wp14:anchorId="1449F765" wp14:editId="0DC05C4B">
                  <wp:extent cx="2658110" cy="1285875"/>
                  <wp:effectExtent l="0" t="0" r="8890" b="9525"/>
                  <wp:docPr id="1127943959" name="图片 112794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943959" name="图片 1127943959"/>
                          <pic:cNvPicPr>
                            <a:picLocks noChangeAspect="1" noChangeArrowheads="1"/>
                          </pic:cNvPicPr>
                        </pic:nvPicPr>
                        <pic:blipFill>
                          <a:blip r:embed="rId240" cstate="screen">
                            <a:extLst>
                              <a:ext uri="{28A0092B-C50C-407E-A947-70E740481C1C}">
                                <a14:useLocalDpi xmlns:a14="http://schemas.microsoft.com/office/drawing/2010/main"/>
                              </a:ext>
                            </a:extLst>
                          </a:blip>
                          <a:srcRect/>
                          <a:stretch>
                            <a:fillRect/>
                          </a:stretch>
                        </pic:blipFill>
                        <pic:spPr>
                          <a:xfrm>
                            <a:off x="0" y="0"/>
                            <a:ext cx="2675051" cy="1294563"/>
                          </a:xfrm>
                          <a:prstGeom prst="rect">
                            <a:avLst/>
                          </a:prstGeom>
                          <a:noFill/>
                          <a:ln>
                            <a:noFill/>
                          </a:ln>
                        </pic:spPr>
                      </pic:pic>
                    </a:graphicData>
                  </a:graphic>
                </wp:inline>
              </w:drawing>
            </w:r>
          </w:p>
        </w:tc>
      </w:tr>
    </w:tbl>
    <w:p w14:paraId="5DF4675C" w14:textId="77777777" w:rsidR="009D12AF" w:rsidRDefault="009D12AF">
      <w:pPr>
        <w:ind w:firstLine="482"/>
        <w:rPr>
          <w:b/>
          <w:bCs/>
        </w:rPr>
      </w:pPr>
    </w:p>
    <w:p w14:paraId="042E280A" w14:textId="77777777" w:rsidR="009D12AF" w:rsidRDefault="009D12AF">
      <w:pPr>
        <w:ind w:firstLine="480"/>
        <w:sectPr w:rsidR="009D12AF">
          <w:pgSz w:w="11906" w:h="16838"/>
          <w:pgMar w:top="1440" w:right="1800" w:bottom="1440" w:left="1800" w:header="851" w:footer="992" w:gutter="0"/>
          <w:cols w:space="425"/>
          <w:docGrid w:type="lines" w:linePitch="326"/>
        </w:sectPr>
      </w:pPr>
    </w:p>
    <w:p w14:paraId="79C2C585" w14:textId="77777777" w:rsidR="009D12AF" w:rsidRDefault="00000000">
      <w:pPr>
        <w:pStyle w:val="1"/>
      </w:pPr>
      <w:bookmarkStart w:id="342" w:name="_Toc32348"/>
      <w:r>
        <w:rPr>
          <w:rFonts w:hint="eastAsia"/>
        </w:rPr>
        <w:lastRenderedPageBreak/>
        <w:t>5</w:t>
      </w:r>
      <w:r>
        <w:t xml:space="preserve"> </w:t>
      </w:r>
      <w:r>
        <w:t>环境影响预测与评价</w:t>
      </w:r>
      <w:bookmarkEnd w:id="342"/>
    </w:p>
    <w:p w14:paraId="402080DE" w14:textId="77777777" w:rsidR="009D12AF" w:rsidRDefault="00000000">
      <w:pPr>
        <w:pStyle w:val="2"/>
      </w:pPr>
      <w:bookmarkStart w:id="343" w:name="_Toc22912"/>
      <w:bookmarkStart w:id="344" w:name="_Toc19780"/>
      <w:r>
        <w:rPr>
          <w:rFonts w:hint="eastAsia"/>
        </w:rPr>
        <w:t>5</w:t>
      </w:r>
      <w:r>
        <w:t xml:space="preserve">.1 </w:t>
      </w:r>
      <w:r>
        <w:t>施工期环境影响</w:t>
      </w:r>
      <w:bookmarkEnd w:id="343"/>
      <w:r>
        <w:rPr>
          <w:rFonts w:hint="eastAsia"/>
        </w:rPr>
        <w:t>预测与评价</w:t>
      </w:r>
      <w:bookmarkEnd w:id="344"/>
    </w:p>
    <w:p w14:paraId="39FCA0BC" w14:textId="77777777" w:rsidR="009D12AF" w:rsidRDefault="00000000">
      <w:pPr>
        <w:pStyle w:val="3"/>
      </w:pPr>
      <w:bookmarkStart w:id="345" w:name="_Toc450"/>
      <w:r>
        <w:rPr>
          <w:rFonts w:hint="eastAsia"/>
        </w:rPr>
        <w:t xml:space="preserve">5.1.1 </w:t>
      </w:r>
      <w:r>
        <w:rPr>
          <w:rFonts w:hint="eastAsia"/>
        </w:rPr>
        <w:t>施工期大气环境影响预测与评价</w:t>
      </w:r>
      <w:bookmarkEnd w:id="345"/>
    </w:p>
    <w:p w14:paraId="2BAF2F34" w14:textId="77777777" w:rsidR="009D12AF" w:rsidRDefault="00000000">
      <w:pPr>
        <w:ind w:firstLine="480"/>
      </w:pPr>
      <w:r>
        <w:t>本工程施工期的大气污染源主要包括施工扬尘、运输扬尘、河道清淤过程产生的恶臭、燃油机械和运输车辆产生的尾气。</w:t>
      </w:r>
    </w:p>
    <w:p w14:paraId="7AB2AEBC" w14:textId="77777777" w:rsidR="009D12AF" w:rsidRDefault="00000000">
      <w:pPr>
        <w:ind w:firstLine="480"/>
      </w:pPr>
      <w:r>
        <w:t>1</w:t>
      </w:r>
      <w:r>
        <w:t>、施工扬尘</w:t>
      </w:r>
    </w:p>
    <w:p w14:paraId="33E66220" w14:textId="77777777" w:rsidR="009D12AF" w:rsidRDefault="00000000">
      <w:pPr>
        <w:ind w:firstLine="480"/>
      </w:pPr>
      <w:r>
        <w:t>本项目产生扬尘主要集中在施工现场、</w:t>
      </w:r>
      <w:r>
        <w:rPr>
          <w:rFonts w:hint="eastAsia"/>
        </w:rPr>
        <w:t>临时生产区</w:t>
      </w:r>
      <w:r>
        <w:t>等施工区域因开挖、回填、平整产生裸露地表且地表士质松散，在干燥大风天气会产生风力扬尘；土石方开挖回填、其他施工活动扰动地表产生扬尘；土方、砂石料装卸、堆放被扰动会产生扬尘。施工场地扬尘属无组织排放，主要污染因子为</w:t>
      </w:r>
      <w:r>
        <w:t>TSP</w:t>
      </w:r>
      <w:r>
        <w:t>，施工现场近地面扬尘浓度一般为</w:t>
      </w:r>
      <w:r>
        <w:t>1.5-30mg/m</w:t>
      </w:r>
      <w:r>
        <w:rPr>
          <w:vertAlign w:val="superscript"/>
        </w:rPr>
        <w:t>3</w:t>
      </w:r>
      <w:r>
        <w:t>，其产生量与施工范围、施工方法、土壤湿度、气象条件等诸多因素有关。其中风速和土壤湿度大小对扬尘的影响较为显著，在空气干燥、风速较大的气候条件下，施工会导致现场尘土飞扬，使空气中颗粒物浓度增加，并随风扩散，影响下风区域及周围空气环境质量；在静风、小雨湿润条件下，其对空气环境的影响范围将减小、程度减轻。根据类比调查，下风向</w:t>
      </w:r>
      <w:r>
        <w:t>50m</w:t>
      </w:r>
      <w:r>
        <w:t>距离</w:t>
      </w:r>
      <w:r>
        <w:t>TSP</w:t>
      </w:r>
      <w:r>
        <w:t>浓度约为</w:t>
      </w:r>
      <w:r>
        <w:rPr>
          <w:rFonts w:hint="eastAsia"/>
        </w:rPr>
        <w:t>0.68</w:t>
      </w:r>
      <w:r>
        <w:t>mg/m</w:t>
      </w:r>
      <w:r>
        <w:rPr>
          <w:vertAlign w:val="superscript"/>
        </w:rPr>
        <w:t>3</w:t>
      </w:r>
      <w:r>
        <w:t>，</w:t>
      </w:r>
      <w:r>
        <w:t>100m</w:t>
      </w:r>
      <w:r>
        <w:t>距离</w:t>
      </w:r>
      <w:r>
        <w:t>TSP</w:t>
      </w:r>
      <w:r>
        <w:t>浓度约为</w:t>
      </w:r>
      <w:r>
        <w:rPr>
          <w:rFonts w:hint="eastAsia"/>
        </w:rPr>
        <w:t>0.6</w:t>
      </w:r>
      <w:r>
        <w:t>mg/m</w:t>
      </w:r>
      <w:r>
        <w:rPr>
          <w:vertAlign w:val="superscript"/>
        </w:rPr>
        <w:t>3</w:t>
      </w:r>
      <w:r>
        <w:t>，</w:t>
      </w:r>
      <w:r>
        <w:t>150m</w:t>
      </w:r>
      <w:r>
        <w:t>距离</w:t>
      </w:r>
      <w:r>
        <w:t>TSP</w:t>
      </w:r>
      <w:r>
        <w:t>浓度约为</w:t>
      </w:r>
      <w:r>
        <w:t>0.31~0.34mg/m</w:t>
      </w:r>
      <w:r>
        <w:rPr>
          <w:vertAlign w:val="superscript"/>
        </w:rPr>
        <w:t>3</w:t>
      </w:r>
      <w:r>
        <w:t>。</w:t>
      </w:r>
    </w:p>
    <w:p w14:paraId="284F3AF8" w14:textId="77777777" w:rsidR="009D12AF" w:rsidRDefault="00000000">
      <w:pPr>
        <w:ind w:firstLine="480"/>
      </w:pPr>
      <w:r>
        <w:t>本项目施工工程量小、施工时间短，扬尘产生量和产生浓度较小，但仍然会对周边</w:t>
      </w:r>
      <w:r>
        <w:t>150m</w:t>
      </w:r>
      <w:r>
        <w:t>范围以内的保护目标产生影响较小。施工扬尘为土壤颗粒，粒径较大，易沉降，无特殊污染物，影响是断续的、短时的。通过加强管理，并采取有效措施防治后，评价区域环境空气质量影响将得到有效减缓。施工期大气污染影响将随着施工的结束而消失，不会对区域大气环境带来长期不良影响。</w:t>
      </w:r>
    </w:p>
    <w:p w14:paraId="029611AA" w14:textId="77777777" w:rsidR="009D12AF" w:rsidRDefault="00000000">
      <w:pPr>
        <w:ind w:firstLineChars="236" w:firstLine="566"/>
      </w:pPr>
      <w:r>
        <w:t>2</w:t>
      </w:r>
      <w:r>
        <w:t>、运输扬尘</w:t>
      </w:r>
    </w:p>
    <w:p w14:paraId="52306ADE" w14:textId="77777777" w:rsidR="009D12AF" w:rsidRDefault="00000000">
      <w:pPr>
        <w:ind w:firstLineChars="236" w:firstLine="566"/>
      </w:pPr>
      <w:r>
        <w:t>施工过程中运输环节将产生一定量的道路扬尘，扬尘在道路两侧扩散。由于车辆运输过程中产生的道路扬尘量与车辆的行驶速度有关，速度愈快，其扬尘</w:t>
      </w:r>
      <w:r>
        <w:lastRenderedPageBreak/>
        <w:t>量势必愈大，对周围环境的影响越大。运输路线应定期洒水降尘，同时运输车辆要减速慢行，通过以上措施，运输车辆产生的扬尘对环境空气影响不大。</w:t>
      </w:r>
    </w:p>
    <w:p w14:paraId="2680A4C3" w14:textId="77777777" w:rsidR="009D12AF" w:rsidRDefault="00000000">
      <w:pPr>
        <w:ind w:firstLineChars="236" w:firstLine="566"/>
      </w:pPr>
      <w:r>
        <w:t>3</w:t>
      </w:r>
      <w:r>
        <w:t>、恶臭</w:t>
      </w:r>
    </w:p>
    <w:p w14:paraId="303D9CB7" w14:textId="77777777" w:rsidR="009D12AF" w:rsidRDefault="00000000">
      <w:pPr>
        <w:ind w:firstLineChars="236" w:firstLine="566"/>
      </w:pPr>
      <w:r>
        <w:t>恶臭主要产生于清淤、淤泥运输过程中，清淤含有有机物腐质，在受到扰动和处理时，其中含有的恶臭物质将呈无组织状态释放，从而对周围环境产生较为不利的影响。</w:t>
      </w:r>
    </w:p>
    <w:p w14:paraId="46B1E415" w14:textId="77777777" w:rsidR="009D12AF" w:rsidRDefault="00000000">
      <w:pPr>
        <w:ind w:firstLineChars="236" w:firstLine="566"/>
      </w:pPr>
      <w:r>
        <w:t>本次评价参照国内类似工程（南泡子河排污整治工程）的恶臭资料进行分析。南泡子位于牡丹江市东南部，是纳污水体，水质严重恶化，为劣</w:t>
      </w:r>
      <w:r>
        <w:t>Ⅴ</w:t>
      </w:r>
      <w:r>
        <w:t>类水体，根据对牡丹江南泡子疏挖工程污染源恶臭级别调查分析，结果见表</w:t>
      </w:r>
      <w:r>
        <w:t>5</w:t>
      </w:r>
      <w:r>
        <w:rPr>
          <w:rFonts w:hint="eastAsia"/>
        </w:rPr>
        <w:t>.</w:t>
      </w:r>
      <w:r>
        <w:t>1-1</w:t>
      </w:r>
      <w:r>
        <w:t>。预计</w:t>
      </w:r>
      <w:r>
        <w:rPr>
          <w:rFonts w:hint="eastAsia"/>
        </w:rPr>
        <w:t>本项目清淤工程</w:t>
      </w:r>
      <w:r>
        <w:t>散发的恶臭强度可达</w:t>
      </w:r>
      <w:r>
        <w:t>3</w:t>
      </w:r>
      <w:r>
        <w:t>级（臭气强度可分为</w:t>
      </w:r>
      <w:r>
        <w:t>6</w:t>
      </w:r>
      <w:r>
        <w:t>级，即</w:t>
      </w:r>
      <w:r>
        <w:t>0</w:t>
      </w:r>
      <w:r>
        <w:t>～</w:t>
      </w:r>
      <w:r>
        <w:t>5</w:t>
      </w:r>
      <w:r>
        <w:t>级，</w:t>
      </w:r>
      <w:r>
        <w:t>3</w:t>
      </w:r>
      <w:r>
        <w:t>级为明显臭；</w:t>
      </w:r>
      <w:r>
        <w:t>4</w:t>
      </w:r>
      <w:r>
        <w:t>级为强臭；</w:t>
      </w:r>
      <w:r>
        <w:t>5</w:t>
      </w:r>
      <w:r>
        <w:t>级为剧臭）。</w:t>
      </w:r>
    </w:p>
    <w:p w14:paraId="3187DE09" w14:textId="77777777" w:rsidR="009D12AF" w:rsidRDefault="00000000">
      <w:pPr>
        <w:ind w:firstLine="482"/>
        <w:jc w:val="center"/>
        <w:rPr>
          <w:b/>
          <w:bCs/>
        </w:rPr>
      </w:pPr>
      <w:r>
        <w:rPr>
          <w:b/>
          <w:bCs/>
        </w:rPr>
        <w:t>表</w:t>
      </w:r>
      <w:r>
        <w:rPr>
          <w:b/>
          <w:bCs/>
        </w:rPr>
        <w:t>5</w:t>
      </w:r>
      <w:r>
        <w:rPr>
          <w:rFonts w:hint="eastAsia"/>
          <w:b/>
          <w:bCs/>
        </w:rPr>
        <w:t>.</w:t>
      </w:r>
      <w:r>
        <w:rPr>
          <w:b/>
          <w:bCs/>
        </w:rPr>
        <w:t>1-1</w:t>
      </w:r>
      <w:r>
        <w:rPr>
          <w:b/>
          <w:bCs/>
        </w:rPr>
        <w:t>牡丹江南泡子底泥疏挖（干塘干挖）臭气强度</w:t>
      </w:r>
    </w:p>
    <w:tbl>
      <w:tblPr>
        <w:tblW w:w="0" w:type="auto"/>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741"/>
        <w:gridCol w:w="2730"/>
        <w:gridCol w:w="2730"/>
      </w:tblGrid>
      <w:tr w:rsidR="009D12AF" w14:paraId="47E3DAB2" w14:textId="77777777">
        <w:trPr>
          <w:trHeight w:val="399"/>
          <w:jc w:val="center"/>
        </w:trPr>
        <w:tc>
          <w:tcPr>
            <w:tcW w:w="2741" w:type="dxa"/>
            <w:vAlign w:val="center"/>
          </w:tcPr>
          <w:p w14:paraId="445DC208" w14:textId="77777777" w:rsidR="009D12AF" w:rsidRDefault="00000000">
            <w:pPr>
              <w:spacing w:line="240" w:lineRule="auto"/>
              <w:jc w:val="center"/>
              <w:rPr>
                <w:sz w:val="21"/>
              </w:rPr>
            </w:pPr>
            <w:r>
              <w:rPr>
                <w:sz w:val="21"/>
              </w:rPr>
              <w:t>距离</w:t>
            </w:r>
          </w:p>
        </w:tc>
        <w:tc>
          <w:tcPr>
            <w:tcW w:w="2730" w:type="dxa"/>
            <w:vAlign w:val="center"/>
          </w:tcPr>
          <w:p w14:paraId="5BE980AD" w14:textId="77777777" w:rsidR="009D12AF" w:rsidRDefault="00000000">
            <w:pPr>
              <w:spacing w:line="240" w:lineRule="auto"/>
              <w:jc w:val="center"/>
              <w:rPr>
                <w:sz w:val="21"/>
              </w:rPr>
            </w:pPr>
            <w:r>
              <w:rPr>
                <w:sz w:val="21"/>
              </w:rPr>
              <w:t>臭气感觉强度</w:t>
            </w:r>
          </w:p>
        </w:tc>
        <w:tc>
          <w:tcPr>
            <w:tcW w:w="2730" w:type="dxa"/>
            <w:vAlign w:val="center"/>
          </w:tcPr>
          <w:p w14:paraId="27FA4989" w14:textId="77777777" w:rsidR="009D12AF" w:rsidRDefault="00000000">
            <w:pPr>
              <w:spacing w:line="240" w:lineRule="auto"/>
              <w:jc w:val="center"/>
              <w:rPr>
                <w:sz w:val="21"/>
              </w:rPr>
            </w:pPr>
            <w:r>
              <w:rPr>
                <w:sz w:val="21"/>
              </w:rPr>
              <w:t>级别</w:t>
            </w:r>
          </w:p>
        </w:tc>
      </w:tr>
      <w:tr w:rsidR="009D12AF" w14:paraId="26C69464" w14:textId="77777777">
        <w:trPr>
          <w:trHeight w:val="399"/>
          <w:jc w:val="center"/>
        </w:trPr>
        <w:tc>
          <w:tcPr>
            <w:tcW w:w="2741" w:type="dxa"/>
            <w:vAlign w:val="center"/>
          </w:tcPr>
          <w:p w14:paraId="0B49B4E9" w14:textId="77777777" w:rsidR="009D12AF" w:rsidRDefault="00000000">
            <w:pPr>
              <w:spacing w:line="240" w:lineRule="auto"/>
              <w:jc w:val="center"/>
              <w:rPr>
                <w:sz w:val="21"/>
              </w:rPr>
            </w:pPr>
            <w:r>
              <w:rPr>
                <w:sz w:val="21"/>
              </w:rPr>
              <w:t>弃淤区</w:t>
            </w:r>
          </w:p>
        </w:tc>
        <w:tc>
          <w:tcPr>
            <w:tcW w:w="2730" w:type="dxa"/>
            <w:vAlign w:val="center"/>
          </w:tcPr>
          <w:p w14:paraId="25AE04BF" w14:textId="77777777" w:rsidR="009D12AF" w:rsidRDefault="00000000">
            <w:pPr>
              <w:spacing w:line="240" w:lineRule="auto"/>
              <w:jc w:val="center"/>
              <w:rPr>
                <w:sz w:val="21"/>
              </w:rPr>
            </w:pPr>
            <w:r>
              <w:rPr>
                <w:sz w:val="21"/>
              </w:rPr>
              <w:t>有较明显臭味</w:t>
            </w:r>
          </w:p>
        </w:tc>
        <w:tc>
          <w:tcPr>
            <w:tcW w:w="2730" w:type="dxa"/>
            <w:vAlign w:val="center"/>
          </w:tcPr>
          <w:p w14:paraId="1FF8CC69" w14:textId="77777777" w:rsidR="009D12AF" w:rsidRDefault="00000000">
            <w:pPr>
              <w:spacing w:line="240" w:lineRule="auto"/>
              <w:jc w:val="center"/>
              <w:rPr>
                <w:sz w:val="21"/>
              </w:rPr>
            </w:pPr>
            <w:r>
              <w:rPr>
                <w:sz w:val="21"/>
              </w:rPr>
              <w:t>3</w:t>
            </w:r>
            <w:r>
              <w:rPr>
                <w:sz w:val="21"/>
              </w:rPr>
              <w:t>级</w:t>
            </w:r>
          </w:p>
        </w:tc>
      </w:tr>
      <w:tr w:rsidR="009D12AF" w14:paraId="5D7BB2AD" w14:textId="77777777">
        <w:trPr>
          <w:trHeight w:val="399"/>
          <w:jc w:val="center"/>
        </w:trPr>
        <w:tc>
          <w:tcPr>
            <w:tcW w:w="2741" w:type="dxa"/>
            <w:vAlign w:val="center"/>
          </w:tcPr>
          <w:p w14:paraId="2B37754E" w14:textId="77777777" w:rsidR="009D12AF" w:rsidRDefault="00000000">
            <w:pPr>
              <w:spacing w:line="240" w:lineRule="auto"/>
              <w:jc w:val="center"/>
              <w:rPr>
                <w:sz w:val="21"/>
              </w:rPr>
            </w:pPr>
            <w:r>
              <w:rPr>
                <w:sz w:val="21"/>
              </w:rPr>
              <w:t>弃淤区</w:t>
            </w:r>
            <w:r>
              <w:rPr>
                <w:sz w:val="21"/>
              </w:rPr>
              <w:t>30m</w:t>
            </w:r>
          </w:p>
        </w:tc>
        <w:tc>
          <w:tcPr>
            <w:tcW w:w="2730" w:type="dxa"/>
            <w:vAlign w:val="center"/>
          </w:tcPr>
          <w:p w14:paraId="099BF4ED" w14:textId="77777777" w:rsidR="009D12AF" w:rsidRDefault="00000000">
            <w:pPr>
              <w:spacing w:line="240" w:lineRule="auto"/>
              <w:jc w:val="center"/>
              <w:rPr>
                <w:sz w:val="21"/>
              </w:rPr>
            </w:pPr>
            <w:r>
              <w:rPr>
                <w:sz w:val="21"/>
              </w:rPr>
              <w:t>轻微</w:t>
            </w:r>
          </w:p>
        </w:tc>
        <w:tc>
          <w:tcPr>
            <w:tcW w:w="2730" w:type="dxa"/>
            <w:vAlign w:val="center"/>
          </w:tcPr>
          <w:p w14:paraId="3F0FD56E" w14:textId="77777777" w:rsidR="009D12AF" w:rsidRDefault="00000000">
            <w:pPr>
              <w:spacing w:line="240" w:lineRule="auto"/>
              <w:jc w:val="center"/>
              <w:rPr>
                <w:sz w:val="21"/>
              </w:rPr>
            </w:pPr>
            <w:r>
              <w:rPr>
                <w:sz w:val="21"/>
              </w:rPr>
              <w:t>2</w:t>
            </w:r>
            <w:r>
              <w:rPr>
                <w:sz w:val="21"/>
              </w:rPr>
              <w:t>级</w:t>
            </w:r>
          </w:p>
        </w:tc>
      </w:tr>
      <w:tr w:rsidR="009D12AF" w14:paraId="44788182" w14:textId="77777777">
        <w:trPr>
          <w:trHeight w:val="399"/>
          <w:jc w:val="center"/>
        </w:trPr>
        <w:tc>
          <w:tcPr>
            <w:tcW w:w="2741" w:type="dxa"/>
            <w:vAlign w:val="center"/>
          </w:tcPr>
          <w:p w14:paraId="6D828F41" w14:textId="77777777" w:rsidR="009D12AF" w:rsidRDefault="00000000">
            <w:pPr>
              <w:spacing w:line="240" w:lineRule="auto"/>
              <w:jc w:val="center"/>
              <w:rPr>
                <w:sz w:val="21"/>
              </w:rPr>
            </w:pPr>
            <w:r>
              <w:rPr>
                <w:sz w:val="21"/>
              </w:rPr>
              <w:t>弃淤区</w:t>
            </w:r>
            <w:r>
              <w:rPr>
                <w:sz w:val="21"/>
              </w:rPr>
              <w:t>80m</w:t>
            </w:r>
          </w:p>
        </w:tc>
        <w:tc>
          <w:tcPr>
            <w:tcW w:w="2730" w:type="dxa"/>
            <w:vAlign w:val="center"/>
          </w:tcPr>
          <w:p w14:paraId="44BEACD8" w14:textId="77777777" w:rsidR="009D12AF" w:rsidRDefault="00000000">
            <w:pPr>
              <w:spacing w:line="240" w:lineRule="auto"/>
              <w:jc w:val="center"/>
              <w:rPr>
                <w:sz w:val="21"/>
              </w:rPr>
            </w:pPr>
            <w:r>
              <w:rPr>
                <w:sz w:val="21"/>
              </w:rPr>
              <w:t>极微</w:t>
            </w:r>
          </w:p>
        </w:tc>
        <w:tc>
          <w:tcPr>
            <w:tcW w:w="2730" w:type="dxa"/>
            <w:vAlign w:val="center"/>
          </w:tcPr>
          <w:p w14:paraId="61F9BA9A" w14:textId="77777777" w:rsidR="009D12AF" w:rsidRDefault="00000000">
            <w:pPr>
              <w:spacing w:line="240" w:lineRule="auto"/>
              <w:jc w:val="center"/>
              <w:rPr>
                <w:sz w:val="21"/>
              </w:rPr>
            </w:pPr>
            <w:r>
              <w:rPr>
                <w:sz w:val="21"/>
              </w:rPr>
              <w:t>1</w:t>
            </w:r>
            <w:r>
              <w:rPr>
                <w:sz w:val="21"/>
              </w:rPr>
              <w:t>级</w:t>
            </w:r>
          </w:p>
        </w:tc>
      </w:tr>
      <w:tr w:rsidR="009D12AF" w14:paraId="5031DA48" w14:textId="77777777">
        <w:trPr>
          <w:trHeight w:val="399"/>
          <w:jc w:val="center"/>
        </w:trPr>
        <w:tc>
          <w:tcPr>
            <w:tcW w:w="2741" w:type="dxa"/>
            <w:vAlign w:val="center"/>
          </w:tcPr>
          <w:p w14:paraId="5E0D30B7" w14:textId="77777777" w:rsidR="009D12AF" w:rsidRDefault="00000000">
            <w:pPr>
              <w:spacing w:line="240" w:lineRule="auto"/>
              <w:jc w:val="center"/>
              <w:rPr>
                <w:sz w:val="21"/>
              </w:rPr>
            </w:pPr>
            <w:r>
              <w:rPr>
                <w:sz w:val="21"/>
              </w:rPr>
              <w:t>100m</w:t>
            </w:r>
            <w:r>
              <w:rPr>
                <w:sz w:val="21"/>
              </w:rPr>
              <w:t>外</w:t>
            </w:r>
          </w:p>
        </w:tc>
        <w:tc>
          <w:tcPr>
            <w:tcW w:w="2730" w:type="dxa"/>
            <w:vAlign w:val="center"/>
          </w:tcPr>
          <w:p w14:paraId="3B12CA2D" w14:textId="77777777" w:rsidR="009D12AF" w:rsidRDefault="00000000">
            <w:pPr>
              <w:spacing w:line="240" w:lineRule="auto"/>
              <w:jc w:val="center"/>
              <w:rPr>
                <w:sz w:val="21"/>
              </w:rPr>
            </w:pPr>
            <w:r>
              <w:rPr>
                <w:sz w:val="21"/>
              </w:rPr>
              <w:t>无</w:t>
            </w:r>
          </w:p>
        </w:tc>
        <w:tc>
          <w:tcPr>
            <w:tcW w:w="2730" w:type="dxa"/>
            <w:vAlign w:val="center"/>
          </w:tcPr>
          <w:p w14:paraId="5AE2F730" w14:textId="77777777" w:rsidR="009D12AF" w:rsidRDefault="00000000">
            <w:pPr>
              <w:spacing w:line="240" w:lineRule="auto"/>
              <w:jc w:val="center"/>
              <w:rPr>
                <w:sz w:val="21"/>
              </w:rPr>
            </w:pPr>
            <w:r>
              <w:rPr>
                <w:sz w:val="21"/>
              </w:rPr>
              <w:t>0</w:t>
            </w:r>
            <w:r>
              <w:rPr>
                <w:sz w:val="21"/>
              </w:rPr>
              <w:t>级</w:t>
            </w:r>
          </w:p>
        </w:tc>
      </w:tr>
    </w:tbl>
    <w:p w14:paraId="238FE0F0" w14:textId="77777777" w:rsidR="009D12AF" w:rsidRDefault="00000000">
      <w:pPr>
        <w:spacing w:line="240" w:lineRule="auto"/>
        <w:ind w:firstLine="482"/>
        <w:jc w:val="center"/>
        <w:rPr>
          <w:b/>
          <w:bCs/>
        </w:rPr>
      </w:pPr>
      <w:r>
        <w:rPr>
          <w:b/>
          <w:bCs/>
        </w:rPr>
        <w:t>表</w:t>
      </w:r>
      <w:r>
        <w:rPr>
          <w:b/>
          <w:bCs/>
        </w:rPr>
        <w:t>5</w:t>
      </w:r>
      <w:r>
        <w:rPr>
          <w:rFonts w:hint="eastAsia"/>
          <w:b/>
          <w:bCs/>
        </w:rPr>
        <w:t>.</w:t>
      </w:r>
      <w:r>
        <w:rPr>
          <w:b/>
          <w:bCs/>
        </w:rPr>
        <w:t>1-2</w:t>
      </w:r>
      <w:r>
        <w:rPr>
          <w:b/>
          <w:bCs/>
        </w:rPr>
        <w:t>恶臭强度分类一览表</w:t>
      </w:r>
    </w:p>
    <w:tbl>
      <w:tblPr>
        <w:tblW w:w="0" w:type="auto"/>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761"/>
        <w:gridCol w:w="6499"/>
      </w:tblGrid>
      <w:tr w:rsidR="009D12AF" w14:paraId="1DDE5F30" w14:textId="77777777">
        <w:trPr>
          <w:trHeight w:val="406"/>
          <w:jc w:val="center"/>
        </w:trPr>
        <w:tc>
          <w:tcPr>
            <w:tcW w:w="1761" w:type="dxa"/>
            <w:vAlign w:val="center"/>
          </w:tcPr>
          <w:p w14:paraId="61B5166D" w14:textId="77777777" w:rsidR="009D12AF" w:rsidRDefault="00000000">
            <w:pPr>
              <w:spacing w:line="240" w:lineRule="auto"/>
              <w:jc w:val="center"/>
              <w:rPr>
                <w:sz w:val="21"/>
              </w:rPr>
            </w:pPr>
            <w:r>
              <w:rPr>
                <w:sz w:val="21"/>
              </w:rPr>
              <w:t>强度分类</w:t>
            </w:r>
          </w:p>
        </w:tc>
        <w:tc>
          <w:tcPr>
            <w:tcW w:w="6499" w:type="dxa"/>
            <w:vAlign w:val="center"/>
          </w:tcPr>
          <w:p w14:paraId="7B2A391F" w14:textId="77777777" w:rsidR="009D12AF" w:rsidRDefault="00000000">
            <w:pPr>
              <w:spacing w:line="240" w:lineRule="auto"/>
              <w:jc w:val="center"/>
              <w:rPr>
                <w:sz w:val="21"/>
              </w:rPr>
            </w:pPr>
            <w:r>
              <w:rPr>
                <w:sz w:val="21"/>
              </w:rPr>
              <w:t>臭气感觉强度</w:t>
            </w:r>
          </w:p>
        </w:tc>
      </w:tr>
      <w:tr w:rsidR="009D12AF" w14:paraId="729B88A1" w14:textId="77777777">
        <w:trPr>
          <w:trHeight w:val="406"/>
          <w:jc w:val="center"/>
        </w:trPr>
        <w:tc>
          <w:tcPr>
            <w:tcW w:w="1761" w:type="dxa"/>
            <w:vAlign w:val="center"/>
          </w:tcPr>
          <w:p w14:paraId="76F670E7" w14:textId="77777777" w:rsidR="009D12AF" w:rsidRDefault="00000000">
            <w:pPr>
              <w:spacing w:line="240" w:lineRule="auto"/>
              <w:jc w:val="center"/>
              <w:rPr>
                <w:sz w:val="21"/>
              </w:rPr>
            </w:pPr>
            <w:r>
              <w:rPr>
                <w:sz w:val="21"/>
              </w:rPr>
              <w:t>0</w:t>
            </w:r>
          </w:p>
        </w:tc>
        <w:tc>
          <w:tcPr>
            <w:tcW w:w="6499" w:type="dxa"/>
            <w:vAlign w:val="center"/>
          </w:tcPr>
          <w:p w14:paraId="67563E29" w14:textId="77777777" w:rsidR="009D12AF" w:rsidRDefault="00000000">
            <w:pPr>
              <w:spacing w:line="240" w:lineRule="auto"/>
              <w:jc w:val="center"/>
              <w:rPr>
                <w:sz w:val="21"/>
              </w:rPr>
            </w:pPr>
            <w:r>
              <w:rPr>
                <w:sz w:val="21"/>
              </w:rPr>
              <w:t>无气味</w:t>
            </w:r>
          </w:p>
        </w:tc>
      </w:tr>
      <w:tr w:rsidR="009D12AF" w14:paraId="7563BD8E" w14:textId="77777777">
        <w:trPr>
          <w:trHeight w:val="406"/>
          <w:jc w:val="center"/>
        </w:trPr>
        <w:tc>
          <w:tcPr>
            <w:tcW w:w="1761" w:type="dxa"/>
            <w:vAlign w:val="center"/>
          </w:tcPr>
          <w:p w14:paraId="53D56B3E" w14:textId="77777777" w:rsidR="009D12AF" w:rsidRDefault="00000000">
            <w:pPr>
              <w:spacing w:line="240" w:lineRule="auto"/>
              <w:jc w:val="center"/>
              <w:rPr>
                <w:sz w:val="21"/>
              </w:rPr>
            </w:pPr>
            <w:r>
              <w:rPr>
                <w:sz w:val="21"/>
              </w:rPr>
              <w:t>1</w:t>
            </w:r>
          </w:p>
        </w:tc>
        <w:tc>
          <w:tcPr>
            <w:tcW w:w="6499" w:type="dxa"/>
            <w:vAlign w:val="center"/>
          </w:tcPr>
          <w:p w14:paraId="3D8012F3" w14:textId="77777777" w:rsidR="009D12AF" w:rsidRDefault="00000000">
            <w:pPr>
              <w:spacing w:line="240" w:lineRule="auto"/>
              <w:jc w:val="center"/>
              <w:rPr>
                <w:sz w:val="21"/>
              </w:rPr>
            </w:pPr>
            <w:r>
              <w:rPr>
                <w:sz w:val="21"/>
              </w:rPr>
              <w:t>勉强感觉到气味（检知阈值浓度）</w:t>
            </w:r>
          </w:p>
        </w:tc>
      </w:tr>
      <w:tr w:rsidR="009D12AF" w14:paraId="0C035540" w14:textId="77777777">
        <w:trPr>
          <w:trHeight w:val="406"/>
          <w:jc w:val="center"/>
        </w:trPr>
        <w:tc>
          <w:tcPr>
            <w:tcW w:w="1761" w:type="dxa"/>
            <w:vAlign w:val="center"/>
          </w:tcPr>
          <w:p w14:paraId="0E6BE328" w14:textId="77777777" w:rsidR="009D12AF" w:rsidRDefault="00000000">
            <w:pPr>
              <w:spacing w:line="240" w:lineRule="auto"/>
              <w:jc w:val="center"/>
              <w:rPr>
                <w:sz w:val="21"/>
              </w:rPr>
            </w:pPr>
            <w:r>
              <w:rPr>
                <w:sz w:val="21"/>
              </w:rPr>
              <w:t>2</w:t>
            </w:r>
          </w:p>
        </w:tc>
        <w:tc>
          <w:tcPr>
            <w:tcW w:w="6499" w:type="dxa"/>
            <w:vAlign w:val="center"/>
          </w:tcPr>
          <w:p w14:paraId="5BF61EAA" w14:textId="77777777" w:rsidR="009D12AF" w:rsidRDefault="00000000">
            <w:pPr>
              <w:spacing w:line="240" w:lineRule="auto"/>
              <w:jc w:val="center"/>
              <w:rPr>
                <w:sz w:val="21"/>
              </w:rPr>
            </w:pPr>
            <w:r>
              <w:rPr>
                <w:sz w:val="21"/>
              </w:rPr>
              <w:t>能够确定气味性质的较弱气体（确认阈值浓度）</w:t>
            </w:r>
          </w:p>
        </w:tc>
      </w:tr>
      <w:tr w:rsidR="009D12AF" w14:paraId="7D577E8E" w14:textId="77777777">
        <w:trPr>
          <w:trHeight w:val="406"/>
          <w:jc w:val="center"/>
        </w:trPr>
        <w:tc>
          <w:tcPr>
            <w:tcW w:w="1761" w:type="dxa"/>
            <w:vAlign w:val="center"/>
          </w:tcPr>
          <w:p w14:paraId="76EA2488" w14:textId="77777777" w:rsidR="009D12AF" w:rsidRDefault="00000000">
            <w:pPr>
              <w:spacing w:line="240" w:lineRule="auto"/>
              <w:jc w:val="center"/>
              <w:rPr>
                <w:sz w:val="21"/>
              </w:rPr>
            </w:pPr>
            <w:r>
              <w:rPr>
                <w:sz w:val="21"/>
              </w:rPr>
              <w:t>3</w:t>
            </w:r>
          </w:p>
        </w:tc>
        <w:tc>
          <w:tcPr>
            <w:tcW w:w="6499" w:type="dxa"/>
            <w:vAlign w:val="center"/>
          </w:tcPr>
          <w:p w14:paraId="0F885CA9" w14:textId="77777777" w:rsidR="009D12AF" w:rsidRDefault="00000000">
            <w:pPr>
              <w:spacing w:line="240" w:lineRule="auto"/>
              <w:jc w:val="center"/>
              <w:rPr>
                <w:sz w:val="21"/>
              </w:rPr>
            </w:pPr>
            <w:r>
              <w:rPr>
                <w:sz w:val="21"/>
              </w:rPr>
              <w:t>容易闻到有明显气味</w:t>
            </w:r>
          </w:p>
        </w:tc>
      </w:tr>
      <w:tr w:rsidR="009D12AF" w14:paraId="3EF45154" w14:textId="77777777">
        <w:trPr>
          <w:trHeight w:val="406"/>
          <w:jc w:val="center"/>
        </w:trPr>
        <w:tc>
          <w:tcPr>
            <w:tcW w:w="1761" w:type="dxa"/>
            <w:vAlign w:val="center"/>
          </w:tcPr>
          <w:p w14:paraId="209F1283" w14:textId="77777777" w:rsidR="009D12AF" w:rsidRDefault="00000000">
            <w:pPr>
              <w:spacing w:line="240" w:lineRule="auto"/>
              <w:jc w:val="center"/>
              <w:rPr>
                <w:sz w:val="21"/>
              </w:rPr>
            </w:pPr>
            <w:r>
              <w:rPr>
                <w:sz w:val="21"/>
              </w:rPr>
              <w:t>4</w:t>
            </w:r>
          </w:p>
        </w:tc>
        <w:tc>
          <w:tcPr>
            <w:tcW w:w="6499" w:type="dxa"/>
            <w:vAlign w:val="center"/>
          </w:tcPr>
          <w:p w14:paraId="1195E80F" w14:textId="77777777" w:rsidR="009D12AF" w:rsidRDefault="00000000">
            <w:pPr>
              <w:spacing w:line="240" w:lineRule="auto"/>
              <w:jc w:val="center"/>
              <w:rPr>
                <w:sz w:val="21"/>
              </w:rPr>
            </w:pPr>
            <w:r>
              <w:rPr>
                <w:sz w:val="21"/>
              </w:rPr>
              <w:t>很容易闻到有明显气味</w:t>
            </w:r>
          </w:p>
        </w:tc>
      </w:tr>
      <w:tr w:rsidR="009D12AF" w14:paraId="667436DB" w14:textId="77777777">
        <w:trPr>
          <w:trHeight w:val="406"/>
          <w:jc w:val="center"/>
        </w:trPr>
        <w:tc>
          <w:tcPr>
            <w:tcW w:w="1761" w:type="dxa"/>
            <w:vAlign w:val="center"/>
          </w:tcPr>
          <w:p w14:paraId="3DE0E11A" w14:textId="77777777" w:rsidR="009D12AF" w:rsidRDefault="00000000">
            <w:pPr>
              <w:spacing w:line="240" w:lineRule="auto"/>
              <w:jc w:val="center"/>
              <w:rPr>
                <w:sz w:val="21"/>
              </w:rPr>
            </w:pPr>
            <w:r>
              <w:rPr>
                <w:sz w:val="21"/>
              </w:rPr>
              <w:t>5</w:t>
            </w:r>
          </w:p>
        </w:tc>
        <w:tc>
          <w:tcPr>
            <w:tcW w:w="6499" w:type="dxa"/>
            <w:vAlign w:val="center"/>
          </w:tcPr>
          <w:p w14:paraId="77287743" w14:textId="77777777" w:rsidR="009D12AF" w:rsidRDefault="00000000">
            <w:pPr>
              <w:spacing w:line="240" w:lineRule="auto"/>
              <w:jc w:val="center"/>
              <w:rPr>
                <w:sz w:val="21"/>
              </w:rPr>
            </w:pPr>
            <w:r>
              <w:rPr>
                <w:sz w:val="21"/>
              </w:rPr>
              <w:t>极强的气味</w:t>
            </w:r>
          </w:p>
        </w:tc>
      </w:tr>
    </w:tbl>
    <w:p w14:paraId="13695098" w14:textId="77777777" w:rsidR="009D12AF" w:rsidRDefault="00000000">
      <w:pPr>
        <w:ind w:firstLineChars="236" w:firstLine="566"/>
      </w:pPr>
      <w:r>
        <w:t>根据类比分析，</w:t>
      </w:r>
      <w:r>
        <w:rPr>
          <w:rFonts w:hint="eastAsia"/>
        </w:rPr>
        <w:t>水库</w:t>
      </w:r>
      <w:r>
        <w:t>清淤过程中在河道岸边将会有较明显的臭味，</w:t>
      </w:r>
      <w:r>
        <w:t>30m</w:t>
      </w:r>
      <w:r>
        <w:t>之外达到</w:t>
      </w:r>
      <w:r>
        <w:t>2</w:t>
      </w:r>
      <w:r>
        <w:t>级强度，有轻微臭味，低于恶臭强度的限制标准（</w:t>
      </w:r>
      <w:r>
        <w:t>2.5-3.5</w:t>
      </w:r>
      <w:r>
        <w:t>级）；</w:t>
      </w:r>
      <w:r>
        <w:t>80m</w:t>
      </w:r>
      <w:r>
        <w:t>之外基本无气味。本项目通过对底泥的检测，结果表明底泥内所含可挥发有机污染物含量较少，</w:t>
      </w:r>
      <w:r>
        <w:rPr>
          <w:rFonts w:hint="eastAsia"/>
        </w:rPr>
        <w:t>长石水库、向阳水电站前池、新安晒水池</w:t>
      </w:r>
      <w:r>
        <w:t>清淤段周边</w:t>
      </w:r>
      <w:r>
        <w:t>500m</w:t>
      </w:r>
      <w:r>
        <w:t>内无居民区、学校、医院等敏感目标</w:t>
      </w:r>
      <w:r>
        <w:rPr>
          <w:rFonts w:hint="eastAsia"/>
        </w:rPr>
        <w:t>；群力水库清淤临时堆场距离周边最近村屯约</w:t>
      </w:r>
      <w:r>
        <w:rPr>
          <w:rFonts w:hint="eastAsia"/>
        </w:rPr>
        <w:lastRenderedPageBreak/>
        <w:t>30m</w:t>
      </w:r>
      <w:r>
        <w:rPr>
          <w:rFonts w:hint="eastAsia"/>
        </w:rPr>
        <w:t>，臭气强度约为</w:t>
      </w:r>
      <w:r>
        <w:rPr>
          <w:rFonts w:hint="eastAsia"/>
        </w:rPr>
        <w:t>2</w:t>
      </w:r>
      <w:r>
        <w:rPr>
          <w:rFonts w:hint="eastAsia"/>
        </w:rPr>
        <w:t>级，新安晒水池距离周围最近村屯约为</w:t>
      </w:r>
      <w:r>
        <w:rPr>
          <w:rFonts w:hint="eastAsia"/>
        </w:rPr>
        <w:t>500m</w:t>
      </w:r>
      <w:r>
        <w:rPr>
          <w:rFonts w:hint="eastAsia"/>
        </w:rPr>
        <w:t>，对村屯无影响。本工程对附近村屯</w:t>
      </w:r>
      <w:r>
        <w:t>恶臭影响有限，采取一定的措施加以防护，恶臭对周边居民影响只是暂时的，随着施工期的结束影响也随之消失。</w:t>
      </w:r>
    </w:p>
    <w:p w14:paraId="4A459350" w14:textId="77777777" w:rsidR="009D12AF" w:rsidRDefault="00000000">
      <w:pPr>
        <w:ind w:firstLineChars="236" w:firstLine="566"/>
      </w:pPr>
      <w:r>
        <w:t>淤泥干化时在距离环境保护目标相对较近的区域</w:t>
      </w:r>
      <w:r>
        <w:rPr>
          <w:rFonts w:hint="eastAsia"/>
        </w:rPr>
        <w:t>和堆场</w:t>
      </w:r>
      <w:r>
        <w:t>喷洒除臭剂。淤泥干化后由运输车辆运输至</w:t>
      </w:r>
      <w:r>
        <w:rPr>
          <w:rFonts w:hint="eastAsia"/>
        </w:rPr>
        <w:t>牡丹江金达农化有限公司对其清淤底泥进行加工制作生物肥，由企业售卖</w:t>
      </w:r>
      <w:r>
        <w:rPr>
          <w:rFonts w:ascii="宋体" w:eastAsia="宋体" w:hAnsi="宋体" w:cs="宋体" w:hint="eastAsia"/>
          <w:color w:val="000000"/>
          <w:kern w:val="0"/>
          <w:lang w:bidi="ar"/>
        </w:rPr>
        <w:t>。</w:t>
      </w:r>
      <w:r>
        <w:t>在该运输过程中，底泥已经干化为为泥土，含水率约</w:t>
      </w:r>
      <w:r>
        <w:t>60%</w:t>
      </w:r>
      <w:r>
        <w:t>，不会发生淤泥渗漏等现象，也基本不散发恶臭物质。</w:t>
      </w:r>
    </w:p>
    <w:p w14:paraId="6A313176" w14:textId="77777777" w:rsidR="009D12AF" w:rsidRDefault="00000000">
      <w:pPr>
        <w:ind w:firstLineChars="236" w:firstLine="566"/>
      </w:pPr>
      <w:r>
        <w:t>4</w:t>
      </w:r>
      <w:r>
        <w:t>、施工机械及车辆尾气</w:t>
      </w:r>
    </w:p>
    <w:p w14:paraId="7C436E0E" w14:textId="77777777" w:rsidR="009D12AF" w:rsidRDefault="00000000">
      <w:pPr>
        <w:pStyle w:val="a9"/>
        <w:ind w:firstLine="480"/>
        <w:rPr>
          <w:szCs w:val="24"/>
        </w:rPr>
      </w:pPr>
      <w:r>
        <w:rPr>
          <w:szCs w:val="24"/>
        </w:rPr>
        <w:t>本工程为线性工程，施工作业具有流动性和间歇性的特点，排放源分散，施工机械及车辆废气使所在区域废气排放总量上增加不大。另外，工程施工作业区域地形开阔，空气流动条件较好，有利于污染物的扩散。通过加强对施工机械及车辆的检修和维护，严禁使用超期服役和尾气超标的机械及车辆。对施工期间进出施工现场车流量进行合理安排，防止施工现场车流量过大。尽可能使用耗油低，排气小的施工车辆，选用优质燃油，减少废气排放。因此，施工机械、柴油发电机及车辆排放的有害气体将迅速扩散，只要加强设备和车辆的养护，燃油废气排放不会对周边环境产生明显的影响。并且燃油废气影响是暂时的，随着施工结束，影响也随之消失。</w:t>
      </w:r>
    </w:p>
    <w:p w14:paraId="41E20865" w14:textId="77777777" w:rsidR="009D12AF" w:rsidRDefault="00000000">
      <w:pPr>
        <w:pStyle w:val="3"/>
      </w:pPr>
      <w:bookmarkStart w:id="346" w:name="_Toc7317"/>
      <w:r>
        <w:rPr>
          <w:rFonts w:hint="eastAsia"/>
        </w:rPr>
        <w:t xml:space="preserve">5.1.2 </w:t>
      </w:r>
      <w:r>
        <w:rPr>
          <w:rFonts w:hint="eastAsia"/>
        </w:rPr>
        <w:t>施工期地表水环境影响预测与评价</w:t>
      </w:r>
      <w:bookmarkEnd w:id="346"/>
    </w:p>
    <w:p w14:paraId="1768E788" w14:textId="77777777" w:rsidR="009D12AF" w:rsidRDefault="00000000">
      <w:pPr>
        <w:ind w:firstLineChars="236" w:firstLine="566"/>
      </w:pPr>
      <w:r>
        <w:t>本项目为主要为</w:t>
      </w:r>
      <w:r>
        <w:rPr>
          <w:rFonts w:hint="eastAsia"/>
        </w:rPr>
        <w:t>湖库清淤工程</w:t>
      </w:r>
      <w:r>
        <w:t>，对地表水水质的影响主要来自于施工期生活污水，</w:t>
      </w:r>
      <w:r>
        <w:rPr>
          <w:rFonts w:hint="eastAsia"/>
        </w:rPr>
        <w:t>施工废水</w:t>
      </w:r>
      <w:r>
        <w:t>以及</w:t>
      </w:r>
      <w:r>
        <w:rPr>
          <w:rFonts w:hint="eastAsia"/>
        </w:rPr>
        <w:t>湖库</w:t>
      </w:r>
      <w:r>
        <w:t>清淤扰动悬浮物对下游水质的影响。</w:t>
      </w:r>
    </w:p>
    <w:p w14:paraId="2E8701E8" w14:textId="77777777" w:rsidR="009D12AF" w:rsidRDefault="00000000">
      <w:pPr>
        <w:ind w:firstLineChars="236" w:firstLine="566"/>
      </w:pPr>
      <w:r>
        <w:t>1</w:t>
      </w:r>
      <w:r>
        <w:t>、生活污水影响分析</w:t>
      </w:r>
    </w:p>
    <w:p w14:paraId="0C60EF49" w14:textId="77777777" w:rsidR="009D12AF" w:rsidRDefault="00000000">
      <w:pPr>
        <w:ind w:firstLineChars="236" w:firstLine="566"/>
      </w:pPr>
      <w:r>
        <w:t>施工期项目施工人员会产生一定量的生活污水</w:t>
      </w:r>
      <w:r>
        <w:rPr>
          <w:rFonts w:hint="eastAsia"/>
        </w:rPr>
        <w:t>。</w:t>
      </w:r>
      <w:r>
        <w:t>生活污水排入移动卫生厕所，定期清掏，外运堆肥。施工期生活污水不会对</w:t>
      </w:r>
      <w:r>
        <w:rPr>
          <w:rFonts w:hint="eastAsia"/>
        </w:rPr>
        <w:t>地表水</w:t>
      </w:r>
      <w:r>
        <w:t>产生影响，对水环境的影响不大。</w:t>
      </w:r>
    </w:p>
    <w:p w14:paraId="7DC87A5D" w14:textId="77777777" w:rsidR="009D12AF" w:rsidRDefault="00000000">
      <w:pPr>
        <w:ind w:firstLineChars="236" w:firstLine="566"/>
      </w:pPr>
      <w:r>
        <w:t>2</w:t>
      </w:r>
      <w:r>
        <w:t>、</w:t>
      </w:r>
      <w:r>
        <w:rPr>
          <w:rFonts w:hint="eastAsia"/>
        </w:rPr>
        <w:t>施工机械设备冲洗废水</w:t>
      </w:r>
    </w:p>
    <w:p w14:paraId="0F0B407E" w14:textId="77777777" w:rsidR="009D12AF" w:rsidRDefault="00000000">
      <w:pPr>
        <w:widowControl/>
        <w:ind w:firstLine="480"/>
        <w:jc w:val="left"/>
      </w:pPr>
      <w:r>
        <w:rPr>
          <w:rFonts w:ascii="Times New Roman" w:eastAsia="宋体" w:hAnsi="Times New Roman" w:cs="Times New Roman" w:hint="eastAsia"/>
        </w:rPr>
        <w:lastRenderedPageBreak/>
        <w:t>施工机械设备日常保养、清洗过程中会产生冲洗废水。</w:t>
      </w:r>
      <w:r>
        <w:rPr>
          <w:rFonts w:ascii="Times New Roman" w:eastAsia="宋体" w:hAnsi="Times New Roman" w:cs="Times New Roman"/>
        </w:rPr>
        <w:t>施工机械设备冲洗废水收集后经隔油沉淀处理回用于施工场地洒水抑尘及施工设备冲洗，不外排。</w:t>
      </w:r>
      <w:r>
        <w:rPr>
          <w:rFonts w:ascii="宋体" w:eastAsia="宋体" w:hAnsi="宋体" w:cs="宋体" w:hint="eastAsia"/>
          <w:color w:val="000000"/>
          <w:kern w:val="0"/>
          <w:lang w:bidi="ar"/>
        </w:rPr>
        <w:t>项目冲洗废水不会对清淤水库产生影响，对周边地表水环境影响较小。</w:t>
      </w:r>
    </w:p>
    <w:p w14:paraId="3DB5DB3E" w14:textId="77777777" w:rsidR="009D12AF" w:rsidRDefault="00000000">
      <w:pPr>
        <w:ind w:firstLine="480"/>
      </w:pPr>
      <w:r>
        <w:rPr>
          <w:rFonts w:hint="eastAsia"/>
        </w:rPr>
        <w:t>3</w:t>
      </w:r>
      <w:r>
        <w:rPr>
          <w:rFonts w:hint="eastAsia"/>
        </w:rPr>
        <w:t>、挖泥船船底油污水</w:t>
      </w:r>
    </w:p>
    <w:p w14:paraId="04A8BF94"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挖泥船在运行过程中，机舱内各种阀件、轮机会滴漏出润滑油、燃油等油污，油污滴到船舱内形成含油废水沉积在舱底。含油废水中主要含有石油类物质，根据初步设计资料，浓度一般在</w:t>
      </w:r>
      <w:r>
        <w:rPr>
          <w:rFonts w:ascii="Times New Roman" w:eastAsia="宋体" w:hAnsi="Times New Roman" w:cs="Times New Roman" w:hint="eastAsia"/>
        </w:rPr>
        <w:t>200-3000mg/L</w:t>
      </w:r>
      <w:r>
        <w:rPr>
          <w:rFonts w:ascii="宋体" w:eastAsia="宋体" w:hAnsi="宋体" w:cs="宋体" w:hint="eastAsia"/>
          <w:color w:val="000000"/>
          <w:kern w:val="0"/>
          <w:lang w:bidi="ar"/>
        </w:rPr>
        <w:t>。挖泥船船底油污水由从事船舶污染物接收的单位接收处置。项目挖泥船船底油污水不会对清淤水库产生影响，对周边地表水环境影响较小。</w:t>
      </w:r>
    </w:p>
    <w:p w14:paraId="58CA5360" w14:textId="77777777" w:rsidR="009D12AF" w:rsidRDefault="00000000">
      <w:pPr>
        <w:ind w:leftChars="200" w:left="480" w:firstLineChars="0" w:firstLine="0"/>
      </w:pPr>
      <w:r>
        <w:rPr>
          <w:rFonts w:hint="eastAsia"/>
        </w:rPr>
        <w:t>4</w:t>
      </w:r>
      <w:r>
        <w:rPr>
          <w:rFonts w:hint="eastAsia"/>
        </w:rPr>
        <w:t>、清淤工程临时生产区渗滤水</w:t>
      </w:r>
    </w:p>
    <w:p w14:paraId="64ED7612" w14:textId="77777777" w:rsidR="009D12AF" w:rsidRDefault="00000000">
      <w:pPr>
        <w:ind w:firstLine="480"/>
      </w:pPr>
      <w:r>
        <w:rPr>
          <w:rFonts w:hint="eastAsia"/>
        </w:rPr>
        <w:t>渗滤水</w:t>
      </w:r>
      <w:r>
        <w:t>的主要污染物是</w:t>
      </w:r>
      <w:r>
        <w:t>SS</w:t>
      </w:r>
      <w:r>
        <w:t>、</w:t>
      </w:r>
      <w:r>
        <w:t>COD</w:t>
      </w:r>
      <w:r>
        <w:t>、</w:t>
      </w:r>
      <w:r>
        <w:t xml:space="preserve">TN </w:t>
      </w:r>
      <w:r>
        <w:t>和</w:t>
      </w:r>
      <w:r>
        <w:t>TP</w:t>
      </w:r>
      <w:r>
        <w:t>。余水在临时</w:t>
      </w:r>
      <w:r>
        <w:rPr>
          <w:rFonts w:hint="eastAsia"/>
        </w:rPr>
        <w:t>生产</w:t>
      </w:r>
      <w:r>
        <w:t>内经自然沉淀后进入余水沉淀池进行环保混凝沉淀处理，</w:t>
      </w:r>
      <w:r>
        <w:rPr>
          <w:rFonts w:hint="eastAsia"/>
        </w:rPr>
        <w:t>达到《污水综合排放标准》（</w:t>
      </w:r>
      <w:r>
        <w:rPr>
          <w:rFonts w:hint="eastAsia"/>
        </w:rPr>
        <w:t>GB8978-1996</w:t>
      </w:r>
      <w:r>
        <w:rPr>
          <w:rFonts w:hint="eastAsia"/>
        </w:rPr>
        <w:t>）一级标准，由牡丹江龙江环保水务有限公司定期拉运处理</w:t>
      </w:r>
      <w:r>
        <w:t>。</w:t>
      </w:r>
      <w:r>
        <w:t xml:space="preserve"> </w:t>
      </w:r>
    </w:p>
    <w:p w14:paraId="04D77579" w14:textId="77777777" w:rsidR="009D12AF" w:rsidRDefault="00000000">
      <w:pPr>
        <w:ind w:firstLine="480"/>
      </w:pPr>
      <w:r>
        <w:t>淤泥临时堆放在自然降雨及地表冲刷情况下，污染物会随径流下渗或侧渗，对地表水、地下水环境可能造成二次污染。淤泥中影响水质的主要污染物质为悬浮物、有机物，工程沿岸以农田和草地为主，没有工业废水排放，无重金属污染源，</w:t>
      </w:r>
      <w:r>
        <w:rPr>
          <w:rFonts w:hint="eastAsia"/>
        </w:rPr>
        <w:t>根据检测报告可知，清淤工程处底泥中各项污染物指标满足《土壤环境质量</w:t>
      </w:r>
      <w:r>
        <w:rPr>
          <w:rFonts w:hint="eastAsia"/>
        </w:rPr>
        <w:t xml:space="preserve"> </w:t>
      </w:r>
      <w:r>
        <w:rPr>
          <w:rFonts w:hint="eastAsia"/>
        </w:rPr>
        <w:t>农用地土壤污染风险管控标准（试行）（</w:t>
      </w:r>
      <w:r>
        <w:rPr>
          <w:rFonts w:hint="eastAsia"/>
        </w:rPr>
        <w:t>GB 15618-2018</w:t>
      </w:r>
      <w:r>
        <w:rPr>
          <w:rFonts w:hint="eastAsia"/>
        </w:rPr>
        <w:t>）》中表</w:t>
      </w:r>
      <w:r>
        <w:rPr>
          <w:rFonts w:hint="eastAsia"/>
        </w:rPr>
        <w:t>1</w:t>
      </w:r>
      <w:r>
        <w:rPr>
          <w:rFonts w:hint="eastAsia"/>
        </w:rPr>
        <w:t>农用地土壤污染风险筛选值要求。</w:t>
      </w:r>
    </w:p>
    <w:p w14:paraId="58C249C5" w14:textId="77777777" w:rsidR="009D12AF" w:rsidRDefault="00000000">
      <w:pPr>
        <w:ind w:firstLineChars="236" w:firstLine="566"/>
      </w:pPr>
      <w:r>
        <w:t>由于开挖淤泥含水量大，且</w:t>
      </w:r>
      <w:r>
        <w:rPr>
          <w:rFonts w:hint="eastAsia"/>
        </w:rPr>
        <w:t>向阳水电站前池位于</w:t>
      </w:r>
      <w:r>
        <w:rPr>
          <w:rFonts w:hint="eastAsia"/>
          <w:smallCaps/>
        </w:rPr>
        <w:t>海林市二水厂（改扩建）饮用水水源二级保护区</w:t>
      </w:r>
      <w:r>
        <w:t>，本次环评要求，在清理过程中，应加强</w:t>
      </w:r>
      <w:r>
        <w:rPr>
          <w:rFonts w:hint="eastAsia"/>
        </w:rPr>
        <w:t>湖库</w:t>
      </w:r>
      <w:r>
        <w:t>沿岸的施工人员管理，严禁向水体倾倒生活污水、抛弃生活垃圾或施工废料，选择符合国家标准的施工机械，按规定进行机械养护监督，不得在施工现场进行可能产生环境污染的维修和保养作业，严禁工作机械直接向水体排放含油污水。</w:t>
      </w:r>
    </w:p>
    <w:p w14:paraId="3094E7DA" w14:textId="77777777" w:rsidR="009D12AF" w:rsidRDefault="00000000">
      <w:pPr>
        <w:ind w:firstLineChars="236" w:firstLine="566"/>
      </w:pPr>
      <w:r>
        <w:rPr>
          <w:rFonts w:hint="eastAsia"/>
        </w:rPr>
        <w:t>4</w:t>
      </w:r>
      <w:r>
        <w:t>、</w:t>
      </w:r>
      <w:r>
        <w:rPr>
          <w:rFonts w:hint="eastAsia"/>
        </w:rPr>
        <w:t>清淤工程</w:t>
      </w:r>
      <w:r>
        <w:t>扰动对水质的影响分析</w:t>
      </w:r>
    </w:p>
    <w:p w14:paraId="5B8F7581"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清淤作业船只在清淤过程中会引起水体底部底泥搅动，会使局部区域的色度、浑浊度和悬浮物增高。参考文献《先觉庙水库清淤与水环境保护》（周彦洲，李华书，李吉涛 湖北文 理学院学报，</w:t>
      </w:r>
      <w:r>
        <w:rPr>
          <w:rFonts w:ascii="Times New Roman" w:eastAsia="宋体" w:hAnsi="Times New Roman" w:cs="Times New Roman"/>
          <w:color w:val="000000"/>
          <w:kern w:val="0"/>
          <w:lang w:bidi="ar"/>
        </w:rPr>
        <w:t>2012</w:t>
      </w:r>
      <w:r>
        <w:rPr>
          <w:rFonts w:ascii="宋体" w:eastAsia="宋体" w:hAnsi="宋体" w:cs="宋体" w:hint="eastAsia"/>
          <w:color w:val="000000"/>
          <w:kern w:val="0"/>
          <w:lang w:bidi="ar"/>
        </w:rPr>
        <w:t>）中结果，当清淤过程中水库清淤物被</w:t>
      </w:r>
      <w:r>
        <w:rPr>
          <w:rFonts w:ascii="宋体" w:eastAsia="宋体" w:hAnsi="宋体" w:cs="宋体" w:hint="eastAsia"/>
          <w:color w:val="000000"/>
          <w:kern w:val="0"/>
          <w:lang w:bidi="ar"/>
        </w:rPr>
        <w:lastRenderedPageBreak/>
        <w:t xml:space="preserve">搅动后，色度前 </w:t>
      </w:r>
      <w:r>
        <w:rPr>
          <w:rFonts w:ascii="Times New Roman" w:eastAsia="宋体" w:hAnsi="Times New Roman" w:cs="Times New Roman"/>
          <w:color w:val="000000"/>
          <w:kern w:val="0"/>
          <w:lang w:bidi="ar"/>
        </w:rPr>
        <w:t xml:space="preserve">5 </w:t>
      </w:r>
      <w:r>
        <w:rPr>
          <w:rFonts w:ascii="宋体" w:eastAsia="宋体" w:hAnsi="宋体" w:cs="宋体" w:hint="eastAsia"/>
          <w:color w:val="000000"/>
          <w:kern w:val="0"/>
          <w:lang w:bidi="ar"/>
        </w:rPr>
        <w:t>小时降低的速率 较快，</w:t>
      </w:r>
      <w:r>
        <w:rPr>
          <w:rFonts w:ascii="Times New Roman" w:eastAsia="宋体" w:hAnsi="Times New Roman" w:cs="Times New Roman"/>
          <w:color w:val="000000"/>
          <w:kern w:val="0"/>
          <w:lang w:bidi="ar"/>
        </w:rPr>
        <w:t xml:space="preserve">12 </w:t>
      </w:r>
      <w:r>
        <w:rPr>
          <w:rFonts w:ascii="宋体" w:eastAsia="宋体" w:hAnsi="宋体" w:cs="宋体" w:hint="eastAsia"/>
          <w:color w:val="000000"/>
          <w:kern w:val="0"/>
          <w:lang w:bidi="ar"/>
        </w:rPr>
        <w:t xml:space="preserve">小时可达到 </w:t>
      </w:r>
      <w:r>
        <w:rPr>
          <w:rFonts w:ascii="Times New Roman" w:eastAsia="宋体" w:hAnsi="Times New Roman" w:cs="Times New Roman"/>
          <w:color w:val="000000"/>
          <w:kern w:val="0"/>
          <w:lang w:bidi="ar"/>
        </w:rPr>
        <w:t xml:space="preserve">15 </w:t>
      </w:r>
      <w:r>
        <w:rPr>
          <w:rFonts w:ascii="宋体" w:eastAsia="宋体" w:hAnsi="宋体" w:cs="宋体" w:hint="eastAsia"/>
          <w:color w:val="000000"/>
          <w:kern w:val="0"/>
          <w:lang w:bidi="ar"/>
        </w:rPr>
        <w:t>度水平的基本要求，</w:t>
      </w:r>
      <w:r>
        <w:rPr>
          <w:rFonts w:ascii="Times New Roman" w:eastAsia="宋体" w:hAnsi="Times New Roman" w:cs="Times New Roman"/>
          <w:color w:val="000000"/>
          <w:kern w:val="0"/>
          <w:lang w:bidi="ar"/>
        </w:rPr>
        <w:t xml:space="preserve">48 </w:t>
      </w:r>
      <w:r>
        <w:rPr>
          <w:rFonts w:ascii="宋体" w:eastAsia="宋体" w:hAnsi="宋体" w:cs="宋体" w:hint="eastAsia"/>
          <w:color w:val="000000"/>
          <w:kern w:val="0"/>
          <w:lang w:bidi="ar"/>
        </w:rPr>
        <w:t xml:space="preserve">小时可恢复至天然状态；浑浊度前 </w:t>
      </w:r>
      <w:r>
        <w:rPr>
          <w:rFonts w:ascii="Times New Roman" w:eastAsia="宋体" w:hAnsi="Times New Roman" w:cs="Times New Roman"/>
          <w:color w:val="000000"/>
          <w:kern w:val="0"/>
          <w:lang w:bidi="ar"/>
        </w:rPr>
        <w:t xml:space="preserve">3~5 </w:t>
      </w:r>
      <w:r>
        <w:rPr>
          <w:rFonts w:ascii="宋体" w:eastAsia="宋体" w:hAnsi="宋体" w:cs="宋体" w:hint="eastAsia"/>
          <w:color w:val="000000"/>
          <w:kern w:val="0"/>
          <w:lang w:bidi="ar"/>
        </w:rPr>
        <w:t>小时 降低的速率较快，</w:t>
      </w:r>
      <w:r>
        <w:rPr>
          <w:rFonts w:ascii="Times New Roman" w:eastAsia="宋体" w:hAnsi="Times New Roman" w:cs="Times New Roman"/>
          <w:color w:val="000000"/>
          <w:kern w:val="0"/>
          <w:lang w:bidi="ar"/>
        </w:rPr>
        <w:t xml:space="preserve">48 </w:t>
      </w:r>
      <w:r>
        <w:rPr>
          <w:rFonts w:ascii="宋体" w:eastAsia="宋体" w:hAnsi="宋体" w:cs="宋体" w:hint="eastAsia"/>
          <w:color w:val="000000"/>
          <w:kern w:val="0"/>
          <w:lang w:bidi="ar"/>
        </w:rPr>
        <w:t>小时</w:t>
      </w:r>
      <w:r>
        <w:rPr>
          <w:rFonts w:ascii="Times New Roman" w:eastAsia="宋体" w:hAnsi="Times New Roman" w:cs="Times New Roman"/>
          <w:color w:val="000000"/>
          <w:kern w:val="0"/>
          <w:lang w:bidi="ar"/>
        </w:rPr>
        <w:t xml:space="preserve">~72 </w:t>
      </w:r>
      <w:r>
        <w:rPr>
          <w:rFonts w:ascii="宋体" w:eastAsia="宋体" w:hAnsi="宋体" w:cs="宋体" w:hint="eastAsia"/>
          <w:color w:val="000000"/>
          <w:kern w:val="0"/>
          <w:lang w:bidi="ar"/>
        </w:rPr>
        <w:t xml:space="preserve">小时可达到 </w:t>
      </w:r>
      <w:r>
        <w:rPr>
          <w:rFonts w:ascii="Times New Roman" w:eastAsia="宋体" w:hAnsi="Times New Roman" w:cs="Times New Roman"/>
          <w:color w:val="000000"/>
          <w:kern w:val="0"/>
          <w:lang w:bidi="ar"/>
        </w:rPr>
        <w:t xml:space="preserve">1 </w:t>
      </w:r>
      <w:r>
        <w:rPr>
          <w:rFonts w:ascii="宋体" w:eastAsia="宋体" w:hAnsi="宋体" w:cs="宋体" w:hint="eastAsia"/>
          <w:color w:val="000000"/>
          <w:kern w:val="0"/>
          <w:lang w:bidi="ar"/>
        </w:rPr>
        <w:t>度水质的基本要求，</w:t>
      </w:r>
      <w:r>
        <w:rPr>
          <w:rFonts w:ascii="Times New Roman" w:eastAsia="宋体" w:hAnsi="Times New Roman" w:cs="Times New Roman"/>
          <w:color w:val="000000"/>
          <w:kern w:val="0"/>
          <w:lang w:bidi="ar"/>
        </w:rPr>
        <w:t xml:space="preserve">72 </w:t>
      </w:r>
      <w:r>
        <w:rPr>
          <w:rFonts w:ascii="宋体" w:eastAsia="宋体" w:hAnsi="宋体" w:cs="宋体" w:hint="eastAsia"/>
          <w:color w:val="000000"/>
          <w:kern w:val="0"/>
          <w:lang w:bidi="ar"/>
        </w:rPr>
        <w:t xml:space="preserve">小时以上恢复至天然状态；悬浮物粒径大于 </w:t>
      </w:r>
      <w:r>
        <w:rPr>
          <w:rFonts w:ascii="Times New Roman" w:eastAsia="宋体" w:hAnsi="Times New Roman" w:cs="Times New Roman"/>
          <w:color w:val="000000"/>
          <w:kern w:val="0"/>
          <w:lang w:bidi="ar"/>
        </w:rPr>
        <w:t xml:space="preserve">0.5mm </w:t>
      </w:r>
      <w:r>
        <w:rPr>
          <w:rFonts w:ascii="宋体" w:eastAsia="宋体" w:hAnsi="宋体" w:cs="宋体" w:hint="eastAsia"/>
          <w:color w:val="000000"/>
          <w:kern w:val="0"/>
          <w:lang w:bidi="ar"/>
        </w:rPr>
        <w:t xml:space="preserve">悬浮物在 </w:t>
      </w:r>
      <w:r>
        <w:rPr>
          <w:rFonts w:ascii="Times New Roman" w:eastAsia="宋体" w:hAnsi="Times New Roman" w:cs="Times New Roman"/>
          <w:color w:val="000000"/>
          <w:kern w:val="0"/>
          <w:lang w:bidi="ar"/>
        </w:rPr>
        <w:t xml:space="preserve">1~3 </w:t>
      </w:r>
      <w:r>
        <w:rPr>
          <w:rFonts w:ascii="宋体" w:eastAsia="宋体" w:hAnsi="宋体" w:cs="宋体" w:hint="eastAsia"/>
          <w:color w:val="000000"/>
          <w:kern w:val="0"/>
          <w:lang w:bidi="ar"/>
        </w:rPr>
        <w:t>小时内均可沉积在库底，较小粒径的悬浮物沉降速度慢。</w:t>
      </w:r>
    </w:p>
    <w:p w14:paraId="299BB181" w14:textId="77777777" w:rsidR="009D12AF" w:rsidRDefault="00000000">
      <w:pPr>
        <w:widowControl/>
        <w:ind w:firstLine="480"/>
        <w:jc w:val="left"/>
      </w:pPr>
      <w:r>
        <w:rPr>
          <w:rFonts w:ascii="宋体" w:eastAsia="宋体" w:hAnsi="宋体" w:cs="宋体" w:hint="eastAsia"/>
          <w:color w:val="000000"/>
          <w:kern w:val="0"/>
          <w:lang w:bidi="ar"/>
        </w:rPr>
        <w:t>湖泊清淤疏浚施工过程中对水体进行扰动，造成泥沙悬浮和氮、磷释放。疏浚过程中随着流速的增加，由于水流紊动作用不断加强，床面局部有小块淤泥被充起，淤泥呈散粒状翻滚，同时摩擦创面而使其它地方底泥起动悬浮；当流速大到一定程度时，水流底层紊动更加剧烈，漩涡不断掀起淤泥，床面受到较大破坏。破坏首先源于局部，随后蔓延至周边，淤泥被成层、成片掀起，水流在极短时间内变得浑浊，沉积物氮、磷释放速率迅速提升，底泥中的营养物质被释放。泥沙悬浮后，如果外界扰动消失，便会自身重力作用下沉降。沉降速率取决于泥沙粒径、含量、水环境化学特征等诸多因素。随着泥沙沉淀，动力引起的悬浮氮磷释放消失；表层淤泥被清除，使新生沉积界面暴露，原有沉积物</w:t>
      </w:r>
      <w:r>
        <w:rPr>
          <w:rFonts w:ascii="Times New Roman" w:eastAsia="宋体" w:hAnsi="Times New Roman" w:cs="Times New Roman"/>
          <w:color w:val="000000"/>
          <w:kern w:val="0"/>
          <w:lang w:bidi="ar"/>
        </w:rPr>
        <w:t>-</w:t>
      </w:r>
      <w:r>
        <w:rPr>
          <w:rFonts w:ascii="宋体" w:eastAsia="宋体" w:hAnsi="宋体" w:cs="宋体" w:hint="eastAsia"/>
          <w:color w:val="000000"/>
          <w:kern w:val="0"/>
          <w:lang w:bidi="ar"/>
        </w:rPr>
        <w:t>水界面氮、磷吸附</w:t>
      </w:r>
      <w:r>
        <w:rPr>
          <w:rFonts w:ascii="Times New Roman" w:eastAsia="宋体" w:hAnsi="Times New Roman" w:cs="Times New Roman"/>
          <w:color w:val="000000"/>
          <w:kern w:val="0"/>
          <w:lang w:bidi="ar"/>
        </w:rPr>
        <w:t>-</w:t>
      </w:r>
      <w:r>
        <w:rPr>
          <w:rFonts w:ascii="宋体" w:eastAsia="宋体" w:hAnsi="宋体" w:cs="宋体" w:hint="eastAsia"/>
          <w:color w:val="000000"/>
          <w:kern w:val="0"/>
          <w:lang w:bidi="ar"/>
        </w:rPr>
        <w:t>解吸平衡向吸附一端倾斜，沉积物氮磷释放强度将会减少。</w:t>
      </w:r>
    </w:p>
    <w:p w14:paraId="54F55AF5" w14:textId="77777777" w:rsidR="009D12AF" w:rsidRDefault="00000000">
      <w:pPr>
        <w:widowControl/>
        <w:ind w:firstLine="480"/>
        <w:jc w:val="left"/>
      </w:pPr>
      <w:r>
        <w:rPr>
          <w:rFonts w:ascii="宋体" w:eastAsia="宋体" w:hAnsi="宋体" w:cs="宋体" w:hint="eastAsia"/>
          <w:color w:val="000000"/>
          <w:kern w:val="0"/>
          <w:lang w:bidi="ar"/>
        </w:rPr>
        <w:t xml:space="preserve">为了解清淤作业过程中水体影响程度，本次评价参考文献《对河口水库清淤施工工艺及扰动源强分析》（罗建良，颜开宇 浙江水利科技 </w:t>
      </w:r>
      <w:r>
        <w:rPr>
          <w:rFonts w:ascii="Times New Roman" w:eastAsia="宋体" w:hAnsi="Times New Roman" w:cs="Times New Roman"/>
          <w:color w:val="000000"/>
          <w:kern w:val="0"/>
          <w:lang w:bidi="ar"/>
        </w:rPr>
        <w:t>2011,(02)</w:t>
      </w:r>
      <w:r>
        <w:rPr>
          <w:rFonts w:ascii="宋体" w:eastAsia="宋体" w:hAnsi="宋体" w:cs="宋体" w:hint="eastAsia"/>
          <w:color w:val="000000"/>
          <w:kern w:val="0"/>
          <w:lang w:bidi="ar"/>
        </w:rPr>
        <w:t xml:space="preserve">），类比对河口水库清淤过程中水库水体的影响。 </w:t>
      </w:r>
    </w:p>
    <w:p w14:paraId="63AF5293" w14:textId="77777777" w:rsidR="009D12AF" w:rsidRDefault="00000000">
      <w:pPr>
        <w:widowControl/>
        <w:ind w:firstLine="480"/>
        <w:jc w:val="left"/>
      </w:pPr>
      <w:r>
        <w:rPr>
          <w:rFonts w:ascii="宋体" w:eastAsia="宋体" w:hAnsi="宋体" w:cs="宋体" w:hint="eastAsia"/>
          <w:color w:val="000000"/>
          <w:kern w:val="0"/>
          <w:lang w:bidi="ar"/>
        </w:rPr>
        <w:t>对河口水库清淤工程采用链斗式清淤船，通过链斗将水下泥、沙挖至清淤船上。在疏浚作业中，将斗桥的下端放入水下一定深度，使之与疏浚土层相接触，然后，在斗桥上端的上导轮驱动下，使斗链连续运转，通过斗链的转动沿斗桥提升出水面，并传送至上端的斗塔顶部，经过上导轮而改变方向户，斗内的泥沙咋自身的重力作用下，从泥斗倒入斗塔中的泥井，最后，倒入泥井的疏浚泥沙经过两边的溜泥槽排入泥驳船，由半封闭自航泥驳船运输至库岸码头。链斗式挖泥船构造详见下图。</w:t>
      </w:r>
    </w:p>
    <w:p w14:paraId="57FFCEFB" w14:textId="77777777" w:rsidR="009D12AF" w:rsidRDefault="00000000">
      <w:pPr>
        <w:ind w:firstLineChars="0" w:firstLine="0"/>
      </w:pPr>
      <w:r>
        <w:rPr>
          <w:noProof/>
        </w:rPr>
        <w:lastRenderedPageBreak/>
        <w:drawing>
          <wp:inline distT="0" distB="0" distL="114300" distR="114300" wp14:anchorId="671FFEC6" wp14:editId="517DF308">
            <wp:extent cx="5269865" cy="3344545"/>
            <wp:effectExtent l="0" t="0" r="6985" b="8255"/>
            <wp:docPr id="7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3"/>
                    <pic:cNvPicPr>
                      <a:picLocks noChangeAspect="1"/>
                    </pic:cNvPicPr>
                  </pic:nvPicPr>
                  <pic:blipFill>
                    <a:blip r:embed="rId241"/>
                    <a:stretch>
                      <a:fillRect/>
                    </a:stretch>
                  </pic:blipFill>
                  <pic:spPr>
                    <a:xfrm>
                      <a:off x="0" y="0"/>
                      <a:ext cx="5269865" cy="3344545"/>
                    </a:xfrm>
                    <a:prstGeom prst="rect">
                      <a:avLst/>
                    </a:prstGeom>
                    <a:noFill/>
                    <a:ln>
                      <a:noFill/>
                    </a:ln>
                  </pic:spPr>
                </pic:pic>
              </a:graphicData>
            </a:graphic>
          </wp:inline>
        </w:drawing>
      </w:r>
    </w:p>
    <w:p w14:paraId="0BB45D83" w14:textId="77777777" w:rsidR="009D12AF" w:rsidRDefault="00000000">
      <w:pPr>
        <w:ind w:firstLine="482"/>
        <w:jc w:val="center"/>
        <w:rPr>
          <w:b/>
          <w:bCs/>
        </w:rPr>
      </w:pPr>
      <w:r>
        <w:rPr>
          <w:rFonts w:hint="eastAsia"/>
          <w:b/>
          <w:bCs/>
        </w:rPr>
        <w:t>图</w:t>
      </w:r>
      <w:r>
        <w:rPr>
          <w:rFonts w:hint="eastAsia"/>
          <w:b/>
          <w:bCs/>
        </w:rPr>
        <w:t>5.1-1</w:t>
      </w:r>
      <w:r>
        <w:rPr>
          <w:rFonts w:hint="eastAsia"/>
          <w:b/>
          <w:bCs/>
        </w:rPr>
        <w:t>链斗式挖泥船示意图</w:t>
      </w:r>
    </w:p>
    <w:p w14:paraId="21741467" w14:textId="77777777" w:rsidR="009D12AF" w:rsidRDefault="00000000">
      <w:pPr>
        <w:ind w:firstLine="480"/>
      </w:pPr>
      <w:r>
        <w:t>试挖期间施工区域水质监测情况见下表。</w:t>
      </w:r>
    </w:p>
    <w:p w14:paraId="7D3F7487" w14:textId="77777777" w:rsidR="009D12AF" w:rsidRDefault="00000000">
      <w:pPr>
        <w:ind w:firstLine="482"/>
        <w:jc w:val="center"/>
        <w:rPr>
          <w:b/>
          <w:bCs/>
        </w:rPr>
      </w:pPr>
      <w:r>
        <w:rPr>
          <w:rFonts w:hint="eastAsia"/>
          <w:b/>
          <w:bCs/>
        </w:rPr>
        <w:t>表</w:t>
      </w:r>
      <w:r>
        <w:rPr>
          <w:rFonts w:hint="eastAsia"/>
          <w:b/>
          <w:bCs/>
        </w:rPr>
        <w:t xml:space="preserve">5.1-3 </w:t>
      </w:r>
      <w:r>
        <w:rPr>
          <w:rFonts w:hint="eastAsia"/>
          <w:b/>
          <w:bCs/>
        </w:rPr>
        <w:t>作业期间水质监测结果一览表</w:t>
      </w:r>
    </w:p>
    <w:tbl>
      <w:tblPr>
        <w:tblStyle w:val="ae"/>
        <w:tblW w:w="0" w:type="auto"/>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2748"/>
        <w:gridCol w:w="927"/>
        <w:gridCol w:w="859"/>
        <w:gridCol w:w="668"/>
        <w:gridCol w:w="832"/>
        <w:gridCol w:w="736"/>
        <w:gridCol w:w="1023"/>
        <w:gridCol w:w="729"/>
      </w:tblGrid>
      <w:tr w:rsidR="009D12AF" w14:paraId="17157516" w14:textId="77777777">
        <w:tc>
          <w:tcPr>
            <w:tcW w:w="2748" w:type="dxa"/>
            <w:tcBorders>
              <w:tl2br w:val="nil"/>
              <w:tr2bl w:val="nil"/>
            </w:tcBorders>
            <w:vAlign w:val="center"/>
          </w:tcPr>
          <w:p w14:paraId="06665954" w14:textId="77777777" w:rsidR="009D12AF" w:rsidRDefault="00000000">
            <w:pPr>
              <w:spacing w:line="240" w:lineRule="auto"/>
              <w:ind w:firstLineChars="0" w:firstLine="0"/>
              <w:jc w:val="center"/>
              <w:rPr>
                <w:sz w:val="21"/>
              </w:rPr>
            </w:pPr>
            <w:r>
              <w:rPr>
                <w:rFonts w:hint="eastAsia"/>
                <w:sz w:val="21"/>
              </w:rPr>
              <w:t>采样点</w:t>
            </w:r>
          </w:p>
        </w:tc>
        <w:tc>
          <w:tcPr>
            <w:tcW w:w="927" w:type="dxa"/>
            <w:tcBorders>
              <w:tl2br w:val="nil"/>
              <w:tr2bl w:val="nil"/>
            </w:tcBorders>
            <w:vAlign w:val="center"/>
          </w:tcPr>
          <w:p w14:paraId="1F7DAFC7" w14:textId="77777777" w:rsidR="009D12AF" w:rsidRDefault="00000000">
            <w:pPr>
              <w:spacing w:line="240" w:lineRule="auto"/>
              <w:ind w:firstLineChars="0" w:firstLine="0"/>
              <w:jc w:val="center"/>
              <w:rPr>
                <w:sz w:val="21"/>
              </w:rPr>
            </w:pPr>
            <w:r>
              <w:rPr>
                <w:rFonts w:hint="eastAsia"/>
                <w:sz w:val="21"/>
              </w:rPr>
              <w:t>悬浮物</w:t>
            </w:r>
            <w:r>
              <w:rPr>
                <w:rFonts w:hint="eastAsia"/>
                <w:sz w:val="21"/>
              </w:rPr>
              <w:t>mg/L</w:t>
            </w:r>
          </w:p>
        </w:tc>
        <w:tc>
          <w:tcPr>
            <w:tcW w:w="859" w:type="dxa"/>
            <w:tcBorders>
              <w:tl2br w:val="nil"/>
              <w:tr2bl w:val="nil"/>
            </w:tcBorders>
            <w:vAlign w:val="center"/>
          </w:tcPr>
          <w:p w14:paraId="33CD2AFA" w14:textId="77777777" w:rsidR="009D12AF" w:rsidRDefault="00000000">
            <w:pPr>
              <w:spacing w:line="240" w:lineRule="auto"/>
              <w:ind w:firstLineChars="0" w:firstLine="0"/>
              <w:jc w:val="center"/>
              <w:rPr>
                <w:sz w:val="21"/>
              </w:rPr>
            </w:pPr>
            <w:r>
              <w:rPr>
                <w:rFonts w:hint="eastAsia"/>
                <w:sz w:val="21"/>
              </w:rPr>
              <w:t>总磷</w:t>
            </w:r>
            <w:r>
              <w:rPr>
                <w:rFonts w:hint="eastAsia"/>
                <w:sz w:val="21"/>
              </w:rPr>
              <w:t>mg/L</w:t>
            </w:r>
          </w:p>
        </w:tc>
        <w:tc>
          <w:tcPr>
            <w:tcW w:w="668" w:type="dxa"/>
            <w:tcBorders>
              <w:tl2br w:val="nil"/>
              <w:tr2bl w:val="nil"/>
            </w:tcBorders>
            <w:vAlign w:val="center"/>
          </w:tcPr>
          <w:p w14:paraId="60F68FCF" w14:textId="77777777" w:rsidR="009D12AF" w:rsidRDefault="00000000">
            <w:pPr>
              <w:spacing w:line="240" w:lineRule="auto"/>
              <w:ind w:firstLineChars="0" w:firstLine="0"/>
              <w:jc w:val="center"/>
              <w:rPr>
                <w:sz w:val="21"/>
              </w:rPr>
            </w:pPr>
            <w:r>
              <w:rPr>
                <w:rFonts w:hint="eastAsia"/>
                <w:sz w:val="21"/>
              </w:rPr>
              <w:t>总氮</w:t>
            </w:r>
            <w:r>
              <w:rPr>
                <w:rFonts w:hint="eastAsia"/>
                <w:sz w:val="21"/>
              </w:rPr>
              <w:t>mg/L</w:t>
            </w:r>
          </w:p>
        </w:tc>
        <w:tc>
          <w:tcPr>
            <w:tcW w:w="832" w:type="dxa"/>
            <w:tcBorders>
              <w:tl2br w:val="nil"/>
              <w:tr2bl w:val="nil"/>
            </w:tcBorders>
            <w:vAlign w:val="center"/>
          </w:tcPr>
          <w:p w14:paraId="6DF7F3FA" w14:textId="77777777" w:rsidR="009D12AF" w:rsidRDefault="00000000">
            <w:pPr>
              <w:spacing w:line="240" w:lineRule="auto"/>
              <w:ind w:firstLineChars="0" w:firstLine="0"/>
              <w:jc w:val="center"/>
              <w:rPr>
                <w:sz w:val="21"/>
              </w:rPr>
            </w:pPr>
            <w:r>
              <w:rPr>
                <w:rFonts w:hint="eastAsia"/>
                <w:sz w:val="21"/>
              </w:rPr>
              <w:t>镉</w:t>
            </w:r>
            <w:r>
              <w:rPr>
                <w:sz w:val="21"/>
              </w:rPr>
              <w:t>μg/kg</w:t>
            </w:r>
          </w:p>
        </w:tc>
        <w:tc>
          <w:tcPr>
            <w:tcW w:w="736" w:type="dxa"/>
            <w:tcBorders>
              <w:tl2br w:val="nil"/>
              <w:tr2bl w:val="nil"/>
            </w:tcBorders>
            <w:vAlign w:val="center"/>
          </w:tcPr>
          <w:p w14:paraId="5C57C0B8" w14:textId="77777777" w:rsidR="009D12AF" w:rsidRDefault="00000000">
            <w:pPr>
              <w:spacing w:line="240" w:lineRule="auto"/>
              <w:ind w:firstLineChars="0" w:firstLine="0"/>
              <w:jc w:val="center"/>
              <w:rPr>
                <w:sz w:val="21"/>
              </w:rPr>
            </w:pPr>
            <w:r>
              <w:rPr>
                <w:rFonts w:hint="eastAsia"/>
                <w:sz w:val="21"/>
              </w:rPr>
              <w:t>汞</w:t>
            </w:r>
            <w:r>
              <w:rPr>
                <w:sz w:val="21"/>
              </w:rPr>
              <w:t>μg/kg</w:t>
            </w:r>
          </w:p>
        </w:tc>
        <w:tc>
          <w:tcPr>
            <w:tcW w:w="1023" w:type="dxa"/>
            <w:tcBorders>
              <w:tl2br w:val="nil"/>
              <w:tr2bl w:val="nil"/>
            </w:tcBorders>
            <w:vAlign w:val="center"/>
          </w:tcPr>
          <w:p w14:paraId="2D893946" w14:textId="77777777" w:rsidR="009D12AF" w:rsidRDefault="00000000">
            <w:pPr>
              <w:spacing w:line="240" w:lineRule="auto"/>
              <w:ind w:firstLineChars="0" w:firstLine="0"/>
              <w:jc w:val="center"/>
              <w:rPr>
                <w:sz w:val="21"/>
              </w:rPr>
            </w:pPr>
            <w:r>
              <w:rPr>
                <w:rFonts w:hint="eastAsia"/>
                <w:sz w:val="21"/>
              </w:rPr>
              <w:t>锌</w:t>
            </w:r>
          </w:p>
          <w:p w14:paraId="0466F186" w14:textId="77777777" w:rsidR="009D12AF" w:rsidRDefault="00000000">
            <w:pPr>
              <w:spacing w:line="240" w:lineRule="auto"/>
              <w:ind w:firstLineChars="0" w:firstLine="0"/>
              <w:jc w:val="center"/>
              <w:rPr>
                <w:sz w:val="21"/>
              </w:rPr>
            </w:pPr>
            <w:r>
              <w:rPr>
                <w:rFonts w:hint="eastAsia"/>
                <w:sz w:val="21"/>
              </w:rPr>
              <w:t>m</w:t>
            </w:r>
            <w:r>
              <w:rPr>
                <w:sz w:val="21"/>
              </w:rPr>
              <w:t>g/</w:t>
            </w:r>
            <w:r>
              <w:rPr>
                <w:rFonts w:hint="eastAsia"/>
                <w:sz w:val="21"/>
              </w:rPr>
              <w:t>L</w:t>
            </w:r>
          </w:p>
        </w:tc>
        <w:tc>
          <w:tcPr>
            <w:tcW w:w="729" w:type="dxa"/>
            <w:tcBorders>
              <w:tl2br w:val="nil"/>
              <w:tr2bl w:val="nil"/>
            </w:tcBorders>
            <w:vAlign w:val="center"/>
          </w:tcPr>
          <w:p w14:paraId="7C4C52E7" w14:textId="77777777" w:rsidR="009D12AF" w:rsidRDefault="00000000">
            <w:pPr>
              <w:spacing w:line="240" w:lineRule="auto"/>
              <w:ind w:firstLineChars="0" w:firstLine="0"/>
              <w:jc w:val="center"/>
              <w:rPr>
                <w:sz w:val="21"/>
              </w:rPr>
            </w:pPr>
            <w:r>
              <w:rPr>
                <w:rFonts w:hint="eastAsia"/>
                <w:sz w:val="21"/>
              </w:rPr>
              <w:t>石油类</w:t>
            </w:r>
            <w:r>
              <w:rPr>
                <w:rFonts w:hint="eastAsia"/>
                <w:sz w:val="21"/>
              </w:rPr>
              <w:t>m</w:t>
            </w:r>
            <w:r>
              <w:rPr>
                <w:sz w:val="21"/>
              </w:rPr>
              <w:t>g/</w:t>
            </w:r>
            <w:r>
              <w:rPr>
                <w:rFonts w:hint="eastAsia"/>
                <w:sz w:val="21"/>
              </w:rPr>
              <w:t>L</w:t>
            </w:r>
          </w:p>
        </w:tc>
      </w:tr>
      <w:tr w:rsidR="009D12AF" w14:paraId="009DC245" w14:textId="77777777">
        <w:tc>
          <w:tcPr>
            <w:tcW w:w="2748" w:type="dxa"/>
            <w:tcBorders>
              <w:tl2br w:val="nil"/>
              <w:tr2bl w:val="nil"/>
            </w:tcBorders>
            <w:vAlign w:val="center"/>
          </w:tcPr>
          <w:p w14:paraId="2D398890" w14:textId="77777777" w:rsidR="009D12AF" w:rsidRDefault="00000000">
            <w:pPr>
              <w:spacing w:line="240" w:lineRule="auto"/>
              <w:ind w:firstLineChars="0" w:firstLine="0"/>
              <w:jc w:val="center"/>
              <w:rPr>
                <w:sz w:val="21"/>
              </w:rPr>
            </w:pPr>
            <w:r>
              <w:rPr>
                <w:rFonts w:hint="eastAsia"/>
                <w:sz w:val="21"/>
              </w:rPr>
              <w:t>挖泥斗</w:t>
            </w:r>
            <w:r>
              <w:rPr>
                <w:rFonts w:hint="eastAsia"/>
                <w:sz w:val="21"/>
              </w:rPr>
              <w:t>1m</w:t>
            </w:r>
            <w:r>
              <w:rPr>
                <w:rFonts w:hint="eastAsia"/>
                <w:sz w:val="21"/>
              </w:rPr>
              <w:t>处</w:t>
            </w:r>
            <w:r>
              <w:rPr>
                <w:rFonts w:hint="eastAsia"/>
                <w:sz w:val="21"/>
              </w:rPr>
              <w:t>3m</w:t>
            </w:r>
            <w:r>
              <w:rPr>
                <w:rFonts w:hint="eastAsia"/>
                <w:sz w:val="21"/>
              </w:rPr>
              <w:t>深</w:t>
            </w:r>
          </w:p>
        </w:tc>
        <w:tc>
          <w:tcPr>
            <w:tcW w:w="927" w:type="dxa"/>
            <w:tcBorders>
              <w:tl2br w:val="nil"/>
              <w:tr2bl w:val="nil"/>
            </w:tcBorders>
            <w:vAlign w:val="center"/>
          </w:tcPr>
          <w:p w14:paraId="1338BF4D" w14:textId="77777777" w:rsidR="009D12AF" w:rsidRDefault="00000000">
            <w:pPr>
              <w:spacing w:line="240" w:lineRule="auto"/>
              <w:ind w:firstLineChars="0" w:firstLine="0"/>
              <w:jc w:val="center"/>
              <w:rPr>
                <w:sz w:val="21"/>
              </w:rPr>
            </w:pPr>
            <w:r>
              <w:rPr>
                <w:rFonts w:hint="eastAsia"/>
                <w:sz w:val="21"/>
              </w:rPr>
              <w:t>26</w:t>
            </w:r>
          </w:p>
        </w:tc>
        <w:tc>
          <w:tcPr>
            <w:tcW w:w="859" w:type="dxa"/>
            <w:tcBorders>
              <w:tl2br w:val="nil"/>
              <w:tr2bl w:val="nil"/>
            </w:tcBorders>
            <w:vAlign w:val="center"/>
          </w:tcPr>
          <w:p w14:paraId="030FAF4A" w14:textId="77777777" w:rsidR="009D12AF" w:rsidRDefault="00000000">
            <w:pPr>
              <w:spacing w:line="240" w:lineRule="auto"/>
              <w:ind w:firstLineChars="0" w:firstLine="0"/>
              <w:jc w:val="center"/>
              <w:rPr>
                <w:sz w:val="21"/>
              </w:rPr>
            </w:pPr>
            <w:r>
              <w:rPr>
                <w:rFonts w:hint="eastAsia"/>
                <w:sz w:val="21"/>
              </w:rPr>
              <w:t>0.032</w:t>
            </w:r>
          </w:p>
        </w:tc>
        <w:tc>
          <w:tcPr>
            <w:tcW w:w="668" w:type="dxa"/>
            <w:tcBorders>
              <w:tl2br w:val="nil"/>
              <w:tr2bl w:val="nil"/>
            </w:tcBorders>
            <w:vAlign w:val="center"/>
          </w:tcPr>
          <w:p w14:paraId="0BC453D9" w14:textId="77777777" w:rsidR="009D12AF" w:rsidRDefault="00000000">
            <w:pPr>
              <w:spacing w:line="240" w:lineRule="auto"/>
              <w:ind w:firstLineChars="0" w:firstLine="0"/>
              <w:jc w:val="center"/>
              <w:rPr>
                <w:sz w:val="21"/>
              </w:rPr>
            </w:pPr>
            <w:r>
              <w:rPr>
                <w:rFonts w:hint="eastAsia"/>
                <w:sz w:val="21"/>
              </w:rPr>
              <w:t>1.29</w:t>
            </w:r>
          </w:p>
        </w:tc>
        <w:tc>
          <w:tcPr>
            <w:tcW w:w="832" w:type="dxa"/>
            <w:tcBorders>
              <w:tl2br w:val="nil"/>
              <w:tr2bl w:val="nil"/>
            </w:tcBorders>
            <w:vAlign w:val="center"/>
          </w:tcPr>
          <w:p w14:paraId="05D15486"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4AA454FD"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1D5D40F6"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1D91E227"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40F773AF" w14:textId="77777777">
        <w:tc>
          <w:tcPr>
            <w:tcW w:w="2748" w:type="dxa"/>
            <w:tcBorders>
              <w:tl2br w:val="nil"/>
              <w:tr2bl w:val="nil"/>
            </w:tcBorders>
            <w:vAlign w:val="center"/>
          </w:tcPr>
          <w:p w14:paraId="3F328B36" w14:textId="77777777" w:rsidR="009D12AF" w:rsidRDefault="00000000">
            <w:pPr>
              <w:spacing w:line="240" w:lineRule="auto"/>
              <w:ind w:firstLineChars="0" w:firstLine="0"/>
              <w:jc w:val="center"/>
              <w:rPr>
                <w:sz w:val="21"/>
              </w:rPr>
            </w:pPr>
            <w:r>
              <w:rPr>
                <w:rFonts w:hint="eastAsia"/>
                <w:sz w:val="21"/>
              </w:rPr>
              <w:t>挖泥斗</w:t>
            </w:r>
            <w:r>
              <w:rPr>
                <w:rFonts w:hint="eastAsia"/>
                <w:sz w:val="21"/>
              </w:rPr>
              <w:t>1m</w:t>
            </w:r>
            <w:r>
              <w:rPr>
                <w:rFonts w:hint="eastAsia"/>
                <w:sz w:val="21"/>
              </w:rPr>
              <w:t>处</w:t>
            </w:r>
            <w:r>
              <w:rPr>
                <w:rFonts w:hint="eastAsia"/>
                <w:sz w:val="21"/>
              </w:rPr>
              <w:t>3m</w:t>
            </w:r>
            <w:r>
              <w:rPr>
                <w:rFonts w:hint="eastAsia"/>
                <w:sz w:val="21"/>
              </w:rPr>
              <w:t>深</w:t>
            </w:r>
          </w:p>
        </w:tc>
        <w:tc>
          <w:tcPr>
            <w:tcW w:w="927" w:type="dxa"/>
            <w:tcBorders>
              <w:tl2br w:val="nil"/>
              <w:tr2bl w:val="nil"/>
            </w:tcBorders>
            <w:vAlign w:val="center"/>
          </w:tcPr>
          <w:p w14:paraId="11136EAA" w14:textId="77777777" w:rsidR="009D12AF" w:rsidRDefault="00000000">
            <w:pPr>
              <w:spacing w:line="240" w:lineRule="auto"/>
              <w:ind w:firstLineChars="0" w:firstLine="0"/>
              <w:jc w:val="center"/>
              <w:rPr>
                <w:sz w:val="21"/>
              </w:rPr>
            </w:pPr>
            <w:r>
              <w:rPr>
                <w:rFonts w:hint="eastAsia"/>
                <w:sz w:val="21"/>
              </w:rPr>
              <w:t>18</w:t>
            </w:r>
          </w:p>
        </w:tc>
        <w:tc>
          <w:tcPr>
            <w:tcW w:w="859" w:type="dxa"/>
            <w:tcBorders>
              <w:tl2br w:val="nil"/>
              <w:tr2bl w:val="nil"/>
            </w:tcBorders>
            <w:vAlign w:val="center"/>
          </w:tcPr>
          <w:p w14:paraId="318918BF" w14:textId="77777777" w:rsidR="009D12AF" w:rsidRDefault="00000000">
            <w:pPr>
              <w:spacing w:line="240" w:lineRule="auto"/>
              <w:ind w:firstLineChars="0" w:firstLine="0"/>
              <w:jc w:val="center"/>
              <w:rPr>
                <w:sz w:val="21"/>
              </w:rPr>
            </w:pPr>
            <w:r>
              <w:rPr>
                <w:rFonts w:hint="eastAsia"/>
                <w:sz w:val="21"/>
              </w:rPr>
              <w:t>0.034</w:t>
            </w:r>
          </w:p>
        </w:tc>
        <w:tc>
          <w:tcPr>
            <w:tcW w:w="668" w:type="dxa"/>
            <w:tcBorders>
              <w:tl2br w:val="nil"/>
              <w:tr2bl w:val="nil"/>
            </w:tcBorders>
            <w:vAlign w:val="center"/>
          </w:tcPr>
          <w:p w14:paraId="73871892" w14:textId="77777777" w:rsidR="009D12AF" w:rsidRDefault="00000000">
            <w:pPr>
              <w:spacing w:line="240" w:lineRule="auto"/>
              <w:ind w:firstLineChars="0" w:firstLine="0"/>
              <w:jc w:val="center"/>
              <w:rPr>
                <w:sz w:val="21"/>
              </w:rPr>
            </w:pPr>
            <w:r>
              <w:rPr>
                <w:rFonts w:hint="eastAsia"/>
                <w:sz w:val="21"/>
              </w:rPr>
              <w:t>1.29</w:t>
            </w:r>
          </w:p>
        </w:tc>
        <w:tc>
          <w:tcPr>
            <w:tcW w:w="832" w:type="dxa"/>
            <w:tcBorders>
              <w:tl2br w:val="nil"/>
              <w:tr2bl w:val="nil"/>
            </w:tcBorders>
            <w:vAlign w:val="center"/>
          </w:tcPr>
          <w:p w14:paraId="20C69A4B"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7E19EF75"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44044EE5"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7453768A"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61EC79AA" w14:textId="77777777">
        <w:tc>
          <w:tcPr>
            <w:tcW w:w="2748" w:type="dxa"/>
            <w:tcBorders>
              <w:tl2br w:val="nil"/>
              <w:tr2bl w:val="nil"/>
            </w:tcBorders>
            <w:vAlign w:val="center"/>
          </w:tcPr>
          <w:p w14:paraId="701DDB9C" w14:textId="77777777" w:rsidR="009D12AF" w:rsidRDefault="00000000">
            <w:pPr>
              <w:spacing w:line="240" w:lineRule="auto"/>
              <w:ind w:firstLineChars="0" w:firstLine="0"/>
              <w:jc w:val="center"/>
              <w:rPr>
                <w:sz w:val="21"/>
              </w:rPr>
            </w:pPr>
            <w:r>
              <w:rPr>
                <w:rFonts w:hint="eastAsia"/>
                <w:sz w:val="21"/>
              </w:rPr>
              <w:t>挖泥斗</w:t>
            </w:r>
            <w:r>
              <w:rPr>
                <w:rFonts w:hint="eastAsia"/>
                <w:sz w:val="21"/>
              </w:rPr>
              <w:t>1m</w:t>
            </w:r>
            <w:r>
              <w:rPr>
                <w:rFonts w:hint="eastAsia"/>
                <w:sz w:val="21"/>
              </w:rPr>
              <w:t>处</w:t>
            </w:r>
            <w:r>
              <w:rPr>
                <w:rFonts w:hint="eastAsia"/>
                <w:sz w:val="21"/>
              </w:rPr>
              <w:t>6m</w:t>
            </w:r>
            <w:r>
              <w:rPr>
                <w:rFonts w:hint="eastAsia"/>
                <w:sz w:val="21"/>
              </w:rPr>
              <w:t>深</w:t>
            </w:r>
          </w:p>
        </w:tc>
        <w:tc>
          <w:tcPr>
            <w:tcW w:w="927" w:type="dxa"/>
            <w:tcBorders>
              <w:tl2br w:val="nil"/>
              <w:tr2bl w:val="nil"/>
            </w:tcBorders>
            <w:vAlign w:val="center"/>
          </w:tcPr>
          <w:p w14:paraId="447EE41C" w14:textId="77777777" w:rsidR="009D12AF" w:rsidRDefault="00000000">
            <w:pPr>
              <w:spacing w:line="240" w:lineRule="auto"/>
              <w:ind w:firstLineChars="0" w:firstLine="0"/>
              <w:jc w:val="center"/>
              <w:rPr>
                <w:sz w:val="21"/>
              </w:rPr>
            </w:pPr>
            <w:r>
              <w:rPr>
                <w:rFonts w:hint="eastAsia"/>
                <w:sz w:val="21"/>
              </w:rPr>
              <w:t>18</w:t>
            </w:r>
          </w:p>
        </w:tc>
        <w:tc>
          <w:tcPr>
            <w:tcW w:w="859" w:type="dxa"/>
            <w:tcBorders>
              <w:tl2br w:val="nil"/>
              <w:tr2bl w:val="nil"/>
            </w:tcBorders>
            <w:vAlign w:val="center"/>
          </w:tcPr>
          <w:p w14:paraId="5301EA80" w14:textId="77777777" w:rsidR="009D12AF" w:rsidRDefault="00000000">
            <w:pPr>
              <w:spacing w:line="240" w:lineRule="auto"/>
              <w:ind w:firstLineChars="0" w:firstLine="0"/>
              <w:jc w:val="center"/>
              <w:rPr>
                <w:sz w:val="21"/>
              </w:rPr>
            </w:pPr>
            <w:r>
              <w:rPr>
                <w:rFonts w:hint="eastAsia"/>
                <w:sz w:val="21"/>
              </w:rPr>
              <w:t>0.048</w:t>
            </w:r>
          </w:p>
        </w:tc>
        <w:tc>
          <w:tcPr>
            <w:tcW w:w="668" w:type="dxa"/>
            <w:tcBorders>
              <w:tl2br w:val="nil"/>
              <w:tr2bl w:val="nil"/>
            </w:tcBorders>
            <w:vAlign w:val="center"/>
          </w:tcPr>
          <w:p w14:paraId="0B8E12A9" w14:textId="77777777" w:rsidR="009D12AF" w:rsidRDefault="00000000">
            <w:pPr>
              <w:spacing w:line="240" w:lineRule="auto"/>
              <w:ind w:firstLineChars="0" w:firstLine="0"/>
              <w:jc w:val="center"/>
              <w:rPr>
                <w:sz w:val="21"/>
              </w:rPr>
            </w:pPr>
            <w:r>
              <w:rPr>
                <w:rFonts w:hint="eastAsia"/>
                <w:sz w:val="21"/>
              </w:rPr>
              <w:t>1.29</w:t>
            </w:r>
          </w:p>
        </w:tc>
        <w:tc>
          <w:tcPr>
            <w:tcW w:w="832" w:type="dxa"/>
            <w:tcBorders>
              <w:tl2br w:val="nil"/>
              <w:tr2bl w:val="nil"/>
            </w:tcBorders>
            <w:vAlign w:val="center"/>
          </w:tcPr>
          <w:p w14:paraId="646E8EEC"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006DD00D"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0FD32DCF"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339122B0"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0B2FA171" w14:textId="77777777">
        <w:tc>
          <w:tcPr>
            <w:tcW w:w="2748" w:type="dxa"/>
            <w:tcBorders>
              <w:tl2br w:val="nil"/>
              <w:tr2bl w:val="nil"/>
            </w:tcBorders>
            <w:vAlign w:val="center"/>
          </w:tcPr>
          <w:p w14:paraId="48044809" w14:textId="77777777" w:rsidR="009D12AF" w:rsidRDefault="00000000">
            <w:pPr>
              <w:spacing w:line="240" w:lineRule="auto"/>
              <w:ind w:firstLineChars="0" w:firstLine="0"/>
              <w:jc w:val="center"/>
              <w:rPr>
                <w:sz w:val="21"/>
              </w:rPr>
            </w:pPr>
            <w:r>
              <w:rPr>
                <w:rFonts w:hint="eastAsia"/>
                <w:sz w:val="21"/>
              </w:rPr>
              <w:t>挖泥斗</w:t>
            </w:r>
            <w:r>
              <w:rPr>
                <w:rFonts w:hint="eastAsia"/>
                <w:sz w:val="21"/>
              </w:rPr>
              <w:t>1m</w:t>
            </w:r>
            <w:r>
              <w:rPr>
                <w:rFonts w:hint="eastAsia"/>
                <w:sz w:val="21"/>
              </w:rPr>
              <w:t>处</w:t>
            </w:r>
            <w:r>
              <w:rPr>
                <w:rFonts w:hint="eastAsia"/>
                <w:sz w:val="21"/>
              </w:rPr>
              <w:t>6m</w:t>
            </w:r>
            <w:r>
              <w:rPr>
                <w:rFonts w:hint="eastAsia"/>
                <w:sz w:val="21"/>
              </w:rPr>
              <w:t>深</w:t>
            </w:r>
          </w:p>
        </w:tc>
        <w:tc>
          <w:tcPr>
            <w:tcW w:w="927" w:type="dxa"/>
            <w:tcBorders>
              <w:tl2br w:val="nil"/>
              <w:tr2bl w:val="nil"/>
            </w:tcBorders>
            <w:vAlign w:val="center"/>
          </w:tcPr>
          <w:p w14:paraId="674C582F" w14:textId="77777777" w:rsidR="009D12AF" w:rsidRDefault="00000000">
            <w:pPr>
              <w:spacing w:line="240" w:lineRule="auto"/>
              <w:ind w:firstLineChars="0" w:firstLine="0"/>
              <w:jc w:val="center"/>
              <w:rPr>
                <w:sz w:val="21"/>
              </w:rPr>
            </w:pPr>
            <w:r>
              <w:rPr>
                <w:rFonts w:hint="eastAsia"/>
                <w:sz w:val="21"/>
              </w:rPr>
              <w:t>30</w:t>
            </w:r>
          </w:p>
        </w:tc>
        <w:tc>
          <w:tcPr>
            <w:tcW w:w="859" w:type="dxa"/>
            <w:tcBorders>
              <w:tl2br w:val="nil"/>
              <w:tr2bl w:val="nil"/>
            </w:tcBorders>
            <w:vAlign w:val="center"/>
          </w:tcPr>
          <w:p w14:paraId="76DFF7E2" w14:textId="77777777" w:rsidR="009D12AF" w:rsidRDefault="00000000">
            <w:pPr>
              <w:spacing w:line="240" w:lineRule="auto"/>
              <w:ind w:firstLineChars="0" w:firstLine="0"/>
              <w:jc w:val="center"/>
              <w:rPr>
                <w:sz w:val="21"/>
              </w:rPr>
            </w:pPr>
            <w:r>
              <w:rPr>
                <w:rFonts w:hint="eastAsia"/>
                <w:sz w:val="21"/>
              </w:rPr>
              <w:t>0.053</w:t>
            </w:r>
          </w:p>
        </w:tc>
        <w:tc>
          <w:tcPr>
            <w:tcW w:w="668" w:type="dxa"/>
            <w:tcBorders>
              <w:tl2br w:val="nil"/>
              <w:tr2bl w:val="nil"/>
            </w:tcBorders>
            <w:vAlign w:val="center"/>
          </w:tcPr>
          <w:p w14:paraId="0935A020" w14:textId="77777777" w:rsidR="009D12AF" w:rsidRDefault="00000000">
            <w:pPr>
              <w:spacing w:line="240" w:lineRule="auto"/>
              <w:ind w:firstLineChars="0" w:firstLine="0"/>
              <w:jc w:val="center"/>
              <w:rPr>
                <w:sz w:val="21"/>
              </w:rPr>
            </w:pPr>
            <w:r>
              <w:rPr>
                <w:rFonts w:hint="eastAsia"/>
                <w:sz w:val="21"/>
              </w:rPr>
              <w:t>1.31</w:t>
            </w:r>
          </w:p>
        </w:tc>
        <w:tc>
          <w:tcPr>
            <w:tcW w:w="832" w:type="dxa"/>
            <w:tcBorders>
              <w:tl2br w:val="nil"/>
              <w:tr2bl w:val="nil"/>
            </w:tcBorders>
            <w:vAlign w:val="center"/>
          </w:tcPr>
          <w:p w14:paraId="694CAB63"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3D57E4E8"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6FF5805B"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384A085D"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34EE405A" w14:textId="77777777">
        <w:tc>
          <w:tcPr>
            <w:tcW w:w="2748" w:type="dxa"/>
            <w:tcBorders>
              <w:tl2br w:val="nil"/>
              <w:tr2bl w:val="nil"/>
            </w:tcBorders>
            <w:vAlign w:val="center"/>
          </w:tcPr>
          <w:p w14:paraId="3D5134BB" w14:textId="77777777" w:rsidR="009D12AF" w:rsidRDefault="00000000">
            <w:pPr>
              <w:spacing w:line="240" w:lineRule="auto"/>
              <w:ind w:firstLineChars="0" w:firstLine="0"/>
              <w:jc w:val="center"/>
              <w:rPr>
                <w:sz w:val="21"/>
              </w:rPr>
            </w:pPr>
            <w:r>
              <w:rPr>
                <w:rFonts w:hint="eastAsia"/>
                <w:sz w:val="21"/>
              </w:rPr>
              <w:t>挖泥斗</w:t>
            </w:r>
            <w:r>
              <w:rPr>
                <w:rFonts w:hint="eastAsia"/>
                <w:sz w:val="21"/>
              </w:rPr>
              <w:t>10m</w:t>
            </w:r>
            <w:r>
              <w:rPr>
                <w:rFonts w:hint="eastAsia"/>
                <w:sz w:val="21"/>
              </w:rPr>
              <w:t>处</w:t>
            </w:r>
            <w:r>
              <w:rPr>
                <w:rFonts w:hint="eastAsia"/>
                <w:sz w:val="21"/>
              </w:rPr>
              <w:t>3m</w:t>
            </w:r>
            <w:r>
              <w:rPr>
                <w:rFonts w:hint="eastAsia"/>
                <w:sz w:val="21"/>
              </w:rPr>
              <w:t>深</w:t>
            </w:r>
          </w:p>
        </w:tc>
        <w:tc>
          <w:tcPr>
            <w:tcW w:w="927" w:type="dxa"/>
            <w:tcBorders>
              <w:tl2br w:val="nil"/>
              <w:tr2bl w:val="nil"/>
            </w:tcBorders>
            <w:vAlign w:val="center"/>
          </w:tcPr>
          <w:p w14:paraId="6F60CB1D" w14:textId="77777777" w:rsidR="009D12AF" w:rsidRDefault="00000000">
            <w:pPr>
              <w:spacing w:line="240" w:lineRule="auto"/>
              <w:ind w:firstLineChars="0" w:firstLine="0"/>
              <w:jc w:val="center"/>
              <w:rPr>
                <w:sz w:val="21"/>
              </w:rPr>
            </w:pPr>
            <w:r>
              <w:rPr>
                <w:rFonts w:hint="eastAsia"/>
                <w:sz w:val="21"/>
              </w:rPr>
              <w:t>24</w:t>
            </w:r>
          </w:p>
        </w:tc>
        <w:tc>
          <w:tcPr>
            <w:tcW w:w="859" w:type="dxa"/>
            <w:tcBorders>
              <w:tl2br w:val="nil"/>
              <w:tr2bl w:val="nil"/>
            </w:tcBorders>
            <w:vAlign w:val="center"/>
          </w:tcPr>
          <w:p w14:paraId="6F5D07ED" w14:textId="77777777" w:rsidR="009D12AF" w:rsidRDefault="00000000">
            <w:pPr>
              <w:spacing w:line="240" w:lineRule="auto"/>
              <w:ind w:firstLineChars="0" w:firstLine="0"/>
              <w:jc w:val="center"/>
              <w:rPr>
                <w:sz w:val="21"/>
              </w:rPr>
            </w:pPr>
            <w:r>
              <w:rPr>
                <w:rFonts w:hint="eastAsia"/>
                <w:sz w:val="21"/>
              </w:rPr>
              <w:t>0.029</w:t>
            </w:r>
          </w:p>
        </w:tc>
        <w:tc>
          <w:tcPr>
            <w:tcW w:w="668" w:type="dxa"/>
            <w:tcBorders>
              <w:tl2br w:val="nil"/>
              <w:tr2bl w:val="nil"/>
            </w:tcBorders>
            <w:vAlign w:val="center"/>
          </w:tcPr>
          <w:p w14:paraId="5F05FA9E" w14:textId="77777777" w:rsidR="009D12AF" w:rsidRDefault="00000000">
            <w:pPr>
              <w:spacing w:line="240" w:lineRule="auto"/>
              <w:ind w:firstLineChars="0" w:firstLine="0"/>
              <w:jc w:val="center"/>
              <w:rPr>
                <w:sz w:val="21"/>
              </w:rPr>
            </w:pPr>
            <w:r>
              <w:rPr>
                <w:rFonts w:hint="eastAsia"/>
                <w:sz w:val="21"/>
              </w:rPr>
              <w:t>1.27</w:t>
            </w:r>
          </w:p>
        </w:tc>
        <w:tc>
          <w:tcPr>
            <w:tcW w:w="832" w:type="dxa"/>
            <w:tcBorders>
              <w:tl2br w:val="nil"/>
              <w:tr2bl w:val="nil"/>
            </w:tcBorders>
            <w:vAlign w:val="center"/>
          </w:tcPr>
          <w:p w14:paraId="036C726B"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726E1F60"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05B6A209"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4A72E5FF"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5175A6E3" w14:textId="77777777">
        <w:tc>
          <w:tcPr>
            <w:tcW w:w="2748" w:type="dxa"/>
            <w:tcBorders>
              <w:tl2br w:val="nil"/>
              <w:tr2bl w:val="nil"/>
            </w:tcBorders>
            <w:vAlign w:val="center"/>
          </w:tcPr>
          <w:p w14:paraId="332798EF" w14:textId="77777777" w:rsidR="009D12AF" w:rsidRDefault="00000000">
            <w:pPr>
              <w:spacing w:line="240" w:lineRule="auto"/>
              <w:ind w:firstLineChars="0" w:firstLine="0"/>
              <w:jc w:val="center"/>
              <w:rPr>
                <w:sz w:val="21"/>
              </w:rPr>
            </w:pPr>
            <w:r>
              <w:rPr>
                <w:rFonts w:hint="eastAsia"/>
                <w:sz w:val="21"/>
              </w:rPr>
              <w:t>挖泥斗</w:t>
            </w:r>
            <w:r>
              <w:rPr>
                <w:rFonts w:hint="eastAsia"/>
                <w:sz w:val="21"/>
              </w:rPr>
              <w:t>10m</w:t>
            </w:r>
            <w:r>
              <w:rPr>
                <w:rFonts w:hint="eastAsia"/>
                <w:sz w:val="21"/>
              </w:rPr>
              <w:t>处</w:t>
            </w:r>
            <w:r>
              <w:rPr>
                <w:rFonts w:hint="eastAsia"/>
                <w:sz w:val="21"/>
              </w:rPr>
              <w:t>3m</w:t>
            </w:r>
            <w:r>
              <w:rPr>
                <w:rFonts w:hint="eastAsia"/>
                <w:sz w:val="21"/>
              </w:rPr>
              <w:t>深</w:t>
            </w:r>
          </w:p>
        </w:tc>
        <w:tc>
          <w:tcPr>
            <w:tcW w:w="927" w:type="dxa"/>
            <w:tcBorders>
              <w:tl2br w:val="nil"/>
              <w:tr2bl w:val="nil"/>
            </w:tcBorders>
            <w:vAlign w:val="center"/>
          </w:tcPr>
          <w:p w14:paraId="1122D34E" w14:textId="77777777" w:rsidR="009D12AF" w:rsidRDefault="00000000">
            <w:pPr>
              <w:spacing w:line="240" w:lineRule="auto"/>
              <w:ind w:firstLineChars="0" w:firstLine="0"/>
              <w:jc w:val="center"/>
              <w:rPr>
                <w:sz w:val="21"/>
              </w:rPr>
            </w:pPr>
            <w:r>
              <w:rPr>
                <w:rFonts w:hint="eastAsia"/>
                <w:sz w:val="21"/>
              </w:rPr>
              <w:t>12</w:t>
            </w:r>
          </w:p>
        </w:tc>
        <w:tc>
          <w:tcPr>
            <w:tcW w:w="859" w:type="dxa"/>
            <w:tcBorders>
              <w:tl2br w:val="nil"/>
              <w:tr2bl w:val="nil"/>
            </w:tcBorders>
            <w:vAlign w:val="center"/>
          </w:tcPr>
          <w:p w14:paraId="00111FF2" w14:textId="77777777" w:rsidR="009D12AF" w:rsidRDefault="00000000">
            <w:pPr>
              <w:spacing w:line="240" w:lineRule="auto"/>
              <w:ind w:firstLineChars="0" w:firstLine="0"/>
              <w:jc w:val="center"/>
              <w:rPr>
                <w:sz w:val="21"/>
              </w:rPr>
            </w:pPr>
            <w:r>
              <w:rPr>
                <w:rFonts w:hint="eastAsia"/>
                <w:sz w:val="21"/>
              </w:rPr>
              <w:t>0.030</w:t>
            </w:r>
          </w:p>
        </w:tc>
        <w:tc>
          <w:tcPr>
            <w:tcW w:w="668" w:type="dxa"/>
            <w:tcBorders>
              <w:tl2br w:val="nil"/>
              <w:tr2bl w:val="nil"/>
            </w:tcBorders>
            <w:vAlign w:val="center"/>
          </w:tcPr>
          <w:p w14:paraId="2C033AC4" w14:textId="77777777" w:rsidR="009D12AF" w:rsidRDefault="00000000">
            <w:pPr>
              <w:spacing w:line="240" w:lineRule="auto"/>
              <w:ind w:firstLineChars="0" w:firstLine="0"/>
              <w:jc w:val="center"/>
              <w:rPr>
                <w:sz w:val="21"/>
              </w:rPr>
            </w:pPr>
            <w:r>
              <w:rPr>
                <w:rFonts w:hint="eastAsia"/>
                <w:sz w:val="21"/>
              </w:rPr>
              <w:t>1.26</w:t>
            </w:r>
          </w:p>
        </w:tc>
        <w:tc>
          <w:tcPr>
            <w:tcW w:w="832" w:type="dxa"/>
            <w:tcBorders>
              <w:tl2br w:val="nil"/>
              <w:tr2bl w:val="nil"/>
            </w:tcBorders>
            <w:vAlign w:val="center"/>
          </w:tcPr>
          <w:p w14:paraId="12F23F5C"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7275587A"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1AD03908"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4128B35C"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11651C07" w14:textId="77777777">
        <w:tc>
          <w:tcPr>
            <w:tcW w:w="2748" w:type="dxa"/>
            <w:tcBorders>
              <w:tl2br w:val="nil"/>
              <w:tr2bl w:val="nil"/>
            </w:tcBorders>
            <w:vAlign w:val="center"/>
          </w:tcPr>
          <w:p w14:paraId="299043D5" w14:textId="77777777" w:rsidR="009D12AF" w:rsidRDefault="00000000">
            <w:pPr>
              <w:spacing w:line="240" w:lineRule="auto"/>
              <w:ind w:firstLineChars="0" w:firstLine="0"/>
              <w:jc w:val="center"/>
              <w:rPr>
                <w:sz w:val="21"/>
              </w:rPr>
            </w:pPr>
            <w:r>
              <w:rPr>
                <w:rFonts w:hint="eastAsia"/>
                <w:sz w:val="21"/>
              </w:rPr>
              <w:t>挖泥斗</w:t>
            </w:r>
            <w:r>
              <w:rPr>
                <w:rFonts w:hint="eastAsia"/>
                <w:sz w:val="21"/>
              </w:rPr>
              <w:t>10m</w:t>
            </w:r>
            <w:r>
              <w:rPr>
                <w:rFonts w:hint="eastAsia"/>
                <w:sz w:val="21"/>
              </w:rPr>
              <w:t>处</w:t>
            </w:r>
            <w:r>
              <w:rPr>
                <w:rFonts w:hint="eastAsia"/>
                <w:sz w:val="21"/>
              </w:rPr>
              <w:t>6m</w:t>
            </w:r>
            <w:r>
              <w:rPr>
                <w:rFonts w:hint="eastAsia"/>
                <w:sz w:val="21"/>
              </w:rPr>
              <w:t>深</w:t>
            </w:r>
          </w:p>
        </w:tc>
        <w:tc>
          <w:tcPr>
            <w:tcW w:w="927" w:type="dxa"/>
            <w:tcBorders>
              <w:tl2br w:val="nil"/>
              <w:tr2bl w:val="nil"/>
            </w:tcBorders>
            <w:vAlign w:val="center"/>
          </w:tcPr>
          <w:p w14:paraId="1E871567" w14:textId="77777777" w:rsidR="009D12AF" w:rsidRDefault="00000000">
            <w:pPr>
              <w:spacing w:line="240" w:lineRule="auto"/>
              <w:ind w:firstLineChars="0" w:firstLine="0"/>
              <w:jc w:val="center"/>
              <w:rPr>
                <w:sz w:val="21"/>
              </w:rPr>
            </w:pPr>
            <w:r>
              <w:rPr>
                <w:rFonts w:hint="eastAsia"/>
                <w:sz w:val="21"/>
              </w:rPr>
              <w:t>16</w:t>
            </w:r>
          </w:p>
        </w:tc>
        <w:tc>
          <w:tcPr>
            <w:tcW w:w="859" w:type="dxa"/>
            <w:tcBorders>
              <w:tl2br w:val="nil"/>
              <w:tr2bl w:val="nil"/>
            </w:tcBorders>
            <w:vAlign w:val="center"/>
          </w:tcPr>
          <w:p w14:paraId="3F4CCDC9" w14:textId="77777777" w:rsidR="009D12AF" w:rsidRDefault="00000000">
            <w:pPr>
              <w:spacing w:line="240" w:lineRule="auto"/>
              <w:ind w:firstLineChars="0" w:firstLine="0"/>
              <w:jc w:val="center"/>
              <w:rPr>
                <w:sz w:val="21"/>
              </w:rPr>
            </w:pPr>
            <w:r>
              <w:rPr>
                <w:rFonts w:hint="eastAsia"/>
                <w:sz w:val="21"/>
              </w:rPr>
              <w:t>0.036</w:t>
            </w:r>
          </w:p>
        </w:tc>
        <w:tc>
          <w:tcPr>
            <w:tcW w:w="668" w:type="dxa"/>
            <w:tcBorders>
              <w:tl2br w:val="nil"/>
              <w:tr2bl w:val="nil"/>
            </w:tcBorders>
            <w:vAlign w:val="center"/>
          </w:tcPr>
          <w:p w14:paraId="007F68CC" w14:textId="77777777" w:rsidR="009D12AF" w:rsidRDefault="00000000">
            <w:pPr>
              <w:spacing w:line="240" w:lineRule="auto"/>
              <w:ind w:firstLineChars="0" w:firstLine="0"/>
              <w:jc w:val="center"/>
              <w:rPr>
                <w:sz w:val="21"/>
              </w:rPr>
            </w:pPr>
            <w:r>
              <w:rPr>
                <w:rFonts w:hint="eastAsia"/>
                <w:sz w:val="21"/>
              </w:rPr>
              <w:t>1.43</w:t>
            </w:r>
          </w:p>
        </w:tc>
        <w:tc>
          <w:tcPr>
            <w:tcW w:w="832" w:type="dxa"/>
            <w:tcBorders>
              <w:tl2br w:val="nil"/>
              <w:tr2bl w:val="nil"/>
            </w:tcBorders>
            <w:vAlign w:val="center"/>
          </w:tcPr>
          <w:p w14:paraId="32E4063E"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70D051D6"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02E077DE"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786337EB"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3E755D16" w14:textId="77777777">
        <w:tc>
          <w:tcPr>
            <w:tcW w:w="2748" w:type="dxa"/>
            <w:tcBorders>
              <w:tl2br w:val="nil"/>
              <w:tr2bl w:val="nil"/>
            </w:tcBorders>
            <w:vAlign w:val="center"/>
          </w:tcPr>
          <w:p w14:paraId="6EF0E114" w14:textId="77777777" w:rsidR="009D12AF" w:rsidRDefault="00000000">
            <w:pPr>
              <w:spacing w:line="240" w:lineRule="auto"/>
              <w:ind w:firstLineChars="0" w:firstLine="0"/>
              <w:jc w:val="center"/>
              <w:rPr>
                <w:sz w:val="21"/>
              </w:rPr>
            </w:pPr>
            <w:r>
              <w:rPr>
                <w:rFonts w:hint="eastAsia"/>
                <w:sz w:val="21"/>
              </w:rPr>
              <w:t>挖泥斗</w:t>
            </w:r>
            <w:r>
              <w:rPr>
                <w:rFonts w:hint="eastAsia"/>
                <w:sz w:val="21"/>
              </w:rPr>
              <w:t>10m</w:t>
            </w:r>
            <w:r>
              <w:rPr>
                <w:rFonts w:hint="eastAsia"/>
                <w:sz w:val="21"/>
              </w:rPr>
              <w:t>处</w:t>
            </w:r>
            <w:r>
              <w:rPr>
                <w:rFonts w:hint="eastAsia"/>
                <w:sz w:val="21"/>
              </w:rPr>
              <w:t>6m</w:t>
            </w:r>
            <w:r>
              <w:rPr>
                <w:rFonts w:hint="eastAsia"/>
                <w:sz w:val="21"/>
              </w:rPr>
              <w:t>深</w:t>
            </w:r>
          </w:p>
        </w:tc>
        <w:tc>
          <w:tcPr>
            <w:tcW w:w="927" w:type="dxa"/>
            <w:tcBorders>
              <w:tl2br w:val="nil"/>
              <w:tr2bl w:val="nil"/>
            </w:tcBorders>
            <w:vAlign w:val="center"/>
          </w:tcPr>
          <w:p w14:paraId="29F7A05F" w14:textId="77777777" w:rsidR="009D12AF" w:rsidRDefault="00000000">
            <w:pPr>
              <w:spacing w:line="240" w:lineRule="auto"/>
              <w:ind w:firstLineChars="0" w:firstLine="0"/>
              <w:jc w:val="center"/>
              <w:rPr>
                <w:sz w:val="21"/>
              </w:rPr>
            </w:pPr>
            <w:r>
              <w:rPr>
                <w:rFonts w:hint="eastAsia"/>
                <w:sz w:val="21"/>
              </w:rPr>
              <w:t>19</w:t>
            </w:r>
          </w:p>
        </w:tc>
        <w:tc>
          <w:tcPr>
            <w:tcW w:w="859" w:type="dxa"/>
            <w:tcBorders>
              <w:tl2br w:val="nil"/>
              <w:tr2bl w:val="nil"/>
            </w:tcBorders>
            <w:vAlign w:val="center"/>
          </w:tcPr>
          <w:p w14:paraId="1BD029C4" w14:textId="77777777" w:rsidR="009D12AF" w:rsidRDefault="00000000">
            <w:pPr>
              <w:spacing w:line="240" w:lineRule="auto"/>
              <w:ind w:firstLineChars="0" w:firstLine="0"/>
              <w:jc w:val="center"/>
              <w:rPr>
                <w:sz w:val="21"/>
              </w:rPr>
            </w:pPr>
            <w:r>
              <w:rPr>
                <w:rFonts w:hint="eastAsia"/>
                <w:sz w:val="21"/>
              </w:rPr>
              <w:t>0.036</w:t>
            </w:r>
          </w:p>
        </w:tc>
        <w:tc>
          <w:tcPr>
            <w:tcW w:w="668" w:type="dxa"/>
            <w:tcBorders>
              <w:tl2br w:val="nil"/>
              <w:tr2bl w:val="nil"/>
            </w:tcBorders>
            <w:vAlign w:val="center"/>
          </w:tcPr>
          <w:p w14:paraId="1BDF0219" w14:textId="77777777" w:rsidR="009D12AF" w:rsidRDefault="00000000">
            <w:pPr>
              <w:spacing w:line="240" w:lineRule="auto"/>
              <w:ind w:firstLineChars="0" w:firstLine="0"/>
              <w:jc w:val="center"/>
              <w:rPr>
                <w:sz w:val="21"/>
              </w:rPr>
            </w:pPr>
            <w:r>
              <w:rPr>
                <w:rFonts w:hint="eastAsia"/>
                <w:sz w:val="21"/>
              </w:rPr>
              <w:t>1.34</w:t>
            </w:r>
          </w:p>
        </w:tc>
        <w:tc>
          <w:tcPr>
            <w:tcW w:w="832" w:type="dxa"/>
            <w:tcBorders>
              <w:tl2br w:val="nil"/>
              <w:tr2bl w:val="nil"/>
            </w:tcBorders>
            <w:vAlign w:val="center"/>
          </w:tcPr>
          <w:p w14:paraId="55602DE8"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65CDF94B"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29E18E2F"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4D18760B"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0BE110C9" w14:textId="77777777">
        <w:tc>
          <w:tcPr>
            <w:tcW w:w="2748" w:type="dxa"/>
            <w:tcBorders>
              <w:tl2br w:val="nil"/>
              <w:tr2bl w:val="nil"/>
            </w:tcBorders>
            <w:vAlign w:val="center"/>
          </w:tcPr>
          <w:p w14:paraId="3780EDB5" w14:textId="77777777" w:rsidR="009D12AF" w:rsidRDefault="00000000">
            <w:pPr>
              <w:spacing w:line="240" w:lineRule="auto"/>
              <w:ind w:firstLineChars="0" w:firstLine="0"/>
              <w:jc w:val="center"/>
              <w:rPr>
                <w:sz w:val="21"/>
              </w:rPr>
            </w:pPr>
            <w:r>
              <w:rPr>
                <w:rFonts w:hint="eastAsia"/>
                <w:sz w:val="21"/>
              </w:rPr>
              <w:t>挖泥斗</w:t>
            </w:r>
            <w:r>
              <w:rPr>
                <w:rFonts w:hint="eastAsia"/>
                <w:sz w:val="21"/>
              </w:rPr>
              <w:t>20m</w:t>
            </w:r>
            <w:r>
              <w:rPr>
                <w:rFonts w:hint="eastAsia"/>
                <w:sz w:val="21"/>
              </w:rPr>
              <w:t>处</w:t>
            </w:r>
            <w:r>
              <w:rPr>
                <w:rFonts w:hint="eastAsia"/>
                <w:sz w:val="21"/>
              </w:rPr>
              <w:t>3m</w:t>
            </w:r>
            <w:r>
              <w:rPr>
                <w:rFonts w:hint="eastAsia"/>
                <w:sz w:val="21"/>
              </w:rPr>
              <w:t>深</w:t>
            </w:r>
          </w:p>
        </w:tc>
        <w:tc>
          <w:tcPr>
            <w:tcW w:w="927" w:type="dxa"/>
            <w:tcBorders>
              <w:tl2br w:val="nil"/>
              <w:tr2bl w:val="nil"/>
            </w:tcBorders>
            <w:vAlign w:val="center"/>
          </w:tcPr>
          <w:p w14:paraId="682C14FD" w14:textId="77777777" w:rsidR="009D12AF" w:rsidRDefault="00000000">
            <w:pPr>
              <w:spacing w:line="240" w:lineRule="auto"/>
              <w:ind w:firstLineChars="0" w:firstLine="0"/>
              <w:jc w:val="center"/>
              <w:rPr>
                <w:sz w:val="21"/>
              </w:rPr>
            </w:pPr>
            <w:r>
              <w:rPr>
                <w:rFonts w:hint="eastAsia"/>
                <w:sz w:val="21"/>
              </w:rPr>
              <w:t>10</w:t>
            </w:r>
          </w:p>
        </w:tc>
        <w:tc>
          <w:tcPr>
            <w:tcW w:w="859" w:type="dxa"/>
            <w:tcBorders>
              <w:tl2br w:val="nil"/>
              <w:tr2bl w:val="nil"/>
            </w:tcBorders>
            <w:vAlign w:val="center"/>
          </w:tcPr>
          <w:p w14:paraId="7E2E1EC0" w14:textId="77777777" w:rsidR="009D12AF" w:rsidRDefault="00000000">
            <w:pPr>
              <w:spacing w:line="240" w:lineRule="auto"/>
              <w:ind w:firstLineChars="0" w:firstLine="0"/>
              <w:jc w:val="center"/>
              <w:rPr>
                <w:sz w:val="21"/>
              </w:rPr>
            </w:pPr>
            <w:r>
              <w:rPr>
                <w:rFonts w:hint="eastAsia"/>
                <w:sz w:val="21"/>
              </w:rPr>
              <w:t>0.024</w:t>
            </w:r>
          </w:p>
        </w:tc>
        <w:tc>
          <w:tcPr>
            <w:tcW w:w="668" w:type="dxa"/>
            <w:tcBorders>
              <w:tl2br w:val="nil"/>
              <w:tr2bl w:val="nil"/>
            </w:tcBorders>
            <w:vAlign w:val="center"/>
          </w:tcPr>
          <w:p w14:paraId="4A5E9AB8" w14:textId="77777777" w:rsidR="009D12AF" w:rsidRDefault="00000000">
            <w:pPr>
              <w:spacing w:line="240" w:lineRule="auto"/>
              <w:ind w:firstLineChars="0" w:firstLine="0"/>
              <w:jc w:val="center"/>
              <w:rPr>
                <w:sz w:val="21"/>
              </w:rPr>
            </w:pPr>
            <w:r>
              <w:rPr>
                <w:rFonts w:hint="eastAsia"/>
                <w:sz w:val="21"/>
              </w:rPr>
              <w:t>1.40</w:t>
            </w:r>
          </w:p>
        </w:tc>
        <w:tc>
          <w:tcPr>
            <w:tcW w:w="832" w:type="dxa"/>
            <w:tcBorders>
              <w:tl2br w:val="nil"/>
              <w:tr2bl w:val="nil"/>
            </w:tcBorders>
            <w:vAlign w:val="center"/>
          </w:tcPr>
          <w:p w14:paraId="2A625F22"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1AE87079" w14:textId="77777777" w:rsidR="009D12AF" w:rsidRDefault="00000000">
            <w:pPr>
              <w:spacing w:line="240" w:lineRule="auto"/>
              <w:ind w:firstLineChars="0" w:firstLine="0"/>
              <w:jc w:val="center"/>
              <w:rPr>
                <w:sz w:val="21"/>
              </w:rPr>
            </w:pPr>
            <w:r>
              <w:rPr>
                <w:rFonts w:hint="eastAsia"/>
                <w:sz w:val="21"/>
              </w:rPr>
              <w:t>＜</w:t>
            </w:r>
            <w:r>
              <w:rPr>
                <w:rFonts w:hint="eastAsia"/>
                <w:sz w:val="21"/>
              </w:rPr>
              <w:lastRenderedPageBreak/>
              <w:t>0.05</w:t>
            </w:r>
          </w:p>
        </w:tc>
        <w:tc>
          <w:tcPr>
            <w:tcW w:w="1023" w:type="dxa"/>
            <w:tcBorders>
              <w:tl2br w:val="nil"/>
              <w:tr2bl w:val="nil"/>
            </w:tcBorders>
            <w:vAlign w:val="center"/>
          </w:tcPr>
          <w:p w14:paraId="622F929E" w14:textId="77777777" w:rsidR="009D12AF" w:rsidRDefault="00000000">
            <w:pPr>
              <w:spacing w:line="240" w:lineRule="auto"/>
              <w:ind w:firstLineChars="0" w:firstLine="0"/>
              <w:jc w:val="center"/>
              <w:rPr>
                <w:sz w:val="21"/>
              </w:rPr>
            </w:pPr>
            <w:r>
              <w:rPr>
                <w:rFonts w:hint="eastAsia"/>
                <w:sz w:val="21"/>
              </w:rPr>
              <w:lastRenderedPageBreak/>
              <w:t>＜</w:t>
            </w:r>
            <w:r>
              <w:rPr>
                <w:rFonts w:hint="eastAsia"/>
                <w:sz w:val="21"/>
              </w:rPr>
              <w:t>0.050</w:t>
            </w:r>
          </w:p>
        </w:tc>
        <w:tc>
          <w:tcPr>
            <w:tcW w:w="729" w:type="dxa"/>
            <w:tcBorders>
              <w:tl2br w:val="nil"/>
              <w:tr2bl w:val="nil"/>
            </w:tcBorders>
            <w:vAlign w:val="center"/>
          </w:tcPr>
          <w:p w14:paraId="5618AE3C" w14:textId="77777777" w:rsidR="009D12AF" w:rsidRDefault="00000000">
            <w:pPr>
              <w:spacing w:line="240" w:lineRule="auto"/>
              <w:ind w:firstLineChars="0" w:firstLine="0"/>
              <w:jc w:val="center"/>
              <w:rPr>
                <w:sz w:val="21"/>
              </w:rPr>
            </w:pPr>
            <w:r>
              <w:rPr>
                <w:rFonts w:hint="eastAsia"/>
                <w:sz w:val="21"/>
              </w:rPr>
              <w:t>＜</w:t>
            </w:r>
            <w:r>
              <w:rPr>
                <w:rFonts w:hint="eastAsia"/>
                <w:sz w:val="21"/>
              </w:rPr>
              <w:lastRenderedPageBreak/>
              <w:t>0.05</w:t>
            </w:r>
          </w:p>
        </w:tc>
      </w:tr>
      <w:tr w:rsidR="009D12AF" w14:paraId="186B513C" w14:textId="77777777">
        <w:tc>
          <w:tcPr>
            <w:tcW w:w="2748" w:type="dxa"/>
            <w:tcBorders>
              <w:tl2br w:val="nil"/>
              <w:tr2bl w:val="nil"/>
            </w:tcBorders>
            <w:vAlign w:val="center"/>
          </w:tcPr>
          <w:p w14:paraId="544DB274" w14:textId="77777777" w:rsidR="009D12AF" w:rsidRDefault="00000000">
            <w:pPr>
              <w:spacing w:line="240" w:lineRule="auto"/>
              <w:ind w:firstLineChars="0" w:firstLine="0"/>
              <w:jc w:val="center"/>
              <w:rPr>
                <w:sz w:val="21"/>
              </w:rPr>
            </w:pPr>
            <w:r>
              <w:rPr>
                <w:rFonts w:hint="eastAsia"/>
                <w:sz w:val="21"/>
              </w:rPr>
              <w:lastRenderedPageBreak/>
              <w:t>挖泥斗</w:t>
            </w:r>
            <w:r>
              <w:rPr>
                <w:rFonts w:hint="eastAsia"/>
                <w:sz w:val="21"/>
              </w:rPr>
              <w:t>20m</w:t>
            </w:r>
            <w:r>
              <w:rPr>
                <w:rFonts w:hint="eastAsia"/>
                <w:sz w:val="21"/>
              </w:rPr>
              <w:t>处</w:t>
            </w:r>
            <w:r>
              <w:rPr>
                <w:rFonts w:hint="eastAsia"/>
                <w:sz w:val="21"/>
              </w:rPr>
              <w:t>3m</w:t>
            </w:r>
            <w:r>
              <w:rPr>
                <w:rFonts w:hint="eastAsia"/>
                <w:sz w:val="21"/>
              </w:rPr>
              <w:t>深</w:t>
            </w:r>
          </w:p>
        </w:tc>
        <w:tc>
          <w:tcPr>
            <w:tcW w:w="927" w:type="dxa"/>
            <w:tcBorders>
              <w:tl2br w:val="nil"/>
              <w:tr2bl w:val="nil"/>
            </w:tcBorders>
            <w:vAlign w:val="center"/>
          </w:tcPr>
          <w:p w14:paraId="43C3F843" w14:textId="77777777" w:rsidR="009D12AF" w:rsidRDefault="00000000">
            <w:pPr>
              <w:spacing w:line="240" w:lineRule="auto"/>
              <w:ind w:firstLineChars="0" w:firstLine="0"/>
              <w:jc w:val="center"/>
              <w:rPr>
                <w:sz w:val="21"/>
              </w:rPr>
            </w:pPr>
            <w:r>
              <w:rPr>
                <w:rFonts w:hint="eastAsia"/>
                <w:sz w:val="21"/>
              </w:rPr>
              <w:t>13</w:t>
            </w:r>
          </w:p>
        </w:tc>
        <w:tc>
          <w:tcPr>
            <w:tcW w:w="859" w:type="dxa"/>
            <w:tcBorders>
              <w:tl2br w:val="nil"/>
              <w:tr2bl w:val="nil"/>
            </w:tcBorders>
            <w:vAlign w:val="center"/>
          </w:tcPr>
          <w:p w14:paraId="5018004D" w14:textId="77777777" w:rsidR="009D12AF" w:rsidRDefault="00000000">
            <w:pPr>
              <w:spacing w:line="240" w:lineRule="auto"/>
              <w:ind w:firstLineChars="0" w:firstLine="0"/>
              <w:jc w:val="center"/>
              <w:rPr>
                <w:sz w:val="21"/>
              </w:rPr>
            </w:pPr>
            <w:r>
              <w:rPr>
                <w:rFonts w:hint="eastAsia"/>
                <w:sz w:val="21"/>
              </w:rPr>
              <w:t>0.028</w:t>
            </w:r>
          </w:p>
        </w:tc>
        <w:tc>
          <w:tcPr>
            <w:tcW w:w="668" w:type="dxa"/>
            <w:tcBorders>
              <w:tl2br w:val="nil"/>
              <w:tr2bl w:val="nil"/>
            </w:tcBorders>
            <w:vAlign w:val="center"/>
          </w:tcPr>
          <w:p w14:paraId="43D05B45" w14:textId="77777777" w:rsidR="009D12AF" w:rsidRDefault="00000000">
            <w:pPr>
              <w:spacing w:line="240" w:lineRule="auto"/>
              <w:ind w:firstLineChars="0" w:firstLine="0"/>
              <w:jc w:val="center"/>
              <w:rPr>
                <w:sz w:val="21"/>
              </w:rPr>
            </w:pPr>
            <w:r>
              <w:rPr>
                <w:rFonts w:hint="eastAsia"/>
                <w:sz w:val="21"/>
              </w:rPr>
              <w:t>1.34</w:t>
            </w:r>
          </w:p>
        </w:tc>
        <w:tc>
          <w:tcPr>
            <w:tcW w:w="832" w:type="dxa"/>
            <w:tcBorders>
              <w:tl2br w:val="nil"/>
              <w:tr2bl w:val="nil"/>
            </w:tcBorders>
            <w:vAlign w:val="center"/>
          </w:tcPr>
          <w:p w14:paraId="2B4A42FB"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5AF853A6"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03ADF78D"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43FE9372"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2E4F5A58" w14:textId="77777777">
        <w:tc>
          <w:tcPr>
            <w:tcW w:w="2748" w:type="dxa"/>
            <w:tcBorders>
              <w:tl2br w:val="nil"/>
              <w:tr2bl w:val="nil"/>
            </w:tcBorders>
            <w:vAlign w:val="center"/>
          </w:tcPr>
          <w:p w14:paraId="681835F3" w14:textId="77777777" w:rsidR="009D12AF" w:rsidRDefault="00000000">
            <w:pPr>
              <w:spacing w:line="240" w:lineRule="auto"/>
              <w:ind w:firstLineChars="0" w:firstLine="0"/>
              <w:jc w:val="center"/>
              <w:rPr>
                <w:sz w:val="21"/>
              </w:rPr>
            </w:pPr>
            <w:r>
              <w:rPr>
                <w:rFonts w:hint="eastAsia"/>
                <w:sz w:val="21"/>
              </w:rPr>
              <w:t>挖泥斗</w:t>
            </w:r>
            <w:r>
              <w:rPr>
                <w:rFonts w:hint="eastAsia"/>
                <w:sz w:val="21"/>
              </w:rPr>
              <w:t>20m</w:t>
            </w:r>
            <w:r>
              <w:rPr>
                <w:rFonts w:hint="eastAsia"/>
                <w:sz w:val="21"/>
              </w:rPr>
              <w:t>处</w:t>
            </w:r>
            <w:r>
              <w:rPr>
                <w:rFonts w:hint="eastAsia"/>
                <w:sz w:val="21"/>
              </w:rPr>
              <w:t>6m</w:t>
            </w:r>
            <w:r>
              <w:rPr>
                <w:rFonts w:hint="eastAsia"/>
                <w:sz w:val="21"/>
              </w:rPr>
              <w:t>深</w:t>
            </w:r>
          </w:p>
        </w:tc>
        <w:tc>
          <w:tcPr>
            <w:tcW w:w="927" w:type="dxa"/>
            <w:tcBorders>
              <w:tl2br w:val="nil"/>
              <w:tr2bl w:val="nil"/>
            </w:tcBorders>
            <w:vAlign w:val="center"/>
          </w:tcPr>
          <w:p w14:paraId="03DA8C3D" w14:textId="77777777" w:rsidR="009D12AF" w:rsidRDefault="00000000">
            <w:pPr>
              <w:spacing w:line="240" w:lineRule="auto"/>
              <w:ind w:firstLineChars="0" w:firstLine="0"/>
              <w:jc w:val="center"/>
              <w:rPr>
                <w:sz w:val="21"/>
              </w:rPr>
            </w:pPr>
            <w:r>
              <w:rPr>
                <w:rFonts w:hint="eastAsia"/>
                <w:sz w:val="21"/>
              </w:rPr>
              <w:t>12</w:t>
            </w:r>
          </w:p>
        </w:tc>
        <w:tc>
          <w:tcPr>
            <w:tcW w:w="859" w:type="dxa"/>
            <w:tcBorders>
              <w:tl2br w:val="nil"/>
              <w:tr2bl w:val="nil"/>
            </w:tcBorders>
            <w:vAlign w:val="center"/>
          </w:tcPr>
          <w:p w14:paraId="7242B548" w14:textId="77777777" w:rsidR="009D12AF" w:rsidRDefault="00000000">
            <w:pPr>
              <w:spacing w:line="240" w:lineRule="auto"/>
              <w:ind w:firstLineChars="0" w:firstLine="0"/>
              <w:jc w:val="center"/>
              <w:rPr>
                <w:sz w:val="21"/>
              </w:rPr>
            </w:pPr>
            <w:r>
              <w:rPr>
                <w:rFonts w:hint="eastAsia"/>
                <w:sz w:val="21"/>
              </w:rPr>
              <w:t>0.028</w:t>
            </w:r>
          </w:p>
        </w:tc>
        <w:tc>
          <w:tcPr>
            <w:tcW w:w="668" w:type="dxa"/>
            <w:tcBorders>
              <w:tl2br w:val="nil"/>
              <w:tr2bl w:val="nil"/>
            </w:tcBorders>
            <w:vAlign w:val="center"/>
          </w:tcPr>
          <w:p w14:paraId="0431830C" w14:textId="77777777" w:rsidR="009D12AF" w:rsidRDefault="00000000">
            <w:pPr>
              <w:spacing w:line="240" w:lineRule="auto"/>
              <w:ind w:firstLineChars="0" w:firstLine="0"/>
              <w:jc w:val="center"/>
              <w:rPr>
                <w:sz w:val="21"/>
              </w:rPr>
            </w:pPr>
            <w:r>
              <w:rPr>
                <w:rFonts w:hint="eastAsia"/>
                <w:sz w:val="21"/>
              </w:rPr>
              <w:t>1.36</w:t>
            </w:r>
          </w:p>
        </w:tc>
        <w:tc>
          <w:tcPr>
            <w:tcW w:w="832" w:type="dxa"/>
            <w:tcBorders>
              <w:tl2br w:val="nil"/>
              <w:tr2bl w:val="nil"/>
            </w:tcBorders>
            <w:vAlign w:val="center"/>
          </w:tcPr>
          <w:p w14:paraId="7A7D0872"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29B9FA3F"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5EC20E0A"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55A17697"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7A30BD6A" w14:textId="77777777">
        <w:tc>
          <w:tcPr>
            <w:tcW w:w="2748" w:type="dxa"/>
            <w:tcBorders>
              <w:tl2br w:val="nil"/>
              <w:tr2bl w:val="nil"/>
            </w:tcBorders>
            <w:vAlign w:val="center"/>
          </w:tcPr>
          <w:p w14:paraId="3549B37E" w14:textId="77777777" w:rsidR="009D12AF" w:rsidRDefault="00000000">
            <w:pPr>
              <w:spacing w:line="240" w:lineRule="auto"/>
              <w:ind w:firstLineChars="0" w:firstLine="0"/>
              <w:jc w:val="center"/>
              <w:rPr>
                <w:sz w:val="21"/>
              </w:rPr>
            </w:pPr>
            <w:r>
              <w:rPr>
                <w:rFonts w:hint="eastAsia"/>
                <w:sz w:val="21"/>
              </w:rPr>
              <w:t>挖泥斗</w:t>
            </w:r>
            <w:r>
              <w:rPr>
                <w:rFonts w:hint="eastAsia"/>
                <w:sz w:val="21"/>
              </w:rPr>
              <w:t>20m</w:t>
            </w:r>
            <w:r>
              <w:rPr>
                <w:rFonts w:hint="eastAsia"/>
                <w:sz w:val="21"/>
              </w:rPr>
              <w:t>处</w:t>
            </w:r>
            <w:r>
              <w:rPr>
                <w:rFonts w:hint="eastAsia"/>
                <w:sz w:val="21"/>
              </w:rPr>
              <w:t>6m</w:t>
            </w:r>
            <w:r>
              <w:rPr>
                <w:rFonts w:hint="eastAsia"/>
                <w:sz w:val="21"/>
              </w:rPr>
              <w:t>深</w:t>
            </w:r>
          </w:p>
        </w:tc>
        <w:tc>
          <w:tcPr>
            <w:tcW w:w="927" w:type="dxa"/>
            <w:tcBorders>
              <w:tl2br w:val="nil"/>
              <w:tr2bl w:val="nil"/>
            </w:tcBorders>
            <w:vAlign w:val="center"/>
          </w:tcPr>
          <w:p w14:paraId="6777B439" w14:textId="77777777" w:rsidR="009D12AF" w:rsidRDefault="00000000">
            <w:pPr>
              <w:spacing w:line="240" w:lineRule="auto"/>
              <w:ind w:firstLineChars="0" w:firstLine="0"/>
              <w:jc w:val="center"/>
              <w:rPr>
                <w:sz w:val="21"/>
              </w:rPr>
            </w:pPr>
            <w:r>
              <w:rPr>
                <w:rFonts w:hint="eastAsia"/>
                <w:sz w:val="21"/>
              </w:rPr>
              <w:t>17</w:t>
            </w:r>
          </w:p>
        </w:tc>
        <w:tc>
          <w:tcPr>
            <w:tcW w:w="859" w:type="dxa"/>
            <w:tcBorders>
              <w:tl2br w:val="nil"/>
              <w:tr2bl w:val="nil"/>
            </w:tcBorders>
            <w:vAlign w:val="center"/>
          </w:tcPr>
          <w:p w14:paraId="7649EB89" w14:textId="77777777" w:rsidR="009D12AF" w:rsidRDefault="00000000">
            <w:pPr>
              <w:spacing w:line="240" w:lineRule="auto"/>
              <w:ind w:firstLineChars="0" w:firstLine="0"/>
              <w:jc w:val="center"/>
              <w:rPr>
                <w:sz w:val="21"/>
              </w:rPr>
            </w:pPr>
            <w:r>
              <w:rPr>
                <w:rFonts w:hint="eastAsia"/>
                <w:sz w:val="21"/>
              </w:rPr>
              <w:t>0.029</w:t>
            </w:r>
          </w:p>
        </w:tc>
        <w:tc>
          <w:tcPr>
            <w:tcW w:w="668" w:type="dxa"/>
            <w:tcBorders>
              <w:tl2br w:val="nil"/>
              <w:tr2bl w:val="nil"/>
            </w:tcBorders>
            <w:vAlign w:val="center"/>
          </w:tcPr>
          <w:p w14:paraId="0CDDD824" w14:textId="77777777" w:rsidR="009D12AF" w:rsidRDefault="00000000">
            <w:pPr>
              <w:spacing w:line="240" w:lineRule="auto"/>
              <w:ind w:firstLineChars="0" w:firstLine="0"/>
              <w:jc w:val="center"/>
              <w:rPr>
                <w:sz w:val="21"/>
              </w:rPr>
            </w:pPr>
            <w:r>
              <w:rPr>
                <w:rFonts w:hint="eastAsia"/>
                <w:sz w:val="21"/>
              </w:rPr>
              <w:t>1.29</w:t>
            </w:r>
          </w:p>
        </w:tc>
        <w:tc>
          <w:tcPr>
            <w:tcW w:w="832" w:type="dxa"/>
            <w:tcBorders>
              <w:tl2br w:val="nil"/>
              <w:tr2bl w:val="nil"/>
            </w:tcBorders>
            <w:vAlign w:val="center"/>
          </w:tcPr>
          <w:p w14:paraId="35B989D0"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29E8B4E6"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5F70A834"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7FF1CC1F"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0637E4D5" w14:textId="77777777">
        <w:tc>
          <w:tcPr>
            <w:tcW w:w="2748" w:type="dxa"/>
            <w:tcBorders>
              <w:tl2br w:val="nil"/>
              <w:tr2bl w:val="nil"/>
            </w:tcBorders>
            <w:vAlign w:val="center"/>
          </w:tcPr>
          <w:p w14:paraId="3ADF8AF6" w14:textId="77777777" w:rsidR="009D12AF" w:rsidRDefault="00000000">
            <w:pPr>
              <w:spacing w:line="240" w:lineRule="auto"/>
              <w:ind w:firstLineChars="0" w:firstLine="0"/>
              <w:jc w:val="center"/>
              <w:rPr>
                <w:sz w:val="21"/>
              </w:rPr>
            </w:pPr>
            <w:r>
              <w:rPr>
                <w:rFonts w:hint="eastAsia"/>
                <w:sz w:val="21"/>
              </w:rPr>
              <w:t>挖泥斗</w:t>
            </w:r>
            <w:r>
              <w:rPr>
                <w:rFonts w:hint="eastAsia"/>
                <w:sz w:val="21"/>
              </w:rPr>
              <w:t>50m</w:t>
            </w:r>
            <w:r>
              <w:rPr>
                <w:rFonts w:hint="eastAsia"/>
                <w:sz w:val="21"/>
              </w:rPr>
              <w:t>处</w:t>
            </w:r>
            <w:r>
              <w:rPr>
                <w:rFonts w:hint="eastAsia"/>
                <w:sz w:val="21"/>
              </w:rPr>
              <w:t>3m</w:t>
            </w:r>
            <w:r>
              <w:rPr>
                <w:rFonts w:hint="eastAsia"/>
                <w:sz w:val="21"/>
              </w:rPr>
              <w:t>深</w:t>
            </w:r>
          </w:p>
        </w:tc>
        <w:tc>
          <w:tcPr>
            <w:tcW w:w="927" w:type="dxa"/>
            <w:tcBorders>
              <w:tl2br w:val="nil"/>
              <w:tr2bl w:val="nil"/>
            </w:tcBorders>
            <w:vAlign w:val="center"/>
          </w:tcPr>
          <w:p w14:paraId="2CE2D829" w14:textId="77777777" w:rsidR="009D12AF" w:rsidRDefault="00000000">
            <w:pPr>
              <w:spacing w:line="240" w:lineRule="auto"/>
              <w:ind w:firstLineChars="0" w:firstLine="0"/>
              <w:jc w:val="center"/>
              <w:rPr>
                <w:sz w:val="21"/>
              </w:rPr>
            </w:pPr>
            <w:r>
              <w:rPr>
                <w:rFonts w:hint="eastAsia"/>
                <w:sz w:val="21"/>
              </w:rPr>
              <w:t>9</w:t>
            </w:r>
          </w:p>
        </w:tc>
        <w:tc>
          <w:tcPr>
            <w:tcW w:w="859" w:type="dxa"/>
            <w:tcBorders>
              <w:tl2br w:val="nil"/>
              <w:tr2bl w:val="nil"/>
            </w:tcBorders>
            <w:vAlign w:val="center"/>
          </w:tcPr>
          <w:p w14:paraId="158B59BD" w14:textId="77777777" w:rsidR="009D12AF" w:rsidRDefault="00000000">
            <w:pPr>
              <w:spacing w:line="240" w:lineRule="auto"/>
              <w:ind w:firstLineChars="0" w:firstLine="0"/>
              <w:jc w:val="center"/>
              <w:rPr>
                <w:sz w:val="21"/>
              </w:rPr>
            </w:pPr>
            <w:r>
              <w:rPr>
                <w:rFonts w:hint="eastAsia"/>
                <w:sz w:val="21"/>
              </w:rPr>
              <w:t>0.021</w:t>
            </w:r>
          </w:p>
        </w:tc>
        <w:tc>
          <w:tcPr>
            <w:tcW w:w="668" w:type="dxa"/>
            <w:tcBorders>
              <w:tl2br w:val="nil"/>
              <w:tr2bl w:val="nil"/>
            </w:tcBorders>
            <w:vAlign w:val="center"/>
          </w:tcPr>
          <w:p w14:paraId="1DFE6E05" w14:textId="77777777" w:rsidR="009D12AF" w:rsidRDefault="00000000">
            <w:pPr>
              <w:spacing w:line="240" w:lineRule="auto"/>
              <w:ind w:firstLineChars="0" w:firstLine="0"/>
              <w:jc w:val="center"/>
              <w:rPr>
                <w:sz w:val="21"/>
              </w:rPr>
            </w:pPr>
            <w:r>
              <w:rPr>
                <w:rFonts w:hint="eastAsia"/>
                <w:sz w:val="21"/>
              </w:rPr>
              <w:t>1.36</w:t>
            </w:r>
          </w:p>
        </w:tc>
        <w:tc>
          <w:tcPr>
            <w:tcW w:w="832" w:type="dxa"/>
            <w:tcBorders>
              <w:tl2br w:val="nil"/>
              <w:tr2bl w:val="nil"/>
            </w:tcBorders>
            <w:vAlign w:val="center"/>
          </w:tcPr>
          <w:p w14:paraId="44CF7ECC"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67402ECD"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24504E62"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37DBCC43"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39A9319D" w14:textId="77777777">
        <w:tc>
          <w:tcPr>
            <w:tcW w:w="2748" w:type="dxa"/>
            <w:tcBorders>
              <w:tl2br w:val="nil"/>
              <w:tr2bl w:val="nil"/>
            </w:tcBorders>
            <w:vAlign w:val="center"/>
          </w:tcPr>
          <w:p w14:paraId="29528597" w14:textId="77777777" w:rsidR="009D12AF" w:rsidRDefault="00000000">
            <w:pPr>
              <w:spacing w:line="240" w:lineRule="auto"/>
              <w:ind w:firstLineChars="0" w:firstLine="0"/>
              <w:jc w:val="center"/>
              <w:rPr>
                <w:sz w:val="21"/>
              </w:rPr>
            </w:pPr>
            <w:r>
              <w:rPr>
                <w:rFonts w:hint="eastAsia"/>
                <w:sz w:val="21"/>
              </w:rPr>
              <w:t>挖泥斗</w:t>
            </w:r>
            <w:r>
              <w:rPr>
                <w:rFonts w:hint="eastAsia"/>
                <w:sz w:val="21"/>
              </w:rPr>
              <w:t>50m</w:t>
            </w:r>
            <w:r>
              <w:rPr>
                <w:rFonts w:hint="eastAsia"/>
                <w:sz w:val="21"/>
              </w:rPr>
              <w:t>处</w:t>
            </w:r>
            <w:r>
              <w:rPr>
                <w:rFonts w:hint="eastAsia"/>
                <w:sz w:val="21"/>
              </w:rPr>
              <w:t>3m</w:t>
            </w:r>
            <w:r>
              <w:rPr>
                <w:rFonts w:hint="eastAsia"/>
                <w:sz w:val="21"/>
              </w:rPr>
              <w:t>深</w:t>
            </w:r>
          </w:p>
        </w:tc>
        <w:tc>
          <w:tcPr>
            <w:tcW w:w="927" w:type="dxa"/>
            <w:tcBorders>
              <w:tl2br w:val="nil"/>
              <w:tr2bl w:val="nil"/>
            </w:tcBorders>
            <w:vAlign w:val="center"/>
          </w:tcPr>
          <w:p w14:paraId="5DDBACE6" w14:textId="77777777" w:rsidR="009D12AF" w:rsidRDefault="00000000">
            <w:pPr>
              <w:spacing w:line="240" w:lineRule="auto"/>
              <w:ind w:firstLineChars="0" w:firstLine="0"/>
              <w:jc w:val="center"/>
              <w:rPr>
                <w:sz w:val="21"/>
              </w:rPr>
            </w:pPr>
            <w:r>
              <w:rPr>
                <w:rFonts w:hint="eastAsia"/>
                <w:sz w:val="21"/>
              </w:rPr>
              <w:t>14</w:t>
            </w:r>
          </w:p>
        </w:tc>
        <w:tc>
          <w:tcPr>
            <w:tcW w:w="859" w:type="dxa"/>
            <w:tcBorders>
              <w:tl2br w:val="nil"/>
              <w:tr2bl w:val="nil"/>
            </w:tcBorders>
            <w:vAlign w:val="center"/>
          </w:tcPr>
          <w:p w14:paraId="4F84D27D" w14:textId="77777777" w:rsidR="009D12AF" w:rsidRDefault="00000000">
            <w:pPr>
              <w:spacing w:line="240" w:lineRule="auto"/>
              <w:ind w:firstLineChars="0" w:firstLine="0"/>
              <w:jc w:val="center"/>
              <w:rPr>
                <w:sz w:val="21"/>
              </w:rPr>
            </w:pPr>
            <w:r>
              <w:rPr>
                <w:rFonts w:hint="eastAsia"/>
                <w:sz w:val="21"/>
              </w:rPr>
              <w:t>0.022</w:t>
            </w:r>
          </w:p>
        </w:tc>
        <w:tc>
          <w:tcPr>
            <w:tcW w:w="668" w:type="dxa"/>
            <w:tcBorders>
              <w:tl2br w:val="nil"/>
              <w:tr2bl w:val="nil"/>
            </w:tcBorders>
            <w:vAlign w:val="center"/>
          </w:tcPr>
          <w:p w14:paraId="358BE492" w14:textId="77777777" w:rsidR="009D12AF" w:rsidRDefault="00000000">
            <w:pPr>
              <w:spacing w:line="240" w:lineRule="auto"/>
              <w:ind w:firstLineChars="0" w:firstLine="0"/>
              <w:jc w:val="center"/>
              <w:rPr>
                <w:sz w:val="21"/>
              </w:rPr>
            </w:pPr>
            <w:r>
              <w:rPr>
                <w:rFonts w:hint="eastAsia"/>
                <w:sz w:val="21"/>
              </w:rPr>
              <w:t>1.24</w:t>
            </w:r>
          </w:p>
        </w:tc>
        <w:tc>
          <w:tcPr>
            <w:tcW w:w="832" w:type="dxa"/>
            <w:tcBorders>
              <w:tl2br w:val="nil"/>
              <w:tr2bl w:val="nil"/>
            </w:tcBorders>
            <w:vAlign w:val="center"/>
          </w:tcPr>
          <w:p w14:paraId="52CC82BD"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0AC0745D"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143CD640"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7CF40D25"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06A5D64A" w14:textId="77777777">
        <w:tc>
          <w:tcPr>
            <w:tcW w:w="2748" w:type="dxa"/>
            <w:tcBorders>
              <w:tl2br w:val="nil"/>
              <w:tr2bl w:val="nil"/>
            </w:tcBorders>
            <w:vAlign w:val="center"/>
          </w:tcPr>
          <w:p w14:paraId="2AE1208A" w14:textId="77777777" w:rsidR="009D12AF" w:rsidRDefault="00000000">
            <w:pPr>
              <w:spacing w:line="240" w:lineRule="auto"/>
              <w:ind w:firstLineChars="0" w:firstLine="0"/>
              <w:jc w:val="center"/>
              <w:rPr>
                <w:sz w:val="21"/>
              </w:rPr>
            </w:pPr>
            <w:r>
              <w:rPr>
                <w:rFonts w:hint="eastAsia"/>
                <w:sz w:val="21"/>
              </w:rPr>
              <w:t>挖泥斗</w:t>
            </w:r>
            <w:r>
              <w:rPr>
                <w:rFonts w:hint="eastAsia"/>
                <w:sz w:val="21"/>
              </w:rPr>
              <w:t>50m</w:t>
            </w:r>
            <w:r>
              <w:rPr>
                <w:rFonts w:hint="eastAsia"/>
                <w:sz w:val="21"/>
              </w:rPr>
              <w:t>处</w:t>
            </w:r>
            <w:r>
              <w:rPr>
                <w:rFonts w:hint="eastAsia"/>
                <w:sz w:val="21"/>
              </w:rPr>
              <w:t>6m</w:t>
            </w:r>
            <w:r>
              <w:rPr>
                <w:rFonts w:hint="eastAsia"/>
                <w:sz w:val="21"/>
              </w:rPr>
              <w:t>深</w:t>
            </w:r>
          </w:p>
        </w:tc>
        <w:tc>
          <w:tcPr>
            <w:tcW w:w="927" w:type="dxa"/>
            <w:tcBorders>
              <w:tl2br w:val="nil"/>
              <w:tr2bl w:val="nil"/>
            </w:tcBorders>
            <w:vAlign w:val="center"/>
          </w:tcPr>
          <w:p w14:paraId="19AA1312" w14:textId="77777777" w:rsidR="009D12AF" w:rsidRDefault="00000000">
            <w:pPr>
              <w:spacing w:line="240" w:lineRule="auto"/>
              <w:ind w:firstLineChars="0" w:firstLine="0"/>
              <w:jc w:val="center"/>
              <w:rPr>
                <w:sz w:val="21"/>
              </w:rPr>
            </w:pPr>
            <w:r>
              <w:rPr>
                <w:rFonts w:hint="eastAsia"/>
                <w:sz w:val="21"/>
              </w:rPr>
              <w:t>15</w:t>
            </w:r>
          </w:p>
        </w:tc>
        <w:tc>
          <w:tcPr>
            <w:tcW w:w="859" w:type="dxa"/>
            <w:tcBorders>
              <w:tl2br w:val="nil"/>
              <w:tr2bl w:val="nil"/>
            </w:tcBorders>
            <w:vAlign w:val="center"/>
          </w:tcPr>
          <w:p w14:paraId="2CAA5136" w14:textId="77777777" w:rsidR="009D12AF" w:rsidRDefault="00000000">
            <w:pPr>
              <w:spacing w:line="240" w:lineRule="auto"/>
              <w:ind w:firstLineChars="0" w:firstLine="0"/>
              <w:jc w:val="center"/>
              <w:rPr>
                <w:sz w:val="21"/>
              </w:rPr>
            </w:pPr>
            <w:r>
              <w:rPr>
                <w:rFonts w:hint="eastAsia"/>
                <w:sz w:val="21"/>
              </w:rPr>
              <w:t>0.022</w:t>
            </w:r>
          </w:p>
        </w:tc>
        <w:tc>
          <w:tcPr>
            <w:tcW w:w="668" w:type="dxa"/>
            <w:tcBorders>
              <w:tl2br w:val="nil"/>
              <w:tr2bl w:val="nil"/>
            </w:tcBorders>
            <w:vAlign w:val="center"/>
          </w:tcPr>
          <w:p w14:paraId="1CFA5CE3" w14:textId="77777777" w:rsidR="009D12AF" w:rsidRDefault="00000000">
            <w:pPr>
              <w:spacing w:line="240" w:lineRule="auto"/>
              <w:ind w:firstLineChars="0" w:firstLine="0"/>
              <w:jc w:val="center"/>
              <w:rPr>
                <w:sz w:val="21"/>
              </w:rPr>
            </w:pPr>
            <w:r>
              <w:rPr>
                <w:rFonts w:hint="eastAsia"/>
                <w:sz w:val="21"/>
              </w:rPr>
              <w:t>1.31</w:t>
            </w:r>
          </w:p>
        </w:tc>
        <w:tc>
          <w:tcPr>
            <w:tcW w:w="832" w:type="dxa"/>
            <w:tcBorders>
              <w:tl2br w:val="nil"/>
              <w:tr2bl w:val="nil"/>
            </w:tcBorders>
            <w:vAlign w:val="center"/>
          </w:tcPr>
          <w:p w14:paraId="4BCA22E4"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24A96809"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1208E7A1"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7AAAD477"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6B3D2807" w14:textId="77777777">
        <w:tc>
          <w:tcPr>
            <w:tcW w:w="2748" w:type="dxa"/>
            <w:tcBorders>
              <w:tl2br w:val="nil"/>
              <w:tr2bl w:val="nil"/>
            </w:tcBorders>
            <w:vAlign w:val="center"/>
          </w:tcPr>
          <w:p w14:paraId="231A8E81" w14:textId="77777777" w:rsidR="009D12AF" w:rsidRDefault="00000000">
            <w:pPr>
              <w:spacing w:line="240" w:lineRule="auto"/>
              <w:ind w:firstLineChars="0" w:firstLine="0"/>
              <w:jc w:val="center"/>
              <w:rPr>
                <w:sz w:val="21"/>
              </w:rPr>
            </w:pPr>
            <w:r>
              <w:rPr>
                <w:rFonts w:hint="eastAsia"/>
                <w:sz w:val="21"/>
              </w:rPr>
              <w:t>挖泥斗</w:t>
            </w:r>
            <w:r>
              <w:rPr>
                <w:rFonts w:hint="eastAsia"/>
                <w:sz w:val="21"/>
              </w:rPr>
              <w:t>50m</w:t>
            </w:r>
            <w:r>
              <w:rPr>
                <w:rFonts w:hint="eastAsia"/>
                <w:sz w:val="21"/>
              </w:rPr>
              <w:t>处</w:t>
            </w:r>
            <w:r>
              <w:rPr>
                <w:rFonts w:hint="eastAsia"/>
                <w:sz w:val="21"/>
              </w:rPr>
              <w:t>6m</w:t>
            </w:r>
            <w:r>
              <w:rPr>
                <w:rFonts w:hint="eastAsia"/>
                <w:sz w:val="21"/>
              </w:rPr>
              <w:t>深</w:t>
            </w:r>
          </w:p>
        </w:tc>
        <w:tc>
          <w:tcPr>
            <w:tcW w:w="927" w:type="dxa"/>
            <w:tcBorders>
              <w:tl2br w:val="nil"/>
              <w:tr2bl w:val="nil"/>
            </w:tcBorders>
            <w:vAlign w:val="center"/>
          </w:tcPr>
          <w:p w14:paraId="4CD9B87D" w14:textId="77777777" w:rsidR="009D12AF" w:rsidRDefault="00000000">
            <w:pPr>
              <w:spacing w:line="240" w:lineRule="auto"/>
              <w:ind w:firstLineChars="0" w:firstLine="0"/>
              <w:jc w:val="center"/>
              <w:rPr>
                <w:sz w:val="21"/>
              </w:rPr>
            </w:pPr>
            <w:r>
              <w:rPr>
                <w:rFonts w:hint="eastAsia"/>
                <w:sz w:val="21"/>
              </w:rPr>
              <w:t>27</w:t>
            </w:r>
          </w:p>
        </w:tc>
        <w:tc>
          <w:tcPr>
            <w:tcW w:w="859" w:type="dxa"/>
            <w:tcBorders>
              <w:tl2br w:val="nil"/>
              <w:tr2bl w:val="nil"/>
            </w:tcBorders>
            <w:vAlign w:val="center"/>
          </w:tcPr>
          <w:p w14:paraId="57877424" w14:textId="77777777" w:rsidR="009D12AF" w:rsidRDefault="00000000">
            <w:pPr>
              <w:spacing w:line="240" w:lineRule="auto"/>
              <w:ind w:firstLineChars="0" w:firstLine="0"/>
              <w:jc w:val="center"/>
              <w:rPr>
                <w:sz w:val="21"/>
              </w:rPr>
            </w:pPr>
            <w:r>
              <w:rPr>
                <w:rFonts w:hint="eastAsia"/>
                <w:sz w:val="21"/>
              </w:rPr>
              <w:t>0.022</w:t>
            </w:r>
          </w:p>
        </w:tc>
        <w:tc>
          <w:tcPr>
            <w:tcW w:w="668" w:type="dxa"/>
            <w:tcBorders>
              <w:tl2br w:val="nil"/>
              <w:tr2bl w:val="nil"/>
            </w:tcBorders>
            <w:vAlign w:val="center"/>
          </w:tcPr>
          <w:p w14:paraId="027F7607" w14:textId="77777777" w:rsidR="009D12AF" w:rsidRDefault="00000000">
            <w:pPr>
              <w:spacing w:line="240" w:lineRule="auto"/>
              <w:ind w:firstLineChars="0" w:firstLine="0"/>
              <w:jc w:val="center"/>
              <w:rPr>
                <w:sz w:val="21"/>
              </w:rPr>
            </w:pPr>
            <w:r>
              <w:rPr>
                <w:rFonts w:hint="eastAsia"/>
                <w:sz w:val="21"/>
              </w:rPr>
              <w:t>1.28</w:t>
            </w:r>
          </w:p>
        </w:tc>
        <w:tc>
          <w:tcPr>
            <w:tcW w:w="832" w:type="dxa"/>
            <w:tcBorders>
              <w:tl2br w:val="nil"/>
              <w:tr2bl w:val="nil"/>
            </w:tcBorders>
            <w:vAlign w:val="center"/>
          </w:tcPr>
          <w:p w14:paraId="6EDFA210"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14593083"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3CA6BCF9"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63AC7CD0"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563D338B" w14:textId="77777777">
        <w:tc>
          <w:tcPr>
            <w:tcW w:w="2748" w:type="dxa"/>
            <w:tcBorders>
              <w:tl2br w:val="nil"/>
              <w:tr2bl w:val="nil"/>
            </w:tcBorders>
            <w:vAlign w:val="center"/>
          </w:tcPr>
          <w:p w14:paraId="24358709" w14:textId="77777777" w:rsidR="009D12AF" w:rsidRDefault="00000000">
            <w:pPr>
              <w:spacing w:line="240" w:lineRule="auto"/>
              <w:ind w:firstLineChars="0" w:firstLine="0"/>
              <w:jc w:val="center"/>
              <w:rPr>
                <w:sz w:val="21"/>
              </w:rPr>
            </w:pPr>
            <w:r>
              <w:rPr>
                <w:rFonts w:hint="eastAsia"/>
                <w:sz w:val="21"/>
              </w:rPr>
              <w:t>挖泥斗</w:t>
            </w:r>
            <w:r>
              <w:rPr>
                <w:rFonts w:hint="eastAsia"/>
                <w:sz w:val="21"/>
              </w:rPr>
              <w:t>100m</w:t>
            </w:r>
            <w:r>
              <w:rPr>
                <w:rFonts w:hint="eastAsia"/>
                <w:sz w:val="21"/>
              </w:rPr>
              <w:t>处</w:t>
            </w:r>
            <w:r>
              <w:rPr>
                <w:rFonts w:hint="eastAsia"/>
                <w:sz w:val="21"/>
              </w:rPr>
              <w:t>3m</w:t>
            </w:r>
            <w:r>
              <w:rPr>
                <w:rFonts w:hint="eastAsia"/>
                <w:sz w:val="21"/>
              </w:rPr>
              <w:t>深</w:t>
            </w:r>
          </w:p>
        </w:tc>
        <w:tc>
          <w:tcPr>
            <w:tcW w:w="927" w:type="dxa"/>
            <w:tcBorders>
              <w:tl2br w:val="nil"/>
              <w:tr2bl w:val="nil"/>
            </w:tcBorders>
            <w:vAlign w:val="center"/>
          </w:tcPr>
          <w:p w14:paraId="348A2CBA" w14:textId="77777777" w:rsidR="009D12AF" w:rsidRDefault="00000000">
            <w:pPr>
              <w:spacing w:line="240" w:lineRule="auto"/>
              <w:ind w:firstLineChars="0" w:firstLine="0"/>
              <w:jc w:val="center"/>
              <w:rPr>
                <w:sz w:val="21"/>
              </w:rPr>
            </w:pPr>
            <w:r>
              <w:rPr>
                <w:rFonts w:hint="eastAsia"/>
                <w:sz w:val="21"/>
              </w:rPr>
              <w:t>10</w:t>
            </w:r>
          </w:p>
        </w:tc>
        <w:tc>
          <w:tcPr>
            <w:tcW w:w="859" w:type="dxa"/>
            <w:tcBorders>
              <w:tl2br w:val="nil"/>
              <w:tr2bl w:val="nil"/>
            </w:tcBorders>
            <w:vAlign w:val="center"/>
          </w:tcPr>
          <w:p w14:paraId="33E2A7D9" w14:textId="77777777" w:rsidR="009D12AF" w:rsidRDefault="00000000">
            <w:pPr>
              <w:spacing w:line="240" w:lineRule="auto"/>
              <w:ind w:firstLineChars="0" w:firstLine="0"/>
              <w:jc w:val="center"/>
              <w:rPr>
                <w:sz w:val="21"/>
              </w:rPr>
            </w:pPr>
            <w:r>
              <w:rPr>
                <w:rFonts w:hint="eastAsia"/>
                <w:sz w:val="21"/>
              </w:rPr>
              <w:t>0.024</w:t>
            </w:r>
          </w:p>
        </w:tc>
        <w:tc>
          <w:tcPr>
            <w:tcW w:w="668" w:type="dxa"/>
            <w:tcBorders>
              <w:tl2br w:val="nil"/>
              <w:tr2bl w:val="nil"/>
            </w:tcBorders>
            <w:vAlign w:val="center"/>
          </w:tcPr>
          <w:p w14:paraId="194E063A" w14:textId="77777777" w:rsidR="009D12AF" w:rsidRDefault="00000000">
            <w:pPr>
              <w:spacing w:line="240" w:lineRule="auto"/>
              <w:ind w:firstLineChars="0" w:firstLine="0"/>
              <w:jc w:val="center"/>
              <w:rPr>
                <w:sz w:val="21"/>
              </w:rPr>
            </w:pPr>
            <w:r>
              <w:rPr>
                <w:rFonts w:hint="eastAsia"/>
                <w:sz w:val="21"/>
              </w:rPr>
              <w:t>1.47</w:t>
            </w:r>
          </w:p>
        </w:tc>
        <w:tc>
          <w:tcPr>
            <w:tcW w:w="832" w:type="dxa"/>
            <w:tcBorders>
              <w:tl2br w:val="nil"/>
              <w:tr2bl w:val="nil"/>
            </w:tcBorders>
            <w:vAlign w:val="center"/>
          </w:tcPr>
          <w:p w14:paraId="6151A31A"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13EB19F4"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3D4F62A2"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2987B526"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1C8E20B2" w14:textId="77777777">
        <w:tc>
          <w:tcPr>
            <w:tcW w:w="2748" w:type="dxa"/>
            <w:tcBorders>
              <w:tl2br w:val="nil"/>
              <w:tr2bl w:val="nil"/>
            </w:tcBorders>
            <w:vAlign w:val="center"/>
          </w:tcPr>
          <w:p w14:paraId="04EF32F1" w14:textId="77777777" w:rsidR="009D12AF" w:rsidRDefault="00000000">
            <w:pPr>
              <w:spacing w:line="240" w:lineRule="auto"/>
              <w:ind w:firstLineChars="0" w:firstLine="0"/>
              <w:jc w:val="center"/>
              <w:rPr>
                <w:sz w:val="21"/>
              </w:rPr>
            </w:pPr>
            <w:r>
              <w:rPr>
                <w:rFonts w:hint="eastAsia"/>
                <w:sz w:val="21"/>
              </w:rPr>
              <w:t>挖泥斗</w:t>
            </w:r>
            <w:r>
              <w:rPr>
                <w:rFonts w:hint="eastAsia"/>
                <w:sz w:val="21"/>
              </w:rPr>
              <w:t>100m</w:t>
            </w:r>
            <w:r>
              <w:rPr>
                <w:rFonts w:hint="eastAsia"/>
                <w:sz w:val="21"/>
              </w:rPr>
              <w:t>处</w:t>
            </w:r>
            <w:r>
              <w:rPr>
                <w:rFonts w:hint="eastAsia"/>
                <w:sz w:val="21"/>
              </w:rPr>
              <w:t>3m</w:t>
            </w:r>
            <w:r>
              <w:rPr>
                <w:rFonts w:hint="eastAsia"/>
                <w:sz w:val="21"/>
              </w:rPr>
              <w:t>深</w:t>
            </w:r>
          </w:p>
        </w:tc>
        <w:tc>
          <w:tcPr>
            <w:tcW w:w="927" w:type="dxa"/>
            <w:tcBorders>
              <w:tl2br w:val="nil"/>
              <w:tr2bl w:val="nil"/>
            </w:tcBorders>
            <w:vAlign w:val="center"/>
          </w:tcPr>
          <w:p w14:paraId="6781FA0D" w14:textId="77777777" w:rsidR="009D12AF" w:rsidRDefault="00000000">
            <w:pPr>
              <w:spacing w:line="240" w:lineRule="auto"/>
              <w:ind w:firstLineChars="0" w:firstLine="0"/>
              <w:jc w:val="center"/>
              <w:rPr>
                <w:sz w:val="21"/>
              </w:rPr>
            </w:pPr>
            <w:r>
              <w:rPr>
                <w:rFonts w:hint="eastAsia"/>
                <w:sz w:val="21"/>
              </w:rPr>
              <w:t>10</w:t>
            </w:r>
          </w:p>
        </w:tc>
        <w:tc>
          <w:tcPr>
            <w:tcW w:w="859" w:type="dxa"/>
            <w:tcBorders>
              <w:tl2br w:val="nil"/>
              <w:tr2bl w:val="nil"/>
            </w:tcBorders>
            <w:vAlign w:val="center"/>
          </w:tcPr>
          <w:p w14:paraId="0062AEE6" w14:textId="77777777" w:rsidR="009D12AF" w:rsidRDefault="00000000">
            <w:pPr>
              <w:spacing w:line="240" w:lineRule="auto"/>
              <w:ind w:firstLineChars="0" w:firstLine="0"/>
              <w:jc w:val="center"/>
              <w:rPr>
                <w:sz w:val="21"/>
              </w:rPr>
            </w:pPr>
            <w:r>
              <w:rPr>
                <w:rFonts w:hint="eastAsia"/>
                <w:sz w:val="21"/>
              </w:rPr>
              <w:t>0.025</w:t>
            </w:r>
          </w:p>
        </w:tc>
        <w:tc>
          <w:tcPr>
            <w:tcW w:w="668" w:type="dxa"/>
            <w:tcBorders>
              <w:tl2br w:val="nil"/>
              <w:tr2bl w:val="nil"/>
            </w:tcBorders>
            <w:vAlign w:val="center"/>
          </w:tcPr>
          <w:p w14:paraId="64DC6FCA" w14:textId="77777777" w:rsidR="009D12AF" w:rsidRDefault="00000000">
            <w:pPr>
              <w:spacing w:line="240" w:lineRule="auto"/>
              <w:ind w:firstLineChars="0" w:firstLine="0"/>
              <w:jc w:val="center"/>
              <w:rPr>
                <w:sz w:val="21"/>
              </w:rPr>
            </w:pPr>
            <w:r>
              <w:rPr>
                <w:rFonts w:hint="eastAsia"/>
                <w:sz w:val="21"/>
              </w:rPr>
              <w:t>1.26</w:t>
            </w:r>
          </w:p>
        </w:tc>
        <w:tc>
          <w:tcPr>
            <w:tcW w:w="832" w:type="dxa"/>
            <w:tcBorders>
              <w:tl2br w:val="nil"/>
              <w:tr2bl w:val="nil"/>
            </w:tcBorders>
            <w:vAlign w:val="center"/>
          </w:tcPr>
          <w:p w14:paraId="77B98819"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23A72F01"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5FC30005"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56E4A4AB"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547CE4A5" w14:textId="77777777">
        <w:trPr>
          <w:trHeight w:val="463"/>
        </w:trPr>
        <w:tc>
          <w:tcPr>
            <w:tcW w:w="2748" w:type="dxa"/>
            <w:tcBorders>
              <w:tl2br w:val="nil"/>
              <w:tr2bl w:val="nil"/>
            </w:tcBorders>
            <w:vAlign w:val="center"/>
          </w:tcPr>
          <w:p w14:paraId="138907B6" w14:textId="77777777" w:rsidR="009D12AF" w:rsidRDefault="00000000">
            <w:pPr>
              <w:spacing w:line="240" w:lineRule="auto"/>
              <w:ind w:firstLineChars="0" w:firstLine="0"/>
              <w:jc w:val="center"/>
              <w:rPr>
                <w:sz w:val="21"/>
              </w:rPr>
            </w:pPr>
            <w:r>
              <w:rPr>
                <w:rFonts w:hint="eastAsia"/>
                <w:sz w:val="21"/>
              </w:rPr>
              <w:t>挖泥斗</w:t>
            </w:r>
            <w:r>
              <w:rPr>
                <w:rFonts w:hint="eastAsia"/>
                <w:sz w:val="21"/>
              </w:rPr>
              <w:t>100m</w:t>
            </w:r>
            <w:r>
              <w:rPr>
                <w:rFonts w:hint="eastAsia"/>
                <w:sz w:val="21"/>
              </w:rPr>
              <w:t>处</w:t>
            </w:r>
            <w:r>
              <w:rPr>
                <w:rFonts w:hint="eastAsia"/>
                <w:sz w:val="21"/>
              </w:rPr>
              <w:t>6m</w:t>
            </w:r>
            <w:r>
              <w:rPr>
                <w:rFonts w:hint="eastAsia"/>
                <w:sz w:val="21"/>
              </w:rPr>
              <w:t>深</w:t>
            </w:r>
          </w:p>
        </w:tc>
        <w:tc>
          <w:tcPr>
            <w:tcW w:w="927" w:type="dxa"/>
            <w:tcBorders>
              <w:tl2br w:val="nil"/>
              <w:tr2bl w:val="nil"/>
            </w:tcBorders>
            <w:vAlign w:val="center"/>
          </w:tcPr>
          <w:p w14:paraId="0AF989B1" w14:textId="77777777" w:rsidR="009D12AF" w:rsidRDefault="00000000">
            <w:pPr>
              <w:spacing w:line="240" w:lineRule="auto"/>
              <w:ind w:firstLineChars="0" w:firstLine="0"/>
              <w:jc w:val="center"/>
              <w:rPr>
                <w:sz w:val="21"/>
              </w:rPr>
            </w:pPr>
            <w:r>
              <w:rPr>
                <w:rFonts w:hint="eastAsia"/>
                <w:sz w:val="21"/>
              </w:rPr>
              <w:t>12</w:t>
            </w:r>
          </w:p>
        </w:tc>
        <w:tc>
          <w:tcPr>
            <w:tcW w:w="859" w:type="dxa"/>
            <w:tcBorders>
              <w:tl2br w:val="nil"/>
              <w:tr2bl w:val="nil"/>
            </w:tcBorders>
            <w:vAlign w:val="center"/>
          </w:tcPr>
          <w:p w14:paraId="22240419" w14:textId="77777777" w:rsidR="009D12AF" w:rsidRDefault="00000000">
            <w:pPr>
              <w:spacing w:line="240" w:lineRule="auto"/>
              <w:ind w:firstLineChars="0" w:firstLine="0"/>
              <w:jc w:val="center"/>
              <w:rPr>
                <w:sz w:val="21"/>
              </w:rPr>
            </w:pPr>
            <w:r>
              <w:rPr>
                <w:rFonts w:hint="eastAsia"/>
                <w:sz w:val="21"/>
              </w:rPr>
              <w:t>0.026</w:t>
            </w:r>
          </w:p>
        </w:tc>
        <w:tc>
          <w:tcPr>
            <w:tcW w:w="668" w:type="dxa"/>
            <w:tcBorders>
              <w:tl2br w:val="nil"/>
              <w:tr2bl w:val="nil"/>
            </w:tcBorders>
            <w:vAlign w:val="center"/>
          </w:tcPr>
          <w:p w14:paraId="5ABE00C8" w14:textId="77777777" w:rsidR="009D12AF" w:rsidRDefault="00000000">
            <w:pPr>
              <w:spacing w:line="240" w:lineRule="auto"/>
              <w:ind w:firstLineChars="0" w:firstLine="0"/>
              <w:jc w:val="center"/>
              <w:rPr>
                <w:sz w:val="21"/>
              </w:rPr>
            </w:pPr>
            <w:r>
              <w:rPr>
                <w:rFonts w:hint="eastAsia"/>
                <w:sz w:val="21"/>
              </w:rPr>
              <w:t>1.43</w:t>
            </w:r>
          </w:p>
        </w:tc>
        <w:tc>
          <w:tcPr>
            <w:tcW w:w="832" w:type="dxa"/>
            <w:tcBorders>
              <w:tl2br w:val="nil"/>
              <w:tr2bl w:val="nil"/>
            </w:tcBorders>
            <w:vAlign w:val="center"/>
          </w:tcPr>
          <w:p w14:paraId="4630E05B"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5C1BEBE2"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36351B5D"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2E678598"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4992A327" w14:textId="77777777">
        <w:tc>
          <w:tcPr>
            <w:tcW w:w="2748" w:type="dxa"/>
            <w:tcBorders>
              <w:tl2br w:val="nil"/>
              <w:tr2bl w:val="nil"/>
            </w:tcBorders>
            <w:vAlign w:val="center"/>
          </w:tcPr>
          <w:p w14:paraId="565C7245" w14:textId="77777777" w:rsidR="009D12AF" w:rsidRDefault="00000000">
            <w:pPr>
              <w:spacing w:line="240" w:lineRule="auto"/>
              <w:ind w:firstLineChars="0" w:firstLine="0"/>
              <w:jc w:val="center"/>
              <w:rPr>
                <w:sz w:val="21"/>
              </w:rPr>
            </w:pPr>
            <w:r>
              <w:rPr>
                <w:rFonts w:hint="eastAsia"/>
                <w:sz w:val="21"/>
              </w:rPr>
              <w:t>挖泥斗</w:t>
            </w:r>
            <w:r>
              <w:rPr>
                <w:rFonts w:hint="eastAsia"/>
                <w:sz w:val="21"/>
              </w:rPr>
              <w:t>100m</w:t>
            </w:r>
            <w:r>
              <w:rPr>
                <w:rFonts w:hint="eastAsia"/>
                <w:sz w:val="21"/>
              </w:rPr>
              <w:t>处</w:t>
            </w:r>
            <w:r>
              <w:rPr>
                <w:rFonts w:hint="eastAsia"/>
                <w:sz w:val="21"/>
              </w:rPr>
              <w:t>6m</w:t>
            </w:r>
            <w:r>
              <w:rPr>
                <w:rFonts w:hint="eastAsia"/>
                <w:sz w:val="21"/>
              </w:rPr>
              <w:t>深</w:t>
            </w:r>
          </w:p>
        </w:tc>
        <w:tc>
          <w:tcPr>
            <w:tcW w:w="927" w:type="dxa"/>
            <w:tcBorders>
              <w:tl2br w:val="nil"/>
              <w:tr2bl w:val="nil"/>
            </w:tcBorders>
            <w:vAlign w:val="center"/>
          </w:tcPr>
          <w:p w14:paraId="3398A339" w14:textId="77777777" w:rsidR="009D12AF" w:rsidRDefault="00000000">
            <w:pPr>
              <w:spacing w:line="240" w:lineRule="auto"/>
              <w:ind w:firstLineChars="0" w:firstLine="0"/>
              <w:jc w:val="center"/>
              <w:rPr>
                <w:sz w:val="21"/>
              </w:rPr>
            </w:pPr>
            <w:r>
              <w:rPr>
                <w:rFonts w:hint="eastAsia"/>
                <w:sz w:val="21"/>
              </w:rPr>
              <w:t>28</w:t>
            </w:r>
          </w:p>
        </w:tc>
        <w:tc>
          <w:tcPr>
            <w:tcW w:w="859" w:type="dxa"/>
            <w:tcBorders>
              <w:tl2br w:val="nil"/>
              <w:tr2bl w:val="nil"/>
            </w:tcBorders>
            <w:vAlign w:val="center"/>
          </w:tcPr>
          <w:p w14:paraId="01BA999A" w14:textId="77777777" w:rsidR="009D12AF" w:rsidRDefault="00000000">
            <w:pPr>
              <w:spacing w:line="240" w:lineRule="auto"/>
              <w:ind w:firstLineChars="0" w:firstLine="0"/>
              <w:jc w:val="center"/>
              <w:rPr>
                <w:sz w:val="21"/>
              </w:rPr>
            </w:pPr>
            <w:r>
              <w:rPr>
                <w:rFonts w:hint="eastAsia"/>
                <w:sz w:val="21"/>
              </w:rPr>
              <w:t>0.029</w:t>
            </w:r>
          </w:p>
        </w:tc>
        <w:tc>
          <w:tcPr>
            <w:tcW w:w="668" w:type="dxa"/>
            <w:tcBorders>
              <w:tl2br w:val="nil"/>
              <w:tr2bl w:val="nil"/>
            </w:tcBorders>
            <w:vAlign w:val="center"/>
          </w:tcPr>
          <w:p w14:paraId="6EA35EE4" w14:textId="77777777" w:rsidR="009D12AF" w:rsidRDefault="00000000">
            <w:pPr>
              <w:spacing w:line="240" w:lineRule="auto"/>
              <w:ind w:firstLineChars="0" w:firstLine="0"/>
              <w:jc w:val="center"/>
              <w:rPr>
                <w:sz w:val="21"/>
              </w:rPr>
            </w:pPr>
            <w:r>
              <w:rPr>
                <w:rFonts w:hint="eastAsia"/>
                <w:sz w:val="21"/>
              </w:rPr>
              <w:t>1.35</w:t>
            </w:r>
          </w:p>
        </w:tc>
        <w:tc>
          <w:tcPr>
            <w:tcW w:w="832" w:type="dxa"/>
            <w:tcBorders>
              <w:tl2br w:val="nil"/>
              <w:tr2bl w:val="nil"/>
            </w:tcBorders>
            <w:vAlign w:val="center"/>
          </w:tcPr>
          <w:p w14:paraId="0C7C48A5"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16FB9712"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4CDF38B3"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2A8EF67B"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423842B6" w14:textId="77777777">
        <w:tc>
          <w:tcPr>
            <w:tcW w:w="2748" w:type="dxa"/>
            <w:tcBorders>
              <w:tl2br w:val="nil"/>
              <w:tr2bl w:val="nil"/>
            </w:tcBorders>
            <w:vAlign w:val="center"/>
          </w:tcPr>
          <w:p w14:paraId="1989DA2D" w14:textId="77777777" w:rsidR="009D12AF" w:rsidRDefault="00000000">
            <w:pPr>
              <w:spacing w:line="240" w:lineRule="auto"/>
              <w:ind w:firstLineChars="0" w:firstLine="0"/>
              <w:jc w:val="center"/>
              <w:rPr>
                <w:sz w:val="21"/>
              </w:rPr>
            </w:pPr>
            <w:r>
              <w:rPr>
                <w:rFonts w:hint="eastAsia"/>
                <w:sz w:val="21"/>
              </w:rPr>
              <w:t>栅网上游</w:t>
            </w:r>
            <w:r>
              <w:rPr>
                <w:rFonts w:hint="eastAsia"/>
                <w:sz w:val="21"/>
              </w:rPr>
              <w:t>10m</w:t>
            </w:r>
            <w:r>
              <w:rPr>
                <w:rFonts w:hint="eastAsia"/>
                <w:sz w:val="21"/>
              </w:rPr>
              <w:t>处</w:t>
            </w:r>
            <w:r>
              <w:rPr>
                <w:rFonts w:hint="eastAsia"/>
                <w:sz w:val="21"/>
              </w:rPr>
              <w:t>3m</w:t>
            </w:r>
            <w:r>
              <w:rPr>
                <w:rFonts w:hint="eastAsia"/>
                <w:sz w:val="21"/>
              </w:rPr>
              <w:t>深</w:t>
            </w:r>
          </w:p>
        </w:tc>
        <w:tc>
          <w:tcPr>
            <w:tcW w:w="927" w:type="dxa"/>
            <w:tcBorders>
              <w:tl2br w:val="nil"/>
              <w:tr2bl w:val="nil"/>
            </w:tcBorders>
            <w:vAlign w:val="center"/>
          </w:tcPr>
          <w:p w14:paraId="58839D01" w14:textId="77777777" w:rsidR="009D12AF" w:rsidRDefault="00000000">
            <w:pPr>
              <w:spacing w:line="240" w:lineRule="auto"/>
              <w:ind w:firstLineChars="0" w:firstLine="0"/>
              <w:jc w:val="center"/>
              <w:rPr>
                <w:sz w:val="21"/>
              </w:rPr>
            </w:pPr>
            <w:r>
              <w:rPr>
                <w:rFonts w:hint="eastAsia"/>
                <w:sz w:val="21"/>
              </w:rPr>
              <w:t>16</w:t>
            </w:r>
          </w:p>
        </w:tc>
        <w:tc>
          <w:tcPr>
            <w:tcW w:w="859" w:type="dxa"/>
            <w:tcBorders>
              <w:tl2br w:val="nil"/>
              <w:tr2bl w:val="nil"/>
            </w:tcBorders>
            <w:vAlign w:val="center"/>
          </w:tcPr>
          <w:p w14:paraId="4C2B1318" w14:textId="77777777" w:rsidR="009D12AF" w:rsidRDefault="00000000">
            <w:pPr>
              <w:spacing w:line="240" w:lineRule="auto"/>
              <w:ind w:firstLineChars="0" w:firstLine="0"/>
              <w:jc w:val="center"/>
              <w:rPr>
                <w:sz w:val="21"/>
              </w:rPr>
            </w:pPr>
            <w:r>
              <w:rPr>
                <w:rFonts w:hint="eastAsia"/>
                <w:sz w:val="21"/>
              </w:rPr>
              <w:t>0.021</w:t>
            </w:r>
          </w:p>
        </w:tc>
        <w:tc>
          <w:tcPr>
            <w:tcW w:w="668" w:type="dxa"/>
            <w:tcBorders>
              <w:tl2br w:val="nil"/>
              <w:tr2bl w:val="nil"/>
            </w:tcBorders>
            <w:vAlign w:val="center"/>
          </w:tcPr>
          <w:p w14:paraId="2B88507E" w14:textId="77777777" w:rsidR="009D12AF" w:rsidRDefault="00000000">
            <w:pPr>
              <w:spacing w:line="240" w:lineRule="auto"/>
              <w:ind w:firstLineChars="0" w:firstLine="0"/>
              <w:jc w:val="center"/>
              <w:rPr>
                <w:sz w:val="21"/>
              </w:rPr>
            </w:pPr>
            <w:r>
              <w:rPr>
                <w:rFonts w:hint="eastAsia"/>
                <w:sz w:val="21"/>
              </w:rPr>
              <w:t>1.48</w:t>
            </w:r>
          </w:p>
        </w:tc>
        <w:tc>
          <w:tcPr>
            <w:tcW w:w="832" w:type="dxa"/>
            <w:tcBorders>
              <w:tl2br w:val="nil"/>
              <w:tr2bl w:val="nil"/>
            </w:tcBorders>
            <w:vAlign w:val="center"/>
          </w:tcPr>
          <w:p w14:paraId="2784C445"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2B6A6462"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2B99CADC"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460829CC"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25AFD94D" w14:textId="77777777">
        <w:tc>
          <w:tcPr>
            <w:tcW w:w="2748" w:type="dxa"/>
            <w:tcBorders>
              <w:tl2br w:val="nil"/>
              <w:tr2bl w:val="nil"/>
            </w:tcBorders>
            <w:vAlign w:val="center"/>
          </w:tcPr>
          <w:p w14:paraId="03642486" w14:textId="77777777" w:rsidR="009D12AF" w:rsidRDefault="00000000">
            <w:pPr>
              <w:spacing w:line="240" w:lineRule="auto"/>
              <w:ind w:firstLineChars="0" w:firstLine="0"/>
              <w:jc w:val="center"/>
              <w:rPr>
                <w:sz w:val="21"/>
              </w:rPr>
            </w:pPr>
            <w:r>
              <w:rPr>
                <w:rFonts w:hint="eastAsia"/>
                <w:sz w:val="21"/>
              </w:rPr>
              <w:t>栅网上游</w:t>
            </w:r>
            <w:r>
              <w:rPr>
                <w:rFonts w:hint="eastAsia"/>
                <w:sz w:val="21"/>
              </w:rPr>
              <w:t>10m</w:t>
            </w:r>
            <w:r>
              <w:rPr>
                <w:rFonts w:hint="eastAsia"/>
                <w:sz w:val="21"/>
              </w:rPr>
              <w:t>处</w:t>
            </w:r>
            <w:r>
              <w:rPr>
                <w:rFonts w:hint="eastAsia"/>
                <w:sz w:val="21"/>
              </w:rPr>
              <w:t>3m</w:t>
            </w:r>
            <w:r>
              <w:rPr>
                <w:rFonts w:hint="eastAsia"/>
                <w:sz w:val="21"/>
              </w:rPr>
              <w:t>深</w:t>
            </w:r>
          </w:p>
        </w:tc>
        <w:tc>
          <w:tcPr>
            <w:tcW w:w="927" w:type="dxa"/>
            <w:tcBorders>
              <w:tl2br w:val="nil"/>
              <w:tr2bl w:val="nil"/>
            </w:tcBorders>
            <w:vAlign w:val="center"/>
          </w:tcPr>
          <w:p w14:paraId="33D9EB71" w14:textId="77777777" w:rsidR="009D12AF" w:rsidRDefault="00000000">
            <w:pPr>
              <w:spacing w:line="240" w:lineRule="auto"/>
              <w:ind w:firstLineChars="0" w:firstLine="0"/>
              <w:jc w:val="center"/>
              <w:rPr>
                <w:sz w:val="21"/>
              </w:rPr>
            </w:pPr>
            <w:r>
              <w:rPr>
                <w:rFonts w:hint="eastAsia"/>
                <w:sz w:val="21"/>
              </w:rPr>
              <w:t>12</w:t>
            </w:r>
          </w:p>
        </w:tc>
        <w:tc>
          <w:tcPr>
            <w:tcW w:w="859" w:type="dxa"/>
            <w:tcBorders>
              <w:tl2br w:val="nil"/>
              <w:tr2bl w:val="nil"/>
            </w:tcBorders>
            <w:vAlign w:val="center"/>
          </w:tcPr>
          <w:p w14:paraId="4A2A21D2" w14:textId="77777777" w:rsidR="009D12AF" w:rsidRDefault="00000000">
            <w:pPr>
              <w:spacing w:line="240" w:lineRule="auto"/>
              <w:ind w:firstLineChars="0" w:firstLine="0"/>
              <w:jc w:val="center"/>
              <w:rPr>
                <w:sz w:val="21"/>
              </w:rPr>
            </w:pPr>
            <w:r>
              <w:rPr>
                <w:rFonts w:hint="eastAsia"/>
                <w:sz w:val="21"/>
              </w:rPr>
              <w:t>0.020</w:t>
            </w:r>
          </w:p>
        </w:tc>
        <w:tc>
          <w:tcPr>
            <w:tcW w:w="668" w:type="dxa"/>
            <w:tcBorders>
              <w:tl2br w:val="nil"/>
              <w:tr2bl w:val="nil"/>
            </w:tcBorders>
            <w:vAlign w:val="center"/>
          </w:tcPr>
          <w:p w14:paraId="4D6051FA" w14:textId="77777777" w:rsidR="009D12AF" w:rsidRDefault="00000000">
            <w:pPr>
              <w:spacing w:line="240" w:lineRule="auto"/>
              <w:ind w:firstLineChars="0" w:firstLine="0"/>
              <w:jc w:val="center"/>
              <w:rPr>
                <w:sz w:val="21"/>
              </w:rPr>
            </w:pPr>
            <w:r>
              <w:rPr>
                <w:rFonts w:hint="eastAsia"/>
                <w:sz w:val="21"/>
              </w:rPr>
              <w:t>1.19</w:t>
            </w:r>
          </w:p>
        </w:tc>
        <w:tc>
          <w:tcPr>
            <w:tcW w:w="832" w:type="dxa"/>
            <w:tcBorders>
              <w:tl2br w:val="nil"/>
              <w:tr2bl w:val="nil"/>
            </w:tcBorders>
            <w:vAlign w:val="center"/>
          </w:tcPr>
          <w:p w14:paraId="0335B1C0"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3DF0C2A1"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586776F3"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144B3EAB"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16258A26" w14:textId="77777777">
        <w:tc>
          <w:tcPr>
            <w:tcW w:w="2748" w:type="dxa"/>
            <w:tcBorders>
              <w:tl2br w:val="nil"/>
              <w:tr2bl w:val="nil"/>
            </w:tcBorders>
            <w:vAlign w:val="center"/>
          </w:tcPr>
          <w:p w14:paraId="663014C5" w14:textId="77777777" w:rsidR="009D12AF" w:rsidRDefault="00000000">
            <w:pPr>
              <w:spacing w:line="240" w:lineRule="auto"/>
              <w:ind w:firstLineChars="0" w:firstLine="0"/>
              <w:jc w:val="center"/>
              <w:rPr>
                <w:sz w:val="21"/>
              </w:rPr>
            </w:pPr>
            <w:r>
              <w:rPr>
                <w:rFonts w:hint="eastAsia"/>
                <w:sz w:val="21"/>
              </w:rPr>
              <w:t>栅网上游</w:t>
            </w:r>
            <w:r>
              <w:rPr>
                <w:rFonts w:hint="eastAsia"/>
                <w:sz w:val="21"/>
              </w:rPr>
              <w:t>10m</w:t>
            </w:r>
            <w:r>
              <w:rPr>
                <w:rFonts w:hint="eastAsia"/>
                <w:sz w:val="21"/>
              </w:rPr>
              <w:t>处</w:t>
            </w:r>
            <w:r>
              <w:rPr>
                <w:rFonts w:hint="eastAsia"/>
                <w:sz w:val="21"/>
              </w:rPr>
              <w:t>6m</w:t>
            </w:r>
            <w:r>
              <w:rPr>
                <w:rFonts w:hint="eastAsia"/>
                <w:sz w:val="21"/>
              </w:rPr>
              <w:t>深</w:t>
            </w:r>
          </w:p>
        </w:tc>
        <w:tc>
          <w:tcPr>
            <w:tcW w:w="927" w:type="dxa"/>
            <w:tcBorders>
              <w:tl2br w:val="nil"/>
              <w:tr2bl w:val="nil"/>
            </w:tcBorders>
            <w:vAlign w:val="center"/>
          </w:tcPr>
          <w:p w14:paraId="5D99B370" w14:textId="77777777" w:rsidR="009D12AF" w:rsidRDefault="00000000">
            <w:pPr>
              <w:spacing w:line="240" w:lineRule="auto"/>
              <w:ind w:firstLineChars="0" w:firstLine="0"/>
              <w:jc w:val="center"/>
              <w:rPr>
                <w:sz w:val="21"/>
              </w:rPr>
            </w:pPr>
            <w:r>
              <w:rPr>
                <w:rFonts w:hint="eastAsia"/>
                <w:sz w:val="21"/>
              </w:rPr>
              <w:t>6</w:t>
            </w:r>
          </w:p>
        </w:tc>
        <w:tc>
          <w:tcPr>
            <w:tcW w:w="859" w:type="dxa"/>
            <w:tcBorders>
              <w:tl2br w:val="nil"/>
              <w:tr2bl w:val="nil"/>
            </w:tcBorders>
            <w:vAlign w:val="center"/>
          </w:tcPr>
          <w:p w14:paraId="6C85C2C6" w14:textId="77777777" w:rsidR="009D12AF" w:rsidRDefault="00000000">
            <w:pPr>
              <w:spacing w:line="240" w:lineRule="auto"/>
              <w:ind w:firstLineChars="0" w:firstLine="0"/>
              <w:jc w:val="center"/>
              <w:rPr>
                <w:sz w:val="21"/>
              </w:rPr>
            </w:pPr>
            <w:r>
              <w:rPr>
                <w:rFonts w:hint="eastAsia"/>
                <w:sz w:val="21"/>
              </w:rPr>
              <w:t>0.020</w:t>
            </w:r>
          </w:p>
        </w:tc>
        <w:tc>
          <w:tcPr>
            <w:tcW w:w="668" w:type="dxa"/>
            <w:tcBorders>
              <w:tl2br w:val="nil"/>
              <w:tr2bl w:val="nil"/>
            </w:tcBorders>
            <w:vAlign w:val="center"/>
          </w:tcPr>
          <w:p w14:paraId="628E2621" w14:textId="77777777" w:rsidR="009D12AF" w:rsidRDefault="00000000">
            <w:pPr>
              <w:spacing w:line="240" w:lineRule="auto"/>
              <w:ind w:firstLineChars="0" w:firstLine="0"/>
              <w:jc w:val="center"/>
              <w:rPr>
                <w:sz w:val="21"/>
              </w:rPr>
            </w:pPr>
            <w:r>
              <w:rPr>
                <w:rFonts w:hint="eastAsia"/>
                <w:sz w:val="21"/>
              </w:rPr>
              <w:t>1.42</w:t>
            </w:r>
          </w:p>
        </w:tc>
        <w:tc>
          <w:tcPr>
            <w:tcW w:w="832" w:type="dxa"/>
            <w:tcBorders>
              <w:tl2br w:val="nil"/>
              <w:tr2bl w:val="nil"/>
            </w:tcBorders>
            <w:vAlign w:val="center"/>
          </w:tcPr>
          <w:p w14:paraId="0259B81A"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46F87771"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450AF428"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504585A9"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r w:rsidR="009D12AF" w14:paraId="0D069695" w14:textId="77777777">
        <w:tc>
          <w:tcPr>
            <w:tcW w:w="2748" w:type="dxa"/>
            <w:tcBorders>
              <w:tl2br w:val="nil"/>
              <w:tr2bl w:val="nil"/>
            </w:tcBorders>
            <w:vAlign w:val="center"/>
          </w:tcPr>
          <w:p w14:paraId="3931A0E8" w14:textId="77777777" w:rsidR="009D12AF" w:rsidRDefault="00000000">
            <w:pPr>
              <w:spacing w:line="240" w:lineRule="auto"/>
              <w:ind w:firstLineChars="0" w:firstLine="0"/>
              <w:jc w:val="center"/>
              <w:rPr>
                <w:sz w:val="21"/>
              </w:rPr>
            </w:pPr>
            <w:r>
              <w:rPr>
                <w:rFonts w:hint="eastAsia"/>
                <w:sz w:val="21"/>
              </w:rPr>
              <w:t>栅网上游</w:t>
            </w:r>
            <w:r>
              <w:rPr>
                <w:rFonts w:hint="eastAsia"/>
                <w:sz w:val="21"/>
              </w:rPr>
              <w:t>10m</w:t>
            </w:r>
            <w:r>
              <w:rPr>
                <w:rFonts w:hint="eastAsia"/>
                <w:sz w:val="21"/>
              </w:rPr>
              <w:t>处</w:t>
            </w:r>
            <w:r>
              <w:rPr>
                <w:rFonts w:hint="eastAsia"/>
                <w:sz w:val="21"/>
              </w:rPr>
              <w:t>6m</w:t>
            </w:r>
            <w:r>
              <w:rPr>
                <w:rFonts w:hint="eastAsia"/>
                <w:sz w:val="21"/>
              </w:rPr>
              <w:t>深</w:t>
            </w:r>
          </w:p>
        </w:tc>
        <w:tc>
          <w:tcPr>
            <w:tcW w:w="927" w:type="dxa"/>
            <w:tcBorders>
              <w:tl2br w:val="nil"/>
              <w:tr2bl w:val="nil"/>
            </w:tcBorders>
            <w:vAlign w:val="center"/>
          </w:tcPr>
          <w:p w14:paraId="3FF6BA99" w14:textId="77777777" w:rsidR="009D12AF" w:rsidRDefault="00000000">
            <w:pPr>
              <w:spacing w:line="240" w:lineRule="auto"/>
              <w:ind w:firstLineChars="0" w:firstLine="0"/>
              <w:jc w:val="center"/>
              <w:rPr>
                <w:sz w:val="21"/>
              </w:rPr>
            </w:pPr>
            <w:r>
              <w:rPr>
                <w:rFonts w:hint="eastAsia"/>
                <w:sz w:val="21"/>
              </w:rPr>
              <w:t>10</w:t>
            </w:r>
          </w:p>
        </w:tc>
        <w:tc>
          <w:tcPr>
            <w:tcW w:w="859" w:type="dxa"/>
            <w:tcBorders>
              <w:tl2br w:val="nil"/>
              <w:tr2bl w:val="nil"/>
            </w:tcBorders>
            <w:vAlign w:val="center"/>
          </w:tcPr>
          <w:p w14:paraId="77616302" w14:textId="77777777" w:rsidR="009D12AF" w:rsidRDefault="00000000">
            <w:pPr>
              <w:spacing w:line="240" w:lineRule="auto"/>
              <w:ind w:firstLineChars="0" w:firstLine="0"/>
              <w:jc w:val="center"/>
              <w:rPr>
                <w:sz w:val="21"/>
              </w:rPr>
            </w:pPr>
            <w:r>
              <w:rPr>
                <w:rFonts w:hint="eastAsia"/>
                <w:sz w:val="21"/>
              </w:rPr>
              <w:t>0.018</w:t>
            </w:r>
          </w:p>
        </w:tc>
        <w:tc>
          <w:tcPr>
            <w:tcW w:w="668" w:type="dxa"/>
            <w:tcBorders>
              <w:tl2br w:val="nil"/>
              <w:tr2bl w:val="nil"/>
            </w:tcBorders>
            <w:vAlign w:val="center"/>
          </w:tcPr>
          <w:p w14:paraId="6E20455A" w14:textId="77777777" w:rsidR="009D12AF" w:rsidRDefault="00000000">
            <w:pPr>
              <w:spacing w:line="240" w:lineRule="auto"/>
              <w:ind w:firstLineChars="0" w:firstLine="0"/>
              <w:jc w:val="center"/>
              <w:rPr>
                <w:sz w:val="21"/>
              </w:rPr>
            </w:pPr>
            <w:r>
              <w:rPr>
                <w:rFonts w:hint="eastAsia"/>
                <w:sz w:val="21"/>
              </w:rPr>
              <w:t>1.17</w:t>
            </w:r>
          </w:p>
        </w:tc>
        <w:tc>
          <w:tcPr>
            <w:tcW w:w="832" w:type="dxa"/>
            <w:tcBorders>
              <w:tl2br w:val="nil"/>
              <w:tr2bl w:val="nil"/>
            </w:tcBorders>
            <w:vAlign w:val="center"/>
          </w:tcPr>
          <w:p w14:paraId="671170D3" w14:textId="77777777" w:rsidR="009D12AF" w:rsidRDefault="00000000">
            <w:pPr>
              <w:spacing w:line="240" w:lineRule="auto"/>
              <w:ind w:firstLineChars="0" w:firstLine="0"/>
              <w:jc w:val="center"/>
              <w:rPr>
                <w:sz w:val="21"/>
              </w:rPr>
            </w:pPr>
            <w:r>
              <w:rPr>
                <w:rFonts w:hint="eastAsia"/>
                <w:sz w:val="21"/>
              </w:rPr>
              <w:t>＜</w:t>
            </w:r>
            <w:r>
              <w:rPr>
                <w:rFonts w:hint="eastAsia"/>
                <w:sz w:val="21"/>
              </w:rPr>
              <w:t>0.10</w:t>
            </w:r>
          </w:p>
        </w:tc>
        <w:tc>
          <w:tcPr>
            <w:tcW w:w="736" w:type="dxa"/>
            <w:tcBorders>
              <w:tl2br w:val="nil"/>
              <w:tr2bl w:val="nil"/>
            </w:tcBorders>
            <w:vAlign w:val="center"/>
          </w:tcPr>
          <w:p w14:paraId="2322347B"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c>
          <w:tcPr>
            <w:tcW w:w="1023" w:type="dxa"/>
            <w:tcBorders>
              <w:tl2br w:val="nil"/>
              <w:tr2bl w:val="nil"/>
            </w:tcBorders>
            <w:vAlign w:val="center"/>
          </w:tcPr>
          <w:p w14:paraId="724426C0" w14:textId="77777777" w:rsidR="009D12AF" w:rsidRDefault="00000000">
            <w:pPr>
              <w:spacing w:line="240" w:lineRule="auto"/>
              <w:ind w:firstLineChars="0" w:firstLine="0"/>
              <w:jc w:val="center"/>
              <w:rPr>
                <w:sz w:val="21"/>
              </w:rPr>
            </w:pPr>
            <w:r>
              <w:rPr>
                <w:rFonts w:hint="eastAsia"/>
                <w:sz w:val="21"/>
              </w:rPr>
              <w:t>＜</w:t>
            </w:r>
            <w:r>
              <w:rPr>
                <w:rFonts w:hint="eastAsia"/>
                <w:sz w:val="21"/>
              </w:rPr>
              <w:t>0.050</w:t>
            </w:r>
          </w:p>
        </w:tc>
        <w:tc>
          <w:tcPr>
            <w:tcW w:w="729" w:type="dxa"/>
            <w:tcBorders>
              <w:tl2br w:val="nil"/>
              <w:tr2bl w:val="nil"/>
            </w:tcBorders>
            <w:vAlign w:val="center"/>
          </w:tcPr>
          <w:p w14:paraId="3B8F8C4F" w14:textId="77777777" w:rsidR="009D12AF" w:rsidRDefault="00000000">
            <w:pPr>
              <w:spacing w:line="240" w:lineRule="auto"/>
              <w:ind w:firstLineChars="0" w:firstLine="0"/>
              <w:jc w:val="center"/>
              <w:rPr>
                <w:sz w:val="21"/>
              </w:rPr>
            </w:pPr>
            <w:r>
              <w:rPr>
                <w:rFonts w:hint="eastAsia"/>
                <w:sz w:val="21"/>
              </w:rPr>
              <w:t>＜</w:t>
            </w:r>
            <w:r>
              <w:rPr>
                <w:rFonts w:hint="eastAsia"/>
                <w:sz w:val="21"/>
              </w:rPr>
              <w:t>0.05</w:t>
            </w:r>
          </w:p>
        </w:tc>
      </w:tr>
    </w:tbl>
    <w:p w14:paraId="50CB8A79" w14:textId="77777777" w:rsidR="009D12AF" w:rsidRDefault="00000000">
      <w:pPr>
        <w:widowControl/>
        <w:ind w:firstLine="480"/>
        <w:jc w:val="left"/>
      </w:pPr>
      <w:r>
        <w:rPr>
          <w:rFonts w:ascii="宋体" w:eastAsia="宋体" w:hAnsi="宋体" w:cs="宋体" w:hint="eastAsia"/>
          <w:color w:val="000000"/>
          <w:kern w:val="0"/>
          <w:lang w:bidi="ar"/>
        </w:rPr>
        <w:t xml:space="preserve">清淤施工扰动主要污染物为 </w:t>
      </w:r>
      <w:r>
        <w:rPr>
          <w:rFonts w:ascii="Times New Roman" w:eastAsia="宋体" w:hAnsi="Times New Roman" w:cs="Times New Roman"/>
          <w:color w:val="000000"/>
          <w:kern w:val="0"/>
          <w:lang w:bidi="ar"/>
        </w:rPr>
        <w:t>SS</w:t>
      </w:r>
      <w:r>
        <w:rPr>
          <w:rFonts w:ascii="宋体" w:eastAsia="宋体" w:hAnsi="宋体" w:cs="宋体" w:hint="eastAsia"/>
          <w:color w:val="000000"/>
          <w:kern w:val="0"/>
          <w:lang w:bidi="ar"/>
        </w:rPr>
        <w:t xml:space="preserve">（悬浮物），其浓度与 </w:t>
      </w:r>
      <w:r>
        <w:rPr>
          <w:rFonts w:ascii="Times New Roman" w:eastAsia="宋体" w:hAnsi="Times New Roman" w:cs="Times New Roman"/>
          <w:color w:val="000000"/>
          <w:kern w:val="0"/>
          <w:lang w:bidi="ar"/>
        </w:rPr>
        <w:t>COD</w:t>
      </w:r>
      <w:r>
        <w:rPr>
          <w:rFonts w:ascii="宋体" w:eastAsia="宋体" w:hAnsi="宋体" w:cs="宋体" w:hint="eastAsia"/>
          <w:color w:val="000000"/>
          <w:kern w:val="0"/>
          <w:lang w:bidi="ar"/>
        </w:rPr>
        <w:t>、</w:t>
      </w:r>
      <w:r>
        <w:rPr>
          <w:rFonts w:ascii="Times New Roman" w:eastAsia="宋体" w:hAnsi="Times New Roman" w:cs="Times New Roman"/>
          <w:color w:val="000000"/>
          <w:kern w:val="0"/>
          <w:lang w:bidi="ar"/>
        </w:rPr>
        <w:t>TP</w:t>
      </w:r>
      <w:r>
        <w:rPr>
          <w:rFonts w:ascii="宋体" w:eastAsia="宋体" w:hAnsi="宋体" w:cs="宋体" w:hint="eastAsia"/>
          <w:color w:val="000000"/>
          <w:kern w:val="0"/>
          <w:lang w:bidi="ar"/>
        </w:rPr>
        <w:t>、</w:t>
      </w:r>
      <w:r>
        <w:rPr>
          <w:rFonts w:ascii="Times New Roman" w:eastAsia="宋体" w:hAnsi="Times New Roman" w:cs="Times New Roman"/>
          <w:color w:val="000000"/>
          <w:kern w:val="0"/>
          <w:lang w:bidi="ar"/>
        </w:rPr>
        <w:t xml:space="preserve">TN </w:t>
      </w:r>
      <w:r>
        <w:rPr>
          <w:rFonts w:ascii="宋体" w:eastAsia="宋体" w:hAnsi="宋体" w:cs="宋体" w:hint="eastAsia"/>
          <w:color w:val="000000"/>
          <w:kern w:val="0"/>
          <w:lang w:bidi="ar"/>
        </w:rPr>
        <w:t xml:space="preserve">等污染物浓度之间有较好的相关性，采用 </w:t>
      </w:r>
      <w:r>
        <w:rPr>
          <w:rFonts w:ascii="Times New Roman" w:eastAsia="宋体" w:hAnsi="Times New Roman" w:cs="Times New Roman"/>
          <w:color w:val="000000"/>
          <w:kern w:val="0"/>
          <w:lang w:bidi="ar"/>
        </w:rPr>
        <w:t xml:space="preserve">SS </w:t>
      </w:r>
      <w:r>
        <w:rPr>
          <w:rFonts w:ascii="宋体" w:eastAsia="宋体" w:hAnsi="宋体" w:cs="宋体" w:hint="eastAsia"/>
          <w:color w:val="000000"/>
          <w:kern w:val="0"/>
          <w:lang w:bidi="ar"/>
        </w:rPr>
        <w:t xml:space="preserve">施工作业影响范围进行评价。由上表可知，悬浮物在距离源强中心 </w:t>
      </w:r>
      <w:r>
        <w:rPr>
          <w:rFonts w:ascii="Times New Roman" w:eastAsia="宋体" w:hAnsi="Times New Roman" w:cs="Times New Roman"/>
          <w:color w:val="000000"/>
          <w:kern w:val="0"/>
          <w:lang w:bidi="ar"/>
        </w:rPr>
        <w:t xml:space="preserve">20m </w:t>
      </w:r>
      <w:r>
        <w:rPr>
          <w:rFonts w:ascii="宋体" w:eastAsia="宋体" w:hAnsi="宋体" w:cs="宋体" w:hint="eastAsia"/>
          <w:color w:val="000000"/>
          <w:kern w:val="0"/>
          <w:lang w:bidi="ar"/>
        </w:rPr>
        <w:t xml:space="preserve">的范围内迅速衰减，距离源中心 </w:t>
      </w:r>
      <w:r>
        <w:rPr>
          <w:rFonts w:ascii="Times New Roman" w:eastAsia="宋体" w:hAnsi="Times New Roman" w:cs="Times New Roman"/>
          <w:color w:val="000000"/>
          <w:kern w:val="0"/>
          <w:lang w:bidi="ar"/>
        </w:rPr>
        <w:t xml:space="preserve">50m </w:t>
      </w:r>
      <w:r>
        <w:rPr>
          <w:rFonts w:ascii="宋体" w:eastAsia="宋体" w:hAnsi="宋体" w:cs="宋体" w:hint="eastAsia"/>
          <w:color w:val="000000"/>
          <w:kern w:val="0"/>
          <w:lang w:bidi="ar"/>
        </w:rPr>
        <w:t>处水质基本达到水库本底值。因此采用链斗式清淤船对水库水质的影响范围为</w:t>
      </w:r>
      <w:r>
        <w:rPr>
          <w:rFonts w:ascii="Times New Roman" w:eastAsia="宋体" w:hAnsi="Times New Roman" w:cs="Times New Roman"/>
          <w:color w:val="000000"/>
          <w:kern w:val="0"/>
          <w:lang w:bidi="ar"/>
        </w:rPr>
        <w:t>50m</w:t>
      </w:r>
      <w:r>
        <w:rPr>
          <w:rFonts w:ascii="宋体" w:eastAsia="宋体" w:hAnsi="宋体" w:cs="宋体" w:hint="eastAsia"/>
          <w:color w:val="000000"/>
          <w:kern w:val="0"/>
          <w:lang w:bidi="ar"/>
        </w:rPr>
        <w:t>。</w:t>
      </w:r>
    </w:p>
    <w:p w14:paraId="2B8C3493" w14:textId="77777777" w:rsidR="009D12AF" w:rsidRDefault="00000000">
      <w:pPr>
        <w:widowControl/>
        <w:ind w:firstLine="480"/>
        <w:jc w:val="left"/>
      </w:pPr>
      <w:r>
        <w:rPr>
          <w:rFonts w:ascii="宋体" w:eastAsia="宋体" w:hAnsi="宋体" w:cs="宋体" w:hint="eastAsia"/>
          <w:color w:val="000000"/>
          <w:kern w:val="0"/>
          <w:lang w:bidi="ar"/>
        </w:rPr>
        <w:t>本工程采用环保绞吸式挖泥船，其结构见下图。环保绞吸式挖泥船的绞刀能在不同程度上减少疏浚中对底泥造成的扰动，与其他挖泥设备相比可有效控制颗粒物再次悬浮，且在绞刀头外设有一个锥形罩壳，外罩底边围裙始终和泥面贴合，</w:t>
      </w:r>
      <w:r>
        <w:rPr>
          <w:rFonts w:ascii="宋体" w:eastAsia="宋体" w:hAnsi="宋体" w:cs="宋体" w:hint="eastAsia"/>
          <w:color w:val="000000"/>
          <w:kern w:val="0"/>
          <w:lang w:bidi="ar"/>
        </w:rPr>
        <w:lastRenderedPageBreak/>
        <w:t>防止了因绞刀扰动使底泥颗粒向罩外水体扩散造成二次污染。挖泥船采用吸泥管将底泥从水底运输至船上，减少了底泥与水体的接触，同时采用浮管输送泥浆，避免了运送过程中的泄露。因此绞吸式挖泥船对水体水质影响远远小于较链斗式清淤船，因此本项目采用环保绞吸式挖泥船清淤对水体影响不大。</w:t>
      </w:r>
    </w:p>
    <w:p w14:paraId="3CC9C577" w14:textId="77777777" w:rsidR="009D12AF" w:rsidRDefault="00000000">
      <w:pPr>
        <w:ind w:firstLine="480"/>
      </w:pPr>
      <w:r>
        <w:t>底泥清淤工程施工不可避免地扰动相对稳定的水体和底泥系统。水体含有大量细小黏粒，同时底泥往往由胶粒、黏粒和粉粒等细小土颗粒组成，极易富集污染物，是污染物质主要的蓄积场所。底泥清淤施工时，设备的搅动会引起水体细颗粒扩散和底泥颗粒再悬浮，加重清淤区域水体的混浊度；同时，细颗粒悬浮状态条件下，其所含氮、磷及有机污染物等更容易扩散转移，促进氮、磷和有机污染物的释放，使水体污染物浓度上升，对水域环境存在造成二次污染的风险。</w:t>
      </w:r>
    </w:p>
    <w:p w14:paraId="23A94CCF" w14:textId="77777777" w:rsidR="009D12AF" w:rsidRDefault="00000000">
      <w:pPr>
        <w:ind w:firstLine="480"/>
      </w:pPr>
      <w:r>
        <w:t>结合底泥清淤施工监测资料、现场观察和扰动源强分析可知，底泥清淤施工对水环境引起的扰动影响与清淤工艺紧密相关。有关研究表明，采用环保绞吸式挖泥（深水泵吸）船，通过对清淤点附近水质的跟踪监测，底泥清淤施工仅对作业区域外围</w:t>
      </w:r>
      <w:r>
        <w:t xml:space="preserve"> 20m </w:t>
      </w:r>
      <w:r>
        <w:t>范围内水体产生一定的扰动影响，且随着距离的增大，这种扰动影响迅速衰减，实施区域水体污染物质量浓度只出现短暂峰值，峰值过后便迅速减小并趋于稳定，扰动影响持续时间较短。另外，高浓度泥浆泵施工因为处于封闭区域，扰动影响绝对可控。</w:t>
      </w:r>
    </w:p>
    <w:p w14:paraId="30F46E3A" w14:textId="77777777" w:rsidR="009D12AF" w:rsidRDefault="00000000">
      <w:pPr>
        <w:ind w:firstLineChars="0" w:firstLine="0"/>
      </w:pPr>
      <w:r>
        <w:rPr>
          <w:noProof/>
        </w:rPr>
        <w:drawing>
          <wp:inline distT="0" distB="0" distL="114300" distR="114300" wp14:anchorId="67E15278" wp14:editId="4A25BA42">
            <wp:extent cx="5273040" cy="3182620"/>
            <wp:effectExtent l="0" t="0" r="3810" b="17780"/>
            <wp:docPr id="7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4"/>
                    <pic:cNvPicPr>
                      <a:picLocks noChangeAspect="1"/>
                    </pic:cNvPicPr>
                  </pic:nvPicPr>
                  <pic:blipFill>
                    <a:blip r:embed="rId242"/>
                    <a:stretch>
                      <a:fillRect/>
                    </a:stretch>
                  </pic:blipFill>
                  <pic:spPr>
                    <a:xfrm>
                      <a:off x="0" y="0"/>
                      <a:ext cx="5273040" cy="3182620"/>
                    </a:xfrm>
                    <a:prstGeom prst="rect">
                      <a:avLst/>
                    </a:prstGeom>
                    <a:noFill/>
                    <a:ln>
                      <a:noFill/>
                    </a:ln>
                  </pic:spPr>
                </pic:pic>
              </a:graphicData>
            </a:graphic>
          </wp:inline>
        </w:drawing>
      </w:r>
    </w:p>
    <w:p w14:paraId="2C35766C" w14:textId="77777777" w:rsidR="009D12AF" w:rsidRDefault="00000000">
      <w:pPr>
        <w:ind w:firstLine="482"/>
        <w:jc w:val="center"/>
        <w:rPr>
          <w:b/>
          <w:bCs/>
        </w:rPr>
      </w:pPr>
      <w:r>
        <w:rPr>
          <w:rFonts w:hint="eastAsia"/>
          <w:b/>
          <w:bCs/>
        </w:rPr>
        <w:t>图</w:t>
      </w:r>
      <w:r>
        <w:rPr>
          <w:rFonts w:hint="eastAsia"/>
          <w:b/>
          <w:bCs/>
        </w:rPr>
        <w:t>5.1-2</w:t>
      </w:r>
      <w:r>
        <w:rPr>
          <w:rFonts w:hint="eastAsia"/>
          <w:b/>
          <w:bCs/>
        </w:rPr>
        <w:t>环保装置示意</w:t>
      </w:r>
    </w:p>
    <w:p w14:paraId="1A0CCE6D" w14:textId="77777777" w:rsidR="009D12AF" w:rsidRDefault="00000000">
      <w:pPr>
        <w:ind w:firstLineChars="0" w:firstLine="0"/>
      </w:pPr>
      <w:r>
        <w:rPr>
          <w:noProof/>
        </w:rPr>
        <w:lastRenderedPageBreak/>
        <w:drawing>
          <wp:inline distT="0" distB="0" distL="114300" distR="114300" wp14:anchorId="246748B3" wp14:editId="1101D11F">
            <wp:extent cx="5271770" cy="3213100"/>
            <wp:effectExtent l="0" t="0" r="5080" b="0"/>
            <wp:docPr id="20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5"/>
                    <pic:cNvPicPr>
                      <a:picLocks noChangeAspect="1"/>
                    </pic:cNvPicPr>
                  </pic:nvPicPr>
                  <pic:blipFill>
                    <a:blip r:embed="rId243" cstate="screen">
                      <a:extLst>
                        <a:ext uri="{28A0092B-C50C-407E-A947-70E740481C1C}">
                          <a14:useLocalDpi xmlns:a14="http://schemas.microsoft.com/office/drawing/2010/main"/>
                        </a:ext>
                      </a:extLst>
                    </a:blip>
                    <a:stretch>
                      <a:fillRect/>
                    </a:stretch>
                  </pic:blipFill>
                  <pic:spPr>
                    <a:xfrm>
                      <a:off x="0" y="0"/>
                      <a:ext cx="5271770" cy="3213100"/>
                    </a:xfrm>
                    <a:prstGeom prst="rect">
                      <a:avLst/>
                    </a:prstGeom>
                    <a:noFill/>
                    <a:ln>
                      <a:noFill/>
                    </a:ln>
                  </pic:spPr>
                </pic:pic>
              </a:graphicData>
            </a:graphic>
          </wp:inline>
        </w:drawing>
      </w:r>
    </w:p>
    <w:p w14:paraId="7857E01F" w14:textId="77777777" w:rsidR="009D12AF" w:rsidRDefault="00000000">
      <w:pPr>
        <w:ind w:firstLine="482"/>
        <w:jc w:val="center"/>
      </w:pPr>
      <w:r>
        <w:rPr>
          <w:rFonts w:hint="eastAsia"/>
          <w:b/>
          <w:bCs/>
        </w:rPr>
        <w:t>图</w:t>
      </w:r>
      <w:r>
        <w:rPr>
          <w:rFonts w:hint="eastAsia"/>
          <w:b/>
          <w:bCs/>
        </w:rPr>
        <w:t>5.1-3</w:t>
      </w:r>
      <w:r>
        <w:rPr>
          <w:rFonts w:hint="eastAsia"/>
          <w:b/>
          <w:bCs/>
        </w:rPr>
        <w:t>加装环保铰刀和防扩散帷幕施工效果</w:t>
      </w:r>
    </w:p>
    <w:p w14:paraId="5E3DEBC3" w14:textId="77777777" w:rsidR="009D12AF" w:rsidRDefault="00000000">
      <w:pPr>
        <w:ind w:firstLine="480"/>
      </w:pPr>
      <w:r>
        <w:t>综上所述，采用低扰动防扩散措施，减少对施工区水质影响；绞吸船选配带有防溢流罩封闭环保绞刀，减小疏挖对底泥的扰动，同时有效防止底泥颗粒扩散污染水体。白洋淀、滇池、太湖等湖库清淤均采用环保绞吸船，通过对施工期间周边水体监测检测，施工没有对水体水质有明显影响。</w:t>
      </w:r>
    </w:p>
    <w:p w14:paraId="088A8444" w14:textId="77777777" w:rsidR="009D12AF" w:rsidRDefault="00000000">
      <w:pPr>
        <w:ind w:firstLine="480"/>
      </w:pPr>
      <w:r>
        <w:t>为进一步防治清淤对水库造成影响，建议采用错开取水口取水时段的间歇清淤法施工，尽可能保证施工结束后与取水开始之前有</w:t>
      </w:r>
      <w:r>
        <w:t xml:space="preserve"> 12h </w:t>
      </w:r>
      <w:r>
        <w:t>的时隔，并在距离取水口</w:t>
      </w:r>
      <w:r>
        <w:t xml:space="preserve"> 5m</w:t>
      </w:r>
      <w:r>
        <w:t>、</w:t>
      </w:r>
      <w:r>
        <w:t>10m</w:t>
      </w:r>
      <w:r>
        <w:t>、</w:t>
      </w:r>
      <w:r>
        <w:t>20m</w:t>
      </w:r>
      <w:r>
        <w:t>、</w:t>
      </w:r>
      <w:r>
        <w:t>50m</w:t>
      </w:r>
      <w:r>
        <w:t>、</w:t>
      </w:r>
      <w:r>
        <w:t xml:space="preserve">100m </w:t>
      </w:r>
      <w:r>
        <w:t>位置布设监测点，清淤时每小时监测一次。</w:t>
      </w:r>
      <w:r>
        <w:t xml:space="preserve"> </w:t>
      </w:r>
    </w:p>
    <w:p w14:paraId="4500D1CF" w14:textId="77777777" w:rsidR="009D12AF" w:rsidRDefault="00000000">
      <w:pPr>
        <w:ind w:firstLine="480"/>
      </w:pPr>
      <w:r>
        <w:t>本项目对水环境影响随着施工活动的结束而消失，属于短期影响，且通过去除底泥削减清淤区内源污染，减少底泥中污染物向水体释放对水体及生物体造成污染和生态危害的风险，清淤完成后对水库水环境起到一定程度的改善作用。</w:t>
      </w:r>
    </w:p>
    <w:p w14:paraId="4B7DD960" w14:textId="77777777" w:rsidR="009D12AF" w:rsidRDefault="00000000">
      <w:pPr>
        <w:ind w:firstLine="480"/>
      </w:pPr>
      <w:r>
        <w:rPr>
          <w:rFonts w:hint="eastAsia"/>
        </w:rPr>
        <w:t>5</w:t>
      </w:r>
      <w:r>
        <w:rPr>
          <w:rFonts w:hint="eastAsia"/>
        </w:rPr>
        <w:t>、施工对水源地水质的影响</w:t>
      </w:r>
    </w:p>
    <w:p w14:paraId="36091649" w14:textId="77777777" w:rsidR="009D12AF" w:rsidRDefault="00000000">
      <w:pPr>
        <w:ind w:firstLineChars="236" w:firstLine="566"/>
      </w:pPr>
      <w:r>
        <w:rPr>
          <w:rFonts w:hint="eastAsia"/>
        </w:rPr>
        <w:t>向阳水电站</w:t>
      </w:r>
      <w:r>
        <w:t>清淤工程位于</w:t>
      </w:r>
      <w:r>
        <w:rPr>
          <w:rFonts w:hint="eastAsia"/>
          <w:smallCaps/>
        </w:rPr>
        <w:t>海林市二水厂（改扩建）饮用水水源二级保护区</w:t>
      </w:r>
      <w:r>
        <w:rPr>
          <w:rFonts w:hint="eastAsia"/>
        </w:rPr>
        <w:t>，距离</w:t>
      </w:r>
      <w:r>
        <w:t>二级保护区</w:t>
      </w:r>
      <w:r>
        <w:rPr>
          <w:rFonts w:hint="eastAsia"/>
        </w:rPr>
        <w:t>取水口上游约</w:t>
      </w:r>
      <w:r>
        <w:rPr>
          <w:rFonts w:hint="eastAsia"/>
        </w:rPr>
        <w:t>30km</w:t>
      </w:r>
      <w:r>
        <w:rPr>
          <w:rFonts w:hint="eastAsia"/>
        </w:rPr>
        <w:t>处，根据预测</w:t>
      </w:r>
      <w:r>
        <w:t>悬浮物最大扩散距离为</w:t>
      </w:r>
      <w:r>
        <w:rPr>
          <w:rFonts w:hint="eastAsia"/>
        </w:rPr>
        <w:t>20</w:t>
      </w:r>
      <w:r>
        <w:t>m</w:t>
      </w:r>
      <w:r>
        <w:rPr>
          <w:rFonts w:hint="eastAsia"/>
        </w:rPr>
        <w:t>。因此</w:t>
      </w:r>
      <w:r>
        <w:t>清淤工程不会影响水源地水质。</w:t>
      </w:r>
    </w:p>
    <w:p w14:paraId="15A8C344" w14:textId="77777777" w:rsidR="009D12AF" w:rsidRDefault="00000000">
      <w:pPr>
        <w:ind w:firstLineChars="236" w:firstLine="566"/>
      </w:pPr>
      <w:r>
        <w:t>依据《饮用水水源保护区污染防治管理规定》，在</w:t>
      </w:r>
      <w:r>
        <w:rPr>
          <w:rFonts w:hint="eastAsia"/>
        </w:rPr>
        <w:t>准</w:t>
      </w:r>
      <w:r>
        <w:t>保护区范围内：禁止新建、扩建对水体污染严重的建设项目；改建建设项目，不得增加排污量。本项目运行期不排放污染物，施工在水源保护区内不设置生产区，施工期采取禁止在</w:t>
      </w:r>
      <w:r>
        <w:lastRenderedPageBreak/>
        <w:t>保护区设置生产区及维修场所，限制施工活动。不能随意扩大施工范围，减轻对水源地破坏程度。设立水源地标志（围栏、警示牌），禁止施工人员在水源保护区游泳、清洗施工机械等活动。施工作业安排在枯水期，施工前与水源地加强沟通，合理安排水源地保护区范围内各施工点施工作业时间，而且本项目建设的都是保护水源的工程，因此工程建设对水源地水质产生的影响不大。</w:t>
      </w:r>
    </w:p>
    <w:p w14:paraId="0657CBE4" w14:textId="77777777" w:rsidR="009D12AF" w:rsidRDefault="00000000">
      <w:pPr>
        <w:ind w:firstLineChars="236" w:firstLine="566"/>
      </w:pPr>
      <w:r>
        <w:rPr>
          <w:rFonts w:hint="eastAsia"/>
        </w:rPr>
        <w:t>6</w:t>
      </w:r>
      <w:r>
        <w:t>、为避免海浪河水体污染，环评建议施工过程中应加强管理，采取以下措施：</w:t>
      </w:r>
    </w:p>
    <w:p w14:paraId="7135A88A" w14:textId="77777777" w:rsidR="009D12AF" w:rsidRDefault="00000000">
      <w:pPr>
        <w:ind w:firstLineChars="236" w:firstLine="566"/>
      </w:pPr>
      <w:r>
        <w:t>（</w:t>
      </w:r>
      <w:r>
        <w:t>1</w:t>
      </w:r>
      <w:r>
        <w:t>）施工时，施工开挖产生的弃渣及废弃建筑材料，要求建设单位必须加强管理，及时清理出施工现场，对于不能及时清运的，临时堆放场应远离水体。</w:t>
      </w:r>
    </w:p>
    <w:p w14:paraId="328FB79C" w14:textId="77777777" w:rsidR="009D12AF" w:rsidRDefault="00000000">
      <w:pPr>
        <w:ind w:firstLineChars="236" w:firstLine="566"/>
      </w:pPr>
      <w:r>
        <w:t>（</w:t>
      </w:r>
      <w:r>
        <w:t>2</w:t>
      </w:r>
      <w:r>
        <w:t>）项目应合理安排施工时间，避免在夏季汛期或大雨天气进行开挖和堆放作业。</w:t>
      </w:r>
    </w:p>
    <w:p w14:paraId="4E83B0B7" w14:textId="77777777" w:rsidR="009D12AF" w:rsidRDefault="00000000">
      <w:pPr>
        <w:ind w:firstLineChars="236" w:firstLine="566"/>
      </w:pPr>
      <w:r>
        <w:t>（</w:t>
      </w:r>
      <w:r>
        <w:t>3</w:t>
      </w:r>
      <w:r>
        <w:t>）对海浪河水质进行阶段性监督监测，确保水质未受到影响。</w:t>
      </w:r>
    </w:p>
    <w:p w14:paraId="2D1F3C8A" w14:textId="77777777" w:rsidR="009D12AF" w:rsidRDefault="00000000">
      <w:pPr>
        <w:ind w:firstLine="480"/>
      </w:pPr>
      <w:r>
        <w:t>综上，在严格落实上述环保措施的基础上，项目施工期对地表水环境影响较小。</w:t>
      </w:r>
    </w:p>
    <w:p w14:paraId="22624EBB" w14:textId="77777777" w:rsidR="009D12AF" w:rsidRDefault="00000000">
      <w:pPr>
        <w:pStyle w:val="3"/>
      </w:pPr>
      <w:bookmarkStart w:id="347" w:name="_Toc13928"/>
      <w:bookmarkStart w:id="348" w:name="_Toc31496"/>
      <w:bookmarkStart w:id="349" w:name="_Toc32496"/>
      <w:bookmarkStart w:id="350" w:name="_Toc3941"/>
      <w:r>
        <w:rPr>
          <w:rFonts w:hint="eastAsia"/>
        </w:rPr>
        <w:t>5</w:t>
      </w:r>
      <w:r>
        <w:t>.1.</w:t>
      </w:r>
      <w:r>
        <w:rPr>
          <w:rFonts w:hint="eastAsia"/>
        </w:rPr>
        <w:t>3</w:t>
      </w:r>
      <w:r>
        <w:t xml:space="preserve"> </w:t>
      </w:r>
      <w:r>
        <w:t>施工期</w:t>
      </w:r>
      <w:r>
        <w:rPr>
          <w:rFonts w:hint="eastAsia"/>
        </w:rPr>
        <w:t>地下</w:t>
      </w:r>
      <w:r>
        <w:t>水环境影响</w:t>
      </w:r>
      <w:bookmarkEnd w:id="347"/>
      <w:bookmarkEnd w:id="348"/>
      <w:bookmarkEnd w:id="349"/>
      <w:r>
        <w:rPr>
          <w:rFonts w:hint="eastAsia"/>
        </w:rPr>
        <w:t>预测与评价</w:t>
      </w:r>
      <w:bookmarkEnd w:id="350"/>
    </w:p>
    <w:p w14:paraId="3073122F" w14:textId="77777777" w:rsidR="009D12AF" w:rsidRDefault="00000000">
      <w:pPr>
        <w:ind w:firstLineChars="236" w:firstLine="566"/>
      </w:pPr>
      <w:r>
        <w:t>本工程无地下施工内容，施工期废水主要为生活污水、</w:t>
      </w:r>
      <w:r>
        <w:rPr>
          <w:rFonts w:hint="eastAsia"/>
        </w:rPr>
        <w:t>施工废水</w:t>
      </w:r>
      <w:r>
        <w:t>。施工废水为施工机械和车辆的清洗废水，</w:t>
      </w:r>
      <w:r>
        <w:rPr>
          <w:rFonts w:hint="eastAsia"/>
        </w:rPr>
        <w:t>经隔油沉淀池处理</w:t>
      </w:r>
      <w:r>
        <w:t>后，回用于洒水降尘，不外排</w:t>
      </w:r>
      <w:r>
        <w:rPr>
          <w:rFonts w:hint="eastAsia"/>
        </w:rPr>
        <w:t>；渗滤水经沉淀池处理后达到《污水综合排放标准》（</w:t>
      </w:r>
      <w:r>
        <w:rPr>
          <w:rFonts w:hint="eastAsia"/>
        </w:rPr>
        <w:t>GB8978-1996</w:t>
      </w:r>
      <w:r>
        <w:rPr>
          <w:rFonts w:hint="eastAsia"/>
        </w:rPr>
        <w:t>）一级标准，由牡丹江龙江环保水务有限公司定期拉运处理；</w:t>
      </w:r>
      <w:r>
        <w:t>生活污水排</w:t>
      </w:r>
      <w:r>
        <w:rPr>
          <w:rFonts w:hint="eastAsia"/>
        </w:rPr>
        <w:t>入</w:t>
      </w:r>
      <w:r>
        <w:t>防渗旱厕，定期清掏</w:t>
      </w:r>
      <w:r>
        <w:rPr>
          <w:rFonts w:hint="eastAsia"/>
        </w:rPr>
        <w:t>外运堆肥，不外排</w:t>
      </w:r>
      <w:r>
        <w:t>。</w:t>
      </w:r>
      <w:r>
        <w:rPr>
          <w:rFonts w:hint="eastAsia"/>
        </w:rPr>
        <w:t>因此，</w:t>
      </w:r>
      <w:r>
        <w:t>不会对地下水环境产生影响。</w:t>
      </w:r>
    </w:p>
    <w:p w14:paraId="498D5C08" w14:textId="77777777" w:rsidR="009D12AF" w:rsidRDefault="00000000">
      <w:pPr>
        <w:ind w:firstLineChars="236" w:firstLine="566"/>
      </w:pPr>
      <w:r>
        <w:t>淤泥清淤采用先进清淤工艺，可有效控制清淤标高，控制清淤深度。陆地施工过程中挖深较浅，不会挖到地下水，不会对项目所在地的地下水产生影响。项目施工现场配套建设的沉淀池等设施均按照严格的防腐防渗要求进行施工，采用耐腐蚀防渗材料，故项目施工不会对区域地下水环境造成负面影响。</w:t>
      </w:r>
      <w:r>
        <w:rPr>
          <w:rFonts w:hint="eastAsia"/>
        </w:rPr>
        <w:t>临时生产区</w:t>
      </w:r>
      <w:r>
        <w:t>采用天然防渗层采取黏土压实，人工防渗层采用土工膜，渗透系数能够小于</w:t>
      </w:r>
      <w:r>
        <w:t>1.0×10</w:t>
      </w:r>
      <w:r>
        <w:rPr>
          <w:vertAlign w:val="superscript"/>
        </w:rPr>
        <w:t>-7</w:t>
      </w:r>
      <w:r>
        <w:t>cm/s</w:t>
      </w:r>
      <w:r>
        <w:t>。综上所述，本项目</w:t>
      </w:r>
      <w:r>
        <w:rPr>
          <w:rFonts w:hint="eastAsia"/>
        </w:rPr>
        <w:t>临时生产区</w:t>
      </w:r>
      <w:r>
        <w:t>符合《一般工业固体废物贮存和填埋污染控制标准》</w:t>
      </w:r>
      <w:r>
        <w:t>(GB18599-2020)</w:t>
      </w:r>
      <w:r>
        <w:t>相关要求。</w:t>
      </w:r>
    </w:p>
    <w:p w14:paraId="4F107945" w14:textId="77777777" w:rsidR="009D12AF" w:rsidRDefault="00000000">
      <w:pPr>
        <w:ind w:firstLineChars="236" w:firstLine="566"/>
      </w:pPr>
      <w:r>
        <w:lastRenderedPageBreak/>
        <w:t>本工程包括清淤工程、生态护岸工程及生态隔离带工程，都有利于水体和底泥中生态系统的完善，有助于提高水体的自净能力，同时严格按照《中华人民共和国水污染防治法》的相关规定，从根本上消除了水体中污染物污染地下水污染来源，有利于地下水自然净化及水质改善。因此</w:t>
      </w:r>
      <w:r>
        <w:rPr>
          <w:rFonts w:hint="eastAsia"/>
        </w:rPr>
        <w:t>本项目实施后</w:t>
      </w:r>
      <w:r>
        <w:t>不会对区域地下水环境造成影响。</w:t>
      </w:r>
    </w:p>
    <w:p w14:paraId="46092827" w14:textId="77777777" w:rsidR="009D12AF" w:rsidRDefault="00000000">
      <w:pPr>
        <w:pStyle w:val="3"/>
      </w:pPr>
      <w:bookmarkStart w:id="351" w:name="_Toc11128"/>
      <w:bookmarkStart w:id="352" w:name="_Toc26939"/>
      <w:bookmarkStart w:id="353" w:name="_Toc8581"/>
      <w:bookmarkStart w:id="354" w:name="_Toc26764"/>
      <w:r>
        <w:rPr>
          <w:rFonts w:hint="eastAsia"/>
        </w:rPr>
        <w:t>5</w:t>
      </w:r>
      <w:r>
        <w:t>.1.</w:t>
      </w:r>
      <w:r>
        <w:rPr>
          <w:rFonts w:hint="eastAsia"/>
        </w:rPr>
        <w:t>4</w:t>
      </w:r>
      <w:r>
        <w:t xml:space="preserve"> </w:t>
      </w:r>
      <w:bookmarkEnd w:id="351"/>
      <w:bookmarkEnd w:id="352"/>
      <w:bookmarkEnd w:id="353"/>
      <w:r>
        <w:t>施工期</w:t>
      </w:r>
      <w:r>
        <w:rPr>
          <w:rFonts w:hint="eastAsia"/>
        </w:rPr>
        <w:t>噪声</w:t>
      </w:r>
      <w:r>
        <w:t>环境影响</w:t>
      </w:r>
      <w:r>
        <w:rPr>
          <w:rFonts w:hint="eastAsia"/>
        </w:rPr>
        <w:t>预测与评价</w:t>
      </w:r>
      <w:bookmarkEnd w:id="354"/>
    </w:p>
    <w:p w14:paraId="68564312" w14:textId="77777777" w:rsidR="009D12AF" w:rsidRDefault="00000000">
      <w:pPr>
        <w:ind w:firstLineChars="236" w:firstLine="566"/>
      </w:pPr>
      <w:r>
        <w:t>根据工程分析，工程施工期固定噪声源主要来自施工机械，如推土机、装载机、挖掘机、柴油发电机及人工填土机等，噪声级一般在</w:t>
      </w:r>
      <w:r>
        <w:t>85-90dB(A)</w:t>
      </w:r>
      <w:r>
        <w:t>之间；流动噪声源主要来自施工运输车辆，噪声级一般在</w:t>
      </w:r>
      <w:r>
        <w:t>88dB(A)</w:t>
      </w:r>
      <w:r>
        <w:t>之间。</w:t>
      </w:r>
    </w:p>
    <w:p w14:paraId="505800C0" w14:textId="77777777" w:rsidR="009D12AF" w:rsidRDefault="00000000">
      <w:pPr>
        <w:ind w:firstLineChars="236" w:firstLine="566"/>
      </w:pPr>
      <w:r>
        <w:t>1</w:t>
      </w:r>
      <w:r>
        <w:t>、环境噪声预测方法及模式</w:t>
      </w:r>
    </w:p>
    <w:p w14:paraId="5B219F37" w14:textId="77777777" w:rsidR="009D12AF" w:rsidRDefault="00000000">
      <w:pPr>
        <w:ind w:firstLineChars="236" w:firstLine="566"/>
      </w:pPr>
      <w:r>
        <w:t>根据《环境影响评价技术导则声环境》</w:t>
      </w:r>
      <w:r>
        <w:t>(HJ2.4-2021)</w:t>
      </w:r>
      <w:r>
        <w:t>，各类型噪声源计算公式如下：</w:t>
      </w:r>
    </w:p>
    <w:p w14:paraId="33E5D62D" w14:textId="77777777" w:rsidR="009D12AF" w:rsidRDefault="00000000">
      <w:pPr>
        <w:snapToGrid w:val="0"/>
        <w:ind w:firstLine="480"/>
      </w:pPr>
      <w:r>
        <w:rPr>
          <w:szCs w:val="28"/>
        </w:rPr>
        <w:t>预测模式</w:t>
      </w:r>
    </w:p>
    <w:p w14:paraId="135643FB" w14:textId="77777777" w:rsidR="009D12AF" w:rsidRDefault="00000000">
      <w:pPr>
        <w:snapToGrid w:val="0"/>
        <w:ind w:firstLine="480"/>
        <w:rPr>
          <w:szCs w:val="28"/>
        </w:rPr>
      </w:pPr>
      <w:r>
        <w:rPr>
          <w:szCs w:val="28"/>
        </w:rPr>
        <w:t>单个固定源噪声预测模式采用点声源的几何发散衰减，其中无指向性点声源几何发散衰减的基本公式</w:t>
      </w:r>
      <w:r>
        <w:rPr>
          <w:szCs w:val="28"/>
        </w:rPr>
        <w:t>:</w:t>
      </w:r>
    </w:p>
    <w:p w14:paraId="6F7AC088" w14:textId="77777777" w:rsidR="009D12AF" w:rsidRDefault="00000000">
      <w:pPr>
        <w:snapToGrid w:val="0"/>
        <w:ind w:firstLine="480"/>
        <w:jc w:val="center"/>
        <w:rPr>
          <w:szCs w:val="28"/>
        </w:rPr>
      </w:pPr>
      <w:r>
        <w:rPr>
          <w:szCs w:val="28"/>
        </w:rPr>
        <w:t>L(r)=L(r0)</w:t>
      </w:r>
      <w:r>
        <w:rPr>
          <w:szCs w:val="28"/>
        </w:rPr>
        <w:t>－</w:t>
      </w:r>
      <w:r>
        <w:rPr>
          <w:szCs w:val="28"/>
        </w:rPr>
        <w:t>20log(r/r0)</w:t>
      </w:r>
    </w:p>
    <w:p w14:paraId="53392521" w14:textId="77777777" w:rsidR="009D12AF" w:rsidRDefault="00000000">
      <w:pPr>
        <w:snapToGrid w:val="0"/>
        <w:ind w:firstLine="480"/>
        <w:rPr>
          <w:szCs w:val="28"/>
        </w:rPr>
      </w:pPr>
      <w:r>
        <w:rPr>
          <w:szCs w:val="28"/>
        </w:rPr>
        <w:t>式中：</w:t>
      </w:r>
      <w:r>
        <w:rPr>
          <w:szCs w:val="28"/>
        </w:rPr>
        <w:t>L(r)——</w:t>
      </w:r>
      <w:r>
        <w:rPr>
          <w:szCs w:val="28"/>
        </w:rPr>
        <w:t>点声源在预测点产生的噪声级</w:t>
      </w:r>
      <w:r>
        <w:rPr>
          <w:szCs w:val="28"/>
        </w:rPr>
        <w:t>dB(A)</w:t>
      </w:r>
      <w:r>
        <w:rPr>
          <w:szCs w:val="28"/>
        </w:rPr>
        <w:t>；</w:t>
      </w:r>
    </w:p>
    <w:p w14:paraId="5252496A" w14:textId="77777777" w:rsidR="009D12AF" w:rsidRDefault="00000000">
      <w:pPr>
        <w:snapToGrid w:val="0"/>
        <w:ind w:firstLine="480"/>
        <w:rPr>
          <w:szCs w:val="28"/>
        </w:rPr>
      </w:pPr>
      <w:r>
        <w:rPr>
          <w:szCs w:val="28"/>
        </w:rPr>
        <w:t xml:space="preserve">      L(r0) ——</w:t>
      </w:r>
      <w:r>
        <w:rPr>
          <w:szCs w:val="28"/>
        </w:rPr>
        <w:t>参考位置</w:t>
      </w:r>
      <w:r>
        <w:rPr>
          <w:szCs w:val="28"/>
        </w:rPr>
        <w:t>r0</w:t>
      </w:r>
      <w:r>
        <w:rPr>
          <w:szCs w:val="28"/>
        </w:rPr>
        <w:t>处的已知噪声级</w:t>
      </w:r>
      <w:r>
        <w:rPr>
          <w:szCs w:val="28"/>
        </w:rPr>
        <w:t>dB(A)</w:t>
      </w:r>
      <w:r>
        <w:rPr>
          <w:szCs w:val="28"/>
        </w:rPr>
        <w:t>。</w:t>
      </w:r>
    </w:p>
    <w:p w14:paraId="39D74CF6" w14:textId="77777777" w:rsidR="009D12AF" w:rsidRDefault="00000000">
      <w:pPr>
        <w:snapToGrid w:val="0"/>
        <w:ind w:firstLine="480"/>
        <w:rPr>
          <w:szCs w:val="28"/>
        </w:rPr>
      </w:pPr>
      <w:r>
        <w:rPr>
          <w:szCs w:val="28"/>
        </w:rPr>
        <w:t xml:space="preserve">      r</w:t>
      </w:r>
      <w:r>
        <w:rPr>
          <w:szCs w:val="28"/>
        </w:rPr>
        <w:t>、</w:t>
      </w:r>
      <w:r>
        <w:rPr>
          <w:szCs w:val="28"/>
        </w:rPr>
        <w:t>ro</w:t>
      </w:r>
      <w:r>
        <w:rPr>
          <w:szCs w:val="28"/>
        </w:rPr>
        <w:t>一均为接受</w:t>
      </w:r>
      <w:r>
        <w:rPr>
          <w:szCs w:val="28"/>
        </w:rPr>
        <w:t xml:space="preserve"> </w:t>
      </w:r>
      <w:r>
        <w:rPr>
          <w:szCs w:val="28"/>
        </w:rPr>
        <w:t>距声源的距离，</w:t>
      </w:r>
      <w:r>
        <w:rPr>
          <w:szCs w:val="28"/>
        </w:rPr>
        <w:t xml:space="preserve">m </w:t>
      </w:r>
      <w:r>
        <w:rPr>
          <w:szCs w:val="28"/>
        </w:rPr>
        <w:t>。</w:t>
      </w:r>
    </w:p>
    <w:p w14:paraId="13B050F6" w14:textId="77777777" w:rsidR="009D12AF" w:rsidRDefault="00000000">
      <w:pPr>
        <w:snapToGrid w:val="0"/>
        <w:ind w:firstLine="480"/>
        <w:rPr>
          <w:szCs w:val="28"/>
        </w:rPr>
      </w:pPr>
      <w:r>
        <w:rPr>
          <w:szCs w:val="28"/>
        </w:rPr>
        <w:t>在各施工点噪声预测过程中采用常用机械进行噪声叠加，多声源对预测点的贡献值叠加公式如下：</w:t>
      </w:r>
    </w:p>
    <w:p w14:paraId="6E1EADCE" w14:textId="77777777" w:rsidR="009D12AF" w:rsidRDefault="00000000">
      <w:pPr>
        <w:ind w:firstLineChars="236" w:firstLine="566"/>
      </w:pPr>
      <w:r>
        <w:rPr>
          <w:noProof/>
        </w:rPr>
        <w:drawing>
          <wp:inline distT="0" distB="0" distL="114300" distR="114300" wp14:anchorId="66AD395B" wp14:editId="1E7E4F6C">
            <wp:extent cx="2275205" cy="581025"/>
            <wp:effectExtent l="0" t="0" r="10795" b="9525"/>
            <wp:docPr id="20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6"/>
                    <pic:cNvPicPr>
                      <a:picLocks noChangeAspect="1"/>
                    </pic:cNvPicPr>
                  </pic:nvPicPr>
                  <pic:blipFill>
                    <a:blip r:embed="rId244"/>
                    <a:stretch>
                      <a:fillRect/>
                    </a:stretch>
                  </pic:blipFill>
                  <pic:spPr>
                    <a:xfrm>
                      <a:off x="0" y="0"/>
                      <a:ext cx="2275205" cy="581025"/>
                    </a:xfrm>
                    <a:prstGeom prst="rect">
                      <a:avLst/>
                    </a:prstGeom>
                    <a:noFill/>
                    <a:ln>
                      <a:noFill/>
                    </a:ln>
                  </pic:spPr>
                </pic:pic>
              </a:graphicData>
            </a:graphic>
          </wp:inline>
        </w:drawing>
      </w:r>
    </w:p>
    <w:p w14:paraId="29FE99C5" w14:textId="77777777" w:rsidR="009D12AF" w:rsidRDefault="00000000">
      <w:pPr>
        <w:snapToGrid w:val="0"/>
        <w:ind w:firstLine="480"/>
        <w:rPr>
          <w:szCs w:val="28"/>
        </w:rPr>
      </w:pPr>
      <w:r>
        <w:rPr>
          <w:szCs w:val="28"/>
        </w:rPr>
        <w:t>式中</w:t>
      </w:r>
      <w:r>
        <w:rPr>
          <w:szCs w:val="28"/>
        </w:rPr>
        <w:t>:L</w:t>
      </w:r>
      <w:r>
        <w:rPr>
          <w:szCs w:val="28"/>
          <w:vertAlign w:val="subscript"/>
        </w:rPr>
        <w:t>eqg</w:t>
      </w:r>
      <w:r>
        <w:rPr>
          <w:szCs w:val="28"/>
        </w:rPr>
        <w:t>——</w:t>
      </w:r>
      <w:r>
        <w:rPr>
          <w:szCs w:val="28"/>
        </w:rPr>
        <w:t>建设项目声源在预测点的等效声级贡献值，</w:t>
      </w:r>
      <w:r>
        <w:rPr>
          <w:szCs w:val="28"/>
        </w:rPr>
        <w:t>dB(A);</w:t>
      </w:r>
    </w:p>
    <w:p w14:paraId="275DDDA1" w14:textId="77777777" w:rsidR="009D12AF" w:rsidRDefault="00000000">
      <w:pPr>
        <w:snapToGrid w:val="0"/>
        <w:ind w:firstLine="480"/>
        <w:rPr>
          <w:szCs w:val="28"/>
        </w:rPr>
      </w:pPr>
      <w:r>
        <w:rPr>
          <w:szCs w:val="28"/>
        </w:rPr>
        <w:t>L</w:t>
      </w:r>
      <w:r>
        <w:rPr>
          <w:szCs w:val="28"/>
          <w:vertAlign w:val="subscript"/>
        </w:rPr>
        <w:t>Ai</w:t>
      </w:r>
      <w:r>
        <w:rPr>
          <w:szCs w:val="28"/>
        </w:rPr>
        <w:t>——i</w:t>
      </w:r>
      <w:r>
        <w:rPr>
          <w:szCs w:val="28"/>
        </w:rPr>
        <w:t>声源在预测点产生的</w:t>
      </w:r>
      <w:r>
        <w:rPr>
          <w:szCs w:val="28"/>
        </w:rPr>
        <w:t>A</w:t>
      </w:r>
      <w:r>
        <w:rPr>
          <w:szCs w:val="28"/>
        </w:rPr>
        <w:t>声级，</w:t>
      </w:r>
      <w:r>
        <w:rPr>
          <w:szCs w:val="28"/>
        </w:rPr>
        <w:t>dB(A);</w:t>
      </w:r>
    </w:p>
    <w:p w14:paraId="570C32C4" w14:textId="77777777" w:rsidR="009D12AF" w:rsidRDefault="00000000">
      <w:pPr>
        <w:snapToGrid w:val="0"/>
        <w:ind w:firstLine="480"/>
        <w:rPr>
          <w:szCs w:val="28"/>
        </w:rPr>
      </w:pPr>
      <w:r>
        <w:rPr>
          <w:szCs w:val="28"/>
        </w:rPr>
        <w:t>t</w:t>
      </w:r>
      <w:r>
        <w:rPr>
          <w:szCs w:val="28"/>
          <w:vertAlign w:val="subscript"/>
        </w:rPr>
        <w:t>i</w:t>
      </w:r>
      <w:r>
        <w:rPr>
          <w:szCs w:val="28"/>
        </w:rPr>
        <w:t>——i</w:t>
      </w:r>
      <w:r>
        <w:rPr>
          <w:szCs w:val="28"/>
        </w:rPr>
        <w:t>声源在</w:t>
      </w:r>
      <w:r>
        <w:rPr>
          <w:szCs w:val="28"/>
        </w:rPr>
        <w:t>T</w:t>
      </w:r>
      <w:r>
        <w:rPr>
          <w:szCs w:val="28"/>
        </w:rPr>
        <w:t>时段内的运行</w:t>
      </w:r>
      <w:r>
        <w:rPr>
          <w:szCs w:val="28"/>
        </w:rPr>
        <w:t xml:space="preserve"> </w:t>
      </w:r>
      <w:r>
        <w:rPr>
          <w:szCs w:val="28"/>
        </w:rPr>
        <w:t>时间，</w:t>
      </w:r>
      <w:r>
        <w:rPr>
          <w:szCs w:val="28"/>
        </w:rPr>
        <w:t>s</w:t>
      </w:r>
      <w:r>
        <w:rPr>
          <w:szCs w:val="28"/>
        </w:rPr>
        <w:t>。</w:t>
      </w:r>
    </w:p>
    <w:p w14:paraId="0A047BC6" w14:textId="77777777" w:rsidR="009D12AF" w:rsidRDefault="00000000">
      <w:pPr>
        <w:snapToGrid w:val="0"/>
        <w:ind w:firstLine="480"/>
        <w:rPr>
          <w:szCs w:val="28"/>
        </w:rPr>
      </w:pPr>
      <w:r>
        <w:rPr>
          <w:szCs w:val="28"/>
        </w:rPr>
        <w:t>2</w:t>
      </w:r>
      <w:r>
        <w:rPr>
          <w:szCs w:val="28"/>
        </w:rPr>
        <w:t>、固定源噪声预测结果</w:t>
      </w:r>
      <w:r>
        <w:rPr>
          <w:szCs w:val="28"/>
        </w:rPr>
        <w:t xml:space="preserve"> </w:t>
      </w:r>
    </w:p>
    <w:p w14:paraId="690D03FD" w14:textId="77777777" w:rsidR="009D12AF" w:rsidRDefault="00000000">
      <w:pPr>
        <w:snapToGrid w:val="0"/>
        <w:ind w:firstLine="480"/>
        <w:rPr>
          <w:szCs w:val="28"/>
        </w:rPr>
      </w:pPr>
      <w:r>
        <w:rPr>
          <w:szCs w:val="28"/>
        </w:rPr>
        <w:t>经模式计算，主要施工机械在不同施工阶段、不同距离处的噪声贡献值见表</w:t>
      </w:r>
      <w:r>
        <w:rPr>
          <w:szCs w:val="28"/>
        </w:rPr>
        <w:lastRenderedPageBreak/>
        <w:t>5-1-3</w:t>
      </w:r>
    </w:p>
    <w:p w14:paraId="335EEF6E" w14:textId="77777777" w:rsidR="009D12AF" w:rsidRDefault="00000000">
      <w:pPr>
        <w:spacing w:line="240" w:lineRule="auto"/>
        <w:ind w:firstLine="482"/>
        <w:jc w:val="center"/>
        <w:rPr>
          <w:b/>
          <w:bCs/>
        </w:rPr>
      </w:pPr>
      <w:r>
        <w:rPr>
          <w:b/>
          <w:bCs/>
        </w:rPr>
        <w:t>表</w:t>
      </w:r>
      <w:r>
        <w:rPr>
          <w:b/>
          <w:bCs/>
        </w:rPr>
        <w:t>5</w:t>
      </w:r>
      <w:r>
        <w:rPr>
          <w:rFonts w:hint="eastAsia"/>
          <w:b/>
          <w:bCs/>
        </w:rPr>
        <w:t>.</w:t>
      </w:r>
      <w:r>
        <w:rPr>
          <w:b/>
          <w:bCs/>
        </w:rPr>
        <w:t>1-</w:t>
      </w:r>
      <w:r>
        <w:rPr>
          <w:rFonts w:hint="eastAsia"/>
          <w:b/>
          <w:bCs/>
        </w:rPr>
        <w:t>4</w:t>
      </w:r>
      <w:r>
        <w:rPr>
          <w:b/>
          <w:bCs/>
        </w:rPr>
        <w:t xml:space="preserve">  </w:t>
      </w:r>
      <w:r>
        <w:rPr>
          <w:b/>
          <w:bCs/>
        </w:rPr>
        <w:t>主要施工机械不同距离处的噪声预测值</w:t>
      </w:r>
    </w:p>
    <w:tbl>
      <w:tblPr>
        <w:tblW w:w="8467"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80"/>
        <w:gridCol w:w="604"/>
        <w:gridCol w:w="748"/>
        <w:gridCol w:w="581"/>
        <w:gridCol w:w="581"/>
        <w:gridCol w:w="503"/>
        <w:gridCol w:w="709"/>
        <w:gridCol w:w="567"/>
        <w:gridCol w:w="709"/>
        <w:gridCol w:w="567"/>
        <w:gridCol w:w="850"/>
        <w:gridCol w:w="559"/>
        <w:gridCol w:w="709"/>
      </w:tblGrid>
      <w:tr w:rsidR="009D12AF" w14:paraId="19F18FA1" w14:textId="77777777">
        <w:trPr>
          <w:trHeight w:val="384"/>
          <w:jc w:val="center"/>
        </w:trPr>
        <w:tc>
          <w:tcPr>
            <w:tcW w:w="780" w:type="dxa"/>
            <w:vMerge w:val="restart"/>
            <w:vAlign w:val="center"/>
          </w:tcPr>
          <w:p w14:paraId="5C1425BA"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sz w:val="21"/>
                <w:szCs w:val="21"/>
              </w:rPr>
              <w:t>序号</w:t>
            </w:r>
          </w:p>
        </w:tc>
        <w:tc>
          <w:tcPr>
            <w:tcW w:w="604" w:type="dxa"/>
            <w:vMerge w:val="restart"/>
            <w:vAlign w:val="center"/>
          </w:tcPr>
          <w:p w14:paraId="0BF83773"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sz w:val="21"/>
                <w:szCs w:val="21"/>
              </w:rPr>
              <w:t>源强</w:t>
            </w:r>
            <w:r>
              <w:rPr>
                <w:rFonts w:ascii="Times New Roman" w:hAnsi="Times New Roman"/>
                <w:sz w:val="21"/>
                <w:szCs w:val="21"/>
              </w:rPr>
              <w:t>dB(A)</w:t>
            </w:r>
          </w:p>
        </w:tc>
        <w:tc>
          <w:tcPr>
            <w:tcW w:w="4965" w:type="dxa"/>
            <w:gridSpan w:val="8"/>
            <w:vAlign w:val="center"/>
          </w:tcPr>
          <w:p w14:paraId="4C73F950"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sz w:val="20"/>
                <w:szCs w:val="20"/>
              </w:rPr>
              <w:t>与声源不</w:t>
            </w:r>
            <w:r>
              <w:rPr>
                <w:rFonts w:ascii="Times New Roman" w:hAnsi="Times New Roman"/>
                <w:spacing w:val="-59"/>
                <w:sz w:val="20"/>
                <w:szCs w:val="20"/>
              </w:rPr>
              <w:t xml:space="preserve"> </w:t>
            </w:r>
            <w:r>
              <w:rPr>
                <w:rFonts w:ascii="Times New Roman" w:hAnsi="Times New Roman"/>
                <w:spacing w:val="-26"/>
                <w:sz w:val="20"/>
                <w:szCs w:val="20"/>
              </w:rPr>
              <w:t>同</w:t>
            </w:r>
            <w:r>
              <w:rPr>
                <w:rFonts w:ascii="Times New Roman" w:hAnsi="Times New Roman"/>
                <w:sz w:val="20"/>
                <w:szCs w:val="20"/>
              </w:rPr>
              <w:t>距离的噪声值</w:t>
            </w:r>
            <w:r>
              <w:rPr>
                <w:rFonts w:ascii="Times New Roman" w:hAnsi="Times New Roman"/>
                <w:sz w:val="21"/>
                <w:szCs w:val="21"/>
              </w:rPr>
              <w:t>dB(A)</w:t>
            </w:r>
          </w:p>
        </w:tc>
        <w:tc>
          <w:tcPr>
            <w:tcW w:w="850" w:type="dxa"/>
            <w:vMerge w:val="restart"/>
            <w:vAlign w:val="center"/>
          </w:tcPr>
          <w:p w14:paraId="1830574B"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sz w:val="21"/>
                <w:szCs w:val="21"/>
              </w:rPr>
              <w:t>标准</w:t>
            </w:r>
            <w:r>
              <w:rPr>
                <w:rFonts w:ascii="Times New Roman" w:hAnsi="Times New Roman"/>
                <w:sz w:val="21"/>
                <w:szCs w:val="21"/>
              </w:rPr>
              <w:t>dB(A)</w:t>
            </w:r>
          </w:p>
        </w:tc>
        <w:tc>
          <w:tcPr>
            <w:tcW w:w="1268" w:type="dxa"/>
            <w:gridSpan w:val="2"/>
            <w:vAlign w:val="center"/>
          </w:tcPr>
          <w:p w14:paraId="11919AEF" w14:textId="77777777" w:rsidR="009D12AF" w:rsidRDefault="00000000">
            <w:pPr>
              <w:spacing w:line="240" w:lineRule="auto"/>
              <w:ind w:firstLineChars="0" w:firstLine="0"/>
              <w:jc w:val="center"/>
              <w:rPr>
                <w:sz w:val="21"/>
              </w:rPr>
            </w:pPr>
            <w:r>
              <w:rPr>
                <w:sz w:val="21"/>
              </w:rPr>
              <w:t>达标距离</w:t>
            </w:r>
            <w:r>
              <w:rPr>
                <w:sz w:val="21"/>
              </w:rPr>
              <w:t>(m)</w:t>
            </w:r>
          </w:p>
        </w:tc>
      </w:tr>
      <w:tr w:rsidR="009D12AF" w14:paraId="1543673E" w14:textId="77777777">
        <w:trPr>
          <w:trHeight w:val="259"/>
          <w:jc w:val="center"/>
        </w:trPr>
        <w:tc>
          <w:tcPr>
            <w:tcW w:w="780" w:type="dxa"/>
            <w:vMerge/>
            <w:vAlign w:val="center"/>
          </w:tcPr>
          <w:p w14:paraId="631FCDEE" w14:textId="77777777" w:rsidR="009D12AF" w:rsidRDefault="009D12AF">
            <w:pPr>
              <w:pStyle w:val="afc"/>
              <w:spacing w:line="360" w:lineRule="exact"/>
              <w:ind w:firstLineChars="0" w:firstLine="0"/>
              <w:rPr>
                <w:rFonts w:ascii="Times New Roman" w:hAnsi="Times New Roman"/>
                <w:sz w:val="21"/>
                <w:szCs w:val="21"/>
              </w:rPr>
            </w:pPr>
          </w:p>
        </w:tc>
        <w:tc>
          <w:tcPr>
            <w:tcW w:w="604" w:type="dxa"/>
            <w:vMerge/>
            <w:vAlign w:val="center"/>
          </w:tcPr>
          <w:p w14:paraId="562C1760" w14:textId="77777777" w:rsidR="009D12AF" w:rsidRDefault="009D12AF">
            <w:pPr>
              <w:pStyle w:val="afc"/>
              <w:spacing w:line="360" w:lineRule="exact"/>
              <w:ind w:firstLineChars="0" w:firstLine="0"/>
              <w:rPr>
                <w:rFonts w:ascii="Times New Roman" w:hAnsi="Times New Roman"/>
                <w:sz w:val="21"/>
                <w:szCs w:val="21"/>
              </w:rPr>
            </w:pPr>
          </w:p>
        </w:tc>
        <w:tc>
          <w:tcPr>
            <w:tcW w:w="748" w:type="dxa"/>
            <w:vAlign w:val="center"/>
          </w:tcPr>
          <w:p w14:paraId="748997A3" w14:textId="77777777" w:rsidR="009D12AF" w:rsidRDefault="00000000">
            <w:pPr>
              <w:spacing w:line="240" w:lineRule="auto"/>
              <w:ind w:firstLineChars="0" w:firstLine="0"/>
              <w:jc w:val="center"/>
              <w:rPr>
                <w:sz w:val="21"/>
              </w:rPr>
            </w:pPr>
            <w:r>
              <w:rPr>
                <w:sz w:val="21"/>
              </w:rPr>
              <w:t>5m</w:t>
            </w:r>
          </w:p>
        </w:tc>
        <w:tc>
          <w:tcPr>
            <w:tcW w:w="581" w:type="dxa"/>
            <w:vAlign w:val="center"/>
          </w:tcPr>
          <w:p w14:paraId="5D8B3948" w14:textId="77777777" w:rsidR="009D12AF" w:rsidRDefault="00000000">
            <w:pPr>
              <w:spacing w:line="240" w:lineRule="auto"/>
              <w:ind w:firstLineChars="0" w:firstLine="0"/>
              <w:jc w:val="center"/>
              <w:rPr>
                <w:sz w:val="21"/>
              </w:rPr>
            </w:pPr>
            <w:r>
              <w:rPr>
                <w:sz w:val="21"/>
              </w:rPr>
              <w:t>10m</w:t>
            </w:r>
          </w:p>
        </w:tc>
        <w:tc>
          <w:tcPr>
            <w:tcW w:w="581" w:type="dxa"/>
            <w:vAlign w:val="center"/>
          </w:tcPr>
          <w:p w14:paraId="41215CBE" w14:textId="77777777" w:rsidR="009D12AF" w:rsidRDefault="00000000">
            <w:pPr>
              <w:spacing w:line="240" w:lineRule="auto"/>
              <w:ind w:firstLineChars="0" w:firstLine="0"/>
              <w:jc w:val="center"/>
              <w:rPr>
                <w:sz w:val="21"/>
              </w:rPr>
            </w:pPr>
            <w:r>
              <w:rPr>
                <w:sz w:val="21"/>
              </w:rPr>
              <w:t>20m</w:t>
            </w:r>
          </w:p>
        </w:tc>
        <w:tc>
          <w:tcPr>
            <w:tcW w:w="503" w:type="dxa"/>
            <w:vAlign w:val="center"/>
          </w:tcPr>
          <w:p w14:paraId="37EFB9D8" w14:textId="77777777" w:rsidR="009D12AF" w:rsidRDefault="00000000">
            <w:pPr>
              <w:spacing w:line="240" w:lineRule="auto"/>
              <w:ind w:firstLineChars="0" w:firstLine="0"/>
              <w:jc w:val="center"/>
              <w:rPr>
                <w:sz w:val="21"/>
              </w:rPr>
            </w:pPr>
            <w:r>
              <w:rPr>
                <w:rFonts w:hint="eastAsia"/>
                <w:sz w:val="21"/>
              </w:rPr>
              <w:t>3</w:t>
            </w:r>
            <w:r>
              <w:rPr>
                <w:sz w:val="21"/>
              </w:rPr>
              <w:t>0m</w:t>
            </w:r>
          </w:p>
        </w:tc>
        <w:tc>
          <w:tcPr>
            <w:tcW w:w="709" w:type="dxa"/>
            <w:vAlign w:val="center"/>
          </w:tcPr>
          <w:p w14:paraId="02B95EA0" w14:textId="77777777" w:rsidR="009D12AF" w:rsidRDefault="00000000">
            <w:pPr>
              <w:spacing w:line="240" w:lineRule="auto"/>
              <w:ind w:firstLineChars="0" w:firstLine="0"/>
              <w:jc w:val="center"/>
              <w:rPr>
                <w:sz w:val="21"/>
              </w:rPr>
            </w:pPr>
            <w:r>
              <w:rPr>
                <w:sz w:val="21"/>
              </w:rPr>
              <w:t>100m</w:t>
            </w:r>
          </w:p>
        </w:tc>
        <w:tc>
          <w:tcPr>
            <w:tcW w:w="567" w:type="dxa"/>
            <w:vAlign w:val="center"/>
          </w:tcPr>
          <w:p w14:paraId="1C6FDAB9" w14:textId="77777777" w:rsidR="009D12AF" w:rsidRDefault="00000000">
            <w:pPr>
              <w:spacing w:line="240" w:lineRule="auto"/>
              <w:ind w:firstLineChars="0" w:firstLine="0"/>
              <w:jc w:val="center"/>
              <w:rPr>
                <w:sz w:val="21"/>
              </w:rPr>
            </w:pPr>
            <w:r>
              <w:rPr>
                <w:sz w:val="21"/>
              </w:rPr>
              <w:t>200m</w:t>
            </w:r>
          </w:p>
        </w:tc>
        <w:tc>
          <w:tcPr>
            <w:tcW w:w="709" w:type="dxa"/>
            <w:vAlign w:val="center"/>
          </w:tcPr>
          <w:p w14:paraId="0A26A056" w14:textId="77777777" w:rsidR="009D12AF" w:rsidRDefault="00000000">
            <w:pPr>
              <w:spacing w:line="240" w:lineRule="auto"/>
              <w:ind w:firstLineChars="0" w:firstLine="0"/>
              <w:jc w:val="center"/>
              <w:rPr>
                <w:sz w:val="21"/>
              </w:rPr>
            </w:pPr>
            <w:r>
              <w:rPr>
                <w:sz w:val="21"/>
              </w:rPr>
              <w:t>300m</w:t>
            </w:r>
          </w:p>
        </w:tc>
        <w:tc>
          <w:tcPr>
            <w:tcW w:w="567" w:type="dxa"/>
            <w:vAlign w:val="center"/>
          </w:tcPr>
          <w:p w14:paraId="06E1C568" w14:textId="77777777" w:rsidR="009D12AF" w:rsidRDefault="00000000">
            <w:pPr>
              <w:spacing w:line="240" w:lineRule="auto"/>
              <w:ind w:firstLineChars="0" w:firstLine="0"/>
              <w:jc w:val="center"/>
              <w:rPr>
                <w:sz w:val="21"/>
              </w:rPr>
            </w:pPr>
            <w:r>
              <w:rPr>
                <w:sz w:val="21"/>
              </w:rPr>
              <w:t>500m</w:t>
            </w:r>
          </w:p>
        </w:tc>
        <w:tc>
          <w:tcPr>
            <w:tcW w:w="850" w:type="dxa"/>
            <w:vMerge/>
            <w:vAlign w:val="center"/>
          </w:tcPr>
          <w:p w14:paraId="1E5EE92C" w14:textId="77777777" w:rsidR="009D12AF" w:rsidRDefault="009D12AF">
            <w:pPr>
              <w:spacing w:line="240" w:lineRule="auto"/>
              <w:ind w:firstLineChars="0" w:firstLine="0"/>
              <w:jc w:val="center"/>
              <w:rPr>
                <w:sz w:val="21"/>
              </w:rPr>
            </w:pPr>
          </w:p>
        </w:tc>
        <w:tc>
          <w:tcPr>
            <w:tcW w:w="559" w:type="dxa"/>
            <w:vAlign w:val="center"/>
          </w:tcPr>
          <w:p w14:paraId="3A23EDEA" w14:textId="77777777" w:rsidR="009D12AF" w:rsidRDefault="00000000">
            <w:pPr>
              <w:spacing w:line="240" w:lineRule="auto"/>
              <w:ind w:firstLineChars="0" w:firstLine="0"/>
              <w:jc w:val="center"/>
              <w:rPr>
                <w:sz w:val="21"/>
              </w:rPr>
            </w:pPr>
            <w:r>
              <w:rPr>
                <w:sz w:val="21"/>
              </w:rPr>
              <w:t>昼间</w:t>
            </w:r>
          </w:p>
        </w:tc>
        <w:tc>
          <w:tcPr>
            <w:tcW w:w="709" w:type="dxa"/>
            <w:vAlign w:val="center"/>
          </w:tcPr>
          <w:p w14:paraId="0F6AF4F0" w14:textId="77777777" w:rsidR="009D12AF" w:rsidRDefault="00000000">
            <w:pPr>
              <w:spacing w:line="240" w:lineRule="auto"/>
              <w:ind w:firstLineChars="0" w:firstLine="0"/>
              <w:jc w:val="center"/>
              <w:rPr>
                <w:sz w:val="21"/>
              </w:rPr>
            </w:pPr>
            <w:r>
              <w:rPr>
                <w:sz w:val="21"/>
              </w:rPr>
              <w:t>夜间</w:t>
            </w:r>
          </w:p>
        </w:tc>
      </w:tr>
      <w:tr w:rsidR="009D12AF" w14:paraId="55308691" w14:textId="77777777">
        <w:trPr>
          <w:trHeight w:val="384"/>
          <w:jc w:val="center"/>
        </w:trPr>
        <w:tc>
          <w:tcPr>
            <w:tcW w:w="780" w:type="dxa"/>
            <w:vAlign w:val="center"/>
          </w:tcPr>
          <w:p w14:paraId="55DC7702" w14:textId="77777777" w:rsidR="009D12AF" w:rsidRDefault="00000000">
            <w:pPr>
              <w:spacing w:line="240" w:lineRule="auto"/>
              <w:ind w:firstLineChars="0" w:firstLine="0"/>
              <w:jc w:val="center"/>
              <w:rPr>
                <w:sz w:val="21"/>
              </w:rPr>
            </w:pPr>
            <w:r>
              <w:rPr>
                <w:sz w:val="21"/>
              </w:rPr>
              <w:t>推土机</w:t>
            </w:r>
          </w:p>
        </w:tc>
        <w:tc>
          <w:tcPr>
            <w:tcW w:w="604" w:type="dxa"/>
            <w:vAlign w:val="center"/>
          </w:tcPr>
          <w:p w14:paraId="05CE7E7E" w14:textId="77777777" w:rsidR="009D12AF" w:rsidRDefault="00000000">
            <w:pPr>
              <w:spacing w:line="240" w:lineRule="auto"/>
              <w:ind w:firstLineChars="0" w:firstLine="0"/>
              <w:jc w:val="center"/>
              <w:rPr>
                <w:sz w:val="21"/>
              </w:rPr>
            </w:pPr>
            <w:r>
              <w:rPr>
                <w:sz w:val="21"/>
              </w:rPr>
              <w:t>85</w:t>
            </w:r>
          </w:p>
        </w:tc>
        <w:tc>
          <w:tcPr>
            <w:tcW w:w="748" w:type="dxa"/>
            <w:vAlign w:val="center"/>
          </w:tcPr>
          <w:p w14:paraId="5DD7576D" w14:textId="77777777" w:rsidR="009D12AF" w:rsidRDefault="00000000">
            <w:pPr>
              <w:spacing w:line="240" w:lineRule="auto"/>
              <w:ind w:firstLineChars="0" w:firstLine="0"/>
              <w:jc w:val="center"/>
              <w:rPr>
                <w:sz w:val="21"/>
              </w:rPr>
            </w:pPr>
            <w:r>
              <w:rPr>
                <w:rFonts w:hint="eastAsia"/>
                <w:sz w:val="21"/>
              </w:rPr>
              <w:t>60.1</w:t>
            </w:r>
          </w:p>
        </w:tc>
        <w:tc>
          <w:tcPr>
            <w:tcW w:w="581" w:type="dxa"/>
            <w:vAlign w:val="center"/>
          </w:tcPr>
          <w:p w14:paraId="2941DE85" w14:textId="77777777" w:rsidR="009D12AF" w:rsidRDefault="00000000">
            <w:pPr>
              <w:spacing w:line="240" w:lineRule="auto"/>
              <w:ind w:firstLineChars="0" w:firstLine="0"/>
              <w:jc w:val="center"/>
              <w:rPr>
                <w:sz w:val="21"/>
              </w:rPr>
            </w:pPr>
            <w:r>
              <w:rPr>
                <w:rFonts w:hint="eastAsia"/>
                <w:sz w:val="21"/>
              </w:rPr>
              <w:t>53.97</w:t>
            </w:r>
          </w:p>
        </w:tc>
        <w:tc>
          <w:tcPr>
            <w:tcW w:w="581" w:type="dxa"/>
            <w:vAlign w:val="center"/>
          </w:tcPr>
          <w:p w14:paraId="5F0259B3" w14:textId="77777777" w:rsidR="009D12AF" w:rsidRDefault="00000000">
            <w:pPr>
              <w:spacing w:line="240" w:lineRule="auto"/>
              <w:ind w:firstLineChars="0" w:firstLine="0"/>
              <w:jc w:val="center"/>
              <w:rPr>
                <w:sz w:val="21"/>
              </w:rPr>
            </w:pPr>
            <w:r>
              <w:rPr>
                <w:rFonts w:hint="eastAsia"/>
                <w:sz w:val="21"/>
              </w:rPr>
              <w:t>47.92</w:t>
            </w:r>
          </w:p>
        </w:tc>
        <w:tc>
          <w:tcPr>
            <w:tcW w:w="503" w:type="dxa"/>
            <w:vAlign w:val="center"/>
          </w:tcPr>
          <w:p w14:paraId="78380982" w14:textId="77777777" w:rsidR="009D12AF" w:rsidRDefault="00000000">
            <w:pPr>
              <w:spacing w:line="240" w:lineRule="auto"/>
              <w:ind w:firstLineChars="0" w:firstLine="0"/>
              <w:jc w:val="center"/>
              <w:rPr>
                <w:sz w:val="21"/>
              </w:rPr>
            </w:pPr>
            <w:r>
              <w:rPr>
                <w:rFonts w:hint="eastAsia"/>
                <w:sz w:val="21"/>
              </w:rPr>
              <w:t>44.37</w:t>
            </w:r>
          </w:p>
        </w:tc>
        <w:tc>
          <w:tcPr>
            <w:tcW w:w="709" w:type="dxa"/>
            <w:vAlign w:val="center"/>
          </w:tcPr>
          <w:p w14:paraId="18D1A622" w14:textId="77777777" w:rsidR="009D12AF" w:rsidRDefault="00000000">
            <w:pPr>
              <w:spacing w:line="240" w:lineRule="auto"/>
              <w:ind w:firstLineChars="0" w:firstLine="0"/>
              <w:jc w:val="center"/>
              <w:rPr>
                <w:sz w:val="21"/>
              </w:rPr>
            </w:pPr>
            <w:r>
              <w:rPr>
                <w:rFonts w:hint="eastAsia"/>
                <w:sz w:val="21"/>
              </w:rPr>
              <w:t>33.72</w:t>
            </w:r>
          </w:p>
        </w:tc>
        <w:tc>
          <w:tcPr>
            <w:tcW w:w="567" w:type="dxa"/>
            <w:vAlign w:val="center"/>
          </w:tcPr>
          <w:p w14:paraId="3DDF1B07" w14:textId="77777777" w:rsidR="009D12AF" w:rsidRDefault="00000000">
            <w:pPr>
              <w:spacing w:line="240" w:lineRule="auto"/>
              <w:ind w:firstLineChars="0" w:firstLine="0"/>
              <w:jc w:val="center"/>
              <w:rPr>
                <w:sz w:val="21"/>
              </w:rPr>
            </w:pPr>
            <w:r>
              <w:rPr>
                <w:rFonts w:hint="eastAsia"/>
                <w:sz w:val="21"/>
              </w:rPr>
              <w:t>32.42</w:t>
            </w:r>
          </w:p>
        </w:tc>
        <w:tc>
          <w:tcPr>
            <w:tcW w:w="709" w:type="dxa"/>
            <w:vAlign w:val="center"/>
          </w:tcPr>
          <w:p w14:paraId="331CA99F" w14:textId="77777777" w:rsidR="009D12AF" w:rsidRDefault="00000000">
            <w:pPr>
              <w:spacing w:line="240" w:lineRule="auto"/>
              <w:ind w:firstLineChars="0" w:firstLine="0"/>
              <w:jc w:val="center"/>
              <w:rPr>
                <w:sz w:val="21"/>
              </w:rPr>
            </w:pPr>
            <w:r>
              <w:rPr>
                <w:rFonts w:hint="eastAsia"/>
                <w:sz w:val="21"/>
              </w:rPr>
              <w:t>23.62</w:t>
            </w:r>
          </w:p>
        </w:tc>
        <w:tc>
          <w:tcPr>
            <w:tcW w:w="567" w:type="dxa"/>
            <w:vAlign w:val="center"/>
          </w:tcPr>
          <w:p w14:paraId="6DA3F693" w14:textId="77777777" w:rsidR="009D12AF" w:rsidRDefault="00000000">
            <w:pPr>
              <w:spacing w:line="240" w:lineRule="auto"/>
              <w:ind w:firstLineChars="0" w:firstLine="0"/>
              <w:jc w:val="center"/>
              <w:rPr>
                <w:sz w:val="21"/>
              </w:rPr>
            </w:pPr>
            <w:r>
              <w:rPr>
                <w:rFonts w:hint="eastAsia"/>
                <w:sz w:val="21"/>
              </w:rPr>
              <w:t>18.63</w:t>
            </w:r>
          </w:p>
        </w:tc>
        <w:tc>
          <w:tcPr>
            <w:tcW w:w="850" w:type="dxa"/>
            <w:vMerge w:val="restart"/>
            <w:vAlign w:val="center"/>
          </w:tcPr>
          <w:p w14:paraId="46375FFC" w14:textId="77777777" w:rsidR="009D12AF" w:rsidRDefault="00000000">
            <w:pPr>
              <w:spacing w:line="240" w:lineRule="auto"/>
              <w:ind w:firstLineChars="0" w:firstLine="0"/>
              <w:jc w:val="center"/>
              <w:rPr>
                <w:sz w:val="21"/>
              </w:rPr>
            </w:pPr>
            <w:r>
              <w:rPr>
                <w:sz w:val="21"/>
              </w:rPr>
              <w:t>昼</w:t>
            </w:r>
            <w:r>
              <w:rPr>
                <w:sz w:val="21"/>
              </w:rPr>
              <w:t>70</w:t>
            </w:r>
          </w:p>
          <w:p w14:paraId="556A26AE" w14:textId="77777777" w:rsidR="009D12AF" w:rsidRDefault="00000000">
            <w:pPr>
              <w:spacing w:line="240" w:lineRule="auto"/>
              <w:ind w:firstLineChars="0" w:firstLine="0"/>
              <w:jc w:val="center"/>
              <w:rPr>
                <w:sz w:val="21"/>
              </w:rPr>
            </w:pPr>
            <w:r>
              <w:rPr>
                <w:sz w:val="21"/>
              </w:rPr>
              <w:t>夜</w:t>
            </w:r>
            <w:r>
              <w:rPr>
                <w:sz w:val="21"/>
              </w:rPr>
              <w:t>55</w:t>
            </w:r>
          </w:p>
        </w:tc>
        <w:tc>
          <w:tcPr>
            <w:tcW w:w="559" w:type="dxa"/>
            <w:vAlign w:val="center"/>
          </w:tcPr>
          <w:p w14:paraId="645ABCC5" w14:textId="77777777" w:rsidR="009D12AF" w:rsidRDefault="00000000">
            <w:pPr>
              <w:spacing w:line="240" w:lineRule="auto"/>
              <w:ind w:firstLineChars="0" w:firstLine="0"/>
              <w:jc w:val="center"/>
              <w:rPr>
                <w:sz w:val="21"/>
              </w:rPr>
            </w:pPr>
            <w:r>
              <w:rPr>
                <w:rFonts w:hint="eastAsia"/>
                <w:sz w:val="21"/>
              </w:rPr>
              <w:t>2</w:t>
            </w:r>
          </w:p>
        </w:tc>
        <w:tc>
          <w:tcPr>
            <w:tcW w:w="709" w:type="dxa"/>
            <w:vAlign w:val="center"/>
          </w:tcPr>
          <w:p w14:paraId="0808D06C" w14:textId="77777777" w:rsidR="009D12AF" w:rsidRDefault="00000000">
            <w:pPr>
              <w:spacing w:line="240" w:lineRule="auto"/>
              <w:ind w:firstLineChars="0" w:firstLine="0"/>
              <w:jc w:val="center"/>
              <w:rPr>
                <w:sz w:val="21"/>
              </w:rPr>
            </w:pPr>
            <w:r>
              <w:rPr>
                <w:rFonts w:hint="eastAsia"/>
                <w:sz w:val="21"/>
              </w:rPr>
              <w:t>9</w:t>
            </w:r>
          </w:p>
        </w:tc>
      </w:tr>
      <w:tr w:rsidR="009D12AF" w14:paraId="16A41AE3" w14:textId="77777777">
        <w:trPr>
          <w:trHeight w:val="384"/>
          <w:jc w:val="center"/>
        </w:trPr>
        <w:tc>
          <w:tcPr>
            <w:tcW w:w="780" w:type="dxa"/>
            <w:vAlign w:val="center"/>
          </w:tcPr>
          <w:p w14:paraId="41A73F85" w14:textId="77777777" w:rsidR="009D12AF" w:rsidRDefault="00000000">
            <w:pPr>
              <w:spacing w:line="240" w:lineRule="auto"/>
              <w:ind w:firstLineChars="0" w:firstLine="0"/>
              <w:jc w:val="center"/>
              <w:rPr>
                <w:sz w:val="21"/>
              </w:rPr>
            </w:pPr>
            <w:r>
              <w:rPr>
                <w:sz w:val="21"/>
              </w:rPr>
              <w:t>装载机</w:t>
            </w:r>
          </w:p>
        </w:tc>
        <w:tc>
          <w:tcPr>
            <w:tcW w:w="604" w:type="dxa"/>
            <w:vAlign w:val="center"/>
          </w:tcPr>
          <w:p w14:paraId="483C98CC" w14:textId="77777777" w:rsidR="009D12AF" w:rsidRDefault="00000000">
            <w:pPr>
              <w:spacing w:line="240" w:lineRule="auto"/>
              <w:ind w:firstLineChars="0" w:firstLine="0"/>
              <w:jc w:val="center"/>
              <w:rPr>
                <w:sz w:val="21"/>
              </w:rPr>
            </w:pPr>
            <w:r>
              <w:rPr>
                <w:sz w:val="21"/>
              </w:rPr>
              <w:t>90</w:t>
            </w:r>
          </w:p>
        </w:tc>
        <w:tc>
          <w:tcPr>
            <w:tcW w:w="748" w:type="dxa"/>
            <w:vAlign w:val="center"/>
          </w:tcPr>
          <w:p w14:paraId="57BEAEE3" w14:textId="77777777" w:rsidR="009D12AF" w:rsidRDefault="00000000">
            <w:pPr>
              <w:spacing w:line="240" w:lineRule="auto"/>
              <w:ind w:firstLineChars="0" w:firstLine="0"/>
              <w:jc w:val="center"/>
              <w:rPr>
                <w:sz w:val="21"/>
              </w:rPr>
            </w:pPr>
            <w:r>
              <w:rPr>
                <w:rFonts w:hint="eastAsia"/>
                <w:sz w:val="21"/>
              </w:rPr>
              <w:t>65.01</w:t>
            </w:r>
          </w:p>
        </w:tc>
        <w:tc>
          <w:tcPr>
            <w:tcW w:w="581" w:type="dxa"/>
            <w:vAlign w:val="center"/>
          </w:tcPr>
          <w:p w14:paraId="49482011" w14:textId="77777777" w:rsidR="009D12AF" w:rsidRDefault="00000000">
            <w:pPr>
              <w:spacing w:line="240" w:lineRule="auto"/>
              <w:ind w:firstLineChars="0" w:firstLine="0"/>
              <w:jc w:val="center"/>
              <w:rPr>
                <w:sz w:val="21"/>
              </w:rPr>
            </w:pPr>
            <w:r>
              <w:rPr>
                <w:rFonts w:hint="eastAsia"/>
                <w:sz w:val="21"/>
              </w:rPr>
              <w:t>58.97</w:t>
            </w:r>
          </w:p>
        </w:tc>
        <w:tc>
          <w:tcPr>
            <w:tcW w:w="581" w:type="dxa"/>
            <w:vAlign w:val="center"/>
          </w:tcPr>
          <w:p w14:paraId="6F0311B3" w14:textId="77777777" w:rsidR="009D12AF" w:rsidRDefault="00000000">
            <w:pPr>
              <w:spacing w:line="240" w:lineRule="auto"/>
              <w:ind w:firstLineChars="0" w:firstLine="0"/>
              <w:jc w:val="center"/>
              <w:rPr>
                <w:sz w:val="21"/>
              </w:rPr>
            </w:pPr>
            <w:r>
              <w:rPr>
                <w:rFonts w:hint="eastAsia"/>
                <w:sz w:val="21"/>
              </w:rPr>
              <w:t>52.92</w:t>
            </w:r>
          </w:p>
        </w:tc>
        <w:tc>
          <w:tcPr>
            <w:tcW w:w="503" w:type="dxa"/>
            <w:vAlign w:val="center"/>
          </w:tcPr>
          <w:p w14:paraId="63CB04F3" w14:textId="77777777" w:rsidR="009D12AF" w:rsidRDefault="00000000">
            <w:pPr>
              <w:spacing w:line="240" w:lineRule="auto"/>
              <w:ind w:firstLineChars="0" w:firstLine="0"/>
              <w:jc w:val="center"/>
              <w:rPr>
                <w:sz w:val="21"/>
              </w:rPr>
            </w:pPr>
            <w:r>
              <w:rPr>
                <w:rFonts w:hint="eastAsia"/>
                <w:sz w:val="21"/>
              </w:rPr>
              <w:t>49.37</w:t>
            </w:r>
          </w:p>
        </w:tc>
        <w:tc>
          <w:tcPr>
            <w:tcW w:w="709" w:type="dxa"/>
            <w:vAlign w:val="center"/>
          </w:tcPr>
          <w:p w14:paraId="7E89C11B" w14:textId="77777777" w:rsidR="009D12AF" w:rsidRDefault="00000000">
            <w:pPr>
              <w:spacing w:line="240" w:lineRule="auto"/>
              <w:ind w:firstLineChars="0" w:firstLine="0"/>
              <w:jc w:val="center"/>
              <w:rPr>
                <w:sz w:val="21"/>
              </w:rPr>
            </w:pPr>
            <w:r>
              <w:rPr>
                <w:rFonts w:hint="eastAsia"/>
                <w:sz w:val="21"/>
              </w:rPr>
              <w:t>38.72</w:t>
            </w:r>
          </w:p>
        </w:tc>
        <w:tc>
          <w:tcPr>
            <w:tcW w:w="567" w:type="dxa"/>
            <w:vAlign w:val="center"/>
          </w:tcPr>
          <w:p w14:paraId="05C2190E" w14:textId="77777777" w:rsidR="009D12AF" w:rsidRDefault="00000000">
            <w:pPr>
              <w:spacing w:line="240" w:lineRule="auto"/>
              <w:ind w:firstLineChars="0" w:firstLine="0"/>
              <w:jc w:val="center"/>
              <w:rPr>
                <w:sz w:val="21"/>
              </w:rPr>
            </w:pPr>
            <w:r>
              <w:rPr>
                <w:rFonts w:hint="eastAsia"/>
                <w:sz w:val="21"/>
              </w:rPr>
              <w:t>32.42</w:t>
            </w:r>
          </w:p>
        </w:tc>
        <w:tc>
          <w:tcPr>
            <w:tcW w:w="709" w:type="dxa"/>
            <w:vAlign w:val="center"/>
          </w:tcPr>
          <w:p w14:paraId="0247E576" w14:textId="77777777" w:rsidR="009D12AF" w:rsidRDefault="00000000">
            <w:pPr>
              <w:spacing w:line="240" w:lineRule="auto"/>
              <w:ind w:firstLineChars="0" w:firstLine="0"/>
              <w:jc w:val="center"/>
              <w:rPr>
                <w:sz w:val="21"/>
              </w:rPr>
            </w:pPr>
            <w:r>
              <w:rPr>
                <w:rFonts w:hint="eastAsia"/>
                <w:sz w:val="21"/>
              </w:rPr>
              <w:t>28.62</w:t>
            </w:r>
          </w:p>
        </w:tc>
        <w:tc>
          <w:tcPr>
            <w:tcW w:w="567" w:type="dxa"/>
            <w:vAlign w:val="center"/>
          </w:tcPr>
          <w:p w14:paraId="1B3A9C43" w14:textId="77777777" w:rsidR="009D12AF" w:rsidRDefault="00000000">
            <w:pPr>
              <w:spacing w:line="240" w:lineRule="auto"/>
              <w:ind w:firstLineChars="0" w:firstLine="0"/>
              <w:jc w:val="center"/>
              <w:rPr>
                <w:sz w:val="21"/>
              </w:rPr>
            </w:pPr>
            <w:r>
              <w:rPr>
                <w:rFonts w:hint="eastAsia"/>
                <w:sz w:val="21"/>
              </w:rPr>
              <w:t>23.63</w:t>
            </w:r>
          </w:p>
        </w:tc>
        <w:tc>
          <w:tcPr>
            <w:tcW w:w="850" w:type="dxa"/>
            <w:vMerge/>
            <w:vAlign w:val="center"/>
          </w:tcPr>
          <w:p w14:paraId="32897941" w14:textId="77777777" w:rsidR="009D12AF" w:rsidRDefault="009D12AF">
            <w:pPr>
              <w:spacing w:line="240" w:lineRule="auto"/>
              <w:ind w:firstLineChars="0" w:firstLine="0"/>
              <w:jc w:val="center"/>
              <w:rPr>
                <w:sz w:val="21"/>
              </w:rPr>
            </w:pPr>
          </w:p>
        </w:tc>
        <w:tc>
          <w:tcPr>
            <w:tcW w:w="559" w:type="dxa"/>
            <w:vAlign w:val="center"/>
          </w:tcPr>
          <w:p w14:paraId="5EFD84F5" w14:textId="77777777" w:rsidR="009D12AF" w:rsidRDefault="00000000">
            <w:pPr>
              <w:spacing w:line="240" w:lineRule="auto"/>
              <w:ind w:firstLineChars="0" w:firstLine="0"/>
              <w:jc w:val="center"/>
              <w:rPr>
                <w:sz w:val="21"/>
              </w:rPr>
            </w:pPr>
            <w:r>
              <w:rPr>
                <w:rFonts w:hint="eastAsia"/>
                <w:sz w:val="21"/>
              </w:rPr>
              <w:t>3</w:t>
            </w:r>
          </w:p>
        </w:tc>
        <w:tc>
          <w:tcPr>
            <w:tcW w:w="709" w:type="dxa"/>
            <w:vAlign w:val="center"/>
          </w:tcPr>
          <w:p w14:paraId="3EE29CBF" w14:textId="77777777" w:rsidR="009D12AF" w:rsidRDefault="00000000">
            <w:pPr>
              <w:spacing w:line="240" w:lineRule="auto"/>
              <w:ind w:firstLineChars="0" w:firstLine="0"/>
              <w:jc w:val="center"/>
              <w:rPr>
                <w:sz w:val="21"/>
              </w:rPr>
            </w:pPr>
            <w:r>
              <w:rPr>
                <w:rFonts w:hint="eastAsia"/>
                <w:sz w:val="21"/>
              </w:rPr>
              <w:t>16</w:t>
            </w:r>
          </w:p>
        </w:tc>
      </w:tr>
      <w:tr w:rsidR="009D12AF" w14:paraId="2F2F1BC4" w14:textId="77777777">
        <w:trPr>
          <w:trHeight w:val="384"/>
          <w:jc w:val="center"/>
        </w:trPr>
        <w:tc>
          <w:tcPr>
            <w:tcW w:w="780" w:type="dxa"/>
            <w:vAlign w:val="center"/>
          </w:tcPr>
          <w:p w14:paraId="30A84597" w14:textId="77777777" w:rsidR="009D12AF" w:rsidRDefault="00000000">
            <w:pPr>
              <w:spacing w:line="240" w:lineRule="auto"/>
              <w:ind w:firstLineChars="0" w:firstLine="0"/>
              <w:jc w:val="center"/>
              <w:rPr>
                <w:sz w:val="21"/>
              </w:rPr>
            </w:pPr>
            <w:r>
              <w:rPr>
                <w:sz w:val="21"/>
              </w:rPr>
              <w:t>挖掘机</w:t>
            </w:r>
          </w:p>
        </w:tc>
        <w:tc>
          <w:tcPr>
            <w:tcW w:w="604" w:type="dxa"/>
            <w:vAlign w:val="center"/>
          </w:tcPr>
          <w:p w14:paraId="42828480" w14:textId="77777777" w:rsidR="009D12AF" w:rsidRDefault="00000000">
            <w:pPr>
              <w:spacing w:line="240" w:lineRule="auto"/>
              <w:ind w:firstLineChars="0" w:firstLine="0"/>
              <w:jc w:val="center"/>
              <w:rPr>
                <w:sz w:val="21"/>
              </w:rPr>
            </w:pPr>
            <w:r>
              <w:rPr>
                <w:sz w:val="21"/>
              </w:rPr>
              <w:t>85</w:t>
            </w:r>
          </w:p>
        </w:tc>
        <w:tc>
          <w:tcPr>
            <w:tcW w:w="748" w:type="dxa"/>
            <w:vAlign w:val="center"/>
          </w:tcPr>
          <w:p w14:paraId="242209C1" w14:textId="77777777" w:rsidR="009D12AF" w:rsidRDefault="00000000">
            <w:pPr>
              <w:spacing w:line="240" w:lineRule="auto"/>
              <w:ind w:firstLineChars="0" w:firstLine="0"/>
              <w:jc w:val="center"/>
              <w:rPr>
                <w:sz w:val="21"/>
              </w:rPr>
            </w:pPr>
            <w:r>
              <w:rPr>
                <w:rFonts w:hint="eastAsia"/>
                <w:sz w:val="21"/>
              </w:rPr>
              <w:t>60.1</w:t>
            </w:r>
          </w:p>
        </w:tc>
        <w:tc>
          <w:tcPr>
            <w:tcW w:w="581" w:type="dxa"/>
            <w:vAlign w:val="center"/>
          </w:tcPr>
          <w:p w14:paraId="48DCF021" w14:textId="77777777" w:rsidR="009D12AF" w:rsidRDefault="00000000">
            <w:pPr>
              <w:spacing w:line="240" w:lineRule="auto"/>
              <w:ind w:firstLineChars="0" w:firstLine="0"/>
              <w:jc w:val="center"/>
              <w:rPr>
                <w:sz w:val="21"/>
              </w:rPr>
            </w:pPr>
            <w:r>
              <w:rPr>
                <w:rFonts w:hint="eastAsia"/>
                <w:sz w:val="21"/>
              </w:rPr>
              <w:t>53.97</w:t>
            </w:r>
          </w:p>
        </w:tc>
        <w:tc>
          <w:tcPr>
            <w:tcW w:w="581" w:type="dxa"/>
            <w:vAlign w:val="center"/>
          </w:tcPr>
          <w:p w14:paraId="5EF4F29C" w14:textId="77777777" w:rsidR="009D12AF" w:rsidRDefault="00000000">
            <w:pPr>
              <w:spacing w:line="240" w:lineRule="auto"/>
              <w:ind w:firstLineChars="0" w:firstLine="0"/>
              <w:jc w:val="center"/>
              <w:rPr>
                <w:sz w:val="21"/>
              </w:rPr>
            </w:pPr>
            <w:r>
              <w:rPr>
                <w:rFonts w:hint="eastAsia"/>
                <w:sz w:val="21"/>
              </w:rPr>
              <w:t>47.92</w:t>
            </w:r>
          </w:p>
        </w:tc>
        <w:tc>
          <w:tcPr>
            <w:tcW w:w="503" w:type="dxa"/>
            <w:vAlign w:val="center"/>
          </w:tcPr>
          <w:p w14:paraId="760C3597" w14:textId="77777777" w:rsidR="009D12AF" w:rsidRDefault="00000000">
            <w:pPr>
              <w:spacing w:line="240" w:lineRule="auto"/>
              <w:ind w:firstLineChars="0" w:firstLine="0"/>
              <w:jc w:val="center"/>
              <w:rPr>
                <w:sz w:val="21"/>
              </w:rPr>
            </w:pPr>
            <w:r>
              <w:rPr>
                <w:rFonts w:hint="eastAsia"/>
                <w:sz w:val="21"/>
              </w:rPr>
              <w:t>44.37</w:t>
            </w:r>
          </w:p>
        </w:tc>
        <w:tc>
          <w:tcPr>
            <w:tcW w:w="709" w:type="dxa"/>
            <w:vAlign w:val="center"/>
          </w:tcPr>
          <w:p w14:paraId="4D70E9C6" w14:textId="77777777" w:rsidR="009D12AF" w:rsidRDefault="00000000">
            <w:pPr>
              <w:spacing w:line="240" w:lineRule="auto"/>
              <w:ind w:firstLineChars="0" w:firstLine="0"/>
              <w:jc w:val="center"/>
              <w:rPr>
                <w:sz w:val="21"/>
              </w:rPr>
            </w:pPr>
            <w:r>
              <w:rPr>
                <w:rFonts w:hint="eastAsia"/>
                <w:sz w:val="21"/>
              </w:rPr>
              <w:t>33.72</w:t>
            </w:r>
          </w:p>
        </w:tc>
        <w:tc>
          <w:tcPr>
            <w:tcW w:w="567" w:type="dxa"/>
            <w:vAlign w:val="center"/>
          </w:tcPr>
          <w:p w14:paraId="7FC53DF2" w14:textId="77777777" w:rsidR="009D12AF" w:rsidRDefault="00000000">
            <w:pPr>
              <w:spacing w:line="240" w:lineRule="auto"/>
              <w:ind w:firstLineChars="0" w:firstLine="0"/>
              <w:jc w:val="center"/>
              <w:rPr>
                <w:sz w:val="21"/>
              </w:rPr>
            </w:pPr>
            <w:r>
              <w:rPr>
                <w:rFonts w:hint="eastAsia"/>
                <w:sz w:val="21"/>
              </w:rPr>
              <w:t>27.42</w:t>
            </w:r>
          </w:p>
        </w:tc>
        <w:tc>
          <w:tcPr>
            <w:tcW w:w="709" w:type="dxa"/>
            <w:vAlign w:val="center"/>
          </w:tcPr>
          <w:p w14:paraId="4CE67821" w14:textId="77777777" w:rsidR="009D12AF" w:rsidRDefault="00000000">
            <w:pPr>
              <w:spacing w:line="240" w:lineRule="auto"/>
              <w:ind w:firstLineChars="0" w:firstLine="0"/>
              <w:jc w:val="center"/>
              <w:rPr>
                <w:sz w:val="21"/>
              </w:rPr>
            </w:pPr>
            <w:r>
              <w:rPr>
                <w:rFonts w:hint="eastAsia"/>
                <w:sz w:val="21"/>
              </w:rPr>
              <w:t>23.62</w:t>
            </w:r>
          </w:p>
        </w:tc>
        <w:tc>
          <w:tcPr>
            <w:tcW w:w="567" w:type="dxa"/>
            <w:vAlign w:val="center"/>
          </w:tcPr>
          <w:p w14:paraId="409B76B6" w14:textId="77777777" w:rsidR="009D12AF" w:rsidRDefault="00000000">
            <w:pPr>
              <w:spacing w:line="240" w:lineRule="auto"/>
              <w:ind w:firstLineChars="0" w:firstLine="0"/>
              <w:jc w:val="center"/>
              <w:rPr>
                <w:sz w:val="21"/>
              </w:rPr>
            </w:pPr>
            <w:r>
              <w:rPr>
                <w:rFonts w:hint="eastAsia"/>
                <w:sz w:val="21"/>
              </w:rPr>
              <w:t>18.63</w:t>
            </w:r>
          </w:p>
        </w:tc>
        <w:tc>
          <w:tcPr>
            <w:tcW w:w="850" w:type="dxa"/>
            <w:vMerge/>
            <w:vAlign w:val="center"/>
          </w:tcPr>
          <w:p w14:paraId="2725ED19" w14:textId="77777777" w:rsidR="009D12AF" w:rsidRDefault="009D12AF">
            <w:pPr>
              <w:spacing w:line="240" w:lineRule="auto"/>
              <w:ind w:firstLineChars="0" w:firstLine="0"/>
              <w:jc w:val="center"/>
              <w:rPr>
                <w:sz w:val="21"/>
              </w:rPr>
            </w:pPr>
          </w:p>
        </w:tc>
        <w:tc>
          <w:tcPr>
            <w:tcW w:w="559" w:type="dxa"/>
            <w:vAlign w:val="center"/>
          </w:tcPr>
          <w:p w14:paraId="7505AEC5" w14:textId="77777777" w:rsidR="009D12AF" w:rsidRDefault="00000000">
            <w:pPr>
              <w:spacing w:line="240" w:lineRule="auto"/>
              <w:ind w:firstLineChars="0" w:firstLine="0"/>
              <w:jc w:val="center"/>
              <w:rPr>
                <w:sz w:val="21"/>
              </w:rPr>
            </w:pPr>
            <w:r>
              <w:rPr>
                <w:rFonts w:hint="eastAsia"/>
                <w:sz w:val="21"/>
              </w:rPr>
              <w:t>2</w:t>
            </w:r>
          </w:p>
        </w:tc>
        <w:tc>
          <w:tcPr>
            <w:tcW w:w="709" w:type="dxa"/>
            <w:vAlign w:val="center"/>
          </w:tcPr>
          <w:p w14:paraId="760EC1D6" w14:textId="77777777" w:rsidR="009D12AF" w:rsidRDefault="00000000">
            <w:pPr>
              <w:spacing w:line="240" w:lineRule="auto"/>
              <w:ind w:firstLineChars="0" w:firstLine="0"/>
              <w:jc w:val="center"/>
              <w:rPr>
                <w:sz w:val="21"/>
              </w:rPr>
            </w:pPr>
            <w:r>
              <w:rPr>
                <w:rFonts w:hint="eastAsia"/>
                <w:sz w:val="21"/>
              </w:rPr>
              <w:t>9</w:t>
            </w:r>
          </w:p>
        </w:tc>
      </w:tr>
      <w:tr w:rsidR="009D12AF" w14:paraId="7E198641" w14:textId="77777777">
        <w:trPr>
          <w:trHeight w:val="384"/>
          <w:jc w:val="center"/>
        </w:trPr>
        <w:tc>
          <w:tcPr>
            <w:tcW w:w="780" w:type="dxa"/>
            <w:vAlign w:val="center"/>
          </w:tcPr>
          <w:p w14:paraId="3D48ECC5" w14:textId="77777777" w:rsidR="009D12AF" w:rsidRDefault="00000000">
            <w:pPr>
              <w:spacing w:line="240" w:lineRule="auto"/>
              <w:ind w:firstLineChars="0" w:firstLine="0"/>
              <w:jc w:val="center"/>
              <w:rPr>
                <w:sz w:val="21"/>
              </w:rPr>
            </w:pPr>
            <w:r>
              <w:rPr>
                <w:sz w:val="21"/>
              </w:rPr>
              <w:t>水利冲挖机组</w:t>
            </w:r>
          </w:p>
        </w:tc>
        <w:tc>
          <w:tcPr>
            <w:tcW w:w="604" w:type="dxa"/>
            <w:vAlign w:val="center"/>
          </w:tcPr>
          <w:p w14:paraId="31B00EBE" w14:textId="77777777" w:rsidR="009D12AF" w:rsidRDefault="00000000">
            <w:pPr>
              <w:spacing w:line="240" w:lineRule="auto"/>
              <w:ind w:firstLineChars="0" w:firstLine="0"/>
              <w:jc w:val="center"/>
              <w:rPr>
                <w:sz w:val="21"/>
              </w:rPr>
            </w:pPr>
            <w:r>
              <w:rPr>
                <w:sz w:val="21"/>
              </w:rPr>
              <w:t>85</w:t>
            </w:r>
          </w:p>
        </w:tc>
        <w:tc>
          <w:tcPr>
            <w:tcW w:w="748" w:type="dxa"/>
            <w:vAlign w:val="center"/>
          </w:tcPr>
          <w:p w14:paraId="4A326C4F" w14:textId="77777777" w:rsidR="009D12AF" w:rsidRDefault="00000000">
            <w:pPr>
              <w:spacing w:line="240" w:lineRule="auto"/>
              <w:ind w:firstLineChars="0" w:firstLine="0"/>
              <w:jc w:val="center"/>
              <w:rPr>
                <w:sz w:val="21"/>
              </w:rPr>
            </w:pPr>
            <w:r>
              <w:rPr>
                <w:rFonts w:hint="eastAsia"/>
                <w:sz w:val="21"/>
              </w:rPr>
              <w:t>60.1</w:t>
            </w:r>
          </w:p>
        </w:tc>
        <w:tc>
          <w:tcPr>
            <w:tcW w:w="581" w:type="dxa"/>
            <w:vAlign w:val="center"/>
          </w:tcPr>
          <w:p w14:paraId="0B71F203" w14:textId="77777777" w:rsidR="009D12AF" w:rsidRDefault="00000000">
            <w:pPr>
              <w:spacing w:line="240" w:lineRule="auto"/>
              <w:ind w:firstLineChars="0" w:firstLine="0"/>
              <w:jc w:val="center"/>
              <w:rPr>
                <w:sz w:val="21"/>
              </w:rPr>
            </w:pPr>
            <w:r>
              <w:rPr>
                <w:rFonts w:hint="eastAsia"/>
                <w:sz w:val="21"/>
              </w:rPr>
              <w:t>53.97</w:t>
            </w:r>
          </w:p>
        </w:tc>
        <w:tc>
          <w:tcPr>
            <w:tcW w:w="581" w:type="dxa"/>
            <w:vAlign w:val="center"/>
          </w:tcPr>
          <w:p w14:paraId="2D5E125E" w14:textId="77777777" w:rsidR="009D12AF" w:rsidRDefault="00000000">
            <w:pPr>
              <w:spacing w:line="240" w:lineRule="auto"/>
              <w:ind w:firstLineChars="0" w:firstLine="0"/>
              <w:jc w:val="center"/>
              <w:rPr>
                <w:sz w:val="21"/>
              </w:rPr>
            </w:pPr>
            <w:r>
              <w:rPr>
                <w:rFonts w:hint="eastAsia"/>
                <w:sz w:val="21"/>
              </w:rPr>
              <w:t>47.92</w:t>
            </w:r>
          </w:p>
        </w:tc>
        <w:tc>
          <w:tcPr>
            <w:tcW w:w="503" w:type="dxa"/>
            <w:vAlign w:val="center"/>
          </w:tcPr>
          <w:p w14:paraId="0CF3593F" w14:textId="77777777" w:rsidR="009D12AF" w:rsidRDefault="00000000">
            <w:pPr>
              <w:spacing w:line="240" w:lineRule="auto"/>
              <w:ind w:firstLineChars="0" w:firstLine="0"/>
              <w:jc w:val="center"/>
              <w:rPr>
                <w:sz w:val="21"/>
              </w:rPr>
            </w:pPr>
            <w:r>
              <w:rPr>
                <w:rFonts w:hint="eastAsia"/>
                <w:sz w:val="21"/>
              </w:rPr>
              <w:t>44.37</w:t>
            </w:r>
          </w:p>
        </w:tc>
        <w:tc>
          <w:tcPr>
            <w:tcW w:w="709" w:type="dxa"/>
            <w:vAlign w:val="center"/>
          </w:tcPr>
          <w:p w14:paraId="6EB38918" w14:textId="77777777" w:rsidR="009D12AF" w:rsidRDefault="00000000">
            <w:pPr>
              <w:spacing w:line="240" w:lineRule="auto"/>
              <w:ind w:firstLineChars="0" w:firstLine="0"/>
              <w:jc w:val="center"/>
              <w:rPr>
                <w:sz w:val="21"/>
              </w:rPr>
            </w:pPr>
            <w:r>
              <w:rPr>
                <w:rFonts w:hint="eastAsia"/>
                <w:sz w:val="21"/>
              </w:rPr>
              <w:t>33.72</w:t>
            </w:r>
          </w:p>
        </w:tc>
        <w:tc>
          <w:tcPr>
            <w:tcW w:w="567" w:type="dxa"/>
            <w:vAlign w:val="center"/>
          </w:tcPr>
          <w:p w14:paraId="789F5B4C" w14:textId="77777777" w:rsidR="009D12AF" w:rsidRDefault="00000000">
            <w:pPr>
              <w:spacing w:line="240" w:lineRule="auto"/>
              <w:ind w:firstLineChars="0" w:firstLine="0"/>
              <w:jc w:val="center"/>
              <w:rPr>
                <w:sz w:val="21"/>
              </w:rPr>
            </w:pPr>
            <w:r>
              <w:rPr>
                <w:rFonts w:hint="eastAsia"/>
                <w:sz w:val="21"/>
              </w:rPr>
              <w:t>27.42</w:t>
            </w:r>
          </w:p>
        </w:tc>
        <w:tc>
          <w:tcPr>
            <w:tcW w:w="709" w:type="dxa"/>
            <w:vAlign w:val="center"/>
          </w:tcPr>
          <w:p w14:paraId="147E5CF0" w14:textId="77777777" w:rsidR="009D12AF" w:rsidRDefault="00000000">
            <w:pPr>
              <w:spacing w:line="240" w:lineRule="auto"/>
              <w:ind w:firstLineChars="0" w:firstLine="0"/>
              <w:jc w:val="center"/>
              <w:rPr>
                <w:sz w:val="21"/>
              </w:rPr>
            </w:pPr>
            <w:r>
              <w:rPr>
                <w:rFonts w:hint="eastAsia"/>
                <w:sz w:val="21"/>
              </w:rPr>
              <w:t>23.62</w:t>
            </w:r>
          </w:p>
        </w:tc>
        <w:tc>
          <w:tcPr>
            <w:tcW w:w="567" w:type="dxa"/>
            <w:vAlign w:val="center"/>
          </w:tcPr>
          <w:p w14:paraId="4EC00D12" w14:textId="77777777" w:rsidR="009D12AF" w:rsidRDefault="00000000">
            <w:pPr>
              <w:spacing w:line="240" w:lineRule="auto"/>
              <w:ind w:firstLineChars="0" w:firstLine="0"/>
              <w:jc w:val="center"/>
              <w:rPr>
                <w:sz w:val="21"/>
              </w:rPr>
            </w:pPr>
            <w:r>
              <w:rPr>
                <w:rFonts w:hint="eastAsia"/>
                <w:sz w:val="21"/>
              </w:rPr>
              <w:t>18.63</w:t>
            </w:r>
          </w:p>
        </w:tc>
        <w:tc>
          <w:tcPr>
            <w:tcW w:w="850" w:type="dxa"/>
            <w:vMerge/>
            <w:vAlign w:val="center"/>
          </w:tcPr>
          <w:p w14:paraId="38C259FC" w14:textId="77777777" w:rsidR="009D12AF" w:rsidRDefault="009D12AF">
            <w:pPr>
              <w:spacing w:line="240" w:lineRule="auto"/>
              <w:ind w:firstLineChars="0" w:firstLine="0"/>
              <w:jc w:val="center"/>
              <w:rPr>
                <w:sz w:val="21"/>
              </w:rPr>
            </w:pPr>
          </w:p>
        </w:tc>
        <w:tc>
          <w:tcPr>
            <w:tcW w:w="559" w:type="dxa"/>
            <w:vAlign w:val="center"/>
          </w:tcPr>
          <w:p w14:paraId="1302E859" w14:textId="77777777" w:rsidR="009D12AF" w:rsidRDefault="00000000">
            <w:pPr>
              <w:spacing w:line="240" w:lineRule="auto"/>
              <w:ind w:firstLineChars="0" w:firstLine="0"/>
              <w:jc w:val="center"/>
              <w:rPr>
                <w:sz w:val="21"/>
              </w:rPr>
            </w:pPr>
            <w:r>
              <w:rPr>
                <w:rFonts w:hint="eastAsia"/>
                <w:sz w:val="21"/>
              </w:rPr>
              <w:t>2</w:t>
            </w:r>
          </w:p>
        </w:tc>
        <w:tc>
          <w:tcPr>
            <w:tcW w:w="709" w:type="dxa"/>
            <w:vAlign w:val="center"/>
          </w:tcPr>
          <w:p w14:paraId="719862F7" w14:textId="77777777" w:rsidR="009D12AF" w:rsidRDefault="00000000">
            <w:pPr>
              <w:spacing w:line="240" w:lineRule="auto"/>
              <w:ind w:firstLineChars="0" w:firstLine="0"/>
              <w:jc w:val="center"/>
              <w:rPr>
                <w:sz w:val="21"/>
              </w:rPr>
            </w:pPr>
            <w:r>
              <w:rPr>
                <w:rFonts w:hint="eastAsia"/>
                <w:sz w:val="21"/>
              </w:rPr>
              <w:t>9</w:t>
            </w:r>
          </w:p>
        </w:tc>
      </w:tr>
      <w:tr w:rsidR="009D12AF" w14:paraId="1B3C7CE7" w14:textId="77777777">
        <w:trPr>
          <w:trHeight w:val="384"/>
          <w:jc w:val="center"/>
        </w:trPr>
        <w:tc>
          <w:tcPr>
            <w:tcW w:w="780" w:type="dxa"/>
            <w:vAlign w:val="center"/>
          </w:tcPr>
          <w:p w14:paraId="34405470" w14:textId="77777777" w:rsidR="009D12AF" w:rsidRDefault="00000000">
            <w:pPr>
              <w:spacing w:line="240" w:lineRule="auto"/>
              <w:ind w:firstLineChars="0" w:firstLine="0"/>
              <w:jc w:val="center"/>
              <w:rPr>
                <w:sz w:val="21"/>
              </w:rPr>
            </w:pPr>
            <w:r>
              <w:rPr>
                <w:sz w:val="21"/>
              </w:rPr>
              <w:t>人工填土机</w:t>
            </w:r>
          </w:p>
        </w:tc>
        <w:tc>
          <w:tcPr>
            <w:tcW w:w="604" w:type="dxa"/>
            <w:vAlign w:val="center"/>
          </w:tcPr>
          <w:p w14:paraId="22F42B06" w14:textId="77777777" w:rsidR="009D12AF" w:rsidRDefault="00000000">
            <w:pPr>
              <w:spacing w:line="240" w:lineRule="auto"/>
              <w:ind w:firstLineChars="0" w:firstLine="0"/>
              <w:jc w:val="center"/>
              <w:rPr>
                <w:sz w:val="21"/>
              </w:rPr>
            </w:pPr>
            <w:r>
              <w:rPr>
                <w:sz w:val="21"/>
              </w:rPr>
              <w:t>85</w:t>
            </w:r>
          </w:p>
        </w:tc>
        <w:tc>
          <w:tcPr>
            <w:tcW w:w="748" w:type="dxa"/>
            <w:vAlign w:val="center"/>
          </w:tcPr>
          <w:p w14:paraId="0C2352F5" w14:textId="77777777" w:rsidR="009D12AF" w:rsidRDefault="00000000">
            <w:pPr>
              <w:spacing w:line="240" w:lineRule="auto"/>
              <w:ind w:firstLineChars="0" w:firstLine="0"/>
              <w:jc w:val="center"/>
              <w:rPr>
                <w:sz w:val="21"/>
              </w:rPr>
            </w:pPr>
            <w:r>
              <w:rPr>
                <w:rFonts w:hint="eastAsia"/>
                <w:sz w:val="21"/>
              </w:rPr>
              <w:t>60.1</w:t>
            </w:r>
          </w:p>
        </w:tc>
        <w:tc>
          <w:tcPr>
            <w:tcW w:w="581" w:type="dxa"/>
            <w:vAlign w:val="center"/>
          </w:tcPr>
          <w:p w14:paraId="4232494F" w14:textId="77777777" w:rsidR="009D12AF" w:rsidRDefault="00000000">
            <w:pPr>
              <w:spacing w:line="240" w:lineRule="auto"/>
              <w:ind w:firstLineChars="0" w:firstLine="0"/>
              <w:jc w:val="center"/>
              <w:rPr>
                <w:sz w:val="21"/>
              </w:rPr>
            </w:pPr>
            <w:r>
              <w:rPr>
                <w:rFonts w:hint="eastAsia"/>
                <w:sz w:val="21"/>
              </w:rPr>
              <w:t>53.97</w:t>
            </w:r>
          </w:p>
        </w:tc>
        <w:tc>
          <w:tcPr>
            <w:tcW w:w="581" w:type="dxa"/>
            <w:vAlign w:val="center"/>
          </w:tcPr>
          <w:p w14:paraId="1E334068" w14:textId="77777777" w:rsidR="009D12AF" w:rsidRDefault="00000000">
            <w:pPr>
              <w:spacing w:line="240" w:lineRule="auto"/>
              <w:ind w:firstLineChars="0" w:firstLine="0"/>
              <w:jc w:val="center"/>
              <w:rPr>
                <w:sz w:val="21"/>
              </w:rPr>
            </w:pPr>
            <w:r>
              <w:rPr>
                <w:rFonts w:hint="eastAsia"/>
                <w:sz w:val="21"/>
              </w:rPr>
              <w:t>47.92</w:t>
            </w:r>
          </w:p>
        </w:tc>
        <w:tc>
          <w:tcPr>
            <w:tcW w:w="503" w:type="dxa"/>
            <w:vAlign w:val="center"/>
          </w:tcPr>
          <w:p w14:paraId="2F3A8E0E" w14:textId="77777777" w:rsidR="009D12AF" w:rsidRDefault="00000000">
            <w:pPr>
              <w:spacing w:line="240" w:lineRule="auto"/>
              <w:ind w:firstLineChars="0" w:firstLine="0"/>
              <w:jc w:val="center"/>
              <w:rPr>
                <w:sz w:val="21"/>
              </w:rPr>
            </w:pPr>
            <w:r>
              <w:rPr>
                <w:rFonts w:hint="eastAsia"/>
                <w:sz w:val="21"/>
              </w:rPr>
              <w:t>44.37</w:t>
            </w:r>
          </w:p>
        </w:tc>
        <w:tc>
          <w:tcPr>
            <w:tcW w:w="709" w:type="dxa"/>
            <w:vAlign w:val="center"/>
          </w:tcPr>
          <w:p w14:paraId="7468725E" w14:textId="77777777" w:rsidR="009D12AF" w:rsidRDefault="00000000">
            <w:pPr>
              <w:spacing w:line="240" w:lineRule="auto"/>
              <w:ind w:firstLineChars="0" w:firstLine="0"/>
              <w:jc w:val="center"/>
              <w:rPr>
                <w:sz w:val="21"/>
              </w:rPr>
            </w:pPr>
            <w:r>
              <w:rPr>
                <w:rFonts w:hint="eastAsia"/>
                <w:sz w:val="21"/>
              </w:rPr>
              <w:t>33.72</w:t>
            </w:r>
          </w:p>
        </w:tc>
        <w:tc>
          <w:tcPr>
            <w:tcW w:w="567" w:type="dxa"/>
            <w:vAlign w:val="center"/>
          </w:tcPr>
          <w:p w14:paraId="65F884B2" w14:textId="77777777" w:rsidR="009D12AF" w:rsidRDefault="00000000">
            <w:pPr>
              <w:spacing w:line="240" w:lineRule="auto"/>
              <w:ind w:firstLineChars="0" w:firstLine="0"/>
              <w:jc w:val="center"/>
              <w:rPr>
                <w:sz w:val="21"/>
              </w:rPr>
            </w:pPr>
            <w:r>
              <w:rPr>
                <w:rFonts w:hint="eastAsia"/>
                <w:sz w:val="21"/>
              </w:rPr>
              <w:t>27.42</w:t>
            </w:r>
          </w:p>
        </w:tc>
        <w:tc>
          <w:tcPr>
            <w:tcW w:w="709" w:type="dxa"/>
            <w:vAlign w:val="center"/>
          </w:tcPr>
          <w:p w14:paraId="0A0786F2" w14:textId="77777777" w:rsidR="009D12AF" w:rsidRDefault="00000000">
            <w:pPr>
              <w:spacing w:line="240" w:lineRule="auto"/>
              <w:ind w:firstLineChars="0" w:firstLine="0"/>
              <w:jc w:val="center"/>
              <w:rPr>
                <w:sz w:val="21"/>
              </w:rPr>
            </w:pPr>
            <w:r>
              <w:rPr>
                <w:rFonts w:hint="eastAsia"/>
                <w:sz w:val="21"/>
              </w:rPr>
              <w:t>23.62</w:t>
            </w:r>
          </w:p>
        </w:tc>
        <w:tc>
          <w:tcPr>
            <w:tcW w:w="567" w:type="dxa"/>
            <w:vAlign w:val="center"/>
          </w:tcPr>
          <w:p w14:paraId="5DD0A311" w14:textId="77777777" w:rsidR="009D12AF" w:rsidRDefault="00000000">
            <w:pPr>
              <w:spacing w:line="240" w:lineRule="auto"/>
              <w:ind w:firstLineChars="0" w:firstLine="0"/>
              <w:jc w:val="center"/>
              <w:rPr>
                <w:sz w:val="21"/>
              </w:rPr>
            </w:pPr>
            <w:r>
              <w:rPr>
                <w:rFonts w:hint="eastAsia"/>
                <w:sz w:val="21"/>
              </w:rPr>
              <w:t>18.63</w:t>
            </w:r>
          </w:p>
        </w:tc>
        <w:tc>
          <w:tcPr>
            <w:tcW w:w="850" w:type="dxa"/>
            <w:vMerge/>
            <w:vAlign w:val="center"/>
          </w:tcPr>
          <w:p w14:paraId="280CA303" w14:textId="77777777" w:rsidR="009D12AF" w:rsidRDefault="009D12AF">
            <w:pPr>
              <w:spacing w:line="360" w:lineRule="exact"/>
              <w:ind w:firstLineChars="0" w:firstLine="0"/>
              <w:jc w:val="center"/>
              <w:rPr>
                <w:sz w:val="21"/>
                <w:szCs w:val="21"/>
              </w:rPr>
            </w:pPr>
          </w:p>
        </w:tc>
        <w:tc>
          <w:tcPr>
            <w:tcW w:w="559" w:type="dxa"/>
            <w:vAlign w:val="center"/>
          </w:tcPr>
          <w:p w14:paraId="07D669C8" w14:textId="77777777" w:rsidR="009D12AF" w:rsidRDefault="00000000">
            <w:pPr>
              <w:spacing w:line="240" w:lineRule="auto"/>
              <w:ind w:firstLineChars="0" w:firstLine="0"/>
              <w:jc w:val="center"/>
              <w:rPr>
                <w:sz w:val="21"/>
              </w:rPr>
            </w:pPr>
            <w:r>
              <w:rPr>
                <w:rFonts w:hint="eastAsia"/>
                <w:sz w:val="21"/>
              </w:rPr>
              <w:t>2</w:t>
            </w:r>
          </w:p>
        </w:tc>
        <w:tc>
          <w:tcPr>
            <w:tcW w:w="709" w:type="dxa"/>
            <w:vAlign w:val="center"/>
          </w:tcPr>
          <w:p w14:paraId="47A4E044" w14:textId="77777777" w:rsidR="009D12AF" w:rsidRDefault="00000000">
            <w:pPr>
              <w:spacing w:line="240" w:lineRule="auto"/>
              <w:ind w:firstLineChars="0" w:firstLine="0"/>
              <w:jc w:val="center"/>
              <w:rPr>
                <w:sz w:val="21"/>
              </w:rPr>
            </w:pPr>
            <w:r>
              <w:rPr>
                <w:rFonts w:hint="eastAsia"/>
                <w:sz w:val="21"/>
              </w:rPr>
              <w:t>9</w:t>
            </w:r>
          </w:p>
        </w:tc>
      </w:tr>
      <w:tr w:rsidR="009D12AF" w14:paraId="207EC8D1" w14:textId="77777777">
        <w:trPr>
          <w:trHeight w:val="384"/>
          <w:jc w:val="center"/>
        </w:trPr>
        <w:tc>
          <w:tcPr>
            <w:tcW w:w="780" w:type="dxa"/>
            <w:vAlign w:val="center"/>
          </w:tcPr>
          <w:p w14:paraId="7A90687B" w14:textId="77777777" w:rsidR="009D12AF" w:rsidRDefault="00000000">
            <w:pPr>
              <w:pStyle w:val="TableParagraph"/>
              <w:kinsoku w:val="0"/>
              <w:overflowPunct w:val="0"/>
              <w:spacing w:before="2"/>
              <w:jc w:val="center"/>
              <w:rPr>
                <w:sz w:val="21"/>
              </w:rPr>
            </w:pPr>
            <w:r>
              <w:rPr>
                <w:w w:val="105"/>
                <w:sz w:val="20"/>
                <w:szCs w:val="20"/>
              </w:rPr>
              <w:t>载重汽车</w:t>
            </w:r>
          </w:p>
        </w:tc>
        <w:tc>
          <w:tcPr>
            <w:tcW w:w="604" w:type="dxa"/>
            <w:vAlign w:val="center"/>
          </w:tcPr>
          <w:p w14:paraId="11052A3A" w14:textId="77777777" w:rsidR="009D12AF" w:rsidRDefault="00000000">
            <w:pPr>
              <w:spacing w:line="240" w:lineRule="auto"/>
              <w:ind w:firstLineChars="0" w:firstLine="0"/>
              <w:jc w:val="center"/>
              <w:rPr>
                <w:sz w:val="21"/>
              </w:rPr>
            </w:pPr>
            <w:r>
              <w:rPr>
                <w:rFonts w:hint="eastAsia"/>
                <w:sz w:val="21"/>
              </w:rPr>
              <w:t>90</w:t>
            </w:r>
          </w:p>
        </w:tc>
        <w:tc>
          <w:tcPr>
            <w:tcW w:w="748" w:type="dxa"/>
            <w:vAlign w:val="center"/>
          </w:tcPr>
          <w:p w14:paraId="0E31AA25" w14:textId="77777777" w:rsidR="009D12AF" w:rsidRDefault="00000000">
            <w:pPr>
              <w:spacing w:line="240" w:lineRule="auto"/>
              <w:ind w:firstLineChars="0" w:firstLine="0"/>
              <w:jc w:val="center"/>
              <w:rPr>
                <w:sz w:val="21"/>
              </w:rPr>
            </w:pPr>
            <w:r>
              <w:rPr>
                <w:rFonts w:hint="eastAsia"/>
                <w:sz w:val="21"/>
              </w:rPr>
              <w:t>65.01</w:t>
            </w:r>
          </w:p>
        </w:tc>
        <w:tc>
          <w:tcPr>
            <w:tcW w:w="581" w:type="dxa"/>
            <w:vAlign w:val="center"/>
          </w:tcPr>
          <w:p w14:paraId="22591453" w14:textId="77777777" w:rsidR="009D12AF" w:rsidRDefault="00000000">
            <w:pPr>
              <w:spacing w:line="240" w:lineRule="auto"/>
              <w:ind w:firstLineChars="0" w:firstLine="0"/>
              <w:jc w:val="center"/>
              <w:rPr>
                <w:sz w:val="21"/>
              </w:rPr>
            </w:pPr>
            <w:r>
              <w:rPr>
                <w:rFonts w:hint="eastAsia"/>
                <w:sz w:val="21"/>
              </w:rPr>
              <w:t>58.97</w:t>
            </w:r>
          </w:p>
        </w:tc>
        <w:tc>
          <w:tcPr>
            <w:tcW w:w="581" w:type="dxa"/>
            <w:vAlign w:val="center"/>
          </w:tcPr>
          <w:p w14:paraId="4E6D878C" w14:textId="77777777" w:rsidR="009D12AF" w:rsidRDefault="00000000">
            <w:pPr>
              <w:spacing w:line="240" w:lineRule="auto"/>
              <w:ind w:firstLineChars="0" w:firstLine="0"/>
              <w:jc w:val="center"/>
              <w:rPr>
                <w:sz w:val="21"/>
              </w:rPr>
            </w:pPr>
            <w:r>
              <w:rPr>
                <w:rFonts w:hint="eastAsia"/>
                <w:sz w:val="21"/>
              </w:rPr>
              <w:t>52.92</w:t>
            </w:r>
          </w:p>
        </w:tc>
        <w:tc>
          <w:tcPr>
            <w:tcW w:w="503" w:type="dxa"/>
            <w:vAlign w:val="center"/>
          </w:tcPr>
          <w:p w14:paraId="5AF5E611" w14:textId="77777777" w:rsidR="009D12AF" w:rsidRDefault="00000000">
            <w:pPr>
              <w:spacing w:line="240" w:lineRule="auto"/>
              <w:ind w:firstLineChars="0" w:firstLine="0"/>
              <w:jc w:val="center"/>
              <w:rPr>
                <w:sz w:val="21"/>
              </w:rPr>
            </w:pPr>
            <w:r>
              <w:rPr>
                <w:rFonts w:hint="eastAsia"/>
                <w:sz w:val="21"/>
              </w:rPr>
              <w:t>49.37</w:t>
            </w:r>
          </w:p>
        </w:tc>
        <w:tc>
          <w:tcPr>
            <w:tcW w:w="709" w:type="dxa"/>
            <w:vAlign w:val="center"/>
          </w:tcPr>
          <w:p w14:paraId="2687FCB5" w14:textId="77777777" w:rsidR="009D12AF" w:rsidRDefault="00000000">
            <w:pPr>
              <w:spacing w:line="240" w:lineRule="auto"/>
              <w:ind w:firstLineChars="0" w:firstLine="0"/>
              <w:jc w:val="center"/>
              <w:rPr>
                <w:sz w:val="21"/>
              </w:rPr>
            </w:pPr>
            <w:r>
              <w:rPr>
                <w:rFonts w:hint="eastAsia"/>
                <w:sz w:val="21"/>
              </w:rPr>
              <w:t>38.72</w:t>
            </w:r>
          </w:p>
        </w:tc>
        <w:tc>
          <w:tcPr>
            <w:tcW w:w="567" w:type="dxa"/>
            <w:vAlign w:val="center"/>
          </w:tcPr>
          <w:p w14:paraId="49F6801F" w14:textId="77777777" w:rsidR="009D12AF" w:rsidRDefault="00000000">
            <w:pPr>
              <w:spacing w:line="240" w:lineRule="auto"/>
              <w:ind w:firstLineChars="0" w:firstLine="0"/>
              <w:jc w:val="center"/>
              <w:rPr>
                <w:sz w:val="21"/>
              </w:rPr>
            </w:pPr>
            <w:r>
              <w:rPr>
                <w:rFonts w:hint="eastAsia"/>
                <w:sz w:val="21"/>
              </w:rPr>
              <w:t>32.42</w:t>
            </w:r>
          </w:p>
        </w:tc>
        <w:tc>
          <w:tcPr>
            <w:tcW w:w="709" w:type="dxa"/>
            <w:vAlign w:val="center"/>
          </w:tcPr>
          <w:p w14:paraId="109E1356" w14:textId="77777777" w:rsidR="009D12AF" w:rsidRDefault="00000000">
            <w:pPr>
              <w:spacing w:line="240" w:lineRule="auto"/>
              <w:ind w:firstLineChars="0" w:firstLine="0"/>
              <w:jc w:val="center"/>
              <w:rPr>
                <w:sz w:val="21"/>
              </w:rPr>
            </w:pPr>
            <w:r>
              <w:rPr>
                <w:rFonts w:hint="eastAsia"/>
                <w:sz w:val="21"/>
              </w:rPr>
              <w:t>28.62</w:t>
            </w:r>
          </w:p>
        </w:tc>
        <w:tc>
          <w:tcPr>
            <w:tcW w:w="567" w:type="dxa"/>
            <w:vAlign w:val="center"/>
          </w:tcPr>
          <w:p w14:paraId="1B587734" w14:textId="77777777" w:rsidR="009D12AF" w:rsidRDefault="00000000">
            <w:pPr>
              <w:spacing w:line="240" w:lineRule="auto"/>
              <w:ind w:firstLineChars="0" w:firstLine="0"/>
              <w:jc w:val="center"/>
              <w:rPr>
                <w:sz w:val="21"/>
              </w:rPr>
            </w:pPr>
            <w:r>
              <w:rPr>
                <w:rFonts w:hint="eastAsia"/>
                <w:sz w:val="21"/>
              </w:rPr>
              <w:t>23.63</w:t>
            </w:r>
          </w:p>
        </w:tc>
        <w:tc>
          <w:tcPr>
            <w:tcW w:w="850" w:type="dxa"/>
            <w:vMerge/>
            <w:vAlign w:val="center"/>
          </w:tcPr>
          <w:p w14:paraId="2BE1B8C5" w14:textId="77777777" w:rsidR="009D12AF" w:rsidRDefault="009D12AF">
            <w:pPr>
              <w:spacing w:line="360" w:lineRule="exact"/>
              <w:ind w:firstLineChars="0" w:firstLine="0"/>
              <w:jc w:val="center"/>
              <w:rPr>
                <w:sz w:val="21"/>
                <w:szCs w:val="21"/>
              </w:rPr>
            </w:pPr>
          </w:p>
        </w:tc>
        <w:tc>
          <w:tcPr>
            <w:tcW w:w="559" w:type="dxa"/>
            <w:vAlign w:val="center"/>
          </w:tcPr>
          <w:p w14:paraId="0D7A1DDC" w14:textId="77777777" w:rsidR="009D12AF" w:rsidRDefault="00000000">
            <w:pPr>
              <w:spacing w:line="240" w:lineRule="auto"/>
              <w:ind w:firstLineChars="0" w:firstLine="0"/>
              <w:jc w:val="center"/>
              <w:rPr>
                <w:sz w:val="21"/>
              </w:rPr>
            </w:pPr>
            <w:r>
              <w:rPr>
                <w:rFonts w:hint="eastAsia"/>
                <w:sz w:val="21"/>
              </w:rPr>
              <w:t>3</w:t>
            </w:r>
          </w:p>
        </w:tc>
        <w:tc>
          <w:tcPr>
            <w:tcW w:w="709" w:type="dxa"/>
            <w:vAlign w:val="center"/>
          </w:tcPr>
          <w:p w14:paraId="20D82E8E" w14:textId="77777777" w:rsidR="009D12AF" w:rsidRDefault="00000000">
            <w:pPr>
              <w:spacing w:line="240" w:lineRule="auto"/>
              <w:ind w:firstLineChars="0" w:firstLine="0"/>
              <w:jc w:val="center"/>
              <w:rPr>
                <w:sz w:val="21"/>
              </w:rPr>
            </w:pPr>
            <w:r>
              <w:rPr>
                <w:rFonts w:hint="eastAsia"/>
                <w:sz w:val="21"/>
              </w:rPr>
              <w:t>16</w:t>
            </w:r>
          </w:p>
        </w:tc>
      </w:tr>
      <w:tr w:rsidR="009D12AF" w14:paraId="5D7B6722" w14:textId="77777777">
        <w:trPr>
          <w:trHeight w:val="384"/>
          <w:jc w:val="center"/>
        </w:trPr>
        <w:tc>
          <w:tcPr>
            <w:tcW w:w="780" w:type="dxa"/>
            <w:vAlign w:val="center"/>
          </w:tcPr>
          <w:p w14:paraId="3AEABB7D" w14:textId="77777777" w:rsidR="009D12AF" w:rsidRDefault="00000000">
            <w:pPr>
              <w:pStyle w:val="TableParagraph"/>
              <w:kinsoku w:val="0"/>
              <w:overflowPunct w:val="0"/>
              <w:spacing w:before="2"/>
              <w:jc w:val="center"/>
              <w:rPr>
                <w:rFonts w:eastAsia="宋体"/>
                <w:w w:val="105"/>
                <w:sz w:val="20"/>
                <w:szCs w:val="20"/>
                <w:lang w:eastAsia="zh-CN"/>
              </w:rPr>
            </w:pPr>
            <w:r>
              <w:rPr>
                <w:rFonts w:eastAsia="宋体" w:hint="eastAsia"/>
                <w:w w:val="105"/>
                <w:sz w:val="20"/>
                <w:szCs w:val="20"/>
                <w:lang w:eastAsia="zh-CN"/>
              </w:rPr>
              <w:t>合计</w:t>
            </w:r>
          </w:p>
        </w:tc>
        <w:tc>
          <w:tcPr>
            <w:tcW w:w="604" w:type="dxa"/>
            <w:vAlign w:val="center"/>
          </w:tcPr>
          <w:p w14:paraId="5A2781C6" w14:textId="77777777" w:rsidR="009D12AF" w:rsidRDefault="00000000">
            <w:pPr>
              <w:spacing w:line="240" w:lineRule="auto"/>
              <w:ind w:firstLineChars="0" w:firstLine="0"/>
              <w:jc w:val="center"/>
              <w:rPr>
                <w:sz w:val="21"/>
              </w:rPr>
            </w:pPr>
            <w:r>
              <w:rPr>
                <w:rFonts w:hint="eastAsia"/>
                <w:sz w:val="21"/>
              </w:rPr>
              <w:t>95.14</w:t>
            </w:r>
          </w:p>
        </w:tc>
        <w:tc>
          <w:tcPr>
            <w:tcW w:w="748" w:type="dxa"/>
            <w:vAlign w:val="center"/>
          </w:tcPr>
          <w:p w14:paraId="38AA8131" w14:textId="77777777" w:rsidR="009D12AF" w:rsidRDefault="00000000">
            <w:pPr>
              <w:spacing w:line="240" w:lineRule="auto"/>
              <w:ind w:firstLineChars="0" w:firstLine="0"/>
              <w:jc w:val="center"/>
              <w:rPr>
                <w:sz w:val="21"/>
              </w:rPr>
            </w:pPr>
            <w:r>
              <w:rPr>
                <w:rFonts w:hint="eastAsia"/>
                <w:sz w:val="21"/>
              </w:rPr>
              <w:t>74.15</w:t>
            </w:r>
          </w:p>
        </w:tc>
        <w:tc>
          <w:tcPr>
            <w:tcW w:w="581" w:type="dxa"/>
            <w:vAlign w:val="center"/>
          </w:tcPr>
          <w:p w14:paraId="002AFCBC" w14:textId="77777777" w:rsidR="009D12AF" w:rsidRDefault="00000000">
            <w:pPr>
              <w:spacing w:line="240" w:lineRule="auto"/>
              <w:ind w:firstLineChars="0" w:firstLine="0"/>
              <w:jc w:val="center"/>
              <w:rPr>
                <w:sz w:val="21"/>
              </w:rPr>
            </w:pPr>
            <w:r>
              <w:rPr>
                <w:rFonts w:hint="eastAsia"/>
                <w:sz w:val="21"/>
              </w:rPr>
              <w:t>68.11</w:t>
            </w:r>
          </w:p>
        </w:tc>
        <w:tc>
          <w:tcPr>
            <w:tcW w:w="581" w:type="dxa"/>
            <w:vAlign w:val="center"/>
          </w:tcPr>
          <w:p w14:paraId="0C2E7A2A" w14:textId="77777777" w:rsidR="009D12AF" w:rsidRDefault="00000000">
            <w:pPr>
              <w:spacing w:line="240" w:lineRule="auto"/>
              <w:ind w:firstLineChars="0" w:firstLine="0"/>
              <w:jc w:val="center"/>
              <w:rPr>
                <w:sz w:val="21"/>
              </w:rPr>
            </w:pPr>
            <w:r>
              <w:rPr>
                <w:rFonts w:hint="eastAsia"/>
                <w:sz w:val="21"/>
              </w:rPr>
              <w:t>62.06</w:t>
            </w:r>
          </w:p>
        </w:tc>
        <w:tc>
          <w:tcPr>
            <w:tcW w:w="503" w:type="dxa"/>
            <w:vAlign w:val="center"/>
          </w:tcPr>
          <w:p w14:paraId="6E1143C5" w14:textId="77777777" w:rsidR="009D12AF" w:rsidRDefault="00000000">
            <w:pPr>
              <w:spacing w:line="240" w:lineRule="auto"/>
              <w:ind w:firstLineChars="0" w:firstLine="0"/>
              <w:jc w:val="center"/>
              <w:rPr>
                <w:sz w:val="21"/>
              </w:rPr>
            </w:pPr>
            <w:r>
              <w:rPr>
                <w:rFonts w:hint="eastAsia"/>
                <w:sz w:val="21"/>
              </w:rPr>
              <w:t>58.51</w:t>
            </w:r>
          </w:p>
        </w:tc>
        <w:tc>
          <w:tcPr>
            <w:tcW w:w="709" w:type="dxa"/>
            <w:vAlign w:val="center"/>
          </w:tcPr>
          <w:p w14:paraId="2761D2B9" w14:textId="77777777" w:rsidR="009D12AF" w:rsidRDefault="00000000">
            <w:pPr>
              <w:spacing w:line="240" w:lineRule="auto"/>
              <w:ind w:firstLineChars="0" w:firstLine="0"/>
              <w:jc w:val="center"/>
              <w:rPr>
                <w:sz w:val="21"/>
              </w:rPr>
            </w:pPr>
            <w:r>
              <w:rPr>
                <w:rFonts w:hint="eastAsia"/>
                <w:sz w:val="21"/>
              </w:rPr>
              <w:t>47.86</w:t>
            </w:r>
          </w:p>
        </w:tc>
        <w:tc>
          <w:tcPr>
            <w:tcW w:w="567" w:type="dxa"/>
            <w:vAlign w:val="center"/>
          </w:tcPr>
          <w:p w14:paraId="6EDDB8A1" w14:textId="77777777" w:rsidR="009D12AF" w:rsidRDefault="00000000">
            <w:pPr>
              <w:spacing w:line="240" w:lineRule="auto"/>
              <w:ind w:firstLineChars="0" w:firstLine="0"/>
              <w:jc w:val="center"/>
              <w:rPr>
                <w:sz w:val="21"/>
              </w:rPr>
            </w:pPr>
            <w:r>
              <w:rPr>
                <w:rFonts w:hint="eastAsia"/>
                <w:sz w:val="21"/>
              </w:rPr>
              <w:t>41.52</w:t>
            </w:r>
          </w:p>
        </w:tc>
        <w:tc>
          <w:tcPr>
            <w:tcW w:w="709" w:type="dxa"/>
            <w:vAlign w:val="center"/>
          </w:tcPr>
          <w:p w14:paraId="4B00E5E2" w14:textId="77777777" w:rsidR="009D12AF" w:rsidRDefault="00000000">
            <w:pPr>
              <w:spacing w:line="240" w:lineRule="auto"/>
              <w:ind w:firstLineChars="0" w:firstLine="0"/>
              <w:jc w:val="center"/>
              <w:rPr>
                <w:sz w:val="21"/>
              </w:rPr>
            </w:pPr>
            <w:r>
              <w:rPr>
                <w:rFonts w:hint="eastAsia"/>
                <w:sz w:val="21"/>
              </w:rPr>
              <w:t>37.76</w:t>
            </w:r>
          </w:p>
        </w:tc>
        <w:tc>
          <w:tcPr>
            <w:tcW w:w="567" w:type="dxa"/>
            <w:vAlign w:val="center"/>
          </w:tcPr>
          <w:p w14:paraId="7C7FF06E" w14:textId="77777777" w:rsidR="009D12AF" w:rsidRDefault="00000000">
            <w:pPr>
              <w:spacing w:line="240" w:lineRule="auto"/>
              <w:ind w:firstLineChars="0" w:firstLine="0"/>
              <w:jc w:val="center"/>
              <w:rPr>
                <w:sz w:val="21"/>
              </w:rPr>
            </w:pPr>
            <w:r>
              <w:rPr>
                <w:rFonts w:hint="eastAsia"/>
                <w:sz w:val="21"/>
              </w:rPr>
              <w:t>32.77</w:t>
            </w:r>
          </w:p>
        </w:tc>
        <w:tc>
          <w:tcPr>
            <w:tcW w:w="850" w:type="dxa"/>
            <w:vMerge/>
            <w:vAlign w:val="center"/>
          </w:tcPr>
          <w:p w14:paraId="5337AA4A" w14:textId="77777777" w:rsidR="009D12AF" w:rsidRDefault="009D12AF">
            <w:pPr>
              <w:spacing w:line="360" w:lineRule="exact"/>
              <w:ind w:firstLineChars="0" w:firstLine="0"/>
              <w:jc w:val="center"/>
              <w:rPr>
                <w:sz w:val="21"/>
                <w:szCs w:val="21"/>
              </w:rPr>
            </w:pPr>
          </w:p>
        </w:tc>
        <w:tc>
          <w:tcPr>
            <w:tcW w:w="559" w:type="dxa"/>
            <w:vAlign w:val="center"/>
          </w:tcPr>
          <w:p w14:paraId="198CBC51" w14:textId="77777777" w:rsidR="009D12AF" w:rsidRDefault="00000000">
            <w:pPr>
              <w:spacing w:line="240" w:lineRule="auto"/>
              <w:ind w:firstLineChars="0" w:firstLine="0"/>
              <w:jc w:val="center"/>
              <w:rPr>
                <w:sz w:val="21"/>
              </w:rPr>
            </w:pPr>
            <w:r>
              <w:rPr>
                <w:rFonts w:hint="eastAsia"/>
                <w:sz w:val="21"/>
              </w:rPr>
              <w:t>9</w:t>
            </w:r>
          </w:p>
        </w:tc>
        <w:tc>
          <w:tcPr>
            <w:tcW w:w="709" w:type="dxa"/>
            <w:vAlign w:val="center"/>
          </w:tcPr>
          <w:p w14:paraId="47212453" w14:textId="77777777" w:rsidR="009D12AF" w:rsidRDefault="00000000">
            <w:pPr>
              <w:spacing w:line="240" w:lineRule="auto"/>
              <w:ind w:firstLineChars="0" w:firstLine="0"/>
              <w:jc w:val="center"/>
              <w:rPr>
                <w:sz w:val="21"/>
              </w:rPr>
            </w:pPr>
            <w:r>
              <w:rPr>
                <w:rFonts w:hint="eastAsia"/>
                <w:sz w:val="21"/>
              </w:rPr>
              <w:t>45</w:t>
            </w:r>
          </w:p>
        </w:tc>
      </w:tr>
    </w:tbl>
    <w:p w14:paraId="62305B2A" w14:textId="77777777" w:rsidR="009D12AF" w:rsidRDefault="00000000">
      <w:pPr>
        <w:ind w:firstLineChars="236" w:firstLine="566"/>
      </w:pPr>
      <w:r>
        <w:t>由表</w:t>
      </w:r>
      <w:r>
        <w:t>5</w:t>
      </w:r>
      <w:r>
        <w:rPr>
          <w:rFonts w:hint="eastAsia"/>
        </w:rPr>
        <w:t>.</w:t>
      </w:r>
      <w:r>
        <w:t>1-</w:t>
      </w:r>
      <w:r>
        <w:rPr>
          <w:rFonts w:hint="eastAsia"/>
        </w:rPr>
        <w:t>4</w:t>
      </w:r>
      <w:r>
        <w:t>可知，施工机械按照《建筑施工场界环境噪声排放标准》</w:t>
      </w:r>
      <w:r>
        <w:t xml:space="preserve"> (GBI2523-20</w:t>
      </w:r>
      <w:r>
        <w:rPr>
          <w:rFonts w:hint="eastAsia"/>
        </w:rPr>
        <w:t>25</w:t>
      </w:r>
      <w:r>
        <w:t>)</w:t>
      </w:r>
      <w:r>
        <w:t>昼间</w:t>
      </w:r>
      <w:r>
        <w:t>70dB(A)</w:t>
      </w:r>
      <w:r>
        <w:t>和夜间</w:t>
      </w:r>
      <w:r>
        <w:t>55dB(A)</w:t>
      </w:r>
      <w:r>
        <w:t>的要求，在噪声不叠加、不考虑衰减，只考虑机械噪声持续排放的情况下，昼间距施工现场</w:t>
      </w:r>
      <w:r>
        <w:rPr>
          <w:rFonts w:hint="eastAsia"/>
        </w:rPr>
        <w:t>9</w:t>
      </w:r>
      <w:r>
        <w:t>m</w:t>
      </w:r>
      <w:r>
        <w:t>处可达到施工场界噪声限值要求，夜间需</w:t>
      </w:r>
      <w:r>
        <w:rPr>
          <w:rFonts w:hint="eastAsia"/>
        </w:rPr>
        <w:t>45</w:t>
      </w:r>
      <w:r>
        <w:t>m</w:t>
      </w:r>
      <w:r>
        <w:t>衰减方可达标。</w:t>
      </w:r>
    </w:p>
    <w:p w14:paraId="742655F6" w14:textId="77777777" w:rsidR="009D12AF" w:rsidRDefault="00000000">
      <w:pPr>
        <w:ind w:firstLineChars="236" w:firstLine="566"/>
      </w:pPr>
      <w:r>
        <w:t>4</w:t>
      </w:r>
      <w:r>
        <w:t>、施工道路交通噪声影响</w:t>
      </w:r>
    </w:p>
    <w:p w14:paraId="7DBCBA4C" w14:textId="77777777" w:rsidR="009D12AF" w:rsidRDefault="00000000">
      <w:pPr>
        <w:ind w:firstLineChars="236" w:firstLine="566"/>
      </w:pPr>
      <w:r>
        <w:t>根据工程施工组织设计，清淤土方需要运至</w:t>
      </w:r>
      <w:r>
        <w:rPr>
          <w:rFonts w:hint="eastAsia"/>
        </w:rPr>
        <w:t>临时生产区</w:t>
      </w:r>
      <w:r>
        <w:t>，</w:t>
      </w:r>
      <w:r>
        <w:rPr>
          <w:rFonts w:hint="eastAsia"/>
        </w:rPr>
        <w:t>脱水干化后运至牡丹江金达农化有限公司对其清淤底泥进行加工制作生物肥，由企业售卖</w:t>
      </w:r>
      <w:r>
        <w:rPr>
          <w:rFonts w:ascii="宋体" w:eastAsia="宋体" w:hAnsi="宋体" w:cs="宋体" w:hint="eastAsia"/>
          <w:color w:val="000000"/>
          <w:kern w:val="0"/>
          <w:lang w:bidi="ar"/>
        </w:rPr>
        <w:t>。</w:t>
      </w:r>
      <w:r>
        <w:t>运输车辆主要为自卸汽车，运输过程中，运输车辆噪声将对道路两侧村镇居民产生一定影响。根据经验分析，运输车辆行驶噪声将对运输道路沿线两侧各</w:t>
      </w:r>
      <w:r>
        <w:t>50m</w:t>
      </w:r>
      <w:r>
        <w:t>范围内的产生比较显著的影响。因此，为减轻环境影响，运输线路在经过周边村庄时，应限制车速</w:t>
      </w:r>
      <w:r>
        <w:t>(20km/h</w:t>
      </w:r>
      <w:r>
        <w:t>以内</w:t>
      </w:r>
      <w:r>
        <w:t>)</w:t>
      </w:r>
      <w:r>
        <w:t>，禁止鸣筒。由于车辆运输具有流动性，且随着工程竣工，施工噪声也随机消失，总体影响较小，但短时间内的影响强度较大。</w:t>
      </w:r>
    </w:p>
    <w:p w14:paraId="4C43E03B" w14:textId="77777777" w:rsidR="009D12AF" w:rsidRDefault="00000000">
      <w:pPr>
        <w:ind w:firstLineChars="236" w:firstLine="566"/>
      </w:pPr>
      <w:r>
        <w:t>5</w:t>
      </w:r>
      <w:r>
        <w:t>、施工期声环境敏感点影响预测</w:t>
      </w:r>
    </w:p>
    <w:p w14:paraId="62FE238E" w14:textId="77777777" w:rsidR="009D12AF" w:rsidRDefault="00000000">
      <w:pPr>
        <w:ind w:firstLineChars="236" w:firstLine="566"/>
      </w:pPr>
      <w:r>
        <w:lastRenderedPageBreak/>
        <w:t>根据项目评价区现状噪声监测结果，各工程在叠加噪声背景值后进行总声压级预测。预测点的预测等效声级</w:t>
      </w:r>
      <w:r>
        <w:t>(Leq)</w:t>
      </w:r>
      <w:r>
        <w:t>计算公式如下</w:t>
      </w:r>
      <w:r>
        <w:t>:</w:t>
      </w:r>
    </w:p>
    <w:p w14:paraId="4AA6DC8C" w14:textId="77777777" w:rsidR="009D12AF" w:rsidRDefault="00000000">
      <w:pPr>
        <w:ind w:firstLineChars="236" w:firstLine="566"/>
      </w:pPr>
      <w:r>
        <w:rPr>
          <w:noProof/>
        </w:rPr>
        <w:drawing>
          <wp:inline distT="0" distB="0" distL="114300" distR="114300" wp14:anchorId="6EB9A345" wp14:editId="62B98161">
            <wp:extent cx="2724150" cy="447675"/>
            <wp:effectExtent l="0" t="0" r="0" b="9525"/>
            <wp:docPr id="20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7"/>
                    <pic:cNvPicPr>
                      <a:picLocks noChangeAspect="1"/>
                    </pic:cNvPicPr>
                  </pic:nvPicPr>
                  <pic:blipFill>
                    <a:blip r:embed="rId245"/>
                    <a:stretch>
                      <a:fillRect/>
                    </a:stretch>
                  </pic:blipFill>
                  <pic:spPr>
                    <a:xfrm>
                      <a:off x="0" y="0"/>
                      <a:ext cx="2724150" cy="447675"/>
                    </a:xfrm>
                    <a:prstGeom prst="rect">
                      <a:avLst/>
                    </a:prstGeom>
                    <a:noFill/>
                    <a:ln>
                      <a:noFill/>
                    </a:ln>
                  </pic:spPr>
                </pic:pic>
              </a:graphicData>
            </a:graphic>
          </wp:inline>
        </w:drawing>
      </w:r>
    </w:p>
    <w:p w14:paraId="7E67B827" w14:textId="77777777" w:rsidR="009D12AF" w:rsidRDefault="00000000">
      <w:pPr>
        <w:ind w:firstLineChars="236" w:firstLine="566"/>
      </w:pPr>
      <w:r>
        <w:t>式中</w:t>
      </w:r>
      <w:r>
        <w:t>:Leqg</w:t>
      </w:r>
      <w:r>
        <w:t>为建设项目声源在预测点的等效声级贡献值，</w:t>
      </w:r>
      <w:r>
        <w:t>dB(A);</w:t>
      </w:r>
    </w:p>
    <w:p w14:paraId="6C10B371" w14:textId="77777777" w:rsidR="009D12AF" w:rsidRDefault="00000000">
      <w:pPr>
        <w:ind w:firstLineChars="236" w:firstLine="566"/>
      </w:pPr>
      <w:r>
        <w:t>Leqb</w:t>
      </w:r>
      <w:r>
        <w:t>为预测点的背景值，</w:t>
      </w:r>
      <w:r>
        <w:t>dB(A)</w:t>
      </w:r>
      <w:r>
        <w:t>。</w:t>
      </w:r>
    </w:p>
    <w:p w14:paraId="57C0D8E1" w14:textId="77777777" w:rsidR="009D12AF" w:rsidRDefault="00000000">
      <w:pPr>
        <w:ind w:firstLineChars="236" w:firstLine="566"/>
      </w:pPr>
      <w:r>
        <w:t>根据工程周边敏感点排查，项目周边</w:t>
      </w:r>
      <w:r>
        <w:t>200m</w:t>
      </w:r>
      <w:r>
        <w:t>范围内的敏感点详见</w:t>
      </w:r>
      <w:r>
        <w:rPr>
          <w:rFonts w:hint="eastAsia"/>
        </w:rPr>
        <w:t>章节</w:t>
      </w:r>
      <w:r>
        <w:rPr>
          <w:rFonts w:hint="eastAsia"/>
        </w:rPr>
        <w:t>2.4</w:t>
      </w:r>
      <w:r>
        <w:t>。工程各施工区噪声源对评价范围内敏感目标的噪声影响预测结果详见表</w:t>
      </w:r>
      <w:r>
        <w:t>5</w:t>
      </w:r>
      <w:r>
        <w:rPr>
          <w:rFonts w:hint="eastAsia"/>
        </w:rPr>
        <w:t>.</w:t>
      </w:r>
      <w:r>
        <w:t>1-</w:t>
      </w:r>
      <w:r>
        <w:rPr>
          <w:rFonts w:hint="eastAsia"/>
        </w:rPr>
        <w:t>5</w:t>
      </w:r>
      <w:r>
        <w:t>。</w:t>
      </w:r>
    </w:p>
    <w:p w14:paraId="1C4D200F" w14:textId="77777777" w:rsidR="009D12AF" w:rsidRDefault="00000000">
      <w:pPr>
        <w:spacing w:line="240" w:lineRule="auto"/>
        <w:ind w:firstLine="482"/>
        <w:jc w:val="center"/>
        <w:rPr>
          <w:b/>
          <w:bCs/>
        </w:rPr>
      </w:pPr>
      <w:r>
        <w:rPr>
          <w:b/>
          <w:bCs/>
        </w:rPr>
        <w:t>表</w:t>
      </w:r>
      <w:r>
        <w:rPr>
          <w:b/>
          <w:bCs/>
        </w:rPr>
        <w:t>5</w:t>
      </w:r>
      <w:r>
        <w:rPr>
          <w:rFonts w:hint="eastAsia"/>
          <w:b/>
          <w:bCs/>
        </w:rPr>
        <w:t>.</w:t>
      </w:r>
      <w:r>
        <w:rPr>
          <w:b/>
          <w:bCs/>
        </w:rPr>
        <w:t>1-</w:t>
      </w:r>
      <w:r>
        <w:rPr>
          <w:rFonts w:hint="eastAsia"/>
          <w:b/>
          <w:bCs/>
        </w:rPr>
        <w:t>5</w:t>
      </w:r>
      <w:r>
        <w:rPr>
          <w:b/>
          <w:bCs/>
        </w:rPr>
        <w:t xml:space="preserve">  </w:t>
      </w:r>
      <w:r>
        <w:rPr>
          <w:b/>
          <w:bCs/>
        </w:rPr>
        <w:t>工程施工区声环境保护目标影响预测表</w:t>
      </w:r>
    </w:p>
    <w:tbl>
      <w:tblPr>
        <w:tblW w:w="4994"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80"/>
        <w:gridCol w:w="827"/>
        <w:gridCol w:w="1129"/>
        <w:gridCol w:w="999"/>
        <w:gridCol w:w="657"/>
        <w:gridCol w:w="773"/>
        <w:gridCol w:w="712"/>
        <w:gridCol w:w="887"/>
        <w:gridCol w:w="882"/>
        <w:gridCol w:w="766"/>
      </w:tblGrid>
      <w:tr w:rsidR="009D12AF" w14:paraId="07E3F5DB" w14:textId="77777777">
        <w:trPr>
          <w:trHeight w:val="394"/>
          <w:jc w:val="center"/>
        </w:trPr>
        <w:tc>
          <w:tcPr>
            <w:tcW w:w="516" w:type="pct"/>
            <w:vMerge w:val="restart"/>
            <w:tcBorders>
              <w:bottom w:val="single" w:sz="12" w:space="0" w:color="000000"/>
            </w:tcBorders>
            <w:vAlign w:val="center"/>
          </w:tcPr>
          <w:p w14:paraId="55D39DA4"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sz w:val="21"/>
                <w:szCs w:val="21"/>
              </w:rPr>
              <w:t>敏感目标</w:t>
            </w:r>
          </w:p>
        </w:tc>
        <w:tc>
          <w:tcPr>
            <w:tcW w:w="486" w:type="pct"/>
            <w:vMerge w:val="restart"/>
            <w:tcBorders>
              <w:bottom w:val="single" w:sz="12" w:space="0" w:color="000000"/>
            </w:tcBorders>
            <w:vAlign w:val="center"/>
          </w:tcPr>
          <w:p w14:paraId="32536D47"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sz w:val="21"/>
                <w:szCs w:val="21"/>
              </w:rPr>
              <w:t>声源</w:t>
            </w:r>
          </w:p>
        </w:tc>
        <w:tc>
          <w:tcPr>
            <w:tcW w:w="1248" w:type="pct"/>
            <w:gridSpan w:val="2"/>
            <w:tcBorders>
              <w:bottom w:val="single" w:sz="4" w:space="0" w:color="auto"/>
            </w:tcBorders>
            <w:vAlign w:val="center"/>
          </w:tcPr>
          <w:p w14:paraId="45940852" w14:textId="77777777" w:rsidR="009D12AF" w:rsidRDefault="00000000">
            <w:pPr>
              <w:pStyle w:val="afc"/>
              <w:spacing w:line="360" w:lineRule="exact"/>
              <w:ind w:firstLineChars="0" w:firstLine="0"/>
              <w:rPr>
                <w:rFonts w:ascii="Times New Roman" w:hAnsi="Times New Roman"/>
                <w:sz w:val="21"/>
                <w:szCs w:val="21"/>
              </w:rPr>
            </w:pPr>
            <w:r>
              <w:rPr>
                <w:sz w:val="21"/>
              </w:rPr>
              <w:t>贡献值</w:t>
            </w:r>
          </w:p>
        </w:tc>
        <w:tc>
          <w:tcPr>
            <w:tcW w:w="840" w:type="pct"/>
            <w:gridSpan w:val="2"/>
            <w:tcBorders>
              <w:bottom w:val="single" w:sz="4" w:space="0" w:color="auto"/>
            </w:tcBorders>
            <w:vAlign w:val="center"/>
          </w:tcPr>
          <w:p w14:paraId="5B100F39"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sz w:val="21"/>
                <w:szCs w:val="21"/>
              </w:rPr>
              <w:t>背景值</w:t>
            </w:r>
          </w:p>
        </w:tc>
        <w:tc>
          <w:tcPr>
            <w:tcW w:w="938" w:type="pct"/>
            <w:gridSpan w:val="2"/>
            <w:tcBorders>
              <w:bottom w:val="single" w:sz="4" w:space="0" w:color="auto"/>
            </w:tcBorders>
            <w:vAlign w:val="center"/>
          </w:tcPr>
          <w:p w14:paraId="1224EAF5"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sz w:val="21"/>
                <w:szCs w:val="21"/>
              </w:rPr>
              <w:t>预测值</w:t>
            </w:r>
          </w:p>
        </w:tc>
        <w:tc>
          <w:tcPr>
            <w:tcW w:w="517" w:type="pct"/>
            <w:vMerge w:val="restart"/>
            <w:tcBorders>
              <w:bottom w:val="single" w:sz="4" w:space="0" w:color="auto"/>
            </w:tcBorders>
            <w:vAlign w:val="center"/>
          </w:tcPr>
          <w:p w14:paraId="2D56660A"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sz w:val="21"/>
                <w:szCs w:val="21"/>
              </w:rPr>
              <w:t>标准</w:t>
            </w:r>
            <w:r>
              <w:rPr>
                <w:rFonts w:ascii="Times New Roman" w:hAnsi="Times New Roman"/>
                <w:sz w:val="21"/>
                <w:szCs w:val="21"/>
              </w:rPr>
              <w:t>dB(A)</w:t>
            </w:r>
          </w:p>
        </w:tc>
        <w:tc>
          <w:tcPr>
            <w:tcW w:w="450" w:type="pct"/>
            <w:tcBorders>
              <w:bottom w:val="single" w:sz="4" w:space="0" w:color="auto"/>
            </w:tcBorders>
            <w:vAlign w:val="center"/>
          </w:tcPr>
          <w:p w14:paraId="6695477A"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sz w:val="21"/>
                <w:szCs w:val="21"/>
              </w:rPr>
              <w:t>达标情况</w:t>
            </w:r>
          </w:p>
        </w:tc>
      </w:tr>
      <w:tr w:rsidR="009D12AF" w14:paraId="04FEB0C2" w14:textId="77777777">
        <w:trPr>
          <w:trHeight w:val="394"/>
          <w:jc w:val="center"/>
        </w:trPr>
        <w:tc>
          <w:tcPr>
            <w:tcW w:w="516" w:type="pct"/>
            <w:vMerge/>
            <w:tcBorders>
              <w:top w:val="single" w:sz="12" w:space="0" w:color="000000"/>
            </w:tcBorders>
            <w:vAlign w:val="center"/>
          </w:tcPr>
          <w:p w14:paraId="4F5B8090" w14:textId="77777777" w:rsidR="009D12AF" w:rsidRDefault="009D12AF">
            <w:pPr>
              <w:pStyle w:val="afc"/>
              <w:spacing w:line="360" w:lineRule="exact"/>
              <w:ind w:firstLineChars="0" w:firstLine="0"/>
              <w:rPr>
                <w:rFonts w:ascii="Times New Roman" w:hAnsi="Times New Roman"/>
                <w:sz w:val="21"/>
                <w:szCs w:val="21"/>
              </w:rPr>
            </w:pPr>
          </w:p>
        </w:tc>
        <w:tc>
          <w:tcPr>
            <w:tcW w:w="486" w:type="pct"/>
            <w:vMerge/>
            <w:tcBorders>
              <w:top w:val="single" w:sz="12" w:space="0" w:color="000000"/>
            </w:tcBorders>
            <w:vAlign w:val="center"/>
          </w:tcPr>
          <w:p w14:paraId="04600263" w14:textId="77777777" w:rsidR="009D12AF" w:rsidRDefault="009D12AF">
            <w:pPr>
              <w:pStyle w:val="afc"/>
              <w:spacing w:line="360" w:lineRule="exact"/>
              <w:ind w:firstLineChars="0" w:firstLine="0"/>
              <w:rPr>
                <w:rFonts w:ascii="Times New Roman" w:hAnsi="Times New Roman"/>
                <w:sz w:val="21"/>
                <w:szCs w:val="21"/>
              </w:rPr>
            </w:pPr>
          </w:p>
        </w:tc>
        <w:tc>
          <w:tcPr>
            <w:tcW w:w="1128" w:type="dxa"/>
            <w:tcBorders>
              <w:top w:val="single" w:sz="4" w:space="0" w:color="auto"/>
            </w:tcBorders>
            <w:vAlign w:val="center"/>
          </w:tcPr>
          <w:p w14:paraId="72483CEB" w14:textId="77777777" w:rsidR="009D12AF" w:rsidRDefault="00000000">
            <w:pPr>
              <w:pStyle w:val="afc"/>
              <w:spacing w:line="360" w:lineRule="exact"/>
              <w:ind w:firstLineChars="0" w:firstLine="0"/>
              <w:rPr>
                <w:rFonts w:hint="eastAsia"/>
                <w:sz w:val="21"/>
              </w:rPr>
            </w:pPr>
            <w:r>
              <w:rPr>
                <w:rFonts w:ascii="Times New Roman" w:hAnsi="Times New Roman"/>
                <w:sz w:val="21"/>
                <w:szCs w:val="21"/>
              </w:rPr>
              <w:t>昼间</w:t>
            </w:r>
          </w:p>
        </w:tc>
        <w:tc>
          <w:tcPr>
            <w:tcW w:w="999" w:type="dxa"/>
            <w:tcBorders>
              <w:top w:val="single" w:sz="4" w:space="0" w:color="auto"/>
            </w:tcBorders>
            <w:vAlign w:val="center"/>
          </w:tcPr>
          <w:p w14:paraId="585602F9"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sz w:val="21"/>
                <w:szCs w:val="21"/>
              </w:rPr>
              <w:t>夜间</w:t>
            </w:r>
          </w:p>
        </w:tc>
        <w:tc>
          <w:tcPr>
            <w:tcW w:w="386" w:type="pct"/>
            <w:tcBorders>
              <w:top w:val="single" w:sz="4" w:space="0" w:color="auto"/>
            </w:tcBorders>
            <w:vAlign w:val="center"/>
          </w:tcPr>
          <w:p w14:paraId="76BCF12E"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sz w:val="21"/>
                <w:szCs w:val="21"/>
              </w:rPr>
              <w:t>昼间</w:t>
            </w:r>
          </w:p>
        </w:tc>
        <w:tc>
          <w:tcPr>
            <w:tcW w:w="454" w:type="pct"/>
            <w:tcBorders>
              <w:top w:val="single" w:sz="4" w:space="0" w:color="auto"/>
            </w:tcBorders>
            <w:vAlign w:val="center"/>
          </w:tcPr>
          <w:p w14:paraId="497D7309"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sz w:val="21"/>
                <w:szCs w:val="21"/>
              </w:rPr>
              <w:t>夜间</w:t>
            </w:r>
          </w:p>
        </w:tc>
        <w:tc>
          <w:tcPr>
            <w:tcW w:w="418" w:type="pct"/>
            <w:tcBorders>
              <w:top w:val="single" w:sz="4" w:space="0" w:color="auto"/>
            </w:tcBorders>
            <w:vAlign w:val="center"/>
          </w:tcPr>
          <w:p w14:paraId="6CB30DE3"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sz w:val="21"/>
                <w:szCs w:val="21"/>
              </w:rPr>
              <w:t>昼间</w:t>
            </w:r>
          </w:p>
        </w:tc>
        <w:tc>
          <w:tcPr>
            <w:tcW w:w="520" w:type="pct"/>
            <w:tcBorders>
              <w:top w:val="single" w:sz="4" w:space="0" w:color="auto"/>
            </w:tcBorders>
            <w:vAlign w:val="center"/>
          </w:tcPr>
          <w:p w14:paraId="2C28B3B4"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sz w:val="21"/>
                <w:szCs w:val="21"/>
              </w:rPr>
              <w:t>夜间</w:t>
            </w:r>
          </w:p>
        </w:tc>
        <w:tc>
          <w:tcPr>
            <w:tcW w:w="517" w:type="pct"/>
            <w:vMerge/>
            <w:tcBorders>
              <w:top w:val="single" w:sz="4" w:space="0" w:color="auto"/>
            </w:tcBorders>
            <w:vAlign w:val="center"/>
          </w:tcPr>
          <w:p w14:paraId="3082CC25" w14:textId="77777777" w:rsidR="009D12AF" w:rsidRDefault="009D12AF">
            <w:pPr>
              <w:pStyle w:val="afc"/>
              <w:spacing w:line="360" w:lineRule="exact"/>
              <w:ind w:firstLineChars="0" w:firstLine="0"/>
              <w:rPr>
                <w:rFonts w:ascii="Times New Roman" w:hAnsi="Times New Roman"/>
                <w:sz w:val="21"/>
                <w:szCs w:val="21"/>
              </w:rPr>
            </w:pPr>
          </w:p>
        </w:tc>
        <w:tc>
          <w:tcPr>
            <w:tcW w:w="450" w:type="pct"/>
            <w:tcBorders>
              <w:top w:val="single" w:sz="4" w:space="0" w:color="auto"/>
            </w:tcBorders>
            <w:vAlign w:val="center"/>
          </w:tcPr>
          <w:p w14:paraId="24DE736C"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sz w:val="21"/>
                <w:szCs w:val="21"/>
              </w:rPr>
              <w:t>昼间</w:t>
            </w:r>
          </w:p>
        </w:tc>
      </w:tr>
      <w:tr w:rsidR="009D12AF" w14:paraId="150B8983" w14:textId="77777777">
        <w:trPr>
          <w:trHeight w:val="394"/>
          <w:jc w:val="center"/>
        </w:trPr>
        <w:tc>
          <w:tcPr>
            <w:tcW w:w="516" w:type="pct"/>
            <w:vAlign w:val="center"/>
          </w:tcPr>
          <w:p w14:paraId="39CFB0A2" w14:textId="77777777" w:rsidR="009D12AF" w:rsidRDefault="00000000">
            <w:pPr>
              <w:autoSpaceDE w:val="0"/>
              <w:spacing w:line="400" w:lineRule="exact"/>
              <w:ind w:firstLineChars="0" w:firstLine="0"/>
              <w:jc w:val="center"/>
              <w:rPr>
                <w:sz w:val="21"/>
                <w:szCs w:val="21"/>
              </w:rPr>
            </w:pPr>
            <w:r>
              <w:rPr>
                <w:rFonts w:ascii="Times New Roman" w:hAnsi="Times New Roman" w:cs="Times New Roman"/>
                <w:sz w:val="21"/>
                <w:szCs w:val="21"/>
              </w:rPr>
              <w:t>群力水库南侧群力村</w:t>
            </w:r>
          </w:p>
        </w:tc>
        <w:tc>
          <w:tcPr>
            <w:tcW w:w="486" w:type="pct"/>
            <w:vMerge w:val="restart"/>
            <w:vAlign w:val="center"/>
          </w:tcPr>
          <w:p w14:paraId="6FB80C7E" w14:textId="77777777" w:rsidR="009D12AF" w:rsidRDefault="00000000">
            <w:pPr>
              <w:spacing w:line="240" w:lineRule="auto"/>
              <w:ind w:firstLineChars="0" w:firstLine="0"/>
              <w:rPr>
                <w:sz w:val="21"/>
              </w:rPr>
            </w:pPr>
            <w:r>
              <w:rPr>
                <w:sz w:val="21"/>
              </w:rPr>
              <w:t>施工生产区</w:t>
            </w:r>
          </w:p>
        </w:tc>
        <w:tc>
          <w:tcPr>
            <w:tcW w:w="662" w:type="pct"/>
            <w:vAlign w:val="center"/>
          </w:tcPr>
          <w:p w14:paraId="02C42F38"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hint="eastAsia"/>
                <w:sz w:val="21"/>
                <w:szCs w:val="21"/>
              </w:rPr>
              <w:t>58.73</w:t>
            </w:r>
          </w:p>
        </w:tc>
        <w:tc>
          <w:tcPr>
            <w:tcW w:w="586" w:type="pct"/>
            <w:vAlign w:val="center"/>
          </w:tcPr>
          <w:p w14:paraId="3B542B1F" w14:textId="77777777" w:rsidR="009D12AF" w:rsidRDefault="00000000">
            <w:pPr>
              <w:pStyle w:val="Default"/>
              <w:rPr>
                <w:rFonts w:ascii="Times New Roman" w:cs="Times New Roman"/>
                <w:sz w:val="21"/>
                <w:szCs w:val="21"/>
              </w:rPr>
            </w:pPr>
            <w:r>
              <w:rPr>
                <w:rFonts w:ascii="Times New Roman" w:cs="Times New Roman" w:hint="eastAsia"/>
                <w:sz w:val="21"/>
                <w:szCs w:val="21"/>
              </w:rPr>
              <w:t>58.23</w:t>
            </w:r>
          </w:p>
        </w:tc>
        <w:tc>
          <w:tcPr>
            <w:tcW w:w="386" w:type="pct"/>
            <w:vAlign w:val="center"/>
          </w:tcPr>
          <w:p w14:paraId="27070B73" w14:textId="77777777" w:rsidR="009D12AF" w:rsidRDefault="00000000">
            <w:pPr>
              <w:pStyle w:val="Default"/>
              <w:rPr>
                <w:sz w:val="21"/>
                <w:szCs w:val="21"/>
              </w:rPr>
            </w:pPr>
            <w:r>
              <w:rPr>
                <w:rFonts w:ascii="Times New Roman" w:cs="Times New Roman" w:hint="eastAsia"/>
                <w:sz w:val="21"/>
                <w:szCs w:val="21"/>
              </w:rPr>
              <w:t>50</w:t>
            </w:r>
          </w:p>
        </w:tc>
        <w:tc>
          <w:tcPr>
            <w:tcW w:w="454" w:type="pct"/>
            <w:vAlign w:val="center"/>
          </w:tcPr>
          <w:p w14:paraId="544EF452" w14:textId="77777777" w:rsidR="009D12AF" w:rsidRDefault="00000000">
            <w:pPr>
              <w:pStyle w:val="Default"/>
              <w:rPr>
                <w:rFonts w:ascii="Times New Roman" w:hAnsi="Times New Roman"/>
                <w:sz w:val="21"/>
                <w:szCs w:val="21"/>
              </w:rPr>
            </w:pPr>
            <w:r>
              <w:rPr>
                <w:rFonts w:ascii="Times New Roman" w:cs="Times New Roman" w:hint="eastAsia"/>
                <w:color w:val="auto"/>
                <w:sz w:val="21"/>
                <w:szCs w:val="21"/>
              </w:rPr>
              <w:t>43</w:t>
            </w:r>
          </w:p>
        </w:tc>
        <w:tc>
          <w:tcPr>
            <w:tcW w:w="418" w:type="pct"/>
            <w:vAlign w:val="center"/>
          </w:tcPr>
          <w:p w14:paraId="73FFDACF"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hint="eastAsia"/>
                <w:sz w:val="21"/>
                <w:szCs w:val="21"/>
              </w:rPr>
              <w:t>58.1</w:t>
            </w:r>
          </w:p>
        </w:tc>
        <w:tc>
          <w:tcPr>
            <w:tcW w:w="520" w:type="pct"/>
            <w:vAlign w:val="center"/>
          </w:tcPr>
          <w:p w14:paraId="397A1C0E"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hint="eastAsia"/>
                <w:sz w:val="21"/>
                <w:szCs w:val="21"/>
              </w:rPr>
              <w:t>58.1</w:t>
            </w:r>
          </w:p>
        </w:tc>
        <w:tc>
          <w:tcPr>
            <w:tcW w:w="517" w:type="pct"/>
            <w:vMerge w:val="restart"/>
            <w:vAlign w:val="center"/>
          </w:tcPr>
          <w:p w14:paraId="1C930B72"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sz w:val="21"/>
                <w:szCs w:val="21"/>
              </w:rPr>
              <w:t>昼</w:t>
            </w:r>
            <w:r>
              <w:rPr>
                <w:rFonts w:ascii="Times New Roman" w:hAnsi="Times New Roman" w:hint="eastAsia"/>
                <w:sz w:val="21"/>
                <w:szCs w:val="21"/>
              </w:rPr>
              <w:t>55</w:t>
            </w:r>
          </w:p>
          <w:p w14:paraId="502ADD65"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sz w:val="21"/>
                <w:szCs w:val="21"/>
              </w:rPr>
              <w:t>夜</w:t>
            </w:r>
            <w:r>
              <w:rPr>
                <w:rFonts w:ascii="Times New Roman" w:hAnsi="Times New Roman" w:hint="eastAsia"/>
                <w:sz w:val="21"/>
                <w:szCs w:val="21"/>
              </w:rPr>
              <w:t>45</w:t>
            </w:r>
          </w:p>
        </w:tc>
        <w:tc>
          <w:tcPr>
            <w:tcW w:w="450" w:type="pct"/>
            <w:vAlign w:val="center"/>
          </w:tcPr>
          <w:p w14:paraId="177C4263"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hint="eastAsia"/>
                <w:sz w:val="21"/>
                <w:szCs w:val="21"/>
              </w:rPr>
              <w:t>不</w:t>
            </w:r>
            <w:r>
              <w:rPr>
                <w:rFonts w:ascii="Times New Roman" w:hAnsi="Times New Roman"/>
                <w:sz w:val="21"/>
                <w:szCs w:val="21"/>
              </w:rPr>
              <w:t>达标</w:t>
            </w:r>
          </w:p>
        </w:tc>
      </w:tr>
      <w:tr w:rsidR="009D12AF" w14:paraId="203F6C4A" w14:textId="77777777">
        <w:trPr>
          <w:trHeight w:val="394"/>
          <w:jc w:val="center"/>
        </w:trPr>
        <w:tc>
          <w:tcPr>
            <w:tcW w:w="516" w:type="pct"/>
            <w:vAlign w:val="center"/>
          </w:tcPr>
          <w:p w14:paraId="76A72D3F" w14:textId="77777777" w:rsidR="009D12AF" w:rsidRDefault="00000000">
            <w:pPr>
              <w:autoSpaceDE w:val="0"/>
              <w:spacing w:line="400" w:lineRule="exact"/>
              <w:ind w:firstLineChars="0" w:firstLine="0"/>
              <w:jc w:val="center"/>
              <w:rPr>
                <w:sz w:val="21"/>
                <w:szCs w:val="21"/>
              </w:rPr>
            </w:pPr>
            <w:r>
              <w:rPr>
                <w:rFonts w:ascii="Times New Roman" w:hAnsi="Times New Roman" w:cs="Times New Roman"/>
                <w:bCs/>
                <w:kern w:val="0"/>
                <w:sz w:val="21"/>
                <w:szCs w:val="21"/>
              </w:rPr>
              <w:t>新安晒水池西侧山咀子村村民</w:t>
            </w:r>
          </w:p>
        </w:tc>
        <w:tc>
          <w:tcPr>
            <w:tcW w:w="486" w:type="pct"/>
            <w:vMerge/>
            <w:vAlign w:val="center"/>
          </w:tcPr>
          <w:p w14:paraId="067FAEBE" w14:textId="77777777" w:rsidR="009D12AF" w:rsidRDefault="009D12AF">
            <w:pPr>
              <w:spacing w:line="240" w:lineRule="auto"/>
              <w:jc w:val="center"/>
              <w:rPr>
                <w:sz w:val="21"/>
              </w:rPr>
            </w:pPr>
          </w:p>
        </w:tc>
        <w:tc>
          <w:tcPr>
            <w:tcW w:w="662" w:type="pct"/>
            <w:vAlign w:val="center"/>
          </w:tcPr>
          <w:p w14:paraId="6B5F7561"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hint="eastAsia"/>
                <w:sz w:val="21"/>
                <w:szCs w:val="21"/>
              </w:rPr>
              <w:t>55.13</w:t>
            </w:r>
          </w:p>
        </w:tc>
        <w:tc>
          <w:tcPr>
            <w:tcW w:w="586" w:type="pct"/>
            <w:vAlign w:val="center"/>
          </w:tcPr>
          <w:p w14:paraId="4826F995" w14:textId="77777777" w:rsidR="009D12AF" w:rsidRDefault="00000000">
            <w:pPr>
              <w:pStyle w:val="Default"/>
              <w:rPr>
                <w:rFonts w:ascii="Times New Roman" w:cs="Times New Roman"/>
                <w:sz w:val="21"/>
                <w:szCs w:val="21"/>
              </w:rPr>
            </w:pPr>
            <w:r>
              <w:rPr>
                <w:rFonts w:ascii="Times New Roman" w:cs="Times New Roman" w:hint="eastAsia"/>
                <w:sz w:val="21"/>
                <w:szCs w:val="21"/>
              </w:rPr>
              <w:t>54.59</w:t>
            </w:r>
          </w:p>
        </w:tc>
        <w:tc>
          <w:tcPr>
            <w:tcW w:w="386" w:type="pct"/>
            <w:vAlign w:val="center"/>
          </w:tcPr>
          <w:p w14:paraId="1A419FF9" w14:textId="77777777" w:rsidR="009D12AF" w:rsidRDefault="00000000">
            <w:pPr>
              <w:pStyle w:val="Default"/>
              <w:rPr>
                <w:sz w:val="21"/>
                <w:szCs w:val="21"/>
              </w:rPr>
            </w:pPr>
            <w:r>
              <w:rPr>
                <w:rFonts w:ascii="Times New Roman" w:cs="Times New Roman" w:hint="eastAsia"/>
                <w:sz w:val="21"/>
                <w:szCs w:val="21"/>
              </w:rPr>
              <w:t>48</w:t>
            </w:r>
          </w:p>
        </w:tc>
        <w:tc>
          <w:tcPr>
            <w:tcW w:w="454" w:type="pct"/>
            <w:vAlign w:val="center"/>
          </w:tcPr>
          <w:p w14:paraId="62A2DAF0" w14:textId="77777777" w:rsidR="009D12AF" w:rsidRDefault="00000000">
            <w:pPr>
              <w:pStyle w:val="Default"/>
              <w:rPr>
                <w:rFonts w:ascii="Times New Roman" w:hAnsi="Times New Roman"/>
                <w:sz w:val="21"/>
                <w:szCs w:val="21"/>
              </w:rPr>
            </w:pPr>
            <w:r>
              <w:rPr>
                <w:rFonts w:ascii="Times New Roman" w:cs="Times New Roman" w:hint="eastAsia"/>
                <w:sz w:val="21"/>
                <w:szCs w:val="21"/>
              </w:rPr>
              <w:t>44</w:t>
            </w:r>
          </w:p>
        </w:tc>
        <w:tc>
          <w:tcPr>
            <w:tcW w:w="418" w:type="pct"/>
            <w:vAlign w:val="center"/>
          </w:tcPr>
          <w:p w14:paraId="1CB60DF8"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hint="eastAsia"/>
                <w:sz w:val="21"/>
                <w:szCs w:val="21"/>
              </w:rPr>
              <w:t>54.2</w:t>
            </w:r>
          </w:p>
        </w:tc>
        <w:tc>
          <w:tcPr>
            <w:tcW w:w="520" w:type="pct"/>
            <w:vAlign w:val="center"/>
          </w:tcPr>
          <w:p w14:paraId="0F42A256"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hint="eastAsia"/>
                <w:sz w:val="21"/>
                <w:szCs w:val="21"/>
              </w:rPr>
              <w:t>54.2</w:t>
            </w:r>
          </w:p>
        </w:tc>
        <w:tc>
          <w:tcPr>
            <w:tcW w:w="517" w:type="pct"/>
            <w:vMerge/>
            <w:vAlign w:val="center"/>
          </w:tcPr>
          <w:p w14:paraId="0A5A7C69" w14:textId="77777777" w:rsidR="009D12AF" w:rsidRDefault="009D12AF">
            <w:pPr>
              <w:pStyle w:val="afc"/>
              <w:spacing w:line="360" w:lineRule="exact"/>
              <w:ind w:firstLineChars="0" w:firstLine="0"/>
              <w:rPr>
                <w:rFonts w:ascii="Times New Roman" w:hAnsi="Times New Roman"/>
                <w:sz w:val="21"/>
                <w:szCs w:val="21"/>
              </w:rPr>
            </w:pPr>
          </w:p>
        </w:tc>
        <w:tc>
          <w:tcPr>
            <w:tcW w:w="450" w:type="pct"/>
            <w:vAlign w:val="center"/>
          </w:tcPr>
          <w:p w14:paraId="4C638057"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hint="eastAsia"/>
                <w:sz w:val="21"/>
                <w:szCs w:val="21"/>
              </w:rPr>
              <w:t>不达标</w:t>
            </w:r>
          </w:p>
        </w:tc>
      </w:tr>
      <w:tr w:rsidR="009D12AF" w14:paraId="46338444" w14:textId="77777777">
        <w:trPr>
          <w:trHeight w:val="394"/>
          <w:jc w:val="center"/>
        </w:trPr>
        <w:tc>
          <w:tcPr>
            <w:tcW w:w="516" w:type="pct"/>
            <w:vAlign w:val="center"/>
          </w:tcPr>
          <w:p w14:paraId="3C2A0ED3" w14:textId="77777777" w:rsidR="009D12AF" w:rsidRDefault="00000000">
            <w:pPr>
              <w:autoSpaceDE w:val="0"/>
              <w:spacing w:line="400" w:lineRule="exact"/>
              <w:ind w:firstLineChars="0" w:firstLine="0"/>
              <w:jc w:val="center"/>
              <w:rPr>
                <w:sz w:val="21"/>
                <w:szCs w:val="21"/>
              </w:rPr>
            </w:pPr>
            <w:r>
              <w:rPr>
                <w:rFonts w:ascii="Times New Roman" w:hAnsi="Times New Roman" w:cs="Times New Roman"/>
                <w:bCs/>
                <w:kern w:val="0"/>
                <w:sz w:val="21"/>
                <w:szCs w:val="21"/>
              </w:rPr>
              <w:t>新安晒水池西北侧山咀子村村民</w:t>
            </w:r>
          </w:p>
        </w:tc>
        <w:tc>
          <w:tcPr>
            <w:tcW w:w="486" w:type="pct"/>
            <w:vMerge/>
            <w:vAlign w:val="center"/>
          </w:tcPr>
          <w:p w14:paraId="34879A7B" w14:textId="77777777" w:rsidR="009D12AF" w:rsidRDefault="009D12AF">
            <w:pPr>
              <w:spacing w:line="240" w:lineRule="auto"/>
              <w:jc w:val="center"/>
              <w:rPr>
                <w:sz w:val="21"/>
              </w:rPr>
            </w:pPr>
          </w:p>
        </w:tc>
        <w:tc>
          <w:tcPr>
            <w:tcW w:w="662" w:type="pct"/>
            <w:vAlign w:val="center"/>
          </w:tcPr>
          <w:p w14:paraId="513E34C1"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hint="eastAsia"/>
                <w:sz w:val="21"/>
                <w:szCs w:val="21"/>
              </w:rPr>
              <w:t>54.67</w:t>
            </w:r>
          </w:p>
        </w:tc>
        <w:tc>
          <w:tcPr>
            <w:tcW w:w="586" w:type="pct"/>
            <w:vAlign w:val="center"/>
          </w:tcPr>
          <w:p w14:paraId="5A7AA24F" w14:textId="77777777" w:rsidR="009D12AF" w:rsidRDefault="00000000">
            <w:pPr>
              <w:ind w:firstLineChars="0" w:firstLine="0"/>
              <w:jc w:val="center"/>
              <w:rPr>
                <w:rFonts w:ascii="Times New Roman" w:hAnsi="Times New Roman" w:cs="Times New Roman"/>
                <w:color w:val="000000"/>
                <w:kern w:val="0"/>
                <w:sz w:val="21"/>
                <w:szCs w:val="21"/>
              </w:rPr>
            </w:pPr>
            <w:r>
              <w:rPr>
                <w:rFonts w:ascii="Times New Roman" w:hAnsi="Times New Roman" w:cs="Times New Roman" w:hint="eastAsia"/>
                <w:color w:val="000000"/>
                <w:kern w:val="0"/>
                <w:sz w:val="21"/>
                <w:szCs w:val="21"/>
              </w:rPr>
              <w:t>54.28</w:t>
            </w:r>
          </w:p>
        </w:tc>
        <w:tc>
          <w:tcPr>
            <w:tcW w:w="386" w:type="pct"/>
            <w:vAlign w:val="center"/>
          </w:tcPr>
          <w:p w14:paraId="2DB19481" w14:textId="77777777" w:rsidR="009D12AF" w:rsidRDefault="00000000">
            <w:pPr>
              <w:ind w:firstLineChars="0" w:firstLine="0"/>
              <w:jc w:val="center"/>
              <w:rPr>
                <w:sz w:val="21"/>
                <w:szCs w:val="21"/>
              </w:rPr>
            </w:pPr>
            <w:r>
              <w:rPr>
                <w:rFonts w:ascii="Times New Roman" w:hAnsi="Times New Roman" w:cs="Times New Roman" w:hint="eastAsia"/>
                <w:color w:val="000000"/>
                <w:kern w:val="0"/>
                <w:sz w:val="21"/>
                <w:szCs w:val="21"/>
              </w:rPr>
              <w:t>47</w:t>
            </w:r>
          </w:p>
        </w:tc>
        <w:tc>
          <w:tcPr>
            <w:tcW w:w="454" w:type="pct"/>
            <w:vAlign w:val="center"/>
          </w:tcPr>
          <w:p w14:paraId="109AF09C" w14:textId="77777777" w:rsidR="009D12AF" w:rsidRDefault="00000000">
            <w:pPr>
              <w:ind w:firstLineChars="0" w:firstLine="0"/>
              <w:jc w:val="center"/>
              <w:rPr>
                <w:rFonts w:ascii="Times New Roman" w:hAnsi="Times New Roman"/>
                <w:sz w:val="21"/>
                <w:szCs w:val="21"/>
              </w:rPr>
            </w:pPr>
            <w:r>
              <w:rPr>
                <w:rFonts w:ascii="Times New Roman" w:hAnsi="Times New Roman" w:cs="Times New Roman" w:hint="eastAsia"/>
                <w:color w:val="000000"/>
                <w:kern w:val="0"/>
                <w:sz w:val="21"/>
                <w:szCs w:val="21"/>
              </w:rPr>
              <w:t>44</w:t>
            </w:r>
          </w:p>
        </w:tc>
        <w:tc>
          <w:tcPr>
            <w:tcW w:w="418" w:type="pct"/>
            <w:vAlign w:val="center"/>
          </w:tcPr>
          <w:p w14:paraId="230D38B0"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hint="eastAsia"/>
                <w:sz w:val="21"/>
                <w:szCs w:val="21"/>
              </w:rPr>
              <w:t>53.85</w:t>
            </w:r>
          </w:p>
        </w:tc>
        <w:tc>
          <w:tcPr>
            <w:tcW w:w="520" w:type="pct"/>
            <w:vAlign w:val="center"/>
          </w:tcPr>
          <w:p w14:paraId="4D446B43"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hint="eastAsia"/>
                <w:sz w:val="21"/>
                <w:szCs w:val="21"/>
              </w:rPr>
              <w:t>53.85</w:t>
            </w:r>
          </w:p>
        </w:tc>
        <w:tc>
          <w:tcPr>
            <w:tcW w:w="517" w:type="pct"/>
            <w:vMerge/>
            <w:vAlign w:val="center"/>
          </w:tcPr>
          <w:p w14:paraId="54D3D370" w14:textId="77777777" w:rsidR="009D12AF" w:rsidRDefault="009D12AF">
            <w:pPr>
              <w:pStyle w:val="afc"/>
              <w:spacing w:line="360" w:lineRule="exact"/>
              <w:ind w:firstLineChars="0" w:firstLine="0"/>
              <w:rPr>
                <w:rFonts w:ascii="Times New Roman" w:hAnsi="Times New Roman"/>
                <w:sz w:val="21"/>
                <w:szCs w:val="21"/>
              </w:rPr>
            </w:pPr>
          </w:p>
        </w:tc>
        <w:tc>
          <w:tcPr>
            <w:tcW w:w="450" w:type="pct"/>
            <w:vAlign w:val="center"/>
          </w:tcPr>
          <w:p w14:paraId="5D635151" w14:textId="77777777" w:rsidR="009D12AF" w:rsidRDefault="00000000">
            <w:pPr>
              <w:pStyle w:val="afc"/>
              <w:spacing w:line="360" w:lineRule="exact"/>
              <w:ind w:firstLineChars="0" w:firstLine="0"/>
              <w:rPr>
                <w:rFonts w:ascii="Times New Roman" w:hAnsi="Times New Roman"/>
                <w:sz w:val="21"/>
                <w:szCs w:val="21"/>
              </w:rPr>
            </w:pPr>
            <w:r>
              <w:rPr>
                <w:rFonts w:ascii="Times New Roman" w:hAnsi="Times New Roman" w:hint="eastAsia"/>
                <w:sz w:val="21"/>
                <w:szCs w:val="21"/>
              </w:rPr>
              <w:t>不达标</w:t>
            </w:r>
          </w:p>
        </w:tc>
      </w:tr>
    </w:tbl>
    <w:p w14:paraId="4165F780" w14:textId="77777777" w:rsidR="009D12AF" w:rsidRDefault="00000000">
      <w:pPr>
        <w:widowControl/>
        <w:jc w:val="left"/>
      </w:pPr>
      <w:r>
        <w:rPr>
          <w:rFonts w:ascii="宋体" w:eastAsia="宋体" w:hAnsi="宋体" w:cs="宋体" w:hint="eastAsia"/>
          <w:color w:val="000000"/>
          <w:kern w:val="0"/>
          <w:sz w:val="21"/>
          <w:szCs w:val="21"/>
          <w:lang w:bidi="ar"/>
        </w:rPr>
        <w:t>注</w:t>
      </w:r>
      <w:r>
        <w:rPr>
          <w:rFonts w:hint="eastAsia"/>
        </w:rPr>
        <w:t>：</w:t>
      </w:r>
      <w:r>
        <w:rPr>
          <w:rFonts w:ascii="宋体" w:eastAsia="宋体" w:hAnsi="宋体" w:cs="宋体" w:hint="eastAsia"/>
          <w:color w:val="000000"/>
          <w:kern w:val="0"/>
          <w:sz w:val="21"/>
          <w:szCs w:val="21"/>
          <w:lang w:bidi="ar"/>
        </w:rPr>
        <w:t>①以噪声源移动至距离敏感点最近情形进行预测。</w:t>
      </w:r>
    </w:p>
    <w:p w14:paraId="7FD4B852" w14:textId="77777777" w:rsidR="009D12AF" w:rsidRDefault="00000000">
      <w:pPr>
        <w:ind w:firstLineChars="236" w:firstLine="566"/>
      </w:pPr>
      <w:r>
        <w:t>根据表</w:t>
      </w:r>
      <w:r>
        <w:t>5</w:t>
      </w:r>
      <w:r>
        <w:rPr>
          <w:rFonts w:hint="eastAsia"/>
        </w:rPr>
        <w:t>.</w:t>
      </w:r>
      <w:r>
        <w:t>1-</w:t>
      </w:r>
      <w:r>
        <w:rPr>
          <w:rFonts w:hint="eastAsia"/>
        </w:rPr>
        <w:t>5</w:t>
      </w:r>
      <w:r>
        <w:t>预测结果可知，在不采取任何措施情况下，多台设备联合作业时工程评价范围内敏感点昼间</w:t>
      </w:r>
      <w:r>
        <w:rPr>
          <w:rFonts w:hint="eastAsia"/>
        </w:rPr>
        <w:t>和夜间</w:t>
      </w:r>
      <w:r>
        <w:t>均</w:t>
      </w:r>
      <w:r>
        <w:rPr>
          <w:rFonts w:hint="eastAsia"/>
        </w:rPr>
        <w:t>未</w:t>
      </w:r>
      <w:r>
        <w:t>能达到《声环境质量标准</w:t>
      </w:r>
      <w:r>
        <w:rPr>
          <w:rFonts w:hint="eastAsia"/>
        </w:rPr>
        <w:t>》</w:t>
      </w:r>
      <w:r>
        <w:t>(GB3096-2008)</w:t>
      </w:r>
      <w:r>
        <w:t>中的</w:t>
      </w:r>
      <w:r>
        <w:rPr>
          <w:rFonts w:hint="eastAsia"/>
        </w:rPr>
        <w:t>1</w:t>
      </w:r>
      <w:r>
        <w:t>类标准，本项目夜间禁止施工，工程施工时通过选用低噪声机械设备或带噪声、消声设备、合理安排好施工时间与施工场所及合理布局等措施，同时避免多台设备同时施工等措施后，工程施工过程对敏感点影响较小。</w:t>
      </w:r>
      <w:r>
        <w:lastRenderedPageBreak/>
        <w:t>施工期间产生的噪声是临时的，对周边敏感点影响较小，随着施工结束即可恢复。</w:t>
      </w:r>
    </w:p>
    <w:p w14:paraId="1EB0254A" w14:textId="77777777" w:rsidR="009D12AF" w:rsidRDefault="00000000">
      <w:pPr>
        <w:ind w:firstLineChars="236" w:firstLine="566"/>
      </w:pPr>
      <w:r>
        <w:t>6</w:t>
      </w:r>
      <w:r>
        <w:t>、小结</w:t>
      </w:r>
    </w:p>
    <w:p w14:paraId="66935954" w14:textId="77777777" w:rsidR="009D12AF" w:rsidRDefault="00000000">
      <w:pPr>
        <w:ind w:firstLineChars="236" w:firstLine="566"/>
        <w:rPr>
          <w:rFonts w:ascii="Times New Roman" w:hAnsi="Times New Roman" w:cs="Times New Roman"/>
          <w:color w:val="FF0000"/>
          <w:highlight w:val="yellow"/>
        </w:rPr>
      </w:pPr>
      <w:r>
        <w:t>工程施工对声环境的影响主要来自施工机械，施工噪声对沿线敏感点具有一定的影响，河夹村的居民距离施工现场较近，夜间禁止施工后，昼间噪声值可以满足《声环境质量标准》</w:t>
      </w:r>
      <w:r>
        <w:t>GB3096-2008</w:t>
      </w:r>
      <w:r>
        <w:t>中的</w:t>
      </w:r>
      <w:r>
        <w:rPr>
          <w:rFonts w:hint="eastAsia"/>
        </w:rPr>
        <w:t>1</w:t>
      </w:r>
      <w:r>
        <w:t>类标准。本项目施工期为</w:t>
      </w:r>
      <w:r>
        <w:rPr>
          <w:rFonts w:hint="eastAsia"/>
        </w:rPr>
        <w:t>7</w:t>
      </w:r>
      <w:r>
        <w:t>年，因此该影响属于短期的、暂时的，施工结束后就会自然消失。</w:t>
      </w:r>
    </w:p>
    <w:p w14:paraId="3DD6D65D" w14:textId="77777777" w:rsidR="009D12AF" w:rsidRDefault="00000000">
      <w:pPr>
        <w:pStyle w:val="3"/>
      </w:pPr>
      <w:bookmarkStart w:id="355" w:name="_Toc8054"/>
      <w:bookmarkStart w:id="356" w:name="_Toc11343"/>
      <w:bookmarkStart w:id="357" w:name="_Toc19905"/>
      <w:bookmarkStart w:id="358" w:name="_Toc5633"/>
      <w:r>
        <w:rPr>
          <w:rFonts w:hint="eastAsia"/>
        </w:rPr>
        <w:t>5</w:t>
      </w:r>
      <w:r>
        <w:t>.1.</w:t>
      </w:r>
      <w:r>
        <w:rPr>
          <w:rFonts w:hint="eastAsia"/>
        </w:rPr>
        <w:t>5</w:t>
      </w:r>
      <w:r>
        <w:t xml:space="preserve"> </w:t>
      </w:r>
      <w:bookmarkEnd w:id="355"/>
      <w:bookmarkEnd w:id="356"/>
      <w:bookmarkEnd w:id="357"/>
      <w:r>
        <w:t>施工期</w:t>
      </w:r>
      <w:r>
        <w:rPr>
          <w:rFonts w:hint="eastAsia"/>
        </w:rPr>
        <w:t>固体废物</w:t>
      </w:r>
      <w:r>
        <w:t>环境影响</w:t>
      </w:r>
      <w:r>
        <w:rPr>
          <w:rFonts w:hint="eastAsia"/>
        </w:rPr>
        <w:t>预测与评价</w:t>
      </w:r>
      <w:bookmarkEnd w:id="358"/>
    </w:p>
    <w:p w14:paraId="75EA885F"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 xml:space="preserve">施工期间固体废物主要为施工人员生活垃圾、清淤淤泥、场地清理及土方开挖产生的废渣以及隔油浮渣。 </w:t>
      </w:r>
    </w:p>
    <w:p w14:paraId="417E9581" w14:textId="77777777" w:rsidR="009D12AF" w:rsidRDefault="00000000">
      <w:pPr>
        <w:widowControl/>
        <w:ind w:firstLine="480"/>
        <w:jc w:val="left"/>
        <w:rPr>
          <w:rFonts w:ascii="宋体" w:eastAsia="宋体" w:hAnsi="宋体" w:cs="宋体" w:hint="eastAsia"/>
          <w:color w:val="000000"/>
          <w:kern w:val="0"/>
          <w:lang w:bidi="ar"/>
        </w:rPr>
      </w:pPr>
      <w:r>
        <w:rPr>
          <w:rFonts w:ascii="Times New Roman" w:eastAsia="宋体" w:hAnsi="Times New Roman" w:cs="Times New Roman" w:hint="eastAsia"/>
        </w:rPr>
        <w:t>（</w:t>
      </w:r>
      <w:r>
        <w:rPr>
          <w:rFonts w:ascii="Times New Roman" w:eastAsia="宋体" w:hAnsi="Times New Roman" w:cs="Times New Roman"/>
        </w:rPr>
        <w:t>1</w:t>
      </w:r>
      <w:r>
        <w:rPr>
          <w:rFonts w:ascii="Times New Roman" w:eastAsia="宋体" w:hAnsi="Times New Roman" w:cs="Times New Roman" w:hint="eastAsia"/>
        </w:rPr>
        <w:t>）</w:t>
      </w:r>
      <w:r>
        <w:rPr>
          <w:rFonts w:ascii="宋体" w:eastAsia="宋体" w:hAnsi="宋体" w:cs="宋体" w:hint="eastAsia"/>
          <w:color w:val="000000"/>
          <w:kern w:val="0"/>
          <w:lang w:bidi="ar"/>
        </w:rPr>
        <w:t xml:space="preserve">生活垃圾 </w:t>
      </w:r>
    </w:p>
    <w:p w14:paraId="303A4C68"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 xml:space="preserve">本项目施工人员约为 </w:t>
      </w:r>
      <w:r>
        <w:rPr>
          <w:rFonts w:ascii="Times New Roman" w:eastAsia="宋体" w:hAnsi="Times New Roman" w:cs="Times New Roman" w:hint="eastAsia"/>
        </w:rPr>
        <w:t>10</w:t>
      </w:r>
      <w:r>
        <w:rPr>
          <w:rFonts w:ascii="宋体" w:eastAsia="宋体" w:hAnsi="宋体" w:cs="宋体"/>
          <w:color w:val="000000"/>
          <w:kern w:val="0"/>
          <w:lang w:bidi="ar"/>
        </w:rPr>
        <w:t xml:space="preserve"> </w:t>
      </w:r>
      <w:r>
        <w:rPr>
          <w:rFonts w:ascii="宋体" w:eastAsia="宋体" w:hAnsi="宋体" w:cs="宋体" w:hint="eastAsia"/>
          <w:color w:val="000000"/>
          <w:kern w:val="0"/>
          <w:lang w:bidi="ar"/>
        </w:rPr>
        <w:t xml:space="preserve">人，生活垃圾量按 </w:t>
      </w:r>
      <w:r>
        <w:rPr>
          <w:rFonts w:ascii="Times New Roman" w:eastAsia="宋体" w:hAnsi="Times New Roman" w:cs="Times New Roman"/>
        </w:rPr>
        <w:t>0.5kg/</w:t>
      </w:r>
      <w:r>
        <w:rPr>
          <w:rFonts w:ascii="宋体" w:eastAsia="宋体" w:hAnsi="宋体" w:cs="宋体" w:hint="eastAsia"/>
          <w:color w:val="000000"/>
          <w:kern w:val="0"/>
          <w:lang w:bidi="ar"/>
        </w:rPr>
        <w:t>人</w:t>
      </w:r>
      <w:r>
        <w:rPr>
          <w:rFonts w:ascii="宋体" w:eastAsia="宋体" w:hAnsi="宋体" w:cs="宋体"/>
          <w:color w:val="000000"/>
          <w:kern w:val="0"/>
          <w:lang w:bidi="ar"/>
        </w:rPr>
        <w:t xml:space="preserve">•d </w:t>
      </w:r>
      <w:r>
        <w:rPr>
          <w:rFonts w:ascii="宋体" w:eastAsia="宋体" w:hAnsi="宋体" w:cs="宋体" w:hint="eastAsia"/>
          <w:color w:val="000000"/>
          <w:kern w:val="0"/>
          <w:lang w:bidi="ar"/>
        </w:rPr>
        <w:t>计算，则施工人员生活垃圾产生量为</w:t>
      </w:r>
      <w:r>
        <w:rPr>
          <w:rFonts w:ascii="Times New Roman" w:eastAsia="宋体" w:hAnsi="Times New Roman" w:cs="Times New Roman" w:hint="eastAsia"/>
        </w:rPr>
        <w:t>5</w:t>
      </w:r>
      <w:r>
        <w:rPr>
          <w:rFonts w:ascii="Times New Roman" w:eastAsia="宋体" w:hAnsi="Times New Roman" w:cs="Times New Roman"/>
        </w:rPr>
        <w:t>kg/d</w:t>
      </w:r>
      <w:r>
        <w:rPr>
          <w:rFonts w:ascii="宋体" w:eastAsia="宋体" w:hAnsi="宋体" w:cs="宋体" w:hint="eastAsia"/>
          <w:color w:val="000000"/>
          <w:kern w:val="0"/>
          <w:lang w:bidi="ar"/>
        </w:rPr>
        <w:t>；计划施工期（</w:t>
      </w:r>
      <w:r>
        <w:rPr>
          <w:rFonts w:ascii="Times New Roman" w:eastAsia="宋体" w:hAnsi="Times New Roman" w:cs="Times New Roman" w:hint="eastAsia"/>
        </w:rPr>
        <w:t>63</w:t>
      </w:r>
      <w:r>
        <w:rPr>
          <w:rFonts w:ascii="宋体" w:eastAsia="宋体" w:hAnsi="宋体" w:cs="宋体" w:hint="eastAsia"/>
          <w:color w:val="000000"/>
          <w:kern w:val="0"/>
          <w:lang w:bidi="ar"/>
        </w:rPr>
        <w:t>个月），因此本项目施工人员生活垃圾产生量为</w:t>
      </w:r>
      <w:r>
        <w:rPr>
          <w:rFonts w:ascii="Times New Roman" w:eastAsia="宋体" w:hAnsi="Times New Roman" w:cs="Times New Roman" w:hint="eastAsia"/>
        </w:rPr>
        <w:t>9.45</w:t>
      </w:r>
      <w:r>
        <w:rPr>
          <w:rFonts w:ascii="Times New Roman" w:eastAsia="宋体" w:hAnsi="Times New Roman" w:cs="Times New Roman"/>
        </w:rPr>
        <w:t>t</w:t>
      </w:r>
      <w:r>
        <w:rPr>
          <w:rFonts w:ascii="Times New Roman" w:eastAsia="宋体" w:hAnsi="Times New Roman" w:cs="Times New Roman" w:hint="eastAsia"/>
        </w:rPr>
        <w:t>/</w:t>
      </w:r>
      <w:r>
        <w:rPr>
          <w:rFonts w:ascii="Times New Roman" w:eastAsia="宋体" w:hAnsi="Times New Roman" w:cs="Times New Roman" w:hint="eastAsia"/>
        </w:rPr>
        <w:t>总工期</w:t>
      </w:r>
      <w:r>
        <w:rPr>
          <w:rFonts w:ascii="宋体" w:eastAsia="宋体" w:hAnsi="宋体" w:cs="宋体" w:hint="eastAsia"/>
          <w:color w:val="000000"/>
          <w:kern w:val="0"/>
          <w:lang w:bidi="ar"/>
        </w:rPr>
        <w:t>。</w:t>
      </w:r>
    </w:p>
    <w:p w14:paraId="479203C1" w14:textId="77777777" w:rsidR="009D12AF" w:rsidRDefault="00000000">
      <w:pPr>
        <w:widowControl/>
        <w:ind w:firstLine="480"/>
        <w:jc w:val="left"/>
      </w:pPr>
      <w:r>
        <w:rPr>
          <w:rFonts w:ascii="宋体" w:eastAsia="宋体" w:hAnsi="宋体" w:cs="宋体" w:hint="eastAsia"/>
          <w:color w:val="000000"/>
          <w:kern w:val="0"/>
          <w:lang w:bidi="ar"/>
        </w:rPr>
        <w:t>本项目施工人员生活垃圾由环卫部门清运处理。</w:t>
      </w:r>
    </w:p>
    <w:p w14:paraId="47A6D203" w14:textId="77777777" w:rsidR="009D12AF" w:rsidRDefault="00000000">
      <w:pPr>
        <w:widowControl/>
        <w:ind w:firstLineChars="100" w:firstLine="240"/>
        <w:jc w:val="left"/>
        <w:rPr>
          <w:rFonts w:ascii="宋体" w:eastAsia="宋体" w:hAnsi="宋体" w:cs="宋体" w:hint="eastAsia"/>
          <w:color w:val="000000"/>
          <w:kern w:val="0"/>
          <w:lang w:bidi="ar"/>
        </w:rPr>
      </w:pPr>
      <w:r>
        <w:rPr>
          <w:rFonts w:ascii="Times New Roman" w:eastAsia="宋体" w:hAnsi="Times New Roman" w:cs="Times New Roman" w:hint="eastAsia"/>
        </w:rPr>
        <w:t>（</w:t>
      </w:r>
      <w:r>
        <w:rPr>
          <w:rFonts w:ascii="Times New Roman" w:eastAsia="宋体" w:hAnsi="Times New Roman" w:cs="Times New Roman" w:hint="eastAsia"/>
        </w:rPr>
        <w:t>2</w:t>
      </w:r>
      <w:r>
        <w:rPr>
          <w:rFonts w:ascii="Times New Roman" w:eastAsia="宋体" w:hAnsi="Times New Roman" w:cs="Times New Roman" w:hint="eastAsia"/>
        </w:rPr>
        <w:t>）</w:t>
      </w:r>
      <w:r>
        <w:rPr>
          <w:rFonts w:ascii="宋体" w:eastAsia="宋体" w:hAnsi="宋体" w:cs="宋体" w:hint="eastAsia"/>
          <w:color w:val="000000"/>
          <w:kern w:val="0"/>
          <w:lang w:bidi="ar"/>
        </w:rPr>
        <w:t>清淤底泥</w:t>
      </w:r>
    </w:p>
    <w:p w14:paraId="65D3A131"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本项目清淤底泥产生量约</w:t>
      </w:r>
      <w:r>
        <w:rPr>
          <w:rFonts w:ascii="Times New Roman" w:eastAsia="宋体" w:hAnsi="Times New Roman" w:cs="Times New Roman" w:hint="eastAsia"/>
        </w:rPr>
        <w:t>600</w:t>
      </w:r>
      <w:r>
        <w:rPr>
          <w:rFonts w:ascii="Times New Roman" w:eastAsia="宋体" w:hAnsi="Times New Roman" w:cs="Times New Roman" w:hint="eastAsia"/>
        </w:rPr>
        <w:t>万</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hint="eastAsia"/>
        </w:rPr>
        <w:t>，</w:t>
      </w:r>
      <w:r>
        <w:rPr>
          <w:rFonts w:ascii="宋体" w:eastAsia="宋体" w:hAnsi="宋体" w:cs="宋体" w:hint="eastAsia"/>
          <w:color w:val="000000"/>
          <w:kern w:val="0"/>
          <w:lang w:bidi="ar"/>
        </w:rPr>
        <w:t>本工程清淤底泥在施工区采用压滤脱水方式固化，经固化后的干泥含水率由</w:t>
      </w:r>
      <w:r>
        <w:rPr>
          <w:rFonts w:ascii="Times New Roman" w:eastAsia="宋体" w:hAnsi="Times New Roman" w:cs="Times New Roman" w:hint="eastAsia"/>
        </w:rPr>
        <w:t>9</w:t>
      </w:r>
      <w:r>
        <w:rPr>
          <w:rFonts w:ascii="Times New Roman" w:eastAsia="宋体" w:hAnsi="Times New Roman" w:cs="Times New Roman"/>
        </w:rPr>
        <w:t>5%</w:t>
      </w:r>
      <w:r>
        <w:rPr>
          <w:rFonts w:ascii="宋体" w:eastAsia="宋体" w:hAnsi="宋体" w:cs="宋体" w:hint="eastAsia"/>
          <w:color w:val="000000"/>
          <w:kern w:val="0"/>
          <w:lang w:bidi="ar"/>
        </w:rPr>
        <w:t>降低控制在</w:t>
      </w:r>
      <w:r>
        <w:rPr>
          <w:rFonts w:ascii="Times New Roman" w:eastAsia="宋体" w:hAnsi="Times New Roman" w:cs="Times New Roman" w:hint="eastAsia"/>
        </w:rPr>
        <w:t>60</w:t>
      </w:r>
      <w:r>
        <w:rPr>
          <w:rFonts w:ascii="Times New Roman" w:eastAsia="宋体" w:hAnsi="Times New Roman" w:cs="Times New Roman"/>
        </w:rPr>
        <w:t>%</w:t>
      </w:r>
      <w:r>
        <w:rPr>
          <w:rFonts w:ascii="宋体" w:eastAsia="宋体" w:hAnsi="宋体" w:cs="宋体" w:hint="eastAsia"/>
          <w:color w:val="000000"/>
          <w:kern w:val="0"/>
          <w:lang w:bidi="ar"/>
        </w:rPr>
        <w:t>左右，脱水后干泥量为</w:t>
      </w:r>
      <w:r>
        <w:rPr>
          <w:rFonts w:ascii="Times New Roman" w:eastAsia="宋体" w:hAnsi="Times New Roman" w:cs="Times New Roman" w:hint="eastAsia"/>
        </w:rPr>
        <w:t>360</w:t>
      </w:r>
      <w:r>
        <w:rPr>
          <w:rFonts w:ascii="Times New Roman" w:eastAsia="宋体" w:hAnsi="Times New Roman" w:cs="Times New Roman"/>
        </w:rPr>
        <w:t>m</w:t>
      </w:r>
      <w:r>
        <w:rPr>
          <w:rFonts w:ascii="Times New Roman" w:eastAsia="宋体" w:hAnsi="Times New Roman" w:cs="Times New Roman"/>
          <w:vertAlign w:val="superscript"/>
        </w:rPr>
        <w:t>3</w:t>
      </w:r>
      <w:r>
        <w:rPr>
          <w:rFonts w:ascii="宋体" w:eastAsia="宋体" w:hAnsi="宋体" w:cs="宋体" w:hint="eastAsia"/>
          <w:color w:val="000000"/>
          <w:kern w:val="0"/>
          <w:lang w:bidi="ar"/>
        </w:rPr>
        <w:t>，项目清淤底泥运至临时堆场暂存，后续由牡丹江金达农化有限公司制作生物肥进行售卖。</w:t>
      </w:r>
    </w:p>
    <w:p w14:paraId="02DBC86B" w14:textId="77777777" w:rsidR="009D12AF" w:rsidRDefault="00000000">
      <w:pPr>
        <w:widowControl/>
        <w:ind w:firstLineChars="100" w:firstLine="240"/>
        <w:jc w:val="left"/>
        <w:rPr>
          <w:rFonts w:ascii="宋体" w:eastAsia="宋体" w:hAnsi="宋体" w:cs="宋体" w:hint="eastAsia"/>
          <w:color w:val="000000"/>
          <w:kern w:val="0"/>
          <w:lang w:bidi="ar"/>
        </w:rPr>
      </w:pPr>
      <w:r>
        <w:rPr>
          <w:rFonts w:ascii="Times New Roman" w:eastAsia="宋体" w:hAnsi="Times New Roman" w:cs="Times New Roman" w:hint="eastAsia"/>
        </w:rPr>
        <w:t>（</w:t>
      </w:r>
      <w:r>
        <w:rPr>
          <w:rFonts w:ascii="Times New Roman" w:eastAsia="宋体" w:hAnsi="Times New Roman" w:cs="Times New Roman" w:hint="eastAsia"/>
        </w:rPr>
        <w:t>3</w:t>
      </w:r>
      <w:r>
        <w:rPr>
          <w:rFonts w:ascii="Times New Roman" w:eastAsia="宋体" w:hAnsi="Times New Roman" w:cs="Times New Roman" w:hint="eastAsia"/>
        </w:rPr>
        <w:t>）</w:t>
      </w:r>
      <w:r>
        <w:rPr>
          <w:rFonts w:ascii="宋体" w:eastAsia="宋体" w:hAnsi="宋体" w:cs="宋体" w:hint="eastAsia"/>
          <w:color w:val="000000"/>
          <w:kern w:val="0"/>
          <w:lang w:bidi="ar"/>
        </w:rPr>
        <w:t>隔油浮渣</w:t>
      </w:r>
    </w:p>
    <w:p w14:paraId="44A46EC3"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本项目车辆机械冲洗废水经隔油沉淀池处理时会产生浮油浮渣，根据同类型项目类比，废水处理浮油约为废水处理量的</w:t>
      </w:r>
      <w:r>
        <w:rPr>
          <w:rFonts w:ascii="Times New Roman" w:eastAsia="宋体" w:hAnsi="Times New Roman" w:cs="Times New Roman"/>
          <w:color w:val="000000"/>
          <w:kern w:val="0"/>
          <w:lang w:bidi="ar"/>
        </w:rPr>
        <w:t>3</w:t>
      </w:r>
      <w:r>
        <w:rPr>
          <w:rFonts w:ascii="Times New Roman" w:eastAsia="宋体" w:hAnsi="Times New Roman" w:cs="Times New Roman" w:hint="eastAsia"/>
          <w:color w:val="000000"/>
          <w:kern w:val="0"/>
          <w:lang w:bidi="ar"/>
        </w:rPr>
        <w:t>%</w:t>
      </w:r>
      <w:r>
        <w:rPr>
          <w:rFonts w:ascii="宋体" w:eastAsia="宋体" w:hAnsi="宋体" w:cs="宋体" w:hint="eastAsia"/>
          <w:color w:val="000000"/>
          <w:kern w:val="0"/>
          <w:lang w:bidi="ar"/>
        </w:rPr>
        <w:t>，则其产生量约</w:t>
      </w:r>
      <w:r>
        <w:rPr>
          <w:rFonts w:ascii="Times New Roman" w:eastAsia="宋体" w:hAnsi="Times New Roman" w:cs="Times New Roman" w:hint="eastAsia"/>
          <w:color w:val="000000"/>
          <w:kern w:val="0"/>
          <w:lang w:bidi="ar"/>
        </w:rPr>
        <w:t>5.856</w:t>
      </w:r>
      <w:r>
        <w:rPr>
          <w:rFonts w:ascii="Times New Roman" w:eastAsia="宋体" w:hAnsi="Times New Roman" w:cs="Times New Roman"/>
          <w:color w:val="000000"/>
          <w:kern w:val="0"/>
          <w:lang w:bidi="ar"/>
        </w:rPr>
        <w:t>t</w:t>
      </w:r>
      <w:r>
        <w:rPr>
          <w:rFonts w:ascii="宋体" w:eastAsia="宋体" w:hAnsi="宋体" w:cs="宋体" w:hint="eastAsia"/>
          <w:color w:val="000000"/>
          <w:kern w:val="0"/>
          <w:lang w:bidi="ar"/>
        </w:rPr>
        <w:t>，废水处理浮油为危险废物，废物类别为</w:t>
      </w:r>
      <w:r>
        <w:rPr>
          <w:rFonts w:ascii="Times New Roman" w:eastAsia="宋体" w:hAnsi="Times New Roman" w:cs="Times New Roman"/>
          <w:color w:val="000000"/>
          <w:kern w:val="0"/>
          <w:lang w:bidi="ar"/>
        </w:rPr>
        <w:t>HW08</w:t>
      </w:r>
      <w:r>
        <w:rPr>
          <w:rFonts w:ascii="宋体" w:eastAsia="宋体" w:hAnsi="宋体" w:cs="宋体" w:hint="eastAsia"/>
          <w:color w:val="000000"/>
          <w:kern w:val="0"/>
          <w:lang w:bidi="ar"/>
        </w:rPr>
        <w:t>废矿物油与含矿物油废物，废物代码为</w:t>
      </w:r>
      <w:r>
        <w:rPr>
          <w:rFonts w:ascii="Times New Roman" w:eastAsia="宋体" w:hAnsi="Times New Roman" w:cs="Times New Roman"/>
          <w:color w:val="000000"/>
          <w:kern w:val="0"/>
          <w:lang w:bidi="ar"/>
        </w:rPr>
        <w:t>900-210-08</w:t>
      </w:r>
      <w:r>
        <w:rPr>
          <w:rFonts w:ascii="宋体" w:eastAsia="宋体" w:hAnsi="宋体" w:cs="宋体" w:hint="eastAsia"/>
          <w:color w:val="000000"/>
          <w:kern w:val="0"/>
          <w:lang w:bidi="ar"/>
        </w:rPr>
        <w:t>，危险特性为</w:t>
      </w:r>
      <w:r>
        <w:rPr>
          <w:rFonts w:ascii="Times New Roman" w:eastAsia="宋体" w:hAnsi="Times New Roman" w:cs="Times New Roman"/>
          <w:color w:val="000000"/>
          <w:kern w:val="0"/>
          <w:lang w:bidi="ar"/>
        </w:rPr>
        <w:t>T</w:t>
      </w:r>
      <w:r>
        <w:rPr>
          <w:rFonts w:ascii="宋体" w:eastAsia="宋体" w:hAnsi="宋体" w:cs="宋体" w:hint="eastAsia"/>
          <w:color w:val="000000"/>
          <w:kern w:val="0"/>
          <w:lang w:bidi="ar"/>
        </w:rPr>
        <w:t>，</w:t>
      </w:r>
      <w:r>
        <w:rPr>
          <w:rFonts w:ascii="Times New Roman" w:eastAsia="宋体" w:hAnsi="Times New Roman" w:cs="Times New Roman"/>
          <w:color w:val="000000"/>
          <w:kern w:val="0"/>
          <w:lang w:bidi="ar"/>
        </w:rPr>
        <w:t>I</w:t>
      </w:r>
      <w:r>
        <w:rPr>
          <w:rFonts w:ascii="宋体" w:eastAsia="宋体" w:hAnsi="宋体" w:cs="宋体" w:hint="eastAsia"/>
          <w:color w:val="000000"/>
          <w:kern w:val="0"/>
          <w:lang w:bidi="ar"/>
        </w:rPr>
        <w:t>，废水处理浮油交由有资质的单位处理。</w:t>
      </w:r>
    </w:p>
    <w:p w14:paraId="733A0A07" w14:textId="77777777" w:rsidR="009D12AF" w:rsidRDefault="00000000">
      <w:pPr>
        <w:widowControl/>
        <w:ind w:firstLineChars="100" w:firstLine="240"/>
        <w:jc w:val="left"/>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4</w:t>
      </w:r>
      <w:r>
        <w:rPr>
          <w:rFonts w:ascii="Times New Roman" w:eastAsia="宋体" w:hAnsi="Times New Roman" w:cs="Times New Roman" w:hint="eastAsia"/>
        </w:rPr>
        <w:t>）场地清理及土方开挖产生的废渣</w:t>
      </w:r>
    </w:p>
    <w:p w14:paraId="149FA190" w14:textId="77777777" w:rsidR="009D12AF" w:rsidRDefault="00000000">
      <w:pPr>
        <w:ind w:firstLine="480"/>
      </w:pPr>
      <w:r>
        <w:rPr>
          <w:rFonts w:hint="eastAsia"/>
        </w:rPr>
        <w:t>区内分布的表土均为可剥离表土，表土可剥离面积为</w:t>
      </w:r>
      <w:r>
        <w:rPr>
          <w:rFonts w:hint="eastAsia"/>
        </w:rPr>
        <w:t xml:space="preserve"> </w:t>
      </w:r>
      <w:r>
        <w:rPr>
          <w:rFonts w:ascii="Times New Roman" w:eastAsia="宋体" w:hAnsi="Times New Roman" w:cs="Times New Roman" w:hint="eastAsia"/>
          <w:color w:val="000000"/>
          <w:kern w:val="0"/>
          <w:lang w:bidi="ar"/>
        </w:rPr>
        <w:t>20475.55</w:t>
      </w:r>
      <w:r>
        <w:rPr>
          <w:rFonts w:ascii="Times New Roman" w:eastAsia="宋体" w:hAnsi="Times New Roman" w:cs="Times New Roman"/>
          <w:color w:val="000000"/>
          <w:kern w:val="0"/>
          <w:lang w:bidi="ar"/>
        </w:rPr>
        <w:t>m</w:t>
      </w:r>
      <w:r>
        <w:rPr>
          <w:rFonts w:ascii="Times New Roman" w:eastAsia="宋体" w:hAnsi="Times New Roman" w:cs="Times New Roman"/>
          <w:color w:val="000000"/>
          <w:kern w:val="0"/>
          <w:vertAlign w:val="superscript"/>
          <w:lang w:bidi="ar"/>
        </w:rPr>
        <w:t>2</w:t>
      </w:r>
      <w:r>
        <w:rPr>
          <w:rFonts w:hint="eastAsia"/>
        </w:rPr>
        <w:t>，表土剥离量为</w:t>
      </w:r>
      <w:r>
        <w:rPr>
          <w:rFonts w:ascii="Times New Roman" w:eastAsia="宋体" w:hAnsi="Times New Roman" w:cs="Times New Roman" w:hint="eastAsia"/>
          <w:color w:val="000000"/>
          <w:kern w:val="0"/>
          <w:lang w:bidi="ar"/>
        </w:rPr>
        <w:t>4095.11</w:t>
      </w:r>
      <w:r>
        <w:rPr>
          <w:rFonts w:ascii="Times New Roman" w:eastAsia="宋体" w:hAnsi="Times New Roman" w:cs="Times New Roman"/>
          <w:color w:val="000000"/>
          <w:kern w:val="0"/>
          <w:lang w:bidi="ar"/>
        </w:rPr>
        <w:t>m</w:t>
      </w:r>
      <w:r>
        <w:rPr>
          <w:rFonts w:ascii="Times New Roman" w:eastAsia="宋体" w:hAnsi="Times New Roman" w:cs="Times New Roman"/>
          <w:color w:val="000000"/>
          <w:kern w:val="0"/>
          <w:vertAlign w:val="superscript"/>
          <w:lang w:bidi="ar"/>
        </w:rPr>
        <w:t>3</w:t>
      </w:r>
      <w:r>
        <w:rPr>
          <w:rFonts w:hint="eastAsia"/>
        </w:rPr>
        <w:t>。待施工结束后，进行全面整地、表土回覆、土地复垦及植被</w:t>
      </w:r>
      <w:r>
        <w:rPr>
          <w:rFonts w:hint="eastAsia"/>
        </w:rPr>
        <w:lastRenderedPageBreak/>
        <w:t>恢复</w:t>
      </w:r>
    </w:p>
    <w:p w14:paraId="4B05BDE5" w14:textId="77777777" w:rsidR="009D12AF" w:rsidRDefault="00000000">
      <w:pPr>
        <w:ind w:firstLine="480"/>
        <w:rPr>
          <w:highlight w:val="yellow"/>
        </w:rPr>
      </w:pPr>
      <w:r>
        <w:t>采取上述措施后，本项目固废均可得到合理处置，不外排，对区域环境影响较小。</w:t>
      </w:r>
    </w:p>
    <w:p w14:paraId="3652D6F4" w14:textId="77777777" w:rsidR="009D12AF" w:rsidRDefault="00000000">
      <w:pPr>
        <w:pStyle w:val="3"/>
        <w:rPr>
          <w:highlight w:val="yellow"/>
        </w:rPr>
      </w:pPr>
      <w:bookmarkStart w:id="359" w:name="_Toc20133"/>
      <w:bookmarkStart w:id="360" w:name="_Toc1258"/>
      <w:bookmarkStart w:id="361" w:name="_Toc10145"/>
      <w:bookmarkStart w:id="362" w:name="_Toc14808"/>
      <w:r>
        <w:rPr>
          <w:rFonts w:hint="eastAsia"/>
        </w:rPr>
        <w:t>5</w:t>
      </w:r>
      <w:r>
        <w:t>.1.</w:t>
      </w:r>
      <w:r>
        <w:rPr>
          <w:rFonts w:hint="eastAsia"/>
        </w:rPr>
        <w:t>6</w:t>
      </w:r>
      <w:r>
        <w:t xml:space="preserve"> </w:t>
      </w:r>
      <w:bookmarkEnd w:id="359"/>
      <w:bookmarkEnd w:id="360"/>
      <w:bookmarkEnd w:id="361"/>
      <w:r>
        <w:t>施工期</w:t>
      </w:r>
      <w:r>
        <w:rPr>
          <w:rFonts w:hint="eastAsia"/>
        </w:rPr>
        <w:t>土壤</w:t>
      </w:r>
      <w:r>
        <w:t>环境影响</w:t>
      </w:r>
      <w:r>
        <w:rPr>
          <w:rFonts w:hint="eastAsia"/>
        </w:rPr>
        <w:t>预测与评价</w:t>
      </w:r>
      <w:bookmarkEnd w:id="362"/>
    </w:p>
    <w:p w14:paraId="230D2389" w14:textId="77777777" w:rsidR="009D12AF" w:rsidRDefault="00000000">
      <w:pPr>
        <w:ind w:firstLine="480"/>
        <w:rPr>
          <w:rFonts w:ascii="Times New Roman" w:hAnsi="Times New Roman" w:cs="Times New Roman"/>
        </w:rPr>
      </w:pPr>
      <w:r>
        <w:rPr>
          <w:rFonts w:ascii="Times New Roman" w:hAnsi="Times New Roman" w:cs="Times New Roman"/>
        </w:rPr>
        <w:t>项目施工期对</w:t>
      </w:r>
      <w:r>
        <w:rPr>
          <w:rFonts w:ascii="Times New Roman" w:hAnsi="Times New Roman" w:cs="Times New Roman" w:hint="eastAsia"/>
        </w:rPr>
        <w:t>土</w:t>
      </w:r>
      <w:r>
        <w:rPr>
          <w:rFonts w:ascii="Times New Roman" w:hAnsi="Times New Roman" w:cs="Times New Roman"/>
        </w:rPr>
        <w:t>壤的影响主要来自于</w:t>
      </w:r>
      <w:r>
        <w:rPr>
          <w:rFonts w:ascii="Times New Roman" w:hAnsi="Times New Roman" w:cs="Times New Roman" w:hint="eastAsia"/>
        </w:rPr>
        <w:t>临时生产区</w:t>
      </w:r>
      <w:r>
        <w:rPr>
          <w:rFonts w:ascii="Times New Roman" w:hAnsi="Times New Roman" w:cs="Times New Roman"/>
        </w:rPr>
        <w:t>污染物地表漫流和垂直入渗的影响。</w:t>
      </w:r>
    </w:p>
    <w:p w14:paraId="4A1910E4" w14:textId="77777777" w:rsidR="009D12AF" w:rsidRDefault="00000000">
      <w:pPr>
        <w:ind w:firstLine="480"/>
        <w:rPr>
          <w:rFonts w:ascii="Times New Roman" w:hAnsi="Times New Roman" w:cs="Times New Roman"/>
        </w:rPr>
      </w:pPr>
      <w:r>
        <w:rPr>
          <w:rFonts w:ascii="Times New Roman" w:hAnsi="Times New Roman" w:cs="Times New Roman"/>
        </w:rPr>
        <w:t>本项目为主要为</w:t>
      </w:r>
      <w:r>
        <w:rPr>
          <w:rFonts w:ascii="Times New Roman" w:hAnsi="Times New Roman" w:cs="Times New Roman" w:hint="eastAsia"/>
        </w:rPr>
        <w:t>湖库清淤项目</w:t>
      </w:r>
      <w:r>
        <w:rPr>
          <w:rFonts w:ascii="Times New Roman" w:hAnsi="Times New Roman" w:cs="Times New Roman"/>
        </w:rPr>
        <w:t>，大气污染因子为</w:t>
      </w: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S</w:t>
      </w:r>
      <w:r>
        <w:rPr>
          <w:rFonts w:ascii="Times New Roman" w:hAnsi="Times New Roman" w:cs="Times New Roman"/>
        </w:rPr>
        <w:t>和</w:t>
      </w:r>
      <w:r>
        <w:rPr>
          <w:rFonts w:ascii="Times New Roman" w:hAnsi="Times New Roman" w:cs="Times New Roman"/>
        </w:rPr>
        <w:t>NH</w:t>
      </w:r>
      <w:r>
        <w:rPr>
          <w:rFonts w:ascii="Times New Roman" w:hAnsi="Times New Roman" w:cs="Times New Roman"/>
          <w:vertAlign w:val="subscript"/>
        </w:rPr>
        <w:t>3</w:t>
      </w:r>
      <w:r>
        <w:rPr>
          <w:rFonts w:ascii="Times New Roman" w:hAnsi="Times New Roman" w:cs="Times New Roman"/>
        </w:rPr>
        <w:t>，排放量较少。此类大气污染因子大部分在空气中会与尘埃等颗粒物结合或被其他物质分解，极少量会降落至地面，随着时间的推移被土壤自行分解，不会发生富集现象，因此，项目废气对土壤环境影响极小。</w:t>
      </w:r>
    </w:p>
    <w:p w14:paraId="3EA9D7AA" w14:textId="77777777" w:rsidR="009D12AF" w:rsidRDefault="00000000">
      <w:pPr>
        <w:ind w:firstLine="480"/>
        <w:rPr>
          <w:rFonts w:ascii="Times New Roman" w:hAnsi="Times New Roman" w:cs="Times New Roman"/>
        </w:rPr>
      </w:pPr>
      <w:r>
        <w:rPr>
          <w:rFonts w:ascii="Times New Roman" w:hAnsi="Times New Roman" w:cs="Times New Roman"/>
        </w:rPr>
        <w:t>项目施工期生产废水主要为生活污水、</w:t>
      </w:r>
      <w:r>
        <w:rPr>
          <w:rFonts w:ascii="Times New Roman" w:hAnsi="Times New Roman" w:cs="Times New Roman" w:hint="eastAsia"/>
        </w:rPr>
        <w:t>施工废水</w:t>
      </w:r>
      <w:r>
        <w:rPr>
          <w:rFonts w:ascii="Times New Roman" w:hAnsi="Times New Roman" w:cs="Times New Roman"/>
        </w:rPr>
        <w:t>。</w:t>
      </w:r>
      <w:r>
        <w:t>施工废水为施工机械和车辆的清洗废水，</w:t>
      </w:r>
      <w:r>
        <w:rPr>
          <w:rFonts w:hint="eastAsia"/>
        </w:rPr>
        <w:t>经隔油沉淀池处理</w:t>
      </w:r>
      <w:r>
        <w:t>后，回用于洒水降尘，不外排</w:t>
      </w:r>
      <w:r>
        <w:rPr>
          <w:rFonts w:hint="eastAsia"/>
        </w:rPr>
        <w:t>；</w:t>
      </w:r>
      <w:r>
        <w:rPr>
          <w:rFonts w:ascii="宋体" w:eastAsia="宋体" w:hAnsi="宋体" w:cs="宋体" w:hint="eastAsia"/>
          <w:color w:val="000000"/>
          <w:kern w:val="0"/>
          <w:lang w:bidi="ar"/>
        </w:rPr>
        <w:t>渗滤水经三级沉淀、过滤、紫外线消毒</w:t>
      </w:r>
      <w:r>
        <w:rPr>
          <w:rFonts w:hint="eastAsia"/>
        </w:rPr>
        <w:t>处理后达到《污水综合排放标准》（</w:t>
      </w:r>
      <w:r>
        <w:rPr>
          <w:rFonts w:hint="eastAsia"/>
        </w:rPr>
        <w:t>GB8978-1996</w:t>
      </w:r>
      <w:r>
        <w:rPr>
          <w:rFonts w:hint="eastAsia"/>
        </w:rPr>
        <w:t>）一级标准，由牡丹江龙江环保水务有限公司定期拉运处理；</w:t>
      </w:r>
      <w:r>
        <w:t>生活污水排</w:t>
      </w:r>
      <w:r>
        <w:rPr>
          <w:rFonts w:hint="eastAsia"/>
        </w:rPr>
        <w:t>入</w:t>
      </w:r>
      <w:r>
        <w:t>防渗旱厕，定期清掏</w:t>
      </w:r>
      <w:r>
        <w:rPr>
          <w:rFonts w:hint="eastAsia"/>
        </w:rPr>
        <w:t>外运堆肥，不外排。</w:t>
      </w:r>
      <w:r>
        <w:rPr>
          <w:rFonts w:ascii="Times New Roman" w:hAnsi="Times New Roman" w:cs="Times New Roman"/>
        </w:rPr>
        <w:t>清理物携带的废水直接来源于河水，除施工扰动原因导致悬浮物浓度增大外，没有其他污染物，因此即便有少量废水通过渗透进而包气带土壤中时，也不会对土壤环境质量造成明显影响。</w:t>
      </w:r>
    </w:p>
    <w:p w14:paraId="14C3709F" w14:textId="77777777" w:rsidR="009D12AF" w:rsidRDefault="00000000">
      <w:pPr>
        <w:ind w:firstLine="480"/>
        <w:rPr>
          <w:rFonts w:ascii="Times New Roman" w:hAnsi="Times New Roman" w:cs="Times New Roman"/>
        </w:rPr>
      </w:pPr>
      <w:r>
        <w:rPr>
          <w:rFonts w:ascii="Times New Roman" w:hAnsi="Times New Roman" w:cs="Times New Roman"/>
        </w:rPr>
        <w:t>根据固体废弃物影响分析，施工场地设置临时生活垃圾收集桶，集中收集后定期交由当地环卫部门统一处置，淤泥干化后运至</w:t>
      </w:r>
      <w:r>
        <w:rPr>
          <w:rFonts w:hint="eastAsia"/>
        </w:rPr>
        <w:t>牡丹江金达农化有限公司对其清淤底泥进行加工制作生物肥，由企业售卖</w:t>
      </w:r>
      <w:r>
        <w:rPr>
          <w:rFonts w:ascii="宋体" w:eastAsia="宋体" w:hAnsi="宋体" w:cs="宋体" w:hint="eastAsia"/>
          <w:color w:val="000000"/>
          <w:kern w:val="0"/>
          <w:lang w:bidi="ar"/>
        </w:rPr>
        <w:t>。</w:t>
      </w:r>
      <w:r>
        <w:rPr>
          <w:rFonts w:ascii="Times New Roman" w:hAnsi="Times New Roman" w:cs="Times New Roman"/>
        </w:rPr>
        <w:t>在此基础上可避免生活垃圾、淤泥无序堆放对土壤环境质量的影响。</w:t>
      </w:r>
    </w:p>
    <w:p w14:paraId="28C451C4" w14:textId="77777777" w:rsidR="009D12AF" w:rsidRDefault="00000000">
      <w:pPr>
        <w:ind w:firstLine="480"/>
        <w:rPr>
          <w:rFonts w:ascii="Times New Roman" w:hAnsi="Times New Roman" w:cs="Times New Roman"/>
          <w:highlight w:val="yellow"/>
        </w:rPr>
      </w:pPr>
      <w:r>
        <w:rPr>
          <w:rFonts w:ascii="Times New Roman" w:hAnsi="Times New Roman" w:cs="Times New Roman"/>
        </w:rPr>
        <w:t>总体来说，本项目施工周期较短，且施工影响范围较小，各类污染物在采取妥善的处置措施后，不会对土壤环境造成明显影响。</w:t>
      </w:r>
    </w:p>
    <w:p w14:paraId="0E81830E" w14:textId="77777777" w:rsidR="009D12AF" w:rsidRDefault="00000000">
      <w:pPr>
        <w:pStyle w:val="3"/>
      </w:pPr>
      <w:bookmarkStart w:id="363" w:name="_Toc14374"/>
      <w:bookmarkStart w:id="364" w:name="_Toc1330"/>
      <w:bookmarkStart w:id="365" w:name="_Toc30693"/>
      <w:bookmarkStart w:id="366" w:name="_Toc1251"/>
      <w:r>
        <w:rPr>
          <w:rFonts w:hint="eastAsia"/>
        </w:rPr>
        <w:t>5</w:t>
      </w:r>
      <w:r>
        <w:t>.1.</w:t>
      </w:r>
      <w:r>
        <w:rPr>
          <w:rFonts w:hint="eastAsia"/>
        </w:rPr>
        <w:t>7</w:t>
      </w:r>
      <w:r>
        <w:t xml:space="preserve"> </w:t>
      </w:r>
      <w:r>
        <w:t>施工期</w:t>
      </w:r>
      <w:r>
        <w:rPr>
          <w:rFonts w:hint="eastAsia"/>
        </w:rPr>
        <w:t>环境风险</w:t>
      </w:r>
      <w:r>
        <w:t>分析</w:t>
      </w:r>
      <w:bookmarkEnd w:id="363"/>
      <w:bookmarkEnd w:id="364"/>
      <w:bookmarkEnd w:id="365"/>
      <w:bookmarkEnd w:id="366"/>
    </w:p>
    <w:p w14:paraId="198D6211" w14:textId="77777777" w:rsidR="009D12AF" w:rsidRDefault="00000000">
      <w:pPr>
        <w:ind w:firstLine="480"/>
      </w:pPr>
      <w:r>
        <w:rPr>
          <w:rFonts w:hint="eastAsia"/>
        </w:rPr>
        <w:t>1</w:t>
      </w:r>
      <w:r>
        <w:rPr>
          <w:rFonts w:hint="eastAsia"/>
        </w:rPr>
        <w:t>、评价依据</w:t>
      </w:r>
    </w:p>
    <w:p w14:paraId="5FF7DF92" w14:textId="77777777" w:rsidR="009D12AF" w:rsidRDefault="00000000">
      <w:pPr>
        <w:ind w:firstLine="480"/>
      </w:pPr>
      <w:r>
        <w:lastRenderedPageBreak/>
        <w:t>环境风险源指</w:t>
      </w:r>
      <w:r>
        <w:t>“</w:t>
      </w:r>
      <w:r>
        <w:t>存在物质或能量意外释放，并可能产生环境危害的源</w:t>
      </w:r>
      <w:r>
        <w:t>”</w:t>
      </w:r>
      <w:r>
        <w:t>本项目风险源为施工期使用的柴油，柴油用量为</w:t>
      </w:r>
      <w:r>
        <w:rPr>
          <w:rFonts w:hint="eastAsia"/>
        </w:rPr>
        <w:t>65</w:t>
      </w:r>
      <w:r>
        <w:t>t</w:t>
      </w:r>
      <w:r>
        <w:t>。</w:t>
      </w:r>
    </w:p>
    <w:p w14:paraId="4348C320" w14:textId="77777777" w:rsidR="009D12AF" w:rsidRDefault="00000000">
      <w:pPr>
        <w:ind w:firstLine="480"/>
      </w:pPr>
      <w:r>
        <w:rPr>
          <w:rFonts w:hint="eastAsia"/>
        </w:rPr>
        <w:t>2</w:t>
      </w:r>
      <w:r>
        <w:rPr>
          <w:rFonts w:hint="eastAsia"/>
        </w:rPr>
        <w:t>、环境风险识别</w:t>
      </w:r>
    </w:p>
    <w:p w14:paraId="5972695B" w14:textId="77777777" w:rsidR="009D12AF" w:rsidRDefault="00000000">
      <w:pPr>
        <w:ind w:firstLine="480"/>
      </w:pPr>
      <w:r>
        <w:t>本项目为主要为</w:t>
      </w:r>
      <w:r>
        <w:rPr>
          <w:rFonts w:hint="eastAsia"/>
        </w:rPr>
        <w:t>湖库清淤</w:t>
      </w:r>
      <w:r>
        <w:t>工程，工程主要建设内容包括</w:t>
      </w:r>
      <w:r>
        <w:rPr>
          <w:rFonts w:hint="eastAsia"/>
        </w:rPr>
        <w:t>水库</w:t>
      </w:r>
      <w:r>
        <w:t>清淤、</w:t>
      </w:r>
      <w:r>
        <w:rPr>
          <w:rFonts w:hint="eastAsia"/>
        </w:rPr>
        <w:t>坝体修护</w:t>
      </w:r>
      <w:r>
        <w:t>、</w:t>
      </w:r>
      <w:r>
        <w:rPr>
          <w:rFonts w:hint="eastAsia"/>
        </w:rPr>
        <w:t>垃圾清运</w:t>
      </w:r>
      <w:r>
        <w:t>工程，施工期涉及的主要危险物质为柴油，施工期柴油用量为</w:t>
      </w:r>
      <w:r>
        <w:rPr>
          <w:rFonts w:hint="eastAsia"/>
        </w:rPr>
        <w:t>65</w:t>
      </w:r>
      <w:r>
        <w:t>t</w:t>
      </w:r>
      <w:r>
        <w:t>，不涉及重大危险源。本项目风险识别具体内容见表</w:t>
      </w:r>
      <w:r>
        <w:t>5</w:t>
      </w:r>
      <w:r>
        <w:rPr>
          <w:rFonts w:hint="eastAsia"/>
        </w:rPr>
        <w:t>.</w:t>
      </w:r>
      <w:r>
        <w:t>1-6</w:t>
      </w:r>
      <w:r>
        <w:t>。</w:t>
      </w:r>
    </w:p>
    <w:p w14:paraId="1540B3E2" w14:textId="77777777" w:rsidR="009D12AF" w:rsidRDefault="00000000">
      <w:pPr>
        <w:spacing w:line="240" w:lineRule="auto"/>
        <w:ind w:firstLine="482"/>
        <w:jc w:val="center"/>
        <w:rPr>
          <w:b/>
        </w:rPr>
      </w:pPr>
      <w:r>
        <w:rPr>
          <w:b/>
        </w:rPr>
        <w:t>表</w:t>
      </w:r>
      <w:r>
        <w:rPr>
          <w:b/>
        </w:rPr>
        <w:t>5</w:t>
      </w:r>
      <w:r>
        <w:rPr>
          <w:rFonts w:hint="eastAsia"/>
          <w:b/>
        </w:rPr>
        <w:t>.</w:t>
      </w:r>
      <w:r>
        <w:rPr>
          <w:b/>
        </w:rPr>
        <w:t xml:space="preserve">1-6  </w:t>
      </w:r>
      <w:r>
        <w:rPr>
          <w:b/>
        </w:rPr>
        <w:t>建设项目环境风险识别表</w:t>
      </w:r>
    </w:p>
    <w:tbl>
      <w:tblPr>
        <w:tblW w:w="8296"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903"/>
        <w:gridCol w:w="1319"/>
        <w:gridCol w:w="1576"/>
        <w:gridCol w:w="1352"/>
        <w:gridCol w:w="3146"/>
      </w:tblGrid>
      <w:tr w:rsidR="009D12AF" w14:paraId="0DEC2D0F" w14:textId="77777777">
        <w:trPr>
          <w:trHeight w:val="397"/>
          <w:jc w:val="center"/>
        </w:trPr>
        <w:tc>
          <w:tcPr>
            <w:tcW w:w="903" w:type="dxa"/>
            <w:vAlign w:val="center"/>
          </w:tcPr>
          <w:p w14:paraId="6E41A730" w14:textId="77777777" w:rsidR="009D12AF" w:rsidRDefault="00000000">
            <w:pPr>
              <w:adjustRightInd w:val="0"/>
              <w:snapToGrid w:val="0"/>
              <w:spacing w:line="240" w:lineRule="auto"/>
              <w:ind w:firstLineChars="0" w:firstLine="0"/>
              <w:jc w:val="center"/>
              <w:rPr>
                <w:bCs/>
                <w:sz w:val="21"/>
              </w:rPr>
            </w:pPr>
            <w:r>
              <w:rPr>
                <w:bCs/>
                <w:sz w:val="21"/>
              </w:rPr>
              <w:t>风险源</w:t>
            </w:r>
          </w:p>
        </w:tc>
        <w:tc>
          <w:tcPr>
            <w:tcW w:w="1319" w:type="dxa"/>
            <w:vAlign w:val="center"/>
          </w:tcPr>
          <w:p w14:paraId="67B7BE38" w14:textId="77777777" w:rsidR="009D12AF" w:rsidRDefault="00000000">
            <w:pPr>
              <w:adjustRightInd w:val="0"/>
              <w:snapToGrid w:val="0"/>
              <w:spacing w:line="240" w:lineRule="auto"/>
              <w:ind w:firstLineChars="0" w:firstLine="0"/>
              <w:jc w:val="center"/>
              <w:rPr>
                <w:bCs/>
                <w:sz w:val="21"/>
              </w:rPr>
            </w:pPr>
            <w:r>
              <w:rPr>
                <w:bCs/>
                <w:sz w:val="21"/>
              </w:rPr>
              <w:t>主要危险物质</w:t>
            </w:r>
          </w:p>
        </w:tc>
        <w:tc>
          <w:tcPr>
            <w:tcW w:w="1576" w:type="dxa"/>
            <w:vAlign w:val="center"/>
          </w:tcPr>
          <w:p w14:paraId="0F0945D6" w14:textId="77777777" w:rsidR="009D12AF" w:rsidRDefault="00000000">
            <w:pPr>
              <w:adjustRightInd w:val="0"/>
              <w:snapToGrid w:val="0"/>
              <w:spacing w:line="240" w:lineRule="auto"/>
              <w:ind w:firstLineChars="0" w:firstLine="0"/>
              <w:jc w:val="center"/>
              <w:rPr>
                <w:bCs/>
                <w:sz w:val="21"/>
              </w:rPr>
            </w:pPr>
            <w:r>
              <w:rPr>
                <w:bCs/>
                <w:sz w:val="21"/>
              </w:rPr>
              <w:t>环境风险类型</w:t>
            </w:r>
          </w:p>
        </w:tc>
        <w:tc>
          <w:tcPr>
            <w:tcW w:w="1352" w:type="dxa"/>
            <w:vAlign w:val="center"/>
          </w:tcPr>
          <w:p w14:paraId="71C8CDE6" w14:textId="77777777" w:rsidR="009D12AF" w:rsidRDefault="00000000">
            <w:pPr>
              <w:adjustRightInd w:val="0"/>
              <w:snapToGrid w:val="0"/>
              <w:spacing w:line="240" w:lineRule="auto"/>
              <w:ind w:firstLineChars="0" w:firstLine="0"/>
              <w:jc w:val="center"/>
              <w:rPr>
                <w:bCs/>
                <w:sz w:val="21"/>
              </w:rPr>
            </w:pPr>
            <w:r>
              <w:rPr>
                <w:bCs/>
                <w:sz w:val="21"/>
              </w:rPr>
              <w:t>环境影响途径</w:t>
            </w:r>
          </w:p>
        </w:tc>
        <w:tc>
          <w:tcPr>
            <w:tcW w:w="3146" w:type="dxa"/>
            <w:vAlign w:val="center"/>
          </w:tcPr>
          <w:p w14:paraId="3F8FE25F" w14:textId="77777777" w:rsidR="009D12AF" w:rsidRDefault="00000000">
            <w:pPr>
              <w:adjustRightInd w:val="0"/>
              <w:snapToGrid w:val="0"/>
              <w:spacing w:line="240" w:lineRule="auto"/>
              <w:ind w:firstLineChars="0" w:firstLine="0"/>
              <w:jc w:val="center"/>
              <w:rPr>
                <w:bCs/>
                <w:sz w:val="21"/>
              </w:rPr>
            </w:pPr>
            <w:r>
              <w:rPr>
                <w:bCs/>
                <w:sz w:val="21"/>
              </w:rPr>
              <w:t>可能受影响的环境敏感目标</w:t>
            </w:r>
          </w:p>
        </w:tc>
      </w:tr>
      <w:tr w:rsidR="009D12AF" w14:paraId="1E5DDA3E" w14:textId="77777777">
        <w:trPr>
          <w:trHeight w:val="397"/>
          <w:jc w:val="center"/>
        </w:trPr>
        <w:tc>
          <w:tcPr>
            <w:tcW w:w="903" w:type="dxa"/>
            <w:vAlign w:val="center"/>
          </w:tcPr>
          <w:p w14:paraId="3889440F" w14:textId="77777777" w:rsidR="009D12AF" w:rsidRDefault="00000000">
            <w:pPr>
              <w:adjustRightInd w:val="0"/>
              <w:snapToGrid w:val="0"/>
              <w:spacing w:line="240" w:lineRule="auto"/>
              <w:ind w:firstLineChars="0" w:firstLine="0"/>
              <w:jc w:val="center"/>
              <w:rPr>
                <w:bCs/>
                <w:sz w:val="21"/>
              </w:rPr>
            </w:pPr>
            <w:r>
              <w:rPr>
                <w:rFonts w:hint="eastAsia"/>
                <w:bCs/>
                <w:sz w:val="21"/>
              </w:rPr>
              <w:t>柴油发电机</w:t>
            </w:r>
            <w:r>
              <w:rPr>
                <w:bCs/>
                <w:sz w:val="21"/>
              </w:rPr>
              <w:t>组</w:t>
            </w:r>
            <w:r>
              <w:rPr>
                <w:rFonts w:hint="eastAsia"/>
                <w:bCs/>
                <w:sz w:val="21"/>
              </w:rPr>
              <w:t>、施工设备溢油</w:t>
            </w:r>
          </w:p>
        </w:tc>
        <w:tc>
          <w:tcPr>
            <w:tcW w:w="1319" w:type="dxa"/>
            <w:vAlign w:val="center"/>
          </w:tcPr>
          <w:p w14:paraId="0504C25A" w14:textId="77777777" w:rsidR="009D12AF" w:rsidRDefault="00000000">
            <w:pPr>
              <w:adjustRightInd w:val="0"/>
              <w:snapToGrid w:val="0"/>
              <w:spacing w:line="240" w:lineRule="auto"/>
              <w:ind w:firstLineChars="0" w:firstLine="0"/>
              <w:jc w:val="center"/>
              <w:rPr>
                <w:bCs/>
                <w:sz w:val="21"/>
              </w:rPr>
            </w:pPr>
            <w:r>
              <w:rPr>
                <w:sz w:val="21"/>
              </w:rPr>
              <w:t>油类物质</w:t>
            </w:r>
          </w:p>
        </w:tc>
        <w:tc>
          <w:tcPr>
            <w:tcW w:w="1576" w:type="dxa"/>
            <w:vAlign w:val="center"/>
          </w:tcPr>
          <w:p w14:paraId="22A0B470" w14:textId="77777777" w:rsidR="009D12AF" w:rsidRDefault="00000000">
            <w:pPr>
              <w:adjustRightInd w:val="0"/>
              <w:snapToGrid w:val="0"/>
              <w:spacing w:line="240" w:lineRule="auto"/>
              <w:ind w:firstLineChars="0" w:firstLine="0"/>
              <w:jc w:val="center"/>
              <w:rPr>
                <w:bCs/>
                <w:sz w:val="21"/>
              </w:rPr>
            </w:pPr>
            <w:r>
              <w:rPr>
                <w:bCs/>
                <w:sz w:val="21"/>
              </w:rPr>
              <w:t>危险物质泄漏</w:t>
            </w:r>
          </w:p>
        </w:tc>
        <w:tc>
          <w:tcPr>
            <w:tcW w:w="1352" w:type="dxa"/>
            <w:vAlign w:val="center"/>
          </w:tcPr>
          <w:p w14:paraId="0A36F9F1" w14:textId="77777777" w:rsidR="009D12AF" w:rsidRDefault="00000000">
            <w:pPr>
              <w:adjustRightInd w:val="0"/>
              <w:snapToGrid w:val="0"/>
              <w:spacing w:line="240" w:lineRule="auto"/>
              <w:ind w:firstLineChars="0" w:firstLine="0"/>
              <w:jc w:val="center"/>
              <w:rPr>
                <w:bCs/>
                <w:sz w:val="21"/>
              </w:rPr>
            </w:pPr>
            <w:r>
              <w:rPr>
                <w:bCs/>
                <w:sz w:val="21"/>
              </w:rPr>
              <w:t>漫流、下渗</w:t>
            </w:r>
          </w:p>
        </w:tc>
        <w:tc>
          <w:tcPr>
            <w:tcW w:w="3146" w:type="dxa"/>
            <w:vAlign w:val="center"/>
          </w:tcPr>
          <w:p w14:paraId="7A1F5070" w14:textId="77777777" w:rsidR="009D12AF" w:rsidRDefault="00000000">
            <w:pPr>
              <w:adjustRightInd w:val="0"/>
              <w:snapToGrid w:val="0"/>
              <w:spacing w:line="240" w:lineRule="auto"/>
              <w:ind w:firstLineChars="0" w:firstLine="0"/>
              <w:jc w:val="center"/>
              <w:rPr>
                <w:bCs/>
                <w:sz w:val="21"/>
              </w:rPr>
            </w:pPr>
            <w:r>
              <w:rPr>
                <w:bCs/>
                <w:sz w:val="21"/>
              </w:rPr>
              <w:t>场地下游地下水、地表水水质</w:t>
            </w:r>
          </w:p>
        </w:tc>
      </w:tr>
    </w:tbl>
    <w:p w14:paraId="118A3240" w14:textId="77777777" w:rsidR="009D12AF" w:rsidRDefault="00000000">
      <w:pPr>
        <w:widowControl/>
        <w:ind w:firstLine="480"/>
        <w:jc w:val="left"/>
      </w:pPr>
      <w:r>
        <w:rPr>
          <w:rFonts w:ascii="宋体" w:eastAsia="宋体" w:hAnsi="宋体" w:cs="宋体" w:hint="eastAsia"/>
          <w:color w:val="000000"/>
          <w:kern w:val="0"/>
          <w:lang w:bidi="ar"/>
        </w:rPr>
        <w:t xml:space="preserve">施工期如果未按照施工方案文明施工，有可能对区域生态环境带来较大的破坏。项目可能存在事故风险： </w:t>
      </w:r>
    </w:p>
    <w:p w14:paraId="7DB67DCA" w14:textId="77777777" w:rsidR="009D12AF" w:rsidRDefault="00000000">
      <w:pPr>
        <w:widowControl/>
        <w:ind w:firstLine="480"/>
        <w:jc w:val="left"/>
      </w:pPr>
      <w:r>
        <w:rPr>
          <w:rFonts w:ascii="Times New Roman" w:eastAsia="宋体" w:hAnsi="Times New Roman" w:cs="Times New Roman" w:hint="eastAsia"/>
          <w:color w:val="000000"/>
          <w:kern w:val="0"/>
          <w:lang w:bidi="ar"/>
        </w:rPr>
        <w:t>（</w:t>
      </w:r>
      <w:r>
        <w:rPr>
          <w:rFonts w:ascii="Times New Roman" w:eastAsia="宋体" w:hAnsi="Times New Roman" w:cs="Times New Roman" w:hint="eastAsia"/>
          <w:color w:val="000000"/>
          <w:kern w:val="0"/>
          <w:lang w:bidi="ar"/>
        </w:rPr>
        <w:t>1</w:t>
      </w:r>
      <w:r>
        <w:rPr>
          <w:rFonts w:ascii="Times New Roman" w:eastAsia="宋体" w:hAnsi="Times New Roman" w:cs="Times New Roman" w:hint="eastAsia"/>
          <w:color w:val="000000"/>
          <w:kern w:val="0"/>
          <w:lang w:bidi="ar"/>
        </w:rPr>
        <w:t>）</w:t>
      </w:r>
      <w:r>
        <w:rPr>
          <w:rFonts w:ascii="宋体" w:eastAsia="宋体" w:hAnsi="宋体" w:cs="宋体" w:hint="eastAsia"/>
          <w:color w:val="000000"/>
          <w:kern w:val="0"/>
          <w:lang w:bidi="ar"/>
        </w:rPr>
        <w:t xml:space="preserve">施工期施工船舶溢油事故 </w:t>
      </w:r>
    </w:p>
    <w:p w14:paraId="5D04A598" w14:textId="77777777" w:rsidR="009D12AF" w:rsidRDefault="00000000">
      <w:pPr>
        <w:widowControl/>
        <w:ind w:firstLine="480"/>
        <w:jc w:val="left"/>
      </w:pPr>
      <w:r>
        <w:rPr>
          <w:rFonts w:ascii="宋体" w:eastAsia="宋体" w:hAnsi="宋体" w:cs="宋体" w:hint="eastAsia"/>
          <w:color w:val="000000"/>
          <w:kern w:val="0"/>
          <w:lang w:bidi="ar"/>
        </w:rPr>
        <w:t xml:space="preserve">船舶、机械设备溢油风险，主要指因技术状态、天气条件、碰撞以及人为因素等发生燃油泄漏而污染的风险。本项目采用环保绞吸船进行清淤，在清理过程中，船舶、机械设备溢油事故发生比例较小，但仍存在会因为极端天气或者人为操作失误等原因会发生漏损或者侧翻而引起溢油事故溢油风险，倘若发生溢油事故，区域内水体将受到污染。 </w:t>
      </w:r>
    </w:p>
    <w:p w14:paraId="165191C3" w14:textId="77777777" w:rsidR="009D12AF" w:rsidRDefault="00000000">
      <w:pPr>
        <w:widowControl/>
        <w:ind w:firstLine="480"/>
        <w:jc w:val="left"/>
      </w:pPr>
      <w:r>
        <w:rPr>
          <w:rFonts w:ascii="Times New Roman" w:eastAsia="宋体" w:hAnsi="Times New Roman" w:cs="Times New Roman" w:hint="eastAsia"/>
          <w:color w:val="000000"/>
          <w:kern w:val="0"/>
          <w:lang w:bidi="ar"/>
        </w:rPr>
        <w:t>（</w:t>
      </w:r>
      <w:r>
        <w:rPr>
          <w:rFonts w:ascii="Times New Roman" w:eastAsia="宋体" w:hAnsi="Times New Roman" w:cs="Times New Roman" w:hint="eastAsia"/>
          <w:color w:val="000000"/>
          <w:kern w:val="0"/>
          <w:lang w:bidi="ar"/>
        </w:rPr>
        <w:t>2</w:t>
      </w:r>
      <w:r>
        <w:rPr>
          <w:rFonts w:ascii="Times New Roman" w:eastAsia="宋体" w:hAnsi="Times New Roman" w:cs="Times New Roman" w:hint="eastAsia"/>
          <w:color w:val="000000"/>
          <w:kern w:val="0"/>
          <w:lang w:bidi="ar"/>
        </w:rPr>
        <w:t>）</w:t>
      </w:r>
      <w:r>
        <w:rPr>
          <w:rFonts w:ascii="宋体" w:eastAsia="宋体" w:hAnsi="宋体" w:cs="宋体" w:hint="eastAsia"/>
          <w:color w:val="000000"/>
          <w:kern w:val="0"/>
          <w:lang w:bidi="ar"/>
        </w:rPr>
        <w:t xml:space="preserve">淤泥处理设施事故引起二次污染 </w:t>
      </w:r>
    </w:p>
    <w:p w14:paraId="52519BA3" w14:textId="77777777" w:rsidR="009D12AF" w:rsidRDefault="00000000">
      <w:pPr>
        <w:widowControl/>
        <w:ind w:firstLine="480"/>
        <w:jc w:val="left"/>
      </w:pPr>
      <w:r>
        <w:rPr>
          <w:rFonts w:ascii="宋体" w:eastAsia="宋体" w:hAnsi="宋体" w:cs="宋体" w:hint="eastAsia"/>
          <w:color w:val="000000"/>
          <w:kern w:val="0"/>
          <w:lang w:bidi="ar"/>
        </w:rPr>
        <w:t xml:space="preserve">临时沉淀池铺设复合防渗层，防渗层采用双层 </w:t>
      </w:r>
      <w:r>
        <w:rPr>
          <w:rFonts w:ascii="Times New Roman" w:eastAsia="宋体" w:hAnsi="Times New Roman" w:cs="Times New Roman"/>
          <w:color w:val="000000"/>
          <w:kern w:val="0"/>
          <w:lang w:bidi="ar"/>
        </w:rPr>
        <w:t xml:space="preserve">HDPE </w:t>
      </w:r>
      <w:r>
        <w:rPr>
          <w:rFonts w:ascii="宋体" w:eastAsia="宋体" w:hAnsi="宋体" w:cs="宋体" w:hint="eastAsia"/>
          <w:color w:val="000000"/>
          <w:kern w:val="0"/>
          <w:lang w:bidi="ar"/>
        </w:rPr>
        <w:t>膜</w:t>
      </w:r>
      <w:r>
        <w:rPr>
          <w:rFonts w:ascii="Times New Roman" w:eastAsia="宋体" w:hAnsi="Times New Roman" w:cs="Times New Roman"/>
          <w:color w:val="000000"/>
          <w:kern w:val="0"/>
          <w:lang w:bidi="ar"/>
        </w:rPr>
        <w:t>+</w:t>
      </w:r>
      <w:r>
        <w:rPr>
          <w:rFonts w:ascii="宋体" w:eastAsia="宋体" w:hAnsi="宋体" w:cs="宋体" w:hint="eastAsia"/>
          <w:color w:val="000000"/>
          <w:kern w:val="0"/>
          <w:lang w:bidi="ar"/>
        </w:rPr>
        <w:t>无纺土工布，若防渗层损坏，余水通过沉淀池进入地下水，污染地下水环境。清淤底泥装载过程遗撒或随意堆置，将随降雨产生的地表径流进入库区，影响库区的水质。同时施工期暴雨进入临时沉淀池将导致处理负荷的加重，甚至余水溢流进入库区。</w:t>
      </w:r>
    </w:p>
    <w:p w14:paraId="1FCCA617" w14:textId="77777777" w:rsidR="009D12AF" w:rsidRDefault="00000000">
      <w:pPr>
        <w:ind w:firstLine="480"/>
      </w:pPr>
      <w:r>
        <w:rPr>
          <w:rFonts w:hint="eastAsia"/>
        </w:rPr>
        <w:t>3</w:t>
      </w:r>
      <w:r>
        <w:rPr>
          <w:rFonts w:hint="eastAsia"/>
        </w:rPr>
        <w:t>、环境风险分析</w:t>
      </w:r>
    </w:p>
    <w:p w14:paraId="090C8D16" w14:textId="77777777" w:rsidR="009D12AF" w:rsidRDefault="00000000">
      <w:pPr>
        <w:ind w:firstLine="480"/>
      </w:pPr>
      <w:r>
        <w:rPr>
          <w:rFonts w:hint="eastAsia"/>
        </w:rPr>
        <w:t>（</w:t>
      </w:r>
      <w:r>
        <w:rPr>
          <w:rFonts w:hint="eastAsia"/>
        </w:rPr>
        <w:t>1</w:t>
      </w:r>
      <w:r>
        <w:rPr>
          <w:rFonts w:hint="eastAsia"/>
        </w:rPr>
        <w:t>）溢油事故影响分析</w:t>
      </w:r>
    </w:p>
    <w:p w14:paraId="418D3878" w14:textId="77777777" w:rsidR="009D12AF" w:rsidRDefault="00000000">
      <w:pPr>
        <w:widowControl/>
        <w:ind w:firstLine="480"/>
        <w:jc w:val="left"/>
      </w:pPr>
      <w:r>
        <w:rPr>
          <w:rFonts w:ascii="宋体" w:eastAsia="宋体" w:hAnsi="宋体" w:cs="宋体" w:hint="eastAsia"/>
          <w:color w:val="000000"/>
          <w:kern w:val="0"/>
          <w:lang w:bidi="ar"/>
        </w:rPr>
        <w:t>施工期间发生事故溢油后，溢油在库区水面形成油膜以后，受到水流的作用，使一部分以油滴形式进入水形成分散油，另外，由于机械动力，如涡旋、湍流等</w:t>
      </w:r>
      <w:r>
        <w:rPr>
          <w:rFonts w:ascii="宋体" w:eastAsia="宋体" w:hAnsi="宋体" w:cs="宋体" w:hint="eastAsia"/>
          <w:color w:val="000000"/>
          <w:kern w:val="0"/>
          <w:lang w:bidi="ar"/>
        </w:rPr>
        <w:lastRenderedPageBreak/>
        <w:t>因素，使油和水混合，形成油包水乳物和水包油乳物化。这两种作用都将增加水质的油类浓度，特别是上层水中的浓度将明显增加。</w:t>
      </w:r>
    </w:p>
    <w:p w14:paraId="61BC2544" w14:textId="77777777" w:rsidR="009D12AF" w:rsidRDefault="009D12AF">
      <w:pPr>
        <w:widowControl/>
        <w:ind w:firstLine="480"/>
        <w:jc w:val="left"/>
      </w:pPr>
    </w:p>
    <w:p w14:paraId="09EE7B19" w14:textId="77777777" w:rsidR="009D12AF" w:rsidRDefault="00000000">
      <w:pPr>
        <w:widowControl/>
        <w:ind w:firstLine="480"/>
        <w:jc w:val="left"/>
      </w:pPr>
      <w:r>
        <w:rPr>
          <w:rFonts w:ascii="宋体" w:eastAsia="宋体" w:hAnsi="宋体" w:cs="宋体" w:hint="eastAsia"/>
          <w:color w:val="000000"/>
          <w:kern w:val="0"/>
          <w:lang w:bidi="ar"/>
        </w:rPr>
        <w:t>溶解分散于水体的油污的含量起初取决于溶解、分散、吸附和凝聚作用，然后受控于沉积、光氧化、生物化学作用。分散态油污是对水生生物产生直接危害的形式，它的毒性与组份的性质及其分散程度有关，芳香类化合物的毒性较大，且芳环的数目越多，毒性越大。有关研究表明，油污对水环境及水生生态环境的危害主要体现在以下几方面：</w:t>
      </w:r>
    </w:p>
    <w:p w14:paraId="1CF515F2" w14:textId="77777777" w:rsidR="009D12AF" w:rsidRDefault="00000000">
      <w:pPr>
        <w:widowControl/>
        <w:ind w:firstLine="480"/>
        <w:jc w:val="left"/>
      </w:pPr>
      <w:r>
        <w:rPr>
          <w:rFonts w:hint="eastAsia"/>
        </w:rPr>
        <w:t>①</w:t>
      </w:r>
      <w:r>
        <w:rPr>
          <w:rFonts w:ascii="宋体" w:eastAsia="宋体" w:hAnsi="宋体" w:cs="宋体" w:hint="eastAsia"/>
          <w:color w:val="000000"/>
          <w:kern w:val="0"/>
          <w:lang w:bidi="ar"/>
        </w:rPr>
        <w:t>对浮游和底栖生物生物的影响</w:t>
      </w:r>
    </w:p>
    <w:p w14:paraId="0157B0AC" w14:textId="77777777" w:rsidR="009D12AF" w:rsidRDefault="00000000">
      <w:pPr>
        <w:widowControl/>
        <w:wordWrap w:val="0"/>
        <w:ind w:firstLine="480"/>
        <w:jc w:val="left"/>
      </w:pPr>
      <w:r>
        <w:rPr>
          <w:rFonts w:ascii="宋体" w:eastAsia="宋体" w:hAnsi="宋体" w:cs="宋体" w:hint="eastAsia"/>
          <w:color w:val="000000"/>
          <w:kern w:val="0"/>
          <w:lang w:bidi="ar"/>
        </w:rPr>
        <w:t xml:space="preserve">实验证明石油会破坏浮游植物细胞，损坏叶绿素及干扰气体交换，从而妨碍它们的光合作用。这种破坏作用的程度取决于石油的类型，浓度及浮游植物的种类。国内外许多毒性实验结果表明，浮游植物作为鱼虾类饵料的基础，其对各类油类的耐受能力均很低，浮游植物石油急性中毒致死浓度为 </w:t>
      </w:r>
      <w:r>
        <w:rPr>
          <w:rFonts w:ascii="Times New Roman" w:eastAsia="宋体" w:hAnsi="Times New Roman" w:cs="Times New Roman"/>
          <w:color w:val="000000"/>
          <w:kern w:val="0"/>
          <w:lang w:bidi="ar"/>
        </w:rPr>
        <w:t>0.1~10mg/L</w:t>
      </w:r>
      <w:r>
        <w:rPr>
          <w:rFonts w:ascii="宋体" w:eastAsia="宋体" w:hAnsi="宋体" w:cs="宋体" w:hint="eastAsia"/>
          <w:color w:val="000000"/>
          <w:kern w:val="0"/>
          <w:lang w:bidi="ar"/>
        </w:rPr>
        <w:t xml:space="preserve">，一般为 </w:t>
      </w:r>
      <w:r>
        <w:rPr>
          <w:rFonts w:ascii="Times New Roman" w:eastAsia="宋体" w:hAnsi="Times New Roman" w:cs="Times New Roman"/>
          <w:color w:val="000000"/>
          <w:kern w:val="0"/>
          <w:lang w:bidi="ar"/>
        </w:rPr>
        <w:t>1.0~3.6mg/L</w:t>
      </w:r>
      <w:r>
        <w:rPr>
          <w:rFonts w:ascii="宋体" w:eastAsia="宋体" w:hAnsi="宋体" w:cs="宋体" w:hint="eastAsia"/>
          <w:color w:val="000000"/>
          <w:kern w:val="0"/>
          <w:lang w:bidi="ar"/>
        </w:rPr>
        <w:t xml:space="preserve">。对于更敏感的生物种类，即使油浓度低于 </w:t>
      </w:r>
      <w:r>
        <w:rPr>
          <w:rFonts w:ascii="Times New Roman" w:eastAsia="宋体" w:hAnsi="Times New Roman" w:cs="Times New Roman"/>
          <w:color w:val="000000"/>
          <w:kern w:val="0"/>
          <w:lang w:bidi="ar"/>
        </w:rPr>
        <w:t xml:space="preserve">0.1mg/L </w:t>
      </w:r>
      <w:r>
        <w:rPr>
          <w:rFonts w:ascii="宋体" w:eastAsia="宋体" w:hAnsi="宋体" w:cs="宋体" w:hint="eastAsia"/>
          <w:color w:val="000000"/>
          <w:kern w:val="0"/>
          <w:lang w:bidi="ar"/>
        </w:rPr>
        <w:t>也会妨碍其细胞的分裂和生长的速率。浮游动物石油急性中毒致死浓度范围一般为</w:t>
      </w:r>
      <w:r>
        <w:rPr>
          <w:rFonts w:ascii="Times New Roman" w:eastAsia="宋体" w:hAnsi="Times New Roman" w:cs="Times New Roman"/>
          <w:color w:val="000000"/>
          <w:kern w:val="0"/>
          <w:lang w:bidi="ar"/>
        </w:rPr>
        <w:t>0.1-15mg/L</w:t>
      </w:r>
      <w:r>
        <w:rPr>
          <w:rFonts w:ascii="宋体" w:eastAsia="宋体" w:hAnsi="宋体" w:cs="宋体" w:hint="eastAsia"/>
          <w:color w:val="000000"/>
          <w:kern w:val="0"/>
          <w:lang w:bidi="ar"/>
        </w:rPr>
        <w:t xml:space="preserve">，而且通过不同浓度的石油类环境对桡足类幼体的影响实验表明，永久性浮游动物幼体的敏感性大于阶段性的底栖生物幼体，而他们各自的幼体的敏感性又大于成体。不同种类底栖生物对石油浓度的适应性具有差异，多数底栖生物石油急性中毒致死浓度范围在 </w:t>
      </w:r>
      <w:r>
        <w:rPr>
          <w:rFonts w:ascii="Times New Roman" w:eastAsia="宋体" w:hAnsi="Times New Roman" w:cs="Times New Roman"/>
          <w:color w:val="000000"/>
          <w:kern w:val="0"/>
          <w:lang w:bidi="ar"/>
        </w:rPr>
        <w:t>2.0~15mg/L</w:t>
      </w:r>
      <w:r>
        <w:rPr>
          <w:rFonts w:ascii="宋体" w:eastAsia="宋体" w:hAnsi="宋体" w:cs="宋体" w:hint="eastAsia"/>
          <w:color w:val="000000"/>
          <w:kern w:val="0"/>
          <w:lang w:bidi="ar"/>
        </w:rPr>
        <w:t xml:space="preserve">，其幼体的致死浓度范围更小。底栖生物的油污耐性通常很差，即使水体中石油含量只有 </w:t>
      </w:r>
      <w:r>
        <w:rPr>
          <w:rFonts w:ascii="Times New Roman" w:eastAsia="宋体" w:hAnsi="Times New Roman" w:cs="Times New Roman"/>
          <w:color w:val="000000"/>
          <w:kern w:val="0"/>
          <w:lang w:bidi="ar"/>
        </w:rPr>
        <w:t xml:space="preserve">0.01ppm </w:t>
      </w:r>
      <w:r>
        <w:rPr>
          <w:rFonts w:ascii="宋体" w:eastAsia="宋体" w:hAnsi="宋体" w:cs="宋体" w:hint="eastAsia"/>
          <w:color w:val="000000"/>
          <w:kern w:val="0"/>
          <w:lang w:bidi="ar"/>
        </w:rPr>
        <w:t xml:space="preserve">也会导致其死亡。当水体中石油浓度在 </w:t>
      </w:r>
      <w:r>
        <w:rPr>
          <w:rFonts w:ascii="Times New Roman" w:eastAsia="宋体" w:hAnsi="Times New Roman" w:cs="Times New Roman"/>
          <w:color w:val="000000"/>
          <w:kern w:val="0"/>
          <w:lang w:bidi="ar"/>
        </w:rPr>
        <w:t xml:space="preserve">0.10.01ppm </w:t>
      </w:r>
      <w:r>
        <w:rPr>
          <w:rFonts w:ascii="宋体" w:eastAsia="宋体" w:hAnsi="宋体" w:cs="宋体" w:hint="eastAsia"/>
          <w:color w:val="000000"/>
          <w:kern w:val="0"/>
          <w:lang w:bidi="ar"/>
        </w:rPr>
        <w:t>时，对某些底栖甲壳类动物幼体有明显的毒效。</w:t>
      </w:r>
    </w:p>
    <w:p w14:paraId="1C215C1A" w14:textId="77777777" w:rsidR="009D12AF" w:rsidRDefault="00000000">
      <w:pPr>
        <w:ind w:firstLine="480"/>
      </w:pPr>
      <w:r>
        <w:rPr>
          <w:rFonts w:hint="eastAsia"/>
        </w:rPr>
        <w:t>②对鱼类的影响</w:t>
      </w:r>
    </w:p>
    <w:p w14:paraId="46D70BF7" w14:textId="77777777" w:rsidR="009D12AF" w:rsidRDefault="00000000">
      <w:pPr>
        <w:widowControl/>
        <w:ind w:firstLine="480"/>
        <w:jc w:val="left"/>
      </w:pPr>
      <w:r>
        <w:rPr>
          <w:rFonts w:ascii="宋体" w:eastAsia="宋体" w:hAnsi="宋体" w:cs="宋体" w:hint="eastAsia"/>
          <w:color w:val="000000"/>
          <w:kern w:val="0"/>
          <w:lang w:bidi="ar"/>
        </w:rPr>
        <w:t>石油通常是通过鱼鳃呼吸、代谢、体表渗透和生物链传输逐渐富集于生物体内，而导致对鱼类的毒性和中毒作用，其症状主要表现为致死性、神经性、对造血功能的损伤和酶活性的抑制；慢性中毒影响，即在小剂量、低浓度之下，仍表现代谢毒性、生活毒性以及</w:t>
      </w:r>
      <w:r>
        <w:rPr>
          <w:rFonts w:ascii="Times New Roman" w:eastAsia="宋体" w:hAnsi="Times New Roman" w:cs="Times New Roman"/>
          <w:color w:val="000000"/>
          <w:kern w:val="0"/>
          <w:lang w:bidi="ar"/>
        </w:rPr>
        <w:t>“</w:t>
      </w:r>
      <w:r>
        <w:rPr>
          <w:rFonts w:ascii="宋体" w:eastAsia="宋体" w:hAnsi="宋体" w:cs="宋体" w:hint="eastAsia"/>
          <w:color w:val="000000"/>
          <w:kern w:val="0"/>
          <w:lang w:bidi="ar"/>
        </w:rPr>
        <w:t>致癌、致畸、致突变</w:t>
      </w:r>
      <w:r>
        <w:rPr>
          <w:rFonts w:ascii="Times New Roman" w:eastAsia="宋体" w:hAnsi="Times New Roman" w:cs="Times New Roman"/>
          <w:color w:val="000000"/>
          <w:kern w:val="0"/>
          <w:lang w:bidi="ar"/>
        </w:rPr>
        <w:t>”</w:t>
      </w:r>
      <w:r>
        <w:rPr>
          <w:rFonts w:ascii="宋体" w:eastAsia="宋体" w:hAnsi="宋体" w:cs="宋体" w:hint="eastAsia"/>
          <w:color w:val="000000"/>
          <w:kern w:val="0"/>
          <w:lang w:bidi="ar"/>
        </w:rPr>
        <w:t>的三致毒理效应。国内外许多研究均表明，高浓度的石油会使鱼卵、仔幼鱼短时间内中毒死亡，而低浓度石油所引起的长期亚急性毒性可干扰鱼类摄食和繁殖，其毒性随石油组分的不同而有</w:t>
      </w:r>
      <w:r>
        <w:rPr>
          <w:rFonts w:ascii="宋体" w:eastAsia="宋体" w:hAnsi="宋体" w:cs="宋体" w:hint="eastAsia"/>
          <w:color w:val="000000"/>
          <w:kern w:val="0"/>
          <w:lang w:bidi="ar"/>
        </w:rPr>
        <w:lastRenderedPageBreak/>
        <w:t>差异。此外，水体中一旦发生油污染，扩散的油分子会迅速随风及水的流动而扩散，鱼类等水产资源一旦与其接触，即会在短时间内发生油臭，从而影响其食用价值。</w:t>
      </w:r>
    </w:p>
    <w:p w14:paraId="42F2E2C0" w14:textId="77777777" w:rsidR="009D12AF" w:rsidRDefault="00000000">
      <w:pPr>
        <w:ind w:firstLine="480"/>
      </w:pPr>
      <w:r>
        <w:rPr>
          <w:rFonts w:hint="eastAsia"/>
        </w:rPr>
        <w:t>③破坏水生生态平衡</w:t>
      </w:r>
    </w:p>
    <w:p w14:paraId="7AF1C400" w14:textId="77777777" w:rsidR="009D12AF" w:rsidRDefault="00000000">
      <w:pPr>
        <w:widowControl/>
        <w:ind w:firstLine="480"/>
        <w:jc w:val="left"/>
      </w:pPr>
      <w:r>
        <w:rPr>
          <w:rFonts w:ascii="宋体" w:eastAsia="宋体" w:hAnsi="宋体" w:cs="宋体" w:hint="eastAsia"/>
          <w:color w:val="000000"/>
          <w:kern w:val="0"/>
          <w:lang w:bidi="ar"/>
        </w:rPr>
        <w:t xml:space="preserve">溢油污染对生物最严重的威胁还在于它可能改变或破坏正常的水生生态。当水面漂浮着大片油膜时，就能降低表面水中的日光辐射量，因而引起依赖光合作用生存的浮游植物数量的减少。浮游植物是食物链中最低级的一环，其初级生产力约占生物总生产力的百分之九十。它的数量减少，势必导致食物链其它更多环节上的生物数量相应减少。这样就使得整个 </w:t>
      </w:r>
    </w:p>
    <w:p w14:paraId="27F9358E" w14:textId="77777777" w:rsidR="009D12AF" w:rsidRDefault="00000000">
      <w:pPr>
        <w:widowControl/>
        <w:ind w:firstLine="480"/>
        <w:jc w:val="left"/>
      </w:pPr>
      <w:r>
        <w:rPr>
          <w:rFonts w:ascii="宋体" w:eastAsia="宋体" w:hAnsi="宋体" w:cs="宋体" w:hint="eastAsia"/>
          <w:color w:val="000000"/>
          <w:kern w:val="0"/>
          <w:lang w:bidi="ar"/>
        </w:rPr>
        <w:t>水生生物群落的衰退。因为浮游植物又是水体中甚至是整个地球上氧气的主要提供者，所以水体中的溶解氧含量也将随之降低，一些厌氧的种群增殖，而好氧的生物则衰减。其最终结果也会导致水生生态平衡的失调。同时溢油污染会杀死水鸟和鱼类，导致物种种类和数量减少。另外，污染还会影响水生生物的许多习惯，如觅食、避敌、栖息区选择、繁殖、洄游等，从而使一些对污染敏感的种群减少，其余的种群则相应增殖，改变了生物群落原有的结构。</w:t>
      </w:r>
    </w:p>
    <w:p w14:paraId="1E883E50" w14:textId="77777777" w:rsidR="009D12AF" w:rsidRDefault="00000000">
      <w:pPr>
        <w:widowControl/>
        <w:ind w:firstLine="480"/>
        <w:jc w:val="left"/>
      </w:pPr>
      <w:r>
        <w:rPr>
          <w:rFonts w:hint="eastAsia"/>
        </w:rPr>
        <w:t>④对水库水质影响</w:t>
      </w:r>
    </w:p>
    <w:p w14:paraId="6BCB3F9A" w14:textId="77777777" w:rsidR="009D12AF" w:rsidRDefault="00000000">
      <w:pPr>
        <w:widowControl/>
        <w:ind w:firstLine="480"/>
        <w:jc w:val="left"/>
      </w:pPr>
      <w:r>
        <w:rPr>
          <w:rFonts w:ascii="宋体" w:eastAsia="宋体" w:hAnsi="宋体" w:cs="宋体" w:hint="eastAsia"/>
          <w:color w:val="000000"/>
          <w:kern w:val="0"/>
          <w:lang w:bidi="ar"/>
        </w:rPr>
        <w:t>溢油进入水体后，在水体表面输移过程中还伴随着风化过程（蒸发、溶解、乳化），溢油的组份进入水体中，使下覆水体中的石油类、挥发酚等特征污染因子浓度升高，危害水环境。</w:t>
      </w:r>
    </w:p>
    <w:p w14:paraId="6F53EE27" w14:textId="77777777" w:rsidR="009D12AF" w:rsidRDefault="00000000">
      <w:pPr>
        <w:ind w:firstLine="480"/>
      </w:pPr>
      <w:r>
        <w:rPr>
          <w:rFonts w:hint="eastAsia"/>
        </w:rPr>
        <w:t>⑤对水源地水质影响</w:t>
      </w:r>
    </w:p>
    <w:p w14:paraId="01E44E13" w14:textId="77777777" w:rsidR="009D12AF" w:rsidRDefault="00000000">
      <w:pPr>
        <w:ind w:firstLine="480"/>
        <w:rPr>
          <w:rFonts w:ascii="宋体" w:eastAsia="宋体" w:hAnsi="宋体" w:cs="宋体" w:hint="eastAsia"/>
          <w:color w:val="000000"/>
          <w:kern w:val="0"/>
          <w:lang w:bidi="ar"/>
        </w:rPr>
      </w:pPr>
      <w:r>
        <w:rPr>
          <w:rFonts w:hint="eastAsia"/>
        </w:rPr>
        <w:t>向阳水电站</w:t>
      </w:r>
      <w:r>
        <w:t>清淤工程位于</w:t>
      </w:r>
      <w:r>
        <w:rPr>
          <w:rFonts w:hint="eastAsia"/>
          <w:smallCaps/>
        </w:rPr>
        <w:t>海林市二水厂（改扩建）饮用水水源二级保护区</w:t>
      </w:r>
      <w:r>
        <w:rPr>
          <w:rFonts w:hint="eastAsia"/>
        </w:rPr>
        <w:t>，距离</w:t>
      </w:r>
      <w:r>
        <w:t>二级保护区</w:t>
      </w:r>
      <w:r>
        <w:rPr>
          <w:rFonts w:hint="eastAsia"/>
        </w:rPr>
        <w:t>取水口上游约</w:t>
      </w:r>
      <w:r>
        <w:rPr>
          <w:rFonts w:hint="eastAsia"/>
        </w:rPr>
        <w:t>30km</w:t>
      </w:r>
      <w:r>
        <w:rPr>
          <w:rFonts w:hint="eastAsia"/>
        </w:rPr>
        <w:t>处，</w:t>
      </w:r>
      <w:r>
        <w:rPr>
          <w:rFonts w:ascii="宋体" w:eastAsia="宋体" w:hAnsi="宋体" w:cs="宋体" w:hint="eastAsia"/>
          <w:color w:val="000000"/>
          <w:kern w:val="0"/>
          <w:lang w:bidi="ar"/>
        </w:rPr>
        <w:t>溢油进入水体后，对取水口几乎无影响。</w:t>
      </w:r>
    </w:p>
    <w:p w14:paraId="2E93E4C7" w14:textId="77777777" w:rsidR="009D12AF" w:rsidRDefault="00000000">
      <w:pPr>
        <w:ind w:firstLine="480"/>
        <w:rPr>
          <w:rFonts w:ascii="宋体" w:eastAsia="宋体" w:hAnsi="宋体" w:cs="宋体" w:hint="eastAsia"/>
          <w:color w:val="000000"/>
          <w:kern w:val="0"/>
          <w:lang w:bidi="ar"/>
        </w:rPr>
      </w:pPr>
      <w:r>
        <w:rPr>
          <w:rFonts w:ascii="宋体" w:eastAsia="宋体" w:hAnsi="宋体" w:cs="宋体" w:hint="eastAsia"/>
          <w:color w:val="000000"/>
          <w:kern w:val="0"/>
          <w:lang w:bidi="ar"/>
        </w:rPr>
        <w:t>⑥对自然保护区水质影响</w:t>
      </w:r>
    </w:p>
    <w:p w14:paraId="7ABC70C5"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群力水库位于黑龙江海林莲花湖省级自然保护区，溢油进入水体后，在水体表面输移过程中还伴随着风化过程（蒸发、溶解、乳化），溢油的组份进入水体中，使下覆水体中的石油类、挥发酚等特征污染因子浓度升高，危害水环境。</w:t>
      </w:r>
    </w:p>
    <w:p w14:paraId="2A3F3B8A"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（2）淤泥处理设施事故影响分析</w:t>
      </w:r>
    </w:p>
    <w:p w14:paraId="56DBEE47" w14:textId="77777777" w:rsidR="009D12AF" w:rsidRDefault="00000000">
      <w:pPr>
        <w:widowControl/>
        <w:ind w:firstLine="480"/>
        <w:jc w:val="left"/>
      </w:pPr>
      <w:r>
        <w:rPr>
          <w:rFonts w:ascii="宋体" w:eastAsia="宋体" w:hAnsi="宋体" w:cs="宋体" w:hint="eastAsia"/>
          <w:color w:val="000000"/>
          <w:kern w:val="0"/>
          <w:lang w:bidi="ar"/>
        </w:rPr>
        <w:lastRenderedPageBreak/>
        <w:t xml:space="preserve">临时沉淀池铺设复合防渗层，防渗层采用双层 </w:t>
      </w:r>
      <w:r>
        <w:rPr>
          <w:rFonts w:ascii="Times New Roman" w:eastAsia="宋体" w:hAnsi="Times New Roman" w:cs="Times New Roman"/>
          <w:color w:val="000000"/>
          <w:kern w:val="0"/>
          <w:lang w:bidi="ar"/>
        </w:rPr>
        <w:t xml:space="preserve">HDPE </w:t>
      </w:r>
      <w:r>
        <w:rPr>
          <w:rFonts w:ascii="宋体" w:eastAsia="宋体" w:hAnsi="宋体" w:cs="宋体" w:hint="eastAsia"/>
          <w:color w:val="000000"/>
          <w:kern w:val="0"/>
          <w:lang w:bidi="ar"/>
        </w:rPr>
        <w:t>膜</w:t>
      </w:r>
      <w:r>
        <w:rPr>
          <w:rFonts w:ascii="Times New Roman" w:eastAsia="宋体" w:hAnsi="Times New Roman" w:cs="Times New Roman"/>
          <w:color w:val="000000"/>
          <w:kern w:val="0"/>
          <w:lang w:bidi="ar"/>
        </w:rPr>
        <w:t>+</w:t>
      </w:r>
      <w:r>
        <w:rPr>
          <w:rFonts w:ascii="宋体" w:eastAsia="宋体" w:hAnsi="宋体" w:cs="宋体" w:hint="eastAsia"/>
          <w:color w:val="000000"/>
          <w:kern w:val="0"/>
          <w:lang w:bidi="ar"/>
        </w:rPr>
        <w:t>无纺土工布，若防渗层损坏，余水通过沉淀池进入地下水，污染地下水环境。清淤底泥装载过程遗撒或随意堆置未按规定处置，将随降雨产生的地表径流进入库区，</w:t>
      </w:r>
      <w:r>
        <w:rPr>
          <w:rFonts w:ascii="Times New Roman" w:eastAsia="宋体" w:hAnsi="Times New Roman" w:cs="Times New Roman"/>
          <w:color w:val="000000"/>
          <w:kern w:val="0"/>
          <w:lang w:bidi="ar"/>
        </w:rPr>
        <w:t xml:space="preserve">SS </w:t>
      </w:r>
      <w:r>
        <w:rPr>
          <w:rFonts w:ascii="宋体" w:eastAsia="宋体" w:hAnsi="宋体" w:cs="宋体" w:hint="eastAsia"/>
          <w:color w:val="000000"/>
          <w:kern w:val="0"/>
          <w:lang w:bidi="ar"/>
        </w:rPr>
        <w:t>等污染物含量升高，将对环境产生二次污染并影响库区供水。同时施工期暴雨进入临时沉淀池将导致处理负荷的加重，甚至余水外溢，进入库区影响库区的水质。</w:t>
      </w:r>
    </w:p>
    <w:p w14:paraId="4E510F21"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4、环境风险防范措施及应急要求</w:t>
      </w:r>
    </w:p>
    <w:p w14:paraId="16BE5010" w14:textId="77777777" w:rsidR="009D12AF" w:rsidRDefault="00000000">
      <w:pPr>
        <w:ind w:firstLine="480"/>
        <w:rPr>
          <w:bCs/>
        </w:rPr>
      </w:pPr>
      <w:r>
        <w:rPr>
          <w:rFonts w:hint="eastAsia"/>
          <w:bCs/>
        </w:rPr>
        <w:t>（</w:t>
      </w:r>
      <w:r>
        <w:rPr>
          <w:rFonts w:hint="eastAsia"/>
          <w:bCs/>
        </w:rPr>
        <w:t>1</w:t>
      </w:r>
      <w:r>
        <w:rPr>
          <w:rFonts w:hint="eastAsia"/>
          <w:bCs/>
        </w:rPr>
        <w:t>）溢油事故风险防范措施</w:t>
      </w:r>
    </w:p>
    <w:p w14:paraId="1E123EF2" w14:textId="77777777" w:rsidR="009D12AF" w:rsidRDefault="00000000">
      <w:pPr>
        <w:widowControl/>
        <w:ind w:firstLine="480"/>
        <w:jc w:val="left"/>
      </w:pPr>
      <w:r>
        <w:rPr>
          <w:rFonts w:ascii="宋体" w:eastAsia="宋体" w:hAnsi="宋体" w:cs="宋体" w:hint="eastAsia"/>
          <w:color w:val="000000"/>
          <w:kern w:val="0"/>
          <w:lang w:bidi="ar"/>
        </w:rPr>
        <w:t>本项目施工期可能会发生溢油事故，溢油事故的发生，大多是由于人为因素造成的，但是由于存在很多不可预见的非人为因素，突发</w:t>
      </w:r>
      <w:r>
        <w:rPr>
          <w:rFonts w:ascii="Times New Roman" w:eastAsia="宋体" w:hAnsi="Times New Roman" w:cs="Times New Roman"/>
          <w:color w:val="000000"/>
          <w:kern w:val="0"/>
          <w:lang w:bidi="ar"/>
        </w:rPr>
        <w:t>/</w:t>
      </w:r>
      <w:r>
        <w:rPr>
          <w:rFonts w:ascii="宋体" w:eastAsia="宋体" w:hAnsi="宋体" w:cs="宋体" w:hint="eastAsia"/>
          <w:color w:val="000000"/>
          <w:kern w:val="0"/>
          <w:lang w:bidi="ar"/>
        </w:rPr>
        <w:t>偶发事故是不可避免的，溢油事故一旦发生，会对周边环境影响和危害，因此，本节针对溢油事故制定并提出风险防范措施。</w:t>
      </w:r>
    </w:p>
    <w:p w14:paraId="3D05882E" w14:textId="77777777" w:rsidR="009D12AF" w:rsidRDefault="00000000">
      <w:pPr>
        <w:ind w:firstLine="480"/>
        <w:rPr>
          <w:bCs/>
        </w:rPr>
      </w:pPr>
      <w:r>
        <w:rPr>
          <w:rFonts w:hint="eastAsia"/>
          <w:bCs/>
        </w:rPr>
        <w:t>①源头防范措施</w:t>
      </w:r>
    </w:p>
    <w:p w14:paraId="18462461" w14:textId="77777777" w:rsidR="009D12AF" w:rsidRDefault="00000000">
      <w:pPr>
        <w:widowControl/>
        <w:ind w:firstLine="480"/>
        <w:jc w:val="left"/>
      </w:pPr>
      <w:r>
        <w:rPr>
          <w:rFonts w:ascii="宋体" w:eastAsia="宋体" w:hAnsi="宋体" w:cs="宋体" w:hint="eastAsia"/>
          <w:color w:val="000000"/>
          <w:kern w:val="0"/>
          <w:lang w:bidi="ar"/>
        </w:rPr>
        <w:t xml:space="preserve">为了尽量避免溢油事故的发生，本评价提出以下针对项目的污染防范措施： </w:t>
      </w:r>
    </w:p>
    <w:p w14:paraId="55EE64A5" w14:textId="77777777" w:rsidR="009D12AF" w:rsidRDefault="00000000">
      <w:pPr>
        <w:widowControl/>
        <w:ind w:firstLine="480"/>
        <w:jc w:val="left"/>
      </w:pPr>
      <w:r>
        <w:rPr>
          <w:rFonts w:ascii="Times New Roman" w:eastAsia="宋体" w:hAnsi="Times New Roman" w:cs="Times New Roman"/>
          <w:color w:val="000000"/>
          <w:kern w:val="0"/>
          <w:lang w:bidi="ar"/>
        </w:rPr>
        <w:t>1</w:t>
      </w:r>
      <w:r>
        <w:rPr>
          <w:rFonts w:ascii="宋体" w:eastAsia="宋体" w:hAnsi="宋体" w:cs="宋体" w:hint="eastAsia"/>
          <w:color w:val="000000"/>
          <w:kern w:val="0"/>
          <w:lang w:bidi="ar"/>
        </w:rPr>
        <w:t>）加强对加燃油过程的监管。建议燃油由作业单位统一采购、统一配给，实行统一管理方式，严格落实柴油等燃料油的管理制度。进行作业前须认真检查有关设备，严格按照各项安全检查要求落实各项安全与防污染措施；作业过程中，强化现场值班检查，防止跑油、漏油；作业结束，必须关好有关阀门，确保作业安全，防止水域污染。</w:t>
      </w:r>
    </w:p>
    <w:p w14:paraId="3597EBC1" w14:textId="77777777" w:rsidR="009D12AF" w:rsidRDefault="00000000">
      <w:pPr>
        <w:widowControl/>
        <w:ind w:firstLine="480"/>
        <w:jc w:val="left"/>
      </w:pPr>
      <w:r>
        <w:rPr>
          <w:rFonts w:ascii="Times New Roman" w:eastAsia="宋体" w:hAnsi="Times New Roman" w:cs="Times New Roman"/>
          <w:color w:val="000000"/>
          <w:kern w:val="0"/>
          <w:lang w:bidi="ar"/>
        </w:rPr>
        <w:t>2</w:t>
      </w:r>
      <w:r>
        <w:rPr>
          <w:rFonts w:ascii="宋体" w:eastAsia="宋体" w:hAnsi="宋体" w:cs="宋体" w:hint="eastAsia"/>
          <w:color w:val="000000"/>
          <w:kern w:val="0"/>
          <w:lang w:bidi="ar"/>
        </w:rPr>
        <w:t xml:space="preserve">）加强对施工船只的监督管理，定期对施工设备进行检查维护，作业人员要持证上岗，严格执行操作规程，施工前提前制定好施工计划，合理安排施工进度，严格按照制定好的施工计划，分步合理进行施工，规范施工范围，在施工外缘线设置警示牌，严禁施工船舶行驶到作业区域外。 </w:t>
      </w:r>
    </w:p>
    <w:p w14:paraId="203C0E7A" w14:textId="77777777" w:rsidR="009D12AF" w:rsidRDefault="00000000">
      <w:pPr>
        <w:widowControl/>
        <w:ind w:firstLine="480"/>
        <w:jc w:val="left"/>
      </w:pPr>
      <w:r>
        <w:rPr>
          <w:rFonts w:ascii="Times New Roman" w:eastAsia="宋体" w:hAnsi="Times New Roman" w:cs="Times New Roman"/>
          <w:color w:val="000000"/>
          <w:kern w:val="0"/>
          <w:lang w:bidi="ar"/>
        </w:rPr>
        <w:t>3</w:t>
      </w:r>
      <w:r>
        <w:rPr>
          <w:rFonts w:ascii="宋体" w:eastAsia="宋体" w:hAnsi="宋体" w:cs="宋体" w:hint="eastAsia"/>
          <w:color w:val="000000"/>
          <w:kern w:val="0"/>
          <w:lang w:bidi="ar"/>
        </w:rPr>
        <w:t xml:space="preserve">）提高施工人员的实际操作技能与应变能力，提高施工人员的思想素质与心理素质，增强其安全生产的责任心，同时通过宣传、培训教育等各种有效形式，大力宣传有关的法律法规和强制性规范，不断提高施工作业人员的安全意识和专业水平、环保意识，以及对溢油事故危害和污染损害严重性的认识，避免因人为操作失误而造成漏油事故。 </w:t>
      </w:r>
    </w:p>
    <w:p w14:paraId="3B041D1C" w14:textId="77777777" w:rsidR="009D12AF" w:rsidRDefault="00000000">
      <w:pPr>
        <w:widowControl/>
        <w:ind w:firstLine="480"/>
        <w:jc w:val="left"/>
      </w:pPr>
      <w:r>
        <w:rPr>
          <w:rFonts w:ascii="Times New Roman" w:eastAsia="宋体" w:hAnsi="Times New Roman" w:cs="Times New Roman"/>
          <w:color w:val="000000"/>
          <w:kern w:val="0"/>
          <w:lang w:bidi="ar"/>
        </w:rPr>
        <w:t>4</w:t>
      </w:r>
      <w:r>
        <w:rPr>
          <w:rFonts w:ascii="宋体" w:eastAsia="宋体" w:hAnsi="宋体" w:cs="宋体" w:hint="eastAsia"/>
          <w:color w:val="000000"/>
          <w:kern w:val="0"/>
          <w:lang w:bidi="ar"/>
        </w:rPr>
        <w:t xml:space="preserve">）避开雾季、台风季节施工，严防船只侧翻倾覆。 </w:t>
      </w:r>
    </w:p>
    <w:p w14:paraId="27DD9D41" w14:textId="77777777" w:rsidR="009D12AF" w:rsidRDefault="00000000">
      <w:pPr>
        <w:widowControl/>
        <w:ind w:firstLine="480"/>
        <w:jc w:val="left"/>
      </w:pPr>
      <w:r>
        <w:rPr>
          <w:rFonts w:ascii="Times New Roman" w:eastAsia="宋体" w:hAnsi="Times New Roman" w:cs="Times New Roman"/>
          <w:color w:val="000000"/>
          <w:kern w:val="0"/>
          <w:lang w:bidi="ar"/>
        </w:rPr>
        <w:lastRenderedPageBreak/>
        <w:t>5</w:t>
      </w:r>
      <w:r>
        <w:rPr>
          <w:rFonts w:ascii="宋体" w:eastAsia="宋体" w:hAnsi="宋体" w:cs="宋体" w:hint="eastAsia"/>
          <w:color w:val="000000"/>
          <w:kern w:val="0"/>
          <w:lang w:bidi="ar"/>
        </w:rPr>
        <w:t xml:space="preserve">）建立事故性污染通报机制，确保水厂和当地政府相关职能部门能及时了解污染事故的发生、影响范围和程度，以便采取控制措施，减少污染危害。 </w:t>
      </w:r>
    </w:p>
    <w:p w14:paraId="7BE69788" w14:textId="77777777" w:rsidR="009D12AF" w:rsidRDefault="00000000">
      <w:pPr>
        <w:widowControl/>
        <w:ind w:firstLine="480"/>
        <w:jc w:val="left"/>
      </w:pPr>
      <w:r>
        <w:rPr>
          <w:rFonts w:ascii="Times New Roman" w:eastAsia="宋体" w:hAnsi="Times New Roman" w:cs="Times New Roman"/>
          <w:color w:val="000000"/>
          <w:kern w:val="0"/>
          <w:lang w:bidi="ar"/>
        </w:rPr>
        <w:t xml:space="preserve">6) </w:t>
      </w:r>
      <w:r>
        <w:rPr>
          <w:rFonts w:ascii="宋体" w:eastAsia="宋体" w:hAnsi="宋体" w:cs="宋体" w:hint="eastAsia"/>
          <w:color w:val="000000"/>
          <w:kern w:val="0"/>
          <w:lang w:bidi="ar"/>
        </w:rPr>
        <w:t>严格责任追究制度，对造成事故的责任人员和各种违法行为的操作人员，严格追究其责任，督促从业人员自觉遵守规则。</w:t>
      </w:r>
    </w:p>
    <w:p w14:paraId="58504333" w14:textId="77777777" w:rsidR="009D12AF" w:rsidRDefault="00000000">
      <w:pPr>
        <w:widowControl/>
        <w:ind w:firstLine="480"/>
        <w:jc w:val="left"/>
      </w:pPr>
      <w:r>
        <w:rPr>
          <w:rFonts w:hint="eastAsia"/>
        </w:rPr>
        <w:t>②扩散途径的控制措施</w:t>
      </w:r>
    </w:p>
    <w:p w14:paraId="1A2EF30A" w14:textId="77777777" w:rsidR="009D12AF" w:rsidRDefault="00000000">
      <w:pPr>
        <w:widowControl/>
        <w:ind w:firstLine="480"/>
        <w:jc w:val="left"/>
      </w:pPr>
      <w:r>
        <w:rPr>
          <w:rFonts w:ascii="宋体" w:eastAsia="宋体" w:hAnsi="宋体" w:cs="宋体" w:hint="eastAsia"/>
          <w:color w:val="000000"/>
          <w:kern w:val="0"/>
          <w:lang w:bidi="ar"/>
        </w:rPr>
        <w:t>目前，国际上较多采用的溢油处理方法是物理清除法和化学清除法。物理清除法主要机械设备是围油栏和回收设备，首先是利用围油栏将溢油围在一定的区域内，然后采用回收装置回收溢油；化学清除法则是向浮油喷洒化学药剂</w:t>
      </w:r>
      <w:r>
        <w:rPr>
          <w:rFonts w:ascii="Times New Roman" w:eastAsia="宋体" w:hAnsi="Times New Roman" w:cs="Times New Roman"/>
          <w:color w:val="000000"/>
          <w:kern w:val="0"/>
          <w:lang w:bidi="ar"/>
        </w:rPr>
        <w:t>-</w:t>
      </w:r>
      <w:r>
        <w:rPr>
          <w:rFonts w:ascii="宋体" w:eastAsia="宋体" w:hAnsi="宋体" w:cs="宋体" w:hint="eastAsia"/>
          <w:color w:val="000000"/>
          <w:kern w:val="0"/>
          <w:lang w:bidi="ar"/>
        </w:rPr>
        <w:t>消除剂，使溢油分解消散，一般是在物理清除法不能使用的情况下使用。</w:t>
      </w:r>
    </w:p>
    <w:p w14:paraId="162E959C" w14:textId="77777777" w:rsidR="009D12AF" w:rsidRDefault="00000000">
      <w:pPr>
        <w:widowControl/>
        <w:ind w:firstLine="480"/>
        <w:jc w:val="left"/>
      </w:pPr>
      <w:r>
        <w:rPr>
          <w:rFonts w:ascii="Times New Roman" w:eastAsia="宋体" w:hAnsi="Times New Roman" w:cs="Times New Roman"/>
          <w:color w:val="000000"/>
          <w:kern w:val="0"/>
          <w:lang w:bidi="ar"/>
        </w:rPr>
        <w:t>1</w:t>
      </w:r>
      <w:r>
        <w:rPr>
          <w:rFonts w:ascii="宋体" w:eastAsia="宋体" w:hAnsi="宋体" w:cs="宋体" w:hint="eastAsia"/>
          <w:color w:val="000000"/>
          <w:kern w:val="0"/>
          <w:lang w:bidi="ar"/>
        </w:rPr>
        <w:t>）防止溢油扩散措施：采用帘式</w:t>
      </w:r>
      <w:r>
        <w:rPr>
          <w:rFonts w:ascii="Times New Roman" w:eastAsia="宋体" w:hAnsi="Times New Roman" w:cs="Times New Roman"/>
          <w:color w:val="000000"/>
          <w:kern w:val="0"/>
          <w:lang w:bidi="ar"/>
        </w:rPr>
        <w:t>/</w:t>
      </w:r>
      <w:r>
        <w:rPr>
          <w:rFonts w:ascii="宋体" w:eastAsia="宋体" w:hAnsi="宋体" w:cs="宋体" w:hint="eastAsia"/>
          <w:color w:val="000000"/>
          <w:kern w:val="0"/>
          <w:lang w:bidi="ar"/>
        </w:rPr>
        <w:t xml:space="preserve">围墙式的拦油栅及撇油设备；活塞膜化学药剂会迅速扩散围住漏油周边，把油推向集油设备，将溢油围在一定区域内，然后进行回收。 </w:t>
      </w:r>
    </w:p>
    <w:p w14:paraId="142E4662" w14:textId="77777777" w:rsidR="009D12AF" w:rsidRDefault="00000000">
      <w:pPr>
        <w:widowControl/>
        <w:ind w:firstLine="480"/>
        <w:jc w:val="left"/>
      </w:pPr>
      <w:r>
        <w:rPr>
          <w:rFonts w:ascii="Times New Roman" w:eastAsia="宋体" w:hAnsi="Times New Roman" w:cs="Times New Roman"/>
          <w:color w:val="000000"/>
          <w:kern w:val="0"/>
          <w:lang w:bidi="ar"/>
        </w:rPr>
        <w:t>2</w:t>
      </w:r>
      <w:r>
        <w:rPr>
          <w:rFonts w:ascii="宋体" w:eastAsia="宋体" w:hAnsi="宋体" w:cs="宋体" w:hint="eastAsia"/>
          <w:color w:val="000000"/>
          <w:kern w:val="0"/>
          <w:lang w:bidi="ar"/>
        </w:rPr>
        <w:t xml:space="preserve">）回收和处置：通过天然植物材料（稻草、羽毛等）或者人工材料如吸油毡吸附油进行回收，挤压吸附材料回收油；通过撇油器收集油；通过燃烧剂燃烧油。 </w:t>
      </w:r>
    </w:p>
    <w:p w14:paraId="4E4EE6BB" w14:textId="77777777" w:rsidR="009D12AF" w:rsidRDefault="00000000">
      <w:pPr>
        <w:widowControl/>
        <w:ind w:firstLine="480"/>
        <w:jc w:val="left"/>
      </w:pPr>
      <w:r>
        <w:rPr>
          <w:rFonts w:ascii="Times New Roman" w:eastAsia="宋体" w:hAnsi="Times New Roman" w:cs="Times New Roman"/>
          <w:color w:val="000000"/>
          <w:kern w:val="0"/>
          <w:lang w:bidi="ar"/>
        </w:rPr>
        <w:t>3</w:t>
      </w:r>
      <w:r>
        <w:rPr>
          <w:rFonts w:ascii="宋体" w:eastAsia="宋体" w:hAnsi="宋体" w:cs="宋体" w:hint="eastAsia"/>
          <w:color w:val="000000"/>
          <w:kern w:val="0"/>
          <w:lang w:bidi="ar"/>
        </w:rPr>
        <w:t xml:space="preserve">）事故溢油的处理 </w:t>
      </w:r>
    </w:p>
    <w:p w14:paraId="43F67890" w14:textId="77777777" w:rsidR="009D12AF" w:rsidRDefault="00000000">
      <w:pPr>
        <w:widowControl/>
        <w:ind w:firstLine="480"/>
        <w:jc w:val="left"/>
      </w:pPr>
      <w:r>
        <w:rPr>
          <w:rFonts w:ascii="宋体" w:eastAsia="宋体" w:hAnsi="宋体" w:cs="宋体" w:hint="eastAsia"/>
          <w:color w:val="000000"/>
          <w:kern w:val="0"/>
          <w:lang w:bidi="ar"/>
        </w:rPr>
        <w:t>事故发生后，应用围油栏将漏油围住，以预防蔓延扩散。当溢油发生后，应根据溢油量的大小，油的扩散方向、气象及海况条件，迅速用围油栏围住其扩散方向，进一步缩小围圈面积，最大限度地回收流失的油，减轻其对水域的污染。</w:t>
      </w:r>
    </w:p>
    <w:p w14:paraId="617C03FA" w14:textId="77777777" w:rsidR="009D12AF" w:rsidRDefault="00000000">
      <w:pPr>
        <w:ind w:firstLine="480"/>
        <w:rPr>
          <w:bCs/>
        </w:rPr>
      </w:pPr>
      <w:r>
        <w:rPr>
          <w:rFonts w:hint="eastAsia"/>
          <w:bCs/>
        </w:rPr>
        <w:t>③敏感目标保护控制措施</w:t>
      </w:r>
    </w:p>
    <w:p w14:paraId="6DB17B96" w14:textId="77777777" w:rsidR="009D12AF" w:rsidRDefault="00000000">
      <w:pPr>
        <w:widowControl/>
        <w:ind w:firstLine="480"/>
        <w:jc w:val="left"/>
      </w:pPr>
      <w:r>
        <w:rPr>
          <w:rFonts w:ascii="宋体" w:eastAsia="宋体" w:hAnsi="宋体" w:cs="宋体" w:hint="eastAsia"/>
          <w:color w:val="000000"/>
          <w:kern w:val="0"/>
          <w:lang w:bidi="ar"/>
        </w:rPr>
        <w:t>污染事故发生后，为防止污染事故对环境保护目标的伤害，应极力防止溢出物靠近环境保护目标，应立即根据事故情况采取环境保护目标防护对策。一旦发生污染事故，应第一时间通知并协助水厂，并及时报告环保部门及相关部门，并采取相应级别的应急预案，组织应急力量，调用清污设备实施救援。可采用在取水口周围敷设围油栏封闭保护目标。为了确保保护目标能够得到及时的防护，应建立与保护目标管理机构和应急管理机构的应急联络机制。</w:t>
      </w:r>
    </w:p>
    <w:p w14:paraId="4CDF2DAA" w14:textId="77777777" w:rsidR="009D12AF" w:rsidRDefault="00000000">
      <w:pPr>
        <w:ind w:firstLine="480"/>
        <w:rPr>
          <w:bCs/>
        </w:rPr>
      </w:pPr>
      <w:r>
        <w:rPr>
          <w:rFonts w:hint="eastAsia"/>
          <w:bCs/>
        </w:rPr>
        <w:t>（</w:t>
      </w:r>
      <w:r>
        <w:rPr>
          <w:rFonts w:hint="eastAsia"/>
          <w:bCs/>
        </w:rPr>
        <w:t>2</w:t>
      </w:r>
      <w:r>
        <w:rPr>
          <w:rFonts w:hint="eastAsia"/>
          <w:bCs/>
        </w:rPr>
        <w:t>）淤泥处理设施事故防范措施</w:t>
      </w:r>
    </w:p>
    <w:p w14:paraId="28E7BC7C" w14:textId="77777777" w:rsidR="009D12AF" w:rsidRDefault="00000000">
      <w:pPr>
        <w:widowControl/>
        <w:ind w:firstLine="480"/>
        <w:jc w:val="left"/>
      </w:pPr>
      <w:r>
        <w:rPr>
          <w:rFonts w:ascii="Times New Roman" w:eastAsia="宋体" w:hAnsi="Times New Roman" w:cs="Times New Roman" w:hint="eastAsia"/>
          <w:color w:val="000000"/>
          <w:kern w:val="0"/>
          <w:lang w:bidi="ar"/>
        </w:rPr>
        <w:lastRenderedPageBreak/>
        <w:t>①</w:t>
      </w:r>
      <w:r>
        <w:rPr>
          <w:rFonts w:ascii="宋体" w:eastAsia="宋体" w:hAnsi="宋体" w:cs="宋体" w:hint="eastAsia"/>
          <w:color w:val="000000"/>
          <w:kern w:val="0"/>
          <w:lang w:bidi="ar"/>
        </w:rPr>
        <w:t xml:space="preserve">沉淀池设置围挡及截洪排水沟，并应重视截排水沟的维护及管理，定期对截排水沟进行维护，防止堵塞而影响过水能力； </w:t>
      </w:r>
    </w:p>
    <w:p w14:paraId="5D369FD6" w14:textId="77777777" w:rsidR="009D12AF" w:rsidRDefault="00000000">
      <w:pPr>
        <w:widowControl/>
        <w:ind w:firstLine="480"/>
        <w:jc w:val="left"/>
      </w:pPr>
      <w:r>
        <w:rPr>
          <w:rFonts w:ascii="Times New Roman" w:eastAsia="宋体" w:hAnsi="Times New Roman" w:cs="Times New Roman" w:hint="eastAsia"/>
          <w:color w:val="000000"/>
          <w:kern w:val="0"/>
          <w:lang w:bidi="ar"/>
        </w:rPr>
        <w:t>②</w:t>
      </w:r>
      <w:r>
        <w:rPr>
          <w:rFonts w:ascii="宋体" w:eastAsia="宋体" w:hAnsi="宋体" w:cs="宋体" w:hint="eastAsia"/>
          <w:color w:val="000000"/>
          <w:kern w:val="0"/>
          <w:lang w:bidi="ar"/>
        </w:rPr>
        <w:t xml:space="preserve">施工过程中，建设单位应密切留意当地气象预报，在恶劣天气条件下应提前做好施工安全防护工作，在预报有暴雨出现时，可将清淤区上层清净余水及时抽排，底泥及时清运走； </w:t>
      </w:r>
    </w:p>
    <w:p w14:paraId="139EB6D4" w14:textId="77777777" w:rsidR="009D12AF" w:rsidRDefault="00000000">
      <w:pPr>
        <w:widowControl/>
        <w:ind w:firstLine="480"/>
        <w:jc w:val="left"/>
      </w:pPr>
      <w:r>
        <w:rPr>
          <w:rFonts w:ascii="Times New Roman" w:eastAsia="宋体" w:hAnsi="Times New Roman" w:cs="Times New Roman" w:hint="eastAsia"/>
          <w:color w:val="000000"/>
          <w:kern w:val="0"/>
          <w:lang w:bidi="ar"/>
        </w:rPr>
        <w:t>③</w:t>
      </w:r>
      <w:r>
        <w:rPr>
          <w:rFonts w:ascii="宋体" w:eastAsia="宋体" w:hAnsi="宋体" w:cs="宋体" w:hint="eastAsia"/>
          <w:color w:val="000000"/>
          <w:kern w:val="0"/>
          <w:lang w:bidi="ar"/>
        </w:rPr>
        <w:t xml:space="preserve">如遇暴雨，来不及对清淤物进行及时清运的情况下，应对清淤物采用防水布临时覆盖，防止冲刷破坏，避免产生废水对周围水体产生影响； </w:t>
      </w:r>
    </w:p>
    <w:p w14:paraId="4AD88D93" w14:textId="77777777" w:rsidR="009D12AF" w:rsidRDefault="00000000">
      <w:pPr>
        <w:widowControl/>
        <w:ind w:firstLine="480"/>
        <w:jc w:val="left"/>
      </w:pPr>
      <w:r>
        <w:rPr>
          <w:rFonts w:ascii="Times New Roman" w:eastAsia="宋体" w:hAnsi="Times New Roman" w:cs="Times New Roman" w:hint="eastAsia"/>
          <w:color w:val="000000"/>
          <w:kern w:val="0"/>
          <w:lang w:bidi="ar"/>
        </w:rPr>
        <w:t>④</w:t>
      </w:r>
      <w:r>
        <w:rPr>
          <w:rFonts w:ascii="宋体" w:eastAsia="宋体" w:hAnsi="宋体" w:cs="宋体" w:hint="eastAsia"/>
          <w:color w:val="000000"/>
          <w:kern w:val="0"/>
          <w:lang w:bidi="ar"/>
        </w:rPr>
        <w:t xml:space="preserve">应及时清运清淤物，做到即清即运； </w:t>
      </w:r>
    </w:p>
    <w:p w14:paraId="70BC20D5" w14:textId="77777777" w:rsidR="009D12AF" w:rsidRDefault="00000000">
      <w:pPr>
        <w:widowControl/>
        <w:ind w:firstLine="480"/>
        <w:jc w:val="left"/>
      </w:pPr>
      <w:r>
        <w:rPr>
          <w:rFonts w:ascii="Times New Roman" w:eastAsia="宋体" w:hAnsi="Times New Roman" w:cs="Times New Roman" w:hint="eastAsia"/>
          <w:color w:val="000000"/>
          <w:kern w:val="0"/>
          <w:lang w:bidi="ar"/>
        </w:rPr>
        <w:t>⑤</w:t>
      </w:r>
      <w:r>
        <w:rPr>
          <w:rFonts w:ascii="宋体" w:eastAsia="宋体" w:hAnsi="宋体" w:cs="宋体" w:hint="eastAsia"/>
          <w:color w:val="000000"/>
          <w:kern w:val="0"/>
          <w:lang w:bidi="ar"/>
        </w:rPr>
        <w:t xml:space="preserve">防止运输车辆施工作业区积水，发现问题，及时解决，准备好必要的抢险物资、工具、运载机械。加强值班和巡视，发现险情及时报告，采取紧急措施，严防事态恶化等事故； </w:t>
      </w:r>
    </w:p>
    <w:p w14:paraId="7C4482D0" w14:textId="77777777" w:rsidR="009D12AF" w:rsidRDefault="00000000">
      <w:pPr>
        <w:widowControl/>
        <w:ind w:firstLine="480"/>
        <w:jc w:val="left"/>
      </w:pPr>
      <w:r>
        <w:rPr>
          <w:rFonts w:ascii="Times New Roman" w:eastAsia="宋体" w:hAnsi="Times New Roman" w:cs="Times New Roman" w:hint="eastAsia"/>
          <w:color w:val="000000"/>
          <w:kern w:val="0"/>
          <w:lang w:bidi="ar"/>
        </w:rPr>
        <w:t>⑥</w:t>
      </w:r>
      <w:r>
        <w:rPr>
          <w:rFonts w:ascii="宋体" w:eastAsia="宋体" w:hAnsi="宋体" w:cs="宋体" w:hint="eastAsia"/>
          <w:color w:val="000000"/>
          <w:kern w:val="0"/>
          <w:lang w:bidi="ar"/>
        </w:rPr>
        <w:t xml:space="preserve">定期检查防渗 </w:t>
      </w:r>
      <w:r>
        <w:rPr>
          <w:rFonts w:ascii="Times New Roman" w:eastAsia="宋体" w:hAnsi="Times New Roman" w:cs="Times New Roman"/>
          <w:color w:val="000000"/>
          <w:kern w:val="0"/>
          <w:lang w:bidi="ar"/>
        </w:rPr>
        <w:t xml:space="preserve">HDPE </w:t>
      </w:r>
      <w:r>
        <w:rPr>
          <w:rFonts w:ascii="宋体" w:eastAsia="宋体" w:hAnsi="宋体" w:cs="宋体" w:hint="eastAsia"/>
          <w:color w:val="000000"/>
          <w:kern w:val="0"/>
          <w:lang w:bidi="ar"/>
        </w:rPr>
        <w:t>膜完好情况，发现损坏及时更换。</w:t>
      </w:r>
    </w:p>
    <w:p w14:paraId="6B5B5414" w14:textId="77777777" w:rsidR="009D12AF" w:rsidRDefault="00000000">
      <w:pPr>
        <w:ind w:firstLine="480"/>
        <w:rPr>
          <w:bCs/>
        </w:rPr>
      </w:pPr>
      <w:r>
        <w:rPr>
          <w:rFonts w:hint="eastAsia"/>
          <w:bCs/>
        </w:rPr>
        <w:t>5</w:t>
      </w:r>
      <w:r>
        <w:rPr>
          <w:rFonts w:hint="eastAsia"/>
          <w:bCs/>
        </w:rPr>
        <w:t>、应急措施</w:t>
      </w:r>
    </w:p>
    <w:p w14:paraId="29B58079" w14:textId="77777777" w:rsidR="009D12AF" w:rsidRDefault="00000000">
      <w:pPr>
        <w:widowControl/>
        <w:ind w:firstLine="480"/>
        <w:jc w:val="left"/>
      </w:pPr>
      <w:r>
        <w:rPr>
          <w:rFonts w:hint="eastAsia"/>
          <w:bCs/>
        </w:rPr>
        <w:t>（</w:t>
      </w:r>
      <w:r>
        <w:rPr>
          <w:rFonts w:hint="eastAsia"/>
          <w:bCs/>
        </w:rPr>
        <w:t>1</w:t>
      </w:r>
      <w:r>
        <w:rPr>
          <w:rFonts w:hint="eastAsia"/>
          <w:bCs/>
        </w:rPr>
        <w:t>）</w:t>
      </w:r>
      <w:r>
        <w:rPr>
          <w:rFonts w:ascii="宋体" w:eastAsia="宋体" w:hAnsi="宋体" w:cs="宋体" w:hint="eastAsia"/>
          <w:color w:val="000000"/>
          <w:kern w:val="0"/>
          <w:lang w:bidi="ar"/>
        </w:rPr>
        <w:t>成立应急组织指挥系统及应急队伍</w:t>
      </w:r>
    </w:p>
    <w:p w14:paraId="330E6984" w14:textId="77777777" w:rsidR="009D12AF" w:rsidRDefault="00000000">
      <w:pPr>
        <w:widowControl/>
        <w:ind w:firstLine="480"/>
        <w:jc w:val="left"/>
      </w:pPr>
      <w:r>
        <w:rPr>
          <w:rFonts w:hint="eastAsia"/>
          <w:bCs/>
        </w:rPr>
        <w:t>①</w:t>
      </w:r>
      <w:r>
        <w:rPr>
          <w:rFonts w:ascii="宋体" w:eastAsia="宋体" w:hAnsi="宋体" w:cs="宋体" w:hint="eastAsia"/>
          <w:color w:val="000000"/>
          <w:kern w:val="0"/>
          <w:lang w:bidi="ar"/>
        </w:rPr>
        <w:t>应急计划和日常管理工作由甘村水库管理所负责组织。各有关部门按职责分工，落实应急计划的人员培训与演练，应急设备的配置与维修保养，以及应急计划的预算等。</w:t>
      </w:r>
    </w:p>
    <w:p w14:paraId="4AF2B256" w14:textId="77777777" w:rsidR="009D12AF" w:rsidRDefault="00000000">
      <w:pPr>
        <w:widowControl/>
        <w:ind w:firstLine="480"/>
        <w:jc w:val="left"/>
      </w:pPr>
      <w:r>
        <w:rPr>
          <w:rFonts w:hint="eastAsia"/>
          <w:bCs/>
        </w:rPr>
        <w:t>②</w:t>
      </w:r>
      <w:r>
        <w:rPr>
          <w:rFonts w:ascii="宋体" w:eastAsia="宋体" w:hAnsi="宋体" w:cs="宋体" w:hint="eastAsia"/>
          <w:color w:val="000000"/>
          <w:kern w:val="0"/>
          <w:lang w:bidi="ar"/>
        </w:rPr>
        <w:t>应急指挥系统的功能及构成以应急指挥部为中心，对上接受上级主管单位的指导，横向接受有关单位的支援；对下直接领导各应急防治队伍，对应急反应的全过程实行指挥。协调油污事故处理过程中的重大问题，启动指控各项行动，将事故发展趋势向上级报告，组织员工分析事故原因，各部门履行相应职责</w:t>
      </w:r>
    </w:p>
    <w:p w14:paraId="5BB06EB9" w14:textId="77777777" w:rsidR="009D12AF" w:rsidRDefault="00000000">
      <w:pPr>
        <w:ind w:firstLine="480"/>
        <w:rPr>
          <w:bCs/>
        </w:rPr>
      </w:pPr>
      <w:r>
        <w:rPr>
          <w:rFonts w:hint="eastAsia"/>
          <w:bCs/>
        </w:rPr>
        <w:t>（</w:t>
      </w:r>
      <w:r>
        <w:rPr>
          <w:rFonts w:hint="eastAsia"/>
          <w:bCs/>
        </w:rPr>
        <w:t>2</w:t>
      </w:r>
      <w:r>
        <w:rPr>
          <w:rFonts w:hint="eastAsia"/>
          <w:bCs/>
        </w:rPr>
        <w:t>）定期培训</w:t>
      </w:r>
    </w:p>
    <w:p w14:paraId="1A94951D" w14:textId="77777777" w:rsidR="009D12AF" w:rsidRDefault="00000000">
      <w:pPr>
        <w:widowControl/>
        <w:ind w:firstLine="480"/>
        <w:jc w:val="left"/>
      </w:pPr>
      <w:r>
        <w:rPr>
          <w:rFonts w:hint="eastAsia"/>
          <w:bCs/>
        </w:rPr>
        <w:t>①</w:t>
      </w:r>
      <w:r>
        <w:rPr>
          <w:rFonts w:ascii="宋体" w:eastAsia="宋体" w:hAnsi="宋体" w:cs="宋体" w:hint="eastAsia"/>
          <w:color w:val="000000"/>
          <w:kern w:val="0"/>
          <w:lang w:bidi="ar"/>
        </w:rPr>
        <w:t>培训目的培训对保证施工期间溢油应急计划的有效实施起着至关重要的作用，应定期或不定期地组织管理人员、指挥人员、溢油应急队伍及其他相关人员参加培训，使各参加人员掌握溢油应急反应知识和技术，同时也为检验和修订溢油应急总计划提供依据。</w:t>
      </w:r>
    </w:p>
    <w:p w14:paraId="51292E36" w14:textId="77777777" w:rsidR="009D12AF" w:rsidRDefault="00000000">
      <w:pPr>
        <w:widowControl/>
        <w:ind w:firstLine="480"/>
        <w:jc w:val="left"/>
      </w:pPr>
      <w:r>
        <w:rPr>
          <w:rFonts w:hint="eastAsia"/>
          <w:bCs/>
        </w:rPr>
        <w:t>②</w:t>
      </w:r>
      <w:r>
        <w:rPr>
          <w:rFonts w:ascii="宋体" w:eastAsia="宋体" w:hAnsi="宋体" w:cs="宋体" w:hint="eastAsia"/>
          <w:color w:val="000000"/>
          <w:kern w:val="0"/>
          <w:lang w:bidi="ar"/>
        </w:rPr>
        <w:t>培训内容培训可分为三个层次进行，即作业人员培训、中级管理人员培训和高级管理人员的培训。培训内容由理论培训和操作培训两部分组成，对作业人</w:t>
      </w:r>
      <w:r>
        <w:rPr>
          <w:rFonts w:ascii="宋体" w:eastAsia="宋体" w:hAnsi="宋体" w:cs="宋体" w:hint="eastAsia"/>
          <w:color w:val="000000"/>
          <w:kern w:val="0"/>
          <w:lang w:bidi="ar"/>
        </w:rPr>
        <w:lastRenderedPageBreak/>
        <w:t>员的培训侧重于设施、设备和器材等的使用、操作和维护，对管理人员的培训要求理论和操作并重，其管理和反应对策经验的获得可通过理论培训中总结获得。</w:t>
      </w:r>
    </w:p>
    <w:p w14:paraId="33DE9BB2" w14:textId="77777777" w:rsidR="009D12AF" w:rsidRDefault="00000000">
      <w:pPr>
        <w:ind w:firstLine="480"/>
        <w:rPr>
          <w:bCs/>
        </w:rPr>
      </w:pPr>
      <w:r>
        <w:rPr>
          <w:rFonts w:hint="eastAsia"/>
          <w:bCs/>
        </w:rPr>
        <w:t>（</w:t>
      </w:r>
      <w:r>
        <w:rPr>
          <w:rFonts w:hint="eastAsia"/>
          <w:bCs/>
        </w:rPr>
        <w:t>3</w:t>
      </w:r>
      <w:r>
        <w:rPr>
          <w:rFonts w:hint="eastAsia"/>
          <w:bCs/>
        </w:rPr>
        <w:t>）制定风险事故应急预案</w:t>
      </w:r>
    </w:p>
    <w:p w14:paraId="7E07B97A" w14:textId="77777777" w:rsidR="009D12AF" w:rsidRDefault="00000000">
      <w:pPr>
        <w:widowControl/>
        <w:ind w:firstLine="480"/>
        <w:jc w:val="left"/>
      </w:pPr>
      <w:r>
        <w:rPr>
          <w:rFonts w:ascii="宋体" w:eastAsia="宋体" w:hAnsi="宋体" w:cs="宋体" w:hint="eastAsia"/>
          <w:color w:val="000000"/>
          <w:kern w:val="0"/>
          <w:lang w:bidi="ar"/>
        </w:rPr>
        <w:t xml:space="preserve">制定风险事故应急预案的目的是为了在发生风险事故时，能以最快的速度发挥最大的效能，有序的实施救援，尽快控制事态的发展，降低事故造成的危害，减少事故造成的损失。建设单位应根据环保部《关于印发〈突发环境事件应急预案管理暂行办法〉的通知》（环发 </w:t>
      </w:r>
      <w:r>
        <w:rPr>
          <w:rFonts w:ascii="Times New Roman" w:eastAsia="宋体" w:hAnsi="Times New Roman" w:cs="Times New Roman"/>
          <w:color w:val="000000"/>
          <w:kern w:val="0"/>
          <w:lang w:bidi="ar"/>
        </w:rPr>
        <w:t xml:space="preserve">[2010]113 </w:t>
      </w:r>
      <w:r>
        <w:rPr>
          <w:rFonts w:ascii="宋体" w:eastAsia="宋体" w:hAnsi="宋体" w:cs="宋体" w:hint="eastAsia"/>
          <w:color w:val="000000"/>
          <w:kern w:val="0"/>
          <w:lang w:bidi="ar"/>
        </w:rPr>
        <w:t>号）文件要求，制定突发环境事件应急预案。</w:t>
      </w:r>
    </w:p>
    <w:p w14:paraId="096377E8" w14:textId="77777777" w:rsidR="009D12AF" w:rsidRDefault="00000000">
      <w:pPr>
        <w:ind w:firstLine="480"/>
        <w:rPr>
          <w:bCs/>
        </w:rPr>
      </w:pPr>
      <w:r>
        <w:rPr>
          <w:rFonts w:hint="eastAsia"/>
          <w:bCs/>
        </w:rPr>
        <w:t>（</w:t>
      </w:r>
      <w:r>
        <w:rPr>
          <w:rFonts w:hint="eastAsia"/>
          <w:bCs/>
        </w:rPr>
        <w:t>4</w:t>
      </w:r>
      <w:r>
        <w:rPr>
          <w:rFonts w:hint="eastAsia"/>
          <w:bCs/>
        </w:rPr>
        <w:t>）应急反应程序和措施</w:t>
      </w:r>
    </w:p>
    <w:p w14:paraId="47FBB90D" w14:textId="77777777" w:rsidR="009D12AF" w:rsidRDefault="00000000">
      <w:pPr>
        <w:widowControl/>
        <w:ind w:firstLine="480"/>
        <w:jc w:val="left"/>
      </w:pPr>
      <w:r>
        <w:rPr>
          <w:rFonts w:hint="eastAsia"/>
          <w:bCs/>
        </w:rPr>
        <w:t>①</w:t>
      </w:r>
      <w:r>
        <w:rPr>
          <w:rFonts w:ascii="宋体" w:eastAsia="宋体" w:hAnsi="宋体" w:cs="宋体" w:hint="eastAsia"/>
          <w:color w:val="000000"/>
          <w:kern w:val="0"/>
          <w:lang w:bidi="ar"/>
        </w:rPr>
        <w:t>应急反应程序从现场事故源出现开始启动；</w:t>
      </w:r>
    </w:p>
    <w:p w14:paraId="1EF7034A" w14:textId="77777777" w:rsidR="009D12AF" w:rsidRDefault="00000000">
      <w:pPr>
        <w:widowControl/>
        <w:ind w:firstLine="480"/>
        <w:jc w:val="left"/>
      </w:pPr>
      <w:r>
        <w:rPr>
          <w:rFonts w:hint="eastAsia"/>
          <w:bCs/>
        </w:rPr>
        <w:t>②</w:t>
      </w:r>
      <w:r>
        <w:rPr>
          <w:rFonts w:ascii="宋体" w:eastAsia="宋体" w:hAnsi="宋体" w:cs="宋体" w:hint="eastAsia"/>
          <w:color w:val="000000"/>
          <w:kern w:val="0"/>
          <w:lang w:bidi="ar"/>
        </w:rPr>
        <w:t>一旦发生事故立即停止施工，采取可能做到的应急措施，尽最大可能地减缓油类的泄漏速度与悬浮物的扩散速度，减少油类的泄漏数量，缩小污染物的影响范围；</w:t>
      </w:r>
    </w:p>
    <w:p w14:paraId="0545E004" w14:textId="77777777" w:rsidR="009D12AF" w:rsidRDefault="00000000">
      <w:pPr>
        <w:widowControl/>
        <w:ind w:firstLine="480"/>
        <w:jc w:val="left"/>
      </w:pPr>
      <w:r>
        <w:rPr>
          <w:rFonts w:hint="eastAsia"/>
          <w:bCs/>
        </w:rPr>
        <w:t>③</w:t>
      </w:r>
      <w:r>
        <w:rPr>
          <w:rFonts w:ascii="宋体" w:eastAsia="宋体" w:hAnsi="宋体" w:cs="宋体" w:hint="eastAsia"/>
          <w:color w:val="000000"/>
          <w:kern w:val="0"/>
          <w:lang w:bidi="ar"/>
        </w:rPr>
        <w:t>立即将事故发生的时间、地点、原因、溢油的类型、数量、气象及水文情况及已采取的措施等情况报告水厂及相关部门单位调度，并启动事故应急预案，组织实施应急求助行动，同时应向上级主管部门报告；</w:t>
      </w:r>
    </w:p>
    <w:p w14:paraId="64AF9A6B" w14:textId="77777777" w:rsidR="009D12AF" w:rsidRDefault="00000000">
      <w:pPr>
        <w:widowControl/>
        <w:ind w:firstLine="480"/>
        <w:jc w:val="left"/>
      </w:pPr>
      <w:r>
        <w:rPr>
          <w:rFonts w:hint="eastAsia"/>
          <w:bCs/>
        </w:rPr>
        <w:t>④</w:t>
      </w:r>
      <w:r>
        <w:rPr>
          <w:rFonts w:ascii="宋体" w:eastAsia="宋体" w:hAnsi="宋体" w:cs="宋体" w:hint="eastAsia"/>
          <w:color w:val="000000"/>
          <w:kern w:val="0"/>
          <w:lang w:bidi="ar"/>
        </w:rPr>
        <w:t>采取措施防止溢油、悬浮物继续泄漏、扩散和溢油可能引发的火灾，采取如堵漏、驳油、拖浅、防火、灭火等措施；</w:t>
      </w:r>
    </w:p>
    <w:p w14:paraId="3FC3F814" w14:textId="77777777" w:rsidR="009D12AF" w:rsidRDefault="00000000">
      <w:pPr>
        <w:widowControl/>
        <w:ind w:firstLine="480"/>
        <w:jc w:val="left"/>
      </w:pPr>
      <w:r>
        <w:rPr>
          <w:rFonts w:hint="eastAsia"/>
          <w:bCs/>
        </w:rPr>
        <w:t>⑤</w:t>
      </w:r>
      <w:r>
        <w:rPr>
          <w:rFonts w:ascii="宋体" w:eastAsia="宋体" w:hAnsi="宋体" w:cs="宋体" w:hint="eastAsia"/>
          <w:color w:val="000000"/>
          <w:kern w:val="0"/>
          <w:lang w:bidi="ar"/>
        </w:rPr>
        <w:t>接到事故报告后，要迅速采取营救措施，同时派专业人员赶赴现场，调查了解事故区域、污染范围，可能造成的危害程度等情况，并以最快速度向主管部门作出报告；</w:t>
      </w:r>
    </w:p>
    <w:p w14:paraId="5C10DEBF" w14:textId="77777777" w:rsidR="009D12AF" w:rsidRDefault="00000000">
      <w:pPr>
        <w:widowControl/>
        <w:ind w:firstLine="480"/>
        <w:jc w:val="left"/>
      </w:pPr>
      <w:r>
        <w:rPr>
          <w:rFonts w:hint="eastAsia"/>
          <w:bCs/>
        </w:rPr>
        <w:t>⑥</w:t>
      </w:r>
      <w:r>
        <w:rPr>
          <w:rFonts w:ascii="宋体" w:eastAsia="宋体" w:hAnsi="宋体" w:cs="宋体" w:hint="eastAsia"/>
          <w:color w:val="000000"/>
          <w:kern w:val="0"/>
          <w:lang w:bidi="ar"/>
        </w:rPr>
        <w:t>根据事故的规模，确定反应方案；调度应急防治队伍和应急防治设备、器材以及必要的后勤支援；可能发生火情时，立即通知有关方面起动应急预案；对溢油源周围实施警戒，并监视溢油在水上的扩散；根据溢油区域的气象、风向、水流等情况，采取围油栏围油、污油吸附材料吸油等控制溢油扩散方向；对溢油进行跟踪监测，以掌握环境受污染情况；</w:t>
      </w:r>
    </w:p>
    <w:p w14:paraId="0E3E2A2B" w14:textId="77777777" w:rsidR="009D12AF" w:rsidRDefault="00000000">
      <w:pPr>
        <w:widowControl/>
        <w:ind w:firstLine="480"/>
        <w:jc w:val="left"/>
      </w:pPr>
      <w:r>
        <w:rPr>
          <w:rFonts w:hint="eastAsia"/>
          <w:bCs/>
        </w:rPr>
        <w:t>⑦</w:t>
      </w:r>
      <w:r>
        <w:rPr>
          <w:rFonts w:ascii="宋体" w:eastAsia="宋体" w:hAnsi="宋体" w:cs="宋体" w:hint="eastAsia"/>
          <w:color w:val="000000"/>
          <w:kern w:val="0"/>
          <w:lang w:bidi="ar"/>
        </w:rPr>
        <w:t>对受威胁的水厂取水口采取保护措施。</w:t>
      </w:r>
    </w:p>
    <w:p w14:paraId="01E472DD" w14:textId="77777777" w:rsidR="009D12AF" w:rsidRDefault="00000000">
      <w:pPr>
        <w:widowControl/>
        <w:ind w:firstLine="480"/>
        <w:jc w:val="left"/>
      </w:pPr>
      <w:r>
        <w:rPr>
          <w:rFonts w:hint="eastAsia"/>
          <w:bCs/>
        </w:rPr>
        <w:lastRenderedPageBreak/>
        <w:t>⑧</w:t>
      </w:r>
      <w:r>
        <w:rPr>
          <w:rFonts w:ascii="宋体" w:eastAsia="宋体" w:hAnsi="宋体" w:cs="宋体" w:hint="eastAsia"/>
          <w:color w:val="000000"/>
          <w:kern w:val="0"/>
          <w:lang w:bidi="ar"/>
        </w:rPr>
        <w:t>溢出油盛放在储油罐里，吸油废弃物应堆放在指定地点，委托有相应资质的单位进行处置。</w:t>
      </w:r>
    </w:p>
    <w:p w14:paraId="34174773" w14:textId="77777777" w:rsidR="009D12AF" w:rsidRDefault="009D12AF">
      <w:pPr>
        <w:ind w:firstLine="480"/>
        <w:rPr>
          <w:bCs/>
        </w:rPr>
      </w:pPr>
    </w:p>
    <w:p w14:paraId="7C1CE556" w14:textId="77777777" w:rsidR="009D12AF" w:rsidRDefault="00000000">
      <w:pPr>
        <w:ind w:firstLine="480"/>
        <w:rPr>
          <w:color w:val="000000" w:themeColor="text1"/>
        </w:rPr>
      </w:pPr>
      <w:r>
        <w:rPr>
          <w:rFonts w:hint="eastAsia"/>
          <w:color w:val="000000" w:themeColor="text1"/>
        </w:rPr>
        <w:t>6</w:t>
      </w:r>
      <w:r>
        <w:rPr>
          <w:rFonts w:hint="eastAsia"/>
          <w:color w:val="000000" w:themeColor="text1"/>
        </w:rPr>
        <w:t>、分析结论</w:t>
      </w:r>
    </w:p>
    <w:p w14:paraId="7B970DEC" w14:textId="77777777" w:rsidR="009D12AF" w:rsidRDefault="00000000">
      <w:pPr>
        <w:widowControl/>
        <w:ind w:firstLine="480"/>
        <w:jc w:val="left"/>
      </w:pPr>
      <w:r>
        <w:t>本项目风险源项主要为油类物质泄漏。</w:t>
      </w:r>
      <w:r>
        <w:rPr>
          <w:rFonts w:ascii="宋体" w:eastAsia="宋体" w:hAnsi="宋体" w:cs="宋体" w:hint="eastAsia"/>
          <w:color w:val="000000"/>
          <w:kern w:val="0"/>
          <w:lang w:bidi="ar"/>
        </w:rPr>
        <w:t>在建设单位及施工单位严格遵守各项安全操作规程和制度，落实保护措施及应急应变措施，可最大限度地降低环境风险，把影响降至最低，环境风险处于可以接受的范围内。</w:t>
      </w:r>
    </w:p>
    <w:p w14:paraId="6CFE1656" w14:textId="77777777" w:rsidR="009D12AF" w:rsidRDefault="00000000">
      <w:pPr>
        <w:ind w:firstLine="480"/>
      </w:pPr>
      <w:r>
        <w:t>本项目环境风险可防控，已根据本项目可能影响的范围和程度逐项提出缓解环境风险的建议措施。</w:t>
      </w:r>
    </w:p>
    <w:p w14:paraId="6AABC7F7" w14:textId="77777777" w:rsidR="009D12AF" w:rsidRDefault="00000000">
      <w:pPr>
        <w:pStyle w:val="3"/>
      </w:pPr>
      <w:bookmarkStart w:id="367" w:name="_Toc3712"/>
      <w:r>
        <w:rPr>
          <w:rFonts w:hint="eastAsia"/>
        </w:rPr>
        <w:t>5.1.8</w:t>
      </w:r>
      <w:r>
        <w:rPr>
          <w:rFonts w:hint="eastAsia"/>
        </w:rPr>
        <w:t>施工期水生生态环境影响分析</w:t>
      </w:r>
      <w:bookmarkEnd w:id="367"/>
    </w:p>
    <w:p w14:paraId="5B235021" w14:textId="77777777" w:rsidR="009D12AF" w:rsidRDefault="00000000">
      <w:pPr>
        <w:ind w:firstLine="480"/>
      </w:pPr>
      <w:r>
        <w:rPr>
          <w:rFonts w:hint="eastAsia"/>
        </w:rPr>
        <w:t>1</w:t>
      </w:r>
      <w:r>
        <w:rPr>
          <w:rFonts w:hint="eastAsia"/>
        </w:rPr>
        <w:t>、对浮游生物影响预测</w:t>
      </w:r>
    </w:p>
    <w:p w14:paraId="74C5F66D" w14:textId="77777777" w:rsidR="009D12AF" w:rsidRDefault="00000000">
      <w:pPr>
        <w:ind w:firstLine="480"/>
        <w:rPr>
          <w:bCs/>
        </w:rPr>
      </w:pPr>
      <w:r>
        <w:rPr>
          <w:bCs/>
        </w:rPr>
        <w:t>本工程施工前后的水文情势变化很小，对水生生物物理栖息地的水力要素影响很小，不会改变现有浮游生物的水流条件，同时海浪河干流水质也基本不变，因此工程运行水土流失范围较大，对浮游生物的生境有一定影响，浮游生物将有一定损失。</w:t>
      </w:r>
    </w:p>
    <w:p w14:paraId="698B97C6" w14:textId="77777777" w:rsidR="009D12AF" w:rsidRDefault="00000000">
      <w:pPr>
        <w:ind w:firstLine="480"/>
        <w:rPr>
          <w:rFonts w:ascii="Times New Roman" w:hAnsi="Times New Roman" w:cs="Times New Roman"/>
          <w:color w:val="000000" w:themeColor="text1"/>
          <w:szCs w:val="22"/>
        </w:rPr>
      </w:pPr>
      <w:r>
        <w:rPr>
          <w:rFonts w:hint="eastAsia"/>
          <w:bCs/>
        </w:rPr>
        <w:t>（</w:t>
      </w:r>
      <w:r>
        <w:rPr>
          <w:rFonts w:hint="eastAsia"/>
          <w:bCs/>
        </w:rPr>
        <w:t>1</w:t>
      </w:r>
      <w:r>
        <w:rPr>
          <w:rFonts w:hint="eastAsia"/>
          <w:bCs/>
        </w:rPr>
        <w:t>）</w:t>
      </w:r>
      <w:r>
        <w:rPr>
          <w:rFonts w:ascii="Times New Roman" w:hAnsi="Times New Roman" w:cs="Times New Roman"/>
          <w:color w:val="000000" w:themeColor="text1"/>
          <w:szCs w:val="22"/>
        </w:rPr>
        <w:t>对浮游植物的影响</w:t>
      </w:r>
    </w:p>
    <w:p w14:paraId="2B4A8197" w14:textId="77777777" w:rsidR="009D12AF" w:rsidRDefault="00000000">
      <w:pPr>
        <w:ind w:firstLine="480"/>
        <w:rPr>
          <w:rFonts w:ascii="Times New Roman" w:hAnsi="Times New Roman" w:cs="Times New Roman"/>
          <w:color w:val="000000" w:themeColor="text1"/>
          <w:szCs w:val="22"/>
        </w:rPr>
      </w:pPr>
      <w:r>
        <w:rPr>
          <w:rFonts w:ascii="Times New Roman" w:hAnsi="Times New Roman" w:cs="Times New Roman"/>
          <w:color w:val="000000" w:themeColor="text1"/>
          <w:szCs w:val="22"/>
        </w:rPr>
        <w:t>浮游植物是水生态系统中重要的组成部分和初级生产者，通过光合作用可以改善水中溶解氧的含量，吸收营养盐类，保持水体良好状态，为食植物性水生生物提供饵料资源，如鱼类、蚌类、水生昆虫等。施工期间，影响区域水体的泥砂含量、混浊度、悬浮物增加，抑制浮游植物的光合作用，同时，悬浮物直接和浮游植物相磨檫，造成一定的机械损伤。本工程对浮游植物的影响仅限于施工期间、施工局部水域。</w:t>
      </w:r>
    </w:p>
    <w:p w14:paraId="645A3E97" w14:textId="77777777" w:rsidR="009D12AF" w:rsidRDefault="00000000">
      <w:pPr>
        <w:ind w:firstLine="480"/>
        <w:rPr>
          <w:rFonts w:ascii="Times New Roman" w:hAnsi="Times New Roman" w:cs="Times New Roman"/>
          <w:color w:val="000000" w:themeColor="text1"/>
          <w:szCs w:val="22"/>
        </w:rPr>
      </w:pPr>
      <w:r>
        <w:rPr>
          <w:rFonts w:ascii="Times New Roman" w:hAnsi="Times New Roman" w:cs="Times New Roman" w:hint="eastAsia"/>
          <w:color w:val="000000" w:themeColor="text1"/>
          <w:szCs w:val="22"/>
        </w:rPr>
        <w:t>（</w:t>
      </w:r>
      <w:r>
        <w:rPr>
          <w:rFonts w:ascii="Times New Roman" w:hAnsi="Times New Roman" w:cs="Times New Roman" w:hint="eastAsia"/>
          <w:color w:val="000000" w:themeColor="text1"/>
          <w:szCs w:val="22"/>
        </w:rPr>
        <w:t>2</w:t>
      </w:r>
      <w:r>
        <w:rPr>
          <w:rFonts w:ascii="Times New Roman" w:hAnsi="Times New Roman" w:cs="Times New Roman" w:hint="eastAsia"/>
          <w:color w:val="000000" w:themeColor="text1"/>
          <w:szCs w:val="22"/>
        </w:rPr>
        <w:t>）</w:t>
      </w:r>
      <w:r>
        <w:rPr>
          <w:rFonts w:ascii="Times New Roman" w:hAnsi="Times New Roman" w:cs="Times New Roman"/>
          <w:color w:val="000000" w:themeColor="text1"/>
          <w:szCs w:val="22"/>
        </w:rPr>
        <w:t>对浮游动物的影响</w:t>
      </w:r>
    </w:p>
    <w:p w14:paraId="752024A8" w14:textId="77777777" w:rsidR="009D12AF" w:rsidRDefault="00000000">
      <w:pPr>
        <w:ind w:firstLine="480"/>
        <w:rPr>
          <w:rFonts w:ascii="Times New Roman" w:hAnsi="Times New Roman" w:cs="Times New Roman"/>
          <w:color w:val="000000" w:themeColor="text1"/>
          <w:szCs w:val="22"/>
        </w:rPr>
      </w:pPr>
      <w:r>
        <w:rPr>
          <w:rFonts w:ascii="Times New Roman" w:hAnsi="Times New Roman" w:cs="Times New Roman"/>
          <w:color w:val="000000" w:themeColor="text1"/>
          <w:szCs w:val="22"/>
        </w:rPr>
        <w:t>施工期间，由于施工扰动增加了水库悬浮物，施工影响区域范围内造成浮游植物量降低，作为水体次级营养级、以浮游植物和有机碎屑为食物的浮游动物的生存环境，也会受到一定影响。同时，水中悬浮物过多还易堵塞滤食性动物的滤食器官，恶化其营养条件，降低浮游动物的数量。本工程对浮游生物的影响仅限</w:t>
      </w:r>
      <w:r>
        <w:rPr>
          <w:rFonts w:ascii="Times New Roman" w:hAnsi="Times New Roman" w:cs="Times New Roman"/>
          <w:color w:val="000000" w:themeColor="text1"/>
          <w:szCs w:val="22"/>
        </w:rPr>
        <w:lastRenderedPageBreak/>
        <w:t>于施工期间、施工局部水域，对其他水域不会带来影响。</w:t>
      </w:r>
    </w:p>
    <w:p w14:paraId="6D2B4042" w14:textId="77777777" w:rsidR="009D12AF" w:rsidRDefault="00000000">
      <w:pPr>
        <w:ind w:firstLine="480"/>
      </w:pPr>
      <w:r>
        <w:rPr>
          <w:rFonts w:hint="eastAsia"/>
        </w:rPr>
        <w:t>2</w:t>
      </w:r>
      <w:r>
        <w:rPr>
          <w:rFonts w:hint="eastAsia"/>
        </w:rPr>
        <w:t>、对底栖动物的影响</w:t>
      </w:r>
    </w:p>
    <w:p w14:paraId="2F4D0E4D" w14:textId="77777777" w:rsidR="009D12AF" w:rsidRDefault="00000000">
      <w:pPr>
        <w:ind w:firstLine="480"/>
      </w:pPr>
      <w:r>
        <w:t>根据现状调查结果，评价区域底栖动物主要优势种有</w:t>
      </w:r>
      <w:r>
        <w:rPr>
          <w:rFonts w:hint="eastAsia"/>
        </w:rPr>
        <w:t>：</w:t>
      </w:r>
      <w:r>
        <w:rPr>
          <w:iCs/>
        </w:rPr>
        <w:t>小划蝽</w:t>
      </w:r>
      <w:r>
        <w:t>、</w:t>
      </w:r>
      <w:r>
        <w:rPr>
          <w:kern w:val="0"/>
        </w:rPr>
        <w:t>羽摇蚊幼虫、椭圆萝卜螺、宽身舌蛭、</w:t>
      </w:r>
      <w:r>
        <w:rPr>
          <w:i/>
          <w:iCs/>
        </w:rPr>
        <w:t>Dipteromimus tipuliformis</w:t>
      </w:r>
      <w:r>
        <w:t>和生米蜉。</w:t>
      </w:r>
      <w:r>
        <w:rPr>
          <w:rFonts w:ascii="Times New Roman" w:hAnsi="Times New Roman" w:cs="Times New Roman"/>
          <w:color w:val="000000" w:themeColor="text1"/>
          <w:szCs w:val="22"/>
        </w:rPr>
        <w:t>底栖动物是长期在水域底部淤泥或其他水底物体上生活的动物。自然水体中底栖动物的种类和数量与底层杂食性鱼类有着极大的关系。随着施工推进，将造成泥沙沉淀，河底原有的砂砾、沙泥底质被覆盖，彻底改变了水库底质的原有生境，不利于底栖动物的正常呼吸、摄食、攀附、生长和繁殖。施工期间影响范围内底栖动物</w:t>
      </w:r>
      <w:r>
        <w:rPr>
          <w:rFonts w:ascii="Times New Roman" w:hAnsi="Times New Roman" w:cs="Times New Roman" w:hint="eastAsia"/>
          <w:color w:val="000000" w:themeColor="text1"/>
          <w:szCs w:val="22"/>
        </w:rPr>
        <w:t>将绝大部分</w:t>
      </w:r>
      <w:r>
        <w:rPr>
          <w:rFonts w:ascii="Times New Roman" w:hAnsi="Times New Roman" w:cs="Times New Roman"/>
          <w:color w:val="000000" w:themeColor="text1"/>
          <w:szCs w:val="22"/>
        </w:rPr>
        <w:t>损失，这部分损失的资源量，经过较长一段时间才会有所恢复。</w:t>
      </w:r>
    </w:p>
    <w:p w14:paraId="3A2A7039" w14:textId="77777777" w:rsidR="009D12AF" w:rsidRDefault="00000000">
      <w:pPr>
        <w:ind w:firstLine="480"/>
      </w:pPr>
      <w:r>
        <w:rPr>
          <w:rFonts w:hint="eastAsia"/>
        </w:rPr>
        <w:t>3</w:t>
      </w:r>
      <w:r>
        <w:rPr>
          <w:rFonts w:hint="eastAsia"/>
        </w:rPr>
        <w:t>、对水生维管植物的影响</w:t>
      </w:r>
    </w:p>
    <w:p w14:paraId="092002CB" w14:textId="77777777" w:rsidR="009D12AF" w:rsidRDefault="00000000">
      <w:pPr>
        <w:ind w:firstLine="480"/>
      </w:pPr>
      <w:r>
        <w:rPr>
          <w:rFonts w:ascii="Times New Roman" w:hAnsi="Times New Roman" w:cs="Times New Roman"/>
          <w:color w:val="000000" w:themeColor="text1"/>
          <w:szCs w:val="22"/>
        </w:rPr>
        <w:t>水生维管植物的集中分布区是如鲤、鲫等产粘性卵鱼类重要产卵场和育肥场，同时又是仔稚幼鱼的庇护场所。工程施工将对施工区域水生维管植物和陆生植物造成破坏，水生维管植物种类、数量、分布将减少，也影响着鱼类繁殖和生长，鱼类产卵场、索饵场将遭到破坏。水生维管植物需要经过较长一段的时间才能有所恢复。</w:t>
      </w:r>
    </w:p>
    <w:p w14:paraId="2C17CF2F" w14:textId="77777777" w:rsidR="009D12AF" w:rsidRDefault="00000000">
      <w:pPr>
        <w:ind w:firstLine="480"/>
      </w:pPr>
      <w:r>
        <w:rPr>
          <w:rFonts w:hint="eastAsia"/>
        </w:rPr>
        <w:t>4</w:t>
      </w:r>
      <w:r>
        <w:rPr>
          <w:rFonts w:hint="eastAsia"/>
        </w:rPr>
        <w:t>、对鱼类资源的影响预测</w:t>
      </w:r>
    </w:p>
    <w:p w14:paraId="287402B6" w14:textId="77777777" w:rsidR="009D12AF" w:rsidRDefault="00000000">
      <w:pPr>
        <w:ind w:firstLine="480"/>
        <w:rPr>
          <w:rFonts w:ascii="Times New Roman" w:hAnsi="Times New Roman" w:cs="Times New Roman"/>
          <w:color w:val="000000" w:themeColor="text1"/>
          <w:szCs w:val="22"/>
        </w:rPr>
      </w:pPr>
      <w:r>
        <w:rPr>
          <w:rFonts w:ascii="Times New Roman" w:hAnsi="Times New Roman" w:cs="Times New Roman" w:hint="eastAsia"/>
          <w:color w:val="000000" w:themeColor="text1"/>
          <w:szCs w:val="22"/>
        </w:rPr>
        <w:t>（</w:t>
      </w:r>
      <w:r>
        <w:rPr>
          <w:rFonts w:ascii="Times New Roman" w:hAnsi="Times New Roman" w:cs="Times New Roman" w:hint="eastAsia"/>
          <w:color w:val="000000" w:themeColor="text1"/>
          <w:szCs w:val="22"/>
        </w:rPr>
        <w:t>1</w:t>
      </w:r>
      <w:r>
        <w:rPr>
          <w:rFonts w:ascii="Times New Roman" w:hAnsi="Times New Roman" w:cs="Times New Roman" w:hint="eastAsia"/>
          <w:color w:val="000000" w:themeColor="text1"/>
          <w:szCs w:val="22"/>
        </w:rPr>
        <w:t>）</w:t>
      </w:r>
      <w:r>
        <w:rPr>
          <w:rFonts w:ascii="Times New Roman" w:hAnsi="Times New Roman" w:cs="Times New Roman"/>
          <w:color w:val="000000" w:themeColor="text1"/>
          <w:szCs w:val="22"/>
        </w:rPr>
        <w:t>悬浮物对鱼类的影响</w:t>
      </w:r>
    </w:p>
    <w:p w14:paraId="0598C248" w14:textId="77777777" w:rsidR="009D12AF" w:rsidRDefault="00000000">
      <w:pPr>
        <w:ind w:firstLine="480"/>
        <w:rPr>
          <w:rFonts w:ascii="Times New Roman" w:hAnsi="Times New Roman" w:cs="Times New Roman"/>
          <w:color w:val="000000" w:themeColor="text1"/>
          <w:szCs w:val="22"/>
        </w:rPr>
      </w:pPr>
      <w:r>
        <w:rPr>
          <w:rFonts w:ascii="Times New Roman" w:hAnsi="Times New Roman" w:cs="Times New Roman"/>
          <w:color w:val="000000" w:themeColor="text1"/>
        </w:rPr>
        <w:t>有关研究表明，</w:t>
      </w:r>
      <w:r>
        <w:rPr>
          <w:rFonts w:ascii="Times New Roman" w:hAnsi="Times New Roman" w:cs="Times New Roman"/>
          <w:color w:val="000000" w:themeColor="text1"/>
          <w:szCs w:val="22"/>
        </w:rPr>
        <w:t>环保绞吸式挖泥</w:t>
      </w:r>
      <w:r>
        <w:rPr>
          <w:rFonts w:ascii="Times New Roman" w:hAnsi="Times New Roman" w:cs="Times New Roman"/>
          <w:color w:val="000000" w:themeColor="text1"/>
          <w:szCs w:val="22"/>
        </w:rPr>
        <w:t>(</w:t>
      </w:r>
      <w:r>
        <w:rPr>
          <w:rFonts w:ascii="Times New Roman" w:hAnsi="Times New Roman" w:cs="Times New Roman"/>
          <w:color w:val="000000" w:themeColor="text1"/>
          <w:szCs w:val="22"/>
        </w:rPr>
        <w:t>深水泵吸</w:t>
      </w:r>
      <w:r>
        <w:rPr>
          <w:rFonts w:ascii="Times New Roman" w:hAnsi="Times New Roman" w:cs="Times New Roman"/>
          <w:color w:val="000000" w:themeColor="text1"/>
          <w:szCs w:val="22"/>
        </w:rPr>
        <w:t>)</w:t>
      </w:r>
      <w:r>
        <w:rPr>
          <w:rFonts w:ascii="Times New Roman" w:hAnsi="Times New Roman" w:cs="Times New Roman"/>
          <w:color w:val="000000" w:themeColor="text1"/>
          <w:szCs w:val="22"/>
        </w:rPr>
        <w:t>船清淤施工</w:t>
      </w:r>
      <w:r>
        <w:rPr>
          <w:rFonts w:ascii="Times New Roman" w:hAnsi="Times New Roman" w:cs="Times New Roman"/>
          <w:color w:val="000000" w:themeColor="text1"/>
        </w:rPr>
        <w:t>对作业区域外围</w:t>
      </w:r>
      <w:r>
        <w:rPr>
          <w:rFonts w:ascii="Times New Roman" w:hAnsi="Times New Roman" w:cs="Times New Roman"/>
          <w:color w:val="000000" w:themeColor="text1"/>
        </w:rPr>
        <w:t xml:space="preserve"> 20m </w:t>
      </w:r>
      <w:r>
        <w:rPr>
          <w:rFonts w:ascii="Times New Roman" w:hAnsi="Times New Roman" w:cs="Times New Roman"/>
          <w:color w:val="000000" w:themeColor="text1"/>
        </w:rPr>
        <w:t>范围内水体产生一定的扰动影响，且随着距离的增大，这种扰动影响迅速衰减，</w:t>
      </w:r>
      <w:r>
        <w:rPr>
          <w:rFonts w:ascii="Times New Roman" w:hAnsi="Times New Roman" w:cs="Times New Roman" w:hint="eastAsia"/>
          <w:color w:val="000000" w:themeColor="text1"/>
        </w:rPr>
        <w:t>施工</w:t>
      </w:r>
      <w:r>
        <w:rPr>
          <w:rFonts w:ascii="Times New Roman" w:hAnsi="Times New Roman" w:cs="Times New Roman"/>
          <w:color w:val="000000" w:themeColor="text1"/>
        </w:rPr>
        <w:t>区域水体污染物质量浓度只出现短暂峰值，峰值过后便迅速减小并趋于稳定，扰动影响持续时间较短。</w:t>
      </w:r>
      <w:r>
        <w:rPr>
          <w:rFonts w:ascii="Times New Roman" w:hAnsi="Times New Roman" w:cs="Times New Roman"/>
          <w:color w:val="000000" w:themeColor="text1"/>
          <w:szCs w:val="22"/>
        </w:rPr>
        <w:t>水体悬浮物增加时会给鱼类造成不适，鱼类的行为反应、生理反应、摄食、生长繁殖、存活等均会受到影响。水体中大量的悬浮物的存在会导致影响区域水体透明度下降，影响浮游植物的光合作用，使鱼类资源的生产力有所下降。在鱼类繁殖期间，产卵场内悬浮物的增加，将影响鱼类的产卵行为，降低了鱼类资源的补充和增殖，但上述影响仅限在施工期，施工结束后影响消失。</w:t>
      </w:r>
    </w:p>
    <w:p w14:paraId="5062068B" w14:textId="77777777" w:rsidR="009D12AF" w:rsidRDefault="00000000">
      <w:pPr>
        <w:ind w:firstLine="480"/>
        <w:rPr>
          <w:rFonts w:ascii="Times New Roman" w:hAnsi="Times New Roman" w:cs="Times New Roman"/>
          <w:color w:val="000000" w:themeColor="text1"/>
          <w:szCs w:val="22"/>
        </w:rPr>
      </w:pPr>
      <w:r>
        <w:rPr>
          <w:rFonts w:ascii="Times New Roman" w:hAnsi="Times New Roman" w:cs="Times New Roman"/>
          <w:color w:val="000000" w:themeColor="text1"/>
          <w:szCs w:val="22"/>
        </w:rPr>
        <w:t>（</w:t>
      </w:r>
      <w:r>
        <w:rPr>
          <w:rFonts w:ascii="Times New Roman" w:hAnsi="Times New Roman" w:cs="Times New Roman"/>
          <w:color w:val="000000" w:themeColor="text1"/>
          <w:szCs w:val="22"/>
        </w:rPr>
        <w:t>2</w:t>
      </w:r>
      <w:r>
        <w:rPr>
          <w:rFonts w:ascii="Times New Roman" w:hAnsi="Times New Roman" w:cs="Times New Roman"/>
          <w:color w:val="000000" w:themeColor="text1"/>
          <w:szCs w:val="22"/>
        </w:rPr>
        <w:t>）施工噪声对鱼类的影响</w:t>
      </w:r>
    </w:p>
    <w:p w14:paraId="5BA1D9C9" w14:textId="77777777" w:rsidR="009D12AF" w:rsidRDefault="00000000">
      <w:pPr>
        <w:ind w:firstLine="480"/>
        <w:rPr>
          <w:rFonts w:ascii="Times New Roman" w:hAnsi="Times New Roman" w:cs="Times New Roman"/>
          <w:color w:val="000000" w:themeColor="text1"/>
          <w:szCs w:val="22"/>
        </w:rPr>
      </w:pPr>
      <w:r>
        <w:rPr>
          <w:rFonts w:ascii="Times New Roman" w:hAnsi="Times New Roman" w:cs="Times New Roman"/>
          <w:color w:val="000000" w:themeColor="text1"/>
          <w:szCs w:val="22"/>
        </w:rPr>
        <w:t>施工期间，环保绞吸式挖泥</w:t>
      </w:r>
      <w:r>
        <w:rPr>
          <w:rFonts w:ascii="Times New Roman" w:hAnsi="Times New Roman" w:cs="Times New Roman"/>
          <w:color w:val="000000" w:themeColor="text1"/>
          <w:szCs w:val="22"/>
        </w:rPr>
        <w:t>(</w:t>
      </w:r>
      <w:r>
        <w:rPr>
          <w:rFonts w:ascii="Times New Roman" w:hAnsi="Times New Roman" w:cs="Times New Roman"/>
          <w:color w:val="000000" w:themeColor="text1"/>
          <w:szCs w:val="22"/>
        </w:rPr>
        <w:t>深水泵吸</w:t>
      </w:r>
      <w:r>
        <w:rPr>
          <w:rFonts w:ascii="Times New Roman" w:hAnsi="Times New Roman" w:cs="Times New Roman"/>
          <w:color w:val="000000" w:themeColor="text1"/>
          <w:szCs w:val="22"/>
        </w:rPr>
        <w:t>)</w:t>
      </w:r>
      <w:r>
        <w:rPr>
          <w:rFonts w:ascii="Times New Roman" w:hAnsi="Times New Roman" w:cs="Times New Roman"/>
          <w:color w:val="000000" w:themeColor="text1"/>
          <w:szCs w:val="22"/>
        </w:rPr>
        <w:t>船、挖掘机、推土机、平仓振捣机等运行，均会产生一定强度的噪声，产生的噪声会对鱼类的正常生活产生干扰影响，</w:t>
      </w:r>
      <w:r>
        <w:rPr>
          <w:rFonts w:ascii="Times New Roman" w:hAnsi="Times New Roman" w:cs="Times New Roman"/>
          <w:color w:val="000000" w:themeColor="text1"/>
          <w:szCs w:val="22"/>
        </w:rPr>
        <w:lastRenderedPageBreak/>
        <w:t>鱼类长期受到有害噪声的干扰而受到惊吓，将使鱼体的各种生理机能产生紊乱，造成摄食量下降，生长缓慢等。上述扰动及噪声影响是短期的、暂时的，施工结束后噪声消失，对鱼类的不利影响自然消失。</w:t>
      </w:r>
    </w:p>
    <w:p w14:paraId="6B2CE54F" w14:textId="77777777" w:rsidR="009D12AF" w:rsidRDefault="00000000">
      <w:pPr>
        <w:ind w:firstLine="480"/>
        <w:rPr>
          <w:rFonts w:ascii="Times New Roman" w:hAnsi="Times New Roman" w:cs="Times New Roman"/>
          <w:color w:val="000000" w:themeColor="text1"/>
          <w:szCs w:val="22"/>
        </w:rPr>
      </w:pPr>
      <w:r>
        <w:rPr>
          <w:rFonts w:ascii="Times New Roman" w:hAnsi="Times New Roman" w:cs="Times New Roman"/>
          <w:color w:val="000000" w:themeColor="text1"/>
          <w:szCs w:val="22"/>
        </w:rPr>
        <w:t>（</w:t>
      </w:r>
      <w:r>
        <w:rPr>
          <w:rFonts w:ascii="Times New Roman" w:hAnsi="Times New Roman" w:cs="Times New Roman"/>
          <w:color w:val="000000" w:themeColor="text1"/>
          <w:szCs w:val="22"/>
        </w:rPr>
        <w:t>3</w:t>
      </w:r>
      <w:r>
        <w:rPr>
          <w:rFonts w:ascii="Times New Roman" w:hAnsi="Times New Roman" w:cs="Times New Roman"/>
          <w:color w:val="000000" w:themeColor="text1"/>
          <w:szCs w:val="22"/>
        </w:rPr>
        <w:t>）施工对鱼类</w:t>
      </w:r>
      <w:r>
        <w:rPr>
          <w:rFonts w:ascii="Times New Roman" w:hAnsi="Times New Roman" w:cs="Times New Roman"/>
          <w:color w:val="000000" w:themeColor="text1"/>
          <w:szCs w:val="22"/>
        </w:rPr>
        <w:t>“</w:t>
      </w:r>
      <w:r>
        <w:rPr>
          <w:rFonts w:ascii="Times New Roman" w:hAnsi="Times New Roman" w:cs="Times New Roman"/>
          <w:color w:val="000000" w:themeColor="text1"/>
          <w:szCs w:val="22"/>
        </w:rPr>
        <w:t>三场一通道</w:t>
      </w:r>
      <w:r>
        <w:rPr>
          <w:rFonts w:ascii="Times New Roman" w:hAnsi="Times New Roman" w:cs="Times New Roman"/>
          <w:color w:val="000000" w:themeColor="text1"/>
          <w:szCs w:val="22"/>
        </w:rPr>
        <w:t>”</w:t>
      </w:r>
      <w:r>
        <w:rPr>
          <w:rFonts w:ascii="Times New Roman" w:hAnsi="Times New Roman" w:cs="Times New Roman"/>
          <w:color w:val="000000" w:themeColor="text1"/>
          <w:szCs w:val="22"/>
        </w:rPr>
        <w:t>的影响</w:t>
      </w:r>
    </w:p>
    <w:p w14:paraId="3465FA1E"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color w:val="000000" w:themeColor="text1"/>
          <w:szCs w:val="22"/>
        </w:rPr>
        <w:t>经调查，评价范围内</w:t>
      </w:r>
      <w:r>
        <w:rPr>
          <w:rFonts w:ascii="Times New Roman" w:hAnsi="Times New Roman" w:cs="Times New Roman" w:hint="eastAsia"/>
          <w:color w:val="000000" w:themeColor="text1"/>
          <w:szCs w:val="22"/>
        </w:rPr>
        <w:t>5</w:t>
      </w:r>
      <w:r>
        <w:rPr>
          <w:rFonts w:ascii="Times New Roman" w:hAnsi="Times New Roman" w:cs="Times New Roman"/>
          <w:color w:val="000000" w:themeColor="text1"/>
          <w:szCs w:val="22"/>
        </w:rPr>
        <w:t>处清淤水域均分布有产粘性卵鱼类产卵场、索饵场和越冬场，工程施工不会影响鱼类产卵；每年的</w:t>
      </w:r>
      <w:r>
        <w:rPr>
          <w:rFonts w:ascii="Times New Roman" w:hAnsi="Times New Roman" w:cs="Times New Roman"/>
          <w:color w:val="000000" w:themeColor="text1"/>
          <w:szCs w:val="22"/>
        </w:rPr>
        <w:t>4</w:t>
      </w:r>
      <w:r>
        <w:rPr>
          <w:rFonts w:ascii="Times New Roman" w:hAnsi="Times New Roman" w:cs="Times New Roman"/>
          <w:color w:val="000000" w:themeColor="text1"/>
          <w:szCs w:val="22"/>
        </w:rPr>
        <w:t>月下旬开始，瓦氏雅罗鱼、银鲫、鲤等鱼类陆续进入繁殖期，</w:t>
      </w:r>
      <w:r>
        <w:rPr>
          <w:rFonts w:ascii="Times New Roman" w:hAnsi="Times New Roman" w:cs="Times New Roman"/>
          <w:color w:val="000000" w:themeColor="text1"/>
          <w:szCs w:val="22"/>
        </w:rPr>
        <w:t>6</w:t>
      </w:r>
      <w:r>
        <w:rPr>
          <w:rFonts w:ascii="Times New Roman" w:hAnsi="Times New Roman" w:cs="Times New Roman"/>
          <w:color w:val="000000" w:themeColor="text1"/>
          <w:szCs w:val="22"/>
        </w:rPr>
        <w:t>月底</w:t>
      </w:r>
      <w:r>
        <w:rPr>
          <w:rFonts w:ascii="Times New Roman" w:hAnsi="Times New Roman" w:cs="Times New Roman" w:hint="eastAsia"/>
          <w:color w:val="000000" w:themeColor="text1"/>
          <w:szCs w:val="22"/>
        </w:rPr>
        <w:t>至</w:t>
      </w:r>
      <w:r>
        <w:rPr>
          <w:rFonts w:ascii="Times New Roman" w:hAnsi="Times New Roman" w:cs="Times New Roman"/>
          <w:color w:val="000000" w:themeColor="text1"/>
          <w:szCs w:val="22"/>
        </w:rPr>
        <w:t>7</w:t>
      </w:r>
      <w:r>
        <w:rPr>
          <w:rFonts w:ascii="Times New Roman" w:hAnsi="Times New Roman" w:cs="Times New Roman"/>
          <w:color w:val="000000" w:themeColor="text1"/>
          <w:szCs w:val="22"/>
        </w:rPr>
        <w:t>月中旬是鳜、翘嘴鲌、蒙古鲌等产漂浮性卵鱼类集中产卵繁殖季节</w:t>
      </w:r>
      <w:r>
        <w:rPr>
          <w:rFonts w:ascii="Times New Roman" w:hAnsi="Times New Roman" w:cs="Times New Roman"/>
          <w:color w:val="000000" w:themeColor="text1"/>
        </w:rPr>
        <w:t>，</w:t>
      </w:r>
      <w:r>
        <w:rPr>
          <w:rFonts w:ascii="Times New Roman" w:hAnsi="Times New Roman" w:cs="Times New Roman"/>
          <w:color w:val="000000" w:themeColor="text1"/>
          <w:szCs w:val="22"/>
        </w:rPr>
        <w:t>工程</w:t>
      </w:r>
      <w:r>
        <w:rPr>
          <w:rFonts w:ascii="Times New Roman" w:hAnsi="Times New Roman" w:cs="Times New Roman"/>
          <w:bCs/>
          <w:color w:val="000000" w:themeColor="text1"/>
          <w:szCs w:val="22"/>
        </w:rPr>
        <w:t>施工产生的</w:t>
      </w:r>
      <w:r>
        <w:rPr>
          <w:rFonts w:ascii="Times New Roman" w:hAnsi="Times New Roman" w:cs="Times New Roman"/>
          <w:color w:val="000000" w:themeColor="text1"/>
        </w:rPr>
        <w:t>噪音、水体</w:t>
      </w:r>
      <w:r>
        <w:rPr>
          <w:rFonts w:ascii="Times New Roman" w:hAnsi="Times New Roman" w:cs="Times New Roman"/>
          <w:bCs/>
          <w:color w:val="000000" w:themeColor="text1"/>
          <w:szCs w:val="22"/>
        </w:rPr>
        <w:t>悬浮物浓度的增加，</w:t>
      </w:r>
      <w:r>
        <w:rPr>
          <w:rFonts w:ascii="Times New Roman" w:hAnsi="Times New Roman" w:cs="Times New Roman"/>
          <w:color w:val="000000" w:themeColor="text1"/>
        </w:rPr>
        <w:t>对鱼类繁殖和洄游影响较大</w:t>
      </w:r>
      <w:r>
        <w:rPr>
          <w:rFonts w:ascii="Times New Roman" w:hAnsi="Times New Roman" w:cs="Times New Roman"/>
          <w:color w:val="000000" w:themeColor="text1"/>
          <w:szCs w:val="22"/>
        </w:rPr>
        <w:t>。施工过程中水体扰动和噪声，均会对鱼类索饵产生一定不利影响；主体工程主要在明水期，避让了鱼类越冬期，因此工程对鱼类越冬影响轻微。</w:t>
      </w:r>
      <w:r>
        <w:rPr>
          <w:rFonts w:ascii="Times New Roman" w:hAnsi="Times New Roman" w:cs="Times New Roman"/>
          <w:color w:val="000000" w:themeColor="text1"/>
        </w:rPr>
        <w:t>环保绞吸式挖泥</w:t>
      </w:r>
      <w:r>
        <w:rPr>
          <w:rFonts w:ascii="Times New Roman" w:hAnsi="Times New Roman" w:cs="Times New Roman"/>
          <w:color w:val="000000" w:themeColor="text1"/>
        </w:rPr>
        <w:t>(</w:t>
      </w:r>
      <w:r>
        <w:rPr>
          <w:rFonts w:ascii="Times New Roman" w:hAnsi="Times New Roman" w:cs="Times New Roman"/>
          <w:color w:val="000000" w:themeColor="text1"/>
        </w:rPr>
        <w:t>深水泵吸</w:t>
      </w:r>
      <w:r>
        <w:rPr>
          <w:rFonts w:ascii="Times New Roman" w:hAnsi="Times New Roman" w:cs="Times New Roman"/>
          <w:color w:val="000000" w:themeColor="text1"/>
        </w:rPr>
        <w:t>)</w:t>
      </w:r>
      <w:r>
        <w:rPr>
          <w:rFonts w:ascii="Times New Roman" w:hAnsi="Times New Roman" w:cs="Times New Roman"/>
          <w:color w:val="000000" w:themeColor="text1"/>
        </w:rPr>
        <w:t>船施工将导致水体悬浮物的增加，透明度大幅度下降，饵料密度减少</w:t>
      </w:r>
      <w:r>
        <w:rPr>
          <w:rFonts w:ascii="Times New Roman" w:hAnsi="Times New Roman" w:cs="Times New Roman" w:hint="eastAsia"/>
          <w:color w:val="000000" w:themeColor="text1"/>
        </w:rPr>
        <w:t>，</w:t>
      </w:r>
      <w:r>
        <w:rPr>
          <w:rFonts w:ascii="Times New Roman" w:hAnsi="Times New Roman" w:cs="Times New Roman"/>
          <w:color w:val="000000" w:themeColor="text1"/>
        </w:rPr>
        <w:t>这对工程影响区域仔幼鱼的索饵造成较大的影响，水质混浊将影响鱼类的视力，捕获食物将变得困难，同时，混浊的水体也会使水生生物游离到其到它水域，降低了群体密度，减少了饵料来源，影响了饵料食物的摄取率，对鱼类仔幼鱼庇护与生长产生不利影响</w:t>
      </w:r>
      <w:r>
        <w:rPr>
          <w:rFonts w:ascii="Times New Roman" w:hAnsi="Times New Roman" w:cs="Times New Roman" w:hint="eastAsia"/>
          <w:color w:val="000000" w:themeColor="text1"/>
        </w:rPr>
        <w:t>。</w:t>
      </w:r>
    </w:p>
    <w:p w14:paraId="47391276" w14:textId="77777777" w:rsidR="009D12AF" w:rsidRDefault="00000000">
      <w:pPr>
        <w:ind w:firstLine="480"/>
        <w:rPr>
          <w:rFonts w:ascii="Times New Roman" w:hAnsi="Times New Roman" w:cs="Times New Roman"/>
          <w:color w:val="000000" w:themeColor="text1"/>
        </w:rPr>
      </w:pPr>
      <w:r>
        <w:rPr>
          <w:rFonts w:ascii="Times New Roman" w:hAnsi="Times New Roman" w:cs="Times New Roman" w:hint="eastAsia"/>
          <w:color w:val="000000" w:themeColor="text1"/>
        </w:rPr>
        <w:t>5</w:t>
      </w:r>
      <w:r>
        <w:rPr>
          <w:rFonts w:ascii="Times New Roman" w:hAnsi="Times New Roman" w:cs="Times New Roman" w:hint="eastAsia"/>
          <w:color w:val="000000" w:themeColor="text1"/>
        </w:rPr>
        <w:t>、总结</w:t>
      </w:r>
    </w:p>
    <w:p w14:paraId="7386103B" w14:textId="77777777" w:rsidR="009D12AF" w:rsidRDefault="00000000">
      <w:pPr>
        <w:ind w:firstLine="480"/>
        <w:rPr>
          <w:color w:val="000000" w:themeColor="text1"/>
        </w:rPr>
      </w:pPr>
      <w:r>
        <w:t>本工程清淤扰动</w:t>
      </w:r>
      <w:r>
        <w:rPr>
          <w:rFonts w:hint="eastAsia"/>
        </w:rPr>
        <w:t>5</w:t>
      </w:r>
      <w:r>
        <w:t>个水域水生态环境，明水期施工将对鱼类繁殖、索饵产生一定不利影响，需要采取有效措施降低这些影响。工程也将导致施工影响区域浮游植物、浮游动物资源量下降，但影响仅限于施工期，施工结束后影响消除。工程施工将导致施工区域绝大部分底栖动物和水生维管植物损失，需要经过较长一段的时间才能有所恢复。</w:t>
      </w:r>
    </w:p>
    <w:p w14:paraId="79299FB1" w14:textId="77777777" w:rsidR="009D12AF" w:rsidRDefault="00000000">
      <w:pPr>
        <w:pStyle w:val="3"/>
      </w:pPr>
      <w:bookmarkStart w:id="368" w:name="_Toc17953"/>
      <w:r>
        <w:rPr>
          <w:rFonts w:hint="eastAsia"/>
        </w:rPr>
        <w:t>5.1.9</w:t>
      </w:r>
      <w:r>
        <w:rPr>
          <w:rFonts w:hint="eastAsia"/>
        </w:rPr>
        <w:t>施工期陆生生态环境影响预测与评价</w:t>
      </w:r>
      <w:bookmarkEnd w:id="368"/>
    </w:p>
    <w:p w14:paraId="4CE037AB" w14:textId="77777777" w:rsidR="009D12AF" w:rsidRDefault="00000000">
      <w:pPr>
        <w:pStyle w:val="4"/>
        <w:ind w:firstLineChars="0" w:firstLine="0"/>
      </w:pPr>
      <w:r>
        <w:rPr>
          <w:rFonts w:hint="eastAsia"/>
        </w:rPr>
        <w:t>5.1.9.1</w:t>
      </w:r>
      <w:r>
        <w:rPr>
          <w:rFonts w:hint="eastAsia"/>
        </w:rPr>
        <w:t>土地利用影响分析</w:t>
      </w:r>
    </w:p>
    <w:p w14:paraId="50C48A64" w14:textId="77777777" w:rsidR="009D12AF" w:rsidRDefault="00000000">
      <w:pPr>
        <w:ind w:firstLine="480"/>
        <w:rPr>
          <w:rFonts w:ascii="宋体" w:eastAsia="宋体" w:hAnsi="宋体" w:cs="宋体" w:hint="eastAsia"/>
          <w:kern w:val="0"/>
        </w:rPr>
      </w:pPr>
      <w:r>
        <w:rPr>
          <w:rFonts w:hint="eastAsia"/>
        </w:rPr>
        <w:t>本工程除</w:t>
      </w:r>
      <w:r>
        <w:rPr>
          <w:rFonts w:ascii="宋体" w:eastAsia="宋体" w:hAnsi="宋体" w:cs="宋体"/>
          <w:kern w:val="0"/>
        </w:rPr>
        <w:t>根据现场调查以及三调数据的解译和工程规划，获得工程建设后的土地利用变化情况。对比工程建设前的土地利用现状图，发现</w:t>
      </w:r>
      <w:r>
        <w:rPr>
          <w:rFonts w:ascii="宋体" w:eastAsia="宋体" w:hAnsi="宋体" w:cs="宋体" w:hint="eastAsia"/>
          <w:kern w:val="0"/>
        </w:rPr>
        <w:t>水工建筑用地</w:t>
      </w:r>
      <w:r>
        <w:rPr>
          <w:rFonts w:ascii="宋体" w:eastAsia="宋体" w:hAnsi="宋体" w:cs="宋体"/>
          <w:kern w:val="0"/>
        </w:rPr>
        <w:t>增加，</w:t>
      </w:r>
      <w:r>
        <w:rPr>
          <w:rFonts w:ascii="宋体" w:eastAsia="宋体" w:hAnsi="宋体" w:cs="宋体" w:hint="eastAsia"/>
          <w:kern w:val="0"/>
        </w:rPr>
        <w:t>旱地面积减少，</w:t>
      </w:r>
      <w:r>
        <w:rPr>
          <w:rFonts w:ascii="宋体" w:eastAsia="宋体" w:hAnsi="宋体" w:cs="宋体"/>
          <w:kern w:val="0"/>
        </w:rPr>
        <w:t>究其原因为施工</w:t>
      </w:r>
      <w:r>
        <w:rPr>
          <w:rFonts w:ascii="宋体" w:eastAsia="宋体" w:hAnsi="宋体" w:cs="宋体" w:hint="eastAsia"/>
          <w:kern w:val="0"/>
        </w:rPr>
        <w:t>期间占用旱地</w:t>
      </w:r>
      <w:r>
        <w:rPr>
          <w:rFonts w:ascii="宋体" w:eastAsia="宋体" w:hAnsi="宋体" w:cs="宋体"/>
          <w:kern w:val="0"/>
        </w:rPr>
        <w:t>进行了</w:t>
      </w:r>
      <w:r>
        <w:rPr>
          <w:rFonts w:ascii="宋体" w:eastAsia="宋体" w:hAnsi="宋体" w:cs="宋体" w:hint="eastAsia"/>
          <w:kern w:val="0"/>
        </w:rPr>
        <w:t>施工作业。</w:t>
      </w:r>
      <w:r>
        <w:rPr>
          <w:rFonts w:ascii="宋体" w:eastAsia="宋体" w:hAnsi="宋体" w:cs="宋体"/>
          <w:kern w:val="0"/>
        </w:rPr>
        <w:t>土地利用类型面</w:t>
      </w:r>
      <w:r>
        <w:rPr>
          <w:rFonts w:ascii="宋体" w:eastAsia="宋体" w:hAnsi="宋体" w:cs="宋体"/>
          <w:kern w:val="0"/>
        </w:rPr>
        <w:lastRenderedPageBreak/>
        <w:t>积变化如表</w:t>
      </w:r>
      <w:r>
        <w:rPr>
          <w:rFonts w:ascii="Times New Roman" w:eastAsia="宋体" w:hAnsi="Times New Roman" w:cs="Times New Roman"/>
          <w:kern w:val="0"/>
        </w:rPr>
        <w:t>5.1-7</w:t>
      </w:r>
      <w:r>
        <w:rPr>
          <w:rFonts w:ascii="宋体" w:eastAsia="宋体" w:hAnsi="宋体" w:cs="宋体"/>
          <w:kern w:val="0"/>
        </w:rPr>
        <w:t>所示</w:t>
      </w:r>
      <w:r>
        <w:rPr>
          <w:rFonts w:ascii="宋体" w:eastAsia="宋体" w:hAnsi="宋体" w:cs="宋体" w:hint="eastAsia"/>
          <w:kern w:val="0"/>
        </w:rPr>
        <w:t>。</w:t>
      </w:r>
    </w:p>
    <w:p w14:paraId="1EFDEE0E" w14:textId="77777777" w:rsidR="009D12AF" w:rsidRDefault="00000000">
      <w:pPr>
        <w:ind w:firstLine="482"/>
        <w:jc w:val="center"/>
        <w:rPr>
          <w:rFonts w:ascii="Times New Roman" w:eastAsia="宋体" w:hAnsi="宋体" w:cs="宋体" w:hint="eastAsia"/>
          <w:b/>
          <w:kern w:val="0"/>
        </w:rPr>
      </w:pPr>
      <w:r>
        <w:rPr>
          <w:rFonts w:ascii="Times New Roman" w:eastAsia="宋体" w:hAnsi="宋体" w:cs="宋体" w:hint="eastAsia"/>
          <w:b/>
          <w:kern w:val="0"/>
        </w:rPr>
        <w:t>表</w:t>
      </w:r>
      <w:r>
        <w:rPr>
          <w:rFonts w:ascii="Times New Roman" w:eastAsia="宋体" w:hAnsi="宋体" w:cs="宋体" w:hint="eastAsia"/>
          <w:b/>
          <w:kern w:val="0"/>
        </w:rPr>
        <w:t xml:space="preserve"> 5.1-7</w:t>
      </w:r>
      <w:r>
        <w:rPr>
          <w:rFonts w:ascii="Times New Roman" w:eastAsia="宋体" w:hAnsi="宋体" w:cs="宋体"/>
          <w:b/>
          <w:kern w:val="0"/>
        </w:rPr>
        <w:t xml:space="preserve">    </w:t>
      </w:r>
      <w:r>
        <w:rPr>
          <w:rFonts w:ascii="Times New Roman" w:eastAsia="宋体" w:hAnsi="宋体" w:cs="宋体" w:hint="eastAsia"/>
          <w:b/>
          <w:kern w:val="0"/>
        </w:rPr>
        <w:t>评价区土地利用类型变化预测表</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630"/>
        <w:gridCol w:w="1200"/>
        <w:gridCol w:w="975"/>
        <w:gridCol w:w="978"/>
        <w:gridCol w:w="975"/>
        <w:gridCol w:w="975"/>
        <w:gridCol w:w="975"/>
        <w:gridCol w:w="811"/>
      </w:tblGrid>
      <w:tr w:rsidR="009D12AF" w14:paraId="56A8DF98" w14:textId="77777777">
        <w:trPr>
          <w:cantSplit/>
          <w:trHeight w:val="247"/>
          <w:jc w:val="center"/>
        </w:trPr>
        <w:tc>
          <w:tcPr>
            <w:tcW w:w="990" w:type="pct"/>
            <w:vMerge w:val="restart"/>
            <w:tcBorders>
              <w:tl2br w:val="nil"/>
              <w:tr2bl w:val="nil"/>
            </w:tcBorders>
            <w:vAlign w:val="center"/>
          </w:tcPr>
          <w:p w14:paraId="0EA24CC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一级分类</w:t>
            </w:r>
          </w:p>
        </w:tc>
        <w:tc>
          <w:tcPr>
            <w:tcW w:w="737" w:type="pct"/>
            <w:vMerge w:val="restart"/>
            <w:tcBorders>
              <w:tl2br w:val="nil"/>
              <w:tr2bl w:val="nil"/>
            </w:tcBorders>
            <w:vAlign w:val="center"/>
          </w:tcPr>
          <w:p w14:paraId="03674E6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二级分类</w:t>
            </w:r>
          </w:p>
        </w:tc>
        <w:tc>
          <w:tcPr>
            <w:tcW w:w="1125" w:type="pct"/>
            <w:gridSpan w:val="2"/>
            <w:tcBorders>
              <w:tl2br w:val="nil"/>
              <w:tr2bl w:val="nil"/>
            </w:tcBorders>
            <w:vAlign w:val="center"/>
          </w:tcPr>
          <w:p w14:paraId="2D37611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建设前</w:t>
            </w:r>
          </w:p>
        </w:tc>
        <w:tc>
          <w:tcPr>
            <w:tcW w:w="1123" w:type="pct"/>
            <w:gridSpan w:val="2"/>
            <w:tcBorders>
              <w:tl2br w:val="nil"/>
              <w:tr2bl w:val="nil"/>
            </w:tcBorders>
            <w:vAlign w:val="center"/>
          </w:tcPr>
          <w:p w14:paraId="4093A3F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hint="eastAsia"/>
                <w:kern w:val="0"/>
                <w:sz w:val="21"/>
                <w:szCs w:val="21"/>
              </w:rPr>
              <w:t>施工期</w:t>
            </w:r>
          </w:p>
        </w:tc>
        <w:tc>
          <w:tcPr>
            <w:tcW w:w="1023" w:type="pct"/>
            <w:gridSpan w:val="2"/>
            <w:tcBorders>
              <w:tl2br w:val="nil"/>
              <w:tr2bl w:val="nil"/>
            </w:tcBorders>
            <w:vAlign w:val="center"/>
          </w:tcPr>
          <w:p w14:paraId="7B07007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hint="eastAsia"/>
                <w:kern w:val="0"/>
                <w:sz w:val="21"/>
                <w:szCs w:val="21"/>
              </w:rPr>
              <w:t>变化</w:t>
            </w:r>
          </w:p>
        </w:tc>
      </w:tr>
      <w:tr w:rsidR="009D12AF" w14:paraId="687C9BA6" w14:textId="77777777">
        <w:trPr>
          <w:cantSplit/>
          <w:trHeight w:val="247"/>
          <w:jc w:val="center"/>
        </w:trPr>
        <w:tc>
          <w:tcPr>
            <w:tcW w:w="990" w:type="pct"/>
            <w:vMerge/>
            <w:tcBorders>
              <w:tl2br w:val="nil"/>
              <w:tr2bl w:val="nil"/>
            </w:tcBorders>
            <w:vAlign w:val="center"/>
          </w:tcPr>
          <w:p w14:paraId="27969D77"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737" w:type="pct"/>
            <w:vMerge/>
            <w:tcBorders>
              <w:tl2br w:val="nil"/>
              <w:tr2bl w:val="nil"/>
            </w:tcBorders>
            <w:vAlign w:val="center"/>
          </w:tcPr>
          <w:p w14:paraId="5823B080"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518" w:type="pct"/>
            <w:tcBorders>
              <w:tl2br w:val="nil"/>
              <w:tr2bl w:val="nil"/>
            </w:tcBorders>
            <w:vAlign w:val="center"/>
          </w:tcPr>
          <w:p w14:paraId="6C370945"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kern w:val="0"/>
                <w:sz w:val="21"/>
                <w:szCs w:val="21"/>
              </w:rPr>
              <w:t>面积（</w:t>
            </w:r>
            <w:r>
              <w:rPr>
                <w:rFonts w:ascii="Times New Roman" w:eastAsia="宋体" w:hAnsi="Times New Roman" w:cs="Times New Roman"/>
                <w:kern w:val="0"/>
                <w:sz w:val="21"/>
                <w:szCs w:val="21"/>
              </w:rPr>
              <w:t>hm</w:t>
            </w:r>
            <w:r>
              <w:rPr>
                <w:rFonts w:ascii="Times New Roman" w:eastAsia="宋体" w:hAnsi="Times New Roman" w:cs="Times New Roman"/>
                <w:kern w:val="0"/>
                <w:sz w:val="21"/>
                <w:szCs w:val="21"/>
                <w:vertAlign w:val="superscript"/>
              </w:rPr>
              <w:t>2</w:t>
            </w:r>
            <w:r>
              <w:rPr>
                <w:rFonts w:ascii="Times New Roman" w:eastAsia="宋体" w:hAnsi="Times New Roman" w:cs="Times New Roman"/>
                <w:kern w:val="0"/>
                <w:sz w:val="21"/>
                <w:szCs w:val="21"/>
              </w:rPr>
              <w:t>）</w:t>
            </w:r>
          </w:p>
        </w:tc>
        <w:tc>
          <w:tcPr>
            <w:tcW w:w="606" w:type="pct"/>
            <w:tcBorders>
              <w:tl2br w:val="nil"/>
              <w:tr2bl w:val="nil"/>
            </w:tcBorders>
            <w:vAlign w:val="center"/>
          </w:tcPr>
          <w:p w14:paraId="166B960D"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面积占比</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p>
        </w:tc>
        <w:tc>
          <w:tcPr>
            <w:tcW w:w="518" w:type="pct"/>
            <w:tcBorders>
              <w:tl2br w:val="nil"/>
              <w:tr2bl w:val="nil"/>
            </w:tcBorders>
            <w:vAlign w:val="center"/>
          </w:tcPr>
          <w:p w14:paraId="38683F79"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kern w:val="0"/>
                <w:sz w:val="21"/>
                <w:szCs w:val="21"/>
              </w:rPr>
              <w:t>面积（</w:t>
            </w:r>
            <w:r>
              <w:rPr>
                <w:rFonts w:ascii="Times New Roman" w:eastAsia="宋体" w:hAnsi="Times New Roman" w:cs="Times New Roman"/>
                <w:kern w:val="0"/>
                <w:sz w:val="21"/>
                <w:szCs w:val="21"/>
              </w:rPr>
              <w:t>hm</w:t>
            </w:r>
            <w:r>
              <w:rPr>
                <w:rFonts w:ascii="Times New Roman" w:eastAsia="宋体" w:hAnsi="Times New Roman" w:cs="Times New Roman"/>
                <w:kern w:val="0"/>
                <w:sz w:val="21"/>
                <w:szCs w:val="21"/>
                <w:vertAlign w:val="superscript"/>
              </w:rPr>
              <w:t>2</w:t>
            </w:r>
            <w:r>
              <w:rPr>
                <w:rFonts w:ascii="Times New Roman" w:eastAsia="宋体" w:hAnsi="Times New Roman" w:cs="Times New Roman"/>
                <w:kern w:val="0"/>
                <w:sz w:val="21"/>
                <w:szCs w:val="21"/>
              </w:rPr>
              <w:t>）</w:t>
            </w:r>
          </w:p>
        </w:tc>
        <w:tc>
          <w:tcPr>
            <w:tcW w:w="605" w:type="pct"/>
            <w:tcBorders>
              <w:tl2br w:val="nil"/>
              <w:tr2bl w:val="nil"/>
            </w:tcBorders>
            <w:vAlign w:val="center"/>
          </w:tcPr>
          <w:p w14:paraId="1257DB21"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面积占比</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p>
        </w:tc>
        <w:tc>
          <w:tcPr>
            <w:tcW w:w="518" w:type="pct"/>
            <w:tcBorders>
              <w:tl2br w:val="nil"/>
              <w:tr2bl w:val="nil"/>
            </w:tcBorders>
            <w:vAlign w:val="center"/>
          </w:tcPr>
          <w:p w14:paraId="4F7E301E"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kern w:val="0"/>
                <w:sz w:val="21"/>
                <w:szCs w:val="21"/>
              </w:rPr>
              <w:t>面积（</w:t>
            </w:r>
            <w:r>
              <w:rPr>
                <w:rFonts w:ascii="Times New Roman" w:eastAsia="宋体" w:hAnsi="Times New Roman" w:cs="Times New Roman"/>
                <w:kern w:val="0"/>
                <w:sz w:val="21"/>
                <w:szCs w:val="21"/>
              </w:rPr>
              <w:t>hm</w:t>
            </w:r>
            <w:r>
              <w:rPr>
                <w:rFonts w:ascii="Times New Roman" w:eastAsia="宋体" w:hAnsi="Times New Roman" w:cs="Times New Roman"/>
                <w:kern w:val="0"/>
                <w:sz w:val="21"/>
                <w:szCs w:val="21"/>
                <w:vertAlign w:val="superscript"/>
              </w:rPr>
              <w:t>2</w:t>
            </w:r>
            <w:r>
              <w:rPr>
                <w:rFonts w:ascii="Times New Roman" w:eastAsia="宋体" w:hAnsi="Times New Roman" w:cs="Times New Roman"/>
                <w:kern w:val="0"/>
                <w:sz w:val="21"/>
                <w:szCs w:val="21"/>
              </w:rPr>
              <w:t>）</w:t>
            </w:r>
          </w:p>
        </w:tc>
        <w:tc>
          <w:tcPr>
            <w:tcW w:w="504" w:type="pct"/>
            <w:tcBorders>
              <w:tl2br w:val="nil"/>
              <w:tr2bl w:val="nil"/>
            </w:tcBorders>
            <w:vAlign w:val="center"/>
          </w:tcPr>
          <w:p w14:paraId="3708D267"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面积占比</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p>
        </w:tc>
      </w:tr>
      <w:tr w:rsidR="009D12AF" w14:paraId="51E0E126" w14:textId="77777777">
        <w:trPr>
          <w:cantSplit/>
          <w:trHeight w:val="247"/>
          <w:jc w:val="center"/>
        </w:trPr>
        <w:tc>
          <w:tcPr>
            <w:tcW w:w="990" w:type="pct"/>
            <w:tcBorders>
              <w:tl2br w:val="nil"/>
              <w:tr2bl w:val="nil"/>
            </w:tcBorders>
            <w:vAlign w:val="center"/>
          </w:tcPr>
          <w:p w14:paraId="0F6C0E2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耕地</w:t>
            </w:r>
          </w:p>
        </w:tc>
        <w:tc>
          <w:tcPr>
            <w:tcW w:w="737" w:type="pct"/>
            <w:tcBorders>
              <w:tl2br w:val="nil"/>
              <w:tr2bl w:val="nil"/>
            </w:tcBorders>
            <w:vAlign w:val="center"/>
          </w:tcPr>
          <w:p w14:paraId="3F68397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旱地</w:t>
            </w:r>
          </w:p>
        </w:tc>
        <w:tc>
          <w:tcPr>
            <w:tcW w:w="518" w:type="pct"/>
            <w:tcBorders>
              <w:tl2br w:val="nil"/>
              <w:tr2bl w:val="nil"/>
            </w:tcBorders>
            <w:vAlign w:val="center"/>
          </w:tcPr>
          <w:p w14:paraId="1C70C29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281.85</w:t>
            </w:r>
          </w:p>
        </w:tc>
        <w:tc>
          <w:tcPr>
            <w:tcW w:w="606" w:type="pct"/>
            <w:tcBorders>
              <w:tl2br w:val="nil"/>
              <w:tr2bl w:val="nil"/>
            </w:tcBorders>
            <w:vAlign w:val="center"/>
          </w:tcPr>
          <w:p w14:paraId="2CE64EE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29.76</w:t>
            </w:r>
          </w:p>
        </w:tc>
        <w:tc>
          <w:tcPr>
            <w:tcW w:w="518" w:type="pct"/>
            <w:tcBorders>
              <w:tl2br w:val="nil"/>
              <w:tr2bl w:val="nil"/>
            </w:tcBorders>
            <w:vAlign w:val="center"/>
          </w:tcPr>
          <w:p w14:paraId="1A6E06A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281.85</w:t>
            </w:r>
          </w:p>
        </w:tc>
        <w:tc>
          <w:tcPr>
            <w:tcW w:w="605" w:type="pct"/>
            <w:tcBorders>
              <w:tl2br w:val="nil"/>
              <w:tr2bl w:val="nil"/>
            </w:tcBorders>
            <w:vAlign w:val="center"/>
          </w:tcPr>
          <w:p w14:paraId="0A011AF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29.76</w:t>
            </w:r>
          </w:p>
        </w:tc>
        <w:tc>
          <w:tcPr>
            <w:tcW w:w="518" w:type="pct"/>
            <w:tcBorders>
              <w:tl2br w:val="nil"/>
              <w:tr2bl w:val="nil"/>
            </w:tcBorders>
            <w:vAlign w:val="center"/>
          </w:tcPr>
          <w:p w14:paraId="6775473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w:t>
            </w:r>
            <w:r>
              <w:rPr>
                <w:rFonts w:ascii="Times New Roman" w:eastAsia="宋体" w:hAnsi="Times New Roman" w:cs="Times New Roman"/>
                <w:kern w:val="0"/>
                <w:sz w:val="21"/>
                <w:szCs w:val="21"/>
              </w:rPr>
              <w:t>1.03</w:t>
            </w:r>
          </w:p>
        </w:tc>
        <w:tc>
          <w:tcPr>
            <w:tcW w:w="504" w:type="pct"/>
            <w:tcBorders>
              <w:tl2br w:val="nil"/>
              <w:tr2bl w:val="nil"/>
            </w:tcBorders>
            <w:vAlign w:val="center"/>
          </w:tcPr>
          <w:p w14:paraId="19399A4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50.00</w:t>
            </w:r>
          </w:p>
        </w:tc>
      </w:tr>
      <w:tr w:rsidR="009D12AF" w14:paraId="29C8E381" w14:textId="77777777">
        <w:trPr>
          <w:cantSplit/>
          <w:trHeight w:val="247"/>
          <w:jc w:val="center"/>
        </w:trPr>
        <w:tc>
          <w:tcPr>
            <w:tcW w:w="990" w:type="pct"/>
            <w:vMerge w:val="restart"/>
            <w:tcBorders>
              <w:tl2br w:val="nil"/>
              <w:tr2bl w:val="nil"/>
            </w:tcBorders>
            <w:vAlign w:val="center"/>
          </w:tcPr>
          <w:p w14:paraId="3B2A479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水域或水利设施用地</w:t>
            </w:r>
          </w:p>
        </w:tc>
        <w:tc>
          <w:tcPr>
            <w:tcW w:w="737" w:type="pct"/>
            <w:tcBorders>
              <w:tl2br w:val="nil"/>
              <w:tr2bl w:val="nil"/>
            </w:tcBorders>
            <w:vAlign w:val="center"/>
          </w:tcPr>
          <w:p w14:paraId="6009756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河流水面</w:t>
            </w:r>
          </w:p>
        </w:tc>
        <w:tc>
          <w:tcPr>
            <w:tcW w:w="518" w:type="pct"/>
            <w:tcBorders>
              <w:tl2br w:val="nil"/>
              <w:tr2bl w:val="nil"/>
            </w:tcBorders>
            <w:vAlign w:val="center"/>
          </w:tcPr>
          <w:p w14:paraId="65EA9CF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221.12</w:t>
            </w:r>
          </w:p>
        </w:tc>
        <w:tc>
          <w:tcPr>
            <w:tcW w:w="606" w:type="pct"/>
            <w:tcBorders>
              <w:tl2br w:val="nil"/>
              <w:tr2bl w:val="nil"/>
            </w:tcBorders>
            <w:vAlign w:val="center"/>
          </w:tcPr>
          <w:p w14:paraId="74942BF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23.34</w:t>
            </w:r>
          </w:p>
        </w:tc>
        <w:tc>
          <w:tcPr>
            <w:tcW w:w="518" w:type="pct"/>
            <w:tcBorders>
              <w:tl2br w:val="nil"/>
              <w:tr2bl w:val="nil"/>
            </w:tcBorders>
            <w:vAlign w:val="center"/>
          </w:tcPr>
          <w:p w14:paraId="7368393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221.12</w:t>
            </w:r>
          </w:p>
        </w:tc>
        <w:tc>
          <w:tcPr>
            <w:tcW w:w="605" w:type="pct"/>
            <w:tcBorders>
              <w:tl2br w:val="nil"/>
              <w:tr2bl w:val="nil"/>
            </w:tcBorders>
            <w:vAlign w:val="center"/>
          </w:tcPr>
          <w:p w14:paraId="0068B92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23.34</w:t>
            </w:r>
          </w:p>
        </w:tc>
        <w:tc>
          <w:tcPr>
            <w:tcW w:w="518" w:type="pct"/>
            <w:tcBorders>
              <w:tl2br w:val="nil"/>
              <w:tr2bl w:val="nil"/>
            </w:tcBorders>
            <w:vAlign w:val="center"/>
          </w:tcPr>
          <w:p w14:paraId="4C938E2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504" w:type="pct"/>
            <w:tcBorders>
              <w:tl2br w:val="nil"/>
              <w:tr2bl w:val="nil"/>
            </w:tcBorders>
            <w:vAlign w:val="center"/>
          </w:tcPr>
          <w:p w14:paraId="53C0E2C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r>
      <w:tr w:rsidR="009D12AF" w14:paraId="68F33501" w14:textId="77777777">
        <w:trPr>
          <w:cantSplit/>
          <w:trHeight w:val="247"/>
          <w:jc w:val="center"/>
        </w:trPr>
        <w:tc>
          <w:tcPr>
            <w:tcW w:w="990" w:type="pct"/>
            <w:vMerge/>
            <w:tcBorders>
              <w:tl2br w:val="nil"/>
              <w:tr2bl w:val="nil"/>
            </w:tcBorders>
            <w:vAlign w:val="center"/>
          </w:tcPr>
          <w:p w14:paraId="1ACCA555"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737" w:type="pct"/>
            <w:tcBorders>
              <w:tl2br w:val="nil"/>
              <w:tr2bl w:val="nil"/>
            </w:tcBorders>
            <w:vAlign w:val="center"/>
          </w:tcPr>
          <w:p w14:paraId="37EF5CB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坑塘水面</w:t>
            </w:r>
          </w:p>
        </w:tc>
        <w:tc>
          <w:tcPr>
            <w:tcW w:w="518" w:type="pct"/>
            <w:tcBorders>
              <w:tl2br w:val="nil"/>
              <w:tr2bl w:val="nil"/>
            </w:tcBorders>
            <w:vAlign w:val="center"/>
          </w:tcPr>
          <w:p w14:paraId="74C479B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0.81</w:t>
            </w:r>
          </w:p>
        </w:tc>
        <w:tc>
          <w:tcPr>
            <w:tcW w:w="606" w:type="pct"/>
            <w:tcBorders>
              <w:tl2br w:val="nil"/>
              <w:tr2bl w:val="nil"/>
            </w:tcBorders>
            <w:vAlign w:val="center"/>
          </w:tcPr>
          <w:p w14:paraId="307F871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0.09</w:t>
            </w:r>
          </w:p>
        </w:tc>
        <w:tc>
          <w:tcPr>
            <w:tcW w:w="518" w:type="pct"/>
            <w:tcBorders>
              <w:tl2br w:val="nil"/>
              <w:tr2bl w:val="nil"/>
            </w:tcBorders>
            <w:vAlign w:val="center"/>
          </w:tcPr>
          <w:p w14:paraId="276ECDE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0.81</w:t>
            </w:r>
          </w:p>
        </w:tc>
        <w:tc>
          <w:tcPr>
            <w:tcW w:w="605" w:type="pct"/>
            <w:tcBorders>
              <w:tl2br w:val="nil"/>
              <w:tr2bl w:val="nil"/>
            </w:tcBorders>
            <w:vAlign w:val="center"/>
          </w:tcPr>
          <w:p w14:paraId="60DD1DF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0.09</w:t>
            </w:r>
          </w:p>
        </w:tc>
        <w:tc>
          <w:tcPr>
            <w:tcW w:w="518" w:type="pct"/>
            <w:tcBorders>
              <w:tl2br w:val="nil"/>
              <w:tr2bl w:val="nil"/>
            </w:tcBorders>
            <w:vAlign w:val="center"/>
          </w:tcPr>
          <w:p w14:paraId="1DD41FF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504" w:type="pct"/>
            <w:tcBorders>
              <w:tl2br w:val="nil"/>
              <w:tr2bl w:val="nil"/>
            </w:tcBorders>
            <w:vAlign w:val="center"/>
          </w:tcPr>
          <w:p w14:paraId="6DDA40C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r>
      <w:tr w:rsidR="009D12AF" w14:paraId="57A7ED60" w14:textId="77777777">
        <w:trPr>
          <w:cantSplit/>
          <w:trHeight w:val="247"/>
          <w:jc w:val="center"/>
        </w:trPr>
        <w:tc>
          <w:tcPr>
            <w:tcW w:w="990" w:type="pct"/>
            <w:vMerge/>
            <w:tcBorders>
              <w:tl2br w:val="nil"/>
              <w:tr2bl w:val="nil"/>
            </w:tcBorders>
            <w:vAlign w:val="center"/>
          </w:tcPr>
          <w:p w14:paraId="5545622B"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737" w:type="pct"/>
            <w:tcBorders>
              <w:tl2br w:val="nil"/>
              <w:tr2bl w:val="nil"/>
            </w:tcBorders>
            <w:vAlign w:val="center"/>
          </w:tcPr>
          <w:p w14:paraId="61D400A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水工建筑用地</w:t>
            </w:r>
          </w:p>
        </w:tc>
        <w:tc>
          <w:tcPr>
            <w:tcW w:w="518" w:type="pct"/>
            <w:tcBorders>
              <w:tl2br w:val="nil"/>
              <w:tr2bl w:val="nil"/>
            </w:tcBorders>
            <w:vAlign w:val="center"/>
          </w:tcPr>
          <w:p w14:paraId="1D2A229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r>
              <w:rPr>
                <w:rFonts w:ascii="Times New Roman" w:eastAsia="宋体" w:hAnsi="Times New Roman" w:cs="Times New Roman"/>
                <w:kern w:val="0"/>
                <w:sz w:val="21"/>
                <w:szCs w:val="21"/>
              </w:rPr>
              <w:t>.00</w:t>
            </w:r>
          </w:p>
        </w:tc>
        <w:tc>
          <w:tcPr>
            <w:tcW w:w="606" w:type="pct"/>
            <w:tcBorders>
              <w:tl2br w:val="nil"/>
              <w:tr2bl w:val="nil"/>
            </w:tcBorders>
            <w:vAlign w:val="center"/>
          </w:tcPr>
          <w:p w14:paraId="747DFAD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r>
              <w:rPr>
                <w:rFonts w:ascii="Times New Roman" w:eastAsia="宋体" w:hAnsi="Times New Roman" w:cs="Times New Roman"/>
                <w:kern w:val="0"/>
                <w:sz w:val="21"/>
                <w:szCs w:val="21"/>
              </w:rPr>
              <w:t>.00</w:t>
            </w:r>
          </w:p>
        </w:tc>
        <w:tc>
          <w:tcPr>
            <w:tcW w:w="518" w:type="pct"/>
            <w:tcBorders>
              <w:tl2br w:val="nil"/>
              <w:tr2bl w:val="nil"/>
            </w:tcBorders>
            <w:vAlign w:val="center"/>
          </w:tcPr>
          <w:p w14:paraId="200CA08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.03</w:t>
            </w:r>
          </w:p>
        </w:tc>
        <w:tc>
          <w:tcPr>
            <w:tcW w:w="605" w:type="pct"/>
            <w:tcBorders>
              <w:tl2br w:val="nil"/>
              <w:tr2bl w:val="nil"/>
            </w:tcBorders>
            <w:vAlign w:val="center"/>
          </w:tcPr>
          <w:p w14:paraId="1F76810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0.00</w:t>
            </w:r>
          </w:p>
        </w:tc>
        <w:tc>
          <w:tcPr>
            <w:tcW w:w="518" w:type="pct"/>
            <w:tcBorders>
              <w:tl2br w:val="nil"/>
              <w:tr2bl w:val="nil"/>
            </w:tcBorders>
            <w:vAlign w:val="center"/>
          </w:tcPr>
          <w:p w14:paraId="2041CA2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.03</w:t>
            </w:r>
          </w:p>
        </w:tc>
        <w:tc>
          <w:tcPr>
            <w:tcW w:w="504" w:type="pct"/>
            <w:tcBorders>
              <w:tl2br w:val="nil"/>
              <w:tr2bl w:val="nil"/>
            </w:tcBorders>
            <w:vAlign w:val="center"/>
          </w:tcPr>
          <w:p w14:paraId="16F532B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50.00</w:t>
            </w:r>
          </w:p>
        </w:tc>
      </w:tr>
      <w:tr w:rsidR="009D12AF" w14:paraId="0092F22E" w14:textId="77777777">
        <w:trPr>
          <w:cantSplit/>
          <w:trHeight w:val="247"/>
          <w:jc w:val="center"/>
        </w:trPr>
        <w:tc>
          <w:tcPr>
            <w:tcW w:w="990" w:type="pct"/>
            <w:vMerge w:val="restart"/>
            <w:tcBorders>
              <w:tl2br w:val="nil"/>
              <w:tr2bl w:val="nil"/>
            </w:tcBorders>
            <w:vAlign w:val="center"/>
          </w:tcPr>
          <w:p w14:paraId="604A539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交通运输用地</w:t>
            </w:r>
          </w:p>
        </w:tc>
        <w:tc>
          <w:tcPr>
            <w:tcW w:w="737" w:type="pct"/>
            <w:tcBorders>
              <w:tl2br w:val="nil"/>
              <w:tr2bl w:val="nil"/>
            </w:tcBorders>
            <w:vAlign w:val="center"/>
          </w:tcPr>
          <w:p w14:paraId="1E76A2C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农村道路</w:t>
            </w:r>
          </w:p>
        </w:tc>
        <w:tc>
          <w:tcPr>
            <w:tcW w:w="518" w:type="pct"/>
            <w:tcBorders>
              <w:tl2br w:val="nil"/>
              <w:tr2bl w:val="nil"/>
            </w:tcBorders>
            <w:vAlign w:val="center"/>
          </w:tcPr>
          <w:p w14:paraId="484F5F9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8.50</w:t>
            </w:r>
          </w:p>
        </w:tc>
        <w:tc>
          <w:tcPr>
            <w:tcW w:w="606" w:type="pct"/>
            <w:tcBorders>
              <w:tl2br w:val="nil"/>
              <w:tr2bl w:val="nil"/>
            </w:tcBorders>
            <w:vAlign w:val="center"/>
          </w:tcPr>
          <w:p w14:paraId="28141A8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0.90</w:t>
            </w:r>
          </w:p>
        </w:tc>
        <w:tc>
          <w:tcPr>
            <w:tcW w:w="518" w:type="pct"/>
            <w:tcBorders>
              <w:tl2br w:val="nil"/>
              <w:tr2bl w:val="nil"/>
            </w:tcBorders>
            <w:vAlign w:val="center"/>
          </w:tcPr>
          <w:p w14:paraId="26495BC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8.50</w:t>
            </w:r>
          </w:p>
        </w:tc>
        <w:tc>
          <w:tcPr>
            <w:tcW w:w="605" w:type="pct"/>
            <w:tcBorders>
              <w:tl2br w:val="nil"/>
              <w:tr2bl w:val="nil"/>
            </w:tcBorders>
            <w:vAlign w:val="center"/>
          </w:tcPr>
          <w:p w14:paraId="6752620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0.90</w:t>
            </w:r>
          </w:p>
        </w:tc>
        <w:tc>
          <w:tcPr>
            <w:tcW w:w="518" w:type="pct"/>
            <w:tcBorders>
              <w:tl2br w:val="nil"/>
              <w:tr2bl w:val="nil"/>
            </w:tcBorders>
            <w:vAlign w:val="center"/>
          </w:tcPr>
          <w:p w14:paraId="5E8812C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504" w:type="pct"/>
            <w:tcBorders>
              <w:tl2br w:val="nil"/>
              <w:tr2bl w:val="nil"/>
            </w:tcBorders>
            <w:vAlign w:val="center"/>
          </w:tcPr>
          <w:p w14:paraId="2545C49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w:t>
            </w:r>
          </w:p>
        </w:tc>
      </w:tr>
      <w:tr w:rsidR="009D12AF" w14:paraId="0BA2CBB7" w14:textId="77777777">
        <w:trPr>
          <w:cantSplit/>
          <w:trHeight w:val="247"/>
          <w:jc w:val="center"/>
        </w:trPr>
        <w:tc>
          <w:tcPr>
            <w:tcW w:w="990" w:type="pct"/>
            <w:vMerge/>
            <w:tcBorders>
              <w:tl2br w:val="nil"/>
              <w:tr2bl w:val="nil"/>
            </w:tcBorders>
            <w:vAlign w:val="center"/>
          </w:tcPr>
          <w:p w14:paraId="206179B9"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737" w:type="pct"/>
            <w:tcBorders>
              <w:tl2br w:val="nil"/>
              <w:tr2bl w:val="nil"/>
            </w:tcBorders>
            <w:vAlign w:val="center"/>
          </w:tcPr>
          <w:p w14:paraId="56876BB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公路用地</w:t>
            </w:r>
          </w:p>
        </w:tc>
        <w:tc>
          <w:tcPr>
            <w:tcW w:w="518" w:type="pct"/>
            <w:tcBorders>
              <w:tl2br w:val="nil"/>
              <w:tr2bl w:val="nil"/>
            </w:tcBorders>
            <w:vAlign w:val="center"/>
          </w:tcPr>
          <w:p w14:paraId="243C826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3.64</w:t>
            </w:r>
          </w:p>
        </w:tc>
        <w:tc>
          <w:tcPr>
            <w:tcW w:w="606" w:type="pct"/>
            <w:tcBorders>
              <w:tl2br w:val="nil"/>
              <w:tr2bl w:val="nil"/>
            </w:tcBorders>
            <w:vAlign w:val="center"/>
          </w:tcPr>
          <w:p w14:paraId="40641BB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0.38</w:t>
            </w:r>
          </w:p>
        </w:tc>
        <w:tc>
          <w:tcPr>
            <w:tcW w:w="518" w:type="pct"/>
            <w:tcBorders>
              <w:tl2br w:val="nil"/>
              <w:tr2bl w:val="nil"/>
            </w:tcBorders>
            <w:vAlign w:val="center"/>
          </w:tcPr>
          <w:p w14:paraId="5B88E57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3.64</w:t>
            </w:r>
          </w:p>
        </w:tc>
        <w:tc>
          <w:tcPr>
            <w:tcW w:w="605" w:type="pct"/>
            <w:tcBorders>
              <w:tl2br w:val="nil"/>
              <w:tr2bl w:val="nil"/>
            </w:tcBorders>
            <w:vAlign w:val="center"/>
          </w:tcPr>
          <w:p w14:paraId="2DD8153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0.38</w:t>
            </w:r>
          </w:p>
        </w:tc>
        <w:tc>
          <w:tcPr>
            <w:tcW w:w="518" w:type="pct"/>
            <w:tcBorders>
              <w:tl2br w:val="nil"/>
              <w:tr2bl w:val="nil"/>
            </w:tcBorders>
            <w:vAlign w:val="center"/>
          </w:tcPr>
          <w:p w14:paraId="55B1E88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504" w:type="pct"/>
            <w:tcBorders>
              <w:tl2br w:val="nil"/>
              <w:tr2bl w:val="nil"/>
            </w:tcBorders>
            <w:vAlign w:val="center"/>
          </w:tcPr>
          <w:p w14:paraId="2532097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r>
      <w:tr w:rsidR="009D12AF" w14:paraId="2D7CB1DA" w14:textId="77777777">
        <w:trPr>
          <w:cantSplit/>
          <w:trHeight w:val="247"/>
          <w:jc w:val="center"/>
        </w:trPr>
        <w:tc>
          <w:tcPr>
            <w:tcW w:w="990" w:type="pct"/>
            <w:vMerge w:val="restart"/>
            <w:tcBorders>
              <w:tl2br w:val="nil"/>
              <w:tr2bl w:val="nil"/>
            </w:tcBorders>
            <w:vAlign w:val="center"/>
          </w:tcPr>
          <w:p w14:paraId="7F6DF40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草地</w:t>
            </w:r>
          </w:p>
        </w:tc>
        <w:tc>
          <w:tcPr>
            <w:tcW w:w="737" w:type="pct"/>
            <w:tcBorders>
              <w:tl2br w:val="nil"/>
              <w:tr2bl w:val="nil"/>
            </w:tcBorders>
            <w:vAlign w:val="center"/>
          </w:tcPr>
          <w:p w14:paraId="3836EA5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其他草地</w:t>
            </w:r>
          </w:p>
        </w:tc>
        <w:tc>
          <w:tcPr>
            <w:tcW w:w="518" w:type="pct"/>
            <w:tcBorders>
              <w:tl2br w:val="nil"/>
              <w:tr2bl w:val="nil"/>
            </w:tcBorders>
            <w:vAlign w:val="center"/>
          </w:tcPr>
          <w:p w14:paraId="2DC8B79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1.38</w:t>
            </w:r>
          </w:p>
        </w:tc>
        <w:tc>
          <w:tcPr>
            <w:tcW w:w="606" w:type="pct"/>
            <w:tcBorders>
              <w:tl2br w:val="nil"/>
              <w:tr2bl w:val="nil"/>
            </w:tcBorders>
            <w:vAlign w:val="center"/>
          </w:tcPr>
          <w:p w14:paraId="0837E73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0.15</w:t>
            </w:r>
          </w:p>
        </w:tc>
        <w:tc>
          <w:tcPr>
            <w:tcW w:w="518" w:type="pct"/>
            <w:tcBorders>
              <w:tl2br w:val="nil"/>
              <w:tr2bl w:val="nil"/>
            </w:tcBorders>
            <w:vAlign w:val="center"/>
          </w:tcPr>
          <w:p w14:paraId="63AEB84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1.38</w:t>
            </w:r>
          </w:p>
        </w:tc>
        <w:tc>
          <w:tcPr>
            <w:tcW w:w="605" w:type="pct"/>
            <w:tcBorders>
              <w:tl2br w:val="nil"/>
              <w:tr2bl w:val="nil"/>
            </w:tcBorders>
            <w:vAlign w:val="center"/>
          </w:tcPr>
          <w:p w14:paraId="40E10AB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0.15</w:t>
            </w:r>
          </w:p>
        </w:tc>
        <w:tc>
          <w:tcPr>
            <w:tcW w:w="518" w:type="pct"/>
            <w:tcBorders>
              <w:tl2br w:val="nil"/>
              <w:tr2bl w:val="nil"/>
            </w:tcBorders>
            <w:vAlign w:val="center"/>
          </w:tcPr>
          <w:p w14:paraId="1465A0F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w:t>
            </w:r>
          </w:p>
        </w:tc>
        <w:tc>
          <w:tcPr>
            <w:tcW w:w="504" w:type="pct"/>
            <w:tcBorders>
              <w:tl2br w:val="nil"/>
              <w:tr2bl w:val="nil"/>
            </w:tcBorders>
            <w:vAlign w:val="center"/>
          </w:tcPr>
          <w:p w14:paraId="19DC24C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w:t>
            </w:r>
          </w:p>
        </w:tc>
      </w:tr>
      <w:tr w:rsidR="009D12AF" w14:paraId="3104E252" w14:textId="77777777">
        <w:trPr>
          <w:cantSplit/>
          <w:trHeight w:val="247"/>
          <w:jc w:val="center"/>
        </w:trPr>
        <w:tc>
          <w:tcPr>
            <w:tcW w:w="990" w:type="pct"/>
            <w:vMerge/>
            <w:tcBorders>
              <w:tl2br w:val="nil"/>
              <w:tr2bl w:val="nil"/>
            </w:tcBorders>
            <w:vAlign w:val="center"/>
          </w:tcPr>
          <w:p w14:paraId="23BFC8D2"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737" w:type="pct"/>
            <w:tcBorders>
              <w:tl2br w:val="nil"/>
              <w:tr2bl w:val="nil"/>
            </w:tcBorders>
            <w:vAlign w:val="center"/>
          </w:tcPr>
          <w:p w14:paraId="0F87E4D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沼泽草地</w:t>
            </w:r>
          </w:p>
        </w:tc>
        <w:tc>
          <w:tcPr>
            <w:tcW w:w="518" w:type="pct"/>
            <w:tcBorders>
              <w:tl2br w:val="nil"/>
              <w:tr2bl w:val="nil"/>
            </w:tcBorders>
            <w:vAlign w:val="center"/>
          </w:tcPr>
          <w:p w14:paraId="6B633A6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58.28</w:t>
            </w:r>
          </w:p>
        </w:tc>
        <w:tc>
          <w:tcPr>
            <w:tcW w:w="606" w:type="pct"/>
            <w:tcBorders>
              <w:tl2br w:val="nil"/>
              <w:tr2bl w:val="nil"/>
            </w:tcBorders>
            <w:vAlign w:val="center"/>
          </w:tcPr>
          <w:p w14:paraId="58C3D4D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6.15</w:t>
            </w:r>
          </w:p>
        </w:tc>
        <w:tc>
          <w:tcPr>
            <w:tcW w:w="518" w:type="pct"/>
            <w:tcBorders>
              <w:tl2br w:val="nil"/>
              <w:tr2bl w:val="nil"/>
            </w:tcBorders>
            <w:vAlign w:val="center"/>
          </w:tcPr>
          <w:p w14:paraId="6BC8ECB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58.28</w:t>
            </w:r>
          </w:p>
        </w:tc>
        <w:tc>
          <w:tcPr>
            <w:tcW w:w="605" w:type="pct"/>
            <w:tcBorders>
              <w:tl2br w:val="nil"/>
              <w:tr2bl w:val="nil"/>
            </w:tcBorders>
            <w:vAlign w:val="center"/>
          </w:tcPr>
          <w:p w14:paraId="162EBDB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6.15</w:t>
            </w:r>
          </w:p>
        </w:tc>
        <w:tc>
          <w:tcPr>
            <w:tcW w:w="518" w:type="pct"/>
            <w:tcBorders>
              <w:tl2br w:val="nil"/>
              <w:tr2bl w:val="nil"/>
            </w:tcBorders>
            <w:vAlign w:val="center"/>
          </w:tcPr>
          <w:p w14:paraId="1A30F20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504" w:type="pct"/>
            <w:tcBorders>
              <w:tl2br w:val="nil"/>
              <w:tr2bl w:val="nil"/>
            </w:tcBorders>
            <w:vAlign w:val="center"/>
          </w:tcPr>
          <w:p w14:paraId="62C169C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r>
      <w:tr w:rsidR="009D12AF" w14:paraId="6BCE3983" w14:textId="77777777">
        <w:trPr>
          <w:cantSplit/>
          <w:trHeight w:val="247"/>
          <w:jc w:val="center"/>
        </w:trPr>
        <w:tc>
          <w:tcPr>
            <w:tcW w:w="990" w:type="pct"/>
            <w:tcBorders>
              <w:tl2br w:val="nil"/>
              <w:tr2bl w:val="nil"/>
            </w:tcBorders>
            <w:vAlign w:val="center"/>
          </w:tcPr>
          <w:p w14:paraId="236B3F8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园地</w:t>
            </w:r>
          </w:p>
        </w:tc>
        <w:tc>
          <w:tcPr>
            <w:tcW w:w="737" w:type="pct"/>
            <w:tcBorders>
              <w:tl2br w:val="nil"/>
              <w:tr2bl w:val="nil"/>
            </w:tcBorders>
            <w:vAlign w:val="center"/>
          </w:tcPr>
          <w:p w14:paraId="646FF7E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果园</w:t>
            </w:r>
          </w:p>
        </w:tc>
        <w:tc>
          <w:tcPr>
            <w:tcW w:w="518" w:type="pct"/>
            <w:tcBorders>
              <w:tl2br w:val="nil"/>
              <w:tr2bl w:val="nil"/>
            </w:tcBorders>
            <w:vAlign w:val="center"/>
          </w:tcPr>
          <w:p w14:paraId="3687248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0.61</w:t>
            </w:r>
          </w:p>
        </w:tc>
        <w:tc>
          <w:tcPr>
            <w:tcW w:w="606" w:type="pct"/>
            <w:tcBorders>
              <w:tl2br w:val="nil"/>
              <w:tr2bl w:val="nil"/>
            </w:tcBorders>
            <w:vAlign w:val="center"/>
          </w:tcPr>
          <w:p w14:paraId="79920CD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0.06</w:t>
            </w:r>
          </w:p>
        </w:tc>
        <w:tc>
          <w:tcPr>
            <w:tcW w:w="518" w:type="pct"/>
            <w:tcBorders>
              <w:tl2br w:val="nil"/>
              <w:tr2bl w:val="nil"/>
            </w:tcBorders>
            <w:vAlign w:val="center"/>
          </w:tcPr>
          <w:p w14:paraId="73026E5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0.61</w:t>
            </w:r>
          </w:p>
        </w:tc>
        <w:tc>
          <w:tcPr>
            <w:tcW w:w="605" w:type="pct"/>
            <w:tcBorders>
              <w:tl2br w:val="nil"/>
              <w:tr2bl w:val="nil"/>
            </w:tcBorders>
            <w:vAlign w:val="center"/>
          </w:tcPr>
          <w:p w14:paraId="3F50C7B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0.06</w:t>
            </w:r>
          </w:p>
        </w:tc>
        <w:tc>
          <w:tcPr>
            <w:tcW w:w="518" w:type="pct"/>
            <w:tcBorders>
              <w:tl2br w:val="nil"/>
              <w:tr2bl w:val="nil"/>
            </w:tcBorders>
            <w:vAlign w:val="center"/>
          </w:tcPr>
          <w:p w14:paraId="190AA0E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504" w:type="pct"/>
            <w:tcBorders>
              <w:tl2br w:val="nil"/>
              <w:tr2bl w:val="nil"/>
            </w:tcBorders>
            <w:vAlign w:val="center"/>
          </w:tcPr>
          <w:p w14:paraId="47CBAD9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r>
      <w:tr w:rsidR="009D12AF" w14:paraId="57064615" w14:textId="77777777">
        <w:trPr>
          <w:cantSplit/>
          <w:trHeight w:val="247"/>
          <w:jc w:val="center"/>
        </w:trPr>
        <w:tc>
          <w:tcPr>
            <w:tcW w:w="990" w:type="pct"/>
            <w:tcBorders>
              <w:tl2br w:val="nil"/>
              <w:tr2bl w:val="nil"/>
            </w:tcBorders>
            <w:vAlign w:val="center"/>
          </w:tcPr>
          <w:p w14:paraId="61814C6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住宅用地</w:t>
            </w:r>
          </w:p>
        </w:tc>
        <w:tc>
          <w:tcPr>
            <w:tcW w:w="737" w:type="pct"/>
            <w:tcBorders>
              <w:tl2br w:val="nil"/>
              <w:tr2bl w:val="nil"/>
            </w:tcBorders>
            <w:vAlign w:val="center"/>
          </w:tcPr>
          <w:p w14:paraId="385BED6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农村宅基地</w:t>
            </w:r>
          </w:p>
        </w:tc>
        <w:tc>
          <w:tcPr>
            <w:tcW w:w="518" w:type="pct"/>
            <w:tcBorders>
              <w:tl2br w:val="nil"/>
              <w:tr2bl w:val="nil"/>
            </w:tcBorders>
            <w:vAlign w:val="center"/>
          </w:tcPr>
          <w:p w14:paraId="39AF127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17.26</w:t>
            </w:r>
          </w:p>
        </w:tc>
        <w:tc>
          <w:tcPr>
            <w:tcW w:w="606" w:type="pct"/>
            <w:tcBorders>
              <w:tl2br w:val="nil"/>
              <w:tr2bl w:val="nil"/>
            </w:tcBorders>
            <w:vAlign w:val="center"/>
          </w:tcPr>
          <w:p w14:paraId="0C63F96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1.82</w:t>
            </w:r>
          </w:p>
        </w:tc>
        <w:tc>
          <w:tcPr>
            <w:tcW w:w="518" w:type="pct"/>
            <w:tcBorders>
              <w:tl2br w:val="nil"/>
              <w:tr2bl w:val="nil"/>
            </w:tcBorders>
            <w:vAlign w:val="center"/>
          </w:tcPr>
          <w:p w14:paraId="7262E72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17.26</w:t>
            </w:r>
          </w:p>
        </w:tc>
        <w:tc>
          <w:tcPr>
            <w:tcW w:w="605" w:type="pct"/>
            <w:tcBorders>
              <w:tl2br w:val="nil"/>
              <w:tr2bl w:val="nil"/>
            </w:tcBorders>
            <w:vAlign w:val="center"/>
          </w:tcPr>
          <w:p w14:paraId="574A0EF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1.82</w:t>
            </w:r>
          </w:p>
        </w:tc>
        <w:tc>
          <w:tcPr>
            <w:tcW w:w="518" w:type="pct"/>
            <w:tcBorders>
              <w:tl2br w:val="nil"/>
              <w:tr2bl w:val="nil"/>
            </w:tcBorders>
            <w:vAlign w:val="center"/>
          </w:tcPr>
          <w:p w14:paraId="4F2C1CA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504" w:type="pct"/>
            <w:tcBorders>
              <w:tl2br w:val="nil"/>
              <w:tr2bl w:val="nil"/>
            </w:tcBorders>
            <w:vAlign w:val="center"/>
          </w:tcPr>
          <w:p w14:paraId="6A54EC9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r>
      <w:tr w:rsidR="009D12AF" w14:paraId="0B5F2592" w14:textId="77777777">
        <w:trPr>
          <w:cantSplit/>
          <w:trHeight w:val="247"/>
          <w:jc w:val="center"/>
        </w:trPr>
        <w:tc>
          <w:tcPr>
            <w:tcW w:w="990" w:type="pct"/>
            <w:vMerge w:val="restart"/>
            <w:tcBorders>
              <w:tl2br w:val="nil"/>
              <w:tr2bl w:val="nil"/>
            </w:tcBorders>
            <w:vAlign w:val="center"/>
          </w:tcPr>
          <w:p w14:paraId="26BB87E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林地</w:t>
            </w:r>
          </w:p>
        </w:tc>
        <w:tc>
          <w:tcPr>
            <w:tcW w:w="737" w:type="pct"/>
            <w:tcBorders>
              <w:tl2br w:val="nil"/>
              <w:tr2bl w:val="nil"/>
            </w:tcBorders>
            <w:vAlign w:val="center"/>
          </w:tcPr>
          <w:p w14:paraId="035A189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其他林地</w:t>
            </w:r>
          </w:p>
        </w:tc>
        <w:tc>
          <w:tcPr>
            <w:tcW w:w="518" w:type="pct"/>
            <w:tcBorders>
              <w:tl2br w:val="nil"/>
              <w:tr2bl w:val="nil"/>
            </w:tcBorders>
            <w:vAlign w:val="center"/>
          </w:tcPr>
          <w:p w14:paraId="326F1B7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4.40</w:t>
            </w:r>
          </w:p>
        </w:tc>
        <w:tc>
          <w:tcPr>
            <w:tcW w:w="606" w:type="pct"/>
            <w:tcBorders>
              <w:tl2br w:val="nil"/>
              <w:tr2bl w:val="nil"/>
            </w:tcBorders>
            <w:vAlign w:val="center"/>
          </w:tcPr>
          <w:p w14:paraId="6B7EB68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0.46</w:t>
            </w:r>
          </w:p>
        </w:tc>
        <w:tc>
          <w:tcPr>
            <w:tcW w:w="518" w:type="pct"/>
            <w:tcBorders>
              <w:tl2br w:val="nil"/>
              <w:tr2bl w:val="nil"/>
            </w:tcBorders>
            <w:vAlign w:val="center"/>
          </w:tcPr>
          <w:p w14:paraId="772CEEE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4.40</w:t>
            </w:r>
          </w:p>
        </w:tc>
        <w:tc>
          <w:tcPr>
            <w:tcW w:w="605" w:type="pct"/>
            <w:tcBorders>
              <w:tl2br w:val="nil"/>
              <w:tr2bl w:val="nil"/>
            </w:tcBorders>
            <w:vAlign w:val="center"/>
          </w:tcPr>
          <w:p w14:paraId="11D6AF1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0.46</w:t>
            </w:r>
          </w:p>
        </w:tc>
        <w:tc>
          <w:tcPr>
            <w:tcW w:w="518" w:type="pct"/>
            <w:tcBorders>
              <w:tl2br w:val="nil"/>
              <w:tr2bl w:val="nil"/>
            </w:tcBorders>
            <w:vAlign w:val="center"/>
          </w:tcPr>
          <w:p w14:paraId="74072F8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504" w:type="pct"/>
            <w:tcBorders>
              <w:tl2br w:val="nil"/>
              <w:tr2bl w:val="nil"/>
            </w:tcBorders>
            <w:vAlign w:val="center"/>
          </w:tcPr>
          <w:p w14:paraId="52B881F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r>
      <w:tr w:rsidR="009D12AF" w14:paraId="73FCB4D9" w14:textId="77777777">
        <w:trPr>
          <w:cantSplit/>
          <w:trHeight w:val="247"/>
          <w:jc w:val="center"/>
        </w:trPr>
        <w:tc>
          <w:tcPr>
            <w:tcW w:w="990" w:type="pct"/>
            <w:vMerge/>
            <w:tcBorders>
              <w:tl2br w:val="nil"/>
              <w:tr2bl w:val="nil"/>
            </w:tcBorders>
            <w:vAlign w:val="center"/>
          </w:tcPr>
          <w:p w14:paraId="5C310C08"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737" w:type="pct"/>
            <w:tcBorders>
              <w:tl2br w:val="nil"/>
              <w:tr2bl w:val="nil"/>
            </w:tcBorders>
            <w:vAlign w:val="center"/>
          </w:tcPr>
          <w:p w14:paraId="60A77F5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乔木林地</w:t>
            </w:r>
          </w:p>
        </w:tc>
        <w:tc>
          <w:tcPr>
            <w:tcW w:w="518" w:type="pct"/>
            <w:tcBorders>
              <w:tl2br w:val="nil"/>
              <w:tr2bl w:val="nil"/>
            </w:tcBorders>
            <w:vAlign w:val="center"/>
          </w:tcPr>
          <w:p w14:paraId="14CE520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348.52</w:t>
            </w:r>
          </w:p>
        </w:tc>
        <w:tc>
          <w:tcPr>
            <w:tcW w:w="606" w:type="pct"/>
            <w:tcBorders>
              <w:tl2br w:val="nil"/>
              <w:tr2bl w:val="nil"/>
            </w:tcBorders>
            <w:vAlign w:val="center"/>
          </w:tcPr>
          <w:p w14:paraId="4A2CB8D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36.80</w:t>
            </w:r>
          </w:p>
        </w:tc>
        <w:tc>
          <w:tcPr>
            <w:tcW w:w="518" w:type="pct"/>
            <w:tcBorders>
              <w:tl2br w:val="nil"/>
              <w:tr2bl w:val="nil"/>
            </w:tcBorders>
            <w:vAlign w:val="center"/>
          </w:tcPr>
          <w:p w14:paraId="30BB1C9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348.52</w:t>
            </w:r>
          </w:p>
        </w:tc>
        <w:tc>
          <w:tcPr>
            <w:tcW w:w="605" w:type="pct"/>
            <w:tcBorders>
              <w:tl2br w:val="nil"/>
              <w:tr2bl w:val="nil"/>
            </w:tcBorders>
            <w:vAlign w:val="center"/>
          </w:tcPr>
          <w:p w14:paraId="1543BD1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36.80</w:t>
            </w:r>
          </w:p>
        </w:tc>
        <w:tc>
          <w:tcPr>
            <w:tcW w:w="518" w:type="pct"/>
            <w:tcBorders>
              <w:tl2br w:val="nil"/>
              <w:tr2bl w:val="nil"/>
            </w:tcBorders>
            <w:vAlign w:val="center"/>
          </w:tcPr>
          <w:p w14:paraId="62B91F9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504" w:type="pct"/>
            <w:tcBorders>
              <w:tl2br w:val="nil"/>
              <w:tr2bl w:val="nil"/>
            </w:tcBorders>
            <w:vAlign w:val="center"/>
          </w:tcPr>
          <w:p w14:paraId="72FD218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r>
      <w:tr w:rsidR="009D12AF" w14:paraId="1F44B64F" w14:textId="77777777">
        <w:trPr>
          <w:cantSplit/>
          <w:trHeight w:val="247"/>
          <w:jc w:val="center"/>
        </w:trPr>
        <w:tc>
          <w:tcPr>
            <w:tcW w:w="990" w:type="pct"/>
            <w:tcBorders>
              <w:tl2br w:val="nil"/>
              <w:tr2bl w:val="nil"/>
            </w:tcBorders>
            <w:vAlign w:val="center"/>
          </w:tcPr>
          <w:p w14:paraId="40B2E3A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其他用地</w:t>
            </w:r>
          </w:p>
        </w:tc>
        <w:tc>
          <w:tcPr>
            <w:tcW w:w="737" w:type="pct"/>
            <w:tcBorders>
              <w:tl2br w:val="nil"/>
              <w:tr2bl w:val="nil"/>
            </w:tcBorders>
            <w:vAlign w:val="center"/>
          </w:tcPr>
          <w:p w14:paraId="29D3D95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设施农用地</w:t>
            </w:r>
          </w:p>
        </w:tc>
        <w:tc>
          <w:tcPr>
            <w:tcW w:w="518" w:type="pct"/>
            <w:tcBorders>
              <w:tl2br w:val="nil"/>
              <w:tr2bl w:val="nil"/>
            </w:tcBorders>
            <w:vAlign w:val="center"/>
          </w:tcPr>
          <w:p w14:paraId="3F4541A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0.82</w:t>
            </w:r>
          </w:p>
        </w:tc>
        <w:tc>
          <w:tcPr>
            <w:tcW w:w="606" w:type="pct"/>
            <w:tcBorders>
              <w:tl2br w:val="nil"/>
              <w:tr2bl w:val="nil"/>
            </w:tcBorders>
            <w:vAlign w:val="center"/>
          </w:tcPr>
          <w:p w14:paraId="5EF5AC1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0.09</w:t>
            </w:r>
          </w:p>
        </w:tc>
        <w:tc>
          <w:tcPr>
            <w:tcW w:w="518" w:type="pct"/>
            <w:tcBorders>
              <w:tl2br w:val="nil"/>
              <w:tr2bl w:val="nil"/>
            </w:tcBorders>
            <w:vAlign w:val="center"/>
          </w:tcPr>
          <w:p w14:paraId="11D6EBA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0.82</w:t>
            </w:r>
          </w:p>
        </w:tc>
        <w:tc>
          <w:tcPr>
            <w:tcW w:w="605" w:type="pct"/>
            <w:tcBorders>
              <w:tl2br w:val="nil"/>
              <w:tr2bl w:val="nil"/>
            </w:tcBorders>
            <w:vAlign w:val="center"/>
          </w:tcPr>
          <w:p w14:paraId="7D1C547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0.09</w:t>
            </w:r>
          </w:p>
        </w:tc>
        <w:tc>
          <w:tcPr>
            <w:tcW w:w="518" w:type="pct"/>
            <w:tcBorders>
              <w:tl2br w:val="nil"/>
              <w:tr2bl w:val="nil"/>
            </w:tcBorders>
            <w:vAlign w:val="center"/>
          </w:tcPr>
          <w:p w14:paraId="42E051E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504" w:type="pct"/>
            <w:tcBorders>
              <w:tl2br w:val="nil"/>
              <w:tr2bl w:val="nil"/>
            </w:tcBorders>
            <w:vAlign w:val="center"/>
          </w:tcPr>
          <w:p w14:paraId="32B32FF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r>
      <w:tr w:rsidR="009D12AF" w14:paraId="612724B6" w14:textId="77777777">
        <w:trPr>
          <w:cantSplit/>
          <w:trHeight w:val="247"/>
          <w:jc w:val="center"/>
        </w:trPr>
        <w:tc>
          <w:tcPr>
            <w:tcW w:w="1727" w:type="pct"/>
            <w:gridSpan w:val="2"/>
            <w:tcBorders>
              <w:tl2br w:val="nil"/>
              <w:tr2bl w:val="nil"/>
            </w:tcBorders>
            <w:vAlign w:val="center"/>
          </w:tcPr>
          <w:p w14:paraId="2A12AD6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总计</w:t>
            </w:r>
          </w:p>
        </w:tc>
        <w:tc>
          <w:tcPr>
            <w:tcW w:w="518" w:type="pct"/>
            <w:tcBorders>
              <w:tl2br w:val="nil"/>
              <w:tr2bl w:val="nil"/>
            </w:tcBorders>
            <w:vAlign w:val="center"/>
          </w:tcPr>
          <w:p w14:paraId="2993CEF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9</w:t>
            </w:r>
            <w:r>
              <w:rPr>
                <w:rFonts w:ascii="Times New Roman" w:eastAsia="宋体" w:hAnsi="Times New Roman" w:cs="Times New Roman"/>
                <w:kern w:val="0"/>
                <w:sz w:val="21"/>
                <w:szCs w:val="21"/>
              </w:rPr>
              <w:t>47.18</w:t>
            </w:r>
          </w:p>
        </w:tc>
        <w:tc>
          <w:tcPr>
            <w:tcW w:w="606" w:type="pct"/>
            <w:tcBorders>
              <w:tl2br w:val="nil"/>
              <w:tr2bl w:val="nil"/>
            </w:tcBorders>
            <w:vAlign w:val="center"/>
          </w:tcPr>
          <w:p w14:paraId="2677C58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00.00</w:t>
            </w:r>
          </w:p>
        </w:tc>
        <w:tc>
          <w:tcPr>
            <w:tcW w:w="518" w:type="pct"/>
            <w:tcBorders>
              <w:tl2br w:val="nil"/>
              <w:tr2bl w:val="nil"/>
            </w:tcBorders>
            <w:vAlign w:val="center"/>
          </w:tcPr>
          <w:p w14:paraId="5BE29AA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9</w:t>
            </w:r>
            <w:r>
              <w:rPr>
                <w:rFonts w:ascii="Times New Roman" w:eastAsia="宋体" w:hAnsi="Times New Roman" w:cs="Times New Roman"/>
                <w:kern w:val="0"/>
                <w:sz w:val="21"/>
                <w:szCs w:val="21"/>
              </w:rPr>
              <w:t>47.18</w:t>
            </w:r>
          </w:p>
        </w:tc>
        <w:tc>
          <w:tcPr>
            <w:tcW w:w="605" w:type="pct"/>
            <w:tcBorders>
              <w:tl2br w:val="nil"/>
              <w:tr2bl w:val="nil"/>
            </w:tcBorders>
            <w:vAlign w:val="center"/>
          </w:tcPr>
          <w:p w14:paraId="1F549A4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00.00</w:t>
            </w:r>
          </w:p>
        </w:tc>
        <w:tc>
          <w:tcPr>
            <w:tcW w:w="518" w:type="pct"/>
            <w:tcBorders>
              <w:tl2br w:val="nil"/>
              <w:tr2bl w:val="nil"/>
            </w:tcBorders>
            <w:vAlign w:val="center"/>
          </w:tcPr>
          <w:p w14:paraId="0BAEFE1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p>
        </w:tc>
        <w:tc>
          <w:tcPr>
            <w:tcW w:w="504" w:type="pct"/>
            <w:tcBorders>
              <w:tl2br w:val="nil"/>
              <w:tr2bl w:val="nil"/>
            </w:tcBorders>
            <w:vAlign w:val="center"/>
          </w:tcPr>
          <w:p w14:paraId="53578F7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100</w:t>
            </w:r>
          </w:p>
        </w:tc>
      </w:tr>
    </w:tbl>
    <w:p w14:paraId="35B85693" w14:textId="77777777" w:rsidR="009D12AF" w:rsidRDefault="00000000">
      <w:pPr>
        <w:pStyle w:val="4"/>
        <w:ind w:firstLineChars="0" w:firstLine="0"/>
      </w:pPr>
      <w:r>
        <w:rPr>
          <w:rFonts w:hint="eastAsia"/>
        </w:rPr>
        <w:t>5.1.9.2</w:t>
      </w:r>
      <w:r>
        <w:rPr>
          <w:rFonts w:hint="eastAsia"/>
        </w:rPr>
        <w:t>植被类型影响分析</w:t>
      </w:r>
    </w:p>
    <w:p w14:paraId="7BDE13ED" w14:textId="77777777" w:rsidR="009D12AF" w:rsidRDefault="00000000">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）工程占地对植被的影响分析</w:t>
      </w:r>
    </w:p>
    <w:p w14:paraId="11AF52BA" w14:textId="77777777" w:rsidR="009D12AF" w:rsidRDefault="00000000">
      <w:pPr>
        <w:ind w:firstLine="480"/>
        <w:rPr>
          <w:color w:val="000000" w:themeColor="text1"/>
        </w:rPr>
      </w:pPr>
      <w:r>
        <w:rPr>
          <w:rFonts w:hint="eastAsia"/>
          <w:color w:val="000000" w:themeColor="text1"/>
        </w:rPr>
        <w:t>在水库清淤项目施工过程中，工程采用环保绞吸船水下作业，通过封闭排泥管线将淤泥输送至转存区，施工对植被的影响主要集中于</w:t>
      </w:r>
      <w:r>
        <w:rPr>
          <w:rFonts w:hint="eastAsia"/>
          <w:color w:val="000000" w:themeColor="text1"/>
        </w:rPr>
        <w:t xml:space="preserve"> 1.26hm</w:t>
      </w:r>
      <w:r>
        <w:rPr>
          <w:rFonts w:hint="eastAsia"/>
          <w:color w:val="000000" w:themeColor="text1"/>
        </w:rPr>
        <w:t>²</w:t>
      </w:r>
      <w:r>
        <w:rPr>
          <w:rFonts w:hint="eastAsia"/>
          <w:color w:val="000000" w:themeColor="text1"/>
        </w:rPr>
        <w:t xml:space="preserve"> </w:t>
      </w:r>
      <w:r>
        <w:rPr>
          <w:rFonts w:hint="eastAsia"/>
          <w:color w:val="000000" w:themeColor="text1"/>
        </w:rPr>
        <w:t>临时占地（含淤泥转存区、机械设备停放区、施工便道及管线接口区），水下清淤作业对陆生植被无直接扰动，仅对作业点周边少量沉水植被有短期轻微影响，整体植被影响范围可控、程度有限。</w:t>
      </w:r>
    </w:p>
    <w:p w14:paraId="0E056524" w14:textId="77777777" w:rsidR="009D12AF" w:rsidRDefault="00000000">
      <w:pPr>
        <w:ind w:firstLine="480"/>
        <w:rPr>
          <w:color w:val="000000" w:themeColor="text1"/>
        </w:rPr>
      </w:pPr>
      <w:r>
        <w:rPr>
          <w:rFonts w:hint="eastAsia"/>
          <w:color w:val="000000" w:themeColor="text1"/>
        </w:rPr>
        <w:t>为进一步降低植被影响，项目严格按照生态保护要求优化施工方案：施工前对临时占地范围进行逐株排查，明确避开国家重点保护植物分布区；转存区表层</w:t>
      </w:r>
      <w:r>
        <w:rPr>
          <w:rFonts w:hint="eastAsia"/>
          <w:color w:val="000000" w:themeColor="text1"/>
        </w:rPr>
        <w:lastRenderedPageBreak/>
        <w:t>植被采用人工清理，清理后的草本植被种子集中收集，待恢复阶段撒播回用；施工过程中，转存区周边设置</w:t>
      </w:r>
      <w:r>
        <w:rPr>
          <w:rFonts w:hint="eastAsia"/>
          <w:color w:val="000000" w:themeColor="text1"/>
        </w:rPr>
        <w:t xml:space="preserve"> 0.5m </w:t>
      </w:r>
      <w:r>
        <w:rPr>
          <w:rFonts w:hint="eastAsia"/>
          <w:color w:val="000000" w:themeColor="text1"/>
        </w:rPr>
        <w:t>高绿色警示带，严禁机械、人员越界踩踏植被；封闭排泥管线接口处采用防渗密封处理，避免淤泥渗漏污染周边植被；施工结束后，优先回覆前期剥离的表层土壤，按原生植被类型分别撒播芦苇、香蒲等乡土湿生草种及耕地作物种子，疏林地边缘补植</w:t>
      </w:r>
      <w:r>
        <w:rPr>
          <w:rFonts w:hint="eastAsia"/>
          <w:color w:val="000000" w:themeColor="text1"/>
        </w:rPr>
        <w:t xml:space="preserve"> 2 </w:t>
      </w:r>
      <w:r>
        <w:rPr>
          <w:rFonts w:hint="eastAsia"/>
          <w:color w:val="000000" w:themeColor="text1"/>
        </w:rPr>
        <w:t>年生杨树苗，同时缩短临时占地占用周期，最大限度降低植被恢复难度，保障区域植被群落完整性。</w:t>
      </w:r>
    </w:p>
    <w:p w14:paraId="0005D911" w14:textId="77777777" w:rsidR="009D12AF" w:rsidRDefault="00000000">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）施工期污染物对植被的影响</w:t>
      </w:r>
    </w:p>
    <w:p w14:paraId="7B65237C" w14:textId="77777777" w:rsidR="009D12AF" w:rsidRDefault="00000000">
      <w:pPr>
        <w:ind w:firstLine="480"/>
        <w:rPr>
          <w:color w:val="000000" w:themeColor="text1"/>
        </w:rPr>
      </w:pPr>
      <w:r>
        <w:rPr>
          <w:rFonts w:hint="eastAsia"/>
          <w:color w:val="000000" w:themeColor="text1"/>
        </w:rPr>
        <w:t>本工程施工期间的污染主要来自于淤泥转存区作业产生的扬尘、施工机械与运输车辆排放的废气，以及清淤作业产生的含泥废水、施工人员生活污水，还有防渗膜边角料、施工包装材料及生活垃圾等固体废物，各类污染物对植被的影响均可控，未造成大范围损害。</w:t>
      </w:r>
    </w:p>
    <w:p w14:paraId="720F42BB" w14:textId="77777777" w:rsidR="009D12AF" w:rsidRDefault="00000000">
      <w:pPr>
        <w:ind w:firstLine="480"/>
        <w:rPr>
          <w:color w:val="000000" w:themeColor="text1"/>
        </w:rPr>
      </w:pPr>
      <w:r>
        <w:rPr>
          <w:rFonts w:hint="eastAsia"/>
          <w:color w:val="000000" w:themeColor="text1"/>
        </w:rPr>
        <w:t>1</w:t>
      </w:r>
      <w:r>
        <w:rPr>
          <w:rFonts w:hint="eastAsia"/>
          <w:color w:val="000000" w:themeColor="text1"/>
        </w:rPr>
        <w:t>）扬尘、废气对植被的影响</w:t>
      </w:r>
    </w:p>
    <w:p w14:paraId="4E800348" w14:textId="77777777" w:rsidR="009D12AF" w:rsidRDefault="00000000">
      <w:pPr>
        <w:ind w:firstLine="480"/>
        <w:rPr>
          <w:color w:val="000000" w:themeColor="text1"/>
        </w:rPr>
      </w:pPr>
      <w:r>
        <w:rPr>
          <w:rFonts w:hint="eastAsia"/>
          <w:color w:val="000000" w:themeColor="text1"/>
        </w:rPr>
        <w:t>工程施工期扬尘主要来源于淤泥转存区的表土剥离作业、淤泥转运时的车辆装卸，以及施工便道的车辆行驶；废气则来自挖掘机、装载机、运输车等机械的尾气排放，其中以扬尘对植被的影响为主。扬尘中的颗粒物质沉降在转存区周边</w:t>
      </w:r>
      <w:r>
        <w:rPr>
          <w:rFonts w:hint="eastAsia"/>
          <w:color w:val="000000" w:themeColor="text1"/>
        </w:rPr>
        <w:t xml:space="preserve"> 30m </w:t>
      </w:r>
      <w:r>
        <w:rPr>
          <w:rFonts w:hint="eastAsia"/>
          <w:color w:val="000000" w:themeColor="text1"/>
        </w:rPr>
        <w:t>范围内植物的叶、茎、花等地上器官，以干粉尘形式附着在叶片表面，若未及时清理，会阻塞植物气孔，导致气体交换效率下降，光合作用减弱，极端情况下可能出现叶片轻微黄化，但无干缩现象；废气中的少量颗粒物与有害气体（如</w:t>
      </w:r>
      <w:r>
        <w:rPr>
          <w:rFonts w:hint="eastAsia"/>
          <w:color w:val="000000" w:themeColor="text1"/>
        </w:rPr>
        <w:t xml:space="preserve"> NOx</w:t>
      </w:r>
      <w:r>
        <w:rPr>
          <w:rFonts w:hint="eastAsia"/>
          <w:color w:val="000000" w:themeColor="text1"/>
        </w:rPr>
        <w:t>、</w:t>
      </w:r>
      <w:r>
        <w:rPr>
          <w:rFonts w:hint="eastAsia"/>
          <w:color w:val="000000" w:themeColor="text1"/>
        </w:rPr>
        <w:t>CO</w:t>
      </w:r>
      <w:r>
        <w:rPr>
          <w:rFonts w:hint="eastAsia"/>
          <w:color w:val="000000" w:themeColor="text1"/>
        </w:rPr>
        <w:t>）浓度较低，且多随空气扩散，对植被无显著直接影响。</w:t>
      </w:r>
    </w:p>
    <w:p w14:paraId="200ACB08" w14:textId="77777777" w:rsidR="009D12AF" w:rsidRDefault="00000000">
      <w:pPr>
        <w:ind w:firstLine="480"/>
        <w:rPr>
          <w:color w:val="000000" w:themeColor="text1"/>
        </w:rPr>
      </w:pPr>
      <w:r>
        <w:rPr>
          <w:rFonts w:hint="eastAsia"/>
          <w:color w:val="000000" w:themeColor="text1"/>
        </w:rPr>
        <w:t>2</w:t>
      </w:r>
      <w:r>
        <w:rPr>
          <w:rFonts w:hint="eastAsia"/>
          <w:color w:val="000000" w:themeColor="text1"/>
        </w:rPr>
        <w:t>）施工废水对植被的影响</w:t>
      </w:r>
    </w:p>
    <w:p w14:paraId="591BBEA2" w14:textId="77777777" w:rsidR="009D12AF" w:rsidRDefault="00000000">
      <w:pPr>
        <w:ind w:firstLine="480"/>
        <w:rPr>
          <w:color w:val="000000" w:themeColor="text1"/>
        </w:rPr>
      </w:pPr>
      <w:r>
        <w:rPr>
          <w:rFonts w:hint="eastAsia"/>
          <w:color w:val="000000" w:themeColor="text1"/>
        </w:rPr>
        <w:t>工程施工期废水主要包括三类：一是环保绞吸船清淤作业产生的含泥废水，二是施工人员产生的生活污水，三是机械设备的冲洗废水。含泥废水经绞吸船自带的三级沉淀池处理后，全部回用于清淤作业补水，未外排至周边水体或土壤，避免了淤泥颗粒沉积导致土壤透气性下降、植被根系缺氧的问题；生活污水定期由专业单位清运处理，无污水渗漏污染周边土壤的情况，未对湿地植被的根系生长造成影响；机械设备冲洗废水经临时防渗沉淀池处理后，用于施工便道洒水降尘，不外排至植被生长区，未出现废水漫流导致草本植被根系腐烂的现象。</w:t>
      </w:r>
    </w:p>
    <w:p w14:paraId="186D26B1" w14:textId="77777777" w:rsidR="009D12AF" w:rsidRDefault="00000000">
      <w:pPr>
        <w:ind w:firstLine="480"/>
        <w:rPr>
          <w:color w:val="000000" w:themeColor="text1"/>
        </w:rPr>
      </w:pPr>
      <w:r>
        <w:rPr>
          <w:rFonts w:hint="eastAsia"/>
          <w:color w:val="000000" w:themeColor="text1"/>
        </w:rPr>
        <w:t>3</w:t>
      </w:r>
      <w:r>
        <w:rPr>
          <w:rFonts w:hint="eastAsia"/>
          <w:color w:val="000000" w:themeColor="text1"/>
        </w:rPr>
        <w:t>）施工废物对植被的影响</w:t>
      </w:r>
    </w:p>
    <w:p w14:paraId="2E7225F9" w14:textId="77777777" w:rsidR="009D12AF" w:rsidRDefault="00000000">
      <w:pPr>
        <w:ind w:firstLine="480"/>
        <w:rPr>
          <w:color w:val="000000" w:themeColor="text1"/>
        </w:rPr>
      </w:pPr>
      <w:r>
        <w:rPr>
          <w:rFonts w:hint="eastAsia"/>
          <w:color w:val="000000" w:themeColor="text1"/>
        </w:rPr>
        <w:lastRenderedPageBreak/>
        <w:t>为进一步降低废物影响，施工前对所有人员开展环保培训，明确禁止将废物丢弃在植被生长区；每日安排专人巡检临时占地周边，及时清理散落的少量包装碎屑，未发现固体废物堆积或污染植被的情况，因此施工废物对植被的影响可完全规避。</w:t>
      </w:r>
    </w:p>
    <w:p w14:paraId="6C279AD8" w14:textId="77777777" w:rsidR="009D12AF" w:rsidRDefault="00000000">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）对保护植物的影响分析</w:t>
      </w:r>
    </w:p>
    <w:p w14:paraId="466C450F" w14:textId="77777777" w:rsidR="009D12AF" w:rsidRDefault="00000000">
      <w:pPr>
        <w:ind w:firstLine="480"/>
        <w:rPr>
          <w:color w:val="000000" w:themeColor="text1"/>
        </w:rPr>
      </w:pPr>
      <w:r>
        <w:rPr>
          <w:rFonts w:hint="eastAsia"/>
          <w:color w:val="000000" w:themeColor="text1"/>
        </w:rPr>
        <w:t>工程建设对受保护野生植物的影响主要集中于施工期，潜在影响源于施工人员活动、施工作业产生的扬尘与机械噪声，以及临时占地周边微环境变化对保护植物生境的间接干扰。经实地现状调查与遥感定位核查，建设项目评价范围内分布有</w:t>
      </w:r>
      <w:r>
        <w:rPr>
          <w:rFonts w:hint="eastAsia"/>
          <w:color w:val="000000" w:themeColor="text1"/>
        </w:rPr>
        <w:t xml:space="preserve"> 4 </w:t>
      </w:r>
      <w:r>
        <w:rPr>
          <w:rFonts w:hint="eastAsia"/>
          <w:color w:val="000000" w:themeColor="text1"/>
        </w:rPr>
        <w:t>种国家重点保护野生植物，分别为国家一级保护植物红松、国家二级保护植物樟子松、黄檗、水曲柳，均未被工程临时占地占用，仅部分个体邻近工程区，无直接生境破坏风险。</w:t>
      </w:r>
    </w:p>
    <w:p w14:paraId="42A21C34" w14:textId="77777777" w:rsidR="009D12AF" w:rsidRDefault="00000000">
      <w:pPr>
        <w:ind w:firstLine="480"/>
        <w:rPr>
          <w:color w:val="000000" w:themeColor="text1"/>
        </w:rPr>
      </w:pPr>
      <w:r>
        <w:rPr>
          <w:rFonts w:hint="eastAsia"/>
          <w:color w:val="000000" w:themeColor="text1"/>
        </w:rPr>
        <w:t>针对潜在影响，项目已优先采取精准避让与专项防护措施：一是在保护植物分布区与工程区之间划定生态缓冲带，采用绿色防护围栏隔离，围栏上悬挂标识牌，明确禁止施工人员、机械进入缓冲带；二是施工期间加强扬尘管控，配合原有洒水降尘措施，确保保护植物叶片表面扬尘附着量≤</w:t>
      </w:r>
      <w:r>
        <w:rPr>
          <w:rFonts w:hint="eastAsia"/>
          <w:color w:val="000000" w:themeColor="text1"/>
        </w:rPr>
        <w:t>0.05g/m</w:t>
      </w:r>
      <w:r>
        <w:rPr>
          <w:rFonts w:hint="eastAsia"/>
          <w:color w:val="000000" w:themeColor="text1"/>
        </w:rPr>
        <w:t>²，避免气孔阻塞；三是安排专人每日巡检防护围栏完整性，对邻近保护植物的施工区域实行专人监护，严禁机械超范围作业。因所有保护植物均未被工程占用，无需采取种子采集异地播种繁殖措施，仅通过就地保护即可保障其生长安全。</w:t>
      </w:r>
    </w:p>
    <w:p w14:paraId="6020C2DE" w14:textId="77777777" w:rsidR="009D12AF" w:rsidRDefault="00000000">
      <w:pPr>
        <w:pStyle w:val="4"/>
        <w:ind w:firstLineChars="0" w:firstLine="0"/>
      </w:pPr>
      <w:r>
        <w:rPr>
          <w:rFonts w:hint="eastAsia"/>
        </w:rPr>
        <w:t>5.1.9.3</w:t>
      </w:r>
      <w:r>
        <w:rPr>
          <w:rFonts w:hint="eastAsia"/>
        </w:rPr>
        <w:t>生态系统影响分析</w:t>
      </w:r>
    </w:p>
    <w:p w14:paraId="63E09F87" w14:textId="77777777" w:rsidR="009D12AF" w:rsidRDefault="00000000">
      <w:pPr>
        <w:ind w:firstLine="480"/>
      </w:pPr>
      <w:r>
        <w:rPr>
          <w:rFonts w:hint="eastAsia"/>
        </w:rPr>
        <w:t>一、生态系统组成、结构和功能影响分析</w:t>
      </w:r>
    </w:p>
    <w:p w14:paraId="3B54F8ED" w14:textId="77777777" w:rsidR="009D12AF" w:rsidRDefault="00000000">
      <w:pPr>
        <w:ind w:firstLine="480"/>
      </w:pPr>
      <w:r>
        <w:rPr>
          <w:rFonts w:hint="eastAsia"/>
        </w:rPr>
        <w:t>1</w:t>
      </w:r>
      <w:r>
        <w:rPr>
          <w:rFonts w:hint="eastAsia"/>
        </w:rPr>
        <w:t>、对生态系统组成的影响</w:t>
      </w:r>
    </w:p>
    <w:p w14:paraId="45DE71BE" w14:textId="77777777" w:rsidR="009D12AF" w:rsidRDefault="00000000">
      <w:pPr>
        <w:ind w:firstLine="480"/>
        <w:rPr>
          <w:rFonts w:ascii="宋体" w:eastAsia="宋体" w:hAnsi="宋体" w:cs="宋体" w:hint="eastAsia"/>
          <w:kern w:val="0"/>
        </w:rPr>
      </w:pPr>
      <w:r>
        <w:rPr>
          <w:rFonts w:ascii="宋体" w:eastAsia="宋体" w:hAnsi="宋体" w:cs="宋体" w:hint="eastAsia"/>
          <w:kern w:val="0"/>
        </w:rPr>
        <w:t>评价范围内生态系统由自然生态系统和人工生态系统组成，具体包括森林生态系统、湿地生态系统、农田生态系统和城镇生态系统。工程建设占地只涉及临时占地，主要包括居住区、淤泥堆放区、机械设备停放区、施工便道，面积共计</w:t>
      </w:r>
      <w:r>
        <w:rPr>
          <w:rFonts w:ascii="宋体" w:eastAsia="宋体" w:hAnsi="宋体" w:cs="宋体"/>
          <w:kern w:val="0"/>
        </w:rPr>
        <w:t>1.26</w:t>
      </w:r>
      <w:r>
        <w:rPr>
          <w:rFonts w:ascii="Times New Roman" w:eastAsia="宋体" w:hAnsi="Times New Roman" w:cs="Times New Roman"/>
          <w:kern w:val="0"/>
        </w:rPr>
        <w:t>hm²</w:t>
      </w:r>
      <w:r>
        <w:rPr>
          <w:rFonts w:ascii="宋体" w:eastAsia="宋体" w:hAnsi="宋体" w:cs="宋体"/>
          <w:kern w:val="0"/>
        </w:rPr>
        <w:t>。</w:t>
      </w:r>
      <w:r>
        <w:rPr>
          <w:rFonts w:ascii="宋体" w:eastAsia="宋体" w:hAnsi="宋体" w:cs="宋体" w:hint="eastAsia"/>
          <w:kern w:val="0"/>
        </w:rPr>
        <w:t>临时占地区域会进行耕地恢复，转变为农田生态系统。工程建设前和施工期评价区生态系统类型变化见表</w:t>
      </w:r>
      <w:r>
        <w:rPr>
          <w:rFonts w:ascii="Times New Roman" w:eastAsia="宋体" w:hAnsi="Times New Roman" w:cs="Times New Roman"/>
          <w:kern w:val="0"/>
        </w:rPr>
        <w:t>5.1-8</w:t>
      </w:r>
      <w:r>
        <w:rPr>
          <w:rFonts w:ascii="宋体" w:eastAsia="宋体" w:hAnsi="宋体" w:cs="宋体" w:hint="eastAsia"/>
          <w:kern w:val="0"/>
        </w:rPr>
        <w:t>。</w:t>
      </w:r>
    </w:p>
    <w:p w14:paraId="01BE511B" w14:textId="77777777" w:rsidR="009D12AF" w:rsidRDefault="00000000">
      <w:pPr>
        <w:ind w:firstLine="482"/>
        <w:jc w:val="center"/>
        <w:rPr>
          <w:rFonts w:ascii="Times New Roman" w:eastAsia="宋体" w:hAnsi="宋体" w:cs="宋体" w:hint="eastAsia"/>
          <w:b/>
          <w:kern w:val="0"/>
        </w:rPr>
      </w:pPr>
      <w:r>
        <w:rPr>
          <w:rFonts w:ascii="Times New Roman" w:eastAsia="宋体" w:hAnsi="宋体" w:cs="宋体" w:hint="eastAsia"/>
          <w:b/>
          <w:kern w:val="0"/>
        </w:rPr>
        <w:t>表</w:t>
      </w:r>
      <w:r>
        <w:rPr>
          <w:rFonts w:ascii="Times New Roman" w:eastAsia="宋体" w:hAnsi="宋体" w:cs="宋体" w:hint="eastAsia"/>
          <w:b/>
          <w:kern w:val="0"/>
        </w:rPr>
        <w:t>5.1-8</w:t>
      </w:r>
      <w:r>
        <w:rPr>
          <w:rFonts w:ascii="Times New Roman" w:eastAsia="宋体" w:hAnsi="宋体" w:cs="宋体"/>
          <w:b/>
          <w:kern w:val="0"/>
        </w:rPr>
        <w:t xml:space="preserve"> </w:t>
      </w:r>
      <w:r>
        <w:rPr>
          <w:rFonts w:ascii="Times New Roman" w:eastAsia="宋体" w:hAnsi="宋体" w:cs="宋体" w:hint="eastAsia"/>
          <w:b/>
          <w:kern w:val="0"/>
        </w:rPr>
        <w:t>评价区生态系统类型变化预测表</w:t>
      </w:r>
    </w:p>
    <w:tbl>
      <w:tblPr>
        <w:tblpPr w:leftFromText="181" w:rightFromText="181" w:bottomFromText="284" w:vertAnchor="text" w:tblpXSpec="center" w:tblpY="1"/>
        <w:tblOverlap w:val="neve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77"/>
        <w:gridCol w:w="937"/>
        <w:gridCol w:w="1125"/>
        <w:gridCol w:w="1111"/>
        <w:gridCol w:w="1125"/>
        <w:gridCol w:w="1111"/>
        <w:gridCol w:w="1125"/>
        <w:gridCol w:w="1111"/>
      </w:tblGrid>
      <w:tr w:rsidR="009D12AF" w14:paraId="2FFD5498" w14:textId="77777777">
        <w:trPr>
          <w:trHeight w:val="336"/>
          <w:tblHeader/>
        </w:trPr>
        <w:tc>
          <w:tcPr>
            <w:tcW w:w="0" w:type="auto"/>
            <w:vMerge w:val="restart"/>
            <w:tcBorders>
              <w:tl2br w:val="nil"/>
              <w:tr2bl w:val="nil"/>
            </w:tcBorders>
            <w:vAlign w:val="center"/>
          </w:tcPr>
          <w:p w14:paraId="7D3A2C6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bookmarkStart w:id="369" w:name="_Hlk139294647"/>
            <w:r>
              <w:rPr>
                <w:rFonts w:ascii="Times New Roman" w:eastAsia="宋体" w:hAnsi="Times New Roman" w:cs="Times New Roman"/>
                <w:kern w:val="0"/>
                <w:sz w:val="21"/>
                <w:szCs w:val="21"/>
              </w:rPr>
              <w:lastRenderedPageBreak/>
              <w:t>Ⅰ</w:t>
            </w:r>
            <w:r>
              <w:rPr>
                <w:rFonts w:ascii="Times New Roman" w:eastAsia="宋体" w:hAnsi="Times New Roman" w:cs="Times New Roman"/>
                <w:kern w:val="0"/>
                <w:sz w:val="21"/>
                <w:szCs w:val="21"/>
              </w:rPr>
              <w:t>级分类</w:t>
            </w:r>
          </w:p>
        </w:tc>
        <w:tc>
          <w:tcPr>
            <w:tcW w:w="0" w:type="auto"/>
            <w:vMerge w:val="restart"/>
            <w:tcBorders>
              <w:tl2br w:val="nil"/>
              <w:tr2bl w:val="nil"/>
            </w:tcBorders>
            <w:vAlign w:val="center"/>
          </w:tcPr>
          <w:p w14:paraId="3BC77DF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Ⅱ</w:t>
            </w:r>
            <w:r>
              <w:rPr>
                <w:rFonts w:ascii="Times New Roman" w:eastAsia="宋体" w:hAnsi="Times New Roman" w:cs="Times New Roman"/>
                <w:kern w:val="0"/>
                <w:sz w:val="21"/>
                <w:szCs w:val="21"/>
              </w:rPr>
              <w:t>级分类</w:t>
            </w:r>
          </w:p>
        </w:tc>
        <w:tc>
          <w:tcPr>
            <w:tcW w:w="0" w:type="auto"/>
            <w:gridSpan w:val="2"/>
            <w:tcBorders>
              <w:tl2br w:val="nil"/>
              <w:tr2bl w:val="nil"/>
            </w:tcBorders>
            <w:vAlign w:val="center"/>
          </w:tcPr>
          <w:p w14:paraId="6F37220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建设前</w:t>
            </w:r>
          </w:p>
        </w:tc>
        <w:tc>
          <w:tcPr>
            <w:tcW w:w="0" w:type="auto"/>
            <w:gridSpan w:val="2"/>
            <w:tcBorders>
              <w:tl2br w:val="nil"/>
              <w:tr2bl w:val="nil"/>
            </w:tcBorders>
            <w:vAlign w:val="center"/>
          </w:tcPr>
          <w:p w14:paraId="3122199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施工期</w:t>
            </w:r>
          </w:p>
        </w:tc>
        <w:tc>
          <w:tcPr>
            <w:tcW w:w="0" w:type="auto"/>
            <w:gridSpan w:val="2"/>
            <w:tcBorders>
              <w:tl2br w:val="nil"/>
              <w:tr2bl w:val="nil"/>
            </w:tcBorders>
            <w:vAlign w:val="center"/>
          </w:tcPr>
          <w:p w14:paraId="043CEA8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highlight w:val="yellow"/>
              </w:rPr>
            </w:pPr>
            <w:r>
              <w:rPr>
                <w:rFonts w:ascii="Times New Roman" w:eastAsia="宋体" w:hAnsi="Times New Roman" w:cs="Times New Roman"/>
                <w:kern w:val="0"/>
                <w:sz w:val="21"/>
                <w:szCs w:val="21"/>
              </w:rPr>
              <w:t>变化</w:t>
            </w:r>
          </w:p>
        </w:tc>
      </w:tr>
      <w:tr w:rsidR="009D12AF" w14:paraId="3ED17B75" w14:textId="77777777">
        <w:trPr>
          <w:trHeight w:val="336"/>
          <w:tblHeader/>
        </w:trPr>
        <w:tc>
          <w:tcPr>
            <w:tcW w:w="0" w:type="auto"/>
            <w:vMerge/>
            <w:tcBorders>
              <w:tl2br w:val="nil"/>
              <w:tr2bl w:val="nil"/>
            </w:tcBorders>
            <w:vAlign w:val="center"/>
          </w:tcPr>
          <w:p w14:paraId="24A31D1E"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0" w:type="auto"/>
            <w:vMerge/>
            <w:tcBorders>
              <w:tl2br w:val="nil"/>
              <w:tr2bl w:val="nil"/>
            </w:tcBorders>
            <w:vAlign w:val="center"/>
          </w:tcPr>
          <w:p w14:paraId="20A0CFD5"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0" w:type="auto"/>
            <w:tcBorders>
              <w:tl2br w:val="nil"/>
              <w:tr2bl w:val="nil"/>
            </w:tcBorders>
            <w:vAlign w:val="center"/>
          </w:tcPr>
          <w:p w14:paraId="5451E03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面积（</w:t>
            </w:r>
            <w:r>
              <w:rPr>
                <w:rFonts w:ascii="Times New Roman" w:eastAsia="宋体" w:hAnsi="Times New Roman" w:cs="Times New Roman"/>
                <w:kern w:val="0"/>
                <w:sz w:val="21"/>
                <w:szCs w:val="21"/>
              </w:rPr>
              <w:t>hm</w:t>
            </w:r>
            <w:r>
              <w:rPr>
                <w:rFonts w:ascii="Times New Roman" w:eastAsia="宋体" w:hAnsi="Times New Roman" w:cs="Times New Roman"/>
                <w:kern w:val="0"/>
                <w:sz w:val="21"/>
                <w:szCs w:val="21"/>
                <w:vertAlign w:val="superscript"/>
              </w:rPr>
              <w:t>2</w:t>
            </w:r>
            <w:r>
              <w:rPr>
                <w:rFonts w:ascii="Times New Roman" w:eastAsia="宋体" w:hAnsi="Times New Roman" w:cs="Times New Roman"/>
                <w:kern w:val="0"/>
                <w:sz w:val="21"/>
                <w:szCs w:val="21"/>
              </w:rPr>
              <w:t>）</w:t>
            </w:r>
          </w:p>
        </w:tc>
        <w:tc>
          <w:tcPr>
            <w:tcW w:w="0" w:type="auto"/>
            <w:tcBorders>
              <w:tl2br w:val="nil"/>
              <w:tr2bl w:val="nil"/>
            </w:tcBorders>
            <w:vAlign w:val="center"/>
          </w:tcPr>
          <w:p w14:paraId="6414776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面积占比（</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p>
        </w:tc>
        <w:tc>
          <w:tcPr>
            <w:tcW w:w="0" w:type="auto"/>
            <w:tcBorders>
              <w:tl2br w:val="nil"/>
              <w:tr2bl w:val="nil"/>
            </w:tcBorders>
            <w:vAlign w:val="center"/>
          </w:tcPr>
          <w:p w14:paraId="00356BD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面</w:t>
            </w:r>
            <w:r>
              <w:rPr>
                <w:rFonts w:ascii="Times New Roman" w:eastAsia="宋体" w:hAnsi="Times New Roman" w:cs="Times New Roman"/>
                <w:kern w:val="0"/>
                <w:sz w:val="21"/>
                <w:szCs w:val="21"/>
              </w:rPr>
              <w:t>积（</w:t>
            </w:r>
            <w:r>
              <w:rPr>
                <w:rFonts w:ascii="Times New Roman" w:eastAsia="宋体" w:hAnsi="Times New Roman" w:cs="Times New Roman"/>
                <w:kern w:val="0"/>
                <w:sz w:val="21"/>
                <w:szCs w:val="21"/>
              </w:rPr>
              <w:t>hm</w:t>
            </w:r>
            <w:r>
              <w:rPr>
                <w:rFonts w:ascii="Times New Roman" w:eastAsia="宋体" w:hAnsi="Times New Roman" w:cs="Times New Roman"/>
                <w:kern w:val="0"/>
                <w:sz w:val="21"/>
                <w:szCs w:val="21"/>
                <w:vertAlign w:val="superscript"/>
              </w:rPr>
              <w:t>2</w:t>
            </w:r>
            <w:r>
              <w:rPr>
                <w:rFonts w:ascii="Times New Roman" w:eastAsia="宋体" w:hAnsi="Times New Roman" w:cs="Times New Roman"/>
                <w:kern w:val="0"/>
                <w:sz w:val="21"/>
                <w:szCs w:val="21"/>
              </w:rPr>
              <w:t>）</w:t>
            </w:r>
          </w:p>
        </w:tc>
        <w:tc>
          <w:tcPr>
            <w:tcW w:w="0" w:type="auto"/>
            <w:tcBorders>
              <w:tl2br w:val="nil"/>
              <w:tr2bl w:val="nil"/>
            </w:tcBorders>
            <w:vAlign w:val="center"/>
          </w:tcPr>
          <w:p w14:paraId="1C7693D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面积占比（</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p>
        </w:tc>
        <w:tc>
          <w:tcPr>
            <w:tcW w:w="0" w:type="auto"/>
            <w:tcBorders>
              <w:tl2br w:val="nil"/>
              <w:tr2bl w:val="nil"/>
            </w:tcBorders>
            <w:vAlign w:val="center"/>
          </w:tcPr>
          <w:p w14:paraId="0C11465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面积（</w:t>
            </w:r>
            <w:r>
              <w:rPr>
                <w:rFonts w:ascii="Times New Roman" w:eastAsia="宋体" w:hAnsi="Times New Roman" w:cs="Times New Roman"/>
                <w:kern w:val="0"/>
                <w:sz w:val="21"/>
                <w:szCs w:val="21"/>
              </w:rPr>
              <w:t>hm</w:t>
            </w:r>
            <w:r>
              <w:rPr>
                <w:rFonts w:ascii="Times New Roman" w:eastAsia="宋体" w:hAnsi="Times New Roman" w:cs="Times New Roman"/>
                <w:kern w:val="0"/>
                <w:sz w:val="21"/>
                <w:szCs w:val="21"/>
                <w:vertAlign w:val="superscript"/>
              </w:rPr>
              <w:t>2</w:t>
            </w:r>
            <w:r>
              <w:rPr>
                <w:rFonts w:ascii="Times New Roman" w:eastAsia="宋体" w:hAnsi="Times New Roman" w:cs="Times New Roman"/>
                <w:kern w:val="0"/>
                <w:sz w:val="21"/>
                <w:szCs w:val="21"/>
              </w:rPr>
              <w:t>）</w:t>
            </w:r>
          </w:p>
        </w:tc>
        <w:tc>
          <w:tcPr>
            <w:tcW w:w="0" w:type="auto"/>
            <w:tcBorders>
              <w:tl2br w:val="nil"/>
              <w:tr2bl w:val="nil"/>
            </w:tcBorders>
            <w:vAlign w:val="center"/>
          </w:tcPr>
          <w:p w14:paraId="0DC44D2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面积占比（</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p>
        </w:tc>
      </w:tr>
      <w:bookmarkEnd w:id="369"/>
      <w:tr w:rsidR="009D12AF" w14:paraId="04A63ED2" w14:textId="77777777">
        <w:trPr>
          <w:trHeight w:val="459"/>
        </w:trPr>
        <w:tc>
          <w:tcPr>
            <w:tcW w:w="0" w:type="auto"/>
            <w:vMerge w:val="restart"/>
            <w:tcBorders>
              <w:tl2br w:val="nil"/>
              <w:tr2bl w:val="nil"/>
            </w:tcBorders>
            <w:vAlign w:val="center"/>
          </w:tcPr>
          <w:p w14:paraId="057A159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Ⅰ</w:t>
            </w:r>
            <w:r>
              <w:rPr>
                <w:rFonts w:ascii="Times New Roman" w:eastAsia="宋体" w:hAnsi="Times New Roman" w:cs="Times New Roman"/>
                <w:kern w:val="0"/>
                <w:sz w:val="21"/>
                <w:szCs w:val="21"/>
              </w:rPr>
              <w:t>森林生态系统</w:t>
            </w:r>
          </w:p>
        </w:tc>
        <w:tc>
          <w:tcPr>
            <w:tcW w:w="0" w:type="auto"/>
            <w:tcBorders>
              <w:tl2br w:val="nil"/>
              <w:tr2bl w:val="nil"/>
            </w:tcBorders>
            <w:vAlign w:val="center"/>
          </w:tcPr>
          <w:p w14:paraId="379C074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一、</w:t>
            </w:r>
            <w:r>
              <w:rPr>
                <w:rFonts w:ascii="Times New Roman" w:eastAsia="宋体" w:hAnsi="Times New Roman" w:cs="Times New Roman"/>
                <w:kern w:val="0"/>
                <w:sz w:val="21"/>
                <w:szCs w:val="21"/>
              </w:rPr>
              <w:t>阔叶林</w:t>
            </w:r>
          </w:p>
        </w:tc>
        <w:tc>
          <w:tcPr>
            <w:tcW w:w="0" w:type="auto"/>
            <w:tcBorders>
              <w:tl2br w:val="nil"/>
              <w:tr2bl w:val="nil"/>
            </w:tcBorders>
            <w:vAlign w:val="center"/>
          </w:tcPr>
          <w:p w14:paraId="77CFB6B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07.22</w:t>
            </w:r>
          </w:p>
        </w:tc>
        <w:tc>
          <w:tcPr>
            <w:tcW w:w="0" w:type="auto"/>
            <w:tcBorders>
              <w:tl2br w:val="nil"/>
              <w:tr2bl w:val="nil"/>
            </w:tcBorders>
            <w:vAlign w:val="center"/>
          </w:tcPr>
          <w:p w14:paraId="76A22DE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color w:val="000000"/>
                <w:kern w:val="0"/>
                <w:sz w:val="21"/>
                <w:szCs w:val="21"/>
              </w:rPr>
              <w:t>1</w:t>
            </w:r>
            <w:r>
              <w:rPr>
                <w:rFonts w:ascii="Times New Roman" w:eastAsia="宋体" w:hAnsi="Times New Roman" w:cs="Times New Roman"/>
                <w:color w:val="000000"/>
                <w:kern w:val="0"/>
                <w:sz w:val="21"/>
                <w:szCs w:val="21"/>
              </w:rPr>
              <w:t>1.32</w:t>
            </w:r>
          </w:p>
        </w:tc>
        <w:tc>
          <w:tcPr>
            <w:tcW w:w="0" w:type="auto"/>
            <w:tcBorders>
              <w:tl2br w:val="nil"/>
              <w:tr2bl w:val="nil"/>
            </w:tcBorders>
            <w:vAlign w:val="center"/>
          </w:tcPr>
          <w:p w14:paraId="46C6D3A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07.22</w:t>
            </w:r>
          </w:p>
        </w:tc>
        <w:tc>
          <w:tcPr>
            <w:tcW w:w="0" w:type="auto"/>
            <w:tcBorders>
              <w:tl2br w:val="nil"/>
              <w:tr2bl w:val="nil"/>
            </w:tcBorders>
            <w:vAlign w:val="center"/>
          </w:tcPr>
          <w:p w14:paraId="54B2691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color w:val="000000"/>
                <w:kern w:val="0"/>
                <w:sz w:val="21"/>
                <w:szCs w:val="21"/>
              </w:rPr>
              <w:t>1</w:t>
            </w:r>
            <w:r>
              <w:rPr>
                <w:rFonts w:ascii="Times New Roman" w:eastAsia="宋体" w:hAnsi="Times New Roman" w:cs="Times New Roman"/>
                <w:color w:val="000000"/>
                <w:kern w:val="0"/>
                <w:sz w:val="21"/>
                <w:szCs w:val="21"/>
              </w:rPr>
              <w:t>1.32</w:t>
            </w:r>
          </w:p>
        </w:tc>
        <w:tc>
          <w:tcPr>
            <w:tcW w:w="0" w:type="auto"/>
            <w:tcBorders>
              <w:tl2br w:val="nil"/>
              <w:tr2bl w:val="nil"/>
            </w:tcBorders>
            <w:vAlign w:val="center"/>
          </w:tcPr>
          <w:p w14:paraId="5B764C6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r>
              <w:rPr>
                <w:rFonts w:ascii="Times New Roman" w:eastAsia="宋体" w:hAnsi="Times New Roman" w:cs="Times New Roman"/>
                <w:kern w:val="0"/>
                <w:sz w:val="21"/>
                <w:szCs w:val="21"/>
              </w:rPr>
              <w:t>.00</w:t>
            </w:r>
          </w:p>
        </w:tc>
        <w:tc>
          <w:tcPr>
            <w:tcW w:w="0" w:type="auto"/>
            <w:tcBorders>
              <w:tl2br w:val="nil"/>
              <w:tr2bl w:val="nil"/>
            </w:tcBorders>
            <w:vAlign w:val="center"/>
          </w:tcPr>
          <w:p w14:paraId="645DFC5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r>
              <w:rPr>
                <w:rFonts w:ascii="Times New Roman" w:eastAsia="宋体" w:hAnsi="Times New Roman" w:cs="Times New Roman"/>
                <w:kern w:val="0"/>
                <w:sz w:val="21"/>
                <w:szCs w:val="21"/>
              </w:rPr>
              <w:t>.00</w:t>
            </w:r>
          </w:p>
        </w:tc>
      </w:tr>
      <w:tr w:rsidR="009D12AF" w14:paraId="22075F01" w14:textId="77777777">
        <w:trPr>
          <w:trHeight w:val="557"/>
        </w:trPr>
        <w:tc>
          <w:tcPr>
            <w:tcW w:w="0" w:type="auto"/>
            <w:vMerge/>
            <w:tcBorders>
              <w:tl2br w:val="nil"/>
              <w:tr2bl w:val="nil"/>
            </w:tcBorders>
            <w:vAlign w:val="center"/>
          </w:tcPr>
          <w:p w14:paraId="78C4AE04"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0" w:type="auto"/>
            <w:tcBorders>
              <w:tl2br w:val="nil"/>
              <w:tr2bl w:val="nil"/>
            </w:tcBorders>
            <w:vAlign w:val="center"/>
          </w:tcPr>
          <w:p w14:paraId="2C54C45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二、针叶林</w:t>
            </w:r>
          </w:p>
        </w:tc>
        <w:tc>
          <w:tcPr>
            <w:tcW w:w="0" w:type="auto"/>
            <w:tcBorders>
              <w:tl2br w:val="nil"/>
              <w:tr2bl w:val="nil"/>
            </w:tcBorders>
            <w:vAlign w:val="center"/>
          </w:tcPr>
          <w:p w14:paraId="4AFD253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w:t>
            </w:r>
            <w:r>
              <w:rPr>
                <w:rFonts w:ascii="Times New Roman" w:eastAsia="宋体" w:hAnsi="Times New Roman" w:cs="Times New Roman"/>
                <w:kern w:val="0"/>
                <w:sz w:val="21"/>
                <w:szCs w:val="21"/>
              </w:rPr>
              <w:t>47.73</w:t>
            </w:r>
          </w:p>
        </w:tc>
        <w:tc>
          <w:tcPr>
            <w:tcW w:w="0" w:type="auto"/>
            <w:tcBorders>
              <w:tl2br w:val="nil"/>
              <w:tr2bl w:val="nil"/>
            </w:tcBorders>
            <w:vAlign w:val="center"/>
          </w:tcPr>
          <w:p w14:paraId="6C8A2A4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color w:val="000000"/>
                <w:kern w:val="0"/>
                <w:sz w:val="21"/>
                <w:szCs w:val="21"/>
              </w:rPr>
              <w:t>2</w:t>
            </w:r>
            <w:r>
              <w:rPr>
                <w:rFonts w:ascii="Times New Roman" w:eastAsia="宋体" w:hAnsi="Times New Roman" w:cs="Times New Roman"/>
                <w:color w:val="000000"/>
                <w:kern w:val="0"/>
                <w:sz w:val="21"/>
                <w:szCs w:val="21"/>
              </w:rPr>
              <w:t>6.15</w:t>
            </w:r>
          </w:p>
        </w:tc>
        <w:tc>
          <w:tcPr>
            <w:tcW w:w="0" w:type="auto"/>
            <w:tcBorders>
              <w:tl2br w:val="nil"/>
              <w:tr2bl w:val="nil"/>
            </w:tcBorders>
            <w:vAlign w:val="center"/>
          </w:tcPr>
          <w:p w14:paraId="0B853B4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w:t>
            </w:r>
            <w:r>
              <w:rPr>
                <w:rFonts w:ascii="Times New Roman" w:eastAsia="宋体" w:hAnsi="Times New Roman" w:cs="Times New Roman"/>
                <w:kern w:val="0"/>
                <w:sz w:val="21"/>
                <w:szCs w:val="21"/>
              </w:rPr>
              <w:t>47.73</w:t>
            </w:r>
          </w:p>
        </w:tc>
        <w:tc>
          <w:tcPr>
            <w:tcW w:w="0" w:type="auto"/>
            <w:tcBorders>
              <w:tl2br w:val="nil"/>
              <w:tr2bl w:val="nil"/>
            </w:tcBorders>
            <w:vAlign w:val="center"/>
          </w:tcPr>
          <w:p w14:paraId="113F663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color w:val="000000"/>
                <w:kern w:val="0"/>
                <w:sz w:val="21"/>
                <w:szCs w:val="21"/>
              </w:rPr>
              <w:t>2</w:t>
            </w:r>
            <w:r>
              <w:rPr>
                <w:rFonts w:ascii="Times New Roman" w:eastAsia="宋体" w:hAnsi="Times New Roman" w:cs="Times New Roman"/>
                <w:color w:val="000000"/>
                <w:kern w:val="0"/>
                <w:sz w:val="21"/>
                <w:szCs w:val="21"/>
              </w:rPr>
              <w:t>6.15</w:t>
            </w:r>
          </w:p>
        </w:tc>
        <w:tc>
          <w:tcPr>
            <w:tcW w:w="0" w:type="auto"/>
            <w:tcBorders>
              <w:tl2br w:val="nil"/>
              <w:tr2bl w:val="nil"/>
            </w:tcBorders>
            <w:vAlign w:val="center"/>
          </w:tcPr>
          <w:p w14:paraId="4840FC8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r>
              <w:rPr>
                <w:rFonts w:ascii="Times New Roman" w:eastAsia="宋体" w:hAnsi="Times New Roman" w:cs="Times New Roman"/>
                <w:kern w:val="0"/>
                <w:sz w:val="21"/>
                <w:szCs w:val="21"/>
              </w:rPr>
              <w:t>.00</w:t>
            </w:r>
          </w:p>
        </w:tc>
        <w:tc>
          <w:tcPr>
            <w:tcW w:w="0" w:type="auto"/>
            <w:tcBorders>
              <w:tl2br w:val="nil"/>
              <w:tr2bl w:val="nil"/>
            </w:tcBorders>
            <w:vAlign w:val="center"/>
          </w:tcPr>
          <w:p w14:paraId="0024E23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r>
              <w:rPr>
                <w:rFonts w:ascii="Times New Roman" w:eastAsia="宋体" w:hAnsi="Times New Roman" w:cs="Times New Roman"/>
                <w:kern w:val="0"/>
                <w:sz w:val="21"/>
                <w:szCs w:val="21"/>
              </w:rPr>
              <w:t>.00</w:t>
            </w:r>
          </w:p>
        </w:tc>
      </w:tr>
      <w:tr w:rsidR="009D12AF" w14:paraId="1A84FC55" w14:textId="77777777">
        <w:trPr>
          <w:trHeight w:val="495"/>
        </w:trPr>
        <w:tc>
          <w:tcPr>
            <w:tcW w:w="0" w:type="auto"/>
            <w:vMerge w:val="restart"/>
            <w:tcBorders>
              <w:tl2br w:val="nil"/>
              <w:tr2bl w:val="nil"/>
            </w:tcBorders>
            <w:vAlign w:val="center"/>
          </w:tcPr>
          <w:p w14:paraId="0FD468F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Ⅱ</w:t>
            </w:r>
            <w:r>
              <w:rPr>
                <w:rFonts w:ascii="Times New Roman" w:eastAsia="宋体" w:hAnsi="Times New Roman" w:cs="Times New Roman"/>
                <w:kern w:val="0"/>
                <w:sz w:val="21"/>
                <w:szCs w:val="21"/>
              </w:rPr>
              <w:t>湿地生态系统</w:t>
            </w:r>
          </w:p>
        </w:tc>
        <w:tc>
          <w:tcPr>
            <w:tcW w:w="0" w:type="auto"/>
            <w:tcBorders>
              <w:tl2br w:val="nil"/>
              <w:tr2bl w:val="nil"/>
            </w:tcBorders>
            <w:vAlign w:val="center"/>
          </w:tcPr>
          <w:p w14:paraId="62CC2F3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三、沼泽</w:t>
            </w:r>
          </w:p>
        </w:tc>
        <w:tc>
          <w:tcPr>
            <w:tcW w:w="0" w:type="auto"/>
            <w:tcBorders>
              <w:tl2br w:val="nil"/>
              <w:tr2bl w:val="nil"/>
            </w:tcBorders>
            <w:vAlign w:val="center"/>
          </w:tcPr>
          <w:p w14:paraId="4E3C162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w:t>
            </w:r>
            <w:r>
              <w:rPr>
                <w:rFonts w:ascii="Times New Roman" w:eastAsia="宋体" w:hAnsi="Times New Roman" w:cs="Times New Roman"/>
                <w:kern w:val="0"/>
                <w:sz w:val="21"/>
                <w:szCs w:val="21"/>
              </w:rPr>
              <w:t>9.65</w:t>
            </w:r>
          </w:p>
        </w:tc>
        <w:tc>
          <w:tcPr>
            <w:tcW w:w="0" w:type="auto"/>
            <w:tcBorders>
              <w:tl2br w:val="nil"/>
              <w:tr2bl w:val="nil"/>
            </w:tcBorders>
            <w:vAlign w:val="center"/>
          </w:tcPr>
          <w:p w14:paraId="722A2FA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color w:val="000000"/>
                <w:kern w:val="0"/>
                <w:sz w:val="21"/>
                <w:szCs w:val="21"/>
              </w:rPr>
              <w:t>6</w:t>
            </w:r>
            <w:r>
              <w:rPr>
                <w:rFonts w:ascii="Times New Roman" w:eastAsia="宋体" w:hAnsi="Times New Roman" w:cs="Times New Roman"/>
                <w:color w:val="000000"/>
                <w:kern w:val="0"/>
                <w:sz w:val="21"/>
                <w:szCs w:val="21"/>
              </w:rPr>
              <w:t>.31</w:t>
            </w:r>
          </w:p>
        </w:tc>
        <w:tc>
          <w:tcPr>
            <w:tcW w:w="0" w:type="auto"/>
            <w:tcBorders>
              <w:tl2br w:val="nil"/>
              <w:tr2bl w:val="nil"/>
            </w:tcBorders>
            <w:vAlign w:val="center"/>
          </w:tcPr>
          <w:p w14:paraId="57730BE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w:t>
            </w:r>
            <w:r>
              <w:rPr>
                <w:rFonts w:ascii="Times New Roman" w:eastAsia="宋体" w:hAnsi="Times New Roman" w:cs="Times New Roman"/>
                <w:kern w:val="0"/>
                <w:sz w:val="21"/>
                <w:szCs w:val="21"/>
              </w:rPr>
              <w:t>9.65</w:t>
            </w:r>
          </w:p>
        </w:tc>
        <w:tc>
          <w:tcPr>
            <w:tcW w:w="0" w:type="auto"/>
            <w:tcBorders>
              <w:tl2br w:val="nil"/>
              <w:tr2bl w:val="nil"/>
            </w:tcBorders>
            <w:vAlign w:val="center"/>
          </w:tcPr>
          <w:p w14:paraId="739DA9C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color w:val="000000"/>
                <w:kern w:val="0"/>
                <w:sz w:val="21"/>
                <w:szCs w:val="21"/>
              </w:rPr>
              <w:t>6</w:t>
            </w:r>
            <w:r>
              <w:rPr>
                <w:rFonts w:ascii="Times New Roman" w:eastAsia="宋体" w:hAnsi="Times New Roman" w:cs="Times New Roman"/>
                <w:color w:val="000000"/>
                <w:kern w:val="0"/>
                <w:sz w:val="21"/>
                <w:szCs w:val="21"/>
              </w:rPr>
              <w:t>.31</w:t>
            </w:r>
          </w:p>
        </w:tc>
        <w:tc>
          <w:tcPr>
            <w:tcW w:w="0" w:type="auto"/>
            <w:tcBorders>
              <w:tl2br w:val="nil"/>
              <w:tr2bl w:val="nil"/>
            </w:tcBorders>
            <w:vAlign w:val="center"/>
          </w:tcPr>
          <w:p w14:paraId="0288702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r>
              <w:rPr>
                <w:rFonts w:ascii="Times New Roman" w:eastAsia="宋体" w:hAnsi="Times New Roman" w:cs="Times New Roman"/>
                <w:kern w:val="0"/>
                <w:sz w:val="21"/>
                <w:szCs w:val="21"/>
              </w:rPr>
              <w:t>.00</w:t>
            </w:r>
          </w:p>
        </w:tc>
        <w:tc>
          <w:tcPr>
            <w:tcW w:w="0" w:type="auto"/>
            <w:tcBorders>
              <w:tl2br w:val="nil"/>
              <w:tr2bl w:val="nil"/>
            </w:tcBorders>
            <w:vAlign w:val="center"/>
          </w:tcPr>
          <w:p w14:paraId="4744192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r>
              <w:rPr>
                <w:rFonts w:ascii="Times New Roman" w:eastAsia="宋体" w:hAnsi="Times New Roman" w:cs="Times New Roman"/>
                <w:kern w:val="0"/>
                <w:sz w:val="21"/>
                <w:szCs w:val="21"/>
              </w:rPr>
              <w:t>.00</w:t>
            </w:r>
          </w:p>
        </w:tc>
      </w:tr>
      <w:tr w:rsidR="009D12AF" w14:paraId="1D3072C2" w14:textId="77777777">
        <w:trPr>
          <w:trHeight w:val="377"/>
        </w:trPr>
        <w:tc>
          <w:tcPr>
            <w:tcW w:w="0" w:type="auto"/>
            <w:vMerge/>
            <w:tcBorders>
              <w:tl2br w:val="nil"/>
              <w:tr2bl w:val="nil"/>
            </w:tcBorders>
            <w:vAlign w:val="center"/>
          </w:tcPr>
          <w:p w14:paraId="7AD0FE39"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0" w:type="auto"/>
            <w:tcBorders>
              <w:tl2br w:val="nil"/>
              <w:tr2bl w:val="nil"/>
            </w:tcBorders>
            <w:vAlign w:val="center"/>
          </w:tcPr>
          <w:p w14:paraId="3EB5DD7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四、河流</w:t>
            </w:r>
          </w:p>
        </w:tc>
        <w:tc>
          <w:tcPr>
            <w:tcW w:w="0" w:type="auto"/>
            <w:tcBorders>
              <w:tl2br w:val="nil"/>
              <w:tr2bl w:val="nil"/>
            </w:tcBorders>
            <w:vAlign w:val="center"/>
          </w:tcPr>
          <w:p w14:paraId="61FF36A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w:t>
            </w:r>
            <w:r>
              <w:rPr>
                <w:rFonts w:ascii="Times New Roman" w:eastAsia="宋体" w:hAnsi="Times New Roman" w:cs="Times New Roman"/>
                <w:kern w:val="0"/>
                <w:sz w:val="21"/>
                <w:szCs w:val="21"/>
              </w:rPr>
              <w:t>21.26</w:t>
            </w:r>
          </w:p>
        </w:tc>
        <w:tc>
          <w:tcPr>
            <w:tcW w:w="0" w:type="auto"/>
            <w:tcBorders>
              <w:tl2br w:val="nil"/>
              <w:tr2bl w:val="nil"/>
            </w:tcBorders>
            <w:vAlign w:val="center"/>
          </w:tcPr>
          <w:p w14:paraId="16E0F65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color w:val="000000"/>
                <w:kern w:val="0"/>
                <w:sz w:val="21"/>
                <w:szCs w:val="21"/>
              </w:rPr>
              <w:t>2</w:t>
            </w:r>
            <w:r>
              <w:rPr>
                <w:rFonts w:ascii="Times New Roman" w:eastAsia="宋体" w:hAnsi="Times New Roman" w:cs="Times New Roman"/>
                <w:color w:val="000000"/>
                <w:kern w:val="0"/>
                <w:sz w:val="21"/>
                <w:szCs w:val="21"/>
              </w:rPr>
              <w:t>3.36</w:t>
            </w:r>
          </w:p>
        </w:tc>
        <w:tc>
          <w:tcPr>
            <w:tcW w:w="0" w:type="auto"/>
            <w:tcBorders>
              <w:tl2br w:val="nil"/>
              <w:tr2bl w:val="nil"/>
            </w:tcBorders>
            <w:vAlign w:val="center"/>
          </w:tcPr>
          <w:p w14:paraId="4F56641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w:t>
            </w:r>
            <w:r>
              <w:rPr>
                <w:rFonts w:ascii="Times New Roman" w:eastAsia="宋体" w:hAnsi="Times New Roman" w:cs="Times New Roman"/>
                <w:kern w:val="0"/>
                <w:sz w:val="21"/>
                <w:szCs w:val="21"/>
              </w:rPr>
              <w:t>21.26</w:t>
            </w:r>
          </w:p>
        </w:tc>
        <w:tc>
          <w:tcPr>
            <w:tcW w:w="0" w:type="auto"/>
            <w:tcBorders>
              <w:tl2br w:val="nil"/>
              <w:tr2bl w:val="nil"/>
            </w:tcBorders>
            <w:vAlign w:val="center"/>
          </w:tcPr>
          <w:p w14:paraId="404B421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color w:val="000000"/>
                <w:kern w:val="0"/>
                <w:sz w:val="21"/>
                <w:szCs w:val="21"/>
              </w:rPr>
              <w:t>2</w:t>
            </w:r>
            <w:r>
              <w:rPr>
                <w:rFonts w:ascii="Times New Roman" w:eastAsia="宋体" w:hAnsi="Times New Roman" w:cs="Times New Roman"/>
                <w:color w:val="000000"/>
                <w:kern w:val="0"/>
                <w:sz w:val="21"/>
                <w:szCs w:val="21"/>
              </w:rPr>
              <w:t>3.36</w:t>
            </w:r>
          </w:p>
        </w:tc>
        <w:tc>
          <w:tcPr>
            <w:tcW w:w="0" w:type="auto"/>
            <w:tcBorders>
              <w:tl2br w:val="nil"/>
              <w:tr2bl w:val="nil"/>
            </w:tcBorders>
            <w:vAlign w:val="center"/>
          </w:tcPr>
          <w:p w14:paraId="2234385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0.00</w:t>
            </w:r>
          </w:p>
        </w:tc>
        <w:tc>
          <w:tcPr>
            <w:tcW w:w="0" w:type="auto"/>
            <w:tcBorders>
              <w:tl2br w:val="nil"/>
              <w:tr2bl w:val="nil"/>
            </w:tcBorders>
            <w:vAlign w:val="center"/>
          </w:tcPr>
          <w:p w14:paraId="48631BD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r>
              <w:rPr>
                <w:rFonts w:ascii="Times New Roman" w:eastAsia="宋体" w:hAnsi="Times New Roman" w:cs="Times New Roman"/>
                <w:kern w:val="0"/>
                <w:sz w:val="21"/>
                <w:szCs w:val="21"/>
              </w:rPr>
              <w:t>.00</w:t>
            </w:r>
          </w:p>
        </w:tc>
      </w:tr>
      <w:tr w:rsidR="009D12AF" w14:paraId="4391B5CD" w14:textId="77777777">
        <w:trPr>
          <w:trHeight w:val="427"/>
        </w:trPr>
        <w:tc>
          <w:tcPr>
            <w:tcW w:w="0" w:type="auto"/>
            <w:vMerge w:val="restart"/>
            <w:tcBorders>
              <w:tl2br w:val="nil"/>
              <w:tr2bl w:val="nil"/>
            </w:tcBorders>
            <w:vAlign w:val="center"/>
          </w:tcPr>
          <w:p w14:paraId="66AF39E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Ⅲ</w:t>
            </w:r>
            <w:r>
              <w:rPr>
                <w:rFonts w:ascii="Times New Roman" w:eastAsia="宋体" w:hAnsi="Times New Roman" w:cs="Times New Roman"/>
                <w:kern w:val="0"/>
                <w:sz w:val="21"/>
                <w:szCs w:val="21"/>
              </w:rPr>
              <w:t>农田生态系统</w:t>
            </w:r>
          </w:p>
        </w:tc>
        <w:tc>
          <w:tcPr>
            <w:tcW w:w="0" w:type="auto"/>
            <w:tcBorders>
              <w:tl2br w:val="nil"/>
              <w:tr2bl w:val="nil"/>
            </w:tcBorders>
            <w:vAlign w:val="center"/>
          </w:tcPr>
          <w:p w14:paraId="6B4DC41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五、</w:t>
            </w:r>
            <w:r>
              <w:rPr>
                <w:rFonts w:ascii="Times New Roman" w:eastAsia="宋体" w:hAnsi="Times New Roman" w:cs="Times New Roman"/>
                <w:kern w:val="0"/>
                <w:sz w:val="21"/>
                <w:szCs w:val="21"/>
              </w:rPr>
              <w:t>耕地</w:t>
            </w:r>
          </w:p>
        </w:tc>
        <w:tc>
          <w:tcPr>
            <w:tcW w:w="0" w:type="auto"/>
            <w:tcBorders>
              <w:tl2br w:val="nil"/>
              <w:tr2bl w:val="nil"/>
            </w:tcBorders>
            <w:vAlign w:val="center"/>
          </w:tcPr>
          <w:p w14:paraId="21695AE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w:t>
            </w:r>
            <w:r>
              <w:rPr>
                <w:rFonts w:ascii="Times New Roman" w:eastAsia="宋体" w:hAnsi="Times New Roman" w:cs="Times New Roman"/>
                <w:kern w:val="0"/>
                <w:sz w:val="21"/>
                <w:szCs w:val="21"/>
              </w:rPr>
              <w:t>80.49</w:t>
            </w:r>
          </w:p>
        </w:tc>
        <w:tc>
          <w:tcPr>
            <w:tcW w:w="0" w:type="auto"/>
            <w:tcBorders>
              <w:tl2br w:val="nil"/>
              <w:tr2bl w:val="nil"/>
            </w:tcBorders>
            <w:vAlign w:val="center"/>
          </w:tcPr>
          <w:p w14:paraId="61D1767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color w:val="000000"/>
                <w:kern w:val="0"/>
                <w:sz w:val="21"/>
                <w:szCs w:val="21"/>
              </w:rPr>
              <w:t>2</w:t>
            </w:r>
            <w:r>
              <w:rPr>
                <w:rFonts w:ascii="Times New Roman" w:eastAsia="宋体" w:hAnsi="Times New Roman" w:cs="Times New Roman"/>
                <w:color w:val="000000"/>
                <w:kern w:val="0"/>
                <w:sz w:val="21"/>
                <w:szCs w:val="21"/>
              </w:rPr>
              <w:t>9.61</w:t>
            </w:r>
          </w:p>
        </w:tc>
        <w:tc>
          <w:tcPr>
            <w:tcW w:w="0" w:type="auto"/>
            <w:tcBorders>
              <w:tl2br w:val="nil"/>
              <w:tr2bl w:val="nil"/>
            </w:tcBorders>
            <w:vAlign w:val="center"/>
          </w:tcPr>
          <w:p w14:paraId="3BBB44B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w:t>
            </w:r>
            <w:r>
              <w:rPr>
                <w:rFonts w:ascii="Times New Roman" w:eastAsia="宋体" w:hAnsi="Times New Roman" w:cs="Times New Roman"/>
                <w:kern w:val="0"/>
                <w:sz w:val="21"/>
                <w:szCs w:val="21"/>
              </w:rPr>
              <w:t>80.49</w:t>
            </w:r>
          </w:p>
        </w:tc>
        <w:tc>
          <w:tcPr>
            <w:tcW w:w="0" w:type="auto"/>
            <w:tcBorders>
              <w:tl2br w:val="nil"/>
              <w:tr2bl w:val="nil"/>
            </w:tcBorders>
            <w:vAlign w:val="center"/>
          </w:tcPr>
          <w:p w14:paraId="1A48203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color w:val="000000"/>
                <w:kern w:val="0"/>
                <w:sz w:val="21"/>
                <w:szCs w:val="21"/>
              </w:rPr>
              <w:t>2</w:t>
            </w:r>
            <w:r>
              <w:rPr>
                <w:rFonts w:ascii="Times New Roman" w:eastAsia="宋体" w:hAnsi="Times New Roman" w:cs="Times New Roman"/>
                <w:color w:val="000000"/>
                <w:kern w:val="0"/>
                <w:sz w:val="21"/>
                <w:szCs w:val="21"/>
              </w:rPr>
              <w:t>9.61</w:t>
            </w:r>
          </w:p>
        </w:tc>
        <w:tc>
          <w:tcPr>
            <w:tcW w:w="0" w:type="auto"/>
            <w:tcBorders>
              <w:tl2br w:val="nil"/>
              <w:tr2bl w:val="nil"/>
            </w:tcBorders>
            <w:vAlign w:val="center"/>
          </w:tcPr>
          <w:p w14:paraId="5C096C0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w:t>
            </w:r>
            <w:r>
              <w:rPr>
                <w:rFonts w:ascii="Times New Roman" w:eastAsia="宋体" w:hAnsi="Times New Roman" w:cs="Times New Roman"/>
                <w:kern w:val="0"/>
                <w:sz w:val="21"/>
                <w:szCs w:val="21"/>
              </w:rPr>
              <w:t>1.03</w:t>
            </w:r>
          </w:p>
        </w:tc>
        <w:tc>
          <w:tcPr>
            <w:tcW w:w="0" w:type="auto"/>
            <w:tcBorders>
              <w:tl2br w:val="nil"/>
              <w:tr2bl w:val="nil"/>
            </w:tcBorders>
            <w:vAlign w:val="center"/>
          </w:tcPr>
          <w:p w14:paraId="7081EDE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50.00</w:t>
            </w:r>
          </w:p>
        </w:tc>
      </w:tr>
      <w:tr w:rsidR="009D12AF" w14:paraId="012BB634" w14:textId="77777777">
        <w:trPr>
          <w:trHeight w:val="379"/>
        </w:trPr>
        <w:tc>
          <w:tcPr>
            <w:tcW w:w="0" w:type="auto"/>
            <w:vMerge/>
            <w:tcBorders>
              <w:tl2br w:val="nil"/>
              <w:tr2bl w:val="nil"/>
            </w:tcBorders>
            <w:vAlign w:val="center"/>
          </w:tcPr>
          <w:p w14:paraId="47F85A81"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0" w:type="auto"/>
            <w:tcBorders>
              <w:tl2br w:val="nil"/>
              <w:tr2bl w:val="nil"/>
            </w:tcBorders>
            <w:vAlign w:val="center"/>
          </w:tcPr>
          <w:p w14:paraId="1DB4E95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六、园地</w:t>
            </w:r>
          </w:p>
        </w:tc>
        <w:tc>
          <w:tcPr>
            <w:tcW w:w="0" w:type="auto"/>
            <w:tcBorders>
              <w:tl2br w:val="nil"/>
              <w:tr2bl w:val="nil"/>
            </w:tcBorders>
            <w:vAlign w:val="center"/>
          </w:tcPr>
          <w:p w14:paraId="4067BC3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r>
              <w:rPr>
                <w:rFonts w:ascii="Times New Roman" w:eastAsia="宋体" w:hAnsi="Times New Roman" w:cs="Times New Roman"/>
                <w:kern w:val="0"/>
                <w:sz w:val="21"/>
                <w:szCs w:val="21"/>
              </w:rPr>
              <w:t>.61</w:t>
            </w:r>
          </w:p>
        </w:tc>
        <w:tc>
          <w:tcPr>
            <w:tcW w:w="0" w:type="auto"/>
            <w:tcBorders>
              <w:tl2br w:val="nil"/>
              <w:tr2bl w:val="nil"/>
            </w:tcBorders>
            <w:vAlign w:val="center"/>
          </w:tcPr>
          <w:p w14:paraId="66AB6FA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color w:val="000000"/>
                <w:kern w:val="0"/>
                <w:sz w:val="21"/>
                <w:szCs w:val="21"/>
              </w:rPr>
              <w:t>0</w:t>
            </w:r>
            <w:r>
              <w:rPr>
                <w:rFonts w:ascii="Times New Roman" w:eastAsia="宋体" w:hAnsi="Times New Roman" w:cs="Times New Roman"/>
                <w:color w:val="000000"/>
                <w:kern w:val="0"/>
                <w:sz w:val="21"/>
                <w:szCs w:val="21"/>
              </w:rPr>
              <w:t>.06</w:t>
            </w:r>
          </w:p>
        </w:tc>
        <w:tc>
          <w:tcPr>
            <w:tcW w:w="0" w:type="auto"/>
            <w:tcBorders>
              <w:tl2br w:val="nil"/>
              <w:tr2bl w:val="nil"/>
            </w:tcBorders>
            <w:vAlign w:val="center"/>
          </w:tcPr>
          <w:p w14:paraId="59E6466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r>
              <w:rPr>
                <w:rFonts w:ascii="Times New Roman" w:eastAsia="宋体" w:hAnsi="Times New Roman" w:cs="Times New Roman"/>
                <w:kern w:val="0"/>
                <w:sz w:val="21"/>
                <w:szCs w:val="21"/>
              </w:rPr>
              <w:t>.61</w:t>
            </w:r>
          </w:p>
        </w:tc>
        <w:tc>
          <w:tcPr>
            <w:tcW w:w="0" w:type="auto"/>
            <w:tcBorders>
              <w:tl2br w:val="nil"/>
              <w:tr2bl w:val="nil"/>
            </w:tcBorders>
            <w:vAlign w:val="center"/>
          </w:tcPr>
          <w:p w14:paraId="7228ED1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color w:val="000000"/>
                <w:kern w:val="0"/>
                <w:sz w:val="21"/>
                <w:szCs w:val="21"/>
              </w:rPr>
              <w:t>0</w:t>
            </w:r>
            <w:r>
              <w:rPr>
                <w:rFonts w:ascii="Times New Roman" w:eastAsia="宋体" w:hAnsi="Times New Roman" w:cs="Times New Roman"/>
                <w:color w:val="000000"/>
                <w:kern w:val="0"/>
                <w:sz w:val="21"/>
                <w:szCs w:val="21"/>
              </w:rPr>
              <w:t>.06</w:t>
            </w:r>
          </w:p>
        </w:tc>
        <w:tc>
          <w:tcPr>
            <w:tcW w:w="0" w:type="auto"/>
            <w:tcBorders>
              <w:tl2br w:val="nil"/>
              <w:tr2bl w:val="nil"/>
            </w:tcBorders>
            <w:vAlign w:val="center"/>
          </w:tcPr>
          <w:p w14:paraId="271C39E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r>
              <w:rPr>
                <w:rFonts w:ascii="Times New Roman" w:eastAsia="宋体" w:hAnsi="Times New Roman" w:cs="Times New Roman"/>
                <w:kern w:val="0"/>
                <w:sz w:val="21"/>
                <w:szCs w:val="21"/>
              </w:rPr>
              <w:t>.00</w:t>
            </w:r>
          </w:p>
        </w:tc>
        <w:tc>
          <w:tcPr>
            <w:tcW w:w="0" w:type="auto"/>
            <w:tcBorders>
              <w:tl2br w:val="nil"/>
              <w:tr2bl w:val="nil"/>
            </w:tcBorders>
            <w:vAlign w:val="center"/>
          </w:tcPr>
          <w:p w14:paraId="00E58BA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r>
              <w:rPr>
                <w:rFonts w:ascii="Times New Roman" w:eastAsia="宋体" w:hAnsi="Times New Roman" w:cs="Times New Roman"/>
                <w:kern w:val="0"/>
                <w:sz w:val="21"/>
                <w:szCs w:val="21"/>
              </w:rPr>
              <w:t>.00</w:t>
            </w:r>
          </w:p>
        </w:tc>
      </w:tr>
      <w:tr w:rsidR="009D12AF" w14:paraId="4E6DAD81" w14:textId="77777777">
        <w:trPr>
          <w:trHeight w:val="470"/>
        </w:trPr>
        <w:tc>
          <w:tcPr>
            <w:tcW w:w="0" w:type="auto"/>
            <w:vMerge w:val="restart"/>
            <w:tcBorders>
              <w:tl2br w:val="nil"/>
              <w:tr2bl w:val="nil"/>
            </w:tcBorders>
            <w:vAlign w:val="center"/>
          </w:tcPr>
          <w:p w14:paraId="04F99A4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Ⅳ</w:t>
            </w:r>
            <w:r>
              <w:rPr>
                <w:rFonts w:ascii="Times New Roman" w:eastAsia="宋体" w:hAnsi="Times New Roman" w:cs="Times New Roman"/>
                <w:kern w:val="0"/>
                <w:sz w:val="21"/>
                <w:szCs w:val="21"/>
              </w:rPr>
              <w:t>城镇生态系统</w:t>
            </w:r>
          </w:p>
        </w:tc>
        <w:tc>
          <w:tcPr>
            <w:tcW w:w="0" w:type="auto"/>
            <w:tcBorders>
              <w:tl2br w:val="nil"/>
              <w:tr2bl w:val="nil"/>
            </w:tcBorders>
            <w:vAlign w:val="center"/>
          </w:tcPr>
          <w:p w14:paraId="76A022F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七、工矿交通</w:t>
            </w:r>
          </w:p>
        </w:tc>
        <w:tc>
          <w:tcPr>
            <w:tcW w:w="0" w:type="auto"/>
            <w:tcBorders>
              <w:tl2br w:val="nil"/>
              <w:tr2bl w:val="nil"/>
            </w:tcBorders>
            <w:vAlign w:val="center"/>
          </w:tcPr>
          <w:p w14:paraId="786948E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2.14</w:t>
            </w:r>
          </w:p>
        </w:tc>
        <w:tc>
          <w:tcPr>
            <w:tcW w:w="0" w:type="auto"/>
            <w:tcBorders>
              <w:tl2br w:val="nil"/>
              <w:tr2bl w:val="nil"/>
            </w:tcBorders>
            <w:vAlign w:val="center"/>
          </w:tcPr>
          <w:p w14:paraId="7A1E55B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color w:val="000000"/>
                <w:kern w:val="0"/>
                <w:sz w:val="21"/>
                <w:szCs w:val="21"/>
              </w:rPr>
              <w:t>1</w:t>
            </w:r>
            <w:r>
              <w:rPr>
                <w:rFonts w:ascii="Times New Roman" w:eastAsia="宋体" w:hAnsi="Times New Roman" w:cs="Times New Roman"/>
                <w:color w:val="000000"/>
                <w:kern w:val="0"/>
                <w:sz w:val="21"/>
                <w:szCs w:val="21"/>
              </w:rPr>
              <w:t>.28</w:t>
            </w:r>
          </w:p>
        </w:tc>
        <w:tc>
          <w:tcPr>
            <w:tcW w:w="0" w:type="auto"/>
            <w:tcBorders>
              <w:tl2br w:val="nil"/>
              <w:tr2bl w:val="nil"/>
            </w:tcBorders>
            <w:vAlign w:val="center"/>
          </w:tcPr>
          <w:p w14:paraId="78CBA6F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2.14</w:t>
            </w:r>
          </w:p>
        </w:tc>
        <w:tc>
          <w:tcPr>
            <w:tcW w:w="0" w:type="auto"/>
            <w:tcBorders>
              <w:tl2br w:val="nil"/>
              <w:tr2bl w:val="nil"/>
            </w:tcBorders>
            <w:vAlign w:val="center"/>
          </w:tcPr>
          <w:p w14:paraId="37D26A2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color w:val="000000"/>
                <w:kern w:val="0"/>
                <w:sz w:val="21"/>
                <w:szCs w:val="21"/>
              </w:rPr>
              <w:t>1</w:t>
            </w:r>
            <w:r>
              <w:rPr>
                <w:rFonts w:ascii="Times New Roman" w:eastAsia="宋体" w:hAnsi="Times New Roman" w:cs="Times New Roman"/>
                <w:color w:val="000000"/>
                <w:kern w:val="0"/>
                <w:sz w:val="21"/>
                <w:szCs w:val="21"/>
              </w:rPr>
              <w:t>.28</w:t>
            </w:r>
          </w:p>
        </w:tc>
        <w:tc>
          <w:tcPr>
            <w:tcW w:w="0" w:type="auto"/>
            <w:tcBorders>
              <w:tl2br w:val="nil"/>
              <w:tr2bl w:val="nil"/>
            </w:tcBorders>
            <w:vAlign w:val="center"/>
          </w:tcPr>
          <w:p w14:paraId="1E3FABE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1.03</w:t>
            </w:r>
          </w:p>
        </w:tc>
        <w:tc>
          <w:tcPr>
            <w:tcW w:w="0" w:type="auto"/>
            <w:tcBorders>
              <w:tl2br w:val="nil"/>
              <w:tr2bl w:val="nil"/>
            </w:tcBorders>
            <w:vAlign w:val="center"/>
          </w:tcPr>
          <w:p w14:paraId="0BB2337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50.00</w:t>
            </w:r>
          </w:p>
        </w:tc>
      </w:tr>
      <w:tr w:rsidR="009D12AF" w14:paraId="7A699944" w14:textId="77777777">
        <w:trPr>
          <w:trHeight w:val="470"/>
        </w:trPr>
        <w:tc>
          <w:tcPr>
            <w:tcW w:w="0" w:type="auto"/>
            <w:vMerge/>
            <w:tcBorders>
              <w:tl2br w:val="nil"/>
              <w:tr2bl w:val="nil"/>
            </w:tcBorders>
            <w:vAlign w:val="center"/>
          </w:tcPr>
          <w:p w14:paraId="60A61410"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0" w:type="auto"/>
            <w:tcBorders>
              <w:tl2br w:val="nil"/>
              <w:tr2bl w:val="nil"/>
            </w:tcBorders>
            <w:vAlign w:val="center"/>
          </w:tcPr>
          <w:p w14:paraId="5E5CA0B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八、居住地</w:t>
            </w:r>
          </w:p>
        </w:tc>
        <w:tc>
          <w:tcPr>
            <w:tcW w:w="0" w:type="auto"/>
            <w:tcBorders>
              <w:tl2br w:val="nil"/>
              <w:tr2bl w:val="nil"/>
            </w:tcBorders>
            <w:vAlign w:val="center"/>
          </w:tcPr>
          <w:p w14:paraId="228EBD2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8.08</w:t>
            </w:r>
          </w:p>
        </w:tc>
        <w:tc>
          <w:tcPr>
            <w:tcW w:w="0" w:type="auto"/>
            <w:tcBorders>
              <w:tl2br w:val="nil"/>
              <w:tr2bl w:val="nil"/>
            </w:tcBorders>
            <w:vAlign w:val="center"/>
          </w:tcPr>
          <w:p w14:paraId="58FBB39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color w:val="000000"/>
                <w:kern w:val="0"/>
                <w:sz w:val="21"/>
                <w:szCs w:val="21"/>
              </w:rPr>
              <w:t>1</w:t>
            </w:r>
            <w:r>
              <w:rPr>
                <w:rFonts w:ascii="Times New Roman" w:eastAsia="宋体" w:hAnsi="Times New Roman" w:cs="Times New Roman"/>
                <w:color w:val="000000"/>
                <w:kern w:val="0"/>
                <w:sz w:val="21"/>
                <w:szCs w:val="21"/>
              </w:rPr>
              <w:t>.91</w:t>
            </w:r>
          </w:p>
        </w:tc>
        <w:tc>
          <w:tcPr>
            <w:tcW w:w="0" w:type="auto"/>
            <w:tcBorders>
              <w:tl2br w:val="nil"/>
              <w:tr2bl w:val="nil"/>
            </w:tcBorders>
            <w:vAlign w:val="center"/>
          </w:tcPr>
          <w:p w14:paraId="4B24D48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w:t>
            </w:r>
            <w:r>
              <w:rPr>
                <w:rFonts w:ascii="Times New Roman" w:eastAsia="宋体" w:hAnsi="Times New Roman" w:cs="Times New Roman"/>
                <w:kern w:val="0"/>
                <w:sz w:val="21"/>
                <w:szCs w:val="21"/>
              </w:rPr>
              <w:t>8.08</w:t>
            </w:r>
          </w:p>
        </w:tc>
        <w:tc>
          <w:tcPr>
            <w:tcW w:w="0" w:type="auto"/>
            <w:tcBorders>
              <w:tl2br w:val="nil"/>
              <w:tr2bl w:val="nil"/>
            </w:tcBorders>
            <w:vAlign w:val="center"/>
          </w:tcPr>
          <w:p w14:paraId="5EFA663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color w:val="000000"/>
                <w:kern w:val="0"/>
                <w:sz w:val="21"/>
                <w:szCs w:val="21"/>
              </w:rPr>
              <w:t>1</w:t>
            </w:r>
            <w:r>
              <w:rPr>
                <w:rFonts w:ascii="Times New Roman" w:eastAsia="宋体" w:hAnsi="Times New Roman" w:cs="Times New Roman"/>
                <w:color w:val="000000"/>
                <w:kern w:val="0"/>
                <w:sz w:val="21"/>
                <w:szCs w:val="21"/>
              </w:rPr>
              <w:t>.91</w:t>
            </w:r>
          </w:p>
        </w:tc>
        <w:tc>
          <w:tcPr>
            <w:tcW w:w="0" w:type="auto"/>
            <w:tcBorders>
              <w:tl2br w:val="nil"/>
              <w:tr2bl w:val="nil"/>
            </w:tcBorders>
            <w:vAlign w:val="center"/>
          </w:tcPr>
          <w:p w14:paraId="472FE24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r>
              <w:rPr>
                <w:rFonts w:ascii="Times New Roman" w:eastAsia="宋体" w:hAnsi="Times New Roman" w:cs="Times New Roman"/>
                <w:kern w:val="0"/>
                <w:sz w:val="21"/>
                <w:szCs w:val="21"/>
              </w:rPr>
              <w:t>.00</w:t>
            </w:r>
          </w:p>
        </w:tc>
        <w:tc>
          <w:tcPr>
            <w:tcW w:w="0" w:type="auto"/>
            <w:tcBorders>
              <w:tl2br w:val="nil"/>
              <w:tr2bl w:val="nil"/>
            </w:tcBorders>
            <w:vAlign w:val="center"/>
          </w:tcPr>
          <w:p w14:paraId="1309CF7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r>
              <w:rPr>
                <w:rFonts w:ascii="Times New Roman" w:eastAsia="宋体" w:hAnsi="Times New Roman" w:cs="Times New Roman"/>
                <w:kern w:val="0"/>
                <w:sz w:val="21"/>
                <w:szCs w:val="21"/>
              </w:rPr>
              <w:t>.00</w:t>
            </w:r>
          </w:p>
        </w:tc>
      </w:tr>
      <w:tr w:rsidR="009D12AF" w14:paraId="59588176" w14:textId="77777777">
        <w:trPr>
          <w:trHeight w:val="336"/>
        </w:trPr>
        <w:tc>
          <w:tcPr>
            <w:tcW w:w="0" w:type="auto"/>
            <w:gridSpan w:val="2"/>
            <w:tcBorders>
              <w:tl2br w:val="nil"/>
              <w:tr2bl w:val="nil"/>
            </w:tcBorders>
            <w:vAlign w:val="center"/>
          </w:tcPr>
          <w:p w14:paraId="4029C20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合计</w:t>
            </w:r>
          </w:p>
        </w:tc>
        <w:tc>
          <w:tcPr>
            <w:tcW w:w="0" w:type="auto"/>
            <w:tcBorders>
              <w:tl2br w:val="nil"/>
              <w:tr2bl w:val="nil"/>
            </w:tcBorders>
            <w:vAlign w:val="center"/>
          </w:tcPr>
          <w:p w14:paraId="1D04ADC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9</w:t>
            </w:r>
            <w:r>
              <w:rPr>
                <w:rFonts w:ascii="Times New Roman" w:eastAsia="宋体" w:hAnsi="Times New Roman" w:cs="Times New Roman"/>
                <w:kern w:val="0"/>
                <w:sz w:val="21"/>
                <w:szCs w:val="21"/>
              </w:rPr>
              <w:t>47.18</w:t>
            </w:r>
          </w:p>
        </w:tc>
        <w:tc>
          <w:tcPr>
            <w:tcW w:w="0" w:type="auto"/>
            <w:tcBorders>
              <w:tl2br w:val="nil"/>
              <w:tr2bl w:val="nil"/>
            </w:tcBorders>
            <w:vAlign w:val="center"/>
          </w:tcPr>
          <w:p w14:paraId="578A959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100.00</w:t>
            </w:r>
          </w:p>
        </w:tc>
        <w:tc>
          <w:tcPr>
            <w:tcW w:w="0" w:type="auto"/>
            <w:tcBorders>
              <w:tl2br w:val="nil"/>
              <w:tr2bl w:val="nil"/>
            </w:tcBorders>
            <w:vAlign w:val="center"/>
          </w:tcPr>
          <w:p w14:paraId="7A99787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9</w:t>
            </w:r>
            <w:r>
              <w:rPr>
                <w:rFonts w:ascii="Times New Roman" w:eastAsia="宋体" w:hAnsi="Times New Roman" w:cs="Times New Roman"/>
                <w:kern w:val="0"/>
                <w:sz w:val="21"/>
                <w:szCs w:val="21"/>
              </w:rPr>
              <w:t>47.18</w:t>
            </w:r>
          </w:p>
        </w:tc>
        <w:tc>
          <w:tcPr>
            <w:tcW w:w="0" w:type="auto"/>
            <w:tcBorders>
              <w:tl2br w:val="nil"/>
              <w:tr2bl w:val="nil"/>
            </w:tcBorders>
            <w:vAlign w:val="center"/>
          </w:tcPr>
          <w:p w14:paraId="6CAFCA1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100.00</w:t>
            </w:r>
          </w:p>
        </w:tc>
        <w:tc>
          <w:tcPr>
            <w:tcW w:w="0" w:type="auto"/>
            <w:tcBorders>
              <w:tl2br w:val="nil"/>
              <w:tr2bl w:val="nil"/>
            </w:tcBorders>
            <w:vAlign w:val="center"/>
          </w:tcPr>
          <w:p w14:paraId="2EE9CD0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w:t>
            </w:r>
            <w:r>
              <w:rPr>
                <w:rFonts w:ascii="Times New Roman" w:eastAsia="宋体" w:hAnsi="Times New Roman" w:cs="Times New Roman"/>
                <w:kern w:val="0"/>
                <w:sz w:val="21"/>
                <w:szCs w:val="21"/>
              </w:rPr>
              <w:t>.00</w:t>
            </w:r>
          </w:p>
        </w:tc>
        <w:tc>
          <w:tcPr>
            <w:tcW w:w="0" w:type="auto"/>
            <w:tcBorders>
              <w:tl2br w:val="nil"/>
              <w:tr2bl w:val="nil"/>
            </w:tcBorders>
            <w:vAlign w:val="center"/>
          </w:tcPr>
          <w:p w14:paraId="5A6B16D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100</w:t>
            </w:r>
          </w:p>
        </w:tc>
      </w:tr>
    </w:tbl>
    <w:p w14:paraId="336B64A9" w14:textId="77777777" w:rsidR="009D12AF" w:rsidRDefault="00000000">
      <w:pPr>
        <w:widowControl/>
        <w:tabs>
          <w:tab w:val="left" w:pos="3360"/>
        </w:tabs>
        <w:spacing w:beforeLines="50" w:before="163"/>
        <w:ind w:firstLine="480"/>
        <w:jc w:val="left"/>
        <w:rPr>
          <w:rFonts w:ascii="宋体" w:eastAsia="宋体" w:hAnsi="宋体" w:cs="宋体" w:hint="eastAsia"/>
          <w:kern w:val="0"/>
        </w:rPr>
      </w:pPr>
      <w:r>
        <w:rPr>
          <w:rFonts w:ascii="宋体" w:eastAsia="宋体" w:hAnsi="宋体" w:cs="宋体" w:hint="eastAsia"/>
          <w:kern w:val="0"/>
        </w:rPr>
        <w:t>2、对生态系统结构和功能的影响</w:t>
      </w:r>
    </w:p>
    <w:p w14:paraId="3A01643D" w14:textId="77777777" w:rsidR="009D12AF" w:rsidRDefault="00000000">
      <w:pPr>
        <w:ind w:firstLine="480"/>
        <w:rPr>
          <w:rFonts w:ascii="宋体" w:eastAsia="宋体" w:hAnsi="宋体" w:cs="宋体" w:hint="eastAsia"/>
          <w:kern w:val="0"/>
        </w:rPr>
      </w:pPr>
      <w:r>
        <w:rPr>
          <w:rFonts w:ascii="宋体" w:eastAsia="宋体" w:hAnsi="宋体" w:cs="宋体" w:hint="eastAsia"/>
          <w:kern w:val="0"/>
        </w:rPr>
        <w:t>本工程所在地主要划分为森林生态系统、湿地生态系统、农田生态系统和城镇生态系统，共4种生态系统类型。工程建设的开挖和施工设施建设只对农田生态系统造成了微小的影响。各个生态系统的生物种类、种群数量、种群的空间配置 （水平分布、垂直分布）、种的时间变化（发育）等构成了生态系统功能主体结构并未改变。工程对评价区整体生态系统功能影响微弱。</w:t>
      </w:r>
    </w:p>
    <w:p w14:paraId="626F3E84" w14:textId="77777777" w:rsidR="009D12AF" w:rsidRDefault="00000000">
      <w:pPr>
        <w:widowControl/>
        <w:ind w:firstLine="480"/>
        <w:jc w:val="left"/>
        <w:rPr>
          <w:rFonts w:ascii="宋体" w:eastAsia="宋体" w:hAnsi="宋体" w:cs="宋体" w:hint="eastAsia"/>
          <w:kern w:val="0"/>
        </w:rPr>
      </w:pPr>
      <w:r>
        <w:rPr>
          <w:rFonts w:ascii="宋体" w:eastAsia="宋体" w:hAnsi="宋体" w:cs="宋体" w:hint="eastAsia"/>
          <w:kern w:val="0"/>
        </w:rPr>
        <w:t>（</w:t>
      </w:r>
      <w:r>
        <w:rPr>
          <w:rFonts w:ascii="宋体" w:eastAsia="宋体" w:hAnsi="宋体" w:cs="宋体"/>
          <w:kern w:val="0"/>
        </w:rPr>
        <w:t>1</w:t>
      </w:r>
      <w:r>
        <w:rPr>
          <w:rFonts w:ascii="宋体" w:eastAsia="宋体" w:hAnsi="宋体" w:cs="宋体" w:hint="eastAsia"/>
          <w:kern w:val="0"/>
        </w:rPr>
        <w:t>）农田生态系统</w:t>
      </w:r>
    </w:p>
    <w:p w14:paraId="60BE3D4B" w14:textId="77777777" w:rsidR="009D12AF" w:rsidRDefault="00000000">
      <w:pPr>
        <w:ind w:firstLine="480"/>
        <w:rPr>
          <w:rFonts w:ascii="宋体" w:eastAsia="宋体" w:hAnsi="宋体" w:cs="宋体" w:hint="eastAsia"/>
          <w:kern w:val="0"/>
        </w:rPr>
      </w:pPr>
      <w:r>
        <w:rPr>
          <w:rFonts w:ascii="宋体" w:eastAsia="宋体" w:hAnsi="宋体" w:cs="宋体" w:hint="eastAsia"/>
          <w:kern w:val="0"/>
        </w:rPr>
        <w:t>根据本工程占地情况，工程实施对农业生态系统的影响主要为工程临时占地对农作物的影响，本工程临时占用耕地</w:t>
      </w:r>
      <w:r>
        <w:rPr>
          <w:rFonts w:ascii="Times New Roman" w:eastAsia="宋体" w:hAnsi="Times New Roman" w:cs="Times New Roman"/>
          <w:kern w:val="0"/>
        </w:rPr>
        <w:t>1.03</w:t>
      </w:r>
      <w:r>
        <w:rPr>
          <w:rFonts w:ascii="宋体" w:eastAsia="宋体" w:hAnsi="宋体" w:cs="宋体" w:hint="eastAsia"/>
          <w:kern w:val="0"/>
        </w:rPr>
        <w:t>公顷。</w:t>
      </w:r>
      <w:r>
        <w:rPr>
          <w:rFonts w:ascii="宋体" w:eastAsia="宋体" w:hAnsi="宋体" w:cs="宋体"/>
          <w:kern w:val="0"/>
        </w:rPr>
        <w:t>在工程结束后2</w:t>
      </w:r>
      <w:r>
        <w:rPr>
          <w:rFonts w:ascii="宋体" w:eastAsia="宋体" w:hAnsi="宋体" w:cs="宋体" w:hint="eastAsia"/>
          <w:kern w:val="0"/>
        </w:rPr>
        <w:t>～</w:t>
      </w:r>
      <w:r>
        <w:rPr>
          <w:rFonts w:ascii="宋体" w:eastAsia="宋体" w:hAnsi="宋体" w:cs="宋体"/>
          <w:kern w:val="0"/>
        </w:rPr>
        <w:t>3年耕作可恢复其原有使用功能。但因重型施工机械的碾压、施工人员的践踏、土体的扰动等原因，施工</w:t>
      </w:r>
      <w:r>
        <w:rPr>
          <w:rFonts w:ascii="宋体" w:eastAsia="宋体" w:hAnsi="宋体" w:cs="宋体" w:hint="eastAsia"/>
          <w:kern w:val="0"/>
        </w:rPr>
        <w:t>占用</w:t>
      </w:r>
      <w:r>
        <w:rPr>
          <w:rFonts w:ascii="宋体" w:eastAsia="宋体" w:hAnsi="宋体" w:cs="宋体"/>
          <w:kern w:val="0"/>
        </w:rPr>
        <w:t>的耕作土壤或自然土壤的理化性质、肥力水平受到一定的影响，并进一步影响地表植被恢复，这种影响预计持续2</w:t>
      </w:r>
      <w:r>
        <w:rPr>
          <w:rFonts w:ascii="宋体" w:eastAsia="宋体" w:hAnsi="宋体" w:cs="宋体" w:hint="eastAsia"/>
          <w:kern w:val="0"/>
        </w:rPr>
        <w:t>～</w:t>
      </w:r>
      <w:r>
        <w:rPr>
          <w:rFonts w:ascii="宋体" w:eastAsia="宋体" w:hAnsi="宋体" w:cs="宋体"/>
          <w:kern w:val="0"/>
        </w:rPr>
        <w:t>3年。随着时间的推移逐渐</w:t>
      </w:r>
      <w:r>
        <w:rPr>
          <w:rFonts w:ascii="宋体" w:eastAsia="宋体" w:hAnsi="宋体" w:cs="宋体"/>
          <w:kern w:val="0"/>
        </w:rPr>
        <w:lastRenderedPageBreak/>
        <w:t>消失，最终使农作物的产量和品质恢复到原来水平。</w:t>
      </w:r>
      <w:r>
        <w:rPr>
          <w:rFonts w:ascii="宋体" w:eastAsia="宋体" w:hAnsi="宋体" w:cs="宋体" w:hint="eastAsia"/>
          <w:kern w:val="0"/>
        </w:rPr>
        <w:t>工程占用耕地面积占评价区农田系统的</w:t>
      </w:r>
      <w:r>
        <w:rPr>
          <w:rFonts w:ascii="Times New Roman" w:eastAsia="宋体" w:hAnsi="Times New Roman" w:cs="Times New Roman"/>
          <w:kern w:val="0"/>
        </w:rPr>
        <w:t>0.37%</w:t>
      </w:r>
      <w:r>
        <w:rPr>
          <w:rFonts w:ascii="宋体" w:eastAsia="宋体" w:hAnsi="宋体" w:cs="宋体" w:hint="eastAsia"/>
          <w:kern w:val="0"/>
        </w:rPr>
        <w:t>，所占比例极小。因此，工程建设对农田生态系统的结构和功能的影响较小。</w:t>
      </w:r>
    </w:p>
    <w:p w14:paraId="7D42634C" w14:textId="77777777" w:rsidR="009D12AF" w:rsidRDefault="00000000">
      <w:pPr>
        <w:pStyle w:val="4"/>
        <w:spacing w:after="0"/>
        <w:ind w:firstLineChars="0" w:firstLine="0"/>
      </w:pPr>
      <w:r>
        <w:rPr>
          <w:rFonts w:hint="eastAsia"/>
        </w:rPr>
        <w:t>5.1.9.4</w:t>
      </w:r>
      <w:r>
        <w:rPr>
          <w:rFonts w:hint="eastAsia"/>
        </w:rPr>
        <w:t>生态系统生物量影响分析</w:t>
      </w:r>
    </w:p>
    <w:p w14:paraId="76E860E1" w14:textId="77777777" w:rsidR="009D12AF" w:rsidRDefault="00000000">
      <w:pPr>
        <w:ind w:firstLine="480"/>
        <w:rPr>
          <w:rFonts w:ascii="Segoe UI" w:eastAsia="宋体" w:hAnsi="Segoe UI" w:cs="Segoe UI"/>
          <w:kern w:val="0"/>
          <w:shd w:val="clear" w:color="auto" w:fill="FFFFFF"/>
        </w:rPr>
      </w:pPr>
      <w:r>
        <w:rPr>
          <w:rFonts w:ascii="Segoe UI" w:eastAsia="宋体" w:hAnsi="Segoe UI" w:cs="Segoe UI"/>
          <w:kern w:val="0"/>
          <w:shd w:val="clear" w:color="auto" w:fill="FFFFFF"/>
        </w:rPr>
        <w:t>本项目占地类型为临时占地，其中仅</w:t>
      </w:r>
      <w:r>
        <w:rPr>
          <w:rFonts w:ascii="Segoe UI" w:eastAsia="宋体" w:hAnsi="Segoe UI" w:cs="Segoe UI"/>
          <w:kern w:val="0"/>
          <w:shd w:val="clear" w:color="auto" w:fill="FFFFFF"/>
        </w:rPr>
        <w:t xml:space="preserve"> 1.03 </w:t>
      </w:r>
      <w:r>
        <w:rPr>
          <w:rFonts w:ascii="Segoe UI" w:eastAsia="宋体" w:hAnsi="Segoe UI" w:cs="Segoe UI"/>
          <w:kern w:val="0"/>
          <w:shd w:val="clear" w:color="auto" w:fill="FFFFFF"/>
        </w:rPr>
        <w:t>公顷为旱地，其余为立旧工程（无新增植被占用）。因旱地存在少量作物生物量，项目产生微量生物量损失，但临时占地后续将实施</w:t>
      </w:r>
      <w:r>
        <w:rPr>
          <w:rFonts w:ascii="Segoe UI" w:eastAsia="宋体" w:hAnsi="Segoe UI" w:cs="Segoe UI" w:hint="eastAsia"/>
          <w:kern w:val="0"/>
          <w:shd w:val="clear" w:color="auto" w:fill="FFFFFF"/>
        </w:rPr>
        <w:t>作物</w:t>
      </w:r>
      <w:r>
        <w:rPr>
          <w:rFonts w:ascii="Segoe UI" w:eastAsia="宋体" w:hAnsi="Segoe UI" w:cs="Segoe UI"/>
          <w:kern w:val="0"/>
          <w:shd w:val="clear" w:color="auto" w:fill="FFFFFF"/>
        </w:rPr>
        <w:t>恢复，可逐步弥补，且损失量占评价区总生物量比例极低，对区域生物量整体影响微乎其微。</w:t>
      </w:r>
    </w:p>
    <w:p w14:paraId="4BD984C2" w14:textId="77777777" w:rsidR="009D12AF" w:rsidRDefault="00000000">
      <w:pPr>
        <w:pStyle w:val="4"/>
        <w:ind w:firstLineChars="0" w:firstLine="0"/>
      </w:pPr>
      <w:r>
        <w:rPr>
          <w:rFonts w:hint="eastAsia"/>
        </w:rPr>
        <w:t>5.1.9.5</w:t>
      </w:r>
      <w:r>
        <w:rPr>
          <w:rFonts w:hint="eastAsia"/>
        </w:rPr>
        <w:t>景观生态格局影响分析</w:t>
      </w:r>
    </w:p>
    <w:p w14:paraId="72C6EB67" w14:textId="77777777" w:rsidR="009D12AF" w:rsidRDefault="00000000">
      <w:pPr>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1</w:t>
      </w:r>
      <w:r>
        <w:rPr>
          <w:rFonts w:ascii="Times New Roman" w:eastAsia="宋体" w:hAnsi="Times New Roman" w:cs="Times New Roman" w:hint="eastAsia"/>
          <w:kern w:val="0"/>
          <w:szCs w:val="20"/>
        </w:rPr>
        <w:t>、根据本工程占地情况，无新增永久占地，故本工程着重对施工期评价范围内景观生态格局影响分析，施工期评价范围内景观生态格局会发生一定变化，各景观类型优势度值也发生变化，预测结果详见表</w:t>
      </w:r>
      <w:r>
        <w:rPr>
          <w:rFonts w:ascii="Times New Roman" w:eastAsia="宋体" w:hAnsi="Times New Roman" w:cs="Times New Roman" w:hint="eastAsia"/>
          <w:kern w:val="0"/>
          <w:szCs w:val="20"/>
        </w:rPr>
        <w:t xml:space="preserve"> 5.1-9</w:t>
      </w:r>
      <w:r>
        <w:rPr>
          <w:rFonts w:ascii="Times New Roman" w:eastAsia="宋体" w:hAnsi="Times New Roman" w:cs="Times New Roman" w:hint="eastAsia"/>
          <w:kern w:val="0"/>
          <w:szCs w:val="20"/>
        </w:rPr>
        <w:t>。</w:t>
      </w:r>
    </w:p>
    <w:p w14:paraId="5441C1F5" w14:textId="77777777" w:rsidR="009D12AF" w:rsidRDefault="009D12AF">
      <w:pPr>
        <w:ind w:firstLine="480"/>
        <w:rPr>
          <w:rFonts w:ascii="Times New Roman" w:eastAsia="宋体" w:hAnsi="Times New Roman" w:cs="Times New Roman"/>
          <w:kern w:val="0"/>
          <w:szCs w:val="20"/>
        </w:rPr>
        <w:sectPr w:rsidR="009D12AF">
          <w:pgSz w:w="11906" w:h="16838"/>
          <w:pgMar w:top="1440" w:right="1800" w:bottom="1440" w:left="1800" w:header="851" w:footer="992" w:gutter="0"/>
          <w:cols w:space="425"/>
          <w:docGrid w:type="lines" w:linePitch="326"/>
        </w:sectPr>
      </w:pPr>
    </w:p>
    <w:p w14:paraId="79BAB170" w14:textId="77777777" w:rsidR="009D12AF" w:rsidRDefault="00000000">
      <w:pPr>
        <w:ind w:firstLine="482"/>
        <w:jc w:val="center"/>
        <w:rPr>
          <w:rFonts w:ascii="Times New Roman" w:eastAsia="宋体" w:hAnsi="宋体" w:cs="宋体" w:hint="eastAsia"/>
          <w:b/>
          <w:kern w:val="0"/>
        </w:rPr>
      </w:pPr>
      <w:r>
        <w:rPr>
          <w:rFonts w:ascii="Times New Roman" w:eastAsia="宋体" w:hAnsi="宋体" w:cs="宋体"/>
          <w:b/>
          <w:kern w:val="0"/>
        </w:rPr>
        <w:lastRenderedPageBreak/>
        <w:t>表</w:t>
      </w:r>
      <w:r>
        <w:rPr>
          <w:rFonts w:ascii="Times New Roman" w:eastAsia="宋体" w:hAnsi="宋体" w:cs="宋体"/>
          <w:b/>
          <w:kern w:val="0"/>
        </w:rPr>
        <w:t xml:space="preserve"> </w:t>
      </w:r>
      <w:r>
        <w:rPr>
          <w:rFonts w:ascii="Times New Roman" w:eastAsia="宋体" w:hAnsi="宋体" w:cs="宋体" w:hint="eastAsia"/>
          <w:b/>
          <w:kern w:val="0"/>
        </w:rPr>
        <w:t>5.1-9</w:t>
      </w:r>
      <w:r>
        <w:rPr>
          <w:rFonts w:ascii="Times New Roman" w:eastAsia="宋体" w:hAnsi="宋体" w:cs="宋体"/>
          <w:b/>
          <w:kern w:val="0"/>
        </w:rPr>
        <w:t xml:space="preserve">  </w:t>
      </w:r>
      <w:r>
        <w:rPr>
          <w:rFonts w:ascii="Times New Roman" w:eastAsia="宋体" w:hAnsi="宋体" w:cs="宋体"/>
          <w:b/>
          <w:kern w:val="0"/>
        </w:rPr>
        <w:t>工程建设前后评价范围</w:t>
      </w:r>
      <w:r>
        <w:rPr>
          <w:rFonts w:ascii="Times New Roman" w:eastAsia="宋体" w:hAnsi="宋体" w:cs="宋体" w:hint="eastAsia"/>
          <w:b/>
          <w:kern w:val="0"/>
        </w:rPr>
        <w:t>内</w:t>
      </w:r>
      <w:r>
        <w:rPr>
          <w:rFonts w:ascii="Times New Roman" w:eastAsia="宋体" w:hAnsi="宋体" w:cs="宋体"/>
          <w:b/>
          <w:kern w:val="0"/>
        </w:rPr>
        <w:t>各类景观</w:t>
      </w:r>
      <w:r>
        <w:rPr>
          <w:rFonts w:ascii="Times New Roman" w:eastAsia="宋体" w:hAnsi="宋体" w:cs="宋体" w:hint="eastAsia"/>
          <w:b/>
          <w:kern w:val="0"/>
        </w:rPr>
        <w:t>优势度</w:t>
      </w:r>
      <w:r>
        <w:rPr>
          <w:rFonts w:ascii="Times New Roman" w:eastAsia="宋体" w:hAnsi="宋体" w:cs="宋体"/>
          <w:b/>
          <w:kern w:val="0"/>
        </w:rPr>
        <w:t>指数对比</w:t>
      </w:r>
    </w:p>
    <w:tbl>
      <w:tblPr>
        <w:tblpPr w:leftFromText="181" w:rightFromText="181" w:bottomFromText="284" w:vertAnchor="text" w:tblpXSpec="center" w:tblpY="1"/>
        <w:tblOverlap w:val="neve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06"/>
        <w:gridCol w:w="1319"/>
        <w:gridCol w:w="806"/>
        <w:gridCol w:w="1053"/>
        <w:gridCol w:w="1169"/>
        <w:gridCol w:w="1168"/>
        <w:gridCol w:w="1171"/>
        <w:gridCol w:w="1318"/>
        <w:gridCol w:w="805"/>
        <w:gridCol w:w="1052"/>
        <w:gridCol w:w="1168"/>
        <w:gridCol w:w="1168"/>
        <w:gridCol w:w="1171"/>
      </w:tblGrid>
      <w:tr w:rsidR="009D12AF" w14:paraId="1F635989" w14:textId="77777777">
        <w:tc>
          <w:tcPr>
            <w:tcW w:w="284" w:type="pct"/>
            <w:tcBorders>
              <w:tl2br w:val="nil"/>
              <w:tr2bl w:val="nil"/>
            </w:tcBorders>
            <w:vAlign w:val="center"/>
          </w:tcPr>
          <w:p w14:paraId="0A3602F0"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2357" w:type="pct"/>
            <w:gridSpan w:val="6"/>
            <w:tcBorders>
              <w:tl2br w:val="nil"/>
              <w:tr2bl w:val="nil"/>
            </w:tcBorders>
            <w:vAlign w:val="center"/>
          </w:tcPr>
          <w:p w14:paraId="551B5E5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现状</w:t>
            </w:r>
          </w:p>
        </w:tc>
        <w:tc>
          <w:tcPr>
            <w:tcW w:w="2357" w:type="pct"/>
            <w:gridSpan w:val="6"/>
            <w:tcBorders>
              <w:tl2br w:val="nil"/>
              <w:tr2bl w:val="nil"/>
            </w:tcBorders>
            <w:vAlign w:val="center"/>
          </w:tcPr>
          <w:p w14:paraId="16002A4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施工期</w:t>
            </w:r>
          </w:p>
        </w:tc>
      </w:tr>
      <w:tr w:rsidR="009D12AF" w14:paraId="41D9186B" w14:textId="77777777">
        <w:tc>
          <w:tcPr>
            <w:tcW w:w="284" w:type="pct"/>
            <w:tcBorders>
              <w:tl2br w:val="nil"/>
              <w:tr2bl w:val="nil"/>
            </w:tcBorders>
            <w:vAlign w:val="center"/>
          </w:tcPr>
          <w:p w14:paraId="416EB1E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类型</w:t>
            </w:r>
          </w:p>
        </w:tc>
        <w:tc>
          <w:tcPr>
            <w:tcW w:w="465" w:type="pct"/>
            <w:tcBorders>
              <w:tl2br w:val="nil"/>
              <w:tr2bl w:val="nil"/>
            </w:tcBorders>
            <w:vAlign w:val="center"/>
          </w:tcPr>
          <w:p w14:paraId="4EAB387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面积</w:t>
            </w:r>
          </w:p>
          <w:p w14:paraId="19A30A4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hm</w:t>
            </w:r>
            <w:r>
              <w:rPr>
                <w:rFonts w:ascii="Times New Roman" w:eastAsia="宋体" w:hAnsi="Times New Roman" w:cs="Times New Roman"/>
                <w:kern w:val="0"/>
                <w:sz w:val="21"/>
                <w:szCs w:val="21"/>
                <w:vertAlign w:val="superscript"/>
              </w:rPr>
              <w:t>2</w:t>
            </w:r>
            <w:r>
              <w:rPr>
                <w:rFonts w:ascii="Times New Roman" w:eastAsia="宋体" w:hAnsi="Times New Roman" w:cs="Times New Roman"/>
                <w:kern w:val="0"/>
                <w:sz w:val="21"/>
                <w:szCs w:val="21"/>
              </w:rPr>
              <w:t>）</w:t>
            </w:r>
          </w:p>
        </w:tc>
        <w:tc>
          <w:tcPr>
            <w:tcW w:w="284" w:type="pct"/>
            <w:tcBorders>
              <w:tl2br w:val="nil"/>
              <w:tr2bl w:val="nil"/>
            </w:tcBorders>
            <w:vAlign w:val="center"/>
          </w:tcPr>
          <w:p w14:paraId="1ECCEFE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斑块个数</w:t>
            </w:r>
          </w:p>
        </w:tc>
        <w:tc>
          <w:tcPr>
            <w:tcW w:w="371" w:type="pct"/>
            <w:tcBorders>
              <w:tl2br w:val="nil"/>
              <w:tr2bl w:val="nil"/>
            </w:tcBorders>
            <w:vAlign w:val="center"/>
          </w:tcPr>
          <w:p w14:paraId="371B27D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景观</w:t>
            </w:r>
            <w:r>
              <w:rPr>
                <w:rFonts w:ascii="Times New Roman" w:eastAsia="宋体" w:hAnsi="Times New Roman" w:cs="Times New Roman"/>
                <w:kern w:val="0"/>
                <w:sz w:val="21"/>
                <w:szCs w:val="21"/>
              </w:rPr>
              <w:t>比例</w:t>
            </w:r>
            <w:r>
              <w:rPr>
                <w:rFonts w:ascii="Times New Roman" w:eastAsia="宋体" w:hAnsi="Times New Roman" w:cs="Times New Roman" w:hint="eastAsia"/>
                <w:kern w:val="0"/>
                <w:sz w:val="21"/>
                <w:szCs w:val="21"/>
              </w:rPr>
              <w:t>Lp</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p>
        </w:tc>
        <w:tc>
          <w:tcPr>
            <w:tcW w:w="412" w:type="pct"/>
            <w:tcBorders>
              <w:tl2br w:val="nil"/>
              <w:tr2bl w:val="nil"/>
            </w:tcBorders>
            <w:vAlign w:val="center"/>
          </w:tcPr>
          <w:p w14:paraId="27D31C5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密度</w:t>
            </w:r>
            <w:r>
              <w:rPr>
                <w:rFonts w:ascii="Times New Roman" w:eastAsia="宋体" w:hAnsi="Times New Roman" w:cs="Times New Roman" w:hint="eastAsia"/>
                <w:kern w:val="0"/>
                <w:sz w:val="21"/>
                <w:szCs w:val="21"/>
              </w:rPr>
              <w:t>Rd</w:t>
            </w:r>
          </w:p>
          <w:p w14:paraId="68F253B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p>
        </w:tc>
        <w:tc>
          <w:tcPr>
            <w:tcW w:w="412" w:type="pct"/>
            <w:tcBorders>
              <w:tl2br w:val="nil"/>
              <w:tr2bl w:val="nil"/>
            </w:tcBorders>
            <w:vAlign w:val="center"/>
          </w:tcPr>
          <w:p w14:paraId="3383BE0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频度</w:t>
            </w:r>
            <w:r>
              <w:rPr>
                <w:rFonts w:ascii="Times New Roman" w:eastAsia="宋体" w:hAnsi="Times New Roman" w:cs="Times New Roman" w:hint="eastAsia"/>
                <w:kern w:val="0"/>
                <w:sz w:val="21"/>
                <w:szCs w:val="21"/>
              </w:rPr>
              <w:t>Rf</w:t>
            </w:r>
          </w:p>
          <w:p w14:paraId="601EAF4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p>
        </w:tc>
        <w:tc>
          <w:tcPr>
            <w:tcW w:w="412" w:type="pct"/>
            <w:tcBorders>
              <w:tl2br w:val="nil"/>
              <w:tr2bl w:val="nil"/>
            </w:tcBorders>
            <w:vAlign w:val="center"/>
          </w:tcPr>
          <w:p w14:paraId="1436CCE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优势度</w:t>
            </w:r>
            <w:r>
              <w:rPr>
                <w:rFonts w:ascii="Times New Roman" w:eastAsia="宋体" w:hAnsi="Times New Roman" w:cs="Times New Roman" w:hint="eastAsia"/>
                <w:kern w:val="0"/>
                <w:sz w:val="21"/>
                <w:szCs w:val="21"/>
              </w:rPr>
              <w:t>Do</w:t>
            </w:r>
          </w:p>
          <w:p w14:paraId="155F5D7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p>
        </w:tc>
        <w:tc>
          <w:tcPr>
            <w:tcW w:w="465" w:type="pct"/>
            <w:tcBorders>
              <w:tl2br w:val="nil"/>
              <w:tr2bl w:val="nil"/>
            </w:tcBorders>
            <w:vAlign w:val="center"/>
          </w:tcPr>
          <w:p w14:paraId="069048E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面积</w:t>
            </w:r>
          </w:p>
          <w:p w14:paraId="6849E77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hm</w:t>
            </w:r>
            <w:r>
              <w:rPr>
                <w:rFonts w:ascii="Times New Roman" w:eastAsia="宋体" w:hAnsi="Times New Roman" w:cs="Times New Roman"/>
                <w:kern w:val="0"/>
                <w:sz w:val="21"/>
                <w:szCs w:val="21"/>
                <w:vertAlign w:val="superscript"/>
              </w:rPr>
              <w:t>2</w:t>
            </w:r>
            <w:r>
              <w:rPr>
                <w:rFonts w:ascii="Times New Roman" w:eastAsia="宋体" w:hAnsi="Times New Roman" w:cs="Times New Roman"/>
                <w:kern w:val="0"/>
                <w:sz w:val="21"/>
                <w:szCs w:val="21"/>
              </w:rPr>
              <w:t>）</w:t>
            </w:r>
          </w:p>
        </w:tc>
        <w:tc>
          <w:tcPr>
            <w:tcW w:w="284" w:type="pct"/>
            <w:tcBorders>
              <w:tl2br w:val="nil"/>
              <w:tr2bl w:val="nil"/>
            </w:tcBorders>
            <w:vAlign w:val="center"/>
          </w:tcPr>
          <w:p w14:paraId="76418B6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斑块个数</w:t>
            </w:r>
          </w:p>
        </w:tc>
        <w:tc>
          <w:tcPr>
            <w:tcW w:w="371" w:type="pct"/>
            <w:tcBorders>
              <w:tl2br w:val="nil"/>
              <w:tr2bl w:val="nil"/>
            </w:tcBorders>
            <w:vAlign w:val="center"/>
          </w:tcPr>
          <w:p w14:paraId="4B8D0F8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景观</w:t>
            </w:r>
            <w:r>
              <w:rPr>
                <w:rFonts w:ascii="Times New Roman" w:eastAsia="宋体" w:hAnsi="Times New Roman" w:cs="Times New Roman"/>
                <w:kern w:val="0"/>
                <w:sz w:val="21"/>
                <w:szCs w:val="21"/>
              </w:rPr>
              <w:t>比例</w:t>
            </w:r>
            <w:r>
              <w:rPr>
                <w:rFonts w:ascii="Times New Roman" w:eastAsia="宋体" w:hAnsi="Times New Roman" w:cs="Times New Roman" w:hint="eastAsia"/>
                <w:kern w:val="0"/>
                <w:sz w:val="21"/>
                <w:szCs w:val="21"/>
              </w:rPr>
              <w:t>Lp</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p>
        </w:tc>
        <w:tc>
          <w:tcPr>
            <w:tcW w:w="412" w:type="pct"/>
            <w:tcBorders>
              <w:tl2br w:val="nil"/>
              <w:tr2bl w:val="nil"/>
            </w:tcBorders>
            <w:vAlign w:val="center"/>
          </w:tcPr>
          <w:p w14:paraId="7D9ABC9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密度</w:t>
            </w:r>
            <w:r>
              <w:rPr>
                <w:rFonts w:ascii="Times New Roman" w:eastAsia="宋体" w:hAnsi="Times New Roman" w:cs="Times New Roman" w:hint="eastAsia"/>
                <w:kern w:val="0"/>
                <w:sz w:val="21"/>
                <w:szCs w:val="21"/>
              </w:rPr>
              <w:t>Rd</w:t>
            </w:r>
          </w:p>
          <w:p w14:paraId="3441A5F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p>
        </w:tc>
        <w:tc>
          <w:tcPr>
            <w:tcW w:w="412" w:type="pct"/>
            <w:tcBorders>
              <w:tl2br w:val="nil"/>
              <w:tr2bl w:val="nil"/>
            </w:tcBorders>
            <w:vAlign w:val="center"/>
          </w:tcPr>
          <w:p w14:paraId="5588450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频度</w:t>
            </w:r>
            <w:r>
              <w:rPr>
                <w:rFonts w:ascii="Times New Roman" w:eastAsia="宋体" w:hAnsi="Times New Roman" w:cs="Times New Roman" w:hint="eastAsia"/>
                <w:kern w:val="0"/>
                <w:sz w:val="21"/>
                <w:szCs w:val="21"/>
              </w:rPr>
              <w:t>Rf</w:t>
            </w:r>
          </w:p>
          <w:p w14:paraId="67CBF62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p>
        </w:tc>
        <w:tc>
          <w:tcPr>
            <w:tcW w:w="412" w:type="pct"/>
            <w:tcBorders>
              <w:tl2br w:val="nil"/>
              <w:tr2bl w:val="nil"/>
            </w:tcBorders>
            <w:vAlign w:val="center"/>
          </w:tcPr>
          <w:p w14:paraId="16AF184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优势度</w:t>
            </w:r>
            <w:r>
              <w:rPr>
                <w:rFonts w:ascii="Times New Roman" w:eastAsia="宋体" w:hAnsi="Times New Roman" w:cs="Times New Roman" w:hint="eastAsia"/>
                <w:kern w:val="0"/>
                <w:sz w:val="21"/>
                <w:szCs w:val="21"/>
              </w:rPr>
              <w:t>Do</w:t>
            </w:r>
          </w:p>
          <w:p w14:paraId="5642202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w:t>
            </w:r>
          </w:p>
        </w:tc>
      </w:tr>
      <w:tr w:rsidR="009D12AF" w14:paraId="6B8EA3D9" w14:textId="77777777">
        <w:tc>
          <w:tcPr>
            <w:tcW w:w="284" w:type="pct"/>
            <w:tcBorders>
              <w:tl2br w:val="nil"/>
              <w:tr2bl w:val="nil"/>
            </w:tcBorders>
            <w:vAlign w:val="center"/>
          </w:tcPr>
          <w:p w14:paraId="408A91F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城镇景观</w:t>
            </w:r>
          </w:p>
        </w:tc>
        <w:tc>
          <w:tcPr>
            <w:tcW w:w="465" w:type="pct"/>
            <w:tcBorders>
              <w:tl2br w:val="nil"/>
              <w:tr2bl w:val="nil"/>
            </w:tcBorders>
            <w:vAlign w:val="center"/>
          </w:tcPr>
          <w:p w14:paraId="1F0DB8E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18.08</w:t>
            </w:r>
          </w:p>
        </w:tc>
        <w:tc>
          <w:tcPr>
            <w:tcW w:w="284" w:type="pct"/>
            <w:tcBorders>
              <w:tl2br w:val="nil"/>
              <w:tr2bl w:val="nil"/>
            </w:tcBorders>
            <w:vAlign w:val="center"/>
          </w:tcPr>
          <w:p w14:paraId="6C7BFE9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w:t>
            </w:r>
            <w:r>
              <w:rPr>
                <w:rFonts w:ascii="Times New Roman" w:eastAsia="宋体" w:hAnsi="Times New Roman" w:cs="Times New Roman" w:hint="eastAsia"/>
                <w:kern w:val="0"/>
                <w:sz w:val="21"/>
                <w:szCs w:val="21"/>
              </w:rPr>
              <w:t>5</w:t>
            </w:r>
          </w:p>
        </w:tc>
        <w:tc>
          <w:tcPr>
            <w:tcW w:w="371" w:type="pct"/>
            <w:tcBorders>
              <w:tl2br w:val="nil"/>
              <w:tr2bl w:val="nil"/>
            </w:tcBorders>
            <w:vAlign w:val="center"/>
          </w:tcPr>
          <w:p w14:paraId="6BE1C96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1.91</w:t>
            </w:r>
            <w:r>
              <w:rPr>
                <w:rFonts w:ascii="Times New Roman" w:eastAsia="宋体" w:hAnsi="Times New Roman" w:cs="Times New Roman"/>
                <w:kern w:val="0"/>
                <w:sz w:val="21"/>
                <w:szCs w:val="21"/>
              </w:rPr>
              <w:t xml:space="preserve"> </w:t>
            </w:r>
          </w:p>
        </w:tc>
        <w:tc>
          <w:tcPr>
            <w:tcW w:w="412" w:type="pct"/>
            <w:tcBorders>
              <w:tl2br w:val="nil"/>
              <w:tr2bl w:val="nil"/>
            </w:tcBorders>
            <w:vAlign w:val="center"/>
          </w:tcPr>
          <w:p w14:paraId="4FF9693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8.33</w:t>
            </w:r>
            <w:r>
              <w:rPr>
                <w:rFonts w:ascii="Times New Roman" w:eastAsia="宋体" w:hAnsi="Times New Roman" w:cs="Times New Roman"/>
                <w:kern w:val="0"/>
                <w:sz w:val="21"/>
                <w:szCs w:val="21"/>
              </w:rPr>
              <w:t xml:space="preserve"> </w:t>
            </w:r>
          </w:p>
        </w:tc>
        <w:tc>
          <w:tcPr>
            <w:tcW w:w="412" w:type="pct"/>
            <w:tcBorders>
              <w:tl2br w:val="nil"/>
              <w:tr2bl w:val="nil"/>
            </w:tcBorders>
            <w:vAlign w:val="center"/>
          </w:tcPr>
          <w:p w14:paraId="2E45236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0.00</w:t>
            </w:r>
            <w:r>
              <w:rPr>
                <w:rFonts w:ascii="Times New Roman" w:eastAsia="宋体" w:hAnsi="Times New Roman" w:cs="Times New Roman"/>
                <w:kern w:val="0"/>
                <w:sz w:val="21"/>
                <w:szCs w:val="21"/>
              </w:rPr>
              <w:t xml:space="preserve"> </w:t>
            </w:r>
          </w:p>
        </w:tc>
        <w:tc>
          <w:tcPr>
            <w:tcW w:w="412" w:type="pct"/>
            <w:tcBorders>
              <w:tl2br w:val="nil"/>
              <w:tr2bl w:val="nil"/>
            </w:tcBorders>
            <w:vAlign w:val="center"/>
          </w:tcPr>
          <w:p w14:paraId="2D6B7BB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3.03</w:t>
            </w:r>
          </w:p>
        </w:tc>
        <w:tc>
          <w:tcPr>
            <w:tcW w:w="465" w:type="pct"/>
            <w:tcBorders>
              <w:tl2br w:val="nil"/>
              <w:tr2bl w:val="nil"/>
            </w:tcBorders>
            <w:vAlign w:val="center"/>
          </w:tcPr>
          <w:p w14:paraId="0F75BA6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19.11</w:t>
            </w:r>
          </w:p>
        </w:tc>
        <w:tc>
          <w:tcPr>
            <w:tcW w:w="284" w:type="pct"/>
            <w:tcBorders>
              <w:tl2br w:val="nil"/>
              <w:tr2bl w:val="nil"/>
            </w:tcBorders>
            <w:vAlign w:val="center"/>
          </w:tcPr>
          <w:p w14:paraId="327DC21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1</w:t>
            </w:r>
            <w:r>
              <w:rPr>
                <w:rFonts w:ascii="Times New Roman" w:eastAsia="宋体" w:hAnsi="Times New Roman" w:cs="Times New Roman" w:hint="eastAsia"/>
                <w:kern w:val="0"/>
                <w:sz w:val="21"/>
                <w:szCs w:val="21"/>
              </w:rPr>
              <w:t>7</w:t>
            </w:r>
          </w:p>
        </w:tc>
        <w:tc>
          <w:tcPr>
            <w:tcW w:w="371" w:type="pct"/>
            <w:tcBorders>
              <w:tl2br w:val="nil"/>
              <w:tr2bl w:val="nil"/>
            </w:tcBorders>
            <w:vAlign w:val="center"/>
          </w:tcPr>
          <w:p w14:paraId="1D8C963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hint="eastAsia"/>
                <w:kern w:val="0"/>
                <w:sz w:val="21"/>
                <w:szCs w:val="21"/>
              </w:rPr>
              <w:t>2.01</w:t>
            </w:r>
            <w:r>
              <w:rPr>
                <w:rFonts w:ascii="Times New Roman" w:eastAsia="宋体" w:hAnsi="Times New Roman" w:cs="Times New Roman"/>
                <w:kern w:val="0"/>
                <w:sz w:val="21"/>
                <w:szCs w:val="21"/>
              </w:rPr>
              <w:t xml:space="preserve"> </w:t>
            </w:r>
          </w:p>
        </w:tc>
        <w:tc>
          <w:tcPr>
            <w:tcW w:w="412" w:type="pct"/>
            <w:tcBorders>
              <w:tl2br w:val="nil"/>
              <w:tr2bl w:val="nil"/>
            </w:tcBorders>
            <w:vAlign w:val="center"/>
          </w:tcPr>
          <w:p w14:paraId="356AD6D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hint="eastAsia"/>
                <w:kern w:val="0"/>
                <w:sz w:val="21"/>
                <w:szCs w:val="21"/>
              </w:rPr>
              <w:t>8.46</w:t>
            </w:r>
            <w:r>
              <w:rPr>
                <w:rFonts w:ascii="Times New Roman" w:eastAsia="宋体" w:hAnsi="Times New Roman" w:cs="Times New Roman"/>
                <w:kern w:val="0"/>
                <w:sz w:val="21"/>
                <w:szCs w:val="21"/>
              </w:rPr>
              <w:t xml:space="preserve"> </w:t>
            </w:r>
          </w:p>
        </w:tc>
        <w:tc>
          <w:tcPr>
            <w:tcW w:w="412" w:type="pct"/>
            <w:tcBorders>
              <w:tl2br w:val="nil"/>
              <w:tr2bl w:val="nil"/>
            </w:tcBorders>
            <w:vAlign w:val="center"/>
          </w:tcPr>
          <w:p w14:paraId="5EC0549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hint="eastAsia"/>
                <w:kern w:val="0"/>
                <w:sz w:val="21"/>
                <w:szCs w:val="21"/>
              </w:rPr>
              <w:t>0.00</w:t>
            </w:r>
            <w:r>
              <w:rPr>
                <w:rFonts w:ascii="Times New Roman" w:eastAsia="宋体" w:hAnsi="Times New Roman" w:cs="Times New Roman"/>
                <w:kern w:val="0"/>
                <w:sz w:val="21"/>
                <w:szCs w:val="21"/>
              </w:rPr>
              <w:t xml:space="preserve"> </w:t>
            </w:r>
          </w:p>
        </w:tc>
        <w:tc>
          <w:tcPr>
            <w:tcW w:w="412" w:type="pct"/>
            <w:tcBorders>
              <w:tl2br w:val="nil"/>
              <w:tr2bl w:val="nil"/>
            </w:tcBorders>
            <w:vAlign w:val="center"/>
          </w:tcPr>
          <w:p w14:paraId="137ADD7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hint="eastAsia"/>
                <w:kern w:val="0"/>
                <w:sz w:val="21"/>
                <w:szCs w:val="21"/>
              </w:rPr>
              <w:t>3.25</w:t>
            </w:r>
          </w:p>
        </w:tc>
      </w:tr>
      <w:tr w:rsidR="009D12AF" w14:paraId="079D2F49" w14:textId="77777777">
        <w:tc>
          <w:tcPr>
            <w:tcW w:w="284" w:type="pct"/>
            <w:tcBorders>
              <w:tl2br w:val="nil"/>
              <w:tr2bl w:val="nil"/>
            </w:tcBorders>
            <w:vAlign w:val="center"/>
          </w:tcPr>
          <w:p w14:paraId="5A30AD9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道路景观</w:t>
            </w:r>
          </w:p>
        </w:tc>
        <w:tc>
          <w:tcPr>
            <w:tcW w:w="465" w:type="pct"/>
            <w:tcBorders>
              <w:tl2br w:val="nil"/>
              <w:tr2bl w:val="nil"/>
            </w:tcBorders>
            <w:vAlign w:val="center"/>
          </w:tcPr>
          <w:p w14:paraId="187FB00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12.14</w:t>
            </w:r>
          </w:p>
        </w:tc>
        <w:tc>
          <w:tcPr>
            <w:tcW w:w="284" w:type="pct"/>
            <w:tcBorders>
              <w:tl2br w:val="nil"/>
              <w:tr2bl w:val="nil"/>
            </w:tcBorders>
            <w:vAlign w:val="center"/>
          </w:tcPr>
          <w:p w14:paraId="7591BFC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23</w:t>
            </w:r>
          </w:p>
        </w:tc>
        <w:tc>
          <w:tcPr>
            <w:tcW w:w="371" w:type="pct"/>
            <w:tcBorders>
              <w:tl2br w:val="nil"/>
              <w:tr2bl w:val="nil"/>
            </w:tcBorders>
            <w:vAlign w:val="center"/>
          </w:tcPr>
          <w:p w14:paraId="73774C6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1.28</w:t>
            </w:r>
            <w:r>
              <w:rPr>
                <w:rFonts w:ascii="Times New Roman" w:eastAsia="宋体" w:hAnsi="Times New Roman" w:cs="Times New Roman"/>
                <w:kern w:val="0"/>
                <w:sz w:val="21"/>
                <w:szCs w:val="21"/>
              </w:rPr>
              <w:t xml:space="preserve"> </w:t>
            </w:r>
          </w:p>
        </w:tc>
        <w:tc>
          <w:tcPr>
            <w:tcW w:w="412" w:type="pct"/>
            <w:tcBorders>
              <w:tl2br w:val="nil"/>
              <w:tr2bl w:val="nil"/>
            </w:tcBorders>
            <w:vAlign w:val="center"/>
          </w:tcPr>
          <w:p w14:paraId="42BBB34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12.78</w:t>
            </w:r>
          </w:p>
        </w:tc>
        <w:tc>
          <w:tcPr>
            <w:tcW w:w="412" w:type="pct"/>
            <w:tcBorders>
              <w:tl2br w:val="nil"/>
              <w:tr2bl w:val="nil"/>
            </w:tcBorders>
            <w:vAlign w:val="center"/>
          </w:tcPr>
          <w:p w14:paraId="35DAC31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 xml:space="preserve">0.00 </w:t>
            </w:r>
          </w:p>
        </w:tc>
        <w:tc>
          <w:tcPr>
            <w:tcW w:w="412" w:type="pct"/>
            <w:tcBorders>
              <w:tl2br w:val="nil"/>
              <w:tr2bl w:val="nil"/>
            </w:tcBorders>
            <w:vAlign w:val="center"/>
          </w:tcPr>
          <w:p w14:paraId="247AA6E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3.83</w:t>
            </w:r>
          </w:p>
        </w:tc>
        <w:tc>
          <w:tcPr>
            <w:tcW w:w="465" w:type="pct"/>
            <w:tcBorders>
              <w:tl2br w:val="nil"/>
              <w:tr2bl w:val="nil"/>
            </w:tcBorders>
            <w:vAlign w:val="center"/>
          </w:tcPr>
          <w:p w14:paraId="10613D6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12.14</w:t>
            </w:r>
          </w:p>
        </w:tc>
        <w:tc>
          <w:tcPr>
            <w:tcW w:w="284" w:type="pct"/>
            <w:tcBorders>
              <w:tl2br w:val="nil"/>
              <w:tr2bl w:val="nil"/>
            </w:tcBorders>
            <w:vAlign w:val="center"/>
          </w:tcPr>
          <w:p w14:paraId="7D7CE08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23</w:t>
            </w:r>
          </w:p>
        </w:tc>
        <w:tc>
          <w:tcPr>
            <w:tcW w:w="371" w:type="pct"/>
            <w:tcBorders>
              <w:tl2br w:val="nil"/>
              <w:tr2bl w:val="nil"/>
            </w:tcBorders>
            <w:vAlign w:val="center"/>
          </w:tcPr>
          <w:p w14:paraId="3ABE3B3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hint="eastAsia"/>
                <w:kern w:val="0"/>
                <w:sz w:val="21"/>
                <w:szCs w:val="21"/>
              </w:rPr>
              <w:t>1.28</w:t>
            </w:r>
            <w:r>
              <w:rPr>
                <w:rFonts w:ascii="Times New Roman" w:eastAsia="宋体" w:hAnsi="Times New Roman" w:cs="Times New Roman"/>
                <w:kern w:val="0"/>
                <w:sz w:val="21"/>
                <w:szCs w:val="21"/>
              </w:rPr>
              <w:t xml:space="preserve"> </w:t>
            </w:r>
          </w:p>
        </w:tc>
        <w:tc>
          <w:tcPr>
            <w:tcW w:w="412" w:type="pct"/>
            <w:tcBorders>
              <w:tl2br w:val="nil"/>
              <w:tr2bl w:val="nil"/>
            </w:tcBorders>
            <w:vAlign w:val="center"/>
          </w:tcPr>
          <w:p w14:paraId="2EF1776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hint="eastAsia"/>
                <w:kern w:val="0"/>
                <w:sz w:val="21"/>
                <w:szCs w:val="21"/>
              </w:rPr>
              <w:t>12.78</w:t>
            </w:r>
          </w:p>
        </w:tc>
        <w:tc>
          <w:tcPr>
            <w:tcW w:w="412" w:type="pct"/>
            <w:tcBorders>
              <w:tl2br w:val="nil"/>
              <w:tr2bl w:val="nil"/>
            </w:tcBorders>
            <w:vAlign w:val="center"/>
          </w:tcPr>
          <w:p w14:paraId="007F8C6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kern w:val="0"/>
                <w:sz w:val="21"/>
                <w:szCs w:val="21"/>
              </w:rPr>
              <w:t xml:space="preserve">0.00 </w:t>
            </w:r>
          </w:p>
        </w:tc>
        <w:tc>
          <w:tcPr>
            <w:tcW w:w="412" w:type="pct"/>
            <w:tcBorders>
              <w:tl2br w:val="nil"/>
              <w:tr2bl w:val="nil"/>
            </w:tcBorders>
            <w:vAlign w:val="center"/>
          </w:tcPr>
          <w:p w14:paraId="383941C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hint="eastAsia"/>
                <w:kern w:val="0"/>
                <w:sz w:val="21"/>
                <w:szCs w:val="21"/>
              </w:rPr>
              <w:t>3.83</w:t>
            </w:r>
          </w:p>
        </w:tc>
      </w:tr>
      <w:tr w:rsidR="009D12AF" w14:paraId="324B1B31" w14:textId="77777777">
        <w:tc>
          <w:tcPr>
            <w:tcW w:w="284" w:type="pct"/>
            <w:tcBorders>
              <w:tl2br w:val="nil"/>
              <w:tr2bl w:val="nil"/>
            </w:tcBorders>
            <w:vAlign w:val="center"/>
          </w:tcPr>
          <w:p w14:paraId="342BC71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耕地景观</w:t>
            </w:r>
          </w:p>
        </w:tc>
        <w:tc>
          <w:tcPr>
            <w:tcW w:w="465" w:type="pct"/>
            <w:tcBorders>
              <w:tl2br w:val="nil"/>
              <w:tr2bl w:val="nil"/>
            </w:tcBorders>
            <w:vAlign w:val="center"/>
          </w:tcPr>
          <w:p w14:paraId="0E822A8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281.10</w:t>
            </w:r>
          </w:p>
        </w:tc>
        <w:tc>
          <w:tcPr>
            <w:tcW w:w="284" w:type="pct"/>
            <w:tcBorders>
              <w:tl2br w:val="nil"/>
              <w:tr2bl w:val="nil"/>
            </w:tcBorders>
            <w:vAlign w:val="center"/>
          </w:tcPr>
          <w:p w14:paraId="32A56C9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49</w:t>
            </w:r>
          </w:p>
        </w:tc>
        <w:tc>
          <w:tcPr>
            <w:tcW w:w="371" w:type="pct"/>
            <w:tcBorders>
              <w:tl2br w:val="nil"/>
              <w:tr2bl w:val="nil"/>
            </w:tcBorders>
            <w:vAlign w:val="center"/>
          </w:tcPr>
          <w:p w14:paraId="0F43622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29.68</w:t>
            </w:r>
          </w:p>
        </w:tc>
        <w:tc>
          <w:tcPr>
            <w:tcW w:w="412" w:type="pct"/>
            <w:tcBorders>
              <w:tl2br w:val="nil"/>
              <w:tr2bl w:val="nil"/>
            </w:tcBorders>
            <w:vAlign w:val="center"/>
          </w:tcPr>
          <w:p w14:paraId="271A2E3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27.22</w:t>
            </w:r>
          </w:p>
        </w:tc>
        <w:tc>
          <w:tcPr>
            <w:tcW w:w="412" w:type="pct"/>
            <w:tcBorders>
              <w:tl2br w:val="nil"/>
              <w:tr2bl w:val="nil"/>
            </w:tcBorders>
            <w:vAlign w:val="center"/>
          </w:tcPr>
          <w:p w14:paraId="326BD3F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 xml:space="preserve">0.00 </w:t>
            </w:r>
          </w:p>
        </w:tc>
        <w:tc>
          <w:tcPr>
            <w:tcW w:w="412" w:type="pct"/>
            <w:tcBorders>
              <w:tl2br w:val="nil"/>
              <w:tr2bl w:val="nil"/>
            </w:tcBorders>
            <w:vAlign w:val="center"/>
          </w:tcPr>
          <w:p w14:paraId="6DAF785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21.65</w:t>
            </w:r>
          </w:p>
        </w:tc>
        <w:tc>
          <w:tcPr>
            <w:tcW w:w="465" w:type="pct"/>
            <w:tcBorders>
              <w:tl2br w:val="nil"/>
              <w:tr2bl w:val="nil"/>
            </w:tcBorders>
            <w:vAlign w:val="center"/>
          </w:tcPr>
          <w:p w14:paraId="7FA91BC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280.07</w:t>
            </w:r>
          </w:p>
        </w:tc>
        <w:tc>
          <w:tcPr>
            <w:tcW w:w="284" w:type="pct"/>
            <w:tcBorders>
              <w:tl2br w:val="nil"/>
              <w:tr2bl w:val="nil"/>
            </w:tcBorders>
            <w:vAlign w:val="center"/>
          </w:tcPr>
          <w:p w14:paraId="159C016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47</w:t>
            </w:r>
          </w:p>
        </w:tc>
        <w:tc>
          <w:tcPr>
            <w:tcW w:w="371" w:type="pct"/>
            <w:tcBorders>
              <w:tl2br w:val="nil"/>
              <w:tr2bl w:val="nil"/>
            </w:tcBorders>
            <w:vAlign w:val="center"/>
          </w:tcPr>
          <w:p w14:paraId="1CEEB15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hint="eastAsia"/>
                <w:kern w:val="0"/>
                <w:sz w:val="21"/>
                <w:szCs w:val="21"/>
              </w:rPr>
              <w:t>28.58</w:t>
            </w:r>
          </w:p>
        </w:tc>
        <w:tc>
          <w:tcPr>
            <w:tcW w:w="412" w:type="pct"/>
            <w:tcBorders>
              <w:tl2br w:val="nil"/>
              <w:tr2bl w:val="nil"/>
            </w:tcBorders>
            <w:vAlign w:val="center"/>
          </w:tcPr>
          <w:p w14:paraId="0C16708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hint="eastAsia"/>
                <w:kern w:val="0"/>
                <w:sz w:val="21"/>
                <w:szCs w:val="21"/>
              </w:rPr>
              <w:t>27.09</w:t>
            </w:r>
          </w:p>
        </w:tc>
        <w:tc>
          <w:tcPr>
            <w:tcW w:w="412" w:type="pct"/>
            <w:tcBorders>
              <w:tl2br w:val="nil"/>
              <w:tr2bl w:val="nil"/>
            </w:tcBorders>
            <w:vAlign w:val="center"/>
          </w:tcPr>
          <w:p w14:paraId="53E7088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kern w:val="0"/>
                <w:sz w:val="21"/>
                <w:szCs w:val="21"/>
              </w:rPr>
              <w:t xml:space="preserve">0.00 </w:t>
            </w:r>
          </w:p>
        </w:tc>
        <w:tc>
          <w:tcPr>
            <w:tcW w:w="412" w:type="pct"/>
            <w:tcBorders>
              <w:tl2br w:val="nil"/>
              <w:tr2bl w:val="nil"/>
            </w:tcBorders>
            <w:vAlign w:val="center"/>
          </w:tcPr>
          <w:p w14:paraId="613E68E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hint="eastAsia"/>
                <w:kern w:val="0"/>
                <w:sz w:val="21"/>
                <w:szCs w:val="21"/>
              </w:rPr>
              <w:t>21.43</w:t>
            </w:r>
          </w:p>
        </w:tc>
      </w:tr>
      <w:tr w:rsidR="009D12AF" w14:paraId="68CC7E54" w14:textId="77777777">
        <w:tc>
          <w:tcPr>
            <w:tcW w:w="284" w:type="pct"/>
            <w:tcBorders>
              <w:tl2br w:val="nil"/>
              <w:tr2bl w:val="nil"/>
            </w:tcBorders>
            <w:vAlign w:val="center"/>
          </w:tcPr>
          <w:p w14:paraId="065F064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林地景观</w:t>
            </w:r>
          </w:p>
        </w:tc>
        <w:tc>
          <w:tcPr>
            <w:tcW w:w="465" w:type="pct"/>
            <w:tcBorders>
              <w:tl2br w:val="nil"/>
              <w:tr2bl w:val="nil"/>
            </w:tcBorders>
            <w:vAlign w:val="center"/>
          </w:tcPr>
          <w:p w14:paraId="067FFB8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354.95</w:t>
            </w:r>
          </w:p>
        </w:tc>
        <w:tc>
          <w:tcPr>
            <w:tcW w:w="284" w:type="pct"/>
            <w:tcBorders>
              <w:tl2br w:val="nil"/>
              <w:tr2bl w:val="nil"/>
            </w:tcBorders>
            <w:vAlign w:val="center"/>
          </w:tcPr>
          <w:p w14:paraId="76E2277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46</w:t>
            </w:r>
          </w:p>
        </w:tc>
        <w:tc>
          <w:tcPr>
            <w:tcW w:w="371" w:type="pct"/>
            <w:tcBorders>
              <w:tl2br w:val="nil"/>
              <w:tr2bl w:val="nil"/>
            </w:tcBorders>
            <w:vAlign w:val="center"/>
          </w:tcPr>
          <w:p w14:paraId="5D0FDE0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37.47</w:t>
            </w:r>
          </w:p>
        </w:tc>
        <w:tc>
          <w:tcPr>
            <w:tcW w:w="412" w:type="pct"/>
            <w:tcBorders>
              <w:tl2br w:val="nil"/>
              <w:tr2bl w:val="nil"/>
            </w:tcBorders>
            <w:vAlign w:val="center"/>
          </w:tcPr>
          <w:p w14:paraId="44C4E95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25.56</w:t>
            </w:r>
          </w:p>
        </w:tc>
        <w:tc>
          <w:tcPr>
            <w:tcW w:w="412" w:type="pct"/>
            <w:tcBorders>
              <w:tl2br w:val="nil"/>
              <w:tr2bl w:val="nil"/>
            </w:tcBorders>
            <w:vAlign w:val="center"/>
          </w:tcPr>
          <w:p w14:paraId="513876B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80.00</w:t>
            </w:r>
          </w:p>
        </w:tc>
        <w:tc>
          <w:tcPr>
            <w:tcW w:w="412" w:type="pct"/>
            <w:tcBorders>
              <w:tl2br w:val="nil"/>
              <w:tr2bl w:val="nil"/>
            </w:tcBorders>
            <w:vAlign w:val="center"/>
          </w:tcPr>
          <w:p w14:paraId="7E2E0DB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45.13</w:t>
            </w:r>
            <w:r>
              <w:rPr>
                <w:rFonts w:ascii="Times New Roman" w:eastAsia="宋体" w:hAnsi="Times New Roman" w:cs="Times New Roman"/>
                <w:kern w:val="0"/>
                <w:sz w:val="21"/>
                <w:szCs w:val="21"/>
              </w:rPr>
              <w:t xml:space="preserve"> </w:t>
            </w:r>
          </w:p>
        </w:tc>
        <w:tc>
          <w:tcPr>
            <w:tcW w:w="465" w:type="pct"/>
            <w:tcBorders>
              <w:tl2br w:val="nil"/>
              <w:tr2bl w:val="nil"/>
            </w:tcBorders>
            <w:vAlign w:val="center"/>
          </w:tcPr>
          <w:p w14:paraId="47D1D04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354.95</w:t>
            </w:r>
          </w:p>
        </w:tc>
        <w:tc>
          <w:tcPr>
            <w:tcW w:w="284" w:type="pct"/>
            <w:tcBorders>
              <w:tl2br w:val="nil"/>
              <w:tr2bl w:val="nil"/>
            </w:tcBorders>
            <w:vAlign w:val="center"/>
          </w:tcPr>
          <w:p w14:paraId="5730B5C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46</w:t>
            </w:r>
          </w:p>
        </w:tc>
        <w:tc>
          <w:tcPr>
            <w:tcW w:w="371" w:type="pct"/>
            <w:tcBorders>
              <w:tl2br w:val="nil"/>
              <w:tr2bl w:val="nil"/>
            </w:tcBorders>
            <w:vAlign w:val="center"/>
          </w:tcPr>
          <w:p w14:paraId="02BA2F5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hint="eastAsia"/>
                <w:kern w:val="0"/>
                <w:sz w:val="21"/>
                <w:szCs w:val="21"/>
              </w:rPr>
              <w:t>37.47</w:t>
            </w:r>
          </w:p>
        </w:tc>
        <w:tc>
          <w:tcPr>
            <w:tcW w:w="412" w:type="pct"/>
            <w:tcBorders>
              <w:tl2br w:val="nil"/>
              <w:tr2bl w:val="nil"/>
            </w:tcBorders>
            <w:vAlign w:val="center"/>
          </w:tcPr>
          <w:p w14:paraId="3BB60DB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hint="eastAsia"/>
                <w:kern w:val="0"/>
                <w:sz w:val="21"/>
                <w:szCs w:val="21"/>
              </w:rPr>
              <w:t>25.56</w:t>
            </w:r>
          </w:p>
        </w:tc>
        <w:tc>
          <w:tcPr>
            <w:tcW w:w="412" w:type="pct"/>
            <w:tcBorders>
              <w:tl2br w:val="nil"/>
              <w:tr2bl w:val="nil"/>
            </w:tcBorders>
            <w:vAlign w:val="center"/>
          </w:tcPr>
          <w:p w14:paraId="523916C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hint="eastAsia"/>
                <w:kern w:val="0"/>
                <w:sz w:val="21"/>
                <w:szCs w:val="21"/>
              </w:rPr>
              <w:t>80.00</w:t>
            </w:r>
          </w:p>
        </w:tc>
        <w:tc>
          <w:tcPr>
            <w:tcW w:w="412" w:type="pct"/>
            <w:tcBorders>
              <w:tl2br w:val="nil"/>
              <w:tr2bl w:val="nil"/>
            </w:tcBorders>
            <w:vAlign w:val="center"/>
          </w:tcPr>
          <w:p w14:paraId="732B8CF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hint="eastAsia"/>
                <w:kern w:val="0"/>
                <w:sz w:val="21"/>
                <w:szCs w:val="21"/>
              </w:rPr>
              <w:t>45.13</w:t>
            </w:r>
            <w:r>
              <w:rPr>
                <w:rFonts w:ascii="Times New Roman" w:eastAsia="宋体" w:hAnsi="Times New Roman" w:cs="Times New Roman"/>
                <w:kern w:val="0"/>
                <w:sz w:val="21"/>
                <w:szCs w:val="21"/>
              </w:rPr>
              <w:t xml:space="preserve"> </w:t>
            </w:r>
          </w:p>
        </w:tc>
      </w:tr>
      <w:tr w:rsidR="009D12AF" w14:paraId="37A2B895" w14:textId="77777777">
        <w:tc>
          <w:tcPr>
            <w:tcW w:w="284" w:type="pct"/>
            <w:tcBorders>
              <w:tl2br w:val="nil"/>
              <w:tr2bl w:val="nil"/>
            </w:tcBorders>
            <w:vAlign w:val="center"/>
          </w:tcPr>
          <w:p w14:paraId="0817542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水域景观</w:t>
            </w:r>
          </w:p>
        </w:tc>
        <w:tc>
          <w:tcPr>
            <w:tcW w:w="465" w:type="pct"/>
            <w:tcBorders>
              <w:tl2br w:val="nil"/>
              <w:tr2bl w:val="nil"/>
            </w:tcBorders>
            <w:vAlign w:val="center"/>
          </w:tcPr>
          <w:p w14:paraId="02051F4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280.91</w:t>
            </w:r>
          </w:p>
        </w:tc>
        <w:tc>
          <w:tcPr>
            <w:tcW w:w="284" w:type="pct"/>
            <w:tcBorders>
              <w:tl2br w:val="nil"/>
              <w:tr2bl w:val="nil"/>
            </w:tcBorders>
            <w:vAlign w:val="center"/>
          </w:tcPr>
          <w:p w14:paraId="198D09C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47</w:t>
            </w:r>
          </w:p>
        </w:tc>
        <w:tc>
          <w:tcPr>
            <w:tcW w:w="371" w:type="pct"/>
            <w:tcBorders>
              <w:tl2br w:val="nil"/>
              <w:tr2bl w:val="nil"/>
            </w:tcBorders>
            <w:vAlign w:val="center"/>
          </w:tcPr>
          <w:p w14:paraId="52BE141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29.66</w:t>
            </w:r>
            <w:r>
              <w:rPr>
                <w:rFonts w:ascii="Times New Roman" w:eastAsia="宋体" w:hAnsi="Times New Roman" w:cs="Times New Roman"/>
                <w:kern w:val="0"/>
                <w:sz w:val="21"/>
                <w:szCs w:val="21"/>
              </w:rPr>
              <w:t xml:space="preserve"> </w:t>
            </w:r>
          </w:p>
        </w:tc>
        <w:tc>
          <w:tcPr>
            <w:tcW w:w="412" w:type="pct"/>
            <w:tcBorders>
              <w:tl2br w:val="nil"/>
              <w:tr2bl w:val="nil"/>
            </w:tcBorders>
            <w:vAlign w:val="center"/>
          </w:tcPr>
          <w:p w14:paraId="611537D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26.11</w:t>
            </w:r>
          </w:p>
        </w:tc>
        <w:tc>
          <w:tcPr>
            <w:tcW w:w="412" w:type="pct"/>
            <w:tcBorders>
              <w:tl2br w:val="nil"/>
              <w:tr2bl w:val="nil"/>
            </w:tcBorders>
            <w:vAlign w:val="center"/>
          </w:tcPr>
          <w:p w14:paraId="060C985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20.00</w:t>
            </w:r>
          </w:p>
        </w:tc>
        <w:tc>
          <w:tcPr>
            <w:tcW w:w="412" w:type="pct"/>
            <w:tcBorders>
              <w:tl2br w:val="nil"/>
              <w:tr2bl w:val="nil"/>
            </w:tcBorders>
            <w:vAlign w:val="center"/>
          </w:tcPr>
          <w:p w14:paraId="2C3C010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26.36</w:t>
            </w:r>
          </w:p>
        </w:tc>
        <w:tc>
          <w:tcPr>
            <w:tcW w:w="465" w:type="pct"/>
            <w:tcBorders>
              <w:tl2br w:val="nil"/>
              <w:tr2bl w:val="nil"/>
            </w:tcBorders>
            <w:vAlign w:val="center"/>
          </w:tcPr>
          <w:p w14:paraId="1500BD8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280.91</w:t>
            </w:r>
          </w:p>
        </w:tc>
        <w:tc>
          <w:tcPr>
            <w:tcW w:w="284" w:type="pct"/>
            <w:tcBorders>
              <w:tl2br w:val="nil"/>
              <w:tr2bl w:val="nil"/>
            </w:tcBorders>
            <w:vAlign w:val="center"/>
          </w:tcPr>
          <w:p w14:paraId="5873457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47</w:t>
            </w:r>
          </w:p>
        </w:tc>
        <w:tc>
          <w:tcPr>
            <w:tcW w:w="371" w:type="pct"/>
            <w:tcBorders>
              <w:tl2br w:val="nil"/>
              <w:tr2bl w:val="nil"/>
            </w:tcBorders>
            <w:vAlign w:val="center"/>
          </w:tcPr>
          <w:p w14:paraId="593D089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hint="eastAsia"/>
                <w:kern w:val="0"/>
                <w:sz w:val="21"/>
                <w:szCs w:val="21"/>
              </w:rPr>
              <w:t>29.66</w:t>
            </w:r>
            <w:r>
              <w:rPr>
                <w:rFonts w:ascii="Times New Roman" w:eastAsia="宋体" w:hAnsi="Times New Roman" w:cs="Times New Roman"/>
                <w:kern w:val="0"/>
                <w:sz w:val="21"/>
                <w:szCs w:val="21"/>
              </w:rPr>
              <w:t xml:space="preserve"> </w:t>
            </w:r>
          </w:p>
        </w:tc>
        <w:tc>
          <w:tcPr>
            <w:tcW w:w="412" w:type="pct"/>
            <w:tcBorders>
              <w:tl2br w:val="nil"/>
              <w:tr2bl w:val="nil"/>
            </w:tcBorders>
            <w:vAlign w:val="center"/>
          </w:tcPr>
          <w:p w14:paraId="157FC70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hint="eastAsia"/>
                <w:kern w:val="0"/>
                <w:sz w:val="21"/>
                <w:szCs w:val="21"/>
              </w:rPr>
              <w:t>26.11</w:t>
            </w:r>
          </w:p>
        </w:tc>
        <w:tc>
          <w:tcPr>
            <w:tcW w:w="412" w:type="pct"/>
            <w:tcBorders>
              <w:tl2br w:val="nil"/>
              <w:tr2bl w:val="nil"/>
            </w:tcBorders>
            <w:vAlign w:val="center"/>
          </w:tcPr>
          <w:p w14:paraId="62030B2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hint="eastAsia"/>
                <w:kern w:val="0"/>
                <w:sz w:val="21"/>
                <w:szCs w:val="21"/>
              </w:rPr>
              <w:t>20.00</w:t>
            </w:r>
          </w:p>
        </w:tc>
        <w:tc>
          <w:tcPr>
            <w:tcW w:w="412" w:type="pct"/>
            <w:tcBorders>
              <w:tl2br w:val="nil"/>
              <w:tr2bl w:val="nil"/>
            </w:tcBorders>
            <w:vAlign w:val="center"/>
          </w:tcPr>
          <w:p w14:paraId="29D0503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spacing w:val="6"/>
                <w:kern w:val="0"/>
                <w:sz w:val="21"/>
                <w:szCs w:val="21"/>
              </w:rPr>
            </w:pPr>
            <w:r>
              <w:rPr>
                <w:rFonts w:ascii="Times New Roman" w:eastAsia="宋体" w:hAnsi="Times New Roman" w:cs="Times New Roman" w:hint="eastAsia"/>
                <w:kern w:val="0"/>
                <w:sz w:val="21"/>
                <w:szCs w:val="21"/>
              </w:rPr>
              <w:t>26.36</w:t>
            </w:r>
          </w:p>
        </w:tc>
      </w:tr>
    </w:tbl>
    <w:p w14:paraId="788FFB1A" w14:textId="77777777" w:rsidR="009D12AF" w:rsidRDefault="009D12AF">
      <w:pPr>
        <w:ind w:firstLine="480"/>
        <w:rPr>
          <w:rFonts w:ascii="Times New Roman" w:eastAsia="宋体" w:hAnsi="Times New Roman" w:cs="Times New Roman"/>
          <w:kern w:val="0"/>
          <w:szCs w:val="20"/>
        </w:rPr>
        <w:sectPr w:rsidR="009D12AF">
          <w:pgSz w:w="16838" w:h="11906" w:orient="landscape"/>
          <w:pgMar w:top="1800" w:right="1440" w:bottom="1800" w:left="1440" w:header="851" w:footer="992" w:gutter="0"/>
          <w:cols w:space="425"/>
          <w:docGrid w:type="lines" w:linePitch="326"/>
        </w:sectPr>
      </w:pPr>
    </w:p>
    <w:p w14:paraId="46A0FF85"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lastRenderedPageBreak/>
        <w:t>由上表可知，施工期评价范围内耕地景观优势度有所降低，减少了</w:t>
      </w:r>
      <w:r>
        <w:rPr>
          <w:rFonts w:ascii="Times New Roman" w:eastAsia="宋体" w:hAnsi="Times New Roman" w:cs="Times New Roman" w:hint="eastAsia"/>
        </w:rPr>
        <w:t>0.22%</w:t>
      </w:r>
      <w:r>
        <w:rPr>
          <w:rFonts w:ascii="Times New Roman" w:eastAsia="宋体" w:hAnsi="Times New Roman" w:cs="Times New Roman" w:hint="eastAsia"/>
        </w:rPr>
        <w:t>，城镇景观优势度有所增加，增加了</w:t>
      </w:r>
      <w:r>
        <w:rPr>
          <w:rFonts w:ascii="Times New Roman" w:eastAsia="宋体" w:hAnsi="Times New Roman" w:cs="Times New Roman" w:hint="eastAsia"/>
        </w:rPr>
        <w:t>0.22%</w:t>
      </w:r>
      <w:r>
        <w:rPr>
          <w:rFonts w:ascii="Times New Roman" w:eastAsia="宋体" w:hAnsi="Times New Roman" w:cs="Times New Roman" w:hint="eastAsia"/>
        </w:rPr>
        <w:t>。</w:t>
      </w:r>
    </w:p>
    <w:p w14:paraId="29775A86" w14:textId="77777777" w:rsidR="009D12AF" w:rsidRDefault="00000000">
      <w:pPr>
        <w:numPr>
          <w:ilvl w:val="0"/>
          <w:numId w:val="8"/>
        </w:numPr>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根据本工程占地情况，工程无新增永久占地，故着重分析施工期临时占地对</w:t>
      </w:r>
      <w:r>
        <w:rPr>
          <w:rFonts w:ascii="Times New Roman" w:eastAsia="宋体" w:hAnsi="Times New Roman" w:cs="Times New Roman"/>
          <w:kern w:val="0"/>
          <w:szCs w:val="20"/>
        </w:rPr>
        <w:t>土地利用类型</w:t>
      </w:r>
      <w:r>
        <w:rPr>
          <w:rFonts w:ascii="Times New Roman" w:eastAsia="宋体" w:hAnsi="Times New Roman" w:cs="Times New Roman" w:hint="eastAsia"/>
          <w:kern w:val="0"/>
          <w:szCs w:val="20"/>
        </w:rPr>
        <w:t>影响分析，</w:t>
      </w:r>
      <w:r>
        <w:rPr>
          <w:rFonts w:ascii="Times New Roman" w:eastAsia="宋体" w:hAnsi="Times New Roman" w:cs="Times New Roman"/>
          <w:kern w:val="0"/>
          <w:szCs w:val="20"/>
        </w:rPr>
        <w:t>工程的</w:t>
      </w:r>
      <w:r>
        <w:rPr>
          <w:rFonts w:ascii="Times New Roman" w:eastAsia="宋体" w:hAnsi="Times New Roman" w:cs="Times New Roman" w:hint="eastAsia"/>
          <w:kern w:val="0"/>
          <w:szCs w:val="20"/>
        </w:rPr>
        <w:t>临时占地</w:t>
      </w:r>
      <w:r>
        <w:rPr>
          <w:rFonts w:ascii="Times New Roman" w:eastAsia="宋体" w:hAnsi="Times New Roman" w:cs="Times New Roman"/>
          <w:kern w:val="0"/>
          <w:szCs w:val="20"/>
        </w:rPr>
        <w:t>会改变土地利用类型，并造成该区域原有植被破坏，使得景观破碎化。预测结果见表</w:t>
      </w:r>
      <w:r>
        <w:rPr>
          <w:rFonts w:ascii="Times New Roman" w:eastAsia="宋体" w:hAnsi="Times New Roman" w:cs="Times New Roman" w:hint="eastAsia"/>
          <w:kern w:val="0"/>
          <w:szCs w:val="20"/>
        </w:rPr>
        <w:t>5.1-10</w:t>
      </w:r>
      <w:r>
        <w:rPr>
          <w:rFonts w:ascii="Times New Roman" w:eastAsia="宋体" w:hAnsi="Times New Roman" w:cs="Times New Roman"/>
          <w:kern w:val="0"/>
          <w:szCs w:val="20"/>
        </w:rPr>
        <w:t>。</w:t>
      </w:r>
    </w:p>
    <w:p w14:paraId="62D88BE9" w14:textId="77777777" w:rsidR="009D12AF" w:rsidRDefault="009D12AF">
      <w:pPr>
        <w:numPr>
          <w:ilvl w:val="0"/>
          <w:numId w:val="8"/>
        </w:numPr>
        <w:ind w:firstLine="480"/>
        <w:rPr>
          <w:rFonts w:ascii="Times New Roman" w:eastAsia="宋体" w:hAnsi="Times New Roman" w:cs="Times New Roman"/>
          <w:kern w:val="0"/>
          <w:szCs w:val="20"/>
        </w:rPr>
        <w:sectPr w:rsidR="009D12AF">
          <w:pgSz w:w="11906" w:h="16838"/>
          <w:pgMar w:top="1440" w:right="1800" w:bottom="1440" w:left="1800" w:header="851" w:footer="992" w:gutter="0"/>
          <w:cols w:space="425"/>
          <w:docGrid w:type="lines" w:linePitch="326"/>
        </w:sectPr>
      </w:pPr>
    </w:p>
    <w:p w14:paraId="287C638E" w14:textId="77777777" w:rsidR="009D12AF" w:rsidRDefault="009D12AF">
      <w:pPr>
        <w:ind w:leftChars="200" w:left="480" w:firstLineChars="0" w:firstLine="0"/>
        <w:rPr>
          <w:rFonts w:ascii="Times New Roman" w:eastAsia="宋体" w:hAnsi="Times New Roman" w:cs="Times New Roman"/>
          <w:kern w:val="0"/>
          <w:szCs w:val="20"/>
        </w:rPr>
      </w:pPr>
    </w:p>
    <w:p w14:paraId="4704065E" w14:textId="77777777" w:rsidR="009D12AF" w:rsidRDefault="00000000">
      <w:pPr>
        <w:widowControl/>
        <w:ind w:firstLine="482"/>
        <w:jc w:val="center"/>
        <w:rPr>
          <w:rFonts w:ascii="宋体" w:eastAsia="宋体" w:hAnsi="宋体" w:cs="宋体" w:hint="eastAsia"/>
          <w:b/>
          <w:bCs/>
          <w:kern w:val="0"/>
        </w:rPr>
      </w:pPr>
      <w:r>
        <w:rPr>
          <w:rFonts w:ascii="宋体" w:eastAsia="宋体" w:hAnsi="宋体" w:cs="宋体"/>
          <w:b/>
          <w:bCs/>
          <w:kern w:val="0"/>
        </w:rPr>
        <w:t xml:space="preserve">表 </w:t>
      </w:r>
      <w:r>
        <w:rPr>
          <w:rFonts w:ascii="Times New Roman" w:eastAsia="宋体" w:hAnsi="Times New Roman" w:cs="Times New Roman"/>
          <w:b/>
          <w:bCs/>
          <w:kern w:val="0"/>
        </w:rPr>
        <w:t>5.1-10</w:t>
      </w:r>
      <w:r>
        <w:rPr>
          <w:rFonts w:ascii="宋体" w:eastAsia="宋体" w:hAnsi="宋体" w:cs="宋体"/>
          <w:b/>
          <w:bCs/>
          <w:kern w:val="0"/>
        </w:rPr>
        <w:t>工程建设前后评价范围</w:t>
      </w:r>
      <w:r>
        <w:rPr>
          <w:rFonts w:ascii="宋体" w:eastAsia="宋体" w:hAnsi="宋体" w:cs="宋体" w:hint="eastAsia"/>
          <w:b/>
          <w:bCs/>
          <w:kern w:val="0"/>
        </w:rPr>
        <w:t>内</w:t>
      </w:r>
      <w:r>
        <w:rPr>
          <w:rFonts w:ascii="宋体" w:eastAsia="宋体" w:hAnsi="宋体" w:cs="宋体"/>
          <w:b/>
          <w:bCs/>
          <w:kern w:val="0"/>
        </w:rPr>
        <w:t>各类景观斑块指数对比</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86"/>
        <w:gridCol w:w="1355"/>
        <w:gridCol w:w="1477"/>
        <w:gridCol w:w="1250"/>
        <w:gridCol w:w="1250"/>
        <w:gridCol w:w="1259"/>
        <w:gridCol w:w="1355"/>
        <w:gridCol w:w="1480"/>
        <w:gridCol w:w="1253"/>
        <w:gridCol w:w="1250"/>
        <w:gridCol w:w="1259"/>
      </w:tblGrid>
      <w:tr w:rsidR="009D12AF" w14:paraId="0F565CDE" w14:textId="77777777">
        <w:tc>
          <w:tcPr>
            <w:tcW w:w="2673" w:type="pct"/>
            <w:gridSpan w:val="6"/>
            <w:tcBorders>
              <w:tl2br w:val="nil"/>
              <w:tr2bl w:val="nil"/>
            </w:tcBorders>
          </w:tcPr>
          <w:p w14:paraId="00751E7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现状</w:t>
            </w:r>
          </w:p>
        </w:tc>
        <w:tc>
          <w:tcPr>
            <w:tcW w:w="2326" w:type="pct"/>
            <w:gridSpan w:val="5"/>
            <w:tcBorders>
              <w:tl2br w:val="nil"/>
              <w:tr2bl w:val="nil"/>
            </w:tcBorders>
          </w:tcPr>
          <w:p w14:paraId="281D83C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施工期</w:t>
            </w:r>
          </w:p>
        </w:tc>
      </w:tr>
      <w:tr w:rsidR="009D12AF" w14:paraId="3EA0DD9D" w14:textId="77777777">
        <w:tc>
          <w:tcPr>
            <w:tcW w:w="5000" w:type="pct"/>
            <w:gridSpan w:val="11"/>
            <w:tcBorders>
              <w:tl2br w:val="nil"/>
              <w:tr2bl w:val="nil"/>
            </w:tcBorders>
          </w:tcPr>
          <w:p w14:paraId="7F35664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类型尺度特征</w:t>
            </w:r>
          </w:p>
        </w:tc>
      </w:tr>
      <w:tr w:rsidR="009D12AF" w14:paraId="59621773" w14:textId="77777777">
        <w:tc>
          <w:tcPr>
            <w:tcW w:w="348" w:type="pct"/>
            <w:tcBorders>
              <w:tl2br w:val="nil"/>
              <w:tr2bl w:val="nil"/>
            </w:tcBorders>
          </w:tcPr>
          <w:p w14:paraId="3C6293F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斑块类型</w:t>
            </w:r>
          </w:p>
        </w:tc>
        <w:tc>
          <w:tcPr>
            <w:tcW w:w="478" w:type="pct"/>
            <w:tcBorders>
              <w:tl2br w:val="nil"/>
              <w:tr2bl w:val="nil"/>
            </w:tcBorders>
          </w:tcPr>
          <w:p w14:paraId="2CD46DD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CA</w:t>
            </w:r>
          </w:p>
        </w:tc>
        <w:tc>
          <w:tcPr>
            <w:tcW w:w="521" w:type="pct"/>
            <w:tcBorders>
              <w:tl2br w:val="nil"/>
              <w:tr2bl w:val="nil"/>
            </w:tcBorders>
          </w:tcPr>
          <w:p w14:paraId="6C8585A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PLAND</w:t>
            </w:r>
          </w:p>
        </w:tc>
        <w:tc>
          <w:tcPr>
            <w:tcW w:w="441" w:type="pct"/>
            <w:tcBorders>
              <w:tl2br w:val="nil"/>
              <w:tr2bl w:val="nil"/>
            </w:tcBorders>
          </w:tcPr>
          <w:p w14:paraId="596611C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ab/>
              <w:t>LPI</w:t>
            </w:r>
          </w:p>
        </w:tc>
        <w:tc>
          <w:tcPr>
            <w:tcW w:w="441" w:type="pct"/>
            <w:tcBorders>
              <w:tl2br w:val="nil"/>
              <w:tr2bl w:val="nil"/>
            </w:tcBorders>
          </w:tcPr>
          <w:p w14:paraId="3BC476D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ab/>
              <w:t>IJI</w:t>
            </w:r>
          </w:p>
        </w:tc>
        <w:tc>
          <w:tcPr>
            <w:tcW w:w="441" w:type="pct"/>
            <w:tcBorders>
              <w:tl2br w:val="nil"/>
              <w:tr2bl w:val="nil"/>
            </w:tcBorders>
          </w:tcPr>
          <w:p w14:paraId="7B0F68B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AI</w:t>
            </w:r>
          </w:p>
        </w:tc>
        <w:tc>
          <w:tcPr>
            <w:tcW w:w="478" w:type="pct"/>
            <w:tcBorders>
              <w:tl2br w:val="nil"/>
              <w:tr2bl w:val="nil"/>
            </w:tcBorders>
          </w:tcPr>
          <w:p w14:paraId="1930720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CA</w:t>
            </w:r>
          </w:p>
        </w:tc>
        <w:tc>
          <w:tcPr>
            <w:tcW w:w="522" w:type="pct"/>
            <w:tcBorders>
              <w:tl2br w:val="nil"/>
              <w:tr2bl w:val="nil"/>
            </w:tcBorders>
          </w:tcPr>
          <w:p w14:paraId="7292FF4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PLAND</w:t>
            </w:r>
          </w:p>
        </w:tc>
        <w:tc>
          <w:tcPr>
            <w:tcW w:w="441" w:type="pct"/>
            <w:tcBorders>
              <w:tl2br w:val="nil"/>
              <w:tr2bl w:val="nil"/>
            </w:tcBorders>
          </w:tcPr>
          <w:p w14:paraId="0C595D3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ab/>
              <w:t>LPI</w:t>
            </w:r>
          </w:p>
        </w:tc>
        <w:tc>
          <w:tcPr>
            <w:tcW w:w="441" w:type="pct"/>
            <w:tcBorders>
              <w:tl2br w:val="nil"/>
              <w:tr2bl w:val="nil"/>
            </w:tcBorders>
          </w:tcPr>
          <w:p w14:paraId="5B59761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ab/>
              <w:t>IJI</w:t>
            </w:r>
          </w:p>
        </w:tc>
        <w:tc>
          <w:tcPr>
            <w:tcW w:w="441" w:type="pct"/>
            <w:tcBorders>
              <w:tl2br w:val="nil"/>
              <w:tr2bl w:val="nil"/>
            </w:tcBorders>
          </w:tcPr>
          <w:p w14:paraId="1215622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AI</w:t>
            </w:r>
          </w:p>
        </w:tc>
      </w:tr>
      <w:tr w:rsidR="009D12AF" w14:paraId="4051D9AE" w14:textId="77777777">
        <w:tc>
          <w:tcPr>
            <w:tcW w:w="348" w:type="pct"/>
            <w:tcBorders>
              <w:tl2br w:val="nil"/>
              <w:tr2bl w:val="nil"/>
            </w:tcBorders>
          </w:tcPr>
          <w:p w14:paraId="232A8EF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河流水面</w:t>
            </w:r>
          </w:p>
        </w:tc>
        <w:tc>
          <w:tcPr>
            <w:tcW w:w="478" w:type="pct"/>
            <w:tcBorders>
              <w:tl2br w:val="nil"/>
              <w:tr2bl w:val="nil"/>
            </w:tcBorders>
          </w:tcPr>
          <w:p w14:paraId="32BB5AB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220.32</w:t>
            </w:r>
          </w:p>
        </w:tc>
        <w:tc>
          <w:tcPr>
            <w:tcW w:w="521" w:type="pct"/>
            <w:tcBorders>
              <w:tl2br w:val="nil"/>
              <w:tr2bl w:val="nil"/>
            </w:tcBorders>
          </w:tcPr>
          <w:p w14:paraId="589324A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23.25</w:t>
            </w:r>
          </w:p>
        </w:tc>
        <w:tc>
          <w:tcPr>
            <w:tcW w:w="441" w:type="pct"/>
            <w:tcBorders>
              <w:tl2br w:val="nil"/>
              <w:tr2bl w:val="nil"/>
            </w:tcBorders>
          </w:tcPr>
          <w:p w14:paraId="1FF1C0C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10.11</w:t>
            </w:r>
          </w:p>
        </w:tc>
        <w:tc>
          <w:tcPr>
            <w:tcW w:w="441" w:type="pct"/>
            <w:tcBorders>
              <w:tl2br w:val="nil"/>
              <w:tr2bl w:val="nil"/>
            </w:tcBorders>
          </w:tcPr>
          <w:p w14:paraId="187E8A2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58.51</w:t>
            </w:r>
          </w:p>
        </w:tc>
        <w:tc>
          <w:tcPr>
            <w:tcW w:w="441" w:type="pct"/>
            <w:tcBorders>
              <w:tl2br w:val="nil"/>
              <w:tr2bl w:val="nil"/>
            </w:tcBorders>
          </w:tcPr>
          <w:p w14:paraId="4986186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88.42</w:t>
            </w:r>
          </w:p>
        </w:tc>
        <w:tc>
          <w:tcPr>
            <w:tcW w:w="478" w:type="pct"/>
            <w:tcBorders>
              <w:tl2br w:val="nil"/>
              <w:tr2bl w:val="nil"/>
            </w:tcBorders>
          </w:tcPr>
          <w:p w14:paraId="3862663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220.32</w:t>
            </w:r>
          </w:p>
        </w:tc>
        <w:tc>
          <w:tcPr>
            <w:tcW w:w="522" w:type="pct"/>
            <w:tcBorders>
              <w:tl2br w:val="nil"/>
              <w:tr2bl w:val="nil"/>
            </w:tcBorders>
          </w:tcPr>
          <w:p w14:paraId="31F8BE3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23.25</w:t>
            </w:r>
          </w:p>
        </w:tc>
        <w:tc>
          <w:tcPr>
            <w:tcW w:w="441" w:type="pct"/>
            <w:tcBorders>
              <w:tl2br w:val="nil"/>
              <w:tr2bl w:val="nil"/>
            </w:tcBorders>
          </w:tcPr>
          <w:p w14:paraId="2EA673E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10.11</w:t>
            </w:r>
          </w:p>
        </w:tc>
        <w:tc>
          <w:tcPr>
            <w:tcW w:w="441" w:type="pct"/>
            <w:tcBorders>
              <w:tl2br w:val="nil"/>
              <w:tr2bl w:val="nil"/>
            </w:tcBorders>
          </w:tcPr>
          <w:p w14:paraId="42B99E5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58.51</w:t>
            </w:r>
          </w:p>
        </w:tc>
        <w:tc>
          <w:tcPr>
            <w:tcW w:w="441" w:type="pct"/>
            <w:tcBorders>
              <w:tl2br w:val="nil"/>
              <w:tr2bl w:val="nil"/>
            </w:tcBorders>
          </w:tcPr>
          <w:p w14:paraId="65FD452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88.42</w:t>
            </w:r>
          </w:p>
        </w:tc>
      </w:tr>
      <w:tr w:rsidR="009D12AF" w14:paraId="172A8539" w14:textId="77777777">
        <w:tc>
          <w:tcPr>
            <w:tcW w:w="348" w:type="pct"/>
            <w:tcBorders>
              <w:tl2br w:val="nil"/>
              <w:tr2bl w:val="nil"/>
            </w:tcBorders>
          </w:tcPr>
          <w:p w14:paraId="1F18C81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乔木林地</w:t>
            </w:r>
          </w:p>
        </w:tc>
        <w:tc>
          <w:tcPr>
            <w:tcW w:w="478" w:type="pct"/>
            <w:tcBorders>
              <w:tl2br w:val="nil"/>
              <w:tr2bl w:val="nil"/>
            </w:tcBorders>
          </w:tcPr>
          <w:p w14:paraId="14C213E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348.75</w:t>
            </w:r>
          </w:p>
        </w:tc>
        <w:tc>
          <w:tcPr>
            <w:tcW w:w="521" w:type="pct"/>
            <w:tcBorders>
              <w:tl2br w:val="nil"/>
              <w:tr2bl w:val="nil"/>
            </w:tcBorders>
          </w:tcPr>
          <w:p w14:paraId="7483033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36.80</w:t>
            </w:r>
          </w:p>
        </w:tc>
        <w:tc>
          <w:tcPr>
            <w:tcW w:w="441" w:type="pct"/>
            <w:tcBorders>
              <w:tl2br w:val="nil"/>
              <w:tr2bl w:val="nil"/>
            </w:tcBorders>
          </w:tcPr>
          <w:p w14:paraId="611F8E4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22.67</w:t>
            </w:r>
          </w:p>
        </w:tc>
        <w:tc>
          <w:tcPr>
            <w:tcW w:w="441" w:type="pct"/>
            <w:tcBorders>
              <w:tl2br w:val="nil"/>
              <w:tr2bl w:val="nil"/>
            </w:tcBorders>
          </w:tcPr>
          <w:p w14:paraId="12A21B4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69.32</w:t>
            </w:r>
          </w:p>
        </w:tc>
        <w:tc>
          <w:tcPr>
            <w:tcW w:w="441" w:type="pct"/>
            <w:tcBorders>
              <w:tl2br w:val="nil"/>
              <w:tr2bl w:val="nil"/>
            </w:tcBorders>
          </w:tcPr>
          <w:p w14:paraId="6FFD325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94.43</w:t>
            </w:r>
          </w:p>
        </w:tc>
        <w:tc>
          <w:tcPr>
            <w:tcW w:w="478" w:type="pct"/>
            <w:tcBorders>
              <w:tl2br w:val="nil"/>
              <w:tr2bl w:val="nil"/>
            </w:tcBorders>
          </w:tcPr>
          <w:p w14:paraId="5F80C1E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348.75</w:t>
            </w:r>
          </w:p>
        </w:tc>
        <w:tc>
          <w:tcPr>
            <w:tcW w:w="522" w:type="pct"/>
            <w:tcBorders>
              <w:tl2br w:val="nil"/>
              <w:tr2bl w:val="nil"/>
            </w:tcBorders>
          </w:tcPr>
          <w:p w14:paraId="699C228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36.80</w:t>
            </w:r>
          </w:p>
        </w:tc>
        <w:tc>
          <w:tcPr>
            <w:tcW w:w="441" w:type="pct"/>
            <w:tcBorders>
              <w:tl2br w:val="nil"/>
              <w:tr2bl w:val="nil"/>
            </w:tcBorders>
          </w:tcPr>
          <w:p w14:paraId="25E5337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22.67</w:t>
            </w:r>
          </w:p>
        </w:tc>
        <w:tc>
          <w:tcPr>
            <w:tcW w:w="441" w:type="pct"/>
            <w:tcBorders>
              <w:tl2br w:val="nil"/>
              <w:tr2bl w:val="nil"/>
            </w:tcBorders>
          </w:tcPr>
          <w:p w14:paraId="64F42C5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69.32</w:t>
            </w:r>
          </w:p>
        </w:tc>
        <w:tc>
          <w:tcPr>
            <w:tcW w:w="441" w:type="pct"/>
            <w:tcBorders>
              <w:tl2br w:val="nil"/>
              <w:tr2bl w:val="nil"/>
            </w:tcBorders>
          </w:tcPr>
          <w:p w14:paraId="0655730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94.43</w:t>
            </w:r>
          </w:p>
        </w:tc>
      </w:tr>
      <w:tr w:rsidR="009D12AF" w14:paraId="5D6F62A0" w14:textId="77777777">
        <w:tc>
          <w:tcPr>
            <w:tcW w:w="348" w:type="pct"/>
            <w:tcBorders>
              <w:tl2br w:val="nil"/>
              <w:tr2bl w:val="nil"/>
            </w:tcBorders>
          </w:tcPr>
          <w:p w14:paraId="55459F9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旱地</w:t>
            </w:r>
          </w:p>
        </w:tc>
        <w:tc>
          <w:tcPr>
            <w:tcW w:w="478" w:type="pct"/>
            <w:tcBorders>
              <w:tl2br w:val="nil"/>
              <w:tr2bl w:val="nil"/>
            </w:tcBorders>
          </w:tcPr>
          <w:p w14:paraId="6B08536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281.88</w:t>
            </w:r>
          </w:p>
        </w:tc>
        <w:tc>
          <w:tcPr>
            <w:tcW w:w="521" w:type="pct"/>
            <w:tcBorders>
              <w:tl2br w:val="nil"/>
              <w:tr2bl w:val="nil"/>
            </w:tcBorders>
          </w:tcPr>
          <w:p w14:paraId="397541D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29.74</w:t>
            </w:r>
          </w:p>
        </w:tc>
        <w:tc>
          <w:tcPr>
            <w:tcW w:w="441" w:type="pct"/>
            <w:tcBorders>
              <w:tl2br w:val="nil"/>
              <w:tr2bl w:val="nil"/>
            </w:tcBorders>
          </w:tcPr>
          <w:p w14:paraId="626B5BE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13.45</w:t>
            </w:r>
          </w:p>
        </w:tc>
        <w:tc>
          <w:tcPr>
            <w:tcW w:w="441" w:type="pct"/>
            <w:tcBorders>
              <w:tl2br w:val="nil"/>
              <w:tr2bl w:val="nil"/>
            </w:tcBorders>
          </w:tcPr>
          <w:p w14:paraId="4BB25AE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57.40</w:t>
            </w:r>
          </w:p>
        </w:tc>
        <w:tc>
          <w:tcPr>
            <w:tcW w:w="441" w:type="pct"/>
            <w:tcBorders>
              <w:tl2br w:val="nil"/>
              <w:tr2bl w:val="nil"/>
            </w:tcBorders>
          </w:tcPr>
          <w:p w14:paraId="1455440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82.36</w:t>
            </w:r>
          </w:p>
        </w:tc>
        <w:tc>
          <w:tcPr>
            <w:tcW w:w="478" w:type="pct"/>
            <w:tcBorders>
              <w:tl2br w:val="nil"/>
              <w:tr2bl w:val="nil"/>
            </w:tcBorders>
          </w:tcPr>
          <w:p w14:paraId="261F95A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280.21</w:t>
            </w:r>
          </w:p>
        </w:tc>
        <w:tc>
          <w:tcPr>
            <w:tcW w:w="522" w:type="pct"/>
            <w:tcBorders>
              <w:tl2br w:val="nil"/>
              <w:tr2bl w:val="nil"/>
            </w:tcBorders>
          </w:tcPr>
          <w:p w14:paraId="24BD5B6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29.68</w:t>
            </w:r>
          </w:p>
        </w:tc>
        <w:tc>
          <w:tcPr>
            <w:tcW w:w="441" w:type="pct"/>
            <w:tcBorders>
              <w:tl2br w:val="nil"/>
              <w:tr2bl w:val="nil"/>
            </w:tcBorders>
          </w:tcPr>
          <w:p w14:paraId="0F690EB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13.43</w:t>
            </w:r>
          </w:p>
        </w:tc>
        <w:tc>
          <w:tcPr>
            <w:tcW w:w="441" w:type="pct"/>
            <w:tcBorders>
              <w:tl2br w:val="nil"/>
              <w:tr2bl w:val="nil"/>
            </w:tcBorders>
          </w:tcPr>
          <w:p w14:paraId="4C6612B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57.28</w:t>
            </w:r>
          </w:p>
        </w:tc>
        <w:tc>
          <w:tcPr>
            <w:tcW w:w="441" w:type="pct"/>
            <w:tcBorders>
              <w:tl2br w:val="nil"/>
              <w:tr2bl w:val="nil"/>
            </w:tcBorders>
          </w:tcPr>
          <w:p w14:paraId="02E9C67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82.03</w:t>
            </w:r>
          </w:p>
        </w:tc>
      </w:tr>
      <w:tr w:rsidR="009D12AF" w14:paraId="60FC32CA" w14:textId="77777777">
        <w:tc>
          <w:tcPr>
            <w:tcW w:w="348" w:type="pct"/>
            <w:tcBorders>
              <w:tl2br w:val="nil"/>
              <w:tr2bl w:val="nil"/>
            </w:tcBorders>
          </w:tcPr>
          <w:p w14:paraId="1527721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农村宅基地</w:t>
            </w:r>
          </w:p>
        </w:tc>
        <w:tc>
          <w:tcPr>
            <w:tcW w:w="478" w:type="pct"/>
            <w:tcBorders>
              <w:tl2br w:val="nil"/>
              <w:tr2bl w:val="nil"/>
            </w:tcBorders>
          </w:tcPr>
          <w:p w14:paraId="25509E4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18.36</w:t>
            </w:r>
          </w:p>
        </w:tc>
        <w:tc>
          <w:tcPr>
            <w:tcW w:w="521" w:type="pct"/>
            <w:tcBorders>
              <w:tl2br w:val="nil"/>
              <w:tr2bl w:val="nil"/>
            </w:tcBorders>
          </w:tcPr>
          <w:p w14:paraId="20D5771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1.94</w:t>
            </w:r>
          </w:p>
        </w:tc>
        <w:tc>
          <w:tcPr>
            <w:tcW w:w="441" w:type="pct"/>
            <w:tcBorders>
              <w:tl2br w:val="nil"/>
              <w:tr2bl w:val="nil"/>
            </w:tcBorders>
          </w:tcPr>
          <w:p w14:paraId="3846910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1.73</w:t>
            </w:r>
          </w:p>
        </w:tc>
        <w:tc>
          <w:tcPr>
            <w:tcW w:w="441" w:type="pct"/>
            <w:tcBorders>
              <w:tl2br w:val="nil"/>
              <w:tr2bl w:val="nil"/>
            </w:tcBorders>
          </w:tcPr>
          <w:p w14:paraId="0635E9E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54.47</w:t>
            </w:r>
          </w:p>
        </w:tc>
        <w:tc>
          <w:tcPr>
            <w:tcW w:w="441" w:type="pct"/>
            <w:tcBorders>
              <w:tl2br w:val="nil"/>
              <w:tr2bl w:val="nil"/>
            </w:tcBorders>
          </w:tcPr>
          <w:p w14:paraId="5D5ACCC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59.13</w:t>
            </w:r>
          </w:p>
        </w:tc>
        <w:tc>
          <w:tcPr>
            <w:tcW w:w="478" w:type="pct"/>
            <w:tcBorders>
              <w:tl2br w:val="nil"/>
              <w:tr2bl w:val="nil"/>
            </w:tcBorders>
          </w:tcPr>
          <w:p w14:paraId="7F6FFA2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18.75</w:t>
            </w:r>
          </w:p>
        </w:tc>
        <w:tc>
          <w:tcPr>
            <w:tcW w:w="522" w:type="pct"/>
            <w:tcBorders>
              <w:tl2br w:val="nil"/>
              <w:tr2bl w:val="nil"/>
            </w:tcBorders>
          </w:tcPr>
          <w:p w14:paraId="05DC01D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1.94</w:t>
            </w:r>
          </w:p>
        </w:tc>
        <w:tc>
          <w:tcPr>
            <w:tcW w:w="441" w:type="pct"/>
            <w:tcBorders>
              <w:tl2br w:val="nil"/>
              <w:tr2bl w:val="nil"/>
            </w:tcBorders>
          </w:tcPr>
          <w:p w14:paraId="6440132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1.74</w:t>
            </w:r>
          </w:p>
        </w:tc>
        <w:tc>
          <w:tcPr>
            <w:tcW w:w="441" w:type="pct"/>
            <w:tcBorders>
              <w:tl2br w:val="nil"/>
              <w:tr2bl w:val="nil"/>
            </w:tcBorders>
          </w:tcPr>
          <w:p w14:paraId="092CF01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54.62</w:t>
            </w:r>
          </w:p>
        </w:tc>
        <w:tc>
          <w:tcPr>
            <w:tcW w:w="441" w:type="pct"/>
            <w:tcBorders>
              <w:tl2br w:val="nil"/>
              <w:tr2bl w:val="nil"/>
            </w:tcBorders>
          </w:tcPr>
          <w:p w14:paraId="1C04033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59.23</w:t>
            </w:r>
          </w:p>
        </w:tc>
      </w:tr>
      <w:tr w:rsidR="009D12AF" w14:paraId="4B3E3A6C" w14:textId="77777777">
        <w:tc>
          <w:tcPr>
            <w:tcW w:w="348" w:type="pct"/>
            <w:tcBorders>
              <w:tl2br w:val="nil"/>
              <w:tr2bl w:val="nil"/>
            </w:tcBorders>
          </w:tcPr>
          <w:p w14:paraId="4635591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其他林地</w:t>
            </w:r>
          </w:p>
        </w:tc>
        <w:tc>
          <w:tcPr>
            <w:tcW w:w="478" w:type="pct"/>
            <w:tcBorders>
              <w:tl2br w:val="nil"/>
              <w:tr2bl w:val="nil"/>
            </w:tcBorders>
          </w:tcPr>
          <w:p w14:paraId="07A845F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4.14</w:t>
            </w:r>
          </w:p>
        </w:tc>
        <w:tc>
          <w:tcPr>
            <w:tcW w:w="521" w:type="pct"/>
            <w:tcBorders>
              <w:tl2br w:val="nil"/>
              <w:tr2bl w:val="nil"/>
            </w:tcBorders>
          </w:tcPr>
          <w:p w14:paraId="5D90D07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0.44</w:t>
            </w:r>
          </w:p>
        </w:tc>
        <w:tc>
          <w:tcPr>
            <w:tcW w:w="441" w:type="pct"/>
            <w:tcBorders>
              <w:tl2br w:val="nil"/>
              <w:tr2bl w:val="nil"/>
            </w:tcBorders>
          </w:tcPr>
          <w:p w14:paraId="17999CB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0.27</w:t>
            </w:r>
          </w:p>
        </w:tc>
        <w:tc>
          <w:tcPr>
            <w:tcW w:w="441" w:type="pct"/>
            <w:tcBorders>
              <w:tl2br w:val="nil"/>
              <w:tr2bl w:val="nil"/>
            </w:tcBorders>
          </w:tcPr>
          <w:p w14:paraId="7B1D5F7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39.07</w:t>
            </w:r>
          </w:p>
        </w:tc>
        <w:tc>
          <w:tcPr>
            <w:tcW w:w="441" w:type="pct"/>
            <w:tcBorders>
              <w:tl2br w:val="nil"/>
              <w:tr2bl w:val="nil"/>
            </w:tcBorders>
          </w:tcPr>
          <w:p w14:paraId="30E402F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56.41</w:t>
            </w:r>
          </w:p>
        </w:tc>
        <w:tc>
          <w:tcPr>
            <w:tcW w:w="478" w:type="pct"/>
            <w:tcBorders>
              <w:tl2br w:val="nil"/>
              <w:tr2bl w:val="nil"/>
            </w:tcBorders>
          </w:tcPr>
          <w:p w14:paraId="36519FB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4.14</w:t>
            </w:r>
          </w:p>
        </w:tc>
        <w:tc>
          <w:tcPr>
            <w:tcW w:w="522" w:type="pct"/>
            <w:tcBorders>
              <w:tl2br w:val="nil"/>
              <w:tr2bl w:val="nil"/>
            </w:tcBorders>
          </w:tcPr>
          <w:p w14:paraId="7468B98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0.44</w:t>
            </w:r>
          </w:p>
        </w:tc>
        <w:tc>
          <w:tcPr>
            <w:tcW w:w="441" w:type="pct"/>
            <w:tcBorders>
              <w:tl2br w:val="nil"/>
              <w:tr2bl w:val="nil"/>
            </w:tcBorders>
          </w:tcPr>
          <w:p w14:paraId="70A20A3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0.27</w:t>
            </w:r>
          </w:p>
        </w:tc>
        <w:tc>
          <w:tcPr>
            <w:tcW w:w="441" w:type="pct"/>
            <w:tcBorders>
              <w:tl2br w:val="nil"/>
              <w:tr2bl w:val="nil"/>
            </w:tcBorders>
          </w:tcPr>
          <w:p w14:paraId="136DE2C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39.07</w:t>
            </w:r>
          </w:p>
        </w:tc>
        <w:tc>
          <w:tcPr>
            <w:tcW w:w="441" w:type="pct"/>
            <w:tcBorders>
              <w:tl2br w:val="nil"/>
              <w:tr2bl w:val="nil"/>
            </w:tcBorders>
          </w:tcPr>
          <w:p w14:paraId="79A1B23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56.41</w:t>
            </w:r>
          </w:p>
        </w:tc>
      </w:tr>
      <w:tr w:rsidR="009D12AF" w14:paraId="676D7178" w14:textId="77777777">
        <w:tc>
          <w:tcPr>
            <w:tcW w:w="348" w:type="pct"/>
            <w:tcBorders>
              <w:tl2br w:val="nil"/>
              <w:tr2bl w:val="nil"/>
            </w:tcBorders>
          </w:tcPr>
          <w:p w14:paraId="2D5430A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沼泽草地</w:t>
            </w:r>
          </w:p>
        </w:tc>
        <w:tc>
          <w:tcPr>
            <w:tcW w:w="478" w:type="pct"/>
            <w:tcBorders>
              <w:tl2br w:val="nil"/>
              <w:tr2bl w:val="nil"/>
            </w:tcBorders>
          </w:tcPr>
          <w:p w14:paraId="11DB545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58.77</w:t>
            </w:r>
          </w:p>
        </w:tc>
        <w:tc>
          <w:tcPr>
            <w:tcW w:w="521" w:type="pct"/>
            <w:tcBorders>
              <w:tl2br w:val="nil"/>
              <w:tr2bl w:val="nil"/>
            </w:tcBorders>
          </w:tcPr>
          <w:p w14:paraId="263EF64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6.20</w:t>
            </w:r>
          </w:p>
        </w:tc>
        <w:tc>
          <w:tcPr>
            <w:tcW w:w="441" w:type="pct"/>
            <w:tcBorders>
              <w:tl2br w:val="nil"/>
              <w:tr2bl w:val="nil"/>
            </w:tcBorders>
          </w:tcPr>
          <w:p w14:paraId="587BD55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3.62</w:t>
            </w:r>
          </w:p>
        </w:tc>
        <w:tc>
          <w:tcPr>
            <w:tcW w:w="441" w:type="pct"/>
            <w:tcBorders>
              <w:tl2br w:val="nil"/>
              <w:tr2bl w:val="nil"/>
            </w:tcBorders>
          </w:tcPr>
          <w:p w14:paraId="21B5587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35.91</w:t>
            </w:r>
          </w:p>
        </w:tc>
        <w:tc>
          <w:tcPr>
            <w:tcW w:w="441" w:type="pct"/>
            <w:tcBorders>
              <w:tl2br w:val="nil"/>
              <w:tr2bl w:val="nil"/>
            </w:tcBorders>
          </w:tcPr>
          <w:p w14:paraId="45103EA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90.83</w:t>
            </w:r>
          </w:p>
        </w:tc>
        <w:tc>
          <w:tcPr>
            <w:tcW w:w="478" w:type="pct"/>
            <w:tcBorders>
              <w:tl2br w:val="nil"/>
              <w:tr2bl w:val="nil"/>
            </w:tcBorders>
          </w:tcPr>
          <w:p w14:paraId="1B40499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58.77</w:t>
            </w:r>
          </w:p>
        </w:tc>
        <w:tc>
          <w:tcPr>
            <w:tcW w:w="522" w:type="pct"/>
            <w:tcBorders>
              <w:tl2br w:val="nil"/>
              <w:tr2bl w:val="nil"/>
            </w:tcBorders>
          </w:tcPr>
          <w:p w14:paraId="0C53CCD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6.20</w:t>
            </w:r>
          </w:p>
        </w:tc>
        <w:tc>
          <w:tcPr>
            <w:tcW w:w="441" w:type="pct"/>
            <w:tcBorders>
              <w:tl2br w:val="nil"/>
              <w:tr2bl w:val="nil"/>
            </w:tcBorders>
          </w:tcPr>
          <w:p w14:paraId="05E5592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3.62</w:t>
            </w:r>
          </w:p>
        </w:tc>
        <w:tc>
          <w:tcPr>
            <w:tcW w:w="441" w:type="pct"/>
            <w:tcBorders>
              <w:tl2br w:val="nil"/>
              <w:tr2bl w:val="nil"/>
            </w:tcBorders>
          </w:tcPr>
          <w:p w14:paraId="4A99DDD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35.91</w:t>
            </w:r>
          </w:p>
        </w:tc>
        <w:tc>
          <w:tcPr>
            <w:tcW w:w="441" w:type="pct"/>
            <w:tcBorders>
              <w:tl2br w:val="nil"/>
              <w:tr2bl w:val="nil"/>
            </w:tcBorders>
          </w:tcPr>
          <w:p w14:paraId="0BE1906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90.83</w:t>
            </w:r>
          </w:p>
        </w:tc>
      </w:tr>
      <w:tr w:rsidR="009D12AF" w14:paraId="000415EB" w14:textId="77777777">
        <w:tc>
          <w:tcPr>
            <w:tcW w:w="348" w:type="pct"/>
            <w:tcBorders>
              <w:tl2br w:val="nil"/>
              <w:tr2bl w:val="nil"/>
            </w:tcBorders>
          </w:tcPr>
          <w:p w14:paraId="6CA6EF5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公路用地</w:t>
            </w:r>
          </w:p>
        </w:tc>
        <w:tc>
          <w:tcPr>
            <w:tcW w:w="478" w:type="pct"/>
            <w:tcBorders>
              <w:tl2br w:val="nil"/>
              <w:tr2bl w:val="nil"/>
            </w:tcBorders>
          </w:tcPr>
          <w:p w14:paraId="5B37F7C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3.78</w:t>
            </w:r>
          </w:p>
        </w:tc>
        <w:tc>
          <w:tcPr>
            <w:tcW w:w="521" w:type="pct"/>
            <w:tcBorders>
              <w:tl2br w:val="nil"/>
              <w:tr2bl w:val="nil"/>
            </w:tcBorders>
          </w:tcPr>
          <w:p w14:paraId="0D286E6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0.40</w:t>
            </w:r>
          </w:p>
        </w:tc>
        <w:tc>
          <w:tcPr>
            <w:tcW w:w="441" w:type="pct"/>
            <w:tcBorders>
              <w:tl2br w:val="nil"/>
              <w:tr2bl w:val="nil"/>
            </w:tcBorders>
          </w:tcPr>
          <w:p w14:paraId="631F026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0.06</w:t>
            </w:r>
          </w:p>
        </w:tc>
        <w:tc>
          <w:tcPr>
            <w:tcW w:w="441" w:type="pct"/>
            <w:tcBorders>
              <w:tl2br w:val="nil"/>
              <w:tr2bl w:val="nil"/>
            </w:tcBorders>
          </w:tcPr>
          <w:p w14:paraId="37AB5B9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36.12</w:t>
            </w:r>
          </w:p>
        </w:tc>
        <w:tc>
          <w:tcPr>
            <w:tcW w:w="441" w:type="pct"/>
            <w:tcBorders>
              <w:tl2br w:val="nil"/>
              <w:tr2bl w:val="nil"/>
            </w:tcBorders>
          </w:tcPr>
          <w:p w14:paraId="43E4AE1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15.49</w:t>
            </w:r>
          </w:p>
        </w:tc>
        <w:tc>
          <w:tcPr>
            <w:tcW w:w="478" w:type="pct"/>
            <w:tcBorders>
              <w:tl2br w:val="nil"/>
              <w:tr2bl w:val="nil"/>
            </w:tcBorders>
          </w:tcPr>
          <w:p w14:paraId="36F71E6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3.78</w:t>
            </w:r>
          </w:p>
        </w:tc>
        <w:tc>
          <w:tcPr>
            <w:tcW w:w="522" w:type="pct"/>
            <w:tcBorders>
              <w:tl2br w:val="nil"/>
              <w:tr2bl w:val="nil"/>
            </w:tcBorders>
          </w:tcPr>
          <w:p w14:paraId="4155B61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0.40</w:t>
            </w:r>
          </w:p>
        </w:tc>
        <w:tc>
          <w:tcPr>
            <w:tcW w:w="441" w:type="pct"/>
            <w:tcBorders>
              <w:tl2br w:val="nil"/>
              <w:tr2bl w:val="nil"/>
            </w:tcBorders>
          </w:tcPr>
          <w:p w14:paraId="1037B9C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0.06</w:t>
            </w:r>
          </w:p>
        </w:tc>
        <w:tc>
          <w:tcPr>
            <w:tcW w:w="441" w:type="pct"/>
            <w:tcBorders>
              <w:tl2br w:val="nil"/>
              <w:tr2bl w:val="nil"/>
            </w:tcBorders>
          </w:tcPr>
          <w:p w14:paraId="44DE887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36.12</w:t>
            </w:r>
          </w:p>
        </w:tc>
        <w:tc>
          <w:tcPr>
            <w:tcW w:w="441" w:type="pct"/>
            <w:tcBorders>
              <w:tl2br w:val="nil"/>
              <w:tr2bl w:val="nil"/>
            </w:tcBorders>
          </w:tcPr>
          <w:p w14:paraId="2827200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15.49</w:t>
            </w:r>
          </w:p>
        </w:tc>
      </w:tr>
      <w:tr w:rsidR="009D12AF" w14:paraId="61073A03" w14:textId="77777777">
        <w:tc>
          <w:tcPr>
            <w:tcW w:w="348" w:type="pct"/>
            <w:tcBorders>
              <w:tl2br w:val="nil"/>
              <w:tr2bl w:val="nil"/>
            </w:tcBorders>
          </w:tcPr>
          <w:p w14:paraId="37C9916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农村道路</w:t>
            </w:r>
          </w:p>
        </w:tc>
        <w:tc>
          <w:tcPr>
            <w:tcW w:w="478" w:type="pct"/>
            <w:tcBorders>
              <w:tl2br w:val="nil"/>
              <w:tr2bl w:val="nil"/>
            </w:tcBorders>
          </w:tcPr>
          <w:p w14:paraId="4ADB8BE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8.73</w:t>
            </w:r>
          </w:p>
        </w:tc>
        <w:tc>
          <w:tcPr>
            <w:tcW w:w="521" w:type="pct"/>
            <w:tcBorders>
              <w:tl2br w:val="nil"/>
              <w:tr2bl w:val="nil"/>
            </w:tcBorders>
          </w:tcPr>
          <w:p w14:paraId="6394390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0.92</w:t>
            </w:r>
          </w:p>
        </w:tc>
        <w:tc>
          <w:tcPr>
            <w:tcW w:w="441" w:type="pct"/>
            <w:tcBorders>
              <w:tl2br w:val="nil"/>
              <w:tr2bl w:val="nil"/>
            </w:tcBorders>
          </w:tcPr>
          <w:p w14:paraId="485C75E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0.04</w:t>
            </w:r>
          </w:p>
        </w:tc>
        <w:tc>
          <w:tcPr>
            <w:tcW w:w="441" w:type="pct"/>
            <w:tcBorders>
              <w:tl2br w:val="nil"/>
              <w:tr2bl w:val="nil"/>
            </w:tcBorders>
          </w:tcPr>
          <w:p w14:paraId="1E2490F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53.21</w:t>
            </w:r>
          </w:p>
        </w:tc>
        <w:tc>
          <w:tcPr>
            <w:tcW w:w="441" w:type="pct"/>
            <w:tcBorders>
              <w:tl2br w:val="nil"/>
              <w:tr2bl w:val="nil"/>
            </w:tcBorders>
          </w:tcPr>
          <w:p w14:paraId="7BD9157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6.32</w:t>
            </w:r>
          </w:p>
        </w:tc>
        <w:tc>
          <w:tcPr>
            <w:tcW w:w="478" w:type="pct"/>
            <w:tcBorders>
              <w:tl2br w:val="nil"/>
              <w:tr2bl w:val="nil"/>
            </w:tcBorders>
          </w:tcPr>
          <w:p w14:paraId="521A2F2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8.73</w:t>
            </w:r>
          </w:p>
        </w:tc>
        <w:tc>
          <w:tcPr>
            <w:tcW w:w="522" w:type="pct"/>
            <w:tcBorders>
              <w:tl2br w:val="nil"/>
              <w:tr2bl w:val="nil"/>
            </w:tcBorders>
          </w:tcPr>
          <w:p w14:paraId="518EF33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0.92</w:t>
            </w:r>
          </w:p>
        </w:tc>
        <w:tc>
          <w:tcPr>
            <w:tcW w:w="441" w:type="pct"/>
            <w:tcBorders>
              <w:tl2br w:val="nil"/>
              <w:tr2bl w:val="nil"/>
            </w:tcBorders>
          </w:tcPr>
          <w:p w14:paraId="7415198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0.04</w:t>
            </w:r>
          </w:p>
        </w:tc>
        <w:tc>
          <w:tcPr>
            <w:tcW w:w="441" w:type="pct"/>
            <w:tcBorders>
              <w:tl2br w:val="nil"/>
              <w:tr2bl w:val="nil"/>
            </w:tcBorders>
          </w:tcPr>
          <w:p w14:paraId="6880879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53.21</w:t>
            </w:r>
          </w:p>
        </w:tc>
        <w:tc>
          <w:tcPr>
            <w:tcW w:w="441" w:type="pct"/>
            <w:tcBorders>
              <w:tl2br w:val="nil"/>
              <w:tr2bl w:val="nil"/>
            </w:tcBorders>
          </w:tcPr>
          <w:p w14:paraId="25DE6CF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6.32</w:t>
            </w:r>
          </w:p>
        </w:tc>
      </w:tr>
      <w:tr w:rsidR="009D12AF" w14:paraId="064515C6" w14:textId="77777777">
        <w:tc>
          <w:tcPr>
            <w:tcW w:w="348" w:type="pct"/>
            <w:tcBorders>
              <w:tl2br w:val="nil"/>
              <w:tr2bl w:val="nil"/>
            </w:tcBorders>
          </w:tcPr>
          <w:p w14:paraId="6D496FB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lastRenderedPageBreak/>
              <w:t>其他草地</w:t>
            </w:r>
          </w:p>
        </w:tc>
        <w:tc>
          <w:tcPr>
            <w:tcW w:w="478" w:type="pct"/>
            <w:tcBorders>
              <w:tl2br w:val="nil"/>
              <w:tr2bl w:val="nil"/>
            </w:tcBorders>
          </w:tcPr>
          <w:p w14:paraId="354F852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1.17</w:t>
            </w:r>
          </w:p>
        </w:tc>
        <w:tc>
          <w:tcPr>
            <w:tcW w:w="521" w:type="pct"/>
            <w:tcBorders>
              <w:tl2br w:val="nil"/>
              <w:tr2bl w:val="nil"/>
            </w:tcBorders>
          </w:tcPr>
          <w:p w14:paraId="46B4736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0.12</w:t>
            </w:r>
          </w:p>
        </w:tc>
        <w:tc>
          <w:tcPr>
            <w:tcW w:w="441" w:type="pct"/>
            <w:tcBorders>
              <w:tl2br w:val="nil"/>
              <w:tr2bl w:val="nil"/>
            </w:tcBorders>
          </w:tcPr>
          <w:p w14:paraId="13BBF36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0.03</w:t>
            </w:r>
          </w:p>
        </w:tc>
        <w:tc>
          <w:tcPr>
            <w:tcW w:w="441" w:type="pct"/>
            <w:tcBorders>
              <w:tl2br w:val="nil"/>
              <w:tr2bl w:val="nil"/>
            </w:tcBorders>
          </w:tcPr>
          <w:p w14:paraId="2C75D77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36.63</w:t>
            </w:r>
          </w:p>
        </w:tc>
        <w:tc>
          <w:tcPr>
            <w:tcW w:w="441" w:type="pct"/>
            <w:tcBorders>
              <w:tl2br w:val="nil"/>
              <w:tr2bl w:val="nil"/>
            </w:tcBorders>
          </w:tcPr>
          <w:p w14:paraId="3FD6CAC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27.78</w:t>
            </w:r>
          </w:p>
        </w:tc>
        <w:tc>
          <w:tcPr>
            <w:tcW w:w="478" w:type="pct"/>
            <w:tcBorders>
              <w:tl2br w:val="nil"/>
              <w:tr2bl w:val="nil"/>
            </w:tcBorders>
          </w:tcPr>
          <w:p w14:paraId="2E2E7ED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1.17</w:t>
            </w:r>
          </w:p>
        </w:tc>
        <w:tc>
          <w:tcPr>
            <w:tcW w:w="522" w:type="pct"/>
            <w:tcBorders>
              <w:tl2br w:val="nil"/>
              <w:tr2bl w:val="nil"/>
            </w:tcBorders>
          </w:tcPr>
          <w:p w14:paraId="48C43D8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0.12</w:t>
            </w:r>
          </w:p>
        </w:tc>
        <w:tc>
          <w:tcPr>
            <w:tcW w:w="441" w:type="pct"/>
            <w:tcBorders>
              <w:tl2br w:val="nil"/>
              <w:tr2bl w:val="nil"/>
            </w:tcBorders>
          </w:tcPr>
          <w:p w14:paraId="2B78DB2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0.03</w:t>
            </w:r>
          </w:p>
        </w:tc>
        <w:tc>
          <w:tcPr>
            <w:tcW w:w="441" w:type="pct"/>
            <w:tcBorders>
              <w:tl2br w:val="nil"/>
              <w:tr2bl w:val="nil"/>
            </w:tcBorders>
          </w:tcPr>
          <w:p w14:paraId="567B433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36.63</w:t>
            </w:r>
          </w:p>
        </w:tc>
        <w:tc>
          <w:tcPr>
            <w:tcW w:w="441" w:type="pct"/>
            <w:tcBorders>
              <w:tl2br w:val="nil"/>
              <w:tr2bl w:val="nil"/>
            </w:tcBorders>
          </w:tcPr>
          <w:p w14:paraId="51CED16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27.78</w:t>
            </w:r>
          </w:p>
        </w:tc>
      </w:tr>
      <w:tr w:rsidR="009D12AF" w14:paraId="2E0854C1" w14:textId="77777777">
        <w:tc>
          <w:tcPr>
            <w:tcW w:w="348" w:type="pct"/>
            <w:tcBorders>
              <w:tl2br w:val="nil"/>
              <w:tr2bl w:val="nil"/>
            </w:tcBorders>
          </w:tcPr>
          <w:p w14:paraId="2360F1D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设施农用地</w:t>
            </w:r>
          </w:p>
        </w:tc>
        <w:tc>
          <w:tcPr>
            <w:tcW w:w="478" w:type="pct"/>
            <w:tcBorders>
              <w:tl2br w:val="nil"/>
              <w:tr2bl w:val="nil"/>
            </w:tcBorders>
          </w:tcPr>
          <w:p w14:paraId="592BC08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0.54</w:t>
            </w:r>
          </w:p>
        </w:tc>
        <w:tc>
          <w:tcPr>
            <w:tcW w:w="521" w:type="pct"/>
            <w:tcBorders>
              <w:tl2br w:val="nil"/>
              <w:tr2bl w:val="nil"/>
            </w:tcBorders>
          </w:tcPr>
          <w:p w14:paraId="7E8667B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0.06</w:t>
            </w:r>
          </w:p>
        </w:tc>
        <w:tc>
          <w:tcPr>
            <w:tcW w:w="441" w:type="pct"/>
            <w:tcBorders>
              <w:tl2br w:val="nil"/>
              <w:tr2bl w:val="nil"/>
            </w:tcBorders>
          </w:tcPr>
          <w:p w14:paraId="0546B64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0.03</w:t>
            </w:r>
          </w:p>
        </w:tc>
        <w:tc>
          <w:tcPr>
            <w:tcW w:w="441" w:type="pct"/>
            <w:tcBorders>
              <w:tl2br w:val="nil"/>
              <w:tr2bl w:val="nil"/>
            </w:tcBorders>
          </w:tcPr>
          <w:p w14:paraId="04CC462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38.60</w:t>
            </w:r>
          </w:p>
        </w:tc>
        <w:tc>
          <w:tcPr>
            <w:tcW w:w="441" w:type="pct"/>
            <w:tcBorders>
              <w:tl2br w:val="nil"/>
              <w:tr2bl w:val="nil"/>
            </w:tcBorders>
          </w:tcPr>
          <w:p w14:paraId="2BACC12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42.86</w:t>
            </w:r>
          </w:p>
        </w:tc>
        <w:tc>
          <w:tcPr>
            <w:tcW w:w="478" w:type="pct"/>
            <w:tcBorders>
              <w:tl2br w:val="nil"/>
              <w:tr2bl w:val="nil"/>
            </w:tcBorders>
          </w:tcPr>
          <w:p w14:paraId="1D7BC83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0.54</w:t>
            </w:r>
          </w:p>
        </w:tc>
        <w:tc>
          <w:tcPr>
            <w:tcW w:w="522" w:type="pct"/>
            <w:tcBorders>
              <w:tl2br w:val="nil"/>
              <w:tr2bl w:val="nil"/>
            </w:tcBorders>
          </w:tcPr>
          <w:p w14:paraId="30BCE34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0.06</w:t>
            </w:r>
          </w:p>
        </w:tc>
        <w:tc>
          <w:tcPr>
            <w:tcW w:w="441" w:type="pct"/>
            <w:tcBorders>
              <w:tl2br w:val="nil"/>
              <w:tr2bl w:val="nil"/>
            </w:tcBorders>
          </w:tcPr>
          <w:p w14:paraId="59674FC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0.03</w:t>
            </w:r>
          </w:p>
        </w:tc>
        <w:tc>
          <w:tcPr>
            <w:tcW w:w="441" w:type="pct"/>
            <w:tcBorders>
              <w:tl2br w:val="nil"/>
              <w:tr2bl w:val="nil"/>
            </w:tcBorders>
          </w:tcPr>
          <w:p w14:paraId="6B6CD90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38.60</w:t>
            </w:r>
          </w:p>
        </w:tc>
        <w:tc>
          <w:tcPr>
            <w:tcW w:w="441" w:type="pct"/>
            <w:tcBorders>
              <w:tl2br w:val="nil"/>
              <w:tr2bl w:val="nil"/>
            </w:tcBorders>
          </w:tcPr>
          <w:p w14:paraId="49CF3A9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42.86</w:t>
            </w:r>
          </w:p>
        </w:tc>
      </w:tr>
      <w:tr w:rsidR="009D12AF" w14:paraId="285BED23" w14:textId="77777777">
        <w:tc>
          <w:tcPr>
            <w:tcW w:w="348" w:type="pct"/>
            <w:tcBorders>
              <w:tl2br w:val="nil"/>
              <w:tr2bl w:val="nil"/>
            </w:tcBorders>
          </w:tcPr>
          <w:p w14:paraId="10A8410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坑塘水面</w:t>
            </w:r>
          </w:p>
        </w:tc>
        <w:tc>
          <w:tcPr>
            <w:tcW w:w="478" w:type="pct"/>
            <w:tcBorders>
              <w:tl2br w:val="nil"/>
              <w:tr2bl w:val="nil"/>
            </w:tcBorders>
          </w:tcPr>
          <w:p w14:paraId="21D3D6B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0.81</w:t>
            </w:r>
          </w:p>
        </w:tc>
        <w:tc>
          <w:tcPr>
            <w:tcW w:w="521" w:type="pct"/>
            <w:tcBorders>
              <w:tl2br w:val="nil"/>
              <w:tr2bl w:val="nil"/>
            </w:tcBorders>
          </w:tcPr>
          <w:p w14:paraId="56E0887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0.09</w:t>
            </w:r>
          </w:p>
        </w:tc>
        <w:tc>
          <w:tcPr>
            <w:tcW w:w="441" w:type="pct"/>
            <w:tcBorders>
              <w:tl2br w:val="nil"/>
              <w:tr2bl w:val="nil"/>
            </w:tcBorders>
          </w:tcPr>
          <w:p w14:paraId="7EE0053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0.05</w:t>
            </w:r>
          </w:p>
        </w:tc>
        <w:tc>
          <w:tcPr>
            <w:tcW w:w="441" w:type="pct"/>
            <w:tcBorders>
              <w:tl2br w:val="nil"/>
              <w:tr2bl w:val="nil"/>
            </w:tcBorders>
          </w:tcPr>
          <w:p w14:paraId="7335BDF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43.62</w:t>
            </w:r>
          </w:p>
        </w:tc>
        <w:tc>
          <w:tcPr>
            <w:tcW w:w="441" w:type="pct"/>
            <w:tcBorders>
              <w:tl2br w:val="nil"/>
              <w:tr2bl w:val="nil"/>
            </w:tcBorders>
          </w:tcPr>
          <w:p w14:paraId="6FC6820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58.33</w:t>
            </w:r>
          </w:p>
        </w:tc>
        <w:tc>
          <w:tcPr>
            <w:tcW w:w="478" w:type="pct"/>
            <w:tcBorders>
              <w:tl2br w:val="nil"/>
              <w:tr2bl w:val="nil"/>
            </w:tcBorders>
          </w:tcPr>
          <w:p w14:paraId="2D772EC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0.81</w:t>
            </w:r>
          </w:p>
        </w:tc>
        <w:tc>
          <w:tcPr>
            <w:tcW w:w="522" w:type="pct"/>
            <w:tcBorders>
              <w:tl2br w:val="nil"/>
              <w:tr2bl w:val="nil"/>
            </w:tcBorders>
          </w:tcPr>
          <w:p w14:paraId="504A0884"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0.09</w:t>
            </w:r>
          </w:p>
        </w:tc>
        <w:tc>
          <w:tcPr>
            <w:tcW w:w="441" w:type="pct"/>
            <w:tcBorders>
              <w:tl2br w:val="nil"/>
              <w:tr2bl w:val="nil"/>
            </w:tcBorders>
          </w:tcPr>
          <w:p w14:paraId="43359EB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0.05</w:t>
            </w:r>
          </w:p>
        </w:tc>
        <w:tc>
          <w:tcPr>
            <w:tcW w:w="441" w:type="pct"/>
            <w:tcBorders>
              <w:tl2br w:val="nil"/>
              <w:tr2bl w:val="nil"/>
            </w:tcBorders>
          </w:tcPr>
          <w:p w14:paraId="7B15FE5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43.62</w:t>
            </w:r>
          </w:p>
        </w:tc>
        <w:tc>
          <w:tcPr>
            <w:tcW w:w="441" w:type="pct"/>
            <w:tcBorders>
              <w:tl2br w:val="nil"/>
              <w:tr2bl w:val="nil"/>
            </w:tcBorders>
          </w:tcPr>
          <w:p w14:paraId="15CB03C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58.33</w:t>
            </w:r>
          </w:p>
        </w:tc>
      </w:tr>
      <w:tr w:rsidR="009D12AF" w14:paraId="168F3E9A" w14:textId="77777777">
        <w:tc>
          <w:tcPr>
            <w:tcW w:w="348" w:type="pct"/>
            <w:tcBorders>
              <w:tl2br w:val="nil"/>
              <w:tr2bl w:val="nil"/>
            </w:tcBorders>
          </w:tcPr>
          <w:p w14:paraId="69A5326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果园</w:t>
            </w:r>
          </w:p>
        </w:tc>
        <w:tc>
          <w:tcPr>
            <w:tcW w:w="478" w:type="pct"/>
            <w:tcBorders>
              <w:tl2br w:val="nil"/>
              <w:tr2bl w:val="nil"/>
            </w:tcBorders>
          </w:tcPr>
          <w:p w14:paraId="018A84D7"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0.45</w:t>
            </w:r>
          </w:p>
        </w:tc>
        <w:tc>
          <w:tcPr>
            <w:tcW w:w="521" w:type="pct"/>
            <w:tcBorders>
              <w:tl2br w:val="nil"/>
              <w:tr2bl w:val="nil"/>
            </w:tcBorders>
          </w:tcPr>
          <w:p w14:paraId="3A16D82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0.05</w:t>
            </w:r>
          </w:p>
        </w:tc>
        <w:tc>
          <w:tcPr>
            <w:tcW w:w="441" w:type="pct"/>
            <w:tcBorders>
              <w:tl2br w:val="nil"/>
              <w:tr2bl w:val="nil"/>
            </w:tcBorders>
          </w:tcPr>
          <w:p w14:paraId="196F959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0.05</w:t>
            </w:r>
          </w:p>
        </w:tc>
        <w:tc>
          <w:tcPr>
            <w:tcW w:w="441" w:type="pct"/>
            <w:tcBorders>
              <w:tl2br w:val="nil"/>
              <w:tr2bl w:val="nil"/>
            </w:tcBorders>
          </w:tcPr>
          <w:p w14:paraId="68CB322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40.87</w:t>
            </w:r>
          </w:p>
        </w:tc>
        <w:tc>
          <w:tcPr>
            <w:tcW w:w="441" w:type="pct"/>
            <w:tcBorders>
              <w:tl2br w:val="nil"/>
              <w:tr2bl w:val="nil"/>
            </w:tcBorders>
          </w:tcPr>
          <w:p w14:paraId="564FC9A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60.00</w:t>
            </w:r>
          </w:p>
        </w:tc>
        <w:tc>
          <w:tcPr>
            <w:tcW w:w="478" w:type="pct"/>
            <w:tcBorders>
              <w:tl2br w:val="nil"/>
              <w:tr2bl w:val="nil"/>
            </w:tcBorders>
          </w:tcPr>
          <w:p w14:paraId="4DF7CA1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0.45</w:t>
            </w:r>
          </w:p>
        </w:tc>
        <w:tc>
          <w:tcPr>
            <w:tcW w:w="522" w:type="pct"/>
            <w:tcBorders>
              <w:tl2br w:val="nil"/>
              <w:tr2bl w:val="nil"/>
            </w:tcBorders>
          </w:tcPr>
          <w:p w14:paraId="36106D3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0.05</w:t>
            </w:r>
          </w:p>
        </w:tc>
        <w:tc>
          <w:tcPr>
            <w:tcW w:w="441" w:type="pct"/>
            <w:tcBorders>
              <w:tl2br w:val="nil"/>
              <w:tr2bl w:val="nil"/>
            </w:tcBorders>
          </w:tcPr>
          <w:p w14:paraId="2F3B55F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0.05</w:t>
            </w:r>
          </w:p>
        </w:tc>
        <w:tc>
          <w:tcPr>
            <w:tcW w:w="441" w:type="pct"/>
            <w:tcBorders>
              <w:tl2br w:val="nil"/>
              <w:tr2bl w:val="nil"/>
            </w:tcBorders>
          </w:tcPr>
          <w:p w14:paraId="125D9CE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40.87</w:t>
            </w:r>
          </w:p>
        </w:tc>
        <w:tc>
          <w:tcPr>
            <w:tcW w:w="441" w:type="pct"/>
            <w:tcBorders>
              <w:tl2br w:val="nil"/>
              <w:tr2bl w:val="nil"/>
            </w:tcBorders>
          </w:tcPr>
          <w:p w14:paraId="2C5A12C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60.00</w:t>
            </w:r>
          </w:p>
        </w:tc>
      </w:tr>
      <w:tr w:rsidR="009D12AF" w14:paraId="01AFE538" w14:textId="77777777">
        <w:tc>
          <w:tcPr>
            <w:tcW w:w="5000" w:type="pct"/>
            <w:gridSpan w:val="11"/>
            <w:tcBorders>
              <w:tl2br w:val="nil"/>
              <w:tr2bl w:val="nil"/>
            </w:tcBorders>
          </w:tcPr>
          <w:p w14:paraId="1061596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景观尺度特征</w:t>
            </w:r>
          </w:p>
        </w:tc>
      </w:tr>
      <w:tr w:rsidR="009D12AF" w14:paraId="19201D37" w14:textId="77777777">
        <w:tc>
          <w:tcPr>
            <w:tcW w:w="348" w:type="pct"/>
            <w:tcBorders>
              <w:tl2br w:val="nil"/>
              <w:tr2bl w:val="nil"/>
            </w:tcBorders>
          </w:tcPr>
          <w:p w14:paraId="53F9412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指标</w:t>
            </w:r>
          </w:p>
        </w:tc>
        <w:tc>
          <w:tcPr>
            <w:tcW w:w="478" w:type="pct"/>
            <w:tcBorders>
              <w:tl2br w:val="nil"/>
              <w:tr2bl w:val="nil"/>
            </w:tcBorders>
          </w:tcPr>
          <w:p w14:paraId="1C463F28"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S</w:t>
            </w:r>
            <w:r>
              <w:rPr>
                <w:rFonts w:ascii="Times New Roman" w:eastAsia="宋体" w:hAnsi="Times New Roman" w:cs="Times New Roman"/>
                <w:kern w:val="0"/>
                <w:sz w:val="21"/>
                <w:szCs w:val="21"/>
              </w:rPr>
              <w:t>HDI</w:t>
            </w:r>
          </w:p>
        </w:tc>
        <w:tc>
          <w:tcPr>
            <w:tcW w:w="1846" w:type="pct"/>
            <w:gridSpan w:val="4"/>
            <w:tcBorders>
              <w:tl2br w:val="nil"/>
              <w:tr2bl w:val="nil"/>
            </w:tcBorders>
          </w:tcPr>
          <w:p w14:paraId="4DF1A9E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A</w:t>
            </w:r>
            <w:r>
              <w:rPr>
                <w:rFonts w:ascii="Times New Roman" w:eastAsia="宋体" w:hAnsi="Times New Roman" w:cs="Times New Roman"/>
                <w:kern w:val="0"/>
                <w:sz w:val="21"/>
                <w:szCs w:val="21"/>
              </w:rPr>
              <w:t>I</w:t>
            </w:r>
          </w:p>
        </w:tc>
        <w:tc>
          <w:tcPr>
            <w:tcW w:w="1442" w:type="pct"/>
            <w:gridSpan w:val="3"/>
            <w:tcBorders>
              <w:tl2br w:val="nil"/>
              <w:tr2bl w:val="nil"/>
            </w:tcBorders>
          </w:tcPr>
          <w:p w14:paraId="4B103B5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S</w:t>
            </w:r>
            <w:r>
              <w:rPr>
                <w:rFonts w:ascii="Times New Roman" w:eastAsia="宋体" w:hAnsi="Times New Roman" w:cs="Times New Roman"/>
                <w:kern w:val="0"/>
                <w:sz w:val="21"/>
                <w:szCs w:val="21"/>
              </w:rPr>
              <w:t>HDI</w:t>
            </w:r>
          </w:p>
        </w:tc>
        <w:tc>
          <w:tcPr>
            <w:tcW w:w="883" w:type="pct"/>
            <w:gridSpan w:val="2"/>
            <w:tcBorders>
              <w:tl2br w:val="nil"/>
              <w:tr2bl w:val="nil"/>
            </w:tcBorders>
          </w:tcPr>
          <w:p w14:paraId="48C06CF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A</w:t>
            </w:r>
            <w:r>
              <w:rPr>
                <w:rFonts w:ascii="Times New Roman" w:eastAsia="宋体" w:hAnsi="Times New Roman" w:cs="Times New Roman"/>
                <w:kern w:val="0"/>
                <w:sz w:val="21"/>
                <w:szCs w:val="21"/>
              </w:rPr>
              <w:t>I</w:t>
            </w:r>
          </w:p>
        </w:tc>
      </w:tr>
      <w:tr w:rsidR="009D12AF" w14:paraId="42BE6765" w14:textId="77777777">
        <w:tc>
          <w:tcPr>
            <w:tcW w:w="348" w:type="pct"/>
            <w:tcBorders>
              <w:tl2br w:val="nil"/>
              <w:tr2bl w:val="nil"/>
            </w:tcBorders>
          </w:tcPr>
          <w:p w14:paraId="000D7B4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评价范围</w:t>
            </w:r>
          </w:p>
        </w:tc>
        <w:tc>
          <w:tcPr>
            <w:tcW w:w="478" w:type="pct"/>
            <w:tcBorders>
              <w:tl2br w:val="nil"/>
              <w:tr2bl w:val="nil"/>
            </w:tcBorders>
          </w:tcPr>
          <w:p w14:paraId="203F4AC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1.4277</w:t>
            </w:r>
          </w:p>
        </w:tc>
        <w:tc>
          <w:tcPr>
            <w:tcW w:w="1846" w:type="pct"/>
            <w:gridSpan w:val="4"/>
            <w:tcBorders>
              <w:tl2br w:val="nil"/>
              <w:tr2bl w:val="nil"/>
            </w:tcBorders>
          </w:tcPr>
          <w:p w14:paraId="3723A08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86.4652</w:t>
            </w:r>
          </w:p>
        </w:tc>
        <w:tc>
          <w:tcPr>
            <w:tcW w:w="1442" w:type="pct"/>
            <w:gridSpan w:val="3"/>
            <w:tcBorders>
              <w:tl2br w:val="nil"/>
              <w:tr2bl w:val="nil"/>
            </w:tcBorders>
          </w:tcPr>
          <w:p w14:paraId="6CD287C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1.4256</w:t>
            </w:r>
          </w:p>
        </w:tc>
        <w:tc>
          <w:tcPr>
            <w:tcW w:w="883" w:type="pct"/>
            <w:gridSpan w:val="2"/>
            <w:tcBorders>
              <w:tl2br w:val="nil"/>
              <w:tr2bl w:val="nil"/>
            </w:tcBorders>
          </w:tcPr>
          <w:p w14:paraId="63AEC4B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86.4623</w:t>
            </w:r>
          </w:p>
        </w:tc>
      </w:tr>
    </w:tbl>
    <w:p w14:paraId="1D915447" w14:textId="77777777" w:rsidR="009D12AF" w:rsidRDefault="009D12AF">
      <w:pPr>
        <w:ind w:firstLine="480"/>
        <w:rPr>
          <w:rFonts w:ascii="Times New Roman" w:eastAsia="宋体" w:hAnsi="Times New Roman" w:cs="Times New Roman"/>
          <w:kern w:val="0"/>
          <w:szCs w:val="20"/>
        </w:rPr>
        <w:sectPr w:rsidR="009D12AF">
          <w:pgSz w:w="16838" w:h="11906" w:orient="landscape"/>
          <w:pgMar w:top="1800" w:right="1440" w:bottom="1800" w:left="1440" w:header="851" w:footer="992" w:gutter="0"/>
          <w:cols w:space="425"/>
          <w:docGrid w:type="lines" w:linePitch="326"/>
        </w:sectPr>
      </w:pPr>
    </w:p>
    <w:p w14:paraId="6B5ADF50" w14:textId="77777777" w:rsidR="009D12AF" w:rsidRDefault="00000000">
      <w:pPr>
        <w:ind w:firstLine="480"/>
        <w:jc w:val="left"/>
        <w:rPr>
          <w:rFonts w:ascii="Times New Roman" w:eastAsia="宋体" w:hAnsi="Times New Roman" w:cs="Times New Roman"/>
        </w:rPr>
      </w:pPr>
      <w:r>
        <w:rPr>
          <w:rFonts w:ascii="Times New Roman" w:eastAsia="宋体" w:hAnsi="Times New Roman" w:cs="Times New Roman" w:hint="eastAsia"/>
        </w:rPr>
        <w:lastRenderedPageBreak/>
        <w:t>由上表可见，工程施工期评价范围内，城镇景观斑块各类景观指数均有所增加，耕地景观斑块各类景观指数均有所减少，造成这一现象的原因主要是工程建设的临时占地会占用部分耕地，使得城镇景观的增加，并引起生态系统类型的占比变化。</w:t>
      </w:r>
    </w:p>
    <w:p w14:paraId="1835F0C2" w14:textId="77777777" w:rsidR="009D12AF" w:rsidRDefault="00000000">
      <w:pPr>
        <w:ind w:firstLine="480"/>
        <w:rPr>
          <w:rFonts w:ascii="宋体" w:eastAsia="宋体" w:hAnsi="宋体" w:cs="宋体" w:hint="eastAsia"/>
        </w:rPr>
      </w:pPr>
      <w:r>
        <w:rPr>
          <w:rFonts w:ascii="宋体" w:eastAsia="宋体" w:hAnsi="宋体" w:cs="宋体" w:hint="eastAsia"/>
        </w:rPr>
        <w:t>总的来说，评价区总体的生态系统稳定性和连通性变化不大，耕地与林地的优势地位变化不大，是主要的景观类型，环境生产能力和系统调控能力较强，抗干扰能力较强，在工程施工结束后，积极采取恢复措施可以进一步加快生态系统的修复。</w:t>
      </w:r>
    </w:p>
    <w:p w14:paraId="6861FD25" w14:textId="77777777" w:rsidR="009D12AF" w:rsidRDefault="00000000">
      <w:pPr>
        <w:pStyle w:val="4"/>
        <w:ind w:firstLineChars="0" w:firstLine="0"/>
      </w:pPr>
      <w:r>
        <w:rPr>
          <w:rFonts w:hint="eastAsia"/>
        </w:rPr>
        <w:t>5.1.9.6</w:t>
      </w:r>
      <w:r>
        <w:rPr>
          <w:rFonts w:hint="eastAsia"/>
        </w:rPr>
        <w:t>生境质量影响分析</w:t>
      </w:r>
    </w:p>
    <w:p w14:paraId="123956E6"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依据《环境影响评价技术导则</w:t>
      </w:r>
      <w:r>
        <w:rPr>
          <w:rFonts w:ascii="Times New Roman" w:eastAsia="宋体" w:hAnsi="Times New Roman" w:cs="Times New Roman" w:hint="eastAsia"/>
          <w:kern w:val="0"/>
          <w:szCs w:val="20"/>
        </w:rPr>
        <w:t xml:space="preserve"> </w:t>
      </w:r>
      <w:r>
        <w:rPr>
          <w:rFonts w:ascii="Times New Roman" w:eastAsia="宋体" w:hAnsi="Times New Roman" w:cs="Times New Roman" w:hint="eastAsia"/>
          <w:kern w:val="0"/>
          <w:szCs w:val="20"/>
        </w:rPr>
        <w:t>生态影响》（</w:t>
      </w:r>
      <w:r>
        <w:rPr>
          <w:rFonts w:ascii="Times New Roman" w:eastAsia="宋体" w:hAnsi="Times New Roman" w:cs="Times New Roman" w:hint="eastAsia"/>
          <w:kern w:val="0"/>
          <w:szCs w:val="20"/>
        </w:rPr>
        <w:t>HJ19-2022</w:t>
      </w:r>
      <w:r>
        <w:rPr>
          <w:rFonts w:ascii="Times New Roman" w:eastAsia="宋体" w:hAnsi="Times New Roman" w:cs="Times New Roman" w:hint="eastAsia"/>
          <w:kern w:val="0"/>
          <w:szCs w:val="20"/>
        </w:rPr>
        <w:t>）</w:t>
      </w:r>
      <w:r>
        <w:rPr>
          <w:rFonts w:ascii="Times New Roman" w:eastAsia="宋体" w:hAnsi="Times New Roman" w:cs="Times New Roman" w:hint="eastAsia"/>
          <w:kern w:val="0"/>
          <w:szCs w:val="20"/>
        </w:rPr>
        <w:t>C.9</w:t>
      </w:r>
      <w:r>
        <w:rPr>
          <w:rFonts w:ascii="Times New Roman" w:eastAsia="宋体" w:hAnsi="Times New Roman" w:cs="Times New Roman" w:hint="eastAsia"/>
          <w:kern w:val="0"/>
          <w:szCs w:val="20"/>
        </w:rPr>
        <w:t>，可根据需要选取相应的指标，利用斑块较为复杂且准确的土地利用三调数据库及预测工程占地矢量文件，通过</w:t>
      </w:r>
      <w:r>
        <w:rPr>
          <w:rFonts w:ascii="Times New Roman" w:eastAsia="宋体" w:hAnsi="Times New Roman" w:cs="Times New Roman" w:hint="eastAsia"/>
          <w:kern w:val="0"/>
          <w:szCs w:val="20"/>
        </w:rPr>
        <w:t xml:space="preserve"> FRAGSTATS </w:t>
      </w:r>
      <w:r>
        <w:rPr>
          <w:rFonts w:ascii="Times New Roman" w:eastAsia="宋体" w:hAnsi="Times New Roman" w:cs="Times New Roman" w:hint="eastAsia"/>
          <w:kern w:val="0"/>
          <w:szCs w:val="20"/>
        </w:rPr>
        <w:t>景观格局分析软件预测结果，高蔓延度值、高聚集度指数说明生境中的某种优势拼块类型形成了良好的连接性，破碎化程度度低，评价范围内预测生境质量指数见图</w:t>
      </w:r>
      <w:r>
        <w:rPr>
          <w:rFonts w:ascii="Times New Roman" w:eastAsia="宋体" w:hAnsi="Times New Roman" w:cs="Times New Roman" w:hint="eastAsia"/>
          <w:kern w:val="0"/>
          <w:szCs w:val="20"/>
        </w:rPr>
        <w:t>5.1-4</w:t>
      </w:r>
      <w:r>
        <w:rPr>
          <w:rFonts w:ascii="Times New Roman" w:eastAsia="宋体" w:hAnsi="Times New Roman" w:cs="Times New Roman" w:hint="eastAsia"/>
          <w:kern w:val="0"/>
          <w:szCs w:val="20"/>
        </w:rPr>
        <w:t>。</w:t>
      </w:r>
    </w:p>
    <w:p w14:paraId="3CC782F5" w14:textId="77777777" w:rsidR="009D12AF" w:rsidRDefault="00000000">
      <w:pPr>
        <w:ind w:firstLine="480"/>
      </w:pPr>
      <w:r>
        <w:rPr>
          <w:noProof/>
        </w:rPr>
        <w:drawing>
          <wp:inline distT="0" distB="0" distL="0" distR="0" wp14:anchorId="01A55510" wp14:editId="3EBCECBA">
            <wp:extent cx="4572000" cy="2743200"/>
            <wp:effectExtent l="4445" t="4445" r="14605" b="14605"/>
            <wp:docPr id="1938970276" name="图表 1938970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p w14:paraId="4CF7BCD5" w14:textId="77777777" w:rsidR="009D12AF" w:rsidRDefault="00000000">
      <w:pPr>
        <w:ind w:firstLine="482"/>
        <w:jc w:val="center"/>
        <w:rPr>
          <w:rFonts w:ascii="宋体" w:eastAsia="宋体" w:hAnsi="宋体" w:cs="宋体" w:hint="eastAsia"/>
          <w:b/>
          <w:kern w:val="0"/>
        </w:rPr>
      </w:pPr>
      <w:r>
        <w:rPr>
          <w:rFonts w:ascii="宋体" w:eastAsia="宋体" w:hAnsi="宋体" w:cs="宋体"/>
          <w:b/>
          <w:kern w:val="0"/>
        </w:rPr>
        <w:t xml:space="preserve">图 </w:t>
      </w:r>
      <w:r>
        <w:rPr>
          <w:rFonts w:ascii="Times New Roman" w:eastAsia="宋体" w:hAnsi="Times New Roman" w:cs="Times New Roman"/>
          <w:b/>
          <w:kern w:val="0"/>
        </w:rPr>
        <w:t>5.1-4</w:t>
      </w:r>
      <w:r>
        <w:rPr>
          <w:rFonts w:ascii="宋体" w:eastAsia="宋体" w:hAnsi="宋体" w:cs="宋体"/>
          <w:b/>
          <w:kern w:val="0"/>
        </w:rPr>
        <w:t xml:space="preserve"> </w:t>
      </w:r>
      <w:r>
        <w:rPr>
          <w:rFonts w:ascii="宋体" w:eastAsia="宋体" w:hAnsi="宋体" w:cs="宋体" w:hint="eastAsia"/>
          <w:b/>
          <w:kern w:val="0"/>
        </w:rPr>
        <w:t>工程建设前后评价范围内生境质量指数对比</w:t>
      </w:r>
    </w:p>
    <w:p w14:paraId="57140A53"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对比建设前和施工期的蔓延度指数（</w:t>
      </w:r>
      <w:r>
        <w:rPr>
          <w:rFonts w:ascii="Times New Roman" w:eastAsia="宋体" w:hAnsi="Times New Roman" w:cs="Times New Roman" w:hint="eastAsia"/>
        </w:rPr>
        <w:t>CONTAG</w:t>
      </w:r>
      <w:r>
        <w:rPr>
          <w:rFonts w:ascii="Times New Roman" w:eastAsia="宋体" w:hAnsi="Times New Roman" w:cs="Times New Roman" w:hint="eastAsia"/>
        </w:rPr>
        <w:t>）、聚集度指数（</w:t>
      </w:r>
      <w:r>
        <w:rPr>
          <w:rFonts w:ascii="Times New Roman" w:eastAsia="宋体" w:hAnsi="Times New Roman" w:cs="Times New Roman" w:hint="eastAsia"/>
        </w:rPr>
        <w:t>AI</w:t>
      </w:r>
      <w:r>
        <w:rPr>
          <w:rFonts w:ascii="Times New Roman" w:eastAsia="宋体" w:hAnsi="Times New Roman" w:cs="Times New Roman" w:hint="eastAsia"/>
        </w:rPr>
        <w:t>）均有所降低但降低程度不高，分别降低了</w:t>
      </w:r>
      <w:r>
        <w:rPr>
          <w:rFonts w:ascii="Times New Roman" w:eastAsia="宋体" w:hAnsi="Times New Roman" w:cs="Times New Roman" w:hint="eastAsia"/>
        </w:rPr>
        <w:t>1.0018</w:t>
      </w:r>
      <w:r>
        <w:rPr>
          <w:rFonts w:ascii="Times New Roman" w:eastAsia="宋体" w:hAnsi="Times New Roman" w:cs="Times New Roman" w:hint="eastAsia"/>
        </w:rPr>
        <w:t>、</w:t>
      </w:r>
      <w:r>
        <w:rPr>
          <w:rFonts w:ascii="Times New Roman" w:eastAsia="宋体" w:hAnsi="Times New Roman" w:cs="Times New Roman" w:hint="eastAsia"/>
        </w:rPr>
        <w:t>1.0045</w:t>
      </w:r>
      <w:r>
        <w:rPr>
          <w:rFonts w:ascii="Times New Roman" w:eastAsia="宋体" w:hAnsi="Times New Roman" w:cs="Times New Roman" w:hint="eastAsia"/>
        </w:rPr>
        <w:t>。据上图可见，本项目建设完成后，生境类型中的乔木林依然作为优势斑块类型，具有良好的连接性，聚集度指数较高，即乔木林面积依旧大且完整，生境质量影响不大，破碎化程度不高。</w:t>
      </w:r>
    </w:p>
    <w:p w14:paraId="36DCEEEA" w14:textId="77777777" w:rsidR="009D12AF" w:rsidRDefault="00000000">
      <w:pPr>
        <w:pStyle w:val="4"/>
        <w:ind w:firstLineChars="0" w:firstLine="0"/>
      </w:pPr>
      <w:r>
        <w:rPr>
          <w:rFonts w:hint="eastAsia"/>
        </w:rPr>
        <w:lastRenderedPageBreak/>
        <w:t>5.1.9.7</w:t>
      </w:r>
      <w:r>
        <w:rPr>
          <w:rFonts w:hint="eastAsia"/>
        </w:rPr>
        <w:t>植被覆盖度影响分析</w:t>
      </w:r>
    </w:p>
    <w:p w14:paraId="54C65BE7" w14:textId="77777777" w:rsidR="009D12AF" w:rsidRDefault="00000000">
      <w:pPr>
        <w:ind w:firstLine="480"/>
        <w:rPr>
          <w:rFonts w:ascii="Times New Roman" w:eastAsia="宋体" w:hAnsi="Times New Roman" w:cs="Times New Roman"/>
        </w:rPr>
      </w:pPr>
      <w:r>
        <w:rPr>
          <w:rFonts w:ascii="Times New Roman" w:eastAsia="宋体" w:hAnsi="Times New Roman" w:cs="Times New Roman"/>
        </w:rPr>
        <w:t>依据《环境影响评价技术导则</w:t>
      </w:r>
      <w:r>
        <w:rPr>
          <w:rFonts w:ascii="Times New Roman" w:eastAsia="宋体" w:hAnsi="Times New Roman" w:cs="Times New Roman"/>
        </w:rPr>
        <w:t xml:space="preserve">  </w:t>
      </w:r>
      <w:r>
        <w:rPr>
          <w:rFonts w:ascii="Times New Roman" w:eastAsia="宋体" w:hAnsi="Times New Roman" w:cs="Times New Roman"/>
        </w:rPr>
        <w:t>生态影响》（</w:t>
      </w:r>
      <w:r>
        <w:rPr>
          <w:rFonts w:ascii="Times New Roman" w:eastAsia="宋体" w:hAnsi="Times New Roman" w:cs="Times New Roman"/>
        </w:rPr>
        <w:t>HJ19-2022</w:t>
      </w:r>
      <w:r>
        <w:rPr>
          <w:rFonts w:ascii="Times New Roman" w:eastAsia="宋体" w:hAnsi="Times New Roman" w:cs="Times New Roman"/>
        </w:rPr>
        <w:t>），采用植被指数法计算植被覆盖度，植被指数法主要是通过对各像元中植被类型及分布特征的分析，建立植被指数与植被覆盖度的转换关系。</w:t>
      </w:r>
      <w:r>
        <w:rPr>
          <w:rFonts w:ascii="Times New Roman" w:eastAsia="宋体" w:hAnsi="Times New Roman" w:cs="Times New Roman" w:hint="eastAsia"/>
        </w:rPr>
        <w:t>根据本工程占地情况，工程无新增永久占地，故着重分析施工期临时占地对植被覆盖度影响分析。施工期临时占地占用旱地</w:t>
      </w:r>
      <w:r>
        <w:rPr>
          <w:rFonts w:ascii="Times New Roman" w:eastAsia="宋体" w:hAnsi="Times New Roman" w:cs="Times New Roman"/>
        </w:rPr>
        <w:t>1.</w:t>
      </w:r>
      <w:r>
        <w:rPr>
          <w:rFonts w:ascii="Times New Roman" w:eastAsia="宋体" w:hAnsi="Times New Roman" w:cs="Times New Roman" w:hint="eastAsia"/>
        </w:rPr>
        <w:t>03</w:t>
      </w:r>
      <w:r>
        <w:rPr>
          <w:rFonts w:ascii="Times New Roman" w:eastAsia="宋体" w:hAnsi="Times New Roman" w:cs="Times New Roman" w:hint="eastAsia"/>
          <w:b/>
          <w:bCs/>
          <w:snapToGrid w:val="0"/>
          <w:color w:val="0000FF"/>
          <w:spacing w:val="-1"/>
          <w:kern w:val="0"/>
        </w:rPr>
        <w:t xml:space="preserve"> </w:t>
      </w:r>
      <w:r>
        <w:rPr>
          <w:rFonts w:ascii="Times New Roman" w:eastAsia="宋体" w:hAnsi="Times New Roman" w:cs="Times New Roman" w:hint="eastAsia"/>
          <w:bCs/>
        </w:rPr>
        <w:t>hm</w:t>
      </w:r>
      <w:r>
        <w:rPr>
          <w:rFonts w:ascii="Times New Roman" w:eastAsia="宋体" w:hAnsi="Times New Roman" w:cs="Times New Roman" w:hint="eastAsia"/>
          <w:bCs/>
          <w:vertAlign w:val="superscript"/>
        </w:rPr>
        <w:t>2</w:t>
      </w:r>
      <w:r>
        <w:rPr>
          <w:rFonts w:ascii="Times New Roman" w:eastAsia="宋体" w:hAnsi="Times New Roman" w:cs="Times New Roman" w:hint="eastAsia"/>
        </w:rPr>
        <w:t>，</w:t>
      </w:r>
      <w:r>
        <w:rPr>
          <w:rFonts w:ascii="Times New Roman" w:eastAsia="宋体" w:hAnsi="Times New Roman" w:cs="Times New Roman"/>
        </w:rPr>
        <w:t>临时占地</w:t>
      </w:r>
      <w:r>
        <w:rPr>
          <w:rFonts w:ascii="Times New Roman" w:eastAsia="宋体" w:hAnsi="Times New Roman" w:cs="Times New Roman" w:hint="eastAsia"/>
        </w:rPr>
        <w:t>占用植被</w:t>
      </w:r>
      <w:r>
        <w:rPr>
          <w:rFonts w:ascii="Times New Roman" w:eastAsia="宋体" w:hAnsi="Times New Roman" w:cs="Times New Roman"/>
        </w:rPr>
        <w:t>在</w:t>
      </w:r>
      <w:r>
        <w:rPr>
          <w:rFonts w:ascii="Times New Roman" w:eastAsia="宋体" w:hAnsi="Times New Roman" w:cs="Times New Roman" w:hint="eastAsia"/>
        </w:rPr>
        <w:t>半</w:t>
      </w:r>
      <w:r>
        <w:rPr>
          <w:rFonts w:ascii="Times New Roman" w:eastAsia="宋体" w:hAnsi="Times New Roman" w:cs="Times New Roman"/>
        </w:rPr>
        <w:t>年</w:t>
      </w:r>
      <w:r>
        <w:rPr>
          <w:rFonts w:ascii="Times New Roman" w:eastAsia="宋体" w:hAnsi="Times New Roman" w:cs="Times New Roman" w:hint="eastAsia"/>
        </w:rPr>
        <w:t>内</w:t>
      </w:r>
      <w:r>
        <w:rPr>
          <w:rFonts w:ascii="Times New Roman" w:eastAsia="宋体" w:hAnsi="Times New Roman" w:cs="Times New Roman"/>
        </w:rPr>
        <w:t>植被覆盖度可基本恢复</w:t>
      </w:r>
      <w:r>
        <w:rPr>
          <w:rFonts w:ascii="Times New Roman" w:eastAsia="宋体" w:hAnsi="Times New Roman" w:cs="Times New Roman" w:hint="eastAsia"/>
        </w:rPr>
        <w:t>原状</w:t>
      </w:r>
      <w:r>
        <w:rPr>
          <w:rFonts w:ascii="Times New Roman" w:eastAsia="宋体" w:hAnsi="Times New Roman" w:cs="Times New Roman"/>
        </w:rPr>
        <w:t>。</w:t>
      </w:r>
    </w:p>
    <w:p w14:paraId="58C07F0A" w14:textId="77777777" w:rsidR="009D12AF" w:rsidRDefault="00000000">
      <w:pPr>
        <w:pStyle w:val="4"/>
        <w:ind w:firstLineChars="0" w:firstLine="0"/>
      </w:pPr>
      <w:r>
        <w:rPr>
          <w:rFonts w:hint="eastAsia"/>
        </w:rPr>
        <w:t>5.1.9.8</w:t>
      </w:r>
      <w:r>
        <w:rPr>
          <w:rFonts w:hint="eastAsia"/>
        </w:rPr>
        <w:t>生物多样性影响分析</w:t>
      </w:r>
    </w:p>
    <w:p w14:paraId="6BD67F77" w14:textId="77777777" w:rsidR="009D12AF" w:rsidRDefault="00000000">
      <w:pPr>
        <w:ind w:firstLine="480"/>
      </w:pPr>
      <w:r>
        <w:rPr>
          <w:rFonts w:hint="eastAsia"/>
        </w:rPr>
        <w:t>项目施工对生物多样性的影响主要分为对生物多样性数量的影响及对生物多样性空间变化的影响。</w:t>
      </w:r>
    </w:p>
    <w:p w14:paraId="1EE4FA75" w14:textId="77777777" w:rsidR="009D12AF" w:rsidRDefault="00000000">
      <w:pPr>
        <w:pStyle w:val="afd"/>
        <w:spacing w:before="156"/>
      </w:pPr>
      <w:r>
        <w:rPr>
          <w:rFonts w:hint="eastAsia"/>
        </w:rPr>
        <w:t>1</w:t>
      </w:r>
      <w:r>
        <w:rPr>
          <w:rFonts w:hint="eastAsia"/>
        </w:rPr>
        <w:t>、对生物多样性数量的影响</w:t>
      </w:r>
    </w:p>
    <w:p w14:paraId="516928A7" w14:textId="77777777" w:rsidR="009D12AF" w:rsidRDefault="00000000">
      <w:pPr>
        <w:ind w:firstLine="480"/>
      </w:pPr>
      <w:r>
        <w:rPr>
          <w:rFonts w:hint="eastAsia"/>
        </w:rPr>
        <w:t>本项目仅涉及</w:t>
      </w:r>
      <w:r>
        <w:rPr>
          <w:rFonts w:hint="eastAsia"/>
        </w:rPr>
        <w:t xml:space="preserve"> 1.03 </w:t>
      </w:r>
      <w:r>
        <w:rPr>
          <w:rFonts w:hint="eastAsia"/>
        </w:rPr>
        <w:t>公顷耕地临时占地，无其他占地类型。工程占用耕地面积占评价区农田系统的</w:t>
      </w:r>
      <w:r>
        <w:rPr>
          <w:rFonts w:hint="eastAsia"/>
        </w:rPr>
        <w:t>0.37%</w:t>
      </w:r>
      <w:r>
        <w:rPr>
          <w:rFonts w:hint="eastAsia"/>
        </w:rPr>
        <w:t>，占比较小。且耕地种植的种类较单一，以玉米、大豆为主，对其生物多样性影响不大；施工期间，评价范围动物可主动迁移至周边适宜生境。因此，项目实施不会改变当地原生作物种类构成，评价范围物种丰富度、香农多样性指数及均匀度指数均无显著变化，对生物多样性数量无明显影响。</w:t>
      </w:r>
    </w:p>
    <w:p w14:paraId="4A4979D1" w14:textId="77777777" w:rsidR="009D12AF" w:rsidRDefault="00000000">
      <w:pPr>
        <w:pStyle w:val="afd"/>
        <w:spacing w:before="156"/>
      </w:pPr>
      <w:r>
        <w:rPr>
          <w:rFonts w:hint="eastAsia"/>
        </w:rPr>
        <w:t>2</w:t>
      </w:r>
      <w:r>
        <w:rPr>
          <w:rFonts w:hint="eastAsia"/>
        </w:rPr>
        <w:t>、生物多样性空间变化的影响</w:t>
      </w:r>
    </w:p>
    <w:p w14:paraId="7FD31705" w14:textId="77777777" w:rsidR="009D12AF" w:rsidRDefault="00000000">
      <w:pPr>
        <w:ind w:firstLine="480"/>
      </w:pPr>
      <w:r>
        <w:rPr>
          <w:rFonts w:hint="eastAsia"/>
        </w:rPr>
        <w:t>项目临时占地仅改变局部</w:t>
      </w:r>
      <w:r>
        <w:rPr>
          <w:rFonts w:hint="eastAsia"/>
        </w:rPr>
        <w:t xml:space="preserve"> 1.03 </w:t>
      </w:r>
      <w:r>
        <w:rPr>
          <w:rFonts w:hint="eastAsia"/>
        </w:rPr>
        <w:t>公顷耕地的景观格局，暂时减少农田生态系统面积，同时局部增加城镇生态系统面积，对区域生物多样性产生轻微负面影响，施工会短暂扰动耕地土壤、造成少量作物临时移除。待工程完工后，临时占地将开展恢复工作，耕地生态系统面积及土壤、植被状况可逐步恢复，上述负面影响将随之消退。</w:t>
      </w:r>
    </w:p>
    <w:p w14:paraId="602721B0" w14:textId="77777777" w:rsidR="009D12AF" w:rsidRDefault="00000000">
      <w:pPr>
        <w:pStyle w:val="4"/>
        <w:ind w:firstLineChars="0" w:firstLine="0"/>
      </w:pPr>
      <w:r>
        <w:rPr>
          <w:rFonts w:hint="eastAsia"/>
        </w:rPr>
        <w:lastRenderedPageBreak/>
        <w:t>5.1.9.9</w:t>
      </w:r>
      <w:r>
        <w:rPr>
          <w:rFonts w:hint="eastAsia"/>
        </w:rPr>
        <w:t>区域生态功能影响分析</w:t>
      </w:r>
    </w:p>
    <w:p w14:paraId="584434FA" w14:textId="77777777" w:rsidR="009D12AF" w:rsidRDefault="00000000">
      <w:pPr>
        <w:widowControl/>
        <w:ind w:firstLine="480"/>
        <w:jc w:val="left"/>
        <w:rPr>
          <w:rFonts w:ascii="宋体" w:eastAsia="宋体" w:hAnsi="宋体" w:cs="宋体" w:hint="eastAsia"/>
          <w:kern w:val="0"/>
        </w:rPr>
      </w:pPr>
      <w:r>
        <w:rPr>
          <w:rFonts w:ascii="宋体" w:eastAsia="宋体" w:hAnsi="宋体" w:cs="宋体" w:hint="eastAsia"/>
          <w:kern w:val="0"/>
        </w:rPr>
        <w:t>工程建设过程中，由于机械碾压、施工人员扰动，损坏和占压植被，都会不同程度的扰动地表，损坏地表土体结构，使原有的水土保持功能丧失，加剧水土流失危害。</w:t>
      </w:r>
    </w:p>
    <w:p w14:paraId="4BB14511" w14:textId="77777777" w:rsidR="009D12AF" w:rsidRDefault="00000000">
      <w:pPr>
        <w:widowControl/>
        <w:numPr>
          <w:ilvl w:val="0"/>
          <w:numId w:val="29"/>
        </w:numPr>
        <w:jc w:val="left"/>
        <w:rPr>
          <w:rFonts w:ascii="宋体" w:eastAsia="宋体" w:hAnsi="宋体" w:cs="宋体" w:hint="eastAsia"/>
          <w:kern w:val="0"/>
        </w:rPr>
      </w:pPr>
      <w:r>
        <w:rPr>
          <w:rFonts w:ascii="宋体" w:eastAsia="宋体" w:hAnsi="宋体" w:cs="宋体" w:hint="eastAsia"/>
          <w:kern w:val="0"/>
        </w:rPr>
        <w:t xml:space="preserve">施工期（含施工准备期） </w:t>
      </w:r>
    </w:p>
    <w:p w14:paraId="6AB38CBE" w14:textId="77777777" w:rsidR="009D12AF" w:rsidRDefault="00000000">
      <w:pPr>
        <w:widowControl/>
        <w:ind w:firstLine="480"/>
        <w:jc w:val="left"/>
        <w:rPr>
          <w:rFonts w:ascii="宋体" w:eastAsia="宋体" w:hAnsi="宋体" w:cs="宋体" w:hint="eastAsia"/>
          <w:kern w:val="0"/>
        </w:rPr>
      </w:pPr>
      <w:r>
        <w:rPr>
          <w:rFonts w:ascii="宋体" w:eastAsia="宋体" w:hAnsi="宋体" w:cs="宋体" w:hint="eastAsia"/>
          <w:kern w:val="0"/>
        </w:rPr>
        <w:t xml:space="preserve">该阶段水土流失影响因素以人为活动为主导因素。在无人为干扰情况下，其抗侵蚀力基本保持不变。项目建设过程中，表土剥离、场地平整、施工机械碾压等活动，改变了项目区地形地貌，扰动地表，破坏植被，均会造成不同程度的水土流失，同时淤泥堆置等施工活动在降雨影响下加剧水土流失。 </w:t>
      </w:r>
    </w:p>
    <w:p w14:paraId="052B40A0" w14:textId="77777777" w:rsidR="009D12AF" w:rsidRDefault="00000000">
      <w:pPr>
        <w:widowControl/>
        <w:numPr>
          <w:ilvl w:val="0"/>
          <w:numId w:val="29"/>
        </w:numPr>
        <w:jc w:val="left"/>
        <w:rPr>
          <w:rFonts w:ascii="宋体" w:eastAsia="宋体" w:hAnsi="宋体" w:cs="宋体" w:hint="eastAsia"/>
          <w:kern w:val="0"/>
        </w:rPr>
      </w:pPr>
      <w:r>
        <w:rPr>
          <w:rFonts w:ascii="宋体" w:eastAsia="宋体" w:hAnsi="宋体" w:cs="宋体" w:hint="eastAsia"/>
          <w:kern w:val="0"/>
        </w:rPr>
        <w:t xml:space="preserve">自然恢复期 </w:t>
      </w:r>
    </w:p>
    <w:p w14:paraId="675AE74E" w14:textId="77777777" w:rsidR="009D12AF" w:rsidRDefault="00000000">
      <w:pPr>
        <w:widowControl/>
        <w:ind w:firstLine="480"/>
        <w:jc w:val="left"/>
        <w:rPr>
          <w:rFonts w:ascii="宋体" w:eastAsia="宋体" w:hAnsi="宋体" w:cs="宋体" w:hint="eastAsia"/>
          <w:kern w:val="0"/>
        </w:rPr>
      </w:pPr>
      <w:r>
        <w:rPr>
          <w:rFonts w:ascii="宋体" w:eastAsia="宋体" w:hAnsi="宋体" w:cs="宋体" w:hint="eastAsia"/>
          <w:kern w:val="0"/>
        </w:rPr>
        <w:t>自然恢复期，扰动地表的各项施工活动已经停止，水土流失量将较施工期明显减少，并逐渐趋于原地貌水平，但在植被逐年恢复的过程中仍有一定的水土流失。</w:t>
      </w:r>
    </w:p>
    <w:p w14:paraId="2568897C" w14:textId="77777777" w:rsidR="009D12AF" w:rsidRDefault="00000000">
      <w:pPr>
        <w:widowControl/>
        <w:ind w:firstLine="480"/>
        <w:jc w:val="left"/>
        <w:rPr>
          <w:rFonts w:ascii="宋体" w:eastAsia="宋体" w:hAnsi="宋体" w:cs="宋体" w:hint="eastAsia"/>
          <w:kern w:val="0"/>
        </w:rPr>
      </w:pPr>
      <w:r>
        <w:rPr>
          <w:rFonts w:ascii="宋体" w:eastAsia="宋体" w:hAnsi="宋体" w:cs="宋体" w:hint="eastAsia"/>
          <w:kern w:val="0"/>
        </w:rPr>
        <w:t xml:space="preserve">项目建设造成水土流失因素分析见表 </w:t>
      </w:r>
      <w:r>
        <w:rPr>
          <w:rFonts w:ascii="Times New Roman" w:eastAsia="宋体" w:hAnsi="Times New Roman" w:cs="Times New Roman"/>
          <w:kern w:val="0"/>
        </w:rPr>
        <w:t>5.1-11</w:t>
      </w:r>
    </w:p>
    <w:p w14:paraId="366F0DF9" w14:textId="77777777" w:rsidR="009D12AF" w:rsidRDefault="00000000">
      <w:pPr>
        <w:widowControl/>
        <w:ind w:firstLine="482"/>
        <w:jc w:val="center"/>
        <w:rPr>
          <w:rFonts w:ascii="宋体" w:eastAsia="宋体" w:hAnsi="宋体" w:cs="宋体" w:hint="eastAsia"/>
          <w:b/>
          <w:bCs/>
          <w:kern w:val="0"/>
        </w:rPr>
      </w:pPr>
      <w:r>
        <w:rPr>
          <w:rFonts w:ascii="宋体" w:eastAsia="宋体" w:hAnsi="宋体" w:cs="宋体" w:hint="eastAsia"/>
          <w:b/>
          <w:bCs/>
          <w:kern w:val="0"/>
        </w:rPr>
        <w:t xml:space="preserve">表 </w:t>
      </w:r>
      <w:r>
        <w:rPr>
          <w:rFonts w:ascii="Times New Roman" w:eastAsia="宋体" w:hAnsi="Times New Roman" w:cs="Times New Roman"/>
          <w:b/>
          <w:bCs/>
          <w:kern w:val="0"/>
        </w:rPr>
        <w:t>5.1-11</w:t>
      </w:r>
      <w:r>
        <w:rPr>
          <w:rFonts w:ascii="宋体" w:eastAsia="宋体" w:hAnsi="宋体" w:cs="宋体"/>
          <w:b/>
          <w:bCs/>
          <w:kern w:val="0"/>
        </w:rPr>
        <w:t xml:space="preserve"> </w:t>
      </w:r>
      <w:r>
        <w:rPr>
          <w:rFonts w:ascii="宋体" w:eastAsia="宋体" w:hAnsi="宋体" w:cs="宋体" w:hint="eastAsia"/>
          <w:b/>
          <w:bCs/>
          <w:kern w:val="0"/>
        </w:rPr>
        <w:t>项目建设对水土流失影响因素分析表</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107"/>
        <w:gridCol w:w="1759"/>
        <w:gridCol w:w="3494"/>
        <w:gridCol w:w="2159"/>
      </w:tblGrid>
      <w:tr w:rsidR="009D12AF" w14:paraId="39937380" w14:textId="77777777">
        <w:trPr>
          <w:jc w:val="center"/>
        </w:trPr>
        <w:tc>
          <w:tcPr>
            <w:tcW w:w="649" w:type="pct"/>
            <w:tcBorders>
              <w:tl2br w:val="nil"/>
              <w:tr2bl w:val="nil"/>
            </w:tcBorders>
            <w:vAlign w:val="center"/>
          </w:tcPr>
          <w:p w14:paraId="5D77DE9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时段</w:t>
            </w:r>
          </w:p>
        </w:tc>
        <w:tc>
          <w:tcPr>
            <w:tcW w:w="1032" w:type="pct"/>
            <w:tcBorders>
              <w:tl2br w:val="nil"/>
              <w:tr2bl w:val="nil"/>
            </w:tcBorders>
            <w:vAlign w:val="center"/>
          </w:tcPr>
          <w:p w14:paraId="5AA2946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分区名称</w:t>
            </w:r>
          </w:p>
        </w:tc>
        <w:tc>
          <w:tcPr>
            <w:tcW w:w="2051" w:type="pct"/>
            <w:tcBorders>
              <w:tl2br w:val="nil"/>
              <w:tr2bl w:val="nil"/>
            </w:tcBorders>
            <w:vAlign w:val="center"/>
          </w:tcPr>
          <w:p w14:paraId="2A25107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扰动方式</w:t>
            </w:r>
          </w:p>
        </w:tc>
        <w:tc>
          <w:tcPr>
            <w:tcW w:w="1267" w:type="pct"/>
            <w:tcBorders>
              <w:tl2br w:val="nil"/>
              <w:tr2bl w:val="nil"/>
            </w:tcBorders>
            <w:vAlign w:val="center"/>
          </w:tcPr>
          <w:p w14:paraId="6AF44F4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产生水土流失的因素</w:t>
            </w:r>
          </w:p>
        </w:tc>
      </w:tr>
      <w:tr w:rsidR="009D12AF" w14:paraId="61C9CE58" w14:textId="77777777">
        <w:trPr>
          <w:trHeight w:val="48"/>
          <w:jc w:val="center"/>
        </w:trPr>
        <w:tc>
          <w:tcPr>
            <w:tcW w:w="649" w:type="pct"/>
            <w:vMerge w:val="restart"/>
            <w:tcBorders>
              <w:tl2br w:val="nil"/>
              <w:tr2bl w:val="nil"/>
            </w:tcBorders>
            <w:vAlign w:val="center"/>
          </w:tcPr>
          <w:p w14:paraId="68C2BB4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施工期</w:t>
            </w:r>
          </w:p>
        </w:tc>
        <w:tc>
          <w:tcPr>
            <w:tcW w:w="1032" w:type="pct"/>
            <w:tcBorders>
              <w:tl2br w:val="nil"/>
              <w:tr2bl w:val="nil"/>
            </w:tcBorders>
            <w:vAlign w:val="center"/>
          </w:tcPr>
          <w:p w14:paraId="1196B0F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机械设备停放区</w:t>
            </w:r>
          </w:p>
        </w:tc>
        <w:tc>
          <w:tcPr>
            <w:tcW w:w="2051" w:type="pct"/>
            <w:tcBorders>
              <w:tl2br w:val="nil"/>
              <w:tr2bl w:val="nil"/>
            </w:tcBorders>
            <w:vAlign w:val="center"/>
          </w:tcPr>
          <w:p w14:paraId="5D0EB87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机械碾压、施工人员扰动</w:t>
            </w:r>
          </w:p>
        </w:tc>
        <w:tc>
          <w:tcPr>
            <w:tcW w:w="1267" w:type="pct"/>
            <w:vMerge w:val="restart"/>
            <w:tcBorders>
              <w:tl2br w:val="nil"/>
              <w:tr2bl w:val="nil"/>
            </w:tcBorders>
            <w:vAlign w:val="center"/>
          </w:tcPr>
          <w:p w14:paraId="18C849F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损毁植被</w:t>
            </w:r>
          </w:p>
          <w:p w14:paraId="56CA1ED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土壤裸露</w:t>
            </w:r>
          </w:p>
          <w:p w14:paraId="230DC1A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土质疏松</w:t>
            </w:r>
          </w:p>
        </w:tc>
      </w:tr>
      <w:tr w:rsidR="009D12AF" w14:paraId="089AAEE7" w14:textId="77777777">
        <w:trPr>
          <w:trHeight w:val="44"/>
          <w:jc w:val="center"/>
        </w:trPr>
        <w:tc>
          <w:tcPr>
            <w:tcW w:w="649" w:type="pct"/>
            <w:vMerge/>
            <w:tcBorders>
              <w:tl2br w:val="nil"/>
              <w:tr2bl w:val="nil"/>
            </w:tcBorders>
            <w:vAlign w:val="center"/>
          </w:tcPr>
          <w:p w14:paraId="15FE0127"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1032" w:type="pct"/>
            <w:tcBorders>
              <w:tl2br w:val="nil"/>
              <w:tr2bl w:val="nil"/>
            </w:tcBorders>
            <w:vAlign w:val="center"/>
          </w:tcPr>
          <w:p w14:paraId="4C7F005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居住区</w:t>
            </w:r>
          </w:p>
        </w:tc>
        <w:tc>
          <w:tcPr>
            <w:tcW w:w="2051" w:type="pct"/>
            <w:tcBorders>
              <w:tl2br w:val="nil"/>
              <w:tr2bl w:val="nil"/>
            </w:tcBorders>
            <w:vAlign w:val="center"/>
          </w:tcPr>
          <w:p w14:paraId="3F3C2ABF"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施工人员扰动</w:t>
            </w:r>
          </w:p>
        </w:tc>
        <w:tc>
          <w:tcPr>
            <w:tcW w:w="1267" w:type="pct"/>
            <w:vMerge/>
            <w:tcBorders>
              <w:tl2br w:val="nil"/>
              <w:tr2bl w:val="nil"/>
            </w:tcBorders>
            <w:vAlign w:val="center"/>
          </w:tcPr>
          <w:p w14:paraId="0240BCE1"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3F13D5B4" w14:textId="77777777">
        <w:trPr>
          <w:trHeight w:val="44"/>
          <w:jc w:val="center"/>
        </w:trPr>
        <w:tc>
          <w:tcPr>
            <w:tcW w:w="649" w:type="pct"/>
            <w:vMerge/>
            <w:tcBorders>
              <w:tl2br w:val="nil"/>
              <w:tr2bl w:val="nil"/>
            </w:tcBorders>
            <w:vAlign w:val="center"/>
          </w:tcPr>
          <w:p w14:paraId="31347903"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c>
          <w:tcPr>
            <w:tcW w:w="1032" w:type="pct"/>
            <w:tcBorders>
              <w:tl2br w:val="nil"/>
              <w:tr2bl w:val="nil"/>
            </w:tcBorders>
            <w:vAlign w:val="center"/>
          </w:tcPr>
          <w:p w14:paraId="45132F3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淤泥堆放区</w:t>
            </w:r>
          </w:p>
        </w:tc>
        <w:tc>
          <w:tcPr>
            <w:tcW w:w="2051" w:type="pct"/>
            <w:tcBorders>
              <w:tl2br w:val="nil"/>
              <w:tr2bl w:val="nil"/>
            </w:tcBorders>
            <w:vAlign w:val="center"/>
          </w:tcPr>
          <w:p w14:paraId="0C061D7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机械碾压、淤泥临时堆置</w:t>
            </w:r>
          </w:p>
        </w:tc>
        <w:tc>
          <w:tcPr>
            <w:tcW w:w="1267" w:type="pct"/>
            <w:vMerge/>
            <w:tcBorders>
              <w:tl2br w:val="nil"/>
              <w:tr2bl w:val="nil"/>
            </w:tcBorders>
            <w:vAlign w:val="center"/>
          </w:tcPr>
          <w:p w14:paraId="61A62CDC" w14:textId="77777777" w:rsidR="009D12AF" w:rsidRDefault="009D12AF">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p>
        </w:tc>
      </w:tr>
      <w:tr w:rsidR="009D12AF" w14:paraId="1E69DAC2" w14:textId="77777777">
        <w:trPr>
          <w:jc w:val="center"/>
        </w:trPr>
        <w:tc>
          <w:tcPr>
            <w:tcW w:w="649" w:type="pct"/>
            <w:tcBorders>
              <w:tl2br w:val="nil"/>
              <w:tr2bl w:val="nil"/>
            </w:tcBorders>
            <w:vAlign w:val="center"/>
          </w:tcPr>
          <w:p w14:paraId="76FA35C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自然</w:t>
            </w:r>
          </w:p>
          <w:p w14:paraId="77EEEA63"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恢复期</w:t>
            </w:r>
          </w:p>
        </w:tc>
        <w:tc>
          <w:tcPr>
            <w:tcW w:w="1032" w:type="pct"/>
            <w:tcBorders>
              <w:tl2br w:val="nil"/>
              <w:tr2bl w:val="nil"/>
            </w:tcBorders>
            <w:vAlign w:val="center"/>
          </w:tcPr>
          <w:p w14:paraId="23A2CDFB"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各防治分区</w:t>
            </w:r>
          </w:p>
        </w:tc>
        <w:tc>
          <w:tcPr>
            <w:tcW w:w="2051" w:type="pct"/>
            <w:tcBorders>
              <w:tl2br w:val="nil"/>
              <w:tr2bl w:val="nil"/>
            </w:tcBorders>
            <w:vAlign w:val="center"/>
          </w:tcPr>
          <w:p w14:paraId="37C4CCF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无</w:t>
            </w:r>
          </w:p>
        </w:tc>
        <w:tc>
          <w:tcPr>
            <w:tcW w:w="1267" w:type="pct"/>
            <w:tcBorders>
              <w:tl2br w:val="nil"/>
              <w:tr2bl w:val="nil"/>
            </w:tcBorders>
            <w:vAlign w:val="center"/>
          </w:tcPr>
          <w:p w14:paraId="13F7A46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植物措施尚未完全发挥水保作用，仍有水土流失产生。</w:t>
            </w:r>
          </w:p>
        </w:tc>
      </w:tr>
    </w:tbl>
    <w:p w14:paraId="5DF9FCD2" w14:textId="77777777" w:rsidR="009D12AF" w:rsidRDefault="00000000">
      <w:pPr>
        <w:pStyle w:val="4"/>
        <w:ind w:firstLineChars="0" w:firstLine="0"/>
      </w:pPr>
      <w:r>
        <w:rPr>
          <w:rFonts w:hint="eastAsia"/>
        </w:rPr>
        <w:t>5.1.9.10</w:t>
      </w:r>
      <w:r>
        <w:rPr>
          <w:rFonts w:hint="eastAsia"/>
        </w:rPr>
        <w:t>对陆生植被的影响</w:t>
      </w:r>
    </w:p>
    <w:p w14:paraId="5A64F4E8" w14:textId="77777777" w:rsidR="009D12AF" w:rsidRDefault="00000000">
      <w:pPr>
        <w:pStyle w:val="afd"/>
        <w:spacing w:before="156"/>
      </w:pPr>
      <w:r>
        <w:rPr>
          <w:rFonts w:hint="eastAsia"/>
        </w:rPr>
        <w:t>（</w:t>
      </w:r>
      <w:r>
        <w:rPr>
          <w:rFonts w:hint="eastAsia"/>
        </w:rPr>
        <w:t>1</w:t>
      </w:r>
      <w:r>
        <w:rPr>
          <w:rFonts w:hint="eastAsia"/>
        </w:rPr>
        <w:t>）工程占地对植被的影响分析</w:t>
      </w:r>
    </w:p>
    <w:p w14:paraId="6E144258" w14:textId="77777777" w:rsidR="009D12AF" w:rsidRDefault="00000000">
      <w:pPr>
        <w:pStyle w:val="afd"/>
        <w:spacing w:before="156"/>
      </w:pPr>
      <w:r>
        <w:rPr>
          <w:rFonts w:hint="eastAsia"/>
        </w:rPr>
        <w:t>在水库清淤项目施工过程中，工程采用环保绞吸船水下作业，通过封闭排泥管线将淤泥输送至转存区，施工对植被的影响主要集中于</w:t>
      </w:r>
      <w:r>
        <w:rPr>
          <w:rFonts w:hint="eastAsia"/>
        </w:rPr>
        <w:t xml:space="preserve"> 1.26hm</w:t>
      </w:r>
      <w:r>
        <w:rPr>
          <w:rFonts w:hint="eastAsia"/>
        </w:rPr>
        <w:t>²</w:t>
      </w:r>
      <w:r>
        <w:rPr>
          <w:rFonts w:hint="eastAsia"/>
        </w:rPr>
        <w:t xml:space="preserve"> </w:t>
      </w:r>
      <w:r>
        <w:rPr>
          <w:rFonts w:hint="eastAsia"/>
        </w:rPr>
        <w:t>临时占地（含淤泥转存区、机械设备停放区、施工便道及管线接口区），水下清淤作业对陆生植被无直接扰动，仅对作业点周边少量沉水植被有短期轻微影响，整体植被影响</w:t>
      </w:r>
      <w:r>
        <w:rPr>
          <w:rFonts w:hint="eastAsia"/>
        </w:rPr>
        <w:lastRenderedPageBreak/>
        <w:t>范围可控、程度有限。</w:t>
      </w:r>
    </w:p>
    <w:p w14:paraId="1A42108C" w14:textId="77777777" w:rsidR="009D12AF" w:rsidRDefault="00000000">
      <w:pPr>
        <w:pStyle w:val="afd"/>
        <w:spacing w:before="156"/>
      </w:pPr>
      <w:r>
        <w:rPr>
          <w:rFonts w:hint="eastAsia"/>
        </w:rPr>
        <w:t>为进一步降低植被影响，项目严格按照生态保护要求优化施工方案：施工前对临时占地范围进行逐株排查，明确避开国家重点保护植物分布区；转存区表层植被采用人工清理，清理后的草本植被种子集中收集，待恢复阶段撒播回用；施工过程中，转存区周边设置</w:t>
      </w:r>
      <w:r>
        <w:rPr>
          <w:rFonts w:hint="eastAsia"/>
        </w:rPr>
        <w:t xml:space="preserve"> 0.5m </w:t>
      </w:r>
      <w:r>
        <w:rPr>
          <w:rFonts w:hint="eastAsia"/>
        </w:rPr>
        <w:t>高绿色警示带，严禁机械、人员越界踩踏植被；封闭排泥管线接口处采用防渗密封处理，避免淤泥渗漏污染周边植被；施工结束后，优先回覆前期剥离的表层土壤，按原生植被类型分别撒播芦苇、香蒲等乡土湿生草种及耕地作物种子，疏林地边缘补植</w:t>
      </w:r>
      <w:r>
        <w:rPr>
          <w:rFonts w:hint="eastAsia"/>
        </w:rPr>
        <w:t xml:space="preserve"> 2 </w:t>
      </w:r>
      <w:r>
        <w:rPr>
          <w:rFonts w:hint="eastAsia"/>
        </w:rPr>
        <w:t>年生杨树苗，同时缩短临时占地占用周期，最大限度降低植被恢复难度，保障区域植被群落完整性。</w:t>
      </w:r>
    </w:p>
    <w:p w14:paraId="738197F5" w14:textId="77777777" w:rsidR="009D12AF" w:rsidRDefault="00000000">
      <w:pPr>
        <w:pStyle w:val="afd"/>
        <w:spacing w:before="156"/>
      </w:pPr>
      <w:r>
        <w:rPr>
          <w:rFonts w:hint="eastAsia"/>
        </w:rPr>
        <w:t>（</w:t>
      </w:r>
      <w:r>
        <w:rPr>
          <w:rFonts w:hint="eastAsia"/>
        </w:rPr>
        <w:t>2</w:t>
      </w:r>
      <w:r>
        <w:rPr>
          <w:rFonts w:hint="eastAsia"/>
        </w:rPr>
        <w:t>）施工期污染物对植被的影响</w:t>
      </w:r>
    </w:p>
    <w:p w14:paraId="4DAF8EAF" w14:textId="77777777" w:rsidR="009D12AF" w:rsidRDefault="00000000">
      <w:pPr>
        <w:pStyle w:val="afd"/>
        <w:spacing w:before="156"/>
      </w:pPr>
      <w:r>
        <w:rPr>
          <w:rFonts w:hint="eastAsia"/>
        </w:rPr>
        <w:t>本工程施工期间的污染主要来自于淤泥转存区作业产生的扬尘、施工机械与运输车辆排放的废气，以及清淤作业产生的含泥废水、施工人员生活污水，还有防渗膜边角料、施工包装材料及生活垃圾等固体废物，各类污染物对植被的影响均可控，未造成大范围损害。</w:t>
      </w:r>
    </w:p>
    <w:p w14:paraId="6301B301" w14:textId="77777777" w:rsidR="009D12AF" w:rsidRDefault="00000000">
      <w:pPr>
        <w:pStyle w:val="afd"/>
        <w:spacing w:before="156"/>
      </w:pPr>
      <w:r>
        <w:rPr>
          <w:rFonts w:hint="eastAsia"/>
        </w:rPr>
        <w:t>1</w:t>
      </w:r>
      <w:r>
        <w:rPr>
          <w:rFonts w:hint="eastAsia"/>
        </w:rPr>
        <w:t>）扬尘、废气对植被的影响</w:t>
      </w:r>
    </w:p>
    <w:p w14:paraId="533D08A0" w14:textId="77777777" w:rsidR="009D12AF" w:rsidRDefault="00000000">
      <w:pPr>
        <w:pStyle w:val="afd"/>
        <w:spacing w:before="156"/>
      </w:pPr>
      <w:r>
        <w:rPr>
          <w:rFonts w:hint="eastAsia"/>
        </w:rPr>
        <w:t>工程施工期扬尘主要来源于淤泥转存区的表土剥离作业、淤泥转运时的车辆装卸，以及施工便道的车辆行驶；废气则来自挖掘机、装载机、运输车等机械的尾气排放，其中以扬尘对植被的影响为主。扬尘中的颗粒物质沉降在转存区周边</w:t>
      </w:r>
      <w:r>
        <w:rPr>
          <w:rFonts w:hint="eastAsia"/>
        </w:rPr>
        <w:t xml:space="preserve"> 30m </w:t>
      </w:r>
      <w:r>
        <w:rPr>
          <w:rFonts w:hint="eastAsia"/>
        </w:rPr>
        <w:t>范围内植物的叶、茎、花等地上器官，以干粉尘形式附着在叶片表面，若未及时清理，会阻塞植物气孔，导致气体交换效率下降，光合作用减弱，极端情况下可能出现叶片轻微黄化，但无干缩现象；废气中的少量颗粒物与有害气体（如</w:t>
      </w:r>
      <w:r>
        <w:rPr>
          <w:rFonts w:hint="eastAsia"/>
        </w:rPr>
        <w:t xml:space="preserve"> NOx</w:t>
      </w:r>
      <w:r>
        <w:rPr>
          <w:rFonts w:hint="eastAsia"/>
        </w:rPr>
        <w:t>、</w:t>
      </w:r>
      <w:r>
        <w:rPr>
          <w:rFonts w:hint="eastAsia"/>
        </w:rPr>
        <w:t>CO</w:t>
      </w:r>
      <w:r>
        <w:rPr>
          <w:rFonts w:hint="eastAsia"/>
        </w:rPr>
        <w:t>）浓度较低，且多随空气扩散，对植被无显著直接影响。</w:t>
      </w:r>
    </w:p>
    <w:p w14:paraId="6780C51A" w14:textId="77777777" w:rsidR="009D12AF" w:rsidRDefault="00000000">
      <w:pPr>
        <w:pStyle w:val="afd"/>
        <w:spacing w:before="156"/>
      </w:pPr>
      <w:r>
        <w:rPr>
          <w:rFonts w:hint="eastAsia"/>
        </w:rPr>
        <w:t>2</w:t>
      </w:r>
      <w:r>
        <w:rPr>
          <w:rFonts w:hint="eastAsia"/>
        </w:rPr>
        <w:t>）施工废水对植被的影响</w:t>
      </w:r>
    </w:p>
    <w:p w14:paraId="521674A0" w14:textId="77777777" w:rsidR="009D12AF" w:rsidRDefault="00000000">
      <w:pPr>
        <w:pStyle w:val="afd"/>
        <w:spacing w:before="156"/>
      </w:pPr>
      <w:r>
        <w:rPr>
          <w:rFonts w:hint="eastAsia"/>
        </w:rPr>
        <w:t>工程施工期废水主要包括三类：一是环保绞吸船清淤作业产生的含泥废水，二是施工人员产生的生活污水，三是机械设备的冲洗废水。含泥废水经绞吸船自带的三级沉淀池处理后，全部回用于清淤作业补水，未外排至周边水体或土壤，避免了淤泥颗粒沉积导致土壤透气性下降、植被根系缺氧的问题；生活污水定期</w:t>
      </w:r>
      <w:r>
        <w:rPr>
          <w:rFonts w:hint="eastAsia"/>
        </w:rPr>
        <w:lastRenderedPageBreak/>
        <w:t>由专业单位清运处理，无污水渗漏污染周边土壤的情况，未对湿地植被的根系生长造成影响；机械设备冲洗废水经临时防渗沉淀池处理后，用于施工便道洒水降尘，不外排至植被生长区，未出现废水漫流导致草本植被根系腐烂的现象。</w:t>
      </w:r>
    </w:p>
    <w:p w14:paraId="4284F378" w14:textId="77777777" w:rsidR="009D12AF" w:rsidRDefault="00000000">
      <w:pPr>
        <w:pStyle w:val="afd"/>
        <w:spacing w:before="156"/>
      </w:pPr>
      <w:r>
        <w:rPr>
          <w:rFonts w:hint="eastAsia"/>
        </w:rPr>
        <w:t>3</w:t>
      </w:r>
      <w:r>
        <w:rPr>
          <w:rFonts w:hint="eastAsia"/>
        </w:rPr>
        <w:t>）施工废物对植被的影响</w:t>
      </w:r>
    </w:p>
    <w:p w14:paraId="017D182A" w14:textId="77777777" w:rsidR="009D12AF" w:rsidRDefault="00000000">
      <w:pPr>
        <w:pStyle w:val="afd"/>
        <w:spacing w:before="156"/>
      </w:pPr>
      <w:r>
        <w:rPr>
          <w:rFonts w:hint="eastAsia"/>
        </w:rPr>
        <w:t>为进一步降低废物影响，施工前对所有人员开展环保培训，明确禁止将废物丢弃在植被生长区；每日安排专人巡检临时占地周边，及时清理散落的少量包装碎屑，未发现固体废物堆积或污染植被的情况，因此施工废物对植被的影响可完全规避。</w:t>
      </w:r>
    </w:p>
    <w:p w14:paraId="3714C75E" w14:textId="77777777" w:rsidR="009D12AF" w:rsidRDefault="00000000">
      <w:pPr>
        <w:pStyle w:val="afd"/>
        <w:spacing w:before="156"/>
      </w:pPr>
      <w:r>
        <w:rPr>
          <w:rFonts w:hint="eastAsia"/>
        </w:rPr>
        <w:t>（</w:t>
      </w:r>
      <w:r>
        <w:rPr>
          <w:rFonts w:hint="eastAsia"/>
        </w:rPr>
        <w:t>3</w:t>
      </w:r>
      <w:r>
        <w:rPr>
          <w:rFonts w:hint="eastAsia"/>
        </w:rPr>
        <w:t>）对保护植物的影响分析</w:t>
      </w:r>
    </w:p>
    <w:p w14:paraId="33313F43" w14:textId="77777777" w:rsidR="009D12AF" w:rsidRDefault="00000000">
      <w:pPr>
        <w:pStyle w:val="afd"/>
        <w:spacing w:before="156"/>
      </w:pPr>
      <w:r>
        <w:rPr>
          <w:rFonts w:hint="eastAsia"/>
        </w:rPr>
        <w:t>工程建设对受保护野生植物的影响主要集中于施工期，潜在影响源于施工人员活动、施工作业产生的扬尘与机械噪声，以及临时占地周边微环境变化对保护植物生境的间接干扰。经实地现状调查与遥感定位核查，建设项目评价范围内分布有</w:t>
      </w:r>
      <w:r>
        <w:rPr>
          <w:rFonts w:hint="eastAsia"/>
        </w:rPr>
        <w:t xml:space="preserve"> 4 </w:t>
      </w:r>
      <w:r>
        <w:rPr>
          <w:rFonts w:hint="eastAsia"/>
        </w:rPr>
        <w:t>种国家重点保护野生植物，分别为国家一级保护植物红松、国家二级保护植物樟子松、黄檗、水曲柳，均未被工程临时占地占用，仅部分个体邻近工程区，无直接生境破坏风险。</w:t>
      </w:r>
    </w:p>
    <w:p w14:paraId="0354B1AE" w14:textId="77777777" w:rsidR="009D12AF" w:rsidRDefault="00000000">
      <w:pPr>
        <w:pStyle w:val="afd"/>
        <w:spacing w:before="156"/>
      </w:pPr>
      <w:r>
        <w:rPr>
          <w:rFonts w:hint="eastAsia"/>
        </w:rPr>
        <w:t>针对潜在影响，项目已优先采取精准避让与专项防护措施：一是在保护植物分布区与工程区之间划定生态缓冲带，采用绿色防护围栏隔离，围栏上悬挂标识牌，明确禁止施工人员、机械进入缓冲带；二是施工期间加强扬尘管控，配合原有洒水降尘措施，确保保护植物叶片表面扬尘附着量≤</w:t>
      </w:r>
      <w:r>
        <w:rPr>
          <w:rFonts w:hint="eastAsia"/>
        </w:rPr>
        <w:t>0.05g/m</w:t>
      </w:r>
      <w:r>
        <w:rPr>
          <w:rFonts w:hint="eastAsia"/>
        </w:rPr>
        <w:t>²，避免气孔阻塞；三是安排专人每日巡检防护围栏完整性，对邻近保护植物的施工区域实行专人监护，严禁机械超范围作业。因所有保护植物均未被工程占用，无需采取种子采集异地播种繁殖措施，仅通过就地保护即可保障其生长安全。</w:t>
      </w:r>
    </w:p>
    <w:p w14:paraId="6331067F" w14:textId="77777777" w:rsidR="009D12AF" w:rsidRDefault="00000000">
      <w:pPr>
        <w:pStyle w:val="4"/>
        <w:ind w:firstLineChars="0" w:firstLine="0"/>
      </w:pPr>
      <w:r>
        <w:rPr>
          <w:rFonts w:hint="eastAsia"/>
        </w:rPr>
        <w:t>5.1.9.11</w:t>
      </w:r>
      <w:r>
        <w:rPr>
          <w:rFonts w:hint="eastAsia"/>
        </w:rPr>
        <w:t>对陆生动物的影响</w:t>
      </w:r>
    </w:p>
    <w:p w14:paraId="6AD32F5F" w14:textId="77777777" w:rsidR="009D12AF" w:rsidRDefault="00000000">
      <w:pPr>
        <w:ind w:firstLine="480"/>
      </w:pPr>
      <w:r>
        <w:rPr>
          <w:rFonts w:hint="eastAsia"/>
        </w:rPr>
        <w:t>一、施工期</w:t>
      </w:r>
    </w:p>
    <w:p w14:paraId="42CD3C4F" w14:textId="77777777" w:rsidR="009D12AF" w:rsidRDefault="00000000">
      <w:pPr>
        <w:ind w:firstLine="480"/>
      </w:pPr>
      <w:r>
        <w:rPr>
          <w:rFonts w:hint="eastAsia"/>
        </w:rPr>
        <w:t>1</w:t>
      </w:r>
      <w:r>
        <w:rPr>
          <w:rFonts w:hint="eastAsia"/>
        </w:rPr>
        <w:t>、对两栖类物种的影响</w:t>
      </w:r>
    </w:p>
    <w:p w14:paraId="568F72A6" w14:textId="77777777" w:rsidR="009D12AF" w:rsidRDefault="00000000">
      <w:pPr>
        <w:ind w:firstLine="480"/>
      </w:pPr>
      <w:r>
        <w:rPr>
          <w:rFonts w:hint="eastAsia"/>
        </w:rPr>
        <w:t>（</w:t>
      </w:r>
      <w:r>
        <w:rPr>
          <w:rFonts w:hint="eastAsia"/>
        </w:rPr>
        <w:t>1</w:t>
      </w:r>
      <w:r>
        <w:rPr>
          <w:rFonts w:hint="eastAsia"/>
        </w:rPr>
        <w:t>）水污染的影响</w:t>
      </w:r>
    </w:p>
    <w:p w14:paraId="582E1CE0"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lastRenderedPageBreak/>
        <w:t>水库清淤项目施工期间，潜在水污染主要来源于三方面：一是环保绞吸船清淤作业产生的含泥废水，二是施工人员生活产生的生活污水，三是装载机、运输车等施工机械维修保养及运行中可能出现的油污跑冒滴漏，如果处理不当，会随流入河流、坑塘或农田等两栖类栖息生境，造成局部生境污染和水质破坏。石灰、水泥、渣料等溶于水会造成水体</w:t>
      </w:r>
      <w:r>
        <w:rPr>
          <w:rFonts w:ascii="Times New Roman" w:eastAsia="宋体" w:hAnsi="Times New Roman" w:cs="Times New Roman" w:hint="eastAsia"/>
        </w:rPr>
        <w:t>PH</w:t>
      </w:r>
      <w:r>
        <w:rPr>
          <w:rFonts w:ascii="Times New Roman" w:eastAsia="宋体" w:hAnsi="Times New Roman" w:cs="Times New Roman" w:hint="eastAsia"/>
        </w:rPr>
        <w:t>值、无机盐浓度的改变，这对通过表皮吸水的蛙类有很大威胁，水体</w:t>
      </w:r>
      <w:r>
        <w:rPr>
          <w:rFonts w:ascii="Times New Roman" w:eastAsia="宋体" w:hAnsi="Times New Roman" w:cs="Times New Roman" w:hint="eastAsia"/>
        </w:rPr>
        <w:t>PH</w:t>
      </w:r>
      <w:r>
        <w:rPr>
          <w:rFonts w:ascii="Times New Roman" w:eastAsia="宋体" w:hAnsi="Times New Roman" w:cs="Times New Roman" w:hint="eastAsia"/>
        </w:rPr>
        <w:t>值、无机盐浓度的改变会破坏其体内的水盐平衡，导致其失水和积累盐分而死亡。通过严格落实施工期间的水污染防治措施，加强施工生产废水和生活污水收集清运与处理，在带油设备下方铺设吸油毡等集油措施，可大大降低对周边水环境的影响。</w:t>
      </w:r>
    </w:p>
    <w:p w14:paraId="7C169DA8"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2</w:t>
      </w:r>
      <w:r>
        <w:rPr>
          <w:rFonts w:ascii="Times New Roman" w:eastAsia="宋体" w:hAnsi="Times New Roman" w:cs="Times New Roman" w:hint="eastAsia"/>
        </w:rPr>
        <w:t>）施工噪声的影响</w:t>
      </w:r>
    </w:p>
    <w:p w14:paraId="0AAB1F89"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蛙类主要通过鸣声求偶，施工期噪声会对其求偶造成一定的干扰，使其求偶繁殖率降低。蛙类求偶时间一般为晚上或凌晨，本项目主要在昼间施工，避开了其繁殖时间，且在湿地水域等区域的施工工程量较小，施工时间短，施工噪声对其影响小。施工区域产生的项目噪声也将驱使两栖类向周围适宜生境迁徙，不会对两栖类的生存造成明显不利影响。</w:t>
      </w:r>
    </w:p>
    <w:p w14:paraId="61E574A7"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3</w:t>
      </w:r>
      <w:r>
        <w:rPr>
          <w:rFonts w:ascii="Times New Roman" w:eastAsia="宋体" w:hAnsi="Times New Roman" w:cs="Times New Roman" w:hint="eastAsia"/>
        </w:rPr>
        <w:t>）人为活动干扰影响</w:t>
      </w:r>
    </w:p>
    <w:p w14:paraId="3AB9191D"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施工区域人为活动增加会干扰两栖类的栖息、觅食等活动，将迫使两栖类迁移到周围适宜生境中生存，短暂减少该区域两栖生物的种类和数量；施工期间，进入周边适宜生境的两栖类可能使得其他物种的生存压力加剧，食物链结构改变。但从大范围来看，本项目大多为临时占地，没有显著改变两栖类在该区域的生境条件与物种数量。施工活动结束后，随着人为活动的消失，自然生态环境会逐渐恢复，项目建设对两栖类物种的影响将逐步消失。</w:t>
      </w:r>
    </w:p>
    <w:p w14:paraId="6A053D55"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2</w:t>
      </w:r>
      <w:r>
        <w:rPr>
          <w:rFonts w:ascii="Times New Roman" w:eastAsia="宋体" w:hAnsi="Times New Roman" w:cs="Times New Roman" w:hint="eastAsia"/>
        </w:rPr>
        <w:t>、对爬行类物种的影响</w:t>
      </w:r>
    </w:p>
    <w:p w14:paraId="660ED0E0"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1</w:t>
      </w:r>
      <w:r>
        <w:rPr>
          <w:rFonts w:ascii="Times New Roman" w:eastAsia="宋体" w:hAnsi="Times New Roman" w:cs="Times New Roman" w:hint="eastAsia"/>
        </w:rPr>
        <w:t>）水污染的影响</w:t>
      </w:r>
    </w:p>
    <w:p w14:paraId="617009E6"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某些林栖傍水型爬行类的生存对水环境有一定依赖性，施工期间施工废水可能会导致水体污染，对其生境会造成一定程度的影响，可能会影响其栖息活动。但是这些影响比较短暂，施工过程也将严格执行各项水污染防治措施，且周边可替代生境多，不会影响爬行类生存栖息环境。</w:t>
      </w:r>
    </w:p>
    <w:p w14:paraId="2238A54E"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2</w:t>
      </w:r>
      <w:r>
        <w:rPr>
          <w:rFonts w:ascii="Times New Roman" w:eastAsia="宋体" w:hAnsi="Times New Roman" w:cs="Times New Roman" w:hint="eastAsia"/>
        </w:rPr>
        <w:t>）施工噪声、人为活动的影响</w:t>
      </w:r>
    </w:p>
    <w:p w14:paraId="722A78A0"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lastRenderedPageBreak/>
        <w:t>施工作业产生的噪声和震动、施工人员的生产生活等活动会干扰爬行类捕食，并对其造成惊吓，迫使其迁出施工区域。施工车辆行驶频繁，如管理不善，可能会造成行动缓慢的爬行类动物躲避不及而死亡，需要加强施工管理。但由于项目所处区域大多数为农田，人类活动较为频繁，爬行类动物数量较少，不会造成明显不利影响。</w:t>
      </w:r>
    </w:p>
    <w:p w14:paraId="6262836A"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3</w:t>
      </w:r>
      <w:r>
        <w:rPr>
          <w:rFonts w:ascii="Times New Roman" w:eastAsia="宋体" w:hAnsi="Times New Roman" w:cs="Times New Roman" w:hint="eastAsia"/>
        </w:rPr>
        <w:t>、对兽类物种的影响</w:t>
      </w:r>
    </w:p>
    <w:p w14:paraId="78586BEC"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施工机械噪声和交通运输车辆噪声等会干扰兽类的栖息、觅食等活动，使兽类迁移。兽类的迁移能力强，将使其避免施工造成的直接伤害，但同时受施工噪声影响迁移到它处的兽类，可能会因为争夺有限的生存空间，竞争压力变大，自然选择强度增加。施工期间，施工人员仅在一定范围内活动，且施工噪声传播范围有限，并不会影响其生存，这种暂时性施工活动更不会对其种群产生不良影响。施工人员活动留下的食物残渣和垃圾可能会吸引啮齿类在施工区域聚集，客观上增加其食物来源。总体上施工噪声、人为活动对兽类的影响可以接受。</w:t>
      </w:r>
    </w:p>
    <w:p w14:paraId="73312495"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4</w:t>
      </w:r>
      <w:r>
        <w:rPr>
          <w:rFonts w:ascii="Times New Roman" w:eastAsia="宋体" w:hAnsi="Times New Roman" w:cs="Times New Roman" w:hint="eastAsia"/>
        </w:rPr>
        <w:t>、对鸟类物种的影响</w:t>
      </w:r>
    </w:p>
    <w:p w14:paraId="3F555F0A"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1</w:t>
      </w:r>
      <w:r>
        <w:rPr>
          <w:rFonts w:ascii="Times New Roman" w:eastAsia="宋体" w:hAnsi="Times New Roman" w:cs="Times New Roman" w:hint="eastAsia"/>
        </w:rPr>
        <w:t>）施工噪声的影响</w:t>
      </w:r>
    </w:p>
    <w:p w14:paraId="492BE6A9"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鸟类一般对噪声较为敏感，施工期会存在一定的施工机械作业噪声和材料运输交通噪声，这些噪声可能会对栖息在施工区域及邻近区域的鸟类产生一定的趋避作用。受施工噪声影响，施工场地一定范围内将不再适合鸟类的栖息、觅食等活动。但由于鸟类的活动范围很大，行动迅捷，可替代的适宜栖息生境较多，可以就近寻找到其它适于栖息的地方。且由于临时占地居多，影响范围小，施工时间短暂，施工噪声在每个区域生境的持续时间短，施工噪声对鸟类的影响可以接受。</w:t>
      </w:r>
    </w:p>
    <w:p w14:paraId="343CCE0B"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2</w:t>
      </w:r>
      <w:r>
        <w:rPr>
          <w:rFonts w:ascii="Times New Roman" w:eastAsia="宋体" w:hAnsi="Times New Roman" w:cs="Times New Roman" w:hint="eastAsia"/>
        </w:rPr>
        <w:t>）水污染的影响</w:t>
      </w:r>
    </w:p>
    <w:p w14:paraId="1BB93E03"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如施工生产废水及生活污水未得到妥善处理，排放后可能会污染周边水体，从而影响湿地鸟类和傍水型鸟类的栖息环境，间接影响到鸟类的取水或取食。可能受影响的种类主要为游禽和涉禽。工程建设的影响范围和程度有限且短暂，并通过适宜的水污染防控、水土保持措施避免不良影响的产生。</w:t>
      </w:r>
    </w:p>
    <w:p w14:paraId="2C8CAD8B"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3</w:t>
      </w:r>
      <w:r>
        <w:rPr>
          <w:rFonts w:ascii="Times New Roman" w:eastAsia="宋体" w:hAnsi="Times New Roman" w:cs="Times New Roman" w:hint="eastAsia"/>
        </w:rPr>
        <w:t>）施工活动的影响</w:t>
      </w:r>
    </w:p>
    <w:p w14:paraId="2BEA66AB"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施工期周边人员变多，人为活动增加，会对栖息在施工区及邻近区域的鸟类</w:t>
      </w:r>
      <w:r>
        <w:rPr>
          <w:rFonts w:ascii="Times New Roman" w:eastAsia="宋体" w:hAnsi="Times New Roman" w:cs="Times New Roman" w:hint="eastAsia"/>
        </w:rPr>
        <w:lastRenderedPageBreak/>
        <w:t>产生一定干扰，但鸟类性情警惕，迁移能力较强，且施工区附近相似生境较多，鸟类很容易找到类似生境继续活动。施工扰动可能会使大部分鸟类因为施工噪声远离施工区域，小部分地栖和灌木林栖鸟类由于栖息地的丧失而迁移，项目评价区内鸟类种类和数量暂时性减少，但由于大多数鸟类会通过短距离迁移来避免伤害，且本项目施工结束后，对植被进行恢复与重建可使栖息地功能逐步恢复，影响鸟类生存的人为活动因素消失，迁移至周边生境中的鸟类会重新回到原生境。可见，项目施工活动会对鸟类产生轻微的短期影响，但长期影响较小。</w:t>
      </w:r>
    </w:p>
    <w:p w14:paraId="5A71784C"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5</w:t>
      </w:r>
      <w:r>
        <w:rPr>
          <w:rFonts w:ascii="Times New Roman" w:eastAsia="宋体" w:hAnsi="Times New Roman" w:cs="Times New Roman" w:hint="eastAsia"/>
        </w:rPr>
        <w:t>、对动物重要物种的影响</w:t>
      </w:r>
    </w:p>
    <w:p w14:paraId="4E20F511"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工程建设对受保护的野生动物的影响主要表现为栖息地丧失、人类干扰加重和对动物通道的阻隔。本工程评价范围内大部分为农田、天然次生林、灌草丛等受人为影响较为频繁的植被类型，野生动物种类以农田村落型动物为主。调查期间在评价区域内发现国家一级重点保护野生动物东方白鹳、中华秋沙鸭、鸳鸯，国家二级重点保护野生动物红隼、极北鲵。其具体影响分析如表</w:t>
      </w:r>
      <w:r>
        <w:rPr>
          <w:rFonts w:ascii="Times New Roman" w:eastAsia="宋体" w:hAnsi="Times New Roman" w:cs="Times New Roman" w:hint="eastAsia"/>
        </w:rPr>
        <w:t>5.1-11</w:t>
      </w:r>
      <w:r>
        <w:rPr>
          <w:rFonts w:ascii="Times New Roman" w:eastAsia="宋体" w:hAnsi="Times New Roman" w:cs="Times New Roman" w:hint="eastAsia"/>
        </w:rPr>
        <w:t>所示。</w:t>
      </w:r>
    </w:p>
    <w:p w14:paraId="616677DF" w14:textId="77777777" w:rsidR="009D12AF" w:rsidRDefault="00000000">
      <w:pPr>
        <w:spacing w:line="600" w:lineRule="exact"/>
        <w:ind w:firstLine="480"/>
        <w:jc w:val="center"/>
        <w:rPr>
          <w:rFonts w:ascii="Times New Roman" w:eastAsia="黑体" w:hAnsi="Times New Roman" w:cs="Arial"/>
          <w:snapToGrid w:val="0"/>
        </w:rPr>
      </w:pPr>
      <w:bookmarkStart w:id="370" w:name="_Ref205300559"/>
      <w:r>
        <w:rPr>
          <w:rFonts w:ascii="Times New Roman" w:eastAsia="黑体" w:hAnsi="Times New Roman" w:cs="Arial"/>
        </w:rPr>
        <w:t>表</w:t>
      </w:r>
      <w:bookmarkEnd w:id="370"/>
      <w:r>
        <w:rPr>
          <w:rFonts w:ascii="Times New Roman" w:eastAsia="黑体" w:hAnsi="Times New Roman" w:cs="Arial" w:hint="eastAsia"/>
        </w:rPr>
        <w:t>5.1-11</w:t>
      </w:r>
      <w:r>
        <w:rPr>
          <w:rFonts w:ascii="Times New Roman" w:eastAsia="黑体" w:hAnsi="Times New Roman" w:cs="Arial"/>
          <w:snapToGrid w:val="0"/>
        </w:rPr>
        <w:t xml:space="preserve">  </w:t>
      </w:r>
      <w:r>
        <w:rPr>
          <w:rFonts w:ascii="Times New Roman" w:eastAsia="黑体" w:hAnsi="Times New Roman" w:cs="Arial"/>
          <w:snapToGrid w:val="0"/>
        </w:rPr>
        <w:t>对重点保护动物影响一览表</w:t>
      </w:r>
    </w:p>
    <w:tbl>
      <w:tblPr>
        <w:tblpPr w:leftFromText="181" w:rightFromText="181" w:bottomFromText="284" w:vertAnchor="text" w:tblpXSpec="center" w:tblpY="1"/>
        <w:tblOverlap w:val="never"/>
        <w:tblW w:w="4998" w:type="pct"/>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47"/>
        <w:gridCol w:w="747"/>
        <w:gridCol w:w="878"/>
        <w:gridCol w:w="746"/>
        <w:gridCol w:w="955"/>
        <w:gridCol w:w="2056"/>
        <w:gridCol w:w="2230"/>
      </w:tblGrid>
      <w:tr w:rsidR="009D12AF" w14:paraId="25F008CD" w14:textId="77777777">
        <w:trPr>
          <w:trHeight w:val="1109"/>
          <w:jc w:val="center"/>
        </w:trPr>
        <w:tc>
          <w:tcPr>
            <w:tcW w:w="446" w:type="pct"/>
            <w:tcBorders>
              <w:tl2br w:val="nil"/>
              <w:tr2bl w:val="nil"/>
            </w:tcBorders>
            <w:vAlign w:val="center"/>
          </w:tcPr>
          <w:p w14:paraId="33119907"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t>序号</w:t>
            </w:r>
          </w:p>
        </w:tc>
        <w:tc>
          <w:tcPr>
            <w:tcW w:w="446" w:type="pct"/>
            <w:tcBorders>
              <w:tl2br w:val="nil"/>
              <w:tr2bl w:val="nil"/>
            </w:tcBorders>
            <w:vAlign w:val="center"/>
          </w:tcPr>
          <w:p w14:paraId="4528746A"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t>物种</w:t>
            </w:r>
          </w:p>
        </w:tc>
        <w:tc>
          <w:tcPr>
            <w:tcW w:w="525" w:type="pct"/>
            <w:tcBorders>
              <w:tl2br w:val="nil"/>
              <w:tr2bl w:val="nil"/>
            </w:tcBorders>
            <w:vAlign w:val="center"/>
          </w:tcPr>
          <w:p w14:paraId="3C06DC4D"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t>保护级别</w:t>
            </w:r>
          </w:p>
        </w:tc>
        <w:tc>
          <w:tcPr>
            <w:tcW w:w="446" w:type="pct"/>
            <w:tcBorders>
              <w:tl2br w:val="nil"/>
              <w:tr2bl w:val="nil"/>
            </w:tcBorders>
            <w:vAlign w:val="center"/>
          </w:tcPr>
          <w:p w14:paraId="6E3E4EFC"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t>濒危等级</w:t>
            </w:r>
          </w:p>
        </w:tc>
        <w:tc>
          <w:tcPr>
            <w:tcW w:w="571" w:type="pct"/>
            <w:tcBorders>
              <w:tl2br w:val="nil"/>
              <w:tr2bl w:val="nil"/>
            </w:tcBorders>
            <w:vAlign w:val="center"/>
          </w:tcPr>
          <w:p w14:paraId="676911A8"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t>特有种</w:t>
            </w:r>
          </w:p>
          <w:p w14:paraId="44D73A77"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t>（是</w:t>
            </w:r>
            <w:r>
              <w:rPr>
                <w:rFonts w:ascii="Times New Roman" w:eastAsia="宋体" w:hAnsi="Times New Roman" w:cs="Times New Roman"/>
                <w:snapToGrid w:val="0"/>
                <w:sz w:val="21"/>
                <w:szCs w:val="21"/>
                <w:lang w:eastAsia="en-US"/>
              </w:rPr>
              <w:t>/</w:t>
            </w:r>
            <w:r>
              <w:rPr>
                <w:rFonts w:ascii="Times New Roman" w:eastAsia="宋体" w:hAnsi="Times New Roman" w:cs="Times New Roman"/>
                <w:snapToGrid w:val="0"/>
                <w:sz w:val="21"/>
                <w:szCs w:val="21"/>
                <w:lang w:eastAsia="en-US"/>
              </w:rPr>
              <w:t>否）</w:t>
            </w:r>
          </w:p>
        </w:tc>
        <w:tc>
          <w:tcPr>
            <w:tcW w:w="1229" w:type="pct"/>
            <w:tcBorders>
              <w:tl2br w:val="nil"/>
              <w:tr2bl w:val="nil"/>
            </w:tcBorders>
            <w:vAlign w:val="center"/>
          </w:tcPr>
          <w:p w14:paraId="0FEAB84E"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t>分布区域</w:t>
            </w:r>
          </w:p>
        </w:tc>
        <w:tc>
          <w:tcPr>
            <w:tcW w:w="1333" w:type="pct"/>
            <w:tcBorders>
              <w:tl2br w:val="nil"/>
              <w:tr2bl w:val="nil"/>
            </w:tcBorders>
            <w:vAlign w:val="center"/>
          </w:tcPr>
          <w:p w14:paraId="3AAD5058"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t>影响</w:t>
            </w:r>
          </w:p>
        </w:tc>
      </w:tr>
      <w:tr w:rsidR="009D12AF" w14:paraId="4F68E380" w14:textId="77777777">
        <w:trPr>
          <w:trHeight w:val="420"/>
          <w:jc w:val="center"/>
        </w:trPr>
        <w:tc>
          <w:tcPr>
            <w:tcW w:w="446" w:type="pct"/>
            <w:tcBorders>
              <w:tl2br w:val="nil"/>
              <w:tr2bl w:val="nil"/>
            </w:tcBorders>
            <w:vAlign w:val="center"/>
          </w:tcPr>
          <w:p w14:paraId="048E693B"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t>1</w:t>
            </w:r>
          </w:p>
        </w:tc>
        <w:tc>
          <w:tcPr>
            <w:tcW w:w="446" w:type="pct"/>
            <w:tcBorders>
              <w:tl2br w:val="nil"/>
              <w:tr2bl w:val="nil"/>
            </w:tcBorders>
            <w:vAlign w:val="center"/>
          </w:tcPr>
          <w:p w14:paraId="6667BE38"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东方白鹳</w:t>
            </w:r>
          </w:p>
        </w:tc>
        <w:tc>
          <w:tcPr>
            <w:tcW w:w="525" w:type="pct"/>
            <w:tcBorders>
              <w:tl2br w:val="nil"/>
              <w:tr2bl w:val="nil"/>
            </w:tcBorders>
            <w:vAlign w:val="center"/>
          </w:tcPr>
          <w:p w14:paraId="34F9569E"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t>国家</w:t>
            </w:r>
            <w:r>
              <w:rPr>
                <w:rFonts w:ascii="Times New Roman" w:eastAsia="宋体" w:hAnsi="Times New Roman" w:cs="Times New Roman" w:hint="eastAsia"/>
                <w:snapToGrid w:val="0"/>
                <w:sz w:val="21"/>
                <w:szCs w:val="21"/>
              </w:rPr>
              <w:t>一</w:t>
            </w:r>
            <w:r>
              <w:rPr>
                <w:rFonts w:ascii="Times New Roman" w:eastAsia="宋体" w:hAnsi="Times New Roman" w:cs="Times New Roman"/>
                <w:snapToGrid w:val="0"/>
                <w:sz w:val="21"/>
                <w:szCs w:val="21"/>
                <w:lang w:eastAsia="en-US"/>
              </w:rPr>
              <w:t>级</w:t>
            </w:r>
          </w:p>
        </w:tc>
        <w:tc>
          <w:tcPr>
            <w:tcW w:w="446" w:type="pct"/>
            <w:tcBorders>
              <w:tl2br w:val="nil"/>
              <w:tr2bl w:val="nil"/>
            </w:tcBorders>
            <w:vAlign w:val="center"/>
          </w:tcPr>
          <w:p w14:paraId="5C7CB0EE"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濒危</w:t>
            </w:r>
          </w:p>
        </w:tc>
        <w:tc>
          <w:tcPr>
            <w:tcW w:w="571" w:type="pct"/>
            <w:tcBorders>
              <w:tl2br w:val="nil"/>
              <w:tr2bl w:val="nil"/>
            </w:tcBorders>
            <w:vAlign w:val="center"/>
          </w:tcPr>
          <w:p w14:paraId="369C89E1"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t>否</w:t>
            </w:r>
          </w:p>
        </w:tc>
        <w:tc>
          <w:tcPr>
            <w:tcW w:w="1229" w:type="pct"/>
            <w:tcBorders>
              <w:tl2br w:val="nil"/>
              <w:tr2bl w:val="nil"/>
            </w:tcBorders>
            <w:vAlign w:val="center"/>
          </w:tcPr>
          <w:p w14:paraId="2E625A66"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开阔而偏僻的平原、草地和沼泽地带</w:t>
            </w:r>
          </w:p>
        </w:tc>
        <w:tc>
          <w:tcPr>
            <w:tcW w:w="1333" w:type="pct"/>
            <w:vMerge w:val="restart"/>
            <w:tcBorders>
              <w:tl2br w:val="nil"/>
              <w:tr2bl w:val="nil"/>
            </w:tcBorders>
            <w:vAlign w:val="center"/>
          </w:tcPr>
          <w:p w14:paraId="0E32D6D8"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施工占地减少鸟类生境，施工活动、施工噪声对鸟类正常觅食和繁殖活动造成一定惊扰，驱使一部分鸟类向远离施工区的地区迁移，导致工程区内的鸟类数量减小。</w:t>
            </w:r>
          </w:p>
        </w:tc>
      </w:tr>
      <w:tr w:rsidR="009D12AF" w14:paraId="3E47C4AB" w14:textId="77777777">
        <w:trPr>
          <w:trHeight w:val="420"/>
          <w:jc w:val="center"/>
        </w:trPr>
        <w:tc>
          <w:tcPr>
            <w:tcW w:w="446" w:type="pct"/>
            <w:tcBorders>
              <w:tl2br w:val="nil"/>
              <w:tr2bl w:val="nil"/>
            </w:tcBorders>
            <w:vAlign w:val="center"/>
          </w:tcPr>
          <w:p w14:paraId="05EC86D6"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t>2</w:t>
            </w:r>
          </w:p>
        </w:tc>
        <w:tc>
          <w:tcPr>
            <w:tcW w:w="446" w:type="pct"/>
            <w:tcBorders>
              <w:tl2br w:val="nil"/>
              <w:tr2bl w:val="nil"/>
            </w:tcBorders>
            <w:vAlign w:val="center"/>
          </w:tcPr>
          <w:p w14:paraId="5DFD7158"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中华秋沙鸭</w:t>
            </w:r>
          </w:p>
        </w:tc>
        <w:tc>
          <w:tcPr>
            <w:tcW w:w="525" w:type="pct"/>
            <w:tcBorders>
              <w:tl2br w:val="nil"/>
              <w:tr2bl w:val="nil"/>
            </w:tcBorders>
            <w:vAlign w:val="center"/>
          </w:tcPr>
          <w:p w14:paraId="5EF2203F"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国家一级</w:t>
            </w:r>
          </w:p>
        </w:tc>
        <w:tc>
          <w:tcPr>
            <w:tcW w:w="446" w:type="pct"/>
            <w:tcBorders>
              <w:tl2br w:val="nil"/>
              <w:tr2bl w:val="nil"/>
            </w:tcBorders>
            <w:vAlign w:val="center"/>
          </w:tcPr>
          <w:p w14:paraId="09CC0494"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濒危</w:t>
            </w:r>
          </w:p>
        </w:tc>
        <w:tc>
          <w:tcPr>
            <w:tcW w:w="571" w:type="pct"/>
            <w:tcBorders>
              <w:tl2br w:val="nil"/>
              <w:tr2bl w:val="nil"/>
            </w:tcBorders>
            <w:vAlign w:val="center"/>
          </w:tcPr>
          <w:p w14:paraId="72D8669F"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t>否</w:t>
            </w:r>
          </w:p>
        </w:tc>
        <w:tc>
          <w:tcPr>
            <w:tcW w:w="1229" w:type="pct"/>
            <w:tcBorders>
              <w:tl2br w:val="nil"/>
              <w:tr2bl w:val="nil"/>
            </w:tcBorders>
            <w:vAlign w:val="center"/>
          </w:tcPr>
          <w:p w14:paraId="72E5DF30"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栖息于山间河流、水库湖泊中</w:t>
            </w:r>
          </w:p>
        </w:tc>
        <w:tc>
          <w:tcPr>
            <w:tcW w:w="1333" w:type="pct"/>
            <w:vMerge/>
            <w:tcBorders>
              <w:tl2br w:val="nil"/>
              <w:tr2bl w:val="nil"/>
            </w:tcBorders>
            <w:vAlign w:val="center"/>
          </w:tcPr>
          <w:p w14:paraId="77B03756" w14:textId="77777777" w:rsidR="009D12AF" w:rsidRDefault="009D12AF">
            <w:pPr>
              <w:ind w:firstLineChars="0" w:firstLine="0"/>
              <w:jc w:val="center"/>
              <w:rPr>
                <w:rFonts w:ascii="Times New Roman" w:eastAsia="宋体" w:hAnsi="Times New Roman" w:cs="Times New Roman"/>
                <w:snapToGrid w:val="0"/>
                <w:sz w:val="21"/>
                <w:szCs w:val="21"/>
              </w:rPr>
            </w:pPr>
          </w:p>
        </w:tc>
      </w:tr>
      <w:tr w:rsidR="009D12AF" w14:paraId="6ECABCA9" w14:textId="77777777">
        <w:trPr>
          <w:trHeight w:val="420"/>
          <w:jc w:val="center"/>
        </w:trPr>
        <w:tc>
          <w:tcPr>
            <w:tcW w:w="446" w:type="pct"/>
            <w:tcBorders>
              <w:tl2br w:val="nil"/>
              <w:tr2bl w:val="nil"/>
            </w:tcBorders>
            <w:vAlign w:val="center"/>
          </w:tcPr>
          <w:p w14:paraId="6250B9A6"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t>3</w:t>
            </w:r>
          </w:p>
        </w:tc>
        <w:tc>
          <w:tcPr>
            <w:tcW w:w="446" w:type="pct"/>
            <w:tcBorders>
              <w:tl2br w:val="nil"/>
              <w:tr2bl w:val="nil"/>
            </w:tcBorders>
            <w:vAlign w:val="center"/>
          </w:tcPr>
          <w:p w14:paraId="4DEEF3DD"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鸳鸯</w:t>
            </w:r>
          </w:p>
        </w:tc>
        <w:tc>
          <w:tcPr>
            <w:tcW w:w="525" w:type="pct"/>
            <w:tcBorders>
              <w:tl2br w:val="nil"/>
              <w:tr2bl w:val="nil"/>
            </w:tcBorders>
            <w:vAlign w:val="center"/>
          </w:tcPr>
          <w:p w14:paraId="630E47F7"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国家一级</w:t>
            </w:r>
          </w:p>
        </w:tc>
        <w:tc>
          <w:tcPr>
            <w:tcW w:w="446" w:type="pct"/>
            <w:tcBorders>
              <w:tl2br w:val="nil"/>
              <w:tr2bl w:val="nil"/>
            </w:tcBorders>
            <w:vAlign w:val="center"/>
          </w:tcPr>
          <w:p w14:paraId="35EBB10A"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近危</w:t>
            </w:r>
          </w:p>
        </w:tc>
        <w:tc>
          <w:tcPr>
            <w:tcW w:w="571" w:type="pct"/>
            <w:tcBorders>
              <w:tl2br w:val="nil"/>
              <w:tr2bl w:val="nil"/>
            </w:tcBorders>
            <w:vAlign w:val="center"/>
          </w:tcPr>
          <w:p w14:paraId="2DF38C19"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t>否</w:t>
            </w:r>
          </w:p>
        </w:tc>
        <w:tc>
          <w:tcPr>
            <w:tcW w:w="1229" w:type="pct"/>
            <w:tcBorders>
              <w:tl2br w:val="nil"/>
              <w:tr2bl w:val="nil"/>
            </w:tcBorders>
            <w:vAlign w:val="center"/>
          </w:tcPr>
          <w:p w14:paraId="73526F26"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山地的河谷、溪流；常见于阔叶林和针阔混交林的沼泽、芦苇塘及湖泊</w:t>
            </w:r>
          </w:p>
        </w:tc>
        <w:tc>
          <w:tcPr>
            <w:tcW w:w="1333" w:type="pct"/>
            <w:vMerge/>
            <w:tcBorders>
              <w:tl2br w:val="nil"/>
              <w:tr2bl w:val="nil"/>
            </w:tcBorders>
            <w:vAlign w:val="center"/>
          </w:tcPr>
          <w:p w14:paraId="3C7EFD5D" w14:textId="77777777" w:rsidR="009D12AF" w:rsidRDefault="009D12AF">
            <w:pPr>
              <w:ind w:firstLineChars="0" w:firstLine="0"/>
              <w:jc w:val="center"/>
              <w:rPr>
                <w:rFonts w:ascii="Times New Roman" w:eastAsia="宋体" w:hAnsi="Times New Roman" w:cs="Times New Roman"/>
                <w:snapToGrid w:val="0"/>
                <w:sz w:val="21"/>
                <w:szCs w:val="21"/>
              </w:rPr>
            </w:pPr>
          </w:p>
        </w:tc>
      </w:tr>
      <w:tr w:rsidR="009D12AF" w14:paraId="24E2A6F1" w14:textId="77777777">
        <w:trPr>
          <w:trHeight w:val="420"/>
          <w:jc w:val="center"/>
        </w:trPr>
        <w:tc>
          <w:tcPr>
            <w:tcW w:w="446" w:type="pct"/>
            <w:tcBorders>
              <w:tl2br w:val="nil"/>
              <w:tr2bl w:val="nil"/>
            </w:tcBorders>
            <w:vAlign w:val="center"/>
          </w:tcPr>
          <w:p w14:paraId="72B4A477"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t>4</w:t>
            </w:r>
          </w:p>
        </w:tc>
        <w:tc>
          <w:tcPr>
            <w:tcW w:w="446" w:type="pct"/>
            <w:tcBorders>
              <w:tl2br w:val="nil"/>
              <w:tr2bl w:val="nil"/>
            </w:tcBorders>
            <w:vAlign w:val="center"/>
          </w:tcPr>
          <w:p w14:paraId="171659DA"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红隼</w:t>
            </w:r>
          </w:p>
        </w:tc>
        <w:tc>
          <w:tcPr>
            <w:tcW w:w="525" w:type="pct"/>
            <w:tcBorders>
              <w:tl2br w:val="nil"/>
              <w:tr2bl w:val="nil"/>
            </w:tcBorders>
            <w:vAlign w:val="center"/>
          </w:tcPr>
          <w:p w14:paraId="4F81B3F8"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国家</w:t>
            </w:r>
            <w:r>
              <w:rPr>
                <w:rFonts w:ascii="Times New Roman" w:eastAsia="宋体" w:hAnsi="Times New Roman" w:cs="Times New Roman" w:hint="eastAsia"/>
                <w:snapToGrid w:val="0"/>
                <w:sz w:val="21"/>
                <w:szCs w:val="21"/>
              </w:rPr>
              <w:t>二</w:t>
            </w:r>
            <w:r>
              <w:rPr>
                <w:rFonts w:ascii="Times New Roman" w:eastAsia="宋体" w:hAnsi="Times New Roman" w:cs="Times New Roman" w:hint="eastAsia"/>
                <w:snapToGrid w:val="0"/>
                <w:sz w:val="21"/>
                <w:szCs w:val="21"/>
                <w:lang w:eastAsia="en-US"/>
              </w:rPr>
              <w:t>级</w:t>
            </w:r>
          </w:p>
        </w:tc>
        <w:tc>
          <w:tcPr>
            <w:tcW w:w="446" w:type="pct"/>
            <w:tcBorders>
              <w:tl2br w:val="nil"/>
              <w:tr2bl w:val="nil"/>
            </w:tcBorders>
            <w:vAlign w:val="center"/>
          </w:tcPr>
          <w:p w14:paraId="3DE21EA4"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无危</w:t>
            </w:r>
          </w:p>
        </w:tc>
        <w:tc>
          <w:tcPr>
            <w:tcW w:w="571" w:type="pct"/>
            <w:tcBorders>
              <w:tl2br w:val="nil"/>
              <w:tr2bl w:val="nil"/>
            </w:tcBorders>
            <w:vAlign w:val="center"/>
          </w:tcPr>
          <w:p w14:paraId="26BE427C"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t>否</w:t>
            </w:r>
          </w:p>
        </w:tc>
        <w:tc>
          <w:tcPr>
            <w:tcW w:w="1229" w:type="pct"/>
            <w:tcBorders>
              <w:tl2br w:val="nil"/>
              <w:tr2bl w:val="nil"/>
            </w:tcBorders>
            <w:vAlign w:val="center"/>
          </w:tcPr>
          <w:p w14:paraId="6C095EC5"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常栖息于山地森林、森林苔原、低山丘陵、草原、旷野</w:t>
            </w:r>
          </w:p>
        </w:tc>
        <w:tc>
          <w:tcPr>
            <w:tcW w:w="1333" w:type="pct"/>
            <w:vMerge/>
            <w:tcBorders>
              <w:tl2br w:val="nil"/>
              <w:tr2bl w:val="nil"/>
            </w:tcBorders>
            <w:vAlign w:val="center"/>
          </w:tcPr>
          <w:p w14:paraId="3E858F99" w14:textId="77777777" w:rsidR="009D12AF" w:rsidRDefault="009D12AF">
            <w:pPr>
              <w:ind w:firstLineChars="0" w:firstLine="0"/>
              <w:jc w:val="center"/>
              <w:rPr>
                <w:rFonts w:ascii="Times New Roman" w:eastAsia="宋体" w:hAnsi="Times New Roman" w:cs="Times New Roman"/>
                <w:snapToGrid w:val="0"/>
                <w:sz w:val="21"/>
                <w:szCs w:val="21"/>
              </w:rPr>
            </w:pPr>
          </w:p>
        </w:tc>
      </w:tr>
      <w:tr w:rsidR="009D12AF" w14:paraId="131FBEEA" w14:textId="77777777">
        <w:trPr>
          <w:trHeight w:val="420"/>
          <w:jc w:val="center"/>
        </w:trPr>
        <w:tc>
          <w:tcPr>
            <w:tcW w:w="446" w:type="pct"/>
            <w:tcBorders>
              <w:tl2br w:val="nil"/>
              <w:tr2bl w:val="nil"/>
            </w:tcBorders>
            <w:vAlign w:val="center"/>
          </w:tcPr>
          <w:p w14:paraId="262B3488"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t>5</w:t>
            </w:r>
          </w:p>
        </w:tc>
        <w:tc>
          <w:tcPr>
            <w:tcW w:w="446" w:type="pct"/>
            <w:tcBorders>
              <w:tl2br w:val="nil"/>
              <w:tr2bl w:val="nil"/>
            </w:tcBorders>
            <w:vAlign w:val="center"/>
          </w:tcPr>
          <w:p w14:paraId="628B1C19"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极北鲵</w:t>
            </w:r>
          </w:p>
        </w:tc>
        <w:tc>
          <w:tcPr>
            <w:tcW w:w="525" w:type="pct"/>
            <w:tcBorders>
              <w:tl2br w:val="nil"/>
              <w:tr2bl w:val="nil"/>
            </w:tcBorders>
            <w:vAlign w:val="center"/>
          </w:tcPr>
          <w:p w14:paraId="0DC1CAFE"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rPr>
              <w:t>国家二</w:t>
            </w:r>
            <w:r>
              <w:rPr>
                <w:rFonts w:ascii="Times New Roman" w:eastAsia="宋体" w:hAnsi="Times New Roman" w:cs="Times New Roman" w:hint="eastAsia"/>
                <w:snapToGrid w:val="0"/>
                <w:sz w:val="21"/>
                <w:szCs w:val="21"/>
              </w:rPr>
              <w:lastRenderedPageBreak/>
              <w:t>级</w:t>
            </w:r>
          </w:p>
        </w:tc>
        <w:tc>
          <w:tcPr>
            <w:tcW w:w="446" w:type="pct"/>
            <w:tcBorders>
              <w:tl2br w:val="nil"/>
              <w:tr2bl w:val="nil"/>
            </w:tcBorders>
            <w:vAlign w:val="center"/>
          </w:tcPr>
          <w:p w14:paraId="5E9538EE"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lastRenderedPageBreak/>
              <w:t>无危</w:t>
            </w:r>
          </w:p>
        </w:tc>
        <w:tc>
          <w:tcPr>
            <w:tcW w:w="571" w:type="pct"/>
            <w:tcBorders>
              <w:tl2br w:val="nil"/>
              <w:tr2bl w:val="nil"/>
            </w:tcBorders>
            <w:vAlign w:val="center"/>
          </w:tcPr>
          <w:p w14:paraId="1DB5E751"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snapToGrid w:val="0"/>
                <w:sz w:val="21"/>
                <w:szCs w:val="21"/>
                <w:lang w:eastAsia="en-US"/>
              </w:rPr>
              <w:t>否</w:t>
            </w:r>
          </w:p>
        </w:tc>
        <w:tc>
          <w:tcPr>
            <w:tcW w:w="1229" w:type="pct"/>
            <w:tcBorders>
              <w:tl2br w:val="nil"/>
              <w:tr2bl w:val="nil"/>
            </w:tcBorders>
            <w:vAlign w:val="center"/>
          </w:tcPr>
          <w:p w14:paraId="6677D4A2"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水质清澈的沼泽地的</w:t>
            </w:r>
            <w:r>
              <w:rPr>
                <w:rFonts w:ascii="Times New Roman" w:eastAsia="宋体" w:hAnsi="Times New Roman" w:cs="Times New Roman" w:hint="eastAsia"/>
                <w:snapToGrid w:val="0"/>
                <w:sz w:val="21"/>
                <w:szCs w:val="21"/>
              </w:rPr>
              <w:lastRenderedPageBreak/>
              <w:t>草丛下或洞穴中</w:t>
            </w:r>
          </w:p>
        </w:tc>
        <w:tc>
          <w:tcPr>
            <w:tcW w:w="1333" w:type="pct"/>
            <w:vMerge w:val="restart"/>
            <w:tcBorders>
              <w:tl2br w:val="nil"/>
              <w:tr2bl w:val="nil"/>
            </w:tcBorders>
            <w:vAlign w:val="center"/>
          </w:tcPr>
          <w:p w14:paraId="1E252C43"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lastRenderedPageBreak/>
              <w:t>工程施工影响了极北</w:t>
            </w:r>
            <w:r>
              <w:rPr>
                <w:rFonts w:ascii="Times New Roman" w:eastAsia="宋体" w:hAnsi="Times New Roman" w:cs="Times New Roman" w:hint="eastAsia"/>
                <w:snapToGrid w:val="0"/>
                <w:sz w:val="21"/>
                <w:szCs w:val="21"/>
              </w:rPr>
              <w:lastRenderedPageBreak/>
              <w:t>鲵、黑龙江草蜥的生境，导致其生存空间减少，食物来源和繁殖场所受到威胁。</w:t>
            </w:r>
          </w:p>
        </w:tc>
      </w:tr>
      <w:tr w:rsidR="009D12AF" w14:paraId="77ACB6C4" w14:textId="77777777">
        <w:trPr>
          <w:trHeight w:val="420"/>
          <w:jc w:val="center"/>
        </w:trPr>
        <w:tc>
          <w:tcPr>
            <w:tcW w:w="446" w:type="pct"/>
            <w:tcBorders>
              <w:tl2br w:val="nil"/>
              <w:tr2bl w:val="nil"/>
            </w:tcBorders>
            <w:vAlign w:val="center"/>
          </w:tcPr>
          <w:p w14:paraId="43EBCFCE"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lastRenderedPageBreak/>
              <w:t>6</w:t>
            </w:r>
          </w:p>
        </w:tc>
        <w:tc>
          <w:tcPr>
            <w:tcW w:w="446" w:type="pct"/>
            <w:tcBorders>
              <w:tl2br w:val="nil"/>
              <w:tr2bl w:val="nil"/>
            </w:tcBorders>
            <w:vAlign w:val="center"/>
          </w:tcPr>
          <w:p w14:paraId="488FDF89"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黑龙江草蜥</w:t>
            </w:r>
          </w:p>
        </w:tc>
        <w:tc>
          <w:tcPr>
            <w:tcW w:w="525" w:type="pct"/>
            <w:tcBorders>
              <w:tl2br w:val="nil"/>
              <w:tr2bl w:val="nil"/>
            </w:tcBorders>
            <w:vAlign w:val="center"/>
          </w:tcPr>
          <w:p w14:paraId="527F7278"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省级</w:t>
            </w:r>
          </w:p>
        </w:tc>
        <w:tc>
          <w:tcPr>
            <w:tcW w:w="446" w:type="pct"/>
            <w:tcBorders>
              <w:tl2br w:val="nil"/>
              <w:tr2bl w:val="nil"/>
            </w:tcBorders>
            <w:vAlign w:val="center"/>
          </w:tcPr>
          <w:p w14:paraId="7E574E6A"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无危</w:t>
            </w:r>
          </w:p>
        </w:tc>
        <w:tc>
          <w:tcPr>
            <w:tcW w:w="571" w:type="pct"/>
            <w:tcBorders>
              <w:tl2br w:val="nil"/>
              <w:tr2bl w:val="nil"/>
            </w:tcBorders>
            <w:vAlign w:val="center"/>
          </w:tcPr>
          <w:p w14:paraId="76683D21"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否</w:t>
            </w:r>
          </w:p>
        </w:tc>
        <w:tc>
          <w:tcPr>
            <w:tcW w:w="1229" w:type="pct"/>
            <w:tcBorders>
              <w:tl2br w:val="nil"/>
              <w:tr2bl w:val="nil"/>
            </w:tcBorders>
            <w:vAlign w:val="center"/>
          </w:tcPr>
          <w:p w14:paraId="17FE0850"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kern w:val="0"/>
                <w:sz w:val="21"/>
                <w:szCs w:val="21"/>
              </w:rPr>
              <w:t>山林边缘、荒山坡、草丛间</w:t>
            </w:r>
          </w:p>
        </w:tc>
        <w:tc>
          <w:tcPr>
            <w:tcW w:w="1333" w:type="pct"/>
            <w:vMerge/>
            <w:tcBorders>
              <w:tl2br w:val="nil"/>
              <w:tr2bl w:val="nil"/>
            </w:tcBorders>
            <w:vAlign w:val="center"/>
          </w:tcPr>
          <w:p w14:paraId="07919924" w14:textId="77777777" w:rsidR="009D12AF" w:rsidRDefault="009D12AF">
            <w:pPr>
              <w:ind w:firstLineChars="0" w:firstLine="0"/>
              <w:jc w:val="center"/>
              <w:rPr>
                <w:rFonts w:ascii="Times New Roman" w:eastAsia="宋体" w:hAnsi="Times New Roman" w:cs="Times New Roman"/>
                <w:snapToGrid w:val="0"/>
                <w:sz w:val="21"/>
                <w:szCs w:val="21"/>
              </w:rPr>
            </w:pPr>
          </w:p>
        </w:tc>
      </w:tr>
      <w:tr w:rsidR="009D12AF" w14:paraId="1C28E405" w14:textId="77777777">
        <w:trPr>
          <w:trHeight w:val="420"/>
          <w:jc w:val="center"/>
        </w:trPr>
        <w:tc>
          <w:tcPr>
            <w:tcW w:w="446" w:type="pct"/>
            <w:tcBorders>
              <w:tl2br w:val="nil"/>
              <w:tr2bl w:val="nil"/>
            </w:tcBorders>
            <w:vAlign w:val="center"/>
          </w:tcPr>
          <w:p w14:paraId="37EC825A"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7</w:t>
            </w:r>
          </w:p>
        </w:tc>
        <w:tc>
          <w:tcPr>
            <w:tcW w:w="446" w:type="pct"/>
            <w:tcBorders>
              <w:tl2br w:val="nil"/>
              <w:tr2bl w:val="nil"/>
            </w:tcBorders>
            <w:vAlign w:val="center"/>
          </w:tcPr>
          <w:p w14:paraId="075187FF"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红点锦蛇</w:t>
            </w:r>
          </w:p>
        </w:tc>
        <w:tc>
          <w:tcPr>
            <w:tcW w:w="525" w:type="pct"/>
            <w:tcBorders>
              <w:tl2br w:val="nil"/>
              <w:tr2bl w:val="nil"/>
            </w:tcBorders>
            <w:vAlign w:val="center"/>
          </w:tcPr>
          <w:p w14:paraId="5DDAF82F"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省级</w:t>
            </w:r>
          </w:p>
        </w:tc>
        <w:tc>
          <w:tcPr>
            <w:tcW w:w="446" w:type="pct"/>
            <w:tcBorders>
              <w:tl2br w:val="nil"/>
              <w:tr2bl w:val="nil"/>
            </w:tcBorders>
            <w:vAlign w:val="center"/>
          </w:tcPr>
          <w:p w14:paraId="347005E8"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无危</w:t>
            </w:r>
          </w:p>
        </w:tc>
        <w:tc>
          <w:tcPr>
            <w:tcW w:w="571" w:type="pct"/>
            <w:tcBorders>
              <w:tl2br w:val="nil"/>
              <w:tr2bl w:val="nil"/>
            </w:tcBorders>
            <w:vAlign w:val="center"/>
          </w:tcPr>
          <w:p w14:paraId="489F5F29"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否</w:t>
            </w:r>
          </w:p>
        </w:tc>
        <w:tc>
          <w:tcPr>
            <w:tcW w:w="1229" w:type="pct"/>
            <w:tcBorders>
              <w:tl2br w:val="nil"/>
              <w:tr2bl w:val="nil"/>
            </w:tcBorders>
            <w:vAlign w:val="center"/>
          </w:tcPr>
          <w:p w14:paraId="2512857B"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kern w:val="0"/>
                <w:sz w:val="21"/>
                <w:szCs w:val="21"/>
              </w:rPr>
              <w:t>河滨池塘及附近田野</w:t>
            </w:r>
          </w:p>
        </w:tc>
        <w:tc>
          <w:tcPr>
            <w:tcW w:w="1333" w:type="pct"/>
            <w:vMerge w:val="restart"/>
            <w:tcBorders>
              <w:tl2br w:val="nil"/>
              <w:tr2bl w:val="nil"/>
            </w:tcBorders>
            <w:vAlign w:val="center"/>
          </w:tcPr>
          <w:p w14:paraId="52979480"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工程占用其部分生境，施工、运行扰动可能对其产生影响</w:t>
            </w:r>
          </w:p>
        </w:tc>
      </w:tr>
      <w:tr w:rsidR="009D12AF" w14:paraId="36075741" w14:textId="77777777">
        <w:trPr>
          <w:trHeight w:val="420"/>
          <w:jc w:val="center"/>
        </w:trPr>
        <w:tc>
          <w:tcPr>
            <w:tcW w:w="446" w:type="pct"/>
            <w:tcBorders>
              <w:tl2br w:val="nil"/>
              <w:tr2bl w:val="nil"/>
            </w:tcBorders>
            <w:vAlign w:val="center"/>
          </w:tcPr>
          <w:p w14:paraId="67C04E69"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8</w:t>
            </w:r>
          </w:p>
        </w:tc>
        <w:tc>
          <w:tcPr>
            <w:tcW w:w="446" w:type="pct"/>
            <w:tcBorders>
              <w:tl2br w:val="nil"/>
              <w:tr2bl w:val="nil"/>
            </w:tcBorders>
            <w:vAlign w:val="center"/>
          </w:tcPr>
          <w:p w14:paraId="578CEDA2"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虎斑颈槽蛇</w:t>
            </w:r>
          </w:p>
        </w:tc>
        <w:tc>
          <w:tcPr>
            <w:tcW w:w="525" w:type="pct"/>
            <w:tcBorders>
              <w:tl2br w:val="nil"/>
              <w:tr2bl w:val="nil"/>
            </w:tcBorders>
            <w:vAlign w:val="center"/>
          </w:tcPr>
          <w:p w14:paraId="5485315F"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省级</w:t>
            </w:r>
          </w:p>
        </w:tc>
        <w:tc>
          <w:tcPr>
            <w:tcW w:w="446" w:type="pct"/>
            <w:tcBorders>
              <w:tl2br w:val="nil"/>
              <w:tr2bl w:val="nil"/>
            </w:tcBorders>
            <w:vAlign w:val="center"/>
          </w:tcPr>
          <w:p w14:paraId="14C3FB55"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无危</w:t>
            </w:r>
          </w:p>
        </w:tc>
        <w:tc>
          <w:tcPr>
            <w:tcW w:w="571" w:type="pct"/>
            <w:tcBorders>
              <w:tl2br w:val="nil"/>
              <w:tr2bl w:val="nil"/>
            </w:tcBorders>
            <w:vAlign w:val="center"/>
          </w:tcPr>
          <w:p w14:paraId="3D8D9BFC"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否</w:t>
            </w:r>
          </w:p>
        </w:tc>
        <w:tc>
          <w:tcPr>
            <w:tcW w:w="1229" w:type="pct"/>
            <w:tcBorders>
              <w:tl2br w:val="nil"/>
              <w:tr2bl w:val="nil"/>
            </w:tcBorders>
            <w:vAlign w:val="center"/>
          </w:tcPr>
          <w:p w14:paraId="7CA5DD8C"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kern w:val="0"/>
                <w:sz w:val="21"/>
                <w:szCs w:val="21"/>
              </w:rPr>
              <w:t>山地、丘陵和平原</w:t>
            </w:r>
          </w:p>
        </w:tc>
        <w:tc>
          <w:tcPr>
            <w:tcW w:w="1333" w:type="pct"/>
            <w:vMerge/>
            <w:tcBorders>
              <w:tl2br w:val="nil"/>
              <w:tr2bl w:val="nil"/>
            </w:tcBorders>
            <w:vAlign w:val="center"/>
          </w:tcPr>
          <w:p w14:paraId="02313D3F" w14:textId="77777777" w:rsidR="009D12AF" w:rsidRDefault="009D12AF">
            <w:pPr>
              <w:ind w:firstLineChars="0" w:firstLine="0"/>
              <w:jc w:val="center"/>
              <w:rPr>
                <w:rFonts w:ascii="Times New Roman" w:eastAsia="宋体" w:hAnsi="Times New Roman" w:cs="Times New Roman"/>
                <w:snapToGrid w:val="0"/>
                <w:sz w:val="21"/>
                <w:szCs w:val="21"/>
              </w:rPr>
            </w:pPr>
          </w:p>
        </w:tc>
      </w:tr>
      <w:tr w:rsidR="009D12AF" w14:paraId="6A9F710C" w14:textId="77777777">
        <w:trPr>
          <w:trHeight w:val="420"/>
          <w:jc w:val="center"/>
        </w:trPr>
        <w:tc>
          <w:tcPr>
            <w:tcW w:w="446" w:type="pct"/>
            <w:tcBorders>
              <w:tl2br w:val="nil"/>
              <w:tr2bl w:val="nil"/>
            </w:tcBorders>
            <w:vAlign w:val="center"/>
          </w:tcPr>
          <w:p w14:paraId="52AB2963"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9</w:t>
            </w:r>
          </w:p>
        </w:tc>
        <w:tc>
          <w:tcPr>
            <w:tcW w:w="446" w:type="pct"/>
            <w:tcBorders>
              <w:tl2br w:val="nil"/>
              <w:tr2bl w:val="nil"/>
            </w:tcBorders>
            <w:vAlign w:val="center"/>
          </w:tcPr>
          <w:p w14:paraId="0B5FA478"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太平鸟</w:t>
            </w:r>
          </w:p>
        </w:tc>
        <w:tc>
          <w:tcPr>
            <w:tcW w:w="525" w:type="pct"/>
            <w:tcBorders>
              <w:tl2br w:val="nil"/>
              <w:tr2bl w:val="nil"/>
            </w:tcBorders>
            <w:vAlign w:val="center"/>
          </w:tcPr>
          <w:p w14:paraId="6F35397A"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省级</w:t>
            </w:r>
          </w:p>
        </w:tc>
        <w:tc>
          <w:tcPr>
            <w:tcW w:w="446" w:type="pct"/>
            <w:tcBorders>
              <w:tl2br w:val="nil"/>
              <w:tr2bl w:val="nil"/>
            </w:tcBorders>
            <w:vAlign w:val="center"/>
          </w:tcPr>
          <w:p w14:paraId="67EAEBC3"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无危</w:t>
            </w:r>
          </w:p>
        </w:tc>
        <w:tc>
          <w:tcPr>
            <w:tcW w:w="571" w:type="pct"/>
            <w:tcBorders>
              <w:tl2br w:val="nil"/>
              <w:tr2bl w:val="nil"/>
            </w:tcBorders>
            <w:vAlign w:val="center"/>
          </w:tcPr>
          <w:p w14:paraId="3A638E27"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否</w:t>
            </w:r>
          </w:p>
        </w:tc>
        <w:tc>
          <w:tcPr>
            <w:tcW w:w="1229" w:type="pct"/>
            <w:tcBorders>
              <w:tl2br w:val="nil"/>
              <w:tr2bl w:val="nil"/>
            </w:tcBorders>
            <w:vAlign w:val="center"/>
          </w:tcPr>
          <w:p w14:paraId="185140BE"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kern w:val="0"/>
                <w:sz w:val="21"/>
                <w:szCs w:val="21"/>
              </w:rPr>
              <w:t>针叶林、混交林</w:t>
            </w:r>
          </w:p>
        </w:tc>
        <w:tc>
          <w:tcPr>
            <w:tcW w:w="1333" w:type="pct"/>
            <w:vMerge w:val="restart"/>
            <w:tcBorders>
              <w:tl2br w:val="nil"/>
              <w:tr2bl w:val="nil"/>
            </w:tcBorders>
            <w:vAlign w:val="center"/>
          </w:tcPr>
          <w:p w14:paraId="002D72F2"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工程施工对其栖息地的破坏，施工活动、施工噪声对其的惊扰等，对哺乳类产生一定的不利影响。</w:t>
            </w:r>
          </w:p>
        </w:tc>
      </w:tr>
      <w:tr w:rsidR="009D12AF" w14:paraId="14816400" w14:textId="77777777">
        <w:trPr>
          <w:trHeight w:val="420"/>
          <w:jc w:val="center"/>
        </w:trPr>
        <w:tc>
          <w:tcPr>
            <w:tcW w:w="446" w:type="pct"/>
            <w:tcBorders>
              <w:tl2br w:val="nil"/>
              <w:tr2bl w:val="nil"/>
            </w:tcBorders>
            <w:vAlign w:val="center"/>
          </w:tcPr>
          <w:p w14:paraId="01C0CFFA"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1</w:t>
            </w:r>
            <w:r>
              <w:rPr>
                <w:rFonts w:ascii="Times New Roman" w:eastAsia="宋体" w:hAnsi="Times New Roman" w:cs="Times New Roman"/>
                <w:snapToGrid w:val="0"/>
                <w:sz w:val="21"/>
                <w:szCs w:val="21"/>
              </w:rPr>
              <w:t>0</w:t>
            </w:r>
          </w:p>
        </w:tc>
        <w:tc>
          <w:tcPr>
            <w:tcW w:w="446" w:type="pct"/>
            <w:tcBorders>
              <w:tl2br w:val="nil"/>
              <w:tr2bl w:val="nil"/>
            </w:tcBorders>
            <w:vAlign w:val="center"/>
          </w:tcPr>
          <w:p w14:paraId="5CF759EC"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lang w:eastAsia="en-US"/>
              </w:rPr>
              <w:t>朱顶雀</w:t>
            </w:r>
          </w:p>
        </w:tc>
        <w:tc>
          <w:tcPr>
            <w:tcW w:w="525" w:type="pct"/>
            <w:tcBorders>
              <w:tl2br w:val="nil"/>
              <w:tr2bl w:val="nil"/>
            </w:tcBorders>
            <w:vAlign w:val="center"/>
          </w:tcPr>
          <w:p w14:paraId="1841A41B"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省级</w:t>
            </w:r>
          </w:p>
        </w:tc>
        <w:tc>
          <w:tcPr>
            <w:tcW w:w="446" w:type="pct"/>
            <w:tcBorders>
              <w:tl2br w:val="nil"/>
              <w:tr2bl w:val="nil"/>
            </w:tcBorders>
            <w:vAlign w:val="center"/>
          </w:tcPr>
          <w:p w14:paraId="29416378"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无危</w:t>
            </w:r>
          </w:p>
        </w:tc>
        <w:tc>
          <w:tcPr>
            <w:tcW w:w="571" w:type="pct"/>
            <w:tcBorders>
              <w:tl2br w:val="nil"/>
              <w:tr2bl w:val="nil"/>
            </w:tcBorders>
            <w:vAlign w:val="center"/>
          </w:tcPr>
          <w:p w14:paraId="4C91CD42"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否</w:t>
            </w:r>
          </w:p>
        </w:tc>
        <w:tc>
          <w:tcPr>
            <w:tcW w:w="1229" w:type="pct"/>
            <w:tcBorders>
              <w:tl2br w:val="nil"/>
              <w:tr2bl w:val="nil"/>
            </w:tcBorders>
            <w:vAlign w:val="center"/>
          </w:tcPr>
          <w:p w14:paraId="107C2E94"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kern w:val="0"/>
                <w:sz w:val="21"/>
                <w:szCs w:val="21"/>
              </w:rPr>
              <w:t>山区林地、灌木丛及农田</w:t>
            </w:r>
          </w:p>
        </w:tc>
        <w:tc>
          <w:tcPr>
            <w:tcW w:w="1333" w:type="pct"/>
            <w:vMerge/>
            <w:tcBorders>
              <w:tl2br w:val="nil"/>
              <w:tr2bl w:val="nil"/>
            </w:tcBorders>
            <w:vAlign w:val="center"/>
          </w:tcPr>
          <w:p w14:paraId="07138FD4" w14:textId="77777777" w:rsidR="009D12AF" w:rsidRDefault="009D12AF">
            <w:pPr>
              <w:ind w:firstLineChars="0" w:firstLine="0"/>
              <w:jc w:val="center"/>
              <w:rPr>
                <w:rFonts w:ascii="Times New Roman" w:eastAsia="宋体" w:hAnsi="Times New Roman" w:cs="Times New Roman"/>
                <w:snapToGrid w:val="0"/>
                <w:sz w:val="21"/>
                <w:szCs w:val="21"/>
              </w:rPr>
            </w:pPr>
          </w:p>
        </w:tc>
      </w:tr>
      <w:tr w:rsidR="009D12AF" w14:paraId="22A5EAE3" w14:textId="77777777">
        <w:trPr>
          <w:trHeight w:val="420"/>
          <w:jc w:val="center"/>
        </w:trPr>
        <w:tc>
          <w:tcPr>
            <w:tcW w:w="446" w:type="pct"/>
            <w:tcBorders>
              <w:tl2br w:val="nil"/>
              <w:tr2bl w:val="nil"/>
            </w:tcBorders>
            <w:vAlign w:val="center"/>
          </w:tcPr>
          <w:p w14:paraId="42E61F61"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1</w:t>
            </w:r>
            <w:r>
              <w:rPr>
                <w:rFonts w:ascii="Times New Roman" w:eastAsia="宋体" w:hAnsi="Times New Roman" w:cs="Times New Roman"/>
                <w:snapToGrid w:val="0"/>
                <w:sz w:val="21"/>
                <w:szCs w:val="21"/>
              </w:rPr>
              <w:t>1</w:t>
            </w:r>
          </w:p>
        </w:tc>
        <w:tc>
          <w:tcPr>
            <w:tcW w:w="446" w:type="pct"/>
            <w:tcBorders>
              <w:tl2br w:val="nil"/>
              <w:tr2bl w:val="nil"/>
            </w:tcBorders>
            <w:vAlign w:val="center"/>
          </w:tcPr>
          <w:p w14:paraId="114E9BBE"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金翅雀</w:t>
            </w:r>
          </w:p>
        </w:tc>
        <w:tc>
          <w:tcPr>
            <w:tcW w:w="525" w:type="pct"/>
            <w:tcBorders>
              <w:tl2br w:val="nil"/>
              <w:tr2bl w:val="nil"/>
            </w:tcBorders>
            <w:vAlign w:val="center"/>
          </w:tcPr>
          <w:p w14:paraId="0FB970CA"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省级</w:t>
            </w:r>
          </w:p>
        </w:tc>
        <w:tc>
          <w:tcPr>
            <w:tcW w:w="446" w:type="pct"/>
            <w:tcBorders>
              <w:tl2br w:val="nil"/>
              <w:tr2bl w:val="nil"/>
            </w:tcBorders>
            <w:vAlign w:val="center"/>
          </w:tcPr>
          <w:p w14:paraId="5828A1AA"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无危</w:t>
            </w:r>
          </w:p>
        </w:tc>
        <w:tc>
          <w:tcPr>
            <w:tcW w:w="571" w:type="pct"/>
            <w:tcBorders>
              <w:tl2br w:val="nil"/>
              <w:tr2bl w:val="nil"/>
            </w:tcBorders>
            <w:vAlign w:val="center"/>
          </w:tcPr>
          <w:p w14:paraId="29CEDE03"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否</w:t>
            </w:r>
          </w:p>
        </w:tc>
        <w:tc>
          <w:tcPr>
            <w:tcW w:w="1229" w:type="pct"/>
            <w:tcBorders>
              <w:tl2br w:val="nil"/>
              <w:tr2bl w:val="nil"/>
            </w:tcBorders>
            <w:vAlign w:val="center"/>
          </w:tcPr>
          <w:p w14:paraId="0027D81C"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kern w:val="0"/>
                <w:sz w:val="21"/>
                <w:szCs w:val="21"/>
              </w:rPr>
              <w:t>低山、丘陵、山脚和平原等开阔地带的疏林</w:t>
            </w:r>
          </w:p>
        </w:tc>
        <w:tc>
          <w:tcPr>
            <w:tcW w:w="1333" w:type="pct"/>
            <w:vMerge/>
            <w:tcBorders>
              <w:tl2br w:val="nil"/>
              <w:tr2bl w:val="nil"/>
            </w:tcBorders>
            <w:vAlign w:val="center"/>
          </w:tcPr>
          <w:p w14:paraId="139A546F" w14:textId="77777777" w:rsidR="009D12AF" w:rsidRDefault="009D12AF">
            <w:pPr>
              <w:ind w:firstLineChars="0" w:firstLine="0"/>
              <w:jc w:val="center"/>
              <w:rPr>
                <w:rFonts w:ascii="Times New Roman" w:eastAsia="宋体" w:hAnsi="Times New Roman" w:cs="Times New Roman"/>
                <w:snapToGrid w:val="0"/>
                <w:sz w:val="21"/>
                <w:szCs w:val="21"/>
              </w:rPr>
            </w:pPr>
          </w:p>
        </w:tc>
      </w:tr>
      <w:tr w:rsidR="009D12AF" w14:paraId="5DE2564C" w14:textId="77777777">
        <w:trPr>
          <w:trHeight w:val="420"/>
          <w:jc w:val="center"/>
        </w:trPr>
        <w:tc>
          <w:tcPr>
            <w:tcW w:w="446" w:type="pct"/>
            <w:tcBorders>
              <w:tl2br w:val="nil"/>
              <w:tr2bl w:val="nil"/>
            </w:tcBorders>
            <w:vAlign w:val="center"/>
          </w:tcPr>
          <w:p w14:paraId="5230D006"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1</w:t>
            </w:r>
            <w:r>
              <w:rPr>
                <w:rFonts w:ascii="Times New Roman" w:eastAsia="宋体" w:hAnsi="Times New Roman" w:cs="Times New Roman"/>
                <w:snapToGrid w:val="0"/>
                <w:sz w:val="21"/>
                <w:szCs w:val="21"/>
              </w:rPr>
              <w:t>2</w:t>
            </w:r>
          </w:p>
        </w:tc>
        <w:tc>
          <w:tcPr>
            <w:tcW w:w="446" w:type="pct"/>
            <w:tcBorders>
              <w:tl2br w:val="nil"/>
              <w:tr2bl w:val="nil"/>
            </w:tcBorders>
            <w:vAlign w:val="center"/>
          </w:tcPr>
          <w:p w14:paraId="35A96620"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rPr>
              <w:t>远东刺猬</w:t>
            </w:r>
          </w:p>
        </w:tc>
        <w:tc>
          <w:tcPr>
            <w:tcW w:w="525" w:type="pct"/>
            <w:tcBorders>
              <w:tl2br w:val="nil"/>
              <w:tr2bl w:val="nil"/>
            </w:tcBorders>
            <w:vAlign w:val="center"/>
          </w:tcPr>
          <w:p w14:paraId="3EBF9B56"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省级</w:t>
            </w:r>
          </w:p>
        </w:tc>
        <w:tc>
          <w:tcPr>
            <w:tcW w:w="446" w:type="pct"/>
            <w:tcBorders>
              <w:tl2br w:val="nil"/>
              <w:tr2bl w:val="nil"/>
            </w:tcBorders>
            <w:vAlign w:val="center"/>
          </w:tcPr>
          <w:p w14:paraId="57B7178B"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无危</w:t>
            </w:r>
          </w:p>
        </w:tc>
        <w:tc>
          <w:tcPr>
            <w:tcW w:w="571" w:type="pct"/>
            <w:tcBorders>
              <w:tl2br w:val="nil"/>
              <w:tr2bl w:val="nil"/>
            </w:tcBorders>
            <w:vAlign w:val="center"/>
          </w:tcPr>
          <w:p w14:paraId="260F1F84"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否</w:t>
            </w:r>
          </w:p>
        </w:tc>
        <w:tc>
          <w:tcPr>
            <w:tcW w:w="1229" w:type="pct"/>
            <w:tcBorders>
              <w:tl2br w:val="nil"/>
              <w:tr2bl w:val="nil"/>
            </w:tcBorders>
            <w:vAlign w:val="center"/>
          </w:tcPr>
          <w:p w14:paraId="2D38D3A3"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kern w:val="0"/>
                <w:sz w:val="21"/>
                <w:szCs w:val="21"/>
              </w:rPr>
              <w:t>森林、灌丛、草丛</w:t>
            </w:r>
          </w:p>
        </w:tc>
        <w:tc>
          <w:tcPr>
            <w:tcW w:w="1333" w:type="pct"/>
            <w:vMerge w:val="restart"/>
            <w:tcBorders>
              <w:tl2br w:val="nil"/>
              <w:tr2bl w:val="nil"/>
            </w:tcBorders>
            <w:vAlign w:val="center"/>
          </w:tcPr>
          <w:p w14:paraId="781BCF08"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工程施工对其栖息地的破坏，施工活动、施工噪声对其的惊扰等，对哺乳类产生一定的不利影响。</w:t>
            </w:r>
          </w:p>
        </w:tc>
      </w:tr>
      <w:tr w:rsidR="009D12AF" w14:paraId="4EBF34B1" w14:textId="77777777">
        <w:trPr>
          <w:trHeight w:val="420"/>
          <w:jc w:val="center"/>
        </w:trPr>
        <w:tc>
          <w:tcPr>
            <w:tcW w:w="446" w:type="pct"/>
            <w:tcBorders>
              <w:tl2br w:val="nil"/>
              <w:tr2bl w:val="nil"/>
            </w:tcBorders>
            <w:vAlign w:val="center"/>
          </w:tcPr>
          <w:p w14:paraId="4F158D22"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1</w:t>
            </w:r>
            <w:r>
              <w:rPr>
                <w:rFonts w:ascii="Times New Roman" w:eastAsia="宋体" w:hAnsi="Times New Roman" w:cs="Times New Roman"/>
                <w:snapToGrid w:val="0"/>
                <w:sz w:val="21"/>
                <w:szCs w:val="21"/>
              </w:rPr>
              <w:t>3</w:t>
            </w:r>
          </w:p>
        </w:tc>
        <w:tc>
          <w:tcPr>
            <w:tcW w:w="446" w:type="pct"/>
            <w:tcBorders>
              <w:tl2br w:val="nil"/>
              <w:tr2bl w:val="nil"/>
            </w:tcBorders>
            <w:vAlign w:val="center"/>
          </w:tcPr>
          <w:p w14:paraId="08D41DEF"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香鼬</w:t>
            </w:r>
          </w:p>
        </w:tc>
        <w:tc>
          <w:tcPr>
            <w:tcW w:w="525" w:type="pct"/>
            <w:tcBorders>
              <w:tl2br w:val="nil"/>
              <w:tr2bl w:val="nil"/>
            </w:tcBorders>
            <w:vAlign w:val="center"/>
          </w:tcPr>
          <w:p w14:paraId="4C8CFF5D"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省级</w:t>
            </w:r>
          </w:p>
        </w:tc>
        <w:tc>
          <w:tcPr>
            <w:tcW w:w="446" w:type="pct"/>
            <w:tcBorders>
              <w:tl2br w:val="nil"/>
              <w:tr2bl w:val="nil"/>
            </w:tcBorders>
            <w:vAlign w:val="center"/>
          </w:tcPr>
          <w:p w14:paraId="582D6CB3"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无危</w:t>
            </w:r>
          </w:p>
        </w:tc>
        <w:tc>
          <w:tcPr>
            <w:tcW w:w="571" w:type="pct"/>
            <w:tcBorders>
              <w:tl2br w:val="nil"/>
              <w:tr2bl w:val="nil"/>
            </w:tcBorders>
            <w:vAlign w:val="center"/>
          </w:tcPr>
          <w:p w14:paraId="61AFE7AA"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否</w:t>
            </w:r>
          </w:p>
        </w:tc>
        <w:tc>
          <w:tcPr>
            <w:tcW w:w="1229" w:type="pct"/>
            <w:tcBorders>
              <w:tl2br w:val="nil"/>
              <w:tr2bl w:val="nil"/>
            </w:tcBorders>
            <w:vAlign w:val="center"/>
          </w:tcPr>
          <w:p w14:paraId="34576064"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kern w:val="0"/>
                <w:sz w:val="21"/>
                <w:szCs w:val="21"/>
              </w:rPr>
              <w:t>山地森林和草原</w:t>
            </w:r>
          </w:p>
        </w:tc>
        <w:tc>
          <w:tcPr>
            <w:tcW w:w="1333" w:type="pct"/>
            <w:vMerge/>
            <w:tcBorders>
              <w:tl2br w:val="nil"/>
              <w:tr2bl w:val="nil"/>
            </w:tcBorders>
            <w:vAlign w:val="center"/>
          </w:tcPr>
          <w:p w14:paraId="1719AAEE" w14:textId="77777777" w:rsidR="009D12AF" w:rsidRDefault="009D12AF">
            <w:pPr>
              <w:ind w:firstLineChars="0" w:firstLine="0"/>
              <w:jc w:val="center"/>
              <w:rPr>
                <w:rFonts w:ascii="Times New Roman" w:eastAsia="宋体" w:hAnsi="Times New Roman" w:cs="Times New Roman"/>
                <w:snapToGrid w:val="0"/>
                <w:sz w:val="21"/>
                <w:szCs w:val="21"/>
              </w:rPr>
            </w:pPr>
          </w:p>
        </w:tc>
      </w:tr>
      <w:tr w:rsidR="009D12AF" w14:paraId="2C6B6A41" w14:textId="77777777">
        <w:trPr>
          <w:trHeight w:val="420"/>
          <w:jc w:val="center"/>
        </w:trPr>
        <w:tc>
          <w:tcPr>
            <w:tcW w:w="446" w:type="pct"/>
            <w:tcBorders>
              <w:tl2br w:val="nil"/>
              <w:tr2bl w:val="nil"/>
            </w:tcBorders>
            <w:vAlign w:val="center"/>
          </w:tcPr>
          <w:p w14:paraId="1855480A"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1</w:t>
            </w:r>
            <w:r>
              <w:rPr>
                <w:rFonts w:ascii="Times New Roman" w:eastAsia="宋体" w:hAnsi="Times New Roman" w:cs="Times New Roman"/>
                <w:snapToGrid w:val="0"/>
                <w:sz w:val="21"/>
                <w:szCs w:val="21"/>
              </w:rPr>
              <w:t>4</w:t>
            </w:r>
          </w:p>
        </w:tc>
        <w:tc>
          <w:tcPr>
            <w:tcW w:w="446" w:type="pct"/>
            <w:tcBorders>
              <w:tl2br w:val="nil"/>
              <w:tr2bl w:val="nil"/>
            </w:tcBorders>
            <w:vAlign w:val="center"/>
          </w:tcPr>
          <w:p w14:paraId="1AB96407"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黄鼬</w:t>
            </w:r>
          </w:p>
        </w:tc>
        <w:tc>
          <w:tcPr>
            <w:tcW w:w="525" w:type="pct"/>
            <w:tcBorders>
              <w:tl2br w:val="nil"/>
              <w:tr2bl w:val="nil"/>
            </w:tcBorders>
            <w:vAlign w:val="center"/>
          </w:tcPr>
          <w:p w14:paraId="553F2374"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省级</w:t>
            </w:r>
          </w:p>
        </w:tc>
        <w:tc>
          <w:tcPr>
            <w:tcW w:w="446" w:type="pct"/>
            <w:tcBorders>
              <w:tl2br w:val="nil"/>
              <w:tr2bl w:val="nil"/>
            </w:tcBorders>
            <w:vAlign w:val="center"/>
          </w:tcPr>
          <w:p w14:paraId="723FFAD8"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无危</w:t>
            </w:r>
          </w:p>
        </w:tc>
        <w:tc>
          <w:tcPr>
            <w:tcW w:w="571" w:type="pct"/>
            <w:tcBorders>
              <w:tl2br w:val="nil"/>
              <w:tr2bl w:val="nil"/>
            </w:tcBorders>
            <w:vAlign w:val="center"/>
          </w:tcPr>
          <w:p w14:paraId="1B872B47"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否</w:t>
            </w:r>
          </w:p>
        </w:tc>
        <w:tc>
          <w:tcPr>
            <w:tcW w:w="1229" w:type="pct"/>
            <w:tcBorders>
              <w:tl2br w:val="nil"/>
              <w:tr2bl w:val="nil"/>
            </w:tcBorders>
            <w:vAlign w:val="center"/>
          </w:tcPr>
          <w:p w14:paraId="2B94118B"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kern w:val="0"/>
                <w:sz w:val="21"/>
                <w:szCs w:val="21"/>
              </w:rPr>
              <w:t>平原、丘陵、山区、高原</w:t>
            </w:r>
          </w:p>
        </w:tc>
        <w:tc>
          <w:tcPr>
            <w:tcW w:w="1333" w:type="pct"/>
            <w:vMerge/>
            <w:tcBorders>
              <w:tl2br w:val="nil"/>
              <w:tr2bl w:val="nil"/>
            </w:tcBorders>
            <w:vAlign w:val="center"/>
          </w:tcPr>
          <w:p w14:paraId="6A71D7A9" w14:textId="77777777" w:rsidR="009D12AF" w:rsidRDefault="009D12AF">
            <w:pPr>
              <w:ind w:firstLineChars="0" w:firstLine="0"/>
              <w:jc w:val="center"/>
              <w:rPr>
                <w:rFonts w:ascii="Times New Roman" w:eastAsia="宋体" w:hAnsi="Times New Roman" w:cs="Times New Roman"/>
                <w:snapToGrid w:val="0"/>
                <w:sz w:val="21"/>
                <w:szCs w:val="21"/>
              </w:rPr>
            </w:pPr>
          </w:p>
        </w:tc>
      </w:tr>
      <w:tr w:rsidR="009D12AF" w14:paraId="78143A3E" w14:textId="77777777">
        <w:trPr>
          <w:trHeight w:val="420"/>
          <w:jc w:val="center"/>
        </w:trPr>
        <w:tc>
          <w:tcPr>
            <w:tcW w:w="446" w:type="pct"/>
            <w:tcBorders>
              <w:tl2br w:val="nil"/>
              <w:tr2bl w:val="nil"/>
            </w:tcBorders>
            <w:vAlign w:val="center"/>
          </w:tcPr>
          <w:p w14:paraId="2FD7FCC2"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1</w:t>
            </w:r>
            <w:r>
              <w:rPr>
                <w:rFonts w:ascii="Times New Roman" w:eastAsia="宋体" w:hAnsi="Times New Roman" w:cs="Times New Roman"/>
                <w:snapToGrid w:val="0"/>
                <w:sz w:val="21"/>
                <w:szCs w:val="21"/>
              </w:rPr>
              <w:t>5</w:t>
            </w:r>
          </w:p>
        </w:tc>
        <w:tc>
          <w:tcPr>
            <w:tcW w:w="446" w:type="pct"/>
            <w:tcBorders>
              <w:tl2br w:val="nil"/>
              <w:tr2bl w:val="nil"/>
            </w:tcBorders>
            <w:vAlign w:val="center"/>
          </w:tcPr>
          <w:p w14:paraId="0C085A59"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东北兔</w:t>
            </w:r>
          </w:p>
        </w:tc>
        <w:tc>
          <w:tcPr>
            <w:tcW w:w="525" w:type="pct"/>
            <w:tcBorders>
              <w:tl2br w:val="nil"/>
              <w:tr2bl w:val="nil"/>
            </w:tcBorders>
            <w:vAlign w:val="center"/>
          </w:tcPr>
          <w:p w14:paraId="377EC0D4"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省级</w:t>
            </w:r>
          </w:p>
        </w:tc>
        <w:tc>
          <w:tcPr>
            <w:tcW w:w="446" w:type="pct"/>
            <w:tcBorders>
              <w:tl2br w:val="nil"/>
              <w:tr2bl w:val="nil"/>
            </w:tcBorders>
            <w:vAlign w:val="center"/>
          </w:tcPr>
          <w:p w14:paraId="14B85D36"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无危</w:t>
            </w:r>
          </w:p>
        </w:tc>
        <w:tc>
          <w:tcPr>
            <w:tcW w:w="571" w:type="pct"/>
            <w:tcBorders>
              <w:tl2br w:val="nil"/>
              <w:tr2bl w:val="nil"/>
            </w:tcBorders>
            <w:vAlign w:val="center"/>
          </w:tcPr>
          <w:p w14:paraId="7FDC8C12"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否</w:t>
            </w:r>
          </w:p>
        </w:tc>
        <w:tc>
          <w:tcPr>
            <w:tcW w:w="1229" w:type="pct"/>
            <w:tcBorders>
              <w:tl2br w:val="nil"/>
              <w:tr2bl w:val="nil"/>
            </w:tcBorders>
            <w:vAlign w:val="center"/>
          </w:tcPr>
          <w:p w14:paraId="4AF69C3A"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kern w:val="0"/>
                <w:sz w:val="21"/>
                <w:szCs w:val="21"/>
              </w:rPr>
              <w:t>针叶阔叶混交林</w:t>
            </w:r>
          </w:p>
        </w:tc>
        <w:tc>
          <w:tcPr>
            <w:tcW w:w="1333" w:type="pct"/>
            <w:vMerge/>
            <w:tcBorders>
              <w:tl2br w:val="nil"/>
              <w:tr2bl w:val="nil"/>
            </w:tcBorders>
            <w:vAlign w:val="center"/>
          </w:tcPr>
          <w:p w14:paraId="71D4497D" w14:textId="77777777" w:rsidR="009D12AF" w:rsidRDefault="009D12AF">
            <w:pPr>
              <w:ind w:firstLineChars="0" w:firstLine="0"/>
              <w:jc w:val="center"/>
              <w:rPr>
                <w:rFonts w:ascii="Times New Roman" w:eastAsia="宋体" w:hAnsi="Times New Roman" w:cs="Times New Roman"/>
                <w:snapToGrid w:val="0"/>
                <w:sz w:val="21"/>
                <w:szCs w:val="21"/>
              </w:rPr>
            </w:pPr>
          </w:p>
        </w:tc>
      </w:tr>
      <w:tr w:rsidR="009D12AF" w14:paraId="7D3CAC58" w14:textId="77777777">
        <w:trPr>
          <w:trHeight w:val="420"/>
          <w:jc w:val="center"/>
        </w:trPr>
        <w:tc>
          <w:tcPr>
            <w:tcW w:w="446" w:type="pct"/>
            <w:tcBorders>
              <w:tl2br w:val="nil"/>
              <w:tr2bl w:val="nil"/>
            </w:tcBorders>
            <w:vAlign w:val="center"/>
          </w:tcPr>
          <w:p w14:paraId="3B0B43DA"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1</w:t>
            </w:r>
            <w:r>
              <w:rPr>
                <w:rFonts w:ascii="Times New Roman" w:eastAsia="宋体" w:hAnsi="Times New Roman" w:cs="Times New Roman"/>
                <w:snapToGrid w:val="0"/>
                <w:sz w:val="21"/>
                <w:szCs w:val="21"/>
              </w:rPr>
              <w:t>6</w:t>
            </w:r>
          </w:p>
        </w:tc>
        <w:tc>
          <w:tcPr>
            <w:tcW w:w="446" w:type="pct"/>
            <w:tcBorders>
              <w:tl2br w:val="nil"/>
              <w:tr2bl w:val="nil"/>
            </w:tcBorders>
            <w:vAlign w:val="center"/>
          </w:tcPr>
          <w:p w14:paraId="3A36C841"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hint="eastAsia"/>
                <w:snapToGrid w:val="0"/>
                <w:sz w:val="21"/>
                <w:szCs w:val="21"/>
              </w:rPr>
              <w:t>松鼠</w:t>
            </w:r>
          </w:p>
        </w:tc>
        <w:tc>
          <w:tcPr>
            <w:tcW w:w="525" w:type="pct"/>
            <w:tcBorders>
              <w:tl2br w:val="nil"/>
              <w:tr2bl w:val="nil"/>
            </w:tcBorders>
            <w:vAlign w:val="center"/>
          </w:tcPr>
          <w:p w14:paraId="62AD3915"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省级</w:t>
            </w:r>
          </w:p>
        </w:tc>
        <w:tc>
          <w:tcPr>
            <w:tcW w:w="446" w:type="pct"/>
            <w:tcBorders>
              <w:tl2br w:val="nil"/>
              <w:tr2bl w:val="nil"/>
            </w:tcBorders>
            <w:vAlign w:val="center"/>
          </w:tcPr>
          <w:p w14:paraId="2A73C1CF"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无危</w:t>
            </w:r>
          </w:p>
        </w:tc>
        <w:tc>
          <w:tcPr>
            <w:tcW w:w="571" w:type="pct"/>
            <w:tcBorders>
              <w:tl2br w:val="nil"/>
              <w:tr2bl w:val="nil"/>
            </w:tcBorders>
            <w:vAlign w:val="center"/>
          </w:tcPr>
          <w:p w14:paraId="35DEDA3F" w14:textId="77777777" w:rsidR="009D12AF" w:rsidRDefault="00000000">
            <w:pPr>
              <w:ind w:firstLineChars="0" w:firstLine="0"/>
              <w:jc w:val="center"/>
              <w:rPr>
                <w:rFonts w:ascii="Times New Roman" w:eastAsia="宋体" w:hAnsi="Times New Roman" w:cs="Times New Roman"/>
                <w:snapToGrid w:val="0"/>
                <w:sz w:val="21"/>
                <w:szCs w:val="21"/>
                <w:lang w:eastAsia="en-US"/>
              </w:rPr>
            </w:pPr>
            <w:r>
              <w:rPr>
                <w:rFonts w:ascii="Times New Roman" w:eastAsia="宋体" w:hAnsi="Times New Roman" w:cs="Times New Roman" w:hint="eastAsia"/>
                <w:snapToGrid w:val="0"/>
                <w:sz w:val="21"/>
                <w:szCs w:val="21"/>
                <w:lang w:eastAsia="en-US"/>
              </w:rPr>
              <w:t>否</w:t>
            </w:r>
          </w:p>
        </w:tc>
        <w:tc>
          <w:tcPr>
            <w:tcW w:w="1229" w:type="pct"/>
            <w:tcBorders>
              <w:tl2br w:val="nil"/>
              <w:tr2bl w:val="nil"/>
            </w:tcBorders>
            <w:vAlign w:val="center"/>
          </w:tcPr>
          <w:p w14:paraId="416777A1" w14:textId="77777777" w:rsidR="009D12AF" w:rsidRDefault="00000000">
            <w:pPr>
              <w:ind w:firstLineChars="0" w:firstLine="0"/>
              <w:jc w:val="center"/>
              <w:rPr>
                <w:rFonts w:ascii="Times New Roman" w:eastAsia="宋体" w:hAnsi="Times New Roman" w:cs="Times New Roman"/>
                <w:snapToGrid w:val="0"/>
                <w:sz w:val="21"/>
                <w:szCs w:val="21"/>
              </w:rPr>
            </w:pPr>
            <w:r>
              <w:rPr>
                <w:rFonts w:ascii="Times New Roman" w:eastAsia="宋体" w:hAnsi="Times New Roman" w:cs="Times New Roman"/>
                <w:kern w:val="0"/>
                <w:sz w:val="21"/>
                <w:szCs w:val="21"/>
              </w:rPr>
              <w:t>针叶林或针阔混交林</w:t>
            </w:r>
          </w:p>
        </w:tc>
        <w:tc>
          <w:tcPr>
            <w:tcW w:w="1333" w:type="pct"/>
            <w:vMerge/>
            <w:tcBorders>
              <w:tl2br w:val="nil"/>
              <w:tr2bl w:val="nil"/>
            </w:tcBorders>
            <w:vAlign w:val="center"/>
          </w:tcPr>
          <w:p w14:paraId="39654609" w14:textId="77777777" w:rsidR="009D12AF" w:rsidRDefault="009D12AF">
            <w:pPr>
              <w:ind w:firstLineChars="0" w:firstLine="0"/>
              <w:jc w:val="center"/>
              <w:rPr>
                <w:rFonts w:ascii="Times New Roman" w:eastAsia="宋体" w:hAnsi="Times New Roman" w:cs="Times New Roman"/>
                <w:snapToGrid w:val="0"/>
                <w:sz w:val="21"/>
                <w:szCs w:val="21"/>
              </w:rPr>
            </w:pPr>
          </w:p>
        </w:tc>
      </w:tr>
    </w:tbl>
    <w:p w14:paraId="1BACAD73"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对于受保护鸟类，由于其活动能力强、范围广，能够及时避开施工建设的不利影响。本工程实施区域视野开阔，鸟类能及时发现各类威胁，从而有效躲避危害。工程施工仅占用鸟类觅食区域的小部分，工程的实施会暂时使他们的觅食范围相对减小，并不会对他们造成大的直接影响。本工程所经区域地势开阔，农田、湿地连片分布，为受保护鸟类提供了足够的栖息空间。</w:t>
      </w:r>
    </w:p>
    <w:p w14:paraId="4A86C375"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受保护的两栖类动物对环境的湿度和遮蔽条件具有特定需求，其活动范围往往相对固定且局限于湿地、水域周边或植被茂盛的区域。鉴于本工程实施区域的开阔视野和主要地类为耕地的特点，两栖类动物与施工区域的直接接触可能性较低。同时，这类动物对环境变化展现出一定的适应能力，它们可以通过迁移栖息</w:t>
      </w:r>
      <w:r>
        <w:rPr>
          <w:rFonts w:ascii="Times New Roman" w:eastAsia="宋体" w:hAnsi="Times New Roman" w:cs="Times New Roman" w:hint="eastAsia"/>
        </w:rPr>
        <w:lastRenderedPageBreak/>
        <w:t>地或调整活动时间等方式，有效规避施工活动可能带来的潜在影响。因此，整体来看，工程施工对受保护的两栖类动物的影响相对较小。</w:t>
      </w:r>
    </w:p>
    <w:p w14:paraId="2F053F90"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6</w:t>
      </w:r>
      <w:r>
        <w:rPr>
          <w:rFonts w:ascii="Times New Roman" w:eastAsia="宋体" w:hAnsi="Times New Roman" w:cs="Times New Roman" w:hint="eastAsia"/>
        </w:rPr>
        <w:t>、对水生生物的影响</w:t>
      </w:r>
    </w:p>
    <w:p w14:paraId="77644BE7"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本水库清淤项目采用环保绞吸式挖泥船作业，与大开挖方式不同，不会暂时性阻断水库水体连通性，但水下绞吸作业会对局部水域产生轻微扰动，未对水库整体水生植被群落造成破坏。</w:t>
      </w:r>
    </w:p>
    <w:p w14:paraId="5DC0DFE4"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施工期间若生活垃圾、施工废物处理不当，可能随雨水冲刷或人为遗漏进入水体，污染浮游生物的生长环境：塑料废物可能缠绕浮游动物，或分解产生微塑料影响其摄食；生活垃圾中的有机物若渗入水体，短期内可能导致局部水体富营养化，改变浮游生物群落结构。为防控此类影响，生活垃圾与施工废物分别通过分类垃圾桶、专用回收箱集中收集，每日清运离场，未出现废物入水体现象，施工期浮游生物密度与多样性指数维持在背景值水平，未受显著干扰。</w:t>
      </w:r>
    </w:p>
    <w:p w14:paraId="4B5A1B26"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总体来看，项目对水生生物的影响局限于施工期局部区域，未破坏水库水生生态系统完整性，后期可通过自然恢复与环境改善实现生态功能回归。</w:t>
      </w:r>
    </w:p>
    <w:p w14:paraId="5AD05B2B"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二、运行期</w:t>
      </w:r>
    </w:p>
    <w:p w14:paraId="06465CB6" w14:textId="77777777" w:rsidR="009D12AF" w:rsidRDefault="00000000">
      <w:pPr>
        <w:ind w:firstLine="480"/>
      </w:pPr>
      <w:r>
        <w:rPr>
          <w:rFonts w:hint="eastAsia"/>
        </w:rPr>
        <w:t>运行期鸟类，兽类、两栖类和爬行类的空间活动范围基本不会受到限制。工程占地为临时占地，工程建设后，会对其生境进行恢复。小型陆生动物因本身的生物学特性，其活动范围较小，因而受到的限制更大，但本项目占地为</w:t>
      </w:r>
      <w:r>
        <w:rPr>
          <w:rFonts w:hint="eastAsia"/>
        </w:rPr>
        <w:t>1</w:t>
      </w:r>
      <w:r>
        <w:t>.26</w:t>
      </w:r>
      <w:r>
        <w:rPr>
          <w:rFonts w:hint="eastAsia"/>
        </w:rPr>
        <w:t>hm</w:t>
      </w:r>
      <w:r>
        <w:rPr>
          <w:rFonts w:hint="eastAsia"/>
          <w:vertAlign w:val="superscript"/>
        </w:rPr>
        <w:t>2</w:t>
      </w:r>
      <w:r>
        <w:rPr>
          <w:rFonts w:hint="eastAsia"/>
        </w:rPr>
        <w:t>，面积较小，且均为临时占地，造成的分离和阻隔作用相对较小，不会对陆生动物的生境和活动产生真正阻隔。项目运行后，陆生动物仍可自由活动和穿梭于线路两侧，对其行为和活动范围的影响可以接受，不会对其种群产生明显不利影响。人类活动的增加也会为小型陆生动物，如伴随人类居住生活的啮齿类动物等带来更多的食物来源。</w:t>
      </w:r>
    </w:p>
    <w:p w14:paraId="545F6EA9" w14:textId="77777777" w:rsidR="009D12AF" w:rsidRDefault="00000000">
      <w:pPr>
        <w:pStyle w:val="4"/>
        <w:ind w:firstLineChars="0" w:firstLine="0"/>
      </w:pPr>
      <w:r>
        <w:rPr>
          <w:rFonts w:hint="eastAsia"/>
        </w:rPr>
        <w:t>5.1.9.12</w:t>
      </w:r>
      <w:r>
        <w:rPr>
          <w:rFonts w:hint="eastAsia"/>
        </w:rPr>
        <w:t>对环境敏感区的影响</w:t>
      </w:r>
    </w:p>
    <w:p w14:paraId="6C251A3D" w14:textId="77777777" w:rsidR="009D12AF" w:rsidRDefault="00000000">
      <w:pPr>
        <w:ind w:firstLine="480"/>
      </w:pPr>
      <w:r>
        <w:rPr>
          <w:rFonts w:hint="eastAsia"/>
        </w:rPr>
        <w:t>1</w:t>
      </w:r>
      <w:r>
        <w:rPr>
          <w:rFonts w:hint="eastAsia"/>
        </w:rPr>
        <w:t>、黑龙江海林莲花湖省级自然保护区</w:t>
      </w:r>
    </w:p>
    <w:p w14:paraId="666C95FC" w14:textId="77777777" w:rsidR="009D12AF" w:rsidRDefault="00000000">
      <w:pPr>
        <w:pStyle w:val="afd"/>
        <w:spacing w:beforeLines="0" w:before="0"/>
      </w:pPr>
      <w:r>
        <w:rPr>
          <w:rFonts w:hint="eastAsia"/>
        </w:rPr>
        <w:t>根据本工程与环境敏感区的区位关系可知，本工程占用黑龙江海林莲花湖省级自然保护区，面积约</w:t>
      </w:r>
      <w:r>
        <w:t>1.26hm</w:t>
      </w:r>
      <w:r>
        <w:rPr>
          <w:vertAlign w:val="superscript"/>
        </w:rPr>
        <w:t>2</w:t>
      </w:r>
      <w:r>
        <w:rPr>
          <w:rFonts w:hint="eastAsia"/>
        </w:rPr>
        <w:t>，为居住区、淤泥堆放区、机械设备停放区、施工便道。</w:t>
      </w:r>
    </w:p>
    <w:p w14:paraId="6EC2E040" w14:textId="77777777" w:rsidR="009D12AF" w:rsidRDefault="00000000">
      <w:pPr>
        <w:pStyle w:val="afd"/>
        <w:spacing w:beforeLines="0" w:before="0"/>
      </w:pPr>
      <w:r>
        <w:rPr>
          <w:rFonts w:hint="eastAsia"/>
        </w:rPr>
        <w:lastRenderedPageBreak/>
        <w:t>（</w:t>
      </w:r>
      <w:r>
        <w:rPr>
          <w:rFonts w:hint="eastAsia"/>
        </w:rPr>
        <w:t>1</w:t>
      </w:r>
      <w:r>
        <w:rPr>
          <w:rFonts w:hint="eastAsia"/>
        </w:rPr>
        <w:t>）对保护区植物资源的影响</w:t>
      </w:r>
    </w:p>
    <w:p w14:paraId="4521F32E" w14:textId="77777777" w:rsidR="009D12AF" w:rsidRDefault="00000000">
      <w:pPr>
        <w:pStyle w:val="afd"/>
        <w:spacing w:beforeLines="0" w:before="0"/>
      </w:pPr>
      <w:r>
        <w:rPr>
          <w:rFonts w:hint="eastAsia"/>
        </w:rPr>
        <w:t>施工前期通过遥感监测与实地踏查，已实现保护植物生境的精准避让，居住区、淤泥堆放区等重点作业区选址避开了</w:t>
      </w:r>
      <w:r>
        <w:rPr>
          <w:rFonts w:hint="eastAsia"/>
        </w:rPr>
        <w:t xml:space="preserve">4 </w:t>
      </w:r>
      <w:r>
        <w:rPr>
          <w:rFonts w:hint="eastAsia"/>
        </w:rPr>
        <w:t>种国家二级保护植物的个体或群落，仅涉及松、椴等常见乔木及芦苇、稗草等广布性草本植被。针对不同功能区的植被影响差异，采取差异化保护措施：淤泥堆放区及机械设备停放区需硬化处理，对表层</w:t>
      </w:r>
      <w:r>
        <w:rPr>
          <w:rFonts w:hint="eastAsia"/>
        </w:rPr>
        <w:t xml:space="preserve"> 0-30cm </w:t>
      </w:r>
      <w:r>
        <w:rPr>
          <w:rFonts w:hint="eastAsia"/>
        </w:rPr>
        <w:t>富含根系的耕作层土壤进行单独剥离、防雨覆膜储存，最大限度保留植物再生基础，施工便道则采用临时钢板铺设，减少对地表植被的碾压破坏，对植被群落的影响局限于临时占地范围内的短期扰动，且可通过生态修复实现功能复原，整体未改变保护区植物资源的多样性与完整性特征。</w:t>
      </w:r>
    </w:p>
    <w:p w14:paraId="427B1656" w14:textId="77777777" w:rsidR="009D12AF" w:rsidRDefault="00000000">
      <w:pPr>
        <w:pStyle w:val="afd"/>
        <w:spacing w:beforeLines="0" w:before="0"/>
      </w:pPr>
      <w:r>
        <w:rPr>
          <w:rFonts w:hint="eastAsia"/>
        </w:rPr>
        <w:t>（</w:t>
      </w:r>
      <w:r>
        <w:rPr>
          <w:rFonts w:hint="eastAsia"/>
        </w:rPr>
        <w:t>2</w:t>
      </w:r>
      <w:r>
        <w:rPr>
          <w:rFonts w:hint="eastAsia"/>
        </w:rPr>
        <w:t>）对保护区野生动物的影响</w:t>
      </w:r>
    </w:p>
    <w:p w14:paraId="0714A6EE" w14:textId="77777777" w:rsidR="009D12AF" w:rsidRDefault="00000000">
      <w:pPr>
        <w:pStyle w:val="afd"/>
        <w:spacing w:beforeLines="0" w:before="0"/>
      </w:pPr>
      <w:r>
        <w:rPr>
          <w:rFonts w:hint="eastAsia"/>
        </w:rPr>
        <w:t>根据现场调查和历史资料分析，评价区可能存在国家重点保护野生动物东方白鹳、中华秋沙鸭、鸳鸯、红隼、极北鲵，项目实施过程中对野生动物的影响主要表现在两个方面：一是土方开挖、机器震动、人员活动等产生的噪声，影响其在施工区域内的觅食、求偶等活动：二是施工人员的捕猎。本项目建设对保护物种栖息地面积影响较小，且保护区内野生动物对环境变化有较好的感知能力，受到干扰后会迁移到附近相似的生境，噪声和废弃物对保护物种的影响会随着施工结束后消失。运行期内不侵占保护区野生动物活动的主要栖息地，各施工机械退出评价区，灰尘、噪音和震动对保护物种的影响大大降低，对保护区内野生动物栖息地影响小。</w:t>
      </w:r>
    </w:p>
    <w:p w14:paraId="3E54A917" w14:textId="77777777" w:rsidR="009D12AF" w:rsidRDefault="00000000">
      <w:pPr>
        <w:pStyle w:val="afd"/>
        <w:spacing w:beforeLines="0" w:before="0"/>
      </w:pPr>
      <w:r>
        <w:rPr>
          <w:rFonts w:hint="eastAsia"/>
        </w:rPr>
        <w:t>（</w:t>
      </w:r>
      <w:r>
        <w:rPr>
          <w:rFonts w:hint="eastAsia"/>
        </w:rPr>
        <w:t>3</w:t>
      </w:r>
      <w:r>
        <w:rPr>
          <w:rFonts w:hint="eastAsia"/>
        </w:rPr>
        <w:t>）对生态系统的影响</w:t>
      </w:r>
    </w:p>
    <w:p w14:paraId="50E7ACC6" w14:textId="77777777" w:rsidR="009D12AF" w:rsidRDefault="00000000">
      <w:pPr>
        <w:ind w:firstLine="480"/>
      </w:pPr>
      <w:r>
        <w:rPr>
          <w:rFonts w:hint="eastAsia"/>
        </w:rPr>
        <w:t>保护区内主要以湿地生态系统和农田生态系统为主，本项目的施工对地表植被、土壤结构、动物栖息地的影响较小，因此项目建设对保护区内生态系统类型的影响较小。</w:t>
      </w:r>
    </w:p>
    <w:p w14:paraId="62DC0477" w14:textId="77777777" w:rsidR="009D12AF" w:rsidRDefault="00000000">
      <w:pPr>
        <w:ind w:firstLine="480"/>
      </w:pPr>
      <w:r>
        <w:rPr>
          <w:rFonts w:hint="eastAsia"/>
        </w:rPr>
        <w:t>2</w:t>
      </w:r>
      <w:r>
        <w:rPr>
          <w:rFonts w:hint="eastAsia"/>
        </w:rPr>
        <w:t>、黑龙江省莲花湖地质公园</w:t>
      </w:r>
    </w:p>
    <w:p w14:paraId="2DA42F95" w14:textId="77777777" w:rsidR="009D12AF" w:rsidRDefault="00000000">
      <w:pPr>
        <w:pStyle w:val="afd"/>
        <w:spacing w:beforeLines="0" w:before="0"/>
      </w:pPr>
      <w:r>
        <w:rPr>
          <w:rFonts w:hint="eastAsia"/>
        </w:rPr>
        <w:t>黑龙江省莲花湖地质公园核心保护对象为花岗岩构造侵蚀地貌、湖蚀地貌系统、区域地质演化剖面构成的地质遗迹体系，以及花岗岩山地针阔混交林</w:t>
      </w:r>
      <w:r>
        <w:rPr>
          <w:rFonts w:hint="eastAsia"/>
        </w:rPr>
        <w:t xml:space="preserve"> - </w:t>
      </w:r>
      <w:r>
        <w:rPr>
          <w:rFonts w:hint="eastAsia"/>
        </w:rPr>
        <w:t>湖岸湿地复合生态系统、珍稀野生动植物。项目以环保绞吸式挖泥船开展清淤作业，临时占地远离地质科普展示区与核心保护区边界，未进入地质遗迹核心视域范围，不影响地质景观的完整性与观赏性。</w:t>
      </w:r>
    </w:p>
    <w:p w14:paraId="0EC2459E" w14:textId="77777777" w:rsidR="009D12AF" w:rsidRDefault="00000000">
      <w:pPr>
        <w:ind w:firstLine="480"/>
      </w:pPr>
      <w:r>
        <w:rPr>
          <w:rFonts w:hint="eastAsia"/>
        </w:rPr>
        <w:t>施工结束后，临时占地将拆除所有设施，回覆表层土壤并按原生植被结构补</w:t>
      </w:r>
      <w:r>
        <w:rPr>
          <w:rFonts w:hint="eastAsia"/>
        </w:rPr>
        <w:lastRenderedPageBreak/>
        <w:t>植乡土植物，补植区域避开地质遗迹敏感区，不改变花岗岩山地与湖岸的地质形态；清淤后湖水透明度提升，进一步凸显湖蚀崖、金龟岛等地质景观的视觉效果，且底泥内源污染减少有助于保护湖阶地的古环境记录完整性。总体来看，项目对黑龙江省莲花湖地质公园的影响局限于施工期临时占地的轻微扰动，未触及核心地质遗迹与生态系统底线，实现了工程建设与地质遗迹保护的协调发展。</w:t>
      </w:r>
    </w:p>
    <w:p w14:paraId="4DF573BF" w14:textId="77777777" w:rsidR="009D12AF" w:rsidRDefault="00000000">
      <w:pPr>
        <w:ind w:firstLine="480"/>
      </w:pPr>
      <w:r>
        <w:rPr>
          <w:rFonts w:hint="eastAsia"/>
        </w:rPr>
        <w:t>3</w:t>
      </w:r>
      <w:r>
        <w:rPr>
          <w:rFonts w:hint="eastAsia"/>
        </w:rPr>
        <w:t>、海林莲花湖风景名胜区</w:t>
      </w:r>
    </w:p>
    <w:p w14:paraId="5C664CD0"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海林莲花湖风景名胜区核心保护对象为</w:t>
      </w:r>
      <w:r>
        <w:rPr>
          <w:rFonts w:ascii="Times New Roman" w:eastAsia="宋体" w:hAnsi="Times New Roman" w:cs="Times New Roman" w:hint="eastAsia"/>
        </w:rPr>
        <w:t xml:space="preserve"> </w:t>
      </w:r>
      <w:r>
        <w:rPr>
          <w:rFonts w:ascii="Times New Roman" w:eastAsia="宋体" w:hAnsi="Times New Roman" w:cs="Times New Roman" w:hint="eastAsia"/>
        </w:rPr>
        <w:t>“湖光山色、林海雪原、历史遗存”构成的景观资源体系，以及依托该景观的湿地</w:t>
      </w:r>
      <w:r>
        <w:rPr>
          <w:rFonts w:ascii="Times New Roman" w:eastAsia="宋体" w:hAnsi="Times New Roman" w:cs="Times New Roman" w:hint="eastAsia"/>
        </w:rPr>
        <w:t xml:space="preserve"> - </w:t>
      </w:r>
      <w:r>
        <w:rPr>
          <w:rFonts w:ascii="Times New Roman" w:eastAsia="宋体" w:hAnsi="Times New Roman" w:cs="Times New Roman" w:hint="eastAsia"/>
        </w:rPr>
        <w:t>森林复合生态系统、珍稀野生动植物（东方白鹳、中华秋沙鸭等）。项目以环保绞吸式挖泥船开展清淤作业，临时占地（居住区、淤泥堆放区、机械设备停放区、施工便道共</w:t>
      </w:r>
      <w:r>
        <w:rPr>
          <w:rFonts w:ascii="Times New Roman" w:eastAsia="宋体" w:hAnsi="Times New Roman" w:cs="Times New Roman" w:hint="eastAsia"/>
        </w:rPr>
        <w:t>1.26hm</w:t>
      </w:r>
      <w:r>
        <w:rPr>
          <w:rFonts w:ascii="Times New Roman" w:eastAsia="宋体" w:hAnsi="Times New Roman" w:cs="Times New Roman" w:hint="eastAsia"/>
        </w:rPr>
        <w:t>²均位于群力湖湾西侧隐蔽区域，避开鹰嘴峰、一线天等核心景观节点及</w:t>
      </w:r>
      <w:r>
        <w:rPr>
          <w:rFonts w:ascii="Times New Roman" w:eastAsia="宋体" w:hAnsi="Times New Roman" w:cs="Times New Roman" w:hint="eastAsia"/>
        </w:rPr>
        <w:t xml:space="preserve"> </w:t>
      </w:r>
      <w:r>
        <w:rPr>
          <w:rFonts w:ascii="Times New Roman" w:eastAsia="宋体" w:hAnsi="Times New Roman" w:cs="Times New Roman" w:hint="eastAsia"/>
        </w:rPr>
        <w:t>“百里丹江小三峡”</w:t>
      </w:r>
      <w:r>
        <w:rPr>
          <w:rFonts w:ascii="Times New Roman" w:eastAsia="宋体" w:hAnsi="Times New Roman" w:cs="Times New Roman" w:hint="eastAsia"/>
        </w:rPr>
        <w:t xml:space="preserve"> </w:t>
      </w:r>
      <w:r>
        <w:rPr>
          <w:rFonts w:ascii="Times New Roman" w:eastAsia="宋体" w:hAnsi="Times New Roman" w:cs="Times New Roman" w:hint="eastAsia"/>
        </w:rPr>
        <w:t>核心视域范围。海林莲花湖风景名胜区生态系统以</w:t>
      </w:r>
      <w:r>
        <w:rPr>
          <w:rFonts w:ascii="Times New Roman" w:eastAsia="宋体" w:hAnsi="Times New Roman" w:cs="Times New Roman" w:hint="eastAsia"/>
        </w:rPr>
        <w:t xml:space="preserve"> </w:t>
      </w:r>
      <w:r>
        <w:rPr>
          <w:rFonts w:ascii="Times New Roman" w:eastAsia="宋体" w:hAnsi="Times New Roman" w:cs="Times New Roman" w:hint="eastAsia"/>
        </w:rPr>
        <w:t>“湖泊湿地</w:t>
      </w:r>
      <w:r>
        <w:rPr>
          <w:rFonts w:ascii="Times New Roman" w:eastAsia="宋体" w:hAnsi="Times New Roman" w:cs="Times New Roman" w:hint="eastAsia"/>
        </w:rPr>
        <w:t xml:space="preserve"> - </w:t>
      </w:r>
      <w:r>
        <w:rPr>
          <w:rFonts w:ascii="Times New Roman" w:eastAsia="宋体" w:hAnsi="Times New Roman" w:cs="Times New Roman" w:hint="eastAsia"/>
        </w:rPr>
        <w:t>针阔混交林</w:t>
      </w:r>
      <w:r>
        <w:rPr>
          <w:rFonts w:ascii="Times New Roman" w:eastAsia="宋体" w:hAnsi="Times New Roman" w:cs="Times New Roman" w:hint="eastAsia"/>
        </w:rPr>
        <w:t xml:space="preserve"> - </w:t>
      </w:r>
      <w:r>
        <w:rPr>
          <w:rFonts w:ascii="Times New Roman" w:eastAsia="宋体" w:hAnsi="Times New Roman" w:cs="Times New Roman" w:hint="eastAsia"/>
        </w:rPr>
        <w:t>草甸”</w:t>
      </w:r>
      <w:r>
        <w:rPr>
          <w:rFonts w:ascii="Times New Roman" w:eastAsia="宋体" w:hAnsi="Times New Roman" w:cs="Times New Roman" w:hint="eastAsia"/>
        </w:rPr>
        <w:t xml:space="preserve"> </w:t>
      </w:r>
      <w:r>
        <w:rPr>
          <w:rFonts w:ascii="Times New Roman" w:eastAsia="宋体" w:hAnsi="Times New Roman" w:cs="Times New Roman" w:hint="eastAsia"/>
        </w:rPr>
        <w:t>为核心复合结构，是支撑景区景观价值与生物多样性的基础。本项目清淤作业采用分段施工模式，无大规模地表开挖临时占地仅涉及少量灌草植被区域。清淤穿越河流段采用环保绞吸式作业，不占用自然植物群落面积，也未破坏景区动物群落的栖息生境，减少了地面挖掘和土地扰动，最大限度保护了景区原有地形地貌与植被覆盖。</w:t>
      </w:r>
    </w:p>
    <w:p w14:paraId="5B9DAD04"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4</w:t>
      </w:r>
      <w:r>
        <w:rPr>
          <w:rFonts w:ascii="Times New Roman" w:eastAsia="宋体" w:hAnsi="Times New Roman" w:cs="Times New Roman" w:hint="eastAsia"/>
        </w:rPr>
        <w:t>、威虎山国家森林公园</w:t>
      </w:r>
    </w:p>
    <w:p w14:paraId="4B034A0B"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威虎山国家森林公园核心保护对象为温带针阔混交林生态系统、珍稀野生动物、特色景观资源等人文景观，兼具水源涵养与生物多样性维护核心功能。本项目临时占用威虎山国家森林公园占用</w:t>
      </w:r>
      <w:r>
        <w:rPr>
          <w:rFonts w:ascii="Times New Roman" w:eastAsia="宋体" w:hAnsi="Times New Roman" w:cs="Times New Roman" w:hint="eastAsia"/>
        </w:rPr>
        <w:t>0.99 hm2</w:t>
      </w:r>
      <w:r>
        <w:rPr>
          <w:rFonts w:ascii="Times New Roman" w:eastAsia="宋体" w:hAnsi="Times New Roman" w:cs="Times New Roman" w:hint="eastAsia"/>
        </w:rPr>
        <w:t>，项目对森林公园的影响集中于施工期，不占用核心保护用地、不破坏人文景观本体，不改变森林生态系统与景观格局的稳定性，仅施工机械运行产生的噪声、少量扬尘可能对局部声环境、大气环境及野生动物产生短期干扰，通过加装隔声罩、每日</w:t>
      </w:r>
      <w:r>
        <w:rPr>
          <w:rFonts w:ascii="Times New Roman" w:eastAsia="宋体" w:hAnsi="Times New Roman" w:cs="Times New Roman" w:hint="eastAsia"/>
        </w:rPr>
        <w:t>3</w:t>
      </w:r>
      <w:r>
        <w:rPr>
          <w:rFonts w:ascii="Times New Roman" w:eastAsia="宋体" w:hAnsi="Times New Roman" w:cs="Times New Roman" w:hint="eastAsia"/>
        </w:rPr>
        <w:t>次洒水降尘、设置生态隔离带等措施可有效减免，且此类影响仅局限于施工期，待机械撤离、植被恢复后即完全消失。</w:t>
      </w:r>
    </w:p>
    <w:p w14:paraId="583C6ECC"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5</w:t>
      </w:r>
      <w:r>
        <w:rPr>
          <w:rFonts w:ascii="Times New Roman" w:eastAsia="宋体" w:hAnsi="Times New Roman" w:cs="Times New Roman" w:hint="eastAsia"/>
        </w:rPr>
        <w:t>、生态保护红线</w:t>
      </w:r>
    </w:p>
    <w:p w14:paraId="21736A0B" w14:textId="77777777" w:rsidR="009D12AF" w:rsidRDefault="00000000">
      <w:pPr>
        <w:spacing w:line="300" w:lineRule="auto"/>
        <w:ind w:firstLineChars="150" w:firstLine="360"/>
        <w:jc w:val="left"/>
        <w:rPr>
          <w:rFonts w:ascii="Times New Roman" w:eastAsia="宋体" w:hAnsi="Times New Roman" w:cs="Times New Roman"/>
        </w:rPr>
      </w:pPr>
      <w:r>
        <w:rPr>
          <w:rFonts w:ascii="Times New Roman" w:eastAsia="宋体" w:hAnsi="Times New Roman" w:cs="Times New Roman" w:hint="eastAsia"/>
        </w:rPr>
        <w:t>本工程评价范围内涉及两处生态保护红线，分别为海林市张广才岭</w:t>
      </w:r>
      <w:r>
        <w:rPr>
          <w:rFonts w:ascii="Times New Roman" w:eastAsia="宋体" w:hAnsi="Times New Roman" w:cs="Times New Roman" w:hint="eastAsia"/>
        </w:rPr>
        <w:t>-</w:t>
      </w:r>
      <w:r>
        <w:rPr>
          <w:rFonts w:ascii="Times New Roman" w:eastAsia="宋体" w:hAnsi="Times New Roman" w:cs="Times New Roman" w:hint="eastAsia"/>
        </w:rPr>
        <w:t>老爷岭水源涵养与生物多样性维护功能生态保护红线</w:t>
      </w:r>
      <w:r>
        <w:rPr>
          <w:rFonts w:ascii="Times New Roman" w:eastAsia="宋体" w:hAnsi="Times New Roman" w:cs="Times New Roman" w:hint="eastAsia"/>
        </w:rPr>
        <w:t>-</w:t>
      </w:r>
      <w:r>
        <w:rPr>
          <w:rFonts w:ascii="Times New Roman" w:eastAsia="宋体" w:hAnsi="Times New Roman" w:cs="Times New Roman" w:hint="eastAsia"/>
        </w:rPr>
        <w:t>水土保持生态功能重要区、海林市张广才岭</w:t>
      </w:r>
      <w:r>
        <w:rPr>
          <w:rFonts w:ascii="Times New Roman" w:eastAsia="宋体" w:hAnsi="Times New Roman" w:cs="Times New Roman" w:hint="eastAsia"/>
        </w:rPr>
        <w:t>-</w:t>
      </w:r>
      <w:r>
        <w:rPr>
          <w:rFonts w:ascii="Times New Roman" w:eastAsia="宋体" w:hAnsi="Times New Roman" w:cs="Times New Roman" w:hint="eastAsia"/>
        </w:rPr>
        <w:t>老爷岭水源涵养与生物多样性维护功能生态保护红线</w:t>
      </w:r>
      <w:r>
        <w:rPr>
          <w:rFonts w:ascii="Times New Roman" w:eastAsia="宋体" w:hAnsi="Times New Roman" w:cs="Times New Roman" w:hint="eastAsia"/>
        </w:rPr>
        <w:t>-</w:t>
      </w:r>
      <w:r>
        <w:rPr>
          <w:rFonts w:ascii="Times New Roman" w:eastAsia="宋体" w:hAnsi="Times New Roman" w:cs="Times New Roman" w:hint="eastAsia"/>
        </w:rPr>
        <w:t>生物多样性维</w:t>
      </w:r>
      <w:r>
        <w:rPr>
          <w:rFonts w:ascii="Times New Roman" w:eastAsia="宋体" w:hAnsi="Times New Roman" w:cs="Times New Roman" w:hint="eastAsia"/>
        </w:rPr>
        <w:lastRenderedPageBreak/>
        <w:t>护生态功能重要区。</w:t>
      </w:r>
    </w:p>
    <w:p w14:paraId="63B7EAFB"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两处生态保护红线的环境功能均为生物多样性与水源涵养，工程避开了保护区内珍稀濒危植物群落，仅涉及少量芦苇常见湿生草本植被。临时占地边界采用警示带隔离，避免施工机械误碾压周边植被，施工过程中表层土壤单独剥离存放并覆盖防雨布保护，待施工结束后优先回覆，同时根据湿地植被原生群落结构，撒播芦苇等本土草种；明确施工区域及周边</w:t>
      </w:r>
      <w:r>
        <w:rPr>
          <w:rFonts w:ascii="Times New Roman" w:eastAsia="宋体" w:hAnsi="Times New Roman" w:cs="Times New Roman" w:hint="eastAsia"/>
        </w:rPr>
        <w:t>500m</w:t>
      </w:r>
      <w:r>
        <w:rPr>
          <w:rFonts w:ascii="Times New Roman" w:eastAsia="宋体" w:hAnsi="Times New Roman" w:cs="Times New Roman" w:hint="eastAsia"/>
        </w:rPr>
        <w:t>范围内无鸟类集中繁殖地、巢区、觅食核心区，也无兽类、两栖爬行动物的洞穴集中分布区，施工时间严格避开鸟类迁徙高峰期且定期对设备进行维护以减少异常噪声，本项目为水库清淤项目，不会阻断动物迁徙通道，且临时占地范围小、恢复快，不会形成永久性生境阻隔，对保护区内鸟类、兽类、两栖爬行动物的种群数量、活动节律及栖息地利用无显著影响，也不会对生物多样性维护极重要区的核心功能造成干扰，对水源涵养极重要区的水文调节与水质维护功能无负面影响，对生态保护红线区的动物、植被及湿地生态系统影响极小，所有影响均在生态系统自我修复能力范围内。</w:t>
      </w:r>
    </w:p>
    <w:p w14:paraId="21BE87DC"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6</w:t>
      </w:r>
      <w:r>
        <w:rPr>
          <w:rFonts w:ascii="Times New Roman" w:eastAsia="宋体" w:hAnsi="Times New Roman" w:cs="Times New Roman" w:hint="eastAsia"/>
        </w:rPr>
        <w:t>、基本农田</w:t>
      </w:r>
    </w:p>
    <w:p w14:paraId="256ED33F"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根据《基本农田保护条例》中第十五、十六条规定：基本农田划定后，任何单位和个人不得改变或者占用。国家能源、交通、水利、军事设施等重点建设项目选址确实无法避开基本农田保护区，需要占用基本农田，涉及农用地转用或者征用土地的，必须经国务院批准。经国务院批准占用基本农田的，当地人民政府应当按照国务院的批准文件修改土地利用总体规划，并补充划入数量和质量相当的基本农田。占用单位应当按照占多少、垦多少的原则，负责开垦与所占用基本农田数量与质量相当的耕地；没有条件开垦或者开垦的耕地不符合要求的，应当按照省、自治区、直辖市的规定缴纳耕地开垦费，专款用于开垦新的耕地。</w:t>
      </w:r>
    </w:p>
    <w:p w14:paraId="27AAE6F0"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本工程临时占用基本农田</w:t>
      </w:r>
      <w:r>
        <w:rPr>
          <w:rFonts w:ascii="Times New Roman" w:eastAsia="宋体" w:hAnsi="Times New Roman" w:cs="Times New Roman" w:hint="eastAsia"/>
        </w:rPr>
        <w:t>1.03 hm</w:t>
      </w:r>
      <w:r>
        <w:rPr>
          <w:rFonts w:ascii="Times New Roman" w:eastAsia="宋体" w:hAnsi="Times New Roman" w:cs="Times New Roman" w:hint="eastAsia"/>
          <w:vertAlign w:val="superscript"/>
        </w:rPr>
        <w:t>2</w:t>
      </w:r>
      <w:r>
        <w:rPr>
          <w:rFonts w:ascii="Times New Roman" w:eastAsia="宋体" w:hAnsi="Times New Roman" w:cs="Times New Roman" w:hint="eastAsia"/>
        </w:rPr>
        <w:t>，所产生的影响主要体现为耽误一季农作物生产，并且在施工结束后由于熟化土壤受到扰动而影响</w:t>
      </w:r>
      <w:r>
        <w:rPr>
          <w:rFonts w:ascii="Times New Roman" w:eastAsia="宋体" w:hAnsi="Times New Roman" w:cs="Times New Roman" w:hint="eastAsia"/>
        </w:rPr>
        <w:t>2</w:t>
      </w:r>
      <w:r>
        <w:rPr>
          <w:rFonts w:ascii="Times New Roman" w:eastAsia="宋体" w:hAnsi="Times New Roman" w:cs="Times New Roman" w:hint="eastAsia"/>
        </w:rPr>
        <w:t>～</w:t>
      </w:r>
      <w:r>
        <w:rPr>
          <w:rFonts w:ascii="Times New Roman" w:eastAsia="宋体" w:hAnsi="Times New Roman" w:cs="Times New Roman" w:hint="eastAsia"/>
        </w:rPr>
        <w:t>3</w:t>
      </w:r>
      <w:r>
        <w:rPr>
          <w:rFonts w:ascii="Times New Roman" w:eastAsia="宋体" w:hAnsi="Times New Roman" w:cs="Times New Roman" w:hint="eastAsia"/>
        </w:rPr>
        <w:t>季的农作物产量，导致减产。根据有关研究，工程施工将导致基本农田土壤有机碳和全量养分的普遍降低，土壤结构发生变化，进而影响到农作物的生长，导致土地生产潜力降低。本工程涉及主要基本农田作物包括水稻、中晚熟大豆、玉米等，生长情况普遍良好。施工临时占用基本农田会耽误一季农作物生长，并在后续</w:t>
      </w:r>
      <w:r>
        <w:rPr>
          <w:rFonts w:ascii="Times New Roman" w:eastAsia="宋体" w:hAnsi="Times New Roman" w:cs="Times New Roman" w:hint="eastAsia"/>
        </w:rPr>
        <w:t>2</w:t>
      </w:r>
      <w:r>
        <w:rPr>
          <w:rFonts w:ascii="Times New Roman" w:eastAsia="宋体" w:hAnsi="Times New Roman" w:cs="Times New Roman" w:hint="eastAsia"/>
        </w:rPr>
        <w:t>～</w:t>
      </w:r>
      <w:r>
        <w:rPr>
          <w:rFonts w:ascii="Times New Roman" w:eastAsia="宋体" w:hAnsi="Times New Roman" w:cs="Times New Roman" w:hint="eastAsia"/>
        </w:rPr>
        <w:t>3</w:t>
      </w:r>
      <w:r>
        <w:rPr>
          <w:rFonts w:ascii="Times New Roman" w:eastAsia="宋体" w:hAnsi="Times New Roman" w:cs="Times New Roman" w:hint="eastAsia"/>
        </w:rPr>
        <w:t>季影响农作物的生长，直至土壤结构和养分逐渐复原，农业生产能力才可得以恢复。因此建设单位应与农户及相关管理部门做好沟通，按照基本农田作物的实际损失给予经</w:t>
      </w:r>
      <w:r>
        <w:rPr>
          <w:rFonts w:ascii="Times New Roman" w:eastAsia="宋体" w:hAnsi="Times New Roman" w:cs="Times New Roman" w:hint="eastAsia"/>
        </w:rPr>
        <w:lastRenderedPageBreak/>
        <w:t>济补偿，并在工程施工结束后及时恢复地貌和耕种，配合农户做好基本农田及作物产量恢复工作。</w:t>
      </w:r>
    </w:p>
    <w:p w14:paraId="626A50DD"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7</w:t>
      </w:r>
      <w:r>
        <w:rPr>
          <w:rFonts w:ascii="Times New Roman" w:eastAsia="宋体" w:hAnsi="Times New Roman" w:cs="Times New Roman" w:hint="eastAsia"/>
        </w:rPr>
        <w:t>、黑土地</w:t>
      </w:r>
    </w:p>
    <w:p w14:paraId="23AD19A9"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工程临时占用的黑土地</w:t>
      </w:r>
      <w:r>
        <w:rPr>
          <w:rFonts w:ascii="Times New Roman" w:eastAsia="宋体" w:hAnsi="Times New Roman" w:cs="Times New Roman" w:hint="eastAsia"/>
        </w:rPr>
        <w:t>1.03 hm</w:t>
      </w:r>
      <w:r>
        <w:rPr>
          <w:rFonts w:ascii="Times New Roman" w:eastAsia="宋体" w:hAnsi="Times New Roman" w:cs="Times New Roman" w:hint="eastAsia"/>
          <w:vertAlign w:val="superscript"/>
        </w:rPr>
        <w:t>2</w:t>
      </w:r>
      <w:r>
        <w:rPr>
          <w:rFonts w:ascii="Times New Roman" w:eastAsia="宋体" w:hAnsi="Times New Roman" w:cs="Times New Roman" w:hint="eastAsia"/>
        </w:rPr>
        <w:t>，在分层开挖、分层堆存、分层回填的情况下，在工程结束后</w:t>
      </w:r>
      <w:r>
        <w:rPr>
          <w:rFonts w:ascii="Times New Roman" w:eastAsia="宋体" w:hAnsi="Times New Roman" w:cs="Times New Roman" w:hint="eastAsia"/>
        </w:rPr>
        <w:t>2</w:t>
      </w:r>
      <w:r>
        <w:rPr>
          <w:rFonts w:ascii="Times New Roman" w:eastAsia="宋体" w:hAnsi="Times New Roman" w:cs="Times New Roman" w:hint="eastAsia"/>
        </w:rPr>
        <w:t>～</w:t>
      </w:r>
      <w:r>
        <w:rPr>
          <w:rFonts w:ascii="Times New Roman" w:eastAsia="宋体" w:hAnsi="Times New Roman" w:cs="Times New Roman" w:hint="eastAsia"/>
        </w:rPr>
        <w:t>3</w:t>
      </w:r>
      <w:r>
        <w:rPr>
          <w:rFonts w:ascii="Times New Roman" w:eastAsia="宋体" w:hAnsi="Times New Roman" w:cs="Times New Roman" w:hint="eastAsia"/>
        </w:rPr>
        <w:t>年耕作可恢复其原有使用功能。但因重型施工机械的碾压、施工人员的践踏、土体的扰动等原因，施工的耕作土壤或自然土壤的理化性质、肥力水平将受到一定的影响，进而影响地表植被的恢复情况。这种影响随着时间的推移逐渐消失，最终使农作物产量和品质恢复到原来的水平。具体表现如下：</w:t>
      </w:r>
    </w:p>
    <w:p w14:paraId="42BE2709"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1</w:t>
      </w:r>
      <w:r>
        <w:rPr>
          <w:rFonts w:ascii="Times New Roman" w:eastAsia="宋体" w:hAnsi="Times New Roman" w:cs="Times New Roman" w:hint="eastAsia"/>
        </w:rPr>
        <w:t>）扰乱土壤耕作层、破坏黑土地土壤结构</w:t>
      </w:r>
      <w:r>
        <w:rPr>
          <w:rFonts w:ascii="Times New Roman" w:eastAsia="宋体" w:hAnsi="Times New Roman" w:cs="Times New Roman" w:hint="eastAsia"/>
        </w:rPr>
        <w:t xml:space="preserve"> </w:t>
      </w:r>
    </w:p>
    <w:p w14:paraId="13EC586B"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黑土地土壤结构是经过较长的历史时期形成的，工程的占用必将破坏土壤的结构，尤其是土壤中的团粒结构，一旦遭到破坏，将需要经过较长的时间才能恢复，对农田土壤影响更大，农田土壤耕作层是保证农业生产的基础，深度一般在</w:t>
      </w:r>
      <w:r>
        <w:rPr>
          <w:rFonts w:ascii="Times New Roman" w:eastAsia="宋体" w:hAnsi="Times New Roman" w:cs="Times New Roman" w:hint="eastAsia"/>
        </w:rPr>
        <w:t xml:space="preserve"> 15~25cm</w:t>
      </w:r>
      <w:r>
        <w:rPr>
          <w:rFonts w:ascii="Times New Roman" w:eastAsia="宋体" w:hAnsi="Times New Roman" w:cs="Times New Roman" w:hint="eastAsia"/>
        </w:rPr>
        <w:t>，是农作物根系生长和发达的层次。此外，土层的混合和扰动，同样会改变原有农田耕作层的性质。因此，在整个施工过程中，对黑土地土壤耕作层的影响较严重。</w:t>
      </w:r>
    </w:p>
    <w:p w14:paraId="6D08B3AC"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2</w:t>
      </w:r>
      <w:r>
        <w:rPr>
          <w:rFonts w:ascii="Times New Roman" w:eastAsia="宋体" w:hAnsi="Times New Roman" w:cs="Times New Roman" w:hint="eastAsia"/>
        </w:rPr>
        <w:t>）影响黑土地土壤养分</w:t>
      </w:r>
    </w:p>
    <w:p w14:paraId="01E1AD2C"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土体构型是土壤剖面中各种土层的组合情况。不同土层的特征及理化性质差异较大。就养分而言，表土层远较深土层好，其有机、全氮、速效磷、钾等含量高，</w:t>
      </w:r>
      <w:r>
        <w:rPr>
          <w:rFonts w:ascii="Times New Roman" w:eastAsia="宋体" w:hAnsi="Times New Roman" w:cs="Times New Roman" w:hint="eastAsia"/>
        </w:rPr>
        <w:t xml:space="preserve"> </w:t>
      </w:r>
      <w:r>
        <w:rPr>
          <w:rFonts w:ascii="Times New Roman" w:eastAsia="宋体" w:hAnsi="Times New Roman" w:cs="Times New Roman" w:hint="eastAsia"/>
        </w:rPr>
        <w:t>紧实度、孔隙状况适中，适耕性强。施工对原有土体构型势必扰动，使土壤养分状况受到影响，严重者使土壤性质恶化，并影响其上生长的植被，甚至难以恢复。</w:t>
      </w:r>
    </w:p>
    <w:p w14:paraId="49BD22D0"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3</w:t>
      </w:r>
      <w:r>
        <w:rPr>
          <w:rFonts w:ascii="Times New Roman" w:eastAsia="宋体" w:hAnsi="Times New Roman" w:cs="Times New Roman" w:hint="eastAsia"/>
        </w:rPr>
        <w:t>）影响黑土地土壤紧实度</w:t>
      </w:r>
    </w:p>
    <w:p w14:paraId="77ED5762"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施工中机械碾压，人员践踏等都会影响黑土地土壤的紧实度。土层过松，易引起水土流失，土体过紧，又会影响作物生长。</w:t>
      </w:r>
    </w:p>
    <w:p w14:paraId="673E48EE"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4</w:t>
      </w:r>
      <w:r>
        <w:rPr>
          <w:rFonts w:ascii="Times New Roman" w:eastAsia="宋体" w:hAnsi="Times New Roman" w:cs="Times New Roman" w:hint="eastAsia"/>
        </w:rPr>
        <w:t>）黑土地土壤污染</w:t>
      </w:r>
    </w:p>
    <w:p w14:paraId="5B80B5E4"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施工过程中将产生施工垃圾、清管废渣等废物。这些固体垃圾可能含有难于分解的物质，如不妥善管理，将影响土壤质量。若在农田中，将影响土壤耕作和农作物生长。</w:t>
      </w:r>
      <w:r>
        <w:rPr>
          <w:rFonts w:ascii="Times New Roman" w:eastAsia="宋体" w:hAnsi="Times New Roman" w:cs="Times New Roman" w:hint="eastAsia"/>
        </w:rPr>
        <w:t xml:space="preserve"> </w:t>
      </w:r>
      <w:r>
        <w:rPr>
          <w:rFonts w:ascii="Times New Roman" w:eastAsia="宋体" w:hAnsi="Times New Roman" w:cs="Times New Roman" w:hint="eastAsia"/>
        </w:rPr>
        <w:t>总之，工程施工由于改变了黑土地土壤结构和养分状况，该工程</w:t>
      </w:r>
      <w:r>
        <w:rPr>
          <w:rFonts w:ascii="Times New Roman" w:eastAsia="宋体" w:hAnsi="Times New Roman" w:cs="Times New Roman" w:hint="eastAsia"/>
        </w:rPr>
        <w:lastRenderedPageBreak/>
        <w:t>可采取相应的措施来缓解工程施工的影响，土壤质量将会逐渐得到恢复。</w:t>
      </w:r>
    </w:p>
    <w:p w14:paraId="73CEC717"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8</w:t>
      </w:r>
      <w:r>
        <w:rPr>
          <w:rFonts w:ascii="Times New Roman" w:eastAsia="宋体" w:hAnsi="Times New Roman" w:cs="Times New Roman" w:hint="eastAsia"/>
        </w:rPr>
        <w:t>、公益林</w:t>
      </w:r>
    </w:p>
    <w:p w14:paraId="5EB8A056"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根据海林市林业与草原局提供的生态公益林矢量数据，本工程占地不涉及生态公益林</w:t>
      </w:r>
      <w:r>
        <w:rPr>
          <w:rFonts w:ascii="Times New Roman" w:eastAsia="宋体" w:hAnsi="Times New Roman" w:cs="Times New Roman" w:hint="eastAsia"/>
        </w:rPr>
        <w:t>,</w:t>
      </w:r>
      <w:r>
        <w:rPr>
          <w:rFonts w:ascii="Times New Roman" w:eastAsia="宋体" w:hAnsi="Times New Roman" w:cs="Times New Roman" w:hint="eastAsia"/>
        </w:rPr>
        <w:t>距离项目边界最近</w:t>
      </w:r>
      <w:r>
        <w:rPr>
          <w:rFonts w:ascii="Times New Roman" w:eastAsia="宋体" w:hAnsi="Times New Roman" w:cs="Times New Roman" w:hint="eastAsia"/>
        </w:rPr>
        <w:t>102m</w:t>
      </w:r>
      <w:r>
        <w:rPr>
          <w:rFonts w:ascii="Times New Roman" w:eastAsia="宋体" w:hAnsi="Times New Roman" w:cs="Times New Roman" w:hint="eastAsia"/>
        </w:rPr>
        <w:t>。</w:t>
      </w:r>
    </w:p>
    <w:p w14:paraId="6BEBDB21"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项目对公益林敏感区域造成的影响主要是对动物造成的影响，施工期间施工机械产生的噪声对邻近野生动物的恫吓及人为活动将对毗邻林地中的鸟类产生一定影响，可能产生趋避反映，鸟类主要有麻雀、喜雀等；工程的噪声和振动也会对两栖类和爬行类动物有一定的驱赶作用，在一定程度上间接减少了两栖类和爬行类动物生活栖息的区域；施工期间产生的噪声、震动、废水、扬尘等也会对影响区内的兽类造成一定影响，施工噪声等迫使其迁徙到施工区外影响较小的替代生境，在一定程度上间接减少了兽类生活栖息的区域。但随着施工的结束，人为活动的减少，这种影响将消失。</w:t>
      </w:r>
    </w:p>
    <w:p w14:paraId="524283AA" w14:textId="77777777" w:rsidR="009D12AF" w:rsidRDefault="00000000">
      <w:pPr>
        <w:ind w:firstLine="480"/>
        <w:rPr>
          <w:color w:val="000000" w:themeColor="text1"/>
        </w:rPr>
      </w:pPr>
      <w:r>
        <w:rPr>
          <w:rFonts w:hint="eastAsia"/>
          <w:color w:val="000000" w:themeColor="text1"/>
        </w:rPr>
        <w:t>1</w:t>
      </w:r>
      <w:r>
        <w:rPr>
          <w:rFonts w:hint="eastAsia"/>
          <w:color w:val="000000" w:themeColor="text1"/>
        </w:rPr>
        <w:t>、工程占地影响</w:t>
      </w:r>
    </w:p>
    <w:p w14:paraId="5CC1E234" w14:textId="77777777" w:rsidR="009D12AF" w:rsidRDefault="00000000">
      <w:pPr>
        <w:ind w:firstLine="480"/>
        <w:rPr>
          <w:rFonts w:ascii="Times New Roman" w:eastAsia="宋体" w:hAnsi="Times New Roman" w:cs="Times New Roman"/>
        </w:rPr>
      </w:pPr>
      <w:r>
        <w:rPr>
          <w:rFonts w:ascii="Times New Roman" w:eastAsia="宋体" w:hAnsi="Times New Roman" w:cs="Times New Roman" w:hint="eastAsia"/>
        </w:rPr>
        <w:t>本项目不涉及永久占地和征地移民。</w:t>
      </w:r>
    </w:p>
    <w:p w14:paraId="150FCFBE" w14:textId="77777777" w:rsidR="009D12AF" w:rsidRDefault="00000000">
      <w:pPr>
        <w:ind w:firstLine="480"/>
      </w:pPr>
      <w:r>
        <w:rPr>
          <w:rFonts w:ascii="Times New Roman" w:eastAsia="宋体" w:hAnsi="Times New Roman" w:cs="Times New Roman" w:hint="eastAsia"/>
        </w:rPr>
        <w:t>向阳水电站前池</w:t>
      </w:r>
      <w:r>
        <w:rPr>
          <w:rFonts w:ascii="Times New Roman" w:eastAsia="宋体" w:hAnsi="Times New Roman" w:cs="Times New Roman"/>
        </w:rPr>
        <w:t>临时</w:t>
      </w:r>
      <w:r>
        <w:rPr>
          <w:rFonts w:ascii="Times New Roman" w:eastAsia="宋体" w:hAnsi="Times New Roman" w:cs="Times New Roman" w:hint="eastAsia"/>
        </w:rPr>
        <w:t>用地</w:t>
      </w:r>
      <w:r>
        <w:rPr>
          <w:rFonts w:ascii="Times New Roman" w:eastAsia="宋体" w:hAnsi="Times New Roman" w:cs="Times New Roman"/>
        </w:rPr>
        <w:t>分为</w:t>
      </w:r>
      <w:r>
        <w:rPr>
          <w:rFonts w:ascii="Times New Roman" w:eastAsia="宋体" w:hAnsi="Times New Roman" w:cs="Times New Roman" w:hint="eastAsia"/>
        </w:rPr>
        <w:t>四</w:t>
      </w:r>
      <w:r>
        <w:rPr>
          <w:rFonts w:ascii="Times New Roman" w:eastAsia="宋体" w:hAnsi="Times New Roman" w:cs="Times New Roman"/>
        </w:rPr>
        <w:t>个地块，分别为</w:t>
      </w:r>
      <w:r>
        <w:rPr>
          <w:rFonts w:ascii="Times New Roman" w:eastAsia="宋体" w:hAnsi="Times New Roman" w:cs="Times New Roman" w:hint="eastAsia"/>
        </w:rPr>
        <w:t>448.84</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271.06</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539.16</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367.63</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，合计临时占地面积</w:t>
      </w:r>
      <w:r>
        <w:rPr>
          <w:rFonts w:ascii="Times New Roman" w:eastAsia="宋体" w:hAnsi="Times New Roman" w:cs="Times New Roman" w:hint="eastAsia"/>
        </w:rPr>
        <w:t>1626.69</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hint="eastAsia"/>
        </w:rPr>
        <w:t>；新安晒水池</w:t>
      </w:r>
      <w:r>
        <w:rPr>
          <w:rFonts w:ascii="Times New Roman" w:eastAsia="宋体" w:hAnsi="Times New Roman" w:cs="Times New Roman"/>
        </w:rPr>
        <w:t>临时</w:t>
      </w:r>
      <w:r>
        <w:rPr>
          <w:rFonts w:ascii="Times New Roman" w:eastAsia="宋体" w:hAnsi="Times New Roman" w:cs="Times New Roman" w:hint="eastAsia"/>
        </w:rPr>
        <w:t>用地</w:t>
      </w:r>
      <w:r>
        <w:rPr>
          <w:rFonts w:ascii="Times New Roman" w:eastAsia="宋体" w:hAnsi="Times New Roman" w:cs="Times New Roman"/>
        </w:rPr>
        <w:t>分为</w:t>
      </w:r>
      <w:r>
        <w:rPr>
          <w:rFonts w:ascii="Times New Roman" w:eastAsia="宋体" w:hAnsi="Times New Roman" w:cs="Times New Roman" w:hint="eastAsia"/>
        </w:rPr>
        <w:t>三</w:t>
      </w:r>
      <w:r>
        <w:rPr>
          <w:rFonts w:ascii="Times New Roman" w:eastAsia="宋体" w:hAnsi="Times New Roman" w:cs="Times New Roman"/>
        </w:rPr>
        <w:t>个地块，分别为</w:t>
      </w:r>
      <w:r>
        <w:rPr>
          <w:rFonts w:ascii="Times New Roman" w:eastAsia="宋体" w:hAnsi="Times New Roman" w:cs="Times New Roman" w:hint="eastAsia"/>
        </w:rPr>
        <w:t>806.69</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2390.22</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1008.19</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，合计临时占地面积</w:t>
      </w:r>
      <w:r>
        <w:rPr>
          <w:rFonts w:ascii="Times New Roman" w:eastAsia="宋体" w:hAnsi="Times New Roman" w:cs="Times New Roman" w:hint="eastAsia"/>
        </w:rPr>
        <w:t>4205.1</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hint="eastAsia"/>
        </w:rPr>
        <w:t>；万丈水库</w:t>
      </w:r>
      <w:r>
        <w:rPr>
          <w:rFonts w:ascii="Times New Roman" w:eastAsia="宋体" w:hAnsi="Times New Roman" w:cs="Times New Roman"/>
        </w:rPr>
        <w:t>临时</w:t>
      </w:r>
      <w:r>
        <w:rPr>
          <w:rFonts w:ascii="Times New Roman" w:eastAsia="宋体" w:hAnsi="Times New Roman" w:cs="Times New Roman" w:hint="eastAsia"/>
        </w:rPr>
        <w:t>用地</w:t>
      </w:r>
      <w:r>
        <w:rPr>
          <w:rFonts w:ascii="Times New Roman" w:eastAsia="宋体" w:hAnsi="Times New Roman" w:cs="Times New Roman"/>
        </w:rPr>
        <w:t>分为</w:t>
      </w:r>
      <w:r>
        <w:rPr>
          <w:rFonts w:ascii="Times New Roman" w:eastAsia="宋体" w:hAnsi="Times New Roman" w:cs="Times New Roman" w:hint="eastAsia"/>
        </w:rPr>
        <w:t>三</w:t>
      </w:r>
      <w:r>
        <w:rPr>
          <w:rFonts w:ascii="Times New Roman" w:eastAsia="宋体" w:hAnsi="Times New Roman" w:cs="Times New Roman"/>
        </w:rPr>
        <w:t>个地块，分别为</w:t>
      </w:r>
      <w:r>
        <w:rPr>
          <w:rFonts w:ascii="Times New Roman" w:eastAsia="宋体" w:hAnsi="Times New Roman" w:cs="Times New Roman" w:hint="eastAsia"/>
        </w:rPr>
        <w:t>95</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1051.47</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247.41</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，合计临时占地面积</w:t>
      </w:r>
      <w:r>
        <w:rPr>
          <w:rFonts w:ascii="Times New Roman" w:eastAsia="宋体" w:hAnsi="Times New Roman" w:cs="Times New Roman" w:hint="eastAsia"/>
        </w:rPr>
        <w:t>1393.88</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hint="eastAsia"/>
        </w:rPr>
        <w:t>；长石水库</w:t>
      </w:r>
      <w:r>
        <w:rPr>
          <w:rFonts w:ascii="Times New Roman" w:eastAsia="宋体" w:hAnsi="Times New Roman" w:cs="Times New Roman"/>
        </w:rPr>
        <w:t>临时</w:t>
      </w:r>
      <w:r>
        <w:rPr>
          <w:rFonts w:ascii="Times New Roman" w:eastAsia="宋体" w:hAnsi="Times New Roman" w:cs="Times New Roman" w:hint="eastAsia"/>
        </w:rPr>
        <w:t>用地</w:t>
      </w:r>
      <w:r>
        <w:rPr>
          <w:rFonts w:ascii="Times New Roman" w:eastAsia="宋体" w:hAnsi="Times New Roman" w:cs="Times New Roman"/>
        </w:rPr>
        <w:t>分为</w:t>
      </w:r>
      <w:r>
        <w:rPr>
          <w:rFonts w:ascii="Times New Roman" w:eastAsia="宋体" w:hAnsi="Times New Roman" w:cs="Times New Roman" w:hint="eastAsia"/>
        </w:rPr>
        <w:t>三</w:t>
      </w:r>
      <w:r>
        <w:rPr>
          <w:rFonts w:ascii="Times New Roman" w:eastAsia="宋体" w:hAnsi="Times New Roman" w:cs="Times New Roman"/>
        </w:rPr>
        <w:t>个地块，分别为</w:t>
      </w:r>
      <w:r>
        <w:rPr>
          <w:rFonts w:ascii="Times New Roman" w:eastAsia="宋体" w:hAnsi="Times New Roman" w:cs="Times New Roman" w:hint="eastAsia"/>
        </w:rPr>
        <w:t>628.48</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9347.49</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2012.08</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，合计临时占地面积</w:t>
      </w:r>
      <w:r>
        <w:rPr>
          <w:rFonts w:ascii="Times New Roman" w:eastAsia="宋体" w:hAnsi="Times New Roman" w:cs="Times New Roman" w:hint="eastAsia"/>
        </w:rPr>
        <w:t>11988.05</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hint="eastAsia"/>
        </w:rPr>
        <w:t>；群力水库</w:t>
      </w:r>
      <w:r>
        <w:rPr>
          <w:rFonts w:ascii="Times New Roman" w:eastAsia="宋体" w:hAnsi="Times New Roman" w:cs="Times New Roman"/>
        </w:rPr>
        <w:t>临时</w:t>
      </w:r>
      <w:r>
        <w:rPr>
          <w:rFonts w:ascii="Times New Roman" w:eastAsia="宋体" w:hAnsi="Times New Roman" w:cs="Times New Roman" w:hint="eastAsia"/>
        </w:rPr>
        <w:t>用地</w:t>
      </w:r>
      <w:r>
        <w:rPr>
          <w:rFonts w:ascii="Times New Roman" w:eastAsia="宋体" w:hAnsi="Times New Roman" w:cs="Times New Roman"/>
        </w:rPr>
        <w:t>分为</w:t>
      </w:r>
      <w:r>
        <w:rPr>
          <w:rFonts w:ascii="Times New Roman" w:eastAsia="宋体" w:hAnsi="Times New Roman" w:cs="Times New Roman" w:hint="eastAsia"/>
        </w:rPr>
        <w:t>三</w:t>
      </w:r>
      <w:r>
        <w:rPr>
          <w:rFonts w:ascii="Times New Roman" w:eastAsia="宋体" w:hAnsi="Times New Roman" w:cs="Times New Roman"/>
        </w:rPr>
        <w:t>个地块，分别为</w:t>
      </w:r>
      <w:r>
        <w:rPr>
          <w:rFonts w:ascii="Times New Roman" w:eastAsia="宋体" w:hAnsi="Times New Roman" w:cs="Times New Roman" w:hint="eastAsia"/>
        </w:rPr>
        <w:t>313.83</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7147.21</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w:t>
      </w:r>
      <w:r>
        <w:rPr>
          <w:rFonts w:ascii="Times New Roman" w:eastAsia="宋体" w:hAnsi="Times New Roman" w:cs="Times New Roman" w:hint="eastAsia"/>
        </w:rPr>
        <w:t>3195.1</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rPr>
        <w:t>，合计临时占地面积</w:t>
      </w:r>
      <w:r>
        <w:rPr>
          <w:rFonts w:ascii="Times New Roman" w:eastAsia="宋体" w:hAnsi="Times New Roman" w:cs="Times New Roman" w:hint="eastAsia"/>
        </w:rPr>
        <w:t>10656.14</w:t>
      </w:r>
      <w:r>
        <w:rPr>
          <w:rFonts w:ascii="Times New Roman" w:eastAsia="宋体" w:hAnsi="Times New Roman" w:cs="Times New Roman"/>
        </w:rPr>
        <w:t>m</w:t>
      </w:r>
      <w:r>
        <w:rPr>
          <w:rFonts w:ascii="Times New Roman" w:eastAsia="宋体" w:hAnsi="Times New Roman" w:cs="Times New Roman"/>
          <w:vertAlign w:val="superscript"/>
        </w:rPr>
        <w:t>2</w:t>
      </w:r>
      <w:r>
        <w:rPr>
          <w:rFonts w:ascii="Times New Roman" w:eastAsia="宋体" w:hAnsi="Times New Roman" w:cs="Times New Roman" w:hint="eastAsia"/>
        </w:rPr>
        <w:t>，用于建设施工临时区域。</w:t>
      </w:r>
    </w:p>
    <w:p w14:paraId="1AA16040" w14:textId="77777777" w:rsidR="009D12AF" w:rsidRDefault="00000000">
      <w:pPr>
        <w:ind w:firstLine="480"/>
      </w:pPr>
      <w:r>
        <w:t>临时工程设施布置时，在满足工程需要的前提下，严格控制其规模、标准，减少占地数量，尤其是少占耕地，充分考虑永临结合，及时做好临时用地的复垦工作。以上多种临时工程施工期将对环境产生</w:t>
      </w:r>
      <w:r>
        <w:rPr>
          <w:lang w:eastAsia="zh-Hans"/>
        </w:rPr>
        <w:t>部分</w:t>
      </w:r>
      <w:r>
        <w:t>影响。本项目临时占地施工前均采取表土剥离临时堆存，并采取水土保持措施，施工结束后及时复垦和植被恢复。故采取生态恢复工程措施的情况下，临时占地对评价区土地利用结构影响很小。</w:t>
      </w:r>
    </w:p>
    <w:p w14:paraId="3BF641E1" w14:textId="77777777" w:rsidR="009D12AF" w:rsidRDefault="00000000">
      <w:pPr>
        <w:ind w:firstLine="480"/>
      </w:pPr>
      <w:r>
        <w:rPr>
          <w:rFonts w:hint="eastAsia"/>
        </w:rPr>
        <w:t>2</w:t>
      </w:r>
      <w:r>
        <w:rPr>
          <w:rFonts w:hint="eastAsia"/>
        </w:rPr>
        <w:t>、对植物的影响</w:t>
      </w:r>
    </w:p>
    <w:p w14:paraId="714A2B47" w14:textId="77777777" w:rsidR="009D12AF" w:rsidRDefault="00000000">
      <w:pPr>
        <w:ind w:firstLine="480"/>
        <w:rPr>
          <w:kern w:val="0"/>
        </w:rPr>
      </w:pPr>
      <w:r>
        <w:rPr>
          <w:kern w:val="0"/>
        </w:rPr>
        <w:lastRenderedPageBreak/>
        <w:t>临时用地内植被的暂时性消失。由于这些植物种类均为区域内常见种，分布范围广，分布面积大，因此本工程建设不会造成评价区域植物种类的减少，更不会造成区域植物区系发生改变。</w:t>
      </w:r>
    </w:p>
    <w:p w14:paraId="456B3B21" w14:textId="77777777" w:rsidR="009D12AF" w:rsidRDefault="00000000">
      <w:pPr>
        <w:ind w:firstLine="480"/>
        <w:rPr>
          <w:color w:val="FF0000"/>
          <w:highlight w:val="yellow"/>
        </w:rPr>
      </w:pPr>
      <w:r>
        <w:rPr>
          <w:kern w:val="0"/>
        </w:rPr>
        <w:t>施工结束后，对于施工临建等地采取土地清理、平整和恢复植被、撒播种草等措施，恢复为原有状态，其不利影响可基本得到缓解。虽然工程占地将会对植被造成一定影响，但工程占地范围内的植物在当地其他范围内均有分布，为常见物种，整体看工程建设对植被的影响程度可被环境所接受。</w:t>
      </w:r>
    </w:p>
    <w:p w14:paraId="3DC8300A" w14:textId="77777777" w:rsidR="009D12AF" w:rsidRDefault="00000000">
      <w:pPr>
        <w:ind w:firstLine="480"/>
        <w:rPr>
          <w:color w:val="000000" w:themeColor="text1"/>
        </w:rPr>
      </w:pPr>
      <w:r>
        <w:rPr>
          <w:rFonts w:hint="eastAsia"/>
          <w:color w:val="000000" w:themeColor="text1"/>
        </w:rPr>
        <w:t>3</w:t>
      </w:r>
      <w:r>
        <w:rPr>
          <w:rFonts w:hint="eastAsia"/>
          <w:color w:val="000000" w:themeColor="text1"/>
        </w:rPr>
        <w:t>、对动物的影响</w:t>
      </w:r>
    </w:p>
    <w:p w14:paraId="43E7BB4F" w14:textId="77777777" w:rsidR="009D12AF" w:rsidRDefault="00000000">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）对两栖、爬行动物的影响</w:t>
      </w:r>
    </w:p>
    <w:p w14:paraId="2C09B113" w14:textId="77777777" w:rsidR="009D12AF" w:rsidRDefault="00000000">
      <w:pPr>
        <w:ind w:firstLine="480"/>
        <w:rPr>
          <w:highlight w:val="magenta"/>
        </w:rPr>
      </w:pPr>
      <w:r>
        <w:rPr>
          <w:kern w:val="0"/>
          <w:lang w:bidi="ar"/>
        </w:rPr>
        <w:t>本项目在施工过程中，一定程度破坏了原有生境，加上施工活动中人为干扰，将会影响两栖、爬行类动物在施工范围内活动。两栖类动物主要栖息在海浪河流水系中，在水环境工程建设期间可能由于施工材料的堆放，随雨水冲刷进入水域，造成水质的污染；施工人员产生的生活垃圾、废水如直接排入河道也会造成水域的污染；施工过程会使该区域的人口密度增加，人为活动频繁，可能会导致水域附近的生境发生变化。另外如果夜间施工，施工照明也会对两栖类动物的觅食活动产生影响。在评价区内分布的蜥蜴、蛇等爬行动物，由于施工活动的干扰、施工人员的进入，可能会受到惊扰。由于爬行动物具有较强的运动迁徙能力，对外界环境的适应能力较强，工程建设可能会使一部分爬行动物迁离原栖息地，但对种群数量影响较小。由于水环境建设影响的范围有限，只要采取相应的环保措施，工程对两栖、爬行动物的影响轻微，且主要是施工期间使两栖、爬行类远离施工现场的影响，不会</w:t>
      </w:r>
      <w:r>
        <w:t>对两栖、爬行动物栖息地和迁徙通道形成新的分割与阻隔影响，因此</w:t>
      </w:r>
      <w:r>
        <w:rPr>
          <w:kern w:val="0"/>
          <w:lang w:bidi="ar"/>
        </w:rPr>
        <w:t>对两栖、爬行动物的种群及数量影响很小。</w:t>
      </w:r>
    </w:p>
    <w:p w14:paraId="0ADAE48C" w14:textId="77777777" w:rsidR="009D12AF" w:rsidRDefault="00000000">
      <w:pPr>
        <w:ind w:firstLine="480"/>
        <w:rPr>
          <w:color w:val="FF0000"/>
          <w:highlight w:val="yellow"/>
        </w:rPr>
      </w:pPr>
      <w:r>
        <w:rPr>
          <w:kern w:val="0"/>
          <w:lang w:bidi="ar"/>
        </w:rPr>
        <w:t>总之，施工期对陆生动物影响主要在于施工活动惊扰动物活动及施工占地破坏了原来的生境，从而使动物避开施工现场。但施工期只是使动物避开现场，不会影响个体生存，而且待施工结束后，施工临时占地逐步恢复后施工期影响会消失，动物会重新出现。</w:t>
      </w:r>
    </w:p>
    <w:p w14:paraId="0A7E7CA5" w14:textId="77777777" w:rsidR="009D12AF" w:rsidRDefault="00000000">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）对鸟类的影响</w:t>
      </w:r>
    </w:p>
    <w:p w14:paraId="318078BE" w14:textId="77777777" w:rsidR="009D12AF" w:rsidRDefault="00000000">
      <w:pPr>
        <w:ind w:firstLine="480"/>
      </w:pPr>
      <w:r>
        <w:t>本项目施工期作业机械发出的突发性非稳态噪声、产生的振动以及施工人员活动对鸟类一般不会造成伤害性影响，但对鸟类会造成惊吓，使其远离施工地区，</w:t>
      </w:r>
      <w:r>
        <w:lastRenderedPageBreak/>
        <w:t>尤其是繁殖季节，噪声可影响鸟类的产卵率和孵化率，重者可造成鸟类弃巢而去。</w:t>
      </w:r>
    </w:p>
    <w:p w14:paraId="28A4F0B5" w14:textId="77777777" w:rsidR="009D12AF" w:rsidRDefault="00000000">
      <w:pPr>
        <w:ind w:firstLine="480"/>
        <w:rPr>
          <w:color w:val="FF0000"/>
          <w:highlight w:val="yellow"/>
        </w:rPr>
      </w:pPr>
      <w:r>
        <w:t>但鸟类对噪声和移动物体都有一定的适应能力，随着时间的推移，这种适应能力也将会逐渐增强，</w:t>
      </w:r>
      <w:r>
        <w:rPr>
          <w:kern w:val="0"/>
          <w:lang w:bidi="ar"/>
        </w:rPr>
        <w:t>且本项目构建生态隔离带，水环境工程对区域鸟类的种群和数量影响不大，且该水工程</w:t>
      </w:r>
      <w:r>
        <w:t>建设也不会对鸟类栖息地和迁徙通道形成新的分割与阻隔，因此施工期产生的影响</w:t>
      </w:r>
      <w:r>
        <w:rPr>
          <w:kern w:val="0"/>
          <w:lang w:bidi="ar"/>
        </w:rPr>
        <w:t>可被该区域鸟类所接受。</w:t>
      </w:r>
    </w:p>
    <w:p w14:paraId="5AB327DE" w14:textId="77777777" w:rsidR="009D12AF" w:rsidRDefault="00000000">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）对兽类的影响</w:t>
      </w:r>
    </w:p>
    <w:p w14:paraId="260D60DE" w14:textId="77777777" w:rsidR="009D12AF" w:rsidRDefault="00000000">
      <w:pPr>
        <w:ind w:firstLine="480"/>
        <w:rPr>
          <w:kern w:val="0"/>
          <w:lang w:bidi="ar"/>
        </w:rPr>
      </w:pPr>
      <w:r>
        <w:rPr>
          <w:kern w:val="0"/>
          <w:lang w:bidi="ar"/>
        </w:rPr>
        <w:t>水环境建设在施工期对陆生动物影响主要表现在分割完整的动物生存环境，加重生境的片段化及对动物的阻隔影响。经查阅文献和实地调查结果表明：本区域兽类是以对人类干扰和生境破坏耐受性较强的小型啮齿类、小型食肉类物种占据优势，加之本工程会及时修复因此生境片断化问题，该工程</w:t>
      </w:r>
      <w:r>
        <w:t>建设不会对兽类栖息地和迁徙通道形成新的分割与阻隔，因此施工期产生的影响</w:t>
      </w:r>
      <w:r>
        <w:rPr>
          <w:kern w:val="0"/>
          <w:lang w:bidi="ar"/>
        </w:rPr>
        <w:t>不会对兽类有大的变化。</w:t>
      </w:r>
    </w:p>
    <w:p w14:paraId="6A49E9BB" w14:textId="77777777" w:rsidR="009D12AF" w:rsidRDefault="00000000">
      <w:pPr>
        <w:ind w:firstLine="480"/>
        <w:rPr>
          <w:color w:val="FF0000"/>
          <w:highlight w:val="yellow"/>
        </w:rPr>
      </w:pPr>
      <w:r>
        <w:t>本项目占地范围内受影响的野生动物主要为小型哺乳类、两栖类、爬行类和鸟类等，均属于一般常见种，未发现重点保护动物分布，施工活动对它们栖息、活动、觅食范围产生一定影响，但不会导致动物数量的大量下降。施工期作业机械及施工人员活动会使施工区域及附近野生动物暂时迁移到远离施工区的地方，鸟类会暂时飞走。因本项目为水环境治理工程且新增永久占地面积很少，不会增加对动物栖息地的破坏，该建设不会对野生动物栖息地和迁徙通道形成新的分割与阻隔影响，对当地动物生境几乎不产生影响，故项目施工期对其影响是暂时的。</w:t>
      </w:r>
    </w:p>
    <w:p w14:paraId="309896E8" w14:textId="77777777" w:rsidR="009D12AF" w:rsidRDefault="00000000">
      <w:pPr>
        <w:pStyle w:val="2"/>
      </w:pPr>
      <w:bookmarkStart w:id="371" w:name="_Toc4713"/>
      <w:bookmarkStart w:id="372" w:name="_Toc9158"/>
      <w:r>
        <w:rPr>
          <w:rFonts w:hint="eastAsia"/>
        </w:rPr>
        <w:t>5</w:t>
      </w:r>
      <w:r>
        <w:t xml:space="preserve">.2 </w:t>
      </w:r>
      <w:r>
        <w:rPr>
          <w:rFonts w:hint="eastAsia"/>
        </w:rPr>
        <w:t>运行期</w:t>
      </w:r>
      <w:r>
        <w:t>环境影响分析</w:t>
      </w:r>
      <w:bookmarkEnd w:id="371"/>
      <w:bookmarkEnd w:id="372"/>
    </w:p>
    <w:p w14:paraId="68E2124D" w14:textId="77777777" w:rsidR="009D12AF" w:rsidRDefault="00000000">
      <w:pPr>
        <w:pStyle w:val="3"/>
      </w:pPr>
      <w:bookmarkStart w:id="373" w:name="_Toc14187"/>
      <w:r>
        <w:rPr>
          <w:rFonts w:hint="eastAsia"/>
        </w:rPr>
        <w:t>5.2.1</w:t>
      </w:r>
      <w:r>
        <w:rPr>
          <w:rFonts w:hint="eastAsia"/>
        </w:rPr>
        <w:t>大气环境影响预测与评价</w:t>
      </w:r>
      <w:bookmarkEnd w:id="373"/>
    </w:p>
    <w:p w14:paraId="43E513E0" w14:textId="77777777" w:rsidR="009D12AF" w:rsidRDefault="00000000">
      <w:pPr>
        <w:ind w:firstLine="480"/>
      </w:pPr>
      <w:r>
        <w:t>本项目为主要为</w:t>
      </w:r>
      <w:r>
        <w:rPr>
          <w:rFonts w:hint="eastAsia"/>
        </w:rPr>
        <w:t>湖库清淤</w:t>
      </w:r>
      <w:r>
        <w:t>工程，项目</w:t>
      </w:r>
      <w:r>
        <w:rPr>
          <w:rFonts w:hint="eastAsia"/>
        </w:rPr>
        <w:t>运行期</w:t>
      </w:r>
      <w:r>
        <w:t>不排放大气污染物，不会对项目区域及周边大气环境产生影响。</w:t>
      </w:r>
    </w:p>
    <w:p w14:paraId="46385489" w14:textId="77777777" w:rsidR="009D12AF" w:rsidRDefault="00000000">
      <w:pPr>
        <w:pStyle w:val="3"/>
      </w:pPr>
      <w:bookmarkStart w:id="374" w:name="_Toc15974"/>
      <w:bookmarkStart w:id="375" w:name="_Toc4100"/>
      <w:bookmarkStart w:id="376" w:name="_Toc14415"/>
      <w:bookmarkStart w:id="377" w:name="_Toc2092"/>
      <w:r>
        <w:rPr>
          <w:rFonts w:hint="eastAsia"/>
        </w:rPr>
        <w:t>5</w:t>
      </w:r>
      <w:r>
        <w:t>.2.</w:t>
      </w:r>
      <w:r>
        <w:rPr>
          <w:rFonts w:hint="eastAsia"/>
        </w:rPr>
        <w:t>2</w:t>
      </w:r>
      <w:r>
        <w:t xml:space="preserve"> </w:t>
      </w:r>
      <w:r>
        <w:t>地表水环境影响</w:t>
      </w:r>
      <w:bookmarkEnd w:id="374"/>
      <w:bookmarkEnd w:id="375"/>
      <w:bookmarkEnd w:id="376"/>
      <w:r>
        <w:rPr>
          <w:rFonts w:hint="eastAsia"/>
        </w:rPr>
        <w:t>预测与评价</w:t>
      </w:r>
      <w:bookmarkEnd w:id="377"/>
    </w:p>
    <w:p w14:paraId="7A0FF5A4" w14:textId="77777777" w:rsidR="009D12AF" w:rsidRDefault="00000000">
      <w:pPr>
        <w:ind w:firstLine="480"/>
      </w:pPr>
      <w:r>
        <w:t>1</w:t>
      </w:r>
      <w:r>
        <w:t>、地表水环境影响</w:t>
      </w:r>
    </w:p>
    <w:p w14:paraId="514F87AB" w14:textId="77777777" w:rsidR="009D12AF" w:rsidRDefault="00000000">
      <w:pPr>
        <w:ind w:firstLine="480"/>
      </w:pPr>
      <w:r>
        <w:t>项目清淤工程实施完成后，</w:t>
      </w:r>
      <w:r>
        <w:rPr>
          <w:rFonts w:hint="eastAsia"/>
        </w:rPr>
        <w:t>运行期</w:t>
      </w:r>
      <w:r>
        <w:t>不会新增生活污水，不会对地表水环境造</w:t>
      </w:r>
      <w:r>
        <w:lastRenderedPageBreak/>
        <w:t>成新的污染。清淤工程不增大水库设计库容，不改变水库调度运行方式，不会对下游及两岸生态环境造成较大不利影响。</w:t>
      </w:r>
    </w:p>
    <w:p w14:paraId="731484F5" w14:textId="77777777" w:rsidR="009D12AF" w:rsidRDefault="00000000">
      <w:pPr>
        <w:ind w:firstLine="480"/>
      </w:pPr>
      <w:r>
        <w:rPr>
          <w:rFonts w:hint="eastAsia"/>
        </w:rPr>
        <w:t>2</w:t>
      </w:r>
      <w:r>
        <w:rPr>
          <w:rFonts w:hint="eastAsia"/>
        </w:rPr>
        <w:t>、水文情势影响分析</w:t>
      </w:r>
    </w:p>
    <w:p w14:paraId="753DA309" w14:textId="77777777" w:rsidR="009D12AF" w:rsidRDefault="00000000">
      <w:pPr>
        <w:widowControl/>
        <w:ind w:firstLine="480"/>
        <w:jc w:val="left"/>
      </w:pPr>
      <w:r>
        <w:rPr>
          <w:rFonts w:ascii="宋体" w:eastAsia="宋体" w:hAnsi="宋体" w:cs="宋体" w:hint="eastAsia"/>
          <w:color w:val="000000"/>
          <w:kern w:val="0"/>
          <w:lang w:bidi="ar"/>
        </w:rPr>
        <w:t>（</w:t>
      </w:r>
      <w:r>
        <w:rPr>
          <w:rFonts w:ascii="Times New Roman" w:eastAsia="宋体" w:hAnsi="Times New Roman" w:cs="Times New Roman"/>
          <w:color w:val="000000"/>
          <w:kern w:val="0"/>
          <w:lang w:bidi="ar"/>
        </w:rPr>
        <w:t>1</w:t>
      </w:r>
      <w:r>
        <w:rPr>
          <w:rFonts w:ascii="宋体" w:eastAsia="宋体" w:hAnsi="宋体" w:cs="宋体" w:hint="eastAsia"/>
          <w:color w:val="000000"/>
          <w:kern w:val="0"/>
          <w:lang w:bidi="ar"/>
        </w:rPr>
        <w:t xml:space="preserve">）下游运河水文情势 </w:t>
      </w:r>
    </w:p>
    <w:p w14:paraId="58A4902C" w14:textId="77777777" w:rsidR="009D12AF" w:rsidRDefault="00000000">
      <w:pPr>
        <w:widowControl/>
        <w:ind w:firstLine="480"/>
        <w:jc w:val="left"/>
      </w:pPr>
      <w:r>
        <w:rPr>
          <w:rFonts w:ascii="宋体" w:eastAsia="宋体" w:hAnsi="宋体" w:cs="宋体" w:hint="eastAsia"/>
          <w:color w:val="000000"/>
          <w:kern w:val="0"/>
          <w:lang w:bidi="ar"/>
        </w:rPr>
        <w:t xml:space="preserve">本项目清淤水库自建成运行以来，在供水、防洪等功能方面发挥了重要的作用，但是经过多年运行，水库水源地水域面积减小、水库淤积严重，供水、防洪、灌溉等方面的功能受到影响。清淤完成后，水库结构不发生变化，不增大设计库容，水库继续以“蓄泄兼施、以泄为主”的原则进行调度，不改变水库运行方式，发挥其供水、防洪的主要功能。 </w:t>
      </w:r>
    </w:p>
    <w:p w14:paraId="3C3BC439" w14:textId="77777777" w:rsidR="009D12AF" w:rsidRDefault="00000000">
      <w:pPr>
        <w:widowControl/>
        <w:ind w:firstLine="480"/>
        <w:jc w:val="left"/>
      </w:pPr>
      <w:r>
        <w:rPr>
          <w:rFonts w:ascii="宋体" w:eastAsia="宋体" w:hAnsi="宋体" w:cs="宋体" w:hint="eastAsia"/>
          <w:color w:val="000000"/>
          <w:kern w:val="0"/>
          <w:lang w:bidi="ar"/>
        </w:rPr>
        <w:t xml:space="preserve">水库建设年份较早，建设初未考虑下泄生态用水功能，经过多年的运行，下游干渠及渠道两岸已经形成了一个比较稳定的生态系统。因此本项目的实施不会对下游渠道水文情势产生影响。 </w:t>
      </w:r>
    </w:p>
    <w:p w14:paraId="5BE3892F" w14:textId="77777777" w:rsidR="009D12AF" w:rsidRDefault="00000000">
      <w:pPr>
        <w:widowControl/>
        <w:ind w:firstLine="480"/>
        <w:jc w:val="left"/>
      </w:pPr>
      <w:r>
        <w:rPr>
          <w:rFonts w:ascii="宋体" w:eastAsia="宋体" w:hAnsi="宋体" w:cs="宋体" w:hint="eastAsia"/>
          <w:color w:val="000000"/>
          <w:kern w:val="0"/>
          <w:lang w:bidi="ar"/>
        </w:rPr>
        <w:t>（</w:t>
      </w:r>
      <w:r>
        <w:rPr>
          <w:rFonts w:ascii="Times New Roman" w:eastAsia="宋体" w:hAnsi="Times New Roman" w:cs="Times New Roman"/>
          <w:color w:val="000000"/>
          <w:kern w:val="0"/>
          <w:lang w:bidi="ar"/>
        </w:rPr>
        <w:t>2</w:t>
      </w:r>
      <w:r>
        <w:rPr>
          <w:rFonts w:ascii="宋体" w:eastAsia="宋体" w:hAnsi="宋体" w:cs="宋体" w:hint="eastAsia"/>
          <w:color w:val="000000"/>
          <w:kern w:val="0"/>
          <w:lang w:bidi="ar"/>
        </w:rPr>
        <w:t xml:space="preserve">）库区水文情势 </w:t>
      </w:r>
    </w:p>
    <w:p w14:paraId="4312BF0B" w14:textId="77777777" w:rsidR="009D12AF" w:rsidRDefault="00000000">
      <w:pPr>
        <w:widowControl/>
        <w:ind w:firstLine="480"/>
        <w:jc w:val="left"/>
      </w:pPr>
      <w:r>
        <w:rPr>
          <w:rFonts w:ascii="宋体" w:eastAsia="宋体" w:hAnsi="宋体" w:cs="宋体" w:hint="eastAsia"/>
          <w:color w:val="000000"/>
          <w:kern w:val="0"/>
          <w:lang w:bidi="ar"/>
        </w:rPr>
        <w:t>清淤方式采用分区分期进行，清淤期间，不会造成清淤水库库区现有蓄水量的显著减少，也不会造成现有水位的明显下降或水域面积的减小，不会影响自来水厂的正常取水，不会因为项目施工而影响水库的供水功能。清淤施工结束后，将恢复一定的原有因淤积而减少的库容，与清淤前相比，水面面积一定程度上增加，但本项目改变原设计库容，不属于水库扩建工程，水库结构不发生变化，清淤后水库水深、水面面积及水流速度变化不显著。清淤完成后，水库继续发挥其原有功能。</w:t>
      </w:r>
    </w:p>
    <w:p w14:paraId="4137E336" w14:textId="77777777" w:rsidR="009D12AF" w:rsidRDefault="00000000">
      <w:pPr>
        <w:widowControl/>
        <w:ind w:firstLine="480"/>
        <w:jc w:val="left"/>
      </w:pPr>
      <w:r>
        <w:rPr>
          <w:rFonts w:ascii="宋体" w:eastAsia="宋体" w:hAnsi="宋体" w:cs="宋体" w:hint="eastAsia"/>
          <w:color w:val="000000"/>
          <w:kern w:val="0"/>
          <w:lang w:bidi="ar"/>
        </w:rPr>
        <w:t>（</w:t>
      </w:r>
      <w:r>
        <w:rPr>
          <w:rFonts w:ascii="Times New Roman" w:eastAsia="宋体" w:hAnsi="Times New Roman" w:cs="Times New Roman"/>
          <w:color w:val="000000"/>
          <w:kern w:val="0"/>
          <w:lang w:bidi="ar"/>
        </w:rPr>
        <w:t>3</w:t>
      </w:r>
      <w:r>
        <w:rPr>
          <w:rFonts w:ascii="宋体" w:eastAsia="宋体" w:hAnsi="宋体" w:cs="宋体" w:hint="eastAsia"/>
          <w:color w:val="000000"/>
          <w:kern w:val="0"/>
          <w:lang w:bidi="ar"/>
        </w:rPr>
        <w:t xml:space="preserve">）水温 </w:t>
      </w:r>
    </w:p>
    <w:p w14:paraId="18145CC5" w14:textId="77777777" w:rsidR="009D12AF" w:rsidRDefault="00000000">
      <w:pPr>
        <w:widowControl/>
        <w:ind w:firstLine="480"/>
        <w:jc w:val="left"/>
      </w:pPr>
      <w:r>
        <w:rPr>
          <w:rFonts w:ascii="宋体" w:eastAsia="宋体" w:hAnsi="宋体" w:cs="宋体" w:hint="eastAsia"/>
          <w:color w:val="000000"/>
          <w:kern w:val="0"/>
          <w:lang w:bidi="ar"/>
        </w:rPr>
        <w:t xml:space="preserve">水库水温受库区以上气象条件，水库容积和水深以及库区形态等因素的影响，呈现出具有时间与空间的变化规律，比较明显的季节性变化与垂直变化。 </w:t>
      </w:r>
    </w:p>
    <w:p w14:paraId="6037B659" w14:textId="77777777" w:rsidR="009D12AF" w:rsidRDefault="00000000">
      <w:pPr>
        <w:widowControl/>
        <w:ind w:firstLine="480"/>
        <w:jc w:val="left"/>
      </w:pPr>
      <w:r>
        <w:rPr>
          <w:rFonts w:ascii="宋体" w:eastAsia="宋体" w:hAnsi="宋体" w:cs="宋体" w:hint="eastAsia"/>
          <w:color w:val="000000"/>
          <w:kern w:val="0"/>
          <w:lang w:bidi="ar"/>
        </w:rPr>
        <w:t xml:space="preserve">本项目为清淤工程，不改变水库结构，不增大水库设计库容，清淤后水温不会产生明显变化，对库区水生生物及周围灌溉作物影响较小。 </w:t>
      </w:r>
    </w:p>
    <w:p w14:paraId="545B6ACB" w14:textId="77777777" w:rsidR="009D12AF" w:rsidRDefault="00000000">
      <w:pPr>
        <w:widowControl/>
        <w:ind w:firstLine="480"/>
        <w:jc w:val="left"/>
      </w:pPr>
      <w:r>
        <w:rPr>
          <w:rFonts w:ascii="宋体" w:eastAsia="宋体" w:hAnsi="宋体" w:cs="宋体" w:hint="eastAsia"/>
          <w:color w:val="000000"/>
          <w:kern w:val="0"/>
          <w:lang w:bidi="ar"/>
        </w:rPr>
        <w:t>（</w:t>
      </w:r>
      <w:r>
        <w:rPr>
          <w:rFonts w:ascii="Times New Roman" w:eastAsia="宋体" w:hAnsi="Times New Roman" w:cs="Times New Roman"/>
          <w:color w:val="000000"/>
          <w:kern w:val="0"/>
          <w:lang w:bidi="ar"/>
        </w:rPr>
        <w:t>4</w:t>
      </w:r>
      <w:r>
        <w:rPr>
          <w:rFonts w:ascii="宋体" w:eastAsia="宋体" w:hAnsi="宋体" w:cs="宋体" w:hint="eastAsia"/>
          <w:color w:val="000000"/>
          <w:kern w:val="0"/>
          <w:lang w:bidi="ar"/>
        </w:rPr>
        <w:t xml:space="preserve">）泥沙 </w:t>
      </w:r>
    </w:p>
    <w:p w14:paraId="521CCE41" w14:textId="77777777" w:rsidR="009D12AF" w:rsidRDefault="00000000">
      <w:pPr>
        <w:widowControl/>
        <w:ind w:firstLine="480"/>
        <w:jc w:val="left"/>
      </w:pPr>
      <w:r>
        <w:rPr>
          <w:rFonts w:ascii="宋体" w:eastAsia="宋体" w:hAnsi="宋体" w:cs="宋体" w:hint="eastAsia"/>
          <w:color w:val="000000"/>
          <w:kern w:val="0"/>
          <w:lang w:bidi="ar"/>
        </w:rPr>
        <w:t>清淤水库库区流速较缓，入库水流挟带的泥沙因此淤积下来，随着水库的运行，部分泥沙将会淤积在库区内，并逐年增加。本项目施工完成后，会显著改善现有泥沙淤积情况，但随着水库继续运行发挥功能，库区仍会面临泥沙淤积问题。</w:t>
      </w:r>
      <w:r>
        <w:rPr>
          <w:rFonts w:ascii="宋体" w:eastAsia="宋体" w:hAnsi="宋体" w:cs="宋体" w:hint="eastAsia"/>
          <w:color w:val="000000"/>
          <w:kern w:val="0"/>
          <w:lang w:bidi="ar"/>
        </w:rPr>
        <w:lastRenderedPageBreak/>
        <w:t>在加大库区上游生态环境治理力度的情况下，水土流失减小，入库沙量也会逐渐较少，库区淤积情况比现状会减轻。</w:t>
      </w:r>
    </w:p>
    <w:p w14:paraId="36216BA8" w14:textId="77777777" w:rsidR="009D12AF" w:rsidRDefault="00000000">
      <w:pPr>
        <w:ind w:firstLine="480"/>
      </w:pPr>
      <w:r>
        <w:rPr>
          <w:rFonts w:hint="eastAsia"/>
        </w:rPr>
        <w:t>3</w:t>
      </w:r>
      <w:r>
        <w:rPr>
          <w:rFonts w:hint="eastAsia"/>
        </w:rPr>
        <w:t>、库区水质影响分析</w:t>
      </w:r>
    </w:p>
    <w:p w14:paraId="3B2BCFEB" w14:textId="77777777" w:rsidR="009D12AF" w:rsidRDefault="00000000">
      <w:pPr>
        <w:widowControl/>
        <w:ind w:firstLine="480"/>
        <w:jc w:val="left"/>
      </w:pPr>
      <w:r>
        <w:rPr>
          <w:rFonts w:ascii="宋体" w:eastAsia="宋体" w:hAnsi="宋体" w:cs="宋体" w:hint="eastAsia"/>
          <w:color w:val="000000"/>
          <w:kern w:val="0"/>
          <w:lang w:bidi="ar"/>
        </w:rPr>
        <w:t>项目清淤工程完成后，水库在其运行发挥效益期间，本身并不排放污染物，不会对环境产生不利影响。清淤完成后，水域面积较清淤前有所恢复，但不会新增淹没耕地，不会导致进入水库的污染面源增加。</w:t>
      </w:r>
    </w:p>
    <w:p w14:paraId="1AD43394" w14:textId="77777777" w:rsidR="009D12AF" w:rsidRDefault="00000000">
      <w:pPr>
        <w:widowControl/>
        <w:ind w:firstLine="480"/>
        <w:jc w:val="left"/>
      </w:pPr>
      <w:r>
        <w:rPr>
          <w:rFonts w:ascii="宋体" w:eastAsia="宋体" w:hAnsi="宋体" w:cs="宋体" w:hint="eastAsia"/>
          <w:color w:val="000000"/>
          <w:kern w:val="0"/>
          <w:lang w:bidi="ar"/>
        </w:rPr>
        <w:t>经过清淤，污染底泥层被直接去除，沉积的有机质和氮、磷污染物及重金属等大量污染物被直接从水体中有效去除，减少了水库的内源污染，水体中污染物含量大幅降低，淤积段水流速度加快，水中溶解氧含量提高，有利于水生生物生长和繁殖，从而加快污染物分解和消耗，增加水库的自净能力，有利环境的改善。</w:t>
      </w:r>
    </w:p>
    <w:p w14:paraId="59CB7A00" w14:textId="77777777" w:rsidR="009D12AF" w:rsidRDefault="00000000">
      <w:pPr>
        <w:pStyle w:val="3"/>
      </w:pPr>
      <w:bookmarkStart w:id="378" w:name="_Toc32397"/>
      <w:r>
        <w:rPr>
          <w:rFonts w:hint="eastAsia"/>
        </w:rPr>
        <w:t>5.2.3</w:t>
      </w:r>
      <w:r>
        <w:rPr>
          <w:rFonts w:hint="eastAsia"/>
        </w:rPr>
        <w:t>地下水环境影响预测与评价</w:t>
      </w:r>
      <w:bookmarkEnd w:id="378"/>
    </w:p>
    <w:p w14:paraId="6E14258B" w14:textId="77777777" w:rsidR="009D12AF" w:rsidRDefault="00000000">
      <w:pPr>
        <w:ind w:firstLine="480"/>
      </w:pPr>
      <w:r>
        <w:t>本项目为主要为</w:t>
      </w:r>
      <w:r>
        <w:rPr>
          <w:rFonts w:hint="eastAsia"/>
        </w:rPr>
        <w:t>水库清淤</w:t>
      </w:r>
      <w:r>
        <w:t>工程，</w:t>
      </w:r>
      <w:r>
        <w:rPr>
          <w:rFonts w:hint="eastAsia"/>
        </w:rPr>
        <w:t>运行期</w:t>
      </w:r>
      <w:r>
        <w:t>不产生废水。清淤前，</w:t>
      </w:r>
      <w:r>
        <w:rPr>
          <w:rFonts w:hint="eastAsia"/>
        </w:rPr>
        <w:t>库</w:t>
      </w:r>
      <w:r>
        <w:t>底有较多的淤泥，这对地表水补给地下水有一定的影响。在清淤完成后，地表水渗透补给地下水的量会有所增加，且根本上杜绝了地表水和底泥之间直接接触，阻止底泥污染物进入地表水体，即切断内污染源的污染途径，内源污染大大降低，消减了污染物入渗的可能，使地表水下渗进入地下水的浓度也随之降低。因此，本项目</w:t>
      </w:r>
      <w:r>
        <w:rPr>
          <w:rFonts w:hint="eastAsia"/>
        </w:rPr>
        <w:t>运行期</w:t>
      </w:r>
      <w:r>
        <w:t>对地下水的影响主要为有益作用。</w:t>
      </w:r>
    </w:p>
    <w:p w14:paraId="15F133A5" w14:textId="77777777" w:rsidR="009D12AF" w:rsidRDefault="00000000">
      <w:pPr>
        <w:pStyle w:val="3"/>
      </w:pPr>
      <w:bookmarkStart w:id="379" w:name="_Toc32370"/>
      <w:r>
        <w:rPr>
          <w:rFonts w:hint="eastAsia"/>
        </w:rPr>
        <w:t>5.2.4</w:t>
      </w:r>
      <w:r>
        <w:rPr>
          <w:rFonts w:hint="eastAsia"/>
        </w:rPr>
        <w:t>噪声环境影响预测与评价</w:t>
      </w:r>
      <w:bookmarkEnd w:id="379"/>
    </w:p>
    <w:p w14:paraId="6156F504" w14:textId="77777777" w:rsidR="009D12AF" w:rsidRDefault="00000000">
      <w:pPr>
        <w:ind w:firstLine="480"/>
      </w:pPr>
      <w:r>
        <w:t>项目施工结束后，施工现场的所有机械设备将撤离，无产生噪声的设备，因此，本项目</w:t>
      </w:r>
      <w:r>
        <w:rPr>
          <w:rFonts w:hint="eastAsia"/>
        </w:rPr>
        <w:t>运行期</w:t>
      </w:r>
      <w:r>
        <w:t>不会对项目区及周边声环境产生影响。</w:t>
      </w:r>
    </w:p>
    <w:p w14:paraId="60027D82" w14:textId="77777777" w:rsidR="009D12AF" w:rsidRDefault="00000000">
      <w:pPr>
        <w:pStyle w:val="3"/>
      </w:pPr>
      <w:bookmarkStart w:id="380" w:name="_Toc16848"/>
      <w:r>
        <w:rPr>
          <w:rFonts w:hint="eastAsia"/>
        </w:rPr>
        <w:t>5.2.5</w:t>
      </w:r>
      <w:r>
        <w:rPr>
          <w:rFonts w:hint="eastAsia"/>
        </w:rPr>
        <w:t>固体废物环境影响预测与评价</w:t>
      </w:r>
      <w:bookmarkEnd w:id="380"/>
    </w:p>
    <w:p w14:paraId="5A95C302" w14:textId="77777777" w:rsidR="009D12AF" w:rsidRDefault="00000000">
      <w:pPr>
        <w:ind w:firstLine="480"/>
      </w:pPr>
      <w:r>
        <w:t>本项目</w:t>
      </w:r>
      <w:r>
        <w:rPr>
          <w:rFonts w:hint="eastAsia"/>
        </w:rPr>
        <w:t>运行期</w:t>
      </w:r>
      <w:r>
        <w:t>不产生固体废物，为了维护</w:t>
      </w:r>
      <w:r>
        <w:rPr>
          <w:rFonts w:hint="eastAsia"/>
        </w:rPr>
        <w:t>水库</w:t>
      </w:r>
      <w:r>
        <w:t>内的水体卫生环境，当地主管部门应加强</w:t>
      </w:r>
      <w:r>
        <w:rPr>
          <w:rFonts w:hint="eastAsia"/>
        </w:rPr>
        <w:t>水库</w:t>
      </w:r>
      <w:r>
        <w:t>管理。本项目</w:t>
      </w:r>
      <w:r>
        <w:rPr>
          <w:rFonts w:hint="eastAsia"/>
        </w:rPr>
        <w:t>运行期</w:t>
      </w:r>
      <w:r>
        <w:t>固体废物对周边环境影响很小。</w:t>
      </w:r>
    </w:p>
    <w:p w14:paraId="3E671B50" w14:textId="77777777" w:rsidR="009D12AF" w:rsidRDefault="00000000">
      <w:pPr>
        <w:pStyle w:val="3"/>
      </w:pPr>
      <w:bookmarkStart w:id="381" w:name="_Toc7957"/>
      <w:r>
        <w:rPr>
          <w:rFonts w:hint="eastAsia"/>
        </w:rPr>
        <w:lastRenderedPageBreak/>
        <w:t>5.2.6</w:t>
      </w:r>
      <w:r>
        <w:rPr>
          <w:rFonts w:hint="eastAsia"/>
        </w:rPr>
        <w:t>土壤环境影响预测与评价</w:t>
      </w:r>
      <w:bookmarkEnd w:id="381"/>
    </w:p>
    <w:p w14:paraId="148FA202" w14:textId="77777777" w:rsidR="009D12AF" w:rsidRDefault="00000000">
      <w:pPr>
        <w:ind w:firstLine="480"/>
      </w:pPr>
      <w:r>
        <w:t>项目清淤完成后，可以改善水环境、改善土壤肥力，随着河道两岸生态恢复以及水质保护措施，预计项目区周边的士壤环境质量将维持在现有水平，不会因本项目的建设、运行而受到影响。</w:t>
      </w:r>
    </w:p>
    <w:p w14:paraId="6546E750" w14:textId="77777777" w:rsidR="009D12AF" w:rsidRDefault="00000000">
      <w:pPr>
        <w:pStyle w:val="3"/>
      </w:pPr>
      <w:bookmarkStart w:id="382" w:name="_Toc31929"/>
      <w:r>
        <w:rPr>
          <w:rFonts w:hint="eastAsia"/>
        </w:rPr>
        <w:t>5.2.7</w:t>
      </w:r>
      <w:r>
        <w:rPr>
          <w:rFonts w:hint="eastAsia"/>
        </w:rPr>
        <w:t>陆生生态环境影响分析</w:t>
      </w:r>
      <w:bookmarkEnd w:id="382"/>
    </w:p>
    <w:p w14:paraId="6C24D7EE" w14:textId="77777777" w:rsidR="009D12AF" w:rsidRDefault="00000000">
      <w:pPr>
        <w:ind w:firstLine="480"/>
      </w:pPr>
      <w:r>
        <w:rPr>
          <w:rFonts w:hint="eastAsia"/>
        </w:rPr>
        <w:t>1</w:t>
      </w:r>
      <w:r>
        <w:rPr>
          <w:rFonts w:hint="eastAsia"/>
        </w:rPr>
        <w:t>、工程占地影响</w:t>
      </w:r>
    </w:p>
    <w:p w14:paraId="5C7CA691" w14:textId="77777777" w:rsidR="009D12AF" w:rsidRDefault="00000000">
      <w:pPr>
        <w:ind w:firstLine="480"/>
      </w:pPr>
      <w:r>
        <w:t>本工程施工结束后临时占地恢复原地类，临时占地对土地资源不产生影响。</w:t>
      </w:r>
      <w:r>
        <w:rPr>
          <w:rFonts w:hint="eastAsia"/>
        </w:rPr>
        <w:t>本项目不涉及永久占地。</w:t>
      </w:r>
    </w:p>
    <w:p w14:paraId="350EF21A" w14:textId="77777777" w:rsidR="009D12AF" w:rsidRDefault="00000000">
      <w:pPr>
        <w:ind w:firstLine="480"/>
      </w:pPr>
      <w:r>
        <w:rPr>
          <w:rFonts w:hint="eastAsia"/>
        </w:rPr>
        <w:t>2</w:t>
      </w:r>
      <w:r>
        <w:rPr>
          <w:rFonts w:hint="eastAsia"/>
        </w:rPr>
        <w:t>、对植物的影响</w:t>
      </w:r>
    </w:p>
    <w:p w14:paraId="196A98BA" w14:textId="77777777" w:rsidR="009D12AF" w:rsidRDefault="00000000">
      <w:pPr>
        <w:ind w:firstLine="480"/>
      </w:pPr>
      <w:r>
        <w:t>项目区域土地类型主要为林地、耕地、沼泽、灌草丛和建筑。本项目施工道路利用水库滩地的现有砂石路，项目用地不涉及永久占地，临时占地为水库管理范围内用地。</w:t>
      </w:r>
      <w:r>
        <w:rPr>
          <w:rFonts w:hint="eastAsia"/>
        </w:rPr>
        <w:t>项目</w:t>
      </w:r>
      <w:r>
        <w:t>目施工将会对沼泽地及其周围部分灌草丛的植被进行清除，占用清除植物中没有受国家保护的珍惜濒危野生植物，主要会被占用清除的自然植被为凤眼莲群落。这些施工临时占地将对植被产生直接的破坏作用，导致区域植物数量的相对减少，对植被生物量造成一定影响，但临时占地面积不大，且沼泽中大量分布的凤眼莲为外来入侵的物种，对生态系统造成侵害，需要清除。其余香茅沼泽地和红毛草灌草丛均为常见植被，且受人工影响极大，清除后仅为个体损失，对生态系统影响极小。</w:t>
      </w:r>
      <w:r>
        <w:t xml:space="preserve"> </w:t>
      </w:r>
    </w:p>
    <w:p w14:paraId="2971E3C6" w14:textId="77777777" w:rsidR="009D12AF" w:rsidRDefault="00000000">
      <w:pPr>
        <w:ind w:firstLine="480"/>
      </w:pPr>
      <w:r>
        <w:t>评价区灌草丛、草丛受外来入侵种影响严重，且植物群落结构简单，植被类型单一，均为人工干扰下生长的植被类型，植被生长状况一般，受人为影响较为频繁，项目建设对植物种类及植被类型的影响不大。本次工程施工结束后对</w:t>
      </w:r>
      <w:r>
        <w:rPr>
          <w:rFonts w:hint="eastAsia"/>
        </w:rPr>
        <w:t>临时占地</w:t>
      </w:r>
      <w:r>
        <w:t>进行人工复绿，损失的临时施工占地植物在适宜条件下可迅速得到恢复，对生态造成有利影响。</w:t>
      </w:r>
    </w:p>
    <w:p w14:paraId="113BF25B" w14:textId="77777777" w:rsidR="009D12AF" w:rsidRDefault="00000000">
      <w:pPr>
        <w:ind w:firstLine="480"/>
      </w:pPr>
      <w:r>
        <w:rPr>
          <w:rFonts w:hint="eastAsia"/>
        </w:rPr>
        <w:t>3</w:t>
      </w:r>
      <w:r>
        <w:rPr>
          <w:rFonts w:hint="eastAsia"/>
        </w:rPr>
        <w:t>、对动物的影响</w:t>
      </w:r>
    </w:p>
    <w:p w14:paraId="43CD5537" w14:textId="77777777" w:rsidR="009D12AF" w:rsidRDefault="00000000">
      <w:pPr>
        <w:ind w:firstLine="480"/>
      </w:pPr>
      <w:r>
        <w:t>由于工程所处区域的林地、农田在评价区内外普遍存在，受影响的物种多是一般常见种类，它们分布广泛，种群数量大，这些个体的消失，对项目区生物多样性及种群数量的影响不大。该工程建设对陆生动物的影响主要集中在施工期。</w:t>
      </w:r>
      <w:r>
        <w:lastRenderedPageBreak/>
        <w:t>施工期该区域的陆生野生动物的种类和数量将出现暂时的波动，呈递减趋势，但随着施工结束其种类和数量也将逐渐恢复，该工程建设不会对野生动物栖息地和迁徙通道形成新的分割与阻隔影响。</w:t>
      </w:r>
    </w:p>
    <w:p w14:paraId="374AF5C0" w14:textId="77777777" w:rsidR="009D12AF" w:rsidRDefault="00000000">
      <w:pPr>
        <w:pStyle w:val="3"/>
      </w:pPr>
      <w:bookmarkStart w:id="383" w:name="_Toc19360"/>
      <w:r>
        <w:rPr>
          <w:rFonts w:hint="eastAsia"/>
        </w:rPr>
        <w:t>5.2.8</w:t>
      </w:r>
      <w:r>
        <w:rPr>
          <w:rFonts w:hint="eastAsia"/>
        </w:rPr>
        <w:t>水生生态环境影响分析</w:t>
      </w:r>
      <w:bookmarkEnd w:id="383"/>
    </w:p>
    <w:p w14:paraId="51C28743" w14:textId="77777777" w:rsidR="009D12AF" w:rsidRDefault="00000000">
      <w:pPr>
        <w:ind w:firstLine="480"/>
      </w:pPr>
      <w:r>
        <w:rPr>
          <w:rFonts w:hint="eastAsia"/>
        </w:rPr>
        <w:t>1</w:t>
      </w:r>
      <w:r>
        <w:rPr>
          <w:rFonts w:hint="eastAsia"/>
        </w:rPr>
        <w:t>、对鱼类影响预测</w:t>
      </w:r>
    </w:p>
    <w:p w14:paraId="2ECBFE3E" w14:textId="77777777" w:rsidR="009D12AF" w:rsidRDefault="00000000">
      <w:pPr>
        <w:ind w:firstLine="480"/>
        <w:rPr>
          <w:bCs/>
        </w:rPr>
      </w:pPr>
      <w:r>
        <w:rPr>
          <w:rFonts w:ascii="Times New Roman" w:hAnsi="Times New Roman" w:cs="Times New Roman"/>
          <w:bCs/>
          <w:color w:val="000000" w:themeColor="text1"/>
          <w:szCs w:val="22"/>
        </w:rPr>
        <w:t>本工程主要针对水库</w:t>
      </w:r>
      <w:r>
        <w:rPr>
          <w:rFonts w:ascii="Times New Roman" w:hAnsi="Times New Roman" w:cs="Times New Roman" w:hint="eastAsia"/>
          <w:bCs/>
          <w:color w:val="000000" w:themeColor="text1"/>
          <w:szCs w:val="22"/>
        </w:rPr>
        <w:t>5</w:t>
      </w:r>
      <w:r>
        <w:rPr>
          <w:rFonts w:ascii="Times New Roman" w:hAnsi="Times New Roman" w:cs="Times New Roman"/>
          <w:bCs/>
          <w:color w:val="000000" w:themeColor="text1"/>
          <w:szCs w:val="22"/>
        </w:rPr>
        <w:t>处区域进行清淤，工程建设不改变水库总体布置，清淤后增加了水库的库容，工程实施后，水库的运行调度方式不变。综上分析，工程实施后不会对滤食性、碎屑食性鱼类生长产生影响。由于工程清淤后，底栖动物和水生维管植物资源量均会明显下降，一段时间内将会对底栖食性鱼类生长产生不利影响。同时，也会导致产粘性卵鱼类产卵场面积减少，从而在一段时间内影响水库鱼类的资源量。清淤工程结束后，水库水深增加，有利于鱼类越冬，随着库容的增加，未来将有利于鱼类资源量的增加。</w:t>
      </w:r>
    </w:p>
    <w:p w14:paraId="62E54F63" w14:textId="77777777" w:rsidR="009D12AF" w:rsidRDefault="00000000">
      <w:pPr>
        <w:ind w:firstLine="480"/>
        <w:rPr>
          <w:rFonts w:ascii="Times New Roman" w:hAnsi="Times New Roman" w:cs="Times New Roman"/>
          <w:color w:val="000000" w:themeColor="text1"/>
          <w:szCs w:val="22"/>
        </w:rPr>
      </w:pPr>
      <w:r>
        <w:rPr>
          <w:rFonts w:hint="eastAsia"/>
          <w:bCs/>
        </w:rPr>
        <w:t>2</w:t>
      </w:r>
      <w:r>
        <w:rPr>
          <w:rFonts w:hint="eastAsia"/>
          <w:bCs/>
        </w:rPr>
        <w:t>、</w:t>
      </w:r>
      <w:r>
        <w:rPr>
          <w:rFonts w:ascii="Times New Roman" w:hAnsi="Times New Roman" w:cs="Times New Roman"/>
          <w:color w:val="000000" w:themeColor="text1"/>
          <w:szCs w:val="22"/>
        </w:rPr>
        <w:t>对浮游</w:t>
      </w:r>
      <w:r>
        <w:rPr>
          <w:rFonts w:ascii="Times New Roman" w:hAnsi="Times New Roman" w:cs="Times New Roman" w:hint="eastAsia"/>
          <w:color w:val="000000" w:themeColor="text1"/>
          <w:szCs w:val="22"/>
        </w:rPr>
        <w:t>生物</w:t>
      </w:r>
      <w:r>
        <w:rPr>
          <w:rFonts w:ascii="Times New Roman" w:hAnsi="Times New Roman" w:cs="Times New Roman"/>
          <w:color w:val="000000" w:themeColor="text1"/>
          <w:szCs w:val="22"/>
        </w:rPr>
        <w:t>的影响</w:t>
      </w:r>
    </w:p>
    <w:p w14:paraId="12237204" w14:textId="77777777" w:rsidR="009D12AF" w:rsidRDefault="00000000">
      <w:pPr>
        <w:ind w:firstLine="480"/>
        <w:rPr>
          <w:rFonts w:ascii="Times New Roman" w:hAnsi="Times New Roman" w:cs="Times New Roman"/>
          <w:color w:val="000000" w:themeColor="text1"/>
          <w:szCs w:val="22"/>
        </w:rPr>
      </w:pPr>
      <w:r>
        <w:rPr>
          <w:rFonts w:ascii="Times New Roman" w:hAnsi="Times New Roman" w:cs="Times New Roman"/>
          <w:bCs/>
          <w:color w:val="000000" w:themeColor="text1"/>
        </w:rPr>
        <w:t>浮游生物是水生态系统中不可忽视的初级生产者，其种群、数量、种类随着生态环境的变化而变化。因此，清淤完成后，生态环境经过全面治理恢复后，其种类、数量、生物量，将随着施工结束维持现有状态。</w:t>
      </w:r>
    </w:p>
    <w:p w14:paraId="74D9D040" w14:textId="77777777" w:rsidR="009D12AF" w:rsidRDefault="00000000">
      <w:pPr>
        <w:ind w:firstLine="480"/>
        <w:rPr>
          <w:rFonts w:ascii="Times New Roman" w:hAnsi="Times New Roman" w:cs="Times New Roman"/>
          <w:bCs/>
          <w:color w:val="000000" w:themeColor="text1"/>
          <w:szCs w:val="22"/>
        </w:rPr>
      </w:pPr>
      <w:r>
        <w:rPr>
          <w:rFonts w:ascii="Times New Roman" w:hAnsi="Times New Roman" w:cs="Times New Roman" w:hint="eastAsia"/>
          <w:bCs/>
          <w:color w:val="000000" w:themeColor="text1"/>
          <w:szCs w:val="22"/>
        </w:rPr>
        <w:t>3</w:t>
      </w:r>
      <w:r>
        <w:rPr>
          <w:rFonts w:ascii="Times New Roman" w:hAnsi="Times New Roman" w:cs="Times New Roman" w:hint="eastAsia"/>
          <w:bCs/>
          <w:color w:val="000000" w:themeColor="text1"/>
          <w:szCs w:val="22"/>
        </w:rPr>
        <w:t>、</w:t>
      </w:r>
      <w:r>
        <w:rPr>
          <w:rFonts w:ascii="Times New Roman" w:hAnsi="Times New Roman" w:cs="Times New Roman"/>
          <w:bCs/>
          <w:color w:val="000000" w:themeColor="text1"/>
          <w:szCs w:val="22"/>
        </w:rPr>
        <w:t>底栖动物的影响</w:t>
      </w:r>
    </w:p>
    <w:p w14:paraId="63172E6B" w14:textId="77777777" w:rsidR="009D12AF" w:rsidRDefault="00000000">
      <w:pPr>
        <w:ind w:firstLine="480"/>
        <w:rPr>
          <w:rFonts w:ascii="Times New Roman" w:hAnsi="Times New Roman" w:cs="Times New Roman"/>
          <w:bCs/>
          <w:color w:val="000000" w:themeColor="text1"/>
        </w:rPr>
      </w:pPr>
      <w:r>
        <w:rPr>
          <w:rFonts w:ascii="Times New Roman" w:hAnsi="Times New Roman" w:cs="Times New Roman"/>
          <w:bCs/>
          <w:color w:val="000000" w:themeColor="text1"/>
        </w:rPr>
        <w:t>施工所造成的底质破坏不能立即消失，需经过</w:t>
      </w:r>
      <w:r>
        <w:rPr>
          <w:rFonts w:ascii="Times New Roman" w:hAnsi="Times New Roman" w:cs="Times New Roman"/>
          <w:bCs/>
          <w:color w:val="000000" w:themeColor="text1"/>
        </w:rPr>
        <w:t>3-5</w:t>
      </w:r>
      <w:r>
        <w:rPr>
          <w:rFonts w:ascii="Times New Roman" w:hAnsi="Times New Roman" w:cs="Times New Roman"/>
          <w:bCs/>
          <w:color w:val="000000" w:themeColor="text1"/>
        </w:rPr>
        <w:t>年才能得到恢复，在此期间影响将延续，随着时间推移，可恢复原来</w:t>
      </w:r>
      <w:r>
        <w:rPr>
          <w:rFonts w:ascii="Times New Roman" w:hAnsi="Times New Roman" w:cs="Times New Roman" w:hint="eastAsia"/>
          <w:bCs/>
          <w:color w:val="000000" w:themeColor="text1"/>
        </w:rPr>
        <w:t>水库</w:t>
      </w:r>
      <w:r>
        <w:rPr>
          <w:rFonts w:ascii="Times New Roman" w:hAnsi="Times New Roman" w:cs="Times New Roman"/>
          <w:bCs/>
          <w:color w:val="000000" w:themeColor="text1"/>
        </w:rPr>
        <w:t>状态，因此，施工影响面是暂时且可逆的。底栖动物种类、数量、生物量仍然保持</w:t>
      </w:r>
      <w:r>
        <w:rPr>
          <w:rFonts w:ascii="Times New Roman" w:hAnsi="Times New Roman" w:cs="Times New Roman" w:hint="eastAsia"/>
          <w:bCs/>
          <w:color w:val="000000" w:themeColor="text1"/>
        </w:rPr>
        <w:t>水库</w:t>
      </w:r>
      <w:r>
        <w:rPr>
          <w:rFonts w:ascii="Times New Roman" w:hAnsi="Times New Roman" w:cs="Times New Roman"/>
          <w:bCs/>
          <w:color w:val="000000" w:themeColor="text1"/>
        </w:rPr>
        <w:t>生态。</w:t>
      </w:r>
    </w:p>
    <w:p w14:paraId="0B5CB2CA" w14:textId="77777777" w:rsidR="009D12AF" w:rsidRDefault="00000000">
      <w:pPr>
        <w:ind w:firstLine="480"/>
        <w:rPr>
          <w:rFonts w:ascii="Times New Roman" w:hAnsi="Times New Roman" w:cs="Times New Roman"/>
          <w:bCs/>
          <w:color w:val="000000" w:themeColor="text1"/>
          <w:szCs w:val="22"/>
        </w:rPr>
      </w:pPr>
      <w:r>
        <w:rPr>
          <w:rFonts w:ascii="Times New Roman" w:hAnsi="Times New Roman" w:cs="Times New Roman" w:hint="eastAsia"/>
          <w:bCs/>
          <w:color w:val="000000" w:themeColor="text1"/>
          <w:szCs w:val="22"/>
        </w:rPr>
        <w:t>4</w:t>
      </w:r>
      <w:r>
        <w:rPr>
          <w:rFonts w:ascii="Times New Roman" w:hAnsi="Times New Roman" w:cs="Times New Roman" w:hint="eastAsia"/>
          <w:bCs/>
          <w:color w:val="000000" w:themeColor="text1"/>
          <w:szCs w:val="22"/>
        </w:rPr>
        <w:t>、</w:t>
      </w:r>
      <w:r>
        <w:rPr>
          <w:rFonts w:ascii="Times New Roman" w:hAnsi="Times New Roman" w:cs="Times New Roman"/>
          <w:bCs/>
          <w:color w:val="000000" w:themeColor="text1"/>
          <w:szCs w:val="22"/>
        </w:rPr>
        <w:t>水生维管植物的影响</w:t>
      </w:r>
    </w:p>
    <w:p w14:paraId="7E43A2C8" w14:textId="77777777" w:rsidR="009D12AF" w:rsidRDefault="00000000">
      <w:pPr>
        <w:ind w:firstLine="480"/>
        <w:rPr>
          <w:rFonts w:ascii="Times New Roman" w:hAnsi="Times New Roman" w:cs="Times New Roman"/>
          <w:bCs/>
          <w:color w:val="000000" w:themeColor="text1"/>
        </w:rPr>
      </w:pPr>
      <w:r>
        <w:rPr>
          <w:rFonts w:ascii="Times New Roman" w:hAnsi="Times New Roman" w:cs="Times New Roman"/>
          <w:bCs/>
          <w:color w:val="000000" w:themeColor="text1"/>
        </w:rPr>
        <w:t>由于施工所破坏的的植被则不能马上恢复，需要经过</w:t>
      </w:r>
      <w:r>
        <w:rPr>
          <w:rFonts w:ascii="Times New Roman" w:hAnsi="Times New Roman" w:cs="Times New Roman"/>
          <w:bCs/>
          <w:color w:val="000000" w:themeColor="text1"/>
        </w:rPr>
        <w:t>2</w:t>
      </w:r>
      <w:r>
        <w:rPr>
          <w:rFonts w:ascii="Times New Roman" w:hAnsi="Times New Roman" w:cs="Times New Roman"/>
          <w:bCs/>
          <w:color w:val="000000" w:themeColor="text1"/>
        </w:rPr>
        <w:t>～</w:t>
      </w:r>
      <w:r>
        <w:rPr>
          <w:rFonts w:ascii="Times New Roman" w:hAnsi="Times New Roman" w:cs="Times New Roman"/>
          <w:bCs/>
          <w:color w:val="000000" w:themeColor="text1"/>
        </w:rPr>
        <w:t>3</w:t>
      </w:r>
      <w:r>
        <w:rPr>
          <w:rFonts w:ascii="Times New Roman" w:hAnsi="Times New Roman" w:cs="Times New Roman"/>
          <w:bCs/>
          <w:color w:val="000000" w:themeColor="text1"/>
        </w:rPr>
        <w:t>年或人工修复才能得以恢复。所以，</w:t>
      </w:r>
      <w:r>
        <w:rPr>
          <w:rFonts w:ascii="Times New Roman" w:hAnsi="Times New Roman" w:cs="Times New Roman" w:hint="eastAsia"/>
          <w:bCs/>
          <w:color w:val="000000" w:themeColor="text1"/>
        </w:rPr>
        <w:t>清淤工程</w:t>
      </w:r>
      <w:r>
        <w:rPr>
          <w:rFonts w:ascii="Times New Roman" w:hAnsi="Times New Roman" w:cs="Times New Roman"/>
          <w:bCs/>
          <w:color w:val="000000" w:themeColor="text1"/>
        </w:rPr>
        <w:t>对水生维管植物的影响是暂时、局部的，水生维管植物的种类、数量、分布会随着生态恢复而恢复，不会对</w:t>
      </w:r>
      <w:r>
        <w:rPr>
          <w:rFonts w:ascii="Times New Roman" w:hAnsi="Times New Roman" w:cs="Times New Roman" w:hint="eastAsia"/>
          <w:bCs/>
          <w:color w:val="000000" w:themeColor="text1"/>
        </w:rPr>
        <w:t>水库水生维管植物资源造</w:t>
      </w:r>
      <w:r>
        <w:rPr>
          <w:rFonts w:ascii="Times New Roman" w:hAnsi="Times New Roman" w:cs="Times New Roman"/>
          <w:bCs/>
          <w:color w:val="000000" w:themeColor="text1"/>
        </w:rPr>
        <w:t>成严重影响。</w:t>
      </w:r>
    </w:p>
    <w:p w14:paraId="03C8C3BA" w14:textId="77777777" w:rsidR="009D12AF" w:rsidRDefault="009D12AF">
      <w:pPr>
        <w:ind w:firstLine="480"/>
      </w:pPr>
    </w:p>
    <w:p w14:paraId="48096DCB" w14:textId="77777777" w:rsidR="009D12AF" w:rsidRDefault="00000000">
      <w:pPr>
        <w:ind w:firstLine="480"/>
        <w:rPr>
          <w:highlight w:val="yellow"/>
        </w:rPr>
      </w:pPr>
      <w:r>
        <w:rPr>
          <w:highlight w:val="yellow"/>
        </w:rPr>
        <w:br w:type="page"/>
      </w:r>
    </w:p>
    <w:p w14:paraId="2CC5D991" w14:textId="77777777" w:rsidR="009D12AF" w:rsidRDefault="00000000">
      <w:pPr>
        <w:pStyle w:val="1"/>
      </w:pPr>
      <w:bookmarkStart w:id="384" w:name="_Toc3811"/>
      <w:r>
        <w:rPr>
          <w:rFonts w:hint="eastAsia"/>
        </w:rPr>
        <w:lastRenderedPageBreak/>
        <w:t>6</w:t>
      </w:r>
      <w:r>
        <w:t xml:space="preserve"> </w:t>
      </w:r>
      <w:r>
        <w:t>环境保护措施及其可行性论证</w:t>
      </w:r>
      <w:bookmarkEnd w:id="384"/>
    </w:p>
    <w:p w14:paraId="3D385AD4" w14:textId="77777777" w:rsidR="009D12AF" w:rsidRDefault="00000000">
      <w:pPr>
        <w:pStyle w:val="2"/>
      </w:pPr>
      <w:bookmarkStart w:id="385" w:name="_Toc16100"/>
      <w:r>
        <w:rPr>
          <w:rFonts w:hint="eastAsia"/>
        </w:rPr>
        <w:t>6</w:t>
      </w:r>
      <w:r>
        <w:t xml:space="preserve">.1 </w:t>
      </w:r>
      <w:r>
        <w:t>施工期环境保护措施及其可行性论证</w:t>
      </w:r>
      <w:bookmarkEnd w:id="385"/>
    </w:p>
    <w:p w14:paraId="360157F9" w14:textId="77777777" w:rsidR="009D12AF" w:rsidRDefault="00000000">
      <w:pPr>
        <w:pStyle w:val="3"/>
      </w:pPr>
      <w:bookmarkStart w:id="386" w:name="_Toc25710"/>
      <w:r>
        <w:rPr>
          <w:rFonts w:hint="eastAsia"/>
        </w:rPr>
        <w:t>6.1.1</w:t>
      </w:r>
      <w:r>
        <w:rPr>
          <w:rFonts w:hint="eastAsia"/>
        </w:rPr>
        <w:t>施工期大气环境保护措施及其可行性论证</w:t>
      </w:r>
      <w:bookmarkEnd w:id="386"/>
    </w:p>
    <w:p w14:paraId="6C98C6F1" w14:textId="77777777" w:rsidR="009D12AF" w:rsidRDefault="00000000">
      <w:pPr>
        <w:adjustRightInd w:val="0"/>
        <w:snapToGrid w:val="0"/>
        <w:ind w:firstLine="480"/>
      </w:pPr>
      <w:r>
        <w:t>本工程施工期的大气污染源主要包括施工扬尘，</w:t>
      </w:r>
      <w:r>
        <w:rPr>
          <w:rFonts w:hint="eastAsia"/>
        </w:rPr>
        <w:t>水库</w:t>
      </w:r>
      <w:r>
        <w:t>清淤过程产生的恶臭，燃油机械和运输车辆产生的尾气。</w:t>
      </w:r>
    </w:p>
    <w:p w14:paraId="3C150370" w14:textId="77777777" w:rsidR="009D12AF" w:rsidRDefault="00000000">
      <w:pPr>
        <w:adjustRightInd w:val="0"/>
        <w:snapToGrid w:val="0"/>
        <w:ind w:firstLine="480"/>
      </w:pPr>
      <w:r>
        <w:t>1</w:t>
      </w:r>
      <w:r>
        <w:t>、施工期扬尘防治措施</w:t>
      </w:r>
    </w:p>
    <w:p w14:paraId="0D31AB25" w14:textId="77777777" w:rsidR="009D12AF" w:rsidRDefault="00000000">
      <w:pPr>
        <w:adjustRightInd w:val="0"/>
        <w:snapToGrid w:val="0"/>
        <w:ind w:firstLine="480"/>
      </w:pPr>
      <w:r>
        <w:t>本项目施工区由于施工机械和运输车辆的使用会产生扬尘，对环境空气质量将产生一定的影响。扬尘是由于地面上的尘土在风力、人为带动及其他带动而进入大气的开放性污染源，尤其是施工现场干燥及风速较大时影响较为明显，使该区域及周围近距离范围大气中总悬浮颗粒</w:t>
      </w:r>
      <w:r>
        <w:t>(TSP)</w:t>
      </w:r>
      <w:r>
        <w:t>浓度增加。在施工过程中，施工单位必须全面落实《国务院关于印发大气污染防治行动计划的通知》国发</w:t>
      </w:r>
      <w:r>
        <w:t>[2013]37</w:t>
      </w:r>
      <w:r>
        <w:t>号文要求，</w:t>
      </w:r>
      <w:r>
        <w:t>“</w:t>
      </w:r>
      <w:r>
        <w:t>深化城市扬尘综合治理，加强对施工扬尘的监管，积极创建绿色工地，建设工程施工现场设置全封闭围墙，禁止在施工现场搅拌础，硬化施工现场道路，将施工扬尘污染防治纳入建筑企业信用和资质管理，作为招投标的依据。渣土运输车辆采取封闭措施。推行道路机械化清扫，增加城市道路冲洗保洁频次。大型料堆采取封闭储存、建设挡风抑尘墙等措施</w:t>
      </w:r>
      <w:r>
        <w:t>”</w:t>
      </w:r>
      <w:r>
        <w:t>。</w:t>
      </w:r>
      <w:r>
        <w:t xml:space="preserve"> </w:t>
      </w:r>
    </w:p>
    <w:p w14:paraId="457F5A8C" w14:textId="77777777" w:rsidR="009D12AF" w:rsidRDefault="00000000">
      <w:pPr>
        <w:adjustRightInd w:val="0"/>
        <w:snapToGrid w:val="0"/>
        <w:ind w:firstLine="480"/>
      </w:pPr>
      <w:r>
        <w:t>为减轻施工期间扬尘对周围环境空气及敏感目标的不利影响，该项目施工期间，应采取下列防治措施</w:t>
      </w:r>
      <w:r>
        <w:rPr>
          <w:rFonts w:hint="eastAsia"/>
        </w:rPr>
        <w:t>：</w:t>
      </w:r>
    </w:p>
    <w:p w14:paraId="41C177DD" w14:textId="77777777" w:rsidR="009D12AF" w:rsidRDefault="00000000">
      <w:pPr>
        <w:adjustRightInd w:val="0"/>
        <w:snapToGrid w:val="0"/>
        <w:ind w:firstLine="480"/>
      </w:pPr>
      <w:r>
        <w:t>（</w:t>
      </w:r>
      <w:r>
        <w:t>1</w:t>
      </w:r>
      <w:r>
        <w:t>）工程建设期间，在工地四周设置围挡</w:t>
      </w:r>
      <w:r>
        <w:t>(2</w:t>
      </w:r>
      <w:r>
        <w:t>米高</w:t>
      </w:r>
      <w:r>
        <w:t>)</w:t>
      </w:r>
      <w:r>
        <w:t>，减小风蚀起尘；</w:t>
      </w:r>
    </w:p>
    <w:p w14:paraId="36202C4E" w14:textId="77777777" w:rsidR="009D12AF" w:rsidRDefault="00000000">
      <w:pPr>
        <w:adjustRightInd w:val="0"/>
        <w:snapToGrid w:val="0"/>
        <w:ind w:firstLine="480"/>
      </w:pPr>
      <w:r>
        <w:t>（</w:t>
      </w:r>
      <w:r>
        <w:t>2</w:t>
      </w:r>
      <w:r>
        <w:t>）在对场地内进行地表清理与回填过程中建设单位需做到文明施工，对开挖、回填过程中应采取湿法作业，施工作业期间避免大风天气进行开挖风速四级以上易产生扬尘时，施工单位应暂时停止土方开挖，风速大于</w:t>
      </w:r>
      <w:r>
        <w:t>3m/s</w:t>
      </w:r>
      <w:r>
        <w:t>时应停止施工。如遇连续高温天气，应增加洒水频次来有效控制扬尘污染；</w:t>
      </w:r>
    </w:p>
    <w:p w14:paraId="0B509012" w14:textId="77777777" w:rsidR="009D12AF" w:rsidRDefault="00000000">
      <w:pPr>
        <w:adjustRightInd w:val="0"/>
        <w:snapToGrid w:val="0"/>
        <w:ind w:firstLine="480"/>
      </w:pPr>
      <w:r>
        <w:t>（</w:t>
      </w:r>
      <w:r>
        <w:t>3</w:t>
      </w:r>
      <w:r>
        <w:t>）加强管理，文明施工，建筑材料轻装轻卸；对于项目就近外购砂石等建材，运输车辆必须遮盖封闭处理。设专人对施工现场进行清理，防止空气污染；</w:t>
      </w:r>
    </w:p>
    <w:p w14:paraId="2CB3ACF3" w14:textId="77777777" w:rsidR="009D12AF" w:rsidRDefault="00000000">
      <w:pPr>
        <w:adjustRightInd w:val="0"/>
        <w:snapToGrid w:val="0"/>
        <w:ind w:firstLine="480"/>
      </w:pPr>
      <w:r>
        <w:t>（</w:t>
      </w:r>
      <w:r>
        <w:t>4</w:t>
      </w:r>
      <w:r>
        <w:t>）工程建设期间，其所使用的具有粉尘逸散性的工程材料，如砂石、土方或废弃物的运输应当对运输车辆进行苫布覆盖。若在工地内堆置，建筑材料集</w:t>
      </w:r>
      <w:r>
        <w:lastRenderedPageBreak/>
        <w:t>中堆放，并采用防尘布</w:t>
      </w:r>
      <w:r>
        <w:t>/</w:t>
      </w:r>
      <w:r>
        <w:t>防尘网遮盖，禁止露天堆放；防止风蚀起尘以减少施工过程中的粉尘飞扬现象；</w:t>
      </w:r>
    </w:p>
    <w:p w14:paraId="03FEB8C7" w14:textId="77777777" w:rsidR="009D12AF" w:rsidRDefault="00000000">
      <w:pPr>
        <w:adjustRightInd w:val="0"/>
        <w:snapToGrid w:val="0"/>
        <w:ind w:firstLine="480"/>
      </w:pPr>
      <w:r>
        <w:t>（</w:t>
      </w:r>
      <w:r>
        <w:t>5</w:t>
      </w:r>
      <w:r>
        <w:t>）施工现场主要运输道路采用洒水抑尘；</w:t>
      </w:r>
    </w:p>
    <w:p w14:paraId="5E035D3E" w14:textId="77777777" w:rsidR="009D12AF" w:rsidRDefault="00000000">
      <w:pPr>
        <w:adjustRightInd w:val="0"/>
        <w:snapToGrid w:val="0"/>
        <w:ind w:firstLine="480"/>
      </w:pPr>
      <w:r>
        <w:t>（</w:t>
      </w:r>
      <w:r>
        <w:t>6</w:t>
      </w:r>
      <w:r>
        <w:t>）运输车要全部采取密闭措施，严禁车辆沿途洒落，设置运输指定通道按规定时间、路线进行运输作业；</w:t>
      </w:r>
    </w:p>
    <w:p w14:paraId="421D0125" w14:textId="77777777" w:rsidR="009D12AF" w:rsidRDefault="00000000">
      <w:pPr>
        <w:adjustRightInd w:val="0"/>
        <w:snapToGrid w:val="0"/>
        <w:ind w:firstLine="480"/>
      </w:pPr>
      <w:r>
        <w:t>（</w:t>
      </w:r>
      <w:r>
        <w:t>7</w:t>
      </w:r>
      <w:r>
        <w:t>）建设单位应建立严格的监管制度，保证上述措施的严格执行。</w:t>
      </w:r>
    </w:p>
    <w:p w14:paraId="6DC1B850" w14:textId="77777777" w:rsidR="009D12AF" w:rsidRDefault="00000000">
      <w:pPr>
        <w:adjustRightInd w:val="0"/>
        <w:snapToGrid w:val="0"/>
        <w:ind w:firstLine="480"/>
      </w:pPr>
      <w:r>
        <w:t>项目建设时，施工期扬尘会对项目区周边居民带来一定的不利影响，因此建设方应合理安排施工时间，加强施工期扬尘污染防治措施，确保污染物达标排放，做好与周边居民的沟通工作。</w:t>
      </w:r>
    </w:p>
    <w:p w14:paraId="3BC8C707" w14:textId="77777777" w:rsidR="009D12AF" w:rsidRDefault="00000000">
      <w:pPr>
        <w:adjustRightInd w:val="0"/>
        <w:snapToGrid w:val="0"/>
        <w:ind w:firstLine="480"/>
      </w:pPr>
      <w:r>
        <w:t>2</w:t>
      </w:r>
      <w:r>
        <w:t>、燃料废气防治措施</w:t>
      </w:r>
    </w:p>
    <w:p w14:paraId="20883C06" w14:textId="77777777" w:rsidR="009D12AF" w:rsidRDefault="00000000">
      <w:pPr>
        <w:adjustRightInd w:val="0"/>
        <w:snapToGrid w:val="0"/>
        <w:ind w:firstLine="480"/>
      </w:pPr>
      <w:r>
        <w:t>本工程施工机械主要有运输车辆、柴油发电机等，施工机械运行时会产生燃油尾气，污染物主要是</w:t>
      </w:r>
      <w:r>
        <w:t>NO</w:t>
      </w:r>
      <w:r>
        <w:rPr>
          <w:vertAlign w:val="subscript"/>
        </w:rPr>
        <w:t>2</w:t>
      </w:r>
      <w:r>
        <w:t>、</w:t>
      </w:r>
      <w:r>
        <w:t>CO</w:t>
      </w:r>
      <w:r>
        <w:t>、</w:t>
      </w:r>
      <w:r>
        <w:t>SO</w:t>
      </w:r>
      <w:r>
        <w:rPr>
          <w:vertAlign w:val="subscript"/>
        </w:rPr>
        <w:t>2</w:t>
      </w:r>
      <w:r>
        <w:t>。项目施工机械数量少且较分散，其污染程度相对较轻，通过采取相应的措施，可最大限度控制燃油废气污染物的排放，具体措施主要有：</w:t>
      </w:r>
    </w:p>
    <w:p w14:paraId="25737BE9" w14:textId="77777777" w:rsidR="009D12AF" w:rsidRDefault="00000000">
      <w:pPr>
        <w:adjustRightInd w:val="0"/>
        <w:snapToGrid w:val="0"/>
        <w:ind w:firstLine="480"/>
      </w:pPr>
      <w:r>
        <w:t>（</w:t>
      </w:r>
      <w:r>
        <w:t>1</w:t>
      </w:r>
      <w:r>
        <w:t>）使用环保型施工机械，使用无铅汽油等优质燃料。</w:t>
      </w:r>
    </w:p>
    <w:p w14:paraId="5A65694B" w14:textId="77777777" w:rsidR="009D12AF" w:rsidRDefault="00000000">
      <w:pPr>
        <w:adjustRightInd w:val="0"/>
        <w:snapToGrid w:val="0"/>
        <w:ind w:firstLine="480"/>
      </w:pPr>
      <w:r>
        <w:t>（</w:t>
      </w:r>
      <w:r>
        <w:t>2</w:t>
      </w:r>
      <w:r>
        <w:t>）加强发电机及车辆的管理和维修保养，保持设备处在正常良好的状态下工作；禁止施工机械超负荷工作，减少因机械、车辆状况不佳造成的空气污染。</w:t>
      </w:r>
    </w:p>
    <w:p w14:paraId="7F853F4E" w14:textId="77777777" w:rsidR="009D12AF" w:rsidRDefault="00000000">
      <w:pPr>
        <w:adjustRightInd w:val="0"/>
        <w:snapToGrid w:val="0"/>
        <w:ind w:firstLine="480"/>
      </w:pPr>
      <w:r>
        <w:t>（</w:t>
      </w:r>
      <w:r>
        <w:t>3</w:t>
      </w:r>
      <w:r>
        <w:t>）运输车辆要合理布置运输车辆行驶路线，保证行使速度，减少怠速时间，以减少机动车尾气的排放。</w:t>
      </w:r>
    </w:p>
    <w:p w14:paraId="35DA841B" w14:textId="77777777" w:rsidR="009D12AF" w:rsidRDefault="00000000">
      <w:pPr>
        <w:adjustRightInd w:val="0"/>
        <w:snapToGrid w:val="0"/>
        <w:ind w:firstLine="480"/>
      </w:pPr>
      <w:r>
        <w:t>3</w:t>
      </w:r>
      <w:r>
        <w:t>、恶臭污染防治措施</w:t>
      </w:r>
    </w:p>
    <w:p w14:paraId="1B0AC186" w14:textId="77777777" w:rsidR="009D12AF" w:rsidRDefault="00000000">
      <w:pPr>
        <w:adjustRightInd w:val="0"/>
        <w:snapToGrid w:val="0"/>
        <w:ind w:firstLine="480"/>
      </w:pPr>
      <w:r>
        <w:t>（</w:t>
      </w:r>
      <w:r>
        <w:t>1</w:t>
      </w:r>
      <w:r>
        <w:t>）</w:t>
      </w:r>
      <w:r>
        <w:rPr>
          <w:rFonts w:hint="eastAsia"/>
        </w:rPr>
        <w:t>水库</w:t>
      </w:r>
      <w:r>
        <w:t>清淤工程应选择在枯水期分段进行，清淤过程中，为减少臭气的排放，在施工场地周围建设围挡，避免废气直接扩散到岸边。</w:t>
      </w:r>
    </w:p>
    <w:p w14:paraId="06AEF0A0" w14:textId="77777777" w:rsidR="009D12AF" w:rsidRDefault="00000000">
      <w:pPr>
        <w:adjustRightInd w:val="0"/>
        <w:snapToGrid w:val="0"/>
        <w:ind w:firstLine="480"/>
      </w:pPr>
      <w:r>
        <w:t>（</w:t>
      </w:r>
      <w:r>
        <w:t>2</w:t>
      </w:r>
      <w:r>
        <w:t>）</w:t>
      </w:r>
      <w:r>
        <w:rPr>
          <w:rFonts w:hint="eastAsia"/>
        </w:rPr>
        <w:t>水库</w:t>
      </w:r>
      <w:r>
        <w:t>淤泥送到</w:t>
      </w:r>
      <w:r>
        <w:rPr>
          <w:rFonts w:hint="eastAsia"/>
        </w:rPr>
        <w:t>临时生产区</w:t>
      </w:r>
      <w:r>
        <w:t>后，应及时进行淤泥干化处理：干化前，底泥在进入</w:t>
      </w:r>
      <w:r>
        <w:rPr>
          <w:rFonts w:hint="eastAsia"/>
        </w:rPr>
        <w:t>临时生产区</w:t>
      </w:r>
      <w:r>
        <w:t>时及时加入除臭剂，抑制淤泥异味的散发。</w:t>
      </w:r>
    </w:p>
    <w:p w14:paraId="0051CD6C" w14:textId="77777777" w:rsidR="009D12AF" w:rsidRDefault="00000000">
      <w:pPr>
        <w:adjustRightInd w:val="0"/>
        <w:snapToGrid w:val="0"/>
        <w:ind w:firstLine="480"/>
      </w:pPr>
      <w:r>
        <w:t>（</w:t>
      </w:r>
      <w:r>
        <w:t>3</w:t>
      </w:r>
      <w:r>
        <w:t>）干化淤泥运输时采用遮盖、密闭措施，防止沿途撒落，影响景观、卫生。</w:t>
      </w:r>
    </w:p>
    <w:p w14:paraId="5D424A8D" w14:textId="77777777" w:rsidR="009D12AF" w:rsidRDefault="00000000">
      <w:pPr>
        <w:adjustRightInd w:val="0"/>
        <w:snapToGrid w:val="0"/>
        <w:ind w:firstLine="480"/>
      </w:pPr>
      <w:r>
        <w:t>（</w:t>
      </w:r>
      <w:r>
        <w:t>4</w:t>
      </w:r>
      <w:r>
        <w:t>）加强</w:t>
      </w:r>
      <w:r>
        <w:rPr>
          <w:rFonts w:hint="eastAsia"/>
        </w:rPr>
        <w:t>临时生产区</w:t>
      </w:r>
      <w:r>
        <w:t>内绿化，在</w:t>
      </w:r>
      <w:r>
        <w:rPr>
          <w:rFonts w:hint="eastAsia"/>
        </w:rPr>
        <w:t>临时生产区</w:t>
      </w:r>
      <w:r>
        <w:t>四周栽植当地乡土乔木、灌木，空闲地上撤播草籽、培养草坪。</w:t>
      </w:r>
    </w:p>
    <w:p w14:paraId="5332E468" w14:textId="77777777" w:rsidR="009D12AF" w:rsidRDefault="00000000">
      <w:pPr>
        <w:adjustRightInd w:val="0"/>
        <w:snapToGrid w:val="0"/>
        <w:ind w:firstLine="480"/>
      </w:pPr>
      <w:r>
        <w:t>（</w:t>
      </w:r>
      <w:r>
        <w:t>5</w:t>
      </w:r>
      <w:r>
        <w:t>）对施工工人采取保护措施，如佩戴口罩、面具等。</w:t>
      </w:r>
    </w:p>
    <w:p w14:paraId="62714232" w14:textId="77777777" w:rsidR="009D12AF" w:rsidRDefault="00000000">
      <w:pPr>
        <w:adjustRightInd w:val="0"/>
        <w:snapToGrid w:val="0"/>
        <w:ind w:firstLine="480"/>
      </w:pPr>
      <w:r>
        <w:t>（</w:t>
      </w:r>
      <w:r>
        <w:t>6</w:t>
      </w:r>
      <w:r>
        <w:t>）清淤工程分段进行，淤泥</w:t>
      </w:r>
      <w:r>
        <w:rPr>
          <w:rFonts w:hint="eastAsia"/>
        </w:rPr>
        <w:t>干化</w:t>
      </w:r>
      <w:r>
        <w:t>时在</w:t>
      </w:r>
      <w:r>
        <w:rPr>
          <w:rFonts w:hint="eastAsia"/>
        </w:rPr>
        <w:t>堆场及</w:t>
      </w:r>
      <w:r>
        <w:t>距离环境保护目标相对较近</w:t>
      </w:r>
      <w:r>
        <w:lastRenderedPageBreak/>
        <w:t>的区域喷洒除臭剂。</w:t>
      </w:r>
    </w:p>
    <w:p w14:paraId="2E055EE4" w14:textId="77777777" w:rsidR="009D12AF" w:rsidRDefault="00000000">
      <w:pPr>
        <w:adjustRightInd w:val="0"/>
        <w:snapToGrid w:val="0"/>
        <w:ind w:firstLine="480"/>
      </w:pPr>
      <w:r>
        <w:t>（</w:t>
      </w:r>
      <w:r>
        <w:t>7</w:t>
      </w:r>
      <w:r>
        <w:t>）淤泥的</w:t>
      </w:r>
      <w:r>
        <w:rPr>
          <w:rFonts w:hint="eastAsia"/>
        </w:rPr>
        <w:t>临时堆场</w:t>
      </w:r>
      <w:r>
        <w:t>，离附近敏感目标保持一定距离，同时在其表面覆盖草坯子。</w:t>
      </w:r>
    </w:p>
    <w:p w14:paraId="1F162BCB" w14:textId="77777777" w:rsidR="009D12AF" w:rsidRDefault="00000000">
      <w:pPr>
        <w:adjustRightInd w:val="0"/>
        <w:snapToGrid w:val="0"/>
        <w:ind w:firstLine="480"/>
      </w:pPr>
      <w:r>
        <w:t>（</w:t>
      </w:r>
      <w:r>
        <w:t>8</w:t>
      </w:r>
      <w:r>
        <w:t>）</w:t>
      </w:r>
      <w:r>
        <w:rPr>
          <w:rFonts w:hint="eastAsia"/>
        </w:rPr>
        <w:t>临时生产区</w:t>
      </w:r>
      <w:r>
        <w:t>的选择远离村庄。</w:t>
      </w:r>
    </w:p>
    <w:p w14:paraId="309AD1DB" w14:textId="77777777" w:rsidR="009D12AF" w:rsidRDefault="00000000">
      <w:pPr>
        <w:adjustRightInd w:val="0"/>
        <w:snapToGrid w:val="0"/>
        <w:ind w:firstLine="480"/>
      </w:pPr>
      <w:r>
        <w:t>（</w:t>
      </w:r>
      <w:r>
        <w:t>9</w:t>
      </w:r>
      <w:r>
        <w:t>）干化淤泥运输避开居民密集区。</w:t>
      </w:r>
    </w:p>
    <w:p w14:paraId="3E71807F" w14:textId="77777777" w:rsidR="009D12AF" w:rsidRDefault="00000000">
      <w:pPr>
        <w:adjustRightInd w:val="0"/>
        <w:snapToGrid w:val="0"/>
        <w:ind w:firstLine="480"/>
      </w:pPr>
      <w:r>
        <w:t>4</w:t>
      </w:r>
      <w:r>
        <w:t>、废气防治措施可行性分析</w:t>
      </w:r>
    </w:p>
    <w:p w14:paraId="235B5BFC" w14:textId="77777777" w:rsidR="009D12AF" w:rsidRDefault="00000000">
      <w:pPr>
        <w:ind w:firstLine="480"/>
        <w:rPr>
          <w:highlight w:val="yellow"/>
        </w:rPr>
      </w:pPr>
      <w:r>
        <w:t>根据以上分析可知，工程施工期施工作业扬尘、施工车辆及燃料废气及清理异味等会对周围产生一定影响，但这种影响是暂时的，随着工程完工，影响将不存在。本项目施工期大气环境影响采用上述减缓措施，效果显著，经济合理，简单易行，故本项目采用以上施工期大气环境影响减缓措施是可行的。</w:t>
      </w:r>
    </w:p>
    <w:p w14:paraId="02E48FD8" w14:textId="77777777" w:rsidR="009D12AF" w:rsidRDefault="00000000">
      <w:pPr>
        <w:pStyle w:val="3"/>
      </w:pPr>
      <w:bookmarkStart w:id="387" w:name="_Toc27978"/>
      <w:bookmarkStart w:id="388" w:name="_Toc91"/>
      <w:bookmarkStart w:id="389" w:name="_Toc7444"/>
      <w:bookmarkStart w:id="390" w:name="_Toc10846"/>
      <w:r>
        <w:rPr>
          <w:rFonts w:hint="eastAsia"/>
        </w:rPr>
        <w:t>6</w:t>
      </w:r>
      <w:r>
        <w:t>.1.</w:t>
      </w:r>
      <w:r>
        <w:rPr>
          <w:rFonts w:hint="eastAsia"/>
        </w:rPr>
        <w:t>2</w:t>
      </w:r>
      <w:r>
        <w:t xml:space="preserve"> </w:t>
      </w:r>
      <w:r>
        <w:t>施工期</w:t>
      </w:r>
      <w:r>
        <w:rPr>
          <w:rFonts w:hint="eastAsia"/>
        </w:rPr>
        <w:t>废水</w:t>
      </w:r>
      <w:r>
        <w:t>环境保护措施及其可行性论证</w:t>
      </w:r>
      <w:bookmarkEnd w:id="387"/>
      <w:bookmarkEnd w:id="388"/>
      <w:bookmarkEnd w:id="389"/>
      <w:bookmarkEnd w:id="390"/>
    </w:p>
    <w:p w14:paraId="156EF4EA" w14:textId="77777777" w:rsidR="009D12AF" w:rsidRDefault="00000000">
      <w:pPr>
        <w:ind w:firstLineChars="236" w:firstLine="566"/>
      </w:pPr>
      <w:r>
        <w:t>本项目为主要为</w:t>
      </w:r>
      <w:r>
        <w:rPr>
          <w:rFonts w:hint="eastAsia"/>
        </w:rPr>
        <w:t>湖库清淤工程</w:t>
      </w:r>
      <w:r>
        <w:t>，对地表水水质的影响主要来自于施工期生活污水，</w:t>
      </w:r>
      <w:r>
        <w:rPr>
          <w:rFonts w:hint="eastAsia"/>
        </w:rPr>
        <w:t>施工废水</w:t>
      </w:r>
      <w:r>
        <w:t>以及</w:t>
      </w:r>
      <w:r>
        <w:rPr>
          <w:rFonts w:hint="eastAsia"/>
        </w:rPr>
        <w:t>湖库</w:t>
      </w:r>
      <w:r>
        <w:t>清淤扰动悬浮物对下游水质的影响。</w:t>
      </w:r>
    </w:p>
    <w:p w14:paraId="5CB66543" w14:textId="77777777" w:rsidR="009D12AF" w:rsidRDefault="00000000">
      <w:pPr>
        <w:ind w:firstLineChars="236" w:firstLine="566"/>
      </w:pPr>
      <w:r>
        <w:t>1</w:t>
      </w:r>
      <w:r>
        <w:t>、生活污水影响分析</w:t>
      </w:r>
    </w:p>
    <w:p w14:paraId="5C57AB48" w14:textId="77777777" w:rsidR="009D12AF" w:rsidRDefault="00000000">
      <w:pPr>
        <w:ind w:firstLineChars="236" w:firstLine="566"/>
      </w:pPr>
      <w:r>
        <w:t>施工期项目施工人员会产生一定量的生活污水</w:t>
      </w:r>
      <w:r>
        <w:rPr>
          <w:rFonts w:hint="eastAsia"/>
        </w:rPr>
        <w:t>，</w:t>
      </w:r>
      <w:r>
        <w:rPr>
          <w:rFonts w:ascii="Times New Roman" w:eastAsia="宋体" w:hAnsi="Times New Roman" w:cs="Times New Roman" w:hint="eastAsia"/>
        </w:rPr>
        <w:t>总工期</w:t>
      </w:r>
      <w:r>
        <w:rPr>
          <w:rFonts w:ascii="Times New Roman" w:eastAsia="宋体" w:hAnsi="Times New Roman" w:cs="Times New Roman"/>
        </w:rPr>
        <w:t>工作日</w:t>
      </w:r>
      <w:r>
        <w:rPr>
          <w:rFonts w:ascii="Times New Roman" w:eastAsia="宋体" w:hAnsi="Times New Roman" w:cs="Times New Roman" w:hint="eastAsia"/>
        </w:rPr>
        <w:t>1890</w:t>
      </w:r>
      <w:r>
        <w:rPr>
          <w:rFonts w:ascii="Times New Roman" w:eastAsia="宋体" w:hAnsi="Times New Roman" w:cs="Times New Roman"/>
        </w:rPr>
        <w:t>d</w:t>
      </w:r>
      <w:r>
        <w:rPr>
          <w:rFonts w:ascii="Times New Roman" w:eastAsia="宋体" w:hAnsi="Times New Roman" w:cs="Times New Roman"/>
        </w:rPr>
        <w:t>，</w:t>
      </w:r>
      <w:r>
        <w:rPr>
          <w:rFonts w:ascii="Times New Roman" w:eastAsia="宋体" w:hAnsi="Times New Roman" w:cs="Times New Roman" w:hint="eastAsia"/>
        </w:rPr>
        <w:t>排</w:t>
      </w:r>
      <w:r>
        <w:rPr>
          <w:rFonts w:ascii="Times New Roman" w:eastAsia="宋体" w:hAnsi="Times New Roman" w:cs="Times New Roman"/>
        </w:rPr>
        <w:t>水量为</w:t>
      </w:r>
      <w:r>
        <w:rPr>
          <w:rFonts w:ascii="Times New Roman" w:eastAsia="宋体" w:hAnsi="Times New Roman" w:cs="Times New Roman" w:hint="eastAsia"/>
        </w:rPr>
        <w:t>0.64</w:t>
      </w:r>
      <w:r>
        <w:rPr>
          <w:rFonts w:ascii="Times New Roman" w:eastAsia="宋体" w:hAnsi="Times New Roman" w:cs="Times New Roman"/>
        </w:rPr>
        <w:t>t/d</w:t>
      </w:r>
      <w:r>
        <w:rPr>
          <w:rFonts w:ascii="Times New Roman" w:eastAsia="宋体" w:hAnsi="Times New Roman" w:cs="Times New Roman"/>
        </w:rPr>
        <w:t>、</w:t>
      </w:r>
      <w:r>
        <w:rPr>
          <w:rFonts w:ascii="Times New Roman" w:eastAsia="宋体" w:hAnsi="Times New Roman" w:cs="Times New Roman" w:hint="eastAsia"/>
        </w:rPr>
        <w:t>1209.6</w:t>
      </w:r>
      <w:r>
        <w:rPr>
          <w:rFonts w:ascii="Times New Roman" w:eastAsia="宋体" w:hAnsi="Times New Roman" w:cs="Times New Roman"/>
        </w:rPr>
        <w:t>t/</w:t>
      </w:r>
      <w:r>
        <w:rPr>
          <w:rFonts w:ascii="Times New Roman" w:eastAsia="宋体" w:hAnsi="Times New Roman" w:cs="Times New Roman" w:hint="eastAsia"/>
        </w:rPr>
        <w:t>总工期</w:t>
      </w:r>
      <w:r>
        <w:rPr>
          <w:rFonts w:hint="eastAsia"/>
        </w:rPr>
        <w:t>。</w:t>
      </w:r>
      <w:r>
        <w:t>生活污水排入移动卫生厕所，定期清掏，外运堆肥。施工期生活污水不会对</w:t>
      </w:r>
      <w:r>
        <w:rPr>
          <w:rFonts w:hint="eastAsia"/>
        </w:rPr>
        <w:t>地表水</w:t>
      </w:r>
      <w:r>
        <w:t>产生影响，对水环境的影响不大。</w:t>
      </w:r>
    </w:p>
    <w:p w14:paraId="2A52D13C" w14:textId="77777777" w:rsidR="009D12AF" w:rsidRDefault="00000000">
      <w:pPr>
        <w:ind w:firstLineChars="236" w:firstLine="566"/>
      </w:pPr>
      <w:r>
        <w:t>2</w:t>
      </w:r>
      <w:r>
        <w:t>、</w:t>
      </w:r>
      <w:r>
        <w:rPr>
          <w:rFonts w:hint="eastAsia"/>
        </w:rPr>
        <w:t>施工机械设备冲洗废水</w:t>
      </w:r>
    </w:p>
    <w:p w14:paraId="4631A9BD" w14:textId="77777777" w:rsidR="009D12AF" w:rsidRDefault="00000000">
      <w:pPr>
        <w:widowControl/>
        <w:ind w:firstLine="480"/>
        <w:jc w:val="left"/>
      </w:pPr>
      <w:r>
        <w:rPr>
          <w:rFonts w:ascii="Times New Roman" w:eastAsia="宋体" w:hAnsi="Times New Roman" w:cs="Times New Roman" w:hint="eastAsia"/>
        </w:rPr>
        <w:t>施工机械设备日常保养、清洗过程中会产生冲洗废水。</w:t>
      </w:r>
      <w:r>
        <w:rPr>
          <w:rFonts w:ascii="Times New Roman" w:eastAsia="宋体" w:hAnsi="Times New Roman" w:cs="Times New Roman"/>
        </w:rPr>
        <w:t>冲洗废水产生量为</w:t>
      </w:r>
      <w:r>
        <w:rPr>
          <w:rFonts w:ascii="Times New Roman" w:eastAsia="宋体" w:hAnsi="Times New Roman" w:cs="Times New Roman" w:hint="eastAsia"/>
        </w:rPr>
        <w:t>100.8</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 xml:space="preserve"> /</w:t>
      </w:r>
      <w:r>
        <w:rPr>
          <w:rFonts w:ascii="Times New Roman" w:eastAsia="宋体" w:hAnsi="Times New Roman" w:cs="Times New Roman"/>
        </w:rPr>
        <w:t>总工期。施工机械设备冲洗废水收集后经隔油沉淀处理回用于施工场地洒水抑尘及施工设备冲洗，不外排。</w:t>
      </w:r>
      <w:r>
        <w:rPr>
          <w:rFonts w:ascii="宋体" w:eastAsia="宋体" w:hAnsi="宋体" w:cs="宋体" w:hint="eastAsia"/>
          <w:color w:val="000000"/>
          <w:kern w:val="0"/>
          <w:lang w:bidi="ar"/>
        </w:rPr>
        <w:t>项目冲洗废水不会对清淤水库产生影响，对周边地表水环境影响较小。</w:t>
      </w:r>
    </w:p>
    <w:p w14:paraId="7A498150" w14:textId="77777777" w:rsidR="009D12AF" w:rsidRDefault="00000000">
      <w:pPr>
        <w:ind w:firstLine="480"/>
      </w:pPr>
      <w:r>
        <w:rPr>
          <w:rFonts w:hint="eastAsia"/>
        </w:rPr>
        <w:t>3</w:t>
      </w:r>
      <w:r>
        <w:rPr>
          <w:rFonts w:hint="eastAsia"/>
        </w:rPr>
        <w:t>、挖泥船船底油污水</w:t>
      </w:r>
    </w:p>
    <w:p w14:paraId="70F2C91B"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挖泥船在运行过程中，机舱内各种阀件、轮机会滴漏出润滑油、燃油等油污，油污滴到船舱内形成含油废水沉积在舱底，废水产生量为</w:t>
      </w:r>
      <w:r>
        <w:rPr>
          <w:rFonts w:ascii="Times New Roman" w:eastAsia="宋体" w:hAnsi="Times New Roman" w:cs="Times New Roman" w:hint="eastAsia"/>
        </w:rPr>
        <w:t>2016t/</w:t>
      </w:r>
      <w:r>
        <w:rPr>
          <w:rFonts w:ascii="宋体" w:eastAsia="宋体" w:hAnsi="宋体" w:cs="宋体" w:hint="eastAsia"/>
          <w:color w:val="000000"/>
          <w:kern w:val="0"/>
          <w:lang w:bidi="ar"/>
        </w:rPr>
        <w:t>总工期。含油废水中主要含有石油类物质，根据初步设计资料，浓度一般在</w:t>
      </w:r>
      <w:r>
        <w:rPr>
          <w:rFonts w:ascii="Times New Roman" w:eastAsia="宋体" w:hAnsi="Times New Roman" w:cs="Times New Roman" w:hint="eastAsia"/>
        </w:rPr>
        <w:t>200-3000mg/L</w:t>
      </w:r>
      <w:r>
        <w:rPr>
          <w:rFonts w:ascii="宋体" w:eastAsia="宋体" w:hAnsi="宋体" w:cs="宋体" w:hint="eastAsia"/>
          <w:color w:val="000000"/>
          <w:kern w:val="0"/>
          <w:lang w:bidi="ar"/>
        </w:rPr>
        <w:t>。挖泥船船底油污水由从事船舶污染物接收的单位接收处置。项目挖泥船船底油污水不会对清淤水库产生影响，对周边地表水环境影响较小。</w:t>
      </w:r>
    </w:p>
    <w:p w14:paraId="2D19F224" w14:textId="77777777" w:rsidR="009D12AF" w:rsidRDefault="00000000">
      <w:pPr>
        <w:ind w:leftChars="200" w:left="480" w:firstLineChars="0" w:firstLine="0"/>
      </w:pPr>
      <w:r>
        <w:rPr>
          <w:rFonts w:hint="eastAsia"/>
        </w:rPr>
        <w:lastRenderedPageBreak/>
        <w:t>4</w:t>
      </w:r>
      <w:r>
        <w:rPr>
          <w:rFonts w:hint="eastAsia"/>
        </w:rPr>
        <w:t>、清淤工程临时生产区渗滤水</w:t>
      </w:r>
    </w:p>
    <w:p w14:paraId="576B271E"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根据设计单位提供资料，</w:t>
      </w:r>
      <w:r>
        <w:rPr>
          <w:rFonts w:ascii="宋体" w:eastAsia="宋体" w:hAnsi="宋体" w:cs="宋体"/>
          <w:color w:val="000000"/>
          <w:kern w:val="0"/>
          <w:lang w:bidi="ar"/>
        </w:rPr>
        <w:t>清淤采用带水环保绞吸式的施工工艺，含水率按</w:t>
      </w:r>
      <w:r>
        <w:rPr>
          <w:rFonts w:ascii="Times New Roman" w:eastAsia="宋体" w:hAnsi="Times New Roman" w:cs="Times New Roman"/>
        </w:rPr>
        <w:t>95%</w:t>
      </w:r>
      <w:r>
        <w:rPr>
          <w:rFonts w:ascii="宋体" w:eastAsia="宋体" w:hAnsi="宋体" w:cs="宋体"/>
          <w:color w:val="000000"/>
          <w:kern w:val="0"/>
          <w:lang w:bidi="ar"/>
        </w:rPr>
        <w:t>考虑（考虑绞吸过程中抽上来的水量），脱水后预计含水率</w:t>
      </w:r>
      <w:r>
        <w:rPr>
          <w:rFonts w:ascii="Times New Roman" w:eastAsia="宋体" w:hAnsi="Times New Roman" w:cs="Times New Roman" w:hint="eastAsia"/>
        </w:rPr>
        <w:t>60</w:t>
      </w:r>
      <w:r>
        <w:rPr>
          <w:rFonts w:ascii="Times New Roman" w:eastAsia="宋体" w:hAnsi="Times New Roman" w:cs="Times New Roman"/>
        </w:rPr>
        <w:t>%</w:t>
      </w:r>
      <w:r>
        <w:rPr>
          <w:rFonts w:ascii="宋体" w:eastAsia="宋体" w:hAnsi="宋体" w:cs="宋体"/>
          <w:color w:val="000000"/>
          <w:kern w:val="0"/>
          <w:lang w:bidi="ar"/>
        </w:rPr>
        <w:t>。</w:t>
      </w:r>
      <w:r>
        <w:rPr>
          <w:rFonts w:hint="eastAsia"/>
        </w:rPr>
        <w:t>淤泥晾晒风干过程中会产生少量</w:t>
      </w:r>
      <w:r>
        <w:rPr>
          <w:rFonts w:ascii="宋体" w:hAnsi="宋体"/>
        </w:rPr>
        <w:t>渗滤水</w:t>
      </w:r>
      <w:r>
        <w:rPr>
          <w:rFonts w:hint="eastAsia"/>
        </w:rPr>
        <w:t>，</w:t>
      </w:r>
      <w:r>
        <w:rPr>
          <w:rFonts w:ascii="宋体" w:hAnsi="宋体"/>
        </w:rPr>
        <w:t>渗滤水</w:t>
      </w:r>
      <w:r>
        <w:t>产生量按淤泥量的</w:t>
      </w:r>
      <w:r>
        <w:t>5%</w:t>
      </w:r>
      <w:r>
        <w:t>估算，</w:t>
      </w:r>
      <w:r>
        <w:rPr>
          <w:rFonts w:ascii="宋体" w:hAnsi="宋体"/>
        </w:rPr>
        <w:t>约为</w:t>
      </w:r>
      <w:r>
        <w:rPr>
          <w:rFonts w:ascii="TimesNewRomanPSMT" w:hAnsi="TimesNewRomanPSMT" w:hint="eastAsia"/>
        </w:rPr>
        <w:t>30</w:t>
      </w:r>
      <w:r>
        <w:rPr>
          <w:rFonts w:ascii="TimesNewRomanPSMT" w:hAnsi="TimesNewRomanPSMT" w:hint="eastAsia"/>
        </w:rPr>
        <w:t>万</w:t>
      </w:r>
      <w:r>
        <w:t>m</w:t>
      </w:r>
      <w:r>
        <w:rPr>
          <w:vertAlign w:val="superscript"/>
        </w:rPr>
        <w:t>3</w:t>
      </w:r>
      <w:r>
        <w:rPr>
          <w:rFonts w:hint="eastAsia"/>
        </w:rPr>
        <w:t>（群力水库渗滤水产生量为</w:t>
      </w:r>
      <w:r>
        <w:rPr>
          <w:rFonts w:hint="eastAsia"/>
        </w:rPr>
        <w:t>22.25</w:t>
      </w:r>
      <w:r>
        <w:rPr>
          <w:rFonts w:ascii="TimesNewRomanPSMT" w:hAnsi="TimesNewRomanPSMT" w:hint="eastAsia"/>
        </w:rPr>
        <w:t>万</w:t>
      </w:r>
      <w:r>
        <w:t>m</w:t>
      </w:r>
      <w:r>
        <w:rPr>
          <w:vertAlign w:val="superscript"/>
        </w:rPr>
        <w:t>3</w:t>
      </w:r>
      <w:r>
        <w:rPr>
          <w:rFonts w:hint="eastAsia"/>
        </w:rPr>
        <w:t>/</w:t>
      </w:r>
      <w:r>
        <w:rPr>
          <w:rFonts w:hint="eastAsia"/>
        </w:rPr>
        <w:t>总工期，</w:t>
      </w:r>
      <w:r>
        <w:rPr>
          <w:rFonts w:hint="eastAsia"/>
        </w:rPr>
        <w:t>412.037</w:t>
      </w:r>
      <w:r>
        <w:t>m</w:t>
      </w:r>
      <w:r>
        <w:rPr>
          <w:vertAlign w:val="superscript"/>
        </w:rPr>
        <w:t>3</w:t>
      </w:r>
      <w:r>
        <w:rPr>
          <w:rFonts w:hint="eastAsia"/>
        </w:rPr>
        <w:t>/d</w:t>
      </w:r>
      <w:r>
        <w:rPr>
          <w:rFonts w:hint="eastAsia"/>
        </w:rPr>
        <w:t>；万丈水库渗滤水产生量为</w:t>
      </w:r>
      <w:r>
        <w:rPr>
          <w:rFonts w:hint="eastAsia"/>
        </w:rPr>
        <w:t>3.75</w:t>
      </w:r>
      <w:r>
        <w:rPr>
          <w:rFonts w:ascii="TimesNewRomanPSMT" w:hAnsi="TimesNewRomanPSMT" w:hint="eastAsia"/>
        </w:rPr>
        <w:t>万</w:t>
      </w:r>
      <w:r>
        <w:t>m</w:t>
      </w:r>
      <w:r>
        <w:rPr>
          <w:vertAlign w:val="superscript"/>
        </w:rPr>
        <w:t>3</w:t>
      </w:r>
      <w:r>
        <w:rPr>
          <w:rFonts w:hint="eastAsia"/>
        </w:rPr>
        <w:t>/</w:t>
      </w:r>
      <w:r>
        <w:rPr>
          <w:rFonts w:hint="eastAsia"/>
        </w:rPr>
        <w:t>总工期，</w:t>
      </w:r>
      <w:r>
        <w:rPr>
          <w:rFonts w:hint="eastAsia"/>
        </w:rPr>
        <w:t>69.4</w:t>
      </w:r>
      <w:r>
        <w:t>m</w:t>
      </w:r>
      <w:r>
        <w:rPr>
          <w:vertAlign w:val="superscript"/>
        </w:rPr>
        <w:t>3</w:t>
      </w:r>
      <w:r>
        <w:rPr>
          <w:rFonts w:hint="eastAsia"/>
        </w:rPr>
        <w:t>/d</w:t>
      </w:r>
      <w:r>
        <w:rPr>
          <w:rFonts w:hint="eastAsia"/>
        </w:rPr>
        <w:t>；长石水库渗滤水产生量为</w:t>
      </w:r>
      <w:r>
        <w:rPr>
          <w:rFonts w:hint="eastAsia"/>
        </w:rPr>
        <w:t>1</w:t>
      </w:r>
      <w:r>
        <w:rPr>
          <w:rFonts w:ascii="TimesNewRomanPSMT" w:hAnsi="TimesNewRomanPSMT" w:hint="eastAsia"/>
        </w:rPr>
        <w:t>万</w:t>
      </w:r>
      <w:r>
        <w:t>m</w:t>
      </w:r>
      <w:r>
        <w:rPr>
          <w:vertAlign w:val="superscript"/>
        </w:rPr>
        <w:t>3</w:t>
      </w:r>
      <w:r>
        <w:rPr>
          <w:rFonts w:hint="eastAsia"/>
        </w:rPr>
        <w:t>/</w:t>
      </w:r>
      <w:r>
        <w:rPr>
          <w:rFonts w:hint="eastAsia"/>
        </w:rPr>
        <w:t>总工期，</w:t>
      </w:r>
      <w:r>
        <w:rPr>
          <w:rFonts w:hint="eastAsia"/>
        </w:rPr>
        <w:t>37</w:t>
      </w:r>
      <w:r>
        <w:t>m</w:t>
      </w:r>
      <w:r>
        <w:rPr>
          <w:vertAlign w:val="superscript"/>
        </w:rPr>
        <w:t>3</w:t>
      </w:r>
      <w:r>
        <w:rPr>
          <w:rFonts w:hint="eastAsia"/>
        </w:rPr>
        <w:t>/d</w:t>
      </w:r>
      <w:r>
        <w:rPr>
          <w:rFonts w:hint="eastAsia"/>
        </w:rPr>
        <w:t>；新安晒水池渗滤水产生量为</w:t>
      </w:r>
      <w:r>
        <w:rPr>
          <w:rFonts w:hint="eastAsia"/>
        </w:rPr>
        <w:t>1.2</w:t>
      </w:r>
      <w:r>
        <w:rPr>
          <w:rFonts w:ascii="TimesNewRomanPSMT" w:hAnsi="TimesNewRomanPSMT" w:hint="eastAsia"/>
        </w:rPr>
        <w:t>万</w:t>
      </w:r>
      <w:r>
        <w:t>m</w:t>
      </w:r>
      <w:r>
        <w:rPr>
          <w:vertAlign w:val="superscript"/>
        </w:rPr>
        <w:t>3</w:t>
      </w:r>
      <w:r>
        <w:rPr>
          <w:rFonts w:hint="eastAsia"/>
        </w:rPr>
        <w:t>/</w:t>
      </w:r>
      <w:r>
        <w:rPr>
          <w:rFonts w:hint="eastAsia"/>
        </w:rPr>
        <w:t>总工期，</w:t>
      </w:r>
      <w:r>
        <w:rPr>
          <w:rFonts w:hint="eastAsia"/>
        </w:rPr>
        <w:t>44.4</w:t>
      </w:r>
      <w:r>
        <w:t>m</w:t>
      </w:r>
      <w:r>
        <w:rPr>
          <w:vertAlign w:val="superscript"/>
        </w:rPr>
        <w:t>3</w:t>
      </w:r>
      <w:r>
        <w:rPr>
          <w:rFonts w:hint="eastAsia"/>
        </w:rPr>
        <w:t>/d</w:t>
      </w:r>
      <w:r>
        <w:rPr>
          <w:rFonts w:hint="eastAsia"/>
        </w:rPr>
        <w:t>；向阳水电站前池渗滤水产生量为</w:t>
      </w:r>
      <w:r>
        <w:rPr>
          <w:rFonts w:hint="eastAsia"/>
        </w:rPr>
        <w:t>1.8</w:t>
      </w:r>
      <w:r>
        <w:rPr>
          <w:rFonts w:ascii="TimesNewRomanPSMT" w:hAnsi="TimesNewRomanPSMT" w:hint="eastAsia"/>
        </w:rPr>
        <w:t>万</w:t>
      </w:r>
      <w:r>
        <w:t>m</w:t>
      </w:r>
      <w:r>
        <w:rPr>
          <w:vertAlign w:val="superscript"/>
        </w:rPr>
        <w:t>3</w:t>
      </w:r>
      <w:r>
        <w:rPr>
          <w:rFonts w:hint="eastAsia"/>
        </w:rPr>
        <w:t>/</w:t>
      </w:r>
      <w:r>
        <w:rPr>
          <w:rFonts w:hint="eastAsia"/>
        </w:rPr>
        <w:t>总工期，</w:t>
      </w:r>
      <w:r>
        <w:rPr>
          <w:rFonts w:hint="eastAsia"/>
        </w:rPr>
        <w:t>66.6</w:t>
      </w:r>
      <w:r>
        <w:t>m</w:t>
      </w:r>
      <w:r>
        <w:rPr>
          <w:vertAlign w:val="superscript"/>
        </w:rPr>
        <w:t>3</w:t>
      </w:r>
      <w:r>
        <w:rPr>
          <w:rFonts w:hint="eastAsia"/>
        </w:rPr>
        <w:t>/d</w:t>
      </w:r>
      <w:r>
        <w:rPr>
          <w:rFonts w:hint="eastAsia"/>
        </w:rPr>
        <w:t>）</w:t>
      </w:r>
      <w:r>
        <w:rPr>
          <w:rFonts w:ascii="宋体" w:hAnsi="宋体"/>
        </w:rPr>
        <w:t>，</w:t>
      </w:r>
      <w:r>
        <w:rPr>
          <w:rFonts w:ascii="宋体" w:eastAsia="宋体" w:hAnsi="宋体" w:cs="宋体"/>
          <w:color w:val="000000"/>
          <w:kern w:val="0"/>
          <w:lang w:bidi="ar"/>
        </w:rPr>
        <w:t>因此，淤泥固化尾水排放量为</w:t>
      </w:r>
      <w:r>
        <w:rPr>
          <w:rFonts w:ascii="Times New Roman" w:eastAsia="宋体" w:hAnsi="Times New Roman" w:cs="Times New Roman" w:hint="eastAsia"/>
        </w:rPr>
        <w:t>30</w:t>
      </w:r>
      <w:r>
        <w:rPr>
          <w:rFonts w:ascii="宋体" w:eastAsia="宋体" w:hAnsi="宋体" w:cs="宋体"/>
          <w:color w:val="000000"/>
          <w:kern w:val="0"/>
          <w:lang w:bidi="ar"/>
        </w:rPr>
        <w:t>万</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hint="eastAsia"/>
        </w:rPr>
        <w:t>/</w:t>
      </w:r>
      <w:r>
        <w:rPr>
          <w:rFonts w:ascii="宋体" w:eastAsia="宋体" w:hAnsi="宋体" w:cs="宋体" w:hint="eastAsia"/>
          <w:color w:val="000000"/>
          <w:kern w:val="0"/>
          <w:lang w:bidi="ar"/>
        </w:rPr>
        <w:t>施工期</w:t>
      </w:r>
      <w:r>
        <w:rPr>
          <w:rFonts w:ascii="宋体" w:eastAsia="宋体" w:hAnsi="宋体" w:cs="宋体"/>
          <w:color w:val="000000"/>
          <w:kern w:val="0"/>
          <w:lang w:bidi="ar"/>
        </w:rPr>
        <w:t>，总施工周期为</w:t>
      </w:r>
      <w:r>
        <w:rPr>
          <w:rFonts w:ascii="Times New Roman" w:eastAsia="宋体" w:hAnsi="Times New Roman" w:cs="Times New Roman" w:hint="eastAsia"/>
        </w:rPr>
        <w:t>63</w:t>
      </w:r>
      <w:r>
        <w:rPr>
          <w:rFonts w:ascii="宋体" w:eastAsia="宋体" w:hAnsi="宋体" w:cs="宋体"/>
          <w:color w:val="000000"/>
          <w:kern w:val="0"/>
          <w:lang w:bidi="ar"/>
        </w:rPr>
        <w:t>个月</w:t>
      </w:r>
      <w:r>
        <w:rPr>
          <w:rFonts w:ascii="宋体" w:eastAsia="宋体" w:hAnsi="宋体" w:cs="宋体" w:hint="eastAsia"/>
          <w:color w:val="000000"/>
          <w:kern w:val="0"/>
          <w:lang w:bidi="ar"/>
        </w:rPr>
        <w:t>。</w:t>
      </w:r>
    </w:p>
    <w:p w14:paraId="44C89426" w14:textId="77777777" w:rsidR="009D12AF" w:rsidRDefault="00000000">
      <w:pPr>
        <w:ind w:firstLine="480"/>
      </w:pPr>
      <w:r>
        <w:rPr>
          <w:rFonts w:hint="eastAsia"/>
        </w:rPr>
        <w:t>渗滤</w:t>
      </w:r>
      <w:r>
        <w:t>水的主要污染物是</w:t>
      </w:r>
      <w:r>
        <w:t>SS</w:t>
      </w:r>
      <w:r>
        <w:t>、</w:t>
      </w:r>
      <w:r>
        <w:t>COD</w:t>
      </w:r>
      <w:r>
        <w:t>、</w:t>
      </w:r>
      <w:r>
        <w:t xml:space="preserve">TN </w:t>
      </w:r>
      <w:r>
        <w:t>和</w:t>
      </w:r>
      <w:r>
        <w:t>TP</w:t>
      </w:r>
      <w:r>
        <w:t>。余水在临时</w:t>
      </w:r>
      <w:r>
        <w:rPr>
          <w:rFonts w:hint="eastAsia"/>
        </w:rPr>
        <w:t>生产</w:t>
      </w:r>
      <w:r>
        <w:t>内经自然沉淀后进入余水沉淀池</w:t>
      </w:r>
      <w:r>
        <w:rPr>
          <w:rFonts w:hint="eastAsia"/>
        </w:rPr>
        <w:t>投放混凝剂</w:t>
      </w:r>
      <w:r>
        <w:t>进行环保混凝沉淀处理，</w:t>
      </w:r>
      <w:r>
        <w:rPr>
          <w:rFonts w:hint="eastAsia"/>
        </w:rPr>
        <w:t>达到《污水综合排放标准》（</w:t>
      </w:r>
      <w:r>
        <w:rPr>
          <w:rFonts w:hint="eastAsia"/>
        </w:rPr>
        <w:t>GB8978-1996</w:t>
      </w:r>
      <w:r>
        <w:rPr>
          <w:rFonts w:hint="eastAsia"/>
        </w:rPr>
        <w:t>）一级标准，由牡丹江龙江环保水务有限公司定期拉运处理</w:t>
      </w:r>
      <w:r>
        <w:t>。</w:t>
      </w:r>
    </w:p>
    <w:p w14:paraId="5DE83F02" w14:textId="77777777" w:rsidR="009D12AF" w:rsidRDefault="00000000">
      <w:pPr>
        <w:ind w:firstLine="480"/>
      </w:pPr>
      <w:r>
        <w:rPr>
          <w:rFonts w:hint="eastAsia"/>
        </w:rPr>
        <w:t>5</w:t>
      </w:r>
      <w:r>
        <w:rPr>
          <w:rFonts w:hint="eastAsia"/>
        </w:rPr>
        <w:t>、牡丹江龙江环保水务有限公司依托可行性分析</w:t>
      </w:r>
    </w:p>
    <w:p w14:paraId="31C61B53" w14:textId="77777777" w:rsidR="009D12AF" w:rsidRDefault="00000000">
      <w:pPr>
        <w:ind w:firstLine="480"/>
      </w:pPr>
      <w:r>
        <w:rPr>
          <w:rFonts w:hint="eastAsia"/>
        </w:rPr>
        <w:t>牡丹江龙江环保水务有限公司，污水处理厂总设计规模</w:t>
      </w:r>
      <w:r>
        <w:rPr>
          <w:rFonts w:hint="eastAsia"/>
        </w:rPr>
        <w:t>30</w:t>
      </w:r>
      <w:r>
        <w:rPr>
          <w:rFonts w:hint="eastAsia"/>
        </w:rPr>
        <w:t>万吨</w:t>
      </w:r>
      <w:r>
        <w:rPr>
          <w:rFonts w:hint="eastAsia"/>
        </w:rPr>
        <w:t>/</w:t>
      </w:r>
      <w:r>
        <w:rPr>
          <w:rFonts w:hint="eastAsia"/>
        </w:rPr>
        <w:t>日，实际日处理能力约为设计处理能力的</w:t>
      </w:r>
      <w:r>
        <w:rPr>
          <w:rFonts w:hint="eastAsia"/>
        </w:rPr>
        <w:t>80%</w:t>
      </w:r>
      <w:r>
        <w:rPr>
          <w:rFonts w:hint="eastAsia"/>
        </w:rPr>
        <w:t>。牡丹江龙江环保水务有限公司位于牡丹江市阳明区裕民路</w:t>
      </w:r>
      <w:r>
        <w:rPr>
          <w:rFonts w:hint="eastAsia"/>
        </w:rPr>
        <w:t>198</w:t>
      </w:r>
      <w:r>
        <w:rPr>
          <w:rFonts w:hint="eastAsia"/>
        </w:rPr>
        <w:t>号。采用外加碳源、辅助化学除磷的改良</w:t>
      </w:r>
      <w:r>
        <w:rPr>
          <w:rFonts w:hint="eastAsia"/>
        </w:rPr>
        <w:t>A/A/O</w:t>
      </w:r>
      <w:r>
        <w:rPr>
          <w:rFonts w:hint="eastAsia"/>
        </w:rPr>
        <w:t>工艺，出水执行《城镇污水处理厂污染物排放标准》（</w:t>
      </w:r>
      <w:r>
        <w:rPr>
          <w:rFonts w:hint="eastAsia"/>
        </w:rPr>
        <w:t>GB18918-2002</w:t>
      </w:r>
      <w:r>
        <w:rPr>
          <w:rFonts w:hint="eastAsia"/>
        </w:rPr>
        <w:t>）中一级</w:t>
      </w:r>
      <w:r>
        <w:rPr>
          <w:rFonts w:hint="eastAsia"/>
        </w:rPr>
        <w:t>A</w:t>
      </w:r>
      <w:r>
        <w:rPr>
          <w:rFonts w:hint="eastAsia"/>
        </w:rPr>
        <w:t>标准，污染物排放浓满足《污水综合排放标准》（</w:t>
      </w:r>
      <w:r>
        <w:rPr>
          <w:rFonts w:hint="eastAsia"/>
        </w:rPr>
        <w:t>GB8978-1996</w:t>
      </w:r>
      <w:r>
        <w:rPr>
          <w:rFonts w:hint="eastAsia"/>
        </w:rPr>
        <w:t>）表</w:t>
      </w:r>
      <w:r>
        <w:rPr>
          <w:rFonts w:hint="eastAsia"/>
        </w:rPr>
        <w:t>4</w:t>
      </w:r>
      <w:r>
        <w:rPr>
          <w:rFonts w:hint="eastAsia"/>
        </w:rPr>
        <w:t>中的一级标准，符合牡丹江龙江环保水务有限公司进水水质要求，牡丹江龙江环保水务有限公司已于</w:t>
      </w:r>
      <w:r>
        <w:rPr>
          <w:rFonts w:hint="eastAsia"/>
        </w:rPr>
        <w:t>2023</w:t>
      </w:r>
      <w:r>
        <w:rPr>
          <w:rFonts w:hint="eastAsia"/>
        </w:rPr>
        <w:t>年</w:t>
      </w:r>
      <w:r>
        <w:rPr>
          <w:rFonts w:hint="eastAsia"/>
        </w:rPr>
        <w:t>6</w:t>
      </w:r>
      <w:r>
        <w:rPr>
          <w:rFonts w:hint="eastAsia"/>
        </w:rPr>
        <w:t>年</w:t>
      </w:r>
      <w:r>
        <w:rPr>
          <w:rFonts w:hint="eastAsia"/>
        </w:rPr>
        <w:t>12</w:t>
      </w:r>
      <w:r>
        <w:rPr>
          <w:rFonts w:hint="eastAsia"/>
        </w:rPr>
        <w:t>日取得牡丹江市生态环境局颁发的排污许可证，排污许可证书编号</w:t>
      </w:r>
      <w:r>
        <w:rPr>
          <w:rFonts w:hint="eastAsia"/>
        </w:rPr>
        <w:t>912310006638516152001W</w:t>
      </w:r>
      <w:r>
        <w:rPr>
          <w:rFonts w:hint="eastAsia"/>
        </w:rPr>
        <w:t>，有效期限：自</w:t>
      </w:r>
      <w:r>
        <w:rPr>
          <w:rFonts w:hint="eastAsia"/>
        </w:rPr>
        <w:t>2023</w:t>
      </w:r>
      <w:r>
        <w:rPr>
          <w:rFonts w:hint="eastAsia"/>
        </w:rPr>
        <w:t>年</w:t>
      </w:r>
      <w:r>
        <w:rPr>
          <w:rFonts w:hint="eastAsia"/>
        </w:rPr>
        <w:t>06</w:t>
      </w:r>
      <w:r>
        <w:rPr>
          <w:rFonts w:hint="eastAsia"/>
        </w:rPr>
        <w:t>月</w:t>
      </w:r>
      <w:r>
        <w:rPr>
          <w:rFonts w:hint="eastAsia"/>
        </w:rPr>
        <w:t>12</w:t>
      </w:r>
      <w:r>
        <w:rPr>
          <w:rFonts w:hint="eastAsia"/>
        </w:rPr>
        <w:t>日起至</w:t>
      </w:r>
      <w:r>
        <w:rPr>
          <w:rFonts w:hint="eastAsia"/>
        </w:rPr>
        <w:t>2028</w:t>
      </w:r>
      <w:r>
        <w:rPr>
          <w:rFonts w:hint="eastAsia"/>
        </w:rPr>
        <w:t>年</w:t>
      </w:r>
      <w:r>
        <w:rPr>
          <w:rFonts w:hint="eastAsia"/>
        </w:rPr>
        <w:t>06</w:t>
      </w:r>
      <w:r>
        <w:rPr>
          <w:rFonts w:hint="eastAsia"/>
        </w:rPr>
        <w:t>月</w:t>
      </w:r>
      <w:r>
        <w:rPr>
          <w:rFonts w:hint="eastAsia"/>
        </w:rPr>
        <w:t>11</w:t>
      </w:r>
      <w:r>
        <w:rPr>
          <w:rFonts w:hint="eastAsia"/>
        </w:rPr>
        <w:t>日止，行业类别为污水处理及其再生利用，根据牡丹江龙江环保水务有限公司排污许可年度执行报告，现污水处理厂运行正常，可稳定达标。本项目排放的余水主要是清淤底泥沉淀产生的余水，群力水库渗滤水产生量为</w:t>
      </w:r>
      <w:r>
        <w:rPr>
          <w:rFonts w:hint="eastAsia"/>
        </w:rPr>
        <w:t>22.25</w:t>
      </w:r>
      <w:r>
        <w:rPr>
          <w:rFonts w:ascii="TimesNewRomanPSMT" w:hAnsi="TimesNewRomanPSMT" w:hint="eastAsia"/>
        </w:rPr>
        <w:t>万</w:t>
      </w:r>
      <w:r>
        <w:t>m</w:t>
      </w:r>
      <w:r>
        <w:rPr>
          <w:vertAlign w:val="superscript"/>
        </w:rPr>
        <w:t>3</w:t>
      </w:r>
      <w:r>
        <w:rPr>
          <w:rFonts w:hint="eastAsia"/>
        </w:rPr>
        <w:t>/</w:t>
      </w:r>
      <w:r>
        <w:rPr>
          <w:rFonts w:hint="eastAsia"/>
        </w:rPr>
        <w:t>总工期，</w:t>
      </w:r>
      <w:r>
        <w:rPr>
          <w:rFonts w:hint="eastAsia"/>
        </w:rPr>
        <w:t>412.037</w:t>
      </w:r>
      <w:r>
        <w:t>m</w:t>
      </w:r>
      <w:r>
        <w:rPr>
          <w:vertAlign w:val="superscript"/>
        </w:rPr>
        <w:t>3</w:t>
      </w:r>
      <w:r>
        <w:rPr>
          <w:rFonts w:hint="eastAsia"/>
        </w:rPr>
        <w:t>/d</w:t>
      </w:r>
      <w:r>
        <w:rPr>
          <w:rFonts w:hint="eastAsia"/>
        </w:rPr>
        <w:t>；万丈水库渗滤水产生量为</w:t>
      </w:r>
      <w:r>
        <w:rPr>
          <w:rFonts w:hint="eastAsia"/>
        </w:rPr>
        <w:t>3.75</w:t>
      </w:r>
      <w:r>
        <w:rPr>
          <w:rFonts w:ascii="TimesNewRomanPSMT" w:hAnsi="TimesNewRomanPSMT" w:hint="eastAsia"/>
        </w:rPr>
        <w:t>万</w:t>
      </w:r>
      <w:r>
        <w:t>m</w:t>
      </w:r>
      <w:r>
        <w:rPr>
          <w:vertAlign w:val="superscript"/>
        </w:rPr>
        <w:t>3</w:t>
      </w:r>
      <w:r>
        <w:rPr>
          <w:rFonts w:hint="eastAsia"/>
        </w:rPr>
        <w:t>/</w:t>
      </w:r>
      <w:r>
        <w:rPr>
          <w:rFonts w:hint="eastAsia"/>
        </w:rPr>
        <w:t>总工期，</w:t>
      </w:r>
      <w:r>
        <w:rPr>
          <w:rFonts w:hint="eastAsia"/>
        </w:rPr>
        <w:t>69.4</w:t>
      </w:r>
      <w:r>
        <w:t>m</w:t>
      </w:r>
      <w:r>
        <w:rPr>
          <w:vertAlign w:val="superscript"/>
        </w:rPr>
        <w:t>3</w:t>
      </w:r>
      <w:r>
        <w:rPr>
          <w:rFonts w:hint="eastAsia"/>
        </w:rPr>
        <w:t>/d</w:t>
      </w:r>
      <w:r>
        <w:rPr>
          <w:rFonts w:hint="eastAsia"/>
        </w:rPr>
        <w:t>；长石水库渗滤水产生量为</w:t>
      </w:r>
      <w:r>
        <w:rPr>
          <w:rFonts w:hint="eastAsia"/>
        </w:rPr>
        <w:t>1</w:t>
      </w:r>
      <w:r>
        <w:rPr>
          <w:rFonts w:ascii="TimesNewRomanPSMT" w:hAnsi="TimesNewRomanPSMT" w:hint="eastAsia"/>
        </w:rPr>
        <w:t>万</w:t>
      </w:r>
      <w:r>
        <w:t>m</w:t>
      </w:r>
      <w:r>
        <w:rPr>
          <w:vertAlign w:val="superscript"/>
        </w:rPr>
        <w:t>3</w:t>
      </w:r>
      <w:r>
        <w:rPr>
          <w:rFonts w:hint="eastAsia"/>
        </w:rPr>
        <w:t>/</w:t>
      </w:r>
      <w:r>
        <w:rPr>
          <w:rFonts w:hint="eastAsia"/>
        </w:rPr>
        <w:t>总工期，</w:t>
      </w:r>
      <w:r>
        <w:rPr>
          <w:rFonts w:hint="eastAsia"/>
        </w:rPr>
        <w:t>37</w:t>
      </w:r>
      <w:r>
        <w:t>m</w:t>
      </w:r>
      <w:r>
        <w:rPr>
          <w:vertAlign w:val="superscript"/>
        </w:rPr>
        <w:t>3</w:t>
      </w:r>
      <w:r>
        <w:rPr>
          <w:rFonts w:hint="eastAsia"/>
        </w:rPr>
        <w:t>/d</w:t>
      </w:r>
      <w:r>
        <w:rPr>
          <w:rFonts w:hint="eastAsia"/>
        </w:rPr>
        <w:t>；新安晒水池渗滤水产生量为</w:t>
      </w:r>
      <w:r>
        <w:rPr>
          <w:rFonts w:hint="eastAsia"/>
        </w:rPr>
        <w:t>1.2</w:t>
      </w:r>
      <w:r>
        <w:rPr>
          <w:rFonts w:ascii="TimesNewRomanPSMT" w:hAnsi="TimesNewRomanPSMT" w:hint="eastAsia"/>
        </w:rPr>
        <w:t>万</w:t>
      </w:r>
      <w:r>
        <w:t>m</w:t>
      </w:r>
      <w:r>
        <w:rPr>
          <w:vertAlign w:val="superscript"/>
        </w:rPr>
        <w:t>3</w:t>
      </w:r>
      <w:r>
        <w:rPr>
          <w:rFonts w:hint="eastAsia"/>
        </w:rPr>
        <w:t>/</w:t>
      </w:r>
      <w:r>
        <w:rPr>
          <w:rFonts w:hint="eastAsia"/>
        </w:rPr>
        <w:t>总工期，</w:t>
      </w:r>
      <w:r>
        <w:rPr>
          <w:rFonts w:hint="eastAsia"/>
        </w:rPr>
        <w:t>44.4</w:t>
      </w:r>
      <w:r>
        <w:t>m</w:t>
      </w:r>
      <w:r>
        <w:rPr>
          <w:vertAlign w:val="superscript"/>
        </w:rPr>
        <w:t>3</w:t>
      </w:r>
      <w:r>
        <w:rPr>
          <w:rFonts w:hint="eastAsia"/>
        </w:rPr>
        <w:t>/d</w:t>
      </w:r>
      <w:r>
        <w:rPr>
          <w:rFonts w:hint="eastAsia"/>
        </w:rPr>
        <w:t>；向阳水电站前池渗滤水产生量为</w:t>
      </w:r>
      <w:r>
        <w:rPr>
          <w:rFonts w:hint="eastAsia"/>
        </w:rPr>
        <w:t>1.8</w:t>
      </w:r>
      <w:r>
        <w:rPr>
          <w:rFonts w:ascii="TimesNewRomanPSMT" w:hAnsi="TimesNewRomanPSMT" w:hint="eastAsia"/>
        </w:rPr>
        <w:t>万</w:t>
      </w:r>
      <w:r>
        <w:t>m</w:t>
      </w:r>
      <w:r>
        <w:rPr>
          <w:vertAlign w:val="superscript"/>
        </w:rPr>
        <w:t>3</w:t>
      </w:r>
      <w:r>
        <w:rPr>
          <w:rFonts w:hint="eastAsia"/>
        </w:rPr>
        <w:t>/</w:t>
      </w:r>
      <w:r>
        <w:rPr>
          <w:rFonts w:hint="eastAsia"/>
        </w:rPr>
        <w:t>总工期，</w:t>
      </w:r>
      <w:r>
        <w:rPr>
          <w:rFonts w:hint="eastAsia"/>
        </w:rPr>
        <w:t>66.6</w:t>
      </w:r>
      <w:r>
        <w:t>m</w:t>
      </w:r>
      <w:r>
        <w:rPr>
          <w:vertAlign w:val="superscript"/>
        </w:rPr>
        <w:t>3</w:t>
      </w:r>
      <w:r>
        <w:rPr>
          <w:rFonts w:hint="eastAsia"/>
        </w:rPr>
        <w:t>/d</w:t>
      </w:r>
      <w:r>
        <w:rPr>
          <w:rFonts w:hint="eastAsia"/>
        </w:rPr>
        <w:t>，污水处理站目前尚有余量</w:t>
      </w:r>
      <w:r>
        <w:rPr>
          <w:rFonts w:hint="eastAsia"/>
        </w:rPr>
        <w:t>6</w:t>
      </w:r>
      <w:r>
        <w:rPr>
          <w:rFonts w:hint="eastAsia"/>
        </w:rPr>
        <w:t>万</w:t>
      </w:r>
      <w:r>
        <w:rPr>
          <w:rFonts w:hint="eastAsia"/>
        </w:rPr>
        <w:t>m</w:t>
      </w:r>
      <w:r>
        <w:rPr>
          <w:rFonts w:hint="eastAsia"/>
          <w:vertAlign w:val="superscript"/>
        </w:rPr>
        <w:t>3</w:t>
      </w:r>
      <w:r>
        <w:rPr>
          <w:rFonts w:hint="eastAsia"/>
        </w:rPr>
        <w:t xml:space="preserve"> /d</w:t>
      </w:r>
      <w:r>
        <w:rPr>
          <w:rFonts w:hint="eastAsia"/>
        </w:rPr>
        <w:t>。因此，依托牡丹江龙江环保水务有限公司可行。</w:t>
      </w:r>
    </w:p>
    <w:p w14:paraId="181312B3" w14:textId="77777777" w:rsidR="009D12AF" w:rsidRDefault="00000000">
      <w:pPr>
        <w:ind w:firstLine="480"/>
      </w:pPr>
      <w:r>
        <w:rPr>
          <w:rFonts w:hint="eastAsia"/>
        </w:rPr>
        <w:lastRenderedPageBreak/>
        <w:t>6</w:t>
      </w:r>
      <w:r>
        <w:rPr>
          <w:rFonts w:hint="eastAsia"/>
        </w:rPr>
        <w:t>、清理扰动废水减缓措施</w:t>
      </w:r>
    </w:p>
    <w:p w14:paraId="2EC124CF" w14:textId="77777777" w:rsidR="009D12AF" w:rsidRDefault="00000000">
      <w:pPr>
        <w:widowControl/>
        <w:ind w:firstLine="480"/>
        <w:jc w:val="left"/>
      </w:pPr>
      <w:r>
        <w:rPr>
          <w:rFonts w:ascii="宋体" w:eastAsia="宋体" w:hAnsi="宋体" w:cs="宋体" w:hint="eastAsia"/>
          <w:color w:val="000000"/>
          <w:kern w:val="0"/>
          <w:lang w:bidi="ar"/>
        </w:rPr>
        <w:t>（1）库区清淤严格限制底泥开挖扰动扩散，除必须采用专用环保绞刀进行密封开挖外设置拦污栅、投放混凝剂等措施，还需结合以下工程施工措施，确保二次污染控制在最小的范围内，以降低对水体的影响。</w:t>
      </w:r>
    </w:p>
    <w:p w14:paraId="42ADF37D" w14:textId="77777777" w:rsidR="009D12AF" w:rsidRDefault="00000000">
      <w:pPr>
        <w:ind w:firstLineChars="236" w:firstLine="566"/>
      </w:pPr>
      <w:r>
        <w:t>（</w:t>
      </w:r>
      <w:r>
        <w:t>2</w:t>
      </w:r>
      <w:r>
        <w:t>）</w:t>
      </w:r>
      <w:r>
        <w:rPr>
          <w:rFonts w:hint="eastAsia"/>
        </w:rPr>
        <w:t>采用薄层开挖法施工，开挖厚度是建立在额定转速、泵吸浓度、绞刀净深协调平衡的基础上，避免出现泥量过大产生逃泥，泥量过小产生效率太低的情况、薄层开挖法可保证库底底泥被充分吸取，降低浮淤扩散几率，同时也有利提高开挖精度。</w:t>
      </w:r>
    </w:p>
    <w:p w14:paraId="2662D788" w14:textId="77777777" w:rsidR="009D12AF" w:rsidRDefault="00000000">
      <w:pPr>
        <w:widowControl/>
        <w:ind w:firstLine="480"/>
        <w:jc w:val="left"/>
      </w:pPr>
      <w:r>
        <w:t>（</w:t>
      </w:r>
      <w:r>
        <w:t>3</w:t>
      </w:r>
      <w:r>
        <w:t>）</w:t>
      </w:r>
      <w:r>
        <w:rPr>
          <w:rFonts w:ascii="宋体" w:eastAsia="宋体" w:hAnsi="宋体" w:cs="宋体" w:hint="eastAsia"/>
          <w:color w:val="000000"/>
          <w:kern w:val="0"/>
          <w:lang w:bidi="ar"/>
        </w:rPr>
        <w:t>采取机械限速操作：通过工程前清淤试验监测成果，综合选定挖泥船绞刀转速、推进速度、横移速度，以确保水质安全。</w:t>
      </w:r>
    </w:p>
    <w:p w14:paraId="38F33D12" w14:textId="77777777" w:rsidR="009D12AF" w:rsidRDefault="00000000">
      <w:pPr>
        <w:widowControl/>
        <w:ind w:firstLine="480"/>
        <w:jc w:val="left"/>
      </w:pPr>
      <w:r>
        <w:t>（</w:t>
      </w:r>
      <w:r>
        <w:t>4</w:t>
      </w:r>
      <w:r>
        <w:t>）</w:t>
      </w:r>
      <w:r>
        <w:rPr>
          <w:rFonts w:ascii="宋体" w:eastAsia="宋体" w:hAnsi="宋体" w:cs="宋体" w:hint="eastAsia"/>
          <w:color w:val="000000"/>
          <w:kern w:val="0"/>
          <w:lang w:bidi="ar"/>
        </w:rPr>
        <w:t>项目施工在枯水期进行，根据清理区的实际地形地貌、大小、形状、清淤物厚度等情况，采用分区清理、分层开挖、分段施工。</w:t>
      </w:r>
    </w:p>
    <w:p w14:paraId="667AAC03" w14:textId="77777777" w:rsidR="009D12AF" w:rsidRDefault="00000000">
      <w:pPr>
        <w:widowControl/>
        <w:ind w:firstLine="480"/>
        <w:jc w:val="left"/>
        <w:rPr>
          <w:rFonts w:ascii="宋体" w:eastAsia="宋体" w:hAnsi="宋体" w:cs="宋体" w:hint="eastAsia"/>
          <w:color w:val="000000"/>
          <w:kern w:val="0"/>
          <w:lang w:bidi="ar"/>
        </w:rPr>
      </w:pPr>
      <w:r>
        <w:t>（</w:t>
      </w:r>
      <w:r>
        <w:t>5</w:t>
      </w:r>
      <w:r>
        <w:t>）</w:t>
      </w:r>
      <w:r>
        <w:rPr>
          <w:rFonts w:ascii="宋体" w:eastAsia="宋体" w:hAnsi="宋体" w:cs="宋体" w:hint="eastAsia"/>
          <w:color w:val="000000"/>
          <w:kern w:val="0"/>
          <w:lang w:bidi="ar"/>
        </w:rPr>
        <w:t xml:space="preserve">动态监测：工程实施之前，对施工区的水质进行抽样检测，清淤期间，在挖泥船周围和库取水口附近布设水质监测点，严密监测水体中的各项污染物指标变化，由于该区域可能存在一定施工流速，需根据水质变化检测数据进一步控制挖泥船左右横移速度、绞刀转速等操作参数，以保证水质安全。并在距离取水口 </w:t>
      </w:r>
      <w:r>
        <w:rPr>
          <w:rFonts w:ascii="Times New Roman" w:eastAsia="宋体" w:hAnsi="Times New Roman" w:cs="Times New Roman"/>
          <w:color w:val="000000"/>
          <w:kern w:val="0"/>
          <w:lang w:bidi="ar"/>
        </w:rPr>
        <w:t>5m</w:t>
      </w:r>
      <w:r>
        <w:rPr>
          <w:rFonts w:ascii="宋体" w:eastAsia="宋体" w:hAnsi="宋体" w:cs="宋体" w:hint="eastAsia"/>
          <w:color w:val="000000"/>
          <w:kern w:val="0"/>
          <w:lang w:bidi="ar"/>
        </w:rPr>
        <w:t>、</w:t>
      </w:r>
      <w:r>
        <w:rPr>
          <w:rFonts w:ascii="Times New Roman" w:eastAsia="宋体" w:hAnsi="Times New Roman" w:cs="Times New Roman"/>
          <w:color w:val="000000"/>
          <w:kern w:val="0"/>
          <w:lang w:bidi="ar"/>
        </w:rPr>
        <w:t>10m</w:t>
      </w:r>
      <w:r>
        <w:rPr>
          <w:rFonts w:ascii="宋体" w:eastAsia="宋体" w:hAnsi="宋体" w:cs="宋体" w:hint="eastAsia"/>
          <w:color w:val="000000"/>
          <w:kern w:val="0"/>
          <w:lang w:bidi="ar"/>
        </w:rPr>
        <w:t>、</w:t>
      </w:r>
      <w:r>
        <w:rPr>
          <w:rFonts w:ascii="Times New Roman" w:eastAsia="宋体" w:hAnsi="Times New Roman" w:cs="Times New Roman"/>
          <w:color w:val="000000"/>
          <w:kern w:val="0"/>
          <w:lang w:bidi="ar"/>
        </w:rPr>
        <w:t>20m</w:t>
      </w:r>
      <w:r>
        <w:rPr>
          <w:rFonts w:ascii="宋体" w:eastAsia="宋体" w:hAnsi="宋体" w:cs="宋体" w:hint="eastAsia"/>
          <w:color w:val="000000"/>
          <w:kern w:val="0"/>
          <w:lang w:bidi="ar"/>
        </w:rPr>
        <w:t>、</w:t>
      </w:r>
      <w:r>
        <w:rPr>
          <w:rFonts w:ascii="Times New Roman" w:eastAsia="宋体" w:hAnsi="Times New Roman" w:cs="Times New Roman"/>
          <w:color w:val="000000"/>
          <w:kern w:val="0"/>
          <w:lang w:bidi="ar"/>
        </w:rPr>
        <w:t>50m</w:t>
      </w:r>
      <w:r>
        <w:rPr>
          <w:rFonts w:ascii="宋体" w:eastAsia="宋体" w:hAnsi="宋体" w:cs="宋体" w:hint="eastAsia"/>
          <w:color w:val="000000"/>
          <w:kern w:val="0"/>
          <w:lang w:bidi="ar"/>
        </w:rPr>
        <w:t>、</w:t>
      </w:r>
      <w:r>
        <w:rPr>
          <w:rFonts w:ascii="Times New Roman" w:eastAsia="宋体" w:hAnsi="Times New Roman" w:cs="Times New Roman"/>
          <w:color w:val="000000"/>
          <w:kern w:val="0"/>
          <w:lang w:bidi="ar"/>
        </w:rPr>
        <w:t xml:space="preserve">100m </w:t>
      </w:r>
      <w:r>
        <w:rPr>
          <w:rFonts w:ascii="宋体" w:eastAsia="宋体" w:hAnsi="宋体" w:cs="宋体" w:hint="eastAsia"/>
          <w:color w:val="000000"/>
          <w:kern w:val="0"/>
          <w:lang w:bidi="ar"/>
        </w:rPr>
        <w:t>位置布设监测点，清淤时每半小时监测一次，以确保水质安全。</w:t>
      </w:r>
    </w:p>
    <w:p w14:paraId="0B25CC14" w14:textId="77777777" w:rsidR="009D12AF" w:rsidRDefault="00000000">
      <w:pPr>
        <w:widowControl/>
        <w:ind w:firstLine="480"/>
        <w:jc w:val="left"/>
        <w:rPr>
          <w:rFonts w:ascii="宋体" w:eastAsia="宋体" w:hAnsi="宋体" w:cs="宋体" w:hint="eastAsia"/>
          <w:color w:val="000000"/>
          <w:kern w:val="0"/>
          <w:lang w:bidi="ar"/>
        </w:rPr>
      </w:pPr>
      <w:r>
        <w:t>（</w:t>
      </w:r>
      <w:r>
        <w:t>6</w:t>
      </w:r>
      <w:r>
        <w:t>）</w:t>
      </w:r>
      <w:r>
        <w:rPr>
          <w:rFonts w:ascii="宋体" w:eastAsia="宋体" w:hAnsi="宋体" w:cs="宋体" w:hint="eastAsia"/>
          <w:color w:val="000000"/>
          <w:kern w:val="0"/>
          <w:lang w:bidi="ar"/>
        </w:rPr>
        <w:t>为进一步防治清淤对甘村水库造成影响，建议采用错开取水口取水时段的间歇清淤法施工，保证施工与取水的时间时隔。</w:t>
      </w:r>
    </w:p>
    <w:p w14:paraId="4412DEB3" w14:textId="77777777" w:rsidR="009D12AF" w:rsidRDefault="00000000">
      <w:pPr>
        <w:widowControl/>
        <w:ind w:firstLine="480"/>
        <w:jc w:val="left"/>
      </w:pPr>
      <w:r>
        <w:rPr>
          <w:rFonts w:hint="eastAsia"/>
        </w:rPr>
        <w:t>（</w:t>
      </w:r>
      <w:r>
        <w:rPr>
          <w:rFonts w:hint="eastAsia"/>
        </w:rPr>
        <w:t>7</w:t>
      </w:r>
      <w:r>
        <w:rPr>
          <w:rFonts w:hint="eastAsia"/>
        </w:rPr>
        <w:t>）</w:t>
      </w:r>
      <w:r>
        <w:rPr>
          <w:rFonts w:ascii="宋体" w:eastAsia="宋体" w:hAnsi="宋体" w:cs="宋体" w:hint="eastAsia"/>
          <w:color w:val="000000"/>
          <w:kern w:val="0"/>
          <w:lang w:bidi="ar"/>
        </w:rPr>
        <w:t>排洪渠长臂挖机于堤坝上进行清淤。建设单位在水位最枯时进行排洪渠清淤，为减少清淤扰动水体造成水体悬浮物增加，对上下游造成影响，清淤施工时关闭排洪渠的进水出水闸阀，将影响控制在两个闸阀之间，随着清淤结束悬浮物在排洪渠中沉降，并最终淤积于水底，待排洪渠清淤结束且水经自然沉淀恢复澄清后再开水闸，这一特性决定了扰动影响的范围和时间均有限，随着施工结束其扰动影响也随之消失。</w:t>
      </w:r>
    </w:p>
    <w:p w14:paraId="22F66527" w14:textId="77777777" w:rsidR="009D12AF" w:rsidRDefault="00000000">
      <w:pPr>
        <w:ind w:firstLine="480"/>
      </w:pPr>
      <w:r>
        <w:t>（</w:t>
      </w:r>
      <w:r>
        <w:rPr>
          <w:rFonts w:hint="eastAsia"/>
        </w:rPr>
        <w:t>8</w:t>
      </w:r>
      <w:r>
        <w:t>）清理施工期间加强管理，制定水利冲挖机组施工管理办法，并确保各类污染防治设施正常工作。</w:t>
      </w:r>
    </w:p>
    <w:p w14:paraId="619340C3" w14:textId="77777777" w:rsidR="009D12AF" w:rsidRDefault="00000000">
      <w:pPr>
        <w:ind w:firstLine="480"/>
      </w:pPr>
      <w:r>
        <w:rPr>
          <w:rFonts w:hint="eastAsia"/>
        </w:rPr>
        <w:t>7</w:t>
      </w:r>
      <w:r>
        <w:rPr>
          <w:rFonts w:hint="eastAsia"/>
        </w:rPr>
        <w:t>、施工期对水文情势的影响</w:t>
      </w:r>
    </w:p>
    <w:p w14:paraId="69287080" w14:textId="77777777" w:rsidR="009D12AF" w:rsidRDefault="00000000">
      <w:pPr>
        <w:ind w:firstLineChars="236" w:firstLine="566"/>
      </w:pPr>
      <w:r>
        <w:lastRenderedPageBreak/>
        <w:t>由于施工期在枯水期，且施工为分段施工，各段均可在一个枯水期施工完成，因此，对</w:t>
      </w:r>
      <w:r>
        <w:rPr>
          <w:rFonts w:hint="eastAsia"/>
        </w:rPr>
        <w:t>水库</w:t>
      </w:r>
      <w:r>
        <w:t>的水文情势影响较小。在清淤施工时，采用水利冲挖机组，开挖的淤泥干化后</w:t>
      </w:r>
      <w:r>
        <w:rPr>
          <w:rFonts w:hint="eastAsia"/>
        </w:rPr>
        <w:t>外售综合利用</w:t>
      </w:r>
      <w:r>
        <w:t>，清淤</w:t>
      </w:r>
      <w:r>
        <w:rPr>
          <w:rFonts w:hint="eastAsia"/>
        </w:rPr>
        <w:t>工程</w:t>
      </w:r>
      <w:r>
        <w:t>施工期较短，该改变对</w:t>
      </w:r>
      <w:r>
        <w:rPr>
          <w:rFonts w:hint="eastAsia"/>
        </w:rPr>
        <w:t>水库</w:t>
      </w:r>
      <w:r>
        <w:t>不会产生明显的不良影响。</w:t>
      </w:r>
    </w:p>
    <w:p w14:paraId="4F70BB69" w14:textId="77777777" w:rsidR="009D12AF" w:rsidRDefault="00000000">
      <w:pPr>
        <w:ind w:firstLine="480"/>
      </w:pPr>
      <w:r>
        <w:rPr>
          <w:rFonts w:hint="eastAsia"/>
        </w:rPr>
        <w:t>8</w:t>
      </w:r>
      <w:r>
        <w:rPr>
          <w:rFonts w:hint="eastAsia"/>
        </w:rPr>
        <w:t>、饮用水源保护区的保护措施</w:t>
      </w:r>
    </w:p>
    <w:p w14:paraId="32D28DFA" w14:textId="77777777" w:rsidR="009D12AF" w:rsidRDefault="00000000">
      <w:pPr>
        <w:widowControl/>
        <w:ind w:firstLine="480"/>
        <w:jc w:val="left"/>
      </w:pPr>
      <w:r>
        <w:rPr>
          <w:rFonts w:ascii="宋体" w:eastAsia="宋体" w:hAnsi="宋体" w:cs="宋体" w:hint="eastAsia"/>
          <w:color w:val="000000"/>
          <w:kern w:val="0"/>
          <w:lang w:bidi="ar"/>
        </w:rPr>
        <w:t>本项目清淤区域向阳水电站前池区域为</w:t>
      </w:r>
      <w:r>
        <w:rPr>
          <w:rFonts w:hint="eastAsia"/>
          <w:smallCaps/>
        </w:rPr>
        <w:t>海林市二水厂（改扩建）饮用水水源二级保护区</w:t>
      </w:r>
      <w:r>
        <w:rPr>
          <w:rFonts w:ascii="宋体" w:eastAsia="宋体" w:hAnsi="宋体" w:cs="宋体" w:hint="eastAsia"/>
          <w:color w:val="000000"/>
          <w:kern w:val="0"/>
          <w:lang w:bidi="ar"/>
        </w:rPr>
        <w:t>，根据《饮用水水源保护区污染防治管理规定》要求：</w:t>
      </w:r>
      <w:r>
        <w:rPr>
          <w:rFonts w:ascii="Times New Roman" w:eastAsia="宋体" w:hAnsi="Times New Roman" w:cs="Times New Roman"/>
          <w:color w:val="000000"/>
          <w:kern w:val="0"/>
          <w:lang w:bidi="ar"/>
        </w:rPr>
        <w:t>“</w:t>
      </w:r>
      <w:r>
        <w:rPr>
          <w:rFonts w:ascii="宋体" w:eastAsia="宋体" w:hAnsi="宋体" w:cs="宋体" w:hint="eastAsia"/>
          <w:color w:val="000000"/>
          <w:kern w:val="0"/>
          <w:lang w:bidi="ar"/>
        </w:rPr>
        <w:t>饮用水地表水源各级保护区及准保护区内必须分别遵守下列规定：一级保护区内禁止新建、扩建与供水设施和保护水源无关的建设项目；禁止向水域排放污水，已设置的排污口必须拆除；不得设置与供水需要无关的码头，禁止停靠船舶；禁止堆置和存放工业废渣、城市垃圾、粪便和其他废弃物；禁止设置油库；禁止从事种植、放养禽畜和网箱养殖活动；禁止可能污染水源的旅游活动和其他活动。二级保护区内禁止新建、改建、扩建排放污染物的建设项目；原有排污口依法拆除或者关闭；禁止设立装卸垃圾、粪便、油类和有毒物品的码头。</w:t>
      </w:r>
    </w:p>
    <w:p w14:paraId="529D79B3" w14:textId="77777777" w:rsidR="009D12AF" w:rsidRDefault="00000000">
      <w:pPr>
        <w:ind w:firstLineChars="236" w:firstLine="566"/>
      </w:pPr>
      <w:r>
        <w:rPr>
          <w:rFonts w:hint="eastAsia"/>
        </w:rPr>
        <w:t>向阳水电站</w:t>
      </w:r>
      <w:r>
        <w:t>清淤工程位于</w:t>
      </w:r>
      <w:r>
        <w:rPr>
          <w:rFonts w:hint="eastAsia"/>
          <w:smallCaps/>
        </w:rPr>
        <w:t>海林市二水厂（改扩建）饮用水水源二级保护区</w:t>
      </w:r>
      <w:r>
        <w:rPr>
          <w:rFonts w:hint="eastAsia"/>
        </w:rPr>
        <w:t>，距离</w:t>
      </w:r>
      <w:r>
        <w:t>二级保护区</w:t>
      </w:r>
      <w:r>
        <w:rPr>
          <w:rFonts w:hint="eastAsia"/>
        </w:rPr>
        <w:t>取水口上游约</w:t>
      </w:r>
      <w:r>
        <w:rPr>
          <w:rFonts w:hint="eastAsia"/>
        </w:rPr>
        <w:t>30km</w:t>
      </w:r>
      <w:r>
        <w:rPr>
          <w:rFonts w:hint="eastAsia"/>
        </w:rPr>
        <w:t>处，根据预测</w:t>
      </w:r>
      <w:r>
        <w:t>悬浮物最大扩散距离为</w:t>
      </w:r>
      <w:r>
        <w:rPr>
          <w:rFonts w:hint="eastAsia"/>
        </w:rPr>
        <w:t>20</w:t>
      </w:r>
      <w:r>
        <w:t>m</w:t>
      </w:r>
      <w:r>
        <w:rPr>
          <w:rFonts w:hint="eastAsia"/>
        </w:rPr>
        <w:t>。因此</w:t>
      </w:r>
      <w:r>
        <w:t>清淤工程不会影响水源地水质。</w:t>
      </w:r>
    </w:p>
    <w:p w14:paraId="7E52A59C" w14:textId="77777777" w:rsidR="009D12AF" w:rsidRDefault="00000000">
      <w:pPr>
        <w:ind w:firstLineChars="236" w:firstLine="566"/>
      </w:pPr>
      <w:r>
        <w:t>依据《饮用水水源保护区污染防治管理规定》，在</w:t>
      </w:r>
      <w:r>
        <w:rPr>
          <w:rFonts w:hint="eastAsia"/>
        </w:rPr>
        <w:t>准</w:t>
      </w:r>
      <w:r>
        <w:t>保护区范围内：禁止新建、扩建对水体污染严重的建设项目；改建建设项目，不得增加排污量。本项目运行期不排放污染物，施工在水源保护区内不设置生产区，施工期采取禁止在保护区设置生产区及维修场所，限制施工活动。不能随意扩大施工范围，减轻对水源地破坏程度。设立水源地标志（围栏、警示牌），禁止施工人员在水源保护区游泳、清洗施工机械等活动。施工作业安排在枯水期，施工前与水源地加强沟通，合理安排水源地保护区范围内各施工点施工作业时间，而且本项目建设的都是保护水源的工程，因此工程建设对水源地水质产生的影响不大。</w:t>
      </w:r>
    </w:p>
    <w:p w14:paraId="43A84CDB" w14:textId="77777777" w:rsidR="009D12AF" w:rsidRDefault="00000000">
      <w:pPr>
        <w:widowControl/>
        <w:ind w:firstLine="480"/>
        <w:jc w:val="left"/>
      </w:pPr>
      <w:r>
        <w:rPr>
          <w:rFonts w:ascii="宋体" w:eastAsia="宋体" w:hAnsi="宋体" w:cs="宋体" w:hint="eastAsia"/>
          <w:color w:val="000000"/>
          <w:kern w:val="0"/>
          <w:lang w:bidi="ar"/>
        </w:rPr>
        <w:t>本项目为水库清淤项目，临时生产区为本项目配套工程，仅处理本项目清淤出的底泥，为临时工程，施工时间较短，不会对水库产生长远的不利影响，但由于向阳水电站前池清淤区域为</w:t>
      </w:r>
      <w:r>
        <w:rPr>
          <w:rFonts w:hint="eastAsia"/>
          <w:smallCaps/>
        </w:rPr>
        <w:t>海林市二水厂（改扩建）饮用水水源二级保护区</w:t>
      </w:r>
      <w:r>
        <w:rPr>
          <w:rFonts w:ascii="宋体" w:eastAsia="宋体" w:hAnsi="宋体" w:cs="宋体" w:hint="eastAsia"/>
          <w:color w:val="000000"/>
          <w:kern w:val="0"/>
          <w:lang w:bidi="ar"/>
        </w:rPr>
        <w:t>范围内，为防止底泥临时处理过程对水库产生不良影响，要求施工单位对底泥临时</w:t>
      </w:r>
      <w:r>
        <w:rPr>
          <w:rFonts w:ascii="宋体" w:eastAsia="宋体" w:hAnsi="宋体" w:cs="宋体" w:hint="eastAsia"/>
          <w:color w:val="000000"/>
          <w:kern w:val="0"/>
          <w:lang w:bidi="ar"/>
        </w:rPr>
        <w:lastRenderedPageBreak/>
        <w:t xml:space="preserve">生产区的临时堆场布置挡墙，在临时生产区周围设置截水沟和排水沟，且临时底泥生产区铺设复合防渗层，防渗层采用双层 </w:t>
      </w:r>
      <w:r>
        <w:rPr>
          <w:rFonts w:ascii="Times New Roman" w:eastAsia="宋体" w:hAnsi="Times New Roman" w:cs="Times New Roman"/>
          <w:color w:val="000000"/>
          <w:kern w:val="0"/>
          <w:lang w:bidi="ar"/>
        </w:rPr>
        <w:t xml:space="preserve">HDPE </w:t>
      </w:r>
      <w:r>
        <w:rPr>
          <w:rFonts w:ascii="宋体" w:eastAsia="宋体" w:hAnsi="宋体" w:cs="宋体" w:hint="eastAsia"/>
          <w:color w:val="000000"/>
          <w:kern w:val="0"/>
          <w:lang w:bidi="ar"/>
        </w:rPr>
        <w:t>膜</w:t>
      </w:r>
      <w:r>
        <w:rPr>
          <w:rFonts w:ascii="Times New Roman" w:eastAsia="宋体" w:hAnsi="Times New Roman" w:cs="Times New Roman"/>
          <w:color w:val="000000"/>
          <w:kern w:val="0"/>
          <w:lang w:bidi="ar"/>
        </w:rPr>
        <w:t>+</w:t>
      </w:r>
      <w:r>
        <w:rPr>
          <w:rFonts w:ascii="宋体" w:eastAsia="宋体" w:hAnsi="宋体" w:cs="宋体" w:hint="eastAsia"/>
          <w:color w:val="000000"/>
          <w:kern w:val="0"/>
          <w:lang w:bidi="ar"/>
        </w:rPr>
        <w:t xml:space="preserve">无纺土工布，防渗系数不小于 </w:t>
      </w:r>
      <w:r>
        <w:rPr>
          <w:rFonts w:ascii="Times New Roman" w:eastAsia="宋体" w:hAnsi="Times New Roman" w:cs="Times New Roman"/>
          <w:color w:val="000000"/>
          <w:kern w:val="0"/>
          <w:lang w:bidi="ar"/>
        </w:rPr>
        <w:t>1×10</w:t>
      </w:r>
      <w:r>
        <w:rPr>
          <w:rFonts w:ascii="Times New Roman" w:eastAsia="宋体" w:hAnsi="Times New Roman" w:cs="Times New Roman" w:hint="eastAsia"/>
          <w:color w:val="000000"/>
          <w:kern w:val="0"/>
          <w:vertAlign w:val="superscript"/>
          <w:lang w:bidi="ar"/>
        </w:rPr>
        <w:t>-7</w:t>
      </w:r>
      <w:r>
        <w:rPr>
          <w:rFonts w:ascii="Times New Roman" w:eastAsia="宋体" w:hAnsi="Times New Roman" w:cs="Times New Roman"/>
          <w:color w:val="000000"/>
          <w:kern w:val="0"/>
          <w:lang w:bidi="ar"/>
        </w:rPr>
        <w:t>cm/s</w:t>
      </w:r>
      <w:r>
        <w:rPr>
          <w:rFonts w:ascii="宋体" w:eastAsia="宋体" w:hAnsi="宋体" w:cs="宋体" w:hint="eastAsia"/>
          <w:color w:val="000000"/>
          <w:kern w:val="0"/>
          <w:lang w:bidi="ar"/>
        </w:rPr>
        <w:t>。施工过程中加强质量监管，尽量控制可能出现渗漏的裂缝产生。</w:t>
      </w:r>
    </w:p>
    <w:p w14:paraId="2A9938B7" w14:textId="77777777" w:rsidR="009D12AF" w:rsidRDefault="00000000">
      <w:pPr>
        <w:widowControl/>
        <w:ind w:firstLine="480"/>
        <w:jc w:val="left"/>
      </w:pPr>
      <w:r>
        <w:rPr>
          <w:rFonts w:ascii="宋体" w:eastAsia="宋体" w:hAnsi="宋体" w:cs="宋体" w:hint="eastAsia"/>
          <w:color w:val="000000"/>
          <w:kern w:val="0"/>
          <w:lang w:bidi="ar"/>
        </w:rPr>
        <w:t>清淤底泥处理产生的余水来源为现状水体，经沉淀预处理后排入</w:t>
      </w:r>
      <w:r>
        <w:rPr>
          <w:rFonts w:hint="eastAsia"/>
        </w:rPr>
        <w:t>牡丹江龙江环保水务有限公司</w:t>
      </w:r>
      <w:r>
        <w:rPr>
          <w:rFonts w:ascii="宋体" w:eastAsia="宋体" w:hAnsi="宋体" w:cs="宋体" w:hint="eastAsia"/>
          <w:color w:val="000000"/>
          <w:kern w:val="0"/>
          <w:lang w:bidi="ar"/>
        </w:rPr>
        <w:t>进一步处理，处理达标后排放，不影响受纳水体使用功能；且通过对底泥的清除可以较大程度地削减内源污染对项目区域水体的污染贡献率，从而起到改善项目区水环境质量的作用，继而提高水库水质。</w:t>
      </w:r>
    </w:p>
    <w:p w14:paraId="53217F13" w14:textId="77777777" w:rsidR="009D12AF" w:rsidRDefault="00000000">
      <w:pPr>
        <w:widowControl/>
        <w:ind w:firstLine="480"/>
        <w:jc w:val="left"/>
      </w:pPr>
      <w:r>
        <w:rPr>
          <w:rFonts w:ascii="宋体" w:eastAsia="宋体" w:hAnsi="宋体" w:cs="宋体" w:hint="eastAsia"/>
          <w:color w:val="000000"/>
          <w:kern w:val="0"/>
          <w:lang w:bidi="ar"/>
        </w:rPr>
        <w:t>因此，本项目不违反《饮用水水源保护区污染防治管理规定》的要求</w:t>
      </w:r>
    </w:p>
    <w:p w14:paraId="4714D764" w14:textId="77777777" w:rsidR="009D12AF" w:rsidRDefault="00000000">
      <w:pPr>
        <w:pStyle w:val="3"/>
      </w:pPr>
      <w:bookmarkStart w:id="391" w:name="_Toc31166"/>
      <w:bookmarkStart w:id="392" w:name="_Toc15552"/>
      <w:bookmarkStart w:id="393" w:name="_Toc11125"/>
      <w:bookmarkStart w:id="394" w:name="_Toc28505"/>
      <w:r>
        <w:rPr>
          <w:rFonts w:hint="eastAsia"/>
        </w:rPr>
        <w:t>6</w:t>
      </w:r>
      <w:r>
        <w:t>.1.</w:t>
      </w:r>
      <w:r>
        <w:rPr>
          <w:rFonts w:hint="eastAsia"/>
        </w:rPr>
        <w:t>3</w:t>
      </w:r>
      <w:r>
        <w:t xml:space="preserve"> </w:t>
      </w:r>
      <w:r>
        <w:t>施工期</w:t>
      </w:r>
      <w:r>
        <w:rPr>
          <w:rFonts w:hint="eastAsia"/>
        </w:rPr>
        <w:t>声</w:t>
      </w:r>
      <w:r>
        <w:t>环境保护措施及其可行性论证</w:t>
      </w:r>
      <w:bookmarkEnd w:id="391"/>
      <w:bookmarkEnd w:id="392"/>
      <w:bookmarkEnd w:id="393"/>
      <w:bookmarkEnd w:id="394"/>
    </w:p>
    <w:p w14:paraId="0597E8DB" w14:textId="77777777" w:rsidR="009D12AF" w:rsidRDefault="00000000">
      <w:pPr>
        <w:ind w:firstLine="480"/>
      </w:pPr>
      <w:r>
        <w:t>拟建工程的主要噪声源有推土机、装载机、挖掘机及运输车辆等。主要为气流和振动、摩擦噪声。为降低施工设备噪声对周围声环境及敏感目标的影响，可采取以下防治措施。</w:t>
      </w:r>
    </w:p>
    <w:p w14:paraId="2FCCBEA6" w14:textId="77777777" w:rsidR="009D12AF" w:rsidRDefault="00000000">
      <w:pPr>
        <w:ind w:firstLine="480"/>
      </w:pPr>
      <w:r>
        <w:t>（</w:t>
      </w:r>
      <w:r>
        <w:t>1</w:t>
      </w:r>
      <w:r>
        <w:t>）噪声源控制措施</w:t>
      </w:r>
    </w:p>
    <w:p w14:paraId="5CBABCC5" w14:textId="77777777" w:rsidR="009D12AF" w:rsidRDefault="00000000">
      <w:pPr>
        <w:ind w:firstLine="480"/>
      </w:pPr>
      <w:r>
        <w:t>1</w:t>
      </w:r>
      <w:r>
        <w:t>）固定点源控制</w:t>
      </w:r>
    </w:p>
    <w:p w14:paraId="02E8C2F0" w14:textId="77777777" w:rsidR="009D12AF" w:rsidRDefault="00000000">
      <w:pPr>
        <w:ind w:firstLine="480"/>
      </w:pPr>
      <w:r>
        <w:t>①</w:t>
      </w:r>
      <w:r>
        <w:t>施工单位必须选用符合国家有关标准的施工机械；</w:t>
      </w:r>
    </w:p>
    <w:p w14:paraId="368B1DD8" w14:textId="77777777" w:rsidR="009D12AF" w:rsidRDefault="00000000">
      <w:pPr>
        <w:ind w:firstLine="480"/>
      </w:pPr>
      <w:r>
        <w:t>②</w:t>
      </w:r>
      <w:r>
        <w:t>加强设备的维护和保养，保持机械润滑，降低运行噪声；</w:t>
      </w:r>
    </w:p>
    <w:p w14:paraId="1204CB34" w14:textId="77777777" w:rsidR="009D12AF" w:rsidRDefault="00000000">
      <w:pPr>
        <w:ind w:firstLine="480"/>
      </w:pPr>
      <w:r>
        <w:t>③</w:t>
      </w:r>
      <w:r>
        <w:t>施工单位应该选用符合国家有关标准的施工机械，采用低噪声的生产机械和设备，从根本上降低噪声源强。对振动较大的设备可使用减振机座，加强设备的维护和保养，保持机械的润滑，降低运行噪声。</w:t>
      </w:r>
    </w:p>
    <w:p w14:paraId="5CF44B4D" w14:textId="77777777" w:rsidR="009D12AF" w:rsidRDefault="00000000">
      <w:pPr>
        <w:ind w:firstLine="480"/>
      </w:pPr>
      <w:r>
        <w:t>④</w:t>
      </w:r>
      <w:r>
        <w:t>封闭施工应在施工场界设置简易围墙。</w:t>
      </w:r>
    </w:p>
    <w:p w14:paraId="22F9B8C5" w14:textId="77777777" w:rsidR="009D12AF" w:rsidRDefault="00000000">
      <w:pPr>
        <w:ind w:firstLine="480"/>
      </w:pPr>
      <w:r>
        <w:t>2</w:t>
      </w:r>
      <w:r>
        <w:t>）交通噪声控制</w:t>
      </w:r>
    </w:p>
    <w:p w14:paraId="61321157" w14:textId="77777777" w:rsidR="009D12AF" w:rsidRDefault="00000000">
      <w:pPr>
        <w:ind w:firstLine="480"/>
      </w:pPr>
      <w:r>
        <w:t>选用符合机动噪声排放标准的施工车辆，禁止不符合国家噪声排放标准的运输车辆进入工区：避免夜间运输，限制车速</w:t>
      </w:r>
      <w:r>
        <w:t>(</w:t>
      </w:r>
      <w:r>
        <w:t>经过居民点时车速低于</w:t>
      </w:r>
      <w:r>
        <w:t>20km/h)</w:t>
      </w:r>
      <w:r>
        <w:t>，禁止鸣笛：加强道路养护和车辆的维修保养；加强施工期间道路交通的管理，保持道路畅通。</w:t>
      </w:r>
    </w:p>
    <w:p w14:paraId="58D02426" w14:textId="77777777" w:rsidR="009D12AF" w:rsidRDefault="00000000">
      <w:pPr>
        <w:ind w:firstLine="480"/>
      </w:pPr>
      <w:r>
        <w:t>（</w:t>
      </w:r>
      <w:r>
        <w:t>2</w:t>
      </w:r>
      <w:r>
        <w:t>）传播途径控制</w:t>
      </w:r>
    </w:p>
    <w:p w14:paraId="4407B513" w14:textId="77777777" w:rsidR="009D12AF" w:rsidRDefault="00000000">
      <w:pPr>
        <w:ind w:firstLine="480"/>
      </w:pPr>
      <w:r>
        <w:t>合理安排施工区位置，噪声大的施工机械应尽可能远离居民区。</w:t>
      </w:r>
    </w:p>
    <w:p w14:paraId="76BA699F" w14:textId="77777777" w:rsidR="009D12AF" w:rsidRDefault="00000000">
      <w:pPr>
        <w:ind w:firstLine="480"/>
      </w:pPr>
      <w:r>
        <w:lastRenderedPageBreak/>
        <w:t>施工场地布置时设备要远离声环境敏感点，在柴油发电机周围设置隔声屏障，以缓解噪声影响。</w:t>
      </w:r>
    </w:p>
    <w:p w14:paraId="68730327" w14:textId="77777777" w:rsidR="009D12AF" w:rsidRDefault="00000000">
      <w:pPr>
        <w:ind w:firstLine="480"/>
      </w:pPr>
      <w:r>
        <w:t>（</w:t>
      </w:r>
      <w:r>
        <w:t>3</w:t>
      </w:r>
      <w:r>
        <w:t>）施工管理合理安排施工时间，在居民集中的施工段，在人们睡眠休息时间</w:t>
      </w:r>
      <w:r>
        <w:t>(</w:t>
      </w:r>
      <w:r>
        <w:t>午间</w:t>
      </w:r>
      <w:r>
        <w:t>12:00-14:00</w:t>
      </w:r>
      <w:r>
        <w:t>和夜间</w:t>
      </w:r>
      <w:r>
        <w:t>20:00-8:00)</w:t>
      </w:r>
      <w:r>
        <w:t>停止高噪声机械施工</w:t>
      </w:r>
      <w:r>
        <w:t>(</w:t>
      </w:r>
      <w:r>
        <w:t>如柴油发电机</w:t>
      </w:r>
      <w:r>
        <w:t>)</w:t>
      </w:r>
      <w:r>
        <w:t>，车辆经过居民区和噪声敏感点附近时应控制车速不超过</w:t>
      </w:r>
      <w:r>
        <w:t>20km/h</w:t>
      </w:r>
      <w:r>
        <w:t>，禁止鸣笛，同时，结合施工区所列的环境敏感目标设置警示牌限速牌。</w:t>
      </w:r>
    </w:p>
    <w:p w14:paraId="1F4CDBE4" w14:textId="77777777" w:rsidR="009D12AF" w:rsidRDefault="00000000">
      <w:pPr>
        <w:ind w:firstLine="480"/>
      </w:pPr>
      <w:r>
        <w:t>（</w:t>
      </w:r>
      <w:r>
        <w:t>4</w:t>
      </w:r>
      <w:r>
        <w:t>）施工运输道路经过村庄及集中居民点时，在居民区前</w:t>
      </w:r>
      <w:r>
        <w:t>50m</w:t>
      </w:r>
      <w:r>
        <w:t>处设置限速标志，控制车速不得超过</w:t>
      </w:r>
      <w:r>
        <w:t>20km/h</w:t>
      </w:r>
      <w:r>
        <w:t>，并禁止鸣笛，同时避免在居民午休时间及夜间进行运输活动。</w:t>
      </w:r>
    </w:p>
    <w:p w14:paraId="629C82CE" w14:textId="77777777" w:rsidR="009D12AF" w:rsidRDefault="00000000">
      <w:pPr>
        <w:ind w:firstLine="480"/>
        <w:rPr>
          <w:highlight w:val="yellow"/>
        </w:rPr>
      </w:pPr>
      <w:r>
        <w:t>施工期运输车辆、施工机械等产生的施工噪声会对周围产生一定影响，但这种影响是暂时的，随着工程完工，影响将不存在。本项目施工期声环境影响采用上述减缓措施，成本低，经济合理，简单易行，故本项目采用以上施工期声环境影响减缓措施是可行的。</w:t>
      </w:r>
    </w:p>
    <w:p w14:paraId="295315E5" w14:textId="77777777" w:rsidR="009D12AF" w:rsidRDefault="00000000">
      <w:pPr>
        <w:pStyle w:val="3"/>
      </w:pPr>
      <w:bookmarkStart w:id="395" w:name="_Toc25020"/>
      <w:bookmarkStart w:id="396" w:name="_Toc13327"/>
      <w:bookmarkStart w:id="397" w:name="_Toc21306"/>
      <w:bookmarkStart w:id="398" w:name="_Toc27827"/>
      <w:r>
        <w:rPr>
          <w:rFonts w:hint="eastAsia"/>
        </w:rPr>
        <w:t>6</w:t>
      </w:r>
      <w:r>
        <w:t xml:space="preserve">.1.3 </w:t>
      </w:r>
      <w:r>
        <w:t>施工期</w:t>
      </w:r>
      <w:r>
        <w:rPr>
          <w:rFonts w:hint="eastAsia"/>
        </w:rPr>
        <w:t>固体废物</w:t>
      </w:r>
      <w:r>
        <w:t>保护措施及其可行性论证</w:t>
      </w:r>
      <w:bookmarkEnd w:id="395"/>
      <w:bookmarkEnd w:id="396"/>
      <w:bookmarkEnd w:id="397"/>
      <w:bookmarkEnd w:id="398"/>
    </w:p>
    <w:p w14:paraId="737BABBC"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 xml:space="preserve">施工期间固体废物主要为施工人员生活垃圾、清淤淤泥、场地清理及土方开挖产生的废渣以及隔油浮渣。 </w:t>
      </w:r>
    </w:p>
    <w:p w14:paraId="6A783851" w14:textId="77777777" w:rsidR="009D12AF" w:rsidRDefault="00000000">
      <w:pPr>
        <w:widowControl/>
        <w:ind w:firstLine="480"/>
        <w:jc w:val="left"/>
        <w:rPr>
          <w:rFonts w:ascii="宋体" w:eastAsia="宋体" w:hAnsi="宋体" w:cs="宋体" w:hint="eastAsia"/>
          <w:color w:val="000000"/>
          <w:kern w:val="0"/>
          <w:lang w:bidi="ar"/>
        </w:rPr>
      </w:pPr>
      <w:r>
        <w:rPr>
          <w:rFonts w:ascii="Times New Roman" w:eastAsia="宋体" w:hAnsi="Times New Roman" w:cs="Times New Roman" w:hint="eastAsia"/>
        </w:rPr>
        <w:t>（</w:t>
      </w:r>
      <w:r>
        <w:rPr>
          <w:rFonts w:ascii="Times New Roman" w:eastAsia="宋体" w:hAnsi="Times New Roman" w:cs="Times New Roman"/>
        </w:rPr>
        <w:t>1</w:t>
      </w:r>
      <w:r>
        <w:rPr>
          <w:rFonts w:ascii="Times New Roman" w:eastAsia="宋体" w:hAnsi="Times New Roman" w:cs="Times New Roman" w:hint="eastAsia"/>
        </w:rPr>
        <w:t>）</w:t>
      </w:r>
      <w:r>
        <w:rPr>
          <w:rFonts w:ascii="宋体" w:eastAsia="宋体" w:hAnsi="宋体" w:cs="宋体" w:hint="eastAsia"/>
          <w:color w:val="000000"/>
          <w:kern w:val="0"/>
          <w:lang w:bidi="ar"/>
        </w:rPr>
        <w:t xml:space="preserve">生活垃圾 </w:t>
      </w:r>
    </w:p>
    <w:p w14:paraId="2115605B"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 xml:space="preserve">本项目施工人员约为 </w:t>
      </w:r>
      <w:r>
        <w:rPr>
          <w:rFonts w:ascii="Times New Roman" w:eastAsia="宋体" w:hAnsi="Times New Roman" w:cs="Times New Roman" w:hint="eastAsia"/>
        </w:rPr>
        <w:t>10</w:t>
      </w:r>
      <w:r>
        <w:rPr>
          <w:rFonts w:ascii="宋体" w:eastAsia="宋体" w:hAnsi="宋体" w:cs="宋体"/>
          <w:color w:val="000000"/>
          <w:kern w:val="0"/>
          <w:lang w:bidi="ar"/>
        </w:rPr>
        <w:t xml:space="preserve"> </w:t>
      </w:r>
      <w:r>
        <w:rPr>
          <w:rFonts w:ascii="宋体" w:eastAsia="宋体" w:hAnsi="宋体" w:cs="宋体" w:hint="eastAsia"/>
          <w:color w:val="000000"/>
          <w:kern w:val="0"/>
          <w:lang w:bidi="ar"/>
        </w:rPr>
        <w:t xml:space="preserve">人，生活垃圾量按 </w:t>
      </w:r>
      <w:r>
        <w:rPr>
          <w:rFonts w:ascii="Times New Roman" w:eastAsia="宋体" w:hAnsi="Times New Roman" w:cs="Times New Roman"/>
        </w:rPr>
        <w:t>0.5kg/</w:t>
      </w:r>
      <w:r>
        <w:rPr>
          <w:rFonts w:ascii="宋体" w:eastAsia="宋体" w:hAnsi="宋体" w:cs="宋体" w:hint="eastAsia"/>
          <w:color w:val="000000"/>
          <w:kern w:val="0"/>
          <w:lang w:bidi="ar"/>
        </w:rPr>
        <w:t>人</w:t>
      </w:r>
      <w:r>
        <w:rPr>
          <w:rFonts w:ascii="宋体" w:eastAsia="宋体" w:hAnsi="宋体" w:cs="宋体"/>
          <w:color w:val="000000"/>
          <w:kern w:val="0"/>
          <w:lang w:bidi="ar"/>
        </w:rPr>
        <w:t xml:space="preserve">•d </w:t>
      </w:r>
      <w:r>
        <w:rPr>
          <w:rFonts w:ascii="宋体" w:eastAsia="宋体" w:hAnsi="宋体" w:cs="宋体" w:hint="eastAsia"/>
          <w:color w:val="000000"/>
          <w:kern w:val="0"/>
          <w:lang w:bidi="ar"/>
        </w:rPr>
        <w:t>计算，则施工人员生活垃圾产生量为</w:t>
      </w:r>
      <w:r>
        <w:rPr>
          <w:rFonts w:ascii="Times New Roman" w:eastAsia="宋体" w:hAnsi="Times New Roman" w:cs="Times New Roman" w:hint="eastAsia"/>
        </w:rPr>
        <w:t>5</w:t>
      </w:r>
      <w:r>
        <w:rPr>
          <w:rFonts w:ascii="Times New Roman" w:eastAsia="宋体" w:hAnsi="Times New Roman" w:cs="Times New Roman"/>
        </w:rPr>
        <w:t>kg/d</w:t>
      </w:r>
      <w:r>
        <w:rPr>
          <w:rFonts w:ascii="宋体" w:eastAsia="宋体" w:hAnsi="宋体" w:cs="宋体" w:hint="eastAsia"/>
          <w:color w:val="000000"/>
          <w:kern w:val="0"/>
          <w:lang w:bidi="ar"/>
        </w:rPr>
        <w:t>；计划施工期（</w:t>
      </w:r>
      <w:r>
        <w:rPr>
          <w:rFonts w:ascii="Times New Roman" w:eastAsia="宋体" w:hAnsi="Times New Roman" w:cs="Times New Roman" w:hint="eastAsia"/>
        </w:rPr>
        <w:t>63</w:t>
      </w:r>
      <w:r>
        <w:rPr>
          <w:rFonts w:ascii="宋体" w:eastAsia="宋体" w:hAnsi="宋体" w:cs="宋体" w:hint="eastAsia"/>
          <w:color w:val="000000"/>
          <w:kern w:val="0"/>
          <w:lang w:bidi="ar"/>
        </w:rPr>
        <w:t>个月），因此本项目施工人员生活垃圾产生量为</w:t>
      </w:r>
      <w:r>
        <w:rPr>
          <w:rFonts w:ascii="Times New Roman" w:eastAsia="宋体" w:hAnsi="Times New Roman" w:cs="Times New Roman" w:hint="eastAsia"/>
        </w:rPr>
        <w:t>9.45</w:t>
      </w:r>
      <w:r>
        <w:rPr>
          <w:rFonts w:ascii="Times New Roman" w:eastAsia="宋体" w:hAnsi="Times New Roman" w:cs="Times New Roman"/>
        </w:rPr>
        <w:t>t</w:t>
      </w:r>
      <w:r>
        <w:rPr>
          <w:rFonts w:ascii="宋体" w:eastAsia="宋体" w:hAnsi="宋体" w:cs="宋体" w:hint="eastAsia"/>
          <w:color w:val="000000"/>
          <w:kern w:val="0"/>
          <w:lang w:bidi="ar"/>
        </w:rPr>
        <w:t>。</w:t>
      </w:r>
    </w:p>
    <w:p w14:paraId="4C1E503C" w14:textId="77777777" w:rsidR="009D12AF" w:rsidRDefault="00000000">
      <w:pPr>
        <w:widowControl/>
        <w:ind w:firstLine="480"/>
        <w:jc w:val="left"/>
      </w:pPr>
      <w:r>
        <w:rPr>
          <w:rFonts w:ascii="宋体" w:eastAsia="宋体" w:hAnsi="宋体" w:cs="宋体" w:hint="eastAsia"/>
          <w:color w:val="000000"/>
          <w:kern w:val="0"/>
          <w:lang w:bidi="ar"/>
        </w:rPr>
        <w:t>本项目施工人员生活垃圾由环卫部门清运处理。</w:t>
      </w:r>
    </w:p>
    <w:p w14:paraId="41F8EB15" w14:textId="77777777" w:rsidR="009D12AF" w:rsidRDefault="00000000">
      <w:pPr>
        <w:widowControl/>
        <w:ind w:firstLineChars="100" w:firstLine="240"/>
        <w:jc w:val="left"/>
        <w:rPr>
          <w:rFonts w:ascii="宋体" w:eastAsia="宋体" w:hAnsi="宋体" w:cs="宋体" w:hint="eastAsia"/>
          <w:color w:val="000000"/>
          <w:kern w:val="0"/>
          <w:lang w:bidi="ar"/>
        </w:rPr>
      </w:pPr>
      <w:r>
        <w:rPr>
          <w:rFonts w:ascii="Times New Roman" w:eastAsia="宋体" w:hAnsi="Times New Roman" w:cs="Times New Roman" w:hint="eastAsia"/>
        </w:rPr>
        <w:t>（</w:t>
      </w:r>
      <w:r>
        <w:rPr>
          <w:rFonts w:ascii="Times New Roman" w:eastAsia="宋体" w:hAnsi="Times New Roman" w:cs="Times New Roman" w:hint="eastAsia"/>
        </w:rPr>
        <w:t>2</w:t>
      </w:r>
      <w:r>
        <w:rPr>
          <w:rFonts w:ascii="Times New Roman" w:eastAsia="宋体" w:hAnsi="Times New Roman" w:cs="Times New Roman" w:hint="eastAsia"/>
        </w:rPr>
        <w:t>）</w:t>
      </w:r>
      <w:r>
        <w:rPr>
          <w:rFonts w:ascii="宋体" w:eastAsia="宋体" w:hAnsi="宋体" w:cs="宋体" w:hint="eastAsia"/>
          <w:color w:val="000000"/>
          <w:kern w:val="0"/>
          <w:lang w:bidi="ar"/>
        </w:rPr>
        <w:t>清淤底泥</w:t>
      </w:r>
    </w:p>
    <w:p w14:paraId="055F63F1"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本项目清淤底泥产生量约</w:t>
      </w:r>
      <w:r>
        <w:rPr>
          <w:rFonts w:ascii="Times New Roman" w:eastAsia="宋体" w:hAnsi="Times New Roman" w:cs="Times New Roman" w:hint="eastAsia"/>
        </w:rPr>
        <w:t>600</w:t>
      </w:r>
      <w:r>
        <w:rPr>
          <w:rFonts w:ascii="Times New Roman" w:eastAsia="宋体" w:hAnsi="Times New Roman" w:cs="Times New Roman" w:hint="eastAsia"/>
        </w:rPr>
        <w:t>万</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hint="eastAsia"/>
        </w:rPr>
        <w:t>，</w:t>
      </w:r>
      <w:r>
        <w:rPr>
          <w:rFonts w:ascii="宋体" w:eastAsia="宋体" w:hAnsi="宋体" w:cs="宋体" w:hint="eastAsia"/>
          <w:color w:val="000000"/>
          <w:kern w:val="0"/>
          <w:lang w:bidi="ar"/>
        </w:rPr>
        <w:t>本工程清淤底泥在施工区采用压滤脱水方式固化，经固化后的干泥含水率由</w:t>
      </w:r>
      <w:r>
        <w:rPr>
          <w:rFonts w:ascii="Times New Roman" w:eastAsia="宋体" w:hAnsi="Times New Roman" w:cs="Times New Roman" w:hint="eastAsia"/>
        </w:rPr>
        <w:t>9</w:t>
      </w:r>
      <w:r>
        <w:rPr>
          <w:rFonts w:ascii="Times New Roman" w:eastAsia="宋体" w:hAnsi="Times New Roman" w:cs="Times New Roman"/>
        </w:rPr>
        <w:t>5%</w:t>
      </w:r>
      <w:r>
        <w:rPr>
          <w:rFonts w:ascii="宋体" w:eastAsia="宋体" w:hAnsi="宋体" w:cs="宋体" w:hint="eastAsia"/>
          <w:color w:val="000000"/>
          <w:kern w:val="0"/>
          <w:lang w:bidi="ar"/>
        </w:rPr>
        <w:t>降低控制在</w:t>
      </w:r>
      <w:r>
        <w:rPr>
          <w:rFonts w:ascii="Times New Roman" w:eastAsia="宋体" w:hAnsi="Times New Roman" w:cs="Times New Roman" w:hint="eastAsia"/>
        </w:rPr>
        <w:t>60</w:t>
      </w:r>
      <w:r>
        <w:rPr>
          <w:rFonts w:ascii="Times New Roman" w:eastAsia="宋体" w:hAnsi="Times New Roman" w:cs="Times New Roman"/>
        </w:rPr>
        <w:t>%</w:t>
      </w:r>
      <w:r>
        <w:rPr>
          <w:rFonts w:ascii="宋体" w:eastAsia="宋体" w:hAnsi="宋体" w:cs="宋体" w:hint="eastAsia"/>
          <w:color w:val="000000"/>
          <w:kern w:val="0"/>
          <w:lang w:bidi="ar"/>
        </w:rPr>
        <w:t>左右，脱水后干泥量为</w:t>
      </w:r>
      <w:r>
        <w:rPr>
          <w:rFonts w:ascii="Times New Roman" w:eastAsia="宋体" w:hAnsi="Times New Roman" w:cs="Times New Roman" w:hint="eastAsia"/>
        </w:rPr>
        <w:t>360</w:t>
      </w:r>
      <w:r>
        <w:rPr>
          <w:rFonts w:ascii="Times New Roman" w:eastAsia="宋体" w:hAnsi="Times New Roman" w:cs="Times New Roman"/>
        </w:rPr>
        <w:t>m</w:t>
      </w:r>
      <w:r>
        <w:rPr>
          <w:rFonts w:ascii="Times New Roman" w:eastAsia="宋体" w:hAnsi="Times New Roman" w:cs="Times New Roman"/>
          <w:vertAlign w:val="superscript"/>
        </w:rPr>
        <w:t>3</w:t>
      </w:r>
      <w:r>
        <w:rPr>
          <w:rFonts w:ascii="宋体" w:eastAsia="宋体" w:hAnsi="宋体" w:cs="宋体" w:hint="eastAsia"/>
          <w:color w:val="000000"/>
          <w:kern w:val="0"/>
          <w:lang w:bidi="ar"/>
        </w:rPr>
        <w:t>，项目清淤底泥运至临时堆场暂存，后期委托</w:t>
      </w:r>
      <w:r>
        <w:rPr>
          <w:rFonts w:hint="eastAsia"/>
        </w:rPr>
        <w:t>牡丹江金达农化有限公司对其清淤底泥进行加工制作生物肥，由企业售卖</w:t>
      </w:r>
      <w:r>
        <w:rPr>
          <w:rFonts w:ascii="宋体" w:eastAsia="宋体" w:hAnsi="宋体" w:cs="宋体" w:hint="eastAsia"/>
          <w:color w:val="000000"/>
          <w:kern w:val="0"/>
          <w:lang w:bidi="ar"/>
        </w:rPr>
        <w:t>。</w:t>
      </w:r>
    </w:p>
    <w:p w14:paraId="3789C9D3" w14:textId="77777777" w:rsidR="009D12AF" w:rsidRDefault="00000000">
      <w:pPr>
        <w:widowControl/>
        <w:ind w:firstLineChars="100" w:firstLine="240"/>
        <w:jc w:val="left"/>
        <w:rPr>
          <w:rFonts w:ascii="宋体" w:eastAsia="宋体" w:hAnsi="宋体" w:cs="宋体" w:hint="eastAsia"/>
          <w:color w:val="000000"/>
          <w:kern w:val="0"/>
          <w:lang w:bidi="ar"/>
        </w:rPr>
      </w:pPr>
      <w:r>
        <w:rPr>
          <w:rFonts w:ascii="Times New Roman" w:eastAsia="宋体" w:hAnsi="Times New Roman" w:cs="Times New Roman" w:hint="eastAsia"/>
        </w:rPr>
        <w:t>（</w:t>
      </w:r>
      <w:r>
        <w:rPr>
          <w:rFonts w:ascii="Times New Roman" w:eastAsia="宋体" w:hAnsi="Times New Roman" w:cs="Times New Roman" w:hint="eastAsia"/>
        </w:rPr>
        <w:t>3</w:t>
      </w:r>
      <w:r>
        <w:rPr>
          <w:rFonts w:ascii="Times New Roman" w:eastAsia="宋体" w:hAnsi="Times New Roman" w:cs="Times New Roman" w:hint="eastAsia"/>
        </w:rPr>
        <w:t>）</w:t>
      </w:r>
      <w:r>
        <w:rPr>
          <w:rFonts w:ascii="宋体" w:eastAsia="宋体" w:hAnsi="宋体" w:cs="宋体" w:hint="eastAsia"/>
          <w:color w:val="000000"/>
          <w:kern w:val="0"/>
          <w:lang w:bidi="ar"/>
        </w:rPr>
        <w:t>隔油浮渣</w:t>
      </w:r>
    </w:p>
    <w:p w14:paraId="3C10831D"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lastRenderedPageBreak/>
        <w:t>本项目车辆机械冲洗废水经隔油沉淀池处理时会产生浮油浮渣，根据同类型项目类比，废水处理浮油约为废水处理量的</w:t>
      </w:r>
      <w:r>
        <w:rPr>
          <w:rFonts w:ascii="Times New Roman" w:eastAsia="宋体" w:hAnsi="Times New Roman" w:cs="Times New Roman"/>
          <w:color w:val="000000"/>
          <w:kern w:val="0"/>
          <w:lang w:bidi="ar"/>
        </w:rPr>
        <w:t>3</w:t>
      </w:r>
      <w:r>
        <w:rPr>
          <w:rFonts w:ascii="Times New Roman" w:eastAsia="宋体" w:hAnsi="Times New Roman" w:cs="Times New Roman" w:hint="eastAsia"/>
          <w:color w:val="000000"/>
          <w:kern w:val="0"/>
          <w:lang w:bidi="ar"/>
        </w:rPr>
        <w:t>%</w:t>
      </w:r>
      <w:r>
        <w:rPr>
          <w:rFonts w:ascii="宋体" w:eastAsia="宋体" w:hAnsi="宋体" w:cs="宋体" w:hint="eastAsia"/>
          <w:color w:val="000000"/>
          <w:kern w:val="0"/>
          <w:lang w:bidi="ar"/>
        </w:rPr>
        <w:t>，则其产生量约</w:t>
      </w:r>
      <w:r>
        <w:rPr>
          <w:rFonts w:ascii="Times New Roman" w:eastAsia="宋体" w:hAnsi="Times New Roman" w:cs="Times New Roman" w:hint="eastAsia"/>
          <w:color w:val="000000"/>
          <w:kern w:val="0"/>
          <w:lang w:bidi="ar"/>
        </w:rPr>
        <w:t>5.856</w:t>
      </w:r>
      <w:r>
        <w:rPr>
          <w:rFonts w:ascii="Times New Roman" w:eastAsia="宋体" w:hAnsi="Times New Roman" w:cs="Times New Roman"/>
          <w:color w:val="000000"/>
          <w:kern w:val="0"/>
          <w:lang w:bidi="ar"/>
        </w:rPr>
        <w:t>t</w:t>
      </w:r>
      <w:r>
        <w:rPr>
          <w:rFonts w:ascii="宋体" w:eastAsia="宋体" w:hAnsi="宋体" w:cs="宋体" w:hint="eastAsia"/>
          <w:color w:val="000000"/>
          <w:kern w:val="0"/>
          <w:lang w:bidi="ar"/>
        </w:rPr>
        <w:t>，废水处理浮油为危险废物，废物类别为</w:t>
      </w:r>
      <w:r>
        <w:rPr>
          <w:rFonts w:ascii="Times New Roman" w:eastAsia="宋体" w:hAnsi="Times New Roman" w:cs="Times New Roman"/>
          <w:color w:val="000000"/>
          <w:kern w:val="0"/>
          <w:lang w:bidi="ar"/>
        </w:rPr>
        <w:t>HW08</w:t>
      </w:r>
      <w:r>
        <w:rPr>
          <w:rFonts w:ascii="宋体" w:eastAsia="宋体" w:hAnsi="宋体" w:cs="宋体" w:hint="eastAsia"/>
          <w:color w:val="000000"/>
          <w:kern w:val="0"/>
          <w:lang w:bidi="ar"/>
        </w:rPr>
        <w:t>废矿物油与含矿物油废物，废物代码为</w:t>
      </w:r>
      <w:r>
        <w:rPr>
          <w:rFonts w:ascii="Times New Roman" w:eastAsia="宋体" w:hAnsi="Times New Roman" w:cs="Times New Roman"/>
          <w:color w:val="000000"/>
          <w:kern w:val="0"/>
          <w:lang w:bidi="ar"/>
        </w:rPr>
        <w:t>900-210-08</w:t>
      </w:r>
      <w:r>
        <w:rPr>
          <w:rFonts w:ascii="宋体" w:eastAsia="宋体" w:hAnsi="宋体" w:cs="宋体" w:hint="eastAsia"/>
          <w:color w:val="000000"/>
          <w:kern w:val="0"/>
          <w:lang w:bidi="ar"/>
        </w:rPr>
        <w:t>，危险特性为</w:t>
      </w:r>
      <w:r>
        <w:rPr>
          <w:rFonts w:ascii="Times New Roman" w:eastAsia="宋体" w:hAnsi="Times New Roman" w:cs="Times New Roman"/>
          <w:color w:val="000000"/>
          <w:kern w:val="0"/>
          <w:lang w:bidi="ar"/>
        </w:rPr>
        <w:t>T</w:t>
      </w:r>
      <w:r>
        <w:rPr>
          <w:rFonts w:ascii="宋体" w:eastAsia="宋体" w:hAnsi="宋体" w:cs="宋体" w:hint="eastAsia"/>
          <w:color w:val="000000"/>
          <w:kern w:val="0"/>
          <w:lang w:bidi="ar"/>
        </w:rPr>
        <w:t>，</w:t>
      </w:r>
      <w:r>
        <w:rPr>
          <w:rFonts w:ascii="Times New Roman" w:eastAsia="宋体" w:hAnsi="Times New Roman" w:cs="Times New Roman"/>
          <w:color w:val="000000"/>
          <w:kern w:val="0"/>
          <w:lang w:bidi="ar"/>
        </w:rPr>
        <w:t>I</w:t>
      </w:r>
      <w:r>
        <w:rPr>
          <w:rFonts w:ascii="宋体" w:eastAsia="宋体" w:hAnsi="宋体" w:cs="宋体" w:hint="eastAsia"/>
          <w:color w:val="000000"/>
          <w:kern w:val="0"/>
          <w:lang w:bidi="ar"/>
        </w:rPr>
        <w:t>，废水处理浮油交由有资质的单位处理。</w:t>
      </w:r>
    </w:p>
    <w:p w14:paraId="6082B2BF" w14:textId="77777777" w:rsidR="009D12AF" w:rsidRDefault="00000000">
      <w:pPr>
        <w:widowControl/>
        <w:ind w:firstLineChars="100" w:firstLine="240"/>
        <w:jc w:val="left"/>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4</w:t>
      </w:r>
      <w:r>
        <w:rPr>
          <w:rFonts w:ascii="Times New Roman" w:eastAsia="宋体" w:hAnsi="Times New Roman" w:cs="Times New Roman" w:hint="eastAsia"/>
        </w:rPr>
        <w:t>）场地清理及土方开挖产生的废渣</w:t>
      </w:r>
    </w:p>
    <w:p w14:paraId="1110209B" w14:textId="77777777" w:rsidR="009D12AF" w:rsidRDefault="00000000">
      <w:pPr>
        <w:ind w:firstLine="480"/>
      </w:pPr>
      <w:r>
        <w:rPr>
          <w:rFonts w:hint="eastAsia"/>
        </w:rPr>
        <w:t>区内分布的表土均为可剥离表土，</w:t>
      </w:r>
      <w:r>
        <w:rPr>
          <w:rFonts w:ascii="瀹嬩綋" w:eastAsia="瀹嬩綋" w:hAnsi="瀹嬩綋" w:cs="瀹嬩綋" w:hint="eastAsia"/>
          <w:color w:val="000000"/>
          <w:kern w:val="0"/>
          <w:lang w:bidi="ar"/>
        </w:rPr>
        <w:t>临时生产区表土剥离及挖方量为</w:t>
      </w:r>
      <w:r>
        <w:rPr>
          <w:rFonts w:ascii="Times New Roman" w:eastAsia="宋体" w:hAnsi="Times New Roman" w:cs="Times New Roman" w:hint="eastAsia"/>
          <w:color w:val="000000"/>
          <w:kern w:val="0"/>
          <w:lang w:bidi="ar"/>
        </w:rPr>
        <w:t>139345.11m</w:t>
      </w:r>
      <w:r>
        <w:rPr>
          <w:rFonts w:ascii="Times New Roman" w:eastAsia="宋体" w:hAnsi="Times New Roman" w:cs="Times New Roman" w:hint="eastAsia"/>
          <w:color w:val="000000"/>
          <w:kern w:val="0"/>
          <w:vertAlign w:val="superscript"/>
          <w:lang w:bidi="ar"/>
        </w:rPr>
        <w:t>3</w:t>
      </w:r>
      <w:r>
        <w:rPr>
          <w:rFonts w:hint="eastAsia"/>
        </w:rPr>
        <w:t>。待施工结束后，进行全面整地、表土回覆、土地复垦及植被恢复。</w:t>
      </w:r>
    </w:p>
    <w:p w14:paraId="32BF9E45" w14:textId="77777777" w:rsidR="009D12AF" w:rsidRDefault="00000000">
      <w:pPr>
        <w:ind w:firstLine="480"/>
      </w:pPr>
      <w:r>
        <w:rPr>
          <w:rFonts w:hint="eastAsia"/>
        </w:rPr>
        <w:t>（</w:t>
      </w:r>
      <w:r>
        <w:rPr>
          <w:rFonts w:hint="eastAsia"/>
        </w:rPr>
        <w:t>5</w:t>
      </w:r>
      <w:r>
        <w:rPr>
          <w:rFonts w:hint="eastAsia"/>
        </w:rPr>
        <w:t>）牡丹江金达农化有限公司依托可行性分析</w:t>
      </w:r>
    </w:p>
    <w:p w14:paraId="7C278D3D" w14:textId="77777777" w:rsidR="009D12AF" w:rsidRDefault="00000000">
      <w:pPr>
        <w:widowControl/>
        <w:wordWrap w:val="0"/>
        <w:ind w:firstLine="480"/>
        <w:jc w:val="left"/>
        <w:rPr>
          <w:rFonts w:ascii="宋体" w:eastAsia="宋体" w:hAnsi="宋体" w:cs="宋体" w:hint="eastAsia"/>
          <w:color w:val="000000"/>
          <w:kern w:val="0"/>
          <w:lang w:bidi="ar"/>
        </w:rPr>
      </w:pPr>
      <w:r>
        <w:rPr>
          <w:rFonts w:hint="eastAsia"/>
        </w:rPr>
        <w:t>牡丹江金达农化有限公司位于黑龙江省牡丹江市宁安工业园区内，企业主要为复混肥料的制造牡丹江金达农化有限公司已于</w:t>
      </w:r>
      <w:r>
        <w:rPr>
          <w:rFonts w:hint="eastAsia"/>
        </w:rPr>
        <w:t>2024</w:t>
      </w:r>
      <w:r>
        <w:rPr>
          <w:rFonts w:hint="eastAsia"/>
        </w:rPr>
        <w:t>年</w:t>
      </w:r>
      <w:r>
        <w:rPr>
          <w:rFonts w:hint="eastAsia"/>
        </w:rPr>
        <w:t>9</w:t>
      </w:r>
      <w:r>
        <w:rPr>
          <w:rFonts w:hint="eastAsia"/>
        </w:rPr>
        <w:t>年</w:t>
      </w:r>
      <w:r>
        <w:rPr>
          <w:rFonts w:hint="eastAsia"/>
        </w:rPr>
        <w:t>18</w:t>
      </w:r>
      <w:r>
        <w:rPr>
          <w:rFonts w:hint="eastAsia"/>
        </w:rPr>
        <w:t>日取得牡丹江市生态环境局颁发的排污许可证，排污许可证书编号</w:t>
      </w:r>
      <w:r>
        <w:rPr>
          <w:rFonts w:hint="eastAsia"/>
        </w:rPr>
        <w:t>912310847627277910001Q</w:t>
      </w:r>
      <w:r>
        <w:rPr>
          <w:rFonts w:hint="eastAsia"/>
        </w:rPr>
        <w:t>，有效期限：自</w:t>
      </w:r>
      <w:r>
        <w:rPr>
          <w:rFonts w:hint="eastAsia"/>
        </w:rPr>
        <w:t>2024</w:t>
      </w:r>
      <w:r>
        <w:rPr>
          <w:rFonts w:hint="eastAsia"/>
        </w:rPr>
        <w:t>年</w:t>
      </w:r>
      <w:r>
        <w:rPr>
          <w:rFonts w:hint="eastAsia"/>
        </w:rPr>
        <w:t>09</w:t>
      </w:r>
      <w:r>
        <w:rPr>
          <w:rFonts w:hint="eastAsia"/>
        </w:rPr>
        <w:t>月</w:t>
      </w:r>
      <w:r>
        <w:rPr>
          <w:rFonts w:hint="eastAsia"/>
        </w:rPr>
        <w:t>18</w:t>
      </w:r>
      <w:r>
        <w:rPr>
          <w:rFonts w:hint="eastAsia"/>
        </w:rPr>
        <w:t>日起至</w:t>
      </w:r>
      <w:r>
        <w:rPr>
          <w:rFonts w:hint="eastAsia"/>
        </w:rPr>
        <w:t>2029</w:t>
      </w:r>
      <w:r>
        <w:rPr>
          <w:rFonts w:hint="eastAsia"/>
        </w:rPr>
        <w:t>年</w:t>
      </w:r>
      <w:r>
        <w:rPr>
          <w:rFonts w:hint="eastAsia"/>
        </w:rPr>
        <w:t>09</w:t>
      </w:r>
      <w:r>
        <w:rPr>
          <w:rFonts w:hint="eastAsia"/>
        </w:rPr>
        <w:t>月</w:t>
      </w:r>
      <w:r>
        <w:rPr>
          <w:rFonts w:hint="eastAsia"/>
        </w:rPr>
        <w:t>17</w:t>
      </w:r>
      <w:r>
        <w:rPr>
          <w:rFonts w:hint="eastAsia"/>
        </w:rPr>
        <w:t>日止，行业类别为复混肥料制造，根据牡丹江金达农化有限公司排污许可年度执行报告，现企业运行正常，可稳定达标。</w:t>
      </w:r>
      <w:r>
        <w:rPr>
          <w:rFonts w:ascii="宋体" w:eastAsia="宋体" w:hAnsi="宋体" w:cs="宋体" w:hint="eastAsia"/>
          <w:color w:val="000000"/>
          <w:kern w:val="0"/>
          <w:lang w:bidi="ar"/>
        </w:rPr>
        <w:t>因此，后期委托</w:t>
      </w:r>
      <w:r>
        <w:rPr>
          <w:rFonts w:hint="eastAsia"/>
        </w:rPr>
        <w:t>牡丹江金达农化有限公司对其清淤底泥进行加工制作生物肥可行，由企业售卖</w:t>
      </w:r>
      <w:r>
        <w:rPr>
          <w:rFonts w:ascii="宋体" w:eastAsia="宋体" w:hAnsi="宋体" w:cs="宋体" w:hint="eastAsia"/>
          <w:color w:val="000000"/>
          <w:kern w:val="0"/>
          <w:lang w:bidi="ar"/>
        </w:rPr>
        <w:t>。</w:t>
      </w:r>
    </w:p>
    <w:p w14:paraId="146244A4" w14:textId="77777777" w:rsidR="009D12AF" w:rsidRDefault="00000000">
      <w:pPr>
        <w:ind w:firstLine="480"/>
        <w:rPr>
          <w:color w:val="FF0000"/>
          <w:highlight w:val="yellow"/>
        </w:rPr>
      </w:pPr>
      <w:r>
        <w:t>采取上述措施，可妥善处置施工期固体废物，控制其对环境影响，固体废物处置措施可行。</w:t>
      </w:r>
    </w:p>
    <w:p w14:paraId="18EFF536" w14:textId="77777777" w:rsidR="009D12AF" w:rsidRDefault="00000000">
      <w:pPr>
        <w:pStyle w:val="3"/>
      </w:pPr>
      <w:bookmarkStart w:id="399" w:name="_Toc6237"/>
      <w:bookmarkStart w:id="400" w:name="_Toc6366"/>
      <w:bookmarkStart w:id="401" w:name="_Toc23139"/>
      <w:bookmarkStart w:id="402" w:name="_Toc7604"/>
      <w:r>
        <w:rPr>
          <w:rFonts w:hint="eastAsia"/>
        </w:rPr>
        <w:t>6</w:t>
      </w:r>
      <w:r>
        <w:t xml:space="preserve">.1.4 </w:t>
      </w:r>
      <w:r>
        <w:t>施工期</w:t>
      </w:r>
      <w:r>
        <w:rPr>
          <w:rFonts w:hint="eastAsia"/>
        </w:rPr>
        <w:t>土壤环境</w:t>
      </w:r>
      <w:r>
        <w:t>保护措施及其可行性论证</w:t>
      </w:r>
      <w:bookmarkEnd w:id="399"/>
      <w:bookmarkEnd w:id="400"/>
      <w:bookmarkEnd w:id="401"/>
      <w:bookmarkEnd w:id="402"/>
    </w:p>
    <w:p w14:paraId="489EE3D8" w14:textId="77777777" w:rsidR="009D12AF" w:rsidRDefault="00000000">
      <w:pPr>
        <w:snapToGrid w:val="0"/>
        <w:ind w:firstLine="480"/>
        <w:rPr>
          <w:lang w:bidi="ar"/>
        </w:rPr>
      </w:pPr>
      <w:r>
        <w:rPr>
          <w:lang w:bidi="ar"/>
        </w:rPr>
        <w:t>本项目土壤污染防治采取源头控制和过程防控措施，并通过跟踪监测，以便及时发现问题采取措施。为进一步减免工程建设和运行对士壤环境的影响，应采取如下对策措施</w:t>
      </w:r>
      <w:r>
        <w:rPr>
          <w:lang w:bidi="ar"/>
        </w:rPr>
        <w:t>:</w:t>
      </w:r>
    </w:p>
    <w:p w14:paraId="1297BD66" w14:textId="77777777" w:rsidR="009D12AF" w:rsidRDefault="00000000">
      <w:pPr>
        <w:snapToGrid w:val="0"/>
        <w:ind w:firstLine="480"/>
        <w:rPr>
          <w:lang w:bidi="ar"/>
        </w:rPr>
      </w:pPr>
      <w:r>
        <w:rPr>
          <w:lang w:bidi="ar"/>
        </w:rPr>
        <w:t>（</w:t>
      </w:r>
      <w:r>
        <w:rPr>
          <w:lang w:bidi="ar"/>
        </w:rPr>
        <w:t>1</w:t>
      </w:r>
      <w:r>
        <w:rPr>
          <w:lang w:bidi="ar"/>
        </w:rPr>
        <w:t>）施工期及时采取围挡、截排水及种植水保植物等措施，有效防治土壤流失。</w:t>
      </w:r>
    </w:p>
    <w:p w14:paraId="6249A30E" w14:textId="77777777" w:rsidR="009D12AF" w:rsidRDefault="00000000">
      <w:pPr>
        <w:snapToGrid w:val="0"/>
        <w:ind w:firstLine="480"/>
        <w:rPr>
          <w:lang w:bidi="ar"/>
        </w:rPr>
      </w:pPr>
      <w:r>
        <w:rPr>
          <w:lang w:bidi="ar"/>
        </w:rPr>
        <w:t>（</w:t>
      </w:r>
      <w:r>
        <w:rPr>
          <w:lang w:bidi="ar"/>
        </w:rPr>
        <w:t>2</w:t>
      </w:r>
      <w:r>
        <w:rPr>
          <w:lang w:bidi="ar"/>
        </w:rPr>
        <w:t>）对</w:t>
      </w:r>
      <w:r>
        <w:rPr>
          <w:rFonts w:hint="eastAsia"/>
          <w:lang w:bidi="ar"/>
        </w:rPr>
        <w:t>临时生产区</w:t>
      </w:r>
      <w:r>
        <w:rPr>
          <w:lang w:bidi="ar"/>
        </w:rPr>
        <w:t>进行场地硬化，加强施工物料的防流失措施，做好截排水沟、沉淀池防渗措施。</w:t>
      </w:r>
    </w:p>
    <w:p w14:paraId="3E014859" w14:textId="77777777" w:rsidR="009D12AF" w:rsidRDefault="00000000">
      <w:pPr>
        <w:snapToGrid w:val="0"/>
        <w:ind w:firstLine="480"/>
        <w:rPr>
          <w:lang w:bidi="ar"/>
        </w:rPr>
      </w:pPr>
      <w:r>
        <w:rPr>
          <w:lang w:bidi="ar"/>
        </w:rPr>
        <w:t>（</w:t>
      </w:r>
      <w:r>
        <w:rPr>
          <w:lang w:bidi="ar"/>
        </w:rPr>
        <w:t>3</w:t>
      </w:r>
      <w:r>
        <w:rPr>
          <w:lang w:bidi="ar"/>
        </w:rPr>
        <w:t>）定期维护机械设备，杜绝跑冒漏滴现象。</w:t>
      </w:r>
    </w:p>
    <w:p w14:paraId="52414643" w14:textId="77777777" w:rsidR="009D12AF" w:rsidRDefault="00000000">
      <w:pPr>
        <w:ind w:firstLine="480"/>
        <w:rPr>
          <w:rFonts w:ascii="Times New Roman" w:hAnsi="Times New Roman" w:cs="Times New Roman"/>
          <w:color w:val="FF0000"/>
          <w:highlight w:val="yellow"/>
        </w:rPr>
      </w:pPr>
      <w:r>
        <w:rPr>
          <w:lang w:bidi="ar"/>
        </w:rPr>
        <w:t>（</w:t>
      </w:r>
      <w:r>
        <w:rPr>
          <w:lang w:bidi="ar"/>
        </w:rPr>
        <w:t>4</w:t>
      </w:r>
      <w:r>
        <w:rPr>
          <w:lang w:bidi="ar"/>
        </w:rPr>
        <w:t>）运行期应建立土壤环境质量监管机制，发现有明显盐化、潜育化等不良影响的应及时采取改进措施，把不利影响降至最低水平。</w:t>
      </w:r>
    </w:p>
    <w:p w14:paraId="2D316091" w14:textId="77777777" w:rsidR="009D12AF" w:rsidRDefault="00000000">
      <w:pPr>
        <w:pStyle w:val="3"/>
      </w:pPr>
      <w:bookmarkStart w:id="403" w:name="_Toc25906"/>
      <w:bookmarkStart w:id="404" w:name="_Toc7279"/>
      <w:bookmarkStart w:id="405" w:name="_Toc8341"/>
      <w:bookmarkStart w:id="406" w:name="_Toc9652"/>
      <w:r>
        <w:rPr>
          <w:rFonts w:hint="eastAsia"/>
        </w:rPr>
        <w:lastRenderedPageBreak/>
        <w:t>6</w:t>
      </w:r>
      <w:r>
        <w:t xml:space="preserve">.1.5 </w:t>
      </w:r>
      <w:r>
        <w:t>施工期</w:t>
      </w:r>
      <w:bookmarkEnd w:id="403"/>
      <w:bookmarkEnd w:id="404"/>
      <w:bookmarkEnd w:id="405"/>
      <w:r>
        <w:rPr>
          <w:rFonts w:hint="eastAsia"/>
        </w:rPr>
        <w:t>环境风险防范措施</w:t>
      </w:r>
      <w:bookmarkEnd w:id="406"/>
    </w:p>
    <w:p w14:paraId="5A52678D" w14:textId="77777777" w:rsidR="009D12AF" w:rsidRDefault="00000000">
      <w:pPr>
        <w:ind w:firstLine="480"/>
        <w:rPr>
          <w:kern w:val="0"/>
        </w:rPr>
      </w:pPr>
      <w:r>
        <w:rPr>
          <w:kern w:val="0"/>
        </w:rPr>
        <w:t>一、项目施工期对可能出现的风险应做到以下几点：</w:t>
      </w:r>
    </w:p>
    <w:p w14:paraId="265B7400" w14:textId="77777777" w:rsidR="009D12AF" w:rsidRDefault="00000000">
      <w:pPr>
        <w:autoSpaceDE w:val="0"/>
        <w:autoSpaceDN w:val="0"/>
        <w:adjustRightInd w:val="0"/>
        <w:ind w:firstLine="480"/>
        <w:rPr>
          <w:kern w:val="0"/>
        </w:rPr>
      </w:pPr>
      <w:r>
        <w:rPr>
          <w:kern w:val="0"/>
        </w:rPr>
        <w:t>（</w:t>
      </w:r>
      <w:r>
        <w:rPr>
          <w:kern w:val="0"/>
        </w:rPr>
        <w:t>1</w:t>
      </w:r>
      <w:r>
        <w:rPr>
          <w:kern w:val="0"/>
        </w:rPr>
        <w:t>）加强对生产废水处理设施的日常管理，保证生活污水处理设施和基坑排水处理设施的稳定、正常运行。</w:t>
      </w:r>
    </w:p>
    <w:p w14:paraId="1D7DED6F" w14:textId="77777777" w:rsidR="009D12AF" w:rsidRDefault="00000000">
      <w:pPr>
        <w:autoSpaceDE w:val="0"/>
        <w:autoSpaceDN w:val="0"/>
        <w:adjustRightInd w:val="0"/>
        <w:ind w:firstLine="480"/>
        <w:rPr>
          <w:kern w:val="0"/>
        </w:rPr>
      </w:pPr>
      <w:r>
        <w:rPr>
          <w:kern w:val="0"/>
        </w:rPr>
        <w:t>（</w:t>
      </w:r>
      <w:r>
        <w:rPr>
          <w:kern w:val="0"/>
        </w:rPr>
        <w:t>2</w:t>
      </w:r>
      <w:r>
        <w:rPr>
          <w:kern w:val="0"/>
        </w:rPr>
        <w:t>）加强对生产废水处理设施的管理人员进行技术培训，增强管理人员的业务能力，避免因人为操作失当引起生产废水处理设施发生故障。</w:t>
      </w:r>
    </w:p>
    <w:p w14:paraId="030A6F1B" w14:textId="77777777" w:rsidR="009D12AF" w:rsidRDefault="00000000">
      <w:pPr>
        <w:autoSpaceDE w:val="0"/>
        <w:autoSpaceDN w:val="0"/>
        <w:adjustRightInd w:val="0"/>
        <w:ind w:firstLine="480"/>
        <w:rPr>
          <w:kern w:val="0"/>
        </w:rPr>
      </w:pPr>
      <w:r>
        <w:rPr>
          <w:kern w:val="0"/>
        </w:rPr>
        <w:t>（</w:t>
      </w:r>
      <w:r>
        <w:rPr>
          <w:kern w:val="0"/>
        </w:rPr>
        <w:t>3</w:t>
      </w:r>
      <w:r>
        <w:rPr>
          <w:kern w:val="0"/>
        </w:rPr>
        <w:t>）污水处理系统运行管理人员应加强对处理系统的巡视和水质监控，及时发现问题，立即查清事故排放源，并启动应急预案。</w:t>
      </w:r>
    </w:p>
    <w:p w14:paraId="4254FFA1" w14:textId="77777777" w:rsidR="009D12AF" w:rsidRDefault="00000000">
      <w:pPr>
        <w:autoSpaceDE w:val="0"/>
        <w:autoSpaceDN w:val="0"/>
        <w:adjustRightInd w:val="0"/>
        <w:ind w:firstLine="480"/>
        <w:rPr>
          <w:kern w:val="0"/>
        </w:rPr>
      </w:pPr>
      <w:r>
        <w:rPr>
          <w:kern w:val="0"/>
        </w:rPr>
        <w:t>（</w:t>
      </w:r>
      <w:r>
        <w:rPr>
          <w:kern w:val="0"/>
        </w:rPr>
        <w:t>4</w:t>
      </w:r>
      <w:r>
        <w:rPr>
          <w:kern w:val="0"/>
        </w:rPr>
        <w:t>）加强施工围堰的巡查工作，避免围堰内未处理废水直接外泄。</w:t>
      </w:r>
    </w:p>
    <w:p w14:paraId="51DF8C65" w14:textId="77777777" w:rsidR="009D12AF" w:rsidRDefault="00000000">
      <w:pPr>
        <w:autoSpaceDE w:val="0"/>
        <w:autoSpaceDN w:val="0"/>
        <w:adjustRightInd w:val="0"/>
        <w:ind w:firstLine="480"/>
        <w:rPr>
          <w:kern w:val="0"/>
        </w:rPr>
      </w:pPr>
      <w:r>
        <w:rPr>
          <w:kern w:val="0"/>
        </w:rPr>
        <w:t>（</w:t>
      </w:r>
      <w:r>
        <w:rPr>
          <w:kern w:val="0"/>
        </w:rPr>
        <w:t>5</w:t>
      </w:r>
      <w:r>
        <w:rPr>
          <w:kern w:val="0"/>
        </w:rPr>
        <w:t>）设立标志，加强巡检，防止人为破坏。</w:t>
      </w:r>
    </w:p>
    <w:p w14:paraId="0819E56C" w14:textId="77777777" w:rsidR="009D12AF" w:rsidRDefault="00000000">
      <w:pPr>
        <w:autoSpaceDE w:val="0"/>
        <w:autoSpaceDN w:val="0"/>
        <w:adjustRightInd w:val="0"/>
        <w:ind w:firstLine="480"/>
        <w:rPr>
          <w:kern w:val="0"/>
        </w:rPr>
      </w:pPr>
      <w:r>
        <w:rPr>
          <w:kern w:val="0"/>
        </w:rPr>
        <w:t>（</w:t>
      </w:r>
      <w:r>
        <w:rPr>
          <w:kern w:val="0"/>
        </w:rPr>
        <w:t>6</w:t>
      </w:r>
      <w:r>
        <w:rPr>
          <w:kern w:val="0"/>
        </w:rPr>
        <w:t>）重视环境管理工作，加强监督，及时发现柴油使用过程中存在的隐患。</w:t>
      </w:r>
    </w:p>
    <w:p w14:paraId="648314D5" w14:textId="77777777" w:rsidR="009D12AF" w:rsidRDefault="00000000">
      <w:pPr>
        <w:autoSpaceDE w:val="0"/>
        <w:autoSpaceDN w:val="0"/>
        <w:adjustRightInd w:val="0"/>
        <w:ind w:firstLine="480"/>
        <w:rPr>
          <w:kern w:val="0"/>
        </w:rPr>
      </w:pPr>
      <w:r>
        <w:rPr>
          <w:rFonts w:hint="eastAsia"/>
          <w:kern w:val="0"/>
        </w:rPr>
        <w:t>二、风险应急预案</w:t>
      </w:r>
    </w:p>
    <w:p w14:paraId="13C31CDA" w14:textId="77777777" w:rsidR="009D12AF" w:rsidRDefault="00000000">
      <w:pPr>
        <w:autoSpaceDE w:val="0"/>
        <w:autoSpaceDN w:val="0"/>
        <w:adjustRightInd w:val="0"/>
        <w:ind w:firstLine="480"/>
        <w:rPr>
          <w:kern w:val="0"/>
        </w:rPr>
      </w:pPr>
      <w:r>
        <w:rPr>
          <w:rFonts w:hint="eastAsia"/>
          <w:kern w:val="0"/>
        </w:rPr>
        <w:t>为有效预防、及时控制和消除本工程突发环境事件的危害，建立统一、规范、科学、高效的风险事故突发环境事件处置指挥体系，确保发生突发环境事件的应急处置工作，保证饮用水安全，在事件发生后迅速有效控制处理，防止事件蔓延、扩大，维护社会稳定，保障公众健康和环境安全。根据相关法律法规，</w:t>
      </w:r>
      <w:r>
        <w:rPr>
          <w:rFonts w:hint="eastAsia"/>
        </w:rPr>
        <w:t>水源地</w:t>
      </w:r>
      <w:r>
        <w:rPr>
          <w:rFonts w:hint="eastAsia"/>
          <w:kern w:val="0"/>
        </w:rPr>
        <w:t>管理处和该工程周边环境敏感点组成联合事故应急网络，抢险用具配置、急救方案确定中均要求同时考虑，在进行各种演习中必须有周边环境敏感点居民共同参加。本报告列出预案框架，以供企业在制定事故应急预案时作参考。</w:t>
      </w:r>
    </w:p>
    <w:p w14:paraId="3F369922" w14:textId="77777777" w:rsidR="009D12AF" w:rsidRDefault="00000000">
      <w:pPr>
        <w:autoSpaceDE w:val="0"/>
        <w:autoSpaceDN w:val="0"/>
        <w:adjustRightInd w:val="0"/>
        <w:ind w:firstLine="480"/>
        <w:rPr>
          <w:kern w:val="0"/>
        </w:rPr>
      </w:pPr>
      <w:r>
        <w:rPr>
          <w:rFonts w:hint="eastAsia"/>
          <w:kern w:val="0"/>
        </w:rPr>
        <w:t>1</w:t>
      </w:r>
      <w:r>
        <w:rPr>
          <w:rFonts w:hint="eastAsia"/>
          <w:kern w:val="0"/>
        </w:rPr>
        <w:t>、预案制定前的准备。制定危险源及其潜在的危险危害。主要包括发生事故时的可能途径、事故性质、危害范围、发生频率、危险等级，并确定一般、重大灾害事故危险源。</w:t>
      </w:r>
    </w:p>
    <w:p w14:paraId="2C9D8133" w14:textId="77777777" w:rsidR="009D12AF" w:rsidRDefault="00000000">
      <w:pPr>
        <w:autoSpaceDE w:val="0"/>
        <w:autoSpaceDN w:val="0"/>
        <w:adjustRightInd w:val="0"/>
        <w:ind w:firstLine="480"/>
        <w:rPr>
          <w:kern w:val="0"/>
        </w:rPr>
      </w:pPr>
      <w:r>
        <w:rPr>
          <w:rFonts w:hint="eastAsia"/>
          <w:kern w:val="0"/>
        </w:rPr>
        <w:t>2</w:t>
      </w:r>
      <w:r>
        <w:rPr>
          <w:rFonts w:hint="eastAsia"/>
          <w:kern w:val="0"/>
        </w:rPr>
        <w:t>、预案的主要内容。该项目应针对该项目编制应急预案，应急救援预案的主要内容见下</w:t>
      </w:r>
    </w:p>
    <w:p w14:paraId="31723ED2" w14:textId="77777777" w:rsidR="009D12AF" w:rsidRDefault="00000000">
      <w:pPr>
        <w:autoSpaceDE w:val="0"/>
        <w:autoSpaceDN w:val="0"/>
        <w:adjustRightInd w:val="0"/>
        <w:ind w:firstLine="480"/>
        <w:rPr>
          <w:kern w:val="0"/>
        </w:rPr>
      </w:pPr>
      <w:r>
        <w:rPr>
          <w:rFonts w:hint="eastAsia"/>
          <w:kern w:val="0"/>
        </w:rPr>
        <w:t>（</w:t>
      </w:r>
      <w:r>
        <w:rPr>
          <w:rFonts w:hint="eastAsia"/>
          <w:kern w:val="0"/>
        </w:rPr>
        <w:t>1</w:t>
      </w:r>
      <w:r>
        <w:rPr>
          <w:rFonts w:hint="eastAsia"/>
          <w:kern w:val="0"/>
        </w:rPr>
        <w:t>）指挥机构及人员：主要包括指挥人员的名单、职责、临时替代者，不同事故时的不同指挥地点，常规值班表。在指挥人员中必须包括公司有关部门的负责人。</w:t>
      </w:r>
    </w:p>
    <w:p w14:paraId="06E0C819" w14:textId="77777777" w:rsidR="009D12AF" w:rsidRDefault="00000000">
      <w:pPr>
        <w:autoSpaceDE w:val="0"/>
        <w:autoSpaceDN w:val="0"/>
        <w:adjustRightInd w:val="0"/>
        <w:ind w:firstLine="480"/>
        <w:rPr>
          <w:kern w:val="0"/>
        </w:rPr>
      </w:pPr>
      <w:r>
        <w:rPr>
          <w:rFonts w:hint="eastAsia"/>
          <w:kern w:val="0"/>
        </w:rPr>
        <w:t>（</w:t>
      </w:r>
      <w:r>
        <w:rPr>
          <w:rFonts w:hint="eastAsia"/>
          <w:kern w:val="0"/>
        </w:rPr>
        <w:t>2</w:t>
      </w:r>
      <w:r>
        <w:rPr>
          <w:rFonts w:hint="eastAsia"/>
          <w:kern w:val="0"/>
        </w:rPr>
        <w:t>）预案分级响应条件：根据工程特征，规定预案的级别及分级响应程序。</w:t>
      </w:r>
    </w:p>
    <w:p w14:paraId="78691755" w14:textId="77777777" w:rsidR="009D12AF" w:rsidRDefault="00000000">
      <w:pPr>
        <w:autoSpaceDE w:val="0"/>
        <w:autoSpaceDN w:val="0"/>
        <w:adjustRightInd w:val="0"/>
        <w:ind w:firstLine="480"/>
        <w:rPr>
          <w:kern w:val="0"/>
        </w:rPr>
      </w:pPr>
      <w:r>
        <w:rPr>
          <w:rFonts w:hint="eastAsia"/>
          <w:kern w:val="0"/>
        </w:rPr>
        <w:t>（</w:t>
      </w:r>
      <w:r>
        <w:rPr>
          <w:rFonts w:hint="eastAsia"/>
          <w:kern w:val="0"/>
        </w:rPr>
        <w:t>3</w:t>
      </w:r>
      <w:r>
        <w:rPr>
          <w:rFonts w:hint="eastAsia"/>
          <w:kern w:val="0"/>
        </w:rPr>
        <w:t>）应急救援保障</w:t>
      </w:r>
      <w:r>
        <w:rPr>
          <w:rFonts w:hint="eastAsia"/>
          <w:kern w:val="0"/>
        </w:rPr>
        <w:t>:</w:t>
      </w:r>
      <w:r>
        <w:rPr>
          <w:rFonts w:hint="eastAsia"/>
          <w:kern w:val="0"/>
        </w:rPr>
        <w:t>规定并明确应急设施、设备与器材，并落实专人管理。</w:t>
      </w:r>
    </w:p>
    <w:p w14:paraId="72B1172E" w14:textId="77777777" w:rsidR="009D12AF" w:rsidRDefault="00000000">
      <w:pPr>
        <w:autoSpaceDE w:val="0"/>
        <w:autoSpaceDN w:val="0"/>
        <w:adjustRightInd w:val="0"/>
        <w:ind w:firstLine="480"/>
        <w:rPr>
          <w:kern w:val="0"/>
        </w:rPr>
      </w:pPr>
      <w:r>
        <w:rPr>
          <w:rFonts w:hint="eastAsia"/>
          <w:kern w:val="0"/>
        </w:rPr>
        <w:lastRenderedPageBreak/>
        <w:t>（</w:t>
      </w:r>
      <w:r>
        <w:rPr>
          <w:rFonts w:hint="eastAsia"/>
          <w:kern w:val="0"/>
        </w:rPr>
        <w:t>4</w:t>
      </w:r>
      <w:r>
        <w:rPr>
          <w:rFonts w:hint="eastAsia"/>
          <w:kern w:val="0"/>
        </w:rPr>
        <w:t>）报警、通讯联络方式：主要包括事故报警电话号码、通讯、联络方法较远距离的信号联络，突发停电、雷电暴雨等特殊情况下的报警、通讯、联络。</w:t>
      </w:r>
    </w:p>
    <w:p w14:paraId="0ED330EE" w14:textId="77777777" w:rsidR="009D12AF" w:rsidRDefault="00000000">
      <w:pPr>
        <w:autoSpaceDE w:val="0"/>
        <w:autoSpaceDN w:val="0"/>
        <w:adjustRightInd w:val="0"/>
        <w:ind w:firstLine="480"/>
        <w:rPr>
          <w:kern w:val="0"/>
        </w:rPr>
      </w:pPr>
      <w:r>
        <w:rPr>
          <w:rFonts w:hint="eastAsia"/>
          <w:kern w:val="0"/>
        </w:rPr>
        <w:t>（</w:t>
      </w:r>
      <w:r>
        <w:rPr>
          <w:rFonts w:hint="eastAsia"/>
          <w:kern w:val="0"/>
        </w:rPr>
        <w:t>5</w:t>
      </w:r>
      <w:r>
        <w:rPr>
          <w:rFonts w:hint="eastAsia"/>
          <w:kern w:val="0"/>
        </w:rPr>
        <w:t>）应急措施：包括两个方面，一是应急环境监测、抢险、救援和控制措施由专业队伍负责对事故现场进行侦察监测，对事故性质、参数与后果进行评估为指挥部提供决策依据；二是应急检测、防护措施、清除泄漏措施和器材，包括事故现场、临近区域及控制防火区域，明确控制和清除污染措施及相应设备制定不同事故时不同救援方案和程序，并配有清晰的图示，明确职工自救、互救方法，规定伤员转运途中的医护技术要求，制定医护人员的常规值班表、详细地址和联络途径，确定现场急救点并设置明显标志。</w:t>
      </w:r>
    </w:p>
    <w:p w14:paraId="5708DF9E" w14:textId="77777777" w:rsidR="009D12AF" w:rsidRDefault="00000000">
      <w:pPr>
        <w:autoSpaceDE w:val="0"/>
        <w:autoSpaceDN w:val="0"/>
        <w:adjustRightInd w:val="0"/>
        <w:ind w:firstLine="480"/>
        <w:rPr>
          <w:kern w:val="0"/>
        </w:rPr>
      </w:pPr>
      <w:r>
        <w:rPr>
          <w:rFonts w:hint="eastAsia"/>
          <w:kern w:val="0"/>
        </w:rPr>
        <w:t>（</w:t>
      </w:r>
      <w:r>
        <w:rPr>
          <w:rFonts w:hint="eastAsia"/>
          <w:kern w:val="0"/>
        </w:rPr>
        <w:t>6</w:t>
      </w:r>
      <w:r>
        <w:rPr>
          <w:rFonts w:hint="eastAsia"/>
          <w:kern w:val="0"/>
        </w:rPr>
        <w:t>）事故应急救援关闭程序与恢复措施：规定应急状态终止程序，提出事故现场善后处理和恢复措施及邻近区域解除事故警戒及善后恢复措施。</w:t>
      </w:r>
    </w:p>
    <w:p w14:paraId="0A77A358" w14:textId="77777777" w:rsidR="009D12AF" w:rsidRDefault="00000000">
      <w:pPr>
        <w:autoSpaceDE w:val="0"/>
        <w:autoSpaceDN w:val="0"/>
        <w:adjustRightInd w:val="0"/>
        <w:ind w:firstLine="480"/>
        <w:rPr>
          <w:kern w:val="0"/>
        </w:rPr>
      </w:pPr>
      <w:r>
        <w:rPr>
          <w:rFonts w:hint="eastAsia"/>
          <w:kern w:val="0"/>
        </w:rPr>
        <w:t>（</w:t>
      </w:r>
      <w:r>
        <w:rPr>
          <w:rFonts w:hint="eastAsia"/>
          <w:kern w:val="0"/>
        </w:rPr>
        <w:t>7</w:t>
      </w:r>
      <w:r>
        <w:rPr>
          <w:rFonts w:hint="eastAsia"/>
          <w:kern w:val="0"/>
        </w:rPr>
        <w:t>）应急培训计划：定期安排人员进行培训与演练，必要时包括附近的居民。</w:t>
      </w:r>
    </w:p>
    <w:p w14:paraId="2AC20C82" w14:textId="77777777" w:rsidR="009D12AF" w:rsidRDefault="00000000">
      <w:pPr>
        <w:autoSpaceDE w:val="0"/>
        <w:autoSpaceDN w:val="0"/>
        <w:adjustRightInd w:val="0"/>
        <w:ind w:firstLine="480"/>
        <w:rPr>
          <w:kern w:val="0"/>
        </w:rPr>
      </w:pPr>
      <w:r>
        <w:rPr>
          <w:rFonts w:hint="eastAsia"/>
          <w:kern w:val="0"/>
        </w:rPr>
        <w:t>（</w:t>
      </w:r>
      <w:r>
        <w:rPr>
          <w:rFonts w:hint="eastAsia"/>
          <w:kern w:val="0"/>
        </w:rPr>
        <w:t>8</w:t>
      </w:r>
      <w:r>
        <w:rPr>
          <w:rFonts w:hint="eastAsia"/>
          <w:kern w:val="0"/>
        </w:rPr>
        <w:t>）公众教育和信息：对工厂邻近地区开展公众教育、培训和发布有关信息。</w:t>
      </w:r>
    </w:p>
    <w:p w14:paraId="7166B123" w14:textId="77777777" w:rsidR="009D12AF" w:rsidRDefault="00000000">
      <w:pPr>
        <w:ind w:firstLine="480"/>
        <w:rPr>
          <w:highlight w:val="yellow"/>
        </w:rPr>
      </w:pPr>
      <w:r>
        <w:rPr>
          <w:rFonts w:hint="eastAsia"/>
          <w:kern w:val="0"/>
        </w:rPr>
        <w:t>3</w:t>
      </w:r>
      <w:r>
        <w:rPr>
          <w:rFonts w:hint="eastAsia"/>
          <w:kern w:val="0"/>
        </w:rPr>
        <w:t>、施工过程中若发生环境风险，应启动环境风险应急预案，同时应立即联系水源地管理处，对整个水源地启动联动应急预案，减少供水水质影响。</w:t>
      </w:r>
    </w:p>
    <w:p w14:paraId="0BA68AB9" w14:textId="77777777" w:rsidR="009D12AF" w:rsidRDefault="00000000">
      <w:pPr>
        <w:pStyle w:val="3"/>
      </w:pPr>
      <w:bookmarkStart w:id="407" w:name="_Toc21195"/>
      <w:bookmarkStart w:id="408" w:name="_Toc14882"/>
      <w:r>
        <w:t>6.1.</w:t>
      </w:r>
      <w:r>
        <w:rPr>
          <w:rFonts w:hint="eastAsia"/>
        </w:rPr>
        <w:t>7</w:t>
      </w:r>
      <w:bookmarkEnd w:id="407"/>
      <w:r>
        <w:rPr>
          <w:rFonts w:hint="eastAsia"/>
        </w:rPr>
        <w:t>施工期陆生生态保护措施</w:t>
      </w:r>
      <w:bookmarkEnd w:id="408"/>
    </w:p>
    <w:p w14:paraId="0F248A31" w14:textId="77777777" w:rsidR="009D12AF" w:rsidRDefault="00000000">
      <w:pPr>
        <w:pStyle w:val="4"/>
        <w:ind w:firstLineChars="0" w:firstLine="0"/>
      </w:pPr>
      <w:r>
        <w:rPr>
          <w:rFonts w:hint="eastAsia"/>
        </w:rPr>
        <w:t>6.1.7.1</w:t>
      </w:r>
      <w:r>
        <w:rPr>
          <w:rFonts w:asciiTheme="majorEastAsia" w:eastAsiaTheme="majorEastAsia" w:hAnsiTheme="majorEastAsia" w:cstheme="majorEastAsia" w:hint="eastAsia"/>
        </w:rPr>
        <w:t>植物保护措施</w:t>
      </w:r>
    </w:p>
    <w:p w14:paraId="07D62902" w14:textId="77777777" w:rsidR="009D12AF" w:rsidRDefault="00000000">
      <w:pPr>
        <w:adjustRightInd w:val="0"/>
        <w:snapToGrid w:val="0"/>
        <w:spacing w:beforeLines="50" w:before="156"/>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w:t>
      </w:r>
      <w:r>
        <w:rPr>
          <w:rFonts w:ascii="Times New Roman" w:eastAsia="宋体" w:hAnsi="Times New Roman" w:cs="Times New Roman" w:hint="eastAsia"/>
          <w:kern w:val="0"/>
          <w:szCs w:val="20"/>
        </w:rPr>
        <w:t>1</w:t>
      </w:r>
      <w:r>
        <w:rPr>
          <w:rFonts w:ascii="Times New Roman" w:eastAsia="宋体" w:hAnsi="Times New Roman" w:cs="Times New Roman" w:hint="eastAsia"/>
          <w:kern w:val="0"/>
          <w:szCs w:val="20"/>
        </w:rPr>
        <w:t>）避让措施</w:t>
      </w:r>
    </w:p>
    <w:p w14:paraId="3DEFF5D6" w14:textId="77777777" w:rsidR="009D12AF" w:rsidRDefault="00000000">
      <w:pPr>
        <w:ind w:firstLine="480"/>
        <w:jc w:val="left"/>
        <w:rPr>
          <w:rFonts w:ascii="Times New Roman" w:eastAsia="宋体" w:hAnsi="Times New Roman" w:cs="Times New Roman"/>
          <w:kern w:val="0"/>
          <w:szCs w:val="20"/>
        </w:rPr>
      </w:pPr>
      <w:r>
        <w:rPr>
          <w:rFonts w:ascii="Times New Roman" w:eastAsia="宋体" w:hAnsi="Times New Roman" w:cs="Times New Roman" w:hint="eastAsia"/>
          <w:kern w:val="0"/>
          <w:szCs w:val="20"/>
        </w:rPr>
        <w:t>优化工程布置和施工方案，工程选址应尽量避免占用林地或是植被丰富的区域，尽量选择荒地、未利用地，减少对区域自然生态和植被的破坏，保护生物多样性。在临时用地施工中，施工过程尽量在林间缝隙进行，尽量减少对乔木的破坏，有利于今后生态的快速恢复，对受工程影响的国家重点保护植物，根据实际情况开展就地或是迁地保护；施工时应最大限度上做到挖填平衡，尽量使用施工地本身的土方进行各类填埋，减少土石方远距离调运，在减少植被破坏的同时，尽可能地减轻在施工过程中因土石方运输造成的扬尘污染以及雨季施工潜在的</w:t>
      </w:r>
      <w:r>
        <w:rPr>
          <w:rFonts w:ascii="Times New Roman" w:eastAsia="宋体" w:hAnsi="Times New Roman" w:cs="Times New Roman" w:hint="eastAsia"/>
          <w:kern w:val="0"/>
          <w:szCs w:val="20"/>
        </w:rPr>
        <w:lastRenderedPageBreak/>
        <w:t>水土流失等对植被的破坏。</w:t>
      </w:r>
    </w:p>
    <w:p w14:paraId="39B6F0DA"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w:t>
      </w:r>
      <w:r>
        <w:rPr>
          <w:rFonts w:ascii="Times New Roman" w:eastAsia="宋体" w:hAnsi="Times New Roman" w:cs="Times New Roman" w:hint="eastAsia"/>
          <w:kern w:val="0"/>
          <w:szCs w:val="20"/>
        </w:rPr>
        <w:t>2</w:t>
      </w:r>
      <w:r>
        <w:rPr>
          <w:rFonts w:ascii="Times New Roman" w:eastAsia="宋体" w:hAnsi="Times New Roman" w:cs="Times New Roman" w:hint="eastAsia"/>
          <w:kern w:val="0"/>
          <w:szCs w:val="20"/>
        </w:rPr>
        <w:t>）减缓措施</w:t>
      </w:r>
      <w:r>
        <w:rPr>
          <w:rFonts w:ascii="Times New Roman" w:eastAsia="宋体" w:hAnsi="Times New Roman" w:cs="Times New Roman" w:hint="eastAsia"/>
          <w:kern w:val="0"/>
          <w:szCs w:val="20"/>
        </w:rPr>
        <w:t xml:space="preserve"> </w:t>
      </w:r>
    </w:p>
    <w:p w14:paraId="3A42BA6E" w14:textId="77777777" w:rsidR="009D12AF" w:rsidRDefault="00000000">
      <w:pPr>
        <w:ind w:firstLine="480"/>
        <w:jc w:val="left"/>
        <w:rPr>
          <w:rFonts w:ascii="Times New Roman" w:eastAsia="宋体" w:hAnsi="Times New Roman" w:cs="Times New Roman"/>
          <w:kern w:val="0"/>
          <w:szCs w:val="20"/>
        </w:rPr>
      </w:pPr>
      <w:r>
        <w:rPr>
          <w:rFonts w:ascii="Times New Roman" w:eastAsia="宋体" w:hAnsi="Times New Roman" w:cs="Times New Roman" w:hint="eastAsia"/>
          <w:kern w:val="0"/>
          <w:szCs w:val="20"/>
        </w:rPr>
        <w:t>1</w:t>
      </w:r>
      <w:r>
        <w:rPr>
          <w:rFonts w:ascii="Times New Roman" w:eastAsia="宋体" w:hAnsi="Times New Roman" w:cs="Times New Roman" w:hint="eastAsia"/>
          <w:kern w:val="0"/>
          <w:szCs w:val="20"/>
        </w:rPr>
        <w:t>）加强宣传教育，保护现有生态。施工前对施工人员进行保护植物的宣传，印发生态保护手册、在施工区张贴国家重点保护植物画报，加强对工程施工人员和当地群众的生态保护意识；利用工作微信群和</w:t>
      </w:r>
      <w:r>
        <w:rPr>
          <w:rFonts w:ascii="Times New Roman" w:eastAsia="宋体" w:hAnsi="Times New Roman" w:cs="Times New Roman" w:hint="eastAsia"/>
          <w:kern w:val="0"/>
          <w:szCs w:val="20"/>
        </w:rPr>
        <w:t>QQ</w:t>
      </w:r>
      <w:r>
        <w:rPr>
          <w:rFonts w:ascii="Times New Roman" w:eastAsia="宋体" w:hAnsi="Times New Roman" w:cs="Times New Roman" w:hint="eastAsia"/>
          <w:kern w:val="0"/>
          <w:szCs w:val="20"/>
        </w:rPr>
        <w:t>群，根据施工进程与生物生长期同步进行国家重点保护植物和当地重要植被类型的宣传保护，利用施工间隙时间进行碎片化生态教育，将保护物种的理念和相应的影像进行多次强化，真正将保护的理念深入到每人、每时、每刻。全方位培养施工人员和当地群众的自觉保护生态的意识，达到施工不忘生态环境保护的目的。</w:t>
      </w:r>
    </w:p>
    <w:p w14:paraId="2CF6E2A2" w14:textId="77777777" w:rsidR="009D12AF" w:rsidRDefault="00000000">
      <w:pPr>
        <w:ind w:firstLine="480"/>
        <w:jc w:val="left"/>
        <w:rPr>
          <w:rFonts w:ascii="Times New Roman" w:eastAsia="宋体" w:hAnsi="Times New Roman" w:cs="Times New Roman"/>
          <w:kern w:val="0"/>
          <w:szCs w:val="20"/>
        </w:rPr>
      </w:pPr>
      <w:r>
        <w:rPr>
          <w:rFonts w:ascii="Times New Roman" w:eastAsia="宋体" w:hAnsi="Times New Roman" w:cs="Times New Roman" w:hint="eastAsia"/>
          <w:kern w:val="0"/>
          <w:szCs w:val="20"/>
        </w:rPr>
        <w:t>2</w:t>
      </w:r>
      <w:r>
        <w:rPr>
          <w:rFonts w:ascii="Times New Roman" w:eastAsia="宋体" w:hAnsi="Times New Roman" w:cs="Times New Roman" w:hint="eastAsia"/>
          <w:kern w:val="0"/>
          <w:szCs w:val="20"/>
        </w:rPr>
        <w:t>）加强施工过程管理，设置警示标志。严格控制施工作业范围，严禁施工人员和机械超出施工区域对任何植被、植物个体造成破坏。施工期间，在主要施工区区域和施工道路沿线多处设置生态保护警示牌，起到时时提醒的作用。</w:t>
      </w:r>
    </w:p>
    <w:p w14:paraId="16611E12" w14:textId="77777777" w:rsidR="009D12AF" w:rsidRDefault="00000000">
      <w:pPr>
        <w:ind w:firstLine="480"/>
        <w:jc w:val="left"/>
        <w:rPr>
          <w:rFonts w:ascii="Times New Roman" w:eastAsia="宋体" w:hAnsi="Times New Roman" w:cs="Times New Roman"/>
          <w:kern w:val="0"/>
          <w:szCs w:val="20"/>
        </w:rPr>
      </w:pPr>
      <w:r>
        <w:rPr>
          <w:rFonts w:ascii="Times New Roman" w:eastAsia="宋体" w:hAnsi="Times New Roman" w:cs="Times New Roman" w:hint="eastAsia"/>
          <w:kern w:val="0"/>
          <w:szCs w:val="20"/>
        </w:rPr>
        <w:t>3</w:t>
      </w:r>
      <w:r>
        <w:rPr>
          <w:rFonts w:ascii="Times New Roman" w:eastAsia="宋体" w:hAnsi="Times New Roman" w:cs="Times New Roman" w:hint="eastAsia"/>
          <w:kern w:val="0"/>
          <w:szCs w:val="20"/>
        </w:rPr>
        <w:t>）严格按照施工设计进行施工占地，不增加新的占地，将植被受影响面积减到最小。施工区靠近生态敏感区一侧设置施工围挡（或防风抑尘网），严格控制施工作业范围，严禁施工人员和机械对超出施工区域的植被、植物物种造成破坏。</w:t>
      </w:r>
    </w:p>
    <w:p w14:paraId="26CB5B61" w14:textId="77777777" w:rsidR="009D12AF" w:rsidRDefault="00000000">
      <w:pPr>
        <w:ind w:firstLine="480"/>
        <w:jc w:val="left"/>
        <w:rPr>
          <w:rFonts w:ascii="Times New Roman" w:eastAsia="宋体" w:hAnsi="Times New Roman" w:cs="Times New Roman"/>
          <w:kern w:val="0"/>
          <w:szCs w:val="20"/>
        </w:rPr>
      </w:pPr>
      <w:r>
        <w:rPr>
          <w:rFonts w:ascii="Times New Roman" w:eastAsia="宋体" w:hAnsi="Times New Roman" w:cs="Times New Roman" w:hint="eastAsia"/>
          <w:kern w:val="0"/>
          <w:szCs w:val="20"/>
        </w:rPr>
        <w:t>4</w:t>
      </w:r>
      <w:r>
        <w:rPr>
          <w:rFonts w:ascii="Times New Roman" w:eastAsia="宋体" w:hAnsi="Times New Roman" w:cs="Times New Roman" w:hint="eastAsia"/>
          <w:kern w:val="0"/>
          <w:szCs w:val="20"/>
        </w:rPr>
        <w:t>）加强防火工作的宣传和防范力度。工程占地区域及周边土地类型主要为林地，施工期间，要对施工人员和周边居民的加强防火的宣传教育，严禁携带火种，对火患零容忍，避免火灾对森林及其他植被的影响。</w:t>
      </w:r>
    </w:p>
    <w:p w14:paraId="627D4C9D" w14:textId="77777777" w:rsidR="009D12AF" w:rsidRDefault="00000000">
      <w:pPr>
        <w:ind w:firstLine="480"/>
        <w:jc w:val="left"/>
        <w:rPr>
          <w:rFonts w:ascii="Times New Roman" w:eastAsia="宋体" w:hAnsi="Times New Roman" w:cs="Times New Roman"/>
          <w:kern w:val="0"/>
          <w:szCs w:val="20"/>
        </w:rPr>
      </w:pPr>
      <w:r>
        <w:rPr>
          <w:rFonts w:ascii="Times New Roman" w:eastAsia="宋体" w:hAnsi="Times New Roman" w:cs="Times New Roman" w:hint="eastAsia"/>
          <w:kern w:val="0"/>
          <w:szCs w:val="20"/>
        </w:rPr>
        <w:t>5</w:t>
      </w:r>
      <w:r>
        <w:rPr>
          <w:rFonts w:ascii="Times New Roman" w:eastAsia="宋体" w:hAnsi="Times New Roman" w:cs="Times New Roman" w:hint="eastAsia"/>
          <w:kern w:val="0"/>
          <w:szCs w:val="20"/>
        </w:rPr>
        <w:t>）防止外来物种入侵。施工过程中，应加大宣传教育，向施工人员宣传外来入侵植物的危害及传播途径；进行迹地生态恢复时，应严防外来植物入侵。</w:t>
      </w:r>
      <w:r>
        <w:rPr>
          <w:rFonts w:ascii="Times New Roman" w:eastAsia="宋体" w:hAnsi="Times New Roman" w:cs="Times New Roman" w:hint="eastAsia"/>
          <w:kern w:val="0"/>
          <w:szCs w:val="20"/>
        </w:rPr>
        <w:t xml:space="preserve"> </w:t>
      </w:r>
    </w:p>
    <w:p w14:paraId="7BF0FB99" w14:textId="77777777" w:rsidR="009D12AF" w:rsidRDefault="00000000">
      <w:pPr>
        <w:ind w:firstLine="480"/>
        <w:jc w:val="left"/>
        <w:rPr>
          <w:rFonts w:ascii="Times New Roman" w:eastAsia="宋体" w:hAnsi="Times New Roman" w:cs="Times New Roman"/>
          <w:kern w:val="0"/>
          <w:szCs w:val="20"/>
        </w:rPr>
      </w:pPr>
      <w:r>
        <w:rPr>
          <w:rFonts w:ascii="Times New Roman" w:eastAsia="宋体" w:hAnsi="Times New Roman" w:cs="Times New Roman" w:hint="eastAsia"/>
          <w:kern w:val="0"/>
          <w:szCs w:val="20"/>
        </w:rPr>
        <w:t>6</w:t>
      </w:r>
      <w:r>
        <w:rPr>
          <w:rFonts w:ascii="Times New Roman" w:eastAsia="宋体" w:hAnsi="Times New Roman" w:cs="Times New Roman" w:hint="eastAsia"/>
          <w:kern w:val="0"/>
          <w:szCs w:val="20"/>
        </w:rPr>
        <w:t>）加强植物检疫。在施工建设过程中要加强包装材料的检疫工作，防止包装材料携带病虫引起各类病虫害的爆发。</w:t>
      </w:r>
    </w:p>
    <w:p w14:paraId="66F1113E" w14:textId="77777777" w:rsidR="009D12AF" w:rsidRDefault="00000000">
      <w:pPr>
        <w:ind w:firstLine="480"/>
        <w:jc w:val="left"/>
        <w:rPr>
          <w:rFonts w:ascii="Times New Roman" w:eastAsia="宋体" w:hAnsi="Times New Roman" w:cs="Times New Roman"/>
          <w:kern w:val="0"/>
          <w:szCs w:val="20"/>
        </w:rPr>
      </w:pPr>
      <w:r>
        <w:rPr>
          <w:rFonts w:ascii="Times New Roman" w:eastAsia="宋体" w:hAnsi="Times New Roman" w:cs="Times New Roman" w:hint="eastAsia"/>
          <w:kern w:val="0"/>
          <w:szCs w:val="20"/>
        </w:rPr>
        <w:t>7</w:t>
      </w:r>
      <w:r>
        <w:rPr>
          <w:rFonts w:ascii="Times New Roman" w:eastAsia="宋体" w:hAnsi="Times New Roman" w:cs="Times New Roman" w:hint="eastAsia"/>
          <w:kern w:val="0"/>
          <w:szCs w:val="20"/>
        </w:rPr>
        <w:t>）加强工程临时生产区、施工便道和施工营地范围内植物种类和植被类型的管理，施工中尽量减少开挖面，保持原生态系统的稳定性和完整性，临建及临时施工便道在施工结束后，应尽快恢复，尽量减少施工对植物和植被类型的破坏。</w:t>
      </w:r>
    </w:p>
    <w:p w14:paraId="492F70AF"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w:t>
      </w:r>
      <w:r>
        <w:rPr>
          <w:rFonts w:ascii="Times New Roman" w:eastAsia="宋体" w:hAnsi="Times New Roman" w:cs="Times New Roman" w:hint="eastAsia"/>
          <w:kern w:val="0"/>
          <w:szCs w:val="20"/>
        </w:rPr>
        <w:t>3</w:t>
      </w:r>
      <w:r>
        <w:rPr>
          <w:rFonts w:ascii="Times New Roman" w:eastAsia="宋体" w:hAnsi="Times New Roman" w:cs="Times New Roman" w:hint="eastAsia"/>
          <w:kern w:val="0"/>
          <w:szCs w:val="20"/>
        </w:rPr>
        <w:t>）植被恢复措施</w:t>
      </w:r>
    </w:p>
    <w:p w14:paraId="3C02B866" w14:textId="77777777" w:rsidR="009D12AF" w:rsidRDefault="00000000">
      <w:pPr>
        <w:spacing w:after="47"/>
        <w:ind w:firstLine="480"/>
        <w:jc w:val="left"/>
        <w:rPr>
          <w:rFonts w:ascii="Times New Roman" w:eastAsia="宋体" w:hAnsi="Times New Roman" w:cs="Times New Roman"/>
          <w:kern w:val="0"/>
          <w:szCs w:val="20"/>
        </w:rPr>
      </w:pPr>
      <w:r>
        <w:rPr>
          <w:rFonts w:ascii="Times New Roman" w:eastAsia="宋体" w:hAnsi="Times New Roman" w:cs="Times New Roman" w:hint="eastAsia"/>
          <w:kern w:val="0"/>
          <w:szCs w:val="20"/>
        </w:rPr>
        <w:t>1</w:t>
      </w:r>
      <w:r>
        <w:rPr>
          <w:rFonts w:ascii="Times New Roman" w:eastAsia="宋体" w:hAnsi="Times New Roman" w:cs="Times New Roman" w:hint="eastAsia"/>
          <w:kern w:val="0"/>
          <w:szCs w:val="20"/>
        </w:rPr>
        <w:t>）植被恢复原则</w:t>
      </w:r>
      <w:r>
        <w:rPr>
          <w:rFonts w:ascii="Times New Roman" w:eastAsia="宋体" w:hAnsi="Times New Roman" w:cs="Times New Roman" w:hint="eastAsia"/>
          <w:kern w:val="0"/>
          <w:szCs w:val="20"/>
        </w:rPr>
        <w:t xml:space="preserve"> </w:t>
      </w:r>
    </w:p>
    <w:p w14:paraId="4F68FE31"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从恢复和提高其生态、景观功能的角度出发，结合植被自然恢复能力，施工结束后，在施工临时占地区实施生态修复措施。对临时占地林地区应进行场地清</w:t>
      </w:r>
      <w:r>
        <w:rPr>
          <w:rFonts w:ascii="Times New Roman" w:eastAsia="宋体" w:hAnsi="Times New Roman" w:cs="Times New Roman" w:hint="eastAsia"/>
          <w:kern w:val="0"/>
          <w:szCs w:val="20"/>
        </w:rPr>
        <w:lastRenderedPageBreak/>
        <w:t>理、土地整治后采取抚育的方式恢复生境。植被恢复时应遵循“适地适树、适地适草”的原则，并根据工程分区进行植被恢复。在植被恢复措施中应注意的技术要点如下：</w:t>
      </w:r>
    </w:p>
    <w:p w14:paraId="09EC6F2D" w14:textId="77777777" w:rsidR="009D12AF" w:rsidRDefault="00000000">
      <w:pPr>
        <w:numPr>
          <w:ilvl w:val="0"/>
          <w:numId w:val="30"/>
        </w:numPr>
        <w:ind w:left="0" w:firstLine="480"/>
        <w:jc w:val="left"/>
        <w:rPr>
          <w:rFonts w:ascii="Times New Roman" w:eastAsia="宋体" w:hAnsi="Times New Roman" w:cs="Times New Roman"/>
          <w:kern w:val="0"/>
          <w:szCs w:val="20"/>
        </w:rPr>
      </w:pPr>
      <w:r>
        <w:rPr>
          <w:rFonts w:ascii="Times New Roman" w:eastAsia="宋体" w:hAnsi="Times New Roman" w:cs="Times New Roman" w:hint="eastAsia"/>
          <w:kern w:val="0"/>
          <w:szCs w:val="20"/>
        </w:rPr>
        <w:t>保护原有生态系统</w:t>
      </w:r>
    </w:p>
    <w:p w14:paraId="4E71CEDD"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评价区位于黑龙江省牡丹江市海林市，温带湿润季风气候，冬季漫长寒冷，干燥少雪，夏季短促酷热，雨量集中，春季温度无常，风大干燥，秋季低温凉爽，初霜较早。根据《中国种子植物区系地理》（吴征镒等，</w:t>
      </w:r>
      <w:r>
        <w:rPr>
          <w:rFonts w:ascii="Times New Roman" w:eastAsia="宋体" w:hAnsi="Times New Roman" w:cs="Times New Roman" w:hint="eastAsia"/>
          <w:kern w:val="0"/>
          <w:szCs w:val="20"/>
        </w:rPr>
        <w:t xml:space="preserve">2011 </w:t>
      </w:r>
      <w:r>
        <w:rPr>
          <w:rFonts w:ascii="Times New Roman" w:eastAsia="宋体" w:hAnsi="Times New Roman" w:cs="Times New Roman" w:hint="eastAsia"/>
          <w:kern w:val="0"/>
          <w:szCs w:val="20"/>
        </w:rPr>
        <w:t>年），评价区属于东亚植物区—中国</w:t>
      </w:r>
      <w:r>
        <w:rPr>
          <w:rFonts w:ascii="Times New Roman" w:eastAsia="宋体" w:hAnsi="Times New Roman" w:cs="Times New Roman" w:hint="eastAsia"/>
          <w:kern w:val="0"/>
          <w:szCs w:val="20"/>
        </w:rPr>
        <w:t>-</w:t>
      </w:r>
      <w:r>
        <w:rPr>
          <w:rFonts w:ascii="Times New Roman" w:eastAsia="宋体" w:hAnsi="Times New Roman" w:cs="Times New Roman" w:hint="eastAsia"/>
          <w:kern w:val="0"/>
          <w:szCs w:val="20"/>
        </w:rPr>
        <w:t>日本森林植物亚区—东北地区。区域内植被以阔叶林、针叶林等森林为主，植被概况良好。本工程建设不可避免的会占用及破坏原区域内的林地、灌草地等，原区域内植被破坏，生态系统结构及功能受到影响。因此，在植被修复过程中，必须尽量保护施工占地区域原有体系的生态环境，尽量发展以森林植被为主体的生态系统。</w:t>
      </w:r>
    </w:p>
    <w:p w14:paraId="7F19D2FE" w14:textId="77777777" w:rsidR="009D12AF" w:rsidRDefault="00000000">
      <w:pPr>
        <w:widowControl/>
        <w:numPr>
          <w:ilvl w:val="0"/>
          <w:numId w:val="30"/>
        </w:numPr>
        <w:adjustRightInd w:val="0"/>
        <w:snapToGrid w:val="0"/>
        <w:ind w:left="0" w:firstLineChars="150" w:firstLine="360"/>
        <w:jc w:val="left"/>
        <w:rPr>
          <w:rFonts w:ascii="Times New Roman" w:eastAsia="宋体" w:hAnsi="Times New Roman" w:cs="Times New Roman"/>
          <w:kern w:val="0"/>
          <w:szCs w:val="20"/>
        </w:rPr>
      </w:pPr>
      <w:r>
        <w:rPr>
          <w:rFonts w:ascii="Times New Roman" w:eastAsia="宋体" w:hAnsi="Times New Roman" w:cs="Times New Roman" w:hint="eastAsia"/>
          <w:kern w:val="0"/>
          <w:szCs w:val="20"/>
        </w:rPr>
        <w:t>选择适宜的恢复物种</w:t>
      </w:r>
      <w:r>
        <w:rPr>
          <w:rFonts w:ascii="Times New Roman" w:eastAsia="宋体" w:hAnsi="Times New Roman" w:cs="Times New Roman" w:hint="eastAsia"/>
          <w:kern w:val="0"/>
          <w:szCs w:val="20"/>
        </w:rPr>
        <w:t xml:space="preserve"> </w:t>
      </w:r>
    </w:p>
    <w:p w14:paraId="1CC04AE5"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乡土树种对植被恢复具有重要作用，其能快速融于周边生态环境，减轻对景观的影响，并可阻止外来物种入侵。由于乡土树种在当地食物链中已经形成相对稳定的结构，与生境建立了和谐的关系，其适应性强、生长快、自我繁殖和更新能力强，有利于保护生物多样性和维持当地生态平衡。因此，在植被恢复时应尽量选用适应性强、生长快、自我繁殖和更新能力强的乡土植物，同时为提高区域生物多样性，应适当引进新的优良植物，在恢复物种选择时应防止外来入侵种的扩散。</w:t>
      </w:r>
      <w:r>
        <w:rPr>
          <w:rFonts w:ascii="Times New Roman" w:eastAsia="宋体" w:hAnsi="Times New Roman" w:cs="Times New Roman" w:hint="eastAsia"/>
          <w:kern w:val="0"/>
          <w:szCs w:val="20"/>
        </w:rPr>
        <w:t xml:space="preserve"> </w:t>
      </w:r>
    </w:p>
    <w:p w14:paraId="1805E6F8" w14:textId="77777777" w:rsidR="009D12AF" w:rsidRDefault="00000000">
      <w:pPr>
        <w:widowControl/>
        <w:numPr>
          <w:ilvl w:val="0"/>
          <w:numId w:val="30"/>
        </w:numPr>
        <w:adjustRightInd w:val="0"/>
        <w:snapToGrid w:val="0"/>
        <w:ind w:left="0" w:firstLineChars="150" w:firstLine="360"/>
        <w:jc w:val="left"/>
        <w:rPr>
          <w:rFonts w:ascii="Times New Roman" w:eastAsia="宋体" w:hAnsi="Times New Roman" w:cs="Times New Roman"/>
          <w:kern w:val="0"/>
          <w:szCs w:val="20"/>
        </w:rPr>
      </w:pPr>
      <w:r>
        <w:rPr>
          <w:rFonts w:ascii="Times New Roman" w:eastAsia="宋体" w:hAnsi="Times New Roman" w:cs="Times New Roman" w:hint="eastAsia"/>
          <w:kern w:val="0"/>
          <w:szCs w:val="20"/>
        </w:rPr>
        <w:t>根据立地条件进行植被恢复</w:t>
      </w:r>
      <w:r>
        <w:rPr>
          <w:rFonts w:ascii="Times New Roman" w:eastAsia="宋体" w:hAnsi="Times New Roman" w:cs="Times New Roman" w:hint="eastAsia"/>
          <w:kern w:val="0"/>
          <w:szCs w:val="20"/>
        </w:rPr>
        <w:t xml:space="preserve"> </w:t>
      </w:r>
    </w:p>
    <w:p w14:paraId="357A7F47"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植被恢复应根据恢复区立地条件，主要依靠优势生活型植物种类进行乔灌草的合理配置，建立起植被与生境条件的群系生态关系。施工结束后，应结合水土保持措施，按照工程分区对各类施工迹地实施陆生生态的修复措施。</w:t>
      </w:r>
    </w:p>
    <w:p w14:paraId="37718FB3"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2</w:t>
      </w:r>
      <w:r>
        <w:rPr>
          <w:rFonts w:ascii="Times New Roman" w:eastAsia="宋体" w:hAnsi="Times New Roman" w:cs="Times New Roman" w:hint="eastAsia"/>
          <w:kern w:val="0"/>
          <w:szCs w:val="20"/>
        </w:rPr>
        <w:t>）植被恢复措施</w:t>
      </w:r>
      <w:r>
        <w:rPr>
          <w:rFonts w:ascii="Times New Roman" w:eastAsia="宋体" w:hAnsi="Times New Roman" w:cs="Times New Roman" w:hint="eastAsia"/>
          <w:kern w:val="0"/>
          <w:szCs w:val="20"/>
        </w:rPr>
        <w:t xml:space="preserve"> </w:t>
      </w:r>
    </w:p>
    <w:p w14:paraId="1AA295C1"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植被恢复措施包括施工迹地植被恢复和工程施工创伤面两大方面：</w:t>
      </w:r>
    </w:p>
    <w:p w14:paraId="6A57CAC7"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①工程施工迹地植被恢复以水土保持林和景观园林绿化等模式为主。水土保持林一般采用株间混交的方式种植，品字形排列；草籽采用撒播方式种植；景观园林绿化根据景观造型，一般采用孤植、点植、丛植等较为灵活的栽植方式，花卉采用片植，草皮采用满铺。</w:t>
      </w:r>
    </w:p>
    <w:p w14:paraId="450B20F0"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lastRenderedPageBreak/>
        <w:t>②工程施工创伤面主要包括开挖边坡、堆渣和土料迹地边坡等，植被恢复措施包括种植槽栽植攀援植物和灌草绿化、厚层基材植被护坡、撒播灌草护坡、和框格植草护坡等。</w:t>
      </w:r>
    </w:p>
    <w:p w14:paraId="56FB7F90"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3</w:t>
      </w:r>
      <w:r>
        <w:rPr>
          <w:rFonts w:ascii="Times New Roman" w:eastAsia="宋体" w:hAnsi="Times New Roman" w:cs="Times New Roman" w:hint="eastAsia"/>
          <w:kern w:val="0"/>
          <w:szCs w:val="20"/>
        </w:rPr>
        <w:t>）植被恢复方案</w:t>
      </w:r>
    </w:p>
    <w:p w14:paraId="09599221"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根据不同恢复区的特点和植被现状，对每个恢复区实行不同的恢复方案；各区域植被恢复措施详见表</w:t>
      </w:r>
      <w:r>
        <w:rPr>
          <w:rFonts w:ascii="Times New Roman" w:eastAsia="宋体" w:hAnsi="Times New Roman" w:cs="Times New Roman" w:hint="eastAsia"/>
          <w:kern w:val="0"/>
          <w:szCs w:val="20"/>
        </w:rPr>
        <w:t>6.1-1</w:t>
      </w:r>
      <w:r>
        <w:rPr>
          <w:rFonts w:ascii="Times New Roman" w:eastAsia="宋体" w:hAnsi="Times New Roman" w:cs="Times New Roman" w:hint="eastAsia"/>
          <w:kern w:val="0"/>
          <w:szCs w:val="20"/>
        </w:rPr>
        <w:t>。</w:t>
      </w:r>
    </w:p>
    <w:p w14:paraId="4C47B528" w14:textId="77777777" w:rsidR="009D12AF" w:rsidRDefault="00000000">
      <w:pPr>
        <w:ind w:firstLine="482"/>
        <w:jc w:val="center"/>
        <w:rPr>
          <w:rFonts w:ascii="Times New Roman" w:eastAsia="宋体" w:hAnsi="宋体" w:cs="宋体" w:hint="eastAsia"/>
          <w:b/>
          <w:bCs/>
          <w:kern w:val="0"/>
        </w:rPr>
      </w:pPr>
      <w:r>
        <w:rPr>
          <w:b/>
          <w:bCs/>
        </w:rPr>
        <w:t>表</w:t>
      </w:r>
      <w:r>
        <w:rPr>
          <w:b/>
          <w:bCs/>
        </w:rPr>
        <w:t xml:space="preserve"> </w:t>
      </w:r>
      <w:r>
        <w:rPr>
          <w:rFonts w:hint="eastAsia"/>
          <w:b/>
          <w:bCs/>
        </w:rPr>
        <w:t>6.1-1</w:t>
      </w:r>
      <w:r>
        <w:rPr>
          <w:b/>
          <w:bCs/>
        </w:rPr>
        <w:tab/>
      </w:r>
      <w:r>
        <w:rPr>
          <w:b/>
          <w:bCs/>
        </w:rPr>
        <w:t>植被恢复措施一览</w:t>
      </w:r>
    </w:p>
    <w:tbl>
      <w:tblPr>
        <w:tblW w:w="4998" w:type="pct"/>
        <w:jc w:val="center"/>
        <w:tblBorders>
          <w:top w:val="single" w:sz="12" w:space="0" w:color="000000"/>
          <w:bottom w:val="single" w:sz="12" w:space="0" w:color="000000"/>
          <w:insideH w:val="single" w:sz="2" w:space="0" w:color="000000"/>
          <w:insideV w:val="single" w:sz="2" w:space="0" w:color="000000"/>
        </w:tblBorders>
        <w:tblLook w:val="04A0" w:firstRow="1" w:lastRow="0" w:firstColumn="1" w:lastColumn="0" w:noHBand="0" w:noVBand="1"/>
      </w:tblPr>
      <w:tblGrid>
        <w:gridCol w:w="1425"/>
        <w:gridCol w:w="2750"/>
        <w:gridCol w:w="2005"/>
        <w:gridCol w:w="2339"/>
      </w:tblGrid>
      <w:tr w:rsidR="009D12AF" w14:paraId="071910F5" w14:textId="77777777">
        <w:trPr>
          <w:cantSplit/>
          <w:trHeight w:val="369"/>
          <w:tblHeader/>
          <w:jc w:val="center"/>
        </w:trPr>
        <w:tc>
          <w:tcPr>
            <w:tcW w:w="836" w:type="pct"/>
            <w:vAlign w:val="center"/>
          </w:tcPr>
          <w:p w14:paraId="75FDB012"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施工区域</w:t>
            </w:r>
          </w:p>
        </w:tc>
        <w:tc>
          <w:tcPr>
            <w:tcW w:w="1613" w:type="pct"/>
            <w:vAlign w:val="center"/>
          </w:tcPr>
          <w:p w14:paraId="20589C00"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植物措施</w:t>
            </w:r>
          </w:p>
        </w:tc>
        <w:tc>
          <w:tcPr>
            <w:tcW w:w="1177" w:type="pct"/>
            <w:vAlign w:val="center"/>
          </w:tcPr>
          <w:p w14:paraId="0265706A"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绿化植物</w:t>
            </w:r>
          </w:p>
        </w:tc>
        <w:tc>
          <w:tcPr>
            <w:tcW w:w="1372" w:type="pct"/>
            <w:vAlign w:val="center"/>
          </w:tcPr>
          <w:p w14:paraId="08963FC5"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实施进度</w:t>
            </w:r>
          </w:p>
        </w:tc>
      </w:tr>
      <w:tr w:rsidR="009D12AF" w14:paraId="7F6549A1" w14:textId="77777777">
        <w:trPr>
          <w:cantSplit/>
          <w:trHeight w:val="1939"/>
          <w:jc w:val="center"/>
        </w:trPr>
        <w:tc>
          <w:tcPr>
            <w:tcW w:w="836" w:type="pct"/>
            <w:vAlign w:val="center"/>
          </w:tcPr>
          <w:p w14:paraId="67AC4DCD"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淤泥堆放区</w:t>
            </w:r>
          </w:p>
        </w:tc>
        <w:tc>
          <w:tcPr>
            <w:tcW w:w="1613" w:type="pct"/>
            <w:vAlign w:val="center"/>
          </w:tcPr>
          <w:p w14:paraId="58319501"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土地平整、种植土、</w:t>
            </w:r>
            <w:r>
              <w:rPr>
                <w:rFonts w:ascii="Times New Roman" w:eastAsia="宋体" w:hAnsi="Times New Roman" w:cs="Times New Roman" w:hint="eastAsia"/>
                <w:kern w:val="0"/>
                <w:sz w:val="21"/>
                <w:szCs w:val="21"/>
              </w:rPr>
              <w:t>客土喷播、</w:t>
            </w:r>
            <w:r>
              <w:rPr>
                <w:rFonts w:ascii="Times New Roman" w:eastAsia="宋体" w:hAnsi="Times New Roman" w:cs="Times New Roman"/>
                <w:kern w:val="0"/>
                <w:sz w:val="21"/>
                <w:szCs w:val="21"/>
              </w:rPr>
              <w:t>撒播草籽</w:t>
            </w:r>
            <w:r>
              <w:rPr>
                <w:rFonts w:ascii="Times New Roman" w:eastAsia="宋体" w:hAnsi="Times New Roman" w:cs="Times New Roman" w:hint="eastAsia"/>
                <w:kern w:val="0"/>
                <w:sz w:val="21"/>
                <w:szCs w:val="21"/>
              </w:rPr>
              <w:t>、抚育管理</w:t>
            </w:r>
          </w:p>
        </w:tc>
        <w:tc>
          <w:tcPr>
            <w:tcW w:w="1177" w:type="pct"/>
            <w:vAlign w:val="center"/>
          </w:tcPr>
          <w:p w14:paraId="012E3104"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kern w:val="0"/>
                <w:sz w:val="21"/>
                <w:szCs w:val="21"/>
              </w:rPr>
              <w:t>草</w:t>
            </w:r>
            <w:r>
              <w:rPr>
                <w:rFonts w:ascii="Times New Roman" w:eastAsia="宋体" w:hAnsi="Times New Roman" w:cs="Times New Roman" w:hint="eastAsia"/>
                <w:kern w:val="0"/>
                <w:sz w:val="21"/>
                <w:szCs w:val="21"/>
              </w:rPr>
              <w:t>本</w:t>
            </w:r>
            <w:r>
              <w:rPr>
                <w:rFonts w:ascii="Times New Roman" w:eastAsia="宋体" w:hAnsi="Times New Roman" w:cs="Times New Roman"/>
                <w:kern w:val="0"/>
                <w:sz w:val="21"/>
                <w:szCs w:val="21"/>
              </w:rPr>
              <w:t>：</w:t>
            </w:r>
            <w:r>
              <w:rPr>
                <w:rFonts w:ascii="Times New Roman" w:eastAsia="宋体" w:hAnsi="Times New Roman" w:cs="Times New Roman" w:hint="eastAsia"/>
                <w:kern w:val="0"/>
                <w:sz w:val="21"/>
                <w:szCs w:val="21"/>
              </w:rPr>
              <w:t>青绿薹草</w:t>
            </w:r>
            <w:r>
              <w:rPr>
                <w:rFonts w:ascii="Times New Roman" w:eastAsia="宋体" w:hAnsi="Times New Roman" w:cs="Times New Roman"/>
                <w:kern w:val="0"/>
                <w:sz w:val="21"/>
                <w:szCs w:val="21"/>
              </w:rPr>
              <w:t>、</w:t>
            </w:r>
            <w:r>
              <w:rPr>
                <w:rFonts w:ascii="Times New Roman" w:eastAsia="宋体" w:hAnsi="Times New Roman" w:cs="Times New Roman" w:hint="eastAsia"/>
                <w:kern w:val="0"/>
                <w:sz w:val="21"/>
                <w:szCs w:val="21"/>
              </w:rPr>
              <w:t>路边青、野艾蒿</w:t>
            </w:r>
          </w:p>
        </w:tc>
        <w:tc>
          <w:tcPr>
            <w:tcW w:w="1372" w:type="pct"/>
            <w:vAlign w:val="center"/>
          </w:tcPr>
          <w:p w14:paraId="641B1E46"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土地平整、种植土、客土喷播、撒播草籽等均在施工期第</w:t>
            </w:r>
            <w:r>
              <w:rPr>
                <w:rFonts w:ascii="Times New Roman" w:eastAsia="宋体" w:hAnsi="Times New Roman" w:cs="Times New Roman"/>
                <w:kern w:val="0"/>
                <w:sz w:val="21"/>
                <w:szCs w:val="21"/>
              </w:rPr>
              <w:t xml:space="preserve"> 3</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 xml:space="preserve">6 </w:t>
            </w:r>
            <w:r>
              <w:rPr>
                <w:rFonts w:ascii="Times New Roman" w:eastAsia="宋体" w:hAnsi="Times New Roman" w:cs="Times New Roman"/>
                <w:kern w:val="0"/>
                <w:sz w:val="21"/>
                <w:szCs w:val="21"/>
              </w:rPr>
              <w:t>年的</w:t>
            </w:r>
            <w:r>
              <w:rPr>
                <w:rFonts w:ascii="Times New Roman" w:eastAsia="宋体" w:hAnsi="Times New Roman" w:cs="Times New Roman"/>
                <w:kern w:val="0"/>
                <w:sz w:val="21"/>
                <w:szCs w:val="21"/>
              </w:rPr>
              <w:t>3</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4</w:t>
            </w:r>
            <w:r>
              <w:rPr>
                <w:rFonts w:ascii="Times New Roman" w:eastAsia="宋体" w:hAnsi="Times New Roman" w:cs="Times New Roman"/>
                <w:kern w:val="0"/>
                <w:sz w:val="21"/>
                <w:szCs w:val="21"/>
              </w:rPr>
              <w:t>月开始，抚育管理从同年</w:t>
            </w:r>
            <w:r>
              <w:rPr>
                <w:rFonts w:ascii="Times New Roman" w:eastAsia="宋体" w:hAnsi="Times New Roman" w:cs="Times New Roman"/>
                <w:kern w:val="0"/>
                <w:sz w:val="21"/>
                <w:szCs w:val="21"/>
              </w:rPr>
              <w:t>6</w:t>
            </w:r>
            <w:r>
              <w:rPr>
                <w:rFonts w:ascii="Times New Roman" w:eastAsia="宋体" w:hAnsi="Times New Roman" w:cs="Times New Roman"/>
                <w:kern w:val="0"/>
                <w:sz w:val="21"/>
                <w:szCs w:val="21"/>
              </w:rPr>
              <w:t>月开始，连续抚育</w:t>
            </w:r>
            <w:r>
              <w:rPr>
                <w:rFonts w:ascii="Times New Roman" w:eastAsia="宋体" w:hAnsi="Times New Roman" w:cs="Times New Roman"/>
                <w:kern w:val="0"/>
                <w:sz w:val="21"/>
                <w:szCs w:val="21"/>
              </w:rPr>
              <w:t>2</w:t>
            </w:r>
            <w:r>
              <w:rPr>
                <w:rFonts w:ascii="Times New Roman" w:eastAsia="宋体" w:hAnsi="Times New Roman" w:cs="Times New Roman"/>
                <w:kern w:val="0"/>
                <w:sz w:val="21"/>
                <w:szCs w:val="21"/>
              </w:rPr>
              <w:t>年。</w:t>
            </w:r>
          </w:p>
        </w:tc>
      </w:tr>
      <w:tr w:rsidR="009D12AF" w14:paraId="5F4A9ACB" w14:textId="77777777">
        <w:trPr>
          <w:cantSplit/>
          <w:trHeight w:val="3133"/>
          <w:jc w:val="center"/>
        </w:trPr>
        <w:tc>
          <w:tcPr>
            <w:tcW w:w="836" w:type="pct"/>
            <w:vAlign w:val="center"/>
          </w:tcPr>
          <w:p w14:paraId="6BC6A7DC"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hint="eastAsia"/>
                <w:kern w:val="0"/>
                <w:sz w:val="21"/>
                <w:szCs w:val="21"/>
              </w:rPr>
              <w:t>机械设备停放区</w:t>
            </w:r>
          </w:p>
        </w:tc>
        <w:tc>
          <w:tcPr>
            <w:tcW w:w="1613" w:type="pct"/>
            <w:vAlign w:val="center"/>
          </w:tcPr>
          <w:p w14:paraId="3F22A539"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土地平整、种植土、撒播草籽、</w:t>
            </w:r>
            <w:r>
              <w:rPr>
                <w:rFonts w:ascii="Times New Roman" w:eastAsia="宋体" w:hAnsi="Times New Roman" w:cs="Times New Roman" w:hint="eastAsia"/>
                <w:kern w:val="0"/>
                <w:sz w:val="21"/>
                <w:szCs w:val="21"/>
              </w:rPr>
              <w:t>抚育管理</w:t>
            </w:r>
          </w:p>
        </w:tc>
        <w:tc>
          <w:tcPr>
            <w:tcW w:w="1177" w:type="pct"/>
            <w:vAlign w:val="center"/>
          </w:tcPr>
          <w:p w14:paraId="2F2950C1" w14:textId="77777777" w:rsidR="009D12AF" w:rsidRDefault="00000000">
            <w:pPr>
              <w:widowControl/>
              <w:adjustRightInd w:val="0"/>
              <w:snapToGrid w:val="0"/>
              <w:spacing w:line="360" w:lineRule="atLeast"/>
              <w:ind w:firstLineChars="0" w:firstLine="0"/>
              <w:jc w:val="left"/>
              <w:rPr>
                <w:rFonts w:ascii="Times New Roman" w:eastAsia="宋体" w:hAnsi="Times New Roman" w:cs="Times New Roman"/>
                <w:kern w:val="0"/>
                <w:sz w:val="21"/>
                <w:szCs w:val="21"/>
              </w:rPr>
            </w:pPr>
            <w:r>
              <w:rPr>
                <w:rFonts w:ascii="Times New Roman" w:eastAsia="宋体" w:hAnsi="Times New Roman" w:cs="Times New Roman"/>
                <w:kern w:val="0"/>
                <w:sz w:val="21"/>
                <w:szCs w:val="21"/>
              </w:rPr>
              <w:t>草</w:t>
            </w:r>
            <w:r>
              <w:rPr>
                <w:rFonts w:ascii="Times New Roman" w:eastAsia="宋体" w:hAnsi="Times New Roman" w:cs="Times New Roman" w:hint="eastAsia"/>
                <w:kern w:val="0"/>
                <w:sz w:val="21"/>
                <w:szCs w:val="21"/>
              </w:rPr>
              <w:t>本</w:t>
            </w:r>
            <w:r>
              <w:rPr>
                <w:rFonts w:ascii="Times New Roman" w:eastAsia="宋体" w:hAnsi="Times New Roman" w:cs="Times New Roman"/>
                <w:kern w:val="0"/>
                <w:sz w:val="21"/>
                <w:szCs w:val="21"/>
              </w:rPr>
              <w:t>：</w:t>
            </w:r>
            <w:r>
              <w:rPr>
                <w:rFonts w:ascii="Times New Roman" w:eastAsia="宋体" w:hAnsi="Times New Roman" w:cs="Times New Roman" w:hint="eastAsia"/>
                <w:kern w:val="0"/>
                <w:sz w:val="21"/>
                <w:szCs w:val="21"/>
              </w:rPr>
              <w:t>青绿薹草、路边青、野艾蒿</w:t>
            </w:r>
          </w:p>
        </w:tc>
        <w:tc>
          <w:tcPr>
            <w:tcW w:w="1372" w:type="pct"/>
            <w:vAlign w:val="center"/>
          </w:tcPr>
          <w:p w14:paraId="5F0BB5CE" w14:textId="77777777" w:rsidR="009D12AF" w:rsidRDefault="00000000">
            <w:pPr>
              <w:widowControl/>
              <w:adjustRightInd w:val="0"/>
              <w:snapToGrid w:val="0"/>
              <w:spacing w:line="360" w:lineRule="atLeast"/>
              <w:ind w:firstLineChars="0" w:firstLine="0"/>
              <w:jc w:val="center"/>
              <w:rPr>
                <w:rFonts w:ascii="Times New Roman" w:eastAsia="宋体" w:hAnsi="Times New Roman" w:cs="Times New Roman"/>
                <w:kern w:val="0"/>
                <w:sz w:val="21"/>
                <w:szCs w:val="21"/>
              </w:rPr>
            </w:pPr>
            <w:r>
              <w:rPr>
                <w:rFonts w:ascii="Times New Roman" w:eastAsia="宋体" w:hAnsi="Times New Roman" w:cs="Times New Roman"/>
                <w:kern w:val="0"/>
                <w:sz w:val="21"/>
                <w:szCs w:val="21"/>
              </w:rPr>
              <w:t>种植土、撒播草籽等均在施工期第</w:t>
            </w:r>
            <w:r>
              <w:rPr>
                <w:rFonts w:ascii="Times New Roman" w:eastAsia="宋体" w:hAnsi="Times New Roman" w:cs="Times New Roman"/>
                <w:kern w:val="0"/>
                <w:sz w:val="21"/>
                <w:szCs w:val="21"/>
              </w:rPr>
              <w:t>4</w:t>
            </w:r>
            <w:r>
              <w:rPr>
                <w:rFonts w:ascii="Times New Roman" w:eastAsia="宋体" w:hAnsi="Times New Roman" w:cs="Times New Roman"/>
                <w:kern w:val="0"/>
                <w:sz w:val="21"/>
                <w:szCs w:val="21"/>
              </w:rPr>
              <w:t>年的</w:t>
            </w:r>
            <w:r>
              <w:rPr>
                <w:rFonts w:ascii="Times New Roman" w:eastAsia="宋体" w:hAnsi="Times New Roman" w:cs="Times New Roman"/>
                <w:kern w:val="0"/>
                <w:sz w:val="21"/>
                <w:szCs w:val="21"/>
              </w:rPr>
              <w:t>4</w:t>
            </w:r>
            <w:r>
              <w:rPr>
                <w:rFonts w:ascii="Times New Roman" w:eastAsia="宋体" w:hAnsi="Times New Roman" w:cs="Times New Roman"/>
                <w:kern w:val="0"/>
                <w:sz w:val="21"/>
                <w:szCs w:val="21"/>
              </w:rPr>
              <w:t>～</w:t>
            </w:r>
            <w:r>
              <w:rPr>
                <w:rFonts w:ascii="Times New Roman" w:eastAsia="宋体" w:hAnsi="Times New Roman" w:cs="Times New Roman"/>
                <w:kern w:val="0"/>
                <w:sz w:val="21"/>
                <w:szCs w:val="21"/>
              </w:rPr>
              <w:t>5</w:t>
            </w:r>
            <w:r>
              <w:rPr>
                <w:rFonts w:ascii="Times New Roman" w:eastAsia="宋体" w:hAnsi="Times New Roman" w:cs="Times New Roman"/>
                <w:kern w:val="0"/>
                <w:sz w:val="21"/>
                <w:szCs w:val="21"/>
              </w:rPr>
              <w:t>月开始，抚育管理从同年</w:t>
            </w:r>
            <w:r>
              <w:rPr>
                <w:rFonts w:ascii="Times New Roman" w:eastAsia="宋体" w:hAnsi="Times New Roman" w:cs="Times New Roman"/>
                <w:kern w:val="0"/>
                <w:sz w:val="21"/>
                <w:szCs w:val="21"/>
              </w:rPr>
              <w:t>6</w:t>
            </w:r>
            <w:r>
              <w:rPr>
                <w:rFonts w:ascii="Times New Roman" w:eastAsia="宋体" w:hAnsi="Times New Roman" w:cs="Times New Roman"/>
                <w:kern w:val="0"/>
                <w:sz w:val="21"/>
                <w:szCs w:val="21"/>
              </w:rPr>
              <w:t>月开始，连续抚育</w:t>
            </w:r>
            <w:r>
              <w:rPr>
                <w:rFonts w:ascii="Times New Roman" w:eastAsia="宋体" w:hAnsi="Times New Roman" w:cs="Times New Roman"/>
                <w:kern w:val="0"/>
                <w:sz w:val="21"/>
                <w:szCs w:val="21"/>
              </w:rPr>
              <w:t>2</w:t>
            </w:r>
            <w:r>
              <w:rPr>
                <w:rFonts w:ascii="Times New Roman" w:eastAsia="宋体" w:hAnsi="Times New Roman" w:cs="Times New Roman"/>
                <w:kern w:val="0"/>
                <w:sz w:val="21"/>
                <w:szCs w:val="21"/>
              </w:rPr>
              <w:t>年。</w:t>
            </w:r>
          </w:p>
        </w:tc>
      </w:tr>
    </w:tbl>
    <w:p w14:paraId="4C213A5B" w14:textId="77777777" w:rsidR="009D12AF" w:rsidRDefault="00000000">
      <w:pPr>
        <w:adjustRightInd w:val="0"/>
        <w:snapToGrid w:val="0"/>
        <w:spacing w:beforeLines="50" w:before="156"/>
        <w:ind w:firstLine="480"/>
        <w:rPr>
          <w:rFonts w:ascii="Times New Roman" w:eastAsia="宋体" w:hAnsi="Times New Roman" w:cs="Times New Roman"/>
          <w:kern w:val="0"/>
          <w:szCs w:val="20"/>
        </w:rPr>
      </w:pPr>
      <w:r>
        <w:rPr>
          <w:rFonts w:ascii="Times New Roman" w:eastAsia="宋体" w:hAnsi="Times New Roman" w:cs="Times New Roman"/>
          <w:kern w:val="0"/>
          <w:szCs w:val="20"/>
        </w:rPr>
        <w:fldChar w:fldCharType="begin"/>
      </w:r>
      <w:r>
        <w:rPr>
          <w:rFonts w:ascii="Times New Roman" w:eastAsia="宋体" w:hAnsi="Times New Roman" w:cs="Times New Roman"/>
          <w:kern w:val="0"/>
          <w:szCs w:val="20"/>
        </w:rPr>
        <w:instrText xml:space="preserve"> </w:instrText>
      </w:r>
      <w:r>
        <w:rPr>
          <w:rFonts w:ascii="Times New Roman" w:eastAsia="宋体" w:hAnsi="Times New Roman" w:cs="Times New Roman" w:hint="eastAsia"/>
          <w:kern w:val="0"/>
          <w:szCs w:val="20"/>
        </w:rPr>
        <w:instrText>= 1 \* GB3</w:instrText>
      </w:r>
      <w:r>
        <w:rPr>
          <w:rFonts w:ascii="Times New Roman" w:eastAsia="宋体" w:hAnsi="Times New Roman" w:cs="Times New Roman"/>
          <w:kern w:val="0"/>
          <w:szCs w:val="20"/>
        </w:rPr>
        <w:instrText xml:space="preserve"> </w:instrText>
      </w:r>
      <w:r>
        <w:rPr>
          <w:rFonts w:ascii="Times New Roman" w:eastAsia="宋体" w:hAnsi="Times New Roman" w:cs="Times New Roman"/>
          <w:kern w:val="0"/>
          <w:szCs w:val="20"/>
        </w:rPr>
        <w:fldChar w:fldCharType="separate"/>
      </w:r>
      <w:r>
        <w:rPr>
          <w:rFonts w:ascii="Times New Roman" w:eastAsia="宋体" w:hAnsi="Times New Roman" w:cs="Times New Roman" w:hint="eastAsia"/>
          <w:kern w:val="0"/>
          <w:szCs w:val="20"/>
        </w:rPr>
        <w:t>①</w:t>
      </w:r>
      <w:r>
        <w:rPr>
          <w:rFonts w:ascii="Times New Roman" w:eastAsia="宋体" w:hAnsi="Times New Roman" w:cs="Times New Roman"/>
          <w:kern w:val="0"/>
          <w:szCs w:val="20"/>
        </w:rPr>
        <w:fldChar w:fldCharType="end"/>
      </w:r>
      <w:r>
        <w:rPr>
          <w:rFonts w:ascii="Times New Roman" w:eastAsia="宋体" w:hAnsi="Times New Roman" w:cs="Times New Roman" w:hint="eastAsia"/>
          <w:kern w:val="0"/>
          <w:szCs w:val="20"/>
        </w:rPr>
        <w:t>淤泥堆放区植物恢复措施</w:t>
      </w:r>
      <w:r>
        <w:rPr>
          <w:rFonts w:ascii="Times New Roman" w:eastAsia="宋体" w:hAnsi="Times New Roman" w:cs="Times New Roman" w:hint="eastAsia"/>
          <w:kern w:val="0"/>
          <w:szCs w:val="20"/>
        </w:rPr>
        <w:t xml:space="preserve"> </w:t>
      </w:r>
    </w:p>
    <w:p w14:paraId="31C8A261"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施工结束后，水土保持设计采取撒播草籽进行绿化，草种选择青绿薹草、路边青、野艾蒿，按</w:t>
      </w:r>
      <w:r>
        <w:rPr>
          <w:rFonts w:ascii="Times New Roman" w:eastAsia="宋体" w:hAnsi="Times New Roman" w:cs="Times New Roman" w:hint="eastAsia"/>
          <w:kern w:val="0"/>
          <w:szCs w:val="20"/>
        </w:rPr>
        <w:t>1:1</w:t>
      </w:r>
      <w:r>
        <w:rPr>
          <w:rFonts w:ascii="Times New Roman" w:eastAsia="宋体" w:hAnsi="Times New Roman" w:cs="Times New Roman" w:hint="eastAsia"/>
          <w:kern w:val="0"/>
          <w:szCs w:val="20"/>
        </w:rPr>
        <w:t>进行混播，播种量为</w:t>
      </w:r>
      <w:r>
        <w:rPr>
          <w:rFonts w:ascii="Times New Roman" w:eastAsia="宋体" w:hAnsi="Times New Roman" w:cs="Times New Roman" w:hint="eastAsia"/>
          <w:kern w:val="0"/>
          <w:szCs w:val="20"/>
        </w:rPr>
        <w:t>8 g/m</w:t>
      </w:r>
      <w:r>
        <w:rPr>
          <w:rFonts w:ascii="Times New Roman" w:eastAsia="宋体" w:hAnsi="Times New Roman" w:cs="Times New Roman" w:hint="eastAsia"/>
          <w:kern w:val="0"/>
          <w:szCs w:val="20"/>
        </w:rPr>
        <w:t>²，植物措施实施后实施抚育管理措施。</w:t>
      </w:r>
      <w:r>
        <w:rPr>
          <w:rFonts w:ascii="Times New Roman" w:eastAsia="宋体" w:hAnsi="Times New Roman" w:cs="Times New Roman"/>
          <w:kern w:val="0"/>
          <w:szCs w:val="20"/>
        </w:rPr>
        <w:t xml:space="preserve"> </w:t>
      </w:r>
    </w:p>
    <w:p w14:paraId="790A3D99"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kern w:val="0"/>
          <w:szCs w:val="20"/>
        </w:rPr>
        <w:fldChar w:fldCharType="begin"/>
      </w:r>
      <w:r>
        <w:rPr>
          <w:rFonts w:ascii="Times New Roman" w:eastAsia="宋体" w:hAnsi="Times New Roman" w:cs="Times New Roman"/>
          <w:kern w:val="0"/>
          <w:szCs w:val="20"/>
        </w:rPr>
        <w:instrText xml:space="preserve"> </w:instrText>
      </w:r>
      <w:r>
        <w:rPr>
          <w:rFonts w:ascii="Times New Roman" w:eastAsia="宋体" w:hAnsi="Times New Roman" w:cs="Times New Roman" w:hint="eastAsia"/>
          <w:kern w:val="0"/>
          <w:szCs w:val="20"/>
        </w:rPr>
        <w:instrText>= 2 \* GB3</w:instrText>
      </w:r>
      <w:r>
        <w:rPr>
          <w:rFonts w:ascii="Times New Roman" w:eastAsia="宋体" w:hAnsi="Times New Roman" w:cs="Times New Roman"/>
          <w:kern w:val="0"/>
          <w:szCs w:val="20"/>
        </w:rPr>
        <w:instrText xml:space="preserve"> </w:instrText>
      </w:r>
      <w:r>
        <w:rPr>
          <w:rFonts w:ascii="Times New Roman" w:eastAsia="宋体" w:hAnsi="Times New Roman" w:cs="Times New Roman"/>
          <w:kern w:val="0"/>
          <w:szCs w:val="20"/>
        </w:rPr>
        <w:fldChar w:fldCharType="separate"/>
      </w:r>
      <w:r>
        <w:rPr>
          <w:rFonts w:ascii="Times New Roman" w:eastAsia="宋体" w:hAnsi="Times New Roman" w:cs="Times New Roman" w:hint="eastAsia"/>
          <w:kern w:val="0"/>
          <w:szCs w:val="20"/>
        </w:rPr>
        <w:t>②</w:t>
      </w:r>
      <w:r>
        <w:rPr>
          <w:rFonts w:ascii="Times New Roman" w:eastAsia="宋体" w:hAnsi="Times New Roman" w:cs="Times New Roman"/>
          <w:kern w:val="0"/>
          <w:szCs w:val="20"/>
        </w:rPr>
        <w:fldChar w:fldCharType="end"/>
      </w:r>
      <w:r>
        <w:rPr>
          <w:rFonts w:ascii="Times New Roman" w:eastAsia="宋体" w:hAnsi="Times New Roman" w:cs="Times New Roman"/>
          <w:kern w:val="0"/>
          <w:szCs w:val="20"/>
        </w:rPr>
        <w:t xml:space="preserve"> </w:t>
      </w:r>
      <w:r>
        <w:rPr>
          <w:rFonts w:ascii="Times New Roman" w:eastAsia="宋体" w:hAnsi="Times New Roman" w:cs="Times New Roman" w:hint="eastAsia"/>
          <w:kern w:val="0"/>
          <w:szCs w:val="20"/>
        </w:rPr>
        <w:t>机械设备停放区植物恢复措施</w:t>
      </w:r>
    </w:p>
    <w:p w14:paraId="18EA1909"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施工结束后，经平整、覆土后撒播灌草种，种子选择青绿薹草、路边青、野艾蒿，撒播用量</w:t>
      </w:r>
      <w:r>
        <w:rPr>
          <w:rFonts w:ascii="Times New Roman" w:eastAsia="宋体" w:hAnsi="Times New Roman" w:cs="Times New Roman" w:hint="eastAsia"/>
          <w:kern w:val="0"/>
          <w:szCs w:val="20"/>
        </w:rPr>
        <w:t xml:space="preserve"> 10g/m</w:t>
      </w:r>
      <w:r>
        <w:rPr>
          <w:rFonts w:ascii="Times New Roman" w:eastAsia="宋体" w:hAnsi="Times New Roman" w:cs="Times New Roman" w:hint="eastAsia"/>
          <w:kern w:val="0"/>
          <w:szCs w:val="20"/>
          <w:vertAlign w:val="superscript"/>
        </w:rPr>
        <w:t>2</w:t>
      </w:r>
      <w:r>
        <w:rPr>
          <w:rFonts w:ascii="Times New Roman" w:eastAsia="宋体" w:hAnsi="Times New Roman" w:cs="Times New Roman" w:hint="eastAsia"/>
          <w:kern w:val="0"/>
          <w:szCs w:val="20"/>
        </w:rPr>
        <w:t>。</w:t>
      </w:r>
    </w:p>
    <w:p w14:paraId="67CF2AE2"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kern w:val="0"/>
          <w:szCs w:val="20"/>
        </w:rPr>
        <w:t>4</w:t>
      </w:r>
      <w:r>
        <w:rPr>
          <w:rFonts w:ascii="Times New Roman" w:eastAsia="宋体" w:hAnsi="Times New Roman" w:cs="Times New Roman" w:hint="eastAsia"/>
          <w:kern w:val="0"/>
          <w:szCs w:val="20"/>
        </w:rPr>
        <w:t>）本工程植被恢复措施实施后效果分析</w:t>
      </w:r>
    </w:p>
    <w:p w14:paraId="11AD1E49"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施工结束后，对临时占地范围内的林地及草地区应进行场地清理、土地整治后采取复垦或者抚育的方式恢复生境。林地上植被恢复时应在“适地适树、适地</w:t>
      </w:r>
      <w:r>
        <w:rPr>
          <w:rFonts w:ascii="Times New Roman" w:eastAsia="宋体" w:hAnsi="Times New Roman" w:cs="Times New Roman" w:hint="eastAsia"/>
          <w:kern w:val="0"/>
          <w:szCs w:val="20"/>
        </w:rPr>
        <w:lastRenderedPageBreak/>
        <w:t>适草”的原则下，树种、草种的选择当地优良的乡土树种草种为主，适当引进新的优良树种草种，保证绿化栽植的成活率。在植被恢复措施中，平面撒播草籽绿化，一般坡面植被恢复以种植土撒播草籽为主，植物主要有青绿薹草、路边青、野艾蒿等。</w:t>
      </w:r>
    </w:p>
    <w:p w14:paraId="396F8580" w14:textId="77777777" w:rsidR="009D12AF" w:rsidRDefault="00000000">
      <w:pPr>
        <w:adjustRightInd w:val="0"/>
        <w:snapToGrid w:val="0"/>
        <w:ind w:firstLine="480"/>
        <w:rPr>
          <w:rFonts w:ascii="Times New Roman" w:eastAsia="宋体" w:hAnsi="Times New Roman" w:cs="Times New Roman"/>
          <w:kern w:val="0"/>
          <w:szCs w:val="20"/>
        </w:rPr>
      </w:pPr>
      <w:r>
        <w:rPr>
          <w:rFonts w:ascii="Times New Roman" w:eastAsia="宋体" w:hAnsi="Times New Roman" w:cs="Times New Roman" w:hint="eastAsia"/>
          <w:kern w:val="0"/>
          <w:szCs w:val="20"/>
        </w:rPr>
        <w:t>（</w:t>
      </w:r>
      <w:r>
        <w:rPr>
          <w:rFonts w:ascii="Times New Roman" w:eastAsia="宋体" w:hAnsi="Times New Roman" w:cs="Times New Roman" w:hint="eastAsia"/>
          <w:kern w:val="0"/>
          <w:szCs w:val="20"/>
        </w:rPr>
        <w:t>5</w:t>
      </w:r>
      <w:r>
        <w:rPr>
          <w:rFonts w:ascii="Times New Roman" w:eastAsia="宋体" w:hAnsi="Times New Roman" w:cs="Times New Roman" w:hint="eastAsia"/>
          <w:kern w:val="0"/>
          <w:szCs w:val="20"/>
        </w:rPr>
        <w:t>）</w:t>
      </w:r>
      <w:r>
        <w:rPr>
          <w:rFonts w:ascii="Times New Roman" w:eastAsia="宋体" w:hAnsi="Times New Roman" w:cs="Times New Roman"/>
          <w:kern w:val="0"/>
          <w:szCs w:val="20"/>
        </w:rPr>
        <w:t>国家重点保护野生植物的保护措施</w:t>
      </w:r>
    </w:p>
    <w:p w14:paraId="06615512" w14:textId="77777777" w:rsidR="009D12AF" w:rsidRDefault="00000000">
      <w:pPr>
        <w:adjustRightInd w:val="0"/>
        <w:snapToGrid w:val="0"/>
        <w:ind w:firstLine="480"/>
        <w:rPr>
          <w:rFonts w:ascii="Times New Roman" w:eastAsia="宋体" w:hAnsi="Times New Roman" w:cs="Times New Roman"/>
          <w:kern w:val="0"/>
          <w:szCs w:val="20"/>
        </w:rPr>
        <w:sectPr w:rsidR="009D12AF">
          <w:pgSz w:w="11906" w:h="16838"/>
          <w:pgMar w:top="1440" w:right="1800" w:bottom="1440" w:left="1800" w:header="851" w:footer="992" w:gutter="0"/>
          <w:cols w:space="425"/>
          <w:docGrid w:type="lines" w:linePitch="312"/>
        </w:sectPr>
      </w:pPr>
      <w:r>
        <w:rPr>
          <w:rFonts w:ascii="Times New Roman" w:eastAsia="宋体" w:hAnsi="Times New Roman" w:cs="Times New Roman"/>
          <w:kern w:val="0"/>
          <w:szCs w:val="20"/>
        </w:rPr>
        <w:t>经过实地现状调查，项目评价范围内共有国家重点保护野生植物</w:t>
      </w:r>
      <w:r>
        <w:rPr>
          <w:rFonts w:ascii="Times New Roman" w:eastAsia="宋体" w:hAnsi="Times New Roman" w:cs="Times New Roman"/>
          <w:kern w:val="0"/>
          <w:szCs w:val="20"/>
        </w:rPr>
        <w:t>4</w:t>
      </w:r>
      <w:r>
        <w:rPr>
          <w:rFonts w:ascii="Times New Roman" w:eastAsia="宋体" w:hAnsi="Times New Roman" w:cs="Times New Roman"/>
          <w:kern w:val="0"/>
          <w:szCs w:val="20"/>
        </w:rPr>
        <w:t>种，分别为</w:t>
      </w:r>
      <w:r>
        <w:rPr>
          <w:rFonts w:ascii="Times New Roman" w:eastAsia="宋体" w:hAnsi="Times New Roman" w:cs="Times New Roman" w:hint="eastAsia"/>
          <w:kern w:val="0"/>
          <w:szCs w:val="20"/>
        </w:rPr>
        <w:t>红松、樟子松、黄檗、水曲柳，工程施工均未占用，</w:t>
      </w:r>
      <w:r>
        <w:rPr>
          <w:rFonts w:ascii="Times New Roman" w:eastAsia="宋体" w:hAnsi="Times New Roman" w:cs="Times New Roman"/>
          <w:kern w:val="0"/>
          <w:szCs w:val="20"/>
        </w:rPr>
        <w:t>应进行就地保护。</w:t>
      </w:r>
    </w:p>
    <w:p w14:paraId="5F0957A6" w14:textId="77777777" w:rsidR="009D12AF" w:rsidRDefault="00000000">
      <w:pPr>
        <w:ind w:firstLine="482"/>
        <w:jc w:val="center"/>
        <w:rPr>
          <w:rFonts w:ascii="Times New Roman" w:eastAsia="宋体" w:hAnsi="宋体" w:cs="宋体" w:hint="eastAsia"/>
          <w:b/>
          <w:kern w:val="0"/>
        </w:rPr>
      </w:pPr>
      <w:r>
        <w:rPr>
          <w:b/>
          <w:bCs/>
        </w:rPr>
        <w:lastRenderedPageBreak/>
        <w:t>表</w:t>
      </w:r>
      <w:r>
        <w:rPr>
          <w:b/>
          <w:bCs/>
        </w:rPr>
        <w:t xml:space="preserve"> </w:t>
      </w:r>
      <w:r>
        <w:rPr>
          <w:rFonts w:hint="eastAsia"/>
          <w:b/>
          <w:bCs/>
        </w:rPr>
        <w:t>6.1-2</w:t>
      </w:r>
      <w:r>
        <w:rPr>
          <w:b/>
          <w:bCs/>
        </w:rPr>
        <w:t xml:space="preserve">  </w:t>
      </w:r>
      <w:r>
        <w:rPr>
          <w:rFonts w:hint="eastAsia"/>
          <w:b/>
          <w:bCs/>
        </w:rPr>
        <w:t>对重点保护野生植物的保护措施</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177"/>
        <w:gridCol w:w="1012"/>
        <w:gridCol w:w="1012"/>
        <w:gridCol w:w="1851"/>
        <w:gridCol w:w="9122"/>
      </w:tblGrid>
      <w:tr w:rsidR="009D12AF" w14:paraId="2B0DADDC" w14:textId="77777777">
        <w:trPr>
          <w:cantSplit/>
          <w:trHeight w:val="415"/>
          <w:tblHeader/>
          <w:jc w:val="center"/>
        </w:trPr>
        <w:tc>
          <w:tcPr>
            <w:tcW w:w="415" w:type="pct"/>
            <w:vMerge w:val="restart"/>
            <w:tcBorders>
              <w:tl2br w:val="nil"/>
              <w:tr2bl w:val="nil"/>
            </w:tcBorders>
            <w:vAlign w:val="center"/>
          </w:tcPr>
          <w:p w14:paraId="0474596B"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物种</w:t>
            </w:r>
          </w:p>
        </w:tc>
        <w:tc>
          <w:tcPr>
            <w:tcW w:w="357" w:type="pct"/>
            <w:vMerge w:val="restart"/>
            <w:tcBorders>
              <w:tl2br w:val="nil"/>
              <w:tr2bl w:val="nil"/>
            </w:tcBorders>
            <w:vAlign w:val="center"/>
          </w:tcPr>
          <w:p w14:paraId="7E9716BD"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rPr>
              <w:t>保护等级</w:t>
            </w:r>
          </w:p>
        </w:tc>
        <w:tc>
          <w:tcPr>
            <w:tcW w:w="357" w:type="pct"/>
            <w:vMerge w:val="restart"/>
            <w:tcBorders>
              <w:tl2br w:val="nil"/>
              <w:tr2bl w:val="nil"/>
            </w:tcBorders>
            <w:vAlign w:val="center"/>
          </w:tcPr>
          <w:p w14:paraId="05504BB2"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濒危级别</w:t>
            </w:r>
          </w:p>
        </w:tc>
        <w:tc>
          <w:tcPr>
            <w:tcW w:w="653" w:type="pct"/>
            <w:vMerge w:val="restart"/>
            <w:tcBorders>
              <w:tl2br w:val="nil"/>
              <w:tr2bl w:val="nil"/>
            </w:tcBorders>
            <w:vAlign w:val="center"/>
          </w:tcPr>
          <w:p w14:paraId="7474A907"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分布范围</w:t>
            </w:r>
          </w:p>
        </w:tc>
        <w:tc>
          <w:tcPr>
            <w:tcW w:w="3218" w:type="pct"/>
            <w:tcBorders>
              <w:tl2br w:val="nil"/>
              <w:tr2bl w:val="nil"/>
            </w:tcBorders>
            <w:vAlign w:val="center"/>
          </w:tcPr>
          <w:p w14:paraId="3A8568AE"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保护措施</w:t>
            </w:r>
          </w:p>
        </w:tc>
      </w:tr>
      <w:tr w:rsidR="009D12AF" w14:paraId="4740178F" w14:textId="77777777">
        <w:trPr>
          <w:cantSplit/>
          <w:trHeight w:val="414"/>
          <w:tblHeader/>
          <w:jc w:val="center"/>
        </w:trPr>
        <w:tc>
          <w:tcPr>
            <w:tcW w:w="415" w:type="pct"/>
            <w:vMerge/>
            <w:tcBorders>
              <w:tl2br w:val="nil"/>
              <w:tr2bl w:val="nil"/>
            </w:tcBorders>
            <w:vAlign w:val="center"/>
          </w:tcPr>
          <w:p w14:paraId="46D391CF" w14:textId="77777777" w:rsidR="009D12AF" w:rsidRDefault="009D12AF">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57" w:type="pct"/>
            <w:vMerge/>
            <w:tcBorders>
              <w:tl2br w:val="nil"/>
              <w:tr2bl w:val="nil"/>
            </w:tcBorders>
            <w:vAlign w:val="center"/>
          </w:tcPr>
          <w:p w14:paraId="3D8D9794" w14:textId="77777777" w:rsidR="009D12AF" w:rsidRDefault="009D12AF">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57" w:type="pct"/>
            <w:vMerge/>
            <w:tcBorders>
              <w:tl2br w:val="nil"/>
              <w:tr2bl w:val="nil"/>
            </w:tcBorders>
            <w:vAlign w:val="center"/>
          </w:tcPr>
          <w:p w14:paraId="7BFCD963" w14:textId="77777777" w:rsidR="009D12AF" w:rsidRDefault="009D12AF">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653" w:type="pct"/>
            <w:vMerge/>
            <w:tcBorders>
              <w:tl2br w:val="nil"/>
              <w:tr2bl w:val="nil"/>
            </w:tcBorders>
            <w:vAlign w:val="center"/>
          </w:tcPr>
          <w:p w14:paraId="2E2C95E4" w14:textId="77777777" w:rsidR="009D12AF" w:rsidRDefault="009D12AF">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218" w:type="pct"/>
            <w:tcBorders>
              <w:tl2br w:val="nil"/>
              <w:tr2bl w:val="nil"/>
            </w:tcBorders>
            <w:vAlign w:val="center"/>
          </w:tcPr>
          <w:p w14:paraId="7F7F0718"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就地保护</w:t>
            </w:r>
          </w:p>
        </w:tc>
      </w:tr>
      <w:tr w:rsidR="009D12AF" w14:paraId="003DD1FF" w14:textId="77777777">
        <w:trPr>
          <w:cantSplit/>
          <w:trHeight w:val="3176"/>
          <w:jc w:val="center"/>
        </w:trPr>
        <w:tc>
          <w:tcPr>
            <w:tcW w:w="415" w:type="pct"/>
            <w:tcBorders>
              <w:tl2br w:val="nil"/>
              <w:tr2bl w:val="nil"/>
            </w:tcBorders>
            <w:vAlign w:val="center"/>
          </w:tcPr>
          <w:p w14:paraId="00D49BE6"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红松</w:t>
            </w:r>
          </w:p>
        </w:tc>
        <w:tc>
          <w:tcPr>
            <w:tcW w:w="357" w:type="pct"/>
            <w:tcBorders>
              <w:tl2br w:val="nil"/>
              <w:tr2bl w:val="nil"/>
            </w:tcBorders>
            <w:vAlign w:val="center"/>
          </w:tcPr>
          <w:p w14:paraId="776D7CF3"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国家二级</w:t>
            </w:r>
          </w:p>
        </w:tc>
        <w:tc>
          <w:tcPr>
            <w:tcW w:w="357" w:type="pct"/>
            <w:tcBorders>
              <w:tl2br w:val="nil"/>
              <w:tr2bl w:val="nil"/>
            </w:tcBorders>
            <w:vAlign w:val="center"/>
          </w:tcPr>
          <w:p w14:paraId="3E5F7189"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无危</w:t>
            </w:r>
          </w:p>
        </w:tc>
        <w:tc>
          <w:tcPr>
            <w:tcW w:w="653" w:type="pct"/>
            <w:tcBorders>
              <w:tl2br w:val="nil"/>
              <w:tr2bl w:val="nil"/>
            </w:tcBorders>
            <w:vAlign w:val="center"/>
          </w:tcPr>
          <w:p w14:paraId="6E937281"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工程周边评价区内涉及</w:t>
            </w:r>
            <w:r>
              <w:rPr>
                <w:rFonts w:ascii="Times New Roman" w:eastAsia="宋体" w:hAnsi="Times New Roman" w:cs="Times New Roman" w:hint="eastAsia"/>
                <w:snapToGrid w:val="0"/>
                <w:kern w:val="0"/>
                <w:sz w:val="21"/>
                <w:szCs w:val="21"/>
              </w:rPr>
              <w:t>4</w:t>
            </w:r>
            <w:r>
              <w:rPr>
                <w:rFonts w:ascii="Times New Roman" w:eastAsia="宋体" w:hAnsi="Times New Roman" w:cs="Times New Roman" w:hint="eastAsia"/>
                <w:snapToGrid w:val="0"/>
                <w:kern w:val="0"/>
                <w:sz w:val="21"/>
                <w:szCs w:val="21"/>
              </w:rPr>
              <w:t>处：工程占地周边均匀分布</w:t>
            </w:r>
          </w:p>
        </w:tc>
        <w:tc>
          <w:tcPr>
            <w:tcW w:w="3218" w:type="pct"/>
            <w:vMerge w:val="restart"/>
            <w:tcBorders>
              <w:tl2br w:val="nil"/>
              <w:tr2bl w:val="nil"/>
            </w:tcBorders>
            <w:vAlign w:val="center"/>
          </w:tcPr>
          <w:p w14:paraId="299CA19F"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rPr>
              <w:t>对评价范围内未被工程占用的国家重点保护野生植物采取就地保护。</w:t>
            </w:r>
          </w:p>
          <w:p w14:paraId="78F113D2"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rPr>
              <w:t>就地保护流程如下：</w:t>
            </w:r>
          </w:p>
          <w:p w14:paraId="53924EEE"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lang w:eastAsia="en-US"/>
              </w:rPr>
              <w:fldChar w:fldCharType="begin"/>
            </w:r>
            <w:r>
              <w:rPr>
                <w:rFonts w:ascii="Times New Roman" w:eastAsia="宋体" w:hAnsi="Times New Roman" w:cs="Times New Roman"/>
                <w:snapToGrid w:val="0"/>
                <w:kern w:val="0"/>
                <w:sz w:val="21"/>
                <w:szCs w:val="21"/>
              </w:rPr>
              <w:instrText xml:space="preserve"> = 1 \* GB2 </w:instrText>
            </w:r>
            <w:r>
              <w:rPr>
                <w:rFonts w:ascii="Times New Roman" w:eastAsia="宋体" w:hAnsi="Times New Roman" w:cs="Times New Roman"/>
                <w:snapToGrid w:val="0"/>
                <w:kern w:val="0"/>
                <w:sz w:val="21"/>
                <w:szCs w:val="21"/>
                <w:lang w:eastAsia="en-US"/>
              </w:rPr>
              <w:fldChar w:fldCharType="separate"/>
            </w:r>
            <w:r>
              <w:rPr>
                <w:rFonts w:ascii="宋体" w:eastAsia="宋体" w:hAnsi="宋体" w:cs="宋体" w:hint="eastAsia"/>
                <w:snapToGrid w:val="0"/>
                <w:kern w:val="0"/>
                <w:sz w:val="21"/>
                <w:szCs w:val="21"/>
              </w:rPr>
              <w:t>⑴</w:t>
            </w:r>
            <w:r>
              <w:rPr>
                <w:rFonts w:ascii="Times New Roman" w:eastAsia="宋体" w:hAnsi="Times New Roman" w:cs="Times New Roman"/>
                <w:snapToGrid w:val="0"/>
                <w:kern w:val="0"/>
                <w:sz w:val="21"/>
                <w:szCs w:val="21"/>
                <w:lang w:eastAsia="en-US"/>
              </w:rPr>
              <w:fldChar w:fldCharType="end"/>
            </w:r>
            <w:r>
              <w:rPr>
                <w:rFonts w:ascii="Times New Roman" w:eastAsia="宋体" w:hAnsi="Times New Roman" w:cs="Times New Roman"/>
                <w:snapToGrid w:val="0"/>
                <w:kern w:val="0"/>
                <w:sz w:val="21"/>
                <w:szCs w:val="21"/>
              </w:rPr>
              <w:t>在保护植物周边设置围栏，围栏直径</w:t>
            </w:r>
            <w:r>
              <w:rPr>
                <w:rFonts w:ascii="Times New Roman" w:eastAsia="宋体" w:hAnsi="Times New Roman" w:cs="Times New Roman"/>
                <w:snapToGrid w:val="0"/>
                <w:kern w:val="0"/>
                <w:sz w:val="21"/>
                <w:szCs w:val="21"/>
              </w:rPr>
              <w:t>4m</w:t>
            </w:r>
            <w:r>
              <w:rPr>
                <w:rFonts w:ascii="Times New Roman" w:eastAsia="宋体" w:hAnsi="Times New Roman" w:cs="Times New Roman"/>
                <w:snapToGrid w:val="0"/>
                <w:kern w:val="0"/>
                <w:sz w:val="21"/>
                <w:szCs w:val="21"/>
              </w:rPr>
              <w:t>左右，围栏高度</w:t>
            </w:r>
            <w:r>
              <w:rPr>
                <w:rFonts w:ascii="Times New Roman" w:eastAsia="宋体" w:hAnsi="Times New Roman" w:cs="Times New Roman"/>
                <w:snapToGrid w:val="0"/>
                <w:kern w:val="0"/>
                <w:sz w:val="21"/>
                <w:szCs w:val="21"/>
              </w:rPr>
              <w:t>1.2m</w:t>
            </w:r>
            <w:r>
              <w:rPr>
                <w:rFonts w:ascii="Times New Roman" w:eastAsia="宋体" w:hAnsi="Times New Roman" w:cs="Times New Roman"/>
                <w:snapToGrid w:val="0"/>
                <w:kern w:val="0"/>
                <w:sz w:val="21"/>
                <w:szCs w:val="21"/>
              </w:rPr>
              <w:t>。</w:t>
            </w:r>
          </w:p>
          <w:p w14:paraId="2EEAF32D"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lang w:eastAsia="en-US"/>
              </w:rPr>
              <w:fldChar w:fldCharType="begin"/>
            </w:r>
            <w:r>
              <w:rPr>
                <w:rFonts w:ascii="Times New Roman" w:eastAsia="宋体" w:hAnsi="Times New Roman" w:cs="Times New Roman"/>
                <w:snapToGrid w:val="0"/>
                <w:kern w:val="0"/>
                <w:sz w:val="21"/>
                <w:szCs w:val="21"/>
              </w:rPr>
              <w:instrText xml:space="preserve"> = 2 \* GB2 </w:instrText>
            </w:r>
            <w:r>
              <w:rPr>
                <w:rFonts w:ascii="Times New Roman" w:eastAsia="宋体" w:hAnsi="Times New Roman" w:cs="Times New Roman"/>
                <w:snapToGrid w:val="0"/>
                <w:kern w:val="0"/>
                <w:sz w:val="21"/>
                <w:szCs w:val="21"/>
                <w:lang w:eastAsia="en-US"/>
              </w:rPr>
              <w:fldChar w:fldCharType="separate"/>
            </w:r>
            <w:r>
              <w:rPr>
                <w:rFonts w:ascii="宋体" w:eastAsia="宋体" w:hAnsi="宋体" w:cs="宋体" w:hint="eastAsia"/>
                <w:snapToGrid w:val="0"/>
                <w:kern w:val="0"/>
                <w:sz w:val="21"/>
                <w:szCs w:val="21"/>
              </w:rPr>
              <w:t>⑵</w:t>
            </w:r>
            <w:r>
              <w:rPr>
                <w:rFonts w:ascii="Times New Roman" w:eastAsia="宋体" w:hAnsi="Times New Roman" w:cs="Times New Roman"/>
                <w:snapToGrid w:val="0"/>
                <w:kern w:val="0"/>
                <w:sz w:val="21"/>
                <w:szCs w:val="21"/>
                <w:lang w:eastAsia="en-US"/>
              </w:rPr>
              <w:fldChar w:fldCharType="end"/>
            </w:r>
            <w:r>
              <w:rPr>
                <w:rFonts w:ascii="Times New Roman" w:eastAsia="宋体" w:hAnsi="Times New Roman" w:cs="Times New Roman"/>
                <w:snapToGrid w:val="0"/>
                <w:kern w:val="0"/>
                <w:sz w:val="21"/>
                <w:szCs w:val="21"/>
              </w:rPr>
              <w:t>尽量维持保护地生态系统的自然性、稳定性和完整性。</w:t>
            </w:r>
          </w:p>
          <w:p w14:paraId="067FE2B6"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lang w:eastAsia="en-US"/>
              </w:rPr>
              <w:fldChar w:fldCharType="begin"/>
            </w:r>
            <w:r>
              <w:rPr>
                <w:rFonts w:ascii="Times New Roman" w:eastAsia="宋体" w:hAnsi="Times New Roman" w:cs="Times New Roman"/>
                <w:snapToGrid w:val="0"/>
                <w:kern w:val="0"/>
                <w:sz w:val="21"/>
                <w:szCs w:val="21"/>
              </w:rPr>
              <w:instrText xml:space="preserve"> = 3 \* GB2 </w:instrText>
            </w:r>
            <w:r>
              <w:rPr>
                <w:rFonts w:ascii="Times New Roman" w:eastAsia="宋体" w:hAnsi="Times New Roman" w:cs="Times New Roman"/>
                <w:snapToGrid w:val="0"/>
                <w:kern w:val="0"/>
                <w:sz w:val="21"/>
                <w:szCs w:val="21"/>
                <w:lang w:eastAsia="en-US"/>
              </w:rPr>
              <w:fldChar w:fldCharType="separate"/>
            </w:r>
            <w:r>
              <w:rPr>
                <w:rFonts w:ascii="宋体" w:eastAsia="宋体" w:hAnsi="宋体" w:cs="宋体" w:hint="eastAsia"/>
                <w:snapToGrid w:val="0"/>
                <w:kern w:val="0"/>
                <w:sz w:val="21"/>
                <w:szCs w:val="21"/>
              </w:rPr>
              <w:t>⑶</w:t>
            </w:r>
            <w:r>
              <w:rPr>
                <w:rFonts w:ascii="Times New Roman" w:eastAsia="宋体" w:hAnsi="Times New Roman" w:cs="Times New Roman"/>
                <w:snapToGrid w:val="0"/>
                <w:kern w:val="0"/>
                <w:sz w:val="21"/>
                <w:szCs w:val="21"/>
                <w:lang w:eastAsia="en-US"/>
              </w:rPr>
              <w:fldChar w:fldCharType="end"/>
            </w:r>
            <w:r>
              <w:rPr>
                <w:rFonts w:ascii="Times New Roman" w:eastAsia="宋体" w:hAnsi="Times New Roman" w:cs="Times New Roman"/>
                <w:snapToGrid w:val="0"/>
                <w:kern w:val="0"/>
                <w:sz w:val="21"/>
                <w:szCs w:val="21"/>
              </w:rPr>
              <w:t>做好抚育管护工作，采取覆土、灌溉、施肥、除草、松土、病虫害管理、整形修枝等措施。</w:t>
            </w:r>
          </w:p>
          <w:p w14:paraId="73292007"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lang w:eastAsia="en-US"/>
              </w:rPr>
              <w:fldChar w:fldCharType="begin"/>
            </w:r>
            <w:r>
              <w:rPr>
                <w:rFonts w:ascii="Times New Roman" w:eastAsia="宋体" w:hAnsi="Times New Roman" w:cs="Times New Roman"/>
                <w:snapToGrid w:val="0"/>
                <w:kern w:val="0"/>
                <w:sz w:val="21"/>
                <w:szCs w:val="21"/>
              </w:rPr>
              <w:instrText xml:space="preserve"> = 4 \* GB2 </w:instrText>
            </w:r>
            <w:r>
              <w:rPr>
                <w:rFonts w:ascii="Times New Roman" w:eastAsia="宋体" w:hAnsi="Times New Roman" w:cs="Times New Roman"/>
                <w:snapToGrid w:val="0"/>
                <w:kern w:val="0"/>
                <w:sz w:val="21"/>
                <w:szCs w:val="21"/>
                <w:lang w:eastAsia="en-US"/>
              </w:rPr>
              <w:fldChar w:fldCharType="separate"/>
            </w:r>
            <w:r>
              <w:rPr>
                <w:rFonts w:ascii="宋体" w:eastAsia="宋体" w:hAnsi="宋体" w:cs="宋体" w:hint="eastAsia"/>
                <w:snapToGrid w:val="0"/>
                <w:kern w:val="0"/>
                <w:sz w:val="21"/>
                <w:szCs w:val="21"/>
              </w:rPr>
              <w:t>⑷</w:t>
            </w:r>
            <w:r>
              <w:rPr>
                <w:rFonts w:ascii="Times New Roman" w:eastAsia="宋体" w:hAnsi="Times New Roman" w:cs="Times New Roman"/>
                <w:snapToGrid w:val="0"/>
                <w:kern w:val="0"/>
                <w:sz w:val="21"/>
                <w:szCs w:val="21"/>
                <w:lang w:eastAsia="en-US"/>
              </w:rPr>
              <w:fldChar w:fldCharType="end"/>
            </w:r>
            <w:r>
              <w:rPr>
                <w:rFonts w:ascii="Times New Roman" w:eastAsia="宋体" w:hAnsi="Times New Roman" w:cs="Times New Roman"/>
                <w:snapToGrid w:val="0"/>
                <w:kern w:val="0"/>
                <w:sz w:val="21"/>
                <w:szCs w:val="21"/>
              </w:rPr>
              <w:t>有关部门对拟建立的就地保护区应实行科学化、有序化管理，健全各项管理制度。</w:t>
            </w:r>
          </w:p>
          <w:p w14:paraId="0BBEAA6D"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lang w:eastAsia="en-US"/>
              </w:rPr>
              <w:fldChar w:fldCharType="begin"/>
            </w:r>
            <w:r>
              <w:rPr>
                <w:rFonts w:ascii="Times New Roman" w:eastAsia="宋体" w:hAnsi="Times New Roman" w:cs="Times New Roman"/>
                <w:snapToGrid w:val="0"/>
                <w:kern w:val="0"/>
                <w:sz w:val="21"/>
                <w:szCs w:val="21"/>
              </w:rPr>
              <w:instrText xml:space="preserve"> = 5 \* GB2 </w:instrText>
            </w:r>
            <w:r>
              <w:rPr>
                <w:rFonts w:ascii="Times New Roman" w:eastAsia="宋体" w:hAnsi="Times New Roman" w:cs="Times New Roman"/>
                <w:snapToGrid w:val="0"/>
                <w:kern w:val="0"/>
                <w:sz w:val="21"/>
                <w:szCs w:val="21"/>
                <w:lang w:eastAsia="en-US"/>
              </w:rPr>
              <w:fldChar w:fldCharType="separate"/>
            </w:r>
            <w:r>
              <w:rPr>
                <w:rFonts w:ascii="宋体" w:eastAsia="宋体" w:hAnsi="宋体" w:cs="宋体" w:hint="eastAsia"/>
                <w:snapToGrid w:val="0"/>
                <w:kern w:val="0"/>
                <w:sz w:val="21"/>
                <w:szCs w:val="21"/>
              </w:rPr>
              <w:t>⑸</w:t>
            </w:r>
            <w:r>
              <w:rPr>
                <w:rFonts w:ascii="Times New Roman" w:eastAsia="宋体" w:hAnsi="Times New Roman" w:cs="Times New Roman"/>
                <w:snapToGrid w:val="0"/>
                <w:kern w:val="0"/>
                <w:sz w:val="21"/>
                <w:szCs w:val="21"/>
                <w:lang w:eastAsia="en-US"/>
              </w:rPr>
              <w:fldChar w:fldCharType="end"/>
            </w:r>
            <w:r>
              <w:rPr>
                <w:rFonts w:ascii="Times New Roman" w:eastAsia="宋体" w:hAnsi="Times New Roman" w:cs="Times New Roman"/>
                <w:snapToGrid w:val="0"/>
                <w:kern w:val="0"/>
                <w:sz w:val="21"/>
                <w:szCs w:val="21"/>
              </w:rPr>
              <w:t>做好树木的监测，实施不少于五年期的监测，关注树木的生长态势。</w:t>
            </w:r>
          </w:p>
          <w:p w14:paraId="2C9CD112"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lang w:eastAsia="en-US"/>
              </w:rPr>
              <w:lastRenderedPageBreak/>
              <w:fldChar w:fldCharType="begin"/>
            </w:r>
            <w:r>
              <w:rPr>
                <w:rFonts w:ascii="Times New Roman" w:eastAsia="宋体" w:hAnsi="Times New Roman" w:cs="Times New Roman"/>
                <w:snapToGrid w:val="0"/>
                <w:kern w:val="0"/>
                <w:sz w:val="21"/>
                <w:szCs w:val="21"/>
              </w:rPr>
              <w:instrText xml:space="preserve"> = 6 \* GB2 </w:instrText>
            </w:r>
            <w:r>
              <w:rPr>
                <w:rFonts w:ascii="Times New Roman" w:eastAsia="宋体" w:hAnsi="Times New Roman" w:cs="Times New Roman"/>
                <w:snapToGrid w:val="0"/>
                <w:kern w:val="0"/>
                <w:sz w:val="21"/>
                <w:szCs w:val="21"/>
                <w:lang w:eastAsia="en-US"/>
              </w:rPr>
              <w:fldChar w:fldCharType="separate"/>
            </w:r>
            <w:r>
              <w:rPr>
                <w:rFonts w:ascii="宋体" w:eastAsia="宋体" w:hAnsi="宋体" w:cs="宋体" w:hint="eastAsia"/>
                <w:snapToGrid w:val="0"/>
                <w:kern w:val="0"/>
                <w:sz w:val="21"/>
                <w:szCs w:val="21"/>
              </w:rPr>
              <w:t>⑹</w:t>
            </w:r>
            <w:r>
              <w:rPr>
                <w:rFonts w:ascii="Times New Roman" w:eastAsia="宋体" w:hAnsi="Times New Roman" w:cs="Times New Roman"/>
                <w:snapToGrid w:val="0"/>
                <w:kern w:val="0"/>
                <w:sz w:val="21"/>
                <w:szCs w:val="21"/>
                <w:lang w:eastAsia="en-US"/>
              </w:rPr>
              <w:fldChar w:fldCharType="end"/>
            </w:r>
            <w:r>
              <w:rPr>
                <w:rFonts w:ascii="Times New Roman" w:eastAsia="宋体" w:hAnsi="Times New Roman" w:cs="Times New Roman"/>
                <w:snapToGrid w:val="0"/>
                <w:kern w:val="0"/>
                <w:sz w:val="21"/>
                <w:szCs w:val="21"/>
              </w:rPr>
              <w:t>加强宣传教育：加强民众教育，广泛、通俗、持之以恒地开展与生物多样性保护相关的文化教育、法律宣传，不断提高社会民众的环境保护意识。</w:t>
            </w:r>
          </w:p>
          <w:p w14:paraId="170D5F3B"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rPr>
              <w:t>对评价范围内未被工程占用的国家重点保护野生植物采取就地保护。</w:t>
            </w:r>
          </w:p>
          <w:p w14:paraId="770B1D0B"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rPr>
              <w:t>就地保护流程如下：</w:t>
            </w:r>
          </w:p>
          <w:p w14:paraId="00661B32"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lang w:eastAsia="en-US"/>
              </w:rPr>
              <w:fldChar w:fldCharType="begin"/>
            </w:r>
            <w:r>
              <w:rPr>
                <w:rFonts w:ascii="Times New Roman" w:eastAsia="宋体" w:hAnsi="Times New Roman" w:cs="Times New Roman"/>
                <w:snapToGrid w:val="0"/>
                <w:kern w:val="0"/>
                <w:sz w:val="21"/>
                <w:szCs w:val="21"/>
              </w:rPr>
              <w:instrText xml:space="preserve"> = 1 \* GB2 </w:instrText>
            </w:r>
            <w:r>
              <w:rPr>
                <w:rFonts w:ascii="Times New Roman" w:eastAsia="宋体" w:hAnsi="Times New Roman" w:cs="Times New Roman"/>
                <w:snapToGrid w:val="0"/>
                <w:kern w:val="0"/>
                <w:sz w:val="21"/>
                <w:szCs w:val="21"/>
                <w:lang w:eastAsia="en-US"/>
              </w:rPr>
              <w:fldChar w:fldCharType="separate"/>
            </w:r>
            <w:r>
              <w:rPr>
                <w:rFonts w:ascii="宋体" w:eastAsia="宋体" w:hAnsi="宋体" w:cs="宋体" w:hint="eastAsia"/>
                <w:snapToGrid w:val="0"/>
                <w:kern w:val="0"/>
                <w:sz w:val="21"/>
                <w:szCs w:val="21"/>
              </w:rPr>
              <w:t>⑴</w:t>
            </w:r>
            <w:r>
              <w:rPr>
                <w:rFonts w:ascii="Times New Roman" w:eastAsia="宋体" w:hAnsi="Times New Roman" w:cs="Times New Roman"/>
                <w:snapToGrid w:val="0"/>
                <w:kern w:val="0"/>
                <w:sz w:val="21"/>
                <w:szCs w:val="21"/>
                <w:lang w:eastAsia="en-US"/>
              </w:rPr>
              <w:fldChar w:fldCharType="end"/>
            </w:r>
            <w:r>
              <w:rPr>
                <w:rFonts w:ascii="Times New Roman" w:eastAsia="宋体" w:hAnsi="Times New Roman" w:cs="Times New Roman"/>
                <w:snapToGrid w:val="0"/>
                <w:kern w:val="0"/>
                <w:sz w:val="21"/>
                <w:szCs w:val="21"/>
              </w:rPr>
              <w:t>在保护植物周边设置围栏，围栏直径</w:t>
            </w:r>
            <w:r>
              <w:rPr>
                <w:rFonts w:ascii="Times New Roman" w:eastAsia="宋体" w:hAnsi="Times New Roman" w:cs="Times New Roman"/>
                <w:snapToGrid w:val="0"/>
                <w:kern w:val="0"/>
                <w:sz w:val="21"/>
                <w:szCs w:val="21"/>
              </w:rPr>
              <w:t>4m</w:t>
            </w:r>
            <w:r>
              <w:rPr>
                <w:rFonts w:ascii="Times New Roman" w:eastAsia="宋体" w:hAnsi="Times New Roman" w:cs="Times New Roman"/>
                <w:snapToGrid w:val="0"/>
                <w:kern w:val="0"/>
                <w:sz w:val="21"/>
                <w:szCs w:val="21"/>
              </w:rPr>
              <w:t>左右，围栏高度</w:t>
            </w:r>
            <w:r>
              <w:rPr>
                <w:rFonts w:ascii="Times New Roman" w:eastAsia="宋体" w:hAnsi="Times New Roman" w:cs="Times New Roman"/>
                <w:snapToGrid w:val="0"/>
                <w:kern w:val="0"/>
                <w:sz w:val="21"/>
                <w:szCs w:val="21"/>
              </w:rPr>
              <w:t>1.2m</w:t>
            </w:r>
            <w:r>
              <w:rPr>
                <w:rFonts w:ascii="Times New Roman" w:eastAsia="宋体" w:hAnsi="Times New Roman" w:cs="Times New Roman"/>
                <w:snapToGrid w:val="0"/>
                <w:kern w:val="0"/>
                <w:sz w:val="21"/>
                <w:szCs w:val="21"/>
              </w:rPr>
              <w:t>。</w:t>
            </w:r>
          </w:p>
          <w:p w14:paraId="682E0BBA"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lang w:eastAsia="en-US"/>
              </w:rPr>
              <w:fldChar w:fldCharType="begin"/>
            </w:r>
            <w:r>
              <w:rPr>
                <w:rFonts w:ascii="Times New Roman" w:eastAsia="宋体" w:hAnsi="Times New Roman" w:cs="Times New Roman"/>
                <w:snapToGrid w:val="0"/>
                <w:kern w:val="0"/>
                <w:sz w:val="21"/>
                <w:szCs w:val="21"/>
              </w:rPr>
              <w:instrText xml:space="preserve"> = 2 \* GB2 </w:instrText>
            </w:r>
            <w:r>
              <w:rPr>
                <w:rFonts w:ascii="Times New Roman" w:eastAsia="宋体" w:hAnsi="Times New Roman" w:cs="Times New Roman"/>
                <w:snapToGrid w:val="0"/>
                <w:kern w:val="0"/>
                <w:sz w:val="21"/>
                <w:szCs w:val="21"/>
                <w:lang w:eastAsia="en-US"/>
              </w:rPr>
              <w:fldChar w:fldCharType="separate"/>
            </w:r>
            <w:r>
              <w:rPr>
                <w:rFonts w:ascii="宋体" w:eastAsia="宋体" w:hAnsi="宋体" w:cs="宋体" w:hint="eastAsia"/>
                <w:snapToGrid w:val="0"/>
                <w:kern w:val="0"/>
                <w:sz w:val="21"/>
                <w:szCs w:val="21"/>
              </w:rPr>
              <w:t>⑵</w:t>
            </w:r>
            <w:r>
              <w:rPr>
                <w:rFonts w:ascii="Times New Roman" w:eastAsia="宋体" w:hAnsi="Times New Roman" w:cs="Times New Roman"/>
                <w:snapToGrid w:val="0"/>
                <w:kern w:val="0"/>
                <w:sz w:val="21"/>
                <w:szCs w:val="21"/>
                <w:lang w:eastAsia="en-US"/>
              </w:rPr>
              <w:fldChar w:fldCharType="end"/>
            </w:r>
            <w:r>
              <w:rPr>
                <w:rFonts w:ascii="Times New Roman" w:eastAsia="宋体" w:hAnsi="Times New Roman" w:cs="Times New Roman"/>
                <w:snapToGrid w:val="0"/>
                <w:kern w:val="0"/>
                <w:sz w:val="21"/>
                <w:szCs w:val="21"/>
              </w:rPr>
              <w:t>尽量维持保护地生态系统的自然性、稳定性和完整性。</w:t>
            </w:r>
          </w:p>
          <w:p w14:paraId="4984D21C"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lang w:eastAsia="en-US"/>
              </w:rPr>
              <w:fldChar w:fldCharType="begin"/>
            </w:r>
            <w:r>
              <w:rPr>
                <w:rFonts w:ascii="Times New Roman" w:eastAsia="宋体" w:hAnsi="Times New Roman" w:cs="Times New Roman"/>
                <w:snapToGrid w:val="0"/>
                <w:kern w:val="0"/>
                <w:sz w:val="21"/>
                <w:szCs w:val="21"/>
              </w:rPr>
              <w:instrText xml:space="preserve"> = 3 \* GB2 </w:instrText>
            </w:r>
            <w:r>
              <w:rPr>
                <w:rFonts w:ascii="Times New Roman" w:eastAsia="宋体" w:hAnsi="Times New Roman" w:cs="Times New Roman"/>
                <w:snapToGrid w:val="0"/>
                <w:kern w:val="0"/>
                <w:sz w:val="21"/>
                <w:szCs w:val="21"/>
                <w:lang w:eastAsia="en-US"/>
              </w:rPr>
              <w:fldChar w:fldCharType="separate"/>
            </w:r>
            <w:r>
              <w:rPr>
                <w:rFonts w:ascii="宋体" w:eastAsia="宋体" w:hAnsi="宋体" w:cs="宋体" w:hint="eastAsia"/>
                <w:snapToGrid w:val="0"/>
                <w:kern w:val="0"/>
                <w:sz w:val="21"/>
                <w:szCs w:val="21"/>
              </w:rPr>
              <w:t>⑶</w:t>
            </w:r>
            <w:r>
              <w:rPr>
                <w:rFonts w:ascii="Times New Roman" w:eastAsia="宋体" w:hAnsi="Times New Roman" w:cs="Times New Roman"/>
                <w:snapToGrid w:val="0"/>
                <w:kern w:val="0"/>
                <w:sz w:val="21"/>
                <w:szCs w:val="21"/>
                <w:lang w:eastAsia="en-US"/>
              </w:rPr>
              <w:fldChar w:fldCharType="end"/>
            </w:r>
            <w:r>
              <w:rPr>
                <w:rFonts w:ascii="Times New Roman" w:eastAsia="宋体" w:hAnsi="Times New Roman" w:cs="Times New Roman"/>
                <w:snapToGrid w:val="0"/>
                <w:kern w:val="0"/>
                <w:sz w:val="21"/>
                <w:szCs w:val="21"/>
              </w:rPr>
              <w:t>做好抚育管护工作，采取覆土、灌溉、施肥、除草、松土、病虫害管理、整形修枝等措施。</w:t>
            </w:r>
          </w:p>
          <w:p w14:paraId="077D67D9"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lang w:eastAsia="en-US"/>
              </w:rPr>
              <w:fldChar w:fldCharType="begin"/>
            </w:r>
            <w:r>
              <w:rPr>
                <w:rFonts w:ascii="Times New Roman" w:eastAsia="宋体" w:hAnsi="Times New Roman" w:cs="Times New Roman"/>
                <w:snapToGrid w:val="0"/>
                <w:kern w:val="0"/>
                <w:sz w:val="21"/>
                <w:szCs w:val="21"/>
              </w:rPr>
              <w:instrText xml:space="preserve"> = 4 \* GB2 </w:instrText>
            </w:r>
            <w:r>
              <w:rPr>
                <w:rFonts w:ascii="Times New Roman" w:eastAsia="宋体" w:hAnsi="Times New Roman" w:cs="Times New Roman"/>
                <w:snapToGrid w:val="0"/>
                <w:kern w:val="0"/>
                <w:sz w:val="21"/>
                <w:szCs w:val="21"/>
                <w:lang w:eastAsia="en-US"/>
              </w:rPr>
              <w:fldChar w:fldCharType="separate"/>
            </w:r>
            <w:r>
              <w:rPr>
                <w:rFonts w:ascii="宋体" w:eastAsia="宋体" w:hAnsi="宋体" w:cs="宋体" w:hint="eastAsia"/>
                <w:snapToGrid w:val="0"/>
                <w:kern w:val="0"/>
                <w:sz w:val="21"/>
                <w:szCs w:val="21"/>
              </w:rPr>
              <w:t>⑷</w:t>
            </w:r>
            <w:r>
              <w:rPr>
                <w:rFonts w:ascii="Times New Roman" w:eastAsia="宋体" w:hAnsi="Times New Roman" w:cs="Times New Roman"/>
                <w:snapToGrid w:val="0"/>
                <w:kern w:val="0"/>
                <w:sz w:val="21"/>
                <w:szCs w:val="21"/>
                <w:lang w:eastAsia="en-US"/>
              </w:rPr>
              <w:fldChar w:fldCharType="end"/>
            </w:r>
            <w:r>
              <w:rPr>
                <w:rFonts w:ascii="Times New Roman" w:eastAsia="宋体" w:hAnsi="Times New Roman" w:cs="Times New Roman"/>
                <w:snapToGrid w:val="0"/>
                <w:kern w:val="0"/>
                <w:sz w:val="21"/>
                <w:szCs w:val="21"/>
              </w:rPr>
              <w:t>有关部门对拟建立的就地保护区应实行科学化、有序化管理，健全各项管理制度。</w:t>
            </w:r>
          </w:p>
          <w:p w14:paraId="7105A3FB"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lang w:eastAsia="en-US"/>
              </w:rPr>
              <w:fldChar w:fldCharType="begin"/>
            </w:r>
            <w:r>
              <w:rPr>
                <w:rFonts w:ascii="Times New Roman" w:eastAsia="宋体" w:hAnsi="Times New Roman" w:cs="Times New Roman"/>
                <w:snapToGrid w:val="0"/>
                <w:kern w:val="0"/>
                <w:sz w:val="21"/>
                <w:szCs w:val="21"/>
              </w:rPr>
              <w:instrText xml:space="preserve"> = 5 \* GB2 </w:instrText>
            </w:r>
            <w:r>
              <w:rPr>
                <w:rFonts w:ascii="Times New Roman" w:eastAsia="宋体" w:hAnsi="Times New Roman" w:cs="Times New Roman"/>
                <w:snapToGrid w:val="0"/>
                <w:kern w:val="0"/>
                <w:sz w:val="21"/>
                <w:szCs w:val="21"/>
                <w:lang w:eastAsia="en-US"/>
              </w:rPr>
              <w:fldChar w:fldCharType="separate"/>
            </w:r>
            <w:r>
              <w:rPr>
                <w:rFonts w:ascii="宋体" w:eastAsia="宋体" w:hAnsi="宋体" w:cs="宋体" w:hint="eastAsia"/>
                <w:snapToGrid w:val="0"/>
                <w:kern w:val="0"/>
                <w:sz w:val="21"/>
                <w:szCs w:val="21"/>
              </w:rPr>
              <w:t>⑸</w:t>
            </w:r>
            <w:r>
              <w:rPr>
                <w:rFonts w:ascii="Times New Roman" w:eastAsia="宋体" w:hAnsi="Times New Roman" w:cs="Times New Roman"/>
                <w:snapToGrid w:val="0"/>
                <w:kern w:val="0"/>
                <w:sz w:val="21"/>
                <w:szCs w:val="21"/>
                <w:lang w:eastAsia="en-US"/>
              </w:rPr>
              <w:fldChar w:fldCharType="end"/>
            </w:r>
            <w:r>
              <w:rPr>
                <w:rFonts w:ascii="Times New Roman" w:eastAsia="宋体" w:hAnsi="Times New Roman" w:cs="Times New Roman"/>
                <w:snapToGrid w:val="0"/>
                <w:kern w:val="0"/>
                <w:sz w:val="21"/>
                <w:szCs w:val="21"/>
              </w:rPr>
              <w:t>做好树木的监测，实施不少于五年期的监测，关注树木的生长态势。</w:t>
            </w:r>
          </w:p>
          <w:p w14:paraId="0070BE36" w14:textId="77777777" w:rsidR="009D12AF" w:rsidRDefault="00000000">
            <w:pPr>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lang w:eastAsia="en-US"/>
              </w:rPr>
              <w:fldChar w:fldCharType="begin"/>
            </w:r>
            <w:r>
              <w:rPr>
                <w:rFonts w:ascii="Times New Roman" w:eastAsia="宋体" w:hAnsi="Times New Roman" w:cs="Times New Roman"/>
                <w:snapToGrid w:val="0"/>
                <w:kern w:val="0"/>
                <w:sz w:val="21"/>
                <w:szCs w:val="21"/>
              </w:rPr>
              <w:instrText xml:space="preserve"> = 6 \* GB2 </w:instrText>
            </w:r>
            <w:r>
              <w:rPr>
                <w:rFonts w:ascii="Times New Roman" w:eastAsia="宋体" w:hAnsi="Times New Roman" w:cs="Times New Roman"/>
                <w:snapToGrid w:val="0"/>
                <w:kern w:val="0"/>
                <w:sz w:val="21"/>
                <w:szCs w:val="21"/>
                <w:lang w:eastAsia="en-US"/>
              </w:rPr>
              <w:fldChar w:fldCharType="separate"/>
            </w:r>
            <w:r>
              <w:rPr>
                <w:rFonts w:ascii="宋体" w:eastAsia="宋体" w:hAnsi="宋体" w:cs="宋体" w:hint="eastAsia"/>
                <w:snapToGrid w:val="0"/>
                <w:kern w:val="0"/>
                <w:sz w:val="21"/>
                <w:szCs w:val="21"/>
              </w:rPr>
              <w:t>⑹</w:t>
            </w:r>
            <w:r>
              <w:rPr>
                <w:rFonts w:ascii="Times New Roman" w:eastAsia="宋体" w:hAnsi="Times New Roman" w:cs="Times New Roman"/>
                <w:snapToGrid w:val="0"/>
                <w:kern w:val="0"/>
                <w:sz w:val="21"/>
                <w:szCs w:val="21"/>
                <w:lang w:eastAsia="en-US"/>
              </w:rPr>
              <w:fldChar w:fldCharType="end"/>
            </w:r>
            <w:r>
              <w:rPr>
                <w:rFonts w:ascii="Times New Roman" w:eastAsia="宋体" w:hAnsi="Times New Roman" w:cs="Times New Roman"/>
                <w:snapToGrid w:val="0"/>
                <w:kern w:val="0"/>
                <w:sz w:val="21"/>
                <w:szCs w:val="21"/>
              </w:rPr>
              <w:t>加强宣传教育：加强民众教育，广泛、通俗、持之以恒地开展与生物多样性保护相关的文化教育、法律宣传，不断提高社会民众的环境保护意识。</w:t>
            </w:r>
          </w:p>
        </w:tc>
      </w:tr>
      <w:tr w:rsidR="009D12AF" w14:paraId="3617FA24" w14:textId="77777777">
        <w:trPr>
          <w:cantSplit/>
          <w:trHeight w:val="3176"/>
          <w:jc w:val="center"/>
        </w:trPr>
        <w:tc>
          <w:tcPr>
            <w:tcW w:w="415" w:type="pct"/>
            <w:tcBorders>
              <w:tl2br w:val="nil"/>
              <w:tr2bl w:val="nil"/>
            </w:tcBorders>
            <w:vAlign w:val="center"/>
          </w:tcPr>
          <w:p w14:paraId="5EADD5D7"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lastRenderedPageBreak/>
              <w:t>樟子松</w:t>
            </w:r>
          </w:p>
        </w:tc>
        <w:tc>
          <w:tcPr>
            <w:tcW w:w="357" w:type="pct"/>
            <w:tcBorders>
              <w:tl2br w:val="nil"/>
              <w:tr2bl w:val="nil"/>
            </w:tcBorders>
            <w:vAlign w:val="center"/>
          </w:tcPr>
          <w:p w14:paraId="4DF172E8"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rPr>
              <w:t>——</w:t>
            </w:r>
          </w:p>
        </w:tc>
        <w:tc>
          <w:tcPr>
            <w:tcW w:w="357" w:type="pct"/>
            <w:tcBorders>
              <w:tl2br w:val="nil"/>
              <w:tr2bl w:val="nil"/>
            </w:tcBorders>
            <w:vAlign w:val="center"/>
          </w:tcPr>
          <w:p w14:paraId="42D1FB88"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易危</w:t>
            </w:r>
          </w:p>
        </w:tc>
        <w:tc>
          <w:tcPr>
            <w:tcW w:w="653" w:type="pct"/>
            <w:tcBorders>
              <w:tl2br w:val="nil"/>
              <w:tr2bl w:val="nil"/>
            </w:tcBorders>
            <w:vAlign w:val="center"/>
          </w:tcPr>
          <w:p w14:paraId="0CAB74AA"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工程周边评价区内涉及</w:t>
            </w:r>
            <w:r>
              <w:rPr>
                <w:rFonts w:ascii="Times New Roman" w:eastAsia="宋体" w:hAnsi="Times New Roman" w:cs="Times New Roman" w:hint="eastAsia"/>
                <w:snapToGrid w:val="0"/>
                <w:kern w:val="0"/>
                <w:sz w:val="21"/>
                <w:szCs w:val="21"/>
              </w:rPr>
              <w:t>3</w:t>
            </w:r>
            <w:r>
              <w:rPr>
                <w:rFonts w:ascii="Times New Roman" w:eastAsia="宋体" w:hAnsi="Times New Roman" w:cs="Times New Roman" w:hint="eastAsia"/>
                <w:snapToGrid w:val="0"/>
                <w:kern w:val="0"/>
                <w:sz w:val="21"/>
                <w:szCs w:val="21"/>
              </w:rPr>
              <w:t>处：工程占地周边均匀分布</w:t>
            </w:r>
            <w:r>
              <w:rPr>
                <w:rFonts w:ascii="Times New Roman" w:eastAsia="宋体" w:hAnsi="Times New Roman" w:cs="Times New Roman"/>
                <w:snapToGrid w:val="0"/>
                <w:kern w:val="0"/>
                <w:sz w:val="21"/>
                <w:szCs w:val="21"/>
              </w:rPr>
              <w:t>。</w:t>
            </w:r>
          </w:p>
        </w:tc>
        <w:tc>
          <w:tcPr>
            <w:tcW w:w="3218" w:type="pct"/>
            <w:vMerge/>
            <w:tcBorders>
              <w:tl2br w:val="nil"/>
              <w:tr2bl w:val="nil"/>
            </w:tcBorders>
            <w:vAlign w:val="center"/>
          </w:tcPr>
          <w:p w14:paraId="28A75296" w14:textId="77777777" w:rsidR="009D12AF" w:rsidRDefault="009D12AF">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p>
        </w:tc>
      </w:tr>
      <w:tr w:rsidR="009D12AF" w14:paraId="175CDB92" w14:textId="77777777">
        <w:trPr>
          <w:cantSplit/>
          <w:trHeight w:val="3176"/>
          <w:jc w:val="center"/>
        </w:trPr>
        <w:tc>
          <w:tcPr>
            <w:tcW w:w="415" w:type="pct"/>
            <w:tcBorders>
              <w:tl2br w:val="nil"/>
              <w:tr2bl w:val="nil"/>
            </w:tcBorders>
            <w:vAlign w:val="center"/>
          </w:tcPr>
          <w:p w14:paraId="50E41304"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lastRenderedPageBreak/>
              <w:t>黄檗</w:t>
            </w:r>
          </w:p>
        </w:tc>
        <w:tc>
          <w:tcPr>
            <w:tcW w:w="357" w:type="pct"/>
            <w:tcBorders>
              <w:tl2br w:val="nil"/>
              <w:tr2bl w:val="nil"/>
            </w:tcBorders>
            <w:vAlign w:val="center"/>
          </w:tcPr>
          <w:p w14:paraId="58BA556C"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国家二级</w:t>
            </w:r>
          </w:p>
        </w:tc>
        <w:tc>
          <w:tcPr>
            <w:tcW w:w="357" w:type="pct"/>
            <w:tcBorders>
              <w:tl2br w:val="nil"/>
              <w:tr2bl w:val="nil"/>
            </w:tcBorders>
            <w:vAlign w:val="center"/>
          </w:tcPr>
          <w:p w14:paraId="7F6BE952"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易危</w:t>
            </w:r>
          </w:p>
        </w:tc>
        <w:tc>
          <w:tcPr>
            <w:tcW w:w="653" w:type="pct"/>
            <w:tcBorders>
              <w:tl2br w:val="nil"/>
              <w:tr2bl w:val="nil"/>
            </w:tcBorders>
            <w:vAlign w:val="center"/>
          </w:tcPr>
          <w:p w14:paraId="69E2EDDD"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工程周边评价区内涉及</w:t>
            </w:r>
            <w:r>
              <w:rPr>
                <w:rFonts w:ascii="Times New Roman" w:eastAsia="宋体" w:hAnsi="Times New Roman" w:cs="Times New Roman" w:hint="eastAsia"/>
                <w:snapToGrid w:val="0"/>
                <w:kern w:val="0"/>
                <w:sz w:val="21"/>
                <w:szCs w:val="21"/>
              </w:rPr>
              <w:t>3</w:t>
            </w:r>
            <w:r>
              <w:rPr>
                <w:rFonts w:ascii="Times New Roman" w:eastAsia="宋体" w:hAnsi="Times New Roman" w:cs="Times New Roman" w:hint="eastAsia"/>
                <w:snapToGrid w:val="0"/>
                <w:kern w:val="0"/>
                <w:sz w:val="21"/>
                <w:szCs w:val="21"/>
              </w:rPr>
              <w:t>处：工程占地周边均匀分布</w:t>
            </w:r>
          </w:p>
        </w:tc>
        <w:tc>
          <w:tcPr>
            <w:tcW w:w="3218" w:type="pct"/>
            <w:vMerge w:val="restart"/>
            <w:tcBorders>
              <w:tl2br w:val="nil"/>
              <w:tr2bl w:val="nil"/>
            </w:tcBorders>
            <w:vAlign w:val="center"/>
          </w:tcPr>
          <w:p w14:paraId="41CC39E3"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rPr>
              <w:t>对评价范围内未被工程占用的国家重点保护野生植物采取就地保护。</w:t>
            </w:r>
          </w:p>
          <w:p w14:paraId="52D583F1"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rPr>
              <w:t>就地保护流程如下：</w:t>
            </w:r>
          </w:p>
          <w:p w14:paraId="6433A385"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lang w:eastAsia="en-US"/>
              </w:rPr>
              <w:fldChar w:fldCharType="begin"/>
            </w:r>
            <w:r>
              <w:rPr>
                <w:rFonts w:ascii="Times New Roman" w:eastAsia="宋体" w:hAnsi="Times New Roman" w:cs="Times New Roman"/>
                <w:snapToGrid w:val="0"/>
                <w:kern w:val="0"/>
                <w:sz w:val="21"/>
                <w:szCs w:val="21"/>
              </w:rPr>
              <w:instrText xml:space="preserve"> = 1 \* GB2 </w:instrText>
            </w:r>
            <w:r>
              <w:rPr>
                <w:rFonts w:ascii="Times New Roman" w:eastAsia="宋体" w:hAnsi="Times New Roman" w:cs="Times New Roman"/>
                <w:snapToGrid w:val="0"/>
                <w:kern w:val="0"/>
                <w:sz w:val="21"/>
                <w:szCs w:val="21"/>
                <w:lang w:eastAsia="en-US"/>
              </w:rPr>
              <w:fldChar w:fldCharType="separate"/>
            </w:r>
            <w:r>
              <w:rPr>
                <w:rFonts w:ascii="宋体" w:eastAsia="宋体" w:hAnsi="宋体" w:cs="宋体" w:hint="eastAsia"/>
                <w:snapToGrid w:val="0"/>
                <w:kern w:val="0"/>
                <w:sz w:val="21"/>
                <w:szCs w:val="21"/>
              </w:rPr>
              <w:t>⑴</w:t>
            </w:r>
            <w:r>
              <w:rPr>
                <w:rFonts w:ascii="Times New Roman" w:eastAsia="宋体" w:hAnsi="Times New Roman" w:cs="Times New Roman"/>
                <w:snapToGrid w:val="0"/>
                <w:kern w:val="0"/>
                <w:sz w:val="21"/>
                <w:szCs w:val="21"/>
                <w:lang w:eastAsia="en-US"/>
              </w:rPr>
              <w:fldChar w:fldCharType="end"/>
            </w:r>
            <w:r>
              <w:rPr>
                <w:rFonts w:ascii="Times New Roman" w:eastAsia="宋体" w:hAnsi="Times New Roman" w:cs="Times New Roman"/>
                <w:snapToGrid w:val="0"/>
                <w:kern w:val="0"/>
                <w:sz w:val="21"/>
                <w:szCs w:val="21"/>
              </w:rPr>
              <w:t>在保护植物周边设置围栏，围栏直径</w:t>
            </w:r>
            <w:r>
              <w:rPr>
                <w:rFonts w:ascii="Times New Roman" w:eastAsia="宋体" w:hAnsi="Times New Roman" w:cs="Times New Roman"/>
                <w:snapToGrid w:val="0"/>
                <w:kern w:val="0"/>
                <w:sz w:val="21"/>
                <w:szCs w:val="21"/>
              </w:rPr>
              <w:t>4m</w:t>
            </w:r>
            <w:r>
              <w:rPr>
                <w:rFonts w:ascii="Times New Roman" w:eastAsia="宋体" w:hAnsi="Times New Roman" w:cs="Times New Roman"/>
                <w:snapToGrid w:val="0"/>
                <w:kern w:val="0"/>
                <w:sz w:val="21"/>
                <w:szCs w:val="21"/>
              </w:rPr>
              <w:t>左右，围栏高度</w:t>
            </w:r>
            <w:r>
              <w:rPr>
                <w:rFonts w:ascii="Times New Roman" w:eastAsia="宋体" w:hAnsi="Times New Roman" w:cs="Times New Roman"/>
                <w:snapToGrid w:val="0"/>
                <w:kern w:val="0"/>
                <w:sz w:val="21"/>
                <w:szCs w:val="21"/>
              </w:rPr>
              <w:t>1.2m</w:t>
            </w:r>
            <w:r>
              <w:rPr>
                <w:rFonts w:ascii="Times New Roman" w:eastAsia="宋体" w:hAnsi="Times New Roman" w:cs="Times New Roman"/>
                <w:snapToGrid w:val="0"/>
                <w:kern w:val="0"/>
                <w:sz w:val="21"/>
                <w:szCs w:val="21"/>
              </w:rPr>
              <w:t>。</w:t>
            </w:r>
          </w:p>
          <w:p w14:paraId="2C14FF88"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lang w:eastAsia="en-US"/>
              </w:rPr>
              <w:fldChar w:fldCharType="begin"/>
            </w:r>
            <w:r>
              <w:rPr>
                <w:rFonts w:ascii="Times New Roman" w:eastAsia="宋体" w:hAnsi="Times New Roman" w:cs="Times New Roman"/>
                <w:snapToGrid w:val="0"/>
                <w:kern w:val="0"/>
                <w:sz w:val="21"/>
                <w:szCs w:val="21"/>
              </w:rPr>
              <w:instrText xml:space="preserve"> = 2 \* GB2 </w:instrText>
            </w:r>
            <w:r>
              <w:rPr>
                <w:rFonts w:ascii="Times New Roman" w:eastAsia="宋体" w:hAnsi="Times New Roman" w:cs="Times New Roman"/>
                <w:snapToGrid w:val="0"/>
                <w:kern w:val="0"/>
                <w:sz w:val="21"/>
                <w:szCs w:val="21"/>
                <w:lang w:eastAsia="en-US"/>
              </w:rPr>
              <w:fldChar w:fldCharType="separate"/>
            </w:r>
            <w:r>
              <w:rPr>
                <w:rFonts w:ascii="宋体" w:eastAsia="宋体" w:hAnsi="宋体" w:cs="宋体" w:hint="eastAsia"/>
                <w:snapToGrid w:val="0"/>
                <w:kern w:val="0"/>
                <w:sz w:val="21"/>
                <w:szCs w:val="21"/>
              </w:rPr>
              <w:t>⑵</w:t>
            </w:r>
            <w:r>
              <w:rPr>
                <w:rFonts w:ascii="Times New Roman" w:eastAsia="宋体" w:hAnsi="Times New Roman" w:cs="Times New Roman"/>
                <w:snapToGrid w:val="0"/>
                <w:kern w:val="0"/>
                <w:sz w:val="21"/>
                <w:szCs w:val="21"/>
                <w:lang w:eastAsia="en-US"/>
              </w:rPr>
              <w:fldChar w:fldCharType="end"/>
            </w:r>
            <w:r>
              <w:rPr>
                <w:rFonts w:ascii="Times New Roman" w:eastAsia="宋体" w:hAnsi="Times New Roman" w:cs="Times New Roman"/>
                <w:snapToGrid w:val="0"/>
                <w:kern w:val="0"/>
                <w:sz w:val="21"/>
                <w:szCs w:val="21"/>
              </w:rPr>
              <w:t>尽量维持保护地生态系统的自然性、稳定性和完整性。</w:t>
            </w:r>
          </w:p>
          <w:p w14:paraId="3C9BD28F"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lang w:eastAsia="en-US"/>
              </w:rPr>
              <w:fldChar w:fldCharType="begin"/>
            </w:r>
            <w:r>
              <w:rPr>
                <w:rFonts w:ascii="Times New Roman" w:eastAsia="宋体" w:hAnsi="Times New Roman" w:cs="Times New Roman"/>
                <w:snapToGrid w:val="0"/>
                <w:kern w:val="0"/>
                <w:sz w:val="21"/>
                <w:szCs w:val="21"/>
              </w:rPr>
              <w:instrText xml:space="preserve"> = 3 \* GB2 </w:instrText>
            </w:r>
            <w:r>
              <w:rPr>
                <w:rFonts w:ascii="Times New Roman" w:eastAsia="宋体" w:hAnsi="Times New Roman" w:cs="Times New Roman"/>
                <w:snapToGrid w:val="0"/>
                <w:kern w:val="0"/>
                <w:sz w:val="21"/>
                <w:szCs w:val="21"/>
                <w:lang w:eastAsia="en-US"/>
              </w:rPr>
              <w:fldChar w:fldCharType="separate"/>
            </w:r>
            <w:r>
              <w:rPr>
                <w:rFonts w:ascii="宋体" w:eastAsia="宋体" w:hAnsi="宋体" w:cs="宋体" w:hint="eastAsia"/>
                <w:snapToGrid w:val="0"/>
                <w:kern w:val="0"/>
                <w:sz w:val="21"/>
                <w:szCs w:val="21"/>
              </w:rPr>
              <w:t>⑶</w:t>
            </w:r>
            <w:r>
              <w:rPr>
                <w:rFonts w:ascii="Times New Roman" w:eastAsia="宋体" w:hAnsi="Times New Roman" w:cs="Times New Roman"/>
                <w:snapToGrid w:val="0"/>
                <w:kern w:val="0"/>
                <w:sz w:val="21"/>
                <w:szCs w:val="21"/>
                <w:lang w:eastAsia="en-US"/>
              </w:rPr>
              <w:fldChar w:fldCharType="end"/>
            </w:r>
            <w:r>
              <w:rPr>
                <w:rFonts w:ascii="Times New Roman" w:eastAsia="宋体" w:hAnsi="Times New Roman" w:cs="Times New Roman"/>
                <w:snapToGrid w:val="0"/>
                <w:kern w:val="0"/>
                <w:sz w:val="21"/>
                <w:szCs w:val="21"/>
              </w:rPr>
              <w:t>做好抚育管护工作，采取覆土、灌溉、施肥、除草、松土、病虫害管理、整形修枝等措施。</w:t>
            </w:r>
          </w:p>
          <w:p w14:paraId="40E97CBC"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lang w:eastAsia="en-US"/>
              </w:rPr>
              <w:fldChar w:fldCharType="begin"/>
            </w:r>
            <w:r>
              <w:rPr>
                <w:rFonts w:ascii="Times New Roman" w:eastAsia="宋体" w:hAnsi="Times New Roman" w:cs="Times New Roman"/>
                <w:snapToGrid w:val="0"/>
                <w:kern w:val="0"/>
                <w:sz w:val="21"/>
                <w:szCs w:val="21"/>
              </w:rPr>
              <w:instrText xml:space="preserve"> = 4 \* GB2 </w:instrText>
            </w:r>
            <w:r>
              <w:rPr>
                <w:rFonts w:ascii="Times New Roman" w:eastAsia="宋体" w:hAnsi="Times New Roman" w:cs="Times New Roman"/>
                <w:snapToGrid w:val="0"/>
                <w:kern w:val="0"/>
                <w:sz w:val="21"/>
                <w:szCs w:val="21"/>
                <w:lang w:eastAsia="en-US"/>
              </w:rPr>
              <w:fldChar w:fldCharType="separate"/>
            </w:r>
            <w:r>
              <w:rPr>
                <w:rFonts w:ascii="宋体" w:eastAsia="宋体" w:hAnsi="宋体" w:cs="宋体" w:hint="eastAsia"/>
                <w:snapToGrid w:val="0"/>
                <w:kern w:val="0"/>
                <w:sz w:val="21"/>
                <w:szCs w:val="21"/>
              </w:rPr>
              <w:t>⑷</w:t>
            </w:r>
            <w:r>
              <w:rPr>
                <w:rFonts w:ascii="Times New Roman" w:eastAsia="宋体" w:hAnsi="Times New Roman" w:cs="Times New Roman"/>
                <w:snapToGrid w:val="0"/>
                <w:kern w:val="0"/>
                <w:sz w:val="21"/>
                <w:szCs w:val="21"/>
                <w:lang w:eastAsia="en-US"/>
              </w:rPr>
              <w:fldChar w:fldCharType="end"/>
            </w:r>
            <w:r>
              <w:rPr>
                <w:rFonts w:ascii="Times New Roman" w:eastAsia="宋体" w:hAnsi="Times New Roman" w:cs="Times New Roman"/>
                <w:snapToGrid w:val="0"/>
                <w:kern w:val="0"/>
                <w:sz w:val="21"/>
                <w:szCs w:val="21"/>
              </w:rPr>
              <w:t>有关部门对拟建立的就地保护区应实行科学化、有序化管理，健全各项管理制度。</w:t>
            </w:r>
          </w:p>
          <w:p w14:paraId="58630865"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lang w:eastAsia="en-US"/>
              </w:rPr>
              <w:fldChar w:fldCharType="begin"/>
            </w:r>
            <w:r>
              <w:rPr>
                <w:rFonts w:ascii="Times New Roman" w:eastAsia="宋体" w:hAnsi="Times New Roman" w:cs="Times New Roman"/>
                <w:snapToGrid w:val="0"/>
                <w:kern w:val="0"/>
                <w:sz w:val="21"/>
                <w:szCs w:val="21"/>
              </w:rPr>
              <w:instrText xml:space="preserve"> = 5 \* GB2 </w:instrText>
            </w:r>
            <w:r>
              <w:rPr>
                <w:rFonts w:ascii="Times New Roman" w:eastAsia="宋体" w:hAnsi="Times New Roman" w:cs="Times New Roman"/>
                <w:snapToGrid w:val="0"/>
                <w:kern w:val="0"/>
                <w:sz w:val="21"/>
                <w:szCs w:val="21"/>
                <w:lang w:eastAsia="en-US"/>
              </w:rPr>
              <w:fldChar w:fldCharType="separate"/>
            </w:r>
            <w:r>
              <w:rPr>
                <w:rFonts w:ascii="宋体" w:eastAsia="宋体" w:hAnsi="宋体" w:cs="宋体" w:hint="eastAsia"/>
                <w:snapToGrid w:val="0"/>
                <w:kern w:val="0"/>
                <w:sz w:val="21"/>
                <w:szCs w:val="21"/>
              </w:rPr>
              <w:t>⑸</w:t>
            </w:r>
            <w:r>
              <w:rPr>
                <w:rFonts w:ascii="Times New Roman" w:eastAsia="宋体" w:hAnsi="Times New Roman" w:cs="Times New Roman"/>
                <w:snapToGrid w:val="0"/>
                <w:kern w:val="0"/>
                <w:sz w:val="21"/>
                <w:szCs w:val="21"/>
                <w:lang w:eastAsia="en-US"/>
              </w:rPr>
              <w:fldChar w:fldCharType="end"/>
            </w:r>
            <w:r>
              <w:rPr>
                <w:rFonts w:ascii="Times New Roman" w:eastAsia="宋体" w:hAnsi="Times New Roman" w:cs="Times New Roman"/>
                <w:snapToGrid w:val="0"/>
                <w:kern w:val="0"/>
                <w:sz w:val="21"/>
                <w:szCs w:val="21"/>
              </w:rPr>
              <w:t>做好树木的监测，实施不少于五年期的监测，关注树木的生长态势。</w:t>
            </w:r>
          </w:p>
          <w:p w14:paraId="6A45EB32" w14:textId="77777777" w:rsidR="009D12AF" w:rsidRDefault="00000000">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lang w:eastAsia="en-US"/>
              </w:rPr>
              <w:fldChar w:fldCharType="begin"/>
            </w:r>
            <w:r>
              <w:rPr>
                <w:rFonts w:ascii="Times New Roman" w:eastAsia="宋体" w:hAnsi="Times New Roman" w:cs="Times New Roman"/>
                <w:snapToGrid w:val="0"/>
                <w:kern w:val="0"/>
                <w:sz w:val="21"/>
                <w:szCs w:val="21"/>
              </w:rPr>
              <w:instrText xml:space="preserve"> = 6 \* GB2 </w:instrText>
            </w:r>
            <w:r>
              <w:rPr>
                <w:rFonts w:ascii="Times New Roman" w:eastAsia="宋体" w:hAnsi="Times New Roman" w:cs="Times New Roman"/>
                <w:snapToGrid w:val="0"/>
                <w:kern w:val="0"/>
                <w:sz w:val="21"/>
                <w:szCs w:val="21"/>
                <w:lang w:eastAsia="en-US"/>
              </w:rPr>
              <w:fldChar w:fldCharType="separate"/>
            </w:r>
            <w:r>
              <w:rPr>
                <w:rFonts w:ascii="宋体" w:eastAsia="宋体" w:hAnsi="宋体" w:cs="宋体" w:hint="eastAsia"/>
                <w:snapToGrid w:val="0"/>
                <w:kern w:val="0"/>
                <w:sz w:val="21"/>
                <w:szCs w:val="21"/>
              </w:rPr>
              <w:t>⑹</w:t>
            </w:r>
            <w:r>
              <w:rPr>
                <w:rFonts w:ascii="Times New Roman" w:eastAsia="宋体" w:hAnsi="Times New Roman" w:cs="Times New Roman"/>
                <w:snapToGrid w:val="0"/>
                <w:kern w:val="0"/>
                <w:sz w:val="21"/>
                <w:szCs w:val="21"/>
                <w:lang w:eastAsia="en-US"/>
              </w:rPr>
              <w:fldChar w:fldCharType="end"/>
            </w:r>
            <w:r>
              <w:rPr>
                <w:rFonts w:ascii="Times New Roman" w:eastAsia="宋体" w:hAnsi="Times New Roman" w:cs="Times New Roman"/>
                <w:snapToGrid w:val="0"/>
                <w:kern w:val="0"/>
                <w:sz w:val="21"/>
                <w:szCs w:val="21"/>
              </w:rPr>
              <w:t>加强宣传教育：加强民众教育，广泛、通俗、持之以恒地开展与生物多样性保护相关的文化教育、法律宣传，不断提高社会民众的环境保护意识。</w:t>
            </w:r>
          </w:p>
        </w:tc>
      </w:tr>
      <w:tr w:rsidR="009D12AF" w14:paraId="47A502B8" w14:textId="77777777">
        <w:trPr>
          <w:cantSplit/>
          <w:trHeight w:val="3176"/>
          <w:jc w:val="center"/>
        </w:trPr>
        <w:tc>
          <w:tcPr>
            <w:tcW w:w="415" w:type="pct"/>
            <w:tcBorders>
              <w:tl2br w:val="nil"/>
              <w:tr2bl w:val="nil"/>
            </w:tcBorders>
            <w:vAlign w:val="center"/>
          </w:tcPr>
          <w:p w14:paraId="606033EC"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水曲柳</w:t>
            </w:r>
          </w:p>
        </w:tc>
        <w:tc>
          <w:tcPr>
            <w:tcW w:w="357" w:type="pct"/>
            <w:tcBorders>
              <w:tl2br w:val="nil"/>
              <w:tr2bl w:val="nil"/>
            </w:tcBorders>
            <w:vAlign w:val="center"/>
          </w:tcPr>
          <w:p w14:paraId="65B4D44D"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国家二级</w:t>
            </w:r>
          </w:p>
        </w:tc>
        <w:tc>
          <w:tcPr>
            <w:tcW w:w="357" w:type="pct"/>
            <w:tcBorders>
              <w:tl2br w:val="nil"/>
              <w:tr2bl w:val="nil"/>
            </w:tcBorders>
            <w:vAlign w:val="center"/>
          </w:tcPr>
          <w:p w14:paraId="65417991"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无危</w:t>
            </w:r>
          </w:p>
        </w:tc>
        <w:tc>
          <w:tcPr>
            <w:tcW w:w="653" w:type="pct"/>
            <w:tcBorders>
              <w:tl2br w:val="nil"/>
              <w:tr2bl w:val="nil"/>
            </w:tcBorders>
            <w:vAlign w:val="center"/>
          </w:tcPr>
          <w:p w14:paraId="1BE1A996"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工程周边评价区内涉及</w:t>
            </w:r>
            <w:r>
              <w:rPr>
                <w:rFonts w:ascii="Times New Roman" w:eastAsia="宋体" w:hAnsi="Times New Roman" w:cs="Times New Roman" w:hint="eastAsia"/>
                <w:snapToGrid w:val="0"/>
                <w:kern w:val="0"/>
                <w:sz w:val="21"/>
                <w:szCs w:val="21"/>
              </w:rPr>
              <w:t>3</w:t>
            </w:r>
            <w:r>
              <w:rPr>
                <w:rFonts w:ascii="Times New Roman" w:eastAsia="宋体" w:hAnsi="Times New Roman" w:cs="Times New Roman" w:hint="eastAsia"/>
                <w:snapToGrid w:val="0"/>
                <w:kern w:val="0"/>
                <w:sz w:val="21"/>
                <w:szCs w:val="21"/>
              </w:rPr>
              <w:t>处：工程占地周边均匀分布</w:t>
            </w:r>
          </w:p>
        </w:tc>
        <w:tc>
          <w:tcPr>
            <w:tcW w:w="3218" w:type="pct"/>
            <w:vMerge/>
            <w:tcBorders>
              <w:tl2br w:val="nil"/>
              <w:tr2bl w:val="nil"/>
            </w:tcBorders>
            <w:vAlign w:val="center"/>
          </w:tcPr>
          <w:p w14:paraId="3B33A746" w14:textId="77777777" w:rsidR="009D12AF" w:rsidRDefault="009D12AF">
            <w:pPr>
              <w:widowControl/>
              <w:autoSpaceDE w:val="0"/>
              <w:autoSpaceDN w:val="0"/>
              <w:adjustRightInd w:val="0"/>
              <w:snapToGrid w:val="0"/>
              <w:ind w:firstLineChars="0" w:firstLine="0"/>
              <w:jc w:val="left"/>
              <w:textAlignment w:val="baseline"/>
              <w:rPr>
                <w:rFonts w:ascii="Times New Roman" w:eastAsia="宋体" w:hAnsi="Times New Roman" w:cs="Times New Roman"/>
                <w:snapToGrid w:val="0"/>
                <w:kern w:val="0"/>
                <w:sz w:val="21"/>
                <w:szCs w:val="21"/>
              </w:rPr>
            </w:pPr>
          </w:p>
        </w:tc>
      </w:tr>
    </w:tbl>
    <w:p w14:paraId="206621F7" w14:textId="77777777" w:rsidR="009D12AF" w:rsidRDefault="009D12AF">
      <w:pPr>
        <w:widowControl/>
        <w:ind w:firstLine="480"/>
        <w:jc w:val="left"/>
        <w:rPr>
          <w:rFonts w:ascii="宋体" w:eastAsia="宋体" w:hAnsi="宋体" w:cs="宋体" w:hint="eastAsia"/>
          <w:kern w:val="0"/>
        </w:rPr>
        <w:sectPr w:rsidR="009D12AF">
          <w:pgSz w:w="16838" w:h="11906" w:orient="landscape"/>
          <w:pgMar w:top="1800" w:right="1440" w:bottom="1800" w:left="1440" w:header="851" w:footer="992" w:gutter="0"/>
          <w:cols w:space="425"/>
          <w:docGrid w:type="lines" w:linePitch="326"/>
        </w:sectPr>
      </w:pPr>
    </w:p>
    <w:p w14:paraId="0931C166" w14:textId="77777777" w:rsidR="009D12AF" w:rsidRDefault="00000000">
      <w:pPr>
        <w:ind w:firstLine="480"/>
        <w:rPr>
          <w:rFonts w:ascii="Times New Roman" w:hAnsi="Times New Roman" w:cs="Times New Roman"/>
        </w:rPr>
      </w:pPr>
      <w:r>
        <w:rPr>
          <w:rFonts w:ascii="宋体" w:eastAsia="宋体" w:hAnsi="宋体" w:cs="宋体"/>
          <w:kern w:val="0"/>
        </w:rPr>
        <w:lastRenderedPageBreak/>
        <w:t>施工过程中应加强环境管理，若在施工期间有新发现的其他国家重点保护植物或古树名木，应及时向当地林业部门上报，并采取相应的就地或迁地保护措施。</w:t>
      </w:r>
    </w:p>
    <w:p w14:paraId="54D5102A" w14:textId="77777777" w:rsidR="009D12AF" w:rsidRDefault="00000000">
      <w:pPr>
        <w:pStyle w:val="4"/>
        <w:ind w:firstLineChars="0" w:firstLine="0"/>
      </w:pPr>
      <w:r>
        <w:rPr>
          <w:rFonts w:hint="eastAsia"/>
        </w:rPr>
        <w:t>6.1.7.2</w:t>
      </w:r>
      <w:r>
        <w:rPr>
          <w:rFonts w:hint="eastAsia"/>
        </w:rPr>
        <w:t>动物保护措施</w:t>
      </w:r>
    </w:p>
    <w:p w14:paraId="0CD9F83F" w14:textId="77777777" w:rsidR="009D12AF" w:rsidRDefault="00000000">
      <w:pPr>
        <w:widowControl/>
        <w:autoSpaceDE w:val="0"/>
        <w:autoSpaceDN w:val="0"/>
        <w:adjustRightInd w:val="0"/>
        <w:snapToGrid w:val="0"/>
        <w:ind w:firstLine="480"/>
        <w:textAlignment w:val="baseline"/>
        <w:rPr>
          <w:rFonts w:ascii="Times New Roman" w:eastAsia="宋体" w:hAnsi="Times New Roman" w:cs="Times New Roman"/>
          <w:snapToGrid w:val="0"/>
          <w:kern w:val="0"/>
        </w:rPr>
      </w:pPr>
      <w:r>
        <w:rPr>
          <w:rFonts w:ascii="Times New Roman" w:eastAsia="宋体" w:hAnsi="Times New Roman" w:cs="Times New Roman" w:hint="eastAsia"/>
          <w:snapToGrid w:val="0"/>
          <w:kern w:val="0"/>
        </w:rPr>
        <w:t>（</w:t>
      </w:r>
      <w:r>
        <w:rPr>
          <w:rFonts w:ascii="Times New Roman" w:eastAsia="宋体" w:hAnsi="Times New Roman" w:cs="Times New Roman" w:hint="eastAsia"/>
          <w:snapToGrid w:val="0"/>
          <w:kern w:val="0"/>
        </w:rPr>
        <w:t>1</w:t>
      </w:r>
      <w:r>
        <w:rPr>
          <w:rFonts w:ascii="Times New Roman" w:eastAsia="宋体" w:hAnsi="Times New Roman" w:cs="Times New Roman" w:hint="eastAsia"/>
          <w:snapToGrid w:val="0"/>
          <w:kern w:val="0"/>
        </w:rPr>
        <w:t>）</w:t>
      </w:r>
      <w:r>
        <w:rPr>
          <w:rFonts w:ascii="Times New Roman" w:eastAsia="宋体" w:hAnsi="Times New Roman" w:cs="Times New Roman"/>
          <w:snapToGrid w:val="0"/>
          <w:kern w:val="0"/>
        </w:rPr>
        <w:t>避让措施</w:t>
      </w:r>
      <w:r>
        <w:rPr>
          <w:rFonts w:ascii="Times New Roman" w:eastAsia="宋体" w:hAnsi="Times New Roman" w:cs="Times New Roman"/>
          <w:snapToGrid w:val="0"/>
          <w:kern w:val="0"/>
        </w:rPr>
        <w:t xml:space="preserve"> </w:t>
      </w:r>
    </w:p>
    <w:p w14:paraId="21154C53" w14:textId="77777777" w:rsidR="009D12AF" w:rsidRDefault="00000000">
      <w:pPr>
        <w:widowControl/>
        <w:autoSpaceDE w:val="0"/>
        <w:autoSpaceDN w:val="0"/>
        <w:adjustRightInd w:val="0"/>
        <w:snapToGrid w:val="0"/>
        <w:ind w:firstLine="480"/>
        <w:textAlignment w:val="baseline"/>
        <w:rPr>
          <w:rFonts w:ascii="Times New Roman" w:eastAsia="宋体" w:hAnsi="Times New Roman" w:cs="Times New Roman"/>
          <w:snapToGrid w:val="0"/>
          <w:kern w:val="0"/>
        </w:rPr>
      </w:pPr>
      <w:r>
        <w:rPr>
          <w:rFonts w:ascii="Times New Roman" w:eastAsia="宋体" w:hAnsi="Times New Roman" w:cs="Times New Roman"/>
          <w:snapToGrid w:val="0"/>
          <w:kern w:val="0"/>
        </w:rPr>
        <w:t>对永久占地和临时占地工程范围的动物采取避让措施，具体方法如下：</w:t>
      </w:r>
    </w:p>
    <w:p w14:paraId="491DD1E9" w14:textId="77777777" w:rsidR="009D12AF" w:rsidRDefault="00000000">
      <w:pPr>
        <w:widowControl/>
        <w:autoSpaceDE w:val="0"/>
        <w:autoSpaceDN w:val="0"/>
        <w:adjustRightInd w:val="0"/>
        <w:snapToGrid w:val="0"/>
        <w:ind w:firstLine="480"/>
        <w:textAlignment w:val="baseline"/>
        <w:rPr>
          <w:rFonts w:ascii="Times New Roman" w:eastAsia="宋体" w:hAnsi="Times New Roman" w:cs="Times New Roman"/>
          <w:snapToGrid w:val="0"/>
          <w:kern w:val="0"/>
        </w:rPr>
      </w:pPr>
      <w:r>
        <w:rPr>
          <w:rFonts w:ascii="Times New Roman" w:eastAsia="宋体" w:hAnsi="Times New Roman" w:cs="Times New Roman"/>
          <w:snapToGrid w:val="0"/>
          <w:kern w:val="0"/>
        </w:rPr>
        <w:t>1</w:t>
      </w:r>
      <w:r>
        <w:rPr>
          <w:rFonts w:ascii="Times New Roman" w:eastAsia="宋体" w:hAnsi="Times New Roman" w:cs="Times New Roman"/>
          <w:snapToGrid w:val="0"/>
          <w:kern w:val="0"/>
        </w:rPr>
        <w:t>）加强管理，严格控制施工作业范围，施工活动不得超越征地范围，尽量避免对征地范围外的林地、耕地等的占用，尽量减少对野生动物及其栖息地的破坏，严格落实工程建设范围内生物群落的保护。</w:t>
      </w:r>
      <w:r>
        <w:rPr>
          <w:rFonts w:ascii="Times New Roman" w:eastAsia="宋体" w:hAnsi="Times New Roman" w:cs="Times New Roman"/>
          <w:snapToGrid w:val="0"/>
          <w:kern w:val="0"/>
        </w:rPr>
        <w:t xml:space="preserve"> </w:t>
      </w:r>
    </w:p>
    <w:p w14:paraId="180AB59B" w14:textId="77777777" w:rsidR="009D12AF" w:rsidRDefault="00000000">
      <w:pPr>
        <w:widowControl/>
        <w:autoSpaceDE w:val="0"/>
        <w:autoSpaceDN w:val="0"/>
        <w:adjustRightInd w:val="0"/>
        <w:snapToGrid w:val="0"/>
        <w:ind w:firstLine="480"/>
        <w:textAlignment w:val="baseline"/>
        <w:rPr>
          <w:rFonts w:ascii="Times New Roman" w:eastAsia="宋体" w:hAnsi="Times New Roman" w:cs="Times New Roman"/>
          <w:snapToGrid w:val="0"/>
          <w:kern w:val="0"/>
        </w:rPr>
      </w:pPr>
      <w:r>
        <w:rPr>
          <w:rFonts w:ascii="Times New Roman" w:eastAsia="宋体" w:hAnsi="Times New Roman" w:cs="Times New Roman"/>
          <w:snapToGrid w:val="0"/>
          <w:kern w:val="0"/>
        </w:rPr>
        <w:t>2</w:t>
      </w:r>
      <w:r>
        <w:rPr>
          <w:rFonts w:ascii="Times New Roman" w:eastAsia="宋体" w:hAnsi="Times New Roman" w:cs="Times New Roman"/>
          <w:snapToGrid w:val="0"/>
          <w:kern w:val="0"/>
        </w:rPr>
        <w:t>）合理安排大型作业时间，减少对动物的惊扰。大型作业活动等要避开野生动物活动的高峰期，如晨昏等。两栖动物中的蛙类、鸟类和兽类中的夜行型物种对灯光较为敏感，施工尽量安排在白天进行，避免夜间施工对野生动物正常栖息生活造成影响。禁止高噪声设备在晨昏和夜间运行，减少噪声对动物的干扰。</w:t>
      </w:r>
      <w:r>
        <w:rPr>
          <w:rFonts w:ascii="Times New Roman" w:eastAsia="宋体" w:hAnsi="Times New Roman" w:cs="Times New Roman"/>
          <w:snapToGrid w:val="0"/>
          <w:kern w:val="0"/>
        </w:rPr>
        <w:t xml:space="preserve"> </w:t>
      </w:r>
    </w:p>
    <w:p w14:paraId="6DE5CC9A" w14:textId="77777777" w:rsidR="009D12AF" w:rsidRDefault="00000000">
      <w:pPr>
        <w:widowControl/>
        <w:autoSpaceDE w:val="0"/>
        <w:autoSpaceDN w:val="0"/>
        <w:adjustRightInd w:val="0"/>
        <w:snapToGrid w:val="0"/>
        <w:ind w:firstLine="480"/>
        <w:textAlignment w:val="baseline"/>
        <w:rPr>
          <w:rFonts w:ascii="Times New Roman" w:eastAsia="宋体" w:hAnsi="Times New Roman" w:cs="Times New Roman"/>
          <w:snapToGrid w:val="0"/>
          <w:kern w:val="0"/>
        </w:rPr>
      </w:pPr>
      <w:r>
        <w:rPr>
          <w:rFonts w:ascii="Times New Roman" w:eastAsia="宋体" w:hAnsi="Times New Roman" w:cs="Times New Roman"/>
          <w:snapToGrid w:val="0"/>
          <w:kern w:val="0"/>
        </w:rPr>
        <w:t>3</w:t>
      </w:r>
      <w:r>
        <w:rPr>
          <w:rFonts w:ascii="Times New Roman" w:eastAsia="宋体" w:hAnsi="Times New Roman" w:cs="Times New Roman"/>
          <w:snapToGrid w:val="0"/>
          <w:kern w:val="0"/>
        </w:rPr>
        <w:t>）施工场地平整前，采取鸣笛敲鼓等办法驱逐野生动物，保证其顺利迁移。</w:t>
      </w:r>
    </w:p>
    <w:p w14:paraId="23E73339" w14:textId="77777777" w:rsidR="009D12AF" w:rsidRDefault="00000000">
      <w:pPr>
        <w:widowControl/>
        <w:autoSpaceDE w:val="0"/>
        <w:autoSpaceDN w:val="0"/>
        <w:adjustRightInd w:val="0"/>
        <w:snapToGrid w:val="0"/>
        <w:ind w:firstLine="480"/>
        <w:textAlignment w:val="baseline"/>
        <w:rPr>
          <w:rFonts w:ascii="Times New Roman" w:eastAsia="宋体" w:hAnsi="Times New Roman" w:cs="Times New Roman"/>
          <w:snapToGrid w:val="0"/>
          <w:kern w:val="0"/>
        </w:rPr>
      </w:pPr>
      <w:r>
        <w:rPr>
          <w:rFonts w:ascii="Times New Roman" w:eastAsia="宋体" w:hAnsi="Times New Roman" w:cs="Times New Roman" w:hint="eastAsia"/>
          <w:snapToGrid w:val="0"/>
          <w:kern w:val="0"/>
        </w:rPr>
        <w:t>（</w:t>
      </w:r>
      <w:r>
        <w:rPr>
          <w:rFonts w:ascii="Times New Roman" w:eastAsia="宋体" w:hAnsi="Times New Roman" w:cs="Times New Roman" w:hint="eastAsia"/>
          <w:snapToGrid w:val="0"/>
          <w:kern w:val="0"/>
        </w:rPr>
        <w:t>2</w:t>
      </w:r>
      <w:r>
        <w:rPr>
          <w:rFonts w:ascii="Times New Roman" w:eastAsia="宋体" w:hAnsi="Times New Roman" w:cs="Times New Roman" w:hint="eastAsia"/>
          <w:snapToGrid w:val="0"/>
          <w:kern w:val="0"/>
        </w:rPr>
        <w:t>）</w:t>
      </w:r>
      <w:r>
        <w:rPr>
          <w:rFonts w:ascii="Times New Roman" w:eastAsia="宋体" w:hAnsi="Times New Roman" w:cs="Times New Roman"/>
          <w:snapToGrid w:val="0"/>
          <w:kern w:val="0"/>
        </w:rPr>
        <w:t>减缓措施</w:t>
      </w:r>
      <w:r>
        <w:rPr>
          <w:rFonts w:ascii="Times New Roman" w:eastAsia="宋体" w:hAnsi="Times New Roman" w:cs="Times New Roman"/>
          <w:snapToGrid w:val="0"/>
          <w:kern w:val="0"/>
        </w:rPr>
        <w:t xml:space="preserve"> </w:t>
      </w:r>
    </w:p>
    <w:p w14:paraId="77A4CE2C" w14:textId="77777777" w:rsidR="009D12AF" w:rsidRDefault="00000000">
      <w:pPr>
        <w:widowControl/>
        <w:autoSpaceDE w:val="0"/>
        <w:autoSpaceDN w:val="0"/>
        <w:adjustRightInd w:val="0"/>
        <w:snapToGrid w:val="0"/>
        <w:ind w:firstLine="480"/>
        <w:textAlignment w:val="baseline"/>
        <w:rPr>
          <w:rFonts w:ascii="Times New Roman" w:eastAsia="宋体" w:hAnsi="Times New Roman" w:cs="Times New Roman"/>
          <w:snapToGrid w:val="0"/>
          <w:kern w:val="0"/>
        </w:rPr>
      </w:pPr>
      <w:r>
        <w:rPr>
          <w:rFonts w:ascii="Times New Roman" w:eastAsia="宋体" w:hAnsi="Times New Roman" w:cs="Times New Roman"/>
          <w:snapToGrid w:val="0"/>
          <w:kern w:val="0"/>
        </w:rPr>
        <w:t>对占地工程范围的部分生境受到影响的动物采取减缓措施，具体方法如下：</w:t>
      </w:r>
    </w:p>
    <w:p w14:paraId="08865E3B" w14:textId="77777777" w:rsidR="009D12AF" w:rsidRDefault="00000000">
      <w:pPr>
        <w:widowControl/>
        <w:autoSpaceDE w:val="0"/>
        <w:autoSpaceDN w:val="0"/>
        <w:adjustRightInd w:val="0"/>
        <w:snapToGrid w:val="0"/>
        <w:ind w:firstLine="480"/>
        <w:textAlignment w:val="baseline"/>
        <w:rPr>
          <w:rFonts w:ascii="Times New Roman" w:eastAsia="宋体" w:hAnsi="Times New Roman" w:cs="Times New Roman"/>
          <w:snapToGrid w:val="0"/>
          <w:kern w:val="0"/>
        </w:rPr>
      </w:pPr>
      <w:r>
        <w:rPr>
          <w:rFonts w:ascii="Times New Roman" w:eastAsia="宋体" w:hAnsi="Times New Roman" w:cs="Times New Roman"/>
          <w:snapToGrid w:val="0"/>
          <w:kern w:val="0"/>
        </w:rPr>
        <w:t>1</w:t>
      </w:r>
      <w:r>
        <w:rPr>
          <w:rFonts w:ascii="Times New Roman" w:eastAsia="宋体" w:hAnsi="Times New Roman" w:cs="Times New Roman"/>
          <w:snapToGrid w:val="0"/>
          <w:kern w:val="0"/>
        </w:rPr>
        <w:t>）加强动物保护宣传，提高施工人员的保护意识，严禁捕猎野生动物。施工前需要对施工人员进行宣传教育，以宣传册、标志牌等形式宣传到施工个人，加强周边各种陆生动物基本情况的宣传，增强施工人员的生态保护意识。施工人员必须遵守《中华人民共和国野生动物保护法》，建立生态破坏惩罚制度，严禁施工人员非法捕猎野生动物。</w:t>
      </w:r>
      <w:r>
        <w:rPr>
          <w:rFonts w:ascii="Times New Roman" w:eastAsia="宋体" w:hAnsi="Times New Roman" w:cs="Times New Roman"/>
          <w:snapToGrid w:val="0"/>
          <w:kern w:val="0"/>
        </w:rPr>
        <w:t xml:space="preserve"> </w:t>
      </w:r>
    </w:p>
    <w:p w14:paraId="25D9B4CF" w14:textId="77777777" w:rsidR="009D12AF" w:rsidRDefault="00000000">
      <w:pPr>
        <w:widowControl/>
        <w:autoSpaceDE w:val="0"/>
        <w:autoSpaceDN w:val="0"/>
        <w:adjustRightInd w:val="0"/>
        <w:snapToGrid w:val="0"/>
        <w:ind w:firstLine="480"/>
        <w:textAlignment w:val="baseline"/>
        <w:rPr>
          <w:rFonts w:ascii="Times New Roman" w:eastAsia="宋体" w:hAnsi="Times New Roman" w:cs="Times New Roman"/>
          <w:snapToGrid w:val="0"/>
          <w:kern w:val="0"/>
        </w:rPr>
      </w:pPr>
      <w:r>
        <w:rPr>
          <w:rFonts w:ascii="Times New Roman" w:eastAsia="宋体" w:hAnsi="Times New Roman" w:cs="Times New Roman"/>
          <w:snapToGrid w:val="0"/>
          <w:kern w:val="0"/>
        </w:rPr>
        <w:t>2</w:t>
      </w:r>
      <w:r>
        <w:rPr>
          <w:rFonts w:ascii="Times New Roman" w:eastAsia="宋体" w:hAnsi="Times New Roman" w:cs="Times New Roman"/>
          <w:snapToGrid w:val="0"/>
          <w:kern w:val="0"/>
        </w:rPr>
        <w:t>）施工期对废水污水处理设施、施工场地和业主营地的卫生采取相应的管理工作，保障废污水处理设施的正常运行，避免对水体产生污染；生活垃圾收集后及时清运，避免蚊蝇滋生、鼠类聚集。</w:t>
      </w:r>
      <w:r>
        <w:rPr>
          <w:rFonts w:ascii="Times New Roman" w:eastAsia="宋体" w:hAnsi="Times New Roman" w:cs="Times New Roman"/>
          <w:snapToGrid w:val="0"/>
          <w:kern w:val="0"/>
        </w:rPr>
        <w:t xml:space="preserve"> </w:t>
      </w:r>
    </w:p>
    <w:p w14:paraId="2BFA2598" w14:textId="77777777" w:rsidR="009D12AF" w:rsidRDefault="00000000">
      <w:pPr>
        <w:widowControl/>
        <w:autoSpaceDE w:val="0"/>
        <w:autoSpaceDN w:val="0"/>
        <w:adjustRightInd w:val="0"/>
        <w:snapToGrid w:val="0"/>
        <w:ind w:firstLine="480"/>
        <w:textAlignment w:val="baseline"/>
        <w:rPr>
          <w:rFonts w:ascii="Times New Roman" w:eastAsia="宋体" w:hAnsi="Times New Roman" w:cs="Times New Roman"/>
          <w:snapToGrid w:val="0"/>
          <w:kern w:val="0"/>
        </w:rPr>
      </w:pPr>
      <w:r>
        <w:rPr>
          <w:rFonts w:ascii="Times New Roman" w:eastAsia="宋体" w:hAnsi="Times New Roman" w:cs="Times New Roman"/>
          <w:snapToGrid w:val="0"/>
          <w:kern w:val="0"/>
        </w:rPr>
        <w:t>3</w:t>
      </w:r>
      <w:r>
        <w:rPr>
          <w:rFonts w:ascii="Times New Roman" w:eastAsia="宋体" w:hAnsi="Times New Roman" w:cs="Times New Roman"/>
          <w:snapToGrid w:val="0"/>
          <w:kern w:val="0"/>
        </w:rPr>
        <w:t>）工程区等做好防护，并设置截排水沟，防止雨水冲刷造成水土流失对野生动物生境的破坏。</w:t>
      </w:r>
      <w:r>
        <w:rPr>
          <w:rFonts w:ascii="Times New Roman" w:eastAsia="宋体" w:hAnsi="Times New Roman" w:cs="Times New Roman"/>
          <w:snapToGrid w:val="0"/>
          <w:kern w:val="0"/>
        </w:rPr>
        <w:t xml:space="preserve"> </w:t>
      </w:r>
    </w:p>
    <w:p w14:paraId="3680FB21" w14:textId="77777777" w:rsidR="009D12AF" w:rsidRDefault="00000000">
      <w:pPr>
        <w:widowControl/>
        <w:autoSpaceDE w:val="0"/>
        <w:autoSpaceDN w:val="0"/>
        <w:adjustRightInd w:val="0"/>
        <w:snapToGrid w:val="0"/>
        <w:ind w:firstLine="480"/>
        <w:textAlignment w:val="baseline"/>
        <w:rPr>
          <w:rFonts w:ascii="Times New Roman" w:eastAsia="宋体" w:hAnsi="Times New Roman" w:cs="Times New Roman"/>
          <w:snapToGrid w:val="0"/>
          <w:kern w:val="0"/>
        </w:rPr>
      </w:pPr>
      <w:r>
        <w:rPr>
          <w:rFonts w:ascii="Times New Roman" w:eastAsia="宋体" w:hAnsi="Times New Roman" w:cs="Times New Roman"/>
          <w:snapToGrid w:val="0"/>
          <w:kern w:val="0"/>
        </w:rPr>
        <w:t>4</w:t>
      </w:r>
      <w:r>
        <w:rPr>
          <w:rFonts w:ascii="Times New Roman" w:eastAsia="宋体" w:hAnsi="Times New Roman" w:cs="Times New Roman"/>
          <w:snapToGrid w:val="0"/>
          <w:kern w:val="0"/>
        </w:rPr>
        <w:t>）设置警示牌，严格控制车速，避免对两栖爬行类及小型兽类造成碾压。</w:t>
      </w:r>
      <w:r>
        <w:rPr>
          <w:rFonts w:ascii="Times New Roman" w:eastAsia="宋体" w:hAnsi="Times New Roman" w:cs="Times New Roman"/>
          <w:snapToGrid w:val="0"/>
          <w:kern w:val="0"/>
        </w:rPr>
        <w:t xml:space="preserve"> </w:t>
      </w:r>
    </w:p>
    <w:p w14:paraId="0D2F02B3" w14:textId="77777777" w:rsidR="009D12AF" w:rsidRDefault="00000000">
      <w:pPr>
        <w:widowControl/>
        <w:autoSpaceDE w:val="0"/>
        <w:autoSpaceDN w:val="0"/>
        <w:adjustRightInd w:val="0"/>
        <w:snapToGrid w:val="0"/>
        <w:ind w:firstLine="480"/>
        <w:textAlignment w:val="baseline"/>
        <w:rPr>
          <w:rFonts w:ascii="Times New Roman" w:eastAsia="宋体" w:hAnsi="Times New Roman" w:cs="Times New Roman"/>
          <w:snapToGrid w:val="0"/>
          <w:kern w:val="0"/>
        </w:rPr>
      </w:pPr>
      <w:r>
        <w:rPr>
          <w:rFonts w:ascii="Times New Roman" w:eastAsia="宋体" w:hAnsi="Times New Roman" w:cs="Times New Roman"/>
          <w:snapToGrid w:val="0"/>
          <w:kern w:val="0"/>
        </w:rPr>
        <w:t>5</w:t>
      </w:r>
      <w:r>
        <w:rPr>
          <w:rFonts w:ascii="Times New Roman" w:eastAsia="宋体" w:hAnsi="Times New Roman" w:cs="Times New Roman"/>
          <w:snapToGrid w:val="0"/>
          <w:kern w:val="0"/>
        </w:rPr>
        <w:t>）施工期间加强施工人员管理，严禁使用烟火，防止发生森林火灾。</w:t>
      </w:r>
      <w:r>
        <w:rPr>
          <w:rFonts w:ascii="Times New Roman" w:eastAsia="宋体" w:hAnsi="Times New Roman" w:cs="Times New Roman"/>
          <w:snapToGrid w:val="0"/>
          <w:kern w:val="0"/>
        </w:rPr>
        <w:t xml:space="preserve"> </w:t>
      </w:r>
    </w:p>
    <w:p w14:paraId="5F873B1B" w14:textId="77777777" w:rsidR="009D12AF" w:rsidRDefault="009D12AF">
      <w:pPr>
        <w:widowControl/>
        <w:autoSpaceDE w:val="0"/>
        <w:autoSpaceDN w:val="0"/>
        <w:adjustRightInd w:val="0"/>
        <w:snapToGrid w:val="0"/>
        <w:ind w:firstLine="480"/>
        <w:textAlignment w:val="baseline"/>
        <w:rPr>
          <w:rFonts w:ascii="Times New Roman" w:eastAsia="宋体" w:hAnsi="Times New Roman" w:cs="Times New Roman"/>
          <w:snapToGrid w:val="0"/>
          <w:kern w:val="0"/>
        </w:rPr>
        <w:sectPr w:rsidR="009D12AF">
          <w:headerReference w:type="even" r:id="rId247"/>
          <w:headerReference w:type="default" r:id="rId248"/>
          <w:footerReference w:type="even" r:id="rId249"/>
          <w:footerReference w:type="default" r:id="rId250"/>
          <w:headerReference w:type="first" r:id="rId251"/>
          <w:footerReference w:type="first" r:id="rId252"/>
          <w:pgSz w:w="11906" w:h="16838"/>
          <w:pgMar w:top="1440" w:right="1800" w:bottom="1440" w:left="1800" w:header="851" w:footer="992" w:gutter="0"/>
          <w:cols w:space="425"/>
          <w:docGrid w:type="lines" w:linePitch="312"/>
        </w:sectPr>
      </w:pPr>
    </w:p>
    <w:p w14:paraId="61F36FD8" w14:textId="77777777" w:rsidR="009D12AF" w:rsidRDefault="00000000">
      <w:pPr>
        <w:widowControl/>
        <w:autoSpaceDE w:val="0"/>
        <w:autoSpaceDN w:val="0"/>
        <w:adjustRightInd w:val="0"/>
        <w:snapToGrid w:val="0"/>
        <w:ind w:firstLine="480"/>
        <w:textAlignment w:val="baseline"/>
        <w:rPr>
          <w:rFonts w:ascii="Times New Roman" w:eastAsia="宋体" w:hAnsi="Times New Roman" w:cs="Times New Roman"/>
          <w:snapToGrid w:val="0"/>
          <w:kern w:val="0"/>
        </w:rPr>
      </w:pPr>
      <w:r>
        <w:rPr>
          <w:rFonts w:ascii="Times New Roman" w:eastAsia="宋体" w:hAnsi="Times New Roman" w:cs="Times New Roman"/>
          <w:snapToGrid w:val="0"/>
          <w:kern w:val="0"/>
        </w:rPr>
        <w:lastRenderedPageBreak/>
        <w:t>6</w:t>
      </w:r>
      <w:r>
        <w:rPr>
          <w:rFonts w:ascii="Times New Roman" w:eastAsia="宋体" w:hAnsi="Times New Roman" w:cs="Times New Roman"/>
          <w:snapToGrid w:val="0"/>
          <w:kern w:val="0"/>
        </w:rPr>
        <w:t>）施工误伤的野生动物，应及时上报林业主管部门，并立即送往当地动物医疗机构进行抢救。</w:t>
      </w:r>
    </w:p>
    <w:p w14:paraId="5316A708" w14:textId="77777777" w:rsidR="009D12AF" w:rsidRDefault="00000000">
      <w:pPr>
        <w:widowControl/>
        <w:kinsoku w:val="0"/>
        <w:autoSpaceDE w:val="0"/>
        <w:autoSpaceDN w:val="0"/>
        <w:adjustRightInd w:val="0"/>
        <w:snapToGrid w:val="0"/>
        <w:ind w:firstLine="480"/>
        <w:textAlignment w:val="baseline"/>
        <w:rPr>
          <w:rFonts w:ascii="Times New Roman" w:eastAsia="宋体" w:hAnsi="Times New Roman" w:cs="Times New Roman"/>
          <w:snapToGrid w:val="0"/>
          <w:kern w:val="0"/>
        </w:rPr>
      </w:pPr>
      <w:r>
        <w:rPr>
          <w:rFonts w:ascii="Times New Roman" w:eastAsia="宋体" w:hAnsi="Times New Roman" w:cs="Times New Roman" w:hint="eastAsia"/>
          <w:snapToGrid w:val="0"/>
          <w:kern w:val="0"/>
        </w:rPr>
        <w:t>7</w:t>
      </w:r>
      <w:r>
        <w:rPr>
          <w:rFonts w:ascii="Times New Roman" w:eastAsia="宋体" w:hAnsi="Times New Roman" w:cs="Times New Roman" w:hint="eastAsia"/>
          <w:snapToGrid w:val="0"/>
          <w:kern w:val="0"/>
        </w:rPr>
        <w:t>）</w:t>
      </w:r>
      <w:r>
        <w:rPr>
          <w:rFonts w:ascii="Times New Roman" w:eastAsia="宋体" w:hAnsi="Times New Roman" w:cs="Times New Roman"/>
          <w:snapToGrid w:val="0"/>
          <w:kern w:val="0"/>
        </w:rPr>
        <w:t>恢复措施</w:t>
      </w:r>
    </w:p>
    <w:p w14:paraId="2712B786" w14:textId="77777777" w:rsidR="009D12AF" w:rsidRDefault="00000000">
      <w:pPr>
        <w:widowControl/>
        <w:autoSpaceDE w:val="0"/>
        <w:autoSpaceDN w:val="0"/>
        <w:adjustRightInd w:val="0"/>
        <w:snapToGrid w:val="0"/>
        <w:ind w:firstLine="480"/>
        <w:textAlignment w:val="baseline"/>
        <w:rPr>
          <w:rFonts w:ascii="Times New Roman" w:eastAsia="宋体" w:hAnsi="Times New Roman" w:cs="Times New Roman"/>
          <w:snapToGrid w:val="0"/>
          <w:kern w:val="0"/>
        </w:rPr>
      </w:pPr>
      <w:r>
        <w:rPr>
          <w:rFonts w:ascii="Times New Roman" w:eastAsia="宋体" w:hAnsi="Times New Roman" w:cs="Times New Roman"/>
          <w:snapToGrid w:val="0"/>
          <w:kern w:val="0"/>
        </w:rPr>
        <w:t>对临时占用区域的动物生境采取快速恢复措施，恢复以农田和草地为主，采用</w:t>
      </w:r>
      <w:r>
        <w:rPr>
          <w:rFonts w:ascii="Times New Roman" w:eastAsia="宋体" w:hAnsi="Times New Roman" w:cs="Times New Roman" w:hint="eastAsia"/>
          <w:snapToGrid w:val="0"/>
          <w:kern w:val="0"/>
        </w:rPr>
        <w:t>海林市</w:t>
      </w:r>
      <w:r>
        <w:rPr>
          <w:rFonts w:ascii="Times New Roman" w:eastAsia="宋体" w:hAnsi="Times New Roman" w:cs="Times New Roman"/>
          <w:snapToGrid w:val="0"/>
          <w:kern w:val="0"/>
        </w:rPr>
        <w:t>地区常见物种，以达到栽培成活率高，同时避免引入生物入侵，动物种群恢复效果好的目的。</w:t>
      </w:r>
    </w:p>
    <w:p w14:paraId="14174C73" w14:textId="77777777" w:rsidR="009D12AF" w:rsidRDefault="00000000">
      <w:pPr>
        <w:widowControl/>
        <w:autoSpaceDE w:val="0"/>
        <w:autoSpaceDN w:val="0"/>
        <w:adjustRightInd w:val="0"/>
        <w:snapToGrid w:val="0"/>
        <w:ind w:firstLine="480"/>
        <w:textAlignment w:val="baseline"/>
        <w:rPr>
          <w:rFonts w:ascii="Times New Roman" w:eastAsia="宋体" w:hAnsi="Times New Roman" w:cs="Times New Roman"/>
          <w:snapToGrid w:val="0"/>
          <w:kern w:val="0"/>
        </w:rPr>
      </w:pPr>
      <w:r>
        <w:rPr>
          <w:rFonts w:ascii="Times New Roman" w:eastAsia="宋体" w:hAnsi="Times New Roman" w:cs="Times New Roman"/>
          <w:snapToGrid w:val="0"/>
          <w:kern w:val="0"/>
        </w:rPr>
        <w:t>工程施工完成后，采取一些人工辅助的生态恢复措施，对临时占地区及时进行植被恢复，采用</w:t>
      </w:r>
      <w:r>
        <w:rPr>
          <w:rFonts w:ascii="Times New Roman" w:eastAsia="宋体" w:hAnsi="Times New Roman" w:cs="Times New Roman" w:hint="eastAsia"/>
          <w:snapToGrid w:val="0"/>
          <w:kern w:val="0"/>
        </w:rPr>
        <w:t>海林市</w:t>
      </w:r>
      <w:r>
        <w:rPr>
          <w:rFonts w:ascii="Times New Roman" w:eastAsia="宋体" w:hAnsi="Times New Roman" w:cs="Times New Roman"/>
          <w:snapToGrid w:val="0"/>
          <w:kern w:val="0"/>
        </w:rPr>
        <w:t>地区常见物种，对占地区进行人工绿化，尽快恢复占地区的植被，以利于野生动物栖息繁殖。</w:t>
      </w:r>
    </w:p>
    <w:p w14:paraId="5CDC972A" w14:textId="77777777" w:rsidR="009D12AF" w:rsidRDefault="00000000">
      <w:pPr>
        <w:widowControl/>
        <w:autoSpaceDE w:val="0"/>
        <w:autoSpaceDN w:val="0"/>
        <w:adjustRightInd w:val="0"/>
        <w:snapToGrid w:val="0"/>
        <w:ind w:firstLine="480"/>
        <w:textAlignment w:val="baseline"/>
        <w:rPr>
          <w:rFonts w:ascii="Times New Roman" w:eastAsia="宋体" w:hAnsi="Times New Roman" w:cs="Times New Roman"/>
          <w:snapToGrid w:val="0"/>
          <w:kern w:val="0"/>
        </w:rPr>
      </w:pPr>
      <w:r>
        <w:rPr>
          <w:rFonts w:ascii="Times New Roman" w:eastAsia="宋体" w:hAnsi="Times New Roman" w:cs="Times New Roman" w:hint="eastAsia"/>
          <w:snapToGrid w:val="0"/>
          <w:kern w:val="0"/>
        </w:rPr>
        <w:t>（</w:t>
      </w:r>
      <w:r>
        <w:rPr>
          <w:rFonts w:ascii="Times New Roman" w:eastAsia="宋体" w:hAnsi="Times New Roman" w:cs="Times New Roman" w:hint="eastAsia"/>
          <w:snapToGrid w:val="0"/>
          <w:kern w:val="0"/>
        </w:rPr>
        <w:t>4</w:t>
      </w:r>
      <w:r>
        <w:rPr>
          <w:rFonts w:ascii="Times New Roman" w:eastAsia="宋体" w:hAnsi="Times New Roman" w:cs="Times New Roman" w:hint="eastAsia"/>
          <w:snapToGrid w:val="0"/>
          <w:kern w:val="0"/>
        </w:rPr>
        <w:t>）</w:t>
      </w:r>
      <w:r>
        <w:rPr>
          <w:rFonts w:ascii="Times New Roman" w:eastAsia="宋体" w:hAnsi="Times New Roman" w:cs="Times New Roman"/>
          <w:snapToGrid w:val="0"/>
          <w:kern w:val="0"/>
        </w:rPr>
        <w:t>重点保护野生动物的保护措施</w:t>
      </w:r>
    </w:p>
    <w:p w14:paraId="15A019BA" w14:textId="77777777" w:rsidR="009D12AF" w:rsidRDefault="00000000">
      <w:pPr>
        <w:kinsoku w:val="0"/>
        <w:autoSpaceDE w:val="0"/>
        <w:autoSpaceDN w:val="0"/>
        <w:adjustRightInd w:val="0"/>
        <w:snapToGrid w:val="0"/>
        <w:ind w:firstLine="480"/>
        <w:textAlignment w:val="baseline"/>
        <w:rPr>
          <w:rFonts w:ascii="Times New Roman" w:eastAsia="宋体" w:hAnsi="Times New Roman" w:cs="Times New Roman"/>
          <w:snapToGrid w:val="0"/>
          <w:kern w:val="0"/>
        </w:rPr>
      </w:pPr>
      <w:r>
        <w:rPr>
          <w:rFonts w:ascii="Times New Roman" w:eastAsia="宋体" w:hAnsi="Times New Roman" w:cs="Times New Roman"/>
          <w:snapToGrid w:val="0"/>
          <w:kern w:val="0"/>
        </w:rPr>
        <w:t>根据本工程对国家重点保护动物的影响分析可知，工程对重点保护动物的影响主要是生境占用、噪声的驱赶等，因此，针对重点保护动物的措施主要严格控制征地范围，及时对临时占地进行恢复绿化；选用低噪音设备，禁止正午和晨昏进行高噪声活动。具体措施详见表</w:t>
      </w:r>
      <w:r>
        <w:rPr>
          <w:rFonts w:ascii="Times New Roman" w:eastAsia="宋体" w:hAnsi="Times New Roman" w:cs="Times New Roman" w:hint="eastAsia"/>
          <w:snapToGrid w:val="0"/>
          <w:kern w:val="0"/>
        </w:rPr>
        <w:t>6.1-3</w:t>
      </w:r>
      <w:r>
        <w:rPr>
          <w:rFonts w:ascii="Times New Roman" w:eastAsia="宋体" w:hAnsi="Times New Roman" w:cs="Times New Roman"/>
          <w:snapToGrid w:val="0"/>
          <w:kern w:val="0"/>
        </w:rPr>
        <w:t>。</w:t>
      </w:r>
    </w:p>
    <w:p w14:paraId="3A07A486" w14:textId="77777777" w:rsidR="009D12AF" w:rsidRDefault="00000000">
      <w:pPr>
        <w:ind w:firstLine="482"/>
        <w:jc w:val="center"/>
        <w:rPr>
          <w:rFonts w:ascii="Times New Roman" w:eastAsia="宋体" w:hAnsi="Times New Roman" w:cs="Times New Roman"/>
          <w:b/>
          <w:snapToGrid w:val="0"/>
          <w:kern w:val="0"/>
        </w:rPr>
      </w:pPr>
      <w:r>
        <w:rPr>
          <w:b/>
          <w:bCs/>
        </w:rPr>
        <w:t>表</w:t>
      </w:r>
      <w:r>
        <w:rPr>
          <w:rFonts w:hint="eastAsia"/>
          <w:b/>
          <w:bCs/>
        </w:rPr>
        <w:t>6.1-3</w:t>
      </w:r>
      <w:r>
        <w:rPr>
          <w:b/>
          <w:bCs/>
        </w:rPr>
        <w:t xml:space="preserve">  </w:t>
      </w:r>
      <w:r>
        <w:rPr>
          <w:b/>
          <w:bCs/>
        </w:rPr>
        <w:t>对重点保护野生动物的保护措施</w:t>
      </w:r>
    </w:p>
    <w:tbl>
      <w:tblPr>
        <w:tblW w:w="4996"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658"/>
        <w:gridCol w:w="984"/>
        <w:gridCol w:w="1224"/>
        <w:gridCol w:w="3520"/>
        <w:gridCol w:w="2129"/>
      </w:tblGrid>
      <w:tr w:rsidR="009D12AF" w14:paraId="42CF540C" w14:textId="77777777">
        <w:trPr>
          <w:cantSplit/>
          <w:tblHeader/>
          <w:jc w:val="center"/>
        </w:trPr>
        <w:tc>
          <w:tcPr>
            <w:tcW w:w="386" w:type="pct"/>
            <w:tcBorders>
              <w:tl2br w:val="nil"/>
              <w:tr2bl w:val="nil"/>
            </w:tcBorders>
            <w:vAlign w:val="center"/>
          </w:tcPr>
          <w:p w14:paraId="523F8C1C"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类别</w:t>
            </w:r>
          </w:p>
        </w:tc>
        <w:tc>
          <w:tcPr>
            <w:tcW w:w="578" w:type="pct"/>
            <w:tcBorders>
              <w:tl2br w:val="nil"/>
              <w:tr2bl w:val="nil"/>
            </w:tcBorders>
            <w:vAlign w:val="center"/>
          </w:tcPr>
          <w:p w14:paraId="6AEEE96F"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保护级别</w:t>
            </w:r>
          </w:p>
        </w:tc>
        <w:tc>
          <w:tcPr>
            <w:tcW w:w="719" w:type="pct"/>
            <w:tcBorders>
              <w:tl2br w:val="nil"/>
              <w:tr2bl w:val="nil"/>
            </w:tcBorders>
            <w:vAlign w:val="center"/>
          </w:tcPr>
          <w:p w14:paraId="6A7E2A4D"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种类</w:t>
            </w:r>
          </w:p>
        </w:tc>
        <w:tc>
          <w:tcPr>
            <w:tcW w:w="2067" w:type="pct"/>
            <w:tcBorders>
              <w:tl2br w:val="nil"/>
              <w:tr2bl w:val="nil"/>
            </w:tcBorders>
            <w:vAlign w:val="center"/>
          </w:tcPr>
          <w:p w14:paraId="0529CA3B"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栖息生境</w:t>
            </w:r>
          </w:p>
        </w:tc>
        <w:tc>
          <w:tcPr>
            <w:tcW w:w="1250" w:type="pct"/>
            <w:tcBorders>
              <w:tl2br w:val="nil"/>
              <w:tr2bl w:val="nil"/>
            </w:tcBorders>
            <w:vAlign w:val="center"/>
          </w:tcPr>
          <w:p w14:paraId="2F3FEF62"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保护措施</w:t>
            </w:r>
          </w:p>
        </w:tc>
      </w:tr>
      <w:tr w:rsidR="009D12AF" w14:paraId="66CFCDFB" w14:textId="77777777">
        <w:trPr>
          <w:cantSplit/>
          <w:jc w:val="center"/>
        </w:trPr>
        <w:tc>
          <w:tcPr>
            <w:tcW w:w="386" w:type="pct"/>
            <w:vMerge w:val="restart"/>
            <w:tcBorders>
              <w:tl2br w:val="nil"/>
              <w:tr2bl w:val="nil"/>
            </w:tcBorders>
            <w:vAlign w:val="center"/>
          </w:tcPr>
          <w:p w14:paraId="26D83B35"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鸟类</w:t>
            </w:r>
          </w:p>
        </w:tc>
        <w:tc>
          <w:tcPr>
            <w:tcW w:w="578" w:type="pct"/>
            <w:tcBorders>
              <w:tl2br w:val="nil"/>
              <w:tr2bl w:val="nil"/>
            </w:tcBorders>
            <w:vAlign w:val="center"/>
          </w:tcPr>
          <w:p w14:paraId="50643AD7"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国家一级</w:t>
            </w:r>
          </w:p>
        </w:tc>
        <w:tc>
          <w:tcPr>
            <w:tcW w:w="719" w:type="pct"/>
            <w:tcBorders>
              <w:tl2br w:val="nil"/>
              <w:tr2bl w:val="nil"/>
            </w:tcBorders>
            <w:vAlign w:val="center"/>
          </w:tcPr>
          <w:p w14:paraId="30323B19"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东方白鹳</w:t>
            </w:r>
          </w:p>
        </w:tc>
        <w:tc>
          <w:tcPr>
            <w:tcW w:w="2067" w:type="pct"/>
            <w:tcBorders>
              <w:tl2br w:val="nil"/>
              <w:tr2bl w:val="nil"/>
            </w:tcBorders>
            <w:vAlign w:val="center"/>
          </w:tcPr>
          <w:p w14:paraId="121204A1"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东方白鹳在繁殖期主要栖息于开阔而偏僻的平原、草地和沼泽地带，特别是有稀疏树木生长的河流、湖泊、水塘，以及水渠岸边和沼泽地上，有时也栖息和活动在远离的居民区，具有岸边树木的水稻田地带。</w:t>
            </w:r>
          </w:p>
        </w:tc>
        <w:tc>
          <w:tcPr>
            <w:tcW w:w="1250" w:type="pct"/>
            <w:vMerge w:val="restart"/>
            <w:tcBorders>
              <w:tl2br w:val="nil"/>
              <w:tr2bl w:val="nil"/>
            </w:tcBorders>
            <w:vAlign w:val="center"/>
          </w:tcPr>
          <w:p w14:paraId="58484018"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rPr>
              <w:t>严格控制工程占压及施工扰动范围，将占地范围及施工活动严格限制在划定范围内；设立野生动物保护宣传栏；严禁施工人员猎杀、上树破坏鸟巢；施工区夜晚停止施工，减弱噪声、施工灯光对鸟类的影响</w:t>
            </w:r>
          </w:p>
        </w:tc>
      </w:tr>
      <w:tr w:rsidR="009D12AF" w14:paraId="272560BE" w14:textId="77777777">
        <w:trPr>
          <w:cantSplit/>
          <w:jc w:val="center"/>
        </w:trPr>
        <w:tc>
          <w:tcPr>
            <w:tcW w:w="386" w:type="pct"/>
            <w:vMerge/>
            <w:tcBorders>
              <w:tl2br w:val="nil"/>
              <w:tr2bl w:val="nil"/>
            </w:tcBorders>
            <w:vAlign w:val="center"/>
          </w:tcPr>
          <w:p w14:paraId="4D1DFA4A" w14:textId="77777777" w:rsidR="009D12AF" w:rsidRDefault="009D12AF">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p>
        </w:tc>
        <w:tc>
          <w:tcPr>
            <w:tcW w:w="578" w:type="pct"/>
            <w:tcBorders>
              <w:tl2br w:val="nil"/>
              <w:tr2bl w:val="nil"/>
            </w:tcBorders>
            <w:vAlign w:val="center"/>
          </w:tcPr>
          <w:p w14:paraId="1217B623"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国家一级</w:t>
            </w:r>
          </w:p>
        </w:tc>
        <w:tc>
          <w:tcPr>
            <w:tcW w:w="719" w:type="pct"/>
            <w:tcBorders>
              <w:tl2br w:val="nil"/>
              <w:tr2bl w:val="nil"/>
            </w:tcBorders>
            <w:vAlign w:val="center"/>
          </w:tcPr>
          <w:p w14:paraId="32B31A9B"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中华秋沙鸭</w:t>
            </w:r>
          </w:p>
        </w:tc>
        <w:tc>
          <w:tcPr>
            <w:tcW w:w="2067" w:type="pct"/>
            <w:tcBorders>
              <w:tl2br w:val="nil"/>
              <w:tr2bl w:val="nil"/>
            </w:tcBorders>
            <w:vAlign w:val="center"/>
          </w:tcPr>
          <w:p w14:paraId="1C108780"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中华秋沙鸭越冬期常集小群栖息于山间河流、水库湖泊中。中华秋沙鸭在每年春季（</w:t>
            </w:r>
            <w:r>
              <w:rPr>
                <w:rFonts w:ascii="Times New Roman" w:eastAsia="宋体" w:hAnsi="Times New Roman" w:cs="Times New Roman" w:hint="eastAsia"/>
                <w:snapToGrid w:val="0"/>
                <w:kern w:val="0"/>
                <w:sz w:val="21"/>
                <w:szCs w:val="21"/>
              </w:rPr>
              <w:t>3-4</w:t>
            </w:r>
            <w:r>
              <w:rPr>
                <w:rFonts w:ascii="Times New Roman" w:eastAsia="宋体" w:hAnsi="Times New Roman" w:cs="Times New Roman" w:hint="eastAsia"/>
                <w:snapToGrid w:val="0"/>
                <w:kern w:val="0"/>
                <w:sz w:val="21"/>
                <w:szCs w:val="21"/>
              </w:rPr>
              <w:t>月）飞往中国东北、俄罗斯远东等地区的原始森林中繁殖，偏好水流湍急、清澈见底的山涧溪流和河流，包括水质优良的大型水库、湖泊、江河深水区及河口湿地。</w:t>
            </w:r>
          </w:p>
        </w:tc>
        <w:tc>
          <w:tcPr>
            <w:tcW w:w="1250" w:type="pct"/>
            <w:vMerge/>
            <w:tcBorders>
              <w:tl2br w:val="nil"/>
              <w:tr2bl w:val="nil"/>
            </w:tcBorders>
            <w:vAlign w:val="center"/>
          </w:tcPr>
          <w:p w14:paraId="412AEF26" w14:textId="77777777" w:rsidR="009D12AF" w:rsidRDefault="009D12AF">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p>
        </w:tc>
      </w:tr>
      <w:tr w:rsidR="009D12AF" w14:paraId="795D5AD5" w14:textId="77777777">
        <w:trPr>
          <w:cantSplit/>
          <w:jc w:val="center"/>
        </w:trPr>
        <w:tc>
          <w:tcPr>
            <w:tcW w:w="386" w:type="pct"/>
            <w:vMerge/>
            <w:tcBorders>
              <w:tl2br w:val="nil"/>
              <w:tr2bl w:val="nil"/>
            </w:tcBorders>
            <w:vAlign w:val="center"/>
          </w:tcPr>
          <w:p w14:paraId="5FFD2DFE" w14:textId="77777777" w:rsidR="009D12AF" w:rsidRDefault="009D12AF">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p>
        </w:tc>
        <w:tc>
          <w:tcPr>
            <w:tcW w:w="578" w:type="pct"/>
            <w:tcBorders>
              <w:tl2br w:val="nil"/>
              <w:tr2bl w:val="nil"/>
            </w:tcBorders>
            <w:vAlign w:val="center"/>
          </w:tcPr>
          <w:p w14:paraId="0EDA425E"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国家</w:t>
            </w:r>
            <w:r>
              <w:rPr>
                <w:rFonts w:ascii="Times New Roman" w:eastAsia="宋体" w:hAnsi="Times New Roman" w:cs="Times New Roman" w:hint="eastAsia"/>
                <w:snapToGrid w:val="0"/>
                <w:kern w:val="0"/>
                <w:sz w:val="21"/>
                <w:szCs w:val="21"/>
              </w:rPr>
              <w:t>一</w:t>
            </w:r>
            <w:r>
              <w:rPr>
                <w:rFonts w:ascii="Times New Roman" w:eastAsia="宋体" w:hAnsi="Times New Roman" w:cs="Times New Roman" w:hint="eastAsia"/>
                <w:snapToGrid w:val="0"/>
                <w:kern w:val="0"/>
                <w:sz w:val="21"/>
                <w:szCs w:val="21"/>
                <w:lang w:eastAsia="en-US"/>
              </w:rPr>
              <w:t>级</w:t>
            </w:r>
          </w:p>
        </w:tc>
        <w:tc>
          <w:tcPr>
            <w:tcW w:w="719" w:type="pct"/>
            <w:tcBorders>
              <w:tl2br w:val="nil"/>
              <w:tr2bl w:val="nil"/>
            </w:tcBorders>
            <w:vAlign w:val="center"/>
          </w:tcPr>
          <w:p w14:paraId="6630C280"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鸳鸯</w:t>
            </w:r>
          </w:p>
        </w:tc>
        <w:tc>
          <w:tcPr>
            <w:tcW w:w="2067" w:type="pct"/>
            <w:tcBorders>
              <w:tl2br w:val="nil"/>
              <w:tr2bl w:val="nil"/>
            </w:tcBorders>
            <w:vAlign w:val="center"/>
          </w:tcPr>
          <w:p w14:paraId="77A284BC"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鸳鸯栖息于山地的河谷、溪流；常见于阔叶林和针阔混交林的沼泽、芦苇塘及湖泊等；鸳鸯在不同时期对栖息地的选择有所不同，其中，在繁殖期，该物种主要栖息于山地森林区的河流、湖泊、水塘、芦苇沼泽和稻田地中，而在冬季，多栖息于开阔湖泊、江河、沼泽地带。</w:t>
            </w:r>
          </w:p>
        </w:tc>
        <w:tc>
          <w:tcPr>
            <w:tcW w:w="1250" w:type="pct"/>
            <w:vMerge/>
            <w:tcBorders>
              <w:tl2br w:val="nil"/>
              <w:tr2bl w:val="nil"/>
            </w:tcBorders>
            <w:vAlign w:val="center"/>
          </w:tcPr>
          <w:p w14:paraId="30CB1124" w14:textId="77777777" w:rsidR="009D12AF" w:rsidRDefault="009D12AF">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p>
        </w:tc>
      </w:tr>
      <w:tr w:rsidR="009D12AF" w14:paraId="0E0BE180" w14:textId="77777777">
        <w:trPr>
          <w:cantSplit/>
          <w:jc w:val="center"/>
        </w:trPr>
        <w:tc>
          <w:tcPr>
            <w:tcW w:w="386" w:type="pct"/>
            <w:vMerge/>
            <w:tcBorders>
              <w:tl2br w:val="nil"/>
              <w:tr2bl w:val="nil"/>
            </w:tcBorders>
            <w:vAlign w:val="center"/>
          </w:tcPr>
          <w:p w14:paraId="0D728588" w14:textId="77777777" w:rsidR="009D12AF" w:rsidRDefault="009D12AF">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p>
        </w:tc>
        <w:tc>
          <w:tcPr>
            <w:tcW w:w="578" w:type="pct"/>
            <w:tcBorders>
              <w:tl2br w:val="nil"/>
              <w:tr2bl w:val="nil"/>
            </w:tcBorders>
            <w:vAlign w:val="center"/>
          </w:tcPr>
          <w:p w14:paraId="7D797876"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国家</w:t>
            </w:r>
            <w:r>
              <w:rPr>
                <w:rFonts w:ascii="Times New Roman" w:eastAsia="宋体" w:hAnsi="Times New Roman" w:cs="Times New Roman" w:hint="eastAsia"/>
                <w:snapToGrid w:val="0"/>
                <w:kern w:val="0"/>
                <w:sz w:val="21"/>
                <w:szCs w:val="21"/>
              </w:rPr>
              <w:t>二</w:t>
            </w:r>
            <w:r>
              <w:rPr>
                <w:rFonts w:ascii="Times New Roman" w:eastAsia="宋体" w:hAnsi="Times New Roman" w:cs="Times New Roman" w:hint="eastAsia"/>
                <w:snapToGrid w:val="0"/>
                <w:kern w:val="0"/>
                <w:sz w:val="21"/>
                <w:szCs w:val="21"/>
                <w:lang w:eastAsia="en-US"/>
              </w:rPr>
              <w:t>级</w:t>
            </w:r>
          </w:p>
        </w:tc>
        <w:tc>
          <w:tcPr>
            <w:tcW w:w="719" w:type="pct"/>
            <w:tcBorders>
              <w:tl2br w:val="nil"/>
              <w:tr2bl w:val="nil"/>
            </w:tcBorders>
            <w:vAlign w:val="center"/>
          </w:tcPr>
          <w:p w14:paraId="380F40B4"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红隼</w:t>
            </w:r>
          </w:p>
        </w:tc>
        <w:tc>
          <w:tcPr>
            <w:tcW w:w="2067" w:type="pct"/>
            <w:tcBorders>
              <w:tl2br w:val="nil"/>
              <w:tr2bl w:val="nil"/>
            </w:tcBorders>
            <w:vAlign w:val="center"/>
          </w:tcPr>
          <w:p w14:paraId="3C31FA5B"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红隼常栖息于各种生境中，包括山地森林、森林苔原、低山丘陵、草原、旷野、森林平原、农田耕地和村庄附近等。尤其在林缘、林间空地、疏林以及有稀疏树木的旷野、河谷和农田地区较为常见，但在茂密的森林中较少见。红隼喜欢开阔的原野，适应能力强，有部分个体甚至在城市中繁殖。</w:t>
            </w:r>
          </w:p>
        </w:tc>
        <w:tc>
          <w:tcPr>
            <w:tcW w:w="1250" w:type="pct"/>
            <w:vMerge/>
            <w:tcBorders>
              <w:tl2br w:val="nil"/>
              <w:tr2bl w:val="nil"/>
            </w:tcBorders>
            <w:vAlign w:val="center"/>
          </w:tcPr>
          <w:p w14:paraId="645E3B0A" w14:textId="77777777" w:rsidR="009D12AF" w:rsidRDefault="009D12AF">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p>
        </w:tc>
      </w:tr>
      <w:tr w:rsidR="009D12AF" w14:paraId="4917EFDA" w14:textId="77777777">
        <w:trPr>
          <w:cantSplit/>
          <w:jc w:val="center"/>
        </w:trPr>
        <w:tc>
          <w:tcPr>
            <w:tcW w:w="386" w:type="pct"/>
            <w:vMerge/>
            <w:tcBorders>
              <w:tl2br w:val="nil"/>
              <w:tr2bl w:val="nil"/>
            </w:tcBorders>
            <w:vAlign w:val="center"/>
          </w:tcPr>
          <w:p w14:paraId="78D6B06E" w14:textId="77777777" w:rsidR="009D12AF" w:rsidRDefault="009D12AF">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p>
        </w:tc>
        <w:tc>
          <w:tcPr>
            <w:tcW w:w="578" w:type="pct"/>
            <w:tcBorders>
              <w:tl2br w:val="nil"/>
              <w:tr2bl w:val="nil"/>
            </w:tcBorders>
            <w:vAlign w:val="center"/>
          </w:tcPr>
          <w:p w14:paraId="5F3B705C"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黑龙江省级</w:t>
            </w:r>
          </w:p>
        </w:tc>
        <w:tc>
          <w:tcPr>
            <w:tcW w:w="719" w:type="pct"/>
            <w:tcBorders>
              <w:tl2br w:val="nil"/>
              <w:tr2bl w:val="nil"/>
            </w:tcBorders>
            <w:vAlign w:val="center"/>
          </w:tcPr>
          <w:p w14:paraId="065251C4"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太平鸟、朱顶雀、金翅雀</w:t>
            </w:r>
          </w:p>
        </w:tc>
        <w:tc>
          <w:tcPr>
            <w:tcW w:w="2067" w:type="pct"/>
            <w:tcBorders>
              <w:tl2br w:val="nil"/>
              <w:tr2bl w:val="nil"/>
            </w:tcBorders>
            <w:vAlign w:val="center"/>
          </w:tcPr>
          <w:p w14:paraId="1F17859A"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rPr>
              <w:t>多栖于山区、丘陵等阳坡的阔叶林缘或林中空地，附近常有水源，喜在向阳的树冠中下部侧枝上，善隐匿。营巢于阔叶树，常在杨、柳的顶部牢固的树杈或树枝上，有时也在离地较低的树杈上。</w:t>
            </w:r>
          </w:p>
        </w:tc>
        <w:tc>
          <w:tcPr>
            <w:tcW w:w="1250" w:type="pct"/>
            <w:vMerge/>
            <w:tcBorders>
              <w:tl2br w:val="nil"/>
              <w:tr2bl w:val="nil"/>
            </w:tcBorders>
            <w:vAlign w:val="center"/>
          </w:tcPr>
          <w:p w14:paraId="646D1DAA" w14:textId="77777777" w:rsidR="009D12AF" w:rsidRDefault="009D12AF">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p>
        </w:tc>
      </w:tr>
      <w:tr w:rsidR="009D12AF" w14:paraId="49B5CAE2" w14:textId="77777777">
        <w:trPr>
          <w:cantSplit/>
          <w:jc w:val="center"/>
        </w:trPr>
        <w:tc>
          <w:tcPr>
            <w:tcW w:w="386" w:type="pct"/>
            <w:tcBorders>
              <w:tl2br w:val="nil"/>
              <w:tr2bl w:val="nil"/>
            </w:tcBorders>
            <w:vAlign w:val="center"/>
          </w:tcPr>
          <w:p w14:paraId="36596A05"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两栖类</w:t>
            </w:r>
          </w:p>
        </w:tc>
        <w:tc>
          <w:tcPr>
            <w:tcW w:w="578" w:type="pct"/>
            <w:tcBorders>
              <w:tl2br w:val="nil"/>
              <w:tr2bl w:val="nil"/>
            </w:tcBorders>
            <w:vAlign w:val="center"/>
          </w:tcPr>
          <w:p w14:paraId="1F4503E8"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国家</w:t>
            </w:r>
            <w:r>
              <w:rPr>
                <w:rFonts w:ascii="Times New Roman" w:eastAsia="宋体" w:hAnsi="Times New Roman" w:cs="Times New Roman" w:hint="eastAsia"/>
                <w:snapToGrid w:val="0"/>
                <w:kern w:val="0"/>
                <w:sz w:val="21"/>
                <w:szCs w:val="21"/>
              </w:rPr>
              <w:t>二</w:t>
            </w:r>
            <w:r>
              <w:rPr>
                <w:rFonts w:ascii="Times New Roman" w:eastAsia="宋体" w:hAnsi="Times New Roman" w:cs="Times New Roman" w:hint="eastAsia"/>
                <w:snapToGrid w:val="0"/>
                <w:kern w:val="0"/>
                <w:sz w:val="21"/>
                <w:szCs w:val="21"/>
                <w:lang w:eastAsia="en-US"/>
              </w:rPr>
              <w:t>级</w:t>
            </w:r>
          </w:p>
        </w:tc>
        <w:tc>
          <w:tcPr>
            <w:tcW w:w="719" w:type="pct"/>
            <w:tcBorders>
              <w:tl2br w:val="nil"/>
              <w:tr2bl w:val="nil"/>
            </w:tcBorders>
            <w:vAlign w:val="center"/>
          </w:tcPr>
          <w:p w14:paraId="35B396B3"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极北鲵</w:t>
            </w:r>
          </w:p>
        </w:tc>
        <w:tc>
          <w:tcPr>
            <w:tcW w:w="2067" w:type="pct"/>
            <w:tcBorders>
              <w:tl2br w:val="nil"/>
              <w:tr2bl w:val="nil"/>
            </w:tcBorders>
            <w:vAlign w:val="center"/>
          </w:tcPr>
          <w:p w14:paraId="45A92C71"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极北鲵栖居在环境潮湿的地方，经常出没在水质清澈的沼泽地的草丛下或洞穴中。通常极北鲵会在黄昏时或雨后外出觅食，以昆虫、蚯蚓、软体动物、泥鳅等为食。</w:t>
            </w:r>
            <w:r>
              <w:rPr>
                <w:rFonts w:ascii="Times New Roman" w:eastAsia="宋体" w:hAnsi="Times New Roman" w:cs="Times New Roman" w:hint="eastAsia"/>
                <w:snapToGrid w:val="0"/>
                <w:kern w:val="0"/>
                <w:sz w:val="21"/>
                <w:szCs w:val="21"/>
              </w:rPr>
              <w:t>9</w:t>
            </w:r>
            <w:r>
              <w:rPr>
                <w:rFonts w:ascii="Times New Roman" w:eastAsia="宋体" w:hAnsi="Times New Roman" w:cs="Times New Roman" w:hint="eastAsia"/>
                <w:snapToGrid w:val="0"/>
                <w:kern w:val="0"/>
                <w:sz w:val="21"/>
                <w:szCs w:val="21"/>
              </w:rPr>
              <w:t>月中下旬入蛰，翌年</w:t>
            </w:r>
            <w:r>
              <w:rPr>
                <w:rFonts w:ascii="Times New Roman" w:eastAsia="宋体" w:hAnsi="Times New Roman" w:cs="Times New Roman" w:hint="eastAsia"/>
                <w:snapToGrid w:val="0"/>
                <w:kern w:val="0"/>
                <w:sz w:val="21"/>
                <w:szCs w:val="21"/>
              </w:rPr>
              <w:t>4</w:t>
            </w:r>
            <w:r>
              <w:rPr>
                <w:rFonts w:ascii="Times New Roman" w:eastAsia="宋体" w:hAnsi="Times New Roman" w:cs="Times New Roman" w:hint="eastAsia"/>
                <w:snapToGrid w:val="0"/>
                <w:kern w:val="0"/>
                <w:sz w:val="21"/>
                <w:szCs w:val="21"/>
              </w:rPr>
              <w:t>月中旬出蛰，立即进入山溪水底腐植土厚、水中枯草多的缓流深水处</w:t>
            </w:r>
            <w:r>
              <w:rPr>
                <w:rFonts w:ascii="Times New Roman" w:eastAsia="宋体" w:hAnsi="Times New Roman" w:cs="Times New Roman" w:hint="eastAsia"/>
                <w:snapToGrid w:val="0"/>
                <w:kern w:val="0"/>
                <w:sz w:val="21"/>
                <w:szCs w:val="21"/>
              </w:rPr>
              <w:t>(20 cm</w:t>
            </w:r>
            <w:r>
              <w:rPr>
                <w:rFonts w:ascii="Times New Roman" w:eastAsia="宋体" w:hAnsi="Times New Roman" w:cs="Times New Roman" w:hint="eastAsia"/>
                <w:snapToGrid w:val="0"/>
                <w:kern w:val="0"/>
                <w:sz w:val="21"/>
                <w:szCs w:val="21"/>
              </w:rPr>
              <w:t>以上</w:t>
            </w:r>
            <w:r>
              <w:rPr>
                <w:rFonts w:ascii="Times New Roman" w:eastAsia="宋体" w:hAnsi="Times New Roman" w:cs="Times New Roman" w:hint="eastAsia"/>
                <w:snapToGrid w:val="0"/>
                <w:kern w:val="0"/>
                <w:sz w:val="21"/>
                <w:szCs w:val="21"/>
              </w:rPr>
              <w:t>)</w:t>
            </w:r>
            <w:r>
              <w:rPr>
                <w:rFonts w:ascii="Times New Roman" w:eastAsia="宋体" w:hAnsi="Times New Roman" w:cs="Times New Roman" w:hint="eastAsia"/>
                <w:snapToGrid w:val="0"/>
                <w:kern w:val="0"/>
                <w:sz w:val="21"/>
                <w:szCs w:val="21"/>
              </w:rPr>
              <w:t>产卵。</w:t>
            </w:r>
          </w:p>
        </w:tc>
        <w:tc>
          <w:tcPr>
            <w:tcW w:w="1250" w:type="pct"/>
            <w:tcBorders>
              <w:tl2br w:val="nil"/>
              <w:tr2bl w:val="nil"/>
            </w:tcBorders>
            <w:vAlign w:val="center"/>
          </w:tcPr>
          <w:p w14:paraId="061AB59C"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严格划定施工范围，禁止越界施工；生活污水处理达标后回用，用于区域洒水抑尘。</w:t>
            </w:r>
          </w:p>
        </w:tc>
      </w:tr>
      <w:tr w:rsidR="009D12AF" w14:paraId="4266E3CC" w14:textId="77777777">
        <w:trPr>
          <w:cantSplit/>
          <w:jc w:val="center"/>
        </w:trPr>
        <w:tc>
          <w:tcPr>
            <w:tcW w:w="386" w:type="pct"/>
            <w:tcBorders>
              <w:tl2br w:val="nil"/>
              <w:tr2bl w:val="nil"/>
            </w:tcBorders>
            <w:vAlign w:val="center"/>
          </w:tcPr>
          <w:p w14:paraId="5E351631"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lastRenderedPageBreak/>
              <w:t>爬行类</w:t>
            </w:r>
          </w:p>
        </w:tc>
        <w:tc>
          <w:tcPr>
            <w:tcW w:w="578" w:type="pct"/>
            <w:tcBorders>
              <w:tl2br w:val="nil"/>
              <w:tr2bl w:val="nil"/>
            </w:tcBorders>
            <w:vAlign w:val="center"/>
          </w:tcPr>
          <w:p w14:paraId="35A14AB1"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黑龙江省级</w:t>
            </w:r>
          </w:p>
        </w:tc>
        <w:tc>
          <w:tcPr>
            <w:tcW w:w="719" w:type="pct"/>
            <w:tcBorders>
              <w:tl2br w:val="nil"/>
              <w:tr2bl w:val="nil"/>
            </w:tcBorders>
            <w:vAlign w:val="center"/>
          </w:tcPr>
          <w:p w14:paraId="07BB2991"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黑龙江草蜥、红点锦蛇、虎斑颈槽蛇</w:t>
            </w:r>
          </w:p>
        </w:tc>
        <w:tc>
          <w:tcPr>
            <w:tcW w:w="2067" w:type="pct"/>
            <w:tcBorders>
              <w:tl2br w:val="nil"/>
              <w:tr2bl w:val="nil"/>
            </w:tcBorders>
            <w:vAlign w:val="center"/>
          </w:tcPr>
          <w:p w14:paraId="32365B2C"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黑龙江草蜥常出现在山林边缘、荒山坡、草丛间；红点锦蛇常见河滨池塘及附近田野；虎斑颈槽蛇常见于山地、丘陵和平原</w:t>
            </w:r>
          </w:p>
        </w:tc>
        <w:tc>
          <w:tcPr>
            <w:tcW w:w="1250" w:type="pct"/>
            <w:tcBorders>
              <w:tl2br w:val="nil"/>
              <w:tr2bl w:val="nil"/>
            </w:tcBorders>
            <w:vAlign w:val="center"/>
          </w:tcPr>
          <w:p w14:paraId="6A546300"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严格划定施工范围，禁止越界施工；生活污水外运堆肥，不外排。</w:t>
            </w:r>
          </w:p>
        </w:tc>
      </w:tr>
      <w:tr w:rsidR="009D12AF" w14:paraId="5D906F66" w14:textId="77777777">
        <w:trPr>
          <w:cantSplit/>
          <w:jc w:val="center"/>
        </w:trPr>
        <w:tc>
          <w:tcPr>
            <w:tcW w:w="386" w:type="pct"/>
            <w:tcBorders>
              <w:tl2br w:val="nil"/>
              <w:tr2bl w:val="nil"/>
            </w:tcBorders>
            <w:vAlign w:val="center"/>
          </w:tcPr>
          <w:p w14:paraId="003DD910"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兽类</w:t>
            </w:r>
          </w:p>
        </w:tc>
        <w:tc>
          <w:tcPr>
            <w:tcW w:w="578" w:type="pct"/>
            <w:tcBorders>
              <w:tl2br w:val="nil"/>
              <w:tr2bl w:val="nil"/>
            </w:tcBorders>
            <w:vAlign w:val="center"/>
          </w:tcPr>
          <w:p w14:paraId="5FBCE705"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黑龙江省级</w:t>
            </w:r>
          </w:p>
        </w:tc>
        <w:tc>
          <w:tcPr>
            <w:tcW w:w="719" w:type="pct"/>
            <w:tcBorders>
              <w:tl2br w:val="nil"/>
              <w:tr2bl w:val="nil"/>
            </w:tcBorders>
            <w:vAlign w:val="center"/>
          </w:tcPr>
          <w:p w14:paraId="6CF78B19"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远东刺猬、香鼬、黄鼬、东北兔、松鼠</w:t>
            </w:r>
          </w:p>
        </w:tc>
        <w:tc>
          <w:tcPr>
            <w:tcW w:w="2067" w:type="pct"/>
            <w:tcBorders>
              <w:tl2br w:val="nil"/>
              <w:tr2bl w:val="nil"/>
            </w:tcBorders>
            <w:vAlign w:val="center"/>
          </w:tcPr>
          <w:p w14:paraId="6FA035F7"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远东刺猬、香鼬、黄鼬、东北兔活动范围较广，可见于森林生态系统中、草地生态系统、农田生态系统；松鼠栖息于森林生态系统中。</w:t>
            </w:r>
          </w:p>
        </w:tc>
        <w:tc>
          <w:tcPr>
            <w:tcW w:w="1250" w:type="pct"/>
            <w:tcBorders>
              <w:tl2br w:val="nil"/>
              <w:tr2bl w:val="nil"/>
            </w:tcBorders>
            <w:vAlign w:val="center"/>
          </w:tcPr>
          <w:p w14:paraId="7043368B"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严禁施工人员的猎捕，严格划定施工范围，禁止越界施工；作业前鸣笛、击鼓等形式进行野生动物驱赶；加强施工期和运行期的监测。</w:t>
            </w:r>
          </w:p>
        </w:tc>
      </w:tr>
    </w:tbl>
    <w:p w14:paraId="090E9478" w14:textId="77777777" w:rsidR="009D12AF" w:rsidRDefault="00000000">
      <w:pPr>
        <w:pStyle w:val="4"/>
        <w:ind w:firstLineChars="0" w:firstLine="0"/>
      </w:pPr>
      <w:r>
        <w:rPr>
          <w:rFonts w:hint="eastAsia"/>
        </w:rPr>
        <w:t>6.1.7.3</w:t>
      </w:r>
      <w:r>
        <w:rPr>
          <w:rFonts w:hint="eastAsia"/>
        </w:rPr>
        <w:t>黑土地资源保护措施</w:t>
      </w:r>
    </w:p>
    <w:p w14:paraId="0F626F1A"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rPr>
        <w:t>1</w:t>
      </w:r>
      <w:r>
        <w:rPr>
          <w:rFonts w:ascii="Times New Roman" w:eastAsia="宋体" w:hAnsi="Times New Roman" w:cs="Times New Roman" w:hint="eastAsia"/>
        </w:rPr>
        <w:t>）针对本工程建设方案，设计部门应结合地方政府的黑土地资源利用总体规划，贯彻节约、集约用地的原则，从施工组织综合考虑，进行反复地优化设计，做到了最大限度的减少对黑土地资源的占用。</w:t>
      </w:r>
    </w:p>
    <w:p w14:paraId="4E4CF211"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rPr>
        <w:t>2</w:t>
      </w:r>
      <w:r>
        <w:rPr>
          <w:rFonts w:ascii="Times New Roman" w:eastAsia="宋体" w:hAnsi="Times New Roman" w:cs="Times New Roman" w:hint="eastAsia"/>
        </w:rPr>
        <w:t>）要取得自然资源主管部门审批。《中华人民共和国黑土地保护法》</w:t>
      </w:r>
      <w:r>
        <w:rPr>
          <w:rFonts w:ascii="Times New Roman" w:eastAsia="宋体" w:hAnsi="Times New Roman" w:cs="Times New Roman"/>
        </w:rPr>
        <w:t>（</w:t>
      </w:r>
      <w:r>
        <w:rPr>
          <w:rFonts w:ascii="Times New Roman" w:eastAsia="宋体" w:hAnsi="Times New Roman" w:cs="Times New Roman"/>
        </w:rPr>
        <w:t>2022</w:t>
      </w:r>
      <w:r>
        <w:rPr>
          <w:rFonts w:ascii="Times New Roman" w:eastAsia="宋体" w:hAnsi="Times New Roman" w:cs="Times New Roman"/>
        </w:rPr>
        <w:t>）</w:t>
      </w:r>
      <w:r>
        <w:rPr>
          <w:rFonts w:ascii="Times New Roman" w:eastAsia="宋体" w:hAnsi="Times New Roman" w:cs="Times New Roman" w:hint="eastAsia"/>
        </w:rPr>
        <w:t>第二十一条明确规定：</w:t>
      </w:r>
      <w:r>
        <w:rPr>
          <w:rFonts w:ascii="宋体" w:eastAsia="宋体" w:hAnsi="宋体" w:cs="Times New Roman" w:hint="eastAsia"/>
        </w:rPr>
        <w:t>“</w:t>
      </w:r>
      <w:r>
        <w:rPr>
          <w:rFonts w:ascii="Times New Roman" w:eastAsia="宋体" w:hAnsi="Times New Roman" w:cs="Times New Roman" w:hint="eastAsia"/>
        </w:rPr>
        <w:t>建设项目不得占用黑土地；确需占用的，应当依法严格审批，并补充数量和质量相当的耕地；</w:t>
      </w:r>
      <w:r>
        <w:rPr>
          <w:rFonts w:ascii="宋体" w:eastAsia="宋体" w:hAnsi="宋体" w:cs="Times New Roman" w:hint="eastAsia"/>
        </w:rPr>
        <w:t>”</w:t>
      </w:r>
      <w:r>
        <w:rPr>
          <w:rFonts w:ascii="Times New Roman" w:eastAsia="宋体" w:hAnsi="Times New Roman" w:cs="Times New Roman" w:hint="eastAsia"/>
        </w:rPr>
        <w:t>工程确需占用的黑土地，应依据《中华人民共和国黑土地保护法》</w:t>
      </w:r>
      <w:r>
        <w:rPr>
          <w:rFonts w:ascii="Times New Roman" w:eastAsia="宋体" w:hAnsi="Times New Roman" w:cs="Times New Roman"/>
        </w:rPr>
        <w:t>（</w:t>
      </w:r>
      <w:r>
        <w:rPr>
          <w:rFonts w:ascii="Times New Roman" w:eastAsia="宋体" w:hAnsi="Times New Roman" w:cs="Times New Roman"/>
        </w:rPr>
        <w:t>2022</w:t>
      </w:r>
      <w:r>
        <w:rPr>
          <w:rFonts w:ascii="Times New Roman" w:eastAsia="宋体" w:hAnsi="Times New Roman" w:cs="Times New Roman"/>
        </w:rPr>
        <w:t>）</w:t>
      </w:r>
      <w:r>
        <w:rPr>
          <w:rFonts w:ascii="Times New Roman" w:eastAsia="宋体" w:hAnsi="Times New Roman" w:cs="Times New Roman" w:hint="eastAsia"/>
        </w:rPr>
        <w:t>、《黑龙江省黑土地保护利用条例》</w:t>
      </w:r>
      <w:r>
        <w:rPr>
          <w:rFonts w:ascii="Times New Roman" w:eastAsia="宋体" w:hAnsi="Times New Roman" w:cs="Times New Roman"/>
        </w:rPr>
        <w:t>（</w:t>
      </w:r>
      <w:r>
        <w:rPr>
          <w:rFonts w:ascii="Times New Roman" w:eastAsia="宋体" w:hAnsi="Times New Roman" w:cs="Times New Roman"/>
        </w:rPr>
        <w:t>2021</w:t>
      </w:r>
      <w:r>
        <w:rPr>
          <w:rFonts w:ascii="Times New Roman" w:eastAsia="宋体" w:hAnsi="Times New Roman" w:cs="Times New Roman"/>
        </w:rPr>
        <w:t>）</w:t>
      </w:r>
      <w:r>
        <w:rPr>
          <w:rFonts w:ascii="Times New Roman" w:eastAsia="宋体" w:hAnsi="Times New Roman" w:cs="Times New Roman" w:hint="eastAsia"/>
        </w:rPr>
        <w:t>等法律法规的规定，严格落实审批流程，并补充数量和质量相当的耕地。</w:t>
      </w:r>
    </w:p>
    <w:p w14:paraId="78EF43CC"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rPr>
        <w:t>3</w:t>
      </w:r>
      <w:r>
        <w:rPr>
          <w:rFonts w:ascii="Times New Roman" w:eastAsia="宋体" w:hAnsi="Times New Roman" w:cs="Times New Roman" w:hint="eastAsia"/>
        </w:rPr>
        <w:t>）《中华人民共和国黑土地保护法》</w:t>
      </w:r>
      <w:r>
        <w:rPr>
          <w:rFonts w:ascii="Times New Roman" w:eastAsia="宋体" w:hAnsi="Times New Roman" w:cs="Times New Roman"/>
        </w:rPr>
        <w:t>（</w:t>
      </w:r>
      <w:r>
        <w:rPr>
          <w:rFonts w:ascii="Times New Roman" w:eastAsia="宋体" w:hAnsi="Times New Roman" w:cs="Times New Roman"/>
        </w:rPr>
        <w:t>2022</w:t>
      </w:r>
      <w:r>
        <w:rPr>
          <w:rFonts w:ascii="Times New Roman" w:eastAsia="宋体" w:hAnsi="Times New Roman" w:cs="Times New Roman"/>
        </w:rPr>
        <w:t>）</w:t>
      </w:r>
      <w:r>
        <w:rPr>
          <w:rFonts w:ascii="Times New Roman" w:eastAsia="宋体" w:hAnsi="Times New Roman" w:cs="Times New Roman" w:hint="eastAsia"/>
        </w:rPr>
        <w:t>第二十一条明确规定：</w:t>
      </w:r>
      <w:r>
        <w:rPr>
          <w:rFonts w:ascii="宋体" w:eastAsia="宋体" w:hAnsi="宋体" w:cs="Times New Roman" w:hint="eastAsia"/>
        </w:rPr>
        <w:t>“</w:t>
      </w:r>
      <w:r>
        <w:rPr>
          <w:rFonts w:ascii="Times New Roman" w:eastAsia="宋体" w:hAnsi="Times New Roman" w:cs="Times New Roman" w:hint="eastAsia"/>
        </w:rPr>
        <w:t>建设项目占用黑土地的，应当按照规定的标准对耕作层的土壤进行剥离。剥离的黑土应当就近用于新开垦耕地和劣质耕地改良、被污染耕地的治理、高标准农田建设、土地复垦等。建设项目主体应当制定剥离黑土的再利用方案，报自然资源主管部门备案。</w:t>
      </w:r>
      <w:r>
        <w:rPr>
          <w:rFonts w:ascii="宋体" w:eastAsia="宋体" w:hAnsi="宋体" w:cs="Times New Roman" w:hint="eastAsia"/>
        </w:rPr>
        <w:t>”</w:t>
      </w:r>
    </w:p>
    <w:p w14:paraId="0E08F035"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本工程占用的黑土地，应当依据黑龙江省《建设占用耕地耕作层土壤剥离利用技术规范》</w:t>
      </w:r>
      <w:r>
        <w:rPr>
          <w:rFonts w:ascii="Times New Roman" w:eastAsia="宋体" w:hAnsi="Times New Roman" w:cs="Times New Roman"/>
        </w:rPr>
        <w:t>（</w:t>
      </w:r>
      <w:r>
        <w:rPr>
          <w:rFonts w:ascii="Times New Roman" w:eastAsia="宋体" w:hAnsi="Times New Roman" w:cs="Times New Roman"/>
        </w:rPr>
        <w:t>DB 23/T2913-2021</w:t>
      </w:r>
      <w:r>
        <w:rPr>
          <w:rFonts w:ascii="Times New Roman" w:eastAsia="宋体" w:hAnsi="Times New Roman" w:cs="Times New Roman"/>
        </w:rPr>
        <w:t>）</w:t>
      </w:r>
      <w:r>
        <w:rPr>
          <w:rFonts w:ascii="Times New Roman" w:eastAsia="宋体" w:hAnsi="Times New Roman" w:cs="Times New Roman" w:hint="eastAsia"/>
        </w:rPr>
        <w:t>的要求，编制黑土耕地表土剥离及利用方案。</w:t>
      </w:r>
    </w:p>
    <w:p w14:paraId="07F3E7EA"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lastRenderedPageBreak/>
        <w:t>（</w:t>
      </w:r>
      <w:r>
        <w:rPr>
          <w:rFonts w:ascii="Times New Roman" w:eastAsia="宋体" w:hAnsi="Times New Roman" w:cs="Times New Roman"/>
        </w:rPr>
        <w:t>4</w:t>
      </w:r>
      <w:r>
        <w:rPr>
          <w:rFonts w:ascii="Times New Roman" w:eastAsia="宋体" w:hAnsi="Times New Roman" w:cs="Times New Roman" w:hint="eastAsia"/>
        </w:rPr>
        <w:t>）黑土地耕作层土壤剥离、储存及管护措施</w:t>
      </w:r>
    </w:p>
    <w:p w14:paraId="3314BA80"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rPr>
        <w:t>1</w:t>
      </w:r>
      <w:r>
        <w:rPr>
          <w:rFonts w:ascii="Times New Roman" w:eastAsia="宋体" w:hAnsi="Times New Roman" w:cs="Times New Roman" w:hint="eastAsia"/>
        </w:rPr>
        <w:t>）耕作层土壤剥离措施</w:t>
      </w:r>
    </w:p>
    <w:p w14:paraId="3D4386B5"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依据通过审查后的剥离方案，开展本工程占地范围内黑土剥离工作。</w:t>
      </w:r>
    </w:p>
    <w:p w14:paraId="6293AF29"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①根据剥离机械设备性能，确定每次剥离的宽度和轴线及适宜剥离厚度，机械的剥离宽度</w:t>
      </w:r>
      <w:r>
        <w:rPr>
          <w:rFonts w:ascii="Times New Roman" w:eastAsia="宋体" w:hAnsi="Times New Roman" w:cs="Times New Roman"/>
        </w:rPr>
        <w:t>2m</w:t>
      </w:r>
      <w:r>
        <w:rPr>
          <w:rFonts w:ascii="Times New Roman" w:eastAsia="宋体" w:hAnsi="Times New Roman" w:cs="Times New Roman" w:hint="eastAsia"/>
        </w:rPr>
        <w:t>～</w:t>
      </w:r>
      <w:r>
        <w:rPr>
          <w:rFonts w:ascii="Times New Roman" w:eastAsia="宋体" w:hAnsi="Times New Roman" w:cs="Times New Roman"/>
        </w:rPr>
        <w:t>4m</w:t>
      </w:r>
      <w:r>
        <w:rPr>
          <w:rFonts w:ascii="Times New Roman" w:eastAsia="宋体" w:hAnsi="Times New Roman" w:cs="Times New Roman" w:hint="eastAsia"/>
        </w:rPr>
        <w:t>为宜。</w:t>
      </w:r>
    </w:p>
    <w:p w14:paraId="56B396D4"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②根据耕作层土壤剥离利用方案，确定剥离单元与剥离厚度。基于土壤质量和剥离成本考虑，耕作层土壤剥离厚度宜在</w:t>
      </w:r>
      <w:r>
        <w:rPr>
          <w:rFonts w:ascii="Times New Roman" w:eastAsia="宋体" w:hAnsi="Times New Roman" w:cs="Times New Roman"/>
        </w:rPr>
        <w:t>20cm</w:t>
      </w:r>
      <w:r>
        <w:rPr>
          <w:rFonts w:ascii="Times New Roman" w:eastAsia="宋体" w:hAnsi="Times New Roman" w:cs="Times New Roman" w:hint="eastAsia"/>
        </w:rPr>
        <w:t>～</w:t>
      </w:r>
      <w:r>
        <w:rPr>
          <w:rFonts w:ascii="Times New Roman" w:eastAsia="宋体" w:hAnsi="Times New Roman" w:cs="Times New Roman"/>
        </w:rPr>
        <w:t>30cm</w:t>
      </w:r>
      <w:r>
        <w:rPr>
          <w:rFonts w:ascii="Times New Roman" w:eastAsia="宋体" w:hAnsi="Times New Roman" w:cs="Times New Roman" w:hint="eastAsia"/>
        </w:rPr>
        <w:t>。单次土壤剥离厚度不宜大于</w:t>
      </w:r>
      <w:r>
        <w:rPr>
          <w:rFonts w:ascii="Times New Roman" w:eastAsia="宋体" w:hAnsi="Times New Roman" w:cs="Times New Roman"/>
        </w:rPr>
        <w:t>30cm</w:t>
      </w:r>
      <w:r>
        <w:rPr>
          <w:rFonts w:ascii="Times New Roman" w:eastAsia="宋体" w:hAnsi="Times New Roman" w:cs="Times New Roman" w:hint="eastAsia"/>
        </w:rPr>
        <w:t>，耕作层较厚的区域可适当增加剥离厚度，原则上土壤剥离厚度不超过</w:t>
      </w:r>
      <w:r>
        <w:rPr>
          <w:rFonts w:ascii="Times New Roman" w:eastAsia="宋体" w:hAnsi="Times New Roman" w:cs="Times New Roman"/>
        </w:rPr>
        <w:t>50cm</w:t>
      </w:r>
      <w:r>
        <w:rPr>
          <w:rFonts w:ascii="Times New Roman" w:eastAsia="宋体" w:hAnsi="Times New Roman" w:cs="Times New Roman" w:hint="eastAsia"/>
        </w:rPr>
        <w:t>。</w:t>
      </w:r>
    </w:p>
    <w:p w14:paraId="42AE222D"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③实施耕作层土壤剥离前，清理、移除耕地地表或耕作层中植被、比较大的树根、石块和垃圾等异物，并运输到剥离区外，与土壤储存区分开堆存。收集的耕作层土壤中砾石含量应小于</w:t>
      </w:r>
      <w:r>
        <w:rPr>
          <w:rFonts w:ascii="Times New Roman" w:eastAsia="宋体" w:hAnsi="Times New Roman" w:cs="Times New Roman"/>
        </w:rPr>
        <w:t>10%</w:t>
      </w:r>
      <w:r>
        <w:rPr>
          <w:rFonts w:ascii="Times New Roman" w:eastAsia="宋体" w:hAnsi="Times New Roman" w:cs="Times New Roman" w:hint="eastAsia"/>
        </w:rPr>
        <w:t>。</w:t>
      </w:r>
    </w:p>
    <w:p w14:paraId="2D61E60D"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rPr>
        <w:t>2</w:t>
      </w:r>
      <w:r>
        <w:rPr>
          <w:rFonts w:ascii="Times New Roman" w:eastAsia="宋体" w:hAnsi="Times New Roman" w:cs="Times New Roman" w:hint="eastAsia"/>
        </w:rPr>
        <w:t>）黑土地储存措施</w:t>
      </w:r>
    </w:p>
    <w:p w14:paraId="1FC34210"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①储存区应平整地面，清除地表杂物，坡度较大的储存区应挖高填低，回填部分黑土需分层压实。</w:t>
      </w:r>
    </w:p>
    <w:p w14:paraId="20CA2247"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②储存区应划分相应区域，分质分类储存土壤。</w:t>
      </w:r>
    </w:p>
    <w:p w14:paraId="0591B5B2"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③储存区周围应开挖排水沟，地形平缓的储存区适宜采用三面夯实土质水沟，水沟坡比</w:t>
      </w:r>
      <w:r>
        <w:rPr>
          <w:rFonts w:ascii="Times New Roman" w:eastAsia="宋体" w:hAnsi="Times New Roman" w:cs="Times New Roman"/>
        </w:rPr>
        <w:t>1:0.5</w:t>
      </w:r>
      <w:r>
        <w:rPr>
          <w:rFonts w:ascii="Times New Roman" w:eastAsia="宋体" w:hAnsi="Times New Roman" w:cs="Times New Roman" w:hint="eastAsia"/>
        </w:rPr>
        <w:t>～</w:t>
      </w:r>
      <w:r>
        <w:rPr>
          <w:rFonts w:ascii="Times New Roman" w:eastAsia="宋体" w:hAnsi="Times New Roman" w:cs="Times New Roman"/>
        </w:rPr>
        <w:t>1:1.0</w:t>
      </w:r>
      <w:r>
        <w:rPr>
          <w:rFonts w:ascii="Times New Roman" w:eastAsia="宋体" w:hAnsi="Times New Roman" w:cs="Times New Roman" w:hint="eastAsia"/>
        </w:rPr>
        <w:t>，坡度较大储存区的排水沟可适当硬化；机械停放和机械通行区域应开挖隔油沟；根据土堆堆放时间，堆顶采用不同材料覆盖，土堆之间采用不同材料隔挡。</w:t>
      </w:r>
    </w:p>
    <w:p w14:paraId="41F40E1C"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④储存区与外部连接尽量利用现有路网，可修建临时施工便道，不宜对周边耕地造成破坏。</w:t>
      </w:r>
    </w:p>
    <w:p w14:paraId="4ACE1499"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⑤储存区内黑土堆放应减少占地面积，合理紧凑。黑土储存宜采用棱台状堆放，堆高不超过</w:t>
      </w:r>
      <w:r>
        <w:rPr>
          <w:rFonts w:ascii="Times New Roman" w:eastAsia="宋体" w:hAnsi="Times New Roman" w:cs="Times New Roman"/>
        </w:rPr>
        <w:t>5m</w:t>
      </w:r>
      <w:r>
        <w:rPr>
          <w:rFonts w:ascii="Times New Roman" w:eastAsia="宋体" w:hAnsi="Times New Roman" w:cs="Times New Roman" w:hint="eastAsia"/>
        </w:rPr>
        <w:t>，每高</w:t>
      </w:r>
      <w:r>
        <w:rPr>
          <w:rFonts w:ascii="Times New Roman" w:eastAsia="宋体" w:hAnsi="Times New Roman" w:cs="Times New Roman"/>
        </w:rPr>
        <w:t>1m</w:t>
      </w:r>
      <w:r>
        <w:rPr>
          <w:rFonts w:ascii="Times New Roman" w:eastAsia="宋体" w:hAnsi="Times New Roman" w:cs="Times New Roman" w:hint="eastAsia"/>
        </w:rPr>
        <w:t>设置一个台阶，按</w:t>
      </w:r>
      <w:r>
        <w:rPr>
          <w:rFonts w:ascii="Times New Roman" w:eastAsia="宋体" w:hAnsi="Times New Roman" w:cs="Times New Roman"/>
        </w:rPr>
        <w:t>1:1</w:t>
      </w:r>
      <w:r>
        <w:rPr>
          <w:rFonts w:ascii="Times New Roman" w:eastAsia="宋体" w:hAnsi="Times New Roman" w:cs="Times New Roman" w:hint="eastAsia"/>
        </w:rPr>
        <w:t>～</w:t>
      </w:r>
      <w:r>
        <w:rPr>
          <w:rFonts w:ascii="Times New Roman" w:eastAsia="宋体" w:hAnsi="Times New Roman" w:cs="Times New Roman"/>
        </w:rPr>
        <w:t xml:space="preserve">1:1.5 </w:t>
      </w:r>
      <w:r>
        <w:rPr>
          <w:rFonts w:ascii="Times New Roman" w:eastAsia="宋体" w:hAnsi="Times New Roman" w:cs="Times New Roman" w:hint="eastAsia"/>
        </w:rPr>
        <w:t>设置边坡；每个储存区内道路宜环状或居中布置。大型储存区宜在下游设置机械停放、维修区域，该区域与土堆最近距离不宜小于</w:t>
      </w:r>
      <w:r>
        <w:rPr>
          <w:rFonts w:ascii="Times New Roman" w:eastAsia="宋体" w:hAnsi="Times New Roman" w:cs="Times New Roman"/>
        </w:rPr>
        <w:t>3m</w:t>
      </w:r>
      <w:r>
        <w:rPr>
          <w:rFonts w:ascii="Times New Roman" w:eastAsia="宋体" w:hAnsi="Times New Roman" w:cs="Times New Roman" w:hint="eastAsia"/>
        </w:rPr>
        <w:t>，中间宜开挖隔油沟；黑土堆放半年之内应用防尘网覆盖；堆放时间超过</w:t>
      </w:r>
      <w:r>
        <w:rPr>
          <w:rFonts w:ascii="Times New Roman" w:eastAsia="宋体" w:hAnsi="Times New Roman" w:cs="Times New Roman"/>
        </w:rPr>
        <w:t>1</w:t>
      </w:r>
      <w:r>
        <w:rPr>
          <w:rFonts w:ascii="Times New Roman" w:eastAsia="宋体" w:hAnsi="Times New Roman" w:cs="Times New Roman" w:hint="eastAsia"/>
        </w:rPr>
        <w:t>年的，覆盖前宜播撒一年生或多年生浅根草类种子；黑土堆放</w:t>
      </w:r>
      <w:r>
        <w:rPr>
          <w:rFonts w:ascii="Times New Roman" w:eastAsia="宋体" w:hAnsi="Times New Roman" w:cs="Times New Roman"/>
        </w:rPr>
        <w:t>2</w:t>
      </w:r>
      <w:r>
        <w:rPr>
          <w:rFonts w:ascii="Times New Roman" w:eastAsia="宋体" w:hAnsi="Times New Roman" w:cs="Times New Roman" w:hint="eastAsia"/>
        </w:rPr>
        <w:t>年之内，土堆之间、土堆与道路之间用</w:t>
      </w:r>
      <w:r>
        <w:rPr>
          <w:rFonts w:ascii="Times New Roman" w:eastAsia="宋体" w:hAnsi="Times New Roman" w:cs="Times New Roman"/>
        </w:rPr>
        <w:t>30cm</w:t>
      </w:r>
      <w:r>
        <w:rPr>
          <w:rFonts w:ascii="Times New Roman" w:eastAsia="宋体" w:hAnsi="Times New Roman" w:cs="Times New Roman" w:hint="eastAsia"/>
        </w:rPr>
        <w:t>～</w:t>
      </w:r>
      <w:r>
        <w:rPr>
          <w:rFonts w:ascii="Times New Roman" w:eastAsia="宋体" w:hAnsi="Times New Roman" w:cs="Times New Roman"/>
        </w:rPr>
        <w:t xml:space="preserve">50cm </w:t>
      </w:r>
      <w:r>
        <w:rPr>
          <w:rFonts w:ascii="Times New Roman" w:eastAsia="宋体" w:hAnsi="Times New Roman" w:cs="Times New Roman" w:hint="eastAsia"/>
        </w:rPr>
        <w:t>装土的草袋或编织袋隔挡；堆放时间超过</w:t>
      </w:r>
      <w:r>
        <w:rPr>
          <w:rFonts w:ascii="Times New Roman" w:eastAsia="宋体" w:hAnsi="Times New Roman" w:cs="Times New Roman"/>
        </w:rPr>
        <w:t>2</w:t>
      </w:r>
      <w:r>
        <w:rPr>
          <w:rFonts w:ascii="Times New Roman" w:eastAsia="宋体" w:hAnsi="Times New Roman" w:cs="Times New Roman" w:hint="eastAsia"/>
        </w:rPr>
        <w:t>年或地形坡度较大的，宜用干砌石或浆砌墙隔</w:t>
      </w:r>
      <w:r>
        <w:rPr>
          <w:rFonts w:ascii="Times New Roman" w:eastAsia="宋体" w:hAnsi="Times New Roman" w:cs="Times New Roman" w:hint="eastAsia"/>
        </w:rPr>
        <w:lastRenderedPageBreak/>
        <w:t>挡。土堆之间设置应≥</w:t>
      </w:r>
      <w:r>
        <w:rPr>
          <w:rFonts w:ascii="Times New Roman" w:eastAsia="宋体" w:hAnsi="Times New Roman" w:cs="Times New Roman"/>
        </w:rPr>
        <w:t>4m</w:t>
      </w:r>
      <w:r>
        <w:rPr>
          <w:rFonts w:ascii="Times New Roman" w:eastAsia="宋体" w:hAnsi="Times New Roman" w:cs="Times New Roman" w:hint="eastAsia"/>
        </w:rPr>
        <w:t>机械通行过道，土堆与过道间应开挖隔油沟。</w:t>
      </w:r>
    </w:p>
    <w:p w14:paraId="5EF915E9"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rPr>
        <w:t>3</w:t>
      </w:r>
      <w:r>
        <w:rPr>
          <w:rFonts w:ascii="Times New Roman" w:eastAsia="宋体" w:hAnsi="Times New Roman" w:cs="Times New Roman" w:hint="eastAsia"/>
        </w:rPr>
        <w:t>）黑土地管护措施</w:t>
      </w:r>
    </w:p>
    <w:p w14:paraId="14CA6DCE"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①建立储存台账和巡视记录、落实专门人员，对储存区域进行管护和监控，确保土壤堆放安全，防止水土流失；</w:t>
      </w:r>
      <w:r>
        <w:rPr>
          <w:rFonts w:ascii="Times New Roman" w:eastAsia="宋体" w:hAnsi="Times New Roman" w:cs="Times New Roman"/>
        </w:rPr>
        <w:t xml:space="preserve"> </w:t>
      </w:r>
    </w:p>
    <w:p w14:paraId="34E3295D"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②进入储存区土壤，应登记其来源、土壤理化性状等信息，按要求分类存放、保管。土壤进出储存区应填写台账；</w:t>
      </w:r>
    </w:p>
    <w:p w14:paraId="09B6B11A"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③储存区至少每月巡视</w:t>
      </w:r>
      <w:r>
        <w:rPr>
          <w:rFonts w:ascii="Times New Roman" w:eastAsia="宋体" w:hAnsi="Times New Roman" w:cs="Times New Roman"/>
        </w:rPr>
        <w:t xml:space="preserve"> 1 </w:t>
      </w:r>
      <w:r>
        <w:rPr>
          <w:rFonts w:ascii="Times New Roman" w:eastAsia="宋体" w:hAnsi="Times New Roman" w:cs="Times New Roman" w:hint="eastAsia"/>
        </w:rPr>
        <w:t>次，重点检查土壤堆放的拦挡设施、土壤储存安全情况。雨期应当增加巡查频率，发现雨水渗入时，应及时围堵、排水；</w:t>
      </w:r>
    </w:p>
    <w:p w14:paraId="40B4DD88"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④严禁车辆直接在土堆上通行，禁止在储存区及附近焚烧产生有毒有害烟尘气体的物质，防止土壤受到污染；</w:t>
      </w:r>
    </w:p>
    <w:p w14:paraId="75A36EE3"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⑤定期监测土壤理化性状，重点监测土壤质地、</w:t>
      </w:r>
      <w:r>
        <w:rPr>
          <w:rFonts w:ascii="Times New Roman" w:eastAsia="宋体" w:hAnsi="Times New Roman" w:cs="Times New Roman"/>
        </w:rPr>
        <w:t>pH</w:t>
      </w:r>
      <w:r>
        <w:rPr>
          <w:rFonts w:ascii="Times New Roman" w:eastAsia="宋体" w:hAnsi="Times New Roman" w:cs="Times New Roman" w:hint="eastAsia"/>
        </w:rPr>
        <w:t>、有机质含量指标，监测频率每年至少</w:t>
      </w:r>
      <w:r>
        <w:rPr>
          <w:rFonts w:ascii="Times New Roman" w:eastAsia="宋体" w:hAnsi="Times New Roman" w:cs="Times New Roman"/>
        </w:rPr>
        <w:t>1</w:t>
      </w:r>
      <w:r>
        <w:rPr>
          <w:rFonts w:ascii="Times New Roman" w:eastAsia="宋体" w:hAnsi="Times New Roman" w:cs="Times New Roman" w:hint="eastAsia"/>
        </w:rPr>
        <w:t>次；</w:t>
      </w:r>
    </w:p>
    <w:p w14:paraId="19E1FB6B"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⑥如果土壤肥力下降，应采取相应补救、防范和保护措施；</w:t>
      </w:r>
    </w:p>
    <w:p w14:paraId="0D770294"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rPr>
        <w:t>5</w:t>
      </w:r>
      <w:r>
        <w:rPr>
          <w:rFonts w:ascii="Times New Roman" w:eastAsia="宋体" w:hAnsi="Times New Roman" w:cs="Times New Roman" w:hint="eastAsia"/>
        </w:rPr>
        <w:t>）黑土地耕作层剥离土壤利用措施</w:t>
      </w:r>
    </w:p>
    <w:p w14:paraId="29AA9EEA" w14:textId="77777777" w:rsidR="009D12AF" w:rsidRDefault="00000000">
      <w:pPr>
        <w:ind w:firstLine="480"/>
        <w:rPr>
          <w:kern w:val="0"/>
          <w:lang w:bidi="ar"/>
        </w:rPr>
      </w:pPr>
      <w:r>
        <w:rPr>
          <w:rFonts w:ascii="Times New Roman" w:eastAsia="宋体" w:hAnsi="Times New Roman" w:cs="Times New Roman" w:hint="eastAsia"/>
        </w:rPr>
        <w:t>工程施工范围内黑土在施工期应采用分层开挖，黑土耕作层土壤需运至临时堆放点分层存储，临时堆放点应综合考虑运输方便、附近没有污染源、防止水土流失及对周边环境的影响等因素，应采取水土保持和扬尘防治措施，防止耕作层土壤流失和环境污染。施工期结束后，黑土必须分层回填，恢复为施工前黑土耕地。</w:t>
      </w:r>
    </w:p>
    <w:p w14:paraId="119F44DD" w14:textId="77777777" w:rsidR="009D12AF" w:rsidRDefault="00000000">
      <w:pPr>
        <w:pStyle w:val="4"/>
        <w:spacing w:before="0"/>
        <w:ind w:firstLineChars="0" w:firstLine="0"/>
        <w:rPr>
          <w:rFonts w:ascii="Times New Roman" w:eastAsia="宋体" w:hAnsi="Times New Roman"/>
        </w:rPr>
      </w:pPr>
      <w:r>
        <w:rPr>
          <w:rFonts w:hint="eastAsia"/>
        </w:rPr>
        <w:t>6.1.7.4</w:t>
      </w:r>
      <w:r>
        <w:rPr>
          <w:rFonts w:ascii="Times New Roman" w:eastAsia="宋体" w:hAnsi="Times New Roman" w:hint="eastAsia"/>
        </w:rPr>
        <w:t>基本农田</w:t>
      </w:r>
      <w:r>
        <w:rPr>
          <w:rFonts w:ascii="Times New Roman" w:eastAsia="宋体" w:hAnsi="Times New Roman"/>
        </w:rPr>
        <w:t>保护措施</w:t>
      </w:r>
    </w:p>
    <w:p w14:paraId="26217B33"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本工程所涉及的临时占地都应按有关土地管理办法的要求，逐级上报有批准权的政府部门批准。</w:t>
      </w:r>
    </w:p>
    <w:p w14:paraId="6D800DBF" w14:textId="77777777" w:rsidR="009D12AF" w:rsidRDefault="00000000">
      <w:pPr>
        <w:ind w:firstLineChars="150" w:firstLine="360"/>
        <w:jc w:val="left"/>
        <w:rPr>
          <w:rFonts w:ascii="Times New Roman" w:eastAsia="宋体" w:hAnsi="Times New Roman" w:cs="Times New Roman"/>
        </w:rPr>
      </w:pPr>
      <w:r>
        <w:rPr>
          <w:rFonts w:ascii="Times New Roman" w:eastAsia="宋体" w:hAnsi="Times New Roman" w:cs="Times New Roman" w:hint="eastAsia"/>
        </w:rPr>
        <w:t>本工程建设尽力对基本农田采取避让措施，少占或不占基本农田。对于不能避开的基本农田和耕地，严格按照《黑龙江省基本农田保护条例》等法律法规中的规定缴纳耕地开垦费委托开垦的方式予以补充。非农业建设经批准占用基本农田的，按照保持耕地面积动态平衡，应“占多少、垦多少”；没有条件开垦或开垦耕地不符合要求的，应按各省规定缴纳耕地开垦费，专款用于开垦新耕地。</w:t>
      </w:r>
    </w:p>
    <w:p w14:paraId="649C3765" w14:textId="77777777" w:rsidR="009D12AF" w:rsidRDefault="00000000">
      <w:pPr>
        <w:ind w:firstLine="480"/>
        <w:rPr>
          <w:bCs/>
          <w:highlight w:val="green"/>
        </w:rPr>
      </w:pPr>
      <w:r>
        <w:rPr>
          <w:rFonts w:ascii="Times New Roman" w:eastAsia="宋体" w:hAnsi="Times New Roman" w:cs="Times New Roman" w:hint="eastAsia"/>
        </w:rPr>
        <w:t>本工程占用耕地大部分是基本农田，对临时占有的基本农田，除在施工中采取措施减少基本农田破坏外，施工结束后，应做好基本农田恢复工作。除补偿因</w:t>
      </w:r>
      <w:r>
        <w:rPr>
          <w:rFonts w:ascii="Times New Roman" w:eastAsia="宋体" w:hAnsi="Times New Roman" w:cs="Times New Roman" w:hint="eastAsia"/>
        </w:rPr>
        <w:lastRenderedPageBreak/>
        <w:t>临时占地对农田产量的直接损失外，还应考虑施工结束后农作物的间接损失以及土壤恢复补偿费等。施工后土壤恢复的主要措施可采用经费补偿。施工中虽采用了分层开挖、分层回填措施，但耕层土养分也会大量流失，需进行土壤恢复。主要措施可采用经费补偿，增施农家肥措施，增施有机肥和</w:t>
      </w:r>
      <w:r>
        <w:rPr>
          <w:rFonts w:ascii="Times New Roman" w:eastAsia="宋体" w:hAnsi="Times New Roman" w:cs="Times New Roman" w:hint="eastAsia"/>
        </w:rPr>
        <w:t>N</w:t>
      </w:r>
      <w:r>
        <w:rPr>
          <w:rFonts w:ascii="Times New Roman" w:eastAsia="宋体" w:hAnsi="Times New Roman" w:cs="Times New Roman" w:hint="eastAsia"/>
        </w:rPr>
        <w:t>、</w:t>
      </w:r>
      <w:r>
        <w:rPr>
          <w:rFonts w:ascii="Times New Roman" w:eastAsia="宋体" w:hAnsi="Times New Roman" w:cs="Times New Roman" w:hint="eastAsia"/>
        </w:rPr>
        <w:t>P</w:t>
      </w:r>
      <w:r>
        <w:rPr>
          <w:rFonts w:ascii="Times New Roman" w:eastAsia="宋体" w:hAnsi="Times New Roman" w:cs="Times New Roman" w:hint="eastAsia"/>
        </w:rPr>
        <w:t>、</w:t>
      </w:r>
      <w:r>
        <w:rPr>
          <w:rFonts w:ascii="Times New Roman" w:eastAsia="宋体" w:hAnsi="Times New Roman" w:cs="Times New Roman" w:hint="eastAsia"/>
        </w:rPr>
        <w:t>K</w:t>
      </w:r>
      <w:r>
        <w:rPr>
          <w:rFonts w:ascii="Times New Roman" w:eastAsia="宋体" w:hAnsi="Times New Roman" w:cs="Times New Roman" w:hint="eastAsia"/>
        </w:rPr>
        <w:t>肥，使土壤养分均衡。同时增加田间耕作，尽快恢复临时占用耕地的土壤肥力。</w:t>
      </w:r>
    </w:p>
    <w:p w14:paraId="580603D1" w14:textId="77777777" w:rsidR="009D12AF" w:rsidRDefault="00000000">
      <w:pPr>
        <w:pStyle w:val="4"/>
        <w:ind w:firstLineChars="0" w:firstLine="0"/>
        <w:rPr>
          <w:rFonts w:asciiTheme="majorEastAsia" w:eastAsiaTheme="majorEastAsia" w:hAnsiTheme="majorEastAsia" w:cstheme="majorEastAsia" w:hint="eastAsia"/>
        </w:rPr>
      </w:pPr>
      <w:r>
        <w:rPr>
          <w:rFonts w:hint="eastAsia"/>
        </w:rPr>
        <w:t>6.1.7.5</w:t>
      </w:r>
      <w:r>
        <w:rPr>
          <w:rFonts w:asciiTheme="majorEastAsia" w:eastAsiaTheme="majorEastAsia" w:hAnsiTheme="majorEastAsia" w:cstheme="majorEastAsia" w:hint="eastAsia"/>
        </w:rPr>
        <w:t>法定生态保护区域保护措施</w:t>
      </w:r>
    </w:p>
    <w:p w14:paraId="79CD58DE" w14:textId="77777777" w:rsidR="009D12AF" w:rsidRDefault="00000000">
      <w:pPr>
        <w:spacing w:after="160"/>
        <w:ind w:firstLineChars="150" w:firstLine="360"/>
        <w:jc w:val="left"/>
        <w:rPr>
          <w:rFonts w:ascii="Times New Roman" w:eastAsia="宋体" w:hAnsi="Times New Roman" w:cs="Times New Roman"/>
        </w:rPr>
        <w:sectPr w:rsidR="009D12AF">
          <w:footerReference w:type="default" r:id="rId253"/>
          <w:pgSz w:w="11906" w:h="16838"/>
          <w:pgMar w:top="1440" w:right="1800" w:bottom="1440" w:left="1800" w:header="851" w:footer="992" w:gutter="0"/>
          <w:cols w:space="425"/>
          <w:docGrid w:type="lines" w:linePitch="312"/>
        </w:sectPr>
      </w:pPr>
      <w:r>
        <w:rPr>
          <w:rFonts w:ascii="Times New Roman" w:eastAsia="宋体" w:hAnsi="Times New Roman" w:cs="Times New Roman" w:hint="eastAsia"/>
        </w:rPr>
        <w:t>现根据施工中的作业特点和各施工区段的敏感目标分布情况，分别提出具体的环境保护措施。生态环境敏感区保护措施见表</w:t>
      </w:r>
      <w:r>
        <w:rPr>
          <w:rFonts w:ascii="Times New Roman" w:eastAsia="宋体" w:hAnsi="Times New Roman" w:cs="Times New Roman" w:hint="eastAsia"/>
        </w:rPr>
        <w:t>6.1-4</w:t>
      </w:r>
      <w:r>
        <w:rPr>
          <w:rFonts w:ascii="Times New Roman" w:eastAsia="宋体" w:hAnsi="Times New Roman" w:cs="Times New Roman" w:hint="eastAsia"/>
        </w:rPr>
        <w:t>，典型生态保护措施平面布置图见附图</w:t>
      </w:r>
      <w:r>
        <w:rPr>
          <w:rFonts w:ascii="Times New Roman" w:eastAsia="宋体" w:hAnsi="Times New Roman" w:cs="Times New Roman" w:hint="eastAsia"/>
        </w:rPr>
        <w:t>28</w:t>
      </w:r>
      <w:r>
        <w:rPr>
          <w:rFonts w:ascii="Times New Roman" w:eastAsia="宋体" w:hAnsi="Times New Roman" w:cs="Times New Roman" w:hint="eastAsia"/>
        </w:rPr>
        <w:t>。</w:t>
      </w:r>
    </w:p>
    <w:p w14:paraId="55D724B9" w14:textId="77777777" w:rsidR="009D12AF" w:rsidRDefault="00000000">
      <w:pPr>
        <w:spacing w:line="600" w:lineRule="exact"/>
        <w:ind w:firstLine="480"/>
        <w:jc w:val="center"/>
        <w:rPr>
          <w:rFonts w:ascii="Times New Roman" w:eastAsia="黑体" w:hAnsi="Times New Roman" w:cs="Arial"/>
        </w:rPr>
      </w:pPr>
      <w:r>
        <w:rPr>
          <w:rFonts w:ascii="Times New Roman" w:eastAsia="黑体" w:hAnsi="Times New Roman" w:cs="Arial" w:hint="eastAsia"/>
        </w:rPr>
        <w:lastRenderedPageBreak/>
        <w:t>表</w:t>
      </w:r>
      <w:r>
        <w:rPr>
          <w:rFonts w:ascii="Times New Roman" w:eastAsia="黑体" w:hAnsi="Times New Roman" w:cs="Arial" w:hint="eastAsia"/>
        </w:rPr>
        <w:t xml:space="preserve">6.1-4 </w:t>
      </w:r>
      <w:r>
        <w:rPr>
          <w:rFonts w:ascii="Times New Roman" w:eastAsia="黑体" w:hAnsi="Times New Roman" w:cs="Arial" w:hint="eastAsia"/>
        </w:rPr>
        <w:t>法定生态保护区域保护措施一览表</w:t>
      </w:r>
    </w:p>
    <w:tbl>
      <w:tblPr>
        <w:tblW w:w="14297" w:type="dxa"/>
        <w:tblInd w:w="113" w:type="dxa"/>
        <w:tblBorders>
          <w:top w:val="single" w:sz="12" w:space="0" w:color="auto"/>
          <w:bottom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495"/>
        <w:gridCol w:w="1335"/>
        <w:gridCol w:w="1560"/>
        <w:gridCol w:w="9907"/>
      </w:tblGrid>
      <w:tr w:rsidR="009D12AF" w14:paraId="127C1253" w14:textId="77777777">
        <w:trPr>
          <w:trHeight w:val="23"/>
        </w:trPr>
        <w:tc>
          <w:tcPr>
            <w:tcW w:w="1495" w:type="dxa"/>
            <w:tcBorders>
              <w:tl2br w:val="nil"/>
              <w:tr2bl w:val="nil"/>
            </w:tcBorders>
            <w:vAlign w:val="center"/>
          </w:tcPr>
          <w:p w14:paraId="39A8B296"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生态敏感区</w:t>
            </w:r>
          </w:p>
        </w:tc>
        <w:tc>
          <w:tcPr>
            <w:tcW w:w="1335" w:type="dxa"/>
            <w:tcBorders>
              <w:tl2br w:val="nil"/>
              <w:tr2bl w:val="nil"/>
            </w:tcBorders>
            <w:vAlign w:val="center"/>
          </w:tcPr>
          <w:p w14:paraId="17D7F51E"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主导功能</w:t>
            </w:r>
          </w:p>
        </w:tc>
        <w:tc>
          <w:tcPr>
            <w:tcW w:w="1560" w:type="dxa"/>
            <w:tcBorders>
              <w:tl2br w:val="nil"/>
              <w:tr2bl w:val="nil"/>
            </w:tcBorders>
            <w:vAlign w:val="center"/>
          </w:tcPr>
          <w:p w14:paraId="52E34475"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主要影响来源</w:t>
            </w:r>
          </w:p>
        </w:tc>
        <w:tc>
          <w:tcPr>
            <w:tcW w:w="9907" w:type="dxa"/>
            <w:tcBorders>
              <w:tl2br w:val="nil"/>
              <w:tr2bl w:val="nil"/>
            </w:tcBorders>
            <w:vAlign w:val="center"/>
          </w:tcPr>
          <w:p w14:paraId="73C61E0F"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采取的保护措施</w:t>
            </w:r>
          </w:p>
        </w:tc>
      </w:tr>
      <w:tr w:rsidR="009D12AF" w14:paraId="652648FC" w14:textId="77777777">
        <w:trPr>
          <w:trHeight w:val="1240"/>
        </w:trPr>
        <w:tc>
          <w:tcPr>
            <w:tcW w:w="1495" w:type="dxa"/>
            <w:tcBorders>
              <w:tl2br w:val="nil"/>
              <w:tr2bl w:val="nil"/>
            </w:tcBorders>
            <w:vAlign w:val="center"/>
          </w:tcPr>
          <w:p w14:paraId="3CD7AAC8"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黑龙江海林莲花湖省级自然保护区</w:t>
            </w:r>
          </w:p>
        </w:tc>
        <w:tc>
          <w:tcPr>
            <w:tcW w:w="1335" w:type="dxa"/>
            <w:vMerge w:val="restart"/>
            <w:tcBorders>
              <w:tl2br w:val="nil"/>
              <w:tr2bl w:val="nil"/>
            </w:tcBorders>
            <w:vAlign w:val="center"/>
          </w:tcPr>
          <w:p w14:paraId="38BF9013" w14:textId="77777777" w:rsidR="009D12AF" w:rsidRDefault="00000000">
            <w:pPr>
              <w:ind w:firstLineChars="0" w:firstLine="0"/>
              <w:jc w:val="left"/>
              <w:rPr>
                <w:rFonts w:ascii="Times New Roman" w:eastAsia="宋体" w:hAnsi="Times New Roman" w:cs="Times New Roman"/>
                <w:sz w:val="21"/>
                <w:szCs w:val="21"/>
              </w:rPr>
            </w:pPr>
            <w:r>
              <w:rPr>
                <w:rFonts w:ascii="Times New Roman" w:eastAsia="宋体" w:hAnsi="Times New Roman" w:cs="Times New Roman" w:hint="eastAsia"/>
                <w:sz w:val="21"/>
                <w:szCs w:val="21"/>
              </w:rPr>
              <w:t>水源涵养、水土保持、生物多样性维护</w:t>
            </w:r>
          </w:p>
        </w:tc>
        <w:tc>
          <w:tcPr>
            <w:tcW w:w="1560" w:type="dxa"/>
            <w:vMerge w:val="restart"/>
            <w:tcBorders>
              <w:tl2br w:val="nil"/>
              <w:tr2bl w:val="nil"/>
            </w:tcBorders>
            <w:vAlign w:val="center"/>
          </w:tcPr>
          <w:p w14:paraId="28070571"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居住区、淤泥堆放区、机械设备停放区、施工便道占用</w:t>
            </w:r>
          </w:p>
        </w:tc>
        <w:tc>
          <w:tcPr>
            <w:tcW w:w="9907" w:type="dxa"/>
            <w:vMerge w:val="restart"/>
            <w:tcBorders>
              <w:tl2br w:val="nil"/>
              <w:tr2bl w:val="nil"/>
            </w:tcBorders>
            <w:vAlign w:val="center"/>
          </w:tcPr>
          <w:p w14:paraId="3068800A" w14:textId="77777777" w:rsidR="009D12AF" w:rsidRDefault="00000000">
            <w:pPr>
              <w:ind w:firstLineChars="0" w:firstLine="0"/>
              <w:jc w:val="left"/>
              <w:rPr>
                <w:rFonts w:ascii="Times New Roman" w:eastAsia="宋体" w:hAnsi="Times New Roman" w:cs="Times New Roman"/>
                <w:sz w:val="21"/>
                <w:szCs w:val="21"/>
              </w:rPr>
            </w:pPr>
            <w:r>
              <w:rPr>
                <w:rFonts w:ascii="Times New Roman" w:eastAsia="宋体" w:hAnsi="Times New Roman" w:cs="Times New Roman"/>
                <w:sz w:val="21"/>
                <w:szCs w:val="21"/>
              </w:rPr>
              <w:t>1</w:t>
            </w:r>
            <w:r>
              <w:rPr>
                <w:rFonts w:ascii="Times New Roman" w:eastAsia="宋体" w:hAnsi="Times New Roman" w:cs="Times New Roman"/>
                <w:sz w:val="21"/>
                <w:szCs w:val="21"/>
              </w:rPr>
              <w:t>）禁止在保护区范围内进行施工机械的修理，严格施工管理，避免施工机械的跑、冒、漏、滴油，有效减少施工机械废水对环境的污染。</w:t>
            </w:r>
          </w:p>
          <w:p w14:paraId="3404DE1E" w14:textId="77777777" w:rsidR="009D12AF" w:rsidRDefault="00000000">
            <w:pPr>
              <w:ind w:firstLineChars="0" w:firstLine="0"/>
              <w:jc w:val="left"/>
              <w:rPr>
                <w:rFonts w:ascii="Times New Roman" w:eastAsia="宋体" w:hAnsi="Times New Roman" w:cs="Times New Roman"/>
                <w:sz w:val="21"/>
                <w:szCs w:val="21"/>
              </w:rPr>
            </w:pPr>
            <w:r>
              <w:rPr>
                <w:rFonts w:ascii="Times New Roman" w:eastAsia="宋体" w:hAnsi="Times New Roman" w:cs="Times New Roman"/>
                <w:sz w:val="21"/>
                <w:szCs w:val="21"/>
              </w:rPr>
              <w:t>2</w:t>
            </w:r>
            <w:r>
              <w:rPr>
                <w:rFonts w:ascii="Times New Roman" w:eastAsia="宋体" w:hAnsi="Times New Roman" w:cs="Times New Roman"/>
                <w:sz w:val="21"/>
                <w:szCs w:val="21"/>
              </w:rPr>
              <w:t>）在施工过程中要加强教育和宣传，提高施工人员保护环境的意识，将垃圾集中扔弃在指定的地点，集中收集统一处理。</w:t>
            </w:r>
          </w:p>
          <w:p w14:paraId="39CA009D" w14:textId="77777777" w:rsidR="009D12AF" w:rsidRDefault="00000000">
            <w:pPr>
              <w:ind w:firstLineChars="0" w:firstLine="0"/>
              <w:jc w:val="left"/>
              <w:rPr>
                <w:rFonts w:ascii="Times New Roman" w:eastAsia="宋体" w:hAnsi="Times New Roman" w:cs="Times New Roman"/>
                <w:sz w:val="21"/>
                <w:szCs w:val="21"/>
              </w:rPr>
            </w:pPr>
            <w:r>
              <w:rPr>
                <w:rFonts w:ascii="Times New Roman" w:eastAsia="宋体" w:hAnsi="Times New Roman" w:cs="Times New Roman"/>
                <w:sz w:val="21"/>
                <w:szCs w:val="21"/>
              </w:rPr>
              <w:t>3</w:t>
            </w:r>
            <w:r>
              <w:rPr>
                <w:rFonts w:ascii="Times New Roman" w:eastAsia="宋体" w:hAnsi="Times New Roman" w:cs="Times New Roman"/>
                <w:sz w:val="21"/>
                <w:szCs w:val="21"/>
              </w:rPr>
              <w:t>）严禁在保护区内弃土弃渣，防止河道堵塞和丰水季节次生影响。</w:t>
            </w:r>
          </w:p>
          <w:p w14:paraId="1586471A" w14:textId="77777777" w:rsidR="009D12AF" w:rsidRDefault="00000000">
            <w:pPr>
              <w:ind w:firstLineChars="0" w:firstLine="0"/>
              <w:jc w:val="left"/>
              <w:rPr>
                <w:rFonts w:ascii="Times New Roman" w:eastAsia="宋体" w:hAnsi="Times New Roman" w:cs="Times New Roman"/>
                <w:sz w:val="21"/>
                <w:szCs w:val="21"/>
              </w:rPr>
            </w:pPr>
            <w:r>
              <w:rPr>
                <w:rFonts w:ascii="Times New Roman" w:eastAsia="宋体" w:hAnsi="Times New Roman" w:cs="Times New Roman"/>
                <w:sz w:val="21"/>
                <w:szCs w:val="21"/>
              </w:rPr>
              <w:t>4</w:t>
            </w:r>
            <w:r>
              <w:rPr>
                <w:rFonts w:ascii="Times New Roman" w:eastAsia="宋体" w:hAnsi="Times New Roman" w:cs="Times New Roman"/>
                <w:sz w:val="21"/>
                <w:szCs w:val="21"/>
              </w:rPr>
              <w:t>）施工车辆运输散体物和废弃物时，必须做到装载适量，加盖遮布，出工地前做好外部清洗，沿途不漏洒、不飞扬，运输必须限制在规定时段内进行，按指定路段行驶，尽可能减少尘土落入河道对水域环境的影响。</w:t>
            </w:r>
          </w:p>
          <w:p w14:paraId="5B626F89" w14:textId="77777777" w:rsidR="009D12AF" w:rsidRDefault="00000000">
            <w:pPr>
              <w:ind w:firstLineChars="0" w:firstLine="0"/>
              <w:jc w:val="left"/>
              <w:rPr>
                <w:rFonts w:ascii="Times New Roman" w:eastAsia="宋体" w:hAnsi="Times New Roman" w:cs="Times New Roman"/>
                <w:sz w:val="21"/>
                <w:szCs w:val="21"/>
              </w:rPr>
            </w:pPr>
            <w:r>
              <w:rPr>
                <w:rFonts w:ascii="Times New Roman" w:eastAsia="宋体" w:hAnsi="Times New Roman" w:cs="Times New Roman" w:hint="eastAsia"/>
                <w:sz w:val="21"/>
                <w:szCs w:val="21"/>
              </w:rPr>
              <w:t>5</w:t>
            </w:r>
            <w:r>
              <w:rPr>
                <w:rFonts w:ascii="Times New Roman" w:eastAsia="宋体" w:hAnsi="Times New Roman" w:cs="Times New Roman"/>
                <w:sz w:val="21"/>
                <w:szCs w:val="21"/>
              </w:rPr>
              <w:t>）施工单位和监理单位均有</w:t>
            </w:r>
            <w:r>
              <w:rPr>
                <w:rFonts w:ascii="Times New Roman" w:eastAsia="宋体" w:hAnsi="Times New Roman" w:cs="Times New Roman"/>
                <w:sz w:val="21"/>
                <w:szCs w:val="21"/>
              </w:rPr>
              <w:t>HSE</w:t>
            </w:r>
            <w:r>
              <w:rPr>
                <w:rFonts w:ascii="Times New Roman" w:eastAsia="宋体" w:hAnsi="Times New Roman" w:cs="Times New Roman"/>
                <w:sz w:val="21"/>
                <w:szCs w:val="21"/>
              </w:rPr>
              <w:t>专职人员，施工前编写管道施工环境管理方案，报管道建设管理单位和保护区管理单位，得到批复后方可施工；</w:t>
            </w:r>
          </w:p>
          <w:p w14:paraId="6A5DB25C" w14:textId="77777777" w:rsidR="009D12AF" w:rsidRDefault="00000000">
            <w:pPr>
              <w:ind w:firstLineChars="0" w:firstLine="0"/>
              <w:jc w:val="left"/>
              <w:rPr>
                <w:rFonts w:ascii="Times New Roman" w:eastAsia="宋体" w:hAnsi="Times New Roman" w:cs="Times New Roman"/>
                <w:sz w:val="21"/>
                <w:szCs w:val="21"/>
              </w:rPr>
            </w:pPr>
            <w:r>
              <w:rPr>
                <w:rFonts w:ascii="Times New Roman" w:eastAsia="宋体" w:hAnsi="Times New Roman" w:cs="Times New Roman" w:hint="eastAsia"/>
                <w:sz w:val="21"/>
                <w:szCs w:val="21"/>
              </w:rPr>
              <w:t>6</w:t>
            </w:r>
            <w:r>
              <w:rPr>
                <w:rFonts w:ascii="Times New Roman" w:eastAsia="宋体" w:hAnsi="Times New Roman" w:cs="Times New Roman"/>
                <w:sz w:val="21"/>
                <w:szCs w:val="21"/>
              </w:rPr>
              <w:t>）尽可能避开雨季进行施工，选择合适地点存放挖土，并采取临时苫盖、临时拦挡和修建周边排水沟等措施，禁止在河道堆放，避免出现洪水侵蚀，堵塞河道和影响鱼类的生存环境。</w:t>
            </w:r>
          </w:p>
          <w:p w14:paraId="27905A3A" w14:textId="77777777" w:rsidR="009D12AF" w:rsidRDefault="00000000">
            <w:pPr>
              <w:ind w:firstLineChars="0" w:firstLine="0"/>
              <w:jc w:val="left"/>
              <w:rPr>
                <w:rFonts w:ascii="Times New Roman" w:eastAsia="宋体" w:hAnsi="Times New Roman" w:cs="Times New Roman"/>
                <w:sz w:val="21"/>
                <w:szCs w:val="21"/>
              </w:rPr>
            </w:pPr>
            <w:r>
              <w:rPr>
                <w:rFonts w:ascii="Times New Roman" w:eastAsia="宋体" w:hAnsi="Times New Roman" w:cs="Times New Roman" w:hint="eastAsia"/>
                <w:sz w:val="21"/>
                <w:szCs w:val="21"/>
              </w:rPr>
              <w:t>7</w:t>
            </w:r>
            <w:r>
              <w:rPr>
                <w:rFonts w:ascii="Times New Roman" w:eastAsia="宋体" w:hAnsi="Times New Roman" w:cs="Times New Roman"/>
                <w:sz w:val="21"/>
                <w:szCs w:val="21"/>
              </w:rPr>
              <w:t>）施工时合理选择布设施工营地，限定施工人员活动范围，生活垃圾及其它废物应定点堆放，待施工结束后带离施工现场，并恢复场地原貌。</w:t>
            </w:r>
          </w:p>
          <w:p w14:paraId="67E21EA3" w14:textId="77777777" w:rsidR="009D12AF" w:rsidRDefault="00000000">
            <w:pPr>
              <w:ind w:firstLineChars="0" w:firstLine="0"/>
              <w:jc w:val="left"/>
              <w:rPr>
                <w:rFonts w:ascii="Times New Roman" w:eastAsia="宋体" w:hAnsi="Times New Roman" w:cs="Times New Roman"/>
                <w:sz w:val="21"/>
                <w:szCs w:val="21"/>
              </w:rPr>
            </w:pPr>
            <w:r>
              <w:rPr>
                <w:rFonts w:ascii="Times New Roman" w:eastAsia="宋体" w:hAnsi="Times New Roman" w:cs="Times New Roman" w:hint="eastAsia"/>
                <w:sz w:val="21"/>
                <w:szCs w:val="21"/>
              </w:rPr>
              <w:t>8</w:t>
            </w:r>
            <w:r>
              <w:rPr>
                <w:rFonts w:ascii="Times New Roman" w:eastAsia="宋体" w:hAnsi="Times New Roman" w:cs="Times New Roman"/>
                <w:sz w:val="21"/>
                <w:szCs w:val="21"/>
              </w:rPr>
              <w:t>）施工过程中泥浆池的设立应符合环保要求：泥浆池底部和四周应铺一层</w:t>
            </w:r>
            <w:r>
              <w:rPr>
                <w:rFonts w:ascii="Times New Roman" w:eastAsia="宋体" w:hAnsi="Times New Roman" w:cs="Times New Roman"/>
                <w:sz w:val="21"/>
                <w:szCs w:val="21"/>
              </w:rPr>
              <w:t>PVC</w:t>
            </w:r>
            <w:r>
              <w:rPr>
                <w:rFonts w:ascii="Times New Roman" w:eastAsia="宋体" w:hAnsi="Times New Roman" w:cs="Times New Roman"/>
                <w:sz w:val="21"/>
                <w:szCs w:val="21"/>
              </w:rPr>
              <w:t>材料防渗；定向钻作业期间，</w:t>
            </w:r>
            <w:r>
              <w:rPr>
                <w:rFonts w:ascii="Times New Roman" w:eastAsia="宋体" w:hAnsi="Times New Roman" w:cs="Times New Roman"/>
                <w:sz w:val="21"/>
                <w:szCs w:val="21"/>
              </w:rPr>
              <w:lastRenderedPageBreak/>
              <w:t>始终保持泥浆排放总量控制在泥浆池总容积的</w:t>
            </w:r>
            <w:r>
              <w:rPr>
                <w:rFonts w:ascii="Times New Roman" w:eastAsia="宋体" w:hAnsi="Times New Roman" w:cs="Times New Roman"/>
                <w:sz w:val="21"/>
                <w:szCs w:val="21"/>
              </w:rPr>
              <w:t>70%</w:t>
            </w:r>
            <w:r>
              <w:rPr>
                <w:rFonts w:ascii="Times New Roman" w:eastAsia="宋体" w:hAnsi="Times New Roman" w:cs="Times New Roman"/>
                <w:sz w:val="21"/>
                <w:szCs w:val="21"/>
              </w:rPr>
              <w:t>左右，以防止暴雨时泥浆外溢流入水体；施工后对废泥浆池要做到及时掩埋、填平、覆土、压实，以利于土壤、植被的恢复。</w:t>
            </w:r>
          </w:p>
          <w:p w14:paraId="68BE3C90" w14:textId="77777777" w:rsidR="009D12AF" w:rsidRDefault="00000000">
            <w:pPr>
              <w:ind w:firstLineChars="0" w:firstLine="0"/>
              <w:jc w:val="left"/>
              <w:rPr>
                <w:rFonts w:ascii="Times New Roman" w:eastAsia="宋体" w:hAnsi="Times New Roman" w:cs="Times New Roman"/>
                <w:sz w:val="21"/>
                <w:szCs w:val="21"/>
              </w:rPr>
            </w:pPr>
            <w:r>
              <w:rPr>
                <w:rFonts w:ascii="Times New Roman" w:eastAsia="宋体" w:hAnsi="Times New Roman" w:cs="Times New Roman" w:hint="eastAsia"/>
                <w:sz w:val="21"/>
                <w:szCs w:val="21"/>
              </w:rPr>
              <w:t>9</w:t>
            </w:r>
            <w:r>
              <w:rPr>
                <w:rFonts w:ascii="Times New Roman" w:eastAsia="宋体" w:hAnsi="Times New Roman" w:cs="Times New Roman"/>
                <w:sz w:val="21"/>
                <w:szCs w:val="21"/>
              </w:rPr>
              <w:t>）施工结束后，应按国务院《土地复垦规定》复垦。凡受到施工车辆、机械破坏的地方都要及时修整，恢复原貌。对于水蚀强烈的丘陵坡地和沟壑地段，为避免产生新的水土流失，应严格按照水保措施和方案实施。</w:t>
            </w:r>
          </w:p>
        </w:tc>
      </w:tr>
      <w:tr w:rsidR="009D12AF" w14:paraId="010E2EAA" w14:textId="77777777">
        <w:trPr>
          <w:trHeight w:val="1691"/>
        </w:trPr>
        <w:tc>
          <w:tcPr>
            <w:tcW w:w="1495" w:type="dxa"/>
            <w:tcBorders>
              <w:tl2br w:val="nil"/>
              <w:tr2bl w:val="nil"/>
            </w:tcBorders>
            <w:vAlign w:val="center"/>
          </w:tcPr>
          <w:p w14:paraId="08CAE23D"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黑龙江省莲花湖地质公园</w:t>
            </w:r>
          </w:p>
        </w:tc>
        <w:tc>
          <w:tcPr>
            <w:tcW w:w="1335" w:type="dxa"/>
            <w:vMerge/>
            <w:tcBorders>
              <w:tl2br w:val="nil"/>
              <w:tr2bl w:val="nil"/>
            </w:tcBorders>
            <w:vAlign w:val="center"/>
          </w:tcPr>
          <w:p w14:paraId="6A55E6D8" w14:textId="77777777" w:rsidR="009D12AF" w:rsidRDefault="009D12AF">
            <w:pPr>
              <w:ind w:firstLineChars="0" w:firstLine="0"/>
              <w:jc w:val="center"/>
              <w:rPr>
                <w:rFonts w:ascii="Times New Roman" w:eastAsia="宋体" w:hAnsi="Times New Roman" w:cs="Times New Roman"/>
                <w:sz w:val="21"/>
                <w:szCs w:val="21"/>
              </w:rPr>
            </w:pPr>
          </w:p>
        </w:tc>
        <w:tc>
          <w:tcPr>
            <w:tcW w:w="1560" w:type="dxa"/>
            <w:vMerge/>
            <w:tcBorders>
              <w:tl2br w:val="nil"/>
              <w:tr2bl w:val="nil"/>
            </w:tcBorders>
            <w:vAlign w:val="center"/>
          </w:tcPr>
          <w:p w14:paraId="7C85DE82" w14:textId="77777777" w:rsidR="009D12AF" w:rsidRDefault="009D12AF">
            <w:pPr>
              <w:ind w:firstLineChars="0" w:firstLine="0"/>
              <w:jc w:val="center"/>
              <w:rPr>
                <w:rFonts w:ascii="Times New Roman" w:eastAsia="宋体" w:hAnsi="Times New Roman" w:cs="Times New Roman"/>
                <w:sz w:val="21"/>
                <w:szCs w:val="21"/>
              </w:rPr>
            </w:pPr>
          </w:p>
        </w:tc>
        <w:tc>
          <w:tcPr>
            <w:tcW w:w="9907" w:type="dxa"/>
            <w:vMerge/>
            <w:tcBorders>
              <w:tl2br w:val="nil"/>
              <w:tr2bl w:val="nil"/>
            </w:tcBorders>
            <w:vAlign w:val="center"/>
          </w:tcPr>
          <w:p w14:paraId="36B60C9A" w14:textId="77777777" w:rsidR="009D12AF" w:rsidRDefault="009D12AF">
            <w:pPr>
              <w:ind w:firstLineChars="0" w:firstLine="0"/>
              <w:jc w:val="left"/>
              <w:rPr>
                <w:rFonts w:ascii="Times New Roman" w:eastAsia="宋体" w:hAnsi="Times New Roman" w:cs="Times New Roman"/>
                <w:sz w:val="21"/>
                <w:szCs w:val="21"/>
              </w:rPr>
            </w:pPr>
          </w:p>
        </w:tc>
      </w:tr>
      <w:tr w:rsidR="009D12AF" w14:paraId="4400523D" w14:textId="77777777">
        <w:trPr>
          <w:trHeight w:val="23"/>
        </w:trPr>
        <w:tc>
          <w:tcPr>
            <w:tcW w:w="1495" w:type="dxa"/>
            <w:tcBorders>
              <w:tl2br w:val="nil"/>
              <w:tr2bl w:val="nil"/>
            </w:tcBorders>
            <w:vAlign w:val="center"/>
          </w:tcPr>
          <w:p w14:paraId="1820E483"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海林莲花湖风景名胜区</w:t>
            </w:r>
          </w:p>
        </w:tc>
        <w:tc>
          <w:tcPr>
            <w:tcW w:w="1335" w:type="dxa"/>
            <w:vMerge/>
            <w:tcBorders>
              <w:tl2br w:val="nil"/>
              <w:tr2bl w:val="nil"/>
            </w:tcBorders>
            <w:vAlign w:val="center"/>
          </w:tcPr>
          <w:p w14:paraId="40EB2446" w14:textId="77777777" w:rsidR="009D12AF" w:rsidRDefault="009D12AF">
            <w:pPr>
              <w:ind w:firstLineChars="0" w:firstLine="0"/>
              <w:jc w:val="center"/>
              <w:rPr>
                <w:rFonts w:ascii="Times New Roman" w:eastAsia="宋体" w:hAnsi="Times New Roman" w:cs="Times New Roman"/>
                <w:sz w:val="21"/>
                <w:szCs w:val="21"/>
              </w:rPr>
            </w:pPr>
          </w:p>
        </w:tc>
        <w:tc>
          <w:tcPr>
            <w:tcW w:w="1560" w:type="dxa"/>
            <w:vMerge/>
            <w:tcBorders>
              <w:tl2br w:val="nil"/>
              <w:tr2bl w:val="nil"/>
            </w:tcBorders>
            <w:vAlign w:val="center"/>
          </w:tcPr>
          <w:p w14:paraId="17DB56A1" w14:textId="77777777" w:rsidR="009D12AF" w:rsidRDefault="009D12AF">
            <w:pPr>
              <w:ind w:firstLineChars="0" w:firstLine="0"/>
              <w:jc w:val="center"/>
              <w:rPr>
                <w:rFonts w:ascii="Times New Roman" w:eastAsia="宋体" w:hAnsi="Times New Roman" w:cs="Times New Roman"/>
                <w:sz w:val="21"/>
                <w:szCs w:val="21"/>
              </w:rPr>
            </w:pPr>
          </w:p>
        </w:tc>
        <w:tc>
          <w:tcPr>
            <w:tcW w:w="9907" w:type="dxa"/>
            <w:vMerge/>
            <w:tcBorders>
              <w:tl2br w:val="nil"/>
              <w:tr2bl w:val="nil"/>
            </w:tcBorders>
            <w:vAlign w:val="center"/>
          </w:tcPr>
          <w:p w14:paraId="54971B54" w14:textId="77777777" w:rsidR="009D12AF" w:rsidRDefault="009D12AF">
            <w:pPr>
              <w:ind w:firstLineChars="0" w:firstLine="0"/>
              <w:jc w:val="left"/>
              <w:rPr>
                <w:rFonts w:ascii="Times New Roman" w:eastAsia="宋体" w:hAnsi="Times New Roman" w:cs="Times New Roman"/>
                <w:sz w:val="21"/>
                <w:szCs w:val="21"/>
              </w:rPr>
            </w:pPr>
          </w:p>
        </w:tc>
      </w:tr>
      <w:tr w:rsidR="009D12AF" w14:paraId="6FA163AD" w14:textId="77777777">
        <w:trPr>
          <w:trHeight w:val="23"/>
        </w:trPr>
        <w:tc>
          <w:tcPr>
            <w:tcW w:w="1495" w:type="dxa"/>
            <w:tcBorders>
              <w:tl2br w:val="nil"/>
              <w:tr2bl w:val="nil"/>
            </w:tcBorders>
            <w:vAlign w:val="center"/>
          </w:tcPr>
          <w:p w14:paraId="5B5FB724"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威虎山国家森林公园</w:t>
            </w:r>
          </w:p>
        </w:tc>
        <w:tc>
          <w:tcPr>
            <w:tcW w:w="1335" w:type="dxa"/>
            <w:vMerge/>
            <w:tcBorders>
              <w:tl2br w:val="nil"/>
              <w:tr2bl w:val="nil"/>
            </w:tcBorders>
            <w:vAlign w:val="center"/>
          </w:tcPr>
          <w:p w14:paraId="0201B6C6" w14:textId="77777777" w:rsidR="009D12AF" w:rsidRDefault="009D12AF">
            <w:pPr>
              <w:ind w:firstLineChars="0" w:firstLine="0"/>
              <w:jc w:val="center"/>
              <w:rPr>
                <w:rFonts w:ascii="Times New Roman" w:eastAsia="宋体" w:hAnsi="Times New Roman" w:cs="Times New Roman"/>
                <w:sz w:val="21"/>
                <w:szCs w:val="21"/>
              </w:rPr>
            </w:pPr>
          </w:p>
        </w:tc>
        <w:tc>
          <w:tcPr>
            <w:tcW w:w="1560" w:type="dxa"/>
            <w:vMerge/>
            <w:tcBorders>
              <w:tl2br w:val="nil"/>
              <w:tr2bl w:val="nil"/>
            </w:tcBorders>
            <w:vAlign w:val="center"/>
          </w:tcPr>
          <w:p w14:paraId="16CD837A" w14:textId="77777777" w:rsidR="009D12AF" w:rsidRDefault="009D12AF">
            <w:pPr>
              <w:ind w:firstLineChars="0" w:firstLine="0"/>
              <w:jc w:val="center"/>
              <w:rPr>
                <w:rFonts w:ascii="Times New Roman" w:eastAsia="宋体" w:hAnsi="Times New Roman" w:cs="Times New Roman"/>
                <w:sz w:val="21"/>
                <w:szCs w:val="21"/>
              </w:rPr>
            </w:pPr>
          </w:p>
        </w:tc>
        <w:tc>
          <w:tcPr>
            <w:tcW w:w="9907" w:type="dxa"/>
            <w:vMerge/>
            <w:tcBorders>
              <w:tl2br w:val="nil"/>
              <w:tr2bl w:val="nil"/>
            </w:tcBorders>
            <w:vAlign w:val="center"/>
          </w:tcPr>
          <w:p w14:paraId="6539A5FA" w14:textId="77777777" w:rsidR="009D12AF" w:rsidRDefault="009D12AF">
            <w:pPr>
              <w:ind w:firstLineChars="0" w:firstLine="0"/>
              <w:jc w:val="left"/>
              <w:rPr>
                <w:rFonts w:ascii="Times New Roman" w:eastAsia="宋体" w:hAnsi="Times New Roman" w:cs="Times New Roman"/>
                <w:sz w:val="21"/>
                <w:szCs w:val="21"/>
              </w:rPr>
            </w:pPr>
          </w:p>
        </w:tc>
      </w:tr>
      <w:tr w:rsidR="009D12AF" w14:paraId="38A75C08" w14:textId="77777777">
        <w:trPr>
          <w:trHeight w:val="23"/>
        </w:trPr>
        <w:tc>
          <w:tcPr>
            <w:tcW w:w="1495" w:type="dxa"/>
            <w:tcBorders>
              <w:tl2br w:val="nil"/>
              <w:tr2bl w:val="nil"/>
            </w:tcBorders>
            <w:vAlign w:val="center"/>
          </w:tcPr>
          <w:p w14:paraId="1D79C75B"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海林市张广才岭</w:t>
            </w:r>
            <w:r>
              <w:rPr>
                <w:rFonts w:ascii="Times New Roman" w:eastAsia="宋体" w:hAnsi="Times New Roman" w:cs="Times New Roman" w:hint="eastAsia"/>
                <w:sz w:val="21"/>
                <w:szCs w:val="21"/>
              </w:rPr>
              <w:t>-</w:t>
            </w:r>
            <w:r>
              <w:rPr>
                <w:rFonts w:ascii="Times New Roman" w:eastAsia="宋体" w:hAnsi="Times New Roman" w:cs="Times New Roman" w:hint="eastAsia"/>
                <w:sz w:val="21"/>
                <w:szCs w:val="21"/>
              </w:rPr>
              <w:t>老爷岭水源涵养与生物多样性维护功能生态保护红线</w:t>
            </w:r>
            <w:r>
              <w:rPr>
                <w:rFonts w:ascii="Times New Roman" w:eastAsia="宋体" w:hAnsi="Times New Roman" w:cs="Times New Roman" w:hint="eastAsia"/>
                <w:sz w:val="21"/>
                <w:szCs w:val="21"/>
              </w:rPr>
              <w:t>-</w:t>
            </w:r>
            <w:r>
              <w:rPr>
                <w:rFonts w:ascii="Times New Roman" w:eastAsia="宋体" w:hAnsi="Times New Roman" w:cs="Times New Roman" w:hint="eastAsia"/>
                <w:sz w:val="21"/>
                <w:szCs w:val="21"/>
              </w:rPr>
              <w:t>水土保持生态功能重要区</w:t>
            </w:r>
          </w:p>
        </w:tc>
        <w:tc>
          <w:tcPr>
            <w:tcW w:w="1335" w:type="dxa"/>
            <w:vMerge w:val="restart"/>
            <w:tcBorders>
              <w:tl2br w:val="nil"/>
              <w:tr2bl w:val="nil"/>
            </w:tcBorders>
            <w:vAlign w:val="center"/>
          </w:tcPr>
          <w:p w14:paraId="63E1A9ED"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生物多样性与水源涵养</w:t>
            </w:r>
          </w:p>
        </w:tc>
        <w:tc>
          <w:tcPr>
            <w:tcW w:w="1560" w:type="dxa"/>
            <w:tcBorders>
              <w:tl2br w:val="nil"/>
              <w:tr2bl w:val="nil"/>
            </w:tcBorders>
            <w:vAlign w:val="center"/>
          </w:tcPr>
          <w:p w14:paraId="6340C7F4"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位于评价范围内，处于项目周边，距离项目临时占地边界最近</w:t>
            </w:r>
            <w:r>
              <w:rPr>
                <w:rFonts w:ascii="Times New Roman" w:eastAsia="宋体" w:hAnsi="Times New Roman" w:cs="Times New Roman" w:hint="eastAsia"/>
                <w:sz w:val="21"/>
                <w:szCs w:val="21"/>
              </w:rPr>
              <w:t>1741m</w:t>
            </w:r>
          </w:p>
        </w:tc>
        <w:tc>
          <w:tcPr>
            <w:tcW w:w="9907" w:type="dxa"/>
            <w:vMerge w:val="restart"/>
            <w:tcBorders>
              <w:tl2br w:val="nil"/>
              <w:tr2bl w:val="nil"/>
            </w:tcBorders>
            <w:vAlign w:val="center"/>
          </w:tcPr>
          <w:p w14:paraId="4743DA32" w14:textId="77777777" w:rsidR="009D12AF" w:rsidRDefault="00000000">
            <w:pPr>
              <w:ind w:firstLineChars="0" w:firstLine="0"/>
              <w:jc w:val="left"/>
              <w:rPr>
                <w:rFonts w:ascii="Times New Roman" w:eastAsia="宋体" w:hAnsi="Times New Roman" w:cs="Times New Roman"/>
                <w:sz w:val="21"/>
                <w:szCs w:val="21"/>
              </w:rPr>
            </w:pPr>
            <w:r>
              <w:rPr>
                <w:rFonts w:ascii="Times New Roman" w:eastAsia="宋体" w:hAnsi="Times New Roman" w:cs="Times New Roman" w:hint="eastAsia"/>
                <w:sz w:val="21"/>
                <w:szCs w:val="21"/>
              </w:rPr>
              <w:t>1</w:t>
            </w:r>
            <w:r>
              <w:rPr>
                <w:rFonts w:ascii="Times New Roman" w:eastAsia="宋体" w:hAnsi="Times New Roman" w:cs="Times New Roman" w:hint="eastAsia"/>
                <w:sz w:val="21"/>
                <w:szCs w:val="21"/>
              </w:rPr>
              <w:t>）避开鸟类迁徙期（</w:t>
            </w:r>
            <w:r>
              <w:rPr>
                <w:rFonts w:ascii="Times New Roman" w:eastAsia="宋体" w:hAnsi="Times New Roman" w:cs="Times New Roman" w:hint="eastAsia"/>
                <w:sz w:val="21"/>
                <w:szCs w:val="21"/>
              </w:rPr>
              <w:t>4-5</w:t>
            </w:r>
            <w:r>
              <w:rPr>
                <w:rFonts w:ascii="Times New Roman" w:eastAsia="宋体" w:hAnsi="Times New Roman" w:cs="Times New Roman" w:hint="eastAsia"/>
                <w:sz w:val="21"/>
                <w:szCs w:val="21"/>
              </w:rPr>
              <w:t>月、</w:t>
            </w:r>
            <w:r>
              <w:rPr>
                <w:rFonts w:ascii="Times New Roman" w:eastAsia="宋体" w:hAnsi="Times New Roman" w:cs="Times New Roman" w:hint="eastAsia"/>
                <w:sz w:val="21"/>
                <w:szCs w:val="21"/>
              </w:rPr>
              <w:t>9-10</w:t>
            </w:r>
            <w:r>
              <w:rPr>
                <w:rFonts w:ascii="Times New Roman" w:eastAsia="宋体" w:hAnsi="Times New Roman" w:cs="Times New Roman" w:hint="eastAsia"/>
                <w:sz w:val="21"/>
                <w:szCs w:val="21"/>
              </w:rPr>
              <w:t>月）及植物生长期，降低对生物活动的干扰。</w:t>
            </w:r>
          </w:p>
          <w:p w14:paraId="111681FD" w14:textId="77777777" w:rsidR="009D12AF" w:rsidRDefault="00000000">
            <w:pPr>
              <w:ind w:firstLineChars="0" w:firstLine="0"/>
              <w:jc w:val="left"/>
              <w:rPr>
                <w:rFonts w:ascii="Times New Roman" w:eastAsia="宋体" w:hAnsi="Times New Roman" w:cs="Times New Roman"/>
                <w:sz w:val="21"/>
                <w:szCs w:val="21"/>
              </w:rPr>
            </w:pPr>
            <w:r>
              <w:rPr>
                <w:rFonts w:ascii="Times New Roman" w:eastAsia="宋体" w:hAnsi="Times New Roman" w:cs="Times New Roman" w:hint="eastAsia"/>
                <w:sz w:val="21"/>
                <w:szCs w:val="21"/>
              </w:rPr>
              <w:t>2</w:t>
            </w:r>
            <w:r>
              <w:rPr>
                <w:rFonts w:ascii="Times New Roman" w:eastAsia="宋体" w:hAnsi="Times New Roman" w:cs="Times New Roman" w:hint="eastAsia"/>
                <w:sz w:val="21"/>
                <w:szCs w:val="21"/>
              </w:rPr>
              <w:t>）泥浆坑铺设高密度防渗膜，废弃泥浆外运至红线外</w:t>
            </w:r>
            <w:r>
              <w:rPr>
                <w:rFonts w:ascii="Times New Roman" w:eastAsia="宋体" w:hAnsi="Times New Roman" w:cs="Times New Roman" w:hint="eastAsia"/>
                <w:sz w:val="21"/>
                <w:szCs w:val="21"/>
              </w:rPr>
              <w:t>5</w:t>
            </w:r>
            <w:r>
              <w:rPr>
                <w:rFonts w:ascii="Times New Roman" w:eastAsia="宋体" w:hAnsi="Times New Roman" w:cs="Times New Roman" w:hint="eastAsia"/>
                <w:sz w:val="21"/>
                <w:szCs w:val="21"/>
              </w:rPr>
              <w:t>公里以上合规填埋场。</w:t>
            </w:r>
          </w:p>
          <w:p w14:paraId="278587E0" w14:textId="77777777" w:rsidR="009D12AF" w:rsidRDefault="00000000">
            <w:pPr>
              <w:ind w:firstLineChars="0" w:firstLine="0"/>
              <w:jc w:val="left"/>
              <w:rPr>
                <w:rFonts w:ascii="Times New Roman" w:eastAsia="宋体" w:hAnsi="Times New Roman" w:cs="Times New Roman"/>
                <w:sz w:val="21"/>
                <w:szCs w:val="21"/>
              </w:rPr>
            </w:pPr>
            <w:r>
              <w:rPr>
                <w:rFonts w:ascii="Times New Roman" w:eastAsia="宋体" w:hAnsi="Times New Roman" w:cs="Times New Roman" w:hint="eastAsia"/>
                <w:sz w:val="21"/>
                <w:szCs w:val="21"/>
              </w:rPr>
              <w:t>3</w:t>
            </w:r>
            <w:r>
              <w:rPr>
                <w:rFonts w:ascii="Times New Roman" w:eastAsia="宋体" w:hAnsi="Times New Roman" w:cs="Times New Roman" w:hint="eastAsia"/>
                <w:sz w:val="21"/>
                <w:szCs w:val="21"/>
              </w:rPr>
              <w:t>）遇孤石或硬岩层时，采用预裂法机械破碎（非爆破），配合持续注浆固结地层，避免塌孔或泥浆渗漏。</w:t>
            </w:r>
          </w:p>
          <w:p w14:paraId="48BA625C" w14:textId="77777777" w:rsidR="009D12AF" w:rsidRDefault="00000000">
            <w:pPr>
              <w:ind w:firstLineChars="0" w:firstLine="0"/>
              <w:jc w:val="left"/>
              <w:rPr>
                <w:rFonts w:ascii="Times New Roman" w:eastAsia="宋体" w:hAnsi="Times New Roman" w:cs="Times New Roman"/>
                <w:sz w:val="21"/>
                <w:szCs w:val="21"/>
              </w:rPr>
            </w:pPr>
            <w:r>
              <w:rPr>
                <w:rFonts w:ascii="Times New Roman" w:eastAsia="宋体" w:hAnsi="Times New Roman" w:cs="Times New Roman" w:hint="eastAsia"/>
                <w:sz w:val="21"/>
                <w:szCs w:val="21"/>
              </w:rPr>
              <w:t>4</w:t>
            </w:r>
            <w:r>
              <w:rPr>
                <w:rFonts w:ascii="Times New Roman" w:eastAsia="宋体" w:hAnsi="Times New Roman" w:cs="Times New Roman" w:hint="eastAsia"/>
                <w:sz w:val="21"/>
                <w:szCs w:val="21"/>
              </w:rPr>
              <w:t>）设备加装减震基座，将噪声控制在</w:t>
            </w:r>
            <w:r>
              <w:rPr>
                <w:rFonts w:ascii="Times New Roman" w:eastAsia="宋体" w:hAnsi="Times New Roman" w:cs="Times New Roman" w:hint="eastAsia"/>
                <w:sz w:val="21"/>
                <w:szCs w:val="21"/>
              </w:rPr>
              <w:t>80dB</w:t>
            </w:r>
            <w:r>
              <w:rPr>
                <w:rFonts w:ascii="Times New Roman" w:eastAsia="宋体" w:hAnsi="Times New Roman" w:cs="Times New Roman" w:hint="eastAsia"/>
                <w:sz w:val="21"/>
                <w:szCs w:val="21"/>
              </w:rPr>
              <w:t>以下。</w:t>
            </w:r>
          </w:p>
          <w:p w14:paraId="315C2FED" w14:textId="77777777" w:rsidR="009D12AF" w:rsidRDefault="00000000">
            <w:pPr>
              <w:ind w:firstLineChars="0" w:firstLine="0"/>
              <w:jc w:val="left"/>
              <w:rPr>
                <w:rFonts w:ascii="Times New Roman" w:eastAsia="宋体" w:hAnsi="Times New Roman" w:cs="Times New Roman"/>
                <w:sz w:val="21"/>
                <w:szCs w:val="21"/>
              </w:rPr>
            </w:pPr>
            <w:r>
              <w:rPr>
                <w:rFonts w:ascii="Times New Roman" w:eastAsia="宋体" w:hAnsi="Times New Roman" w:cs="Times New Roman" w:hint="eastAsia"/>
                <w:sz w:val="21"/>
                <w:szCs w:val="21"/>
              </w:rPr>
              <w:t>5</w:t>
            </w:r>
            <w:r>
              <w:rPr>
                <w:rFonts w:ascii="Times New Roman" w:eastAsia="宋体" w:hAnsi="Times New Roman" w:cs="Times New Roman" w:hint="eastAsia"/>
                <w:sz w:val="21"/>
                <w:szCs w:val="21"/>
              </w:rPr>
              <w:t>）施工合理选择布设施工营地，限定施工人员活动范围，提高施工人员保护环境的意识。</w:t>
            </w:r>
          </w:p>
        </w:tc>
      </w:tr>
      <w:tr w:rsidR="009D12AF" w14:paraId="12FCD84C" w14:textId="77777777">
        <w:trPr>
          <w:trHeight w:val="23"/>
        </w:trPr>
        <w:tc>
          <w:tcPr>
            <w:tcW w:w="1495" w:type="dxa"/>
            <w:tcBorders>
              <w:tl2br w:val="nil"/>
              <w:tr2bl w:val="nil"/>
            </w:tcBorders>
            <w:vAlign w:val="center"/>
          </w:tcPr>
          <w:p w14:paraId="07827CF2"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海林市张广才岭</w:t>
            </w:r>
            <w:r>
              <w:rPr>
                <w:rFonts w:ascii="Times New Roman" w:eastAsia="宋体" w:hAnsi="Times New Roman" w:cs="Times New Roman" w:hint="eastAsia"/>
                <w:sz w:val="21"/>
                <w:szCs w:val="21"/>
              </w:rPr>
              <w:t>-</w:t>
            </w:r>
            <w:r>
              <w:rPr>
                <w:rFonts w:ascii="Times New Roman" w:eastAsia="宋体" w:hAnsi="Times New Roman" w:cs="Times New Roman" w:hint="eastAsia"/>
                <w:sz w:val="21"/>
                <w:szCs w:val="21"/>
              </w:rPr>
              <w:t>老爷岭水源涵养与生物多样性维护功能生态保护红线</w:t>
            </w:r>
            <w:r>
              <w:rPr>
                <w:rFonts w:ascii="Times New Roman" w:eastAsia="宋体" w:hAnsi="Times New Roman" w:cs="Times New Roman" w:hint="eastAsia"/>
                <w:sz w:val="21"/>
                <w:szCs w:val="21"/>
              </w:rPr>
              <w:t>-</w:t>
            </w:r>
            <w:r>
              <w:rPr>
                <w:rFonts w:ascii="Times New Roman" w:eastAsia="宋体" w:hAnsi="Times New Roman" w:cs="Times New Roman" w:hint="eastAsia"/>
                <w:sz w:val="21"/>
                <w:szCs w:val="21"/>
              </w:rPr>
              <w:lastRenderedPageBreak/>
              <w:t>生物多样性维护生态功能重要区</w:t>
            </w:r>
          </w:p>
        </w:tc>
        <w:tc>
          <w:tcPr>
            <w:tcW w:w="1335" w:type="dxa"/>
            <w:vMerge/>
            <w:tcBorders>
              <w:tl2br w:val="nil"/>
              <w:tr2bl w:val="nil"/>
            </w:tcBorders>
            <w:vAlign w:val="center"/>
          </w:tcPr>
          <w:p w14:paraId="340001D1" w14:textId="77777777" w:rsidR="009D12AF" w:rsidRDefault="009D12AF">
            <w:pPr>
              <w:ind w:firstLineChars="0" w:firstLine="0"/>
              <w:jc w:val="center"/>
              <w:rPr>
                <w:rFonts w:ascii="Times New Roman" w:eastAsia="宋体" w:hAnsi="Times New Roman" w:cs="Times New Roman"/>
                <w:sz w:val="21"/>
                <w:szCs w:val="21"/>
              </w:rPr>
            </w:pPr>
          </w:p>
        </w:tc>
        <w:tc>
          <w:tcPr>
            <w:tcW w:w="1560" w:type="dxa"/>
            <w:tcBorders>
              <w:tl2br w:val="nil"/>
              <w:tr2bl w:val="nil"/>
            </w:tcBorders>
            <w:vAlign w:val="center"/>
          </w:tcPr>
          <w:p w14:paraId="7F5287B6" w14:textId="77777777" w:rsidR="009D12AF" w:rsidRDefault="00000000">
            <w:pPr>
              <w:ind w:firstLineChars="0" w:firstLine="0"/>
              <w:jc w:val="center"/>
              <w:rPr>
                <w:rFonts w:ascii="Times New Roman" w:eastAsia="宋体" w:hAnsi="Times New Roman" w:cs="Times New Roman"/>
                <w:sz w:val="21"/>
                <w:szCs w:val="21"/>
              </w:rPr>
            </w:pPr>
            <w:r>
              <w:rPr>
                <w:rFonts w:ascii="Times New Roman" w:eastAsia="宋体" w:hAnsi="Times New Roman" w:cs="Times New Roman" w:hint="eastAsia"/>
                <w:sz w:val="21"/>
                <w:szCs w:val="21"/>
              </w:rPr>
              <w:t>机械设备停放区、施工便道占用</w:t>
            </w:r>
          </w:p>
        </w:tc>
        <w:tc>
          <w:tcPr>
            <w:tcW w:w="9907" w:type="dxa"/>
            <w:vMerge/>
            <w:tcBorders>
              <w:tl2br w:val="nil"/>
              <w:tr2bl w:val="nil"/>
            </w:tcBorders>
            <w:vAlign w:val="center"/>
          </w:tcPr>
          <w:p w14:paraId="1C2D5AB0" w14:textId="77777777" w:rsidR="009D12AF" w:rsidRDefault="009D12AF">
            <w:pPr>
              <w:ind w:firstLineChars="0" w:firstLine="0"/>
              <w:jc w:val="left"/>
              <w:rPr>
                <w:rFonts w:ascii="Times New Roman" w:eastAsia="宋体" w:hAnsi="Times New Roman" w:cs="Times New Roman"/>
                <w:sz w:val="21"/>
                <w:szCs w:val="21"/>
              </w:rPr>
            </w:pPr>
          </w:p>
        </w:tc>
      </w:tr>
    </w:tbl>
    <w:p w14:paraId="0902A498" w14:textId="77777777" w:rsidR="009D12AF" w:rsidRDefault="009D12AF">
      <w:pPr>
        <w:widowControl/>
        <w:spacing w:after="160" w:line="278" w:lineRule="auto"/>
        <w:ind w:firstLine="480"/>
        <w:jc w:val="left"/>
        <w:rPr>
          <w:rFonts w:ascii="Times New Roman" w:eastAsia="宋体" w:hAnsi="Times New Roman" w:cs="Times New Roman"/>
        </w:rPr>
        <w:sectPr w:rsidR="009D12AF">
          <w:pgSz w:w="16838" w:h="11906" w:orient="landscape"/>
          <w:pgMar w:top="1800" w:right="1440" w:bottom="1800" w:left="1440" w:header="851" w:footer="992" w:gutter="0"/>
          <w:cols w:space="425"/>
          <w:docGrid w:type="lines" w:linePitch="326"/>
        </w:sectPr>
      </w:pPr>
    </w:p>
    <w:p w14:paraId="45710B8C" w14:textId="77777777" w:rsidR="009D12AF" w:rsidRDefault="00000000">
      <w:pPr>
        <w:pStyle w:val="3"/>
      </w:pPr>
      <w:bookmarkStart w:id="409" w:name="_Toc16189"/>
      <w:r>
        <w:rPr>
          <w:rFonts w:hint="eastAsia"/>
        </w:rPr>
        <w:lastRenderedPageBreak/>
        <w:t>6.1.8</w:t>
      </w:r>
      <w:r>
        <w:rPr>
          <w:rFonts w:hint="eastAsia"/>
        </w:rPr>
        <w:t>施工期水生生态保护措施</w:t>
      </w:r>
      <w:bookmarkEnd w:id="409"/>
    </w:p>
    <w:p w14:paraId="1CD4D9C5" w14:textId="77777777" w:rsidR="009D12AF" w:rsidRDefault="00000000">
      <w:pPr>
        <w:pStyle w:val="4"/>
        <w:ind w:firstLineChars="0" w:firstLine="0"/>
        <w:rPr>
          <w:rFonts w:asciiTheme="majorEastAsia" w:eastAsiaTheme="majorEastAsia" w:hAnsiTheme="majorEastAsia" w:cstheme="majorEastAsia" w:hint="eastAsia"/>
        </w:rPr>
      </w:pPr>
      <w:r>
        <w:rPr>
          <w:rFonts w:hint="eastAsia"/>
        </w:rPr>
        <w:t>6.1.8.1</w:t>
      </w:r>
      <w:r>
        <w:rPr>
          <w:rFonts w:asciiTheme="majorEastAsia" w:eastAsiaTheme="majorEastAsia" w:hAnsiTheme="majorEastAsia" w:cstheme="majorEastAsia" w:hint="eastAsia"/>
        </w:rPr>
        <w:t>防止固体垃圾污染</w:t>
      </w:r>
    </w:p>
    <w:p w14:paraId="2CB3213A" w14:textId="77777777" w:rsidR="009D12AF" w:rsidRDefault="00000000">
      <w:pPr>
        <w:ind w:firstLine="480"/>
      </w:pPr>
      <w:r>
        <w:rPr>
          <w:rFonts w:hint="eastAsia"/>
        </w:rPr>
        <w:t>水库</w:t>
      </w:r>
      <w:r>
        <w:t>清淤工程等将产生一定量淤泥和垃圾，施工期间应防止固体垃圾流入水体，弃泥场远离河流。在加强涉水工程施工工艺、方案优化的同时，应考虑到汛期来临、降雨，洪水淹没区域及水土流失，所带来的风险。在做好防流失的前题下，将剩余残土、废水及时外运，弃土场应设在远离岸边的区域或堤防背侧，不能直接将残土搁置水中，更不能随意堆置离河较近处。同时，工程在施工中需要临时占地和大面积的料场等，因此，在设计布置这些用地时，要充分考虑到施工带来的影响。应按工程总体规划，将残土处置妥当，防止水土流失。</w:t>
      </w:r>
    </w:p>
    <w:p w14:paraId="6F0E6C8F" w14:textId="77777777" w:rsidR="009D12AF" w:rsidRDefault="00000000">
      <w:pPr>
        <w:pStyle w:val="4"/>
        <w:ind w:firstLineChars="0" w:firstLine="0"/>
        <w:rPr>
          <w:rFonts w:asciiTheme="majorEastAsia" w:eastAsiaTheme="majorEastAsia" w:hAnsiTheme="majorEastAsia" w:cstheme="majorEastAsia" w:hint="eastAsia"/>
        </w:rPr>
      </w:pPr>
      <w:r>
        <w:rPr>
          <w:rFonts w:hint="eastAsia"/>
        </w:rPr>
        <w:t>6.1.8.2</w:t>
      </w:r>
      <w:r>
        <w:rPr>
          <w:rFonts w:asciiTheme="majorEastAsia" w:eastAsiaTheme="majorEastAsia" w:hAnsiTheme="majorEastAsia" w:cstheme="majorEastAsia" w:hint="eastAsia"/>
        </w:rPr>
        <w:t>采取有效施工方案</w:t>
      </w:r>
    </w:p>
    <w:p w14:paraId="17679686" w14:textId="77777777" w:rsidR="009D12AF" w:rsidRDefault="00000000">
      <w:pPr>
        <w:ind w:firstLine="464"/>
        <w:rPr>
          <w:bCs/>
          <w:spacing w:val="-4"/>
        </w:rPr>
      </w:pPr>
      <w:r>
        <w:rPr>
          <w:bCs/>
          <w:spacing w:val="-4"/>
        </w:rPr>
        <w:t>根据工程设计，施工应采取优化方式，根据工程建设条件和地形条件，在清淤区域防护采用隔离措施，防止底质扰动，泥沙悬浮，造成河水污染，底质破坏；应严格采取措施，防止水土流失、施工废水进入河道造成污染。不能将剩余固体废弃物直接堆置河中造成人为河道堵塞、水体污染，给水生生物造成更大的影响。采用环保型清淤输泥设备，以减少对河流水生生物的影响。</w:t>
      </w:r>
    </w:p>
    <w:p w14:paraId="7C064DCB" w14:textId="77777777" w:rsidR="009D12AF" w:rsidRDefault="00000000">
      <w:pPr>
        <w:pStyle w:val="4"/>
        <w:ind w:firstLineChars="0" w:firstLine="0"/>
        <w:rPr>
          <w:rFonts w:asciiTheme="majorEastAsia" w:eastAsiaTheme="majorEastAsia" w:hAnsiTheme="majorEastAsia" w:cstheme="majorEastAsia" w:hint="eastAsia"/>
        </w:rPr>
      </w:pPr>
      <w:r>
        <w:rPr>
          <w:rFonts w:hint="eastAsia"/>
        </w:rPr>
        <w:t>6.1.8.3</w:t>
      </w:r>
      <w:r>
        <w:rPr>
          <w:rFonts w:asciiTheme="majorEastAsia" w:eastAsiaTheme="majorEastAsia" w:hAnsiTheme="majorEastAsia" w:cstheme="majorEastAsia" w:hint="eastAsia"/>
        </w:rPr>
        <w:t>避开鱼类繁殖期</w:t>
      </w:r>
    </w:p>
    <w:p w14:paraId="18E37104" w14:textId="77777777" w:rsidR="009D12AF" w:rsidRDefault="00000000">
      <w:pPr>
        <w:ind w:firstLine="480"/>
      </w:pPr>
      <w:r>
        <w:t>在清淤施工应避开鱼类繁殖期</w:t>
      </w:r>
      <w:r>
        <w:t>5-6</w:t>
      </w:r>
      <w:r>
        <w:t>月，以减少必要的干扰，为鱼类繁殖、洄游创造一个安静的环境。</w:t>
      </w:r>
    </w:p>
    <w:p w14:paraId="68735B20" w14:textId="77777777" w:rsidR="009D12AF" w:rsidRDefault="00000000">
      <w:pPr>
        <w:pStyle w:val="4"/>
        <w:ind w:firstLineChars="0" w:firstLine="0"/>
        <w:rPr>
          <w:rFonts w:asciiTheme="majorEastAsia" w:eastAsiaTheme="majorEastAsia" w:hAnsiTheme="majorEastAsia" w:cstheme="majorEastAsia" w:hint="eastAsia"/>
        </w:rPr>
      </w:pPr>
      <w:r>
        <w:rPr>
          <w:rFonts w:hint="eastAsia"/>
        </w:rPr>
        <w:t>6.1.8.4</w:t>
      </w:r>
      <w:r>
        <w:rPr>
          <w:rFonts w:asciiTheme="majorEastAsia" w:eastAsiaTheme="majorEastAsia" w:hAnsiTheme="majorEastAsia" w:cstheme="majorEastAsia" w:hint="eastAsia"/>
        </w:rPr>
        <w:t>减少噪声</w:t>
      </w:r>
    </w:p>
    <w:p w14:paraId="2C7BCF11" w14:textId="77777777" w:rsidR="009D12AF" w:rsidRDefault="00000000">
      <w:pPr>
        <w:ind w:firstLine="480"/>
      </w:pPr>
      <w:r>
        <w:rPr>
          <w:bCs/>
          <w:kern w:val="0"/>
          <w:szCs w:val="28"/>
        </w:rPr>
        <w:t>在施工期间应根据鱼类生长、繁殖特性采取低噪音的操作或使用低噪声设</w:t>
      </w:r>
      <w:r>
        <w:t>备，以减少对水生生物的危害，为鱼类生长、繁殖创造良好的生态环境。</w:t>
      </w:r>
    </w:p>
    <w:p w14:paraId="24C37CFE" w14:textId="77777777" w:rsidR="009D12AF" w:rsidRDefault="00000000">
      <w:pPr>
        <w:pStyle w:val="4"/>
        <w:ind w:firstLineChars="0" w:firstLine="0"/>
        <w:rPr>
          <w:rFonts w:asciiTheme="majorEastAsia" w:eastAsiaTheme="majorEastAsia" w:hAnsiTheme="majorEastAsia" w:cstheme="majorEastAsia" w:hint="eastAsia"/>
        </w:rPr>
      </w:pPr>
      <w:r>
        <w:rPr>
          <w:rFonts w:hint="eastAsia"/>
        </w:rPr>
        <w:lastRenderedPageBreak/>
        <w:t>6.1.8.5</w:t>
      </w:r>
      <w:r>
        <w:rPr>
          <w:rFonts w:asciiTheme="majorEastAsia" w:eastAsiaTheme="majorEastAsia" w:hAnsiTheme="majorEastAsia" w:cstheme="majorEastAsia" w:hint="eastAsia"/>
        </w:rPr>
        <w:t>防止水体污染</w:t>
      </w:r>
    </w:p>
    <w:p w14:paraId="7A9EF07D" w14:textId="77777777" w:rsidR="009D12AF" w:rsidRDefault="00000000">
      <w:pPr>
        <w:ind w:firstLine="480"/>
      </w:pPr>
      <w:r>
        <w:t>由于施工期间使用一定的机械，产生的机械工作燃油、冷却、养生等工业废水，如果这些废水直接排入河中会造成工业污染，致使水质下降，水环境变化。另外，施工期间将产生大量生活污水，这些工业废水、污水未经任何处理就排入</w:t>
      </w:r>
      <w:r>
        <w:rPr>
          <w:rFonts w:hint="eastAsia"/>
        </w:rPr>
        <w:t>水体</w:t>
      </w:r>
      <w:r>
        <w:t>中，这将导致水质总磷、总氮、氨氮、生化需氧量的增加以及溶解氧的减少，加剧水体富营养化，给水生生物生活环境带来危害</w:t>
      </w:r>
      <w:r>
        <w:rPr>
          <w:rFonts w:hint="eastAsia"/>
        </w:rPr>
        <w:t>。</w:t>
      </w:r>
    </w:p>
    <w:p w14:paraId="3E7CF1E8" w14:textId="77777777" w:rsidR="009D12AF" w:rsidRDefault="00000000">
      <w:pPr>
        <w:ind w:firstLine="480"/>
      </w:pPr>
      <w:r>
        <w:t>生活污水排入</w:t>
      </w:r>
      <w:r>
        <w:rPr>
          <w:rFonts w:hint="eastAsia"/>
        </w:rPr>
        <w:t>防渗旱厕</w:t>
      </w:r>
      <w:r>
        <w:t>，定期清掏，外运堆肥</w:t>
      </w:r>
      <w:r>
        <w:rPr>
          <w:rFonts w:hint="eastAsia"/>
        </w:rPr>
        <w:t>；</w:t>
      </w:r>
      <w:r>
        <w:rPr>
          <w:rFonts w:ascii="Times New Roman" w:eastAsia="宋体" w:hAnsi="Times New Roman" w:cs="Times New Roman"/>
        </w:rPr>
        <w:t>施工机械设备冲洗废水收集后经隔油沉淀处理回用于施工场地洒水抑尘及施工设备冲洗，不外排</w:t>
      </w:r>
      <w:r>
        <w:rPr>
          <w:rFonts w:ascii="Times New Roman" w:eastAsia="宋体" w:hAnsi="Times New Roman" w:cs="Times New Roman" w:hint="eastAsia"/>
        </w:rPr>
        <w:t>；</w:t>
      </w:r>
      <w:r>
        <w:rPr>
          <w:rFonts w:ascii="宋体" w:eastAsia="宋体" w:hAnsi="宋体" w:cs="宋体" w:hint="eastAsia"/>
          <w:color w:val="000000"/>
          <w:kern w:val="0"/>
          <w:lang w:bidi="ar"/>
        </w:rPr>
        <w:t>挖泥船船底油污水由从事船舶污染物接收的单位接收处置；</w:t>
      </w:r>
      <w:r>
        <w:rPr>
          <w:rFonts w:hint="eastAsia"/>
        </w:rPr>
        <w:t>渗滤水</w:t>
      </w:r>
      <w:r>
        <w:t>在临时</w:t>
      </w:r>
      <w:r>
        <w:rPr>
          <w:rFonts w:hint="eastAsia"/>
        </w:rPr>
        <w:t>生产</w:t>
      </w:r>
      <w:r>
        <w:t>内经自然沉淀后进入余水沉淀池进行环保混凝沉淀处理，</w:t>
      </w:r>
      <w:r>
        <w:rPr>
          <w:rFonts w:hint="eastAsia"/>
        </w:rPr>
        <w:t>达到《污水综合排放标准》（</w:t>
      </w:r>
      <w:r>
        <w:rPr>
          <w:rFonts w:hint="eastAsia"/>
        </w:rPr>
        <w:t>GB8978-1996</w:t>
      </w:r>
      <w:r>
        <w:rPr>
          <w:rFonts w:hint="eastAsia"/>
        </w:rPr>
        <w:t>）一级标准，由牡丹江龙江环保水务有限公司定期拉运处理</w:t>
      </w:r>
      <w:r>
        <w:t>。</w:t>
      </w:r>
    </w:p>
    <w:p w14:paraId="5A592CEB" w14:textId="77777777" w:rsidR="009D12AF" w:rsidRDefault="00000000">
      <w:pPr>
        <w:pStyle w:val="4"/>
        <w:ind w:firstLineChars="0" w:firstLine="0"/>
        <w:rPr>
          <w:rFonts w:asciiTheme="majorEastAsia" w:eastAsiaTheme="majorEastAsia" w:hAnsiTheme="majorEastAsia" w:cstheme="majorEastAsia" w:hint="eastAsia"/>
        </w:rPr>
      </w:pPr>
      <w:r>
        <w:rPr>
          <w:rFonts w:hint="eastAsia"/>
        </w:rPr>
        <w:t>6.1.8.6</w:t>
      </w:r>
      <w:r>
        <w:rPr>
          <w:rFonts w:asciiTheme="majorEastAsia" w:eastAsiaTheme="majorEastAsia" w:hAnsiTheme="majorEastAsia" w:cstheme="majorEastAsia" w:hint="eastAsia"/>
        </w:rPr>
        <w:t>减少人为活动所造成的影响</w:t>
      </w:r>
    </w:p>
    <w:p w14:paraId="2A1D12D5" w14:textId="77777777" w:rsidR="009D12AF" w:rsidRDefault="00000000">
      <w:pPr>
        <w:ind w:firstLine="480"/>
      </w:pPr>
      <w:r>
        <w:t>本工程施工期长、范围大，施工人员多。因此，施工时首先对施工人员进行环保意识的教育，提高环保意识和法律法规知识。杜绝由于人为活动所造成的环境破坏。如私捕乱捞、电鱼、毒鱼、垂钓等事件发生。</w:t>
      </w:r>
    </w:p>
    <w:p w14:paraId="38683897" w14:textId="77777777" w:rsidR="009D12AF" w:rsidRDefault="00000000">
      <w:pPr>
        <w:pStyle w:val="4"/>
        <w:ind w:firstLineChars="0" w:firstLine="0"/>
      </w:pPr>
      <w:r>
        <w:rPr>
          <w:rFonts w:hint="eastAsia"/>
        </w:rPr>
        <w:t>6.1.8.7</w:t>
      </w:r>
      <w:r>
        <w:rPr>
          <w:rFonts w:asciiTheme="majorEastAsia" w:eastAsiaTheme="majorEastAsia" w:hAnsiTheme="majorEastAsia" w:cstheme="majorEastAsia" w:hint="eastAsia"/>
        </w:rPr>
        <w:t>加强管理建立禁入区</w:t>
      </w:r>
    </w:p>
    <w:p w14:paraId="114FD013" w14:textId="77777777" w:rsidR="009D12AF" w:rsidRDefault="00000000">
      <w:pPr>
        <w:ind w:firstLine="480"/>
      </w:pPr>
      <w:r>
        <w:t>在做好施工期间环境保护的基础上，在施工期间，严格渔政管理，防止非管理人员进入</w:t>
      </w:r>
      <w:r>
        <w:rPr>
          <w:rFonts w:hint="eastAsia"/>
        </w:rPr>
        <w:t>饮用水</w:t>
      </w:r>
      <w:r>
        <w:t>水源地保护区，干扰鱼类正常的活动。因此，应建立禁入区，杜绝私捕乱捞现象发生，为鱼类创造一个相对安静、良好的生存环境，发挥水域的生态功能。</w:t>
      </w:r>
    </w:p>
    <w:p w14:paraId="3DEE2CDD" w14:textId="77777777" w:rsidR="009D12AF" w:rsidRDefault="00000000">
      <w:pPr>
        <w:pStyle w:val="2"/>
      </w:pPr>
      <w:bookmarkStart w:id="410" w:name="_Toc20906"/>
      <w:r>
        <w:rPr>
          <w:rFonts w:hint="eastAsia"/>
        </w:rPr>
        <w:lastRenderedPageBreak/>
        <w:t>6</w:t>
      </w:r>
      <w:r>
        <w:t>.2</w:t>
      </w:r>
      <w:r>
        <w:rPr>
          <w:rFonts w:hint="eastAsia"/>
        </w:rPr>
        <w:t>运行期</w:t>
      </w:r>
      <w:r>
        <w:t>环境保护措施及其可行性论证</w:t>
      </w:r>
      <w:bookmarkEnd w:id="410"/>
    </w:p>
    <w:p w14:paraId="753BEA75" w14:textId="77777777" w:rsidR="009D12AF" w:rsidRDefault="00000000">
      <w:pPr>
        <w:pStyle w:val="3"/>
      </w:pPr>
      <w:bookmarkStart w:id="411" w:name="_Toc24273"/>
      <w:bookmarkStart w:id="412" w:name="_Toc7395"/>
      <w:bookmarkStart w:id="413" w:name="_Toc20529"/>
      <w:bookmarkStart w:id="414" w:name="_Toc14932"/>
      <w:r>
        <w:rPr>
          <w:rFonts w:hint="eastAsia"/>
        </w:rPr>
        <w:t>6</w:t>
      </w:r>
      <w:r>
        <w:t>.2.1</w:t>
      </w:r>
      <w:bookmarkEnd w:id="411"/>
      <w:bookmarkEnd w:id="412"/>
      <w:bookmarkEnd w:id="413"/>
      <w:r>
        <w:rPr>
          <w:rFonts w:hint="eastAsia"/>
        </w:rPr>
        <w:t>植物保护措施</w:t>
      </w:r>
      <w:bookmarkEnd w:id="414"/>
    </w:p>
    <w:p w14:paraId="169E71FC" w14:textId="77777777" w:rsidR="009D12AF" w:rsidRDefault="00000000">
      <w:pPr>
        <w:ind w:firstLine="480"/>
        <w:rPr>
          <w:kern w:val="0"/>
          <w:lang w:bidi="ar"/>
        </w:rPr>
      </w:pPr>
      <w:r>
        <w:rPr>
          <w:kern w:val="0"/>
          <w:lang w:bidi="ar"/>
        </w:rPr>
        <w:t>工程完工后尽快对</w:t>
      </w:r>
      <w:r>
        <w:rPr>
          <w:rFonts w:hint="eastAsia"/>
          <w:kern w:val="0"/>
          <w:lang w:bidi="ar"/>
        </w:rPr>
        <w:t>水库</w:t>
      </w:r>
      <w:r>
        <w:rPr>
          <w:kern w:val="0"/>
          <w:lang w:bidi="ar"/>
        </w:rPr>
        <w:t>两侧进行合理科学的绿化，及时进行水土流失防治。本项目水土流失防治为清淤工程区、</w:t>
      </w:r>
      <w:r>
        <w:rPr>
          <w:rFonts w:hint="eastAsia"/>
          <w:kern w:val="0"/>
          <w:lang w:bidi="ar"/>
        </w:rPr>
        <w:t>临时生产</w:t>
      </w:r>
      <w:r>
        <w:rPr>
          <w:kern w:val="0"/>
          <w:lang w:bidi="ar"/>
        </w:rPr>
        <w:t>区水土流失防治分区。施工结束后对其进行撒播种草。</w:t>
      </w:r>
    </w:p>
    <w:p w14:paraId="57877E2D" w14:textId="77777777" w:rsidR="009D12AF" w:rsidRDefault="00000000">
      <w:pPr>
        <w:pStyle w:val="3"/>
      </w:pPr>
      <w:bookmarkStart w:id="415" w:name="_Toc20723"/>
      <w:r>
        <w:rPr>
          <w:rFonts w:hint="eastAsia"/>
        </w:rPr>
        <w:t>6.2.2</w:t>
      </w:r>
      <w:r>
        <w:rPr>
          <w:rFonts w:hint="eastAsia"/>
        </w:rPr>
        <w:t>动物保护措施</w:t>
      </w:r>
      <w:bookmarkEnd w:id="415"/>
    </w:p>
    <w:p w14:paraId="040075F1" w14:textId="77777777" w:rsidR="009D12AF" w:rsidRDefault="00000000">
      <w:pPr>
        <w:ind w:firstLine="480"/>
        <w:rPr>
          <w:kern w:val="0"/>
        </w:rPr>
      </w:pPr>
      <w:r>
        <w:rPr>
          <w:kern w:val="0"/>
        </w:rPr>
        <w:t>（</w:t>
      </w:r>
      <w:r>
        <w:rPr>
          <w:kern w:val="0"/>
        </w:rPr>
        <w:t>1</w:t>
      </w:r>
      <w:r>
        <w:rPr>
          <w:kern w:val="0"/>
        </w:rPr>
        <w:t>）加强工程建设环境保护监督管理、统筹安排，设立环境保护监督机构和环保专职人员，加强对施工人员的环保教育，严禁施工人员盗猎野生动物，对违法行为进行依法处置。</w:t>
      </w:r>
    </w:p>
    <w:p w14:paraId="20B9601E" w14:textId="77777777" w:rsidR="009D12AF" w:rsidRDefault="00000000">
      <w:pPr>
        <w:ind w:firstLine="480"/>
        <w:rPr>
          <w:kern w:val="0"/>
        </w:rPr>
      </w:pPr>
      <w:r>
        <w:rPr>
          <w:kern w:val="0"/>
        </w:rPr>
        <w:t>（</w:t>
      </w:r>
      <w:r>
        <w:rPr>
          <w:kern w:val="0"/>
        </w:rPr>
        <w:t>2</w:t>
      </w:r>
      <w:r>
        <w:rPr>
          <w:kern w:val="0"/>
        </w:rPr>
        <w:t>）野生鸟类和兽类大多是早晨、黄昏或夜间外出觅食，正午是鸟类休息时间。为了减少工程施工噪声对野生动物的惊扰，应做好施工方式和时间的计划，并力求避免在晨昏和正午进行大型机械施工产生的噪声影响等。</w:t>
      </w:r>
    </w:p>
    <w:p w14:paraId="02A90FE8" w14:textId="77777777" w:rsidR="009D12AF" w:rsidRDefault="00000000">
      <w:pPr>
        <w:ind w:firstLine="480"/>
        <w:rPr>
          <w:kern w:val="0"/>
        </w:rPr>
      </w:pPr>
      <w:r>
        <w:rPr>
          <w:kern w:val="0"/>
        </w:rPr>
        <w:t>（</w:t>
      </w:r>
      <w:r>
        <w:rPr>
          <w:kern w:val="0"/>
        </w:rPr>
        <w:t>3</w:t>
      </w:r>
      <w:r>
        <w:rPr>
          <w:kern w:val="0"/>
        </w:rPr>
        <w:t>）提高施工人员的保护意识，使其必须遵守《中华人民共和国野生动物保护法》，严禁在施工区及其周围捕猎野生动物。</w:t>
      </w:r>
    </w:p>
    <w:p w14:paraId="2AD3E2D1" w14:textId="77777777" w:rsidR="009D12AF" w:rsidRDefault="00000000">
      <w:pPr>
        <w:pStyle w:val="2"/>
      </w:pPr>
      <w:bookmarkStart w:id="416" w:name="_Toc18931"/>
      <w:r>
        <w:rPr>
          <w:rFonts w:hint="eastAsia"/>
        </w:rPr>
        <w:t>6.3</w:t>
      </w:r>
      <w:r>
        <w:rPr>
          <w:rFonts w:hint="eastAsia"/>
        </w:rPr>
        <w:t>环保投资</w:t>
      </w:r>
      <w:bookmarkEnd w:id="416"/>
    </w:p>
    <w:p w14:paraId="1DB133DD" w14:textId="77777777" w:rsidR="009D12AF" w:rsidRDefault="00000000">
      <w:pPr>
        <w:ind w:firstLine="480"/>
      </w:pPr>
      <w:r>
        <w:t>本工程环境保护项目，依据现行价格标准，确定本工程环境保护投资费用，项目环保投资估算费用见表</w:t>
      </w:r>
      <w:r>
        <w:t>6</w:t>
      </w:r>
      <w:r>
        <w:rPr>
          <w:rFonts w:hint="eastAsia"/>
        </w:rPr>
        <w:t>.</w:t>
      </w:r>
      <w:r>
        <w:t>3-1</w:t>
      </w:r>
      <w:r>
        <w:t>。</w:t>
      </w:r>
    </w:p>
    <w:p w14:paraId="321F57CA" w14:textId="77777777" w:rsidR="009D12AF" w:rsidRDefault="00000000">
      <w:pPr>
        <w:spacing w:line="240" w:lineRule="auto"/>
        <w:ind w:firstLineChars="0" w:firstLine="0"/>
        <w:jc w:val="center"/>
        <w:rPr>
          <w:b/>
        </w:rPr>
      </w:pPr>
      <w:r>
        <w:rPr>
          <w:b/>
        </w:rPr>
        <w:t>表</w:t>
      </w:r>
      <w:r>
        <w:rPr>
          <w:b/>
        </w:rPr>
        <w:t>6</w:t>
      </w:r>
      <w:r>
        <w:rPr>
          <w:rFonts w:hint="eastAsia"/>
          <w:b/>
        </w:rPr>
        <w:t>.</w:t>
      </w:r>
      <w:r>
        <w:rPr>
          <w:b/>
        </w:rPr>
        <w:t xml:space="preserve">3-1  </w:t>
      </w:r>
      <w:r>
        <w:rPr>
          <w:b/>
        </w:rPr>
        <w:t>环保投资估算一览表</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89"/>
        <w:gridCol w:w="1580"/>
        <w:gridCol w:w="4960"/>
        <w:gridCol w:w="977"/>
      </w:tblGrid>
      <w:tr w:rsidR="009D12AF" w14:paraId="14574B1A" w14:textId="77777777">
        <w:trPr>
          <w:trHeight w:val="397"/>
          <w:jc w:val="center"/>
        </w:trPr>
        <w:tc>
          <w:tcPr>
            <w:tcW w:w="1426" w:type="pct"/>
            <w:gridSpan w:val="2"/>
            <w:vAlign w:val="center"/>
          </w:tcPr>
          <w:p w14:paraId="7777A431" w14:textId="77777777" w:rsidR="009D12AF" w:rsidRDefault="00000000">
            <w:pPr>
              <w:pStyle w:val="af2"/>
              <w:spacing w:line="300" w:lineRule="exact"/>
              <w:ind w:firstLineChars="0" w:firstLine="0"/>
              <w:rPr>
                <w:rFonts w:hint="eastAsia"/>
                <w:sz w:val="21"/>
              </w:rPr>
            </w:pPr>
            <w:r>
              <w:rPr>
                <w:sz w:val="21"/>
              </w:rPr>
              <w:t>污染源</w:t>
            </w:r>
          </w:p>
        </w:tc>
        <w:tc>
          <w:tcPr>
            <w:tcW w:w="2985" w:type="pct"/>
            <w:vAlign w:val="center"/>
          </w:tcPr>
          <w:p w14:paraId="43E2D467" w14:textId="77777777" w:rsidR="009D12AF" w:rsidRDefault="00000000">
            <w:pPr>
              <w:pStyle w:val="af2"/>
              <w:spacing w:line="300" w:lineRule="exact"/>
              <w:ind w:firstLineChars="0" w:firstLine="0"/>
              <w:rPr>
                <w:rFonts w:hint="eastAsia"/>
                <w:sz w:val="21"/>
              </w:rPr>
            </w:pPr>
            <w:r>
              <w:rPr>
                <w:sz w:val="21"/>
              </w:rPr>
              <w:t>采取的环保措施</w:t>
            </w:r>
          </w:p>
        </w:tc>
        <w:tc>
          <w:tcPr>
            <w:tcW w:w="588" w:type="pct"/>
            <w:vAlign w:val="center"/>
          </w:tcPr>
          <w:p w14:paraId="6FFB3CC5" w14:textId="77777777" w:rsidR="009D12AF" w:rsidRDefault="00000000">
            <w:pPr>
              <w:pStyle w:val="af2"/>
              <w:spacing w:line="300" w:lineRule="exact"/>
              <w:ind w:firstLineChars="0" w:firstLine="0"/>
              <w:rPr>
                <w:rFonts w:hint="eastAsia"/>
                <w:sz w:val="21"/>
              </w:rPr>
            </w:pPr>
            <w:r>
              <w:rPr>
                <w:sz w:val="21"/>
              </w:rPr>
              <w:t>环保投资</w:t>
            </w:r>
          </w:p>
        </w:tc>
      </w:tr>
      <w:tr w:rsidR="009D12AF" w14:paraId="2966943B" w14:textId="77777777">
        <w:trPr>
          <w:trHeight w:val="397"/>
          <w:jc w:val="center"/>
        </w:trPr>
        <w:tc>
          <w:tcPr>
            <w:tcW w:w="475" w:type="pct"/>
            <w:vAlign w:val="center"/>
          </w:tcPr>
          <w:p w14:paraId="73E8EFE5" w14:textId="77777777" w:rsidR="009D12AF" w:rsidRDefault="00000000">
            <w:pPr>
              <w:pStyle w:val="af2"/>
              <w:spacing w:line="300" w:lineRule="exact"/>
              <w:ind w:firstLineChars="0" w:firstLine="0"/>
              <w:rPr>
                <w:rFonts w:hint="eastAsia"/>
                <w:sz w:val="21"/>
              </w:rPr>
            </w:pPr>
            <w:r>
              <w:rPr>
                <w:rFonts w:hint="eastAsia"/>
                <w:sz w:val="21"/>
              </w:rPr>
              <w:t>生态</w:t>
            </w:r>
          </w:p>
        </w:tc>
        <w:tc>
          <w:tcPr>
            <w:tcW w:w="950" w:type="pct"/>
            <w:vAlign w:val="center"/>
          </w:tcPr>
          <w:p w14:paraId="4A482106" w14:textId="77777777" w:rsidR="009D12AF" w:rsidRDefault="00000000">
            <w:pPr>
              <w:pStyle w:val="af2"/>
              <w:spacing w:line="300" w:lineRule="exact"/>
              <w:ind w:firstLineChars="0" w:firstLine="0"/>
              <w:rPr>
                <w:rFonts w:hint="eastAsia"/>
                <w:sz w:val="21"/>
              </w:rPr>
            </w:pPr>
            <w:r>
              <w:rPr>
                <w:rFonts w:hint="eastAsia"/>
                <w:sz w:val="21"/>
              </w:rPr>
              <w:t>临时占地</w:t>
            </w:r>
          </w:p>
        </w:tc>
        <w:tc>
          <w:tcPr>
            <w:tcW w:w="2985" w:type="pct"/>
            <w:vAlign w:val="center"/>
          </w:tcPr>
          <w:p w14:paraId="4C27AE55" w14:textId="77777777" w:rsidR="009D12AF" w:rsidRDefault="00000000">
            <w:pPr>
              <w:pStyle w:val="af2"/>
              <w:spacing w:line="300" w:lineRule="exact"/>
              <w:ind w:firstLineChars="0" w:firstLine="0"/>
              <w:rPr>
                <w:rFonts w:hint="eastAsia"/>
                <w:sz w:val="21"/>
              </w:rPr>
            </w:pPr>
            <w:r>
              <w:rPr>
                <w:rFonts w:hint="eastAsia"/>
                <w:sz w:val="21"/>
              </w:rPr>
              <w:t>设置临时围挡设施、植被恢复</w:t>
            </w:r>
          </w:p>
        </w:tc>
        <w:tc>
          <w:tcPr>
            <w:tcW w:w="588" w:type="pct"/>
            <w:vAlign w:val="center"/>
          </w:tcPr>
          <w:p w14:paraId="2957D3D6" w14:textId="77777777" w:rsidR="009D12AF" w:rsidRDefault="00000000">
            <w:pPr>
              <w:pStyle w:val="af2"/>
              <w:spacing w:line="300" w:lineRule="exact"/>
              <w:ind w:firstLineChars="0" w:firstLine="0"/>
              <w:rPr>
                <w:rFonts w:hint="eastAsia"/>
                <w:sz w:val="21"/>
              </w:rPr>
            </w:pPr>
            <w:r>
              <w:rPr>
                <w:rFonts w:hint="eastAsia"/>
                <w:sz w:val="21"/>
              </w:rPr>
              <w:t>300</w:t>
            </w:r>
          </w:p>
        </w:tc>
      </w:tr>
      <w:tr w:rsidR="009D12AF" w14:paraId="3406D4E4" w14:textId="77777777">
        <w:trPr>
          <w:trHeight w:val="397"/>
          <w:jc w:val="center"/>
        </w:trPr>
        <w:tc>
          <w:tcPr>
            <w:tcW w:w="475" w:type="pct"/>
            <w:vMerge w:val="restart"/>
            <w:vAlign w:val="center"/>
          </w:tcPr>
          <w:p w14:paraId="5F516CF4" w14:textId="77777777" w:rsidR="009D12AF" w:rsidRDefault="00000000">
            <w:pPr>
              <w:pStyle w:val="af2"/>
              <w:spacing w:line="300" w:lineRule="exact"/>
              <w:ind w:firstLineChars="0" w:firstLine="0"/>
              <w:rPr>
                <w:rFonts w:hint="eastAsia"/>
                <w:sz w:val="21"/>
              </w:rPr>
            </w:pPr>
            <w:r>
              <w:rPr>
                <w:rFonts w:hint="eastAsia"/>
                <w:sz w:val="21"/>
              </w:rPr>
              <w:t>废气</w:t>
            </w:r>
          </w:p>
        </w:tc>
        <w:tc>
          <w:tcPr>
            <w:tcW w:w="950" w:type="pct"/>
            <w:vMerge w:val="restart"/>
            <w:vAlign w:val="center"/>
          </w:tcPr>
          <w:p w14:paraId="51CDBE75" w14:textId="77777777" w:rsidR="009D12AF" w:rsidRDefault="00000000">
            <w:pPr>
              <w:pStyle w:val="af2"/>
              <w:spacing w:line="300" w:lineRule="exact"/>
              <w:ind w:firstLineChars="0" w:firstLine="0"/>
              <w:rPr>
                <w:rFonts w:hint="eastAsia"/>
                <w:sz w:val="21"/>
              </w:rPr>
            </w:pPr>
            <w:r>
              <w:rPr>
                <w:rFonts w:hint="eastAsia"/>
                <w:sz w:val="21"/>
              </w:rPr>
              <w:t>施工场地</w:t>
            </w:r>
          </w:p>
        </w:tc>
        <w:tc>
          <w:tcPr>
            <w:tcW w:w="2985" w:type="pct"/>
            <w:vAlign w:val="center"/>
          </w:tcPr>
          <w:p w14:paraId="5D1064F8" w14:textId="77777777" w:rsidR="009D12AF" w:rsidRDefault="00000000">
            <w:pPr>
              <w:pStyle w:val="af2"/>
              <w:spacing w:line="300" w:lineRule="exact"/>
              <w:ind w:firstLineChars="0" w:firstLine="0"/>
              <w:rPr>
                <w:rFonts w:hint="eastAsia"/>
                <w:sz w:val="21"/>
              </w:rPr>
            </w:pPr>
            <w:r>
              <w:rPr>
                <w:rFonts w:hint="eastAsia"/>
                <w:sz w:val="21"/>
              </w:rPr>
              <w:t>洒水降尘</w:t>
            </w:r>
          </w:p>
        </w:tc>
        <w:tc>
          <w:tcPr>
            <w:tcW w:w="588" w:type="pct"/>
            <w:vAlign w:val="center"/>
          </w:tcPr>
          <w:p w14:paraId="58FE6F76" w14:textId="77777777" w:rsidR="009D12AF" w:rsidRDefault="00000000">
            <w:pPr>
              <w:pStyle w:val="af2"/>
              <w:spacing w:line="300" w:lineRule="exact"/>
              <w:ind w:firstLineChars="0" w:firstLine="0"/>
              <w:rPr>
                <w:rFonts w:hint="eastAsia"/>
                <w:sz w:val="21"/>
              </w:rPr>
            </w:pPr>
            <w:r>
              <w:rPr>
                <w:rFonts w:hint="eastAsia"/>
                <w:sz w:val="21"/>
              </w:rPr>
              <w:t>2.5</w:t>
            </w:r>
          </w:p>
        </w:tc>
      </w:tr>
      <w:tr w:rsidR="009D12AF" w14:paraId="1EBA8A97" w14:textId="77777777">
        <w:trPr>
          <w:trHeight w:val="397"/>
          <w:jc w:val="center"/>
        </w:trPr>
        <w:tc>
          <w:tcPr>
            <w:tcW w:w="475" w:type="pct"/>
            <w:vMerge/>
            <w:vAlign w:val="center"/>
          </w:tcPr>
          <w:p w14:paraId="0521EC33" w14:textId="77777777" w:rsidR="009D12AF" w:rsidRDefault="009D12AF">
            <w:pPr>
              <w:pStyle w:val="af2"/>
              <w:spacing w:line="300" w:lineRule="exact"/>
              <w:ind w:firstLineChars="0" w:firstLine="0"/>
              <w:rPr>
                <w:rFonts w:hint="eastAsia"/>
                <w:sz w:val="21"/>
              </w:rPr>
            </w:pPr>
          </w:p>
        </w:tc>
        <w:tc>
          <w:tcPr>
            <w:tcW w:w="950" w:type="pct"/>
            <w:vMerge/>
            <w:vAlign w:val="center"/>
          </w:tcPr>
          <w:p w14:paraId="016F0AF1" w14:textId="77777777" w:rsidR="009D12AF" w:rsidRDefault="009D12AF">
            <w:pPr>
              <w:pStyle w:val="af2"/>
              <w:spacing w:line="300" w:lineRule="exact"/>
              <w:ind w:firstLineChars="0" w:firstLine="0"/>
              <w:rPr>
                <w:rFonts w:hint="eastAsia"/>
                <w:sz w:val="21"/>
              </w:rPr>
            </w:pPr>
          </w:p>
        </w:tc>
        <w:tc>
          <w:tcPr>
            <w:tcW w:w="2985" w:type="pct"/>
            <w:vAlign w:val="center"/>
          </w:tcPr>
          <w:p w14:paraId="1C036BB0" w14:textId="77777777" w:rsidR="009D12AF" w:rsidRDefault="00000000">
            <w:pPr>
              <w:pStyle w:val="af2"/>
              <w:spacing w:line="300" w:lineRule="exact"/>
              <w:ind w:firstLineChars="0" w:firstLine="0"/>
              <w:rPr>
                <w:rFonts w:hint="eastAsia"/>
                <w:sz w:val="21"/>
              </w:rPr>
            </w:pPr>
            <w:r>
              <w:rPr>
                <w:rFonts w:hint="eastAsia"/>
                <w:sz w:val="21"/>
              </w:rPr>
              <w:t>施工场地围挡</w:t>
            </w:r>
          </w:p>
        </w:tc>
        <w:tc>
          <w:tcPr>
            <w:tcW w:w="588" w:type="pct"/>
            <w:vAlign w:val="center"/>
          </w:tcPr>
          <w:p w14:paraId="4A46F1E4" w14:textId="77777777" w:rsidR="009D12AF" w:rsidRDefault="00000000">
            <w:pPr>
              <w:pStyle w:val="af2"/>
              <w:spacing w:line="300" w:lineRule="exact"/>
              <w:ind w:firstLineChars="0" w:firstLine="0"/>
              <w:rPr>
                <w:rFonts w:hint="eastAsia"/>
                <w:sz w:val="21"/>
              </w:rPr>
            </w:pPr>
            <w:r>
              <w:rPr>
                <w:rFonts w:hint="eastAsia"/>
                <w:sz w:val="21"/>
              </w:rPr>
              <w:t>10</w:t>
            </w:r>
          </w:p>
        </w:tc>
      </w:tr>
      <w:tr w:rsidR="009D12AF" w14:paraId="781F873A" w14:textId="77777777">
        <w:trPr>
          <w:trHeight w:val="397"/>
          <w:jc w:val="center"/>
        </w:trPr>
        <w:tc>
          <w:tcPr>
            <w:tcW w:w="475" w:type="pct"/>
            <w:vMerge/>
            <w:vAlign w:val="center"/>
          </w:tcPr>
          <w:p w14:paraId="75637B0C" w14:textId="77777777" w:rsidR="009D12AF" w:rsidRDefault="009D12AF">
            <w:pPr>
              <w:pStyle w:val="af2"/>
              <w:spacing w:line="300" w:lineRule="exact"/>
              <w:ind w:firstLineChars="0" w:firstLine="0"/>
              <w:rPr>
                <w:rFonts w:hint="eastAsia"/>
                <w:sz w:val="21"/>
              </w:rPr>
            </w:pPr>
          </w:p>
        </w:tc>
        <w:tc>
          <w:tcPr>
            <w:tcW w:w="950" w:type="pct"/>
            <w:vAlign w:val="center"/>
          </w:tcPr>
          <w:p w14:paraId="04748468" w14:textId="77777777" w:rsidR="009D12AF" w:rsidRDefault="00000000">
            <w:pPr>
              <w:pStyle w:val="af2"/>
              <w:spacing w:line="300" w:lineRule="exact"/>
              <w:ind w:firstLineChars="0" w:firstLine="0"/>
              <w:rPr>
                <w:rFonts w:hint="eastAsia"/>
                <w:sz w:val="21"/>
              </w:rPr>
            </w:pPr>
            <w:r>
              <w:rPr>
                <w:rFonts w:hint="eastAsia"/>
                <w:sz w:val="21"/>
              </w:rPr>
              <w:t>临时生产区</w:t>
            </w:r>
          </w:p>
        </w:tc>
        <w:tc>
          <w:tcPr>
            <w:tcW w:w="2985" w:type="pct"/>
            <w:vAlign w:val="center"/>
          </w:tcPr>
          <w:p w14:paraId="050845CE" w14:textId="77777777" w:rsidR="009D12AF" w:rsidRDefault="00000000">
            <w:pPr>
              <w:pStyle w:val="af2"/>
              <w:spacing w:line="300" w:lineRule="exact"/>
              <w:ind w:firstLineChars="0" w:firstLine="0"/>
              <w:rPr>
                <w:rFonts w:hint="eastAsia"/>
                <w:sz w:val="21"/>
              </w:rPr>
            </w:pPr>
            <w:r>
              <w:rPr>
                <w:rFonts w:hint="eastAsia"/>
                <w:sz w:val="21"/>
              </w:rPr>
              <w:t>除臭剂</w:t>
            </w:r>
          </w:p>
        </w:tc>
        <w:tc>
          <w:tcPr>
            <w:tcW w:w="588" w:type="pct"/>
            <w:vAlign w:val="center"/>
          </w:tcPr>
          <w:p w14:paraId="296A8FE8" w14:textId="77777777" w:rsidR="009D12AF" w:rsidRDefault="00000000">
            <w:pPr>
              <w:pStyle w:val="af2"/>
              <w:spacing w:line="300" w:lineRule="exact"/>
              <w:ind w:firstLineChars="0" w:firstLine="0"/>
              <w:rPr>
                <w:rFonts w:hint="eastAsia"/>
                <w:sz w:val="21"/>
              </w:rPr>
            </w:pPr>
            <w:r>
              <w:rPr>
                <w:rFonts w:hint="eastAsia"/>
                <w:sz w:val="21"/>
              </w:rPr>
              <w:t>10</w:t>
            </w:r>
          </w:p>
        </w:tc>
      </w:tr>
      <w:tr w:rsidR="009D12AF" w14:paraId="63617D38" w14:textId="77777777">
        <w:trPr>
          <w:trHeight w:val="397"/>
          <w:jc w:val="center"/>
        </w:trPr>
        <w:tc>
          <w:tcPr>
            <w:tcW w:w="475" w:type="pct"/>
            <w:vMerge w:val="restart"/>
            <w:vAlign w:val="center"/>
          </w:tcPr>
          <w:p w14:paraId="6C93B501" w14:textId="77777777" w:rsidR="009D12AF" w:rsidRDefault="00000000">
            <w:pPr>
              <w:pStyle w:val="af2"/>
              <w:spacing w:line="300" w:lineRule="exact"/>
              <w:ind w:firstLineChars="0" w:firstLine="0"/>
              <w:rPr>
                <w:rFonts w:hint="eastAsia"/>
                <w:sz w:val="21"/>
              </w:rPr>
            </w:pPr>
            <w:r>
              <w:rPr>
                <w:rFonts w:hint="eastAsia"/>
                <w:sz w:val="21"/>
              </w:rPr>
              <w:t>废水</w:t>
            </w:r>
          </w:p>
        </w:tc>
        <w:tc>
          <w:tcPr>
            <w:tcW w:w="950" w:type="pct"/>
            <w:vAlign w:val="center"/>
          </w:tcPr>
          <w:p w14:paraId="7993C7CB" w14:textId="77777777" w:rsidR="009D12AF" w:rsidRDefault="00000000">
            <w:pPr>
              <w:pStyle w:val="af2"/>
              <w:spacing w:line="300" w:lineRule="exact"/>
              <w:ind w:firstLineChars="0" w:firstLine="0"/>
              <w:rPr>
                <w:rFonts w:hint="eastAsia"/>
                <w:sz w:val="21"/>
              </w:rPr>
            </w:pPr>
            <w:r>
              <w:rPr>
                <w:sz w:val="21"/>
              </w:rPr>
              <w:t>施工场地</w:t>
            </w:r>
          </w:p>
        </w:tc>
        <w:tc>
          <w:tcPr>
            <w:tcW w:w="2985" w:type="pct"/>
            <w:vAlign w:val="center"/>
          </w:tcPr>
          <w:p w14:paraId="3564AE42" w14:textId="77777777" w:rsidR="009D12AF" w:rsidRDefault="00000000">
            <w:pPr>
              <w:pStyle w:val="af2"/>
              <w:spacing w:line="300" w:lineRule="exact"/>
              <w:ind w:firstLineChars="0" w:firstLine="0"/>
              <w:rPr>
                <w:rFonts w:hint="eastAsia"/>
                <w:sz w:val="21"/>
              </w:rPr>
            </w:pPr>
            <w:r>
              <w:rPr>
                <w:sz w:val="21"/>
              </w:rPr>
              <w:t>移动式环保厕所</w:t>
            </w:r>
            <w:r>
              <w:rPr>
                <w:rFonts w:hint="eastAsia"/>
                <w:sz w:val="21"/>
              </w:rPr>
              <w:t>5</w:t>
            </w:r>
            <w:r>
              <w:rPr>
                <w:sz w:val="21"/>
              </w:rPr>
              <w:t>个</w:t>
            </w:r>
          </w:p>
        </w:tc>
        <w:tc>
          <w:tcPr>
            <w:tcW w:w="588" w:type="pct"/>
            <w:vAlign w:val="center"/>
          </w:tcPr>
          <w:p w14:paraId="727DE906" w14:textId="77777777" w:rsidR="009D12AF" w:rsidRDefault="00000000">
            <w:pPr>
              <w:pStyle w:val="af2"/>
              <w:spacing w:line="300" w:lineRule="exact"/>
              <w:ind w:firstLineChars="0" w:firstLine="0"/>
              <w:rPr>
                <w:rFonts w:hint="eastAsia"/>
                <w:sz w:val="21"/>
              </w:rPr>
            </w:pPr>
            <w:r>
              <w:rPr>
                <w:rFonts w:hint="eastAsia"/>
                <w:sz w:val="21"/>
              </w:rPr>
              <w:t>5</w:t>
            </w:r>
          </w:p>
        </w:tc>
      </w:tr>
      <w:tr w:rsidR="009D12AF" w14:paraId="39644027" w14:textId="77777777">
        <w:trPr>
          <w:trHeight w:val="397"/>
          <w:jc w:val="center"/>
        </w:trPr>
        <w:tc>
          <w:tcPr>
            <w:tcW w:w="475" w:type="pct"/>
            <w:vMerge/>
            <w:vAlign w:val="center"/>
          </w:tcPr>
          <w:p w14:paraId="2E0DB8DE" w14:textId="77777777" w:rsidR="009D12AF" w:rsidRDefault="009D12AF">
            <w:pPr>
              <w:pStyle w:val="af2"/>
              <w:spacing w:line="300" w:lineRule="exact"/>
              <w:ind w:firstLineChars="0" w:firstLine="0"/>
              <w:rPr>
                <w:rFonts w:hint="eastAsia"/>
                <w:sz w:val="21"/>
              </w:rPr>
            </w:pPr>
          </w:p>
        </w:tc>
        <w:tc>
          <w:tcPr>
            <w:tcW w:w="950" w:type="pct"/>
            <w:vAlign w:val="center"/>
          </w:tcPr>
          <w:p w14:paraId="5F79E939" w14:textId="77777777" w:rsidR="009D12AF" w:rsidRDefault="00000000">
            <w:pPr>
              <w:adjustRightInd w:val="0"/>
              <w:snapToGrid w:val="0"/>
              <w:spacing w:line="240" w:lineRule="auto"/>
              <w:ind w:firstLineChars="0" w:firstLine="0"/>
              <w:jc w:val="center"/>
              <w:rPr>
                <w:sz w:val="21"/>
                <w:szCs w:val="21"/>
              </w:rPr>
            </w:pPr>
            <w:r>
              <w:rPr>
                <w:rFonts w:ascii="Times New Roman" w:eastAsia="宋体" w:hAnsi="Times New Roman" w:cs="Times New Roman" w:hint="eastAsia"/>
                <w:sz w:val="21"/>
                <w:szCs w:val="21"/>
              </w:rPr>
              <w:t>排泥管线</w:t>
            </w:r>
          </w:p>
        </w:tc>
        <w:tc>
          <w:tcPr>
            <w:tcW w:w="2985" w:type="pct"/>
            <w:vAlign w:val="center"/>
          </w:tcPr>
          <w:p w14:paraId="62F521F9" w14:textId="77777777" w:rsidR="009D12AF" w:rsidRDefault="00000000">
            <w:pPr>
              <w:adjustRightInd w:val="0"/>
              <w:snapToGrid w:val="0"/>
              <w:spacing w:line="240" w:lineRule="auto"/>
              <w:ind w:firstLineChars="0" w:firstLine="0"/>
              <w:rPr>
                <w:sz w:val="21"/>
                <w:szCs w:val="21"/>
              </w:rPr>
            </w:pPr>
            <w:r>
              <w:rPr>
                <w:rFonts w:ascii="Times New Roman" w:eastAsia="宋体" w:hAnsi="Times New Roman" w:cs="Times New Roman" w:hint="eastAsia"/>
                <w:sz w:val="21"/>
                <w:szCs w:val="21"/>
              </w:rPr>
              <w:t>群力水库排泥管线主管线长度为</w:t>
            </w:r>
            <w:r>
              <w:rPr>
                <w:rFonts w:ascii="Times New Roman" w:eastAsia="宋体" w:hAnsi="Times New Roman" w:cs="Times New Roman" w:hint="eastAsia"/>
                <w:sz w:val="21"/>
                <w:szCs w:val="21"/>
              </w:rPr>
              <w:t>2800m</w:t>
            </w:r>
            <w:r>
              <w:rPr>
                <w:rFonts w:ascii="Times New Roman" w:eastAsia="宋体" w:hAnsi="Times New Roman" w:cs="Times New Roman" w:hint="eastAsia"/>
                <w:sz w:val="21"/>
                <w:szCs w:val="21"/>
              </w:rPr>
              <w:t>，支管线长度为</w:t>
            </w:r>
            <w:r>
              <w:rPr>
                <w:rFonts w:ascii="Times New Roman" w:eastAsia="宋体" w:hAnsi="Times New Roman" w:cs="Times New Roman" w:hint="eastAsia"/>
                <w:sz w:val="21"/>
                <w:szCs w:val="21"/>
              </w:rPr>
              <w:t>4500m</w:t>
            </w:r>
            <w:r>
              <w:rPr>
                <w:rFonts w:ascii="Times New Roman" w:eastAsia="宋体" w:hAnsi="Times New Roman" w:cs="Times New Roman" w:hint="eastAsia"/>
                <w:sz w:val="21"/>
                <w:szCs w:val="21"/>
              </w:rPr>
              <w:t>；长石水库排泥管线主管线长度为</w:t>
            </w:r>
            <w:r>
              <w:rPr>
                <w:rFonts w:ascii="Times New Roman" w:eastAsia="宋体" w:hAnsi="Times New Roman" w:cs="Times New Roman" w:hint="eastAsia"/>
                <w:sz w:val="21"/>
                <w:szCs w:val="21"/>
              </w:rPr>
              <w:t>800m</w:t>
            </w:r>
            <w:r>
              <w:rPr>
                <w:rFonts w:ascii="Times New Roman" w:eastAsia="宋体" w:hAnsi="Times New Roman" w:cs="Times New Roman" w:hint="eastAsia"/>
                <w:sz w:val="21"/>
                <w:szCs w:val="21"/>
              </w:rPr>
              <w:t>，支管</w:t>
            </w:r>
            <w:r>
              <w:rPr>
                <w:rFonts w:ascii="Times New Roman" w:eastAsia="宋体" w:hAnsi="Times New Roman" w:cs="Times New Roman" w:hint="eastAsia"/>
                <w:sz w:val="21"/>
                <w:szCs w:val="21"/>
              </w:rPr>
              <w:lastRenderedPageBreak/>
              <w:t>线长度为</w:t>
            </w:r>
            <w:r>
              <w:rPr>
                <w:rFonts w:ascii="Times New Roman" w:eastAsia="宋体" w:hAnsi="Times New Roman" w:cs="Times New Roman" w:hint="eastAsia"/>
                <w:sz w:val="21"/>
                <w:szCs w:val="21"/>
              </w:rPr>
              <w:t>1200m</w:t>
            </w:r>
            <w:r>
              <w:rPr>
                <w:rFonts w:ascii="Times New Roman" w:eastAsia="宋体" w:hAnsi="Times New Roman" w:cs="Times New Roman" w:hint="eastAsia"/>
                <w:sz w:val="21"/>
                <w:szCs w:val="21"/>
              </w:rPr>
              <w:t>；向阳水电站前池排泥管线主管线长度为</w:t>
            </w:r>
            <w:r>
              <w:rPr>
                <w:rFonts w:ascii="Times New Roman" w:eastAsia="宋体" w:hAnsi="Times New Roman" w:cs="Times New Roman" w:hint="eastAsia"/>
                <w:sz w:val="21"/>
                <w:szCs w:val="21"/>
              </w:rPr>
              <w:t>600m</w:t>
            </w:r>
            <w:r>
              <w:rPr>
                <w:rFonts w:ascii="Times New Roman" w:eastAsia="宋体" w:hAnsi="Times New Roman" w:cs="Times New Roman" w:hint="eastAsia"/>
                <w:sz w:val="21"/>
                <w:szCs w:val="21"/>
              </w:rPr>
              <w:t>，支管线长度为</w:t>
            </w:r>
            <w:r>
              <w:rPr>
                <w:rFonts w:ascii="Times New Roman" w:eastAsia="宋体" w:hAnsi="Times New Roman" w:cs="Times New Roman" w:hint="eastAsia"/>
                <w:sz w:val="21"/>
                <w:szCs w:val="21"/>
              </w:rPr>
              <w:t>900m</w:t>
            </w:r>
            <w:r>
              <w:rPr>
                <w:rFonts w:ascii="Times New Roman" w:eastAsia="宋体" w:hAnsi="Times New Roman" w:cs="Times New Roman" w:hint="eastAsia"/>
                <w:sz w:val="21"/>
                <w:szCs w:val="21"/>
              </w:rPr>
              <w:t>；新安晒水池排泥管线主管线长度为</w:t>
            </w:r>
            <w:r>
              <w:rPr>
                <w:rFonts w:ascii="Times New Roman" w:eastAsia="宋体" w:hAnsi="Times New Roman" w:cs="Times New Roman" w:hint="eastAsia"/>
                <w:sz w:val="21"/>
                <w:szCs w:val="21"/>
              </w:rPr>
              <w:t>700m</w:t>
            </w:r>
            <w:r>
              <w:rPr>
                <w:rFonts w:ascii="Times New Roman" w:eastAsia="宋体" w:hAnsi="Times New Roman" w:cs="Times New Roman" w:hint="eastAsia"/>
                <w:sz w:val="21"/>
                <w:szCs w:val="21"/>
              </w:rPr>
              <w:t>，支管线长度为</w:t>
            </w:r>
            <w:r>
              <w:rPr>
                <w:rFonts w:ascii="Times New Roman" w:eastAsia="宋体" w:hAnsi="Times New Roman" w:cs="Times New Roman" w:hint="eastAsia"/>
                <w:sz w:val="21"/>
                <w:szCs w:val="21"/>
              </w:rPr>
              <w:t>1000m</w:t>
            </w:r>
            <w:r>
              <w:rPr>
                <w:rFonts w:ascii="Times New Roman" w:eastAsia="宋体" w:hAnsi="Times New Roman" w:cs="Times New Roman" w:hint="eastAsia"/>
                <w:sz w:val="21"/>
                <w:szCs w:val="21"/>
              </w:rPr>
              <w:t>；万丈水库排泥管线主管线长度为</w:t>
            </w:r>
            <w:r>
              <w:rPr>
                <w:rFonts w:ascii="Times New Roman" w:eastAsia="宋体" w:hAnsi="Times New Roman" w:cs="Times New Roman" w:hint="eastAsia"/>
                <w:sz w:val="21"/>
                <w:szCs w:val="21"/>
              </w:rPr>
              <w:t>1200m</w:t>
            </w:r>
            <w:r>
              <w:rPr>
                <w:rFonts w:ascii="Times New Roman" w:eastAsia="宋体" w:hAnsi="Times New Roman" w:cs="Times New Roman" w:hint="eastAsia"/>
                <w:sz w:val="21"/>
                <w:szCs w:val="21"/>
              </w:rPr>
              <w:t>，支管线长度为</w:t>
            </w:r>
            <w:r>
              <w:rPr>
                <w:rFonts w:ascii="Times New Roman" w:eastAsia="宋体" w:hAnsi="Times New Roman" w:cs="Times New Roman" w:hint="eastAsia"/>
                <w:sz w:val="21"/>
                <w:szCs w:val="21"/>
              </w:rPr>
              <w:t>1800m</w:t>
            </w:r>
            <w:r>
              <w:rPr>
                <w:rFonts w:ascii="Times New Roman" w:eastAsia="宋体" w:hAnsi="Times New Roman" w:cs="Times New Roman" w:hint="eastAsia"/>
                <w:sz w:val="21"/>
                <w:szCs w:val="21"/>
              </w:rPr>
              <w:t>。</w:t>
            </w:r>
          </w:p>
        </w:tc>
        <w:tc>
          <w:tcPr>
            <w:tcW w:w="588" w:type="pct"/>
            <w:vAlign w:val="center"/>
          </w:tcPr>
          <w:p w14:paraId="7125275E" w14:textId="77777777" w:rsidR="009D12AF" w:rsidRDefault="00000000">
            <w:pPr>
              <w:pStyle w:val="af2"/>
              <w:spacing w:line="300" w:lineRule="exact"/>
              <w:ind w:firstLineChars="0" w:firstLine="0"/>
              <w:rPr>
                <w:rFonts w:hint="eastAsia"/>
                <w:sz w:val="21"/>
              </w:rPr>
            </w:pPr>
            <w:r>
              <w:rPr>
                <w:rFonts w:hint="eastAsia"/>
                <w:sz w:val="21"/>
              </w:rPr>
              <w:lastRenderedPageBreak/>
              <w:t>5</w:t>
            </w:r>
          </w:p>
        </w:tc>
      </w:tr>
      <w:tr w:rsidR="009D12AF" w14:paraId="64933630" w14:textId="77777777">
        <w:trPr>
          <w:trHeight w:val="397"/>
          <w:jc w:val="center"/>
        </w:trPr>
        <w:tc>
          <w:tcPr>
            <w:tcW w:w="475" w:type="pct"/>
            <w:vMerge/>
            <w:vAlign w:val="center"/>
          </w:tcPr>
          <w:p w14:paraId="55FDED83" w14:textId="77777777" w:rsidR="009D12AF" w:rsidRDefault="009D12AF">
            <w:pPr>
              <w:pStyle w:val="af2"/>
              <w:spacing w:line="300" w:lineRule="exact"/>
              <w:ind w:firstLineChars="0" w:firstLine="0"/>
              <w:rPr>
                <w:rFonts w:hint="eastAsia"/>
                <w:sz w:val="21"/>
              </w:rPr>
            </w:pPr>
          </w:p>
        </w:tc>
        <w:tc>
          <w:tcPr>
            <w:tcW w:w="950" w:type="pct"/>
            <w:vAlign w:val="center"/>
          </w:tcPr>
          <w:p w14:paraId="098D9029" w14:textId="77777777" w:rsidR="009D12AF" w:rsidRDefault="00000000">
            <w:pPr>
              <w:adjustRightInd w:val="0"/>
              <w:snapToGrid w:val="0"/>
              <w:spacing w:line="240" w:lineRule="auto"/>
              <w:ind w:firstLineChars="0" w:firstLine="0"/>
              <w:jc w:val="center"/>
              <w:rPr>
                <w:sz w:val="21"/>
                <w:szCs w:val="21"/>
              </w:rPr>
            </w:pPr>
            <w:r>
              <w:rPr>
                <w:rFonts w:ascii="Times New Roman" w:eastAsia="宋体" w:hAnsi="Times New Roman" w:cs="Times New Roman" w:hint="eastAsia"/>
                <w:sz w:val="21"/>
                <w:szCs w:val="21"/>
              </w:rPr>
              <w:t>泥水收集池</w:t>
            </w:r>
          </w:p>
        </w:tc>
        <w:tc>
          <w:tcPr>
            <w:tcW w:w="2985" w:type="pct"/>
            <w:vAlign w:val="center"/>
          </w:tcPr>
          <w:p w14:paraId="16E03902" w14:textId="77777777" w:rsidR="009D12AF" w:rsidRDefault="00000000">
            <w:pPr>
              <w:adjustRightInd w:val="0"/>
              <w:snapToGrid w:val="0"/>
              <w:spacing w:line="240" w:lineRule="auto"/>
              <w:ind w:firstLineChars="0" w:firstLine="0"/>
              <w:rPr>
                <w:sz w:val="21"/>
                <w:szCs w:val="21"/>
              </w:rPr>
            </w:pPr>
            <w:r>
              <w:rPr>
                <w:rFonts w:ascii="Times New Roman" w:eastAsia="宋体" w:hAnsi="Times New Roman" w:cs="Times New Roman"/>
                <w:sz w:val="21"/>
                <w:szCs w:val="21"/>
              </w:rPr>
              <w:t>本项目</w:t>
            </w:r>
            <w:r>
              <w:rPr>
                <w:rFonts w:ascii="Times New Roman" w:eastAsia="宋体" w:hAnsi="Times New Roman" w:cs="Times New Roman" w:hint="eastAsia"/>
                <w:sz w:val="21"/>
                <w:szCs w:val="21"/>
              </w:rPr>
              <w:t>共</w:t>
            </w:r>
            <w:r>
              <w:rPr>
                <w:rFonts w:ascii="Times New Roman" w:eastAsia="宋体" w:hAnsi="Times New Roman" w:cs="Times New Roman"/>
                <w:sz w:val="21"/>
                <w:szCs w:val="21"/>
              </w:rPr>
              <w:t>设置</w:t>
            </w:r>
            <w:r>
              <w:rPr>
                <w:rFonts w:ascii="Times New Roman" w:eastAsia="宋体" w:hAnsi="Times New Roman" w:cs="Times New Roman" w:hint="eastAsia"/>
                <w:sz w:val="21"/>
                <w:szCs w:val="21"/>
              </w:rPr>
              <w:t>13</w:t>
            </w:r>
            <w:r>
              <w:rPr>
                <w:rFonts w:ascii="Times New Roman" w:eastAsia="宋体" w:hAnsi="Times New Roman" w:cs="Times New Roman" w:hint="eastAsia"/>
                <w:sz w:val="21"/>
                <w:szCs w:val="21"/>
              </w:rPr>
              <w:t>座泥水收集池</w:t>
            </w:r>
            <w:r>
              <w:rPr>
                <w:rFonts w:ascii="Times New Roman" w:eastAsia="宋体" w:hAnsi="Times New Roman" w:cs="Times New Roman"/>
                <w:sz w:val="21"/>
                <w:szCs w:val="21"/>
              </w:rPr>
              <w:t>，</w:t>
            </w:r>
            <w:r>
              <w:rPr>
                <w:rFonts w:ascii="Times New Roman" w:eastAsia="宋体" w:hAnsi="Times New Roman" w:cs="Times New Roman" w:hint="eastAsia"/>
                <w:sz w:val="21"/>
                <w:szCs w:val="21"/>
              </w:rPr>
              <w:t>其中群力水库设置</w:t>
            </w:r>
            <w:r>
              <w:rPr>
                <w:rFonts w:ascii="Times New Roman" w:eastAsia="宋体" w:hAnsi="Times New Roman" w:cs="Times New Roman" w:hint="eastAsia"/>
                <w:sz w:val="21"/>
                <w:szCs w:val="21"/>
              </w:rPr>
              <w:t>5</w:t>
            </w:r>
            <w:r>
              <w:rPr>
                <w:rFonts w:ascii="Times New Roman" w:eastAsia="宋体" w:hAnsi="Times New Roman" w:cs="Times New Roman" w:hint="eastAsia"/>
                <w:sz w:val="21"/>
                <w:szCs w:val="21"/>
              </w:rPr>
              <w:t>座（容积为</w:t>
            </w:r>
            <w:r>
              <w:rPr>
                <w:rFonts w:ascii="Times New Roman" w:eastAsia="宋体" w:hAnsi="Times New Roman" w:cs="Times New Roman" w:hint="eastAsia"/>
                <w:sz w:val="21"/>
                <w:szCs w:val="21"/>
              </w:rPr>
              <w:t>15000m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w:t>
            </w:r>
            <w:r>
              <w:rPr>
                <w:rFonts w:ascii="Times New Roman" w:eastAsia="宋体" w:hAnsi="Times New Roman" w:cs="Times New Roman" w:hint="eastAsia"/>
                <w:sz w:val="21"/>
                <w:szCs w:val="21"/>
              </w:rPr>
              <w:t>2</w:t>
            </w:r>
            <w:r>
              <w:rPr>
                <w:rFonts w:ascii="Times New Roman" w:eastAsia="宋体" w:hAnsi="Times New Roman" w:cs="Times New Roman" w:hint="eastAsia"/>
                <w:sz w:val="21"/>
                <w:szCs w:val="21"/>
              </w:rPr>
              <w:t>座）和</w:t>
            </w:r>
            <w:r>
              <w:rPr>
                <w:rFonts w:ascii="Times New Roman" w:eastAsia="宋体" w:hAnsi="Times New Roman" w:cs="Times New Roman" w:hint="eastAsia"/>
                <w:sz w:val="21"/>
                <w:szCs w:val="21"/>
              </w:rPr>
              <w:t>8000m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w:t>
            </w:r>
            <w:r>
              <w:rPr>
                <w:rFonts w:ascii="Times New Roman" w:eastAsia="宋体" w:hAnsi="Times New Roman" w:cs="Times New Roman" w:hint="eastAsia"/>
                <w:sz w:val="21"/>
                <w:szCs w:val="21"/>
              </w:rPr>
              <w:t>3</w:t>
            </w:r>
            <w:r>
              <w:rPr>
                <w:rFonts w:ascii="Times New Roman" w:eastAsia="宋体" w:hAnsi="Times New Roman" w:cs="Times New Roman" w:hint="eastAsia"/>
                <w:sz w:val="21"/>
                <w:szCs w:val="21"/>
              </w:rPr>
              <w:t>座））、长石水库（容积为</w:t>
            </w:r>
            <w:r>
              <w:rPr>
                <w:rFonts w:ascii="Times New Roman" w:eastAsia="宋体" w:hAnsi="Times New Roman" w:cs="Times New Roman" w:hint="eastAsia"/>
                <w:sz w:val="21"/>
                <w:szCs w:val="21"/>
              </w:rPr>
              <w:t>6000m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和</w:t>
            </w:r>
            <w:r>
              <w:rPr>
                <w:rFonts w:ascii="Times New Roman" w:eastAsia="宋体" w:hAnsi="Times New Roman" w:cs="Times New Roman" w:hint="eastAsia"/>
                <w:sz w:val="21"/>
                <w:szCs w:val="21"/>
              </w:rPr>
              <w:t>3000m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）、万丈水库（容积为</w:t>
            </w:r>
            <w:r>
              <w:rPr>
                <w:rFonts w:ascii="Times New Roman" w:eastAsia="宋体" w:hAnsi="Times New Roman" w:cs="Times New Roman" w:hint="eastAsia"/>
                <w:sz w:val="21"/>
                <w:szCs w:val="21"/>
              </w:rPr>
              <w:t>8000m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和</w:t>
            </w:r>
            <w:r>
              <w:rPr>
                <w:rFonts w:ascii="Times New Roman" w:eastAsia="宋体" w:hAnsi="Times New Roman" w:cs="Times New Roman" w:hint="eastAsia"/>
                <w:sz w:val="21"/>
                <w:szCs w:val="21"/>
              </w:rPr>
              <w:t>4000m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）、新安晒水池（容积为</w:t>
            </w:r>
            <w:r>
              <w:rPr>
                <w:rFonts w:ascii="Times New Roman" w:eastAsia="宋体" w:hAnsi="Times New Roman" w:cs="Times New Roman" w:hint="eastAsia"/>
                <w:sz w:val="21"/>
                <w:szCs w:val="21"/>
              </w:rPr>
              <w:t>5000m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和</w:t>
            </w:r>
            <w:r>
              <w:rPr>
                <w:rFonts w:ascii="Times New Roman" w:eastAsia="宋体" w:hAnsi="Times New Roman" w:cs="Times New Roman" w:hint="eastAsia"/>
                <w:sz w:val="21"/>
                <w:szCs w:val="21"/>
              </w:rPr>
              <w:t>2000m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）、向阳水电站前池（容积为</w:t>
            </w:r>
            <w:r>
              <w:rPr>
                <w:rFonts w:ascii="Times New Roman" w:eastAsia="宋体" w:hAnsi="Times New Roman" w:cs="Times New Roman" w:hint="eastAsia"/>
                <w:sz w:val="21"/>
                <w:szCs w:val="21"/>
              </w:rPr>
              <w:t>6000m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和</w:t>
            </w:r>
            <w:r>
              <w:rPr>
                <w:rFonts w:ascii="Times New Roman" w:eastAsia="宋体" w:hAnsi="Times New Roman" w:cs="Times New Roman" w:hint="eastAsia"/>
                <w:sz w:val="21"/>
                <w:szCs w:val="21"/>
              </w:rPr>
              <w:t>3000m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）各设置</w:t>
            </w:r>
            <w:r>
              <w:rPr>
                <w:rFonts w:ascii="Times New Roman" w:eastAsia="宋体" w:hAnsi="Times New Roman" w:cs="Times New Roman" w:hint="eastAsia"/>
                <w:sz w:val="21"/>
                <w:szCs w:val="21"/>
              </w:rPr>
              <w:t>2</w:t>
            </w:r>
            <w:r>
              <w:rPr>
                <w:rFonts w:ascii="Times New Roman" w:eastAsia="宋体" w:hAnsi="Times New Roman" w:cs="Times New Roman" w:hint="eastAsia"/>
                <w:sz w:val="21"/>
                <w:szCs w:val="21"/>
              </w:rPr>
              <w:t>座。容积为</w:t>
            </w:r>
            <w:r>
              <w:rPr>
                <w:rFonts w:ascii="Times New Roman" w:eastAsia="宋体" w:hAnsi="Times New Roman" w:cs="Times New Roman"/>
                <w:sz w:val="21"/>
                <w:szCs w:val="21"/>
              </w:rPr>
              <w:t>50m</w:t>
            </w:r>
            <w:r>
              <w:rPr>
                <w:rFonts w:ascii="Times New Roman" w:eastAsia="宋体" w:hAnsi="Times New Roman" w:cs="Times New Roman"/>
                <w:sz w:val="21"/>
                <w:szCs w:val="21"/>
                <w:vertAlign w:val="superscript"/>
              </w:rPr>
              <w:t>3</w:t>
            </w:r>
            <w:r>
              <w:rPr>
                <w:rFonts w:ascii="Times New Roman" w:eastAsia="宋体" w:hAnsi="Times New Roman" w:cs="Times New Roman"/>
                <w:sz w:val="21"/>
                <w:szCs w:val="21"/>
              </w:rPr>
              <w:t>，施工废水经隔油池沉淀后回用于洒水降尘，不外排</w:t>
            </w:r>
            <w:r>
              <w:rPr>
                <w:rFonts w:ascii="Times New Roman" w:eastAsia="宋体" w:hAnsi="Times New Roman" w:cs="Times New Roman" w:hint="eastAsia"/>
                <w:sz w:val="21"/>
                <w:szCs w:val="21"/>
              </w:rPr>
              <w:t>；污泥交由有资质单位回收处理</w:t>
            </w:r>
            <w:r>
              <w:rPr>
                <w:rFonts w:ascii="Times New Roman" w:eastAsia="宋体" w:hAnsi="Times New Roman" w:cs="Times New Roman"/>
                <w:sz w:val="21"/>
                <w:szCs w:val="21"/>
              </w:rPr>
              <w:t>。</w:t>
            </w:r>
          </w:p>
        </w:tc>
        <w:tc>
          <w:tcPr>
            <w:tcW w:w="588" w:type="pct"/>
            <w:vAlign w:val="center"/>
          </w:tcPr>
          <w:p w14:paraId="32F7B979" w14:textId="77777777" w:rsidR="009D12AF" w:rsidRDefault="00000000">
            <w:pPr>
              <w:pStyle w:val="af2"/>
              <w:spacing w:line="300" w:lineRule="exact"/>
              <w:ind w:firstLineChars="0" w:firstLine="0"/>
              <w:rPr>
                <w:rFonts w:hint="eastAsia"/>
                <w:sz w:val="21"/>
              </w:rPr>
            </w:pPr>
            <w:r>
              <w:rPr>
                <w:rFonts w:hint="eastAsia"/>
                <w:sz w:val="21"/>
              </w:rPr>
              <w:t>10</w:t>
            </w:r>
          </w:p>
        </w:tc>
      </w:tr>
      <w:tr w:rsidR="009D12AF" w14:paraId="53272D05" w14:textId="77777777">
        <w:trPr>
          <w:trHeight w:val="397"/>
          <w:jc w:val="center"/>
        </w:trPr>
        <w:tc>
          <w:tcPr>
            <w:tcW w:w="475" w:type="pct"/>
            <w:vMerge/>
            <w:vAlign w:val="center"/>
          </w:tcPr>
          <w:p w14:paraId="7E92CA77" w14:textId="77777777" w:rsidR="009D12AF" w:rsidRDefault="009D12AF">
            <w:pPr>
              <w:pStyle w:val="af2"/>
              <w:spacing w:line="300" w:lineRule="exact"/>
              <w:ind w:firstLineChars="0" w:firstLine="0"/>
              <w:rPr>
                <w:rFonts w:hint="eastAsia"/>
                <w:sz w:val="21"/>
              </w:rPr>
            </w:pPr>
          </w:p>
        </w:tc>
        <w:tc>
          <w:tcPr>
            <w:tcW w:w="950" w:type="pct"/>
            <w:vAlign w:val="center"/>
          </w:tcPr>
          <w:p w14:paraId="606E412C" w14:textId="77777777" w:rsidR="009D12AF" w:rsidRDefault="00000000">
            <w:pPr>
              <w:adjustRightInd w:val="0"/>
              <w:snapToGrid w:val="0"/>
              <w:spacing w:line="240" w:lineRule="auto"/>
              <w:ind w:firstLineChars="0" w:firstLine="0"/>
              <w:jc w:val="center"/>
              <w:rPr>
                <w:sz w:val="21"/>
                <w:szCs w:val="21"/>
              </w:rPr>
            </w:pPr>
            <w:r>
              <w:rPr>
                <w:rFonts w:ascii="Times New Roman" w:eastAsia="宋体" w:hAnsi="Times New Roman" w:cs="Times New Roman" w:hint="eastAsia"/>
                <w:sz w:val="21"/>
                <w:szCs w:val="21"/>
              </w:rPr>
              <w:t>澄清余水收集池</w:t>
            </w:r>
          </w:p>
        </w:tc>
        <w:tc>
          <w:tcPr>
            <w:tcW w:w="2985" w:type="pct"/>
            <w:vAlign w:val="center"/>
          </w:tcPr>
          <w:p w14:paraId="00C71E43" w14:textId="77777777" w:rsidR="009D12AF" w:rsidRDefault="00000000">
            <w:pPr>
              <w:adjustRightInd w:val="0"/>
              <w:snapToGrid w:val="0"/>
              <w:spacing w:line="240" w:lineRule="auto"/>
              <w:ind w:firstLineChars="0" w:firstLine="0"/>
              <w:rPr>
                <w:sz w:val="21"/>
                <w:szCs w:val="21"/>
              </w:rPr>
            </w:pPr>
            <w:r>
              <w:rPr>
                <w:rFonts w:ascii="Times New Roman" w:eastAsia="宋体" w:hAnsi="Times New Roman" w:cs="Times New Roman" w:hint="eastAsia"/>
                <w:sz w:val="21"/>
                <w:szCs w:val="21"/>
              </w:rPr>
              <w:t>本项目共设置</w:t>
            </w:r>
            <w:r>
              <w:rPr>
                <w:rFonts w:ascii="Times New Roman" w:eastAsia="宋体" w:hAnsi="Times New Roman" w:cs="Times New Roman" w:hint="eastAsia"/>
                <w:sz w:val="21"/>
                <w:szCs w:val="21"/>
              </w:rPr>
              <w:t>5</w:t>
            </w:r>
            <w:r>
              <w:rPr>
                <w:rFonts w:ascii="Times New Roman" w:eastAsia="宋体" w:hAnsi="Times New Roman" w:cs="Times New Roman" w:hint="eastAsia"/>
                <w:sz w:val="21"/>
                <w:szCs w:val="21"/>
              </w:rPr>
              <w:t>座澄清余水收集池，其中群力水库设置</w:t>
            </w:r>
            <w:r>
              <w:rPr>
                <w:rFonts w:ascii="Times New Roman" w:eastAsia="宋体" w:hAnsi="Times New Roman" w:cs="Times New Roman" w:hint="eastAsia"/>
                <w:sz w:val="21"/>
                <w:szCs w:val="21"/>
              </w:rPr>
              <w:t>2</w:t>
            </w:r>
            <w:r>
              <w:rPr>
                <w:rFonts w:ascii="Times New Roman" w:eastAsia="宋体" w:hAnsi="Times New Roman" w:cs="Times New Roman" w:hint="eastAsia"/>
                <w:sz w:val="21"/>
                <w:szCs w:val="21"/>
              </w:rPr>
              <w:t>座（</w:t>
            </w:r>
            <w:r>
              <w:rPr>
                <w:rFonts w:ascii="Times New Roman" w:eastAsia="宋体" w:hAnsi="Times New Roman" w:cs="Times New Roman" w:hint="eastAsia"/>
                <w:sz w:val="21"/>
                <w:szCs w:val="21"/>
              </w:rPr>
              <w:t>1</w:t>
            </w:r>
            <w:r>
              <w:rPr>
                <w:rFonts w:ascii="Times New Roman" w:eastAsia="宋体" w:hAnsi="Times New Roman" w:cs="Times New Roman" w:hint="eastAsia"/>
                <w:sz w:val="21"/>
                <w:szCs w:val="21"/>
              </w:rPr>
              <w:t>座容积为</w:t>
            </w:r>
            <w:r>
              <w:rPr>
                <w:rFonts w:ascii="Times New Roman" w:eastAsia="宋体" w:hAnsi="Times New Roman" w:cs="Times New Roman" w:hint="eastAsia"/>
                <w:sz w:val="21"/>
                <w:szCs w:val="21"/>
              </w:rPr>
              <w:t>12000m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），长石水库（容积为</w:t>
            </w:r>
            <w:r>
              <w:rPr>
                <w:rFonts w:ascii="Times New Roman" w:eastAsia="宋体" w:hAnsi="Times New Roman" w:cs="Times New Roman" w:hint="eastAsia"/>
                <w:sz w:val="21"/>
                <w:szCs w:val="21"/>
              </w:rPr>
              <w:t>5000m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）、万丈水库（容积为</w:t>
            </w:r>
            <w:r>
              <w:rPr>
                <w:rFonts w:ascii="Times New Roman" w:eastAsia="宋体" w:hAnsi="Times New Roman" w:cs="Times New Roman" w:hint="eastAsia"/>
                <w:sz w:val="21"/>
                <w:szCs w:val="21"/>
              </w:rPr>
              <w:t>6000m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）、新安晒水池（容积为</w:t>
            </w:r>
            <w:r>
              <w:rPr>
                <w:rFonts w:ascii="Times New Roman" w:eastAsia="宋体" w:hAnsi="Times New Roman" w:cs="Times New Roman" w:hint="eastAsia"/>
                <w:sz w:val="21"/>
                <w:szCs w:val="21"/>
              </w:rPr>
              <w:t>4000m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）、向阳水电站前池（容积为</w:t>
            </w:r>
            <w:r>
              <w:rPr>
                <w:rFonts w:ascii="Times New Roman" w:eastAsia="宋体" w:hAnsi="Times New Roman" w:cs="Times New Roman" w:hint="eastAsia"/>
                <w:sz w:val="21"/>
                <w:szCs w:val="21"/>
              </w:rPr>
              <w:t>5000m</w:t>
            </w:r>
            <w:r>
              <w:rPr>
                <w:rFonts w:ascii="Times New Roman" w:eastAsia="宋体" w:hAnsi="Times New Roman" w:cs="Times New Roman" w:hint="eastAsia"/>
                <w:sz w:val="21"/>
                <w:szCs w:val="21"/>
                <w:vertAlign w:val="superscript"/>
              </w:rPr>
              <w:t>3</w:t>
            </w:r>
            <w:r>
              <w:rPr>
                <w:rFonts w:ascii="Times New Roman" w:eastAsia="宋体" w:hAnsi="Times New Roman" w:cs="Times New Roman" w:hint="eastAsia"/>
                <w:sz w:val="21"/>
                <w:szCs w:val="21"/>
              </w:rPr>
              <w:t>）各设置</w:t>
            </w:r>
            <w:r>
              <w:rPr>
                <w:rFonts w:ascii="Times New Roman" w:eastAsia="宋体" w:hAnsi="Times New Roman" w:cs="Times New Roman" w:hint="eastAsia"/>
                <w:sz w:val="21"/>
                <w:szCs w:val="21"/>
              </w:rPr>
              <w:t>1</w:t>
            </w:r>
            <w:r>
              <w:rPr>
                <w:rFonts w:ascii="Times New Roman" w:eastAsia="宋体" w:hAnsi="Times New Roman" w:cs="Times New Roman" w:hint="eastAsia"/>
                <w:sz w:val="21"/>
                <w:szCs w:val="21"/>
              </w:rPr>
              <w:t>座。</w:t>
            </w:r>
          </w:p>
        </w:tc>
        <w:tc>
          <w:tcPr>
            <w:tcW w:w="588" w:type="pct"/>
            <w:vAlign w:val="center"/>
          </w:tcPr>
          <w:p w14:paraId="71E0ABAE" w14:textId="77777777" w:rsidR="009D12AF" w:rsidRDefault="00000000">
            <w:pPr>
              <w:pStyle w:val="af2"/>
              <w:spacing w:line="300" w:lineRule="exact"/>
              <w:ind w:firstLineChars="0" w:firstLine="0"/>
              <w:rPr>
                <w:rFonts w:hint="eastAsia"/>
                <w:sz w:val="21"/>
              </w:rPr>
            </w:pPr>
            <w:r>
              <w:rPr>
                <w:rFonts w:hint="eastAsia"/>
                <w:sz w:val="21"/>
              </w:rPr>
              <w:t>10</w:t>
            </w:r>
          </w:p>
        </w:tc>
      </w:tr>
      <w:tr w:rsidR="009D12AF" w14:paraId="76570E37" w14:textId="77777777">
        <w:trPr>
          <w:trHeight w:val="397"/>
          <w:jc w:val="center"/>
        </w:trPr>
        <w:tc>
          <w:tcPr>
            <w:tcW w:w="475" w:type="pct"/>
            <w:vMerge/>
            <w:vAlign w:val="center"/>
          </w:tcPr>
          <w:p w14:paraId="20F6F31B" w14:textId="77777777" w:rsidR="009D12AF" w:rsidRDefault="009D12AF">
            <w:pPr>
              <w:pStyle w:val="af2"/>
              <w:spacing w:line="300" w:lineRule="exact"/>
              <w:ind w:firstLineChars="0" w:firstLine="0"/>
              <w:rPr>
                <w:rFonts w:hint="eastAsia"/>
                <w:sz w:val="21"/>
              </w:rPr>
            </w:pPr>
          </w:p>
        </w:tc>
        <w:tc>
          <w:tcPr>
            <w:tcW w:w="950" w:type="pct"/>
            <w:vAlign w:val="center"/>
          </w:tcPr>
          <w:p w14:paraId="3CD927ED" w14:textId="77777777" w:rsidR="009D12AF" w:rsidRDefault="00000000">
            <w:pPr>
              <w:adjustRightInd w:val="0"/>
              <w:snapToGrid w:val="0"/>
              <w:spacing w:line="240" w:lineRule="auto"/>
              <w:ind w:firstLineChars="0" w:firstLine="0"/>
              <w:jc w:val="center"/>
              <w:rPr>
                <w:sz w:val="21"/>
                <w:szCs w:val="21"/>
              </w:rPr>
            </w:pPr>
            <w:r>
              <w:rPr>
                <w:rFonts w:ascii="Times New Roman" w:eastAsia="宋体" w:hAnsi="Times New Roman" w:cs="Times New Roman" w:hint="eastAsia"/>
                <w:sz w:val="21"/>
                <w:szCs w:val="21"/>
              </w:rPr>
              <w:t>隔油池</w:t>
            </w:r>
          </w:p>
        </w:tc>
        <w:tc>
          <w:tcPr>
            <w:tcW w:w="2985" w:type="pct"/>
            <w:vAlign w:val="center"/>
          </w:tcPr>
          <w:p w14:paraId="71DD961F" w14:textId="77777777" w:rsidR="009D12AF" w:rsidRDefault="00000000">
            <w:pPr>
              <w:adjustRightInd w:val="0"/>
              <w:snapToGrid w:val="0"/>
              <w:spacing w:line="240" w:lineRule="auto"/>
              <w:ind w:firstLineChars="0" w:firstLine="0"/>
              <w:rPr>
                <w:sz w:val="21"/>
                <w:szCs w:val="21"/>
              </w:rPr>
            </w:pPr>
            <w:r>
              <w:rPr>
                <w:rFonts w:ascii="Times New Roman" w:eastAsia="宋体" w:hAnsi="Times New Roman" w:cs="Times New Roman" w:hint="eastAsia"/>
                <w:sz w:val="21"/>
                <w:szCs w:val="21"/>
              </w:rPr>
              <w:t>本项目设置</w:t>
            </w:r>
            <w:r>
              <w:rPr>
                <w:rFonts w:ascii="Times New Roman" w:eastAsia="宋体" w:hAnsi="Times New Roman" w:cs="Times New Roman" w:hint="eastAsia"/>
                <w:sz w:val="21"/>
                <w:szCs w:val="21"/>
              </w:rPr>
              <w:t>5</w:t>
            </w:r>
            <w:r>
              <w:rPr>
                <w:rFonts w:ascii="Times New Roman" w:eastAsia="宋体" w:hAnsi="Times New Roman" w:cs="Times New Roman" w:hint="eastAsia"/>
                <w:sz w:val="21"/>
                <w:szCs w:val="21"/>
              </w:rPr>
              <w:t>个隔油沉淀池，容积为</w:t>
            </w:r>
            <w:r>
              <w:rPr>
                <w:rFonts w:ascii="Times New Roman" w:eastAsia="宋体" w:hAnsi="Times New Roman" w:cs="Times New Roman" w:hint="eastAsia"/>
                <w:sz w:val="21"/>
                <w:szCs w:val="21"/>
              </w:rPr>
              <w:t>50m3</w:t>
            </w:r>
            <w:r>
              <w:rPr>
                <w:rFonts w:ascii="Times New Roman" w:eastAsia="宋体" w:hAnsi="Times New Roman" w:cs="Times New Roman" w:hint="eastAsia"/>
                <w:sz w:val="21"/>
                <w:szCs w:val="21"/>
              </w:rPr>
              <w:t>，施工废水经隔油池沉淀后回用于洒水降尘，不外排；污泥交由有资质单位回收处理。</w:t>
            </w:r>
          </w:p>
        </w:tc>
        <w:tc>
          <w:tcPr>
            <w:tcW w:w="588" w:type="pct"/>
            <w:vAlign w:val="center"/>
          </w:tcPr>
          <w:p w14:paraId="5CD51A19" w14:textId="77777777" w:rsidR="009D12AF" w:rsidRDefault="00000000">
            <w:pPr>
              <w:pStyle w:val="af2"/>
              <w:spacing w:line="300" w:lineRule="exact"/>
              <w:ind w:firstLineChars="0" w:firstLine="0"/>
              <w:rPr>
                <w:rFonts w:hint="eastAsia"/>
                <w:sz w:val="21"/>
              </w:rPr>
            </w:pPr>
            <w:r>
              <w:rPr>
                <w:rFonts w:hint="eastAsia"/>
                <w:sz w:val="21"/>
              </w:rPr>
              <w:t>10</w:t>
            </w:r>
          </w:p>
        </w:tc>
      </w:tr>
      <w:tr w:rsidR="009D12AF" w14:paraId="288A81C8" w14:textId="77777777">
        <w:trPr>
          <w:trHeight w:val="397"/>
          <w:jc w:val="center"/>
        </w:trPr>
        <w:tc>
          <w:tcPr>
            <w:tcW w:w="475" w:type="pct"/>
            <w:vAlign w:val="center"/>
          </w:tcPr>
          <w:p w14:paraId="04C94BB8" w14:textId="77777777" w:rsidR="009D12AF" w:rsidRDefault="00000000">
            <w:pPr>
              <w:pStyle w:val="af2"/>
              <w:spacing w:line="300" w:lineRule="exact"/>
              <w:ind w:firstLineChars="0" w:firstLine="0"/>
              <w:rPr>
                <w:rFonts w:hint="eastAsia"/>
                <w:sz w:val="21"/>
              </w:rPr>
            </w:pPr>
            <w:r>
              <w:rPr>
                <w:rFonts w:hint="eastAsia"/>
                <w:sz w:val="21"/>
              </w:rPr>
              <w:t>地下水</w:t>
            </w:r>
          </w:p>
        </w:tc>
        <w:tc>
          <w:tcPr>
            <w:tcW w:w="950" w:type="pct"/>
            <w:vAlign w:val="center"/>
          </w:tcPr>
          <w:p w14:paraId="396A8F83" w14:textId="77777777" w:rsidR="009D12AF" w:rsidRDefault="00000000">
            <w:pPr>
              <w:pStyle w:val="af2"/>
              <w:spacing w:line="300" w:lineRule="exact"/>
              <w:ind w:firstLineChars="0" w:firstLine="0"/>
              <w:rPr>
                <w:rFonts w:hint="eastAsia"/>
                <w:sz w:val="21"/>
              </w:rPr>
            </w:pPr>
            <w:r>
              <w:rPr>
                <w:rFonts w:hint="eastAsia"/>
                <w:sz w:val="21"/>
              </w:rPr>
              <w:t>临时生产区、泥水收集池、澄清余水收集池、隔油池</w:t>
            </w:r>
          </w:p>
        </w:tc>
        <w:tc>
          <w:tcPr>
            <w:tcW w:w="2985" w:type="pct"/>
            <w:vAlign w:val="center"/>
          </w:tcPr>
          <w:p w14:paraId="48105ADF" w14:textId="77777777" w:rsidR="009D12AF" w:rsidRDefault="00000000">
            <w:pPr>
              <w:pStyle w:val="af2"/>
              <w:spacing w:line="300" w:lineRule="exact"/>
              <w:ind w:firstLineChars="0" w:firstLine="0"/>
              <w:rPr>
                <w:rFonts w:hint="eastAsia"/>
                <w:sz w:val="21"/>
              </w:rPr>
            </w:pPr>
            <w:r>
              <w:rPr>
                <w:rFonts w:hint="eastAsia"/>
                <w:sz w:val="21"/>
              </w:rPr>
              <w:t>应使用特殊的防渗材料铺设，采用天然防渗层采取黏土压实，人工防渗层采用土工膜，渗透系数小于</w:t>
            </w:r>
            <w:r>
              <w:rPr>
                <w:rFonts w:hint="eastAsia"/>
                <w:sz w:val="21"/>
              </w:rPr>
              <w:t>1.0</w:t>
            </w:r>
            <w:r>
              <w:rPr>
                <w:rFonts w:hint="eastAsia"/>
                <w:sz w:val="21"/>
              </w:rPr>
              <w:t>×</w:t>
            </w:r>
            <w:r>
              <w:rPr>
                <w:rFonts w:hint="eastAsia"/>
                <w:sz w:val="21"/>
              </w:rPr>
              <w:t>10</w:t>
            </w:r>
            <w:r>
              <w:rPr>
                <w:rFonts w:hint="eastAsia"/>
                <w:sz w:val="21"/>
                <w:vertAlign w:val="superscript"/>
              </w:rPr>
              <w:t>-7</w:t>
            </w:r>
            <w:r>
              <w:rPr>
                <w:rFonts w:hint="eastAsia"/>
                <w:sz w:val="21"/>
              </w:rPr>
              <w:t>cm/s</w:t>
            </w:r>
          </w:p>
        </w:tc>
        <w:tc>
          <w:tcPr>
            <w:tcW w:w="588" w:type="pct"/>
            <w:vAlign w:val="center"/>
          </w:tcPr>
          <w:p w14:paraId="367B0563" w14:textId="77777777" w:rsidR="009D12AF" w:rsidRDefault="00000000">
            <w:pPr>
              <w:pStyle w:val="af2"/>
              <w:spacing w:line="300" w:lineRule="exact"/>
              <w:ind w:firstLineChars="0" w:firstLine="0"/>
              <w:rPr>
                <w:rFonts w:hint="eastAsia"/>
                <w:sz w:val="21"/>
              </w:rPr>
            </w:pPr>
            <w:r>
              <w:rPr>
                <w:rFonts w:hint="eastAsia"/>
                <w:sz w:val="21"/>
              </w:rPr>
              <w:t>10</w:t>
            </w:r>
          </w:p>
        </w:tc>
      </w:tr>
      <w:tr w:rsidR="009D12AF" w14:paraId="2361E180" w14:textId="77777777">
        <w:trPr>
          <w:trHeight w:val="397"/>
          <w:jc w:val="center"/>
        </w:trPr>
        <w:tc>
          <w:tcPr>
            <w:tcW w:w="475" w:type="pct"/>
            <w:vAlign w:val="center"/>
          </w:tcPr>
          <w:p w14:paraId="64A18ED3" w14:textId="77777777" w:rsidR="009D12AF" w:rsidRDefault="00000000">
            <w:pPr>
              <w:pStyle w:val="af2"/>
              <w:spacing w:line="300" w:lineRule="exact"/>
              <w:ind w:firstLineChars="0" w:firstLine="0"/>
              <w:rPr>
                <w:rFonts w:hint="eastAsia"/>
                <w:sz w:val="21"/>
              </w:rPr>
            </w:pPr>
            <w:r>
              <w:rPr>
                <w:sz w:val="21"/>
              </w:rPr>
              <w:t>噪声</w:t>
            </w:r>
          </w:p>
        </w:tc>
        <w:tc>
          <w:tcPr>
            <w:tcW w:w="950" w:type="pct"/>
            <w:vAlign w:val="center"/>
          </w:tcPr>
          <w:p w14:paraId="24F12532" w14:textId="77777777" w:rsidR="009D12AF" w:rsidRDefault="00000000">
            <w:pPr>
              <w:pStyle w:val="af2"/>
              <w:spacing w:line="300" w:lineRule="exact"/>
              <w:ind w:firstLineChars="0" w:firstLine="0"/>
              <w:rPr>
                <w:rFonts w:hint="eastAsia"/>
                <w:sz w:val="21"/>
              </w:rPr>
            </w:pPr>
            <w:r>
              <w:rPr>
                <w:sz w:val="21"/>
              </w:rPr>
              <w:t>噪声</w:t>
            </w:r>
          </w:p>
        </w:tc>
        <w:tc>
          <w:tcPr>
            <w:tcW w:w="2985" w:type="pct"/>
            <w:vAlign w:val="center"/>
          </w:tcPr>
          <w:p w14:paraId="522CC242" w14:textId="77777777" w:rsidR="009D12AF" w:rsidRDefault="00000000">
            <w:pPr>
              <w:pStyle w:val="af2"/>
              <w:spacing w:line="300" w:lineRule="exact"/>
              <w:ind w:firstLineChars="0" w:firstLine="0"/>
              <w:rPr>
                <w:rFonts w:hint="eastAsia"/>
                <w:sz w:val="21"/>
              </w:rPr>
            </w:pPr>
            <w:r>
              <w:rPr>
                <w:rFonts w:hint="eastAsia"/>
                <w:sz w:val="21"/>
              </w:rPr>
              <w:t>临时</w:t>
            </w:r>
            <w:r>
              <w:rPr>
                <w:sz w:val="21"/>
              </w:rPr>
              <w:t>隔声屏障</w:t>
            </w:r>
          </w:p>
        </w:tc>
        <w:tc>
          <w:tcPr>
            <w:tcW w:w="588" w:type="pct"/>
            <w:vAlign w:val="center"/>
          </w:tcPr>
          <w:p w14:paraId="1A2548AD" w14:textId="77777777" w:rsidR="009D12AF" w:rsidRDefault="00000000">
            <w:pPr>
              <w:pStyle w:val="af2"/>
              <w:spacing w:line="300" w:lineRule="exact"/>
              <w:ind w:firstLineChars="0" w:firstLine="0"/>
              <w:rPr>
                <w:rFonts w:hint="eastAsia"/>
                <w:sz w:val="21"/>
              </w:rPr>
            </w:pPr>
            <w:r>
              <w:rPr>
                <w:rFonts w:hint="eastAsia"/>
                <w:sz w:val="21"/>
              </w:rPr>
              <w:t>10</w:t>
            </w:r>
          </w:p>
        </w:tc>
      </w:tr>
      <w:tr w:rsidR="009D12AF" w14:paraId="1DE7984D" w14:textId="77777777">
        <w:trPr>
          <w:trHeight w:val="397"/>
          <w:jc w:val="center"/>
        </w:trPr>
        <w:tc>
          <w:tcPr>
            <w:tcW w:w="475" w:type="pct"/>
            <w:vAlign w:val="center"/>
          </w:tcPr>
          <w:p w14:paraId="7D14BE5E" w14:textId="77777777" w:rsidR="009D12AF" w:rsidRDefault="00000000">
            <w:pPr>
              <w:pStyle w:val="af2"/>
              <w:spacing w:line="300" w:lineRule="exact"/>
              <w:ind w:firstLineChars="0" w:firstLine="0"/>
              <w:rPr>
                <w:rFonts w:hint="eastAsia"/>
                <w:sz w:val="21"/>
              </w:rPr>
            </w:pPr>
            <w:r>
              <w:rPr>
                <w:sz w:val="21"/>
              </w:rPr>
              <w:t>固体废物</w:t>
            </w:r>
          </w:p>
        </w:tc>
        <w:tc>
          <w:tcPr>
            <w:tcW w:w="950" w:type="pct"/>
            <w:vAlign w:val="center"/>
          </w:tcPr>
          <w:p w14:paraId="1FD8184F" w14:textId="77777777" w:rsidR="009D12AF" w:rsidRDefault="00000000">
            <w:pPr>
              <w:pStyle w:val="af2"/>
              <w:spacing w:line="300" w:lineRule="exact"/>
              <w:ind w:firstLineChars="0" w:firstLine="0"/>
              <w:rPr>
                <w:rFonts w:hint="eastAsia"/>
                <w:sz w:val="21"/>
              </w:rPr>
            </w:pPr>
            <w:r>
              <w:rPr>
                <w:sz w:val="21"/>
              </w:rPr>
              <w:t>施工</w:t>
            </w:r>
            <w:r>
              <w:rPr>
                <w:rFonts w:hint="eastAsia"/>
                <w:sz w:val="21"/>
              </w:rPr>
              <w:t>生产区</w:t>
            </w:r>
          </w:p>
        </w:tc>
        <w:tc>
          <w:tcPr>
            <w:tcW w:w="2985" w:type="pct"/>
            <w:vAlign w:val="center"/>
          </w:tcPr>
          <w:p w14:paraId="4029416D" w14:textId="77777777" w:rsidR="009D12AF" w:rsidRDefault="00000000">
            <w:pPr>
              <w:pStyle w:val="af2"/>
              <w:spacing w:line="300" w:lineRule="exact"/>
              <w:ind w:firstLineChars="0" w:firstLine="0"/>
              <w:rPr>
                <w:rFonts w:hint="eastAsia"/>
                <w:sz w:val="21"/>
              </w:rPr>
            </w:pPr>
            <w:r>
              <w:rPr>
                <w:sz w:val="21"/>
              </w:rPr>
              <w:t>垃圾桶</w:t>
            </w:r>
          </w:p>
        </w:tc>
        <w:tc>
          <w:tcPr>
            <w:tcW w:w="588" w:type="pct"/>
            <w:vAlign w:val="center"/>
          </w:tcPr>
          <w:p w14:paraId="09BFCB51" w14:textId="77777777" w:rsidR="009D12AF" w:rsidRDefault="00000000">
            <w:pPr>
              <w:pStyle w:val="af2"/>
              <w:spacing w:line="300" w:lineRule="exact"/>
              <w:ind w:firstLineChars="0" w:firstLine="0"/>
              <w:rPr>
                <w:rFonts w:hint="eastAsia"/>
                <w:sz w:val="21"/>
              </w:rPr>
            </w:pPr>
            <w:r>
              <w:rPr>
                <w:rFonts w:hint="eastAsia"/>
                <w:sz w:val="21"/>
              </w:rPr>
              <w:t>0.5</w:t>
            </w:r>
          </w:p>
        </w:tc>
      </w:tr>
      <w:tr w:rsidR="009D12AF" w14:paraId="23BEA79A" w14:textId="77777777">
        <w:trPr>
          <w:trHeight w:val="397"/>
          <w:jc w:val="center"/>
        </w:trPr>
        <w:tc>
          <w:tcPr>
            <w:tcW w:w="4411" w:type="pct"/>
            <w:gridSpan w:val="3"/>
            <w:vAlign w:val="center"/>
          </w:tcPr>
          <w:p w14:paraId="58CA8C73" w14:textId="77777777" w:rsidR="009D12AF" w:rsidRDefault="00000000">
            <w:pPr>
              <w:pStyle w:val="af2"/>
              <w:spacing w:line="300" w:lineRule="exact"/>
              <w:ind w:firstLineChars="0" w:firstLine="0"/>
              <w:rPr>
                <w:rFonts w:hint="eastAsia"/>
                <w:sz w:val="21"/>
              </w:rPr>
            </w:pPr>
            <w:r>
              <w:rPr>
                <w:rFonts w:hint="eastAsia"/>
                <w:sz w:val="21"/>
              </w:rPr>
              <w:t>合计</w:t>
            </w:r>
          </w:p>
        </w:tc>
        <w:tc>
          <w:tcPr>
            <w:tcW w:w="588" w:type="pct"/>
            <w:vAlign w:val="center"/>
          </w:tcPr>
          <w:p w14:paraId="6D7B06BE" w14:textId="77777777" w:rsidR="009D12AF" w:rsidRDefault="00000000">
            <w:pPr>
              <w:pStyle w:val="af2"/>
              <w:spacing w:line="300" w:lineRule="exact"/>
              <w:ind w:firstLineChars="0" w:firstLine="0"/>
              <w:rPr>
                <w:rFonts w:hint="eastAsia"/>
                <w:sz w:val="21"/>
              </w:rPr>
            </w:pPr>
            <w:r>
              <w:rPr>
                <w:rFonts w:hint="eastAsia"/>
                <w:sz w:val="21"/>
              </w:rPr>
              <w:t>383</w:t>
            </w:r>
          </w:p>
        </w:tc>
      </w:tr>
    </w:tbl>
    <w:p w14:paraId="64308D18" w14:textId="77777777" w:rsidR="009D12AF" w:rsidRDefault="00000000">
      <w:pPr>
        <w:ind w:firstLineChars="0" w:firstLine="0"/>
        <w:rPr>
          <w:highlight w:val="green"/>
        </w:rPr>
      </w:pPr>
      <w:r>
        <w:t>本项目的总投资是</w:t>
      </w:r>
      <w:r>
        <w:rPr>
          <w:rFonts w:hint="eastAsia"/>
        </w:rPr>
        <w:t>69827.6</w:t>
      </w:r>
      <w:r>
        <w:t>万万元，环保投资为</w:t>
      </w:r>
      <w:r>
        <w:rPr>
          <w:rFonts w:hint="eastAsia"/>
        </w:rPr>
        <w:t>353</w:t>
      </w:r>
      <w:r>
        <w:t>万元，环保投资比例为</w:t>
      </w:r>
      <w:r>
        <w:rPr>
          <w:rFonts w:hint="eastAsia"/>
        </w:rPr>
        <w:t>0.55</w:t>
      </w:r>
      <w:r>
        <w:t>%</w:t>
      </w:r>
      <w:r>
        <w:t>，</w:t>
      </w:r>
    </w:p>
    <w:p w14:paraId="35A1BCDE" w14:textId="77777777" w:rsidR="009D12AF" w:rsidRDefault="009D12AF">
      <w:pPr>
        <w:ind w:firstLine="480"/>
        <w:rPr>
          <w:color w:val="FF0000"/>
          <w:highlight w:val="yellow"/>
        </w:rPr>
      </w:pPr>
    </w:p>
    <w:p w14:paraId="18D760C0" w14:textId="77777777" w:rsidR="009D12AF" w:rsidRDefault="00000000">
      <w:pPr>
        <w:ind w:firstLine="480"/>
        <w:rPr>
          <w:highlight w:val="yellow"/>
        </w:rPr>
      </w:pPr>
      <w:r>
        <w:rPr>
          <w:highlight w:val="yellow"/>
        </w:rPr>
        <w:br w:type="page"/>
      </w:r>
    </w:p>
    <w:p w14:paraId="19A75FE6" w14:textId="77777777" w:rsidR="009D12AF" w:rsidRDefault="00000000">
      <w:pPr>
        <w:pStyle w:val="1"/>
      </w:pPr>
      <w:bookmarkStart w:id="417" w:name="_Toc23630"/>
      <w:r>
        <w:rPr>
          <w:rFonts w:hint="eastAsia"/>
        </w:rPr>
        <w:lastRenderedPageBreak/>
        <w:t>7</w:t>
      </w:r>
      <w:r>
        <w:t>环境影响经济损益分析</w:t>
      </w:r>
      <w:bookmarkEnd w:id="417"/>
    </w:p>
    <w:p w14:paraId="4516AC3B" w14:textId="77777777" w:rsidR="009D12AF" w:rsidRDefault="00000000">
      <w:pPr>
        <w:ind w:firstLine="480"/>
      </w:pPr>
      <w:r>
        <w:t>环境经济损益分析是环境影响评价的重要环节之一，它的主要任务是衡量建设项目需要投入的环保投资所能收入的环保效果及其建设项目对外界产生的环境影响、经济影响和社会影响。</w:t>
      </w:r>
    </w:p>
    <w:p w14:paraId="11DA3DAF" w14:textId="77777777" w:rsidR="009D12AF" w:rsidRDefault="00000000">
      <w:pPr>
        <w:pStyle w:val="2"/>
        <w:rPr>
          <w:highlight w:val="yellow"/>
        </w:rPr>
      </w:pPr>
      <w:bookmarkStart w:id="418" w:name="_Toc20827"/>
      <w:r>
        <w:rPr>
          <w:rFonts w:hint="eastAsia"/>
        </w:rPr>
        <w:t>7</w:t>
      </w:r>
      <w:r>
        <w:t>.1</w:t>
      </w:r>
      <w:bookmarkStart w:id="419" w:name="_Toc12017"/>
      <w:bookmarkStart w:id="420" w:name="_Toc152248892"/>
      <w:r>
        <w:rPr>
          <w:rFonts w:ascii="Times New Roman" w:eastAsia="宋体" w:hAnsi="Times New Roman"/>
        </w:rPr>
        <w:t>项目实施后对环境影响的变化情况</w:t>
      </w:r>
      <w:bookmarkEnd w:id="418"/>
      <w:bookmarkEnd w:id="419"/>
      <w:bookmarkEnd w:id="420"/>
    </w:p>
    <w:p w14:paraId="7C7D2BC7" w14:textId="77777777" w:rsidR="009D12AF" w:rsidRDefault="00000000">
      <w:pPr>
        <w:ind w:firstLine="480"/>
      </w:pPr>
      <w:r>
        <w:t>本项目为非污染类项目，</w:t>
      </w:r>
      <w:r>
        <w:rPr>
          <w:rFonts w:hint="eastAsia"/>
        </w:rPr>
        <w:t>运行期</w:t>
      </w:r>
      <w:r>
        <w:t>不排放污染物，对周围环境影响较小。项目实施后对环境的影响变化不大。</w:t>
      </w:r>
    </w:p>
    <w:p w14:paraId="69055CE3" w14:textId="77777777" w:rsidR="009D12AF" w:rsidRDefault="00000000">
      <w:pPr>
        <w:pStyle w:val="2"/>
      </w:pPr>
      <w:bookmarkStart w:id="421" w:name="_Toc16712"/>
      <w:r>
        <w:rPr>
          <w:rFonts w:hint="eastAsia"/>
        </w:rPr>
        <w:t>7.2</w:t>
      </w:r>
      <w:r>
        <w:rPr>
          <w:rFonts w:hint="eastAsia"/>
        </w:rPr>
        <w:t>环境经济损益分析</w:t>
      </w:r>
      <w:bookmarkEnd w:id="421"/>
    </w:p>
    <w:p w14:paraId="0DC96A60" w14:textId="77777777" w:rsidR="009D12AF" w:rsidRDefault="00000000">
      <w:pPr>
        <w:ind w:firstLine="480"/>
      </w:pPr>
      <w:r>
        <w:t>本工程环境经济损益分析的目的是运用环境经济学原理，在考虑工程建设与生态环境、社会环境以及区域社会经济的持续、稳定、协调发展前提下，运用费用</w:t>
      </w:r>
      <w:r>
        <w:t>-</w:t>
      </w:r>
      <w:r>
        <w:t>效益分析方法对工程的环境效益和损失进行分析，从环保角度评判工程建设的合理性。环境影响经济损益分析的主要对象是工程建设对环境影响所产生的损失和效益。环境影响带来的经济损失，是由于环境资源的功能遭到了破坏所产生的；环境影响带来的经济效益，也往往表现在社会、生态、景观等方面，两者均难以用货币量化。因此，本项目对环境影响带来的经济损失和经济效益进行定性描述的方式进行分析。</w:t>
      </w:r>
    </w:p>
    <w:p w14:paraId="0302ACA9" w14:textId="77777777" w:rsidR="009D12AF" w:rsidRDefault="00000000">
      <w:pPr>
        <w:pStyle w:val="3"/>
        <w:rPr>
          <w:kern w:val="0"/>
        </w:rPr>
      </w:pPr>
      <w:bookmarkStart w:id="422" w:name="_Toc18928"/>
      <w:r>
        <w:rPr>
          <w:rFonts w:hint="eastAsia"/>
        </w:rPr>
        <w:t>7.2.1</w:t>
      </w:r>
      <w:r>
        <w:rPr>
          <w:rFonts w:hint="eastAsia"/>
        </w:rPr>
        <w:t>环境效益</w:t>
      </w:r>
      <w:bookmarkEnd w:id="422"/>
    </w:p>
    <w:p w14:paraId="18A68353" w14:textId="77777777" w:rsidR="009D12AF" w:rsidRDefault="00000000">
      <w:pPr>
        <w:ind w:firstLine="480"/>
        <w:rPr>
          <w:lang w:bidi="ar"/>
        </w:rPr>
      </w:pPr>
      <w:r>
        <w:rPr>
          <w:kern w:val="0"/>
        </w:rPr>
        <w:t>本项目的建设</w:t>
      </w:r>
      <w:r>
        <w:rPr>
          <w:lang w:bidi="ar"/>
        </w:rPr>
        <w:t>从生态环境综合治理出发，对</w:t>
      </w:r>
      <w:r>
        <w:rPr>
          <w:rFonts w:hint="eastAsia"/>
          <w:lang w:bidi="ar"/>
        </w:rPr>
        <w:t>水库</w:t>
      </w:r>
      <w:r>
        <w:rPr>
          <w:lang w:bidi="ar"/>
        </w:rPr>
        <w:t>底泥及</w:t>
      </w:r>
      <w:r>
        <w:rPr>
          <w:rFonts w:hint="eastAsia"/>
          <w:lang w:bidi="ar"/>
        </w:rPr>
        <w:t>周围</w:t>
      </w:r>
      <w:r>
        <w:rPr>
          <w:lang w:bidi="ar"/>
        </w:rPr>
        <w:t>垃圾实施清理，治理保护</w:t>
      </w:r>
      <w:r>
        <w:rPr>
          <w:rFonts w:hint="eastAsia"/>
          <w:lang w:bidi="ar"/>
        </w:rPr>
        <w:t>水库、海浪河及莲花湖地表水</w:t>
      </w:r>
      <w:r>
        <w:rPr>
          <w:lang w:bidi="ar"/>
        </w:rPr>
        <w:t>水环境，恢复自然湿地，优化牡丹江市</w:t>
      </w:r>
      <w:r>
        <w:rPr>
          <w:rFonts w:hint="eastAsia"/>
          <w:lang w:bidi="ar"/>
        </w:rPr>
        <w:t>海林市</w:t>
      </w:r>
      <w:r>
        <w:rPr>
          <w:lang w:bidi="ar"/>
        </w:rPr>
        <w:t>生态环境，保证城市饮用水源保护区安全，为周边村民提供良好的生产、居住生态环境，将河道治理、饮水安全、环境保护、和谐社会建设有机融合，为</w:t>
      </w:r>
      <w:r>
        <w:rPr>
          <w:rFonts w:hint="eastAsia"/>
          <w:lang w:bidi="ar"/>
        </w:rPr>
        <w:t>海林</w:t>
      </w:r>
      <w:r>
        <w:rPr>
          <w:lang w:bidi="ar"/>
        </w:rPr>
        <w:t>市民提供健康保障，建设美丽乡村，促进区域经济快速发展。</w:t>
      </w:r>
    </w:p>
    <w:p w14:paraId="4708B5E9" w14:textId="77777777" w:rsidR="009D12AF" w:rsidRDefault="00000000">
      <w:pPr>
        <w:pStyle w:val="3"/>
      </w:pPr>
      <w:bookmarkStart w:id="423" w:name="_Toc5531"/>
      <w:r>
        <w:rPr>
          <w:rFonts w:hint="eastAsia"/>
        </w:rPr>
        <w:lastRenderedPageBreak/>
        <w:t>7.2.2</w:t>
      </w:r>
      <w:r>
        <w:rPr>
          <w:rFonts w:hint="eastAsia"/>
        </w:rPr>
        <w:t>环境损失分析</w:t>
      </w:r>
      <w:bookmarkEnd w:id="423"/>
    </w:p>
    <w:p w14:paraId="34378350" w14:textId="77777777" w:rsidR="009D12AF" w:rsidRDefault="00000000">
      <w:pPr>
        <w:adjustRightInd w:val="0"/>
        <w:ind w:firstLine="480"/>
      </w:pPr>
      <w:r>
        <w:t>本项目建设过程中排放的粉尘、噪声等污染物将对区域环境造成一定的负面影响。从项目施工期污染防治来看，只要施工过程中认真落实设计及环评中提出的措施，粉尘、恶臭气体及机械噪声能得到有效治理，生活污水排入</w:t>
      </w:r>
      <w:r>
        <w:rPr>
          <w:rFonts w:hint="eastAsia"/>
        </w:rPr>
        <w:t>防渗旱厕</w:t>
      </w:r>
      <w:r>
        <w:t>，定期清掏，外运堆肥</w:t>
      </w:r>
      <w:r>
        <w:rPr>
          <w:rFonts w:hint="eastAsia"/>
        </w:rPr>
        <w:t>；</w:t>
      </w:r>
      <w:r>
        <w:rPr>
          <w:rFonts w:ascii="Times New Roman" w:eastAsia="宋体" w:hAnsi="Times New Roman" w:cs="Times New Roman"/>
        </w:rPr>
        <w:t>施工机械设备冲洗废水收集后经隔油沉淀处理回用于施工场地洒水抑尘及施工设备冲洗，不外排</w:t>
      </w:r>
      <w:r>
        <w:rPr>
          <w:rFonts w:ascii="Times New Roman" w:eastAsia="宋体" w:hAnsi="Times New Roman" w:cs="Times New Roman" w:hint="eastAsia"/>
        </w:rPr>
        <w:t>；</w:t>
      </w:r>
      <w:r>
        <w:rPr>
          <w:rFonts w:ascii="宋体" w:eastAsia="宋体" w:hAnsi="宋体" w:cs="宋体" w:hint="eastAsia"/>
          <w:color w:val="000000"/>
          <w:kern w:val="0"/>
          <w:lang w:bidi="ar"/>
        </w:rPr>
        <w:t>挖泥船船底油污水由从事船舶污染物接收的单位接收处置；</w:t>
      </w:r>
      <w:r>
        <w:rPr>
          <w:rFonts w:hint="eastAsia"/>
        </w:rPr>
        <w:t>渗滤水</w:t>
      </w:r>
      <w:r>
        <w:t>在临时</w:t>
      </w:r>
      <w:r>
        <w:rPr>
          <w:rFonts w:hint="eastAsia"/>
        </w:rPr>
        <w:t>生产</w:t>
      </w:r>
      <w:r>
        <w:t>内经自然沉淀后进入余水沉淀池进行环保混凝沉淀处理，</w:t>
      </w:r>
      <w:r>
        <w:rPr>
          <w:rFonts w:hint="eastAsia"/>
        </w:rPr>
        <w:t>达到《污水综合排放标准》（</w:t>
      </w:r>
      <w:r>
        <w:rPr>
          <w:rFonts w:hint="eastAsia"/>
        </w:rPr>
        <w:t>GB8978-1996</w:t>
      </w:r>
      <w:r>
        <w:rPr>
          <w:rFonts w:hint="eastAsia"/>
        </w:rPr>
        <w:t>）一级标准，由牡丹江龙江环保水务有限公司定期拉运处理</w:t>
      </w:r>
      <w:r>
        <w:t>。减缓对地表水环境的影响，固体废物妥善处理，对环境的影响程度是可以接受的。从施工时间上看，由于整个项目的施工区域较短，以上环境影响均为暂时性的，随着施工期的结束而消失，项目的负面影响持续时间不长。环境经济损失按项目的不利影响带来的环境损失计算，包括为减缓工程对环境的不利影响，所采取的环境保护等。项目环境保护工程投资</w:t>
      </w:r>
      <w:r>
        <w:rPr>
          <w:rFonts w:hint="eastAsia"/>
        </w:rPr>
        <w:t>383</w:t>
      </w:r>
      <w:r>
        <w:t>万元，即本项目的环境损失约为</w:t>
      </w:r>
      <w:r>
        <w:rPr>
          <w:rFonts w:hint="eastAsia"/>
        </w:rPr>
        <w:t>383</w:t>
      </w:r>
      <w:r>
        <w:t>万元。拟建工程带来不利的环境影响是难免的，通过采取有效的污染防治对策和措施，可以减缓不利影响，而项目带来的环境有利影响是长期的和巨大的，项目的有利影响远大于不利影响。</w:t>
      </w:r>
    </w:p>
    <w:p w14:paraId="50B55B78" w14:textId="77777777" w:rsidR="009D12AF" w:rsidRDefault="00000000">
      <w:pPr>
        <w:pStyle w:val="2"/>
      </w:pPr>
      <w:bookmarkStart w:id="424" w:name="_Toc29922"/>
      <w:r>
        <w:rPr>
          <w:rFonts w:hint="eastAsia"/>
        </w:rPr>
        <w:t>7.3</w:t>
      </w:r>
      <w:r>
        <w:rPr>
          <w:rFonts w:hint="eastAsia"/>
        </w:rPr>
        <w:t>环境经济损益分析结论</w:t>
      </w:r>
      <w:bookmarkEnd w:id="424"/>
    </w:p>
    <w:p w14:paraId="5882E867" w14:textId="77777777" w:rsidR="009D12AF" w:rsidRDefault="00000000">
      <w:pPr>
        <w:adjustRightInd w:val="0"/>
        <w:ind w:firstLine="480"/>
      </w:pPr>
      <w:r>
        <w:t>综合以上分析，本项目为河湖整治工程，项目的建设对</w:t>
      </w:r>
      <w:r>
        <w:rPr>
          <w:lang w:bidi="ar"/>
        </w:rPr>
        <w:t>恢复自然湿地，优化牡丹江市</w:t>
      </w:r>
      <w:r>
        <w:rPr>
          <w:rFonts w:hint="eastAsia"/>
          <w:lang w:bidi="ar"/>
        </w:rPr>
        <w:t>海林市</w:t>
      </w:r>
      <w:r>
        <w:rPr>
          <w:lang w:bidi="ar"/>
        </w:rPr>
        <w:t>生态环境，保证城市饮用水源保护区安全有着重要的意义。</w:t>
      </w:r>
    </w:p>
    <w:p w14:paraId="311AA125" w14:textId="77777777" w:rsidR="009D12AF" w:rsidRDefault="00000000">
      <w:pPr>
        <w:ind w:firstLine="480"/>
      </w:pPr>
      <w:r>
        <w:t>工程造成的环境损失可通过工程建设及运行过程中对社会经济的影响而得到补偿，各项损失均为暂时的、可恢复或补救的，其产生的环境效益则是长远的。因此，本工程的建设可实现社会效益、经济效益和环境效益的和谐统一。</w:t>
      </w:r>
    </w:p>
    <w:p w14:paraId="65A4C73B" w14:textId="77777777" w:rsidR="009D12AF" w:rsidRDefault="00000000">
      <w:pPr>
        <w:ind w:firstLine="480"/>
        <w:rPr>
          <w:highlight w:val="yellow"/>
        </w:rPr>
      </w:pPr>
      <w:r>
        <w:rPr>
          <w:highlight w:val="yellow"/>
        </w:rPr>
        <w:br w:type="page"/>
      </w:r>
    </w:p>
    <w:p w14:paraId="7D7C0483" w14:textId="77777777" w:rsidR="009D12AF" w:rsidRDefault="00000000">
      <w:pPr>
        <w:pStyle w:val="1"/>
      </w:pPr>
      <w:bookmarkStart w:id="425" w:name="_Toc30378"/>
      <w:r>
        <w:rPr>
          <w:rFonts w:hint="eastAsia"/>
        </w:rPr>
        <w:lastRenderedPageBreak/>
        <w:t>8</w:t>
      </w:r>
      <w:r>
        <w:t xml:space="preserve"> </w:t>
      </w:r>
      <w:r>
        <w:t>环境管理与环境监测</w:t>
      </w:r>
      <w:bookmarkEnd w:id="425"/>
    </w:p>
    <w:p w14:paraId="19C60CE1" w14:textId="77777777" w:rsidR="009D12AF" w:rsidRDefault="00000000">
      <w:pPr>
        <w:pStyle w:val="2"/>
      </w:pPr>
      <w:bookmarkStart w:id="426" w:name="_Toc7983"/>
      <w:r>
        <w:rPr>
          <w:rFonts w:hint="eastAsia"/>
        </w:rPr>
        <w:t>8</w:t>
      </w:r>
      <w:r>
        <w:t xml:space="preserve">.1 </w:t>
      </w:r>
      <w:r>
        <w:t>环境管理目标</w:t>
      </w:r>
      <w:bookmarkEnd w:id="426"/>
    </w:p>
    <w:p w14:paraId="5DE8CDCE" w14:textId="77777777" w:rsidR="009D12AF" w:rsidRDefault="00000000">
      <w:pPr>
        <w:pStyle w:val="3"/>
      </w:pPr>
      <w:bookmarkStart w:id="427" w:name="_Toc13813"/>
      <w:r>
        <w:rPr>
          <w:rFonts w:hint="eastAsia"/>
        </w:rPr>
        <w:t>8.1.1</w:t>
      </w:r>
      <w:r>
        <w:rPr>
          <w:rFonts w:hint="eastAsia"/>
        </w:rPr>
        <w:t>环境管理意义</w:t>
      </w:r>
      <w:bookmarkEnd w:id="427"/>
    </w:p>
    <w:p w14:paraId="472C4F46" w14:textId="77777777" w:rsidR="009D12AF" w:rsidRDefault="00000000">
      <w:pPr>
        <w:ind w:firstLine="480"/>
      </w:pPr>
      <w:r>
        <w:t>通过制订系统的、科学的环境管理计划，使本报告中提出的减缓负面环境影响的措施在项目的设计、施工和营运过程中得到落实，从而实现环境保护和拟建工程同步设计、同步施工和同步投产的</w:t>
      </w:r>
      <w:r>
        <w:t>“</w:t>
      </w:r>
      <w:r>
        <w:t>三同时</w:t>
      </w:r>
      <w:r>
        <w:t>”</w:t>
      </w:r>
      <w:r>
        <w:t>制度要求。</w:t>
      </w:r>
    </w:p>
    <w:p w14:paraId="09E9F870" w14:textId="77777777" w:rsidR="009D12AF" w:rsidRDefault="00000000">
      <w:pPr>
        <w:ind w:firstLine="480"/>
      </w:pPr>
      <w:r>
        <w:t>通过实施环境管理计划，将制订的拟建工程施工和营运阶段的环境负面影响缓解措施得到落实，为环保部门对其进行监督提供依据，使该项目的经济效益和环境效益得以协调一致。</w:t>
      </w:r>
    </w:p>
    <w:p w14:paraId="6FECA984" w14:textId="77777777" w:rsidR="009D12AF" w:rsidRDefault="00000000">
      <w:pPr>
        <w:pStyle w:val="3"/>
      </w:pPr>
      <w:bookmarkStart w:id="428" w:name="_Toc25764"/>
      <w:bookmarkStart w:id="429" w:name="_Toc13095"/>
      <w:bookmarkStart w:id="430" w:name="_Toc11765"/>
      <w:bookmarkStart w:id="431" w:name="_Toc13007"/>
      <w:r>
        <w:rPr>
          <w:rFonts w:hint="eastAsia"/>
        </w:rPr>
        <w:t>8</w:t>
      </w:r>
      <w:r>
        <w:t>.1.</w:t>
      </w:r>
      <w:r>
        <w:rPr>
          <w:rFonts w:hint="eastAsia"/>
        </w:rPr>
        <w:t>2</w:t>
      </w:r>
      <w:r>
        <w:t>环境管理体系</w:t>
      </w:r>
      <w:bookmarkEnd w:id="428"/>
      <w:bookmarkEnd w:id="429"/>
      <w:bookmarkEnd w:id="430"/>
      <w:bookmarkEnd w:id="431"/>
    </w:p>
    <w:p w14:paraId="65301C12" w14:textId="77777777" w:rsidR="009D12AF" w:rsidRDefault="00000000">
      <w:pPr>
        <w:adjustRightInd w:val="0"/>
        <w:ind w:firstLine="480"/>
      </w:pPr>
      <w:r>
        <w:t>本次工程施工管理单位为</w:t>
      </w:r>
      <w:r>
        <w:rPr>
          <w:rFonts w:hint="eastAsia"/>
        </w:rPr>
        <w:t>牡丹江市海林市人民政府</w:t>
      </w:r>
      <w:r>
        <w:t>，其内部设置环境管理科，配置</w:t>
      </w:r>
      <w:r>
        <w:t>2</w:t>
      </w:r>
      <w:r>
        <w:t>名环境管理人员。环境管理人员的职责为日常巡视，下发指令性文件等方式，监督、审查和评估施工期环境保护执行情况，及时发现和指正施工单位的违反环境保护政策行为，及时将监理情况反馈给工程监理和工程建设管理部门，及时与环境监督结构牡丹江市</w:t>
      </w:r>
      <w:r>
        <w:rPr>
          <w:rFonts w:hint="eastAsia"/>
        </w:rPr>
        <w:t>海林市</w:t>
      </w:r>
      <w:r>
        <w:t>生态环境局沟通，防止各种突发污染事故发生。</w:t>
      </w:r>
    </w:p>
    <w:p w14:paraId="01B1C6C5" w14:textId="77777777" w:rsidR="009D12AF" w:rsidRDefault="00000000">
      <w:pPr>
        <w:adjustRightInd w:val="0"/>
        <w:ind w:firstLine="480"/>
      </w:pPr>
      <w:r>
        <w:t>在项目各阶段的环境管理还应该做好以下工作：</w:t>
      </w:r>
    </w:p>
    <w:p w14:paraId="1C231A15" w14:textId="77777777" w:rsidR="009D12AF" w:rsidRDefault="00000000">
      <w:pPr>
        <w:adjustRightInd w:val="0"/>
        <w:ind w:firstLine="480"/>
      </w:pPr>
      <w:r>
        <w:rPr>
          <w:rFonts w:hint="eastAsia"/>
        </w:rPr>
        <w:t>（</w:t>
      </w:r>
      <w:r>
        <w:rPr>
          <w:rFonts w:hint="eastAsia"/>
        </w:rPr>
        <w:t>1</w:t>
      </w:r>
      <w:r>
        <w:rPr>
          <w:rFonts w:hint="eastAsia"/>
        </w:rPr>
        <w:t>）</w:t>
      </w:r>
      <w:r>
        <w:t>设计阶段：设计部门应将环境影响报告书提出的各项环境保护措施落实到设计中，建设单位应该对环境保护措施的设计方案进行认真的审查。</w:t>
      </w:r>
    </w:p>
    <w:p w14:paraId="09AC590C" w14:textId="77777777" w:rsidR="009D12AF" w:rsidRDefault="00000000">
      <w:pPr>
        <w:adjustRightInd w:val="0"/>
        <w:ind w:firstLine="480"/>
      </w:pPr>
      <w:r>
        <w:rPr>
          <w:rFonts w:hint="eastAsia"/>
        </w:rPr>
        <w:t>（</w:t>
      </w:r>
      <w:r>
        <w:rPr>
          <w:rFonts w:hint="eastAsia"/>
        </w:rPr>
        <w:t>2</w:t>
      </w:r>
      <w:r>
        <w:rPr>
          <w:rFonts w:hint="eastAsia"/>
        </w:rPr>
        <w:t>）</w:t>
      </w:r>
      <w:r>
        <w:t>招标阶段：承包商在投标中应有环保措施内容及具体落实的条款和制度。</w:t>
      </w:r>
    </w:p>
    <w:p w14:paraId="33E0DB6E" w14:textId="77777777" w:rsidR="009D12AF" w:rsidRDefault="00000000">
      <w:pPr>
        <w:ind w:firstLine="480"/>
      </w:pPr>
      <w:r>
        <w:rPr>
          <w:rFonts w:hint="eastAsia"/>
        </w:rPr>
        <w:t>（</w:t>
      </w:r>
      <w:r>
        <w:rPr>
          <w:rFonts w:hint="eastAsia"/>
        </w:rPr>
        <w:t>3</w:t>
      </w:r>
      <w:r>
        <w:rPr>
          <w:rFonts w:hint="eastAsia"/>
        </w:rPr>
        <w:t>）</w:t>
      </w:r>
      <w:r>
        <w:t>建设期：建设单位在施工时应该配</w:t>
      </w:r>
      <w:r>
        <w:t>1</w:t>
      </w:r>
      <w:r>
        <w:t>名环境保护专职人员，负责施工期的环境保护措施的落实情况及各方面的环境管理工作。重点防止水土流失、生态破坏、生活污水随意排放、施工噪声、粉尘等。</w:t>
      </w:r>
    </w:p>
    <w:p w14:paraId="544EDC08" w14:textId="77777777" w:rsidR="009D12AF" w:rsidRDefault="00000000">
      <w:pPr>
        <w:pStyle w:val="3"/>
      </w:pPr>
      <w:bookmarkStart w:id="432" w:name="_Toc29598"/>
      <w:bookmarkStart w:id="433" w:name="_Toc27099"/>
      <w:bookmarkStart w:id="434" w:name="_Toc1836"/>
      <w:bookmarkStart w:id="435" w:name="_Toc25133"/>
      <w:r>
        <w:rPr>
          <w:rFonts w:hint="eastAsia"/>
        </w:rPr>
        <w:lastRenderedPageBreak/>
        <w:t>8</w:t>
      </w:r>
      <w:r>
        <w:t>.1.3</w:t>
      </w:r>
      <w:r>
        <w:t>环保</w:t>
      </w:r>
      <w:bookmarkEnd w:id="432"/>
      <w:bookmarkEnd w:id="433"/>
      <w:bookmarkEnd w:id="434"/>
      <w:r>
        <w:rPr>
          <w:rFonts w:hint="eastAsia"/>
        </w:rPr>
        <w:t>管理职责</w:t>
      </w:r>
      <w:bookmarkEnd w:id="435"/>
    </w:p>
    <w:p w14:paraId="705C0D46" w14:textId="77777777" w:rsidR="009D12AF" w:rsidRDefault="00000000">
      <w:pPr>
        <w:adjustRightInd w:val="0"/>
        <w:ind w:firstLine="480"/>
      </w:pPr>
      <w:r>
        <w:t>（</w:t>
      </w:r>
      <w:r>
        <w:t>1</w:t>
      </w:r>
      <w:r>
        <w:t>）认真贯彻执行国家和省内各项环境保护法规、政策，普及环境保护知识，增加管理人员和施工人员的环境保护意识。</w:t>
      </w:r>
    </w:p>
    <w:p w14:paraId="167625A0" w14:textId="77777777" w:rsidR="009D12AF" w:rsidRDefault="00000000">
      <w:pPr>
        <w:adjustRightInd w:val="0"/>
        <w:ind w:firstLine="480"/>
      </w:pPr>
      <w:r>
        <w:t>（</w:t>
      </w:r>
      <w:r>
        <w:t>2</w:t>
      </w:r>
      <w:r>
        <w:t>）</w:t>
      </w:r>
      <w:r>
        <w:t xml:space="preserve"> </w:t>
      </w:r>
      <w:r>
        <w:t>负责编制项目施工期和运行期的环境保护计划，监督环境影响报告书中所提出的各项环境保护防治措施的落实情况。</w:t>
      </w:r>
    </w:p>
    <w:p w14:paraId="4D8E33E1" w14:textId="77777777" w:rsidR="009D12AF" w:rsidRDefault="00000000">
      <w:pPr>
        <w:adjustRightInd w:val="0"/>
        <w:ind w:firstLine="480"/>
      </w:pPr>
      <w:r>
        <w:t>（</w:t>
      </w:r>
      <w:r>
        <w:t>3</w:t>
      </w:r>
      <w:r>
        <w:t>）施工队伍的招标工作，对承包商在招投标书中应有的环保内容审查。</w:t>
      </w:r>
    </w:p>
    <w:p w14:paraId="636926E3" w14:textId="77777777" w:rsidR="009D12AF" w:rsidRDefault="00000000">
      <w:pPr>
        <w:ind w:firstLine="480"/>
      </w:pPr>
      <w:r>
        <w:t>（</w:t>
      </w:r>
      <w:r>
        <w:t>4</w:t>
      </w:r>
      <w:r>
        <w:t>）定期向环境保护部门汇报环境保护设施运行及处理情况。</w:t>
      </w:r>
    </w:p>
    <w:p w14:paraId="5405BEBC" w14:textId="77777777" w:rsidR="009D12AF" w:rsidRDefault="00000000">
      <w:pPr>
        <w:pStyle w:val="3"/>
      </w:pPr>
      <w:bookmarkStart w:id="436" w:name="_Toc26108"/>
      <w:r>
        <w:rPr>
          <w:rFonts w:hint="eastAsia"/>
        </w:rPr>
        <w:t>8.1.4</w:t>
      </w:r>
      <w:r>
        <w:rPr>
          <w:rFonts w:hint="eastAsia"/>
        </w:rPr>
        <w:t>环境监理</w:t>
      </w:r>
      <w:bookmarkEnd w:id="436"/>
    </w:p>
    <w:p w14:paraId="7B731E31" w14:textId="77777777" w:rsidR="009D12AF" w:rsidRDefault="00000000">
      <w:pPr>
        <w:tabs>
          <w:tab w:val="left" w:pos="6480"/>
        </w:tabs>
        <w:adjustRightInd w:val="0"/>
        <w:snapToGrid w:val="0"/>
        <w:ind w:firstLine="480"/>
      </w:pPr>
      <w:r>
        <w:t>根据该工程特点，把项目建设分成项目前期和施工期，对所存在的环境问题提出相应的环境保护措施，制定出确保环境保护措施实施的计划。详见表</w:t>
      </w:r>
      <w:r>
        <w:t>8</w:t>
      </w:r>
      <w:r>
        <w:rPr>
          <w:rFonts w:hint="eastAsia"/>
        </w:rPr>
        <w:t>.</w:t>
      </w:r>
      <w:r>
        <w:t>1-1</w:t>
      </w:r>
      <w:r>
        <w:t>。</w:t>
      </w:r>
    </w:p>
    <w:p w14:paraId="0A5A2D39" w14:textId="77777777" w:rsidR="009D12AF" w:rsidRDefault="00000000">
      <w:pPr>
        <w:adjustRightInd w:val="0"/>
        <w:spacing w:line="240" w:lineRule="auto"/>
        <w:ind w:firstLine="482"/>
        <w:jc w:val="center"/>
        <w:rPr>
          <w:b/>
        </w:rPr>
      </w:pPr>
      <w:r>
        <w:rPr>
          <w:b/>
        </w:rPr>
        <w:t>表</w:t>
      </w:r>
      <w:r>
        <w:rPr>
          <w:b/>
        </w:rPr>
        <w:t xml:space="preserve"> 8</w:t>
      </w:r>
      <w:r>
        <w:rPr>
          <w:rFonts w:hint="eastAsia"/>
          <w:b/>
        </w:rPr>
        <w:t>.</w:t>
      </w:r>
      <w:r>
        <w:rPr>
          <w:b/>
        </w:rPr>
        <w:t xml:space="preserve">1-1  </w:t>
      </w:r>
      <w:r>
        <w:rPr>
          <w:b/>
        </w:rPr>
        <w:t>环境管理计划表</w:t>
      </w:r>
    </w:p>
    <w:tbl>
      <w:tblPr>
        <w:tblW w:w="8741" w:type="dxa"/>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152"/>
        <w:gridCol w:w="4626"/>
        <w:gridCol w:w="1276"/>
        <w:gridCol w:w="1687"/>
      </w:tblGrid>
      <w:tr w:rsidR="009D12AF" w14:paraId="4B446442" w14:textId="77777777">
        <w:trPr>
          <w:trHeight w:val="397"/>
        </w:trPr>
        <w:tc>
          <w:tcPr>
            <w:tcW w:w="1152" w:type="dxa"/>
            <w:vAlign w:val="center"/>
          </w:tcPr>
          <w:p w14:paraId="40859B14"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37" w:name="_Toc151711422"/>
            <w:r>
              <w:rPr>
                <w:rFonts w:ascii="Times New Roman" w:eastAsia="宋体" w:hAnsi="Times New Roman"/>
                <w:sz w:val="21"/>
                <w:szCs w:val="21"/>
              </w:rPr>
              <w:t>环境问题</w:t>
            </w:r>
            <w:bookmarkEnd w:id="437"/>
          </w:p>
        </w:tc>
        <w:tc>
          <w:tcPr>
            <w:tcW w:w="4626" w:type="dxa"/>
            <w:vAlign w:val="center"/>
          </w:tcPr>
          <w:p w14:paraId="609B3105"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38" w:name="_Toc151711423"/>
            <w:r>
              <w:rPr>
                <w:rFonts w:ascii="Times New Roman" w:eastAsia="宋体" w:hAnsi="Times New Roman"/>
                <w:sz w:val="21"/>
                <w:szCs w:val="21"/>
              </w:rPr>
              <w:t>采取措施</w:t>
            </w:r>
            <w:bookmarkEnd w:id="438"/>
          </w:p>
        </w:tc>
        <w:tc>
          <w:tcPr>
            <w:tcW w:w="1276" w:type="dxa"/>
            <w:vAlign w:val="center"/>
          </w:tcPr>
          <w:p w14:paraId="3CB47617"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39" w:name="_Toc151711424"/>
            <w:r>
              <w:rPr>
                <w:rFonts w:ascii="Times New Roman" w:eastAsia="宋体" w:hAnsi="Times New Roman"/>
                <w:sz w:val="21"/>
                <w:szCs w:val="21"/>
              </w:rPr>
              <w:t>实施机构</w:t>
            </w:r>
            <w:bookmarkEnd w:id="439"/>
          </w:p>
        </w:tc>
        <w:tc>
          <w:tcPr>
            <w:tcW w:w="1687" w:type="dxa"/>
            <w:vAlign w:val="center"/>
          </w:tcPr>
          <w:p w14:paraId="7223320F"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40" w:name="_Toc151711425"/>
            <w:r>
              <w:rPr>
                <w:rFonts w:ascii="Times New Roman" w:eastAsia="宋体" w:hAnsi="Times New Roman"/>
                <w:sz w:val="21"/>
                <w:szCs w:val="21"/>
              </w:rPr>
              <w:t>监督机构</w:t>
            </w:r>
            <w:bookmarkEnd w:id="440"/>
          </w:p>
        </w:tc>
      </w:tr>
      <w:tr w:rsidR="009D12AF" w14:paraId="0359E3BE" w14:textId="77777777">
        <w:trPr>
          <w:trHeight w:val="397"/>
        </w:trPr>
        <w:tc>
          <w:tcPr>
            <w:tcW w:w="8741" w:type="dxa"/>
            <w:gridSpan w:val="4"/>
            <w:vAlign w:val="center"/>
          </w:tcPr>
          <w:p w14:paraId="19C706BB"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41" w:name="_Toc151711426"/>
            <w:r>
              <w:rPr>
                <w:rFonts w:ascii="Times New Roman" w:eastAsia="宋体" w:hAnsi="Times New Roman"/>
                <w:sz w:val="21"/>
                <w:szCs w:val="21"/>
              </w:rPr>
              <w:t>一、项目前期</w:t>
            </w:r>
            <w:bookmarkEnd w:id="441"/>
          </w:p>
        </w:tc>
      </w:tr>
      <w:tr w:rsidR="009D12AF" w14:paraId="14565EAB" w14:textId="77777777">
        <w:trPr>
          <w:trHeight w:val="397"/>
        </w:trPr>
        <w:tc>
          <w:tcPr>
            <w:tcW w:w="1152" w:type="dxa"/>
            <w:vAlign w:val="center"/>
          </w:tcPr>
          <w:p w14:paraId="2A829F28"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施工道路</w:t>
            </w:r>
          </w:p>
        </w:tc>
        <w:tc>
          <w:tcPr>
            <w:tcW w:w="4626" w:type="dxa"/>
            <w:vAlign w:val="center"/>
          </w:tcPr>
          <w:p w14:paraId="70207EAC"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r>
              <w:rPr>
                <w:rFonts w:ascii="Times New Roman" w:eastAsia="宋体" w:hAnsi="Times New Roman"/>
                <w:sz w:val="21"/>
                <w:szCs w:val="21"/>
                <w:lang w:val="en-US"/>
              </w:rPr>
              <w:t>对影响交通的路段加以整修，现无法通行的施工区，需根据工程实际情况专门修建临时施工道路</w:t>
            </w:r>
          </w:p>
        </w:tc>
        <w:tc>
          <w:tcPr>
            <w:tcW w:w="1276" w:type="dxa"/>
            <w:vAlign w:val="center"/>
          </w:tcPr>
          <w:p w14:paraId="29A86EB8"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42" w:name="_Toc151711429"/>
            <w:r>
              <w:rPr>
                <w:rFonts w:ascii="Times New Roman" w:eastAsia="宋体" w:hAnsi="Times New Roman"/>
                <w:sz w:val="21"/>
                <w:szCs w:val="21"/>
              </w:rPr>
              <w:t>建设单位、设计单位</w:t>
            </w:r>
            <w:bookmarkEnd w:id="442"/>
          </w:p>
        </w:tc>
        <w:tc>
          <w:tcPr>
            <w:tcW w:w="1687" w:type="dxa"/>
            <w:vAlign w:val="center"/>
          </w:tcPr>
          <w:p w14:paraId="3DAC416A"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43" w:name="_Toc151711430"/>
            <w:r>
              <w:rPr>
                <w:rFonts w:ascii="Times New Roman" w:eastAsia="宋体" w:hAnsi="Times New Roman"/>
                <w:sz w:val="21"/>
                <w:szCs w:val="21"/>
              </w:rPr>
              <w:t>当地政府</w:t>
            </w:r>
            <w:bookmarkEnd w:id="443"/>
          </w:p>
        </w:tc>
      </w:tr>
      <w:tr w:rsidR="009D12AF" w14:paraId="0985C6FE" w14:textId="77777777">
        <w:trPr>
          <w:trHeight w:val="397"/>
        </w:trPr>
        <w:tc>
          <w:tcPr>
            <w:tcW w:w="8741" w:type="dxa"/>
            <w:gridSpan w:val="4"/>
            <w:vAlign w:val="center"/>
          </w:tcPr>
          <w:p w14:paraId="507A93D2"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44" w:name="_Toc151711431"/>
            <w:r>
              <w:rPr>
                <w:rFonts w:ascii="Times New Roman" w:eastAsia="宋体" w:hAnsi="Times New Roman"/>
                <w:sz w:val="21"/>
                <w:szCs w:val="21"/>
              </w:rPr>
              <w:t>二、施工期</w:t>
            </w:r>
            <w:bookmarkEnd w:id="444"/>
          </w:p>
        </w:tc>
      </w:tr>
      <w:tr w:rsidR="009D12AF" w14:paraId="11DDFA21" w14:textId="77777777">
        <w:trPr>
          <w:trHeight w:val="397"/>
        </w:trPr>
        <w:tc>
          <w:tcPr>
            <w:tcW w:w="5778" w:type="dxa"/>
            <w:gridSpan w:val="2"/>
            <w:vAlign w:val="center"/>
          </w:tcPr>
          <w:p w14:paraId="6C2FC0BC"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45" w:name="_Toc151711432"/>
            <w:r>
              <w:rPr>
                <w:rFonts w:ascii="Times New Roman" w:eastAsia="宋体" w:hAnsi="Times New Roman"/>
                <w:sz w:val="21"/>
                <w:szCs w:val="21"/>
              </w:rPr>
              <w:t>1</w:t>
            </w:r>
            <w:r>
              <w:rPr>
                <w:rFonts w:ascii="Times New Roman" w:eastAsia="宋体" w:hAnsi="Times New Roman"/>
                <w:sz w:val="21"/>
                <w:szCs w:val="21"/>
              </w:rPr>
              <w:t>、施工区</w:t>
            </w:r>
            <w:bookmarkEnd w:id="445"/>
          </w:p>
        </w:tc>
        <w:tc>
          <w:tcPr>
            <w:tcW w:w="1276" w:type="dxa"/>
            <w:vMerge w:val="restart"/>
            <w:vAlign w:val="center"/>
          </w:tcPr>
          <w:p w14:paraId="7F01CA8E" w14:textId="77777777" w:rsidR="009D12AF" w:rsidRDefault="00000000">
            <w:pPr>
              <w:pStyle w:val="14"/>
              <w:adjustRightInd w:val="0"/>
              <w:snapToGrid w:val="0"/>
              <w:spacing w:line="240" w:lineRule="auto"/>
              <w:ind w:firstLineChars="0" w:firstLine="0"/>
              <w:jc w:val="center"/>
              <w:rPr>
                <w:rFonts w:ascii="Times New Roman" w:eastAsia="宋体" w:hAnsi="Times New Roman"/>
                <w:sz w:val="21"/>
                <w:szCs w:val="21"/>
              </w:rPr>
            </w:pPr>
            <w:bookmarkStart w:id="446" w:name="_Toc151711433"/>
            <w:r>
              <w:rPr>
                <w:rFonts w:ascii="Times New Roman" w:eastAsia="宋体" w:hAnsi="Times New Roman"/>
                <w:sz w:val="21"/>
                <w:szCs w:val="21"/>
              </w:rPr>
              <w:t>建设单位</w:t>
            </w:r>
            <w:bookmarkEnd w:id="446"/>
          </w:p>
          <w:p w14:paraId="02C496E9" w14:textId="77777777" w:rsidR="009D12AF" w:rsidRDefault="00000000">
            <w:pPr>
              <w:pStyle w:val="14"/>
              <w:adjustRightInd w:val="0"/>
              <w:snapToGrid w:val="0"/>
              <w:spacing w:line="240" w:lineRule="auto"/>
              <w:ind w:firstLineChars="0" w:firstLine="0"/>
              <w:jc w:val="center"/>
              <w:rPr>
                <w:rFonts w:ascii="Times New Roman" w:eastAsia="宋体" w:hAnsi="Times New Roman"/>
                <w:sz w:val="21"/>
                <w:szCs w:val="21"/>
              </w:rPr>
            </w:pPr>
            <w:bookmarkStart w:id="447" w:name="_Toc151711434"/>
            <w:r>
              <w:rPr>
                <w:rFonts w:ascii="Times New Roman" w:eastAsia="宋体" w:hAnsi="Times New Roman"/>
                <w:sz w:val="21"/>
                <w:szCs w:val="21"/>
              </w:rPr>
              <w:t>设计单位</w:t>
            </w:r>
            <w:bookmarkEnd w:id="447"/>
          </w:p>
          <w:p w14:paraId="4ADE1CB8" w14:textId="77777777" w:rsidR="009D12AF" w:rsidRDefault="00000000">
            <w:pPr>
              <w:pStyle w:val="14"/>
              <w:adjustRightInd w:val="0"/>
              <w:snapToGrid w:val="0"/>
              <w:spacing w:line="240" w:lineRule="auto"/>
              <w:ind w:firstLineChars="0" w:firstLine="0"/>
              <w:jc w:val="center"/>
              <w:rPr>
                <w:rFonts w:ascii="Times New Roman" w:eastAsia="宋体" w:hAnsi="Times New Roman"/>
                <w:sz w:val="21"/>
                <w:szCs w:val="21"/>
              </w:rPr>
            </w:pPr>
            <w:bookmarkStart w:id="448" w:name="_Toc151711435"/>
            <w:r>
              <w:rPr>
                <w:rFonts w:ascii="Times New Roman" w:eastAsia="宋体" w:hAnsi="Times New Roman"/>
                <w:sz w:val="21"/>
                <w:szCs w:val="21"/>
              </w:rPr>
              <w:t>施工单位</w:t>
            </w:r>
            <w:bookmarkEnd w:id="448"/>
          </w:p>
        </w:tc>
        <w:tc>
          <w:tcPr>
            <w:tcW w:w="1687" w:type="dxa"/>
            <w:vMerge w:val="restart"/>
            <w:vAlign w:val="center"/>
          </w:tcPr>
          <w:p w14:paraId="4600A1E7"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49" w:name="_Toc151711436"/>
            <w:r>
              <w:rPr>
                <w:rFonts w:ascii="Times New Roman" w:eastAsia="宋体" w:hAnsi="Times New Roman" w:hint="eastAsia"/>
                <w:sz w:val="21"/>
                <w:szCs w:val="21"/>
                <w:lang w:val="en-US"/>
              </w:rPr>
              <w:t>海林市</w:t>
            </w:r>
            <w:r>
              <w:rPr>
                <w:rFonts w:ascii="Times New Roman" w:eastAsia="宋体" w:hAnsi="Times New Roman"/>
                <w:sz w:val="21"/>
                <w:szCs w:val="21"/>
              </w:rPr>
              <w:t>政府</w:t>
            </w:r>
            <w:bookmarkEnd w:id="449"/>
          </w:p>
          <w:p w14:paraId="214FEA58"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r>
              <w:rPr>
                <w:rFonts w:ascii="Times New Roman" w:eastAsia="宋体" w:hAnsi="Times New Roman" w:hint="eastAsia"/>
                <w:sz w:val="21"/>
                <w:szCs w:val="21"/>
                <w:lang w:val="en-US"/>
              </w:rPr>
              <w:t>海林市</w:t>
            </w:r>
            <w:r>
              <w:rPr>
                <w:rFonts w:ascii="Times New Roman" w:eastAsia="宋体" w:hAnsi="Times New Roman"/>
                <w:sz w:val="21"/>
                <w:szCs w:val="21"/>
                <w:lang w:val="en-US"/>
              </w:rPr>
              <w:t>生态环境局</w:t>
            </w:r>
          </w:p>
        </w:tc>
      </w:tr>
      <w:tr w:rsidR="009D12AF" w14:paraId="500539B8" w14:textId="77777777">
        <w:trPr>
          <w:trHeight w:val="397"/>
        </w:trPr>
        <w:tc>
          <w:tcPr>
            <w:tcW w:w="1152" w:type="dxa"/>
            <w:vAlign w:val="center"/>
          </w:tcPr>
          <w:p w14:paraId="0BD17465"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50" w:name="_Toc151711438"/>
            <w:r>
              <w:rPr>
                <w:rFonts w:ascii="Times New Roman" w:eastAsia="宋体" w:hAnsi="Times New Roman"/>
                <w:sz w:val="21"/>
                <w:szCs w:val="21"/>
              </w:rPr>
              <w:t>施工临时占地破坏地表植被</w:t>
            </w:r>
            <w:bookmarkEnd w:id="450"/>
          </w:p>
        </w:tc>
        <w:tc>
          <w:tcPr>
            <w:tcW w:w="4626" w:type="dxa"/>
            <w:vAlign w:val="center"/>
          </w:tcPr>
          <w:p w14:paraId="7D6B0734"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51" w:name="_Toc151711439"/>
            <w:r>
              <w:rPr>
                <w:rFonts w:ascii="Times New Roman" w:eastAsia="宋体" w:hAnsi="Times New Roman"/>
                <w:sz w:val="21"/>
                <w:szCs w:val="21"/>
              </w:rPr>
              <w:t>施工结束后及时平整，恢复植被；加强对施工人员环境保护意识教育，保护施工区周边植物资源；施工结束后弃方回填弃土场。</w:t>
            </w:r>
            <w:bookmarkEnd w:id="451"/>
          </w:p>
        </w:tc>
        <w:tc>
          <w:tcPr>
            <w:tcW w:w="1276" w:type="dxa"/>
            <w:vMerge/>
            <w:vAlign w:val="center"/>
          </w:tcPr>
          <w:p w14:paraId="0E003ECB" w14:textId="77777777" w:rsidR="009D12AF" w:rsidRDefault="009D12AF">
            <w:pPr>
              <w:pStyle w:val="14"/>
              <w:adjustRightInd w:val="0"/>
              <w:snapToGrid w:val="0"/>
              <w:spacing w:line="240" w:lineRule="auto"/>
              <w:ind w:firstLineChars="0" w:firstLine="0"/>
              <w:rPr>
                <w:rFonts w:ascii="Times New Roman" w:eastAsia="宋体" w:hAnsi="Times New Roman"/>
                <w:sz w:val="21"/>
                <w:szCs w:val="21"/>
              </w:rPr>
            </w:pPr>
          </w:p>
        </w:tc>
        <w:tc>
          <w:tcPr>
            <w:tcW w:w="1687" w:type="dxa"/>
            <w:vMerge/>
            <w:vAlign w:val="center"/>
          </w:tcPr>
          <w:p w14:paraId="3A75B09D" w14:textId="77777777" w:rsidR="009D12AF" w:rsidRDefault="009D12AF">
            <w:pPr>
              <w:pStyle w:val="14"/>
              <w:adjustRightInd w:val="0"/>
              <w:snapToGrid w:val="0"/>
              <w:spacing w:line="240" w:lineRule="auto"/>
              <w:ind w:firstLineChars="0" w:firstLine="0"/>
              <w:rPr>
                <w:rFonts w:ascii="Times New Roman" w:eastAsia="宋体" w:hAnsi="Times New Roman"/>
                <w:sz w:val="21"/>
                <w:szCs w:val="21"/>
              </w:rPr>
            </w:pPr>
          </w:p>
        </w:tc>
      </w:tr>
      <w:tr w:rsidR="009D12AF" w14:paraId="4E7D924A" w14:textId="77777777">
        <w:trPr>
          <w:trHeight w:val="397"/>
        </w:trPr>
        <w:tc>
          <w:tcPr>
            <w:tcW w:w="1152" w:type="dxa"/>
            <w:vAlign w:val="center"/>
          </w:tcPr>
          <w:p w14:paraId="73843B01"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52" w:name="_Toc151711440"/>
            <w:r>
              <w:rPr>
                <w:rFonts w:ascii="Times New Roman" w:eastAsia="宋体" w:hAnsi="Times New Roman"/>
                <w:sz w:val="21"/>
                <w:szCs w:val="21"/>
              </w:rPr>
              <w:t>水土流失</w:t>
            </w:r>
            <w:bookmarkEnd w:id="452"/>
          </w:p>
        </w:tc>
        <w:tc>
          <w:tcPr>
            <w:tcW w:w="4626" w:type="dxa"/>
            <w:vAlign w:val="center"/>
          </w:tcPr>
          <w:p w14:paraId="32D89C89"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53" w:name="_Toc151711441"/>
            <w:r>
              <w:rPr>
                <w:rFonts w:ascii="Times New Roman" w:eastAsia="宋体" w:hAnsi="Times New Roman"/>
                <w:sz w:val="21"/>
                <w:szCs w:val="21"/>
              </w:rPr>
              <w:t>增强施工人员的水土保持意识，避免扩大扰动破坏面积。施工结束后进行植被恢复。</w:t>
            </w:r>
            <w:bookmarkEnd w:id="453"/>
          </w:p>
        </w:tc>
        <w:tc>
          <w:tcPr>
            <w:tcW w:w="1276" w:type="dxa"/>
            <w:vMerge/>
            <w:vAlign w:val="center"/>
          </w:tcPr>
          <w:p w14:paraId="3AFA0152" w14:textId="77777777" w:rsidR="009D12AF" w:rsidRDefault="009D12AF">
            <w:pPr>
              <w:pStyle w:val="14"/>
              <w:adjustRightInd w:val="0"/>
              <w:snapToGrid w:val="0"/>
              <w:spacing w:line="240" w:lineRule="auto"/>
              <w:ind w:firstLineChars="0" w:firstLine="0"/>
              <w:rPr>
                <w:rFonts w:ascii="Times New Roman" w:eastAsia="宋体" w:hAnsi="Times New Roman"/>
                <w:sz w:val="21"/>
                <w:szCs w:val="21"/>
              </w:rPr>
            </w:pPr>
          </w:p>
        </w:tc>
        <w:tc>
          <w:tcPr>
            <w:tcW w:w="1687" w:type="dxa"/>
            <w:vMerge/>
            <w:vAlign w:val="center"/>
          </w:tcPr>
          <w:p w14:paraId="2411808E" w14:textId="77777777" w:rsidR="009D12AF" w:rsidRDefault="009D12AF">
            <w:pPr>
              <w:pStyle w:val="14"/>
              <w:adjustRightInd w:val="0"/>
              <w:snapToGrid w:val="0"/>
              <w:spacing w:line="240" w:lineRule="auto"/>
              <w:ind w:firstLineChars="0" w:firstLine="0"/>
              <w:rPr>
                <w:rFonts w:ascii="Times New Roman" w:eastAsia="宋体" w:hAnsi="Times New Roman"/>
                <w:sz w:val="21"/>
                <w:szCs w:val="21"/>
              </w:rPr>
            </w:pPr>
          </w:p>
        </w:tc>
      </w:tr>
      <w:tr w:rsidR="009D12AF" w14:paraId="00309BE2" w14:textId="77777777">
        <w:trPr>
          <w:trHeight w:val="397"/>
        </w:trPr>
        <w:tc>
          <w:tcPr>
            <w:tcW w:w="1152" w:type="dxa"/>
            <w:vAlign w:val="center"/>
          </w:tcPr>
          <w:p w14:paraId="4261FE65"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lang w:val="en-US"/>
              </w:rPr>
            </w:pPr>
            <w:r>
              <w:rPr>
                <w:rFonts w:ascii="Times New Roman" w:eastAsia="宋体" w:hAnsi="Times New Roman" w:hint="eastAsia"/>
                <w:sz w:val="21"/>
                <w:szCs w:val="21"/>
                <w:lang w:val="en-US"/>
              </w:rPr>
              <w:t>机械设备冲洗废水</w:t>
            </w:r>
          </w:p>
          <w:p w14:paraId="4469368B"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lang w:val="en-US"/>
              </w:rPr>
            </w:pPr>
            <w:r>
              <w:rPr>
                <w:rFonts w:ascii="Times New Roman" w:eastAsia="宋体" w:hAnsi="Times New Roman" w:hint="eastAsia"/>
                <w:sz w:val="21"/>
                <w:szCs w:val="21"/>
                <w:lang w:val="en-US"/>
              </w:rPr>
              <w:t>挖泥船船底油污水</w:t>
            </w:r>
          </w:p>
          <w:p w14:paraId="135E41C6"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r>
              <w:rPr>
                <w:rFonts w:ascii="Times New Roman" w:eastAsia="宋体" w:hAnsi="Times New Roman"/>
                <w:sz w:val="21"/>
                <w:szCs w:val="21"/>
              </w:rPr>
              <w:t>清淤渗滤水</w:t>
            </w:r>
          </w:p>
        </w:tc>
        <w:tc>
          <w:tcPr>
            <w:tcW w:w="4626" w:type="dxa"/>
            <w:vAlign w:val="center"/>
          </w:tcPr>
          <w:p w14:paraId="220E0327"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r>
              <w:rPr>
                <w:rFonts w:ascii="Times New Roman" w:eastAsia="宋体" w:hAnsi="Times New Roman"/>
                <w:sz w:val="21"/>
                <w:szCs w:val="21"/>
                <w:lang w:val="en-US"/>
              </w:rPr>
              <w:t>施工机械设备冲洗废水收集后经隔油沉淀处理回用于施工场地洒水抑尘及施工设备冲洗，不外排</w:t>
            </w:r>
            <w:r>
              <w:rPr>
                <w:rFonts w:ascii="Times New Roman" w:eastAsia="宋体" w:hAnsi="Times New Roman" w:hint="eastAsia"/>
                <w:sz w:val="21"/>
                <w:szCs w:val="21"/>
                <w:lang w:val="en-US"/>
              </w:rPr>
              <w:t>；挖泥船船底油污水由从事船舶污染物接收的单位接收处置；渗滤水</w:t>
            </w:r>
            <w:r>
              <w:rPr>
                <w:rFonts w:ascii="Times New Roman" w:eastAsia="宋体" w:hAnsi="Times New Roman"/>
                <w:sz w:val="21"/>
                <w:szCs w:val="21"/>
                <w:lang w:val="en-US"/>
              </w:rPr>
              <w:t>在临时</w:t>
            </w:r>
            <w:r>
              <w:rPr>
                <w:rFonts w:ascii="Times New Roman" w:eastAsia="宋体" w:hAnsi="Times New Roman" w:hint="eastAsia"/>
                <w:sz w:val="21"/>
                <w:szCs w:val="21"/>
                <w:lang w:val="en-US"/>
              </w:rPr>
              <w:t>生产</w:t>
            </w:r>
            <w:r>
              <w:rPr>
                <w:rFonts w:ascii="Times New Roman" w:eastAsia="宋体" w:hAnsi="Times New Roman"/>
                <w:sz w:val="21"/>
                <w:szCs w:val="21"/>
                <w:lang w:val="en-US"/>
              </w:rPr>
              <w:t>内经自然沉淀后进入余水沉淀池进行环保混凝沉淀处理，</w:t>
            </w:r>
            <w:r>
              <w:rPr>
                <w:rFonts w:ascii="Times New Roman" w:eastAsia="宋体" w:hAnsi="Times New Roman" w:hint="eastAsia"/>
                <w:sz w:val="21"/>
                <w:szCs w:val="21"/>
                <w:lang w:val="en-US"/>
              </w:rPr>
              <w:t>达到《污水综合排放标准》（</w:t>
            </w:r>
            <w:r>
              <w:rPr>
                <w:rFonts w:ascii="Times New Roman" w:eastAsia="宋体" w:hAnsi="Times New Roman" w:hint="eastAsia"/>
                <w:sz w:val="21"/>
                <w:szCs w:val="21"/>
                <w:lang w:val="en-US"/>
              </w:rPr>
              <w:t>GB8978-1996</w:t>
            </w:r>
            <w:r>
              <w:rPr>
                <w:rFonts w:ascii="Times New Roman" w:eastAsia="宋体" w:hAnsi="Times New Roman" w:hint="eastAsia"/>
                <w:sz w:val="21"/>
                <w:szCs w:val="21"/>
                <w:lang w:val="en-US"/>
              </w:rPr>
              <w:t>）一级标准，由牡丹江龙江环保水务有限公司定期拉运处理</w:t>
            </w:r>
            <w:r>
              <w:rPr>
                <w:rFonts w:ascii="Times New Roman" w:eastAsia="宋体" w:hAnsi="Times New Roman"/>
                <w:sz w:val="21"/>
                <w:szCs w:val="21"/>
                <w:lang w:val="en-US"/>
              </w:rPr>
              <w:t>。</w:t>
            </w:r>
          </w:p>
        </w:tc>
        <w:tc>
          <w:tcPr>
            <w:tcW w:w="1276" w:type="dxa"/>
            <w:vMerge/>
            <w:vAlign w:val="center"/>
          </w:tcPr>
          <w:p w14:paraId="0E9BA7D1" w14:textId="77777777" w:rsidR="009D12AF" w:rsidRDefault="009D12AF">
            <w:pPr>
              <w:pStyle w:val="14"/>
              <w:adjustRightInd w:val="0"/>
              <w:snapToGrid w:val="0"/>
              <w:spacing w:line="240" w:lineRule="auto"/>
              <w:ind w:firstLineChars="0" w:firstLine="0"/>
              <w:rPr>
                <w:rFonts w:ascii="Times New Roman" w:eastAsia="宋体" w:hAnsi="Times New Roman"/>
                <w:sz w:val="21"/>
                <w:szCs w:val="21"/>
              </w:rPr>
            </w:pPr>
          </w:p>
        </w:tc>
        <w:tc>
          <w:tcPr>
            <w:tcW w:w="1687" w:type="dxa"/>
            <w:vMerge/>
            <w:vAlign w:val="center"/>
          </w:tcPr>
          <w:p w14:paraId="0481BCB2" w14:textId="77777777" w:rsidR="009D12AF" w:rsidRDefault="009D12AF">
            <w:pPr>
              <w:pStyle w:val="14"/>
              <w:adjustRightInd w:val="0"/>
              <w:snapToGrid w:val="0"/>
              <w:spacing w:line="240" w:lineRule="auto"/>
              <w:ind w:firstLineChars="0" w:firstLine="0"/>
              <w:rPr>
                <w:rFonts w:ascii="Times New Roman" w:eastAsia="宋体" w:hAnsi="Times New Roman"/>
                <w:sz w:val="21"/>
                <w:szCs w:val="21"/>
              </w:rPr>
            </w:pPr>
          </w:p>
        </w:tc>
      </w:tr>
      <w:tr w:rsidR="009D12AF" w14:paraId="436E76A4" w14:textId="77777777">
        <w:trPr>
          <w:trHeight w:val="397"/>
        </w:trPr>
        <w:tc>
          <w:tcPr>
            <w:tcW w:w="1152" w:type="dxa"/>
            <w:vAlign w:val="center"/>
          </w:tcPr>
          <w:p w14:paraId="63D8EED0"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54" w:name="_Toc151711444"/>
            <w:r>
              <w:rPr>
                <w:rFonts w:ascii="Times New Roman" w:eastAsia="宋体" w:hAnsi="Times New Roman"/>
                <w:sz w:val="21"/>
                <w:szCs w:val="21"/>
              </w:rPr>
              <w:t>施工粉尘运输车辆扬尘机械燃油废气</w:t>
            </w:r>
            <w:bookmarkEnd w:id="454"/>
          </w:p>
        </w:tc>
        <w:tc>
          <w:tcPr>
            <w:tcW w:w="4626" w:type="dxa"/>
            <w:vAlign w:val="center"/>
          </w:tcPr>
          <w:p w14:paraId="144E86DF"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55" w:name="_Toc151711445"/>
            <w:r>
              <w:rPr>
                <w:rFonts w:ascii="Times New Roman" w:eastAsia="宋体" w:hAnsi="Times New Roman"/>
                <w:sz w:val="21"/>
                <w:szCs w:val="21"/>
              </w:rPr>
              <w:t>临时堆料场区设置遮盖、四周设置拦挡，定期洒水；车辆限速行驶，起尘物料封闭运输，防止扬尘；加强往返于施工区车辆的管理和维修；使用有害物质量少的优质燃料。</w:t>
            </w:r>
            <w:bookmarkEnd w:id="455"/>
          </w:p>
        </w:tc>
        <w:tc>
          <w:tcPr>
            <w:tcW w:w="1276" w:type="dxa"/>
            <w:vMerge/>
            <w:vAlign w:val="center"/>
          </w:tcPr>
          <w:p w14:paraId="2398CAB1" w14:textId="77777777" w:rsidR="009D12AF" w:rsidRDefault="009D12AF">
            <w:pPr>
              <w:pStyle w:val="14"/>
              <w:adjustRightInd w:val="0"/>
              <w:snapToGrid w:val="0"/>
              <w:spacing w:line="240" w:lineRule="auto"/>
              <w:ind w:firstLineChars="0" w:firstLine="0"/>
              <w:rPr>
                <w:rFonts w:ascii="Times New Roman" w:eastAsia="宋体" w:hAnsi="Times New Roman"/>
                <w:sz w:val="21"/>
                <w:szCs w:val="21"/>
              </w:rPr>
            </w:pPr>
          </w:p>
        </w:tc>
        <w:tc>
          <w:tcPr>
            <w:tcW w:w="1687" w:type="dxa"/>
            <w:vMerge/>
            <w:vAlign w:val="center"/>
          </w:tcPr>
          <w:p w14:paraId="37A4AC30" w14:textId="77777777" w:rsidR="009D12AF" w:rsidRDefault="009D12AF">
            <w:pPr>
              <w:pStyle w:val="14"/>
              <w:adjustRightInd w:val="0"/>
              <w:snapToGrid w:val="0"/>
              <w:spacing w:line="240" w:lineRule="auto"/>
              <w:ind w:firstLineChars="0" w:firstLine="0"/>
              <w:rPr>
                <w:rFonts w:ascii="Times New Roman" w:eastAsia="宋体" w:hAnsi="Times New Roman"/>
                <w:sz w:val="21"/>
                <w:szCs w:val="21"/>
              </w:rPr>
            </w:pPr>
          </w:p>
        </w:tc>
      </w:tr>
      <w:tr w:rsidR="009D12AF" w14:paraId="14E1BA8C" w14:textId="77777777">
        <w:trPr>
          <w:trHeight w:val="397"/>
        </w:trPr>
        <w:tc>
          <w:tcPr>
            <w:tcW w:w="1152" w:type="dxa"/>
            <w:vAlign w:val="center"/>
          </w:tcPr>
          <w:p w14:paraId="7FCA5D2C" w14:textId="77777777" w:rsidR="009D12AF" w:rsidRDefault="00000000">
            <w:pPr>
              <w:adjustRightInd w:val="0"/>
              <w:spacing w:line="240" w:lineRule="auto"/>
              <w:ind w:firstLineChars="0" w:firstLine="0"/>
              <w:rPr>
                <w:kern w:val="0"/>
                <w:sz w:val="21"/>
              </w:rPr>
            </w:pPr>
            <w:r>
              <w:rPr>
                <w:kern w:val="0"/>
                <w:sz w:val="21"/>
              </w:rPr>
              <w:t>恶臭气体</w:t>
            </w:r>
          </w:p>
        </w:tc>
        <w:tc>
          <w:tcPr>
            <w:tcW w:w="4626" w:type="dxa"/>
            <w:vAlign w:val="center"/>
          </w:tcPr>
          <w:p w14:paraId="11655AE5" w14:textId="77777777" w:rsidR="009D12AF" w:rsidRDefault="00000000">
            <w:pPr>
              <w:adjustRightInd w:val="0"/>
              <w:spacing w:line="240" w:lineRule="auto"/>
              <w:ind w:firstLineChars="0" w:firstLine="0"/>
              <w:rPr>
                <w:kern w:val="0"/>
                <w:sz w:val="21"/>
              </w:rPr>
            </w:pPr>
            <w:r>
              <w:rPr>
                <w:sz w:val="21"/>
              </w:rPr>
              <w:t>施工现场及</w:t>
            </w:r>
            <w:r>
              <w:rPr>
                <w:rFonts w:hint="eastAsia"/>
                <w:sz w:val="21"/>
                <w:szCs w:val="21"/>
              </w:rPr>
              <w:t>临时生产区</w:t>
            </w:r>
            <w:r>
              <w:rPr>
                <w:sz w:val="21"/>
              </w:rPr>
              <w:t>设置围挡，喷洒除臭剂</w:t>
            </w:r>
          </w:p>
        </w:tc>
        <w:tc>
          <w:tcPr>
            <w:tcW w:w="1276" w:type="dxa"/>
            <w:vMerge/>
            <w:vAlign w:val="center"/>
          </w:tcPr>
          <w:p w14:paraId="785CCB0B" w14:textId="77777777" w:rsidR="009D12AF" w:rsidRDefault="009D12AF">
            <w:pPr>
              <w:pStyle w:val="14"/>
              <w:adjustRightInd w:val="0"/>
              <w:snapToGrid w:val="0"/>
              <w:spacing w:line="240" w:lineRule="auto"/>
              <w:ind w:firstLineChars="0" w:firstLine="0"/>
              <w:rPr>
                <w:rFonts w:ascii="Times New Roman" w:eastAsia="宋体" w:hAnsi="Times New Roman"/>
                <w:sz w:val="21"/>
                <w:szCs w:val="21"/>
              </w:rPr>
            </w:pPr>
          </w:p>
        </w:tc>
        <w:tc>
          <w:tcPr>
            <w:tcW w:w="1687" w:type="dxa"/>
            <w:vMerge/>
            <w:vAlign w:val="center"/>
          </w:tcPr>
          <w:p w14:paraId="1AE66C9E" w14:textId="77777777" w:rsidR="009D12AF" w:rsidRDefault="009D12AF">
            <w:pPr>
              <w:pStyle w:val="14"/>
              <w:adjustRightInd w:val="0"/>
              <w:snapToGrid w:val="0"/>
              <w:spacing w:line="240" w:lineRule="auto"/>
              <w:ind w:firstLineChars="0" w:firstLine="0"/>
              <w:rPr>
                <w:rFonts w:ascii="Times New Roman" w:eastAsia="宋体" w:hAnsi="Times New Roman"/>
                <w:sz w:val="21"/>
                <w:szCs w:val="21"/>
              </w:rPr>
            </w:pPr>
          </w:p>
        </w:tc>
      </w:tr>
      <w:tr w:rsidR="009D12AF" w14:paraId="5FDE2F54" w14:textId="77777777">
        <w:trPr>
          <w:trHeight w:val="397"/>
        </w:trPr>
        <w:tc>
          <w:tcPr>
            <w:tcW w:w="1152" w:type="dxa"/>
            <w:vAlign w:val="center"/>
          </w:tcPr>
          <w:p w14:paraId="32BE5BD6"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56" w:name="_Toc151711446"/>
            <w:r>
              <w:rPr>
                <w:rFonts w:ascii="Times New Roman" w:eastAsia="宋体" w:hAnsi="Times New Roman"/>
                <w:sz w:val="21"/>
                <w:szCs w:val="21"/>
              </w:rPr>
              <w:t>施工及运输产生的</w:t>
            </w:r>
            <w:r>
              <w:rPr>
                <w:rFonts w:ascii="Times New Roman" w:eastAsia="宋体" w:hAnsi="Times New Roman"/>
                <w:sz w:val="21"/>
                <w:szCs w:val="21"/>
              </w:rPr>
              <w:lastRenderedPageBreak/>
              <w:t>噪声</w:t>
            </w:r>
            <w:bookmarkEnd w:id="456"/>
          </w:p>
        </w:tc>
        <w:tc>
          <w:tcPr>
            <w:tcW w:w="4626" w:type="dxa"/>
            <w:vAlign w:val="center"/>
          </w:tcPr>
          <w:p w14:paraId="4BD5E573"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57" w:name="_Toc151711447"/>
            <w:r>
              <w:rPr>
                <w:rFonts w:ascii="Times New Roman" w:eastAsia="宋体" w:hAnsi="Times New Roman"/>
                <w:sz w:val="21"/>
                <w:szCs w:val="21"/>
              </w:rPr>
              <w:lastRenderedPageBreak/>
              <w:t>选择性能好低噪声设备，保证设备完好，采取消音及减振措施，降低噪声。对声环境敏感点采用</w:t>
            </w:r>
            <w:r>
              <w:rPr>
                <w:rFonts w:ascii="Times New Roman" w:eastAsia="宋体" w:hAnsi="Times New Roman"/>
                <w:sz w:val="21"/>
                <w:szCs w:val="21"/>
              </w:rPr>
              <w:lastRenderedPageBreak/>
              <w:t>移动隔声屏减轻施工对周边的影响。</w:t>
            </w:r>
            <w:bookmarkEnd w:id="457"/>
          </w:p>
        </w:tc>
        <w:tc>
          <w:tcPr>
            <w:tcW w:w="1276" w:type="dxa"/>
            <w:vMerge/>
            <w:vAlign w:val="center"/>
          </w:tcPr>
          <w:p w14:paraId="67D05C45" w14:textId="77777777" w:rsidR="009D12AF" w:rsidRDefault="009D12AF">
            <w:pPr>
              <w:pStyle w:val="14"/>
              <w:adjustRightInd w:val="0"/>
              <w:snapToGrid w:val="0"/>
              <w:spacing w:line="240" w:lineRule="auto"/>
              <w:ind w:firstLineChars="0" w:firstLine="0"/>
              <w:rPr>
                <w:rFonts w:ascii="Times New Roman" w:eastAsia="宋体" w:hAnsi="Times New Roman"/>
                <w:sz w:val="21"/>
                <w:szCs w:val="21"/>
              </w:rPr>
            </w:pPr>
          </w:p>
        </w:tc>
        <w:tc>
          <w:tcPr>
            <w:tcW w:w="1687" w:type="dxa"/>
            <w:vMerge/>
            <w:vAlign w:val="center"/>
          </w:tcPr>
          <w:p w14:paraId="3F70A7B2" w14:textId="77777777" w:rsidR="009D12AF" w:rsidRDefault="009D12AF">
            <w:pPr>
              <w:pStyle w:val="14"/>
              <w:adjustRightInd w:val="0"/>
              <w:snapToGrid w:val="0"/>
              <w:spacing w:line="240" w:lineRule="auto"/>
              <w:ind w:firstLineChars="0" w:firstLine="0"/>
              <w:rPr>
                <w:rFonts w:ascii="Times New Roman" w:eastAsia="宋体" w:hAnsi="Times New Roman"/>
                <w:sz w:val="21"/>
                <w:szCs w:val="21"/>
              </w:rPr>
            </w:pPr>
          </w:p>
        </w:tc>
      </w:tr>
      <w:tr w:rsidR="009D12AF" w14:paraId="130D3A51" w14:textId="77777777">
        <w:trPr>
          <w:trHeight w:val="397"/>
        </w:trPr>
        <w:tc>
          <w:tcPr>
            <w:tcW w:w="5778" w:type="dxa"/>
            <w:gridSpan w:val="2"/>
            <w:vAlign w:val="center"/>
          </w:tcPr>
          <w:p w14:paraId="69CA9749"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58" w:name="_Toc151711448"/>
            <w:r>
              <w:rPr>
                <w:rFonts w:ascii="Times New Roman" w:eastAsia="宋体" w:hAnsi="Times New Roman"/>
                <w:sz w:val="21"/>
                <w:szCs w:val="21"/>
              </w:rPr>
              <w:t>2</w:t>
            </w:r>
            <w:r>
              <w:rPr>
                <w:rFonts w:ascii="Times New Roman" w:eastAsia="宋体" w:hAnsi="Times New Roman"/>
                <w:sz w:val="21"/>
                <w:szCs w:val="21"/>
              </w:rPr>
              <w:t>、生活区</w:t>
            </w:r>
            <w:bookmarkEnd w:id="458"/>
          </w:p>
        </w:tc>
        <w:tc>
          <w:tcPr>
            <w:tcW w:w="1276" w:type="dxa"/>
            <w:vMerge/>
            <w:vAlign w:val="center"/>
          </w:tcPr>
          <w:p w14:paraId="1C1AA955" w14:textId="77777777" w:rsidR="009D12AF" w:rsidRDefault="009D12AF">
            <w:pPr>
              <w:pStyle w:val="14"/>
              <w:adjustRightInd w:val="0"/>
              <w:snapToGrid w:val="0"/>
              <w:spacing w:line="240" w:lineRule="auto"/>
              <w:ind w:firstLineChars="0" w:firstLine="0"/>
              <w:rPr>
                <w:rFonts w:ascii="Times New Roman" w:eastAsia="宋体" w:hAnsi="Times New Roman"/>
                <w:sz w:val="21"/>
                <w:szCs w:val="21"/>
              </w:rPr>
            </w:pPr>
          </w:p>
        </w:tc>
        <w:tc>
          <w:tcPr>
            <w:tcW w:w="1687" w:type="dxa"/>
            <w:vMerge/>
            <w:vAlign w:val="center"/>
          </w:tcPr>
          <w:p w14:paraId="45DEE53D" w14:textId="77777777" w:rsidR="009D12AF" w:rsidRDefault="009D12AF">
            <w:pPr>
              <w:pStyle w:val="14"/>
              <w:adjustRightInd w:val="0"/>
              <w:snapToGrid w:val="0"/>
              <w:spacing w:line="240" w:lineRule="auto"/>
              <w:ind w:firstLineChars="0" w:firstLine="0"/>
              <w:rPr>
                <w:rFonts w:ascii="Times New Roman" w:eastAsia="宋体" w:hAnsi="Times New Roman"/>
                <w:sz w:val="21"/>
                <w:szCs w:val="21"/>
              </w:rPr>
            </w:pPr>
          </w:p>
        </w:tc>
      </w:tr>
      <w:tr w:rsidR="009D12AF" w14:paraId="5565EEE0" w14:textId="77777777">
        <w:trPr>
          <w:trHeight w:val="397"/>
        </w:trPr>
        <w:tc>
          <w:tcPr>
            <w:tcW w:w="1152" w:type="dxa"/>
            <w:vAlign w:val="center"/>
          </w:tcPr>
          <w:p w14:paraId="7D82F124"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59" w:name="_Toc151711449"/>
            <w:r>
              <w:rPr>
                <w:rFonts w:ascii="Times New Roman" w:eastAsia="宋体" w:hAnsi="Times New Roman"/>
                <w:sz w:val="21"/>
                <w:szCs w:val="21"/>
              </w:rPr>
              <w:t>生活污水、生活垃圾</w:t>
            </w:r>
            <w:bookmarkEnd w:id="459"/>
          </w:p>
        </w:tc>
        <w:tc>
          <w:tcPr>
            <w:tcW w:w="4626" w:type="dxa"/>
            <w:vAlign w:val="center"/>
          </w:tcPr>
          <w:p w14:paraId="2369E95E"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60" w:name="_Toc151711450"/>
            <w:r>
              <w:rPr>
                <w:rFonts w:ascii="Times New Roman" w:eastAsia="宋体" w:hAnsi="Times New Roman"/>
                <w:sz w:val="21"/>
                <w:szCs w:val="21"/>
              </w:rPr>
              <w:t>设移动卫生厕所，定期清掏外运堆肥处理；生活垃圾集中收集，由市政环卫部门清运统一处理。</w:t>
            </w:r>
            <w:bookmarkEnd w:id="460"/>
          </w:p>
        </w:tc>
        <w:tc>
          <w:tcPr>
            <w:tcW w:w="1276" w:type="dxa"/>
            <w:vMerge/>
            <w:vAlign w:val="center"/>
          </w:tcPr>
          <w:p w14:paraId="312A7538" w14:textId="77777777" w:rsidR="009D12AF" w:rsidRDefault="009D12AF">
            <w:pPr>
              <w:pStyle w:val="14"/>
              <w:adjustRightInd w:val="0"/>
              <w:snapToGrid w:val="0"/>
              <w:spacing w:line="240" w:lineRule="auto"/>
              <w:ind w:firstLineChars="0" w:firstLine="0"/>
              <w:rPr>
                <w:rFonts w:ascii="Times New Roman" w:eastAsia="宋体" w:hAnsi="Times New Roman"/>
                <w:sz w:val="21"/>
                <w:szCs w:val="21"/>
              </w:rPr>
            </w:pPr>
          </w:p>
        </w:tc>
        <w:tc>
          <w:tcPr>
            <w:tcW w:w="1687" w:type="dxa"/>
            <w:vMerge/>
            <w:vAlign w:val="center"/>
          </w:tcPr>
          <w:p w14:paraId="44DFB66B" w14:textId="77777777" w:rsidR="009D12AF" w:rsidRDefault="009D12AF">
            <w:pPr>
              <w:pStyle w:val="14"/>
              <w:adjustRightInd w:val="0"/>
              <w:snapToGrid w:val="0"/>
              <w:spacing w:line="240" w:lineRule="auto"/>
              <w:ind w:firstLineChars="0" w:firstLine="0"/>
              <w:rPr>
                <w:rFonts w:ascii="Times New Roman" w:eastAsia="宋体" w:hAnsi="Times New Roman"/>
                <w:sz w:val="21"/>
                <w:szCs w:val="21"/>
              </w:rPr>
            </w:pPr>
          </w:p>
        </w:tc>
      </w:tr>
      <w:tr w:rsidR="009D12AF" w14:paraId="37F211C4" w14:textId="77777777">
        <w:trPr>
          <w:trHeight w:val="397"/>
        </w:trPr>
        <w:tc>
          <w:tcPr>
            <w:tcW w:w="1152" w:type="dxa"/>
            <w:vAlign w:val="center"/>
          </w:tcPr>
          <w:p w14:paraId="4289F692"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61" w:name="_Toc151711451"/>
            <w:r>
              <w:rPr>
                <w:rFonts w:ascii="Times New Roman" w:eastAsia="宋体" w:hAnsi="Times New Roman"/>
                <w:sz w:val="21"/>
                <w:szCs w:val="21"/>
              </w:rPr>
              <w:t>施工人员安全与健康</w:t>
            </w:r>
            <w:bookmarkEnd w:id="461"/>
          </w:p>
        </w:tc>
        <w:tc>
          <w:tcPr>
            <w:tcW w:w="4626" w:type="dxa"/>
            <w:vAlign w:val="center"/>
          </w:tcPr>
          <w:p w14:paraId="41C507CB" w14:textId="77777777" w:rsidR="009D12AF" w:rsidRDefault="00000000">
            <w:pPr>
              <w:pStyle w:val="14"/>
              <w:adjustRightInd w:val="0"/>
              <w:snapToGrid w:val="0"/>
              <w:spacing w:line="240" w:lineRule="auto"/>
              <w:ind w:firstLineChars="0" w:firstLine="0"/>
              <w:rPr>
                <w:rFonts w:ascii="Times New Roman" w:eastAsia="宋体" w:hAnsi="Times New Roman"/>
                <w:sz w:val="21"/>
                <w:szCs w:val="21"/>
              </w:rPr>
            </w:pPr>
            <w:bookmarkStart w:id="462" w:name="_Toc151711452"/>
            <w:r>
              <w:rPr>
                <w:rFonts w:ascii="Times New Roman" w:eastAsia="宋体" w:hAnsi="Times New Roman"/>
                <w:sz w:val="21"/>
                <w:szCs w:val="21"/>
              </w:rPr>
              <w:t>进场前对施工人员进行一次性身体检查，并对生活区进行全面消毒，发现疫情及时汇报、及时医治，控制疾病传播</w:t>
            </w:r>
            <w:bookmarkEnd w:id="462"/>
          </w:p>
        </w:tc>
        <w:tc>
          <w:tcPr>
            <w:tcW w:w="1276" w:type="dxa"/>
            <w:vMerge/>
            <w:vAlign w:val="center"/>
          </w:tcPr>
          <w:p w14:paraId="3EC8DEE6" w14:textId="77777777" w:rsidR="009D12AF" w:rsidRDefault="009D12AF">
            <w:pPr>
              <w:pStyle w:val="14"/>
              <w:adjustRightInd w:val="0"/>
              <w:snapToGrid w:val="0"/>
              <w:spacing w:line="240" w:lineRule="auto"/>
              <w:ind w:firstLineChars="0" w:firstLine="0"/>
              <w:rPr>
                <w:rFonts w:ascii="Times New Roman" w:eastAsia="宋体" w:hAnsi="Times New Roman"/>
                <w:sz w:val="21"/>
                <w:szCs w:val="21"/>
              </w:rPr>
            </w:pPr>
          </w:p>
        </w:tc>
        <w:tc>
          <w:tcPr>
            <w:tcW w:w="1687" w:type="dxa"/>
            <w:vMerge/>
            <w:vAlign w:val="center"/>
          </w:tcPr>
          <w:p w14:paraId="3B1BE377" w14:textId="77777777" w:rsidR="009D12AF" w:rsidRDefault="009D12AF">
            <w:pPr>
              <w:pStyle w:val="14"/>
              <w:adjustRightInd w:val="0"/>
              <w:snapToGrid w:val="0"/>
              <w:spacing w:line="240" w:lineRule="auto"/>
              <w:ind w:firstLineChars="0" w:firstLine="0"/>
              <w:rPr>
                <w:rFonts w:ascii="Times New Roman" w:eastAsia="宋体" w:hAnsi="Times New Roman"/>
                <w:sz w:val="21"/>
                <w:szCs w:val="21"/>
              </w:rPr>
            </w:pPr>
          </w:p>
        </w:tc>
      </w:tr>
    </w:tbl>
    <w:p w14:paraId="5CA05542" w14:textId="77777777" w:rsidR="009D12AF" w:rsidRDefault="00000000">
      <w:pPr>
        <w:snapToGrid w:val="0"/>
        <w:ind w:firstLine="480"/>
      </w:pPr>
      <w:r>
        <w:rPr>
          <w:kern w:val="0"/>
          <w:lang w:bidi="ar"/>
        </w:rPr>
        <w:t>（</w:t>
      </w:r>
      <w:r>
        <w:rPr>
          <w:rFonts w:eastAsia="TimesNewRoman"/>
          <w:kern w:val="0"/>
          <w:lang w:bidi="ar"/>
        </w:rPr>
        <w:t>1</w:t>
      </w:r>
      <w:r>
        <w:rPr>
          <w:kern w:val="0"/>
          <w:lang w:bidi="ar"/>
        </w:rPr>
        <w:t>）施工前，施工方与相关管理部门签订环境保护、野生动物资源保护责任书，把保护责任落实到单位和责任人，以建立完善的保护责任人制度。对施工人员和管理人员加强环境保护、野生动物保护的宣传教育，以公告、发放宣传册、施工区设置宣传牌</w:t>
      </w:r>
      <w:r>
        <w:rPr>
          <w:kern w:val="0"/>
          <w:lang w:bidi="ar"/>
        </w:rPr>
        <w:t xml:space="preserve"> </w:t>
      </w:r>
      <w:r>
        <w:rPr>
          <w:kern w:val="0"/>
          <w:lang w:bidi="ar"/>
        </w:rPr>
        <w:t>等形式加大宣传力度，增强施工人员的环保意识和野生动植物保护意识。</w:t>
      </w:r>
      <w:r>
        <w:rPr>
          <w:kern w:val="0"/>
          <w:lang w:bidi="ar"/>
        </w:rPr>
        <w:t xml:space="preserve"> </w:t>
      </w:r>
    </w:p>
    <w:p w14:paraId="0DF3A2A4" w14:textId="77777777" w:rsidR="009D12AF" w:rsidRDefault="00000000">
      <w:pPr>
        <w:snapToGrid w:val="0"/>
        <w:ind w:firstLine="480"/>
      </w:pPr>
      <w:r>
        <w:rPr>
          <w:kern w:val="0"/>
          <w:lang w:bidi="ar"/>
        </w:rPr>
        <w:t>（</w:t>
      </w:r>
      <w:r>
        <w:rPr>
          <w:rFonts w:eastAsia="TimesNewRoman"/>
          <w:kern w:val="0"/>
          <w:lang w:bidi="ar"/>
        </w:rPr>
        <w:t>2</w:t>
      </w:r>
      <w:r>
        <w:rPr>
          <w:kern w:val="0"/>
          <w:lang w:bidi="ar"/>
        </w:rPr>
        <w:t>）野生动物保护：施工期间，向施工人员宣传《中华人民共和国野生动物保护法》，严禁捕杀或破坏野生动物。在施工过程中严禁施工人员捕杀飞经项目区附近的野生鸟类，禁止施工人员破坏鸟巢，捡拾鸟卵，捕捉幼鸟，禁止捕杀出没于工程附近的野生动物，防止乱捕滥猎。</w:t>
      </w:r>
      <w:r>
        <w:rPr>
          <w:kern w:val="0"/>
          <w:lang w:bidi="ar"/>
        </w:rPr>
        <w:t xml:space="preserve"> </w:t>
      </w:r>
    </w:p>
    <w:p w14:paraId="56B32300" w14:textId="77777777" w:rsidR="009D12AF" w:rsidRDefault="00000000">
      <w:pPr>
        <w:snapToGrid w:val="0"/>
        <w:ind w:firstLine="480"/>
      </w:pPr>
      <w:r>
        <w:rPr>
          <w:kern w:val="0"/>
          <w:lang w:bidi="ar"/>
        </w:rPr>
        <w:t>（</w:t>
      </w:r>
      <w:r>
        <w:rPr>
          <w:rFonts w:eastAsia="TimesNewRoman"/>
          <w:kern w:val="0"/>
          <w:lang w:bidi="ar"/>
        </w:rPr>
        <w:t>3</w:t>
      </w:r>
      <w:r>
        <w:rPr>
          <w:kern w:val="0"/>
          <w:lang w:bidi="ar"/>
        </w:rPr>
        <w:t>）野生植物保护：合理的规划和严格的管理是施工期必要的减少影响的措施。在施工过程中，要教育施工人员保护施工区的林地，增强环保意识，严格执行施工规定，严禁占压施工区外的林地。如在施工区内林木未被临时工程的建筑物占压，应保持原由的地貌。注意保护施工用地界外生态的原质原貌，减少干扰与破坏，贯彻</w:t>
      </w:r>
      <w:r>
        <w:rPr>
          <w:rFonts w:eastAsia="TimesNewRoman"/>
          <w:kern w:val="0"/>
          <w:lang w:bidi="ar"/>
        </w:rPr>
        <w:t>“</w:t>
      </w:r>
      <w:r>
        <w:rPr>
          <w:kern w:val="0"/>
          <w:lang w:bidi="ar"/>
        </w:rPr>
        <w:t>预防为主</w:t>
      </w:r>
      <w:r>
        <w:rPr>
          <w:rFonts w:eastAsia="TimesNewRoman"/>
          <w:kern w:val="0"/>
          <w:lang w:bidi="ar"/>
        </w:rPr>
        <w:t>”</w:t>
      </w:r>
      <w:r>
        <w:rPr>
          <w:kern w:val="0"/>
          <w:lang w:bidi="ar"/>
        </w:rPr>
        <w:t>的思想和政策。施工期间施工单位应加强对施工人员的教育和宣传，严格规范施工区的范围，按设计要求占地，禁止扩大占地，加强对施工人员的管理，防止对施工区范围之外的植物造成破坏。</w:t>
      </w:r>
      <w:r>
        <w:rPr>
          <w:kern w:val="0"/>
          <w:lang w:bidi="ar"/>
        </w:rPr>
        <w:t xml:space="preserve"> </w:t>
      </w:r>
    </w:p>
    <w:p w14:paraId="3152A466" w14:textId="77777777" w:rsidR="009D12AF" w:rsidRDefault="00000000">
      <w:pPr>
        <w:snapToGrid w:val="0"/>
        <w:ind w:firstLine="480"/>
      </w:pPr>
      <w:r>
        <w:rPr>
          <w:kern w:val="0"/>
          <w:lang w:bidi="ar"/>
        </w:rPr>
        <w:t>（</w:t>
      </w:r>
      <w:r>
        <w:rPr>
          <w:rFonts w:eastAsia="TimesNewRoman"/>
          <w:kern w:val="0"/>
          <w:lang w:bidi="ar"/>
        </w:rPr>
        <w:t>4</w:t>
      </w:r>
      <w:r>
        <w:rPr>
          <w:kern w:val="0"/>
          <w:lang w:bidi="ar"/>
        </w:rPr>
        <w:t>）生态敏感区附近施工加强外来生物管理，防止外来种入侵。禁止将家禽家畜、宠物、非本地人工栽植植物等潜在疫源带入敏感区。绿化带种植、绿化以本地植被为主，不引进其他外来人工种植种。施工期加强对外来物种的监测。</w:t>
      </w:r>
      <w:r>
        <w:rPr>
          <w:kern w:val="0"/>
          <w:lang w:bidi="ar"/>
        </w:rPr>
        <w:t xml:space="preserve"> </w:t>
      </w:r>
    </w:p>
    <w:p w14:paraId="4A799806" w14:textId="77777777" w:rsidR="009D12AF" w:rsidRDefault="00000000">
      <w:pPr>
        <w:ind w:firstLine="480"/>
        <w:rPr>
          <w:rFonts w:ascii="Times New Roman" w:eastAsia="宋体" w:hAnsi="Times New Roman"/>
          <w:lang w:bidi="ar"/>
        </w:rPr>
      </w:pPr>
      <w:r>
        <w:rPr>
          <w:rFonts w:ascii="Times New Roman" w:eastAsia="宋体" w:hAnsi="Times New Roman"/>
          <w:lang w:bidi="ar"/>
        </w:rPr>
        <w:t>（</w:t>
      </w:r>
      <w:r>
        <w:rPr>
          <w:rFonts w:ascii="Times New Roman" w:eastAsia="TimesNewRoman" w:hAnsi="Times New Roman"/>
          <w:lang w:bidi="ar"/>
        </w:rPr>
        <w:t>5</w:t>
      </w:r>
      <w:r>
        <w:rPr>
          <w:rFonts w:ascii="Times New Roman" w:eastAsia="宋体" w:hAnsi="Times New Roman"/>
          <w:lang w:bidi="ar"/>
        </w:rPr>
        <w:t>）禁止在生态敏感区违法捕猎野生动物。在施工区及入界处设立警示标志牌、禁止标志牌、环保宣传牌。</w:t>
      </w:r>
    </w:p>
    <w:p w14:paraId="35C9F625" w14:textId="77777777" w:rsidR="009D12AF" w:rsidRDefault="00000000">
      <w:pPr>
        <w:pStyle w:val="3"/>
      </w:pPr>
      <w:bookmarkStart w:id="463" w:name="_Toc22983"/>
      <w:r>
        <w:rPr>
          <w:rFonts w:hint="eastAsia"/>
        </w:rPr>
        <w:t>8.1.5</w:t>
      </w:r>
      <w:r>
        <w:rPr>
          <w:rFonts w:hint="eastAsia"/>
        </w:rPr>
        <w:t>污染物排放清单及管理要求</w:t>
      </w:r>
      <w:bookmarkEnd w:id="463"/>
    </w:p>
    <w:p w14:paraId="1FF4CCB9" w14:textId="77777777" w:rsidR="009D12AF" w:rsidRDefault="00000000">
      <w:pPr>
        <w:adjustRightInd w:val="0"/>
        <w:snapToGrid w:val="0"/>
        <w:ind w:firstLine="480"/>
      </w:pPr>
      <w:r>
        <w:t>项目施工期污染物排放清单见表</w:t>
      </w:r>
      <w:r>
        <w:t>8</w:t>
      </w:r>
      <w:r>
        <w:rPr>
          <w:rFonts w:hint="eastAsia"/>
        </w:rPr>
        <w:t>.</w:t>
      </w:r>
      <w:r>
        <w:t>1-2</w:t>
      </w:r>
      <w:r>
        <w:t>。</w:t>
      </w:r>
    </w:p>
    <w:p w14:paraId="0D5EA289" w14:textId="77777777" w:rsidR="009D12AF" w:rsidRDefault="00000000">
      <w:pPr>
        <w:adjustRightInd w:val="0"/>
        <w:spacing w:line="240" w:lineRule="auto"/>
        <w:ind w:firstLine="482"/>
        <w:jc w:val="center"/>
        <w:rPr>
          <w:b/>
        </w:rPr>
      </w:pPr>
      <w:r>
        <w:rPr>
          <w:b/>
        </w:rPr>
        <w:lastRenderedPageBreak/>
        <w:t>表</w:t>
      </w:r>
      <w:r>
        <w:rPr>
          <w:b/>
        </w:rPr>
        <w:t>8</w:t>
      </w:r>
      <w:r>
        <w:rPr>
          <w:rFonts w:hint="eastAsia"/>
          <w:b/>
        </w:rPr>
        <w:t>.</w:t>
      </w:r>
      <w:r>
        <w:rPr>
          <w:b/>
        </w:rPr>
        <w:t xml:space="preserve">1-2 </w:t>
      </w:r>
      <w:r>
        <w:rPr>
          <w:b/>
        </w:rPr>
        <w:t>污染物排放清单及环境管理要求</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72"/>
        <w:gridCol w:w="1123"/>
        <w:gridCol w:w="1222"/>
        <w:gridCol w:w="1138"/>
        <w:gridCol w:w="9"/>
        <w:gridCol w:w="1253"/>
        <w:gridCol w:w="2792"/>
      </w:tblGrid>
      <w:tr w:rsidR="009D12AF" w14:paraId="17BD5905" w14:textId="77777777">
        <w:trPr>
          <w:trHeight w:val="397"/>
        </w:trPr>
        <w:tc>
          <w:tcPr>
            <w:tcW w:w="772" w:type="dxa"/>
            <w:vAlign w:val="center"/>
          </w:tcPr>
          <w:p w14:paraId="028E26A2" w14:textId="77777777" w:rsidR="009D12AF" w:rsidRDefault="00000000">
            <w:pPr>
              <w:adjustRightInd w:val="0"/>
              <w:spacing w:line="240" w:lineRule="auto"/>
              <w:ind w:firstLineChars="0" w:firstLine="0"/>
              <w:jc w:val="center"/>
              <w:rPr>
                <w:kern w:val="0"/>
                <w:sz w:val="21"/>
                <w:szCs w:val="21"/>
              </w:rPr>
            </w:pPr>
            <w:r>
              <w:rPr>
                <w:kern w:val="0"/>
                <w:sz w:val="21"/>
                <w:szCs w:val="21"/>
              </w:rPr>
              <w:t>环境要素</w:t>
            </w:r>
          </w:p>
        </w:tc>
        <w:tc>
          <w:tcPr>
            <w:tcW w:w="1123" w:type="dxa"/>
            <w:vAlign w:val="center"/>
          </w:tcPr>
          <w:p w14:paraId="226CC58F" w14:textId="77777777" w:rsidR="009D12AF" w:rsidRDefault="00000000">
            <w:pPr>
              <w:adjustRightInd w:val="0"/>
              <w:spacing w:line="240" w:lineRule="auto"/>
              <w:ind w:firstLineChars="0" w:firstLine="0"/>
              <w:jc w:val="center"/>
              <w:rPr>
                <w:kern w:val="0"/>
                <w:sz w:val="21"/>
                <w:szCs w:val="21"/>
              </w:rPr>
            </w:pPr>
            <w:r>
              <w:rPr>
                <w:kern w:val="0"/>
                <w:sz w:val="21"/>
                <w:szCs w:val="21"/>
              </w:rPr>
              <w:t>污染源</w:t>
            </w:r>
          </w:p>
        </w:tc>
        <w:tc>
          <w:tcPr>
            <w:tcW w:w="1222" w:type="dxa"/>
            <w:vAlign w:val="center"/>
          </w:tcPr>
          <w:p w14:paraId="41E3B4FA" w14:textId="77777777" w:rsidR="009D12AF" w:rsidRDefault="00000000">
            <w:pPr>
              <w:adjustRightInd w:val="0"/>
              <w:spacing w:line="240" w:lineRule="auto"/>
              <w:ind w:firstLineChars="0" w:firstLine="0"/>
              <w:jc w:val="center"/>
              <w:rPr>
                <w:sz w:val="21"/>
                <w:szCs w:val="21"/>
              </w:rPr>
            </w:pPr>
            <w:r>
              <w:rPr>
                <w:sz w:val="21"/>
                <w:szCs w:val="21"/>
              </w:rPr>
              <w:t>污染</w:t>
            </w:r>
          </w:p>
          <w:p w14:paraId="57A2A3E0" w14:textId="77777777" w:rsidR="009D12AF" w:rsidRDefault="00000000">
            <w:pPr>
              <w:adjustRightInd w:val="0"/>
              <w:spacing w:line="240" w:lineRule="auto"/>
              <w:ind w:firstLineChars="0" w:firstLine="0"/>
              <w:jc w:val="center"/>
              <w:rPr>
                <w:sz w:val="21"/>
                <w:szCs w:val="21"/>
              </w:rPr>
            </w:pPr>
            <w:r>
              <w:rPr>
                <w:sz w:val="21"/>
                <w:szCs w:val="21"/>
              </w:rPr>
              <w:t>名称</w:t>
            </w:r>
          </w:p>
        </w:tc>
        <w:tc>
          <w:tcPr>
            <w:tcW w:w="1147" w:type="dxa"/>
            <w:gridSpan w:val="2"/>
            <w:vAlign w:val="center"/>
          </w:tcPr>
          <w:p w14:paraId="1575A60A" w14:textId="77777777" w:rsidR="009D12AF" w:rsidRDefault="00000000">
            <w:pPr>
              <w:adjustRightInd w:val="0"/>
              <w:spacing w:line="240" w:lineRule="auto"/>
              <w:ind w:firstLineChars="0" w:firstLine="0"/>
              <w:jc w:val="center"/>
              <w:rPr>
                <w:sz w:val="21"/>
                <w:szCs w:val="21"/>
              </w:rPr>
            </w:pPr>
            <w:r>
              <w:rPr>
                <w:sz w:val="21"/>
                <w:szCs w:val="21"/>
              </w:rPr>
              <w:t>排放浓度</w:t>
            </w:r>
          </w:p>
        </w:tc>
        <w:tc>
          <w:tcPr>
            <w:tcW w:w="1250" w:type="dxa"/>
            <w:vAlign w:val="center"/>
          </w:tcPr>
          <w:p w14:paraId="5D6F830E" w14:textId="77777777" w:rsidR="009D12AF" w:rsidRDefault="00000000">
            <w:pPr>
              <w:adjustRightInd w:val="0"/>
              <w:spacing w:line="240" w:lineRule="auto"/>
              <w:ind w:firstLineChars="0" w:firstLine="0"/>
              <w:jc w:val="center"/>
              <w:rPr>
                <w:sz w:val="21"/>
                <w:szCs w:val="21"/>
              </w:rPr>
            </w:pPr>
            <w:r>
              <w:rPr>
                <w:sz w:val="21"/>
                <w:szCs w:val="21"/>
              </w:rPr>
              <w:t>排放量</w:t>
            </w:r>
          </w:p>
        </w:tc>
        <w:tc>
          <w:tcPr>
            <w:tcW w:w="2792" w:type="dxa"/>
            <w:vAlign w:val="center"/>
          </w:tcPr>
          <w:p w14:paraId="1A039D7C" w14:textId="77777777" w:rsidR="009D12AF" w:rsidRDefault="00000000">
            <w:pPr>
              <w:adjustRightInd w:val="0"/>
              <w:spacing w:line="240" w:lineRule="auto"/>
              <w:ind w:firstLineChars="0" w:firstLine="0"/>
              <w:jc w:val="center"/>
              <w:rPr>
                <w:sz w:val="21"/>
                <w:szCs w:val="21"/>
              </w:rPr>
            </w:pPr>
            <w:r>
              <w:rPr>
                <w:sz w:val="21"/>
                <w:szCs w:val="21"/>
              </w:rPr>
              <w:t>治理措施</w:t>
            </w:r>
          </w:p>
        </w:tc>
      </w:tr>
      <w:tr w:rsidR="009D12AF" w14:paraId="32102DAF" w14:textId="77777777">
        <w:trPr>
          <w:trHeight w:val="826"/>
        </w:trPr>
        <w:tc>
          <w:tcPr>
            <w:tcW w:w="772" w:type="dxa"/>
            <w:vMerge w:val="restart"/>
            <w:vAlign w:val="center"/>
          </w:tcPr>
          <w:p w14:paraId="560CC66B" w14:textId="77777777" w:rsidR="009D12AF" w:rsidRDefault="00000000">
            <w:pPr>
              <w:adjustRightInd w:val="0"/>
              <w:spacing w:line="240" w:lineRule="auto"/>
              <w:ind w:firstLineChars="0" w:firstLine="0"/>
              <w:jc w:val="center"/>
              <w:rPr>
                <w:kern w:val="0"/>
                <w:sz w:val="21"/>
                <w:szCs w:val="21"/>
                <w:highlight w:val="green"/>
              </w:rPr>
            </w:pPr>
            <w:r>
              <w:rPr>
                <w:kern w:val="0"/>
                <w:sz w:val="21"/>
                <w:szCs w:val="21"/>
              </w:rPr>
              <w:t>废水</w:t>
            </w:r>
          </w:p>
        </w:tc>
        <w:tc>
          <w:tcPr>
            <w:tcW w:w="1123" w:type="dxa"/>
            <w:vAlign w:val="center"/>
          </w:tcPr>
          <w:p w14:paraId="4324DA27" w14:textId="77777777" w:rsidR="009D12AF" w:rsidRDefault="00000000">
            <w:pPr>
              <w:adjustRightInd w:val="0"/>
              <w:spacing w:line="240" w:lineRule="auto"/>
              <w:ind w:firstLineChars="0" w:firstLine="0"/>
              <w:jc w:val="center"/>
              <w:rPr>
                <w:kern w:val="0"/>
                <w:sz w:val="21"/>
                <w:szCs w:val="21"/>
              </w:rPr>
            </w:pPr>
            <w:r>
              <w:rPr>
                <w:rFonts w:hint="eastAsia"/>
                <w:kern w:val="0"/>
                <w:sz w:val="21"/>
                <w:szCs w:val="21"/>
              </w:rPr>
              <w:t>居住区</w:t>
            </w:r>
          </w:p>
        </w:tc>
        <w:tc>
          <w:tcPr>
            <w:tcW w:w="1222" w:type="dxa"/>
            <w:vAlign w:val="center"/>
          </w:tcPr>
          <w:p w14:paraId="77D1D77E" w14:textId="77777777" w:rsidR="009D12AF" w:rsidRDefault="00000000">
            <w:pPr>
              <w:adjustRightInd w:val="0"/>
              <w:spacing w:line="240" w:lineRule="auto"/>
              <w:ind w:firstLineChars="0" w:firstLine="0"/>
              <w:jc w:val="center"/>
              <w:rPr>
                <w:kern w:val="0"/>
                <w:sz w:val="21"/>
                <w:szCs w:val="21"/>
              </w:rPr>
            </w:pPr>
            <w:r>
              <w:rPr>
                <w:rFonts w:hint="eastAsia"/>
                <w:kern w:val="0"/>
                <w:sz w:val="21"/>
                <w:szCs w:val="21"/>
              </w:rPr>
              <w:t>生活污水</w:t>
            </w:r>
          </w:p>
        </w:tc>
        <w:tc>
          <w:tcPr>
            <w:tcW w:w="1138" w:type="dxa"/>
            <w:tcBorders>
              <w:right w:val="single" w:sz="4" w:space="0" w:color="000000"/>
            </w:tcBorders>
            <w:vAlign w:val="center"/>
          </w:tcPr>
          <w:p w14:paraId="4844E7FF" w14:textId="77777777" w:rsidR="009D12AF" w:rsidRDefault="00000000">
            <w:pPr>
              <w:adjustRightInd w:val="0"/>
              <w:spacing w:line="240" w:lineRule="auto"/>
              <w:ind w:firstLineChars="0" w:firstLine="0"/>
              <w:jc w:val="center"/>
              <w:rPr>
                <w:sz w:val="21"/>
                <w:szCs w:val="21"/>
              </w:rPr>
            </w:pPr>
            <w:r>
              <w:rPr>
                <w:rFonts w:hint="eastAsia"/>
                <w:sz w:val="21"/>
                <w:szCs w:val="21"/>
              </w:rPr>
              <w:t>/</w:t>
            </w:r>
          </w:p>
        </w:tc>
        <w:tc>
          <w:tcPr>
            <w:tcW w:w="1259" w:type="dxa"/>
            <w:gridSpan w:val="2"/>
            <w:tcBorders>
              <w:left w:val="single" w:sz="4" w:space="0" w:color="000000"/>
              <w:right w:val="single" w:sz="4" w:space="0" w:color="000000"/>
            </w:tcBorders>
            <w:vAlign w:val="center"/>
          </w:tcPr>
          <w:p w14:paraId="1684F8C8" w14:textId="77777777" w:rsidR="009D12AF" w:rsidRDefault="00000000">
            <w:pPr>
              <w:adjustRightInd w:val="0"/>
              <w:spacing w:line="240" w:lineRule="auto"/>
              <w:ind w:firstLineChars="0" w:firstLine="0"/>
              <w:jc w:val="center"/>
              <w:rPr>
                <w:sz w:val="21"/>
                <w:szCs w:val="21"/>
              </w:rPr>
            </w:pPr>
            <w:r>
              <w:rPr>
                <w:rFonts w:hint="eastAsia"/>
                <w:sz w:val="21"/>
                <w:szCs w:val="21"/>
              </w:rPr>
              <w:t>1209.6t/</w:t>
            </w:r>
            <w:r>
              <w:rPr>
                <w:rFonts w:hint="eastAsia"/>
                <w:sz w:val="21"/>
                <w:szCs w:val="21"/>
              </w:rPr>
              <w:t>总工期</w:t>
            </w:r>
          </w:p>
        </w:tc>
        <w:tc>
          <w:tcPr>
            <w:tcW w:w="2792" w:type="dxa"/>
            <w:tcBorders>
              <w:left w:val="single" w:sz="4" w:space="0" w:color="000000"/>
            </w:tcBorders>
            <w:vAlign w:val="center"/>
          </w:tcPr>
          <w:p w14:paraId="0648CDA7" w14:textId="77777777" w:rsidR="009D12AF" w:rsidRDefault="00000000">
            <w:pPr>
              <w:adjustRightInd w:val="0"/>
              <w:spacing w:line="240" w:lineRule="auto"/>
              <w:ind w:firstLineChars="0" w:firstLine="0"/>
              <w:jc w:val="center"/>
              <w:rPr>
                <w:sz w:val="21"/>
                <w:szCs w:val="21"/>
              </w:rPr>
            </w:pPr>
            <w:r>
              <w:rPr>
                <w:sz w:val="21"/>
                <w:szCs w:val="21"/>
              </w:rPr>
              <w:t>生活污水排入移动卫生厕所，</w:t>
            </w:r>
          </w:p>
          <w:p w14:paraId="32062D9A" w14:textId="77777777" w:rsidR="009D12AF" w:rsidRDefault="00000000">
            <w:pPr>
              <w:adjustRightInd w:val="0"/>
              <w:spacing w:line="240" w:lineRule="auto"/>
              <w:ind w:firstLineChars="0" w:firstLine="0"/>
              <w:jc w:val="center"/>
              <w:rPr>
                <w:sz w:val="21"/>
                <w:szCs w:val="21"/>
              </w:rPr>
            </w:pPr>
            <w:r>
              <w:rPr>
                <w:sz w:val="21"/>
                <w:szCs w:val="21"/>
              </w:rPr>
              <w:t>定期清掏外运堆肥</w:t>
            </w:r>
          </w:p>
        </w:tc>
      </w:tr>
      <w:tr w:rsidR="009D12AF" w14:paraId="571D9986" w14:textId="77777777">
        <w:trPr>
          <w:trHeight w:val="826"/>
        </w:trPr>
        <w:tc>
          <w:tcPr>
            <w:tcW w:w="772" w:type="dxa"/>
            <w:vMerge/>
            <w:vAlign w:val="center"/>
          </w:tcPr>
          <w:p w14:paraId="31B56A04" w14:textId="77777777" w:rsidR="009D12AF" w:rsidRDefault="009D12AF">
            <w:pPr>
              <w:adjustRightInd w:val="0"/>
              <w:spacing w:line="240" w:lineRule="auto"/>
              <w:ind w:firstLineChars="0" w:firstLine="0"/>
              <w:jc w:val="center"/>
              <w:rPr>
                <w:kern w:val="0"/>
                <w:sz w:val="21"/>
                <w:szCs w:val="21"/>
                <w:highlight w:val="green"/>
              </w:rPr>
            </w:pPr>
          </w:p>
        </w:tc>
        <w:tc>
          <w:tcPr>
            <w:tcW w:w="1123" w:type="dxa"/>
            <w:vMerge w:val="restart"/>
            <w:vAlign w:val="center"/>
          </w:tcPr>
          <w:p w14:paraId="17B0F452" w14:textId="77777777" w:rsidR="009D12AF" w:rsidRDefault="00000000">
            <w:pPr>
              <w:adjustRightInd w:val="0"/>
              <w:spacing w:line="240" w:lineRule="auto"/>
              <w:ind w:firstLineChars="0" w:firstLine="0"/>
              <w:jc w:val="center"/>
              <w:rPr>
                <w:kern w:val="0"/>
                <w:sz w:val="21"/>
                <w:szCs w:val="21"/>
              </w:rPr>
            </w:pPr>
            <w:r>
              <w:rPr>
                <w:rFonts w:hint="eastAsia"/>
                <w:kern w:val="0"/>
                <w:sz w:val="21"/>
                <w:szCs w:val="21"/>
              </w:rPr>
              <w:t>施工</w:t>
            </w:r>
          </w:p>
        </w:tc>
        <w:tc>
          <w:tcPr>
            <w:tcW w:w="1222" w:type="dxa"/>
            <w:vAlign w:val="center"/>
          </w:tcPr>
          <w:p w14:paraId="7A99B199" w14:textId="77777777" w:rsidR="009D12AF" w:rsidRDefault="00000000">
            <w:pPr>
              <w:adjustRightInd w:val="0"/>
              <w:spacing w:line="240" w:lineRule="auto"/>
              <w:ind w:firstLineChars="0" w:firstLine="0"/>
              <w:jc w:val="center"/>
              <w:rPr>
                <w:kern w:val="0"/>
                <w:sz w:val="21"/>
                <w:szCs w:val="21"/>
              </w:rPr>
            </w:pPr>
            <w:r>
              <w:rPr>
                <w:rFonts w:hint="eastAsia"/>
                <w:kern w:val="0"/>
                <w:sz w:val="21"/>
                <w:szCs w:val="21"/>
              </w:rPr>
              <w:t>施工设备冲洗废水</w:t>
            </w:r>
          </w:p>
        </w:tc>
        <w:tc>
          <w:tcPr>
            <w:tcW w:w="1138" w:type="dxa"/>
            <w:tcBorders>
              <w:right w:val="single" w:sz="4" w:space="0" w:color="000000"/>
            </w:tcBorders>
            <w:vAlign w:val="center"/>
          </w:tcPr>
          <w:p w14:paraId="753F232E" w14:textId="77777777" w:rsidR="009D12AF" w:rsidRDefault="00000000">
            <w:pPr>
              <w:adjustRightInd w:val="0"/>
              <w:spacing w:line="240" w:lineRule="auto"/>
              <w:ind w:firstLineChars="0" w:firstLine="0"/>
              <w:jc w:val="center"/>
              <w:rPr>
                <w:sz w:val="21"/>
                <w:szCs w:val="21"/>
              </w:rPr>
            </w:pPr>
            <w:r>
              <w:rPr>
                <w:rFonts w:hint="eastAsia"/>
                <w:sz w:val="21"/>
                <w:szCs w:val="21"/>
              </w:rPr>
              <w:t>/</w:t>
            </w:r>
          </w:p>
        </w:tc>
        <w:tc>
          <w:tcPr>
            <w:tcW w:w="1259" w:type="dxa"/>
            <w:gridSpan w:val="2"/>
            <w:tcBorders>
              <w:left w:val="single" w:sz="4" w:space="0" w:color="000000"/>
              <w:right w:val="single" w:sz="4" w:space="0" w:color="000000"/>
            </w:tcBorders>
            <w:vAlign w:val="center"/>
          </w:tcPr>
          <w:p w14:paraId="12358B6F" w14:textId="77777777" w:rsidR="009D12AF" w:rsidRDefault="00000000">
            <w:pPr>
              <w:adjustRightInd w:val="0"/>
              <w:spacing w:line="240" w:lineRule="auto"/>
              <w:ind w:firstLineChars="0" w:firstLine="0"/>
              <w:jc w:val="center"/>
              <w:rPr>
                <w:sz w:val="21"/>
                <w:szCs w:val="21"/>
              </w:rPr>
            </w:pPr>
            <w:r>
              <w:rPr>
                <w:rFonts w:hint="eastAsia"/>
                <w:sz w:val="21"/>
                <w:szCs w:val="21"/>
              </w:rPr>
              <w:t>100.8m</w:t>
            </w:r>
            <w:r>
              <w:rPr>
                <w:rFonts w:hint="eastAsia"/>
                <w:sz w:val="21"/>
                <w:szCs w:val="21"/>
                <w:vertAlign w:val="superscript"/>
              </w:rPr>
              <w:t>3</w:t>
            </w:r>
            <w:r>
              <w:rPr>
                <w:rFonts w:hint="eastAsia"/>
                <w:sz w:val="21"/>
                <w:szCs w:val="21"/>
              </w:rPr>
              <w:t>/</w:t>
            </w:r>
            <w:r>
              <w:rPr>
                <w:rFonts w:hint="eastAsia"/>
                <w:sz w:val="21"/>
                <w:szCs w:val="21"/>
              </w:rPr>
              <w:t>总工期</w:t>
            </w:r>
          </w:p>
        </w:tc>
        <w:tc>
          <w:tcPr>
            <w:tcW w:w="2792" w:type="dxa"/>
            <w:tcBorders>
              <w:left w:val="single" w:sz="4" w:space="0" w:color="000000"/>
            </w:tcBorders>
            <w:vAlign w:val="center"/>
          </w:tcPr>
          <w:p w14:paraId="2B32CE35" w14:textId="77777777" w:rsidR="009D12AF" w:rsidRDefault="00000000">
            <w:pPr>
              <w:adjustRightInd w:val="0"/>
              <w:spacing w:line="240" w:lineRule="auto"/>
              <w:ind w:firstLineChars="0" w:firstLine="0"/>
              <w:jc w:val="center"/>
              <w:rPr>
                <w:sz w:val="21"/>
                <w:szCs w:val="21"/>
              </w:rPr>
            </w:pPr>
            <w:r>
              <w:rPr>
                <w:sz w:val="21"/>
                <w:szCs w:val="21"/>
              </w:rPr>
              <w:t>隔油沉淀处理回用于施工场地洒水抑尘及施工设备冲洗，不外排</w:t>
            </w:r>
          </w:p>
        </w:tc>
      </w:tr>
      <w:tr w:rsidR="009D12AF" w14:paraId="6AE87302" w14:textId="77777777">
        <w:trPr>
          <w:trHeight w:val="397"/>
        </w:trPr>
        <w:tc>
          <w:tcPr>
            <w:tcW w:w="772" w:type="dxa"/>
            <w:vMerge/>
            <w:vAlign w:val="center"/>
          </w:tcPr>
          <w:p w14:paraId="25979474" w14:textId="77777777" w:rsidR="009D12AF" w:rsidRDefault="009D12AF">
            <w:pPr>
              <w:adjustRightInd w:val="0"/>
              <w:spacing w:line="240" w:lineRule="auto"/>
              <w:ind w:firstLineChars="0" w:firstLine="0"/>
              <w:jc w:val="center"/>
              <w:rPr>
                <w:kern w:val="0"/>
                <w:sz w:val="21"/>
                <w:szCs w:val="21"/>
                <w:highlight w:val="green"/>
              </w:rPr>
            </w:pPr>
          </w:p>
        </w:tc>
        <w:tc>
          <w:tcPr>
            <w:tcW w:w="1123" w:type="dxa"/>
            <w:vMerge/>
            <w:vAlign w:val="center"/>
          </w:tcPr>
          <w:p w14:paraId="4326F9C3" w14:textId="77777777" w:rsidR="009D12AF" w:rsidRDefault="009D12AF">
            <w:pPr>
              <w:adjustRightInd w:val="0"/>
              <w:spacing w:line="240" w:lineRule="auto"/>
              <w:ind w:firstLineChars="0" w:firstLine="0"/>
              <w:jc w:val="center"/>
              <w:rPr>
                <w:kern w:val="0"/>
                <w:sz w:val="21"/>
                <w:szCs w:val="21"/>
                <w:highlight w:val="green"/>
              </w:rPr>
            </w:pPr>
          </w:p>
        </w:tc>
        <w:tc>
          <w:tcPr>
            <w:tcW w:w="1222" w:type="dxa"/>
            <w:vAlign w:val="center"/>
          </w:tcPr>
          <w:p w14:paraId="49487C97" w14:textId="77777777" w:rsidR="009D12AF" w:rsidRDefault="00000000">
            <w:pPr>
              <w:adjustRightInd w:val="0"/>
              <w:spacing w:line="240" w:lineRule="auto"/>
              <w:ind w:firstLineChars="0" w:firstLine="0"/>
              <w:jc w:val="center"/>
              <w:rPr>
                <w:kern w:val="0"/>
                <w:sz w:val="21"/>
                <w:szCs w:val="21"/>
              </w:rPr>
            </w:pPr>
            <w:r>
              <w:rPr>
                <w:rFonts w:hint="eastAsia"/>
                <w:kern w:val="0"/>
                <w:sz w:val="21"/>
                <w:szCs w:val="21"/>
              </w:rPr>
              <w:t>挖泥船船底油污水</w:t>
            </w:r>
          </w:p>
        </w:tc>
        <w:tc>
          <w:tcPr>
            <w:tcW w:w="1147" w:type="dxa"/>
            <w:gridSpan w:val="2"/>
            <w:vAlign w:val="center"/>
          </w:tcPr>
          <w:p w14:paraId="7CE08305" w14:textId="77777777" w:rsidR="009D12AF" w:rsidRDefault="00000000">
            <w:pPr>
              <w:adjustRightInd w:val="0"/>
              <w:spacing w:line="240" w:lineRule="auto"/>
              <w:ind w:firstLineChars="0" w:firstLine="0"/>
              <w:jc w:val="center"/>
              <w:rPr>
                <w:kern w:val="0"/>
                <w:sz w:val="21"/>
                <w:szCs w:val="21"/>
              </w:rPr>
            </w:pPr>
            <w:r>
              <w:rPr>
                <w:rFonts w:hint="eastAsia"/>
                <w:kern w:val="0"/>
                <w:sz w:val="21"/>
                <w:szCs w:val="21"/>
              </w:rPr>
              <w:t>/</w:t>
            </w:r>
          </w:p>
        </w:tc>
        <w:tc>
          <w:tcPr>
            <w:tcW w:w="1250" w:type="dxa"/>
            <w:tcBorders>
              <w:right w:val="single" w:sz="4" w:space="0" w:color="000000"/>
            </w:tcBorders>
            <w:vAlign w:val="center"/>
          </w:tcPr>
          <w:p w14:paraId="4C0F52AC" w14:textId="77777777" w:rsidR="009D12AF" w:rsidRDefault="00000000">
            <w:pPr>
              <w:adjustRightInd w:val="0"/>
              <w:spacing w:line="240" w:lineRule="auto"/>
              <w:ind w:firstLineChars="0" w:firstLine="0"/>
              <w:jc w:val="center"/>
              <w:rPr>
                <w:kern w:val="0"/>
                <w:sz w:val="21"/>
                <w:szCs w:val="21"/>
                <w:highlight w:val="green"/>
              </w:rPr>
            </w:pPr>
            <w:r>
              <w:rPr>
                <w:rFonts w:hint="eastAsia"/>
                <w:kern w:val="0"/>
                <w:sz w:val="21"/>
                <w:szCs w:val="21"/>
              </w:rPr>
              <w:t>2016t/</w:t>
            </w:r>
            <w:r>
              <w:rPr>
                <w:rFonts w:hint="eastAsia"/>
                <w:kern w:val="0"/>
                <w:sz w:val="21"/>
                <w:szCs w:val="21"/>
              </w:rPr>
              <w:t>总工期</w:t>
            </w:r>
          </w:p>
        </w:tc>
        <w:tc>
          <w:tcPr>
            <w:tcW w:w="2792" w:type="dxa"/>
            <w:tcBorders>
              <w:left w:val="single" w:sz="4" w:space="0" w:color="000000"/>
            </w:tcBorders>
            <w:vAlign w:val="center"/>
          </w:tcPr>
          <w:p w14:paraId="02E37411" w14:textId="77777777" w:rsidR="009D12AF" w:rsidRDefault="00000000">
            <w:pPr>
              <w:adjustRightInd w:val="0"/>
              <w:spacing w:line="240" w:lineRule="auto"/>
              <w:ind w:firstLineChars="0" w:firstLine="0"/>
              <w:jc w:val="center"/>
              <w:rPr>
                <w:sz w:val="21"/>
                <w:szCs w:val="21"/>
                <w:highlight w:val="green"/>
              </w:rPr>
            </w:pPr>
            <w:r>
              <w:rPr>
                <w:rFonts w:hint="eastAsia"/>
                <w:sz w:val="21"/>
                <w:szCs w:val="21"/>
              </w:rPr>
              <w:t>由从事船舶污染物接收的单位接收处置</w:t>
            </w:r>
          </w:p>
        </w:tc>
      </w:tr>
      <w:tr w:rsidR="009D12AF" w14:paraId="5D117023" w14:textId="77777777">
        <w:trPr>
          <w:trHeight w:val="397"/>
        </w:trPr>
        <w:tc>
          <w:tcPr>
            <w:tcW w:w="772" w:type="dxa"/>
            <w:vMerge/>
            <w:vAlign w:val="center"/>
          </w:tcPr>
          <w:p w14:paraId="729114D4" w14:textId="77777777" w:rsidR="009D12AF" w:rsidRDefault="009D12AF">
            <w:pPr>
              <w:adjustRightInd w:val="0"/>
              <w:spacing w:line="240" w:lineRule="auto"/>
              <w:ind w:firstLineChars="0" w:firstLine="0"/>
              <w:jc w:val="center"/>
              <w:rPr>
                <w:kern w:val="0"/>
                <w:sz w:val="21"/>
                <w:szCs w:val="21"/>
                <w:highlight w:val="green"/>
              </w:rPr>
            </w:pPr>
          </w:p>
        </w:tc>
        <w:tc>
          <w:tcPr>
            <w:tcW w:w="1123" w:type="dxa"/>
            <w:vMerge/>
            <w:vAlign w:val="center"/>
          </w:tcPr>
          <w:p w14:paraId="42D8F896" w14:textId="77777777" w:rsidR="009D12AF" w:rsidRDefault="009D12AF">
            <w:pPr>
              <w:adjustRightInd w:val="0"/>
              <w:spacing w:line="240" w:lineRule="auto"/>
              <w:ind w:firstLineChars="0" w:firstLine="0"/>
              <w:jc w:val="center"/>
              <w:rPr>
                <w:kern w:val="0"/>
                <w:sz w:val="21"/>
                <w:szCs w:val="21"/>
                <w:highlight w:val="green"/>
              </w:rPr>
            </w:pPr>
          </w:p>
        </w:tc>
        <w:tc>
          <w:tcPr>
            <w:tcW w:w="1222" w:type="dxa"/>
            <w:vAlign w:val="center"/>
          </w:tcPr>
          <w:p w14:paraId="18C557CE" w14:textId="77777777" w:rsidR="009D12AF" w:rsidRDefault="00000000">
            <w:pPr>
              <w:adjustRightInd w:val="0"/>
              <w:spacing w:line="240" w:lineRule="auto"/>
              <w:ind w:firstLineChars="0" w:firstLine="0"/>
              <w:jc w:val="center"/>
              <w:rPr>
                <w:kern w:val="0"/>
                <w:sz w:val="21"/>
                <w:szCs w:val="21"/>
              </w:rPr>
            </w:pPr>
            <w:r>
              <w:rPr>
                <w:rFonts w:hint="eastAsia"/>
                <w:kern w:val="0"/>
                <w:sz w:val="21"/>
                <w:szCs w:val="21"/>
              </w:rPr>
              <w:t>淤泥渗滤水</w:t>
            </w:r>
          </w:p>
        </w:tc>
        <w:tc>
          <w:tcPr>
            <w:tcW w:w="1147" w:type="dxa"/>
            <w:gridSpan w:val="2"/>
            <w:vAlign w:val="center"/>
          </w:tcPr>
          <w:p w14:paraId="65C62DFC" w14:textId="77777777" w:rsidR="009D12AF" w:rsidRDefault="00000000">
            <w:pPr>
              <w:adjustRightInd w:val="0"/>
              <w:spacing w:line="240" w:lineRule="auto"/>
              <w:ind w:firstLineChars="0" w:firstLine="0"/>
              <w:jc w:val="center"/>
              <w:rPr>
                <w:kern w:val="0"/>
                <w:sz w:val="21"/>
                <w:szCs w:val="21"/>
              </w:rPr>
            </w:pPr>
            <w:r>
              <w:rPr>
                <w:rFonts w:hint="eastAsia"/>
                <w:kern w:val="0"/>
                <w:sz w:val="21"/>
                <w:szCs w:val="21"/>
              </w:rPr>
              <w:t>/</w:t>
            </w:r>
          </w:p>
        </w:tc>
        <w:tc>
          <w:tcPr>
            <w:tcW w:w="1250" w:type="dxa"/>
            <w:tcBorders>
              <w:right w:val="single" w:sz="4" w:space="0" w:color="000000"/>
            </w:tcBorders>
            <w:vAlign w:val="center"/>
          </w:tcPr>
          <w:p w14:paraId="7EDF0691" w14:textId="77777777" w:rsidR="009D12AF" w:rsidRDefault="00000000">
            <w:pPr>
              <w:adjustRightInd w:val="0"/>
              <w:spacing w:line="240" w:lineRule="auto"/>
              <w:ind w:firstLineChars="0" w:firstLine="0"/>
              <w:jc w:val="center"/>
              <w:rPr>
                <w:kern w:val="0"/>
                <w:sz w:val="21"/>
                <w:szCs w:val="21"/>
              </w:rPr>
            </w:pPr>
            <w:r>
              <w:rPr>
                <w:rFonts w:hint="eastAsia"/>
                <w:kern w:val="0"/>
                <w:sz w:val="21"/>
                <w:szCs w:val="21"/>
              </w:rPr>
              <w:t>30</w:t>
            </w:r>
            <w:r>
              <w:rPr>
                <w:rFonts w:hint="eastAsia"/>
                <w:kern w:val="0"/>
                <w:sz w:val="21"/>
                <w:szCs w:val="21"/>
              </w:rPr>
              <w:t>万</w:t>
            </w:r>
            <w:r>
              <w:rPr>
                <w:rFonts w:hint="eastAsia"/>
                <w:kern w:val="0"/>
                <w:sz w:val="21"/>
                <w:szCs w:val="21"/>
              </w:rPr>
              <w:t>m</w:t>
            </w:r>
            <w:r>
              <w:rPr>
                <w:rFonts w:hint="eastAsia"/>
                <w:kern w:val="0"/>
                <w:sz w:val="21"/>
                <w:szCs w:val="21"/>
                <w:vertAlign w:val="superscript"/>
              </w:rPr>
              <w:t>3</w:t>
            </w:r>
            <w:r>
              <w:rPr>
                <w:rFonts w:hint="eastAsia"/>
                <w:kern w:val="0"/>
                <w:sz w:val="21"/>
                <w:szCs w:val="21"/>
              </w:rPr>
              <w:t>/</w:t>
            </w:r>
            <w:r>
              <w:rPr>
                <w:rFonts w:hint="eastAsia"/>
                <w:kern w:val="0"/>
                <w:sz w:val="21"/>
                <w:szCs w:val="21"/>
              </w:rPr>
              <w:t>总工期</w:t>
            </w:r>
          </w:p>
        </w:tc>
        <w:tc>
          <w:tcPr>
            <w:tcW w:w="2792" w:type="dxa"/>
            <w:tcBorders>
              <w:left w:val="single" w:sz="4" w:space="0" w:color="000000"/>
            </w:tcBorders>
            <w:vAlign w:val="center"/>
          </w:tcPr>
          <w:p w14:paraId="4D0BE9B4" w14:textId="77777777" w:rsidR="009D12AF" w:rsidRDefault="00000000">
            <w:pPr>
              <w:adjustRightInd w:val="0"/>
              <w:spacing w:line="240" w:lineRule="auto"/>
              <w:ind w:firstLineChars="0" w:firstLine="0"/>
              <w:jc w:val="center"/>
              <w:rPr>
                <w:sz w:val="21"/>
                <w:szCs w:val="21"/>
              </w:rPr>
            </w:pPr>
            <w:r>
              <w:rPr>
                <w:rFonts w:hint="eastAsia"/>
                <w:sz w:val="21"/>
                <w:szCs w:val="21"/>
              </w:rPr>
              <w:t>余水在临时生产内经自然沉淀后进入余水沉淀池进行环保混凝沉淀处理，达到《污水综合排放标准》（</w:t>
            </w:r>
            <w:r>
              <w:rPr>
                <w:rFonts w:hint="eastAsia"/>
                <w:sz w:val="21"/>
                <w:szCs w:val="21"/>
              </w:rPr>
              <w:t>GB8978-1996</w:t>
            </w:r>
            <w:r>
              <w:rPr>
                <w:rFonts w:hint="eastAsia"/>
                <w:sz w:val="21"/>
                <w:szCs w:val="21"/>
              </w:rPr>
              <w:t>）一级标准，由牡丹江龙江环保水务有限公司定期拉运处理。</w:t>
            </w:r>
          </w:p>
        </w:tc>
      </w:tr>
      <w:tr w:rsidR="009D12AF" w14:paraId="18E2829C" w14:textId="77777777">
        <w:trPr>
          <w:trHeight w:val="397"/>
        </w:trPr>
        <w:tc>
          <w:tcPr>
            <w:tcW w:w="772" w:type="dxa"/>
            <w:vMerge w:val="restart"/>
            <w:vAlign w:val="center"/>
          </w:tcPr>
          <w:p w14:paraId="0107CF14" w14:textId="77777777" w:rsidR="009D12AF" w:rsidRDefault="00000000">
            <w:pPr>
              <w:adjustRightInd w:val="0"/>
              <w:spacing w:line="240" w:lineRule="auto"/>
              <w:ind w:firstLineChars="0" w:firstLine="0"/>
              <w:jc w:val="center"/>
              <w:rPr>
                <w:kern w:val="0"/>
                <w:sz w:val="21"/>
                <w:szCs w:val="21"/>
              </w:rPr>
            </w:pPr>
            <w:r>
              <w:rPr>
                <w:kern w:val="0"/>
                <w:sz w:val="21"/>
                <w:szCs w:val="21"/>
              </w:rPr>
              <w:t>废气</w:t>
            </w:r>
          </w:p>
        </w:tc>
        <w:tc>
          <w:tcPr>
            <w:tcW w:w="1123" w:type="dxa"/>
            <w:vAlign w:val="center"/>
          </w:tcPr>
          <w:p w14:paraId="239FD602" w14:textId="77777777" w:rsidR="009D12AF" w:rsidRDefault="00000000">
            <w:pPr>
              <w:adjustRightInd w:val="0"/>
              <w:spacing w:line="240" w:lineRule="auto"/>
              <w:ind w:firstLineChars="0" w:firstLine="0"/>
              <w:jc w:val="center"/>
              <w:rPr>
                <w:kern w:val="0"/>
                <w:sz w:val="21"/>
                <w:szCs w:val="21"/>
              </w:rPr>
            </w:pPr>
            <w:r>
              <w:rPr>
                <w:kern w:val="0"/>
                <w:sz w:val="21"/>
                <w:szCs w:val="21"/>
              </w:rPr>
              <w:t>土建施工</w:t>
            </w:r>
          </w:p>
        </w:tc>
        <w:tc>
          <w:tcPr>
            <w:tcW w:w="1222" w:type="dxa"/>
            <w:vAlign w:val="center"/>
          </w:tcPr>
          <w:p w14:paraId="45E1D6DB" w14:textId="77777777" w:rsidR="009D12AF" w:rsidRDefault="00000000">
            <w:pPr>
              <w:adjustRightInd w:val="0"/>
              <w:spacing w:line="240" w:lineRule="auto"/>
              <w:ind w:firstLineChars="0" w:firstLine="0"/>
              <w:jc w:val="center"/>
              <w:rPr>
                <w:kern w:val="0"/>
                <w:sz w:val="21"/>
                <w:szCs w:val="21"/>
              </w:rPr>
            </w:pPr>
            <w:r>
              <w:rPr>
                <w:kern w:val="0"/>
                <w:sz w:val="21"/>
                <w:szCs w:val="21"/>
              </w:rPr>
              <w:t>扬尘</w:t>
            </w:r>
          </w:p>
        </w:tc>
        <w:tc>
          <w:tcPr>
            <w:tcW w:w="1147" w:type="dxa"/>
            <w:gridSpan w:val="2"/>
            <w:vAlign w:val="center"/>
          </w:tcPr>
          <w:p w14:paraId="03FC6385" w14:textId="77777777" w:rsidR="009D12AF" w:rsidRDefault="00000000">
            <w:pPr>
              <w:adjustRightInd w:val="0"/>
              <w:spacing w:line="240" w:lineRule="auto"/>
              <w:ind w:firstLineChars="0" w:firstLine="0"/>
              <w:jc w:val="center"/>
              <w:rPr>
                <w:kern w:val="0"/>
                <w:sz w:val="21"/>
                <w:szCs w:val="21"/>
              </w:rPr>
            </w:pPr>
            <w:r>
              <w:rPr>
                <w:kern w:val="0"/>
                <w:sz w:val="21"/>
                <w:szCs w:val="21"/>
              </w:rPr>
              <w:t>少量</w:t>
            </w:r>
          </w:p>
        </w:tc>
        <w:tc>
          <w:tcPr>
            <w:tcW w:w="1250" w:type="dxa"/>
            <w:vAlign w:val="center"/>
          </w:tcPr>
          <w:p w14:paraId="048299EC" w14:textId="77777777" w:rsidR="009D12AF" w:rsidRDefault="00000000">
            <w:pPr>
              <w:adjustRightInd w:val="0"/>
              <w:spacing w:line="240" w:lineRule="auto"/>
              <w:ind w:firstLineChars="0" w:firstLine="0"/>
              <w:jc w:val="center"/>
              <w:rPr>
                <w:kern w:val="0"/>
                <w:sz w:val="21"/>
                <w:szCs w:val="21"/>
              </w:rPr>
            </w:pPr>
            <w:r>
              <w:rPr>
                <w:kern w:val="0"/>
                <w:sz w:val="21"/>
                <w:szCs w:val="21"/>
              </w:rPr>
              <w:t>少量</w:t>
            </w:r>
          </w:p>
        </w:tc>
        <w:tc>
          <w:tcPr>
            <w:tcW w:w="2792" w:type="dxa"/>
            <w:vAlign w:val="center"/>
          </w:tcPr>
          <w:p w14:paraId="2157937B" w14:textId="77777777" w:rsidR="009D12AF" w:rsidRDefault="00000000">
            <w:pPr>
              <w:adjustRightInd w:val="0"/>
              <w:spacing w:line="240" w:lineRule="auto"/>
              <w:ind w:firstLineChars="0" w:firstLine="0"/>
              <w:jc w:val="center"/>
              <w:rPr>
                <w:sz w:val="21"/>
                <w:szCs w:val="21"/>
              </w:rPr>
            </w:pPr>
            <w:r>
              <w:rPr>
                <w:sz w:val="21"/>
                <w:szCs w:val="21"/>
              </w:rPr>
              <w:t>避免大风天进行土方作业，</w:t>
            </w:r>
          </w:p>
          <w:p w14:paraId="37C1979F" w14:textId="77777777" w:rsidR="009D12AF" w:rsidRDefault="00000000">
            <w:pPr>
              <w:adjustRightInd w:val="0"/>
              <w:spacing w:line="240" w:lineRule="auto"/>
              <w:ind w:firstLineChars="0" w:firstLine="0"/>
              <w:jc w:val="center"/>
              <w:rPr>
                <w:sz w:val="21"/>
                <w:szCs w:val="21"/>
              </w:rPr>
            </w:pPr>
            <w:r>
              <w:rPr>
                <w:sz w:val="21"/>
                <w:szCs w:val="21"/>
              </w:rPr>
              <w:t>采取洒水、覆盖等措施</w:t>
            </w:r>
          </w:p>
        </w:tc>
      </w:tr>
      <w:tr w:rsidR="009D12AF" w14:paraId="4EC6DE31" w14:textId="77777777">
        <w:trPr>
          <w:trHeight w:val="397"/>
        </w:trPr>
        <w:tc>
          <w:tcPr>
            <w:tcW w:w="772" w:type="dxa"/>
            <w:vMerge/>
            <w:vAlign w:val="center"/>
          </w:tcPr>
          <w:p w14:paraId="44B957F7" w14:textId="77777777" w:rsidR="009D12AF" w:rsidRDefault="009D12AF">
            <w:pPr>
              <w:adjustRightInd w:val="0"/>
              <w:spacing w:line="240" w:lineRule="auto"/>
              <w:ind w:firstLineChars="0" w:firstLine="0"/>
              <w:jc w:val="center"/>
              <w:rPr>
                <w:kern w:val="0"/>
                <w:sz w:val="21"/>
                <w:szCs w:val="21"/>
              </w:rPr>
            </w:pPr>
          </w:p>
        </w:tc>
        <w:tc>
          <w:tcPr>
            <w:tcW w:w="1123" w:type="dxa"/>
            <w:vMerge w:val="restart"/>
            <w:vAlign w:val="center"/>
          </w:tcPr>
          <w:p w14:paraId="1570688A" w14:textId="77777777" w:rsidR="009D12AF" w:rsidRDefault="00000000">
            <w:pPr>
              <w:adjustRightInd w:val="0"/>
              <w:spacing w:line="240" w:lineRule="auto"/>
              <w:ind w:firstLineChars="0" w:firstLine="0"/>
              <w:jc w:val="center"/>
              <w:rPr>
                <w:kern w:val="0"/>
                <w:sz w:val="21"/>
                <w:szCs w:val="21"/>
              </w:rPr>
            </w:pPr>
            <w:r>
              <w:rPr>
                <w:kern w:val="0"/>
                <w:sz w:val="21"/>
                <w:szCs w:val="21"/>
              </w:rPr>
              <w:t>运输车辆</w:t>
            </w:r>
          </w:p>
        </w:tc>
        <w:tc>
          <w:tcPr>
            <w:tcW w:w="1222" w:type="dxa"/>
            <w:vAlign w:val="center"/>
          </w:tcPr>
          <w:p w14:paraId="14672664" w14:textId="77777777" w:rsidR="009D12AF" w:rsidRDefault="00000000">
            <w:pPr>
              <w:adjustRightInd w:val="0"/>
              <w:spacing w:line="240" w:lineRule="auto"/>
              <w:ind w:firstLineChars="0" w:firstLine="0"/>
              <w:jc w:val="center"/>
              <w:rPr>
                <w:kern w:val="0"/>
                <w:sz w:val="21"/>
                <w:szCs w:val="21"/>
              </w:rPr>
            </w:pPr>
            <w:r>
              <w:rPr>
                <w:kern w:val="0"/>
                <w:sz w:val="21"/>
                <w:szCs w:val="21"/>
              </w:rPr>
              <w:t>扬尘</w:t>
            </w:r>
          </w:p>
        </w:tc>
        <w:tc>
          <w:tcPr>
            <w:tcW w:w="1147" w:type="dxa"/>
            <w:gridSpan w:val="2"/>
            <w:vAlign w:val="center"/>
          </w:tcPr>
          <w:p w14:paraId="54387CE7" w14:textId="77777777" w:rsidR="009D12AF" w:rsidRDefault="00000000">
            <w:pPr>
              <w:adjustRightInd w:val="0"/>
              <w:spacing w:line="240" w:lineRule="auto"/>
              <w:ind w:firstLineChars="0" w:firstLine="0"/>
              <w:jc w:val="center"/>
              <w:rPr>
                <w:kern w:val="0"/>
                <w:sz w:val="21"/>
                <w:szCs w:val="21"/>
              </w:rPr>
            </w:pPr>
            <w:r>
              <w:rPr>
                <w:kern w:val="0"/>
                <w:sz w:val="21"/>
                <w:szCs w:val="21"/>
              </w:rPr>
              <w:t>少量</w:t>
            </w:r>
          </w:p>
        </w:tc>
        <w:tc>
          <w:tcPr>
            <w:tcW w:w="1250" w:type="dxa"/>
            <w:vAlign w:val="center"/>
          </w:tcPr>
          <w:p w14:paraId="161C9B10" w14:textId="77777777" w:rsidR="009D12AF" w:rsidRDefault="00000000">
            <w:pPr>
              <w:adjustRightInd w:val="0"/>
              <w:spacing w:line="240" w:lineRule="auto"/>
              <w:ind w:firstLineChars="0" w:firstLine="0"/>
              <w:jc w:val="center"/>
              <w:rPr>
                <w:kern w:val="0"/>
                <w:sz w:val="21"/>
                <w:szCs w:val="21"/>
              </w:rPr>
            </w:pPr>
            <w:r>
              <w:rPr>
                <w:kern w:val="0"/>
                <w:sz w:val="21"/>
                <w:szCs w:val="21"/>
              </w:rPr>
              <w:t>少量</w:t>
            </w:r>
          </w:p>
        </w:tc>
        <w:tc>
          <w:tcPr>
            <w:tcW w:w="2792" w:type="dxa"/>
            <w:vAlign w:val="center"/>
          </w:tcPr>
          <w:p w14:paraId="627572ED" w14:textId="77777777" w:rsidR="009D12AF" w:rsidRDefault="00000000">
            <w:pPr>
              <w:adjustRightInd w:val="0"/>
              <w:spacing w:line="240" w:lineRule="auto"/>
              <w:ind w:firstLineChars="0" w:firstLine="0"/>
              <w:jc w:val="center"/>
              <w:rPr>
                <w:sz w:val="21"/>
                <w:szCs w:val="21"/>
              </w:rPr>
            </w:pPr>
            <w:r>
              <w:rPr>
                <w:sz w:val="21"/>
                <w:szCs w:val="21"/>
              </w:rPr>
              <w:t>定期清理，洒水降尘</w:t>
            </w:r>
          </w:p>
        </w:tc>
      </w:tr>
      <w:tr w:rsidR="009D12AF" w14:paraId="07F79C52" w14:textId="77777777">
        <w:trPr>
          <w:trHeight w:val="397"/>
        </w:trPr>
        <w:tc>
          <w:tcPr>
            <w:tcW w:w="772" w:type="dxa"/>
            <w:vMerge/>
            <w:vAlign w:val="center"/>
          </w:tcPr>
          <w:p w14:paraId="3E46CD73" w14:textId="77777777" w:rsidR="009D12AF" w:rsidRDefault="009D12AF">
            <w:pPr>
              <w:adjustRightInd w:val="0"/>
              <w:spacing w:line="240" w:lineRule="auto"/>
              <w:ind w:firstLineChars="0" w:firstLine="0"/>
              <w:jc w:val="center"/>
              <w:rPr>
                <w:kern w:val="0"/>
                <w:sz w:val="21"/>
                <w:szCs w:val="21"/>
              </w:rPr>
            </w:pPr>
          </w:p>
        </w:tc>
        <w:tc>
          <w:tcPr>
            <w:tcW w:w="1123" w:type="dxa"/>
            <w:vMerge/>
            <w:vAlign w:val="center"/>
          </w:tcPr>
          <w:p w14:paraId="3D4491D7" w14:textId="77777777" w:rsidR="009D12AF" w:rsidRDefault="009D12AF">
            <w:pPr>
              <w:adjustRightInd w:val="0"/>
              <w:spacing w:line="240" w:lineRule="auto"/>
              <w:ind w:firstLineChars="0" w:firstLine="0"/>
              <w:jc w:val="center"/>
              <w:rPr>
                <w:kern w:val="0"/>
                <w:sz w:val="21"/>
                <w:szCs w:val="21"/>
              </w:rPr>
            </w:pPr>
          </w:p>
        </w:tc>
        <w:tc>
          <w:tcPr>
            <w:tcW w:w="1222" w:type="dxa"/>
            <w:vAlign w:val="center"/>
          </w:tcPr>
          <w:p w14:paraId="0A9BAF83" w14:textId="77777777" w:rsidR="009D12AF" w:rsidRDefault="00000000">
            <w:pPr>
              <w:adjustRightInd w:val="0"/>
              <w:spacing w:line="240" w:lineRule="auto"/>
              <w:ind w:firstLineChars="0" w:firstLine="0"/>
              <w:jc w:val="center"/>
              <w:rPr>
                <w:kern w:val="0"/>
                <w:sz w:val="21"/>
                <w:szCs w:val="21"/>
              </w:rPr>
            </w:pPr>
            <w:r>
              <w:rPr>
                <w:kern w:val="0"/>
                <w:sz w:val="21"/>
                <w:szCs w:val="21"/>
              </w:rPr>
              <w:t>尾气</w:t>
            </w:r>
          </w:p>
        </w:tc>
        <w:tc>
          <w:tcPr>
            <w:tcW w:w="1147" w:type="dxa"/>
            <w:gridSpan w:val="2"/>
            <w:vAlign w:val="center"/>
          </w:tcPr>
          <w:p w14:paraId="11A8F63B" w14:textId="77777777" w:rsidR="009D12AF" w:rsidRDefault="00000000">
            <w:pPr>
              <w:adjustRightInd w:val="0"/>
              <w:spacing w:line="240" w:lineRule="auto"/>
              <w:ind w:firstLineChars="0" w:firstLine="0"/>
              <w:jc w:val="center"/>
              <w:rPr>
                <w:kern w:val="0"/>
                <w:sz w:val="21"/>
                <w:szCs w:val="21"/>
              </w:rPr>
            </w:pPr>
            <w:r>
              <w:rPr>
                <w:kern w:val="0"/>
                <w:sz w:val="21"/>
                <w:szCs w:val="21"/>
              </w:rPr>
              <w:t>少量</w:t>
            </w:r>
          </w:p>
        </w:tc>
        <w:tc>
          <w:tcPr>
            <w:tcW w:w="1250" w:type="dxa"/>
            <w:vAlign w:val="center"/>
          </w:tcPr>
          <w:p w14:paraId="19FAED68" w14:textId="77777777" w:rsidR="009D12AF" w:rsidRDefault="00000000">
            <w:pPr>
              <w:adjustRightInd w:val="0"/>
              <w:spacing w:line="240" w:lineRule="auto"/>
              <w:ind w:firstLineChars="0" w:firstLine="0"/>
              <w:jc w:val="center"/>
              <w:rPr>
                <w:kern w:val="0"/>
                <w:sz w:val="21"/>
                <w:szCs w:val="21"/>
              </w:rPr>
            </w:pPr>
            <w:r>
              <w:rPr>
                <w:kern w:val="0"/>
                <w:sz w:val="21"/>
                <w:szCs w:val="21"/>
              </w:rPr>
              <w:t>少量</w:t>
            </w:r>
          </w:p>
        </w:tc>
        <w:tc>
          <w:tcPr>
            <w:tcW w:w="2792" w:type="dxa"/>
            <w:vAlign w:val="center"/>
          </w:tcPr>
          <w:p w14:paraId="4A727C8E" w14:textId="77777777" w:rsidR="009D12AF" w:rsidRDefault="00000000">
            <w:pPr>
              <w:adjustRightInd w:val="0"/>
              <w:spacing w:line="240" w:lineRule="auto"/>
              <w:ind w:firstLineChars="0" w:firstLine="0"/>
              <w:jc w:val="center"/>
              <w:rPr>
                <w:sz w:val="21"/>
                <w:szCs w:val="21"/>
              </w:rPr>
            </w:pPr>
            <w:r>
              <w:rPr>
                <w:sz w:val="21"/>
                <w:szCs w:val="21"/>
              </w:rPr>
              <w:t>使用有害物质量少的燃料，</w:t>
            </w:r>
          </w:p>
          <w:p w14:paraId="25214242" w14:textId="77777777" w:rsidR="009D12AF" w:rsidRDefault="00000000">
            <w:pPr>
              <w:adjustRightInd w:val="0"/>
              <w:spacing w:line="240" w:lineRule="auto"/>
              <w:ind w:firstLineChars="0" w:firstLine="0"/>
              <w:jc w:val="center"/>
              <w:rPr>
                <w:sz w:val="21"/>
                <w:szCs w:val="21"/>
              </w:rPr>
            </w:pPr>
            <w:r>
              <w:rPr>
                <w:sz w:val="21"/>
                <w:szCs w:val="21"/>
              </w:rPr>
              <w:t>并定期对设备进行维护</w:t>
            </w:r>
          </w:p>
        </w:tc>
      </w:tr>
      <w:tr w:rsidR="009D12AF" w14:paraId="3902D9C6" w14:textId="77777777">
        <w:trPr>
          <w:trHeight w:val="397"/>
        </w:trPr>
        <w:tc>
          <w:tcPr>
            <w:tcW w:w="772" w:type="dxa"/>
            <w:vMerge/>
            <w:vAlign w:val="center"/>
          </w:tcPr>
          <w:p w14:paraId="4134AE0F" w14:textId="77777777" w:rsidR="009D12AF" w:rsidRDefault="009D12AF">
            <w:pPr>
              <w:adjustRightInd w:val="0"/>
              <w:spacing w:line="240" w:lineRule="auto"/>
              <w:ind w:firstLineChars="0" w:firstLine="0"/>
              <w:jc w:val="center"/>
              <w:rPr>
                <w:kern w:val="0"/>
                <w:sz w:val="21"/>
                <w:szCs w:val="21"/>
              </w:rPr>
            </w:pPr>
          </w:p>
        </w:tc>
        <w:tc>
          <w:tcPr>
            <w:tcW w:w="1123" w:type="dxa"/>
            <w:vAlign w:val="center"/>
          </w:tcPr>
          <w:p w14:paraId="1D065F1A" w14:textId="77777777" w:rsidR="009D12AF" w:rsidRDefault="00000000">
            <w:pPr>
              <w:adjustRightInd w:val="0"/>
              <w:spacing w:line="240" w:lineRule="auto"/>
              <w:ind w:firstLineChars="0" w:firstLine="0"/>
              <w:jc w:val="center"/>
              <w:rPr>
                <w:kern w:val="0"/>
                <w:sz w:val="21"/>
                <w:szCs w:val="21"/>
              </w:rPr>
            </w:pPr>
            <w:r>
              <w:rPr>
                <w:kern w:val="0"/>
                <w:sz w:val="21"/>
                <w:szCs w:val="21"/>
              </w:rPr>
              <w:t>清淤及</w:t>
            </w:r>
            <w:r>
              <w:rPr>
                <w:rFonts w:hint="eastAsia"/>
                <w:kern w:val="0"/>
                <w:sz w:val="21"/>
                <w:szCs w:val="21"/>
              </w:rPr>
              <w:t>临时生产区</w:t>
            </w:r>
          </w:p>
        </w:tc>
        <w:tc>
          <w:tcPr>
            <w:tcW w:w="1222" w:type="dxa"/>
            <w:vAlign w:val="center"/>
          </w:tcPr>
          <w:p w14:paraId="187B2045" w14:textId="77777777" w:rsidR="009D12AF" w:rsidRDefault="00000000">
            <w:pPr>
              <w:adjustRightInd w:val="0"/>
              <w:spacing w:line="240" w:lineRule="auto"/>
              <w:ind w:firstLineChars="0" w:firstLine="0"/>
              <w:jc w:val="center"/>
              <w:rPr>
                <w:kern w:val="0"/>
                <w:sz w:val="21"/>
                <w:szCs w:val="21"/>
              </w:rPr>
            </w:pPr>
            <w:r>
              <w:rPr>
                <w:kern w:val="0"/>
                <w:sz w:val="21"/>
                <w:szCs w:val="21"/>
              </w:rPr>
              <w:t>恶臭气体</w:t>
            </w:r>
          </w:p>
        </w:tc>
        <w:tc>
          <w:tcPr>
            <w:tcW w:w="1147" w:type="dxa"/>
            <w:gridSpan w:val="2"/>
            <w:vAlign w:val="center"/>
          </w:tcPr>
          <w:p w14:paraId="4691B6E8" w14:textId="77777777" w:rsidR="009D12AF" w:rsidRDefault="00000000">
            <w:pPr>
              <w:adjustRightInd w:val="0"/>
              <w:spacing w:line="240" w:lineRule="auto"/>
              <w:ind w:firstLineChars="0" w:firstLine="0"/>
              <w:jc w:val="center"/>
              <w:rPr>
                <w:kern w:val="0"/>
                <w:sz w:val="21"/>
                <w:szCs w:val="21"/>
              </w:rPr>
            </w:pPr>
            <w:r>
              <w:rPr>
                <w:kern w:val="0"/>
                <w:sz w:val="21"/>
                <w:szCs w:val="21"/>
              </w:rPr>
              <w:t>少量</w:t>
            </w:r>
          </w:p>
        </w:tc>
        <w:tc>
          <w:tcPr>
            <w:tcW w:w="1250" w:type="dxa"/>
            <w:vAlign w:val="center"/>
          </w:tcPr>
          <w:p w14:paraId="5F22B2D4" w14:textId="77777777" w:rsidR="009D12AF" w:rsidRDefault="00000000">
            <w:pPr>
              <w:adjustRightInd w:val="0"/>
              <w:spacing w:line="240" w:lineRule="auto"/>
              <w:ind w:firstLineChars="0" w:firstLine="0"/>
              <w:jc w:val="center"/>
              <w:rPr>
                <w:kern w:val="0"/>
                <w:sz w:val="21"/>
                <w:szCs w:val="21"/>
              </w:rPr>
            </w:pPr>
            <w:r>
              <w:rPr>
                <w:kern w:val="0"/>
                <w:sz w:val="21"/>
                <w:szCs w:val="21"/>
              </w:rPr>
              <w:t>少量</w:t>
            </w:r>
          </w:p>
        </w:tc>
        <w:tc>
          <w:tcPr>
            <w:tcW w:w="2792" w:type="dxa"/>
            <w:vAlign w:val="center"/>
          </w:tcPr>
          <w:p w14:paraId="513352F8" w14:textId="77777777" w:rsidR="009D12AF" w:rsidRDefault="00000000">
            <w:pPr>
              <w:adjustRightInd w:val="0"/>
              <w:spacing w:line="240" w:lineRule="auto"/>
              <w:ind w:firstLineChars="0" w:firstLine="0"/>
              <w:jc w:val="center"/>
              <w:rPr>
                <w:sz w:val="21"/>
                <w:szCs w:val="21"/>
              </w:rPr>
            </w:pPr>
            <w:r>
              <w:rPr>
                <w:sz w:val="21"/>
                <w:szCs w:val="21"/>
              </w:rPr>
              <w:t>施工现场及</w:t>
            </w:r>
            <w:r>
              <w:rPr>
                <w:rFonts w:hint="eastAsia"/>
                <w:sz w:val="21"/>
                <w:szCs w:val="21"/>
              </w:rPr>
              <w:t>临时生产区</w:t>
            </w:r>
            <w:r>
              <w:rPr>
                <w:sz w:val="21"/>
                <w:szCs w:val="21"/>
              </w:rPr>
              <w:t>设置围挡，喷洒除臭剂</w:t>
            </w:r>
          </w:p>
        </w:tc>
      </w:tr>
      <w:tr w:rsidR="009D12AF" w14:paraId="6C64ECFD" w14:textId="77777777">
        <w:trPr>
          <w:trHeight w:val="397"/>
        </w:trPr>
        <w:tc>
          <w:tcPr>
            <w:tcW w:w="772" w:type="dxa"/>
            <w:vMerge w:val="restart"/>
            <w:vAlign w:val="center"/>
          </w:tcPr>
          <w:p w14:paraId="3D694710" w14:textId="77777777" w:rsidR="009D12AF" w:rsidRDefault="00000000">
            <w:pPr>
              <w:adjustRightInd w:val="0"/>
              <w:spacing w:line="240" w:lineRule="auto"/>
              <w:ind w:firstLineChars="0" w:firstLine="0"/>
              <w:jc w:val="center"/>
              <w:rPr>
                <w:kern w:val="0"/>
                <w:sz w:val="21"/>
                <w:szCs w:val="21"/>
              </w:rPr>
            </w:pPr>
            <w:r>
              <w:rPr>
                <w:kern w:val="0"/>
                <w:sz w:val="21"/>
                <w:szCs w:val="21"/>
              </w:rPr>
              <w:t>噪声</w:t>
            </w:r>
          </w:p>
        </w:tc>
        <w:tc>
          <w:tcPr>
            <w:tcW w:w="1123" w:type="dxa"/>
            <w:vAlign w:val="center"/>
          </w:tcPr>
          <w:p w14:paraId="0AD80B41" w14:textId="77777777" w:rsidR="009D12AF" w:rsidRDefault="00000000">
            <w:pPr>
              <w:adjustRightInd w:val="0"/>
              <w:spacing w:line="240" w:lineRule="auto"/>
              <w:ind w:firstLineChars="0" w:firstLine="0"/>
              <w:jc w:val="center"/>
              <w:rPr>
                <w:kern w:val="0"/>
                <w:sz w:val="21"/>
                <w:szCs w:val="21"/>
              </w:rPr>
            </w:pPr>
            <w:r>
              <w:rPr>
                <w:kern w:val="0"/>
                <w:sz w:val="21"/>
                <w:szCs w:val="21"/>
              </w:rPr>
              <w:t>运输车辆</w:t>
            </w:r>
          </w:p>
        </w:tc>
        <w:tc>
          <w:tcPr>
            <w:tcW w:w="1222" w:type="dxa"/>
            <w:vMerge w:val="restart"/>
            <w:vAlign w:val="center"/>
          </w:tcPr>
          <w:p w14:paraId="1D34794F" w14:textId="77777777" w:rsidR="009D12AF" w:rsidRDefault="00000000">
            <w:pPr>
              <w:adjustRightInd w:val="0"/>
              <w:spacing w:line="240" w:lineRule="auto"/>
              <w:ind w:firstLineChars="0" w:firstLine="0"/>
              <w:jc w:val="center"/>
              <w:rPr>
                <w:kern w:val="0"/>
                <w:sz w:val="21"/>
                <w:szCs w:val="21"/>
              </w:rPr>
            </w:pPr>
            <w:r>
              <w:rPr>
                <w:kern w:val="0"/>
                <w:sz w:val="21"/>
                <w:szCs w:val="21"/>
              </w:rPr>
              <w:t>噪声</w:t>
            </w:r>
          </w:p>
        </w:tc>
        <w:tc>
          <w:tcPr>
            <w:tcW w:w="2397" w:type="dxa"/>
            <w:gridSpan w:val="3"/>
            <w:vMerge w:val="restart"/>
            <w:vAlign w:val="center"/>
          </w:tcPr>
          <w:p w14:paraId="011E8420" w14:textId="77777777" w:rsidR="009D12AF" w:rsidRDefault="00000000">
            <w:pPr>
              <w:adjustRightInd w:val="0"/>
              <w:spacing w:line="240" w:lineRule="auto"/>
              <w:ind w:firstLineChars="0" w:firstLine="0"/>
              <w:jc w:val="center"/>
              <w:rPr>
                <w:kern w:val="0"/>
                <w:sz w:val="21"/>
                <w:szCs w:val="21"/>
              </w:rPr>
            </w:pPr>
            <w:r>
              <w:rPr>
                <w:kern w:val="0"/>
                <w:sz w:val="21"/>
                <w:szCs w:val="21"/>
              </w:rPr>
              <w:t>85~90dB</w:t>
            </w:r>
            <w:r>
              <w:rPr>
                <w:kern w:val="0"/>
                <w:sz w:val="21"/>
                <w:szCs w:val="21"/>
              </w:rPr>
              <w:t>（</w:t>
            </w:r>
            <w:r>
              <w:rPr>
                <w:kern w:val="0"/>
                <w:sz w:val="21"/>
                <w:szCs w:val="21"/>
              </w:rPr>
              <w:t>A</w:t>
            </w:r>
            <w:r>
              <w:rPr>
                <w:kern w:val="0"/>
                <w:sz w:val="21"/>
                <w:szCs w:val="21"/>
              </w:rPr>
              <w:t>）</w:t>
            </w:r>
          </w:p>
        </w:tc>
        <w:tc>
          <w:tcPr>
            <w:tcW w:w="2792" w:type="dxa"/>
            <w:vMerge w:val="restart"/>
            <w:vAlign w:val="center"/>
          </w:tcPr>
          <w:p w14:paraId="0ABF6A7D" w14:textId="77777777" w:rsidR="009D12AF" w:rsidRDefault="00000000">
            <w:pPr>
              <w:adjustRightInd w:val="0"/>
              <w:spacing w:line="240" w:lineRule="auto"/>
              <w:ind w:firstLineChars="0" w:firstLine="0"/>
              <w:jc w:val="center"/>
              <w:rPr>
                <w:sz w:val="21"/>
                <w:szCs w:val="21"/>
              </w:rPr>
            </w:pPr>
            <w:r>
              <w:rPr>
                <w:sz w:val="21"/>
                <w:szCs w:val="21"/>
              </w:rPr>
              <w:t>限速行驶，禁止鸣笛；选用低噪音、低振动的各类施工机械设备</w:t>
            </w:r>
          </w:p>
        </w:tc>
      </w:tr>
      <w:tr w:rsidR="009D12AF" w14:paraId="3F0CD068" w14:textId="77777777">
        <w:trPr>
          <w:trHeight w:val="397"/>
        </w:trPr>
        <w:tc>
          <w:tcPr>
            <w:tcW w:w="772" w:type="dxa"/>
            <w:vMerge/>
            <w:vAlign w:val="center"/>
          </w:tcPr>
          <w:p w14:paraId="76E4985C" w14:textId="77777777" w:rsidR="009D12AF" w:rsidRDefault="009D12AF">
            <w:pPr>
              <w:adjustRightInd w:val="0"/>
              <w:spacing w:line="240" w:lineRule="auto"/>
              <w:ind w:firstLineChars="0" w:firstLine="0"/>
              <w:jc w:val="center"/>
              <w:rPr>
                <w:kern w:val="0"/>
                <w:sz w:val="21"/>
                <w:szCs w:val="21"/>
              </w:rPr>
            </w:pPr>
          </w:p>
        </w:tc>
        <w:tc>
          <w:tcPr>
            <w:tcW w:w="1123" w:type="dxa"/>
            <w:vAlign w:val="center"/>
          </w:tcPr>
          <w:p w14:paraId="3AB5FFFA" w14:textId="77777777" w:rsidR="009D12AF" w:rsidRDefault="00000000">
            <w:pPr>
              <w:adjustRightInd w:val="0"/>
              <w:spacing w:line="240" w:lineRule="auto"/>
              <w:ind w:firstLineChars="0" w:firstLine="0"/>
              <w:jc w:val="center"/>
              <w:rPr>
                <w:kern w:val="0"/>
                <w:sz w:val="21"/>
                <w:szCs w:val="21"/>
              </w:rPr>
            </w:pPr>
            <w:r>
              <w:rPr>
                <w:kern w:val="0"/>
                <w:sz w:val="21"/>
                <w:szCs w:val="21"/>
              </w:rPr>
              <w:t>施工机械</w:t>
            </w:r>
          </w:p>
        </w:tc>
        <w:tc>
          <w:tcPr>
            <w:tcW w:w="1222" w:type="dxa"/>
            <w:vMerge/>
            <w:vAlign w:val="center"/>
          </w:tcPr>
          <w:p w14:paraId="7329EBB7" w14:textId="77777777" w:rsidR="009D12AF" w:rsidRDefault="009D12AF">
            <w:pPr>
              <w:adjustRightInd w:val="0"/>
              <w:spacing w:line="240" w:lineRule="auto"/>
              <w:ind w:firstLineChars="0" w:firstLine="0"/>
              <w:jc w:val="center"/>
              <w:rPr>
                <w:kern w:val="0"/>
                <w:sz w:val="21"/>
                <w:szCs w:val="21"/>
              </w:rPr>
            </w:pPr>
          </w:p>
        </w:tc>
        <w:tc>
          <w:tcPr>
            <w:tcW w:w="2397" w:type="dxa"/>
            <w:gridSpan w:val="3"/>
            <w:vMerge/>
            <w:vAlign w:val="center"/>
          </w:tcPr>
          <w:p w14:paraId="2A44B9C7" w14:textId="77777777" w:rsidR="009D12AF" w:rsidRDefault="009D12AF">
            <w:pPr>
              <w:adjustRightInd w:val="0"/>
              <w:spacing w:line="240" w:lineRule="auto"/>
              <w:ind w:firstLineChars="0" w:firstLine="0"/>
              <w:jc w:val="center"/>
              <w:rPr>
                <w:kern w:val="0"/>
                <w:sz w:val="21"/>
                <w:szCs w:val="21"/>
              </w:rPr>
            </w:pPr>
          </w:p>
        </w:tc>
        <w:tc>
          <w:tcPr>
            <w:tcW w:w="2792" w:type="dxa"/>
            <w:vMerge/>
            <w:vAlign w:val="center"/>
          </w:tcPr>
          <w:p w14:paraId="2997C928" w14:textId="77777777" w:rsidR="009D12AF" w:rsidRDefault="009D12AF">
            <w:pPr>
              <w:adjustRightInd w:val="0"/>
              <w:spacing w:line="240" w:lineRule="auto"/>
              <w:ind w:firstLineChars="0" w:firstLine="0"/>
              <w:jc w:val="center"/>
              <w:rPr>
                <w:sz w:val="21"/>
                <w:szCs w:val="21"/>
              </w:rPr>
            </w:pPr>
          </w:p>
        </w:tc>
      </w:tr>
      <w:tr w:rsidR="009D12AF" w14:paraId="2B36CB81" w14:textId="77777777">
        <w:trPr>
          <w:trHeight w:val="397"/>
        </w:trPr>
        <w:tc>
          <w:tcPr>
            <w:tcW w:w="772" w:type="dxa"/>
            <w:vMerge w:val="restart"/>
            <w:vAlign w:val="center"/>
          </w:tcPr>
          <w:p w14:paraId="69A40D8E" w14:textId="77777777" w:rsidR="009D12AF" w:rsidRDefault="00000000">
            <w:pPr>
              <w:adjustRightInd w:val="0"/>
              <w:spacing w:line="240" w:lineRule="auto"/>
              <w:ind w:firstLineChars="0" w:firstLine="0"/>
              <w:jc w:val="center"/>
              <w:rPr>
                <w:kern w:val="0"/>
                <w:sz w:val="21"/>
                <w:szCs w:val="21"/>
              </w:rPr>
            </w:pPr>
            <w:r>
              <w:rPr>
                <w:kern w:val="0"/>
                <w:sz w:val="21"/>
                <w:szCs w:val="21"/>
              </w:rPr>
              <w:t>固废</w:t>
            </w:r>
          </w:p>
        </w:tc>
        <w:tc>
          <w:tcPr>
            <w:tcW w:w="1123" w:type="dxa"/>
            <w:vAlign w:val="center"/>
          </w:tcPr>
          <w:p w14:paraId="55A8F061" w14:textId="77777777" w:rsidR="009D12AF" w:rsidRDefault="00000000">
            <w:pPr>
              <w:adjustRightInd w:val="0"/>
              <w:spacing w:line="240" w:lineRule="auto"/>
              <w:ind w:firstLineChars="0" w:firstLine="0"/>
              <w:jc w:val="center"/>
              <w:rPr>
                <w:kern w:val="0"/>
                <w:sz w:val="21"/>
                <w:szCs w:val="21"/>
              </w:rPr>
            </w:pPr>
            <w:r>
              <w:rPr>
                <w:kern w:val="0"/>
                <w:sz w:val="21"/>
                <w:szCs w:val="21"/>
              </w:rPr>
              <w:t>施工</w:t>
            </w:r>
          </w:p>
        </w:tc>
        <w:tc>
          <w:tcPr>
            <w:tcW w:w="1222" w:type="dxa"/>
            <w:vAlign w:val="center"/>
          </w:tcPr>
          <w:p w14:paraId="4D1A9360" w14:textId="77777777" w:rsidR="009D12AF" w:rsidRDefault="00000000">
            <w:pPr>
              <w:adjustRightInd w:val="0"/>
              <w:spacing w:line="240" w:lineRule="auto"/>
              <w:ind w:firstLineChars="0" w:firstLine="0"/>
              <w:jc w:val="center"/>
              <w:rPr>
                <w:kern w:val="0"/>
                <w:sz w:val="21"/>
                <w:szCs w:val="21"/>
              </w:rPr>
            </w:pPr>
            <w:r>
              <w:rPr>
                <w:sz w:val="21"/>
                <w:szCs w:val="21"/>
              </w:rPr>
              <w:t>建筑垃圾</w:t>
            </w:r>
          </w:p>
        </w:tc>
        <w:tc>
          <w:tcPr>
            <w:tcW w:w="1147" w:type="dxa"/>
            <w:gridSpan w:val="2"/>
            <w:vAlign w:val="center"/>
          </w:tcPr>
          <w:p w14:paraId="0F94B76C" w14:textId="77777777" w:rsidR="009D12AF" w:rsidRDefault="00000000">
            <w:pPr>
              <w:adjustRightInd w:val="0"/>
              <w:spacing w:line="240" w:lineRule="auto"/>
              <w:ind w:firstLineChars="0" w:firstLine="0"/>
              <w:jc w:val="center"/>
              <w:rPr>
                <w:kern w:val="0"/>
                <w:sz w:val="21"/>
                <w:szCs w:val="21"/>
              </w:rPr>
            </w:pPr>
            <w:r>
              <w:rPr>
                <w:kern w:val="0"/>
                <w:sz w:val="21"/>
                <w:szCs w:val="21"/>
              </w:rPr>
              <w:t>/</w:t>
            </w:r>
          </w:p>
        </w:tc>
        <w:tc>
          <w:tcPr>
            <w:tcW w:w="1250" w:type="dxa"/>
            <w:vAlign w:val="center"/>
          </w:tcPr>
          <w:p w14:paraId="574D7323" w14:textId="77777777" w:rsidR="009D12AF" w:rsidRDefault="00000000">
            <w:pPr>
              <w:adjustRightInd w:val="0"/>
              <w:spacing w:line="240" w:lineRule="auto"/>
              <w:ind w:firstLineChars="0" w:firstLine="0"/>
              <w:jc w:val="center"/>
              <w:rPr>
                <w:kern w:val="0"/>
                <w:sz w:val="21"/>
                <w:szCs w:val="21"/>
              </w:rPr>
            </w:pPr>
            <w:r>
              <w:rPr>
                <w:kern w:val="0"/>
                <w:sz w:val="21"/>
                <w:szCs w:val="21"/>
              </w:rPr>
              <w:t>少量</w:t>
            </w:r>
          </w:p>
        </w:tc>
        <w:tc>
          <w:tcPr>
            <w:tcW w:w="2792" w:type="dxa"/>
            <w:vAlign w:val="center"/>
          </w:tcPr>
          <w:p w14:paraId="5146FBCD" w14:textId="77777777" w:rsidR="009D12AF" w:rsidRDefault="00000000">
            <w:pPr>
              <w:adjustRightInd w:val="0"/>
              <w:spacing w:line="240" w:lineRule="auto"/>
              <w:ind w:firstLineChars="0" w:firstLine="0"/>
              <w:jc w:val="center"/>
              <w:rPr>
                <w:kern w:val="0"/>
                <w:sz w:val="21"/>
                <w:szCs w:val="21"/>
              </w:rPr>
            </w:pPr>
            <w:r>
              <w:rPr>
                <w:kern w:val="0"/>
                <w:sz w:val="21"/>
                <w:szCs w:val="21"/>
              </w:rPr>
              <w:t>可回收建筑材料送交废旧物资回收站处理，无法回收利用的采用运输车运至市政指定地点堆存；</w:t>
            </w:r>
            <w:r>
              <w:rPr>
                <w:kern w:val="0"/>
                <w:sz w:val="21"/>
                <w:szCs w:val="21"/>
              </w:rPr>
              <w:t xml:space="preserve"> </w:t>
            </w:r>
          </w:p>
        </w:tc>
      </w:tr>
      <w:tr w:rsidR="009D12AF" w14:paraId="6CEE796B" w14:textId="77777777">
        <w:trPr>
          <w:trHeight w:val="397"/>
        </w:trPr>
        <w:tc>
          <w:tcPr>
            <w:tcW w:w="772" w:type="dxa"/>
            <w:vMerge/>
            <w:vAlign w:val="center"/>
          </w:tcPr>
          <w:p w14:paraId="7029DA25" w14:textId="77777777" w:rsidR="009D12AF" w:rsidRDefault="009D12AF">
            <w:pPr>
              <w:adjustRightInd w:val="0"/>
              <w:spacing w:line="240" w:lineRule="auto"/>
              <w:ind w:firstLineChars="0" w:firstLine="0"/>
              <w:jc w:val="center"/>
              <w:rPr>
                <w:kern w:val="0"/>
                <w:sz w:val="21"/>
                <w:szCs w:val="21"/>
                <w:highlight w:val="green"/>
              </w:rPr>
            </w:pPr>
          </w:p>
        </w:tc>
        <w:tc>
          <w:tcPr>
            <w:tcW w:w="1123" w:type="dxa"/>
            <w:vAlign w:val="center"/>
          </w:tcPr>
          <w:p w14:paraId="10A2A5D2" w14:textId="77777777" w:rsidR="009D12AF" w:rsidRDefault="00000000">
            <w:pPr>
              <w:adjustRightInd w:val="0"/>
              <w:spacing w:line="240" w:lineRule="auto"/>
              <w:ind w:firstLineChars="0" w:firstLine="0"/>
              <w:jc w:val="center"/>
              <w:rPr>
                <w:kern w:val="0"/>
                <w:sz w:val="21"/>
                <w:szCs w:val="21"/>
              </w:rPr>
            </w:pPr>
            <w:r>
              <w:rPr>
                <w:kern w:val="0"/>
                <w:sz w:val="21"/>
                <w:szCs w:val="21"/>
              </w:rPr>
              <w:t>施工人员</w:t>
            </w:r>
          </w:p>
        </w:tc>
        <w:tc>
          <w:tcPr>
            <w:tcW w:w="1222" w:type="dxa"/>
            <w:vAlign w:val="center"/>
          </w:tcPr>
          <w:p w14:paraId="4AC01DD0" w14:textId="77777777" w:rsidR="009D12AF" w:rsidRDefault="00000000">
            <w:pPr>
              <w:adjustRightInd w:val="0"/>
              <w:spacing w:line="240" w:lineRule="auto"/>
              <w:ind w:firstLineChars="0" w:firstLine="0"/>
              <w:jc w:val="center"/>
              <w:rPr>
                <w:kern w:val="0"/>
                <w:sz w:val="21"/>
                <w:szCs w:val="21"/>
              </w:rPr>
            </w:pPr>
            <w:r>
              <w:rPr>
                <w:kern w:val="0"/>
                <w:sz w:val="21"/>
                <w:szCs w:val="21"/>
              </w:rPr>
              <w:t>生活</w:t>
            </w:r>
          </w:p>
          <w:p w14:paraId="47449B10" w14:textId="77777777" w:rsidR="009D12AF" w:rsidRDefault="00000000">
            <w:pPr>
              <w:adjustRightInd w:val="0"/>
              <w:spacing w:line="240" w:lineRule="auto"/>
              <w:ind w:firstLineChars="0" w:firstLine="0"/>
              <w:jc w:val="center"/>
              <w:rPr>
                <w:kern w:val="0"/>
                <w:sz w:val="21"/>
                <w:szCs w:val="21"/>
              </w:rPr>
            </w:pPr>
            <w:r>
              <w:rPr>
                <w:kern w:val="0"/>
                <w:sz w:val="21"/>
                <w:szCs w:val="21"/>
              </w:rPr>
              <w:t>垃圾</w:t>
            </w:r>
          </w:p>
        </w:tc>
        <w:tc>
          <w:tcPr>
            <w:tcW w:w="1147" w:type="dxa"/>
            <w:gridSpan w:val="2"/>
            <w:vAlign w:val="center"/>
          </w:tcPr>
          <w:p w14:paraId="2DFDA13C" w14:textId="77777777" w:rsidR="009D12AF" w:rsidRDefault="00000000">
            <w:pPr>
              <w:adjustRightInd w:val="0"/>
              <w:spacing w:line="240" w:lineRule="auto"/>
              <w:ind w:firstLineChars="0" w:firstLine="0"/>
              <w:jc w:val="center"/>
              <w:rPr>
                <w:kern w:val="0"/>
                <w:sz w:val="21"/>
                <w:szCs w:val="21"/>
              </w:rPr>
            </w:pPr>
            <w:r>
              <w:rPr>
                <w:kern w:val="0"/>
                <w:sz w:val="21"/>
                <w:szCs w:val="21"/>
              </w:rPr>
              <w:t>/</w:t>
            </w:r>
          </w:p>
        </w:tc>
        <w:tc>
          <w:tcPr>
            <w:tcW w:w="1250" w:type="dxa"/>
            <w:vAlign w:val="center"/>
          </w:tcPr>
          <w:p w14:paraId="761F4E44" w14:textId="77777777" w:rsidR="009D12AF" w:rsidRDefault="00000000">
            <w:pPr>
              <w:adjustRightInd w:val="0"/>
              <w:spacing w:line="240" w:lineRule="auto"/>
              <w:ind w:firstLineChars="0" w:firstLine="0"/>
              <w:jc w:val="center"/>
              <w:rPr>
                <w:kern w:val="0"/>
                <w:sz w:val="21"/>
                <w:szCs w:val="21"/>
              </w:rPr>
            </w:pPr>
            <w:r>
              <w:rPr>
                <w:rFonts w:hint="eastAsia"/>
                <w:kern w:val="0"/>
                <w:sz w:val="21"/>
                <w:szCs w:val="21"/>
              </w:rPr>
              <w:t>9.45</w:t>
            </w:r>
            <w:r>
              <w:rPr>
                <w:kern w:val="0"/>
                <w:sz w:val="21"/>
                <w:szCs w:val="21"/>
              </w:rPr>
              <w:t>t/</w:t>
            </w:r>
            <w:r>
              <w:rPr>
                <w:rFonts w:hint="eastAsia"/>
                <w:kern w:val="0"/>
                <w:sz w:val="21"/>
                <w:szCs w:val="21"/>
              </w:rPr>
              <w:t>总工期</w:t>
            </w:r>
          </w:p>
        </w:tc>
        <w:tc>
          <w:tcPr>
            <w:tcW w:w="2792" w:type="dxa"/>
            <w:vAlign w:val="center"/>
          </w:tcPr>
          <w:p w14:paraId="2A0A6DE2" w14:textId="77777777" w:rsidR="009D12AF" w:rsidRDefault="00000000">
            <w:pPr>
              <w:adjustRightInd w:val="0"/>
              <w:spacing w:line="240" w:lineRule="auto"/>
              <w:ind w:firstLineChars="0" w:firstLine="0"/>
              <w:jc w:val="center"/>
              <w:rPr>
                <w:kern w:val="0"/>
                <w:sz w:val="21"/>
                <w:szCs w:val="21"/>
              </w:rPr>
            </w:pPr>
            <w:r>
              <w:rPr>
                <w:kern w:val="0"/>
                <w:sz w:val="21"/>
                <w:szCs w:val="21"/>
              </w:rPr>
              <w:t>实行日产日清，</w:t>
            </w:r>
          </w:p>
          <w:p w14:paraId="6D262F38" w14:textId="77777777" w:rsidR="009D12AF" w:rsidRDefault="00000000">
            <w:pPr>
              <w:adjustRightInd w:val="0"/>
              <w:spacing w:line="240" w:lineRule="auto"/>
              <w:ind w:firstLineChars="0" w:firstLine="0"/>
              <w:jc w:val="center"/>
              <w:rPr>
                <w:kern w:val="0"/>
                <w:sz w:val="21"/>
                <w:szCs w:val="21"/>
              </w:rPr>
            </w:pPr>
            <w:r>
              <w:rPr>
                <w:kern w:val="0"/>
                <w:sz w:val="21"/>
                <w:szCs w:val="21"/>
              </w:rPr>
              <w:t>由市政部门清运</w:t>
            </w:r>
          </w:p>
        </w:tc>
      </w:tr>
      <w:tr w:rsidR="009D12AF" w14:paraId="2F5255E0" w14:textId="77777777">
        <w:trPr>
          <w:trHeight w:val="397"/>
        </w:trPr>
        <w:tc>
          <w:tcPr>
            <w:tcW w:w="772" w:type="dxa"/>
            <w:vMerge/>
            <w:vAlign w:val="center"/>
          </w:tcPr>
          <w:p w14:paraId="13B4E44D" w14:textId="77777777" w:rsidR="009D12AF" w:rsidRDefault="009D12AF">
            <w:pPr>
              <w:adjustRightInd w:val="0"/>
              <w:spacing w:line="240" w:lineRule="auto"/>
              <w:ind w:firstLineChars="0" w:firstLine="0"/>
              <w:jc w:val="center"/>
              <w:rPr>
                <w:kern w:val="0"/>
                <w:sz w:val="21"/>
                <w:szCs w:val="21"/>
                <w:highlight w:val="green"/>
              </w:rPr>
            </w:pPr>
          </w:p>
        </w:tc>
        <w:tc>
          <w:tcPr>
            <w:tcW w:w="1123" w:type="dxa"/>
            <w:vAlign w:val="center"/>
          </w:tcPr>
          <w:p w14:paraId="1DA71D24" w14:textId="77777777" w:rsidR="009D12AF" w:rsidRDefault="00000000">
            <w:pPr>
              <w:adjustRightInd w:val="0"/>
              <w:spacing w:line="240" w:lineRule="auto"/>
              <w:ind w:firstLineChars="0" w:firstLine="0"/>
              <w:jc w:val="center"/>
              <w:rPr>
                <w:kern w:val="0"/>
                <w:sz w:val="21"/>
                <w:szCs w:val="21"/>
              </w:rPr>
            </w:pPr>
            <w:r>
              <w:rPr>
                <w:bCs/>
                <w:sz w:val="21"/>
                <w:szCs w:val="21"/>
              </w:rPr>
              <w:t>弃方</w:t>
            </w:r>
          </w:p>
        </w:tc>
        <w:tc>
          <w:tcPr>
            <w:tcW w:w="1222" w:type="dxa"/>
            <w:vAlign w:val="center"/>
          </w:tcPr>
          <w:p w14:paraId="2F15A647" w14:textId="77777777" w:rsidR="009D12AF" w:rsidRDefault="00000000">
            <w:pPr>
              <w:adjustRightInd w:val="0"/>
              <w:spacing w:line="240" w:lineRule="auto"/>
              <w:ind w:firstLineChars="0" w:firstLine="0"/>
              <w:jc w:val="center"/>
              <w:rPr>
                <w:kern w:val="0"/>
                <w:sz w:val="21"/>
                <w:szCs w:val="21"/>
              </w:rPr>
            </w:pPr>
            <w:r>
              <w:rPr>
                <w:bCs/>
                <w:sz w:val="21"/>
                <w:szCs w:val="21"/>
              </w:rPr>
              <w:t>弃方</w:t>
            </w:r>
          </w:p>
        </w:tc>
        <w:tc>
          <w:tcPr>
            <w:tcW w:w="1147" w:type="dxa"/>
            <w:gridSpan w:val="2"/>
            <w:vAlign w:val="center"/>
          </w:tcPr>
          <w:p w14:paraId="6C98AE1C" w14:textId="77777777" w:rsidR="009D12AF" w:rsidRDefault="00000000">
            <w:pPr>
              <w:adjustRightInd w:val="0"/>
              <w:spacing w:line="240" w:lineRule="auto"/>
              <w:ind w:firstLineChars="0" w:firstLine="0"/>
              <w:jc w:val="center"/>
              <w:rPr>
                <w:kern w:val="0"/>
                <w:sz w:val="21"/>
                <w:szCs w:val="21"/>
              </w:rPr>
            </w:pPr>
            <w:r>
              <w:rPr>
                <w:kern w:val="0"/>
                <w:sz w:val="21"/>
                <w:szCs w:val="21"/>
              </w:rPr>
              <w:t>/</w:t>
            </w:r>
          </w:p>
        </w:tc>
        <w:tc>
          <w:tcPr>
            <w:tcW w:w="1250" w:type="dxa"/>
            <w:vAlign w:val="center"/>
          </w:tcPr>
          <w:p w14:paraId="385C4A7B" w14:textId="77777777" w:rsidR="009D12AF" w:rsidRDefault="00000000">
            <w:pPr>
              <w:adjustRightInd w:val="0"/>
              <w:spacing w:line="240" w:lineRule="auto"/>
              <w:ind w:firstLineChars="0" w:firstLine="0"/>
              <w:jc w:val="center"/>
              <w:rPr>
                <w:kern w:val="0"/>
                <w:sz w:val="21"/>
                <w:szCs w:val="21"/>
              </w:rPr>
            </w:pPr>
            <w:r>
              <w:rPr>
                <w:rFonts w:hint="eastAsia"/>
                <w:sz w:val="21"/>
                <w:szCs w:val="21"/>
              </w:rPr>
              <w:t>13945.11</w:t>
            </w:r>
            <w:r>
              <w:rPr>
                <w:bCs/>
                <w:kern w:val="0"/>
                <w:sz w:val="21"/>
                <w:szCs w:val="21"/>
              </w:rPr>
              <w:t>m</w:t>
            </w:r>
            <w:r>
              <w:rPr>
                <w:bCs/>
                <w:kern w:val="0"/>
                <w:sz w:val="21"/>
                <w:szCs w:val="21"/>
                <w:vertAlign w:val="superscript"/>
              </w:rPr>
              <w:t>3</w:t>
            </w:r>
          </w:p>
        </w:tc>
        <w:tc>
          <w:tcPr>
            <w:tcW w:w="2792" w:type="dxa"/>
            <w:vAlign w:val="center"/>
          </w:tcPr>
          <w:p w14:paraId="47A21026" w14:textId="77777777" w:rsidR="009D12AF" w:rsidRDefault="00000000">
            <w:pPr>
              <w:adjustRightInd w:val="0"/>
              <w:spacing w:line="240" w:lineRule="auto"/>
              <w:ind w:firstLineChars="0" w:firstLine="0"/>
              <w:jc w:val="center"/>
              <w:rPr>
                <w:kern w:val="0"/>
                <w:sz w:val="21"/>
                <w:szCs w:val="21"/>
              </w:rPr>
            </w:pPr>
            <w:r>
              <w:rPr>
                <w:kern w:val="0"/>
                <w:sz w:val="21"/>
                <w:szCs w:val="21"/>
              </w:rPr>
              <w:t>施工结束后弃方回填至弃土场</w:t>
            </w:r>
          </w:p>
        </w:tc>
      </w:tr>
      <w:tr w:rsidR="009D12AF" w14:paraId="51C299DC" w14:textId="77777777">
        <w:trPr>
          <w:trHeight w:val="397"/>
        </w:trPr>
        <w:tc>
          <w:tcPr>
            <w:tcW w:w="772" w:type="dxa"/>
            <w:vMerge/>
            <w:vAlign w:val="center"/>
          </w:tcPr>
          <w:p w14:paraId="04B54493" w14:textId="77777777" w:rsidR="009D12AF" w:rsidRDefault="009D12AF">
            <w:pPr>
              <w:adjustRightInd w:val="0"/>
              <w:spacing w:line="240" w:lineRule="auto"/>
              <w:ind w:firstLineChars="0" w:firstLine="0"/>
              <w:jc w:val="center"/>
              <w:rPr>
                <w:kern w:val="0"/>
                <w:sz w:val="21"/>
                <w:szCs w:val="21"/>
                <w:highlight w:val="green"/>
              </w:rPr>
            </w:pPr>
          </w:p>
        </w:tc>
        <w:tc>
          <w:tcPr>
            <w:tcW w:w="1123" w:type="dxa"/>
            <w:vAlign w:val="center"/>
          </w:tcPr>
          <w:p w14:paraId="391478D8" w14:textId="77777777" w:rsidR="009D12AF" w:rsidRDefault="00000000">
            <w:pPr>
              <w:adjustRightInd w:val="0"/>
              <w:spacing w:line="240" w:lineRule="auto"/>
              <w:ind w:firstLineChars="0" w:firstLine="0"/>
              <w:jc w:val="center"/>
              <w:rPr>
                <w:bCs/>
                <w:sz w:val="21"/>
                <w:szCs w:val="21"/>
              </w:rPr>
            </w:pPr>
            <w:r>
              <w:rPr>
                <w:bCs/>
                <w:sz w:val="21"/>
                <w:szCs w:val="21"/>
              </w:rPr>
              <w:t>清淤工程</w:t>
            </w:r>
          </w:p>
        </w:tc>
        <w:tc>
          <w:tcPr>
            <w:tcW w:w="1222" w:type="dxa"/>
            <w:vAlign w:val="center"/>
          </w:tcPr>
          <w:p w14:paraId="616CCE35" w14:textId="77777777" w:rsidR="009D12AF" w:rsidRDefault="00000000">
            <w:pPr>
              <w:adjustRightInd w:val="0"/>
              <w:spacing w:line="240" w:lineRule="auto"/>
              <w:ind w:firstLineChars="0" w:firstLine="0"/>
              <w:jc w:val="center"/>
              <w:rPr>
                <w:bCs/>
                <w:sz w:val="21"/>
                <w:szCs w:val="21"/>
              </w:rPr>
            </w:pPr>
            <w:r>
              <w:rPr>
                <w:bCs/>
                <w:sz w:val="21"/>
                <w:szCs w:val="21"/>
              </w:rPr>
              <w:t>干化淤泥</w:t>
            </w:r>
          </w:p>
        </w:tc>
        <w:tc>
          <w:tcPr>
            <w:tcW w:w="1147" w:type="dxa"/>
            <w:gridSpan w:val="2"/>
            <w:vAlign w:val="center"/>
          </w:tcPr>
          <w:p w14:paraId="262FBBFE" w14:textId="77777777" w:rsidR="009D12AF" w:rsidRDefault="00000000">
            <w:pPr>
              <w:adjustRightInd w:val="0"/>
              <w:spacing w:line="240" w:lineRule="auto"/>
              <w:ind w:firstLineChars="0" w:firstLine="0"/>
              <w:jc w:val="center"/>
              <w:rPr>
                <w:kern w:val="0"/>
                <w:sz w:val="21"/>
                <w:szCs w:val="21"/>
              </w:rPr>
            </w:pPr>
            <w:r>
              <w:rPr>
                <w:kern w:val="0"/>
                <w:sz w:val="21"/>
                <w:szCs w:val="21"/>
              </w:rPr>
              <w:t>/</w:t>
            </w:r>
          </w:p>
        </w:tc>
        <w:tc>
          <w:tcPr>
            <w:tcW w:w="1250" w:type="dxa"/>
            <w:vAlign w:val="center"/>
          </w:tcPr>
          <w:p w14:paraId="104BD8F7" w14:textId="77777777" w:rsidR="009D12AF" w:rsidRDefault="00000000">
            <w:pPr>
              <w:adjustRightInd w:val="0"/>
              <w:spacing w:line="240" w:lineRule="auto"/>
              <w:ind w:firstLineChars="0" w:firstLine="0"/>
              <w:jc w:val="center"/>
              <w:rPr>
                <w:sz w:val="21"/>
                <w:szCs w:val="21"/>
              </w:rPr>
            </w:pPr>
            <w:r>
              <w:rPr>
                <w:rFonts w:hint="eastAsia"/>
                <w:sz w:val="21"/>
                <w:szCs w:val="21"/>
              </w:rPr>
              <w:t>360</w:t>
            </w:r>
            <w:r>
              <w:rPr>
                <w:sz w:val="21"/>
                <w:szCs w:val="21"/>
              </w:rPr>
              <w:t>m</w:t>
            </w:r>
            <w:r>
              <w:rPr>
                <w:sz w:val="21"/>
                <w:szCs w:val="21"/>
                <w:vertAlign w:val="superscript"/>
              </w:rPr>
              <w:t>3</w:t>
            </w:r>
          </w:p>
        </w:tc>
        <w:tc>
          <w:tcPr>
            <w:tcW w:w="2792" w:type="dxa"/>
            <w:vAlign w:val="center"/>
          </w:tcPr>
          <w:p w14:paraId="48CF3F77" w14:textId="77777777" w:rsidR="009D12AF" w:rsidRDefault="00000000">
            <w:pPr>
              <w:adjustRightInd w:val="0"/>
              <w:spacing w:line="240" w:lineRule="auto"/>
              <w:ind w:firstLineChars="0" w:firstLine="0"/>
              <w:jc w:val="center"/>
              <w:rPr>
                <w:kern w:val="0"/>
                <w:sz w:val="21"/>
                <w:szCs w:val="21"/>
              </w:rPr>
            </w:pPr>
            <w:r>
              <w:rPr>
                <w:rFonts w:hint="eastAsia"/>
                <w:kern w:val="0"/>
                <w:sz w:val="21"/>
                <w:szCs w:val="21"/>
              </w:rPr>
              <w:t>项目清淤底泥运至临时堆场暂存，后期根据当地开发需要，用于低洼地、公园、绿地、筑堤、市政道路及商业地块开发建设。</w:t>
            </w:r>
          </w:p>
        </w:tc>
      </w:tr>
      <w:tr w:rsidR="009D12AF" w14:paraId="0357F6E4" w14:textId="77777777">
        <w:trPr>
          <w:trHeight w:val="397"/>
        </w:trPr>
        <w:tc>
          <w:tcPr>
            <w:tcW w:w="772" w:type="dxa"/>
            <w:vMerge/>
            <w:vAlign w:val="center"/>
          </w:tcPr>
          <w:p w14:paraId="319580C3" w14:textId="77777777" w:rsidR="009D12AF" w:rsidRDefault="009D12AF">
            <w:pPr>
              <w:adjustRightInd w:val="0"/>
              <w:spacing w:line="240" w:lineRule="auto"/>
              <w:ind w:firstLineChars="0" w:firstLine="0"/>
              <w:jc w:val="center"/>
              <w:rPr>
                <w:kern w:val="0"/>
                <w:sz w:val="21"/>
                <w:szCs w:val="21"/>
                <w:highlight w:val="green"/>
              </w:rPr>
            </w:pPr>
          </w:p>
        </w:tc>
        <w:tc>
          <w:tcPr>
            <w:tcW w:w="1123" w:type="dxa"/>
            <w:vAlign w:val="center"/>
          </w:tcPr>
          <w:p w14:paraId="4F798BA3" w14:textId="77777777" w:rsidR="009D12AF" w:rsidRDefault="00000000">
            <w:pPr>
              <w:adjustRightInd w:val="0"/>
              <w:spacing w:line="240" w:lineRule="auto"/>
              <w:ind w:firstLineChars="0" w:firstLine="0"/>
              <w:jc w:val="center"/>
              <w:rPr>
                <w:bCs/>
                <w:sz w:val="21"/>
                <w:szCs w:val="21"/>
              </w:rPr>
            </w:pPr>
            <w:r>
              <w:rPr>
                <w:rFonts w:hint="eastAsia"/>
                <w:bCs/>
                <w:sz w:val="21"/>
                <w:szCs w:val="21"/>
              </w:rPr>
              <w:t>隔油池</w:t>
            </w:r>
          </w:p>
        </w:tc>
        <w:tc>
          <w:tcPr>
            <w:tcW w:w="1222" w:type="dxa"/>
            <w:vAlign w:val="center"/>
          </w:tcPr>
          <w:p w14:paraId="04EEBB0B" w14:textId="77777777" w:rsidR="009D12AF" w:rsidRDefault="00000000">
            <w:pPr>
              <w:adjustRightInd w:val="0"/>
              <w:spacing w:line="240" w:lineRule="auto"/>
              <w:ind w:firstLineChars="0" w:firstLine="0"/>
              <w:jc w:val="center"/>
              <w:rPr>
                <w:bCs/>
                <w:sz w:val="21"/>
                <w:szCs w:val="21"/>
              </w:rPr>
            </w:pPr>
            <w:r>
              <w:rPr>
                <w:rFonts w:hint="eastAsia"/>
                <w:bCs/>
                <w:sz w:val="21"/>
                <w:szCs w:val="21"/>
              </w:rPr>
              <w:t>隔油浮渣</w:t>
            </w:r>
          </w:p>
        </w:tc>
        <w:tc>
          <w:tcPr>
            <w:tcW w:w="1147" w:type="dxa"/>
            <w:gridSpan w:val="2"/>
            <w:vAlign w:val="center"/>
          </w:tcPr>
          <w:p w14:paraId="558A4BC5" w14:textId="77777777" w:rsidR="009D12AF" w:rsidRDefault="00000000">
            <w:pPr>
              <w:adjustRightInd w:val="0"/>
              <w:spacing w:line="240" w:lineRule="auto"/>
              <w:ind w:firstLineChars="0" w:firstLine="0"/>
              <w:jc w:val="center"/>
              <w:rPr>
                <w:kern w:val="0"/>
                <w:sz w:val="21"/>
                <w:szCs w:val="21"/>
              </w:rPr>
            </w:pPr>
            <w:r>
              <w:rPr>
                <w:kern w:val="0"/>
                <w:sz w:val="21"/>
                <w:szCs w:val="21"/>
              </w:rPr>
              <w:t>/</w:t>
            </w:r>
          </w:p>
        </w:tc>
        <w:tc>
          <w:tcPr>
            <w:tcW w:w="1250" w:type="dxa"/>
            <w:vAlign w:val="center"/>
          </w:tcPr>
          <w:p w14:paraId="358995F1" w14:textId="77777777" w:rsidR="009D12AF" w:rsidRDefault="00000000">
            <w:pPr>
              <w:adjustRightInd w:val="0"/>
              <w:spacing w:line="240" w:lineRule="auto"/>
              <w:ind w:firstLineChars="0" w:firstLine="0"/>
              <w:jc w:val="center"/>
              <w:rPr>
                <w:bCs/>
                <w:kern w:val="0"/>
                <w:sz w:val="21"/>
                <w:szCs w:val="21"/>
              </w:rPr>
            </w:pPr>
            <w:r>
              <w:rPr>
                <w:rFonts w:hint="eastAsia"/>
                <w:bCs/>
                <w:kern w:val="0"/>
                <w:sz w:val="21"/>
                <w:szCs w:val="21"/>
              </w:rPr>
              <w:t>5.856</w:t>
            </w:r>
            <w:r>
              <w:rPr>
                <w:bCs/>
                <w:kern w:val="0"/>
                <w:sz w:val="21"/>
                <w:szCs w:val="21"/>
              </w:rPr>
              <w:t>m</w:t>
            </w:r>
            <w:r>
              <w:rPr>
                <w:bCs/>
                <w:kern w:val="0"/>
                <w:sz w:val="21"/>
                <w:szCs w:val="21"/>
                <w:vertAlign w:val="superscript"/>
              </w:rPr>
              <w:t>3</w:t>
            </w:r>
          </w:p>
        </w:tc>
        <w:tc>
          <w:tcPr>
            <w:tcW w:w="2792" w:type="dxa"/>
            <w:vAlign w:val="center"/>
          </w:tcPr>
          <w:p w14:paraId="7A49FC10" w14:textId="77777777" w:rsidR="009D12AF" w:rsidRDefault="00000000">
            <w:pPr>
              <w:adjustRightInd w:val="0"/>
              <w:spacing w:line="240" w:lineRule="auto"/>
              <w:ind w:firstLineChars="0" w:firstLine="0"/>
              <w:jc w:val="center"/>
              <w:rPr>
                <w:kern w:val="0"/>
                <w:sz w:val="21"/>
                <w:szCs w:val="21"/>
              </w:rPr>
            </w:pPr>
            <w:r>
              <w:rPr>
                <w:rFonts w:hint="eastAsia"/>
                <w:kern w:val="0"/>
                <w:sz w:val="21"/>
                <w:szCs w:val="21"/>
              </w:rPr>
              <w:t>废水处理浮油交由有资质的单位处理。</w:t>
            </w:r>
          </w:p>
        </w:tc>
      </w:tr>
    </w:tbl>
    <w:p w14:paraId="60A72CB8" w14:textId="77777777" w:rsidR="009D12AF" w:rsidRDefault="00000000">
      <w:pPr>
        <w:pStyle w:val="3"/>
      </w:pPr>
      <w:bookmarkStart w:id="464" w:name="_Toc8689"/>
      <w:r>
        <w:rPr>
          <w:rFonts w:hint="eastAsia"/>
        </w:rPr>
        <w:t>8.1.6</w:t>
      </w:r>
      <w:r>
        <w:rPr>
          <w:rFonts w:hint="eastAsia"/>
        </w:rPr>
        <w:t>运行期环境管理要求</w:t>
      </w:r>
      <w:bookmarkEnd w:id="464"/>
    </w:p>
    <w:p w14:paraId="086B68E9" w14:textId="77777777" w:rsidR="009D12AF" w:rsidRDefault="00000000">
      <w:pPr>
        <w:ind w:firstLine="480"/>
      </w:pPr>
      <w:r>
        <w:rPr>
          <w:rFonts w:hint="eastAsia"/>
          <w:kern w:val="0"/>
        </w:rPr>
        <w:t>运行期</w:t>
      </w:r>
      <w:r>
        <w:rPr>
          <w:kern w:val="0"/>
        </w:rPr>
        <w:t>环境管理是一项长期的管理工作，必须建立完善的管理机构和体系，并在此基础上建立健全各项环境监督和管理制度，确保</w:t>
      </w:r>
      <w:r>
        <w:rPr>
          <w:rFonts w:hint="eastAsia"/>
          <w:kern w:val="0"/>
        </w:rPr>
        <w:t>运行期</w:t>
      </w:r>
      <w:r>
        <w:rPr>
          <w:kern w:val="0"/>
        </w:rPr>
        <w:t>各项环境保护政策法规的贯彻以及环保措施落实。</w:t>
      </w:r>
    </w:p>
    <w:p w14:paraId="1BA472DC" w14:textId="77777777" w:rsidR="009D12AF" w:rsidRDefault="00000000">
      <w:pPr>
        <w:pStyle w:val="2"/>
      </w:pPr>
      <w:bookmarkStart w:id="465" w:name="_Toc15166"/>
      <w:r>
        <w:rPr>
          <w:rFonts w:hint="eastAsia"/>
        </w:rPr>
        <w:t>8</w:t>
      </w:r>
      <w:r>
        <w:t xml:space="preserve">.2 </w:t>
      </w:r>
      <w:r>
        <w:t>环境监理计划</w:t>
      </w:r>
      <w:bookmarkEnd w:id="465"/>
    </w:p>
    <w:p w14:paraId="0ED72EF4" w14:textId="77777777" w:rsidR="009D12AF" w:rsidRDefault="00000000">
      <w:pPr>
        <w:ind w:firstLine="480"/>
        <w:rPr>
          <w:rFonts w:ascii="Times New Roman" w:hAnsi="Times New Roman" w:cs="Times New Roman"/>
        </w:rPr>
      </w:pPr>
      <w:r>
        <w:rPr>
          <w:rFonts w:ascii="Times New Roman" w:hAnsi="Times New Roman" w:cs="Times New Roman"/>
        </w:rPr>
        <w:t>本工程应配备一名专职（或兼职）的现场环境监理人员，以便及时发现施工中可能出现的各类生态破坏和环境污染问题。具体监理计划如下：</w:t>
      </w:r>
    </w:p>
    <w:p w14:paraId="7030EFA0" w14:textId="77777777" w:rsidR="009D12AF" w:rsidRDefault="00000000">
      <w:pPr>
        <w:ind w:firstLine="480"/>
        <w:rPr>
          <w:rFonts w:ascii="Times New Roman" w:hAnsi="Times New Roman" w:cs="Times New Roman"/>
        </w:rPr>
      </w:pPr>
      <w:r>
        <w:rPr>
          <w:rFonts w:ascii="Times New Roman" w:hAnsi="Times New Roman" w:cs="Times New Roman"/>
        </w:rPr>
        <w:t>1</w:t>
      </w:r>
      <w:r>
        <w:rPr>
          <w:rFonts w:ascii="Times New Roman" w:hAnsi="Times New Roman" w:cs="Times New Roman"/>
        </w:rPr>
        <w:t>、施工开始前，认真检查施工计划中是否包含有环境保护措施。</w:t>
      </w:r>
    </w:p>
    <w:p w14:paraId="2065B4AE" w14:textId="77777777" w:rsidR="009D12AF" w:rsidRDefault="00000000">
      <w:pPr>
        <w:ind w:firstLine="480"/>
        <w:rPr>
          <w:rFonts w:ascii="Times New Roman" w:hAnsi="Times New Roman" w:cs="Times New Roman"/>
        </w:rPr>
      </w:pPr>
      <w:r>
        <w:rPr>
          <w:rFonts w:ascii="Times New Roman" w:hAnsi="Times New Roman" w:cs="Times New Roman"/>
        </w:rPr>
        <w:t>2</w:t>
      </w:r>
      <w:r>
        <w:rPr>
          <w:rFonts w:ascii="Times New Roman" w:hAnsi="Times New Roman" w:cs="Times New Roman"/>
        </w:rPr>
        <w:t>、根据施工日程安排，定期检查监督施工过程</w:t>
      </w:r>
      <w:r>
        <w:rPr>
          <w:rFonts w:ascii="Times New Roman" w:hAnsi="Times New Roman" w:cs="Times New Roman"/>
        </w:rPr>
        <w:t>“</w:t>
      </w:r>
      <w:r>
        <w:rPr>
          <w:rFonts w:ascii="Times New Roman" w:hAnsi="Times New Roman" w:cs="Times New Roman"/>
        </w:rPr>
        <w:t>三废</w:t>
      </w:r>
      <w:r>
        <w:rPr>
          <w:rFonts w:ascii="Times New Roman" w:hAnsi="Times New Roman" w:cs="Times New Roman"/>
        </w:rPr>
        <w:t>”</w:t>
      </w:r>
      <w:r>
        <w:rPr>
          <w:rFonts w:ascii="Times New Roman" w:hAnsi="Times New Roman" w:cs="Times New Roman"/>
        </w:rPr>
        <w:t>排放是否符合环保要求，重点检查监督以下内容：</w:t>
      </w:r>
    </w:p>
    <w:p w14:paraId="78D12BE2" w14:textId="77777777" w:rsidR="009D12AF" w:rsidRDefault="00000000">
      <w:pPr>
        <w:ind w:firstLine="480"/>
        <w:rPr>
          <w:rFonts w:ascii="Times New Roman" w:hAnsi="Times New Roman" w:cs="Times New Roman"/>
        </w:rPr>
      </w:pPr>
      <w:r>
        <w:rPr>
          <w:rFonts w:ascii="Times New Roman" w:hAnsi="Times New Roman" w:cs="Times New Roman"/>
        </w:rPr>
        <w:t>①</w:t>
      </w:r>
      <w:r>
        <w:rPr>
          <w:rFonts w:ascii="Times New Roman" w:hAnsi="Times New Roman" w:cs="Times New Roman"/>
        </w:rPr>
        <w:t>弃土方及其他废物处置方式是否合适。</w:t>
      </w:r>
    </w:p>
    <w:p w14:paraId="0B8D718B" w14:textId="77777777" w:rsidR="009D12AF" w:rsidRDefault="00000000">
      <w:pPr>
        <w:ind w:firstLine="480"/>
        <w:rPr>
          <w:rFonts w:ascii="Times New Roman" w:hAnsi="Times New Roman" w:cs="Times New Roman"/>
        </w:rPr>
      </w:pPr>
      <w:r>
        <w:rPr>
          <w:rFonts w:ascii="Times New Roman" w:hAnsi="Times New Roman" w:cs="Times New Roman"/>
        </w:rPr>
        <w:t>②</w:t>
      </w:r>
      <w:r>
        <w:rPr>
          <w:rFonts w:ascii="Times New Roman" w:hAnsi="Times New Roman" w:cs="Times New Roman"/>
        </w:rPr>
        <w:t>物料临时堆放点、开挖路面是否采取了遮盖、围挡等防尘措施。</w:t>
      </w:r>
    </w:p>
    <w:p w14:paraId="4C499F76" w14:textId="77777777" w:rsidR="009D12AF" w:rsidRDefault="00000000">
      <w:pPr>
        <w:ind w:firstLine="480"/>
        <w:rPr>
          <w:rFonts w:ascii="Times New Roman" w:hAnsi="Times New Roman" w:cs="Times New Roman"/>
        </w:rPr>
      </w:pPr>
      <w:r>
        <w:rPr>
          <w:rFonts w:ascii="Times New Roman" w:hAnsi="Times New Roman" w:cs="Times New Roman"/>
        </w:rPr>
        <w:t>③</w:t>
      </w:r>
      <w:r>
        <w:rPr>
          <w:rFonts w:ascii="Times New Roman" w:hAnsi="Times New Roman" w:cs="Times New Roman"/>
        </w:rPr>
        <w:t>在各噪声敏感点附近施工时，施工噪声污染控制措施落实情况，高声级的机械使用时间安排是否合适。</w:t>
      </w:r>
    </w:p>
    <w:p w14:paraId="3F775406" w14:textId="77777777" w:rsidR="009D12AF" w:rsidRDefault="00000000">
      <w:pPr>
        <w:ind w:firstLine="480"/>
        <w:rPr>
          <w:rFonts w:ascii="Times New Roman" w:hAnsi="Times New Roman" w:cs="Times New Roman"/>
        </w:rPr>
      </w:pPr>
      <w:r>
        <w:rPr>
          <w:rFonts w:ascii="Times New Roman" w:hAnsi="Times New Roman" w:cs="Times New Roman"/>
        </w:rPr>
        <w:t>3</w:t>
      </w:r>
      <w:r>
        <w:rPr>
          <w:rFonts w:ascii="Times New Roman" w:hAnsi="Times New Roman" w:cs="Times New Roman"/>
        </w:rPr>
        <w:t>、检查监督其他环境保护措施和计划</w:t>
      </w:r>
    </w:p>
    <w:p w14:paraId="5FDF4212" w14:textId="77777777" w:rsidR="009D12AF" w:rsidRDefault="00000000">
      <w:pPr>
        <w:ind w:firstLine="480"/>
        <w:rPr>
          <w:rFonts w:ascii="Times New Roman" w:hAnsi="Times New Roman" w:cs="Times New Roman"/>
        </w:rPr>
      </w:pPr>
      <w:r>
        <w:rPr>
          <w:rFonts w:ascii="Times New Roman" w:hAnsi="Times New Roman" w:cs="Times New Roman"/>
        </w:rPr>
        <w:t>①</w:t>
      </w:r>
      <w:r>
        <w:rPr>
          <w:rFonts w:ascii="Times New Roman" w:hAnsi="Times New Roman" w:cs="Times New Roman"/>
        </w:rPr>
        <w:t>车辆及各类施工机械的管理及维护措施是否满足环境保护要求；</w:t>
      </w:r>
    </w:p>
    <w:p w14:paraId="12F688DB" w14:textId="77777777" w:rsidR="009D12AF" w:rsidRDefault="00000000">
      <w:pPr>
        <w:ind w:firstLine="480"/>
        <w:rPr>
          <w:rFonts w:ascii="Times New Roman" w:hAnsi="Times New Roman" w:cs="Times New Roman"/>
        </w:rPr>
      </w:pPr>
      <w:r>
        <w:rPr>
          <w:rFonts w:ascii="Times New Roman" w:hAnsi="Times New Roman" w:cs="Times New Roman"/>
        </w:rPr>
        <w:t>②</w:t>
      </w:r>
      <w:r>
        <w:rPr>
          <w:rFonts w:ascii="Times New Roman" w:hAnsi="Times New Roman" w:cs="Times New Roman"/>
        </w:rPr>
        <w:t>对各类车辆、设备使用后废弃的燃油、机油和润滑油是否加强管理，有无随意倾倒现象，处理方式是否符合环保要求；</w:t>
      </w:r>
    </w:p>
    <w:p w14:paraId="16ECE4A5" w14:textId="77777777" w:rsidR="009D12AF" w:rsidRDefault="00000000">
      <w:pPr>
        <w:ind w:firstLine="480"/>
        <w:rPr>
          <w:rFonts w:ascii="Times New Roman" w:hAnsi="Times New Roman" w:cs="Times New Roman"/>
          <w:highlight w:val="yellow"/>
        </w:rPr>
      </w:pPr>
      <w:r>
        <w:rPr>
          <w:rFonts w:ascii="Times New Roman" w:hAnsi="Times New Roman" w:cs="Times New Roman"/>
        </w:rPr>
        <w:t>③</w:t>
      </w:r>
      <w:r>
        <w:rPr>
          <w:rFonts w:ascii="Times New Roman" w:hAnsi="Times New Roman" w:cs="Times New Roman"/>
        </w:rPr>
        <w:t>是否对各施工生活垃圾进行收集和清运。</w:t>
      </w:r>
    </w:p>
    <w:p w14:paraId="190C526E" w14:textId="77777777" w:rsidR="009D12AF" w:rsidRDefault="00000000">
      <w:pPr>
        <w:pStyle w:val="2"/>
      </w:pPr>
      <w:bookmarkStart w:id="466" w:name="_Toc17576"/>
      <w:r>
        <w:rPr>
          <w:rFonts w:hint="eastAsia"/>
        </w:rPr>
        <w:t>8</w:t>
      </w:r>
      <w:r>
        <w:t xml:space="preserve">.3 </w:t>
      </w:r>
      <w:r>
        <w:t>环境保护监测计划</w:t>
      </w:r>
      <w:bookmarkEnd w:id="466"/>
    </w:p>
    <w:p w14:paraId="08C2FA31" w14:textId="77777777" w:rsidR="009D12AF" w:rsidRDefault="00000000">
      <w:pPr>
        <w:pStyle w:val="3"/>
      </w:pPr>
      <w:bookmarkStart w:id="467" w:name="_Toc23001"/>
      <w:bookmarkStart w:id="468" w:name="_Toc1236"/>
      <w:bookmarkStart w:id="469" w:name="_Toc18918"/>
      <w:bookmarkStart w:id="470" w:name="_Toc26731"/>
      <w:r>
        <w:rPr>
          <w:rFonts w:hint="eastAsia"/>
        </w:rPr>
        <w:t>8</w:t>
      </w:r>
      <w:r>
        <w:t xml:space="preserve">.3.1 </w:t>
      </w:r>
      <w:r>
        <w:t>制订目的</w:t>
      </w:r>
      <w:bookmarkEnd w:id="467"/>
      <w:bookmarkEnd w:id="468"/>
      <w:bookmarkEnd w:id="469"/>
      <w:bookmarkEnd w:id="470"/>
    </w:p>
    <w:p w14:paraId="3B04CE11" w14:textId="77777777" w:rsidR="009D12AF" w:rsidRDefault="00000000">
      <w:pPr>
        <w:adjustRightInd w:val="0"/>
        <w:snapToGrid w:val="0"/>
        <w:ind w:firstLine="480"/>
        <w:rPr>
          <w:kern w:val="0"/>
        </w:rPr>
      </w:pPr>
      <w:r>
        <w:rPr>
          <w:kern w:val="0"/>
        </w:rPr>
        <w:t>（</w:t>
      </w:r>
      <w:r>
        <w:rPr>
          <w:kern w:val="0"/>
        </w:rPr>
        <w:t>1</w:t>
      </w:r>
      <w:r>
        <w:rPr>
          <w:kern w:val="0"/>
        </w:rPr>
        <w:t>）目的</w:t>
      </w:r>
    </w:p>
    <w:p w14:paraId="426238B8" w14:textId="77777777" w:rsidR="009D12AF" w:rsidRDefault="00000000">
      <w:pPr>
        <w:adjustRightInd w:val="0"/>
        <w:snapToGrid w:val="0"/>
        <w:ind w:firstLine="480"/>
        <w:rPr>
          <w:kern w:val="0"/>
        </w:rPr>
      </w:pPr>
      <w:r>
        <w:rPr>
          <w:kern w:val="0"/>
        </w:rPr>
        <w:lastRenderedPageBreak/>
        <w:t>环境监测的目的是通过执行施工期和运行期监测计划及监测报告制度，监督各项环境保护措施的实施情况，并根据监测结果适时调整环境保护措施，为环境保护措施的实施提供依据。</w:t>
      </w:r>
    </w:p>
    <w:p w14:paraId="4D26BCD1" w14:textId="77777777" w:rsidR="009D12AF" w:rsidRDefault="00000000">
      <w:pPr>
        <w:adjustRightInd w:val="0"/>
        <w:snapToGrid w:val="0"/>
        <w:ind w:firstLine="480"/>
        <w:rPr>
          <w:kern w:val="0"/>
        </w:rPr>
      </w:pPr>
      <w:r>
        <w:rPr>
          <w:kern w:val="0"/>
        </w:rPr>
        <w:t>（</w:t>
      </w:r>
      <w:r>
        <w:rPr>
          <w:kern w:val="0"/>
        </w:rPr>
        <w:t>2</w:t>
      </w:r>
      <w:r>
        <w:rPr>
          <w:kern w:val="0"/>
        </w:rPr>
        <w:t>）原则</w:t>
      </w:r>
    </w:p>
    <w:p w14:paraId="62266CD3" w14:textId="77777777" w:rsidR="009D12AF" w:rsidRDefault="00000000">
      <w:pPr>
        <w:ind w:firstLine="480"/>
      </w:pPr>
      <w:r>
        <w:rPr>
          <w:kern w:val="0"/>
        </w:rPr>
        <w:t>环境监测原则上依据本工程特点，预测各个时期主要环境影响因素，并在此基础上制定环境监测计划。环境监测工作由牡丹江市西安生态环境局监督，环境监测工作由建设单位委托有资质环境监测部门承担，本次监测不再购置新的监测设备。</w:t>
      </w:r>
    </w:p>
    <w:p w14:paraId="7729BEC1" w14:textId="77777777" w:rsidR="009D12AF" w:rsidRDefault="00000000">
      <w:pPr>
        <w:pStyle w:val="3"/>
      </w:pPr>
      <w:bookmarkStart w:id="471" w:name="_Toc21700"/>
      <w:bookmarkStart w:id="472" w:name="_Toc27931"/>
      <w:bookmarkStart w:id="473" w:name="_Toc23715"/>
      <w:bookmarkStart w:id="474" w:name="_Toc15693"/>
      <w:r>
        <w:rPr>
          <w:rFonts w:hint="eastAsia"/>
        </w:rPr>
        <w:t>8</w:t>
      </w:r>
      <w:r>
        <w:t>.3.2</w:t>
      </w:r>
      <w:bookmarkEnd w:id="471"/>
      <w:bookmarkEnd w:id="472"/>
      <w:bookmarkEnd w:id="473"/>
      <w:r>
        <w:rPr>
          <w:rFonts w:hint="eastAsia"/>
        </w:rPr>
        <w:t>环境监测计划的基本内容</w:t>
      </w:r>
      <w:bookmarkEnd w:id="474"/>
    </w:p>
    <w:p w14:paraId="1787E5BB" w14:textId="77777777" w:rsidR="009D12AF" w:rsidRDefault="00000000">
      <w:pPr>
        <w:adjustRightInd w:val="0"/>
        <w:snapToGrid w:val="0"/>
        <w:ind w:firstLine="480"/>
      </w:pPr>
      <w:r>
        <w:t>环境监测的目的是通过执行施工期和运行期监测计划及监测报告制度，监督各项环境保护措施的实施情况，并根据监测结果适时调整环境保护措施，为环境保护措施的实施提供依据。</w:t>
      </w:r>
    </w:p>
    <w:p w14:paraId="5384F4E6" w14:textId="77777777" w:rsidR="009D12AF" w:rsidRDefault="00000000">
      <w:pPr>
        <w:ind w:firstLine="480"/>
        <w:rPr>
          <w:kern w:val="0"/>
        </w:rPr>
      </w:pPr>
      <w:r>
        <w:t>根据本工程的特点，主要进行施工期环境监测。本工程施工期为</w:t>
      </w:r>
      <w:r>
        <w:rPr>
          <w:rFonts w:hint="eastAsia"/>
        </w:rPr>
        <w:t>2</w:t>
      </w:r>
      <w:r>
        <w:t>年，因此，施工期环境监测周期为</w:t>
      </w:r>
      <w:r>
        <w:rPr>
          <w:rFonts w:hint="eastAsia"/>
        </w:rPr>
        <w:t>2</w:t>
      </w:r>
      <w:r>
        <w:t>年，依据建设项目施工特点、线路布设以及沿线环境敏感点分布情况，施工期环境监测要素为地表水、大气和噪声、施工期陆生生态和水生生态环境，施工期具体监测计划详见表</w:t>
      </w:r>
      <w:r>
        <w:rPr>
          <w:kern w:val="0"/>
        </w:rPr>
        <w:t>8</w:t>
      </w:r>
      <w:r>
        <w:rPr>
          <w:rFonts w:hint="eastAsia"/>
          <w:kern w:val="0"/>
        </w:rPr>
        <w:t>.3</w:t>
      </w:r>
      <w:r>
        <w:rPr>
          <w:kern w:val="0"/>
        </w:rPr>
        <w:t>-1</w:t>
      </w:r>
      <w:r>
        <w:rPr>
          <w:kern w:val="0"/>
        </w:rPr>
        <w:t>。</w:t>
      </w:r>
    </w:p>
    <w:p w14:paraId="2EB3FDB6" w14:textId="77777777" w:rsidR="009D12AF" w:rsidRDefault="00000000">
      <w:pPr>
        <w:ind w:firstLine="480"/>
      </w:pPr>
      <w:r>
        <w:rPr>
          <w:rFonts w:hint="eastAsia"/>
        </w:rPr>
        <w:t>1</w:t>
      </w:r>
      <w:r>
        <w:rPr>
          <w:rFonts w:hint="eastAsia"/>
        </w:rPr>
        <w:t>、环境监测计划</w:t>
      </w:r>
    </w:p>
    <w:p w14:paraId="4A190702" w14:textId="77777777" w:rsidR="009D12AF" w:rsidRDefault="00000000">
      <w:pPr>
        <w:adjustRightInd w:val="0"/>
        <w:spacing w:line="240" w:lineRule="auto"/>
        <w:ind w:firstLine="482"/>
        <w:jc w:val="center"/>
        <w:rPr>
          <w:b/>
        </w:rPr>
      </w:pPr>
      <w:r>
        <w:rPr>
          <w:b/>
        </w:rPr>
        <w:t>表</w:t>
      </w:r>
      <w:r>
        <w:rPr>
          <w:b/>
        </w:rPr>
        <w:t xml:space="preserve"> 8</w:t>
      </w:r>
      <w:r>
        <w:rPr>
          <w:rFonts w:hint="eastAsia"/>
          <w:b/>
        </w:rPr>
        <w:t>.3</w:t>
      </w:r>
      <w:r>
        <w:rPr>
          <w:b/>
        </w:rPr>
        <w:t xml:space="preserve">-1  </w:t>
      </w:r>
      <w:r>
        <w:rPr>
          <w:b/>
        </w:rPr>
        <w:t>环境监测计划</w:t>
      </w:r>
    </w:p>
    <w:tbl>
      <w:tblPr>
        <w:tblW w:w="8590" w:type="dxa"/>
        <w:jc w:val="center"/>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955"/>
        <w:gridCol w:w="2319"/>
        <w:gridCol w:w="1971"/>
        <w:gridCol w:w="1843"/>
        <w:gridCol w:w="811"/>
        <w:gridCol w:w="691"/>
      </w:tblGrid>
      <w:tr w:rsidR="009D12AF" w14:paraId="7615C7C3" w14:textId="77777777">
        <w:trPr>
          <w:trHeight w:val="397"/>
          <w:jc w:val="center"/>
        </w:trPr>
        <w:tc>
          <w:tcPr>
            <w:tcW w:w="955" w:type="dxa"/>
            <w:tcBorders>
              <w:tl2br w:val="nil"/>
              <w:tr2bl w:val="nil"/>
            </w:tcBorders>
            <w:vAlign w:val="center"/>
          </w:tcPr>
          <w:p w14:paraId="3D2EB40A" w14:textId="77777777" w:rsidR="009D12AF" w:rsidRDefault="00000000">
            <w:pPr>
              <w:adjustRightInd w:val="0"/>
              <w:spacing w:line="240" w:lineRule="auto"/>
              <w:ind w:firstLineChars="0" w:firstLine="0"/>
              <w:jc w:val="center"/>
              <w:rPr>
                <w:kern w:val="0"/>
                <w:sz w:val="21"/>
              </w:rPr>
            </w:pPr>
            <w:r>
              <w:rPr>
                <w:kern w:val="0"/>
                <w:sz w:val="21"/>
              </w:rPr>
              <w:t>环境</w:t>
            </w:r>
          </w:p>
          <w:p w14:paraId="43BDB514" w14:textId="77777777" w:rsidR="009D12AF" w:rsidRDefault="00000000">
            <w:pPr>
              <w:adjustRightInd w:val="0"/>
              <w:spacing w:line="240" w:lineRule="auto"/>
              <w:ind w:firstLineChars="0" w:firstLine="0"/>
              <w:jc w:val="center"/>
              <w:rPr>
                <w:kern w:val="0"/>
                <w:sz w:val="21"/>
              </w:rPr>
            </w:pPr>
            <w:r>
              <w:rPr>
                <w:kern w:val="0"/>
                <w:sz w:val="21"/>
              </w:rPr>
              <w:t>要素</w:t>
            </w:r>
          </w:p>
        </w:tc>
        <w:tc>
          <w:tcPr>
            <w:tcW w:w="2319" w:type="dxa"/>
            <w:tcBorders>
              <w:tl2br w:val="nil"/>
              <w:tr2bl w:val="nil"/>
            </w:tcBorders>
            <w:vAlign w:val="center"/>
          </w:tcPr>
          <w:p w14:paraId="5FD8AB1D" w14:textId="77777777" w:rsidR="009D12AF" w:rsidRDefault="00000000">
            <w:pPr>
              <w:adjustRightInd w:val="0"/>
              <w:spacing w:line="240" w:lineRule="auto"/>
              <w:ind w:firstLineChars="0" w:firstLine="0"/>
              <w:jc w:val="center"/>
              <w:rPr>
                <w:kern w:val="0"/>
                <w:sz w:val="21"/>
              </w:rPr>
            </w:pPr>
            <w:r>
              <w:rPr>
                <w:kern w:val="0"/>
                <w:sz w:val="21"/>
              </w:rPr>
              <w:t>监测地点</w:t>
            </w:r>
          </w:p>
        </w:tc>
        <w:tc>
          <w:tcPr>
            <w:tcW w:w="1971" w:type="dxa"/>
            <w:tcBorders>
              <w:tl2br w:val="nil"/>
              <w:tr2bl w:val="nil"/>
            </w:tcBorders>
            <w:vAlign w:val="center"/>
          </w:tcPr>
          <w:p w14:paraId="16295220" w14:textId="77777777" w:rsidR="009D12AF" w:rsidRDefault="00000000">
            <w:pPr>
              <w:adjustRightInd w:val="0"/>
              <w:spacing w:line="240" w:lineRule="auto"/>
              <w:ind w:firstLineChars="0" w:firstLine="0"/>
              <w:jc w:val="center"/>
              <w:rPr>
                <w:kern w:val="0"/>
                <w:sz w:val="21"/>
              </w:rPr>
            </w:pPr>
            <w:r>
              <w:rPr>
                <w:kern w:val="0"/>
                <w:sz w:val="21"/>
              </w:rPr>
              <w:t>监测项目</w:t>
            </w:r>
          </w:p>
        </w:tc>
        <w:tc>
          <w:tcPr>
            <w:tcW w:w="1843" w:type="dxa"/>
            <w:tcBorders>
              <w:tl2br w:val="nil"/>
              <w:tr2bl w:val="nil"/>
            </w:tcBorders>
            <w:vAlign w:val="center"/>
          </w:tcPr>
          <w:p w14:paraId="4A406041" w14:textId="77777777" w:rsidR="009D12AF" w:rsidRDefault="00000000">
            <w:pPr>
              <w:adjustRightInd w:val="0"/>
              <w:spacing w:line="240" w:lineRule="auto"/>
              <w:ind w:firstLineChars="0" w:firstLine="0"/>
              <w:jc w:val="center"/>
              <w:rPr>
                <w:kern w:val="0"/>
                <w:sz w:val="21"/>
              </w:rPr>
            </w:pPr>
            <w:r>
              <w:rPr>
                <w:kern w:val="0"/>
                <w:sz w:val="21"/>
              </w:rPr>
              <w:t>监测时间及频率</w:t>
            </w:r>
          </w:p>
        </w:tc>
        <w:tc>
          <w:tcPr>
            <w:tcW w:w="811" w:type="dxa"/>
            <w:tcBorders>
              <w:tl2br w:val="nil"/>
              <w:tr2bl w:val="nil"/>
            </w:tcBorders>
            <w:vAlign w:val="center"/>
          </w:tcPr>
          <w:p w14:paraId="22B97428" w14:textId="77777777" w:rsidR="009D12AF" w:rsidRDefault="00000000">
            <w:pPr>
              <w:adjustRightInd w:val="0"/>
              <w:spacing w:line="240" w:lineRule="auto"/>
              <w:ind w:firstLineChars="0" w:firstLine="0"/>
              <w:jc w:val="center"/>
              <w:rPr>
                <w:kern w:val="0"/>
                <w:sz w:val="21"/>
              </w:rPr>
            </w:pPr>
            <w:r>
              <w:rPr>
                <w:kern w:val="0"/>
                <w:sz w:val="21"/>
              </w:rPr>
              <w:t>实施机构</w:t>
            </w:r>
          </w:p>
        </w:tc>
        <w:tc>
          <w:tcPr>
            <w:tcW w:w="691" w:type="dxa"/>
            <w:tcBorders>
              <w:tl2br w:val="nil"/>
              <w:tr2bl w:val="nil"/>
            </w:tcBorders>
            <w:vAlign w:val="center"/>
          </w:tcPr>
          <w:p w14:paraId="3FA9F481" w14:textId="77777777" w:rsidR="009D12AF" w:rsidRDefault="00000000">
            <w:pPr>
              <w:adjustRightInd w:val="0"/>
              <w:spacing w:line="240" w:lineRule="auto"/>
              <w:ind w:firstLineChars="0" w:firstLine="0"/>
              <w:jc w:val="center"/>
              <w:rPr>
                <w:kern w:val="0"/>
                <w:sz w:val="21"/>
              </w:rPr>
            </w:pPr>
            <w:r>
              <w:rPr>
                <w:kern w:val="0"/>
                <w:sz w:val="21"/>
              </w:rPr>
              <w:t>监督机构</w:t>
            </w:r>
          </w:p>
        </w:tc>
      </w:tr>
      <w:tr w:rsidR="009D12AF" w14:paraId="2B6803CE" w14:textId="77777777">
        <w:trPr>
          <w:trHeight w:val="397"/>
          <w:jc w:val="center"/>
        </w:trPr>
        <w:tc>
          <w:tcPr>
            <w:tcW w:w="955" w:type="dxa"/>
            <w:vMerge w:val="restart"/>
            <w:tcBorders>
              <w:tl2br w:val="nil"/>
              <w:tr2bl w:val="nil"/>
            </w:tcBorders>
            <w:vAlign w:val="center"/>
          </w:tcPr>
          <w:p w14:paraId="3C9D67F2" w14:textId="77777777" w:rsidR="009D12AF" w:rsidRDefault="00000000">
            <w:pPr>
              <w:adjustRightInd w:val="0"/>
              <w:spacing w:line="240" w:lineRule="auto"/>
              <w:ind w:firstLineChars="0" w:firstLine="0"/>
              <w:jc w:val="center"/>
              <w:rPr>
                <w:kern w:val="0"/>
                <w:sz w:val="21"/>
              </w:rPr>
            </w:pPr>
            <w:r>
              <w:rPr>
                <w:kern w:val="0"/>
                <w:sz w:val="21"/>
              </w:rPr>
              <w:t>水环境</w:t>
            </w:r>
          </w:p>
        </w:tc>
        <w:tc>
          <w:tcPr>
            <w:tcW w:w="2319" w:type="dxa"/>
            <w:tcBorders>
              <w:tl2br w:val="nil"/>
              <w:tr2bl w:val="nil"/>
            </w:tcBorders>
            <w:vAlign w:val="center"/>
          </w:tcPr>
          <w:p w14:paraId="7DA97C29" w14:textId="77777777" w:rsidR="009D12AF" w:rsidRDefault="00000000">
            <w:pPr>
              <w:adjustRightInd w:val="0"/>
              <w:spacing w:line="240" w:lineRule="auto"/>
              <w:ind w:firstLineChars="0" w:firstLine="0"/>
              <w:jc w:val="center"/>
              <w:rPr>
                <w:sz w:val="21"/>
              </w:rPr>
            </w:pPr>
            <w:r>
              <w:rPr>
                <w:sz w:val="21"/>
              </w:rPr>
              <w:t>清淤工程起点上游</w:t>
            </w:r>
            <w:r>
              <w:rPr>
                <w:sz w:val="21"/>
              </w:rPr>
              <w:t>500m</w:t>
            </w:r>
            <w:r>
              <w:rPr>
                <w:sz w:val="21"/>
              </w:rPr>
              <w:t>处</w:t>
            </w:r>
          </w:p>
        </w:tc>
        <w:tc>
          <w:tcPr>
            <w:tcW w:w="1971" w:type="dxa"/>
            <w:vMerge w:val="restart"/>
            <w:tcBorders>
              <w:tl2br w:val="nil"/>
              <w:tr2bl w:val="nil"/>
            </w:tcBorders>
            <w:vAlign w:val="center"/>
          </w:tcPr>
          <w:p w14:paraId="6A0D3B82" w14:textId="77777777" w:rsidR="009D12AF" w:rsidRDefault="00000000">
            <w:pPr>
              <w:adjustRightInd w:val="0"/>
              <w:spacing w:line="240" w:lineRule="auto"/>
              <w:ind w:firstLineChars="0" w:firstLine="0"/>
              <w:jc w:val="center"/>
              <w:rPr>
                <w:kern w:val="0"/>
                <w:sz w:val="21"/>
              </w:rPr>
            </w:pPr>
            <w:r>
              <w:rPr>
                <w:kern w:val="0"/>
                <w:sz w:val="21"/>
              </w:rPr>
              <w:t>pH</w:t>
            </w:r>
            <w:r>
              <w:rPr>
                <w:kern w:val="0"/>
                <w:sz w:val="21"/>
              </w:rPr>
              <w:t>、悬浮物、</w:t>
            </w:r>
            <w:r>
              <w:rPr>
                <w:kern w:val="0"/>
                <w:sz w:val="21"/>
              </w:rPr>
              <w:t>COD</w:t>
            </w:r>
            <w:r>
              <w:rPr>
                <w:kern w:val="0"/>
                <w:sz w:val="21"/>
              </w:rPr>
              <w:t>、</w:t>
            </w:r>
            <w:r>
              <w:rPr>
                <w:kern w:val="0"/>
                <w:sz w:val="21"/>
              </w:rPr>
              <w:t>BOD</w:t>
            </w:r>
            <w:r>
              <w:rPr>
                <w:kern w:val="0"/>
                <w:sz w:val="21"/>
                <w:vertAlign w:val="subscript"/>
              </w:rPr>
              <w:t>5</w:t>
            </w:r>
            <w:r>
              <w:rPr>
                <w:kern w:val="0"/>
                <w:sz w:val="21"/>
              </w:rPr>
              <w:t>、石油类、高锰酸盐指数、</w:t>
            </w:r>
            <w:r>
              <w:rPr>
                <w:kern w:val="0"/>
                <w:sz w:val="21"/>
              </w:rPr>
              <w:t>NH</w:t>
            </w:r>
            <w:r>
              <w:rPr>
                <w:kern w:val="0"/>
                <w:sz w:val="21"/>
                <w:vertAlign w:val="subscript"/>
              </w:rPr>
              <w:t>3</w:t>
            </w:r>
            <w:r>
              <w:rPr>
                <w:kern w:val="0"/>
                <w:sz w:val="21"/>
              </w:rPr>
              <w:t>-N</w:t>
            </w:r>
          </w:p>
        </w:tc>
        <w:tc>
          <w:tcPr>
            <w:tcW w:w="1843" w:type="dxa"/>
            <w:vMerge w:val="restart"/>
            <w:tcBorders>
              <w:tl2br w:val="nil"/>
              <w:tr2bl w:val="nil"/>
            </w:tcBorders>
            <w:vAlign w:val="center"/>
          </w:tcPr>
          <w:p w14:paraId="18B0EBEE" w14:textId="77777777" w:rsidR="009D12AF" w:rsidRDefault="00000000">
            <w:pPr>
              <w:adjustRightInd w:val="0"/>
              <w:spacing w:line="240" w:lineRule="auto"/>
              <w:ind w:firstLineChars="0" w:firstLine="0"/>
              <w:jc w:val="center"/>
              <w:rPr>
                <w:kern w:val="0"/>
                <w:sz w:val="21"/>
              </w:rPr>
            </w:pPr>
            <w:r>
              <w:rPr>
                <w:kern w:val="0"/>
                <w:sz w:val="21"/>
              </w:rPr>
              <w:t>施工期高峰期每季度一次，每次连续监测</w:t>
            </w:r>
            <w:r>
              <w:rPr>
                <w:kern w:val="0"/>
                <w:sz w:val="21"/>
              </w:rPr>
              <w:t>2</w:t>
            </w:r>
            <w:r>
              <w:rPr>
                <w:kern w:val="0"/>
                <w:sz w:val="21"/>
              </w:rPr>
              <w:t>天，每天</w:t>
            </w:r>
            <w:r>
              <w:rPr>
                <w:kern w:val="0"/>
                <w:sz w:val="21"/>
              </w:rPr>
              <w:t>1</w:t>
            </w:r>
            <w:r>
              <w:rPr>
                <w:kern w:val="0"/>
                <w:sz w:val="21"/>
              </w:rPr>
              <w:t>次</w:t>
            </w:r>
          </w:p>
        </w:tc>
        <w:tc>
          <w:tcPr>
            <w:tcW w:w="811" w:type="dxa"/>
            <w:vMerge w:val="restart"/>
            <w:tcBorders>
              <w:tl2br w:val="nil"/>
              <w:tr2bl w:val="nil"/>
            </w:tcBorders>
            <w:vAlign w:val="center"/>
          </w:tcPr>
          <w:p w14:paraId="5657CD0C" w14:textId="77777777" w:rsidR="009D12AF" w:rsidRDefault="00000000">
            <w:pPr>
              <w:adjustRightInd w:val="0"/>
              <w:spacing w:line="240" w:lineRule="auto"/>
              <w:ind w:firstLineChars="0" w:firstLine="0"/>
              <w:jc w:val="center"/>
              <w:rPr>
                <w:kern w:val="0"/>
                <w:sz w:val="21"/>
              </w:rPr>
            </w:pPr>
            <w:r>
              <w:rPr>
                <w:kern w:val="0"/>
                <w:sz w:val="21"/>
              </w:rPr>
              <w:t>有资质监测部门</w:t>
            </w:r>
          </w:p>
        </w:tc>
        <w:tc>
          <w:tcPr>
            <w:tcW w:w="691" w:type="dxa"/>
            <w:vMerge w:val="restart"/>
            <w:tcBorders>
              <w:tl2br w:val="nil"/>
              <w:tr2bl w:val="nil"/>
            </w:tcBorders>
            <w:vAlign w:val="center"/>
          </w:tcPr>
          <w:p w14:paraId="0162190F" w14:textId="77777777" w:rsidR="009D12AF" w:rsidRDefault="00000000">
            <w:pPr>
              <w:adjustRightInd w:val="0"/>
              <w:spacing w:line="240" w:lineRule="auto"/>
              <w:ind w:firstLineChars="0" w:firstLine="0"/>
              <w:jc w:val="center"/>
              <w:rPr>
                <w:kern w:val="0"/>
                <w:sz w:val="21"/>
              </w:rPr>
            </w:pPr>
            <w:r>
              <w:rPr>
                <w:kern w:val="0"/>
                <w:sz w:val="21"/>
              </w:rPr>
              <w:t>牡丹江市</w:t>
            </w:r>
            <w:r>
              <w:rPr>
                <w:rFonts w:hint="eastAsia"/>
                <w:kern w:val="0"/>
                <w:sz w:val="21"/>
              </w:rPr>
              <w:t>海林市</w:t>
            </w:r>
            <w:r>
              <w:rPr>
                <w:kern w:val="0"/>
                <w:sz w:val="21"/>
              </w:rPr>
              <w:t>生态环境局</w:t>
            </w:r>
          </w:p>
        </w:tc>
      </w:tr>
      <w:tr w:rsidR="009D12AF" w14:paraId="350D829B" w14:textId="77777777">
        <w:trPr>
          <w:trHeight w:val="397"/>
          <w:jc w:val="center"/>
        </w:trPr>
        <w:tc>
          <w:tcPr>
            <w:tcW w:w="955" w:type="dxa"/>
            <w:vMerge/>
            <w:tcBorders>
              <w:tl2br w:val="nil"/>
              <w:tr2bl w:val="nil"/>
            </w:tcBorders>
            <w:vAlign w:val="center"/>
          </w:tcPr>
          <w:p w14:paraId="5066C7E2" w14:textId="77777777" w:rsidR="009D12AF" w:rsidRDefault="009D12AF">
            <w:pPr>
              <w:adjustRightInd w:val="0"/>
              <w:spacing w:line="240" w:lineRule="auto"/>
              <w:ind w:firstLineChars="0" w:firstLine="0"/>
              <w:jc w:val="center"/>
              <w:rPr>
                <w:kern w:val="0"/>
                <w:sz w:val="21"/>
              </w:rPr>
            </w:pPr>
          </w:p>
        </w:tc>
        <w:tc>
          <w:tcPr>
            <w:tcW w:w="2319" w:type="dxa"/>
            <w:tcBorders>
              <w:tl2br w:val="nil"/>
              <w:tr2bl w:val="nil"/>
            </w:tcBorders>
            <w:vAlign w:val="center"/>
          </w:tcPr>
          <w:p w14:paraId="120F0A79" w14:textId="77777777" w:rsidR="009D12AF" w:rsidRDefault="00000000">
            <w:pPr>
              <w:adjustRightInd w:val="0"/>
              <w:spacing w:line="240" w:lineRule="auto"/>
              <w:ind w:firstLineChars="0" w:firstLine="0"/>
              <w:jc w:val="center"/>
              <w:rPr>
                <w:sz w:val="21"/>
              </w:rPr>
            </w:pPr>
            <w:r>
              <w:rPr>
                <w:sz w:val="21"/>
              </w:rPr>
              <w:t>清淤工程终点下游</w:t>
            </w:r>
            <w:r>
              <w:rPr>
                <w:sz w:val="21"/>
              </w:rPr>
              <w:t>500m</w:t>
            </w:r>
            <w:r>
              <w:rPr>
                <w:sz w:val="21"/>
              </w:rPr>
              <w:t>处</w:t>
            </w:r>
          </w:p>
        </w:tc>
        <w:tc>
          <w:tcPr>
            <w:tcW w:w="1971" w:type="dxa"/>
            <w:vMerge/>
            <w:tcBorders>
              <w:tl2br w:val="nil"/>
              <w:tr2bl w:val="nil"/>
            </w:tcBorders>
            <w:vAlign w:val="center"/>
          </w:tcPr>
          <w:p w14:paraId="66118C30" w14:textId="77777777" w:rsidR="009D12AF" w:rsidRDefault="009D12AF">
            <w:pPr>
              <w:adjustRightInd w:val="0"/>
              <w:spacing w:line="240" w:lineRule="auto"/>
              <w:ind w:firstLineChars="0" w:firstLine="0"/>
              <w:jc w:val="center"/>
              <w:rPr>
                <w:kern w:val="0"/>
                <w:sz w:val="21"/>
              </w:rPr>
            </w:pPr>
          </w:p>
        </w:tc>
        <w:tc>
          <w:tcPr>
            <w:tcW w:w="1843" w:type="dxa"/>
            <w:vMerge/>
            <w:tcBorders>
              <w:tl2br w:val="nil"/>
              <w:tr2bl w:val="nil"/>
            </w:tcBorders>
            <w:vAlign w:val="center"/>
          </w:tcPr>
          <w:p w14:paraId="4A3BEB2C" w14:textId="77777777" w:rsidR="009D12AF" w:rsidRDefault="009D12AF">
            <w:pPr>
              <w:adjustRightInd w:val="0"/>
              <w:spacing w:line="240" w:lineRule="auto"/>
              <w:ind w:firstLineChars="0" w:firstLine="0"/>
              <w:jc w:val="center"/>
              <w:rPr>
                <w:kern w:val="0"/>
                <w:sz w:val="21"/>
              </w:rPr>
            </w:pPr>
          </w:p>
        </w:tc>
        <w:tc>
          <w:tcPr>
            <w:tcW w:w="811" w:type="dxa"/>
            <w:vMerge/>
            <w:tcBorders>
              <w:tl2br w:val="nil"/>
              <w:tr2bl w:val="nil"/>
            </w:tcBorders>
            <w:vAlign w:val="center"/>
          </w:tcPr>
          <w:p w14:paraId="77B9D9BD" w14:textId="77777777" w:rsidR="009D12AF" w:rsidRDefault="009D12AF">
            <w:pPr>
              <w:adjustRightInd w:val="0"/>
              <w:spacing w:line="240" w:lineRule="auto"/>
              <w:ind w:firstLineChars="0" w:firstLine="0"/>
              <w:jc w:val="center"/>
              <w:rPr>
                <w:kern w:val="0"/>
                <w:sz w:val="21"/>
              </w:rPr>
            </w:pPr>
          </w:p>
        </w:tc>
        <w:tc>
          <w:tcPr>
            <w:tcW w:w="691" w:type="dxa"/>
            <w:vMerge/>
            <w:tcBorders>
              <w:tl2br w:val="nil"/>
              <w:tr2bl w:val="nil"/>
            </w:tcBorders>
            <w:vAlign w:val="center"/>
          </w:tcPr>
          <w:p w14:paraId="2FE310F0" w14:textId="77777777" w:rsidR="009D12AF" w:rsidRDefault="009D12AF">
            <w:pPr>
              <w:adjustRightInd w:val="0"/>
              <w:spacing w:line="240" w:lineRule="auto"/>
              <w:ind w:firstLineChars="0" w:firstLine="0"/>
              <w:jc w:val="center"/>
              <w:rPr>
                <w:kern w:val="0"/>
                <w:sz w:val="21"/>
              </w:rPr>
            </w:pPr>
          </w:p>
        </w:tc>
      </w:tr>
      <w:tr w:rsidR="009D12AF" w14:paraId="06FBED9C" w14:textId="77777777">
        <w:trPr>
          <w:trHeight w:val="397"/>
          <w:jc w:val="center"/>
        </w:trPr>
        <w:tc>
          <w:tcPr>
            <w:tcW w:w="955" w:type="dxa"/>
            <w:vMerge/>
            <w:tcBorders>
              <w:tl2br w:val="nil"/>
              <w:tr2bl w:val="nil"/>
            </w:tcBorders>
            <w:vAlign w:val="center"/>
          </w:tcPr>
          <w:p w14:paraId="62584FB8" w14:textId="77777777" w:rsidR="009D12AF" w:rsidRDefault="009D12AF">
            <w:pPr>
              <w:adjustRightInd w:val="0"/>
              <w:spacing w:line="240" w:lineRule="auto"/>
              <w:ind w:firstLineChars="0" w:firstLine="0"/>
              <w:jc w:val="center"/>
              <w:rPr>
                <w:kern w:val="0"/>
                <w:sz w:val="21"/>
              </w:rPr>
            </w:pPr>
          </w:p>
        </w:tc>
        <w:tc>
          <w:tcPr>
            <w:tcW w:w="2319" w:type="dxa"/>
            <w:tcBorders>
              <w:tl2br w:val="nil"/>
              <w:tr2bl w:val="nil"/>
            </w:tcBorders>
            <w:vAlign w:val="center"/>
          </w:tcPr>
          <w:p w14:paraId="70F736C2" w14:textId="77777777" w:rsidR="009D12AF" w:rsidRDefault="00000000">
            <w:pPr>
              <w:adjustRightInd w:val="0"/>
              <w:spacing w:line="240" w:lineRule="auto"/>
              <w:ind w:firstLineChars="0" w:firstLine="0"/>
              <w:jc w:val="center"/>
              <w:rPr>
                <w:sz w:val="21"/>
              </w:rPr>
            </w:pPr>
            <w:r>
              <w:rPr>
                <w:sz w:val="21"/>
              </w:rPr>
              <w:t>饮用水水源地保护区下游</w:t>
            </w:r>
            <w:r>
              <w:rPr>
                <w:sz w:val="21"/>
              </w:rPr>
              <w:t>500m</w:t>
            </w:r>
            <w:r>
              <w:rPr>
                <w:sz w:val="21"/>
              </w:rPr>
              <w:t>处</w:t>
            </w:r>
          </w:p>
        </w:tc>
        <w:tc>
          <w:tcPr>
            <w:tcW w:w="1971" w:type="dxa"/>
            <w:vMerge/>
            <w:tcBorders>
              <w:tl2br w:val="nil"/>
              <w:tr2bl w:val="nil"/>
            </w:tcBorders>
            <w:vAlign w:val="center"/>
          </w:tcPr>
          <w:p w14:paraId="56FCA66A" w14:textId="77777777" w:rsidR="009D12AF" w:rsidRDefault="009D12AF">
            <w:pPr>
              <w:adjustRightInd w:val="0"/>
              <w:spacing w:line="240" w:lineRule="auto"/>
              <w:ind w:firstLineChars="0" w:firstLine="0"/>
              <w:jc w:val="center"/>
              <w:rPr>
                <w:kern w:val="0"/>
                <w:sz w:val="21"/>
              </w:rPr>
            </w:pPr>
          </w:p>
        </w:tc>
        <w:tc>
          <w:tcPr>
            <w:tcW w:w="1843" w:type="dxa"/>
            <w:vMerge/>
            <w:tcBorders>
              <w:tl2br w:val="nil"/>
              <w:tr2bl w:val="nil"/>
            </w:tcBorders>
            <w:vAlign w:val="center"/>
          </w:tcPr>
          <w:p w14:paraId="358906C0" w14:textId="77777777" w:rsidR="009D12AF" w:rsidRDefault="009D12AF">
            <w:pPr>
              <w:adjustRightInd w:val="0"/>
              <w:spacing w:line="240" w:lineRule="auto"/>
              <w:ind w:firstLineChars="0" w:firstLine="0"/>
              <w:jc w:val="center"/>
              <w:rPr>
                <w:kern w:val="0"/>
                <w:sz w:val="21"/>
              </w:rPr>
            </w:pPr>
          </w:p>
        </w:tc>
        <w:tc>
          <w:tcPr>
            <w:tcW w:w="811" w:type="dxa"/>
            <w:vMerge/>
            <w:tcBorders>
              <w:tl2br w:val="nil"/>
              <w:tr2bl w:val="nil"/>
            </w:tcBorders>
            <w:vAlign w:val="center"/>
          </w:tcPr>
          <w:p w14:paraId="64D4D036" w14:textId="77777777" w:rsidR="009D12AF" w:rsidRDefault="009D12AF">
            <w:pPr>
              <w:adjustRightInd w:val="0"/>
              <w:spacing w:line="240" w:lineRule="auto"/>
              <w:ind w:firstLineChars="0" w:firstLine="0"/>
              <w:jc w:val="center"/>
              <w:rPr>
                <w:kern w:val="0"/>
                <w:sz w:val="21"/>
              </w:rPr>
            </w:pPr>
          </w:p>
        </w:tc>
        <w:tc>
          <w:tcPr>
            <w:tcW w:w="691" w:type="dxa"/>
            <w:vMerge/>
            <w:tcBorders>
              <w:tl2br w:val="nil"/>
              <w:tr2bl w:val="nil"/>
            </w:tcBorders>
            <w:vAlign w:val="center"/>
          </w:tcPr>
          <w:p w14:paraId="53448700" w14:textId="77777777" w:rsidR="009D12AF" w:rsidRDefault="009D12AF">
            <w:pPr>
              <w:adjustRightInd w:val="0"/>
              <w:spacing w:line="240" w:lineRule="auto"/>
              <w:ind w:firstLineChars="0" w:firstLine="0"/>
              <w:jc w:val="center"/>
              <w:rPr>
                <w:kern w:val="0"/>
                <w:sz w:val="21"/>
              </w:rPr>
            </w:pPr>
          </w:p>
        </w:tc>
      </w:tr>
      <w:tr w:rsidR="009D12AF" w14:paraId="15BF1E10" w14:textId="77777777">
        <w:trPr>
          <w:trHeight w:val="397"/>
          <w:jc w:val="center"/>
        </w:trPr>
        <w:tc>
          <w:tcPr>
            <w:tcW w:w="955" w:type="dxa"/>
            <w:vMerge w:val="restart"/>
            <w:tcBorders>
              <w:tl2br w:val="nil"/>
              <w:tr2bl w:val="nil"/>
            </w:tcBorders>
            <w:vAlign w:val="center"/>
          </w:tcPr>
          <w:p w14:paraId="09D72EA6" w14:textId="77777777" w:rsidR="009D12AF" w:rsidRDefault="00000000">
            <w:pPr>
              <w:adjustRightInd w:val="0"/>
              <w:spacing w:line="240" w:lineRule="auto"/>
              <w:ind w:firstLineChars="0" w:firstLine="0"/>
              <w:jc w:val="center"/>
              <w:rPr>
                <w:kern w:val="0"/>
                <w:sz w:val="21"/>
              </w:rPr>
            </w:pPr>
            <w:r>
              <w:rPr>
                <w:kern w:val="0"/>
                <w:sz w:val="21"/>
              </w:rPr>
              <w:t>大气</w:t>
            </w:r>
          </w:p>
          <w:p w14:paraId="1F2559E4" w14:textId="77777777" w:rsidR="009D12AF" w:rsidRDefault="00000000">
            <w:pPr>
              <w:adjustRightInd w:val="0"/>
              <w:spacing w:line="240" w:lineRule="auto"/>
              <w:ind w:firstLineChars="0" w:firstLine="0"/>
              <w:jc w:val="center"/>
              <w:rPr>
                <w:kern w:val="0"/>
                <w:sz w:val="21"/>
              </w:rPr>
            </w:pPr>
            <w:r>
              <w:rPr>
                <w:kern w:val="0"/>
                <w:sz w:val="21"/>
              </w:rPr>
              <w:t>环境</w:t>
            </w:r>
          </w:p>
        </w:tc>
        <w:tc>
          <w:tcPr>
            <w:tcW w:w="2319" w:type="dxa"/>
            <w:tcBorders>
              <w:tl2br w:val="nil"/>
              <w:tr2bl w:val="nil"/>
            </w:tcBorders>
            <w:vAlign w:val="center"/>
          </w:tcPr>
          <w:p w14:paraId="76F65385" w14:textId="77777777" w:rsidR="009D12AF" w:rsidRDefault="00000000">
            <w:pPr>
              <w:adjustRightInd w:val="0"/>
              <w:spacing w:line="240" w:lineRule="auto"/>
              <w:ind w:firstLineChars="0" w:firstLine="0"/>
              <w:jc w:val="center"/>
              <w:rPr>
                <w:sz w:val="21"/>
              </w:rPr>
            </w:pPr>
            <w:r>
              <w:rPr>
                <w:rFonts w:hint="eastAsia"/>
                <w:sz w:val="21"/>
              </w:rPr>
              <w:t>临时生产区</w:t>
            </w:r>
          </w:p>
        </w:tc>
        <w:tc>
          <w:tcPr>
            <w:tcW w:w="1971" w:type="dxa"/>
            <w:vMerge w:val="restart"/>
            <w:tcBorders>
              <w:tl2br w:val="nil"/>
              <w:tr2bl w:val="nil"/>
            </w:tcBorders>
            <w:vAlign w:val="center"/>
          </w:tcPr>
          <w:p w14:paraId="62EF1165" w14:textId="77777777" w:rsidR="009D12AF" w:rsidRDefault="00000000">
            <w:pPr>
              <w:adjustRightInd w:val="0"/>
              <w:spacing w:line="240" w:lineRule="auto"/>
              <w:ind w:firstLineChars="0" w:firstLine="0"/>
              <w:jc w:val="center"/>
              <w:rPr>
                <w:kern w:val="0"/>
                <w:sz w:val="21"/>
              </w:rPr>
            </w:pPr>
            <w:r>
              <w:rPr>
                <w:sz w:val="21"/>
                <w:szCs w:val="21"/>
              </w:rPr>
              <w:t>TSP</w:t>
            </w:r>
            <w:r>
              <w:rPr>
                <w:sz w:val="21"/>
                <w:szCs w:val="21"/>
              </w:rPr>
              <w:t>、</w:t>
            </w:r>
            <w:r>
              <w:rPr>
                <w:sz w:val="21"/>
                <w:szCs w:val="21"/>
              </w:rPr>
              <w:t>NH</w:t>
            </w:r>
            <w:r>
              <w:rPr>
                <w:sz w:val="21"/>
                <w:szCs w:val="21"/>
                <w:vertAlign w:val="subscript"/>
              </w:rPr>
              <w:t>4</w:t>
            </w:r>
            <w:r>
              <w:rPr>
                <w:sz w:val="21"/>
                <w:szCs w:val="21"/>
              </w:rPr>
              <w:t>、</w:t>
            </w:r>
            <w:r>
              <w:rPr>
                <w:sz w:val="21"/>
                <w:szCs w:val="21"/>
              </w:rPr>
              <w:t>H</w:t>
            </w:r>
            <w:r>
              <w:rPr>
                <w:sz w:val="21"/>
                <w:szCs w:val="21"/>
                <w:vertAlign w:val="subscript"/>
              </w:rPr>
              <w:t>2</w:t>
            </w:r>
            <w:r>
              <w:rPr>
                <w:sz w:val="21"/>
                <w:szCs w:val="21"/>
              </w:rPr>
              <w:t>S</w:t>
            </w:r>
            <w:r>
              <w:rPr>
                <w:sz w:val="21"/>
                <w:szCs w:val="21"/>
              </w:rPr>
              <w:t>、臭气浓度</w:t>
            </w:r>
          </w:p>
        </w:tc>
        <w:tc>
          <w:tcPr>
            <w:tcW w:w="1843" w:type="dxa"/>
            <w:vMerge w:val="restart"/>
            <w:tcBorders>
              <w:tl2br w:val="nil"/>
              <w:tr2bl w:val="nil"/>
            </w:tcBorders>
            <w:vAlign w:val="center"/>
          </w:tcPr>
          <w:p w14:paraId="087B481B" w14:textId="77777777" w:rsidR="009D12AF" w:rsidRDefault="00000000">
            <w:pPr>
              <w:adjustRightInd w:val="0"/>
              <w:spacing w:line="240" w:lineRule="auto"/>
              <w:ind w:firstLineChars="0" w:firstLine="0"/>
              <w:jc w:val="center"/>
              <w:rPr>
                <w:kern w:val="0"/>
                <w:sz w:val="21"/>
              </w:rPr>
            </w:pPr>
            <w:r>
              <w:rPr>
                <w:kern w:val="0"/>
                <w:sz w:val="21"/>
              </w:rPr>
              <w:t>施工高峰期监测一次，连续</w:t>
            </w:r>
            <w:r>
              <w:rPr>
                <w:kern w:val="0"/>
                <w:sz w:val="21"/>
              </w:rPr>
              <w:t>7</w:t>
            </w:r>
            <w:r>
              <w:rPr>
                <w:kern w:val="0"/>
                <w:sz w:val="21"/>
              </w:rPr>
              <w:t>天，每天</w:t>
            </w:r>
            <w:r>
              <w:rPr>
                <w:kern w:val="0"/>
                <w:sz w:val="21"/>
              </w:rPr>
              <w:t>4</w:t>
            </w:r>
            <w:r>
              <w:rPr>
                <w:kern w:val="0"/>
                <w:sz w:val="21"/>
              </w:rPr>
              <w:t>次</w:t>
            </w:r>
          </w:p>
        </w:tc>
        <w:tc>
          <w:tcPr>
            <w:tcW w:w="811" w:type="dxa"/>
            <w:vMerge/>
            <w:tcBorders>
              <w:tl2br w:val="nil"/>
              <w:tr2bl w:val="nil"/>
            </w:tcBorders>
            <w:vAlign w:val="center"/>
          </w:tcPr>
          <w:p w14:paraId="7C89E34F" w14:textId="77777777" w:rsidR="009D12AF" w:rsidRDefault="009D12AF">
            <w:pPr>
              <w:adjustRightInd w:val="0"/>
              <w:spacing w:line="240" w:lineRule="auto"/>
              <w:ind w:firstLineChars="0" w:firstLine="0"/>
              <w:jc w:val="center"/>
              <w:rPr>
                <w:kern w:val="0"/>
                <w:sz w:val="21"/>
              </w:rPr>
            </w:pPr>
          </w:p>
        </w:tc>
        <w:tc>
          <w:tcPr>
            <w:tcW w:w="691" w:type="dxa"/>
            <w:vMerge/>
            <w:tcBorders>
              <w:tl2br w:val="nil"/>
              <w:tr2bl w:val="nil"/>
            </w:tcBorders>
            <w:vAlign w:val="center"/>
          </w:tcPr>
          <w:p w14:paraId="50E2540C" w14:textId="77777777" w:rsidR="009D12AF" w:rsidRDefault="009D12AF">
            <w:pPr>
              <w:adjustRightInd w:val="0"/>
              <w:spacing w:line="240" w:lineRule="auto"/>
              <w:ind w:firstLineChars="0" w:firstLine="0"/>
              <w:jc w:val="center"/>
              <w:rPr>
                <w:kern w:val="0"/>
                <w:sz w:val="21"/>
              </w:rPr>
            </w:pPr>
          </w:p>
        </w:tc>
      </w:tr>
      <w:tr w:rsidR="009D12AF" w14:paraId="6538F30B" w14:textId="77777777">
        <w:trPr>
          <w:trHeight w:val="397"/>
          <w:jc w:val="center"/>
        </w:trPr>
        <w:tc>
          <w:tcPr>
            <w:tcW w:w="955" w:type="dxa"/>
            <w:vMerge/>
            <w:tcBorders>
              <w:tl2br w:val="nil"/>
              <w:tr2bl w:val="nil"/>
            </w:tcBorders>
            <w:vAlign w:val="center"/>
          </w:tcPr>
          <w:p w14:paraId="5FF10D26" w14:textId="77777777" w:rsidR="009D12AF" w:rsidRDefault="009D12AF">
            <w:pPr>
              <w:adjustRightInd w:val="0"/>
              <w:spacing w:line="240" w:lineRule="auto"/>
              <w:ind w:firstLineChars="0" w:firstLine="0"/>
              <w:jc w:val="center"/>
              <w:rPr>
                <w:kern w:val="0"/>
                <w:sz w:val="21"/>
              </w:rPr>
            </w:pPr>
          </w:p>
        </w:tc>
        <w:tc>
          <w:tcPr>
            <w:tcW w:w="2319" w:type="dxa"/>
            <w:tcBorders>
              <w:tl2br w:val="nil"/>
              <w:tr2bl w:val="nil"/>
            </w:tcBorders>
            <w:vAlign w:val="center"/>
          </w:tcPr>
          <w:p w14:paraId="3D9253A1" w14:textId="77777777" w:rsidR="009D12AF" w:rsidRDefault="00000000">
            <w:pPr>
              <w:adjustRightInd w:val="0"/>
              <w:spacing w:line="240" w:lineRule="auto"/>
              <w:ind w:firstLineChars="0" w:firstLine="0"/>
              <w:jc w:val="center"/>
              <w:rPr>
                <w:sz w:val="21"/>
              </w:rPr>
            </w:pPr>
            <w:r>
              <w:rPr>
                <w:rFonts w:hint="eastAsia"/>
                <w:sz w:val="21"/>
              </w:rPr>
              <w:t>群力村、群力屯、</w:t>
            </w:r>
            <w:r>
              <w:rPr>
                <w:rFonts w:hint="eastAsia"/>
                <w:sz w:val="21"/>
                <w:szCs w:val="21"/>
              </w:rPr>
              <w:t>山咀子村</w:t>
            </w:r>
          </w:p>
        </w:tc>
        <w:tc>
          <w:tcPr>
            <w:tcW w:w="1971" w:type="dxa"/>
            <w:vMerge/>
            <w:tcBorders>
              <w:tl2br w:val="nil"/>
              <w:tr2bl w:val="nil"/>
            </w:tcBorders>
            <w:vAlign w:val="center"/>
          </w:tcPr>
          <w:p w14:paraId="319F25C0" w14:textId="77777777" w:rsidR="009D12AF" w:rsidRDefault="009D12AF">
            <w:pPr>
              <w:adjustRightInd w:val="0"/>
              <w:spacing w:line="240" w:lineRule="auto"/>
              <w:ind w:firstLineChars="0" w:firstLine="0"/>
              <w:jc w:val="center"/>
              <w:rPr>
                <w:sz w:val="21"/>
                <w:szCs w:val="21"/>
              </w:rPr>
            </w:pPr>
          </w:p>
        </w:tc>
        <w:tc>
          <w:tcPr>
            <w:tcW w:w="1843" w:type="dxa"/>
            <w:vMerge/>
            <w:tcBorders>
              <w:tl2br w:val="nil"/>
              <w:tr2bl w:val="nil"/>
            </w:tcBorders>
            <w:vAlign w:val="center"/>
          </w:tcPr>
          <w:p w14:paraId="4177FD8F" w14:textId="77777777" w:rsidR="009D12AF" w:rsidRDefault="009D12AF">
            <w:pPr>
              <w:adjustRightInd w:val="0"/>
              <w:spacing w:line="240" w:lineRule="auto"/>
              <w:ind w:firstLineChars="0" w:firstLine="0"/>
              <w:jc w:val="center"/>
              <w:rPr>
                <w:kern w:val="0"/>
                <w:sz w:val="21"/>
              </w:rPr>
            </w:pPr>
          </w:p>
        </w:tc>
        <w:tc>
          <w:tcPr>
            <w:tcW w:w="811" w:type="dxa"/>
            <w:vMerge/>
            <w:tcBorders>
              <w:tl2br w:val="nil"/>
              <w:tr2bl w:val="nil"/>
            </w:tcBorders>
            <w:vAlign w:val="center"/>
          </w:tcPr>
          <w:p w14:paraId="33472361" w14:textId="77777777" w:rsidR="009D12AF" w:rsidRDefault="009D12AF">
            <w:pPr>
              <w:adjustRightInd w:val="0"/>
              <w:spacing w:line="240" w:lineRule="auto"/>
              <w:ind w:firstLineChars="0" w:firstLine="0"/>
              <w:jc w:val="center"/>
              <w:rPr>
                <w:kern w:val="0"/>
                <w:sz w:val="21"/>
              </w:rPr>
            </w:pPr>
          </w:p>
        </w:tc>
        <w:tc>
          <w:tcPr>
            <w:tcW w:w="691" w:type="dxa"/>
            <w:vMerge/>
            <w:tcBorders>
              <w:tl2br w:val="nil"/>
              <w:tr2bl w:val="nil"/>
            </w:tcBorders>
            <w:vAlign w:val="center"/>
          </w:tcPr>
          <w:p w14:paraId="4B24FE34" w14:textId="77777777" w:rsidR="009D12AF" w:rsidRDefault="009D12AF">
            <w:pPr>
              <w:adjustRightInd w:val="0"/>
              <w:spacing w:line="240" w:lineRule="auto"/>
              <w:ind w:firstLineChars="0" w:firstLine="0"/>
              <w:jc w:val="center"/>
              <w:rPr>
                <w:kern w:val="0"/>
                <w:sz w:val="21"/>
              </w:rPr>
            </w:pPr>
          </w:p>
        </w:tc>
      </w:tr>
      <w:tr w:rsidR="009D12AF" w14:paraId="771BF728" w14:textId="77777777">
        <w:trPr>
          <w:trHeight w:val="397"/>
          <w:jc w:val="center"/>
        </w:trPr>
        <w:tc>
          <w:tcPr>
            <w:tcW w:w="955" w:type="dxa"/>
            <w:tcBorders>
              <w:tl2br w:val="nil"/>
              <w:tr2bl w:val="nil"/>
            </w:tcBorders>
            <w:vAlign w:val="center"/>
          </w:tcPr>
          <w:p w14:paraId="54D0EB40" w14:textId="77777777" w:rsidR="009D12AF" w:rsidRDefault="00000000">
            <w:pPr>
              <w:adjustRightInd w:val="0"/>
              <w:spacing w:line="240" w:lineRule="auto"/>
              <w:ind w:firstLineChars="0" w:firstLine="0"/>
              <w:jc w:val="center"/>
              <w:rPr>
                <w:kern w:val="0"/>
                <w:sz w:val="21"/>
              </w:rPr>
            </w:pPr>
            <w:r>
              <w:rPr>
                <w:rFonts w:hint="eastAsia"/>
                <w:kern w:val="0"/>
                <w:sz w:val="21"/>
              </w:rPr>
              <w:t>噪声</w:t>
            </w:r>
          </w:p>
        </w:tc>
        <w:tc>
          <w:tcPr>
            <w:tcW w:w="2319" w:type="dxa"/>
            <w:tcBorders>
              <w:tl2br w:val="nil"/>
              <w:tr2bl w:val="nil"/>
            </w:tcBorders>
            <w:vAlign w:val="center"/>
          </w:tcPr>
          <w:p w14:paraId="6DDDD28F" w14:textId="77777777" w:rsidR="009D12AF" w:rsidRDefault="00000000">
            <w:pPr>
              <w:adjustRightInd w:val="0"/>
              <w:spacing w:line="240" w:lineRule="auto"/>
              <w:ind w:firstLineChars="0" w:firstLine="0"/>
              <w:jc w:val="center"/>
              <w:rPr>
                <w:sz w:val="21"/>
              </w:rPr>
            </w:pPr>
            <w:r>
              <w:rPr>
                <w:rFonts w:hint="eastAsia"/>
                <w:sz w:val="21"/>
              </w:rPr>
              <w:t>临时沉淀池四周，施工道路监测断面、库区</w:t>
            </w:r>
            <w:r>
              <w:rPr>
                <w:rFonts w:hint="eastAsia"/>
                <w:sz w:val="21"/>
              </w:rPr>
              <w:t xml:space="preserve"> 200 </w:t>
            </w:r>
            <w:r>
              <w:rPr>
                <w:rFonts w:hint="eastAsia"/>
                <w:sz w:val="21"/>
              </w:rPr>
              <w:t>米范围内村庄</w:t>
            </w:r>
          </w:p>
        </w:tc>
        <w:tc>
          <w:tcPr>
            <w:tcW w:w="1971" w:type="dxa"/>
            <w:tcBorders>
              <w:tl2br w:val="nil"/>
              <w:tr2bl w:val="nil"/>
            </w:tcBorders>
            <w:vAlign w:val="center"/>
          </w:tcPr>
          <w:p w14:paraId="71E3AFC2" w14:textId="77777777" w:rsidR="009D12AF" w:rsidRDefault="00000000">
            <w:pPr>
              <w:adjustRightInd w:val="0"/>
              <w:spacing w:line="240" w:lineRule="auto"/>
              <w:ind w:firstLineChars="0" w:firstLine="0"/>
              <w:jc w:val="center"/>
              <w:rPr>
                <w:sz w:val="21"/>
                <w:szCs w:val="21"/>
              </w:rPr>
            </w:pPr>
            <w:r>
              <w:rPr>
                <w:rFonts w:hint="eastAsia"/>
                <w:sz w:val="21"/>
                <w:szCs w:val="21"/>
              </w:rPr>
              <w:t>等效连续</w:t>
            </w:r>
            <w:r>
              <w:rPr>
                <w:rFonts w:hint="eastAsia"/>
                <w:sz w:val="21"/>
                <w:szCs w:val="21"/>
              </w:rPr>
              <w:t xml:space="preserve"> </w:t>
            </w:r>
            <w:r>
              <w:rPr>
                <w:sz w:val="21"/>
                <w:szCs w:val="21"/>
              </w:rPr>
              <w:t xml:space="preserve">A </w:t>
            </w:r>
            <w:r>
              <w:rPr>
                <w:rFonts w:hint="eastAsia"/>
                <w:sz w:val="21"/>
                <w:szCs w:val="21"/>
              </w:rPr>
              <w:t>声级</w:t>
            </w:r>
            <w:r>
              <w:rPr>
                <w:rFonts w:hint="eastAsia"/>
                <w:sz w:val="21"/>
                <w:szCs w:val="21"/>
              </w:rPr>
              <w:t xml:space="preserve"> </w:t>
            </w:r>
            <w:r>
              <w:rPr>
                <w:sz w:val="21"/>
                <w:szCs w:val="21"/>
              </w:rPr>
              <w:t>Leq</w:t>
            </w:r>
            <w:r>
              <w:rPr>
                <w:rFonts w:hint="eastAsia"/>
                <w:sz w:val="21"/>
                <w:szCs w:val="21"/>
              </w:rPr>
              <w:t>。</w:t>
            </w:r>
          </w:p>
        </w:tc>
        <w:tc>
          <w:tcPr>
            <w:tcW w:w="1843" w:type="dxa"/>
            <w:tcBorders>
              <w:tl2br w:val="nil"/>
              <w:tr2bl w:val="nil"/>
            </w:tcBorders>
            <w:vAlign w:val="center"/>
          </w:tcPr>
          <w:p w14:paraId="46DA9066" w14:textId="77777777" w:rsidR="009D12AF" w:rsidRDefault="00000000">
            <w:pPr>
              <w:adjustRightInd w:val="0"/>
              <w:spacing w:line="240" w:lineRule="auto"/>
              <w:ind w:firstLineChars="0" w:firstLine="0"/>
              <w:jc w:val="center"/>
              <w:rPr>
                <w:kern w:val="0"/>
                <w:sz w:val="21"/>
              </w:rPr>
            </w:pPr>
            <w:r>
              <w:rPr>
                <w:rFonts w:hint="eastAsia"/>
                <w:kern w:val="0"/>
                <w:sz w:val="21"/>
              </w:rPr>
              <w:t>施工初期、施工高峰期、施工后期各监测一次，各监测</w:t>
            </w:r>
            <w:r>
              <w:rPr>
                <w:rFonts w:hint="eastAsia"/>
                <w:kern w:val="0"/>
                <w:sz w:val="21"/>
              </w:rPr>
              <w:lastRenderedPageBreak/>
              <w:t>点位施工期间监</w:t>
            </w:r>
            <w:r>
              <w:rPr>
                <w:rFonts w:hint="eastAsia"/>
                <w:kern w:val="0"/>
                <w:sz w:val="21"/>
              </w:rPr>
              <w:t xml:space="preserve"> </w:t>
            </w:r>
          </w:p>
          <w:p w14:paraId="49E27AB0" w14:textId="77777777" w:rsidR="009D12AF" w:rsidRDefault="00000000">
            <w:pPr>
              <w:adjustRightInd w:val="0"/>
              <w:spacing w:line="240" w:lineRule="auto"/>
              <w:ind w:firstLineChars="0" w:firstLine="0"/>
              <w:jc w:val="center"/>
              <w:rPr>
                <w:kern w:val="0"/>
                <w:sz w:val="21"/>
              </w:rPr>
            </w:pPr>
            <w:r>
              <w:rPr>
                <w:rFonts w:hint="eastAsia"/>
                <w:kern w:val="0"/>
                <w:sz w:val="21"/>
              </w:rPr>
              <w:t>测</w:t>
            </w:r>
            <w:r>
              <w:rPr>
                <w:rFonts w:hint="eastAsia"/>
                <w:kern w:val="0"/>
                <w:sz w:val="21"/>
              </w:rPr>
              <w:t xml:space="preserve"> </w:t>
            </w:r>
            <w:r>
              <w:rPr>
                <w:kern w:val="0"/>
                <w:sz w:val="21"/>
              </w:rPr>
              <w:t xml:space="preserve">3 </w:t>
            </w:r>
            <w:r>
              <w:rPr>
                <w:rFonts w:hint="eastAsia"/>
                <w:kern w:val="0"/>
                <w:sz w:val="21"/>
              </w:rPr>
              <w:t>次，每次连续监测</w:t>
            </w:r>
            <w:r>
              <w:rPr>
                <w:rFonts w:hint="eastAsia"/>
                <w:kern w:val="0"/>
                <w:sz w:val="21"/>
              </w:rPr>
              <w:t xml:space="preserve"> </w:t>
            </w:r>
            <w:r>
              <w:rPr>
                <w:kern w:val="0"/>
                <w:sz w:val="21"/>
              </w:rPr>
              <w:t xml:space="preserve">1 </w:t>
            </w:r>
            <w:r>
              <w:rPr>
                <w:rFonts w:hint="eastAsia"/>
                <w:kern w:val="0"/>
                <w:sz w:val="21"/>
              </w:rPr>
              <w:t>天，每天连续监测</w:t>
            </w:r>
            <w:r>
              <w:rPr>
                <w:rFonts w:hint="eastAsia"/>
                <w:kern w:val="0"/>
                <w:sz w:val="21"/>
              </w:rPr>
              <w:t xml:space="preserve"> </w:t>
            </w:r>
            <w:r>
              <w:rPr>
                <w:kern w:val="0"/>
                <w:sz w:val="21"/>
              </w:rPr>
              <w:t xml:space="preserve">24 </w:t>
            </w:r>
            <w:r>
              <w:rPr>
                <w:rFonts w:hint="eastAsia"/>
                <w:kern w:val="0"/>
                <w:sz w:val="21"/>
              </w:rPr>
              <w:t>小时。</w:t>
            </w:r>
          </w:p>
        </w:tc>
        <w:tc>
          <w:tcPr>
            <w:tcW w:w="811" w:type="dxa"/>
            <w:vMerge/>
            <w:tcBorders>
              <w:tl2br w:val="nil"/>
              <w:tr2bl w:val="nil"/>
            </w:tcBorders>
            <w:vAlign w:val="center"/>
          </w:tcPr>
          <w:p w14:paraId="10897F6B" w14:textId="77777777" w:rsidR="009D12AF" w:rsidRDefault="009D12AF">
            <w:pPr>
              <w:adjustRightInd w:val="0"/>
              <w:spacing w:line="240" w:lineRule="auto"/>
              <w:ind w:firstLineChars="0" w:firstLine="0"/>
              <w:jc w:val="center"/>
              <w:rPr>
                <w:kern w:val="0"/>
                <w:sz w:val="21"/>
              </w:rPr>
            </w:pPr>
          </w:p>
        </w:tc>
        <w:tc>
          <w:tcPr>
            <w:tcW w:w="691" w:type="dxa"/>
            <w:vMerge/>
            <w:tcBorders>
              <w:tl2br w:val="nil"/>
              <w:tr2bl w:val="nil"/>
            </w:tcBorders>
            <w:vAlign w:val="center"/>
          </w:tcPr>
          <w:p w14:paraId="05E9D84F" w14:textId="77777777" w:rsidR="009D12AF" w:rsidRDefault="009D12AF">
            <w:pPr>
              <w:adjustRightInd w:val="0"/>
              <w:spacing w:line="240" w:lineRule="auto"/>
              <w:ind w:firstLineChars="0" w:firstLine="0"/>
              <w:jc w:val="center"/>
              <w:rPr>
                <w:kern w:val="0"/>
                <w:sz w:val="21"/>
              </w:rPr>
            </w:pPr>
          </w:p>
        </w:tc>
      </w:tr>
    </w:tbl>
    <w:p w14:paraId="06E5BD09" w14:textId="77777777" w:rsidR="009D12AF" w:rsidRDefault="00000000">
      <w:pPr>
        <w:ind w:firstLine="480"/>
      </w:pPr>
      <w:r>
        <w:rPr>
          <w:rFonts w:hint="eastAsia"/>
        </w:rPr>
        <w:t>2</w:t>
      </w:r>
      <w:r>
        <w:rPr>
          <w:rFonts w:hint="eastAsia"/>
        </w:rPr>
        <w:t>、陆生生态监测</w:t>
      </w:r>
    </w:p>
    <w:p w14:paraId="3691AD5B" w14:textId="77777777" w:rsidR="009D12AF" w:rsidRDefault="00000000">
      <w:pPr>
        <w:ind w:firstLine="480"/>
        <w:jc w:val="left"/>
      </w:pPr>
      <w:r>
        <w:rPr>
          <w:kern w:val="0"/>
          <w:lang w:bidi="ar"/>
        </w:rPr>
        <w:t>项目施工和运营过程中要进行生态监测，在生态敏感区附近开展野生动物监测，重点关注评价区野生动物分布及栖息状况，监测时段和频率是施工期内监测一次，</w:t>
      </w:r>
      <w:r>
        <w:rPr>
          <w:rFonts w:hint="eastAsia"/>
          <w:kern w:val="0"/>
          <w:lang w:bidi="ar"/>
        </w:rPr>
        <w:t>运行期</w:t>
      </w:r>
      <w:r>
        <w:rPr>
          <w:kern w:val="0"/>
          <w:lang w:bidi="ar"/>
        </w:rPr>
        <w:t>每年一次，连续三年。</w:t>
      </w:r>
      <w:r>
        <w:rPr>
          <w:kern w:val="0"/>
          <w:lang w:bidi="ar"/>
        </w:rPr>
        <w:t xml:space="preserve"> </w:t>
      </w:r>
    </w:p>
    <w:p w14:paraId="0DB4408C" w14:textId="77777777" w:rsidR="009D12AF" w:rsidRDefault="00000000">
      <w:pPr>
        <w:ind w:firstLine="480"/>
        <w:jc w:val="left"/>
        <w:rPr>
          <w:kern w:val="0"/>
          <w:lang w:bidi="ar"/>
        </w:rPr>
      </w:pPr>
      <w:r>
        <w:rPr>
          <w:kern w:val="0"/>
          <w:lang w:bidi="ar"/>
        </w:rPr>
        <w:t>施工期应调查监测项目为植物群落变化、动物种类、数量、分布、生态习性及所在生境状况等，重点监测施工活动干扰下生态保护目标的受影响情况。</w:t>
      </w:r>
      <w:r>
        <w:rPr>
          <w:rFonts w:hint="eastAsia"/>
          <w:kern w:val="0"/>
          <w:lang w:bidi="ar"/>
        </w:rPr>
        <w:t>运行期</w:t>
      </w:r>
      <w:r>
        <w:rPr>
          <w:kern w:val="0"/>
          <w:lang w:bidi="ar"/>
        </w:rPr>
        <w:t>监测植被覆盖情况、野生动物种群分布情况，并重点对生态保护目标的实际影响、生态保护措施的有效性及生态修复效果等进行监测。</w:t>
      </w:r>
      <w:r>
        <w:t>生态监测布点图见附图</w:t>
      </w:r>
      <w:r>
        <w:rPr>
          <w:rFonts w:hint="eastAsia"/>
        </w:rPr>
        <w:t>29</w:t>
      </w:r>
      <w:r>
        <w:rPr>
          <w:rFonts w:hint="eastAsia"/>
        </w:rPr>
        <w:t>。</w:t>
      </w:r>
    </w:p>
    <w:p w14:paraId="571CEF15" w14:textId="77777777" w:rsidR="009D12AF" w:rsidRDefault="009D12AF">
      <w:pPr>
        <w:ind w:firstLine="480"/>
        <w:sectPr w:rsidR="009D12AF">
          <w:pgSz w:w="11906" w:h="16838"/>
          <w:pgMar w:top="1440" w:right="1800" w:bottom="1440" w:left="1800" w:header="851" w:footer="992" w:gutter="0"/>
          <w:cols w:space="425"/>
          <w:docGrid w:type="lines" w:linePitch="326"/>
        </w:sectPr>
      </w:pPr>
    </w:p>
    <w:p w14:paraId="0C0CE9A0" w14:textId="77777777" w:rsidR="009D12AF" w:rsidRDefault="00000000">
      <w:pPr>
        <w:adjustRightInd w:val="0"/>
        <w:spacing w:line="240" w:lineRule="auto"/>
        <w:ind w:firstLine="482"/>
        <w:jc w:val="center"/>
        <w:rPr>
          <w:b/>
        </w:rPr>
      </w:pPr>
      <w:r>
        <w:rPr>
          <w:b/>
        </w:rPr>
        <w:lastRenderedPageBreak/>
        <w:t>表</w:t>
      </w:r>
      <w:r>
        <w:rPr>
          <w:b/>
        </w:rPr>
        <w:t>8</w:t>
      </w:r>
      <w:r>
        <w:rPr>
          <w:rFonts w:hint="eastAsia"/>
          <w:b/>
        </w:rPr>
        <w:t>.3</w:t>
      </w:r>
      <w:r>
        <w:rPr>
          <w:b/>
        </w:rPr>
        <w:t>-2</w:t>
      </w:r>
      <w:r>
        <w:rPr>
          <w:rFonts w:hint="eastAsia"/>
          <w:b/>
        </w:rPr>
        <w:t>施工期陆生</w:t>
      </w:r>
      <w:r>
        <w:rPr>
          <w:b/>
        </w:rPr>
        <w:t>生态环境监测计划</w:t>
      </w:r>
    </w:p>
    <w:tbl>
      <w:tblPr>
        <w:tblpPr w:leftFromText="180" w:rightFromText="180" w:vertAnchor="text" w:horzAnchor="margin" w:tblpXSpec="center" w:tblpY="17"/>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163"/>
        <w:gridCol w:w="2052"/>
        <w:gridCol w:w="935"/>
        <w:gridCol w:w="2559"/>
        <w:gridCol w:w="2443"/>
        <w:gridCol w:w="3959"/>
        <w:gridCol w:w="1057"/>
      </w:tblGrid>
      <w:tr w:rsidR="009D12AF" w14:paraId="58C9B030" w14:textId="77777777">
        <w:trPr>
          <w:trHeight w:val="340"/>
          <w:jc w:val="center"/>
        </w:trPr>
        <w:tc>
          <w:tcPr>
            <w:tcW w:w="1134" w:type="pct"/>
            <w:gridSpan w:val="2"/>
            <w:vMerge w:val="restart"/>
            <w:tcBorders>
              <w:tl2br w:val="nil"/>
              <w:tr2bl w:val="nil"/>
            </w:tcBorders>
            <w:vAlign w:val="center"/>
          </w:tcPr>
          <w:p w14:paraId="666B4F4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bookmarkStart w:id="475" w:name="_Hlk155878030"/>
            <w:r>
              <w:rPr>
                <w:rFonts w:ascii="Times New Roman" w:eastAsia="宋体" w:hAnsi="Times New Roman" w:cs="Times New Roman"/>
                <w:snapToGrid w:val="0"/>
                <w:kern w:val="0"/>
                <w:sz w:val="21"/>
                <w:szCs w:val="21"/>
                <w:lang w:eastAsia="en-US"/>
              </w:rPr>
              <w:t>监测对象</w:t>
            </w:r>
          </w:p>
        </w:tc>
        <w:tc>
          <w:tcPr>
            <w:tcW w:w="2095" w:type="pct"/>
            <w:gridSpan w:val="3"/>
            <w:tcBorders>
              <w:tl2br w:val="nil"/>
              <w:tr2bl w:val="nil"/>
            </w:tcBorders>
            <w:vAlign w:val="center"/>
          </w:tcPr>
          <w:p w14:paraId="3DCE354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施工期监测点位</w:t>
            </w:r>
          </w:p>
        </w:tc>
        <w:tc>
          <w:tcPr>
            <w:tcW w:w="1397" w:type="pct"/>
            <w:vMerge w:val="restart"/>
            <w:tcBorders>
              <w:tl2br w:val="nil"/>
              <w:tr2bl w:val="nil"/>
            </w:tcBorders>
            <w:vAlign w:val="center"/>
          </w:tcPr>
          <w:p w14:paraId="2ADFE69A"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监测因子</w:t>
            </w:r>
          </w:p>
        </w:tc>
        <w:tc>
          <w:tcPr>
            <w:tcW w:w="373" w:type="pct"/>
            <w:vMerge w:val="restart"/>
            <w:tcBorders>
              <w:tl2br w:val="nil"/>
              <w:tr2bl w:val="nil"/>
            </w:tcBorders>
            <w:vAlign w:val="center"/>
          </w:tcPr>
          <w:p w14:paraId="6A9E5FA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监测频率</w:t>
            </w:r>
          </w:p>
        </w:tc>
      </w:tr>
      <w:tr w:rsidR="009D12AF" w14:paraId="523B018A" w14:textId="77777777">
        <w:trPr>
          <w:trHeight w:val="340"/>
          <w:jc w:val="center"/>
        </w:trPr>
        <w:tc>
          <w:tcPr>
            <w:tcW w:w="1134" w:type="pct"/>
            <w:gridSpan w:val="2"/>
            <w:vMerge/>
            <w:tcBorders>
              <w:tl2br w:val="nil"/>
              <w:tr2bl w:val="nil"/>
            </w:tcBorders>
            <w:vAlign w:val="center"/>
          </w:tcPr>
          <w:p w14:paraId="4C7905B1"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30" w:type="pct"/>
            <w:tcBorders>
              <w:tl2br w:val="nil"/>
              <w:tr2bl w:val="nil"/>
            </w:tcBorders>
            <w:vAlign w:val="center"/>
          </w:tcPr>
          <w:p w14:paraId="59DC327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点位编号</w:t>
            </w:r>
          </w:p>
        </w:tc>
        <w:tc>
          <w:tcPr>
            <w:tcW w:w="903" w:type="pct"/>
            <w:tcBorders>
              <w:tl2br w:val="nil"/>
              <w:tr2bl w:val="nil"/>
            </w:tcBorders>
            <w:vAlign w:val="center"/>
          </w:tcPr>
          <w:p w14:paraId="6F89C16B"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经度</w:t>
            </w:r>
          </w:p>
        </w:tc>
        <w:tc>
          <w:tcPr>
            <w:tcW w:w="861" w:type="pct"/>
            <w:tcBorders>
              <w:tl2br w:val="nil"/>
              <w:tr2bl w:val="nil"/>
            </w:tcBorders>
            <w:vAlign w:val="center"/>
          </w:tcPr>
          <w:p w14:paraId="12CE282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纬度</w:t>
            </w:r>
          </w:p>
        </w:tc>
        <w:tc>
          <w:tcPr>
            <w:tcW w:w="1397" w:type="pct"/>
            <w:vMerge/>
            <w:tcBorders>
              <w:tl2br w:val="nil"/>
              <w:tr2bl w:val="nil"/>
            </w:tcBorders>
            <w:vAlign w:val="center"/>
          </w:tcPr>
          <w:p w14:paraId="09E7F508"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73" w:type="pct"/>
            <w:vMerge/>
            <w:tcBorders>
              <w:tl2br w:val="nil"/>
              <w:tr2bl w:val="nil"/>
            </w:tcBorders>
            <w:vAlign w:val="center"/>
          </w:tcPr>
          <w:p w14:paraId="22AFED9A"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7C5DCAFC" w14:textId="77777777">
        <w:trPr>
          <w:trHeight w:val="340"/>
          <w:jc w:val="center"/>
        </w:trPr>
        <w:tc>
          <w:tcPr>
            <w:tcW w:w="1134" w:type="pct"/>
            <w:gridSpan w:val="2"/>
            <w:tcBorders>
              <w:tl2br w:val="nil"/>
              <w:tr2bl w:val="nil"/>
            </w:tcBorders>
            <w:vAlign w:val="center"/>
          </w:tcPr>
          <w:p w14:paraId="3CB6E7B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黑龙江海林莲花湖省级自然保护区</w:t>
            </w:r>
          </w:p>
        </w:tc>
        <w:tc>
          <w:tcPr>
            <w:tcW w:w="330" w:type="pct"/>
            <w:tcBorders>
              <w:tl2br w:val="nil"/>
              <w:tr2bl w:val="nil"/>
            </w:tcBorders>
            <w:vAlign w:val="center"/>
          </w:tcPr>
          <w:p w14:paraId="4FE55158"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1</w:t>
            </w:r>
          </w:p>
        </w:tc>
        <w:tc>
          <w:tcPr>
            <w:tcW w:w="903" w:type="pct"/>
            <w:tcBorders>
              <w:tl2br w:val="nil"/>
              <w:tr2bl w:val="nil"/>
            </w:tcBorders>
            <w:vAlign w:val="center"/>
          </w:tcPr>
          <w:p w14:paraId="2B6E775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129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38.97</w:t>
            </w:r>
            <w:r>
              <w:rPr>
                <w:rFonts w:ascii="Times New Roman" w:eastAsia="宋体" w:hAnsi="Times New Roman" w:cs="Times New Roman" w:hint="eastAsia"/>
                <w:color w:val="000000"/>
                <w:sz w:val="21"/>
                <w:szCs w:val="21"/>
              </w:rPr>
              <w:t>″</w:t>
            </w:r>
          </w:p>
        </w:tc>
        <w:tc>
          <w:tcPr>
            <w:tcW w:w="861" w:type="pct"/>
            <w:tcBorders>
              <w:tl2br w:val="nil"/>
              <w:tr2bl w:val="nil"/>
            </w:tcBorders>
            <w:vAlign w:val="center"/>
          </w:tcPr>
          <w:p w14:paraId="47E4D3F7"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44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53</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46.05</w:t>
            </w:r>
            <w:r>
              <w:rPr>
                <w:rFonts w:ascii="Times New Roman" w:eastAsia="宋体" w:hAnsi="Times New Roman" w:cs="Times New Roman" w:hint="eastAsia"/>
                <w:color w:val="000000"/>
                <w:sz w:val="21"/>
                <w:szCs w:val="21"/>
              </w:rPr>
              <w:t>″</w:t>
            </w:r>
          </w:p>
        </w:tc>
        <w:tc>
          <w:tcPr>
            <w:tcW w:w="1397" w:type="pct"/>
            <w:vMerge w:val="restart"/>
            <w:tcBorders>
              <w:tl2br w:val="nil"/>
              <w:tr2bl w:val="nil"/>
            </w:tcBorders>
            <w:vAlign w:val="center"/>
          </w:tcPr>
          <w:p w14:paraId="30A48DA3"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rPr>
              <w:t>植物监测：陆生植物的群落组成、</w:t>
            </w:r>
            <w:r>
              <w:rPr>
                <w:rFonts w:ascii="Times New Roman" w:eastAsia="宋体" w:hAnsi="Times New Roman" w:cs="Times New Roman"/>
                <w:snapToGrid w:val="0"/>
                <w:kern w:val="0"/>
                <w:sz w:val="21"/>
                <w:szCs w:val="21"/>
              </w:rPr>
              <w:t xml:space="preserve"> </w:t>
            </w:r>
            <w:r>
              <w:rPr>
                <w:rFonts w:ascii="Times New Roman" w:eastAsia="宋体" w:hAnsi="Times New Roman" w:cs="Times New Roman"/>
                <w:snapToGrid w:val="0"/>
                <w:kern w:val="0"/>
                <w:sz w:val="21"/>
                <w:szCs w:val="21"/>
              </w:rPr>
              <w:t>种群密度、覆盖度、外来种、重点保护野生植物、生物多样性和生境质量的变化；</w:t>
            </w:r>
          </w:p>
          <w:p w14:paraId="33DA7710" w14:textId="77777777" w:rsidR="009D12AF" w:rsidRDefault="00000000">
            <w:pPr>
              <w:widowControl/>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rPr>
              <w:t>动物监测：陆生动物的种类、分布、密度和季节动态变化，重点保护野生动物的种类、数量、栖息地、</w:t>
            </w:r>
            <w:r>
              <w:rPr>
                <w:rFonts w:ascii="Times New Roman" w:eastAsia="宋体" w:hAnsi="Times New Roman" w:cs="Times New Roman"/>
                <w:snapToGrid w:val="0"/>
                <w:kern w:val="0"/>
                <w:sz w:val="21"/>
                <w:szCs w:val="21"/>
              </w:rPr>
              <w:t xml:space="preserve"> </w:t>
            </w:r>
            <w:r>
              <w:rPr>
                <w:rFonts w:ascii="Times New Roman" w:eastAsia="宋体" w:hAnsi="Times New Roman" w:cs="Times New Roman"/>
                <w:snapToGrid w:val="0"/>
                <w:kern w:val="0"/>
                <w:sz w:val="21"/>
                <w:szCs w:val="21"/>
              </w:rPr>
              <w:t>觅食地和生境质量变化等。</w:t>
            </w:r>
          </w:p>
        </w:tc>
        <w:tc>
          <w:tcPr>
            <w:tcW w:w="373" w:type="pct"/>
            <w:vMerge w:val="restart"/>
            <w:tcBorders>
              <w:tl2br w:val="nil"/>
              <w:tr2bl w:val="nil"/>
            </w:tcBorders>
            <w:vAlign w:val="center"/>
          </w:tcPr>
          <w:p w14:paraId="5F167A4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rPr>
              <w:t>施工期第一年、第二年各监测一次</w:t>
            </w:r>
          </w:p>
        </w:tc>
      </w:tr>
      <w:tr w:rsidR="009D12AF" w14:paraId="042FBC5B" w14:textId="77777777">
        <w:trPr>
          <w:trHeight w:val="340"/>
          <w:jc w:val="center"/>
        </w:trPr>
        <w:tc>
          <w:tcPr>
            <w:tcW w:w="1134" w:type="pct"/>
            <w:gridSpan w:val="2"/>
            <w:tcBorders>
              <w:tl2br w:val="nil"/>
              <w:tr2bl w:val="nil"/>
            </w:tcBorders>
            <w:vAlign w:val="center"/>
          </w:tcPr>
          <w:p w14:paraId="3541138B"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黑龙江省莲花湖地质公园</w:t>
            </w:r>
          </w:p>
        </w:tc>
        <w:tc>
          <w:tcPr>
            <w:tcW w:w="330" w:type="pct"/>
            <w:tcBorders>
              <w:tl2br w:val="nil"/>
              <w:tr2bl w:val="nil"/>
            </w:tcBorders>
            <w:vAlign w:val="center"/>
          </w:tcPr>
          <w:p w14:paraId="1C9787DA"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2</w:t>
            </w:r>
          </w:p>
        </w:tc>
        <w:tc>
          <w:tcPr>
            <w:tcW w:w="903" w:type="pct"/>
            <w:tcBorders>
              <w:tl2br w:val="nil"/>
              <w:tr2bl w:val="nil"/>
            </w:tcBorders>
            <w:vAlign w:val="center"/>
          </w:tcPr>
          <w:p w14:paraId="7C436D3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129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3.96</w:t>
            </w:r>
            <w:r>
              <w:rPr>
                <w:rFonts w:ascii="Times New Roman" w:eastAsia="宋体" w:hAnsi="Times New Roman" w:cs="Times New Roman" w:hint="eastAsia"/>
                <w:color w:val="000000"/>
                <w:sz w:val="21"/>
                <w:szCs w:val="21"/>
              </w:rPr>
              <w:t>″</w:t>
            </w:r>
          </w:p>
        </w:tc>
        <w:tc>
          <w:tcPr>
            <w:tcW w:w="861" w:type="pct"/>
            <w:tcBorders>
              <w:tl2br w:val="nil"/>
              <w:tr2bl w:val="nil"/>
            </w:tcBorders>
            <w:vAlign w:val="center"/>
          </w:tcPr>
          <w:p w14:paraId="41C0D714"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44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53</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32.50</w:t>
            </w:r>
            <w:r>
              <w:rPr>
                <w:rFonts w:ascii="Times New Roman" w:eastAsia="宋体" w:hAnsi="Times New Roman" w:cs="Times New Roman" w:hint="eastAsia"/>
                <w:color w:val="000000"/>
                <w:sz w:val="21"/>
                <w:szCs w:val="21"/>
              </w:rPr>
              <w:t>″</w:t>
            </w:r>
          </w:p>
        </w:tc>
        <w:tc>
          <w:tcPr>
            <w:tcW w:w="1397" w:type="pct"/>
            <w:vMerge/>
            <w:tcBorders>
              <w:tl2br w:val="nil"/>
              <w:tr2bl w:val="nil"/>
            </w:tcBorders>
            <w:vAlign w:val="center"/>
          </w:tcPr>
          <w:p w14:paraId="1E07F1DC"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73" w:type="pct"/>
            <w:vMerge/>
            <w:tcBorders>
              <w:tl2br w:val="nil"/>
              <w:tr2bl w:val="nil"/>
            </w:tcBorders>
            <w:vAlign w:val="center"/>
          </w:tcPr>
          <w:p w14:paraId="31D6455D"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719D5756" w14:textId="77777777">
        <w:trPr>
          <w:trHeight w:val="340"/>
          <w:jc w:val="center"/>
        </w:trPr>
        <w:tc>
          <w:tcPr>
            <w:tcW w:w="1134" w:type="pct"/>
            <w:gridSpan w:val="2"/>
            <w:tcBorders>
              <w:tl2br w:val="nil"/>
              <w:tr2bl w:val="nil"/>
            </w:tcBorders>
            <w:vAlign w:val="center"/>
          </w:tcPr>
          <w:p w14:paraId="3659B20C"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海林莲花湖风景名胜区</w:t>
            </w:r>
          </w:p>
        </w:tc>
        <w:tc>
          <w:tcPr>
            <w:tcW w:w="330" w:type="pct"/>
            <w:tcBorders>
              <w:tl2br w:val="nil"/>
              <w:tr2bl w:val="nil"/>
            </w:tcBorders>
            <w:vAlign w:val="center"/>
          </w:tcPr>
          <w:p w14:paraId="2A1038AC"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3</w:t>
            </w:r>
          </w:p>
        </w:tc>
        <w:tc>
          <w:tcPr>
            <w:tcW w:w="903" w:type="pct"/>
            <w:tcBorders>
              <w:tl2br w:val="nil"/>
              <w:tr2bl w:val="nil"/>
            </w:tcBorders>
            <w:vAlign w:val="center"/>
          </w:tcPr>
          <w:p w14:paraId="4B5AEEC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129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47.14</w:t>
            </w:r>
            <w:r>
              <w:rPr>
                <w:rFonts w:ascii="Times New Roman" w:eastAsia="宋体" w:hAnsi="Times New Roman" w:cs="Times New Roman" w:hint="eastAsia"/>
                <w:color w:val="000000"/>
                <w:sz w:val="21"/>
                <w:szCs w:val="21"/>
              </w:rPr>
              <w:t>″</w:t>
            </w:r>
          </w:p>
        </w:tc>
        <w:tc>
          <w:tcPr>
            <w:tcW w:w="861" w:type="pct"/>
            <w:tcBorders>
              <w:tl2br w:val="nil"/>
              <w:tr2bl w:val="nil"/>
            </w:tcBorders>
            <w:vAlign w:val="center"/>
          </w:tcPr>
          <w:p w14:paraId="7A884A3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44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32.32</w:t>
            </w:r>
            <w:r>
              <w:rPr>
                <w:rFonts w:ascii="Times New Roman" w:eastAsia="宋体" w:hAnsi="Times New Roman" w:cs="Times New Roman" w:hint="eastAsia"/>
                <w:color w:val="000000"/>
                <w:sz w:val="21"/>
                <w:szCs w:val="21"/>
              </w:rPr>
              <w:t>″</w:t>
            </w:r>
          </w:p>
        </w:tc>
        <w:tc>
          <w:tcPr>
            <w:tcW w:w="1397" w:type="pct"/>
            <w:vMerge/>
            <w:tcBorders>
              <w:tl2br w:val="nil"/>
              <w:tr2bl w:val="nil"/>
            </w:tcBorders>
            <w:vAlign w:val="center"/>
          </w:tcPr>
          <w:p w14:paraId="599544ED"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73" w:type="pct"/>
            <w:vMerge/>
            <w:tcBorders>
              <w:tl2br w:val="nil"/>
              <w:tr2bl w:val="nil"/>
            </w:tcBorders>
            <w:vAlign w:val="center"/>
          </w:tcPr>
          <w:p w14:paraId="4E82239F"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1774A78F" w14:textId="77777777">
        <w:trPr>
          <w:trHeight w:val="340"/>
          <w:jc w:val="center"/>
        </w:trPr>
        <w:tc>
          <w:tcPr>
            <w:tcW w:w="1134" w:type="pct"/>
            <w:gridSpan w:val="2"/>
            <w:tcBorders>
              <w:tl2br w:val="nil"/>
              <w:tr2bl w:val="nil"/>
            </w:tcBorders>
            <w:vAlign w:val="center"/>
          </w:tcPr>
          <w:p w14:paraId="3C2C7082"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威虎山国家森林公园</w:t>
            </w:r>
          </w:p>
        </w:tc>
        <w:tc>
          <w:tcPr>
            <w:tcW w:w="330" w:type="pct"/>
            <w:tcBorders>
              <w:tl2br w:val="nil"/>
              <w:tr2bl w:val="nil"/>
            </w:tcBorders>
            <w:vAlign w:val="center"/>
          </w:tcPr>
          <w:p w14:paraId="0FE50538"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4</w:t>
            </w:r>
          </w:p>
        </w:tc>
        <w:tc>
          <w:tcPr>
            <w:tcW w:w="903" w:type="pct"/>
            <w:tcBorders>
              <w:tl2br w:val="nil"/>
              <w:tr2bl w:val="nil"/>
            </w:tcBorders>
            <w:vAlign w:val="center"/>
          </w:tcPr>
          <w:p w14:paraId="6005EE9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129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7.79</w:t>
            </w:r>
            <w:r>
              <w:rPr>
                <w:rFonts w:ascii="Times New Roman" w:eastAsia="宋体" w:hAnsi="Times New Roman" w:cs="Times New Roman" w:hint="eastAsia"/>
                <w:color w:val="000000"/>
                <w:sz w:val="21"/>
                <w:szCs w:val="21"/>
              </w:rPr>
              <w:t>″</w:t>
            </w:r>
          </w:p>
        </w:tc>
        <w:tc>
          <w:tcPr>
            <w:tcW w:w="861" w:type="pct"/>
            <w:tcBorders>
              <w:tl2br w:val="nil"/>
              <w:tr2bl w:val="nil"/>
            </w:tcBorders>
            <w:vAlign w:val="center"/>
          </w:tcPr>
          <w:p w14:paraId="5E9EE80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44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36.96</w:t>
            </w:r>
            <w:r>
              <w:rPr>
                <w:rFonts w:ascii="Times New Roman" w:eastAsia="宋体" w:hAnsi="Times New Roman" w:cs="Times New Roman" w:hint="eastAsia"/>
                <w:color w:val="000000"/>
                <w:sz w:val="21"/>
                <w:szCs w:val="21"/>
              </w:rPr>
              <w:t>″</w:t>
            </w:r>
          </w:p>
        </w:tc>
        <w:tc>
          <w:tcPr>
            <w:tcW w:w="1397" w:type="pct"/>
            <w:vMerge/>
            <w:tcBorders>
              <w:tl2br w:val="nil"/>
              <w:tr2bl w:val="nil"/>
            </w:tcBorders>
            <w:vAlign w:val="center"/>
          </w:tcPr>
          <w:p w14:paraId="11373D57"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73" w:type="pct"/>
            <w:vMerge/>
            <w:tcBorders>
              <w:tl2br w:val="nil"/>
              <w:tr2bl w:val="nil"/>
            </w:tcBorders>
            <w:vAlign w:val="center"/>
          </w:tcPr>
          <w:p w14:paraId="0F38F751"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7BFA5F5E" w14:textId="77777777">
        <w:trPr>
          <w:trHeight w:val="340"/>
          <w:jc w:val="center"/>
        </w:trPr>
        <w:tc>
          <w:tcPr>
            <w:tcW w:w="1134" w:type="pct"/>
            <w:gridSpan w:val="2"/>
            <w:tcBorders>
              <w:tl2br w:val="nil"/>
              <w:tr2bl w:val="nil"/>
            </w:tcBorders>
            <w:vAlign w:val="center"/>
          </w:tcPr>
          <w:p w14:paraId="714CD73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rPr>
              <w:t>生态保护红线</w:t>
            </w:r>
          </w:p>
        </w:tc>
        <w:tc>
          <w:tcPr>
            <w:tcW w:w="330" w:type="pct"/>
            <w:tcBorders>
              <w:tl2br w:val="nil"/>
              <w:tr2bl w:val="nil"/>
            </w:tcBorders>
            <w:vAlign w:val="center"/>
          </w:tcPr>
          <w:p w14:paraId="2BE930A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5</w:t>
            </w:r>
          </w:p>
        </w:tc>
        <w:tc>
          <w:tcPr>
            <w:tcW w:w="903" w:type="pct"/>
            <w:tcBorders>
              <w:tl2br w:val="nil"/>
              <w:tr2bl w:val="nil"/>
            </w:tcBorders>
            <w:vAlign w:val="center"/>
          </w:tcPr>
          <w:p w14:paraId="2BFC17D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129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47.55</w:t>
            </w:r>
            <w:r>
              <w:rPr>
                <w:rFonts w:ascii="Times New Roman" w:eastAsia="宋体" w:hAnsi="Times New Roman" w:cs="Times New Roman" w:hint="eastAsia"/>
                <w:snapToGrid w:val="0"/>
                <w:kern w:val="0"/>
                <w:sz w:val="21"/>
                <w:szCs w:val="21"/>
                <w:lang w:eastAsia="en-US"/>
              </w:rPr>
              <w:t>″</w:t>
            </w:r>
          </w:p>
        </w:tc>
        <w:tc>
          <w:tcPr>
            <w:tcW w:w="861" w:type="pct"/>
            <w:tcBorders>
              <w:tl2br w:val="nil"/>
              <w:tr2bl w:val="nil"/>
            </w:tcBorders>
            <w:vAlign w:val="center"/>
          </w:tcPr>
          <w:p w14:paraId="012C3EAC"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44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2.68</w:t>
            </w:r>
            <w:r>
              <w:rPr>
                <w:rFonts w:ascii="Times New Roman" w:eastAsia="宋体" w:hAnsi="Times New Roman" w:cs="Times New Roman" w:hint="eastAsia"/>
                <w:snapToGrid w:val="0"/>
                <w:kern w:val="0"/>
                <w:sz w:val="21"/>
                <w:szCs w:val="21"/>
                <w:lang w:eastAsia="en-US"/>
              </w:rPr>
              <w:t>″</w:t>
            </w:r>
          </w:p>
        </w:tc>
        <w:tc>
          <w:tcPr>
            <w:tcW w:w="1397" w:type="pct"/>
            <w:vMerge/>
            <w:tcBorders>
              <w:tl2br w:val="nil"/>
              <w:tr2bl w:val="nil"/>
            </w:tcBorders>
            <w:vAlign w:val="center"/>
          </w:tcPr>
          <w:p w14:paraId="196D079B"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73" w:type="pct"/>
            <w:vMerge/>
            <w:tcBorders>
              <w:tl2br w:val="nil"/>
              <w:tr2bl w:val="nil"/>
            </w:tcBorders>
            <w:vAlign w:val="center"/>
          </w:tcPr>
          <w:p w14:paraId="06C984DA"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2C597333" w14:textId="77777777">
        <w:trPr>
          <w:trHeight w:val="340"/>
          <w:jc w:val="center"/>
        </w:trPr>
        <w:tc>
          <w:tcPr>
            <w:tcW w:w="1134" w:type="pct"/>
            <w:gridSpan w:val="2"/>
            <w:tcBorders>
              <w:tl2br w:val="nil"/>
              <w:tr2bl w:val="nil"/>
            </w:tcBorders>
            <w:vAlign w:val="center"/>
          </w:tcPr>
          <w:p w14:paraId="4F299C3C"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永久基本农田</w:t>
            </w:r>
          </w:p>
        </w:tc>
        <w:tc>
          <w:tcPr>
            <w:tcW w:w="330" w:type="pct"/>
            <w:tcBorders>
              <w:tl2br w:val="nil"/>
              <w:tr2bl w:val="nil"/>
            </w:tcBorders>
            <w:vAlign w:val="center"/>
          </w:tcPr>
          <w:p w14:paraId="0A5B8E6E"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6</w:t>
            </w:r>
          </w:p>
        </w:tc>
        <w:tc>
          <w:tcPr>
            <w:tcW w:w="903" w:type="pct"/>
            <w:tcBorders>
              <w:tl2br w:val="nil"/>
              <w:tr2bl w:val="nil"/>
            </w:tcBorders>
            <w:vAlign w:val="center"/>
          </w:tcPr>
          <w:p w14:paraId="7573C34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129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38</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50.64</w:t>
            </w:r>
            <w:r>
              <w:rPr>
                <w:rFonts w:ascii="Times New Roman" w:eastAsia="宋体" w:hAnsi="Times New Roman" w:cs="Times New Roman" w:hint="eastAsia"/>
                <w:color w:val="000000"/>
                <w:sz w:val="21"/>
                <w:szCs w:val="21"/>
              </w:rPr>
              <w:t>″</w:t>
            </w:r>
          </w:p>
        </w:tc>
        <w:tc>
          <w:tcPr>
            <w:tcW w:w="861" w:type="pct"/>
            <w:tcBorders>
              <w:tl2br w:val="nil"/>
              <w:tr2bl w:val="nil"/>
            </w:tcBorders>
            <w:vAlign w:val="center"/>
          </w:tcPr>
          <w:p w14:paraId="7516CF1B"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44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53</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36.82</w:t>
            </w:r>
            <w:r>
              <w:rPr>
                <w:rFonts w:ascii="Times New Roman" w:eastAsia="宋体" w:hAnsi="Times New Roman" w:cs="Times New Roman" w:hint="eastAsia"/>
                <w:color w:val="000000"/>
                <w:sz w:val="21"/>
                <w:szCs w:val="21"/>
              </w:rPr>
              <w:t>″</w:t>
            </w:r>
          </w:p>
        </w:tc>
        <w:tc>
          <w:tcPr>
            <w:tcW w:w="1397" w:type="pct"/>
            <w:vMerge/>
            <w:tcBorders>
              <w:tl2br w:val="nil"/>
              <w:tr2bl w:val="nil"/>
            </w:tcBorders>
            <w:vAlign w:val="center"/>
          </w:tcPr>
          <w:p w14:paraId="07144310"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73" w:type="pct"/>
            <w:vMerge/>
            <w:tcBorders>
              <w:tl2br w:val="nil"/>
              <w:tr2bl w:val="nil"/>
            </w:tcBorders>
            <w:vAlign w:val="center"/>
          </w:tcPr>
          <w:p w14:paraId="2F5D60DB"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00C7975A" w14:textId="77777777">
        <w:trPr>
          <w:trHeight w:val="340"/>
          <w:jc w:val="center"/>
        </w:trPr>
        <w:tc>
          <w:tcPr>
            <w:tcW w:w="1134" w:type="pct"/>
            <w:gridSpan w:val="2"/>
            <w:tcBorders>
              <w:tl2br w:val="nil"/>
              <w:tr2bl w:val="nil"/>
            </w:tcBorders>
            <w:vAlign w:val="center"/>
          </w:tcPr>
          <w:p w14:paraId="7EA5237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黑土地</w:t>
            </w:r>
          </w:p>
        </w:tc>
        <w:tc>
          <w:tcPr>
            <w:tcW w:w="330" w:type="pct"/>
            <w:tcBorders>
              <w:tl2br w:val="nil"/>
              <w:tr2bl w:val="nil"/>
            </w:tcBorders>
            <w:vAlign w:val="center"/>
          </w:tcPr>
          <w:p w14:paraId="204FB347"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7</w:t>
            </w:r>
          </w:p>
        </w:tc>
        <w:tc>
          <w:tcPr>
            <w:tcW w:w="903" w:type="pct"/>
            <w:tcBorders>
              <w:tl2br w:val="nil"/>
              <w:tr2bl w:val="nil"/>
            </w:tcBorders>
            <w:vAlign w:val="center"/>
          </w:tcPr>
          <w:p w14:paraId="2C9D734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129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38</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34.58</w:t>
            </w:r>
            <w:r>
              <w:rPr>
                <w:rFonts w:ascii="Times New Roman" w:eastAsia="宋体" w:hAnsi="Times New Roman" w:cs="Times New Roman" w:hint="eastAsia"/>
                <w:color w:val="000000"/>
                <w:sz w:val="21"/>
                <w:szCs w:val="21"/>
              </w:rPr>
              <w:t>″</w:t>
            </w:r>
          </w:p>
        </w:tc>
        <w:tc>
          <w:tcPr>
            <w:tcW w:w="861" w:type="pct"/>
            <w:tcBorders>
              <w:tl2br w:val="nil"/>
              <w:tr2bl w:val="nil"/>
            </w:tcBorders>
            <w:vAlign w:val="center"/>
          </w:tcPr>
          <w:p w14:paraId="2F5B2A87"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44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53</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53.03</w:t>
            </w:r>
            <w:r>
              <w:rPr>
                <w:rFonts w:ascii="Times New Roman" w:eastAsia="宋体" w:hAnsi="Times New Roman" w:cs="Times New Roman" w:hint="eastAsia"/>
                <w:color w:val="000000"/>
                <w:sz w:val="21"/>
                <w:szCs w:val="21"/>
              </w:rPr>
              <w:t>″</w:t>
            </w:r>
          </w:p>
        </w:tc>
        <w:tc>
          <w:tcPr>
            <w:tcW w:w="1397" w:type="pct"/>
            <w:vMerge/>
            <w:tcBorders>
              <w:tl2br w:val="nil"/>
              <w:tr2bl w:val="nil"/>
            </w:tcBorders>
            <w:vAlign w:val="center"/>
          </w:tcPr>
          <w:p w14:paraId="577B536F"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73" w:type="pct"/>
            <w:vMerge/>
            <w:tcBorders>
              <w:tl2br w:val="nil"/>
              <w:tr2bl w:val="nil"/>
            </w:tcBorders>
            <w:vAlign w:val="center"/>
          </w:tcPr>
          <w:p w14:paraId="313CB3B9"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38B421E7" w14:textId="77777777">
        <w:trPr>
          <w:trHeight w:val="340"/>
          <w:jc w:val="center"/>
        </w:trPr>
        <w:tc>
          <w:tcPr>
            <w:tcW w:w="1134" w:type="pct"/>
            <w:gridSpan w:val="2"/>
            <w:tcBorders>
              <w:tl2br w:val="nil"/>
              <w:tr2bl w:val="nil"/>
            </w:tcBorders>
            <w:vAlign w:val="center"/>
          </w:tcPr>
          <w:p w14:paraId="040614B1"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rPr>
              <w:t>生态公益林</w:t>
            </w:r>
          </w:p>
        </w:tc>
        <w:tc>
          <w:tcPr>
            <w:tcW w:w="330" w:type="pct"/>
            <w:tcBorders>
              <w:tl2br w:val="nil"/>
              <w:tr2bl w:val="nil"/>
            </w:tcBorders>
            <w:vAlign w:val="center"/>
          </w:tcPr>
          <w:p w14:paraId="7854783B"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8</w:t>
            </w:r>
          </w:p>
        </w:tc>
        <w:tc>
          <w:tcPr>
            <w:tcW w:w="903" w:type="pct"/>
            <w:tcBorders>
              <w:tl2br w:val="nil"/>
              <w:tr2bl w:val="nil"/>
            </w:tcBorders>
            <w:vAlign w:val="center"/>
          </w:tcPr>
          <w:p w14:paraId="5B956208"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129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50.27</w:t>
            </w:r>
            <w:r>
              <w:rPr>
                <w:rFonts w:ascii="Times New Roman" w:eastAsia="宋体" w:hAnsi="Times New Roman" w:cs="Times New Roman" w:hint="eastAsia"/>
                <w:color w:val="000000"/>
                <w:sz w:val="21"/>
                <w:szCs w:val="21"/>
              </w:rPr>
              <w:t>″</w:t>
            </w:r>
          </w:p>
        </w:tc>
        <w:tc>
          <w:tcPr>
            <w:tcW w:w="861" w:type="pct"/>
            <w:tcBorders>
              <w:tl2br w:val="nil"/>
              <w:tr2bl w:val="nil"/>
            </w:tcBorders>
            <w:vAlign w:val="center"/>
          </w:tcPr>
          <w:p w14:paraId="0CDEAB6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44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53</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52.94</w:t>
            </w:r>
            <w:r>
              <w:rPr>
                <w:rFonts w:ascii="Times New Roman" w:eastAsia="宋体" w:hAnsi="Times New Roman" w:cs="Times New Roman" w:hint="eastAsia"/>
                <w:color w:val="000000"/>
                <w:sz w:val="21"/>
                <w:szCs w:val="21"/>
              </w:rPr>
              <w:t>″</w:t>
            </w:r>
          </w:p>
        </w:tc>
        <w:tc>
          <w:tcPr>
            <w:tcW w:w="1397" w:type="pct"/>
            <w:vMerge/>
            <w:tcBorders>
              <w:tl2br w:val="nil"/>
              <w:tr2bl w:val="nil"/>
            </w:tcBorders>
            <w:vAlign w:val="center"/>
          </w:tcPr>
          <w:p w14:paraId="5561F70A"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73" w:type="pct"/>
            <w:vMerge/>
            <w:tcBorders>
              <w:tl2br w:val="nil"/>
              <w:tr2bl w:val="nil"/>
            </w:tcBorders>
            <w:vAlign w:val="center"/>
          </w:tcPr>
          <w:p w14:paraId="2A4F2110"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06ACFC09" w14:textId="77777777">
        <w:trPr>
          <w:trHeight w:val="340"/>
          <w:jc w:val="center"/>
        </w:trPr>
        <w:tc>
          <w:tcPr>
            <w:tcW w:w="410" w:type="pct"/>
            <w:vMerge w:val="restart"/>
            <w:tcBorders>
              <w:tl2br w:val="nil"/>
              <w:tr2bl w:val="nil"/>
            </w:tcBorders>
            <w:vAlign w:val="center"/>
          </w:tcPr>
          <w:p w14:paraId="71857282"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rPr>
              <w:t>重点野生保护植物生境</w:t>
            </w:r>
          </w:p>
        </w:tc>
        <w:tc>
          <w:tcPr>
            <w:tcW w:w="724" w:type="pct"/>
            <w:tcBorders>
              <w:tl2br w:val="nil"/>
              <w:tr2bl w:val="nil"/>
            </w:tcBorders>
            <w:vAlign w:val="center"/>
          </w:tcPr>
          <w:p w14:paraId="2786CC08"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rPr>
              <w:t>红松</w:t>
            </w:r>
          </w:p>
        </w:tc>
        <w:tc>
          <w:tcPr>
            <w:tcW w:w="330" w:type="pct"/>
            <w:tcBorders>
              <w:tl2br w:val="nil"/>
              <w:tr2bl w:val="nil"/>
            </w:tcBorders>
            <w:vAlign w:val="center"/>
          </w:tcPr>
          <w:p w14:paraId="794E0A79"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9</w:t>
            </w:r>
          </w:p>
        </w:tc>
        <w:tc>
          <w:tcPr>
            <w:tcW w:w="903" w:type="pct"/>
            <w:tcBorders>
              <w:tl2br w:val="nil"/>
              <w:tr2bl w:val="nil"/>
            </w:tcBorders>
            <w:vAlign w:val="center"/>
          </w:tcPr>
          <w:p w14:paraId="41F4AD4E"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129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38</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25.47</w:t>
            </w:r>
            <w:r>
              <w:rPr>
                <w:rFonts w:ascii="Times New Roman" w:eastAsia="宋体" w:hAnsi="Times New Roman" w:cs="Times New Roman" w:hint="eastAsia"/>
                <w:color w:val="000000"/>
                <w:sz w:val="21"/>
                <w:szCs w:val="21"/>
              </w:rPr>
              <w:t>″</w:t>
            </w:r>
          </w:p>
        </w:tc>
        <w:tc>
          <w:tcPr>
            <w:tcW w:w="861" w:type="pct"/>
            <w:tcBorders>
              <w:tl2br w:val="nil"/>
              <w:tr2bl w:val="nil"/>
            </w:tcBorders>
            <w:vAlign w:val="center"/>
          </w:tcPr>
          <w:p w14:paraId="62A97229"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44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53</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46.63</w:t>
            </w:r>
            <w:r>
              <w:rPr>
                <w:rFonts w:ascii="Times New Roman" w:eastAsia="宋体" w:hAnsi="Times New Roman" w:cs="Times New Roman" w:hint="eastAsia"/>
                <w:color w:val="000000"/>
                <w:sz w:val="21"/>
                <w:szCs w:val="21"/>
              </w:rPr>
              <w:t>″</w:t>
            </w:r>
          </w:p>
        </w:tc>
        <w:tc>
          <w:tcPr>
            <w:tcW w:w="1397" w:type="pct"/>
            <w:vMerge/>
            <w:tcBorders>
              <w:tl2br w:val="nil"/>
              <w:tr2bl w:val="nil"/>
            </w:tcBorders>
            <w:vAlign w:val="center"/>
          </w:tcPr>
          <w:p w14:paraId="198D6D28"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73" w:type="pct"/>
            <w:vMerge/>
            <w:tcBorders>
              <w:tl2br w:val="nil"/>
              <w:tr2bl w:val="nil"/>
            </w:tcBorders>
            <w:vAlign w:val="center"/>
          </w:tcPr>
          <w:p w14:paraId="61A15E56"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38705EE1" w14:textId="77777777">
        <w:trPr>
          <w:trHeight w:val="340"/>
          <w:jc w:val="center"/>
        </w:trPr>
        <w:tc>
          <w:tcPr>
            <w:tcW w:w="410" w:type="pct"/>
            <w:vMerge/>
            <w:tcBorders>
              <w:tl2br w:val="nil"/>
              <w:tr2bl w:val="nil"/>
            </w:tcBorders>
            <w:vAlign w:val="center"/>
          </w:tcPr>
          <w:p w14:paraId="354DA33C"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724" w:type="pct"/>
            <w:tcBorders>
              <w:tl2br w:val="nil"/>
              <w:tr2bl w:val="nil"/>
            </w:tcBorders>
            <w:vAlign w:val="center"/>
          </w:tcPr>
          <w:p w14:paraId="7E7C16F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黄檗</w:t>
            </w:r>
          </w:p>
        </w:tc>
        <w:tc>
          <w:tcPr>
            <w:tcW w:w="330" w:type="pct"/>
            <w:tcBorders>
              <w:tl2br w:val="nil"/>
              <w:tr2bl w:val="nil"/>
            </w:tcBorders>
            <w:vAlign w:val="center"/>
          </w:tcPr>
          <w:p w14:paraId="79896687"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1</w:t>
            </w:r>
            <w:r>
              <w:rPr>
                <w:rFonts w:ascii="Times New Roman" w:eastAsia="宋体" w:hAnsi="Times New Roman" w:cs="Times New Roman"/>
                <w:snapToGrid w:val="0"/>
                <w:kern w:val="0"/>
                <w:sz w:val="21"/>
                <w:szCs w:val="21"/>
              </w:rPr>
              <w:t>0</w:t>
            </w:r>
          </w:p>
        </w:tc>
        <w:tc>
          <w:tcPr>
            <w:tcW w:w="903" w:type="pct"/>
            <w:tcBorders>
              <w:tl2br w:val="nil"/>
              <w:tr2bl w:val="nil"/>
            </w:tcBorders>
            <w:vAlign w:val="center"/>
          </w:tcPr>
          <w:p w14:paraId="272F4BCB"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129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55.05</w:t>
            </w:r>
            <w:r>
              <w:rPr>
                <w:rFonts w:ascii="Times New Roman" w:eastAsia="宋体" w:hAnsi="Times New Roman" w:cs="Times New Roman" w:hint="eastAsia"/>
                <w:color w:val="000000"/>
                <w:sz w:val="21"/>
                <w:szCs w:val="21"/>
              </w:rPr>
              <w:t>″</w:t>
            </w:r>
          </w:p>
        </w:tc>
        <w:tc>
          <w:tcPr>
            <w:tcW w:w="861" w:type="pct"/>
            <w:tcBorders>
              <w:tl2br w:val="nil"/>
              <w:tr2bl w:val="nil"/>
            </w:tcBorders>
            <w:vAlign w:val="center"/>
          </w:tcPr>
          <w:p w14:paraId="5C7B833C"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44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3.56</w:t>
            </w:r>
            <w:r>
              <w:rPr>
                <w:rFonts w:ascii="Times New Roman" w:eastAsia="宋体" w:hAnsi="Times New Roman" w:cs="Times New Roman" w:hint="eastAsia"/>
                <w:color w:val="000000"/>
                <w:sz w:val="21"/>
                <w:szCs w:val="21"/>
              </w:rPr>
              <w:t>″</w:t>
            </w:r>
          </w:p>
        </w:tc>
        <w:tc>
          <w:tcPr>
            <w:tcW w:w="1397" w:type="pct"/>
            <w:vMerge/>
            <w:tcBorders>
              <w:tl2br w:val="nil"/>
              <w:tr2bl w:val="nil"/>
            </w:tcBorders>
            <w:vAlign w:val="center"/>
          </w:tcPr>
          <w:p w14:paraId="0966827F"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73" w:type="pct"/>
            <w:vMerge/>
            <w:tcBorders>
              <w:tl2br w:val="nil"/>
              <w:tr2bl w:val="nil"/>
            </w:tcBorders>
            <w:vAlign w:val="center"/>
          </w:tcPr>
          <w:p w14:paraId="3CA8F29E"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3C9A8752" w14:textId="77777777">
        <w:trPr>
          <w:trHeight w:val="340"/>
          <w:jc w:val="center"/>
        </w:trPr>
        <w:tc>
          <w:tcPr>
            <w:tcW w:w="410" w:type="pct"/>
            <w:vMerge/>
            <w:tcBorders>
              <w:tl2br w:val="nil"/>
              <w:tr2bl w:val="nil"/>
            </w:tcBorders>
            <w:vAlign w:val="center"/>
          </w:tcPr>
          <w:p w14:paraId="49F4C284"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724" w:type="pct"/>
            <w:tcBorders>
              <w:tl2br w:val="nil"/>
              <w:tr2bl w:val="nil"/>
            </w:tcBorders>
            <w:vAlign w:val="center"/>
          </w:tcPr>
          <w:p w14:paraId="4DD7278E"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水曲柳</w:t>
            </w:r>
          </w:p>
        </w:tc>
        <w:tc>
          <w:tcPr>
            <w:tcW w:w="330" w:type="pct"/>
            <w:tcBorders>
              <w:tl2br w:val="nil"/>
              <w:tr2bl w:val="nil"/>
            </w:tcBorders>
            <w:vAlign w:val="center"/>
          </w:tcPr>
          <w:p w14:paraId="5215581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1</w:t>
            </w:r>
            <w:r>
              <w:rPr>
                <w:rFonts w:ascii="Times New Roman" w:eastAsia="宋体" w:hAnsi="Times New Roman" w:cs="Times New Roman"/>
                <w:snapToGrid w:val="0"/>
                <w:kern w:val="0"/>
                <w:sz w:val="21"/>
                <w:szCs w:val="21"/>
              </w:rPr>
              <w:t>1</w:t>
            </w:r>
          </w:p>
        </w:tc>
        <w:tc>
          <w:tcPr>
            <w:tcW w:w="903" w:type="pct"/>
            <w:tcBorders>
              <w:tl2br w:val="nil"/>
              <w:tr2bl w:val="nil"/>
            </w:tcBorders>
            <w:vAlign w:val="center"/>
          </w:tcPr>
          <w:p w14:paraId="17E22F19"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129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40</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3.42</w:t>
            </w:r>
            <w:r>
              <w:rPr>
                <w:rFonts w:ascii="Times New Roman" w:eastAsia="宋体" w:hAnsi="Times New Roman" w:cs="Times New Roman" w:hint="eastAsia"/>
                <w:color w:val="000000"/>
                <w:sz w:val="21"/>
                <w:szCs w:val="21"/>
              </w:rPr>
              <w:t>″</w:t>
            </w:r>
          </w:p>
        </w:tc>
        <w:tc>
          <w:tcPr>
            <w:tcW w:w="861" w:type="pct"/>
            <w:tcBorders>
              <w:tl2br w:val="nil"/>
              <w:tr2bl w:val="nil"/>
            </w:tcBorders>
            <w:vAlign w:val="center"/>
          </w:tcPr>
          <w:p w14:paraId="5B358E6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44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27.60</w:t>
            </w:r>
            <w:r>
              <w:rPr>
                <w:rFonts w:ascii="Times New Roman" w:eastAsia="宋体" w:hAnsi="Times New Roman" w:cs="Times New Roman" w:hint="eastAsia"/>
                <w:color w:val="000000"/>
                <w:sz w:val="21"/>
                <w:szCs w:val="21"/>
              </w:rPr>
              <w:t>″</w:t>
            </w:r>
          </w:p>
        </w:tc>
        <w:tc>
          <w:tcPr>
            <w:tcW w:w="1397" w:type="pct"/>
            <w:vMerge/>
            <w:tcBorders>
              <w:tl2br w:val="nil"/>
              <w:tr2bl w:val="nil"/>
            </w:tcBorders>
            <w:vAlign w:val="center"/>
          </w:tcPr>
          <w:p w14:paraId="30A4C15D"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73" w:type="pct"/>
            <w:vMerge/>
            <w:tcBorders>
              <w:tl2br w:val="nil"/>
              <w:tr2bl w:val="nil"/>
            </w:tcBorders>
            <w:vAlign w:val="center"/>
          </w:tcPr>
          <w:p w14:paraId="3B9ACC40"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7456C974" w14:textId="77777777">
        <w:trPr>
          <w:trHeight w:val="340"/>
          <w:jc w:val="center"/>
        </w:trPr>
        <w:tc>
          <w:tcPr>
            <w:tcW w:w="410" w:type="pct"/>
            <w:vMerge/>
            <w:tcBorders>
              <w:tl2br w:val="nil"/>
              <w:tr2bl w:val="nil"/>
            </w:tcBorders>
            <w:vAlign w:val="center"/>
          </w:tcPr>
          <w:p w14:paraId="0F4626FD"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724" w:type="pct"/>
            <w:tcBorders>
              <w:tl2br w:val="nil"/>
              <w:tr2bl w:val="nil"/>
            </w:tcBorders>
            <w:vAlign w:val="center"/>
          </w:tcPr>
          <w:p w14:paraId="1152755B"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樟子松</w:t>
            </w:r>
          </w:p>
        </w:tc>
        <w:tc>
          <w:tcPr>
            <w:tcW w:w="330" w:type="pct"/>
            <w:tcBorders>
              <w:tl2br w:val="nil"/>
              <w:tr2bl w:val="nil"/>
            </w:tcBorders>
            <w:vAlign w:val="center"/>
          </w:tcPr>
          <w:p w14:paraId="236CD57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1</w:t>
            </w:r>
            <w:r>
              <w:rPr>
                <w:rFonts w:ascii="Times New Roman" w:eastAsia="宋体" w:hAnsi="Times New Roman" w:cs="Times New Roman"/>
                <w:snapToGrid w:val="0"/>
                <w:kern w:val="0"/>
                <w:sz w:val="21"/>
                <w:szCs w:val="21"/>
              </w:rPr>
              <w:t>2</w:t>
            </w:r>
          </w:p>
        </w:tc>
        <w:tc>
          <w:tcPr>
            <w:tcW w:w="903" w:type="pct"/>
            <w:tcBorders>
              <w:tl2br w:val="nil"/>
              <w:tr2bl w:val="nil"/>
            </w:tcBorders>
            <w:vAlign w:val="center"/>
          </w:tcPr>
          <w:p w14:paraId="2144F811"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129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42.21</w:t>
            </w:r>
            <w:r>
              <w:rPr>
                <w:rFonts w:ascii="Times New Roman" w:eastAsia="宋体" w:hAnsi="Times New Roman" w:cs="Times New Roman" w:hint="eastAsia"/>
                <w:color w:val="000000"/>
                <w:sz w:val="21"/>
                <w:szCs w:val="21"/>
              </w:rPr>
              <w:t>″</w:t>
            </w:r>
          </w:p>
        </w:tc>
        <w:tc>
          <w:tcPr>
            <w:tcW w:w="861" w:type="pct"/>
            <w:tcBorders>
              <w:tl2br w:val="nil"/>
              <w:tr2bl w:val="nil"/>
            </w:tcBorders>
            <w:vAlign w:val="center"/>
          </w:tcPr>
          <w:p w14:paraId="6DED578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44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53</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11.57</w:t>
            </w:r>
            <w:r>
              <w:rPr>
                <w:rFonts w:ascii="Times New Roman" w:eastAsia="宋体" w:hAnsi="Times New Roman" w:cs="Times New Roman" w:hint="eastAsia"/>
                <w:color w:val="000000"/>
                <w:sz w:val="21"/>
                <w:szCs w:val="21"/>
              </w:rPr>
              <w:t>″</w:t>
            </w:r>
          </w:p>
        </w:tc>
        <w:tc>
          <w:tcPr>
            <w:tcW w:w="1397" w:type="pct"/>
            <w:vMerge/>
            <w:tcBorders>
              <w:tl2br w:val="nil"/>
              <w:tr2bl w:val="nil"/>
            </w:tcBorders>
            <w:vAlign w:val="center"/>
          </w:tcPr>
          <w:p w14:paraId="4542B399"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73" w:type="pct"/>
            <w:vMerge/>
            <w:tcBorders>
              <w:tl2br w:val="nil"/>
              <w:tr2bl w:val="nil"/>
            </w:tcBorders>
            <w:vAlign w:val="center"/>
          </w:tcPr>
          <w:p w14:paraId="2AF0D637"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68471101" w14:textId="77777777">
        <w:trPr>
          <w:trHeight w:val="340"/>
          <w:jc w:val="center"/>
        </w:trPr>
        <w:tc>
          <w:tcPr>
            <w:tcW w:w="410" w:type="pct"/>
            <w:vMerge w:val="restart"/>
            <w:tcBorders>
              <w:tl2br w:val="nil"/>
              <w:tr2bl w:val="nil"/>
            </w:tcBorders>
            <w:vAlign w:val="center"/>
          </w:tcPr>
          <w:p w14:paraId="407B604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snapToGrid w:val="0"/>
                <w:kern w:val="0"/>
                <w:sz w:val="21"/>
                <w:szCs w:val="21"/>
              </w:rPr>
              <w:t>重点野生保护动物</w:t>
            </w:r>
            <w:r>
              <w:rPr>
                <w:rFonts w:ascii="Times New Roman" w:eastAsia="宋体" w:hAnsi="Times New Roman" w:cs="Times New Roman"/>
                <w:snapToGrid w:val="0"/>
                <w:kern w:val="0"/>
                <w:sz w:val="21"/>
                <w:szCs w:val="21"/>
              </w:rPr>
              <w:lastRenderedPageBreak/>
              <w:t>生境</w:t>
            </w:r>
          </w:p>
        </w:tc>
        <w:tc>
          <w:tcPr>
            <w:tcW w:w="724" w:type="pct"/>
            <w:tcBorders>
              <w:tl2br w:val="nil"/>
              <w:tr2bl w:val="nil"/>
            </w:tcBorders>
            <w:vAlign w:val="center"/>
          </w:tcPr>
          <w:p w14:paraId="582A38D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lastRenderedPageBreak/>
              <w:t>东方白鹳</w:t>
            </w:r>
          </w:p>
        </w:tc>
        <w:tc>
          <w:tcPr>
            <w:tcW w:w="330" w:type="pct"/>
            <w:tcBorders>
              <w:tl2br w:val="nil"/>
              <w:tr2bl w:val="nil"/>
            </w:tcBorders>
            <w:vAlign w:val="center"/>
          </w:tcPr>
          <w:p w14:paraId="66D4A71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13</w:t>
            </w:r>
          </w:p>
        </w:tc>
        <w:tc>
          <w:tcPr>
            <w:tcW w:w="903" w:type="pct"/>
            <w:tcBorders>
              <w:tl2br w:val="nil"/>
              <w:tr2bl w:val="nil"/>
            </w:tcBorders>
            <w:vAlign w:val="center"/>
          </w:tcPr>
          <w:p w14:paraId="071BF727"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129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38</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3.81</w:t>
            </w:r>
            <w:r>
              <w:rPr>
                <w:rFonts w:ascii="Times New Roman" w:eastAsia="宋体" w:hAnsi="Times New Roman" w:cs="Times New Roman" w:hint="eastAsia"/>
                <w:color w:val="000000"/>
                <w:sz w:val="21"/>
                <w:szCs w:val="21"/>
              </w:rPr>
              <w:t>″</w:t>
            </w:r>
          </w:p>
        </w:tc>
        <w:tc>
          <w:tcPr>
            <w:tcW w:w="861" w:type="pct"/>
            <w:tcBorders>
              <w:tl2br w:val="nil"/>
              <w:tr2bl w:val="nil"/>
            </w:tcBorders>
            <w:vAlign w:val="center"/>
          </w:tcPr>
          <w:p w14:paraId="56E5510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44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31.80</w:t>
            </w:r>
            <w:r>
              <w:rPr>
                <w:rFonts w:ascii="Times New Roman" w:eastAsia="宋体" w:hAnsi="Times New Roman" w:cs="Times New Roman" w:hint="eastAsia"/>
                <w:color w:val="000000"/>
                <w:sz w:val="21"/>
                <w:szCs w:val="21"/>
              </w:rPr>
              <w:t>″</w:t>
            </w:r>
          </w:p>
        </w:tc>
        <w:tc>
          <w:tcPr>
            <w:tcW w:w="1397" w:type="pct"/>
            <w:vMerge/>
            <w:tcBorders>
              <w:tl2br w:val="nil"/>
              <w:tr2bl w:val="nil"/>
            </w:tcBorders>
            <w:vAlign w:val="center"/>
          </w:tcPr>
          <w:p w14:paraId="366387A3"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73" w:type="pct"/>
            <w:vMerge/>
            <w:tcBorders>
              <w:tl2br w:val="nil"/>
              <w:tr2bl w:val="nil"/>
            </w:tcBorders>
            <w:vAlign w:val="center"/>
          </w:tcPr>
          <w:p w14:paraId="2357543B"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0AC62F94" w14:textId="77777777">
        <w:trPr>
          <w:trHeight w:val="340"/>
          <w:jc w:val="center"/>
        </w:trPr>
        <w:tc>
          <w:tcPr>
            <w:tcW w:w="410" w:type="pct"/>
            <w:vMerge/>
            <w:tcBorders>
              <w:tl2br w:val="nil"/>
              <w:tr2bl w:val="nil"/>
            </w:tcBorders>
            <w:vAlign w:val="center"/>
          </w:tcPr>
          <w:p w14:paraId="09644EB3"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p>
        </w:tc>
        <w:tc>
          <w:tcPr>
            <w:tcW w:w="724" w:type="pct"/>
            <w:tcBorders>
              <w:tl2br w:val="nil"/>
              <w:tr2bl w:val="nil"/>
            </w:tcBorders>
            <w:vAlign w:val="center"/>
          </w:tcPr>
          <w:p w14:paraId="682BDBC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红隼</w:t>
            </w:r>
          </w:p>
        </w:tc>
        <w:tc>
          <w:tcPr>
            <w:tcW w:w="330" w:type="pct"/>
            <w:tcBorders>
              <w:tl2br w:val="nil"/>
              <w:tr2bl w:val="nil"/>
            </w:tcBorders>
            <w:vAlign w:val="center"/>
          </w:tcPr>
          <w:p w14:paraId="759A53D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1</w:t>
            </w:r>
            <w:r>
              <w:rPr>
                <w:rFonts w:ascii="Times New Roman" w:eastAsia="宋体" w:hAnsi="Times New Roman" w:cs="Times New Roman"/>
                <w:snapToGrid w:val="0"/>
                <w:kern w:val="0"/>
                <w:sz w:val="21"/>
                <w:szCs w:val="21"/>
              </w:rPr>
              <w:t>4</w:t>
            </w:r>
          </w:p>
        </w:tc>
        <w:tc>
          <w:tcPr>
            <w:tcW w:w="903" w:type="pct"/>
            <w:tcBorders>
              <w:tl2br w:val="nil"/>
              <w:tr2bl w:val="nil"/>
            </w:tcBorders>
            <w:vAlign w:val="center"/>
          </w:tcPr>
          <w:p w14:paraId="3C8EC841"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129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37</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59.80</w:t>
            </w:r>
            <w:r>
              <w:rPr>
                <w:rFonts w:ascii="Times New Roman" w:eastAsia="宋体" w:hAnsi="Times New Roman" w:cs="Times New Roman" w:hint="eastAsia"/>
                <w:color w:val="000000"/>
                <w:sz w:val="21"/>
                <w:szCs w:val="21"/>
              </w:rPr>
              <w:t>″</w:t>
            </w:r>
          </w:p>
        </w:tc>
        <w:tc>
          <w:tcPr>
            <w:tcW w:w="861" w:type="pct"/>
            <w:tcBorders>
              <w:tl2br w:val="nil"/>
              <w:tr2bl w:val="nil"/>
            </w:tcBorders>
            <w:vAlign w:val="center"/>
          </w:tcPr>
          <w:p w14:paraId="4CA5302B"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44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53</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46.11</w:t>
            </w:r>
            <w:r>
              <w:rPr>
                <w:rFonts w:ascii="Times New Roman" w:eastAsia="宋体" w:hAnsi="Times New Roman" w:cs="Times New Roman" w:hint="eastAsia"/>
                <w:color w:val="000000"/>
                <w:sz w:val="21"/>
                <w:szCs w:val="21"/>
              </w:rPr>
              <w:t>″</w:t>
            </w:r>
          </w:p>
        </w:tc>
        <w:tc>
          <w:tcPr>
            <w:tcW w:w="1397" w:type="pct"/>
            <w:vMerge/>
            <w:tcBorders>
              <w:tl2br w:val="nil"/>
              <w:tr2bl w:val="nil"/>
            </w:tcBorders>
            <w:vAlign w:val="center"/>
          </w:tcPr>
          <w:p w14:paraId="7835B131"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73" w:type="pct"/>
            <w:vMerge/>
            <w:tcBorders>
              <w:tl2br w:val="nil"/>
              <w:tr2bl w:val="nil"/>
            </w:tcBorders>
            <w:vAlign w:val="center"/>
          </w:tcPr>
          <w:p w14:paraId="3EDBA142"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409A6E56" w14:textId="77777777">
        <w:trPr>
          <w:trHeight w:val="340"/>
          <w:jc w:val="center"/>
        </w:trPr>
        <w:tc>
          <w:tcPr>
            <w:tcW w:w="410" w:type="pct"/>
            <w:vMerge/>
            <w:tcBorders>
              <w:tl2br w:val="nil"/>
              <w:tr2bl w:val="nil"/>
            </w:tcBorders>
            <w:vAlign w:val="center"/>
          </w:tcPr>
          <w:p w14:paraId="701C08FE"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p>
        </w:tc>
        <w:tc>
          <w:tcPr>
            <w:tcW w:w="724" w:type="pct"/>
            <w:tcBorders>
              <w:tl2br w:val="nil"/>
              <w:tr2bl w:val="nil"/>
            </w:tcBorders>
            <w:vAlign w:val="center"/>
          </w:tcPr>
          <w:p w14:paraId="7E91FC5E"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极北鲵</w:t>
            </w:r>
          </w:p>
        </w:tc>
        <w:tc>
          <w:tcPr>
            <w:tcW w:w="330" w:type="pct"/>
            <w:tcBorders>
              <w:tl2br w:val="nil"/>
              <w:tr2bl w:val="nil"/>
            </w:tcBorders>
            <w:vAlign w:val="center"/>
          </w:tcPr>
          <w:p w14:paraId="418BAB58"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1</w:t>
            </w:r>
            <w:r>
              <w:rPr>
                <w:rFonts w:ascii="Times New Roman" w:eastAsia="宋体" w:hAnsi="Times New Roman" w:cs="Times New Roman"/>
                <w:snapToGrid w:val="0"/>
                <w:kern w:val="0"/>
                <w:sz w:val="21"/>
                <w:szCs w:val="21"/>
              </w:rPr>
              <w:t>5</w:t>
            </w:r>
          </w:p>
        </w:tc>
        <w:tc>
          <w:tcPr>
            <w:tcW w:w="903" w:type="pct"/>
            <w:tcBorders>
              <w:tl2br w:val="nil"/>
              <w:tr2bl w:val="nil"/>
            </w:tcBorders>
            <w:vAlign w:val="center"/>
          </w:tcPr>
          <w:p w14:paraId="263918E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129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38</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31.75</w:t>
            </w:r>
            <w:r>
              <w:rPr>
                <w:rFonts w:ascii="Times New Roman" w:eastAsia="宋体" w:hAnsi="Times New Roman" w:cs="Times New Roman" w:hint="eastAsia"/>
                <w:color w:val="000000"/>
                <w:sz w:val="21"/>
                <w:szCs w:val="21"/>
              </w:rPr>
              <w:t>″</w:t>
            </w:r>
          </w:p>
        </w:tc>
        <w:tc>
          <w:tcPr>
            <w:tcW w:w="861" w:type="pct"/>
            <w:tcBorders>
              <w:tl2br w:val="nil"/>
              <w:tr2bl w:val="nil"/>
            </w:tcBorders>
            <w:vAlign w:val="center"/>
          </w:tcPr>
          <w:p w14:paraId="777DFA49"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44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25.58</w:t>
            </w:r>
            <w:r>
              <w:rPr>
                <w:rFonts w:ascii="Times New Roman" w:eastAsia="宋体" w:hAnsi="Times New Roman" w:cs="Times New Roman" w:hint="eastAsia"/>
                <w:color w:val="000000"/>
                <w:sz w:val="21"/>
                <w:szCs w:val="21"/>
              </w:rPr>
              <w:t>″</w:t>
            </w:r>
          </w:p>
        </w:tc>
        <w:tc>
          <w:tcPr>
            <w:tcW w:w="1397" w:type="pct"/>
            <w:vMerge/>
            <w:tcBorders>
              <w:tl2br w:val="nil"/>
              <w:tr2bl w:val="nil"/>
            </w:tcBorders>
            <w:vAlign w:val="center"/>
          </w:tcPr>
          <w:p w14:paraId="36F7B995"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73" w:type="pct"/>
            <w:vMerge/>
            <w:tcBorders>
              <w:tl2br w:val="nil"/>
              <w:tr2bl w:val="nil"/>
            </w:tcBorders>
            <w:vAlign w:val="center"/>
          </w:tcPr>
          <w:p w14:paraId="589754BB"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791FAB40" w14:textId="77777777">
        <w:trPr>
          <w:trHeight w:val="340"/>
          <w:jc w:val="center"/>
        </w:trPr>
        <w:tc>
          <w:tcPr>
            <w:tcW w:w="410" w:type="pct"/>
            <w:vMerge/>
            <w:tcBorders>
              <w:tl2br w:val="nil"/>
              <w:tr2bl w:val="nil"/>
            </w:tcBorders>
            <w:vAlign w:val="center"/>
          </w:tcPr>
          <w:p w14:paraId="7F87C25D"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p>
        </w:tc>
        <w:tc>
          <w:tcPr>
            <w:tcW w:w="724" w:type="pct"/>
            <w:tcBorders>
              <w:tl2br w:val="nil"/>
              <w:tr2bl w:val="nil"/>
            </w:tcBorders>
            <w:vAlign w:val="center"/>
          </w:tcPr>
          <w:p w14:paraId="163863EC"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鸳鸯</w:t>
            </w:r>
          </w:p>
        </w:tc>
        <w:tc>
          <w:tcPr>
            <w:tcW w:w="330" w:type="pct"/>
            <w:tcBorders>
              <w:tl2br w:val="nil"/>
              <w:tr2bl w:val="nil"/>
            </w:tcBorders>
            <w:vAlign w:val="center"/>
          </w:tcPr>
          <w:p w14:paraId="0C5E0B3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1</w:t>
            </w:r>
            <w:r>
              <w:rPr>
                <w:rFonts w:ascii="Times New Roman" w:eastAsia="宋体" w:hAnsi="Times New Roman" w:cs="Times New Roman"/>
                <w:snapToGrid w:val="0"/>
                <w:kern w:val="0"/>
                <w:sz w:val="21"/>
                <w:szCs w:val="21"/>
              </w:rPr>
              <w:t>6</w:t>
            </w:r>
          </w:p>
        </w:tc>
        <w:tc>
          <w:tcPr>
            <w:tcW w:w="903" w:type="pct"/>
            <w:tcBorders>
              <w:tl2br w:val="nil"/>
              <w:tr2bl w:val="nil"/>
            </w:tcBorders>
            <w:vAlign w:val="center"/>
          </w:tcPr>
          <w:p w14:paraId="0EE0CC1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129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18.46</w:t>
            </w:r>
            <w:r>
              <w:rPr>
                <w:rFonts w:ascii="Times New Roman" w:eastAsia="宋体" w:hAnsi="Times New Roman" w:cs="Times New Roman" w:hint="eastAsia"/>
                <w:color w:val="000000"/>
                <w:sz w:val="21"/>
                <w:szCs w:val="21"/>
              </w:rPr>
              <w:t>″</w:t>
            </w:r>
          </w:p>
        </w:tc>
        <w:tc>
          <w:tcPr>
            <w:tcW w:w="861" w:type="pct"/>
            <w:tcBorders>
              <w:tl2br w:val="nil"/>
              <w:tr2bl w:val="nil"/>
            </w:tcBorders>
            <w:vAlign w:val="center"/>
          </w:tcPr>
          <w:p w14:paraId="610368E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44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54.55</w:t>
            </w:r>
            <w:r>
              <w:rPr>
                <w:rFonts w:ascii="Times New Roman" w:eastAsia="宋体" w:hAnsi="Times New Roman" w:cs="Times New Roman" w:hint="eastAsia"/>
                <w:color w:val="000000"/>
                <w:sz w:val="21"/>
                <w:szCs w:val="21"/>
              </w:rPr>
              <w:t>″</w:t>
            </w:r>
          </w:p>
        </w:tc>
        <w:tc>
          <w:tcPr>
            <w:tcW w:w="1397" w:type="pct"/>
            <w:vMerge/>
            <w:tcBorders>
              <w:tl2br w:val="nil"/>
              <w:tr2bl w:val="nil"/>
            </w:tcBorders>
            <w:vAlign w:val="center"/>
          </w:tcPr>
          <w:p w14:paraId="5ADC1CC4"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73" w:type="pct"/>
            <w:vMerge/>
            <w:tcBorders>
              <w:tl2br w:val="nil"/>
              <w:tr2bl w:val="nil"/>
            </w:tcBorders>
            <w:vAlign w:val="center"/>
          </w:tcPr>
          <w:p w14:paraId="4948638B"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3317F9B2" w14:textId="77777777">
        <w:trPr>
          <w:trHeight w:val="340"/>
          <w:jc w:val="center"/>
        </w:trPr>
        <w:tc>
          <w:tcPr>
            <w:tcW w:w="410" w:type="pct"/>
            <w:vMerge/>
            <w:tcBorders>
              <w:tl2br w:val="nil"/>
              <w:tr2bl w:val="nil"/>
            </w:tcBorders>
            <w:vAlign w:val="center"/>
          </w:tcPr>
          <w:p w14:paraId="4EF9BBB2"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p>
        </w:tc>
        <w:tc>
          <w:tcPr>
            <w:tcW w:w="724" w:type="pct"/>
            <w:tcBorders>
              <w:tl2br w:val="nil"/>
              <w:tr2bl w:val="nil"/>
            </w:tcBorders>
            <w:vAlign w:val="center"/>
          </w:tcPr>
          <w:p w14:paraId="5DA288D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中华秋沙鸭</w:t>
            </w:r>
          </w:p>
        </w:tc>
        <w:tc>
          <w:tcPr>
            <w:tcW w:w="330" w:type="pct"/>
            <w:tcBorders>
              <w:tl2br w:val="nil"/>
              <w:tr2bl w:val="nil"/>
            </w:tcBorders>
            <w:vAlign w:val="center"/>
          </w:tcPr>
          <w:p w14:paraId="3F68462B"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rPr>
            </w:pPr>
            <w:r>
              <w:rPr>
                <w:rFonts w:ascii="Times New Roman" w:eastAsia="宋体" w:hAnsi="Times New Roman" w:cs="Times New Roman" w:hint="eastAsia"/>
                <w:snapToGrid w:val="0"/>
                <w:kern w:val="0"/>
                <w:sz w:val="21"/>
                <w:szCs w:val="21"/>
              </w:rPr>
              <w:t>1</w:t>
            </w:r>
            <w:r>
              <w:rPr>
                <w:rFonts w:ascii="Times New Roman" w:eastAsia="宋体" w:hAnsi="Times New Roman" w:cs="Times New Roman"/>
                <w:snapToGrid w:val="0"/>
                <w:kern w:val="0"/>
                <w:sz w:val="21"/>
                <w:szCs w:val="21"/>
              </w:rPr>
              <w:t>7</w:t>
            </w:r>
          </w:p>
        </w:tc>
        <w:tc>
          <w:tcPr>
            <w:tcW w:w="903" w:type="pct"/>
            <w:tcBorders>
              <w:tl2br w:val="nil"/>
              <w:tr2bl w:val="nil"/>
            </w:tcBorders>
            <w:vAlign w:val="center"/>
          </w:tcPr>
          <w:p w14:paraId="1E58C3F4"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129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39</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0.81</w:t>
            </w:r>
            <w:r>
              <w:rPr>
                <w:rFonts w:ascii="Times New Roman" w:eastAsia="宋体" w:hAnsi="Times New Roman" w:cs="Times New Roman" w:hint="eastAsia"/>
                <w:color w:val="000000"/>
                <w:sz w:val="21"/>
                <w:szCs w:val="21"/>
              </w:rPr>
              <w:t>″</w:t>
            </w:r>
          </w:p>
        </w:tc>
        <w:tc>
          <w:tcPr>
            <w:tcW w:w="861" w:type="pct"/>
            <w:tcBorders>
              <w:tl2br w:val="nil"/>
              <w:tr2bl w:val="nil"/>
            </w:tcBorders>
            <w:vAlign w:val="center"/>
          </w:tcPr>
          <w:p w14:paraId="4E62236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等线" w:hAnsi="Times New Roman" w:cs="Times New Roman"/>
                <w:snapToGrid w:val="0"/>
                <w:kern w:val="0"/>
                <w:sz w:val="21"/>
                <w:szCs w:val="21"/>
                <w:lang w:eastAsia="en-US"/>
              </w:rPr>
            </w:pPr>
            <w:r>
              <w:rPr>
                <w:rFonts w:ascii="Times New Roman" w:eastAsia="宋体" w:hAnsi="Times New Roman" w:cs="Times New Roman" w:hint="eastAsia"/>
                <w:color w:val="000000"/>
                <w:sz w:val="21"/>
                <w:szCs w:val="21"/>
              </w:rPr>
              <w:t>44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54</w:t>
            </w:r>
            <w:r>
              <w:rPr>
                <w:rFonts w:ascii="Times New Roman" w:eastAsia="宋体" w:hAnsi="Times New Roman" w:cs="Times New Roman" w:hint="eastAsia"/>
                <w:color w:val="000000"/>
                <w:sz w:val="21"/>
                <w:szCs w:val="21"/>
              </w:rPr>
              <w:t>′</w:t>
            </w:r>
            <w:r>
              <w:rPr>
                <w:rFonts w:ascii="Times New Roman" w:eastAsia="宋体" w:hAnsi="Times New Roman" w:cs="Times New Roman" w:hint="eastAsia"/>
                <w:color w:val="000000"/>
                <w:sz w:val="21"/>
                <w:szCs w:val="21"/>
              </w:rPr>
              <w:t>41.28</w:t>
            </w:r>
            <w:r>
              <w:rPr>
                <w:rFonts w:ascii="Times New Roman" w:eastAsia="宋体" w:hAnsi="Times New Roman" w:cs="Times New Roman" w:hint="eastAsia"/>
                <w:color w:val="000000"/>
                <w:sz w:val="21"/>
                <w:szCs w:val="21"/>
              </w:rPr>
              <w:t>″</w:t>
            </w:r>
          </w:p>
        </w:tc>
        <w:tc>
          <w:tcPr>
            <w:tcW w:w="1397" w:type="pct"/>
            <w:vMerge/>
            <w:tcBorders>
              <w:tl2br w:val="nil"/>
              <w:tr2bl w:val="nil"/>
            </w:tcBorders>
            <w:vAlign w:val="center"/>
          </w:tcPr>
          <w:p w14:paraId="25F63138"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73" w:type="pct"/>
            <w:vMerge/>
            <w:tcBorders>
              <w:tl2br w:val="nil"/>
              <w:tr2bl w:val="nil"/>
            </w:tcBorders>
            <w:vAlign w:val="center"/>
          </w:tcPr>
          <w:p w14:paraId="70CAE74A"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bl>
    <w:bookmarkEnd w:id="475"/>
    <w:p w14:paraId="39D2E639" w14:textId="77777777" w:rsidR="009D12AF" w:rsidRDefault="00000000">
      <w:pPr>
        <w:ind w:firstLine="482"/>
        <w:jc w:val="center"/>
      </w:pPr>
      <w:r>
        <w:rPr>
          <w:b/>
        </w:rPr>
        <w:t>表</w:t>
      </w:r>
      <w:r>
        <w:rPr>
          <w:b/>
        </w:rPr>
        <w:t>8</w:t>
      </w:r>
      <w:r>
        <w:rPr>
          <w:rFonts w:hint="eastAsia"/>
          <w:b/>
        </w:rPr>
        <w:t>.3</w:t>
      </w:r>
      <w:r>
        <w:rPr>
          <w:b/>
        </w:rPr>
        <w:t>-</w:t>
      </w:r>
      <w:r>
        <w:rPr>
          <w:rFonts w:hint="eastAsia"/>
          <w:b/>
        </w:rPr>
        <w:t>3</w:t>
      </w:r>
      <w:r>
        <w:rPr>
          <w:rFonts w:hint="eastAsia"/>
          <w:b/>
        </w:rPr>
        <w:t>运行期陆生</w:t>
      </w:r>
      <w:r>
        <w:rPr>
          <w:b/>
        </w:rPr>
        <w:t>生态环境监测计划</w:t>
      </w:r>
    </w:p>
    <w:tbl>
      <w:tblPr>
        <w:tblpPr w:leftFromText="180" w:rightFromText="180" w:vertAnchor="text" w:horzAnchor="margin" w:tblpXSpec="center" w:tblpY="17"/>
        <w:tblW w:w="4991"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384"/>
        <w:gridCol w:w="2272"/>
        <w:gridCol w:w="1101"/>
        <w:gridCol w:w="2009"/>
        <w:gridCol w:w="1870"/>
        <w:gridCol w:w="4233"/>
        <w:gridCol w:w="1279"/>
      </w:tblGrid>
      <w:tr w:rsidR="009D12AF" w14:paraId="25E3B7E5" w14:textId="77777777">
        <w:trPr>
          <w:trHeight w:val="340"/>
          <w:jc w:val="center"/>
        </w:trPr>
        <w:tc>
          <w:tcPr>
            <w:tcW w:w="1292" w:type="pct"/>
            <w:gridSpan w:val="2"/>
            <w:vMerge w:val="restart"/>
            <w:tcBorders>
              <w:tl2br w:val="nil"/>
              <w:tr2bl w:val="nil"/>
            </w:tcBorders>
            <w:vAlign w:val="center"/>
          </w:tcPr>
          <w:p w14:paraId="6AD6FA4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监测对象</w:t>
            </w:r>
          </w:p>
        </w:tc>
        <w:tc>
          <w:tcPr>
            <w:tcW w:w="1760" w:type="pct"/>
            <w:gridSpan w:val="3"/>
            <w:tcBorders>
              <w:tl2br w:val="nil"/>
              <w:tr2bl w:val="nil"/>
            </w:tcBorders>
            <w:vAlign w:val="center"/>
          </w:tcPr>
          <w:p w14:paraId="544BC93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施工期监测点位</w:t>
            </w:r>
          </w:p>
        </w:tc>
        <w:tc>
          <w:tcPr>
            <w:tcW w:w="1496" w:type="pct"/>
            <w:vMerge w:val="restart"/>
            <w:tcBorders>
              <w:tl2br w:val="nil"/>
              <w:tr2bl w:val="nil"/>
            </w:tcBorders>
            <w:vAlign w:val="center"/>
          </w:tcPr>
          <w:p w14:paraId="7A72F39B"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监测因子</w:t>
            </w:r>
          </w:p>
        </w:tc>
        <w:tc>
          <w:tcPr>
            <w:tcW w:w="452" w:type="pct"/>
            <w:vMerge w:val="restart"/>
            <w:tcBorders>
              <w:tl2br w:val="nil"/>
              <w:tr2bl w:val="nil"/>
            </w:tcBorders>
            <w:vAlign w:val="center"/>
          </w:tcPr>
          <w:p w14:paraId="26F87D18"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监测频率</w:t>
            </w:r>
          </w:p>
        </w:tc>
      </w:tr>
      <w:tr w:rsidR="009D12AF" w14:paraId="63BCC9BD" w14:textId="77777777">
        <w:trPr>
          <w:trHeight w:val="340"/>
          <w:jc w:val="center"/>
        </w:trPr>
        <w:tc>
          <w:tcPr>
            <w:tcW w:w="1292" w:type="pct"/>
            <w:gridSpan w:val="2"/>
            <w:vMerge/>
            <w:tcBorders>
              <w:tl2br w:val="nil"/>
              <w:tr2bl w:val="nil"/>
            </w:tcBorders>
            <w:vAlign w:val="center"/>
          </w:tcPr>
          <w:p w14:paraId="2C128C2F"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389" w:type="pct"/>
            <w:tcBorders>
              <w:tl2br w:val="nil"/>
              <w:tr2bl w:val="nil"/>
            </w:tcBorders>
            <w:vAlign w:val="center"/>
          </w:tcPr>
          <w:p w14:paraId="5E989F32"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点位编号</w:t>
            </w:r>
          </w:p>
        </w:tc>
        <w:tc>
          <w:tcPr>
            <w:tcW w:w="710" w:type="pct"/>
            <w:tcBorders>
              <w:tl2br w:val="nil"/>
              <w:tr2bl w:val="nil"/>
            </w:tcBorders>
            <w:vAlign w:val="center"/>
          </w:tcPr>
          <w:p w14:paraId="20201CE1"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经度</w:t>
            </w:r>
          </w:p>
        </w:tc>
        <w:tc>
          <w:tcPr>
            <w:tcW w:w="661" w:type="pct"/>
            <w:tcBorders>
              <w:tl2br w:val="nil"/>
              <w:tr2bl w:val="nil"/>
            </w:tcBorders>
            <w:vAlign w:val="center"/>
          </w:tcPr>
          <w:p w14:paraId="0B00A3CE"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纬度</w:t>
            </w:r>
          </w:p>
        </w:tc>
        <w:tc>
          <w:tcPr>
            <w:tcW w:w="1496" w:type="pct"/>
            <w:vMerge/>
            <w:tcBorders>
              <w:tl2br w:val="nil"/>
              <w:tr2bl w:val="nil"/>
            </w:tcBorders>
            <w:vAlign w:val="center"/>
          </w:tcPr>
          <w:p w14:paraId="3298D4ED"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452" w:type="pct"/>
            <w:vMerge/>
            <w:tcBorders>
              <w:tl2br w:val="nil"/>
              <w:tr2bl w:val="nil"/>
            </w:tcBorders>
            <w:vAlign w:val="center"/>
          </w:tcPr>
          <w:p w14:paraId="2C2D5FB1"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2DB2D817" w14:textId="77777777">
        <w:trPr>
          <w:trHeight w:val="340"/>
          <w:jc w:val="center"/>
        </w:trPr>
        <w:tc>
          <w:tcPr>
            <w:tcW w:w="1292" w:type="pct"/>
            <w:gridSpan w:val="2"/>
            <w:tcBorders>
              <w:tl2br w:val="nil"/>
              <w:tr2bl w:val="nil"/>
            </w:tcBorders>
            <w:vAlign w:val="center"/>
          </w:tcPr>
          <w:p w14:paraId="5C943997"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黑龙江海林莲花湖省级自然保护区</w:t>
            </w:r>
          </w:p>
        </w:tc>
        <w:tc>
          <w:tcPr>
            <w:tcW w:w="389" w:type="pct"/>
            <w:tcBorders>
              <w:tl2br w:val="nil"/>
              <w:tr2bl w:val="nil"/>
            </w:tcBorders>
            <w:vAlign w:val="center"/>
          </w:tcPr>
          <w:p w14:paraId="3D723F3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1</w:t>
            </w:r>
          </w:p>
        </w:tc>
        <w:tc>
          <w:tcPr>
            <w:tcW w:w="710" w:type="pct"/>
            <w:tcBorders>
              <w:tl2br w:val="nil"/>
              <w:tr2bl w:val="nil"/>
            </w:tcBorders>
            <w:vAlign w:val="center"/>
          </w:tcPr>
          <w:p w14:paraId="62EF969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129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26.784</w:t>
            </w:r>
            <w:r>
              <w:rPr>
                <w:rFonts w:ascii="Times New Roman" w:eastAsia="宋体" w:hAnsi="Times New Roman" w:cs="Times New Roman" w:hint="eastAsia"/>
                <w:snapToGrid w:val="0"/>
                <w:kern w:val="0"/>
                <w:sz w:val="21"/>
                <w:szCs w:val="21"/>
                <w:lang w:eastAsia="en-US"/>
              </w:rPr>
              <w:t>″</w:t>
            </w:r>
          </w:p>
        </w:tc>
        <w:tc>
          <w:tcPr>
            <w:tcW w:w="661" w:type="pct"/>
            <w:tcBorders>
              <w:tl2br w:val="nil"/>
              <w:tr2bl w:val="nil"/>
            </w:tcBorders>
            <w:vAlign w:val="center"/>
          </w:tcPr>
          <w:p w14:paraId="1C70090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44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53</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32.81</w:t>
            </w:r>
            <w:r>
              <w:rPr>
                <w:rFonts w:ascii="Times New Roman" w:eastAsia="宋体" w:hAnsi="Times New Roman" w:cs="Times New Roman" w:hint="eastAsia"/>
                <w:snapToGrid w:val="0"/>
                <w:kern w:val="0"/>
                <w:sz w:val="21"/>
                <w:szCs w:val="21"/>
                <w:lang w:eastAsia="en-US"/>
              </w:rPr>
              <w:t>″</w:t>
            </w:r>
          </w:p>
        </w:tc>
        <w:tc>
          <w:tcPr>
            <w:tcW w:w="1496" w:type="pct"/>
            <w:vMerge w:val="restart"/>
            <w:tcBorders>
              <w:tl2br w:val="nil"/>
              <w:tr2bl w:val="nil"/>
            </w:tcBorders>
            <w:vAlign w:val="center"/>
          </w:tcPr>
          <w:p w14:paraId="1116140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植物监测：陆生植物的群落组成、</w:t>
            </w:r>
            <w:r>
              <w:rPr>
                <w:rFonts w:ascii="Times New Roman" w:eastAsia="宋体" w:hAnsi="Times New Roman" w:cs="Times New Roman" w:hint="eastAsia"/>
                <w:snapToGrid w:val="0"/>
                <w:kern w:val="0"/>
                <w:sz w:val="21"/>
                <w:szCs w:val="21"/>
                <w:lang w:eastAsia="en-US"/>
              </w:rPr>
              <w:t xml:space="preserve"> </w:t>
            </w:r>
            <w:r>
              <w:rPr>
                <w:rFonts w:ascii="Times New Roman" w:eastAsia="宋体" w:hAnsi="Times New Roman" w:cs="Times New Roman" w:hint="eastAsia"/>
                <w:snapToGrid w:val="0"/>
                <w:kern w:val="0"/>
                <w:sz w:val="21"/>
                <w:szCs w:val="21"/>
                <w:lang w:eastAsia="en-US"/>
              </w:rPr>
              <w:t>种群密度、覆盖度、外来种、重点保护野生植物、生物多样性和生境质量的变化；</w:t>
            </w:r>
          </w:p>
          <w:p w14:paraId="170C0267"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动物监测：陆生动物的种类、分布、密度和季节动态变化，重点保护野生动物的种类、数量、栖息地、</w:t>
            </w:r>
            <w:r>
              <w:rPr>
                <w:rFonts w:ascii="Times New Roman" w:eastAsia="宋体" w:hAnsi="Times New Roman" w:cs="Times New Roman" w:hint="eastAsia"/>
                <w:snapToGrid w:val="0"/>
                <w:kern w:val="0"/>
                <w:sz w:val="21"/>
                <w:szCs w:val="21"/>
                <w:lang w:eastAsia="en-US"/>
              </w:rPr>
              <w:t xml:space="preserve"> </w:t>
            </w:r>
            <w:r>
              <w:rPr>
                <w:rFonts w:ascii="Times New Roman" w:eastAsia="宋体" w:hAnsi="Times New Roman" w:cs="Times New Roman" w:hint="eastAsia"/>
                <w:snapToGrid w:val="0"/>
                <w:kern w:val="0"/>
                <w:sz w:val="21"/>
                <w:szCs w:val="21"/>
                <w:lang w:eastAsia="en-US"/>
              </w:rPr>
              <w:t>觅食地和生境质量变化等；</w:t>
            </w:r>
            <w:r>
              <w:rPr>
                <w:rFonts w:ascii="Times New Roman" w:eastAsia="宋体" w:hAnsi="Times New Roman" w:cs="Times New Roman" w:hint="eastAsia"/>
                <w:snapToGrid w:val="0"/>
                <w:kern w:val="0"/>
                <w:sz w:val="21"/>
                <w:szCs w:val="21"/>
                <w:lang w:eastAsia="en-US"/>
              </w:rPr>
              <w:t xml:space="preserve"> </w:t>
            </w:r>
          </w:p>
          <w:p w14:paraId="42C4EE6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生态保护措施：避让、减缓、恢复措施的有效性</w:t>
            </w:r>
          </w:p>
        </w:tc>
        <w:tc>
          <w:tcPr>
            <w:tcW w:w="452" w:type="pct"/>
            <w:vMerge w:val="restart"/>
            <w:tcBorders>
              <w:tl2br w:val="nil"/>
              <w:tr2bl w:val="nil"/>
            </w:tcBorders>
            <w:vAlign w:val="center"/>
          </w:tcPr>
          <w:p w14:paraId="17FBB09B"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运行期后</w:t>
            </w:r>
            <w:r>
              <w:rPr>
                <w:rFonts w:ascii="Times New Roman" w:eastAsia="宋体" w:hAnsi="Times New Roman" w:cs="Times New Roman" w:hint="eastAsia"/>
                <w:snapToGrid w:val="0"/>
                <w:kern w:val="0"/>
                <w:sz w:val="21"/>
                <w:szCs w:val="21"/>
                <w:lang w:eastAsia="en-US"/>
              </w:rPr>
              <w:t>1</w:t>
            </w:r>
            <w:r>
              <w:rPr>
                <w:rFonts w:ascii="Times New Roman" w:eastAsia="宋体" w:hAnsi="Times New Roman" w:cs="Times New Roman" w:hint="eastAsia"/>
                <w:snapToGrid w:val="0"/>
                <w:kern w:val="0"/>
                <w:sz w:val="21"/>
                <w:szCs w:val="21"/>
                <w:lang w:eastAsia="en-US"/>
              </w:rPr>
              <w:t>年、</w:t>
            </w:r>
            <w:r>
              <w:rPr>
                <w:rFonts w:ascii="Times New Roman" w:eastAsia="宋体" w:hAnsi="Times New Roman" w:cs="Times New Roman" w:hint="eastAsia"/>
                <w:snapToGrid w:val="0"/>
                <w:kern w:val="0"/>
                <w:sz w:val="21"/>
                <w:szCs w:val="21"/>
                <w:lang w:eastAsia="en-US"/>
              </w:rPr>
              <w:t>2</w:t>
            </w:r>
            <w:r>
              <w:rPr>
                <w:rFonts w:ascii="Times New Roman" w:eastAsia="宋体" w:hAnsi="Times New Roman" w:cs="Times New Roman" w:hint="eastAsia"/>
                <w:snapToGrid w:val="0"/>
                <w:kern w:val="0"/>
                <w:sz w:val="21"/>
                <w:szCs w:val="21"/>
                <w:lang w:eastAsia="en-US"/>
              </w:rPr>
              <w:t>年、</w:t>
            </w:r>
            <w:r>
              <w:rPr>
                <w:rFonts w:ascii="Times New Roman" w:eastAsia="宋体" w:hAnsi="Times New Roman" w:cs="Times New Roman" w:hint="eastAsia"/>
                <w:snapToGrid w:val="0"/>
                <w:kern w:val="0"/>
                <w:sz w:val="21"/>
                <w:szCs w:val="21"/>
                <w:lang w:eastAsia="en-US"/>
              </w:rPr>
              <w:t>3</w:t>
            </w:r>
            <w:r>
              <w:rPr>
                <w:rFonts w:ascii="Times New Roman" w:eastAsia="宋体" w:hAnsi="Times New Roman" w:cs="Times New Roman" w:hint="eastAsia"/>
                <w:snapToGrid w:val="0"/>
                <w:kern w:val="0"/>
                <w:sz w:val="21"/>
                <w:szCs w:val="21"/>
                <w:lang w:eastAsia="en-US"/>
              </w:rPr>
              <w:t>年、</w:t>
            </w:r>
            <w:r>
              <w:rPr>
                <w:rFonts w:ascii="Times New Roman" w:eastAsia="宋体" w:hAnsi="Times New Roman" w:cs="Times New Roman" w:hint="eastAsia"/>
                <w:snapToGrid w:val="0"/>
                <w:kern w:val="0"/>
                <w:sz w:val="21"/>
                <w:szCs w:val="21"/>
                <w:lang w:eastAsia="en-US"/>
              </w:rPr>
              <w:t>4</w:t>
            </w:r>
            <w:r>
              <w:rPr>
                <w:rFonts w:ascii="Times New Roman" w:eastAsia="宋体" w:hAnsi="Times New Roman" w:cs="Times New Roman" w:hint="eastAsia"/>
                <w:snapToGrid w:val="0"/>
                <w:kern w:val="0"/>
                <w:sz w:val="21"/>
                <w:szCs w:val="21"/>
                <w:lang w:eastAsia="en-US"/>
              </w:rPr>
              <w:t>年、</w:t>
            </w:r>
            <w:r>
              <w:rPr>
                <w:rFonts w:ascii="Times New Roman" w:eastAsia="宋体" w:hAnsi="Times New Roman" w:cs="Times New Roman" w:hint="eastAsia"/>
                <w:snapToGrid w:val="0"/>
                <w:kern w:val="0"/>
                <w:sz w:val="21"/>
                <w:szCs w:val="21"/>
                <w:lang w:eastAsia="en-US"/>
              </w:rPr>
              <w:t>5</w:t>
            </w:r>
            <w:r>
              <w:rPr>
                <w:rFonts w:ascii="Times New Roman" w:eastAsia="宋体" w:hAnsi="Times New Roman" w:cs="Times New Roman" w:hint="eastAsia"/>
                <w:snapToGrid w:val="0"/>
                <w:kern w:val="0"/>
                <w:sz w:val="21"/>
                <w:szCs w:val="21"/>
                <w:lang w:eastAsia="en-US"/>
              </w:rPr>
              <w:t>年各监测一次，共</w:t>
            </w:r>
            <w:r>
              <w:rPr>
                <w:rFonts w:ascii="Times New Roman" w:eastAsia="宋体" w:hAnsi="Times New Roman" w:cs="Times New Roman" w:hint="eastAsia"/>
                <w:snapToGrid w:val="0"/>
                <w:kern w:val="0"/>
                <w:sz w:val="21"/>
                <w:szCs w:val="21"/>
                <w:lang w:eastAsia="en-US"/>
              </w:rPr>
              <w:t>5</w:t>
            </w:r>
            <w:r>
              <w:rPr>
                <w:rFonts w:ascii="Times New Roman" w:eastAsia="宋体" w:hAnsi="Times New Roman" w:cs="Times New Roman" w:hint="eastAsia"/>
                <w:snapToGrid w:val="0"/>
                <w:kern w:val="0"/>
                <w:sz w:val="21"/>
                <w:szCs w:val="21"/>
                <w:lang w:eastAsia="en-US"/>
              </w:rPr>
              <w:t>次</w:t>
            </w:r>
          </w:p>
        </w:tc>
      </w:tr>
      <w:tr w:rsidR="009D12AF" w14:paraId="18E60FBE" w14:textId="77777777">
        <w:trPr>
          <w:trHeight w:val="340"/>
          <w:jc w:val="center"/>
        </w:trPr>
        <w:tc>
          <w:tcPr>
            <w:tcW w:w="1292" w:type="pct"/>
            <w:gridSpan w:val="2"/>
            <w:tcBorders>
              <w:tl2br w:val="nil"/>
              <w:tr2bl w:val="nil"/>
            </w:tcBorders>
            <w:vAlign w:val="center"/>
          </w:tcPr>
          <w:p w14:paraId="4118C38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黑龙江省莲花湖地质公园</w:t>
            </w:r>
          </w:p>
        </w:tc>
        <w:tc>
          <w:tcPr>
            <w:tcW w:w="389" w:type="pct"/>
            <w:tcBorders>
              <w:tl2br w:val="nil"/>
              <w:tr2bl w:val="nil"/>
            </w:tcBorders>
            <w:vAlign w:val="center"/>
          </w:tcPr>
          <w:p w14:paraId="6E11A4F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2</w:t>
            </w:r>
          </w:p>
        </w:tc>
        <w:tc>
          <w:tcPr>
            <w:tcW w:w="710" w:type="pct"/>
            <w:tcBorders>
              <w:tl2br w:val="nil"/>
              <w:tr2bl w:val="nil"/>
            </w:tcBorders>
            <w:vAlign w:val="center"/>
          </w:tcPr>
          <w:p w14:paraId="35F3C91E"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129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46.23</w:t>
            </w:r>
            <w:r>
              <w:rPr>
                <w:rFonts w:ascii="Times New Roman" w:eastAsia="宋体" w:hAnsi="Times New Roman" w:cs="Times New Roman" w:hint="eastAsia"/>
                <w:snapToGrid w:val="0"/>
                <w:kern w:val="0"/>
                <w:sz w:val="21"/>
                <w:szCs w:val="21"/>
                <w:lang w:eastAsia="en-US"/>
              </w:rPr>
              <w:t>″</w:t>
            </w:r>
          </w:p>
        </w:tc>
        <w:tc>
          <w:tcPr>
            <w:tcW w:w="661" w:type="pct"/>
            <w:tcBorders>
              <w:tl2br w:val="nil"/>
              <w:tr2bl w:val="nil"/>
            </w:tcBorders>
            <w:vAlign w:val="center"/>
          </w:tcPr>
          <w:p w14:paraId="64774EC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44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53</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35.73</w:t>
            </w:r>
            <w:r>
              <w:rPr>
                <w:rFonts w:ascii="Times New Roman" w:eastAsia="宋体" w:hAnsi="Times New Roman" w:cs="Times New Roman" w:hint="eastAsia"/>
                <w:snapToGrid w:val="0"/>
                <w:kern w:val="0"/>
                <w:sz w:val="21"/>
                <w:szCs w:val="21"/>
                <w:lang w:eastAsia="en-US"/>
              </w:rPr>
              <w:t>″</w:t>
            </w:r>
          </w:p>
        </w:tc>
        <w:tc>
          <w:tcPr>
            <w:tcW w:w="1496" w:type="pct"/>
            <w:vMerge/>
            <w:tcBorders>
              <w:tl2br w:val="nil"/>
              <w:tr2bl w:val="nil"/>
            </w:tcBorders>
            <w:vAlign w:val="center"/>
          </w:tcPr>
          <w:p w14:paraId="50150732"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452" w:type="pct"/>
            <w:vMerge/>
            <w:tcBorders>
              <w:tl2br w:val="nil"/>
              <w:tr2bl w:val="nil"/>
            </w:tcBorders>
            <w:vAlign w:val="center"/>
          </w:tcPr>
          <w:p w14:paraId="51C1F523"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02B07B01" w14:textId="77777777">
        <w:trPr>
          <w:trHeight w:val="340"/>
          <w:jc w:val="center"/>
        </w:trPr>
        <w:tc>
          <w:tcPr>
            <w:tcW w:w="1292" w:type="pct"/>
            <w:gridSpan w:val="2"/>
            <w:tcBorders>
              <w:tl2br w:val="nil"/>
              <w:tr2bl w:val="nil"/>
            </w:tcBorders>
            <w:vAlign w:val="center"/>
          </w:tcPr>
          <w:p w14:paraId="4CF69F3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海林莲花湖风景名胜区</w:t>
            </w:r>
          </w:p>
        </w:tc>
        <w:tc>
          <w:tcPr>
            <w:tcW w:w="389" w:type="pct"/>
            <w:tcBorders>
              <w:tl2br w:val="nil"/>
              <w:tr2bl w:val="nil"/>
            </w:tcBorders>
            <w:vAlign w:val="center"/>
          </w:tcPr>
          <w:p w14:paraId="2C4643B1"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3</w:t>
            </w:r>
          </w:p>
        </w:tc>
        <w:tc>
          <w:tcPr>
            <w:tcW w:w="710" w:type="pct"/>
            <w:tcBorders>
              <w:tl2br w:val="nil"/>
              <w:tr2bl w:val="nil"/>
            </w:tcBorders>
            <w:vAlign w:val="center"/>
          </w:tcPr>
          <w:p w14:paraId="1E9FA0D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129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38</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15.83</w:t>
            </w:r>
            <w:r>
              <w:rPr>
                <w:rFonts w:ascii="Times New Roman" w:eastAsia="宋体" w:hAnsi="Times New Roman" w:cs="Times New Roman" w:hint="eastAsia"/>
                <w:snapToGrid w:val="0"/>
                <w:kern w:val="0"/>
                <w:sz w:val="21"/>
                <w:szCs w:val="21"/>
                <w:lang w:eastAsia="en-US"/>
              </w:rPr>
              <w:t>″</w:t>
            </w:r>
          </w:p>
        </w:tc>
        <w:tc>
          <w:tcPr>
            <w:tcW w:w="661" w:type="pct"/>
            <w:tcBorders>
              <w:tl2br w:val="nil"/>
              <w:tr2bl w:val="nil"/>
            </w:tcBorders>
            <w:vAlign w:val="center"/>
          </w:tcPr>
          <w:p w14:paraId="6CE91849"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44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14.38</w:t>
            </w:r>
            <w:r>
              <w:rPr>
                <w:rFonts w:ascii="Times New Roman" w:eastAsia="宋体" w:hAnsi="Times New Roman" w:cs="Times New Roman" w:hint="eastAsia"/>
                <w:snapToGrid w:val="0"/>
                <w:kern w:val="0"/>
                <w:sz w:val="21"/>
                <w:szCs w:val="21"/>
                <w:lang w:eastAsia="en-US"/>
              </w:rPr>
              <w:t>″</w:t>
            </w:r>
          </w:p>
        </w:tc>
        <w:tc>
          <w:tcPr>
            <w:tcW w:w="1496" w:type="pct"/>
            <w:vMerge/>
            <w:tcBorders>
              <w:tl2br w:val="nil"/>
              <w:tr2bl w:val="nil"/>
            </w:tcBorders>
            <w:vAlign w:val="center"/>
          </w:tcPr>
          <w:p w14:paraId="4555A8B9"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452" w:type="pct"/>
            <w:vMerge/>
            <w:tcBorders>
              <w:tl2br w:val="nil"/>
              <w:tr2bl w:val="nil"/>
            </w:tcBorders>
            <w:vAlign w:val="center"/>
          </w:tcPr>
          <w:p w14:paraId="023692F5"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0545A2C7" w14:textId="77777777">
        <w:trPr>
          <w:trHeight w:val="340"/>
          <w:jc w:val="center"/>
        </w:trPr>
        <w:tc>
          <w:tcPr>
            <w:tcW w:w="1292" w:type="pct"/>
            <w:gridSpan w:val="2"/>
            <w:tcBorders>
              <w:tl2br w:val="nil"/>
              <w:tr2bl w:val="nil"/>
            </w:tcBorders>
            <w:vAlign w:val="center"/>
          </w:tcPr>
          <w:p w14:paraId="476B791B"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威虎山国家森林公园</w:t>
            </w:r>
          </w:p>
        </w:tc>
        <w:tc>
          <w:tcPr>
            <w:tcW w:w="389" w:type="pct"/>
            <w:tcBorders>
              <w:tl2br w:val="nil"/>
              <w:tr2bl w:val="nil"/>
            </w:tcBorders>
            <w:vAlign w:val="center"/>
          </w:tcPr>
          <w:p w14:paraId="0111E3F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4</w:t>
            </w:r>
          </w:p>
        </w:tc>
        <w:tc>
          <w:tcPr>
            <w:tcW w:w="710" w:type="pct"/>
            <w:tcBorders>
              <w:tl2br w:val="nil"/>
              <w:tr2bl w:val="nil"/>
            </w:tcBorders>
            <w:vAlign w:val="center"/>
          </w:tcPr>
          <w:p w14:paraId="266225F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129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38</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32.14</w:t>
            </w:r>
            <w:r>
              <w:rPr>
                <w:rFonts w:ascii="Times New Roman" w:eastAsia="宋体" w:hAnsi="Times New Roman" w:cs="Times New Roman" w:hint="eastAsia"/>
                <w:snapToGrid w:val="0"/>
                <w:kern w:val="0"/>
                <w:sz w:val="21"/>
                <w:szCs w:val="21"/>
                <w:lang w:eastAsia="en-US"/>
              </w:rPr>
              <w:t>″</w:t>
            </w:r>
          </w:p>
        </w:tc>
        <w:tc>
          <w:tcPr>
            <w:tcW w:w="661" w:type="pct"/>
            <w:tcBorders>
              <w:tl2br w:val="nil"/>
              <w:tr2bl w:val="nil"/>
            </w:tcBorders>
            <w:vAlign w:val="center"/>
          </w:tcPr>
          <w:p w14:paraId="1E56211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44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1.19</w:t>
            </w:r>
            <w:r>
              <w:rPr>
                <w:rFonts w:ascii="Times New Roman" w:eastAsia="宋体" w:hAnsi="Times New Roman" w:cs="Times New Roman" w:hint="eastAsia"/>
                <w:snapToGrid w:val="0"/>
                <w:kern w:val="0"/>
                <w:sz w:val="21"/>
                <w:szCs w:val="21"/>
                <w:lang w:eastAsia="en-US"/>
              </w:rPr>
              <w:t>″</w:t>
            </w:r>
          </w:p>
        </w:tc>
        <w:tc>
          <w:tcPr>
            <w:tcW w:w="1496" w:type="pct"/>
            <w:vMerge/>
            <w:tcBorders>
              <w:tl2br w:val="nil"/>
              <w:tr2bl w:val="nil"/>
            </w:tcBorders>
            <w:vAlign w:val="center"/>
          </w:tcPr>
          <w:p w14:paraId="693F1C9E"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452" w:type="pct"/>
            <w:vMerge/>
            <w:tcBorders>
              <w:tl2br w:val="nil"/>
              <w:tr2bl w:val="nil"/>
            </w:tcBorders>
            <w:vAlign w:val="center"/>
          </w:tcPr>
          <w:p w14:paraId="3539CBA1"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296AFB72" w14:textId="77777777">
        <w:trPr>
          <w:trHeight w:val="340"/>
          <w:jc w:val="center"/>
        </w:trPr>
        <w:tc>
          <w:tcPr>
            <w:tcW w:w="1292" w:type="pct"/>
            <w:gridSpan w:val="2"/>
            <w:tcBorders>
              <w:tl2br w:val="nil"/>
              <w:tr2bl w:val="nil"/>
            </w:tcBorders>
            <w:vAlign w:val="center"/>
          </w:tcPr>
          <w:p w14:paraId="5B82641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生态保护红线</w:t>
            </w:r>
          </w:p>
        </w:tc>
        <w:tc>
          <w:tcPr>
            <w:tcW w:w="389" w:type="pct"/>
            <w:tcBorders>
              <w:tl2br w:val="nil"/>
              <w:tr2bl w:val="nil"/>
            </w:tcBorders>
            <w:vAlign w:val="center"/>
          </w:tcPr>
          <w:p w14:paraId="344792B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5</w:t>
            </w:r>
          </w:p>
        </w:tc>
        <w:tc>
          <w:tcPr>
            <w:tcW w:w="710" w:type="pct"/>
            <w:tcBorders>
              <w:tl2br w:val="nil"/>
              <w:tr2bl w:val="nil"/>
            </w:tcBorders>
            <w:vAlign w:val="center"/>
          </w:tcPr>
          <w:p w14:paraId="38D52D3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129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38</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50.56</w:t>
            </w:r>
            <w:r>
              <w:rPr>
                <w:rFonts w:ascii="Times New Roman" w:eastAsia="宋体" w:hAnsi="Times New Roman" w:cs="Times New Roman" w:hint="eastAsia"/>
                <w:snapToGrid w:val="0"/>
                <w:kern w:val="0"/>
                <w:sz w:val="21"/>
                <w:szCs w:val="21"/>
                <w:lang w:eastAsia="en-US"/>
              </w:rPr>
              <w:t>″</w:t>
            </w:r>
          </w:p>
        </w:tc>
        <w:tc>
          <w:tcPr>
            <w:tcW w:w="661" w:type="pct"/>
            <w:tcBorders>
              <w:tl2br w:val="nil"/>
              <w:tr2bl w:val="nil"/>
            </w:tcBorders>
            <w:vAlign w:val="center"/>
          </w:tcPr>
          <w:p w14:paraId="65342E3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44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53</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53.90</w:t>
            </w:r>
            <w:r>
              <w:rPr>
                <w:rFonts w:ascii="Times New Roman" w:eastAsia="宋体" w:hAnsi="Times New Roman" w:cs="Times New Roman" w:hint="eastAsia"/>
                <w:snapToGrid w:val="0"/>
                <w:kern w:val="0"/>
                <w:sz w:val="21"/>
                <w:szCs w:val="21"/>
                <w:lang w:eastAsia="en-US"/>
              </w:rPr>
              <w:t>″</w:t>
            </w:r>
          </w:p>
        </w:tc>
        <w:tc>
          <w:tcPr>
            <w:tcW w:w="1496" w:type="pct"/>
            <w:vMerge/>
            <w:tcBorders>
              <w:tl2br w:val="nil"/>
              <w:tr2bl w:val="nil"/>
            </w:tcBorders>
            <w:vAlign w:val="center"/>
          </w:tcPr>
          <w:p w14:paraId="1DDD8CEF"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452" w:type="pct"/>
            <w:vMerge/>
            <w:tcBorders>
              <w:tl2br w:val="nil"/>
              <w:tr2bl w:val="nil"/>
            </w:tcBorders>
            <w:vAlign w:val="center"/>
          </w:tcPr>
          <w:p w14:paraId="577472F5"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1F9CD083" w14:textId="77777777">
        <w:trPr>
          <w:trHeight w:val="340"/>
          <w:jc w:val="center"/>
        </w:trPr>
        <w:tc>
          <w:tcPr>
            <w:tcW w:w="1292" w:type="pct"/>
            <w:gridSpan w:val="2"/>
            <w:tcBorders>
              <w:tl2br w:val="nil"/>
              <w:tr2bl w:val="nil"/>
            </w:tcBorders>
            <w:vAlign w:val="center"/>
          </w:tcPr>
          <w:p w14:paraId="083D011C"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永久基本农田</w:t>
            </w:r>
          </w:p>
        </w:tc>
        <w:tc>
          <w:tcPr>
            <w:tcW w:w="389" w:type="pct"/>
            <w:tcBorders>
              <w:tl2br w:val="nil"/>
              <w:tr2bl w:val="nil"/>
            </w:tcBorders>
            <w:vAlign w:val="center"/>
          </w:tcPr>
          <w:p w14:paraId="27604798"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6</w:t>
            </w:r>
          </w:p>
        </w:tc>
        <w:tc>
          <w:tcPr>
            <w:tcW w:w="710" w:type="pct"/>
            <w:tcBorders>
              <w:tl2br w:val="nil"/>
              <w:tr2bl w:val="nil"/>
            </w:tcBorders>
            <w:vAlign w:val="center"/>
          </w:tcPr>
          <w:p w14:paraId="33A76371"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129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19.38</w:t>
            </w:r>
            <w:r>
              <w:rPr>
                <w:rFonts w:ascii="Times New Roman" w:eastAsia="宋体" w:hAnsi="Times New Roman" w:cs="Times New Roman" w:hint="eastAsia"/>
                <w:snapToGrid w:val="0"/>
                <w:kern w:val="0"/>
                <w:sz w:val="21"/>
                <w:szCs w:val="21"/>
                <w:lang w:eastAsia="en-US"/>
              </w:rPr>
              <w:t>″</w:t>
            </w:r>
          </w:p>
        </w:tc>
        <w:tc>
          <w:tcPr>
            <w:tcW w:w="661" w:type="pct"/>
            <w:tcBorders>
              <w:tl2br w:val="nil"/>
              <w:tr2bl w:val="nil"/>
            </w:tcBorders>
            <w:vAlign w:val="center"/>
          </w:tcPr>
          <w:p w14:paraId="379EBBF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44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53</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48.05</w:t>
            </w:r>
            <w:r>
              <w:rPr>
                <w:rFonts w:ascii="Times New Roman" w:eastAsia="宋体" w:hAnsi="Times New Roman" w:cs="Times New Roman" w:hint="eastAsia"/>
                <w:snapToGrid w:val="0"/>
                <w:kern w:val="0"/>
                <w:sz w:val="21"/>
                <w:szCs w:val="21"/>
                <w:lang w:eastAsia="en-US"/>
              </w:rPr>
              <w:t>″</w:t>
            </w:r>
          </w:p>
        </w:tc>
        <w:tc>
          <w:tcPr>
            <w:tcW w:w="1496" w:type="pct"/>
            <w:vMerge/>
            <w:tcBorders>
              <w:tl2br w:val="nil"/>
              <w:tr2bl w:val="nil"/>
            </w:tcBorders>
            <w:vAlign w:val="center"/>
          </w:tcPr>
          <w:p w14:paraId="5F9EE639"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452" w:type="pct"/>
            <w:vMerge/>
            <w:tcBorders>
              <w:tl2br w:val="nil"/>
              <w:tr2bl w:val="nil"/>
            </w:tcBorders>
            <w:vAlign w:val="center"/>
          </w:tcPr>
          <w:p w14:paraId="6DF30893"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51D75708" w14:textId="77777777">
        <w:trPr>
          <w:trHeight w:val="340"/>
          <w:jc w:val="center"/>
        </w:trPr>
        <w:tc>
          <w:tcPr>
            <w:tcW w:w="1292" w:type="pct"/>
            <w:gridSpan w:val="2"/>
            <w:tcBorders>
              <w:tl2br w:val="nil"/>
              <w:tr2bl w:val="nil"/>
            </w:tcBorders>
            <w:vAlign w:val="center"/>
          </w:tcPr>
          <w:p w14:paraId="5DF7F4A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黑土地</w:t>
            </w:r>
          </w:p>
        </w:tc>
        <w:tc>
          <w:tcPr>
            <w:tcW w:w="389" w:type="pct"/>
            <w:tcBorders>
              <w:tl2br w:val="nil"/>
              <w:tr2bl w:val="nil"/>
            </w:tcBorders>
            <w:vAlign w:val="center"/>
          </w:tcPr>
          <w:p w14:paraId="0C7173F4"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7</w:t>
            </w:r>
          </w:p>
        </w:tc>
        <w:tc>
          <w:tcPr>
            <w:tcW w:w="710" w:type="pct"/>
            <w:tcBorders>
              <w:tl2br w:val="nil"/>
              <w:tr2bl w:val="nil"/>
            </w:tcBorders>
            <w:vAlign w:val="center"/>
          </w:tcPr>
          <w:p w14:paraId="7779FD7A"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129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51.973</w:t>
            </w:r>
          </w:p>
        </w:tc>
        <w:tc>
          <w:tcPr>
            <w:tcW w:w="661" w:type="pct"/>
            <w:tcBorders>
              <w:tl2br w:val="nil"/>
              <w:tr2bl w:val="nil"/>
            </w:tcBorders>
            <w:vAlign w:val="center"/>
          </w:tcPr>
          <w:p w14:paraId="1DFE271C"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44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16.87</w:t>
            </w:r>
            <w:r>
              <w:rPr>
                <w:rFonts w:ascii="Times New Roman" w:eastAsia="宋体" w:hAnsi="Times New Roman" w:cs="Times New Roman" w:hint="eastAsia"/>
                <w:snapToGrid w:val="0"/>
                <w:kern w:val="0"/>
                <w:sz w:val="21"/>
                <w:szCs w:val="21"/>
                <w:lang w:eastAsia="en-US"/>
              </w:rPr>
              <w:t>″</w:t>
            </w:r>
          </w:p>
        </w:tc>
        <w:tc>
          <w:tcPr>
            <w:tcW w:w="1496" w:type="pct"/>
            <w:vMerge/>
            <w:tcBorders>
              <w:tl2br w:val="nil"/>
              <w:tr2bl w:val="nil"/>
            </w:tcBorders>
            <w:vAlign w:val="center"/>
          </w:tcPr>
          <w:p w14:paraId="3A2F2554"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452" w:type="pct"/>
            <w:vMerge/>
            <w:tcBorders>
              <w:tl2br w:val="nil"/>
              <w:tr2bl w:val="nil"/>
            </w:tcBorders>
            <w:vAlign w:val="center"/>
          </w:tcPr>
          <w:p w14:paraId="3DB7DE48"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5B967904" w14:textId="77777777">
        <w:trPr>
          <w:trHeight w:val="340"/>
          <w:jc w:val="center"/>
        </w:trPr>
        <w:tc>
          <w:tcPr>
            <w:tcW w:w="1292" w:type="pct"/>
            <w:gridSpan w:val="2"/>
            <w:tcBorders>
              <w:tl2br w:val="nil"/>
              <w:tr2bl w:val="nil"/>
            </w:tcBorders>
            <w:vAlign w:val="center"/>
          </w:tcPr>
          <w:p w14:paraId="4D32B6CE"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生态公益林</w:t>
            </w:r>
          </w:p>
        </w:tc>
        <w:tc>
          <w:tcPr>
            <w:tcW w:w="389" w:type="pct"/>
            <w:tcBorders>
              <w:tl2br w:val="nil"/>
              <w:tr2bl w:val="nil"/>
            </w:tcBorders>
            <w:vAlign w:val="center"/>
          </w:tcPr>
          <w:p w14:paraId="2D9BE211"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8</w:t>
            </w:r>
          </w:p>
        </w:tc>
        <w:tc>
          <w:tcPr>
            <w:tcW w:w="710" w:type="pct"/>
            <w:tcBorders>
              <w:tl2br w:val="nil"/>
              <w:tr2bl w:val="nil"/>
            </w:tcBorders>
            <w:vAlign w:val="center"/>
          </w:tcPr>
          <w:p w14:paraId="503C68DC"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129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38</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19.64</w:t>
            </w:r>
            <w:r>
              <w:rPr>
                <w:rFonts w:ascii="Times New Roman" w:eastAsia="宋体" w:hAnsi="Times New Roman" w:cs="Times New Roman" w:hint="eastAsia"/>
                <w:snapToGrid w:val="0"/>
                <w:kern w:val="0"/>
                <w:sz w:val="21"/>
                <w:szCs w:val="21"/>
                <w:lang w:eastAsia="en-US"/>
              </w:rPr>
              <w:t>″</w:t>
            </w:r>
          </w:p>
        </w:tc>
        <w:tc>
          <w:tcPr>
            <w:tcW w:w="661" w:type="pct"/>
            <w:tcBorders>
              <w:tl2br w:val="nil"/>
              <w:tr2bl w:val="nil"/>
            </w:tcBorders>
            <w:vAlign w:val="center"/>
          </w:tcPr>
          <w:p w14:paraId="388FB31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44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1.49</w:t>
            </w:r>
            <w:r>
              <w:rPr>
                <w:rFonts w:ascii="Times New Roman" w:eastAsia="宋体" w:hAnsi="Times New Roman" w:cs="Times New Roman" w:hint="eastAsia"/>
                <w:snapToGrid w:val="0"/>
                <w:kern w:val="0"/>
                <w:sz w:val="21"/>
                <w:szCs w:val="21"/>
                <w:lang w:eastAsia="en-US"/>
              </w:rPr>
              <w:t>″</w:t>
            </w:r>
          </w:p>
        </w:tc>
        <w:tc>
          <w:tcPr>
            <w:tcW w:w="1496" w:type="pct"/>
            <w:vMerge/>
            <w:tcBorders>
              <w:tl2br w:val="nil"/>
              <w:tr2bl w:val="nil"/>
            </w:tcBorders>
            <w:vAlign w:val="center"/>
          </w:tcPr>
          <w:p w14:paraId="7BD633CC"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452" w:type="pct"/>
            <w:vMerge/>
            <w:tcBorders>
              <w:tl2br w:val="nil"/>
              <w:tr2bl w:val="nil"/>
            </w:tcBorders>
            <w:vAlign w:val="center"/>
          </w:tcPr>
          <w:p w14:paraId="638E0D06"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2B861892" w14:textId="77777777">
        <w:trPr>
          <w:trHeight w:val="340"/>
          <w:jc w:val="center"/>
        </w:trPr>
        <w:tc>
          <w:tcPr>
            <w:tcW w:w="489" w:type="pct"/>
            <w:vMerge w:val="restart"/>
            <w:tcBorders>
              <w:tl2br w:val="nil"/>
              <w:tr2bl w:val="nil"/>
            </w:tcBorders>
            <w:vAlign w:val="center"/>
          </w:tcPr>
          <w:p w14:paraId="36AD867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重点野生保护植物生境</w:t>
            </w:r>
          </w:p>
        </w:tc>
        <w:tc>
          <w:tcPr>
            <w:tcW w:w="803" w:type="pct"/>
            <w:tcBorders>
              <w:tl2br w:val="nil"/>
              <w:tr2bl w:val="nil"/>
            </w:tcBorders>
            <w:vAlign w:val="center"/>
          </w:tcPr>
          <w:p w14:paraId="3A0D42C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红松</w:t>
            </w:r>
          </w:p>
        </w:tc>
        <w:tc>
          <w:tcPr>
            <w:tcW w:w="389" w:type="pct"/>
            <w:tcBorders>
              <w:tl2br w:val="nil"/>
              <w:tr2bl w:val="nil"/>
            </w:tcBorders>
            <w:vAlign w:val="center"/>
          </w:tcPr>
          <w:p w14:paraId="29C880B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9</w:t>
            </w:r>
          </w:p>
        </w:tc>
        <w:tc>
          <w:tcPr>
            <w:tcW w:w="710" w:type="pct"/>
            <w:tcBorders>
              <w:tl2br w:val="nil"/>
              <w:tr2bl w:val="nil"/>
            </w:tcBorders>
            <w:vAlign w:val="center"/>
          </w:tcPr>
          <w:p w14:paraId="0BFE1EC9"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129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38</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19.23</w:t>
            </w:r>
            <w:r>
              <w:rPr>
                <w:rFonts w:ascii="Times New Roman" w:eastAsia="宋体" w:hAnsi="Times New Roman" w:cs="Times New Roman" w:hint="eastAsia"/>
                <w:snapToGrid w:val="0"/>
                <w:kern w:val="0"/>
                <w:sz w:val="21"/>
                <w:szCs w:val="21"/>
                <w:lang w:eastAsia="en-US"/>
              </w:rPr>
              <w:t>″</w:t>
            </w:r>
          </w:p>
        </w:tc>
        <w:tc>
          <w:tcPr>
            <w:tcW w:w="661" w:type="pct"/>
            <w:tcBorders>
              <w:tl2br w:val="nil"/>
              <w:tr2bl w:val="nil"/>
            </w:tcBorders>
            <w:vAlign w:val="center"/>
          </w:tcPr>
          <w:p w14:paraId="2EEFAAA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44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38.45</w:t>
            </w:r>
            <w:r>
              <w:rPr>
                <w:rFonts w:ascii="Times New Roman" w:eastAsia="宋体" w:hAnsi="Times New Roman" w:cs="Times New Roman" w:hint="eastAsia"/>
                <w:snapToGrid w:val="0"/>
                <w:kern w:val="0"/>
                <w:sz w:val="21"/>
                <w:szCs w:val="21"/>
                <w:lang w:eastAsia="en-US"/>
              </w:rPr>
              <w:t>″</w:t>
            </w:r>
          </w:p>
        </w:tc>
        <w:tc>
          <w:tcPr>
            <w:tcW w:w="1496" w:type="pct"/>
            <w:vMerge/>
            <w:tcBorders>
              <w:tl2br w:val="nil"/>
              <w:tr2bl w:val="nil"/>
            </w:tcBorders>
            <w:vAlign w:val="center"/>
          </w:tcPr>
          <w:p w14:paraId="3B71E9BC"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452" w:type="pct"/>
            <w:vMerge/>
            <w:tcBorders>
              <w:tl2br w:val="nil"/>
              <w:tr2bl w:val="nil"/>
            </w:tcBorders>
            <w:vAlign w:val="center"/>
          </w:tcPr>
          <w:p w14:paraId="1C20A5D2"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5D79F703" w14:textId="77777777">
        <w:trPr>
          <w:trHeight w:val="340"/>
          <w:jc w:val="center"/>
        </w:trPr>
        <w:tc>
          <w:tcPr>
            <w:tcW w:w="489" w:type="pct"/>
            <w:vMerge/>
            <w:tcBorders>
              <w:tl2br w:val="nil"/>
              <w:tr2bl w:val="nil"/>
            </w:tcBorders>
            <w:vAlign w:val="center"/>
          </w:tcPr>
          <w:p w14:paraId="5269641E"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803" w:type="pct"/>
            <w:tcBorders>
              <w:tl2br w:val="nil"/>
              <w:tr2bl w:val="nil"/>
            </w:tcBorders>
            <w:vAlign w:val="center"/>
          </w:tcPr>
          <w:p w14:paraId="3032ACE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黄檗</w:t>
            </w:r>
          </w:p>
        </w:tc>
        <w:tc>
          <w:tcPr>
            <w:tcW w:w="389" w:type="pct"/>
            <w:tcBorders>
              <w:tl2br w:val="nil"/>
              <w:tr2bl w:val="nil"/>
            </w:tcBorders>
            <w:vAlign w:val="center"/>
          </w:tcPr>
          <w:p w14:paraId="231F601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w:t>
            </w:r>
            <w:r>
              <w:rPr>
                <w:rFonts w:ascii="Times New Roman" w:eastAsia="宋体" w:hAnsi="Times New Roman" w:cs="Times New Roman"/>
                <w:snapToGrid w:val="0"/>
                <w:kern w:val="0"/>
                <w:sz w:val="21"/>
                <w:szCs w:val="21"/>
                <w:lang w:eastAsia="en-US"/>
              </w:rPr>
              <w:t>0</w:t>
            </w:r>
          </w:p>
        </w:tc>
        <w:tc>
          <w:tcPr>
            <w:tcW w:w="710" w:type="pct"/>
            <w:tcBorders>
              <w:tl2br w:val="nil"/>
              <w:tr2bl w:val="nil"/>
            </w:tcBorders>
            <w:vAlign w:val="center"/>
          </w:tcPr>
          <w:p w14:paraId="05B58A0E"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129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38</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11.50</w:t>
            </w:r>
            <w:r>
              <w:rPr>
                <w:rFonts w:ascii="Times New Roman" w:eastAsia="宋体" w:hAnsi="Times New Roman" w:cs="Times New Roman" w:hint="eastAsia"/>
                <w:snapToGrid w:val="0"/>
                <w:kern w:val="0"/>
                <w:sz w:val="21"/>
                <w:szCs w:val="21"/>
                <w:lang w:eastAsia="en-US"/>
              </w:rPr>
              <w:t>″</w:t>
            </w:r>
          </w:p>
        </w:tc>
        <w:tc>
          <w:tcPr>
            <w:tcW w:w="661" w:type="pct"/>
            <w:tcBorders>
              <w:tl2br w:val="nil"/>
              <w:tr2bl w:val="nil"/>
            </w:tcBorders>
            <w:vAlign w:val="center"/>
          </w:tcPr>
          <w:p w14:paraId="207DE3B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44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53</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52.81</w:t>
            </w:r>
            <w:r>
              <w:rPr>
                <w:rFonts w:ascii="Times New Roman" w:eastAsia="宋体" w:hAnsi="Times New Roman" w:cs="Times New Roman" w:hint="eastAsia"/>
                <w:snapToGrid w:val="0"/>
                <w:kern w:val="0"/>
                <w:sz w:val="21"/>
                <w:szCs w:val="21"/>
                <w:lang w:eastAsia="en-US"/>
              </w:rPr>
              <w:t>″</w:t>
            </w:r>
          </w:p>
        </w:tc>
        <w:tc>
          <w:tcPr>
            <w:tcW w:w="1496" w:type="pct"/>
            <w:vMerge/>
            <w:tcBorders>
              <w:tl2br w:val="nil"/>
              <w:tr2bl w:val="nil"/>
            </w:tcBorders>
            <w:vAlign w:val="center"/>
          </w:tcPr>
          <w:p w14:paraId="18950EBD"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452" w:type="pct"/>
            <w:vMerge/>
            <w:tcBorders>
              <w:tl2br w:val="nil"/>
              <w:tr2bl w:val="nil"/>
            </w:tcBorders>
            <w:vAlign w:val="center"/>
          </w:tcPr>
          <w:p w14:paraId="296331CB"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521AAF29" w14:textId="77777777">
        <w:trPr>
          <w:trHeight w:val="340"/>
          <w:jc w:val="center"/>
        </w:trPr>
        <w:tc>
          <w:tcPr>
            <w:tcW w:w="489" w:type="pct"/>
            <w:vMerge/>
            <w:tcBorders>
              <w:tl2br w:val="nil"/>
              <w:tr2bl w:val="nil"/>
            </w:tcBorders>
            <w:vAlign w:val="center"/>
          </w:tcPr>
          <w:p w14:paraId="2B0605C2"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803" w:type="pct"/>
            <w:tcBorders>
              <w:tl2br w:val="nil"/>
              <w:tr2bl w:val="nil"/>
            </w:tcBorders>
            <w:vAlign w:val="center"/>
          </w:tcPr>
          <w:p w14:paraId="2117AAE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水曲柳</w:t>
            </w:r>
          </w:p>
        </w:tc>
        <w:tc>
          <w:tcPr>
            <w:tcW w:w="389" w:type="pct"/>
            <w:tcBorders>
              <w:tl2br w:val="nil"/>
              <w:tr2bl w:val="nil"/>
            </w:tcBorders>
            <w:vAlign w:val="center"/>
          </w:tcPr>
          <w:p w14:paraId="24037DEA"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w:t>
            </w:r>
            <w:r>
              <w:rPr>
                <w:rFonts w:ascii="Times New Roman" w:eastAsia="宋体" w:hAnsi="Times New Roman" w:cs="Times New Roman"/>
                <w:snapToGrid w:val="0"/>
                <w:kern w:val="0"/>
                <w:sz w:val="21"/>
                <w:szCs w:val="21"/>
                <w:lang w:eastAsia="en-US"/>
              </w:rPr>
              <w:t>1</w:t>
            </w:r>
          </w:p>
        </w:tc>
        <w:tc>
          <w:tcPr>
            <w:tcW w:w="710" w:type="pct"/>
            <w:tcBorders>
              <w:tl2br w:val="nil"/>
              <w:tr2bl w:val="nil"/>
            </w:tcBorders>
            <w:vAlign w:val="center"/>
          </w:tcPr>
          <w:p w14:paraId="35023D5F"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129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38</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7.02</w:t>
            </w:r>
            <w:r>
              <w:rPr>
                <w:rFonts w:ascii="Times New Roman" w:eastAsia="宋体" w:hAnsi="Times New Roman" w:cs="Times New Roman" w:hint="eastAsia"/>
                <w:snapToGrid w:val="0"/>
                <w:kern w:val="0"/>
                <w:sz w:val="21"/>
                <w:szCs w:val="21"/>
                <w:lang w:eastAsia="en-US"/>
              </w:rPr>
              <w:t>″</w:t>
            </w:r>
          </w:p>
        </w:tc>
        <w:tc>
          <w:tcPr>
            <w:tcW w:w="661" w:type="pct"/>
            <w:tcBorders>
              <w:tl2br w:val="nil"/>
              <w:tr2bl w:val="nil"/>
            </w:tcBorders>
            <w:vAlign w:val="center"/>
          </w:tcPr>
          <w:p w14:paraId="31F9244E"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44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2.78</w:t>
            </w:r>
            <w:r>
              <w:rPr>
                <w:rFonts w:ascii="Times New Roman" w:eastAsia="宋体" w:hAnsi="Times New Roman" w:cs="Times New Roman" w:hint="eastAsia"/>
                <w:snapToGrid w:val="0"/>
                <w:kern w:val="0"/>
                <w:sz w:val="21"/>
                <w:szCs w:val="21"/>
                <w:lang w:eastAsia="en-US"/>
              </w:rPr>
              <w:t>″</w:t>
            </w:r>
          </w:p>
        </w:tc>
        <w:tc>
          <w:tcPr>
            <w:tcW w:w="1496" w:type="pct"/>
            <w:vMerge/>
            <w:tcBorders>
              <w:tl2br w:val="nil"/>
              <w:tr2bl w:val="nil"/>
            </w:tcBorders>
            <w:vAlign w:val="center"/>
          </w:tcPr>
          <w:p w14:paraId="3DF2800E"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452" w:type="pct"/>
            <w:vMerge/>
            <w:tcBorders>
              <w:tl2br w:val="nil"/>
              <w:tr2bl w:val="nil"/>
            </w:tcBorders>
            <w:vAlign w:val="center"/>
          </w:tcPr>
          <w:p w14:paraId="1B276A03"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18611DD4" w14:textId="77777777">
        <w:trPr>
          <w:trHeight w:val="340"/>
          <w:jc w:val="center"/>
        </w:trPr>
        <w:tc>
          <w:tcPr>
            <w:tcW w:w="489" w:type="pct"/>
            <w:vMerge/>
            <w:tcBorders>
              <w:tl2br w:val="nil"/>
              <w:tr2bl w:val="nil"/>
            </w:tcBorders>
            <w:vAlign w:val="center"/>
          </w:tcPr>
          <w:p w14:paraId="64BE88F7"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803" w:type="pct"/>
            <w:tcBorders>
              <w:tl2br w:val="nil"/>
              <w:tr2bl w:val="nil"/>
            </w:tcBorders>
            <w:vAlign w:val="center"/>
          </w:tcPr>
          <w:p w14:paraId="7C995A19"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樟子松</w:t>
            </w:r>
          </w:p>
        </w:tc>
        <w:tc>
          <w:tcPr>
            <w:tcW w:w="389" w:type="pct"/>
            <w:tcBorders>
              <w:tl2br w:val="nil"/>
              <w:tr2bl w:val="nil"/>
            </w:tcBorders>
            <w:vAlign w:val="center"/>
          </w:tcPr>
          <w:p w14:paraId="22226047"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w:t>
            </w:r>
            <w:r>
              <w:rPr>
                <w:rFonts w:ascii="Times New Roman" w:eastAsia="宋体" w:hAnsi="Times New Roman" w:cs="Times New Roman"/>
                <w:snapToGrid w:val="0"/>
                <w:kern w:val="0"/>
                <w:sz w:val="21"/>
                <w:szCs w:val="21"/>
                <w:lang w:eastAsia="en-US"/>
              </w:rPr>
              <w:t>2</w:t>
            </w:r>
          </w:p>
        </w:tc>
        <w:tc>
          <w:tcPr>
            <w:tcW w:w="710" w:type="pct"/>
            <w:tcBorders>
              <w:tl2br w:val="nil"/>
              <w:tr2bl w:val="nil"/>
            </w:tcBorders>
            <w:vAlign w:val="center"/>
          </w:tcPr>
          <w:p w14:paraId="1BD44C8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129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40</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25.01</w:t>
            </w:r>
            <w:r>
              <w:rPr>
                <w:rFonts w:ascii="Times New Roman" w:eastAsia="宋体" w:hAnsi="Times New Roman" w:cs="Times New Roman" w:hint="eastAsia"/>
                <w:snapToGrid w:val="0"/>
                <w:kern w:val="0"/>
                <w:sz w:val="21"/>
                <w:szCs w:val="21"/>
                <w:lang w:eastAsia="en-US"/>
              </w:rPr>
              <w:t>″</w:t>
            </w:r>
          </w:p>
        </w:tc>
        <w:tc>
          <w:tcPr>
            <w:tcW w:w="661" w:type="pct"/>
            <w:tcBorders>
              <w:tl2br w:val="nil"/>
              <w:tr2bl w:val="nil"/>
            </w:tcBorders>
            <w:vAlign w:val="center"/>
          </w:tcPr>
          <w:p w14:paraId="3A897F03"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44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22.35</w:t>
            </w:r>
            <w:r>
              <w:rPr>
                <w:rFonts w:ascii="Times New Roman" w:eastAsia="宋体" w:hAnsi="Times New Roman" w:cs="Times New Roman" w:hint="eastAsia"/>
                <w:snapToGrid w:val="0"/>
                <w:kern w:val="0"/>
                <w:sz w:val="21"/>
                <w:szCs w:val="21"/>
                <w:lang w:eastAsia="en-US"/>
              </w:rPr>
              <w:t>″</w:t>
            </w:r>
          </w:p>
        </w:tc>
        <w:tc>
          <w:tcPr>
            <w:tcW w:w="1496" w:type="pct"/>
            <w:vMerge/>
            <w:tcBorders>
              <w:tl2br w:val="nil"/>
              <w:tr2bl w:val="nil"/>
            </w:tcBorders>
            <w:vAlign w:val="center"/>
          </w:tcPr>
          <w:p w14:paraId="47DA5BFF"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452" w:type="pct"/>
            <w:vMerge/>
            <w:tcBorders>
              <w:tl2br w:val="nil"/>
              <w:tr2bl w:val="nil"/>
            </w:tcBorders>
            <w:vAlign w:val="center"/>
          </w:tcPr>
          <w:p w14:paraId="1F083189"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096FA1D3" w14:textId="77777777">
        <w:trPr>
          <w:trHeight w:val="340"/>
          <w:jc w:val="center"/>
        </w:trPr>
        <w:tc>
          <w:tcPr>
            <w:tcW w:w="489" w:type="pct"/>
            <w:vMerge w:val="restart"/>
            <w:tcBorders>
              <w:tl2br w:val="nil"/>
              <w:tr2bl w:val="nil"/>
            </w:tcBorders>
            <w:vAlign w:val="center"/>
          </w:tcPr>
          <w:p w14:paraId="60C2055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重点野生保</w:t>
            </w:r>
            <w:r>
              <w:rPr>
                <w:rFonts w:ascii="Times New Roman" w:eastAsia="宋体" w:hAnsi="Times New Roman" w:cs="Times New Roman"/>
                <w:snapToGrid w:val="0"/>
                <w:kern w:val="0"/>
                <w:sz w:val="21"/>
                <w:szCs w:val="21"/>
                <w:lang w:eastAsia="en-US"/>
              </w:rPr>
              <w:lastRenderedPageBreak/>
              <w:t>护动物生境</w:t>
            </w:r>
          </w:p>
        </w:tc>
        <w:tc>
          <w:tcPr>
            <w:tcW w:w="803" w:type="pct"/>
            <w:tcBorders>
              <w:tl2br w:val="nil"/>
              <w:tr2bl w:val="nil"/>
            </w:tcBorders>
            <w:vAlign w:val="center"/>
          </w:tcPr>
          <w:p w14:paraId="0E52A9DA"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lastRenderedPageBreak/>
              <w:t>东方白鹳</w:t>
            </w:r>
          </w:p>
        </w:tc>
        <w:tc>
          <w:tcPr>
            <w:tcW w:w="389" w:type="pct"/>
            <w:tcBorders>
              <w:tl2br w:val="nil"/>
              <w:tr2bl w:val="nil"/>
            </w:tcBorders>
            <w:vAlign w:val="center"/>
          </w:tcPr>
          <w:p w14:paraId="144AD73B"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snapToGrid w:val="0"/>
                <w:kern w:val="0"/>
                <w:sz w:val="21"/>
                <w:szCs w:val="21"/>
                <w:lang w:eastAsia="en-US"/>
              </w:rPr>
              <w:t>13</w:t>
            </w:r>
          </w:p>
        </w:tc>
        <w:tc>
          <w:tcPr>
            <w:tcW w:w="710" w:type="pct"/>
            <w:tcBorders>
              <w:tl2br w:val="nil"/>
              <w:tr2bl w:val="nil"/>
            </w:tcBorders>
            <w:vAlign w:val="center"/>
          </w:tcPr>
          <w:p w14:paraId="162FAD68"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129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38</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54.16</w:t>
            </w:r>
            <w:r>
              <w:rPr>
                <w:rFonts w:ascii="Times New Roman" w:eastAsia="宋体" w:hAnsi="Times New Roman" w:cs="Times New Roman" w:hint="eastAsia"/>
                <w:snapToGrid w:val="0"/>
                <w:kern w:val="0"/>
                <w:sz w:val="21"/>
                <w:szCs w:val="21"/>
                <w:lang w:eastAsia="en-US"/>
              </w:rPr>
              <w:t>″</w:t>
            </w:r>
          </w:p>
        </w:tc>
        <w:tc>
          <w:tcPr>
            <w:tcW w:w="661" w:type="pct"/>
            <w:tcBorders>
              <w:tl2br w:val="nil"/>
              <w:tr2bl w:val="nil"/>
            </w:tcBorders>
            <w:vAlign w:val="center"/>
          </w:tcPr>
          <w:p w14:paraId="3E1C2062"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44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53.91</w:t>
            </w:r>
            <w:r>
              <w:rPr>
                <w:rFonts w:ascii="Times New Roman" w:eastAsia="宋体" w:hAnsi="Times New Roman" w:cs="Times New Roman" w:hint="eastAsia"/>
                <w:snapToGrid w:val="0"/>
                <w:kern w:val="0"/>
                <w:sz w:val="21"/>
                <w:szCs w:val="21"/>
                <w:lang w:eastAsia="en-US"/>
              </w:rPr>
              <w:t>″</w:t>
            </w:r>
          </w:p>
        </w:tc>
        <w:tc>
          <w:tcPr>
            <w:tcW w:w="1496" w:type="pct"/>
            <w:vMerge/>
            <w:tcBorders>
              <w:tl2br w:val="nil"/>
              <w:tr2bl w:val="nil"/>
            </w:tcBorders>
            <w:vAlign w:val="center"/>
          </w:tcPr>
          <w:p w14:paraId="581332E1"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452" w:type="pct"/>
            <w:vMerge/>
            <w:tcBorders>
              <w:tl2br w:val="nil"/>
              <w:tr2bl w:val="nil"/>
            </w:tcBorders>
            <w:vAlign w:val="center"/>
          </w:tcPr>
          <w:p w14:paraId="7393D56D"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2F56588C" w14:textId="77777777">
        <w:trPr>
          <w:trHeight w:val="340"/>
          <w:jc w:val="center"/>
        </w:trPr>
        <w:tc>
          <w:tcPr>
            <w:tcW w:w="489" w:type="pct"/>
            <w:vMerge/>
            <w:tcBorders>
              <w:tl2br w:val="nil"/>
              <w:tr2bl w:val="nil"/>
            </w:tcBorders>
            <w:vAlign w:val="center"/>
          </w:tcPr>
          <w:p w14:paraId="1A9FCC6F"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803" w:type="pct"/>
            <w:tcBorders>
              <w:tl2br w:val="nil"/>
              <w:tr2bl w:val="nil"/>
            </w:tcBorders>
            <w:vAlign w:val="center"/>
          </w:tcPr>
          <w:p w14:paraId="7F727B5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红隼</w:t>
            </w:r>
          </w:p>
        </w:tc>
        <w:tc>
          <w:tcPr>
            <w:tcW w:w="389" w:type="pct"/>
            <w:tcBorders>
              <w:tl2br w:val="nil"/>
              <w:tr2bl w:val="nil"/>
            </w:tcBorders>
            <w:vAlign w:val="center"/>
          </w:tcPr>
          <w:p w14:paraId="65F1A6B8"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w:t>
            </w:r>
            <w:r>
              <w:rPr>
                <w:rFonts w:ascii="Times New Roman" w:eastAsia="宋体" w:hAnsi="Times New Roman" w:cs="Times New Roman"/>
                <w:snapToGrid w:val="0"/>
                <w:kern w:val="0"/>
                <w:sz w:val="21"/>
                <w:szCs w:val="21"/>
                <w:lang w:eastAsia="en-US"/>
              </w:rPr>
              <w:t>4</w:t>
            </w:r>
          </w:p>
        </w:tc>
        <w:tc>
          <w:tcPr>
            <w:tcW w:w="710" w:type="pct"/>
            <w:tcBorders>
              <w:tl2br w:val="nil"/>
              <w:tr2bl w:val="nil"/>
            </w:tcBorders>
            <w:vAlign w:val="center"/>
          </w:tcPr>
          <w:p w14:paraId="0295C80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129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40</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9.818</w:t>
            </w:r>
            <w:r>
              <w:rPr>
                <w:rFonts w:ascii="Times New Roman" w:eastAsia="宋体" w:hAnsi="Times New Roman" w:cs="Times New Roman" w:hint="eastAsia"/>
                <w:snapToGrid w:val="0"/>
                <w:kern w:val="0"/>
                <w:sz w:val="21"/>
                <w:szCs w:val="21"/>
                <w:lang w:eastAsia="en-US"/>
              </w:rPr>
              <w:t>″</w:t>
            </w:r>
          </w:p>
        </w:tc>
        <w:tc>
          <w:tcPr>
            <w:tcW w:w="661" w:type="pct"/>
            <w:tcBorders>
              <w:tl2br w:val="nil"/>
              <w:tr2bl w:val="nil"/>
            </w:tcBorders>
            <w:vAlign w:val="center"/>
          </w:tcPr>
          <w:p w14:paraId="4727463A"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44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29.06</w:t>
            </w:r>
            <w:r>
              <w:rPr>
                <w:rFonts w:ascii="Times New Roman" w:eastAsia="宋体" w:hAnsi="Times New Roman" w:cs="Times New Roman" w:hint="eastAsia"/>
                <w:snapToGrid w:val="0"/>
                <w:kern w:val="0"/>
                <w:sz w:val="21"/>
                <w:szCs w:val="21"/>
                <w:lang w:eastAsia="en-US"/>
              </w:rPr>
              <w:t>″</w:t>
            </w:r>
          </w:p>
        </w:tc>
        <w:tc>
          <w:tcPr>
            <w:tcW w:w="1496" w:type="pct"/>
            <w:vMerge/>
            <w:tcBorders>
              <w:tl2br w:val="nil"/>
              <w:tr2bl w:val="nil"/>
            </w:tcBorders>
            <w:vAlign w:val="center"/>
          </w:tcPr>
          <w:p w14:paraId="48BDF3D1"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452" w:type="pct"/>
            <w:vMerge/>
            <w:tcBorders>
              <w:tl2br w:val="nil"/>
              <w:tr2bl w:val="nil"/>
            </w:tcBorders>
            <w:vAlign w:val="center"/>
          </w:tcPr>
          <w:p w14:paraId="3A3F741D"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761E1EEF" w14:textId="77777777">
        <w:trPr>
          <w:trHeight w:val="340"/>
          <w:jc w:val="center"/>
        </w:trPr>
        <w:tc>
          <w:tcPr>
            <w:tcW w:w="489" w:type="pct"/>
            <w:vMerge/>
            <w:tcBorders>
              <w:tl2br w:val="nil"/>
              <w:tr2bl w:val="nil"/>
            </w:tcBorders>
            <w:vAlign w:val="center"/>
          </w:tcPr>
          <w:p w14:paraId="1E8FCECC"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803" w:type="pct"/>
            <w:tcBorders>
              <w:tl2br w:val="nil"/>
              <w:tr2bl w:val="nil"/>
            </w:tcBorders>
            <w:vAlign w:val="center"/>
          </w:tcPr>
          <w:p w14:paraId="0DFD3D1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极北鲵</w:t>
            </w:r>
          </w:p>
        </w:tc>
        <w:tc>
          <w:tcPr>
            <w:tcW w:w="389" w:type="pct"/>
            <w:tcBorders>
              <w:tl2br w:val="nil"/>
              <w:tr2bl w:val="nil"/>
            </w:tcBorders>
            <w:vAlign w:val="center"/>
          </w:tcPr>
          <w:p w14:paraId="471D015B"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w:t>
            </w:r>
            <w:r>
              <w:rPr>
                <w:rFonts w:ascii="Times New Roman" w:eastAsia="宋体" w:hAnsi="Times New Roman" w:cs="Times New Roman"/>
                <w:snapToGrid w:val="0"/>
                <w:kern w:val="0"/>
                <w:sz w:val="21"/>
                <w:szCs w:val="21"/>
                <w:lang w:eastAsia="en-US"/>
              </w:rPr>
              <w:t>5</w:t>
            </w:r>
          </w:p>
        </w:tc>
        <w:tc>
          <w:tcPr>
            <w:tcW w:w="710" w:type="pct"/>
            <w:tcBorders>
              <w:tl2br w:val="nil"/>
              <w:tr2bl w:val="nil"/>
            </w:tcBorders>
            <w:vAlign w:val="center"/>
          </w:tcPr>
          <w:p w14:paraId="3EC9D8C6"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129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16.80</w:t>
            </w:r>
            <w:r>
              <w:rPr>
                <w:rFonts w:ascii="Times New Roman" w:eastAsia="宋体" w:hAnsi="Times New Roman" w:cs="Times New Roman" w:hint="eastAsia"/>
                <w:snapToGrid w:val="0"/>
                <w:kern w:val="0"/>
                <w:sz w:val="21"/>
                <w:szCs w:val="21"/>
                <w:lang w:eastAsia="en-US"/>
              </w:rPr>
              <w:t>″</w:t>
            </w:r>
          </w:p>
        </w:tc>
        <w:tc>
          <w:tcPr>
            <w:tcW w:w="661" w:type="pct"/>
            <w:tcBorders>
              <w:tl2br w:val="nil"/>
              <w:tr2bl w:val="nil"/>
            </w:tcBorders>
            <w:vAlign w:val="center"/>
          </w:tcPr>
          <w:p w14:paraId="608E002A"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44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43.05</w:t>
            </w:r>
            <w:r>
              <w:rPr>
                <w:rFonts w:ascii="Times New Roman" w:eastAsia="宋体" w:hAnsi="Times New Roman" w:cs="Times New Roman" w:hint="eastAsia"/>
                <w:snapToGrid w:val="0"/>
                <w:kern w:val="0"/>
                <w:sz w:val="21"/>
                <w:szCs w:val="21"/>
                <w:lang w:eastAsia="en-US"/>
              </w:rPr>
              <w:t>″</w:t>
            </w:r>
          </w:p>
        </w:tc>
        <w:tc>
          <w:tcPr>
            <w:tcW w:w="1496" w:type="pct"/>
            <w:vMerge/>
            <w:tcBorders>
              <w:tl2br w:val="nil"/>
              <w:tr2bl w:val="nil"/>
            </w:tcBorders>
            <w:vAlign w:val="center"/>
          </w:tcPr>
          <w:p w14:paraId="42A93C1A"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452" w:type="pct"/>
            <w:vMerge/>
            <w:tcBorders>
              <w:tl2br w:val="nil"/>
              <w:tr2bl w:val="nil"/>
            </w:tcBorders>
            <w:vAlign w:val="center"/>
          </w:tcPr>
          <w:p w14:paraId="71737A0C"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6E20FD09" w14:textId="77777777">
        <w:trPr>
          <w:trHeight w:val="340"/>
          <w:jc w:val="center"/>
        </w:trPr>
        <w:tc>
          <w:tcPr>
            <w:tcW w:w="489" w:type="pct"/>
            <w:vMerge/>
            <w:tcBorders>
              <w:tl2br w:val="nil"/>
              <w:tr2bl w:val="nil"/>
            </w:tcBorders>
            <w:vAlign w:val="center"/>
          </w:tcPr>
          <w:p w14:paraId="7C95AB56"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803" w:type="pct"/>
            <w:tcBorders>
              <w:tl2br w:val="nil"/>
              <w:tr2bl w:val="nil"/>
            </w:tcBorders>
            <w:vAlign w:val="center"/>
          </w:tcPr>
          <w:p w14:paraId="14DAED78"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鸳鸯</w:t>
            </w:r>
          </w:p>
        </w:tc>
        <w:tc>
          <w:tcPr>
            <w:tcW w:w="389" w:type="pct"/>
            <w:tcBorders>
              <w:tl2br w:val="nil"/>
              <w:tr2bl w:val="nil"/>
            </w:tcBorders>
            <w:vAlign w:val="center"/>
          </w:tcPr>
          <w:p w14:paraId="2DD4C560"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w:t>
            </w:r>
            <w:r>
              <w:rPr>
                <w:rFonts w:ascii="Times New Roman" w:eastAsia="宋体" w:hAnsi="Times New Roman" w:cs="Times New Roman"/>
                <w:snapToGrid w:val="0"/>
                <w:kern w:val="0"/>
                <w:sz w:val="21"/>
                <w:szCs w:val="21"/>
                <w:lang w:eastAsia="en-US"/>
              </w:rPr>
              <w:t>6</w:t>
            </w:r>
          </w:p>
        </w:tc>
        <w:tc>
          <w:tcPr>
            <w:tcW w:w="710" w:type="pct"/>
            <w:tcBorders>
              <w:tl2br w:val="nil"/>
              <w:tr2bl w:val="nil"/>
            </w:tcBorders>
            <w:vAlign w:val="center"/>
          </w:tcPr>
          <w:p w14:paraId="56A4B0DE"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129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38</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38.00</w:t>
            </w:r>
            <w:r>
              <w:rPr>
                <w:rFonts w:ascii="Times New Roman" w:eastAsia="宋体" w:hAnsi="Times New Roman" w:cs="Times New Roman" w:hint="eastAsia"/>
                <w:snapToGrid w:val="0"/>
                <w:kern w:val="0"/>
                <w:sz w:val="21"/>
                <w:szCs w:val="21"/>
                <w:lang w:eastAsia="en-US"/>
              </w:rPr>
              <w:t>″</w:t>
            </w:r>
          </w:p>
        </w:tc>
        <w:tc>
          <w:tcPr>
            <w:tcW w:w="661" w:type="pct"/>
            <w:tcBorders>
              <w:tl2br w:val="nil"/>
              <w:tr2bl w:val="nil"/>
            </w:tcBorders>
            <w:vAlign w:val="center"/>
          </w:tcPr>
          <w:p w14:paraId="072208F2"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44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17.61</w:t>
            </w:r>
            <w:r>
              <w:rPr>
                <w:rFonts w:ascii="Times New Roman" w:eastAsia="宋体" w:hAnsi="Times New Roman" w:cs="Times New Roman" w:hint="eastAsia"/>
                <w:snapToGrid w:val="0"/>
                <w:kern w:val="0"/>
                <w:sz w:val="21"/>
                <w:szCs w:val="21"/>
                <w:lang w:eastAsia="en-US"/>
              </w:rPr>
              <w:t>″</w:t>
            </w:r>
          </w:p>
        </w:tc>
        <w:tc>
          <w:tcPr>
            <w:tcW w:w="1496" w:type="pct"/>
            <w:vMerge/>
            <w:tcBorders>
              <w:tl2br w:val="nil"/>
              <w:tr2bl w:val="nil"/>
            </w:tcBorders>
            <w:vAlign w:val="center"/>
          </w:tcPr>
          <w:p w14:paraId="3FBDECA7"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452" w:type="pct"/>
            <w:vMerge/>
            <w:tcBorders>
              <w:tl2br w:val="nil"/>
              <w:tr2bl w:val="nil"/>
            </w:tcBorders>
            <w:vAlign w:val="center"/>
          </w:tcPr>
          <w:p w14:paraId="742C9A1B"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r w:rsidR="009D12AF" w14:paraId="68CD2B1C" w14:textId="77777777">
        <w:trPr>
          <w:trHeight w:val="340"/>
          <w:jc w:val="center"/>
        </w:trPr>
        <w:tc>
          <w:tcPr>
            <w:tcW w:w="489" w:type="pct"/>
            <w:vMerge/>
            <w:tcBorders>
              <w:tl2br w:val="nil"/>
              <w:tr2bl w:val="nil"/>
            </w:tcBorders>
            <w:vAlign w:val="center"/>
          </w:tcPr>
          <w:p w14:paraId="02982C99"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803" w:type="pct"/>
            <w:tcBorders>
              <w:tl2br w:val="nil"/>
              <w:tr2bl w:val="nil"/>
            </w:tcBorders>
            <w:vAlign w:val="center"/>
          </w:tcPr>
          <w:p w14:paraId="22F39378"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中华秋沙鸭</w:t>
            </w:r>
          </w:p>
        </w:tc>
        <w:tc>
          <w:tcPr>
            <w:tcW w:w="389" w:type="pct"/>
            <w:tcBorders>
              <w:tl2br w:val="nil"/>
              <w:tr2bl w:val="nil"/>
            </w:tcBorders>
            <w:vAlign w:val="center"/>
          </w:tcPr>
          <w:p w14:paraId="756D2AAD"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w:t>
            </w:r>
            <w:r>
              <w:rPr>
                <w:rFonts w:ascii="Times New Roman" w:eastAsia="宋体" w:hAnsi="Times New Roman" w:cs="Times New Roman"/>
                <w:snapToGrid w:val="0"/>
                <w:kern w:val="0"/>
                <w:sz w:val="21"/>
                <w:szCs w:val="21"/>
                <w:lang w:eastAsia="en-US"/>
              </w:rPr>
              <w:t>7</w:t>
            </w:r>
          </w:p>
        </w:tc>
        <w:tc>
          <w:tcPr>
            <w:tcW w:w="710" w:type="pct"/>
            <w:tcBorders>
              <w:tl2br w:val="nil"/>
              <w:tr2bl w:val="nil"/>
            </w:tcBorders>
            <w:vAlign w:val="center"/>
          </w:tcPr>
          <w:p w14:paraId="780B15A5"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129</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37</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57.07</w:t>
            </w:r>
            <w:r>
              <w:rPr>
                <w:rFonts w:ascii="Times New Roman" w:eastAsia="宋体" w:hAnsi="Times New Roman" w:cs="Times New Roman" w:hint="eastAsia"/>
                <w:snapToGrid w:val="0"/>
                <w:kern w:val="0"/>
                <w:sz w:val="21"/>
                <w:szCs w:val="21"/>
                <w:lang w:eastAsia="en-US"/>
              </w:rPr>
              <w:t>″</w:t>
            </w:r>
          </w:p>
        </w:tc>
        <w:tc>
          <w:tcPr>
            <w:tcW w:w="661" w:type="pct"/>
            <w:tcBorders>
              <w:tl2br w:val="nil"/>
              <w:tr2bl w:val="nil"/>
            </w:tcBorders>
            <w:vAlign w:val="center"/>
          </w:tcPr>
          <w:p w14:paraId="5C4A633C" w14:textId="77777777" w:rsidR="009D12AF" w:rsidRDefault="00000000">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r>
              <w:rPr>
                <w:rFonts w:ascii="Times New Roman" w:eastAsia="宋体" w:hAnsi="Times New Roman" w:cs="Times New Roman" w:hint="eastAsia"/>
                <w:snapToGrid w:val="0"/>
                <w:kern w:val="0"/>
                <w:sz w:val="21"/>
                <w:szCs w:val="21"/>
                <w:lang w:eastAsia="en-US"/>
              </w:rPr>
              <w:t>44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54</w:t>
            </w:r>
            <w:r>
              <w:rPr>
                <w:rFonts w:ascii="Times New Roman" w:eastAsia="宋体" w:hAnsi="Times New Roman" w:cs="Times New Roman" w:hint="eastAsia"/>
                <w:snapToGrid w:val="0"/>
                <w:kern w:val="0"/>
                <w:sz w:val="21"/>
                <w:szCs w:val="21"/>
                <w:lang w:eastAsia="en-US"/>
              </w:rPr>
              <w:t>′</w:t>
            </w:r>
            <w:r>
              <w:rPr>
                <w:rFonts w:ascii="Times New Roman" w:eastAsia="宋体" w:hAnsi="Times New Roman" w:cs="Times New Roman" w:hint="eastAsia"/>
                <w:snapToGrid w:val="0"/>
                <w:kern w:val="0"/>
                <w:sz w:val="21"/>
                <w:szCs w:val="21"/>
                <w:lang w:eastAsia="en-US"/>
              </w:rPr>
              <w:t>16.29</w:t>
            </w:r>
            <w:r>
              <w:rPr>
                <w:rFonts w:ascii="Times New Roman" w:eastAsia="宋体" w:hAnsi="Times New Roman" w:cs="Times New Roman" w:hint="eastAsia"/>
                <w:snapToGrid w:val="0"/>
                <w:kern w:val="0"/>
                <w:sz w:val="21"/>
                <w:szCs w:val="21"/>
                <w:lang w:eastAsia="en-US"/>
              </w:rPr>
              <w:t>″</w:t>
            </w:r>
          </w:p>
        </w:tc>
        <w:tc>
          <w:tcPr>
            <w:tcW w:w="1496" w:type="pct"/>
            <w:vMerge/>
            <w:tcBorders>
              <w:tl2br w:val="nil"/>
              <w:tr2bl w:val="nil"/>
            </w:tcBorders>
            <w:vAlign w:val="center"/>
          </w:tcPr>
          <w:p w14:paraId="2CCDDE39"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c>
          <w:tcPr>
            <w:tcW w:w="452" w:type="pct"/>
            <w:vMerge/>
            <w:tcBorders>
              <w:tl2br w:val="nil"/>
              <w:tr2bl w:val="nil"/>
            </w:tcBorders>
            <w:vAlign w:val="center"/>
          </w:tcPr>
          <w:p w14:paraId="70D2F9FC" w14:textId="77777777" w:rsidR="009D12AF" w:rsidRDefault="009D12AF">
            <w:pPr>
              <w:widowControl/>
              <w:kinsoku w:val="0"/>
              <w:autoSpaceDE w:val="0"/>
              <w:autoSpaceDN w:val="0"/>
              <w:adjustRightInd w:val="0"/>
              <w:snapToGrid w:val="0"/>
              <w:ind w:firstLineChars="0" w:firstLine="0"/>
              <w:jc w:val="center"/>
              <w:textAlignment w:val="baseline"/>
              <w:rPr>
                <w:rFonts w:ascii="Times New Roman" w:eastAsia="宋体" w:hAnsi="Times New Roman" w:cs="Times New Roman"/>
                <w:snapToGrid w:val="0"/>
                <w:kern w:val="0"/>
                <w:sz w:val="21"/>
                <w:szCs w:val="21"/>
                <w:lang w:eastAsia="en-US"/>
              </w:rPr>
            </w:pPr>
          </w:p>
        </w:tc>
      </w:tr>
    </w:tbl>
    <w:p w14:paraId="21FBC709" w14:textId="77777777" w:rsidR="009D12AF" w:rsidRDefault="009D12AF">
      <w:pPr>
        <w:ind w:firstLine="480"/>
      </w:pPr>
    </w:p>
    <w:p w14:paraId="530F7365" w14:textId="77777777" w:rsidR="009D12AF" w:rsidRDefault="009D12AF">
      <w:pPr>
        <w:ind w:firstLine="480"/>
        <w:sectPr w:rsidR="009D12AF">
          <w:pgSz w:w="16838" w:h="11906" w:orient="landscape"/>
          <w:pgMar w:top="1800" w:right="1440" w:bottom="1800" w:left="1440" w:header="851" w:footer="992" w:gutter="0"/>
          <w:cols w:space="425"/>
          <w:docGrid w:type="lines" w:linePitch="326"/>
        </w:sectPr>
      </w:pPr>
    </w:p>
    <w:p w14:paraId="12CABC57" w14:textId="77777777" w:rsidR="009D12AF" w:rsidRDefault="00000000">
      <w:pPr>
        <w:ind w:firstLine="480"/>
      </w:pPr>
      <w:r>
        <w:rPr>
          <w:rFonts w:hint="eastAsia"/>
        </w:rPr>
        <w:lastRenderedPageBreak/>
        <w:t>3</w:t>
      </w:r>
      <w:r>
        <w:rPr>
          <w:rFonts w:hint="eastAsia"/>
        </w:rPr>
        <w:t>、水生生态监测</w:t>
      </w:r>
    </w:p>
    <w:p w14:paraId="06A8167F" w14:textId="77777777" w:rsidR="009D12AF" w:rsidRDefault="00000000">
      <w:pPr>
        <w:snapToGrid w:val="0"/>
        <w:ind w:firstLine="480"/>
        <w:jc w:val="left"/>
        <w:rPr>
          <w:kern w:val="0"/>
          <w:lang w:bidi="ar"/>
        </w:rPr>
      </w:pPr>
      <w:r>
        <w:rPr>
          <w:kern w:val="0"/>
          <w:lang w:bidi="ar"/>
        </w:rPr>
        <w:t>由于工程施工对海浪河评价区域的生态环境、水生生物和功能将产生一定的影响，为了将工程对海浪河的不利影响降到最低，因此，要开展施工期环境与水生生物监测。监测分为两个部分，即水生生态环境监测和水生生物监测，具体内容如下。</w:t>
      </w:r>
    </w:p>
    <w:p w14:paraId="7973C526" w14:textId="77777777" w:rsidR="009D12AF" w:rsidRDefault="00000000">
      <w:pPr>
        <w:snapToGrid w:val="0"/>
        <w:ind w:firstLine="480"/>
        <w:jc w:val="left"/>
        <w:rPr>
          <w:kern w:val="0"/>
          <w:lang w:bidi="ar"/>
        </w:rPr>
      </w:pPr>
      <w:r>
        <w:rPr>
          <w:kern w:val="0"/>
          <w:lang w:bidi="ar"/>
        </w:rPr>
        <w:t>（</w:t>
      </w:r>
      <w:r>
        <w:rPr>
          <w:kern w:val="0"/>
          <w:lang w:bidi="ar"/>
        </w:rPr>
        <w:t>1</w:t>
      </w:r>
      <w:r>
        <w:rPr>
          <w:kern w:val="0"/>
          <w:lang w:bidi="ar"/>
        </w:rPr>
        <w:t>）水生生态环境监测</w:t>
      </w:r>
    </w:p>
    <w:p w14:paraId="695F39CA" w14:textId="77777777" w:rsidR="009D12AF" w:rsidRDefault="00000000">
      <w:pPr>
        <w:snapToGrid w:val="0"/>
        <w:ind w:firstLine="480"/>
        <w:jc w:val="left"/>
        <w:rPr>
          <w:kern w:val="0"/>
          <w:lang w:bidi="ar"/>
        </w:rPr>
      </w:pPr>
      <w:r>
        <w:rPr>
          <w:rFonts w:ascii="宋体" w:hAnsi="宋体" w:cs="宋体" w:hint="eastAsia"/>
          <w:kern w:val="0"/>
          <w:lang w:bidi="ar"/>
        </w:rPr>
        <w:t>①</w:t>
      </w:r>
      <w:r>
        <w:rPr>
          <w:kern w:val="0"/>
          <w:lang w:bidi="ar"/>
        </w:rPr>
        <w:t>水情势监测</w:t>
      </w:r>
    </w:p>
    <w:p w14:paraId="0538E54F" w14:textId="77777777" w:rsidR="009D12AF" w:rsidRDefault="00000000">
      <w:pPr>
        <w:snapToGrid w:val="0"/>
        <w:ind w:firstLine="480"/>
        <w:jc w:val="left"/>
        <w:rPr>
          <w:kern w:val="0"/>
          <w:lang w:bidi="ar"/>
        </w:rPr>
      </w:pPr>
      <w:r>
        <w:rPr>
          <w:kern w:val="0"/>
          <w:lang w:bidi="ar"/>
        </w:rPr>
        <w:t>包括来水量、流量、流速、水位、水温，各引水断面引水量及引水时段等。</w:t>
      </w:r>
    </w:p>
    <w:p w14:paraId="72C1C2E4" w14:textId="77777777" w:rsidR="009D12AF" w:rsidRDefault="00000000">
      <w:pPr>
        <w:snapToGrid w:val="0"/>
        <w:ind w:firstLine="480"/>
        <w:jc w:val="left"/>
        <w:rPr>
          <w:kern w:val="0"/>
          <w:lang w:bidi="ar"/>
        </w:rPr>
      </w:pPr>
      <w:r>
        <w:rPr>
          <w:rFonts w:ascii="宋体" w:hAnsi="宋体" w:cs="宋体" w:hint="eastAsia"/>
          <w:kern w:val="0"/>
          <w:lang w:bidi="ar"/>
        </w:rPr>
        <w:t>②</w:t>
      </w:r>
      <w:r>
        <w:rPr>
          <w:kern w:val="0"/>
          <w:lang w:bidi="ar"/>
        </w:rPr>
        <w:t>水体理化性质监测</w:t>
      </w:r>
    </w:p>
    <w:p w14:paraId="0E5E91B4" w14:textId="77777777" w:rsidR="009D12AF" w:rsidRDefault="00000000">
      <w:pPr>
        <w:snapToGrid w:val="0"/>
        <w:ind w:firstLine="480"/>
        <w:jc w:val="left"/>
        <w:rPr>
          <w:kern w:val="0"/>
          <w:lang w:bidi="ar"/>
        </w:rPr>
      </w:pPr>
      <w:r>
        <w:rPr>
          <w:kern w:val="0"/>
          <w:lang w:bidi="ar"/>
        </w:rPr>
        <w:t>主要包括</w:t>
      </w:r>
      <w:r>
        <w:rPr>
          <w:kern w:val="0"/>
          <w:lang w:bidi="ar"/>
        </w:rPr>
        <w:t>N</w:t>
      </w:r>
      <w:r>
        <w:rPr>
          <w:kern w:val="0"/>
          <w:lang w:bidi="ar"/>
        </w:rPr>
        <w:t>、</w:t>
      </w:r>
      <w:r>
        <w:rPr>
          <w:kern w:val="0"/>
          <w:lang w:bidi="ar"/>
        </w:rPr>
        <w:t>P</w:t>
      </w:r>
      <w:r>
        <w:rPr>
          <w:kern w:val="0"/>
          <w:lang w:bidi="ar"/>
        </w:rPr>
        <w:t>及农田退水动态及浓度场分布。</w:t>
      </w:r>
    </w:p>
    <w:p w14:paraId="5D085705" w14:textId="77777777" w:rsidR="009D12AF" w:rsidRDefault="00000000">
      <w:pPr>
        <w:snapToGrid w:val="0"/>
        <w:ind w:firstLine="480"/>
        <w:jc w:val="left"/>
        <w:rPr>
          <w:kern w:val="0"/>
          <w:lang w:bidi="ar"/>
        </w:rPr>
      </w:pPr>
      <w:r>
        <w:rPr>
          <w:kern w:val="0"/>
          <w:lang w:bidi="ar"/>
        </w:rPr>
        <w:t>（</w:t>
      </w:r>
      <w:r>
        <w:rPr>
          <w:kern w:val="0"/>
          <w:lang w:bidi="ar"/>
        </w:rPr>
        <w:t>2</w:t>
      </w:r>
      <w:r>
        <w:rPr>
          <w:kern w:val="0"/>
          <w:lang w:bidi="ar"/>
        </w:rPr>
        <w:t>）水生生物监测</w:t>
      </w:r>
    </w:p>
    <w:p w14:paraId="23FF303D" w14:textId="77777777" w:rsidR="009D12AF" w:rsidRDefault="00000000">
      <w:pPr>
        <w:snapToGrid w:val="0"/>
        <w:ind w:firstLine="480"/>
        <w:jc w:val="left"/>
        <w:rPr>
          <w:kern w:val="0"/>
          <w:lang w:bidi="ar"/>
        </w:rPr>
      </w:pPr>
      <w:r>
        <w:rPr>
          <w:rFonts w:ascii="宋体" w:hAnsi="宋体" w:cs="宋体" w:hint="eastAsia"/>
          <w:kern w:val="0"/>
          <w:lang w:bidi="ar"/>
        </w:rPr>
        <w:t>①</w:t>
      </w:r>
      <w:r>
        <w:rPr>
          <w:kern w:val="0"/>
          <w:lang w:bidi="ar"/>
        </w:rPr>
        <w:t>水生生物监测</w:t>
      </w:r>
    </w:p>
    <w:p w14:paraId="0FEA4A56" w14:textId="77777777" w:rsidR="009D12AF" w:rsidRDefault="00000000">
      <w:pPr>
        <w:snapToGrid w:val="0"/>
        <w:ind w:firstLine="480"/>
        <w:jc w:val="left"/>
        <w:rPr>
          <w:kern w:val="0"/>
          <w:lang w:bidi="ar"/>
        </w:rPr>
      </w:pPr>
      <w:r>
        <w:rPr>
          <w:kern w:val="0"/>
          <w:lang w:bidi="ar"/>
        </w:rPr>
        <w:t>浮游植物、浮游动物、底栖动物、高等水生维管植物的种类、分布密度、生物量与水温及流态等的变化关系。</w:t>
      </w:r>
    </w:p>
    <w:p w14:paraId="2A32853C" w14:textId="77777777" w:rsidR="009D12AF" w:rsidRDefault="00000000">
      <w:pPr>
        <w:snapToGrid w:val="0"/>
        <w:ind w:firstLine="480"/>
        <w:jc w:val="left"/>
        <w:rPr>
          <w:kern w:val="0"/>
          <w:lang w:bidi="ar"/>
        </w:rPr>
      </w:pPr>
      <w:r>
        <w:rPr>
          <w:kern w:val="0"/>
          <w:lang w:bidi="ar"/>
        </w:rPr>
        <w:t>鱼类监测</w:t>
      </w:r>
    </w:p>
    <w:p w14:paraId="6F2E06EA" w14:textId="77777777" w:rsidR="009D12AF" w:rsidRDefault="00000000">
      <w:pPr>
        <w:snapToGrid w:val="0"/>
        <w:ind w:firstLine="480"/>
        <w:jc w:val="left"/>
        <w:rPr>
          <w:kern w:val="0"/>
          <w:lang w:bidi="ar"/>
        </w:rPr>
      </w:pPr>
      <w:r>
        <w:rPr>
          <w:rFonts w:ascii="宋体" w:hAnsi="宋体" w:cs="宋体" w:hint="eastAsia"/>
          <w:kern w:val="0"/>
          <w:lang w:bidi="ar"/>
        </w:rPr>
        <w:t>②</w:t>
      </w:r>
      <w:r>
        <w:rPr>
          <w:kern w:val="0"/>
          <w:lang w:bidi="ar"/>
        </w:rPr>
        <w:t>种群动态及群落组成变化</w:t>
      </w:r>
    </w:p>
    <w:p w14:paraId="53CC4115" w14:textId="77777777" w:rsidR="009D12AF" w:rsidRDefault="00000000">
      <w:pPr>
        <w:snapToGrid w:val="0"/>
        <w:ind w:firstLine="480"/>
        <w:jc w:val="left"/>
        <w:rPr>
          <w:kern w:val="0"/>
          <w:lang w:bidi="ar"/>
        </w:rPr>
      </w:pPr>
      <w:r>
        <w:rPr>
          <w:kern w:val="0"/>
          <w:lang w:bidi="ar"/>
        </w:rPr>
        <w:t>鱼类的种类组成、种群结构、资源量的时空分布及累积变化效应，重点监测引水前后鱼类种群动态及群落构成的变化趋势，分析鱼类种类的重现度变化趋势，物种濒危程度和水域生态变化。</w:t>
      </w:r>
    </w:p>
    <w:p w14:paraId="5DE9A90E" w14:textId="77777777" w:rsidR="009D12AF" w:rsidRDefault="00000000">
      <w:pPr>
        <w:snapToGrid w:val="0"/>
        <w:ind w:firstLine="480"/>
        <w:jc w:val="left"/>
        <w:rPr>
          <w:kern w:val="0"/>
          <w:lang w:bidi="ar"/>
        </w:rPr>
      </w:pPr>
      <w:r>
        <w:rPr>
          <w:kern w:val="0"/>
          <w:lang w:bidi="ar"/>
        </w:rPr>
        <w:t>（</w:t>
      </w:r>
      <w:r>
        <w:rPr>
          <w:kern w:val="0"/>
          <w:lang w:bidi="ar"/>
        </w:rPr>
        <w:t>3</w:t>
      </w:r>
      <w:r>
        <w:rPr>
          <w:kern w:val="0"/>
          <w:lang w:bidi="ar"/>
        </w:rPr>
        <w:t>）鱼类产卵场监测</w:t>
      </w:r>
    </w:p>
    <w:p w14:paraId="68076389" w14:textId="77777777" w:rsidR="009D12AF" w:rsidRDefault="00000000">
      <w:pPr>
        <w:snapToGrid w:val="0"/>
        <w:ind w:firstLine="480"/>
        <w:jc w:val="left"/>
        <w:rPr>
          <w:kern w:val="0"/>
          <w:lang w:bidi="ar"/>
        </w:rPr>
      </w:pPr>
      <w:r>
        <w:rPr>
          <w:kern w:val="0"/>
          <w:lang w:bidi="ar"/>
        </w:rPr>
        <w:t>早期资源种类组成与比例、时空分布、早期资源量、水文要素（温度、流速、水位）、产卵场的分布与规模变化、繁殖时间和繁殖种群的规模。</w:t>
      </w:r>
    </w:p>
    <w:p w14:paraId="7E827CB8" w14:textId="77777777" w:rsidR="009D12AF" w:rsidRDefault="00000000">
      <w:pPr>
        <w:snapToGrid w:val="0"/>
        <w:ind w:firstLine="480"/>
        <w:jc w:val="left"/>
        <w:rPr>
          <w:kern w:val="0"/>
          <w:lang w:bidi="ar"/>
        </w:rPr>
      </w:pPr>
      <w:r>
        <w:rPr>
          <w:kern w:val="0"/>
          <w:lang w:bidi="ar"/>
        </w:rPr>
        <w:t>（</w:t>
      </w:r>
      <w:r>
        <w:rPr>
          <w:kern w:val="0"/>
          <w:lang w:bidi="ar"/>
        </w:rPr>
        <w:t>4</w:t>
      </w:r>
      <w:r>
        <w:rPr>
          <w:kern w:val="0"/>
          <w:lang w:bidi="ar"/>
        </w:rPr>
        <w:t>）监测范围及时段</w:t>
      </w:r>
    </w:p>
    <w:p w14:paraId="6EF7AC02" w14:textId="77777777" w:rsidR="009D12AF" w:rsidRDefault="00000000">
      <w:pPr>
        <w:snapToGrid w:val="0"/>
        <w:ind w:firstLine="480"/>
        <w:jc w:val="left"/>
        <w:rPr>
          <w:kern w:val="0"/>
          <w:lang w:bidi="ar"/>
        </w:rPr>
      </w:pPr>
      <w:r>
        <w:rPr>
          <w:rFonts w:ascii="宋体" w:hAnsi="宋体" w:cs="宋体" w:hint="eastAsia"/>
          <w:kern w:val="0"/>
          <w:lang w:bidi="ar"/>
        </w:rPr>
        <w:t>①</w:t>
      </w:r>
      <w:r>
        <w:rPr>
          <w:kern w:val="0"/>
          <w:lang w:bidi="ar"/>
        </w:rPr>
        <w:t>监测范围</w:t>
      </w:r>
    </w:p>
    <w:p w14:paraId="2E8EAAA9" w14:textId="77777777" w:rsidR="009D12AF" w:rsidRDefault="00000000">
      <w:pPr>
        <w:snapToGrid w:val="0"/>
        <w:ind w:firstLine="480"/>
        <w:jc w:val="left"/>
        <w:rPr>
          <w:kern w:val="0"/>
          <w:lang w:bidi="ar"/>
        </w:rPr>
      </w:pPr>
      <w:r>
        <w:rPr>
          <w:kern w:val="0"/>
          <w:lang w:bidi="ar"/>
        </w:rPr>
        <w:t>根据工程布置和</w:t>
      </w:r>
      <w:r>
        <w:rPr>
          <w:rFonts w:hint="eastAsia"/>
          <w:kern w:val="0"/>
          <w:lang w:bidi="ar"/>
        </w:rPr>
        <w:t>水库</w:t>
      </w:r>
      <w:r>
        <w:rPr>
          <w:kern w:val="0"/>
          <w:lang w:bidi="ar"/>
        </w:rPr>
        <w:t>评价区域的特点，</w:t>
      </w:r>
      <w:r>
        <w:rPr>
          <w:rFonts w:ascii="Times New Roman" w:hAnsi="Times New Roman" w:cs="Times New Roman" w:hint="eastAsia"/>
          <w:color w:val="000000" w:themeColor="text1"/>
        </w:rPr>
        <w:t>6</w:t>
      </w:r>
      <w:r>
        <w:rPr>
          <w:rFonts w:ascii="Times New Roman" w:hAnsi="Times New Roman" w:cs="Times New Roman" w:hint="eastAsia"/>
          <w:color w:val="000000" w:themeColor="text1"/>
        </w:rPr>
        <w:t>个清淤区域各</w:t>
      </w:r>
      <w:r>
        <w:rPr>
          <w:rFonts w:ascii="Times New Roman" w:hAnsi="Times New Roman" w:cs="Times New Roman"/>
          <w:color w:val="000000" w:themeColor="text1"/>
        </w:rPr>
        <w:t>设定</w:t>
      </w:r>
      <w:r>
        <w:rPr>
          <w:rFonts w:ascii="Times New Roman" w:hAnsi="Times New Roman" w:cs="Times New Roman"/>
          <w:color w:val="000000" w:themeColor="text1"/>
        </w:rPr>
        <w:t>2</w:t>
      </w:r>
      <w:r>
        <w:rPr>
          <w:rFonts w:ascii="Times New Roman" w:hAnsi="Times New Roman" w:cs="Times New Roman"/>
          <w:color w:val="000000" w:themeColor="text1"/>
        </w:rPr>
        <w:t>个断面。</w:t>
      </w:r>
    </w:p>
    <w:p w14:paraId="3235D875" w14:textId="77777777" w:rsidR="009D12AF" w:rsidRDefault="00000000">
      <w:pPr>
        <w:snapToGrid w:val="0"/>
        <w:ind w:firstLine="480"/>
        <w:jc w:val="left"/>
        <w:rPr>
          <w:kern w:val="0"/>
          <w:lang w:bidi="ar"/>
        </w:rPr>
      </w:pPr>
      <w:r>
        <w:rPr>
          <w:rFonts w:ascii="宋体" w:hAnsi="宋体" w:cs="宋体" w:hint="eastAsia"/>
          <w:kern w:val="0"/>
          <w:lang w:bidi="ar"/>
        </w:rPr>
        <w:t>②</w:t>
      </w:r>
      <w:r>
        <w:rPr>
          <w:kern w:val="0"/>
          <w:lang w:bidi="ar"/>
        </w:rPr>
        <w:t>监测时段</w:t>
      </w:r>
    </w:p>
    <w:p w14:paraId="56BDC9C8" w14:textId="77777777" w:rsidR="009D12AF" w:rsidRDefault="00000000">
      <w:pPr>
        <w:ind w:firstLine="480"/>
        <w:rPr>
          <w:kern w:val="0"/>
          <w:lang w:bidi="ar"/>
        </w:rPr>
      </w:pPr>
      <w:r>
        <w:rPr>
          <w:kern w:val="0"/>
          <w:lang w:bidi="ar"/>
        </w:rPr>
        <w:t>监测时段拟设定为</w:t>
      </w:r>
      <w:r>
        <w:rPr>
          <w:kern w:val="0"/>
          <w:lang w:bidi="ar"/>
        </w:rPr>
        <w:t>2</w:t>
      </w:r>
      <w:r>
        <w:rPr>
          <w:kern w:val="0"/>
          <w:lang w:bidi="ar"/>
        </w:rPr>
        <w:t>个时段，即每年</w:t>
      </w:r>
      <w:r>
        <w:rPr>
          <w:kern w:val="0"/>
          <w:lang w:bidi="ar"/>
        </w:rPr>
        <w:t>5</w:t>
      </w:r>
      <w:r>
        <w:rPr>
          <w:kern w:val="0"/>
          <w:lang w:bidi="ar"/>
        </w:rPr>
        <w:t>月～</w:t>
      </w:r>
      <w:r>
        <w:rPr>
          <w:kern w:val="0"/>
          <w:lang w:bidi="ar"/>
        </w:rPr>
        <w:t>6</w:t>
      </w:r>
      <w:r>
        <w:rPr>
          <w:kern w:val="0"/>
          <w:lang w:bidi="ar"/>
        </w:rPr>
        <w:t>月和</w:t>
      </w:r>
      <w:r>
        <w:rPr>
          <w:kern w:val="0"/>
          <w:lang w:bidi="ar"/>
        </w:rPr>
        <w:t>9</w:t>
      </w:r>
      <w:r>
        <w:rPr>
          <w:kern w:val="0"/>
          <w:lang w:bidi="ar"/>
        </w:rPr>
        <w:t>月～</w:t>
      </w:r>
      <w:r>
        <w:rPr>
          <w:kern w:val="0"/>
          <w:lang w:bidi="ar"/>
        </w:rPr>
        <w:t>10</w:t>
      </w:r>
      <w:r>
        <w:rPr>
          <w:kern w:val="0"/>
          <w:lang w:bidi="ar"/>
        </w:rPr>
        <w:t>月。</w:t>
      </w:r>
    </w:p>
    <w:p w14:paraId="49F2F039" w14:textId="77777777" w:rsidR="009D12AF" w:rsidRDefault="00000000">
      <w:pPr>
        <w:pStyle w:val="2"/>
        <w:rPr>
          <w:rFonts w:ascii="Times New Roman" w:eastAsia="宋体" w:hAnsi="Times New Roman"/>
        </w:rPr>
      </w:pPr>
      <w:bookmarkStart w:id="476" w:name="_Toc15771"/>
      <w:r>
        <w:rPr>
          <w:rFonts w:hint="eastAsia"/>
        </w:rPr>
        <w:lastRenderedPageBreak/>
        <w:t>8.4</w:t>
      </w:r>
      <w:bookmarkStart w:id="477" w:name="_Toc152248898"/>
      <w:r>
        <w:rPr>
          <w:rFonts w:ascii="Times New Roman" w:eastAsia="宋体" w:hAnsi="Times New Roman"/>
        </w:rPr>
        <w:t>“</w:t>
      </w:r>
      <w:r>
        <w:rPr>
          <w:rFonts w:ascii="Times New Roman" w:eastAsia="宋体" w:hAnsi="Times New Roman"/>
        </w:rPr>
        <w:t>三同时</w:t>
      </w:r>
      <w:r>
        <w:rPr>
          <w:rFonts w:ascii="Times New Roman" w:eastAsia="宋体" w:hAnsi="Times New Roman"/>
        </w:rPr>
        <w:t>”</w:t>
      </w:r>
      <w:r>
        <w:rPr>
          <w:rFonts w:ascii="Times New Roman" w:eastAsia="宋体" w:hAnsi="Times New Roman"/>
        </w:rPr>
        <w:t>验收内容</w:t>
      </w:r>
      <w:bookmarkEnd w:id="476"/>
      <w:bookmarkEnd w:id="477"/>
    </w:p>
    <w:p w14:paraId="07F68A23" w14:textId="77777777" w:rsidR="009D12AF" w:rsidRDefault="00000000">
      <w:pPr>
        <w:adjustRightInd w:val="0"/>
        <w:snapToGrid w:val="0"/>
        <w:ind w:firstLine="480"/>
      </w:pPr>
      <w:r>
        <w:t>项目建设必须严格执行环境保护</w:t>
      </w:r>
      <w:r>
        <w:t>“</w:t>
      </w:r>
      <w:r>
        <w:t>三同时</w:t>
      </w:r>
      <w:r>
        <w:t>”</w:t>
      </w:r>
      <w:r>
        <w:t>制度；工程竣工后，建设单位按规定程序申请环保设施竣工验收。</w:t>
      </w:r>
      <w:r>
        <w:t>“</w:t>
      </w:r>
      <w:r>
        <w:t>三同时</w:t>
      </w:r>
      <w:r>
        <w:t>”</w:t>
      </w:r>
      <w:r>
        <w:t>验收内容详见表</w:t>
      </w:r>
      <w:r>
        <w:t>8</w:t>
      </w:r>
      <w:r>
        <w:rPr>
          <w:rFonts w:hint="eastAsia"/>
        </w:rPr>
        <w:t>.4</w:t>
      </w:r>
      <w:r>
        <w:t>-1</w:t>
      </w:r>
      <w:r>
        <w:t>。</w:t>
      </w:r>
    </w:p>
    <w:p w14:paraId="181E0283" w14:textId="77777777" w:rsidR="009D12AF" w:rsidRDefault="00000000">
      <w:pPr>
        <w:adjustRightInd w:val="0"/>
        <w:spacing w:line="240" w:lineRule="auto"/>
        <w:ind w:firstLine="482"/>
        <w:jc w:val="center"/>
        <w:rPr>
          <w:b/>
          <w:highlight w:val="green"/>
        </w:rPr>
      </w:pPr>
      <w:r>
        <w:rPr>
          <w:b/>
        </w:rPr>
        <w:t>表</w:t>
      </w:r>
      <w:r>
        <w:rPr>
          <w:b/>
        </w:rPr>
        <w:t>8</w:t>
      </w:r>
      <w:r>
        <w:rPr>
          <w:rFonts w:hint="eastAsia"/>
          <w:b/>
        </w:rPr>
        <w:t>.4</w:t>
      </w:r>
      <w:r>
        <w:rPr>
          <w:b/>
        </w:rPr>
        <w:t xml:space="preserve">-1  </w:t>
      </w:r>
      <w:r>
        <w:rPr>
          <w:b/>
        </w:rPr>
        <w:t>环保设施竣工</w:t>
      </w:r>
      <w:r>
        <w:rPr>
          <w:b/>
        </w:rPr>
        <w:t>“</w:t>
      </w:r>
      <w:r>
        <w:rPr>
          <w:b/>
        </w:rPr>
        <w:t>三同时</w:t>
      </w:r>
      <w:r>
        <w:rPr>
          <w:b/>
        </w:rPr>
        <w:t>”</w:t>
      </w:r>
      <w:r>
        <w:rPr>
          <w:b/>
        </w:rPr>
        <w:t>验收内容表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44"/>
        <w:gridCol w:w="885"/>
        <w:gridCol w:w="1350"/>
        <w:gridCol w:w="3162"/>
        <w:gridCol w:w="2381"/>
      </w:tblGrid>
      <w:tr w:rsidR="009D12AF" w14:paraId="097EAC95" w14:textId="77777777">
        <w:trPr>
          <w:trHeight w:val="397"/>
        </w:trPr>
        <w:tc>
          <w:tcPr>
            <w:tcW w:w="437" w:type="pct"/>
            <w:vAlign w:val="center"/>
          </w:tcPr>
          <w:p w14:paraId="52530BFE" w14:textId="77777777" w:rsidR="009D12AF" w:rsidRDefault="00000000">
            <w:pPr>
              <w:adjustRightInd w:val="0"/>
              <w:spacing w:line="240" w:lineRule="auto"/>
              <w:ind w:firstLineChars="0" w:firstLine="0"/>
              <w:jc w:val="center"/>
              <w:rPr>
                <w:kern w:val="0"/>
                <w:sz w:val="21"/>
              </w:rPr>
            </w:pPr>
            <w:r>
              <w:rPr>
                <w:kern w:val="0"/>
                <w:sz w:val="21"/>
              </w:rPr>
              <w:t>环境要素</w:t>
            </w:r>
          </w:p>
        </w:tc>
        <w:tc>
          <w:tcPr>
            <w:tcW w:w="519" w:type="pct"/>
            <w:vAlign w:val="center"/>
          </w:tcPr>
          <w:p w14:paraId="56FFF626" w14:textId="77777777" w:rsidR="009D12AF" w:rsidRDefault="00000000">
            <w:pPr>
              <w:adjustRightInd w:val="0"/>
              <w:spacing w:line="240" w:lineRule="auto"/>
              <w:ind w:firstLineChars="0" w:firstLine="0"/>
              <w:jc w:val="center"/>
              <w:rPr>
                <w:kern w:val="0"/>
                <w:sz w:val="21"/>
              </w:rPr>
            </w:pPr>
            <w:r>
              <w:rPr>
                <w:kern w:val="0"/>
                <w:sz w:val="21"/>
              </w:rPr>
              <w:t>污染源</w:t>
            </w:r>
          </w:p>
        </w:tc>
        <w:tc>
          <w:tcPr>
            <w:tcW w:w="792" w:type="pct"/>
            <w:vAlign w:val="center"/>
          </w:tcPr>
          <w:p w14:paraId="3492F8B5" w14:textId="77777777" w:rsidR="009D12AF" w:rsidRDefault="00000000">
            <w:pPr>
              <w:adjustRightInd w:val="0"/>
              <w:spacing w:line="240" w:lineRule="auto"/>
              <w:ind w:firstLineChars="0" w:firstLine="0"/>
              <w:jc w:val="center"/>
              <w:rPr>
                <w:kern w:val="0"/>
                <w:sz w:val="21"/>
              </w:rPr>
            </w:pPr>
            <w:r>
              <w:rPr>
                <w:kern w:val="0"/>
                <w:sz w:val="21"/>
              </w:rPr>
              <w:t>污染物名称</w:t>
            </w:r>
          </w:p>
        </w:tc>
        <w:tc>
          <w:tcPr>
            <w:tcW w:w="1854" w:type="pct"/>
            <w:vAlign w:val="center"/>
          </w:tcPr>
          <w:p w14:paraId="055BF69F" w14:textId="77777777" w:rsidR="009D12AF" w:rsidRDefault="00000000">
            <w:pPr>
              <w:adjustRightInd w:val="0"/>
              <w:spacing w:line="240" w:lineRule="auto"/>
              <w:ind w:firstLineChars="0" w:firstLine="0"/>
              <w:jc w:val="center"/>
              <w:rPr>
                <w:kern w:val="0"/>
                <w:sz w:val="21"/>
              </w:rPr>
            </w:pPr>
            <w:r>
              <w:rPr>
                <w:kern w:val="0"/>
                <w:sz w:val="21"/>
              </w:rPr>
              <w:t>污染防治设施</w:t>
            </w:r>
          </w:p>
        </w:tc>
        <w:tc>
          <w:tcPr>
            <w:tcW w:w="1396" w:type="pct"/>
            <w:vAlign w:val="center"/>
          </w:tcPr>
          <w:p w14:paraId="3410F473" w14:textId="77777777" w:rsidR="009D12AF" w:rsidRDefault="00000000">
            <w:pPr>
              <w:adjustRightInd w:val="0"/>
              <w:spacing w:line="240" w:lineRule="auto"/>
              <w:ind w:firstLineChars="0" w:firstLine="0"/>
              <w:jc w:val="center"/>
              <w:rPr>
                <w:kern w:val="0"/>
                <w:sz w:val="21"/>
              </w:rPr>
            </w:pPr>
            <w:r>
              <w:rPr>
                <w:kern w:val="0"/>
                <w:sz w:val="21"/>
              </w:rPr>
              <w:t>验收内容及标准</w:t>
            </w:r>
          </w:p>
        </w:tc>
      </w:tr>
      <w:tr w:rsidR="009D12AF" w14:paraId="5B8E4127" w14:textId="77777777">
        <w:trPr>
          <w:trHeight w:val="397"/>
        </w:trPr>
        <w:tc>
          <w:tcPr>
            <w:tcW w:w="437" w:type="pct"/>
            <w:vMerge w:val="restart"/>
            <w:vAlign w:val="center"/>
          </w:tcPr>
          <w:p w14:paraId="5BAF8A92" w14:textId="77777777" w:rsidR="009D12AF" w:rsidRDefault="00000000">
            <w:pPr>
              <w:adjustRightInd w:val="0"/>
              <w:spacing w:line="240" w:lineRule="auto"/>
              <w:ind w:firstLineChars="0" w:firstLine="0"/>
              <w:jc w:val="center"/>
              <w:rPr>
                <w:kern w:val="0"/>
                <w:sz w:val="21"/>
              </w:rPr>
            </w:pPr>
            <w:r>
              <w:rPr>
                <w:kern w:val="0"/>
                <w:sz w:val="21"/>
              </w:rPr>
              <w:t>废水</w:t>
            </w:r>
          </w:p>
        </w:tc>
        <w:tc>
          <w:tcPr>
            <w:tcW w:w="519" w:type="pct"/>
            <w:vAlign w:val="center"/>
          </w:tcPr>
          <w:p w14:paraId="7863F6F3" w14:textId="77777777" w:rsidR="009D12AF" w:rsidRDefault="00000000">
            <w:pPr>
              <w:adjustRightInd w:val="0"/>
              <w:spacing w:line="240" w:lineRule="auto"/>
              <w:ind w:firstLineChars="0" w:firstLine="0"/>
              <w:jc w:val="center"/>
              <w:rPr>
                <w:kern w:val="0"/>
                <w:sz w:val="21"/>
              </w:rPr>
            </w:pPr>
            <w:r>
              <w:rPr>
                <w:kern w:val="0"/>
                <w:sz w:val="21"/>
              </w:rPr>
              <w:t>生活</w:t>
            </w:r>
          </w:p>
          <w:p w14:paraId="2E05C868" w14:textId="77777777" w:rsidR="009D12AF" w:rsidRDefault="00000000">
            <w:pPr>
              <w:adjustRightInd w:val="0"/>
              <w:spacing w:line="240" w:lineRule="auto"/>
              <w:ind w:firstLineChars="0" w:firstLine="0"/>
              <w:jc w:val="center"/>
              <w:rPr>
                <w:kern w:val="0"/>
                <w:sz w:val="21"/>
              </w:rPr>
            </w:pPr>
            <w:r>
              <w:rPr>
                <w:kern w:val="0"/>
                <w:sz w:val="21"/>
              </w:rPr>
              <w:t>污水</w:t>
            </w:r>
          </w:p>
        </w:tc>
        <w:tc>
          <w:tcPr>
            <w:tcW w:w="792" w:type="pct"/>
            <w:vAlign w:val="center"/>
          </w:tcPr>
          <w:p w14:paraId="2EE608A3" w14:textId="77777777" w:rsidR="009D12AF" w:rsidRDefault="00000000">
            <w:pPr>
              <w:adjustRightInd w:val="0"/>
              <w:spacing w:line="240" w:lineRule="auto"/>
              <w:ind w:firstLineChars="0" w:firstLine="0"/>
              <w:jc w:val="center"/>
              <w:rPr>
                <w:kern w:val="0"/>
                <w:sz w:val="21"/>
              </w:rPr>
            </w:pPr>
            <w:r>
              <w:rPr>
                <w:kern w:val="0"/>
                <w:sz w:val="21"/>
              </w:rPr>
              <w:t>COD</w:t>
            </w:r>
            <w:r>
              <w:rPr>
                <w:kern w:val="0"/>
                <w:sz w:val="21"/>
              </w:rPr>
              <w:t>、</w:t>
            </w:r>
            <w:r>
              <w:rPr>
                <w:kern w:val="0"/>
                <w:sz w:val="21"/>
              </w:rPr>
              <w:t>SS</w:t>
            </w:r>
            <w:r>
              <w:rPr>
                <w:kern w:val="0"/>
                <w:sz w:val="21"/>
              </w:rPr>
              <w:t>、</w:t>
            </w:r>
            <w:r>
              <w:rPr>
                <w:kern w:val="0"/>
                <w:sz w:val="21"/>
              </w:rPr>
              <w:t>NH</w:t>
            </w:r>
            <w:r>
              <w:rPr>
                <w:kern w:val="0"/>
                <w:sz w:val="21"/>
                <w:vertAlign w:val="subscript"/>
              </w:rPr>
              <w:t>3</w:t>
            </w:r>
            <w:r>
              <w:rPr>
                <w:kern w:val="0"/>
                <w:sz w:val="21"/>
              </w:rPr>
              <w:t>-N</w:t>
            </w:r>
          </w:p>
        </w:tc>
        <w:tc>
          <w:tcPr>
            <w:tcW w:w="1854" w:type="pct"/>
            <w:vAlign w:val="center"/>
          </w:tcPr>
          <w:p w14:paraId="49E61A4C" w14:textId="77777777" w:rsidR="009D12AF" w:rsidRDefault="00000000">
            <w:pPr>
              <w:adjustRightInd w:val="0"/>
              <w:spacing w:line="240" w:lineRule="auto"/>
              <w:ind w:firstLineChars="0" w:firstLine="0"/>
              <w:jc w:val="center"/>
              <w:rPr>
                <w:kern w:val="0"/>
                <w:sz w:val="21"/>
              </w:rPr>
            </w:pPr>
            <w:r>
              <w:rPr>
                <w:kern w:val="0"/>
                <w:sz w:val="21"/>
              </w:rPr>
              <w:t>生活污水进入移动卫生厕所，由市政部门清掏堆肥</w:t>
            </w:r>
          </w:p>
        </w:tc>
        <w:tc>
          <w:tcPr>
            <w:tcW w:w="1396" w:type="pct"/>
            <w:vAlign w:val="center"/>
          </w:tcPr>
          <w:p w14:paraId="1B8BC195" w14:textId="77777777" w:rsidR="009D12AF" w:rsidRDefault="00000000">
            <w:pPr>
              <w:adjustRightInd w:val="0"/>
              <w:spacing w:line="240" w:lineRule="auto"/>
              <w:ind w:firstLineChars="0" w:firstLine="0"/>
              <w:jc w:val="center"/>
              <w:rPr>
                <w:kern w:val="0"/>
                <w:sz w:val="21"/>
              </w:rPr>
            </w:pPr>
            <w:r>
              <w:rPr>
                <w:kern w:val="0"/>
                <w:sz w:val="21"/>
              </w:rPr>
              <w:t>移动卫生厕所验收时拆除完成</w:t>
            </w:r>
          </w:p>
        </w:tc>
      </w:tr>
      <w:tr w:rsidR="009D12AF" w14:paraId="577426A3" w14:textId="77777777">
        <w:trPr>
          <w:trHeight w:val="397"/>
        </w:trPr>
        <w:tc>
          <w:tcPr>
            <w:tcW w:w="437" w:type="pct"/>
            <w:vMerge/>
            <w:vAlign w:val="center"/>
          </w:tcPr>
          <w:p w14:paraId="7B664EB4" w14:textId="77777777" w:rsidR="009D12AF" w:rsidRDefault="009D12AF">
            <w:pPr>
              <w:adjustRightInd w:val="0"/>
              <w:spacing w:line="240" w:lineRule="auto"/>
              <w:ind w:firstLineChars="0" w:firstLine="0"/>
              <w:jc w:val="center"/>
              <w:rPr>
                <w:kern w:val="0"/>
                <w:sz w:val="21"/>
                <w:highlight w:val="green"/>
              </w:rPr>
            </w:pPr>
          </w:p>
        </w:tc>
        <w:tc>
          <w:tcPr>
            <w:tcW w:w="519" w:type="pct"/>
            <w:vAlign w:val="center"/>
          </w:tcPr>
          <w:p w14:paraId="1EE651EB" w14:textId="77777777" w:rsidR="009D12AF" w:rsidRDefault="00000000">
            <w:pPr>
              <w:adjustRightInd w:val="0"/>
              <w:spacing w:line="240" w:lineRule="auto"/>
              <w:ind w:firstLineChars="0" w:firstLine="0"/>
              <w:jc w:val="center"/>
              <w:rPr>
                <w:kern w:val="0"/>
                <w:sz w:val="21"/>
              </w:rPr>
            </w:pPr>
            <w:r>
              <w:rPr>
                <w:kern w:val="0"/>
                <w:sz w:val="21"/>
              </w:rPr>
              <w:t>清淤渗滤水</w:t>
            </w:r>
          </w:p>
        </w:tc>
        <w:tc>
          <w:tcPr>
            <w:tcW w:w="792" w:type="pct"/>
            <w:vAlign w:val="center"/>
          </w:tcPr>
          <w:p w14:paraId="04E16809" w14:textId="77777777" w:rsidR="009D12AF" w:rsidRDefault="00000000">
            <w:pPr>
              <w:adjustRightInd w:val="0"/>
              <w:spacing w:line="240" w:lineRule="auto"/>
              <w:ind w:firstLineChars="0" w:firstLine="0"/>
              <w:jc w:val="center"/>
              <w:rPr>
                <w:kern w:val="0"/>
                <w:sz w:val="21"/>
              </w:rPr>
            </w:pPr>
            <w:r>
              <w:rPr>
                <w:kern w:val="0"/>
                <w:sz w:val="21"/>
              </w:rPr>
              <w:t>SS</w:t>
            </w:r>
          </w:p>
        </w:tc>
        <w:tc>
          <w:tcPr>
            <w:tcW w:w="1854" w:type="pct"/>
            <w:vAlign w:val="center"/>
          </w:tcPr>
          <w:p w14:paraId="5660D592" w14:textId="77777777" w:rsidR="009D12AF" w:rsidRDefault="00000000">
            <w:pPr>
              <w:adjustRightInd w:val="0"/>
              <w:spacing w:line="240" w:lineRule="auto"/>
              <w:ind w:firstLineChars="0" w:firstLine="0"/>
              <w:jc w:val="center"/>
              <w:rPr>
                <w:kern w:val="0"/>
                <w:sz w:val="21"/>
              </w:rPr>
            </w:pPr>
            <w:r>
              <w:rPr>
                <w:rFonts w:hint="eastAsia"/>
                <w:sz w:val="21"/>
              </w:rPr>
              <w:t>经沉淀池处理后达到《污水综合排放标准》（</w:t>
            </w:r>
            <w:r>
              <w:rPr>
                <w:rFonts w:hint="eastAsia"/>
                <w:sz w:val="21"/>
              </w:rPr>
              <w:t>GB8978-1996</w:t>
            </w:r>
            <w:r>
              <w:rPr>
                <w:rFonts w:hint="eastAsia"/>
                <w:sz w:val="21"/>
              </w:rPr>
              <w:t>）一级标准，由牡丹江龙江环保水务有限公司定期拉运处理</w:t>
            </w:r>
          </w:p>
        </w:tc>
        <w:tc>
          <w:tcPr>
            <w:tcW w:w="1396" w:type="pct"/>
            <w:vAlign w:val="center"/>
          </w:tcPr>
          <w:p w14:paraId="5BEE13A2" w14:textId="77777777" w:rsidR="009D12AF" w:rsidRDefault="00000000">
            <w:pPr>
              <w:adjustRightInd w:val="0"/>
              <w:spacing w:line="240" w:lineRule="auto"/>
              <w:ind w:firstLineChars="0" w:firstLine="0"/>
              <w:jc w:val="center"/>
              <w:rPr>
                <w:kern w:val="0"/>
                <w:sz w:val="21"/>
              </w:rPr>
            </w:pPr>
            <w:r>
              <w:rPr>
                <w:kern w:val="0"/>
                <w:sz w:val="21"/>
              </w:rPr>
              <w:t>沉淀池验收时拆除完成</w:t>
            </w:r>
          </w:p>
        </w:tc>
      </w:tr>
      <w:tr w:rsidR="009D12AF" w14:paraId="17D69853" w14:textId="77777777">
        <w:trPr>
          <w:trHeight w:val="397"/>
        </w:trPr>
        <w:tc>
          <w:tcPr>
            <w:tcW w:w="437" w:type="pct"/>
            <w:vMerge/>
            <w:vAlign w:val="center"/>
          </w:tcPr>
          <w:p w14:paraId="1DFB0D90" w14:textId="77777777" w:rsidR="009D12AF" w:rsidRDefault="009D12AF">
            <w:pPr>
              <w:adjustRightInd w:val="0"/>
              <w:spacing w:line="240" w:lineRule="auto"/>
              <w:ind w:firstLineChars="0" w:firstLine="0"/>
              <w:jc w:val="center"/>
              <w:rPr>
                <w:kern w:val="0"/>
                <w:sz w:val="21"/>
                <w:highlight w:val="green"/>
              </w:rPr>
            </w:pPr>
          </w:p>
        </w:tc>
        <w:tc>
          <w:tcPr>
            <w:tcW w:w="519" w:type="pct"/>
            <w:vAlign w:val="center"/>
          </w:tcPr>
          <w:p w14:paraId="434418B1" w14:textId="77777777" w:rsidR="009D12AF" w:rsidRDefault="00000000">
            <w:pPr>
              <w:adjustRightInd w:val="0"/>
              <w:spacing w:line="240" w:lineRule="auto"/>
              <w:ind w:firstLineChars="0" w:firstLine="0"/>
              <w:jc w:val="center"/>
              <w:rPr>
                <w:kern w:val="0"/>
                <w:sz w:val="21"/>
              </w:rPr>
            </w:pPr>
            <w:r>
              <w:rPr>
                <w:rFonts w:hint="eastAsia"/>
                <w:kern w:val="0"/>
                <w:sz w:val="21"/>
              </w:rPr>
              <w:t>施工机械和车辆的清洗废水</w:t>
            </w:r>
          </w:p>
        </w:tc>
        <w:tc>
          <w:tcPr>
            <w:tcW w:w="792" w:type="pct"/>
            <w:vAlign w:val="center"/>
          </w:tcPr>
          <w:p w14:paraId="26740DCD" w14:textId="77777777" w:rsidR="009D12AF" w:rsidRDefault="00000000">
            <w:pPr>
              <w:adjustRightInd w:val="0"/>
              <w:spacing w:line="240" w:lineRule="auto"/>
              <w:ind w:firstLineChars="0" w:firstLine="0"/>
              <w:jc w:val="center"/>
              <w:rPr>
                <w:kern w:val="0"/>
                <w:sz w:val="21"/>
              </w:rPr>
            </w:pPr>
            <w:r>
              <w:rPr>
                <w:kern w:val="0"/>
                <w:sz w:val="21"/>
              </w:rPr>
              <w:t>石油类和</w:t>
            </w:r>
            <w:r>
              <w:rPr>
                <w:kern w:val="0"/>
                <w:sz w:val="21"/>
              </w:rPr>
              <w:t>SS</w:t>
            </w:r>
          </w:p>
        </w:tc>
        <w:tc>
          <w:tcPr>
            <w:tcW w:w="1854" w:type="pct"/>
            <w:vAlign w:val="center"/>
          </w:tcPr>
          <w:p w14:paraId="4D424099" w14:textId="77777777" w:rsidR="009D12AF" w:rsidRDefault="00000000">
            <w:pPr>
              <w:adjustRightInd w:val="0"/>
              <w:spacing w:line="240" w:lineRule="auto"/>
              <w:ind w:firstLineChars="0" w:firstLine="0"/>
              <w:jc w:val="center"/>
              <w:rPr>
                <w:kern w:val="0"/>
                <w:sz w:val="21"/>
                <w:highlight w:val="green"/>
              </w:rPr>
            </w:pPr>
            <w:r>
              <w:rPr>
                <w:sz w:val="21"/>
              </w:rPr>
              <w:t>经</w:t>
            </w:r>
            <w:r>
              <w:rPr>
                <w:rFonts w:hint="eastAsia"/>
                <w:sz w:val="21"/>
              </w:rPr>
              <w:t>隔油池</w:t>
            </w:r>
            <w:r>
              <w:rPr>
                <w:sz w:val="21"/>
              </w:rPr>
              <w:t>处理后</w:t>
            </w:r>
            <w:r>
              <w:rPr>
                <w:rFonts w:hint="eastAsia"/>
                <w:sz w:val="21"/>
              </w:rPr>
              <w:t>，</w:t>
            </w:r>
            <w:r>
              <w:rPr>
                <w:sz w:val="21"/>
                <w:szCs w:val="21"/>
              </w:rPr>
              <w:t>回用于项目区道路、场地洒水降尘</w:t>
            </w:r>
          </w:p>
        </w:tc>
        <w:tc>
          <w:tcPr>
            <w:tcW w:w="1396" w:type="pct"/>
            <w:vAlign w:val="center"/>
          </w:tcPr>
          <w:p w14:paraId="01B5003B" w14:textId="77777777" w:rsidR="009D12AF" w:rsidRDefault="00000000">
            <w:pPr>
              <w:adjustRightInd w:val="0"/>
              <w:spacing w:line="240" w:lineRule="auto"/>
              <w:ind w:firstLineChars="0" w:firstLine="0"/>
              <w:jc w:val="center"/>
              <w:rPr>
                <w:kern w:val="0"/>
                <w:sz w:val="21"/>
                <w:highlight w:val="green"/>
              </w:rPr>
            </w:pPr>
            <w:r>
              <w:rPr>
                <w:rFonts w:hint="eastAsia"/>
                <w:kern w:val="0"/>
                <w:sz w:val="21"/>
              </w:rPr>
              <w:t>隔油池验收时拆除完成</w:t>
            </w:r>
          </w:p>
        </w:tc>
      </w:tr>
      <w:tr w:rsidR="009D12AF" w14:paraId="177F9F09" w14:textId="77777777">
        <w:trPr>
          <w:trHeight w:val="397"/>
        </w:trPr>
        <w:tc>
          <w:tcPr>
            <w:tcW w:w="437" w:type="pct"/>
            <w:vMerge w:val="restart"/>
            <w:vAlign w:val="center"/>
          </w:tcPr>
          <w:p w14:paraId="1E9E672C" w14:textId="77777777" w:rsidR="009D12AF" w:rsidRDefault="00000000">
            <w:pPr>
              <w:adjustRightInd w:val="0"/>
              <w:spacing w:line="240" w:lineRule="auto"/>
              <w:ind w:firstLineChars="0" w:firstLine="0"/>
              <w:jc w:val="center"/>
              <w:rPr>
                <w:kern w:val="0"/>
                <w:sz w:val="21"/>
              </w:rPr>
            </w:pPr>
            <w:r>
              <w:rPr>
                <w:kern w:val="0"/>
                <w:sz w:val="21"/>
              </w:rPr>
              <w:t>废气</w:t>
            </w:r>
          </w:p>
        </w:tc>
        <w:tc>
          <w:tcPr>
            <w:tcW w:w="519" w:type="pct"/>
            <w:vAlign w:val="center"/>
          </w:tcPr>
          <w:p w14:paraId="3DE8C43F" w14:textId="77777777" w:rsidR="009D12AF" w:rsidRDefault="00000000">
            <w:pPr>
              <w:adjustRightInd w:val="0"/>
              <w:spacing w:line="240" w:lineRule="auto"/>
              <w:ind w:firstLineChars="0" w:firstLine="0"/>
              <w:jc w:val="center"/>
              <w:rPr>
                <w:kern w:val="0"/>
                <w:sz w:val="21"/>
              </w:rPr>
            </w:pPr>
            <w:r>
              <w:rPr>
                <w:kern w:val="0"/>
                <w:sz w:val="21"/>
              </w:rPr>
              <w:t>土建</w:t>
            </w:r>
          </w:p>
          <w:p w14:paraId="25BD86BF" w14:textId="77777777" w:rsidR="009D12AF" w:rsidRDefault="00000000">
            <w:pPr>
              <w:adjustRightInd w:val="0"/>
              <w:spacing w:line="240" w:lineRule="auto"/>
              <w:ind w:firstLineChars="0" w:firstLine="0"/>
              <w:jc w:val="center"/>
              <w:rPr>
                <w:kern w:val="0"/>
                <w:sz w:val="21"/>
              </w:rPr>
            </w:pPr>
            <w:r>
              <w:rPr>
                <w:kern w:val="0"/>
                <w:sz w:val="21"/>
              </w:rPr>
              <w:t>工程</w:t>
            </w:r>
          </w:p>
        </w:tc>
        <w:tc>
          <w:tcPr>
            <w:tcW w:w="792" w:type="pct"/>
            <w:vAlign w:val="center"/>
          </w:tcPr>
          <w:p w14:paraId="72E70967" w14:textId="77777777" w:rsidR="009D12AF" w:rsidRDefault="00000000">
            <w:pPr>
              <w:adjustRightInd w:val="0"/>
              <w:spacing w:line="240" w:lineRule="auto"/>
              <w:ind w:firstLineChars="0" w:firstLine="0"/>
              <w:jc w:val="center"/>
              <w:rPr>
                <w:kern w:val="0"/>
                <w:sz w:val="21"/>
              </w:rPr>
            </w:pPr>
            <w:r>
              <w:rPr>
                <w:kern w:val="0"/>
                <w:sz w:val="21"/>
              </w:rPr>
              <w:t>扬尘</w:t>
            </w:r>
          </w:p>
        </w:tc>
        <w:tc>
          <w:tcPr>
            <w:tcW w:w="1854" w:type="pct"/>
            <w:vAlign w:val="center"/>
          </w:tcPr>
          <w:p w14:paraId="2460A137" w14:textId="77777777" w:rsidR="009D12AF" w:rsidRDefault="00000000">
            <w:pPr>
              <w:adjustRightInd w:val="0"/>
              <w:spacing w:line="240" w:lineRule="auto"/>
              <w:ind w:firstLineChars="0" w:firstLine="0"/>
              <w:jc w:val="center"/>
              <w:rPr>
                <w:kern w:val="0"/>
                <w:sz w:val="21"/>
              </w:rPr>
            </w:pPr>
            <w:r>
              <w:rPr>
                <w:kern w:val="0"/>
                <w:sz w:val="21"/>
              </w:rPr>
              <w:t>避免大风天进行土方作业，采取洒水、覆盖等措施</w:t>
            </w:r>
          </w:p>
        </w:tc>
        <w:tc>
          <w:tcPr>
            <w:tcW w:w="1396" w:type="pct"/>
            <w:vMerge w:val="restart"/>
            <w:vAlign w:val="center"/>
          </w:tcPr>
          <w:p w14:paraId="2A158AEE" w14:textId="77777777" w:rsidR="009D12AF" w:rsidRDefault="00000000">
            <w:pPr>
              <w:adjustRightInd w:val="0"/>
              <w:spacing w:line="240" w:lineRule="auto"/>
              <w:ind w:firstLineChars="0" w:firstLine="0"/>
              <w:jc w:val="center"/>
              <w:rPr>
                <w:kern w:val="0"/>
                <w:sz w:val="21"/>
              </w:rPr>
            </w:pPr>
            <w:r>
              <w:rPr>
                <w:kern w:val="0"/>
                <w:sz w:val="21"/>
              </w:rPr>
              <w:t>《大气污染物综合排放标准》（</w:t>
            </w:r>
            <w:r>
              <w:rPr>
                <w:kern w:val="0"/>
                <w:sz w:val="21"/>
              </w:rPr>
              <w:t>GB16297-1996</w:t>
            </w:r>
            <w:r>
              <w:rPr>
                <w:kern w:val="0"/>
                <w:sz w:val="21"/>
              </w:rPr>
              <w:t>）表</w:t>
            </w:r>
            <w:r>
              <w:rPr>
                <w:kern w:val="0"/>
                <w:sz w:val="21"/>
              </w:rPr>
              <w:t>2</w:t>
            </w:r>
            <w:r>
              <w:rPr>
                <w:kern w:val="0"/>
                <w:sz w:val="21"/>
              </w:rPr>
              <w:t>中的无组织排放</w:t>
            </w:r>
          </w:p>
        </w:tc>
      </w:tr>
      <w:tr w:rsidR="009D12AF" w14:paraId="12D6E2F8" w14:textId="77777777">
        <w:trPr>
          <w:trHeight w:val="397"/>
        </w:trPr>
        <w:tc>
          <w:tcPr>
            <w:tcW w:w="437" w:type="pct"/>
            <w:vMerge/>
            <w:vAlign w:val="center"/>
          </w:tcPr>
          <w:p w14:paraId="1604D631" w14:textId="77777777" w:rsidR="009D12AF" w:rsidRDefault="009D12AF">
            <w:pPr>
              <w:adjustRightInd w:val="0"/>
              <w:spacing w:line="240" w:lineRule="auto"/>
              <w:ind w:firstLineChars="0" w:firstLine="0"/>
              <w:jc w:val="center"/>
              <w:rPr>
                <w:kern w:val="0"/>
                <w:sz w:val="21"/>
                <w:highlight w:val="green"/>
              </w:rPr>
            </w:pPr>
          </w:p>
        </w:tc>
        <w:tc>
          <w:tcPr>
            <w:tcW w:w="519" w:type="pct"/>
            <w:vMerge w:val="restart"/>
            <w:vAlign w:val="center"/>
          </w:tcPr>
          <w:p w14:paraId="5299D8F0" w14:textId="77777777" w:rsidR="009D12AF" w:rsidRDefault="00000000">
            <w:pPr>
              <w:adjustRightInd w:val="0"/>
              <w:spacing w:line="240" w:lineRule="auto"/>
              <w:ind w:firstLineChars="0" w:firstLine="0"/>
              <w:jc w:val="center"/>
              <w:rPr>
                <w:kern w:val="0"/>
                <w:sz w:val="21"/>
              </w:rPr>
            </w:pPr>
            <w:r>
              <w:rPr>
                <w:kern w:val="0"/>
                <w:sz w:val="21"/>
              </w:rPr>
              <w:t>运输</w:t>
            </w:r>
          </w:p>
          <w:p w14:paraId="73243F6F" w14:textId="77777777" w:rsidR="009D12AF" w:rsidRDefault="00000000">
            <w:pPr>
              <w:adjustRightInd w:val="0"/>
              <w:spacing w:line="240" w:lineRule="auto"/>
              <w:ind w:firstLineChars="0" w:firstLine="0"/>
              <w:jc w:val="center"/>
              <w:rPr>
                <w:kern w:val="0"/>
                <w:sz w:val="21"/>
              </w:rPr>
            </w:pPr>
            <w:r>
              <w:rPr>
                <w:kern w:val="0"/>
                <w:sz w:val="21"/>
              </w:rPr>
              <w:t>车辆</w:t>
            </w:r>
          </w:p>
        </w:tc>
        <w:tc>
          <w:tcPr>
            <w:tcW w:w="792" w:type="pct"/>
            <w:vAlign w:val="center"/>
          </w:tcPr>
          <w:p w14:paraId="50A273C5" w14:textId="77777777" w:rsidR="009D12AF" w:rsidRDefault="00000000">
            <w:pPr>
              <w:adjustRightInd w:val="0"/>
              <w:spacing w:line="240" w:lineRule="auto"/>
              <w:ind w:firstLineChars="0" w:firstLine="0"/>
              <w:jc w:val="center"/>
              <w:rPr>
                <w:kern w:val="0"/>
                <w:sz w:val="21"/>
              </w:rPr>
            </w:pPr>
            <w:r>
              <w:rPr>
                <w:kern w:val="0"/>
                <w:sz w:val="21"/>
              </w:rPr>
              <w:t>扬尘</w:t>
            </w:r>
          </w:p>
        </w:tc>
        <w:tc>
          <w:tcPr>
            <w:tcW w:w="1854" w:type="pct"/>
            <w:vAlign w:val="center"/>
          </w:tcPr>
          <w:p w14:paraId="03401C85" w14:textId="77777777" w:rsidR="009D12AF" w:rsidRDefault="00000000">
            <w:pPr>
              <w:adjustRightInd w:val="0"/>
              <w:spacing w:line="240" w:lineRule="auto"/>
              <w:ind w:firstLineChars="0" w:firstLine="0"/>
              <w:jc w:val="center"/>
              <w:rPr>
                <w:kern w:val="0"/>
                <w:sz w:val="21"/>
              </w:rPr>
            </w:pPr>
            <w:r>
              <w:rPr>
                <w:kern w:val="0"/>
                <w:sz w:val="21"/>
              </w:rPr>
              <w:t>定期清理清扫，洒水降尘</w:t>
            </w:r>
          </w:p>
        </w:tc>
        <w:tc>
          <w:tcPr>
            <w:tcW w:w="1396" w:type="pct"/>
            <w:vMerge/>
            <w:vAlign w:val="center"/>
          </w:tcPr>
          <w:p w14:paraId="4D92C686" w14:textId="77777777" w:rsidR="009D12AF" w:rsidRDefault="009D12AF">
            <w:pPr>
              <w:adjustRightInd w:val="0"/>
              <w:spacing w:line="240" w:lineRule="auto"/>
              <w:ind w:firstLineChars="0" w:firstLine="0"/>
              <w:jc w:val="center"/>
              <w:rPr>
                <w:kern w:val="0"/>
                <w:sz w:val="21"/>
              </w:rPr>
            </w:pPr>
          </w:p>
        </w:tc>
      </w:tr>
      <w:tr w:rsidR="009D12AF" w14:paraId="3CF4D4B0" w14:textId="77777777">
        <w:trPr>
          <w:trHeight w:val="397"/>
        </w:trPr>
        <w:tc>
          <w:tcPr>
            <w:tcW w:w="437" w:type="pct"/>
            <w:vMerge/>
            <w:vAlign w:val="center"/>
          </w:tcPr>
          <w:p w14:paraId="58CDF7DE" w14:textId="77777777" w:rsidR="009D12AF" w:rsidRDefault="009D12AF">
            <w:pPr>
              <w:adjustRightInd w:val="0"/>
              <w:spacing w:line="240" w:lineRule="auto"/>
              <w:ind w:firstLineChars="0" w:firstLine="0"/>
              <w:jc w:val="center"/>
              <w:rPr>
                <w:kern w:val="0"/>
                <w:sz w:val="21"/>
                <w:highlight w:val="green"/>
              </w:rPr>
            </w:pPr>
          </w:p>
        </w:tc>
        <w:tc>
          <w:tcPr>
            <w:tcW w:w="519" w:type="pct"/>
            <w:vMerge/>
            <w:vAlign w:val="center"/>
          </w:tcPr>
          <w:p w14:paraId="70AAED31" w14:textId="77777777" w:rsidR="009D12AF" w:rsidRDefault="009D12AF">
            <w:pPr>
              <w:adjustRightInd w:val="0"/>
              <w:spacing w:line="240" w:lineRule="auto"/>
              <w:ind w:firstLineChars="0" w:firstLine="0"/>
              <w:jc w:val="center"/>
              <w:rPr>
                <w:kern w:val="0"/>
                <w:sz w:val="21"/>
              </w:rPr>
            </w:pPr>
          </w:p>
        </w:tc>
        <w:tc>
          <w:tcPr>
            <w:tcW w:w="792" w:type="pct"/>
            <w:vAlign w:val="center"/>
          </w:tcPr>
          <w:p w14:paraId="685A6011" w14:textId="77777777" w:rsidR="009D12AF" w:rsidRDefault="00000000">
            <w:pPr>
              <w:adjustRightInd w:val="0"/>
              <w:spacing w:line="240" w:lineRule="auto"/>
              <w:ind w:firstLineChars="0" w:firstLine="0"/>
              <w:jc w:val="center"/>
              <w:rPr>
                <w:kern w:val="0"/>
                <w:sz w:val="21"/>
              </w:rPr>
            </w:pPr>
            <w:r>
              <w:rPr>
                <w:kern w:val="0"/>
                <w:sz w:val="21"/>
              </w:rPr>
              <w:t>尾气</w:t>
            </w:r>
          </w:p>
        </w:tc>
        <w:tc>
          <w:tcPr>
            <w:tcW w:w="1854" w:type="pct"/>
            <w:vAlign w:val="center"/>
          </w:tcPr>
          <w:p w14:paraId="6E246256" w14:textId="77777777" w:rsidR="009D12AF" w:rsidRDefault="00000000">
            <w:pPr>
              <w:adjustRightInd w:val="0"/>
              <w:spacing w:line="240" w:lineRule="auto"/>
              <w:ind w:firstLineChars="0" w:firstLine="0"/>
              <w:jc w:val="center"/>
              <w:rPr>
                <w:kern w:val="0"/>
                <w:sz w:val="21"/>
              </w:rPr>
            </w:pPr>
            <w:r>
              <w:rPr>
                <w:kern w:val="0"/>
                <w:sz w:val="21"/>
              </w:rPr>
              <w:t>使用有害物质量少的燃料，并定期对设备进行维护</w:t>
            </w:r>
          </w:p>
        </w:tc>
        <w:tc>
          <w:tcPr>
            <w:tcW w:w="1396" w:type="pct"/>
            <w:vMerge/>
            <w:vAlign w:val="center"/>
          </w:tcPr>
          <w:p w14:paraId="04DD683E" w14:textId="77777777" w:rsidR="009D12AF" w:rsidRDefault="009D12AF">
            <w:pPr>
              <w:adjustRightInd w:val="0"/>
              <w:spacing w:line="240" w:lineRule="auto"/>
              <w:ind w:firstLineChars="0" w:firstLine="0"/>
              <w:jc w:val="center"/>
              <w:rPr>
                <w:kern w:val="0"/>
                <w:sz w:val="21"/>
              </w:rPr>
            </w:pPr>
          </w:p>
        </w:tc>
      </w:tr>
      <w:tr w:rsidR="009D12AF" w14:paraId="1A805C64" w14:textId="77777777">
        <w:trPr>
          <w:trHeight w:val="397"/>
        </w:trPr>
        <w:tc>
          <w:tcPr>
            <w:tcW w:w="437" w:type="pct"/>
            <w:vMerge/>
            <w:vAlign w:val="center"/>
          </w:tcPr>
          <w:p w14:paraId="17902654" w14:textId="77777777" w:rsidR="009D12AF" w:rsidRDefault="009D12AF">
            <w:pPr>
              <w:adjustRightInd w:val="0"/>
              <w:spacing w:line="240" w:lineRule="auto"/>
              <w:ind w:firstLineChars="0" w:firstLine="0"/>
              <w:jc w:val="center"/>
              <w:rPr>
                <w:kern w:val="0"/>
                <w:sz w:val="21"/>
                <w:highlight w:val="green"/>
              </w:rPr>
            </w:pPr>
          </w:p>
        </w:tc>
        <w:tc>
          <w:tcPr>
            <w:tcW w:w="519" w:type="pct"/>
            <w:vAlign w:val="center"/>
          </w:tcPr>
          <w:p w14:paraId="101B1572" w14:textId="77777777" w:rsidR="009D12AF" w:rsidRDefault="00000000">
            <w:pPr>
              <w:adjustRightInd w:val="0"/>
              <w:spacing w:line="240" w:lineRule="auto"/>
              <w:ind w:firstLineChars="0" w:firstLine="0"/>
              <w:jc w:val="center"/>
              <w:rPr>
                <w:kern w:val="0"/>
                <w:sz w:val="21"/>
              </w:rPr>
            </w:pPr>
            <w:r>
              <w:rPr>
                <w:kern w:val="0"/>
                <w:sz w:val="21"/>
              </w:rPr>
              <w:t>清淤及</w:t>
            </w:r>
            <w:r>
              <w:rPr>
                <w:rFonts w:hint="eastAsia"/>
                <w:kern w:val="0"/>
                <w:sz w:val="21"/>
              </w:rPr>
              <w:t>临时生产区</w:t>
            </w:r>
          </w:p>
        </w:tc>
        <w:tc>
          <w:tcPr>
            <w:tcW w:w="792" w:type="pct"/>
            <w:vAlign w:val="center"/>
          </w:tcPr>
          <w:p w14:paraId="7A128157" w14:textId="77777777" w:rsidR="009D12AF" w:rsidRDefault="00000000">
            <w:pPr>
              <w:adjustRightInd w:val="0"/>
              <w:spacing w:line="240" w:lineRule="auto"/>
              <w:ind w:firstLineChars="0" w:firstLine="0"/>
              <w:jc w:val="center"/>
              <w:rPr>
                <w:kern w:val="0"/>
                <w:sz w:val="21"/>
              </w:rPr>
            </w:pPr>
            <w:r>
              <w:rPr>
                <w:kern w:val="0"/>
                <w:sz w:val="21"/>
              </w:rPr>
              <w:t>恶臭气体</w:t>
            </w:r>
          </w:p>
        </w:tc>
        <w:tc>
          <w:tcPr>
            <w:tcW w:w="1854" w:type="pct"/>
            <w:vAlign w:val="center"/>
          </w:tcPr>
          <w:p w14:paraId="32F8D906" w14:textId="77777777" w:rsidR="009D12AF" w:rsidRDefault="00000000">
            <w:pPr>
              <w:adjustRightInd w:val="0"/>
              <w:spacing w:line="240" w:lineRule="auto"/>
              <w:ind w:firstLineChars="0" w:firstLine="0"/>
              <w:jc w:val="center"/>
              <w:rPr>
                <w:kern w:val="0"/>
                <w:sz w:val="21"/>
              </w:rPr>
            </w:pPr>
            <w:r>
              <w:rPr>
                <w:sz w:val="21"/>
              </w:rPr>
              <w:t>施工现场及</w:t>
            </w:r>
            <w:r>
              <w:rPr>
                <w:rFonts w:hint="eastAsia"/>
                <w:sz w:val="21"/>
                <w:szCs w:val="21"/>
              </w:rPr>
              <w:t>临时生产区</w:t>
            </w:r>
            <w:r>
              <w:rPr>
                <w:sz w:val="21"/>
              </w:rPr>
              <w:t>设置围挡，喷洒除臭剂</w:t>
            </w:r>
          </w:p>
        </w:tc>
        <w:tc>
          <w:tcPr>
            <w:tcW w:w="1396" w:type="pct"/>
            <w:vAlign w:val="center"/>
          </w:tcPr>
          <w:p w14:paraId="0FAA7CBF" w14:textId="77777777" w:rsidR="009D12AF" w:rsidRDefault="00000000">
            <w:pPr>
              <w:adjustRightInd w:val="0"/>
              <w:spacing w:line="240" w:lineRule="auto"/>
              <w:ind w:firstLineChars="0" w:firstLine="0"/>
              <w:jc w:val="center"/>
              <w:rPr>
                <w:kern w:val="0"/>
                <w:sz w:val="21"/>
              </w:rPr>
            </w:pPr>
            <w:r>
              <w:rPr>
                <w:sz w:val="21"/>
                <w:szCs w:val="21"/>
              </w:rPr>
              <w:t>《恶臭污染物排放标准》（</w:t>
            </w:r>
            <w:r>
              <w:rPr>
                <w:sz w:val="21"/>
                <w:szCs w:val="21"/>
              </w:rPr>
              <w:t>GB14554-93</w:t>
            </w:r>
            <w:r>
              <w:rPr>
                <w:sz w:val="21"/>
                <w:szCs w:val="21"/>
              </w:rPr>
              <w:t>）</w:t>
            </w:r>
          </w:p>
        </w:tc>
      </w:tr>
      <w:tr w:rsidR="009D12AF" w14:paraId="4A38DE12" w14:textId="77777777">
        <w:trPr>
          <w:trHeight w:val="397"/>
        </w:trPr>
        <w:tc>
          <w:tcPr>
            <w:tcW w:w="437" w:type="pct"/>
            <w:vMerge w:val="restart"/>
            <w:vAlign w:val="center"/>
          </w:tcPr>
          <w:p w14:paraId="49653A39" w14:textId="77777777" w:rsidR="009D12AF" w:rsidRDefault="00000000">
            <w:pPr>
              <w:adjustRightInd w:val="0"/>
              <w:spacing w:line="240" w:lineRule="auto"/>
              <w:ind w:firstLineChars="0" w:firstLine="0"/>
              <w:jc w:val="center"/>
              <w:rPr>
                <w:kern w:val="0"/>
                <w:sz w:val="21"/>
              </w:rPr>
            </w:pPr>
            <w:r>
              <w:rPr>
                <w:kern w:val="0"/>
                <w:sz w:val="21"/>
              </w:rPr>
              <w:t>噪声</w:t>
            </w:r>
          </w:p>
        </w:tc>
        <w:tc>
          <w:tcPr>
            <w:tcW w:w="519" w:type="pct"/>
            <w:vAlign w:val="center"/>
          </w:tcPr>
          <w:p w14:paraId="4B778B00" w14:textId="77777777" w:rsidR="009D12AF" w:rsidRDefault="00000000">
            <w:pPr>
              <w:adjustRightInd w:val="0"/>
              <w:spacing w:line="240" w:lineRule="auto"/>
              <w:ind w:firstLineChars="0" w:firstLine="0"/>
              <w:jc w:val="center"/>
              <w:rPr>
                <w:kern w:val="0"/>
                <w:sz w:val="21"/>
              </w:rPr>
            </w:pPr>
            <w:r>
              <w:rPr>
                <w:kern w:val="0"/>
                <w:sz w:val="21"/>
              </w:rPr>
              <w:t>运输</w:t>
            </w:r>
          </w:p>
          <w:p w14:paraId="441C673A" w14:textId="77777777" w:rsidR="009D12AF" w:rsidRDefault="00000000">
            <w:pPr>
              <w:adjustRightInd w:val="0"/>
              <w:spacing w:line="240" w:lineRule="auto"/>
              <w:ind w:firstLineChars="0" w:firstLine="0"/>
              <w:jc w:val="center"/>
              <w:rPr>
                <w:kern w:val="0"/>
                <w:sz w:val="21"/>
              </w:rPr>
            </w:pPr>
            <w:r>
              <w:rPr>
                <w:kern w:val="0"/>
                <w:sz w:val="21"/>
              </w:rPr>
              <w:t>车辆</w:t>
            </w:r>
          </w:p>
        </w:tc>
        <w:tc>
          <w:tcPr>
            <w:tcW w:w="792" w:type="pct"/>
            <w:vAlign w:val="center"/>
          </w:tcPr>
          <w:p w14:paraId="10B0E8F3" w14:textId="77777777" w:rsidR="009D12AF" w:rsidRDefault="00000000">
            <w:pPr>
              <w:adjustRightInd w:val="0"/>
              <w:spacing w:line="240" w:lineRule="auto"/>
              <w:ind w:firstLineChars="0" w:firstLine="0"/>
              <w:jc w:val="center"/>
              <w:rPr>
                <w:kern w:val="0"/>
                <w:sz w:val="21"/>
              </w:rPr>
            </w:pPr>
            <w:r>
              <w:rPr>
                <w:kern w:val="0"/>
                <w:sz w:val="21"/>
              </w:rPr>
              <w:t>噪声</w:t>
            </w:r>
          </w:p>
        </w:tc>
        <w:tc>
          <w:tcPr>
            <w:tcW w:w="1854" w:type="pct"/>
            <w:vAlign w:val="center"/>
          </w:tcPr>
          <w:p w14:paraId="6DE573B0" w14:textId="77777777" w:rsidR="009D12AF" w:rsidRDefault="00000000">
            <w:pPr>
              <w:adjustRightInd w:val="0"/>
              <w:spacing w:line="240" w:lineRule="auto"/>
              <w:ind w:firstLineChars="0" w:firstLine="0"/>
              <w:jc w:val="center"/>
              <w:rPr>
                <w:kern w:val="0"/>
                <w:sz w:val="21"/>
              </w:rPr>
            </w:pPr>
            <w:r>
              <w:rPr>
                <w:kern w:val="0"/>
                <w:sz w:val="21"/>
              </w:rPr>
              <w:t>限速行驶，并禁止鸣笛</w:t>
            </w:r>
          </w:p>
        </w:tc>
        <w:tc>
          <w:tcPr>
            <w:tcW w:w="1396" w:type="pct"/>
            <w:vMerge w:val="restart"/>
            <w:vAlign w:val="center"/>
          </w:tcPr>
          <w:p w14:paraId="169416BC" w14:textId="77777777" w:rsidR="009D12AF" w:rsidRDefault="00000000">
            <w:pPr>
              <w:adjustRightInd w:val="0"/>
              <w:spacing w:line="240" w:lineRule="auto"/>
              <w:ind w:firstLineChars="0" w:firstLine="0"/>
              <w:jc w:val="center"/>
              <w:rPr>
                <w:kern w:val="0"/>
                <w:sz w:val="21"/>
              </w:rPr>
            </w:pPr>
            <w:r>
              <w:rPr>
                <w:kern w:val="0"/>
                <w:sz w:val="21"/>
              </w:rPr>
              <w:t>《建筑施工场界环境噪声排放标准》（</w:t>
            </w:r>
            <w:r>
              <w:rPr>
                <w:kern w:val="0"/>
                <w:sz w:val="21"/>
              </w:rPr>
              <w:t>GB12523-2</w:t>
            </w:r>
            <w:r>
              <w:rPr>
                <w:rFonts w:hint="eastAsia"/>
                <w:kern w:val="0"/>
                <w:sz w:val="21"/>
              </w:rPr>
              <w:t>025</w:t>
            </w:r>
            <w:r>
              <w:rPr>
                <w:kern w:val="0"/>
                <w:sz w:val="21"/>
              </w:rPr>
              <w:t>）</w:t>
            </w:r>
          </w:p>
        </w:tc>
      </w:tr>
      <w:tr w:rsidR="009D12AF" w14:paraId="36CD5A97" w14:textId="77777777">
        <w:trPr>
          <w:trHeight w:val="397"/>
        </w:trPr>
        <w:tc>
          <w:tcPr>
            <w:tcW w:w="437" w:type="pct"/>
            <w:vMerge/>
            <w:vAlign w:val="center"/>
          </w:tcPr>
          <w:p w14:paraId="02AC4617" w14:textId="77777777" w:rsidR="009D12AF" w:rsidRDefault="009D12AF">
            <w:pPr>
              <w:adjustRightInd w:val="0"/>
              <w:spacing w:line="240" w:lineRule="auto"/>
              <w:ind w:firstLineChars="0" w:firstLine="0"/>
              <w:jc w:val="center"/>
              <w:rPr>
                <w:kern w:val="0"/>
                <w:sz w:val="21"/>
                <w:highlight w:val="green"/>
              </w:rPr>
            </w:pPr>
          </w:p>
        </w:tc>
        <w:tc>
          <w:tcPr>
            <w:tcW w:w="519" w:type="pct"/>
            <w:vAlign w:val="center"/>
          </w:tcPr>
          <w:p w14:paraId="260982E6" w14:textId="77777777" w:rsidR="009D12AF" w:rsidRDefault="00000000">
            <w:pPr>
              <w:adjustRightInd w:val="0"/>
              <w:spacing w:line="240" w:lineRule="auto"/>
              <w:ind w:firstLineChars="0" w:firstLine="0"/>
              <w:jc w:val="center"/>
              <w:rPr>
                <w:kern w:val="0"/>
                <w:sz w:val="21"/>
              </w:rPr>
            </w:pPr>
            <w:r>
              <w:rPr>
                <w:kern w:val="0"/>
                <w:sz w:val="21"/>
              </w:rPr>
              <w:t>施工</w:t>
            </w:r>
          </w:p>
          <w:p w14:paraId="55EF8148" w14:textId="77777777" w:rsidR="009D12AF" w:rsidRDefault="00000000">
            <w:pPr>
              <w:adjustRightInd w:val="0"/>
              <w:spacing w:line="240" w:lineRule="auto"/>
              <w:ind w:firstLineChars="0" w:firstLine="0"/>
              <w:jc w:val="center"/>
              <w:rPr>
                <w:kern w:val="0"/>
                <w:sz w:val="21"/>
              </w:rPr>
            </w:pPr>
            <w:r>
              <w:rPr>
                <w:kern w:val="0"/>
                <w:sz w:val="21"/>
              </w:rPr>
              <w:t>机械</w:t>
            </w:r>
          </w:p>
        </w:tc>
        <w:tc>
          <w:tcPr>
            <w:tcW w:w="792" w:type="pct"/>
            <w:vAlign w:val="center"/>
          </w:tcPr>
          <w:p w14:paraId="603F7BD3" w14:textId="77777777" w:rsidR="009D12AF" w:rsidRDefault="00000000">
            <w:pPr>
              <w:adjustRightInd w:val="0"/>
              <w:spacing w:line="240" w:lineRule="auto"/>
              <w:ind w:firstLineChars="0" w:firstLine="0"/>
              <w:jc w:val="center"/>
              <w:rPr>
                <w:kern w:val="0"/>
                <w:sz w:val="21"/>
              </w:rPr>
            </w:pPr>
            <w:r>
              <w:rPr>
                <w:kern w:val="0"/>
                <w:sz w:val="21"/>
              </w:rPr>
              <w:t>噪声</w:t>
            </w:r>
          </w:p>
        </w:tc>
        <w:tc>
          <w:tcPr>
            <w:tcW w:w="1854" w:type="pct"/>
            <w:vAlign w:val="center"/>
          </w:tcPr>
          <w:p w14:paraId="7E7E313B" w14:textId="77777777" w:rsidR="009D12AF" w:rsidRDefault="00000000">
            <w:pPr>
              <w:adjustRightInd w:val="0"/>
              <w:spacing w:line="240" w:lineRule="auto"/>
              <w:ind w:firstLineChars="0" w:firstLine="0"/>
              <w:jc w:val="center"/>
              <w:rPr>
                <w:kern w:val="0"/>
                <w:sz w:val="21"/>
              </w:rPr>
            </w:pPr>
            <w:r>
              <w:rPr>
                <w:kern w:val="0"/>
                <w:sz w:val="21"/>
              </w:rPr>
              <w:t>选用低噪音、低振动的各类施工机械设备</w:t>
            </w:r>
          </w:p>
        </w:tc>
        <w:tc>
          <w:tcPr>
            <w:tcW w:w="1396" w:type="pct"/>
            <w:vMerge/>
            <w:vAlign w:val="center"/>
          </w:tcPr>
          <w:p w14:paraId="4A338DA2" w14:textId="77777777" w:rsidR="009D12AF" w:rsidRDefault="009D12AF">
            <w:pPr>
              <w:adjustRightInd w:val="0"/>
              <w:spacing w:line="240" w:lineRule="auto"/>
              <w:ind w:firstLineChars="0" w:firstLine="0"/>
              <w:jc w:val="center"/>
              <w:rPr>
                <w:kern w:val="0"/>
                <w:sz w:val="21"/>
                <w:highlight w:val="green"/>
              </w:rPr>
            </w:pPr>
          </w:p>
        </w:tc>
      </w:tr>
      <w:tr w:rsidR="009D12AF" w14:paraId="4BFAECA9" w14:textId="77777777">
        <w:trPr>
          <w:trHeight w:val="397"/>
        </w:trPr>
        <w:tc>
          <w:tcPr>
            <w:tcW w:w="437" w:type="pct"/>
            <w:vMerge w:val="restart"/>
            <w:vAlign w:val="center"/>
          </w:tcPr>
          <w:p w14:paraId="7F192B6B" w14:textId="77777777" w:rsidR="009D12AF" w:rsidRDefault="00000000">
            <w:pPr>
              <w:adjustRightInd w:val="0"/>
              <w:spacing w:line="240" w:lineRule="auto"/>
              <w:ind w:firstLineChars="0" w:firstLine="0"/>
              <w:jc w:val="center"/>
              <w:rPr>
                <w:kern w:val="0"/>
                <w:sz w:val="21"/>
              </w:rPr>
            </w:pPr>
            <w:r>
              <w:rPr>
                <w:kern w:val="0"/>
                <w:sz w:val="21"/>
              </w:rPr>
              <w:t>固废</w:t>
            </w:r>
          </w:p>
        </w:tc>
        <w:tc>
          <w:tcPr>
            <w:tcW w:w="519" w:type="pct"/>
            <w:vAlign w:val="center"/>
          </w:tcPr>
          <w:p w14:paraId="03A39C8A" w14:textId="77777777" w:rsidR="009D12AF" w:rsidRDefault="00000000">
            <w:pPr>
              <w:adjustRightInd w:val="0"/>
              <w:spacing w:line="240" w:lineRule="auto"/>
              <w:ind w:firstLineChars="0" w:firstLine="0"/>
              <w:jc w:val="center"/>
              <w:rPr>
                <w:kern w:val="0"/>
                <w:sz w:val="21"/>
                <w:szCs w:val="21"/>
              </w:rPr>
            </w:pPr>
            <w:r>
              <w:rPr>
                <w:kern w:val="0"/>
                <w:sz w:val="21"/>
                <w:szCs w:val="21"/>
              </w:rPr>
              <w:t>施工</w:t>
            </w:r>
          </w:p>
        </w:tc>
        <w:tc>
          <w:tcPr>
            <w:tcW w:w="792" w:type="pct"/>
            <w:vAlign w:val="center"/>
          </w:tcPr>
          <w:p w14:paraId="36B90691" w14:textId="77777777" w:rsidR="009D12AF" w:rsidRDefault="00000000">
            <w:pPr>
              <w:adjustRightInd w:val="0"/>
              <w:spacing w:line="240" w:lineRule="auto"/>
              <w:ind w:firstLineChars="0" w:firstLine="0"/>
              <w:jc w:val="center"/>
              <w:rPr>
                <w:kern w:val="0"/>
                <w:sz w:val="21"/>
                <w:szCs w:val="21"/>
              </w:rPr>
            </w:pPr>
            <w:r>
              <w:rPr>
                <w:sz w:val="21"/>
                <w:szCs w:val="21"/>
              </w:rPr>
              <w:t>建筑垃圾</w:t>
            </w:r>
          </w:p>
        </w:tc>
        <w:tc>
          <w:tcPr>
            <w:tcW w:w="1854" w:type="pct"/>
            <w:vAlign w:val="center"/>
          </w:tcPr>
          <w:p w14:paraId="733DB77F" w14:textId="77777777" w:rsidR="009D12AF" w:rsidRDefault="00000000">
            <w:pPr>
              <w:adjustRightInd w:val="0"/>
              <w:spacing w:line="240" w:lineRule="auto"/>
              <w:ind w:firstLineChars="0" w:firstLine="0"/>
              <w:jc w:val="center"/>
              <w:rPr>
                <w:kern w:val="0"/>
                <w:sz w:val="21"/>
              </w:rPr>
            </w:pPr>
            <w:r>
              <w:rPr>
                <w:kern w:val="0"/>
                <w:sz w:val="21"/>
              </w:rPr>
              <w:t>可回收建筑材料送交废旧物资回收站处理，无法回收利用的采用运输车运至市政指定地点堆存；</w:t>
            </w:r>
            <w:r>
              <w:rPr>
                <w:kern w:val="0"/>
                <w:sz w:val="21"/>
              </w:rPr>
              <w:t xml:space="preserve"> </w:t>
            </w:r>
          </w:p>
        </w:tc>
        <w:tc>
          <w:tcPr>
            <w:tcW w:w="1396" w:type="pct"/>
            <w:vMerge w:val="restart"/>
            <w:vAlign w:val="center"/>
          </w:tcPr>
          <w:p w14:paraId="21B586A3" w14:textId="77777777" w:rsidR="009D12AF" w:rsidRDefault="00000000">
            <w:pPr>
              <w:adjustRightInd w:val="0"/>
              <w:spacing w:line="240" w:lineRule="auto"/>
              <w:ind w:firstLineChars="0" w:firstLine="0"/>
              <w:jc w:val="center"/>
              <w:rPr>
                <w:kern w:val="0"/>
                <w:sz w:val="21"/>
                <w:highlight w:val="green"/>
              </w:rPr>
            </w:pPr>
            <w:r>
              <w:rPr>
                <w:kern w:val="0"/>
                <w:sz w:val="21"/>
              </w:rPr>
              <w:t>处置率</w:t>
            </w:r>
            <w:r>
              <w:rPr>
                <w:kern w:val="0"/>
                <w:sz w:val="21"/>
              </w:rPr>
              <w:t>100%</w:t>
            </w:r>
          </w:p>
        </w:tc>
      </w:tr>
      <w:tr w:rsidR="009D12AF" w14:paraId="79426BC7" w14:textId="77777777">
        <w:trPr>
          <w:trHeight w:val="397"/>
        </w:trPr>
        <w:tc>
          <w:tcPr>
            <w:tcW w:w="437" w:type="pct"/>
            <w:vMerge/>
            <w:vAlign w:val="center"/>
          </w:tcPr>
          <w:p w14:paraId="7455FA3D" w14:textId="77777777" w:rsidR="009D12AF" w:rsidRDefault="009D12AF">
            <w:pPr>
              <w:adjustRightInd w:val="0"/>
              <w:spacing w:line="240" w:lineRule="auto"/>
              <w:ind w:firstLineChars="0" w:firstLine="0"/>
              <w:jc w:val="center"/>
              <w:rPr>
                <w:kern w:val="0"/>
                <w:sz w:val="21"/>
              </w:rPr>
            </w:pPr>
          </w:p>
        </w:tc>
        <w:tc>
          <w:tcPr>
            <w:tcW w:w="519" w:type="pct"/>
            <w:vAlign w:val="center"/>
          </w:tcPr>
          <w:p w14:paraId="216DF71D" w14:textId="77777777" w:rsidR="009D12AF" w:rsidRDefault="00000000">
            <w:pPr>
              <w:adjustRightInd w:val="0"/>
              <w:spacing w:line="240" w:lineRule="auto"/>
              <w:ind w:firstLineChars="0" w:firstLine="0"/>
              <w:jc w:val="center"/>
              <w:rPr>
                <w:kern w:val="0"/>
                <w:sz w:val="21"/>
              </w:rPr>
            </w:pPr>
            <w:r>
              <w:rPr>
                <w:kern w:val="0"/>
                <w:sz w:val="21"/>
              </w:rPr>
              <w:t>施工人员</w:t>
            </w:r>
          </w:p>
        </w:tc>
        <w:tc>
          <w:tcPr>
            <w:tcW w:w="792" w:type="pct"/>
            <w:vAlign w:val="center"/>
          </w:tcPr>
          <w:p w14:paraId="12ADDE3E" w14:textId="77777777" w:rsidR="009D12AF" w:rsidRDefault="00000000">
            <w:pPr>
              <w:adjustRightInd w:val="0"/>
              <w:spacing w:line="240" w:lineRule="auto"/>
              <w:ind w:firstLineChars="0" w:firstLine="0"/>
              <w:jc w:val="center"/>
              <w:rPr>
                <w:kern w:val="0"/>
                <w:sz w:val="21"/>
              </w:rPr>
            </w:pPr>
            <w:r>
              <w:rPr>
                <w:kern w:val="0"/>
                <w:sz w:val="21"/>
              </w:rPr>
              <w:t>生活</w:t>
            </w:r>
          </w:p>
          <w:p w14:paraId="3333A7AC" w14:textId="77777777" w:rsidR="009D12AF" w:rsidRDefault="00000000">
            <w:pPr>
              <w:adjustRightInd w:val="0"/>
              <w:spacing w:line="240" w:lineRule="auto"/>
              <w:ind w:firstLineChars="0" w:firstLine="0"/>
              <w:jc w:val="center"/>
              <w:rPr>
                <w:kern w:val="0"/>
                <w:sz w:val="21"/>
              </w:rPr>
            </w:pPr>
            <w:r>
              <w:rPr>
                <w:kern w:val="0"/>
                <w:sz w:val="21"/>
              </w:rPr>
              <w:t>垃圾</w:t>
            </w:r>
          </w:p>
        </w:tc>
        <w:tc>
          <w:tcPr>
            <w:tcW w:w="1854" w:type="pct"/>
            <w:vAlign w:val="center"/>
          </w:tcPr>
          <w:p w14:paraId="5FB43F55" w14:textId="77777777" w:rsidR="009D12AF" w:rsidRDefault="00000000">
            <w:pPr>
              <w:adjustRightInd w:val="0"/>
              <w:spacing w:line="240" w:lineRule="auto"/>
              <w:ind w:firstLineChars="0" w:firstLine="0"/>
              <w:jc w:val="center"/>
              <w:rPr>
                <w:kern w:val="0"/>
                <w:sz w:val="21"/>
              </w:rPr>
            </w:pPr>
            <w:r>
              <w:rPr>
                <w:kern w:val="0"/>
                <w:sz w:val="21"/>
              </w:rPr>
              <w:t>实行日产日清，</w:t>
            </w:r>
          </w:p>
          <w:p w14:paraId="20EE9585" w14:textId="77777777" w:rsidR="009D12AF" w:rsidRDefault="00000000">
            <w:pPr>
              <w:adjustRightInd w:val="0"/>
              <w:spacing w:line="240" w:lineRule="auto"/>
              <w:ind w:firstLineChars="0" w:firstLine="0"/>
              <w:jc w:val="center"/>
              <w:rPr>
                <w:kern w:val="0"/>
                <w:sz w:val="21"/>
              </w:rPr>
            </w:pPr>
            <w:r>
              <w:rPr>
                <w:kern w:val="0"/>
                <w:sz w:val="21"/>
              </w:rPr>
              <w:t>由市政部门清运</w:t>
            </w:r>
          </w:p>
        </w:tc>
        <w:tc>
          <w:tcPr>
            <w:tcW w:w="1396" w:type="pct"/>
            <w:vMerge/>
            <w:vAlign w:val="center"/>
          </w:tcPr>
          <w:p w14:paraId="7BEAC988" w14:textId="77777777" w:rsidR="009D12AF" w:rsidRDefault="009D12AF">
            <w:pPr>
              <w:adjustRightInd w:val="0"/>
              <w:spacing w:line="240" w:lineRule="auto"/>
              <w:ind w:firstLineChars="0" w:firstLine="0"/>
              <w:jc w:val="center"/>
              <w:rPr>
                <w:kern w:val="0"/>
                <w:sz w:val="21"/>
                <w:highlight w:val="green"/>
              </w:rPr>
            </w:pPr>
          </w:p>
        </w:tc>
      </w:tr>
      <w:tr w:rsidR="009D12AF" w14:paraId="48F26F82" w14:textId="77777777">
        <w:trPr>
          <w:trHeight w:val="397"/>
        </w:trPr>
        <w:tc>
          <w:tcPr>
            <w:tcW w:w="437" w:type="pct"/>
            <w:vMerge/>
            <w:vAlign w:val="center"/>
          </w:tcPr>
          <w:p w14:paraId="042D976D" w14:textId="77777777" w:rsidR="009D12AF" w:rsidRDefault="009D12AF">
            <w:pPr>
              <w:adjustRightInd w:val="0"/>
              <w:spacing w:line="240" w:lineRule="auto"/>
              <w:ind w:firstLineChars="0" w:firstLine="0"/>
              <w:jc w:val="center"/>
              <w:rPr>
                <w:kern w:val="0"/>
                <w:sz w:val="21"/>
                <w:highlight w:val="green"/>
              </w:rPr>
            </w:pPr>
          </w:p>
        </w:tc>
        <w:tc>
          <w:tcPr>
            <w:tcW w:w="519" w:type="pct"/>
            <w:vAlign w:val="center"/>
          </w:tcPr>
          <w:p w14:paraId="6416D3E3" w14:textId="77777777" w:rsidR="009D12AF" w:rsidRDefault="00000000">
            <w:pPr>
              <w:adjustRightInd w:val="0"/>
              <w:spacing w:line="240" w:lineRule="auto"/>
              <w:ind w:firstLineChars="0" w:firstLine="0"/>
              <w:jc w:val="center"/>
              <w:rPr>
                <w:kern w:val="0"/>
                <w:sz w:val="21"/>
              </w:rPr>
            </w:pPr>
            <w:r>
              <w:rPr>
                <w:bCs/>
                <w:sz w:val="21"/>
              </w:rPr>
              <w:t>弃方</w:t>
            </w:r>
          </w:p>
        </w:tc>
        <w:tc>
          <w:tcPr>
            <w:tcW w:w="792" w:type="pct"/>
            <w:vAlign w:val="center"/>
          </w:tcPr>
          <w:p w14:paraId="5ACB9A82" w14:textId="77777777" w:rsidR="009D12AF" w:rsidRDefault="00000000">
            <w:pPr>
              <w:adjustRightInd w:val="0"/>
              <w:spacing w:line="240" w:lineRule="auto"/>
              <w:ind w:firstLineChars="0" w:firstLine="0"/>
              <w:jc w:val="center"/>
              <w:rPr>
                <w:kern w:val="0"/>
                <w:sz w:val="21"/>
              </w:rPr>
            </w:pPr>
            <w:r>
              <w:rPr>
                <w:bCs/>
                <w:sz w:val="21"/>
              </w:rPr>
              <w:t>弃方</w:t>
            </w:r>
          </w:p>
        </w:tc>
        <w:tc>
          <w:tcPr>
            <w:tcW w:w="1854" w:type="pct"/>
            <w:vAlign w:val="center"/>
          </w:tcPr>
          <w:p w14:paraId="4FF34E68" w14:textId="77777777" w:rsidR="009D12AF" w:rsidRDefault="00000000">
            <w:pPr>
              <w:adjustRightInd w:val="0"/>
              <w:spacing w:line="240" w:lineRule="auto"/>
              <w:ind w:firstLineChars="0" w:firstLine="0"/>
              <w:jc w:val="center"/>
              <w:rPr>
                <w:kern w:val="0"/>
                <w:sz w:val="21"/>
              </w:rPr>
            </w:pPr>
            <w:r>
              <w:rPr>
                <w:kern w:val="0"/>
                <w:sz w:val="21"/>
              </w:rPr>
              <w:t>施工结束后弃方回填至弃土场</w:t>
            </w:r>
          </w:p>
        </w:tc>
        <w:tc>
          <w:tcPr>
            <w:tcW w:w="1396" w:type="pct"/>
            <w:vMerge/>
            <w:vAlign w:val="center"/>
          </w:tcPr>
          <w:p w14:paraId="4413DC2C" w14:textId="77777777" w:rsidR="009D12AF" w:rsidRDefault="009D12AF">
            <w:pPr>
              <w:adjustRightInd w:val="0"/>
              <w:spacing w:line="240" w:lineRule="auto"/>
              <w:ind w:firstLineChars="0" w:firstLine="0"/>
              <w:jc w:val="center"/>
              <w:rPr>
                <w:kern w:val="0"/>
                <w:sz w:val="21"/>
                <w:highlight w:val="green"/>
              </w:rPr>
            </w:pPr>
          </w:p>
        </w:tc>
      </w:tr>
      <w:tr w:rsidR="009D12AF" w14:paraId="1179C64E" w14:textId="77777777">
        <w:trPr>
          <w:trHeight w:val="397"/>
        </w:trPr>
        <w:tc>
          <w:tcPr>
            <w:tcW w:w="437" w:type="pct"/>
            <w:vMerge/>
            <w:vAlign w:val="center"/>
          </w:tcPr>
          <w:p w14:paraId="17AC9ACE" w14:textId="77777777" w:rsidR="009D12AF" w:rsidRDefault="009D12AF">
            <w:pPr>
              <w:adjustRightInd w:val="0"/>
              <w:spacing w:line="240" w:lineRule="auto"/>
              <w:ind w:firstLineChars="0" w:firstLine="0"/>
              <w:jc w:val="center"/>
              <w:rPr>
                <w:kern w:val="0"/>
                <w:sz w:val="21"/>
                <w:highlight w:val="green"/>
              </w:rPr>
            </w:pPr>
          </w:p>
        </w:tc>
        <w:tc>
          <w:tcPr>
            <w:tcW w:w="519" w:type="pct"/>
            <w:vAlign w:val="center"/>
          </w:tcPr>
          <w:p w14:paraId="53BB9CBD" w14:textId="77777777" w:rsidR="009D12AF" w:rsidRDefault="00000000">
            <w:pPr>
              <w:adjustRightInd w:val="0"/>
              <w:spacing w:line="240" w:lineRule="auto"/>
              <w:ind w:firstLineChars="0" w:firstLine="0"/>
              <w:jc w:val="center"/>
              <w:rPr>
                <w:bCs/>
                <w:sz w:val="21"/>
              </w:rPr>
            </w:pPr>
            <w:r>
              <w:rPr>
                <w:bCs/>
                <w:sz w:val="21"/>
              </w:rPr>
              <w:t>清淤工程</w:t>
            </w:r>
          </w:p>
        </w:tc>
        <w:tc>
          <w:tcPr>
            <w:tcW w:w="792" w:type="pct"/>
            <w:vAlign w:val="center"/>
          </w:tcPr>
          <w:p w14:paraId="5F78D893" w14:textId="77777777" w:rsidR="009D12AF" w:rsidRDefault="00000000">
            <w:pPr>
              <w:adjustRightInd w:val="0"/>
              <w:spacing w:line="240" w:lineRule="auto"/>
              <w:ind w:firstLineChars="0" w:firstLine="0"/>
              <w:jc w:val="center"/>
              <w:rPr>
                <w:bCs/>
                <w:sz w:val="21"/>
              </w:rPr>
            </w:pPr>
            <w:r>
              <w:rPr>
                <w:bCs/>
                <w:sz w:val="21"/>
              </w:rPr>
              <w:t>干化淤泥</w:t>
            </w:r>
          </w:p>
        </w:tc>
        <w:tc>
          <w:tcPr>
            <w:tcW w:w="1854" w:type="pct"/>
            <w:vAlign w:val="center"/>
          </w:tcPr>
          <w:p w14:paraId="3A19580B" w14:textId="77777777" w:rsidR="009D12AF" w:rsidRDefault="00000000">
            <w:pPr>
              <w:adjustRightInd w:val="0"/>
              <w:spacing w:line="240" w:lineRule="auto"/>
              <w:ind w:firstLineChars="0" w:firstLine="0"/>
              <w:jc w:val="center"/>
              <w:rPr>
                <w:kern w:val="0"/>
                <w:sz w:val="21"/>
              </w:rPr>
            </w:pPr>
            <w:r>
              <w:rPr>
                <w:kern w:val="0"/>
                <w:sz w:val="21"/>
              </w:rPr>
              <w:t>经过在</w:t>
            </w:r>
            <w:r>
              <w:rPr>
                <w:rFonts w:hint="eastAsia"/>
                <w:kern w:val="0"/>
                <w:sz w:val="21"/>
              </w:rPr>
              <w:t>临时生产区</w:t>
            </w:r>
            <w:r>
              <w:rPr>
                <w:kern w:val="0"/>
                <w:sz w:val="21"/>
              </w:rPr>
              <w:t>经</w:t>
            </w:r>
            <w:r>
              <w:rPr>
                <w:rFonts w:hint="eastAsia"/>
                <w:kern w:val="0"/>
                <w:sz w:val="21"/>
              </w:rPr>
              <w:t>晾晒脱水</w:t>
            </w:r>
            <w:r>
              <w:rPr>
                <w:kern w:val="0"/>
                <w:sz w:val="21"/>
              </w:rPr>
              <w:t>干化后，</w:t>
            </w:r>
            <w:r>
              <w:rPr>
                <w:rFonts w:hint="eastAsia"/>
                <w:kern w:val="0"/>
                <w:sz w:val="21"/>
              </w:rPr>
              <w:t>委托牡丹江金达农化有限公司对其清淤底泥进行加工制作生物肥，由企业售卖。</w:t>
            </w:r>
          </w:p>
        </w:tc>
        <w:tc>
          <w:tcPr>
            <w:tcW w:w="1396" w:type="pct"/>
            <w:vMerge/>
            <w:vAlign w:val="center"/>
          </w:tcPr>
          <w:p w14:paraId="79537343" w14:textId="77777777" w:rsidR="009D12AF" w:rsidRDefault="009D12AF">
            <w:pPr>
              <w:adjustRightInd w:val="0"/>
              <w:spacing w:line="240" w:lineRule="auto"/>
              <w:ind w:firstLineChars="0" w:firstLine="0"/>
              <w:jc w:val="center"/>
              <w:rPr>
                <w:kern w:val="0"/>
                <w:sz w:val="21"/>
                <w:highlight w:val="green"/>
              </w:rPr>
            </w:pPr>
          </w:p>
        </w:tc>
      </w:tr>
      <w:tr w:rsidR="009D12AF" w14:paraId="14B48474" w14:textId="77777777">
        <w:trPr>
          <w:trHeight w:val="397"/>
        </w:trPr>
        <w:tc>
          <w:tcPr>
            <w:tcW w:w="437" w:type="pct"/>
            <w:vMerge/>
            <w:vAlign w:val="center"/>
          </w:tcPr>
          <w:p w14:paraId="07B966A5" w14:textId="77777777" w:rsidR="009D12AF" w:rsidRDefault="009D12AF">
            <w:pPr>
              <w:adjustRightInd w:val="0"/>
              <w:spacing w:line="240" w:lineRule="auto"/>
              <w:ind w:firstLineChars="0" w:firstLine="0"/>
              <w:jc w:val="center"/>
              <w:rPr>
                <w:kern w:val="0"/>
                <w:sz w:val="21"/>
                <w:highlight w:val="green"/>
              </w:rPr>
            </w:pPr>
          </w:p>
        </w:tc>
        <w:tc>
          <w:tcPr>
            <w:tcW w:w="519" w:type="pct"/>
            <w:vAlign w:val="center"/>
          </w:tcPr>
          <w:p w14:paraId="6EA38647" w14:textId="77777777" w:rsidR="009D12AF" w:rsidRDefault="00000000">
            <w:pPr>
              <w:adjustRightInd w:val="0"/>
              <w:spacing w:line="240" w:lineRule="auto"/>
              <w:ind w:firstLineChars="0" w:firstLine="0"/>
              <w:jc w:val="center"/>
              <w:rPr>
                <w:bCs/>
                <w:sz w:val="21"/>
              </w:rPr>
            </w:pPr>
            <w:r>
              <w:rPr>
                <w:rFonts w:hint="eastAsia"/>
                <w:bCs/>
                <w:sz w:val="21"/>
              </w:rPr>
              <w:t>隔油池污泥</w:t>
            </w:r>
          </w:p>
        </w:tc>
        <w:tc>
          <w:tcPr>
            <w:tcW w:w="792" w:type="pct"/>
            <w:vAlign w:val="center"/>
          </w:tcPr>
          <w:p w14:paraId="126356CB" w14:textId="77777777" w:rsidR="009D12AF" w:rsidRDefault="00000000">
            <w:pPr>
              <w:adjustRightInd w:val="0"/>
              <w:spacing w:line="240" w:lineRule="auto"/>
              <w:ind w:firstLineChars="0" w:firstLine="0"/>
              <w:jc w:val="center"/>
              <w:rPr>
                <w:bCs/>
                <w:sz w:val="21"/>
              </w:rPr>
            </w:pPr>
            <w:r>
              <w:rPr>
                <w:rFonts w:hint="eastAsia"/>
                <w:bCs/>
                <w:sz w:val="21"/>
              </w:rPr>
              <w:t>隔油池污泥</w:t>
            </w:r>
          </w:p>
        </w:tc>
        <w:tc>
          <w:tcPr>
            <w:tcW w:w="1854" w:type="pct"/>
            <w:vAlign w:val="center"/>
          </w:tcPr>
          <w:p w14:paraId="08056D1C" w14:textId="77777777" w:rsidR="009D12AF" w:rsidRDefault="00000000">
            <w:pPr>
              <w:adjustRightInd w:val="0"/>
              <w:spacing w:line="240" w:lineRule="auto"/>
              <w:ind w:firstLineChars="0" w:firstLine="0"/>
              <w:jc w:val="center"/>
              <w:rPr>
                <w:kern w:val="0"/>
                <w:sz w:val="21"/>
              </w:rPr>
            </w:pPr>
            <w:r>
              <w:rPr>
                <w:rFonts w:hint="eastAsia"/>
                <w:kern w:val="0"/>
                <w:sz w:val="21"/>
              </w:rPr>
              <w:t>由专用容器收集，直接由有资质单位回收处理，不在施工场地内暂存；</w:t>
            </w:r>
          </w:p>
        </w:tc>
        <w:tc>
          <w:tcPr>
            <w:tcW w:w="1396" w:type="pct"/>
            <w:vMerge/>
            <w:vAlign w:val="center"/>
          </w:tcPr>
          <w:p w14:paraId="533789F6" w14:textId="77777777" w:rsidR="009D12AF" w:rsidRDefault="009D12AF">
            <w:pPr>
              <w:adjustRightInd w:val="0"/>
              <w:spacing w:line="240" w:lineRule="auto"/>
              <w:ind w:firstLineChars="0" w:firstLine="0"/>
              <w:jc w:val="center"/>
              <w:rPr>
                <w:kern w:val="0"/>
                <w:sz w:val="21"/>
                <w:highlight w:val="green"/>
              </w:rPr>
            </w:pPr>
          </w:p>
        </w:tc>
      </w:tr>
      <w:tr w:rsidR="009D12AF" w14:paraId="6E648481" w14:textId="77777777">
        <w:trPr>
          <w:trHeight w:val="397"/>
        </w:trPr>
        <w:tc>
          <w:tcPr>
            <w:tcW w:w="437" w:type="pct"/>
            <w:vAlign w:val="center"/>
          </w:tcPr>
          <w:p w14:paraId="6C4A00B3" w14:textId="77777777" w:rsidR="009D12AF" w:rsidRDefault="00000000">
            <w:pPr>
              <w:adjustRightInd w:val="0"/>
              <w:spacing w:line="240" w:lineRule="auto"/>
              <w:ind w:firstLineChars="0" w:firstLine="0"/>
              <w:jc w:val="center"/>
              <w:rPr>
                <w:kern w:val="0"/>
                <w:sz w:val="21"/>
              </w:rPr>
            </w:pPr>
            <w:r>
              <w:rPr>
                <w:kern w:val="0"/>
                <w:sz w:val="21"/>
              </w:rPr>
              <w:t>生态</w:t>
            </w:r>
          </w:p>
        </w:tc>
        <w:tc>
          <w:tcPr>
            <w:tcW w:w="519" w:type="pct"/>
            <w:vAlign w:val="center"/>
          </w:tcPr>
          <w:p w14:paraId="6E09B375" w14:textId="77777777" w:rsidR="009D12AF" w:rsidRDefault="00000000">
            <w:pPr>
              <w:adjustRightInd w:val="0"/>
              <w:spacing w:line="240" w:lineRule="auto"/>
              <w:ind w:firstLineChars="0" w:firstLine="0"/>
              <w:jc w:val="center"/>
              <w:rPr>
                <w:kern w:val="0"/>
                <w:sz w:val="21"/>
              </w:rPr>
            </w:pPr>
            <w:r>
              <w:rPr>
                <w:kern w:val="0"/>
                <w:sz w:val="21"/>
              </w:rPr>
              <w:t>/</w:t>
            </w:r>
          </w:p>
        </w:tc>
        <w:tc>
          <w:tcPr>
            <w:tcW w:w="792" w:type="pct"/>
            <w:vAlign w:val="center"/>
          </w:tcPr>
          <w:p w14:paraId="05368705" w14:textId="77777777" w:rsidR="009D12AF" w:rsidRDefault="00000000">
            <w:pPr>
              <w:adjustRightInd w:val="0"/>
              <w:spacing w:line="240" w:lineRule="auto"/>
              <w:ind w:firstLineChars="0" w:firstLine="0"/>
              <w:jc w:val="center"/>
              <w:rPr>
                <w:kern w:val="0"/>
                <w:sz w:val="21"/>
              </w:rPr>
            </w:pPr>
            <w:r>
              <w:rPr>
                <w:kern w:val="0"/>
                <w:sz w:val="21"/>
              </w:rPr>
              <w:t>/</w:t>
            </w:r>
          </w:p>
        </w:tc>
        <w:tc>
          <w:tcPr>
            <w:tcW w:w="1854" w:type="pct"/>
            <w:vAlign w:val="center"/>
          </w:tcPr>
          <w:p w14:paraId="17E67381" w14:textId="77777777" w:rsidR="009D12AF" w:rsidRDefault="00000000">
            <w:pPr>
              <w:adjustRightInd w:val="0"/>
              <w:spacing w:line="240" w:lineRule="auto"/>
              <w:ind w:firstLineChars="0" w:firstLine="0"/>
              <w:jc w:val="center"/>
              <w:rPr>
                <w:kern w:val="0"/>
                <w:sz w:val="21"/>
              </w:rPr>
            </w:pPr>
            <w:r>
              <w:rPr>
                <w:rFonts w:hint="eastAsia"/>
                <w:sz w:val="21"/>
              </w:rPr>
              <w:t>本工程均为临时用地，</w:t>
            </w:r>
            <w:r>
              <w:rPr>
                <w:sz w:val="21"/>
              </w:rPr>
              <w:t>施工完成后，恢复原有地貌</w:t>
            </w:r>
            <w:r>
              <w:rPr>
                <w:rFonts w:hint="eastAsia"/>
                <w:sz w:val="21"/>
              </w:rPr>
              <w:t>。</w:t>
            </w:r>
          </w:p>
        </w:tc>
        <w:tc>
          <w:tcPr>
            <w:tcW w:w="1396" w:type="pct"/>
            <w:vAlign w:val="center"/>
          </w:tcPr>
          <w:p w14:paraId="7EE9E78A" w14:textId="77777777" w:rsidR="009D12AF" w:rsidRDefault="00000000">
            <w:pPr>
              <w:adjustRightInd w:val="0"/>
              <w:spacing w:line="240" w:lineRule="auto"/>
              <w:ind w:firstLineChars="0" w:firstLine="0"/>
              <w:jc w:val="center"/>
              <w:rPr>
                <w:kern w:val="0"/>
                <w:sz w:val="21"/>
              </w:rPr>
            </w:pPr>
            <w:r>
              <w:rPr>
                <w:kern w:val="0"/>
                <w:sz w:val="21"/>
              </w:rPr>
              <w:t>临时占地全部恢复</w:t>
            </w:r>
          </w:p>
        </w:tc>
      </w:tr>
    </w:tbl>
    <w:p w14:paraId="213C2DF2" w14:textId="77777777" w:rsidR="009D12AF" w:rsidRDefault="00000000">
      <w:pPr>
        <w:pStyle w:val="2"/>
      </w:pPr>
      <w:bookmarkStart w:id="478" w:name="_Toc16769"/>
      <w:r>
        <w:rPr>
          <w:rFonts w:hint="eastAsia"/>
        </w:rPr>
        <w:t>8.5</w:t>
      </w:r>
      <w:r>
        <w:rPr>
          <w:rFonts w:hint="eastAsia"/>
        </w:rPr>
        <w:t>污染物总量控制分析</w:t>
      </w:r>
      <w:bookmarkEnd w:id="478"/>
    </w:p>
    <w:p w14:paraId="1CBB51BE" w14:textId="77777777" w:rsidR="009D12AF" w:rsidRDefault="00000000">
      <w:pPr>
        <w:ind w:firstLine="480"/>
      </w:pPr>
      <w:r>
        <w:t>本项目为非污染类项目，</w:t>
      </w:r>
      <w:r>
        <w:rPr>
          <w:rFonts w:hint="eastAsia"/>
        </w:rPr>
        <w:t>运行期</w:t>
      </w:r>
      <w:r>
        <w:t>不排放污染物，不涉及污染物总量。</w:t>
      </w:r>
    </w:p>
    <w:p w14:paraId="593B9BAC" w14:textId="77777777" w:rsidR="009D12AF" w:rsidRDefault="00000000">
      <w:pPr>
        <w:ind w:firstLine="480"/>
        <w:rPr>
          <w:highlight w:val="yellow"/>
        </w:rPr>
      </w:pPr>
      <w:r>
        <w:rPr>
          <w:highlight w:val="yellow"/>
        </w:rPr>
        <w:br w:type="page"/>
      </w:r>
    </w:p>
    <w:p w14:paraId="5ECFF16B" w14:textId="77777777" w:rsidR="009D12AF" w:rsidRDefault="00000000">
      <w:pPr>
        <w:pStyle w:val="1"/>
      </w:pPr>
      <w:bookmarkStart w:id="479" w:name="_Toc25162"/>
      <w:r>
        <w:rPr>
          <w:rFonts w:hint="eastAsia"/>
        </w:rPr>
        <w:lastRenderedPageBreak/>
        <w:t>9</w:t>
      </w:r>
      <w:r>
        <w:t xml:space="preserve"> </w:t>
      </w:r>
      <w:r>
        <w:t>环境影响评价结论</w:t>
      </w:r>
      <w:bookmarkEnd w:id="479"/>
    </w:p>
    <w:p w14:paraId="6A6D9133" w14:textId="77777777" w:rsidR="009D12AF" w:rsidRDefault="00000000">
      <w:pPr>
        <w:pStyle w:val="2"/>
        <w:rPr>
          <w:highlight w:val="yellow"/>
        </w:rPr>
      </w:pPr>
      <w:bookmarkStart w:id="480" w:name="_Toc2482"/>
      <w:r>
        <w:rPr>
          <w:rFonts w:hint="eastAsia"/>
        </w:rPr>
        <w:t>9</w:t>
      </w:r>
      <w:r>
        <w:t xml:space="preserve">.1 </w:t>
      </w:r>
      <w:r>
        <w:t>工程概况</w:t>
      </w:r>
      <w:bookmarkEnd w:id="480"/>
    </w:p>
    <w:p w14:paraId="086850FC" w14:textId="77777777" w:rsidR="009D12AF" w:rsidRDefault="00000000">
      <w:pPr>
        <w:ind w:firstLine="480"/>
      </w:pPr>
      <w:r>
        <w:t>项目名称：海林市水库清淤与水生态治理建设项目</w:t>
      </w:r>
    </w:p>
    <w:p w14:paraId="24F785E7" w14:textId="77777777" w:rsidR="009D12AF" w:rsidRDefault="00000000">
      <w:pPr>
        <w:ind w:firstLine="480"/>
      </w:pPr>
      <w:r>
        <w:t>建设单位：</w:t>
      </w:r>
      <w:r>
        <w:rPr>
          <w:rFonts w:hint="eastAsia"/>
        </w:rPr>
        <w:t>黑龙江省荣春科技环保有限公司</w:t>
      </w:r>
    </w:p>
    <w:p w14:paraId="46D8A4CB" w14:textId="77777777" w:rsidR="009D12AF" w:rsidRDefault="00000000">
      <w:pPr>
        <w:ind w:firstLine="480"/>
      </w:pPr>
      <w:r>
        <w:t>建设性质：新建</w:t>
      </w:r>
    </w:p>
    <w:p w14:paraId="0036CA3B" w14:textId="77777777" w:rsidR="009D12AF" w:rsidRDefault="00000000">
      <w:pPr>
        <w:ind w:firstLine="480"/>
      </w:pPr>
      <w:r>
        <w:t>总投资：项目总投资</w:t>
      </w:r>
      <w:r>
        <w:rPr>
          <w:rFonts w:hint="eastAsia"/>
        </w:rPr>
        <w:t>69827.6</w:t>
      </w:r>
      <w:r>
        <w:t>万元。</w:t>
      </w:r>
    </w:p>
    <w:p w14:paraId="50F8DBAD" w14:textId="77777777" w:rsidR="009D12AF" w:rsidRDefault="00000000">
      <w:pPr>
        <w:ind w:firstLine="480"/>
      </w:pPr>
      <w:r>
        <w:rPr>
          <w:rFonts w:hint="eastAsia"/>
        </w:rPr>
        <w:t>工程内容：本次清淤方案主要考虑满足水库扩容需求与水生态综合治理要求，确定清淤方式、清淤区域划分以及转存区范围与位置。群力水库平均清淤厚度为</w:t>
      </w:r>
      <w:r>
        <w:rPr>
          <w:rFonts w:hint="eastAsia"/>
        </w:rPr>
        <w:t xml:space="preserve"> 4.95m</w:t>
      </w:r>
      <w:r>
        <w:rPr>
          <w:rFonts w:hint="eastAsia"/>
        </w:rPr>
        <w:t>，清淤面积</w:t>
      </w:r>
      <w:r>
        <w:rPr>
          <w:rFonts w:hint="eastAsia"/>
        </w:rPr>
        <w:t xml:space="preserve"> 0.91km</w:t>
      </w:r>
      <w:r>
        <w:rPr>
          <w:rFonts w:hint="eastAsia"/>
          <w:vertAlign w:val="superscript"/>
        </w:rPr>
        <w:t>2</w:t>
      </w:r>
      <w:r>
        <w:rPr>
          <w:rFonts w:hint="eastAsia"/>
          <w:vertAlign w:val="superscript"/>
        </w:rPr>
        <w:t>，</w:t>
      </w:r>
      <w:r>
        <w:rPr>
          <w:rFonts w:hint="eastAsia"/>
        </w:rPr>
        <w:t>清淤量</w:t>
      </w:r>
      <w:r>
        <w:rPr>
          <w:rFonts w:hint="eastAsia"/>
        </w:rPr>
        <w:t xml:space="preserve"> 445 </w:t>
      </w:r>
      <w:r>
        <w:rPr>
          <w:rFonts w:hint="eastAsia"/>
        </w:rPr>
        <w:t>万</w:t>
      </w:r>
      <w:r>
        <w:rPr>
          <w:rFonts w:hint="eastAsia"/>
        </w:rPr>
        <w:t xml:space="preserve"> m</w:t>
      </w:r>
      <w:r>
        <w:rPr>
          <w:rFonts w:hint="eastAsia"/>
          <w:vertAlign w:val="superscript"/>
        </w:rPr>
        <w:t>3</w:t>
      </w:r>
      <w:r>
        <w:rPr>
          <w:rFonts w:hint="eastAsia"/>
        </w:rPr>
        <w:t>；长石水库平均清淤厚度为</w:t>
      </w:r>
      <w:r>
        <w:rPr>
          <w:rFonts w:hint="eastAsia"/>
        </w:rPr>
        <w:t xml:space="preserve"> 1.67m</w:t>
      </w:r>
      <w:r>
        <w:rPr>
          <w:rFonts w:hint="eastAsia"/>
        </w:rPr>
        <w:t>，清淤面积</w:t>
      </w:r>
      <w:r>
        <w:rPr>
          <w:rFonts w:hint="eastAsia"/>
        </w:rPr>
        <w:t xml:space="preserve"> 0.12km</w:t>
      </w:r>
      <w:r>
        <w:rPr>
          <w:rFonts w:hint="eastAsia"/>
          <w:vertAlign w:val="superscript"/>
        </w:rPr>
        <w:t>2</w:t>
      </w:r>
      <w:r>
        <w:rPr>
          <w:rFonts w:hint="eastAsia"/>
        </w:rPr>
        <w:t>，清淤量</w:t>
      </w:r>
      <w:r>
        <w:rPr>
          <w:rFonts w:hint="eastAsia"/>
        </w:rPr>
        <w:t xml:space="preserve"> 20 </w:t>
      </w:r>
      <w:r>
        <w:rPr>
          <w:rFonts w:hint="eastAsia"/>
        </w:rPr>
        <w:t>万</w:t>
      </w:r>
      <w:r>
        <w:rPr>
          <w:rFonts w:hint="eastAsia"/>
        </w:rPr>
        <w:t xml:space="preserve"> m</w:t>
      </w:r>
      <w:r>
        <w:rPr>
          <w:rFonts w:hint="eastAsia"/>
          <w:vertAlign w:val="superscript"/>
        </w:rPr>
        <w:t>3</w:t>
      </w:r>
      <w:r>
        <w:rPr>
          <w:rFonts w:hint="eastAsia"/>
        </w:rPr>
        <w:t>；向阳水电站前池平均清淤厚度为</w:t>
      </w:r>
      <w:r>
        <w:rPr>
          <w:rFonts w:hint="eastAsia"/>
        </w:rPr>
        <w:t xml:space="preserve"> 2.25m</w:t>
      </w:r>
      <w:r>
        <w:rPr>
          <w:rFonts w:hint="eastAsia"/>
        </w:rPr>
        <w:t>，清淤面积</w:t>
      </w:r>
      <w:r>
        <w:rPr>
          <w:rFonts w:hint="eastAsia"/>
        </w:rPr>
        <w:t xml:space="preserve"> 0.16km</w:t>
      </w:r>
      <w:r>
        <w:rPr>
          <w:rFonts w:hint="eastAsia"/>
          <w:vertAlign w:val="superscript"/>
        </w:rPr>
        <w:t>2</w:t>
      </w:r>
      <w:r>
        <w:rPr>
          <w:rFonts w:hint="eastAsia"/>
        </w:rPr>
        <w:t>，清淤量</w:t>
      </w:r>
      <w:r>
        <w:rPr>
          <w:rFonts w:hint="eastAsia"/>
        </w:rPr>
        <w:t xml:space="preserve">36 </w:t>
      </w:r>
      <w:r>
        <w:rPr>
          <w:rFonts w:hint="eastAsia"/>
        </w:rPr>
        <w:t>万</w:t>
      </w:r>
      <w:r>
        <w:rPr>
          <w:rFonts w:hint="eastAsia"/>
        </w:rPr>
        <w:t xml:space="preserve"> m</w:t>
      </w:r>
      <w:r>
        <w:rPr>
          <w:rFonts w:hint="eastAsia"/>
          <w:vertAlign w:val="superscript"/>
        </w:rPr>
        <w:t>3</w:t>
      </w:r>
      <w:r>
        <w:rPr>
          <w:rFonts w:hint="eastAsia"/>
        </w:rPr>
        <w:t>；新安晒水池平均清淤厚度为</w:t>
      </w:r>
      <w:r>
        <w:rPr>
          <w:rFonts w:hint="eastAsia"/>
        </w:rPr>
        <w:t xml:space="preserve"> 0.67m</w:t>
      </w:r>
      <w:r>
        <w:rPr>
          <w:rFonts w:hint="eastAsia"/>
        </w:rPr>
        <w:t>，清淤面积</w:t>
      </w:r>
      <w:r>
        <w:rPr>
          <w:rFonts w:hint="eastAsia"/>
        </w:rPr>
        <w:t xml:space="preserve"> 0.36km</w:t>
      </w:r>
      <w:r>
        <w:rPr>
          <w:rFonts w:hint="eastAsia"/>
          <w:vertAlign w:val="superscript"/>
        </w:rPr>
        <w:t>2</w:t>
      </w:r>
      <w:r>
        <w:rPr>
          <w:rFonts w:hint="eastAsia"/>
        </w:rPr>
        <w:t>，清淤量</w:t>
      </w:r>
      <w:r>
        <w:rPr>
          <w:rFonts w:hint="eastAsia"/>
        </w:rPr>
        <w:t xml:space="preserve"> 24 </w:t>
      </w:r>
      <w:r>
        <w:rPr>
          <w:rFonts w:hint="eastAsia"/>
        </w:rPr>
        <w:t>万</w:t>
      </w:r>
      <w:r>
        <w:rPr>
          <w:rFonts w:hint="eastAsia"/>
        </w:rPr>
        <w:t xml:space="preserve"> m</w:t>
      </w:r>
      <w:r>
        <w:rPr>
          <w:rFonts w:hint="eastAsia"/>
          <w:vertAlign w:val="superscript"/>
        </w:rPr>
        <w:t>3</w:t>
      </w:r>
      <w:r>
        <w:rPr>
          <w:rFonts w:hint="eastAsia"/>
        </w:rPr>
        <w:t>；万丈水库平均清淤厚度为</w:t>
      </w:r>
      <w:r>
        <w:rPr>
          <w:rFonts w:hint="eastAsia"/>
        </w:rPr>
        <w:t xml:space="preserve"> 2.5m</w:t>
      </w:r>
      <w:r>
        <w:rPr>
          <w:rFonts w:hint="eastAsia"/>
        </w:rPr>
        <w:t>，清淤面积</w:t>
      </w:r>
      <w:r>
        <w:rPr>
          <w:rFonts w:hint="eastAsia"/>
        </w:rPr>
        <w:t xml:space="preserve"> 0.3km</w:t>
      </w:r>
      <w:r>
        <w:rPr>
          <w:rFonts w:hint="eastAsia"/>
          <w:vertAlign w:val="superscript"/>
        </w:rPr>
        <w:t>2</w:t>
      </w:r>
      <w:r>
        <w:rPr>
          <w:rFonts w:hint="eastAsia"/>
        </w:rPr>
        <w:t>，清淤量</w:t>
      </w:r>
      <w:r>
        <w:rPr>
          <w:rFonts w:hint="eastAsia"/>
        </w:rPr>
        <w:t xml:space="preserve"> 75 </w:t>
      </w:r>
      <w:r>
        <w:rPr>
          <w:rFonts w:hint="eastAsia"/>
        </w:rPr>
        <w:t>万</w:t>
      </w:r>
      <w:r>
        <w:rPr>
          <w:rFonts w:hint="eastAsia"/>
        </w:rPr>
        <w:t xml:space="preserve"> m</w:t>
      </w:r>
      <w:r>
        <w:rPr>
          <w:rFonts w:hint="eastAsia"/>
          <w:vertAlign w:val="superscript"/>
        </w:rPr>
        <w:t>3</w:t>
      </w:r>
      <w:r>
        <w:rPr>
          <w:rFonts w:hint="eastAsia"/>
        </w:rPr>
        <w:t>，总计清淤量</w:t>
      </w:r>
      <w:r>
        <w:rPr>
          <w:rFonts w:hint="eastAsia"/>
        </w:rPr>
        <w:t xml:space="preserve"> 600 </w:t>
      </w:r>
      <w:r>
        <w:rPr>
          <w:rFonts w:hint="eastAsia"/>
        </w:rPr>
        <w:t>万</w:t>
      </w:r>
      <w:r>
        <w:rPr>
          <w:rFonts w:hint="eastAsia"/>
        </w:rPr>
        <w:t xml:space="preserve"> m</w:t>
      </w:r>
      <w:r>
        <w:rPr>
          <w:rFonts w:hint="eastAsia"/>
          <w:vertAlign w:val="superscript"/>
        </w:rPr>
        <w:t>3</w:t>
      </w:r>
      <w:r>
        <w:rPr>
          <w:rFonts w:hint="eastAsia"/>
        </w:rPr>
        <w:t>。</w:t>
      </w:r>
    </w:p>
    <w:p w14:paraId="7610560F" w14:textId="77777777" w:rsidR="009D12AF" w:rsidRDefault="00000000">
      <w:pPr>
        <w:ind w:firstLine="480"/>
        <w:rPr>
          <w:highlight w:val="yellow"/>
        </w:rPr>
      </w:pPr>
      <w:r>
        <w:t>建设地点：</w:t>
      </w:r>
      <w:r>
        <w:rPr>
          <w:rFonts w:hint="eastAsia"/>
        </w:rPr>
        <w:t>长石水库位于海林市柴河镇长石村西</w:t>
      </w:r>
      <w:r>
        <w:rPr>
          <w:rFonts w:hint="eastAsia"/>
        </w:rPr>
        <w:t xml:space="preserve"> </w:t>
      </w:r>
      <w:r>
        <w:t xml:space="preserve">4km </w:t>
      </w:r>
      <w:r>
        <w:rPr>
          <w:rFonts w:hint="eastAsia"/>
        </w:rPr>
        <w:t>处，水面面积约</w:t>
      </w:r>
      <w:r>
        <w:t>0.12km</w:t>
      </w:r>
      <w:r>
        <w:rPr>
          <w:rFonts w:hint="eastAsia"/>
        </w:rPr>
        <w:t>²，控制集雨面积</w:t>
      </w:r>
      <w:r>
        <w:rPr>
          <w:rFonts w:hint="eastAsia"/>
        </w:rPr>
        <w:t xml:space="preserve"> </w:t>
      </w:r>
      <w:r>
        <w:t>15km</w:t>
      </w:r>
      <w:r>
        <w:rPr>
          <w:vertAlign w:val="superscript"/>
        </w:rPr>
        <w:t>2</w:t>
      </w:r>
      <w:r>
        <w:rPr>
          <w:rFonts w:hint="eastAsia"/>
        </w:rPr>
        <w:t>。水库坝址地理坐标为：东经</w:t>
      </w:r>
      <w:r>
        <w:rPr>
          <w:rFonts w:hint="eastAsia"/>
        </w:rPr>
        <w:t xml:space="preserve"> </w:t>
      </w:r>
      <w:r>
        <w:t>129</w:t>
      </w:r>
      <w:r>
        <w:rPr>
          <w:rFonts w:hint="eastAsia"/>
        </w:rPr>
        <w:t>°</w:t>
      </w:r>
      <w:r>
        <w:t>37</w:t>
      </w:r>
      <w:r>
        <w:rPr>
          <w:rFonts w:hint="eastAsia"/>
        </w:rPr>
        <w:t>′</w:t>
      </w:r>
      <w:r>
        <w:t>30</w:t>
      </w:r>
      <w:r>
        <w:rPr>
          <w:rFonts w:hint="eastAsia"/>
        </w:rPr>
        <w:t>″，北纬</w:t>
      </w:r>
      <w:r>
        <w:rPr>
          <w:rFonts w:hint="eastAsia"/>
        </w:rPr>
        <w:t xml:space="preserve"> </w:t>
      </w:r>
      <w:r>
        <w:t>44</w:t>
      </w:r>
      <w:r>
        <w:rPr>
          <w:rFonts w:hint="eastAsia"/>
        </w:rPr>
        <w:t>°</w:t>
      </w:r>
      <w:r>
        <w:t>43</w:t>
      </w:r>
      <w:r>
        <w:rPr>
          <w:rFonts w:hint="eastAsia"/>
        </w:rPr>
        <w:t>′</w:t>
      </w:r>
      <w:r>
        <w:t>10</w:t>
      </w:r>
      <w:r>
        <w:rPr>
          <w:rFonts w:hint="eastAsia"/>
        </w:rPr>
        <w:t>″。库区交通方便，牡丹江市至三道关公路在大坝下游通过，向东</w:t>
      </w:r>
      <w:r>
        <w:rPr>
          <w:rFonts w:hint="eastAsia"/>
        </w:rPr>
        <w:t xml:space="preserve">4km </w:t>
      </w:r>
      <w:r>
        <w:rPr>
          <w:rFonts w:hint="eastAsia"/>
        </w:rPr>
        <w:t>到牡丹江市至柴河镇公路。</w:t>
      </w:r>
      <w:r>
        <w:t>万丈水库位于海林市长汀镇万丈村西北</w:t>
      </w:r>
      <w:r>
        <w:t xml:space="preserve"> 2 km </w:t>
      </w:r>
      <w:r>
        <w:rPr>
          <w:rFonts w:hint="eastAsia"/>
        </w:rPr>
        <w:t>处，水库控制集雨面积</w:t>
      </w:r>
      <w:r>
        <w:rPr>
          <w:rFonts w:hint="eastAsia"/>
        </w:rPr>
        <w:t xml:space="preserve"> </w:t>
      </w:r>
      <w:r>
        <w:t>30km²</w:t>
      </w:r>
      <w:r>
        <w:rPr>
          <w:rFonts w:hint="eastAsia"/>
        </w:rPr>
        <w:t>，该水库</w:t>
      </w:r>
      <w:r>
        <w:rPr>
          <w:rFonts w:hint="eastAsia"/>
        </w:rPr>
        <w:t xml:space="preserve"> </w:t>
      </w:r>
      <w:r>
        <w:t xml:space="preserve">2007 </w:t>
      </w:r>
      <w:r>
        <w:rPr>
          <w:rFonts w:hint="eastAsia"/>
        </w:rPr>
        <w:t>年被列为国家第二批消险水库，面积约</w:t>
      </w:r>
      <w:r>
        <w:t>0.3km²</w:t>
      </w:r>
      <w:r>
        <w:rPr>
          <w:rFonts w:hint="eastAsia"/>
        </w:rPr>
        <w:t>。水库坝址地理坐标为：东经</w:t>
      </w:r>
      <w:r>
        <w:rPr>
          <w:rFonts w:hint="eastAsia"/>
        </w:rPr>
        <w:t xml:space="preserve"> </w:t>
      </w:r>
      <w:r>
        <w:t>129</w:t>
      </w:r>
      <w:r>
        <w:rPr>
          <w:rFonts w:hint="eastAsia"/>
        </w:rPr>
        <w:t>°</w:t>
      </w:r>
      <w:r>
        <w:t>37</w:t>
      </w:r>
      <w:r>
        <w:rPr>
          <w:rFonts w:hint="eastAsia"/>
        </w:rPr>
        <w:t>′</w:t>
      </w:r>
      <w:r>
        <w:t>30</w:t>
      </w:r>
      <w:r>
        <w:rPr>
          <w:rFonts w:hint="eastAsia"/>
        </w:rPr>
        <w:t>″，北纬</w:t>
      </w:r>
      <w:r>
        <w:rPr>
          <w:rFonts w:hint="eastAsia"/>
        </w:rPr>
        <w:t xml:space="preserve"> </w:t>
      </w:r>
      <w:r>
        <w:t>44</w:t>
      </w:r>
      <w:r>
        <w:rPr>
          <w:rFonts w:hint="eastAsia"/>
        </w:rPr>
        <w:t>°</w:t>
      </w:r>
      <w:r>
        <w:t>43</w:t>
      </w:r>
      <w:r>
        <w:rPr>
          <w:rFonts w:hint="eastAsia"/>
        </w:rPr>
        <w:t>′</w:t>
      </w:r>
      <w:r>
        <w:t>10</w:t>
      </w:r>
      <w:r>
        <w:rPr>
          <w:rFonts w:hint="eastAsia"/>
        </w:rPr>
        <w:t>″。库区交通方便，有入库公路，为新建通乡公路，混凝土路面。新安晒水池位于海林市旧街乡北侧，面积约</w:t>
      </w:r>
      <w:r>
        <w:rPr>
          <w:rFonts w:hint="eastAsia"/>
        </w:rPr>
        <w:t xml:space="preserve"> 0.36km</w:t>
      </w:r>
      <w:r>
        <w:rPr>
          <w:rFonts w:hint="eastAsia"/>
        </w:rPr>
        <w:t>²。向阳水电站位于海林市向阳村东北侧，冬季水库干涸。群力水库位于海林市柴河镇群力村北侧。</w:t>
      </w:r>
    </w:p>
    <w:p w14:paraId="6BC28059" w14:textId="77777777" w:rsidR="009D12AF" w:rsidRDefault="00000000">
      <w:pPr>
        <w:pStyle w:val="2"/>
      </w:pPr>
      <w:bookmarkStart w:id="481" w:name="_Toc2211"/>
      <w:r>
        <w:rPr>
          <w:rFonts w:hint="eastAsia"/>
        </w:rPr>
        <w:lastRenderedPageBreak/>
        <w:t>9</w:t>
      </w:r>
      <w:r>
        <w:t xml:space="preserve">.2 </w:t>
      </w:r>
      <w:r>
        <w:t>环境质量现状</w:t>
      </w:r>
      <w:bookmarkEnd w:id="481"/>
    </w:p>
    <w:p w14:paraId="1FC2BCC3" w14:textId="77777777" w:rsidR="009D12AF" w:rsidRDefault="00000000">
      <w:pPr>
        <w:pStyle w:val="3"/>
      </w:pPr>
      <w:bookmarkStart w:id="482" w:name="_Toc6616"/>
      <w:bookmarkStart w:id="483" w:name="_Toc1503"/>
      <w:bookmarkStart w:id="484" w:name="_Toc20869"/>
      <w:bookmarkStart w:id="485" w:name="_Toc13569"/>
      <w:r>
        <w:rPr>
          <w:rFonts w:hint="eastAsia"/>
        </w:rPr>
        <w:t>9</w:t>
      </w:r>
      <w:r>
        <w:t xml:space="preserve">.2.1 </w:t>
      </w:r>
      <w:r>
        <w:t>环境空气</w:t>
      </w:r>
      <w:bookmarkEnd w:id="482"/>
      <w:bookmarkEnd w:id="483"/>
      <w:bookmarkEnd w:id="484"/>
      <w:bookmarkEnd w:id="485"/>
    </w:p>
    <w:p w14:paraId="0CD04402" w14:textId="77777777" w:rsidR="009D12AF" w:rsidRDefault="00000000">
      <w:pPr>
        <w:ind w:firstLine="480"/>
        <w:rPr>
          <w:rFonts w:ascii="Times New Roman" w:eastAsia="宋体" w:hAnsi="Times New Roman" w:cs="Times New Roman"/>
          <w:kern w:val="0"/>
          <w:lang w:val="zh-CN" w:bidi="zh-CN"/>
        </w:rPr>
      </w:pPr>
      <w:r>
        <w:rPr>
          <w:rFonts w:ascii="Times New Roman" w:eastAsia="宋体" w:hAnsi="Times New Roman" w:cs="Times New Roman"/>
          <w:szCs w:val="20"/>
          <w:lang w:val="zh-CN" w:bidi="zh-CN"/>
        </w:rPr>
        <w:t>项目所在区域内空气污染因子</w:t>
      </w:r>
      <w:r>
        <w:rPr>
          <w:rFonts w:ascii="Times New Roman" w:eastAsia="宋体" w:hAnsi="Times New Roman" w:cs="Times New Roman"/>
          <w:szCs w:val="20"/>
          <w:lang w:val="zh-CN" w:bidi="zh-CN"/>
        </w:rPr>
        <w:t>PM</w:t>
      </w:r>
      <w:r>
        <w:rPr>
          <w:rFonts w:ascii="Times New Roman" w:eastAsia="宋体" w:hAnsi="Times New Roman" w:cs="Times New Roman"/>
          <w:szCs w:val="20"/>
          <w:vertAlign w:val="subscript"/>
          <w:lang w:val="zh-CN" w:bidi="zh-CN"/>
        </w:rPr>
        <w:t>10</w:t>
      </w:r>
      <w:r>
        <w:rPr>
          <w:rFonts w:ascii="Times New Roman" w:eastAsia="宋体" w:hAnsi="Times New Roman" w:cs="Times New Roman"/>
          <w:szCs w:val="20"/>
          <w:lang w:val="zh-CN" w:bidi="zh-CN"/>
        </w:rPr>
        <w:t>、</w:t>
      </w:r>
      <w:r>
        <w:rPr>
          <w:rFonts w:ascii="Times New Roman" w:eastAsia="宋体" w:hAnsi="Times New Roman" w:cs="Times New Roman"/>
          <w:szCs w:val="20"/>
          <w:lang w:val="zh-CN" w:bidi="zh-CN"/>
        </w:rPr>
        <w:t>PM</w:t>
      </w:r>
      <w:r>
        <w:rPr>
          <w:rFonts w:ascii="Times New Roman" w:eastAsia="宋体" w:hAnsi="Times New Roman" w:cs="Times New Roman"/>
          <w:szCs w:val="20"/>
          <w:vertAlign w:val="subscript"/>
          <w:lang w:val="zh-CN" w:bidi="zh-CN"/>
        </w:rPr>
        <w:t>2.5</w:t>
      </w:r>
      <w:r>
        <w:rPr>
          <w:rFonts w:ascii="Times New Roman" w:eastAsia="宋体" w:hAnsi="Times New Roman" w:cs="Times New Roman"/>
          <w:szCs w:val="20"/>
          <w:lang w:val="zh-CN" w:bidi="zh-CN"/>
        </w:rPr>
        <w:t>、</w:t>
      </w:r>
      <w:r>
        <w:rPr>
          <w:rFonts w:ascii="Times New Roman" w:eastAsia="宋体" w:hAnsi="Times New Roman" w:cs="Times New Roman"/>
          <w:szCs w:val="20"/>
          <w:lang w:val="zh-CN" w:bidi="zh-CN"/>
        </w:rPr>
        <w:t>SO</w:t>
      </w:r>
      <w:r>
        <w:rPr>
          <w:rFonts w:ascii="Times New Roman" w:eastAsia="宋体" w:hAnsi="Times New Roman" w:cs="Times New Roman"/>
          <w:szCs w:val="20"/>
          <w:vertAlign w:val="subscript"/>
          <w:lang w:val="zh-CN" w:bidi="zh-CN"/>
        </w:rPr>
        <w:t>2</w:t>
      </w:r>
      <w:r>
        <w:rPr>
          <w:rFonts w:ascii="Times New Roman" w:eastAsia="宋体" w:hAnsi="Times New Roman" w:cs="Times New Roman"/>
          <w:szCs w:val="20"/>
          <w:lang w:val="zh-CN" w:bidi="zh-CN"/>
        </w:rPr>
        <w:t>、</w:t>
      </w:r>
      <w:r>
        <w:rPr>
          <w:rFonts w:ascii="Times New Roman" w:eastAsia="宋体" w:hAnsi="Times New Roman" w:cs="Times New Roman"/>
          <w:szCs w:val="20"/>
          <w:lang w:val="zh-CN" w:bidi="zh-CN"/>
        </w:rPr>
        <w:t>NO</w:t>
      </w:r>
      <w:r>
        <w:rPr>
          <w:rFonts w:ascii="Times New Roman" w:eastAsia="宋体" w:hAnsi="Times New Roman" w:cs="Times New Roman"/>
          <w:szCs w:val="20"/>
          <w:vertAlign w:val="subscript"/>
          <w:lang w:val="zh-CN" w:bidi="zh-CN"/>
        </w:rPr>
        <w:t>2</w:t>
      </w:r>
      <w:r>
        <w:rPr>
          <w:rFonts w:ascii="Times New Roman" w:eastAsia="宋体" w:hAnsi="Times New Roman" w:cs="Times New Roman"/>
          <w:szCs w:val="20"/>
          <w:lang w:val="zh-CN" w:bidi="zh-CN"/>
        </w:rPr>
        <w:t>、</w:t>
      </w:r>
      <w:r>
        <w:rPr>
          <w:rFonts w:ascii="Times New Roman" w:eastAsia="宋体" w:hAnsi="Times New Roman" w:cs="Times New Roman"/>
          <w:szCs w:val="20"/>
          <w:lang w:val="zh-CN" w:bidi="zh-CN"/>
        </w:rPr>
        <w:t>CO</w:t>
      </w:r>
      <w:r>
        <w:rPr>
          <w:rFonts w:ascii="Times New Roman" w:eastAsia="宋体" w:hAnsi="Times New Roman" w:cs="Times New Roman"/>
          <w:szCs w:val="20"/>
          <w:lang w:val="zh-CN" w:bidi="zh-CN"/>
        </w:rPr>
        <w:t>、</w:t>
      </w:r>
      <w:r>
        <w:rPr>
          <w:rFonts w:ascii="Times New Roman" w:eastAsia="宋体" w:hAnsi="Times New Roman" w:cs="Times New Roman"/>
          <w:szCs w:val="20"/>
          <w:lang w:val="zh-CN" w:bidi="zh-CN"/>
        </w:rPr>
        <w:t>O</w:t>
      </w:r>
      <w:r>
        <w:rPr>
          <w:rFonts w:ascii="Times New Roman" w:eastAsia="宋体" w:hAnsi="Times New Roman" w:cs="Times New Roman"/>
          <w:szCs w:val="20"/>
          <w:vertAlign w:val="subscript"/>
          <w:lang w:val="zh-CN" w:bidi="zh-CN"/>
        </w:rPr>
        <w:t>3</w:t>
      </w:r>
      <w:r>
        <w:rPr>
          <w:rFonts w:ascii="Times New Roman" w:eastAsia="宋体" w:hAnsi="Times New Roman" w:cs="Times New Roman"/>
          <w:szCs w:val="20"/>
          <w:lang w:val="zh-CN" w:bidi="zh-CN"/>
        </w:rPr>
        <w:t>均满足《环境空气质量标准》（</w:t>
      </w:r>
      <w:r>
        <w:rPr>
          <w:rFonts w:ascii="Times New Roman" w:eastAsia="宋体" w:hAnsi="Times New Roman" w:cs="Times New Roman"/>
          <w:szCs w:val="20"/>
          <w:lang w:val="zh-CN" w:bidi="zh-CN"/>
        </w:rPr>
        <w:t>GB3095-2012</w:t>
      </w:r>
      <w:r>
        <w:rPr>
          <w:rFonts w:ascii="Times New Roman" w:eastAsia="宋体" w:hAnsi="Times New Roman" w:cs="Times New Roman"/>
          <w:szCs w:val="20"/>
          <w:lang w:val="zh-CN" w:bidi="zh-CN"/>
        </w:rPr>
        <w:t>）及其修改单中</w:t>
      </w:r>
      <w:r>
        <w:rPr>
          <w:rFonts w:ascii="Times New Roman" w:eastAsia="宋体" w:hAnsi="Times New Roman" w:cs="Times New Roman" w:hint="eastAsia"/>
          <w:szCs w:val="20"/>
          <w:lang w:bidi="zh-CN"/>
        </w:rPr>
        <w:t>一级和</w:t>
      </w:r>
      <w:r>
        <w:rPr>
          <w:rFonts w:ascii="Times New Roman" w:eastAsia="宋体" w:hAnsi="Times New Roman" w:cs="Times New Roman"/>
          <w:szCs w:val="20"/>
          <w:lang w:val="zh-CN" w:bidi="zh-CN"/>
        </w:rPr>
        <w:t>二级标准的要求，判定项目所在区域为达标区</w:t>
      </w:r>
      <w:r>
        <w:rPr>
          <w:rFonts w:ascii="Times New Roman" w:eastAsia="宋体" w:hAnsi="Times New Roman" w:cs="Times New Roman"/>
          <w:kern w:val="0"/>
          <w:lang w:val="zh-CN" w:bidi="zh-CN"/>
        </w:rPr>
        <w:t>。</w:t>
      </w:r>
    </w:p>
    <w:p w14:paraId="2CCDB8ED" w14:textId="77777777" w:rsidR="009D12AF" w:rsidRDefault="00000000">
      <w:pPr>
        <w:ind w:firstLine="480"/>
        <w:rPr>
          <w:rFonts w:ascii="Times New Roman" w:eastAsia="宋体" w:hAnsi="Times New Roman" w:cs="Times New Roman"/>
          <w:kern w:val="0"/>
          <w:lang w:bidi="zh-CN"/>
        </w:rPr>
      </w:pPr>
      <w:r>
        <w:rPr>
          <w:rFonts w:ascii="Times New Roman" w:eastAsia="宋体" w:hAnsi="Times New Roman" w:cs="Times New Roman"/>
          <w:kern w:val="0"/>
          <w:lang w:bidi="zh-CN"/>
        </w:rPr>
        <w:t>建设项目所在区域在监测时段内</w:t>
      </w:r>
      <w:r>
        <w:rPr>
          <w:rFonts w:ascii="Times New Roman" w:eastAsia="宋体" w:hAnsi="Times New Roman" w:cs="Times New Roman"/>
          <w:kern w:val="0"/>
          <w:lang w:bidi="zh-CN"/>
        </w:rPr>
        <w:t>TSP</w:t>
      </w:r>
      <w:r>
        <w:rPr>
          <w:rFonts w:ascii="Times New Roman" w:eastAsia="宋体" w:hAnsi="Times New Roman" w:cs="Times New Roman"/>
          <w:kern w:val="0"/>
          <w:lang w:bidi="zh-CN"/>
        </w:rPr>
        <w:t>的</w:t>
      </w:r>
      <w:r>
        <w:rPr>
          <w:rFonts w:ascii="Times New Roman" w:eastAsia="宋体" w:hAnsi="Times New Roman" w:cs="Times New Roman"/>
          <w:kern w:val="0"/>
          <w:lang w:bidi="zh-CN"/>
        </w:rPr>
        <w:t>24</w:t>
      </w:r>
      <w:r>
        <w:rPr>
          <w:rFonts w:ascii="Times New Roman" w:eastAsia="宋体" w:hAnsi="Times New Roman" w:cs="Times New Roman"/>
          <w:kern w:val="0"/>
          <w:lang w:bidi="zh-CN"/>
        </w:rPr>
        <w:t>小时浓度满足《环境空气质量标准》（</w:t>
      </w:r>
      <w:r>
        <w:rPr>
          <w:rFonts w:ascii="Times New Roman" w:eastAsia="宋体" w:hAnsi="Times New Roman" w:cs="Times New Roman"/>
          <w:kern w:val="0"/>
          <w:lang w:bidi="zh-CN"/>
        </w:rPr>
        <w:t>GB3096-2012</w:t>
      </w:r>
      <w:r>
        <w:rPr>
          <w:rFonts w:ascii="Times New Roman" w:eastAsia="宋体" w:hAnsi="Times New Roman" w:cs="Times New Roman"/>
          <w:kern w:val="0"/>
          <w:lang w:bidi="zh-CN"/>
        </w:rPr>
        <w:t>）中的</w:t>
      </w:r>
      <w:r>
        <w:rPr>
          <w:rFonts w:ascii="Times New Roman" w:eastAsia="宋体" w:hAnsi="Times New Roman" w:cs="Times New Roman" w:hint="eastAsia"/>
          <w:szCs w:val="20"/>
          <w:lang w:bidi="zh-CN"/>
        </w:rPr>
        <w:t>一级和</w:t>
      </w:r>
      <w:r>
        <w:rPr>
          <w:rFonts w:ascii="Times New Roman" w:eastAsia="宋体" w:hAnsi="Times New Roman" w:cs="Times New Roman"/>
          <w:szCs w:val="20"/>
          <w:lang w:val="zh-CN" w:bidi="zh-CN"/>
        </w:rPr>
        <w:t>二级</w:t>
      </w:r>
      <w:r>
        <w:rPr>
          <w:rFonts w:ascii="Times New Roman" w:eastAsia="宋体" w:hAnsi="Times New Roman" w:cs="Times New Roman"/>
          <w:kern w:val="0"/>
          <w:lang w:bidi="zh-CN"/>
        </w:rPr>
        <w:t>标准限值要求，氨和硫化氢满足环《境影响评价技术导则</w:t>
      </w:r>
      <w:r>
        <w:rPr>
          <w:rFonts w:ascii="Times New Roman" w:eastAsia="宋体" w:hAnsi="Times New Roman" w:cs="Times New Roman"/>
          <w:kern w:val="0"/>
          <w:lang w:bidi="zh-CN"/>
        </w:rPr>
        <w:t xml:space="preserve"> </w:t>
      </w:r>
      <w:r>
        <w:rPr>
          <w:rFonts w:ascii="Times New Roman" w:eastAsia="宋体" w:hAnsi="Times New Roman" w:cs="Times New Roman"/>
          <w:kern w:val="0"/>
          <w:lang w:bidi="zh-CN"/>
        </w:rPr>
        <w:t>大气环境》（</w:t>
      </w:r>
      <w:r>
        <w:rPr>
          <w:rFonts w:ascii="Times New Roman" w:eastAsia="宋体" w:hAnsi="Times New Roman" w:cs="Times New Roman"/>
          <w:kern w:val="0"/>
          <w:lang w:bidi="zh-CN"/>
        </w:rPr>
        <w:t>HJ 2.2-2018</w:t>
      </w:r>
      <w:r>
        <w:rPr>
          <w:rFonts w:ascii="Times New Roman" w:eastAsia="宋体" w:hAnsi="Times New Roman" w:cs="Times New Roman"/>
          <w:kern w:val="0"/>
          <w:lang w:bidi="zh-CN"/>
        </w:rPr>
        <w:t>）附录</w:t>
      </w:r>
      <w:r>
        <w:rPr>
          <w:rFonts w:ascii="Times New Roman" w:eastAsia="宋体" w:hAnsi="Times New Roman" w:cs="Times New Roman"/>
          <w:kern w:val="0"/>
          <w:lang w:bidi="zh-CN"/>
        </w:rPr>
        <w:t>D</w:t>
      </w:r>
      <w:r>
        <w:rPr>
          <w:rFonts w:ascii="Times New Roman" w:eastAsia="宋体" w:hAnsi="Times New Roman" w:cs="Times New Roman"/>
          <w:kern w:val="0"/>
          <w:lang w:bidi="zh-CN"/>
        </w:rPr>
        <w:t>标准限值要求。</w:t>
      </w:r>
    </w:p>
    <w:p w14:paraId="6B3C186A" w14:textId="77777777" w:rsidR="009D12AF" w:rsidRDefault="00000000">
      <w:pPr>
        <w:pStyle w:val="3"/>
      </w:pPr>
      <w:bookmarkStart w:id="486" w:name="_Toc17731"/>
      <w:bookmarkStart w:id="487" w:name="_Toc20407"/>
      <w:bookmarkStart w:id="488" w:name="_Toc10100"/>
      <w:bookmarkStart w:id="489" w:name="_Toc23108"/>
      <w:r>
        <w:rPr>
          <w:rFonts w:hint="eastAsia"/>
        </w:rPr>
        <w:t>9</w:t>
      </w:r>
      <w:r>
        <w:t xml:space="preserve">.2.2 </w:t>
      </w:r>
      <w:r>
        <w:t>声环境</w:t>
      </w:r>
      <w:bookmarkEnd w:id="486"/>
      <w:bookmarkEnd w:id="487"/>
      <w:bookmarkEnd w:id="488"/>
      <w:bookmarkEnd w:id="489"/>
    </w:p>
    <w:p w14:paraId="7B817CCF" w14:textId="77777777" w:rsidR="009D12AF" w:rsidRDefault="00000000">
      <w:pPr>
        <w:ind w:firstLine="480"/>
      </w:pPr>
      <w:r>
        <w:rPr>
          <w:rFonts w:hint="eastAsia"/>
        </w:rPr>
        <w:t>通过环境质量现状监测可知，</w:t>
      </w:r>
      <w:r>
        <w:t>通过将环境噪声现状监测结果与标准比较，监测点环境噪声昼夜值均满足《声环境质量标准》（</w:t>
      </w:r>
      <w:r>
        <w:t>GB3096-2008</w:t>
      </w:r>
      <w:r>
        <w:t>）中的</w:t>
      </w:r>
      <w:r>
        <w:t>1</w:t>
      </w:r>
      <w:r>
        <w:t>类标准。</w:t>
      </w:r>
    </w:p>
    <w:p w14:paraId="319E1D64" w14:textId="77777777" w:rsidR="009D12AF" w:rsidRDefault="00000000">
      <w:pPr>
        <w:pStyle w:val="3"/>
      </w:pPr>
      <w:bookmarkStart w:id="490" w:name="_Toc8251"/>
      <w:bookmarkStart w:id="491" w:name="_Toc18086"/>
      <w:bookmarkStart w:id="492" w:name="_Toc4634"/>
      <w:bookmarkStart w:id="493" w:name="_Toc14740"/>
      <w:r>
        <w:rPr>
          <w:rFonts w:hint="eastAsia"/>
        </w:rPr>
        <w:t>9</w:t>
      </w:r>
      <w:r>
        <w:t xml:space="preserve">.2.3 </w:t>
      </w:r>
      <w:r>
        <w:t>地下水环境</w:t>
      </w:r>
      <w:bookmarkEnd w:id="490"/>
      <w:bookmarkEnd w:id="491"/>
      <w:bookmarkEnd w:id="492"/>
      <w:bookmarkEnd w:id="493"/>
    </w:p>
    <w:p w14:paraId="19DA597A" w14:textId="77777777" w:rsidR="009D12AF" w:rsidRDefault="00000000">
      <w:pPr>
        <w:ind w:firstLine="480"/>
      </w:pPr>
      <w:r>
        <w:t>由以上地下水单因子标准指数分析可知，评价区域第四系孔隙水质除铁外均满足《地下水质量标准》（</w:t>
      </w:r>
      <w:r>
        <w:t>GB/T14848-2017</w:t>
      </w:r>
      <w:r>
        <w:t>）中的</w:t>
      </w:r>
      <w:r>
        <w:t>Ⅲ</w:t>
      </w:r>
      <w:r>
        <w:t>类标准要求。评价区域地下水化学类型主要为</w:t>
      </w:r>
      <w:r>
        <w:rPr>
          <w:rFonts w:hint="eastAsia"/>
        </w:rPr>
        <w:t>1</w:t>
      </w:r>
      <w:r>
        <w:t>-A</w:t>
      </w:r>
      <w:r>
        <w:t>型</w:t>
      </w:r>
      <w:r>
        <w:t>HCO</w:t>
      </w:r>
      <w:r>
        <w:rPr>
          <w:vertAlign w:val="subscript"/>
        </w:rPr>
        <w:t>3</w:t>
      </w:r>
      <w:r>
        <w:t>-Ca</w:t>
      </w:r>
      <w:r>
        <w:t>淡水。</w:t>
      </w:r>
    </w:p>
    <w:p w14:paraId="68A7501F" w14:textId="77777777" w:rsidR="009D12AF" w:rsidRDefault="00000000">
      <w:pPr>
        <w:pStyle w:val="3"/>
      </w:pPr>
      <w:bookmarkStart w:id="494" w:name="_Toc976"/>
      <w:r>
        <w:rPr>
          <w:rFonts w:hint="eastAsia"/>
        </w:rPr>
        <w:t>9.2.4</w:t>
      </w:r>
      <w:r>
        <w:rPr>
          <w:rFonts w:hint="eastAsia"/>
        </w:rPr>
        <w:t>地表水环境</w:t>
      </w:r>
      <w:bookmarkEnd w:id="494"/>
    </w:p>
    <w:p w14:paraId="75B994F1" w14:textId="77777777" w:rsidR="009D12AF" w:rsidRDefault="00000000">
      <w:pPr>
        <w:ind w:firstLine="480"/>
      </w:pPr>
      <w:r>
        <w:t>由监测结果可知，本项目所在区域地</w:t>
      </w:r>
      <w:r>
        <w:rPr>
          <w:rFonts w:hint="eastAsia"/>
        </w:rPr>
        <w:t>表</w:t>
      </w:r>
      <w:r>
        <w:t>水监测因子均满足</w:t>
      </w:r>
      <w:r>
        <w:rPr>
          <w:rFonts w:ascii="Times New Roman" w:hAnsi="Times New Roman"/>
        </w:rPr>
        <w:t>地表水环境质量标准》（</w:t>
      </w:r>
      <w:r>
        <w:rPr>
          <w:rFonts w:ascii="Times New Roman" w:hAnsi="Times New Roman"/>
        </w:rPr>
        <w:t>GB3939-2002</w:t>
      </w:r>
      <w:r>
        <w:rPr>
          <w:rFonts w:ascii="Times New Roman" w:hAnsi="Times New Roman"/>
        </w:rPr>
        <w:t>）</w:t>
      </w:r>
      <w:r>
        <w:rPr>
          <w:rFonts w:ascii="Times New Roman" w:hAnsi="Times New Roman"/>
          <w:szCs w:val="21"/>
        </w:rPr>
        <w:fldChar w:fldCharType="begin"/>
      </w:r>
      <w:r>
        <w:rPr>
          <w:rFonts w:ascii="Times New Roman" w:hAnsi="Times New Roman"/>
          <w:szCs w:val="21"/>
        </w:rPr>
        <w:instrText xml:space="preserve"> = 3 \* ROMAN </w:instrText>
      </w:r>
      <w:r>
        <w:rPr>
          <w:rFonts w:ascii="Times New Roman" w:hAnsi="Times New Roman"/>
          <w:szCs w:val="21"/>
        </w:rPr>
        <w:fldChar w:fldCharType="separate"/>
      </w:r>
      <w:r>
        <w:rPr>
          <w:rFonts w:ascii="Times New Roman" w:hAnsi="Times New Roman"/>
          <w:szCs w:val="21"/>
        </w:rPr>
        <w:t>III</w:t>
      </w:r>
      <w:r>
        <w:rPr>
          <w:rFonts w:ascii="Times New Roman" w:hAnsi="Times New Roman"/>
          <w:szCs w:val="21"/>
        </w:rPr>
        <w:fldChar w:fldCharType="end"/>
      </w:r>
      <w:r>
        <w:rPr>
          <w:rFonts w:ascii="Times New Roman" w:hAnsi="Times New Roman" w:hint="eastAsia"/>
          <w:szCs w:val="21"/>
        </w:rPr>
        <w:t>、Ⅱ</w:t>
      </w:r>
      <w:r>
        <w:rPr>
          <w:rFonts w:ascii="Times New Roman" w:hAnsi="Times New Roman"/>
          <w:szCs w:val="21"/>
        </w:rPr>
        <w:t>类水质</w:t>
      </w:r>
      <w:r>
        <w:t>水质要求。</w:t>
      </w:r>
    </w:p>
    <w:p w14:paraId="6B93E007" w14:textId="77777777" w:rsidR="009D12AF" w:rsidRDefault="00000000">
      <w:pPr>
        <w:pStyle w:val="2"/>
      </w:pPr>
      <w:bookmarkStart w:id="495" w:name="_Toc11334"/>
      <w:r>
        <w:rPr>
          <w:rFonts w:hint="eastAsia"/>
        </w:rPr>
        <w:lastRenderedPageBreak/>
        <w:t>9</w:t>
      </w:r>
      <w:r>
        <w:t xml:space="preserve">.3 </w:t>
      </w:r>
      <w:r>
        <w:t>环境影响分析结论</w:t>
      </w:r>
      <w:bookmarkEnd w:id="495"/>
    </w:p>
    <w:p w14:paraId="23065DC3" w14:textId="77777777" w:rsidR="009D12AF" w:rsidRDefault="00000000">
      <w:pPr>
        <w:pStyle w:val="3"/>
      </w:pPr>
      <w:bookmarkStart w:id="496" w:name="_Toc18859"/>
      <w:bookmarkStart w:id="497" w:name="_Toc12463"/>
      <w:bookmarkStart w:id="498" w:name="_Toc11119"/>
      <w:bookmarkStart w:id="499" w:name="_Toc7762"/>
      <w:r>
        <w:rPr>
          <w:rFonts w:hint="eastAsia"/>
        </w:rPr>
        <w:t>9.</w:t>
      </w:r>
      <w:r>
        <w:t xml:space="preserve">3.1 </w:t>
      </w:r>
      <w:r>
        <w:t>施工期</w:t>
      </w:r>
      <w:bookmarkEnd w:id="496"/>
      <w:bookmarkEnd w:id="497"/>
      <w:bookmarkEnd w:id="498"/>
      <w:bookmarkEnd w:id="499"/>
    </w:p>
    <w:p w14:paraId="4647C700" w14:textId="77777777" w:rsidR="009D12AF" w:rsidRDefault="00000000">
      <w:pPr>
        <w:ind w:firstLine="480"/>
      </w:pPr>
      <w:r>
        <w:t>1</w:t>
      </w:r>
      <w:r>
        <w:t>、大气</w:t>
      </w:r>
    </w:p>
    <w:p w14:paraId="4AAA1794" w14:textId="77777777" w:rsidR="009D12AF" w:rsidRDefault="00000000">
      <w:pPr>
        <w:adjustRightInd w:val="0"/>
        <w:snapToGrid w:val="0"/>
        <w:ind w:firstLine="480"/>
      </w:pPr>
      <w:r>
        <w:t>本工程施工期的大气污染源主要包括施工扬尘，</w:t>
      </w:r>
      <w:r>
        <w:rPr>
          <w:rFonts w:hint="eastAsia"/>
        </w:rPr>
        <w:t>水库</w:t>
      </w:r>
      <w:r>
        <w:t>清淤过程产生的恶臭，燃油机械和运输车辆产生的尾气。</w:t>
      </w:r>
    </w:p>
    <w:p w14:paraId="7A5754AA" w14:textId="77777777" w:rsidR="009D12AF" w:rsidRDefault="00000000">
      <w:pPr>
        <w:adjustRightInd w:val="0"/>
        <w:snapToGrid w:val="0"/>
        <w:ind w:firstLine="480"/>
      </w:pPr>
      <w:r>
        <w:rPr>
          <w:rFonts w:hint="eastAsia"/>
        </w:rPr>
        <w:t>（</w:t>
      </w:r>
      <w:r>
        <w:rPr>
          <w:rFonts w:hint="eastAsia"/>
        </w:rPr>
        <w:t>1</w:t>
      </w:r>
      <w:r>
        <w:rPr>
          <w:rFonts w:hint="eastAsia"/>
        </w:rPr>
        <w:t>）</w:t>
      </w:r>
      <w:r>
        <w:t>施工期扬尘防治措施</w:t>
      </w:r>
    </w:p>
    <w:p w14:paraId="0357FE0A" w14:textId="77777777" w:rsidR="009D12AF" w:rsidRDefault="00000000">
      <w:pPr>
        <w:adjustRightInd w:val="0"/>
        <w:snapToGrid w:val="0"/>
        <w:ind w:firstLine="480"/>
      </w:pPr>
      <w:r>
        <w:t>本项目施工区由于施工机械和运输车辆的使用会产生扬尘，对环境空气质量将产生一定的影响。扬尘是由于地面上的尘土在风力、人为带动及其他带动而进入大气的开放性污染源，尤其是施工现场干燥及风速较大时影响较为明显，使该区域及周围近距离范围大气中总悬浮颗粒</w:t>
      </w:r>
      <w:r>
        <w:t>(TSP)</w:t>
      </w:r>
      <w:r>
        <w:t>浓度增加。在施工过程中，施工单位必须全面落实《国务院关于印发大气污染防治行动计划的通知》国发</w:t>
      </w:r>
      <w:r>
        <w:t>[2013]37</w:t>
      </w:r>
      <w:r>
        <w:t>号文要求，</w:t>
      </w:r>
      <w:r>
        <w:t>“</w:t>
      </w:r>
      <w:r>
        <w:t>深化城市扬尘综合治理，加强对施工扬尘的监管，积极创建绿色工地，建设工程施工现场设置全封闭围墙，禁止在施工现场搅拌础，硬化施工现场道路，将施工扬尘污染防治纳入建筑企业信用和资质管理，作为招投标的依据。渣土运输车辆采取封闭措施。推行道路机械化清扫，增加城市道路冲洗保洁频次。大型料堆采取封闭储存、建设挡风抑尘墙等措施</w:t>
      </w:r>
      <w:r>
        <w:t>”</w:t>
      </w:r>
      <w:r>
        <w:t>。</w:t>
      </w:r>
      <w:r>
        <w:t xml:space="preserve"> </w:t>
      </w:r>
    </w:p>
    <w:p w14:paraId="61B977E8" w14:textId="77777777" w:rsidR="009D12AF" w:rsidRDefault="00000000">
      <w:pPr>
        <w:adjustRightInd w:val="0"/>
        <w:snapToGrid w:val="0"/>
        <w:ind w:firstLine="480"/>
      </w:pPr>
      <w:r>
        <w:t>为减轻施工期间扬尘对周围环境空气及敏感目标的不利影响，该项目施工期间，应采取下列防治措施</w:t>
      </w:r>
      <w:r>
        <w:rPr>
          <w:rFonts w:hint="eastAsia"/>
        </w:rPr>
        <w:t>：</w:t>
      </w:r>
    </w:p>
    <w:p w14:paraId="2339FAEA" w14:textId="77777777" w:rsidR="009D12AF" w:rsidRDefault="00000000">
      <w:pPr>
        <w:adjustRightInd w:val="0"/>
        <w:snapToGrid w:val="0"/>
        <w:ind w:firstLine="480"/>
      </w:pPr>
      <w:r>
        <w:rPr>
          <w:rFonts w:hint="eastAsia"/>
        </w:rPr>
        <w:t>①</w:t>
      </w:r>
      <w:r>
        <w:t>工程建设期间，在工地四周设置围挡</w:t>
      </w:r>
      <w:r>
        <w:t>(2</w:t>
      </w:r>
      <w:r>
        <w:t>米高</w:t>
      </w:r>
      <w:r>
        <w:t>)</w:t>
      </w:r>
      <w:r>
        <w:t>，减小风蚀起尘；</w:t>
      </w:r>
    </w:p>
    <w:p w14:paraId="025BB19D" w14:textId="77777777" w:rsidR="009D12AF" w:rsidRDefault="00000000">
      <w:pPr>
        <w:adjustRightInd w:val="0"/>
        <w:snapToGrid w:val="0"/>
        <w:ind w:firstLine="480"/>
      </w:pPr>
      <w:r>
        <w:rPr>
          <w:rFonts w:hint="eastAsia"/>
        </w:rPr>
        <w:t>②</w:t>
      </w:r>
      <w:r>
        <w:t>在对场地内进行地表清理与回填过程中建设单位需做到文明施工，对开挖、回填过程中应采取湿法作业，施工作业期间避免大风天气进行开挖风速四级以上易产生扬尘时，施工单位应暂时停止土方开挖，风速大于</w:t>
      </w:r>
      <w:r>
        <w:t>3m/s</w:t>
      </w:r>
      <w:r>
        <w:t>时应停止施工。如遇连续高温天气，应增加洒水频次来有效控制扬尘污染；</w:t>
      </w:r>
    </w:p>
    <w:p w14:paraId="12B975E8" w14:textId="77777777" w:rsidR="009D12AF" w:rsidRDefault="00000000">
      <w:pPr>
        <w:adjustRightInd w:val="0"/>
        <w:snapToGrid w:val="0"/>
        <w:ind w:firstLine="480"/>
      </w:pPr>
      <w:r>
        <w:rPr>
          <w:rFonts w:hint="eastAsia"/>
        </w:rPr>
        <w:t>③</w:t>
      </w:r>
      <w:r>
        <w:t>加强管理，文明施工，建筑材料轻装轻卸；对于项目就近外购砂石等建材，运输车辆必须遮盖封闭处理。设专人对施工现场进行清理，防止空气污染；</w:t>
      </w:r>
    </w:p>
    <w:p w14:paraId="6FECFCA7" w14:textId="77777777" w:rsidR="009D12AF" w:rsidRDefault="00000000">
      <w:pPr>
        <w:adjustRightInd w:val="0"/>
        <w:snapToGrid w:val="0"/>
        <w:ind w:firstLine="480"/>
      </w:pPr>
      <w:r>
        <w:rPr>
          <w:rFonts w:hint="eastAsia"/>
        </w:rPr>
        <w:t>④</w:t>
      </w:r>
      <w:r>
        <w:t>工程建设期间，其所使用的具有粉尘逸散性的工程材料，如砂石、土方或废弃物的运输应当对运输车辆进行苫布覆盖。若在工地内堆置，建筑材料集中堆放，并采用防尘布</w:t>
      </w:r>
      <w:r>
        <w:t>/</w:t>
      </w:r>
      <w:r>
        <w:t>防尘网遮盖，禁止露天堆放；防止风蚀起尘以减少施工过程</w:t>
      </w:r>
      <w:r>
        <w:lastRenderedPageBreak/>
        <w:t>中的粉尘飞扬现象；</w:t>
      </w:r>
    </w:p>
    <w:p w14:paraId="71A58C6C" w14:textId="77777777" w:rsidR="009D12AF" w:rsidRDefault="00000000">
      <w:pPr>
        <w:adjustRightInd w:val="0"/>
        <w:snapToGrid w:val="0"/>
        <w:ind w:firstLine="480"/>
      </w:pPr>
      <w:r>
        <w:rPr>
          <w:rFonts w:hint="eastAsia"/>
        </w:rPr>
        <w:t>⑤</w:t>
      </w:r>
      <w:r>
        <w:t>施工现场主要运输道路采用洒水抑尘；</w:t>
      </w:r>
    </w:p>
    <w:p w14:paraId="770911E1" w14:textId="77777777" w:rsidR="009D12AF" w:rsidRDefault="00000000">
      <w:pPr>
        <w:adjustRightInd w:val="0"/>
        <w:snapToGrid w:val="0"/>
        <w:ind w:firstLine="480"/>
      </w:pPr>
      <w:r>
        <w:rPr>
          <w:rFonts w:hint="eastAsia"/>
        </w:rPr>
        <w:t>⑥</w:t>
      </w:r>
      <w:r>
        <w:t>运输车要全部采取密闭措施，严禁车辆沿途洒落，设置运输指定通道按规定时间、路线进行运输作业；</w:t>
      </w:r>
    </w:p>
    <w:p w14:paraId="31FFCE50" w14:textId="77777777" w:rsidR="009D12AF" w:rsidRDefault="00000000">
      <w:pPr>
        <w:adjustRightInd w:val="0"/>
        <w:snapToGrid w:val="0"/>
        <w:ind w:firstLine="480"/>
      </w:pPr>
      <w:r>
        <w:rPr>
          <w:rFonts w:hint="eastAsia"/>
        </w:rPr>
        <w:t>⑦</w:t>
      </w:r>
      <w:r>
        <w:t>建设单位应建立严格的监管制度，保证上述措施的严格执行。</w:t>
      </w:r>
    </w:p>
    <w:p w14:paraId="3D9AAA5B" w14:textId="77777777" w:rsidR="009D12AF" w:rsidRDefault="00000000">
      <w:pPr>
        <w:adjustRightInd w:val="0"/>
        <w:snapToGrid w:val="0"/>
        <w:ind w:firstLine="480"/>
      </w:pPr>
      <w:r>
        <w:t>项目建设时，施工期扬尘会对项目区周边居民带来一定的不利影响，因此建设方应合理安排施工时间，加强施工期扬尘污染防治措施，确保污染物达标排放，做好与周边居民的沟通工作。</w:t>
      </w:r>
    </w:p>
    <w:p w14:paraId="71862FFC" w14:textId="77777777" w:rsidR="009D12AF" w:rsidRDefault="00000000">
      <w:pPr>
        <w:adjustRightInd w:val="0"/>
        <w:snapToGrid w:val="0"/>
        <w:ind w:firstLine="480"/>
      </w:pPr>
      <w:r>
        <w:rPr>
          <w:rFonts w:hint="eastAsia"/>
        </w:rPr>
        <w:t>（</w:t>
      </w:r>
      <w:r>
        <w:rPr>
          <w:rFonts w:hint="eastAsia"/>
        </w:rPr>
        <w:t>2</w:t>
      </w:r>
      <w:r>
        <w:rPr>
          <w:rFonts w:hint="eastAsia"/>
        </w:rPr>
        <w:t>）</w:t>
      </w:r>
      <w:r>
        <w:t>燃料废气防治措施</w:t>
      </w:r>
    </w:p>
    <w:p w14:paraId="43EBC8F6" w14:textId="77777777" w:rsidR="009D12AF" w:rsidRDefault="00000000">
      <w:pPr>
        <w:adjustRightInd w:val="0"/>
        <w:snapToGrid w:val="0"/>
        <w:ind w:firstLine="480"/>
      </w:pPr>
      <w:r>
        <w:t>本工程施工机械主要有运输车辆、柴油发电机等，施工机械运行时会产生燃油尾气，污染物主要是</w:t>
      </w:r>
      <w:r>
        <w:t>NO</w:t>
      </w:r>
      <w:r>
        <w:rPr>
          <w:vertAlign w:val="subscript"/>
        </w:rPr>
        <w:t>2</w:t>
      </w:r>
      <w:r>
        <w:t>、</w:t>
      </w:r>
      <w:r>
        <w:t>CO</w:t>
      </w:r>
      <w:r>
        <w:t>、</w:t>
      </w:r>
      <w:r>
        <w:t>SO</w:t>
      </w:r>
      <w:r>
        <w:rPr>
          <w:vertAlign w:val="subscript"/>
        </w:rPr>
        <w:t>2</w:t>
      </w:r>
      <w:r>
        <w:t>。项目施工机械数量少且较分散，其污染程度相对较轻，通过采取相应的措施，可最大限度控制燃油废气污染物的排放，具体措施主要有：</w:t>
      </w:r>
    </w:p>
    <w:p w14:paraId="47896D4B" w14:textId="77777777" w:rsidR="009D12AF" w:rsidRDefault="00000000">
      <w:pPr>
        <w:adjustRightInd w:val="0"/>
        <w:snapToGrid w:val="0"/>
        <w:ind w:firstLine="480"/>
      </w:pPr>
      <w:r>
        <w:rPr>
          <w:rFonts w:hint="eastAsia"/>
        </w:rPr>
        <w:t>①</w:t>
      </w:r>
      <w:r>
        <w:t>使用环保型施工机械，使用无铅汽油等优质燃料。</w:t>
      </w:r>
    </w:p>
    <w:p w14:paraId="7E32AD9C" w14:textId="77777777" w:rsidR="009D12AF" w:rsidRDefault="00000000">
      <w:pPr>
        <w:adjustRightInd w:val="0"/>
        <w:snapToGrid w:val="0"/>
        <w:ind w:firstLine="480"/>
      </w:pPr>
      <w:r>
        <w:rPr>
          <w:rFonts w:hint="eastAsia"/>
        </w:rPr>
        <w:t>②</w:t>
      </w:r>
      <w:r>
        <w:t>加强发电机及车辆的管理和维修保养，保持设备处在正常良好的状态下工作；禁止施工机械超负荷工作，减少因机械、车辆状况不佳造成的空气污染。</w:t>
      </w:r>
    </w:p>
    <w:p w14:paraId="793B31EE" w14:textId="77777777" w:rsidR="009D12AF" w:rsidRDefault="00000000">
      <w:pPr>
        <w:adjustRightInd w:val="0"/>
        <w:snapToGrid w:val="0"/>
        <w:ind w:firstLine="480"/>
      </w:pPr>
      <w:r>
        <w:rPr>
          <w:rFonts w:hint="eastAsia"/>
        </w:rPr>
        <w:t>③</w:t>
      </w:r>
      <w:r>
        <w:t>运输车辆要合理布置运输车辆行驶路线，保证行使速度，减少怠速时间，以减少机动车尾气的排放。</w:t>
      </w:r>
    </w:p>
    <w:p w14:paraId="6EF765D4" w14:textId="77777777" w:rsidR="009D12AF" w:rsidRDefault="00000000">
      <w:pPr>
        <w:adjustRightInd w:val="0"/>
        <w:snapToGrid w:val="0"/>
        <w:ind w:firstLine="480"/>
      </w:pPr>
      <w:r>
        <w:rPr>
          <w:rFonts w:hint="eastAsia"/>
        </w:rPr>
        <w:t>（</w:t>
      </w:r>
      <w:r>
        <w:rPr>
          <w:rFonts w:hint="eastAsia"/>
        </w:rPr>
        <w:t>3</w:t>
      </w:r>
      <w:r>
        <w:rPr>
          <w:rFonts w:hint="eastAsia"/>
        </w:rPr>
        <w:t>）</w:t>
      </w:r>
      <w:r>
        <w:t>恶臭污染防治措施</w:t>
      </w:r>
    </w:p>
    <w:p w14:paraId="240A6549" w14:textId="77777777" w:rsidR="009D12AF" w:rsidRDefault="00000000">
      <w:pPr>
        <w:adjustRightInd w:val="0"/>
        <w:snapToGrid w:val="0"/>
        <w:ind w:firstLine="480"/>
      </w:pPr>
      <w:r>
        <w:rPr>
          <w:rFonts w:hint="eastAsia"/>
        </w:rPr>
        <w:t>①水库</w:t>
      </w:r>
      <w:r>
        <w:t>清淤工程应选择在枯水期分段进行，清淤过程中，为减少臭气的排放，在施工场地周围建设围挡，避免废气直接扩散到岸边。</w:t>
      </w:r>
    </w:p>
    <w:p w14:paraId="3DDC7152" w14:textId="77777777" w:rsidR="009D12AF" w:rsidRDefault="00000000">
      <w:pPr>
        <w:adjustRightInd w:val="0"/>
        <w:snapToGrid w:val="0"/>
        <w:ind w:firstLine="480"/>
      </w:pPr>
      <w:r>
        <w:rPr>
          <w:rFonts w:hint="eastAsia"/>
        </w:rPr>
        <w:t>②水库</w:t>
      </w:r>
      <w:r>
        <w:t>淤泥送到</w:t>
      </w:r>
      <w:r>
        <w:rPr>
          <w:rFonts w:hint="eastAsia"/>
        </w:rPr>
        <w:t>临时生产区</w:t>
      </w:r>
      <w:r>
        <w:t>后，应及时进行淤泥干化处理：干化前，底泥在进入</w:t>
      </w:r>
      <w:r>
        <w:rPr>
          <w:rFonts w:hint="eastAsia"/>
        </w:rPr>
        <w:t>临时生产区</w:t>
      </w:r>
      <w:r>
        <w:t>时及时加入除臭剂，抑制淤泥异味的散发。</w:t>
      </w:r>
    </w:p>
    <w:p w14:paraId="4CF41B6C" w14:textId="77777777" w:rsidR="009D12AF" w:rsidRDefault="00000000">
      <w:pPr>
        <w:adjustRightInd w:val="0"/>
        <w:snapToGrid w:val="0"/>
        <w:ind w:firstLine="480"/>
      </w:pPr>
      <w:r>
        <w:rPr>
          <w:rFonts w:hint="eastAsia"/>
        </w:rPr>
        <w:t>③</w:t>
      </w:r>
      <w:r>
        <w:t>干化淤泥运输时采用遮盖、密闭措施，防止沿途撒落，影响景观、卫生。</w:t>
      </w:r>
    </w:p>
    <w:p w14:paraId="4BCCE6C2" w14:textId="77777777" w:rsidR="009D12AF" w:rsidRDefault="00000000">
      <w:pPr>
        <w:adjustRightInd w:val="0"/>
        <w:snapToGrid w:val="0"/>
        <w:ind w:firstLine="480"/>
      </w:pPr>
      <w:r>
        <w:rPr>
          <w:rFonts w:hint="eastAsia"/>
        </w:rPr>
        <w:t>④</w:t>
      </w:r>
      <w:r>
        <w:t>加强</w:t>
      </w:r>
      <w:r>
        <w:rPr>
          <w:rFonts w:hint="eastAsia"/>
        </w:rPr>
        <w:t>临时生产区</w:t>
      </w:r>
      <w:r>
        <w:t>内绿化，在</w:t>
      </w:r>
      <w:r>
        <w:rPr>
          <w:rFonts w:hint="eastAsia"/>
        </w:rPr>
        <w:t>临时生产区</w:t>
      </w:r>
      <w:r>
        <w:t>四周栽植当地乡土乔木、灌木，空闲地上撤播草籽、培养草坪。</w:t>
      </w:r>
    </w:p>
    <w:p w14:paraId="0EBD893B" w14:textId="77777777" w:rsidR="009D12AF" w:rsidRDefault="00000000">
      <w:pPr>
        <w:adjustRightInd w:val="0"/>
        <w:snapToGrid w:val="0"/>
        <w:ind w:firstLine="480"/>
      </w:pPr>
      <w:r>
        <w:rPr>
          <w:rFonts w:hint="eastAsia"/>
        </w:rPr>
        <w:t>⑤</w:t>
      </w:r>
      <w:r>
        <w:t>对施工工人采取保护措施，如佩戴口罩、面具等。</w:t>
      </w:r>
    </w:p>
    <w:p w14:paraId="18464D5D" w14:textId="77777777" w:rsidR="009D12AF" w:rsidRDefault="00000000">
      <w:pPr>
        <w:adjustRightInd w:val="0"/>
        <w:snapToGrid w:val="0"/>
        <w:ind w:firstLine="480"/>
      </w:pPr>
      <w:r>
        <w:rPr>
          <w:rFonts w:hint="eastAsia"/>
        </w:rPr>
        <w:t>⑥</w:t>
      </w:r>
      <w:r>
        <w:t>清淤工程分段进行，淤泥</w:t>
      </w:r>
      <w:r>
        <w:rPr>
          <w:rFonts w:hint="eastAsia"/>
        </w:rPr>
        <w:t>干化</w:t>
      </w:r>
      <w:r>
        <w:t>时在距离环境保护目标相对较近的区域喷洒除臭剂。</w:t>
      </w:r>
    </w:p>
    <w:p w14:paraId="5C12B3B6" w14:textId="77777777" w:rsidR="009D12AF" w:rsidRDefault="00000000">
      <w:pPr>
        <w:adjustRightInd w:val="0"/>
        <w:snapToGrid w:val="0"/>
        <w:ind w:firstLine="480"/>
      </w:pPr>
      <w:r>
        <w:rPr>
          <w:rFonts w:hint="eastAsia"/>
        </w:rPr>
        <w:t>⑦</w:t>
      </w:r>
      <w:r>
        <w:t>淤泥的堆放沿岸布置，离附近敏感目标保持一定距离，同时在其表面覆盖</w:t>
      </w:r>
      <w:r>
        <w:lastRenderedPageBreak/>
        <w:t>草坯子。</w:t>
      </w:r>
    </w:p>
    <w:p w14:paraId="54853F88" w14:textId="77777777" w:rsidR="009D12AF" w:rsidRDefault="00000000">
      <w:pPr>
        <w:adjustRightInd w:val="0"/>
        <w:snapToGrid w:val="0"/>
        <w:ind w:firstLine="480"/>
      </w:pPr>
      <w:r>
        <w:rPr>
          <w:rFonts w:hint="eastAsia"/>
        </w:rPr>
        <w:t>⑧临时生产区</w:t>
      </w:r>
      <w:r>
        <w:t>的选择远离村庄。</w:t>
      </w:r>
    </w:p>
    <w:p w14:paraId="16E32C42" w14:textId="77777777" w:rsidR="009D12AF" w:rsidRDefault="00000000">
      <w:pPr>
        <w:adjustRightInd w:val="0"/>
        <w:snapToGrid w:val="0"/>
        <w:ind w:firstLine="480"/>
      </w:pPr>
      <w:r>
        <w:rPr>
          <w:rFonts w:hint="eastAsia"/>
        </w:rPr>
        <w:t>⑨</w:t>
      </w:r>
      <w:r>
        <w:t>干化淤泥运输避开居民密集区。</w:t>
      </w:r>
    </w:p>
    <w:p w14:paraId="2425B060" w14:textId="77777777" w:rsidR="009D12AF" w:rsidRDefault="00000000">
      <w:pPr>
        <w:ind w:firstLine="480"/>
        <w:rPr>
          <w:color w:val="FF0000"/>
          <w:highlight w:val="yellow"/>
        </w:rPr>
      </w:pPr>
      <w:r>
        <w:t>根据以上分析可知，工程施工期施工作业扬尘、施工车辆及燃料废气及清理异味等会对周围产生一定影响，但这种影响是暂时的，随着工程完工，影响将不存在。本项目施工期大气环境影响采用上述减缓措施，效果显著，经济合理，简单易行，故本项目采用以上施工期大气环境影响减缓措施是可行的。</w:t>
      </w:r>
    </w:p>
    <w:p w14:paraId="54EC28E4" w14:textId="77777777" w:rsidR="009D12AF" w:rsidRDefault="00000000">
      <w:pPr>
        <w:ind w:firstLine="480"/>
      </w:pPr>
      <w:r>
        <w:t>2</w:t>
      </w:r>
      <w:r>
        <w:t>、废水</w:t>
      </w:r>
    </w:p>
    <w:p w14:paraId="02E9A0C1" w14:textId="77777777" w:rsidR="009D12AF" w:rsidRDefault="00000000">
      <w:pPr>
        <w:ind w:firstLineChars="236" w:firstLine="566"/>
      </w:pPr>
      <w:r>
        <w:t>本项目为主要为</w:t>
      </w:r>
      <w:r>
        <w:rPr>
          <w:bCs/>
        </w:rPr>
        <w:t>清淤工程、</w:t>
      </w:r>
      <w:r>
        <w:rPr>
          <w:rFonts w:hint="eastAsia"/>
        </w:rPr>
        <w:t>坝体修护</w:t>
      </w:r>
      <w:r>
        <w:rPr>
          <w:bCs/>
        </w:rPr>
        <w:t>工程及</w:t>
      </w:r>
      <w:r>
        <w:t>垃圾清运工程，对地表水水质的影响主要来自于</w:t>
      </w:r>
      <w:r>
        <w:rPr>
          <w:rFonts w:ascii="瀹嬩綋" w:eastAsia="瀹嬩綋" w:hAnsi="瀹嬩綋" w:cs="瀹嬩綋"/>
          <w:color w:val="000000"/>
          <w:kern w:val="0"/>
          <w:lang w:bidi="ar"/>
        </w:rPr>
        <w:t>本工程施工期产生的废水</w:t>
      </w:r>
      <w:r>
        <w:rPr>
          <w:rFonts w:ascii="瀹嬩綋" w:eastAsia="瀹嬩綋" w:hAnsi="瀹嬩綋" w:cs="瀹嬩綋" w:hint="eastAsia"/>
          <w:color w:val="000000"/>
          <w:kern w:val="0"/>
          <w:lang w:bidi="ar"/>
        </w:rPr>
        <w:t>，</w:t>
      </w:r>
      <w:r>
        <w:rPr>
          <w:rFonts w:ascii="瀹嬩綋" w:eastAsia="瀹嬩綋" w:hAnsi="瀹嬩綋" w:cs="瀹嬩綋"/>
          <w:color w:val="000000"/>
          <w:kern w:val="0"/>
          <w:lang w:bidi="ar"/>
        </w:rPr>
        <w:t>主要包括施工人员生活污水、施工机械设备维修冲洗废水、</w:t>
      </w:r>
      <w:r>
        <w:rPr>
          <w:rFonts w:ascii="瀹嬩綋" w:eastAsia="瀹嬩綋" w:hAnsi="瀹嬩綋" w:cs="瀹嬩綋" w:hint="eastAsia"/>
          <w:color w:val="000000"/>
          <w:kern w:val="0"/>
          <w:lang w:bidi="ar"/>
        </w:rPr>
        <w:t>挖泥船船</w:t>
      </w:r>
      <w:r>
        <w:rPr>
          <w:rFonts w:ascii="瀹嬩綋" w:eastAsia="瀹嬩綋" w:hAnsi="瀹嬩綋" w:cs="瀹嬩綋"/>
          <w:color w:val="000000"/>
          <w:kern w:val="0"/>
          <w:lang w:bidi="ar"/>
        </w:rPr>
        <w:t>底油污水、</w:t>
      </w:r>
      <w:r>
        <w:rPr>
          <w:rFonts w:hint="eastAsia"/>
        </w:rPr>
        <w:t>清淤工程临时生产区渗滤水</w:t>
      </w:r>
      <w:r>
        <w:rPr>
          <w:rFonts w:ascii="瀹嬩綋" w:eastAsia="瀹嬩綋" w:hAnsi="瀹嬩綋" w:cs="瀹嬩綋"/>
          <w:color w:val="000000"/>
          <w:kern w:val="0"/>
          <w:lang w:bidi="ar"/>
        </w:rPr>
        <w:t>等</w:t>
      </w:r>
      <w:r>
        <w:t>及</w:t>
      </w:r>
      <w:r>
        <w:rPr>
          <w:rFonts w:hint="eastAsia"/>
        </w:rPr>
        <w:t>湖库</w:t>
      </w:r>
      <w:r>
        <w:t>清淤扰动悬浮物对下游水质的影响。</w:t>
      </w:r>
    </w:p>
    <w:p w14:paraId="57C8AB22" w14:textId="77777777" w:rsidR="009D12AF" w:rsidRDefault="00000000">
      <w:pPr>
        <w:widowControl/>
        <w:ind w:firstLine="480"/>
        <w:jc w:val="left"/>
      </w:pPr>
      <w:r>
        <w:rPr>
          <w:rFonts w:hint="eastAsia"/>
        </w:rPr>
        <w:t>（</w:t>
      </w:r>
      <w:r>
        <w:rPr>
          <w:rFonts w:hint="eastAsia"/>
        </w:rPr>
        <w:t>1</w:t>
      </w:r>
      <w:r>
        <w:rPr>
          <w:rFonts w:hint="eastAsia"/>
        </w:rPr>
        <w:t>）施工人员生活污水</w:t>
      </w:r>
    </w:p>
    <w:p w14:paraId="485A18D6" w14:textId="77777777" w:rsidR="009D12AF" w:rsidRDefault="00000000">
      <w:pPr>
        <w:ind w:firstLine="480"/>
      </w:pPr>
      <w:r>
        <w:rPr>
          <w:rFonts w:ascii="Times New Roman" w:eastAsia="宋体" w:hAnsi="Times New Roman" w:cs="Times New Roman" w:hint="eastAsia"/>
        </w:rPr>
        <w:t>本项目</w:t>
      </w:r>
      <w:r>
        <w:rPr>
          <w:rFonts w:ascii="Times New Roman" w:eastAsia="宋体" w:hAnsi="Times New Roman" w:cs="Times New Roman"/>
        </w:rPr>
        <w:t>用水来源于</w:t>
      </w:r>
      <w:r>
        <w:rPr>
          <w:rFonts w:ascii="Times New Roman" w:eastAsia="宋体" w:hAnsi="Times New Roman" w:cs="Times New Roman" w:hint="eastAsia"/>
        </w:rPr>
        <w:t>附近村屯</w:t>
      </w:r>
      <w:r>
        <w:rPr>
          <w:rFonts w:ascii="Times New Roman" w:eastAsia="宋体" w:hAnsi="Times New Roman" w:cs="Times New Roman"/>
        </w:rPr>
        <w:t>自来水管网。项目员工共</w:t>
      </w:r>
      <w:r>
        <w:rPr>
          <w:rFonts w:ascii="Times New Roman" w:eastAsia="宋体" w:hAnsi="Times New Roman" w:cs="Times New Roman" w:hint="eastAsia"/>
        </w:rPr>
        <w:t>10</w:t>
      </w:r>
      <w:r>
        <w:rPr>
          <w:rFonts w:ascii="Times New Roman" w:eastAsia="宋体" w:hAnsi="Times New Roman" w:cs="Times New Roman"/>
        </w:rPr>
        <w:t>人，根据《用水定额》（黑龙江省地方标准</w:t>
      </w:r>
      <w:r>
        <w:rPr>
          <w:rFonts w:ascii="Times New Roman" w:eastAsia="宋体" w:hAnsi="Times New Roman" w:cs="Times New Roman"/>
        </w:rPr>
        <w:t>DB23/T727-2021</w:t>
      </w:r>
      <w:r>
        <w:rPr>
          <w:rFonts w:ascii="Times New Roman" w:eastAsia="宋体" w:hAnsi="Times New Roman" w:cs="Times New Roman"/>
        </w:rPr>
        <w:t>）中表</w:t>
      </w:r>
      <w:r>
        <w:rPr>
          <w:rFonts w:ascii="Times New Roman" w:eastAsia="宋体" w:hAnsi="Times New Roman" w:cs="Times New Roman"/>
        </w:rPr>
        <w:t>H.2</w:t>
      </w:r>
      <w:r>
        <w:rPr>
          <w:rFonts w:ascii="Times New Roman" w:eastAsia="宋体" w:hAnsi="Times New Roman" w:cs="Times New Roman"/>
        </w:rPr>
        <w:t>居民生活用水定额，按每人每天用水量</w:t>
      </w:r>
      <w:r>
        <w:rPr>
          <w:rFonts w:ascii="Times New Roman" w:eastAsia="宋体" w:hAnsi="Times New Roman" w:cs="Times New Roman"/>
        </w:rPr>
        <w:t>80L</w:t>
      </w:r>
      <w:r>
        <w:rPr>
          <w:rFonts w:ascii="Times New Roman" w:eastAsia="宋体" w:hAnsi="Times New Roman" w:cs="Times New Roman"/>
        </w:rPr>
        <w:t>，</w:t>
      </w:r>
      <w:r>
        <w:rPr>
          <w:rFonts w:ascii="Times New Roman" w:eastAsia="宋体" w:hAnsi="Times New Roman" w:cs="Times New Roman" w:hint="eastAsia"/>
        </w:rPr>
        <w:t>总工期</w:t>
      </w:r>
      <w:r>
        <w:rPr>
          <w:rFonts w:ascii="Times New Roman" w:eastAsia="宋体" w:hAnsi="Times New Roman" w:cs="Times New Roman"/>
        </w:rPr>
        <w:t>工作日</w:t>
      </w:r>
      <w:r>
        <w:rPr>
          <w:rFonts w:ascii="Times New Roman" w:eastAsia="宋体" w:hAnsi="Times New Roman" w:cs="Times New Roman" w:hint="eastAsia"/>
        </w:rPr>
        <w:t>1890</w:t>
      </w:r>
      <w:r>
        <w:rPr>
          <w:rFonts w:ascii="Times New Roman" w:eastAsia="宋体" w:hAnsi="Times New Roman" w:cs="Times New Roman"/>
        </w:rPr>
        <w:t>d</w:t>
      </w:r>
      <w:r>
        <w:rPr>
          <w:rFonts w:ascii="Times New Roman" w:eastAsia="宋体" w:hAnsi="Times New Roman" w:cs="Times New Roman"/>
        </w:rPr>
        <w:t>，用水量为</w:t>
      </w:r>
      <w:r>
        <w:rPr>
          <w:rFonts w:ascii="Times New Roman" w:eastAsia="宋体" w:hAnsi="Times New Roman" w:cs="Times New Roman" w:hint="eastAsia"/>
        </w:rPr>
        <w:t>0.8</w:t>
      </w:r>
      <w:r>
        <w:rPr>
          <w:rFonts w:ascii="Times New Roman" w:eastAsia="宋体" w:hAnsi="Times New Roman" w:cs="Times New Roman"/>
        </w:rPr>
        <w:t>t/d</w:t>
      </w:r>
      <w:r>
        <w:rPr>
          <w:rFonts w:ascii="Times New Roman" w:eastAsia="宋体" w:hAnsi="Times New Roman" w:cs="Times New Roman"/>
        </w:rPr>
        <w:t>、</w:t>
      </w:r>
      <w:r>
        <w:rPr>
          <w:rFonts w:ascii="Times New Roman" w:eastAsia="宋体" w:hAnsi="Times New Roman" w:cs="Times New Roman" w:hint="eastAsia"/>
        </w:rPr>
        <w:t>1512</w:t>
      </w:r>
      <w:r>
        <w:rPr>
          <w:rFonts w:ascii="Times New Roman" w:eastAsia="宋体" w:hAnsi="Times New Roman" w:cs="Times New Roman"/>
        </w:rPr>
        <w:t>t/</w:t>
      </w:r>
      <w:r>
        <w:rPr>
          <w:rFonts w:ascii="Times New Roman" w:eastAsia="宋体" w:hAnsi="Times New Roman" w:cs="Times New Roman" w:hint="eastAsia"/>
        </w:rPr>
        <w:t>总工期</w:t>
      </w:r>
      <w:r>
        <w:rPr>
          <w:rFonts w:ascii="Times New Roman" w:eastAsia="宋体" w:hAnsi="Times New Roman" w:cs="Times New Roman"/>
        </w:rPr>
        <w:t>。</w:t>
      </w:r>
      <w:r>
        <w:t>生活污水产生量按日用水量的</w:t>
      </w:r>
      <w:r>
        <w:t>80%</w:t>
      </w:r>
      <w:r>
        <w:t>计，</w:t>
      </w:r>
      <w:r>
        <w:rPr>
          <w:rFonts w:hint="eastAsia"/>
        </w:rPr>
        <w:t>则</w:t>
      </w:r>
      <w:r>
        <w:t>生活污水产生量为</w:t>
      </w:r>
      <w:r>
        <w:rPr>
          <w:rFonts w:hint="eastAsia"/>
        </w:rPr>
        <w:t>0.64</w:t>
      </w:r>
      <w:r>
        <w:t>m</w:t>
      </w:r>
      <w:r>
        <w:rPr>
          <w:vertAlign w:val="superscript"/>
        </w:rPr>
        <w:t>3</w:t>
      </w:r>
      <w:r>
        <w:t>/d</w:t>
      </w:r>
      <w:r>
        <w:rPr>
          <w:rFonts w:hint="eastAsia"/>
        </w:rPr>
        <w:t>，</w:t>
      </w:r>
      <w:r>
        <w:rPr>
          <w:rFonts w:ascii="Times New Roman" w:eastAsia="宋体" w:hAnsi="Times New Roman" w:cs="Times New Roman" w:hint="eastAsia"/>
        </w:rPr>
        <w:t>1209.6</w:t>
      </w:r>
      <w:r>
        <w:rPr>
          <w:rFonts w:ascii="Times New Roman" w:eastAsia="宋体" w:hAnsi="Times New Roman" w:cs="Times New Roman"/>
        </w:rPr>
        <w:t>t/</w:t>
      </w:r>
      <w:r>
        <w:rPr>
          <w:rFonts w:ascii="Times New Roman" w:eastAsia="宋体" w:hAnsi="Times New Roman" w:cs="Times New Roman" w:hint="eastAsia"/>
        </w:rPr>
        <w:t>总工期</w:t>
      </w:r>
      <w:r>
        <w:t>污水中主要污染物有</w:t>
      </w:r>
      <w:r>
        <w:t>COD</w:t>
      </w:r>
      <w:r>
        <w:t>、</w:t>
      </w:r>
      <w:r>
        <w:t>SS</w:t>
      </w:r>
      <w:r>
        <w:t>、</w:t>
      </w:r>
      <w:r>
        <w:t>NH</w:t>
      </w:r>
      <w:r>
        <w:rPr>
          <w:vertAlign w:val="subscript"/>
        </w:rPr>
        <w:t>3</w:t>
      </w:r>
      <w:r>
        <w:t>-N</w:t>
      </w:r>
      <w:r>
        <w:t>等，其浓度一般为</w:t>
      </w:r>
      <w:r>
        <w:t>300mg/L</w:t>
      </w:r>
      <w:r>
        <w:t>、</w:t>
      </w:r>
      <w:r>
        <w:t>200mg/L</w:t>
      </w:r>
      <w:r>
        <w:t>、</w:t>
      </w:r>
      <w:r>
        <w:t>25mg/L</w:t>
      </w:r>
      <w:r>
        <w:t>。生活污水排入移动卫生厕所，定期清掏，外运堆肥。</w:t>
      </w:r>
    </w:p>
    <w:p w14:paraId="4377A049" w14:textId="77777777" w:rsidR="009D12AF" w:rsidRDefault="00000000">
      <w:pPr>
        <w:ind w:firstLine="480"/>
      </w:pPr>
      <w:r>
        <w:rPr>
          <w:rFonts w:hint="eastAsia"/>
        </w:rPr>
        <w:t>（</w:t>
      </w:r>
      <w:r>
        <w:rPr>
          <w:rFonts w:hint="eastAsia"/>
        </w:rPr>
        <w:t>2</w:t>
      </w:r>
      <w:r>
        <w:rPr>
          <w:rFonts w:hint="eastAsia"/>
        </w:rPr>
        <w:t>）清淤工程临时生产区渗滤水</w:t>
      </w:r>
    </w:p>
    <w:p w14:paraId="5F4CE27D" w14:textId="77777777" w:rsidR="009D12AF" w:rsidRDefault="00000000">
      <w:pPr>
        <w:pStyle w:val="w"/>
        <w:ind w:firstLine="480"/>
        <w:rPr>
          <w:smallCaps w:val="0"/>
        </w:rPr>
      </w:pPr>
      <w:r>
        <w:rPr>
          <w:smallCaps w:val="0"/>
        </w:rPr>
        <w:t>清淤</w:t>
      </w:r>
      <w:r>
        <w:t>工程</w:t>
      </w:r>
      <w:r>
        <w:rPr>
          <w:smallCaps w:val="0"/>
        </w:rPr>
        <w:t>淤泥</w:t>
      </w:r>
      <w:r>
        <w:rPr>
          <w:rFonts w:hint="eastAsia"/>
          <w:smallCaps w:val="0"/>
        </w:rPr>
        <w:t>总</w:t>
      </w:r>
      <w:r>
        <w:rPr>
          <w:smallCaps w:val="0"/>
        </w:rPr>
        <w:t>产生量为</w:t>
      </w:r>
      <w:r>
        <w:rPr>
          <w:rFonts w:hint="eastAsia"/>
          <w:smallCaps w:val="0"/>
        </w:rPr>
        <w:t>600</w:t>
      </w:r>
      <w:r>
        <w:rPr>
          <w:smallCaps w:val="0"/>
        </w:rPr>
        <w:t>万</w:t>
      </w:r>
      <w:r>
        <w:rPr>
          <w:smallCaps w:val="0"/>
        </w:rPr>
        <w:t>m</w:t>
      </w:r>
      <w:r>
        <w:rPr>
          <w:smallCaps w:val="0"/>
          <w:vertAlign w:val="superscript"/>
        </w:rPr>
        <w:t>3</w:t>
      </w:r>
      <w:r>
        <w:rPr>
          <w:rFonts w:hint="eastAsia"/>
          <w:smallCaps w:val="0"/>
        </w:rPr>
        <w:t>（</w:t>
      </w:r>
      <w:r>
        <w:rPr>
          <w:rFonts w:hint="eastAsia"/>
        </w:rPr>
        <w:t>群力水库清淤量</w:t>
      </w:r>
      <w:r>
        <w:rPr>
          <w:rFonts w:hint="eastAsia"/>
        </w:rPr>
        <w:t xml:space="preserve"> 445</w:t>
      </w:r>
      <w:r>
        <w:rPr>
          <w:rFonts w:hint="eastAsia"/>
        </w:rPr>
        <w:t>万</w:t>
      </w:r>
      <w:r>
        <w:rPr>
          <w:smallCaps w:val="0"/>
        </w:rPr>
        <w:t>m</w:t>
      </w:r>
      <w:r>
        <w:rPr>
          <w:smallCaps w:val="0"/>
          <w:vertAlign w:val="superscript"/>
        </w:rPr>
        <w:t>3</w:t>
      </w:r>
      <w:r>
        <w:rPr>
          <w:rFonts w:hint="eastAsia"/>
        </w:rPr>
        <w:t>；长石水库清淤量</w:t>
      </w:r>
      <w:r>
        <w:rPr>
          <w:rFonts w:hint="eastAsia"/>
        </w:rPr>
        <w:t xml:space="preserve"> 20 </w:t>
      </w:r>
      <w:r>
        <w:rPr>
          <w:rFonts w:hint="eastAsia"/>
        </w:rPr>
        <w:t>万</w:t>
      </w:r>
      <w:r>
        <w:rPr>
          <w:smallCaps w:val="0"/>
        </w:rPr>
        <w:t>m</w:t>
      </w:r>
      <w:r>
        <w:rPr>
          <w:smallCaps w:val="0"/>
          <w:vertAlign w:val="superscript"/>
        </w:rPr>
        <w:t>3</w:t>
      </w:r>
      <w:r>
        <w:rPr>
          <w:rFonts w:hint="eastAsia"/>
        </w:rPr>
        <w:t>；向阳水电站前池清淤量</w:t>
      </w:r>
      <w:r>
        <w:rPr>
          <w:rFonts w:hint="eastAsia"/>
        </w:rPr>
        <w:t xml:space="preserve">36 </w:t>
      </w:r>
      <w:r>
        <w:rPr>
          <w:rFonts w:hint="eastAsia"/>
        </w:rPr>
        <w:t>万</w:t>
      </w:r>
      <w:r>
        <w:rPr>
          <w:rFonts w:hint="eastAsia"/>
        </w:rPr>
        <w:t xml:space="preserve"> </w:t>
      </w:r>
      <w:r>
        <w:rPr>
          <w:smallCaps w:val="0"/>
        </w:rPr>
        <w:t>m</w:t>
      </w:r>
      <w:r>
        <w:rPr>
          <w:smallCaps w:val="0"/>
          <w:vertAlign w:val="superscript"/>
        </w:rPr>
        <w:t>3</w:t>
      </w:r>
      <w:r>
        <w:rPr>
          <w:rFonts w:hint="eastAsia"/>
        </w:rPr>
        <w:t>；新安晒水池清淤量</w:t>
      </w:r>
      <w:r>
        <w:rPr>
          <w:rFonts w:hint="eastAsia"/>
        </w:rPr>
        <w:t xml:space="preserve"> 24 </w:t>
      </w:r>
      <w:r>
        <w:rPr>
          <w:rFonts w:hint="eastAsia"/>
        </w:rPr>
        <w:t>万</w:t>
      </w:r>
      <w:r>
        <w:rPr>
          <w:smallCaps w:val="0"/>
        </w:rPr>
        <w:t>m</w:t>
      </w:r>
      <w:r>
        <w:rPr>
          <w:smallCaps w:val="0"/>
          <w:vertAlign w:val="superscript"/>
        </w:rPr>
        <w:t>3</w:t>
      </w:r>
      <w:r>
        <w:rPr>
          <w:rFonts w:hint="eastAsia"/>
        </w:rPr>
        <w:t>；万丈水库清淤量</w:t>
      </w:r>
      <w:r>
        <w:rPr>
          <w:rFonts w:hint="eastAsia"/>
        </w:rPr>
        <w:t xml:space="preserve"> 75 </w:t>
      </w:r>
      <w:r>
        <w:rPr>
          <w:rFonts w:hint="eastAsia"/>
        </w:rPr>
        <w:t>万</w:t>
      </w:r>
      <w:r>
        <w:rPr>
          <w:smallCaps w:val="0"/>
        </w:rPr>
        <w:t>m</w:t>
      </w:r>
      <w:r>
        <w:rPr>
          <w:smallCaps w:val="0"/>
          <w:vertAlign w:val="superscript"/>
        </w:rPr>
        <w:t>3</w:t>
      </w:r>
      <w:r>
        <w:rPr>
          <w:rFonts w:hint="eastAsia"/>
          <w:smallCaps w:val="0"/>
        </w:rPr>
        <w:t>，</w:t>
      </w:r>
      <w:r>
        <w:rPr>
          <w:rFonts w:hint="eastAsia"/>
        </w:rPr>
        <w:t>群力水库施工工期为</w:t>
      </w:r>
      <w:r>
        <w:rPr>
          <w:rFonts w:hint="eastAsia"/>
        </w:rPr>
        <w:t>2</w:t>
      </w:r>
      <w:r>
        <w:rPr>
          <w:rFonts w:hint="eastAsia"/>
        </w:rPr>
        <w:t>年，长石水库、万丈水库、向阳水电站前池施工工期为均为</w:t>
      </w:r>
      <w:r>
        <w:rPr>
          <w:rFonts w:hint="eastAsia"/>
        </w:rPr>
        <w:t>1</w:t>
      </w:r>
      <w:r>
        <w:rPr>
          <w:rFonts w:hint="eastAsia"/>
        </w:rPr>
        <w:t>年，新安晒水池施工工期为</w:t>
      </w:r>
      <w:r>
        <w:rPr>
          <w:rFonts w:hint="eastAsia"/>
        </w:rPr>
        <w:t>2</w:t>
      </w:r>
      <w:r>
        <w:rPr>
          <w:rFonts w:hint="eastAsia"/>
        </w:rPr>
        <w:t>年</w:t>
      </w:r>
      <w:r>
        <w:rPr>
          <w:rFonts w:hint="eastAsia"/>
          <w:smallCaps w:val="0"/>
        </w:rPr>
        <w:t>）</w:t>
      </w:r>
      <w:r>
        <w:rPr>
          <w:smallCaps w:val="0"/>
        </w:rPr>
        <w:t>，淤泥</w:t>
      </w:r>
      <w:r>
        <w:rPr>
          <w:szCs w:val="24"/>
        </w:rPr>
        <w:t>含水率约</w:t>
      </w:r>
      <w:r>
        <w:rPr>
          <w:szCs w:val="24"/>
        </w:rPr>
        <w:t>90%</w:t>
      </w:r>
      <w:r>
        <w:rPr>
          <w:szCs w:val="24"/>
        </w:rPr>
        <w:t>，</w:t>
      </w:r>
      <w:r>
        <w:rPr>
          <w:smallCaps w:val="0"/>
        </w:rPr>
        <w:t>淤泥</w:t>
      </w:r>
      <w:r>
        <w:rPr>
          <w:rFonts w:hint="eastAsia"/>
          <w:smallCaps w:val="0"/>
        </w:rPr>
        <w:t>输送采用管道输送至就近集中晾晒地点的</w:t>
      </w:r>
      <w:r>
        <w:rPr>
          <w:rFonts w:hint="eastAsia"/>
          <w:smallCaps w:val="0"/>
        </w:rPr>
        <w:t>5</w:t>
      </w:r>
      <w:r>
        <w:rPr>
          <w:rFonts w:hint="eastAsia"/>
          <w:smallCaps w:val="0"/>
        </w:rPr>
        <w:t>个临时生产区，进行晾晒</w:t>
      </w:r>
      <w:r>
        <w:rPr>
          <w:rFonts w:hint="eastAsia"/>
          <w:snapToGrid w:val="0"/>
        </w:rPr>
        <w:t>风干</w:t>
      </w:r>
      <w:r>
        <w:rPr>
          <w:rFonts w:hint="eastAsia"/>
          <w:smallCaps w:val="0"/>
        </w:rPr>
        <w:t>脱水</w:t>
      </w:r>
      <w:r>
        <w:rPr>
          <w:rFonts w:hint="eastAsia"/>
          <w:snapToGrid w:val="0"/>
        </w:rPr>
        <w:t>后</w:t>
      </w:r>
      <w:r>
        <w:rPr>
          <w:szCs w:val="24"/>
        </w:rPr>
        <w:t>，含水率降至</w:t>
      </w:r>
      <w:r>
        <w:rPr>
          <w:szCs w:val="24"/>
        </w:rPr>
        <w:t>60%</w:t>
      </w:r>
      <w:r>
        <w:rPr>
          <w:rFonts w:hint="eastAsia"/>
          <w:szCs w:val="24"/>
        </w:rPr>
        <w:t>及</w:t>
      </w:r>
      <w:r>
        <w:rPr>
          <w:szCs w:val="24"/>
        </w:rPr>
        <w:t>以下，</w:t>
      </w:r>
      <w:r>
        <w:t>用于</w:t>
      </w:r>
      <w:r>
        <w:rPr>
          <w:rFonts w:hint="eastAsia"/>
        </w:rPr>
        <w:t>制作有机肥。</w:t>
      </w:r>
    </w:p>
    <w:p w14:paraId="2399CAAD" w14:textId="77777777" w:rsidR="009D12AF" w:rsidRDefault="00000000">
      <w:pPr>
        <w:pStyle w:val="w"/>
        <w:ind w:firstLine="480"/>
        <w:rPr>
          <w:smallCaps w:val="0"/>
        </w:rPr>
      </w:pPr>
      <w:r>
        <w:rPr>
          <w:rFonts w:hint="eastAsia"/>
          <w:smallCaps w:val="0"/>
        </w:rPr>
        <w:t>参照《康平县水系连通及水美乡村建设项目二标段环境影响报告书》中关于黑龙江隆嘉环境检测有限公司</w:t>
      </w:r>
      <w:r>
        <w:rPr>
          <w:rFonts w:hint="eastAsia"/>
          <w:smallCaps w:val="0"/>
        </w:rPr>
        <w:t>2022</w:t>
      </w:r>
      <w:r>
        <w:rPr>
          <w:rFonts w:hint="eastAsia"/>
          <w:smallCaps w:val="0"/>
        </w:rPr>
        <w:t>年</w:t>
      </w:r>
      <w:r>
        <w:rPr>
          <w:rFonts w:hint="eastAsia"/>
          <w:smallCaps w:val="0"/>
        </w:rPr>
        <w:t>1</w:t>
      </w:r>
      <w:r>
        <w:rPr>
          <w:rFonts w:hint="eastAsia"/>
          <w:smallCaps w:val="0"/>
        </w:rPr>
        <w:t>月</w:t>
      </w:r>
      <w:r>
        <w:rPr>
          <w:rFonts w:hint="eastAsia"/>
          <w:smallCaps w:val="0"/>
        </w:rPr>
        <w:t>4</w:t>
      </w:r>
      <w:r>
        <w:rPr>
          <w:rFonts w:hint="eastAsia"/>
          <w:smallCaps w:val="0"/>
        </w:rPr>
        <w:t>日土壤采样含水量检测结果（土壤</w:t>
      </w:r>
      <w:r>
        <w:rPr>
          <w:rFonts w:hint="eastAsia"/>
          <w:smallCaps w:val="0"/>
        </w:rPr>
        <w:lastRenderedPageBreak/>
        <w:t>检测需实验室环境无风条件阴干至检测需求含水量，不允许加热烘干），样品含水率在</w:t>
      </w:r>
      <w:r>
        <w:rPr>
          <w:rFonts w:hint="eastAsia"/>
          <w:smallCaps w:val="0"/>
        </w:rPr>
        <w:t>85-90%</w:t>
      </w:r>
      <w:r>
        <w:rPr>
          <w:rFonts w:hint="eastAsia"/>
          <w:smallCaps w:val="0"/>
        </w:rPr>
        <w:t>之间，阴干至土壤含水率</w:t>
      </w:r>
      <w:r>
        <w:rPr>
          <w:rFonts w:hint="eastAsia"/>
          <w:smallCaps w:val="0"/>
        </w:rPr>
        <w:t>25-35%</w:t>
      </w:r>
      <w:r>
        <w:rPr>
          <w:rFonts w:hint="eastAsia"/>
          <w:smallCaps w:val="0"/>
        </w:rPr>
        <w:t>需</w:t>
      </w:r>
      <w:r>
        <w:rPr>
          <w:rFonts w:hint="eastAsia"/>
          <w:smallCaps w:val="0"/>
        </w:rPr>
        <w:t>2-3</w:t>
      </w:r>
      <w:r>
        <w:rPr>
          <w:rFonts w:hint="eastAsia"/>
          <w:smallCaps w:val="0"/>
        </w:rPr>
        <w:t>天。项目区晾晒淤泥条件要好于实验室（风干、日晒），所需时间按实验室不利条件计算为</w:t>
      </w:r>
      <w:r>
        <w:rPr>
          <w:rFonts w:hint="eastAsia"/>
          <w:smallCaps w:val="0"/>
        </w:rPr>
        <w:t>3</w:t>
      </w:r>
      <w:r>
        <w:rPr>
          <w:rFonts w:hint="eastAsia"/>
          <w:smallCaps w:val="0"/>
        </w:rPr>
        <w:t>天。</w:t>
      </w:r>
    </w:p>
    <w:p w14:paraId="5E010C96" w14:textId="77777777" w:rsidR="009D12AF" w:rsidRDefault="00000000">
      <w:pPr>
        <w:pStyle w:val="w"/>
        <w:ind w:firstLine="480"/>
      </w:pPr>
      <w:r>
        <w:rPr>
          <w:rFonts w:hint="eastAsia"/>
          <w:smallCaps w:val="0"/>
        </w:rPr>
        <w:t>淤泥晾晒风干过程中会产生少量</w:t>
      </w:r>
      <w:r>
        <w:rPr>
          <w:rFonts w:ascii="宋体" w:hAnsi="宋体"/>
          <w:smallCaps w:val="0"/>
          <w:szCs w:val="24"/>
        </w:rPr>
        <w:t>渗滤水</w:t>
      </w:r>
      <w:r>
        <w:rPr>
          <w:rFonts w:hint="eastAsia"/>
          <w:smallCaps w:val="0"/>
        </w:rPr>
        <w:t>，</w:t>
      </w:r>
      <w:r>
        <w:rPr>
          <w:rFonts w:ascii="宋体" w:hAnsi="宋体"/>
          <w:smallCaps w:val="0"/>
          <w:szCs w:val="24"/>
        </w:rPr>
        <w:t>渗滤水</w:t>
      </w:r>
      <w:r>
        <w:rPr>
          <w:smallCaps w:val="0"/>
        </w:rPr>
        <w:t>产生量按淤泥量的</w:t>
      </w:r>
      <w:r>
        <w:rPr>
          <w:smallCaps w:val="0"/>
        </w:rPr>
        <w:t>5%</w:t>
      </w:r>
      <w:r>
        <w:rPr>
          <w:smallCaps w:val="0"/>
        </w:rPr>
        <w:t>估算，</w:t>
      </w:r>
      <w:r>
        <w:rPr>
          <w:rFonts w:ascii="宋体" w:hAnsi="宋体"/>
          <w:smallCaps w:val="0"/>
          <w:szCs w:val="24"/>
        </w:rPr>
        <w:t>约为</w:t>
      </w:r>
      <w:r>
        <w:rPr>
          <w:rFonts w:ascii="TimesNewRomanPSMT" w:hAnsi="TimesNewRomanPSMT" w:hint="eastAsia"/>
          <w:smallCaps w:val="0"/>
          <w:szCs w:val="24"/>
        </w:rPr>
        <w:t>30</w:t>
      </w:r>
      <w:r>
        <w:rPr>
          <w:rFonts w:ascii="TimesNewRomanPSMT" w:hAnsi="TimesNewRomanPSMT" w:hint="eastAsia"/>
          <w:smallCaps w:val="0"/>
          <w:szCs w:val="24"/>
        </w:rPr>
        <w:t>万</w:t>
      </w:r>
      <w:r>
        <w:rPr>
          <w:smallCaps w:val="0"/>
        </w:rPr>
        <w:t>m</w:t>
      </w:r>
      <w:r>
        <w:rPr>
          <w:smallCaps w:val="0"/>
          <w:vertAlign w:val="superscript"/>
        </w:rPr>
        <w:t>3</w:t>
      </w:r>
      <w:r>
        <w:rPr>
          <w:rFonts w:hint="eastAsia"/>
          <w:smallCaps w:val="0"/>
        </w:rPr>
        <w:t>（群力水库渗滤水产生量为</w:t>
      </w:r>
      <w:r>
        <w:rPr>
          <w:rFonts w:hint="eastAsia"/>
          <w:smallCaps w:val="0"/>
        </w:rPr>
        <w:t>22.25</w:t>
      </w:r>
      <w:r>
        <w:rPr>
          <w:rFonts w:ascii="TimesNewRomanPSMT" w:hAnsi="TimesNewRomanPSMT" w:hint="eastAsia"/>
          <w:smallCaps w:val="0"/>
          <w:szCs w:val="24"/>
        </w:rPr>
        <w:t>万</w:t>
      </w:r>
      <w:r>
        <w:rPr>
          <w:smallCaps w:val="0"/>
        </w:rPr>
        <w:t>m</w:t>
      </w:r>
      <w:r>
        <w:rPr>
          <w:smallCaps w:val="0"/>
          <w:vertAlign w:val="superscript"/>
        </w:rPr>
        <w:t>3</w:t>
      </w:r>
      <w:r>
        <w:rPr>
          <w:rFonts w:hint="eastAsia"/>
          <w:smallCaps w:val="0"/>
        </w:rPr>
        <w:t>/</w:t>
      </w:r>
      <w:r>
        <w:rPr>
          <w:rFonts w:hint="eastAsia"/>
          <w:smallCaps w:val="0"/>
        </w:rPr>
        <w:t>总工期，</w:t>
      </w:r>
      <w:r>
        <w:rPr>
          <w:rFonts w:hint="eastAsia"/>
          <w:smallCaps w:val="0"/>
        </w:rPr>
        <w:t>412.037</w:t>
      </w:r>
      <w:r>
        <w:rPr>
          <w:smallCaps w:val="0"/>
        </w:rPr>
        <w:t>m</w:t>
      </w:r>
      <w:r>
        <w:rPr>
          <w:smallCaps w:val="0"/>
          <w:vertAlign w:val="superscript"/>
        </w:rPr>
        <w:t>3</w:t>
      </w:r>
      <w:r>
        <w:rPr>
          <w:rFonts w:hint="eastAsia"/>
          <w:smallCaps w:val="0"/>
        </w:rPr>
        <w:t>/d</w:t>
      </w:r>
      <w:r>
        <w:rPr>
          <w:rFonts w:hint="eastAsia"/>
          <w:smallCaps w:val="0"/>
        </w:rPr>
        <w:t>；万丈水库渗滤水产生量为</w:t>
      </w:r>
      <w:r>
        <w:rPr>
          <w:rFonts w:hint="eastAsia"/>
          <w:smallCaps w:val="0"/>
        </w:rPr>
        <w:t>3.75</w:t>
      </w:r>
      <w:r>
        <w:rPr>
          <w:rFonts w:ascii="TimesNewRomanPSMT" w:hAnsi="TimesNewRomanPSMT" w:hint="eastAsia"/>
          <w:smallCaps w:val="0"/>
          <w:szCs w:val="24"/>
        </w:rPr>
        <w:t>万</w:t>
      </w:r>
      <w:r>
        <w:rPr>
          <w:smallCaps w:val="0"/>
        </w:rPr>
        <w:t>m</w:t>
      </w:r>
      <w:r>
        <w:rPr>
          <w:smallCaps w:val="0"/>
          <w:vertAlign w:val="superscript"/>
        </w:rPr>
        <w:t>3</w:t>
      </w:r>
      <w:r>
        <w:rPr>
          <w:rFonts w:hint="eastAsia"/>
          <w:smallCaps w:val="0"/>
        </w:rPr>
        <w:t>/</w:t>
      </w:r>
      <w:r>
        <w:rPr>
          <w:rFonts w:hint="eastAsia"/>
          <w:smallCaps w:val="0"/>
        </w:rPr>
        <w:t>总工期，</w:t>
      </w:r>
      <w:r>
        <w:rPr>
          <w:rFonts w:hint="eastAsia"/>
          <w:smallCaps w:val="0"/>
        </w:rPr>
        <w:t>69.4</w:t>
      </w:r>
      <w:r>
        <w:rPr>
          <w:smallCaps w:val="0"/>
        </w:rPr>
        <w:t>m</w:t>
      </w:r>
      <w:r>
        <w:rPr>
          <w:smallCaps w:val="0"/>
          <w:vertAlign w:val="superscript"/>
        </w:rPr>
        <w:t>3</w:t>
      </w:r>
      <w:r>
        <w:rPr>
          <w:rFonts w:hint="eastAsia"/>
          <w:smallCaps w:val="0"/>
        </w:rPr>
        <w:t>/d</w:t>
      </w:r>
      <w:r>
        <w:rPr>
          <w:rFonts w:hint="eastAsia"/>
          <w:smallCaps w:val="0"/>
        </w:rPr>
        <w:t>；长石水库渗滤水产生量为</w:t>
      </w:r>
      <w:r>
        <w:rPr>
          <w:rFonts w:hint="eastAsia"/>
          <w:smallCaps w:val="0"/>
        </w:rPr>
        <w:t>1</w:t>
      </w:r>
      <w:r>
        <w:rPr>
          <w:rFonts w:ascii="TimesNewRomanPSMT" w:hAnsi="TimesNewRomanPSMT" w:hint="eastAsia"/>
          <w:smallCaps w:val="0"/>
          <w:szCs w:val="24"/>
        </w:rPr>
        <w:t>万</w:t>
      </w:r>
      <w:r>
        <w:rPr>
          <w:smallCaps w:val="0"/>
        </w:rPr>
        <w:t>m</w:t>
      </w:r>
      <w:r>
        <w:rPr>
          <w:smallCaps w:val="0"/>
          <w:vertAlign w:val="superscript"/>
        </w:rPr>
        <w:t>3</w:t>
      </w:r>
      <w:r>
        <w:rPr>
          <w:rFonts w:hint="eastAsia"/>
          <w:smallCaps w:val="0"/>
        </w:rPr>
        <w:t>/</w:t>
      </w:r>
      <w:r>
        <w:rPr>
          <w:rFonts w:hint="eastAsia"/>
          <w:smallCaps w:val="0"/>
        </w:rPr>
        <w:t>总工期，</w:t>
      </w:r>
      <w:r>
        <w:rPr>
          <w:rFonts w:hint="eastAsia"/>
          <w:smallCaps w:val="0"/>
        </w:rPr>
        <w:t>37</w:t>
      </w:r>
      <w:r>
        <w:rPr>
          <w:smallCaps w:val="0"/>
        </w:rPr>
        <w:t>m</w:t>
      </w:r>
      <w:r>
        <w:rPr>
          <w:smallCaps w:val="0"/>
          <w:vertAlign w:val="superscript"/>
        </w:rPr>
        <w:t>3</w:t>
      </w:r>
      <w:r>
        <w:rPr>
          <w:rFonts w:hint="eastAsia"/>
          <w:smallCaps w:val="0"/>
        </w:rPr>
        <w:t>/d</w:t>
      </w:r>
      <w:r>
        <w:rPr>
          <w:rFonts w:hint="eastAsia"/>
          <w:smallCaps w:val="0"/>
        </w:rPr>
        <w:t>；新安晒水池渗滤水产生量为</w:t>
      </w:r>
      <w:r>
        <w:rPr>
          <w:rFonts w:hint="eastAsia"/>
          <w:smallCaps w:val="0"/>
        </w:rPr>
        <w:t>1.2</w:t>
      </w:r>
      <w:r>
        <w:rPr>
          <w:rFonts w:ascii="TimesNewRomanPSMT" w:hAnsi="TimesNewRomanPSMT" w:hint="eastAsia"/>
          <w:smallCaps w:val="0"/>
          <w:szCs w:val="24"/>
        </w:rPr>
        <w:t>万</w:t>
      </w:r>
      <w:r>
        <w:rPr>
          <w:smallCaps w:val="0"/>
        </w:rPr>
        <w:t>m</w:t>
      </w:r>
      <w:r>
        <w:rPr>
          <w:smallCaps w:val="0"/>
          <w:vertAlign w:val="superscript"/>
        </w:rPr>
        <w:t>3</w:t>
      </w:r>
      <w:r>
        <w:rPr>
          <w:rFonts w:hint="eastAsia"/>
          <w:smallCaps w:val="0"/>
        </w:rPr>
        <w:t>/</w:t>
      </w:r>
      <w:r>
        <w:rPr>
          <w:rFonts w:hint="eastAsia"/>
          <w:smallCaps w:val="0"/>
        </w:rPr>
        <w:t>总工期，</w:t>
      </w:r>
      <w:r>
        <w:rPr>
          <w:rFonts w:hint="eastAsia"/>
          <w:smallCaps w:val="0"/>
        </w:rPr>
        <w:t>44.4</w:t>
      </w:r>
      <w:r>
        <w:rPr>
          <w:smallCaps w:val="0"/>
        </w:rPr>
        <w:t>m</w:t>
      </w:r>
      <w:r>
        <w:rPr>
          <w:smallCaps w:val="0"/>
          <w:vertAlign w:val="superscript"/>
        </w:rPr>
        <w:t>3</w:t>
      </w:r>
      <w:r>
        <w:rPr>
          <w:rFonts w:hint="eastAsia"/>
          <w:smallCaps w:val="0"/>
        </w:rPr>
        <w:t>/d</w:t>
      </w:r>
      <w:r>
        <w:rPr>
          <w:rFonts w:hint="eastAsia"/>
          <w:smallCaps w:val="0"/>
        </w:rPr>
        <w:t>；向阳水电站前池渗滤水产生量为</w:t>
      </w:r>
      <w:r>
        <w:rPr>
          <w:rFonts w:hint="eastAsia"/>
          <w:smallCaps w:val="0"/>
        </w:rPr>
        <w:t>1.8</w:t>
      </w:r>
      <w:r>
        <w:rPr>
          <w:rFonts w:ascii="TimesNewRomanPSMT" w:hAnsi="TimesNewRomanPSMT" w:hint="eastAsia"/>
          <w:smallCaps w:val="0"/>
          <w:szCs w:val="24"/>
        </w:rPr>
        <w:t>万</w:t>
      </w:r>
      <w:r>
        <w:rPr>
          <w:smallCaps w:val="0"/>
        </w:rPr>
        <w:t>m</w:t>
      </w:r>
      <w:r>
        <w:rPr>
          <w:smallCaps w:val="0"/>
          <w:vertAlign w:val="superscript"/>
        </w:rPr>
        <w:t>3</w:t>
      </w:r>
      <w:r>
        <w:rPr>
          <w:rFonts w:hint="eastAsia"/>
          <w:smallCaps w:val="0"/>
        </w:rPr>
        <w:t>/</w:t>
      </w:r>
      <w:r>
        <w:rPr>
          <w:rFonts w:hint="eastAsia"/>
          <w:smallCaps w:val="0"/>
        </w:rPr>
        <w:t>总工期，</w:t>
      </w:r>
      <w:r>
        <w:rPr>
          <w:rFonts w:hint="eastAsia"/>
          <w:smallCaps w:val="0"/>
        </w:rPr>
        <w:t>66.6</w:t>
      </w:r>
      <w:r>
        <w:rPr>
          <w:smallCaps w:val="0"/>
        </w:rPr>
        <w:t>m</w:t>
      </w:r>
      <w:r>
        <w:rPr>
          <w:smallCaps w:val="0"/>
          <w:vertAlign w:val="superscript"/>
        </w:rPr>
        <w:t>3</w:t>
      </w:r>
      <w:r>
        <w:rPr>
          <w:rFonts w:hint="eastAsia"/>
          <w:smallCaps w:val="0"/>
        </w:rPr>
        <w:t>/d</w:t>
      </w:r>
      <w:r>
        <w:rPr>
          <w:rFonts w:hint="eastAsia"/>
          <w:smallCaps w:val="0"/>
        </w:rPr>
        <w:t>）</w:t>
      </w:r>
      <w:r>
        <w:rPr>
          <w:rFonts w:ascii="宋体" w:hAnsi="宋体"/>
          <w:smallCaps w:val="0"/>
          <w:szCs w:val="24"/>
        </w:rPr>
        <w:t>，</w:t>
      </w:r>
      <w:r>
        <w:rPr>
          <w:smallCaps w:val="0"/>
        </w:rPr>
        <w:t>淤泥</w:t>
      </w:r>
      <w:r>
        <w:rPr>
          <w:rFonts w:ascii="宋体" w:hAnsi="宋体"/>
          <w:smallCaps w:val="0"/>
          <w:szCs w:val="24"/>
        </w:rPr>
        <w:t>渗滤水</w:t>
      </w:r>
      <w:r>
        <w:rPr>
          <w:smallCaps w:val="0"/>
        </w:rPr>
        <w:t>一般含有浓度较高的</w:t>
      </w:r>
      <w:r>
        <w:rPr>
          <w:smallCaps w:val="0"/>
        </w:rPr>
        <w:t>SS</w:t>
      </w:r>
      <w:r>
        <w:rPr>
          <w:smallCaps w:val="0"/>
        </w:rPr>
        <w:t>（浓度在</w:t>
      </w:r>
      <w:r>
        <w:rPr>
          <w:smallCaps w:val="0"/>
        </w:rPr>
        <w:t>1500~2000mg/L</w:t>
      </w:r>
      <w:r>
        <w:rPr>
          <w:smallCaps w:val="0"/>
        </w:rPr>
        <w:t>）以及淤泥中释放出来的</w:t>
      </w:r>
      <w:r>
        <w:rPr>
          <w:smallCaps w:val="0"/>
        </w:rPr>
        <w:t>TP</w:t>
      </w:r>
      <w:r>
        <w:rPr>
          <w:smallCaps w:val="0"/>
        </w:rPr>
        <w:t>、</w:t>
      </w:r>
      <w:r>
        <w:rPr>
          <w:smallCaps w:val="0"/>
        </w:rPr>
        <w:t>TN</w:t>
      </w:r>
      <w:r>
        <w:rPr>
          <w:smallCaps w:val="0"/>
        </w:rPr>
        <w:t>等，淤泥</w:t>
      </w:r>
      <w:r>
        <w:rPr>
          <w:rFonts w:ascii="宋体" w:hAnsi="宋体"/>
          <w:smallCaps w:val="0"/>
          <w:szCs w:val="24"/>
        </w:rPr>
        <w:t>渗滤水</w:t>
      </w:r>
      <w:r>
        <w:rPr>
          <w:smallCaps w:val="0"/>
        </w:rPr>
        <w:t>经</w:t>
      </w:r>
      <w:r>
        <w:rPr>
          <w:rFonts w:hint="eastAsia"/>
          <w:smallCaps w:val="0"/>
        </w:rPr>
        <w:t>临时生产区</w:t>
      </w:r>
      <w:r>
        <w:rPr>
          <w:smallCaps w:val="0"/>
        </w:rPr>
        <w:t>周边的</w:t>
      </w:r>
      <w:r>
        <w:rPr>
          <w:rFonts w:hint="eastAsia"/>
          <w:smallCaps w:val="0"/>
        </w:rPr>
        <w:t>导水渠</w:t>
      </w:r>
      <w:r>
        <w:rPr>
          <w:smallCaps w:val="0"/>
        </w:rPr>
        <w:t>排入</w:t>
      </w:r>
      <w:r>
        <w:rPr>
          <w:rFonts w:hint="eastAsia"/>
          <w:smallCaps w:val="0"/>
        </w:rPr>
        <w:t>澄清余水收集池</w:t>
      </w:r>
      <w:r>
        <w:rPr>
          <w:rFonts w:hint="eastAsia"/>
        </w:rPr>
        <w:t>。</w:t>
      </w:r>
      <w:r>
        <w:t>根据《太湖生态清淤关键技术及效果研究》（南京大学研究生毕业论文），临时</w:t>
      </w:r>
      <w:r>
        <w:rPr>
          <w:rFonts w:hint="eastAsia"/>
        </w:rPr>
        <w:t>生产区</w:t>
      </w:r>
      <w:r>
        <w:t>采用沉淀处理后出口</w:t>
      </w:r>
      <w:r>
        <w:t xml:space="preserve"> SS </w:t>
      </w:r>
      <w:r>
        <w:t>浓度最低监测值为</w:t>
      </w:r>
      <w:r>
        <w:t xml:space="preserve"> 734</w:t>
      </w:r>
      <w:r>
        <w:rPr>
          <w:smallCaps w:val="0"/>
        </w:rPr>
        <w:t>mg/L</w:t>
      </w:r>
      <w:r>
        <w:t>，无法达到排放标准。因此本工程沉淀池也需要加絮凝剂处理达标后排放。根据《太湖生态清淤关键技术及效果研究》，加药剂沉淀处理后，出水口</w:t>
      </w:r>
      <w:r>
        <w:t xml:space="preserve"> SS </w:t>
      </w:r>
      <w:r>
        <w:t>平均值约为</w:t>
      </w:r>
      <w:r>
        <w:t xml:space="preserve"> 40</w:t>
      </w:r>
      <w:r>
        <w:rPr>
          <w:smallCaps w:val="0"/>
        </w:rPr>
        <w:t>mg/L</w:t>
      </w:r>
      <w:r>
        <w:t>，</w:t>
      </w:r>
      <w:r>
        <w:t xml:space="preserve">COD </w:t>
      </w:r>
      <w:r>
        <w:t>在</w:t>
      </w:r>
      <w:r>
        <w:t>50</w:t>
      </w:r>
      <w:r>
        <w:rPr>
          <w:smallCaps w:val="0"/>
        </w:rPr>
        <w:t>mg/L</w:t>
      </w:r>
      <w:r>
        <w:t xml:space="preserve"> </w:t>
      </w:r>
      <w:r>
        <w:t>以下，总磷在</w:t>
      </w:r>
      <w:r>
        <w:t xml:space="preserve"> 0.2</w:t>
      </w:r>
      <w:r>
        <w:rPr>
          <w:smallCaps w:val="0"/>
        </w:rPr>
        <w:t>mg/L</w:t>
      </w:r>
      <w:r>
        <w:t xml:space="preserve"> </w:t>
      </w:r>
      <w:r>
        <w:t>以下，总氮在</w:t>
      </w:r>
      <w:r>
        <w:t xml:space="preserve"> 6.0</w:t>
      </w:r>
      <w:r>
        <w:rPr>
          <w:smallCaps w:val="0"/>
        </w:rPr>
        <w:t>mg/L</w:t>
      </w:r>
      <w:r>
        <w:t xml:space="preserve"> </w:t>
      </w:r>
      <w:r>
        <w:t>以下，可达到《污水综合排放标准》</w:t>
      </w:r>
      <w:r>
        <w:t>(GB8978-1996</w:t>
      </w:r>
      <w:r>
        <w:t>）中一级标准。本次源强保守估算，临时</w:t>
      </w:r>
      <w:r>
        <w:rPr>
          <w:rFonts w:hint="eastAsia"/>
        </w:rPr>
        <w:t>生产区</w:t>
      </w:r>
      <w:r>
        <w:t>尾水悬浮物</w:t>
      </w:r>
      <w:r>
        <w:t xml:space="preserve"> SS </w:t>
      </w:r>
      <w:r>
        <w:t>排放浓度按《污水综合排放标准（</w:t>
      </w:r>
      <w:r>
        <w:t>GB8978-1996</w:t>
      </w:r>
      <w:r>
        <w:t>）》一级标准</w:t>
      </w:r>
      <w:r>
        <w:t xml:space="preserve"> 70</w:t>
      </w:r>
      <w:r>
        <w:rPr>
          <w:smallCaps w:val="0"/>
        </w:rPr>
        <w:t>mg/L</w:t>
      </w:r>
      <w:r>
        <w:t xml:space="preserve"> </w:t>
      </w:r>
      <w:r>
        <w:t>控制。</w:t>
      </w:r>
      <w:r>
        <w:rPr>
          <w:rFonts w:hint="eastAsia"/>
        </w:rPr>
        <w:t>渗滤水</w:t>
      </w:r>
      <w:r>
        <w:t>在临时</w:t>
      </w:r>
      <w:r>
        <w:rPr>
          <w:rFonts w:hint="eastAsia"/>
        </w:rPr>
        <w:t>生产</w:t>
      </w:r>
      <w:r>
        <w:t>内经自然沉淀后进入余水沉淀池进行环保混凝沉淀处理，</w:t>
      </w:r>
      <w:r>
        <w:rPr>
          <w:rFonts w:hint="eastAsia"/>
        </w:rPr>
        <w:t>达到《污水综合排放标准》（</w:t>
      </w:r>
      <w:r>
        <w:rPr>
          <w:rFonts w:hint="eastAsia"/>
        </w:rPr>
        <w:t>GB8978-1996</w:t>
      </w:r>
      <w:r>
        <w:rPr>
          <w:rFonts w:hint="eastAsia"/>
        </w:rPr>
        <w:t>）一级标准，由牡丹江龙江环保水务有限公司定期拉运处理</w:t>
      </w:r>
      <w:r>
        <w:t>，不直接排入水体。</w:t>
      </w:r>
    </w:p>
    <w:p w14:paraId="694CCA1B" w14:textId="77777777" w:rsidR="009D12AF" w:rsidRDefault="00000000">
      <w:pPr>
        <w:ind w:firstLine="480"/>
      </w:pPr>
      <w:r>
        <w:rPr>
          <w:rFonts w:hint="eastAsia"/>
        </w:rPr>
        <w:t>（</w:t>
      </w:r>
      <w:r>
        <w:rPr>
          <w:rFonts w:hint="eastAsia"/>
        </w:rPr>
        <w:t>3</w:t>
      </w:r>
      <w:r>
        <w:rPr>
          <w:rFonts w:hint="eastAsia"/>
        </w:rPr>
        <w:t>）施工机械设备冲洗废水</w:t>
      </w:r>
    </w:p>
    <w:p w14:paraId="41F25210" w14:textId="77777777" w:rsidR="009D12AF" w:rsidRDefault="00000000">
      <w:pPr>
        <w:widowControl/>
        <w:ind w:firstLine="480"/>
        <w:jc w:val="left"/>
        <w:rPr>
          <w:rFonts w:ascii="Times New Roman" w:eastAsia="宋体" w:hAnsi="Times New Roman" w:cs="Times New Roman"/>
        </w:rPr>
      </w:pPr>
      <w:r>
        <w:rPr>
          <w:rFonts w:ascii="Times New Roman" w:eastAsia="宋体" w:hAnsi="Times New Roman" w:cs="Times New Roman" w:hint="eastAsia"/>
        </w:rPr>
        <w:t>施工机械设备日常保养、清洗过程中会产生冲洗废水。根据《环境影响评价技术手</w:t>
      </w:r>
      <w:r>
        <w:rPr>
          <w:rFonts w:ascii="Times New Roman" w:eastAsia="宋体" w:hAnsi="Times New Roman" w:cs="Times New Roman"/>
        </w:rPr>
        <w:t>册</w:t>
      </w:r>
      <w:r>
        <w:rPr>
          <w:rFonts w:ascii="Times New Roman" w:eastAsia="宋体" w:hAnsi="Times New Roman" w:cs="Times New Roman"/>
        </w:rPr>
        <w:t xml:space="preserve"> </w:t>
      </w:r>
      <w:r>
        <w:rPr>
          <w:rFonts w:ascii="Times New Roman" w:eastAsia="宋体" w:hAnsi="Times New Roman" w:cs="Times New Roman"/>
        </w:rPr>
        <w:t>水利水电工程》施工期环境影响预测评价，冲洗用水量为</w:t>
      </w:r>
      <w:r>
        <w:rPr>
          <w:rFonts w:ascii="Times New Roman" w:eastAsia="宋体" w:hAnsi="Times New Roman" w:cs="Times New Roman"/>
        </w:rPr>
        <w:t>400L/</w:t>
      </w:r>
      <w:r>
        <w:rPr>
          <w:rFonts w:ascii="Times New Roman" w:eastAsia="宋体" w:hAnsi="Times New Roman" w:cs="Times New Roman"/>
        </w:rPr>
        <w:t>辆</w:t>
      </w:r>
      <w:r>
        <w:rPr>
          <w:rFonts w:ascii="Times New Roman" w:eastAsia="宋体" w:hAnsi="Times New Roman" w:cs="Times New Roman"/>
        </w:rPr>
        <w:t>•</w:t>
      </w:r>
      <w:r>
        <w:rPr>
          <w:rFonts w:ascii="Times New Roman" w:eastAsia="宋体" w:hAnsi="Times New Roman" w:cs="Times New Roman"/>
        </w:rPr>
        <w:t>次，冲洗时间为</w:t>
      </w:r>
      <w:r>
        <w:rPr>
          <w:rFonts w:ascii="Times New Roman" w:eastAsia="宋体" w:hAnsi="Times New Roman" w:cs="Times New Roman"/>
        </w:rPr>
        <w:t>15min/</w:t>
      </w:r>
      <w:r>
        <w:rPr>
          <w:rFonts w:ascii="Times New Roman" w:eastAsia="宋体" w:hAnsi="Times New Roman" w:cs="Times New Roman"/>
        </w:rPr>
        <w:t>辆</w:t>
      </w:r>
      <w:r>
        <w:rPr>
          <w:rFonts w:ascii="Times New Roman" w:eastAsia="宋体" w:hAnsi="Times New Roman" w:cs="Times New Roman"/>
        </w:rPr>
        <w:t>•</w:t>
      </w:r>
      <w:r>
        <w:rPr>
          <w:rFonts w:ascii="Times New Roman" w:eastAsia="宋体" w:hAnsi="Times New Roman" w:cs="Times New Roman"/>
        </w:rPr>
        <w:t>次，产污系数为</w:t>
      </w:r>
      <w:r>
        <w:rPr>
          <w:rFonts w:ascii="Times New Roman" w:eastAsia="宋体" w:hAnsi="Times New Roman" w:cs="Times New Roman"/>
        </w:rPr>
        <w:t>90%</w:t>
      </w:r>
      <w:r>
        <w:rPr>
          <w:rFonts w:ascii="Times New Roman" w:eastAsia="宋体" w:hAnsi="Times New Roman" w:cs="Times New Roman"/>
        </w:rPr>
        <w:t>，主要污染物为石油类和</w:t>
      </w:r>
      <w:r>
        <w:rPr>
          <w:rFonts w:ascii="Times New Roman" w:eastAsia="宋体" w:hAnsi="Times New Roman" w:cs="Times New Roman"/>
        </w:rPr>
        <w:t>SS</w:t>
      </w:r>
      <w:r>
        <w:rPr>
          <w:rFonts w:ascii="Times New Roman" w:eastAsia="宋体" w:hAnsi="Times New Roman" w:cs="Times New Roman"/>
        </w:rPr>
        <w:t>，其中石油类浓度为</w:t>
      </w:r>
      <w:r>
        <w:rPr>
          <w:rFonts w:ascii="Times New Roman" w:eastAsia="宋体" w:hAnsi="Times New Roman" w:cs="Times New Roman"/>
        </w:rPr>
        <w:t>10~30mg/L</w:t>
      </w:r>
      <w:r>
        <w:rPr>
          <w:rFonts w:ascii="Times New Roman" w:eastAsia="宋体" w:hAnsi="Times New Roman" w:cs="Times New Roman"/>
        </w:rPr>
        <w:t>，</w:t>
      </w:r>
      <w:r>
        <w:rPr>
          <w:rFonts w:ascii="Times New Roman" w:eastAsia="宋体" w:hAnsi="Times New Roman" w:cs="Times New Roman"/>
        </w:rPr>
        <w:t>SS</w:t>
      </w:r>
      <w:r>
        <w:rPr>
          <w:rFonts w:ascii="Times New Roman" w:eastAsia="宋体" w:hAnsi="Times New Roman" w:cs="Times New Roman"/>
        </w:rPr>
        <w:t>浓度为</w:t>
      </w:r>
      <w:r>
        <w:rPr>
          <w:rFonts w:ascii="Times New Roman" w:eastAsia="宋体" w:hAnsi="Times New Roman" w:cs="Times New Roman"/>
        </w:rPr>
        <w:t>500~4000mg/L</w:t>
      </w:r>
      <w:r>
        <w:rPr>
          <w:rFonts w:ascii="Times New Roman" w:eastAsia="宋体" w:hAnsi="Times New Roman" w:cs="Times New Roman"/>
        </w:rPr>
        <w:t>。根据本工程施工设备清单及同类型施工营地实际使用情况，</w:t>
      </w:r>
      <w:r>
        <w:rPr>
          <w:rFonts w:ascii="Times New Roman" w:eastAsia="宋体" w:hAnsi="Times New Roman" w:cs="Times New Roman" w:hint="eastAsia"/>
        </w:rPr>
        <w:t>共</w:t>
      </w:r>
      <w:r>
        <w:rPr>
          <w:rFonts w:ascii="Times New Roman" w:eastAsia="宋体" w:hAnsi="Times New Roman" w:cs="Times New Roman" w:hint="eastAsia"/>
        </w:rPr>
        <w:t>19</w:t>
      </w:r>
      <w:r>
        <w:rPr>
          <w:rFonts w:ascii="Times New Roman" w:eastAsia="宋体" w:hAnsi="Times New Roman" w:cs="Times New Roman"/>
        </w:rPr>
        <w:t>台设备</w:t>
      </w:r>
      <w:r>
        <w:rPr>
          <w:rFonts w:ascii="Times New Roman" w:eastAsia="宋体" w:hAnsi="Times New Roman" w:cs="Times New Roman" w:hint="eastAsia"/>
        </w:rPr>
        <w:t>需清洗，</w:t>
      </w:r>
      <w:r>
        <w:rPr>
          <w:rFonts w:ascii="Times New Roman" w:eastAsia="宋体" w:hAnsi="Times New Roman" w:cs="Times New Roman"/>
        </w:rPr>
        <w:t>按每</w:t>
      </w:r>
      <w:r>
        <w:rPr>
          <w:rFonts w:ascii="Times New Roman" w:eastAsia="宋体" w:hAnsi="Times New Roman" w:cs="Times New Roman" w:hint="eastAsia"/>
        </w:rPr>
        <w:t>2</w:t>
      </w:r>
      <w:r>
        <w:rPr>
          <w:rFonts w:ascii="Times New Roman" w:eastAsia="宋体" w:hAnsi="Times New Roman" w:cs="Times New Roman"/>
        </w:rPr>
        <w:t>周清洗一次考虑，则冲洗废水产生量为</w:t>
      </w:r>
      <w:r>
        <w:rPr>
          <w:rFonts w:ascii="Times New Roman" w:eastAsia="宋体" w:hAnsi="Times New Roman" w:cs="Times New Roman" w:hint="eastAsia"/>
        </w:rPr>
        <w:t>100.8</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rPr>
        <w:t xml:space="preserve"> /</w:t>
      </w:r>
      <w:r>
        <w:rPr>
          <w:rFonts w:ascii="Times New Roman" w:eastAsia="宋体" w:hAnsi="Times New Roman" w:cs="Times New Roman"/>
        </w:rPr>
        <w:t>总工期。施工机械设备冲洗废水收集后经隔油沉淀处理回用于施工场地洒水抑尘及施工设备冲洗，不外排。</w:t>
      </w:r>
    </w:p>
    <w:p w14:paraId="08430B01" w14:textId="77777777" w:rsidR="009D12AF" w:rsidRDefault="00000000">
      <w:pPr>
        <w:ind w:firstLine="480"/>
      </w:pPr>
      <w:r>
        <w:rPr>
          <w:rFonts w:hint="eastAsia"/>
        </w:rPr>
        <w:lastRenderedPageBreak/>
        <w:t>（</w:t>
      </w:r>
      <w:r>
        <w:rPr>
          <w:rFonts w:hint="eastAsia"/>
        </w:rPr>
        <w:t>4</w:t>
      </w:r>
      <w:r>
        <w:rPr>
          <w:rFonts w:hint="eastAsia"/>
        </w:rPr>
        <w:t>）挖泥船船底油污水</w:t>
      </w:r>
    </w:p>
    <w:p w14:paraId="0F09DB04"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 xml:space="preserve">挖泥船在运行过程中，机舱内各种阀件、轮机会滴漏出润滑油、燃油等油污，油污滴到船舱内形成含油废水沉积在舱底，一般一艘船每日含油废水产生量大约是船舶总吨位的 </w:t>
      </w:r>
      <w:r>
        <w:rPr>
          <w:rFonts w:ascii="Times New Roman" w:eastAsia="宋体" w:hAnsi="Times New Roman" w:cs="Times New Roman" w:hint="eastAsia"/>
        </w:rPr>
        <w:t>0.02%</w:t>
      </w:r>
      <w:r>
        <w:rPr>
          <w:rFonts w:ascii="Times New Roman" w:eastAsia="宋体" w:hAnsi="Times New Roman" w:cs="Times New Roman" w:hint="eastAsia"/>
        </w:rPr>
        <w:t>—</w:t>
      </w:r>
      <w:r>
        <w:rPr>
          <w:rFonts w:ascii="Times New Roman" w:eastAsia="宋体" w:hAnsi="Times New Roman" w:cs="Times New Roman" w:hint="eastAsia"/>
        </w:rPr>
        <w:t>0.05%</w:t>
      </w:r>
      <w:r>
        <w:rPr>
          <w:rFonts w:ascii="宋体" w:eastAsia="宋体" w:hAnsi="宋体" w:cs="宋体" w:hint="eastAsia"/>
          <w:color w:val="000000"/>
          <w:kern w:val="0"/>
          <w:lang w:bidi="ar"/>
        </w:rPr>
        <w:t xml:space="preserve">，本次选取的系数为 </w:t>
      </w:r>
      <w:r>
        <w:rPr>
          <w:rFonts w:ascii="Times New Roman" w:eastAsia="宋体" w:hAnsi="Times New Roman" w:cs="Times New Roman" w:hint="eastAsia"/>
        </w:rPr>
        <w:t>0.05%</w:t>
      </w:r>
      <w:r>
        <w:rPr>
          <w:rFonts w:ascii="宋体" w:eastAsia="宋体" w:hAnsi="宋体" w:cs="宋体" w:hint="eastAsia"/>
          <w:color w:val="000000"/>
          <w:kern w:val="0"/>
          <w:lang w:bidi="ar"/>
        </w:rPr>
        <w:t xml:space="preserve">，绞吸式挖泥船的吨位一般在 </w:t>
      </w:r>
      <w:r>
        <w:rPr>
          <w:rFonts w:ascii="Times New Roman" w:eastAsia="宋体" w:hAnsi="Times New Roman" w:cs="Times New Roman" w:hint="eastAsia"/>
        </w:rPr>
        <w:t>640t</w:t>
      </w:r>
      <w:r>
        <w:rPr>
          <w:rFonts w:ascii="宋体" w:eastAsia="宋体" w:hAnsi="宋体" w:cs="宋体" w:hint="eastAsia"/>
          <w:color w:val="000000"/>
          <w:kern w:val="0"/>
          <w:lang w:bidi="ar"/>
        </w:rPr>
        <w:t xml:space="preserve"> 左右，挖泥船工作主要集中于水下清淤期内，工作约</w:t>
      </w:r>
      <w:r>
        <w:rPr>
          <w:rFonts w:ascii="Times New Roman" w:eastAsia="宋体" w:hAnsi="Times New Roman" w:cs="Times New Roman" w:hint="eastAsia"/>
        </w:rPr>
        <w:t>63</w:t>
      </w:r>
      <w:r>
        <w:rPr>
          <w:rFonts w:ascii="宋体" w:eastAsia="宋体" w:hAnsi="宋体" w:cs="宋体" w:hint="eastAsia"/>
          <w:color w:val="000000"/>
          <w:kern w:val="0"/>
          <w:lang w:bidi="ar"/>
        </w:rPr>
        <w:t>个月（不含汛期、施工准备期、施工完建期），单船机舱内含油废水产生量为</w:t>
      </w:r>
      <w:r>
        <w:rPr>
          <w:rFonts w:ascii="Times New Roman" w:eastAsia="宋体" w:hAnsi="Times New Roman" w:cs="Times New Roman" w:hint="eastAsia"/>
        </w:rPr>
        <w:t>2016t</w:t>
      </w:r>
      <w:r>
        <w:rPr>
          <w:rFonts w:ascii="宋体" w:eastAsia="宋体" w:hAnsi="宋体" w:cs="宋体" w:hint="eastAsia"/>
          <w:color w:val="000000"/>
          <w:kern w:val="0"/>
          <w:lang w:bidi="ar"/>
        </w:rPr>
        <w:t>/施工期。</w:t>
      </w:r>
    </w:p>
    <w:p w14:paraId="0823DE08" w14:textId="77777777" w:rsidR="009D12AF" w:rsidRDefault="00000000">
      <w:pPr>
        <w:ind w:firstLine="480"/>
        <w:rPr>
          <w:color w:val="FF0000"/>
          <w:highlight w:val="yellow"/>
        </w:rPr>
      </w:pPr>
      <w:r>
        <w:rPr>
          <w:rFonts w:ascii="宋体" w:eastAsia="宋体" w:hAnsi="宋体" w:cs="宋体" w:hint="eastAsia"/>
          <w:color w:val="000000"/>
          <w:kern w:val="0"/>
          <w:lang w:bidi="ar"/>
        </w:rPr>
        <w:t>含油废水中主要含有石油类物质，根据初步设计资料，浓度一般在</w:t>
      </w:r>
      <w:r>
        <w:rPr>
          <w:rFonts w:ascii="Times New Roman" w:eastAsia="宋体" w:hAnsi="Times New Roman" w:cs="Times New Roman" w:hint="eastAsia"/>
        </w:rPr>
        <w:t>200-3000mg/L</w:t>
      </w:r>
      <w:r>
        <w:rPr>
          <w:rFonts w:ascii="宋体" w:eastAsia="宋体" w:hAnsi="宋体" w:cs="宋体" w:hint="eastAsia"/>
          <w:color w:val="000000"/>
          <w:kern w:val="0"/>
          <w:lang w:bidi="ar"/>
        </w:rPr>
        <w:t>。挖泥船船底油污水由从事船舶污染物接收的单位接收处置。</w:t>
      </w:r>
    </w:p>
    <w:p w14:paraId="63098783" w14:textId="77777777" w:rsidR="009D12AF" w:rsidRDefault="00000000">
      <w:pPr>
        <w:ind w:firstLine="480"/>
      </w:pPr>
      <w:r>
        <w:t>3</w:t>
      </w:r>
      <w:r>
        <w:t>、噪声</w:t>
      </w:r>
    </w:p>
    <w:p w14:paraId="7FA085AD" w14:textId="77777777" w:rsidR="009D12AF" w:rsidRDefault="00000000">
      <w:pPr>
        <w:ind w:firstLine="480"/>
        <w:rPr>
          <w:color w:val="FF0000"/>
          <w:highlight w:val="yellow"/>
        </w:rPr>
      </w:pPr>
      <w:r>
        <w:rPr>
          <w:bCs/>
        </w:rPr>
        <w:t>单台机械设备在</w:t>
      </w:r>
      <w:r>
        <w:rPr>
          <w:rFonts w:hint="eastAsia"/>
          <w:bCs/>
        </w:rPr>
        <w:t>3</w:t>
      </w:r>
      <w:r>
        <w:rPr>
          <w:bCs/>
        </w:rPr>
        <w:t>m</w:t>
      </w:r>
      <w:r>
        <w:rPr>
          <w:bCs/>
        </w:rPr>
        <w:t>外产生的声级值均能满足《建筑施工场界环境噪声排放标准》（</w:t>
      </w:r>
      <w:r>
        <w:rPr>
          <w:bCs/>
        </w:rPr>
        <w:t>GB12523-20</w:t>
      </w:r>
      <w:r>
        <w:rPr>
          <w:rFonts w:hint="eastAsia"/>
          <w:bCs/>
        </w:rPr>
        <w:t>25</w:t>
      </w:r>
      <w:r>
        <w:rPr>
          <w:bCs/>
        </w:rPr>
        <w:t>）昼间标准要求，夜间场界施工噪声达标距离为</w:t>
      </w:r>
      <w:r>
        <w:rPr>
          <w:rFonts w:hint="eastAsia"/>
          <w:bCs/>
        </w:rPr>
        <w:t>6</w:t>
      </w:r>
      <w:r>
        <w:rPr>
          <w:bCs/>
        </w:rPr>
        <w:t>m</w:t>
      </w:r>
      <w:r>
        <w:rPr>
          <w:bCs/>
        </w:rPr>
        <w:t>。施工现场往往是多种施工机械同时进行作业。从推算的结果看，噪声污染最严重的施工机械是装载机，其它的施工机械噪声较低。因此，降低施工噪声对周围环境的影响，施工单位在施工过程中</w:t>
      </w:r>
      <w:r>
        <w:rPr>
          <w:rFonts w:hint="eastAsia"/>
          <w:bCs/>
        </w:rPr>
        <w:t>夜间不施工</w:t>
      </w:r>
      <w:r>
        <w:rPr>
          <w:bCs/>
        </w:rPr>
        <w:t>，要加强施工作业管理，施工作业时采用低噪声施工设备、施工设备加装减震垫等措施。施工场界能够满足《建筑施工场界环境噪声排放标准》（</w:t>
      </w:r>
      <w:r>
        <w:rPr>
          <w:bCs/>
        </w:rPr>
        <w:t>GB12523-20</w:t>
      </w:r>
      <w:r>
        <w:rPr>
          <w:rFonts w:hint="eastAsia"/>
          <w:bCs/>
        </w:rPr>
        <w:t>25</w:t>
      </w:r>
      <w:r>
        <w:rPr>
          <w:bCs/>
        </w:rPr>
        <w:t>）的要求。</w:t>
      </w:r>
      <w:r>
        <w:t>加强运输车辆的管理，穿越敏感目标时限速、禁鸣。</w:t>
      </w:r>
      <w:r>
        <w:rPr>
          <w:rFonts w:hint="eastAsia"/>
        </w:rPr>
        <w:t>在未</w:t>
      </w:r>
      <w:r>
        <w:t>采取任何措施情况下，多台设备联合作业时工程评价范围内敏感点昼间均能达到《声环境质量标准</w:t>
      </w:r>
      <w:r>
        <w:rPr>
          <w:rFonts w:hint="eastAsia"/>
        </w:rPr>
        <w:t>》</w:t>
      </w:r>
      <w:r>
        <w:t>(GB3096-2008)</w:t>
      </w:r>
      <w:r>
        <w:t>中的</w:t>
      </w:r>
      <w:r>
        <w:rPr>
          <w:rFonts w:hint="eastAsia"/>
        </w:rPr>
        <w:t>1</w:t>
      </w:r>
      <w:r>
        <w:t>类标准</w:t>
      </w:r>
      <w:r>
        <w:t>(</w:t>
      </w:r>
      <w:r>
        <w:t>昼间</w:t>
      </w:r>
      <w:r>
        <w:rPr>
          <w:rFonts w:hint="eastAsia"/>
        </w:rPr>
        <w:t>55</w:t>
      </w:r>
      <w:r>
        <w:t>dB</w:t>
      </w:r>
      <w:r>
        <w:t>，夜间</w:t>
      </w:r>
      <w:r>
        <w:rPr>
          <w:rFonts w:hint="eastAsia"/>
        </w:rPr>
        <w:t>45</w:t>
      </w:r>
      <w:r>
        <w:t>dB)</w:t>
      </w:r>
      <w:r>
        <w:t>且</w:t>
      </w:r>
      <w:r>
        <w:rPr>
          <w:bCs/>
        </w:rPr>
        <w:t>施工噪声对声环境的影响属于短期的、暂时的，施工结束后就会自然消失。</w:t>
      </w:r>
      <w:r>
        <w:t>因此，项目施工过程产生的噪声对周边的声环境影响很小。</w:t>
      </w:r>
    </w:p>
    <w:p w14:paraId="4C353CED" w14:textId="77777777" w:rsidR="009D12AF" w:rsidRDefault="00000000">
      <w:pPr>
        <w:ind w:firstLine="480"/>
      </w:pPr>
      <w:r>
        <w:t>4</w:t>
      </w:r>
      <w:r>
        <w:t>、固废</w:t>
      </w:r>
    </w:p>
    <w:p w14:paraId="316F2C56"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 xml:space="preserve">施工期间固体废物主要为施工人员生活垃圾、清淤淤泥、场地清理及土方开挖产生的废渣以及隔油浮渣。 </w:t>
      </w:r>
    </w:p>
    <w:p w14:paraId="1104A9B9" w14:textId="77777777" w:rsidR="009D12AF" w:rsidRDefault="00000000">
      <w:pPr>
        <w:widowControl/>
        <w:ind w:firstLine="480"/>
        <w:jc w:val="left"/>
        <w:rPr>
          <w:rFonts w:ascii="宋体" w:eastAsia="宋体" w:hAnsi="宋体" w:cs="宋体" w:hint="eastAsia"/>
          <w:color w:val="000000"/>
          <w:kern w:val="0"/>
          <w:lang w:bidi="ar"/>
        </w:rPr>
      </w:pPr>
      <w:r>
        <w:rPr>
          <w:rFonts w:ascii="Times New Roman" w:eastAsia="宋体" w:hAnsi="Times New Roman" w:cs="Times New Roman" w:hint="eastAsia"/>
        </w:rPr>
        <w:t>（</w:t>
      </w:r>
      <w:r>
        <w:rPr>
          <w:rFonts w:ascii="Times New Roman" w:eastAsia="宋体" w:hAnsi="Times New Roman" w:cs="Times New Roman"/>
        </w:rPr>
        <w:t>1</w:t>
      </w:r>
      <w:r>
        <w:rPr>
          <w:rFonts w:ascii="Times New Roman" w:eastAsia="宋体" w:hAnsi="Times New Roman" w:cs="Times New Roman" w:hint="eastAsia"/>
        </w:rPr>
        <w:t>）</w:t>
      </w:r>
      <w:r>
        <w:rPr>
          <w:rFonts w:ascii="宋体" w:eastAsia="宋体" w:hAnsi="宋体" w:cs="宋体" w:hint="eastAsia"/>
          <w:color w:val="000000"/>
          <w:kern w:val="0"/>
          <w:lang w:bidi="ar"/>
        </w:rPr>
        <w:t xml:space="preserve">生活垃圾 </w:t>
      </w:r>
    </w:p>
    <w:p w14:paraId="7AEFE6CF"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lastRenderedPageBreak/>
        <w:t xml:space="preserve">本项目施工人员约为 </w:t>
      </w:r>
      <w:r>
        <w:rPr>
          <w:rFonts w:ascii="Times New Roman" w:eastAsia="宋体" w:hAnsi="Times New Roman" w:cs="Times New Roman" w:hint="eastAsia"/>
        </w:rPr>
        <w:t>10</w:t>
      </w:r>
      <w:r>
        <w:rPr>
          <w:rFonts w:ascii="宋体" w:eastAsia="宋体" w:hAnsi="宋体" w:cs="宋体"/>
          <w:color w:val="000000"/>
          <w:kern w:val="0"/>
          <w:lang w:bidi="ar"/>
        </w:rPr>
        <w:t xml:space="preserve"> </w:t>
      </w:r>
      <w:r>
        <w:rPr>
          <w:rFonts w:ascii="宋体" w:eastAsia="宋体" w:hAnsi="宋体" w:cs="宋体" w:hint="eastAsia"/>
          <w:color w:val="000000"/>
          <w:kern w:val="0"/>
          <w:lang w:bidi="ar"/>
        </w:rPr>
        <w:t xml:space="preserve">人，生活垃圾量按 </w:t>
      </w:r>
      <w:r>
        <w:rPr>
          <w:rFonts w:ascii="Times New Roman" w:eastAsia="宋体" w:hAnsi="Times New Roman" w:cs="Times New Roman"/>
        </w:rPr>
        <w:t>0.5kg/</w:t>
      </w:r>
      <w:r>
        <w:rPr>
          <w:rFonts w:ascii="宋体" w:eastAsia="宋体" w:hAnsi="宋体" w:cs="宋体" w:hint="eastAsia"/>
          <w:color w:val="000000"/>
          <w:kern w:val="0"/>
          <w:lang w:bidi="ar"/>
        </w:rPr>
        <w:t>人</w:t>
      </w:r>
      <w:r>
        <w:rPr>
          <w:rFonts w:ascii="宋体" w:eastAsia="宋体" w:hAnsi="宋体" w:cs="宋体"/>
          <w:color w:val="000000"/>
          <w:kern w:val="0"/>
          <w:lang w:bidi="ar"/>
        </w:rPr>
        <w:t xml:space="preserve">•d </w:t>
      </w:r>
      <w:r>
        <w:rPr>
          <w:rFonts w:ascii="宋体" w:eastAsia="宋体" w:hAnsi="宋体" w:cs="宋体" w:hint="eastAsia"/>
          <w:color w:val="000000"/>
          <w:kern w:val="0"/>
          <w:lang w:bidi="ar"/>
        </w:rPr>
        <w:t>计算，则施工人员生活垃圾产生量为</w:t>
      </w:r>
      <w:r>
        <w:rPr>
          <w:rFonts w:ascii="Times New Roman" w:eastAsia="宋体" w:hAnsi="Times New Roman" w:cs="Times New Roman" w:hint="eastAsia"/>
        </w:rPr>
        <w:t>5</w:t>
      </w:r>
      <w:r>
        <w:rPr>
          <w:rFonts w:ascii="Times New Roman" w:eastAsia="宋体" w:hAnsi="Times New Roman" w:cs="Times New Roman"/>
        </w:rPr>
        <w:t>kg/d</w:t>
      </w:r>
      <w:r>
        <w:rPr>
          <w:rFonts w:ascii="宋体" w:eastAsia="宋体" w:hAnsi="宋体" w:cs="宋体" w:hint="eastAsia"/>
          <w:color w:val="000000"/>
          <w:kern w:val="0"/>
          <w:lang w:bidi="ar"/>
        </w:rPr>
        <w:t>；计划施工期（</w:t>
      </w:r>
      <w:r>
        <w:rPr>
          <w:rFonts w:ascii="Times New Roman" w:eastAsia="宋体" w:hAnsi="Times New Roman" w:cs="Times New Roman" w:hint="eastAsia"/>
        </w:rPr>
        <w:t>12</w:t>
      </w:r>
      <w:r>
        <w:rPr>
          <w:rFonts w:ascii="宋体" w:eastAsia="宋体" w:hAnsi="宋体" w:cs="宋体" w:hint="eastAsia"/>
          <w:color w:val="000000"/>
          <w:kern w:val="0"/>
          <w:lang w:bidi="ar"/>
        </w:rPr>
        <w:t>个月），因此本项目施工人员生活垃圾产生量为</w:t>
      </w:r>
      <w:r>
        <w:rPr>
          <w:rFonts w:ascii="Times New Roman" w:eastAsia="宋体" w:hAnsi="Times New Roman" w:cs="Times New Roman" w:hint="eastAsia"/>
        </w:rPr>
        <w:t>9.45</w:t>
      </w:r>
      <w:r>
        <w:rPr>
          <w:rFonts w:ascii="Times New Roman" w:eastAsia="宋体" w:hAnsi="Times New Roman" w:cs="Times New Roman"/>
        </w:rPr>
        <w:t>t</w:t>
      </w:r>
      <w:r>
        <w:rPr>
          <w:rFonts w:ascii="宋体" w:eastAsia="宋体" w:hAnsi="宋体" w:cs="宋体" w:hint="eastAsia"/>
          <w:color w:val="000000"/>
          <w:kern w:val="0"/>
          <w:lang w:bidi="ar"/>
        </w:rPr>
        <w:t>。</w:t>
      </w:r>
    </w:p>
    <w:p w14:paraId="607693C6" w14:textId="77777777" w:rsidR="009D12AF" w:rsidRDefault="00000000">
      <w:pPr>
        <w:widowControl/>
        <w:ind w:firstLine="480"/>
        <w:jc w:val="left"/>
      </w:pPr>
      <w:r>
        <w:rPr>
          <w:rFonts w:ascii="宋体" w:eastAsia="宋体" w:hAnsi="宋体" w:cs="宋体" w:hint="eastAsia"/>
          <w:color w:val="000000"/>
          <w:kern w:val="0"/>
          <w:lang w:bidi="ar"/>
        </w:rPr>
        <w:t>本项目施工人员生活垃圾由环卫部门清运处理。</w:t>
      </w:r>
    </w:p>
    <w:p w14:paraId="40100772" w14:textId="77777777" w:rsidR="009D12AF" w:rsidRDefault="00000000">
      <w:pPr>
        <w:widowControl/>
        <w:ind w:firstLineChars="100" w:firstLine="240"/>
        <w:jc w:val="left"/>
        <w:rPr>
          <w:rFonts w:ascii="宋体" w:eastAsia="宋体" w:hAnsi="宋体" w:cs="宋体" w:hint="eastAsia"/>
          <w:color w:val="000000"/>
          <w:kern w:val="0"/>
          <w:lang w:bidi="ar"/>
        </w:rPr>
      </w:pPr>
      <w:r>
        <w:rPr>
          <w:rFonts w:ascii="Times New Roman" w:eastAsia="宋体" w:hAnsi="Times New Roman" w:cs="Times New Roman" w:hint="eastAsia"/>
        </w:rPr>
        <w:t>（</w:t>
      </w:r>
      <w:r>
        <w:rPr>
          <w:rFonts w:ascii="Times New Roman" w:eastAsia="宋体" w:hAnsi="Times New Roman" w:cs="Times New Roman" w:hint="eastAsia"/>
        </w:rPr>
        <w:t>2</w:t>
      </w:r>
      <w:r>
        <w:rPr>
          <w:rFonts w:ascii="Times New Roman" w:eastAsia="宋体" w:hAnsi="Times New Roman" w:cs="Times New Roman" w:hint="eastAsia"/>
        </w:rPr>
        <w:t>）</w:t>
      </w:r>
      <w:r>
        <w:rPr>
          <w:rFonts w:ascii="宋体" w:eastAsia="宋体" w:hAnsi="宋体" w:cs="宋体" w:hint="eastAsia"/>
          <w:color w:val="000000"/>
          <w:kern w:val="0"/>
          <w:lang w:bidi="ar"/>
        </w:rPr>
        <w:t>清淤底泥</w:t>
      </w:r>
    </w:p>
    <w:p w14:paraId="41FA6533"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本项目清淤底泥产生量约</w:t>
      </w:r>
      <w:r>
        <w:rPr>
          <w:rFonts w:ascii="Times New Roman" w:eastAsia="宋体" w:hAnsi="Times New Roman" w:cs="Times New Roman" w:hint="eastAsia"/>
        </w:rPr>
        <w:t>600</w:t>
      </w:r>
      <w:r>
        <w:rPr>
          <w:rFonts w:ascii="Times New Roman" w:eastAsia="宋体" w:hAnsi="Times New Roman" w:cs="Times New Roman" w:hint="eastAsia"/>
        </w:rPr>
        <w:t>万</w:t>
      </w:r>
      <w:r>
        <w:rPr>
          <w:rFonts w:ascii="Times New Roman" w:eastAsia="宋体" w:hAnsi="Times New Roman" w:cs="Times New Roman"/>
        </w:rPr>
        <w:t>m</w:t>
      </w:r>
      <w:r>
        <w:rPr>
          <w:rFonts w:ascii="Times New Roman" w:eastAsia="宋体" w:hAnsi="Times New Roman" w:cs="Times New Roman"/>
          <w:vertAlign w:val="superscript"/>
        </w:rPr>
        <w:t>3</w:t>
      </w:r>
      <w:r>
        <w:rPr>
          <w:rFonts w:ascii="Times New Roman" w:eastAsia="宋体" w:hAnsi="Times New Roman" w:cs="Times New Roman" w:hint="eastAsia"/>
        </w:rPr>
        <w:t>，</w:t>
      </w:r>
      <w:r>
        <w:rPr>
          <w:rFonts w:ascii="宋体" w:eastAsia="宋体" w:hAnsi="宋体" w:cs="宋体" w:hint="eastAsia"/>
          <w:color w:val="000000"/>
          <w:kern w:val="0"/>
          <w:lang w:bidi="ar"/>
        </w:rPr>
        <w:t>本工程清淤底泥在施工区采用压滤脱水方式固化，经固化后的干泥含水率由</w:t>
      </w:r>
      <w:r>
        <w:rPr>
          <w:rFonts w:ascii="Times New Roman" w:eastAsia="宋体" w:hAnsi="Times New Roman" w:cs="Times New Roman" w:hint="eastAsia"/>
        </w:rPr>
        <w:t>9</w:t>
      </w:r>
      <w:r>
        <w:rPr>
          <w:rFonts w:ascii="Times New Roman" w:eastAsia="宋体" w:hAnsi="Times New Roman" w:cs="Times New Roman"/>
        </w:rPr>
        <w:t>5%</w:t>
      </w:r>
      <w:r>
        <w:rPr>
          <w:rFonts w:ascii="宋体" w:eastAsia="宋体" w:hAnsi="宋体" w:cs="宋体" w:hint="eastAsia"/>
          <w:color w:val="000000"/>
          <w:kern w:val="0"/>
          <w:lang w:bidi="ar"/>
        </w:rPr>
        <w:t>降低控制在</w:t>
      </w:r>
      <w:r>
        <w:rPr>
          <w:rFonts w:ascii="Times New Roman" w:eastAsia="宋体" w:hAnsi="Times New Roman" w:cs="Times New Roman" w:hint="eastAsia"/>
        </w:rPr>
        <w:t>60</w:t>
      </w:r>
      <w:r>
        <w:rPr>
          <w:rFonts w:ascii="Times New Roman" w:eastAsia="宋体" w:hAnsi="Times New Roman" w:cs="Times New Roman"/>
        </w:rPr>
        <w:t>%</w:t>
      </w:r>
      <w:r>
        <w:rPr>
          <w:rFonts w:ascii="宋体" w:eastAsia="宋体" w:hAnsi="宋体" w:cs="宋体" w:hint="eastAsia"/>
          <w:color w:val="000000"/>
          <w:kern w:val="0"/>
          <w:lang w:bidi="ar"/>
        </w:rPr>
        <w:t>左右，脱水后干泥量为</w:t>
      </w:r>
      <w:r>
        <w:rPr>
          <w:rFonts w:ascii="Times New Roman" w:eastAsia="宋体" w:hAnsi="Times New Roman" w:cs="Times New Roman" w:hint="eastAsia"/>
        </w:rPr>
        <w:t>360</w:t>
      </w:r>
      <w:r>
        <w:rPr>
          <w:rFonts w:ascii="Times New Roman" w:eastAsia="宋体" w:hAnsi="Times New Roman" w:cs="Times New Roman"/>
        </w:rPr>
        <w:t>m</w:t>
      </w:r>
      <w:r>
        <w:rPr>
          <w:rFonts w:ascii="Times New Roman" w:eastAsia="宋体" w:hAnsi="Times New Roman" w:cs="Times New Roman"/>
          <w:vertAlign w:val="superscript"/>
        </w:rPr>
        <w:t>3</w:t>
      </w:r>
      <w:r>
        <w:rPr>
          <w:rFonts w:ascii="宋体" w:eastAsia="宋体" w:hAnsi="宋体" w:cs="宋体" w:hint="eastAsia"/>
          <w:color w:val="000000"/>
          <w:kern w:val="0"/>
          <w:lang w:bidi="ar"/>
        </w:rPr>
        <w:t>，项目清淤底泥运至临时生产区干化处理后含水率控制在</w:t>
      </w:r>
      <w:r>
        <w:rPr>
          <w:rFonts w:ascii="Times New Roman" w:eastAsia="宋体" w:hAnsi="Times New Roman" w:cs="Times New Roman" w:hint="eastAsia"/>
        </w:rPr>
        <w:t>60%</w:t>
      </w:r>
      <w:r>
        <w:rPr>
          <w:rFonts w:ascii="宋体" w:eastAsia="宋体" w:hAnsi="宋体" w:cs="宋体" w:hint="eastAsia"/>
          <w:color w:val="000000"/>
          <w:kern w:val="0"/>
          <w:lang w:bidi="ar"/>
        </w:rPr>
        <w:t>左右，委托</w:t>
      </w:r>
      <w:r>
        <w:rPr>
          <w:rFonts w:hint="eastAsia"/>
        </w:rPr>
        <w:t>牡丹江金达农化有限公司对其清淤底泥进行加工制作生物肥，由企业售卖</w:t>
      </w:r>
      <w:r>
        <w:rPr>
          <w:rFonts w:ascii="宋体" w:eastAsia="宋体" w:hAnsi="宋体" w:cs="宋体" w:hint="eastAsia"/>
          <w:color w:val="000000"/>
          <w:kern w:val="0"/>
          <w:lang w:bidi="ar"/>
        </w:rPr>
        <w:t>。</w:t>
      </w:r>
    </w:p>
    <w:p w14:paraId="3E0925A0" w14:textId="77777777" w:rsidR="009D12AF" w:rsidRDefault="00000000">
      <w:pPr>
        <w:widowControl/>
        <w:ind w:firstLineChars="100" w:firstLine="240"/>
        <w:jc w:val="left"/>
        <w:rPr>
          <w:rFonts w:ascii="宋体" w:eastAsia="宋体" w:hAnsi="宋体" w:cs="宋体" w:hint="eastAsia"/>
          <w:color w:val="000000"/>
          <w:kern w:val="0"/>
          <w:lang w:bidi="ar"/>
        </w:rPr>
      </w:pPr>
      <w:r>
        <w:rPr>
          <w:rFonts w:ascii="Times New Roman" w:eastAsia="宋体" w:hAnsi="Times New Roman" w:cs="Times New Roman" w:hint="eastAsia"/>
        </w:rPr>
        <w:t>（</w:t>
      </w:r>
      <w:r>
        <w:rPr>
          <w:rFonts w:ascii="Times New Roman" w:eastAsia="宋体" w:hAnsi="Times New Roman" w:cs="Times New Roman" w:hint="eastAsia"/>
        </w:rPr>
        <w:t>3</w:t>
      </w:r>
      <w:r>
        <w:rPr>
          <w:rFonts w:ascii="Times New Roman" w:eastAsia="宋体" w:hAnsi="Times New Roman" w:cs="Times New Roman" w:hint="eastAsia"/>
        </w:rPr>
        <w:t>）</w:t>
      </w:r>
      <w:r>
        <w:rPr>
          <w:rFonts w:ascii="宋体" w:eastAsia="宋体" w:hAnsi="宋体" w:cs="宋体" w:hint="eastAsia"/>
          <w:color w:val="000000"/>
          <w:kern w:val="0"/>
          <w:lang w:bidi="ar"/>
        </w:rPr>
        <w:t>隔油浮渣</w:t>
      </w:r>
    </w:p>
    <w:p w14:paraId="7FF54BA1" w14:textId="77777777" w:rsidR="009D12AF" w:rsidRDefault="00000000">
      <w:pPr>
        <w:widowControl/>
        <w:ind w:firstLine="480"/>
        <w:jc w:val="left"/>
        <w:rPr>
          <w:rFonts w:ascii="宋体" w:eastAsia="宋体" w:hAnsi="宋体" w:cs="宋体" w:hint="eastAsia"/>
          <w:color w:val="000000"/>
          <w:kern w:val="0"/>
          <w:lang w:bidi="ar"/>
        </w:rPr>
      </w:pPr>
      <w:r>
        <w:rPr>
          <w:rFonts w:ascii="宋体" w:eastAsia="宋体" w:hAnsi="宋体" w:cs="宋体" w:hint="eastAsia"/>
          <w:color w:val="000000"/>
          <w:kern w:val="0"/>
          <w:lang w:bidi="ar"/>
        </w:rPr>
        <w:t>本项目车辆机械冲洗废水经隔油沉淀池处理时会产生浮油浮渣，根据同类型项目类比，废水处理浮油约为废水处理量的</w:t>
      </w:r>
      <w:r>
        <w:rPr>
          <w:rFonts w:ascii="Times New Roman" w:eastAsia="宋体" w:hAnsi="Times New Roman" w:cs="Times New Roman"/>
          <w:color w:val="000000"/>
          <w:kern w:val="0"/>
          <w:lang w:bidi="ar"/>
        </w:rPr>
        <w:t>3</w:t>
      </w:r>
      <w:r>
        <w:rPr>
          <w:rFonts w:ascii="Times New Roman" w:eastAsia="宋体" w:hAnsi="Times New Roman" w:cs="Times New Roman" w:hint="eastAsia"/>
          <w:color w:val="000000"/>
          <w:kern w:val="0"/>
          <w:lang w:bidi="ar"/>
        </w:rPr>
        <w:t>%</w:t>
      </w:r>
      <w:r>
        <w:rPr>
          <w:rFonts w:ascii="宋体" w:eastAsia="宋体" w:hAnsi="宋体" w:cs="宋体" w:hint="eastAsia"/>
          <w:color w:val="000000"/>
          <w:kern w:val="0"/>
          <w:lang w:bidi="ar"/>
        </w:rPr>
        <w:t>，则其产生量约</w:t>
      </w:r>
      <w:r>
        <w:rPr>
          <w:rFonts w:ascii="Times New Roman" w:eastAsia="宋体" w:hAnsi="Times New Roman" w:cs="Times New Roman" w:hint="eastAsia"/>
          <w:color w:val="000000"/>
          <w:kern w:val="0"/>
          <w:lang w:bidi="ar"/>
        </w:rPr>
        <w:t>5.856</w:t>
      </w:r>
      <w:r>
        <w:rPr>
          <w:rFonts w:ascii="Times New Roman" w:eastAsia="宋体" w:hAnsi="Times New Roman" w:cs="Times New Roman"/>
          <w:color w:val="000000"/>
          <w:kern w:val="0"/>
          <w:lang w:bidi="ar"/>
        </w:rPr>
        <w:t>t</w:t>
      </w:r>
      <w:r>
        <w:rPr>
          <w:rFonts w:ascii="宋体" w:eastAsia="宋体" w:hAnsi="宋体" w:cs="宋体" w:hint="eastAsia"/>
          <w:color w:val="000000"/>
          <w:kern w:val="0"/>
          <w:lang w:bidi="ar"/>
        </w:rPr>
        <w:t>，废水处理浮油为危险废物，废物类别为</w:t>
      </w:r>
      <w:r>
        <w:rPr>
          <w:rFonts w:ascii="Times New Roman" w:eastAsia="宋体" w:hAnsi="Times New Roman" w:cs="Times New Roman"/>
          <w:color w:val="000000"/>
          <w:kern w:val="0"/>
          <w:lang w:bidi="ar"/>
        </w:rPr>
        <w:t>HW08</w:t>
      </w:r>
      <w:r>
        <w:rPr>
          <w:rFonts w:ascii="宋体" w:eastAsia="宋体" w:hAnsi="宋体" w:cs="宋体" w:hint="eastAsia"/>
          <w:color w:val="000000"/>
          <w:kern w:val="0"/>
          <w:lang w:bidi="ar"/>
        </w:rPr>
        <w:t>废矿物油与含矿物油废物，废物代码为</w:t>
      </w:r>
      <w:r>
        <w:rPr>
          <w:rFonts w:ascii="Times New Roman" w:eastAsia="宋体" w:hAnsi="Times New Roman" w:cs="Times New Roman"/>
          <w:color w:val="000000"/>
          <w:kern w:val="0"/>
          <w:lang w:bidi="ar"/>
        </w:rPr>
        <w:t>900-210-08</w:t>
      </w:r>
      <w:r>
        <w:rPr>
          <w:rFonts w:ascii="宋体" w:eastAsia="宋体" w:hAnsi="宋体" w:cs="宋体" w:hint="eastAsia"/>
          <w:color w:val="000000"/>
          <w:kern w:val="0"/>
          <w:lang w:bidi="ar"/>
        </w:rPr>
        <w:t>，危险特性为</w:t>
      </w:r>
      <w:r>
        <w:rPr>
          <w:rFonts w:ascii="Times New Roman" w:eastAsia="宋体" w:hAnsi="Times New Roman" w:cs="Times New Roman"/>
          <w:color w:val="000000"/>
          <w:kern w:val="0"/>
          <w:lang w:bidi="ar"/>
        </w:rPr>
        <w:t>T</w:t>
      </w:r>
      <w:r>
        <w:rPr>
          <w:rFonts w:ascii="宋体" w:eastAsia="宋体" w:hAnsi="宋体" w:cs="宋体" w:hint="eastAsia"/>
          <w:color w:val="000000"/>
          <w:kern w:val="0"/>
          <w:lang w:bidi="ar"/>
        </w:rPr>
        <w:t>，</w:t>
      </w:r>
      <w:r>
        <w:rPr>
          <w:rFonts w:ascii="Times New Roman" w:eastAsia="宋体" w:hAnsi="Times New Roman" w:cs="Times New Roman"/>
          <w:color w:val="000000"/>
          <w:kern w:val="0"/>
          <w:lang w:bidi="ar"/>
        </w:rPr>
        <w:t>I</w:t>
      </w:r>
      <w:r>
        <w:rPr>
          <w:rFonts w:ascii="宋体" w:eastAsia="宋体" w:hAnsi="宋体" w:cs="宋体" w:hint="eastAsia"/>
          <w:color w:val="000000"/>
          <w:kern w:val="0"/>
          <w:lang w:bidi="ar"/>
        </w:rPr>
        <w:t>，废水处理浮油交由有资质的单位处理。</w:t>
      </w:r>
    </w:p>
    <w:p w14:paraId="00635DE6" w14:textId="77777777" w:rsidR="009D12AF" w:rsidRDefault="00000000">
      <w:pPr>
        <w:widowControl/>
        <w:ind w:firstLineChars="100" w:firstLine="240"/>
        <w:jc w:val="left"/>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hint="eastAsia"/>
        </w:rPr>
        <w:t>4</w:t>
      </w:r>
      <w:r>
        <w:rPr>
          <w:rFonts w:ascii="Times New Roman" w:eastAsia="宋体" w:hAnsi="Times New Roman" w:cs="Times New Roman" w:hint="eastAsia"/>
        </w:rPr>
        <w:t>）场地清理及土方开挖产生的废渣</w:t>
      </w:r>
    </w:p>
    <w:p w14:paraId="7F15DE26" w14:textId="77777777" w:rsidR="009D12AF" w:rsidRDefault="00000000">
      <w:pPr>
        <w:ind w:firstLine="480"/>
      </w:pPr>
      <w:r>
        <w:rPr>
          <w:rFonts w:hint="eastAsia"/>
        </w:rPr>
        <w:t>区内分布的表土均为可剥离表土，本工程表土剥离及挖方量为</w:t>
      </w:r>
      <w:r>
        <w:rPr>
          <w:rFonts w:hint="eastAsia"/>
        </w:rPr>
        <w:t>139345.11m</w:t>
      </w:r>
      <w:r>
        <w:rPr>
          <w:rFonts w:hint="eastAsia"/>
        </w:rPr>
        <w:t>³。待施工结束后，进行全面整地、表土回覆、土地复垦及植被恢复</w:t>
      </w:r>
    </w:p>
    <w:p w14:paraId="04F84E59" w14:textId="77777777" w:rsidR="009D12AF" w:rsidRDefault="00000000">
      <w:pPr>
        <w:ind w:firstLine="480"/>
        <w:rPr>
          <w:color w:val="FF0000"/>
          <w:sz w:val="28"/>
          <w:szCs w:val="28"/>
          <w:highlight w:val="yellow"/>
        </w:rPr>
      </w:pPr>
      <w:r>
        <w:t>采取上述措施，可妥善处置施工期固体废物，控制其对环境影响，固体废物处置措施可行。</w:t>
      </w:r>
    </w:p>
    <w:p w14:paraId="44E25578" w14:textId="77777777" w:rsidR="009D12AF" w:rsidRDefault="00000000">
      <w:pPr>
        <w:ind w:firstLine="480"/>
      </w:pPr>
      <w:r>
        <w:t>5</w:t>
      </w:r>
      <w:r>
        <w:t>、生态</w:t>
      </w:r>
    </w:p>
    <w:p w14:paraId="39F5ABB8" w14:textId="77777777" w:rsidR="009D12AF" w:rsidRDefault="00000000">
      <w:pPr>
        <w:ind w:firstLine="480"/>
      </w:pPr>
      <w:r>
        <w:t>本工程在施工过程中，将导致临时占地土壤和植被破坏，会对自然景观、水土流失、生物多样性、土地利用功能等产生影响。</w:t>
      </w:r>
    </w:p>
    <w:p w14:paraId="20C9847E" w14:textId="77777777" w:rsidR="009D12AF" w:rsidRDefault="00000000">
      <w:pPr>
        <w:autoSpaceDE w:val="0"/>
        <w:autoSpaceDN w:val="0"/>
        <w:adjustRightInd w:val="0"/>
        <w:ind w:firstLine="480"/>
        <w:rPr>
          <w:kern w:val="0"/>
        </w:rPr>
      </w:pPr>
      <w:r>
        <w:rPr>
          <w:rFonts w:hint="eastAsia"/>
          <w:kern w:val="0"/>
        </w:rPr>
        <w:t>①植物保护措施</w:t>
      </w:r>
    </w:p>
    <w:p w14:paraId="6DEC96A9" w14:textId="77777777" w:rsidR="009D12AF" w:rsidRDefault="00000000">
      <w:pPr>
        <w:autoSpaceDE w:val="0"/>
        <w:autoSpaceDN w:val="0"/>
        <w:adjustRightInd w:val="0"/>
        <w:ind w:firstLine="480"/>
        <w:rPr>
          <w:kern w:val="0"/>
        </w:rPr>
      </w:pPr>
      <w:r>
        <w:rPr>
          <w:kern w:val="0"/>
        </w:rPr>
        <w:t>严格按照设计文件确定范围征占土地，进行地表植被清理工作；严格控制施工作业面，避免超挖破坏周围植被；禁止施工人员、车辆进入非施工占地区域</w:t>
      </w:r>
      <w:r>
        <w:rPr>
          <w:rFonts w:hint="eastAsia"/>
          <w:kern w:val="0"/>
        </w:rPr>
        <w:t>；</w:t>
      </w:r>
      <w:r>
        <w:rPr>
          <w:kern w:val="0"/>
        </w:rPr>
        <w:t>优化施工方案，合理安排施工进度，避开雨天施工</w:t>
      </w:r>
      <w:r>
        <w:rPr>
          <w:rFonts w:hint="eastAsia"/>
          <w:kern w:val="0"/>
        </w:rPr>
        <w:t>；</w:t>
      </w:r>
      <w:r>
        <w:rPr>
          <w:kern w:val="0"/>
        </w:rPr>
        <w:t>临时占地施工前，应将表土（</w:t>
      </w:r>
      <w:r>
        <w:rPr>
          <w:kern w:val="0"/>
        </w:rPr>
        <w:t>20cm</w:t>
      </w:r>
      <w:r>
        <w:rPr>
          <w:kern w:val="0"/>
        </w:rPr>
        <w:t>）剥离，集中堆存集中堆置在临时施工区的侧边，用于后期绿化及临时占地植被恢复</w:t>
      </w:r>
      <w:r>
        <w:rPr>
          <w:rFonts w:hint="eastAsia"/>
          <w:kern w:val="0"/>
        </w:rPr>
        <w:t>；</w:t>
      </w:r>
      <w:r>
        <w:rPr>
          <w:kern w:val="0"/>
        </w:rPr>
        <w:t>施工过程中严格按设计规定的弃土场进行弃土作业；严格控制弃</w:t>
      </w:r>
      <w:r>
        <w:rPr>
          <w:kern w:val="0"/>
        </w:rPr>
        <w:lastRenderedPageBreak/>
        <w:t>土场面积，不得随意扩大弃土场范围及破坏周围农田、植被</w:t>
      </w:r>
      <w:r>
        <w:rPr>
          <w:rFonts w:hint="eastAsia"/>
          <w:kern w:val="0"/>
        </w:rPr>
        <w:t>；</w:t>
      </w:r>
      <w:r>
        <w:rPr>
          <w:kern w:val="0"/>
        </w:rPr>
        <w:t>工程完工后对临时占地进行平整，恢复其原利用类型，以撒播种草、栽植灌木柳为主。</w:t>
      </w:r>
    </w:p>
    <w:p w14:paraId="285CB6C6" w14:textId="77777777" w:rsidR="009D12AF" w:rsidRDefault="00000000">
      <w:pPr>
        <w:autoSpaceDE w:val="0"/>
        <w:autoSpaceDN w:val="0"/>
        <w:adjustRightInd w:val="0"/>
        <w:ind w:firstLine="480"/>
        <w:rPr>
          <w:kern w:val="0"/>
        </w:rPr>
      </w:pPr>
      <w:r>
        <w:rPr>
          <w:rFonts w:hint="eastAsia"/>
          <w:kern w:val="0"/>
        </w:rPr>
        <w:t>②动物保护措施</w:t>
      </w:r>
    </w:p>
    <w:p w14:paraId="07DC9AA2" w14:textId="77777777" w:rsidR="009D12AF" w:rsidRDefault="00000000">
      <w:pPr>
        <w:autoSpaceDE w:val="0"/>
        <w:autoSpaceDN w:val="0"/>
        <w:adjustRightInd w:val="0"/>
        <w:ind w:firstLine="480"/>
        <w:rPr>
          <w:kern w:val="0"/>
        </w:rPr>
      </w:pPr>
      <w:r>
        <w:rPr>
          <w:kern w:val="0"/>
        </w:rPr>
        <w:t>施工后及时清除建筑杂物、弃渣、弃土，弃渣弃土进行回填。工程施工及施工后恢复期间，保持施工现场的地形地貌避免水土流失以保护两栖类动物生存、繁殖的生境</w:t>
      </w:r>
      <w:r>
        <w:rPr>
          <w:rFonts w:hint="eastAsia"/>
          <w:kern w:val="0"/>
        </w:rPr>
        <w:t>；</w:t>
      </w:r>
      <w:r>
        <w:rPr>
          <w:kern w:val="0"/>
        </w:rPr>
        <w:t>施工期间，人为活动的增加以及机械的振动、噪声，均会惊吓、干扰某些鸟类，鸟类将通过迁移和飞翔来避免工程对其栖息和觅食的影响。因此，在本项目施工中应采取一定的降噪、减震措施，合理安排施工进度，缩短施工时间，各施工工序要连续进行，避免在鸟类繁殖季节施工，以减少对营巢鸟类繁殖的影响。</w:t>
      </w:r>
    </w:p>
    <w:p w14:paraId="3524DE04" w14:textId="77777777" w:rsidR="009D12AF" w:rsidRDefault="00000000">
      <w:pPr>
        <w:autoSpaceDE w:val="0"/>
        <w:autoSpaceDN w:val="0"/>
        <w:adjustRightInd w:val="0"/>
        <w:ind w:firstLine="480"/>
        <w:rPr>
          <w:kern w:val="0"/>
        </w:rPr>
      </w:pPr>
      <w:r>
        <w:rPr>
          <w:rFonts w:hint="eastAsia"/>
          <w:kern w:val="0"/>
        </w:rPr>
        <w:t>③土壤保护措施</w:t>
      </w:r>
    </w:p>
    <w:p w14:paraId="62661CE3" w14:textId="77777777" w:rsidR="009D12AF" w:rsidRDefault="00000000">
      <w:pPr>
        <w:ind w:firstLine="480"/>
        <w:rPr>
          <w:color w:val="FF0000"/>
          <w:highlight w:val="yellow"/>
        </w:rPr>
      </w:pPr>
      <w:r>
        <w:rPr>
          <w:kern w:val="0"/>
        </w:rPr>
        <w:t>应对表土进行剥离，整形堆置，并做好水土流失防护措施，严禁表土随意丢弃。通过采取表土保护措施后对黑土地影响不大。本工程临时占地前对表土进行剥离保护，施工结束后回填表土，对土壤质量影响较小。剥离的腐殖土、种植土等表土黑土层集中堆放，采用苫布遮盖、编织袋拦挡等措施，避免水土流失。剥离的表土用于绿化或区域土地整治、生态修复等项目。因此本项目剥离表土只存</w:t>
      </w:r>
      <w:r>
        <w:t>在于施工期，施工后剥离的表土拖平回填并播散草籽用于生态修复。</w:t>
      </w:r>
    </w:p>
    <w:p w14:paraId="026F1DB7" w14:textId="77777777" w:rsidR="009D12AF" w:rsidRDefault="00000000">
      <w:pPr>
        <w:ind w:firstLine="480"/>
      </w:pPr>
      <w:r>
        <w:rPr>
          <w:rFonts w:hint="eastAsia"/>
        </w:rPr>
        <w:t>6</w:t>
      </w:r>
      <w:r>
        <w:rPr>
          <w:rFonts w:hint="eastAsia"/>
        </w:rPr>
        <w:t>、防沙治沙</w:t>
      </w:r>
    </w:p>
    <w:p w14:paraId="7BD3A282" w14:textId="77777777" w:rsidR="009D12AF" w:rsidRDefault="00000000">
      <w:pPr>
        <w:ind w:firstLine="480"/>
      </w:pPr>
      <w:r>
        <w:rPr>
          <w:rFonts w:hint="eastAsia"/>
        </w:rPr>
        <w:t>①施工结束后及时有效地对占地区域土地进行平整，并压实，利于植被自然恢复；②施工时要特别注意保护原始地表与天然植被，施工尽量缩小占地面积，划定施工活动范围，严格控制和管理车辆及重型机械的运行范围，所有车辆采用“一”字型作业法，避免并行开辟新路，以减少风蚀沙化活动的范围；③施工作业避免在大风天施工；④路基边坡采取种草措施护坡固土，维护路基稳定和道路安全运行；⑤加强施工管理，尽量减少临时工程占地，缩短临时占地使用时间，及时恢复土地原有功能</w:t>
      </w:r>
    </w:p>
    <w:p w14:paraId="010E5BCE" w14:textId="77777777" w:rsidR="009D12AF" w:rsidRDefault="00000000">
      <w:pPr>
        <w:ind w:firstLine="480"/>
      </w:pPr>
      <w:r>
        <w:rPr>
          <w:rFonts w:hint="eastAsia"/>
        </w:rPr>
        <w:t>通过以上措施，可有效防止土地沙化。</w:t>
      </w:r>
    </w:p>
    <w:p w14:paraId="1EE49AB8" w14:textId="77777777" w:rsidR="009D12AF" w:rsidRDefault="00000000">
      <w:pPr>
        <w:ind w:firstLine="480"/>
      </w:pPr>
      <w:r>
        <w:rPr>
          <w:rFonts w:hint="eastAsia"/>
        </w:rPr>
        <w:t>7</w:t>
      </w:r>
      <w:r>
        <w:rPr>
          <w:rFonts w:hint="eastAsia"/>
        </w:rPr>
        <w:t>、水土流失防治</w:t>
      </w:r>
    </w:p>
    <w:p w14:paraId="4310571E" w14:textId="77777777" w:rsidR="009D12AF" w:rsidRDefault="00000000">
      <w:pPr>
        <w:ind w:firstLine="480"/>
      </w:pPr>
      <w:r>
        <w:rPr>
          <w:rFonts w:hint="eastAsia"/>
        </w:rPr>
        <w:t>①施工单位应随时与气象部门联系，事先了解降雨时间和特点，以便采取适</w:t>
      </w:r>
      <w:r>
        <w:rPr>
          <w:rFonts w:hint="eastAsia"/>
        </w:rPr>
        <w:lastRenderedPageBreak/>
        <w:t>当的防护措施；②地质不良地段的施工尽量避开雨季；③当暴雨来临时应使用一些防护物，减小水土流失危害和影响；④施工前，对临时占地表土进行剥离。</w:t>
      </w:r>
    </w:p>
    <w:p w14:paraId="64EAE9CF" w14:textId="77777777" w:rsidR="009D12AF" w:rsidRDefault="00000000">
      <w:pPr>
        <w:pStyle w:val="3"/>
      </w:pPr>
      <w:bookmarkStart w:id="500" w:name="_Toc22844"/>
      <w:bookmarkStart w:id="501" w:name="_Toc9544"/>
      <w:bookmarkStart w:id="502" w:name="_Toc7293"/>
      <w:bookmarkStart w:id="503" w:name="_Toc17175"/>
      <w:r>
        <w:rPr>
          <w:rFonts w:hint="eastAsia"/>
        </w:rPr>
        <w:t>9</w:t>
      </w:r>
      <w:r>
        <w:t xml:space="preserve">.3.2 </w:t>
      </w:r>
      <w:bookmarkEnd w:id="500"/>
      <w:bookmarkEnd w:id="501"/>
      <w:bookmarkEnd w:id="502"/>
      <w:r>
        <w:rPr>
          <w:rFonts w:hint="eastAsia"/>
        </w:rPr>
        <w:t>运行期</w:t>
      </w:r>
      <w:bookmarkEnd w:id="503"/>
    </w:p>
    <w:p w14:paraId="23188C82" w14:textId="77777777" w:rsidR="009D12AF" w:rsidRDefault="00000000">
      <w:pPr>
        <w:autoSpaceDE w:val="0"/>
        <w:autoSpaceDN w:val="0"/>
        <w:adjustRightInd w:val="0"/>
        <w:snapToGrid w:val="0"/>
        <w:ind w:firstLine="480"/>
        <w:rPr>
          <w:kern w:val="0"/>
        </w:rPr>
      </w:pPr>
      <w:r>
        <w:rPr>
          <w:rFonts w:hint="eastAsia"/>
          <w:kern w:val="0"/>
        </w:rPr>
        <w:t>本项目为河湖整治类项目，项目的运行过程中不会对大气环境、水环境、声环境及地下水河土壤产生不利影响。</w:t>
      </w:r>
    </w:p>
    <w:p w14:paraId="7FD316B0" w14:textId="77777777" w:rsidR="009D12AF" w:rsidRDefault="00000000">
      <w:pPr>
        <w:ind w:firstLine="480"/>
        <w:rPr>
          <w:highlight w:val="yellow"/>
        </w:rPr>
      </w:pPr>
      <w:r>
        <w:t>本项目的实施有利于海浪河及下游</w:t>
      </w:r>
      <w:r>
        <w:rPr>
          <w:rFonts w:hint="eastAsia"/>
        </w:rPr>
        <w:t>莲花湖及水库</w:t>
      </w:r>
      <w:r>
        <w:t>的水质提升，满足城市建设的高标准要求，有较强的经济和社会效益。</w:t>
      </w:r>
    </w:p>
    <w:p w14:paraId="601A585E" w14:textId="77777777" w:rsidR="009D12AF" w:rsidRDefault="00000000">
      <w:pPr>
        <w:pStyle w:val="2"/>
      </w:pPr>
      <w:bookmarkStart w:id="504" w:name="_Toc27778"/>
      <w:r>
        <w:rPr>
          <w:rFonts w:hint="eastAsia"/>
        </w:rPr>
        <w:t>9</w:t>
      </w:r>
      <w:r>
        <w:t>.</w:t>
      </w:r>
      <w:r>
        <w:rPr>
          <w:rFonts w:hint="eastAsia"/>
        </w:rPr>
        <w:t>4</w:t>
      </w:r>
      <w:r>
        <w:t xml:space="preserve"> </w:t>
      </w:r>
      <w:r>
        <w:t>环境影响经济损益分析</w:t>
      </w:r>
      <w:bookmarkEnd w:id="504"/>
    </w:p>
    <w:p w14:paraId="6DBD06DB" w14:textId="77777777" w:rsidR="009D12AF" w:rsidRDefault="00000000">
      <w:pPr>
        <w:ind w:firstLine="480"/>
      </w:pPr>
      <w:r>
        <w:t>本</w:t>
      </w:r>
      <w:r>
        <w:rPr>
          <w:rFonts w:hint="eastAsia"/>
        </w:rPr>
        <w:t>项目实施后</w:t>
      </w:r>
      <w:r>
        <w:t>，能够更为合理地利用水资源，改善区域气候，可促进有机物再循环，控制了污染，保护了环境和生物资源，对区域生态环境有显著的积极影响。</w:t>
      </w:r>
    </w:p>
    <w:p w14:paraId="07BCF14E" w14:textId="77777777" w:rsidR="009D12AF" w:rsidRDefault="00000000">
      <w:pPr>
        <w:pStyle w:val="2"/>
      </w:pPr>
      <w:bookmarkStart w:id="505" w:name="_Toc20418"/>
      <w:r>
        <w:rPr>
          <w:rFonts w:hint="eastAsia"/>
        </w:rPr>
        <w:t>9</w:t>
      </w:r>
      <w:r>
        <w:t>.</w:t>
      </w:r>
      <w:r>
        <w:rPr>
          <w:rFonts w:hint="eastAsia"/>
        </w:rPr>
        <w:t>5</w:t>
      </w:r>
      <w:r>
        <w:t xml:space="preserve"> </w:t>
      </w:r>
      <w:r>
        <w:t>环境管理与监测</w:t>
      </w:r>
      <w:bookmarkEnd w:id="505"/>
    </w:p>
    <w:p w14:paraId="7681E69E" w14:textId="77777777" w:rsidR="009D12AF" w:rsidRDefault="00000000">
      <w:pPr>
        <w:ind w:firstLine="480"/>
      </w:pPr>
      <w:r>
        <w:t>本次工程实施后，建设单位将按照环评要求制定环境管理制度，划分环境管理职责，定期委托第三方监测</w:t>
      </w:r>
      <w:r>
        <w:rPr>
          <w:rFonts w:hint="eastAsia"/>
        </w:rPr>
        <w:t>机构</w:t>
      </w:r>
      <w:r>
        <w:t>按照监测计划对本项目其他污染源及区域环境质量进行监测。</w:t>
      </w:r>
    </w:p>
    <w:p w14:paraId="70793ED2" w14:textId="77777777" w:rsidR="009D12AF" w:rsidRDefault="00000000">
      <w:pPr>
        <w:pStyle w:val="2"/>
      </w:pPr>
      <w:bookmarkStart w:id="506" w:name="_Toc21353"/>
      <w:r>
        <w:rPr>
          <w:rFonts w:hint="eastAsia"/>
        </w:rPr>
        <w:t>9</w:t>
      </w:r>
      <w:r>
        <w:t>.</w:t>
      </w:r>
      <w:r>
        <w:rPr>
          <w:rFonts w:hint="eastAsia"/>
        </w:rPr>
        <w:t>6</w:t>
      </w:r>
      <w:r>
        <w:t xml:space="preserve"> </w:t>
      </w:r>
      <w:r>
        <w:t>公众参与结论</w:t>
      </w:r>
      <w:bookmarkEnd w:id="506"/>
    </w:p>
    <w:p w14:paraId="766BEF34" w14:textId="77777777" w:rsidR="009D12AF" w:rsidRDefault="00000000">
      <w:pPr>
        <w:ind w:firstLine="480"/>
      </w:pPr>
      <w:r>
        <w:t>本项目在公示期间，建设单位未接到公众反馈意见。通项目区公众对项目建设的总体意见是赞成的，建设单位切实落实各项污染防治措施，加强环境管理，把本工程环境污染降低到最低限度。从总体上看，公众对建设项目的意见是支持项目建设，同意项目选址。</w:t>
      </w:r>
    </w:p>
    <w:p w14:paraId="25C493E8" w14:textId="77777777" w:rsidR="009D12AF" w:rsidRDefault="00000000">
      <w:pPr>
        <w:pStyle w:val="2"/>
      </w:pPr>
      <w:bookmarkStart w:id="507" w:name="_Toc7273"/>
      <w:r>
        <w:rPr>
          <w:rFonts w:hint="eastAsia"/>
        </w:rPr>
        <w:lastRenderedPageBreak/>
        <w:t>9</w:t>
      </w:r>
      <w:r>
        <w:t>.</w:t>
      </w:r>
      <w:r>
        <w:rPr>
          <w:rFonts w:hint="eastAsia"/>
        </w:rPr>
        <w:t>7</w:t>
      </w:r>
      <w:r>
        <w:t xml:space="preserve"> </w:t>
      </w:r>
      <w:r>
        <w:t>环境影响可行性结论</w:t>
      </w:r>
      <w:bookmarkEnd w:id="507"/>
    </w:p>
    <w:p w14:paraId="016AE20F" w14:textId="77777777" w:rsidR="009D12AF" w:rsidRDefault="00000000">
      <w:pPr>
        <w:ind w:firstLine="480"/>
      </w:pPr>
      <w:r>
        <w:t>本项目建设符合国家产业政策，工程建设以有利影响为主，工程建设完成后，将改善农业生产条件和农村生态环境，促进农业经济的发展，有利于区内水土资源的可持续利用，其社会效益、经济效益、环境效益显著。但工程在施工期及运行期对周围环境也将产生不利影响，这些影响大多数是暂时的，采取一定的环境保护措施可以减轻或避免工程实施对环境产生的不利影响。因此，从可持续发展与环保角度考虑，只要加强环境管理，认真落实本报告所提出的各项污染防治措施和生态恢复措施，确保各污染物达标排放的前提下，项目可行。</w:t>
      </w:r>
    </w:p>
    <w:p w14:paraId="7C6F0474" w14:textId="77777777" w:rsidR="009D12AF" w:rsidRDefault="00000000">
      <w:pPr>
        <w:ind w:firstLine="480"/>
        <w:rPr>
          <w:highlight w:val="yellow"/>
        </w:rPr>
      </w:pPr>
      <w:r>
        <w:rPr>
          <w:highlight w:val="yellow"/>
        </w:rPr>
        <w:br w:type="page"/>
      </w:r>
    </w:p>
    <w:p w14:paraId="4A0AE062" w14:textId="77777777" w:rsidR="009D12AF" w:rsidRDefault="00000000">
      <w:pPr>
        <w:pStyle w:val="2"/>
        <w:rPr>
          <w:rStyle w:val="af0"/>
          <w:rFonts w:ascii="Times New Roman" w:eastAsia="宋体" w:hAnsi="Times New Roman" w:cs="Times New Roman"/>
          <w:b w:val="0"/>
          <w:color w:val="auto"/>
          <w:sz w:val="24"/>
          <w:szCs w:val="22"/>
        </w:rPr>
      </w:pPr>
      <w:bookmarkStart w:id="508" w:name="_Toc28246"/>
      <w:bookmarkStart w:id="509" w:name="_Toc29328"/>
      <w:bookmarkStart w:id="510" w:name="_Toc149123022"/>
      <w:bookmarkStart w:id="511" w:name="_Toc28926"/>
      <w:r>
        <w:rPr>
          <w:rStyle w:val="af0"/>
          <w:rFonts w:ascii="Times New Roman" w:eastAsia="宋体" w:hAnsi="Times New Roman" w:cs="Times New Roman" w:hint="eastAsia"/>
          <w:b w:val="0"/>
          <w:color w:val="auto"/>
          <w:sz w:val="24"/>
          <w:szCs w:val="22"/>
        </w:rPr>
        <w:lastRenderedPageBreak/>
        <w:t>附表</w:t>
      </w:r>
      <w:r>
        <w:rPr>
          <w:rStyle w:val="af0"/>
          <w:rFonts w:ascii="Times New Roman" w:eastAsia="宋体" w:hAnsi="Times New Roman" w:cs="Times New Roman" w:hint="eastAsia"/>
          <w:b w:val="0"/>
          <w:color w:val="auto"/>
          <w:sz w:val="24"/>
          <w:szCs w:val="22"/>
        </w:rPr>
        <w:t xml:space="preserve">1 </w:t>
      </w:r>
      <w:r>
        <w:rPr>
          <w:rStyle w:val="af0"/>
          <w:rFonts w:ascii="Times New Roman" w:eastAsia="宋体" w:hAnsi="Times New Roman" w:cs="Times New Roman" w:hint="eastAsia"/>
          <w:b w:val="0"/>
          <w:color w:val="auto"/>
          <w:sz w:val="24"/>
          <w:szCs w:val="22"/>
        </w:rPr>
        <w:t>建设项目大气环境影响评价自查表</w:t>
      </w:r>
      <w:bookmarkEnd w:id="508"/>
      <w:bookmarkEnd w:id="509"/>
      <w:bookmarkEnd w:id="510"/>
      <w:bookmarkEnd w:id="511"/>
    </w:p>
    <w:tbl>
      <w:tblPr>
        <w:tblW w:w="861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815"/>
        <w:gridCol w:w="1555"/>
        <w:gridCol w:w="850"/>
        <w:gridCol w:w="421"/>
        <w:gridCol w:w="178"/>
        <w:gridCol w:w="152"/>
        <w:gridCol w:w="521"/>
        <w:gridCol w:w="433"/>
        <w:gridCol w:w="489"/>
        <w:gridCol w:w="37"/>
        <w:gridCol w:w="196"/>
        <w:gridCol w:w="94"/>
        <w:gridCol w:w="162"/>
        <w:gridCol w:w="10"/>
        <w:gridCol w:w="146"/>
        <w:gridCol w:w="484"/>
        <w:gridCol w:w="75"/>
        <w:gridCol w:w="277"/>
        <w:gridCol w:w="97"/>
        <w:gridCol w:w="17"/>
        <w:gridCol w:w="231"/>
        <w:gridCol w:w="361"/>
        <w:gridCol w:w="287"/>
        <w:gridCol w:w="722"/>
      </w:tblGrid>
      <w:tr w:rsidR="009D12AF" w14:paraId="08F4438C" w14:textId="77777777">
        <w:tc>
          <w:tcPr>
            <w:tcW w:w="2370" w:type="dxa"/>
            <w:gridSpan w:val="2"/>
            <w:vAlign w:val="center"/>
          </w:tcPr>
          <w:p w14:paraId="1E4EF9ED" w14:textId="77777777" w:rsidR="009D12AF" w:rsidRDefault="00000000">
            <w:pPr>
              <w:spacing w:line="240" w:lineRule="auto"/>
              <w:ind w:firstLineChars="0" w:firstLine="0"/>
              <w:jc w:val="center"/>
              <w:rPr>
                <w:rFonts w:cs="Times New Roman"/>
                <w:sz w:val="21"/>
                <w:szCs w:val="21"/>
              </w:rPr>
            </w:pPr>
            <w:r>
              <w:rPr>
                <w:rFonts w:cs="Times New Roman"/>
                <w:sz w:val="21"/>
                <w:szCs w:val="21"/>
              </w:rPr>
              <w:t>工作内容</w:t>
            </w:r>
          </w:p>
        </w:tc>
        <w:tc>
          <w:tcPr>
            <w:tcW w:w="6240" w:type="dxa"/>
            <w:gridSpan w:val="22"/>
            <w:vAlign w:val="center"/>
          </w:tcPr>
          <w:p w14:paraId="56D6C945" w14:textId="77777777" w:rsidR="009D12AF" w:rsidRDefault="00000000">
            <w:pPr>
              <w:spacing w:line="240" w:lineRule="auto"/>
              <w:ind w:firstLineChars="0" w:firstLine="0"/>
              <w:jc w:val="center"/>
              <w:rPr>
                <w:rFonts w:cs="Times New Roman"/>
                <w:sz w:val="21"/>
                <w:szCs w:val="21"/>
              </w:rPr>
            </w:pPr>
            <w:r>
              <w:rPr>
                <w:rFonts w:cs="Times New Roman"/>
                <w:sz w:val="21"/>
                <w:szCs w:val="21"/>
              </w:rPr>
              <w:t>自查项目</w:t>
            </w:r>
          </w:p>
        </w:tc>
      </w:tr>
      <w:tr w:rsidR="009D12AF" w14:paraId="59C447E2" w14:textId="77777777">
        <w:tc>
          <w:tcPr>
            <w:tcW w:w="815" w:type="dxa"/>
            <w:vMerge w:val="restart"/>
            <w:vAlign w:val="center"/>
          </w:tcPr>
          <w:p w14:paraId="1DCFFF6B" w14:textId="77777777" w:rsidR="009D12AF" w:rsidRDefault="00000000">
            <w:pPr>
              <w:spacing w:line="240" w:lineRule="auto"/>
              <w:ind w:firstLineChars="0" w:firstLine="0"/>
              <w:jc w:val="center"/>
              <w:rPr>
                <w:rFonts w:cs="Times New Roman"/>
                <w:sz w:val="21"/>
                <w:szCs w:val="21"/>
              </w:rPr>
            </w:pPr>
            <w:r>
              <w:rPr>
                <w:rFonts w:cs="Times New Roman"/>
                <w:sz w:val="21"/>
                <w:szCs w:val="21"/>
              </w:rPr>
              <w:t>评价等级与范围</w:t>
            </w:r>
          </w:p>
        </w:tc>
        <w:tc>
          <w:tcPr>
            <w:tcW w:w="1555" w:type="dxa"/>
            <w:vAlign w:val="center"/>
          </w:tcPr>
          <w:p w14:paraId="4F867021" w14:textId="77777777" w:rsidR="009D12AF" w:rsidRDefault="00000000">
            <w:pPr>
              <w:spacing w:line="240" w:lineRule="auto"/>
              <w:ind w:firstLineChars="0" w:firstLine="0"/>
              <w:jc w:val="center"/>
              <w:rPr>
                <w:rFonts w:cs="Times New Roman"/>
                <w:sz w:val="21"/>
                <w:szCs w:val="21"/>
              </w:rPr>
            </w:pPr>
            <w:r>
              <w:rPr>
                <w:rFonts w:cs="Times New Roman"/>
                <w:sz w:val="21"/>
                <w:szCs w:val="21"/>
              </w:rPr>
              <w:t>评价等级</w:t>
            </w:r>
          </w:p>
        </w:tc>
        <w:tc>
          <w:tcPr>
            <w:tcW w:w="1601" w:type="dxa"/>
            <w:gridSpan w:val="4"/>
            <w:vAlign w:val="center"/>
          </w:tcPr>
          <w:p w14:paraId="73888E08" w14:textId="77777777" w:rsidR="009D12AF" w:rsidRDefault="00000000">
            <w:pPr>
              <w:spacing w:line="240" w:lineRule="auto"/>
              <w:ind w:firstLineChars="0" w:firstLine="0"/>
              <w:jc w:val="center"/>
              <w:rPr>
                <w:rFonts w:cs="Times New Roman"/>
                <w:sz w:val="21"/>
                <w:szCs w:val="21"/>
              </w:rPr>
            </w:pPr>
            <w:r>
              <w:rPr>
                <w:rFonts w:cs="Times New Roman"/>
                <w:sz w:val="21"/>
                <w:szCs w:val="21"/>
              </w:rPr>
              <w:t>一级</w:t>
            </w:r>
            <w:r>
              <w:rPr>
                <w:rFonts w:cs="Times New Roman"/>
                <w:sz w:val="21"/>
                <w:szCs w:val="21"/>
              </w:rPr>
              <w:t>□</w:t>
            </w:r>
          </w:p>
        </w:tc>
        <w:tc>
          <w:tcPr>
            <w:tcW w:w="3021" w:type="dxa"/>
            <w:gridSpan w:val="13"/>
            <w:vAlign w:val="center"/>
          </w:tcPr>
          <w:p w14:paraId="58BDC643" w14:textId="77777777" w:rsidR="009D12AF" w:rsidRDefault="00000000">
            <w:pPr>
              <w:spacing w:line="240" w:lineRule="auto"/>
              <w:ind w:firstLineChars="0" w:firstLine="0"/>
              <w:jc w:val="center"/>
              <w:rPr>
                <w:rFonts w:cs="Times New Roman"/>
                <w:sz w:val="21"/>
                <w:szCs w:val="21"/>
              </w:rPr>
            </w:pPr>
            <w:r>
              <w:rPr>
                <w:rFonts w:cs="Times New Roman"/>
                <w:sz w:val="21"/>
                <w:szCs w:val="21"/>
              </w:rPr>
              <w:t>二级</w:t>
            </w:r>
            <w:r>
              <w:rPr>
                <w:rFonts w:cs="Times New Roman" w:hint="eastAsia"/>
                <w:sz w:val="21"/>
                <w:szCs w:val="21"/>
              </w:rPr>
              <w:t>□</w:t>
            </w:r>
          </w:p>
        </w:tc>
        <w:tc>
          <w:tcPr>
            <w:tcW w:w="1618" w:type="dxa"/>
            <w:gridSpan w:val="5"/>
            <w:vAlign w:val="center"/>
          </w:tcPr>
          <w:p w14:paraId="036BCDD6" w14:textId="77777777" w:rsidR="009D12AF" w:rsidRDefault="00000000">
            <w:pPr>
              <w:spacing w:line="240" w:lineRule="auto"/>
              <w:ind w:firstLineChars="0" w:firstLine="0"/>
              <w:jc w:val="center"/>
              <w:rPr>
                <w:rFonts w:cs="Times New Roman"/>
                <w:sz w:val="21"/>
                <w:szCs w:val="21"/>
              </w:rPr>
            </w:pPr>
            <w:r>
              <w:rPr>
                <w:rFonts w:cs="Times New Roman"/>
                <w:sz w:val="21"/>
                <w:szCs w:val="21"/>
              </w:rPr>
              <w:t>三级</w:t>
            </w:r>
            <w:r>
              <w:rPr>
                <w:rFonts w:cs="Times New Roman"/>
                <w:sz w:val="21"/>
                <w:szCs w:val="21"/>
              </w:rPr>
              <w:t>□</w:t>
            </w:r>
          </w:p>
        </w:tc>
      </w:tr>
      <w:tr w:rsidR="009D12AF" w14:paraId="5B176FA3" w14:textId="77777777">
        <w:tc>
          <w:tcPr>
            <w:tcW w:w="815" w:type="dxa"/>
            <w:vMerge/>
            <w:vAlign w:val="center"/>
          </w:tcPr>
          <w:p w14:paraId="5A068B55" w14:textId="77777777" w:rsidR="009D12AF" w:rsidRDefault="009D12AF">
            <w:pPr>
              <w:spacing w:line="240" w:lineRule="auto"/>
              <w:ind w:firstLineChars="0" w:firstLine="0"/>
              <w:jc w:val="center"/>
              <w:rPr>
                <w:rFonts w:cs="Times New Roman"/>
                <w:sz w:val="21"/>
                <w:szCs w:val="21"/>
              </w:rPr>
            </w:pPr>
          </w:p>
        </w:tc>
        <w:tc>
          <w:tcPr>
            <w:tcW w:w="1555" w:type="dxa"/>
            <w:vAlign w:val="center"/>
          </w:tcPr>
          <w:p w14:paraId="481C1ABD" w14:textId="77777777" w:rsidR="009D12AF" w:rsidRDefault="00000000">
            <w:pPr>
              <w:spacing w:line="240" w:lineRule="auto"/>
              <w:ind w:firstLineChars="0" w:firstLine="0"/>
              <w:jc w:val="center"/>
              <w:rPr>
                <w:rFonts w:cs="Times New Roman"/>
                <w:sz w:val="21"/>
                <w:szCs w:val="21"/>
              </w:rPr>
            </w:pPr>
            <w:r>
              <w:rPr>
                <w:rFonts w:cs="Times New Roman"/>
                <w:sz w:val="21"/>
                <w:szCs w:val="21"/>
              </w:rPr>
              <w:t>评价范围</w:t>
            </w:r>
          </w:p>
        </w:tc>
        <w:tc>
          <w:tcPr>
            <w:tcW w:w="1601" w:type="dxa"/>
            <w:gridSpan w:val="4"/>
            <w:vAlign w:val="center"/>
          </w:tcPr>
          <w:p w14:paraId="793A9CD9" w14:textId="77777777" w:rsidR="009D12AF" w:rsidRDefault="00000000">
            <w:pPr>
              <w:spacing w:line="240" w:lineRule="auto"/>
              <w:ind w:firstLineChars="0" w:firstLine="0"/>
              <w:jc w:val="center"/>
              <w:rPr>
                <w:rFonts w:cs="Times New Roman"/>
                <w:sz w:val="21"/>
                <w:szCs w:val="21"/>
              </w:rPr>
            </w:pPr>
            <w:r>
              <w:rPr>
                <w:rFonts w:cs="Times New Roman"/>
                <w:sz w:val="21"/>
                <w:szCs w:val="21"/>
              </w:rPr>
              <w:t>边长</w:t>
            </w:r>
            <w:r>
              <w:rPr>
                <w:rFonts w:cs="Times New Roman"/>
                <w:sz w:val="21"/>
                <w:szCs w:val="21"/>
              </w:rPr>
              <w:t>=50km</w:t>
            </w:r>
            <w:r>
              <w:rPr>
                <w:rFonts w:cs="Times New Roman" w:hint="eastAsia"/>
                <w:sz w:val="21"/>
                <w:szCs w:val="21"/>
              </w:rPr>
              <w:t>□</w:t>
            </w:r>
          </w:p>
        </w:tc>
        <w:tc>
          <w:tcPr>
            <w:tcW w:w="3021" w:type="dxa"/>
            <w:gridSpan w:val="13"/>
            <w:vAlign w:val="center"/>
          </w:tcPr>
          <w:p w14:paraId="58A02904" w14:textId="77777777" w:rsidR="009D12AF" w:rsidRDefault="00000000">
            <w:pPr>
              <w:spacing w:line="240" w:lineRule="auto"/>
              <w:ind w:firstLineChars="0" w:firstLine="0"/>
              <w:jc w:val="center"/>
              <w:rPr>
                <w:rFonts w:cs="Times New Roman"/>
                <w:sz w:val="21"/>
                <w:szCs w:val="21"/>
              </w:rPr>
            </w:pPr>
            <w:r>
              <w:rPr>
                <w:rFonts w:cs="Times New Roman"/>
                <w:sz w:val="21"/>
                <w:szCs w:val="21"/>
              </w:rPr>
              <w:t>边长</w:t>
            </w:r>
            <w:r>
              <w:rPr>
                <w:rFonts w:cs="Times New Roman"/>
                <w:sz w:val="21"/>
                <w:szCs w:val="21"/>
              </w:rPr>
              <w:t>5~50km</w:t>
            </w:r>
            <w:r>
              <w:rPr>
                <w:rFonts w:cs="Times New Roman" w:hint="eastAsia"/>
                <w:sz w:val="21"/>
                <w:szCs w:val="21"/>
              </w:rPr>
              <w:t>□</w:t>
            </w:r>
          </w:p>
        </w:tc>
        <w:tc>
          <w:tcPr>
            <w:tcW w:w="1618" w:type="dxa"/>
            <w:gridSpan w:val="5"/>
            <w:vAlign w:val="center"/>
          </w:tcPr>
          <w:p w14:paraId="135265C8" w14:textId="77777777" w:rsidR="009D12AF" w:rsidRDefault="00000000">
            <w:pPr>
              <w:spacing w:line="240" w:lineRule="auto"/>
              <w:ind w:firstLineChars="0" w:firstLine="0"/>
              <w:jc w:val="center"/>
              <w:rPr>
                <w:rFonts w:cs="Times New Roman"/>
                <w:sz w:val="21"/>
                <w:szCs w:val="21"/>
              </w:rPr>
            </w:pPr>
            <w:r>
              <w:rPr>
                <w:rFonts w:cs="Times New Roman"/>
                <w:sz w:val="21"/>
                <w:szCs w:val="21"/>
              </w:rPr>
              <w:t>边长</w:t>
            </w:r>
            <w:r>
              <w:rPr>
                <w:rFonts w:cs="Times New Roman"/>
                <w:sz w:val="21"/>
                <w:szCs w:val="21"/>
              </w:rPr>
              <w:t>=5km</w:t>
            </w:r>
            <w:r>
              <w:rPr>
                <w:rFonts w:cs="Times New Roman" w:hint="eastAsia"/>
                <w:sz w:val="21"/>
                <w:szCs w:val="21"/>
              </w:rPr>
              <w:t>□</w:t>
            </w:r>
          </w:p>
        </w:tc>
      </w:tr>
      <w:tr w:rsidR="009D12AF" w14:paraId="487626B7" w14:textId="77777777">
        <w:tc>
          <w:tcPr>
            <w:tcW w:w="815" w:type="dxa"/>
            <w:vMerge w:val="restart"/>
            <w:vAlign w:val="center"/>
          </w:tcPr>
          <w:p w14:paraId="2D22B315" w14:textId="77777777" w:rsidR="009D12AF" w:rsidRDefault="00000000">
            <w:pPr>
              <w:spacing w:line="240" w:lineRule="auto"/>
              <w:ind w:firstLineChars="0" w:firstLine="0"/>
              <w:jc w:val="center"/>
              <w:rPr>
                <w:rFonts w:cs="Times New Roman"/>
                <w:sz w:val="21"/>
                <w:szCs w:val="21"/>
              </w:rPr>
            </w:pPr>
            <w:r>
              <w:rPr>
                <w:rFonts w:cs="Times New Roman"/>
                <w:sz w:val="21"/>
                <w:szCs w:val="21"/>
              </w:rPr>
              <w:t>评价因子</w:t>
            </w:r>
          </w:p>
        </w:tc>
        <w:tc>
          <w:tcPr>
            <w:tcW w:w="1555" w:type="dxa"/>
            <w:vAlign w:val="center"/>
          </w:tcPr>
          <w:p w14:paraId="273CF191" w14:textId="77777777" w:rsidR="009D12AF" w:rsidRDefault="00000000">
            <w:pPr>
              <w:spacing w:line="240" w:lineRule="auto"/>
              <w:ind w:firstLineChars="0" w:firstLine="0"/>
              <w:jc w:val="center"/>
              <w:rPr>
                <w:rFonts w:cs="Times New Roman"/>
                <w:sz w:val="21"/>
                <w:szCs w:val="21"/>
              </w:rPr>
            </w:pPr>
            <w:r>
              <w:rPr>
                <w:rFonts w:cs="Times New Roman"/>
                <w:sz w:val="21"/>
                <w:szCs w:val="21"/>
              </w:rPr>
              <w:t>SO</w:t>
            </w:r>
            <w:r>
              <w:rPr>
                <w:rFonts w:cs="Times New Roman"/>
                <w:sz w:val="21"/>
                <w:szCs w:val="21"/>
                <w:vertAlign w:val="subscript"/>
              </w:rPr>
              <w:t>2</w:t>
            </w:r>
            <w:r>
              <w:rPr>
                <w:rFonts w:cs="Times New Roman"/>
                <w:sz w:val="21"/>
                <w:szCs w:val="21"/>
              </w:rPr>
              <w:t>+NO</w:t>
            </w:r>
            <w:r>
              <w:rPr>
                <w:rFonts w:cs="Times New Roman"/>
                <w:sz w:val="21"/>
                <w:szCs w:val="21"/>
                <w:vertAlign w:val="subscript"/>
              </w:rPr>
              <w:t>X</w:t>
            </w:r>
            <w:r>
              <w:rPr>
                <w:rFonts w:cs="Times New Roman"/>
                <w:sz w:val="21"/>
                <w:szCs w:val="21"/>
              </w:rPr>
              <w:t>排放量</w:t>
            </w:r>
          </w:p>
        </w:tc>
        <w:tc>
          <w:tcPr>
            <w:tcW w:w="1601" w:type="dxa"/>
            <w:gridSpan w:val="4"/>
            <w:vAlign w:val="center"/>
          </w:tcPr>
          <w:p w14:paraId="680BFF58" w14:textId="77777777" w:rsidR="009D12AF" w:rsidRDefault="00000000">
            <w:pPr>
              <w:spacing w:line="240" w:lineRule="auto"/>
              <w:ind w:firstLineChars="0" w:firstLine="0"/>
              <w:jc w:val="center"/>
              <w:rPr>
                <w:rFonts w:cs="Times New Roman"/>
                <w:sz w:val="21"/>
                <w:szCs w:val="21"/>
              </w:rPr>
            </w:pPr>
            <w:r>
              <w:rPr>
                <w:rFonts w:cs="Times New Roman"/>
                <w:sz w:val="21"/>
                <w:szCs w:val="21"/>
              </w:rPr>
              <w:t>≥2000t/a</w:t>
            </w:r>
            <w:r>
              <w:rPr>
                <w:rFonts w:cs="Times New Roman" w:hint="eastAsia"/>
                <w:sz w:val="21"/>
                <w:szCs w:val="21"/>
              </w:rPr>
              <w:t>□</w:t>
            </w:r>
          </w:p>
        </w:tc>
        <w:tc>
          <w:tcPr>
            <w:tcW w:w="3021" w:type="dxa"/>
            <w:gridSpan w:val="13"/>
            <w:vAlign w:val="center"/>
          </w:tcPr>
          <w:p w14:paraId="2F4FD199" w14:textId="77777777" w:rsidR="009D12AF" w:rsidRDefault="00000000">
            <w:pPr>
              <w:spacing w:line="240" w:lineRule="auto"/>
              <w:ind w:firstLineChars="0" w:firstLine="0"/>
              <w:jc w:val="center"/>
              <w:rPr>
                <w:rFonts w:cs="Times New Roman"/>
                <w:sz w:val="21"/>
                <w:szCs w:val="21"/>
              </w:rPr>
            </w:pPr>
            <w:r>
              <w:rPr>
                <w:rFonts w:cs="Times New Roman"/>
                <w:sz w:val="21"/>
                <w:szCs w:val="21"/>
              </w:rPr>
              <w:t>500~2000t/a</w:t>
            </w:r>
            <w:r>
              <w:rPr>
                <w:rFonts w:cs="Times New Roman" w:hint="eastAsia"/>
                <w:sz w:val="21"/>
                <w:szCs w:val="21"/>
              </w:rPr>
              <w:t>□</w:t>
            </w:r>
          </w:p>
        </w:tc>
        <w:tc>
          <w:tcPr>
            <w:tcW w:w="1618" w:type="dxa"/>
            <w:gridSpan w:val="5"/>
            <w:vAlign w:val="center"/>
          </w:tcPr>
          <w:p w14:paraId="2428B360" w14:textId="77777777" w:rsidR="009D12AF" w:rsidRDefault="00000000">
            <w:pPr>
              <w:spacing w:line="240" w:lineRule="auto"/>
              <w:ind w:firstLineChars="0" w:firstLine="0"/>
              <w:jc w:val="center"/>
              <w:rPr>
                <w:rFonts w:cs="Times New Roman"/>
                <w:sz w:val="21"/>
                <w:szCs w:val="21"/>
              </w:rPr>
            </w:pPr>
            <w:r>
              <w:rPr>
                <w:rFonts w:cs="Times New Roman"/>
                <w:sz w:val="21"/>
                <w:szCs w:val="21"/>
              </w:rPr>
              <w:t>&lt;500t/a</w:t>
            </w:r>
            <w:r>
              <w:rPr>
                <w:rFonts w:cs="Times New Roman" w:hint="eastAsia"/>
                <w:sz w:val="21"/>
                <w:szCs w:val="21"/>
              </w:rPr>
              <w:t>□</w:t>
            </w:r>
          </w:p>
        </w:tc>
      </w:tr>
      <w:tr w:rsidR="009D12AF" w14:paraId="0CE4CA1F" w14:textId="77777777">
        <w:tc>
          <w:tcPr>
            <w:tcW w:w="815" w:type="dxa"/>
            <w:vMerge/>
            <w:vAlign w:val="center"/>
          </w:tcPr>
          <w:p w14:paraId="77B82733" w14:textId="77777777" w:rsidR="009D12AF" w:rsidRDefault="009D12AF">
            <w:pPr>
              <w:spacing w:line="240" w:lineRule="auto"/>
              <w:ind w:firstLineChars="0" w:firstLine="0"/>
              <w:jc w:val="center"/>
              <w:rPr>
                <w:rFonts w:cs="Times New Roman"/>
                <w:sz w:val="21"/>
                <w:szCs w:val="21"/>
              </w:rPr>
            </w:pPr>
          </w:p>
        </w:tc>
        <w:tc>
          <w:tcPr>
            <w:tcW w:w="1555" w:type="dxa"/>
            <w:vAlign w:val="center"/>
          </w:tcPr>
          <w:p w14:paraId="6EC4BEDE" w14:textId="77777777" w:rsidR="009D12AF" w:rsidRDefault="00000000">
            <w:pPr>
              <w:spacing w:line="240" w:lineRule="auto"/>
              <w:ind w:firstLineChars="0" w:firstLine="0"/>
              <w:jc w:val="center"/>
              <w:rPr>
                <w:rFonts w:cs="Times New Roman"/>
                <w:sz w:val="21"/>
                <w:szCs w:val="21"/>
              </w:rPr>
            </w:pPr>
            <w:r>
              <w:rPr>
                <w:rFonts w:cs="Times New Roman"/>
                <w:sz w:val="21"/>
                <w:szCs w:val="21"/>
              </w:rPr>
              <w:t>评价因子</w:t>
            </w:r>
          </w:p>
        </w:tc>
        <w:tc>
          <w:tcPr>
            <w:tcW w:w="4248" w:type="dxa"/>
            <w:gridSpan w:val="15"/>
            <w:vAlign w:val="center"/>
          </w:tcPr>
          <w:p w14:paraId="0CDB47DB" w14:textId="77777777" w:rsidR="009D12AF" w:rsidRDefault="00000000">
            <w:pPr>
              <w:spacing w:line="240" w:lineRule="auto"/>
              <w:ind w:firstLineChars="0" w:firstLine="0"/>
              <w:jc w:val="center"/>
              <w:rPr>
                <w:rFonts w:cs="Times New Roman"/>
                <w:sz w:val="21"/>
                <w:szCs w:val="21"/>
              </w:rPr>
            </w:pPr>
            <w:r>
              <w:rPr>
                <w:rFonts w:cs="Times New Roman"/>
                <w:sz w:val="21"/>
                <w:szCs w:val="21"/>
              </w:rPr>
              <w:t>基本污染物（</w:t>
            </w:r>
            <w:r>
              <w:rPr>
                <w:rFonts w:cs="Times New Roman"/>
                <w:sz w:val="21"/>
                <w:szCs w:val="21"/>
              </w:rPr>
              <w:t>SO</w:t>
            </w:r>
            <w:r>
              <w:rPr>
                <w:rFonts w:cs="Times New Roman"/>
                <w:sz w:val="21"/>
                <w:szCs w:val="21"/>
                <w:vertAlign w:val="subscript"/>
              </w:rPr>
              <w:t>2</w:t>
            </w:r>
            <w:r>
              <w:rPr>
                <w:rFonts w:cs="Times New Roman"/>
                <w:sz w:val="21"/>
                <w:szCs w:val="21"/>
              </w:rPr>
              <w:t>、</w:t>
            </w:r>
            <w:r>
              <w:rPr>
                <w:rFonts w:cs="Times New Roman"/>
                <w:sz w:val="21"/>
                <w:szCs w:val="21"/>
              </w:rPr>
              <w:t>NO</w:t>
            </w:r>
            <w:r>
              <w:rPr>
                <w:rFonts w:cs="Times New Roman"/>
                <w:sz w:val="21"/>
                <w:szCs w:val="21"/>
                <w:vertAlign w:val="subscript"/>
              </w:rPr>
              <w:t>2</w:t>
            </w:r>
            <w:r>
              <w:rPr>
                <w:rFonts w:cs="Times New Roman"/>
                <w:sz w:val="21"/>
                <w:szCs w:val="21"/>
              </w:rPr>
              <w:t>、</w:t>
            </w:r>
            <w:r>
              <w:rPr>
                <w:rFonts w:cs="Times New Roman"/>
                <w:sz w:val="21"/>
                <w:szCs w:val="21"/>
              </w:rPr>
              <w:t>PM</w:t>
            </w:r>
            <w:r>
              <w:rPr>
                <w:rFonts w:cs="Times New Roman"/>
                <w:sz w:val="21"/>
                <w:szCs w:val="21"/>
                <w:vertAlign w:val="subscript"/>
              </w:rPr>
              <w:t>10</w:t>
            </w:r>
            <w:r>
              <w:rPr>
                <w:rFonts w:cs="Times New Roman"/>
                <w:sz w:val="21"/>
                <w:szCs w:val="21"/>
              </w:rPr>
              <w:t>、</w:t>
            </w:r>
            <w:r>
              <w:rPr>
                <w:rFonts w:cs="Times New Roman"/>
                <w:sz w:val="21"/>
                <w:szCs w:val="21"/>
              </w:rPr>
              <w:t>PM</w:t>
            </w:r>
            <w:r>
              <w:rPr>
                <w:rFonts w:cs="Times New Roman"/>
                <w:sz w:val="21"/>
                <w:szCs w:val="21"/>
                <w:vertAlign w:val="subscript"/>
              </w:rPr>
              <w:t>2.5</w:t>
            </w:r>
            <w:r>
              <w:rPr>
                <w:rFonts w:cs="Times New Roman"/>
                <w:sz w:val="21"/>
                <w:szCs w:val="21"/>
              </w:rPr>
              <w:t>、</w:t>
            </w:r>
            <w:r>
              <w:rPr>
                <w:rFonts w:cs="Times New Roman"/>
                <w:sz w:val="21"/>
                <w:szCs w:val="21"/>
              </w:rPr>
              <w:t>CO</w:t>
            </w:r>
            <w:r>
              <w:rPr>
                <w:rFonts w:cs="Times New Roman"/>
                <w:sz w:val="21"/>
                <w:szCs w:val="21"/>
              </w:rPr>
              <w:t>、</w:t>
            </w:r>
            <w:r>
              <w:rPr>
                <w:rFonts w:cs="Times New Roman"/>
                <w:sz w:val="21"/>
                <w:szCs w:val="21"/>
              </w:rPr>
              <w:t>O</w:t>
            </w:r>
            <w:r>
              <w:rPr>
                <w:rFonts w:cs="Times New Roman"/>
                <w:sz w:val="21"/>
                <w:szCs w:val="21"/>
                <w:vertAlign w:val="subscript"/>
              </w:rPr>
              <w:t>3</w:t>
            </w:r>
            <w:r>
              <w:rPr>
                <w:rFonts w:cs="Times New Roman"/>
                <w:sz w:val="21"/>
                <w:szCs w:val="21"/>
              </w:rPr>
              <w:t>）</w:t>
            </w:r>
          </w:p>
          <w:p w14:paraId="5360641D" w14:textId="77777777" w:rsidR="009D12AF" w:rsidRDefault="00000000">
            <w:pPr>
              <w:spacing w:line="240" w:lineRule="auto"/>
              <w:ind w:firstLineChars="0" w:firstLine="0"/>
              <w:jc w:val="center"/>
              <w:rPr>
                <w:rFonts w:cs="Times New Roman"/>
                <w:sz w:val="21"/>
                <w:szCs w:val="21"/>
              </w:rPr>
            </w:pPr>
            <w:r>
              <w:rPr>
                <w:rFonts w:cs="Times New Roman"/>
                <w:sz w:val="21"/>
                <w:szCs w:val="21"/>
              </w:rPr>
              <w:t>其他污染物（</w:t>
            </w:r>
            <w:r>
              <w:rPr>
                <w:rFonts w:cs="Times New Roman" w:hint="eastAsia"/>
                <w:sz w:val="21"/>
                <w:szCs w:val="21"/>
              </w:rPr>
              <w:t>非甲烷总烃</w:t>
            </w:r>
            <w:r>
              <w:rPr>
                <w:rFonts w:cs="Times New Roman"/>
                <w:sz w:val="21"/>
                <w:szCs w:val="21"/>
              </w:rPr>
              <w:t>）</w:t>
            </w:r>
          </w:p>
        </w:tc>
        <w:tc>
          <w:tcPr>
            <w:tcW w:w="1992" w:type="dxa"/>
            <w:gridSpan w:val="7"/>
            <w:vAlign w:val="center"/>
          </w:tcPr>
          <w:p w14:paraId="33ED9848" w14:textId="77777777" w:rsidR="009D12AF" w:rsidRDefault="00000000">
            <w:pPr>
              <w:spacing w:line="240" w:lineRule="auto"/>
              <w:ind w:firstLineChars="0" w:firstLine="0"/>
              <w:jc w:val="center"/>
              <w:rPr>
                <w:rFonts w:cs="Times New Roman"/>
                <w:sz w:val="21"/>
                <w:szCs w:val="21"/>
              </w:rPr>
            </w:pPr>
            <w:r>
              <w:rPr>
                <w:rFonts w:cs="Times New Roman"/>
                <w:sz w:val="21"/>
                <w:szCs w:val="21"/>
              </w:rPr>
              <w:t>包括二次</w:t>
            </w:r>
            <w:r>
              <w:rPr>
                <w:rFonts w:cs="Times New Roman"/>
                <w:sz w:val="21"/>
                <w:szCs w:val="21"/>
              </w:rPr>
              <w:t>PM</w:t>
            </w:r>
            <w:r>
              <w:rPr>
                <w:rFonts w:cs="Times New Roman"/>
                <w:sz w:val="21"/>
                <w:szCs w:val="21"/>
                <w:vertAlign w:val="subscript"/>
              </w:rPr>
              <w:t>2.5</w:t>
            </w:r>
            <w:r>
              <w:rPr>
                <w:rFonts w:cs="Times New Roman" w:hint="eastAsia"/>
                <w:sz w:val="21"/>
                <w:szCs w:val="21"/>
              </w:rPr>
              <w:t>□</w:t>
            </w:r>
          </w:p>
          <w:p w14:paraId="3CF7E3A3" w14:textId="77777777" w:rsidR="009D12AF" w:rsidRDefault="00000000">
            <w:pPr>
              <w:spacing w:line="240" w:lineRule="auto"/>
              <w:ind w:firstLineChars="0" w:firstLine="0"/>
              <w:jc w:val="center"/>
              <w:rPr>
                <w:rFonts w:cs="Times New Roman"/>
                <w:sz w:val="21"/>
                <w:szCs w:val="21"/>
              </w:rPr>
            </w:pPr>
            <w:r>
              <w:rPr>
                <w:rFonts w:cs="Times New Roman"/>
                <w:sz w:val="21"/>
                <w:szCs w:val="21"/>
              </w:rPr>
              <w:t>不包括二次</w:t>
            </w:r>
            <w:r>
              <w:rPr>
                <w:rFonts w:cs="Times New Roman"/>
                <w:sz w:val="21"/>
                <w:szCs w:val="21"/>
              </w:rPr>
              <w:t>PM</w:t>
            </w:r>
            <w:r>
              <w:rPr>
                <w:rFonts w:cs="Times New Roman"/>
                <w:sz w:val="21"/>
                <w:szCs w:val="21"/>
                <w:vertAlign w:val="subscript"/>
              </w:rPr>
              <w:t>2.5</w:t>
            </w:r>
            <w:r>
              <w:rPr>
                <w:rFonts w:cs="Times New Roman" w:hint="eastAsia"/>
                <w:sz w:val="21"/>
                <w:szCs w:val="21"/>
              </w:rPr>
              <w:t>□</w:t>
            </w:r>
          </w:p>
        </w:tc>
      </w:tr>
      <w:tr w:rsidR="009D12AF" w14:paraId="7938B70B" w14:textId="77777777">
        <w:tc>
          <w:tcPr>
            <w:tcW w:w="815" w:type="dxa"/>
            <w:vAlign w:val="center"/>
          </w:tcPr>
          <w:p w14:paraId="402ABBF0" w14:textId="77777777" w:rsidR="009D12AF" w:rsidRDefault="00000000">
            <w:pPr>
              <w:spacing w:line="240" w:lineRule="auto"/>
              <w:ind w:firstLineChars="0" w:firstLine="0"/>
              <w:jc w:val="center"/>
              <w:rPr>
                <w:rFonts w:cs="Times New Roman"/>
                <w:sz w:val="21"/>
                <w:szCs w:val="21"/>
              </w:rPr>
            </w:pPr>
            <w:r>
              <w:rPr>
                <w:rFonts w:cs="Times New Roman"/>
                <w:sz w:val="21"/>
                <w:szCs w:val="21"/>
              </w:rPr>
              <w:t>评价标准</w:t>
            </w:r>
          </w:p>
        </w:tc>
        <w:tc>
          <w:tcPr>
            <w:tcW w:w="1555" w:type="dxa"/>
            <w:vAlign w:val="center"/>
          </w:tcPr>
          <w:p w14:paraId="4278B443" w14:textId="77777777" w:rsidR="009D12AF" w:rsidRDefault="00000000">
            <w:pPr>
              <w:spacing w:line="240" w:lineRule="auto"/>
              <w:ind w:firstLineChars="0" w:firstLine="0"/>
              <w:jc w:val="center"/>
              <w:rPr>
                <w:rFonts w:cs="Times New Roman"/>
                <w:sz w:val="21"/>
                <w:szCs w:val="21"/>
              </w:rPr>
            </w:pPr>
            <w:r>
              <w:rPr>
                <w:rFonts w:cs="Times New Roman"/>
                <w:sz w:val="21"/>
                <w:szCs w:val="21"/>
              </w:rPr>
              <w:t>评价标准</w:t>
            </w:r>
          </w:p>
        </w:tc>
        <w:tc>
          <w:tcPr>
            <w:tcW w:w="1601" w:type="dxa"/>
            <w:gridSpan w:val="4"/>
            <w:vAlign w:val="center"/>
          </w:tcPr>
          <w:p w14:paraId="2BA85285" w14:textId="77777777" w:rsidR="009D12AF" w:rsidRDefault="00000000">
            <w:pPr>
              <w:spacing w:line="240" w:lineRule="auto"/>
              <w:ind w:firstLineChars="0" w:firstLine="0"/>
              <w:jc w:val="center"/>
              <w:rPr>
                <w:rFonts w:cs="Times New Roman"/>
                <w:sz w:val="21"/>
                <w:szCs w:val="21"/>
              </w:rPr>
            </w:pPr>
            <w:r>
              <w:rPr>
                <w:rFonts w:cs="Times New Roman"/>
                <w:sz w:val="21"/>
                <w:szCs w:val="21"/>
              </w:rPr>
              <w:t>国家标准</w:t>
            </w:r>
            <w:r>
              <w:rPr>
                <w:rFonts w:cs="Times New Roman" w:hint="eastAsia"/>
                <w:sz w:val="21"/>
                <w:szCs w:val="21"/>
              </w:rPr>
              <w:t>☑</w:t>
            </w:r>
          </w:p>
        </w:tc>
        <w:tc>
          <w:tcPr>
            <w:tcW w:w="1676" w:type="dxa"/>
            <w:gridSpan w:val="5"/>
            <w:vAlign w:val="center"/>
          </w:tcPr>
          <w:p w14:paraId="73728C88" w14:textId="77777777" w:rsidR="009D12AF" w:rsidRDefault="00000000">
            <w:pPr>
              <w:spacing w:line="240" w:lineRule="auto"/>
              <w:ind w:firstLineChars="0" w:firstLine="0"/>
              <w:jc w:val="center"/>
              <w:rPr>
                <w:rFonts w:cs="Times New Roman"/>
                <w:sz w:val="21"/>
                <w:szCs w:val="21"/>
              </w:rPr>
            </w:pPr>
            <w:r>
              <w:rPr>
                <w:rFonts w:cs="Times New Roman"/>
                <w:sz w:val="21"/>
                <w:szCs w:val="21"/>
              </w:rPr>
              <w:t>地方标准</w:t>
            </w:r>
            <w:r>
              <w:rPr>
                <w:rFonts w:cs="Times New Roman" w:hint="eastAsia"/>
                <w:sz w:val="21"/>
                <w:szCs w:val="21"/>
              </w:rPr>
              <w:t>□</w:t>
            </w:r>
          </w:p>
        </w:tc>
        <w:tc>
          <w:tcPr>
            <w:tcW w:w="1593" w:type="dxa"/>
            <w:gridSpan w:val="10"/>
            <w:vAlign w:val="center"/>
          </w:tcPr>
          <w:p w14:paraId="0C8643E8" w14:textId="77777777" w:rsidR="009D12AF" w:rsidRDefault="00000000">
            <w:pPr>
              <w:spacing w:line="240" w:lineRule="auto"/>
              <w:ind w:firstLineChars="0" w:firstLine="0"/>
              <w:jc w:val="center"/>
              <w:rPr>
                <w:rFonts w:cs="Times New Roman"/>
                <w:sz w:val="21"/>
                <w:szCs w:val="21"/>
              </w:rPr>
            </w:pPr>
            <w:r>
              <w:rPr>
                <w:rFonts w:cs="Times New Roman"/>
                <w:sz w:val="21"/>
                <w:szCs w:val="21"/>
              </w:rPr>
              <w:t>附录</w:t>
            </w:r>
            <w:r>
              <w:rPr>
                <w:rFonts w:cs="Times New Roman"/>
                <w:sz w:val="21"/>
                <w:szCs w:val="21"/>
              </w:rPr>
              <w:t>D</w:t>
            </w:r>
            <w:r>
              <w:rPr>
                <w:rFonts w:cs="Times New Roman" w:hint="eastAsia"/>
                <w:sz w:val="21"/>
                <w:szCs w:val="21"/>
              </w:rPr>
              <w:t>□</w:t>
            </w:r>
          </w:p>
        </w:tc>
        <w:tc>
          <w:tcPr>
            <w:tcW w:w="1370" w:type="dxa"/>
            <w:gridSpan w:val="3"/>
            <w:vAlign w:val="center"/>
          </w:tcPr>
          <w:p w14:paraId="15E7D08F" w14:textId="77777777" w:rsidR="009D12AF" w:rsidRDefault="00000000">
            <w:pPr>
              <w:spacing w:line="240" w:lineRule="auto"/>
              <w:ind w:firstLineChars="0" w:firstLine="0"/>
              <w:jc w:val="center"/>
              <w:rPr>
                <w:rFonts w:cs="Times New Roman"/>
                <w:sz w:val="21"/>
                <w:szCs w:val="21"/>
              </w:rPr>
            </w:pPr>
            <w:r>
              <w:rPr>
                <w:rFonts w:cs="Times New Roman"/>
                <w:sz w:val="21"/>
                <w:szCs w:val="21"/>
              </w:rPr>
              <w:t>其他标准</w:t>
            </w:r>
            <w:r>
              <w:rPr>
                <w:rFonts w:cs="Times New Roman" w:hint="eastAsia"/>
                <w:sz w:val="21"/>
                <w:szCs w:val="21"/>
              </w:rPr>
              <w:t>□</w:t>
            </w:r>
          </w:p>
        </w:tc>
      </w:tr>
      <w:tr w:rsidR="009D12AF" w14:paraId="31DB0ED8" w14:textId="77777777">
        <w:tc>
          <w:tcPr>
            <w:tcW w:w="815" w:type="dxa"/>
            <w:vMerge w:val="restart"/>
            <w:vAlign w:val="center"/>
          </w:tcPr>
          <w:p w14:paraId="0FD30A93" w14:textId="77777777" w:rsidR="009D12AF" w:rsidRDefault="00000000">
            <w:pPr>
              <w:spacing w:line="240" w:lineRule="auto"/>
              <w:ind w:firstLineChars="0" w:firstLine="0"/>
              <w:jc w:val="center"/>
              <w:rPr>
                <w:rFonts w:cs="Times New Roman"/>
                <w:sz w:val="21"/>
                <w:szCs w:val="21"/>
              </w:rPr>
            </w:pPr>
            <w:r>
              <w:rPr>
                <w:rFonts w:cs="Times New Roman"/>
                <w:sz w:val="21"/>
                <w:szCs w:val="21"/>
              </w:rPr>
              <w:t>现状评价</w:t>
            </w:r>
          </w:p>
        </w:tc>
        <w:tc>
          <w:tcPr>
            <w:tcW w:w="1555" w:type="dxa"/>
            <w:vAlign w:val="center"/>
          </w:tcPr>
          <w:p w14:paraId="2E495A55" w14:textId="77777777" w:rsidR="009D12AF" w:rsidRDefault="00000000">
            <w:pPr>
              <w:spacing w:line="240" w:lineRule="auto"/>
              <w:ind w:firstLineChars="0" w:firstLine="0"/>
              <w:jc w:val="center"/>
              <w:rPr>
                <w:rFonts w:cs="Times New Roman"/>
                <w:sz w:val="21"/>
                <w:szCs w:val="21"/>
              </w:rPr>
            </w:pPr>
            <w:r>
              <w:rPr>
                <w:rFonts w:cs="Times New Roman"/>
                <w:sz w:val="21"/>
                <w:szCs w:val="21"/>
              </w:rPr>
              <w:t>环境功能区</w:t>
            </w:r>
          </w:p>
        </w:tc>
        <w:tc>
          <w:tcPr>
            <w:tcW w:w="1601" w:type="dxa"/>
            <w:gridSpan w:val="4"/>
            <w:vAlign w:val="center"/>
          </w:tcPr>
          <w:p w14:paraId="4F1B39CE" w14:textId="77777777" w:rsidR="009D12AF" w:rsidRDefault="00000000">
            <w:pPr>
              <w:spacing w:line="240" w:lineRule="auto"/>
              <w:ind w:firstLineChars="0" w:firstLine="0"/>
              <w:jc w:val="center"/>
              <w:rPr>
                <w:rFonts w:cs="Times New Roman"/>
                <w:sz w:val="21"/>
                <w:szCs w:val="21"/>
              </w:rPr>
            </w:pPr>
            <w:r>
              <w:rPr>
                <w:rFonts w:cs="Times New Roman"/>
                <w:sz w:val="21"/>
                <w:szCs w:val="21"/>
              </w:rPr>
              <w:t>一类区</w:t>
            </w:r>
            <w:r>
              <w:rPr>
                <w:rFonts w:cs="Times New Roman" w:hint="eastAsia"/>
                <w:sz w:val="21"/>
                <w:szCs w:val="21"/>
              </w:rPr>
              <w:t>□</w:t>
            </w:r>
          </w:p>
        </w:tc>
        <w:tc>
          <w:tcPr>
            <w:tcW w:w="2572" w:type="dxa"/>
            <w:gridSpan w:val="10"/>
            <w:vAlign w:val="center"/>
          </w:tcPr>
          <w:p w14:paraId="62858640" w14:textId="77777777" w:rsidR="009D12AF" w:rsidRDefault="00000000">
            <w:pPr>
              <w:spacing w:line="240" w:lineRule="auto"/>
              <w:ind w:firstLineChars="0" w:firstLine="0"/>
              <w:jc w:val="center"/>
              <w:rPr>
                <w:rFonts w:cs="Times New Roman"/>
                <w:sz w:val="21"/>
                <w:szCs w:val="21"/>
              </w:rPr>
            </w:pPr>
            <w:r>
              <w:rPr>
                <w:rFonts w:cs="Times New Roman"/>
                <w:sz w:val="21"/>
                <w:szCs w:val="21"/>
              </w:rPr>
              <w:t>二类区</w:t>
            </w:r>
            <w:r>
              <w:rPr>
                <w:rFonts w:cs="Times New Roman" w:hint="eastAsia"/>
                <w:sz w:val="21"/>
                <w:szCs w:val="21"/>
              </w:rPr>
              <w:t>□</w:t>
            </w:r>
          </w:p>
        </w:tc>
        <w:tc>
          <w:tcPr>
            <w:tcW w:w="2067" w:type="dxa"/>
            <w:gridSpan w:val="8"/>
            <w:vAlign w:val="center"/>
          </w:tcPr>
          <w:p w14:paraId="377C2D1A" w14:textId="77777777" w:rsidR="009D12AF" w:rsidRDefault="00000000">
            <w:pPr>
              <w:spacing w:line="240" w:lineRule="auto"/>
              <w:ind w:firstLineChars="0" w:firstLine="0"/>
              <w:jc w:val="center"/>
              <w:rPr>
                <w:rFonts w:cs="Times New Roman"/>
                <w:sz w:val="21"/>
                <w:szCs w:val="21"/>
              </w:rPr>
            </w:pPr>
            <w:r>
              <w:rPr>
                <w:rFonts w:cs="Times New Roman"/>
                <w:sz w:val="21"/>
                <w:szCs w:val="21"/>
              </w:rPr>
              <w:t>一类区和二类区</w:t>
            </w:r>
            <w:r>
              <w:rPr>
                <w:rFonts w:cs="Times New Roman" w:hint="eastAsia"/>
                <w:sz w:val="21"/>
                <w:szCs w:val="21"/>
              </w:rPr>
              <w:t>☑</w:t>
            </w:r>
          </w:p>
        </w:tc>
      </w:tr>
      <w:tr w:rsidR="009D12AF" w14:paraId="3D6E80CE" w14:textId="77777777">
        <w:tc>
          <w:tcPr>
            <w:tcW w:w="815" w:type="dxa"/>
            <w:vMerge/>
            <w:vAlign w:val="center"/>
          </w:tcPr>
          <w:p w14:paraId="3BD54A7D" w14:textId="77777777" w:rsidR="009D12AF" w:rsidRDefault="009D12AF">
            <w:pPr>
              <w:spacing w:line="240" w:lineRule="auto"/>
              <w:ind w:firstLineChars="0" w:firstLine="0"/>
              <w:jc w:val="center"/>
              <w:rPr>
                <w:rFonts w:cs="Times New Roman"/>
                <w:sz w:val="21"/>
                <w:szCs w:val="21"/>
              </w:rPr>
            </w:pPr>
          </w:p>
        </w:tc>
        <w:tc>
          <w:tcPr>
            <w:tcW w:w="1555" w:type="dxa"/>
            <w:vAlign w:val="center"/>
          </w:tcPr>
          <w:p w14:paraId="009764F9" w14:textId="77777777" w:rsidR="009D12AF" w:rsidRDefault="00000000">
            <w:pPr>
              <w:spacing w:line="240" w:lineRule="auto"/>
              <w:ind w:firstLineChars="0" w:firstLine="0"/>
              <w:jc w:val="center"/>
              <w:rPr>
                <w:rFonts w:cs="Times New Roman"/>
                <w:sz w:val="21"/>
                <w:szCs w:val="21"/>
              </w:rPr>
            </w:pPr>
            <w:r>
              <w:rPr>
                <w:rFonts w:cs="Times New Roman"/>
                <w:sz w:val="21"/>
                <w:szCs w:val="21"/>
              </w:rPr>
              <w:t>评价基准年</w:t>
            </w:r>
          </w:p>
        </w:tc>
        <w:tc>
          <w:tcPr>
            <w:tcW w:w="6240" w:type="dxa"/>
            <w:gridSpan w:val="22"/>
            <w:vAlign w:val="center"/>
          </w:tcPr>
          <w:p w14:paraId="4B09437A" w14:textId="77777777" w:rsidR="009D12AF" w:rsidRDefault="00000000">
            <w:pPr>
              <w:spacing w:line="240" w:lineRule="auto"/>
              <w:ind w:firstLineChars="0" w:firstLine="0"/>
              <w:jc w:val="center"/>
              <w:rPr>
                <w:rFonts w:cs="Times New Roman"/>
                <w:sz w:val="21"/>
                <w:szCs w:val="21"/>
              </w:rPr>
            </w:pPr>
            <w:r>
              <w:rPr>
                <w:rFonts w:cs="Times New Roman"/>
                <w:sz w:val="21"/>
                <w:szCs w:val="21"/>
              </w:rPr>
              <w:t>（</w:t>
            </w:r>
            <w:r>
              <w:rPr>
                <w:rFonts w:cs="Times New Roman" w:hint="eastAsia"/>
                <w:sz w:val="21"/>
                <w:szCs w:val="21"/>
              </w:rPr>
              <w:t>2025</w:t>
            </w:r>
            <w:r>
              <w:rPr>
                <w:rFonts w:cs="Times New Roman"/>
                <w:sz w:val="21"/>
                <w:szCs w:val="21"/>
              </w:rPr>
              <w:t>）年</w:t>
            </w:r>
          </w:p>
        </w:tc>
      </w:tr>
      <w:tr w:rsidR="009D12AF" w14:paraId="5BBDB9B0" w14:textId="77777777">
        <w:tc>
          <w:tcPr>
            <w:tcW w:w="815" w:type="dxa"/>
            <w:vMerge/>
            <w:vAlign w:val="center"/>
          </w:tcPr>
          <w:p w14:paraId="535029D7" w14:textId="77777777" w:rsidR="009D12AF" w:rsidRDefault="009D12AF">
            <w:pPr>
              <w:spacing w:line="240" w:lineRule="auto"/>
              <w:ind w:firstLineChars="0" w:firstLine="0"/>
              <w:jc w:val="center"/>
              <w:rPr>
                <w:rFonts w:cs="Times New Roman"/>
                <w:sz w:val="21"/>
                <w:szCs w:val="21"/>
              </w:rPr>
            </w:pPr>
          </w:p>
        </w:tc>
        <w:tc>
          <w:tcPr>
            <w:tcW w:w="1555" w:type="dxa"/>
            <w:vAlign w:val="center"/>
          </w:tcPr>
          <w:p w14:paraId="4561F020" w14:textId="77777777" w:rsidR="009D12AF" w:rsidRDefault="00000000">
            <w:pPr>
              <w:spacing w:line="240" w:lineRule="auto"/>
              <w:ind w:firstLineChars="0" w:firstLine="0"/>
              <w:jc w:val="center"/>
              <w:rPr>
                <w:rFonts w:cs="Times New Roman"/>
                <w:sz w:val="21"/>
                <w:szCs w:val="21"/>
              </w:rPr>
            </w:pPr>
            <w:r>
              <w:rPr>
                <w:rFonts w:cs="Times New Roman"/>
                <w:sz w:val="21"/>
                <w:szCs w:val="21"/>
              </w:rPr>
              <w:t>环境空气质量现状调查数据来源</w:t>
            </w:r>
          </w:p>
        </w:tc>
        <w:tc>
          <w:tcPr>
            <w:tcW w:w="1601" w:type="dxa"/>
            <w:gridSpan w:val="4"/>
            <w:vAlign w:val="center"/>
          </w:tcPr>
          <w:p w14:paraId="5945DF5A" w14:textId="77777777" w:rsidR="009D12AF" w:rsidRDefault="00000000">
            <w:pPr>
              <w:spacing w:line="240" w:lineRule="auto"/>
              <w:ind w:firstLineChars="0" w:firstLine="0"/>
              <w:jc w:val="center"/>
              <w:rPr>
                <w:rFonts w:cs="Times New Roman"/>
                <w:sz w:val="21"/>
                <w:szCs w:val="21"/>
              </w:rPr>
            </w:pPr>
            <w:r>
              <w:rPr>
                <w:rFonts w:cs="Times New Roman"/>
                <w:sz w:val="21"/>
                <w:szCs w:val="21"/>
              </w:rPr>
              <w:t>长期例行监测数据</w:t>
            </w:r>
            <w:r>
              <w:rPr>
                <w:rFonts w:cs="Times New Roman" w:hint="eastAsia"/>
                <w:sz w:val="21"/>
                <w:szCs w:val="21"/>
              </w:rPr>
              <w:t>☑</w:t>
            </w:r>
          </w:p>
        </w:tc>
        <w:tc>
          <w:tcPr>
            <w:tcW w:w="2647" w:type="dxa"/>
            <w:gridSpan w:val="11"/>
            <w:vAlign w:val="center"/>
          </w:tcPr>
          <w:p w14:paraId="689676D4" w14:textId="77777777" w:rsidR="009D12AF" w:rsidRDefault="00000000">
            <w:pPr>
              <w:spacing w:line="240" w:lineRule="auto"/>
              <w:ind w:firstLineChars="0" w:firstLine="0"/>
              <w:jc w:val="center"/>
              <w:rPr>
                <w:rFonts w:cs="Times New Roman"/>
                <w:sz w:val="21"/>
                <w:szCs w:val="21"/>
              </w:rPr>
            </w:pPr>
            <w:r>
              <w:rPr>
                <w:rFonts w:cs="Times New Roman"/>
                <w:sz w:val="21"/>
                <w:szCs w:val="21"/>
              </w:rPr>
              <w:t>主管部门发布的数据</w:t>
            </w:r>
            <w:r>
              <w:rPr>
                <w:rFonts w:cs="Times New Roman" w:hint="eastAsia"/>
                <w:sz w:val="21"/>
                <w:szCs w:val="21"/>
              </w:rPr>
              <w:t>☑</w:t>
            </w:r>
          </w:p>
        </w:tc>
        <w:tc>
          <w:tcPr>
            <w:tcW w:w="1992" w:type="dxa"/>
            <w:gridSpan w:val="7"/>
            <w:vAlign w:val="center"/>
          </w:tcPr>
          <w:p w14:paraId="6F599BDF" w14:textId="77777777" w:rsidR="009D12AF" w:rsidRDefault="00000000">
            <w:pPr>
              <w:spacing w:line="240" w:lineRule="auto"/>
              <w:ind w:firstLineChars="0" w:firstLine="0"/>
              <w:jc w:val="center"/>
              <w:rPr>
                <w:rFonts w:cs="Times New Roman"/>
                <w:sz w:val="21"/>
                <w:szCs w:val="21"/>
              </w:rPr>
            </w:pPr>
            <w:r>
              <w:rPr>
                <w:rFonts w:cs="Times New Roman"/>
                <w:sz w:val="21"/>
                <w:szCs w:val="21"/>
              </w:rPr>
              <w:t>现状补充监测</w:t>
            </w:r>
            <w:r>
              <w:rPr>
                <w:rFonts w:cs="Times New Roman" w:hint="eastAsia"/>
                <w:sz w:val="21"/>
                <w:szCs w:val="21"/>
              </w:rPr>
              <w:t>□</w:t>
            </w:r>
          </w:p>
        </w:tc>
      </w:tr>
      <w:tr w:rsidR="009D12AF" w14:paraId="2E5AC973" w14:textId="77777777">
        <w:tc>
          <w:tcPr>
            <w:tcW w:w="815" w:type="dxa"/>
            <w:vMerge/>
            <w:vAlign w:val="center"/>
          </w:tcPr>
          <w:p w14:paraId="1889828F" w14:textId="77777777" w:rsidR="009D12AF" w:rsidRDefault="009D12AF">
            <w:pPr>
              <w:spacing w:line="240" w:lineRule="auto"/>
              <w:ind w:firstLineChars="0" w:firstLine="0"/>
              <w:jc w:val="center"/>
              <w:rPr>
                <w:rFonts w:cs="Times New Roman"/>
                <w:sz w:val="21"/>
                <w:szCs w:val="21"/>
              </w:rPr>
            </w:pPr>
          </w:p>
        </w:tc>
        <w:tc>
          <w:tcPr>
            <w:tcW w:w="1555" w:type="dxa"/>
            <w:vAlign w:val="center"/>
          </w:tcPr>
          <w:p w14:paraId="6E6277D2" w14:textId="77777777" w:rsidR="009D12AF" w:rsidRDefault="00000000">
            <w:pPr>
              <w:spacing w:line="240" w:lineRule="auto"/>
              <w:ind w:firstLineChars="0" w:firstLine="0"/>
              <w:jc w:val="center"/>
              <w:rPr>
                <w:rFonts w:cs="Times New Roman"/>
                <w:sz w:val="21"/>
                <w:szCs w:val="21"/>
              </w:rPr>
            </w:pPr>
            <w:r>
              <w:rPr>
                <w:rFonts w:cs="Times New Roman"/>
                <w:sz w:val="21"/>
                <w:szCs w:val="21"/>
              </w:rPr>
              <w:t>现状评价</w:t>
            </w:r>
          </w:p>
        </w:tc>
        <w:tc>
          <w:tcPr>
            <w:tcW w:w="3081" w:type="dxa"/>
            <w:gridSpan w:val="8"/>
            <w:vAlign w:val="center"/>
          </w:tcPr>
          <w:p w14:paraId="529BA541" w14:textId="77777777" w:rsidR="009D12AF" w:rsidRDefault="00000000">
            <w:pPr>
              <w:spacing w:line="240" w:lineRule="auto"/>
              <w:ind w:firstLineChars="0" w:firstLine="0"/>
              <w:jc w:val="center"/>
              <w:rPr>
                <w:rFonts w:cs="Times New Roman"/>
                <w:sz w:val="21"/>
                <w:szCs w:val="21"/>
              </w:rPr>
            </w:pPr>
            <w:r>
              <w:rPr>
                <w:rFonts w:cs="Times New Roman"/>
                <w:sz w:val="21"/>
                <w:szCs w:val="21"/>
              </w:rPr>
              <w:t>达标区</w:t>
            </w:r>
            <w:r>
              <w:rPr>
                <w:rFonts w:cs="Times New Roman" w:hint="eastAsia"/>
                <w:sz w:val="21"/>
                <w:szCs w:val="21"/>
              </w:rPr>
              <w:t>☑</w:t>
            </w:r>
          </w:p>
        </w:tc>
        <w:tc>
          <w:tcPr>
            <w:tcW w:w="3159" w:type="dxa"/>
            <w:gridSpan w:val="14"/>
            <w:vAlign w:val="center"/>
          </w:tcPr>
          <w:p w14:paraId="381F9318" w14:textId="77777777" w:rsidR="009D12AF" w:rsidRDefault="00000000">
            <w:pPr>
              <w:spacing w:line="240" w:lineRule="auto"/>
              <w:ind w:firstLineChars="0" w:firstLine="0"/>
              <w:jc w:val="center"/>
              <w:rPr>
                <w:rFonts w:cs="Times New Roman"/>
                <w:sz w:val="21"/>
                <w:szCs w:val="21"/>
              </w:rPr>
            </w:pPr>
            <w:r>
              <w:rPr>
                <w:rFonts w:cs="Times New Roman"/>
                <w:sz w:val="21"/>
                <w:szCs w:val="21"/>
              </w:rPr>
              <w:t>不达标区</w:t>
            </w:r>
            <w:r>
              <w:rPr>
                <w:rFonts w:cs="Times New Roman"/>
                <w:sz w:val="21"/>
                <w:szCs w:val="21"/>
              </w:rPr>
              <w:t>□</w:t>
            </w:r>
          </w:p>
        </w:tc>
      </w:tr>
      <w:tr w:rsidR="009D12AF" w14:paraId="02DEEC56" w14:textId="77777777">
        <w:tc>
          <w:tcPr>
            <w:tcW w:w="815" w:type="dxa"/>
            <w:vAlign w:val="center"/>
          </w:tcPr>
          <w:p w14:paraId="6BEF106C" w14:textId="77777777" w:rsidR="009D12AF" w:rsidRDefault="00000000">
            <w:pPr>
              <w:spacing w:line="240" w:lineRule="auto"/>
              <w:ind w:firstLineChars="0" w:firstLine="0"/>
              <w:jc w:val="center"/>
              <w:rPr>
                <w:rFonts w:cs="Times New Roman"/>
                <w:sz w:val="21"/>
                <w:szCs w:val="21"/>
              </w:rPr>
            </w:pPr>
            <w:r>
              <w:rPr>
                <w:rFonts w:cs="Times New Roman"/>
                <w:sz w:val="21"/>
                <w:szCs w:val="21"/>
              </w:rPr>
              <w:t>污染源调查</w:t>
            </w:r>
          </w:p>
        </w:tc>
        <w:tc>
          <w:tcPr>
            <w:tcW w:w="1555" w:type="dxa"/>
            <w:vAlign w:val="center"/>
          </w:tcPr>
          <w:p w14:paraId="4D5602A8" w14:textId="77777777" w:rsidR="009D12AF" w:rsidRDefault="00000000">
            <w:pPr>
              <w:spacing w:line="240" w:lineRule="auto"/>
              <w:ind w:firstLineChars="0" w:firstLine="0"/>
              <w:jc w:val="center"/>
              <w:rPr>
                <w:rFonts w:cs="Times New Roman"/>
                <w:sz w:val="21"/>
                <w:szCs w:val="21"/>
              </w:rPr>
            </w:pPr>
            <w:r>
              <w:rPr>
                <w:rFonts w:cs="Times New Roman"/>
                <w:sz w:val="21"/>
                <w:szCs w:val="21"/>
              </w:rPr>
              <w:t>调查内容</w:t>
            </w:r>
          </w:p>
        </w:tc>
        <w:tc>
          <w:tcPr>
            <w:tcW w:w="1601" w:type="dxa"/>
            <w:gridSpan w:val="4"/>
            <w:vAlign w:val="center"/>
          </w:tcPr>
          <w:p w14:paraId="77B0D7F2" w14:textId="77777777" w:rsidR="009D12AF" w:rsidRDefault="00000000">
            <w:pPr>
              <w:spacing w:line="240" w:lineRule="auto"/>
              <w:ind w:firstLineChars="0" w:firstLine="0"/>
              <w:jc w:val="center"/>
              <w:rPr>
                <w:rFonts w:cs="Times New Roman"/>
                <w:sz w:val="21"/>
                <w:szCs w:val="21"/>
              </w:rPr>
            </w:pPr>
            <w:r>
              <w:rPr>
                <w:rFonts w:cs="Times New Roman"/>
                <w:sz w:val="21"/>
                <w:szCs w:val="21"/>
              </w:rPr>
              <w:t>本项目正常排放源</w:t>
            </w:r>
            <w:r>
              <w:rPr>
                <w:rFonts w:cs="Times New Roman" w:hint="eastAsia"/>
                <w:sz w:val="21"/>
                <w:szCs w:val="21"/>
              </w:rPr>
              <w:t>☑</w:t>
            </w:r>
          </w:p>
          <w:p w14:paraId="565954DA" w14:textId="77777777" w:rsidR="009D12AF" w:rsidRDefault="00000000">
            <w:pPr>
              <w:spacing w:line="240" w:lineRule="auto"/>
              <w:ind w:firstLineChars="0" w:firstLine="0"/>
              <w:jc w:val="center"/>
              <w:rPr>
                <w:rFonts w:cs="Times New Roman"/>
                <w:sz w:val="21"/>
                <w:szCs w:val="21"/>
              </w:rPr>
            </w:pPr>
            <w:r>
              <w:rPr>
                <w:rFonts w:cs="Times New Roman"/>
                <w:sz w:val="21"/>
                <w:szCs w:val="21"/>
              </w:rPr>
              <w:t>本项目非正常排放源</w:t>
            </w:r>
            <w:r>
              <w:rPr>
                <w:rFonts w:cs="Times New Roman" w:hint="eastAsia"/>
                <w:sz w:val="21"/>
                <w:szCs w:val="21"/>
              </w:rPr>
              <w:t>☑</w:t>
            </w:r>
          </w:p>
          <w:p w14:paraId="3C190570" w14:textId="77777777" w:rsidR="009D12AF" w:rsidRDefault="00000000">
            <w:pPr>
              <w:spacing w:line="240" w:lineRule="auto"/>
              <w:ind w:firstLineChars="0" w:firstLine="0"/>
              <w:jc w:val="center"/>
              <w:rPr>
                <w:rFonts w:cs="Times New Roman"/>
                <w:sz w:val="21"/>
                <w:szCs w:val="21"/>
              </w:rPr>
            </w:pPr>
            <w:r>
              <w:rPr>
                <w:rFonts w:cs="Times New Roman"/>
                <w:sz w:val="21"/>
                <w:szCs w:val="21"/>
              </w:rPr>
              <w:t>现有污染源</w:t>
            </w:r>
            <w:r>
              <w:rPr>
                <w:rFonts w:cs="Times New Roman" w:hint="eastAsia"/>
                <w:sz w:val="21"/>
                <w:szCs w:val="21"/>
              </w:rPr>
              <w:t>□</w:t>
            </w:r>
          </w:p>
        </w:tc>
        <w:tc>
          <w:tcPr>
            <w:tcW w:w="1770" w:type="dxa"/>
            <w:gridSpan w:val="6"/>
            <w:vAlign w:val="center"/>
          </w:tcPr>
          <w:p w14:paraId="26F27627" w14:textId="77777777" w:rsidR="009D12AF" w:rsidRDefault="00000000">
            <w:pPr>
              <w:spacing w:line="240" w:lineRule="auto"/>
              <w:ind w:firstLineChars="0" w:firstLine="0"/>
              <w:jc w:val="center"/>
              <w:rPr>
                <w:rFonts w:cs="Times New Roman"/>
                <w:sz w:val="21"/>
                <w:szCs w:val="21"/>
              </w:rPr>
            </w:pPr>
            <w:r>
              <w:rPr>
                <w:rFonts w:cs="Times New Roman"/>
                <w:sz w:val="21"/>
                <w:szCs w:val="21"/>
              </w:rPr>
              <w:t>拟替代的污染源</w:t>
            </w:r>
            <w:r>
              <w:rPr>
                <w:rFonts w:cs="Times New Roman" w:hint="eastAsia"/>
                <w:sz w:val="21"/>
                <w:szCs w:val="21"/>
              </w:rPr>
              <w:t>□</w:t>
            </w:r>
          </w:p>
        </w:tc>
        <w:tc>
          <w:tcPr>
            <w:tcW w:w="1860" w:type="dxa"/>
            <w:gridSpan w:val="10"/>
            <w:vAlign w:val="center"/>
          </w:tcPr>
          <w:p w14:paraId="3EAB6F30" w14:textId="77777777" w:rsidR="009D12AF" w:rsidRDefault="00000000">
            <w:pPr>
              <w:spacing w:line="240" w:lineRule="auto"/>
              <w:ind w:firstLineChars="0" w:firstLine="0"/>
              <w:jc w:val="center"/>
              <w:rPr>
                <w:rFonts w:cs="Times New Roman"/>
                <w:sz w:val="21"/>
                <w:szCs w:val="21"/>
              </w:rPr>
            </w:pPr>
            <w:r>
              <w:rPr>
                <w:rFonts w:cs="Times New Roman"/>
                <w:sz w:val="21"/>
                <w:szCs w:val="21"/>
              </w:rPr>
              <w:t>其他在建、拟建项目污染源</w:t>
            </w:r>
            <w:r>
              <w:rPr>
                <w:rFonts w:cs="Times New Roman" w:hint="eastAsia"/>
                <w:sz w:val="21"/>
                <w:szCs w:val="21"/>
              </w:rPr>
              <w:t>□</w:t>
            </w:r>
          </w:p>
        </w:tc>
        <w:tc>
          <w:tcPr>
            <w:tcW w:w="1009" w:type="dxa"/>
            <w:gridSpan w:val="2"/>
            <w:vAlign w:val="center"/>
          </w:tcPr>
          <w:p w14:paraId="51D5670B" w14:textId="77777777" w:rsidR="009D12AF" w:rsidRDefault="00000000">
            <w:pPr>
              <w:spacing w:line="240" w:lineRule="auto"/>
              <w:ind w:firstLineChars="0" w:firstLine="0"/>
              <w:jc w:val="center"/>
              <w:rPr>
                <w:rFonts w:cs="Times New Roman"/>
                <w:sz w:val="21"/>
                <w:szCs w:val="21"/>
              </w:rPr>
            </w:pPr>
            <w:r>
              <w:rPr>
                <w:rFonts w:cs="Times New Roman"/>
                <w:sz w:val="21"/>
                <w:szCs w:val="21"/>
              </w:rPr>
              <w:t>区域污染源</w:t>
            </w:r>
            <w:r>
              <w:rPr>
                <w:rFonts w:cs="Times New Roman" w:hint="eastAsia"/>
                <w:sz w:val="21"/>
                <w:szCs w:val="21"/>
              </w:rPr>
              <w:t>☑</w:t>
            </w:r>
          </w:p>
        </w:tc>
      </w:tr>
      <w:tr w:rsidR="009D12AF" w14:paraId="1FDA1221" w14:textId="77777777">
        <w:tc>
          <w:tcPr>
            <w:tcW w:w="815" w:type="dxa"/>
            <w:vMerge w:val="restart"/>
            <w:vAlign w:val="center"/>
          </w:tcPr>
          <w:p w14:paraId="3D1D62D4" w14:textId="77777777" w:rsidR="009D12AF" w:rsidRDefault="00000000">
            <w:pPr>
              <w:spacing w:line="240" w:lineRule="auto"/>
              <w:ind w:firstLineChars="0" w:firstLine="0"/>
              <w:jc w:val="center"/>
              <w:rPr>
                <w:rFonts w:cs="Times New Roman"/>
                <w:sz w:val="21"/>
                <w:szCs w:val="21"/>
              </w:rPr>
            </w:pPr>
            <w:r>
              <w:rPr>
                <w:rFonts w:cs="Times New Roman"/>
                <w:sz w:val="21"/>
                <w:szCs w:val="21"/>
              </w:rPr>
              <w:t>大气环境影响预测与评价</w:t>
            </w:r>
          </w:p>
        </w:tc>
        <w:tc>
          <w:tcPr>
            <w:tcW w:w="1555" w:type="dxa"/>
            <w:vAlign w:val="center"/>
          </w:tcPr>
          <w:p w14:paraId="2B6532B7" w14:textId="77777777" w:rsidR="009D12AF" w:rsidRDefault="00000000">
            <w:pPr>
              <w:spacing w:line="240" w:lineRule="auto"/>
              <w:ind w:firstLineChars="0" w:firstLine="0"/>
              <w:jc w:val="center"/>
              <w:rPr>
                <w:rFonts w:cs="Times New Roman"/>
                <w:sz w:val="21"/>
                <w:szCs w:val="21"/>
              </w:rPr>
            </w:pPr>
            <w:r>
              <w:rPr>
                <w:rFonts w:cs="Times New Roman"/>
                <w:sz w:val="21"/>
                <w:szCs w:val="21"/>
              </w:rPr>
              <w:t>预测模型</w:t>
            </w:r>
          </w:p>
        </w:tc>
        <w:tc>
          <w:tcPr>
            <w:tcW w:w="850" w:type="dxa"/>
            <w:vAlign w:val="center"/>
          </w:tcPr>
          <w:p w14:paraId="64575CD6" w14:textId="77777777" w:rsidR="009D12AF" w:rsidRDefault="00000000">
            <w:pPr>
              <w:spacing w:line="240" w:lineRule="auto"/>
              <w:ind w:firstLineChars="0" w:firstLine="0"/>
              <w:jc w:val="center"/>
              <w:rPr>
                <w:rFonts w:cs="Times New Roman"/>
                <w:sz w:val="21"/>
                <w:szCs w:val="21"/>
              </w:rPr>
            </w:pPr>
            <w:r>
              <w:rPr>
                <w:rFonts w:cs="Times New Roman"/>
                <w:sz w:val="21"/>
                <w:szCs w:val="21"/>
              </w:rPr>
              <w:t>AERMOD</w:t>
            </w:r>
            <w:r>
              <w:rPr>
                <w:rFonts w:cs="Times New Roman" w:hint="eastAsia"/>
                <w:sz w:val="21"/>
                <w:szCs w:val="21"/>
              </w:rPr>
              <w:t>□</w:t>
            </w:r>
          </w:p>
        </w:tc>
        <w:tc>
          <w:tcPr>
            <w:tcW w:w="751" w:type="dxa"/>
            <w:gridSpan w:val="3"/>
            <w:vAlign w:val="center"/>
          </w:tcPr>
          <w:p w14:paraId="06916D17" w14:textId="77777777" w:rsidR="009D12AF" w:rsidRDefault="00000000">
            <w:pPr>
              <w:spacing w:line="240" w:lineRule="auto"/>
              <w:ind w:firstLineChars="0" w:firstLine="0"/>
              <w:jc w:val="center"/>
              <w:rPr>
                <w:rFonts w:cs="Times New Roman"/>
                <w:sz w:val="21"/>
                <w:szCs w:val="21"/>
              </w:rPr>
            </w:pPr>
            <w:r>
              <w:rPr>
                <w:rFonts w:cs="Times New Roman"/>
                <w:sz w:val="21"/>
                <w:szCs w:val="21"/>
              </w:rPr>
              <w:t>ADMS□</w:t>
            </w:r>
          </w:p>
        </w:tc>
        <w:tc>
          <w:tcPr>
            <w:tcW w:w="954" w:type="dxa"/>
            <w:gridSpan w:val="2"/>
            <w:vAlign w:val="center"/>
          </w:tcPr>
          <w:p w14:paraId="1412BBB0" w14:textId="77777777" w:rsidR="009D12AF" w:rsidRDefault="00000000">
            <w:pPr>
              <w:spacing w:line="240" w:lineRule="auto"/>
              <w:ind w:firstLineChars="0" w:firstLine="0"/>
              <w:jc w:val="center"/>
              <w:rPr>
                <w:rFonts w:cs="Times New Roman"/>
                <w:sz w:val="21"/>
                <w:szCs w:val="21"/>
              </w:rPr>
            </w:pPr>
            <w:r>
              <w:rPr>
                <w:rFonts w:cs="Times New Roman"/>
                <w:sz w:val="21"/>
                <w:szCs w:val="21"/>
              </w:rPr>
              <w:t>AUSTAL2000□</w:t>
            </w:r>
          </w:p>
        </w:tc>
        <w:tc>
          <w:tcPr>
            <w:tcW w:w="1134" w:type="dxa"/>
            <w:gridSpan w:val="7"/>
            <w:vAlign w:val="center"/>
          </w:tcPr>
          <w:p w14:paraId="2DB7087C" w14:textId="77777777" w:rsidR="009D12AF" w:rsidRDefault="00000000">
            <w:pPr>
              <w:spacing w:line="240" w:lineRule="auto"/>
              <w:ind w:firstLineChars="0" w:firstLine="0"/>
              <w:jc w:val="center"/>
              <w:rPr>
                <w:rFonts w:cs="Times New Roman"/>
                <w:sz w:val="21"/>
                <w:szCs w:val="21"/>
              </w:rPr>
            </w:pPr>
            <w:r>
              <w:rPr>
                <w:rFonts w:cs="Times New Roman"/>
                <w:sz w:val="21"/>
                <w:szCs w:val="21"/>
              </w:rPr>
              <w:t>EDMS/AEDT</w:t>
            </w:r>
            <w:r>
              <w:rPr>
                <w:rFonts w:cs="Times New Roman" w:hint="eastAsia"/>
                <w:sz w:val="21"/>
                <w:szCs w:val="21"/>
              </w:rPr>
              <w:t>□</w:t>
            </w:r>
          </w:p>
        </w:tc>
        <w:tc>
          <w:tcPr>
            <w:tcW w:w="836" w:type="dxa"/>
            <w:gridSpan w:val="3"/>
            <w:vAlign w:val="center"/>
          </w:tcPr>
          <w:p w14:paraId="61CD43B4" w14:textId="77777777" w:rsidR="009D12AF" w:rsidRDefault="00000000">
            <w:pPr>
              <w:spacing w:line="240" w:lineRule="auto"/>
              <w:ind w:firstLineChars="0" w:firstLine="0"/>
              <w:jc w:val="center"/>
              <w:rPr>
                <w:rFonts w:cs="Times New Roman"/>
                <w:sz w:val="21"/>
                <w:szCs w:val="21"/>
              </w:rPr>
            </w:pPr>
            <w:r>
              <w:rPr>
                <w:rFonts w:cs="Times New Roman"/>
                <w:sz w:val="21"/>
                <w:szCs w:val="21"/>
              </w:rPr>
              <w:t>CALPUFF□</w:t>
            </w:r>
          </w:p>
        </w:tc>
        <w:tc>
          <w:tcPr>
            <w:tcW w:w="993" w:type="dxa"/>
            <w:gridSpan w:val="5"/>
            <w:vAlign w:val="center"/>
          </w:tcPr>
          <w:p w14:paraId="1AAB353F" w14:textId="77777777" w:rsidR="009D12AF" w:rsidRDefault="00000000">
            <w:pPr>
              <w:spacing w:line="240" w:lineRule="auto"/>
              <w:ind w:firstLineChars="0" w:firstLine="0"/>
              <w:jc w:val="center"/>
              <w:rPr>
                <w:rFonts w:cs="Times New Roman"/>
                <w:sz w:val="21"/>
                <w:szCs w:val="21"/>
              </w:rPr>
            </w:pPr>
            <w:r>
              <w:rPr>
                <w:rFonts w:cs="Times New Roman"/>
                <w:sz w:val="21"/>
                <w:szCs w:val="21"/>
              </w:rPr>
              <w:t>网格模型</w:t>
            </w:r>
            <w:r>
              <w:rPr>
                <w:rFonts w:cs="Times New Roman"/>
                <w:sz w:val="21"/>
                <w:szCs w:val="21"/>
              </w:rPr>
              <w:t>□</w:t>
            </w:r>
          </w:p>
        </w:tc>
        <w:tc>
          <w:tcPr>
            <w:tcW w:w="722" w:type="dxa"/>
            <w:vAlign w:val="center"/>
          </w:tcPr>
          <w:p w14:paraId="35267818" w14:textId="77777777" w:rsidR="009D12AF" w:rsidRDefault="00000000">
            <w:pPr>
              <w:spacing w:line="240" w:lineRule="auto"/>
              <w:ind w:firstLineChars="0" w:firstLine="0"/>
              <w:jc w:val="center"/>
              <w:rPr>
                <w:rFonts w:cs="Times New Roman"/>
                <w:sz w:val="21"/>
                <w:szCs w:val="21"/>
              </w:rPr>
            </w:pPr>
            <w:r>
              <w:rPr>
                <w:rFonts w:cs="Times New Roman"/>
                <w:sz w:val="21"/>
                <w:szCs w:val="21"/>
              </w:rPr>
              <w:t>其他</w:t>
            </w:r>
            <w:r>
              <w:rPr>
                <w:rFonts w:cs="Times New Roman" w:hint="eastAsia"/>
                <w:sz w:val="21"/>
                <w:szCs w:val="21"/>
              </w:rPr>
              <w:t>□</w:t>
            </w:r>
          </w:p>
        </w:tc>
      </w:tr>
      <w:tr w:rsidR="009D12AF" w14:paraId="5E7390C7" w14:textId="77777777">
        <w:tc>
          <w:tcPr>
            <w:tcW w:w="815" w:type="dxa"/>
            <w:vMerge/>
            <w:vAlign w:val="center"/>
          </w:tcPr>
          <w:p w14:paraId="0BF63490" w14:textId="77777777" w:rsidR="009D12AF" w:rsidRDefault="009D12AF">
            <w:pPr>
              <w:spacing w:line="240" w:lineRule="auto"/>
              <w:ind w:firstLineChars="0" w:firstLine="0"/>
              <w:jc w:val="center"/>
              <w:rPr>
                <w:rFonts w:cs="Times New Roman"/>
                <w:sz w:val="21"/>
                <w:szCs w:val="21"/>
              </w:rPr>
            </w:pPr>
          </w:p>
        </w:tc>
        <w:tc>
          <w:tcPr>
            <w:tcW w:w="1555" w:type="dxa"/>
            <w:vAlign w:val="center"/>
          </w:tcPr>
          <w:p w14:paraId="7F4B311B" w14:textId="77777777" w:rsidR="009D12AF" w:rsidRDefault="00000000">
            <w:pPr>
              <w:spacing w:line="240" w:lineRule="auto"/>
              <w:ind w:firstLineChars="0" w:firstLine="0"/>
              <w:jc w:val="center"/>
              <w:rPr>
                <w:rFonts w:cs="Times New Roman"/>
                <w:sz w:val="21"/>
                <w:szCs w:val="21"/>
              </w:rPr>
            </w:pPr>
            <w:r>
              <w:rPr>
                <w:rFonts w:cs="Times New Roman"/>
                <w:sz w:val="21"/>
                <w:szCs w:val="21"/>
              </w:rPr>
              <w:t>预测范围</w:t>
            </w:r>
          </w:p>
        </w:tc>
        <w:tc>
          <w:tcPr>
            <w:tcW w:w="1601" w:type="dxa"/>
            <w:gridSpan w:val="4"/>
            <w:vAlign w:val="center"/>
          </w:tcPr>
          <w:p w14:paraId="02A7CCE0" w14:textId="77777777" w:rsidR="009D12AF" w:rsidRDefault="00000000">
            <w:pPr>
              <w:spacing w:line="240" w:lineRule="auto"/>
              <w:ind w:firstLineChars="0" w:firstLine="0"/>
              <w:jc w:val="center"/>
              <w:rPr>
                <w:rFonts w:cs="Times New Roman"/>
                <w:sz w:val="21"/>
                <w:szCs w:val="21"/>
              </w:rPr>
            </w:pPr>
            <w:r>
              <w:rPr>
                <w:rFonts w:cs="Times New Roman"/>
                <w:sz w:val="21"/>
                <w:szCs w:val="21"/>
              </w:rPr>
              <w:t>边长</w:t>
            </w:r>
            <w:r>
              <w:rPr>
                <w:rFonts w:cs="Times New Roman"/>
                <w:sz w:val="21"/>
                <w:szCs w:val="21"/>
              </w:rPr>
              <w:t>≥50km□</w:t>
            </w:r>
          </w:p>
        </w:tc>
        <w:tc>
          <w:tcPr>
            <w:tcW w:w="3021" w:type="dxa"/>
            <w:gridSpan w:val="13"/>
            <w:vAlign w:val="center"/>
          </w:tcPr>
          <w:p w14:paraId="7A6B6EC9" w14:textId="77777777" w:rsidR="009D12AF" w:rsidRDefault="00000000">
            <w:pPr>
              <w:spacing w:line="240" w:lineRule="auto"/>
              <w:ind w:firstLineChars="0" w:firstLine="0"/>
              <w:jc w:val="center"/>
              <w:rPr>
                <w:rFonts w:cs="Times New Roman"/>
                <w:sz w:val="21"/>
                <w:szCs w:val="21"/>
              </w:rPr>
            </w:pPr>
            <w:r>
              <w:rPr>
                <w:rFonts w:cs="Times New Roman"/>
                <w:sz w:val="21"/>
                <w:szCs w:val="21"/>
              </w:rPr>
              <w:t>边长</w:t>
            </w:r>
            <w:r>
              <w:rPr>
                <w:rFonts w:cs="Times New Roman"/>
                <w:sz w:val="21"/>
                <w:szCs w:val="21"/>
              </w:rPr>
              <w:t>5~50km□</w:t>
            </w:r>
          </w:p>
        </w:tc>
        <w:tc>
          <w:tcPr>
            <w:tcW w:w="1618" w:type="dxa"/>
            <w:gridSpan w:val="5"/>
            <w:vAlign w:val="center"/>
          </w:tcPr>
          <w:p w14:paraId="068604D2" w14:textId="77777777" w:rsidR="009D12AF" w:rsidRDefault="00000000">
            <w:pPr>
              <w:spacing w:line="240" w:lineRule="auto"/>
              <w:ind w:firstLineChars="0" w:firstLine="0"/>
              <w:jc w:val="center"/>
              <w:rPr>
                <w:rFonts w:cs="Times New Roman"/>
                <w:sz w:val="21"/>
                <w:szCs w:val="21"/>
              </w:rPr>
            </w:pPr>
            <w:r>
              <w:rPr>
                <w:rFonts w:cs="Times New Roman"/>
                <w:sz w:val="21"/>
                <w:szCs w:val="21"/>
              </w:rPr>
              <w:t>边长</w:t>
            </w:r>
            <w:r>
              <w:rPr>
                <w:rFonts w:cs="Times New Roman"/>
                <w:sz w:val="21"/>
                <w:szCs w:val="21"/>
              </w:rPr>
              <w:t>=5km</w:t>
            </w:r>
            <w:r>
              <w:rPr>
                <w:rFonts w:cs="Times New Roman" w:hint="eastAsia"/>
                <w:sz w:val="21"/>
                <w:szCs w:val="21"/>
              </w:rPr>
              <w:t>□</w:t>
            </w:r>
          </w:p>
        </w:tc>
      </w:tr>
      <w:tr w:rsidR="009D12AF" w14:paraId="5F8AC37E" w14:textId="77777777">
        <w:tc>
          <w:tcPr>
            <w:tcW w:w="815" w:type="dxa"/>
            <w:vMerge/>
            <w:vAlign w:val="center"/>
          </w:tcPr>
          <w:p w14:paraId="12860DBE" w14:textId="77777777" w:rsidR="009D12AF" w:rsidRDefault="009D12AF">
            <w:pPr>
              <w:spacing w:line="240" w:lineRule="auto"/>
              <w:ind w:firstLineChars="0" w:firstLine="0"/>
              <w:jc w:val="center"/>
              <w:rPr>
                <w:rFonts w:cs="Times New Roman"/>
                <w:sz w:val="21"/>
                <w:szCs w:val="21"/>
              </w:rPr>
            </w:pPr>
          </w:p>
        </w:tc>
        <w:tc>
          <w:tcPr>
            <w:tcW w:w="1555" w:type="dxa"/>
            <w:vAlign w:val="center"/>
          </w:tcPr>
          <w:p w14:paraId="3BC9F7A2" w14:textId="77777777" w:rsidR="009D12AF" w:rsidRDefault="00000000">
            <w:pPr>
              <w:spacing w:line="240" w:lineRule="auto"/>
              <w:ind w:firstLineChars="0" w:firstLine="0"/>
              <w:jc w:val="center"/>
              <w:rPr>
                <w:rFonts w:cs="Times New Roman"/>
                <w:sz w:val="21"/>
                <w:szCs w:val="21"/>
              </w:rPr>
            </w:pPr>
            <w:r>
              <w:rPr>
                <w:rFonts w:cs="Times New Roman"/>
                <w:sz w:val="21"/>
                <w:szCs w:val="21"/>
              </w:rPr>
              <w:t>预测因子</w:t>
            </w:r>
          </w:p>
        </w:tc>
        <w:tc>
          <w:tcPr>
            <w:tcW w:w="3533" w:type="dxa"/>
            <w:gridSpan w:val="11"/>
            <w:vAlign w:val="center"/>
          </w:tcPr>
          <w:p w14:paraId="4E2DD1E0" w14:textId="77777777" w:rsidR="009D12AF" w:rsidRDefault="00000000">
            <w:pPr>
              <w:spacing w:line="240" w:lineRule="auto"/>
              <w:ind w:firstLineChars="0" w:firstLine="0"/>
              <w:jc w:val="center"/>
              <w:rPr>
                <w:rFonts w:cs="Times New Roman"/>
                <w:sz w:val="21"/>
                <w:szCs w:val="21"/>
              </w:rPr>
            </w:pPr>
            <w:r>
              <w:rPr>
                <w:rFonts w:cs="Times New Roman"/>
                <w:sz w:val="21"/>
                <w:szCs w:val="21"/>
              </w:rPr>
              <w:t>预测因子（</w:t>
            </w:r>
            <w:r>
              <w:rPr>
                <w:rFonts w:cs="Times New Roman"/>
                <w:sz w:val="21"/>
                <w:szCs w:val="21"/>
              </w:rPr>
              <w:t>PM</w:t>
            </w:r>
            <w:r>
              <w:rPr>
                <w:rFonts w:cs="Times New Roman"/>
                <w:sz w:val="21"/>
                <w:szCs w:val="21"/>
                <w:vertAlign w:val="subscript"/>
              </w:rPr>
              <w:t>10</w:t>
            </w:r>
            <w:r>
              <w:rPr>
                <w:rFonts w:cs="Times New Roman"/>
                <w:sz w:val="21"/>
                <w:szCs w:val="21"/>
              </w:rPr>
              <w:t>、</w:t>
            </w:r>
            <w:r>
              <w:rPr>
                <w:rFonts w:cs="Times New Roman"/>
                <w:sz w:val="21"/>
                <w:szCs w:val="21"/>
              </w:rPr>
              <w:t>SO</w:t>
            </w:r>
            <w:r>
              <w:rPr>
                <w:rFonts w:cs="Times New Roman"/>
                <w:sz w:val="21"/>
                <w:szCs w:val="21"/>
                <w:vertAlign w:val="subscript"/>
              </w:rPr>
              <w:t>2</w:t>
            </w:r>
            <w:r>
              <w:rPr>
                <w:rFonts w:cs="Times New Roman"/>
                <w:sz w:val="21"/>
                <w:szCs w:val="21"/>
              </w:rPr>
              <w:t>、</w:t>
            </w:r>
            <w:r>
              <w:rPr>
                <w:rFonts w:cs="Times New Roman"/>
                <w:sz w:val="21"/>
                <w:szCs w:val="21"/>
              </w:rPr>
              <w:t>NO</w:t>
            </w:r>
            <w:r>
              <w:rPr>
                <w:rFonts w:cs="Times New Roman"/>
                <w:sz w:val="21"/>
                <w:szCs w:val="21"/>
                <w:vertAlign w:val="subscript"/>
              </w:rPr>
              <w:t>2</w:t>
            </w:r>
            <w:r>
              <w:rPr>
                <w:rFonts w:cs="Times New Roman"/>
                <w:sz w:val="21"/>
                <w:szCs w:val="21"/>
              </w:rPr>
              <w:t>、</w:t>
            </w:r>
            <w:r>
              <w:rPr>
                <w:rFonts w:cs="Times New Roman"/>
                <w:sz w:val="21"/>
                <w:szCs w:val="21"/>
              </w:rPr>
              <w:t>Hg</w:t>
            </w:r>
            <w:r>
              <w:rPr>
                <w:rFonts w:cs="Times New Roman"/>
                <w:sz w:val="21"/>
                <w:szCs w:val="21"/>
              </w:rPr>
              <w:t>、</w:t>
            </w:r>
            <w:r>
              <w:rPr>
                <w:rFonts w:cs="Times New Roman"/>
                <w:sz w:val="21"/>
                <w:szCs w:val="21"/>
              </w:rPr>
              <w:t>NH</w:t>
            </w:r>
            <w:r>
              <w:rPr>
                <w:rFonts w:cs="Times New Roman"/>
                <w:sz w:val="21"/>
                <w:szCs w:val="21"/>
                <w:vertAlign w:val="subscript"/>
              </w:rPr>
              <w:t>3</w:t>
            </w:r>
            <w:r>
              <w:rPr>
                <w:rFonts w:cs="Times New Roman"/>
                <w:sz w:val="21"/>
                <w:szCs w:val="21"/>
              </w:rPr>
              <w:t>、</w:t>
            </w:r>
            <w:r>
              <w:rPr>
                <w:rFonts w:cs="Times New Roman" w:hint="eastAsia"/>
                <w:sz w:val="21"/>
                <w:szCs w:val="21"/>
              </w:rPr>
              <w:t>一次</w:t>
            </w:r>
            <w:r>
              <w:rPr>
                <w:rFonts w:cs="Times New Roman" w:hint="eastAsia"/>
                <w:sz w:val="21"/>
                <w:szCs w:val="21"/>
              </w:rPr>
              <w:t>PM</w:t>
            </w:r>
            <w:r>
              <w:rPr>
                <w:rFonts w:cs="Times New Roman" w:hint="eastAsia"/>
                <w:sz w:val="21"/>
                <w:szCs w:val="21"/>
                <w:vertAlign w:val="subscript"/>
              </w:rPr>
              <w:t>2.5</w:t>
            </w:r>
            <w:r>
              <w:rPr>
                <w:rFonts w:cs="Times New Roman"/>
                <w:sz w:val="21"/>
                <w:szCs w:val="21"/>
              </w:rPr>
              <w:t>）</w:t>
            </w:r>
          </w:p>
        </w:tc>
        <w:tc>
          <w:tcPr>
            <w:tcW w:w="2707" w:type="dxa"/>
            <w:gridSpan w:val="11"/>
            <w:vAlign w:val="center"/>
          </w:tcPr>
          <w:p w14:paraId="4ED957EA" w14:textId="77777777" w:rsidR="009D12AF" w:rsidRDefault="00000000">
            <w:pPr>
              <w:spacing w:line="240" w:lineRule="auto"/>
              <w:ind w:firstLineChars="0" w:firstLine="0"/>
              <w:jc w:val="center"/>
              <w:rPr>
                <w:rFonts w:cs="Times New Roman"/>
                <w:sz w:val="21"/>
                <w:szCs w:val="21"/>
              </w:rPr>
            </w:pPr>
            <w:r>
              <w:rPr>
                <w:rFonts w:cs="Times New Roman"/>
                <w:sz w:val="21"/>
                <w:szCs w:val="21"/>
              </w:rPr>
              <w:t>包括二次</w:t>
            </w:r>
            <w:r>
              <w:rPr>
                <w:rFonts w:cs="Times New Roman"/>
                <w:sz w:val="21"/>
                <w:szCs w:val="21"/>
              </w:rPr>
              <w:t>PM</w:t>
            </w:r>
            <w:r>
              <w:rPr>
                <w:rFonts w:cs="Times New Roman"/>
                <w:sz w:val="21"/>
                <w:szCs w:val="21"/>
                <w:vertAlign w:val="subscript"/>
              </w:rPr>
              <w:t>2.5</w:t>
            </w:r>
            <w:r>
              <w:rPr>
                <w:rFonts w:cs="Times New Roman" w:hint="eastAsia"/>
                <w:sz w:val="21"/>
                <w:szCs w:val="21"/>
              </w:rPr>
              <w:t>□</w:t>
            </w:r>
          </w:p>
          <w:p w14:paraId="030E882C" w14:textId="77777777" w:rsidR="009D12AF" w:rsidRDefault="00000000">
            <w:pPr>
              <w:spacing w:line="240" w:lineRule="auto"/>
              <w:ind w:firstLineChars="0" w:firstLine="0"/>
              <w:jc w:val="center"/>
              <w:rPr>
                <w:rFonts w:cs="Times New Roman"/>
                <w:sz w:val="21"/>
                <w:szCs w:val="21"/>
              </w:rPr>
            </w:pPr>
            <w:r>
              <w:rPr>
                <w:rFonts w:cs="Times New Roman"/>
                <w:sz w:val="21"/>
                <w:szCs w:val="21"/>
              </w:rPr>
              <w:t>不包括二次</w:t>
            </w:r>
            <w:r>
              <w:rPr>
                <w:rFonts w:cs="Times New Roman"/>
                <w:sz w:val="21"/>
                <w:szCs w:val="21"/>
              </w:rPr>
              <w:t>PM</w:t>
            </w:r>
            <w:r>
              <w:rPr>
                <w:rFonts w:cs="Times New Roman"/>
                <w:sz w:val="21"/>
                <w:szCs w:val="21"/>
                <w:vertAlign w:val="subscript"/>
              </w:rPr>
              <w:t>2.5</w:t>
            </w:r>
            <w:r>
              <w:rPr>
                <w:rFonts w:cs="Times New Roman" w:hint="eastAsia"/>
                <w:sz w:val="21"/>
                <w:szCs w:val="21"/>
              </w:rPr>
              <w:t>□</w:t>
            </w:r>
          </w:p>
        </w:tc>
      </w:tr>
      <w:tr w:rsidR="009D12AF" w14:paraId="16C2DD7A" w14:textId="77777777">
        <w:tc>
          <w:tcPr>
            <w:tcW w:w="815" w:type="dxa"/>
            <w:vMerge/>
            <w:vAlign w:val="center"/>
          </w:tcPr>
          <w:p w14:paraId="697AABDD" w14:textId="77777777" w:rsidR="009D12AF" w:rsidRDefault="009D12AF">
            <w:pPr>
              <w:spacing w:line="240" w:lineRule="auto"/>
              <w:ind w:firstLineChars="0" w:firstLine="0"/>
              <w:jc w:val="center"/>
              <w:rPr>
                <w:rFonts w:cs="Times New Roman"/>
                <w:sz w:val="21"/>
                <w:szCs w:val="21"/>
              </w:rPr>
            </w:pPr>
          </w:p>
        </w:tc>
        <w:tc>
          <w:tcPr>
            <w:tcW w:w="1555" w:type="dxa"/>
            <w:vAlign w:val="center"/>
          </w:tcPr>
          <w:p w14:paraId="22202E21" w14:textId="77777777" w:rsidR="009D12AF" w:rsidRDefault="00000000">
            <w:pPr>
              <w:spacing w:line="240" w:lineRule="auto"/>
              <w:ind w:firstLineChars="0" w:firstLine="0"/>
              <w:jc w:val="center"/>
              <w:rPr>
                <w:rFonts w:cs="Times New Roman"/>
                <w:sz w:val="21"/>
                <w:szCs w:val="21"/>
              </w:rPr>
            </w:pPr>
            <w:r>
              <w:rPr>
                <w:rFonts w:cs="Times New Roman"/>
                <w:sz w:val="21"/>
                <w:szCs w:val="21"/>
              </w:rPr>
              <w:t>正常排放短期浓度贡献值</w:t>
            </w:r>
          </w:p>
        </w:tc>
        <w:tc>
          <w:tcPr>
            <w:tcW w:w="3533" w:type="dxa"/>
            <w:gridSpan w:val="11"/>
            <w:vAlign w:val="center"/>
          </w:tcPr>
          <w:p w14:paraId="47967098" w14:textId="77777777" w:rsidR="009D12AF" w:rsidRDefault="00000000">
            <w:pPr>
              <w:spacing w:line="240" w:lineRule="auto"/>
              <w:ind w:firstLineChars="0" w:firstLine="0"/>
              <w:jc w:val="center"/>
              <w:rPr>
                <w:rFonts w:cs="Times New Roman"/>
                <w:sz w:val="21"/>
                <w:szCs w:val="21"/>
              </w:rPr>
            </w:pPr>
            <w:r>
              <w:rPr>
                <w:rFonts w:cs="Times New Roman"/>
                <w:sz w:val="21"/>
                <w:szCs w:val="21"/>
              </w:rPr>
              <w:t>C</w:t>
            </w:r>
            <w:r>
              <w:rPr>
                <w:rFonts w:cs="Times New Roman"/>
                <w:sz w:val="21"/>
                <w:szCs w:val="21"/>
              </w:rPr>
              <w:t>本项目最大占标率</w:t>
            </w:r>
            <w:r>
              <w:rPr>
                <w:rFonts w:cs="Times New Roman"/>
                <w:sz w:val="21"/>
                <w:szCs w:val="21"/>
              </w:rPr>
              <w:t>≤100%</w:t>
            </w:r>
            <w:r>
              <w:rPr>
                <w:rFonts w:cs="Times New Roman" w:hint="eastAsia"/>
                <w:sz w:val="21"/>
                <w:szCs w:val="21"/>
              </w:rPr>
              <w:t>□</w:t>
            </w:r>
          </w:p>
        </w:tc>
        <w:tc>
          <w:tcPr>
            <w:tcW w:w="2707" w:type="dxa"/>
            <w:gridSpan w:val="11"/>
            <w:vAlign w:val="center"/>
          </w:tcPr>
          <w:p w14:paraId="716A516E" w14:textId="77777777" w:rsidR="009D12AF" w:rsidRDefault="00000000">
            <w:pPr>
              <w:spacing w:line="240" w:lineRule="auto"/>
              <w:ind w:firstLineChars="0" w:firstLine="0"/>
              <w:jc w:val="center"/>
              <w:rPr>
                <w:rFonts w:cs="Times New Roman"/>
                <w:sz w:val="21"/>
                <w:szCs w:val="21"/>
              </w:rPr>
            </w:pPr>
            <w:r>
              <w:rPr>
                <w:rFonts w:cs="Times New Roman"/>
                <w:sz w:val="21"/>
                <w:szCs w:val="21"/>
              </w:rPr>
              <w:t>C</w:t>
            </w:r>
            <w:r>
              <w:rPr>
                <w:rFonts w:cs="Times New Roman"/>
                <w:sz w:val="21"/>
                <w:szCs w:val="21"/>
              </w:rPr>
              <w:t>本项目最大占标率</w:t>
            </w:r>
            <w:r>
              <w:rPr>
                <w:rFonts w:cs="Times New Roman"/>
                <w:sz w:val="21"/>
                <w:szCs w:val="21"/>
              </w:rPr>
              <w:t>&gt;100%□</w:t>
            </w:r>
          </w:p>
        </w:tc>
      </w:tr>
      <w:tr w:rsidR="009D12AF" w14:paraId="24E11829" w14:textId="77777777">
        <w:tc>
          <w:tcPr>
            <w:tcW w:w="815" w:type="dxa"/>
            <w:vMerge/>
            <w:vAlign w:val="center"/>
          </w:tcPr>
          <w:p w14:paraId="4CB7562E" w14:textId="77777777" w:rsidR="009D12AF" w:rsidRDefault="009D12AF">
            <w:pPr>
              <w:spacing w:line="240" w:lineRule="auto"/>
              <w:ind w:firstLineChars="0" w:firstLine="0"/>
              <w:jc w:val="center"/>
              <w:rPr>
                <w:rFonts w:cs="Times New Roman"/>
                <w:sz w:val="21"/>
                <w:szCs w:val="21"/>
              </w:rPr>
            </w:pPr>
          </w:p>
        </w:tc>
        <w:tc>
          <w:tcPr>
            <w:tcW w:w="1555" w:type="dxa"/>
            <w:vMerge w:val="restart"/>
            <w:vAlign w:val="center"/>
          </w:tcPr>
          <w:p w14:paraId="3071F9C7" w14:textId="77777777" w:rsidR="009D12AF" w:rsidRDefault="00000000">
            <w:pPr>
              <w:spacing w:line="240" w:lineRule="auto"/>
              <w:ind w:firstLineChars="0" w:firstLine="0"/>
              <w:jc w:val="center"/>
              <w:rPr>
                <w:rFonts w:cs="Times New Roman"/>
                <w:sz w:val="21"/>
                <w:szCs w:val="21"/>
              </w:rPr>
            </w:pPr>
            <w:r>
              <w:rPr>
                <w:rFonts w:cs="Times New Roman"/>
                <w:sz w:val="21"/>
                <w:szCs w:val="21"/>
              </w:rPr>
              <w:t>正常排放年均浓度贡献值</w:t>
            </w:r>
          </w:p>
        </w:tc>
        <w:tc>
          <w:tcPr>
            <w:tcW w:w="850" w:type="dxa"/>
            <w:vAlign w:val="center"/>
          </w:tcPr>
          <w:p w14:paraId="1F8823AF" w14:textId="77777777" w:rsidR="009D12AF" w:rsidRDefault="00000000">
            <w:pPr>
              <w:spacing w:line="240" w:lineRule="auto"/>
              <w:ind w:firstLineChars="0" w:firstLine="0"/>
              <w:jc w:val="center"/>
              <w:rPr>
                <w:rFonts w:cs="Times New Roman"/>
                <w:sz w:val="21"/>
                <w:szCs w:val="21"/>
              </w:rPr>
            </w:pPr>
            <w:r>
              <w:rPr>
                <w:rFonts w:cs="Times New Roman"/>
                <w:sz w:val="21"/>
                <w:szCs w:val="21"/>
              </w:rPr>
              <w:t>一类区</w:t>
            </w:r>
          </w:p>
        </w:tc>
        <w:tc>
          <w:tcPr>
            <w:tcW w:w="2693" w:type="dxa"/>
            <w:gridSpan w:val="11"/>
            <w:vAlign w:val="center"/>
          </w:tcPr>
          <w:p w14:paraId="44CDA2A0" w14:textId="77777777" w:rsidR="009D12AF" w:rsidRDefault="00000000">
            <w:pPr>
              <w:spacing w:line="240" w:lineRule="auto"/>
              <w:ind w:firstLineChars="0" w:firstLine="0"/>
              <w:jc w:val="center"/>
              <w:rPr>
                <w:rFonts w:cs="Times New Roman"/>
                <w:sz w:val="21"/>
                <w:szCs w:val="21"/>
              </w:rPr>
            </w:pPr>
            <w:r>
              <w:rPr>
                <w:rFonts w:cs="Times New Roman"/>
                <w:sz w:val="21"/>
                <w:szCs w:val="21"/>
              </w:rPr>
              <w:t>C</w:t>
            </w:r>
            <w:r>
              <w:rPr>
                <w:rFonts w:cs="Times New Roman"/>
                <w:sz w:val="21"/>
                <w:szCs w:val="21"/>
              </w:rPr>
              <w:t>本项目最大占标率</w:t>
            </w:r>
            <w:r>
              <w:rPr>
                <w:rFonts w:cs="Times New Roman"/>
                <w:sz w:val="21"/>
                <w:szCs w:val="21"/>
              </w:rPr>
              <w:t>≤10%</w:t>
            </w:r>
            <w:r>
              <w:rPr>
                <w:rFonts w:cs="Times New Roman" w:hint="eastAsia"/>
                <w:sz w:val="21"/>
                <w:szCs w:val="21"/>
              </w:rPr>
              <w:t>□</w:t>
            </w:r>
          </w:p>
        </w:tc>
        <w:tc>
          <w:tcPr>
            <w:tcW w:w="2697" w:type="dxa"/>
            <w:gridSpan w:val="10"/>
            <w:vAlign w:val="center"/>
          </w:tcPr>
          <w:p w14:paraId="1FE4BADB" w14:textId="77777777" w:rsidR="009D12AF" w:rsidRDefault="00000000">
            <w:pPr>
              <w:spacing w:line="240" w:lineRule="auto"/>
              <w:ind w:firstLineChars="0" w:firstLine="0"/>
              <w:jc w:val="center"/>
              <w:rPr>
                <w:rFonts w:cs="Times New Roman"/>
                <w:sz w:val="21"/>
                <w:szCs w:val="21"/>
              </w:rPr>
            </w:pPr>
            <w:r>
              <w:rPr>
                <w:rFonts w:cs="Times New Roman"/>
                <w:sz w:val="21"/>
                <w:szCs w:val="21"/>
              </w:rPr>
              <w:t>C</w:t>
            </w:r>
            <w:r>
              <w:rPr>
                <w:rFonts w:cs="Times New Roman"/>
                <w:sz w:val="21"/>
                <w:szCs w:val="21"/>
              </w:rPr>
              <w:t>本项目最大占标率</w:t>
            </w:r>
            <w:r>
              <w:rPr>
                <w:rFonts w:cs="Times New Roman"/>
                <w:sz w:val="21"/>
                <w:szCs w:val="21"/>
              </w:rPr>
              <w:t>&gt;10%</w:t>
            </w:r>
            <w:r>
              <w:rPr>
                <w:rFonts w:cs="Times New Roman" w:hint="eastAsia"/>
                <w:sz w:val="21"/>
                <w:szCs w:val="21"/>
              </w:rPr>
              <w:t>□</w:t>
            </w:r>
          </w:p>
        </w:tc>
      </w:tr>
      <w:tr w:rsidR="009D12AF" w14:paraId="0269F173" w14:textId="77777777">
        <w:tc>
          <w:tcPr>
            <w:tcW w:w="815" w:type="dxa"/>
            <w:vMerge/>
            <w:vAlign w:val="center"/>
          </w:tcPr>
          <w:p w14:paraId="6A68A400" w14:textId="77777777" w:rsidR="009D12AF" w:rsidRDefault="009D12AF">
            <w:pPr>
              <w:spacing w:line="240" w:lineRule="auto"/>
              <w:ind w:firstLineChars="0" w:firstLine="0"/>
              <w:jc w:val="center"/>
              <w:rPr>
                <w:rFonts w:cs="Times New Roman"/>
                <w:sz w:val="21"/>
                <w:szCs w:val="21"/>
              </w:rPr>
            </w:pPr>
          </w:p>
        </w:tc>
        <w:tc>
          <w:tcPr>
            <w:tcW w:w="1555" w:type="dxa"/>
            <w:vMerge/>
            <w:vAlign w:val="center"/>
          </w:tcPr>
          <w:p w14:paraId="4B687C4D" w14:textId="77777777" w:rsidR="009D12AF" w:rsidRDefault="009D12AF">
            <w:pPr>
              <w:spacing w:line="240" w:lineRule="auto"/>
              <w:ind w:firstLineChars="0" w:firstLine="0"/>
              <w:jc w:val="center"/>
              <w:rPr>
                <w:rFonts w:cs="Times New Roman"/>
                <w:sz w:val="21"/>
                <w:szCs w:val="21"/>
              </w:rPr>
            </w:pPr>
          </w:p>
        </w:tc>
        <w:tc>
          <w:tcPr>
            <w:tcW w:w="850" w:type="dxa"/>
            <w:vAlign w:val="center"/>
          </w:tcPr>
          <w:p w14:paraId="027569D2" w14:textId="77777777" w:rsidR="009D12AF" w:rsidRDefault="00000000">
            <w:pPr>
              <w:spacing w:line="240" w:lineRule="auto"/>
              <w:ind w:firstLineChars="0" w:firstLine="0"/>
              <w:jc w:val="center"/>
              <w:rPr>
                <w:rFonts w:cs="Times New Roman"/>
                <w:sz w:val="21"/>
                <w:szCs w:val="21"/>
              </w:rPr>
            </w:pPr>
            <w:r>
              <w:rPr>
                <w:rFonts w:cs="Times New Roman"/>
                <w:sz w:val="21"/>
                <w:szCs w:val="21"/>
              </w:rPr>
              <w:t>二类区</w:t>
            </w:r>
          </w:p>
        </w:tc>
        <w:tc>
          <w:tcPr>
            <w:tcW w:w="2693" w:type="dxa"/>
            <w:gridSpan w:val="11"/>
            <w:vAlign w:val="center"/>
          </w:tcPr>
          <w:p w14:paraId="6D695A94" w14:textId="77777777" w:rsidR="009D12AF" w:rsidRDefault="00000000">
            <w:pPr>
              <w:spacing w:line="240" w:lineRule="auto"/>
              <w:ind w:firstLineChars="0" w:firstLine="0"/>
              <w:jc w:val="center"/>
              <w:rPr>
                <w:rFonts w:cs="Times New Roman"/>
                <w:sz w:val="21"/>
                <w:szCs w:val="21"/>
              </w:rPr>
            </w:pPr>
            <w:r>
              <w:rPr>
                <w:rFonts w:cs="Times New Roman"/>
                <w:sz w:val="21"/>
                <w:szCs w:val="21"/>
              </w:rPr>
              <w:t>C</w:t>
            </w:r>
            <w:r>
              <w:rPr>
                <w:rFonts w:cs="Times New Roman"/>
                <w:sz w:val="21"/>
                <w:szCs w:val="21"/>
              </w:rPr>
              <w:t>本项目最大占标率</w:t>
            </w:r>
            <w:r>
              <w:rPr>
                <w:rFonts w:cs="Times New Roman"/>
                <w:sz w:val="21"/>
                <w:szCs w:val="21"/>
              </w:rPr>
              <w:t>≤30%</w:t>
            </w:r>
            <w:r>
              <w:rPr>
                <w:rFonts w:cs="Times New Roman" w:hint="eastAsia"/>
                <w:sz w:val="21"/>
                <w:szCs w:val="21"/>
              </w:rPr>
              <w:t>□</w:t>
            </w:r>
          </w:p>
        </w:tc>
        <w:tc>
          <w:tcPr>
            <w:tcW w:w="2697" w:type="dxa"/>
            <w:gridSpan w:val="10"/>
            <w:vAlign w:val="center"/>
          </w:tcPr>
          <w:p w14:paraId="7DC4CFEF" w14:textId="77777777" w:rsidR="009D12AF" w:rsidRDefault="00000000">
            <w:pPr>
              <w:spacing w:line="240" w:lineRule="auto"/>
              <w:ind w:firstLineChars="0" w:firstLine="0"/>
              <w:jc w:val="center"/>
              <w:rPr>
                <w:rFonts w:cs="Times New Roman"/>
                <w:sz w:val="21"/>
                <w:szCs w:val="21"/>
              </w:rPr>
            </w:pPr>
            <w:r>
              <w:rPr>
                <w:rFonts w:cs="Times New Roman"/>
                <w:sz w:val="21"/>
                <w:szCs w:val="21"/>
              </w:rPr>
              <w:t>C</w:t>
            </w:r>
            <w:r>
              <w:rPr>
                <w:rFonts w:cs="Times New Roman"/>
                <w:sz w:val="21"/>
                <w:szCs w:val="21"/>
              </w:rPr>
              <w:t>本项目最大占标率</w:t>
            </w:r>
            <w:r>
              <w:rPr>
                <w:rFonts w:cs="Times New Roman"/>
                <w:sz w:val="21"/>
                <w:szCs w:val="21"/>
              </w:rPr>
              <w:t>&gt;30%</w:t>
            </w:r>
            <w:r>
              <w:rPr>
                <w:rFonts w:cs="Times New Roman" w:hint="eastAsia"/>
                <w:sz w:val="21"/>
                <w:szCs w:val="21"/>
              </w:rPr>
              <w:t>□</w:t>
            </w:r>
          </w:p>
        </w:tc>
      </w:tr>
      <w:tr w:rsidR="009D12AF" w14:paraId="37E667C8" w14:textId="77777777">
        <w:tc>
          <w:tcPr>
            <w:tcW w:w="815" w:type="dxa"/>
            <w:vMerge/>
            <w:vAlign w:val="center"/>
          </w:tcPr>
          <w:p w14:paraId="3560725D" w14:textId="77777777" w:rsidR="009D12AF" w:rsidRDefault="009D12AF">
            <w:pPr>
              <w:spacing w:line="240" w:lineRule="auto"/>
              <w:ind w:firstLineChars="0" w:firstLine="0"/>
              <w:jc w:val="center"/>
              <w:rPr>
                <w:rFonts w:cs="Times New Roman"/>
                <w:sz w:val="21"/>
                <w:szCs w:val="21"/>
              </w:rPr>
            </w:pPr>
          </w:p>
        </w:tc>
        <w:tc>
          <w:tcPr>
            <w:tcW w:w="1555" w:type="dxa"/>
            <w:vAlign w:val="center"/>
          </w:tcPr>
          <w:p w14:paraId="50102C5C" w14:textId="77777777" w:rsidR="009D12AF" w:rsidRDefault="00000000">
            <w:pPr>
              <w:spacing w:line="240" w:lineRule="auto"/>
              <w:ind w:firstLineChars="0" w:firstLine="0"/>
              <w:jc w:val="center"/>
              <w:rPr>
                <w:rFonts w:cs="Times New Roman"/>
                <w:sz w:val="21"/>
                <w:szCs w:val="21"/>
              </w:rPr>
            </w:pPr>
            <w:r>
              <w:rPr>
                <w:rFonts w:cs="Times New Roman"/>
                <w:sz w:val="21"/>
                <w:szCs w:val="21"/>
              </w:rPr>
              <w:t>非正常排放</w:t>
            </w:r>
            <w:r>
              <w:rPr>
                <w:rFonts w:cs="Times New Roman"/>
                <w:sz w:val="21"/>
                <w:szCs w:val="21"/>
              </w:rPr>
              <w:t>1h</w:t>
            </w:r>
            <w:r>
              <w:rPr>
                <w:rFonts w:cs="Times New Roman"/>
                <w:sz w:val="21"/>
                <w:szCs w:val="21"/>
              </w:rPr>
              <w:t>浓度贡献值</w:t>
            </w:r>
          </w:p>
        </w:tc>
        <w:tc>
          <w:tcPr>
            <w:tcW w:w="1271" w:type="dxa"/>
            <w:gridSpan w:val="2"/>
            <w:vAlign w:val="center"/>
          </w:tcPr>
          <w:p w14:paraId="17829659" w14:textId="77777777" w:rsidR="009D12AF" w:rsidRDefault="00000000">
            <w:pPr>
              <w:spacing w:line="240" w:lineRule="auto"/>
              <w:ind w:firstLineChars="0" w:firstLine="0"/>
              <w:jc w:val="center"/>
              <w:rPr>
                <w:rFonts w:cs="Times New Roman"/>
                <w:sz w:val="21"/>
                <w:szCs w:val="21"/>
              </w:rPr>
            </w:pPr>
            <w:r>
              <w:rPr>
                <w:rFonts w:cs="Times New Roman"/>
                <w:sz w:val="21"/>
                <w:szCs w:val="21"/>
              </w:rPr>
              <w:t>非正常持续时长（）</w:t>
            </w:r>
            <w:r>
              <w:rPr>
                <w:rFonts w:cs="Times New Roman"/>
                <w:sz w:val="21"/>
                <w:szCs w:val="21"/>
              </w:rPr>
              <w:t>h</w:t>
            </w:r>
          </w:p>
        </w:tc>
        <w:tc>
          <w:tcPr>
            <w:tcW w:w="2272" w:type="dxa"/>
            <w:gridSpan w:val="10"/>
            <w:vAlign w:val="center"/>
          </w:tcPr>
          <w:p w14:paraId="07CE8E68" w14:textId="77777777" w:rsidR="009D12AF" w:rsidRDefault="00000000">
            <w:pPr>
              <w:spacing w:line="240" w:lineRule="auto"/>
              <w:ind w:firstLineChars="0" w:firstLine="0"/>
              <w:jc w:val="center"/>
              <w:rPr>
                <w:rFonts w:cs="Times New Roman"/>
                <w:sz w:val="21"/>
                <w:szCs w:val="21"/>
              </w:rPr>
            </w:pPr>
            <w:r>
              <w:rPr>
                <w:rFonts w:cs="Times New Roman"/>
                <w:sz w:val="21"/>
                <w:szCs w:val="21"/>
              </w:rPr>
              <w:t>C</w:t>
            </w:r>
            <w:r>
              <w:rPr>
                <w:rFonts w:cs="Times New Roman"/>
                <w:sz w:val="21"/>
                <w:szCs w:val="21"/>
              </w:rPr>
              <w:t>非正常占标率</w:t>
            </w:r>
            <w:r>
              <w:rPr>
                <w:rFonts w:cs="Times New Roman"/>
                <w:sz w:val="21"/>
                <w:szCs w:val="21"/>
              </w:rPr>
              <w:t>≤100%</w:t>
            </w:r>
            <w:r>
              <w:rPr>
                <w:rFonts w:cs="Times New Roman" w:hint="eastAsia"/>
                <w:sz w:val="21"/>
                <w:szCs w:val="21"/>
              </w:rPr>
              <w:t>□</w:t>
            </w:r>
          </w:p>
        </w:tc>
        <w:tc>
          <w:tcPr>
            <w:tcW w:w="2697" w:type="dxa"/>
            <w:gridSpan w:val="10"/>
            <w:vAlign w:val="center"/>
          </w:tcPr>
          <w:p w14:paraId="1A39D67E" w14:textId="77777777" w:rsidR="009D12AF" w:rsidRDefault="00000000">
            <w:pPr>
              <w:spacing w:line="240" w:lineRule="auto"/>
              <w:ind w:firstLineChars="0" w:firstLine="0"/>
              <w:jc w:val="center"/>
              <w:rPr>
                <w:rFonts w:cs="Times New Roman"/>
                <w:sz w:val="21"/>
                <w:szCs w:val="21"/>
              </w:rPr>
            </w:pPr>
            <w:r>
              <w:rPr>
                <w:rFonts w:cs="Times New Roman"/>
                <w:sz w:val="21"/>
                <w:szCs w:val="21"/>
              </w:rPr>
              <w:t>C</w:t>
            </w:r>
            <w:r>
              <w:rPr>
                <w:rFonts w:cs="Times New Roman"/>
                <w:sz w:val="21"/>
                <w:szCs w:val="21"/>
              </w:rPr>
              <w:t>非正常占标率</w:t>
            </w:r>
            <w:r>
              <w:rPr>
                <w:rFonts w:cs="Times New Roman"/>
                <w:sz w:val="21"/>
                <w:szCs w:val="21"/>
              </w:rPr>
              <w:t>&gt;100%</w:t>
            </w:r>
            <w:r>
              <w:rPr>
                <w:rFonts w:cs="Times New Roman" w:hint="eastAsia"/>
                <w:sz w:val="21"/>
                <w:szCs w:val="21"/>
              </w:rPr>
              <w:t>□</w:t>
            </w:r>
          </w:p>
        </w:tc>
      </w:tr>
      <w:tr w:rsidR="009D12AF" w14:paraId="15ADA39F" w14:textId="77777777">
        <w:tc>
          <w:tcPr>
            <w:tcW w:w="815" w:type="dxa"/>
            <w:vMerge/>
            <w:vAlign w:val="center"/>
          </w:tcPr>
          <w:p w14:paraId="1D282C7D" w14:textId="77777777" w:rsidR="009D12AF" w:rsidRDefault="009D12AF">
            <w:pPr>
              <w:spacing w:line="240" w:lineRule="auto"/>
              <w:ind w:firstLineChars="0" w:firstLine="0"/>
              <w:jc w:val="center"/>
              <w:rPr>
                <w:rFonts w:cs="Times New Roman"/>
                <w:sz w:val="21"/>
                <w:szCs w:val="21"/>
              </w:rPr>
            </w:pPr>
          </w:p>
        </w:tc>
        <w:tc>
          <w:tcPr>
            <w:tcW w:w="1555" w:type="dxa"/>
            <w:vAlign w:val="center"/>
          </w:tcPr>
          <w:p w14:paraId="293F802B" w14:textId="77777777" w:rsidR="009D12AF" w:rsidRDefault="00000000">
            <w:pPr>
              <w:spacing w:line="240" w:lineRule="auto"/>
              <w:ind w:firstLineChars="0" w:firstLine="0"/>
              <w:jc w:val="center"/>
              <w:rPr>
                <w:rFonts w:cs="Times New Roman"/>
                <w:sz w:val="21"/>
                <w:szCs w:val="21"/>
              </w:rPr>
            </w:pPr>
            <w:r>
              <w:rPr>
                <w:rFonts w:cs="Times New Roman"/>
                <w:sz w:val="21"/>
                <w:szCs w:val="21"/>
              </w:rPr>
              <w:t>保证率日平均浓度和年平均浓度叠加值</w:t>
            </w:r>
          </w:p>
        </w:tc>
        <w:tc>
          <w:tcPr>
            <w:tcW w:w="3044" w:type="dxa"/>
            <w:gridSpan w:val="7"/>
            <w:vAlign w:val="center"/>
          </w:tcPr>
          <w:p w14:paraId="0424B36A" w14:textId="77777777" w:rsidR="009D12AF" w:rsidRDefault="00000000">
            <w:pPr>
              <w:spacing w:line="240" w:lineRule="auto"/>
              <w:ind w:firstLineChars="0" w:firstLine="0"/>
              <w:jc w:val="center"/>
              <w:rPr>
                <w:rFonts w:cs="Times New Roman"/>
                <w:sz w:val="21"/>
                <w:szCs w:val="21"/>
              </w:rPr>
            </w:pPr>
            <w:r>
              <w:rPr>
                <w:rFonts w:cs="Times New Roman"/>
                <w:sz w:val="21"/>
                <w:szCs w:val="21"/>
              </w:rPr>
              <w:t>C</w:t>
            </w:r>
            <w:r>
              <w:rPr>
                <w:rFonts w:cs="Times New Roman"/>
                <w:sz w:val="21"/>
                <w:szCs w:val="21"/>
              </w:rPr>
              <w:t>叠加达标</w:t>
            </w:r>
            <w:r>
              <w:rPr>
                <w:rFonts w:cs="Times New Roman" w:hint="eastAsia"/>
                <w:sz w:val="21"/>
                <w:szCs w:val="21"/>
              </w:rPr>
              <w:t>□</w:t>
            </w:r>
          </w:p>
        </w:tc>
        <w:tc>
          <w:tcPr>
            <w:tcW w:w="3196" w:type="dxa"/>
            <w:gridSpan w:val="15"/>
            <w:vAlign w:val="center"/>
          </w:tcPr>
          <w:p w14:paraId="0F03890E" w14:textId="77777777" w:rsidR="009D12AF" w:rsidRDefault="00000000">
            <w:pPr>
              <w:spacing w:line="240" w:lineRule="auto"/>
              <w:ind w:firstLineChars="0" w:firstLine="0"/>
              <w:jc w:val="center"/>
              <w:rPr>
                <w:rFonts w:cs="Times New Roman"/>
                <w:sz w:val="21"/>
                <w:szCs w:val="21"/>
              </w:rPr>
            </w:pPr>
            <w:r>
              <w:rPr>
                <w:rFonts w:cs="Times New Roman"/>
                <w:sz w:val="21"/>
                <w:szCs w:val="21"/>
              </w:rPr>
              <w:t>C</w:t>
            </w:r>
            <w:r>
              <w:rPr>
                <w:rFonts w:cs="Times New Roman"/>
                <w:sz w:val="21"/>
                <w:szCs w:val="21"/>
              </w:rPr>
              <w:t>叠加不达标</w:t>
            </w:r>
            <w:r>
              <w:rPr>
                <w:rFonts w:cs="Times New Roman" w:hint="eastAsia"/>
                <w:sz w:val="21"/>
                <w:szCs w:val="21"/>
              </w:rPr>
              <w:t>□</w:t>
            </w:r>
          </w:p>
        </w:tc>
      </w:tr>
      <w:tr w:rsidR="009D12AF" w14:paraId="0E1673C6" w14:textId="77777777">
        <w:tc>
          <w:tcPr>
            <w:tcW w:w="815" w:type="dxa"/>
            <w:vMerge/>
            <w:vAlign w:val="center"/>
          </w:tcPr>
          <w:p w14:paraId="416AD3D1" w14:textId="77777777" w:rsidR="009D12AF" w:rsidRDefault="009D12AF">
            <w:pPr>
              <w:spacing w:line="240" w:lineRule="auto"/>
              <w:ind w:firstLineChars="0" w:firstLine="0"/>
              <w:jc w:val="center"/>
              <w:rPr>
                <w:rFonts w:cs="Times New Roman"/>
                <w:sz w:val="21"/>
                <w:szCs w:val="21"/>
              </w:rPr>
            </w:pPr>
          </w:p>
        </w:tc>
        <w:tc>
          <w:tcPr>
            <w:tcW w:w="1555" w:type="dxa"/>
            <w:vAlign w:val="center"/>
          </w:tcPr>
          <w:p w14:paraId="3A4CD696" w14:textId="77777777" w:rsidR="009D12AF" w:rsidRDefault="00000000">
            <w:pPr>
              <w:spacing w:line="240" w:lineRule="auto"/>
              <w:ind w:firstLineChars="0" w:firstLine="0"/>
              <w:jc w:val="center"/>
              <w:rPr>
                <w:rFonts w:cs="Times New Roman"/>
                <w:sz w:val="21"/>
                <w:szCs w:val="21"/>
              </w:rPr>
            </w:pPr>
            <w:r>
              <w:rPr>
                <w:rFonts w:cs="Times New Roman"/>
                <w:sz w:val="21"/>
                <w:szCs w:val="21"/>
              </w:rPr>
              <w:t>区域环境质量的整体变化情况</w:t>
            </w:r>
          </w:p>
        </w:tc>
        <w:tc>
          <w:tcPr>
            <w:tcW w:w="3044" w:type="dxa"/>
            <w:gridSpan w:val="7"/>
            <w:vAlign w:val="center"/>
          </w:tcPr>
          <w:p w14:paraId="30D11448" w14:textId="77777777" w:rsidR="009D12AF" w:rsidRDefault="00000000">
            <w:pPr>
              <w:spacing w:line="240" w:lineRule="auto"/>
              <w:ind w:firstLineChars="0" w:firstLine="0"/>
              <w:jc w:val="center"/>
              <w:rPr>
                <w:rFonts w:cs="Times New Roman"/>
                <w:sz w:val="21"/>
                <w:szCs w:val="21"/>
              </w:rPr>
            </w:pPr>
            <w:r>
              <w:rPr>
                <w:rFonts w:cs="Times New Roman"/>
                <w:sz w:val="21"/>
                <w:szCs w:val="21"/>
              </w:rPr>
              <w:t>k≤-20%</w:t>
            </w:r>
            <w:r>
              <w:rPr>
                <w:rFonts w:cs="Times New Roman" w:hint="eastAsia"/>
                <w:sz w:val="21"/>
                <w:szCs w:val="21"/>
              </w:rPr>
              <w:t>□</w:t>
            </w:r>
          </w:p>
        </w:tc>
        <w:tc>
          <w:tcPr>
            <w:tcW w:w="3196" w:type="dxa"/>
            <w:gridSpan w:val="15"/>
            <w:vAlign w:val="center"/>
          </w:tcPr>
          <w:p w14:paraId="6003D530" w14:textId="77777777" w:rsidR="009D12AF" w:rsidRDefault="00000000">
            <w:pPr>
              <w:spacing w:line="240" w:lineRule="auto"/>
              <w:ind w:firstLineChars="0" w:firstLine="0"/>
              <w:jc w:val="center"/>
              <w:rPr>
                <w:rFonts w:cs="Times New Roman"/>
                <w:sz w:val="21"/>
                <w:szCs w:val="21"/>
              </w:rPr>
            </w:pPr>
            <w:r>
              <w:rPr>
                <w:rFonts w:cs="Times New Roman"/>
                <w:sz w:val="21"/>
                <w:szCs w:val="21"/>
              </w:rPr>
              <w:t>k&gt;-20%</w:t>
            </w:r>
            <w:r>
              <w:rPr>
                <w:rFonts w:cs="Times New Roman" w:hint="eastAsia"/>
                <w:sz w:val="21"/>
                <w:szCs w:val="21"/>
              </w:rPr>
              <w:t>□</w:t>
            </w:r>
          </w:p>
        </w:tc>
      </w:tr>
      <w:tr w:rsidR="009D12AF" w14:paraId="3016EE6F" w14:textId="77777777">
        <w:tc>
          <w:tcPr>
            <w:tcW w:w="815" w:type="dxa"/>
            <w:vMerge w:val="restart"/>
            <w:vAlign w:val="center"/>
          </w:tcPr>
          <w:p w14:paraId="0E642489" w14:textId="77777777" w:rsidR="009D12AF" w:rsidRDefault="00000000">
            <w:pPr>
              <w:spacing w:line="240" w:lineRule="auto"/>
              <w:ind w:firstLineChars="0" w:firstLine="0"/>
              <w:jc w:val="center"/>
              <w:rPr>
                <w:rFonts w:cs="Times New Roman"/>
                <w:sz w:val="21"/>
                <w:szCs w:val="21"/>
              </w:rPr>
            </w:pPr>
            <w:r>
              <w:rPr>
                <w:rFonts w:cs="Times New Roman"/>
                <w:sz w:val="21"/>
                <w:szCs w:val="21"/>
              </w:rPr>
              <w:t>环境监测计划</w:t>
            </w:r>
          </w:p>
        </w:tc>
        <w:tc>
          <w:tcPr>
            <w:tcW w:w="1555" w:type="dxa"/>
            <w:vAlign w:val="center"/>
          </w:tcPr>
          <w:p w14:paraId="32DA58B0" w14:textId="77777777" w:rsidR="009D12AF" w:rsidRDefault="00000000">
            <w:pPr>
              <w:spacing w:line="240" w:lineRule="auto"/>
              <w:ind w:firstLineChars="0" w:firstLine="0"/>
              <w:jc w:val="center"/>
              <w:rPr>
                <w:rFonts w:cs="Times New Roman"/>
                <w:sz w:val="21"/>
                <w:szCs w:val="21"/>
              </w:rPr>
            </w:pPr>
            <w:r>
              <w:rPr>
                <w:rFonts w:cs="Times New Roman"/>
                <w:sz w:val="21"/>
                <w:szCs w:val="21"/>
              </w:rPr>
              <w:t>污染源监测</w:t>
            </w:r>
          </w:p>
        </w:tc>
        <w:tc>
          <w:tcPr>
            <w:tcW w:w="2122" w:type="dxa"/>
            <w:gridSpan w:val="5"/>
            <w:vAlign w:val="center"/>
          </w:tcPr>
          <w:p w14:paraId="7D892543" w14:textId="77777777" w:rsidR="009D12AF" w:rsidRDefault="00000000">
            <w:pPr>
              <w:spacing w:line="240" w:lineRule="auto"/>
              <w:ind w:firstLineChars="0" w:firstLine="0"/>
              <w:jc w:val="center"/>
              <w:rPr>
                <w:rFonts w:cs="Times New Roman"/>
                <w:sz w:val="21"/>
                <w:szCs w:val="21"/>
              </w:rPr>
            </w:pPr>
            <w:r>
              <w:rPr>
                <w:rFonts w:cs="Times New Roman"/>
                <w:sz w:val="21"/>
                <w:szCs w:val="21"/>
              </w:rPr>
              <w:t>监测因子：（）</w:t>
            </w:r>
          </w:p>
        </w:tc>
        <w:tc>
          <w:tcPr>
            <w:tcW w:w="2126" w:type="dxa"/>
            <w:gridSpan w:val="10"/>
            <w:vAlign w:val="center"/>
          </w:tcPr>
          <w:p w14:paraId="11676691" w14:textId="77777777" w:rsidR="009D12AF" w:rsidRDefault="00000000">
            <w:pPr>
              <w:spacing w:line="240" w:lineRule="auto"/>
              <w:ind w:firstLineChars="0" w:firstLine="0"/>
              <w:jc w:val="center"/>
              <w:rPr>
                <w:rFonts w:cs="Times New Roman"/>
                <w:sz w:val="21"/>
                <w:szCs w:val="21"/>
              </w:rPr>
            </w:pPr>
            <w:r>
              <w:rPr>
                <w:rFonts w:cs="Times New Roman"/>
                <w:sz w:val="21"/>
                <w:szCs w:val="21"/>
              </w:rPr>
              <w:t>有组织废气监测</w:t>
            </w:r>
            <w:r>
              <w:rPr>
                <w:rFonts w:cs="Times New Roman" w:hint="eastAsia"/>
                <w:sz w:val="21"/>
                <w:szCs w:val="21"/>
              </w:rPr>
              <w:t>□</w:t>
            </w:r>
          </w:p>
          <w:p w14:paraId="46D67974" w14:textId="77777777" w:rsidR="009D12AF" w:rsidRDefault="00000000">
            <w:pPr>
              <w:spacing w:line="240" w:lineRule="auto"/>
              <w:ind w:firstLineChars="0" w:firstLine="0"/>
              <w:jc w:val="center"/>
              <w:rPr>
                <w:rFonts w:cs="Times New Roman"/>
                <w:sz w:val="21"/>
                <w:szCs w:val="21"/>
              </w:rPr>
            </w:pPr>
            <w:r>
              <w:rPr>
                <w:rFonts w:cs="Times New Roman"/>
                <w:sz w:val="21"/>
                <w:szCs w:val="21"/>
              </w:rPr>
              <w:t>无组织废气监测</w:t>
            </w:r>
            <w:r>
              <w:rPr>
                <w:rFonts w:cs="Times New Roman" w:hint="eastAsia"/>
                <w:sz w:val="21"/>
                <w:szCs w:val="21"/>
              </w:rPr>
              <w:t>□</w:t>
            </w:r>
          </w:p>
        </w:tc>
        <w:tc>
          <w:tcPr>
            <w:tcW w:w="1992" w:type="dxa"/>
            <w:gridSpan w:val="7"/>
            <w:vAlign w:val="center"/>
          </w:tcPr>
          <w:p w14:paraId="2CFE3A7F" w14:textId="77777777" w:rsidR="009D12AF" w:rsidRDefault="00000000">
            <w:pPr>
              <w:spacing w:line="240" w:lineRule="auto"/>
              <w:ind w:firstLineChars="0" w:firstLine="0"/>
              <w:jc w:val="center"/>
              <w:rPr>
                <w:rFonts w:cs="Times New Roman"/>
                <w:sz w:val="21"/>
                <w:szCs w:val="21"/>
              </w:rPr>
            </w:pPr>
            <w:r>
              <w:rPr>
                <w:rFonts w:cs="Times New Roman"/>
                <w:sz w:val="21"/>
                <w:szCs w:val="21"/>
              </w:rPr>
              <w:t>无监</w:t>
            </w:r>
            <w:r>
              <w:rPr>
                <w:rFonts w:ascii="宋体" w:eastAsia="宋体" w:hAnsi="宋体" w:cs="宋体" w:hint="eastAsia"/>
                <w:sz w:val="21"/>
                <w:szCs w:val="21"/>
              </w:rPr>
              <w:t>测□</w:t>
            </w:r>
          </w:p>
        </w:tc>
      </w:tr>
      <w:tr w:rsidR="009D12AF" w14:paraId="6C7AC06E" w14:textId="77777777">
        <w:tc>
          <w:tcPr>
            <w:tcW w:w="815" w:type="dxa"/>
            <w:vMerge/>
            <w:vAlign w:val="center"/>
          </w:tcPr>
          <w:p w14:paraId="7AC5D90F" w14:textId="77777777" w:rsidR="009D12AF" w:rsidRDefault="009D12AF">
            <w:pPr>
              <w:spacing w:line="240" w:lineRule="auto"/>
              <w:ind w:firstLineChars="0" w:firstLine="0"/>
              <w:jc w:val="center"/>
              <w:rPr>
                <w:rFonts w:cs="Times New Roman"/>
                <w:sz w:val="21"/>
                <w:szCs w:val="21"/>
              </w:rPr>
            </w:pPr>
          </w:p>
        </w:tc>
        <w:tc>
          <w:tcPr>
            <w:tcW w:w="1555" w:type="dxa"/>
            <w:vAlign w:val="center"/>
          </w:tcPr>
          <w:p w14:paraId="13251242" w14:textId="77777777" w:rsidR="009D12AF" w:rsidRDefault="00000000">
            <w:pPr>
              <w:spacing w:line="240" w:lineRule="auto"/>
              <w:ind w:firstLineChars="0" w:firstLine="0"/>
              <w:jc w:val="center"/>
              <w:rPr>
                <w:rFonts w:cs="Times New Roman"/>
                <w:sz w:val="21"/>
                <w:szCs w:val="21"/>
              </w:rPr>
            </w:pPr>
            <w:r>
              <w:rPr>
                <w:rFonts w:cs="Times New Roman"/>
                <w:sz w:val="21"/>
                <w:szCs w:val="21"/>
              </w:rPr>
              <w:t>环境质量监测</w:t>
            </w:r>
          </w:p>
        </w:tc>
        <w:tc>
          <w:tcPr>
            <w:tcW w:w="2122" w:type="dxa"/>
            <w:gridSpan w:val="5"/>
            <w:vAlign w:val="center"/>
          </w:tcPr>
          <w:p w14:paraId="103A208E" w14:textId="77777777" w:rsidR="009D12AF" w:rsidRDefault="00000000">
            <w:pPr>
              <w:spacing w:line="240" w:lineRule="auto"/>
              <w:ind w:firstLineChars="0" w:firstLine="0"/>
              <w:jc w:val="center"/>
              <w:rPr>
                <w:rFonts w:cs="Times New Roman"/>
                <w:sz w:val="21"/>
                <w:szCs w:val="21"/>
              </w:rPr>
            </w:pPr>
            <w:r>
              <w:rPr>
                <w:rFonts w:cs="Times New Roman"/>
                <w:sz w:val="21"/>
                <w:szCs w:val="21"/>
              </w:rPr>
              <w:t>监测因子：（</w:t>
            </w:r>
            <w:r>
              <w:rPr>
                <w:rFonts w:cs="Times New Roman" w:hint="eastAsia"/>
                <w:sz w:val="21"/>
                <w:szCs w:val="21"/>
              </w:rPr>
              <w:t>非甲烷总烃</w:t>
            </w:r>
            <w:r>
              <w:rPr>
                <w:rFonts w:cs="Times New Roman"/>
                <w:sz w:val="21"/>
                <w:szCs w:val="21"/>
              </w:rPr>
              <w:t>）</w:t>
            </w:r>
          </w:p>
        </w:tc>
        <w:tc>
          <w:tcPr>
            <w:tcW w:w="2126" w:type="dxa"/>
            <w:gridSpan w:val="10"/>
            <w:vAlign w:val="center"/>
          </w:tcPr>
          <w:p w14:paraId="20FFB25E" w14:textId="77777777" w:rsidR="009D12AF" w:rsidRDefault="00000000">
            <w:pPr>
              <w:spacing w:line="240" w:lineRule="auto"/>
              <w:ind w:firstLineChars="0" w:firstLine="0"/>
              <w:jc w:val="center"/>
              <w:rPr>
                <w:rFonts w:cs="Times New Roman"/>
                <w:sz w:val="21"/>
                <w:szCs w:val="21"/>
              </w:rPr>
            </w:pPr>
            <w:r>
              <w:rPr>
                <w:rFonts w:cs="Times New Roman"/>
                <w:sz w:val="21"/>
                <w:szCs w:val="21"/>
              </w:rPr>
              <w:t>监测点位数（）</w:t>
            </w:r>
          </w:p>
        </w:tc>
        <w:tc>
          <w:tcPr>
            <w:tcW w:w="1992" w:type="dxa"/>
            <w:gridSpan w:val="7"/>
            <w:vAlign w:val="center"/>
          </w:tcPr>
          <w:p w14:paraId="0C6A7E44" w14:textId="77777777" w:rsidR="009D12AF" w:rsidRDefault="00000000">
            <w:pPr>
              <w:spacing w:line="240" w:lineRule="auto"/>
              <w:ind w:firstLineChars="0" w:firstLine="0"/>
              <w:jc w:val="center"/>
              <w:rPr>
                <w:rFonts w:cs="Times New Roman"/>
                <w:sz w:val="21"/>
                <w:szCs w:val="21"/>
              </w:rPr>
            </w:pPr>
            <w:r>
              <w:rPr>
                <w:rFonts w:cs="Times New Roman"/>
                <w:sz w:val="21"/>
                <w:szCs w:val="21"/>
              </w:rPr>
              <w:t>无监测</w:t>
            </w:r>
            <w:r>
              <w:rPr>
                <w:rFonts w:cs="Times New Roman" w:hint="eastAsia"/>
                <w:sz w:val="21"/>
                <w:szCs w:val="21"/>
              </w:rPr>
              <w:t>□</w:t>
            </w:r>
          </w:p>
        </w:tc>
      </w:tr>
      <w:tr w:rsidR="009D12AF" w14:paraId="569206BC" w14:textId="77777777">
        <w:tc>
          <w:tcPr>
            <w:tcW w:w="815" w:type="dxa"/>
            <w:vAlign w:val="center"/>
          </w:tcPr>
          <w:p w14:paraId="3C3531F9" w14:textId="77777777" w:rsidR="009D12AF" w:rsidRDefault="00000000">
            <w:pPr>
              <w:spacing w:line="240" w:lineRule="auto"/>
              <w:ind w:firstLineChars="0" w:firstLine="0"/>
              <w:jc w:val="center"/>
              <w:rPr>
                <w:rFonts w:cs="Times New Roman"/>
                <w:sz w:val="21"/>
                <w:szCs w:val="21"/>
              </w:rPr>
            </w:pPr>
            <w:r>
              <w:rPr>
                <w:rFonts w:cs="Times New Roman"/>
                <w:sz w:val="21"/>
                <w:szCs w:val="21"/>
              </w:rPr>
              <w:t>评价结论</w:t>
            </w:r>
          </w:p>
        </w:tc>
        <w:tc>
          <w:tcPr>
            <w:tcW w:w="1555" w:type="dxa"/>
            <w:vAlign w:val="center"/>
          </w:tcPr>
          <w:p w14:paraId="5FCAFA97" w14:textId="77777777" w:rsidR="009D12AF" w:rsidRDefault="00000000">
            <w:pPr>
              <w:spacing w:line="240" w:lineRule="auto"/>
              <w:ind w:firstLineChars="0" w:firstLine="0"/>
              <w:jc w:val="center"/>
              <w:rPr>
                <w:rFonts w:cs="Times New Roman"/>
                <w:sz w:val="21"/>
                <w:szCs w:val="21"/>
              </w:rPr>
            </w:pPr>
            <w:r>
              <w:rPr>
                <w:rFonts w:cs="Times New Roman"/>
                <w:sz w:val="21"/>
                <w:szCs w:val="21"/>
              </w:rPr>
              <w:t>环境影响</w:t>
            </w:r>
          </w:p>
        </w:tc>
        <w:tc>
          <w:tcPr>
            <w:tcW w:w="6240" w:type="dxa"/>
            <w:gridSpan w:val="22"/>
            <w:vAlign w:val="center"/>
          </w:tcPr>
          <w:p w14:paraId="08FC6A98" w14:textId="77777777" w:rsidR="009D12AF" w:rsidRDefault="00000000">
            <w:pPr>
              <w:spacing w:line="240" w:lineRule="auto"/>
              <w:ind w:firstLineChars="0" w:firstLine="0"/>
              <w:jc w:val="center"/>
              <w:rPr>
                <w:rFonts w:cs="Times New Roman"/>
                <w:sz w:val="21"/>
                <w:szCs w:val="21"/>
              </w:rPr>
            </w:pPr>
            <w:r>
              <w:rPr>
                <w:rFonts w:cs="Times New Roman"/>
                <w:sz w:val="21"/>
                <w:szCs w:val="21"/>
              </w:rPr>
              <w:t>可以接受</w:t>
            </w:r>
            <w:r>
              <w:rPr>
                <w:rFonts w:cs="Times New Roman"/>
                <w:sz w:val="21"/>
                <w:szCs w:val="21"/>
              </w:rPr>
              <w:t xml:space="preserve">√       </w:t>
            </w:r>
            <w:r>
              <w:rPr>
                <w:rFonts w:cs="Times New Roman"/>
                <w:sz w:val="21"/>
                <w:szCs w:val="21"/>
              </w:rPr>
              <w:t>不可以接受</w:t>
            </w:r>
            <w:r>
              <w:rPr>
                <w:rFonts w:cs="Times New Roman"/>
                <w:sz w:val="21"/>
                <w:szCs w:val="21"/>
              </w:rPr>
              <w:t>□</w:t>
            </w:r>
          </w:p>
        </w:tc>
      </w:tr>
      <w:tr w:rsidR="009D12AF" w14:paraId="219FF577" w14:textId="77777777">
        <w:tc>
          <w:tcPr>
            <w:tcW w:w="815" w:type="dxa"/>
            <w:vMerge w:val="restart"/>
            <w:vAlign w:val="center"/>
          </w:tcPr>
          <w:p w14:paraId="3B193902" w14:textId="77777777" w:rsidR="009D12AF" w:rsidRDefault="00000000">
            <w:pPr>
              <w:spacing w:line="240" w:lineRule="auto"/>
              <w:ind w:firstLineChars="0" w:firstLine="0"/>
              <w:jc w:val="center"/>
              <w:rPr>
                <w:rFonts w:cs="Times New Roman"/>
                <w:sz w:val="21"/>
                <w:szCs w:val="21"/>
              </w:rPr>
            </w:pPr>
            <w:r>
              <w:rPr>
                <w:rFonts w:cs="Times New Roman"/>
                <w:sz w:val="21"/>
                <w:szCs w:val="21"/>
              </w:rPr>
              <w:t>评价结论</w:t>
            </w:r>
          </w:p>
        </w:tc>
        <w:tc>
          <w:tcPr>
            <w:tcW w:w="1555" w:type="dxa"/>
            <w:vAlign w:val="center"/>
          </w:tcPr>
          <w:p w14:paraId="51ACCBFB" w14:textId="77777777" w:rsidR="009D12AF" w:rsidRDefault="00000000">
            <w:pPr>
              <w:spacing w:line="240" w:lineRule="auto"/>
              <w:ind w:firstLineChars="0" w:firstLine="0"/>
              <w:jc w:val="center"/>
              <w:rPr>
                <w:rFonts w:cs="Times New Roman"/>
                <w:sz w:val="21"/>
                <w:szCs w:val="21"/>
              </w:rPr>
            </w:pPr>
            <w:r>
              <w:rPr>
                <w:rFonts w:cs="Times New Roman"/>
                <w:sz w:val="21"/>
                <w:szCs w:val="21"/>
              </w:rPr>
              <w:t>大气环境防护距离</w:t>
            </w:r>
          </w:p>
        </w:tc>
        <w:tc>
          <w:tcPr>
            <w:tcW w:w="6240" w:type="dxa"/>
            <w:gridSpan w:val="22"/>
            <w:vAlign w:val="center"/>
          </w:tcPr>
          <w:p w14:paraId="6D1A363F" w14:textId="77777777" w:rsidR="009D12AF" w:rsidRDefault="00000000">
            <w:pPr>
              <w:spacing w:line="240" w:lineRule="auto"/>
              <w:ind w:firstLineChars="0" w:firstLine="0"/>
              <w:jc w:val="center"/>
              <w:rPr>
                <w:rFonts w:cs="Times New Roman"/>
                <w:sz w:val="21"/>
                <w:szCs w:val="21"/>
              </w:rPr>
            </w:pPr>
            <w:r>
              <w:rPr>
                <w:rFonts w:cs="Times New Roman"/>
                <w:sz w:val="21"/>
                <w:szCs w:val="21"/>
              </w:rPr>
              <w:t>距（</w:t>
            </w:r>
            <w:r>
              <w:rPr>
                <w:rFonts w:cs="Times New Roman" w:hint="eastAsia"/>
                <w:sz w:val="21"/>
                <w:szCs w:val="21"/>
              </w:rPr>
              <w:t>/</w:t>
            </w:r>
            <w:r>
              <w:rPr>
                <w:rFonts w:cs="Times New Roman"/>
                <w:sz w:val="21"/>
                <w:szCs w:val="21"/>
              </w:rPr>
              <w:t>）厂界最远（</w:t>
            </w:r>
            <w:r>
              <w:rPr>
                <w:rFonts w:cs="Times New Roman" w:hint="eastAsia"/>
                <w:sz w:val="21"/>
                <w:szCs w:val="21"/>
              </w:rPr>
              <w:t>/</w:t>
            </w:r>
            <w:r>
              <w:rPr>
                <w:rFonts w:cs="Times New Roman"/>
                <w:sz w:val="21"/>
                <w:szCs w:val="21"/>
              </w:rPr>
              <w:t>）</w:t>
            </w:r>
            <w:r>
              <w:rPr>
                <w:rFonts w:cs="Times New Roman"/>
                <w:sz w:val="21"/>
                <w:szCs w:val="21"/>
              </w:rPr>
              <w:t>m</w:t>
            </w:r>
          </w:p>
        </w:tc>
      </w:tr>
      <w:tr w:rsidR="009D12AF" w14:paraId="69321643" w14:textId="77777777">
        <w:tc>
          <w:tcPr>
            <w:tcW w:w="815" w:type="dxa"/>
            <w:vMerge/>
            <w:vAlign w:val="center"/>
          </w:tcPr>
          <w:p w14:paraId="1098A356" w14:textId="77777777" w:rsidR="009D12AF" w:rsidRDefault="009D12AF">
            <w:pPr>
              <w:spacing w:line="240" w:lineRule="auto"/>
              <w:ind w:firstLineChars="0" w:firstLine="0"/>
              <w:jc w:val="center"/>
              <w:rPr>
                <w:rFonts w:cs="Times New Roman"/>
                <w:sz w:val="21"/>
                <w:szCs w:val="21"/>
              </w:rPr>
            </w:pPr>
          </w:p>
        </w:tc>
        <w:tc>
          <w:tcPr>
            <w:tcW w:w="1555" w:type="dxa"/>
            <w:vAlign w:val="center"/>
          </w:tcPr>
          <w:p w14:paraId="4ABECA32" w14:textId="77777777" w:rsidR="009D12AF" w:rsidRDefault="00000000">
            <w:pPr>
              <w:spacing w:line="240" w:lineRule="auto"/>
              <w:ind w:firstLineChars="0" w:firstLine="0"/>
              <w:jc w:val="center"/>
              <w:rPr>
                <w:rFonts w:cs="Times New Roman"/>
                <w:sz w:val="21"/>
                <w:szCs w:val="21"/>
              </w:rPr>
            </w:pPr>
            <w:r>
              <w:rPr>
                <w:rFonts w:cs="Times New Roman"/>
                <w:sz w:val="21"/>
                <w:szCs w:val="21"/>
              </w:rPr>
              <w:t>污染源年排放量</w:t>
            </w:r>
          </w:p>
        </w:tc>
        <w:tc>
          <w:tcPr>
            <w:tcW w:w="1449" w:type="dxa"/>
            <w:gridSpan w:val="3"/>
            <w:vAlign w:val="center"/>
          </w:tcPr>
          <w:p w14:paraId="145FC399" w14:textId="77777777" w:rsidR="009D12AF" w:rsidRDefault="00000000">
            <w:pPr>
              <w:spacing w:line="240" w:lineRule="auto"/>
              <w:ind w:firstLineChars="0" w:firstLine="0"/>
              <w:jc w:val="center"/>
              <w:rPr>
                <w:rFonts w:cs="Times New Roman"/>
                <w:sz w:val="21"/>
                <w:szCs w:val="21"/>
              </w:rPr>
            </w:pPr>
            <w:r>
              <w:rPr>
                <w:rFonts w:cs="Times New Roman"/>
                <w:sz w:val="21"/>
                <w:szCs w:val="21"/>
              </w:rPr>
              <w:t>SO</w:t>
            </w:r>
            <w:r>
              <w:rPr>
                <w:rFonts w:cs="Times New Roman"/>
                <w:sz w:val="21"/>
                <w:szCs w:val="21"/>
                <w:vertAlign w:val="subscript"/>
              </w:rPr>
              <w:t>2</w:t>
            </w:r>
            <w:r>
              <w:rPr>
                <w:rFonts w:cs="Times New Roman"/>
                <w:sz w:val="21"/>
                <w:szCs w:val="21"/>
              </w:rPr>
              <w:t>：（）</w:t>
            </w:r>
            <w:r>
              <w:rPr>
                <w:rFonts w:cs="Times New Roman"/>
                <w:sz w:val="21"/>
                <w:szCs w:val="21"/>
              </w:rPr>
              <w:t>t/a</w:t>
            </w:r>
          </w:p>
        </w:tc>
        <w:tc>
          <w:tcPr>
            <w:tcW w:w="1595" w:type="dxa"/>
            <w:gridSpan w:val="4"/>
            <w:vAlign w:val="center"/>
          </w:tcPr>
          <w:p w14:paraId="38DF797B" w14:textId="77777777" w:rsidR="009D12AF" w:rsidRDefault="00000000">
            <w:pPr>
              <w:spacing w:line="240" w:lineRule="auto"/>
              <w:ind w:firstLineChars="0" w:firstLine="0"/>
              <w:jc w:val="center"/>
              <w:rPr>
                <w:rFonts w:cs="Times New Roman"/>
                <w:sz w:val="21"/>
                <w:szCs w:val="21"/>
              </w:rPr>
            </w:pPr>
            <w:r>
              <w:rPr>
                <w:rFonts w:cs="Times New Roman"/>
                <w:sz w:val="21"/>
                <w:szCs w:val="21"/>
              </w:rPr>
              <w:t>NO</w:t>
            </w:r>
            <w:r>
              <w:rPr>
                <w:rFonts w:cs="Times New Roman"/>
                <w:sz w:val="21"/>
                <w:szCs w:val="21"/>
                <w:vertAlign w:val="subscript"/>
              </w:rPr>
              <w:t>X</w:t>
            </w:r>
            <w:r>
              <w:rPr>
                <w:rFonts w:cs="Times New Roman"/>
                <w:sz w:val="21"/>
                <w:szCs w:val="21"/>
              </w:rPr>
              <w:t>：</w:t>
            </w:r>
          </w:p>
          <w:p w14:paraId="704446A9" w14:textId="77777777" w:rsidR="009D12AF" w:rsidRDefault="00000000">
            <w:pPr>
              <w:spacing w:line="240" w:lineRule="auto"/>
              <w:ind w:firstLineChars="0" w:firstLine="0"/>
              <w:jc w:val="center"/>
              <w:rPr>
                <w:rFonts w:cs="Times New Roman"/>
                <w:sz w:val="21"/>
                <w:szCs w:val="21"/>
              </w:rPr>
            </w:pPr>
            <w:r>
              <w:rPr>
                <w:rFonts w:cs="Times New Roman"/>
                <w:sz w:val="21"/>
                <w:szCs w:val="21"/>
              </w:rPr>
              <w:t>（）</w:t>
            </w:r>
            <w:r>
              <w:rPr>
                <w:rFonts w:cs="Times New Roman"/>
                <w:sz w:val="21"/>
                <w:szCs w:val="21"/>
              </w:rPr>
              <w:t>t/a</w:t>
            </w:r>
          </w:p>
        </w:tc>
        <w:tc>
          <w:tcPr>
            <w:tcW w:w="1595" w:type="dxa"/>
            <w:gridSpan w:val="11"/>
            <w:vAlign w:val="center"/>
          </w:tcPr>
          <w:p w14:paraId="0657BF94" w14:textId="77777777" w:rsidR="009D12AF" w:rsidRDefault="00000000">
            <w:pPr>
              <w:spacing w:line="240" w:lineRule="auto"/>
              <w:ind w:firstLineChars="0" w:firstLine="0"/>
              <w:jc w:val="center"/>
              <w:rPr>
                <w:rFonts w:cs="Times New Roman"/>
                <w:sz w:val="21"/>
                <w:szCs w:val="21"/>
              </w:rPr>
            </w:pPr>
            <w:r>
              <w:rPr>
                <w:rFonts w:cs="Times New Roman"/>
                <w:sz w:val="21"/>
                <w:szCs w:val="21"/>
              </w:rPr>
              <w:t>颗粒物：（）</w:t>
            </w:r>
            <w:r>
              <w:rPr>
                <w:rFonts w:cs="Times New Roman"/>
                <w:sz w:val="21"/>
                <w:szCs w:val="21"/>
              </w:rPr>
              <w:t>t/a</w:t>
            </w:r>
          </w:p>
        </w:tc>
        <w:tc>
          <w:tcPr>
            <w:tcW w:w="1601" w:type="dxa"/>
            <w:gridSpan w:val="4"/>
            <w:vAlign w:val="center"/>
          </w:tcPr>
          <w:p w14:paraId="6F5D3FBE" w14:textId="77777777" w:rsidR="009D12AF" w:rsidRDefault="00000000">
            <w:pPr>
              <w:spacing w:line="240" w:lineRule="auto"/>
              <w:ind w:firstLineChars="0" w:firstLine="0"/>
              <w:jc w:val="center"/>
              <w:rPr>
                <w:rFonts w:cs="Times New Roman"/>
                <w:sz w:val="21"/>
                <w:szCs w:val="21"/>
              </w:rPr>
            </w:pPr>
            <w:r>
              <w:rPr>
                <w:rFonts w:cs="Times New Roman"/>
                <w:sz w:val="21"/>
                <w:szCs w:val="21"/>
              </w:rPr>
              <w:t>VOCs</w:t>
            </w:r>
            <w:r>
              <w:rPr>
                <w:rFonts w:cs="Times New Roman"/>
                <w:sz w:val="21"/>
                <w:szCs w:val="21"/>
              </w:rPr>
              <w:t>：</w:t>
            </w:r>
          </w:p>
          <w:p w14:paraId="676357F4" w14:textId="77777777" w:rsidR="009D12AF" w:rsidRDefault="00000000">
            <w:pPr>
              <w:spacing w:line="240" w:lineRule="auto"/>
              <w:ind w:firstLineChars="0" w:firstLine="0"/>
              <w:jc w:val="center"/>
              <w:rPr>
                <w:rFonts w:cs="Times New Roman"/>
                <w:sz w:val="21"/>
                <w:szCs w:val="21"/>
              </w:rPr>
            </w:pPr>
            <w:r>
              <w:rPr>
                <w:rFonts w:cs="Times New Roman"/>
                <w:sz w:val="21"/>
                <w:szCs w:val="21"/>
              </w:rPr>
              <w:t>（）</w:t>
            </w:r>
            <w:r>
              <w:rPr>
                <w:rFonts w:cs="Times New Roman"/>
                <w:sz w:val="21"/>
                <w:szCs w:val="21"/>
              </w:rPr>
              <w:t>t/a</w:t>
            </w:r>
          </w:p>
        </w:tc>
      </w:tr>
      <w:tr w:rsidR="009D12AF" w14:paraId="578850F5" w14:textId="77777777">
        <w:tc>
          <w:tcPr>
            <w:tcW w:w="8610" w:type="dxa"/>
            <w:gridSpan w:val="24"/>
            <w:vAlign w:val="center"/>
          </w:tcPr>
          <w:p w14:paraId="418CF463" w14:textId="77777777" w:rsidR="009D12AF" w:rsidRDefault="00000000">
            <w:pPr>
              <w:spacing w:line="240" w:lineRule="auto"/>
              <w:ind w:firstLineChars="0" w:firstLine="0"/>
              <w:jc w:val="center"/>
              <w:rPr>
                <w:rFonts w:cs="Times New Roman"/>
                <w:sz w:val="21"/>
                <w:szCs w:val="21"/>
              </w:rPr>
            </w:pPr>
            <w:r>
              <w:rPr>
                <w:rFonts w:cs="Times New Roman"/>
                <w:sz w:val="21"/>
                <w:szCs w:val="21"/>
              </w:rPr>
              <w:t>注：</w:t>
            </w:r>
            <w:r>
              <w:rPr>
                <w:rFonts w:cs="Times New Roman"/>
                <w:sz w:val="21"/>
                <w:szCs w:val="21"/>
              </w:rPr>
              <w:t>“□”</w:t>
            </w:r>
            <w:r>
              <w:rPr>
                <w:rFonts w:cs="Times New Roman"/>
                <w:sz w:val="21"/>
                <w:szCs w:val="21"/>
              </w:rPr>
              <w:t>为勾选项，填</w:t>
            </w:r>
            <w:r>
              <w:rPr>
                <w:rFonts w:cs="Times New Roman"/>
                <w:sz w:val="21"/>
                <w:szCs w:val="21"/>
              </w:rPr>
              <w:t>“√”</w:t>
            </w:r>
            <w:r>
              <w:rPr>
                <w:rFonts w:cs="Times New Roman"/>
                <w:sz w:val="21"/>
                <w:szCs w:val="21"/>
              </w:rPr>
              <w:t>；</w:t>
            </w:r>
            <w:r>
              <w:rPr>
                <w:rFonts w:cs="Times New Roman"/>
                <w:sz w:val="21"/>
                <w:szCs w:val="21"/>
              </w:rPr>
              <w:t>“</w:t>
            </w:r>
            <w:r>
              <w:rPr>
                <w:rFonts w:cs="Times New Roman"/>
                <w:sz w:val="21"/>
                <w:szCs w:val="21"/>
              </w:rPr>
              <w:t>（）</w:t>
            </w:r>
            <w:r>
              <w:rPr>
                <w:rFonts w:cs="Times New Roman"/>
                <w:sz w:val="21"/>
                <w:szCs w:val="21"/>
              </w:rPr>
              <w:t>”</w:t>
            </w:r>
            <w:r>
              <w:rPr>
                <w:rFonts w:cs="Times New Roman"/>
                <w:sz w:val="21"/>
                <w:szCs w:val="21"/>
              </w:rPr>
              <w:t>为内容填写项</w:t>
            </w:r>
          </w:p>
        </w:tc>
      </w:tr>
    </w:tbl>
    <w:p w14:paraId="23969C6D" w14:textId="77777777" w:rsidR="009D12AF" w:rsidRDefault="009D12AF">
      <w:pPr>
        <w:ind w:firstLineChars="0" w:firstLine="0"/>
        <w:jc w:val="center"/>
        <w:rPr>
          <w:rFonts w:ascii="Times New Roman" w:hAnsi="Times New Roman" w:cs="Times New Roman"/>
        </w:rPr>
        <w:sectPr w:rsidR="009D12AF">
          <w:pgSz w:w="11906" w:h="16838"/>
          <w:pgMar w:top="1440" w:right="1800" w:bottom="1440" w:left="1800" w:header="851" w:footer="992" w:gutter="0"/>
          <w:cols w:space="425"/>
          <w:docGrid w:type="lines" w:linePitch="326"/>
        </w:sectPr>
      </w:pPr>
    </w:p>
    <w:p w14:paraId="63FBB7C5" w14:textId="77777777" w:rsidR="009D12AF" w:rsidRDefault="00000000">
      <w:pPr>
        <w:pStyle w:val="2"/>
      </w:pPr>
      <w:bookmarkStart w:id="512" w:name="_Toc149123023"/>
      <w:bookmarkStart w:id="513" w:name="_Toc23953"/>
      <w:bookmarkStart w:id="514" w:name="_Toc31004"/>
      <w:bookmarkStart w:id="515" w:name="_Toc8756"/>
      <w:r>
        <w:rPr>
          <w:rFonts w:hint="eastAsia"/>
        </w:rPr>
        <w:lastRenderedPageBreak/>
        <w:t>附表</w:t>
      </w:r>
      <w:r>
        <w:rPr>
          <w:rFonts w:hint="eastAsia"/>
        </w:rPr>
        <w:t>2</w:t>
      </w:r>
      <w:r>
        <w:rPr>
          <w:rFonts w:hint="eastAsia"/>
        </w:rPr>
        <w:t>建设项目地表水环境影响评价自查表</w:t>
      </w:r>
      <w:bookmarkEnd w:id="512"/>
      <w:bookmarkEnd w:id="513"/>
      <w:bookmarkEnd w:id="514"/>
      <w:bookmarkEnd w:id="515"/>
    </w:p>
    <w:tbl>
      <w:tblPr>
        <w:tblW w:w="14174"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392"/>
        <w:gridCol w:w="2551"/>
        <w:gridCol w:w="2246"/>
        <w:gridCol w:w="164"/>
        <w:gridCol w:w="1333"/>
        <w:gridCol w:w="749"/>
        <w:gridCol w:w="611"/>
        <w:gridCol w:w="1635"/>
        <w:gridCol w:w="749"/>
        <w:gridCol w:w="451"/>
        <w:gridCol w:w="1046"/>
        <w:gridCol w:w="655"/>
        <w:gridCol w:w="1592"/>
      </w:tblGrid>
      <w:tr w:rsidR="009D12AF" w14:paraId="08F2E446" w14:textId="77777777">
        <w:trPr>
          <w:trHeight w:val="20"/>
          <w:jc w:val="center"/>
        </w:trPr>
        <w:tc>
          <w:tcPr>
            <w:tcW w:w="2943" w:type="dxa"/>
            <w:gridSpan w:val="2"/>
            <w:vAlign w:val="center"/>
          </w:tcPr>
          <w:p w14:paraId="4AC5E6EB" w14:textId="77777777" w:rsidR="009D12AF" w:rsidRDefault="00000000">
            <w:pPr>
              <w:spacing w:line="240" w:lineRule="auto"/>
              <w:ind w:firstLineChars="0" w:firstLine="0"/>
              <w:jc w:val="center"/>
              <w:rPr>
                <w:sz w:val="21"/>
                <w:szCs w:val="21"/>
              </w:rPr>
            </w:pPr>
            <w:r>
              <w:rPr>
                <w:rFonts w:hAnsi="宋体" w:hint="eastAsia"/>
                <w:sz w:val="21"/>
                <w:szCs w:val="21"/>
              </w:rPr>
              <w:t>工作内容</w:t>
            </w:r>
          </w:p>
        </w:tc>
        <w:tc>
          <w:tcPr>
            <w:tcW w:w="11231" w:type="dxa"/>
            <w:gridSpan w:val="11"/>
            <w:vAlign w:val="center"/>
          </w:tcPr>
          <w:p w14:paraId="2538A3DC"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自查项目</w:t>
            </w:r>
          </w:p>
        </w:tc>
      </w:tr>
      <w:tr w:rsidR="009D12AF" w14:paraId="5D2B3632" w14:textId="77777777">
        <w:trPr>
          <w:trHeight w:val="20"/>
          <w:jc w:val="center"/>
        </w:trPr>
        <w:tc>
          <w:tcPr>
            <w:tcW w:w="392" w:type="dxa"/>
            <w:vMerge w:val="restart"/>
            <w:vAlign w:val="center"/>
          </w:tcPr>
          <w:p w14:paraId="692C117E"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影响识别</w:t>
            </w:r>
          </w:p>
        </w:tc>
        <w:tc>
          <w:tcPr>
            <w:tcW w:w="2551" w:type="dxa"/>
            <w:vAlign w:val="center"/>
          </w:tcPr>
          <w:p w14:paraId="5AA7F43A"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影响类型</w:t>
            </w:r>
          </w:p>
        </w:tc>
        <w:tc>
          <w:tcPr>
            <w:tcW w:w="11231" w:type="dxa"/>
            <w:gridSpan w:val="11"/>
            <w:vAlign w:val="center"/>
          </w:tcPr>
          <w:p w14:paraId="78512CA9" w14:textId="77777777" w:rsidR="009D12AF" w:rsidRDefault="00000000">
            <w:pPr>
              <w:spacing w:line="240" w:lineRule="auto"/>
              <w:ind w:firstLineChars="0" w:firstLine="0"/>
              <w:jc w:val="center"/>
              <w:rPr>
                <w:sz w:val="21"/>
                <w:szCs w:val="21"/>
              </w:rPr>
            </w:pPr>
            <w:r>
              <w:rPr>
                <w:rFonts w:hAnsi="宋体" w:hint="eastAsia"/>
                <w:sz w:val="21"/>
                <w:szCs w:val="21"/>
              </w:rPr>
              <w:t>水污染影响型；水文要素影响型</w:t>
            </w:r>
            <w:r>
              <w:rPr>
                <w:rFonts w:hint="eastAsia"/>
                <w:sz w:val="21"/>
                <w:szCs w:val="21"/>
              </w:rPr>
              <w:t>☑</w:t>
            </w:r>
          </w:p>
        </w:tc>
      </w:tr>
      <w:tr w:rsidR="009D12AF" w14:paraId="007C685F" w14:textId="77777777">
        <w:trPr>
          <w:trHeight w:val="20"/>
          <w:jc w:val="center"/>
        </w:trPr>
        <w:tc>
          <w:tcPr>
            <w:tcW w:w="392" w:type="dxa"/>
            <w:vMerge/>
            <w:vAlign w:val="center"/>
          </w:tcPr>
          <w:p w14:paraId="5DCAFE18" w14:textId="77777777" w:rsidR="009D12AF" w:rsidRDefault="009D12AF">
            <w:pPr>
              <w:widowControl/>
              <w:spacing w:line="240" w:lineRule="auto"/>
              <w:ind w:firstLineChars="0" w:firstLine="0"/>
              <w:jc w:val="center"/>
              <w:rPr>
                <w:rFonts w:eastAsia="Times New Roman"/>
                <w:sz w:val="21"/>
                <w:szCs w:val="21"/>
              </w:rPr>
            </w:pPr>
          </w:p>
        </w:tc>
        <w:tc>
          <w:tcPr>
            <w:tcW w:w="2551" w:type="dxa"/>
            <w:vAlign w:val="center"/>
          </w:tcPr>
          <w:p w14:paraId="4F82C811" w14:textId="77777777" w:rsidR="009D12AF" w:rsidRDefault="00000000">
            <w:pPr>
              <w:spacing w:line="240" w:lineRule="auto"/>
              <w:ind w:firstLineChars="0" w:firstLine="0"/>
              <w:jc w:val="center"/>
              <w:rPr>
                <w:sz w:val="21"/>
                <w:szCs w:val="21"/>
              </w:rPr>
            </w:pPr>
            <w:r>
              <w:rPr>
                <w:rFonts w:hAnsi="宋体" w:hint="eastAsia"/>
                <w:sz w:val="21"/>
                <w:szCs w:val="21"/>
              </w:rPr>
              <w:t>水环境保护目标</w:t>
            </w:r>
          </w:p>
        </w:tc>
        <w:tc>
          <w:tcPr>
            <w:tcW w:w="11231" w:type="dxa"/>
            <w:gridSpan w:val="11"/>
            <w:vAlign w:val="center"/>
          </w:tcPr>
          <w:p w14:paraId="67421CD9" w14:textId="77777777" w:rsidR="009D12AF" w:rsidRDefault="00000000">
            <w:pPr>
              <w:spacing w:line="240" w:lineRule="auto"/>
              <w:ind w:firstLineChars="0" w:firstLine="0"/>
              <w:jc w:val="center"/>
              <w:rPr>
                <w:sz w:val="21"/>
                <w:szCs w:val="21"/>
              </w:rPr>
            </w:pPr>
            <w:r>
              <w:rPr>
                <w:rFonts w:hAnsi="宋体" w:hint="eastAsia"/>
                <w:sz w:val="21"/>
                <w:szCs w:val="21"/>
              </w:rPr>
              <w:t>饮用水水源保护区</w:t>
            </w:r>
            <w:r>
              <w:rPr>
                <w:rFonts w:hint="eastAsia"/>
                <w:sz w:val="21"/>
                <w:szCs w:val="21"/>
              </w:rPr>
              <w:t>☑；饮用水取水</w:t>
            </w:r>
            <w:r>
              <w:rPr>
                <w:sz w:val="21"/>
                <w:szCs w:val="21"/>
              </w:rPr>
              <w:t>□</w:t>
            </w:r>
            <w:r>
              <w:rPr>
                <w:rFonts w:hint="eastAsia"/>
                <w:sz w:val="21"/>
                <w:szCs w:val="21"/>
              </w:rPr>
              <w:t>；涉水的自然保护区☑；重要湿地</w:t>
            </w:r>
            <w:r>
              <w:rPr>
                <w:sz w:val="21"/>
                <w:szCs w:val="21"/>
              </w:rPr>
              <w:t>□</w:t>
            </w:r>
            <w:r>
              <w:rPr>
                <w:rFonts w:hint="eastAsia"/>
                <w:sz w:val="21"/>
                <w:szCs w:val="21"/>
              </w:rPr>
              <w:t>；</w:t>
            </w:r>
          </w:p>
          <w:p w14:paraId="6E59A784" w14:textId="77777777" w:rsidR="009D12AF" w:rsidRDefault="00000000">
            <w:pPr>
              <w:spacing w:line="240" w:lineRule="auto"/>
              <w:ind w:firstLineChars="0" w:firstLine="0"/>
              <w:jc w:val="center"/>
              <w:rPr>
                <w:sz w:val="21"/>
                <w:szCs w:val="21"/>
              </w:rPr>
            </w:pPr>
            <w:r>
              <w:rPr>
                <w:rFonts w:hint="eastAsia"/>
                <w:sz w:val="21"/>
                <w:szCs w:val="21"/>
              </w:rPr>
              <w:t>重点保护与珍惜水生生物的栖息地</w:t>
            </w:r>
            <w:r>
              <w:rPr>
                <w:sz w:val="21"/>
                <w:szCs w:val="21"/>
              </w:rPr>
              <w:t>□</w:t>
            </w:r>
            <w:r>
              <w:rPr>
                <w:rFonts w:hint="eastAsia"/>
                <w:sz w:val="21"/>
                <w:szCs w:val="21"/>
              </w:rPr>
              <w:t>；重要水生生物的自然产卵场及索饵场、越冬场和洄游通道、天然渔场等渔业水体</w:t>
            </w:r>
            <w:r>
              <w:rPr>
                <w:sz w:val="21"/>
                <w:szCs w:val="21"/>
              </w:rPr>
              <w:t>□</w:t>
            </w:r>
            <w:r>
              <w:rPr>
                <w:rFonts w:hint="eastAsia"/>
                <w:sz w:val="21"/>
                <w:szCs w:val="21"/>
              </w:rPr>
              <w:t>；涉水的风景名胜区</w:t>
            </w:r>
            <w:r>
              <w:rPr>
                <w:sz w:val="21"/>
                <w:szCs w:val="21"/>
              </w:rPr>
              <w:t>□</w:t>
            </w:r>
            <w:r>
              <w:rPr>
                <w:rFonts w:hint="eastAsia"/>
                <w:sz w:val="21"/>
                <w:szCs w:val="21"/>
              </w:rPr>
              <w:t>；其他□</w:t>
            </w:r>
          </w:p>
        </w:tc>
      </w:tr>
      <w:tr w:rsidR="009D12AF" w14:paraId="57846F39" w14:textId="77777777">
        <w:trPr>
          <w:trHeight w:val="20"/>
          <w:jc w:val="center"/>
        </w:trPr>
        <w:tc>
          <w:tcPr>
            <w:tcW w:w="392" w:type="dxa"/>
            <w:vMerge/>
            <w:vAlign w:val="center"/>
          </w:tcPr>
          <w:p w14:paraId="3FBCA9E7" w14:textId="77777777" w:rsidR="009D12AF" w:rsidRDefault="009D12AF">
            <w:pPr>
              <w:widowControl/>
              <w:spacing w:line="240" w:lineRule="auto"/>
              <w:ind w:firstLineChars="0" w:firstLine="0"/>
              <w:jc w:val="center"/>
              <w:rPr>
                <w:rFonts w:eastAsia="Times New Roman"/>
                <w:sz w:val="21"/>
                <w:szCs w:val="21"/>
              </w:rPr>
            </w:pPr>
          </w:p>
        </w:tc>
        <w:tc>
          <w:tcPr>
            <w:tcW w:w="2551" w:type="dxa"/>
            <w:vMerge w:val="restart"/>
            <w:vAlign w:val="center"/>
          </w:tcPr>
          <w:p w14:paraId="43CECEE6"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影响途径</w:t>
            </w:r>
          </w:p>
        </w:tc>
        <w:tc>
          <w:tcPr>
            <w:tcW w:w="5103" w:type="dxa"/>
            <w:gridSpan w:val="5"/>
            <w:vAlign w:val="center"/>
          </w:tcPr>
          <w:p w14:paraId="6FE41389"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水污染影响型</w:t>
            </w:r>
          </w:p>
        </w:tc>
        <w:tc>
          <w:tcPr>
            <w:tcW w:w="6128" w:type="dxa"/>
            <w:gridSpan w:val="6"/>
            <w:vAlign w:val="center"/>
          </w:tcPr>
          <w:p w14:paraId="1BCE61A3"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水文要素影响型</w:t>
            </w:r>
          </w:p>
        </w:tc>
      </w:tr>
      <w:tr w:rsidR="009D12AF" w14:paraId="648195CA" w14:textId="77777777">
        <w:trPr>
          <w:trHeight w:val="20"/>
          <w:jc w:val="center"/>
        </w:trPr>
        <w:tc>
          <w:tcPr>
            <w:tcW w:w="392" w:type="dxa"/>
            <w:vMerge/>
            <w:vAlign w:val="center"/>
          </w:tcPr>
          <w:p w14:paraId="0EABC2B7" w14:textId="77777777" w:rsidR="009D12AF" w:rsidRDefault="009D12AF">
            <w:pPr>
              <w:widowControl/>
              <w:spacing w:line="240" w:lineRule="auto"/>
              <w:ind w:firstLineChars="0" w:firstLine="0"/>
              <w:jc w:val="center"/>
              <w:rPr>
                <w:rFonts w:eastAsia="Times New Roman"/>
                <w:sz w:val="21"/>
                <w:szCs w:val="21"/>
              </w:rPr>
            </w:pPr>
          </w:p>
        </w:tc>
        <w:tc>
          <w:tcPr>
            <w:tcW w:w="2551" w:type="dxa"/>
            <w:vMerge/>
            <w:vAlign w:val="center"/>
          </w:tcPr>
          <w:p w14:paraId="6E599442" w14:textId="77777777" w:rsidR="009D12AF" w:rsidRDefault="009D12AF">
            <w:pPr>
              <w:widowControl/>
              <w:spacing w:line="240" w:lineRule="auto"/>
              <w:ind w:firstLineChars="0" w:firstLine="0"/>
              <w:jc w:val="center"/>
              <w:rPr>
                <w:rFonts w:eastAsia="Times New Roman"/>
                <w:sz w:val="21"/>
                <w:szCs w:val="21"/>
              </w:rPr>
            </w:pPr>
          </w:p>
        </w:tc>
        <w:tc>
          <w:tcPr>
            <w:tcW w:w="5103" w:type="dxa"/>
            <w:gridSpan w:val="5"/>
            <w:vAlign w:val="center"/>
          </w:tcPr>
          <w:p w14:paraId="7D99A780" w14:textId="77777777" w:rsidR="009D12AF" w:rsidRDefault="00000000">
            <w:pPr>
              <w:spacing w:line="240" w:lineRule="auto"/>
              <w:ind w:firstLineChars="0" w:firstLine="0"/>
              <w:jc w:val="center"/>
              <w:rPr>
                <w:sz w:val="21"/>
                <w:szCs w:val="21"/>
              </w:rPr>
            </w:pPr>
            <w:r>
              <w:rPr>
                <w:rFonts w:hAnsi="宋体" w:hint="eastAsia"/>
                <w:sz w:val="21"/>
                <w:szCs w:val="21"/>
              </w:rPr>
              <w:t>直接排放</w:t>
            </w:r>
            <w:r>
              <w:rPr>
                <w:sz w:val="21"/>
                <w:szCs w:val="21"/>
              </w:rPr>
              <w:t>□</w:t>
            </w:r>
            <w:r>
              <w:rPr>
                <w:rFonts w:hint="eastAsia"/>
                <w:sz w:val="21"/>
                <w:szCs w:val="21"/>
              </w:rPr>
              <w:t>；间接排放□；其他☑</w:t>
            </w:r>
          </w:p>
        </w:tc>
        <w:tc>
          <w:tcPr>
            <w:tcW w:w="6128" w:type="dxa"/>
            <w:gridSpan w:val="6"/>
            <w:vAlign w:val="center"/>
          </w:tcPr>
          <w:p w14:paraId="0ABBDFB3" w14:textId="77777777" w:rsidR="009D12AF" w:rsidRDefault="00000000">
            <w:pPr>
              <w:spacing w:line="240" w:lineRule="auto"/>
              <w:ind w:firstLineChars="0" w:firstLine="0"/>
              <w:jc w:val="center"/>
              <w:rPr>
                <w:sz w:val="21"/>
                <w:szCs w:val="21"/>
              </w:rPr>
            </w:pPr>
            <w:r>
              <w:rPr>
                <w:rFonts w:hAnsi="宋体" w:hint="eastAsia"/>
                <w:sz w:val="21"/>
                <w:szCs w:val="21"/>
              </w:rPr>
              <w:t>水温</w:t>
            </w:r>
            <w:r>
              <w:rPr>
                <w:sz w:val="21"/>
                <w:szCs w:val="21"/>
              </w:rPr>
              <w:t>□</w:t>
            </w:r>
            <w:r>
              <w:rPr>
                <w:rFonts w:hAnsi="宋体" w:hint="eastAsia"/>
                <w:sz w:val="21"/>
                <w:szCs w:val="21"/>
              </w:rPr>
              <w:t>；径流</w:t>
            </w:r>
            <w:r>
              <w:rPr>
                <w:sz w:val="21"/>
                <w:szCs w:val="21"/>
              </w:rPr>
              <w:t>□</w:t>
            </w:r>
            <w:r>
              <w:rPr>
                <w:rFonts w:hAnsi="宋体" w:hint="eastAsia"/>
                <w:sz w:val="21"/>
                <w:szCs w:val="21"/>
              </w:rPr>
              <w:t>；水域面积</w:t>
            </w:r>
            <w:r>
              <w:rPr>
                <w:rFonts w:hint="eastAsia"/>
                <w:sz w:val="21"/>
                <w:szCs w:val="21"/>
              </w:rPr>
              <w:t>☑</w:t>
            </w:r>
          </w:p>
        </w:tc>
      </w:tr>
      <w:tr w:rsidR="009D12AF" w14:paraId="51853F0B" w14:textId="77777777">
        <w:trPr>
          <w:trHeight w:val="20"/>
          <w:jc w:val="center"/>
        </w:trPr>
        <w:tc>
          <w:tcPr>
            <w:tcW w:w="392" w:type="dxa"/>
            <w:vMerge/>
            <w:vAlign w:val="center"/>
          </w:tcPr>
          <w:p w14:paraId="5A5C5653" w14:textId="77777777" w:rsidR="009D12AF" w:rsidRDefault="009D12AF">
            <w:pPr>
              <w:widowControl/>
              <w:spacing w:line="240" w:lineRule="auto"/>
              <w:ind w:firstLineChars="0" w:firstLine="0"/>
              <w:jc w:val="center"/>
              <w:rPr>
                <w:rFonts w:eastAsia="Times New Roman"/>
                <w:sz w:val="21"/>
                <w:szCs w:val="21"/>
              </w:rPr>
            </w:pPr>
          </w:p>
        </w:tc>
        <w:tc>
          <w:tcPr>
            <w:tcW w:w="2551" w:type="dxa"/>
            <w:vAlign w:val="center"/>
          </w:tcPr>
          <w:p w14:paraId="2368963B"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影响因子</w:t>
            </w:r>
          </w:p>
        </w:tc>
        <w:tc>
          <w:tcPr>
            <w:tcW w:w="5103" w:type="dxa"/>
            <w:gridSpan w:val="5"/>
            <w:vAlign w:val="center"/>
          </w:tcPr>
          <w:p w14:paraId="7E58145F" w14:textId="77777777" w:rsidR="009D12AF" w:rsidRDefault="00000000">
            <w:pPr>
              <w:spacing w:line="240" w:lineRule="auto"/>
              <w:ind w:firstLineChars="0" w:firstLine="0"/>
              <w:jc w:val="center"/>
              <w:rPr>
                <w:sz w:val="21"/>
                <w:szCs w:val="21"/>
              </w:rPr>
            </w:pPr>
            <w:r>
              <w:rPr>
                <w:rFonts w:hAnsi="宋体" w:hint="eastAsia"/>
                <w:sz w:val="21"/>
                <w:szCs w:val="21"/>
              </w:rPr>
              <w:t>持久性污染物</w:t>
            </w:r>
            <w:r>
              <w:rPr>
                <w:sz w:val="21"/>
                <w:szCs w:val="21"/>
              </w:rPr>
              <w:t>□</w:t>
            </w:r>
            <w:r>
              <w:rPr>
                <w:rFonts w:hAnsi="宋体" w:hint="eastAsia"/>
                <w:sz w:val="21"/>
                <w:szCs w:val="21"/>
              </w:rPr>
              <w:t>；有毒有害污染物</w:t>
            </w:r>
            <w:r>
              <w:rPr>
                <w:sz w:val="21"/>
                <w:szCs w:val="21"/>
              </w:rPr>
              <w:t>□</w:t>
            </w:r>
            <w:r>
              <w:rPr>
                <w:rFonts w:hAnsi="宋体" w:hint="eastAsia"/>
                <w:sz w:val="21"/>
                <w:szCs w:val="21"/>
              </w:rPr>
              <w:t>；非持久性污染物</w:t>
            </w:r>
            <w:r>
              <w:rPr>
                <w:rFonts w:eastAsia="Times New Roman"/>
                <w:sz w:val="21"/>
                <w:szCs w:val="21"/>
              </w:rPr>
              <w:t>√</w:t>
            </w:r>
            <w:r>
              <w:rPr>
                <w:rFonts w:hint="eastAsia"/>
                <w:sz w:val="21"/>
                <w:szCs w:val="21"/>
              </w:rPr>
              <w:t>；</w:t>
            </w:r>
          </w:p>
          <w:p w14:paraId="14127088" w14:textId="77777777" w:rsidR="009D12AF" w:rsidRDefault="00000000">
            <w:pPr>
              <w:spacing w:line="240" w:lineRule="auto"/>
              <w:ind w:firstLineChars="0" w:firstLine="0"/>
              <w:jc w:val="center"/>
              <w:rPr>
                <w:sz w:val="21"/>
                <w:szCs w:val="21"/>
              </w:rPr>
            </w:pPr>
            <w:r>
              <w:rPr>
                <w:sz w:val="21"/>
                <w:szCs w:val="21"/>
              </w:rPr>
              <w:t>pH</w:t>
            </w:r>
            <w:r>
              <w:rPr>
                <w:rFonts w:hint="eastAsia"/>
                <w:sz w:val="21"/>
                <w:szCs w:val="21"/>
              </w:rPr>
              <w:t>值</w:t>
            </w:r>
            <w:r>
              <w:rPr>
                <w:sz w:val="21"/>
                <w:szCs w:val="21"/>
              </w:rPr>
              <w:t>□</w:t>
            </w:r>
            <w:r>
              <w:rPr>
                <w:rFonts w:hint="eastAsia"/>
                <w:sz w:val="21"/>
                <w:szCs w:val="21"/>
              </w:rPr>
              <w:t>；热污染</w:t>
            </w:r>
            <w:r>
              <w:rPr>
                <w:sz w:val="21"/>
                <w:szCs w:val="21"/>
              </w:rPr>
              <w:t>□</w:t>
            </w:r>
            <w:r>
              <w:rPr>
                <w:rFonts w:hint="eastAsia"/>
                <w:sz w:val="21"/>
                <w:szCs w:val="21"/>
              </w:rPr>
              <w:t>；富营养化</w:t>
            </w:r>
            <w:r>
              <w:rPr>
                <w:sz w:val="21"/>
                <w:szCs w:val="21"/>
              </w:rPr>
              <w:t>□</w:t>
            </w:r>
            <w:r>
              <w:rPr>
                <w:rFonts w:hint="eastAsia"/>
                <w:sz w:val="21"/>
                <w:szCs w:val="21"/>
              </w:rPr>
              <w:t>；其他</w:t>
            </w:r>
            <w:r>
              <w:rPr>
                <w:sz w:val="21"/>
                <w:szCs w:val="21"/>
              </w:rPr>
              <w:t>□</w:t>
            </w:r>
          </w:p>
        </w:tc>
        <w:tc>
          <w:tcPr>
            <w:tcW w:w="6128" w:type="dxa"/>
            <w:gridSpan w:val="6"/>
            <w:vAlign w:val="center"/>
          </w:tcPr>
          <w:p w14:paraId="2273DA2A"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水温</w:t>
            </w:r>
            <w:r>
              <w:rPr>
                <w:sz w:val="21"/>
                <w:szCs w:val="21"/>
              </w:rPr>
              <w:t>□</w:t>
            </w:r>
            <w:r>
              <w:rPr>
                <w:rFonts w:hint="eastAsia"/>
                <w:sz w:val="21"/>
                <w:szCs w:val="21"/>
              </w:rPr>
              <w:t>；水位（水深</w:t>
            </w:r>
            <w:r>
              <w:rPr>
                <w:sz w:val="21"/>
                <w:szCs w:val="21"/>
              </w:rPr>
              <w:t>□</w:t>
            </w:r>
            <w:r>
              <w:rPr>
                <w:rFonts w:hint="eastAsia"/>
                <w:sz w:val="21"/>
                <w:szCs w:val="21"/>
              </w:rPr>
              <w:t>）；流速</w:t>
            </w:r>
            <w:r>
              <w:rPr>
                <w:sz w:val="21"/>
                <w:szCs w:val="21"/>
              </w:rPr>
              <w:t>□</w:t>
            </w:r>
            <w:r>
              <w:rPr>
                <w:rFonts w:hint="eastAsia"/>
                <w:sz w:val="21"/>
                <w:szCs w:val="21"/>
              </w:rPr>
              <w:t>；流量</w:t>
            </w:r>
            <w:r>
              <w:rPr>
                <w:sz w:val="21"/>
                <w:szCs w:val="21"/>
              </w:rPr>
              <w:t>□</w:t>
            </w:r>
            <w:r>
              <w:rPr>
                <w:rFonts w:hint="eastAsia"/>
                <w:sz w:val="21"/>
                <w:szCs w:val="21"/>
              </w:rPr>
              <w:t>；其他</w:t>
            </w:r>
            <w:r>
              <w:rPr>
                <w:sz w:val="21"/>
                <w:szCs w:val="21"/>
              </w:rPr>
              <w:t>□</w:t>
            </w:r>
          </w:p>
        </w:tc>
      </w:tr>
      <w:tr w:rsidR="009D12AF" w14:paraId="4C2D6BBC" w14:textId="77777777">
        <w:trPr>
          <w:trHeight w:val="20"/>
          <w:jc w:val="center"/>
        </w:trPr>
        <w:tc>
          <w:tcPr>
            <w:tcW w:w="2943" w:type="dxa"/>
            <w:gridSpan w:val="2"/>
            <w:vMerge w:val="restart"/>
            <w:vAlign w:val="center"/>
          </w:tcPr>
          <w:p w14:paraId="7FD07544" w14:textId="77777777" w:rsidR="009D12AF" w:rsidRDefault="00000000">
            <w:pPr>
              <w:spacing w:line="240" w:lineRule="auto"/>
              <w:ind w:firstLineChars="0" w:firstLine="0"/>
              <w:jc w:val="center"/>
              <w:rPr>
                <w:sz w:val="21"/>
                <w:szCs w:val="21"/>
              </w:rPr>
            </w:pPr>
            <w:r>
              <w:rPr>
                <w:rFonts w:hAnsi="宋体" w:hint="eastAsia"/>
                <w:sz w:val="21"/>
                <w:szCs w:val="21"/>
              </w:rPr>
              <w:t>评价等</w:t>
            </w:r>
            <w:r>
              <w:rPr>
                <w:rFonts w:hint="eastAsia"/>
                <w:sz w:val="21"/>
                <w:szCs w:val="21"/>
              </w:rPr>
              <w:t>级</w:t>
            </w:r>
          </w:p>
        </w:tc>
        <w:tc>
          <w:tcPr>
            <w:tcW w:w="5103" w:type="dxa"/>
            <w:gridSpan w:val="5"/>
            <w:vAlign w:val="center"/>
          </w:tcPr>
          <w:p w14:paraId="7B2F9D99"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水污染影响型</w:t>
            </w:r>
          </w:p>
        </w:tc>
        <w:tc>
          <w:tcPr>
            <w:tcW w:w="6128" w:type="dxa"/>
            <w:gridSpan w:val="6"/>
            <w:vAlign w:val="center"/>
          </w:tcPr>
          <w:p w14:paraId="6CBDE5FF"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水文要素影响型</w:t>
            </w:r>
          </w:p>
        </w:tc>
      </w:tr>
      <w:tr w:rsidR="009D12AF" w14:paraId="0085A59F" w14:textId="77777777">
        <w:trPr>
          <w:trHeight w:val="20"/>
          <w:jc w:val="center"/>
        </w:trPr>
        <w:tc>
          <w:tcPr>
            <w:tcW w:w="2943" w:type="dxa"/>
            <w:gridSpan w:val="2"/>
            <w:vMerge/>
            <w:vAlign w:val="center"/>
          </w:tcPr>
          <w:p w14:paraId="058AEE22" w14:textId="77777777" w:rsidR="009D12AF" w:rsidRDefault="009D12AF">
            <w:pPr>
              <w:widowControl/>
              <w:spacing w:line="240" w:lineRule="auto"/>
              <w:ind w:firstLineChars="0" w:firstLine="0"/>
              <w:jc w:val="center"/>
              <w:rPr>
                <w:sz w:val="21"/>
                <w:szCs w:val="21"/>
              </w:rPr>
            </w:pPr>
          </w:p>
        </w:tc>
        <w:tc>
          <w:tcPr>
            <w:tcW w:w="5103" w:type="dxa"/>
            <w:gridSpan w:val="5"/>
            <w:vAlign w:val="center"/>
          </w:tcPr>
          <w:p w14:paraId="3DDE31DE"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一级</w:t>
            </w:r>
            <w:r>
              <w:rPr>
                <w:sz w:val="21"/>
                <w:szCs w:val="21"/>
              </w:rPr>
              <w:t>□</w:t>
            </w:r>
            <w:r>
              <w:rPr>
                <w:rFonts w:hint="eastAsia"/>
                <w:sz w:val="21"/>
                <w:szCs w:val="21"/>
              </w:rPr>
              <w:t>；二级</w:t>
            </w:r>
            <w:r>
              <w:rPr>
                <w:sz w:val="21"/>
                <w:szCs w:val="21"/>
              </w:rPr>
              <w:t>□</w:t>
            </w:r>
            <w:r>
              <w:rPr>
                <w:rFonts w:hint="eastAsia"/>
                <w:sz w:val="21"/>
                <w:szCs w:val="21"/>
              </w:rPr>
              <w:t>；三级</w:t>
            </w:r>
            <w:r>
              <w:rPr>
                <w:sz w:val="21"/>
                <w:szCs w:val="21"/>
              </w:rPr>
              <w:t>A□</w:t>
            </w:r>
            <w:r>
              <w:rPr>
                <w:rFonts w:hint="eastAsia"/>
                <w:sz w:val="21"/>
                <w:szCs w:val="21"/>
              </w:rPr>
              <w:t>；三级</w:t>
            </w:r>
            <w:r>
              <w:rPr>
                <w:sz w:val="21"/>
                <w:szCs w:val="21"/>
              </w:rPr>
              <w:t>B</w:t>
            </w:r>
            <w:r>
              <w:rPr>
                <w:rFonts w:eastAsia="Times New Roman"/>
                <w:sz w:val="21"/>
                <w:szCs w:val="21"/>
              </w:rPr>
              <w:t>√</w:t>
            </w:r>
          </w:p>
        </w:tc>
        <w:tc>
          <w:tcPr>
            <w:tcW w:w="6128" w:type="dxa"/>
            <w:gridSpan w:val="6"/>
            <w:vAlign w:val="center"/>
          </w:tcPr>
          <w:p w14:paraId="102BEF3D" w14:textId="77777777" w:rsidR="009D12AF" w:rsidRDefault="00000000">
            <w:pPr>
              <w:spacing w:line="240" w:lineRule="auto"/>
              <w:ind w:firstLineChars="0" w:firstLine="0"/>
              <w:jc w:val="center"/>
              <w:rPr>
                <w:sz w:val="21"/>
                <w:szCs w:val="21"/>
              </w:rPr>
            </w:pPr>
            <w:r>
              <w:rPr>
                <w:rFonts w:hAnsi="宋体" w:hint="eastAsia"/>
                <w:sz w:val="21"/>
                <w:szCs w:val="21"/>
              </w:rPr>
              <w:t>一级</w:t>
            </w:r>
            <w:r>
              <w:rPr>
                <w:sz w:val="21"/>
                <w:szCs w:val="21"/>
              </w:rPr>
              <w:t>□</w:t>
            </w:r>
            <w:r>
              <w:rPr>
                <w:rFonts w:hint="eastAsia"/>
                <w:sz w:val="21"/>
                <w:szCs w:val="21"/>
              </w:rPr>
              <w:t>；二级☑；三级☑</w:t>
            </w:r>
          </w:p>
        </w:tc>
      </w:tr>
      <w:tr w:rsidR="009D12AF" w14:paraId="0CA99D65" w14:textId="77777777">
        <w:trPr>
          <w:trHeight w:val="20"/>
          <w:jc w:val="center"/>
        </w:trPr>
        <w:tc>
          <w:tcPr>
            <w:tcW w:w="392" w:type="dxa"/>
            <w:vMerge w:val="restart"/>
            <w:vAlign w:val="center"/>
          </w:tcPr>
          <w:p w14:paraId="222F698E" w14:textId="77777777" w:rsidR="009D12AF" w:rsidRDefault="00000000">
            <w:pPr>
              <w:spacing w:line="240" w:lineRule="auto"/>
              <w:ind w:firstLineChars="0" w:firstLine="0"/>
              <w:jc w:val="center"/>
              <w:rPr>
                <w:sz w:val="21"/>
                <w:szCs w:val="21"/>
              </w:rPr>
            </w:pPr>
            <w:r>
              <w:rPr>
                <w:rFonts w:hAnsi="宋体" w:hint="eastAsia"/>
                <w:sz w:val="21"/>
                <w:szCs w:val="21"/>
              </w:rPr>
              <w:t>现状调查</w:t>
            </w:r>
          </w:p>
        </w:tc>
        <w:tc>
          <w:tcPr>
            <w:tcW w:w="2551" w:type="dxa"/>
            <w:vMerge w:val="restart"/>
            <w:vAlign w:val="center"/>
          </w:tcPr>
          <w:p w14:paraId="0FF1272F"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区域污染源</w:t>
            </w:r>
          </w:p>
        </w:tc>
        <w:tc>
          <w:tcPr>
            <w:tcW w:w="5103" w:type="dxa"/>
            <w:gridSpan w:val="5"/>
            <w:vAlign w:val="center"/>
          </w:tcPr>
          <w:p w14:paraId="3178F6B3"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调查项目</w:t>
            </w:r>
          </w:p>
        </w:tc>
        <w:tc>
          <w:tcPr>
            <w:tcW w:w="6128" w:type="dxa"/>
            <w:gridSpan w:val="6"/>
            <w:vAlign w:val="center"/>
          </w:tcPr>
          <w:p w14:paraId="089D1134"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数据起源</w:t>
            </w:r>
          </w:p>
        </w:tc>
      </w:tr>
      <w:tr w:rsidR="009D12AF" w14:paraId="4A7F4FB8" w14:textId="77777777">
        <w:trPr>
          <w:trHeight w:val="20"/>
          <w:jc w:val="center"/>
        </w:trPr>
        <w:tc>
          <w:tcPr>
            <w:tcW w:w="392" w:type="dxa"/>
            <w:vMerge/>
            <w:vAlign w:val="center"/>
          </w:tcPr>
          <w:p w14:paraId="6207EEF0" w14:textId="77777777" w:rsidR="009D12AF" w:rsidRDefault="009D12AF">
            <w:pPr>
              <w:widowControl/>
              <w:spacing w:line="240" w:lineRule="auto"/>
              <w:ind w:firstLineChars="0" w:firstLine="0"/>
              <w:jc w:val="center"/>
              <w:rPr>
                <w:sz w:val="21"/>
                <w:szCs w:val="21"/>
              </w:rPr>
            </w:pPr>
          </w:p>
        </w:tc>
        <w:tc>
          <w:tcPr>
            <w:tcW w:w="2551" w:type="dxa"/>
            <w:vMerge/>
            <w:vAlign w:val="center"/>
          </w:tcPr>
          <w:p w14:paraId="65665B11" w14:textId="77777777" w:rsidR="009D12AF" w:rsidRDefault="009D12AF">
            <w:pPr>
              <w:widowControl/>
              <w:spacing w:line="240" w:lineRule="auto"/>
              <w:ind w:firstLineChars="0" w:firstLine="0"/>
              <w:jc w:val="center"/>
              <w:rPr>
                <w:rFonts w:eastAsia="Times New Roman"/>
                <w:sz w:val="21"/>
                <w:szCs w:val="21"/>
              </w:rPr>
            </w:pPr>
          </w:p>
        </w:tc>
        <w:tc>
          <w:tcPr>
            <w:tcW w:w="2410" w:type="dxa"/>
            <w:gridSpan w:val="2"/>
            <w:vAlign w:val="center"/>
          </w:tcPr>
          <w:p w14:paraId="22C096A9" w14:textId="77777777" w:rsidR="009D12AF" w:rsidRDefault="00000000">
            <w:pPr>
              <w:spacing w:line="240" w:lineRule="auto"/>
              <w:ind w:firstLineChars="0" w:firstLine="0"/>
              <w:jc w:val="center"/>
              <w:rPr>
                <w:sz w:val="21"/>
                <w:szCs w:val="21"/>
              </w:rPr>
            </w:pPr>
            <w:r>
              <w:rPr>
                <w:rFonts w:hAnsi="宋体" w:hint="eastAsia"/>
                <w:sz w:val="21"/>
                <w:szCs w:val="21"/>
              </w:rPr>
              <w:t>已建</w:t>
            </w:r>
            <w:r>
              <w:rPr>
                <w:sz w:val="21"/>
                <w:szCs w:val="21"/>
              </w:rPr>
              <w:t>□</w:t>
            </w:r>
            <w:r>
              <w:rPr>
                <w:rFonts w:hint="eastAsia"/>
                <w:sz w:val="21"/>
                <w:szCs w:val="21"/>
              </w:rPr>
              <w:t>；在建</w:t>
            </w:r>
            <w:r>
              <w:rPr>
                <w:sz w:val="21"/>
                <w:szCs w:val="21"/>
              </w:rPr>
              <w:t>□</w:t>
            </w:r>
            <w:r>
              <w:rPr>
                <w:rFonts w:hint="eastAsia"/>
                <w:sz w:val="21"/>
                <w:szCs w:val="21"/>
              </w:rPr>
              <w:t>；拟建☑；其他</w:t>
            </w:r>
            <w:r>
              <w:rPr>
                <w:sz w:val="21"/>
                <w:szCs w:val="21"/>
              </w:rPr>
              <w:t>□</w:t>
            </w:r>
          </w:p>
        </w:tc>
        <w:tc>
          <w:tcPr>
            <w:tcW w:w="2693" w:type="dxa"/>
            <w:gridSpan w:val="3"/>
            <w:vAlign w:val="center"/>
          </w:tcPr>
          <w:p w14:paraId="5160920F"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拟替代的污染源</w:t>
            </w:r>
            <w:r>
              <w:rPr>
                <w:sz w:val="21"/>
                <w:szCs w:val="21"/>
              </w:rPr>
              <w:t>□</w:t>
            </w:r>
          </w:p>
        </w:tc>
        <w:tc>
          <w:tcPr>
            <w:tcW w:w="6128" w:type="dxa"/>
            <w:gridSpan w:val="6"/>
            <w:vAlign w:val="center"/>
          </w:tcPr>
          <w:p w14:paraId="00D019ED"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排污许可证</w:t>
            </w:r>
            <w:r>
              <w:rPr>
                <w:sz w:val="21"/>
                <w:szCs w:val="21"/>
              </w:rPr>
              <w:t>□</w:t>
            </w:r>
            <w:r>
              <w:rPr>
                <w:rFonts w:hint="eastAsia"/>
                <w:sz w:val="21"/>
                <w:szCs w:val="21"/>
              </w:rPr>
              <w:t>；环评</w:t>
            </w:r>
            <w:r>
              <w:rPr>
                <w:sz w:val="21"/>
                <w:szCs w:val="21"/>
              </w:rPr>
              <w:t>□</w:t>
            </w:r>
            <w:r>
              <w:rPr>
                <w:rFonts w:hint="eastAsia"/>
                <w:sz w:val="21"/>
                <w:szCs w:val="21"/>
              </w:rPr>
              <w:t>；环保验收</w:t>
            </w:r>
            <w:r>
              <w:rPr>
                <w:sz w:val="21"/>
                <w:szCs w:val="21"/>
              </w:rPr>
              <w:t>□</w:t>
            </w:r>
            <w:r>
              <w:rPr>
                <w:rFonts w:hint="eastAsia"/>
                <w:sz w:val="21"/>
                <w:szCs w:val="21"/>
              </w:rPr>
              <w:t>；既有实测</w:t>
            </w:r>
            <w:r>
              <w:rPr>
                <w:sz w:val="21"/>
                <w:szCs w:val="21"/>
              </w:rPr>
              <w:t>□</w:t>
            </w:r>
            <w:r>
              <w:rPr>
                <w:rFonts w:hint="eastAsia"/>
                <w:sz w:val="21"/>
                <w:szCs w:val="21"/>
              </w:rPr>
              <w:t>；现场监测</w:t>
            </w:r>
            <w:r>
              <w:rPr>
                <w:sz w:val="21"/>
                <w:szCs w:val="21"/>
              </w:rPr>
              <w:t>□</w:t>
            </w:r>
            <w:r>
              <w:rPr>
                <w:rFonts w:hint="eastAsia"/>
                <w:sz w:val="21"/>
                <w:szCs w:val="21"/>
              </w:rPr>
              <w:t>；入河排放口数据</w:t>
            </w:r>
            <w:r>
              <w:rPr>
                <w:sz w:val="21"/>
                <w:szCs w:val="21"/>
              </w:rPr>
              <w:t>□</w:t>
            </w:r>
            <w:r>
              <w:rPr>
                <w:rFonts w:hint="eastAsia"/>
                <w:sz w:val="21"/>
                <w:szCs w:val="21"/>
              </w:rPr>
              <w:t>；其他</w:t>
            </w:r>
            <w:r>
              <w:rPr>
                <w:sz w:val="21"/>
                <w:szCs w:val="21"/>
              </w:rPr>
              <w:t>□</w:t>
            </w:r>
          </w:p>
        </w:tc>
      </w:tr>
      <w:tr w:rsidR="009D12AF" w14:paraId="09BEB631" w14:textId="77777777">
        <w:trPr>
          <w:trHeight w:val="20"/>
          <w:jc w:val="center"/>
        </w:trPr>
        <w:tc>
          <w:tcPr>
            <w:tcW w:w="392" w:type="dxa"/>
            <w:vMerge/>
            <w:vAlign w:val="center"/>
          </w:tcPr>
          <w:p w14:paraId="11222FA6" w14:textId="77777777" w:rsidR="009D12AF" w:rsidRDefault="009D12AF">
            <w:pPr>
              <w:widowControl/>
              <w:spacing w:line="240" w:lineRule="auto"/>
              <w:ind w:firstLineChars="0" w:firstLine="0"/>
              <w:jc w:val="center"/>
              <w:rPr>
                <w:sz w:val="21"/>
                <w:szCs w:val="21"/>
              </w:rPr>
            </w:pPr>
          </w:p>
        </w:tc>
        <w:tc>
          <w:tcPr>
            <w:tcW w:w="2551" w:type="dxa"/>
            <w:vMerge w:val="restart"/>
            <w:vAlign w:val="center"/>
          </w:tcPr>
          <w:p w14:paraId="678A9E29"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受影响水体环境质量</w:t>
            </w:r>
          </w:p>
        </w:tc>
        <w:tc>
          <w:tcPr>
            <w:tcW w:w="5103" w:type="dxa"/>
            <w:gridSpan w:val="5"/>
            <w:vAlign w:val="center"/>
          </w:tcPr>
          <w:p w14:paraId="4BE28733"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调查时期</w:t>
            </w:r>
          </w:p>
        </w:tc>
        <w:tc>
          <w:tcPr>
            <w:tcW w:w="6128" w:type="dxa"/>
            <w:gridSpan w:val="6"/>
            <w:vAlign w:val="center"/>
          </w:tcPr>
          <w:p w14:paraId="4C69967A"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数据起源</w:t>
            </w:r>
          </w:p>
        </w:tc>
      </w:tr>
      <w:tr w:rsidR="009D12AF" w14:paraId="3FFFF9DD" w14:textId="77777777">
        <w:trPr>
          <w:trHeight w:val="20"/>
          <w:jc w:val="center"/>
        </w:trPr>
        <w:tc>
          <w:tcPr>
            <w:tcW w:w="392" w:type="dxa"/>
            <w:vMerge/>
            <w:vAlign w:val="center"/>
          </w:tcPr>
          <w:p w14:paraId="7460308B" w14:textId="77777777" w:rsidR="009D12AF" w:rsidRDefault="009D12AF">
            <w:pPr>
              <w:widowControl/>
              <w:spacing w:line="240" w:lineRule="auto"/>
              <w:ind w:firstLineChars="0" w:firstLine="0"/>
              <w:jc w:val="center"/>
              <w:rPr>
                <w:sz w:val="21"/>
                <w:szCs w:val="21"/>
              </w:rPr>
            </w:pPr>
          </w:p>
        </w:tc>
        <w:tc>
          <w:tcPr>
            <w:tcW w:w="2551" w:type="dxa"/>
            <w:vMerge/>
            <w:vAlign w:val="center"/>
          </w:tcPr>
          <w:p w14:paraId="29332DEC" w14:textId="77777777" w:rsidR="009D12AF" w:rsidRDefault="009D12AF">
            <w:pPr>
              <w:widowControl/>
              <w:spacing w:line="240" w:lineRule="auto"/>
              <w:ind w:firstLineChars="0" w:firstLine="0"/>
              <w:jc w:val="center"/>
              <w:rPr>
                <w:rFonts w:eastAsia="Times New Roman"/>
                <w:sz w:val="21"/>
                <w:szCs w:val="21"/>
              </w:rPr>
            </w:pPr>
          </w:p>
        </w:tc>
        <w:tc>
          <w:tcPr>
            <w:tcW w:w="5103" w:type="dxa"/>
            <w:gridSpan w:val="5"/>
            <w:vAlign w:val="center"/>
          </w:tcPr>
          <w:p w14:paraId="2B758017" w14:textId="77777777" w:rsidR="009D12AF" w:rsidRDefault="00000000">
            <w:pPr>
              <w:spacing w:line="240" w:lineRule="auto"/>
              <w:ind w:firstLineChars="0" w:firstLine="0"/>
              <w:jc w:val="center"/>
              <w:rPr>
                <w:sz w:val="21"/>
                <w:szCs w:val="21"/>
              </w:rPr>
            </w:pPr>
            <w:r>
              <w:rPr>
                <w:rFonts w:hAnsi="宋体" w:hint="eastAsia"/>
                <w:sz w:val="21"/>
                <w:szCs w:val="21"/>
              </w:rPr>
              <w:t>丰水期</w:t>
            </w:r>
            <w:r>
              <w:rPr>
                <w:rFonts w:hint="eastAsia"/>
                <w:sz w:val="21"/>
                <w:szCs w:val="21"/>
              </w:rPr>
              <w:t>；平水期；枯水期；冰封期</w:t>
            </w:r>
          </w:p>
          <w:p w14:paraId="55BFC586" w14:textId="77777777" w:rsidR="009D12AF" w:rsidRDefault="00000000">
            <w:pPr>
              <w:spacing w:line="240" w:lineRule="auto"/>
              <w:ind w:firstLineChars="0" w:firstLine="0"/>
              <w:jc w:val="center"/>
              <w:rPr>
                <w:rFonts w:eastAsia="Times New Roman"/>
                <w:sz w:val="21"/>
                <w:szCs w:val="21"/>
              </w:rPr>
            </w:pPr>
            <w:r>
              <w:rPr>
                <w:rFonts w:hint="eastAsia"/>
                <w:sz w:val="21"/>
                <w:szCs w:val="21"/>
              </w:rPr>
              <w:t>春季；夏季；秋季；冬季</w:t>
            </w:r>
          </w:p>
        </w:tc>
        <w:tc>
          <w:tcPr>
            <w:tcW w:w="6128" w:type="dxa"/>
            <w:gridSpan w:val="6"/>
            <w:vAlign w:val="center"/>
          </w:tcPr>
          <w:p w14:paraId="39099759"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生态环境保护主管部门</w:t>
            </w:r>
            <w:r>
              <w:rPr>
                <w:rFonts w:eastAsia="Times New Roman"/>
                <w:sz w:val="21"/>
                <w:szCs w:val="21"/>
              </w:rPr>
              <w:t>√</w:t>
            </w:r>
            <w:r>
              <w:rPr>
                <w:rFonts w:hint="eastAsia"/>
                <w:sz w:val="21"/>
                <w:szCs w:val="21"/>
              </w:rPr>
              <w:t>；补充监测</w:t>
            </w:r>
            <w:r>
              <w:rPr>
                <w:sz w:val="21"/>
                <w:szCs w:val="21"/>
              </w:rPr>
              <w:t>□</w:t>
            </w:r>
            <w:r>
              <w:rPr>
                <w:rFonts w:hint="eastAsia"/>
                <w:sz w:val="21"/>
                <w:szCs w:val="21"/>
              </w:rPr>
              <w:t>；其他</w:t>
            </w:r>
            <w:r>
              <w:rPr>
                <w:sz w:val="21"/>
                <w:szCs w:val="21"/>
              </w:rPr>
              <w:t>□</w:t>
            </w:r>
          </w:p>
        </w:tc>
      </w:tr>
      <w:tr w:rsidR="009D12AF" w14:paraId="0539CB63" w14:textId="77777777">
        <w:trPr>
          <w:trHeight w:val="20"/>
          <w:jc w:val="center"/>
        </w:trPr>
        <w:tc>
          <w:tcPr>
            <w:tcW w:w="392" w:type="dxa"/>
            <w:vMerge/>
            <w:vAlign w:val="center"/>
          </w:tcPr>
          <w:p w14:paraId="5A216687" w14:textId="77777777" w:rsidR="009D12AF" w:rsidRDefault="009D12AF">
            <w:pPr>
              <w:widowControl/>
              <w:spacing w:line="240" w:lineRule="auto"/>
              <w:ind w:firstLineChars="0" w:firstLine="0"/>
              <w:jc w:val="center"/>
              <w:rPr>
                <w:sz w:val="21"/>
                <w:szCs w:val="21"/>
              </w:rPr>
            </w:pPr>
          </w:p>
        </w:tc>
        <w:tc>
          <w:tcPr>
            <w:tcW w:w="2551" w:type="dxa"/>
            <w:vAlign w:val="center"/>
          </w:tcPr>
          <w:p w14:paraId="4E6741AD"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区域水资源开发利用状况</w:t>
            </w:r>
          </w:p>
        </w:tc>
        <w:tc>
          <w:tcPr>
            <w:tcW w:w="11231" w:type="dxa"/>
            <w:gridSpan w:val="11"/>
            <w:vAlign w:val="center"/>
          </w:tcPr>
          <w:p w14:paraId="6A4F749E"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未开发</w:t>
            </w:r>
            <w:r>
              <w:rPr>
                <w:sz w:val="21"/>
                <w:szCs w:val="21"/>
              </w:rPr>
              <w:t>□</w:t>
            </w:r>
            <w:r>
              <w:rPr>
                <w:rFonts w:hint="eastAsia"/>
                <w:sz w:val="21"/>
                <w:szCs w:val="21"/>
              </w:rPr>
              <w:t>；开发量</w:t>
            </w:r>
            <w:r>
              <w:rPr>
                <w:sz w:val="21"/>
                <w:szCs w:val="21"/>
              </w:rPr>
              <w:t>40%</w:t>
            </w:r>
            <w:r>
              <w:rPr>
                <w:rFonts w:hint="eastAsia"/>
                <w:sz w:val="21"/>
                <w:szCs w:val="21"/>
              </w:rPr>
              <w:t>以下</w:t>
            </w:r>
            <w:r>
              <w:rPr>
                <w:sz w:val="21"/>
                <w:szCs w:val="21"/>
              </w:rPr>
              <w:t>□</w:t>
            </w:r>
            <w:r>
              <w:rPr>
                <w:rFonts w:hint="eastAsia"/>
                <w:sz w:val="21"/>
                <w:szCs w:val="21"/>
              </w:rPr>
              <w:t>；开发量</w:t>
            </w:r>
            <w:r>
              <w:rPr>
                <w:sz w:val="21"/>
                <w:szCs w:val="21"/>
              </w:rPr>
              <w:t>40%</w:t>
            </w:r>
            <w:r>
              <w:rPr>
                <w:rFonts w:hint="eastAsia"/>
                <w:sz w:val="21"/>
                <w:szCs w:val="21"/>
              </w:rPr>
              <w:t>以上</w:t>
            </w:r>
            <w:r>
              <w:rPr>
                <w:sz w:val="21"/>
                <w:szCs w:val="21"/>
              </w:rPr>
              <w:t>□</w:t>
            </w:r>
          </w:p>
        </w:tc>
      </w:tr>
      <w:tr w:rsidR="009D12AF" w14:paraId="41546757" w14:textId="77777777">
        <w:trPr>
          <w:trHeight w:val="20"/>
          <w:jc w:val="center"/>
        </w:trPr>
        <w:tc>
          <w:tcPr>
            <w:tcW w:w="392" w:type="dxa"/>
            <w:vMerge/>
            <w:vAlign w:val="center"/>
          </w:tcPr>
          <w:p w14:paraId="153C3D5B" w14:textId="77777777" w:rsidR="009D12AF" w:rsidRDefault="009D12AF">
            <w:pPr>
              <w:widowControl/>
              <w:spacing w:line="240" w:lineRule="auto"/>
              <w:ind w:firstLineChars="0" w:firstLine="0"/>
              <w:jc w:val="center"/>
              <w:rPr>
                <w:sz w:val="21"/>
                <w:szCs w:val="21"/>
              </w:rPr>
            </w:pPr>
          </w:p>
        </w:tc>
        <w:tc>
          <w:tcPr>
            <w:tcW w:w="2551" w:type="dxa"/>
            <w:vMerge w:val="restart"/>
            <w:vAlign w:val="center"/>
          </w:tcPr>
          <w:p w14:paraId="430A7BDD"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水文情势调查</w:t>
            </w:r>
          </w:p>
        </w:tc>
        <w:tc>
          <w:tcPr>
            <w:tcW w:w="5103" w:type="dxa"/>
            <w:gridSpan w:val="5"/>
            <w:vAlign w:val="center"/>
          </w:tcPr>
          <w:p w14:paraId="043EA2C8" w14:textId="77777777" w:rsidR="009D12AF" w:rsidRDefault="00000000">
            <w:pPr>
              <w:spacing w:line="240" w:lineRule="auto"/>
              <w:ind w:firstLineChars="0" w:firstLine="0"/>
              <w:jc w:val="center"/>
              <w:rPr>
                <w:sz w:val="21"/>
                <w:szCs w:val="21"/>
              </w:rPr>
            </w:pPr>
            <w:r>
              <w:rPr>
                <w:rFonts w:hAnsi="宋体" w:hint="eastAsia"/>
                <w:sz w:val="21"/>
                <w:szCs w:val="21"/>
              </w:rPr>
              <w:t>调查时期</w:t>
            </w:r>
          </w:p>
        </w:tc>
        <w:tc>
          <w:tcPr>
            <w:tcW w:w="6128" w:type="dxa"/>
            <w:gridSpan w:val="6"/>
            <w:vAlign w:val="center"/>
          </w:tcPr>
          <w:p w14:paraId="71F78FCC"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数据来源</w:t>
            </w:r>
          </w:p>
        </w:tc>
      </w:tr>
      <w:tr w:rsidR="009D12AF" w14:paraId="33EF1242" w14:textId="77777777">
        <w:trPr>
          <w:trHeight w:val="20"/>
          <w:jc w:val="center"/>
        </w:trPr>
        <w:tc>
          <w:tcPr>
            <w:tcW w:w="392" w:type="dxa"/>
            <w:vMerge/>
            <w:vAlign w:val="center"/>
          </w:tcPr>
          <w:p w14:paraId="5E0D538A" w14:textId="77777777" w:rsidR="009D12AF" w:rsidRDefault="009D12AF">
            <w:pPr>
              <w:widowControl/>
              <w:spacing w:line="240" w:lineRule="auto"/>
              <w:ind w:firstLineChars="0" w:firstLine="0"/>
              <w:jc w:val="center"/>
              <w:rPr>
                <w:sz w:val="21"/>
                <w:szCs w:val="21"/>
              </w:rPr>
            </w:pPr>
          </w:p>
        </w:tc>
        <w:tc>
          <w:tcPr>
            <w:tcW w:w="2551" w:type="dxa"/>
            <w:vMerge/>
            <w:vAlign w:val="center"/>
          </w:tcPr>
          <w:p w14:paraId="404AB44B" w14:textId="77777777" w:rsidR="009D12AF" w:rsidRDefault="009D12AF">
            <w:pPr>
              <w:widowControl/>
              <w:spacing w:line="240" w:lineRule="auto"/>
              <w:ind w:firstLineChars="0" w:firstLine="0"/>
              <w:jc w:val="center"/>
              <w:rPr>
                <w:rFonts w:eastAsia="Times New Roman"/>
                <w:sz w:val="21"/>
                <w:szCs w:val="21"/>
              </w:rPr>
            </w:pPr>
          </w:p>
        </w:tc>
        <w:tc>
          <w:tcPr>
            <w:tcW w:w="5103" w:type="dxa"/>
            <w:gridSpan w:val="5"/>
            <w:vAlign w:val="center"/>
          </w:tcPr>
          <w:p w14:paraId="0CF36EF3" w14:textId="77777777" w:rsidR="009D12AF" w:rsidRDefault="00000000">
            <w:pPr>
              <w:spacing w:line="240" w:lineRule="auto"/>
              <w:ind w:firstLineChars="0" w:firstLine="0"/>
              <w:jc w:val="center"/>
              <w:rPr>
                <w:sz w:val="21"/>
                <w:szCs w:val="21"/>
              </w:rPr>
            </w:pPr>
            <w:r>
              <w:rPr>
                <w:rFonts w:hAnsi="宋体" w:hint="eastAsia"/>
                <w:sz w:val="21"/>
                <w:szCs w:val="21"/>
              </w:rPr>
              <w:t>丰水期</w:t>
            </w:r>
            <w:r>
              <w:rPr>
                <w:sz w:val="21"/>
                <w:szCs w:val="21"/>
              </w:rPr>
              <w:t>□</w:t>
            </w:r>
            <w:r>
              <w:rPr>
                <w:rFonts w:hint="eastAsia"/>
                <w:sz w:val="21"/>
                <w:szCs w:val="21"/>
              </w:rPr>
              <w:t>；平水期</w:t>
            </w:r>
            <w:r>
              <w:rPr>
                <w:sz w:val="21"/>
                <w:szCs w:val="21"/>
              </w:rPr>
              <w:t>□</w:t>
            </w:r>
            <w:r>
              <w:rPr>
                <w:rFonts w:hint="eastAsia"/>
                <w:sz w:val="21"/>
                <w:szCs w:val="21"/>
              </w:rPr>
              <w:t>；枯水期</w:t>
            </w:r>
            <w:r>
              <w:rPr>
                <w:sz w:val="21"/>
                <w:szCs w:val="21"/>
              </w:rPr>
              <w:t>□</w:t>
            </w:r>
            <w:r>
              <w:rPr>
                <w:rFonts w:hint="eastAsia"/>
                <w:sz w:val="21"/>
                <w:szCs w:val="21"/>
              </w:rPr>
              <w:t>；冰封期</w:t>
            </w:r>
            <w:r>
              <w:rPr>
                <w:sz w:val="21"/>
                <w:szCs w:val="21"/>
              </w:rPr>
              <w:t>□</w:t>
            </w:r>
          </w:p>
          <w:p w14:paraId="71F4219D" w14:textId="77777777" w:rsidR="009D12AF" w:rsidRDefault="00000000">
            <w:pPr>
              <w:spacing w:line="240" w:lineRule="auto"/>
              <w:ind w:firstLineChars="0" w:firstLine="0"/>
              <w:jc w:val="center"/>
              <w:rPr>
                <w:rFonts w:eastAsia="Times New Roman"/>
                <w:sz w:val="21"/>
                <w:szCs w:val="21"/>
              </w:rPr>
            </w:pPr>
            <w:r>
              <w:rPr>
                <w:rFonts w:hint="eastAsia"/>
                <w:sz w:val="21"/>
                <w:szCs w:val="21"/>
              </w:rPr>
              <w:t>春季</w:t>
            </w:r>
            <w:r>
              <w:rPr>
                <w:sz w:val="21"/>
                <w:szCs w:val="21"/>
              </w:rPr>
              <w:t>□</w:t>
            </w:r>
            <w:r>
              <w:rPr>
                <w:rFonts w:hint="eastAsia"/>
                <w:sz w:val="21"/>
                <w:szCs w:val="21"/>
              </w:rPr>
              <w:t>；夏季</w:t>
            </w:r>
            <w:r>
              <w:rPr>
                <w:sz w:val="21"/>
                <w:szCs w:val="21"/>
              </w:rPr>
              <w:t>□</w:t>
            </w:r>
            <w:r>
              <w:rPr>
                <w:rFonts w:hint="eastAsia"/>
                <w:sz w:val="21"/>
                <w:szCs w:val="21"/>
              </w:rPr>
              <w:t>；秋季</w:t>
            </w:r>
            <w:r>
              <w:rPr>
                <w:sz w:val="21"/>
                <w:szCs w:val="21"/>
              </w:rPr>
              <w:t>□</w:t>
            </w:r>
            <w:r>
              <w:rPr>
                <w:rFonts w:hint="eastAsia"/>
                <w:sz w:val="21"/>
                <w:szCs w:val="21"/>
              </w:rPr>
              <w:t>；冬季</w:t>
            </w:r>
            <w:r>
              <w:rPr>
                <w:sz w:val="21"/>
                <w:szCs w:val="21"/>
              </w:rPr>
              <w:t>□</w:t>
            </w:r>
          </w:p>
        </w:tc>
        <w:tc>
          <w:tcPr>
            <w:tcW w:w="6128" w:type="dxa"/>
            <w:gridSpan w:val="6"/>
            <w:vAlign w:val="center"/>
          </w:tcPr>
          <w:p w14:paraId="3DBA6CDC" w14:textId="77777777" w:rsidR="009D12AF" w:rsidRDefault="00000000">
            <w:pPr>
              <w:spacing w:line="240" w:lineRule="auto"/>
              <w:ind w:firstLineChars="0" w:firstLine="0"/>
              <w:jc w:val="center"/>
              <w:rPr>
                <w:sz w:val="21"/>
                <w:szCs w:val="21"/>
              </w:rPr>
            </w:pPr>
            <w:r>
              <w:rPr>
                <w:rFonts w:hAnsi="宋体" w:hint="eastAsia"/>
                <w:sz w:val="21"/>
                <w:szCs w:val="21"/>
              </w:rPr>
              <w:t>水行政主管部门</w:t>
            </w:r>
            <w:r>
              <w:rPr>
                <w:sz w:val="21"/>
                <w:szCs w:val="21"/>
              </w:rPr>
              <w:t>□</w:t>
            </w:r>
            <w:r>
              <w:rPr>
                <w:rFonts w:hint="eastAsia"/>
                <w:sz w:val="21"/>
                <w:szCs w:val="21"/>
              </w:rPr>
              <w:t>；补充监测</w:t>
            </w:r>
            <w:r>
              <w:rPr>
                <w:sz w:val="21"/>
                <w:szCs w:val="21"/>
              </w:rPr>
              <w:t>□</w:t>
            </w:r>
            <w:r>
              <w:rPr>
                <w:rFonts w:hint="eastAsia"/>
                <w:sz w:val="21"/>
                <w:szCs w:val="21"/>
              </w:rPr>
              <w:t>；其他</w:t>
            </w:r>
            <w:r>
              <w:rPr>
                <w:sz w:val="21"/>
                <w:szCs w:val="21"/>
              </w:rPr>
              <w:t>□</w:t>
            </w:r>
          </w:p>
        </w:tc>
      </w:tr>
      <w:tr w:rsidR="009D12AF" w14:paraId="5FD229C2" w14:textId="77777777">
        <w:trPr>
          <w:trHeight w:val="20"/>
          <w:jc w:val="center"/>
        </w:trPr>
        <w:tc>
          <w:tcPr>
            <w:tcW w:w="392" w:type="dxa"/>
            <w:vMerge/>
            <w:vAlign w:val="center"/>
          </w:tcPr>
          <w:p w14:paraId="759C3BC0" w14:textId="77777777" w:rsidR="009D12AF" w:rsidRDefault="009D12AF">
            <w:pPr>
              <w:widowControl/>
              <w:spacing w:line="240" w:lineRule="auto"/>
              <w:ind w:firstLineChars="0" w:firstLine="0"/>
              <w:jc w:val="center"/>
              <w:rPr>
                <w:sz w:val="21"/>
                <w:szCs w:val="21"/>
              </w:rPr>
            </w:pPr>
          </w:p>
        </w:tc>
        <w:tc>
          <w:tcPr>
            <w:tcW w:w="2551" w:type="dxa"/>
            <w:vMerge w:val="restart"/>
            <w:vAlign w:val="center"/>
          </w:tcPr>
          <w:p w14:paraId="05AD236C"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补充监测</w:t>
            </w:r>
          </w:p>
        </w:tc>
        <w:tc>
          <w:tcPr>
            <w:tcW w:w="5103" w:type="dxa"/>
            <w:gridSpan w:val="5"/>
            <w:vAlign w:val="center"/>
          </w:tcPr>
          <w:p w14:paraId="5E34A4A6"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监测时期</w:t>
            </w:r>
          </w:p>
        </w:tc>
        <w:tc>
          <w:tcPr>
            <w:tcW w:w="2835" w:type="dxa"/>
            <w:gridSpan w:val="3"/>
            <w:vAlign w:val="center"/>
          </w:tcPr>
          <w:p w14:paraId="249D59E9"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监测因子</w:t>
            </w:r>
          </w:p>
        </w:tc>
        <w:tc>
          <w:tcPr>
            <w:tcW w:w="3293" w:type="dxa"/>
            <w:gridSpan w:val="3"/>
            <w:vAlign w:val="center"/>
          </w:tcPr>
          <w:p w14:paraId="438EFECF" w14:textId="77777777" w:rsidR="009D12AF" w:rsidRDefault="00000000">
            <w:pPr>
              <w:spacing w:line="240" w:lineRule="auto"/>
              <w:ind w:firstLineChars="0" w:firstLine="0"/>
              <w:jc w:val="center"/>
              <w:rPr>
                <w:sz w:val="21"/>
                <w:szCs w:val="21"/>
              </w:rPr>
            </w:pPr>
            <w:r>
              <w:rPr>
                <w:rFonts w:hAnsi="宋体" w:hint="eastAsia"/>
                <w:sz w:val="21"/>
                <w:szCs w:val="21"/>
              </w:rPr>
              <w:t>监测断面或点</w:t>
            </w:r>
            <w:r>
              <w:rPr>
                <w:rFonts w:hint="eastAsia"/>
                <w:sz w:val="21"/>
                <w:szCs w:val="21"/>
              </w:rPr>
              <w:t>位</w:t>
            </w:r>
          </w:p>
        </w:tc>
      </w:tr>
      <w:tr w:rsidR="009D12AF" w14:paraId="2776DB62" w14:textId="77777777">
        <w:trPr>
          <w:trHeight w:val="20"/>
          <w:jc w:val="center"/>
        </w:trPr>
        <w:tc>
          <w:tcPr>
            <w:tcW w:w="392" w:type="dxa"/>
            <w:vMerge/>
            <w:vAlign w:val="center"/>
          </w:tcPr>
          <w:p w14:paraId="1C98DA29" w14:textId="77777777" w:rsidR="009D12AF" w:rsidRDefault="009D12AF">
            <w:pPr>
              <w:widowControl/>
              <w:spacing w:line="240" w:lineRule="auto"/>
              <w:ind w:firstLineChars="0" w:firstLine="0"/>
              <w:jc w:val="center"/>
              <w:rPr>
                <w:sz w:val="21"/>
                <w:szCs w:val="21"/>
              </w:rPr>
            </w:pPr>
          </w:p>
        </w:tc>
        <w:tc>
          <w:tcPr>
            <w:tcW w:w="2551" w:type="dxa"/>
            <w:vMerge/>
            <w:vAlign w:val="center"/>
          </w:tcPr>
          <w:p w14:paraId="2EF612D7" w14:textId="77777777" w:rsidR="009D12AF" w:rsidRDefault="009D12AF">
            <w:pPr>
              <w:widowControl/>
              <w:spacing w:line="240" w:lineRule="auto"/>
              <w:ind w:firstLineChars="0" w:firstLine="0"/>
              <w:jc w:val="center"/>
              <w:rPr>
                <w:rFonts w:eastAsia="Times New Roman"/>
                <w:sz w:val="21"/>
                <w:szCs w:val="21"/>
              </w:rPr>
            </w:pPr>
          </w:p>
        </w:tc>
        <w:tc>
          <w:tcPr>
            <w:tcW w:w="5103" w:type="dxa"/>
            <w:gridSpan w:val="5"/>
            <w:vAlign w:val="center"/>
          </w:tcPr>
          <w:p w14:paraId="313D8192" w14:textId="77777777" w:rsidR="009D12AF" w:rsidRDefault="00000000">
            <w:pPr>
              <w:spacing w:line="240" w:lineRule="auto"/>
              <w:ind w:firstLineChars="0" w:firstLine="0"/>
              <w:jc w:val="center"/>
              <w:rPr>
                <w:sz w:val="21"/>
                <w:szCs w:val="21"/>
              </w:rPr>
            </w:pPr>
            <w:r>
              <w:rPr>
                <w:rFonts w:hAnsi="宋体" w:hint="eastAsia"/>
                <w:sz w:val="21"/>
                <w:szCs w:val="21"/>
              </w:rPr>
              <w:t>丰水期</w:t>
            </w:r>
            <w:r>
              <w:rPr>
                <w:sz w:val="21"/>
                <w:szCs w:val="21"/>
              </w:rPr>
              <w:t>□</w:t>
            </w:r>
            <w:r>
              <w:rPr>
                <w:rFonts w:hint="eastAsia"/>
                <w:sz w:val="21"/>
                <w:szCs w:val="21"/>
              </w:rPr>
              <w:t>；平水期</w:t>
            </w:r>
            <w:r>
              <w:rPr>
                <w:sz w:val="21"/>
                <w:szCs w:val="21"/>
              </w:rPr>
              <w:t>□</w:t>
            </w:r>
            <w:r>
              <w:rPr>
                <w:rFonts w:hint="eastAsia"/>
                <w:sz w:val="21"/>
                <w:szCs w:val="21"/>
              </w:rPr>
              <w:t>；枯水期</w:t>
            </w:r>
            <w:r>
              <w:rPr>
                <w:sz w:val="21"/>
                <w:szCs w:val="21"/>
              </w:rPr>
              <w:t>□</w:t>
            </w:r>
            <w:r>
              <w:rPr>
                <w:rFonts w:hint="eastAsia"/>
                <w:sz w:val="21"/>
                <w:szCs w:val="21"/>
              </w:rPr>
              <w:t>；冰封期</w:t>
            </w:r>
            <w:r>
              <w:rPr>
                <w:sz w:val="21"/>
                <w:szCs w:val="21"/>
              </w:rPr>
              <w:t>□</w:t>
            </w:r>
          </w:p>
          <w:p w14:paraId="1FA0921C" w14:textId="77777777" w:rsidR="009D12AF" w:rsidRDefault="00000000">
            <w:pPr>
              <w:spacing w:line="240" w:lineRule="auto"/>
              <w:ind w:firstLineChars="0" w:firstLine="0"/>
              <w:jc w:val="center"/>
              <w:rPr>
                <w:sz w:val="21"/>
                <w:szCs w:val="21"/>
              </w:rPr>
            </w:pPr>
            <w:r>
              <w:rPr>
                <w:rFonts w:hint="eastAsia"/>
                <w:sz w:val="21"/>
                <w:szCs w:val="21"/>
              </w:rPr>
              <w:t>春季</w:t>
            </w:r>
            <w:r>
              <w:rPr>
                <w:sz w:val="21"/>
                <w:szCs w:val="21"/>
              </w:rPr>
              <w:t>□</w:t>
            </w:r>
            <w:r>
              <w:rPr>
                <w:rFonts w:hint="eastAsia"/>
                <w:sz w:val="21"/>
                <w:szCs w:val="21"/>
              </w:rPr>
              <w:t>；夏季</w:t>
            </w:r>
            <w:r>
              <w:rPr>
                <w:sz w:val="21"/>
                <w:szCs w:val="21"/>
              </w:rPr>
              <w:t>□</w:t>
            </w:r>
            <w:r>
              <w:rPr>
                <w:rFonts w:hint="eastAsia"/>
                <w:sz w:val="21"/>
                <w:szCs w:val="21"/>
              </w:rPr>
              <w:t>；秋季</w:t>
            </w:r>
            <w:r>
              <w:rPr>
                <w:sz w:val="21"/>
                <w:szCs w:val="21"/>
              </w:rPr>
              <w:t>□</w:t>
            </w:r>
            <w:r>
              <w:rPr>
                <w:rFonts w:hint="eastAsia"/>
                <w:sz w:val="21"/>
                <w:szCs w:val="21"/>
              </w:rPr>
              <w:t>；冬季</w:t>
            </w:r>
            <w:r>
              <w:rPr>
                <w:sz w:val="21"/>
                <w:szCs w:val="21"/>
              </w:rPr>
              <w:t>□</w:t>
            </w:r>
          </w:p>
        </w:tc>
        <w:tc>
          <w:tcPr>
            <w:tcW w:w="2835" w:type="dxa"/>
            <w:gridSpan w:val="3"/>
            <w:vAlign w:val="center"/>
          </w:tcPr>
          <w:p w14:paraId="6E120E5E"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w:t>
            </w:r>
          </w:p>
        </w:tc>
        <w:tc>
          <w:tcPr>
            <w:tcW w:w="3293" w:type="dxa"/>
            <w:gridSpan w:val="3"/>
            <w:vAlign w:val="center"/>
          </w:tcPr>
          <w:p w14:paraId="45BE0FF4" w14:textId="77777777" w:rsidR="009D12AF" w:rsidRDefault="00000000">
            <w:pPr>
              <w:spacing w:line="240" w:lineRule="auto"/>
              <w:ind w:firstLineChars="0" w:firstLine="0"/>
              <w:jc w:val="center"/>
              <w:rPr>
                <w:sz w:val="21"/>
                <w:szCs w:val="21"/>
              </w:rPr>
            </w:pPr>
            <w:r>
              <w:rPr>
                <w:rFonts w:hAnsi="宋体" w:hint="eastAsia"/>
                <w:sz w:val="21"/>
                <w:szCs w:val="21"/>
              </w:rPr>
              <w:t>监测断面或点位个数（</w:t>
            </w:r>
            <w:r>
              <w:rPr>
                <w:rFonts w:hint="eastAsia"/>
                <w:sz w:val="21"/>
                <w:szCs w:val="21"/>
              </w:rPr>
              <w:t>）个</w:t>
            </w:r>
          </w:p>
        </w:tc>
      </w:tr>
      <w:tr w:rsidR="009D12AF" w14:paraId="66C40EC8" w14:textId="77777777">
        <w:trPr>
          <w:trHeight w:val="20"/>
          <w:jc w:val="center"/>
        </w:trPr>
        <w:tc>
          <w:tcPr>
            <w:tcW w:w="392" w:type="dxa"/>
            <w:vMerge w:val="restart"/>
            <w:vAlign w:val="center"/>
          </w:tcPr>
          <w:p w14:paraId="15CB0CFB"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现状评价</w:t>
            </w:r>
          </w:p>
        </w:tc>
        <w:tc>
          <w:tcPr>
            <w:tcW w:w="2551" w:type="dxa"/>
            <w:vAlign w:val="center"/>
          </w:tcPr>
          <w:p w14:paraId="29BDAC83"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评价范围</w:t>
            </w:r>
          </w:p>
        </w:tc>
        <w:tc>
          <w:tcPr>
            <w:tcW w:w="11231" w:type="dxa"/>
            <w:gridSpan w:val="11"/>
            <w:vAlign w:val="center"/>
          </w:tcPr>
          <w:p w14:paraId="6C8FE153" w14:textId="77777777" w:rsidR="009D12AF" w:rsidRDefault="00000000">
            <w:pPr>
              <w:spacing w:line="240" w:lineRule="auto"/>
              <w:ind w:firstLineChars="0" w:firstLine="0"/>
              <w:jc w:val="center"/>
              <w:rPr>
                <w:sz w:val="21"/>
                <w:szCs w:val="21"/>
              </w:rPr>
            </w:pPr>
            <w:r>
              <w:rPr>
                <w:rFonts w:hAnsi="宋体" w:hint="eastAsia"/>
                <w:sz w:val="21"/>
                <w:szCs w:val="21"/>
              </w:rPr>
              <w:t>河流：长度（）</w:t>
            </w:r>
            <w:r>
              <w:rPr>
                <w:rFonts w:eastAsia="Times New Roman"/>
                <w:sz w:val="21"/>
                <w:szCs w:val="21"/>
              </w:rPr>
              <w:t>km</w:t>
            </w:r>
            <w:r>
              <w:rPr>
                <w:rFonts w:hAnsi="宋体" w:hint="eastAsia"/>
                <w:sz w:val="21"/>
                <w:szCs w:val="21"/>
              </w:rPr>
              <w:t>；湖库、河口及近岸海域：面积（）</w:t>
            </w:r>
            <w:r>
              <w:rPr>
                <w:rFonts w:eastAsia="Times New Roman"/>
                <w:sz w:val="21"/>
                <w:szCs w:val="21"/>
              </w:rPr>
              <w:t>km</w:t>
            </w:r>
            <w:r>
              <w:rPr>
                <w:sz w:val="21"/>
                <w:szCs w:val="21"/>
                <w:vertAlign w:val="superscript"/>
              </w:rPr>
              <w:t>2</w:t>
            </w:r>
          </w:p>
        </w:tc>
      </w:tr>
      <w:tr w:rsidR="009D12AF" w14:paraId="489204A5" w14:textId="77777777">
        <w:trPr>
          <w:trHeight w:val="20"/>
          <w:jc w:val="center"/>
        </w:trPr>
        <w:tc>
          <w:tcPr>
            <w:tcW w:w="392" w:type="dxa"/>
            <w:vMerge/>
            <w:vAlign w:val="center"/>
          </w:tcPr>
          <w:p w14:paraId="0A780293" w14:textId="77777777" w:rsidR="009D12AF" w:rsidRDefault="009D12AF">
            <w:pPr>
              <w:widowControl/>
              <w:spacing w:line="240" w:lineRule="auto"/>
              <w:ind w:firstLineChars="0" w:firstLine="0"/>
              <w:jc w:val="center"/>
              <w:rPr>
                <w:rFonts w:eastAsia="Times New Roman"/>
                <w:sz w:val="21"/>
                <w:szCs w:val="21"/>
              </w:rPr>
            </w:pPr>
          </w:p>
        </w:tc>
        <w:tc>
          <w:tcPr>
            <w:tcW w:w="2551" w:type="dxa"/>
            <w:vAlign w:val="center"/>
          </w:tcPr>
          <w:p w14:paraId="390774CE"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评价因子</w:t>
            </w:r>
          </w:p>
        </w:tc>
        <w:tc>
          <w:tcPr>
            <w:tcW w:w="11231" w:type="dxa"/>
            <w:gridSpan w:val="11"/>
            <w:vAlign w:val="center"/>
          </w:tcPr>
          <w:p w14:paraId="6E18CD89"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w:t>
            </w:r>
            <w:r>
              <w:rPr>
                <w:rFonts w:hAnsi="宋体" w:hint="eastAsia"/>
                <w:sz w:val="21"/>
                <w:szCs w:val="21"/>
              </w:rPr>
              <w:t>PH</w:t>
            </w:r>
            <w:r>
              <w:rPr>
                <w:rFonts w:hAnsi="宋体" w:hint="eastAsia"/>
                <w:sz w:val="21"/>
                <w:szCs w:val="21"/>
              </w:rPr>
              <w:t>、溶解氧、高锰酸盐指数、氨氮、五日生化需要量、化学需氧量、总氮、总磷、石油类）</w:t>
            </w:r>
          </w:p>
        </w:tc>
      </w:tr>
      <w:tr w:rsidR="009D12AF" w14:paraId="5F353821" w14:textId="77777777">
        <w:trPr>
          <w:trHeight w:val="20"/>
          <w:jc w:val="center"/>
        </w:trPr>
        <w:tc>
          <w:tcPr>
            <w:tcW w:w="392" w:type="dxa"/>
            <w:vMerge/>
            <w:vAlign w:val="center"/>
          </w:tcPr>
          <w:p w14:paraId="24C8FBCB" w14:textId="77777777" w:rsidR="009D12AF" w:rsidRDefault="009D12AF">
            <w:pPr>
              <w:widowControl/>
              <w:spacing w:line="240" w:lineRule="auto"/>
              <w:ind w:firstLineChars="0" w:firstLine="0"/>
              <w:jc w:val="center"/>
              <w:rPr>
                <w:rFonts w:eastAsia="Times New Roman"/>
                <w:sz w:val="21"/>
                <w:szCs w:val="21"/>
              </w:rPr>
            </w:pPr>
          </w:p>
        </w:tc>
        <w:tc>
          <w:tcPr>
            <w:tcW w:w="2551" w:type="dxa"/>
            <w:vAlign w:val="center"/>
          </w:tcPr>
          <w:p w14:paraId="4D706A05"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评价标准</w:t>
            </w:r>
          </w:p>
        </w:tc>
        <w:tc>
          <w:tcPr>
            <w:tcW w:w="11231" w:type="dxa"/>
            <w:gridSpan w:val="11"/>
            <w:vAlign w:val="center"/>
          </w:tcPr>
          <w:p w14:paraId="6CA02266" w14:textId="77777777" w:rsidR="009D12AF" w:rsidRDefault="00000000">
            <w:pPr>
              <w:spacing w:line="240" w:lineRule="auto"/>
              <w:ind w:firstLineChars="0" w:firstLine="0"/>
              <w:jc w:val="center"/>
              <w:rPr>
                <w:sz w:val="21"/>
                <w:szCs w:val="21"/>
              </w:rPr>
            </w:pPr>
            <w:r>
              <w:rPr>
                <w:rFonts w:hAnsi="宋体" w:hint="eastAsia"/>
                <w:sz w:val="21"/>
                <w:szCs w:val="21"/>
              </w:rPr>
              <w:t>河流、湖库、河口：Ⅰ类</w:t>
            </w:r>
            <w:r>
              <w:rPr>
                <w:sz w:val="21"/>
                <w:szCs w:val="21"/>
              </w:rPr>
              <w:t>□</w:t>
            </w:r>
            <w:r>
              <w:rPr>
                <w:rFonts w:hint="eastAsia"/>
                <w:sz w:val="21"/>
                <w:szCs w:val="21"/>
              </w:rPr>
              <w:t>；</w:t>
            </w:r>
            <w:r>
              <w:rPr>
                <w:sz w:val="21"/>
                <w:szCs w:val="21"/>
              </w:rPr>
              <w:t>Ⅱ</w:t>
            </w:r>
            <w:r>
              <w:rPr>
                <w:rFonts w:hint="eastAsia"/>
                <w:sz w:val="21"/>
                <w:szCs w:val="21"/>
              </w:rPr>
              <w:t>类</w:t>
            </w:r>
            <w:r>
              <w:rPr>
                <w:sz w:val="21"/>
                <w:szCs w:val="21"/>
              </w:rPr>
              <w:t>□</w:t>
            </w:r>
            <w:r>
              <w:rPr>
                <w:rFonts w:hint="eastAsia"/>
                <w:sz w:val="21"/>
                <w:szCs w:val="21"/>
              </w:rPr>
              <w:t>；</w:t>
            </w:r>
            <w:r>
              <w:rPr>
                <w:sz w:val="21"/>
                <w:szCs w:val="21"/>
              </w:rPr>
              <w:t>Ⅲ</w:t>
            </w:r>
            <w:r>
              <w:rPr>
                <w:rFonts w:hint="eastAsia"/>
                <w:sz w:val="21"/>
                <w:szCs w:val="21"/>
              </w:rPr>
              <w:t>类☑；</w:t>
            </w:r>
            <w:r>
              <w:rPr>
                <w:sz w:val="21"/>
                <w:szCs w:val="21"/>
              </w:rPr>
              <w:t>Ⅳ</w:t>
            </w:r>
            <w:r>
              <w:rPr>
                <w:rFonts w:hint="eastAsia"/>
                <w:sz w:val="21"/>
                <w:szCs w:val="21"/>
              </w:rPr>
              <w:t>类□；</w:t>
            </w:r>
            <w:r>
              <w:rPr>
                <w:sz w:val="21"/>
                <w:szCs w:val="21"/>
              </w:rPr>
              <w:t>Ⅴ</w:t>
            </w:r>
            <w:r>
              <w:rPr>
                <w:rFonts w:hint="eastAsia"/>
                <w:sz w:val="21"/>
                <w:szCs w:val="21"/>
              </w:rPr>
              <w:t>类□</w:t>
            </w:r>
          </w:p>
          <w:p w14:paraId="56548210" w14:textId="77777777" w:rsidR="009D12AF" w:rsidRDefault="00000000">
            <w:pPr>
              <w:spacing w:line="240" w:lineRule="auto"/>
              <w:ind w:firstLineChars="0" w:firstLine="0"/>
              <w:jc w:val="center"/>
              <w:rPr>
                <w:sz w:val="21"/>
                <w:szCs w:val="21"/>
              </w:rPr>
            </w:pPr>
            <w:r>
              <w:rPr>
                <w:rFonts w:hint="eastAsia"/>
                <w:sz w:val="21"/>
                <w:szCs w:val="21"/>
              </w:rPr>
              <w:t>近岸海域：第一类</w:t>
            </w:r>
            <w:r>
              <w:rPr>
                <w:sz w:val="21"/>
                <w:szCs w:val="21"/>
              </w:rPr>
              <w:t>□</w:t>
            </w:r>
            <w:r>
              <w:rPr>
                <w:rFonts w:hint="eastAsia"/>
                <w:sz w:val="21"/>
                <w:szCs w:val="21"/>
              </w:rPr>
              <w:t>；第二类</w:t>
            </w:r>
            <w:r>
              <w:rPr>
                <w:sz w:val="21"/>
                <w:szCs w:val="21"/>
              </w:rPr>
              <w:t>□</w:t>
            </w:r>
            <w:r>
              <w:rPr>
                <w:rFonts w:hint="eastAsia"/>
                <w:sz w:val="21"/>
                <w:szCs w:val="21"/>
              </w:rPr>
              <w:t>；第三类</w:t>
            </w:r>
            <w:r>
              <w:rPr>
                <w:sz w:val="21"/>
                <w:szCs w:val="21"/>
              </w:rPr>
              <w:t>□</w:t>
            </w:r>
            <w:r>
              <w:rPr>
                <w:rFonts w:hint="eastAsia"/>
                <w:sz w:val="21"/>
                <w:szCs w:val="21"/>
              </w:rPr>
              <w:t>；第四类</w:t>
            </w:r>
            <w:r>
              <w:rPr>
                <w:sz w:val="21"/>
                <w:szCs w:val="21"/>
              </w:rPr>
              <w:t>□</w:t>
            </w:r>
          </w:p>
          <w:p w14:paraId="030E85F2" w14:textId="77777777" w:rsidR="009D12AF" w:rsidRDefault="00000000">
            <w:pPr>
              <w:spacing w:line="240" w:lineRule="auto"/>
              <w:ind w:firstLineChars="0" w:firstLine="0"/>
              <w:jc w:val="center"/>
              <w:rPr>
                <w:sz w:val="21"/>
                <w:szCs w:val="21"/>
              </w:rPr>
            </w:pPr>
            <w:r>
              <w:rPr>
                <w:rFonts w:hint="eastAsia"/>
                <w:sz w:val="21"/>
                <w:szCs w:val="21"/>
              </w:rPr>
              <w:t>规划年评价标准（</w:t>
            </w:r>
            <w:r>
              <w:rPr>
                <w:sz w:val="21"/>
                <w:szCs w:val="21"/>
              </w:rPr>
              <w:t>Ⅲ</w:t>
            </w:r>
            <w:r>
              <w:rPr>
                <w:rFonts w:hint="eastAsia"/>
                <w:sz w:val="21"/>
                <w:szCs w:val="21"/>
              </w:rPr>
              <w:t>类）</w:t>
            </w:r>
          </w:p>
        </w:tc>
      </w:tr>
      <w:tr w:rsidR="009D12AF" w14:paraId="50A6E122" w14:textId="77777777">
        <w:trPr>
          <w:trHeight w:val="20"/>
          <w:jc w:val="center"/>
        </w:trPr>
        <w:tc>
          <w:tcPr>
            <w:tcW w:w="392" w:type="dxa"/>
            <w:vMerge/>
            <w:vAlign w:val="center"/>
          </w:tcPr>
          <w:p w14:paraId="17B73212" w14:textId="77777777" w:rsidR="009D12AF" w:rsidRDefault="009D12AF">
            <w:pPr>
              <w:widowControl/>
              <w:spacing w:line="240" w:lineRule="auto"/>
              <w:ind w:firstLineChars="0" w:firstLine="0"/>
              <w:jc w:val="center"/>
              <w:rPr>
                <w:rFonts w:eastAsia="Times New Roman"/>
                <w:sz w:val="21"/>
                <w:szCs w:val="21"/>
              </w:rPr>
            </w:pPr>
          </w:p>
        </w:tc>
        <w:tc>
          <w:tcPr>
            <w:tcW w:w="2551" w:type="dxa"/>
            <w:vAlign w:val="center"/>
          </w:tcPr>
          <w:p w14:paraId="6A088C1E"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评价时期</w:t>
            </w:r>
          </w:p>
        </w:tc>
        <w:tc>
          <w:tcPr>
            <w:tcW w:w="11231" w:type="dxa"/>
            <w:gridSpan w:val="11"/>
            <w:vAlign w:val="center"/>
          </w:tcPr>
          <w:p w14:paraId="64F441D9" w14:textId="77777777" w:rsidR="009D12AF" w:rsidRDefault="00000000">
            <w:pPr>
              <w:spacing w:line="240" w:lineRule="auto"/>
              <w:ind w:firstLineChars="0" w:firstLine="0"/>
              <w:jc w:val="center"/>
              <w:rPr>
                <w:sz w:val="21"/>
                <w:szCs w:val="21"/>
              </w:rPr>
            </w:pPr>
            <w:r>
              <w:rPr>
                <w:rFonts w:hAnsi="宋体" w:hint="eastAsia"/>
                <w:sz w:val="21"/>
                <w:szCs w:val="21"/>
              </w:rPr>
              <w:t>丰水期</w:t>
            </w:r>
            <w:r>
              <w:rPr>
                <w:sz w:val="21"/>
                <w:szCs w:val="21"/>
              </w:rPr>
              <w:t>□</w:t>
            </w:r>
            <w:r>
              <w:rPr>
                <w:rFonts w:hint="eastAsia"/>
                <w:sz w:val="21"/>
                <w:szCs w:val="21"/>
              </w:rPr>
              <w:t>；平水期</w:t>
            </w:r>
            <w:r>
              <w:rPr>
                <w:sz w:val="21"/>
                <w:szCs w:val="21"/>
              </w:rPr>
              <w:t>□</w:t>
            </w:r>
            <w:r>
              <w:rPr>
                <w:rFonts w:hint="eastAsia"/>
                <w:sz w:val="21"/>
                <w:szCs w:val="21"/>
              </w:rPr>
              <w:t>；枯水期</w:t>
            </w:r>
            <w:r>
              <w:rPr>
                <w:sz w:val="21"/>
                <w:szCs w:val="21"/>
              </w:rPr>
              <w:t>□</w:t>
            </w:r>
            <w:r>
              <w:rPr>
                <w:rFonts w:hint="eastAsia"/>
                <w:sz w:val="21"/>
                <w:szCs w:val="21"/>
              </w:rPr>
              <w:t>；冰封期</w:t>
            </w:r>
            <w:r>
              <w:rPr>
                <w:sz w:val="21"/>
                <w:szCs w:val="21"/>
              </w:rPr>
              <w:t>□</w:t>
            </w:r>
          </w:p>
          <w:p w14:paraId="098F11B4" w14:textId="77777777" w:rsidR="009D12AF" w:rsidRDefault="00000000">
            <w:pPr>
              <w:spacing w:line="240" w:lineRule="auto"/>
              <w:ind w:firstLineChars="0" w:firstLine="0"/>
              <w:jc w:val="center"/>
              <w:rPr>
                <w:rFonts w:eastAsia="Times New Roman"/>
                <w:sz w:val="21"/>
                <w:szCs w:val="21"/>
              </w:rPr>
            </w:pPr>
            <w:r>
              <w:rPr>
                <w:rFonts w:hint="eastAsia"/>
                <w:sz w:val="21"/>
                <w:szCs w:val="21"/>
              </w:rPr>
              <w:t>春季</w:t>
            </w:r>
            <w:r>
              <w:rPr>
                <w:sz w:val="21"/>
                <w:szCs w:val="21"/>
              </w:rPr>
              <w:t>□</w:t>
            </w:r>
            <w:r>
              <w:rPr>
                <w:rFonts w:hint="eastAsia"/>
                <w:sz w:val="21"/>
                <w:szCs w:val="21"/>
              </w:rPr>
              <w:t>；夏季</w:t>
            </w:r>
            <w:r>
              <w:rPr>
                <w:sz w:val="21"/>
                <w:szCs w:val="21"/>
              </w:rPr>
              <w:t>□</w:t>
            </w:r>
            <w:r>
              <w:rPr>
                <w:rFonts w:hint="eastAsia"/>
                <w:sz w:val="21"/>
                <w:szCs w:val="21"/>
              </w:rPr>
              <w:t>；秋季</w:t>
            </w:r>
            <w:r>
              <w:rPr>
                <w:sz w:val="21"/>
                <w:szCs w:val="21"/>
              </w:rPr>
              <w:t>□</w:t>
            </w:r>
            <w:r>
              <w:rPr>
                <w:rFonts w:hint="eastAsia"/>
                <w:sz w:val="21"/>
                <w:szCs w:val="21"/>
              </w:rPr>
              <w:t>；冬季</w:t>
            </w:r>
            <w:r>
              <w:rPr>
                <w:sz w:val="21"/>
                <w:szCs w:val="21"/>
              </w:rPr>
              <w:t>□</w:t>
            </w:r>
          </w:p>
        </w:tc>
      </w:tr>
      <w:tr w:rsidR="009D12AF" w14:paraId="6CAC7F30" w14:textId="77777777">
        <w:trPr>
          <w:trHeight w:val="20"/>
          <w:jc w:val="center"/>
        </w:trPr>
        <w:tc>
          <w:tcPr>
            <w:tcW w:w="392" w:type="dxa"/>
            <w:vMerge/>
            <w:vAlign w:val="center"/>
          </w:tcPr>
          <w:p w14:paraId="2D17BEC7" w14:textId="77777777" w:rsidR="009D12AF" w:rsidRDefault="009D12AF">
            <w:pPr>
              <w:widowControl/>
              <w:spacing w:line="240" w:lineRule="auto"/>
              <w:ind w:firstLineChars="0" w:firstLine="0"/>
              <w:jc w:val="center"/>
              <w:rPr>
                <w:rFonts w:eastAsia="Times New Roman"/>
                <w:sz w:val="21"/>
                <w:szCs w:val="21"/>
              </w:rPr>
            </w:pPr>
          </w:p>
        </w:tc>
        <w:tc>
          <w:tcPr>
            <w:tcW w:w="2551" w:type="dxa"/>
            <w:vAlign w:val="center"/>
          </w:tcPr>
          <w:p w14:paraId="02FEA194"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评价结论</w:t>
            </w:r>
          </w:p>
        </w:tc>
        <w:tc>
          <w:tcPr>
            <w:tcW w:w="9639" w:type="dxa"/>
            <w:gridSpan w:val="10"/>
            <w:vAlign w:val="center"/>
          </w:tcPr>
          <w:p w14:paraId="7D89509A" w14:textId="77777777" w:rsidR="009D12AF" w:rsidRDefault="00000000">
            <w:pPr>
              <w:spacing w:line="240" w:lineRule="auto"/>
              <w:ind w:firstLineChars="0" w:firstLine="0"/>
              <w:jc w:val="center"/>
              <w:rPr>
                <w:sz w:val="21"/>
                <w:szCs w:val="21"/>
              </w:rPr>
            </w:pPr>
            <w:r>
              <w:rPr>
                <w:rFonts w:hint="eastAsia"/>
                <w:sz w:val="21"/>
                <w:szCs w:val="21"/>
              </w:rPr>
              <w:t>水环境功能区或水功能区、近岸海域环境功能区水质达标状况</w:t>
            </w:r>
            <w:r>
              <w:rPr>
                <w:sz w:val="21"/>
                <w:szCs w:val="21"/>
              </w:rPr>
              <w:t>□</w:t>
            </w:r>
            <w:r>
              <w:rPr>
                <w:rFonts w:hint="eastAsia"/>
                <w:sz w:val="21"/>
                <w:szCs w:val="21"/>
              </w:rPr>
              <w:t>：达标☑；不达标</w:t>
            </w:r>
            <w:r>
              <w:rPr>
                <w:sz w:val="21"/>
                <w:szCs w:val="21"/>
              </w:rPr>
              <w:t>□</w:t>
            </w:r>
          </w:p>
          <w:p w14:paraId="17E619BD" w14:textId="77777777" w:rsidR="009D12AF" w:rsidRDefault="00000000">
            <w:pPr>
              <w:spacing w:line="240" w:lineRule="auto"/>
              <w:ind w:firstLineChars="0" w:firstLine="0"/>
              <w:jc w:val="center"/>
              <w:rPr>
                <w:sz w:val="21"/>
                <w:szCs w:val="21"/>
              </w:rPr>
            </w:pPr>
            <w:r>
              <w:rPr>
                <w:rFonts w:hint="eastAsia"/>
                <w:sz w:val="21"/>
                <w:szCs w:val="21"/>
              </w:rPr>
              <w:t>水环境控制单元或断面水质达标状况</w:t>
            </w:r>
            <w:r>
              <w:rPr>
                <w:sz w:val="21"/>
                <w:szCs w:val="21"/>
              </w:rPr>
              <w:t>□</w:t>
            </w:r>
            <w:r>
              <w:rPr>
                <w:rFonts w:hint="eastAsia"/>
                <w:sz w:val="21"/>
                <w:szCs w:val="21"/>
              </w:rPr>
              <w:t>：达标☑；不达标</w:t>
            </w:r>
            <w:r>
              <w:rPr>
                <w:sz w:val="21"/>
                <w:szCs w:val="21"/>
              </w:rPr>
              <w:t>□</w:t>
            </w:r>
          </w:p>
          <w:p w14:paraId="71762087" w14:textId="77777777" w:rsidR="009D12AF" w:rsidRDefault="00000000">
            <w:pPr>
              <w:spacing w:line="240" w:lineRule="auto"/>
              <w:ind w:firstLineChars="0" w:firstLine="0"/>
              <w:jc w:val="center"/>
              <w:rPr>
                <w:sz w:val="21"/>
                <w:szCs w:val="21"/>
              </w:rPr>
            </w:pPr>
            <w:r>
              <w:rPr>
                <w:rFonts w:hint="eastAsia"/>
                <w:sz w:val="21"/>
                <w:szCs w:val="21"/>
              </w:rPr>
              <w:t>水环境保护目标质量状况</w:t>
            </w:r>
            <w:r>
              <w:rPr>
                <w:sz w:val="21"/>
                <w:szCs w:val="21"/>
              </w:rPr>
              <w:t>□</w:t>
            </w:r>
            <w:r>
              <w:rPr>
                <w:rFonts w:hint="eastAsia"/>
                <w:sz w:val="21"/>
                <w:szCs w:val="21"/>
              </w:rPr>
              <w:t>：达标☑；不达标</w:t>
            </w:r>
            <w:r>
              <w:rPr>
                <w:sz w:val="21"/>
                <w:szCs w:val="21"/>
              </w:rPr>
              <w:t>□</w:t>
            </w:r>
          </w:p>
          <w:p w14:paraId="5BCAD613" w14:textId="77777777" w:rsidR="009D12AF" w:rsidRDefault="00000000">
            <w:pPr>
              <w:spacing w:line="240" w:lineRule="auto"/>
              <w:ind w:firstLineChars="0" w:firstLine="0"/>
              <w:jc w:val="center"/>
              <w:rPr>
                <w:sz w:val="21"/>
                <w:szCs w:val="21"/>
              </w:rPr>
            </w:pPr>
            <w:r>
              <w:rPr>
                <w:rFonts w:hint="eastAsia"/>
                <w:sz w:val="21"/>
                <w:szCs w:val="21"/>
              </w:rPr>
              <w:t>对照断面、控制断面等代表性断面的水质状况</w:t>
            </w:r>
            <w:r>
              <w:rPr>
                <w:sz w:val="21"/>
                <w:szCs w:val="21"/>
              </w:rPr>
              <w:t>□</w:t>
            </w:r>
            <w:r>
              <w:rPr>
                <w:rFonts w:hint="eastAsia"/>
                <w:sz w:val="21"/>
                <w:szCs w:val="21"/>
              </w:rPr>
              <w:t>；达标☑；不达标</w:t>
            </w:r>
            <w:r>
              <w:rPr>
                <w:sz w:val="21"/>
                <w:szCs w:val="21"/>
              </w:rPr>
              <w:t>□</w:t>
            </w:r>
          </w:p>
          <w:p w14:paraId="0F837AA3" w14:textId="77777777" w:rsidR="009D12AF" w:rsidRDefault="00000000">
            <w:pPr>
              <w:spacing w:line="240" w:lineRule="auto"/>
              <w:ind w:firstLineChars="0" w:firstLine="0"/>
              <w:jc w:val="center"/>
              <w:rPr>
                <w:sz w:val="21"/>
                <w:szCs w:val="21"/>
              </w:rPr>
            </w:pPr>
            <w:r>
              <w:rPr>
                <w:rFonts w:hint="eastAsia"/>
                <w:sz w:val="21"/>
                <w:szCs w:val="21"/>
              </w:rPr>
              <w:t>底泥污染评价☑</w:t>
            </w:r>
          </w:p>
          <w:p w14:paraId="420469A0" w14:textId="77777777" w:rsidR="009D12AF" w:rsidRDefault="00000000">
            <w:pPr>
              <w:spacing w:line="240" w:lineRule="auto"/>
              <w:ind w:firstLineChars="0" w:firstLine="0"/>
              <w:jc w:val="center"/>
              <w:rPr>
                <w:sz w:val="21"/>
                <w:szCs w:val="21"/>
              </w:rPr>
            </w:pPr>
            <w:r>
              <w:rPr>
                <w:rFonts w:hint="eastAsia"/>
                <w:sz w:val="21"/>
                <w:szCs w:val="21"/>
              </w:rPr>
              <w:t>水资源与开发利用程度及其水文情势评价☑</w:t>
            </w:r>
          </w:p>
          <w:p w14:paraId="3E54F19F" w14:textId="77777777" w:rsidR="009D12AF" w:rsidRDefault="00000000">
            <w:pPr>
              <w:spacing w:line="240" w:lineRule="auto"/>
              <w:ind w:firstLineChars="0" w:firstLine="0"/>
              <w:jc w:val="center"/>
              <w:rPr>
                <w:sz w:val="21"/>
                <w:szCs w:val="21"/>
              </w:rPr>
            </w:pPr>
            <w:r>
              <w:rPr>
                <w:rFonts w:hint="eastAsia"/>
                <w:sz w:val="21"/>
                <w:szCs w:val="21"/>
              </w:rPr>
              <w:t>水环境质量回顾评价</w:t>
            </w:r>
            <w:r>
              <w:rPr>
                <w:sz w:val="21"/>
                <w:szCs w:val="21"/>
              </w:rPr>
              <w:t>□</w:t>
            </w:r>
          </w:p>
          <w:p w14:paraId="5BC63A13" w14:textId="77777777" w:rsidR="009D12AF" w:rsidRDefault="00000000">
            <w:pPr>
              <w:spacing w:line="240" w:lineRule="auto"/>
              <w:ind w:firstLineChars="0" w:firstLine="0"/>
              <w:jc w:val="center"/>
              <w:rPr>
                <w:sz w:val="21"/>
                <w:szCs w:val="21"/>
              </w:rPr>
            </w:pPr>
            <w:r>
              <w:rPr>
                <w:rFonts w:hint="eastAsia"/>
                <w:sz w:val="21"/>
                <w:szCs w:val="21"/>
              </w:rPr>
              <w:t>流域（区域）水资源（包括水能资源）与开发利用总体状况、生态流量管理要求与现状满足程度、建设项目占用水域空间的水流状况与河湖演变状况</w:t>
            </w:r>
            <w:r>
              <w:rPr>
                <w:sz w:val="21"/>
                <w:szCs w:val="21"/>
              </w:rPr>
              <w:t>□</w:t>
            </w:r>
          </w:p>
        </w:tc>
        <w:tc>
          <w:tcPr>
            <w:tcW w:w="1592" w:type="dxa"/>
            <w:vAlign w:val="center"/>
          </w:tcPr>
          <w:p w14:paraId="5EAED885" w14:textId="77777777" w:rsidR="009D12AF" w:rsidRDefault="00000000">
            <w:pPr>
              <w:spacing w:line="240" w:lineRule="auto"/>
              <w:ind w:firstLineChars="0" w:firstLine="0"/>
              <w:jc w:val="center"/>
              <w:rPr>
                <w:sz w:val="21"/>
                <w:szCs w:val="21"/>
              </w:rPr>
            </w:pPr>
            <w:r>
              <w:rPr>
                <w:rFonts w:hint="eastAsia"/>
                <w:sz w:val="21"/>
                <w:szCs w:val="21"/>
              </w:rPr>
              <w:t>达标区</w:t>
            </w:r>
            <w:r>
              <w:rPr>
                <w:rFonts w:eastAsia="Times New Roman"/>
                <w:sz w:val="21"/>
                <w:szCs w:val="21"/>
              </w:rPr>
              <w:t>√</w:t>
            </w:r>
          </w:p>
          <w:p w14:paraId="74B55C8D" w14:textId="77777777" w:rsidR="009D12AF" w:rsidRDefault="00000000">
            <w:pPr>
              <w:spacing w:line="240" w:lineRule="auto"/>
              <w:ind w:firstLineChars="0" w:firstLine="0"/>
              <w:jc w:val="center"/>
              <w:rPr>
                <w:rFonts w:eastAsia="Times New Roman"/>
                <w:sz w:val="21"/>
                <w:szCs w:val="21"/>
              </w:rPr>
            </w:pPr>
            <w:r>
              <w:rPr>
                <w:rFonts w:hint="eastAsia"/>
                <w:sz w:val="21"/>
                <w:szCs w:val="21"/>
              </w:rPr>
              <w:t>不达标区</w:t>
            </w:r>
            <w:r>
              <w:rPr>
                <w:sz w:val="21"/>
                <w:szCs w:val="21"/>
              </w:rPr>
              <w:t>□</w:t>
            </w:r>
          </w:p>
        </w:tc>
      </w:tr>
      <w:tr w:rsidR="009D12AF" w14:paraId="686D81AB" w14:textId="77777777">
        <w:trPr>
          <w:trHeight w:val="20"/>
          <w:jc w:val="center"/>
        </w:trPr>
        <w:tc>
          <w:tcPr>
            <w:tcW w:w="392" w:type="dxa"/>
            <w:vMerge w:val="restart"/>
            <w:vAlign w:val="center"/>
          </w:tcPr>
          <w:p w14:paraId="309838EB"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影响预测</w:t>
            </w:r>
          </w:p>
        </w:tc>
        <w:tc>
          <w:tcPr>
            <w:tcW w:w="2551" w:type="dxa"/>
            <w:vAlign w:val="center"/>
          </w:tcPr>
          <w:p w14:paraId="5ACC592D"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预测范围</w:t>
            </w:r>
          </w:p>
        </w:tc>
        <w:tc>
          <w:tcPr>
            <w:tcW w:w="11231" w:type="dxa"/>
            <w:gridSpan w:val="11"/>
            <w:vAlign w:val="center"/>
          </w:tcPr>
          <w:p w14:paraId="6C85E9F6"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河流：长度（）</w:t>
            </w:r>
            <w:r>
              <w:rPr>
                <w:rFonts w:eastAsia="Times New Roman"/>
                <w:sz w:val="21"/>
                <w:szCs w:val="21"/>
              </w:rPr>
              <w:t>km</w:t>
            </w:r>
            <w:r>
              <w:rPr>
                <w:rFonts w:hAnsi="宋体" w:hint="eastAsia"/>
                <w:sz w:val="21"/>
                <w:szCs w:val="21"/>
              </w:rPr>
              <w:t>；湖库、河口及近岸海域：面积（）</w:t>
            </w:r>
            <w:r>
              <w:rPr>
                <w:rFonts w:eastAsia="Times New Roman"/>
                <w:sz w:val="21"/>
                <w:szCs w:val="21"/>
              </w:rPr>
              <w:t>km</w:t>
            </w:r>
            <w:r>
              <w:rPr>
                <w:sz w:val="21"/>
                <w:szCs w:val="21"/>
                <w:vertAlign w:val="superscript"/>
              </w:rPr>
              <w:t>2</w:t>
            </w:r>
          </w:p>
        </w:tc>
      </w:tr>
      <w:tr w:rsidR="009D12AF" w14:paraId="7046DDAA" w14:textId="77777777">
        <w:trPr>
          <w:trHeight w:val="20"/>
          <w:jc w:val="center"/>
        </w:trPr>
        <w:tc>
          <w:tcPr>
            <w:tcW w:w="392" w:type="dxa"/>
            <w:vMerge/>
            <w:vAlign w:val="center"/>
          </w:tcPr>
          <w:p w14:paraId="4C146E56" w14:textId="77777777" w:rsidR="009D12AF" w:rsidRDefault="009D12AF">
            <w:pPr>
              <w:widowControl/>
              <w:spacing w:line="240" w:lineRule="auto"/>
              <w:ind w:firstLineChars="0" w:firstLine="0"/>
              <w:jc w:val="center"/>
              <w:rPr>
                <w:rFonts w:eastAsia="Times New Roman"/>
                <w:sz w:val="21"/>
                <w:szCs w:val="21"/>
              </w:rPr>
            </w:pPr>
          </w:p>
        </w:tc>
        <w:tc>
          <w:tcPr>
            <w:tcW w:w="2551" w:type="dxa"/>
            <w:vAlign w:val="center"/>
          </w:tcPr>
          <w:p w14:paraId="46D9C4B0" w14:textId="77777777" w:rsidR="009D12AF" w:rsidRDefault="00000000">
            <w:pPr>
              <w:spacing w:line="240" w:lineRule="auto"/>
              <w:ind w:firstLineChars="0" w:firstLine="0"/>
              <w:jc w:val="center"/>
              <w:rPr>
                <w:sz w:val="21"/>
                <w:szCs w:val="21"/>
              </w:rPr>
            </w:pPr>
            <w:r>
              <w:rPr>
                <w:rFonts w:hAnsi="宋体" w:hint="eastAsia"/>
                <w:sz w:val="21"/>
                <w:szCs w:val="21"/>
              </w:rPr>
              <w:t>预测因子</w:t>
            </w:r>
          </w:p>
        </w:tc>
        <w:tc>
          <w:tcPr>
            <w:tcW w:w="11231" w:type="dxa"/>
            <w:gridSpan w:val="11"/>
            <w:vAlign w:val="center"/>
          </w:tcPr>
          <w:p w14:paraId="2B5B7FE9" w14:textId="77777777" w:rsidR="009D12AF" w:rsidRDefault="00000000">
            <w:pPr>
              <w:spacing w:line="240" w:lineRule="auto"/>
              <w:ind w:firstLineChars="0" w:firstLine="0"/>
              <w:jc w:val="center"/>
              <w:rPr>
                <w:sz w:val="21"/>
                <w:szCs w:val="21"/>
              </w:rPr>
            </w:pPr>
            <w:r>
              <w:rPr>
                <w:rFonts w:hAnsi="宋体" w:hint="eastAsia"/>
                <w:sz w:val="21"/>
                <w:szCs w:val="21"/>
              </w:rPr>
              <w:t>（）</w:t>
            </w:r>
          </w:p>
        </w:tc>
      </w:tr>
      <w:tr w:rsidR="009D12AF" w14:paraId="5D42E67D" w14:textId="77777777">
        <w:trPr>
          <w:trHeight w:val="20"/>
          <w:jc w:val="center"/>
        </w:trPr>
        <w:tc>
          <w:tcPr>
            <w:tcW w:w="392" w:type="dxa"/>
            <w:vMerge/>
            <w:vAlign w:val="center"/>
          </w:tcPr>
          <w:p w14:paraId="69B2C2A8" w14:textId="77777777" w:rsidR="009D12AF" w:rsidRDefault="009D12AF">
            <w:pPr>
              <w:widowControl/>
              <w:spacing w:line="240" w:lineRule="auto"/>
              <w:ind w:firstLineChars="0" w:firstLine="0"/>
              <w:jc w:val="center"/>
              <w:rPr>
                <w:rFonts w:eastAsia="Times New Roman"/>
                <w:sz w:val="21"/>
                <w:szCs w:val="21"/>
              </w:rPr>
            </w:pPr>
          </w:p>
        </w:tc>
        <w:tc>
          <w:tcPr>
            <w:tcW w:w="2551" w:type="dxa"/>
            <w:vAlign w:val="center"/>
          </w:tcPr>
          <w:p w14:paraId="09E2A9A3"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预测时期</w:t>
            </w:r>
          </w:p>
        </w:tc>
        <w:tc>
          <w:tcPr>
            <w:tcW w:w="11231" w:type="dxa"/>
            <w:gridSpan w:val="11"/>
            <w:vAlign w:val="center"/>
          </w:tcPr>
          <w:p w14:paraId="57927654" w14:textId="77777777" w:rsidR="009D12AF" w:rsidRDefault="00000000">
            <w:pPr>
              <w:spacing w:line="240" w:lineRule="auto"/>
              <w:ind w:firstLineChars="0" w:firstLine="0"/>
              <w:jc w:val="center"/>
              <w:rPr>
                <w:sz w:val="21"/>
                <w:szCs w:val="21"/>
              </w:rPr>
            </w:pPr>
            <w:r>
              <w:rPr>
                <w:rFonts w:hAnsi="宋体" w:hint="eastAsia"/>
                <w:sz w:val="21"/>
                <w:szCs w:val="21"/>
              </w:rPr>
              <w:t>丰水期</w:t>
            </w:r>
            <w:r>
              <w:rPr>
                <w:sz w:val="21"/>
                <w:szCs w:val="21"/>
              </w:rPr>
              <w:t>□</w:t>
            </w:r>
            <w:r>
              <w:rPr>
                <w:rFonts w:hint="eastAsia"/>
                <w:sz w:val="21"/>
                <w:szCs w:val="21"/>
              </w:rPr>
              <w:t>；平水期</w:t>
            </w:r>
            <w:r>
              <w:rPr>
                <w:sz w:val="21"/>
                <w:szCs w:val="21"/>
              </w:rPr>
              <w:t>□</w:t>
            </w:r>
            <w:r>
              <w:rPr>
                <w:rFonts w:hint="eastAsia"/>
                <w:sz w:val="21"/>
                <w:szCs w:val="21"/>
              </w:rPr>
              <w:t>；枯水期</w:t>
            </w:r>
            <w:r>
              <w:rPr>
                <w:sz w:val="21"/>
                <w:szCs w:val="21"/>
              </w:rPr>
              <w:t>□</w:t>
            </w:r>
            <w:r>
              <w:rPr>
                <w:rFonts w:hint="eastAsia"/>
                <w:sz w:val="21"/>
                <w:szCs w:val="21"/>
              </w:rPr>
              <w:t>；冰封期</w:t>
            </w:r>
            <w:r>
              <w:rPr>
                <w:sz w:val="21"/>
                <w:szCs w:val="21"/>
              </w:rPr>
              <w:t>□</w:t>
            </w:r>
          </w:p>
          <w:p w14:paraId="28D2637C" w14:textId="77777777" w:rsidR="009D12AF" w:rsidRDefault="00000000">
            <w:pPr>
              <w:spacing w:line="240" w:lineRule="auto"/>
              <w:ind w:firstLineChars="0" w:firstLine="0"/>
              <w:jc w:val="center"/>
              <w:rPr>
                <w:sz w:val="21"/>
                <w:szCs w:val="21"/>
              </w:rPr>
            </w:pPr>
            <w:r>
              <w:rPr>
                <w:rFonts w:hint="eastAsia"/>
                <w:sz w:val="21"/>
                <w:szCs w:val="21"/>
              </w:rPr>
              <w:t>春季</w:t>
            </w:r>
            <w:r>
              <w:rPr>
                <w:sz w:val="21"/>
                <w:szCs w:val="21"/>
              </w:rPr>
              <w:t>□</w:t>
            </w:r>
            <w:r>
              <w:rPr>
                <w:rFonts w:hint="eastAsia"/>
                <w:sz w:val="21"/>
                <w:szCs w:val="21"/>
              </w:rPr>
              <w:t>；夏季</w:t>
            </w:r>
            <w:r>
              <w:rPr>
                <w:sz w:val="21"/>
                <w:szCs w:val="21"/>
              </w:rPr>
              <w:t>□</w:t>
            </w:r>
            <w:r>
              <w:rPr>
                <w:rFonts w:hint="eastAsia"/>
                <w:sz w:val="21"/>
                <w:szCs w:val="21"/>
              </w:rPr>
              <w:t>；秋季</w:t>
            </w:r>
            <w:r>
              <w:rPr>
                <w:sz w:val="21"/>
                <w:szCs w:val="21"/>
              </w:rPr>
              <w:t>□</w:t>
            </w:r>
            <w:r>
              <w:rPr>
                <w:rFonts w:hint="eastAsia"/>
                <w:sz w:val="21"/>
                <w:szCs w:val="21"/>
              </w:rPr>
              <w:t>；冬季</w:t>
            </w:r>
            <w:r>
              <w:rPr>
                <w:sz w:val="21"/>
                <w:szCs w:val="21"/>
              </w:rPr>
              <w:t>□</w:t>
            </w:r>
          </w:p>
          <w:p w14:paraId="2A3F6643" w14:textId="77777777" w:rsidR="009D12AF" w:rsidRDefault="00000000">
            <w:pPr>
              <w:spacing w:line="240" w:lineRule="auto"/>
              <w:ind w:firstLineChars="0" w:firstLine="0"/>
              <w:jc w:val="center"/>
              <w:rPr>
                <w:sz w:val="21"/>
                <w:szCs w:val="21"/>
              </w:rPr>
            </w:pPr>
            <w:r>
              <w:rPr>
                <w:rFonts w:hint="eastAsia"/>
                <w:sz w:val="21"/>
                <w:szCs w:val="21"/>
              </w:rPr>
              <w:t>设计水文条件</w:t>
            </w:r>
            <w:r>
              <w:rPr>
                <w:sz w:val="21"/>
                <w:szCs w:val="21"/>
              </w:rPr>
              <w:t>□</w:t>
            </w:r>
          </w:p>
        </w:tc>
      </w:tr>
      <w:tr w:rsidR="009D12AF" w14:paraId="609CDD2C" w14:textId="77777777">
        <w:trPr>
          <w:trHeight w:val="20"/>
          <w:jc w:val="center"/>
        </w:trPr>
        <w:tc>
          <w:tcPr>
            <w:tcW w:w="392" w:type="dxa"/>
            <w:vMerge/>
            <w:vAlign w:val="center"/>
          </w:tcPr>
          <w:p w14:paraId="6A91348E" w14:textId="77777777" w:rsidR="009D12AF" w:rsidRDefault="009D12AF">
            <w:pPr>
              <w:widowControl/>
              <w:spacing w:line="240" w:lineRule="auto"/>
              <w:ind w:firstLineChars="0" w:firstLine="0"/>
              <w:jc w:val="center"/>
              <w:rPr>
                <w:rFonts w:eastAsia="Times New Roman"/>
                <w:sz w:val="21"/>
                <w:szCs w:val="21"/>
              </w:rPr>
            </w:pPr>
          </w:p>
        </w:tc>
        <w:tc>
          <w:tcPr>
            <w:tcW w:w="2551" w:type="dxa"/>
            <w:vAlign w:val="center"/>
          </w:tcPr>
          <w:p w14:paraId="5F9A220C"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预测情景</w:t>
            </w:r>
          </w:p>
        </w:tc>
        <w:tc>
          <w:tcPr>
            <w:tcW w:w="11231" w:type="dxa"/>
            <w:gridSpan w:val="11"/>
            <w:vAlign w:val="center"/>
          </w:tcPr>
          <w:p w14:paraId="371906DE" w14:textId="77777777" w:rsidR="009D12AF" w:rsidRDefault="00000000">
            <w:pPr>
              <w:spacing w:line="240" w:lineRule="auto"/>
              <w:ind w:firstLineChars="0" w:firstLine="0"/>
              <w:jc w:val="center"/>
              <w:rPr>
                <w:sz w:val="21"/>
                <w:szCs w:val="21"/>
              </w:rPr>
            </w:pPr>
            <w:r>
              <w:rPr>
                <w:rFonts w:hAnsi="宋体" w:hint="eastAsia"/>
                <w:sz w:val="21"/>
                <w:szCs w:val="21"/>
              </w:rPr>
              <w:t>建设期</w:t>
            </w:r>
            <w:r>
              <w:rPr>
                <w:sz w:val="21"/>
                <w:szCs w:val="21"/>
              </w:rPr>
              <w:t>□</w:t>
            </w:r>
            <w:r>
              <w:rPr>
                <w:rFonts w:hAnsi="宋体" w:hint="eastAsia"/>
                <w:sz w:val="21"/>
                <w:szCs w:val="21"/>
              </w:rPr>
              <w:t>；生产运行期</w:t>
            </w:r>
            <w:r>
              <w:rPr>
                <w:sz w:val="21"/>
                <w:szCs w:val="21"/>
              </w:rPr>
              <w:t>□</w:t>
            </w:r>
            <w:r>
              <w:rPr>
                <w:rFonts w:hAnsi="宋体" w:hint="eastAsia"/>
                <w:sz w:val="21"/>
                <w:szCs w:val="21"/>
              </w:rPr>
              <w:t>；服务器满后</w:t>
            </w:r>
            <w:r>
              <w:rPr>
                <w:sz w:val="21"/>
                <w:szCs w:val="21"/>
              </w:rPr>
              <w:t>□</w:t>
            </w:r>
          </w:p>
          <w:p w14:paraId="56294AB0" w14:textId="77777777" w:rsidR="009D12AF" w:rsidRDefault="00000000">
            <w:pPr>
              <w:spacing w:line="240" w:lineRule="auto"/>
              <w:ind w:firstLineChars="0" w:firstLine="0"/>
              <w:jc w:val="center"/>
              <w:rPr>
                <w:sz w:val="21"/>
                <w:szCs w:val="21"/>
              </w:rPr>
            </w:pPr>
            <w:r>
              <w:rPr>
                <w:rFonts w:hint="eastAsia"/>
                <w:sz w:val="21"/>
                <w:szCs w:val="21"/>
              </w:rPr>
              <w:t>正常工况</w:t>
            </w:r>
            <w:r>
              <w:rPr>
                <w:sz w:val="21"/>
                <w:szCs w:val="21"/>
              </w:rPr>
              <w:t>□</w:t>
            </w:r>
            <w:r>
              <w:rPr>
                <w:rFonts w:hint="eastAsia"/>
                <w:sz w:val="21"/>
                <w:szCs w:val="21"/>
              </w:rPr>
              <w:t>；非正常工况</w:t>
            </w:r>
            <w:r>
              <w:rPr>
                <w:sz w:val="21"/>
                <w:szCs w:val="21"/>
              </w:rPr>
              <w:t>□</w:t>
            </w:r>
          </w:p>
          <w:p w14:paraId="09232C31" w14:textId="77777777" w:rsidR="009D12AF" w:rsidRDefault="00000000">
            <w:pPr>
              <w:spacing w:line="240" w:lineRule="auto"/>
              <w:ind w:firstLineChars="0" w:firstLine="0"/>
              <w:jc w:val="center"/>
              <w:rPr>
                <w:sz w:val="21"/>
                <w:szCs w:val="21"/>
              </w:rPr>
            </w:pPr>
            <w:r>
              <w:rPr>
                <w:rFonts w:hint="eastAsia"/>
                <w:sz w:val="21"/>
                <w:szCs w:val="21"/>
              </w:rPr>
              <w:t>污染控制和减缓措施方案</w:t>
            </w:r>
            <w:r>
              <w:rPr>
                <w:sz w:val="21"/>
                <w:szCs w:val="21"/>
              </w:rPr>
              <w:t>□</w:t>
            </w:r>
          </w:p>
          <w:p w14:paraId="2562F6A5" w14:textId="77777777" w:rsidR="009D12AF" w:rsidRDefault="00000000">
            <w:pPr>
              <w:spacing w:line="240" w:lineRule="auto"/>
              <w:ind w:firstLineChars="0" w:firstLine="0"/>
              <w:jc w:val="center"/>
              <w:rPr>
                <w:sz w:val="21"/>
                <w:szCs w:val="21"/>
              </w:rPr>
            </w:pPr>
            <w:r>
              <w:rPr>
                <w:rFonts w:hint="eastAsia"/>
                <w:sz w:val="21"/>
                <w:szCs w:val="21"/>
              </w:rPr>
              <w:t>区（流）域水环境质量改善目标要求情景</w:t>
            </w:r>
            <w:r>
              <w:rPr>
                <w:sz w:val="21"/>
                <w:szCs w:val="21"/>
              </w:rPr>
              <w:t>□</w:t>
            </w:r>
          </w:p>
        </w:tc>
      </w:tr>
      <w:tr w:rsidR="009D12AF" w14:paraId="44D99FD2" w14:textId="77777777">
        <w:trPr>
          <w:trHeight w:val="20"/>
          <w:jc w:val="center"/>
        </w:trPr>
        <w:tc>
          <w:tcPr>
            <w:tcW w:w="392" w:type="dxa"/>
            <w:vMerge/>
            <w:vAlign w:val="center"/>
          </w:tcPr>
          <w:p w14:paraId="7CDDDAE4" w14:textId="77777777" w:rsidR="009D12AF" w:rsidRDefault="009D12AF">
            <w:pPr>
              <w:widowControl/>
              <w:spacing w:line="240" w:lineRule="auto"/>
              <w:ind w:firstLineChars="0" w:firstLine="0"/>
              <w:jc w:val="center"/>
              <w:rPr>
                <w:rFonts w:eastAsia="Times New Roman"/>
                <w:sz w:val="21"/>
                <w:szCs w:val="21"/>
              </w:rPr>
            </w:pPr>
          </w:p>
        </w:tc>
        <w:tc>
          <w:tcPr>
            <w:tcW w:w="2551" w:type="dxa"/>
            <w:vAlign w:val="center"/>
          </w:tcPr>
          <w:p w14:paraId="66234AF9" w14:textId="77777777" w:rsidR="009D12AF" w:rsidRDefault="00000000">
            <w:pPr>
              <w:spacing w:line="240" w:lineRule="auto"/>
              <w:ind w:firstLineChars="0" w:firstLine="0"/>
              <w:jc w:val="center"/>
              <w:rPr>
                <w:rFonts w:hAnsi="宋体" w:hint="eastAsia"/>
                <w:sz w:val="21"/>
                <w:szCs w:val="21"/>
              </w:rPr>
            </w:pPr>
            <w:r>
              <w:rPr>
                <w:rFonts w:hAnsi="宋体" w:hint="eastAsia"/>
                <w:sz w:val="21"/>
                <w:szCs w:val="21"/>
              </w:rPr>
              <w:t>预测方法</w:t>
            </w:r>
          </w:p>
        </w:tc>
        <w:tc>
          <w:tcPr>
            <w:tcW w:w="11231" w:type="dxa"/>
            <w:gridSpan w:val="11"/>
            <w:vAlign w:val="center"/>
          </w:tcPr>
          <w:p w14:paraId="73000CE5" w14:textId="77777777" w:rsidR="009D12AF" w:rsidRDefault="00000000">
            <w:pPr>
              <w:spacing w:line="240" w:lineRule="auto"/>
              <w:ind w:firstLineChars="0" w:firstLine="0"/>
              <w:jc w:val="center"/>
              <w:rPr>
                <w:rFonts w:hAnsi="宋体" w:hint="eastAsia"/>
                <w:sz w:val="21"/>
                <w:szCs w:val="21"/>
              </w:rPr>
            </w:pPr>
            <w:r>
              <w:rPr>
                <w:rFonts w:hAnsi="宋体" w:hint="eastAsia"/>
                <w:sz w:val="21"/>
                <w:szCs w:val="21"/>
              </w:rPr>
              <w:t>数值解</w:t>
            </w:r>
            <w:r>
              <w:rPr>
                <w:rFonts w:hAnsi="宋体"/>
                <w:sz w:val="21"/>
                <w:szCs w:val="21"/>
              </w:rPr>
              <w:t>□</w:t>
            </w:r>
            <w:r>
              <w:rPr>
                <w:rFonts w:hAnsi="宋体" w:hint="eastAsia"/>
                <w:sz w:val="21"/>
                <w:szCs w:val="21"/>
              </w:rPr>
              <w:t>；解析解</w:t>
            </w:r>
            <w:r>
              <w:rPr>
                <w:rFonts w:hAnsi="宋体"/>
                <w:sz w:val="21"/>
                <w:szCs w:val="21"/>
              </w:rPr>
              <w:t>□</w:t>
            </w:r>
            <w:r>
              <w:rPr>
                <w:rFonts w:hAnsi="宋体" w:hint="eastAsia"/>
                <w:sz w:val="21"/>
                <w:szCs w:val="21"/>
              </w:rPr>
              <w:t>；其他</w:t>
            </w:r>
            <w:r>
              <w:rPr>
                <w:rFonts w:hAnsi="宋体"/>
                <w:sz w:val="21"/>
                <w:szCs w:val="21"/>
              </w:rPr>
              <w:t>□</w:t>
            </w:r>
          </w:p>
          <w:p w14:paraId="63FB903F" w14:textId="77777777" w:rsidR="009D12AF" w:rsidRDefault="00000000">
            <w:pPr>
              <w:spacing w:line="240" w:lineRule="auto"/>
              <w:ind w:firstLineChars="0" w:firstLine="0"/>
              <w:jc w:val="center"/>
              <w:rPr>
                <w:rFonts w:hAnsi="宋体" w:hint="eastAsia"/>
                <w:sz w:val="21"/>
                <w:szCs w:val="21"/>
              </w:rPr>
            </w:pPr>
            <w:r>
              <w:rPr>
                <w:rFonts w:hAnsi="宋体" w:hint="eastAsia"/>
                <w:sz w:val="21"/>
                <w:szCs w:val="21"/>
              </w:rPr>
              <w:t>导则推荐模式</w:t>
            </w:r>
            <w:r>
              <w:rPr>
                <w:rFonts w:hAnsi="宋体"/>
                <w:sz w:val="21"/>
                <w:szCs w:val="21"/>
              </w:rPr>
              <w:t>□</w:t>
            </w:r>
            <w:r>
              <w:rPr>
                <w:rFonts w:hAnsi="宋体" w:hint="eastAsia"/>
                <w:sz w:val="21"/>
                <w:szCs w:val="21"/>
              </w:rPr>
              <w:t>；其他</w:t>
            </w:r>
            <w:r>
              <w:rPr>
                <w:rFonts w:hAnsi="宋体"/>
                <w:sz w:val="21"/>
                <w:szCs w:val="21"/>
              </w:rPr>
              <w:t>□</w:t>
            </w:r>
          </w:p>
        </w:tc>
      </w:tr>
      <w:tr w:rsidR="009D12AF" w14:paraId="4A388B83" w14:textId="77777777">
        <w:trPr>
          <w:trHeight w:val="20"/>
          <w:jc w:val="center"/>
        </w:trPr>
        <w:tc>
          <w:tcPr>
            <w:tcW w:w="392" w:type="dxa"/>
            <w:vMerge w:val="restart"/>
            <w:vAlign w:val="center"/>
          </w:tcPr>
          <w:p w14:paraId="6BD51A72"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影响评价</w:t>
            </w:r>
          </w:p>
        </w:tc>
        <w:tc>
          <w:tcPr>
            <w:tcW w:w="2551" w:type="dxa"/>
            <w:vAlign w:val="center"/>
          </w:tcPr>
          <w:p w14:paraId="69647B7A" w14:textId="77777777" w:rsidR="009D12AF" w:rsidRDefault="00000000">
            <w:pPr>
              <w:spacing w:line="240" w:lineRule="auto"/>
              <w:ind w:firstLineChars="0" w:firstLine="0"/>
              <w:jc w:val="center"/>
              <w:rPr>
                <w:rFonts w:hAnsi="宋体" w:hint="eastAsia"/>
                <w:sz w:val="21"/>
                <w:szCs w:val="21"/>
              </w:rPr>
            </w:pPr>
            <w:r>
              <w:rPr>
                <w:rFonts w:hAnsi="宋体" w:hint="eastAsia"/>
                <w:sz w:val="21"/>
                <w:szCs w:val="21"/>
              </w:rPr>
              <w:t>水污染控制和水环境影响减缓措施有效性评价</w:t>
            </w:r>
          </w:p>
        </w:tc>
        <w:tc>
          <w:tcPr>
            <w:tcW w:w="11231" w:type="dxa"/>
            <w:gridSpan w:val="11"/>
            <w:vAlign w:val="center"/>
          </w:tcPr>
          <w:p w14:paraId="4EE1DF18" w14:textId="77777777" w:rsidR="009D12AF" w:rsidRDefault="00000000">
            <w:pPr>
              <w:spacing w:line="240" w:lineRule="auto"/>
              <w:ind w:firstLineChars="0" w:firstLine="0"/>
              <w:jc w:val="center"/>
              <w:rPr>
                <w:rFonts w:hAnsi="宋体" w:hint="eastAsia"/>
                <w:sz w:val="21"/>
                <w:szCs w:val="21"/>
              </w:rPr>
            </w:pPr>
            <w:r>
              <w:rPr>
                <w:rFonts w:hAnsi="宋体" w:hint="eastAsia"/>
                <w:sz w:val="21"/>
                <w:szCs w:val="21"/>
              </w:rPr>
              <w:t>区（流）域水环境质量改善目标</w:t>
            </w:r>
            <w:r>
              <w:rPr>
                <w:rFonts w:hAnsi="宋体"/>
                <w:sz w:val="21"/>
                <w:szCs w:val="21"/>
              </w:rPr>
              <w:t>□</w:t>
            </w:r>
            <w:r>
              <w:rPr>
                <w:rFonts w:hAnsi="宋体" w:hint="eastAsia"/>
                <w:sz w:val="21"/>
                <w:szCs w:val="21"/>
              </w:rPr>
              <w:t>；替代削减源</w:t>
            </w:r>
            <w:r>
              <w:rPr>
                <w:rFonts w:hAnsi="宋体"/>
                <w:sz w:val="21"/>
                <w:szCs w:val="21"/>
              </w:rPr>
              <w:t>□</w:t>
            </w:r>
          </w:p>
        </w:tc>
      </w:tr>
      <w:tr w:rsidR="009D12AF" w14:paraId="7B66CFC4" w14:textId="77777777">
        <w:trPr>
          <w:trHeight w:val="20"/>
          <w:jc w:val="center"/>
        </w:trPr>
        <w:tc>
          <w:tcPr>
            <w:tcW w:w="392" w:type="dxa"/>
            <w:vMerge/>
            <w:vAlign w:val="center"/>
          </w:tcPr>
          <w:p w14:paraId="764CFABA" w14:textId="77777777" w:rsidR="009D12AF" w:rsidRDefault="009D12AF">
            <w:pPr>
              <w:widowControl/>
              <w:spacing w:line="240" w:lineRule="auto"/>
              <w:ind w:firstLineChars="0" w:firstLine="0"/>
              <w:jc w:val="center"/>
              <w:rPr>
                <w:rFonts w:eastAsia="Times New Roman"/>
                <w:sz w:val="21"/>
                <w:szCs w:val="21"/>
              </w:rPr>
            </w:pPr>
          </w:p>
        </w:tc>
        <w:tc>
          <w:tcPr>
            <w:tcW w:w="2551" w:type="dxa"/>
            <w:vAlign w:val="center"/>
          </w:tcPr>
          <w:p w14:paraId="023B9F1F" w14:textId="77777777" w:rsidR="009D12AF" w:rsidRDefault="00000000">
            <w:pPr>
              <w:spacing w:line="240" w:lineRule="auto"/>
              <w:ind w:firstLineChars="0" w:firstLine="0"/>
              <w:jc w:val="center"/>
              <w:rPr>
                <w:rFonts w:hAnsi="宋体" w:hint="eastAsia"/>
                <w:sz w:val="21"/>
                <w:szCs w:val="21"/>
              </w:rPr>
            </w:pPr>
            <w:r>
              <w:rPr>
                <w:rFonts w:hAnsi="宋体" w:hint="eastAsia"/>
                <w:sz w:val="21"/>
                <w:szCs w:val="21"/>
              </w:rPr>
              <w:t>水环境影响评价</w:t>
            </w:r>
          </w:p>
        </w:tc>
        <w:tc>
          <w:tcPr>
            <w:tcW w:w="11231" w:type="dxa"/>
            <w:gridSpan w:val="11"/>
            <w:vAlign w:val="center"/>
          </w:tcPr>
          <w:p w14:paraId="44540AF4" w14:textId="77777777" w:rsidR="009D12AF" w:rsidRDefault="00000000">
            <w:pPr>
              <w:spacing w:line="240" w:lineRule="auto"/>
              <w:ind w:firstLineChars="0" w:firstLine="0"/>
              <w:jc w:val="center"/>
              <w:rPr>
                <w:rFonts w:hAnsi="宋体" w:hint="eastAsia"/>
                <w:sz w:val="21"/>
                <w:szCs w:val="21"/>
              </w:rPr>
            </w:pPr>
            <w:r>
              <w:rPr>
                <w:rFonts w:hAnsi="宋体" w:hint="eastAsia"/>
                <w:sz w:val="21"/>
                <w:szCs w:val="21"/>
              </w:rPr>
              <w:t>排放口混合区外满足水环境管理要求</w:t>
            </w:r>
            <w:r>
              <w:rPr>
                <w:rFonts w:hAnsi="宋体"/>
                <w:sz w:val="21"/>
                <w:szCs w:val="21"/>
              </w:rPr>
              <w:t>□</w:t>
            </w:r>
          </w:p>
          <w:p w14:paraId="6735104D" w14:textId="77777777" w:rsidR="009D12AF" w:rsidRDefault="00000000">
            <w:pPr>
              <w:spacing w:line="240" w:lineRule="auto"/>
              <w:ind w:firstLineChars="0" w:firstLine="0"/>
              <w:jc w:val="center"/>
              <w:rPr>
                <w:rFonts w:hAnsi="宋体" w:hint="eastAsia"/>
                <w:sz w:val="21"/>
                <w:szCs w:val="21"/>
              </w:rPr>
            </w:pPr>
            <w:r>
              <w:rPr>
                <w:rFonts w:hAnsi="宋体" w:hint="eastAsia"/>
                <w:sz w:val="21"/>
                <w:szCs w:val="21"/>
              </w:rPr>
              <w:t>水环境功能区或水功能区、近岸海域环境功能区水质达标</w:t>
            </w:r>
            <w:r>
              <w:rPr>
                <w:rFonts w:hAnsi="宋体"/>
                <w:sz w:val="21"/>
                <w:szCs w:val="21"/>
              </w:rPr>
              <w:t>□</w:t>
            </w:r>
          </w:p>
          <w:p w14:paraId="79BF4CC2" w14:textId="77777777" w:rsidR="009D12AF" w:rsidRDefault="00000000">
            <w:pPr>
              <w:spacing w:line="240" w:lineRule="auto"/>
              <w:ind w:firstLineChars="0" w:firstLine="0"/>
              <w:jc w:val="center"/>
              <w:rPr>
                <w:rFonts w:hAnsi="宋体" w:hint="eastAsia"/>
                <w:sz w:val="21"/>
                <w:szCs w:val="21"/>
              </w:rPr>
            </w:pPr>
            <w:r>
              <w:rPr>
                <w:rFonts w:hAnsi="宋体" w:hint="eastAsia"/>
                <w:sz w:val="21"/>
                <w:szCs w:val="21"/>
              </w:rPr>
              <w:t>满足水环境保护目标水域水环境质量要求</w:t>
            </w:r>
            <w:r>
              <w:rPr>
                <w:rFonts w:hAnsi="宋体"/>
                <w:sz w:val="21"/>
                <w:szCs w:val="21"/>
              </w:rPr>
              <w:t>□</w:t>
            </w:r>
          </w:p>
          <w:p w14:paraId="3AF0B92B" w14:textId="77777777" w:rsidR="009D12AF" w:rsidRDefault="00000000">
            <w:pPr>
              <w:spacing w:line="240" w:lineRule="auto"/>
              <w:ind w:firstLineChars="0" w:firstLine="0"/>
              <w:jc w:val="center"/>
              <w:rPr>
                <w:rFonts w:hAnsi="宋体" w:hint="eastAsia"/>
                <w:sz w:val="21"/>
                <w:szCs w:val="21"/>
              </w:rPr>
            </w:pPr>
            <w:r>
              <w:rPr>
                <w:rFonts w:hAnsi="宋体" w:hint="eastAsia"/>
                <w:sz w:val="21"/>
                <w:szCs w:val="21"/>
              </w:rPr>
              <w:t>水环境控制单元或断面水质达标</w:t>
            </w:r>
            <w:r>
              <w:rPr>
                <w:rFonts w:hAnsi="宋体"/>
                <w:sz w:val="21"/>
                <w:szCs w:val="21"/>
              </w:rPr>
              <w:t>□</w:t>
            </w:r>
          </w:p>
          <w:p w14:paraId="3FFC88DA" w14:textId="77777777" w:rsidR="009D12AF" w:rsidRDefault="00000000">
            <w:pPr>
              <w:spacing w:line="240" w:lineRule="auto"/>
              <w:ind w:firstLineChars="0" w:firstLine="0"/>
              <w:jc w:val="center"/>
              <w:rPr>
                <w:rFonts w:hAnsi="宋体" w:hint="eastAsia"/>
                <w:sz w:val="21"/>
                <w:szCs w:val="21"/>
              </w:rPr>
            </w:pPr>
            <w:r>
              <w:rPr>
                <w:rFonts w:hAnsi="宋体" w:hint="eastAsia"/>
                <w:sz w:val="21"/>
                <w:szCs w:val="21"/>
              </w:rPr>
              <w:t>满足重点水污染物排放总量控制指标要求，重点行业建设项目，主要污染物排放满足等量或减量替代要求</w:t>
            </w:r>
            <w:r>
              <w:rPr>
                <w:rFonts w:hAnsi="宋体"/>
                <w:sz w:val="21"/>
                <w:szCs w:val="21"/>
              </w:rPr>
              <w:t>□</w:t>
            </w:r>
          </w:p>
          <w:p w14:paraId="561AF20E" w14:textId="77777777" w:rsidR="009D12AF" w:rsidRDefault="00000000">
            <w:pPr>
              <w:spacing w:line="240" w:lineRule="auto"/>
              <w:ind w:firstLineChars="0" w:firstLine="0"/>
              <w:jc w:val="center"/>
              <w:rPr>
                <w:rFonts w:hAnsi="宋体" w:hint="eastAsia"/>
                <w:sz w:val="21"/>
                <w:szCs w:val="21"/>
              </w:rPr>
            </w:pPr>
            <w:r>
              <w:rPr>
                <w:rFonts w:hAnsi="宋体" w:hint="eastAsia"/>
                <w:sz w:val="21"/>
                <w:szCs w:val="21"/>
              </w:rPr>
              <w:t>满足区（流）域水环境质量改善目标要求</w:t>
            </w:r>
            <w:r>
              <w:rPr>
                <w:rFonts w:hAnsi="宋体"/>
                <w:sz w:val="21"/>
                <w:szCs w:val="21"/>
              </w:rPr>
              <w:t>□</w:t>
            </w:r>
          </w:p>
          <w:p w14:paraId="62C4DB46" w14:textId="77777777" w:rsidR="009D12AF" w:rsidRDefault="00000000">
            <w:pPr>
              <w:spacing w:line="240" w:lineRule="auto"/>
              <w:ind w:firstLineChars="0" w:firstLine="0"/>
              <w:jc w:val="center"/>
              <w:rPr>
                <w:rFonts w:hAnsi="宋体" w:hint="eastAsia"/>
                <w:sz w:val="21"/>
                <w:szCs w:val="21"/>
              </w:rPr>
            </w:pPr>
            <w:r>
              <w:rPr>
                <w:rFonts w:hAnsi="宋体" w:hint="eastAsia"/>
                <w:sz w:val="21"/>
                <w:szCs w:val="21"/>
              </w:rPr>
              <w:t>水文要素影响型建设项目同时应包括水文情势变化评价、主要水文特征值影响评价、生态流量符合性评价</w:t>
            </w:r>
            <w:r>
              <w:rPr>
                <w:rFonts w:hAnsi="宋体"/>
                <w:sz w:val="21"/>
                <w:szCs w:val="21"/>
              </w:rPr>
              <w:t>□</w:t>
            </w:r>
          </w:p>
          <w:p w14:paraId="351D049E" w14:textId="77777777" w:rsidR="009D12AF" w:rsidRDefault="00000000">
            <w:pPr>
              <w:spacing w:line="240" w:lineRule="auto"/>
              <w:ind w:firstLineChars="0" w:firstLine="0"/>
              <w:jc w:val="center"/>
              <w:rPr>
                <w:rFonts w:hAnsi="宋体" w:hint="eastAsia"/>
                <w:sz w:val="21"/>
                <w:szCs w:val="21"/>
              </w:rPr>
            </w:pPr>
            <w:r>
              <w:rPr>
                <w:rFonts w:hAnsi="宋体" w:hint="eastAsia"/>
                <w:sz w:val="21"/>
                <w:szCs w:val="21"/>
              </w:rPr>
              <w:t>对于新设或调整入河（湖库、近岸海域）排放口的建设项目，应包括排放口设置的环境合理性评价</w:t>
            </w:r>
            <w:r>
              <w:rPr>
                <w:rFonts w:hAnsi="宋体"/>
                <w:sz w:val="21"/>
                <w:szCs w:val="21"/>
              </w:rPr>
              <w:t>□</w:t>
            </w:r>
          </w:p>
          <w:p w14:paraId="3546E25D" w14:textId="77777777" w:rsidR="009D12AF" w:rsidRDefault="00000000">
            <w:pPr>
              <w:spacing w:line="240" w:lineRule="auto"/>
              <w:ind w:firstLineChars="0" w:firstLine="0"/>
              <w:jc w:val="center"/>
              <w:rPr>
                <w:rFonts w:hAnsi="宋体" w:hint="eastAsia"/>
                <w:sz w:val="21"/>
                <w:szCs w:val="21"/>
              </w:rPr>
            </w:pPr>
            <w:r>
              <w:rPr>
                <w:rFonts w:hAnsi="宋体" w:hint="eastAsia"/>
                <w:sz w:val="21"/>
                <w:szCs w:val="21"/>
              </w:rPr>
              <w:t>满足生态保护红线、水环境质量底线、资源利用上线和环境准入清单管理要求</w:t>
            </w:r>
            <w:r>
              <w:rPr>
                <w:rFonts w:hAnsi="宋体"/>
                <w:sz w:val="21"/>
                <w:szCs w:val="21"/>
              </w:rPr>
              <w:t>□</w:t>
            </w:r>
          </w:p>
        </w:tc>
      </w:tr>
      <w:tr w:rsidR="009D12AF" w14:paraId="3217314F" w14:textId="77777777">
        <w:trPr>
          <w:trHeight w:val="20"/>
          <w:jc w:val="center"/>
        </w:trPr>
        <w:tc>
          <w:tcPr>
            <w:tcW w:w="392" w:type="dxa"/>
            <w:vMerge w:val="restart"/>
            <w:vAlign w:val="center"/>
          </w:tcPr>
          <w:p w14:paraId="323D8512"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影响评价</w:t>
            </w:r>
          </w:p>
        </w:tc>
        <w:tc>
          <w:tcPr>
            <w:tcW w:w="2551" w:type="dxa"/>
            <w:vMerge w:val="restart"/>
            <w:vAlign w:val="center"/>
          </w:tcPr>
          <w:p w14:paraId="7D26C88B" w14:textId="77777777" w:rsidR="009D12AF" w:rsidRDefault="00000000">
            <w:pPr>
              <w:spacing w:line="240" w:lineRule="auto"/>
              <w:ind w:firstLineChars="0" w:firstLine="0"/>
              <w:jc w:val="center"/>
              <w:rPr>
                <w:sz w:val="21"/>
                <w:szCs w:val="21"/>
              </w:rPr>
            </w:pPr>
            <w:r>
              <w:rPr>
                <w:rFonts w:hAnsi="宋体" w:hint="eastAsia"/>
                <w:sz w:val="21"/>
                <w:szCs w:val="21"/>
              </w:rPr>
              <w:t>污染物排放量核算</w:t>
            </w:r>
          </w:p>
        </w:tc>
        <w:tc>
          <w:tcPr>
            <w:tcW w:w="3743" w:type="dxa"/>
            <w:gridSpan w:val="3"/>
            <w:vAlign w:val="center"/>
          </w:tcPr>
          <w:p w14:paraId="53E887DD"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污染物名称</w:t>
            </w:r>
          </w:p>
        </w:tc>
        <w:tc>
          <w:tcPr>
            <w:tcW w:w="3744" w:type="dxa"/>
            <w:gridSpan w:val="4"/>
            <w:vAlign w:val="center"/>
          </w:tcPr>
          <w:p w14:paraId="1AB0FD6F" w14:textId="77777777" w:rsidR="009D12AF" w:rsidRDefault="00000000">
            <w:pPr>
              <w:spacing w:line="240" w:lineRule="auto"/>
              <w:ind w:firstLineChars="0" w:firstLine="0"/>
              <w:jc w:val="center"/>
              <w:rPr>
                <w:sz w:val="21"/>
                <w:szCs w:val="21"/>
              </w:rPr>
            </w:pPr>
            <w:r>
              <w:rPr>
                <w:rFonts w:hAnsi="宋体" w:hint="eastAsia"/>
                <w:sz w:val="21"/>
                <w:szCs w:val="21"/>
              </w:rPr>
              <w:t>排放量</w:t>
            </w:r>
            <w:r>
              <w:rPr>
                <w:sz w:val="21"/>
                <w:szCs w:val="21"/>
              </w:rPr>
              <w:t>/</w:t>
            </w:r>
            <w:r>
              <w:rPr>
                <w:rFonts w:hint="eastAsia"/>
                <w:sz w:val="21"/>
                <w:szCs w:val="21"/>
              </w:rPr>
              <w:t>（</w:t>
            </w:r>
            <w:r>
              <w:rPr>
                <w:sz w:val="21"/>
                <w:szCs w:val="21"/>
              </w:rPr>
              <w:t>t/a</w:t>
            </w:r>
            <w:r>
              <w:rPr>
                <w:rFonts w:hint="eastAsia"/>
                <w:sz w:val="21"/>
                <w:szCs w:val="21"/>
              </w:rPr>
              <w:t>）</w:t>
            </w:r>
          </w:p>
        </w:tc>
        <w:tc>
          <w:tcPr>
            <w:tcW w:w="3744" w:type="dxa"/>
            <w:gridSpan w:val="4"/>
            <w:vAlign w:val="center"/>
          </w:tcPr>
          <w:p w14:paraId="12F73E21" w14:textId="77777777" w:rsidR="009D12AF" w:rsidRDefault="00000000">
            <w:pPr>
              <w:spacing w:line="240" w:lineRule="auto"/>
              <w:ind w:firstLineChars="0" w:firstLine="0"/>
              <w:jc w:val="center"/>
              <w:rPr>
                <w:sz w:val="21"/>
                <w:szCs w:val="21"/>
              </w:rPr>
            </w:pPr>
            <w:r>
              <w:rPr>
                <w:rFonts w:hAnsi="宋体" w:hint="eastAsia"/>
                <w:sz w:val="21"/>
                <w:szCs w:val="21"/>
              </w:rPr>
              <w:t>排放浓度</w:t>
            </w:r>
            <w:r>
              <w:rPr>
                <w:sz w:val="21"/>
                <w:szCs w:val="21"/>
              </w:rPr>
              <w:t>/</w:t>
            </w:r>
            <w:r>
              <w:rPr>
                <w:rFonts w:hint="eastAsia"/>
                <w:sz w:val="21"/>
                <w:szCs w:val="21"/>
              </w:rPr>
              <w:t>（</w:t>
            </w:r>
            <w:r>
              <w:rPr>
                <w:sz w:val="21"/>
                <w:szCs w:val="21"/>
              </w:rPr>
              <w:t>mg/L</w:t>
            </w:r>
            <w:r>
              <w:rPr>
                <w:rFonts w:hint="eastAsia"/>
                <w:sz w:val="21"/>
                <w:szCs w:val="21"/>
              </w:rPr>
              <w:t>）</w:t>
            </w:r>
          </w:p>
        </w:tc>
      </w:tr>
      <w:tr w:rsidR="009D12AF" w14:paraId="4C8C82EA" w14:textId="77777777">
        <w:trPr>
          <w:trHeight w:val="20"/>
          <w:jc w:val="center"/>
        </w:trPr>
        <w:tc>
          <w:tcPr>
            <w:tcW w:w="392" w:type="dxa"/>
            <w:vMerge/>
            <w:vAlign w:val="center"/>
          </w:tcPr>
          <w:p w14:paraId="3ECB7BD1" w14:textId="77777777" w:rsidR="009D12AF" w:rsidRDefault="009D12AF">
            <w:pPr>
              <w:widowControl/>
              <w:spacing w:line="240" w:lineRule="auto"/>
              <w:ind w:firstLineChars="0" w:firstLine="0"/>
              <w:jc w:val="center"/>
              <w:rPr>
                <w:rFonts w:eastAsia="Times New Roman"/>
                <w:sz w:val="21"/>
                <w:szCs w:val="21"/>
              </w:rPr>
            </w:pPr>
          </w:p>
        </w:tc>
        <w:tc>
          <w:tcPr>
            <w:tcW w:w="2551" w:type="dxa"/>
            <w:vMerge/>
            <w:vAlign w:val="center"/>
          </w:tcPr>
          <w:p w14:paraId="1F59CBC8" w14:textId="77777777" w:rsidR="009D12AF" w:rsidRDefault="009D12AF">
            <w:pPr>
              <w:widowControl/>
              <w:spacing w:line="240" w:lineRule="auto"/>
              <w:ind w:firstLineChars="0" w:firstLine="0"/>
              <w:jc w:val="center"/>
              <w:rPr>
                <w:sz w:val="21"/>
                <w:szCs w:val="21"/>
              </w:rPr>
            </w:pPr>
          </w:p>
        </w:tc>
        <w:tc>
          <w:tcPr>
            <w:tcW w:w="3743" w:type="dxa"/>
            <w:gridSpan w:val="3"/>
            <w:vAlign w:val="center"/>
          </w:tcPr>
          <w:p w14:paraId="52EB7CBD"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w:t>
            </w:r>
            <w:r>
              <w:rPr>
                <w:rFonts w:hAnsi="宋体" w:hint="eastAsia"/>
                <w:sz w:val="21"/>
                <w:szCs w:val="21"/>
              </w:rPr>
              <w:t>COD</w:t>
            </w:r>
            <w:r>
              <w:rPr>
                <w:rFonts w:hAnsi="宋体" w:hint="eastAsia"/>
                <w:sz w:val="21"/>
                <w:szCs w:val="21"/>
              </w:rPr>
              <w:t>、氨氮）</w:t>
            </w:r>
          </w:p>
        </w:tc>
        <w:tc>
          <w:tcPr>
            <w:tcW w:w="3744" w:type="dxa"/>
            <w:gridSpan w:val="4"/>
            <w:vAlign w:val="center"/>
          </w:tcPr>
          <w:p w14:paraId="2F1D4AA2" w14:textId="77777777" w:rsidR="009D12AF" w:rsidRDefault="00000000">
            <w:pPr>
              <w:spacing w:line="240" w:lineRule="auto"/>
              <w:ind w:firstLineChars="0" w:firstLine="0"/>
              <w:jc w:val="center"/>
              <w:rPr>
                <w:rFonts w:eastAsia="宋体"/>
                <w:sz w:val="21"/>
                <w:szCs w:val="21"/>
              </w:rPr>
            </w:pPr>
            <w:r>
              <w:rPr>
                <w:rFonts w:eastAsia="宋体" w:hint="eastAsia"/>
                <w:sz w:val="21"/>
                <w:szCs w:val="21"/>
              </w:rPr>
              <w:t>/</w:t>
            </w:r>
          </w:p>
        </w:tc>
        <w:tc>
          <w:tcPr>
            <w:tcW w:w="3744" w:type="dxa"/>
            <w:gridSpan w:val="4"/>
            <w:vAlign w:val="center"/>
          </w:tcPr>
          <w:p w14:paraId="11C4F8E1" w14:textId="77777777" w:rsidR="009D12AF" w:rsidRDefault="00000000">
            <w:pPr>
              <w:spacing w:line="240" w:lineRule="auto"/>
              <w:ind w:firstLineChars="0" w:firstLine="0"/>
              <w:jc w:val="center"/>
              <w:rPr>
                <w:rFonts w:eastAsia="宋体"/>
                <w:sz w:val="21"/>
                <w:szCs w:val="21"/>
              </w:rPr>
            </w:pPr>
            <w:r>
              <w:rPr>
                <w:rFonts w:eastAsia="宋体" w:hint="eastAsia"/>
                <w:sz w:val="21"/>
                <w:szCs w:val="21"/>
              </w:rPr>
              <w:t>/</w:t>
            </w:r>
          </w:p>
        </w:tc>
      </w:tr>
      <w:tr w:rsidR="009D12AF" w14:paraId="06CDFAB3" w14:textId="77777777">
        <w:trPr>
          <w:trHeight w:val="20"/>
          <w:jc w:val="center"/>
        </w:trPr>
        <w:tc>
          <w:tcPr>
            <w:tcW w:w="392" w:type="dxa"/>
            <w:vMerge/>
            <w:vAlign w:val="center"/>
          </w:tcPr>
          <w:p w14:paraId="4587272B" w14:textId="77777777" w:rsidR="009D12AF" w:rsidRDefault="009D12AF">
            <w:pPr>
              <w:widowControl/>
              <w:spacing w:line="240" w:lineRule="auto"/>
              <w:ind w:firstLineChars="0" w:firstLine="0"/>
              <w:jc w:val="center"/>
              <w:rPr>
                <w:rFonts w:eastAsia="Times New Roman"/>
                <w:sz w:val="21"/>
                <w:szCs w:val="21"/>
              </w:rPr>
            </w:pPr>
          </w:p>
        </w:tc>
        <w:tc>
          <w:tcPr>
            <w:tcW w:w="2551" w:type="dxa"/>
            <w:vMerge w:val="restart"/>
            <w:vAlign w:val="center"/>
          </w:tcPr>
          <w:p w14:paraId="6CF6867E" w14:textId="77777777" w:rsidR="009D12AF" w:rsidRDefault="00000000">
            <w:pPr>
              <w:spacing w:line="240" w:lineRule="auto"/>
              <w:ind w:firstLineChars="0" w:firstLine="0"/>
              <w:jc w:val="center"/>
              <w:rPr>
                <w:sz w:val="21"/>
                <w:szCs w:val="21"/>
              </w:rPr>
            </w:pPr>
            <w:r>
              <w:rPr>
                <w:rFonts w:hAnsi="宋体" w:hint="eastAsia"/>
                <w:sz w:val="21"/>
                <w:szCs w:val="21"/>
              </w:rPr>
              <w:t>替代源排放情况</w:t>
            </w:r>
          </w:p>
        </w:tc>
        <w:tc>
          <w:tcPr>
            <w:tcW w:w="2246" w:type="dxa"/>
            <w:vAlign w:val="center"/>
          </w:tcPr>
          <w:p w14:paraId="489282DD"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污染源名称</w:t>
            </w:r>
          </w:p>
        </w:tc>
        <w:tc>
          <w:tcPr>
            <w:tcW w:w="2246" w:type="dxa"/>
            <w:gridSpan w:val="3"/>
            <w:vAlign w:val="center"/>
          </w:tcPr>
          <w:p w14:paraId="37B33220"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排污许可证编号</w:t>
            </w:r>
          </w:p>
        </w:tc>
        <w:tc>
          <w:tcPr>
            <w:tcW w:w="2246" w:type="dxa"/>
            <w:gridSpan w:val="2"/>
            <w:vAlign w:val="center"/>
          </w:tcPr>
          <w:p w14:paraId="7096C74B"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污染物名称</w:t>
            </w:r>
          </w:p>
        </w:tc>
        <w:tc>
          <w:tcPr>
            <w:tcW w:w="2246" w:type="dxa"/>
            <w:gridSpan w:val="3"/>
            <w:vAlign w:val="center"/>
          </w:tcPr>
          <w:p w14:paraId="636887FF" w14:textId="77777777" w:rsidR="009D12AF" w:rsidRDefault="00000000">
            <w:pPr>
              <w:spacing w:line="240" w:lineRule="auto"/>
              <w:ind w:firstLineChars="0" w:firstLine="0"/>
              <w:jc w:val="center"/>
              <w:rPr>
                <w:sz w:val="21"/>
                <w:szCs w:val="21"/>
              </w:rPr>
            </w:pPr>
            <w:r>
              <w:rPr>
                <w:rFonts w:hAnsi="宋体" w:hint="eastAsia"/>
                <w:sz w:val="21"/>
                <w:szCs w:val="21"/>
              </w:rPr>
              <w:t>排放量</w:t>
            </w:r>
            <w:r>
              <w:rPr>
                <w:sz w:val="21"/>
                <w:szCs w:val="21"/>
              </w:rPr>
              <w:t>/</w:t>
            </w:r>
            <w:r>
              <w:rPr>
                <w:rFonts w:hint="eastAsia"/>
                <w:sz w:val="21"/>
                <w:szCs w:val="21"/>
              </w:rPr>
              <w:t>（</w:t>
            </w:r>
            <w:r>
              <w:rPr>
                <w:sz w:val="21"/>
                <w:szCs w:val="21"/>
              </w:rPr>
              <w:t>t/a</w:t>
            </w:r>
            <w:r>
              <w:rPr>
                <w:rFonts w:hint="eastAsia"/>
                <w:sz w:val="21"/>
                <w:szCs w:val="21"/>
              </w:rPr>
              <w:t>）</w:t>
            </w:r>
          </w:p>
        </w:tc>
        <w:tc>
          <w:tcPr>
            <w:tcW w:w="2247" w:type="dxa"/>
            <w:gridSpan w:val="2"/>
            <w:vAlign w:val="center"/>
          </w:tcPr>
          <w:p w14:paraId="3C36364D" w14:textId="77777777" w:rsidR="009D12AF" w:rsidRDefault="00000000">
            <w:pPr>
              <w:spacing w:line="240" w:lineRule="auto"/>
              <w:ind w:firstLineChars="0" w:firstLine="0"/>
              <w:jc w:val="center"/>
              <w:rPr>
                <w:sz w:val="21"/>
                <w:szCs w:val="21"/>
              </w:rPr>
            </w:pPr>
            <w:r>
              <w:rPr>
                <w:rFonts w:hAnsi="宋体" w:hint="eastAsia"/>
                <w:sz w:val="21"/>
                <w:szCs w:val="21"/>
              </w:rPr>
              <w:t>排放浓度</w:t>
            </w:r>
            <w:r>
              <w:rPr>
                <w:sz w:val="21"/>
                <w:szCs w:val="21"/>
              </w:rPr>
              <w:t>/</w:t>
            </w:r>
            <w:r>
              <w:rPr>
                <w:rFonts w:hint="eastAsia"/>
                <w:sz w:val="21"/>
                <w:szCs w:val="21"/>
              </w:rPr>
              <w:t>（</w:t>
            </w:r>
            <w:r>
              <w:rPr>
                <w:sz w:val="21"/>
                <w:szCs w:val="21"/>
              </w:rPr>
              <w:t>mg/L</w:t>
            </w:r>
            <w:r>
              <w:rPr>
                <w:rFonts w:hint="eastAsia"/>
                <w:sz w:val="21"/>
                <w:szCs w:val="21"/>
              </w:rPr>
              <w:t>）</w:t>
            </w:r>
          </w:p>
        </w:tc>
      </w:tr>
      <w:tr w:rsidR="009D12AF" w14:paraId="4DF82171" w14:textId="77777777">
        <w:trPr>
          <w:trHeight w:val="20"/>
          <w:jc w:val="center"/>
        </w:trPr>
        <w:tc>
          <w:tcPr>
            <w:tcW w:w="392" w:type="dxa"/>
            <w:vMerge/>
            <w:vAlign w:val="center"/>
          </w:tcPr>
          <w:p w14:paraId="27174686" w14:textId="77777777" w:rsidR="009D12AF" w:rsidRDefault="009D12AF">
            <w:pPr>
              <w:widowControl/>
              <w:spacing w:line="240" w:lineRule="auto"/>
              <w:ind w:firstLineChars="0" w:firstLine="0"/>
              <w:jc w:val="center"/>
              <w:rPr>
                <w:rFonts w:eastAsia="Times New Roman"/>
                <w:sz w:val="21"/>
                <w:szCs w:val="21"/>
              </w:rPr>
            </w:pPr>
          </w:p>
        </w:tc>
        <w:tc>
          <w:tcPr>
            <w:tcW w:w="2551" w:type="dxa"/>
            <w:vMerge/>
            <w:vAlign w:val="center"/>
          </w:tcPr>
          <w:p w14:paraId="42F93D93" w14:textId="77777777" w:rsidR="009D12AF" w:rsidRDefault="009D12AF">
            <w:pPr>
              <w:widowControl/>
              <w:spacing w:line="240" w:lineRule="auto"/>
              <w:ind w:firstLineChars="0" w:firstLine="0"/>
              <w:jc w:val="center"/>
              <w:rPr>
                <w:sz w:val="21"/>
                <w:szCs w:val="21"/>
              </w:rPr>
            </w:pPr>
          </w:p>
        </w:tc>
        <w:tc>
          <w:tcPr>
            <w:tcW w:w="2246" w:type="dxa"/>
            <w:vAlign w:val="center"/>
          </w:tcPr>
          <w:p w14:paraId="6EBC0166"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w:t>
            </w:r>
          </w:p>
        </w:tc>
        <w:tc>
          <w:tcPr>
            <w:tcW w:w="2246" w:type="dxa"/>
            <w:gridSpan w:val="3"/>
            <w:vAlign w:val="center"/>
          </w:tcPr>
          <w:p w14:paraId="3D8E8D75"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w:t>
            </w:r>
          </w:p>
        </w:tc>
        <w:tc>
          <w:tcPr>
            <w:tcW w:w="2246" w:type="dxa"/>
            <w:gridSpan w:val="2"/>
            <w:vAlign w:val="center"/>
          </w:tcPr>
          <w:p w14:paraId="20D58E75"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w:t>
            </w:r>
          </w:p>
        </w:tc>
        <w:tc>
          <w:tcPr>
            <w:tcW w:w="2246" w:type="dxa"/>
            <w:gridSpan w:val="3"/>
            <w:vAlign w:val="center"/>
          </w:tcPr>
          <w:p w14:paraId="3BC6E6E3"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w:t>
            </w:r>
          </w:p>
        </w:tc>
        <w:tc>
          <w:tcPr>
            <w:tcW w:w="2247" w:type="dxa"/>
            <w:gridSpan w:val="2"/>
            <w:vAlign w:val="center"/>
          </w:tcPr>
          <w:p w14:paraId="589457C6"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w:t>
            </w:r>
          </w:p>
        </w:tc>
      </w:tr>
      <w:tr w:rsidR="009D12AF" w14:paraId="1AA1518B" w14:textId="77777777">
        <w:trPr>
          <w:trHeight w:val="20"/>
          <w:jc w:val="center"/>
        </w:trPr>
        <w:tc>
          <w:tcPr>
            <w:tcW w:w="392" w:type="dxa"/>
            <w:vMerge/>
            <w:vAlign w:val="center"/>
          </w:tcPr>
          <w:p w14:paraId="4327D613" w14:textId="77777777" w:rsidR="009D12AF" w:rsidRDefault="009D12AF">
            <w:pPr>
              <w:widowControl/>
              <w:spacing w:line="240" w:lineRule="auto"/>
              <w:ind w:firstLineChars="0" w:firstLine="0"/>
              <w:jc w:val="center"/>
              <w:rPr>
                <w:rFonts w:eastAsia="Times New Roman"/>
                <w:sz w:val="21"/>
                <w:szCs w:val="21"/>
              </w:rPr>
            </w:pPr>
          </w:p>
        </w:tc>
        <w:tc>
          <w:tcPr>
            <w:tcW w:w="2551" w:type="dxa"/>
            <w:vAlign w:val="center"/>
          </w:tcPr>
          <w:p w14:paraId="6A4C7190" w14:textId="77777777" w:rsidR="009D12AF" w:rsidRDefault="00000000">
            <w:pPr>
              <w:spacing w:line="240" w:lineRule="auto"/>
              <w:ind w:firstLineChars="0" w:firstLine="0"/>
              <w:jc w:val="center"/>
              <w:rPr>
                <w:sz w:val="21"/>
                <w:szCs w:val="21"/>
              </w:rPr>
            </w:pPr>
            <w:r>
              <w:rPr>
                <w:rFonts w:hAnsi="宋体" w:hint="eastAsia"/>
                <w:sz w:val="21"/>
                <w:szCs w:val="21"/>
              </w:rPr>
              <w:t>生态流量确定</w:t>
            </w:r>
          </w:p>
        </w:tc>
        <w:tc>
          <w:tcPr>
            <w:tcW w:w="11231" w:type="dxa"/>
            <w:gridSpan w:val="11"/>
            <w:vAlign w:val="center"/>
          </w:tcPr>
          <w:p w14:paraId="11AD9947" w14:textId="77777777" w:rsidR="009D12AF" w:rsidRDefault="00000000">
            <w:pPr>
              <w:spacing w:line="240" w:lineRule="auto"/>
              <w:ind w:firstLineChars="0" w:firstLine="0"/>
              <w:jc w:val="center"/>
              <w:rPr>
                <w:sz w:val="21"/>
                <w:szCs w:val="21"/>
              </w:rPr>
            </w:pPr>
            <w:r>
              <w:rPr>
                <w:rFonts w:hAnsi="宋体" w:hint="eastAsia"/>
                <w:sz w:val="21"/>
                <w:szCs w:val="21"/>
              </w:rPr>
              <w:t>生态流量：一般水期（）</w:t>
            </w:r>
            <w:r>
              <w:rPr>
                <w:rFonts w:eastAsia="Times New Roman"/>
                <w:sz w:val="21"/>
                <w:szCs w:val="21"/>
              </w:rPr>
              <w:t>m</w:t>
            </w:r>
            <w:r>
              <w:rPr>
                <w:sz w:val="21"/>
                <w:szCs w:val="21"/>
                <w:vertAlign w:val="superscript"/>
              </w:rPr>
              <w:t>3</w:t>
            </w:r>
            <w:r>
              <w:rPr>
                <w:sz w:val="21"/>
                <w:szCs w:val="21"/>
              </w:rPr>
              <w:t>/s</w:t>
            </w:r>
            <w:r>
              <w:rPr>
                <w:rFonts w:hint="eastAsia"/>
                <w:sz w:val="21"/>
                <w:szCs w:val="21"/>
              </w:rPr>
              <w:t>；鱼类繁殖期（）</w:t>
            </w:r>
            <w:r>
              <w:rPr>
                <w:rFonts w:eastAsia="Times New Roman"/>
                <w:sz w:val="21"/>
                <w:szCs w:val="21"/>
              </w:rPr>
              <w:t>m</w:t>
            </w:r>
            <w:r>
              <w:rPr>
                <w:sz w:val="21"/>
                <w:szCs w:val="21"/>
                <w:vertAlign w:val="superscript"/>
              </w:rPr>
              <w:t>3</w:t>
            </w:r>
            <w:r>
              <w:rPr>
                <w:sz w:val="21"/>
                <w:szCs w:val="21"/>
              </w:rPr>
              <w:t>/s</w:t>
            </w:r>
            <w:r>
              <w:rPr>
                <w:rFonts w:hint="eastAsia"/>
                <w:sz w:val="21"/>
                <w:szCs w:val="21"/>
              </w:rPr>
              <w:t>；其他（）</w:t>
            </w:r>
            <w:r>
              <w:rPr>
                <w:rFonts w:eastAsia="Times New Roman"/>
                <w:sz w:val="21"/>
                <w:szCs w:val="21"/>
              </w:rPr>
              <w:t>m</w:t>
            </w:r>
            <w:r>
              <w:rPr>
                <w:sz w:val="21"/>
                <w:szCs w:val="21"/>
                <w:vertAlign w:val="superscript"/>
              </w:rPr>
              <w:t>3</w:t>
            </w:r>
            <w:r>
              <w:rPr>
                <w:sz w:val="21"/>
                <w:szCs w:val="21"/>
              </w:rPr>
              <w:t>/s</w:t>
            </w:r>
          </w:p>
          <w:p w14:paraId="4BDDE4DA" w14:textId="77777777" w:rsidR="009D12AF" w:rsidRDefault="00000000">
            <w:pPr>
              <w:spacing w:line="240" w:lineRule="auto"/>
              <w:ind w:firstLineChars="0" w:firstLine="0"/>
              <w:jc w:val="center"/>
              <w:rPr>
                <w:sz w:val="21"/>
                <w:szCs w:val="21"/>
              </w:rPr>
            </w:pPr>
            <w:r>
              <w:rPr>
                <w:rFonts w:hint="eastAsia"/>
                <w:sz w:val="21"/>
                <w:szCs w:val="21"/>
              </w:rPr>
              <w:t>生态水位：</w:t>
            </w:r>
            <w:r>
              <w:rPr>
                <w:rFonts w:hAnsi="宋体" w:hint="eastAsia"/>
                <w:sz w:val="21"/>
                <w:szCs w:val="21"/>
              </w:rPr>
              <w:t>一般水期（）</w:t>
            </w:r>
            <w:r>
              <w:rPr>
                <w:rFonts w:eastAsia="Times New Roman"/>
                <w:sz w:val="21"/>
                <w:szCs w:val="21"/>
              </w:rPr>
              <w:t>m</w:t>
            </w:r>
            <w:r>
              <w:rPr>
                <w:rFonts w:hint="eastAsia"/>
                <w:sz w:val="21"/>
                <w:szCs w:val="21"/>
              </w:rPr>
              <w:t>；鱼类繁殖期（）</w:t>
            </w:r>
            <w:r>
              <w:rPr>
                <w:rFonts w:eastAsia="Times New Roman"/>
                <w:sz w:val="21"/>
                <w:szCs w:val="21"/>
              </w:rPr>
              <w:t>m</w:t>
            </w:r>
            <w:r>
              <w:rPr>
                <w:rFonts w:hint="eastAsia"/>
                <w:sz w:val="21"/>
                <w:szCs w:val="21"/>
              </w:rPr>
              <w:t>；其他（）</w:t>
            </w:r>
            <w:r>
              <w:rPr>
                <w:rFonts w:eastAsia="Times New Roman"/>
                <w:sz w:val="21"/>
                <w:szCs w:val="21"/>
              </w:rPr>
              <w:t>m</w:t>
            </w:r>
          </w:p>
        </w:tc>
      </w:tr>
      <w:tr w:rsidR="009D12AF" w14:paraId="2FAC7D26" w14:textId="77777777">
        <w:trPr>
          <w:trHeight w:val="20"/>
          <w:jc w:val="center"/>
        </w:trPr>
        <w:tc>
          <w:tcPr>
            <w:tcW w:w="392" w:type="dxa"/>
            <w:vMerge w:val="restart"/>
            <w:vAlign w:val="center"/>
          </w:tcPr>
          <w:p w14:paraId="39C20CE0"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防</w:t>
            </w:r>
            <w:r>
              <w:rPr>
                <w:rFonts w:hAnsi="宋体" w:hint="eastAsia"/>
                <w:sz w:val="21"/>
                <w:szCs w:val="21"/>
              </w:rPr>
              <w:lastRenderedPageBreak/>
              <w:t>治措施</w:t>
            </w:r>
          </w:p>
        </w:tc>
        <w:tc>
          <w:tcPr>
            <w:tcW w:w="2551" w:type="dxa"/>
            <w:vAlign w:val="center"/>
          </w:tcPr>
          <w:p w14:paraId="6474BCDF" w14:textId="77777777" w:rsidR="009D12AF" w:rsidRDefault="00000000">
            <w:pPr>
              <w:spacing w:line="240" w:lineRule="auto"/>
              <w:ind w:firstLineChars="0" w:firstLine="0"/>
              <w:jc w:val="center"/>
              <w:rPr>
                <w:sz w:val="21"/>
                <w:szCs w:val="21"/>
              </w:rPr>
            </w:pPr>
            <w:r>
              <w:rPr>
                <w:rFonts w:hAnsi="宋体" w:hint="eastAsia"/>
                <w:sz w:val="21"/>
                <w:szCs w:val="21"/>
              </w:rPr>
              <w:lastRenderedPageBreak/>
              <w:t>环保措施</w:t>
            </w:r>
          </w:p>
        </w:tc>
        <w:tc>
          <w:tcPr>
            <w:tcW w:w="11231" w:type="dxa"/>
            <w:gridSpan w:val="11"/>
            <w:vAlign w:val="center"/>
          </w:tcPr>
          <w:p w14:paraId="6D7EAC7F" w14:textId="77777777" w:rsidR="009D12AF" w:rsidRDefault="00000000">
            <w:pPr>
              <w:spacing w:line="240" w:lineRule="auto"/>
              <w:ind w:firstLineChars="0" w:firstLine="0"/>
              <w:jc w:val="center"/>
              <w:rPr>
                <w:sz w:val="21"/>
                <w:szCs w:val="21"/>
              </w:rPr>
            </w:pPr>
            <w:r>
              <w:rPr>
                <w:rFonts w:hAnsi="宋体" w:hint="eastAsia"/>
                <w:sz w:val="21"/>
                <w:szCs w:val="21"/>
              </w:rPr>
              <w:t>污水处理设施</w:t>
            </w:r>
            <w:r>
              <w:rPr>
                <w:sz w:val="21"/>
                <w:szCs w:val="21"/>
              </w:rPr>
              <w:t>□</w:t>
            </w:r>
            <w:r>
              <w:rPr>
                <w:rFonts w:hint="eastAsia"/>
                <w:sz w:val="21"/>
                <w:szCs w:val="21"/>
              </w:rPr>
              <w:t>；水文减缓设施</w:t>
            </w:r>
            <w:r>
              <w:rPr>
                <w:sz w:val="21"/>
                <w:szCs w:val="21"/>
              </w:rPr>
              <w:t>□</w:t>
            </w:r>
            <w:r>
              <w:rPr>
                <w:rFonts w:hint="eastAsia"/>
                <w:sz w:val="21"/>
                <w:szCs w:val="21"/>
              </w:rPr>
              <w:t>；生态流量保障措施</w:t>
            </w:r>
            <w:r>
              <w:rPr>
                <w:sz w:val="21"/>
                <w:szCs w:val="21"/>
              </w:rPr>
              <w:t>□</w:t>
            </w:r>
            <w:r>
              <w:rPr>
                <w:rFonts w:hint="eastAsia"/>
                <w:sz w:val="21"/>
                <w:szCs w:val="21"/>
              </w:rPr>
              <w:t>；区域削减</w:t>
            </w:r>
            <w:r>
              <w:rPr>
                <w:sz w:val="21"/>
                <w:szCs w:val="21"/>
              </w:rPr>
              <w:t>□</w:t>
            </w:r>
            <w:r>
              <w:rPr>
                <w:rFonts w:hint="eastAsia"/>
                <w:sz w:val="21"/>
                <w:szCs w:val="21"/>
              </w:rPr>
              <w:t>；依托其他工程措施</w:t>
            </w:r>
            <w:r>
              <w:rPr>
                <w:sz w:val="21"/>
                <w:szCs w:val="21"/>
              </w:rPr>
              <w:t>□</w:t>
            </w:r>
            <w:r>
              <w:rPr>
                <w:rFonts w:hint="eastAsia"/>
                <w:sz w:val="21"/>
                <w:szCs w:val="21"/>
              </w:rPr>
              <w:t>；其他</w:t>
            </w:r>
            <w:r>
              <w:rPr>
                <w:sz w:val="21"/>
                <w:szCs w:val="21"/>
              </w:rPr>
              <w:t>□</w:t>
            </w:r>
          </w:p>
        </w:tc>
      </w:tr>
      <w:tr w:rsidR="009D12AF" w14:paraId="3503D8D2" w14:textId="77777777">
        <w:trPr>
          <w:trHeight w:val="20"/>
          <w:jc w:val="center"/>
        </w:trPr>
        <w:tc>
          <w:tcPr>
            <w:tcW w:w="392" w:type="dxa"/>
            <w:vMerge/>
            <w:vAlign w:val="center"/>
          </w:tcPr>
          <w:p w14:paraId="0749DBC5" w14:textId="77777777" w:rsidR="009D12AF" w:rsidRDefault="009D12AF">
            <w:pPr>
              <w:widowControl/>
              <w:spacing w:line="240" w:lineRule="auto"/>
              <w:ind w:firstLineChars="0" w:firstLine="0"/>
              <w:jc w:val="center"/>
              <w:rPr>
                <w:rFonts w:eastAsia="Times New Roman"/>
                <w:sz w:val="21"/>
                <w:szCs w:val="21"/>
              </w:rPr>
            </w:pPr>
          </w:p>
        </w:tc>
        <w:tc>
          <w:tcPr>
            <w:tcW w:w="2551" w:type="dxa"/>
            <w:vMerge w:val="restart"/>
            <w:vAlign w:val="center"/>
          </w:tcPr>
          <w:p w14:paraId="3780DA8D" w14:textId="77777777" w:rsidR="009D12AF" w:rsidRDefault="00000000">
            <w:pPr>
              <w:spacing w:line="240" w:lineRule="auto"/>
              <w:ind w:firstLineChars="0" w:firstLine="0"/>
              <w:jc w:val="center"/>
              <w:rPr>
                <w:sz w:val="21"/>
                <w:szCs w:val="21"/>
              </w:rPr>
            </w:pPr>
            <w:r>
              <w:rPr>
                <w:rFonts w:hAnsi="宋体" w:hint="eastAsia"/>
                <w:sz w:val="21"/>
                <w:szCs w:val="21"/>
              </w:rPr>
              <w:t>监测计划</w:t>
            </w:r>
          </w:p>
        </w:tc>
        <w:tc>
          <w:tcPr>
            <w:tcW w:w="3743" w:type="dxa"/>
            <w:gridSpan w:val="3"/>
            <w:vAlign w:val="center"/>
          </w:tcPr>
          <w:p w14:paraId="654D1FB9" w14:textId="77777777" w:rsidR="009D12AF" w:rsidRDefault="009D12AF">
            <w:pPr>
              <w:spacing w:line="240" w:lineRule="auto"/>
              <w:ind w:firstLineChars="0" w:firstLine="0"/>
              <w:jc w:val="center"/>
              <w:rPr>
                <w:rFonts w:eastAsia="Times New Roman"/>
                <w:sz w:val="21"/>
                <w:szCs w:val="21"/>
              </w:rPr>
            </w:pPr>
          </w:p>
        </w:tc>
        <w:tc>
          <w:tcPr>
            <w:tcW w:w="3744" w:type="dxa"/>
            <w:gridSpan w:val="4"/>
            <w:vAlign w:val="center"/>
          </w:tcPr>
          <w:p w14:paraId="5AC6E781"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环境质量</w:t>
            </w:r>
          </w:p>
        </w:tc>
        <w:tc>
          <w:tcPr>
            <w:tcW w:w="3744" w:type="dxa"/>
            <w:gridSpan w:val="4"/>
            <w:vAlign w:val="center"/>
          </w:tcPr>
          <w:p w14:paraId="1BAC1DE7"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污染源</w:t>
            </w:r>
          </w:p>
        </w:tc>
      </w:tr>
      <w:tr w:rsidR="009D12AF" w14:paraId="546AA8DD" w14:textId="77777777">
        <w:trPr>
          <w:trHeight w:val="20"/>
          <w:jc w:val="center"/>
        </w:trPr>
        <w:tc>
          <w:tcPr>
            <w:tcW w:w="392" w:type="dxa"/>
            <w:vMerge/>
            <w:vAlign w:val="center"/>
          </w:tcPr>
          <w:p w14:paraId="6FA1C914" w14:textId="77777777" w:rsidR="009D12AF" w:rsidRDefault="009D12AF">
            <w:pPr>
              <w:widowControl/>
              <w:spacing w:line="240" w:lineRule="auto"/>
              <w:ind w:firstLineChars="0" w:firstLine="0"/>
              <w:jc w:val="center"/>
              <w:rPr>
                <w:rFonts w:eastAsia="Times New Roman"/>
                <w:sz w:val="21"/>
                <w:szCs w:val="21"/>
              </w:rPr>
            </w:pPr>
          </w:p>
        </w:tc>
        <w:tc>
          <w:tcPr>
            <w:tcW w:w="2551" w:type="dxa"/>
            <w:vMerge/>
            <w:vAlign w:val="center"/>
          </w:tcPr>
          <w:p w14:paraId="2CABE779" w14:textId="77777777" w:rsidR="009D12AF" w:rsidRDefault="009D12AF">
            <w:pPr>
              <w:widowControl/>
              <w:spacing w:line="240" w:lineRule="auto"/>
              <w:ind w:firstLineChars="0" w:firstLine="0"/>
              <w:jc w:val="center"/>
              <w:rPr>
                <w:sz w:val="21"/>
                <w:szCs w:val="21"/>
              </w:rPr>
            </w:pPr>
          </w:p>
        </w:tc>
        <w:tc>
          <w:tcPr>
            <w:tcW w:w="3743" w:type="dxa"/>
            <w:gridSpan w:val="3"/>
            <w:vAlign w:val="center"/>
          </w:tcPr>
          <w:p w14:paraId="59DBD350"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监测方式</w:t>
            </w:r>
          </w:p>
        </w:tc>
        <w:tc>
          <w:tcPr>
            <w:tcW w:w="3744" w:type="dxa"/>
            <w:gridSpan w:val="4"/>
            <w:vAlign w:val="center"/>
          </w:tcPr>
          <w:p w14:paraId="61469367"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手动</w:t>
            </w:r>
            <w:r>
              <w:rPr>
                <w:rFonts w:hint="eastAsia"/>
                <w:sz w:val="21"/>
                <w:szCs w:val="21"/>
              </w:rPr>
              <w:t>☑；自动</w:t>
            </w:r>
            <w:r>
              <w:rPr>
                <w:sz w:val="21"/>
                <w:szCs w:val="21"/>
              </w:rPr>
              <w:t>□</w:t>
            </w:r>
            <w:r>
              <w:rPr>
                <w:rFonts w:hint="eastAsia"/>
                <w:sz w:val="21"/>
                <w:szCs w:val="21"/>
              </w:rPr>
              <w:t>；无监测</w:t>
            </w:r>
            <w:r>
              <w:rPr>
                <w:sz w:val="21"/>
                <w:szCs w:val="21"/>
              </w:rPr>
              <w:t>□</w:t>
            </w:r>
          </w:p>
        </w:tc>
        <w:tc>
          <w:tcPr>
            <w:tcW w:w="3744" w:type="dxa"/>
            <w:gridSpan w:val="4"/>
            <w:vAlign w:val="center"/>
          </w:tcPr>
          <w:p w14:paraId="6B91D379" w14:textId="77777777" w:rsidR="009D12AF" w:rsidRDefault="00000000">
            <w:pPr>
              <w:spacing w:line="240" w:lineRule="auto"/>
              <w:ind w:firstLineChars="0" w:firstLine="0"/>
              <w:jc w:val="center"/>
              <w:rPr>
                <w:sz w:val="21"/>
                <w:szCs w:val="21"/>
              </w:rPr>
            </w:pPr>
            <w:r>
              <w:rPr>
                <w:rFonts w:hAnsi="宋体" w:hint="eastAsia"/>
                <w:sz w:val="21"/>
                <w:szCs w:val="21"/>
              </w:rPr>
              <w:t>手动</w:t>
            </w:r>
            <w:r>
              <w:rPr>
                <w:rFonts w:hint="eastAsia"/>
                <w:sz w:val="21"/>
                <w:szCs w:val="21"/>
              </w:rPr>
              <w:t>☑；自动</w:t>
            </w:r>
            <w:r>
              <w:rPr>
                <w:sz w:val="21"/>
                <w:szCs w:val="21"/>
              </w:rPr>
              <w:t>□</w:t>
            </w:r>
            <w:r>
              <w:rPr>
                <w:rFonts w:hint="eastAsia"/>
                <w:sz w:val="21"/>
                <w:szCs w:val="21"/>
              </w:rPr>
              <w:t>；无监测□</w:t>
            </w:r>
          </w:p>
        </w:tc>
      </w:tr>
      <w:tr w:rsidR="009D12AF" w14:paraId="240F7AC1" w14:textId="77777777">
        <w:trPr>
          <w:trHeight w:val="20"/>
          <w:jc w:val="center"/>
        </w:trPr>
        <w:tc>
          <w:tcPr>
            <w:tcW w:w="392" w:type="dxa"/>
            <w:vMerge/>
            <w:vAlign w:val="center"/>
          </w:tcPr>
          <w:p w14:paraId="1ADD134F" w14:textId="77777777" w:rsidR="009D12AF" w:rsidRDefault="009D12AF">
            <w:pPr>
              <w:widowControl/>
              <w:spacing w:line="240" w:lineRule="auto"/>
              <w:ind w:firstLineChars="0" w:firstLine="0"/>
              <w:jc w:val="center"/>
              <w:rPr>
                <w:rFonts w:eastAsia="Times New Roman"/>
                <w:sz w:val="21"/>
                <w:szCs w:val="21"/>
              </w:rPr>
            </w:pPr>
          </w:p>
        </w:tc>
        <w:tc>
          <w:tcPr>
            <w:tcW w:w="2551" w:type="dxa"/>
            <w:vMerge/>
            <w:vAlign w:val="center"/>
          </w:tcPr>
          <w:p w14:paraId="2E3A7C31" w14:textId="77777777" w:rsidR="009D12AF" w:rsidRDefault="009D12AF">
            <w:pPr>
              <w:widowControl/>
              <w:spacing w:line="240" w:lineRule="auto"/>
              <w:ind w:firstLineChars="0" w:firstLine="0"/>
              <w:jc w:val="center"/>
              <w:rPr>
                <w:sz w:val="21"/>
                <w:szCs w:val="21"/>
              </w:rPr>
            </w:pPr>
          </w:p>
        </w:tc>
        <w:tc>
          <w:tcPr>
            <w:tcW w:w="3743" w:type="dxa"/>
            <w:gridSpan w:val="3"/>
            <w:vAlign w:val="center"/>
          </w:tcPr>
          <w:p w14:paraId="14BB2A03"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监测点位</w:t>
            </w:r>
          </w:p>
        </w:tc>
        <w:tc>
          <w:tcPr>
            <w:tcW w:w="3744" w:type="dxa"/>
            <w:gridSpan w:val="4"/>
            <w:vAlign w:val="center"/>
          </w:tcPr>
          <w:p w14:paraId="6B477022"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w:t>
            </w:r>
          </w:p>
        </w:tc>
        <w:tc>
          <w:tcPr>
            <w:tcW w:w="3744" w:type="dxa"/>
            <w:gridSpan w:val="4"/>
            <w:vAlign w:val="center"/>
          </w:tcPr>
          <w:p w14:paraId="2EA5A749"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w:t>
            </w:r>
          </w:p>
        </w:tc>
      </w:tr>
      <w:tr w:rsidR="009D12AF" w14:paraId="7DADFC82" w14:textId="77777777">
        <w:trPr>
          <w:trHeight w:val="20"/>
          <w:jc w:val="center"/>
        </w:trPr>
        <w:tc>
          <w:tcPr>
            <w:tcW w:w="392" w:type="dxa"/>
            <w:vMerge/>
            <w:vAlign w:val="center"/>
          </w:tcPr>
          <w:p w14:paraId="00E512C9" w14:textId="77777777" w:rsidR="009D12AF" w:rsidRDefault="009D12AF">
            <w:pPr>
              <w:widowControl/>
              <w:spacing w:line="240" w:lineRule="auto"/>
              <w:ind w:firstLineChars="0" w:firstLine="0"/>
              <w:jc w:val="center"/>
              <w:rPr>
                <w:rFonts w:eastAsia="Times New Roman"/>
                <w:sz w:val="21"/>
                <w:szCs w:val="21"/>
              </w:rPr>
            </w:pPr>
          </w:p>
        </w:tc>
        <w:tc>
          <w:tcPr>
            <w:tcW w:w="2551" w:type="dxa"/>
            <w:vMerge/>
            <w:vAlign w:val="center"/>
          </w:tcPr>
          <w:p w14:paraId="6F0E663C" w14:textId="77777777" w:rsidR="009D12AF" w:rsidRDefault="009D12AF">
            <w:pPr>
              <w:widowControl/>
              <w:spacing w:line="240" w:lineRule="auto"/>
              <w:ind w:firstLineChars="0" w:firstLine="0"/>
              <w:jc w:val="center"/>
              <w:rPr>
                <w:sz w:val="21"/>
                <w:szCs w:val="21"/>
              </w:rPr>
            </w:pPr>
          </w:p>
        </w:tc>
        <w:tc>
          <w:tcPr>
            <w:tcW w:w="3743" w:type="dxa"/>
            <w:gridSpan w:val="3"/>
            <w:vAlign w:val="center"/>
          </w:tcPr>
          <w:p w14:paraId="1674F500"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监测因子</w:t>
            </w:r>
          </w:p>
        </w:tc>
        <w:tc>
          <w:tcPr>
            <w:tcW w:w="3744" w:type="dxa"/>
            <w:gridSpan w:val="4"/>
            <w:vAlign w:val="center"/>
          </w:tcPr>
          <w:p w14:paraId="1FE7C0EB"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w:t>
            </w:r>
          </w:p>
        </w:tc>
        <w:tc>
          <w:tcPr>
            <w:tcW w:w="3744" w:type="dxa"/>
            <w:gridSpan w:val="4"/>
            <w:vAlign w:val="center"/>
          </w:tcPr>
          <w:p w14:paraId="18E0A887"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w:t>
            </w:r>
          </w:p>
        </w:tc>
      </w:tr>
      <w:tr w:rsidR="009D12AF" w14:paraId="337A35BB" w14:textId="77777777">
        <w:trPr>
          <w:trHeight w:val="20"/>
          <w:jc w:val="center"/>
        </w:trPr>
        <w:tc>
          <w:tcPr>
            <w:tcW w:w="392" w:type="dxa"/>
            <w:vMerge/>
            <w:vAlign w:val="center"/>
          </w:tcPr>
          <w:p w14:paraId="16BD13A5" w14:textId="77777777" w:rsidR="009D12AF" w:rsidRDefault="009D12AF">
            <w:pPr>
              <w:widowControl/>
              <w:spacing w:line="240" w:lineRule="auto"/>
              <w:ind w:firstLineChars="0" w:firstLine="0"/>
              <w:jc w:val="center"/>
              <w:rPr>
                <w:rFonts w:eastAsia="Times New Roman"/>
                <w:sz w:val="21"/>
                <w:szCs w:val="21"/>
              </w:rPr>
            </w:pPr>
          </w:p>
        </w:tc>
        <w:tc>
          <w:tcPr>
            <w:tcW w:w="2551" w:type="dxa"/>
            <w:vAlign w:val="center"/>
          </w:tcPr>
          <w:p w14:paraId="6EA763B3" w14:textId="77777777" w:rsidR="009D12AF" w:rsidRDefault="00000000">
            <w:pPr>
              <w:spacing w:line="240" w:lineRule="auto"/>
              <w:ind w:firstLineChars="0" w:firstLine="0"/>
              <w:jc w:val="center"/>
              <w:rPr>
                <w:sz w:val="21"/>
                <w:szCs w:val="21"/>
              </w:rPr>
            </w:pPr>
            <w:r>
              <w:rPr>
                <w:rFonts w:hAnsi="宋体" w:hint="eastAsia"/>
                <w:sz w:val="21"/>
                <w:szCs w:val="21"/>
              </w:rPr>
              <w:t>污染物排放清单</w:t>
            </w:r>
          </w:p>
        </w:tc>
        <w:tc>
          <w:tcPr>
            <w:tcW w:w="11231" w:type="dxa"/>
            <w:gridSpan w:val="11"/>
            <w:vAlign w:val="center"/>
          </w:tcPr>
          <w:p w14:paraId="26A8C42A" w14:textId="77777777" w:rsidR="009D12AF" w:rsidRDefault="00000000">
            <w:pPr>
              <w:spacing w:line="240" w:lineRule="auto"/>
              <w:ind w:firstLineChars="0" w:firstLine="0"/>
              <w:jc w:val="center"/>
              <w:rPr>
                <w:rFonts w:eastAsia="Times New Roman"/>
                <w:sz w:val="21"/>
                <w:szCs w:val="21"/>
              </w:rPr>
            </w:pPr>
            <w:r>
              <w:rPr>
                <w:rFonts w:eastAsia="Times New Roman"/>
                <w:sz w:val="21"/>
                <w:szCs w:val="21"/>
              </w:rPr>
              <w:t>√</w:t>
            </w:r>
          </w:p>
        </w:tc>
      </w:tr>
      <w:tr w:rsidR="009D12AF" w14:paraId="3025E4D0" w14:textId="77777777">
        <w:trPr>
          <w:trHeight w:val="20"/>
          <w:jc w:val="center"/>
        </w:trPr>
        <w:tc>
          <w:tcPr>
            <w:tcW w:w="392" w:type="dxa"/>
            <w:vMerge/>
            <w:vAlign w:val="center"/>
          </w:tcPr>
          <w:p w14:paraId="726C22CB" w14:textId="77777777" w:rsidR="009D12AF" w:rsidRDefault="009D12AF">
            <w:pPr>
              <w:widowControl/>
              <w:spacing w:line="240" w:lineRule="auto"/>
              <w:ind w:firstLineChars="0" w:firstLine="0"/>
              <w:jc w:val="center"/>
              <w:rPr>
                <w:rFonts w:eastAsia="Times New Roman"/>
                <w:sz w:val="21"/>
                <w:szCs w:val="21"/>
              </w:rPr>
            </w:pPr>
          </w:p>
        </w:tc>
        <w:tc>
          <w:tcPr>
            <w:tcW w:w="2551" w:type="dxa"/>
            <w:vAlign w:val="center"/>
          </w:tcPr>
          <w:p w14:paraId="397FBA1C" w14:textId="77777777" w:rsidR="009D12AF" w:rsidRDefault="00000000">
            <w:pPr>
              <w:spacing w:line="240" w:lineRule="auto"/>
              <w:ind w:firstLineChars="0" w:firstLine="0"/>
              <w:jc w:val="center"/>
              <w:rPr>
                <w:sz w:val="21"/>
                <w:szCs w:val="21"/>
              </w:rPr>
            </w:pPr>
            <w:r>
              <w:rPr>
                <w:rFonts w:hAnsi="宋体" w:hint="eastAsia"/>
                <w:sz w:val="21"/>
                <w:szCs w:val="21"/>
              </w:rPr>
              <w:t>评价结论</w:t>
            </w:r>
          </w:p>
        </w:tc>
        <w:tc>
          <w:tcPr>
            <w:tcW w:w="11231" w:type="dxa"/>
            <w:gridSpan w:val="11"/>
            <w:vAlign w:val="center"/>
          </w:tcPr>
          <w:p w14:paraId="7413A174"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可以接受</w:t>
            </w:r>
            <w:r>
              <w:rPr>
                <w:rFonts w:eastAsia="Times New Roman"/>
                <w:sz w:val="21"/>
                <w:szCs w:val="21"/>
              </w:rPr>
              <w:t>√</w:t>
            </w:r>
            <w:r>
              <w:rPr>
                <w:rFonts w:hint="eastAsia"/>
                <w:sz w:val="21"/>
                <w:szCs w:val="21"/>
              </w:rPr>
              <w:t>；不可以接受</w:t>
            </w:r>
            <w:r>
              <w:rPr>
                <w:sz w:val="21"/>
                <w:szCs w:val="21"/>
              </w:rPr>
              <w:t>□</w:t>
            </w:r>
          </w:p>
        </w:tc>
      </w:tr>
      <w:tr w:rsidR="009D12AF" w14:paraId="663112FC" w14:textId="77777777">
        <w:trPr>
          <w:trHeight w:val="20"/>
          <w:jc w:val="center"/>
        </w:trPr>
        <w:tc>
          <w:tcPr>
            <w:tcW w:w="14174" w:type="dxa"/>
            <w:gridSpan w:val="13"/>
            <w:vAlign w:val="center"/>
          </w:tcPr>
          <w:p w14:paraId="38C7DB33" w14:textId="77777777" w:rsidR="009D12AF" w:rsidRDefault="00000000">
            <w:pPr>
              <w:spacing w:line="240" w:lineRule="auto"/>
              <w:ind w:firstLineChars="0" w:firstLine="0"/>
              <w:jc w:val="center"/>
              <w:rPr>
                <w:rFonts w:eastAsia="Times New Roman"/>
                <w:sz w:val="21"/>
                <w:szCs w:val="21"/>
              </w:rPr>
            </w:pPr>
            <w:r>
              <w:rPr>
                <w:rFonts w:hAnsi="宋体" w:hint="eastAsia"/>
                <w:sz w:val="21"/>
                <w:szCs w:val="21"/>
              </w:rPr>
              <w:t>注：</w:t>
            </w:r>
            <w:r>
              <w:rPr>
                <w:rFonts w:eastAsia="Times New Roman"/>
                <w:sz w:val="21"/>
                <w:szCs w:val="21"/>
              </w:rPr>
              <w:t>“</w:t>
            </w:r>
            <w:r>
              <w:rPr>
                <w:sz w:val="21"/>
                <w:szCs w:val="21"/>
              </w:rPr>
              <w:t>□</w:t>
            </w:r>
            <w:r>
              <w:rPr>
                <w:rFonts w:eastAsia="Times New Roman"/>
                <w:sz w:val="21"/>
                <w:szCs w:val="21"/>
              </w:rPr>
              <w:t>”</w:t>
            </w:r>
            <w:r>
              <w:rPr>
                <w:rFonts w:hAnsi="宋体" w:hint="eastAsia"/>
                <w:sz w:val="21"/>
                <w:szCs w:val="21"/>
              </w:rPr>
              <w:t>为勾选项，可</w:t>
            </w:r>
            <w:r>
              <w:rPr>
                <w:rFonts w:eastAsia="Times New Roman"/>
                <w:sz w:val="21"/>
                <w:szCs w:val="21"/>
              </w:rPr>
              <w:t>√</w:t>
            </w:r>
            <w:r>
              <w:rPr>
                <w:rFonts w:hAnsi="宋体" w:hint="eastAsia"/>
                <w:sz w:val="21"/>
                <w:szCs w:val="21"/>
              </w:rPr>
              <w:t>；</w:t>
            </w:r>
            <w:r>
              <w:rPr>
                <w:rFonts w:eastAsia="Times New Roman"/>
                <w:sz w:val="21"/>
                <w:szCs w:val="21"/>
              </w:rPr>
              <w:t>“</w:t>
            </w:r>
            <w:r>
              <w:rPr>
                <w:rFonts w:hAnsi="宋体" w:hint="eastAsia"/>
                <w:sz w:val="21"/>
                <w:szCs w:val="21"/>
              </w:rPr>
              <w:t>（）</w:t>
            </w:r>
            <w:r>
              <w:rPr>
                <w:rFonts w:eastAsia="Times New Roman"/>
                <w:sz w:val="21"/>
                <w:szCs w:val="21"/>
              </w:rPr>
              <w:t>”</w:t>
            </w:r>
            <w:r>
              <w:rPr>
                <w:rFonts w:hAnsi="宋体" w:hint="eastAsia"/>
                <w:sz w:val="21"/>
                <w:szCs w:val="21"/>
              </w:rPr>
              <w:t>为内容填写项；</w:t>
            </w:r>
            <w:r>
              <w:rPr>
                <w:rFonts w:eastAsia="Times New Roman"/>
                <w:sz w:val="21"/>
                <w:szCs w:val="21"/>
              </w:rPr>
              <w:t>“</w:t>
            </w:r>
            <w:r>
              <w:rPr>
                <w:rFonts w:hAnsi="宋体" w:hint="eastAsia"/>
                <w:sz w:val="21"/>
                <w:szCs w:val="21"/>
              </w:rPr>
              <w:t>备注</w:t>
            </w:r>
            <w:r>
              <w:rPr>
                <w:rFonts w:eastAsia="Times New Roman"/>
                <w:sz w:val="21"/>
                <w:szCs w:val="21"/>
              </w:rPr>
              <w:t>”</w:t>
            </w:r>
            <w:r>
              <w:rPr>
                <w:rFonts w:hAnsi="宋体" w:hint="eastAsia"/>
                <w:sz w:val="21"/>
                <w:szCs w:val="21"/>
              </w:rPr>
              <w:t>为其他补充内容。</w:t>
            </w:r>
          </w:p>
        </w:tc>
      </w:tr>
    </w:tbl>
    <w:p w14:paraId="03B23720" w14:textId="77777777" w:rsidR="009D12AF" w:rsidRDefault="009D12AF">
      <w:pPr>
        <w:ind w:firstLineChars="0" w:firstLine="0"/>
        <w:jc w:val="center"/>
        <w:rPr>
          <w:rFonts w:ascii="Times New Roman" w:hAnsi="Times New Roman" w:cs="Times New Roman"/>
          <w:highlight w:val="yellow"/>
        </w:rPr>
        <w:sectPr w:rsidR="009D12AF">
          <w:pgSz w:w="16838" w:h="11906" w:orient="landscape"/>
          <w:pgMar w:top="1800" w:right="1440" w:bottom="1800" w:left="1440" w:header="851" w:footer="992" w:gutter="0"/>
          <w:cols w:space="425"/>
          <w:docGrid w:type="lines" w:linePitch="326"/>
        </w:sectPr>
      </w:pPr>
    </w:p>
    <w:p w14:paraId="66F9777A" w14:textId="77777777" w:rsidR="009D12AF" w:rsidRDefault="00000000">
      <w:pPr>
        <w:pStyle w:val="2"/>
      </w:pPr>
      <w:bookmarkStart w:id="516" w:name="_Toc11493"/>
      <w:bookmarkStart w:id="517" w:name="_Toc8217"/>
      <w:bookmarkStart w:id="518" w:name="_Toc149123024"/>
      <w:bookmarkStart w:id="519" w:name="_Toc2210"/>
      <w:r>
        <w:rPr>
          <w:rFonts w:hint="eastAsia"/>
        </w:rPr>
        <w:lastRenderedPageBreak/>
        <w:t>附表</w:t>
      </w:r>
      <w:r>
        <w:rPr>
          <w:rFonts w:hint="eastAsia"/>
        </w:rPr>
        <w:t>3</w:t>
      </w:r>
      <w:r>
        <w:rPr>
          <w:rFonts w:hint="eastAsia"/>
        </w:rPr>
        <w:t>声环境影响评价自查表</w:t>
      </w:r>
      <w:bookmarkEnd w:id="516"/>
      <w:bookmarkEnd w:id="517"/>
      <w:bookmarkEnd w:id="518"/>
      <w:bookmarkEnd w:id="519"/>
    </w:p>
    <w:tbl>
      <w:tblPr>
        <w:tblStyle w:val="TableNormal"/>
        <w:tblW w:w="5036" w:type="pct"/>
        <w:tblInd w:w="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933"/>
        <w:gridCol w:w="1508"/>
        <w:gridCol w:w="835"/>
        <w:gridCol w:w="514"/>
        <w:gridCol w:w="294"/>
        <w:gridCol w:w="65"/>
        <w:gridCol w:w="269"/>
        <w:gridCol w:w="887"/>
        <w:gridCol w:w="22"/>
        <w:gridCol w:w="393"/>
        <w:gridCol w:w="636"/>
        <w:gridCol w:w="512"/>
        <w:gridCol w:w="477"/>
        <w:gridCol w:w="1051"/>
      </w:tblGrid>
      <w:tr w:rsidR="009D12AF" w14:paraId="286FF703" w14:textId="77777777">
        <w:trPr>
          <w:trHeight w:val="454"/>
        </w:trPr>
        <w:tc>
          <w:tcPr>
            <w:tcW w:w="1454" w:type="pct"/>
            <w:gridSpan w:val="2"/>
            <w:tcBorders>
              <w:top w:val="single" w:sz="12" w:space="0" w:color="000000"/>
              <w:left w:val="single" w:sz="12" w:space="0" w:color="000000"/>
              <w:bottom w:val="single" w:sz="4" w:space="0" w:color="000000"/>
              <w:right w:val="single" w:sz="4" w:space="0" w:color="000000"/>
            </w:tcBorders>
            <w:vAlign w:val="center"/>
          </w:tcPr>
          <w:p w14:paraId="0B696DA6"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工作内容</w:t>
            </w:r>
          </w:p>
        </w:tc>
        <w:tc>
          <w:tcPr>
            <w:tcW w:w="3545" w:type="pct"/>
            <w:gridSpan w:val="12"/>
            <w:tcBorders>
              <w:top w:val="single" w:sz="12" w:space="0" w:color="000000"/>
              <w:left w:val="single" w:sz="4" w:space="0" w:color="000000"/>
              <w:bottom w:val="single" w:sz="4" w:space="0" w:color="000000"/>
              <w:right w:val="single" w:sz="12" w:space="0" w:color="000000"/>
            </w:tcBorders>
            <w:vAlign w:val="center"/>
          </w:tcPr>
          <w:p w14:paraId="66A0231D"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自查项目</w:t>
            </w:r>
          </w:p>
        </w:tc>
      </w:tr>
      <w:tr w:rsidR="009D12AF" w14:paraId="4BFF6EBB" w14:textId="77777777">
        <w:trPr>
          <w:trHeight w:val="454"/>
        </w:trPr>
        <w:tc>
          <w:tcPr>
            <w:tcW w:w="556" w:type="pct"/>
            <w:vMerge w:val="restart"/>
            <w:tcBorders>
              <w:top w:val="single" w:sz="4" w:space="0" w:color="000000"/>
              <w:left w:val="single" w:sz="12" w:space="0" w:color="000000"/>
              <w:bottom w:val="single" w:sz="4" w:space="0" w:color="000000"/>
              <w:right w:val="single" w:sz="4" w:space="0" w:color="000000"/>
            </w:tcBorders>
            <w:vAlign w:val="center"/>
          </w:tcPr>
          <w:p w14:paraId="6A640202"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评价等级与范围</w:t>
            </w:r>
          </w:p>
        </w:tc>
        <w:tc>
          <w:tcPr>
            <w:tcW w:w="898" w:type="pct"/>
            <w:tcBorders>
              <w:top w:val="single" w:sz="4" w:space="0" w:color="000000"/>
              <w:left w:val="single" w:sz="4" w:space="0" w:color="000000"/>
              <w:bottom w:val="single" w:sz="4" w:space="0" w:color="000000"/>
              <w:right w:val="single" w:sz="4" w:space="0" w:color="000000"/>
            </w:tcBorders>
            <w:vAlign w:val="center"/>
          </w:tcPr>
          <w:p w14:paraId="19ADF15A"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评价等级</w:t>
            </w:r>
          </w:p>
        </w:tc>
        <w:tc>
          <w:tcPr>
            <w:tcW w:w="1177" w:type="pct"/>
            <w:gridSpan w:val="5"/>
            <w:tcBorders>
              <w:top w:val="single" w:sz="4" w:space="0" w:color="000000"/>
              <w:left w:val="single" w:sz="4" w:space="0" w:color="000000"/>
              <w:bottom w:val="single" w:sz="4" w:space="0" w:color="000000"/>
              <w:right w:val="single" w:sz="4" w:space="0" w:color="000000"/>
            </w:tcBorders>
            <w:vAlign w:val="center"/>
          </w:tcPr>
          <w:p w14:paraId="4110CF61" w14:textId="77777777" w:rsidR="009D12AF" w:rsidRDefault="00000000">
            <w:pPr>
              <w:pStyle w:val="TableParagraph"/>
              <w:tabs>
                <w:tab w:val="left" w:pos="2103"/>
                <w:tab w:val="left" w:pos="3635"/>
              </w:tabs>
              <w:jc w:val="center"/>
              <w:rPr>
                <w:rFonts w:ascii="宋体" w:eastAsia="宋体" w:hAnsi="宋体" w:cs="宋体" w:hint="eastAsia"/>
                <w:sz w:val="21"/>
                <w:szCs w:val="21"/>
                <w:lang w:val="zh-CN" w:bidi="zh-CN"/>
              </w:rPr>
            </w:pPr>
            <w:r>
              <w:rPr>
                <w:rFonts w:ascii="宋体" w:eastAsia="宋体" w:hAnsi="宋体" w:cs="宋体" w:hint="eastAsia"/>
                <w:sz w:val="21"/>
                <w:szCs w:val="21"/>
              </w:rPr>
              <w:t>一级□</w:t>
            </w:r>
          </w:p>
        </w:tc>
        <w:tc>
          <w:tcPr>
            <w:tcW w:w="1151" w:type="pct"/>
            <w:gridSpan w:val="4"/>
            <w:tcBorders>
              <w:top w:val="single" w:sz="4" w:space="0" w:color="000000"/>
              <w:left w:val="single" w:sz="4" w:space="0" w:color="000000"/>
              <w:bottom w:val="single" w:sz="4" w:space="0" w:color="000000"/>
              <w:right w:val="single" w:sz="4" w:space="0" w:color="000000"/>
            </w:tcBorders>
            <w:vAlign w:val="center"/>
          </w:tcPr>
          <w:p w14:paraId="3CF0933B" w14:textId="77777777" w:rsidR="009D12AF" w:rsidRDefault="00000000">
            <w:pPr>
              <w:pStyle w:val="TableParagraph"/>
              <w:tabs>
                <w:tab w:val="left" w:pos="2103"/>
                <w:tab w:val="left" w:pos="3635"/>
              </w:tabs>
              <w:jc w:val="center"/>
              <w:rPr>
                <w:rFonts w:ascii="宋体" w:eastAsia="宋体" w:hAnsi="宋体" w:cs="宋体" w:hint="eastAsia"/>
                <w:sz w:val="21"/>
                <w:szCs w:val="21"/>
                <w:lang w:val="zh-CN" w:eastAsia="zh-CN" w:bidi="zh-CN"/>
              </w:rPr>
            </w:pPr>
            <w:r>
              <w:rPr>
                <w:rFonts w:ascii="宋体" w:eastAsia="宋体" w:hAnsi="宋体" w:cs="宋体" w:hint="eastAsia"/>
                <w:sz w:val="21"/>
                <w:szCs w:val="21"/>
              </w:rPr>
              <w:t>二</w:t>
            </w:r>
            <w:r>
              <w:rPr>
                <w:rFonts w:ascii="宋体" w:eastAsia="宋体" w:hAnsi="宋体" w:cs="宋体" w:hint="eastAsia"/>
                <w:spacing w:val="-3"/>
                <w:sz w:val="21"/>
                <w:szCs w:val="21"/>
              </w:rPr>
              <w:t>级</w:t>
            </w:r>
            <w:r>
              <w:rPr>
                <w:rFonts w:ascii="宋体" w:eastAsia="宋体" w:hAnsi="宋体" w:cs="宋体" w:hint="eastAsia"/>
                <w:sz w:val="21"/>
                <w:szCs w:val="21"/>
                <w:lang w:eastAsia="zh-CN"/>
              </w:rPr>
              <w:t>☑</w:t>
            </w:r>
          </w:p>
        </w:tc>
        <w:tc>
          <w:tcPr>
            <w:tcW w:w="1216" w:type="pct"/>
            <w:gridSpan w:val="3"/>
            <w:tcBorders>
              <w:top w:val="single" w:sz="4" w:space="0" w:color="000000"/>
              <w:left w:val="single" w:sz="4" w:space="0" w:color="000000"/>
              <w:bottom w:val="single" w:sz="4" w:space="0" w:color="000000"/>
              <w:right w:val="single" w:sz="12" w:space="0" w:color="000000"/>
            </w:tcBorders>
            <w:vAlign w:val="center"/>
          </w:tcPr>
          <w:p w14:paraId="744D13D9" w14:textId="77777777" w:rsidR="009D12AF" w:rsidRDefault="00000000">
            <w:pPr>
              <w:pStyle w:val="TableParagraph"/>
              <w:tabs>
                <w:tab w:val="left" w:pos="2103"/>
                <w:tab w:val="left" w:pos="3635"/>
              </w:tabs>
              <w:jc w:val="center"/>
              <w:rPr>
                <w:rFonts w:ascii="宋体" w:eastAsia="宋体" w:hAnsi="宋体" w:cs="宋体" w:hint="eastAsia"/>
                <w:sz w:val="21"/>
                <w:szCs w:val="21"/>
                <w:lang w:val="zh-CN" w:bidi="zh-CN"/>
              </w:rPr>
            </w:pPr>
            <w:r>
              <w:rPr>
                <w:rFonts w:ascii="宋体" w:eastAsia="宋体" w:hAnsi="宋体" w:cs="宋体" w:hint="eastAsia"/>
                <w:sz w:val="21"/>
                <w:szCs w:val="21"/>
              </w:rPr>
              <w:t>三级□</w:t>
            </w:r>
          </w:p>
        </w:tc>
      </w:tr>
      <w:tr w:rsidR="009D12AF" w14:paraId="038A2D98" w14:textId="77777777">
        <w:trPr>
          <w:trHeight w:val="454"/>
        </w:trPr>
        <w:tc>
          <w:tcPr>
            <w:tcW w:w="556" w:type="pct"/>
            <w:vMerge/>
            <w:tcBorders>
              <w:top w:val="single" w:sz="4" w:space="0" w:color="000000"/>
              <w:left w:val="single" w:sz="12" w:space="0" w:color="000000"/>
              <w:bottom w:val="single" w:sz="4" w:space="0" w:color="000000"/>
              <w:right w:val="single" w:sz="4" w:space="0" w:color="000000"/>
            </w:tcBorders>
            <w:vAlign w:val="center"/>
          </w:tcPr>
          <w:p w14:paraId="2147E25D" w14:textId="77777777" w:rsidR="009D12AF" w:rsidRDefault="009D12AF">
            <w:pPr>
              <w:widowControl/>
              <w:autoSpaceDE/>
              <w:autoSpaceDN/>
              <w:spacing w:line="240" w:lineRule="auto"/>
              <w:ind w:firstLineChars="0" w:firstLine="0"/>
              <w:jc w:val="center"/>
              <w:rPr>
                <w:rFonts w:ascii="宋体" w:eastAsia="宋体" w:hAnsi="宋体" w:cs="宋体" w:hint="eastAsia"/>
                <w:sz w:val="21"/>
                <w:szCs w:val="21"/>
                <w:lang w:val="zh-CN" w:eastAsia="en-US" w:bidi="zh-CN"/>
              </w:rPr>
            </w:pPr>
          </w:p>
        </w:tc>
        <w:tc>
          <w:tcPr>
            <w:tcW w:w="898" w:type="pct"/>
            <w:tcBorders>
              <w:top w:val="single" w:sz="4" w:space="0" w:color="000000"/>
              <w:left w:val="single" w:sz="4" w:space="0" w:color="000000"/>
              <w:bottom w:val="single" w:sz="4" w:space="0" w:color="000000"/>
              <w:right w:val="single" w:sz="4" w:space="0" w:color="000000"/>
            </w:tcBorders>
            <w:vAlign w:val="center"/>
          </w:tcPr>
          <w:p w14:paraId="5DC3C8E0"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评价范围</w:t>
            </w:r>
          </w:p>
        </w:tc>
        <w:tc>
          <w:tcPr>
            <w:tcW w:w="1177" w:type="pct"/>
            <w:gridSpan w:val="5"/>
            <w:tcBorders>
              <w:top w:val="single" w:sz="4" w:space="0" w:color="000000"/>
              <w:left w:val="single" w:sz="4" w:space="0" w:color="000000"/>
              <w:bottom w:val="single" w:sz="4" w:space="0" w:color="000000"/>
              <w:right w:val="single" w:sz="4" w:space="0" w:color="000000"/>
            </w:tcBorders>
            <w:vAlign w:val="center"/>
          </w:tcPr>
          <w:p w14:paraId="3AFE10F8" w14:textId="77777777" w:rsidR="009D12AF" w:rsidRDefault="00000000">
            <w:pPr>
              <w:pStyle w:val="TableParagraph"/>
              <w:tabs>
                <w:tab w:val="left" w:pos="2384"/>
                <w:tab w:val="left" w:pos="5315"/>
              </w:tabs>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eastAsia="zh-CN"/>
              </w:rPr>
              <w:t>200m☑</w:t>
            </w:r>
          </w:p>
        </w:tc>
        <w:tc>
          <w:tcPr>
            <w:tcW w:w="1151" w:type="pct"/>
            <w:gridSpan w:val="4"/>
            <w:tcBorders>
              <w:top w:val="single" w:sz="4" w:space="0" w:color="000000"/>
              <w:left w:val="single" w:sz="4" w:space="0" w:color="000000"/>
              <w:bottom w:val="single" w:sz="4" w:space="0" w:color="000000"/>
              <w:right w:val="single" w:sz="4" w:space="0" w:color="000000"/>
            </w:tcBorders>
            <w:vAlign w:val="center"/>
          </w:tcPr>
          <w:p w14:paraId="3FDDBA88" w14:textId="77777777" w:rsidR="009D12AF" w:rsidRDefault="00000000">
            <w:pPr>
              <w:pStyle w:val="TableParagraph"/>
              <w:tabs>
                <w:tab w:val="left" w:pos="2384"/>
                <w:tab w:val="left" w:pos="5315"/>
              </w:tabs>
              <w:jc w:val="center"/>
              <w:rPr>
                <w:rFonts w:ascii="宋体" w:eastAsia="宋体" w:hAnsi="宋体" w:cs="宋体" w:hint="eastAsia"/>
                <w:sz w:val="21"/>
                <w:szCs w:val="21"/>
                <w:lang w:val="zh-CN" w:eastAsia="zh-CN" w:bidi="zh-CN"/>
              </w:rPr>
            </w:pPr>
            <w:r>
              <w:rPr>
                <w:rFonts w:ascii="宋体" w:eastAsia="宋体" w:hAnsi="宋体" w:cs="宋体" w:hint="eastAsia"/>
                <w:spacing w:val="-3"/>
                <w:sz w:val="21"/>
                <w:szCs w:val="21"/>
                <w:lang w:eastAsia="zh-CN"/>
              </w:rPr>
              <w:t>大</w:t>
            </w:r>
            <w:r>
              <w:rPr>
                <w:rFonts w:ascii="宋体" w:eastAsia="宋体" w:hAnsi="宋体" w:cs="宋体" w:hint="eastAsia"/>
                <w:sz w:val="21"/>
                <w:szCs w:val="21"/>
                <w:lang w:eastAsia="zh-CN"/>
              </w:rPr>
              <w:t>于200m□</w:t>
            </w:r>
          </w:p>
        </w:tc>
        <w:tc>
          <w:tcPr>
            <w:tcW w:w="1216" w:type="pct"/>
            <w:gridSpan w:val="3"/>
            <w:tcBorders>
              <w:top w:val="single" w:sz="4" w:space="0" w:color="000000"/>
              <w:left w:val="single" w:sz="4" w:space="0" w:color="000000"/>
              <w:bottom w:val="single" w:sz="4" w:space="0" w:color="000000"/>
              <w:right w:val="single" w:sz="12" w:space="0" w:color="000000"/>
            </w:tcBorders>
            <w:vAlign w:val="center"/>
          </w:tcPr>
          <w:p w14:paraId="3849D557" w14:textId="77777777" w:rsidR="009D12AF" w:rsidRDefault="00000000">
            <w:pPr>
              <w:pStyle w:val="TableParagraph"/>
              <w:tabs>
                <w:tab w:val="left" w:pos="2384"/>
                <w:tab w:val="left" w:pos="5315"/>
              </w:tabs>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eastAsia="zh-CN"/>
              </w:rPr>
              <w:t>小于200m□</w:t>
            </w:r>
          </w:p>
        </w:tc>
      </w:tr>
      <w:tr w:rsidR="009D12AF" w14:paraId="1F716845" w14:textId="77777777">
        <w:trPr>
          <w:trHeight w:val="454"/>
        </w:trPr>
        <w:tc>
          <w:tcPr>
            <w:tcW w:w="556" w:type="pct"/>
            <w:tcBorders>
              <w:top w:val="single" w:sz="4" w:space="0" w:color="000000"/>
              <w:left w:val="single" w:sz="12" w:space="0" w:color="000000"/>
              <w:bottom w:val="single" w:sz="4" w:space="0" w:color="000000"/>
              <w:right w:val="single" w:sz="4" w:space="0" w:color="000000"/>
            </w:tcBorders>
            <w:vAlign w:val="center"/>
          </w:tcPr>
          <w:p w14:paraId="6703E287"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评价因子</w:t>
            </w:r>
          </w:p>
        </w:tc>
        <w:tc>
          <w:tcPr>
            <w:tcW w:w="898" w:type="pct"/>
            <w:tcBorders>
              <w:top w:val="single" w:sz="4" w:space="0" w:color="000000"/>
              <w:left w:val="single" w:sz="4" w:space="0" w:color="000000"/>
              <w:bottom w:val="single" w:sz="4" w:space="0" w:color="000000"/>
              <w:right w:val="single" w:sz="4" w:space="0" w:color="000000"/>
            </w:tcBorders>
            <w:vAlign w:val="center"/>
          </w:tcPr>
          <w:p w14:paraId="1B164BBB"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评价因子</w:t>
            </w:r>
          </w:p>
        </w:tc>
        <w:tc>
          <w:tcPr>
            <w:tcW w:w="1177" w:type="pct"/>
            <w:gridSpan w:val="5"/>
            <w:tcBorders>
              <w:top w:val="single" w:sz="4" w:space="0" w:color="000000"/>
              <w:left w:val="single" w:sz="4" w:space="0" w:color="000000"/>
              <w:bottom w:val="single" w:sz="4" w:space="0" w:color="000000"/>
              <w:right w:val="single" w:sz="4" w:space="0" w:color="000000"/>
            </w:tcBorders>
            <w:vAlign w:val="center"/>
          </w:tcPr>
          <w:p w14:paraId="416413FC"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eastAsia="zh-CN"/>
              </w:rPr>
              <w:t>等效连续A声级☑</w:t>
            </w:r>
          </w:p>
        </w:tc>
        <w:tc>
          <w:tcPr>
            <w:tcW w:w="1151" w:type="pct"/>
            <w:gridSpan w:val="4"/>
            <w:tcBorders>
              <w:top w:val="single" w:sz="4" w:space="0" w:color="000000"/>
              <w:left w:val="single" w:sz="4" w:space="0" w:color="000000"/>
              <w:bottom w:val="single" w:sz="4" w:space="0" w:color="000000"/>
              <w:right w:val="single" w:sz="4" w:space="0" w:color="000000"/>
            </w:tcBorders>
            <w:vAlign w:val="center"/>
          </w:tcPr>
          <w:p w14:paraId="375F763A"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eastAsia="zh-CN"/>
              </w:rPr>
              <w:t>最大A声级□</w:t>
            </w:r>
          </w:p>
        </w:tc>
        <w:tc>
          <w:tcPr>
            <w:tcW w:w="1216" w:type="pct"/>
            <w:gridSpan w:val="3"/>
            <w:tcBorders>
              <w:top w:val="single" w:sz="4" w:space="0" w:color="000000"/>
              <w:left w:val="single" w:sz="4" w:space="0" w:color="000000"/>
              <w:bottom w:val="single" w:sz="4" w:space="0" w:color="000000"/>
              <w:right w:val="single" w:sz="12" w:space="0" w:color="000000"/>
            </w:tcBorders>
            <w:vAlign w:val="center"/>
          </w:tcPr>
          <w:p w14:paraId="64475414"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eastAsia="zh-CN"/>
              </w:rPr>
              <w:t>计权等效连续感觉噪声级□</w:t>
            </w:r>
          </w:p>
        </w:tc>
      </w:tr>
      <w:tr w:rsidR="009D12AF" w14:paraId="5FA5E6F8" w14:textId="77777777">
        <w:trPr>
          <w:trHeight w:val="454"/>
        </w:trPr>
        <w:tc>
          <w:tcPr>
            <w:tcW w:w="556" w:type="pct"/>
            <w:tcBorders>
              <w:top w:val="single" w:sz="4" w:space="0" w:color="000000"/>
              <w:left w:val="single" w:sz="12" w:space="0" w:color="000000"/>
              <w:bottom w:val="single" w:sz="4" w:space="0" w:color="000000"/>
              <w:right w:val="single" w:sz="4" w:space="0" w:color="000000"/>
            </w:tcBorders>
            <w:vAlign w:val="center"/>
          </w:tcPr>
          <w:p w14:paraId="5CB9F336"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评价标准</w:t>
            </w:r>
          </w:p>
        </w:tc>
        <w:tc>
          <w:tcPr>
            <w:tcW w:w="898" w:type="pct"/>
            <w:tcBorders>
              <w:top w:val="single" w:sz="4" w:space="0" w:color="000000"/>
              <w:left w:val="single" w:sz="4" w:space="0" w:color="000000"/>
              <w:bottom w:val="single" w:sz="4" w:space="0" w:color="000000"/>
              <w:right w:val="single" w:sz="4" w:space="0" w:color="000000"/>
            </w:tcBorders>
            <w:vAlign w:val="center"/>
          </w:tcPr>
          <w:p w14:paraId="64B437C8"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评价标准</w:t>
            </w:r>
          </w:p>
        </w:tc>
        <w:tc>
          <w:tcPr>
            <w:tcW w:w="1177" w:type="pct"/>
            <w:gridSpan w:val="5"/>
            <w:tcBorders>
              <w:top w:val="single" w:sz="4" w:space="0" w:color="000000"/>
              <w:left w:val="single" w:sz="4" w:space="0" w:color="000000"/>
              <w:bottom w:val="single" w:sz="4" w:space="0" w:color="000000"/>
              <w:right w:val="single" w:sz="4" w:space="0" w:color="000000"/>
            </w:tcBorders>
            <w:vAlign w:val="center"/>
          </w:tcPr>
          <w:p w14:paraId="70CCD356"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eastAsia="zh-CN"/>
              </w:rPr>
              <w:t>国家标准☑</w:t>
            </w:r>
          </w:p>
        </w:tc>
        <w:tc>
          <w:tcPr>
            <w:tcW w:w="1151" w:type="pct"/>
            <w:gridSpan w:val="4"/>
            <w:tcBorders>
              <w:top w:val="single" w:sz="4" w:space="0" w:color="000000"/>
              <w:left w:val="single" w:sz="4" w:space="0" w:color="000000"/>
              <w:bottom w:val="single" w:sz="4" w:space="0" w:color="000000"/>
              <w:right w:val="single" w:sz="4" w:space="0" w:color="000000"/>
            </w:tcBorders>
            <w:vAlign w:val="center"/>
          </w:tcPr>
          <w:p w14:paraId="7CD488B8"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eastAsia="zh-CN"/>
              </w:rPr>
              <w:t>地方标准□</w:t>
            </w:r>
          </w:p>
        </w:tc>
        <w:tc>
          <w:tcPr>
            <w:tcW w:w="1216" w:type="pct"/>
            <w:gridSpan w:val="3"/>
            <w:tcBorders>
              <w:top w:val="single" w:sz="4" w:space="0" w:color="000000"/>
              <w:left w:val="single" w:sz="4" w:space="0" w:color="000000"/>
              <w:bottom w:val="single" w:sz="4" w:space="0" w:color="000000"/>
              <w:right w:val="single" w:sz="12" w:space="0" w:color="000000"/>
            </w:tcBorders>
            <w:vAlign w:val="center"/>
          </w:tcPr>
          <w:p w14:paraId="008DEC11"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eastAsia="zh-CN"/>
              </w:rPr>
              <w:t>国外标准□</w:t>
            </w:r>
          </w:p>
        </w:tc>
      </w:tr>
      <w:tr w:rsidR="009D12AF" w14:paraId="5594A36B" w14:textId="77777777">
        <w:trPr>
          <w:trHeight w:val="454"/>
        </w:trPr>
        <w:tc>
          <w:tcPr>
            <w:tcW w:w="556" w:type="pct"/>
            <w:vMerge w:val="restart"/>
            <w:tcBorders>
              <w:top w:val="single" w:sz="4" w:space="0" w:color="000000"/>
              <w:left w:val="single" w:sz="12" w:space="0" w:color="000000"/>
              <w:bottom w:val="single" w:sz="4" w:space="0" w:color="000000"/>
              <w:right w:val="single" w:sz="4" w:space="0" w:color="000000"/>
            </w:tcBorders>
            <w:vAlign w:val="center"/>
          </w:tcPr>
          <w:p w14:paraId="7A9AAB08"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现状评价</w:t>
            </w:r>
          </w:p>
        </w:tc>
        <w:tc>
          <w:tcPr>
            <w:tcW w:w="898" w:type="pct"/>
            <w:tcBorders>
              <w:top w:val="single" w:sz="4" w:space="0" w:color="000000"/>
              <w:left w:val="single" w:sz="4" w:space="0" w:color="000000"/>
              <w:bottom w:val="single" w:sz="4" w:space="0" w:color="000000"/>
              <w:right w:val="single" w:sz="4" w:space="0" w:color="000000"/>
            </w:tcBorders>
            <w:vAlign w:val="center"/>
          </w:tcPr>
          <w:p w14:paraId="1AA04FA3"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环境功能区</w:t>
            </w:r>
          </w:p>
        </w:tc>
        <w:tc>
          <w:tcPr>
            <w:tcW w:w="497" w:type="pct"/>
            <w:tcBorders>
              <w:top w:val="single" w:sz="4" w:space="0" w:color="000000"/>
              <w:left w:val="single" w:sz="4" w:space="0" w:color="000000"/>
              <w:bottom w:val="single" w:sz="4" w:space="0" w:color="000000"/>
              <w:right w:val="single" w:sz="4" w:space="0" w:color="000000"/>
            </w:tcBorders>
            <w:vAlign w:val="center"/>
          </w:tcPr>
          <w:p w14:paraId="131BF244"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0 类区□</w:t>
            </w:r>
          </w:p>
        </w:tc>
        <w:tc>
          <w:tcPr>
            <w:tcW w:w="680" w:type="pct"/>
            <w:gridSpan w:val="4"/>
            <w:tcBorders>
              <w:top w:val="single" w:sz="4" w:space="0" w:color="000000"/>
              <w:left w:val="single" w:sz="4" w:space="0" w:color="000000"/>
              <w:bottom w:val="single" w:sz="4" w:space="0" w:color="000000"/>
              <w:right w:val="single" w:sz="4" w:space="0" w:color="000000"/>
            </w:tcBorders>
            <w:vAlign w:val="center"/>
          </w:tcPr>
          <w:p w14:paraId="3229CA35"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rPr>
              <w:t>1 类区</w:t>
            </w:r>
            <w:r>
              <w:rPr>
                <w:rFonts w:ascii="宋体" w:eastAsia="宋体" w:hAnsi="宋体" w:cs="宋体" w:hint="eastAsia"/>
                <w:sz w:val="21"/>
                <w:szCs w:val="21"/>
                <w:lang w:eastAsia="zh-CN"/>
              </w:rPr>
              <w:t>☑</w:t>
            </w:r>
          </w:p>
        </w:tc>
        <w:tc>
          <w:tcPr>
            <w:tcW w:w="527" w:type="pct"/>
            <w:tcBorders>
              <w:top w:val="single" w:sz="4" w:space="0" w:color="000000"/>
              <w:left w:val="single" w:sz="4" w:space="0" w:color="000000"/>
              <w:bottom w:val="single" w:sz="4" w:space="0" w:color="000000"/>
              <w:right w:val="single" w:sz="4" w:space="0" w:color="000000"/>
            </w:tcBorders>
            <w:vAlign w:val="center"/>
          </w:tcPr>
          <w:p w14:paraId="083F333E"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2 类区□</w:t>
            </w:r>
          </w:p>
        </w:tc>
        <w:tc>
          <w:tcPr>
            <w:tcW w:w="626" w:type="pct"/>
            <w:gridSpan w:val="3"/>
            <w:tcBorders>
              <w:top w:val="single" w:sz="4" w:space="0" w:color="000000"/>
              <w:left w:val="single" w:sz="4" w:space="0" w:color="000000"/>
              <w:bottom w:val="single" w:sz="4" w:space="0" w:color="000000"/>
              <w:right w:val="single" w:sz="4" w:space="0" w:color="000000"/>
            </w:tcBorders>
            <w:vAlign w:val="center"/>
          </w:tcPr>
          <w:p w14:paraId="7B9D78C8"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3 类区□</w:t>
            </w:r>
          </w:p>
        </w:tc>
        <w:tc>
          <w:tcPr>
            <w:tcW w:w="588" w:type="pct"/>
            <w:gridSpan w:val="2"/>
            <w:tcBorders>
              <w:top w:val="single" w:sz="4" w:space="0" w:color="000000"/>
              <w:left w:val="single" w:sz="4" w:space="0" w:color="000000"/>
              <w:bottom w:val="single" w:sz="4" w:space="0" w:color="000000"/>
              <w:right w:val="single" w:sz="4" w:space="0" w:color="000000"/>
            </w:tcBorders>
            <w:vAlign w:val="center"/>
          </w:tcPr>
          <w:p w14:paraId="632F97C0"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4a 类区□</w:t>
            </w:r>
          </w:p>
        </w:tc>
        <w:tc>
          <w:tcPr>
            <w:tcW w:w="625" w:type="pct"/>
            <w:tcBorders>
              <w:top w:val="single" w:sz="4" w:space="0" w:color="000000"/>
              <w:left w:val="single" w:sz="4" w:space="0" w:color="000000"/>
              <w:bottom w:val="single" w:sz="4" w:space="0" w:color="000000"/>
              <w:right w:val="single" w:sz="12" w:space="0" w:color="000000"/>
            </w:tcBorders>
            <w:vAlign w:val="center"/>
          </w:tcPr>
          <w:p w14:paraId="33DD8DC6"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4b 类区□</w:t>
            </w:r>
          </w:p>
        </w:tc>
      </w:tr>
      <w:tr w:rsidR="009D12AF" w14:paraId="0CB5E56B" w14:textId="77777777">
        <w:trPr>
          <w:trHeight w:val="454"/>
        </w:trPr>
        <w:tc>
          <w:tcPr>
            <w:tcW w:w="556" w:type="pct"/>
            <w:vMerge/>
            <w:tcBorders>
              <w:top w:val="single" w:sz="4" w:space="0" w:color="000000"/>
              <w:left w:val="single" w:sz="12" w:space="0" w:color="000000"/>
              <w:bottom w:val="single" w:sz="4" w:space="0" w:color="000000"/>
              <w:right w:val="single" w:sz="4" w:space="0" w:color="000000"/>
            </w:tcBorders>
            <w:vAlign w:val="center"/>
          </w:tcPr>
          <w:p w14:paraId="424E2C71" w14:textId="77777777" w:rsidR="009D12AF" w:rsidRDefault="009D12AF">
            <w:pPr>
              <w:widowControl/>
              <w:autoSpaceDE/>
              <w:autoSpaceDN/>
              <w:spacing w:line="240" w:lineRule="auto"/>
              <w:ind w:firstLineChars="0" w:firstLine="0"/>
              <w:jc w:val="center"/>
              <w:rPr>
                <w:rFonts w:ascii="宋体" w:eastAsia="宋体" w:hAnsi="宋体" w:cs="宋体" w:hint="eastAsia"/>
                <w:sz w:val="21"/>
                <w:szCs w:val="21"/>
                <w:lang w:val="zh-CN" w:eastAsia="en-US" w:bidi="zh-CN"/>
              </w:rPr>
            </w:pPr>
          </w:p>
        </w:tc>
        <w:tc>
          <w:tcPr>
            <w:tcW w:w="898" w:type="pct"/>
            <w:tcBorders>
              <w:top w:val="single" w:sz="4" w:space="0" w:color="000000"/>
              <w:left w:val="single" w:sz="4" w:space="0" w:color="000000"/>
              <w:bottom w:val="single" w:sz="4" w:space="0" w:color="000000"/>
              <w:right w:val="single" w:sz="4" w:space="0" w:color="000000"/>
            </w:tcBorders>
            <w:vAlign w:val="center"/>
          </w:tcPr>
          <w:p w14:paraId="4C0BCC75"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评价年度</w:t>
            </w:r>
          </w:p>
        </w:tc>
        <w:tc>
          <w:tcPr>
            <w:tcW w:w="803" w:type="pct"/>
            <w:gridSpan w:val="2"/>
            <w:tcBorders>
              <w:top w:val="single" w:sz="4" w:space="0" w:color="000000"/>
              <w:left w:val="single" w:sz="4" w:space="0" w:color="000000"/>
              <w:bottom w:val="single" w:sz="4" w:space="0" w:color="000000"/>
              <w:right w:val="single" w:sz="4" w:space="0" w:color="000000"/>
            </w:tcBorders>
            <w:vAlign w:val="center"/>
          </w:tcPr>
          <w:p w14:paraId="7BAF836F"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初期□</w:t>
            </w:r>
          </w:p>
        </w:tc>
        <w:tc>
          <w:tcPr>
            <w:tcW w:w="901" w:type="pct"/>
            <w:gridSpan w:val="4"/>
            <w:tcBorders>
              <w:top w:val="single" w:sz="4" w:space="0" w:color="000000"/>
              <w:left w:val="single" w:sz="4" w:space="0" w:color="000000"/>
              <w:bottom w:val="single" w:sz="4" w:space="0" w:color="000000"/>
              <w:right w:val="single" w:sz="4" w:space="0" w:color="000000"/>
            </w:tcBorders>
            <w:vAlign w:val="center"/>
          </w:tcPr>
          <w:p w14:paraId="17523ED9"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rPr>
              <w:t>近期</w:t>
            </w:r>
            <w:r>
              <w:rPr>
                <w:rFonts w:ascii="宋体" w:eastAsia="宋体" w:hAnsi="宋体" w:cs="宋体" w:hint="eastAsia"/>
                <w:sz w:val="21"/>
                <w:szCs w:val="21"/>
                <w:lang w:eastAsia="zh-CN"/>
              </w:rPr>
              <w:t>☑</w:t>
            </w:r>
          </w:p>
        </w:tc>
        <w:tc>
          <w:tcPr>
            <w:tcW w:w="931" w:type="pct"/>
            <w:gridSpan w:val="4"/>
            <w:tcBorders>
              <w:top w:val="single" w:sz="4" w:space="0" w:color="000000"/>
              <w:left w:val="single" w:sz="4" w:space="0" w:color="000000"/>
              <w:bottom w:val="single" w:sz="4" w:space="0" w:color="000000"/>
              <w:right w:val="single" w:sz="4" w:space="0" w:color="000000"/>
            </w:tcBorders>
            <w:vAlign w:val="center"/>
          </w:tcPr>
          <w:p w14:paraId="4941D8AF"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中期□</w:t>
            </w:r>
          </w:p>
        </w:tc>
        <w:tc>
          <w:tcPr>
            <w:tcW w:w="908" w:type="pct"/>
            <w:gridSpan w:val="2"/>
            <w:tcBorders>
              <w:top w:val="single" w:sz="4" w:space="0" w:color="000000"/>
              <w:left w:val="single" w:sz="4" w:space="0" w:color="000000"/>
              <w:bottom w:val="single" w:sz="4" w:space="0" w:color="000000"/>
              <w:right w:val="single" w:sz="12" w:space="0" w:color="000000"/>
            </w:tcBorders>
            <w:vAlign w:val="center"/>
          </w:tcPr>
          <w:p w14:paraId="7E2280D8"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远期□</w:t>
            </w:r>
          </w:p>
        </w:tc>
      </w:tr>
      <w:tr w:rsidR="009D12AF" w14:paraId="7B8F57D9" w14:textId="77777777">
        <w:trPr>
          <w:trHeight w:val="454"/>
        </w:trPr>
        <w:tc>
          <w:tcPr>
            <w:tcW w:w="556" w:type="pct"/>
            <w:vMerge/>
            <w:tcBorders>
              <w:top w:val="single" w:sz="4" w:space="0" w:color="000000"/>
              <w:left w:val="single" w:sz="12" w:space="0" w:color="000000"/>
              <w:bottom w:val="single" w:sz="4" w:space="0" w:color="000000"/>
              <w:right w:val="single" w:sz="4" w:space="0" w:color="000000"/>
            </w:tcBorders>
            <w:vAlign w:val="center"/>
          </w:tcPr>
          <w:p w14:paraId="392EF298" w14:textId="77777777" w:rsidR="009D12AF" w:rsidRDefault="009D12AF">
            <w:pPr>
              <w:widowControl/>
              <w:autoSpaceDE/>
              <w:autoSpaceDN/>
              <w:spacing w:line="240" w:lineRule="auto"/>
              <w:ind w:firstLineChars="0" w:firstLine="0"/>
              <w:jc w:val="center"/>
              <w:rPr>
                <w:rFonts w:ascii="宋体" w:eastAsia="宋体" w:hAnsi="宋体" w:cs="宋体" w:hint="eastAsia"/>
                <w:sz w:val="21"/>
                <w:szCs w:val="21"/>
                <w:lang w:val="zh-CN" w:eastAsia="en-US" w:bidi="zh-CN"/>
              </w:rPr>
            </w:pPr>
          </w:p>
        </w:tc>
        <w:tc>
          <w:tcPr>
            <w:tcW w:w="898" w:type="pct"/>
            <w:tcBorders>
              <w:top w:val="single" w:sz="4" w:space="0" w:color="000000"/>
              <w:left w:val="single" w:sz="4" w:space="0" w:color="000000"/>
              <w:bottom w:val="single" w:sz="4" w:space="0" w:color="000000"/>
              <w:right w:val="single" w:sz="4" w:space="0" w:color="000000"/>
            </w:tcBorders>
            <w:vAlign w:val="center"/>
          </w:tcPr>
          <w:p w14:paraId="591D77F3"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现状调查方法</w:t>
            </w:r>
          </w:p>
        </w:tc>
        <w:tc>
          <w:tcPr>
            <w:tcW w:w="1177" w:type="pct"/>
            <w:gridSpan w:val="5"/>
            <w:tcBorders>
              <w:top w:val="single" w:sz="4" w:space="0" w:color="000000"/>
              <w:left w:val="single" w:sz="4" w:space="0" w:color="000000"/>
              <w:bottom w:val="single" w:sz="4" w:space="0" w:color="000000"/>
              <w:right w:val="single" w:sz="4" w:space="0" w:color="000000"/>
            </w:tcBorders>
            <w:vAlign w:val="center"/>
          </w:tcPr>
          <w:p w14:paraId="5A8F9119"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rPr>
              <w:t>现场实测法</w:t>
            </w:r>
            <w:r>
              <w:rPr>
                <w:rFonts w:ascii="宋体" w:eastAsia="宋体" w:hAnsi="宋体" w:cs="宋体" w:hint="eastAsia"/>
                <w:sz w:val="21"/>
                <w:szCs w:val="21"/>
                <w:lang w:eastAsia="zh-CN"/>
              </w:rPr>
              <w:t>☑</w:t>
            </w:r>
          </w:p>
        </w:tc>
        <w:tc>
          <w:tcPr>
            <w:tcW w:w="1458" w:type="pct"/>
            <w:gridSpan w:val="5"/>
            <w:tcBorders>
              <w:top w:val="single" w:sz="4" w:space="0" w:color="000000"/>
              <w:left w:val="single" w:sz="4" w:space="0" w:color="000000"/>
              <w:bottom w:val="single" w:sz="4" w:space="0" w:color="000000"/>
              <w:right w:val="single" w:sz="4" w:space="0" w:color="000000"/>
            </w:tcBorders>
            <w:vAlign w:val="center"/>
          </w:tcPr>
          <w:p w14:paraId="50BE5488"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eastAsia="zh-CN"/>
              </w:rPr>
              <w:t>现场实测加模型计算法□</w:t>
            </w:r>
          </w:p>
        </w:tc>
        <w:tc>
          <w:tcPr>
            <w:tcW w:w="908" w:type="pct"/>
            <w:gridSpan w:val="2"/>
            <w:tcBorders>
              <w:top w:val="single" w:sz="4" w:space="0" w:color="000000"/>
              <w:left w:val="single" w:sz="4" w:space="0" w:color="000000"/>
              <w:bottom w:val="single" w:sz="4" w:space="0" w:color="000000"/>
              <w:right w:val="single" w:sz="12" w:space="0" w:color="000000"/>
            </w:tcBorders>
            <w:vAlign w:val="center"/>
          </w:tcPr>
          <w:p w14:paraId="30BDC730"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收集资料□</w:t>
            </w:r>
          </w:p>
        </w:tc>
      </w:tr>
      <w:tr w:rsidR="009D12AF" w14:paraId="236285CB" w14:textId="77777777">
        <w:trPr>
          <w:trHeight w:val="454"/>
        </w:trPr>
        <w:tc>
          <w:tcPr>
            <w:tcW w:w="556" w:type="pct"/>
            <w:vMerge/>
            <w:tcBorders>
              <w:top w:val="single" w:sz="4" w:space="0" w:color="000000"/>
              <w:left w:val="single" w:sz="12" w:space="0" w:color="000000"/>
              <w:bottom w:val="single" w:sz="4" w:space="0" w:color="000000"/>
              <w:right w:val="single" w:sz="4" w:space="0" w:color="000000"/>
            </w:tcBorders>
            <w:vAlign w:val="center"/>
          </w:tcPr>
          <w:p w14:paraId="452A10C0" w14:textId="77777777" w:rsidR="009D12AF" w:rsidRDefault="009D12AF">
            <w:pPr>
              <w:widowControl/>
              <w:autoSpaceDE/>
              <w:autoSpaceDN/>
              <w:spacing w:line="240" w:lineRule="auto"/>
              <w:ind w:firstLineChars="0" w:firstLine="0"/>
              <w:jc w:val="center"/>
              <w:rPr>
                <w:rFonts w:ascii="宋体" w:eastAsia="宋体" w:hAnsi="宋体" w:cs="宋体" w:hint="eastAsia"/>
                <w:sz w:val="21"/>
                <w:szCs w:val="21"/>
                <w:lang w:val="zh-CN" w:eastAsia="en-US" w:bidi="zh-CN"/>
              </w:rPr>
            </w:pPr>
          </w:p>
        </w:tc>
        <w:tc>
          <w:tcPr>
            <w:tcW w:w="898" w:type="pct"/>
            <w:tcBorders>
              <w:top w:val="single" w:sz="4" w:space="0" w:color="000000"/>
              <w:left w:val="single" w:sz="4" w:space="0" w:color="000000"/>
              <w:bottom w:val="single" w:sz="4" w:space="0" w:color="000000"/>
              <w:right w:val="single" w:sz="4" w:space="0" w:color="000000"/>
            </w:tcBorders>
            <w:vAlign w:val="center"/>
          </w:tcPr>
          <w:p w14:paraId="79D16565"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现状评价</w:t>
            </w:r>
          </w:p>
        </w:tc>
        <w:tc>
          <w:tcPr>
            <w:tcW w:w="978" w:type="pct"/>
            <w:gridSpan w:val="3"/>
            <w:tcBorders>
              <w:top w:val="single" w:sz="4" w:space="0" w:color="000000"/>
              <w:left w:val="single" w:sz="4" w:space="0" w:color="000000"/>
              <w:bottom w:val="single" w:sz="4" w:space="0" w:color="000000"/>
              <w:right w:val="single" w:sz="4" w:space="0" w:color="000000"/>
            </w:tcBorders>
            <w:vAlign w:val="center"/>
          </w:tcPr>
          <w:p w14:paraId="712BD71D"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达标百分比</w:t>
            </w:r>
          </w:p>
        </w:tc>
        <w:tc>
          <w:tcPr>
            <w:tcW w:w="2566" w:type="pct"/>
            <w:gridSpan w:val="9"/>
            <w:tcBorders>
              <w:top w:val="single" w:sz="4" w:space="0" w:color="000000"/>
              <w:left w:val="single" w:sz="4" w:space="0" w:color="000000"/>
              <w:bottom w:val="single" w:sz="4" w:space="0" w:color="000000"/>
              <w:right w:val="single" w:sz="12" w:space="0" w:color="000000"/>
            </w:tcBorders>
            <w:vAlign w:val="center"/>
          </w:tcPr>
          <w:p w14:paraId="39E86474"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val="zh-CN" w:eastAsia="zh-CN" w:bidi="zh-CN"/>
              </w:rPr>
              <w:t>100%</w:t>
            </w:r>
          </w:p>
        </w:tc>
      </w:tr>
      <w:tr w:rsidR="009D12AF" w14:paraId="23CFF2C1" w14:textId="77777777">
        <w:trPr>
          <w:trHeight w:val="454"/>
        </w:trPr>
        <w:tc>
          <w:tcPr>
            <w:tcW w:w="556" w:type="pct"/>
            <w:tcBorders>
              <w:top w:val="single" w:sz="4" w:space="0" w:color="000000"/>
              <w:left w:val="single" w:sz="12" w:space="0" w:color="000000"/>
              <w:bottom w:val="single" w:sz="4" w:space="0" w:color="000000"/>
              <w:right w:val="single" w:sz="4" w:space="0" w:color="000000"/>
            </w:tcBorders>
            <w:vAlign w:val="center"/>
          </w:tcPr>
          <w:p w14:paraId="15B37372"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噪声源调查</w:t>
            </w:r>
          </w:p>
        </w:tc>
        <w:tc>
          <w:tcPr>
            <w:tcW w:w="898" w:type="pct"/>
            <w:tcBorders>
              <w:top w:val="single" w:sz="4" w:space="0" w:color="000000"/>
              <w:left w:val="single" w:sz="4" w:space="0" w:color="000000"/>
              <w:bottom w:val="single" w:sz="4" w:space="0" w:color="000000"/>
              <w:right w:val="single" w:sz="4" w:space="0" w:color="000000"/>
            </w:tcBorders>
            <w:vAlign w:val="center"/>
          </w:tcPr>
          <w:p w14:paraId="2060A6D2"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噪声源调查方法</w:t>
            </w:r>
          </w:p>
        </w:tc>
        <w:tc>
          <w:tcPr>
            <w:tcW w:w="1177" w:type="pct"/>
            <w:gridSpan w:val="5"/>
            <w:tcBorders>
              <w:top w:val="single" w:sz="4" w:space="0" w:color="000000"/>
              <w:left w:val="single" w:sz="4" w:space="0" w:color="000000"/>
              <w:bottom w:val="single" w:sz="4" w:space="0" w:color="000000"/>
              <w:right w:val="single" w:sz="4" w:space="0" w:color="000000"/>
            </w:tcBorders>
            <w:vAlign w:val="center"/>
          </w:tcPr>
          <w:p w14:paraId="36EC87ED"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eastAsia="zh-CN"/>
              </w:rPr>
              <w:t>现场实测□</w:t>
            </w:r>
          </w:p>
        </w:tc>
        <w:tc>
          <w:tcPr>
            <w:tcW w:w="1151" w:type="pct"/>
            <w:gridSpan w:val="4"/>
            <w:tcBorders>
              <w:top w:val="single" w:sz="4" w:space="0" w:color="000000"/>
              <w:left w:val="single" w:sz="4" w:space="0" w:color="000000"/>
              <w:bottom w:val="single" w:sz="4" w:space="0" w:color="000000"/>
              <w:right w:val="single" w:sz="4" w:space="0" w:color="000000"/>
            </w:tcBorders>
            <w:vAlign w:val="center"/>
          </w:tcPr>
          <w:p w14:paraId="2B276D6F"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eastAsia="zh-CN"/>
              </w:rPr>
              <w:t>已有资料☑</w:t>
            </w:r>
          </w:p>
        </w:tc>
        <w:tc>
          <w:tcPr>
            <w:tcW w:w="1216" w:type="pct"/>
            <w:gridSpan w:val="3"/>
            <w:tcBorders>
              <w:top w:val="single" w:sz="4" w:space="0" w:color="000000"/>
              <w:left w:val="single" w:sz="4" w:space="0" w:color="000000"/>
              <w:bottom w:val="single" w:sz="4" w:space="0" w:color="000000"/>
              <w:right w:val="single" w:sz="12" w:space="0" w:color="000000"/>
            </w:tcBorders>
            <w:vAlign w:val="center"/>
          </w:tcPr>
          <w:p w14:paraId="229E091A"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eastAsia="zh-CN"/>
              </w:rPr>
              <w:t>研究成果□</w:t>
            </w:r>
          </w:p>
        </w:tc>
      </w:tr>
      <w:tr w:rsidR="009D12AF" w14:paraId="7B80CA84" w14:textId="77777777">
        <w:trPr>
          <w:trHeight w:val="454"/>
        </w:trPr>
        <w:tc>
          <w:tcPr>
            <w:tcW w:w="556" w:type="pct"/>
            <w:vMerge w:val="restart"/>
            <w:tcBorders>
              <w:top w:val="single" w:sz="4" w:space="0" w:color="000000"/>
              <w:left w:val="single" w:sz="12" w:space="0" w:color="000000"/>
              <w:bottom w:val="single" w:sz="4" w:space="0" w:color="000000"/>
              <w:right w:val="single" w:sz="4" w:space="0" w:color="000000"/>
            </w:tcBorders>
            <w:vAlign w:val="center"/>
          </w:tcPr>
          <w:p w14:paraId="7BA09473"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eastAsia="zh-CN"/>
              </w:rPr>
              <w:t>声环境影响预测与评价</w:t>
            </w:r>
          </w:p>
        </w:tc>
        <w:tc>
          <w:tcPr>
            <w:tcW w:w="898" w:type="pct"/>
            <w:tcBorders>
              <w:top w:val="single" w:sz="4" w:space="0" w:color="000000"/>
              <w:left w:val="single" w:sz="4" w:space="0" w:color="000000"/>
              <w:bottom w:val="single" w:sz="4" w:space="0" w:color="000000"/>
              <w:right w:val="single" w:sz="4" w:space="0" w:color="000000"/>
            </w:tcBorders>
            <w:vAlign w:val="center"/>
          </w:tcPr>
          <w:p w14:paraId="5A6C04C6"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预测模型</w:t>
            </w:r>
          </w:p>
        </w:tc>
        <w:tc>
          <w:tcPr>
            <w:tcW w:w="1718" w:type="pct"/>
            <w:gridSpan w:val="7"/>
            <w:tcBorders>
              <w:top w:val="single" w:sz="4" w:space="0" w:color="000000"/>
              <w:left w:val="single" w:sz="4" w:space="0" w:color="000000"/>
              <w:bottom w:val="single" w:sz="4" w:space="0" w:color="000000"/>
              <w:right w:val="single" w:sz="4" w:space="0" w:color="000000"/>
            </w:tcBorders>
            <w:vAlign w:val="center"/>
          </w:tcPr>
          <w:p w14:paraId="7D0009A6"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rPr>
              <w:t>导则推荐模型</w:t>
            </w:r>
            <w:r>
              <w:rPr>
                <w:rFonts w:ascii="宋体" w:eastAsia="宋体" w:hAnsi="宋体" w:cs="宋体" w:hint="eastAsia"/>
                <w:sz w:val="21"/>
                <w:szCs w:val="21"/>
                <w:lang w:eastAsia="zh-CN"/>
              </w:rPr>
              <w:t>☑</w:t>
            </w:r>
          </w:p>
        </w:tc>
        <w:tc>
          <w:tcPr>
            <w:tcW w:w="1826" w:type="pct"/>
            <w:gridSpan w:val="5"/>
            <w:tcBorders>
              <w:top w:val="single" w:sz="4" w:space="0" w:color="000000"/>
              <w:left w:val="single" w:sz="4" w:space="0" w:color="000000"/>
              <w:bottom w:val="single" w:sz="4" w:space="0" w:color="000000"/>
              <w:right w:val="single" w:sz="12" w:space="0" w:color="000000"/>
            </w:tcBorders>
            <w:vAlign w:val="center"/>
          </w:tcPr>
          <w:p w14:paraId="057F30D3" w14:textId="77777777" w:rsidR="009D12AF" w:rsidRDefault="00000000">
            <w:pPr>
              <w:pStyle w:val="TableParagraph"/>
              <w:tabs>
                <w:tab w:val="left" w:pos="1633"/>
              </w:tabs>
              <w:jc w:val="center"/>
              <w:rPr>
                <w:rFonts w:ascii="宋体" w:eastAsia="宋体" w:hAnsi="宋体" w:cs="宋体" w:hint="eastAsia"/>
                <w:sz w:val="21"/>
                <w:szCs w:val="21"/>
                <w:lang w:val="zh-CN" w:bidi="zh-CN"/>
              </w:rPr>
            </w:pPr>
            <w:r>
              <w:rPr>
                <w:rFonts w:ascii="宋体" w:eastAsia="宋体" w:hAnsi="宋体" w:cs="宋体" w:hint="eastAsia"/>
                <w:sz w:val="21"/>
                <w:szCs w:val="21"/>
              </w:rPr>
              <w:t>其他□</w:t>
            </w:r>
          </w:p>
        </w:tc>
      </w:tr>
      <w:tr w:rsidR="009D12AF" w14:paraId="669B8D81" w14:textId="77777777">
        <w:trPr>
          <w:trHeight w:val="454"/>
        </w:trPr>
        <w:tc>
          <w:tcPr>
            <w:tcW w:w="556" w:type="pct"/>
            <w:vMerge/>
            <w:tcBorders>
              <w:top w:val="single" w:sz="4" w:space="0" w:color="000000"/>
              <w:left w:val="single" w:sz="12" w:space="0" w:color="000000"/>
              <w:bottom w:val="single" w:sz="4" w:space="0" w:color="000000"/>
              <w:right w:val="single" w:sz="4" w:space="0" w:color="000000"/>
            </w:tcBorders>
            <w:vAlign w:val="center"/>
          </w:tcPr>
          <w:p w14:paraId="16E62F2E" w14:textId="77777777" w:rsidR="009D12AF" w:rsidRDefault="009D12AF">
            <w:pPr>
              <w:widowControl/>
              <w:autoSpaceDE/>
              <w:autoSpaceDN/>
              <w:spacing w:line="240" w:lineRule="auto"/>
              <w:ind w:firstLineChars="0" w:firstLine="0"/>
              <w:jc w:val="center"/>
              <w:rPr>
                <w:rFonts w:ascii="宋体" w:eastAsia="宋体" w:hAnsi="宋体" w:cs="宋体" w:hint="eastAsia"/>
                <w:sz w:val="21"/>
                <w:szCs w:val="21"/>
                <w:lang w:val="zh-CN" w:eastAsia="en-US" w:bidi="zh-CN"/>
              </w:rPr>
            </w:pPr>
          </w:p>
        </w:tc>
        <w:tc>
          <w:tcPr>
            <w:tcW w:w="898" w:type="pct"/>
            <w:tcBorders>
              <w:top w:val="single" w:sz="4" w:space="0" w:color="000000"/>
              <w:left w:val="single" w:sz="4" w:space="0" w:color="000000"/>
              <w:bottom w:val="single" w:sz="4" w:space="0" w:color="000000"/>
              <w:right w:val="single" w:sz="4" w:space="0" w:color="000000"/>
            </w:tcBorders>
            <w:vAlign w:val="center"/>
          </w:tcPr>
          <w:p w14:paraId="17ACA9B1"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预测范围</w:t>
            </w:r>
          </w:p>
        </w:tc>
        <w:tc>
          <w:tcPr>
            <w:tcW w:w="1017" w:type="pct"/>
            <w:gridSpan w:val="4"/>
            <w:tcBorders>
              <w:top w:val="single" w:sz="4" w:space="0" w:color="000000"/>
              <w:left w:val="single" w:sz="4" w:space="0" w:color="000000"/>
              <w:bottom w:val="single" w:sz="4" w:space="0" w:color="000000"/>
              <w:right w:val="single" w:sz="4" w:space="0" w:color="000000"/>
            </w:tcBorders>
            <w:vAlign w:val="center"/>
          </w:tcPr>
          <w:p w14:paraId="55F6A4B2"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rPr>
              <w:t>200m</w:t>
            </w:r>
            <w:r>
              <w:rPr>
                <w:rFonts w:ascii="宋体" w:eastAsia="宋体" w:hAnsi="宋体" w:cs="宋体" w:hint="eastAsia"/>
                <w:sz w:val="21"/>
                <w:szCs w:val="21"/>
                <w:lang w:eastAsia="zh-CN"/>
              </w:rPr>
              <w:t>☑</w:t>
            </w:r>
          </w:p>
        </w:tc>
        <w:tc>
          <w:tcPr>
            <w:tcW w:w="1311" w:type="pct"/>
            <w:gridSpan w:val="5"/>
            <w:tcBorders>
              <w:top w:val="single" w:sz="4" w:space="0" w:color="000000"/>
              <w:left w:val="single" w:sz="4" w:space="0" w:color="000000"/>
              <w:bottom w:val="single" w:sz="4" w:space="0" w:color="000000"/>
              <w:right w:val="single" w:sz="4" w:space="0" w:color="000000"/>
            </w:tcBorders>
            <w:vAlign w:val="center"/>
          </w:tcPr>
          <w:p w14:paraId="72191FBF"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大于200 m□</w:t>
            </w:r>
          </w:p>
        </w:tc>
        <w:tc>
          <w:tcPr>
            <w:tcW w:w="1216" w:type="pct"/>
            <w:gridSpan w:val="3"/>
            <w:tcBorders>
              <w:top w:val="single" w:sz="4" w:space="0" w:color="000000"/>
              <w:left w:val="single" w:sz="4" w:space="0" w:color="000000"/>
              <w:bottom w:val="single" w:sz="4" w:space="0" w:color="000000"/>
              <w:right w:val="single" w:sz="12" w:space="0" w:color="000000"/>
            </w:tcBorders>
            <w:vAlign w:val="center"/>
          </w:tcPr>
          <w:p w14:paraId="48E3CF7B"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小于200 m□</w:t>
            </w:r>
          </w:p>
        </w:tc>
      </w:tr>
      <w:tr w:rsidR="009D12AF" w14:paraId="60BD6DAD" w14:textId="77777777">
        <w:trPr>
          <w:trHeight w:val="454"/>
        </w:trPr>
        <w:tc>
          <w:tcPr>
            <w:tcW w:w="556" w:type="pct"/>
            <w:vMerge/>
            <w:tcBorders>
              <w:top w:val="single" w:sz="4" w:space="0" w:color="000000"/>
              <w:left w:val="single" w:sz="12" w:space="0" w:color="000000"/>
              <w:bottom w:val="single" w:sz="4" w:space="0" w:color="000000"/>
              <w:right w:val="single" w:sz="4" w:space="0" w:color="000000"/>
            </w:tcBorders>
            <w:vAlign w:val="center"/>
          </w:tcPr>
          <w:p w14:paraId="7890764F" w14:textId="77777777" w:rsidR="009D12AF" w:rsidRDefault="009D12AF">
            <w:pPr>
              <w:widowControl/>
              <w:autoSpaceDE/>
              <w:autoSpaceDN/>
              <w:spacing w:line="240" w:lineRule="auto"/>
              <w:ind w:firstLineChars="0" w:firstLine="0"/>
              <w:jc w:val="center"/>
              <w:rPr>
                <w:rFonts w:ascii="宋体" w:eastAsia="宋体" w:hAnsi="宋体" w:cs="宋体" w:hint="eastAsia"/>
                <w:sz w:val="21"/>
                <w:szCs w:val="21"/>
                <w:lang w:val="zh-CN" w:eastAsia="en-US" w:bidi="zh-CN"/>
              </w:rPr>
            </w:pPr>
          </w:p>
        </w:tc>
        <w:tc>
          <w:tcPr>
            <w:tcW w:w="898" w:type="pct"/>
            <w:tcBorders>
              <w:top w:val="single" w:sz="4" w:space="0" w:color="000000"/>
              <w:left w:val="single" w:sz="4" w:space="0" w:color="000000"/>
              <w:bottom w:val="single" w:sz="4" w:space="0" w:color="000000"/>
              <w:right w:val="single" w:sz="4" w:space="0" w:color="000000"/>
            </w:tcBorders>
            <w:vAlign w:val="center"/>
          </w:tcPr>
          <w:p w14:paraId="5917BCD8"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预测因子</w:t>
            </w:r>
          </w:p>
        </w:tc>
        <w:tc>
          <w:tcPr>
            <w:tcW w:w="1017" w:type="pct"/>
            <w:gridSpan w:val="4"/>
            <w:tcBorders>
              <w:top w:val="single" w:sz="4" w:space="0" w:color="000000"/>
              <w:left w:val="single" w:sz="4" w:space="0" w:color="000000"/>
              <w:bottom w:val="single" w:sz="4" w:space="0" w:color="000000"/>
              <w:right w:val="single" w:sz="4" w:space="0" w:color="000000"/>
            </w:tcBorders>
            <w:vAlign w:val="center"/>
          </w:tcPr>
          <w:p w14:paraId="7EB485F4" w14:textId="77777777" w:rsidR="009D12AF" w:rsidRDefault="00000000">
            <w:pPr>
              <w:pStyle w:val="TableParagraph"/>
              <w:rPr>
                <w:rFonts w:ascii="宋体" w:eastAsia="宋体" w:hAnsi="宋体" w:cs="宋体" w:hint="eastAsia"/>
                <w:sz w:val="21"/>
                <w:szCs w:val="21"/>
                <w:lang w:val="zh-CN" w:eastAsia="zh-CN" w:bidi="zh-CN"/>
              </w:rPr>
            </w:pPr>
            <w:r>
              <w:rPr>
                <w:rFonts w:ascii="宋体" w:eastAsia="宋体" w:hAnsi="宋体" w:cs="宋体" w:hint="eastAsia"/>
                <w:sz w:val="21"/>
                <w:szCs w:val="21"/>
              </w:rPr>
              <w:t>等效连续A声级</w:t>
            </w:r>
            <w:r>
              <w:rPr>
                <w:rFonts w:ascii="宋体" w:eastAsia="宋体" w:hAnsi="宋体" w:cs="宋体" w:hint="eastAsia"/>
                <w:sz w:val="21"/>
                <w:szCs w:val="21"/>
                <w:lang w:eastAsia="zh-CN"/>
              </w:rPr>
              <w:t>☑</w:t>
            </w:r>
          </w:p>
        </w:tc>
        <w:tc>
          <w:tcPr>
            <w:tcW w:w="935" w:type="pct"/>
            <w:gridSpan w:val="4"/>
            <w:tcBorders>
              <w:top w:val="single" w:sz="4" w:space="0" w:color="000000"/>
              <w:left w:val="single" w:sz="4" w:space="0" w:color="000000"/>
              <w:bottom w:val="single" w:sz="4" w:space="0" w:color="000000"/>
              <w:right w:val="single" w:sz="4" w:space="0" w:color="000000"/>
            </w:tcBorders>
            <w:vAlign w:val="center"/>
          </w:tcPr>
          <w:p w14:paraId="6E83D986"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最大A声级□</w:t>
            </w:r>
          </w:p>
        </w:tc>
        <w:tc>
          <w:tcPr>
            <w:tcW w:w="1592" w:type="pct"/>
            <w:gridSpan w:val="4"/>
            <w:tcBorders>
              <w:top w:val="single" w:sz="4" w:space="0" w:color="000000"/>
              <w:left w:val="single" w:sz="4" w:space="0" w:color="000000"/>
              <w:bottom w:val="single" w:sz="4" w:space="0" w:color="000000"/>
              <w:right w:val="single" w:sz="12" w:space="0" w:color="000000"/>
            </w:tcBorders>
            <w:vAlign w:val="center"/>
          </w:tcPr>
          <w:p w14:paraId="533CDB7F"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eastAsia="zh-CN"/>
              </w:rPr>
              <w:t>计权等效连续感觉噪声级□</w:t>
            </w:r>
          </w:p>
        </w:tc>
      </w:tr>
      <w:tr w:rsidR="009D12AF" w14:paraId="5E0DA4A4" w14:textId="77777777">
        <w:trPr>
          <w:trHeight w:val="454"/>
        </w:trPr>
        <w:tc>
          <w:tcPr>
            <w:tcW w:w="556" w:type="pct"/>
            <w:vMerge/>
            <w:tcBorders>
              <w:top w:val="single" w:sz="4" w:space="0" w:color="000000"/>
              <w:left w:val="single" w:sz="12" w:space="0" w:color="000000"/>
              <w:bottom w:val="single" w:sz="4" w:space="0" w:color="000000"/>
              <w:right w:val="single" w:sz="4" w:space="0" w:color="000000"/>
            </w:tcBorders>
            <w:vAlign w:val="center"/>
          </w:tcPr>
          <w:p w14:paraId="5E257E2E" w14:textId="77777777" w:rsidR="009D12AF" w:rsidRDefault="009D12AF">
            <w:pPr>
              <w:widowControl/>
              <w:autoSpaceDE/>
              <w:autoSpaceDN/>
              <w:spacing w:line="240" w:lineRule="auto"/>
              <w:ind w:firstLineChars="0" w:firstLine="0"/>
              <w:jc w:val="center"/>
              <w:rPr>
                <w:rFonts w:ascii="宋体" w:eastAsia="宋体" w:hAnsi="宋体" w:cs="宋体" w:hint="eastAsia"/>
                <w:sz w:val="21"/>
                <w:szCs w:val="21"/>
                <w:lang w:val="zh-CN" w:eastAsia="en-US" w:bidi="zh-CN"/>
              </w:rPr>
            </w:pPr>
          </w:p>
        </w:tc>
        <w:tc>
          <w:tcPr>
            <w:tcW w:w="898" w:type="pct"/>
            <w:tcBorders>
              <w:top w:val="single" w:sz="4" w:space="0" w:color="000000"/>
              <w:left w:val="single" w:sz="4" w:space="0" w:color="000000"/>
              <w:bottom w:val="single" w:sz="4" w:space="0" w:color="000000"/>
              <w:right w:val="single" w:sz="4" w:space="0" w:color="000000"/>
            </w:tcBorders>
            <w:vAlign w:val="center"/>
          </w:tcPr>
          <w:p w14:paraId="5F669FF9"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厂界噪声贡献值</w:t>
            </w:r>
          </w:p>
        </w:tc>
        <w:tc>
          <w:tcPr>
            <w:tcW w:w="1718" w:type="pct"/>
            <w:gridSpan w:val="7"/>
            <w:tcBorders>
              <w:top w:val="single" w:sz="4" w:space="0" w:color="000000"/>
              <w:left w:val="single" w:sz="4" w:space="0" w:color="000000"/>
              <w:bottom w:val="single" w:sz="4" w:space="0" w:color="000000"/>
              <w:right w:val="single" w:sz="4" w:space="0" w:color="000000"/>
            </w:tcBorders>
            <w:vAlign w:val="center"/>
          </w:tcPr>
          <w:p w14:paraId="7F13F78F"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rPr>
              <w:t>达标</w:t>
            </w:r>
            <w:r>
              <w:rPr>
                <w:rFonts w:ascii="宋体" w:eastAsia="宋体" w:hAnsi="宋体" w:cs="宋体" w:hint="eastAsia"/>
                <w:sz w:val="21"/>
                <w:szCs w:val="21"/>
                <w:lang w:eastAsia="zh-CN"/>
              </w:rPr>
              <w:t>☑</w:t>
            </w:r>
          </w:p>
        </w:tc>
        <w:tc>
          <w:tcPr>
            <w:tcW w:w="1826" w:type="pct"/>
            <w:gridSpan w:val="5"/>
            <w:tcBorders>
              <w:top w:val="single" w:sz="4" w:space="0" w:color="000000"/>
              <w:left w:val="single" w:sz="4" w:space="0" w:color="000000"/>
              <w:bottom w:val="single" w:sz="4" w:space="0" w:color="000000"/>
              <w:right w:val="single" w:sz="12" w:space="0" w:color="000000"/>
            </w:tcBorders>
            <w:vAlign w:val="center"/>
          </w:tcPr>
          <w:p w14:paraId="3C0D1C90"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不达标□</w:t>
            </w:r>
          </w:p>
        </w:tc>
      </w:tr>
      <w:tr w:rsidR="009D12AF" w14:paraId="3296E616" w14:textId="77777777">
        <w:trPr>
          <w:trHeight w:val="454"/>
        </w:trPr>
        <w:tc>
          <w:tcPr>
            <w:tcW w:w="556" w:type="pct"/>
            <w:vMerge/>
            <w:tcBorders>
              <w:top w:val="single" w:sz="4" w:space="0" w:color="000000"/>
              <w:left w:val="single" w:sz="12" w:space="0" w:color="000000"/>
              <w:bottom w:val="single" w:sz="4" w:space="0" w:color="000000"/>
              <w:right w:val="single" w:sz="4" w:space="0" w:color="000000"/>
            </w:tcBorders>
            <w:vAlign w:val="center"/>
          </w:tcPr>
          <w:p w14:paraId="4C7209BC" w14:textId="77777777" w:rsidR="009D12AF" w:rsidRDefault="009D12AF">
            <w:pPr>
              <w:widowControl/>
              <w:autoSpaceDE/>
              <w:autoSpaceDN/>
              <w:spacing w:line="240" w:lineRule="auto"/>
              <w:ind w:firstLineChars="0" w:firstLine="0"/>
              <w:jc w:val="center"/>
              <w:rPr>
                <w:rFonts w:ascii="宋体" w:eastAsia="宋体" w:hAnsi="宋体" w:cs="宋体" w:hint="eastAsia"/>
                <w:sz w:val="21"/>
                <w:szCs w:val="21"/>
                <w:lang w:val="zh-CN" w:eastAsia="en-US" w:bidi="zh-CN"/>
              </w:rPr>
            </w:pPr>
          </w:p>
        </w:tc>
        <w:tc>
          <w:tcPr>
            <w:tcW w:w="898" w:type="pct"/>
            <w:tcBorders>
              <w:top w:val="single" w:sz="4" w:space="0" w:color="000000"/>
              <w:left w:val="single" w:sz="4" w:space="0" w:color="000000"/>
              <w:bottom w:val="single" w:sz="4" w:space="0" w:color="000000"/>
              <w:right w:val="single" w:sz="4" w:space="0" w:color="000000"/>
            </w:tcBorders>
            <w:vAlign w:val="center"/>
          </w:tcPr>
          <w:p w14:paraId="4DEC4930"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eastAsia="zh-CN"/>
              </w:rPr>
              <w:t>声环境保护目标处噪声值</w:t>
            </w:r>
          </w:p>
        </w:tc>
        <w:tc>
          <w:tcPr>
            <w:tcW w:w="1718" w:type="pct"/>
            <w:gridSpan w:val="7"/>
            <w:tcBorders>
              <w:top w:val="single" w:sz="4" w:space="0" w:color="000000"/>
              <w:left w:val="single" w:sz="4" w:space="0" w:color="000000"/>
              <w:bottom w:val="single" w:sz="4" w:space="0" w:color="000000"/>
              <w:right w:val="single" w:sz="4" w:space="0" w:color="000000"/>
            </w:tcBorders>
            <w:vAlign w:val="center"/>
          </w:tcPr>
          <w:p w14:paraId="7CC092BF"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rPr>
              <w:t>达标</w:t>
            </w:r>
            <w:r>
              <w:rPr>
                <w:rFonts w:ascii="宋体" w:eastAsia="宋体" w:hAnsi="宋体" w:cs="宋体" w:hint="eastAsia"/>
                <w:sz w:val="21"/>
                <w:szCs w:val="21"/>
                <w:lang w:eastAsia="zh-CN"/>
              </w:rPr>
              <w:t>☑</w:t>
            </w:r>
          </w:p>
        </w:tc>
        <w:tc>
          <w:tcPr>
            <w:tcW w:w="1826" w:type="pct"/>
            <w:gridSpan w:val="5"/>
            <w:tcBorders>
              <w:top w:val="single" w:sz="4" w:space="0" w:color="000000"/>
              <w:left w:val="single" w:sz="4" w:space="0" w:color="000000"/>
              <w:bottom w:val="single" w:sz="4" w:space="0" w:color="000000"/>
              <w:right w:val="single" w:sz="12" w:space="0" w:color="000000"/>
            </w:tcBorders>
            <w:vAlign w:val="center"/>
          </w:tcPr>
          <w:p w14:paraId="02CAA133"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不达标□</w:t>
            </w:r>
          </w:p>
        </w:tc>
      </w:tr>
      <w:tr w:rsidR="009D12AF" w14:paraId="7B7C6813" w14:textId="77777777">
        <w:trPr>
          <w:trHeight w:val="454"/>
        </w:trPr>
        <w:tc>
          <w:tcPr>
            <w:tcW w:w="556" w:type="pct"/>
            <w:vMerge w:val="restart"/>
            <w:tcBorders>
              <w:top w:val="single" w:sz="4" w:space="0" w:color="000000"/>
              <w:left w:val="single" w:sz="12" w:space="0" w:color="000000"/>
              <w:bottom w:val="single" w:sz="4" w:space="0" w:color="000000"/>
              <w:right w:val="single" w:sz="4" w:space="0" w:color="000000"/>
            </w:tcBorders>
            <w:vAlign w:val="center"/>
          </w:tcPr>
          <w:p w14:paraId="6205BB8D"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环境监测计划</w:t>
            </w:r>
          </w:p>
        </w:tc>
        <w:tc>
          <w:tcPr>
            <w:tcW w:w="898" w:type="pct"/>
            <w:tcBorders>
              <w:top w:val="single" w:sz="4" w:space="0" w:color="000000"/>
              <w:left w:val="single" w:sz="4" w:space="0" w:color="000000"/>
              <w:bottom w:val="single" w:sz="4" w:space="0" w:color="000000"/>
              <w:right w:val="single" w:sz="4" w:space="0" w:color="000000"/>
            </w:tcBorders>
            <w:vAlign w:val="center"/>
          </w:tcPr>
          <w:p w14:paraId="10F8EDBD"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排放监测</w:t>
            </w:r>
          </w:p>
        </w:tc>
        <w:tc>
          <w:tcPr>
            <w:tcW w:w="3545" w:type="pct"/>
            <w:gridSpan w:val="12"/>
            <w:tcBorders>
              <w:top w:val="single" w:sz="4" w:space="0" w:color="000000"/>
              <w:left w:val="single" w:sz="4" w:space="0" w:color="000000"/>
              <w:bottom w:val="single" w:sz="4" w:space="0" w:color="000000"/>
              <w:right w:val="single" w:sz="12" w:space="0" w:color="000000"/>
            </w:tcBorders>
            <w:vAlign w:val="center"/>
          </w:tcPr>
          <w:p w14:paraId="38C51326" w14:textId="77777777" w:rsidR="009D12AF" w:rsidRDefault="00000000">
            <w:pPr>
              <w:pStyle w:val="TableParagraph"/>
              <w:tabs>
                <w:tab w:val="left" w:pos="1621"/>
              </w:tabs>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eastAsia="zh-CN"/>
              </w:rPr>
              <w:t>厂界监测☑固定位置监</w:t>
            </w:r>
            <w:r>
              <w:rPr>
                <w:rFonts w:ascii="宋体" w:eastAsia="宋体" w:hAnsi="宋体" w:cs="宋体" w:hint="eastAsia"/>
                <w:spacing w:val="-3"/>
                <w:sz w:val="21"/>
                <w:szCs w:val="21"/>
                <w:lang w:eastAsia="zh-CN"/>
              </w:rPr>
              <w:t>测</w:t>
            </w:r>
            <w:r>
              <w:rPr>
                <w:rFonts w:ascii="宋体" w:eastAsia="宋体" w:hAnsi="宋体" w:cs="宋体" w:hint="eastAsia"/>
                <w:sz w:val="21"/>
                <w:szCs w:val="21"/>
                <w:lang w:eastAsia="zh-CN"/>
              </w:rPr>
              <w:t>□自动监测□手动监测□无监测□</w:t>
            </w:r>
          </w:p>
        </w:tc>
      </w:tr>
      <w:tr w:rsidR="009D12AF" w14:paraId="23589C27" w14:textId="77777777">
        <w:trPr>
          <w:trHeight w:val="454"/>
        </w:trPr>
        <w:tc>
          <w:tcPr>
            <w:tcW w:w="556" w:type="pct"/>
            <w:vMerge/>
            <w:tcBorders>
              <w:top w:val="single" w:sz="4" w:space="0" w:color="000000"/>
              <w:left w:val="single" w:sz="12" w:space="0" w:color="000000"/>
              <w:bottom w:val="single" w:sz="4" w:space="0" w:color="000000"/>
              <w:right w:val="single" w:sz="4" w:space="0" w:color="000000"/>
            </w:tcBorders>
            <w:vAlign w:val="center"/>
          </w:tcPr>
          <w:p w14:paraId="6EB1A7D8" w14:textId="77777777" w:rsidR="009D12AF" w:rsidRDefault="009D12AF">
            <w:pPr>
              <w:widowControl/>
              <w:autoSpaceDE/>
              <w:autoSpaceDN/>
              <w:spacing w:line="240" w:lineRule="auto"/>
              <w:ind w:firstLineChars="0" w:firstLine="0"/>
              <w:jc w:val="center"/>
              <w:rPr>
                <w:rFonts w:ascii="宋体" w:eastAsia="宋体" w:hAnsi="宋体" w:cs="宋体" w:hint="eastAsia"/>
                <w:sz w:val="21"/>
                <w:szCs w:val="21"/>
                <w:lang w:val="zh-CN" w:eastAsia="en-US" w:bidi="zh-CN"/>
              </w:rPr>
            </w:pPr>
          </w:p>
        </w:tc>
        <w:tc>
          <w:tcPr>
            <w:tcW w:w="898" w:type="pct"/>
            <w:tcBorders>
              <w:top w:val="single" w:sz="4" w:space="0" w:color="000000"/>
              <w:left w:val="single" w:sz="4" w:space="0" w:color="000000"/>
              <w:bottom w:val="single" w:sz="4" w:space="0" w:color="000000"/>
              <w:right w:val="single" w:sz="4" w:space="0" w:color="000000"/>
            </w:tcBorders>
            <w:vAlign w:val="center"/>
          </w:tcPr>
          <w:p w14:paraId="30810EEB" w14:textId="77777777" w:rsidR="009D12AF" w:rsidRDefault="00000000">
            <w:pPr>
              <w:pStyle w:val="TableParagraph"/>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eastAsia="zh-CN"/>
              </w:rPr>
              <w:t>声环境保护目标处噪声监测</w:t>
            </w:r>
          </w:p>
        </w:tc>
        <w:tc>
          <w:tcPr>
            <w:tcW w:w="1705" w:type="pct"/>
            <w:gridSpan w:val="6"/>
            <w:tcBorders>
              <w:top w:val="single" w:sz="4" w:space="0" w:color="000000"/>
              <w:left w:val="single" w:sz="4" w:space="0" w:color="000000"/>
              <w:bottom w:val="single" w:sz="4" w:space="0" w:color="000000"/>
              <w:right w:val="single" w:sz="4" w:space="0" w:color="000000"/>
            </w:tcBorders>
            <w:vAlign w:val="center"/>
          </w:tcPr>
          <w:p w14:paraId="6226142D" w14:textId="77777777" w:rsidR="009D12AF" w:rsidRDefault="00000000">
            <w:pPr>
              <w:pStyle w:val="TableParagraph"/>
              <w:tabs>
                <w:tab w:val="left" w:pos="2252"/>
              </w:tabs>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eastAsia="zh-CN"/>
              </w:rPr>
              <w:t>监测因子</w:t>
            </w:r>
            <w:r>
              <w:rPr>
                <w:rFonts w:ascii="宋体" w:eastAsia="宋体" w:hAnsi="宋体" w:cs="宋体" w:hint="eastAsia"/>
                <w:spacing w:val="-92"/>
                <w:sz w:val="21"/>
                <w:szCs w:val="21"/>
                <w:lang w:eastAsia="zh-CN"/>
              </w:rPr>
              <w:t>：</w:t>
            </w:r>
            <w:r>
              <w:rPr>
                <w:rFonts w:ascii="宋体" w:eastAsia="宋体" w:hAnsi="宋体" w:cs="宋体" w:hint="eastAsia"/>
                <w:sz w:val="21"/>
                <w:szCs w:val="21"/>
                <w:lang w:eastAsia="zh-CN"/>
              </w:rPr>
              <w:t>（等效连续A声级）</w:t>
            </w:r>
          </w:p>
        </w:tc>
        <w:tc>
          <w:tcPr>
            <w:tcW w:w="1215" w:type="pct"/>
            <w:gridSpan w:val="5"/>
            <w:tcBorders>
              <w:top w:val="single" w:sz="4" w:space="0" w:color="000000"/>
              <w:left w:val="single" w:sz="4" w:space="0" w:color="000000"/>
              <w:bottom w:val="single" w:sz="4" w:space="0" w:color="000000"/>
              <w:right w:val="single" w:sz="4" w:space="0" w:color="000000"/>
            </w:tcBorders>
            <w:vAlign w:val="center"/>
          </w:tcPr>
          <w:p w14:paraId="69E0F523" w14:textId="77777777" w:rsidR="009D12AF" w:rsidRDefault="00000000">
            <w:pPr>
              <w:pStyle w:val="TableParagraph"/>
              <w:tabs>
                <w:tab w:val="left" w:pos="1735"/>
              </w:tabs>
              <w:jc w:val="center"/>
              <w:rPr>
                <w:rFonts w:ascii="宋体" w:eastAsia="宋体" w:hAnsi="宋体" w:cs="宋体" w:hint="eastAsia"/>
                <w:sz w:val="21"/>
                <w:szCs w:val="21"/>
                <w:lang w:val="zh-CN" w:bidi="zh-CN"/>
              </w:rPr>
            </w:pPr>
            <w:r>
              <w:rPr>
                <w:rFonts w:ascii="宋体" w:eastAsia="宋体" w:hAnsi="宋体" w:cs="宋体" w:hint="eastAsia"/>
                <w:sz w:val="21"/>
                <w:szCs w:val="21"/>
              </w:rPr>
              <w:t>监测点位数（</w:t>
            </w:r>
            <w:r>
              <w:rPr>
                <w:rFonts w:ascii="宋体" w:eastAsia="宋体" w:hAnsi="宋体" w:cs="宋体" w:hint="eastAsia"/>
                <w:sz w:val="21"/>
                <w:szCs w:val="21"/>
                <w:lang w:eastAsia="zh-CN"/>
              </w:rPr>
              <w:t>4</w:t>
            </w:r>
            <w:r>
              <w:rPr>
                <w:rFonts w:ascii="宋体" w:eastAsia="宋体" w:hAnsi="宋体" w:cs="宋体" w:hint="eastAsia"/>
                <w:sz w:val="21"/>
                <w:szCs w:val="21"/>
              </w:rPr>
              <w:t>）</w:t>
            </w:r>
          </w:p>
        </w:tc>
        <w:tc>
          <w:tcPr>
            <w:tcW w:w="625" w:type="pct"/>
            <w:tcBorders>
              <w:top w:val="single" w:sz="4" w:space="0" w:color="000000"/>
              <w:left w:val="single" w:sz="4" w:space="0" w:color="000000"/>
              <w:bottom w:val="single" w:sz="4" w:space="0" w:color="000000"/>
              <w:right w:val="single" w:sz="12" w:space="0" w:color="000000"/>
            </w:tcBorders>
            <w:vAlign w:val="center"/>
          </w:tcPr>
          <w:p w14:paraId="7629240A"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无监测□</w:t>
            </w:r>
          </w:p>
        </w:tc>
      </w:tr>
      <w:tr w:rsidR="009D12AF" w14:paraId="65FAAB79" w14:textId="77777777">
        <w:trPr>
          <w:trHeight w:val="454"/>
        </w:trPr>
        <w:tc>
          <w:tcPr>
            <w:tcW w:w="556" w:type="pct"/>
            <w:tcBorders>
              <w:top w:val="single" w:sz="4" w:space="0" w:color="000000"/>
              <w:left w:val="single" w:sz="12" w:space="0" w:color="000000"/>
              <w:bottom w:val="single" w:sz="4" w:space="0" w:color="000000"/>
              <w:right w:val="single" w:sz="4" w:space="0" w:color="000000"/>
            </w:tcBorders>
            <w:vAlign w:val="center"/>
          </w:tcPr>
          <w:p w14:paraId="196B5C36"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评价结论</w:t>
            </w:r>
          </w:p>
        </w:tc>
        <w:tc>
          <w:tcPr>
            <w:tcW w:w="898" w:type="pct"/>
            <w:tcBorders>
              <w:top w:val="single" w:sz="4" w:space="0" w:color="000000"/>
              <w:left w:val="single" w:sz="4" w:space="0" w:color="000000"/>
              <w:bottom w:val="single" w:sz="4" w:space="0" w:color="000000"/>
              <w:right w:val="single" w:sz="4" w:space="0" w:color="000000"/>
            </w:tcBorders>
            <w:vAlign w:val="center"/>
          </w:tcPr>
          <w:p w14:paraId="46BD4781" w14:textId="77777777" w:rsidR="009D12AF" w:rsidRDefault="00000000">
            <w:pPr>
              <w:pStyle w:val="TableParagraph"/>
              <w:jc w:val="center"/>
              <w:rPr>
                <w:rFonts w:ascii="宋体" w:eastAsia="宋体" w:hAnsi="宋体" w:cs="宋体" w:hint="eastAsia"/>
                <w:sz w:val="21"/>
                <w:szCs w:val="21"/>
                <w:lang w:val="zh-CN" w:bidi="zh-CN"/>
              </w:rPr>
            </w:pPr>
            <w:r>
              <w:rPr>
                <w:rFonts w:ascii="宋体" w:eastAsia="宋体" w:hAnsi="宋体" w:cs="宋体" w:hint="eastAsia"/>
                <w:sz w:val="21"/>
                <w:szCs w:val="21"/>
              </w:rPr>
              <w:t>环境影响</w:t>
            </w:r>
          </w:p>
        </w:tc>
        <w:tc>
          <w:tcPr>
            <w:tcW w:w="1705" w:type="pct"/>
            <w:gridSpan w:val="6"/>
            <w:tcBorders>
              <w:top w:val="single" w:sz="4" w:space="0" w:color="000000"/>
              <w:left w:val="single" w:sz="4" w:space="0" w:color="000000"/>
              <w:bottom w:val="single" w:sz="4" w:space="0" w:color="000000"/>
              <w:right w:val="single" w:sz="4" w:space="0" w:color="000000"/>
            </w:tcBorders>
            <w:vAlign w:val="center"/>
          </w:tcPr>
          <w:p w14:paraId="666CE911" w14:textId="77777777" w:rsidR="009D12AF" w:rsidRDefault="00000000">
            <w:pPr>
              <w:pStyle w:val="TableParagraph"/>
              <w:tabs>
                <w:tab w:val="left" w:pos="1202"/>
              </w:tabs>
              <w:jc w:val="center"/>
              <w:rPr>
                <w:rFonts w:ascii="宋体" w:eastAsia="宋体" w:hAnsi="宋体" w:cs="宋体" w:hint="eastAsia"/>
                <w:sz w:val="21"/>
                <w:szCs w:val="21"/>
                <w:lang w:val="zh-CN" w:bidi="zh-CN"/>
              </w:rPr>
            </w:pPr>
            <w:r>
              <w:rPr>
                <w:rFonts w:ascii="宋体" w:eastAsia="宋体" w:hAnsi="宋体" w:cs="宋体" w:hint="eastAsia"/>
                <w:sz w:val="21"/>
                <w:szCs w:val="21"/>
              </w:rPr>
              <w:t>可行☑</w:t>
            </w:r>
          </w:p>
        </w:tc>
        <w:tc>
          <w:tcPr>
            <w:tcW w:w="1840" w:type="pct"/>
            <w:gridSpan w:val="6"/>
            <w:tcBorders>
              <w:top w:val="single" w:sz="4" w:space="0" w:color="000000"/>
              <w:left w:val="single" w:sz="4" w:space="0" w:color="000000"/>
              <w:bottom w:val="single" w:sz="4" w:space="0" w:color="000000"/>
              <w:right w:val="single" w:sz="12" w:space="0" w:color="000000"/>
            </w:tcBorders>
            <w:vAlign w:val="center"/>
          </w:tcPr>
          <w:p w14:paraId="7B361CC5" w14:textId="77777777" w:rsidR="009D12AF" w:rsidRDefault="00000000">
            <w:pPr>
              <w:pStyle w:val="TableParagraph"/>
              <w:tabs>
                <w:tab w:val="left" w:pos="1202"/>
              </w:tabs>
              <w:jc w:val="center"/>
              <w:rPr>
                <w:rFonts w:ascii="宋体" w:eastAsia="宋体" w:hAnsi="宋体" w:cs="宋体" w:hint="eastAsia"/>
                <w:sz w:val="21"/>
                <w:szCs w:val="21"/>
                <w:lang w:val="zh-CN" w:bidi="zh-CN"/>
              </w:rPr>
            </w:pPr>
            <w:r>
              <w:rPr>
                <w:rFonts w:ascii="宋体" w:eastAsia="宋体" w:hAnsi="宋体" w:cs="宋体" w:hint="eastAsia"/>
                <w:sz w:val="21"/>
                <w:szCs w:val="21"/>
              </w:rPr>
              <w:t>不可行□</w:t>
            </w:r>
          </w:p>
        </w:tc>
      </w:tr>
      <w:tr w:rsidR="009D12AF" w14:paraId="48CBB29B" w14:textId="77777777">
        <w:trPr>
          <w:trHeight w:val="454"/>
        </w:trPr>
        <w:tc>
          <w:tcPr>
            <w:tcW w:w="5000" w:type="pct"/>
            <w:gridSpan w:val="14"/>
            <w:tcBorders>
              <w:top w:val="single" w:sz="4" w:space="0" w:color="000000"/>
              <w:left w:val="single" w:sz="12" w:space="0" w:color="000000"/>
              <w:bottom w:val="single" w:sz="12" w:space="0" w:color="000000"/>
              <w:right w:val="single" w:sz="12" w:space="0" w:color="000000"/>
            </w:tcBorders>
            <w:vAlign w:val="center"/>
          </w:tcPr>
          <w:p w14:paraId="5C912F2D" w14:textId="77777777" w:rsidR="009D12AF" w:rsidRDefault="00000000">
            <w:pPr>
              <w:pStyle w:val="TableParagraph"/>
              <w:tabs>
                <w:tab w:val="left" w:pos="2985"/>
              </w:tabs>
              <w:jc w:val="center"/>
              <w:rPr>
                <w:rFonts w:ascii="宋体" w:eastAsia="宋体" w:hAnsi="宋体" w:cs="宋体" w:hint="eastAsia"/>
                <w:sz w:val="21"/>
                <w:szCs w:val="21"/>
                <w:lang w:val="zh-CN" w:eastAsia="zh-CN" w:bidi="zh-CN"/>
              </w:rPr>
            </w:pPr>
            <w:r>
              <w:rPr>
                <w:rFonts w:ascii="宋体" w:eastAsia="宋体" w:hAnsi="宋体" w:cs="宋体" w:hint="eastAsia"/>
                <w:sz w:val="21"/>
                <w:szCs w:val="21"/>
                <w:lang w:eastAsia="zh-CN"/>
              </w:rPr>
              <w:t>注“□”为勾选项，可√；</w:t>
            </w:r>
            <w:r>
              <w:rPr>
                <w:rFonts w:ascii="宋体" w:eastAsia="宋体" w:hAnsi="宋体" w:cs="宋体" w:hint="eastAsia"/>
                <w:spacing w:val="1"/>
                <w:sz w:val="21"/>
                <w:szCs w:val="21"/>
                <w:lang w:eastAsia="zh-CN"/>
              </w:rPr>
              <w:t>“（）”</w:t>
            </w:r>
            <w:r>
              <w:rPr>
                <w:rFonts w:ascii="宋体" w:eastAsia="宋体" w:hAnsi="宋体" w:cs="宋体" w:hint="eastAsia"/>
                <w:sz w:val="21"/>
                <w:szCs w:val="21"/>
                <w:lang w:eastAsia="zh-CN"/>
              </w:rPr>
              <w:t>为内容填写项。</w:t>
            </w:r>
          </w:p>
        </w:tc>
      </w:tr>
    </w:tbl>
    <w:p w14:paraId="498FB54E" w14:textId="77777777" w:rsidR="009D12AF" w:rsidRDefault="00000000">
      <w:pPr>
        <w:ind w:firstLine="480"/>
        <w:rPr>
          <w:highlight w:val="yellow"/>
        </w:rPr>
      </w:pPr>
      <w:r>
        <w:rPr>
          <w:highlight w:val="yellow"/>
        </w:rPr>
        <w:br w:type="page"/>
      </w:r>
    </w:p>
    <w:p w14:paraId="292B58BD" w14:textId="77777777" w:rsidR="009D12AF" w:rsidRDefault="00000000">
      <w:pPr>
        <w:pStyle w:val="2"/>
      </w:pPr>
      <w:bookmarkStart w:id="520" w:name="_Toc149123025"/>
      <w:bookmarkStart w:id="521" w:name="_Toc14126"/>
      <w:bookmarkStart w:id="522" w:name="_Toc17414"/>
      <w:bookmarkStart w:id="523" w:name="_Toc4693"/>
      <w:bookmarkStart w:id="524" w:name="_Toc29589"/>
      <w:bookmarkStart w:id="525" w:name="_Toc24241"/>
      <w:bookmarkStart w:id="526" w:name="_Toc289"/>
      <w:bookmarkStart w:id="527" w:name="_Toc15177"/>
      <w:r>
        <w:rPr>
          <w:rFonts w:hint="eastAsia"/>
        </w:rPr>
        <w:lastRenderedPageBreak/>
        <w:t>附表</w:t>
      </w:r>
      <w:r>
        <w:rPr>
          <w:rFonts w:hint="eastAsia"/>
        </w:rPr>
        <w:t xml:space="preserve">4 </w:t>
      </w:r>
      <w:r>
        <w:rPr>
          <w:rFonts w:hint="eastAsia"/>
        </w:rPr>
        <w:t>环境风险评价自查表</w:t>
      </w:r>
      <w:bookmarkEnd w:id="520"/>
      <w:bookmarkEnd w:id="521"/>
      <w:bookmarkEnd w:id="522"/>
      <w:bookmarkEnd w:id="523"/>
    </w:p>
    <w:tbl>
      <w:tblPr>
        <w:tblW w:w="8337"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488"/>
        <w:gridCol w:w="1210"/>
        <w:gridCol w:w="1130"/>
        <w:gridCol w:w="529"/>
        <w:gridCol w:w="572"/>
        <w:gridCol w:w="619"/>
        <w:gridCol w:w="469"/>
        <w:gridCol w:w="13"/>
        <w:gridCol w:w="758"/>
        <w:gridCol w:w="343"/>
        <w:gridCol w:w="347"/>
        <w:gridCol w:w="198"/>
        <w:gridCol w:w="452"/>
        <w:gridCol w:w="104"/>
        <w:gridCol w:w="1105"/>
      </w:tblGrid>
      <w:tr w:rsidR="009D12AF" w14:paraId="5DCC9054" w14:textId="77777777">
        <w:trPr>
          <w:trHeight w:val="340"/>
        </w:trPr>
        <w:tc>
          <w:tcPr>
            <w:tcW w:w="1698" w:type="dxa"/>
            <w:gridSpan w:val="2"/>
            <w:vAlign w:val="center"/>
          </w:tcPr>
          <w:p w14:paraId="7EF8179C" w14:textId="77777777" w:rsidR="009D12AF" w:rsidRDefault="00000000">
            <w:pPr>
              <w:spacing w:line="240" w:lineRule="atLeast"/>
              <w:ind w:firstLineChars="0" w:firstLine="0"/>
              <w:jc w:val="center"/>
              <w:rPr>
                <w:sz w:val="21"/>
                <w:szCs w:val="21"/>
              </w:rPr>
            </w:pPr>
            <w:r>
              <w:rPr>
                <w:sz w:val="21"/>
                <w:szCs w:val="21"/>
              </w:rPr>
              <w:t>工作内容</w:t>
            </w:r>
          </w:p>
        </w:tc>
        <w:tc>
          <w:tcPr>
            <w:tcW w:w="6639" w:type="dxa"/>
            <w:gridSpan w:val="13"/>
            <w:vAlign w:val="center"/>
          </w:tcPr>
          <w:p w14:paraId="0EAEAA6B" w14:textId="77777777" w:rsidR="009D12AF" w:rsidRDefault="00000000">
            <w:pPr>
              <w:spacing w:line="240" w:lineRule="atLeast"/>
              <w:ind w:firstLineChars="0" w:firstLine="0"/>
              <w:jc w:val="center"/>
              <w:rPr>
                <w:sz w:val="21"/>
                <w:szCs w:val="21"/>
              </w:rPr>
            </w:pPr>
            <w:r>
              <w:rPr>
                <w:sz w:val="21"/>
                <w:szCs w:val="21"/>
              </w:rPr>
              <w:t>完成情况</w:t>
            </w:r>
          </w:p>
        </w:tc>
      </w:tr>
      <w:tr w:rsidR="009D12AF" w14:paraId="6DB7B972" w14:textId="77777777">
        <w:trPr>
          <w:trHeight w:val="340"/>
        </w:trPr>
        <w:tc>
          <w:tcPr>
            <w:tcW w:w="488" w:type="dxa"/>
            <w:vMerge w:val="restart"/>
            <w:vAlign w:val="center"/>
          </w:tcPr>
          <w:p w14:paraId="0BC9CEF8" w14:textId="77777777" w:rsidR="009D12AF" w:rsidRDefault="00000000">
            <w:pPr>
              <w:spacing w:line="240" w:lineRule="atLeast"/>
              <w:ind w:firstLineChars="0" w:firstLine="0"/>
              <w:jc w:val="center"/>
              <w:rPr>
                <w:sz w:val="21"/>
                <w:szCs w:val="21"/>
              </w:rPr>
            </w:pPr>
            <w:r>
              <w:rPr>
                <w:sz w:val="21"/>
                <w:szCs w:val="21"/>
              </w:rPr>
              <w:t>风险调查</w:t>
            </w:r>
          </w:p>
        </w:tc>
        <w:tc>
          <w:tcPr>
            <w:tcW w:w="1210" w:type="dxa"/>
            <w:vMerge w:val="restart"/>
            <w:vAlign w:val="center"/>
          </w:tcPr>
          <w:p w14:paraId="5815BB83" w14:textId="77777777" w:rsidR="009D12AF" w:rsidRDefault="00000000">
            <w:pPr>
              <w:spacing w:line="240" w:lineRule="atLeast"/>
              <w:ind w:firstLineChars="0" w:firstLine="0"/>
              <w:jc w:val="center"/>
              <w:rPr>
                <w:sz w:val="21"/>
                <w:szCs w:val="21"/>
              </w:rPr>
            </w:pPr>
            <w:r>
              <w:rPr>
                <w:sz w:val="21"/>
                <w:szCs w:val="21"/>
              </w:rPr>
              <w:t>危险物质</w:t>
            </w:r>
          </w:p>
        </w:tc>
        <w:tc>
          <w:tcPr>
            <w:tcW w:w="1130" w:type="dxa"/>
            <w:vAlign w:val="center"/>
          </w:tcPr>
          <w:p w14:paraId="54C76C00" w14:textId="77777777" w:rsidR="009D12AF" w:rsidRDefault="00000000">
            <w:pPr>
              <w:spacing w:line="240" w:lineRule="atLeast"/>
              <w:ind w:firstLineChars="0" w:firstLine="0"/>
              <w:jc w:val="center"/>
              <w:rPr>
                <w:sz w:val="21"/>
                <w:szCs w:val="21"/>
              </w:rPr>
            </w:pPr>
            <w:r>
              <w:rPr>
                <w:sz w:val="21"/>
                <w:szCs w:val="21"/>
              </w:rPr>
              <w:t>名称</w:t>
            </w:r>
          </w:p>
        </w:tc>
        <w:tc>
          <w:tcPr>
            <w:tcW w:w="1101" w:type="dxa"/>
            <w:gridSpan w:val="2"/>
            <w:vAlign w:val="center"/>
          </w:tcPr>
          <w:p w14:paraId="01872CEC" w14:textId="77777777" w:rsidR="009D12AF" w:rsidRDefault="00000000">
            <w:pPr>
              <w:spacing w:line="240" w:lineRule="atLeast"/>
              <w:ind w:firstLineChars="0" w:firstLine="0"/>
              <w:jc w:val="center"/>
              <w:rPr>
                <w:sz w:val="21"/>
                <w:szCs w:val="21"/>
              </w:rPr>
            </w:pPr>
            <w:r>
              <w:rPr>
                <w:rFonts w:hint="eastAsia"/>
                <w:sz w:val="21"/>
                <w:szCs w:val="21"/>
              </w:rPr>
              <w:t>机油</w:t>
            </w:r>
          </w:p>
        </w:tc>
        <w:tc>
          <w:tcPr>
            <w:tcW w:w="1101" w:type="dxa"/>
            <w:gridSpan w:val="3"/>
            <w:vAlign w:val="center"/>
          </w:tcPr>
          <w:p w14:paraId="39D302F2" w14:textId="77777777" w:rsidR="009D12AF" w:rsidRDefault="009D12AF">
            <w:pPr>
              <w:spacing w:line="240" w:lineRule="atLeast"/>
              <w:ind w:firstLineChars="0" w:firstLine="0"/>
              <w:jc w:val="center"/>
              <w:rPr>
                <w:sz w:val="21"/>
                <w:szCs w:val="21"/>
              </w:rPr>
            </w:pPr>
          </w:p>
        </w:tc>
        <w:tc>
          <w:tcPr>
            <w:tcW w:w="1101" w:type="dxa"/>
            <w:gridSpan w:val="2"/>
            <w:vAlign w:val="center"/>
          </w:tcPr>
          <w:p w14:paraId="6F24D401" w14:textId="77777777" w:rsidR="009D12AF" w:rsidRDefault="009D12AF">
            <w:pPr>
              <w:spacing w:line="240" w:lineRule="atLeast"/>
              <w:ind w:firstLineChars="0" w:firstLine="0"/>
              <w:jc w:val="center"/>
              <w:rPr>
                <w:sz w:val="21"/>
                <w:szCs w:val="21"/>
              </w:rPr>
            </w:pPr>
          </w:p>
        </w:tc>
        <w:tc>
          <w:tcPr>
            <w:tcW w:w="1101" w:type="dxa"/>
            <w:gridSpan w:val="4"/>
            <w:vAlign w:val="center"/>
          </w:tcPr>
          <w:p w14:paraId="72E62AB6" w14:textId="77777777" w:rsidR="009D12AF" w:rsidRDefault="009D12AF">
            <w:pPr>
              <w:spacing w:line="240" w:lineRule="atLeast"/>
              <w:ind w:firstLineChars="0" w:firstLine="0"/>
              <w:jc w:val="center"/>
              <w:rPr>
                <w:sz w:val="21"/>
                <w:szCs w:val="21"/>
              </w:rPr>
            </w:pPr>
          </w:p>
        </w:tc>
        <w:tc>
          <w:tcPr>
            <w:tcW w:w="1105" w:type="dxa"/>
            <w:vAlign w:val="center"/>
          </w:tcPr>
          <w:p w14:paraId="03018E2B" w14:textId="77777777" w:rsidR="009D12AF" w:rsidRDefault="009D12AF">
            <w:pPr>
              <w:spacing w:line="240" w:lineRule="atLeast"/>
              <w:ind w:firstLineChars="0" w:firstLine="0"/>
              <w:jc w:val="center"/>
              <w:rPr>
                <w:sz w:val="21"/>
                <w:szCs w:val="21"/>
              </w:rPr>
            </w:pPr>
          </w:p>
        </w:tc>
      </w:tr>
      <w:tr w:rsidR="009D12AF" w14:paraId="3E27FE2C" w14:textId="77777777">
        <w:trPr>
          <w:trHeight w:val="340"/>
        </w:trPr>
        <w:tc>
          <w:tcPr>
            <w:tcW w:w="488" w:type="dxa"/>
            <w:vMerge/>
            <w:vAlign w:val="center"/>
          </w:tcPr>
          <w:p w14:paraId="3C52429A" w14:textId="77777777" w:rsidR="009D12AF" w:rsidRDefault="009D12AF">
            <w:pPr>
              <w:spacing w:line="240" w:lineRule="atLeast"/>
              <w:ind w:firstLineChars="0" w:firstLine="0"/>
              <w:jc w:val="center"/>
              <w:rPr>
                <w:sz w:val="21"/>
                <w:szCs w:val="21"/>
              </w:rPr>
            </w:pPr>
          </w:p>
        </w:tc>
        <w:tc>
          <w:tcPr>
            <w:tcW w:w="1210" w:type="dxa"/>
            <w:vMerge/>
            <w:vAlign w:val="center"/>
          </w:tcPr>
          <w:p w14:paraId="3AD1E5FD" w14:textId="77777777" w:rsidR="009D12AF" w:rsidRDefault="009D12AF">
            <w:pPr>
              <w:spacing w:line="240" w:lineRule="atLeast"/>
              <w:ind w:firstLineChars="0" w:firstLine="0"/>
              <w:jc w:val="center"/>
              <w:rPr>
                <w:sz w:val="21"/>
                <w:szCs w:val="21"/>
              </w:rPr>
            </w:pPr>
          </w:p>
        </w:tc>
        <w:tc>
          <w:tcPr>
            <w:tcW w:w="1130" w:type="dxa"/>
            <w:vAlign w:val="center"/>
          </w:tcPr>
          <w:p w14:paraId="2170DECC" w14:textId="77777777" w:rsidR="009D12AF" w:rsidRDefault="00000000">
            <w:pPr>
              <w:spacing w:line="240" w:lineRule="atLeast"/>
              <w:ind w:firstLineChars="0" w:firstLine="0"/>
              <w:jc w:val="center"/>
              <w:rPr>
                <w:sz w:val="21"/>
                <w:szCs w:val="21"/>
              </w:rPr>
            </w:pPr>
            <w:r>
              <w:rPr>
                <w:sz w:val="21"/>
                <w:szCs w:val="21"/>
              </w:rPr>
              <w:t>存在总量</w:t>
            </w:r>
            <w:r>
              <w:rPr>
                <w:sz w:val="21"/>
                <w:szCs w:val="21"/>
              </w:rPr>
              <w:t>/t</w:t>
            </w:r>
          </w:p>
        </w:tc>
        <w:tc>
          <w:tcPr>
            <w:tcW w:w="1101" w:type="dxa"/>
            <w:gridSpan w:val="2"/>
            <w:vAlign w:val="center"/>
          </w:tcPr>
          <w:p w14:paraId="02200152" w14:textId="77777777" w:rsidR="009D12AF" w:rsidRDefault="00000000">
            <w:pPr>
              <w:spacing w:line="240" w:lineRule="atLeast"/>
              <w:ind w:firstLineChars="0" w:firstLine="0"/>
              <w:jc w:val="center"/>
              <w:rPr>
                <w:sz w:val="21"/>
                <w:szCs w:val="21"/>
              </w:rPr>
            </w:pPr>
            <w:r>
              <w:rPr>
                <w:rFonts w:hint="eastAsia"/>
                <w:sz w:val="21"/>
                <w:szCs w:val="21"/>
              </w:rPr>
              <w:t>/</w:t>
            </w:r>
          </w:p>
        </w:tc>
        <w:tc>
          <w:tcPr>
            <w:tcW w:w="1101" w:type="dxa"/>
            <w:gridSpan w:val="3"/>
            <w:vAlign w:val="center"/>
          </w:tcPr>
          <w:p w14:paraId="20DF45A9" w14:textId="77777777" w:rsidR="009D12AF" w:rsidRDefault="009D12AF">
            <w:pPr>
              <w:spacing w:line="240" w:lineRule="atLeast"/>
              <w:ind w:firstLineChars="0" w:firstLine="0"/>
              <w:jc w:val="center"/>
              <w:rPr>
                <w:sz w:val="21"/>
                <w:szCs w:val="21"/>
              </w:rPr>
            </w:pPr>
          </w:p>
        </w:tc>
        <w:tc>
          <w:tcPr>
            <w:tcW w:w="1101" w:type="dxa"/>
            <w:gridSpan w:val="2"/>
            <w:vAlign w:val="center"/>
          </w:tcPr>
          <w:p w14:paraId="308037F1" w14:textId="77777777" w:rsidR="009D12AF" w:rsidRDefault="009D12AF">
            <w:pPr>
              <w:spacing w:line="240" w:lineRule="atLeast"/>
              <w:ind w:firstLineChars="0" w:firstLine="0"/>
              <w:jc w:val="center"/>
              <w:rPr>
                <w:rFonts w:ascii="宋体" w:cs="Times New Roman"/>
                <w:sz w:val="21"/>
                <w:szCs w:val="21"/>
              </w:rPr>
            </w:pPr>
          </w:p>
        </w:tc>
        <w:tc>
          <w:tcPr>
            <w:tcW w:w="1101" w:type="dxa"/>
            <w:gridSpan w:val="4"/>
            <w:vAlign w:val="center"/>
          </w:tcPr>
          <w:p w14:paraId="41EEF756" w14:textId="77777777" w:rsidR="009D12AF" w:rsidRDefault="009D12AF">
            <w:pPr>
              <w:spacing w:line="240" w:lineRule="atLeast"/>
              <w:ind w:firstLineChars="0" w:firstLine="0"/>
              <w:jc w:val="center"/>
              <w:rPr>
                <w:rFonts w:ascii="宋体" w:cs="Times New Roman"/>
                <w:sz w:val="21"/>
                <w:szCs w:val="21"/>
              </w:rPr>
            </w:pPr>
          </w:p>
        </w:tc>
        <w:tc>
          <w:tcPr>
            <w:tcW w:w="1105" w:type="dxa"/>
            <w:vAlign w:val="center"/>
          </w:tcPr>
          <w:p w14:paraId="07936F78" w14:textId="77777777" w:rsidR="009D12AF" w:rsidRDefault="009D12AF">
            <w:pPr>
              <w:spacing w:line="240" w:lineRule="atLeast"/>
              <w:ind w:firstLineChars="0" w:firstLine="0"/>
              <w:jc w:val="center"/>
              <w:rPr>
                <w:rFonts w:cs="Times New Roman"/>
              </w:rPr>
            </w:pPr>
          </w:p>
        </w:tc>
      </w:tr>
      <w:tr w:rsidR="009D12AF" w14:paraId="2A8CD3F9" w14:textId="77777777">
        <w:trPr>
          <w:trHeight w:val="340"/>
        </w:trPr>
        <w:tc>
          <w:tcPr>
            <w:tcW w:w="488" w:type="dxa"/>
            <w:vMerge/>
            <w:vAlign w:val="center"/>
          </w:tcPr>
          <w:p w14:paraId="1F4EC4F0" w14:textId="77777777" w:rsidR="009D12AF" w:rsidRDefault="009D12AF">
            <w:pPr>
              <w:spacing w:line="240" w:lineRule="atLeast"/>
              <w:ind w:firstLineChars="0" w:firstLine="0"/>
              <w:jc w:val="center"/>
              <w:rPr>
                <w:sz w:val="21"/>
                <w:szCs w:val="21"/>
              </w:rPr>
            </w:pPr>
          </w:p>
        </w:tc>
        <w:tc>
          <w:tcPr>
            <w:tcW w:w="1210" w:type="dxa"/>
            <w:vMerge w:val="restart"/>
            <w:vAlign w:val="center"/>
          </w:tcPr>
          <w:p w14:paraId="2BE5F4B2" w14:textId="77777777" w:rsidR="009D12AF" w:rsidRDefault="00000000">
            <w:pPr>
              <w:spacing w:line="240" w:lineRule="atLeast"/>
              <w:ind w:firstLineChars="0" w:firstLine="0"/>
              <w:jc w:val="center"/>
              <w:rPr>
                <w:sz w:val="21"/>
                <w:szCs w:val="21"/>
              </w:rPr>
            </w:pPr>
            <w:r>
              <w:rPr>
                <w:sz w:val="21"/>
                <w:szCs w:val="21"/>
              </w:rPr>
              <w:t>环境敏感性</w:t>
            </w:r>
          </w:p>
        </w:tc>
        <w:tc>
          <w:tcPr>
            <w:tcW w:w="1130" w:type="dxa"/>
            <w:vMerge w:val="restart"/>
            <w:vAlign w:val="center"/>
          </w:tcPr>
          <w:p w14:paraId="2FE90B69" w14:textId="77777777" w:rsidR="009D12AF" w:rsidRDefault="00000000">
            <w:pPr>
              <w:spacing w:line="240" w:lineRule="atLeast"/>
              <w:ind w:firstLineChars="0" w:firstLine="0"/>
              <w:jc w:val="center"/>
              <w:rPr>
                <w:sz w:val="21"/>
                <w:szCs w:val="21"/>
              </w:rPr>
            </w:pPr>
            <w:r>
              <w:rPr>
                <w:sz w:val="21"/>
                <w:szCs w:val="21"/>
              </w:rPr>
              <w:t>大气</w:t>
            </w:r>
          </w:p>
        </w:tc>
        <w:tc>
          <w:tcPr>
            <w:tcW w:w="2960" w:type="dxa"/>
            <w:gridSpan w:val="6"/>
            <w:vAlign w:val="center"/>
          </w:tcPr>
          <w:p w14:paraId="1A677E35" w14:textId="77777777" w:rsidR="009D12AF" w:rsidRDefault="00000000">
            <w:pPr>
              <w:spacing w:line="240" w:lineRule="atLeast"/>
              <w:ind w:firstLineChars="0" w:firstLine="0"/>
              <w:jc w:val="center"/>
              <w:rPr>
                <w:sz w:val="21"/>
                <w:szCs w:val="21"/>
              </w:rPr>
            </w:pPr>
            <w:r>
              <w:rPr>
                <w:sz w:val="21"/>
                <w:szCs w:val="21"/>
              </w:rPr>
              <w:t>500m</w:t>
            </w:r>
            <w:r>
              <w:rPr>
                <w:sz w:val="21"/>
                <w:szCs w:val="21"/>
              </w:rPr>
              <w:t>范围内人口数</w:t>
            </w:r>
            <w:r>
              <w:rPr>
                <w:rFonts w:hint="eastAsia"/>
                <w:sz w:val="21"/>
                <w:szCs w:val="21"/>
              </w:rPr>
              <w:t>＜</w:t>
            </w:r>
            <w:r>
              <w:rPr>
                <w:rFonts w:hint="eastAsia"/>
                <w:sz w:val="21"/>
                <w:szCs w:val="21"/>
              </w:rPr>
              <w:t>500</w:t>
            </w:r>
            <w:r>
              <w:rPr>
                <w:sz w:val="21"/>
                <w:szCs w:val="21"/>
              </w:rPr>
              <w:t>人</w:t>
            </w:r>
          </w:p>
        </w:tc>
        <w:tc>
          <w:tcPr>
            <w:tcW w:w="2549" w:type="dxa"/>
            <w:gridSpan w:val="6"/>
            <w:vAlign w:val="center"/>
          </w:tcPr>
          <w:p w14:paraId="0F618089" w14:textId="77777777" w:rsidR="009D12AF" w:rsidRDefault="00000000">
            <w:pPr>
              <w:spacing w:line="240" w:lineRule="atLeast"/>
              <w:ind w:firstLineChars="0" w:firstLine="0"/>
              <w:rPr>
                <w:sz w:val="21"/>
                <w:szCs w:val="21"/>
              </w:rPr>
            </w:pPr>
            <w:r>
              <w:rPr>
                <w:sz w:val="21"/>
                <w:szCs w:val="21"/>
              </w:rPr>
              <w:t>5km</w:t>
            </w:r>
            <w:r>
              <w:rPr>
                <w:sz w:val="21"/>
                <w:szCs w:val="21"/>
              </w:rPr>
              <w:t>范围内人口数</w:t>
            </w:r>
            <w:r>
              <w:rPr>
                <w:rFonts w:hint="eastAsia"/>
                <w:sz w:val="21"/>
                <w:szCs w:val="21"/>
              </w:rPr>
              <w:t>＜</w:t>
            </w:r>
            <w:r>
              <w:rPr>
                <w:rFonts w:hint="eastAsia"/>
                <w:sz w:val="21"/>
                <w:szCs w:val="21"/>
              </w:rPr>
              <w:t>1</w:t>
            </w:r>
            <w:r>
              <w:rPr>
                <w:rFonts w:hint="eastAsia"/>
                <w:sz w:val="21"/>
                <w:szCs w:val="21"/>
              </w:rPr>
              <w:t>万</w:t>
            </w:r>
            <w:r>
              <w:rPr>
                <w:sz w:val="21"/>
                <w:szCs w:val="21"/>
              </w:rPr>
              <w:t>人</w:t>
            </w:r>
          </w:p>
        </w:tc>
      </w:tr>
      <w:tr w:rsidR="009D12AF" w14:paraId="537B84A5" w14:textId="77777777">
        <w:trPr>
          <w:trHeight w:val="340"/>
        </w:trPr>
        <w:tc>
          <w:tcPr>
            <w:tcW w:w="488" w:type="dxa"/>
            <w:vMerge/>
            <w:vAlign w:val="center"/>
          </w:tcPr>
          <w:p w14:paraId="77ACC6E1" w14:textId="77777777" w:rsidR="009D12AF" w:rsidRDefault="009D12AF">
            <w:pPr>
              <w:spacing w:line="240" w:lineRule="atLeast"/>
              <w:ind w:firstLineChars="0" w:firstLine="0"/>
              <w:jc w:val="center"/>
              <w:rPr>
                <w:sz w:val="21"/>
                <w:szCs w:val="21"/>
              </w:rPr>
            </w:pPr>
          </w:p>
        </w:tc>
        <w:tc>
          <w:tcPr>
            <w:tcW w:w="1210" w:type="dxa"/>
            <w:vMerge/>
            <w:vAlign w:val="center"/>
          </w:tcPr>
          <w:p w14:paraId="3A569442" w14:textId="77777777" w:rsidR="009D12AF" w:rsidRDefault="009D12AF">
            <w:pPr>
              <w:spacing w:line="240" w:lineRule="atLeast"/>
              <w:ind w:firstLineChars="0" w:firstLine="0"/>
              <w:jc w:val="center"/>
              <w:rPr>
                <w:sz w:val="21"/>
                <w:szCs w:val="21"/>
              </w:rPr>
            </w:pPr>
          </w:p>
        </w:tc>
        <w:tc>
          <w:tcPr>
            <w:tcW w:w="1130" w:type="dxa"/>
            <w:vMerge/>
            <w:vAlign w:val="center"/>
          </w:tcPr>
          <w:p w14:paraId="26827ED2" w14:textId="77777777" w:rsidR="009D12AF" w:rsidRDefault="009D12AF">
            <w:pPr>
              <w:spacing w:line="240" w:lineRule="atLeast"/>
              <w:ind w:firstLineChars="0" w:firstLine="0"/>
              <w:jc w:val="center"/>
              <w:rPr>
                <w:sz w:val="21"/>
                <w:szCs w:val="21"/>
              </w:rPr>
            </w:pPr>
          </w:p>
        </w:tc>
        <w:tc>
          <w:tcPr>
            <w:tcW w:w="4300" w:type="dxa"/>
            <w:gridSpan w:val="10"/>
            <w:vAlign w:val="center"/>
          </w:tcPr>
          <w:p w14:paraId="774805C5" w14:textId="77777777" w:rsidR="009D12AF" w:rsidRDefault="00000000">
            <w:pPr>
              <w:spacing w:line="240" w:lineRule="atLeast"/>
              <w:ind w:firstLineChars="0" w:firstLine="0"/>
              <w:jc w:val="center"/>
              <w:rPr>
                <w:sz w:val="21"/>
                <w:szCs w:val="21"/>
              </w:rPr>
            </w:pPr>
            <w:r>
              <w:rPr>
                <w:sz w:val="21"/>
                <w:szCs w:val="21"/>
              </w:rPr>
              <w:t>每公里管段周边</w:t>
            </w:r>
            <w:r>
              <w:rPr>
                <w:sz w:val="21"/>
                <w:szCs w:val="21"/>
              </w:rPr>
              <w:t>200m</w:t>
            </w:r>
            <w:r>
              <w:rPr>
                <w:sz w:val="21"/>
                <w:szCs w:val="21"/>
              </w:rPr>
              <w:t>范围内人口数（最大）</w:t>
            </w:r>
          </w:p>
        </w:tc>
        <w:tc>
          <w:tcPr>
            <w:tcW w:w="1209" w:type="dxa"/>
            <w:gridSpan w:val="2"/>
            <w:vAlign w:val="center"/>
          </w:tcPr>
          <w:p w14:paraId="21123B59" w14:textId="77777777" w:rsidR="009D12AF" w:rsidRDefault="00000000">
            <w:pPr>
              <w:spacing w:line="240" w:lineRule="atLeast"/>
              <w:ind w:firstLineChars="0" w:firstLine="0"/>
              <w:jc w:val="center"/>
              <w:rPr>
                <w:sz w:val="21"/>
                <w:szCs w:val="21"/>
              </w:rPr>
            </w:pPr>
            <w:r>
              <w:rPr>
                <w:sz w:val="21"/>
                <w:szCs w:val="21"/>
              </w:rPr>
              <w:t>人</w:t>
            </w:r>
          </w:p>
        </w:tc>
      </w:tr>
      <w:tr w:rsidR="009D12AF" w14:paraId="36ED3AAA" w14:textId="77777777">
        <w:trPr>
          <w:trHeight w:val="340"/>
        </w:trPr>
        <w:tc>
          <w:tcPr>
            <w:tcW w:w="488" w:type="dxa"/>
            <w:vMerge/>
            <w:vAlign w:val="center"/>
          </w:tcPr>
          <w:p w14:paraId="449C9A70" w14:textId="77777777" w:rsidR="009D12AF" w:rsidRDefault="009D12AF">
            <w:pPr>
              <w:spacing w:line="240" w:lineRule="atLeast"/>
              <w:ind w:firstLineChars="0" w:firstLine="0"/>
              <w:jc w:val="center"/>
              <w:rPr>
                <w:sz w:val="21"/>
                <w:szCs w:val="21"/>
              </w:rPr>
            </w:pPr>
          </w:p>
        </w:tc>
        <w:tc>
          <w:tcPr>
            <w:tcW w:w="1210" w:type="dxa"/>
            <w:vMerge/>
            <w:vAlign w:val="center"/>
          </w:tcPr>
          <w:p w14:paraId="46DD9520" w14:textId="77777777" w:rsidR="009D12AF" w:rsidRDefault="009D12AF">
            <w:pPr>
              <w:spacing w:line="240" w:lineRule="atLeast"/>
              <w:ind w:firstLineChars="0" w:firstLine="0"/>
              <w:jc w:val="center"/>
              <w:rPr>
                <w:sz w:val="21"/>
                <w:szCs w:val="21"/>
              </w:rPr>
            </w:pPr>
          </w:p>
        </w:tc>
        <w:tc>
          <w:tcPr>
            <w:tcW w:w="1130" w:type="dxa"/>
            <w:vMerge w:val="restart"/>
            <w:vAlign w:val="center"/>
          </w:tcPr>
          <w:p w14:paraId="3DAECFAE" w14:textId="77777777" w:rsidR="009D12AF" w:rsidRDefault="00000000">
            <w:pPr>
              <w:spacing w:line="240" w:lineRule="atLeast"/>
              <w:ind w:firstLineChars="0" w:firstLine="0"/>
              <w:jc w:val="center"/>
              <w:rPr>
                <w:sz w:val="21"/>
                <w:szCs w:val="21"/>
              </w:rPr>
            </w:pPr>
            <w:r>
              <w:rPr>
                <w:sz w:val="21"/>
                <w:szCs w:val="21"/>
              </w:rPr>
              <w:t>地表水</w:t>
            </w:r>
          </w:p>
        </w:tc>
        <w:tc>
          <w:tcPr>
            <w:tcW w:w="1720" w:type="dxa"/>
            <w:gridSpan w:val="3"/>
            <w:vAlign w:val="center"/>
          </w:tcPr>
          <w:p w14:paraId="766224FE" w14:textId="77777777" w:rsidR="009D12AF" w:rsidRDefault="00000000">
            <w:pPr>
              <w:spacing w:line="240" w:lineRule="atLeast"/>
              <w:ind w:firstLineChars="0" w:firstLine="0"/>
              <w:jc w:val="center"/>
              <w:rPr>
                <w:sz w:val="21"/>
                <w:szCs w:val="21"/>
              </w:rPr>
            </w:pPr>
            <w:r>
              <w:rPr>
                <w:sz w:val="21"/>
                <w:szCs w:val="21"/>
              </w:rPr>
              <w:t>地表水功能敏感性</w:t>
            </w:r>
          </w:p>
        </w:tc>
        <w:tc>
          <w:tcPr>
            <w:tcW w:w="1240" w:type="dxa"/>
            <w:gridSpan w:val="3"/>
            <w:vAlign w:val="center"/>
          </w:tcPr>
          <w:p w14:paraId="2E321BDC" w14:textId="77777777" w:rsidR="009D12AF" w:rsidRDefault="00000000">
            <w:pPr>
              <w:spacing w:line="240" w:lineRule="atLeast"/>
              <w:ind w:firstLineChars="0" w:firstLine="0"/>
              <w:jc w:val="center"/>
              <w:rPr>
                <w:sz w:val="21"/>
                <w:szCs w:val="21"/>
              </w:rPr>
            </w:pPr>
            <w:r>
              <w:rPr>
                <w:sz w:val="21"/>
                <w:szCs w:val="21"/>
              </w:rPr>
              <w:t>F1 □</w:t>
            </w:r>
          </w:p>
        </w:tc>
        <w:tc>
          <w:tcPr>
            <w:tcW w:w="1340" w:type="dxa"/>
            <w:gridSpan w:val="4"/>
            <w:vAlign w:val="center"/>
          </w:tcPr>
          <w:p w14:paraId="53639CDD" w14:textId="77777777" w:rsidR="009D12AF" w:rsidRDefault="00000000">
            <w:pPr>
              <w:spacing w:line="240" w:lineRule="atLeast"/>
              <w:ind w:firstLineChars="0" w:firstLine="0"/>
              <w:jc w:val="center"/>
              <w:rPr>
                <w:sz w:val="21"/>
                <w:szCs w:val="21"/>
              </w:rPr>
            </w:pPr>
            <w:r>
              <w:rPr>
                <w:sz w:val="21"/>
                <w:szCs w:val="21"/>
              </w:rPr>
              <w:t>F2 □</w:t>
            </w:r>
          </w:p>
        </w:tc>
        <w:tc>
          <w:tcPr>
            <w:tcW w:w="1209" w:type="dxa"/>
            <w:gridSpan w:val="2"/>
            <w:vAlign w:val="center"/>
          </w:tcPr>
          <w:p w14:paraId="2F85B13D" w14:textId="77777777" w:rsidR="009D12AF" w:rsidRDefault="00000000">
            <w:pPr>
              <w:spacing w:line="240" w:lineRule="atLeast"/>
              <w:ind w:firstLineChars="0" w:firstLine="0"/>
              <w:jc w:val="center"/>
              <w:rPr>
                <w:sz w:val="21"/>
                <w:szCs w:val="21"/>
              </w:rPr>
            </w:pPr>
            <w:r>
              <w:rPr>
                <w:sz w:val="21"/>
                <w:szCs w:val="21"/>
              </w:rPr>
              <w:t xml:space="preserve">F3 </w:t>
            </w:r>
            <w:r>
              <w:rPr>
                <w:rFonts w:hint="eastAsia"/>
                <w:sz w:val="21"/>
                <w:szCs w:val="21"/>
              </w:rPr>
              <w:t>□</w:t>
            </w:r>
          </w:p>
        </w:tc>
      </w:tr>
      <w:tr w:rsidR="009D12AF" w14:paraId="04733FA7" w14:textId="77777777">
        <w:trPr>
          <w:trHeight w:val="340"/>
        </w:trPr>
        <w:tc>
          <w:tcPr>
            <w:tcW w:w="488" w:type="dxa"/>
            <w:vMerge/>
            <w:vAlign w:val="center"/>
          </w:tcPr>
          <w:p w14:paraId="45F06CDD" w14:textId="77777777" w:rsidR="009D12AF" w:rsidRDefault="009D12AF">
            <w:pPr>
              <w:spacing w:line="240" w:lineRule="atLeast"/>
              <w:ind w:firstLineChars="0" w:firstLine="0"/>
              <w:jc w:val="center"/>
              <w:rPr>
                <w:sz w:val="21"/>
                <w:szCs w:val="21"/>
              </w:rPr>
            </w:pPr>
          </w:p>
        </w:tc>
        <w:tc>
          <w:tcPr>
            <w:tcW w:w="1210" w:type="dxa"/>
            <w:vMerge/>
            <w:vAlign w:val="center"/>
          </w:tcPr>
          <w:p w14:paraId="338D43B6" w14:textId="77777777" w:rsidR="009D12AF" w:rsidRDefault="009D12AF">
            <w:pPr>
              <w:spacing w:line="240" w:lineRule="atLeast"/>
              <w:ind w:firstLineChars="0" w:firstLine="0"/>
              <w:jc w:val="center"/>
              <w:rPr>
                <w:sz w:val="21"/>
                <w:szCs w:val="21"/>
              </w:rPr>
            </w:pPr>
          </w:p>
        </w:tc>
        <w:tc>
          <w:tcPr>
            <w:tcW w:w="1130" w:type="dxa"/>
            <w:vMerge/>
            <w:vAlign w:val="center"/>
          </w:tcPr>
          <w:p w14:paraId="4D6B6666" w14:textId="77777777" w:rsidR="009D12AF" w:rsidRDefault="009D12AF">
            <w:pPr>
              <w:spacing w:line="240" w:lineRule="atLeast"/>
              <w:ind w:firstLineChars="0" w:firstLine="0"/>
              <w:jc w:val="center"/>
              <w:rPr>
                <w:sz w:val="21"/>
                <w:szCs w:val="21"/>
              </w:rPr>
            </w:pPr>
          </w:p>
        </w:tc>
        <w:tc>
          <w:tcPr>
            <w:tcW w:w="1720" w:type="dxa"/>
            <w:gridSpan w:val="3"/>
            <w:vAlign w:val="center"/>
          </w:tcPr>
          <w:p w14:paraId="2C442342" w14:textId="77777777" w:rsidR="009D12AF" w:rsidRDefault="00000000">
            <w:pPr>
              <w:spacing w:line="240" w:lineRule="atLeast"/>
              <w:ind w:firstLineChars="0" w:firstLine="0"/>
              <w:jc w:val="center"/>
              <w:rPr>
                <w:sz w:val="21"/>
                <w:szCs w:val="21"/>
              </w:rPr>
            </w:pPr>
            <w:r>
              <w:rPr>
                <w:sz w:val="21"/>
                <w:szCs w:val="21"/>
              </w:rPr>
              <w:t>环境敏感目标分级</w:t>
            </w:r>
          </w:p>
        </w:tc>
        <w:tc>
          <w:tcPr>
            <w:tcW w:w="1240" w:type="dxa"/>
            <w:gridSpan w:val="3"/>
            <w:vAlign w:val="center"/>
          </w:tcPr>
          <w:p w14:paraId="4D096A66" w14:textId="77777777" w:rsidR="009D12AF" w:rsidRDefault="00000000">
            <w:pPr>
              <w:spacing w:line="240" w:lineRule="atLeast"/>
              <w:ind w:firstLineChars="0" w:firstLine="0"/>
              <w:jc w:val="center"/>
              <w:rPr>
                <w:sz w:val="21"/>
                <w:szCs w:val="21"/>
              </w:rPr>
            </w:pPr>
            <w:r>
              <w:rPr>
                <w:sz w:val="21"/>
                <w:szCs w:val="21"/>
              </w:rPr>
              <w:t>S1 □</w:t>
            </w:r>
          </w:p>
        </w:tc>
        <w:tc>
          <w:tcPr>
            <w:tcW w:w="1340" w:type="dxa"/>
            <w:gridSpan w:val="4"/>
            <w:vAlign w:val="center"/>
          </w:tcPr>
          <w:p w14:paraId="7D43B992" w14:textId="77777777" w:rsidR="009D12AF" w:rsidRDefault="00000000">
            <w:pPr>
              <w:spacing w:line="240" w:lineRule="atLeast"/>
              <w:ind w:firstLineChars="0" w:firstLine="0"/>
              <w:jc w:val="center"/>
              <w:rPr>
                <w:sz w:val="21"/>
                <w:szCs w:val="21"/>
              </w:rPr>
            </w:pPr>
            <w:r>
              <w:rPr>
                <w:sz w:val="21"/>
                <w:szCs w:val="21"/>
              </w:rPr>
              <w:t>S2 □</w:t>
            </w:r>
          </w:p>
        </w:tc>
        <w:tc>
          <w:tcPr>
            <w:tcW w:w="1209" w:type="dxa"/>
            <w:gridSpan w:val="2"/>
            <w:vAlign w:val="center"/>
          </w:tcPr>
          <w:p w14:paraId="2A33132C" w14:textId="77777777" w:rsidR="009D12AF" w:rsidRDefault="00000000">
            <w:pPr>
              <w:spacing w:line="240" w:lineRule="atLeast"/>
              <w:ind w:firstLineChars="0" w:firstLine="0"/>
              <w:jc w:val="center"/>
              <w:rPr>
                <w:sz w:val="21"/>
                <w:szCs w:val="21"/>
              </w:rPr>
            </w:pPr>
            <w:r>
              <w:rPr>
                <w:sz w:val="21"/>
                <w:szCs w:val="21"/>
              </w:rPr>
              <w:t xml:space="preserve">S3 </w:t>
            </w:r>
            <w:r>
              <w:rPr>
                <w:rFonts w:hint="eastAsia"/>
                <w:sz w:val="21"/>
                <w:szCs w:val="21"/>
              </w:rPr>
              <w:t>□</w:t>
            </w:r>
          </w:p>
        </w:tc>
      </w:tr>
      <w:tr w:rsidR="009D12AF" w14:paraId="01F50D0F" w14:textId="77777777">
        <w:trPr>
          <w:trHeight w:val="340"/>
        </w:trPr>
        <w:tc>
          <w:tcPr>
            <w:tcW w:w="488" w:type="dxa"/>
            <w:vMerge/>
            <w:vAlign w:val="center"/>
          </w:tcPr>
          <w:p w14:paraId="545D93C7" w14:textId="77777777" w:rsidR="009D12AF" w:rsidRDefault="009D12AF">
            <w:pPr>
              <w:spacing w:line="240" w:lineRule="atLeast"/>
              <w:ind w:firstLineChars="0" w:firstLine="0"/>
              <w:jc w:val="center"/>
              <w:rPr>
                <w:sz w:val="21"/>
                <w:szCs w:val="21"/>
              </w:rPr>
            </w:pPr>
          </w:p>
        </w:tc>
        <w:tc>
          <w:tcPr>
            <w:tcW w:w="1210" w:type="dxa"/>
            <w:vMerge/>
            <w:vAlign w:val="center"/>
          </w:tcPr>
          <w:p w14:paraId="24FB1648" w14:textId="77777777" w:rsidR="009D12AF" w:rsidRDefault="009D12AF">
            <w:pPr>
              <w:spacing w:line="240" w:lineRule="atLeast"/>
              <w:ind w:firstLineChars="0" w:firstLine="0"/>
              <w:jc w:val="center"/>
              <w:rPr>
                <w:sz w:val="21"/>
                <w:szCs w:val="21"/>
              </w:rPr>
            </w:pPr>
          </w:p>
        </w:tc>
        <w:tc>
          <w:tcPr>
            <w:tcW w:w="1130" w:type="dxa"/>
            <w:vMerge w:val="restart"/>
            <w:vAlign w:val="center"/>
          </w:tcPr>
          <w:p w14:paraId="4F928B97" w14:textId="77777777" w:rsidR="009D12AF" w:rsidRDefault="00000000">
            <w:pPr>
              <w:spacing w:line="240" w:lineRule="atLeast"/>
              <w:ind w:firstLineChars="0" w:firstLine="0"/>
              <w:jc w:val="center"/>
              <w:rPr>
                <w:sz w:val="21"/>
                <w:szCs w:val="21"/>
              </w:rPr>
            </w:pPr>
            <w:r>
              <w:rPr>
                <w:sz w:val="21"/>
                <w:szCs w:val="21"/>
              </w:rPr>
              <w:t>地下水</w:t>
            </w:r>
          </w:p>
        </w:tc>
        <w:tc>
          <w:tcPr>
            <w:tcW w:w="1720" w:type="dxa"/>
            <w:gridSpan w:val="3"/>
            <w:vAlign w:val="center"/>
          </w:tcPr>
          <w:p w14:paraId="44020BFA" w14:textId="77777777" w:rsidR="009D12AF" w:rsidRDefault="00000000">
            <w:pPr>
              <w:spacing w:line="240" w:lineRule="atLeast"/>
              <w:ind w:firstLineChars="0" w:firstLine="0"/>
              <w:jc w:val="center"/>
              <w:rPr>
                <w:sz w:val="21"/>
                <w:szCs w:val="21"/>
              </w:rPr>
            </w:pPr>
            <w:r>
              <w:rPr>
                <w:sz w:val="21"/>
                <w:szCs w:val="21"/>
              </w:rPr>
              <w:t>地下水功能敏感性</w:t>
            </w:r>
          </w:p>
        </w:tc>
        <w:tc>
          <w:tcPr>
            <w:tcW w:w="1240" w:type="dxa"/>
            <w:gridSpan w:val="3"/>
            <w:vAlign w:val="center"/>
          </w:tcPr>
          <w:p w14:paraId="1D9253C8" w14:textId="77777777" w:rsidR="009D12AF" w:rsidRDefault="00000000">
            <w:pPr>
              <w:spacing w:line="240" w:lineRule="atLeast"/>
              <w:ind w:firstLineChars="0" w:firstLine="0"/>
              <w:jc w:val="center"/>
              <w:rPr>
                <w:sz w:val="21"/>
                <w:szCs w:val="21"/>
              </w:rPr>
            </w:pPr>
            <w:r>
              <w:rPr>
                <w:sz w:val="21"/>
                <w:szCs w:val="21"/>
              </w:rPr>
              <w:t>G1 □</w:t>
            </w:r>
          </w:p>
        </w:tc>
        <w:tc>
          <w:tcPr>
            <w:tcW w:w="1340" w:type="dxa"/>
            <w:gridSpan w:val="4"/>
            <w:vAlign w:val="center"/>
          </w:tcPr>
          <w:p w14:paraId="11A4F0F5" w14:textId="77777777" w:rsidR="009D12AF" w:rsidRDefault="00000000">
            <w:pPr>
              <w:spacing w:line="240" w:lineRule="atLeast"/>
              <w:ind w:firstLineChars="0" w:firstLine="0"/>
              <w:jc w:val="center"/>
              <w:rPr>
                <w:sz w:val="21"/>
                <w:szCs w:val="21"/>
              </w:rPr>
            </w:pPr>
            <w:r>
              <w:rPr>
                <w:sz w:val="21"/>
                <w:szCs w:val="21"/>
              </w:rPr>
              <w:t>G2 □</w:t>
            </w:r>
          </w:p>
        </w:tc>
        <w:tc>
          <w:tcPr>
            <w:tcW w:w="1209" w:type="dxa"/>
            <w:gridSpan w:val="2"/>
            <w:vAlign w:val="center"/>
          </w:tcPr>
          <w:p w14:paraId="7FBC9D8C" w14:textId="77777777" w:rsidR="009D12AF" w:rsidRDefault="00000000">
            <w:pPr>
              <w:spacing w:line="240" w:lineRule="atLeast"/>
              <w:ind w:firstLineChars="0" w:firstLine="0"/>
              <w:jc w:val="center"/>
              <w:rPr>
                <w:sz w:val="21"/>
                <w:szCs w:val="21"/>
              </w:rPr>
            </w:pPr>
            <w:r>
              <w:rPr>
                <w:sz w:val="21"/>
                <w:szCs w:val="21"/>
              </w:rPr>
              <w:t xml:space="preserve">G3 </w:t>
            </w:r>
            <w:r>
              <w:rPr>
                <w:rFonts w:hint="eastAsia"/>
                <w:sz w:val="21"/>
                <w:szCs w:val="21"/>
              </w:rPr>
              <w:t>□</w:t>
            </w:r>
          </w:p>
        </w:tc>
      </w:tr>
      <w:tr w:rsidR="009D12AF" w14:paraId="23EA4736" w14:textId="77777777">
        <w:trPr>
          <w:trHeight w:val="340"/>
        </w:trPr>
        <w:tc>
          <w:tcPr>
            <w:tcW w:w="488" w:type="dxa"/>
            <w:vMerge/>
            <w:vAlign w:val="center"/>
          </w:tcPr>
          <w:p w14:paraId="31029C0B" w14:textId="77777777" w:rsidR="009D12AF" w:rsidRDefault="009D12AF">
            <w:pPr>
              <w:spacing w:line="240" w:lineRule="atLeast"/>
              <w:ind w:firstLineChars="0" w:firstLine="0"/>
              <w:jc w:val="center"/>
              <w:rPr>
                <w:sz w:val="21"/>
                <w:szCs w:val="21"/>
              </w:rPr>
            </w:pPr>
          </w:p>
        </w:tc>
        <w:tc>
          <w:tcPr>
            <w:tcW w:w="1210" w:type="dxa"/>
            <w:vMerge/>
            <w:vAlign w:val="center"/>
          </w:tcPr>
          <w:p w14:paraId="4C291030" w14:textId="77777777" w:rsidR="009D12AF" w:rsidRDefault="009D12AF">
            <w:pPr>
              <w:spacing w:line="240" w:lineRule="atLeast"/>
              <w:ind w:firstLineChars="0" w:firstLine="0"/>
              <w:jc w:val="center"/>
              <w:rPr>
                <w:sz w:val="21"/>
                <w:szCs w:val="21"/>
              </w:rPr>
            </w:pPr>
          </w:p>
        </w:tc>
        <w:tc>
          <w:tcPr>
            <w:tcW w:w="1130" w:type="dxa"/>
            <w:vMerge/>
            <w:vAlign w:val="center"/>
          </w:tcPr>
          <w:p w14:paraId="5E5EE923" w14:textId="77777777" w:rsidR="009D12AF" w:rsidRDefault="009D12AF">
            <w:pPr>
              <w:spacing w:line="240" w:lineRule="atLeast"/>
              <w:ind w:firstLineChars="0" w:firstLine="0"/>
              <w:jc w:val="center"/>
              <w:rPr>
                <w:sz w:val="21"/>
                <w:szCs w:val="21"/>
              </w:rPr>
            </w:pPr>
          </w:p>
        </w:tc>
        <w:tc>
          <w:tcPr>
            <w:tcW w:w="1720" w:type="dxa"/>
            <w:gridSpan w:val="3"/>
            <w:vAlign w:val="center"/>
          </w:tcPr>
          <w:p w14:paraId="7A22CC89" w14:textId="77777777" w:rsidR="009D12AF" w:rsidRDefault="00000000">
            <w:pPr>
              <w:spacing w:line="240" w:lineRule="atLeast"/>
              <w:ind w:firstLineChars="0" w:firstLine="0"/>
              <w:jc w:val="center"/>
              <w:rPr>
                <w:sz w:val="21"/>
                <w:szCs w:val="21"/>
              </w:rPr>
            </w:pPr>
            <w:r>
              <w:rPr>
                <w:sz w:val="21"/>
                <w:szCs w:val="21"/>
              </w:rPr>
              <w:t>包气带防污性能</w:t>
            </w:r>
          </w:p>
        </w:tc>
        <w:tc>
          <w:tcPr>
            <w:tcW w:w="1240" w:type="dxa"/>
            <w:gridSpan w:val="3"/>
            <w:vAlign w:val="center"/>
          </w:tcPr>
          <w:p w14:paraId="240DA865" w14:textId="77777777" w:rsidR="009D12AF" w:rsidRDefault="00000000">
            <w:pPr>
              <w:spacing w:line="240" w:lineRule="atLeast"/>
              <w:ind w:firstLineChars="0" w:firstLine="0"/>
              <w:jc w:val="center"/>
              <w:rPr>
                <w:sz w:val="21"/>
                <w:szCs w:val="21"/>
              </w:rPr>
            </w:pPr>
            <w:r>
              <w:rPr>
                <w:sz w:val="21"/>
                <w:szCs w:val="21"/>
              </w:rPr>
              <w:t>D1 □</w:t>
            </w:r>
          </w:p>
        </w:tc>
        <w:tc>
          <w:tcPr>
            <w:tcW w:w="1340" w:type="dxa"/>
            <w:gridSpan w:val="4"/>
            <w:vAlign w:val="center"/>
          </w:tcPr>
          <w:p w14:paraId="3B01F1A6" w14:textId="77777777" w:rsidR="009D12AF" w:rsidRDefault="00000000">
            <w:pPr>
              <w:spacing w:line="240" w:lineRule="atLeast"/>
              <w:ind w:firstLineChars="0" w:firstLine="0"/>
              <w:jc w:val="center"/>
              <w:rPr>
                <w:sz w:val="21"/>
                <w:szCs w:val="21"/>
              </w:rPr>
            </w:pPr>
            <w:r>
              <w:rPr>
                <w:sz w:val="21"/>
                <w:szCs w:val="21"/>
              </w:rPr>
              <w:t>D2 □</w:t>
            </w:r>
          </w:p>
        </w:tc>
        <w:tc>
          <w:tcPr>
            <w:tcW w:w="1209" w:type="dxa"/>
            <w:gridSpan w:val="2"/>
            <w:vAlign w:val="center"/>
          </w:tcPr>
          <w:p w14:paraId="54A047AB" w14:textId="77777777" w:rsidR="009D12AF" w:rsidRDefault="00000000">
            <w:pPr>
              <w:spacing w:line="240" w:lineRule="atLeast"/>
              <w:ind w:firstLineChars="0" w:firstLine="0"/>
              <w:jc w:val="center"/>
              <w:rPr>
                <w:sz w:val="21"/>
                <w:szCs w:val="21"/>
              </w:rPr>
            </w:pPr>
            <w:r>
              <w:rPr>
                <w:sz w:val="21"/>
                <w:szCs w:val="21"/>
              </w:rPr>
              <w:t xml:space="preserve">D3 </w:t>
            </w:r>
            <w:r>
              <w:rPr>
                <w:rFonts w:hint="eastAsia"/>
                <w:sz w:val="21"/>
                <w:szCs w:val="21"/>
              </w:rPr>
              <w:t>□</w:t>
            </w:r>
          </w:p>
        </w:tc>
      </w:tr>
      <w:tr w:rsidR="009D12AF" w14:paraId="4AE6DAA6" w14:textId="77777777">
        <w:trPr>
          <w:trHeight w:val="340"/>
        </w:trPr>
        <w:tc>
          <w:tcPr>
            <w:tcW w:w="1698" w:type="dxa"/>
            <w:gridSpan w:val="2"/>
            <w:vMerge w:val="restart"/>
            <w:vAlign w:val="center"/>
          </w:tcPr>
          <w:p w14:paraId="6DBA9F28" w14:textId="77777777" w:rsidR="009D12AF" w:rsidRDefault="00000000">
            <w:pPr>
              <w:spacing w:line="240" w:lineRule="atLeast"/>
              <w:ind w:firstLineChars="0" w:firstLine="0"/>
              <w:jc w:val="center"/>
              <w:rPr>
                <w:sz w:val="21"/>
                <w:szCs w:val="21"/>
              </w:rPr>
            </w:pPr>
            <w:r>
              <w:rPr>
                <w:sz w:val="21"/>
                <w:szCs w:val="21"/>
              </w:rPr>
              <w:t>物质及工艺系统危险性</w:t>
            </w:r>
          </w:p>
        </w:tc>
        <w:tc>
          <w:tcPr>
            <w:tcW w:w="1130" w:type="dxa"/>
            <w:vAlign w:val="center"/>
          </w:tcPr>
          <w:p w14:paraId="2B78B8BE" w14:textId="77777777" w:rsidR="009D12AF" w:rsidRDefault="00000000">
            <w:pPr>
              <w:spacing w:line="240" w:lineRule="atLeast"/>
              <w:ind w:firstLineChars="0" w:firstLine="0"/>
              <w:jc w:val="center"/>
              <w:rPr>
                <w:sz w:val="21"/>
                <w:szCs w:val="21"/>
              </w:rPr>
            </w:pPr>
            <w:r>
              <w:rPr>
                <w:sz w:val="21"/>
                <w:szCs w:val="21"/>
              </w:rPr>
              <w:t>Q</w:t>
            </w:r>
            <w:r>
              <w:rPr>
                <w:sz w:val="21"/>
                <w:szCs w:val="21"/>
              </w:rPr>
              <w:t>值</w:t>
            </w:r>
          </w:p>
        </w:tc>
        <w:tc>
          <w:tcPr>
            <w:tcW w:w="1720" w:type="dxa"/>
            <w:gridSpan w:val="3"/>
            <w:vAlign w:val="center"/>
          </w:tcPr>
          <w:p w14:paraId="51542A90" w14:textId="77777777" w:rsidR="009D12AF" w:rsidRDefault="00000000">
            <w:pPr>
              <w:spacing w:line="240" w:lineRule="atLeast"/>
              <w:ind w:firstLineChars="0" w:firstLine="0"/>
              <w:jc w:val="center"/>
              <w:rPr>
                <w:sz w:val="21"/>
                <w:szCs w:val="21"/>
              </w:rPr>
            </w:pPr>
            <w:r>
              <w:rPr>
                <w:sz w:val="21"/>
                <w:szCs w:val="21"/>
              </w:rPr>
              <w:t>Q</w:t>
            </w:r>
            <w:r>
              <w:rPr>
                <w:sz w:val="21"/>
                <w:szCs w:val="21"/>
              </w:rPr>
              <w:t>＜</w:t>
            </w:r>
            <w:r>
              <w:rPr>
                <w:sz w:val="21"/>
                <w:szCs w:val="21"/>
              </w:rPr>
              <w:t xml:space="preserve">1 </w:t>
            </w:r>
            <w:r>
              <w:rPr>
                <w:rFonts w:hint="eastAsia"/>
                <w:sz w:val="21"/>
                <w:szCs w:val="21"/>
              </w:rPr>
              <w:t>☑</w:t>
            </w:r>
          </w:p>
        </w:tc>
        <w:tc>
          <w:tcPr>
            <w:tcW w:w="1240" w:type="dxa"/>
            <w:gridSpan w:val="3"/>
            <w:vAlign w:val="center"/>
          </w:tcPr>
          <w:p w14:paraId="24F1B27A" w14:textId="77777777" w:rsidR="009D12AF" w:rsidRDefault="00000000">
            <w:pPr>
              <w:spacing w:line="240" w:lineRule="atLeast"/>
              <w:ind w:firstLineChars="0" w:firstLine="0"/>
              <w:jc w:val="center"/>
              <w:rPr>
                <w:sz w:val="21"/>
                <w:szCs w:val="21"/>
              </w:rPr>
            </w:pPr>
            <w:r>
              <w:rPr>
                <w:sz w:val="21"/>
                <w:szCs w:val="21"/>
              </w:rPr>
              <w:t>1≤Q</w:t>
            </w:r>
            <w:r>
              <w:rPr>
                <w:sz w:val="21"/>
                <w:szCs w:val="21"/>
              </w:rPr>
              <w:t>＜</w:t>
            </w:r>
            <w:r>
              <w:rPr>
                <w:sz w:val="21"/>
                <w:szCs w:val="21"/>
              </w:rPr>
              <w:t>10 □</w:t>
            </w:r>
          </w:p>
        </w:tc>
        <w:tc>
          <w:tcPr>
            <w:tcW w:w="1340" w:type="dxa"/>
            <w:gridSpan w:val="4"/>
            <w:vAlign w:val="center"/>
          </w:tcPr>
          <w:p w14:paraId="6758B5D4" w14:textId="77777777" w:rsidR="009D12AF" w:rsidRDefault="00000000">
            <w:pPr>
              <w:spacing w:line="240" w:lineRule="atLeast"/>
              <w:ind w:firstLineChars="0" w:firstLine="0"/>
              <w:jc w:val="center"/>
              <w:rPr>
                <w:sz w:val="21"/>
                <w:szCs w:val="21"/>
              </w:rPr>
            </w:pPr>
            <w:r>
              <w:rPr>
                <w:sz w:val="21"/>
                <w:szCs w:val="21"/>
              </w:rPr>
              <w:t>10≤Q</w:t>
            </w:r>
            <w:r>
              <w:rPr>
                <w:sz w:val="21"/>
                <w:szCs w:val="21"/>
              </w:rPr>
              <w:t>＜</w:t>
            </w:r>
            <w:r>
              <w:rPr>
                <w:sz w:val="21"/>
                <w:szCs w:val="21"/>
              </w:rPr>
              <w:t>100 □</w:t>
            </w:r>
          </w:p>
        </w:tc>
        <w:tc>
          <w:tcPr>
            <w:tcW w:w="1209" w:type="dxa"/>
            <w:gridSpan w:val="2"/>
            <w:vAlign w:val="center"/>
          </w:tcPr>
          <w:p w14:paraId="5144791B" w14:textId="77777777" w:rsidR="009D12AF" w:rsidRDefault="00000000">
            <w:pPr>
              <w:spacing w:line="240" w:lineRule="atLeast"/>
              <w:ind w:firstLineChars="0" w:firstLine="0"/>
              <w:jc w:val="center"/>
              <w:rPr>
                <w:sz w:val="21"/>
                <w:szCs w:val="21"/>
              </w:rPr>
            </w:pPr>
            <w:r>
              <w:rPr>
                <w:sz w:val="21"/>
                <w:szCs w:val="21"/>
              </w:rPr>
              <w:t>Q</w:t>
            </w:r>
            <w:r>
              <w:rPr>
                <w:sz w:val="21"/>
                <w:szCs w:val="21"/>
              </w:rPr>
              <w:t>＞</w:t>
            </w:r>
            <w:r>
              <w:rPr>
                <w:sz w:val="21"/>
                <w:szCs w:val="21"/>
              </w:rPr>
              <w:t>100 □</w:t>
            </w:r>
          </w:p>
        </w:tc>
      </w:tr>
      <w:tr w:rsidR="009D12AF" w14:paraId="25595707" w14:textId="77777777">
        <w:trPr>
          <w:trHeight w:val="340"/>
        </w:trPr>
        <w:tc>
          <w:tcPr>
            <w:tcW w:w="1698" w:type="dxa"/>
            <w:gridSpan w:val="2"/>
            <w:vMerge/>
            <w:vAlign w:val="center"/>
          </w:tcPr>
          <w:p w14:paraId="155EE3FB" w14:textId="77777777" w:rsidR="009D12AF" w:rsidRDefault="009D12AF">
            <w:pPr>
              <w:spacing w:line="240" w:lineRule="atLeast"/>
              <w:ind w:firstLineChars="0" w:firstLine="0"/>
              <w:jc w:val="center"/>
              <w:rPr>
                <w:sz w:val="21"/>
                <w:szCs w:val="21"/>
              </w:rPr>
            </w:pPr>
          </w:p>
        </w:tc>
        <w:tc>
          <w:tcPr>
            <w:tcW w:w="1130" w:type="dxa"/>
            <w:vAlign w:val="center"/>
          </w:tcPr>
          <w:p w14:paraId="745CC735" w14:textId="77777777" w:rsidR="009D12AF" w:rsidRDefault="00000000">
            <w:pPr>
              <w:spacing w:line="240" w:lineRule="atLeast"/>
              <w:ind w:firstLineChars="0" w:firstLine="0"/>
              <w:jc w:val="center"/>
              <w:rPr>
                <w:sz w:val="21"/>
                <w:szCs w:val="21"/>
              </w:rPr>
            </w:pPr>
            <w:r>
              <w:rPr>
                <w:sz w:val="21"/>
                <w:szCs w:val="21"/>
              </w:rPr>
              <w:t>M</w:t>
            </w:r>
            <w:r>
              <w:rPr>
                <w:sz w:val="21"/>
                <w:szCs w:val="21"/>
              </w:rPr>
              <w:t>值</w:t>
            </w:r>
          </w:p>
        </w:tc>
        <w:tc>
          <w:tcPr>
            <w:tcW w:w="1720" w:type="dxa"/>
            <w:gridSpan w:val="3"/>
            <w:vAlign w:val="center"/>
          </w:tcPr>
          <w:p w14:paraId="265330D8" w14:textId="77777777" w:rsidR="009D12AF" w:rsidRDefault="00000000">
            <w:pPr>
              <w:spacing w:line="240" w:lineRule="atLeast"/>
              <w:ind w:firstLineChars="0" w:firstLine="0"/>
              <w:jc w:val="center"/>
              <w:rPr>
                <w:sz w:val="21"/>
                <w:szCs w:val="21"/>
              </w:rPr>
            </w:pPr>
            <w:r>
              <w:rPr>
                <w:sz w:val="21"/>
                <w:szCs w:val="21"/>
              </w:rPr>
              <w:t>M1 □</w:t>
            </w:r>
          </w:p>
        </w:tc>
        <w:tc>
          <w:tcPr>
            <w:tcW w:w="1240" w:type="dxa"/>
            <w:gridSpan w:val="3"/>
            <w:vAlign w:val="center"/>
          </w:tcPr>
          <w:p w14:paraId="60859A38" w14:textId="77777777" w:rsidR="009D12AF" w:rsidRDefault="00000000">
            <w:pPr>
              <w:spacing w:line="240" w:lineRule="atLeast"/>
              <w:ind w:firstLineChars="0" w:firstLine="0"/>
              <w:jc w:val="center"/>
              <w:rPr>
                <w:sz w:val="21"/>
                <w:szCs w:val="21"/>
              </w:rPr>
            </w:pPr>
            <w:r>
              <w:rPr>
                <w:sz w:val="21"/>
                <w:szCs w:val="21"/>
              </w:rPr>
              <w:t>M2 □</w:t>
            </w:r>
          </w:p>
        </w:tc>
        <w:tc>
          <w:tcPr>
            <w:tcW w:w="1340" w:type="dxa"/>
            <w:gridSpan w:val="4"/>
            <w:vAlign w:val="center"/>
          </w:tcPr>
          <w:p w14:paraId="007A48B0" w14:textId="77777777" w:rsidR="009D12AF" w:rsidRDefault="00000000">
            <w:pPr>
              <w:spacing w:line="240" w:lineRule="atLeast"/>
              <w:ind w:firstLineChars="0" w:firstLine="0"/>
              <w:jc w:val="center"/>
              <w:rPr>
                <w:sz w:val="21"/>
                <w:szCs w:val="21"/>
              </w:rPr>
            </w:pPr>
            <w:r>
              <w:rPr>
                <w:sz w:val="21"/>
                <w:szCs w:val="21"/>
              </w:rPr>
              <w:t>M3 □</w:t>
            </w:r>
          </w:p>
        </w:tc>
        <w:tc>
          <w:tcPr>
            <w:tcW w:w="1209" w:type="dxa"/>
            <w:gridSpan w:val="2"/>
            <w:vAlign w:val="center"/>
          </w:tcPr>
          <w:p w14:paraId="6E434274" w14:textId="77777777" w:rsidR="009D12AF" w:rsidRDefault="00000000">
            <w:pPr>
              <w:spacing w:line="240" w:lineRule="atLeast"/>
              <w:ind w:firstLineChars="0" w:firstLine="0"/>
              <w:jc w:val="center"/>
              <w:rPr>
                <w:sz w:val="21"/>
                <w:szCs w:val="21"/>
              </w:rPr>
            </w:pPr>
            <w:r>
              <w:rPr>
                <w:sz w:val="21"/>
                <w:szCs w:val="21"/>
              </w:rPr>
              <w:t>M4□</w:t>
            </w:r>
          </w:p>
        </w:tc>
      </w:tr>
      <w:tr w:rsidR="009D12AF" w14:paraId="7AE68ADE" w14:textId="77777777">
        <w:trPr>
          <w:trHeight w:val="340"/>
        </w:trPr>
        <w:tc>
          <w:tcPr>
            <w:tcW w:w="1698" w:type="dxa"/>
            <w:gridSpan w:val="2"/>
            <w:vMerge/>
            <w:vAlign w:val="center"/>
          </w:tcPr>
          <w:p w14:paraId="6F6C625C" w14:textId="77777777" w:rsidR="009D12AF" w:rsidRDefault="009D12AF">
            <w:pPr>
              <w:spacing w:line="240" w:lineRule="atLeast"/>
              <w:ind w:firstLineChars="0" w:firstLine="0"/>
              <w:jc w:val="center"/>
              <w:rPr>
                <w:sz w:val="21"/>
                <w:szCs w:val="21"/>
              </w:rPr>
            </w:pPr>
          </w:p>
        </w:tc>
        <w:tc>
          <w:tcPr>
            <w:tcW w:w="1130" w:type="dxa"/>
            <w:vAlign w:val="center"/>
          </w:tcPr>
          <w:p w14:paraId="2C0653D1" w14:textId="77777777" w:rsidR="009D12AF" w:rsidRDefault="00000000">
            <w:pPr>
              <w:spacing w:line="240" w:lineRule="atLeast"/>
              <w:ind w:firstLineChars="0" w:firstLine="0"/>
              <w:jc w:val="center"/>
              <w:rPr>
                <w:sz w:val="21"/>
                <w:szCs w:val="21"/>
              </w:rPr>
            </w:pPr>
            <w:r>
              <w:rPr>
                <w:sz w:val="21"/>
                <w:szCs w:val="21"/>
              </w:rPr>
              <w:t>P</w:t>
            </w:r>
            <w:r>
              <w:rPr>
                <w:sz w:val="21"/>
                <w:szCs w:val="21"/>
              </w:rPr>
              <w:t>值</w:t>
            </w:r>
          </w:p>
        </w:tc>
        <w:tc>
          <w:tcPr>
            <w:tcW w:w="1720" w:type="dxa"/>
            <w:gridSpan w:val="3"/>
            <w:vAlign w:val="center"/>
          </w:tcPr>
          <w:p w14:paraId="09CA3E17" w14:textId="77777777" w:rsidR="009D12AF" w:rsidRDefault="00000000">
            <w:pPr>
              <w:spacing w:line="240" w:lineRule="atLeast"/>
              <w:ind w:firstLineChars="0" w:firstLine="0"/>
              <w:jc w:val="center"/>
              <w:rPr>
                <w:sz w:val="21"/>
                <w:szCs w:val="21"/>
              </w:rPr>
            </w:pPr>
            <w:r>
              <w:rPr>
                <w:sz w:val="21"/>
                <w:szCs w:val="21"/>
              </w:rPr>
              <w:t>P1 □</w:t>
            </w:r>
          </w:p>
        </w:tc>
        <w:tc>
          <w:tcPr>
            <w:tcW w:w="1240" w:type="dxa"/>
            <w:gridSpan w:val="3"/>
            <w:vAlign w:val="center"/>
          </w:tcPr>
          <w:p w14:paraId="2EBC9E92" w14:textId="77777777" w:rsidR="009D12AF" w:rsidRDefault="00000000">
            <w:pPr>
              <w:spacing w:line="240" w:lineRule="atLeast"/>
              <w:ind w:firstLineChars="0" w:firstLine="0"/>
              <w:jc w:val="center"/>
              <w:rPr>
                <w:sz w:val="21"/>
                <w:szCs w:val="21"/>
              </w:rPr>
            </w:pPr>
            <w:r>
              <w:rPr>
                <w:sz w:val="21"/>
                <w:szCs w:val="21"/>
              </w:rPr>
              <w:t>P2 □</w:t>
            </w:r>
          </w:p>
        </w:tc>
        <w:tc>
          <w:tcPr>
            <w:tcW w:w="1340" w:type="dxa"/>
            <w:gridSpan w:val="4"/>
            <w:vAlign w:val="center"/>
          </w:tcPr>
          <w:p w14:paraId="151C12F2" w14:textId="77777777" w:rsidR="009D12AF" w:rsidRDefault="00000000">
            <w:pPr>
              <w:spacing w:line="240" w:lineRule="atLeast"/>
              <w:ind w:firstLineChars="0" w:firstLine="0"/>
              <w:jc w:val="center"/>
              <w:rPr>
                <w:sz w:val="21"/>
                <w:szCs w:val="21"/>
              </w:rPr>
            </w:pPr>
            <w:r>
              <w:rPr>
                <w:sz w:val="21"/>
                <w:szCs w:val="21"/>
              </w:rPr>
              <w:t>P3 □</w:t>
            </w:r>
          </w:p>
        </w:tc>
        <w:tc>
          <w:tcPr>
            <w:tcW w:w="1209" w:type="dxa"/>
            <w:gridSpan w:val="2"/>
            <w:vAlign w:val="center"/>
          </w:tcPr>
          <w:p w14:paraId="710F8176" w14:textId="77777777" w:rsidR="009D12AF" w:rsidRDefault="00000000">
            <w:pPr>
              <w:spacing w:line="240" w:lineRule="atLeast"/>
              <w:ind w:firstLineChars="0" w:firstLine="0"/>
              <w:jc w:val="center"/>
              <w:rPr>
                <w:sz w:val="21"/>
                <w:szCs w:val="21"/>
              </w:rPr>
            </w:pPr>
            <w:r>
              <w:rPr>
                <w:sz w:val="21"/>
                <w:szCs w:val="21"/>
              </w:rPr>
              <w:t>P4 □</w:t>
            </w:r>
          </w:p>
        </w:tc>
      </w:tr>
      <w:tr w:rsidR="009D12AF" w14:paraId="3E3E8A60" w14:textId="77777777">
        <w:trPr>
          <w:trHeight w:val="340"/>
        </w:trPr>
        <w:tc>
          <w:tcPr>
            <w:tcW w:w="1698" w:type="dxa"/>
            <w:gridSpan w:val="2"/>
            <w:vMerge w:val="restart"/>
            <w:vAlign w:val="center"/>
          </w:tcPr>
          <w:p w14:paraId="796A625A" w14:textId="77777777" w:rsidR="009D12AF" w:rsidRDefault="00000000">
            <w:pPr>
              <w:spacing w:line="240" w:lineRule="atLeast"/>
              <w:ind w:firstLineChars="0" w:firstLine="0"/>
              <w:jc w:val="center"/>
              <w:rPr>
                <w:sz w:val="21"/>
                <w:szCs w:val="21"/>
              </w:rPr>
            </w:pPr>
            <w:r>
              <w:rPr>
                <w:sz w:val="21"/>
                <w:szCs w:val="21"/>
              </w:rPr>
              <w:t>环境敏感程度</w:t>
            </w:r>
          </w:p>
        </w:tc>
        <w:tc>
          <w:tcPr>
            <w:tcW w:w="1130" w:type="dxa"/>
            <w:vAlign w:val="center"/>
          </w:tcPr>
          <w:p w14:paraId="014C12B5" w14:textId="77777777" w:rsidR="009D12AF" w:rsidRDefault="00000000">
            <w:pPr>
              <w:spacing w:line="240" w:lineRule="atLeast"/>
              <w:ind w:firstLineChars="0" w:firstLine="0"/>
              <w:jc w:val="center"/>
              <w:rPr>
                <w:sz w:val="21"/>
                <w:szCs w:val="21"/>
              </w:rPr>
            </w:pPr>
            <w:r>
              <w:rPr>
                <w:sz w:val="21"/>
                <w:szCs w:val="21"/>
              </w:rPr>
              <w:t>大气</w:t>
            </w:r>
          </w:p>
        </w:tc>
        <w:tc>
          <w:tcPr>
            <w:tcW w:w="1720" w:type="dxa"/>
            <w:gridSpan w:val="3"/>
            <w:vAlign w:val="center"/>
          </w:tcPr>
          <w:p w14:paraId="5E764E8B" w14:textId="77777777" w:rsidR="009D12AF" w:rsidRDefault="00000000">
            <w:pPr>
              <w:spacing w:line="240" w:lineRule="atLeast"/>
              <w:ind w:firstLineChars="0" w:firstLine="0"/>
              <w:jc w:val="center"/>
              <w:rPr>
                <w:sz w:val="21"/>
                <w:szCs w:val="21"/>
              </w:rPr>
            </w:pPr>
            <w:r>
              <w:rPr>
                <w:sz w:val="21"/>
                <w:szCs w:val="21"/>
              </w:rPr>
              <w:t>E1 □</w:t>
            </w:r>
          </w:p>
        </w:tc>
        <w:tc>
          <w:tcPr>
            <w:tcW w:w="1930" w:type="dxa"/>
            <w:gridSpan w:val="5"/>
            <w:vAlign w:val="center"/>
          </w:tcPr>
          <w:p w14:paraId="7BB00B73" w14:textId="77777777" w:rsidR="009D12AF" w:rsidRDefault="00000000">
            <w:pPr>
              <w:spacing w:line="240" w:lineRule="atLeast"/>
              <w:ind w:firstLineChars="0" w:firstLine="0"/>
              <w:jc w:val="center"/>
              <w:rPr>
                <w:sz w:val="21"/>
                <w:szCs w:val="21"/>
              </w:rPr>
            </w:pPr>
            <w:r>
              <w:rPr>
                <w:sz w:val="21"/>
                <w:szCs w:val="21"/>
              </w:rPr>
              <w:t>E2 □</w:t>
            </w:r>
          </w:p>
        </w:tc>
        <w:tc>
          <w:tcPr>
            <w:tcW w:w="1859" w:type="dxa"/>
            <w:gridSpan w:val="4"/>
            <w:vAlign w:val="center"/>
          </w:tcPr>
          <w:p w14:paraId="2BB44818" w14:textId="77777777" w:rsidR="009D12AF" w:rsidRDefault="00000000">
            <w:pPr>
              <w:spacing w:line="240" w:lineRule="atLeast"/>
              <w:ind w:firstLineChars="0" w:firstLine="0"/>
              <w:jc w:val="center"/>
              <w:rPr>
                <w:sz w:val="21"/>
                <w:szCs w:val="21"/>
              </w:rPr>
            </w:pPr>
            <w:r>
              <w:rPr>
                <w:sz w:val="21"/>
                <w:szCs w:val="21"/>
              </w:rPr>
              <w:t>E3 □</w:t>
            </w:r>
          </w:p>
        </w:tc>
      </w:tr>
      <w:tr w:rsidR="009D12AF" w14:paraId="391C99DB" w14:textId="77777777">
        <w:trPr>
          <w:trHeight w:val="340"/>
        </w:trPr>
        <w:tc>
          <w:tcPr>
            <w:tcW w:w="1698" w:type="dxa"/>
            <w:gridSpan w:val="2"/>
            <w:vMerge/>
            <w:vAlign w:val="center"/>
          </w:tcPr>
          <w:p w14:paraId="004F4D8F" w14:textId="77777777" w:rsidR="009D12AF" w:rsidRDefault="009D12AF">
            <w:pPr>
              <w:spacing w:line="240" w:lineRule="atLeast"/>
              <w:ind w:firstLineChars="0" w:firstLine="0"/>
              <w:jc w:val="center"/>
              <w:rPr>
                <w:sz w:val="21"/>
                <w:szCs w:val="21"/>
              </w:rPr>
            </w:pPr>
          </w:p>
        </w:tc>
        <w:tc>
          <w:tcPr>
            <w:tcW w:w="1130" w:type="dxa"/>
            <w:vAlign w:val="center"/>
          </w:tcPr>
          <w:p w14:paraId="7D5F21C4" w14:textId="77777777" w:rsidR="009D12AF" w:rsidRDefault="00000000">
            <w:pPr>
              <w:spacing w:line="240" w:lineRule="atLeast"/>
              <w:ind w:firstLineChars="0" w:firstLine="0"/>
              <w:jc w:val="center"/>
              <w:rPr>
                <w:sz w:val="21"/>
                <w:szCs w:val="21"/>
              </w:rPr>
            </w:pPr>
            <w:r>
              <w:rPr>
                <w:sz w:val="21"/>
                <w:szCs w:val="21"/>
              </w:rPr>
              <w:t>地表水</w:t>
            </w:r>
          </w:p>
        </w:tc>
        <w:tc>
          <w:tcPr>
            <w:tcW w:w="1720" w:type="dxa"/>
            <w:gridSpan w:val="3"/>
            <w:vAlign w:val="center"/>
          </w:tcPr>
          <w:p w14:paraId="459F4C99" w14:textId="77777777" w:rsidR="009D12AF" w:rsidRDefault="00000000">
            <w:pPr>
              <w:spacing w:line="240" w:lineRule="atLeast"/>
              <w:ind w:firstLineChars="0" w:firstLine="0"/>
              <w:jc w:val="center"/>
              <w:rPr>
                <w:sz w:val="21"/>
                <w:szCs w:val="21"/>
              </w:rPr>
            </w:pPr>
            <w:r>
              <w:rPr>
                <w:sz w:val="21"/>
                <w:szCs w:val="21"/>
              </w:rPr>
              <w:t>E1 □</w:t>
            </w:r>
          </w:p>
        </w:tc>
        <w:tc>
          <w:tcPr>
            <w:tcW w:w="1930" w:type="dxa"/>
            <w:gridSpan w:val="5"/>
            <w:vAlign w:val="center"/>
          </w:tcPr>
          <w:p w14:paraId="0B4A5D21" w14:textId="77777777" w:rsidR="009D12AF" w:rsidRDefault="00000000">
            <w:pPr>
              <w:spacing w:line="240" w:lineRule="atLeast"/>
              <w:ind w:firstLineChars="0" w:firstLine="0"/>
              <w:jc w:val="center"/>
              <w:rPr>
                <w:sz w:val="21"/>
                <w:szCs w:val="21"/>
              </w:rPr>
            </w:pPr>
            <w:r>
              <w:rPr>
                <w:sz w:val="21"/>
                <w:szCs w:val="21"/>
              </w:rPr>
              <w:t>E2 □</w:t>
            </w:r>
          </w:p>
        </w:tc>
        <w:tc>
          <w:tcPr>
            <w:tcW w:w="1859" w:type="dxa"/>
            <w:gridSpan w:val="4"/>
            <w:vAlign w:val="center"/>
          </w:tcPr>
          <w:p w14:paraId="3EE382C5" w14:textId="77777777" w:rsidR="009D12AF" w:rsidRDefault="00000000">
            <w:pPr>
              <w:spacing w:line="240" w:lineRule="atLeast"/>
              <w:ind w:firstLineChars="0" w:firstLine="0"/>
              <w:jc w:val="center"/>
              <w:rPr>
                <w:sz w:val="21"/>
                <w:szCs w:val="21"/>
              </w:rPr>
            </w:pPr>
            <w:r>
              <w:rPr>
                <w:sz w:val="21"/>
                <w:szCs w:val="21"/>
              </w:rPr>
              <w:t>E3 □</w:t>
            </w:r>
          </w:p>
        </w:tc>
      </w:tr>
      <w:tr w:rsidR="009D12AF" w14:paraId="71C70453" w14:textId="77777777">
        <w:trPr>
          <w:trHeight w:val="340"/>
        </w:trPr>
        <w:tc>
          <w:tcPr>
            <w:tcW w:w="1698" w:type="dxa"/>
            <w:gridSpan w:val="2"/>
            <w:vMerge/>
            <w:vAlign w:val="center"/>
          </w:tcPr>
          <w:p w14:paraId="19473BAE" w14:textId="77777777" w:rsidR="009D12AF" w:rsidRDefault="009D12AF">
            <w:pPr>
              <w:spacing w:line="240" w:lineRule="atLeast"/>
              <w:ind w:firstLineChars="0" w:firstLine="0"/>
              <w:jc w:val="center"/>
              <w:rPr>
                <w:sz w:val="21"/>
                <w:szCs w:val="21"/>
              </w:rPr>
            </w:pPr>
          </w:p>
        </w:tc>
        <w:tc>
          <w:tcPr>
            <w:tcW w:w="1130" w:type="dxa"/>
            <w:vAlign w:val="center"/>
          </w:tcPr>
          <w:p w14:paraId="5CC942DF" w14:textId="77777777" w:rsidR="009D12AF" w:rsidRDefault="00000000">
            <w:pPr>
              <w:spacing w:line="240" w:lineRule="atLeast"/>
              <w:ind w:firstLineChars="0" w:firstLine="0"/>
              <w:jc w:val="center"/>
              <w:rPr>
                <w:sz w:val="21"/>
                <w:szCs w:val="21"/>
              </w:rPr>
            </w:pPr>
            <w:r>
              <w:rPr>
                <w:sz w:val="21"/>
                <w:szCs w:val="21"/>
              </w:rPr>
              <w:t>地下水</w:t>
            </w:r>
          </w:p>
        </w:tc>
        <w:tc>
          <w:tcPr>
            <w:tcW w:w="1720" w:type="dxa"/>
            <w:gridSpan w:val="3"/>
            <w:vAlign w:val="center"/>
          </w:tcPr>
          <w:p w14:paraId="30175BD9" w14:textId="77777777" w:rsidR="009D12AF" w:rsidRDefault="00000000">
            <w:pPr>
              <w:spacing w:line="240" w:lineRule="atLeast"/>
              <w:ind w:firstLineChars="0" w:firstLine="0"/>
              <w:jc w:val="center"/>
              <w:rPr>
                <w:sz w:val="21"/>
                <w:szCs w:val="21"/>
              </w:rPr>
            </w:pPr>
            <w:r>
              <w:rPr>
                <w:sz w:val="21"/>
                <w:szCs w:val="21"/>
              </w:rPr>
              <w:t>E1 □</w:t>
            </w:r>
          </w:p>
        </w:tc>
        <w:tc>
          <w:tcPr>
            <w:tcW w:w="1930" w:type="dxa"/>
            <w:gridSpan w:val="5"/>
            <w:vAlign w:val="center"/>
          </w:tcPr>
          <w:p w14:paraId="0B2B70D2" w14:textId="77777777" w:rsidR="009D12AF" w:rsidRDefault="00000000">
            <w:pPr>
              <w:spacing w:line="240" w:lineRule="atLeast"/>
              <w:ind w:firstLineChars="0" w:firstLine="0"/>
              <w:jc w:val="center"/>
              <w:rPr>
                <w:sz w:val="21"/>
                <w:szCs w:val="21"/>
              </w:rPr>
            </w:pPr>
            <w:r>
              <w:rPr>
                <w:sz w:val="21"/>
                <w:szCs w:val="21"/>
              </w:rPr>
              <w:t>E2 □</w:t>
            </w:r>
          </w:p>
        </w:tc>
        <w:tc>
          <w:tcPr>
            <w:tcW w:w="1859" w:type="dxa"/>
            <w:gridSpan w:val="4"/>
            <w:vAlign w:val="center"/>
          </w:tcPr>
          <w:p w14:paraId="1C93EBBA" w14:textId="77777777" w:rsidR="009D12AF" w:rsidRDefault="00000000">
            <w:pPr>
              <w:spacing w:line="240" w:lineRule="atLeast"/>
              <w:ind w:firstLineChars="0" w:firstLine="0"/>
              <w:jc w:val="center"/>
              <w:rPr>
                <w:sz w:val="21"/>
                <w:szCs w:val="21"/>
              </w:rPr>
            </w:pPr>
            <w:r>
              <w:rPr>
                <w:sz w:val="21"/>
                <w:szCs w:val="21"/>
              </w:rPr>
              <w:t>E3 □</w:t>
            </w:r>
          </w:p>
        </w:tc>
      </w:tr>
      <w:tr w:rsidR="009D12AF" w14:paraId="2B9E3B03" w14:textId="77777777">
        <w:trPr>
          <w:trHeight w:val="340"/>
        </w:trPr>
        <w:tc>
          <w:tcPr>
            <w:tcW w:w="1698" w:type="dxa"/>
            <w:gridSpan w:val="2"/>
            <w:vAlign w:val="center"/>
          </w:tcPr>
          <w:p w14:paraId="7AFDE879" w14:textId="77777777" w:rsidR="009D12AF" w:rsidRDefault="00000000">
            <w:pPr>
              <w:spacing w:line="240" w:lineRule="atLeast"/>
              <w:ind w:firstLineChars="0" w:firstLine="0"/>
              <w:jc w:val="center"/>
              <w:rPr>
                <w:sz w:val="21"/>
                <w:szCs w:val="21"/>
              </w:rPr>
            </w:pPr>
            <w:r>
              <w:rPr>
                <w:sz w:val="21"/>
                <w:szCs w:val="21"/>
              </w:rPr>
              <w:t>环境风险潜势</w:t>
            </w:r>
          </w:p>
        </w:tc>
        <w:tc>
          <w:tcPr>
            <w:tcW w:w="1130" w:type="dxa"/>
            <w:vAlign w:val="center"/>
          </w:tcPr>
          <w:p w14:paraId="79CC61C4" w14:textId="77777777" w:rsidR="009D12AF" w:rsidRDefault="00000000">
            <w:pPr>
              <w:spacing w:line="240" w:lineRule="atLeast"/>
              <w:ind w:firstLineChars="0" w:firstLine="0"/>
              <w:jc w:val="center"/>
              <w:rPr>
                <w:sz w:val="21"/>
                <w:szCs w:val="21"/>
              </w:rPr>
            </w:pPr>
            <w:r>
              <w:rPr>
                <w:sz w:val="21"/>
                <w:szCs w:val="21"/>
              </w:rPr>
              <w:t>IV+ □</w:t>
            </w:r>
          </w:p>
        </w:tc>
        <w:tc>
          <w:tcPr>
            <w:tcW w:w="1720" w:type="dxa"/>
            <w:gridSpan w:val="3"/>
            <w:vAlign w:val="center"/>
          </w:tcPr>
          <w:p w14:paraId="30CF8721" w14:textId="77777777" w:rsidR="009D12AF" w:rsidRDefault="00000000">
            <w:pPr>
              <w:spacing w:line="240" w:lineRule="atLeast"/>
              <w:ind w:firstLineChars="0" w:firstLine="0"/>
              <w:jc w:val="center"/>
              <w:rPr>
                <w:sz w:val="21"/>
                <w:szCs w:val="21"/>
              </w:rPr>
            </w:pPr>
            <w:r>
              <w:rPr>
                <w:sz w:val="21"/>
                <w:szCs w:val="21"/>
              </w:rPr>
              <w:t>IV □</w:t>
            </w:r>
          </w:p>
        </w:tc>
        <w:tc>
          <w:tcPr>
            <w:tcW w:w="1240" w:type="dxa"/>
            <w:gridSpan w:val="3"/>
            <w:vAlign w:val="center"/>
          </w:tcPr>
          <w:p w14:paraId="247FB842" w14:textId="77777777" w:rsidR="009D12AF" w:rsidRDefault="00000000">
            <w:pPr>
              <w:spacing w:line="240" w:lineRule="atLeast"/>
              <w:ind w:firstLineChars="0" w:firstLine="0"/>
              <w:jc w:val="center"/>
              <w:rPr>
                <w:sz w:val="21"/>
                <w:szCs w:val="21"/>
              </w:rPr>
            </w:pPr>
            <w:r>
              <w:rPr>
                <w:sz w:val="21"/>
                <w:szCs w:val="21"/>
              </w:rPr>
              <w:t>III □</w:t>
            </w:r>
          </w:p>
        </w:tc>
        <w:tc>
          <w:tcPr>
            <w:tcW w:w="1340" w:type="dxa"/>
            <w:gridSpan w:val="4"/>
            <w:vAlign w:val="center"/>
          </w:tcPr>
          <w:p w14:paraId="52CC8974" w14:textId="77777777" w:rsidR="009D12AF" w:rsidRDefault="00000000">
            <w:pPr>
              <w:spacing w:line="240" w:lineRule="atLeast"/>
              <w:ind w:firstLineChars="0" w:firstLine="0"/>
              <w:jc w:val="center"/>
              <w:rPr>
                <w:sz w:val="21"/>
                <w:szCs w:val="21"/>
              </w:rPr>
            </w:pPr>
            <w:r>
              <w:rPr>
                <w:sz w:val="21"/>
                <w:szCs w:val="21"/>
              </w:rPr>
              <w:t>II □</w:t>
            </w:r>
          </w:p>
        </w:tc>
        <w:tc>
          <w:tcPr>
            <w:tcW w:w="1209" w:type="dxa"/>
            <w:gridSpan w:val="2"/>
            <w:vAlign w:val="center"/>
          </w:tcPr>
          <w:p w14:paraId="0BC1F9F1" w14:textId="77777777" w:rsidR="009D12AF" w:rsidRDefault="00000000">
            <w:pPr>
              <w:spacing w:line="240" w:lineRule="atLeast"/>
              <w:ind w:firstLineChars="0" w:firstLine="0"/>
              <w:jc w:val="center"/>
              <w:rPr>
                <w:sz w:val="21"/>
                <w:szCs w:val="21"/>
              </w:rPr>
            </w:pPr>
            <w:r>
              <w:rPr>
                <w:sz w:val="21"/>
                <w:szCs w:val="21"/>
              </w:rPr>
              <w:t xml:space="preserve">I </w:t>
            </w:r>
            <w:r>
              <w:rPr>
                <w:rFonts w:hint="eastAsia"/>
                <w:sz w:val="21"/>
                <w:szCs w:val="21"/>
              </w:rPr>
              <w:t>□</w:t>
            </w:r>
          </w:p>
        </w:tc>
      </w:tr>
      <w:tr w:rsidR="009D12AF" w14:paraId="44C82264" w14:textId="77777777">
        <w:trPr>
          <w:trHeight w:val="340"/>
        </w:trPr>
        <w:tc>
          <w:tcPr>
            <w:tcW w:w="1698" w:type="dxa"/>
            <w:gridSpan w:val="2"/>
            <w:vAlign w:val="center"/>
          </w:tcPr>
          <w:p w14:paraId="704ABF39" w14:textId="77777777" w:rsidR="009D12AF" w:rsidRDefault="00000000">
            <w:pPr>
              <w:spacing w:line="240" w:lineRule="atLeast"/>
              <w:ind w:firstLineChars="0" w:firstLine="0"/>
              <w:jc w:val="center"/>
              <w:rPr>
                <w:sz w:val="21"/>
                <w:szCs w:val="21"/>
              </w:rPr>
            </w:pPr>
            <w:r>
              <w:rPr>
                <w:sz w:val="21"/>
                <w:szCs w:val="21"/>
              </w:rPr>
              <w:t>评价等级</w:t>
            </w:r>
          </w:p>
        </w:tc>
        <w:tc>
          <w:tcPr>
            <w:tcW w:w="1659" w:type="dxa"/>
            <w:gridSpan w:val="2"/>
            <w:vAlign w:val="center"/>
          </w:tcPr>
          <w:p w14:paraId="7E96E570" w14:textId="77777777" w:rsidR="009D12AF" w:rsidRDefault="00000000">
            <w:pPr>
              <w:spacing w:line="240" w:lineRule="atLeast"/>
              <w:ind w:firstLineChars="0" w:firstLine="0"/>
              <w:jc w:val="center"/>
              <w:rPr>
                <w:sz w:val="21"/>
                <w:szCs w:val="21"/>
              </w:rPr>
            </w:pPr>
            <w:r>
              <w:rPr>
                <w:sz w:val="21"/>
                <w:szCs w:val="21"/>
              </w:rPr>
              <w:t>一级</w:t>
            </w:r>
            <w:r>
              <w:rPr>
                <w:sz w:val="21"/>
                <w:szCs w:val="21"/>
              </w:rPr>
              <w:t xml:space="preserve"> □</w:t>
            </w:r>
          </w:p>
        </w:tc>
        <w:tc>
          <w:tcPr>
            <w:tcW w:w="1660" w:type="dxa"/>
            <w:gridSpan w:val="3"/>
            <w:vAlign w:val="center"/>
          </w:tcPr>
          <w:p w14:paraId="7DED0414" w14:textId="77777777" w:rsidR="009D12AF" w:rsidRDefault="00000000">
            <w:pPr>
              <w:spacing w:line="240" w:lineRule="atLeast"/>
              <w:ind w:firstLineChars="0" w:firstLine="0"/>
              <w:jc w:val="center"/>
              <w:rPr>
                <w:sz w:val="21"/>
                <w:szCs w:val="21"/>
              </w:rPr>
            </w:pPr>
            <w:r>
              <w:rPr>
                <w:sz w:val="21"/>
                <w:szCs w:val="21"/>
              </w:rPr>
              <w:t>二级</w:t>
            </w:r>
            <w:r>
              <w:rPr>
                <w:sz w:val="21"/>
                <w:szCs w:val="21"/>
              </w:rPr>
              <w:t xml:space="preserve"> □</w:t>
            </w:r>
          </w:p>
        </w:tc>
        <w:tc>
          <w:tcPr>
            <w:tcW w:w="1659" w:type="dxa"/>
            <w:gridSpan w:val="5"/>
            <w:vAlign w:val="center"/>
          </w:tcPr>
          <w:p w14:paraId="08C25FFE" w14:textId="77777777" w:rsidR="009D12AF" w:rsidRDefault="00000000">
            <w:pPr>
              <w:spacing w:line="240" w:lineRule="atLeast"/>
              <w:ind w:firstLineChars="0" w:firstLine="0"/>
              <w:jc w:val="center"/>
              <w:rPr>
                <w:sz w:val="21"/>
                <w:szCs w:val="21"/>
              </w:rPr>
            </w:pPr>
            <w:r>
              <w:rPr>
                <w:sz w:val="21"/>
                <w:szCs w:val="21"/>
              </w:rPr>
              <w:t>三级</w:t>
            </w:r>
            <w:r>
              <w:rPr>
                <w:sz w:val="21"/>
                <w:szCs w:val="21"/>
              </w:rPr>
              <w:t xml:space="preserve"> □</w:t>
            </w:r>
          </w:p>
        </w:tc>
        <w:tc>
          <w:tcPr>
            <w:tcW w:w="1661" w:type="dxa"/>
            <w:gridSpan w:val="3"/>
            <w:vAlign w:val="center"/>
          </w:tcPr>
          <w:p w14:paraId="23E935F8" w14:textId="77777777" w:rsidR="009D12AF" w:rsidRDefault="00000000">
            <w:pPr>
              <w:spacing w:line="240" w:lineRule="atLeast"/>
              <w:ind w:firstLineChars="0" w:firstLine="0"/>
              <w:jc w:val="center"/>
              <w:rPr>
                <w:sz w:val="21"/>
                <w:szCs w:val="21"/>
              </w:rPr>
            </w:pPr>
            <w:r>
              <w:rPr>
                <w:sz w:val="21"/>
                <w:szCs w:val="21"/>
              </w:rPr>
              <w:t>简单分析</w:t>
            </w:r>
            <w:r>
              <w:rPr>
                <w:rFonts w:hint="eastAsia"/>
                <w:sz w:val="21"/>
                <w:szCs w:val="21"/>
              </w:rPr>
              <w:t>□</w:t>
            </w:r>
          </w:p>
        </w:tc>
      </w:tr>
      <w:tr w:rsidR="009D12AF" w14:paraId="46AECE66" w14:textId="77777777">
        <w:trPr>
          <w:trHeight w:val="340"/>
        </w:trPr>
        <w:tc>
          <w:tcPr>
            <w:tcW w:w="488" w:type="dxa"/>
            <w:vMerge w:val="restart"/>
            <w:vAlign w:val="center"/>
          </w:tcPr>
          <w:p w14:paraId="4CDC321D" w14:textId="77777777" w:rsidR="009D12AF" w:rsidRDefault="00000000">
            <w:pPr>
              <w:spacing w:line="240" w:lineRule="atLeast"/>
              <w:ind w:firstLineChars="0" w:firstLine="0"/>
              <w:jc w:val="center"/>
              <w:rPr>
                <w:sz w:val="21"/>
                <w:szCs w:val="21"/>
              </w:rPr>
            </w:pPr>
            <w:r>
              <w:rPr>
                <w:sz w:val="21"/>
                <w:szCs w:val="21"/>
              </w:rPr>
              <w:t>风险识别</w:t>
            </w:r>
          </w:p>
        </w:tc>
        <w:tc>
          <w:tcPr>
            <w:tcW w:w="1210" w:type="dxa"/>
            <w:vAlign w:val="center"/>
          </w:tcPr>
          <w:p w14:paraId="367B6FEE" w14:textId="77777777" w:rsidR="009D12AF" w:rsidRDefault="00000000">
            <w:pPr>
              <w:spacing w:line="240" w:lineRule="atLeast"/>
              <w:ind w:firstLineChars="0" w:firstLine="0"/>
              <w:jc w:val="center"/>
              <w:rPr>
                <w:sz w:val="21"/>
                <w:szCs w:val="21"/>
              </w:rPr>
            </w:pPr>
            <w:r>
              <w:rPr>
                <w:sz w:val="21"/>
                <w:szCs w:val="21"/>
              </w:rPr>
              <w:t>物质危险性</w:t>
            </w:r>
          </w:p>
        </w:tc>
        <w:tc>
          <w:tcPr>
            <w:tcW w:w="3319" w:type="dxa"/>
            <w:gridSpan w:val="5"/>
            <w:vAlign w:val="center"/>
          </w:tcPr>
          <w:p w14:paraId="3881DECB" w14:textId="77777777" w:rsidR="009D12AF" w:rsidRDefault="00000000">
            <w:pPr>
              <w:spacing w:line="240" w:lineRule="atLeast"/>
              <w:ind w:firstLineChars="0" w:firstLine="0"/>
              <w:jc w:val="center"/>
              <w:rPr>
                <w:sz w:val="21"/>
                <w:szCs w:val="21"/>
              </w:rPr>
            </w:pPr>
            <w:r>
              <w:rPr>
                <w:sz w:val="21"/>
                <w:szCs w:val="21"/>
              </w:rPr>
              <w:t>有毒有害</w:t>
            </w:r>
            <w:r>
              <w:rPr>
                <w:rFonts w:hint="eastAsia"/>
                <w:sz w:val="21"/>
                <w:szCs w:val="21"/>
              </w:rPr>
              <w:t>□</w:t>
            </w:r>
          </w:p>
        </w:tc>
        <w:tc>
          <w:tcPr>
            <w:tcW w:w="3320" w:type="dxa"/>
            <w:gridSpan w:val="8"/>
            <w:vAlign w:val="center"/>
          </w:tcPr>
          <w:p w14:paraId="694CE9B6" w14:textId="77777777" w:rsidR="009D12AF" w:rsidRDefault="00000000">
            <w:pPr>
              <w:spacing w:line="240" w:lineRule="atLeast"/>
              <w:ind w:firstLineChars="0" w:firstLine="0"/>
              <w:jc w:val="center"/>
              <w:rPr>
                <w:sz w:val="21"/>
                <w:szCs w:val="21"/>
              </w:rPr>
            </w:pPr>
            <w:r>
              <w:rPr>
                <w:sz w:val="21"/>
                <w:szCs w:val="21"/>
              </w:rPr>
              <w:t>易燃易爆</w:t>
            </w:r>
            <w:r>
              <w:rPr>
                <w:rFonts w:hint="eastAsia"/>
                <w:sz w:val="21"/>
                <w:szCs w:val="21"/>
              </w:rPr>
              <w:t>□</w:t>
            </w:r>
          </w:p>
        </w:tc>
      </w:tr>
      <w:tr w:rsidR="009D12AF" w14:paraId="5BA72608" w14:textId="77777777">
        <w:trPr>
          <w:trHeight w:val="340"/>
        </w:trPr>
        <w:tc>
          <w:tcPr>
            <w:tcW w:w="488" w:type="dxa"/>
            <w:vMerge/>
            <w:vAlign w:val="center"/>
          </w:tcPr>
          <w:p w14:paraId="3B30EC62" w14:textId="77777777" w:rsidR="009D12AF" w:rsidRDefault="009D12AF">
            <w:pPr>
              <w:spacing w:line="240" w:lineRule="atLeast"/>
              <w:ind w:firstLineChars="0" w:firstLine="0"/>
              <w:jc w:val="center"/>
              <w:rPr>
                <w:sz w:val="21"/>
                <w:szCs w:val="21"/>
              </w:rPr>
            </w:pPr>
          </w:p>
        </w:tc>
        <w:tc>
          <w:tcPr>
            <w:tcW w:w="1210" w:type="dxa"/>
            <w:vAlign w:val="center"/>
          </w:tcPr>
          <w:p w14:paraId="5EE93076" w14:textId="77777777" w:rsidR="009D12AF" w:rsidRDefault="00000000">
            <w:pPr>
              <w:spacing w:line="240" w:lineRule="atLeast"/>
              <w:ind w:firstLineChars="0" w:firstLine="0"/>
              <w:jc w:val="center"/>
              <w:rPr>
                <w:sz w:val="21"/>
                <w:szCs w:val="21"/>
              </w:rPr>
            </w:pPr>
            <w:r>
              <w:rPr>
                <w:sz w:val="21"/>
                <w:szCs w:val="21"/>
              </w:rPr>
              <w:t>环境风险类型</w:t>
            </w:r>
          </w:p>
        </w:tc>
        <w:tc>
          <w:tcPr>
            <w:tcW w:w="2850" w:type="dxa"/>
            <w:gridSpan w:val="4"/>
            <w:vAlign w:val="center"/>
          </w:tcPr>
          <w:p w14:paraId="32F4F5EF" w14:textId="77777777" w:rsidR="009D12AF" w:rsidRDefault="00000000">
            <w:pPr>
              <w:spacing w:line="240" w:lineRule="atLeast"/>
              <w:ind w:firstLineChars="0" w:firstLine="0"/>
              <w:jc w:val="center"/>
              <w:rPr>
                <w:sz w:val="21"/>
                <w:szCs w:val="21"/>
              </w:rPr>
            </w:pPr>
            <w:r>
              <w:rPr>
                <w:sz w:val="21"/>
                <w:szCs w:val="21"/>
              </w:rPr>
              <w:t>泄漏</w:t>
            </w:r>
            <w:r>
              <w:rPr>
                <w:rFonts w:hint="eastAsia"/>
                <w:sz w:val="21"/>
                <w:szCs w:val="21"/>
              </w:rPr>
              <w:t>□</w:t>
            </w:r>
          </w:p>
        </w:tc>
        <w:tc>
          <w:tcPr>
            <w:tcW w:w="3789" w:type="dxa"/>
            <w:gridSpan w:val="9"/>
            <w:vAlign w:val="center"/>
          </w:tcPr>
          <w:p w14:paraId="7A8BAE35" w14:textId="77777777" w:rsidR="009D12AF" w:rsidRDefault="00000000">
            <w:pPr>
              <w:spacing w:line="240" w:lineRule="atLeast"/>
              <w:ind w:firstLineChars="0" w:firstLine="0"/>
              <w:jc w:val="center"/>
              <w:rPr>
                <w:sz w:val="21"/>
                <w:szCs w:val="21"/>
              </w:rPr>
            </w:pPr>
            <w:r>
              <w:rPr>
                <w:sz w:val="21"/>
                <w:szCs w:val="21"/>
              </w:rPr>
              <w:t>火灾、爆炸引发伴生</w:t>
            </w:r>
            <w:r>
              <w:rPr>
                <w:sz w:val="21"/>
                <w:szCs w:val="21"/>
              </w:rPr>
              <w:t>/</w:t>
            </w:r>
            <w:r>
              <w:rPr>
                <w:sz w:val="21"/>
                <w:szCs w:val="21"/>
              </w:rPr>
              <w:t>次生污染物排放</w:t>
            </w:r>
            <w:r>
              <w:rPr>
                <w:rFonts w:hint="eastAsia"/>
                <w:sz w:val="21"/>
                <w:szCs w:val="21"/>
              </w:rPr>
              <w:t>□</w:t>
            </w:r>
          </w:p>
        </w:tc>
      </w:tr>
      <w:tr w:rsidR="009D12AF" w14:paraId="0873AFBE" w14:textId="77777777">
        <w:trPr>
          <w:trHeight w:val="340"/>
        </w:trPr>
        <w:tc>
          <w:tcPr>
            <w:tcW w:w="488" w:type="dxa"/>
            <w:vMerge/>
            <w:vAlign w:val="center"/>
          </w:tcPr>
          <w:p w14:paraId="366AE7A2" w14:textId="77777777" w:rsidR="009D12AF" w:rsidRDefault="009D12AF">
            <w:pPr>
              <w:spacing w:line="240" w:lineRule="atLeast"/>
              <w:ind w:firstLineChars="0" w:firstLine="0"/>
              <w:jc w:val="center"/>
              <w:rPr>
                <w:sz w:val="21"/>
                <w:szCs w:val="21"/>
              </w:rPr>
            </w:pPr>
          </w:p>
        </w:tc>
        <w:tc>
          <w:tcPr>
            <w:tcW w:w="1210" w:type="dxa"/>
            <w:vAlign w:val="center"/>
          </w:tcPr>
          <w:p w14:paraId="3E450CD1" w14:textId="77777777" w:rsidR="009D12AF" w:rsidRDefault="00000000">
            <w:pPr>
              <w:spacing w:line="240" w:lineRule="atLeast"/>
              <w:ind w:firstLineChars="0" w:firstLine="0"/>
              <w:jc w:val="center"/>
              <w:rPr>
                <w:sz w:val="21"/>
                <w:szCs w:val="21"/>
              </w:rPr>
            </w:pPr>
            <w:r>
              <w:rPr>
                <w:sz w:val="21"/>
                <w:szCs w:val="21"/>
              </w:rPr>
              <w:t>影响途径</w:t>
            </w:r>
          </w:p>
        </w:tc>
        <w:tc>
          <w:tcPr>
            <w:tcW w:w="2850" w:type="dxa"/>
            <w:gridSpan w:val="4"/>
            <w:vAlign w:val="center"/>
          </w:tcPr>
          <w:p w14:paraId="7A097508" w14:textId="77777777" w:rsidR="009D12AF" w:rsidRDefault="00000000">
            <w:pPr>
              <w:spacing w:line="240" w:lineRule="atLeast"/>
              <w:ind w:firstLineChars="0" w:firstLine="0"/>
              <w:jc w:val="center"/>
              <w:rPr>
                <w:sz w:val="21"/>
                <w:szCs w:val="21"/>
              </w:rPr>
            </w:pPr>
            <w:r>
              <w:rPr>
                <w:sz w:val="21"/>
                <w:szCs w:val="21"/>
              </w:rPr>
              <w:t>大气</w:t>
            </w:r>
            <w:r>
              <w:rPr>
                <w:rFonts w:hint="eastAsia"/>
                <w:sz w:val="21"/>
                <w:szCs w:val="21"/>
              </w:rPr>
              <w:t>□</w:t>
            </w:r>
          </w:p>
        </w:tc>
        <w:tc>
          <w:tcPr>
            <w:tcW w:w="1930" w:type="dxa"/>
            <w:gridSpan w:val="5"/>
            <w:vAlign w:val="center"/>
          </w:tcPr>
          <w:p w14:paraId="57DB9C35" w14:textId="77777777" w:rsidR="009D12AF" w:rsidRDefault="00000000">
            <w:pPr>
              <w:spacing w:line="240" w:lineRule="atLeast"/>
              <w:ind w:firstLineChars="0" w:firstLine="0"/>
              <w:jc w:val="center"/>
              <w:rPr>
                <w:sz w:val="21"/>
                <w:szCs w:val="21"/>
              </w:rPr>
            </w:pPr>
            <w:r>
              <w:rPr>
                <w:sz w:val="21"/>
                <w:szCs w:val="21"/>
              </w:rPr>
              <w:t>地表水</w:t>
            </w:r>
            <w:r>
              <w:rPr>
                <w:rFonts w:hint="eastAsia"/>
                <w:sz w:val="21"/>
                <w:szCs w:val="21"/>
              </w:rPr>
              <w:t>□</w:t>
            </w:r>
          </w:p>
        </w:tc>
        <w:tc>
          <w:tcPr>
            <w:tcW w:w="1859" w:type="dxa"/>
            <w:gridSpan w:val="4"/>
            <w:vAlign w:val="center"/>
          </w:tcPr>
          <w:p w14:paraId="1F04711A" w14:textId="77777777" w:rsidR="009D12AF" w:rsidRDefault="00000000">
            <w:pPr>
              <w:spacing w:line="240" w:lineRule="atLeast"/>
              <w:ind w:firstLineChars="0" w:firstLine="0"/>
              <w:jc w:val="center"/>
              <w:rPr>
                <w:sz w:val="21"/>
                <w:szCs w:val="21"/>
              </w:rPr>
            </w:pPr>
            <w:r>
              <w:rPr>
                <w:sz w:val="21"/>
                <w:szCs w:val="21"/>
              </w:rPr>
              <w:t>地下水</w:t>
            </w:r>
            <w:r>
              <w:rPr>
                <w:rFonts w:hint="eastAsia"/>
                <w:sz w:val="21"/>
                <w:szCs w:val="21"/>
              </w:rPr>
              <w:t>□</w:t>
            </w:r>
          </w:p>
        </w:tc>
      </w:tr>
      <w:tr w:rsidR="009D12AF" w14:paraId="35285087" w14:textId="77777777">
        <w:trPr>
          <w:trHeight w:val="340"/>
        </w:trPr>
        <w:tc>
          <w:tcPr>
            <w:tcW w:w="1698" w:type="dxa"/>
            <w:gridSpan w:val="2"/>
            <w:vAlign w:val="center"/>
          </w:tcPr>
          <w:p w14:paraId="5929AF77" w14:textId="77777777" w:rsidR="009D12AF" w:rsidRDefault="00000000">
            <w:pPr>
              <w:spacing w:line="240" w:lineRule="atLeast"/>
              <w:ind w:firstLineChars="0" w:firstLine="0"/>
              <w:jc w:val="center"/>
              <w:rPr>
                <w:sz w:val="21"/>
                <w:szCs w:val="21"/>
              </w:rPr>
            </w:pPr>
            <w:r>
              <w:rPr>
                <w:sz w:val="21"/>
                <w:szCs w:val="21"/>
              </w:rPr>
              <w:t>事故情形分析</w:t>
            </w:r>
          </w:p>
        </w:tc>
        <w:tc>
          <w:tcPr>
            <w:tcW w:w="1130" w:type="dxa"/>
            <w:vAlign w:val="center"/>
          </w:tcPr>
          <w:p w14:paraId="2F3D3ED9" w14:textId="77777777" w:rsidR="009D12AF" w:rsidRDefault="00000000">
            <w:pPr>
              <w:spacing w:line="240" w:lineRule="atLeast"/>
              <w:ind w:firstLineChars="0" w:firstLine="0"/>
              <w:jc w:val="center"/>
              <w:rPr>
                <w:sz w:val="21"/>
                <w:szCs w:val="21"/>
              </w:rPr>
            </w:pPr>
            <w:r>
              <w:rPr>
                <w:sz w:val="21"/>
                <w:szCs w:val="21"/>
              </w:rPr>
              <w:t>源强设定方法</w:t>
            </w:r>
          </w:p>
        </w:tc>
        <w:tc>
          <w:tcPr>
            <w:tcW w:w="1720" w:type="dxa"/>
            <w:gridSpan w:val="3"/>
            <w:vAlign w:val="center"/>
          </w:tcPr>
          <w:p w14:paraId="5BA0E3C5" w14:textId="77777777" w:rsidR="009D12AF" w:rsidRDefault="00000000">
            <w:pPr>
              <w:spacing w:line="240" w:lineRule="atLeast"/>
              <w:ind w:firstLineChars="0" w:firstLine="0"/>
              <w:jc w:val="center"/>
              <w:rPr>
                <w:sz w:val="21"/>
                <w:szCs w:val="21"/>
              </w:rPr>
            </w:pPr>
            <w:r>
              <w:rPr>
                <w:sz w:val="21"/>
                <w:szCs w:val="21"/>
              </w:rPr>
              <w:t>计算法</w:t>
            </w:r>
            <w:r>
              <w:rPr>
                <w:sz w:val="21"/>
                <w:szCs w:val="21"/>
              </w:rPr>
              <w:t xml:space="preserve"> □</w:t>
            </w:r>
          </w:p>
        </w:tc>
        <w:tc>
          <w:tcPr>
            <w:tcW w:w="1930" w:type="dxa"/>
            <w:gridSpan w:val="5"/>
            <w:vAlign w:val="center"/>
          </w:tcPr>
          <w:p w14:paraId="464EEDB5" w14:textId="77777777" w:rsidR="009D12AF" w:rsidRDefault="00000000">
            <w:pPr>
              <w:spacing w:line="240" w:lineRule="atLeast"/>
              <w:ind w:firstLineChars="0" w:firstLine="0"/>
              <w:jc w:val="center"/>
              <w:rPr>
                <w:sz w:val="21"/>
                <w:szCs w:val="21"/>
              </w:rPr>
            </w:pPr>
            <w:r>
              <w:rPr>
                <w:sz w:val="21"/>
                <w:szCs w:val="21"/>
              </w:rPr>
              <w:t>经验估算法</w:t>
            </w:r>
            <w:r>
              <w:rPr>
                <w:sz w:val="21"/>
                <w:szCs w:val="21"/>
              </w:rPr>
              <w:t xml:space="preserve"> □</w:t>
            </w:r>
          </w:p>
        </w:tc>
        <w:tc>
          <w:tcPr>
            <w:tcW w:w="1859" w:type="dxa"/>
            <w:gridSpan w:val="4"/>
            <w:vAlign w:val="center"/>
          </w:tcPr>
          <w:p w14:paraId="5D021D3B" w14:textId="77777777" w:rsidR="009D12AF" w:rsidRDefault="00000000">
            <w:pPr>
              <w:spacing w:line="240" w:lineRule="atLeast"/>
              <w:ind w:firstLineChars="0" w:firstLine="0"/>
              <w:jc w:val="center"/>
              <w:rPr>
                <w:sz w:val="21"/>
                <w:szCs w:val="21"/>
              </w:rPr>
            </w:pPr>
            <w:r>
              <w:rPr>
                <w:sz w:val="21"/>
                <w:szCs w:val="21"/>
              </w:rPr>
              <w:t>其他估算法</w:t>
            </w:r>
            <w:r>
              <w:rPr>
                <w:sz w:val="21"/>
                <w:szCs w:val="21"/>
              </w:rPr>
              <w:t xml:space="preserve"> □</w:t>
            </w:r>
          </w:p>
        </w:tc>
      </w:tr>
      <w:tr w:rsidR="009D12AF" w14:paraId="0E682D77" w14:textId="77777777">
        <w:trPr>
          <w:trHeight w:val="340"/>
        </w:trPr>
        <w:tc>
          <w:tcPr>
            <w:tcW w:w="488" w:type="dxa"/>
            <w:vMerge w:val="restart"/>
            <w:vAlign w:val="center"/>
          </w:tcPr>
          <w:p w14:paraId="66A61AB1" w14:textId="77777777" w:rsidR="009D12AF" w:rsidRDefault="00000000">
            <w:pPr>
              <w:spacing w:line="240" w:lineRule="atLeast"/>
              <w:ind w:firstLineChars="0" w:firstLine="0"/>
              <w:jc w:val="center"/>
              <w:rPr>
                <w:sz w:val="21"/>
                <w:szCs w:val="21"/>
              </w:rPr>
            </w:pPr>
            <w:r>
              <w:rPr>
                <w:sz w:val="21"/>
                <w:szCs w:val="21"/>
              </w:rPr>
              <w:t>风险预测与评价</w:t>
            </w:r>
          </w:p>
        </w:tc>
        <w:tc>
          <w:tcPr>
            <w:tcW w:w="1210" w:type="dxa"/>
            <w:vMerge w:val="restart"/>
            <w:vAlign w:val="center"/>
          </w:tcPr>
          <w:p w14:paraId="0D5AD55D" w14:textId="77777777" w:rsidR="009D12AF" w:rsidRDefault="00000000">
            <w:pPr>
              <w:spacing w:line="240" w:lineRule="atLeast"/>
              <w:ind w:firstLineChars="0" w:firstLine="0"/>
              <w:jc w:val="center"/>
              <w:rPr>
                <w:sz w:val="21"/>
                <w:szCs w:val="21"/>
              </w:rPr>
            </w:pPr>
            <w:r>
              <w:rPr>
                <w:sz w:val="21"/>
                <w:szCs w:val="21"/>
              </w:rPr>
              <w:t>大气</w:t>
            </w:r>
          </w:p>
        </w:tc>
        <w:tc>
          <w:tcPr>
            <w:tcW w:w="1130" w:type="dxa"/>
            <w:vAlign w:val="center"/>
          </w:tcPr>
          <w:p w14:paraId="70B81B30" w14:textId="77777777" w:rsidR="009D12AF" w:rsidRDefault="00000000">
            <w:pPr>
              <w:spacing w:line="240" w:lineRule="atLeast"/>
              <w:ind w:firstLineChars="0" w:firstLine="0"/>
              <w:jc w:val="center"/>
              <w:rPr>
                <w:sz w:val="21"/>
                <w:szCs w:val="21"/>
              </w:rPr>
            </w:pPr>
            <w:r>
              <w:rPr>
                <w:sz w:val="21"/>
                <w:szCs w:val="21"/>
              </w:rPr>
              <w:t>预测模型</w:t>
            </w:r>
          </w:p>
        </w:tc>
        <w:tc>
          <w:tcPr>
            <w:tcW w:w="1720" w:type="dxa"/>
            <w:gridSpan w:val="3"/>
            <w:vAlign w:val="center"/>
          </w:tcPr>
          <w:p w14:paraId="61F7E870" w14:textId="77777777" w:rsidR="009D12AF" w:rsidRDefault="00000000">
            <w:pPr>
              <w:spacing w:line="240" w:lineRule="atLeast"/>
              <w:ind w:firstLineChars="0" w:firstLine="0"/>
              <w:jc w:val="center"/>
              <w:rPr>
                <w:sz w:val="21"/>
                <w:szCs w:val="21"/>
              </w:rPr>
            </w:pPr>
            <w:r>
              <w:rPr>
                <w:sz w:val="21"/>
                <w:szCs w:val="21"/>
              </w:rPr>
              <w:t>SLAB □</w:t>
            </w:r>
          </w:p>
        </w:tc>
        <w:tc>
          <w:tcPr>
            <w:tcW w:w="1930" w:type="dxa"/>
            <w:gridSpan w:val="5"/>
            <w:vAlign w:val="center"/>
          </w:tcPr>
          <w:p w14:paraId="7E9CEF05" w14:textId="77777777" w:rsidR="009D12AF" w:rsidRDefault="00000000">
            <w:pPr>
              <w:spacing w:line="240" w:lineRule="atLeast"/>
              <w:ind w:firstLineChars="0" w:firstLine="0"/>
              <w:jc w:val="center"/>
              <w:rPr>
                <w:sz w:val="21"/>
                <w:szCs w:val="21"/>
              </w:rPr>
            </w:pPr>
            <w:r>
              <w:rPr>
                <w:sz w:val="21"/>
                <w:szCs w:val="21"/>
              </w:rPr>
              <w:t>AFTOX □</w:t>
            </w:r>
          </w:p>
        </w:tc>
        <w:tc>
          <w:tcPr>
            <w:tcW w:w="1859" w:type="dxa"/>
            <w:gridSpan w:val="4"/>
            <w:vAlign w:val="center"/>
          </w:tcPr>
          <w:p w14:paraId="658A86F4" w14:textId="77777777" w:rsidR="009D12AF" w:rsidRDefault="00000000">
            <w:pPr>
              <w:spacing w:line="240" w:lineRule="atLeast"/>
              <w:ind w:firstLineChars="0" w:firstLine="0"/>
              <w:jc w:val="center"/>
              <w:rPr>
                <w:sz w:val="21"/>
                <w:szCs w:val="21"/>
              </w:rPr>
            </w:pPr>
            <w:r>
              <w:rPr>
                <w:sz w:val="21"/>
                <w:szCs w:val="21"/>
              </w:rPr>
              <w:t>其他</w:t>
            </w:r>
            <w:r>
              <w:rPr>
                <w:sz w:val="21"/>
                <w:szCs w:val="21"/>
              </w:rPr>
              <w:t xml:space="preserve"> □</w:t>
            </w:r>
          </w:p>
        </w:tc>
      </w:tr>
      <w:tr w:rsidR="009D12AF" w14:paraId="342820C1" w14:textId="77777777">
        <w:trPr>
          <w:trHeight w:val="340"/>
        </w:trPr>
        <w:tc>
          <w:tcPr>
            <w:tcW w:w="488" w:type="dxa"/>
            <w:vMerge/>
            <w:vAlign w:val="center"/>
          </w:tcPr>
          <w:p w14:paraId="4DA4D425" w14:textId="77777777" w:rsidR="009D12AF" w:rsidRDefault="009D12AF">
            <w:pPr>
              <w:spacing w:line="240" w:lineRule="atLeast"/>
              <w:ind w:firstLineChars="0" w:firstLine="0"/>
              <w:jc w:val="center"/>
              <w:rPr>
                <w:sz w:val="21"/>
                <w:szCs w:val="21"/>
              </w:rPr>
            </w:pPr>
          </w:p>
        </w:tc>
        <w:tc>
          <w:tcPr>
            <w:tcW w:w="1210" w:type="dxa"/>
            <w:vMerge/>
            <w:vAlign w:val="center"/>
          </w:tcPr>
          <w:p w14:paraId="476B65D5" w14:textId="77777777" w:rsidR="009D12AF" w:rsidRDefault="009D12AF">
            <w:pPr>
              <w:spacing w:line="240" w:lineRule="atLeast"/>
              <w:ind w:firstLineChars="0" w:firstLine="0"/>
              <w:jc w:val="center"/>
              <w:rPr>
                <w:sz w:val="21"/>
                <w:szCs w:val="21"/>
              </w:rPr>
            </w:pPr>
          </w:p>
        </w:tc>
        <w:tc>
          <w:tcPr>
            <w:tcW w:w="1130" w:type="dxa"/>
            <w:vMerge w:val="restart"/>
            <w:vAlign w:val="center"/>
          </w:tcPr>
          <w:p w14:paraId="7E2E86C6" w14:textId="77777777" w:rsidR="009D12AF" w:rsidRDefault="00000000">
            <w:pPr>
              <w:spacing w:line="240" w:lineRule="atLeast"/>
              <w:ind w:firstLineChars="0" w:firstLine="0"/>
              <w:jc w:val="center"/>
              <w:rPr>
                <w:sz w:val="21"/>
                <w:szCs w:val="21"/>
              </w:rPr>
            </w:pPr>
            <w:r>
              <w:rPr>
                <w:sz w:val="21"/>
                <w:szCs w:val="21"/>
              </w:rPr>
              <w:t>预测结果</w:t>
            </w:r>
          </w:p>
        </w:tc>
        <w:tc>
          <w:tcPr>
            <w:tcW w:w="5509" w:type="dxa"/>
            <w:gridSpan w:val="12"/>
            <w:vAlign w:val="center"/>
          </w:tcPr>
          <w:p w14:paraId="59F5576F" w14:textId="77777777" w:rsidR="009D12AF" w:rsidRDefault="00000000">
            <w:pPr>
              <w:spacing w:line="240" w:lineRule="atLeast"/>
              <w:ind w:firstLineChars="0" w:firstLine="0"/>
              <w:jc w:val="center"/>
              <w:rPr>
                <w:sz w:val="21"/>
                <w:szCs w:val="21"/>
              </w:rPr>
            </w:pPr>
            <w:r>
              <w:rPr>
                <w:sz w:val="21"/>
                <w:szCs w:val="21"/>
              </w:rPr>
              <w:t>大气毒性终点浓度</w:t>
            </w:r>
            <w:r>
              <w:rPr>
                <w:sz w:val="21"/>
                <w:szCs w:val="21"/>
              </w:rPr>
              <w:t xml:space="preserve">-1  </w:t>
            </w:r>
            <w:r>
              <w:rPr>
                <w:sz w:val="21"/>
                <w:szCs w:val="21"/>
              </w:rPr>
              <w:t>最大影响范围</w:t>
            </w:r>
            <w:r>
              <w:rPr>
                <w:sz w:val="21"/>
                <w:szCs w:val="21"/>
              </w:rPr>
              <w:t xml:space="preserve">    m</w:t>
            </w:r>
          </w:p>
        </w:tc>
      </w:tr>
      <w:tr w:rsidR="009D12AF" w14:paraId="369C2B36" w14:textId="77777777">
        <w:trPr>
          <w:trHeight w:val="340"/>
        </w:trPr>
        <w:tc>
          <w:tcPr>
            <w:tcW w:w="488" w:type="dxa"/>
            <w:vMerge/>
            <w:vAlign w:val="center"/>
          </w:tcPr>
          <w:p w14:paraId="027D6761" w14:textId="77777777" w:rsidR="009D12AF" w:rsidRDefault="009D12AF">
            <w:pPr>
              <w:spacing w:line="240" w:lineRule="atLeast"/>
              <w:ind w:firstLineChars="0" w:firstLine="0"/>
              <w:jc w:val="center"/>
              <w:rPr>
                <w:sz w:val="21"/>
                <w:szCs w:val="21"/>
              </w:rPr>
            </w:pPr>
          </w:p>
        </w:tc>
        <w:tc>
          <w:tcPr>
            <w:tcW w:w="1210" w:type="dxa"/>
            <w:vMerge/>
            <w:vAlign w:val="center"/>
          </w:tcPr>
          <w:p w14:paraId="1FF3B0DC" w14:textId="77777777" w:rsidR="009D12AF" w:rsidRDefault="009D12AF">
            <w:pPr>
              <w:spacing w:line="240" w:lineRule="atLeast"/>
              <w:ind w:firstLineChars="0" w:firstLine="0"/>
              <w:jc w:val="center"/>
              <w:rPr>
                <w:sz w:val="21"/>
                <w:szCs w:val="21"/>
              </w:rPr>
            </w:pPr>
          </w:p>
        </w:tc>
        <w:tc>
          <w:tcPr>
            <w:tcW w:w="1130" w:type="dxa"/>
            <w:vMerge/>
            <w:vAlign w:val="center"/>
          </w:tcPr>
          <w:p w14:paraId="62D49960" w14:textId="77777777" w:rsidR="009D12AF" w:rsidRDefault="009D12AF">
            <w:pPr>
              <w:spacing w:line="240" w:lineRule="atLeast"/>
              <w:ind w:firstLineChars="0" w:firstLine="0"/>
              <w:jc w:val="center"/>
              <w:rPr>
                <w:sz w:val="21"/>
                <w:szCs w:val="21"/>
              </w:rPr>
            </w:pPr>
          </w:p>
        </w:tc>
        <w:tc>
          <w:tcPr>
            <w:tcW w:w="5509" w:type="dxa"/>
            <w:gridSpan w:val="12"/>
            <w:vAlign w:val="center"/>
          </w:tcPr>
          <w:p w14:paraId="110CE439" w14:textId="77777777" w:rsidR="009D12AF" w:rsidRDefault="00000000">
            <w:pPr>
              <w:spacing w:line="240" w:lineRule="atLeast"/>
              <w:ind w:firstLineChars="0" w:firstLine="0"/>
              <w:jc w:val="center"/>
              <w:rPr>
                <w:sz w:val="21"/>
                <w:szCs w:val="21"/>
              </w:rPr>
            </w:pPr>
            <w:r>
              <w:rPr>
                <w:sz w:val="21"/>
                <w:szCs w:val="21"/>
              </w:rPr>
              <w:t>大气毒性终点浓度</w:t>
            </w:r>
            <w:r>
              <w:rPr>
                <w:sz w:val="21"/>
                <w:szCs w:val="21"/>
              </w:rPr>
              <w:t xml:space="preserve">-2  </w:t>
            </w:r>
            <w:r>
              <w:rPr>
                <w:sz w:val="21"/>
                <w:szCs w:val="21"/>
              </w:rPr>
              <w:t>最大影响范围</w:t>
            </w:r>
            <w:r>
              <w:rPr>
                <w:sz w:val="21"/>
                <w:szCs w:val="21"/>
              </w:rPr>
              <w:t xml:space="preserve">    m</w:t>
            </w:r>
          </w:p>
        </w:tc>
      </w:tr>
      <w:tr w:rsidR="009D12AF" w14:paraId="6C490D50" w14:textId="77777777">
        <w:trPr>
          <w:trHeight w:val="340"/>
        </w:trPr>
        <w:tc>
          <w:tcPr>
            <w:tcW w:w="488" w:type="dxa"/>
            <w:vMerge/>
            <w:vAlign w:val="center"/>
          </w:tcPr>
          <w:p w14:paraId="20327B8E" w14:textId="77777777" w:rsidR="009D12AF" w:rsidRDefault="009D12AF">
            <w:pPr>
              <w:spacing w:line="240" w:lineRule="atLeast"/>
              <w:ind w:firstLineChars="0" w:firstLine="0"/>
              <w:jc w:val="center"/>
              <w:rPr>
                <w:sz w:val="21"/>
                <w:szCs w:val="21"/>
              </w:rPr>
            </w:pPr>
          </w:p>
        </w:tc>
        <w:tc>
          <w:tcPr>
            <w:tcW w:w="1210" w:type="dxa"/>
            <w:vAlign w:val="center"/>
          </w:tcPr>
          <w:p w14:paraId="4BBAAE42" w14:textId="77777777" w:rsidR="009D12AF" w:rsidRDefault="00000000">
            <w:pPr>
              <w:spacing w:line="240" w:lineRule="atLeast"/>
              <w:ind w:firstLineChars="0" w:firstLine="0"/>
              <w:jc w:val="center"/>
              <w:rPr>
                <w:sz w:val="21"/>
                <w:szCs w:val="21"/>
              </w:rPr>
            </w:pPr>
            <w:r>
              <w:rPr>
                <w:sz w:val="21"/>
                <w:szCs w:val="21"/>
              </w:rPr>
              <w:t>地表水</w:t>
            </w:r>
          </w:p>
        </w:tc>
        <w:tc>
          <w:tcPr>
            <w:tcW w:w="6639" w:type="dxa"/>
            <w:gridSpan w:val="13"/>
            <w:vAlign w:val="center"/>
          </w:tcPr>
          <w:p w14:paraId="53BBF23E" w14:textId="77777777" w:rsidR="009D12AF" w:rsidRDefault="00000000">
            <w:pPr>
              <w:spacing w:line="240" w:lineRule="atLeast"/>
              <w:ind w:firstLineChars="0" w:firstLine="0"/>
              <w:jc w:val="center"/>
              <w:rPr>
                <w:sz w:val="21"/>
                <w:szCs w:val="21"/>
              </w:rPr>
            </w:pPr>
            <w:r>
              <w:rPr>
                <w:sz w:val="21"/>
                <w:szCs w:val="21"/>
              </w:rPr>
              <w:t>最近环境敏感目标，到达时间</w:t>
            </w:r>
            <w:r>
              <w:rPr>
                <w:sz w:val="21"/>
                <w:szCs w:val="21"/>
              </w:rPr>
              <w:t xml:space="preserve">    h</w:t>
            </w:r>
          </w:p>
        </w:tc>
      </w:tr>
      <w:tr w:rsidR="009D12AF" w14:paraId="4214AC75" w14:textId="77777777">
        <w:trPr>
          <w:trHeight w:val="340"/>
        </w:trPr>
        <w:tc>
          <w:tcPr>
            <w:tcW w:w="488" w:type="dxa"/>
            <w:vMerge/>
            <w:vAlign w:val="center"/>
          </w:tcPr>
          <w:p w14:paraId="49909944" w14:textId="77777777" w:rsidR="009D12AF" w:rsidRDefault="009D12AF">
            <w:pPr>
              <w:spacing w:line="240" w:lineRule="atLeast"/>
              <w:ind w:firstLineChars="0" w:firstLine="0"/>
              <w:jc w:val="center"/>
              <w:rPr>
                <w:sz w:val="21"/>
                <w:szCs w:val="21"/>
              </w:rPr>
            </w:pPr>
          </w:p>
        </w:tc>
        <w:tc>
          <w:tcPr>
            <w:tcW w:w="1210" w:type="dxa"/>
            <w:vMerge w:val="restart"/>
            <w:vAlign w:val="center"/>
          </w:tcPr>
          <w:p w14:paraId="4B54B26C" w14:textId="77777777" w:rsidR="009D12AF" w:rsidRDefault="00000000">
            <w:pPr>
              <w:spacing w:line="240" w:lineRule="atLeast"/>
              <w:ind w:firstLineChars="0" w:firstLine="0"/>
              <w:jc w:val="center"/>
              <w:rPr>
                <w:sz w:val="21"/>
                <w:szCs w:val="21"/>
              </w:rPr>
            </w:pPr>
            <w:r>
              <w:rPr>
                <w:sz w:val="21"/>
                <w:szCs w:val="21"/>
              </w:rPr>
              <w:t>地下水</w:t>
            </w:r>
          </w:p>
        </w:tc>
        <w:tc>
          <w:tcPr>
            <w:tcW w:w="6639" w:type="dxa"/>
            <w:gridSpan w:val="13"/>
            <w:vAlign w:val="center"/>
          </w:tcPr>
          <w:p w14:paraId="0B4DC895" w14:textId="77777777" w:rsidR="009D12AF" w:rsidRDefault="00000000">
            <w:pPr>
              <w:spacing w:line="240" w:lineRule="atLeast"/>
              <w:ind w:firstLineChars="0" w:firstLine="0"/>
              <w:jc w:val="center"/>
              <w:rPr>
                <w:sz w:val="21"/>
                <w:szCs w:val="21"/>
              </w:rPr>
            </w:pPr>
            <w:r>
              <w:rPr>
                <w:sz w:val="21"/>
                <w:szCs w:val="21"/>
              </w:rPr>
              <w:t>下游厂区边界到达时间</w:t>
            </w:r>
            <w:r>
              <w:rPr>
                <w:sz w:val="21"/>
                <w:szCs w:val="21"/>
              </w:rPr>
              <w:t xml:space="preserve">    d</w:t>
            </w:r>
          </w:p>
        </w:tc>
      </w:tr>
      <w:tr w:rsidR="009D12AF" w14:paraId="185BB3E5" w14:textId="77777777">
        <w:trPr>
          <w:trHeight w:val="340"/>
        </w:trPr>
        <w:tc>
          <w:tcPr>
            <w:tcW w:w="488" w:type="dxa"/>
            <w:vMerge/>
            <w:vAlign w:val="center"/>
          </w:tcPr>
          <w:p w14:paraId="2E28E46A" w14:textId="77777777" w:rsidR="009D12AF" w:rsidRDefault="009D12AF">
            <w:pPr>
              <w:spacing w:line="240" w:lineRule="atLeast"/>
              <w:ind w:firstLineChars="0" w:firstLine="0"/>
              <w:jc w:val="center"/>
              <w:rPr>
                <w:sz w:val="21"/>
                <w:szCs w:val="21"/>
              </w:rPr>
            </w:pPr>
          </w:p>
        </w:tc>
        <w:tc>
          <w:tcPr>
            <w:tcW w:w="1210" w:type="dxa"/>
            <w:vMerge/>
            <w:vAlign w:val="center"/>
          </w:tcPr>
          <w:p w14:paraId="71CF7D2A" w14:textId="77777777" w:rsidR="009D12AF" w:rsidRDefault="009D12AF">
            <w:pPr>
              <w:spacing w:line="240" w:lineRule="atLeast"/>
              <w:ind w:firstLineChars="0" w:firstLine="0"/>
              <w:jc w:val="center"/>
              <w:rPr>
                <w:sz w:val="21"/>
                <w:szCs w:val="21"/>
              </w:rPr>
            </w:pPr>
          </w:p>
        </w:tc>
        <w:tc>
          <w:tcPr>
            <w:tcW w:w="6639" w:type="dxa"/>
            <w:gridSpan w:val="13"/>
            <w:vAlign w:val="center"/>
          </w:tcPr>
          <w:p w14:paraId="4001991D" w14:textId="77777777" w:rsidR="009D12AF" w:rsidRDefault="00000000">
            <w:pPr>
              <w:spacing w:line="240" w:lineRule="atLeast"/>
              <w:ind w:firstLineChars="0" w:firstLine="0"/>
              <w:jc w:val="center"/>
              <w:rPr>
                <w:sz w:val="21"/>
                <w:szCs w:val="21"/>
              </w:rPr>
            </w:pPr>
            <w:r>
              <w:rPr>
                <w:sz w:val="21"/>
                <w:szCs w:val="21"/>
              </w:rPr>
              <w:t>最近环境敏感目标，到达时间</w:t>
            </w:r>
            <w:r>
              <w:rPr>
                <w:sz w:val="21"/>
                <w:szCs w:val="21"/>
              </w:rPr>
              <w:t xml:space="preserve">    d</w:t>
            </w:r>
          </w:p>
        </w:tc>
      </w:tr>
      <w:tr w:rsidR="009D12AF" w14:paraId="7E59ABC1" w14:textId="77777777">
        <w:trPr>
          <w:trHeight w:val="901"/>
        </w:trPr>
        <w:tc>
          <w:tcPr>
            <w:tcW w:w="1698" w:type="dxa"/>
            <w:gridSpan w:val="2"/>
            <w:vAlign w:val="center"/>
          </w:tcPr>
          <w:p w14:paraId="1111212D" w14:textId="77777777" w:rsidR="009D12AF" w:rsidRDefault="00000000">
            <w:pPr>
              <w:spacing w:line="240" w:lineRule="atLeast"/>
              <w:ind w:firstLineChars="0" w:firstLine="0"/>
              <w:jc w:val="center"/>
              <w:rPr>
                <w:sz w:val="21"/>
                <w:szCs w:val="21"/>
              </w:rPr>
            </w:pPr>
            <w:r>
              <w:rPr>
                <w:sz w:val="21"/>
                <w:szCs w:val="21"/>
              </w:rPr>
              <w:t>重点风险防范措施</w:t>
            </w:r>
          </w:p>
        </w:tc>
        <w:tc>
          <w:tcPr>
            <w:tcW w:w="6639" w:type="dxa"/>
            <w:gridSpan w:val="13"/>
            <w:vAlign w:val="center"/>
          </w:tcPr>
          <w:p w14:paraId="59326BAD" w14:textId="77777777" w:rsidR="009D12AF" w:rsidRDefault="00000000">
            <w:pPr>
              <w:spacing w:line="240" w:lineRule="atLeast"/>
              <w:ind w:firstLineChars="0" w:firstLine="0"/>
              <w:jc w:val="left"/>
              <w:rPr>
                <w:sz w:val="21"/>
                <w:szCs w:val="21"/>
              </w:rPr>
            </w:pPr>
            <w:r>
              <w:rPr>
                <w:sz w:val="21"/>
                <w:szCs w:val="21"/>
              </w:rPr>
              <w:t>厂区设置严格的管理制度。作业时，应有可靠的安全措施。对消防系统应按规定定期进行检查试验。在事故发生后，应及时切断与发生事故的装置相连接的管线，避免引发连锁事故。油类物质输送的工艺设计满足主要作业的要求，工艺流程简单，阀门少，操作方便，安全可靠，避免了由于管线过长而增加发生跑、渗、漏，由于阀门过多而出现操作上的混乱，发生泄漏等事故。定期对输送管道进行探伤、测厚，避免因腐蚀、老化或机械损伤等隐患存在而引发泄露事故。</w:t>
            </w:r>
            <w:r>
              <w:rPr>
                <w:rFonts w:hint="eastAsia"/>
                <w:sz w:val="21"/>
                <w:szCs w:val="21"/>
              </w:rPr>
              <w:t>各生产装置、天然气管线、设置相应的安全联锁，设置温度、压力、液位的超限报警装置，配备自动泄压、紧急切断装置，生产线采用智能自动化仪表、可编程序控制器集散控制系统、</w:t>
            </w:r>
            <w:r>
              <w:rPr>
                <w:rFonts w:hint="eastAsia"/>
                <w:sz w:val="21"/>
                <w:szCs w:val="21"/>
              </w:rPr>
              <w:lastRenderedPageBreak/>
              <w:t>安全仪表系统等自动控制系统，尽可能减少现场人工操作，提高企业的安全自动控制水平，同时在实现自动控制的基础上装备紧急停车系统。</w:t>
            </w:r>
          </w:p>
        </w:tc>
      </w:tr>
      <w:tr w:rsidR="009D12AF" w14:paraId="32973855" w14:textId="77777777">
        <w:trPr>
          <w:trHeight w:val="711"/>
        </w:trPr>
        <w:tc>
          <w:tcPr>
            <w:tcW w:w="1698" w:type="dxa"/>
            <w:gridSpan w:val="2"/>
            <w:vAlign w:val="center"/>
          </w:tcPr>
          <w:p w14:paraId="511EF822" w14:textId="77777777" w:rsidR="009D12AF" w:rsidRDefault="00000000">
            <w:pPr>
              <w:spacing w:line="240" w:lineRule="atLeast"/>
              <w:ind w:firstLineChars="0" w:firstLine="0"/>
              <w:jc w:val="center"/>
              <w:rPr>
                <w:sz w:val="21"/>
                <w:szCs w:val="21"/>
              </w:rPr>
            </w:pPr>
            <w:r>
              <w:rPr>
                <w:sz w:val="21"/>
                <w:szCs w:val="21"/>
              </w:rPr>
              <w:lastRenderedPageBreak/>
              <w:t>评价结论与建议</w:t>
            </w:r>
          </w:p>
        </w:tc>
        <w:tc>
          <w:tcPr>
            <w:tcW w:w="6639" w:type="dxa"/>
            <w:gridSpan w:val="13"/>
            <w:vAlign w:val="center"/>
          </w:tcPr>
          <w:p w14:paraId="2C221548" w14:textId="77777777" w:rsidR="009D12AF" w:rsidRDefault="00000000">
            <w:pPr>
              <w:spacing w:line="240" w:lineRule="atLeast"/>
              <w:ind w:firstLineChars="0" w:firstLine="0"/>
              <w:jc w:val="center"/>
              <w:rPr>
                <w:sz w:val="21"/>
                <w:szCs w:val="21"/>
              </w:rPr>
            </w:pPr>
            <w:r>
              <w:rPr>
                <w:sz w:val="21"/>
                <w:szCs w:val="21"/>
              </w:rPr>
              <w:t>针对各类危险物料的性质和可能发生的事故类型，本评价提出相应的风险防范措施和应急预案，在落实报告书中提出的事故风险防范措施，完善应急预案的，严格执行遵守风险管理制度和操作规程，就能保证本项目生产区及贮存区的环境风险防范水平，满足国家有关环境保护和安全法规、标准的要求，使本项目的环境风险达到可接受的水平，本项目环境风险事故为可接受水平。</w:t>
            </w:r>
          </w:p>
        </w:tc>
      </w:tr>
      <w:tr w:rsidR="009D12AF" w14:paraId="654F1491" w14:textId="77777777">
        <w:trPr>
          <w:trHeight w:val="501"/>
        </w:trPr>
        <w:tc>
          <w:tcPr>
            <w:tcW w:w="8337" w:type="dxa"/>
            <w:gridSpan w:val="15"/>
            <w:vAlign w:val="center"/>
          </w:tcPr>
          <w:p w14:paraId="6E58F22A" w14:textId="77777777" w:rsidR="009D12AF" w:rsidRDefault="00000000">
            <w:pPr>
              <w:spacing w:line="240" w:lineRule="atLeast"/>
              <w:ind w:firstLineChars="0" w:firstLine="0"/>
              <w:jc w:val="center"/>
              <w:rPr>
                <w:sz w:val="21"/>
                <w:szCs w:val="21"/>
              </w:rPr>
            </w:pPr>
            <w:r>
              <w:rPr>
                <w:sz w:val="21"/>
                <w:szCs w:val="21"/>
              </w:rPr>
              <w:t>注：</w:t>
            </w:r>
            <w:r>
              <w:rPr>
                <w:sz w:val="21"/>
                <w:szCs w:val="21"/>
              </w:rPr>
              <w:t>“□”</w:t>
            </w:r>
            <w:r>
              <w:rPr>
                <w:sz w:val="21"/>
                <w:szCs w:val="21"/>
              </w:rPr>
              <w:t>为勾选项，</w:t>
            </w:r>
            <w:r>
              <w:rPr>
                <w:sz w:val="21"/>
                <w:szCs w:val="21"/>
              </w:rPr>
              <w:t>“    ”</w:t>
            </w:r>
            <w:r>
              <w:rPr>
                <w:sz w:val="21"/>
                <w:szCs w:val="21"/>
              </w:rPr>
              <w:t>为填写项。</w:t>
            </w:r>
          </w:p>
        </w:tc>
      </w:tr>
    </w:tbl>
    <w:p w14:paraId="25D4DA51" w14:textId="77777777" w:rsidR="009D12AF" w:rsidRDefault="00000000">
      <w:pPr>
        <w:ind w:firstLineChars="0" w:firstLine="0"/>
        <w:rPr>
          <w:rFonts w:ascii="Times New Roman" w:hAnsi="Times New Roman" w:cs="Times New Roman"/>
          <w:highlight w:val="yellow"/>
        </w:rPr>
        <w:sectPr w:rsidR="009D12AF">
          <w:footerReference w:type="default" r:id="rId254"/>
          <w:pgSz w:w="11906" w:h="16838"/>
          <w:pgMar w:top="1440" w:right="1800" w:bottom="1440" w:left="1800" w:header="851" w:footer="992" w:gutter="0"/>
          <w:cols w:space="425"/>
          <w:docGrid w:type="lines" w:linePitch="312"/>
        </w:sectPr>
      </w:pPr>
      <w:r>
        <w:rPr>
          <w:rFonts w:ascii="Times New Roman" w:hAnsi="Times New Roman" w:cs="Times New Roman"/>
          <w:highlight w:val="yellow"/>
        </w:rPr>
        <w:br w:type="page"/>
      </w:r>
    </w:p>
    <w:p w14:paraId="71C80E85" w14:textId="77777777" w:rsidR="009D12AF" w:rsidRDefault="00000000">
      <w:pPr>
        <w:pStyle w:val="1"/>
        <w:spacing w:before="0" w:after="0" w:line="240" w:lineRule="auto"/>
        <w:rPr>
          <w:sz w:val="28"/>
          <w:szCs w:val="18"/>
        </w:rPr>
      </w:pPr>
      <w:bookmarkStart w:id="528" w:name="_Toc31926"/>
      <w:r>
        <w:rPr>
          <w:rFonts w:hint="eastAsia"/>
          <w:sz w:val="28"/>
          <w:szCs w:val="18"/>
        </w:rPr>
        <w:lastRenderedPageBreak/>
        <w:t>附件</w:t>
      </w:r>
      <w:r>
        <w:rPr>
          <w:rFonts w:hint="eastAsia"/>
          <w:sz w:val="28"/>
          <w:szCs w:val="18"/>
        </w:rPr>
        <w:t>1</w:t>
      </w:r>
      <w:bookmarkEnd w:id="524"/>
      <w:bookmarkEnd w:id="525"/>
      <w:bookmarkEnd w:id="526"/>
      <w:r>
        <w:rPr>
          <w:rFonts w:hint="eastAsia"/>
          <w:sz w:val="28"/>
          <w:szCs w:val="18"/>
        </w:rPr>
        <w:t>三线一单分析报告</w:t>
      </w:r>
      <w:bookmarkEnd w:id="528"/>
    </w:p>
    <w:p w14:paraId="22E1EDE4" w14:textId="77777777" w:rsidR="009D12AF" w:rsidRDefault="00000000">
      <w:pPr>
        <w:ind w:firstLineChars="0" w:firstLine="0"/>
        <w:rPr>
          <w:b/>
          <w:bCs/>
        </w:rPr>
      </w:pPr>
      <w:r>
        <w:rPr>
          <w:rFonts w:hint="eastAsia"/>
          <w:b/>
          <w:bCs/>
        </w:rPr>
        <w:t>长石水库：</w:t>
      </w:r>
    </w:p>
    <w:p w14:paraId="50701B1E" w14:textId="77777777" w:rsidR="009D12AF" w:rsidRDefault="00000000">
      <w:pPr>
        <w:ind w:firstLineChars="0" w:firstLine="0"/>
        <w:jc w:val="center"/>
      </w:pPr>
      <w:r>
        <w:rPr>
          <w:noProof/>
        </w:rPr>
        <w:drawing>
          <wp:inline distT="0" distB="0" distL="114300" distR="114300" wp14:anchorId="70D271F6" wp14:editId="546AE03A">
            <wp:extent cx="7443470" cy="4155440"/>
            <wp:effectExtent l="0" t="0" r="5080" b="16510"/>
            <wp:docPr id="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8"/>
                    <pic:cNvPicPr>
                      <a:picLocks noChangeAspect="1"/>
                    </pic:cNvPicPr>
                  </pic:nvPicPr>
                  <pic:blipFill>
                    <a:blip r:embed="rId255"/>
                    <a:stretch>
                      <a:fillRect/>
                    </a:stretch>
                  </pic:blipFill>
                  <pic:spPr>
                    <a:xfrm>
                      <a:off x="0" y="0"/>
                      <a:ext cx="7443470" cy="4155440"/>
                    </a:xfrm>
                    <a:prstGeom prst="rect">
                      <a:avLst/>
                    </a:prstGeom>
                    <a:noFill/>
                    <a:ln>
                      <a:noFill/>
                    </a:ln>
                  </pic:spPr>
                </pic:pic>
              </a:graphicData>
            </a:graphic>
          </wp:inline>
        </w:drawing>
      </w:r>
      <w:r>
        <w:rPr>
          <w:noProof/>
        </w:rPr>
        <w:lastRenderedPageBreak/>
        <w:drawing>
          <wp:inline distT="0" distB="0" distL="114300" distR="114300" wp14:anchorId="232906A3" wp14:editId="77F04E76">
            <wp:extent cx="7441565" cy="5273675"/>
            <wp:effectExtent l="0" t="0" r="6985" b="3175"/>
            <wp:docPr id="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pic:cNvPicPr>
                      <a:picLocks noChangeAspect="1"/>
                    </pic:cNvPicPr>
                  </pic:nvPicPr>
                  <pic:blipFill>
                    <a:blip r:embed="rId256"/>
                    <a:stretch>
                      <a:fillRect/>
                    </a:stretch>
                  </pic:blipFill>
                  <pic:spPr>
                    <a:xfrm>
                      <a:off x="0" y="0"/>
                      <a:ext cx="7441565" cy="5273675"/>
                    </a:xfrm>
                    <a:prstGeom prst="rect">
                      <a:avLst/>
                    </a:prstGeom>
                    <a:noFill/>
                    <a:ln>
                      <a:noFill/>
                    </a:ln>
                  </pic:spPr>
                </pic:pic>
              </a:graphicData>
            </a:graphic>
          </wp:inline>
        </w:drawing>
      </w:r>
      <w:r>
        <w:rPr>
          <w:noProof/>
        </w:rPr>
        <w:lastRenderedPageBreak/>
        <w:drawing>
          <wp:inline distT="0" distB="0" distL="114300" distR="114300" wp14:anchorId="58FF0E5C" wp14:editId="4BD6C540">
            <wp:extent cx="7458710" cy="5270500"/>
            <wp:effectExtent l="0" t="0" r="8890" b="6350"/>
            <wp:docPr id="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
                    <pic:cNvPicPr>
                      <a:picLocks noChangeAspect="1"/>
                    </pic:cNvPicPr>
                  </pic:nvPicPr>
                  <pic:blipFill>
                    <a:blip r:embed="rId257"/>
                    <a:stretch>
                      <a:fillRect/>
                    </a:stretch>
                  </pic:blipFill>
                  <pic:spPr>
                    <a:xfrm>
                      <a:off x="0" y="0"/>
                      <a:ext cx="7458710" cy="5270500"/>
                    </a:xfrm>
                    <a:prstGeom prst="rect">
                      <a:avLst/>
                    </a:prstGeom>
                    <a:noFill/>
                    <a:ln>
                      <a:noFill/>
                    </a:ln>
                  </pic:spPr>
                </pic:pic>
              </a:graphicData>
            </a:graphic>
          </wp:inline>
        </w:drawing>
      </w:r>
      <w:r>
        <w:rPr>
          <w:noProof/>
        </w:rPr>
        <w:lastRenderedPageBreak/>
        <w:drawing>
          <wp:inline distT="0" distB="0" distL="114300" distR="114300" wp14:anchorId="0959FC53" wp14:editId="5C31A7FC">
            <wp:extent cx="7399020" cy="5271135"/>
            <wp:effectExtent l="0" t="0" r="11430" b="5715"/>
            <wp:docPr id="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
                    <pic:cNvPicPr>
                      <a:picLocks noChangeAspect="1"/>
                    </pic:cNvPicPr>
                  </pic:nvPicPr>
                  <pic:blipFill>
                    <a:blip r:embed="rId258"/>
                    <a:stretch>
                      <a:fillRect/>
                    </a:stretch>
                  </pic:blipFill>
                  <pic:spPr>
                    <a:xfrm>
                      <a:off x="0" y="0"/>
                      <a:ext cx="7399020" cy="5271135"/>
                    </a:xfrm>
                    <a:prstGeom prst="rect">
                      <a:avLst/>
                    </a:prstGeom>
                    <a:noFill/>
                    <a:ln>
                      <a:noFill/>
                    </a:ln>
                  </pic:spPr>
                </pic:pic>
              </a:graphicData>
            </a:graphic>
          </wp:inline>
        </w:drawing>
      </w:r>
      <w:r>
        <w:rPr>
          <w:noProof/>
        </w:rPr>
        <w:lastRenderedPageBreak/>
        <w:drawing>
          <wp:inline distT="0" distB="0" distL="114300" distR="114300" wp14:anchorId="78065259" wp14:editId="25921E70">
            <wp:extent cx="7441565" cy="5273675"/>
            <wp:effectExtent l="0" t="0" r="6985" b="3175"/>
            <wp:docPr id="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2"/>
                    <pic:cNvPicPr>
                      <a:picLocks noChangeAspect="1"/>
                    </pic:cNvPicPr>
                  </pic:nvPicPr>
                  <pic:blipFill>
                    <a:blip r:embed="rId259"/>
                    <a:stretch>
                      <a:fillRect/>
                    </a:stretch>
                  </pic:blipFill>
                  <pic:spPr>
                    <a:xfrm>
                      <a:off x="0" y="0"/>
                      <a:ext cx="7441565" cy="5273675"/>
                    </a:xfrm>
                    <a:prstGeom prst="rect">
                      <a:avLst/>
                    </a:prstGeom>
                    <a:noFill/>
                    <a:ln>
                      <a:noFill/>
                    </a:ln>
                  </pic:spPr>
                </pic:pic>
              </a:graphicData>
            </a:graphic>
          </wp:inline>
        </w:drawing>
      </w:r>
      <w:r>
        <w:rPr>
          <w:noProof/>
        </w:rPr>
        <w:lastRenderedPageBreak/>
        <w:drawing>
          <wp:inline distT="0" distB="0" distL="114300" distR="114300" wp14:anchorId="71A67D22" wp14:editId="1B1B8860">
            <wp:extent cx="7483475" cy="5273040"/>
            <wp:effectExtent l="0" t="0" r="3175" b="3810"/>
            <wp:docPr id="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3"/>
                    <pic:cNvPicPr>
                      <a:picLocks noChangeAspect="1"/>
                    </pic:cNvPicPr>
                  </pic:nvPicPr>
                  <pic:blipFill>
                    <a:blip r:embed="rId260"/>
                    <a:stretch>
                      <a:fillRect/>
                    </a:stretch>
                  </pic:blipFill>
                  <pic:spPr>
                    <a:xfrm>
                      <a:off x="0" y="0"/>
                      <a:ext cx="7483475" cy="5273040"/>
                    </a:xfrm>
                    <a:prstGeom prst="rect">
                      <a:avLst/>
                    </a:prstGeom>
                    <a:noFill/>
                    <a:ln>
                      <a:noFill/>
                    </a:ln>
                  </pic:spPr>
                </pic:pic>
              </a:graphicData>
            </a:graphic>
          </wp:inline>
        </w:drawing>
      </w:r>
      <w:r>
        <w:rPr>
          <w:noProof/>
        </w:rPr>
        <w:lastRenderedPageBreak/>
        <w:drawing>
          <wp:inline distT="0" distB="0" distL="114300" distR="114300" wp14:anchorId="0A4B8AA5" wp14:editId="0F127F29">
            <wp:extent cx="7459345" cy="5273675"/>
            <wp:effectExtent l="0" t="0" r="8255" b="3175"/>
            <wp:docPr id="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4"/>
                    <pic:cNvPicPr>
                      <a:picLocks noChangeAspect="1"/>
                    </pic:cNvPicPr>
                  </pic:nvPicPr>
                  <pic:blipFill>
                    <a:blip r:embed="rId261"/>
                    <a:stretch>
                      <a:fillRect/>
                    </a:stretch>
                  </pic:blipFill>
                  <pic:spPr>
                    <a:xfrm>
                      <a:off x="0" y="0"/>
                      <a:ext cx="7459345" cy="5273675"/>
                    </a:xfrm>
                    <a:prstGeom prst="rect">
                      <a:avLst/>
                    </a:prstGeom>
                    <a:noFill/>
                    <a:ln>
                      <a:noFill/>
                    </a:ln>
                  </pic:spPr>
                </pic:pic>
              </a:graphicData>
            </a:graphic>
          </wp:inline>
        </w:drawing>
      </w:r>
      <w:r>
        <w:rPr>
          <w:noProof/>
        </w:rPr>
        <w:lastRenderedPageBreak/>
        <w:drawing>
          <wp:inline distT="0" distB="0" distL="114300" distR="114300" wp14:anchorId="53A5099B" wp14:editId="7D6E649C">
            <wp:extent cx="7434580" cy="5271135"/>
            <wp:effectExtent l="0" t="0" r="13970" b="5715"/>
            <wp:docPr id="1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5"/>
                    <pic:cNvPicPr>
                      <a:picLocks noChangeAspect="1"/>
                    </pic:cNvPicPr>
                  </pic:nvPicPr>
                  <pic:blipFill>
                    <a:blip r:embed="rId262"/>
                    <a:stretch>
                      <a:fillRect/>
                    </a:stretch>
                  </pic:blipFill>
                  <pic:spPr>
                    <a:xfrm>
                      <a:off x="0" y="0"/>
                      <a:ext cx="7434580" cy="5271135"/>
                    </a:xfrm>
                    <a:prstGeom prst="rect">
                      <a:avLst/>
                    </a:prstGeom>
                    <a:noFill/>
                    <a:ln>
                      <a:noFill/>
                    </a:ln>
                  </pic:spPr>
                </pic:pic>
              </a:graphicData>
            </a:graphic>
          </wp:inline>
        </w:drawing>
      </w:r>
      <w:r>
        <w:rPr>
          <w:noProof/>
        </w:rPr>
        <w:lastRenderedPageBreak/>
        <w:drawing>
          <wp:inline distT="0" distB="0" distL="114300" distR="114300" wp14:anchorId="0F16A4B1" wp14:editId="72B8E30E">
            <wp:extent cx="7440930" cy="5270500"/>
            <wp:effectExtent l="0" t="0" r="7620" b="6350"/>
            <wp:docPr id="1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6"/>
                    <pic:cNvPicPr>
                      <a:picLocks noChangeAspect="1"/>
                    </pic:cNvPicPr>
                  </pic:nvPicPr>
                  <pic:blipFill>
                    <a:blip r:embed="rId263"/>
                    <a:stretch>
                      <a:fillRect/>
                    </a:stretch>
                  </pic:blipFill>
                  <pic:spPr>
                    <a:xfrm>
                      <a:off x="0" y="0"/>
                      <a:ext cx="7440930" cy="5270500"/>
                    </a:xfrm>
                    <a:prstGeom prst="rect">
                      <a:avLst/>
                    </a:prstGeom>
                    <a:noFill/>
                    <a:ln>
                      <a:noFill/>
                    </a:ln>
                  </pic:spPr>
                </pic:pic>
              </a:graphicData>
            </a:graphic>
          </wp:inline>
        </w:drawing>
      </w:r>
      <w:r>
        <w:rPr>
          <w:noProof/>
        </w:rPr>
        <w:lastRenderedPageBreak/>
        <w:drawing>
          <wp:inline distT="0" distB="0" distL="114300" distR="114300" wp14:anchorId="39EB783D" wp14:editId="19708239">
            <wp:extent cx="7474585" cy="5273040"/>
            <wp:effectExtent l="0" t="0" r="12065" b="3810"/>
            <wp:docPr id="1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7"/>
                    <pic:cNvPicPr>
                      <a:picLocks noChangeAspect="1"/>
                    </pic:cNvPicPr>
                  </pic:nvPicPr>
                  <pic:blipFill>
                    <a:blip r:embed="rId264"/>
                    <a:stretch>
                      <a:fillRect/>
                    </a:stretch>
                  </pic:blipFill>
                  <pic:spPr>
                    <a:xfrm>
                      <a:off x="0" y="0"/>
                      <a:ext cx="7474585" cy="5273040"/>
                    </a:xfrm>
                    <a:prstGeom prst="rect">
                      <a:avLst/>
                    </a:prstGeom>
                    <a:noFill/>
                    <a:ln>
                      <a:noFill/>
                    </a:ln>
                  </pic:spPr>
                </pic:pic>
              </a:graphicData>
            </a:graphic>
          </wp:inline>
        </w:drawing>
      </w:r>
      <w:r>
        <w:rPr>
          <w:noProof/>
        </w:rPr>
        <w:lastRenderedPageBreak/>
        <w:drawing>
          <wp:inline distT="0" distB="0" distL="114300" distR="114300" wp14:anchorId="0C4071D1" wp14:editId="1F5B1FBE">
            <wp:extent cx="7450455" cy="5273675"/>
            <wp:effectExtent l="0" t="0" r="17145" b="3175"/>
            <wp:docPr id="1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8"/>
                    <pic:cNvPicPr>
                      <a:picLocks noChangeAspect="1"/>
                    </pic:cNvPicPr>
                  </pic:nvPicPr>
                  <pic:blipFill>
                    <a:blip r:embed="rId265"/>
                    <a:stretch>
                      <a:fillRect/>
                    </a:stretch>
                  </pic:blipFill>
                  <pic:spPr>
                    <a:xfrm>
                      <a:off x="0" y="0"/>
                      <a:ext cx="7450455" cy="5273675"/>
                    </a:xfrm>
                    <a:prstGeom prst="rect">
                      <a:avLst/>
                    </a:prstGeom>
                    <a:noFill/>
                    <a:ln>
                      <a:noFill/>
                    </a:ln>
                  </pic:spPr>
                </pic:pic>
              </a:graphicData>
            </a:graphic>
          </wp:inline>
        </w:drawing>
      </w:r>
      <w:r>
        <w:rPr>
          <w:noProof/>
        </w:rPr>
        <w:lastRenderedPageBreak/>
        <w:drawing>
          <wp:inline distT="0" distB="0" distL="114300" distR="114300" wp14:anchorId="05DD7413" wp14:editId="1BBAAB49">
            <wp:extent cx="7482840" cy="5269865"/>
            <wp:effectExtent l="0" t="0" r="3810" b="6985"/>
            <wp:docPr id="4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9"/>
                    <pic:cNvPicPr>
                      <a:picLocks noChangeAspect="1"/>
                    </pic:cNvPicPr>
                  </pic:nvPicPr>
                  <pic:blipFill>
                    <a:blip r:embed="rId266"/>
                    <a:stretch>
                      <a:fillRect/>
                    </a:stretch>
                  </pic:blipFill>
                  <pic:spPr>
                    <a:xfrm>
                      <a:off x="0" y="0"/>
                      <a:ext cx="7482840" cy="5269865"/>
                    </a:xfrm>
                    <a:prstGeom prst="rect">
                      <a:avLst/>
                    </a:prstGeom>
                    <a:noFill/>
                    <a:ln>
                      <a:noFill/>
                    </a:ln>
                  </pic:spPr>
                </pic:pic>
              </a:graphicData>
            </a:graphic>
          </wp:inline>
        </w:drawing>
      </w:r>
      <w:r>
        <w:rPr>
          <w:noProof/>
        </w:rPr>
        <w:lastRenderedPageBreak/>
        <w:drawing>
          <wp:inline distT="0" distB="0" distL="114300" distR="114300" wp14:anchorId="6349D3B4" wp14:editId="224B8579">
            <wp:extent cx="7450455" cy="5273675"/>
            <wp:effectExtent l="0" t="0" r="17145" b="3175"/>
            <wp:docPr id="4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0"/>
                    <pic:cNvPicPr>
                      <a:picLocks noChangeAspect="1"/>
                    </pic:cNvPicPr>
                  </pic:nvPicPr>
                  <pic:blipFill>
                    <a:blip r:embed="rId267"/>
                    <a:stretch>
                      <a:fillRect/>
                    </a:stretch>
                  </pic:blipFill>
                  <pic:spPr>
                    <a:xfrm>
                      <a:off x="0" y="0"/>
                      <a:ext cx="7450455" cy="5273675"/>
                    </a:xfrm>
                    <a:prstGeom prst="rect">
                      <a:avLst/>
                    </a:prstGeom>
                    <a:noFill/>
                    <a:ln>
                      <a:noFill/>
                    </a:ln>
                  </pic:spPr>
                </pic:pic>
              </a:graphicData>
            </a:graphic>
          </wp:inline>
        </w:drawing>
      </w:r>
      <w:r>
        <w:rPr>
          <w:noProof/>
        </w:rPr>
        <w:lastRenderedPageBreak/>
        <w:drawing>
          <wp:inline distT="0" distB="0" distL="114300" distR="114300" wp14:anchorId="464C27B5" wp14:editId="729C1FCB">
            <wp:extent cx="7427595" cy="5268595"/>
            <wp:effectExtent l="0" t="0" r="1905" b="8255"/>
            <wp:docPr id="6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1"/>
                    <pic:cNvPicPr>
                      <a:picLocks noChangeAspect="1"/>
                    </pic:cNvPicPr>
                  </pic:nvPicPr>
                  <pic:blipFill>
                    <a:blip r:embed="rId268"/>
                    <a:stretch>
                      <a:fillRect/>
                    </a:stretch>
                  </pic:blipFill>
                  <pic:spPr>
                    <a:xfrm>
                      <a:off x="0" y="0"/>
                      <a:ext cx="7427595" cy="5268595"/>
                    </a:xfrm>
                    <a:prstGeom prst="rect">
                      <a:avLst/>
                    </a:prstGeom>
                    <a:noFill/>
                    <a:ln>
                      <a:noFill/>
                    </a:ln>
                  </pic:spPr>
                </pic:pic>
              </a:graphicData>
            </a:graphic>
          </wp:inline>
        </w:drawing>
      </w:r>
      <w:r>
        <w:rPr>
          <w:noProof/>
        </w:rPr>
        <w:lastRenderedPageBreak/>
        <w:drawing>
          <wp:inline distT="0" distB="0" distL="114300" distR="114300" wp14:anchorId="6A7CB52A" wp14:editId="4D3F075D">
            <wp:extent cx="7434580" cy="5271135"/>
            <wp:effectExtent l="0" t="0" r="13970" b="5715"/>
            <wp:docPr id="6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2"/>
                    <pic:cNvPicPr>
                      <a:picLocks noChangeAspect="1"/>
                    </pic:cNvPicPr>
                  </pic:nvPicPr>
                  <pic:blipFill>
                    <a:blip r:embed="rId269"/>
                    <a:stretch>
                      <a:fillRect/>
                    </a:stretch>
                  </pic:blipFill>
                  <pic:spPr>
                    <a:xfrm>
                      <a:off x="0" y="0"/>
                      <a:ext cx="7434580" cy="5271135"/>
                    </a:xfrm>
                    <a:prstGeom prst="rect">
                      <a:avLst/>
                    </a:prstGeom>
                    <a:noFill/>
                    <a:ln>
                      <a:noFill/>
                    </a:ln>
                  </pic:spPr>
                </pic:pic>
              </a:graphicData>
            </a:graphic>
          </wp:inline>
        </w:drawing>
      </w:r>
      <w:r>
        <w:rPr>
          <w:noProof/>
        </w:rPr>
        <w:lastRenderedPageBreak/>
        <w:drawing>
          <wp:inline distT="0" distB="0" distL="114300" distR="114300" wp14:anchorId="060A6556" wp14:editId="57DE52F5">
            <wp:extent cx="7432040" cy="5270500"/>
            <wp:effectExtent l="0" t="0" r="16510" b="6350"/>
            <wp:docPr id="6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3"/>
                    <pic:cNvPicPr>
                      <a:picLocks noChangeAspect="1"/>
                    </pic:cNvPicPr>
                  </pic:nvPicPr>
                  <pic:blipFill>
                    <a:blip r:embed="rId270"/>
                    <a:stretch>
                      <a:fillRect/>
                    </a:stretch>
                  </pic:blipFill>
                  <pic:spPr>
                    <a:xfrm>
                      <a:off x="0" y="0"/>
                      <a:ext cx="7432040" cy="5270500"/>
                    </a:xfrm>
                    <a:prstGeom prst="rect">
                      <a:avLst/>
                    </a:prstGeom>
                    <a:noFill/>
                    <a:ln>
                      <a:noFill/>
                    </a:ln>
                  </pic:spPr>
                </pic:pic>
              </a:graphicData>
            </a:graphic>
          </wp:inline>
        </w:drawing>
      </w:r>
    </w:p>
    <w:p w14:paraId="77CD3F30" w14:textId="77777777" w:rsidR="009D12AF" w:rsidRDefault="00000000">
      <w:pPr>
        <w:ind w:firstLineChars="0" w:firstLine="0"/>
        <w:rPr>
          <w:b/>
          <w:bCs/>
        </w:rPr>
      </w:pPr>
      <w:r>
        <w:rPr>
          <w:rFonts w:hint="eastAsia"/>
          <w:b/>
          <w:bCs/>
        </w:rPr>
        <w:lastRenderedPageBreak/>
        <w:t>万丈水库</w:t>
      </w:r>
    </w:p>
    <w:p w14:paraId="17FE06DB" w14:textId="77777777" w:rsidR="009D12AF" w:rsidRDefault="00000000">
      <w:pPr>
        <w:ind w:firstLineChars="0" w:firstLine="0"/>
        <w:jc w:val="center"/>
      </w:pPr>
      <w:r>
        <w:rPr>
          <w:noProof/>
        </w:rPr>
        <w:drawing>
          <wp:inline distT="0" distB="0" distL="114300" distR="114300" wp14:anchorId="07215C1F" wp14:editId="25D7BFF2">
            <wp:extent cx="7392670" cy="4709160"/>
            <wp:effectExtent l="0" t="0" r="17780" b="15240"/>
            <wp:docPr id="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4"/>
                    <pic:cNvPicPr>
                      <a:picLocks noChangeAspect="1"/>
                    </pic:cNvPicPr>
                  </pic:nvPicPr>
                  <pic:blipFill>
                    <a:blip r:embed="rId271"/>
                    <a:stretch>
                      <a:fillRect/>
                    </a:stretch>
                  </pic:blipFill>
                  <pic:spPr>
                    <a:xfrm>
                      <a:off x="0" y="0"/>
                      <a:ext cx="7392670" cy="4709160"/>
                    </a:xfrm>
                    <a:prstGeom prst="rect">
                      <a:avLst/>
                    </a:prstGeom>
                    <a:noFill/>
                    <a:ln>
                      <a:noFill/>
                    </a:ln>
                  </pic:spPr>
                </pic:pic>
              </a:graphicData>
            </a:graphic>
          </wp:inline>
        </w:drawing>
      </w:r>
      <w:r>
        <w:rPr>
          <w:noProof/>
        </w:rPr>
        <w:lastRenderedPageBreak/>
        <w:drawing>
          <wp:inline distT="0" distB="0" distL="114300" distR="114300" wp14:anchorId="60EB609B" wp14:editId="40E61544">
            <wp:extent cx="7407910" cy="5271135"/>
            <wp:effectExtent l="0" t="0" r="2540" b="5715"/>
            <wp:docPr id="6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5"/>
                    <pic:cNvPicPr>
                      <a:picLocks noChangeAspect="1"/>
                    </pic:cNvPicPr>
                  </pic:nvPicPr>
                  <pic:blipFill>
                    <a:blip r:embed="rId272"/>
                    <a:stretch>
                      <a:fillRect/>
                    </a:stretch>
                  </pic:blipFill>
                  <pic:spPr>
                    <a:xfrm>
                      <a:off x="0" y="0"/>
                      <a:ext cx="7407910" cy="5271135"/>
                    </a:xfrm>
                    <a:prstGeom prst="rect">
                      <a:avLst/>
                    </a:prstGeom>
                    <a:noFill/>
                    <a:ln>
                      <a:noFill/>
                    </a:ln>
                  </pic:spPr>
                </pic:pic>
              </a:graphicData>
            </a:graphic>
          </wp:inline>
        </w:drawing>
      </w:r>
      <w:r>
        <w:rPr>
          <w:noProof/>
        </w:rPr>
        <w:lastRenderedPageBreak/>
        <w:drawing>
          <wp:inline distT="0" distB="0" distL="114300" distR="114300" wp14:anchorId="55CAAE50" wp14:editId="5B8E2062">
            <wp:extent cx="7432675" cy="5273675"/>
            <wp:effectExtent l="0" t="0" r="15875" b="3175"/>
            <wp:docPr id="9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6"/>
                    <pic:cNvPicPr>
                      <a:picLocks noChangeAspect="1"/>
                    </pic:cNvPicPr>
                  </pic:nvPicPr>
                  <pic:blipFill>
                    <a:blip r:embed="rId273"/>
                    <a:stretch>
                      <a:fillRect/>
                    </a:stretch>
                  </pic:blipFill>
                  <pic:spPr>
                    <a:xfrm>
                      <a:off x="0" y="0"/>
                      <a:ext cx="7432675" cy="5273675"/>
                    </a:xfrm>
                    <a:prstGeom prst="rect">
                      <a:avLst/>
                    </a:prstGeom>
                    <a:noFill/>
                    <a:ln>
                      <a:noFill/>
                    </a:ln>
                  </pic:spPr>
                </pic:pic>
              </a:graphicData>
            </a:graphic>
          </wp:inline>
        </w:drawing>
      </w:r>
      <w:r>
        <w:rPr>
          <w:noProof/>
        </w:rPr>
        <w:lastRenderedPageBreak/>
        <w:drawing>
          <wp:inline distT="0" distB="0" distL="114300" distR="114300" wp14:anchorId="767D29F6" wp14:editId="3ABFC4D1">
            <wp:extent cx="7467600" cy="5270500"/>
            <wp:effectExtent l="0" t="0" r="0" b="6350"/>
            <wp:docPr id="11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7"/>
                    <pic:cNvPicPr>
                      <a:picLocks noChangeAspect="1"/>
                    </pic:cNvPicPr>
                  </pic:nvPicPr>
                  <pic:blipFill>
                    <a:blip r:embed="rId274"/>
                    <a:stretch>
                      <a:fillRect/>
                    </a:stretch>
                  </pic:blipFill>
                  <pic:spPr>
                    <a:xfrm>
                      <a:off x="0" y="0"/>
                      <a:ext cx="7467600" cy="5270500"/>
                    </a:xfrm>
                    <a:prstGeom prst="rect">
                      <a:avLst/>
                    </a:prstGeom>
                    <a:noFill/>
                    <a:ln>
                      <a:noFill/>
                    </a:ln>
                  </pic:spPr>
                </pic:pic>
              </a:graphicData>
            </a:graphic>
          </wp:inline>
        </w:drawing>
      </w:r>
      <w:r>
        <w:rPr>
          <w:noProof/>
        </w:rPr>
        <w:lastRenderedPageBreak/>
        <w:drawing>
          <wp:inline distT="0" distB="0" distL="114300" distR="114300" wp14:anchorId="69EE68E7" wp14:editId="7A3B6418">
            <wp:extent cx="7410450" cy="5271770"/>
            <wp:effectExtent l="0" t="0" r="0" b="5080"/>
            <wp:docPr id="11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8"/>
                    <pic:cNvPicPr>
                      <a:picLocks noChangeAspect="1"/>
                    </pic:cNvPicPr>
                  </pic:nvPicPr>
                  <pic:blipFill>
                    <a:blip r:embed="rId275"/>
                    <a:stretch>
                      <a:fillRect/>
                    </a:stretch>
                  </pic:blipFill>
                  <pic:spPr>
                    <a:xfrm>
                      <a:off x="0" y="0"/>
                      <a:ext cx="7410450" cy="5271770"/>
                    </a:xfrm>
                    <a:prstGeom prst="rect">
                      <a:avLst/>
                    </a:prstGeom>
                    <a:noFill/>
                    <a:ln>
                      <a:noFill/>
                    </a:ln>
                  </pic:spPr>
                </pic:pic>
              </a:graphicData>
            </a:graphic>
          </wp:inline>
        </w:drawing>
      </w:r>
      <w:r>
        <w:rPr>
          <w:noProof/>
        </w:rPr>
        <w:lastRenderedPageBreak/>
        <w:drawing>
          <wp:inline distT="0" distB="0" distL="114300" distR="114300" wp14:anchorId="537BE86D" wp14:editId="5390733D">
            <wp:extent cx="7459345" cy="5273675"/>
            <wp:effectExtent l="0" t="0" r="8255" b="3175"/>
            <wp:docPr id="12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9"/>
                    <pic:cNvPicPr>
                      <a:picLocks noChangeAspect="1"/>
                    </pic:cNvPicPr>
                  </pic:nvPicPr>
                  <pic:blipFill>
                    <a:blip r:embed="rId276"/>
                    <a:stretch>
                      <a:fillRect/>
                    </a:stretch>
                  </pic:blipFill>
                  <pic:spPr>
                    <a:xfrm>
                      <a:off x="0" y="0"/>
                      <a:ext cx="7459345" cy="5273675"/>
                    </a:xfrm>
                    <a:prstGeom prst="rect">
                      <a:avLst/>
                    </a:prstGeom>
                    <a:noFill/>
                    <a:ln>
                      <a:noFill/>
                    </a:ln>
                  </pic:spPr>
                </pic:pic>
              </a:graphicData>
            </a:graphic>
          </wp:inline>
        </w:drawing>
      </w:r>
      <w:r>
        <w:rPr>
          <w:noProof/>
        </w:rPr>
        <w:lastRenderedPageBreak/>
        <w:drawing>
          <wp:inline distT="0" distB="0" distL="114300" distR="114300" wp14:anchorId="67A1DC99" wp14:editId="4798D9EF">
            <wp:extent cx="7461250" cy="5271135"/>
            <wp:effectExtent l="0" t="0" r="6350" b="5715"/>
            <wp:docPr id="1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0"/>
                    <pic:cNvPicPr>
                      <a:picLocks noChangeAspect="1"/>
                    </pic:cNvPicPr>
                  </pic:nvPicPr>
                  <pic:blipFill>
                    <a:blip r:embed="rId277"/>
                    <a:stretch>
                      <a:fillRect/>
                    </a:stretch>
                  </pic:blipFill>
                  <pic:spPr>
                    <a:xfrm>
                      <a:off x="0" y="0"/>
                      <a:ext cx="7461250" cy="5271135"/>
                    </a:xfrm>
                    <a:prstGeom prst="rect">
                      <a:avLst/>
                    </a:prstGeom>
                    <a:noFill/>
                    <a:ln>
                      <a:noFill/>
                    </a:ln>
                  </pic:spPr>
                </pic:pic>
              </a:graphicData>
            </a:graphic>
          </wp:inline>
        </w:drawing>
      </w:r>
      <w:r>
        <w:rPr>
          <w:noProof/>
        </w:rPr>
        <w:lastRenderedPageBreak/>
        <w:drawing>
          <wp:inline distT="0" distB="0" distL="114300" distR="114300" wp14:anchorId="4DED856F" wp14:editId="2C24C479">
            <wp:extent cx="7498715" cy="5272405"/>
            <wp:effectExtent l="0" t="0" r="6985" b="4445"/>
            <wp:docPr id="13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1"/>
                    <pic:cNvPicPr>
                      <a:picLocks noChangeAspect="1"/>
                    </pic:cNvPicPr>
                  </pic:nvPicPr>
                  <pic:blipFill>
                    <a:blip r:embed="rId278"/>
                    <a:stretch>
                      <a:fillRect/>
                    </a:stretch>
                  </pic:blipFill>
                  <pic:spPr>
                    <a:xfrm>
                      <a:off x="0" y="0"/>
                      <a:ext cx="7498715" cy="5272405"/>
                    </a:xfrm>
                    <a:prstGeom prst="rect">
                      <a:avLst/>
                    </a:prstGeom>
                    <a:noFill/>
                    <a:ln>
                      <a:noFill/>
                    </a:ln>
                  </pic:spPr>
                </pic:pic>
              </a:graphicData>
            </a:graphic>
          </wp:inline>
        </w:drawing>
      </w:r>
      <w:r>
        <w:rPr>
          <w:noProof/>
        </w:rPr>
        <w:lastRenderedPageBreak/>
        <w:drawing>
          <wp:inline distT="0" distB="0" distL="114300" distR="114300" wp14:anchorId="199224EF" wp14:editId="169FA989">
            <wp:extent cx="7450455" cy="5273675"/>
            <wp:effectExtent l="0" t="0" r="17145" b="3175"/>
            <wp:docPr id="1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2"/>
                    <pic:cNvPicPr>
                      <a:picLocks noChangeAspect="1"/>
                    </pic:cNvPicPr>
                  </pic:nvPicPr>
                  <pic:blipFill>
                    <a:blip r:embed="rId279"/>
                    <a:stretch>
                      <a:fillRect/>
                    </a:stretch>
                  </pic:blipFill>
                  <pic:spPr>
                    <a:xfrm>
                      <a:off x="0" y="0"/>
                      <a:ext cx="7450455" cy="5273675"/>
                    </a:xfrm>
                    <a:prstGeom prst="rect">
                      <a:avLst/>
                    </a:prstGeom>
                    <a:noFill/>
                    <a:ln>
                      <a:noFill/>
                    </a:ln>
                  </pic:spPr>
                </pic:pic>
              </a:graphicData>
            </a:graphic>
          </wp:inline>
        </w:drawing>
      </w:r>
      <w:r>
        <w:rPr>
          <w:noProof/>
        </w:rPr>
        <w:lastRenderedPageBreak/>
        <w:drawing>
          <wp:inline distT="0" distB="0" distL="114300" distR="114300" wp14:anchorId="0637B5E7" wp14:editId="224A1D2F">
            <wp:extent cx="7480300" cy="5269230"/>
            <wp:effectExtent l="0" t="0" r="6350" b="7620"/>
            <wp:docPr id="13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3"/>
                    <pic:cNvPicPr>
                      <a:picLocks noChangeAspect="1"/>
                    </pic:cNvPicPr>
                  </pic:nvPicPr>
                  <pic:blipFill>
                    <a:blip r:embed="rId280"/>
                    <a:stretch>
                      <a:fillRect/>
                    </a:stretch>
                  </pic:blipFill>
                  <pic:spPr>
                    <a:xfrm>
                      <a:off x="0" y="0"/>
                      <a:ext cx="7480300" cy="5269230"/>
                    </a:xfrm>
                    <a:prstGeom prst="rect">
                      <a:avLst/>
                    </a:prstGeom>
                    <a:noFill/>
                    <a:ln>
                      <a:noFill/>
                    </a:ln>
                  </pic:spPr>
                </pic:pic>
              </a:graphicData>
            </a:graphic>
          </wp:inline>
        </w:drawing>
      </w:r>
    </w:p>
    <w:p w14:paraId="0759C120" w14:textId="77777777" w:rsidR="009D12AF" w:rsidRDefault="00000000">
      <w:pPr>
        <w:ind w:firstLineChars="0" w:firstLine="0"/>
        <w:rPr>
          <w:b/>
          <w:bCs/>
        </w:rPr>
      </w:pPr>
      <w:r>
        <w:rPr>
          <w:rFonts w:hint="eastAsia"/>
          <w:b/>
          <w:bCs/>
        </w:rPr>
        <w:lastRenderedPageBreak/>
        <w:t>新安晒水池</w:t>
      </w:r>
    </w:p>
    <w:p w14:paraId="195299A1" w14:textId="77777777" w:rsidR="009D12AF" w:rsidRDefault="00000000">
      <w:pPr>
        <w:ind w:firstLineChars="0" w:firstLine="0"/>
        <w:jc w:val="center"/>
      </w:pPr>
      <w:r>
        <w:rPr>
          <w:noProof/>
        </w:rPr>
        <w:drawing>
          <wp:inline distT="0" distB="0" distL="114300" distR="114300" wp14:anchorId="104E6BBE" wp14:editId="2B881F6F">
            <wp:extent cx="7459345" cy="4763770"/>
            <wp:effectExtent l="0" t="0" r="8255" b="17780"/>
            <wp:docPr id="13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34"/>
                    <pic:cNvPicPr>
                      <a:picLocks noChangeAspect="1"/>
                    </pic:cNvPicPr>
                  </pic:nvPicPr>
                  <pic:blipFill>
                    <a:blip r:embed="rId281"/>
                    <a:stretch>
                      <a:fillRect/>
                    </a:stretch>
                  </pic:blipFill>
                  <pic:spPr>
                    <a:xfrm>
                      <a:off x="0" y="0"/>
                      <a:ext cx="7459345" cy="4763770"/>
                    </a:xfrm>
                    <a:prstGeom prst="rect">
                      <a:avLst/>
                    </a:prstGeom>
                    <a:noFill/>
                    <a:ln>
                      <a:noFill/>
                    </a:ln>
                  </pic:spPr>
                </pic:pic>
              </a:graphicData>
            </a:graphic>
          </wp:inline>
        </w:drawing>
      </w:r>
      <w:r>
        <w:rPr>
          <w:noProof/>
        </w:rPr>
        <w:lastRenderedPageBreak/>
        <w:drawing>
          <wp:inline distT="0" distB="0" distL="114300" distR="114300" wp14:anchorId="202A9CC6" wp14:editId="1DCD1B4B">
            <wp:extent cx="7419340" cy="5271770"/>
            <wp:effectExtent l="0" t="0" r="10160" b="5080"/>
            <wp:docPr id="13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5"/>
                    <pic:cNvPicPr>
                      <a:picLocks noChangeAspect="1"/>
                    </pic:cNvPicPr>
                  </pic:nvPicPr>
                  <pic:blipFill>
                    <a:blip r:embed="rId282"/>
                    <a:stretch>
                      <a:fillRect/>
                    </a:stretch>
                  </pic:blipFill>
                  <pic:spPr>
                    <a:xfrm>
                      <a:off x="0" y="0"/>
                      <a:ext cx="7419340" cy="5271770"/>
                    </a:xfrm>
                    <a:prstGeom prst="rect">
                      <a:avLst/>
                    </a:prstGeom>
                    <a:noFill/>
                    <a:ln>
                      <a:noFill/>
                    </a:ln>
                  </pic:spPr>
                </pic:pic>
              </a:graphicData>
            </a:graphic>
          </wp:inline>
        </w:drawing>
      </w:r>
      <w:r>
        <w:rPr>
          <w:noProof/>
        </w:rPr>
        <w:lastRenderedPageBreak/>
        <w:drawing>
          <wp:inline distT="0" distB="0" distL="114300" distR="114300" wp14:anchorId="609CCB09" wp14:editId="7A25FA59">
            <wp:extent cx="7440930" cy="5270500"/>
            <wp:effectExtent l="0" t="0" r="7620" b="6350"/>
            <wp:docPr id="13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6"/>
                    <pic:cNvPicPr>
                      <a:picLocks noChangeAspect="1"/>
                    </pic:cNvPicPr>
                  </pic:nvPicPr>
                  <pic:blipFill>
                    <a:blip r:embed="rId283"/>
                    <a:stretch>
                      <a:fillRect/>
                    </a:stretch>
                  </pic:blipFill>
                  <pic:spPr>
                    <a:xfrm>
                      <a:off x="0" y="0"/>
                      <a:ext cx="7440930" cy="5270500"/>
                    </a:xfrm>
                    <a:prstGeom prst="rect">
                      <a:avLst/>
                    </a:prstGeom>
                    <a:noFill/>
                    <a:ln>
                      <a:noFill/>
                    </a:ln>
                  </pic:spPr>
                </pic:pic>
              </a:graphicData>
            </a:graphic>
          </wp:inline>
        </w:drawing>
      </w:r>
      <w:r>
        <w:rPr>
          <w:noProof/>
        </w:rPr>
        <w:lastRenderedPageBreak/>
        <w:drawing>
          <wp:inline distT="0" distB="0" distL="114300" distR="114300" wp14:anchorId="1E021F9F" wp14:editId="5283D0D5">
            <wp:extent cx="7461250" cy="5271135"/>
            <wp:effectExtent l="0" t="0" r="6350" b="5715"/>
            <wp:docPr id="13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7"/>
                    <pic:cNvPicPr>
                      <a:picLocks noChangeAspect="1"/>
                    </pic:cNvPicPr>
                  </pic:nvPicPr>
                  <pic:blipFill>
                    <a:blip r:embed="rId284"/>
                    <a:stretch>
                      <a:fillRect/>
                    </a:stretch>
                  </pic:blipFill>
                  <pic:spPr>
                    <a:xfrm>
                      <a:off x="0" y="0"/>
                      <a:ext cx="7461250" cy="5271135"/>
                    </a:xfrm>
                    <a:prstGeom prst="rect">
                      <a:avLst/>
                    </a:prstGeom>
                    <a:noFill/>
                    <a:ln>
                      <a:noFill/>
                    </a:ln>
                  </pic:spPr>
                </pic:pic>
              </a:graphicData>
            </a:graphic>
          </wp:inline>
        </w:drawing>
      </w:r>
      <w:r>
        <w:rPr>
          <w:noProof/>
        </w:rPr>
        <w:lastRenderedPageBreak/>
        <w:drawing>
          <wp:inline distT="0" distB="0" distL="114300" distR="114300" wp14:anchorId="25EF4C74" wp14:editId="6854C625">
            <wp:extent cx="7450455" cy="5273675"/>
            <wp:effectExtent l="0" t="0" r="17145" b="3175"/>
            <wp:docPr id="13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8"/>
                    <pic:cNvPicPr>
                      <a:picLocks noChangeAspect="1"/>
                    </pic:cNvPicPr>
                  </pic:nvPicPr>
                  <pic:blipFill>
                    <a:blip r:embed="rId285"/>
                    <a:stretch>
                      <a:fillRect/>
                    </a:stretch>
                  </pic:blipFill>
                  <pic:spPr>
                    <a:xfrm>
                      <a:off x="0" y="0"/>
                      <a:ext cx="7450455" cy="5273675"/>
                    </a:xfrm>
                    <a:prstGeom prst="rect">
                      <a:avLst/>
                    </a:prstGeom>
                    <a:noFill/>
                    <a:ln>
                      <a:noFill/>
                    </a:ln>
                  </pic:spPr>
                </pic:pic>
              </a:graphicData>
            </a:graphic>
          </wp:inline>
        </w:drawing>
      </w:r>
      <w:r>
        <w:rPr>
          <w:noProof/>
        </w:rPr>
        <w:lastRenderedPageBreak/>
        <w:drawing>
          <wp:inline distT="0" distB="0" distL="114300" distR="114300" wp14:anchorId="174268A3" wp14:editId="69B4FDF8">
            <wp:extent cx="7474585" cy="5273040"/>
            <wp:effectExtent l="0" t="0" r="12065" b="3810"/>
            <wp:docPr id="14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9"/>
                    <pic:cNvPicPr>
                      <a:picLocks noChangeAspect="1"/>
                    </pic:cNvPicPr>
                  </pic:nvPicPr>
                  <pic:blipFill>
                    <a:blip r:embed="rId286"/>
                    <a:stretch>
                      <a:fillRect/>
                    </a:stretch>
                  </pic:blipFill>
                  <pic:spPr>
                    <a:xfrm>
                      <a:off x="0" y="0"/>
                      <a:ext cx="7474585" cy="5273040"/>
                    </a:xfrm>
                    <a:prstGeom prst="rect">
                      <a:avLst/>
                    </a:prstGeom>
                    <a:noFill/>
                    <a:ln>
                      <a:noFill/>
                    </a:ln>
                  </pic:spPr>
                </pic:pic>
              </a:graphicData>
            </a:graphic>
          </wp:inline>
        </w:drawing>
      </w:r>
      <w:r>
        <w:rPr>
          <w:noProof/>
        </w:rPr>
        <w:lastRenderedPageBreak/>
        <w:drawing>
          <wp:inline distT="0" distB="0" distL="114300" distR="114300" wp14:anchorId="5F7FFB3E" wp14:editId="4BD665CB">
            <wp:extent cx="7465695" cy="5273040"/>
            <wp:effectExtent l="0" t="0" r="1905" b="3810"/>
            <wp:docPr id="14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0"/>
                    <pic:cNvPicPr>
                      <a:picLocks noChangeAspect="1"/>
                    </pic:cNvPicPr>
                  </pic:nvPicPr>
                  <pic:blipFill>
                    <a:blip r:embed="rId287"/>
                    <a:stretch>
                      <a:fillRect/>
                    </a:stretch>
                  </pic:blipFill>
                  <pic:spPr>
                    <a:xfrm>
                      <a:off x="0" y="0"/>
                      <a:ext cx="7465695" cy="5273040"/>
                    </a:xfrm>
                    <a:prstGeom prst="rect">
                      <a:avLst/>
                    </a:prstGeom>
                    <a:noFill/>
                    <a:ln>
                      <a:noFill/>
                    </a:ln>
                  </pic:spPr>
                </pic:pic>
              </a:graphicData>
            </a:graphic>
          </wp:inline>
        </w:drawing>
      </w:r>
      <w:r>
        <w:rPr>
          <w:noProof/>
        </w:rPr>
        <w:lastRenderedPageBreak/>
        <w:drawing>
          <wp:inline distT="0" distB="0" distL="114300" distR="114300" wp14:anchorId="7B0C08A4" wp14:editId="17B46B00">
            <wp:extent cx="7400925" cy="5268595"/>
            <wp:effectExtent l="0" t="0" r="9525" b="8255"/>
            <wp:docPr id="14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1"/>
                    <pic:cNvPicPr>
                      <a:picLocks noChangeAspect="1"/>
                    </pic:cNvPicPr>
                  </pic:nvPicPr>
                  <pic:blipFill>
                    <a:blip r:embed="rId288"/>
                    <a:stretch>
                      <a:fillRect/>
                    </a:stretch>
                  </pic:blipFill>
                  <pic:spPr>
                    <a:xfrm>
                      <a:off x="0" y="0"/>
                      <a:ext cx="7400925" cy="5268595"/>
                    </a:xfrm>
                    <a:prstGeom prst="rect">
                      <a:avLst/>
                    </a:prstGeom>
                    <a:noFill/>
                    <a:ln>
                      <a:noFill/>
                    </a:ln>
                  </pic:spPr>
                </pic:pic>
              </a:graphicData>
            </a:graphic>
          </wp:inline>
        </w:drawing>
      </w:r>
      <w:r>
        <w:rPr>
          <w:noProof/>
        </w:rPr>
        <w:lastRenderedPageBreak/>
        <w:drawing>
          <wp:inline distT="0" distB="0" distL="114300" distR="114300" wp14:anchorId="7F79965E" wp14:editId="768A9D44">
            <wp:extent cx="7425690" cy="5271135"/>
            <wp:effectExtent l="0" t="0" r="3810" b="5715"/>
            <wp:docPr id="14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2"/>
                    <pic:cNvPicPr>
                      <a:picLocks noChangeAspect="1"/>
                    </pic:cNvPicPr>
                  </pic:nvPicPr>
                  <pic:blipFill>
                    <a:blip r:embed="rId289"/>
                    <a:stretch>
                      <a:fillRect/>
                    </a:stretch>
                  </pic:blipFill>
                  <pic:spPr>
                    <a:xfrm>
                      <a:off x="0" y="0"/>
                      <a:ext cx="7425690" cy="5271135"/>
                    </a:xfrm>
                    <a:prstGeom prst="rect">
                      <a:avLst/>
                    </a:prstGeom>
                    <a:noFill/>
                    <a:ln>
                      <a:noFill/>
                    </a:ln>
                  </pic:spPr>
                </pic:pic>
              </a:graphicData>
            </a:graphic>
          </wp:inline>
        </w:drawing>
      </w:r>
      <w:r>
        <w:rPr>
          <w:noProof/>
        </w:rPr>
        <w:lastRenderedPageBreak/>
        <w:drawing>
          <wp:inline distT="0" distB="0" distL="114300" distR="114300" wp14:anchorId="3EC02321" wp14:editId="6C107257">
            <wp:extent cx="7450455" cy="5273675"/>
            <wp:effectExtent l="0" t="0" r="17145" b="3175"/>
            <wp:docPr id="14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3"/>
                    <pic:cNvPicPr>
                      <a:picLocks noChangeAspect="1"/>
                    </pic:cNvPicPr>
                  </pic:nvPicPr>
                  <pic:blipFill>
                    <a:blip r:embed="rId290"/>
                    <a:stretch>
                      <a:fillRect/>
                    </a:stretch>
                  </pic:blipFill>
                  <pic:spPr>
                    <a:xfrm>
                      <a:off x="0" y="0"/>
                      <a:ext cx="7450455" cy="5273675"/>
                    </a:xfrm>
                    <a:prstGeom prst="rect">
                      <a:avLst/>
                    </a:prstGeom>
                    <a:noFill/>
                    <a:ln>
                      <a:noFill/>
                    </a:ln>
                  </pic:spPr>
                </pic:pic>
              </a:graphicData>
            </a:graphic>
          </wp:inline>
        </w:drawing>
      </w:r>
      <w:r>
        <w:rPr>
          <w:noProof/>
        </w:rPr>
        <w:lastRenderedPageBreak/>
        <w:drawing>
          <wp:inline distT="0" distB="0" distL="114300" distR="114300" wp14:anchorId="4DFF6D23" wp14:editId="5B0AC988">
            <wp:extent cx="7415530" cy="5273675"/>
            <wp:effectExtent l="0" t="0" r="13970" b="3175"/>
            <wp:docPr id="14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44"/>
                    <pic:cNvPicPr>
                      <a:picLocks noChangeAspect="1"/>
                    </pic:cNvPicPr>
                  </pic:nvPicPr>
                  <pic:blipFill>
                    <a:blip r:embed="rId291"/>
                    <a:stretch>
                      <a:fillRect/>
                    </a:stretch>
                  </pic:blipFill>
                  <pic:spPr>
                    <a:xfrm>
                      <a:off x="0" y="0"/>
                      <a:ext cx="7415530" cy="5273675"/>
                    </a:xfrm>
                    <a:prstGeom prst="rect">
                      <a:avLst/>
                    </a:prstGeom>
                    <a:noFill/>
                    <a:ln>
                      <a:noFill/>
                    </a:ln>
                  </pic:spPr>
                </pic:pic>
              </a:graphicData>
            </a:graphic>
          </wp:inline>
        </w:drawing>
      </w:r>
      <w:r>
        <w:rPr>
          <w:noProof/>
        </w:rPr>
        <w:lastRenderedPageBreak/>
        <w:drawing>
          <wp:inline distT="0" distB="0" distL="114300" distR="114300" wp14:anchorId="47E23CE0" wp14:editId="4D462861">
            <wp:extent cx="7419340" cy="5271770"/>
            <wp:effectExtent l="0" t="0" r="10160" b="5080"/>
            <wp:docPr id="14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5"/>
                    <pic:cNvPicPr>
                      <a:picLocks noChangeAspect="1"/>
                    </pic:cNvPicPr>
                  </pic:nvPicPr>
                  <pic:blipFill>
                    <a:blip r:embed="rId292"/>
                    <a:stretch>
                      <a:fillRect/>
                    </a:stretch>
                  </pic:blipFill>
                  <pic:spPr>
                    <a:xfrm>
                      <a:off x="0" y="0"/>
                      <a:ext cx="7419340" cy="5271770"/>
                    </a:xfrm>
                    <a:prstGeom prst="rect">
                      <a:avLst/>
                    </a:prstGeom>
                    <a:noFill/>
                    <a:ln>
                      <a:noFill/>
                    </a:ln>
                  </pic:spPr>
                </pic:pic>
              </a:graphicData>
            </a:graphic>
          </wp:inline>
        </w:drawing>
      </w:r>
      <w:r>
        <w:rPr>
          <w:noProof/>
        </w:rPr>
        <w:lastRenderedPageBreak/>
        <w:drawing>
          <wp:inline distT="0" distB="0" distL="114300" distR="114300" wp14:anchorId="1787E443" wp14:editId="534C9BB5">
            <wp:extent cx="7486015" cy="5273675"/>
            <wp:effectExtent l="0" t="0" r="635" b="3175"/>
            <wp:docPr id="14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6"/>
                    <pic:cNvPicPr>
                      <a:picLocks noChangeAspect="1"/>
                    </pic:cNvPicPr>
                  </pic:nvPicPr>
                  <pic:blipFill>
                    <a:blip r:embed="rId293"/>
                    <a:stretch>
                      <a:fillRect/>
                    </a:stretch>
                  </pic:blipFill>
                  <pic:spPr>
                    <a:xfrm>
                      <a:off x="0" y="0"/>
                      <a:ext cx="7486015" cy="5273675"/>
                    </a:xfrm>
                    <a:prstGeom prst="rect">
                      <a:avLst/>
                    </a:prstGeom>
                    <a:noFill/>
                    <a:ln>
                      <a:noFill/>
                    </a:ln>
                  </pic:spPr>
                </pic:pic>
              </a:graphicData>
            </a:graphic>
          </wp:inline>
        </w:drawing>
      </w:r>
      <w:r>
        <w:rPr>
          <w:noProof/>
        </w:rPr>
        <w:lastRenderedPageBreak/>
        <w:drawing>
          <wp:inline distT="0" distB="0" distL="114300" distR="114300" wp14:anchorId="3CFE3F87" wp14:editId="00D7F08B">
            <wp:extent cx="7423150" cy="5270500"/>
            <wp:effectExtent l="0" t="0" r="6350" b="6350"/>
            <wp:docPr id="1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47"/>
                    <pic:cNvPicPr>
                      <a:picLocks noChangeAspect="1"/>
                    </pic:cNvPicPr>
                  </pic:nvPicPr>
                  <pic:blipFill>
                    <a:blip r:embed="rId294"/>
                    <a:stretch>
                      <a:fillRect/>
                    </a:stretch>
                  </pic:blipFill>
                  <pic:spPr>
                    <a:xfrm>
                      <a:off x="0" y="0"/>
                      <a:ext cx="7423150" cy="5270500"/>
                    </a:xfrm>
                    <a:prstGeom prst="rect">
                      <a:avLst/>
                    </a:prstGeom>
                    <a:noFill/>
                    <a:ln>
                      <a:noFill/>
                    </a:ln>
                  </pic:spPr>
                </pic:pic>
              </a:graphicData>
            </a:graphic>
          </wp:inline>
        </w:drawing>
      </w:r>
    </w:p>
    <w:p w14:paraId="10DC8763" w14:textId="77777777" w:rsidR="009D12AF" w:rsidRDefault="00000000">
      <w:pPr>
        <w:ind w:firstLineChars="0" w:firstLine="0"/>
        <w:rPr>
          <w:b/>
          <w:bCs/>
        </w:rPr>
      </w:pPr>
      <w:r>
        <w:rPr>
          <w:rFonts w:hint="eastAsia"/>
          <w:b/>
          <w:bCs/>
        </w:rPr>
        <w:lastRenderedPageBreak/>
        <w:t>向阳水电站前池</w:t>
      </w:r>
    </w:p>
    <w:p w14:paraId="7742A8E5" w14:textId="77777777" w:rsidR="009D12AF" w:rsidRDefault="00000000">
      <w:pPr>
        <w:ind w:firstLineChars="0" w:firstLine="0"/>
        <w:jc w:val="center"/>
      </w:pPr>
      <w:r>
        <w:rPr>
          <w:noProof/>
        </w:rPr>
        <w:drawing>
          <wp:inline distT="0" distB="0" distL="114300" distR="114300" wp14:anchorId="7733B772" wp14:editId="16117E0A">
            <wp:extent cx="7473950" cy="4759325"/>
            <wp:effectExtent l="0" t="0" r="12700" b="3175"/>
            <wp:docPr id="1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8"/>
                    <pic:cNvPicPr>
                      <a:picLocks noChangeAspect="1"/>
                    </pic:cNvPicPr>
                  </pic:nvPicPr>
                  <pic:blipFill>
                    <a:blip r:embed="rId295"/>
                    <a:stretch>
                      <a:fillRect/>
                    </a:stretch>
                  </pic:blipFill>
                  <pic:spPr>
                    <a:xfrm>
                      <a:off x="0" y="0"/>
                      <a:ext cx="7473950" cy="4759325"/>
                    </a:xfrm>
                    <a:prstGeom prst="rect">
                      <a:avLst/>
                    </a:prstGeom>
                    <a:noFill/>
                    <a:ln>
                      <a:noFill/>
                    </a:ln>
                  </pic:spPr>
                </pic:pic>
              </a:graphicData>
            </a:graphic>
          </wp:inline>
        </w:drawing>
      </w:r>
      <w:r>
        <w:rPr>
          <w:noProof/>
        </w:rPr>
        <w:lastRenderedPageBreak/>
        <w:drawing>
          <wp:inline distT="0" distB="0" distL="114300" distR="114300" wp14:anchorId="381CFAC2" wp14:editId="4ACCB600">
            <wp:extent cx="7458710" cy="5270500"/>
            <wp:effectExtent l="0" t="0" r="8890" b="6350"/>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1"/>
                    </pic:cNvPicPr>
                  </pic:nvPicPr>
                  <pic:blipFill>
                    <a:blip r:embed="rId296"/>
                    <a:stretch>
                      <a:fillRect/>
                    </a:stretch>
                  </pic:blipFill>
                  <pic:spPr>
                    <a:xfrm>
                      <a:off x="0" y="0"/>
                      <a:ext cx="7458710" cy="5270500"/>
                    </a:xfrm>
                    <a:prstGeom prst="rect">
                      <a:avLst/>
                    </a:prstGeom>
                    <a:noFill/>
                    <a:ln>
                      <a:noFill/>
                    </a:ln>
                  </pic:spPr>
                </pic:pic>
              </a:graphicData>
            </a:graphic>
          </wp:inline>
        </w:drawing>
      </w:r>
      <w:r>
        <w:rPr>
          <w:noProof/>
        </w:rPr>
        <w:lastRenderedPageBreak/>
        <w:drawing>
          <wp:inline distT="0" distB="0" distL="114300" distR="114300" wp14:anchorId="2A6EE974" wp14:editId="7BFEDD9B">
            <wp:extent cx="7465060" cy="5269865"/>
            <wp:effectExtent l="0" t="0" r="2540" b="6985"/>
            <wp:docPr id="1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
                    <pic:cNvPicPr>
                      <a:picLocks noChangeAspect="1"/>
                    </pic:cNvPicPr>
                  </pic:nvPicPr>
                  <pic:blipFill>
                    <a:blip r:embed="rId297"/>
                    <a:stretch>
                      <a:fillRect/>
                    </a:stretch>
                  </pic:blipFill>
                  <pic:spPr>
                    <a:xfrm>
                      <a:off x="0" y="0"/>
                      <a:ext cx="7465060" cy="5269865"/>
                    </a:xfrm>
                    <a:prstGeom prst="rect">
                      <a:avLst/>
                    </a:prstGeom>
                    <a:noFill/>
                    <a:ln>
                      <a:noFill/>
                    </a:ln>
                  </pic:spPr>
                </pic:pic>
              </a:graphicData>
            </a:graphic>
          </wp:inline>
        </w:drawing>
      </w:r>
      <w:r>
        <w:rPr>
          <w:noProof/>
        </w:rPr>
        <w:lastRenderedPageBreak/>
        <w:drawing>
          <wp:inline distT="0" distB="0" distL="114300" distR="114300" wp14:anchorId="7B8874AC" wp14:editId="3CF0E3F2">
            <wp:extent cx="7480935" cy="5272405"/>
            <wp:effectExtent l="0" t="0" r="5715" b="4445"/>
            <wp:docPr id="1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0"/>
                    <pic:cNvPicPr>
                      <a:picLocks noChangeAspect="1"/>
                    </pic:cNvPicPr>
                  </pic:nvPicPr>
                  <pic:blipFill>
                    <a:blip r:embed="rId298"/>
                    <a:stretch>
                      <a:fillRect/>
                    </a:stretch>
                  </pic:blipFill>
                  <pic:spPr>
                    <a:xfrm>
                      <a:off x="0" y="0"/>
                      <a:ext cx="7480935" cy="5272405"/>
                    </a:xfrm>
                    <a:prstGeom prst="rect">
                      <a:avLst/>
                    </a:prstGeom>
                    <a:noFill/>
                    <a:ln>
                      <a:noFill/>
                    </a:ln>
                  </pic:spPr>
                </pic:pic>
              </a:graphicData>
            </a:graphic>
          </wp:inline>
        </w:drawing>
      </w:r>
      <w:r>
        <w:rPr>
          <w:noProof/>
        </w:rPr>
        <w:lastRenderedPageBreak/>
        <w:drawing>
          <wp:inline distT="0" distB="0" distL="114300" distR="114300" wp14:anchorId="00657F54" wp14:editId="50D266C6">
            <wp:extent cx="7423785" cy="5273675"/>
            <wp:effectExtent l="0" t="0" r="5715" b="3175"/>
            <wp:docPr id="1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1"/>
                    <pic:cNvPicPr>
                      <a:picLocks noChangeAspect="1"/>
                    </pic:cNvPicPr>
                  </pic:nvPicPr>
                  <pic:blipFill>
                    <a:blip r:embed="rId299"/>
                    <a:stretch>
                      <a:fillRect/>
                    </a:stretch>
                  </pic:blipFill>
                  <pic:spPr>
                    <a:xfrm>
                      <a:off x="0" y="0"/>
                      <a:ext cx="7423785" cy="5273675"/>
                    </a:xfrm>
                    <a:prstGeom prst="rect">
                      <a:avLst/>
                    </a:prstGeom>
                    <a:noFill/>
                    <a:ln>
                      <a:noFill/>
                    </a:ln>
                  </pic:spPr>
                </pic:pic>
              </a:graphicData>
            </a:graphic>
          </wp:inline>
        </w:drawing>
      </w:r>
      <w:r>
        <w:rPr>
          <w:noProof/>
        </w:rPr>
        <w:lastRenderedPageBreak/>
        <w:drawing>
          <wp:inline distT="0" distB="0" distL="114300" distR="114300" wp14:anchorId="32BD88AF" wp14:editId="2C315FC4">
            <wp:extent cx="7449820" cy="5270500"/>
            <wp:effectExtent l="0" t="0" r="17780" b="6350"/>
            <wp:docPr id="15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2"/>
                    <pic:cNvPicPr>
                      <a:picLocks noChangeAspect="1"/>
                    </pic:cNvPicPr>
                  </pic:nvPicPr>
                  <pic:blipFill>
                    <a:blip r:embed="rId300"/>
                    <a:stretch>
                      <a:fillRect/>
                    </a:stretch>
                  </pic:blipFill>
                  <pic:spPr>
                    <a:xfrm>
                      <a:off x="0" y="0"/>
                      <a:ext cx="7449820" cy="5270500"/>
                    </a:xfrm>
                    <a:prstGeom prst="rect">
                      <a:avLst/>
                    </a:prstGeom>
                    <a:noFill/>
                    <a:ln>
                      <a:noFill/>
                    </a:ln>
                  </pic:spPr>
                </pic:pic>
              </a:graphicData>
            </a:graphic>
          </wp:inline>
        </w:drawing>
      </w:r>
      <w:r>
        <w:rPr>
          <w:noProof/>
        </w:rPr>
        <w:lastRenderedPageBreak/>
        <w:drawing>
          <wp:inline distT="0" distB="0" distL="114300" distR="114300" wp14:anchorId="7D33B2E6" wp14:editId="43631372">
            <wp:extent cx="7456170" cy="5269865"/>
            <wp:effectExtent l="0" t="0" r="11430" b="6985"/>
            <wp:docPr id="1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3"/>
                    <pic:cNvPicPr>
                      <a:picLocks noChangeAspect="1"/>
                    </pic:cNvPicPr>
                  </pic:nvPicPr>
                  <pic:blipFill>
                    <a:blip r:embed="rId301"/>
                    <a:stretch>
                      <a:fillRect/>
                    </a:stretch>
                  </pic:blipFill>
                  <pic:spPr>
                    <a:xfrm>
                      <a:off x="0" y="0"/>
                      <a:ext cx="7456170" cy="5269865"/>
                    </a:xfrm>
                    <a:prstGeom prst="rect">
                      <a:avLst/>
                    </a:prstGeom>
                    <a:noFill/>
                    <a:ln>
                      <a:noFill/>
                    </a:ln>
                  </pic:spPr>
                </pic:pic>
              </a:graphicData>
            </a:graphic>
          </wp:inline>
        </w:drawing>
      </w:r>
      <w:r>
        <w:rPr>
          <w:noProof/>
        </w:rPr>
        <w:lastRenderedPageBreak/>
        <w:drawing>
          <wp:inline distT="0" distB="0" distL="114300" distR="114300" wp14:anchorId="4AEDD9D9" wp14:editId="21CB4714">
            <wp:extent cx="7529830" cy="5273675"/>
            <wp:effectExtent l="0" t="0" r="13970" b="3175"/>
            <wp:docPr id="15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4"/>
                    <pic:cNvPicPr>
                      <a:picLocks noChangeAspect="1"/>
                    </pic:cNvPicPr>
                  </pic:nvPicPr>
                  <pic:blipFill>
                    <a:blip r:embed="rId302"/>
                    <a:stretch>
                      <a:fillRect/>
                    </a:stretch>
                  </pic:blipFill>
                  <pic:spPr>
                    <a:xfrm>
                      <a:off x="0" y="0"/>
                      <a:ext cx="7529830" cy="5273675"/>
                    </a:xfrm>
                    <a:prstGeom prst="rect">
                      <a:avLst/>
                    </a:prstGeom>
                    <a:noFill/>
                    <a:ln>
                      <a:noFill/>
                    </a:ln>
                  </pic:spPr>
                </pic:pic>
              </a:graphicData>
            </a:graphic>
          </wp:inline>
        </w:drawing>
      </w:r>
      <w:r>
        <w:rPr>
          <w:noProof/>
        </w:rPr>
        <w:lastRenderedPageBreak/>
        <w:drawing>
          <wp:inline distT="0" distB="0" distL="114300" distR="114300" wp14:anchorId="0E729DAA" wp14:editId="5E173C9A">
            <wp:extent cx="7450455" cy="5273675"/>
            <wp:effectExtent l="0" t="0" r="17145" b="3175"/>
            <wp:docPr id="1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5"/>
                    <pic:cNvPicPr>
                      <a:picLocks noChangeAspect="1"/>
                    </pic:cNvPicPr>
                  </pic:nvPicPr>
                  <pic:blipFill>
                    <a:blip r:embed="rId303"/>
                    <a:stretch>
                      <a:fillRect/>
                    </a:stretch>
                  </pic:blipFill>
                  <pic:spPr>
                    <a:xfrm>
                      <a:off x="0" y="0"/>
                      <a:ext cx="7450455" cy="5273675"/>
                    </a:xfrm>
                    <a:prstGeom prst="rect">
                      <a:avLst/>
                    </a:prstGeom>
                    <a:noFill/>
                    <a:ln>
                      <a:noFill/>
                    </a:ln>
                  </pic:spPr>
                </pic:pic>
              </a:graphicData>
            </a:graphic>
          </wp:inline>
        </w:drawing>
      </w:r>
      <w:r>
        <w:rPr>
          <w:noProof/>
        </w:rPr>
        <w:lastRenderedPageBreak/>
        <w:drawing>
          <wp:inline distT="0" distB="0" distL="114300" distR="114300" wp14:anchorId="3C7CC27A" wp14:editId="193D96B1">
            <wp:extent cx="7465695" cy="5273040"/>
            <wp:effectExtent l="0" t="0" r="1905" b="3810"/>
            <wp:docPr id="1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
                    <pic:cNvPicPr>
                      <a:picLocks noChangeAspect="1"/>
                    </pic:cNvPicPr>
                  </pic:nvPicPr>
                  <pic:blipFill>
                    <a:blip r:embed="rId304"/>
                    <a:stretch>
                      <a:fillRect/>
                    </a:stretch>
                  </pic:blipFill>
                  <pic:spPr>
                    <a:xfrm>
                      <a:off x="0" y="0"/>
                      <a:ext cx="7465695" cy="5273040"/>
                    </a:xfrm>
                    <a:prstGeom prst="rect">
                      <a:avLst/>
                    </a:prstGeom>
                    <a:noFill/>
                    <a:ln>
                      <a:noFill/>
                    </a:ln>
                  </pic:spPr>
                </pic:pic>
              </a:graphicData>
            </a:graphic>
          </wp:inline>
        </w:drawing>
      </w:r>
      <w:r>
        <w:rPr>
          <w:noProof/>
        </w:rPr>
        <w:lastRenderedPageBreak/>
        <w:drawing>
          <wp:inline distT="0" distB="0" distL="114300" distR="114300" wp14:anchorId="6ACACC01" wp14:editId="01013C0D">
            <wp:extent cx="7383145" cy="5268595"/>
            <wp:effectExtent l="0" t="0" r="8255" b="8255"/>
            <wp:docPr id="16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7"/>
                    <pic:cNvPicPr>
                      <a:picLocks noChangeAspect="1"/>
                    </pic:cNvPicPr>
                  </pic:nvPicPr>
                  <pic:blipFill>
                    <a:blip r:embed="rId305"/>
                    <a:stretch>
                      <a:fillRect/>
                    </a:stretch>
                  </pic:blipFill>
                  <pic:spPr>
                    <a:xfrm>
                      <a:off x="0" y="0"/>
                      <a:ext cx="7383145" cy="5268595"/>
                    </a:xfrm>
                    <a:prstGeom prst="rect">
                      <a:avLst/>
                    </a:prstGeom>
                    <a:noFill/>
                    <a:ln>
                      <a:noFill/>
                    </a:ln>
                  </pic:spPr>
                </pic:pic>
              </a:graphicData>
            </a:graphic>
          </wp:inline>
        </w:drawing>
      </w:r>
      <w:r>
        <w:rPr>
          <w:noProof/>
        </w:rPr>
        <w:lastRenderedPageBreak/>
        <w:drawing>
          <wp:inline distT="0" distB="0" distL="114300" distR="114300" wp14:anchorId="2769719A" wp14:editId="1337E13D">
            <wp:extent cx="7441565" cy="5273675"/>
            <wp:effectExtent l="0" t="0" r="6985" b="3175"/>
            <wp:docPr id="16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8"/>
                    <pic:cNvPicPr>
                      <a:picLocks noChangeAspect="1"/>
                    </pic:cNvPicPr>
                  </pic:nvPicPr>
                  <pic:blipFill>
                    <a:blip r:embed="rId306"/>
                    <a:stretch>
                      <a:fillRect/>
                    </a:stretch>
                  </pic:blipFill>
                  <pic:spPr>
                    <a:xfrm>
                      <a:off x="0" y="0"/>
                      <a:ext cx="7441565" cy="5273675"/>
                    </a:xfrm>
                    <a:prstGeom prst="rect">
                      <a:avLst/>
                    </a:prstGeom>
                    <a:noFill/>
                    <a:ln>
                      <a:noFill/>
                    </a:ln>
                  </pic:spPr>
                </pic:pic>
              </a:graphicData>
            </a:graphic>
          </wp:inline>
        </w:drawing>
      </w:r>
      <w:r>
        <w:rPr>
          <w:noProof/>
        </w:rPr>
        <w:lastRenderedPageBreak/>
        <w:drawing>
          <wp:inline distT="0" distB="0" distL="114300" distR="114300" wp14:anchorId="61C89A4B" wp14:editId="67D4091F">
            <wp:extent cx="7447915" cy="5273040"/>
            <wp:effectExtent l="0" t="0" r="635" b="3810"/>
            <wp:docPr id="16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9"/>
                    <pic:cNvPicPr>
                      <a:picLocks noChangeAspect="1"/>
                    </pic:cNvPicPr>
                  </pic:nvPicPr>
                  <pic:blipFill>
                    <a:blip r:embed="rId307"/>
                    <a:stretch>
                      <a:fillRect/>
                    </a:stretch>
                  </pic:blipFill>
                  <pic:spPr>
                    <a:xfrm>
                      <a:off x="0" y="0"/>
                      <a:ext cx="7447915" cy="5273040"/>
                    </a:xfrm>
                    <a:prstGeom prst="rect">
                      <a:avLst/>
                    </a:prstGeom>
                    <a:noFill/>
                    <a:ln>
                      <a:noFill/>
                    </a:ln>
                  </pic:spPr>
                </pic:pic>
              </a:graphicData>
            </a:graphic>
          </wp:inline>
        </w:drawing>
      </w:r>
    </w:p>
    <w:p w14:paraId="5356416A" w14:textId="77777777" w:rsidR="009D12AF" w:rsidRDefault="00000000">
      <w:pPr>
        <w:ind w:firstLineChars="0" w:firstLine="0"/>
        <w:rPr>
          <w:b/>
          <w:bCs/>
        </w:rPr>
      </w:pPr>
      <w:r>
        <w:rPr>
          <w:rFonts w:hint="eastAsia"/>
          <w:b/>
          <w:bCs/>
        </w:rPr>
        <w:lastRenderedPageBreak/>
        <w:t>群力水库</w:t>
      </w:r>
    </w:p>
    <w:p w14:paraId="2F1872D3" w14:textId="77777777" w:rsidR="009D12AF" w:rsidRDefault="00000000">
      <w:pPr>
        <w:pStyle w:val="TOC2"/>
        <w:ind w:leftChars="0" w:left="0" w:firstLineChars="0" w:firstLine="0"/>
        <w:jc w:val="center"/>
        <w:sectPr w:rsidR="009D12AF">
          <w:footerReference w:type="default" r:id="rId308"/>
          <w:pgSz w:w="16838" w:h="11906" w:orient="landscape"/>
          <w:pgMar w:top="1800" w:right="1440" w:bottom="1800" w:left="1440" w:header="851" w:footer="992" w:gutter="0"/>
          <w:cols w:space="425"/>
          <w:docGrid w:type="lines" w:linePitch="312"/>
        </w:sectPr>
      </w:pPr>
      <w:r>
        <w:rPr>
          <w:noProof/>
        </w:rPr>
        <w:drawing>
          <wp:inline distT="0" distB="0" distL="114300" distR="114300" wp14:anchorId="4C6ED290" wp14:editId="5290B228">
            <wp:extent cx="7479665" cy="4702175"/>
            <wp:effectExtent l="0" t="0" r="6985" b="3175"/>
            <wp:docPr id="3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5"/>
                    <pic:cNvPicPr>
                      <a:picLocks noChangeAspect="1"/>
                    </pic:cNvPicPr>
                  </pic:nvPicPr>
                  <pic:blipFill>
                    <a:blip r:embed="rId309"/>
                    <a:stretch>
                      <a:fillRect/>
                    </a:stretch>
                  </pic:blipFill>
                  <pic:spPr>
                    <a:xfrm>
                      <a:off x="0" y="0"/>
                      <a:ext cx="7479665" cy="4702175"/>
                    </a:xfrm>
                    <a:prstGeom prst="rect">
                      <a:avLst/>
                    </a:prstGeom>
                    <a:noFill/>
                    <a:ln>
                      <a:noFill/>
                    </a:ln>
                  </pic:spPr>
                </pic:pic>
              </a:graphicData>
            </a:graphic>
          </wp:inline>
        </w:drawing>
      </w:r>
      <w:r>
        <w:rPr>
          <w:noProof/>
        </w:rPr>
        <w:lastRenderedPageBreak/>
        <w:drawing>
          <wp:inline distT="0" distB="0" distL="114300" distR="114300" wp14:anchorId="140F8C30" wp14:editId="3381D73E">
            <wp:extent cx="8081010" cy="4697095"/>
            <wp:effectExtent l="0" t="0" r="15240" b="8255"/>
            <wp:docPr id="4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6"/>
                    <pic:cNvPicPr>
                      <a:picLocks noChangeAspect="1"/>
                    </pic:cNvPicPr>
                  </pic:nvPicPr>
                  <pic:blipFill>
                    <a:blip r:embed="rId310"/>
                    <a:stretch>
                      <a:fillRect/>
                    </a:stretch>
                  </pic:blipFill>
                  <pic:spPr>
                    <a:xfrm>
                      <a:off x="0" y="0"/>
                      <a:ext cx="8081010" cy="4697095"/>
                    </a:xfrm>
                    <a:prstGeom prst="rect">
                      <a:avLst/>
                    </a:prstGeom>
                    <a:noFill/>
                    <a:ln>
                      <a:noFill/>
                    </a:ln>
                  </pic:spPr>
                </pic:pic>
              </a:graphicData>
            </a:graphic>
          </wp:inline>
        </w:drawing>
      </w:r>
      <w:r>
        <w:rPr>
          <w:noProof/>
        </w:rPr>
        <w:lastRenderedPageBreak/>
        <w:drawing>
          <wp:inline distT="0" distB="0" distL="114300" distR="114300" wp14:anchorId="172B3C25" wp14:editId="70AF0A04">
            <wp:extent cx="7547610" cy="5022215"/>
            <wp:effectExtent l="0" t="0" r="15240" b="6985"/>
            <wp:docPr id="4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7"/>
                    <pic:cNvPicPr>
                      <a:picLocks noChangeAspect="1"/>
                    </pic:cNvPicPr>
                  </pic:nvPicPr>
                  <pic:blipFill>
                    <a:blip r:embed="rId311"/>
                    <a:stretch>
                      <a:fillRect/>
                    </a:stretch>
                  </pic:blipFill>
                  <pic:spPr>
                    <a:xfrm>
                      <a:off x="0" y="0"/>
                      <a:ext cx="7547610" cy="5022215"/>
                    </a:xfrm>
                    <a:prstGeom prst="rect">
                      <a:avLst/>
                    </a:prstGeom>
                    <a:noFill/>
                    <a:ln>
                      <a:noFill/>
                    </a:ln>
                  </pic:spPr>
                </pic:pic>
              </a:graphicData>
            </a:graphic>
          </wp:inline>
        </w:drawing>
      </w:r>
      <w:r>
        <w:rPr>
          <w:noProof/>
        </w:rPr>
        <w:lastRenderedPageBreak/>
        <w:drawing>
          <wp:inline distT="0" distB="0" distL="114300" distR="114300" wp14:anchorId="06202C99" wp14:editId="1B5BA7DA">
            <wp:extent cx="7988935" cy="4669155"/>
            <wp:effectExtent l="0" t="0" r="12065" b="17145"/>
            <wp:docPr id="4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8"/>
                    <pic:cNvPicPr>
                      <a:picLocks noChangeAspect="1"/>
                    </pic:cNvPicPr>
                  </pic:nvPicPr>
                  <pic:blipFill>
                    <a:blip r:embed="rId312"/>
                    <a:stretch>
                      <a:fillRect/>
                    </a:stretch>
                  </pic:blipFill>
                  <pic:spPr>
                    <a:xfrm>
                      <a:off x="0" y="0"/>
                      <a:ext cx="7988935" cy="4669155"/>
                    </a:xfrm>
                    <a:prstGeom prst="rect">
                      <a:avLst/>
                    </a:prstGeom>
                    <a:noFill/>
                    <a:ln>
                      <a:noFill/>
                    </a:ln>
                  </pic:spPr>
                </pic:pic>
              </a:graphicData>
            </a:graphic>
          </wp:inline>
        </w:drawing>
      </w:r>
      <w:r>
        <w:rPr>
          <w:noProof/>
        </w:rPr>
        <w:lastRenderedPageBreak/>
        <w:drawing>
          <wp:inline distT="0" distB="0" distL="114300" distR="114300" wp14:anchorId="26430780" wp14:editId="748380E7">
            <wp:extent cx="7192645" cy="5097780"/>
            <wp:effectExtent l="0" t="0" r="8255" b="7620"/>
            <wp:docPr id="4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9"/>
                    <pic:cNvPicPr>
                      <a:picLocks noChangeAspect="1"/>
                    </pic:cNvPicPr>
                  </pic:nvPicPr>
                  <pic:blipFill>
                    <a:blip r:embed="rId313"/>
                    <a:stretch>
                      <a:fillRect/>
                    </a:stretch>
                  </pic:blipFill>
                  <pic:spPr>
                    <a:xfrm>
                      <a:off x="0" y="0"/>
                      <a:ext cx="7192645" cy="5097780"/>
                    </a:xfrm>
                    <a:prstGeom prst="rect">
                      <a:avLst/>
                    </a:prstGeom>
                    <a:noFill/>
                    <a:ln>
                      <a:noFill/>
                    </a:ln>
                  </pic:spPr>
                </pic:pic>
              </a:graphicData>
            </a:graphic>
          </wp:inline>
        </w:drawing>
      </w:r>
      <w:r>
        <w:rPr>
          <w:noProof/>
        </w:rPr>
        <w:lastRenderedPageBreak/>
        <w:drawing>
          <wp:inline distT="0" distB="0" distL="114300" distR="114300" wp14:anchorId="73F52217" wp14:editId="1E29B615">
            <wp:extent cx="7241540" cy="5122545"/>
            <wp:effectExtent l="0" t="0" r="16510" b="1905"/>
            <wp:docPr id="4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10"/>
                    <pic:cNvPicPr>
                      <a:picLocks noChangeAspect="1"/>
                    </pic:cNvPicPr>
                  </pic:nvPicPr>
                  <pic:blipFill>
                    <a:blip r:embed="rId314"/>
                    <a:stretch>
                      <a:fillRect/>
                    </a:stretch>
                  </pic:blipFill>
                  <pic:spPr>
                    <a:xfrm>
                      <a:off x="0" y="0"/>
                      <a:ext cx="7241540" cy="5122545"/>
                    </a:xfrm>
                    <a:prstGeom prst="rect">
                      <a:avLst/>
                    </a:prstGeom>
                    <a:noFill/>
                    <a:ln>
                      <a:noFill/>
                    </a:ln>
                  </pic:spPr>
                </pic:pic>
              </a:graphicData>
            </a:graphic>
          </wp:inline>
        </w:drawing>
      </w:r>
      <w:r>
        <w:rPr>
          <w:noProof/>
        </w:rPr>
        <w:lastRenderedPageBreak/>
        <w:drawing>
          <wp:inline distT="0" distB="0" distL="114300" distR="114300" wp14:anchorId="413B027E" wp14:editId="0FDB84D3">
            <wp:extent cx="7226935" cy="5101590"/>
            <wp:effectExtent l="0" t="0" r="12065" b="3810"/>
            <wp:docPr id="4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1"/>
                    <pic:cNvPicPr>
                      <a:picLocks noChangeAspect="1"/>
                    </pic:cNvPicPr>
                  </pic:nvPicPr>
                  <pic:blipFill>
                    <a:blip r:embed="rId315"/>
                    <a:stretch>
                      <a:fillRect/>
                    </a:stretch>
                  </pic:blipFill>
                  <pic:spPr>
                    <a:xfrm>
                      <a:off x="0" y="0"/>
                      <a:ext cx="7226935" cy="5101590"/>
                    </a:xfrm>
                    <a:prstGeom prst="rect">
                      <a:avLst/>
                    </a:prstGeom>
                    <a:noFill/>
                    <a:ln>
                      <a:noFill/>
                    </a:ln>
                  </pic:spPr>
                </pic:pic>
              </a:graphicData>
            </a:graphic>
          </wp:inline>
        </w:drawing>
      </w:r>
      <w:r>
        <w:rPr>
          <w:noProof/>
        </w:rPr>
        <w:lastRenderedPageBreak/>
        <w:drawing>
          <wp:inline distT="0" distB="0" distL="114300" distR="114300" wp14:anchorId="73835F73" wp14:editId="11F1C5F3">
            <wp:extent cx="7411720" cy="5225415"/>
            <wp:effectExtent l="0" t="0" r="17780" b="13335"/>
            <wp:docPr id="4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12"/>
                    <pic:cNvPicPr>
                      <a:picLocks noChangeAspect="1"/>
                    </pic:cNvPicPr>
                  </pic:nvPicPr>
                  <pic:blipFill>
                    <a:blip r:embed="rId316"/>
                    <a:stretch>
                      <a:fillRect/>
                    </a:stretch>
                  </pic:blipFill>
                  <pic:spPr>
                    <a:xfrm>
                      <a:off x="0" y="0"/>
                      <a:ext cx="7411720" cy="5225415"/>
                    </a:xfrm>
                    <a:prstGeom prst="rect">
                      <a:avLst/>
                    </a:prstGeom>
                    <a:noFill/>
                    <a:ln>
                      <a:noFill/>
                    </a:ln>
                  </pic:spPr>
                </pic:pic>
              </a:graphicData>
            </a:graphic>
          </wp:inline>
        </w:drawing>
      </w:r>
      <w:r>
        <w:rPr>
          <w:noProof/>
        </w:rPr>
        <w:lastRenderedPageBreak/>
        <w:drawing>
          <wp:inline distT="0" distB="0" distL="114300" distR="114300" wp14:anchorId="0343C8D5" wp14:editId="5A7C46C7">
            <wp:extent cx="7458710" cy="5202555"/>
            <wp:effectExtent l="0" t="0" r="8890" b="17145"/>
            <wp:docPr id="4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13"/>
                    <pic:cNvPicPr>
                      <a:picLocks noChangeAspect="1"/>
                    </pic:cNvPicPr>
                  </pic:nvPicPr>
                  <pic:blipFill>
                    <a:blip r:embed="rId317"/>
                    <a:stretch>
                      <a:fillRect/>
                    </a:stretch>
                  </pic:blipFill>
                  <pic:spPr>
                    <a:xfrm>
                      <a:off x="0" y="0"/>
                      <a:ext cx="7458710" cy="5202555"/>
                    </a:xfrm>
                    <a:prstGeom prst="rect">
                      <a:avLst/>
                    </a:prstGeom>
                    <a:noFill/>
                    <a:ln>
                      <a:noFill/>
                    </a:ln>
                  </pic:spPr>
                </pic:pic>
              </a:graphicData>
            </a:graphic>
          </wp:inline>
        </w:drawing>
      </w:r>
      <w:r>
        <w:rPr>
          <w:noProof/>
        </w:rPr>
        <w:lastRenderedPageBreak/>
        <w:drawing>
          <wp:inline distT="0" distB="0" distL="114300" distR="114300" wp14:anchorId="6CB4315C" wp14:editId="57D68AEF">
            <wp:extent cx="7968615" cy="4935855"/>
            <wp:effectExtent l="0" t="0" r="13335" b="17145"/>
            <wp:docPr id="4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14"/>
                    <pic:cNvPicPr>
                      <a:picLocks noChangeAspect="1"/>
                    </pic:cNvPicPr>
                  </pic:nvPicPr>
                  <pic:blipFill>
                    <a:blip r:embed="rId318"/>
                    <a:stretch>
                      <a:fillRect/>
                    </a:stretch>
                  </pic:blipFill>
                  <pic:spPr>
                    <a:xfrm>
                      <a:off x="0" y="0"/>
                      <a:ext cx="7968615" cy="4935855"/>
                    </a:xfrm>
                    <a:prstGeom prst="rect">
                      <a:avLst/>
                    </a:prstGeom>
                    <a:noFill/>
                    <a:ln>
                      <a:noFill/>
                    </a:ln>
                  </pic:spPr>
                </pic:pic>
              </a:graphicData>
            </a:graphic>
          </wp:inline>
        </w:drawing>
      </w:r>
      <w:r>
        <w:rPr>
          <w:noProof/>
        </w:rPr>
        <w:lastRenderedPageBreak/>
        <w:drawing>
          <wp:inline distT="0" distB="0" distL="114300" distR="114300" wp14:anchorId="5C9CDE0C" wp14:editId="08FF496E">
            <wp:extent cx="7833360" cy="4663440"/>
            <wp:effectExtent l="0" t="0" r="15240" b="3810"/>
            <wp:docPr id="4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15"/>
                    <pic:cNvPicPr>
                      <a:picLocks noChangeAspect="1"/>
                    </pic:cNvPicPr>
                  </pic:nvPicPr>
                  <pic:blipFill>
                    <a:blip r:embed="rId319"/>
                    <a:stretch>
                      <a:fillRect/>
                    </a:stretch>
                  </pic:blipFill>
                  <pic:spPr>
                    <a:xfrm>
                      <a:off x="0" y="0"/>
                      <a:ext cx="7833360" cy="4663440"/>
                    </a:xfrm>
                    <a:prstGeom prst="rect">
                      <a:avLst/>
                    </a:prstGeom>
                    <a:noFill/>
                    <a:ln>
                      <a:noFill/>
                    </a:ln>
                  </pic:spPr>
                </pic:pic>
              </a:graphicData>
            </a:graphic>
          </wp:inline>
        </w:drawing>
      </w:r>
      <w:r>
        <w:rPr>
          <w:noProof/>
        </w:rPr>
        <w:lastRenderedPageBreak/>
        <w:drawing>
          <wp:inline distT="0" distB="0" distL="114300" distR="114300" wp14:anchorId="44B0B6FC" wp14:editId="4A68B9F6">
            <wp:extent cx="7935595" cy="5073650"/>
            <wp:effectExtent l="0" t="0" r="8255" b="12700"/>
            <wp:docPr id="4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16"/>
                    <pic:cNvPicPr>
                      <a:picLocks noChangeAspect="1"/>
                    </pic:cNvPicPr>
                  </pic:nvPicPr>
                  <pic:blipFill>
                    <a:blip r:embed="rId320"/>
                    <a:stretch>
                      <a:fillRect/>
                    </a:stretch>
                  </pic:blipFill>
                  <pic:spPr>
                    <a:xfrm>
                      <a:off x="0" y="0"/>
                      <a:ext cx="7935595" cy="5073650"/>
                    </a:xfrm>
                    <a:prstGeom prst="rect">
                      <a:avLst/>
                    </a:prstGeom>
                    <a:noFill/>
                    <a:ln>
                      <a:noFill/>
                    </a:ln>
                  </pic:spPr>
                </pic:pic>
              </a:graphicData>
            </a:graphic>
          </wp:inline>
        </w:drawing>
      </w:r>
      <w:r>
        <w:rPr>
          <w:noProof/>
        </w:rPr>
        <w:lastRenderedPageBreak/>
        <w:drawing>
          <wp:inline distT="0" distB="0" distL="114300" distR="114300" wp14:anchorId="2EB2F918" wp14:editId="230AE8AF">
            <wp:extent cx="7941310" cy="5207000"/>
            <wp:effectExtent l="0" t="0" r="2540" b="12700"/>
            <wp:docPr id="42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17"/>
                    <pic:cNvPicPr>
                      <a:picLocks noChangeAspect="1"/>
                    </pic:cNvPicPr>
                  </pic:nvPicPr>
                  <pic:blipFill>
                    <a:blip r:embed="rId321"/>
                    <a:stretch>
                      <a:fillRect/>
                    </a:stretch>
                  </pic:blipFill>
                  <pic:spPr>
                    <a:xfrm>
                      <a:off x="0" y="0"/>
                      <a:ext cx="7941310" cy="5207000"/>
                    </a:xfrm>
                    <a:prstGeom prst="rect">
                      <a:avLst/>
                    </a:prstGeom>
                    <a:noFill/>
                    <a:ln>
                      <a:noFill/>
                    </a:ln>
                  </pic:spPr>
                </pic:pic>
              </a:graphicData>
            </a:graphic>
          </wp:inline>
        </w:drawing>
      </w:r>
    </w:p>
    <w:p w14:paraId="57F9D108" w14:textId="77777777" w:rsidR="009D12AF" w:rsidRDefault="00000000">
      <w:pPr>
        <w:pStyle w:val="1"/>
        <w:spacing w:before="0" w:after="0"/>
        <w:rPr>
          <w:sz w:val="28"/>
          <w:szCs w:val="18"/>
        </w:rPr>
      </w:pPr>
      <w:bookmarkStart w:id="529" w:name="_Toc11223"/>
      <w:r>
        <w:rPr>
          <w:rFonts w:hint="eastAsia"/>
          <w:sz w:val="28"/>
          <w:szCs w:val="18"/>
        </w:rPr>
        <w:lastRenderedPageBreak/>
        <w:t>附件</w:t>
      </w:r>
      <w:r>
        <w:rPr>
          <w:rFonts w:hint="eastAsia"/>
          <w:sz w:val="28"/>
          <w:szCs w:val="18"/>
        </w:rPr>
        <w:t>2</w:t>
      </w:r>
      <w:r>
        <w:rPr>
          <w:rFonts w:hint="eastAsia"/>
          <w:sz w:val="28"/>
          <w:szCs w:val="18"/>
        </w:rPr>
        <w:t>检测报告</w:t>
      </w:r>
      <w:bookmarkEnd w:id="529"/>
    </w:p>
    <w:p w14:paraId="25D50B95" w14:textId="77777777" w:rsidR="009D12AF" w:rsidRDefault="00000000">
      <w:pPr>
        <w:ind w:firstLineChars="0" w:firstLine="0"/>
      </w:pPr>
      <w:r>
        <w:rPr>
          <w:noProof/>
        </w:rPr>
        <w:drawing>
          <wp:inline distT="0" distB="0" distL="114300" distR="114300" wp14:anchorId="748D48AE" wp14:editId="6B2A2382">
            <wp:extent cx="8883650" cy="4676140"/>
            <wp:effectExtent l="0" t="0" r="12700" b="1016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322"/>
                    <a:stretch>
                      <a:fillRect/>
                    </a:stretch>
                  </pic:blipFill>
                  <pic:spPr>
                    <a:xfrm>
                      <a:off x="0" y="0"/>
                      <a:ext cx="8883650" cy="4676140"/>
                    </a:xfrm>
                    <a:prstGeom prst="rect">
                      <a:avLst/>
                    </a:prstGeom>
                    <a:noFill/>
                    <a:ln>
                      <a:noFill/>
                    </a:ln>
                  </pic:spPr>
                </pic:pic>
              </a:graphicData>
            </a:graphic>
          </wp:inline>
        </w:drawing>
      </w:r>
      <w:r>
        <w:rPr>
          <w:noProof/>
        </w:rPr>
        <w:lastRenderedPageBreak/>
        <w:drawing>
          <wp:inline distT="0" distB="0" distL="114300" distR="114300" wp14:anchorId="4AA12C6F" wp14:editId="2432820E">
            <wp:extent cx="8859520" cy="5112385"/>
            <wp:effectExtent l="0" t="0" r="17780" b="12065"/>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323"/>
                    <a:stretch>
                      <a:fillRect/>
                    </a:stretch>
                  </pic:blipFill>
                  <pic:spPr>
                    <a:xfrm>
                      <a:off x="0" y="0"/>
                      <a:ext cx="8859520" cy="5112385"/>
                    </a:xfrm>
                    <a:prstGeom prst="rect">
                      <a:avLst/>
                    </a:prstGeom>
                    <a:noFill/>
                    <a:ln>
                      <a:noFill/>
                    </a:ln>
                  </pic:spPr>
                </pic:pic>
              </a:graphicData>
            </a:graphic>
          </wp:inline>
        </w:drawing>
      </w:r>
      <w:r>
        <w:rPr>
          <w:noProof/>
        </w:rPr>
        <w:lastRenderedPageBreak/>
        <w:drawing>
          <wp:inline distT="0" distB="0" distL="114300" distR="114300" wp14:anchorId="40B423DC" wp14:editId="59D0816B">
            <wp:extent cx="8856980" cy="5039360"/>
            <wp:effectExtent l="0" t="0" r="1270" b="8890"/>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324"/>
                    <a:stretch>
                      <a:fillRect/>
                    </a:stretch>
                  </pic:blipFill>
                  <pic:spPr>
                    <a:xfrm>
                      <a:off x="0" y="0"/>
                      <a:ext cx="8856980" cy="5039360"/>
                    </a:xfrm>
                    <a:prstGeom prst="rect">
                      <a:avLst/>
                    </a:prstGeom>
                    <a:noFill/>
                    <a:ln>
                      <a:noFill/>
                    </a:ln>
                  </pic:spPr>
                </pic:pic>
              </a:graphicData>
            </a:graphic>
          </wp:inline>
        </w:drawing>
      </w:r>
      <w:r>
        <w:rPr>
          <w:noProof/>
        </w:rPr>
        <w:lastRenderedPageBreak/>
        <w:drawing>
          <wp:inline distT="0" distB="0" distL="114300" distR="114300" wp14:anchorId="2F01BF30" wp14:editId="71105BB1">
            <wp:extent cx="8853805" cy="4913630"/>
            <wp:effectExtent l="0" t="0" r="4445" b="1270"/>
            <wp:docPr id="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
                    <pic:cNvPicPr>
                      <a:picLocks noChangeAspect="1"/>
                    </pic:cNvPicPr>
                  </pic:nvPicPr>
                  <pic:blipFill>
                    <a:blip r:embed="rId325"/>
                    <a:stretch>
                      <a:fillRect/>
                    </a:stretch>
                  </pic:blipFill>
                  <pic:spPr>
                    <a:xfrm>
                      <a:off x="0" y="0"/>
                      <a:ext cx="8853805" cy="4913630"/>
                    </a:xfrm>
                    <a:prstGeom prst="rect">
                      <a:avLst/>
                    </a:prstGeom>
                    <a:noFill/>
                    <a:ln>
                      <a:noFill/>
                    </a:ln>
                  </pic:spPr>
                </pic:pic>
              </a:graphicData>
            </a:graphic>
          </wp:inline>
        </w:drawing>
      </w:r>
      <w:r>
        <w:rPr>
          <w:noProof/>
        </w:rPr>
        <w:lastRenderedPageBreak/>
        <w:drawing>
          <wp:inline distT="0" distB="0" distL="114300" distR="114300" wp14:anchorId="1B9A8B8A" wp14:editId="12E7F8E3">
            <wp:extent cx="8859520" cy="5000625"/>
            <wp:effectExtent l="0" t="0" r="17780" b="9525"/>
            <wp:docPr id="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pic:cNvPicPr>
                      <a:picLocks noChangeAspect="1"/>
                    </pic:cNvPicPr>
                  </pic:nvPicPr>
                  <pic:blipFill>
                    <a:blip r:embed="rId326"/>
                    <a:stretch>
                      <a:fillRect/>
                    </a:stretch>
                  </pic:blipFill>
                  <pic:spPr>
                    <a:xfrm>
                      <a:off x="0" y="0"/>
                      <a:ext cx="8859520" cy="5000625"/>
                    </a:xfrm>
                    <a:prstGeom prst="rect">
                      <a:avLst/>
                    </a:prstGeom>
                    <a:noFill/>
                    <a:ln>
                      <a:noFill/>
                    </a:ln>
                  </pic:spPr>
                </pic:pic>
              </a:graphicData>
            </a:graphic>
          </wp:inline>
        </w:drawing>
      </w:r>
      <w:r>
        <w:rPr>
          <w:noProof/>
        </w:rPr>
        <w:lastRenderedPageBreak/>
        <w:drawing>
          <wp:inline distT="0" distB="0" distL="114300" distR="114300" wp14:anchorId="6843E871" wp14:editId="103917F0">
            <wp:extent cx="8859520" cy="5095240"/>
            <wp:effectExtent l="0" t="0" r="17780" b="10160"/>
            <wp:docPr id="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
                    <pic:cNvPicPr>
                      <a:picLocks noChangeAspect="1"/>
                    </pic:cNvPicPr>
                  </pic:nvPicPr>
                  <pic:blipFill>
                    <a:blip r:embed="rId327"/>
                    <a:stretch>
                      <a:fillRect/>
                    </a:stretch>
                  </pic:blipFill>
                  <pic:spPr>
                    <a:xfrm>
                      <a:off x="0" y="0"/>
                      <a:ext cx="8859520" cy="5095240"/>
                    </a:xfrm>
                    <a:prstGeom prst="rect">
                      <a:avLst/>
                    </a:prstGeom>
                    <a:noFill/>
                    <a:ln>
                      <a:noFill/>
                    </a:ln>
                  </pic:spPr>
                </pic:pic>
              </a:graphicData>
            </a:graphic>
          </wp:inline>
        </w:drawing>
      </w:r>
      <w:r>
        <w:rPr>
          <w:noProof/>
        </w:rPr>
        <w:lastRenderedPageBreak/>
        <w:drawing>
          <wp:inline distT="0" distB="0" distL="114300" distR="114300" wp14:anchorId="79580057" wp14:editId="4012059D">
            <wp:extent cx="8856345" cy="4954270"/>
            <wp:effectExtent l="0" t="0" r="1905" b="17780"/>
            <wp:docPr id="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9"/>
                    <pic:cNvPicPr>
                      <a:picLocks noChangeAspect="1"/>
                    </pic:cNvPicPr>
                  </pic:nvPicPr>
                  <pic:blipFill>
                    <a:blip r:embed="rId328"/>
                    <a:stretch>
                      <a:fillRect/>
                    </a:stretch>
                  </pic:blipFill>
                  <pic:spPr>
                    <a:xfrm>
                      <a:off x="0" y="0"/>
                      <a:ext cx="8856345" cy="4954270"/>
                    </a:xfrm>
                    <a:prstGeom prst="rect">
                      <a:avLst/>
                    </a:prstGeom>
                    <a:noFill/>
                    <a:ln>
                      <a:noFill/>
                    </a:ln>
                  </pic:spPr>
                </pic:pic>
              </a:graphicData>
            </a:graphic>
          </wp:inline>
        </w:drawing>
      </w:r>
      <w:r>
        <w:rPr>
          <w:noProof/>
        </w:rPr>
        <w:lastRenderedPageBreak/>
        <w:drawing>
          <wp:inline distT="0" distB="0" distL="114300" distR="114300" wp14:anchorId="0E6E2331" wp14:editId="3248C965">
            <wp:extent cx="8860790" cy="5056505"/>
            <wp:effectExtent l="0" t="0" r="16510" b="10795"/>
            <wp:docPr id="7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1"/>
                    <pic:cNvPicPr>
                      <a:picLocks noChangeAspect="1"/>
                    </pic:cNvPicPr>
                  </pic:nvPicPr>
                  <pic:blipFill>
                    <a:blip r:embed="rId329"/>
                    <a:stretch>
                      <a:fillRect/>
                    </a:stretch>
                  </pic:blipFill>
                  <pic:spPr>
                    <a:xfrm>
                      <a:off x="0" y="0"/>
                      <a:ext cx="8860790" cy="5056505"/>
                    </a:xfrm>
                    <a:prstGeom prst="rect">
                      <a:avLst/>
                    </a:prstGeom>
                    <a:noFill/>
                    <a:ln>
                      <a:noFill/>
                    </a:ln>
                  </pic:spPr>
                </pic:pic>
              </a:graphicData>
            </a:graphic>
          </wp:inline>
        </w:drawing>
      </w:r>
      <w:r>
        <w:rPr>
          <w:noProof/>
        </w:rPr>
        <w:lastRenderedPageBreak/>
        <w:drawing>
          <wp:inline distT="0" distB="0" distL="114300" distR="114300" wp14:anchorId="2D63032E" wp14:editId="4A7DCD3C">
            <wp:extent cx="8862060" cy="4975225"/>
            <wp:effectExtent l="0" t="0" r="15240" b="15875"/>
            <wp:docPr id="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2"/>
                    <pic:cNvPicPr>
                      <a:picLocks noChangeAspect="1"/>
                    </pic:cNvPicPr>
                  </pic:nvPicPr>
                  <pic:blipFill>
                    <a:blip r:embed="rId330"/>
                    <a:stretch>
                      <a:fillRect/>
                    </a:stretch>
                  </pic:blipFill>
                  <pic:spPr>
                    <a:xfrm>
                      <a:off x="0" y="0"/>
                      <a:ext cx="8862060" cy="4975225"/>
                    </a:xfrm>
                    <a:prstGeom prst="rect">
                      <a:avLst/>
                    </a:prstGeom>
                    <a:noFill/>
                    <a:ln>
                      <a:noFill/>
                    </a:ln>
                  </pic:spPr>
                </pic:pic>
              </a:graphicData>
            </a:graphic>
          </wp:inline>
        </w:drawing>
      </w:r>
      <w:r>
        <w:rPr>
          <w:noProof/>
        </w:rPr>
        <w:lastRenderedPageBreak/>
        <w:drawing>
          <wp:inline distT="0" distB="0" distL="114300" distR="114300" wp14:anchorId="57374240" wp14:editId="7DF567B7">
            <wp:extent cx="8859520" cy="5116195"/>
            <wp:effectExtent l="0" t="0" r="17780" b="8255"/>
            <wp:docPr id="8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3"/>
                    <pic:cNvPicPr>
                      <a:picLocks noChangeAspect="1"/>
                    </pic:cNvPicPr>
                  </pic:nvPicPr>
                  <pic:blipFill>
                    <a:blip r:embed="rId331"/>
                    <a:stretch>
                      <a:fillRect/>
                    </a:stretch>
                  </pic:blipFill>
                  <pic:spPr>
                    <a:xfrm>
                      <a:off x="0" y="0"/>
                      <a:ext cx="8859520" cy="5116195"/>
                    </a:xfrm>
                    <a:prstGeom prst="rect">
                      <a:avLst/>
                    </a:prstGeom>
                    <a:noFill/>
                    <a:ln>
                      <a:noFill/>
                    </a:ln>
                  </pic:spPr>
                </pic:pic>
              </a:graphicData>
            </a:graphic>
          </wp:inline>
        </w:drawing>
      </w:r>
      <w:r>
        <w:rPr>
          <w:noProof/>
        </w:rPr>
        <w:lastRenderedPageBreak/>
        <w:drawing>
          <wp:inline distT="0" distB="0" distL="114300" distR="114300" wp14:anchorId="4A98C8D9" wp14:editId="625DFFED">
            <wp:extent cx="8862695" cy="5045710"/>
            <wp:effectExtent l="0" t="0" r="14605" b="2540"/>
            <wp:docPr id="8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4"/>
                    <pic:cNvPicPr>
                      <a:picLocks noChangeAspect="1"/>
                    </pic:cNvPicPr>
                  </pic:nvPicPr>
                  <pic:blipFill>
                    <a:blip r:embed="rId332"/>
                    <a:stretch>
                      <a:fillRect/>
                    </a:stretch>
                  </pic:blipFill>
                  <pic:spPr>
                    <a:xfrm>
                      <a:off x="0" y="0"/>
                      <a:ext cx="8862695" cy="5045710"/>
                    </a:xfrm>
                    <a:prstGeom prst="rect">
                      <a:avLst/>
                    </a:prstGeom>
                    <a:noFill/>
                    <a:ln>
                      <a:noFill/>
                    </a:ln>
                  </pic:spPr>
                </pic:pic>
              </a:graphicData>
            </a:graphic>
          </wp:inline>
        </w:drawing>
      </w:r>
      <w:r>
        <w:rPr>
          <w:noProof/>
        </w:rPr>
        <w:lastRenderedPageBreak/>
        <w:drawing>
          <wp:inline distT="0" distB="0" distL="114300" distR="114300" wp14:anchorId="4B3011CC" wp14:editId="0E278BC4">
            <wp:extent cx="8860155" cy="5139055"/>
            <wp:effectExtent l="0" t="0" r="17145" b="4445"/>
            <wp:docPr id="8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5"/>
                    <pic:cNvPicPr>
                      <a:picLocks noChangeAspect="1"/>
                    </pic:cNvPicPr>
                  </pic:nvPicPr>
                  <pic:blipFill>
                    <a:blip r:embed="rId333"/>
                    <a:stretch>
                      <a:fillRect/>
                    </a:stretch>
                  </pic:blipFill>
                  <pic:spPr>
                    <a:xfrm>
                      <a:off x="0" y="0"/>
                      <a:ext cx="8860155" cy="5139055"/>
                    </a:xfrm>
                    <a:prstGeom prst="rect">
                      <a:avLst/>
                    </a:prstGeom>
                    <a:noFill/>
                    <a:ln>
                      <a:noFill/>
                    </a:ln>
                  </pic:spPr>
                </pic:pic>
              </a:graphicData>
            </a:graphic>
          </wp:inline>
        </w:drawing>
      </w:r>
      <w:r>
        <w:rPr>
          <w:noProof/>
        </w:rPr>
        <w:lastRenderedPageBreak/>
        <w:drawing>
          <wp:inline distT="0" distB="0" distL="114300" distR="114300" wp14:anchorId="1E298AB7" wp14:editId="3ABB3DE9">
            <wp:extent cx="8860155" cy="5128895"/>
            <wp:effectExtent l="0" t="0" r="17145" b="14605"/>
            <wp:docPr id="8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6"/>
                    <pic:cNvPicPr>
                      <a:picLocks noChangeAspect="1"/>
                    </pic:cNvPicPr>
                  </pic:nvPicPr>
                  <pic:blipFill>
                    <a:blip r:embed="rId334"/>
                    <a:stretch>
                      <a:fillRect/>
                    </a:stretch>
                  </pic:blipFill>
                  <pic:spPr>
                    <a:xfrm>
                      <a:off x="0" y="0"/>
                      <a:ext cx="8860155" cy="5128895"/>
                    </a:xfrm>
                    <a:prstGeom prst="rect">
                      <a:avLst/>
                    </a:prstGeom>
                    <a:noFill/>
                    <a:ln>
                      <a:noFill/>
                    </a:ln>
                  </pic:spPr>
                </pic:pic>
              </a:graphicData>
            </a:graphic>
          </wp:inline>
        </w:drawing>
      </w:r>
      <w:r>
        <w:rPr>
          <w:noProof/>
        </w:rPr>
        <w:lastRenderedPageBreak/>
        <w:drawing>
          <wp:inline distT="0" distB="0" distL="114300" distR="114300" wp14:anchorId="3C42ECA9" wp14:editId="6E7DE124">
            <wp:extent cx="8859520" cy="4783455"/>
            <wp:effectExtent l="0" t="0" r="17780" b="17145"/>
            <wp:docPr id="8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7"/>
                    <pic:cNvPicPr>
                      <a:picLocks noChangeAspect="1"/>
                    </pic:cNvPicPr>
                  </pic:nvPicPr>
                  <pic:blipFill>
                    <a:blip r:embed="rId335"/>
                    <a:stretch>
                      <a:fillRect/>
                    </a:stretch>
                  </pic:blipFill>
                  <pic:spPr>
                    <a:xfrm>
                      <a:off x="0" y="0"/>
                      <a:ext cx="8859520" cy="4783455"/>
                    </a:xfrm>
                    <a:prstGeom prst="rect">
                      <a:avLst/>
                    </a:prstGeom>
                    <a:noFill/>
                    <a:ln>
                      <a:noFill/>
                    </a:ln>
                  </pic:spPr>
                </pic:pic>
              </a:graphicData>
            </a:graphic>
          </wp:inline>
        </w:drawing>
      </w:r>
    </w:p>
    <w:p w14:paraId="792A0747" w14:textId="77777777" w:rsidR="009D12AF" w:rsidRDefault="009D12AF">
      <w:pPr>
        <w:pStyle w:val="a0"/>
      </w:pPr>
    </w:p>
    <w:p w14:paraId="5C6618D1" w14:textId="77777777" w:rsidR="009D12AF" w:rsidRDefault="009D12AF">
      <w:pPr>
        <w:pStyle w:val="a0"/>
        <w:sectPr w:rsidR="009D12AF">
          <w:pgSz w:w="16838" w:h="11906" w:orient="landscape"/>
          <w:pgMar w:top="1800" w:right="1440" w:bottom="1800" w:left="1440" w:header="851" w:footer="992" w:gutter="0"/>
          <w:cols w:space="425"/>
          <w:docGrid w:type="lines" w:linePitch="312"/>
        </w:sectPr>
      </w:pPr>
    </w:p>
    <w:p w14:paraId="53D2E4AA" w14:textId="77777777" w:rsidR="009D12AF" w:rsidRDefault="00000000">
      <w:pPr>
        <w:ind w:firstLineChars="0" w:firstLine="0"/>
        <w:sectPr w:rsidR="009D12AF">
          <w:pgSz w:w="11906" w:h="16838"/>
          <w:pgMar w:top="1440" w:right="1800" w:bottom="1440" w:left="1800" w:header="851" w:footer="992" w:gutter="0"/>
          <w:cols w:space="425"/>
          <w:docGrid w:type="lines" w:linePitch="312"/>
        </w:sectPr>
      </w:pPr>
      <w:r>
        <w:rPr>
          <w:noProof/>
        </w:rPr>
        <w:lastRenderedPageBreak/>
        <w:drawing>
          <wp:inline distT="0" distB="0" distL="114300" distR="114300" wp14:anchorId="6E33026F" wp14:editId="35F14CF1">
            <wp:extent cx="5271770" cy="7401560"/>
            <wp:effectExtent l="0" t="0" r="5080" b="8890"/>
            <wp:docPr id="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pic:cNvPicPr>
                      <a:picLocks noChangeAspect="1"/>
                    </pic:cNvPicPr>
                  </pic:nvPicPr>
                  <pic:blipFill>
                    <a:blip r:embed="rId336"/>
                    <a:stretch>
                      <a:fillRect/>
                    </a:stretch>
                  </pic:blipFill>
                  <pic:spPr>
                    <a:xfrm>
                      <a:off x="0" y="0"/>
                      <a:ext cx="5271770" cy="7401560"/>
                    </a:xfrm>
                    <a:prstGeom prst="rect">
                      <a:avLst/>
                    </a:prstGeom>
                    <a:noFill/>
                    <a:ln>
                      <a:noFill/>
                    </a:ln>
                  </pic:spPr>
                </pic:pic>
              </a:graphicData>
            </a:graphic>
          </wp:inline>
        </w:drawing>
      </w:r>
      <w:r>
        <w:rPr>
          <w:noProof/>
        </w:rPr>
        <w:lastRenderedPageBreak/>
        <w:drawing>
          <wp:inline distT="0" distB="0" distL="114300" distR="114300" wp14:anchorId="052193B2" wp14:editId="742BB47B">
            <wp:extent cx="5273040" cy="7279640"/>
            <wp:effectExtent l="0" t="0" r="3810" b="16510"/>
            <wp:docPr id="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pic:cNvPicPr>
                  </pic:nvPicPr>
                  <pic:blipFill>
                    <a:blip r:embed="rId337"/>
                    <a:stretch>
                      <a:fillRect/>
                    </a:stretch>
                  </pic:blipFill>
                  <pic:spPr>
                    <a:xfrm>
                      <a:off x="0" y="0"/>
                      <a:ext cx="5273040" cy="7279640"/>
                    </a:xfrm>
                    <a:prstGeom prst="rect">
                      <a:avLst/>
                    </a:prstGeom>
                    <a:noFill/>
                    <a:ln>
                      <a:noFill/>
                    </a:ln>
                  </pic:spPr>
                </pic:pic>
              </a:graphicData>
            </a:graphic>
          </wp:inline>
        </w:drawing>
      </w:r>
      <w:r>
        <w:rPr>
          <w:noProof/>
        </w:rPr>
        <w:lastRenderedPageBreak/>
        <w:drawing>
          <wp:inline distT="0" distB="0" distL="114300" distR="114300" wp14:anchorId="4BB7C1F4" wp14:editId="63987D70">
            <wp:extent cx="5272405" cy="7409815"/>
            <wp:effectExtent l="0" t="0" r="4445" b="635"/>
            <wp:docPr id="2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ChangeAspect="1"/>
                    </pic:cNvPicPr>
                  </pic:nvPicPr>
                  <pic:blipFill>
                    <a:blip r:embed="rId338"/>
                    <a:stretch>
                      <a:fillRect/>
                    </a:stretch>
                  </pic:blipFill>
                  <pic:spPr>
                    <a:xfrm>
                      <a:off x="0" y="0"/>
                      <a:ext cx="5272405" cy="7409815"/>
                    </a:xfrm>
                    <a:prstGeom prst="rect">
                      <a:avLst/>
                    </a:prstGeom>
                    <a:noFill/>
                    <a:ln>
                      <a:noFill/>
                    </a:ln>
                  </pic:spPr>
                </pic:pic>
              </a:graphicData>
            </a:graphic>
          </wp:inline>
        </w:drawing>
      </w:r>
      <w:r>
        <w:rPr>
          <w:noProof/>
        </w:rPr>
        <w:lastRenderedPageBreak/>
        <w:drawing>
          <wp:inline distT="0" distB="0" distL="114300" distR="114300" wp14:anchorId="6C111CAF" wp14:editId="67864E19">
            <wp:extent cx="5269865" cy="7456170"/>
            <wp:effectExtent l="0" t="0" r="6985" b="11430"/>
            <wp:docPr id="3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8"/>
                    <pic:cNvPicPr>
                      <a:picLocks noChangeAspect="1"/>
                    </pic:cNvPicPr>
                  </pic:nvPicPr>
                  <pic:blipFill>
                    <a:blip r:embed="rId339"/>
                    <a:stretch>
                      <a:fillRect/>
                    </a:stretch>
                  </pic:blipFill>
                  <pic:spPr>
                    <a:xfrm>
                      <a:off x="0" y="0"/>
                      <a:ext cx="5269865" cy="7456170"/>
                    </a:xfrm>
                    <a:prstGeom prst="rect">
                      <a:avLst/>
                    </a:prstGeom>
                    <a:noFill/>
                    <a:ln>
                      <a:noFill/>
                    </a:ln>
                  </pic:spPr>
                </pic:pic>
              </a:graphicData>
            </a:graphic>
          </wp:inline>
        </w:drawing>
      </w:r>
      <w:r>
        <w:rPr>
          <w:noProof/>
        </w:rPr>
        <w:lastRenderedPageBreak/>
        <w:drawing>
          <wp:inline distT="0" distB="0" distL="114300" distR="114300" wp14:anchorId="266EFDE9" wp14:editId="0B0F8B8B">
            <wp:extent cx="5269865" cy="8173720"/>
            <wp:effectExtent l="0" t="0" r="6985" b="17780"/>
            <wp:docPr id="3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pic:cNvPicPr>
                      <a:picLocks noChangeAspect="1"/>
                    </pic:cNvPicPr>
                  </pic:nvPicPr>
                  <pic:blipFill>
                    <a:blip r:embed="rId340"/>
                    <a:stretch>
                      <a:fillRect/>
                    </a:stretch>
                  </pic:blipFill>
                  <pic:spPr>
                    <a:xfrm>
                      <a:off x="0" y="0"/>
                      <a:ext cx="5269865" cy="8173720"/>
                    </a:xfrm>
                    <a:prstGeom prst="rect">
                      <a:avLst/>
                    </a:prstGeom>
                    <a:noFill/>
                    <a:ln>
                      <a:noFill/>
                    </a:ln>
                  </pic:spPr>
                </pic:pic>
              </a:graphicData>
            </a:graphic>
          </wp:inline>
        </w:drawing>
      </w:r>
      <w:r>
        <w:rPr>
          <w:noProof/>
        </w:rPr>
        <w:lastRenderedPageBreak/>
        <w:drawing>
          <wp:inline distT="0" distB="0" distL="114300" distR="114300" wp14:anchorId="6E691A4D" wp14:editId="5122EEC3">
            <wp:extent cx="5269230" cy="7390765"/>
            <wp:effectExtent l="0" t="0" r="7620" b="635"/>
            <wp:docPr id="3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0"/>
                    <pic:cNvPicPr>
                      <a:picLocks noChangeAspect="1"/>
                    </pic:cNvPicPr>
                  </pic:nvPicPr>
                  <pic:blipFill>
                    <a:blip r:embed="rId341"/>
                    <a:stretch>
                      <a:fillRect/>
                    </a:stretch>
                  </pic:blipFill>
                  <pic:spPr>
                    <a:xfrm>
                      <a:off x="0" y="0"/>
                      <a:ext cx="5269230" cy="7390765"/>
                    </a:xfrm>
                    <a:prstGeom prst="rect">
                      <a:avLst/>
                    </a:prstGeom>
                    <a:noFill/>
                    <a:ln>
                      <a:noFill/>
                    </a:ln>
                  </pic:spPr>
                </pic:pic>
              </a:graphicData>
            </a:graphic>
          </wp:inline>
        </w:drawing>
      </w:r>
      <w:r>
        <w:rPr>
          <w:noProof/>
        </w:rPr>
        <w:lastRenderedPageBreak/>
        <w:drawing>
          <wp:inline distT="0" distB="0" distL="114300" distR="114300" wp14:anchorId="442E932B" wp14:editId="49D0BAC7">
            <wp:extent cx="5268595" cy="7400925"/>
            <wp:effectExtent l="0" t="0" r="8255" b="9525"/>
            <wp:docPr id="3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1"/>
                    <pic:cNvPicPr>
                      <a:picLocks noChangeAspect="1"/>
                    </pic:cNvPicPr>
                  </pic:nvPicPr>
                  <pic:blipFill>
                    <a:blip r:embed="rId342"/>
                    <a:stretch>
                      <a:fillRect/>
                    </a:stretch>
                  </pic:blipFill>
                  <pic:spPr>
                    <a:xfrm>
                      <a:off x="0" y="0"/>
                      <a:ext cx="5268595" cy="7400925"/>
                    </a:xfrm>
                    <a:prstGeom prst="rect">
                      <a:avLst/>
                    </a:prstGeom>
                    <a:noFill/>
                    <a:ln>
                      <a:noFill/>
                    </a:ln>
                  </pic:spPr>
                </pic:pic>
              </a:graphicData>
            </a:graphic>
          </wp:inline>
        </w:drawing>
      </w:r>
      <w:r>
        <w:rPr>
          <w:noProof/>
        </w:rPr>
        <w:lastRenderedPageBreak/>
        <w:drawing>
          <wp:inline distT="0" distB="0" distL="114300" distR="114300" wp14:anchorId="679A3C2F" wp14:editId="2303B363">
            <wp:extent cx="5270500" cy="7440930"/>
            <wp:effectExtent l="0" t="0" r="6350" b="7620"/>
            <wp:docPr id="3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2"/>
                    <pic:cNvPicPr>
                      <a:picLocks noChangeAspect="1"/>
                    </pic:cNvPicPr>
                  </pic:nvPicPr>
                  <pic:blipFill>
                    <a:blip r:embed="rId343"/>
                    <a:stretch>
                      <a:fillRect/>
                    </a:stretch>
                  </pic:blipFill>
                  <pic:spPr>
                    <a:xfrm>
                      <a:off x="0" y="0"/>
                      <a:ext cx="5270500" cy="7440930"/>
                    </a:xfrm>
                    <a:prstGeom prst="rect">
                      <a:avLst/>
                    </a:prstGeom>
                    <a:noFill/>
                    <a:ln>
                      <a:noFill/>
                    </a:ln>
                  </pic:spPr>
                </pic:pic>
              </a:graphicData>
            </a:graphic>
          </wp:inline>
        </w:drawing>
      </w:r>
      <w:r>
        <w:rPr>
          <w:noProof/>
        </w:rPr>
        <w:lastRenderedPageBreak/>
        <w:drawing>
          <wp:inline distT="0" distB="0" distL="114300" distR="114300" wp14:anchorId="6005AE69" wp14:editId="5500DCFE">
            <wp:extent cx="5273040" cy="7261860"/>
            <wp:effectExtent l="0" t="0" r="3810" b="15240"/>
            <wp:docPr id="3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3"/>
                    <pic:cNvPicPr>
                      <a:picLocks noChangeAspect="1"/>
                    </pic:cNvPicPr>
                  </pic:nvPicPr>
                  <pic:blipFill>
                    <a:blip r:embed="rId344"/>
                    <a:stretch>
                      <a:fillRect/>
                    </a:stretch>
                  </pic:blipFill>
                  <pic:spPr>
                    <a:xfrm>
                      <a:off x="0" y="0"/>
                      <a:ext cx="5273040" cy="7261860"/>
                    </a:xfrm>
                    <a:prstGeom prst="rect">
                      <a:avLst/>
                    </a:prstGeom>
                    <a:noFill/>
                    <a:ln>
                      <a:noFill/>
                    </a:ln>
                  </pic:spPr>
                </pic:pic>
              </a:graphicData>
            </a:graphic>
          </wp:inline>
        </w:drawing>
      </w:r>
      <w:r>
        <w:rPr>
          <w:noProof/>
        </w:rPr>
        <w:lastRenderedPageBreak/>
        <w:drawing>
          <wp:inline distT="0" distB="0" distL="114300" distR="114300" wp14:anchorId="1D2AD6DD" wp14:editId="0F81A6EB">
            <wp:extent cx="5269230" cy="7480300"/>
            <wp:effectExtent l="0" t="0" r="7620" b="6350"/>
            <wp:docPr id="3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4"/>
                    <pic:cNvPicPr>
                      <a:picLocks noChangeAspect="1"/>
                    </pic:cNvPicPr>
                  </pic:nvPicPr>
                  <pic:blipFill>
                    <a:blip r:embed="rId345"/>
                    <a:stretch>
                      <a:fillRect/>
                    </a:stretch>
                  </pic:blipFill>
                  <pic:spPr>
                    <a:xfrm>
                      <a:off x="0" y="0"/>
                      <a:ext cx="5269230" cy="7480300"/>
                    </a:xfrm>
                    <a:prstGeom prst="rect">
                      <a:avLst/>
                    </a:prstGeom>
                    <a:noFill/>
                    <a:ln>
                      <a:noFill/>
                    </a:ln>
                  </pic:spPr>
                </pic:pic>
              </a:graphicData>
            </a:graphic>
          </wp:inline>
        </w:drawing>
      </w:r>
      <w:r>
        <w:rPr>
          <w:noProof/>
        </w:rPr>
        <w:lastRenderedPageBreak/>
        <w:drawing>
          <wp:inline distT="0" distB="0" distL="114300" distR="114300" wp14:anchorId="7BED358C" wp14:editId="562C3431">
            <wp:extent cx="5272405" cy="7463155"/>
            <wp:effectExtent l="0" t="0" r="4445" b="4445"/>
            <wp:docPr id="3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5"/>
                    <pic:cNvPicPr>
                      <a:picLocks noChangeAspect="1"/>
                    </pic:cNvPicPr>
                  </pic:nvPicPr>
                  <pic:blipFill>
                    <a:blip r:embed="rId346"/>
                    <a:stretch>
                      <a:fillRect/>
                    </a:stretch>
                  </pic:blipFill>
                  <pic:spPr>
                    <a:xfrm>
                      <a:off x="0" y="0"/>
                      <a:ext cx="5272405" cy="7463155"/>
                    </a:xfrm>
                    <a:prstGeom prst="rect">
                      <a:avLst/>
                    </a:prstGeom>
                    <a:noFill/>
                    <a:ln>
                      <a:noFill/>
                    </a:ln>
                  </pic:spPr>
                </pic:pic>
              </a:graphicData>
            </a:graphic>
          </wp:inline>
        </w:drawing>
      </w:r>
      <w:r>
        <w:rPr>
          <w:noProof/>
        </w:rPr>
        <w:lastRenderedPageBreak/>
        <w:drawing>
          <wp:inline distT="0" distB="0" distL="114300" distR="114300" wp14:anchorId="78DB3136" wp14:editId="0BFBD6A9">
            <wp:extent cx="5271135" cy="7434580"/>
            <wp:effectExtent l="0" t="0" r="5715" b="13970"/>
            <wp:docPr id="4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6"/>
                    <pic:cNvPicPr>
                      <a:picLocks noChangeAspect="1"/>
                    </pic:cNvPicPr>
                  </pic:nvPicPr>
                  <pic:blipFill>
                    <a:blip r:embed="rId347"/>
                    <a:stretch>
                      <a:fillRect/>
                    </a:stretch>
                  </pic:blipFill>
                  <pic:spPr>
                    <a:xfrm>
                      <a:off x="0" y="0"/>
                      <a:ext cx="5271135" cy="7434580"/>
                    </a:xfrm>
                    <a:prstGeom prst="rect">
                      <a:avLst/>
                    </a:prstGeom>
                    <a:noFill/>
                    <a:ln>
                      <a:noFill/>
                    </a:ln>
                  </pic:spPr>
                </pic:pic>
              </a:graphicData>
            </a:graphic>
          </wp:inline>
        </w:drawing>
      </w:r>
      <w:r>
        <w:rPr>
          <w:noProof/>
        </w:rPr>
        <w:lastRenderedPageBreak/>
        <w:drawing>
          <wp:inline distT="0" distB="0" distL="114300" distR="114300" wp14:anchorId="5766D68D" wp14:editId="1F41D22A">
            <wp:extent cx="5268595" cy="7330440"/>
            <wp:effectExtent l="0" t="0" r="8255" b="3810"/>
            <wp:docPr id="4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7"/>
                    <pic:cNvPicPr>
                      <a:picLocks noChangeAspect="1"/>
                    </pic:cNvPicPr>
                  </pic:nvPicPr>
                  <pic:blipFill>
                    <a:blip r:embed="rId348"/>
                    <a:stretch>
                      <a:fillRect/>
                    </a:stretch>
                  </pic:blipFill>
                  <pic:spPr>
                    <a:xfrm>
                      <a:off x="0" y="0"/>
                      <a:ext cx="5268595" cy="7330440"/>
                    </a:xfrm>
                    <a:prstGeom prst="rect">
                      <a:avLst/>
                    </a:prstGeom>
                    <a:noFill/>
                    <a:ln>
                      <a:noFill/>
                    </a:ln>
                  </pic:spPr>
                </pic:pic>
              </a:graphicData>
            </a:graphic>
          </wp:inline>
        </w:drawing>
      </w:r>
      <w:r>
        <w:rPr>
          <w:noProof/>
        </w:rPr>
        <w:lastRenderedPageBreak/>
        <w:drawing>
          <wp:inline distT="0" distB="0" distL="114300" distR="114300" wp14:anchorId="3B286129" wp14:editId="17243BD0">
            <wp:extent cx="5272405" cy="8067675"/>
            <wp:effectExtent l="0" t="0" r="4445" b="9525"/>
            <wp:docPr id="5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8"/>
                    <pic:cNvPicPr>
                      <a:picLocks noChangeAspect="1"/>
                    </pic:cNvPicPr>
                  </pic:nvPicPr>
                  <pic:blipFill>
                    <a:blip r:embed="rId349"/>
                    <a:stretch>
                      <a:fillRect/>
                    </a:stretch>
                  </pic:blipFill>
                  <pic:spPr>
                    <a:xfrm>
                      <a:off x="0" y="0"/>
                      <a:ext cx="5272405" cy="8067675"/>
                    </a:xfrm>
                    <a:prstGeom prst="rect">
                      <a:avLst/>
                    </a:prstGeom>
                    <a:noFill/>
                    <a:ln>
                      <a:noFill/>
                    </a:ln>
                  </pic:spPr>
                </pic:pic>
              </a:graphicData>
            </a:graphic>
          </wp:inline>
        </w:drawing>
      </w:r>
      <w:r>
        <w:rPr>
          <w:noProof/>
        </w:rPr>
        <w:lastRenderedPageBreak/>
        <w:drawing>
          <wp:inline distT="0" distB="0" distL="114300" distR="114300" wp14:anchorId="64174CD6" wp14:editId="6CEBA95F">
            <wp:extent cx="5271135" cy="8189595"/>
            <wp:effectExtent l="0" t="0" r="5715" b="1905"/>
            <wp:docPr id="5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9"/>
                    <pic:cNvPicPr>
                      <a:picLocks noChangeAspect="1"/>
                    </pic:cNvPicPr>
                  </pic:nvPicPr>
                  <pic:blipFill>
                    <a:blip r:embed="rId350"/>
                    <a:stretch>
                      <a:fillRect/>
                    </a:stretch>
                  </pic:blipFill>
                  <pic:spPr>
                    <a:xfrm>
                      <a:off x="0" y="0"/>
                      <a:ext cx="5271135" cy="8189595"/>
                    </a:xfrm>
                    <a:prstGeom prst="rect">
                      <a:avLst/>
                    </a:prstGeom>
                    <a:noFill/>
                    <a:ln>
                      <a:noFill/>
                    </a:ln>
                  </pic:spPr>
                </pic:pic>
              </a:graphicData>
            </a:graphic>
          </wp:inline>
        </w:drawing>
      </w:r>
      <w:r>
        <w:rPr>
          <w:noProof/>
        </w:rPr>
        <w:lastRenderedPageBreak/>
        <w:drawing>
          <wp:inline distT="0" distB="0" distL="114300" distR="114300" wp14:anchorId="27CD967A" wp14:editId="15128EA1">
            <wp:extent cx="5273675" cy="7362190"/>
            <wp:effectExtent l="0" t="0" r="3175" b="10160"/>
            <wp:docPr id="5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0"/>
                    <pic:cNvPicPr>
                      <a:picLocks noChangeAspect="1"/>
                    </pic:cNvPicPr>
                  </pic:nvPicPr>
                  <pic:blipFill>
                    <a:blip r:embed="rId351"/>
                    <a:stretch>
                      <a:fillRect/>
                    </a:stretch>
                  </pic:blipFill>
                  <pic:spPr>
                    <a:xfrm>
                      <a:off x="0" y="0"/>
                      <a:ext cx="5273675" cy="7362190"/>
                    </a:xfrm>
                    <a:prstGeom prst="rect">
                      <a:avLst/>
                    </a:prstGeom>
                    <a:noFill/>
                    <a:ln>
                      <a:noFill/>
                    </a:ln>
                  </pic:spPr>
                </pic:pic>
              </a:graphicData>
            </a:graphic>
          </wp:inline>
        </w:drawing>
      </w:r>
      <w:r>
        <w:rPr>
          <w:noProof/>
        </w:rPr>
        <w:lastRenderedPageBreak/>
        <w:drawing>
          <wp:inline distT="0" distB="0" distL="114300" distR="114300" wp14:anchorId="03F674D5" wp14:editId="20ECC7A7">
            <wp:extent cx="5273040" cy="7474585"/>
            <wp:effectExtent l="0" t="0" r="3810" b="12065"/>
            <wp:docPr id="6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1"/>
                    <pic:cNvPicPr>
                      <a:picLocks noChangeAspect="1"/>
                    </pic:cNvPicPr>
                  </pic:nvPicPr>
                  <pic:blipFill>
                    <a:blip r:embed="rId352"/>
                    <a:stretch>
                      <a:fillRect/>
                    </a:stretch>
                  </pic:blipFill>
                  <pic:spPr>
                    <a:xfrm>
                      <a:off x="0" y="0"/>
                      <a:ext cx="5273040" cy="7474585"/>
                    </a:xfrm>
                    <a:prstGeom prst="rect">
                      <a:avLst/>
                    </a:prstGeom>
                    <a:noFill/>
                    <a:ln>
                      <a:noFill/>
                    </a:ln>
                  </pic:spPr>
                </pic:pic>
              </a:graphicData>
            </a:graphic>
          </wp:inline>
        </w:drawing>
      </w:r>
      <w:r>
        <w:rPr>
          <w:noProof/>
        </w:rPr>
        <w:lastRenderedPageBreak/>
        <w:drawing>
          <wp:inline distT="0" distB="0" distL="114300" distR="114300" wp14:anchorId="36B414F4" wp14:editId="3594B2D4">
            <wp:extent cx="5269865" cy="8066405"/>
            <wp:effectExtent l="0" t="0" r="6985" b="10795"/>
            <wp:docPr id="10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2"/>
                    <pic:cNvPicPr>
                      <a:picLocks noChangeAspect="1"/>
                    </pic:cNvPicPr>
                  </pic:nvPicPr>
                  <pic:blipFill>
                    <a:blip r:embed="rId353"/>
                    <a:stretch>
                      <a:fillRect/>
                    </a:stretch>
                  </pic:blipFill>
                  <pic:spPr>
                    <a:xfrm>
                      <a:off x="0" y="0"/>
                      <a:ext cx="5269865" cy="8066405"/>
                    </a:xfrm>
                    <a:prstGeom prst="rect">
                      <a:avLst/>
                    </a:prstGeom>
                    <a:noFill/>
                    <a:ln>
                      <a:noFill/>
                    </a:ln>
                  </pic:spPr>
                </pic:pic>
              </a:graphicData>
            </a:graphic>
          </wp:inline>
        </w:drawing>
      </w:r>
      <w:r>
        <w:rPr>
          <w:noProof/>
        </w:rPr>
        <w:lastRenderedPageBreak/>
        <w:drawing>
          <wp:inline distT="0" distB="0" distL="114300" distR="114300" wp14:anchorId="249D2EDB" wp14:editId="3D1B581B">
            <wp:extent cx="5269865" cy="7447280"/>
            <wp:effectExtent l="0" t="0" r="6985" b="1270"/>
            <wp:docPr id="11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3"/>
                    <pic:cNvPicPr>
                      <a:picLocks noChangeAspect="1"/>
                    </pic:cNvPicPr>
                  </pic:nvPicPr>
                  <pic:blipFill>
                    <a:blip r:embed="rId354"/>
                    <a:stretch>
                      <a:fillRect/>
                    </a:stretch>
                  </pic:blipFill>
                  <pic:spPr>
                    <a:xfrm>
                      <a:off x="0" y="0"/>
                      <a:ext cx="5269865" cy="7447280"/>
                    </a:xfrm>
                    <a:prstGeom prst="rect">
                      <a:avLst/>
                    </a:prstGeom>
                    <a:noFill/>
                    <a:ln>
                      <a:noFill/>
                    </a:ln>
                  </pic:spPr>
                </pic:pic>
              </a:graphicData>
            </a:graphic>
          </wp:inline>
        </w:drawing>
      </w:r>
      <w:r>
        <w:rPr>
          <w:noProof/>
        </w:rPr>
        <w:lastRenderedPageBreak/>
        <w:drawing>
          <wp:inline distT="0" distB="0" distL="114300" distR="114300" wp14:anchorId="5D0FE7C3" wp14:editId="463B0984">
            <wp:extent cx="5273040" cy="7447915"/>
            <wp:effectExtent l="0" t="0" r="3810" b="635"/>
            <wp:docPr id="11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4"/>
                    <pic:cNvPicPr>
                      <a:picLocks noChangeAspect="1"/>
                    </pic:cNvPicPr>
                  </pic:nvPicPr>
                  <pic:blipFill>
                    <a:blip r:embed="rId355"/>
                    <a:stretch>
                      <a:fillRect/>
                    </a:stretch>
                  </pic:blipFill>
                  <pic:spPr>
                    <a:xfrm>
                      <a:off x="0" y="0"/>
                      <a:ext cx="5273040" cy="7447915"/>
                    </a:xfrm>
                    <a:prstGeom prst="rect">
                      <a:avLst/>
                    </a:prstGeom>
                    <a:noFill/>
                    <a:ln>
                      <a:noFill/>
                    </a:ln>
                  </pic:spPr>
                </pic:pic>
              </a:graphicData>
            </a:graphic>
          </wp:inline>
        </w:drawing>
      </w:r>
      <w:r>
        <w:rPr>
          <w:noProof/>
        </w:rPr>
        <w:lastRenderedPageBreak/>
        <w:drawing>
          <wp:inline distT="0" distB="0" distL="114300" distR="114300" wp14:anchorId="61E8F973" wp14:editId="41B68B37">
            <wp:extent cx="5271135" cy="8223885"/>
            <wp:effectExtent l="0" t="0" r="5715" b="5715"/>
            <wp:docPr id="11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5"/>
                    <pic:cNvPicPr>
                      <a:picLocks noChangeAspect="1"/>
                    </pic:cNvPicPr>
                  </pic:nvPicPr>
                  <pic:blipFill>
                    <a:blip r:embed="rId356"/>
                    <a:stretch>
                      <a:fillRect/>
                    </a:stretch>
                  </pic:blipFill>
                  <pic:spPr>
                    <a:xfrm>
                      <a:off x="0" y="0"/>
                      <a:ext cx="5271135" cy="8223885"/>
                    </a:xfrm>
                    <a:prstGeom prst="rect">
                      <a:avLst/>
                    </a:prstGeom>
                    <a:noFill/>
                    <a:ln>
                      <a:noFill/>
                    </a:ln>
                  </pic:spPr>
                </pic:pic>
              </a:graphicData>
            </a:graphic>
          </wp:inline>
        </w:drawing>
      </w:r>
      <w:r>
        <w:rPr>
          <w:noProof/>
        </w:rPr>
        <w:lastRenderedPageBreak/>
        <w:drawing>
          <wp:inline distT="0" distB="0" distL="114300" distR="114300" wp14:anchorId="1307A00A" wp14:editId="2693580E">
            <wp:extent cx="5271135" cy="7443470"/>
            <wp:effectExtent l="0" t="0" r="5715" b="5080"/>
            <wp:docPr id="11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6"/>
                    <pic:cNvPicPr>
                      <a:picLocks noChangeAspect="1"/>
                    </pic:cNvPicPr>
                  </pic:nvPicPr>
                  <pic:blipFill>
                    <a:blip r:embed="rId357"/>
                    <a:stretch>
                      <a:fillRect/>
                    </a:stretch>
                  </pic:blipFill>
                  <pic:spPr>
                    <a:xfrm>
                      <a:off x="0" y="0"/>
                      <a:ext cx="5271135" cy="7443470"/>
                    </a:xfrm>
                    <a:prstGeom prst="rect">
                      <a:avLst/>
                    </a:prstGeom>
                    <a:noFill/>
                    <a:ln>
                      <a:noFill/>
                    </a:ln>
                  </pic:spPr>
                </pic:pic>
              </a:graphicData>
            </a:graphic>
          </wp:inline>
        </w:drawing>
      </w:r>
      <w:r>
        <w:rPr>
          <w:noProof/>
        </w:rPr>
        <w:lastRenderedPageBreak/>
        <w:drawing>
          <wp:inline distT="0" distB="0" distL="114300" distR="114300" wp14:anchorId="7DA5E24E" wp14:editId="5FE7C6A4">
            <wp:extent cx="5270500" cy="7423150"/>
            <wp:effectExtent l="0" t="0" r="6350" b="6350"/>
            <wp:docPr id="12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7"/>
                    <pic:cNvPicPr>
                      <a:picLocks noChangeAspect="1"/>
                    </pic:cNvPicPr>
                  </pic:nvPicPr>
                  <pic:blipFill>
                    <a:blip r:embed="rId358"/>
                    <a:stretch>
                      <a:fillRect/>
                    </a:stretch>
                  </pic:blipFill>
                  <pic:spPr>
                    <a:xfrm>
                      <a:off x="0" y="0"/>
                      <a:ext cx="5270500" cy="7423150"/>
                    </a:xfrm>
                    <a:prstGeom prst="rect">
                      <a:avLst/>
                    </a:prstGeom>
                    <a:noFill/>
                    <a:ln>
                      <a:noFill/>
                    </a:ln>
                  </pic:spPr>
                </pic:pic>
              </a:graphicData>
            </a:graphic>
          </wp:inline>
        </w:drawing>
      </w:r>
      <w:r>
        <w:rPr>
          <w:noProof/>
        </w:rPr>
        <w:lastRenderedPageBreak/>
        <w:drawing>
          <wp:inline distT="0" distB="0" distL="114300" distR="114300" wp14:anchorId="59BC689A" wp14:editId="2C05D2C8">
            <wp:extent cx="5273675" cy="7449185"/>
            <wp:effectExtent l="0" t="0" r="3175" b="18415"/>
            <wp:docPr id="12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8"/>
                    <pic:cNvPicPr>
                      <a:picLocks noChangeAspect="1"/>
                    </pic:cNvPicPr>
                  </pic:nvPicPr>
                  <pic:blipFill>
                    <a:blip r:embed="rId359"/>
                    <a:stretch>
                      <a:fillRect/>
                    </a:stretch>
                  </pic:blipFill>
                  <pic:spPr>
                    <a:xfrm>
                      <a:off x="0" y="0"/>
                      <a:ext cx="5273675" cy="7449185"/>
                    </a:xfrm>
                    <a:prstGeom prst="rect">
                      <a:avLst/>
                    </a:prstGeom>
                    <a:noFill/>
                    <a:ln>
                      <a:noFill/>
                    </a:ln>
                  </pic:spPr>
                </pic:pic>
              </a:graphicData>
            </a:graphic>
          </wp:inline>
        </w:drawing>
      </w:r>
      <w:r>
        <w:rPr>
          <w:noProof/>
        </w:rPr>
        <w:lastRenderedPageBreak/>
        <w:drawing>
          <wp:inline distT="0" distB="0" distL="114300" distR="114300" wp14:anchorId="76741FA4" wp14:editId="5FEEC060">
            <wp:extent cx="5272405" cy="8036560"/>
            <wp:effectExtent l="0" t="0" r="4445" b="2540"/>
            <wp:docPr id="12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9"/>
                    <pic:cNvPicPr>
                      <a:picLocks noChangeAspect="1"/>
                    </pic:cNvPicPr>
                  </pic:nvPicPr>
                  <pic:blipFill>
                    <a:blip r:embed="rId360"/>
                    <a:stretch>
                      <a:fillRect/>
                    </a:stretch>
                  </pic:blipFill>
                  <pic:spPr>
                    <a:xfrm>
                      <a:off x="0" y="0"/>
                      <a:ext cx="5272405" cy="8036560"/>
                    </a:xfrm>
                    <a:prstGeom prst="rect">
                      <a:avLst/>
                    </a:prstGeom>
                    <a:noFill/>
                    <a:ln>
                      <a:noFill/>
                    </a:ln>
                  </pic:spPr>
                </pic:pic>
              </a:graphicData>
            </a:graphic>
          </wp:inline>
        </w:drawing>
      </w:r>
      <w:r>
        <w:rPr>
          <w:noProof/>
        </w:rPr>
        <w:lastRenderedPageBreak/>
        <w:drawing>
          <wp:inline distT="0" distB="0" distL="114300" distR="114300" wp14:anchorId="65570EFF" wp14:editId="57E72A98">
            <wp:extent cx="5271135" cy="7915275"/>
            <wp:effectExtent l="0" t="0" r="5715" b="9525"/>
            <wp:docPr id="12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0"/>
                    <pic:cNvPicPr>
                      <a:picLocks noChangeAspect="1"/>
                    </pic:cNvPicPr>
                  </pic:nvPicPr>
                  <pic:blipFill>
                    <a:blip r:embed="rId361"/>
                    <a:stretch>
                      <a:fillRect/>
                    </a:stretch>
                  </pic:blipFill>
                  <pic:spPr>
                    <a:xfrm>
                      <a:off x="0" y="0"/>
                      <a:ext cx="5271135" cy="7915275"/>
                    </a:xfrm>
                    <a:prstGeom prst="rect">
                      <a:avLst/>
                    </a:prstGeom>
                    <a:noFill/>
                    <a:ln>
                      <a:noFill/>
                    </a:ln>
                  </pic:spPr>
                </pic:pic>
              </a:graphicData>
            </a:graphic>
          </wp:inline>
        </w:drawing>
      </w:r>
      <w:r>
        <w:rPr>
          <w:noProof/>
        </w:rPr>
        <w:lastRenderedPageBreak/>
        <w:drawing>
          <wp:inline distT="0" distB="0" distL="114300" distR="114300" wp14:anchorId="5A5A00E1" wp14:editId="49E094A6">
            <wp:extent cx="5268595" cy="7418705"/>
            <wp:effectExtent l="0" t="0" r="8255" b="10795"/>
            <wp:docPr id="12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41"/>
                    <pic:cNvPicPr>
                      <a:picLocks noChangeAspect="1"/>
                    </pic:cNvPicPr>
                  </pic:nvPicPr>
                  <pic:blipFill>
                    <a:blip r:embed="rId362"/>
                    <a:stretch>
                      <a:fillRect/>
                    </a:stretch>
                  </pic:blipFill>
                  <pic:spPr>
                    <a:xfrm>
                      <a:off x="0" y="0"/>
                      <a:ext cx="5268595" cy="7418705"/>
                    </a:xfrm>
                    <a:prstGeom prst="rect">
                      <a:avLst/>
                    </a:prstGeom>
                    <a:noFill/>
                    <a:ln>
                      <a:noFill/>
                    </a:ln>
                  </pic:spPr>
                </pic:pic>
              </a:graphicData>
            </a:graphic>
          </wp:inline>
        </w:drawing>
      </w:r>
      <w:r>
        <w:rPr>
          <w:noProof/>
        </w:rPr>
        <w:lastRenderedPageBreak/>
        <w:drawing>
          <wp:inline distT="0" distB="0" distL="114300" distR="114300" wp14:anchorId="47B38723" wp14:editId="4D541398">
            <wp:extent cx="5271770" cy="7375525"/>
            <wp:effectExtent l="0" t="0" r="5080" b="15875"/>
            <wp:docPr id="12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42"/>
                    <pic:cNvPicPr>
                      <a:picLocks noChangeAspect="1"/>
                    </pic:cNvPicPr>
                  </pic:nvPicPr>
                  <pic:blipFill>
                    <a:blip r:embed="rId363"/>
                    <a:stretch>
                      <a:fillRect/>
                    </a:stretch>
                  </pic:blipFill>
                  <pic:spPr>
                    <a:xfrm>
                      <a:off x="0" y="0"/>
                      <a:ext cx="5271770" cy="7375525"/>
                    </a:xfrm>
                    <a:prstGeom prst="rect">
                      <a:avLst/>
                    </a:prstGeom>
                    <a:noFill/>
                    <a:ln>
                      <a:noFill/>
                    </a:ln>
                  </pic:spPr>
                </pic:pic>
              </a:graphicData>
            </a:graphic>
          </wp:inline>
        </w:drawing>
      </w:r>
      <w:r>
        <w:rPr>
          <w:noProof/>
        </w:rPr>
        <w:lastRenderedPageBreak/>
        <w:drawing>
          <wp:inline distT="0" distB="0" distL="114300" distR="114300" wp14:anchorId="2D808BCE" wp14:editId="378032A8">
            <wp:extent cx="5273040" cy="7886700"/>
            <wp:effectExtent l="0" t="0" r="3810" b="0"/>
            <wp:docPr id="12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43"/>
                    <pic:cNvPicPr>
                      <a:picLocks noChangeAspect="1"/>
                    </pic:cNvPicPr>
                  </pic:nvPicPr>
                  <pic:blipFill>
                    <a:blip r:embed="rId364"/>
                    <a:stretch>
                      <a:fillRect/>
                    </a:stretch>
                  </pic:blipFill>
                  <pic:spPr>
                    <a:xfrm>
                      <a:off x="0" y="0"/>
                      <a:ext cx="5273040" cy="7886700"/>
                    </a:xfrm>
                    <a:prstGeom prst="rect">
                      <a:avLst/>
                    </a:prstGeom>
                    <a:noFill/>
                    <a:ln>
                      <a:noFill/>
                    </a:ln>
                  </pic:spPr>
                </pic:pic>
              </a:graphicData>
            </a:graphic>
          </wp:inline>
        </w:drawing>
      </w:r>
      <w:r>
        <w:rPr>
          <w:noProof/>
        </w:rPr>
        <w:lastRenderedPageBreak/>
        <w:drawing>
          <wp:inline distT="0" distB="0" distL="114300" distR="114300" wp14:anchorId="4C24222F" wp14:editId="21404609">
            <wp:extent cx="5269230" cy="8159750"/>
            <wp:effectExtent l="0" t="0" r="7620" b="12700"/>
            <wp:docPr id="34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44"/>
                    <pic:cNvPicPr>
                      <a:picLocks noChangeAspect="1"/>
                    </pic:cNvPicPr>
                  </pic:nvPicPr>
                  <pic:blipFill>
                    <a:blip r:embed="rId365"/>
                    <a:stretch>
                      <a:fillRect/>
                    </a:stretch>
                  </pic:blipFill>
                  <pic:spPr>
                    <a:xfrm>
                      <a:off x="0" y="0"/>
                      <a:ext cx="5269230" cy="8159750"/>
                    </a:xfrm>
                    <a:prstGeom prst="rect">
                      <a:avLst/>
                    </a:prstGeom>
                    <a:noFill/>
                    <a:ln>
                      <a:noFill/>
                    </a:ln>
                  </pic:spPr>
                </pic:pic>
              </a:graphicData>
            </a:graphic>
          </wp:inline>
        </w:drawing>
      </w:r>
      <w:r>
        <w:rPr>
          <w:noProof/>
        </w:rPr>
        <w:lastRenderedPageBreak/>
        <w:drawing>
          <wp:inline distT="0" distB="0" distL="114300" distR="114300" wp14:anchorId="39CB7C65" wp14:editId="4E700036">
            <wp:extent cx="5269230" cy="8501380"/>
            <wp:effectExtent l="0" t="0" r="7620" b="13970"/>
            <wp:docPr id="34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45"/>
                    <pic:cNvPicPr>
                      <a:picLocks noChangeAspect="1"/>
                    </pic:cNvPicPr>
                  </pic:nvPicPr>
                  <pic:blipFill>
                    <a:blip r:embed="rId366"/>
                    <a:stretch>
                      <a:fillRect/>
                    </a:stretch>
                  </pic:blipFill>
                  <pic:spPr>
                    <a:xfrm>
                      <a:off x="0" y="0"/>
                      <a:ext cx="5269230" cy="8501380"/>
                    </a:xfrm>
                    <a:prstGeom prst="rect">
                      <a:avLst/>
                    </a:prstGeom>
                    <a:noFill/>
                    <a:ln>
                      <a:noFill/>
                    </a:ln>
                  </pic:spPr>
                </pic:pic>
              </a:graphicData>
            </a:graphic>
          </wp:inline>
        </w:drawing>
      </w:r>
      <w:r>
        <w:rPr>
          <w:noProof/>
        </w:rPr>
        <w:lastRenderedPageBreak/>
        <w:drawing>
          <wp:inline distT="0" distB="0" distL="114300" distR="114300" wp14:anchorId="39C5096F" wp14:editId="5707BDCA">
            <wp:extent cx="5269230" cy="8113395"/>
            <wp:effectExtent l="0" t="0" r="7620" b="1905"/>
            <wp:docPr id="34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46"/>
                    <pic:cNvPicPr>
                      <a:picLocks noChangeAspect="1"/>
                    </pic:cNvPicPr>
                  </pic:nvPicPr>
                  <pic:blipFill>
                    <a:blip r:embed="rId367"/>
                    <a:stretch>
                      <a:fillRect/>
                    </a:stretch>
                  </pic:blipFill>
                  <pic:spPr>
                    <a:xfrm>
                      <a:off x="0" y="0"/>
                      <a:ext cx="5269230" cy="8113395"/>
                    </a:xfrm>
                    <a:prstGeom prst="rect">
                      <a:avLst/>
                    </a:prstGeom>
                    <a:noFill/>
                    <a:ln>
                      <a:noFill/>
                    </a:ln>
                  </pic:spPr>
                </pic:pic>
              </a:graphicData>
            </a:graphic>
          </wp:inline>
        </w:drawing>
      </w:r>
      <w:r>
        <w:rPr>
          <w:noProof/>
        </w:rPr>
        <w:lastRenderedPageBreak/>
        <w:drawing>
          <wp:inline distT="0" distB="0" distL="114300" distR="114300" wp14:anchorId="5F08DFBF" wp14:editId="727C9BC5">
            <wp:extent cx="5270500" cy="7892415"/>
            <wp:effectExtent l="0" t="0" r="6350" b="13335"/>
            <wp:docPr id="3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47"/>
                    <pic:cNvPicPr>
                      <a:picLocks noChangeAspect="1"/>
                    </pic:cNvPicPr>
                  </pic:nvPicPr>
                  <pic:blipFill>
                    <a:blip r:embed="rId368"/>
                    <a:stretch>
                      <a:fillRect/>
                    </a:stretch>
                  </pic:blipFill>
                  <pic:spPr>
                    <a:xfrm>
                      <a:off x="0" y="0"/>
                      <a:ext cx="5270500" cy="7892415"/>
                    </a:xfrm>
                    <a:prstGeom prst="rect">
                      <a:avLst/>
                    </a:prstGeom>
                    <a:noFill/>
                    <a:ln>
                      <a:noFill/>
                    </a:ln>
                  </pic:spPr>
                </pic:pic>
              </a:graphicData>
            </a:graphic>
          </wp:inline>
        </w:drawing>
      </w:r>
      <w:r>
        <w:rPr>
          <w:noProof/>
        </w:rPr>
        <w:lastRenderedPageBreak/>
        <w:drawing>
          <wp:inline distT="0" distB="0" distL="114300" distR="114300" wp14:anchorId="3170B84C" wp14:editId="4C5B0C75">
            <wp:extent cx="5271135" cy="8235950"/>
            <wp:effectExtent l="0" t="0" r="5715" b="12700"/>
            <wp:docPr id="3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48"/>
                    <pic:cNvPicPr>
                      <a:picLocks noChangeAspect="1"/>
                    </pic:cNvPicPr>
                  </pic:nvPicPr>
                  <pic:blipFill>
                    <a:blip r:embed="rId369"/>
                    <a:stretch>
                      <a:fillRect/>
                    </a:stretch>
                  </pic:blipFill>
                  <pic:spPr>
                    <a:xfrm>
                      <a:off x="0" y="0"/>
                      <a:ext cx="5271135" cy="8235950"/>
                    </a:xfrm>
                    <a:prstGeom prst="rect">
                      <a:avLst/>
                    </a:prstGeom>
                    <a:noFill/>
                    <a:ln>
                      <a:noFill/>
                    </a:ln>
                  </pic:spPr>
                </pic:pic>
              </a:graphicData>
            </a:graphic>
          </wp:inline>
        </w:drawing>
      </w:r>
      <w:r>
        <w:rPr>
          <w:noProof/>
        </w:rPr>
        <w:lastRenderedPageBreak/>
        <w:drawing>
          <wp:inline distT="0" distB="0" distL="114300" distR="114300" wp14:anchorId="5BF9BDF8" wp14:editId="16F9A84A">
            <wp:extent cx="5271135" cy="8316595"/>
            <wp:effectExtent l="0" t="0" r="5715" b="8255"/>
            <wp:docPr id="35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49"/>
                    <pic:cNvPicPr>
                      <a:picLocks noChangeAspect="1"/>
                    </pic:cNvPicPr>
                  </pic:nvPicPr>
                  <pic:blipFill>
                    <a:blip r:embed="rId370"/>
                    <a:stretch>
                      <a:fillRect/>
                    </a:stretch>
                  </pic:blipFill>
                  <pic:spPr>
                    <a:xfrm>
                      <a:off x="0" y="0"/>
                      <a:ext cx="5271135" cy="8316595"/>
                    </a:xfrm>
                    <a:prstGeom prst="rect">
                      <a:avLst/>
                    </a:prstGeom>
                    <a:noFill/>
                    <a:ln>
                      <a:noFill/>
                    </a:ln>
                  </pic:spPr>
                </pic:pic>
              </a:graphicData>
            </a:graphic>
          </wp:inline>
        </w:drawing>
      </w:r>
      <w:r>
        <w:rPr>
          <w:noProof/>
        </w:rPr>
        <w:lastRenderedPageBreak/>
        <w:drawing>
          <wp:inline distT="0" distB="0" distL="114300" distR="114300" wp14:anchorId="02B9E685" wp14:editId="30CD224E">
            <wp:extent cx="5271135" cy="8312785"/>
            <wp:effectExtent l="0" t="0" r="5715" b="12065"/>
            <wp:docPr id="35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50"/>
                    <pic:cNvPicPr>
                      <a:picLocks noChangeAspect="1"/>
                    </pic:cNvPicPr>
                  </pic:nvPicPr>
                  <pic:blipFill>
                    <a:blip r:embed="rId371"/>
                    <a:stretch>
                      <a:fillRect/>
                    </a:stretch>
                  </pic:blipFill>
                  <pic:spPr>
                    <a:xfrm>
                      <a:off x="0" y="0"/>
                      <a:ext cx="5271135" cy="8312785"/>
                    </a:xfrm>
                    <a:prstGeom prst="rect">
                      <a:avLst/>
                    </a:prstGeom>
                    <a:noFill/>
                    <a:ln>
                      <a:noFill/>
                    </a:ln>
                  </pic:spPr>
                </pic:pic>
              </a:graphicData>
            </a:graphic>
          </wp:inline>
        </w:drawing>
      </w:r>
      <w:r>
        <w:rPr>
          <w:noProof/>
        </w:rPr>
        <w:lastRenderedPageBreak/>
        <w:drawing>
          <wp:inline distT="0" distB="0" distL="114300" distR="114300" wp14:anchorId="48A9E7B3" wp14:editId="392A94F2">
            <wp:extent cx="5273040" cy="8337550"/>
            <wp:effectExtent l="0" t="0" r="3810" b="6350"/>
            <wp:docPr id="35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51"/>
                    <pic:cNvPicPr>
                      <a:picLocks noChangeAspect="1"/>
                    </pic:cNvPicPr>
                  </pic:nvPicPr>
                  <pic:blipFill>
                    <a:blip r:embed="rId372"/>
                    <a:stretch>
                      <a:fillRect/>
                    </a:stretch>
                  </pic:blipFill>
                  <pic:spPr>
                    <a:xfrm>
                      <a:off x="0" y="0"/>
                      <a:ext cx="5273040" cy="8337550"/>
                    </a:xfrm>
                    <a:prstGeom prst="rect">
                      <a:avLst/>
                    </a:prstGeom>
                    <a:noFill/>
                    <a:ln>
                      <a:noFill/>
                    </a:ln>
                  </pic:spPr>
                </pic:pic>
              </a:graphicData>
            </a:graphic>
          </wp:inline>
        </w:drawing>
      </w:r>
      <w:r>
        <w:rPr>
          <w:noProof/>
        </w:rPr>
        <w:lastRenderedPageBreak/>
        <w:drawing>
          <wp:inline distT="0" distB="0" distL="114300" distR="114300" wp14:anchorId="31A0D65D" wp14:editId="024C8E72">
            <wp:extent cx="5271135" cy="8543925"/>
            <wp:effectExtent l="0" t="0" r="5715" b="9525"/>
            <wp:docPr id="35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52"/>
                    <pic:cNvPicPr>
                      <a:picLocks noChangeAspect="1"/>
                    </pic:cNvPicPr>
                  </pic:nvPicPr>
                  <pic:blipFill>
                    <a:blip r:embed="rId373"/>
                    <a:stretch>
                      <a:fillRect/>
                    </a:stretch>
                  </pic:blipFill>
                  <pic:spPr>
                    <a:xfrm>
                      <a:off x="0" y="0"/>
                      <a:ext cx="5271135" cy="8543925"/>
                    </a:xfrm>
                    <a:prstGeom prst="rect">
                      <a:avLst/>
                    </a:prstGeom>
                    <a:noFill/>
                    <a:ln>
                      <a:noFill/>
                    </a:ln>
                  </pic:spPr>
                </pic:pic>
              </a:graphicData>
            </a:graphic>
          </wp:inline>
        </w:drawing>
      </w:r>
      <w:r>
        <w:rPr>
          <w:noProof/>
        </w:rPr>
        <w:lastRenderedPageBreak/>
        <w:drawing>
          <wp:inline distT="0" distB="0" distL="114300" distR="114300" wp14:anchorId="4E016B07" wp14:editId="2773CD8E">
            <wp:extent cx="5271135" cy="8307070"/>
            <wp:effectExtent l="0" t="0" r="5715" b="17780"/>
            <wp:docPr id="35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53"/>
                    <pic:cNvPicPr>
                      <a:picLocks noChangeAspect="1"/>
                    </pic:cNvPicPr>
                  </pic:nvPicPr>
                  <pic:blipFill>
                    <a:blip r:embed="rId374"/>
                    <a:stretch>
                      <a:fillRect/>
                    </a:stretch>
                  </pic:blipFill>
                  <pic:spPr>
                    <a:xfrm>
                      <a:off x="0" y="0"/>
                      <a:ext cx="5271135" cy="8307070"/>
                    </a:xfrm>
                    <a:prstGeom prst="rect">
                      <a:avLst/>
                    </a:prstGeom>
                    <a:noFill/>
                    <a:ln>
                      <a:noFill/>
                    </a:ln>
                  </pic:spPr>
                </pic:pic>
              </a:graphicData>
            </a:graphic>
          </wp:inline>
        </w:drawing>
      </w:r>
      <w:r>
        <w:rPr>
          <w:noProof/>
        </w:rPr>
        <w:lastRenderedPageBreak/>
        <w:drawing>
          <wp:inline distT="0" distB="0" distL="114300" distR="114300" wp14:anchorId="20A17B2F" wp14:editId="6DFF6F32">
            <wp:extent cx="5271135" cy="8467725"/>
            <wp:effectExtent l="0" t="0" r="5715" b="9525"/>
            <wp:docPr id="35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54"/>
                    <pic:cNvPicPr>
                      <a:picLocks noChangeAspect="1"/>
                    </pic:cNvPicPr>
                  </pic:nvPicPr>
                  <pic:blipFill>
                    <a:blip r:embed="rId375"/>
                    <a:stretch>
                      <a:fillRect/>
                    </a:stretch>
                  </pic:blipFill>
                  <pic:spPr>
                    <a:xfrm>
                      <a:off x="0" y="0"/>
                      <a:ext cx="5271135" cy="8467725"/>
                    </a:xfrm>
                    <a:prstGeom prst="rect">
                      <a:avLst/>
                    </a:prstGeom>
                    <a:noFill/>
                    <a:ln>
                      <a:noFill/>
                    </a:ln>
                  </pic:spPr>
                </pic:pic>
              </a:graphicData>
            </a:graphic>
          </wp:inline>
        </w:drawing>
      </w:r>
      <w:r>
        <w:rPr>
          <w:noProof/>
        </w:rPr>
        <w:lastRenderedPageBreak/>
        <w:drawing>
          <wp:inline distT="0" distB="0" distL="114300" distR="114300" wp14:anchorId="7B59C90C" wp14:editId="3E82C32D">
            <wp:extent cx="5273040" cy="7492365"/>
            <wp:effectExtent l="0" t="0" r="3810" b="13335"/>
            <wp:docPr id="35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55"/>
                    <pic:cNvPicPr>
                      <a:picLocks noChangeAspect="1"/>
                    </pic:cNvPicPr>
                  </pic:nvPicPr>
                  <pic:blipFill>
                    <a:blip r:embed="rId376"/>
                    <a:stretch>
                      <a:fillRect/>
                    </a:stretch>
                  </pic:blipFill>
                  <pic:spPr>
                    <a:xfrm>
                      <a:off x="0" y="0"/>
                      <a:ext cx="5273040" cy="7492365"/>
                    </a:xfrm>
                    <a:prstGeom prst="rect">
                      <a:avLst/>
                    </a:prstGeom>
                    <a:noFill/>
                    <a:ln>
                      <a:noFill/>
                    </a:ln>
                  </pic:spPr>
                </pic:pic>
              </a:graphicData>
            </a:graphic>
          </wp:inline>
        </w:drawing>
      </w:r>
      <w:r>
        <w:rPr>
          <w:noProof/>
        </w:rPr>
        <w:lastRenderedPageBreak/>
        <w:drawing>
          <wp:inline distT="0" distB="0" distL="114300" distR="114300" wp14:anchorId="39866BE4" wp14:editId="74E5DBCC">
            <wp:extent cx="5273675" cy="7997190"/>
            <wp:effectExtent l="0" t="0" r="3175" b="3810"/>
            <wp:docPr id="35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56"/>
                    <pic:cNvPicPr>
                      <a:picLocks noChangeAspect="1"/>
                    </pic:cNvPicPr>
                  </pic:nvPicPr>
                  <pic:blipFill>
                    <a:blip r:embed="rId377"/>
                    <a:stretch>
                      <a:fillRect/>
                    </a:stretch>
                  </pic:blipFill>
                  <pic:spPr>
                    <a:xfrm>
                      <a:off x="0" y="0"/>
                      <a:ext cx="5273675" cy="7997190"/>
                    </a:xfrm>
                    <a:prstGeom prst="rect">
                      <a:avLst/>
                    </a:prstGeom>
                    <a:noFill/>
                    <a:ln>
                      <a:noFill/>
                    </a:ln>
                  </pic:spPr>
                </pic:pic>
              </a:graphicData>
            </a:graphic>
          </wp:inline>
        </w:drawing>
      </w:r>
      <w:r>
        <w:rPr>
          <w:noProof/>
        </w:rPr>
        <w:lastRenderedPageBreak/>
        <w:drawing>
          <wp:inline distT="0" distB="0" distL="114300" distR="114300" wp14:anchorId="312E1660" wp14:editId="501D1EB1">
            <wp:extent cx="5268595" cy="7400925"/>
            <wp:effectExtent l="0" t="0" r="8255" b="9525"/>
            <wp:docPr id="35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57"/>
                    <pic:cNvPicPr>
                      <a:picLocks noChangeAspect="1"/>
                    </pic:cNvPicPr>
                  </pic:nvPicPr>
                  <pic:blipFill>
                    <a:blip r:embed="rId378"/>
                    <a:stretch>
                      <a:fillRect/>
                    </a:stretch>
                  </pic:blipFill>
                  <pic:spPr>
                    <a:xfrm>
                      <a:off x="0" y="0"/>
                      <a:ext cx="5268595" cy="7400925"/>
                    </a:xfrm>
                    <a:prstGeom prst="rect">
                      <a:avLst/>
                    </a:prstGeom>
                    <a:noFill/>
                    <a:ln>
                      <a:noFill/>
                    </a:ln>
                  </pic:spPr>
                </pic:pic>
              </a:graphicData>
            </a:graphic>
          </wp:inline>
        </w:drawing>
      </w:r>
      <w:r>
        <w:rPr>
          <w:noProof/>
        </w:rPr>
        <w:lastRenderedPageBreak/>
        <w:drawing>
          <wp:inline distT="0" distB="0" distL="114300" distR="114300" wp14:anchorId="082F4086" wp14:editId="17CB0E74">
            <wp:extent cx="5273675" cy="7415530"/>
            <wp:effectExtent l="0" t="0" r="3175" b="13970"/>
            <wp:docPr id="35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58"/>
                    <pic:cNvPicPr>
                      <a:picLocks noChangeAspect="1"/>
                    </pic:cNvPicPr>
                  </pic:nvPicPr>
                  <pic:blipFill>
                    <a:blip r:embed="rId379"/>
                    <a:stretch>
                      <a:fillRect/>
                    </a:stretch>
                  </pic:blipFill>
                  <pic:spPr>
                    <a:xfrm>
                      <a:off x="0" y="0"/>
                      <a:ext cx="5273675" cy="7415530"/>
                    </a:xfrm>
                    <a:prstGeom prst="rect">
                      <a:avLst/>
                    </a:prstGeom>
                    <a:noFill/>
                    <a:ln>
                      <a:noFill/>
                    </a:ln>
                  </pic:spPr>
                </pic:pic>
              </a:graphicData>
            </a:graphic>
          </wp:inline>
        </w:drawing>
      </w:r>
      <w:r>
        <w:rPr>
          <w:noProof/>
        </w:rPr>
        <w:lastRenderedPageBreak/>
        <w:drawing>
          <wp:inline distT="0" distB="0" distL="114300" distR="114300" wp14:anchorId="63F62D56" wp14:editId="76363B18">
            <wp:extent cx="5270500" cy="7268845"/>
            <wp:effectExtent l="0" t="0" r="6350" b="8255"/>
            <wp:docPr id="36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59"/>
                    <pic:cNvPicPr>
                      <a:picLocks noChangeAspect="1"/>
                    </pic:cNvPicPr>
                  </pic:nvPicPr>
                  <pic:blipFill>
                    <a:blip r:embed="rId380"/>
                    <a:stretch>
                      <a:fillRect/>
                    </a:stretch>
                  </pic:blipFill>
                  <pic:spPr>
                    <a:xfrm>
                      <a:off x="0" y="0"/>
                      <a:ext cx="5270500" cy="7268845"/>
                    </a:xfrm>
                    <a:prstGeom prst="rect">
                      <a:avLst/>
                    </a:prstGeom>
                    <a:noFill/>
                    <a:ln>
                      <a:noFill/>
                    </a:ln>
                  </pic:spPr>
                </pic:pic>
              </a:graphicData>
            </a:graphic>
          </wp:inline>
        </w:drawing>
      </w:r>
      <w:r>
        <w:rPr>
          <w:noProof/>
        </w:rPr>
        <w:lastRenderedPageBreak/>
        <w:drawing>
          <wp:inline distT="0" distB="0" distL="114300" distR="114300" wp14:anchorId="1985F56B" wp14:editId="4324BA5A">
            <wp:extent cx="5269865" cy="7456170"/>
            <wp:effectExtent l="0" t="0" r="6985" b="1143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381"/>
                    <a:stretch>
                      <a:fillRect/>
                    </a:stretch>
                  </pic:blipFill>
                  <pic:spPr>
                    <a:xfrm>
                      <a:off x="0" y="0"/>
                      <a:ext cx="5269865" cy="7456170"/>
                    </a:xfrm>
                    <a:prstGeom prst="rect">
                      <a:avLst/>
                    </a:prstGeom>
                    <a:noFill/>
                    <a:ln>
                      <a:noFill/>
                    </a:ln>
                  </pic:spPr>
                </pic:pic>
              </a:graphicData>
            </a:graphic>
          </wp:inline>
        </w:drawing>
      </w:r>
      <w:r>
        <w:rPr>
          <w:noProof/>
        </w:rPr>
        <w:lastRenderedPageBreak/>
        <w:drawing>
          <wp:inline distT="0" distB="0" distL="114300" distR="114300" wp14:anchorId="730DD62D" wp14:editId="74DE6120">
            <wp:extent cx="5269230" cy="7859395"/>
            <wp:effectExtent l="0" t="0" r="7620" b="8255"/>
            <wp:docPr id="3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6"/>
                    <pic:cNvPicPr>
                      <a:picLocks noChangeAspect="1"/>
                    </pic:cNvPicPr>
                  </pic:nvPicPr>
                  <pic:blipFill>
                    <a:blip r:embed="rId382"/>
                    <a:stretch>
                      <a:fillRect/>
                    </a:stretch>
                  </pic:blipFill>
                  <pic:spPr>
                    <a:xfrm>
                      <a:off x="0" y="0"/>
                      <a:ext cx="5269230" cy="7859395"/>
                    </a:xfrm>
                    <a:prstGeom prst="rect">
                      <a:avLst/>
                    </a:prstGeom>
                    <a:noFill/>
                    <a:ln>
                      <a:noFill/>
                    </a:ln>
                  </pic:spPr>
                </pic:pic>
              </a:graphicData>
            </a:graphic>
          </wp:inline>
        </w:drawing>
      </w:r>
      <w:r>
        <w:rPr>
          <w:noProof/>
        </w:rPr>
        <w:lastRenderedPageBreak/>
        <w:drawing>
          <wp:inline distT="0" distB="0" distL="114300" distR="114300" wp14:anchorId="1240EE4E" wp14:editId="6002EC8B">
            <wp:extent cx="5270500" cy="8124825"/>
            <wp:effectExtent l="0" t="0" r="6350" b="9525"/>
            <wp:docPr id="3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7"/>
                    <pic:cNvPicPr>
                      <a:picLocks noChangeAspect="1"/>
                    </pic:cNvPicPr>
                  </pic:nvPicPr>
                  <pic:blipFill>
                    <a:blip r:embed="rId383"/>
                    <a:stretch>
                      <a:fillRect/>
                    </a:stretch>
                  </pic:blipFill>
                  <pic:spPr>
                    <a:xfrm>
                      <a:off x="0" y="0"/>
                      <a:ext cx="5270500" cy="8124825"/>
                    </a:xfrm>
                    <a:prstGeom prst="rect">
                      <a:avLst/>
                    </a:prstGeom>
                    <a:noFill/>
                    <a:ln>
                      <a:noFill/>
                    </a:ln>
                  </pic:spPr>
                </pic:pic>
              </a:graphicData>
            </a:graphic>
          </wp:inline>
        </w:drawing>
      </w:r>
      <w:r>
        <w:rPr>
          <w:noProof/>
        </w:rPr>
        <w:lastRenderedPageBreak/>
        <w:drawing>
          <wp:inline distT="0" distB="0" distL="114300" distR="114300" wp14:anchorId="6B3971E7" wp14:editId="15D389DB">
            <wp:extent cx="5270500" cy="7440930"/>
            <wp:effectExtent l="0" t="0" r="6350" b="7620"/>
            <wp:docPr id="3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8"/>
                    <pic:cNvPicPr>
                      <a:picLocks noChangeAspect="1"/>
                    </pic:cNvPicPr>
                  </pic:nvPicPr>
                  <pic:blipFill>
                    <a:blip r:embed="rId384"/>
                    <a:stretch>
                      <a:fillRect/>
                    </a:stretch>
                  </pic:blipFill>
                  <pic:spPr>
                    <a:xfrm>
                      <a:off x="0" y="0"/>
                      <a:ext cx="5270500" cy="7440930"/>
                    </a:xfrm>
                    <a:prstGeom prst="rect">
                      <a:avLst/>
                    </a:prstGeom>
                    <a:noFill/>
                    <a:ln>
                      <a:noFill/>
                    </a:ln>
                  </pic:spPr>
                </pic:pic>
              </a:graphicData>
            </a:graphic>
          </wp:inline>
        </w:drawing>
      </w:r>
      <w:r>
        <w:rPr>
          <w:noProof/>
        </w:rPr>
        <w:lastRenderedPageBreak/>
        <w:drawing>
          <wp:inline distT="0" distB="0" distL="114300" distR="114300" wp14:anchorId="6F5C4F6D" wp14:editId="436003A1">
            <wp:extent cx="5272405" cy="7445375"/>
            <wp:effectExtent l="0" t="0" r="4445" b="3175"/>
            <wp:docPr id="3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9"/>
                    <pic:cNvPicPr>
                      <a:picLocks noChangeAspect="1"/>
                    </pic:cNvPicPr>
                  </pic:nvPicPr>
                  <pic:blipFill>
                    <a:blip r:embed="rId385"/>
                    <a:stretch>
                      <a:fillRect/>
                    </a:stretch>
                  </pic:blipFill>
                  <pic:spPr>
                    <a:xfrm>
                      <a:off x="0" y="0"/>
                      <a:ext cx="5272405" cy="7445375"/>
                    </a:xfrm>
                    <a:prstGeom prst="rect">
                      <a:avLst/>
                    </a:prstGeom>
                    <a:noFill/>
                    <a:ln>
                      <a:noFill/>
                    </a:ln>
                  </pic:spPr>
                </pic:pic>
              </a:graphicData>
            </a:graphic>
          </wp:inline>
        </w:drawing>
      </w:r>
      <w:r>
        <w:rPr>
          <w:noProof/>
        </w:rPr>
        <w:lastRenderedPageBreak/>
        <w:drawing>
          <wp:inline distT="0" distB="0" distL="114300" distR="114300" wp14:anchorId="55781B38" wp14:editId="7BB9041D">
            <wp:extent cx="5269230" cy="7776210"/>
            <wp:effectExtent l="0" t="0" r="7620" b="15240"/>
            <wp:docPr id="36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10"/>
                    <pic:cNvPicPr>
                      <a:picLocks noChangeAspect="1"/>
                    </pic:cNvPicPr>
                  </pic:nvPicPr>
                  <pic:blipFill>
                    <a:blip r:embed="rId386"/>
                    <a:stretch>
                      <a:fillRect/>
                    </a:stretch>
                  </pic:blipFill>
                  <pic:spPr>
                    <a:xfrm>
                      <a:off x="0" y="0"/>
                      <a:ext cx="5269230" cy="7776210"/>
                    </a:xfrm>
                    <a:prstGeom prst="rect">
                      <a:avLst/>
                    </a:prstGeom>
                    <a:noFill/>
                    <a:ln>
                      <a:noFill/>
                    </a:ln>
                  </pic:spPr>
                </pic:pic>
              </a:graphicData>
            </a:graphic>
          </wp:inline>
        </w:drawing>
      </w:r>
      <w:r>
        <w:rPr>
          <w:noProof/>
        </w:rPr>
        <w:lastRenderedPageBreak/>
        <w:drawing>
          <wp:inline distT="0" distB="0" distL="114300" distR="114300" wp14:anchorId="03DFC566" wp14:editId="3AA48D15">
            <wp:extent cx="5270500" cy="7432040"/>
            <wp:effectExtent l="0" t="0" r="6350" b="16510"/>
            <wp:docPr id="36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11"/>
                    <pic:cNvPicPr>
                      <a:picLocks noChangeAspect="1"/>
                    </pic:cNvPicPr>
                  </pic:nvPicPr>
                  <pic:blipFill>
                    <a:blip r:embed="rId387"/>
                    <a:stretch>
                      <a:fillRect/>
                    </a:stretch>
                  </pic:blipFill>
                  <pic:spPr>
                    <a:xfrm>
                      <a:off x="0" y="0"/>
                      <a:ext cx="5270500" cy="7432040"/>
                    </a:xfrm>
                    <a:prstGeom prst="rect">
                      <a:avLst/>
                    </a:prstGeom>
                    <a:noFill/>
                    <a:ln>
                      <a:noFill/>
                    </a:ln>
                  </pic:spPr>
                </pic:pic>
              </a:graphicData>
            </a:graphic>
          </wp:inline>
        </w:drawing>
      </w:r>
      <w:r>
        <w:rPr>
          <w:noProof/>
        </w:rPr>
        <w:lastRenderedPageBreak/>
        <w:drawing>
          <wp:inline distT="0" distB="0" distL="114300" distR="114300" wp14:anchorId="55C52CDA" wp14:editId="08569951">
            <wp:extent cx="5270500" cy="7126605"/>
            <wp:effectExtent l="0" t="0" r="6350" b="17145"/>
            <wp:docPr id="4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5"/>
                    <pic:cNvPicPr>
                      <a:picLocks noChangeAspect="1"/>
                    </pic:cNvPicPr>
                  </pic:nvPicPr>
                  <pic:blipFill>
                    <a:blip r:embed="rId388"/>
                    <a:stretch>
                      <a:fillRect/>
                    </a:stretch>
                  </pic:blipFill>
                  <pic:spPr>
                    <a:xfrm>
                      <a:off x="0" y="0"/>
                      <a:ext cx="5270500" cy="7126605"/>
                    </a:xfrm>
                    <a:prstGeom prst="rect">
                      <a:avLst/>
                    </a:prstGeom>
                    <a:noFill/>
                    <a:ln>
                      <a:noFill/>
                    </a:ln>
                  </pic:spPr>
                </pic:pic>
              </a:graphicData>
            </a:graphic>
          </wp:inline>
        </w:drawing>
      </w:r>
    </w:p>
    <w:p w14:paraId="5C9B2652" w14:textId="77777777" w:rsidR="009D12AF" w:rsidRDefault="00000000">
      <w:pPr>
        <w:pStyle w:val="1"/>
        <w:spacing w:before="0" w:after="0" w:line="240" w:lineRule="auto"/>
        <w:rPr>
          <w:sz w:val="28"/>
          <w:szCs w:val="18"/>
        </w:rPr>
      </w:pPr>
      <w:bookmarkStart w:id="530" w:name="_Toc1433"/>
      <w:bookmarkStart w:id="531" w:name="_Toc19670"/>
      <w:bookmarkStart w:id="532" w:name="_Toc2062"/>
      <w:r>
        <w:rPr>
          <w:rFonts w:hint="eastAsia"/>
          <w:sz w:val="28"/>
          <w:szCs w:val="18"/>
        </w:rPr>
        <w:lastRenderedPageBreak/>
        <w:t>附件</w:t>
      </w:r>
      <w:r>
        <w:rPr>
          <w:rFonts w:hint="eastAsia"/>
          <w:sz w:val="28"/>
          <w:szCs w:val="18"/>
        </w:rPr>
        <w:t>3</w:t>
      </w:r>
      <w:r>
        <w:rPr>
          <w:rFonts w:hint="eastAsia"/>
          <w:sz w:val="28"/>
          <w:szCs w:val="18"/>
        </w:rPr>
        <w:t>海林市水库清淤合作协议</w:t>
      </w:r>
      <w:bookmarkEnd w:id="530"/>
    </w:p>
    <w:p w14:paraId="471A0C74" w14:textId="77777777" w:rsidR="009D12AF" w:rsidRDefault="00000000">
      <w:pPr>
        <w:ind w:firstLineChars="0" w:firstLine="0"/>
        <w:jc w:val="center"/>
      </w:pPr>
      <w:r>
        <w:rPr>
          <w:noProof/>
        </w:rPr>
        <w:drawing>
          <wp:inline distT="0" distB="0" distL="114300" distR="114300" wp14:anchorId="7D445E09" wp14:editId="42D88684">
            <wp:extent cx="5048250" cy="7124700"/>
            <wp:effectExtent l="0" t="0" r="0" b="0"/>
            <wp:docPr id="1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5"/>
                    <pic:cNvPicPr>
                      <a:picLocks noChangeAspect="1"/>
                    </pic:cNvPicPr>
                  </pic:nvPicPr>
                  <pic:blipFill>
                    <a:blip r:embed="rId389"/>
                    <a:stretch>
                      <a:fillRect/>
                    </a:stretch>
                  </pic:blipFill>
                  <pic:spPr>
                    <a:xfrm>
                      <a:off x="0" y="0"/>
                      <a:ext cx="5048250" cy="7124700"/>
                    </a:xfrm>
                    <a:prstGeom prst="rect">
                      <a:avLst/>
                    </a:prstGeom>
                    <a:noFill/>
                    <a:ln>
                      <a:noFill/>
                    </a:ln>
                  </pic:spPr>
                </pic:pic>
              </a:graphicData>
            </a:graphic>
          </wp:inline>
        </w:drawing>
      </w:r>
      <w:r>
        <w:rPr>
          <w:noProof/>
        </w:rPr>
        <w:lastRenderedPageBreak/>
        <w:drawing>
          <wp:inline distT="0" distB="0" distL="114300" distR="114300" wp14:anchorId="07AD4A8D" wp14:editId="1E11B979">
            <wp:extent cx="5038725" cy="7721600"/>
            <wp:effectExtent l="0" t="0" r="9525" b="12700"/>
            <wp:docPr id="1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6"/>
                    <pic:cNvPicPr>
                      <a:picLocks noChangeAspect="1"/>
                    </pic:cNvPicPr>
                  </pic:nvPicPr>
                  <pic:blipFill>
                    <a:blip r:embed="rId390"/>
                    <a:stretch>
                      <a:fillRect/>
                    </a:stretch>
                  </pic:blipFill>
                  <pic:spPr>
                    <a:xfrm>
                      <a:off x="0" y="0"/>
                      <a:ext cx="5038725" cy="7721600"/>
                    </a:xfrm>
                    <a:prstGeom prst="rect">
                      <a:avLst/>
                    </a:prstGeom>
                    <a:noFill/>
                    <a:ln>
                      <a:noFill/>
                    </a:ln>
                  </pic:spPr>
                </pic:pic>
              </a:graphicData>
            </a:graphic>
          </wp:inline>
        </w:drawing>
      </w:r>
      <w:r>
        <w:rPr>
          <w:noProof/>
        </w:rPr>
        <w:lastRenderedPageBreak/>
        <w:drawing>
          <wp:inline distT="0" distB="0" distL="114300" distR="114300" wp14:anchorId="29051DEA" wp14:editId="4459745F">
            <wp:extent cx="5057775" cy="8090535"/>
            <wp:effectExtent l="0" t="0" r="9525" b="5715"/>
            <wp:docPr id="16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7"/>
                    <pic:cNvPicPr>
                      <a:picLocks noChangeAspect="1"/>
                    </pic:cNvPicPr>
                  </pic:nvPicPr>
                  <pic:blipFill>
                    <a:blip r:embed="rId391"/>
                    <a:stretch>
                      <a:fillRect/>
                    </a:stretch>
                  </pic:blipFill>
                  <pic:spPr>
                    <a:xfrm>
                      <a:off x="0" y="0"/>
                      <a:ext cx="5057775" cy="8090535"/>
                    </a:xfrm>
                    <a:prstGeom prst="rect">
                      <a:avLst/>
                    </a:prstGeom>
                    <a:noFill/>
                    <a:ln>
                      <a:noFill/>
                    </a:ln>
                  </pic:spPr>
                </pic:pic>
              </a:graphicData>
            </a:graphic>
          </wp:inline>
        </w:drawing>
      </w:r>
      <w:r>
        <w:rPr>
          <w:noProof/>
        </w:rPr>
        <w:lastRenderedPageBreak/>
        <w:drawing>
          <wp:inline distT="0" distB="0" distL="114300" distR="114300" wp14:anchorId="36D23C99" wp14:editId="3A6B9C7D">
            <wp:extent cx="5057775" cy="8135620"/>
            <wp:effectExtent l="0" t="0" r="9525" b="17780"/>
            <wp:docPr id="1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8"/>
                    <pic:cNvPicPr>
                      <a:picLocks noChangeAspect="1"/>
                    </pic:cNvPicPr>
                  </pic:nvPicPr>
                  <pic:blipFill>
                    <a:blip r:embed="rId392"/>
                    <a:stretch>
                      <a:fillRect/>
                    </a:stretch>
                  </pic:blipFill>
                  <pic:spPr>
                    <a:xfrm>
                      <a:off x="0" y="0"/>
                      <a:ext cx="5057775" cy="8135620"/>
                    </a:xfrm>
                    <a:prstGeom prst="rect">
                      <a:avLst/>
                    </a:prstGeom>
                    <a:noFill/>
                    <a:ln>
                      <a:noFill/>
                    </a:ln>
                  </pic:spPr>
                </pic:pic>
              </a:graphicData>
            </a:graphic>
          </wp:inline>
        </w:drawing>
      </w:r>
    </w:p>
    <w:p w14:paraId="4D5C90DC" w14:textId="77777777" w:rsidR="009D12AF" w:rsidRDefault="009D12AF">
      <w:pPr>
        <w:pStyle w:val="TOC2"/>
        <w:ind w:left="480" w:firstLine="480"/>
      </w:pPr>
    </w:p>
    <w:p w14:paraId="732E3623" w14:textId="77777777" w:rsidR="009D12AF" w:rsidRDefault="009D12AF">
      <w:pPr>
        <w:ind w:firstLine="480"/>
      </w:pPr>
    </w:p>
    <w:p w14:paraId="4EDFE456" w14:textId="77777777" w:rsidR="009D12AF" w:rsidRDefault="00000000">
      <w:pPr>
        <w:pStyle w:val="1"/>
        <w:spacing w:before="0" w:after="0" w:line="240" w:lineRule="auto"/>
        <w:rPr>
          <w:sz w:val="28"/>
          <w:szCs w:val="18"/>
        </w:rPr>
      </w:pPr>
      <w:bookmarkStart w:id="533" w:name="_Toc27925"/>
      <w:r>
        <w:rPr>
          <w:rFonts w:hint="eastAsia"/>
          <w:sz w:val="28"/>
          <w:szCs w:val="18"/>
        </w:rPr>
        <w:lastRenderedPageBreak/>
        <w:t>附件</w:t>
      </w:r>
      <w:r>
        <w:rPr>
          <w:rFonts w:hint="eastAsia"/>
          <w:sz w:val="28"/>
          <w:szCs w:val="18"/>
        </w:rPr>
        <w:t>4</w:t>
      </w:r>
      <w:r>
        <w:rPr>
          <w:rFonts w:hint="eastAsia"/>
          <w:sz w:val="28"/>
          <w:szCs w:val="18"/>
        </w:rPr>
        <w:t>施工方案批复</w:t>
      </w:r>
      <w:bookmarkEnd w:id="533"/>
    </w:p>
    <w:p w14:paraId="7E478863" w14:textId="77777777" w:rsidR="009D12AF" w:rsidRDefault="00000000">
      <w:pPr>
        <w:ind w:firstLineChars="0" w:firstLine="0"/>
        <w:jc w:val="center"/>
      </w:pPr>
      <w:r>
        <w:rPr>
          <w:noProof/>
        </w:rPr>
        <w:drawing>
          <wp:inline distT="0" distB="0" distL="114300" distR="114300" wp14:anchorId="4D5F3842" wp14:editId="58FE1571">
            <wp:extent cx="5019675" cy="7134225"/>
            <wp:effectExtent l="0" t="0" r="9525" b="9525"/>
            <wp:docPr id="1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9"/>
                    <pic:cNvPicPr>
                      <a:picLocks noChangeAspect="1"/>
                    </pic:cNvPicPr>
                  </pic:nvPicPr>
                  <pic:blipFill>
                    <a:blip r:embed="rId393"/>
                    <a:stretch>
                      <a:fillRect/>
                    </a:stretch>
                  </pic:blipFill>
                  <pic:spPr>
                    <a:xfrm>
                      <a:off x="0" y="0"/>
                      <a:ext cx="5019675" cy="7134225"/>
                    </a:xfrm>
                    <a:prstGeom prst="rect">
                      <a:avLst/>
                    </a:prstGeom>
                    <a:noFill/>
                    <a:ln>
                      <a:noFill/>
                    </a:ln>
                  </pic:spPr>
                </pic:pic>
              </a:graphicData>
            </a:graphic>
          </wp:inline>
        </w:drawing>
      </w:r>
      <w:r>
        <w:rPr>
          <w:noProof/>
        </w:rPr>
        <w:lastRenderedPageBreak/>
        <w:drawing>
          <wp:inline distT="0" distB="0" distL="114300" distR="114300" wp14:anchorId="2689653F" wp14:editId="7FFDE984">
            <wp:extent cx="5048250" cy="8057515"/>
            <wp:effectExtent l="0" t="0" r="0" b="635"/>
            <wp:docPr id="17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0"/>
                    <pic:cNvPicPr>
                      <a:picLocks noChangeAspect="1"/>
                    </pic:cNvPicPr>
                  </pic:nvPicPr>
                  <pic:blipFill>
                    <a:blip r:embed="rId394"/>
                    <a:stretch>
                      <a:fillRect/>
                    </a:stretch>
                  </pic:blipFill>
                  <pic:spPr>
                    <a:xfrm>
                      <a:off x="0" y="0"/>
                      <a:ext cx="5048250" cy="8057515"/>
                    </a:xfrm>
                    <a:prstGeom prst="rect">
                      <a:avLst/>
                    </a:prstGeom>
                    <a:noFill/>
                    <a:ln>
                      <a:noFill/>
                    </a:ln>
                  </pic:spPr>
                </pic:pic>
              </a:graphicData>
            </a:graphic>
          </wp:inline>
        </w:drawing>
      </w:r>
    </w:p>
    <w:p w14:paraId="1948334E" w14:textId="77777777" w:rsidR="009D12AF" w:rsidRDefault="009D12AF">
      <w:pPr>
        <w:pStyle w:val="TOC2"/>
        <w:ind w:left="480" w:firstLine="480"/>
      </w:pPr>
    </w:p>
    <w:p w14:paraId="01E4FC33" w14:textId="77777777" w:rsidR="009D12AF" w:rsidRDefault="009D12AF">
      <w:pPr>
        <w:ind w:firstLine="480"/>
      </w:pPr>
    </w:p>
    <w:p w14:paraId="48ABE13B" w14:textId="77777777" w:rsidR="009D12AF" w:rsidRDefault="00000000">
      <w:pPr>
        <w:pStyle w:val="1"/>
      </w:pPr>
      <w:bookmarkStart w:id="534" w:name="_Toc6603"/>
      <w:r>
        <w:rPr>
          <w:rFonts w:hint="eastAsia"/>
        </w:rPr>
        <w:lastRenderedPageBreak/>
        <w:t>附件</w:t>
      </w:r>
      <w:r>
        <w:rPr>
          <w:rFonts w:hint="eastAsia"/>
        </w:rPr>
        <w:t>5</w:t>
      </w:r>
      <w:r>
        <w:rPr>
          <w:rFonts w:hint="eastAsia"/>
        </w:rPr>
        <w:t>清淤淤泥处置协议</w:t>
      </w:r>
      <w:bookmarkEnd w:id="534"/>
    </w:p>
    <w:p w14:paraId="04EC70D4" w14:textId="77777777" w:rsidR="009D12AF" w:rsidRDefault="00000000">
      <w:pPr>
        <w:ind w:firstLineChars="0" w:firstLine="0"/>
      </w:pPr>
      <w:r>
        <w:rPr>
          <w:noProof/>
        </w:rPr>
        <w:drawing>
          <wp:inline distT="0" distB="0" distL="114300" distR="114300" wp14:anchorId="4AF45FAB" wp14:editId="1C07008F">
            <wp:extent cx="5273040" cy="7137400"/>
            <wp:effectExtent l="0" t="0" r="3810" b="6350"/>
            <wp:docPr id="1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5"/>
                    <pic:cNvPicPr>
                      <a:picLocks noChangeAspect="1"/>
                    </pic:cNvPicPr>
                  </pic:nvPicPr>
                  <pic:blipFill>
                    <a:blip r:embed="rId395"/>
                    <a:stretch>
                      <a:fillRect/>
                    </a:stretch>
                  </pic:blipFill>
                  <pic:spPr>
                    <a:xfrm>
                      <a:off x="0" y="0"/>
                      <a:ext cx="5273040" cy="7137400"/>
                    </a:xfrm>
                    <a:prstGeom prst="rect">
                      <a:avLst/>
                    </a:prstGeom>
                    <a:noFill/>
                    <a:ln>
                      <a:noFill/>
                    </a:ln>
                  </pic:spPr>
                </pic:pic>
              </a:graphicData>
            </a:graphic>
          </wp:inline>
        </w:drawing>
      </w:r>
      <w:r>
        <w:rPr>
          <w:noProof/>
        </w:rPr>
        <w:lastRenderedPageBreak/>
        <w:drawing>
          <wp:inline distT="0" distB="0" distL="114300" distR="114300" wp14:anchorId="53AD34D5" wp14:editId="36D0A2C6">
            <wp:extent cx="5269865" cy="6958330"/>
            <wp:effectExtent l="0" t="0" r="6985" b="13970"/>
            <wp:docPr id="1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6"/>
                    <pic:cNvPicPr>
                      <a:picLocks noChangeAspect="1"/>
                    </pic:cNvPicPr>
                  </pic:nvPicPr>
                  <pic:blipFill>
                    <a:blip r:embed="rId396"/>
                    <a:stretch>
                      <a:fillRect/>
                    </a:stretch>
                  </pic:blipFill>
                  <pic:spPr>
                    <a:xfrm>
                      <a:off x="0" y="0"/>
                      <a:ext cx="5269865" cy="6958330"/>
                    </a:xfrm>
                    <a:prstGeom prst="rect">
                      <a:avLst/>
                    </a:prstGeom>
                    <a:noFill/>
                    <a:ln>
                      <a:noFill/>
                    </a:ln>
                  </pic:spPr>
                </pic:pic>
              </a:graphicData>
            </a:graphic>
          </wp:inline>
        </w:drawing>
      </w:r>
      <w:r>
        <w:rPr>
          <w:noProof/>
        </w:rPr>
        <w:lastRenderedPageBreak/>
        <w:drawing>
          <wp:inline distT="0" distB="0" distL="114300" distR="114300" wp14:anchorId="7D016622" wp14:editId="39B82F3F">
            <wp:extent cx="5269865" cy="7127240"/>
            <wp:effectExtent l="0" t="0" r="6985" b="16510"/>
            <wp:docPr id="17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7"/>
                    <pic:cNvPicPr>
                      <a:picLocks noChangeAspect="1"/>
                    </pic:cNvPicPr>
                  </pic:nvPicPr>
                  <pic:blipFill>
                    <a:blip r:embed="rId397"/>
                    <a:stretch>
                      <a:fillRect/>
                    </a:stretch>
                  </pic:blipFill>
                  <pic:spPr>
                    <a:xfrm>
                      <a:off x="0" y="0"/>
                      <a:ext cx="5269865" cy="7127240"/>
                    </a:xfrm>
                    <a:prstGeom prst="rect">
                      <a:avLst/>
                    </a:prstGeom>
                    <a:noFill/>
                    <a:ln>
                      <a:noFill/>
                    </a:ln>
                  </pic:spPr>
                </pic:pic>
              </a:graphicData>
            </a:graphic>
          </wp:inline>
        </w:drawing>
      </w:r>
    </w:p>
    <w:p w14:paraId="7DB117B4" w14:textId="77777777" w:rsidR="009D12AF" w:rsidRDefault="00000000">
      <w:pPr>
        <w:pStyle w:val="1"/>
        <w:spacing w:before="0" w:after="0" w:line="240" w:lineRule="auto"/>
        <w:rPr>
          <w:sz w:val="28"/>
          <w:szCs w:val="18"/>
        </w:rPr>
      </w:pPr>
      <w:bookmarkStart w:id="535" w:name="_Toc26073"/>
      <w:r>
        <w:rPr>
          <w:rFonts w:hint="eastAsia"/>
          <w:sz w:val="28"/>
          <w:szCs w:val="18"/>
        </w:rPr>
        <w:lastRenderedPageBreak/>
        <w:t>附图</w:t>
      </w:r>
      <w:r>
        <w:rPr>
          <w:rFonts w:hint="eastAsia"/>
          <w:sz w:val="28"/>
          <w:szCs w:val="18"/>
        </w:rPr>
        <w:t>1</w:t>
      </w:r>
      <w:r>
        <w:rPr>
          <w:rFonts w:hint="eastAsia"/>
          <w:sz w:val="28"/>
          <w:szCs w:val="18"/>
        </w:rPr>
        <w:t>项目位置图</w:t>
      </w:r>
      <w:bookmarkEnd w:id="531"/>
      <w:bookmarkEnd w:id="532"/>
      <w:bookmarkEnd w:id="535"/>
    </w:p>
    <w:p w14:paraId="0DE7586B" w14:textId="77777777" w:rsidR="009D12AF" w:rsidRDefault="00000000">
      <w:pPr>
        <w:ind w:firstLineChars="0" w:firstLine="0"/>
        <w:rPr>
          <w:highlight w:val="yellow"/>
        </w:rPr>
      </w:pPr>
      <w:r>
        <w:rPr>
          <w:noProof/>
          <w:highlight w:val="yellow"/>
        </w:rPr>
        <mc:AlternateContent>
          <mc:Choice Requires="wps">
            <w:drawing>
              <wp:anchor distT="0" distB="0" distL="114300" distR="114300" simplePos="0" relativeHeight="251660288" behindDoc="0" locked="0" layoutInCell="1" allowOverlap="1" wp14:anchorId="69F95854" wp14:editId="1DBE838E">
                <wp:simplePos x="0" y="0"/>
                <wp:positionH relativeFrom="column">
                  <wp:posOffset>1970405</wp:posOffset>
                </wp:positionH>
                <wp:positionV relativeFrom="paragraph">
                  <wp:posOffset>4650740</wp:posOffset>
                </wp:positionV>
                <wp:extent cx="883285" cy="381000"/>
                <wp:effectExtent l="6350" t="293370" r="24765" b="11430"/>
                <wp:wrapNone/>
                <wp:docPr id="43" name="矩形标注 43"/>
                <wp:cNvGraphicFramePr/>
                <a:graphic xmlns:a="http://schemas.openxmlformats.org/drawingml/2006/main">
                  <a:graphicData uri="http://schemas.microsoft.com/office/word/2010/wordprocessingShape">
                    <wps:wsp>
                      <wps:cNvSpPr/>
                      <wps:spPr>
                        <a:xfrm>
                          <a:off x="1510030" y="4966335"/>
                          <a:ext cx="883285" cy="381000"/>
                        </a:xfrm>
                        <a:prstGeom prst="wedgeRectCallout">
                          <a:avLst>
                            <a:gd name="adj1" fmla="val 43817"/>
                            <a:gd name="adj2" fmla="val -121666"/>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F14181A" w14:textId="77777777" w:rsidR="009D12AF" w:rsidRDefault="00000000">
                            <w:pPr>
                              <w:ind w:firstLineChars="0" w:firstLine="0"/>
                              <w:rPr>
                                <w:color w:val="FF0000"/>
                              </w:rPr>
                            </w:pPr>
                            <w:r>
                              <w:rPr>
                                <w:rFonts w:hint="eastAsia"/>
                                <w:color w:val="FF0000"/>
                              </w:rPr>
                              <w:t>项目位置</w:t>
                            </w:r>
                          </w:p>
                          <w:p w14:paraId="70ED8418" w14:textId="77777777" w:rsidR="009D12AF" w:rsidRDefault="009D12AF">
                            <w:pPr>
                              <w:ind w:firstLine="480"/>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69F95854" id="矩形标注 43" o:spid="_x0000_s1045" type="#_x0000_t61" style="position:absolute;left:0;text-align:left;margin-left:155.15pt;margin-top:366.2pt;width:69.55pt;height:30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" adj="20264,-15480" fillcolor="yellow" strokecolor="yellow" strokeweight="1pt">
                <v:textbox>
                  <w:txbxContent>
                    <w:p w14:paraId="6F14181A" w14:textId="77777777" w:rsidR="009D12AF" w:rsidRDefault="00000000">
                      <w:pPr>
                        <w:ind w:firstLineChars="0" w:firstLine="0"/>
                        <w:rPr>
                          <w:color w:val="FF0000"/>
                        </w:rPr>
                      </w:pPr>
                      <w:r>
                        <w:rPr>
                          <w:rFonts w:hint="eastAsia"/>
                          <w:color w:val="FF0000"/>
                        </w:rPr>
                        <w:t>项目位置</w:t>
                      </w:r>
                    </w:p>
                    <w:p w14:paraId="70ED8418" w14:textId="77777777" w:rsidR="009D12AF" w:rsidRDefault="009D12AF">
                      <w:pPr>
                        <w:ind w:firstLine="480"/>
                        <w:jc w:val="center"/>
                      </w:pP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30C9ADC9" wp14:editId="441CD1A2">
                <wp:simplePos x="0" y="0"/>
                <wp:positionH relativeFrom="column">
                  <wp:posOffset>2796540</wp:posOffset>
                </wp:positionH>
                <wp:positionV relativeFrom="paragraph">
                  <wp:posOffset>4299585</wp:posOffset>
                </wp:positionV>
                <wp:extent cx="127000" cy="134620"/>
                <wp:effectExtent l="17780" t="22860" r="26670" b="33020"/>
                <wp:wrapNone/>
                <wp:docPr id="93" name="五角星 93"/>
                <wp:cNvGraphicFramePr/>
                <a:graphic xmlns:a="http://schemas.openxmlformats.org/drawingml/2006/main">
                  <a:graphicData uri="http://schemas.microsoft.com/office/word/2010/wordprocessingShape">
                    <wps:wsp>
                      <wps:cNvSpPr/>
                      <wps:spPr>
                        <a:xfrm>
                          <a:off x="3939540" y="5506720"/>
                          <a:ext cx="127000" cy="134620"/>
                        </a:xfrm>
                        <a:prstGeom prst="star5">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807CF94" id="五角星 93" o:spid="_x0000_s1026" style="position:absolute;margin-left:220.2pt;margin-top:338.55pt;width:10pt;height:10.6pt;z-index:251672576;visibility:visible;mso-wrap-style:square;mso-wrap-distance-left:9pt;mso-wrap-distance-top:0;mso-wrap-distance-right:9pt;mso-wrap-distance-bottom:0;mso-position-horizontal:absolute;mso-position-horizontal-relative:text;mso-position-vertical:absolute;mso-position-vertical-relative:text;v-text-anchor:middle" coordsize="127000,134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" path="m,51420r48510,l63500,,78490,51420r48510,l87754,83199r14991,51421l63500,102840,24255,134620,39246,83199,,51420xe" fillcolor="#4874cb [3204]" strokecolor="#2d53a0 [2404]" strokeweight="1pt">
                <v:stroke joinstyle="miter"/>
                <v:path arrowok="t" o:connecttype="custom" o:connectlocs="0,51420;48510,51420;63500,0;78490,51420;127000,51420;87754,83199;102745,134620;63500,102840;24255,134620;39246,83199;0,51420" o:connectangles="0,0,0,0,0,0,0,0,0,0,0"/>
              </v:shape>
            </w:pict>
          </mc:Fallback>
        </mc:AlternateContent>
      </w:r>
      <w:r>
        <w:rPr>
          <w:rFonts w:ascii="宋体" w:eastAsia="宋体" w:hAnsi="宋体" w:cs="宋体"/>
          <w:noProof/>
        </w:rPr>
        <w:drawing>
          <wp:inline distT="0" distB="0" distL="114300" distR="114300" wp14:anchorId="20A316FC" wp14:editId="2BB580F0">
            <wp:extent cx="5273040" cy="5017135"/>
            <wp:effectExtent l="0" t="0" r="3810" b="12065"/>
            <wp:docPr id="92"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9" descr="IMG_256"/>
                    <pic:cNvPicPr>
                      <a:picLocks noChangeAspect="1"/>
                    </pic:cNvPicPr>
                  </pic:nvPicPr>
                  <pic:blipFill>
                    <a:blip r:embed="rId398"/>
                    <a:stretch>
                      <a:fillRect/>
                    </a:stretch>
                  </pic:blipFill>
                  <pic:spPr>
                    <a:xfrm>
                      <a:off x="0" y="0"/>
                      <a:ext cx="5273040" cy="5017135"/>
                    </a:xfrm>
                    <a:prstGeom prst="rect">
                      <a:avLst/>
                    </a:prstGeom>
                    <a:noFill/>
                    <a:ln w="9525">
                      <a:noFill/>
                    </a:ln>
                  </pic:spPr>
                </pic:pic>
              </a:graphicData>
            </a:graphic>
          </wp:inline>
        </w:drawing>
      </w:r>
    </w:p>
    <w:p w14:paraId="7F37B671" w14:textId="77777777" w:rsidR="009D12AF" w:rsidRDefault="00000000">
      <w:pPr>
        <w:ind w:firstLine="480"/>
        <w:rPr>
          <w:highlight w:val="yellow"/>
        </w:rPr>
        <w:sectPr w:rsidR="009D12AF">
          <w:pgSz w:w="11906" w:h="16838"/>
          <w:pgMar w:top="1440" w:right="1800" w:bottom="1440" w:left="1800" w:header="851" w:footer="992" w:gutter="0"/>
          <w:cols w:space="425"/>
          <w:docGrid w:type="lines" w:linePitch="312"/>
        </w:sectPr>
      </w:pPr>
      <w:r>
        <w:rPr>
          <w:highlight w:val="yellow"/>
        </w:rPr>
        <w:br w:type="page"/>
      </w:r>
    </w:p>
    <w:p w14:paraId="175F0863" w14:textId="77777777" w:rsidR="009D12AF" w:rsidRDefault="00000000">
      <w:pPr>
        <w:pStyle w:val="1"/>
        <w:spacing w:before="0" w:after="0" w:line="240" w:lineRule="auto"/>
        <w:rPr>
          <w:sz w:val="28"/>
          <w:szCs w:val="18"/>
        </w:rPr>
      </w:pPr>
      <w:bookmarkStart w:id="536" w:name="_Toc22546"/>
      <w:bookmarkStart w:id="537" w:name="_Toc10136"/>
      <w:bookmarkStart w:id="538" w:name="_Toc6979"/>
      <w:r>
        <w:rPr>
          <w:rFonts w:hint="eastAsia"/>
          <w:sz w:val="28"/>
          <w:szCs w:val="18"/>
        </w:rPr>
        <w:lastRenderedPageBreak/>
        <w:t>附图</w:t>
      </w:r>
      <w:r>
        <w:rPr>
          <w:rFonts w:hint="eastAsia"/>
          <w:sz w:val="28"/>
          <w:szCs w:val="18"/>
        </w:rPr>
        <w:t>2</w:t>
      </w:r>
      <w:r>
        <w:rPr>
          <w:rFonts w:hint="eastAsia"/>
          <w:sz w:val="28"/>
          <w:szCs w:val="18"/>
        </w:rPr>
        <w:t>项目清淤片区分布图</w:t>
      </w:r>
      <w:bookmarkEnd w:id="536"/>
    </w:p>
    <w:p w14:paraId="33D170D8" w14:textId="77777777" w:rsidR="009D12AF" w:rsidRDefault="00000000">
      <w:pPr>
        <w:spacing w:line="240" w:lineRule="auto"/>
        <w:ind w:firstLineChars="0" w:firstLine="0"/>
        <w:rPr>
          <w:highlight w:val="yellow"/>
        </w:rPr>
      </w:pPr>
      <w:r>
        <w:rPr>
          <w:noProof/>
        </w:rPr>
        <w:drawing>
          <wp:anchor distT="0" distB="0" distL="114300" distR="114300" simplePos="0" relativeHeight="251673600" behindDoc="0" locked="0" layoutInCell="1" allowOverlap="1" wp14:anchorId="6D204449" wp14:editId="09E8A134">
            <wp:simplePos x="0" y="0"/>
            <wp:positionH relativeFrom="column">
              <wp:posOffset>3936365</wp:posOffset>
            </wp:positionH>
            <wp:positionV relativeFrom="paragraph">
              <wp:posOffset>5636260</wp:posOffset>
            </wp:positionV>
            <wp:extent cx="295275" cy="381000"/>
            <wp:effectExtent l="0" t="0" r="9525" b="0"/>
            <wp:wrapNone/>
            <wp:docPr id="9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1"/>
                    <pic:cNvPicPr>
                      <a:picLocks noChangeAspect="1"/>
                    </pic:cNvPicPr>
                  </pic:nvPicPr>
                  <pic:blipFill>
                    <a:blip r:embed="rId399"/>
                    <a:stretch>
                      <a:fillRect/>
                    </a:stretch>
                  </pic:blipFill>
                  <pic:spPr>
                    <a:xfrm>
                      <a:off x="0" y="0"/>
                      <a:ext cx="295275" cy="381000"/>
                    </a:xfrm>
                    <a:prstGeom prst="rect">
                      <a:avLst/>
                    </a:prstGeom>
                    <a:noFill/>
                    <a:ln>
                      <a:noFill/>
                    </a:ln>
                  </pic:spPr>
                </pic:pic>
              </a:graphicData>
            </a:graphic>
          </wp:anchor>
        </w:drawing>
      </w:r>
      <w:r>
        <w:rPr>
          <w:noProof/>
          <w:highlight w:val="yellow"/>
        </w:rPr>
        <mc:AlternateContent>
          <mc:Choice Requires="wps">
            <w:drawing>
              <wp:anchor distT="0" distB="0" distL="114300" distR="114300" simplePos="0" relativeHeight="251663360" behindDoc="0" locked="0" layoutInCell="1" allowOverlap="1" wp14:anchorId="3C7D04F5" wp14:editId="23340645">
                <wp:simplePos x="0" y="0"/>
                <wp:positionH relativeFrom="column">
                  <wp:posOffset>3903345</wp:posOffset>
                </wp:positionH>
                <wp:positionV relativeFrom="paragraph">
                  <wp:posOffset>5367655</wp:posOffset>
                </wp:positionV>
                <wp:extent cx="1388745" cy="706755"/>
                <wp:effectExtent l="6350" t="6350" r="14605" b="10795"/>
                <wp:wrapNone/>
                <wp:docPr id="109" name="矩形 109"/>
                <wp:cNvGraphicFramePr/>
                <a:graphic xmlns:a="http://schemas.openxmlformats.org/drawingml/2006/main">
                  <a:graphicData uri="http://schemas.microsoft.com/office/word/2010/wordprocessingShape">
                    <wps:wsp>
                      <wps:cNvSpPr/>
                      <wps:spPr>
                        <a:xfrm>
                          <a:off x="5070475" y="5534025"/>
                          <a:ext cx="1388745" cy="706755"/>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D94FFE6" id="矩形 109" o:spid="_x0000_s1026" style="position:absolute;margin-left:307.35pt;margin-top:422.65pt;width:109.35pt;height:55.6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" fillcolor="white [3212]" strokecolor="black [3213]" strokeweight="1pt"/>
            </w:pict>
          </mc:Fallback>
        </mc:AlternateContent>
      </w:r>
      <w:r>
        <w:rPr>
          <w:noProof/>
          <w:highlight w:val="yellow"/>
        </w:rPr>
        <mc:AlternateContent>
          <mc:Choice Requires="wps">
            <w:drawing>
              <wp:anchor distT="0" distB="0" distL="114300" distR="114300" simplePos="0" relativeHeight="251665408" behindDoc="0" locked="0" layoutInCell="1" allowOverlap="1" wp14:anchorId="1DE141B0" wp14:editId="65A1AE63">
                <wp:simplePos x="0" y="0"/>
                <wp:positionH relativeFrom="column">
                  <wp:posOffset>4142740</wp:posOffset>
                </wp:positionH>
                <wp:positionV relativeFrom="paragraph">
                  <wp:posOffset>5676265</wp:posOffset>
                </wp:positionV>
                <wp:extent cx="1159510" cy="372110"/>
                <wp:effectExtent l="0" t="0" r="0" b="0"/>
                <wp:wrapNone/>
                <wp:docPr id="112" name="文本框 112"/>
                <wp:cNvGraphicFramePr/>
                <a:graphic xmlns:a="http://schemas.openxmlformats.org/drawingml/2006/main">
                  <a:graphicData uri="http://schemas.microsoft.com/office/word/2010/wordprocessingShape">
                    <wps:wsp>
                      <wps:cNvSpPr txBox="1"/>
                      <wps:spPr>
                        <a:xfrm>
                          <a:off x="0" y="0"/>
                          <a:ext cx="1159510" cy="3721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DD954F" w14:textId="77777777" w:rsidR="009D12AF" w:rsidRDefault="00000000">
                            <w:pPr>
                              <w:ind w:firstLineChars="0" w:firstLine="0"/>
                            </w:pPr>
                            <w:r>
                              <w:rPr>
                                <w:rFonts w:hint="eastAsia"/>
                              </w:rPr>
                              <w:t>片区分布图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1DE141B0" id="_x0000_t202" coordsize="21600,21600" o:spt="202" path="m,l,21600r21600,l21600,xe">
                <v:stroke joinstyle="miter"/>
                <v:path gradientshapeok="t" o:connecttype="rect"/>
              </v:shapetype>
              <v:shape id="文本框 112" o:spid="_x0000_s1046" type="#_x0000_t202" style="position:absolute;left:0;text-align:left;margin-left:326.2pt;margin-top:446.95pt;width:91.3pt;height:29.3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" filled="f" stroked="f" strokeweight=".5pt">
                <v:textbox>
                  <w:txbxContent>
                    <w:p w14:paraId="66DD954F" w14:textId="77777777" w:rsidR="009D12AF" w:rsidRDefault="00000000">
                      <w:pPr>
                        <w:ind w:firstLineChars="0" w:firstLine="0"/>
                      </w:pPr>
                      <w:r>
                        <w:rPr>
                          <w:rFonts w:hint="eastAsia"/>
                        </w:rPr>
                        <w:t>片区分布图</w:t>
                      </w:r>
                    </w:p>
                  </w:txbxContent>
                </v:textbox>
              </v:shape>
            </w:pict>
          </mc:Fallback>
        </mc:AlternateContent>
      </w:r>
      <w:r>
        <w:rPr>
          <w:noProof/>
          <w:highlight w:val="yellow"/>
        </w:rPr>
        <mc:AlternateContent>
          <mc:Choice Requires="wps">
            <w:drawing>
              <wp:anchor distT="0" distB="0" distL="114300" distR="114300" simplePos="0" relativeHeight="251664384" behindDoc="0" locked="0" layoutInCell="1" allowOverlap="1" wp14:anchorId="06AC07AD" wp14:editId="10AF270E">
                <wp:simplePos x="0" y="0"/>
                <wp:positionH relativeFrom="column">
                  <wp:posOffset>4495165</wp:posOffset>
                </wp:positionH>
                <wp:positionV relativeFrom="paragraph">
                  <wp:posOffset>5356860</wp:posOffset>
                </wp:positionV>
                <wp:extent cx="622935" cy="372110"/>
                <wp:effectExtent l="0" t="0" r="0" b="0"/>
                <wp:wrapNone/>
                <wp:docPr id="111" name="文本框 111"/>
                <wp:cNvGraphicFramePr/>
                <a:graphic xmlns:a="http://schemas.openxmlformats.org/drawingml/2006/main">
                  <a:graphicData uri="http://schemas.microsoft.com/office/word/2010/wordprocessingShape">
                    <wps:wsp>
                      <wps:cNvSpPr txBox="1"/>
                      <wps:spPr>
                        <a:xfrm>
                          <a:off x="5494655" y="6028690"/>
                          <a:ext cx="622935" cy="3721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1FF6B1" w14:textId="77777777" w:rsidR="009D12AF" w:rsidRDefault="00000000">
                            <w:pPr>
                              <w:ind w:firstLineChars="0" w:firstLine="0"/>
                            </w:pPr>
                            <w:r>
                              <w:rPr>
                                <w:rFonts w:hint="eastAsia"/>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6AC07AD" id="文本框 111" o:spid="_x0000_s1047" type="#_x0000_t202" style="position:absolute;left:0;text-align:left;margin-left:353.95pt;margin-top:421.8pt;width:49.05pt;height:29.3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" filled="f" stroked="f" strokeweight=".5pt">
                <v:textbox>
                  <w:txbxContent>
                    <w:p w14:paraId="251FF6B1" w14:textId="77777777" w:rsidR="009D12AF" w:rsidRDefault="00000000">
                      <w:pPr>
                        <w:ind w:firstLineChars="0" w:firstLine="0"/>
                      </w:pPr>
                      <w:r>
                        <w:rPr>
                          <w:rFonts w:hint="eastAsia"/>
                        </w:rPr>
                        <w:t>图例</w:t>
                      </w:r>
                    </w:p>
                  </w:txbxContent>
                </v:textbox>
              </v:shape>
            </w:pict>
          </mc:Fallback>
        </mc:AlternateContent>
      </w:r>
      <w:r>
        <w:rPr>
          <w:noProof/>
        </w:rPr>
        <w:drawing>
          <wp:inline distT="0" distB="0" distL="114300" distR="114300" wp14:anchorId="2A7A0833" wp14:editId="26994447">
            <wp:extent cx="5271770" cy="6005195"/>
            <wp:effectExtent l="0" t="0" r="5080" b="14605"/>
            <wp:docPr id="9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0"/>
                    <pic:cNvPicPr>
                      <a:picLocks noChangeAspect="1"/>
                    </pic:cNvPicPr>
                  </pic:nvPicPr>
                  <pic:blipFill>
                    <a:blip r:embed="rId400"/>
                    <a:stretch>
                      <a:fillRect/>
                    </a:stretch>
                  </pic:blipFill>
                  <pic:spPr>
                    <a:xfrm>
                      <a:off x="0" y="0"/>
                      <a:ext cx="5271770" cy="6005195"/>
                    </a:xfrm>
                    <a:prstGeom prst="rect">
                      <a:avLst/>
                    </a:prstGeom>
                    <a:noFill/>
                    <a:ln>
                      <a:noFill/>
                    </a:ln>
                  </pic:spPr>
                </pic:pic>
              </a:graphicData>
            </a:graphic>
          </wp:inline>
        </w:drawing>
      </w:r>
    </w:p>
    <w:p w14:paraId="04E2CEC3" w14:textId="77777777" w:rsidR="009D12AF" w:rsidRDefault="00000000">
      <w:pPr>
        <w:ind w:firstLine="560"/>
        <w:rPr>
          <w:sz w:val="28"/>
          <w:szCs w:val="18"/>
          <w:highlight w:val="yellow"/>
        </w:rPr>
      </w:pPr>
      <w:r>
        <w:rPr>
          <w:rFonts w:hint="eastAsia"/>
          <w:sz w:val="28"/>
          <w:szCs w:val="18"/>
          <w:highlight w:val="yellow"/>
        </w:rPr>
        <w:br w:type="page"/>
      </w:r>
    </w:p>
    <w:p w14:paraId="0C22BC7A" w14:textId="77777777" w:rsidR="009D12AF" w:rsidRDefault="00000000">
      <w:pPr>
        <w:pStyle w:val="1"/>
        <w:spacing w:before="0" w:after="0" w:line="240" w:lineRule="auto"/>
        <w:rPr>
          <w:sz w:val="28"/>
          <w:szCs w:val="18"/>
        </w:rPr>
      </w:pPr>
      <w:bookmarkStart w:id="539" w:name="_Toc22376"/>
      <w:r>
        <w:rPr>
          <w:rFonts w:hint="eastAsia"/>
          <w:sz w:val="28"/>
          <w:szCs w:val="18"/>
        </w:rPr>
        <w:lastRenderedPageBreak/>
        <w:t>附图</w:t>
      </w:r>
      <w:r>
        <w:rPr>
          <w:rFonts w:hint="eastAsia"/>
          <w:sz w:val="28"/>
          <w:szCs w:val="18"/>
        </w:rPr>
        <w:t>3</w:t>
      </w:r>
      <w:r>
        <w:rPr>
          <w:rFonts w:hint="eastAsia"/>
          <w:sz w:val="28"/>
          <w:szCs w:val="18"/>
        </w:rPr>
        <w:t>群力水库与黑龙江海林市莲花湖省级自然保护区的位置关系图</w:t>
      </w:r>
      <w:bookmarkEnd w:id="539"/>
    </w:p>
    <w:p w14:paraId="2BA53930" w14:textId="77777777" w:rsidR="009D12AF" w:rsidRDefault="00000000">
      <w:pPr>
        <w:pStyle w:val="a1"/>
        <w:ind w:firstLineChars="0" w:firstLine="0"/>
        <w:rPr>
          <w:highlight w:val="yellow"/>
        </w:rPr>
      </w:pPr>
      <w:r>
        <w:rPr>
          <w:noProof/>
        </w:rPr>
        <w:drawing>
          <wp:inline distT="0" distB="0" distL="114300" distR="114300" wp14:anchorId="60DD10A9" wp14:editId="1BD51E6E">
            <wp:extent cx="5270500" cy="6436360"/>
            <wp:effectExtent l="0" t="0" r="6350" b="2540"/>
            <wp:docPr id="3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5"/>
                    <pic:cNvPicPr>
                      <a:picLocks noChangeAspect="1"/>
                    </pic:cNvPicPr>
                  </pic:nvPicPr>
                  <pic:blipFill>
                    <a:blip r:embed="rId401"/>
                    <a:stretch>
                      <a:fillRect/>
                    </a:stretch>
                  </pic:blipFill>
                  <pic:spPr>
                    <a:xfrm>
                      <a:off x="0" y="0"/>
                      <a:ext cx="5270500" cy="6436360"/>
                    </a:xfrm>
                    <a:prstGeom prst="rect">
                      <a:avLst/>
                    </a:prstGeom>
                    <a:noFill/>
                    <a:ln>
                      <a:noFill/>
                    </a:ln>
                  </pic:spPr>
                </pic:pic>
              </a:graphicData>
            </a:graphic>
          </wp:inline>
        </w:drawing>
      </w:r>
    </w:p>
    <w:p w14:paraId="7C8FA7FF" w14:textId="77777777" w:rsidR="009D12AF" w:rsidRDefault="00000000">
      <w:pPr>
        <w:pStyle w:val="1"/>
        <w:spacing w:before="0" w:after="0" w:line="240" w:lineRule="auto"/>
        <w:rPr>
          <w:sz w:val="28"/>
          <w:szCs w:val="18"/>
        </w:rPr>
      </w:pPr>
      <w:bookmarkStart w:id="540" w:name="_Toc3024"/>
      <w:r>
        <w:rPr>
          <w:rFonts w:hint="eastAsia"/>
          <w:sz w:val="28"/>
          <w:szCs w:val="18"/>
        </w:rPr>
        <w:lastRenderedPageBreak/>
        <w:t>附图</w:t>
      </w:r>
      <w:r>
        <w:rPr>
          <w:rFonts w:hint="eastAsia"/>
          <w:sz w:val="28"/>
          <w:szCs w:val="18"/>
        </w:rPr>
        <w:t>4</w:t>
      </w:r>
      <w:bookmarkEnd w:id="527"/>
      <w:bookmarkEnd w:id="537"/>
      <w:bookmarkEnd w:id="538"/>
      <w:r>
        <w:rPr>
          <w:rFonts w:hint="eastAsia"/>
          <w:sz w:val="28"/>
          <w:szCs w:val="18"/>
        </w:rPr>
        <w:t>群力水库与海林莲花湖风景名胜区的位置关系图</w:t>
      </w:r>
      <w:bookmarkEnd w:id="540"/>
    </w:p>
    <w:p w14:paraId="2E2CDF5E" w14:textId="77777777" w:rsidR="009D12AF" w:rsidRDefault="00000000">
      <w:pPr>
        <w:ind w:firstLineChars="0" w:firstLine="0"/>
        <w:rPr>
          <w:highlight w:val="yellow"/>
        </w:rPr>
      </w:pPr>
      <w:r>
        <w:rPr>
          <w:noProof/>
        </w:rPr>
        <w:drawing>
          <wp:inline distT="0" distB="0" distL="114300" distR="114300" wp14:anchorId="59FD1F2D" wp14:editId="5EA1EA8C">
            <wp:extent cx="5271770" cy="7192010"/>
            <wp:effectExtent l="0" t="0" r="5080" b="8890"/>
            <wp:docPr id="30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6"/>
                    <pic:cNvPicPr>
                      <a:picLocks noChangeAspect="1"/>
                    </pic:cNvPicPr>
                  </pic:nvPicPr>
                  <pic:blipFill>
                    <a:blip r:embed="rId402"/>
                    <a:stretch>
                      <a:fillRect/>
                    </a:stretch>
                  </pic:blipFill>
                  <pic:spPr>
                    <a:xfrm>
                      <a:off x="0" y="0"/>
                      <a:ext cx="5271770" cy="7192010"/>
                    </a:xfrm>
                    <a:prstGeom prst="rect">
                      <a:avLst/>
                    </a:prstGeom>
                    <a:noFill/>
                    <a:ln>
                      <a:noFill/>
                    </a:ln>
                  </pic:spPr>
                </pic:pic>
              </a:graphicData>
            </a:graphic>
          </wp:inline>
        </w:drawing>
      </w:r>
    </w:p>
    <w:p w14:paraId="0A81EB33" w14:textId="77777777" w:rsidR="009D12AF" w:rsidRDefault="009D12AF">
      <w:pPr>
        <w:ind w:firstLineChars="0" w:firstLine="0"/>
        <w:jc w:val="center"/>
        <w:rPr>
          <w:highlight w:val="yellow"/>
        </w:rPr>
      </w:pPr>
    </w:p>
    <w:p w14:paraId="3528B308" w14:textId="77777777" w:rsidR="009D12AF" w:rsidRDefault="009D12AF">
      <w:pPr>
        <w:ind w:firstLineChars="0" w:firstLine="0"/>
        <w:jc w:val="center"/>
        <w:rPr>
          <w:highlight w:val="yellow"/>
        </w:rPr>
      </w:pPr>
    </w:p>
    <w:p w14:paraId="756919E3" w14:textId="77777777" w:rsidR="009D12AF" w:rsidRDefault="009D12AF">
      <w:pPr>
        <w:ind w:firstLineChars="0" w:firstLine="0"/>
        <w:jc w:val="center"/>
        <w:rPr>
          <w:highlight w:val="yellow"/>
        </w:rPr>
      </w:pPr>
    </w:p>
    <w:p w14:paraId="5C130D74" w14:textId="77777777" w:rsidR="009D12AF" w:rsidRDefault="00000000">
      <w:pPr>
        <w:ind w:firstLine="480"/>
        <w:rPr>
          <w:highlight w:val="yellow"/>
        </w:rPr>
      </w:pPr>
      <w:r>
        <w:rPr>
          <w:rFonts w:hint="eastAsia"/>
          <w:highlight w:val="yellow"/>
        </w:rPr>
        <w:br w:type="page"/>
      </w:r>
    </w:p>
    <w:p w14:paraId="61F7FBDF" w14:textId="77777777" w:rsidR="009D12AF" w:rsidRDefault="00000000">
      <w:pPr>
        <w:pStyle w:val="1"/>
        <w:rPr>
          <w:sz w:val="28"/>
          <w:szCs w:val="28"/>
        </w:rPr>
      </w:pPr>
      <w:bookmarkStart w:id="541" w:name="_Toc31246"/>
      <w:r>
        <w:rPr>
          <w:rFonts w:hint="eastAsia"/>
          <w:sz w:val="28"/>
          <w:szCs w:val="28"/>
        </w:rPr>
        <w:lastRenderedPageBreak/>
        <w:t>附图</w:t>
      </w:r>
      <w:r>
        <w:rPr>
          <w:rFonts w:hint="eastAsia"/>
          <w:sz w:val="28"/>
          <w:szCs w:val="28"/>
        </w:rPr>
        <w:t>5</w:t>
      </w:r>
      <w:r>
        <w:rPr>
          <w:rFonts w:hint="eastAsia"/>
          <w:sz w:val="28"/>
          <w:szCs w:val="28"/>
        </w:rPr>
        <w:t>群力水库与黑龙江省海林莲花湖地质公园的位置关系图</w:t>
      </w:r>
      <w:bookmarkEnd w:id="541"/>
    </w:p>
    <w:p w14:paraId="018686F6" w14:textId="77777777" w:rsidR="009D12AF" w:rsidRDefault="00000000">
      <w:pPr>
        <w:ind w:firstLineChars="0" w:firstLine="0"/>
      </w:pPr>
      <w:r>
        <w:rPr>
          <w:noProof/>
        </w:rPr>
        <w:drawing>
          <wp:inline distT="0" distB="0" distL="114300" distR="114300" wp14:anchorId="04AFD79A" wp14:editId="68EEE125">
            <wp:extent cx="5269865" cy="6888480"/>
            <wp:effectExtent l="0" t="0" r="6985" b="7620"/>
            <wp:docPr id="30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7"/>
                    <pic:cNvPicPr>
                      <a:picLocks noChangeAspect="1"/>
                    </pic:cNvPicPr>
                  </pic:nvPicPr>
                  <pic:blipFill>
                    <a:blip r:embed="rId403"/>
                    <a:stretch>
                      <a:fillRect/>
                    </a:stretch>
                  </pic:blipFill>
                  <pic:spPr>
                    <a:xfrm>
                      <a:off x="0" y="0"/>
                      <a:ext cx="5269865" cy="6888480"/>
                    </a:xfrm>
                    <a:prstGeom prst="rect">
                      <a:avLst/>
                    </a:prstGeom>
                    <a:noFill/>
                    <a:ln>
                      <a:noFill/>
                    </a:ln>
                  </pic:spPr>
                </pic:pic>
              </a:graphicData>
            </a:graphic>
          </wp:inline>
        </w:drawing>
      </w:r>
    </w:p>
    <w:p w14:paraId="20F442E4" w14:textId="77777777" w:rsidR="009D12AF" w:rsidRDefault="009D12AF">
      <w:pPr>
        <w:ind w:firstLineChars="0" w:firstLine="0"/>
      </w:pPr>
    </w:p>
    <w:p w14:paraId="55B6EF28" w14:textId="77777777" w:rsidR="009D12AF" w:rsidRDefault="009D12AF">
      <w:pPr>
        <w:ind w:firstLineChars="0" w:firstLine="0"/>
      </w:pPr>
    </w:p>
    <w:p w14:paraId="6601BE10" w14:textId="77777777" w:rsidR="009D12AF" w:rsidRDefault="009D12AF">
      <w:pPr>
        <w:ind w:firstLineChars="0" w:firstLine="0"/>
      </w:pPr>
    </w:p>
    <w:p w14:paraId="6BE55CF4" w14:textId="77777777" w:rsidR="009D12AF" w:rsidRDefault="00000000">
      <w:pPr>
        <w:pStyle w:val="1"/>
        <w:spacing w:before="0" w:after="0" w:line="240" w:lineRule="auto"/>
        <w:rPr>
          <w:sz w:val="28"/>
          <w:szCs w:val="18"/>
        </w:rPr>
      </w:pPr>
      <w:bookmarkStart w:id="542" w:name="_Toc25827"/>
      <w:bookmarkStart w:id="543" w:name="_Toc18655"/>
      <w:bookmarkStart w:id="544" w:name="_Toc9906"/>
      <w:r>
        <w:rPr>
          <w:rFonts w:hint="eastAsia"/>
          <w:sz w:val="28"/>
          <w:szCs w:val="18"/>
        </w:rPr>
        <w:lastRenderedPageBreak/>
        <w:t>附图</w:t>
      </w:r>
      <w:r>
        <w:rPr>
          <w:rFonts w:hint="eastAsia"/>
          <w:sz w:val="28"/>
          <w:szCs w:val="18"/>
        </w:rPr>
        <w:t>6</w:t>
      </w:r>
      <w:r>
        <w:rPr>
          <w:rFonts w:hint="eastAsia"/>
          <w:sz w:val="28"/>
          <w:szCs w:val="18"/>
        </w:rPr>
        <w:t>群力水库与威虎山国家森林公园的位置关系图</w:t>
      </w:r>
      <w:bookmarkEnd w:id="542"/>
    </w:p>
    <w:p w14:paraId="592BE11E" w14:textId="77777777" w:rsidR="009D12AF" w:rsidRDefault="00000000">
      <w:pPr>
        <w:ind w:firstLineChars="0" w:firstLine="0"/>
      </w:pPr>
      <w:r>
        <w:rPr>
          <w:noProof/>
        </w:rPr>
        <w:drawing>
          <wp:inline distT="0" distB="0" distL="114300" distR="114300" wp14:anchorId="2F403D1B" wp14:editId="4E750787">
            <wp:extent cx="5271135" cy="6727825"/>
            <wp:effectExtent l="0" t="0" r="5715" b="15875"/>
            <wp:docPr id="30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8"/>
                    <pic:cNvPicPr>
                      <a:picLocks noChangeAspect="1"/>
                    </pic:cNvPicPr>
                  </pic:nvPicPr>
                  <pic:blipFill>
                    <a:blip r:embed="rId404"/>
                    <a:stretch>
                      <a:fillRect/>
                    </a:stretch>
                  </pic:blipFill>
                  <pic:spPr>
                    <a:xfrm>
                      <a:off x="0" y="0"/>
                      <a:ext cx="5271135" cy="6727825"/>
                    </a:xfrm>
                    <a:prstGeom prst="rect">
                      <a:avLst/>
                    </a:prstGeom>
                    <a:noFill/>
                    <a:ln>
                      <a:noFill/>
                    </a:ln>
                  </pic:spPr>
                </pic:pic>
              </a:graphicData>
            </a:graphic>
          </wp:inline>
        </w:drawing>
      </w:r>
    </w:p>
    <w:p w14:paraId="03682C12" w14:textId="77777777" w:rsidR="009D12AF" w:rsidRDefault="009D12AF">
      <w:pPr>
        <w:ind w:firstLineChars="0" w:firstLine="0"/>
      </w:pPr>
    </w:p>
    <w:p w14:paraId="4E6F5ECB" w14:textId="77777777" w:rsidR="009D12AF" w:rsidRDefault="009D12AF">
      <w:pPr>
        <w:ind w:firstLineChars="0" w:firstLine="0"/>
      </w:pPr>
    </w:p>
    <w:p w14:paraId="21946AB0" w14:textId="77777777" w:rsidR="009D12AF" w:rsidRDefault="009D12AF">
      <w:pPr>
        <w:ind w:firstLineChars="0" w:firstLine="0"/>
      </w:pPr>
    </w:p>
    <w:p w14:paraId="55CDACB7" w14:textId="77777777" w:rsidR="009D12AF" w:rsidRDefault="009D12AF">
      <w:pPr>
        <w:ind w:firstLineChars="0" w:firstLine="0"/>
      </w:pPr>
    </w:p>
    <w:p w14:paraId="4E67CCF5" w14:textId="77777777" w:rsidR="009D12AF" w:rsidRDefault="00000000">
      <w:pPr>
        <w:pStyle w:val="1"/>
        <w:spacing w:before="0" w:after="0" w:line="240" w:lineRule="auto"/>
        <w:rPr>
          <w:sz w:val="28"/>
          <w:szCs w:val="18"/>
        </w:rPr>
      </w:pPr>
      <w:bookmarkStart w:id="545" w:name="_Toc15333"/>
      <w:r>
        <w:rPr>
          <w:rFonts w:hint="eastAsia"/>
          <w:sz w:val="28"/>
          <w:szCs w:val="18"/>
        </w:rPr>
        <w:lastRenderedPageBreak/>
        <w:t>附图</w:t>
      </w:r>
      <w:r>
        <w:rPr>
          <w:rFonts w:hint="eastAsia"/>
          <w:sz w:val="28"/>
          <w:szCs w:val="18"/>
        </w:rPr>
        <w:t>7</w:t>
      </w:r>
      <w:r>
        <w:rPr>
          <w:rFonts w:hint="eastAsia"/>
          <w:sz w:val="28"/>
          <w:szCs w:val="18"/>
        </w:rPr>
        <w:t>群力水库与生态保护红线的关系图</w:t>
      </w:r>
      <w:bookmarkEnd w:id="545"/>
    </w:p>
    <w:p w14:paraId="7F2EC318" w14:textId="77777777" w:rsidR="009D12AF" w:rsidRDefault="00000000">
      <w:pPr>
        <w:ind w:firstLineChars="0" w:firstLine="0"/>
      </w:pPr>
      <w:r>
        <w:rPr>
          <w:noProof/>
        </w:rPr>
        <w:drawing>
          <wp:inline distT="0" distB="0" distL="114300" distR="114300" wp14:anchorId="7AAEB442" wp14:editId="1B464F99">
            <wp:extent cx="5273040" cy="6981190"/>
            <wp:effectExtent l="0" t="0" r="3810" b="10160"/>
            <wp:docPr id="30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9"/>
                    <pic:cNvPicPr>
                      <a:picLocks noChangeAspect="1"/>
                    </pic:cNvPicPr>
                  </pic:nvPicPr>
                  <pic:blipFill>
                    <a:blip r:embed="rId405"/>
                    <a:stretch>
                      <a:fillRect/>
                    </a:stretch>
                  </pic:blipFill>
                  <pic:spPr>
                    <a:xfrm>
                      <a:off x="0" y="0"/>
                      <a:ext cx="5273040" cy="6981190"/>
                    </a:xfrm>
                    <a:prstGeom prst="rect">
                      <a:avLst/>
                    </a:prstGeom>
                    <a:noFill/>
                    <a:ln>
                      <a:noFill/>
                    </a:ln>
                  </pic:spPr>
                </pic:pic>
              </a:graphicData>
            </a:graphic>
          </wp:inline>
        </w:drawing>
      </w:r>
    </w:p>
    <w:p w14:paraId="3FFF65BB" w14:textId="77777777" w:rsidR="009D12AF" w:rsidRDefault="009D12AF">
      <w:pPr>
        <w:ind w:firstLineChars="0" w:firstLine="0"/>
      </w:pPr>
    </w:p>
    <w:p w14:paraId="43EE9412" w14:textId="77777777" w:rsidR="009D12AF" w:rsidRDefault="009D12AF">
      <w:pPr>
        <w:ind w:firstLineChars="0" w:firstLine="0"/>
      </w:pPr>
    </w:p>
    <w:p w14:paraId="32B347EA" w14:textId="77777777" w:rsidR="009D12AF" w:rsidRDefault="009D12AF">
      <w:pPr>
        <w:ind w:firstLineChars="0" w:firstLine="0"/>
      </w:pPr>
    </w:p>
    <w:p w14:paraId="22DA9987" w14:textId="77777777" w:rsidR="009D12AF" w:rsidRDefault="00000000">
      <w:pPr>
        <w:pStyle w:val="1"/>
        <w:spacing w:before="0" w:after="0" w:line="240" w:lineRule="auto"/>
        <w:rPr>
          <w:sz w:val="28"/>
          <w:szCs w:val="18"/>
        </w:rPr>
      </w:pPr>
      <w:bookmarkStart w:id="546" w:name="_Toc2001"/>
      <w:r>
        <w:rPr>
          <w:rFonts w:hint="eastAsia"/>
          <w:sz w:val="28"/>
          <w:szCs w:val="18"/>
        </w:rPr>
        <w:lastRenderedPageBreak/>
        <w:t>附图</w:t>
      </w:r>
      <w:r>
        <w:rPr>
          <w:rFonts w:hint="eastAsia"/>
          <w:sz w:val="28"/>
          <w:szCs w:val="18"/>
        </w:rPr>
        <w:t>8</w:t>
      </w:r>
      <w:r>
        <w:rPr>
          <w:rFonts w:hint="eastAsia"/>
          <w:sz w:val="28"/>
          <w:szCs w:val="18"/>
        </w:rPr>
        <w:t>群力水库与生态公益林的位置关系图</w:t>
      </w:r>
      <w:bookmarkEnd w:id="546"/>
    </w:p>
    <w:p w14:paraId="37408864" w14:textId="77777777" w:rsidR="009D12AF" w:rsidRDefault="00000000">
      <w:pPr>
        <w:ind w:firstLineChars="0" w:firstLine="0"/>
      </w:pPr>
      <w:r>
        <w:rPr>
          <w:noProof/>
        </w:rPr>
        <w:drawing>
          <wp:inline distT="0" distB="0" distL="114300" distR="114300" wp14:anchorId="736871BA" wp14:editId="08DFE1E9">
            <wp:extent cx="5272405" cy="7304405"/>
            <wp:effectExtent l="0" t="0" r="4445" b="10795"/>
            <wp:docPr id="30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0"/>
                    <pic:cNvPicPr>
                      <a:picLocks noChangeAspect="1"/>
                    </pic:cNvPicPr>
                  </pic:nvPicPr>
                  <pic:blipFill>
                    <a:blip r:embed="rId406"/>
                    <a:stretch>
                      <a:fillRect/>
                    </a:stretch>
                  </pic:blipFill>
                  <pic:spPr>
                    <a:xfrm>
                      <a:off x="0" y="0"/>
                      <a:ext cx="5272405" cy="7304405"/>
                    </a:xfrm>
                    <a:prstGeom prst="rect">
                      <a:avLst/>
                    </a:prstGeom>
                    <a:noFill/>
                    <a:ln>
                      <a:noFill/>
                    </a:ln>
                  </pic:spPr>
                </pic:pic>
              </a:graphicData>
            </a:graphic>
          </wp:inline>
        </w:drawing>
      </w:r>
    </w:p>
    <w:p w14:paraId="41BD2E95" w14:textId="77777777" w:rsidR="009D12AF" w:rsidRDefault="009D12AF">
      <w:pPr>
        <w:ind w:firstLineChars="0" w:firstLine="0"/>
      </w:pPr>
    </w:p>
    <w:p w14:paraId="11B0E432" w14:textId="77777777" w:rsidR="009D12AF" w:rsidRDefault="009D12AF">
      <w:pPr>
        <w:ind w:firstLineChars="0" w:firstLine="0"/>
      </w:pPr>
    </w:p>
    <w:p w14:paraId="4A2F1261" w14:textId="77777777" w:rsidR="009D12AF" w:rsidRDefault="009D12AF">
      <w:pPr>
        <w:ind w:firstLineChars="0" w:firstLine="0"/>
      </w:pPr>
    </w:p>
    <w:p w14:paraId="0AE0E045" w14:textId="77777777" w:rsidR="009D12AF" w:rsidRDefault="009D12AF">
      <w:pPr>
        <w:ind w:firstLineChars="0" w:firstLine="0"/>
      </w:pPr>
    </w:p>
    <w:p w14:paraId="7008600D" w14:textId="77777777" w:rsidR="009D12AF" w:rsidRDefault="00000000">
      <w:pPr>
        <w:pStyle w:val="1"/>
        <w:spacing w:before="0" w:after="0" w:line="240" w:lineRule="auto"/>
        <w:rPr>
          <w:sz w:val="28"/>
          <w:szCs w:val="18"/>
        </w:rPr>
      </w:pPr>
      <w:bookmarkStart w:id="547" w:name="_Toc10982"/>
      <w:r>
        <w:rPr>
          <w:rFonts w:hint="eastAsia"/>
          <w:sz w:val="28"/>
          <w:szCs w:val="18"/>
        </w:rPr>
        <w:lastRenderedPageBreak/>
        <w:t>附图</w:t>
      </w:r>
      <w:r>
        <w:rPr>
          <w:rFonts w:hint="eastAsia"/>
          <w:sz w:val="28"/>
          <w:szCs w:val="18"/>
        </w:rPr>
        <w:t>9</w:t>
      </w:r>
      <w:r>
        <w:rPr>
          <w:rFonts w:hint="eastAsia"/>
          <w:sz w:val="28"/>
          <w:szCs w:val="18"/>
        </w:rPr>
        <w:t>群力水库与永久基本农田位置关系图</w:t>
      </w:r>
      <w:bookmarkEnd w:id="547"/>
    </w:p>
    <w:p w14:paraId="0C59BA47" w14:textId="77777777" w:rsidR="009D12AF" w:rsidRDefault="00000000">
      <w:pPr>
        <w:ind w:firstLineChars="0" w:firstLine="0"/>
      </w:pPr>
      <w:r>
        <w:rPr>
          <w:noProof/>
        </w:rPr>
        <w:drawing>
          <wp:inline distT="0" distB="0" distL="114300" distR="114300" wp14:anchorId="0FEA6C82" wp14:editId="2F5167EE">
            <wp:extent cx="5273675" cy="6787515"/>
            <wp:effectExtent l="0" t="0" r="3175" b="13335"/>
            <wp:docPr id="3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1"/>
                    <pic:cNvPicPr>
                      <a:picLocks noChangeAspect="1"/>
                    </pic:cNvPicPr>
                  </pic:nvPicPr>
                  <pic:blipFill>
                    <a:blip r:embed="rId407"/>
                    <a:stretch>
                      <a:fillRect/>
                    </a:stretch>
                  </pic:blipFill>
                  <pic:spPr>
                    <a:xfrm>
                      <a:off x="0" y="0"/>
                      <a:ext cx="5273675" cy="6787515"/>
                    </a:xfrm>
                    <a:prstGeom prst="rect">
                      <a:avLst/>
                    </a:prstGeom>
                    <a:noFill/>
                    <a:ln>
                      <a:noFill/>
                    </a:ln>
                  </pic:spPr>
                </pic:pic>
              </a:graphicData>
            </a:graphic>
          </wp:inline>
        </w:drawing>
      </w:r>
    </w:p>
    <w:p w14:paraId="694BEA77" w14:textId="77777777" w:rsidR="009D12AF" w:rsidRDefault="009D12AF">
      <w:pPr>
        <w:ind w:firstLineChars="0" w:firstLine="0"/>
      </w:pPr>
    </w:p>
    <w:p w14:paraId="206ECBAC" w14:textId="77777777" w:rsidR="009D12AF" w:rsidRDefault="009D12AF">
      <w:pPr>
        <w:ind w:firstLineChars="0" w:firstLine="0"/>
      </w:pPr>
    </w:p>
    <w:p w14:paraId="5588434D" w14:textId="77777777" w:rsidR="009D12AF" w:rsidRDefault="009D12AF">
      <w:pPr>
        <w:ind w:firstLineChars="0" w:firstLine="0"/>
      </w:pPr>
    </w:p>
    <w:p w14:paraId="678AB531" w14:textId="77777777" w:rsidR="009D12AF" w:rsidRDefault="009D12AF">
      <w:pPr>
        <w:ind w:firstLineChars="0" w:firstLine="0"/>
      </w:pPr>
    </w:p>
    <w:p w14:paraId="4F55F8EF" w14:textId="77777777" w:rsidR="009D12AF" w:rsidRDefault="00000000">
      <w:pPr>
        <w:pStyle w:val="1"/>
        <w:spacing w:before="0" w:after="0" w:line="240" w:lineRule="auto"/>
        <w:rPr>
          <w:sz w:val="28"/>
          <w:szCs w:val="18"/>
        </w:rPr>
      </w:pPr>
      <w:bookmarkStart w:id="548" w:name="_Toc14"/>
      <w:r>
        <w:rPr>
          <w:rFonts w:hint="eastAsia"/>
          <w:sz w:val="28"/>
          <w:szCs w:val="18"/>
        </w:rPr>
        <w:lastRenderedPageBreak/>
        <w:t>附图</w:t>
      </w:r>
      <w:r>
        <w:rPr>
          <w:rFonts w:hint="eastAsia"/>
          <w:sz w:val="28"/>
          <w:szCs w:val="18"/>
        </w:rPr>
        <w:t>10</w:t>
      </w:r>
      <w:r>
        <w:rPr>
          <w:rFonts w:hint="eastAsia"/>
          <w:sz w:val="28"/>
          <w:szCs w:val="18"/>
        </w:rPr>
        <w:t>群力水库与黑土地位置关系图</w:t>
      </w:r>
      <w:bookmarkEnd w:id="548"/>
    </w:p>
    <w:p w14:paraId="303BC463" w14:textId="77777777" w:rsidR="009D12AF" w:rsidRDefault="00000000">
      <w:pPr>
        <w:ind w:firstLineChars="0" w:firstLine="0"/>
      </w:pPr>
      <w:r>
        <w:rPr>
          <w:noProof/>
        </w:rPr>
        <w:drawing>
          <wp:inline distT="0" distB="0" distL="114300" distR="114300" wp14:anchorId="610CF1D9" wp14:editId="48A6EA3F">
            <wp:extent cx="5271770" cy="7761605"/>
            <wp:effectExtent l="0" t="0" r="5080" b="10795"/>
            <wp:docPr id="3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2"/>
                    <pic:cNvPicPr>
                      <a:picLocks noChangeAspect="1"/>
                    </pic:cNvPicPr>
                  </pic:nvPicPr>
                  <pic:blipFill>
                    <a:blip r:embed="rId408"/>
                    <a:stretch>
                      <a:fillRect/>
                    </a:stretch>
                  </pic:blipFill>
                  <pic:spPr>
                    <a:xfrm>
                      <a:off x="0" y="0"/>
                      <a:ext cx="5271770" cy="7761605"/>
                    </a:xfrm>
                    <a:prstGeom prst="rect">
                      <a:avLst/>
                    </a:prstGeom>
                    <a:noFill/>
                    <a:ln>
                      <a:noFill/>
                    </a:ln>
                  </pic:spPr>
                </pic:pic>
              </a:graphicData>
            </a:graphic>
          </wp:inline>
        </w:drawing>
      </w:r>
    </w:p>
    <w:p w14:paraId="7FE9E274" w14:textId="77777777" w:rsidR="009D12AF" w:rsidRDefault="009D12AF">
      <w:pPr>
        <w:ind w:firstLineChars="0" w:firstLine="0"/>
      </w:pPr>
    </w:p>
    <w:p w14:paraId="4AA169D6" w14:textId="77777777" w:rsidR="009D12AF" w:rsidRDefault="009D12AF">
      <w:pPr>
        <w:ind w:firstLineChars="0" w:firstLine="0"/>
      </w:pPr>
    </w:p>
    <w:p w14:paraId="2D660D96" w14:textId="77777777" w:rsidR="009D12AF" w:rsidRDefault="00000000">
      <w:pPr>
        <w:pStyle w:val="1"/>
        <w:spacing w:before="0" w:after="0" w:line="240" w:lineRule="auto"/>
        <w:rPr>
          <w:sz w:val="28"/>
          <w:szCs w:val="18"/>
        </w:rPr>
      </w:pPr>
      <w:bookmarkStart w:id="549" w:name="_Toc3215"/>
      <w:r>
        <w:rPr>
          <w:rFonts w:hint="eastAsia"/>
          <w:sz w:val="28"/>
          <w:szCs w:val="18"/>
        </w:rPr>
        <w:lastRenderedPageBreak/>
        <w:t>附图</w:t>
      </w:r>
      <w:r>
        <w:rPr>
          <w:rFonts w:hint="eastAsia"/>
          <w:sz w:val="28"/>
          <w:szCs w:val="18"/>
        </w:rPr>
        <w:t>11</w:t>
      </w:r>
      <w:r>
        <w:rPr>
          <w:rFonts w:hint="eastAsia"/>
          <w:sz w:val="28"/>
          <w:szCs w:val="18"/>
        </w:rPr>
        <w:t>群力水库重要物种植物分布图</w:t>
      </w:r>
      <w:bookmarkEnd w:id="549"/>
    </w:p>
    <w:p w14:paraId="3F23FAF9" w14:textId="77777777" w:rsidR="009D12AF" w:rsidRDefault="00000000">
      <w:pPr>
        <w:ind w:firstLineChars="0" w:firstLine="0"/>
      </w:pPr>
      <w:r>
        <w:rPr>
          <w:noProof/>
        </w:rPr>
        <w:drawing>
          <wp:inline distT="0" distB="0" distL="114300" distR="114300" wp14:anchorId="4675599D" wp14:editId="1EFBB700">
            <wp:extent cx="5273675" cy="7583805"/>
            <wp:effectExtent l="0" t="0" r="3175" b="17145"/>
            <wp:docPr id="3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3"/>
                    <pic:cNvPicPr>
                      <a:picLocks noChangeAspect="1"/>
                    </pic:cNvPicPr>
                  </pic:nvPicPr>
                  <pic:blipFill>
                    <a:blip r:embed="rId409"/>
                    <a:stretch>
                      <a:fillRect/>
                    </a:stretch>
                  </pic:blipFill>
                  <pic:spPr>
                    <a:xfrm>
                      <a:off x="0" y="0"/>
                      <a:ext cx="5273675" cy="7583805"/>
                    </a:xfrm>
                    <a:prstGeom prst="rect">
                      <a:avLst/>
                    </a:prstGeom>
                    <a:noFill/>
                    <a:ln>
                      <a:noFill/>
                    </a:ln>
                  </pic:spPr>
                </pic:pic>
              </a:graphicData>
            </a:graphic>
          </wp:inline>
        </w:drawing>
      </w:r>
    </w:p>
    <w:p w14:paraId="6260073C" w14:textId="77777777" w:rsidR="009D12AF" w:rsidRDefault="009D12AF">
      <w:pPr>
        <w:ind w:firstLineChars="0" w:firstLine="0"/>
      </w:pPr>
    </w:p>
    <w:p w14:paraId="19026E67" w14:textId="77777777" w:rsidR="009D12AF" w:rsidRDefault="009D12AF">
      <w:pPr>
        <w:ind w:firstLineChars="0" w:firstLine="0"/>
      </w:pPr>
    </w:p>
    <w:p w14:paraId="0D522496" w14:textId="77777777" w:rsidR="009D12AF" w:rsidRDefault="00000000">
      <w:pPr>
        <w:pStyle w:val="1"/>
        <w:spacing w:before="0" w:after="0" w:line="240" w:lineRule="auto"/>
        <w:rPr>
          <w:sz w:val="28"/>
          <w:szCs w:val="18"/>
        </w:rPr>
      </w:pPr>
      <w:bookmarkStart w:id="550" w:name="_Toc11667"/>
      <w:r>
        <w:rPr>
          <w:rFonts w:hint="eastAsia"/>
          <w:sz w:val="28"/>
          <w:szCs w:val="18"/>
        </w:rPr>
        <w:lastRenderedPageBreak/>
        <w:t>附图</w:t>
      </w:r>
      <w:r>
        <w:rPr>
          <w:rFonts w:hint="eastAsia"/>
          <w:sz w:val="28"/>
          <w:szCs w:val="18"/>
        </w:rPr>
        <w:t>12</w:t>
      </w:r>
      <w:r>
        <w:rPr>
          <w:rFonts w:hint="eastAsia"/>
          <w:sz w:val="28"/>
          <w:szCs w:val="18"/>
        </w:rPr>
        <w:t>群力水库重要物种鸟类分布图</w:t>
      </w:r>
      <w:bookmarkEnd w:id="550"/>
    </w:p>
    <w:p w14:paraId="235246B1" w14:textId="77777777" w:rsidR="009D12AF" w:rsidRDefault="00000000">
      <w:pPr>
        <w:ind w:firstLineChars="0" w:firstLine="0"/>
      </w:pPr>
      <w:r>
        <w:rPr>
          <w:noProof/>
        </w:rPr>
        <w:drawing>
          <wp:inline distT="0" distB="0" distL="114300" distR="114300" wp14:anchorId="39A8421C" wp14:editId="06FCEE1D">
            <wp:extent cx="5271135" cy="7940040"/>
            <wp:effectExtent l="0" t="0" r="5715" b="3810"/>
            <wp:docPr id="3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14"/>
                    <pic:cNvPicPr>
                      <a:picLocks noChangeAspect="1"/>
                    </pic:cNvPicPr>
                  </pic:nvPicPr>
                  <pic:blipFill>
                    <a:blip r:embed="rId410"/>
                    <a:stretch>
                      <a:fillRect/>
                    </a:stretch>
                  </pic:blipFill>
                  <pic:spPr>
                    <a:xfrm>
                      <a:off x="0" y="0"/>
                      <a:ext cx="5271135" cy="7940040"/>
                    </a:xfrm>
                    <a:prstGeom prst="rect">
                      <a:avLst/>
                    </a:prstGeom>
                    <a:noFill/>
                    <a:ln>
                      <a:noFill/>
                    </a:ln>
                  </pic:spPr>
                </pic:pic>
              </a:graphicData>
            </a:graphic>
          </wp:inline>
        </w:drawing>
      </w:r>
    </w:p>
    <w:p w14:paraId="266EB09F" w14:textId="77777777" w:rsidR="009D12AF" w:rsidRDefault="009D12AF">
      <w:pPr>
        <w:ind w:firstLineChars="0" w:firstLine="0"/>
      </w:pPr>
    </w:p>
    <w:p w14:paraId="7F7A7FB3" w14:textId="77777777" w:rsidR="009D12AF" w:rsidRDefault="00000000">
      <w:pPr>
        <w:pStyle w:val="1"/>
        <w:spacing w:before="0" w:after="0" w:line="240" w:lineRule="auto"/>
        <w:rPr>
          <w:sz w:val="28"/>
          <w:szCs w:val="18"/>
        </w:rPr>
      </w:pPr>
      <w:bookmarkStart w:id="551" w:name="_Toc20525"/>
      <w:r>
        <w:rPr>
          <w:rFonts w:hint="eastAsia"/>
          <w:sz w:val="28"/>
          <w:szCs w:val="18"/>
        </w:rPr>
        <w:lastRenderedPageBreak/>
        <w:t>附图</w:t>
      </w:r>
      <w:r>
        <w:rPr>
          <w:rFonts w:hint="eastAsia"/>
          <w:sz w:val="28"/>
          <w:szCs w:val="18"/>
        </w:rPr>
        <w:t>13</w:t>
      </w:r>
      <w:r>
        <w:rPr>
          <w:rFonts w:hint="eastAsia"/>
          <w:sz w:val="28"/>
          <w:szCs w:val="18"/>
        </w:rPr>
        <w:t>群力水库重要物种两栖分布图</w:t>
      </w:r>
      <w:bookmarkEnd w:id="551"/>
    </w:p>
    <w:p w14:paraId="19820239" w14:textId="77777777" w:rsidR="009D12AF" w:rsidRDefault="00000000">
      <w:pPr>
        <w:ind w:firstLineChars="0" w:firstLine="0"/>
      </w:pPr>
      <w:r>
        <w:rPr>
          <w:noProof/>
        </w:rPr>
        <w:drawing>
          <wp:inline distT="0" distB="0" distL="114300" distR="114300" wp14:anchorId="30477C05" wp14:editId="416D891C">
            <wp:extent cx="5269865" cy="7844790"/>
            <wp:effectExtent l="0" t="0" r="6985" b="3810"/>
            <wp:docPr id="3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5"/>
                    <pic:cNvPicPr>
                      <a:picLocks noChangeAspect="1"/>
                    </pic:cNvPicPr>
                  </pic:nvPicPr>
                  <pic:blipFill>
                    <a:blip r:embed="rId411"/>
                    <a:stretch>
                      <a:fillRect/>
                    </a:stretch>
                  </pic:blipFill>
                  <pic:spPr>
                    <a:xfrm>
                      <a:off x="0" y="0"/>
                      <a:ext cx="5269865" cy="7844790"/>
                    </a:xfrm>
                    <a:prstGeom prst="rect">
                      <a:avLst/>
                    </a:prstGeom>
                    <a:noFill/>
                    <a:ln>
                      <a:noFill/>
                    </a:ln>
                  </pic:spPr>
                </pic:pic>
              </a:graphicData>
            </a:graphic>
          </wp:inline>
        </w:drawing>
      </w:r>
    </w:p>
    <w:p w14:paraId="2B9BF27D" w14:textId="77777777" w:rsidR="009D12AF" w:rsidRDefault="00000000">
      <w:pPr>
        <w:pStyle w:val="1"/>
        <w:spacing w:before="0" w:after="0" w:line="240" w:lineRule="auto"/>
        <w:rPr>
          <w:sz w:val="28"/>
          <w:szCs w:val="18"/>
        </w:rPr>
      </w:pPr>
      <w:bookmarkStart w:id="552" w:name="_Toc10409"/>
      <w:r>
        <w:rPr>
          <w:rFonts w:hint="eastAsia"/>
          <w:sz w:val="28"/>
          <w:szCs w:val="18"/>
        </w:rPr>
        <w:lastRenderedPageBreak/>
        <w:t>附图</w:t>
      </w:r>
      <w:r>
        <w:rPr>
          <w:rFonts w:hint="eastAsia"/>
          <w:sz w:val="28"/>
          <w:szCs w:val="18"/>
        </w:rPr>
        <w:t>14</w:t>
      </w:r>
      <w:r>
        <w:rPr>
          <w:rFonts w:hint="eastAsia"/>
          <w:sz w:val="28"/>
          <w:szCs w:val="18"/>
        </w:rPr>
        <w:t>群力水库重要物种兽类分布图</w:t>
      </w:r>
      <w:bookmarkEnd w:id="552"/>
    </w:p>
    <w:p w14:paraId="18B27E94" w14:textId="77777777" w:rsidR="009D12AF" w:rsidRDefault="00000000">
      <w:pPr>
        <w:ind w:firstLineChars="0" w:firstLine="0"/>
      </w:pPr>
      <w:r>
        <w:rPr>
          <w:noProof/>
        </w:rPr>
        <w:drawing>
          <wp:inline distT="0" distB="0" distL="114300" distR="114300" wp14:anchorId="2231C0FA" wp14:editId="69C50D6F">
            <wp:extent cx="5272405" cy="7839710"/>
            <wp:effectExtent l="0" t="0" r="4445" b="8890"/>
            <wp:docPr id="31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16"/>
                    <pic:cNvPicPr>
                      <a:picLocks noChangeAspect="1"/>
                    </pic:cNvPicPr>
                  </pic:nvPicPr>
                  <pic:blipFill>
                    <a:blip r:embed="rId412"/>
                    <a:stretch>
                      <a:fillRect/>
                    </a:stretch>
                  </pic:blipFill>
                  <pic:spPr>
                    <a:xfrm>
                      <a:off x="0" y="0"/>
                      <a:ext cx="5272405" cy="7839710"/>
                    </a:xfrm>
                    <a:prstGeom prst="rect">
                      <a:avLst/>
                    </a:prstGeom>
                    <a:noFill/>
                    <a:ln>
                      <a:noFill/>
                    </a:ln>
                  </pic:spPr>
                </pic:pic>
              </a:graphicData>
            </a:graphic>
          </wp:inline>
        </w:drawing>
      </w:r>
    </w:p>
    <w:p w14:paraId="12AEAD17" w14:textId="77777777" w:rsidR="009D12AF" w:rsidRDefault="00000000">
      <w:pPr>
        <w:pStyle w:val="1"/>
        <w:spacing w:before="0" w:after="0" w:line="240" w:lineRule="auto"/>
        <w:rPr>
          <w:sz w:val="28"/>
          <w:szCs w:val="18"/>
        </w:rPr>
      </w:pPr>
      <w:bookmarkStart w:id="553" w:name="_Toc9758"/>
      <w:r>
        <w:rPr>
          <w:rFonts w:hint="eastAsia"/>
          <w:sz w:val="28"/>
          <w:szCs w:val="18"/>
        </w:rPr>
        <w:lastRenderedPageBreak/>
        <w:t>附图</w:t>
      </w:r>
      <w:r>
        <w:rPr>
          <w:rFonts w:hint="eastAsia"/>
          <w:sz w:val="28"/>
          <w:szCs w:val="18"/>
        </w:rPr>
        <w:t>15</w:t>
      </w:r>
      <w:r>
        <w:rPr>
          <w:rFonts w:hint="eastAsia"/>
          <w:sz w:val="28"/>
          <w:szCs w:val="18"/>
        </w:rPr>
        <w:t>群力水库重要物种爬行类分布图</w:t>
      </w:r>
      <w:bookmarkEnd w:id="553"/>
    </w:p>
    <w:p w14:paraId="5232FD1B" w14:textId="77777777" w:rsidR="009D12AF" w:rsidRDefault="00000000">
      <w:pPr>
        <w:ind w:firstLineChars="0" w:firstLine="0"/>
      </w:pPr>
      <w:r>
        <w:rPr>
          <w:noProof/>
        </w:rPr>
        <w:drawing>
          <wp:inline distT="0" distB="0" distL="114300" distR="114300" wp14:anchorId="47A15AA1" wp14:editId="141E9D45">
            <wp:extent cx="5269230" cy="7811135"/>
            <wp:effectExtent l="0" t="0" r="7620" b="18415"/>
            <wp:docPr id="31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17"/>
                    <pic:cNvPicPr>
                      <a:picLocks noChangeAspect="1"/>
                    </pic:cNvPicPr>
                  </pic:nvPicPr>
                  <pic:blipFill>
                    <a:blip r:embed="rId413"/>
                    <a:stretch>
                      <a:fillRect/>
                    </a:stretch>
                  </pic:blipFill>
                  <pic:spPr>
                    <a:xfrm>
                      <a:off x="0" y="0"/>
                      <a:ext cx="5269230" cy="7811135"/>
                    </a:xfrm>
                    <a:prstGeom prst="rect">
                      <a:avLst/>
                    </a:prstGeom>
                    <a:noFill/>
                    <a:ln>
                      <a:noFill/>
                    </a:ln>
                  </pic:spPr>
                </pic:pic>
              </a:graphicData>
            </a:graphic>
          </wp:inline>
        </w:drawing>
      </w:r>
    </w:p>
    <w:p w14:paraId="0924E607" w14:textId="77777777" w:rsidR="009D12AF" w:rsidRDefault="00000000">
      <w:pPr>
        <w:pStyle w:val="1"/>
        <w:spacing w:before="0" w:after="0" w:line="240" w:lineRule="auto"/>
        <w:rPr>
          <w:sz w:val="28"/>
          <w:szCs w:val="18"/>
        </w:rPr>
      </w:pPr>
      <w:bookmarkStart w:id="554" w:name="_Toc20657"/>
      <w:r>
        <w:rPr>
          <w:rFonts w:hint="eastAsia"/>
          <w:sz w:val="28"/>
          <w:szCs w:val="18"/>
        </w:rPr>
        <w:lastRenderedPageBreak/>
        <w:t>附图</w:t>
      </w:r>
      <w:r>
        <w:rPr>
          <w:rFonts w:hint="eastAsia"/>
          <w:sz w:val="28"/>
          <w:szCs w:val="18"/>
        </w:rPr>
        <w:t>16</w:t>
      </w:r>
      <w:r>
        <w:rPr>
          <w:rFonts w:hint="eastAsia"/>
          <w:sz w:val="28"/>
          <w:szCs w:val="18"/>
        </w:rPr>
        <w:t>陆生生态评价范围图</w:t>
      </w:r>
      <w:bookmarkEnd w:id="554"/>
    </w:p>
    <w:p w14:paraId="67995FA0" w14:textId="77777777" w:rsidR="009D12AF" w:rsidRDefault="00000000">
      <w:pPr>
        <w:ind w:firstLineChars="0" w:firstLine="0"/>
        <w:rPr>
          <w:b/>
          <w:bCs/>
        </w:rPr>
      </w:pPr>
      <w:r>
        <w:rPr>
          <w:rFonts w:hint="eastAsia"/>
          <w:b/>
          <w:bCs/>
          <w:sz w:val="28"/>
          <w:szCs w:val="18"/>
        </w:rPr>
        <w:t>群力水库</w:t>
      </w:r>
    </w:p>
    <w:p w14:paraId="01F6691A" w14:textId="77777777" w:rsidR="009D12AF" w:rsidRDefault="00000000">
      <w:pPr>
        <w:ind w:firstLineChars="0" w:firstLine="0"/>
      </w:pPr>
      <w:r>
        <w:rPr>
          <w:noProof/>
        </w:rPr>
        <w:drawing>
          <wp:inline distT="0" distB="0" distL="114300" distR="114300" wp14:anchorId="75841E2E" wp14:editId="6886BACD">
            <wp:extent cx="5269865" cy="7840345"/>
            <wp:effectExtent l="0" t="0" r="6985" b="8255"/>
            <wp:docPr id="31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18"/>
                    <pic:cNvPicPr>
                      <a:picLocks noChangeAspect="1"/>
                    </pic:cNvPicPr>
                  </pic:nvPicPr>
                  <pic:blipFill>
                    <a:blip r:embed="rId414"/>
                    <a:stretch>
                      <a:fillRect/>
                    </a:stretch>
                  </pic:blipFill>
                  <pic:spPr>
                    <a:xfrm>
                      <a:off x="0" y="0"/>
                      <a:ext cx="5269865" cy="7840345"/>
                    </a:xfrm>
                    <a:prstGeom prst="rect">
                      <a:avLst/>
                    </a:prstGeom>
                    <a:noFill/>
                    <a:ln>
                      <a:noFill/>
                    </a:ln>
                  </pic:spPr>
                </pic:pic>
              </a:graphicData>
            </a:graphic>
          </wp:inline>
        </w:drawing>
      </w:r>
    </w:p>
    <w:p w14:paraId="652AB41A" w14:textId="77777777" w:rsidR="009D12AF" w:rsidRDefault="00000000">
      <w:pPr>
        <w:ind w:firstLineChars="0" w:firstLine="0"/>
        <w:rPr>
          <w:b/>
          <w:bCs/>
        </w:rPr>
      </w:pPr>
      <w:r>
        <w:rPr>
          <w:rFonts w:hint="eastAsia"/>
          <w:b/>
          <w:bCs/>
        </w:rPr>
        <w:lastRenderedPageBreak/>
        <w:t>长石水库</w:t>
      </w:r>
    </w:p>
    <w:p w14:paraId="324C495A" w14:textId="77777777" w:rsidR="009D12AF" w:rsidRDefault="00000000">
      <w:pPr>
        <w:ind w:firstLineChars="0" w:firstLine="0"/>
      </w:pPr>
      <w:r>
        <w:rPr>
          <w:noProof/>
        </w:rPr>
        <w:drawing>
          <wp:anchor distT="0" distB="0" distL="114300" distR="114300" simplePos="0" relativeHeight="251719680" behindDoc="0" locked="0" layoutInCell="1" allowOverlap="1" wp14:anchorId="13B9407D" wp14:editId="44EBB21C">
            <wp:simplePos x="0" y="0"/>
            <wp:positionH relativeFrom="column">
              <wp:posOffset>4464685</wp:posOffset>
            </wp:positionH>
            <wp:positionV relativeFrom="paragraph">
              <wp:posOffset>62865</wp:posOffset>
            </wp:positionV>
            <wp:extent cx="785495" cy="672465"/>
            <wp:effectExtent l="0" t="0" r="14605" b="13335"/>
            <wp:wrapNone/>
            <wp:docPr id="45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15"/>
                    <pic:cNvPicPr>
                      <a:picLocks noChangeAspect="1"/>
                    </pic:cNvPicPr>
                  </pic:nvPicPr>
                  <pic:blipFill>
                    <a:blip r:embed="rId415"/>
                    <a:stretch>
                      <a:fillRect/>
                    </a:stretch>
                  </pic:blipFill>
                  <pic:spPr>
                    <a:xfrm>
                      <a:off x="0" y="0"/>
                      <a:ext cx="785495" cy="672465"/>
                    </a:xfrm>
                    <a:prstGeom prst="rect">
                      <a:avLst/>
                    </a:prstGeom>
                    <a:noFill/>
                    <a:ln>
                      <a:noFill/>
                    </a:ln>
                  </pic:spPr>
                </pic:pic>
              </a:graphicData>
            </a:graphic>
          </wp:anchor>
        </w:drawing>
      </w:r>
      <w:r>
        <w:rPr>
          <w:noProof/>
        </w:rPr>
        <mc:AlternateContent>
          <mc:Choice Requires="wps">
            <w:drawing>
              <wp:anchor distT="0" distB="0" distL="114300" distR="114300" simplePos="0" relativeHeight="251718656" behindDoc="0" locked="0" layoutInCell="1" allowOverlap="1" wp14:anchorId="211CA694" wp14:editId="632F3D67">
                <wp:simplePos x="0" y="0"/>
                <wp:positionH relativeFrom="column">
                  <wp:posOffset>48895</wp:posOffset>
                </wp:positionH>
                <wp:positionV relativeFrom="paragraph">
                  <wp:posOffset>3991610</wp:posOffset>
                </wp:positionV>
                <wp:extent cx="302895" cy="156210"/>
                <wp:effectExtent l="6350" t="6350" r="14605" b="8890"/>
                <wp:wrapNone/>
                <wp:docPr id="450" name="矩形 450"/>
                <wp:cNvGraphicFramePr/>
                <a:graphic xmlns:a="http://schemas.openxmlformats.org/drawingml/2006/main">
                  <a:graphicData uri="http://schemas.microsoft.com/office/word/2010/wordprocessingShape">
                    <wps:wsp>
                      <wps:cNvSpPr/>
                      <wps:spPr>
                        <a:xfrm>
                          <a:off x="1191895" y="5203190"/>
                          <a:ext cx="302895" cy="156210"/>
                        </a:xfrm>
                        <a:prstGeom prst="rect">
                          <a:avLst/>
                        </a:prstGeom>
                        <a:no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38054AE" id="矩形 450" o:spid="_x0000_s1026" style="position:absolute;margin-left:3.85pt;margin-top:314.3pt;width:23.85pt;height:12.3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" filled="f" strokecolor="#ffc000" strokeweight="1pt"/>
            </w:pict>
          </mc:Fallback>
        </mc:AlternateContent>
      </w:r>
      <w:r>
        <w:rPr>
          <w:noProof/>
        </w:rPr>
        <mc:AlternateContent>
          <mc:Choice Requires="wps">
            <w:drawing>
              <wp:anchor distT="0" distB="0" distL="114300" distR="114300" simplePos="0" relativeHeight="251717632" behindDoc="0" locked="0" layoutInCell="1" allowOverlap="1" wp14:anchorId="265376C1" wp14:editId="6AFF97E3">
                <wp:simplePos x="0" y="0"/>
                <wp:positionH relativeFrom="column">
                  <wp:posOffset>-19685</wp:posOffset>
                </wp:positionH>
                <wp:positionV relativeFrom="paragraph">
                  <wp:posOffset>3575050</wp:posOffset>
                </wp:positionV>
                <wp:extent cx="1894205" cy="718820"/>
                <wp:effectExtent l="4445" t="4445" r="6350" b="19685"/>
                <wp:wrapNone/>
                <wp:docPr id="449" name="文本框 449"/>
                <wp:cNvGraphicFramePr/>
                <a:graphic xmlns:a="http://schemas.openxmlformats.org/drawingml/2006/main">
                  <a:graphicData uri="http://schemas.microsoft.com/office/word/2010/wordprocessingShape">
                    <wps:wsp>
                      <wps:cNvSpPr txBox="1"/>
                      <wps:spPr>
                        <a:xfrm>
                          <a:off x="1174750" y="4786630"/>
                          <a:ext cx="1894205" cy="7188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725B5F9" w14:textId="77777777" w:rsidR="009D12AF" w:rsidRDefault="00000000">
                            <w:pPr>
                              <w:ind w:firstLine="480"/>
                            </w:pPr>
                            <w:r>
                              <w:rPr>
                                <w:rFonts w:hint="eastAsia"/>
                              </w:rPr>
                              <w:t>图例</w:t>
                            </w:r>
                          </w:p>
                          <w:p w14:paraId="1CC2C276" w14:textId="77777777" w:rsidR="009D12AF" w:rsidRDefault="00000000">
                            <w:pPr>
                              <w:ind w:firstLine="480"/>
                            </w:pPr>
                            <w:r>
                              <w:rPr>
                                <w:rFonts w:hint="eastAsia"/>
                              </w:rPr>
                              <w:t>陆生生态评价范围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65376C1" id="文本框 449" o:spid="_x0000_s1048" type="#_x0000_t202" style="position:absolute;left:0;text-align:left;margin-left:-1.55pt;margin-top:281.5pt;width:149.15pt;height:56.6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" fillcolor="white [3201]" strokeweight=".5pt">
                <v:textbox>
                  <w:txbxContent>
                    <w:p w14:paraId="1725B5F9" w14:textId="77777777" w:rsidR="009D12AF" w:rsidRDefault="00000000">
                      <w:pPr>
                        <w:ind w:firstLine="480"/>
                      </w:pPr>
                      <w:r>
                        <w:rPr>
                          <w:rFonts w:hint="eastAsia"/>
                        </w:rPr>
                        <w:t>图例</w:t>
                      </w:r>
                    </w:p>
                    <w:p w14:paraId="1CC2C276" w14:textId="77777777" w:rsidR="009D12AF" w:rsidRDefault="00000000">
                      <w:pPr>
                        <w:ind w:firstLine="480"/>
                      </w:pPr>
                      <w:r>
                        <w:rPr>
                          <w:rFonts w:hint="eastAsia"/>
                        </w:rPr>
                        <w:t>陆生生态评价范围</w:t>
                      </w:r>
                    </w:p>
                  </w:txbxContent>
                </v:textbox>
              </v:shape>
            </w:pict>
          </mc:Fallback>
        </mc:AlternateContent>
      </w:r>
      <w:r>
        <w:rPr>
          <w:noProof/>
        </w:rPr>
        <w:drawing>
          <wp:inline distT="0" distB="0" distL="114300" distR="114300" wp14:anchorId="6A72CE22" wp14:editId="3D3A2162">
            <wp:extent cx="5267325" cy="4260215"/>
            <wp:effectExtent l="0" t="0" r="9525" b="6985"/>
            <wp:docPr id="4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10"/>
                    <pic:cNvPicPr>
                      <a:picLocks noChangeAspect="1"/>
                    </pic:cNvPicPr>
                  </pic:nvPicPr>
                  <pic:blipFill>
                    <a:blip r:embed="rId416" cstate="screen">
                      <a:extLst>
                        <a:ext uri="{28A0092B-C50C-407E-A947-70E740481C1C}">
                          <a14:useLocalDpi xmlns:a14="http://schemas.microsoft.com/office/drawing/2010/main"/>
                        </a:ext>
                      </a:extLst>
                    </a:blip>
                    <a:stretch>
                      <a:fillRect/>
                    </a:stretch>
                  </pic:blipFill>
                  <pic:spPr>
                    <a:xfrm>
                      <a:off x="0" y="0"/>
                      <a:ext cx="5267325" cy="4260215"/>
                    </a:xfrm>
                    <a:prstGeom prst="rect">
                      <a:avLst/>
                    </a:prstGeom>
                    <a:noFill/>
                    <a:ln>
                      <a:noFill/>
                    </a:ln>
                  </pic:spPr>
                </pic:pic>
              </a:graphicData>
            </a:graphic>
          </wp:inline>
        </w:drawing>
      </w:r>
    </w:p>
    <w:p w14:paraId="33A6CE7F" w14:textId="77777777" w:rsidR="009D12AF" w:rsidRDefault="00000000">
      <w:pPr>
        <w:ind w:firstLineChars="0" w:firstLine="0"/>
        <w:rPr>
          <w:b/>
          <w:bCs/>
        </w:rPr>
      </w:pPr>
      <w:r>
        <w:rPr>
          <w:rFonts w:hint="eastAsia"/>
          <w:b/>
          <w:bCs/>
        </w:rPr>
        <w:t>向阳水电站前池</w:t>
      </w:r>
    </w:p>
    <w:p w14:paraId="214CBEF2" w14:textId="77777777" w:rsidR="009D12AF" w:rsidRDefault="00000000">
      <w:pPr>
        <w:ind w:firstLineChars="0" w:firstLine="0"/>
      </w:pPr>
      <w:r>
        <w:rPr>
          <w:noProof/>
        </w:rPr>
        <w:drawing>
          <wp:anchor distT="0" distB="0" distL="114300" distR="114300" simplePos="0" relativeHeight="251722752" behindDoc="0" locked="0" layoutInCell="1" allowOverlap="1" wp14:anchorId="24627E98" wp14:editId="719F4C61">
            <wp:simplePos x="0" y="0"/>
            <wp:positionH relativeFrom="column">
              <wp:posOffset>4444365</wp:posOffset>
            </wp:positionH>
            <wp:positionV relativeFrom="paragraph">
              <wp:posOffset>61595</wp:posOffset>
            </wp:positionV>
            <wp:extent cx="785495" cy="672465"/>
            <wp:effectExtent l="0" t="0" r="14605" b="13335"/>
            <wp:wrapNone/>
            <wp:docPr id="4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15"/>
                    <pic:cNvPicPr>
                      <a:picLocks noChangeAspect="1"/>
                    </pic:cNvPicPr>
                  </pic:nvPicPr>
                  <pic:blipFill>
                    <a:blip r:embed="rId415"/>
                    <a:stretch>
                      <a:fillRect/>
                    </a:stretch>
                  </pic:blipFill>
                  <pic:spPr>
                    <a:xfrm>
                      <a:off x="0" y="0"/>
                      <a:ext cx="785495" cy="672465"/>
                    </a:xfrm>
                    <a:prstGeom prst="rect">
                      <a:avLst/>
                    </a:prstGeom>
                    <a:noFill/>
                    <a:ln>
                      <a:noFill/>
                    </a:ln>
                  </pic:spPr>
                </pic:pic>
              </a:graphicData>
            </a:graphic>
          </wp:anchor>
        </w:drawing>
      </w:r>
      <w:r>
        <w:rPr>
          <w:noProof/>
        </w:rPr>
        <mc:AlternateContent>
          <mc:Choice Requires="wps">
            <w:drawing>
              <wp:anchor distT="0" distB="0" distL="114300" distR="114300" simplePos="0" relativeHeight="251721728" behindDoc="0" locked="0" layoutInCell="1" allowOverlap="1" wp14:anchorId="07422A2A" wp14:editId="105849BA">
                <wp:simplePos x="0" y="0"/>
                <wp:positionH relativeFrom="column">
                  <wp:posOffset>3399790</wp:posOffset>
                </wp:positionH>
                <wp:positionV relativeFrom="paragraph">
                  <wp:posOffset>3208655</wp:posOffset>
                </wp:positionV>
                <wp:extent cx="311785" cy="207645"/>
                <wp:effectExtent l="6350" t="6350" r="24765" b="14605"/>
                <wp:wrapNone/>
                <wp:docPr id="454" name="矩形 454"/>
                <wp:cNvGraphicFramePr/>
                <a:graphic xmlns:a="http://schemas.openxmlformats.org/drawingml/2006/main">
                  <a:graphicData uri="http://schemas.microsoft.com/office/word/2010/wordprocessingShape">
                    <wps:wsp>
                      <wps:cNvSpPr/>
                      <wps:spPr>
                        <a:xfrm>
                          <a:off x="4542790" y="9076055"/>
                          <a:ext cx="311785" cy="207645"/>
                        </a:xfrm>
                        <a:prstGeom prst="rect">
                          <a:avLst/>
                        </a:prstGeom>
                        <a:no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C80FCBD" id="矩形 454" o:spid="_x0000_s1026" style="position:absolute;margin-left:267.7pt;margin-top:252.65pt;width:24.55pt;height:16.3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" filled="f" strokecolor="#ffc000" strokeweight="1pt"/>
            </w:pict>
          </mc:Fallback>
        </mc:AlternateContent>
      </w:r>
      <w:r>
        <w:rPr>
          <w:noProof/>
        </w:rPr>
        <mc:AlternateContent>
          <mc:Choice Requires="wps">
            <w:drawing>
              <wp:anchor distT="0" distB="0" distL="114300" distR="114300" simplePos="0" relativeHeight="251720704" behindDoc="0" locked="0" layoutInCell="1" allowOverlap="1" wp14:anchorId="26112E74" wp14:editId="7C2FCF5C">
                <wp:simplePos x="0" y="0"/>
                <wp:positionH relativeFrom="column">
                  <wp:posOffset>3345180</wp:posOffset>
                </wp:positionH>
                <wp:positionV relativeFrom="paragraph">
                  <wp:posOffset>2794635</wp:posOffset>
                </wp:positionV>
                <wp:extent cx="1894205" cy="718820"/>
                <wp:effectExtent l="4445" t="4445" r="6350" b="19685"/>
                <wp:wrapNone/>
                <wp:docPr id="453" name="文本框 453"/>
                <wp:cNvGraphicFramePr/>
                <a:graphic xmlns:a="http://schemas.openxmlformats.org/drawingml/2006/main">
                  <a:graphicData uri="http://schemas.microsoft.com/office/word/2010/wordprocessingShape">
                    <wps:wsp>
                      <wps:cNvSpPr txBox="1"/>
                      <wps:spPr>
                        <a:xfrm>
                          <a:off x="0" y="0"/>
                          <a:ext cx="1894205" cy="7188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862F923" w14:textId="77777777" w:rsidR="009D12AF" w:rsidRDefault="00000000">
                            <w:pPr>
                              <w:ind w:firstLine="480"/>
                            </w:pPr>
                            <w:r>
                              <w:rPr>
                                <w:rFonts w:hint="eastAsia"/>
                              </w:rPr>
                              <w:t>图例</w:t>
                            </w:r>
                          </w:p>
                          <w:p w14:paraId="27FC7594" w14:textId="77777777" w:rsidR="009D12AF" w:rsidRDefault="00000000">
                            <w:pPr>
                              <w:ind w:firstLine="480"/>
                            </w:pPr>
                            <w:r>
                              <w:rPr>
                                <w:rFonts w:hint="eastAsia"/>
                              </w:rPr>
                              <w:t>陆生生态评价范围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6112E74" id="文本框 453" o:spid="_x0000_s1049" type="#_x0000_t202" style="position:absolute;left:0;text-align:left;margin-left:263.4pt;margin-top:220.05pt;width:149.15pt;height:56.6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" fillcolor="white [3201]" strokeweight=".5pt">
                <v:textbox>
                  <w:txbxContent>
                    <w:p w14:paraId="1862F923" w14:textId="77777777" w:rsidR="009D12AF" w:rsidRDefault="00000000">
                      <w:pPr>
                        <w:ind w:firstLine="480"/>
                      </w:pPr>
                      <w:r>
                        <w:rPr>
                          <w:rFonts w:hint="eastAsia"/>
                        </w:rPr>
                        <w:t>图例</w:t>
                      </w:r>
                    </w:p>
                    <w:p w14:paraId="27FC7594" w14:textId="77777777" w:rsidR="009D12AF" w:rsidRDefault="00000000">
                      <w:pPr>
                        <w:ind w:firstLine="480"/>
                      </w:pPr>
                      <w:r>
                        <w:rPr>
                          <w:rFonts w:hint="eastAsia"/>
                        </w:rPr>
                        <w:t>陆生生态评价范围</w:t>
                      </w:r>
                    </w:p>
                  </w:txbxContent>
                </v:textbox>
              </v:shape>
            </w:pict>
          </mc:Fallback>
        </mc:AlternateContent>
      </w:r>
      <w:r>
        <w:rPr>
          <w:noProof/>
        </w:rPr>
        <w:drawing>
          <wp:inline distT="0" distB="0" distL="114300" distR="114300" wp14:anchorId="5132F79A" wp14:editId="44EE63EA">
            <wp:extent cx="5262880" cy="3444240"/>
            <wp:effectExtent l="0" t="0" r="13970" b="3810"/>
            <wp:docPr id="45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11"/>
                    <pic:cNvPicPr>
                      <a:picLocks noChangeAspect="1"/>
                    </pic:cNvPicPr>
                  </pic:nvPicPr>
                  <pic:blipFill>
                    <a:blip r:embed="rId417" cstate="screen">
                      <a:extLst>
                        <a:ext uri="{28A0092B-C50C-407E-A947-70E740481C1C}">
                          <a14:useLocalDpi xmlns:a14="http://schemas.microsoft.com/office/drawing/2010/main"/>
                        </a:ext>
                      </a:extLst>
                    </a:blip>
                    <a:stretch>
                      <a:fillRect/>
                    </a:stretch>
                  </pic:blipFill>
                  <pic:spPr>
                    <a:xfrm>
                      <a:off x="0" y="0"/>
                      <a:ext cx="5262880" cy="3444240"/>
                    </a:xfrm>
                    <a:prstGeom prst="rect">
                      <a:avLst/>
                    </a:prstGeom>
                    <a:noFill/>
                    <a:ln>
                      <a:noFill/>
                    </a:ln>
                  </pic:spPr>
                </pic:pic>
              </a:graphicData>
            </a:graphic>
          </wp:inline>
        </w:drawing>
      </w:r>
    </w:p>
    <w:p w14:paraId="18461778" w14:textId="77777777" w:rsidR="009D12AF" w:rsidRDefault="009D12AF">
      <w:pPr>
        <w:ind w:firstLineChars="0" w:firstLine="0"/>
      </w:pPr>
    </w:p>
    <w:p w14:paraId="53FF09FE" w14:textId="77777777" w:rsidR="009D12AF" w:rsidRDefault="00000000">
      <w:pPr>
        <w:ind w:firstLineChars="0" w:firstLine="0"/>
        <w:rPr>
          <w:b/>
          <w:bCs/>
        </w:rPr>
      </w:pPr>
      <w:r>
        <w:rPr>
          <w:rFonts w:hint="eastAsia"/>
          <w:b/>
          <w:bCs/>
        </w:rPr>
        <w:lastRenderedPageBreak/>
        <w:t>新安晒水池</w:t>
      </w:r>
    </w:p>
    <w:p w14:paraId="7A2F4656" w14:textId="77777777" w:rsidR="009D12AF" w:rsidRDefault="00000000">
      <w:pPr>
        <w:ind w:firstLineChars="0" w:firstLine="0"/>
      </w:pPr>
      <w:r>
        <w:rPr>
          <w:noProof/>
        </w:rPr>
        <w:drawing>
          <wp:anchor distT="0" distB="0" distL="114300" distR="114300" simplePos="0" relativeHeight="251725824" behindDoc="0" locked="0" layoutInCell="1" allowOverlap="1" wp14:anchorId="7A514FD2" wp14:editId="1C702D24">
            <wp:simplePos x="0" y="0"/>
            <wp:positionH relativeFrom="column">
              <wp:posOffset>4467225</wp:posOffset>
            </wp:positionH>
            <wp:positionV relativeFrom="paragraph">
              <wp:posOffset>93980</wp:posOffset>
            </wp:positionV>
            <wp:extent cx="785495" cy="672465"/>
            <wp:effectExtent l="0" t="0" r="14605" b="13335"/>
            <wp:wrapNone/>
            <wp:docPr id="4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15"/>
                    <pic:cNvPicPr>
                      <a:picLocks noChangeAspect="1"/>
                    </pic:cNvPicPr>
                  </pic:nvPicPr>
                  <pic:blipFill>
                    <a:blip r:embed="rId415"/>
                    <a:stretch>
                      <a:fillRect/>
                    </a:stretch>
                  </pic:blipFill>
                  <pic:spPr>
                    <a:xfrm>
                      <a:off x="0" y="0"/>
                      <a:ext cx="785495" cy="672465"/>
                    </a:xfrm>
                    <a:prstGeom prst="rect">
                      <a:avLst/>
                    </a:prstGeom>
                    <a:noFill/>
                    <a:ln>
                      <a:noFill/>
                    </a:ln>
                  </pic:spPr>
                </pic:pic>
              </a:graphicData>
            </a:graphic>
          </wp:anchor>
        </w:drawing>
      </w:r>
      <w:r>
        <w:rPr>
          <w:noProof/>
        </w:rPr>
        <mc:AlternateContent>
          <mc:Choice Requires="wps">
            <w:drawing>
              <wp:anchor distT="0" distB="0" distL="114300" distR="114300" simplePos="0" relativeHeight="251724800" behindDoc="0" locked="0" layoutInCell="1" allowOverlap="1" wp14:anchorId="16808FAE" wp14:editId="5D14B244">
                <wp:simplePos x="0" y="0"/>
                <wp:positionH relativeFrom="column">
                  <wp:posOffset>66040</wp:posOffset>
                </wp:positionH>
                <wp:positionV relativeFrom="paragraph">
                  <wp:posOffset>3524885</wp:posOffset>
                </wp:positionV>
                <wp:extent cx="294640" cy="156210"/>
                <wp:effectExtent l="6350" t="6350" r="22860" b="8890"/>
                <wp:wrapNone/>
                <wp:docPr id="458" name="矩形 458"/>
                <wp:cNvGraphicFramePr/>
                <a:graphic xmlns:a="http://schemas.openxmlformats.org/drawingml/2006/main">
                  <a:graphicData uri="http://schemas.microsoft.com/office/word/2010/wordprocessingShape">
                    <wps:wsp>
                      <wps:cNvSpPr/>
                      <wps:spPr>
                        <a:xfrm>
                          <a:off x="1209040" y="4736465"/>
                          <a:ext cx="294640" cy="156210"/>
                        </a:xfrm>
                        <a:prstGeom prst="rect">
                          <a:avLst/>
                        </a:prstGeom>
                        <a:no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EA0DC07" id="矩形 458" o:spid="_x0000_s1026" style="position:absolute;margin-left:5.2pt;margin-top:277.55pt;width:23.2pt;height:12.3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" filled="f" strokecolor="#ffc000" strokeweight="1pt"/>
            </w:pict>
          </mc:Fallback>
        </mc:AlternateContent>
      </w:r>
      <w:r>
        <w:rPr>
          <w:noProof/>
        </w:rPr>
        <mc:AlternateContent>
          <mc:Choice Requires="wps">
            <w:drawing>
              <wp:anchor distT="0" distB="0" distL="114300" distR="114300" simplePos="0" relativeHeight="251723776" behindDoc="0" locked="0" layoutInCell="1" allowOverlap="1" wp14:anchorId="7E07D369" wp14:editId="0D4654E4">
                <wp:simplePos x="0" y="0"/>
                <wp:positionH relativeFrom="column">
                  <wp:posOffset>2540</wp:posOffset>
                </wp:positionH>
                <wp:positionV relativeFrom="paragraph">
                  <wp:posOffset>3077845</wp:posOffset>
                </wp:positionV>
                <wp:extent cx="1730375" cy="762000"/>
                <wp:effectExtent l="4445" t="4445" r="17780" b="14605"/>
                <wp:wrapNone/>
                <wp:docPr id="457" name="文本框 457"/>
                <wp:cNvGraphicFramePr/>
                <a:graphic xmlns:a="http://schemas.openxmlformats.org/drawingml/2006/main">
                  <a:graphicData uri="http://schemas.microsoft.com/office/word/2010/wordprocessingShape">
                    <wps:wsp>
                      <wps:cNvSpPr txBox="1"/>
                      <wps:spPr>
                        <a:xfrm>
                          <a:off x="0" y="0"/>
                          <a:ext cx="1730375" cy="7620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A8F2A5B" w14:textId="77777777" w:rsidR="009D12AF" w:rsidRDefault="00000000">
                            <w:pPr>
                              <w:ind w:firstLine="480"/>
                            </w:pPr>
                            <w:r>
                              <w:rPr>
                                <w:rFonts w:hint="eastAsia"/>
                              </w:rPr>
                              <w:t>图例</w:t>
                            </w:r>
                          </w:p>
                          <w:p w14:paraId="2158AE7E" w14:textId="77777777" w:rsidR="009D12AF" w:rsidRDefault="00000000">
                            <w:pPr>
                              <w:ind w:firstLine="480"/>
                            </w:pPr>
                            <w:r>
                              <w:rPr>
                                <w:rFonts w:hint="eastAsia"/>
                              </w:rPr>
                              <w:t>陆生生态评价范围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E07D369" id="文本框 457" o:spid="_x0000_s1050" type="#_x0000_t202" style="position:absolute;left:0;text-align:left;margin-left:.2pt;margin-top:242.35pt;width:136.25pt;height:60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" fillcolor="white [3201]" strokeweight=".5pt">
                <v:textbox>
                  <w:txbxContent>
                    <w:p w14:paraId="3A8F2A5B" w14:textId="77777777" w:rsidR="009D12AF" w:rsidRDefault="00000000">
                      <w:pPr>
                        <w:ind w:firstLine="480"/>
                      </w:pPr>
                      <w:r>
                        <w:rPr>
                          <w:rFonts w:hint="eastAsia"/>
                        </w:rPr>
                        <w:t>图例</w:t>
                      </w:r>
                    </w:p>
                    <w:p w14:paraId="2158AE7E" w14:textId="77777777" w:rsidR="009D12AF" w:rsidRDefault="00000000">
                      <w:pPr>
                        <w:ind w:firstLine="480"/>
                      </w:pPr>
                      <w:r>
                        <w:rPr>
                          <w:rFonts w:hint="eastAsia"/>
                        </w:rPr>
                        <w:t>陆生生态评价范围</w:t>
                      </w:r>
                    </w:p>
                  </w:txbxContent>
                </v:textbox>
              </v:shape>
            </w:pict>
          </mc:Fallback>
        </mc:AlternateContent>
      </w:r>
      <w:r>
        <w:rPr>
          <w:noProof/>
        </w:rPr>
        <w:drawing>
          <wp:inline distT="0" distB="0" distL="114300" distR="114300" wp14:anchorId="5E33581D" wp14:editId="51159B29">
            <wp:extent cx="5272405" cy="3765550"/>
            <wp:effectExtent l="0" t="0" r="4445" b="6350"/>
            <wp:docPr id="45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12"/>
                    <pic:cNvPicPr>
                      <a:picLocks noChangeAspect="1"/>
                    </pic:cNvPicPr>
                  </pic:nvPicPr>
                  <pic:blipFill>
                    <a:blip r:embed="rId418" cstate="screen">
                      <a:extLst>
                        <a:ext uri="{28A0092B-C50C-407E-A947-70E740481C1C}">
                          <a14:useLocalDpi xmlns:a14="http://schemas.microsoft.com/office/drawing/2010/main"/>
                        </a:ext>
                      </a:extLst>
                    </a:blip>
                    <a:stretch>
                      <a:fillRect/>
                    </a:stretch>
                  </pic:blipFill>
                  <pic:spPr>
                    <a:xfrm>
                      <a:off x="0" y="0"/>
                      <a:ext cx="5272405" cy="3765550"/>
                    </a:xfrm>
                    <a:prstGeom prst="rect">
                      <a:avLst/>
                    </a:prstGeom>
                    <a:noFill/>
                    <a:ln>
                      <a:noFill/>
                    </a:ln>
                  </pic:spPr>
                </pic:pic>
              </a:graphicData>
            </a:graphic>
          </wp:inline>
        </w:drawing>
      </w:r>
    </w:p>
    <w:p w14:paraId="02AA551F" w14:textId="77777777" w:rsidR="009D12AF" w:rsidRDefault="00000000">
      <w:pPr>
        <w:ind w:firstLineChars="0" w:firstLine="0"/>
        <w:rPr>
          <w:b/>
          <w:bCs/>
        </w:rPr>
      </w:pPr>
      <w:r>
        <w:rPr>
          <w:rFonts w:hint="eastAsia"/>
          <w:b/>
          <w:bCs/>
        </w:rPr>
        <w:t>万丈水库</w:t>
      </w:r>
    </w:p>
    <w:p w14:paraId="5B902DBF" w14:textId="77777777" w:rsidR="009D12AF" w:rsidRDefault="00000000">
      <w:pPr>
        <w:ind w:firstLineChars="0" w:firstLine="0"/>
        <w:rPr>
          <w:b/>
          <w:bCs/>
        </w:rPr>
      </w:pPr>
      <w:r>
        <w:rPr>
          <w:noProof/>
        </w:rPr>
        <mc:AlternateContent>
          <mc:Choice Requires="wps">
            <w:drawing>
              <wp:anchor distT="0" distB="0" distL="114300" distR="114300" simplePos="0" relativeHeight="251728896" behindDoc="0" locked="0" layoutInCell="1" allowOverlap="1" wp14:anchorId="048A10FD" wp14:editId="3FBA7B9F">
                <wp:simplePos x="0" y="0"/>
                <wp:positionH relativeFrom="column">
                  <wp:posOffset>48895</wp:posOffset>
                </wp:positionH>
                <wp:positionV relativeFrom="paragraph">
                  <wp:posOffset>3508375</wp:posOffset>
                </wp:positionV>
                <wp:extent cx="346075" cy="199390"/>
                <wp:effectExtent l="6350" t="6350" r="9525" b="22860"/>
                <wp:wrapNone/>
                <wp:docPr id="463" name="矩形 463"/>
                <wp:cNvGraphicFramePr/>
                <a:graphic xmlns:a="http://schemas.openxmlformats.org/drawingml/2006/main">
                  <a:graphicData uri="http://schemas.microsoft.com/office/word/2010/wordprocessingShape">
                    <wps:wsp>
                      <wps:cNvSpPr/>
                      <wps:spPr>
                        <a:xfrm>
                          <a:off x="1191895" y="8979535"/>
                          <a:ext cx="346075" cy="199390"/>
                        </a:xfrm>
                        <a:prstGeom prst="rect">
                          <a:avLst/>
                        </a:prstGeom>
                        <a:no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3836EC2" id="矩形 463" o:spid="_x0000_s1026" style="position:absolute;margin-left:3.85pt;margin-top:276.25pt;width:27.25pt;height:15.7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" filled="f" strokecolor="#ffc000" strokeweight="1pt"/>
            </w:pict>
          </mc:Fallback>
        </mc:AlternateContent>
      </w:r>
      <w:r>
        <w:rPr>
          <w:noProof/>
        </w:rPr>
        <mc:AlternateContent>
          <mc:Choice Requires="wps">
            <w:drawing>
              <wp:anchor distT="0" distB="0" distL="114300" distR="114300" simplePos="0" relativeHeight="251727872" behindDoc="0" locked="0" layoutInCell="1" allowOverlap="1" wp14:anchorId="70256810" wp14:editId="66161DD4">
                <wp:simplePos x="0" y="0"/>
                <wp:positionH relativeFrom="column">
                  <wp:posOffset>-635</wp:posOffset>
                </wp:positionH>
                <wp:positionV relativeFrom="paragraph">
                  <wp:posOffset>3118485</wp:posOffset>
                </wp:positionV>
                <wp:extent cx="1730375" cy="762000"/>
                <wp:effectExtent l="4445" t="4445" r="17780" b="14605"/>
                <wp:wrapNone/>
                <wp:docPr id="462" name="文本框 462"/>
                <wp:cNvGraphicFramePr/>
                <a:graphic xmlns:a="http://schemas.openxmlformats.org/drawingml/2006/main">
                  <a:graphicData uri="http://schemas.microsoft.com/office/word/2010/wordprocessingShape">
                    <wps:wsp>
                      <wps:cNvSpPr txBox="1"/>
                      <wps:spPr>
                        <a:xfrm>
                          <a:off x="0" y="0"/>
                          <a:ext cx="1730375" cy="7620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ECFA768" w14:textId="77777777" w:rsidR="009D12AF" w:rsidRDefault="00000000">
                            <w:pPr>
                              <w:ind w:firstLine="480"/>
                            </w:pPr>
                            <w:r>
                              <w:rPr>
                                <w:rFonts w:hint="eastAsia"/>
                              </w:rPr>
                              <w:t>图例</w:t>
                            </w:r>
                          </w:p>
                          <w:p w14:paraId="1F5609B0" w14:textId="77777777" w:rsidR="009D12AF" w:rsidRDefault="00000000">
                            <w:pPr>
                              <w:ind w:firstLine="480"/>
                            </w:pPr>
                            <w:r>
                              <w:rPr>
                                <w:rFonts w:hint="eastAsia"/>
                              </w:rPr>
                              <w:t>陆生生态评价范围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0256810" id="文本框 462" o:spid="_x0000_s1051" type="#_x0000_t202" style="position:absolute;left:0;text-align:left;margin-left:-.05pt;margin-top:245.55pt;width:136.25pt;height:60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" fillcolor="white [3201]" strokeweight=".5pt">
                <v:textbox>
                  <w:txbxContent>
                    <w:p w14:paraId="1ECFA768" w14:textId="77777777" w:rsidR="009D12AF" w:rsidRDefault="00000000">
                      <w:pPr>
                        <w:ind w:firstLine="480"/>
                      </w:pPr>
                      <w:r>
                        <w:rPr>
                          <w:rFonts w:hint="eastAsia"/>
                        </w:rPr>
                        <w:t>图例</w:t>
                      </w:r>
                    </w:p>
                    <w:p w14:paraId="1F5609B0" w14:textId="77777777" w:rsidR="009D12AF" w:rsidRDefault="00000000">
                      <w:pPr>
                        <w:ind w:firstLine="480"/>
                      </w:pPr>
                      <w:r>
                        <w:rPr>
                          <w:rFonts w:hint="eastAsia"/>
                        </w:rPr>
                        <w:t>陆生生态评价范围</w:t>
                      </w:r>
                    </w:p>
                  </w:txbxContent>
                </v:textbox>
              </v:shape>
            </w:pict>
          </mc:Fallback>
        </mc:AlternateContent>
      </w:r>
      <w:r>
        <w:rPr>
          <w:noProof/>
        </w:rPr>
        <w:drawing>
          <wp:anchor distT="0" distB="0" distL="114300" distR="114300" simplePos="0" relativeHeight="251726848" behindDoc="0" locked="0" layoutInCell="1" allowOverlap="1" wp14:anchorId="79833D22" wp14:editId="3ACD2981">
            <wp:simplePos x="0" y="0"/>
            <wp:positionH relativeFrom="column">
              <wp:posOffset>4481195</wp:posOffset>
            </wp:positionH>
            <wp:positionV relativeFrom="paragraph">
              <wp:posOffset>56515</wp:posOffset>
            </wp:positionV>
            <wp:extent cx="785495" cy="672465"/>
            <wp:effectExtent l="0" t="0" r="14605" b="13335"/>
            <wp:wrapNone/>
            <wp:docPr id="46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15"/>
                    <pic:cNvPicPr>
                      <a:picLocks noChangeAspect="1"/>
                    </pic:cNvPicPr>
                  </pic:nvPicPr>
                  <pic:blipFill>
                    <a:blip r:embed="rId415"/>
                    <a:stretch>
                      <a:fillRect/>
                    </a:stretch>
                  </pic:blipFill>
                  <pic:spPr>
                    <a:xfrm>
                      <a:off x="0" y="0"/>
                      <a:ext cx="785495" cy="672465"/>
                    </a:xfrm>
                    <a:prstGeom prst="rect">
                      <a:avLst/>
                    </a:prstGeom>
                    <a:noFill/>
                    <a:ln>
                      <a:noFill/>
                    </a:ln>
                  </pic:spPr>
                </pic:pic>
              </a:graphicData>
            </a:graphic>
          </wp:anchor>
        </w:drawing>
      </w:r>
      <w:r>
        <w:rPr>
          <w:noProof/>
        </w:rPr>
        <w:drawing>
          <wp:inline distT="0" distB="0" distL="114300" distR="114300" wp14:anchorId="6BBDFFEB" wp14:editId="65B0F78C">
            <wp:extent cx="5269230" cy="3834130"/>
            <wp:effectExtent l="0" t="0" r="7620" b="13970"/>
            <wp:docPr id="46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13"/>
                    <pic:cNvPicPr>
                      <a:picLocks noChangeAspect="1"/>
                    </pic:cNvPicPr>
                  </pic:nvPicPr>
                  <pic:blipFill>
                    <a:blip r:embed="rId419" cstate="screen">
                      <a:extLst>
                        <a:ext uri="{28A0092B-C50C-407E-A947-70E740481C1C}">
                          <a14:useLocalDpi xmlns:a14="http://schemas.microsoft.com/office/drawing/2010/main"/>
                        </a:ext>
                      </a:extLst>
                    </a:blip>
                    <a:stretch>
                      <a:fillRect/>
                    </a:stretch>
                  </pic:blipFill>
                  <pic:spPr>
                    <a:xfrm>
                      <a:off x="0" y="0"/>
                      <a:ext cx="5269230" cy="3834130"/>
                    </a:xfrm>
                    <a:prstGeom prst="rect">
                      <a:avLst/>
                    </a:prstGeom>
                    <a:noFill/>
                    <a:ln>
                      <a:noFill/>
                    </a:ln>
                  </pic:spPr>
                </pic:pic>
              </a:graphicData>
            </a:graphic>
          </wp:inline>
        </w:drawing>
      </w:r>
    </w:p>
    <w:p w14:paraId="4537EE07" w14:textId="77777777" w:rsidR="009D12AF" w:rsidRDefault="00000000">
      <w:pPr>
        <w:pStyle w:val="1"/>
        <w:spacing w:before="0" w:after="0" w:line="240" w:lineRule="auto"/>
        <w:rPr>
          <w:sz w:val="28"/>
          <w:szCs w:val="18"/>
        </w:rPr>
      </w:pPr>
      <w:bookmarkStart w:id="555" w:name="_Toc275"/>
      <w:r>
        <w:rPr>
          <w:rFonts w:hint="eastAsia"/>
          <w:sz w:val="28"/>
          <w:szCs w:val="18"/>
        </w:rPr>
        <w:lastRenderedPageBreak/>
        <w:t>附图</w:t>
      </w:r>
      <w:r>
        <w:rPr>
          <w:rFonts w:hint="eastAsia"/>
          <w:sz w:val="28"/>
          <w:szCs w:val="18"/>
        </w:rPr>
        <w:t>17</w:t>
      </w:r>
      <w:r>
        <w:rPr>
          <w:rFonts w:hint="eastAsia"/>
          <w:sz w:val="28"/>
          <w:szCs w:val="18"/>
        </w:rPr>
        <w:t>群力水库植被样方布设图</w:t>
      </w:r>
      <w:bookmarkEnd w:id="555"/>
    </w:p>
    <w:p w14:paraId="0DB353C5" w14:textId="77777777" w:rsidR="009D12AF" w:rsidRDefault="00000000">
      <w:pPr>
        <w:ind w:firstLineChars="0" w:firstLine="0"/>
      </w:pPr>
      <w:r>
        <w:rPr>
          <w:noProof/>
        </w:rPr>
        <w:drawing>
          <wp:inline distT="0" distB="0" distL="114300" distR="114300" wp14:anchorId="414CB638" wp14:editId="36F74867">
            <wp:extent cx="5274310" cy="7969885"/>
            <wp:effectExtent l="0" t="0" r="2540" b="12065"/>
            <wp:docPr id="31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9"/>
                    <pic:cNvPicPr>
                      <a:picLocks noChangeAspect="1"/>
                    </pic:cNvPicPr>
                  </pic:nvPicPr>
                  <pic:blipFill>
                    <a:blip r:embed="rId420"/>
                    <a:stretch>
                      <a:fillRect/>
                    </a:stretch>
                  </pic:blipFill>
                  <pic:spPr>
                    <a:xfrm>
                      <a:off x="0" y="0"/>
                      <a:ext cx="5274310" cy="7969885"/>
                    </a:xfrm>
                    <a:prstGeom prst="rect">
                      <a:avLst/>
                    </a:prstGeom>
                    <a:noFill/>
                    <a:ln>
                      <a:noFill/>
                    </a:ln>
                  </pic:spPr>
                </pic:pic>
              </a:graphicData>
            </a:graphic>
          </wp:inline>
        </w:drawing>
      </w:r>
    </w:p>
    <w:p w14:paraId="33A15C26" w14:textId="77777777" w:rsidR="009D12AF" w:rsidRDefault="00000000">
      <w:pPr>
        <w:pStyle w:val="1"/>
        <w:spacing w:before="0" w:after="0" w:line="240" w:lineRule="auto"/>
        <w:rPr>
          <w:sz w:val="28"/>
          <w:szCs w:val="18"/>
        </w:rPr>
      </w:pPr>
      <w:bookmarkStart w:id="556" w:name="_Toc21708"/>
      <w:r>
        <w:rPr>
          <w:rFonts w:hint="eastAsia"/>
          <w:sz w:val="28"/>
          <w:szCs w:val="18"/>
        </w:rPr>
        <w:lastRenderedPageBreak/>
        <w:t>附图</w:t>
      </w:r>
      <w:r>
        <w:rPr>
          <w:rFonts w:hint="eastAsia"/>
          <w:sz w:val="28"/>
          <w:szCs w:val="18"/>
        </w:rPr>
        <w:t>18</w:t>
      </w:r>
      <w:r>
        <w:rPr>
          <w:rFonts w:hint="eastAsia"/>
          <w:sz w:val="28"/>
          <w:szCs w:val="18"/>
        </w:rPr>
        <w:t>群力水库动物样线布设图</w:t>
      </w:r>
      <w:bookmarkEnd w:id="556"/>
    </w:p>
    <w:p w14:paraId="5058DE64" w14:textId="77777777" w:rsidR="009D12AF" w:rsidRDefault="00000000">
      <w:pPr>
        <w:ind w:firstLineChars="0" w:firstLine="0"/>
      </w:pPr>
      <w:r>
        <w:rPr>
          <w:noProof/>
        </w:rPr>
        <w:drawing>
          <wp:inline distT="0" distB="0" distL="114300" distR="114300" wp14:anchorId="47A16AE3" wp14:editId="168E6DA5">
            <wp:extent cx="5273040" cy="7924165"/>
            <wp:effectExtent l="0" t="0" r="3810" b="635"/>
            <wp:docPr id="31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20"/>
                    <pic:cNvPicPr>
                      <a:picLocks noChangeAspect="1"/>
                    </pic:cNvPicPr>
                  </pic:nvPicPr>
                  <pic:blipFill>
                    <a:blip r:embed="rId421"/>
                    <a:stretch>
                      <a:fillRect/>
                    </a:stretch>
                  </pic:blipFill>
                  <pic:spPr>
                    <a:xfrm>
                      <a:off x="0" y="0"/>
                      <a:ext cx="5273040" cy="7924165"/>
                    </a:xfrm>
                    <a:prstGeom prst="rect">
                      <a:avLst/>
                    </a:prstGeom>
                    <a:noFill/>
                    <a:ln>
                      <a:noFill/>
                    </a:ln>
                  </pic:spPr>
                </pic:pic>
              </a:graphicData>
            </a:graphic>
          </wp:inline>
        </w:drawing>
      </w:r>
    </w:p>
    <w:p w14:paraId="7C589231" w14:textId="77777777" w:rsidR="009D12AF" w:rsidRDefault="00000000">
      <w:pPr>
        <w:pStyle w:val="1"/>
        <w:spacing w:before="0" w:after="0" w:line="240" w:lineRule="auto"/>
        <w:rPr>
          <w:sz w:val="28"/>
          <w:szCs w:val="18"/>
        </w:rPr>
      </w:pPr>
      <w:bookmarkStart w:id="557" w:name="_Toc2937"/>
      <w:r>
        <w:rPr>
          <w:rFonts w:hint="eastAsia"/>
          <w:sz w:val="28"/>
          <w:szCs w:val="18"/>
        </w:rPr>
        <w:lastRenderedPageBreak/>
        <w:t>附图</w:t>
      </w:r>
      <w:r>
        <w:rPr>
          <w:rFonts w:hint="eastAsia"/>
          <w:sz w:val="28"/>
          <w:szCs w:val="18"/>
        </w:rPr>
        <w:t>19</w:t>
      </w:r>
      <w:r>
        <w:rPr>
          <w:rFonts w:hint="eastAsia"/>
          <w:sz w:val="28"/>
          <w:szCs w:val="18"/>
        </w:rPr>
        <w:t>群力水库评价范围内植被类型图</w:t>
      </w:r>
      <w:bookmarkEnd w:id="557"/>
    </w:p>
    <w:p w14:paraId="6CED6945" w14:textId="77777777" w:rsidR="009D12AF" w:rsidRDefault="00000000">
      <w:pPr>
        <w:ind w:firstLineChars="0" w:firstLine="0"/>
      </w:pPr>
      <w:r>
        <w:rPr>
          <w:noProof/>
        </w:rPr>
        <w:drawing>
          <wp:inline distT="0" distB="0" distL="114300" distR="114300" wp14:anchorId="71110AFC" wp14:editId="35DF60A8">
            <wp:extent cx="5273675" cy="7413625"/>
            <wp:effectExtent l="0" t="0" r="3175" b="15875"/>
            <wp:docPr id="32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21"/>
                    <pic:cNvPicPr>
                      <a:picLocks noChangeAspect="1"/>
                    </pic:cNvPicPr>
                  </pic:nvPicPr>
                  <pic:blipFill>
                    <a:blip r:embed="rId422"/>
                    <a:stretch>
                      <a:fillRect/>
                    </a:stretch>
                  </pic:blipFill>
                  <pic:spPr>
                    <a:xfrm>
                      <a:off x="0" y="0"/>
                      <a:ext cx="5273675" cy="7413625"/>
                    </a:xfrm>
                    <a:prstGeom prst="rect">
                      <a:avLst/>
                    </a:prstGeom>
                    <a:noFill/>
                    <a:ln>
                      <a:noFill/>
                    </a:ln>
                  </pic:spPr>
                </pic:pic>
              </a:graphicData>
            </a:graphic>
          </wp:inline>
        </w:drawing>
      </w:r>
    </w:p>
    <w:p w14:paraId="6AEC657D" w14:textId="77777777" w:rsidR="009D12AF" w:rsidRDefault="009D12AF">
      <w:pPr>
        <w:ind w:firstLineChars="0" w:firstLine="0"/>
      </w:pPr>
    </w:p>
    <w:p w14:paraId="09FE5C22" w14:textId="77777777" w:rsidR="009D12AF" w:rsidRDefault="009D12AF">
      <w:pPr>
        <w:ind w:firstLineChars="0" w:firstLine="0"/>
      </w:pPr>
    </w:p>
    <w:p w14:paraId="7E21313B" w14:textId="77777777" w:rsidR="009D12AF" w:rsidRDefault="00000000">
      <w:pPr>
        <w:pStyle w:val="1"/>
        <w:spacing w:before="0" w:after="0" w:line="240" w:lineRule="auto"/>
        <w:rPr>
          <w:sz w:val="28"/>
          <w:szCs w:val="18"/>
        </w:rPr>
      </w:pPr>
      <w:bookmarkStart w:id="558" w:name="_Toc28825"/>
      <w:r>
        <w:rPr>
          <w:rFonts w:hint="eastAsia"/>
          <w:sz w:val="28"/>
          <w:szCs w:val="18"/>
        </w:rPr>
        <w:lastRenderedPageBreak/>
        <w:t>附图</w:t>
      </w:r>
      <w:r>
        <w:rPr>
          <w:rFonts w:hint="eastAsia"/>
          <w:sz w:val="28"/>
          <w:szCs w:val="18"/>
        </w:rPr>
        <w:t>20</w:t>
      </w:r>
      <w:r>
        <w:rPr>
          <w:rFonts w:hint="eastAsia"/>
          <w:sz w:val="28"/>
          <w:szCs w:val="18"/>
        </w:rPr>
        <w:t>群力水库评价范围内重点保护植物分布图</w:t>
      </w:r>
      <w:bookmarkEnd w:id="558"/>
    </w:p>
    <w:p w14:paraId="5A6A9D11" w14:textId="77777777" w:rsidR="009D12AF" w:rsidRDefault="00000000">
      <w:pPr>
        <w:ind w:firstLineChars="0" w:firstLine="0"/>
      </w:pPr>
      <w:r>
        <w:rPr>
          <w:noProof/>
        </w:rPr>
        <w:drawing>
          <wp:inline distT="0" distB="0" distL="114300" distR="114300" wp14:anchorId="558BD14A" wp14:editId="6FE8EFED">
            <wp:extent cx="5274310" cy="7318375"/>
            <wp:effectExtent l="0" t="0" r="2540" b="15875"/>
            <wp:docPr id="32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22"/>
                    <pic:cNvPicPr>
                      <a:picLocks noChangeAspect="1"/>
                    </pic:cNvPicPr>
                  </pic:nvPicPr>
                  <pic:blipFill>
                    <a:blip r:embed="rId423"/>
                    <a:stretch>
                      <a:fillRect/>
                    </a:stretch>
                  </pic:blipFill>
                  <pic:spPr>
                    <a:xfrm>
                      <a:off x="0" y="0"/>
                      <a:ext cx="5274310" cy="7318375"/>
                    </a:xfrm>
                    <a:prstGeom prst="rect">
                      <a:avLst/>
                    </a:prstGeom>
                    <a:noFill/>
                    <a:ln>
                      <a:noFill/>
                    </a:ln>
                  </pic:spPr>
                </pic:pic>
              </a:graphicData>
            </a:graphic>
          </wp:inline>
        </w:drawing>
      </w:r>
    </w:p>
    <w:p w14:paraId="47188019" w14:textId="77777777" w:rsidR="009D12AF" w:rsidRDefault="00000000">
      <w:pPr>
        <w:ind w:firstLineChars="0" w:firstLine="0"/>
      </w:pPr>
      <w:r>
        <w:rPr>
          <w:noProof/>
        </w:rPr>
        <w:lastRenderedPageBreak/>
        <w:drawing>
          <wp:inline distT="0" distB="0" distL="114300" distR="114300" wp14:anchorId="56495474" wp14:editId="5639BBA2">
            <wp:extent cx="5269865" cy="7583805"/>
            <wp:effectExtent l="0" t="0" r="6985" b="17145"/>
            <wp:docPr id="32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23"/>
                    <pic:cNvPicPr>
                      <a:picLocks noChangeAspect="1"/>
                    </pic:cNvPicPr>
                  </pic:nvPicPr>
                  <pic:blipFill>
                    <a:blip r:embed="rId424"/>
                    <a:stretch>
                      <a:fillRect/>
                    </a:stretch>
                  </pic:blipFill>
                  <pic:spPr>
                    <a:xfrm>
                      <a:off x="0" y="0"/>
                      <a:ext cx="5269865" cy="7583805"/>
                    </a:xfrm>
                    <a:prstGeom prst="rect">
                      <a:avLst/>
                    </a:prstGeom>
                    <a:noFill/>
                    <a:ln>
                      <a:noFill/>
                    </a:ln>
                  </pic:spPr>
                </pic:pic>
              </a:graphicData>
            </a:graphic>
          </wp:inline>
        </w:drawing>
      </w:r>
    </w:p>
    <w:p w14:paraId="11F720A4" w14:textId="77777777" w:rsidR="009D12AF" w:rsidRDefault="00000000">
      <w:pPr>
        <w:ind w:firstLineChars="0" w:firstLine="0"/>
      </w:pPr>
      <w:r>
        <w:rPr>
          <w:noProof/>
        </w:rPr>
        <w:lastRenderedPageBreak/>
        <w:drawing>
          <wp:inline distT="0" distB="0" distL="114300" distR="114300" wp14:anchorId="7FE0195A" wp14:editId="53399A4A">
            <wp:extent cx="5271770" cy="8249285"/>
            <wp:effectExtent l="0" t="0" r="5080" b="18415"/>
            <wp:docPr id="32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24"/>
                    <pic:cNvPicPr>
                      <a:picLocks noChangeAspect="1"/>
                    </pic:cNvPicPr>
                  </pic:nvPicPr>
                  <pic:blipFill>
                    <a:blip r:embed="rId425"/>
                    <a:stretch>
                      <a:fillRect/>
                    </a:stretch>
                  </pic:blipFill>
                  <pic:spPr>
                    <a:xfrm>
                      <a:off x="0" y="0"/>
                      <a:ext cx="5271770" cy="8249285"/>
                    </a:xfrm>
                    <a:prstGeom prst="rect">
                      <a:avLst/>
                    </a:prstGeom>
                    <a:noFill/>
                    <a:ln>
                      <a:noFill/>
                    </a:ln>
                  </pic:spPr>
                </pic:pic>
              </a:graphicData>
            </a:graphic>
          </wp:inline>
        </w:drawing>
      </w:r>
      <w:r>
        <w:rPr>
          <w:noProof/>
        </w:rPr>
        <w:lastRenderedPageBreak/>
        <w:drawing>
          <wp:inline distT="0" distB="0" distL="114300" distR="114300" wp14:anchorId="63E0E7D1" wp14:editId="462A1C16">
            <wp:extent cx="5273675" cy="7687945"/>
            <wp:effectExtent l="0" t="0" r="3175" b="8255"/>
            <wp:docPr id="32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25"/>
                    <pic:cNvPicPr>
                      <a:picLocks noChangeAspect="1"/>
                    </pic:cNvPicPr>
                  </pic:nvPicPr>
                  <pic:blipFill>
                    <a:blip r:embed="rId426"/>
                    <a:stretch>
                      <a:fillRect/>
                    </a:stretch>
                  </pic:blipFill>
                  <pic:spPr>
                    <a:xfrm>
                      <a:off x="0" y="0"/>
                      <a:ext cx="5273675" cy="7687945"/>
                    </a:xfrm>
                    <a:prstGeom prst="rect">
                      <a:avLst/>
                    </a:prstGeom>
                    <a:noFill/>
                    <a:ln>
                      <a:noFill/>
                    </a:ln>
                  </pic:spPr>
                </pic:pic>
              </a:graphicData>
            </a:graphic>
          </wp:inline>
        </w:drawing>
      </w:r>
    </w:p>
    <w:p w14:paraId="50ABFA16" w14:textId="77777777" w:rsidR="009D12AF" w:rsidRDefault="009D12AF">
      <w:pPr>
        <w:ind w:firstLineChars="0" w:firstLine="0"/>
      </w:pPr>
    </w:p>
    <w:p w14:paraId="70A5F4E8" w14:textId="77777777" w:rsidR="009D12AF" w:rsidRDefault="009D12AF">
      <w:pPr>
        <w:ind w:firstLineChars="0" w:firstLine="0"/>
      </w:pPr>
    </w:p>
    <w:p w14:paraId="29B15D19" w14:textId="77777777" w:rsidR="009D12AF" w:rsidRDefault="00000000">
      <w:pPr>
        <w:pStyle w:val="1"/>
        <w:spacing w:before="0" w:after="0" w:line="240" w:lineRule="auto"/>
        <w:rPr>
          <w:sz w:val="28"/>
          <w:szCs w:val="18"/>
        </w:rPr>
      </w:pPr>
      <w:bookmarkStart w:id="559" w:name="_Toc2480"/>
      <w:r>
        <w:rPr>
          <w:rFonts w:hint="eastAsia"/>
          <w:sz w:val="28"/>
          <w:szCs w:val="18"/>
        </w:rPr>
        <w:lastRenderedPageBreak/>
        <w:t>附图</w:t>
      </w:r>
      <w:r>
        <w:rPr>
          <w:rFonts w:hint="eastAsia"/>
          <w:sz w:val="28"/>
          <w:szCs w:val="18"/>
        </w:rPr>
        <w:t>21</w:t>
      </w:r>
      <w:r>
        <w:rPr>
          <w:rFonts w:hint="eastAsia"/>
          <w:sz w:val="28"/>
          <w:szCs w:val="18"/>
        </w:rPr>
        <w:t>群力水库评价范围内重点保护野生植物生境分布图</w:t>
      </w:r>
      <w:bookmarkEnd w:id="559"/>
    </w:p>
    <w:p w14:paraId="144D4274" w14:textId="77777777" w:rsidR="009D12AF" w:rsidRDefault="00000000">
      <w:pPr>
        <w:ind w:firstLineChars="0" w:firstLine="0"/>
      </w:pPr>
      <w:r>
        <w:rPr>
          <w:noProof/>
        </w:rPr>
        <w:drawing>
          <wp:inline distT="0" distB="0" distL="114300" distR="114300" wp14:anchorId="588445B1" wp14:editId="65727F00">
            <wp:extent cx="5269230" cy="6971665"/>
            <wp:effectExtent l="0" t="0" r="7620" b="635"/>
            <wp:docPr id="32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26"/>
                    <pic:cNvPicPr>
                      <a:picLocks noChangeAspect="1"/>
                    </pic:cNvPicPr>
                  </pic:nvPicPr>
                  <pic:blipFill>
                    <a:blip r:embed="rId427"/>
                    <a:stretch>
                      <a:fillRect/>
                    </a:stretch>
                  </pic:blipFill>
                  <pic:spPr>
                    <a:xfrm>
                      <a:off x="0" y="0"/>
                      <a:ext cx="5269230" cy="6971665"/>
                    </a:xfrm>
                    <a:prstGeom prst="rect">
                      <a:avLst/>
                    </a:prstGeom>
                    <a:noFill/>
                    <a:ln>
                      <a:noFill/>
                    </a:ln>
                  </pic:spPr>
                </pic:pic>
              </a:graphicData>
            </a:graphic>
          </wp:inline>
        </w:drawing>
      </w:r>
    </w:p>
    <w:p w14:paraId="72FB22B8" w14:textId="77777777" w:rsidR="009D12AF" w:rsidRDefault="009D12AF">
      <w:pPr>
        <w:ind w:firstLineChars="0" w:firstLine="0"/>
      </w:pPr>
    </w:p>
    <w:p w14:paraId="276FF118" w14:textId="77777777" w:rsidR="009D12AF" w:rsidRDefault="009D12AF">
      <w:pPr>
        <w:ind w:firstLineChars="0" w:firstLine="0"/>
      </w:pPr>
    </w:p>
    <w:p w14:paraId="0C80F020" w14:textId="77777777" w:rsidR="009D12AF" w:rsidRDefault="009D12AF">
      <w:pPr>
        <w:ind w:firstLineChars="0" w:firstLine="0"/>
      </w:pPr>
    </w:p>
    <w:p w14:paraId="4988BD43" w14:textId="77777777" w:rsidR="009D12AF" w:rsidRDefault="00000000">
      <w:pPr>
        <w:pStyle w:val="1"/>
        <w:spacing w:before="0" w:after="0" w:line="240" w:lineRule="auto"/>
        <w:rPr>
          <w:sz w:val="28"/>
          <w:szCs w:val="18"/>
        </w:rPr>
      </w:pPr>
      <w:bookmarkStart w:id="560" w:name="_Toc31030"/>
      <w:r>
        <w:rPr>
          <w:rFonts w:hint="eastAsia"/>
          <w:sz w:val="28"/>
          <w:szCs w:val="18"/>
        </w:rPr>
        <w:lastRenderedPageBreak/>
        <w:t>附图</w:t>
      </w:r>
      <w:r>
        <w:rPr>
          <w:rFonts w:hint="eastAsia"/>
          <w:sz w:val="28"/>
          <w:szCs w:val="18"/>
        </w:rPr>
        <w:t>22</w:t>
      </w:r>
      <w:r>
        <w:rPr>
          <w:rFonts w:hint="eastAsia"/>
          <w:sz w:val="28"/>
          <w:szCs w:val="18"/>
        </w:rPr>
        <w:t>群力水库评价范围内重点保护野生动物分布图</w:t>
      </w:r>
      <w:bookmarkEnd w:id="560"/>
    </w:p>
    <w:p w14:paraId="1DD191AD" w14:textId="77777777" w:rsidR="009D12AF" w:rsidRDefault="00000000">
      <w:pPr>
        <w:ind w:firstLineChars="0" w:firstLine="0"/>
      </w:pPr>
      <w:r>
        <w:rPr>
          <w:noProof/>
        </w:rPr>
        <w:drawing>
          <wp:inline distT="0" distB="0" distL="114300" distR="114300" wp14:anchorId="747F0BD2" wp14:editId="48F57BE9">
            <wp:extent cx="5272405" cy="8003540"/>
            <wp:effectExtent l="0" t="0" r="4445" b="16510"/>
            <wp:docPr id="32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7"/>
                    <pic:cNvPicPr>
                      <a:picLocks noChangeAspect="1"/>
                    </pic:cNvPicPr>
                  </pic:nvPicPr>
                  <pic:blipFill>
                    <a:blip r:embed="rId428"/>
                    <a:stretch>
                      <a:fillRect/>
                    </a:stretch>
                  </pic:blipFill>
                  <pic:spPr>
                    <a:xfrm>
                      <a:off x="0" y="0"/>
                      <a:ext cx="5272405" cy="8003540"/>
                    </a:xfrm>
                    <a:prstGeom prst="rect">
                      <a:avLst/>
                    </a:prstGeom>
                    <a:noFill/>
                    <a:ln>
                      <a:noFill/>
                    </a:ln>
                  </pic:spPr>
                </pic:pic>
              </a:graphicData>
            </a:graphic>
          </wp:inline>
        </w:drawing>
      </w:r>
      <w:r>
        <w:rPr>
          <w:noProof/>
        </w:rPr>
        <w:lastRenderedPageBreak/>
        <w:drawing>
          <wp:inline distT="0" distB="0" distL="114300" distR="114300" wp14:anchorId="0C9F86F8" wp14:editId="5F098C18">
            <wp:extent cx="5269230" cy="6791325"/>
            <wp:effectExtent l="0" t="0" r="7620" b="9525"/>
            <wp:docPr id="32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28"/>
                    <pic:cNvPicPr>
                      <a:picLocks noChangeAspect="1"/>
                    </pic:cNvPicPr>
                  </pic:nvPicPr>
                  <pic:blipFill>
                    <a:blip r:embed="rId429"/>
                    <a:stretch>
                      <a:fillRect/>
                    </a:stretch>
                  </pic:blipFill>
                  <pic:spPr>
                    <a:xfrm>
                      <a:off x="0" y="0"/>
                      <a:ext cx="5269230" cy="6791325"/>
                    </a:xfrm>
                    <a:prstGeom prst="rect">
                      <a:avLst/>
                    </a:prstGeom>
                    <a:noFill/>
                    <a:ln>
                      <a:noFill/>
                    </a:ln>
                  </pic:spPr>
                </pic:pic>
              </a:graphicData>
            </a:graphic>
          </wp:inline>
        </w:drawing>
      </w:r>
      <w:r>
        <w:rPr>
          <w:noProof/>
        </w:rPr>
        <w:lastRenderedPageBreak/>
        <w:drawing>
          <wp:inline distT="0" distB="0" distL="114300" distR="114300" wp14:anchorId="0C5050CF" wp14:editId="0038D1BF">
            <wp:extent cx="5267960" cy="8117205"/>
            <wp:effectExtent l="0" t="0" r="8890" b="17145"/>
            <wp:docPr id="32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29"/>
                    <pic:cNvPicPr>
                      <a:picLocks noChangeAspect="1"/>
                    </pic:cNvPicPr>
                  </pic:nvPicPr>
                  <pic:blipFill>
                    <a:blip r:embed="rId430"/>
                    <a:stretch>
                      <a:fillRect/>
                    </a:stretch>
                  </pic:blipFill>
                  <pic:spPr>
                    <a:xfrm>
                      <a:off x="0" y="0"/>
                      <a:ext cx="5267960" cy="8117205"/>
                    </a:xfrm>
                    <a:prstGeom prst="rect">
                      <a:avLst/>
                    </a:prstGeom>
                    <a:noFill/>
                    <a:ln>
                      <a:noFill/>
                    </a:ln>
                  </pic:spPr>
                </pic:pic>
              </a:graphicData>
            </a:graphic>
          </wp:inline>
        </w:drawing>
      </w:r>
      <w:r>
        <w:rPr>
          <w:noProof/>
        </w:rPr>
        <w:lastRenderedPageBreak/>
        <w:drawing>
          <wp:inline distT="0" distB="0" distL="114300" distR="114300" wp14:anchorId="1ED336E0" wp14:editId="27ECE27B">
            <wp:extent cx="5269865" cy="7968615"/>
            <wp:effectExtent l="0" t="0" r="6985" b="13335"/>
            <wp:docPr id="32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0"/>
                    <pic:cNvPicPr>
                      <a:picLocks noChangeAspect="1"/>
                    </pic:cNvPicPr>
                  </pic:nvPicPr>
                  <pic:blipFill>
                    <a:blip r:embed="rId431"/>
                    <a:stretch>
                      <a:fillRect/>
                    </a:stretch>
                  </pic:blipFill>
                  <pic:spPr>
                    <a:xfrm>
                      <a:off x="0" y="0"/>
                      <a:ext cx="5269865" cy="7968615"/>
                    </a:xfrm>
                    <a:prstGeom prst="rect">
                      <a:avLst/>
                    </a:prstGeom>
                    <a:noFill/>
                    <a:ln>
                      <a:noFill/>
                    </a:ln>
                  </pic:spPr>
                </pic:pic>
              </a:graphicData>
            </a:graphic>
          </wp:inline>
        </w:drawing>
      </w:r>
      <w:r>
        <w:rPr>
          <w:noProof/>
        </w:rPr>
        <w:lastRenderedPageBreak/>
        <w:drawing>
          <wp:inline distT="0" distB="0" distL="114300" distR="114300" wp14:anchorId="45B945E6" wp14:editId="6FBB71C0">
            <wp:extent cx="5270500" cy="8202295"/>
            <wp:effectExtent l="0" t="0" r="6350" b="8255"/>
            <wp:docPr id="33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1"/>
                    <pic:cNvPicPr>
                      <a:picLocks noChangeAspect="1"/>
                    </pic:cNvPicPr>
                  </pic:nvPicPr>
                  <pic:blipFill>
                    <a:blip r:embed="rId432"/>
                    <a:stretch>
                      <a:fillRect/>
                    </a:stretch>
                  </pic:blipFill>
                  <pic:spPr>
                    <a:xfrm>
                      <a:off x="0" y="0"/>
                      <a:ext cx="5270500" cy="8202295"/>
                    </a:xfrm>
                    <a:prstGeom prst="rect">
                      <a:avLst/>
                    </a:prstGeom>
                    <a:noFill/>
                    <a:ln>
                      <a:noFill/>
                    </a:ln>
                  </pic:spPr>
                </pic:pic>
              </a:graphicData>
            </a:graphic>
          </wp:inline>
        </w:drawing>
      </w:r>
    </w:p>
    <w:p w14:paraId="0BCE67A0" w14:textId="77777777" w:rsidR="009D12AF" w:rsidRDefault="00000000">
      <w:pPr>
        <w:pStyle w:val="1"/>
        <w:spacing w:before="0" w:after="0" w:line="240" w:lineRule="auto"/>
        <w:rPr>
          <w:sz w:val="28"/>
          <w:szCs w:val="18"/>
        </w:rPr>
      </w:pPr>
      <w:bookmarkStart w:id="561" w:name="_Toc32181"/>
      <w:r>
        <w:rPr>
          <w:rFonts w:hint="eastAsia"/>
          <w:sz w:val="28"/>
          <w:szCs w:val="18"/>
        </w:rPr>
        <w:lastRenderedPageBreak/>
        <w:t>附图</w:t>
      </w:r>
      <w:r>
        <w:rPr>
          <w:rFonts w:hint="eastAsia"/>
          <w:sz w:val="28"/>
          <w:szCs w:val="18"/>
        </w:rPr>
        <w:t>23</w:t>
      </w:r>
      <w:r>
        <w:rPr>
          <w:rFonts w:hint="eastAsia"/>
          <w:sz w:val="28"/>
          <w:szCs w:val="18"/>
        </w:rPr>
        <w:t>群力水库评价范围内重点保护野生动物适宜生境分布图</w:t>
      </w:r>
      <w:bookmarkEnd w:id="561"/>
    </w:p>
    <w:p w14:paraId="086A2D6F" w14:textId="77777777" w:rsidR="009D12AF" w:rsidRDefault="00000000">
      <w:pPr>
        <w:ind w:firstLineChars="0" w:firstLine="0"/>
        <w:rPr>
          <w:b/>
          <w:bCs/>
        </w:rPr>
      </w:pPr>
      <w:r>
        <w:rPr>
          <w:rFonts w:hint="eastAsia"/>
          <w:b/>
          <w:bCs/>
        </w:rPr>
        <w:t>白鹳</w:t>
      </w:r>
    </w:p>
    <w:p w14:paraId="6C5DB9AA" w14:textId="77777777" w:rsidR="009D12AF" w:rsidRDefault="00000000">
      <w:pPr>
        <w:ind w:firstLineChars="0" w:firstLine="0"/>
      </w:pPr>
      <w:r>
        <w:rPr>
          <w:noProof/>
        </w:rPr>
        <w:drawing>
          <wp:inline distT="0" distB="0" distL="114300" distR="114300" wp14:anchorId="0507D3DB" wp14:editId="18572AD7">
            <wp:extent cx="5271770" cy="7228205"/>
            <wp:effectExtent l="0" t="0" r="5080" b="10795"/>
            <wp:docPr id="33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2"/>
                    <pic:cNvPicPr>
                      <a:picLocks noChangeAspect="1"/>
                    </pic:cNvPicPr>
                  </pic:nvPicPr>
                  <pic:blipFill>
                    <a:blip r:embed="rId433"/>
                    <a:stretch>
                      <a:fillRect/>
                    </a:stretch>
                  </pic:blipFill>
                  <pic:spPr>
                    <a:xfrm>
                      <a:off x="0" y="0"/>
                      <a:ext cx="5271770" cy="7228205"/>
                    </a:xfrm>
                    <a:prstGeom prst="rect">
                      <a:avLst/>
                    </a:prstGeom>
                    <a:noFill/>
                    <a:ln>
                      <a:noFill/>
                    </a:ln>
                  </pic:spPr>
                </pic:pic>
              </a:graphicData>
            </a:graphic>
          </wp:inline>
        </w:drawing>
      </w:r>
    </w:p>
    <w:p w14:paraId="62A88D64" w14:textId="77777777" w:rsidR="009D12AF" w:rsidRDefault="009D12AF">
      <w:pPr>
        <w:ind w:firstLineChars="0" w:firstLine="0"/>
      </w:pPr>
    </w:p>
    <w:p w14:paraId="77451F0D" w14:textId="77777777" w:rsidR="009D12AF" w:rsidRDefault="009D12AF">
      <w:pPr>
        <w:ind w:firstLineChars="0" w:firstLine="0"/>
      </w:pPr>
    </w:p>
    <w:p w14:paraId="31C51AE1" w14:textId="77777777" w:rsidR="009D12AF" w:rsidRDefault="009D12AF">
      <w:pPr>
        <w:ind w:firstLineChars="0" w:firstLine="0"/>
      </w:pPr>
    </w:p>
    <w:p w14:paraId="71A4E59A" w14:textId="77777777" w:rsidR="009D12AF" w:rsidRDefault="00000000">
      <w:pPr>
        <w:widowControl/>
        <w:ind w:firstLineChars="0" w:firstLine="0"/>
        <w:jc w:val="left"/>
        <w:rPr>
          <w:b/>
          <w:bCs/>
          <w:sz w:val="28"/>
          <w:szCs w:val="28"/>
        </w:rPr>
      </w:pPr>
      <w:r>
        <w:rPr>
          <w:rFonts w:ascii="宋体" w:eastAsia="宋体" w:hAnsi="宋体" w:cs="宋体" w:hint="eastAsia"/>
          <w:b/>
          <w:bCs/>
          <w:color w:val="000000"/>
          <w:kern w:val="0"/>
          <w:sz w:val="28"/>
          <w:szCs w:val="28"/>
          <w:lang w:bidi="ar"/>
        </w:rPr>
        <w:lastRenderedPageBreak/>
        <w:t>红隼</w:t>
      </w:r>
    </w:p>
    <w:p w14:paraId="5E094A2B" w14:textId="77777777" w:rsidR="009D12AF" w:rsidRDefault="00000000">
      <w:pPr>
        <w:ind w:firstLineChars="0" w:firstLine="0"/>
      </w:pPr>
      <w:r>
        <w:rPr>
          <w:noProof/>
        </w:rPr>
        <w:drawing>
          <wp:inline distT="0" distB="0" distL="114300" distR="114300" wp14:anchorId="63132902" wp14:editId="711926B0">
            <wp:extent cx="5269230" cy="7416165"/>
            <wp:effectExtent l="0" t="0" r="7620" b="13335"/>
            <wp:docPr id="33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
                    <pic:cNvPicPr>
                      <a:picLocks noChangeAspect="1"/>
                    </pic:cNvPicPr>
                  </pic:nvPicPr>
                  <pic:blipFill>
                    <a:blip r:embed="rId434"/>
                    <a:stretch>
                      <a:fillRect/>
                    </a:stretch>
                  </pic:blipFill>
                  <pic:spPr>
                    <a:xfrm>
                      <a:off x="0" y="0"/>
                      <a:ext cx="5269230" cy="7416165"/>
                    </a:xfrm>
                    <a:prstGeom prst="rect">
                      <a:avLst/>
                    </a:prstGeom>
                    <a:noFill/>
                    <a:ln>
                      <a:noFill/>
                    </a:ln>
                  </pic:spPr>
                </pic:pic>
              </a:graphicData>
            </a:graphic>
          </wp:inline>
        </w:drawing>
      </w:r>
    </w:p>
    <w:p w14:paraId="256F2BF7" w14:textId="77777777" w:rsidR="009D12AF" w:rsidRDefault="009D12AF">
      <w:pPr>
        <w:ind w:firstLineChars="0" w:firstLine="0"/>
      </w:pPr>
    </w:p>
    <w:p w14:paraId="34F65C20" w14:textId="77777777" w:rsidR="009D12AF" w:rsidRDefault="009D12AF">
      <w:pPr>
        <w:ind w:firstLineChars="0" w:firstLine="0"/>
      </w:pPr>
    </w:p>
    <w:p w14:paraId="6A3916B5" w14:textId="77777777" w:rsidR="009D12AF" w:rsidRDefault="009D12AF">
      <w:pPr>
        <w:ind w:firstLineChars="0" w:firstLine="0"/>
      </w:pPr>
    </w:p>
    <w:p w14:paraId="2B290ADA" w14:textId="77777777" w:rsidR="009D12AF" w:rsidRDefault="00000000">
      <w:pPr>
        <w:pStyle w:val="1"/>
        <w:spacing w:before="0" w:after="0" w:line="240" w:lineRule="auto"/>
        <w:rPr>
          <w:sz w:val="28"/>
          <w:szCs w:val="18"/>
          <w:highlight w:val="yellow"/>
        </w:rPr>
      </w:pPr>
      <w:bookmarkStart w:id="562" w:name="_Toc11444"/>
      <w:r>
        <w:rPr>
          <w:rFonts w:hint="eastAsia"/>
          <w:sz w:val="28"/>
          <w:szCs w:val="18"/>
        </w:rPr>
        <w:lastRenderedPageBreak/>
        <w:t>附图</w:t>
      </w:r>
      <w:r>
        <w:rPr>
          <w:rFonts w:hint="eastAsia"/>
          <w:sz w:val="28"/>
          <w:szCs w:val="18"/>
        </w:rPr>
        <w:t>24</w:t>
      </w:r>
      <w:r>
        <w:rPr>
          <w:rFonts w:hint="eastAsia"/>
          <w:sz w:val="28"/>
          <w:szCs w:val="18"/>
        </w:rPr>
        <w:t>群力水库评价范围内生境类型图</w:t>
      </w:r>
      <w:bookmarkEnd w:id="562"/>
    </w:p>
    <w:p w14:paraId="609212A7" w14:textId="77777777" w:rsidR="009D12AF" w:rsidRDefault="00000000">
      <w:pPr>
        <w:ind w:firstLineChars="0" w:firstLine="0"/>
      </w:pPr>
      <w:r>
        <w:rPr>
          <w:noProof/>
        </w:rPr>
        <w:drawing>
          <wp:inline distT="0" distB="0" distL="114300" distR="114300" wp14:anchorId="6CEE1C87" wp14:editId="05C96B25">
            <wp:extent cx="5269230" cy="7331075"/>
            <wp:effectExtent l="0" t="0" r="7620" b="3175"/>
            <wp:docPr id="33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4"/>
                    <pic:cNvPicPr>
                      <a:picLocks noChangeAspect="1"/>
                    </pic:cNvPicPr>
                  </pic:nvPicPr>
                  <pic:blipFill>
                    <a:blip r:embed="rId435"/>
                    <a:stretch>
                      <a:fillRect/>
                    </a:stretch>
                  </pic:blipFill>
                  <pic:spPr>
                    <a:xfrm>
                      <a:off x="0" y="0"/>
                      <a:ext cx="5269230" cy="7331075"/>
                    </a:xfrm>
                    <a:prstGeom prst="rect">
                      <a:avLst/>
                    </a:prstGeom>
                    <a:noFill/>
                    <a:ln>
                      <a:noFill/>
                    </a:ln>
                  </pic:spPr>
                </pic:pic>
              </a:graphicData>
            </a:graphic>
          </wp:inline>
        </w:drawing>
      </w:r>
    </w:p>
    <w:p w14:paraId="5EE2791E" w14:textId="77777777" w:rsidR="009D12AF" w:rsidRDefault="009D12AF">
      <w:pPr>
        <w:ind w:firstLineChars="0" w:firstLine="0"/>
      </w:pPr>
    </w:p>
    <w:p w14:paraId="314D55AE" w14:textId="77777777" w:rsidR="009D12AF" w:rsidRDefault="009D12AF">
      <w:pPr>
        <w:ind w:firstLineChars="0" w:firstLine="0"/>
      </w:pPr>
    </w:p>
    <w:p w14:paraId="7EDCCF9F" w14:textId="77777777" w:rsidR="009D12AF" w:rsidRDefault="00000000">
      <w:pPr>
        <w:pStyle w:val="1"/>
        <w:spacing w:before="0" w:after="0" w:line="240" w:lineRule="auto"/>
        <w:rPr>
          <w:sz w:val="28"/>
          <w:szCs w:val="18"/>
        </w:rPr>
      </w:pPr>
      <w:bookmarkStart w:id="563" w:name="_Toc2357"/>
      <w:r>
        <w:rPr>
          <w:rFonts w:hint="eastAsia"/>
          <w:sz w:val="28"/>
          <w:szCs w:val="18"/>
        </w:rPr>
        <w:lastRenderedPageBreak/>
        <w:t>附图</w:t>
      </w:r>
      <w:r>
        <w:rPr>
          <w:rFonts w:hint="eastAsia"/>
          <w:sz w:val="28"/>
          <w:szCs w:val="18"/>
        </w:rPr>
        <w:t>25</w:t>
      </w:r>
      <w:r>
        <w:rPr>
          <w:rFonts w:hint="eastAsia"/>
          <w:sz w:val="28"/>
          <w:szCs w:val="18"/>
        </w:rPr>
        <w:t>群力水库评价范围内土地利用类型图</w:t>
      </w:r>
      <w:bookmarkEnd w:id="563"/>
    </w:p>
    <w:p w14:paraId="7815F7AD" w14:textId="77777777" w:rsidR="009D12AF" w:rsidRDefault="00000000">
      <w:pPr>
        <w:ind w:firstLineChars="0" w:firstLine="0"/>
      </w:pPr>
      <w:r>
        <w:rPr>
          <w:noProof/>
        </w:rPr>
        <w:drawing>
          <wp:inline distT="0" distB="0" distL="114300" distR="114300" wp14:anchorId="1B2026E9" wp14:editId="3B818286">
            <wp:extent cx="5273040" cy="6947535"/>
            <wp:effectExtent l="0" t="0" r="3810" b="5715"/>
            <wp:docPr id="33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5"/>
                    <pic:cNvPicPr>
                      <a:picLocks noChangeAspect="1"/>
                    </pic:cNvPicPr>
                  </pic:nvPicPr>
                  <pic:blipFill>
                    <a:blip r:embed="rId436"/>
                    <a:stretch>
                      <a:fillRect/>
                    </a:stretch>
                  </pic:blipFill>
                  <pic:spPr>
                    <a:xfrm>
                      <a:off x="0" y="0"/>
                      <a:ext cx="5273040" cy="6947535"/>
                    </a:xfrm>
                    <a:prstGeom prst="rect">
                      <a:avLst/>
                    </a:prstGeom>
                    <a:noFill/>
                    <a:ln>
                      <a:noFill/>
                    </a:ln>
                  </pic:spPr>
                </pic:pic>
              </a:graphicData>
            </a:graphic>
          </wp:inline>
        </w:drawing>
      </w:r>
    </w:p>
    <w:p w14:paraId="7DCB9DDB" w14:textId="77777777" w:rsidR="009D12AF" w:rsidRDefault="009D12AF">
      <w:pPr>
        <w:ind w:firstLineChars="0" w:firstLine="0"/>
      </w:pPr>
    </w:p>
    <w:p w14:paraId="0773DE10" w14:textId="77777777" w:rsidR="009D12AF" w:rsidRDefault="009D12AF">
      <w:pPr>
        <w:ind w:firstLineChars="0" w:firstLine="0"/>
      </w:pPr>
    </w:p>
    <w:p w14:paraId="031AB6E6" w14:textId="77777777" w:rsidR="009D12AF" w:rsidRDefault="009D12AF">
      <w:pPr>
        <w:ind w:firstLineChars="0" w:firstLine="0"/>
      </w:pPr>
    </w:p>
    <w:p w14:paraId="32E75A0A" w14:textId="77777777" w:rsidR="009D12AF" w:rsidRDefault="00000000">
      <w:pPr>
        <w:pStyle w:val="1"/>
        <w:spacing w:before="0" w:after="0" w:line="240" w:lineRule="auto"/>
        <w:rPr>
          <w:sz w:val="28"/>
          <w:szCs w:val="18"/>
        </w:rPr>
      </w:pPr>
      <w:bookmarkStart w:id="564" w:name="_Toc6757"/>
      <w:r>
        <w:rPr>
          <w:rFonts w:hint="eastAsia"/>
          <w:sz w:val="28"/>
          <w:szCs w:val="18"/>
        </w:rPr>
        <w:lastRenderedPageBreak/>
        <w:t>附图</w:t>
      </w:r>
      <w:r>
        <w:rPr>
          <w:rFonts w:hint="eastAsia"/>
          <w:sz w:val="28"/>
          <w:szCs w:val="18"/>
        </w:rPr>
        <w:t>26</w:t>
      </w:r>
      <w:r>
        <w:rPr>
          <w:rFonts w:hint="eastAsia"/>
          <w:sz w:val="28"/>
          <w:szCs w:val="18"/>
        </w:rPr>
        <w:t>群力水库评价范围内生态系统类型图</w:t>
      </w:r>
      <w:bookmarkEnd w:id="564"/>
    </w:p>
    <w:p w14:paraId="70760C39" w14:textId="77777777" w:rsidR="009D12AF" w:rsidRDefault="00000000">
      <w:pPr>
        <w:ind w:firstLineChars="0" w:firstLine="0"/>
      </w:pPr>
      <w:r>
        <w:rPr>
          <w:noProof/>
        </w:rPr>
        <w:drawing>
          <wp:inline distT="0" distB="0" distL="114300" distR="114300" wp14:anchorId="72792C43" wp14:editId="2DA40186">
            <wp:extent cx="5269865" cy="6750685"/>
            <wp:effectExtent l="0" t="0" r="6985" b="12065"/>
            <wp:docPr id="33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6"/>
                    <pic:cNvPicPr>
                      <a:picLocks noChangeAspect="1"/>
                    </pic:cNvPicPr>
                  </pic:nvPicPr>
                  <pic:blipFill>
                    <a:blip r:embed="rId437"/>
                    <a:stretch>
                      <a:fillRect/>
                    </a:stretch>
                  </pic:blipFill>
                  <pic:spPr>
                    <a:xfrm>
                      <a:off x="0" y="0"/>
                      <a:ext cx="5269865" cy="6750685"/>
                    </a:xfrm>
                    <a:prstGeom prst="rect">
                      <a:avLst/>
                    </a:prstGeom>
                    <a:noFill/>
                    <a:ln>
                      <a:noFill/>
                    </a:ln>
                  </pic:spPr>
                </pic:pic>
              </a:graphicData>
            </a:graphic>
          </wp:inline>
        </w:drawing>
      </w:r>
    </w:p>
    <w:p w14:paraId="7BBFC856" w14:textId="77777777" w:rsidR="009D12AF" w:rsidRDefault="009D12AF">
      <w:pPr>
        <w:ind w:firstLineChars="0" w:firstLine="0"/>
      </w:pPr>
    </w:p>
    <w:p w14:paraId="07757F29" w14:textId="77777777" w:rsidR="009D12AF" w:rsidRDefault="009D12AF">
      <w:pPr>
        <w:ind w:firstLineChars="0" w:firstLine="0"/>
      </w:pPr>
    </w:p>
    <w:p w14:paraId="419BFB5F" w14:textId="77777777" w:rsidR="009D12AF" w:rsidRDefault="009D12AF">
      <w:pPr>
        <w:ind w:firstLineChars="0" w:firstLine="0"/>
      </w:pPr>
    </w:p>
    <w:p w14:paraId="18073D30" w14:textId="77777777" w:rsidR="009D12AF" w:rsidRDefault="009D12AF">
      <w:pPr>
        <w:ind w:firstLineChars="0" w:firstLine="0"/>
      </w:pPr>
    </w:p>
    <w:p w14:paraId="68C30D76" w14:textId="77777777" w:rsidR="009D12AF" w:rsidRDefault="00000000">
      <w:pPr>
        <w:pStyle w:val="1"/>
        <w:spacing w:before="0" w:after="0" w:line="240" w:lineRule="auto"/>
        <w:rPr>
          <w:sz w:val="28"/>
          <w:szCs w:val="18"/>
          <w:highlight w:val="yellow"/>
        </w:rPr>
      </w:pPr>
      <w:bookmarkStart w:id="565" w:name="_Toc2348"/>
      <w:r>
        <w:rPr>
          <w:rFonts w:hint="eastAsia"/>
          <w:sz w:val="28"/>
          <w:szCs w:val="18"/>
        </w:rPr>
        <w:lastRenderedPageBreak/>
        <w:t>附图</w:t>
      </w:r>
      <w:r>
        <w:rPr>
          <w:rFonts w:hint="eastAsia"/>
          <w:sz w:val="28"/>
          <w:szCs w:val="18"/>
        </w:rPr>
        <w:t>27</w:t>
      </w:r>
      <w:r>
        <w:rPr>
          <w:rFonts w:hint="eastAsia"/>
          <w:sz w:val="28"/>
          <w:szCs w:val="18"/>
        </w:rPr>
        <w:t>群力水库评价范围内植被覆盖度图</w:t>
      </w:r>
      <w:bookmarkEnd w:id="565"/>
    </w:p>
    <w:p w14:paraId="1DE85C75" w14:textId="77777777" w:rsidR="009D12AF" w:rsidRDefault="00000000">
      <w:pPr>
        <w:ind w:firstLineChars="0" w:firstLine="0"/>
      </w:pPr>
      <w:r>
        <w:rPr>
          <w:noProof/>
        </w:rPr>
        <w:drawing>
          <wp:inline distT="0" distB="0" distL="114300" distR="114300" wp14:anchorId="07DB3CD6" wp14:editId="00B99857">
            <wp:extent cx="5270500" cy="7428865"/>
            <wp:effectExtent l="0" t="0" r="6350" b="635"/>
            <wp:docPr id="33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7"/>
                    <pic:cNvPicPr>
                      <a:picLocks noChangeAspect="1"/>
                    </pic:cNvPicPr>
                  </pic:nvPicPr>
                  <pic:blipFill>
                    <a:blip r:embed="rId438"/>
                    <a:stretch>
                      <a:fillRect/>
                    </a:stretch>
                  </pic:blipFill>
                  <pic:spPr>
                    <a:xfrm>
                      <a:off x="0" y="0"/>
                      <a:ext cx="5270500" cy="7428865"/>
                    </a:xfrm>
                    <a:prstGeom prst="rect">
                      <a:avLst/>
                    </a:prstGeom>
                    <a:noFill/>
                    <a:ln>
                      <a:noFill/>
                    </a:ln>
                  </pic:spPr>
                </pic:pic>
              </a:graphicData>
            </a:graphic>
          </wp:inline>
        </w:drawing>
      </w:r>
    </w:p>
    <w:p w14:paraId="762FC041" w14:textId="77777777" w:rsidR="009D12AF" w:rsidRDefault="009D12AF">
      <w:pPr>
        <w:ind w:firstLineChars="0" w:firstLine="0"/>
      </w:pPr>
    </w:p>
    <w:p w14:paraId="20EF6FF5" w14:textId="77777777" w:rsidR="009D12AF" w:rsidRDefault="009D12AF">
      <w:pPr>
        <w:ind w:firstLineChars="0" w:firstLine="0"/>
      </w:pPr>
    </w:p>
    <w:p w14:paraId="1CA6C4AD" w14:textId="77777777" w:rsidR="009D12AF" w:rsidRDefault="00000000">
      <w:pPr>
        <w:pStyle w:val="1"/>
        <w:spacing w:before="0" w:after="0" w:line="240" w:lineRule="auto"/>
        <w:rPr>
          <w:sz w:val="28"/>
          <w:szCs w:val="18"/>
        </w:rPr>
      </w:pPr>
      <w:bookmarkStart w:id="566" w:name="_Toc21120"/>
      <w:r>
        <w:rPr>
          <w:rFonts w:hint="eastAsia"/>
          <w:sz w:val="28"/>
          <w:szCs w:val="18"/>
        </w:rPr>
        <w:lastRenderedPageBreak/>
        <w:t>附图</w:t>
      </w:r>
      <w:r>
        <w:rPr>
          <w:rFonts w:hint="eastAsia"/>
          <w:sz w:val="28"/>
          <w:szCs w:val="18"/>
        </w:rPr>
        <w:t>28</w:t>
      </w:r>
      <w:r>
        <w:rPr>
          <w:rFonts w:hint="eastAsia"/>
          <w:sz w:val="28"/>
          <w:szCs w:val="18"/>
        </w:rPr>
        <w:t>群力水库生态保护措施平面布置图</w:t>
      </w:r>
      <w:bookmarkEnd w:id="566"/>
    </w:p>
    <w:p w14:paraId="44D3DCF1" w14:textId="77777777" w:rsidR="009D12AF" w:rsidRDefault="00000000">
      <w:pPr>
        <w:ind w:firstLineChars="0" w:firstLine="0"/>
      </w:pPr>
      <w:r>
        <w:rPr>
          <w:noProof/>
        </w:rPr>
        <w:drawing>
          <wp:inline distT="0" distB="0" distL="114300" distR="114300" wp14:anchorId="6B15F6BA" wp14:editId="44A73575">
            <wp:extent cx="5269865" cy="7635875"/>
            <wp:effectExtent l="0" t="0" r="6985" b="3175"/>
            <wp:docPr id="33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8"/>
                    <pic:cNvPicPr>
                      <a:picLocks noChangeAspect="1"/>
                    </pic:cNvPicPr>
                  </pic:nvPicPr>
                  <pic:blipFill>
                    <a:blip r:embed="rId439"/>
                    <a:stretch>
                      <a:fillRect/>
                    </a:stretch>
                  </pic:blipFill>
                  <pic:spPr>
                    <a:xfrm>
                      <a:off x="0" y="0"/>
                      <a:ext cx="5269865" cy="7635875"/>
                    </a:xfrm>
                    <a:prstGeom prst="rect">
                      <a:avLst/>
                    </a:prstGeom>
                    <a:noFill/>
                    <a:ln>
                      <a:noFill/>
                    </a:ln>
                  </pic:spPr>
                </pic:pic>
              </a:graphicData>
            </a:graphic>
          </wp:inline>
        </w:drawing>
      </w:r>
    </w:p>
    <w:p w14:paraId="0ECFD6F4" w14:textId="77777777" w:rsidR="009D12AF" w:rsidRDefault="009D12AF">
      <w:pPr>
        <w:ind w:firstLineChars="0" w:firstLine="0"/>
      </w:pPr>
    </w:p>
    <w:p w14:paraId="56761A78" w14:textId="77777777" w:rsidR="009D12AF" w:rsidRDefault="009D12AF">
      <w:pPr>
        <w:ind w:firstLineChars="0" w:firstLine="0"/>
      </w:pPr>
    </w:p>
    <w:p w14:paraId="0BE2408B" w14:textId="77777777" w:rsidR="009D12AF" w:rsidRDefault="00000000">
      <w:pPr>
        <w:pStyle w:val="1"/>
        <w:spacing w:before="0" w:after="0" w:line="240" w:lineRule="auto"/>
        <w:rPr>
          <w:sz w:val="28"/>
          <w:szCs w:val="18"/>
        </w:rPr>
      </w:pPr>
      <w:bookmarkStart w:id="567" w:name="_Toc32633"/>
      <w:r>
        <w:rPr>
          <w:rFonts w:hint="eastAsia"/>
          <w:sz w:val="28"/>
          <w:szCs w:val="18"/>
        </w:rPr>
        <w:lastRenderedPageBreak/>
        <w:t>附图</w:t>
      </w:r>
      <w:r>
        <w:rPr>
          <w:rFonts w:hint="eastAsia"/>
          <w:sz w:val="28"/>
          <w:szCs w:val="18"/>
        </w:rPr>
        <w:t>29</w:t>
      </w:r>
      <w:r>
        <w:rPr>
          <w:rFonts w:hint="eastAsia"/>
          <w:sz w:val="28"/>
          <w:szCs w:val="18"/>
        </w:rPr>
        <w:t>群力水库生态监测布点图</w:t>
      </w:r>
      <w:bookmarkEnd w:id="567"/>
    </w:p>
    <w:p w14:paraId="01D2CAE6" w14:textId="77777777" w:rsidR="009D12AF" w:rsidRDefault="00000000">
      <w:pPr>
        <w:ind w:firstLineChars="0" w:firstLine="0"/>
        <w:rPr>
          <w:b/>
          <w:bCs/>
        </w:rPr>
      </w:pPr>
      <w:r>
        <w:rPr>
          <w:rFonts w:hint="eastAsia"/>
          <w:b/>
          <w:bCs/>
          <w:sz w:val="28"/>
          <w:szCs w:val="18"/>
        </w:rPr>
        <w:t>施工期生态监测布点图</w:t>
      </w:r>
    </w:p>
    <w:p w14:paraId="0EBE8817" w14:textId="77777777" w:rsidR="009D12AF" w:rsidRDefault="00000000">
      <w:pPr>
        <w:ind w:firstLineChars="0" w:firstLine="0"/>
      </w:pPr>
      <w:r>
        <w:rPr>
          <w:noProof/>
        </w:rPr>
        <w:drawing>
          <wp:inline distT="0" distB="0" distL="114300" distR="114300" wp14:anchorId="5DBAA07F" wp14:editId="5BABFD8E">
            <wp:extent cx="5269230" cy="7176770"/>
            <wp:effectExtent l="0" t="0" r="7620" b="5080"/>
            <wp:docPr id="33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9"/>
                    <pic:cNvPicPr>
                      <a:picLocks noChangeAspect="1"/>
                    </pic:cNvPicPr>
                  </pic:nvPicPr>
                  <pic:blipFill>
                    <a:blip r:embed="rId440"/>
                    <a:stretch>
                      <a:fillRect/>
                    </a:stretch>
                  </pic:blipFill>
                  <pic:spPr>
                    <a:xfrm>
                      <a:off x="0" y="0"/>
                      <a:ext cx="5269230" cy="7176770"/>
                    </a:xfrm>
                    <a:prstGeom prst="rect">
                      <a:avLst/>
                    </a:prstGeom>
                    <a:noFill/>
                    <a:ln>
                      <a:noFill/>
                    </a:ln>
                  </pic:spPr>
                </pic:pic>
              </a:graphicData>
            </a:graphic>
          </wp:inline>
        </w:drawing>
      </w:r>
    </w:p>
    <w:p w14:paraId="3E77861E" w14:textId="77777777" w:rsidR="009D12AF" w:rsidRDefault="009D12AF">
      <w:pPr>
        <w:ind w:firstLineChars="0" w:firstLine="0"/>
      </w:pPr>
    </w:p>
    <w:p w14:paraId="0A60FA61" w14:textId="77777777" w:rsidR="009D12AF" w:rsidRDefault="009D12AF">
      <w:pPr>
        <w:ind w:firstLineChars="0" w:firstLine="0"/>
      </w:pPr>
    </w:p>
    <w:p w14:paraId="457207AC" w14:textId="77777777" w:rsidR="009D12AF" w:rsidRDefault="00000000">
      <w:pPr>
        <w:ind w:firstLineChars="0" w:firstLine="0"/>
        <w:rPr>
          <w:b/>
          <w:bCs/>
        </w:rPr>
      </w:pPr>
      <w:r>
        <w:rPr>
          <w:rFonts w:hint="eastAsia"/>
          <w:b/>
          <w:bCs/>
        </w:rPr>
        <w:lastRenderedPageBreak/>
        <w:t>运行期生态监测布点图</w:t>
      </w:r>
    </w:p>
    <w:p w14:paraId="429D204F" w14:textId="77777777" w:rsidR="009D12AF" w:rsidRDefault="00000000">
      <w:pPr>
        <w:ind w:firstLineChars="0" w:firstLine="0"/>
      </w:pPr>
      <w:r>
        <w:rPr>
          <w:noProof/>
        </w:rPr>
        <w:drawing>
          <wp:inline distT="0" distB="0" distL="114300" distR="114300" wp14:anchorId="702B0D1F" wp14:editId="3EA3449D">
            <wp:extent cx="5273040" cy="7397750"/>
            <wp:effectExtent l="0" t="0" r="3810" b="12700"/>
            <wp:docPr id="33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40"/>
                    <pic:cNvPicPr>
                      <a:picLocks noChangeAspect="1"/>
                    </pic:cNvPicPr>
                  </pic:nvPicPr>
                  <pic:blipFill>
                    <a:blip r:embed="rId441"/>
                    <a:stretch>
                      <a:fillRect/>
                    </a:stretch>
                  </pic:blipFill>
                  <pic:spPr>
                    <a:xfrm>
                      <a:off x="0" y="0"/>
                      <a:ext cx="5273040" cy="7397750"/>
                    </a:xfrm>
                    <a:prstGeom prst="rect">
                      <a:avLst/>
                    </a:prstGeom>
                    <a:noFill/>
                    <a:ln>
                      <a:noFill/>
                    </a:ln>
                  </pic:spPr>
                </pic:pic>
              </a:graphicData>
            </a:graphic>
          </wp:inline>
        </w:drawing>
      </w:r>
    </w:p>
    <w:p w14:paraId="20ED53D6" w14:textId="77777777" w:rsidR="009D12AF" w:rsidRDefault="009D12AF">
      <w:pPr>
        <w:ind w:firstLineChars="0" w:firstLine="0"/>
      </w:pPr>
    </w:p>
    <w:p w14:paraId="4BB60A1D" w14:textId="77777777" w:rsidR="009D12AF" w:rsidRDefault="009D12AF">
      <w:pPr>
        <w:ind w:firstLineChars="0" w:firstLine="0"/>
      </w:pPr>
    </w:p>
    <w:bookmarkEnd w:id="543"/>
    <w:bookmarkEnd w:id="544"/>
    <w:p w14:paraId="21AEDE6B" w14:textId="77777777" w:rsidR="009D12AF" w:rsidRDefault="009D12AF">
      <w:pPr>
        <w:ind w:firstLineChars="0" w:firstLine="0"/>
        <w:rPr>
          <w:rFonts w:ascii="宋体"/>
          <w:highlight w:val="yellow"/>
        </w:rPr>
      </w:pPr>
    </w:p>
    <w:p w14:paraId="4C976737" w14:textId="77777777" w:rsidR="009D12AF" w:rsidRDefault="00000000">
      <w:pPr>
        <w:pStyle w:val="1"/>
        <w:spacing w:before="0" w:after="0" w:line="240" w:lineRule="auto"/>
      </w:pPr>
      <w:bookmarkStart w:id="568" w:name="_Toc20592"/>
      <w:bookmarkStart w:id="569" w:name="_Toc20179"/>
      <w:bookmarkStart w:id="570" w:name="_Toc16357"/>
      <w:r>
        <w:rPr>
          <w:rFonts w:hint="eastAsia"/>
          <w:sz w:val="28"/>
          <w:szCs w:val="18"/>
        </w:rPr>
        <w:lastRenderedPageBreak/>
        <w:t>附图</w:t>
      </w:r>
      <w:r>
        <w:rPr>
          <w:rFonts w:hint="eastAsia"/>
          <w:sz w:val="28"/>
          <w:szCs w:val="18"/>
        </w:rPr>
        <w:t>30</w:t>
      </w:r>
      <w:r>
        <w:rPr>
          <w:rFonts w:hint="eastAsia"/>
          <w:sz w:val="28"/>
          <w:szCs w:val="18"/>
        </w:rPr>
        <w:t>本项目与黑龙江省主体功能区划位置关系图</w:t>
      </w:r>
      <w:bookmarkEnd w:id="568"/>
      <w:bookmarkEnd w:id="569"/>
      <w:bookmarkEnd w:id="570"/>
    </w:p>
    <w:p w14:paraId="675F9998" w14:textId="77777777" w:rsidR="009D12AF" w:rsidRDefault="00000000">
      <w:pPr>
        <w:ind w:firstLineChars="0" w:firstLine="0"/>
        <w:jc w:val="center"/>
        <w:rPr>
          <w:highlight w:val="yellow"/>
        </w:rPr>
      </w:pPr>
      <w:r>
        <w:rPr>
          <w:noProof/>
        </w:rPr>
        <mc:AlternateContent>
          <mc:Choice Requires="wps">
            <w:drawing>
              <wp:anchor distT="0" distB="0" distL="114300" distR="114300" simplePos="0" relativeHeight="251661312" behindDoc="0" locked="0" layoutInCell="1" allowOverlap="1" wp14:anchorId="188C19AC" wp14:editId="51C19EC5">
                <wp:simplePos x="0" y="0"/>
                <wp:positionH relativeFrom="column">
                  <wp:posOffset>1247140</wp:posOffset>
                </wp:positionH>
                <wp:positionV relativeFrom="paragraph">
                  <wp:posOffset>2501900</wp:posOffset>
                </wp:positionV>
                <wp:extent cx="883285" cy="381000"/>
                <wp:effectExtent l="6350" t="6350" r="767715" b="584200"/>
                <wp:wrapNone/>
                <wp:docPr id="49" name="矩形标注 49"/>
                <wp:cNvGraphicFramePr/>
                <a:graphic xmlns:a="http://schemas.openxmlformats.org/drawingml/2006/main">
                  <a:graphicData uri="http://schemas.microsoft.com/office/word/2010/wordprocessingShape">
                    <wps:wsp>
                      <wps:cNvSpPr/>
                      <wps:spPr>
                        <a:xfrm>
                          <a:off x="0" y="0"/>
                          <a:ext cx="883285" cy="381000"/>
                        </a:xfrm>
                        <a:prstGeom prst="wedgeRectCallout">
                          <a:avLst>
                            <a:gd name="adj1" fmla="val 131452"/>
                            <a:gd name="adj2" fmla="val 192333"/>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F8E5B6D" w14:textId="77777777" w:rsidR="009D12AF" w:rsidRDefault="00000000">
                            <w:pPr>
                              <w:ind w:firstLineChars="0" w:firstLine="0"/>
                              <w:rPr>
                                <w:color w:val="FF0000"/>
                              </w:rPr>
                            </w:pPr>
                            <w:r>
                              <w:rPr>
                                <w:rFonts w:hint="eastAsia"/>
                                <w:color w:val="FF0000"/>
                              </w:rPr>
                              <w:t>项目位置</w:t>
                            </w:r>
                          </w:p>
                          <w:p w14:paraId="33562AE2" w14:textId="77777777" w:rsidR="009D12AF" w:rsidRDefault="009D12AF">
                            <w:pPr>
                              <w:ind w:firstLine="480"/>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188C19AC" id="矩形标注 49" o:spid="_x0000_s1052" type="#_x0000_t61" style="position:absolute;left:0;text-align:left;margin-left:98.2pt;margin-top:197pt;width:69.55pt;height:30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" adj="39194,52344" fillcolor="yellow" strokecolor="yellow" strokeweight="1pt">
                <v:textbox>
                  <w:txbxContent>
                    <w:p w14:paraId="1F8E5B6D" w14:textId="77777777" w:rsidR="009D12AF" w:rsidRDefault="00000000">
                      <w:pPr>
                        <w:ind w:firstLineChars="0" w:firstLine="0"/>
                        <w:rPr>
                          <w:color w:val="FF0000"/>
                        </w:rPr>
                      </w:pPr>
                      <w:r>
                        <w:rPr>
                          <w:rFonts w:hint="eastAsia"/>
                          <w:color w:val="FF0000"/>
                        </w:rPr>
                        <w:t>项目位置</w:t>
                      </w:r>
                    </w:p>
                    <w:p w14:paraId="33562AE2" w14:textId="77777777" w:rsidR="009D12AF" w:rsidRDefault="009D12AF">
                      <w:pPr>
                        <w:ind w:firstLine="480"/>
                        <w:jc w:val="center"/>
                      </w:pPr>
                    </w:p>
                  </w:txbxContent>
                </v:textbox>
              </v:shape>
            </w:pict>
          </mc:Fallback>
        </mc:AlternateContent>
      </w:r>
      <w:r>
        <w:rPr>
          <w:rFonts w:hint="eastAsia"/>
          <w:noProof/>
        </w:rPr>
        <w:drawing>
          <wp:inline distT="0" distB="0" distL="114300" distR="114300" wp14:anchorId="0BF4C9C1" wp14:editId="64B743CD">
            <wp:extent cx="5245735" cy="3931285"/>
            <wp:effectExtent l="0" t="0" r="12065" b="12065"/>
            <wp:docPr id="48" name="图片 27" descr="21主体功能区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7" descr="21主体功能区分布图"/>
                    <pic:cNvPicPr>
                      <a:picLocks noChangeAspect="1" noChangeArrowheads="1"/>
                    </pic:cNvPicPr>
                  </pic:nvPicPr>
                  <pic:blipFill>
                    <a:blip r:embed="rId442" cstate="screen">
                      <a:extLst>
                        <a:ext uri="{28A0092B-C50C-407E-A947-70E740481C1C}">
                          <a14:useLocalDpi xmlns:a14="http://schemas.microsoft.com/office/drawing/2010/main"/>
                        </a:ext>
                      </a:extLst>
                    </a:blip>
                    <a:srcRect/>
                    <a:stretch>
                      <a:fillRect/>
                    </a:stretch>
                  </pic:blipFill>
                  <pic:spPr>
                    <a:xfrm>
                      <a:off x="0" y="0"/>
                      <a:ext cx="5245735" cy="3931285"/>
                    </a:xfrm>
                    <a:prstGeom prst="rect">
                      <a:avLst/>
                    </a:prstGeom>
                    <a:noFill/>
                    <a:ln>
                      <a:noFill/>
                    </a:ln>
                    <a:effectLst/>
                  </pic:spPr>
                </pic:pic>
              </a:graphicData>
            </a:graphic>
          </wp:inline>
        </w:drawing>
      </w:r>
    </w:p>
    <w:p w14:paraId="59945CA5" w14:textId="77777777" w:rsidR="009D12AF" w:rsidRDefault="00000000">
      <w:pPr>
        <w:ind w:firstLine="480"/>
        <w:rPr>
          <w:highlight w:val="yellow"/>
        </w:rPr>
      </w:pPr>
      <w:r>
        <w:rPr>
          <w:rFonts w:hint="eastAsia"/>
          <w:highlight w:val="yellow"/>
        </w:rPr>
        <w:br w:type="page"/>
      </w:r>
    </w:p>
    <w:p w14:paraId="2BB30C85" w14:textId="77777777" w:rsidR="009D12AF" w:rsidRDefault="00000000">
      <w:pPr>
        <w:pStyle w:val="1"/>
        <w:spacing w:before="0" w:after="0" w:line="240" w:lineRule="auto"/>
      </w:pPr>
      <w:bookmarkStart w:id="571" w:name="_Toc17483"/>
      <w:bookmarkStart w:id="572" w:name="_Toc23947"/>
      <w:bookmarkStart w:id="573" w:name="_Toc16907"/>
      <w:r>
        <w:rPr>
          <w:rFonts w:hint="eastAsia"/>
          <w:sz w:val="28"/>
          <w:szCs w:val="18"/>
        </w:rPr>
        <w:lastRenderedPageBreak/>
        <w:t>附图</w:t>
      </w:r>
      <w:r>
        <w:rPr>
          <w:rFonts w:hint="eastAsia"/>
          <w:sz w:val="28"/>
          <w:szCs w:val="18"/>
        </w:rPr>
        <w:t>31</w:t>
      </w:r>
      <w:r>
        <w:rPr>
          <w:rFonts w:hint="eastAsia"/>
          <w:sz w:val="28"/>
          <w:szCs w:val="18"/>
        </w:rPr>
        <w:t>本项目与黑龙江省生态功能区位置关系图</w:t>
      </w:r>
      <w:bookmarkEnd w:id="571"/>
      <w:bookmarkEnd w:id="572"/>
      <w:bookmarkEnd w:id="573"/>
    </w:p>
    <w:p w14:paraId="0EF41759" w14:textId="77777777" w:rsidR="009D12AF" w:rsidRDefault="00000000">
      <w:pPr>
        <w:ind w:firstLineChars="0" w:firstLine="0"/>
      </w:pPr>
      <w:r>
        <w:rPr>
          <w:noProof/>
        </w:rPr>
        <mc:AlternateContent>
          <mc:Choice Requires="wps">
            <w:drawing>
              <wp:anchor distT="0" distB="0" distL="114300" distR="114300" simplePos="0" relativeHeight="251662336" behindDoc="0" locked="0" layoutInCell="1" allowOverlap="1" wp14:anchorId="3B4D5130" wp14:editId="20308265">
                <wp:simplePos x="0" y="0"/>
                <wp:positionH relativeFrom="column">
                  <wp:posOffset>1369695</wp:posOffset>
                </wp:positionH>
                <wp:positionV relativeFrom="paragraph">
                  <wp:posOffset>4604385</wp:posOffset>
                </wp:positionV>
                <wp:extent cx="883285" cy="381000"/>
                <wp:effectExtent l="6350" t="6350" r="767715" b="584200"/>
                <wp:wrapNone/>
                <wp:docPr id="51" name="矩形标注 51"/>
                <wp:cNvGraphicFramePr/>
                <a:graphic xmlns:a="http://schemas.openxmlformats.org/drawingml/2006/main">
                  <a:graphicData uri="http://schemas.microsoft.com/office/word/2010/wordprocessingShape">
                    <wps:wsp>
                      <wps:cNvSpPr/>
                      <wps:spPr>
                        <a:xfrm>
                          <a:off x="0" y="0"/>
                          <a:ext cx="883285" cy="381000"/>
                        </a:xfrm>
                        <a:prstGeom prst="wedgeRectCallout">
                          <a:avLst>
                            <a:gd name="adj1" fmla="val 131452"/>
                            <a:gd name="adj2" fmla="val 192333"/>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86A4D5A" w14:textId="77777777" w:rsidR="009D12AF" w:rsidRDefault="00000000">
                            <w:pPr>
                              <w:ind w:firstLineChars="0" w:firstLine="0"/>
                              <w:rPr>
                                <w:color w:val="FF0000"/>
                              </w:rPr>
                            </w:pPr>
                            <w:r>
                              <w:rPr>
                                <w:rFonts w:hint="eastAsia"/>
                                <w:color w:val="FF0000"/>
                              </w:rPr>
                              <w:t>项目位置</w:t>
                            </w:r>
                          </w:p>
                          <w:p w14:paraId="11262EDE" w14:textId="77777777" w:rsidR="009D12AF" w:rsidRDefault="009D12AF">
                            <w:pPr>
                              <w:ind w:firstLine="480"/>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B4D5130" id="矩形标注 51" o:spid="_x0000_s1053" type="#_x0000_t61" style="position:absolute;left:0;text-align:left;margin-left:107.85pt;margin-top:362.55pt;width:69.55pt;height:30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" adj="39194,52344" fillcolor="yellow" strokecolor="yellow" strokeweight="1pt">
                <v:textbox>
                  <w:txbxContent>
                    <w:p w14:paraId="286A4D5A" w14:textId="77777777" w:rsidR="009D12AF" w:rsidRDefault="00000000">
                      <w:pPr>
                        <w:ind w:firstLineChars="0" w:firstLine="0"/>
                        <w:rPr>
                          <w:color w:val="FF0000"/>
                        </w:rPr>
                      </w:pPr>
                      <w:r>
                        <w:rPr>
                          <w:rFonts w:hint="eastAsia"/>
                          <w:color w:val="FF0000"/>
                        </w:rPr>
                        <w:t>项目位置</w:t>
                      </w:r>
                    </w:p>
                    <w:p w14:paraId="11262EDE" w14:textId="77777777" w:rsidR="009D12AF" w:rsidRDefault="009D12AF">
                      <w:pPr>
                        <w:ind w:firstLine="480"/>
                        <w:jc w:val="center"/>
                      </w:pPr>
                    </w:p>
                  </w:txbxContent>
                </v:textbox>
              </v:shape>
            </w:pict>
          </mc:Fallback>
        </mc:AlternateContent>
      </w:r>
      <w:r>
        <w:rPr>
          <w:noProof/>
        </w:rPr>
        <w:drawing>
          <wp:inline distT="0" distB="0" distL="114300" distR="114300" wp14:anchorId="00071C03" wp14:editId="12C32D8D">
            <wp:extent cx="5278755" cy="6412865"/>
            <wp:effectExtent l="0" t="0" r="17145" b="6985"/>
            <wp:docPr id="50" name="图片 2" descr="F:\资料\黑龙江省\黑龙江省生态功能区划三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descr="F:\资料\黑龙江省\黑龙江省生态功能区划三级.JPG"/>
                    <pic:cNvPicPr>
                      <a:picLocks noChangeAspect="1" noChangeArrowheads="1"/>
                    </pic:cNvPicPr>
                  </pic:nvPicPr>
                  <pic:blipFill>
                    <a:blip r:embed="rId443" cstate="screen">
                      <a:extLst>
                        <a:ext uri="{28A0092B-C50C-407E-A947-70E740481C1C}">
                          <a14:useLocalDpi xmlns:a14="http://schemas.microsoft.com/office/drawing/2010/main"/>
                        </a:ext>
                      </a:extLst>
                    </a:blip>
                    <a:srcRect/>
                    <a:stretch>
                      <a:fillRect/>
                    </a:stretch>
                  </pic:blipFill>
                  <pic:spPr>
                    <a:xfrm>
                      <a:off x="0" y="0"/>
                      <a:ext cx="5278755" cy="6412865"/>
                    </a:xfrm>
                    <a:prstGeom prst="rect">
                      <a:avLst/>
                    </a:prstGeom>
                    <a:noFill/>
                    <a:ln>
                      <a:noFill/>
                    </a:ln>
                    <a:effectLst/>
                  </pic:spPr>
                </pic:pic>
              </a:graphicData>
            </a:graphic>
          </wp:inline>
        </w:drawing>
      </w:r>
    </w:p>
    <w:p w14:paraId="45305A51" w14:textId="77777777" w:rsidR="009D12AF" w:rsidRDefault="009D12AF">
      <w:pPr>
        <w:ind w:firstLineChars="0" w:firstLine="0"/>
      </w:pPr>
    </w:p>
    <w:p w14:paraId="6B05BCF9" w14:textId="77777777" w:rsidR="009D12AF" w:rsidRDefault="009D12AF">
      <w:pPr>
        <w:ind w:firstLineChars="0" w:firstLine="0"/>
      </w:pPr>
    </w:p>
    <w:p w14:paraId="562F9DB5" w14:textId="77777777" w:rsidR="009D12AF" w:rsidRDefault="009D12AF">
      <w:pPr>
        <w:ind w:firstLineChars="0" w:firstLine="0"/>
      </w:pPr>
    </w:p>
    <w:p w14:paraId="7BC20F54" w14:textId="77777777" w:rsidR="009D12AF" w:rsidRDefault="009D12AF">
      <w:pPr>
        <w:ind w:firstLineChars="0" w:firstLine="0"/>
      </w:pPr>
    </w:p>
    <w:p w14:paraId="5ED2FCE7" w14:textId="77777777" w:rsidR="009D12AF" w:rsidRDefault="009D12AF">
      <w:pPr>
        <w:ind w:firstLineChars="0" w:firstLine="0"/>
      </w:pPr>
    </w:p>
    <w:p w14:paraId="5F3D1FA1" w14:textId="77777777" w:rsidR="009D12AF" w:rsidRDefault="009D12AF">
      <w:pPr>
        <w:ind w:firstLineChars="0" w:firstLine="0"/>
      </w:pPr>
    </w:p>
    <w:p w14:paraId="46F34B0A" w14:textId="77777777" w:rsidR="009D12AF" w:rsidRDefault="00000000">
      <w:pPr>
        <w:pStyle w:val="1"/>
      </w:pPr>
      <w:bookmarkStart w:id="574" w:name="_Toc25868"/>
      <w:r>
        <w:rPr>
          <w:rFonts w:hint="eastAsia"/>
        </w:rPr>
        <w:lastRenderedPageBreak/>
        <w:t>附图</w:t>
      </w:r>
      <w:r>
        <w:rPr>
          <w:rFonts w:hint="eastAsia"/>
        </w:rPr>
        <w:t>32</w:t>
      </w:r>
      <w:r>
        <w:rPr>
          <w:rFonts w:hint="eastAsia"/>
        </w:rPr>
        <w:t>本项目声环境和土壤评价范围及保护目标图</w:t>
      </w:r>
      <w:bookmarkEnd w:id="574"/>
    </w:p>
    <w:p w14:paraId="7E929984" w14:textId="77777777" w:rsidR="009D12AF" w:rsidRDefault="00000000">
      <w:pPr>
        <w:ind w:firstLineChars="0" w:firstLine="0"/>
        <w:rPr>
          <w:b/>
          <w:bCs/>
        </w:rPr>
      </w:pPr>
      <w:r>
        <w:rPr>
          <w:rFonts w:hint="eastAsia"/>
          <w:b/>
          <w:bCs/>
        </w:rPr>
        <w:t>群力水库</w:t>
      </w:r>
    </w:p>
    <w:p w14:paraId="591869D1" w14:textId="77777777" w:rsidR="009D12AF" w:rsidRDefault="00000000">
      <w:pPr>
        <w:ind w:firstLineChars="0" w:firstLine="0"/>
      </w:pPr>
      <w:r>
        <w:rPr>
          <w:noProof/>
        </w:rPr>
        <mc:AlternateContent>
          <mc:Choice Requires="wps">
            <w:drawing>
              <wp:anchor distT="0" distB="0" distL="114300" distR="114300" simplePos="0" relativeHeight="251678720" behindDoc="0" locked="0" layoutInCell="1" allowOverlap="1" wp14:anchorId="08DA585E" wp14:editId="3B7CB21D">
                <wp:simplePos x="0" y="0"/>
                <wp:positionH relativeFrom="column">
                  <wp:posOffset>3756660</wp:posOffset>
                </wp:positionH>
                <wp:positionV relativeFrom="paragraph">
                  <wp:posOffset>3467100</wp:posOffset>
                </wp:positionV>
                <wp:extent cx="246380" cy="135255"/>
                <wp:effectExtent l="6350" t="6350" r="13970" b="10795"/>
                <wp:wrapNone/>
                <wp:docPr id="375" name="矩形 375"/>
                <wp:cNvGraphicFramePr/>
                <a:graphic xmlns:a="http://schemas.openxmlformats.org/drawingml/2006/main">
                  <a:graphicData uri="http://schemas.microsoft.com/office/word/2010/wordprocessingShape">
                    <wps:wsp>
                      <wps:cNvSpPr/>
                      <wps:spPr>
                        <a:xfrm>
                          <a:off x="5233035" y="5791200"/>
                          <a:ext cx="246380" cy="135255"/>
                        </a:xfrm>
                        <a:prstGeom prst="rect">
                          <a:avLst/>
                        </a:prstGeom>
                        <a:noFill/>
                        <a:ln>
                          <a:solidFill>
                            <a:srgbClr val="7030A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FCD1593" id="矩形 375" o:spid="_x0000_s1026" style="position:absolute;margin-left:295.8pt;margin-top:273pt;width:19.4pt;height:10.6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" filled="f" strokecolor="#7030a0" strokeweight="1pt"/>
            </w:pict>
          </mc:Fallback>
        </mc:AlternateContent>
      </w:r>
      <w:r>
        <w:rPr>
          <w:noProof/>
        </w:rPr>
        <mc:AlternateContent>
          <mc:Choice Requires="wps">
            <w:drawing>
              <wp:anchor distT="0" distB="0" distL="114300" distR="114300" simplePos="0" relativeHeight="251677696" behindDoc="0" locked="0" layoutInCell="1" allowOverlap="1" wp14:anchorId="39C9E391" wp14:editId="112C1422">
                <wp:simplePos x="0" y="0"/>
                <wp:positionH relativeFrom="column">
                  <wp:posOffset>3749040</wp:posOffset>
                </wp:positionH>
                <wp:positionV relativeFrom="paragraph">
                  <wp:posOffset>3150870</wp:posOffset>
                </wp:positionV>
                <wp:extent cx="254000" cy="166370"/>
                <wp:effectExtent l="6350" t="6350" r="6350" b="17780"/>
                <wp:wrapNone/>
                <wp:docPr id="374" name="矩形 374"/>
                <wp:cNvGraphicFramePr/>
                <a:graphic xmlns:a="http://schemas.openxmlformats.org/drawingml/2006/main">
                  <a:graphicData uri="http://schemas.microsoft.com/office/word/2010/wordprocessingShape">
                    <wps:wsp>
                      <wps:cNvSpPr/>
                      <wps:spPr>
                        <a:xfrm>
                          <a:off x="5240655" y="5593080"/>
                          <a:ext cx="254000" cy="166370"/>
                        </a:xfrm>
                        <a:prstGeom prst="rect">
                          <a:avLst/>
                        </a:prstGeom>
                        <a:noFill/>
                        <a:ln>
                          <a:solidFill>
                            <a:srgbClr val="00206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486C135" id="矩形 374" o:spid="_x0000_s1026" style="position:absolute;margin-left:295.2pt;margin-top:248.1pt;width:20pt;height:13.1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" filled="f" strokecolor="#002060" strokeweight="1pt"/>
            </w:pict>
          </mc:Fallback>
        </mc:AlternateContent>
      </w:r>
      <w:r>
        <w:rPr>
          <w:noProof/>
        </w:rPr>
        <mc:AlternateContent>
          <mc:Choice Requires="wps">
            <w:drawing>
              <wp:anchor distT="0" distB="0" distL="114300" distR="114300" simplePos="0" relativeHeight="251676672" behindDoc="0" locked="0" layoutInCell="1" allowOverlap="1" wp14:anchorId="630D29C0" wp14:editId="0B079CF2">
                <wp:simplePos x="0" y="0"/>
                <wp:positionH relativeFrom="column">
                  <wp:posOffset>3749675</wp:posOffset>
                </wp:positionH>
                <wp:positionV relativeFrom="paragraph">
                  <wp:posOffset>2903855</wp:posOffset>
                </wp:positionV>
                <wp:extent cx="245745" cy="142875"/>
                <wp:effectExtent l="6350" t="6350" r="14605" b="22225"/>
                <wp:wrapNone/>
                <wp:docPr id="373" name="矩形 373"/>
                <wp:cNvGraphicFramePr/>
                <a:graphic xmlns:a="http://schemas.openxmlformats.org/drawingml/2006/main">
                  <a:graphicData uri="http://schemas.microsoft.com/office/word/2010/wordprocessingShape">
                    <wps:wsp>
                      <wps:cNvSpPr/>
                      <wps:spPr>
                        <a:xfrm>
                          <a:off x="5217160" y="5457825"/>
                          <a:ext cx="245745" cy="14287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557C9E3" id="矩形 373" o:spid="_x0000_s1026" style="position:absolute;margin-left:295.25pt;margin-top:228.65pt;width:19.35pt;height:11.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" filled="f" strokecolor="red" strokeweight="1pt"/>
            </w:pict>
          </mc:Fallback>
        </mc:AlternateContent>
      </w:r>
      <w:r>
        <w:rPr>
          <w:noProof/>
        </w:rPr>
        <mc:AlternateContent>
          <mc:Choice Requires="wps">
            <w:drawing>
              <wp:anchor distT="0" distB="0" distL="114300" distR="114300" simplePos="0" relativeHeight="251675648" behindDoc="0" locked="0" layoutInCell="1" allowOverlap="1" wp14:anchorId="3E1C9C7F" wp14:editId="6AAC90E5">
                <wp:simplePos x="0" y="0"/>
                <wp:positionH relativeFrom="column">
                  <wp:posOffset>3646170</wp:posOffset>
                </wp:positionH>
                <wp:positionV relativeFrom="paragraph">
                  <wp:posOffset>2500630</wp:posOffset>
                </wp:positionV>
                <wp:extent cx="1610360" cy="1236345"/>
                <wp:effectExtent l="4445" t="4445" r="23495" b="16510"/>
                <wp:wrapNone/>
                <wp:docPr id="372" name="文本框 372"/>
                <wp:cNvGraphicFramePr/>
                <a:graphic xmlns:a="http://schemas.openxmlformats.org/drawingml/2006/main">
                  <a:graphicData uri="http://schemas.microsoft.com/office/word/2010/wordprocessingShape">
                    <wps:wsp>
                      <wps:cNvSpPr txBox="1"/>
                      <wps:spPr>
                        <a:xfrm>
                          <a:off x="5137785" y="5418455"/>
                          <a:ext cx="1610360" cy="12363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9EBCC1C" w14:textId="77777777" w:rsidR="009D12AF" w:rsidRDefault="00000000">
                            <w:pPr>
                              <w:rPr>
                                <w:sz w:val="21"/>
                                <w:szCs w:val="21"/>
                              </w:rPr>
                            </w:pPr>
                            <w:r>
                              <w:rPr>
                                <w:rFonts w:hint="eastAsia"/>
                                <w:sz w:val="21"/>
                                <w:szCs w:val="21"/>
                              </w:rPr>
                              <w:t>图例</w:t>
                            </w:r>
                          </w:p>
                          <w:p w14:paraId="760238DE"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本项目位置</w:t>
                            </w:r>
                          </w:p>
                          <w:p w14:paraId="4E4C9B20"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声环境评价范围</w:t>
                            </w:r>
                          </w:p>
                          <w:p w14:paraId="6BE80BD7"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土壤评价范围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E1C9C7F" id="文本框 372" o:spid="_x0000_s1054" type="#_x0000_t202" style="position:absolute;left:0;text-align:left;margin-left:287.1pt;margin-top:196.9pt;width:126.8pt;height:97.3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" fillcolor="white [3201]" strokeweight=".5pt">
                <v:textbox>
                  <w:txbxContent>
                    <w:p w14:paraId="49EBCC1C" w14:textId="77777777" w:rsidR="009D12AF" w:rsidRDefault="00000000">
                      <w:pPr>
                        <w:rPr>
                          <w:sz w:val="21"/>
                          <w:szCs w:val="21"/>
                        </w:rPr>
                      </w:pPr>
                      <w:r>
                        <w:rPr>
                          <w:rFonts w:hint="eastAsia"/>
                          <w:sz w:val="21"/>
                          <w:szCs w:val="21"/>
                        </w:rPr>
                        <w:t>图例</w:t>
                      </w:r>
                    </w:p>
                    <w:p w14:paraId="760238DE"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本项目位置</w:t>
                      </w:r>
                    </w:p>
                    <w:p w14:paraId="4E4C9B20"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声环境评价范围</w:t>
                      </w:r>
                    </w:p>
                    <w:p w14:paraId="6BE80BD7"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土壤评价范围</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793F9C72" wp14:editId="1861B9E7">
                <wp:simplePos x="0" y="0"/>
                <wp:positionH relativeFrom="column">
                  <wp:posOffset>4582160</wp:posOffset>
                </wp:positionH>
                <wp:positionV relativeFrom="paragraph">
                  <wp:posOffset>53975</wp:posOffset>
                </wp:positionV>
                <wp:extent cx="674370" cy="650875"/>
                <wp:effectExtent l="4445" t="4445" r="6985" b="11430"/>
                <wp:wrapNone/>
                <wp:docPr id="369" name="文本框 369"/>
                <wp:cNvGraphicFramePr/>
                <a:graphic xmlns:a="http://schemas.openxmlformats.org/drawingml/2006/main">
                  <a:graphicData uri="http://schemas.microsoft.com/office/word/2010/wordprocessingShape">
                    <wps:wsp>
                      <wps:cNvSpPr txBox="1"/>
                      <wps:spPr>
                        <a:xfrm>
                          <a:off x="5725160" y="2425700"/>
                          <a:ext cx="674370" cy="6508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C096758" w14:textId="77777777" w:rsidR="009D12AF" w:rsidRDefault="00000000">
                            <w:pPr>
                              <w:ind w:firstLineChars="0" w:firstLine="0"/>
                            </w:pPr>
                            <w:r>
                              <w:rPr>
                                <w:noProof/>
                              </w:rPr>
                              <w:drawing>
                                <wp:inline distT="0" distB="0" distL="114300" distR="114300" wp14:anchorId="7A9940B2" wp14:editId="6453D364">
                                  <wp:extent cx="484505" cy="491490"/>
                                  <wp:effectExtent l="0" t="0" r="10795" b="3810"/>
                                  <wp:docPr id="37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15"/>
                                          <pic:cNvPicPr>
                                            <a:picLocks noChangeAspect="1"/>
                                          </pic:cNvPicPr>
                                        </pic:nvPicPr>
                                        <pic:blipFill>
                                          <a:blip r:embed="rId415"/>
                                          <a:stretch>
                                            <a:fillRect/>
                                          </a:stretch>
                                        </pic:blipFill>
                                        <pic:spPr>
                                          <a:xfrm>
                                            <a:off x="0" y="0"/>
                                            <a:ext cx="484505" cy="4914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93F9C72" id="文本框 369" o:spid="_x0000_s1055" type="#_x0000_t202" style="position:absolute;left:0;text-align:left;margin-left:360.8pt;margin-top:4.25pt;width:53.1pt;height:51.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" fillcolor="white [3201]" strokeweight=".5pt">
                <v:textbox>
                  <w:txbxContent>
                    <w:p w14:paraId="6C096758" w14:textId="77777777" w:rsidR="009D12AF" w:rsidRDefault="00000000">
                      <w:pPr>
                        <w:ind w:firstLineChars="0" w:firstLine="0"/>
                      </w:pPr>
                      <w:r>
                        <w:rPr>
                          <w:noProof/>
                        </w:rPr>
                        <w:drawing>
                          <wp:inline distT="0" distB="0" distL="114300" distR="114300" wp14:anchorId="7A9940B2" wp14:editId="6453D364">
                            <wp:extent cx="484505" cy="491490"/>
                            <wp:effectExtent l="0" t="0" r="10795" b="3810"/>
                            <wp:docPr id="37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15"/>
                                    <pic:cNvPicPr>
                                      <a:picLocks noChangeAspect="1"/>
                                    </pic:cNvPicPr>
                                  </pic:nvPicPr>
                                  <pic:blipFill>
                                    <a:blip r:embed="rId415"/>
                                    <a:stretch>
                                      <a:fillRect/>
                                    </a:stretch>
                                  </pic:blipFill>
                                  <pic:spPr>
                                    <a:xfrm>
                                      <a:off x="0" y="0"/>
                                      <a:ext cx="484505" cy="491490"/>
                                    </a:xfrm>
                                    <a:prstGeom prst="rect">
                                      <a:avLst/>
                                    </a:prstGeom>
                                    <a:noFill/>
                                    <a:ln>
                                      <a:noFill/>
                                    </a:ln>
                                  </pic:spPr>
                                </pic:pic>
                              </a:graphicData>
                            </a:graphic>
                          </wp:inline>
                        </w:drawing>
                      </w:r>
                    </w:p>
                  </w:txbxContent>
                </v:textbox>
              </v:shape>
            </w:pict>
          </mc:Fallback>
        </mc:AlternateContent>
      </w:r>
      <w:r>
        <w:rPr>
          <w:noProof/>
        </w:rPr>
        <w:drawing>
          <wp:inline distT="0" distB="0" distL="114300" distR="114300" wp14:anchorId="78258963" wp14:editId="3706965D">
            <wp:extent cx="5262245" cy="3683000"/>
            <wp:effectExtent l="0" t="0" r="14605" b="12700"/>
            <wp:docPr id="36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13"/>
                    <pic:cNvPicPr>
                      <a:picLocks noChangeAspect="1"/>
                    </pic:cNvPicPr>
                  </pic:nvPicPr>
                  <pic:blipFill>
                    <a:blip r:embed="rId444" cstate="screen">
                      <a:extLst>
                        <a:ext uri="{28A0092B-C50C-407E-A947-70E740481C1C}">
                          <a14:useLocalDpi xmlns:a14="http://schemas.microsoft.com/office/drawing/2010/main"/>
                        </a:ext>
                      </a:extLst>
                    </a:blip>
                    <a:stretch>
                      <a:fillRect/>
                    </a:stretch>
                  </pic:blipFill>
                  <pic:spPr>
                    <a:xfrm>
                      <a:off x="0" y="0"/>
                      <a:ext cx="5262245" cy="3683000"/>
                    </a:xfrm>
                    <a:prstGeom prst="rect">
                      <a:avLst/>
                    </a:prstGeom>
                    <a:noFill/>
                    <a:ln>
                      <a:noFill/>
                    </a:ln>
                  </pic:spPr>
                </pic:pic>
              </a:graphicData>
            </a:graphic>
          </wp:inline>
        </w:drawing>
      </w:r>
    </w:p>
    <w:p w14:paraId="18A0635A" w14:textId="77777777" w:rsidR="009D12AF" w:rsidRDefault="00000000">
      <w:pPr>
        <w:ind w:firstLineChars="0" w:firstLine="0"/>
        <w:rPr>
          <w:b/>
          <w:bCs/>
        </w:rPr>
      </w:pPr>
      <w:r>
        <w:rPr>
          <w:rFonts w:hint="eastAsia"/>
          <w:b/>
          <w:bCs/>
        </w:rPr>
        <w:t>万丈水库</w:t>
      </w:r>
    </w:p>
    <w:p w14:paraId="5C1020CD" w14:textId="77777777" w:rsidR="009D12AF" w:rsidRDefault="00000000">
      <w:pPr>
        <w:ind w:firstLineChars="0" w:firstLine="0"/>
      </w:pPr>
      <w:r>
        <w:rPr>
          <w:noProof/>
        </w:rPr>
        <mc:AlternateContent>
          <mc:Choice Requires="wps">
            <w:drawing>
              <wp:anchor distT="0" distB="0" distL="114300" distR="114300" simplePos="0" relativeHeight="251679744" behindDoc="0" locked="0" layoutInCell="1" allowOverlap="1" wp14:anchorId="58DF2EF3" wp14:editId="05190B6E">
                <wp:simplePos x="0" y="0"/>
                <wp:positionH relativeFrom="column">
                  <wp:posOffset>4504055</wp:posOffset>
                </wp:positionH>
                <wp:positionV relativeFrom="paragraph">
                  <wp:posOffset>27940</wp:posOffset>
                </wp:positionV>
                <wp:extent cx="768985" cy="770255"/>
                <wp:effectExtent l="4445" t="4445" r="7620" b="6350"/>
                <wp:wrapNone/>
                <wp:docPr id="377" name="文本框 377"/>
                <wp:cNvGraphicFramePr/>
                <a:graphic xmlns:a="http://schemas.openxmlformats.org/drawingml/2006/main">
                  <a:graphicData uri="http://schemas.microsoft.com/office/word/2010/wordprocessingShape">
                    <wps:wsp>
                      <wps:cNvSpPr txBox="1"/>
                      <wps:spPr>
                        <a:xfrm>
                          <a:off x="5741035" y="6490335"/>
                          <a:ext cx="768985" cy="7702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F0213E8" w14:textId="77777777" w:rsidR="009D12AF" w:rsidRDefault="00000000">
                            <w:pPr>
                              <w:ind w:firstLineChars="0" w:firstLine="0"/>
                            </w:pPr>
                            <w:r>
                              <w:rPr>
                                <w:noProof/>
                              </w:rPr>
                              <w:drawing>
                                <wp:inline distT="0" distB="0" distL="114300" distR="114300" wp14:anchorId="7EE17E5D" wp14:editId="2BB9AA3A">
                                  <wp:extent cx="643255" cy="593725"/>
                                  <wp:effectExtent l="0" t="0" r="4445" b="15875"/>
                                  <wp:docPr id="37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15"/>
                                          <pic:cNvPicPr>
                                            <a:picLocks noChangeAspect="1"/>
                                          </pic:cNvPicPr>
                                        </pic:nvPicPr>
                                        <pic:blipFill>
                                          <a:blip r:embed="rId415"/>
                                          <a:stretch>
                                            <a:fillRect/>
                                          </a:stretch>
                                        </pic:blipFill>
                                        <pic:spPr>
                                          <a:xfrm>
                                            <a:off x="0" y="0"/>
                                            <a:ext cx="643255" cy="593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8DF2EF3" id="文本框 377" o:spid="_x0000_s1056" type="#_x0000_t202" style="position:absolute;left:0;text-align:left;margin-left:354.65pt;margin-top:2.2pt;width:60.55pt;height:60.6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" fillcolor="white [3201]" strokeweight=".5pt">
                <v:textbox>
                  <w:txbxContent>
                    <w:p w14:paraId="6F0213E8" w14:textId="77777777" w:rsidR="009D12AF" w:rsidRDefault="00000000">
                      <w:pPr>
                        <w:ind w:firstLineChars="0" w:firstLine="0"/>
                      </w:pPr>
                      <w:r>
                        <w:rPr>
                          <w:noProof/>
                        </w:rPr>
                        <w:drawing>
                          <wp:inline distT="0" distB="0" distL="114300" distR="114300" wp14:anchorId="7EE17E5D" wp14:editId="2BB9AA3A">
                            <wp:extent cx="643255" cy="593725"/>
                            <wp:effectExtent l="0" t="0" r="4445" b="15875"/>
                            <wp:docPr id="37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15"/>
                                    <pic:cNvPicPr>
                                      <a:picLocks noChangeAspect="1"/>
                                    </pic:cNvPicPr>
                                  </pic:nvPicPr>
                                  <pic:blipFill>
                                    <a:blip r:embed="rId415"/>
                                    <a:stretch>
                                      <a:fillRect/>
                                    </a:stretch>
                                  </pic:blipFill>
                                  <pic:spPr>
                                    <a:xfrm>
                                      <a:off x="0" y="0"/>
                                      <a:ext cx="643255" cy="59372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2CD824B3" wp14:editId="7B04A12B">
                <wp:simplePos x="0" y="0"/>
                <wp:positionH relativeFrom="column">
                  <wp:posOffset>3702685</wp:posOffset>
                </wp:positionH>
                <wp:positionV relativeFrom="paragraph">
                  <wp:posOffset>2734310</wp:posOffset>
                </wp:positionV>
                <wp:extent cx="254000" cy="166370"/>
                <wp:effectExtent l="6350" t="6350" r="6350" b="17780"/>
                <wp:wrapNone/>
                <wp:docPr id="381" name="矩形 381"/>
                <wp:cNvGraphicFramePr/>
                <a:graphic xmlns:a="http://schemas.openxmlformats.org/drawingml/2006/main">
                  <a:graphicData uri="http://schemas.microsoft.com/office/word/2010/wordprocessingShape">
                    <wps:wsp>
                      <wps:cNvSpPr/>
                      <wps:spPr>
                        <a:xfrm>
                          <a:off x="0" y="0"/>
                          <a:ext cx="254000" cy="166370"/>
                        </a:xfrm>
                        <a:prstGeom prst="rect">
                          <a:avLst/>
                        </a:prstGeom>
                        <a:noFill/>
                        <a:ln>
                          <a:solidFill>
                            <a:srgbClr val="00206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7F7B2A7" id="矩形 381" o:spid="_x0000_s1026" style="position:absolute;margin-left:291.55pt;margin-top:215.3pt;width:20pt;height:13.1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" filled="f" strokecolor="#002060" strokeweight="1pt"/>
            </w:pict>
          </mc:Fallback>
        </mc:AlternateContent>
      </w:r>
      <w:r>
        <w:rPr>
          <w:noProof/>
        </w:rPr>
        <mc:AlternateContent>
          <mc:Choice Requires="wps">
            <w:drawing>
              <wp:anchor distT="0" distB="0" distL="114300" distR="114300" simplePos="0" relativeHeight="251683840" behindDoc="0" locked="0" layoutInCell="1" allowOverlap="1" wp14:anchorId="7BA7ED06" wp14:editId="743CE980">
                <wp:simplePos x="0" y="0"/>
                <wp:positionH relativeFrom="column">
                  <wp:posOffset>3734435</wp:posOffset>
                </wp:positionH>
                <wp:positionV relativeFrom="paragraph">
                  <wp:posOffset>3074670</wp:posOffset>
                </wp:positionV>
                <wp:extent cx="246380" cy="135255"/>
                <wp:effectExtent l="6350" t="6350" r="13970" b="10795"/>
                <wp:wrapNone/>
                <wp:docPr id="382" name="矩形 382"/>
                <wp:cNvGraphicFramePr/>
                <a:graphic xmlns:a="http://schemas.openxmlformats.org/drawingml/2006/main">
                  <a:graphicData uri="http://schemas.microsoft.com/office/word/2010/wordprocessingShape">
                    <wps:wsp>
                      <wps:cNvSpPr/>
                      <wps:spPr>
                        <a:xfrm>
                          <a:off x="0" y="0"/>
                          <a:ext cx="246380" cy="135255"/>
                        </a:xfrm>
                        <a:prstGeom prst="rect">
                          <a:avLst/>
                        </a:prstGeom>
                        <a:noFill/>
                        <a:ln>
                          <a:solidFill>
                            <a:srgbClr val="7030A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F7013EF" id="矩形 382" o:spid="_x0000_s1026" style="position:absolute;margin-left:294.05pt;margin-top:242.1pt;width:19.4pt;height:10.6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" filled="f" strokecolor="#7030a0" strokeweight="1pt"/>
            </w:pict>
          </mc:Fallback>
        </mc:AlternateContent>
      </w:r>
      <w:r>
        <w:rPr>
          <w:noProof/>
        </w:rPr>
        <mc:AlternateContent>
          <mc:Choice Requires="wps">
            <w:drawing>
              <wp:anchor distT="0" distB="0" distL="114300" distR="114300" simplePos="0" relativeHeight="251681792" behindDoc="0" locked="0" layoutInCell="1" allowOverlap="1" wp14:anchorId="5FD6CA1C" wp14:editId="4E1482B1">
                <wp:simplePos x="0" y="0"/>
                <wp:positionH relativeFrom="column">
                  <wp:posOffset>3711575</wp:posOffset>
                </wp:positionH>
                <wp:positionV relativeFrom="paragraph">
                  <wp:posOffset>2439670</wp:posOffset>
                </wp:positionV>
                <wp:extent cx="245745" cy="142875"/>
                <wp:effectExtent l="6350" t="6350" r="14605" b="22225"/>
                <wp:wrapNone/>
                <wp:docPr id="380" name="矩形 380"/>
                <wp:cNvGraphicFramePr/>
                <a:graphic xmlns:a="http://schemas.openxmlformats.org/drawingml/2006/main">
                  <a:graphicData uri="http://schemas.microsoft.com/office/word/2010/wordprocessingShape">
                    <wps:wsp>
                      <wps:cNvSpPr/>
                      <wps:spPr>
                        <a:xfrm>
                          <a:off x="0" y="0"/>
                          <a:ext cx="245745" cy="14287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C4CD1B2" id="矩形 380" o:spid="_x0000_s1026" style="position:absolute;margin-left:292.25pt;margin-top:192.1pt;width:19.35pt;height:11.2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" filled="f" strokecolor="red" strokeweight="1pt"/>
            </w:pict>
          </mc:Fallback>
        </mc:AlternateContent>
      </w:r>
      <w:r>
        <w:rPr>
          <w:noProof/>
        </w:rPr>
        <mc:AlternateContent>
          <mc:Choice Requires="wps">
            <w:drawing>
              <wp:anchor distT="0" distB="0" distL="114300" distR="114300" simplePos="0" relativeHeight="251680768" behindDoc="0" locked="0" layoutInCell="1" allowOverlap="1" wp14:anchorId="03E69712" wp14:editId="403E4E0D">
                <wp:simplePos x="0" y="0"/>
                <wp:positionH relativeFrom="column">
                  <wp:posOffset>3597910</wp:posOffset>
                </wp:positionH>
                <wp:positionV relativeFrom="paragraph">
                  <wp:posOffset>2054225</wp:posOffset>
                </wp:positionV>
                <wp:extent cx="1658620" cy="1254125"/>
                <wp:effectExtent l="4445" t="4445" r="13335" b="17780"/>
                <wp:wrapNone/>
                <wp:docPr id="379" name="文本框 379"/>
                <wp:cNvGraphicFramePr/>
                <a:graphic xmlns:a="http://schemas.openxmlformats.org/drawingml/2006/main">
                  <a:graphicData uri="http://schemas.microsoft.com/office/word/2010/wordprocessingShape">
                    <wps:wsp>
                      <wps:cNvSpPr txBox="1"/>
                      <wps:spPr>
                        <a:xfrm>
                          <a:off x="4979035" y="8741410"/>
                          <a:ext cx="1658620" cy="12541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D064AB9" w14:textId="77777777" w:rsidR="009D12AF" w:rsidRDefault="00000000">
                            <w:pPr>
                              <w:rPr>
                                <w:sz w:val="21"/>
                                <w:szCs w:val="21"/>
                              </w:rPr>
                            </w:pPr>
                            <w:r>
                              <w:rPr>
                                <w:rFonts w:hint="eastAsia"/>
                                <w:sz w:val="21"/>
                                <w:szCs w:val="21"/>
                              </w:rPr>
                              <w:t>图例</w:t>
                            </w:r>
                          </w:p>
                          <w:p w14:paraId="256D9A23"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本项目位置</w:t>
                            </w:r>
                          </w:p>
                          <w:p w14:paraId="78BEFF29"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声环境评价范围</w:t>
                            </w:r>
                          </w:p>
                          <w:p w14:paraId="524FCEEA"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土壤评价范围</w:t>
                            </w:r>
                          </w:p>
                          <w:p w14:paraId="5AC1CD22" w14:textId="77777777" w:rsidR="009D12AF" w:rsidRDefault="009D12AF">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3E69712" id="文本框 379" o:spid="_x0000_s1057" type="#_x0000_t202" style="position:absolute;left:0;text-align:left;margin-left:283.3pt;margin-top:161.75pt;width:130.6pt;height:98.7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" fillcolor="white [3201]" strokeweight=".5pt">
                <v:textbox>
                  <w:txbxContent>
                    <w:p w14:paraId="6D064AB9" w14:textId="77777777" w:rsidR="009D12AF" w:rsidRDefault="00000000">
                      <w:pPr>
                        <w:rPr>
                          <w:sz w:val="21"/>
                          <w:szCs w:val="21"/>
                        </w:rPr>
                      </w:pPr>
                      <w:r>
                        <w:rPr>
                          <w:rFonts w:hint="eastAsia"/>
                          <w:sz w:val="21"/>
                          <w:szCs w:val="21"/>
                        </w:rPr>
                        <w:t>图例</w:t>
                      </w:r>
                    </w:p>
                    <w:p w14:paraId="256D9A23"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本项目位置</w:t>
                      </w:r>
                    </w:p>
                    <w:p w14:paraId="78BEFF29"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声环境评价范围</w:t>
                      </w:r>
                    </w:p>
                    <w:p w14:paraId="524FCEEA"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土壤评价范围</w:t>
                      </w:r>
                    </w:p>
                    <w:p w14:paraId="5AC1CD22" w14:textId="77777777" w:rsidR="009D12AF" w:rsidRDefault="009D12AF">
                      <w:pPr>
                        <w:rPr>
                          <w:sz w:val="21"/>
                          <w:szCs w:val="21"/>
                        </w:rPr>
                      </w:pPr>
                    </w:p>
                  </w:txbxContent>
                </v:textbox>
              </v:shape>
            </w:pict>
          </mc:Fallback>
        </mc:AlternateContent>
      </w:r>
      <w:r>
        <w:rPr>
          <w:noProof/>
        </w:rPr>
        <w:drawing>
          <wp:inline distT="0" distB="0" distL="114300" distR="114300" wp14:anchorId="314531A0" wp14:editId="2D5F2B23">
            <wp:extent cx="5274310" cy="3306445"/>
            <wp:effectExtent l="0" t="0" r="2540" b="8255"/>
            <wp:docPr id="37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16"/>
                    <pic:cNvPicPr>
                      <a:picLocks noChangeAspect="1"/>
                    </pic:cNvPicPr>
                  </pic:nvPicPr>
                  <pic:blipFill>
                    <a:blip r:embed="rId445" cstate="screen">
                      <a:extLst>
                        <a:ext uri="{28A0092B-C50C-407E-A947-70E740481C1C}">
                          <a14:useLocalDpi xmlns:a14="http://schemas.microsoft.com/office/drawing/2010/main"/>
                        </a:ext>
                      </a:extLst>
                    </a:blip>
                    <a:stretch>
                      <a:fillRect/>
                    </a:stretch>
                  </pic:blipFill>
                  <pic:spPr>
                    <a:xfrm>
                      <a:off x="0" y="0"/>
                      <a:ext cx="5274310" cy="3306445"/>
                    </a:xfrm>
                    <a:prstGeom prst="rect">
                      <a:avLst/>
                    </a:prstGeom>
                    <a:noFill/>
                    <a:ln>
                      <a:noFill/>
                    </a:ln>
                  </pic:spPr>
                </pic:pic>
              </a:graphicData>
            </a:graphic>
          </wp:inline>
        </w:drawing>
      </w:r>
    </w:p>
    <w:p w14:paraId="71C73FA5" w14:textId="77777777" w:rsidR="009D12AF" w:rsidRDefault="00000000">
      <w:pPr>
        <w:ind w:firstLineChars="0" w:firstLine="0"/>
        <w:rPr>
          <w:b/>
          <w:bCs/>
        </w:rPr>
      </w:pPr>
      <w:r>
        <w:rPr>
          <w:rFonts w:hint="eastAsia"/>
          <w:b/>
          <w:bCs/>
        </w:rPr>
        <w:lastRenderedPageBreak/>
        <w:t>向阳水电站前池</w:t>
      </w:r>
    </w:p>
    <w:p w14:paraId="03E1A1B8" w14:textId="77777777" w:rsidR="009D12AF" w:rsidRDefault="00000000">
      <w:pPr>
        <w:ind w:firstLineChars="0" w:firstLine="0"/>
      </w:pPr>
      <w:r>
        <w:rPr>
          <w:noProof/>
        </w:rPr>
        <mc:AlternateContent>
          <mc:Choice Requires="wps">
            <w:drawing>
              <wp:anchor distT="0" distB="0" distL="114300" distR="114300" simplePos="0" relativeHeight="251684864" behindDoc="0" locked="0" layoutInCell="1" allowOverlap="1" wp14:anchorId="3E5A23F6" wp14:editId="2322612C">
                <wp:simplePos x="0" y="0"/>
                <wp:positionH relativeFrom="column">
                  <wp:posOffset>4374515</wp:posOffset>
                </wp:positionH>
                <wp:positionV relativeFrom="paragraph">
                  <wp:posOffset>66675</wp:posOffset>
                </wp:positionV>
                <wp:extent cx="920750" cy="706755"/>
                <wp:effectExtent l="4445" t="4445" r="8255" b="12700"/>
                <wp:wrapNone/>
                <wp:docPr id="384" name="文本框 384"/>
                <wp:cNvGraphicFramePr/>
                <a:graphic xmlns:a="http://schemas.openxmlformats.org/drawingml/2006/main">
                  <a:graphicData uri="http://schemas.microsoft.com/office/word/2010/wordprocessingShape">
                    <wps:wsp>
                      <wps:cNvSpPr txBox="1"/>
                      <wps:spPr>
                        <a:xfrm>
                          <a:off x="5391785" y="1254125"/>
                          <a:ext cx="920750" cy="7067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7580252" w14:textId="77777777" w:rsidR="009D12AF" w:rsidRDefault="00000000">
                            <w:pPr>
                              <w:ind w:firstLineChars="0" w:firstLine="0"/>
                            </w:pPr>
                            <w:r>
                              <w:rPr>
                                <w:noProof/>
                              </w:rPr>
                              <w:drawing>
                                <wp:inline distT="0" distB="0" distL="114300" distR="114300" wp14:anchorId="0CC4310A" wp14:editId="5D9A086D">
                                  <wp:extent cx="643255" cy="578485"/>
                                  <wp:effectExtent l="0" t="0" r="4445" b="12065"/>
                                  <wp:docPr id="3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15"/>
                                          <pic:cNvPicPr>
                                            <a:picLocks noChangeAspect="1"/>
                                          </pic:cNvPicPr>
                                        </pic:nvPicPr>
                                        <pic:blipFill>
                                          <a:blip r:embed="rId415"/>
                                          <a:stretch>
                                            <a:fillRect/>
                                          </a:stretch>
                                        </pic:blipFill>
                                        <pic:spPr>
                                          <a:xfrm>
                                            <a:off x="0" y="0"/>
                                            <a:ext cx="643255" cy="5784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E5A23F6" id="文本框 384" o:spid="_x0000_s1058" type="#_x0000_t202" style="position:absolute;left:0;text-align:left;margin-left:344.45pt;margin-top:5.25pt;width:72.5pt;height:55.6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" fillcolor="white [3201]" strokeweight=".5pt">
                <v:textbox>
                  <w:txbxContent>
                    <w:p w14:paraId="67580252" w14:textId="77777777" w:rsidR="009D12AF" w:rsidRDefault="00000000">
                      <w:pPr>
                        <w:ind w:firstLineChars="0" w:firstLine="0"/>
                      </w:pPr>
                      <w:r>
                        <w:rPr>
                          <w:noProof/>
                        </w:rPr>
                        <w:drawing>
                          <wp:inline distT="0" distB="0" distL="114300" distR="114300" wp14:anchorId="0CC4310A" wp14:editId="5D9A086D">
                            <wp:extent cx="643255" cy="578485"/>
                            <wp:effectExtent l="0" t="0" r="4445" b="12065"/>
                            <wp:docPr id="3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15"/>
                                    <pic:cNvPicPr>
                                      <a:picLocks noChangeAspect="1"/>
                                    </pic:cNvPicPr>
                                  </pic:nvPicPr>
                                  <pic:blipFill>
                                    <a:blip r:embed="rId415"/>
                                    <a:stretch>
                                      <a:fillRect/>
                                    </a:stretch>
                                  </pic:blipFill>
                                  <pic:spPr>
                                    <a:xfrm>
                                      <a:off x="0" y="0"/>
                                      <a:ext cx="643255" cy="57848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78F68F6D" wp14:editId="25E93C83">
                <wp:simplePos x="0" y="0"/>
                <wp:positionH relativeFrom="column">
                  <wp:posOffset>3801110</wp:posOffset>
                </wp:positionH>
                <wp:positionV relativeFrom="paragraph">
                  <wp:posOffset>3037840</wp:posOffset>
                </wp:positionV>
                <wp:extent cx="245745" cy="142875"/>
                <wp:effectExtent l="6350" t="6350" r="14605" b="22225"/>
                <wp:wrapNone/>
                <wp:docPr id="387" name="矩形 387"/>
                <wp:cNvGraphicFramePr/>
                <a:graphic xmlns:a="http://schemas.openxmlformats.org/drawingml/2006/main">
                  <a:graphicData uri="http://schemas.microsoft.com/office/word/2010/wordprocessingShape">
                    <wps:wsp>
                      <wps:cNvSpPr/>
                      <wps:spPr>
                        <a:xfrm>
                          <a:off x="0" y="0"/>
                          <a:ext cx="245745" cy="14287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4A43875" id="矩形 387" o:spid="_x0000_s1026" style="position:absolute;margin-left:299.3pt;margin-top:239.2pt;width:19.35pt;height:11.2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" filled="f" strokecolor="red" strokeweight="1pt"/>
            </w:pict>
          </mc:Fallback>
        </mc:AlternateContent>
      </w:r>
      <w:r>
        <w:rPr>
          <w:noProof/>
        </w:rPr>
        <mc:AlternateContent>
          <mc:Choice Requires="wps">
            <w:drawing>
              <wp:anchor distT="0" distB="0" distL="114300" distR="114300" simplePos="0" relativeHeight="251687936" behindDoc="0" locked="0" layoutInCell="1" allowOverlap="1" wp14:anchorId="7FC3476D" wp14:editId="019818A3">
                <wp:simplePos x="0" y="0"/>
                <wp:positionH relativeFrom="column">
                  <wp:posOffset>3806825</wp:posOffset>
                </wp:positionH>
                <wp:positionV relativeFrom="paragraph">
                  <wp:posOffset>3340735</wp:posOffset>
                </wp:positionV>
                <wp:extent cx="254000" cy="166370"/>
                <wp:effectExtent l="6350" t="6350" r="6350" b="17780"/>
                <wp:wrapNone/>
                <wp:docPr id="388" name="矩形 388"/>
                <wp:cNvGraphicFramePr/>
                <a:graphic xmlns:a="http://schemas.openxmlformats.org/drawingml/2006/main">
                  <a:graphicData uri="http://schemas.microsoft.com/office/word/2010/wordprocessingShape">
                    <wps:wsp>
                      <wps:cNvSpPr/>
                      <wps:spPr>
                        <a:xfrm>
                          <a:off x="0" y="0"/>
                          <a:ext cx="254000" cy="166370"/>
                        </a:xfrm>
                        <a:prstGeom prst="rect">
                          <a:avLst/>
                        </a:prstGeom>
                        <a:noFill/>
                        <a:ln>
                          <a:solidFill>
                            <a:srgbClr val="00206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B2628C0" id="矩形 388" o:spid="_x0000_s1026" style="position:absolute;margin-left:299.75pt;margin-top:263.05pt;width:20pt;height:13.1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" filled="f" strokecolor="#002060" strokeweight="1pt"/>
            </w:pict>
          </mc:Fallback>
        </mc:AlternateContent>
      </w:r>
      <w:r>
        <w:rPr>
          <w:noProof/>
        </w:rPr>
        <mc:AlternateContent>
          <mc:Choice Requires="wps">
            <w:drawing>
              <wp:anchor distT="0" distB="0" distL="114300" distR="114300" simplePos="0" relativeHeight="251688960" behindDoc="0" locked="0" layoutInCell="1" allowOverlap="1" wp14:anchorId="42F5D864" wp14:editId="6C7B507D">
                <wp:simplePos x="0" y="0"/>
                <wp:positionH relativeFrom="column">
                  <wp:posOffset>3839210</wp:posOffset>
                </wp:positionH>
                <wp:positionV relativeFrom="paragraph">
                  <wp:posOffset>3624580</wp:posOffset>
                </wp:positionV>
                <wp:extent cx="246380" cy="135255"/>
                <wp:effectExtent l="6350" t="6350" r="13970" b="10795"/>
                <wp:wrapNone/>
                <wp:docPr id="389" name="矩形 389"/>
                <wp:cNvGraphicFramePr/>
                <a:graphic xmlns:a="http://schemas.openxmlformats.org/drawingml/2006/main">
                  <a:graphicData uri="http://schemas.microsoft.com/office/word/2010/wordprocessingShape">
                    <wps:wsp>
                      <wps:cNvSpPr/>
                      <wps:spPr>
                        <a:xfrm>
                          <a:off x="0" y="0"/>
                          <a:ext cx="246380" cy="135255"/>
                        </a:xfrm>
                        <a:prstGeom prst="rect">
                          <a:avLst/>
                        </a:prstGeom>
                        <a:noFill/>
                        <a:ln>
                          <a:solidFill>
                            <a:srgbClr val="7030A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6CDF0BB" id="矩形 389" o:spid="_x0000_s1026" style="position:absolute;margin-left:302.3pt;margin-top:285.4pt;width:19.4pt;height:10.6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" filled="f" strokecolor="#7030a0" strokeweight="1pt"/>
            </w:pict>
          </mc:Fallback>
        </mc:AlternateContent>
      </w:r>
      <w:r>
        <w:rPr>
          <w:noProof/>
        </w:rPr>
        <mc:AlternateContent>
          <mc:Choice Requires="wps">
            <w:drawing>
              <wp:anchor distT="0" distB="0" distL="114300" distR="114300" simplePos="0" relativeHeight="251685888" behindDoc="0" locked="0" layoutInCell="1" allowOverlap="1" wp14:anchorId="51CBC0BF" wp14:editId="10AE4A9D">
                <wp:simplePos x="0" y="0"/>
                <wp:positionH relativeFrom="column">
                  <wp:posOffset>3670935</wp:posOffset>
                </wp:positionH>
                <wp:positionV relativeFrom="paragraph">
                  <wp:posOffset>2623820</wp:posOffset>
                </wp:positionV>
                <wp:extent cx="1625600" cy="1292225"/>
                <wp:effectExtent l="4445" t="4445" r="8255" b="17780"/>
                <wp:wrapNone/>
                <wp:docPr id="386" name="文本框 386"/>
                <wp:cNvGraphicFramePr/>
                <a:graphic xmlns:a="http://schemas.openxmlformats.org/drawingml/2006/main">
                  <a:graphicData uri="http://schemas.microsoft.com/office/word/2010/wordprocessingShape">
                    <wps:wsp>
                      <wps:cNvSpPr txBox="1"/>
                      <wps:spPr>
                        <a:xfrm>
                          <a:off x="5344160" y="3484880"/>
                          <a:ext cx="1625600" cy="1292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BC4075F" w14:textId="77777777" w:rsidR="009D12AF" w:rsidRDefault="00000000">
                            <w:pPr>
                              <w:rPr>
                                <w:sz w:val="21"/>
                                <w:szCs w:val="21"/>
                              </w:rPr>
                            </w:pPr>
                            <w:r>
                              <w:rPr>
                                <w:rFonts w:hint="eastAsia"/>
                                <w:sz w:val="21"/>
                                <w:szCs w:val="21"/>
                              </w:rPr>
                              <w:t>图例</w:t>
                            </w:r>
                          </w:p>
                          <w:p w14:paraId="3A5BB68E"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本项目位置</w:t>
                            </w:r>
                          </w:p>
                          <w:p w14:paraId="6B7746C4"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声环境评价范围</w:t>
                            </w:r>
                          </w:p>
                          <w:p w14:paraId="59E2BD98"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土壤评价范围</w:t>
                            </w:r>
                          </w:p>
                          <w:p w14:paraId="6A905BBD" w14:textId="77777777" w:rsidR="009D12AF" w:rsidRDefault="009D12AF">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1CBC0BF" id="文本框 386" o:spid="_x0000_s1059" type="#_x0000_t202" style="position:absolute;left:0;text-align:left;margin-left:289.05pt;margin-top:206.6pt;width:128pt;height:101.7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" fillcolor="white [3201]" strokeweight=".5pt">
                <v:textbox>
                  <w:txbxContent>
                    <w:p w14:paraId="4BC4075F" w14:textId="77777777" w:rsidR="009D12AF" w:rsidRDefault="00000000">
                      <w:pPr>
                        <w:rPr>
                          <w:sz w:val="21"/>
                          <w:szCs w:val="21"/>
                        </w:rPr>
                      </w:pPr>
                      <w:r>
                        <w:rPr>
                          <w:rFonts w:hint="eastAsia"/>
                          <w:sz w:val="21"/>
                          <w:szCs w:val="21"/>
                        </w:rPr>
                        <w:t>图例</w:t>
                      </w:r>
                    </w:p>
                    <w:p w14:paraId="3A5BB68E"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本项目位置</w:t>
                      </w:r>
                    </w:p>
                    <w:p w14:paraId="6B7746C4"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声环境评价范围</w:t>
                      </w:r>
                    </w:p>
                    <w:p w14:paraId="59E2BD98"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土壤评价范围</w:t>
                      </w:r>
                    </w:p>
                    <w:p w14:paraId="6A905BBD" w14:textId="77777777" w:rsidR="009D12AF" w:rsidRDefault="009D12AF">
                      <w:pPr>
                        <w:rPr>
                          <w:sz w:val="21"/>
                          <w:szCs w:val="21"/>
                        </w:rPr>
                      </w:pPr>
                    </w:p>
                  </w:txbxContent>
                </v:textbox>
              </v:shape>
            </w:pict>
          </mc:Fallback>
        </mc:AlternateContent>
      </w:r>
      <w:r>
        <w:rPr>
          <w:noProof/>
        </w:rPr>
        <w:drawing>
          <wp:inline distT="0" distB="0" distL="114300" distR="114300" wp14:anchorId="097119BE" wp14:editId="500A11F1">
            <wp:extent cx="5271770" cy="3865245"/>
            <wp:effectExtent l="0" t="0" r="5080" b="1905"/>
            <wp:docPr id="38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17"/>
                    <pic:cNvPicPr>
                      <a:picLocks noChangeAspect="1"/>
                    </pic:cNvPicPr>
                  </pic:nvPicPr>
                  <pic:blipFill>
                    <a:blip r:embed="rId446" cstate="screen">
                      <a:extLst>
                        <a:ext uri="{28A0092B-C50C-407E-A947-70E740481C1C}">
                          <a14:useLocalDpi xmlns:a14="http://schemas.microsoft.com/office/drawing/2010/main"/>
                        </a:ext>
                      </a:extLst>
                    </a:blip>
                    <a:stretch>
                      <a:fillRect/>
                    </a:stretch>
                  </pic:blipFill>
                  <pic:spPr>
                    <a:xfrm>
                      <a:off x="0" y="0"/>
                      <a:ext cx="5271770" cy="3865245"/>
                    </a:xfrm>
                    <a:prstGeom prst="rect">
                      <a:avLst/>
                    </a:prstGeom>
                    <a:noFill/>
                    <a:ln>
                      <a:noFill/>
                    </a:ln>
                  </pic:spPr>
                </pic:pic>
              </a:graphicData>
            </a:graphic>
          </wp:inline>
        </w:drawing>
      </w:r>
    </w:p>
    <w:p w14:paraId="0205BE3A" w14:textId="77777777" w:rsidR="009D12AF" w:rsidRDefault="00000000">
      <w:pPr>
        <w:ind w:firstLineChars="0" w:firstLine="0"/>
        <w:rPr>
          <w:b/>
          <w:bCs/>
        </w:rPr>
      </w:pPr>
      <w:r>
        <w:rPr>
          <w:rFonts w:hint="eastAsia"/>
          <w:b/>
          <w:bCs/>
        </w:rPr>
        <w:t>长石水库</w:t>
      </w:r>
    </w:p>
    <w:p w14:paraId="315F7B42" w14:textId="77777777" w:rsidR="009D12AF" w:rsidRDefault="00000000">
      <w:pPr>
        <w:ind w:firstLineChars="0" w:firstLine="0"/>
      </w:pPr>
      <w:r>
        <w:rPr>
          <w:noProof/>
        </w:rPr>
        <mc:AlternateContent>
          <mc:Choice Requires="wps">
            <w:drawing>
              <wp:anchor distT="0" distB="0" distL="114300" distR="114300" simplePos="0" relativeHeight="251694080" behindDoc="0" locked="0" layoutInCell="1" allowOverlap="1" wp14:anchorId="264058C7" wp14:editId="0D9A8AA9">
                <wp:simplePos x="0" y="0"/>
                <wp:positionH relativeFrom="column">
                  <wp:posOffset>3936365</wp:posOffset>
                </wp:positionH>
                <wp:positionV relativeFrom="paragraph">
                  <wp:posOffset>3597275</wp:posOffset>
                </wp:positionV>
                <wp:extent cx="246380" cy="135255"/>
                <wp:effectExtent l="6350" t="6350" r="13970" b="10795"/>
                <wp:wrapNone/>
                <wp:docPr id="396" name="矩形 396"/>
                <wp:cNvGraphicFramePr/>
                <a:graphic xmlns:a="http://schemas.openxmlformats.org/drawingml/2006/main">
                  <a:graphicData uri="http://schemas.microsoft.com/office/word/2010/wordprocessingShape">
                    <wps:wsp>
                      <wps:cNvSpPr/>
                      <wps:spPr>
                        <a:xfrm>
                          <a:off x="0" y="0"/>
                          <a:ext cx="246380" cy="135255"/>
                        </a:xfrm>
                        <a:prstGeom prst="rect">
                          <a:avLst/>
                        </a:prstGeom>
                        <a:noFill/>
                        <a:ln>
                          <a:solidFill>
                            <a:srgbClr val="7030A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96A9B45" id="矩形 396" o:spid="_x0000_s1026" style="position:absolute;margin-left:309.95pt;margin-top:283.25pt;width:19.4pt;height:10.6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" filled="f" strokecolor="#7030a0" strokeweight="1pt"/>
            </w:pict>
          </mc:Fallback>
        </mc:AlternateContent>
      </w:r>
      <w:r>
        <w:rPr>
          <w:noProof/>
        </w:rPr>
        <mc:AlternateContent>
          <mc:Choice Requires="wps">
            <w:drawing>
              <wp:anchor distT="0" distB="0" distL="114300" distR="114300" simplePos="0" relativeHeight="251693056" behindDoc="0" locked="0" layoutInCell="1" allowOverlap="1" wp14:anchorId="7CC629FE" wp14:editId="5945E2BE">
                <wp:simplePos x="0" y="0"/>
                <wp:positionH relativeFrom="column">
                  <wp:posOffset>3903345</wp:posOffset>
                </wp:positionH>
                <wp:positionV relativeFrom="paragraph">
                  <wp:posOffset>3305810</wp:posOffset>
                </wp:positionV>
                <wp:extent cx="254000" cy="166370"/>
                <wp:effectExtent l="6350" t="6350" r="6350" b="17780"/>
                <wp:wrapNone/>
                <wp:docPr id="395" name="矩形 395"/>
                <wp:cNvGraphicFramePr/>
                <a:graphic xmlns:a="http://schemas.openxmlformats.org/drawingml/2006/main">
                  <a:graphicData uri="http://schemas.microsoft.com/office/word/2010/wordprocessingShape">
                    <wps:wsp>
                      <wps:cNvSpPr/>
                      <wps:spPr>
                        <a:xfrm>
                          <a:off x="0" y="0"/>
                          <a:ext cx="254000" cy="166370"/>
                        </a:xfrm>
                        <a:prstGeom prst="rect">
                          <a:avLst/>
                        </a:prstGeom>
                        <a:noFill/>
                        <a:ln>
                          <a:solidFill>
                            <a:srgbClr val="00206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B930557" id="矩形 395" o:spid="_x0000_s1026" style="position:absolute;margin-left:307.35pt;margin-top:260.3pt;width:20pt;height:13.1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" filled="f" strokecolor="#002060" strokeweight="1pt"/>
            </w:pict>
          </mc:Fallback>
        </mc:AlternateContent>
      </w:r>
      <w:r>
        <w:rPr>
          <w:noProof/>
        </w:rPr>
        <mc:AlternateContent>
          <mc:Choice Requires="wps">
            <w:drawing>
              <wp:anchor distT="0" distB="0" distL="114300" distR="114300" simplePos="0" relativeHeight="251692032" behindDoc="0" locked="0" layoutInCell="1" allowOverlap="1" wp14:anchorId="69187B65" wp14:editId="6B42D2DE">
                <wp:simplePos x="0" y="0"/>
                <wp:positionH relativeFrom="column">
                  <wp:posOffset>3897630</wp:posOffset>
                </wp:positionH>
                <wp:positionV relativeFrom="paragraph">
                  <wp:posOffset>3042285</wp:posOffset>
                </wp:positionV>
                <wp:extent cx="245745" cy="142875"/>
                <wp:effectExtent l="6350" t="6350" r="14605" b="22225"/>
                <wp:wrapNone/>
                <wp:docPr id="394" name="矩形 394"/>
                <wp:cNvGraphicFramePr/>
                <a:graphic xmlns:a="http://schemas.openxmlformats.org/drawingml/2006/main">
                  <a:graphicData uri="http://schemas.microsoft.com/office/word/2010/wordprocessingShape">
                    <wps:wsp>
                      <wps:cNvSpPr/>
                      <wps:spPr>
                        <a:xfrm>
                          <a:off x="0" y="0"/>
                          <a:ext cx="245745" cy="14287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35D1DE8" id="矩形 394" o:spid="_x0000_s1026" style="position:absolute;margin-left:306.9pt;margin-top:239.55pt;width:19.35pt;height:11.2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" filled="f" strokecolor="red" strokeweight="1pt"/>
            </w:pict>
          </mc:Fallback>
        </mc:AlternateContent>
      </w:r>
      <w:r>
        <w:rPr>
          <w:noProof/>
        </w:rPr>
        <mc:AlternateContent>
          <mc:Choice Requires="wps">
            <w:drawing>
              <wp:anchor distT="0" distB="0" distL="114300" distR="114300" simplePos="0" relativeHeight="251691008" behindDoc="0" locked="0" layoutInCell="1" allowOverlap="1" wp14:anchorId="7DA06E2E" wp14:editId="0EAFCB55">
                <wp:simplePos x="0" y="0"/>
                <wp:positionH relativeFrom="column">
                  <wp:posOffset>3789045</wp:posOffset>
                </wp:positionH>
                <wp:positionV relativeFrom="paragraph">
                  <wp:posOffset>2614930</wp:posOffset>
                </wp:positionV>
                <wp:extent cx="1467485" cy="1269365"/>
                <wp:effectExtent l="4445" t="4445" r="13970" b="21590"/>
                <wp:wrapNone/>
                <wp:docPr id="393" name="文本框 393"/>
                <wp:cNvGraphicFramePr/>
                <a:graphic xmlns:a="http://schemas.openxmlformats.org/drawingml/2006/main">
                  <a:graphicData uri="http://schemas.microsoft.com/office/word/2010/wordprocessingShape">
                    <wps:wsp>
                      <wps:cNvSpPr txBox="1"/>
                      <wps:spPr>
                        <a:xfrm>
                          <a:off x="5320030" y="8228330"/>
                          <a:ext cx="1467485" cy="12693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CE663D9" w14:textId="77777777" w:rsidR="009D12AF" w:rsidRDefault="00000000">
                            <w:pPr>
                              <w:rPr>
                                <w:sz w:val="21"/>
                                <w:szCs w:val="21"/>
                              </w:rPr>
                            </w:pPr>
                            <w:r>
                              <w:rPr>
                                <w:rFonts w:hint="eastAsia"/>
                                <w:sz w:val="21"/>
                                <w:szCs w:val="21"/>
                              </w:rPr>
                              <w:t>图例</w:t>
                            </w:r>
                          </w:p>
                          <w:p w14:paraId="6D9155BE"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本项目位置</w:t>
                            </w:r>
                          </w:p>
                          <w:p w14:paraId="7B935906"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声环境评价范围</w:t>
                            </w:r>
                          </w:p>
                          <w:p w14:paraId="5ECB36E2"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土壤评价范围</w:t>
                            </w:r>
                          </w:p>
                          <w:p w14:paraId="3505781C" w14:textId="77777777" w:rsidR="009D12AF" w:rsidRDefault="009D12AF">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DA06E2E" id="文本框 393" o:spid="_x0000_s1060" type="#_x0000_t202" style="position:absolute;left:0;text-align:left;margin-left:298.35pt;margin-top:205.9pt;width:115.55pt;height:99.9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" fillcolor="white [3201]" strokeweight=".5pt">
                <v:textbox>
                  <w:txbxContent>
                    <w:p w14:paraId="3CE663D9" w14:textId="77777777" w:rsidR="009D12AF" w:rsidRDefault="00000000">
                      <w:pPr>
                        <w:rPr>
                          <w:sz w:val="21"/>
                          <w:szCs w:val="21"/>
                        </w:rPr>
                      </w:pPr>
                      <w:r>
                        <w:rPr>
                          <w:rFonts w:hint="eastAsia"/>
                          <w:sz w:val="21"/>
                          <w:szCs w:val="21"/>
                        </w:rPr>
                        <w:t>图例</w:t>
                      </w:r>
                    </w:p>
                    <w:p w14:paraId="6D9155BE"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本项目位置</w:t>
                      </w:r>
                    </w:p>
                    <w:p w14:paraId="7B935906"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声环境评价范围</w:t>
                      </w:r>
                    </w:p>
                    <w:p w14:paraId="5ECB36E2"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土壤评价范围</w:t>
                      </w:r>
                    </w:p>
                    <w:p w14:paraId="3505781C" w14:textId="77777777" w:rsidR="009D12AF" w:rsidRDefault="009D12AF">
                      <w:pPr>
                        <w:rPr>
                          <w:sz w:val="21"/>
                          <w:szCs w:val="21"/>
                        </w:rPr>
                      </w:pP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09182FA8" wp14:editId="7FE90736">
                <wp:simplePos x="0" y="0"/>
                <wp:positionH relativeFrom="column">
                  <wp:posOffset>4399280</wp:posOffset>
                </wp:positionH>
                <wp:positionV relativeFrom="paragraph">
                  <wp:posOffset>52705</wp:posOffset>
                </wp:positionV>
                <wp:extent cx="841375" cy="817245"/>
                <wp:effectExtent l="5080" t="4445" r="10795" b="16510"/>
                <wp:wrapNone/>
                <wp:docPr id="391" name="文本框 391"/>
                <wp:cNvGraphicFramePr/>
                <a:graphic xmlns:a="http://schemas.openxmlformats.org/drawingml/2006/main">
                  <a:graphicData uri="http://schemas.microsoft.com/office/word/2010/wordprocessingShape">
                    <wps:wsp>
                      <wps:cNvSpPr txBox="1"/>
                      <wps:spPr>
                        <a:xfrm>
                          <a:off x="5542280" y="5547360"/>
                          <a:ext cx="841375" cy="8172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8B3923E" w14:textId="77777777" w:rsidR="009D12AF" w:rsidRDefault="00000000">
                            <w:pPr>
                              <w:ind w:firstLineChars="0" w:firstLine="0"/>
                            </w:pPr>
                            <w:r>
                              <w:rPr>
                                <w:noProof/>
                              </w:rPr>
                              <w:drawing>
                                <wp:inline distT="0" distB="0" distL="114300" distR="114300" wp14:anchorId="7942157C" wp14:editId="773F38B8">
                                  <wp:extent cx="643255" cy="672465"/>
                                  <wp:effectExtent l="0" t="0" r="4445" b="13335"/>
                                  <wp:docPr id="39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15"/>
                                          <pic:cNvPicPr>
                                            <a:picLocks noChangeAspect="1"/>
                                          </pic:cNvPicPr>
                                        </pic:nvPicPr>
                                        <pic:blipFill>
                                          <a:blip r:embed="rId415"/>
                                          <a:stretch>
                                            <a:fillRect/>
                                          </a:stretch>
                                        </pic:blipFill>
                                        <pic:spPr>
                                          <a:xfrm>
                                            <a:off x="0" y="0"/>
                                            <a:ext cx="643255" cy="6724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9182FA8" id="文本框 391" o:spid="_x0000_s1061" type="#_x0000_t202" style="position:absolute;left:0;text-align:left;margin-left:346.4pt;margin-top:4.15pt;width:66.25pt;height:64.3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" fillcolor="white [3201]" strokeweight=".5pt">
                <v:textbox>
                  <w:txbxContent>
                    <w:p w14:paraId="28B3923E" w14:textId="77777777" w:rsidR="009D12AF" w:rsidRDefault="00000000">
                      <w:pPr>
                        <w:ind w:firstLineChars="0" w:firstLine="0"/>
                      </w:pPr>
                      <w:r>
                        <w:rPr>
                          <w:noProof/>
                        </w:rPr>
                        <w:drawing>
                          <wp:inline distT="0" distB="0" distL="114300" distR="114300" wp14:anchorId="7942157C" wp14:editId="773F38B8">
                            <wp:extent cx="643255" cy="672465"/>
                            <wp:effectExtent l="0" t="0" r="4445" b="13335"/>
                            <wp:docPr id="39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15"/>
                                    <pic:cNvPicPr>
                                      <a:picLocks noChangeAspect="1"/>
                                    </pic:cNvPicPr>
                                  </pic:nvPicPr>
                                  <pic:blipFill>
                                    <a:blip r:embed="rId415"/>
                                    <a:stretch>
                                      <a:fillRect/>
                                    </a:stretch>
                                  </pic:blipFill>
                                  <pic:spPr>
                                    <a:xfrm>
                                      <a:off x="0" y="0"/>
                                      <a:ext cx="643255" cy="672465"/>
                                    </a:xfrm>
                                    <a:prstGeom prst="rect">
                                      <a:avLst/>
                                    </a:prstGeom>
                                    <a:noFill/>
                                    <a:ln>
                                      <a:noFill/>
                                    </a:ln>
                                  </pic:spPr>
                                </pic:pic>
                              </a:graphicData>
                            </a:graphic>
                          </wp:inline>
                        </w:drawing>
                      </w:r>
                    </w:p>
                  </w:txbxContent>
                </v:textbox>
              </v:shape>
            </w:pict>
          </mc:Fallback>
        </mc:AlternateContent>
      </w:r>
      <w:r>
        <w:rPr>
          <w:noProof/>
        </w:rPr>
        <w:drawing>
          <wp:inline distT="0" distB="0" distL="114300" distR="114300" wp14:anchorId="29C691E3" wp14:editId="62396CA6">
            <wp:extent cx="5259070" cy="3848735"/>
            <wp:effectExtent l="0" t="0" r="17780" b="18415"/>
            <wp:docPr id="39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18"/>
                    <pic:cNvPicPr>
                      <a:picLocks noChangeAspect="1"/>
                    </pic:cNvPicPr>
                  </pic:nvPicPr>
                  <pic:blipFill>
                    <a:blip r:embed="rId447" cstate="screen">
                      <a:extLst>
                        <a:ext uri="{28A0092B-C50C-407E-A947-70E740481C1C}">
                          <a14:useLocalDpi xmlns:a14="http://schemas.microsoft.com/office/drawing/2010/main"/>
                        </a:ext>
                      </a:extLst>
                    </a:blip>
                    <a:stretch>
                      <a:fillRect/>
                    </a:stretch>
                  </pic:blipFill>
                  <pic:spPr>
                    <a:xfrm>
                      <a:off x="0" y="0"/>
                      <a:ext cx="5259070" cy="3848735"/>
                    </a:xfrm>
                    <a:prstGeom prst="rect">
                      <a:avLst/>
                    </a:prstGeom>
                    <a:noFill/>
                    <a:ln>
                      <a:noFill/>
                    </a:ln>
                  </pic:spPr>
                </pic:pic>
              </a:graphicData>
            </a:graphic>
          </wp:inline>
        </w:drawing>
      </w:r>
    </w:p>
    <w:p w14:paraId="370851B2" w14:textId="77777777" w:rsidR="009D12AF" w:rsidRDefault="009D12AF">
      <w:pPr>
        <w:ind w:firstLineChars="0" w:firstLine="0"/>
      </w:pPr>
    </w:p>
    <w:p w14:paraId="5532E56A" w14:textId="77777777" w:rsidR="009D12AF" w:rsidRDefault="00000000">
      <w:pPr>
        <w:ind w:firstLineChars="0" w:firstLine="0"/>
        <w:rPr>
          <w:b/>
          <w:bCs/>
        </w:rPr>
      </w:pPr>
      <w:r>
        <w:rPr>
          <w:rFonts w:hint="eastAsia"/>
          <w:b/>
          <w:bCs/>
        </w:rPr>
        <w:lastRenderedPageBreak/>
        <w:t>新安晒水池</w:t>
      </w:r>
    </w:p>
    <w:p w14:paraId="1C9805DA" w14:textId="77777777" w:rsidR="009D12AF" w:rsidRDefault="00000000">
      <w:pPr>
        <w:ind w:firstLineChars="0" w:firstLine="0"/>
        <w:sectPr w:rsidR="009D12AF">
          <w:pgSz w:w="11906" w:h="16838"/>
          <w:pgMar w:top="1440" w:right="1800" w:bottom="1440" w:left="1800" w:header="851" w:footer="992" w:gutter="0"/>
          <w:cols w:space="425"/>
          <w:docGrid w:type="lines" w:linePitch="312"/>
        </w:sectPr>
      </w:pPr>
      <w:r>
        <w:rPr>
          <w:noProof/>
        </w:rPr>
        <mc:AlternateContent>
          <mc:Choice Requires="wps">
            <w:drawing>
              <wp:anchor distT="0" distB="0" distL="114300" distR="114300" simplePos="0" relativeHeight="251697152" behindDoc="0" locked="0" layoutInCell="1" allowOverlap="1" wp14:anchorId="0386D257" wp14:editId="664015C4">
                <wp:simplePos x="0" y="0"/>
                <wp:positionH relativeFrom="column">
                  <wp:posOffset>3891280</wp:posOffset>
                </wp:positionH>
                <wp:positionV relativeFrom="paragraph">
                  <wp:posOffset>3059430</wp:posOffset>
                </wp:positionV>
                <wp:extent cx="245745" cy="142875"/>
                <wp:effectExtent l="6350" t="6350" r="14605" b="22225"/>
                <wp:wrapNone/>
                <wp:docPr id="401" name="矩形 401"/>
                <wp:cNvGraphicFramePr/>
                <a:graphic xmlns:a="http://schemas.openxmlformats.org/drawingml/2006/main">
                  <a:graphicData uri="http://schemas.microsoft.com/office/word/2010/wordprocessingShape">
                    <wps:wsp>
                      <wps:cNvSpPr/>
                      <wps:spPr>
                        <a:xfrm>
                          <a:off x="0" y="0"/>
                          <a:ext cx="245745" cy="14287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B1D54E3" id="矩形 401" o:spid="_x0000_s1026" style="position:absolute;margin-left:306.4pt;margin-top:240.9pt;width:19.35pt;height:11.2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" filled="f" strokecolor="red" strokeweight="1pt"/>
            </w:pict>
          </mc:Fallback>
        </mc:AlternateContent>
      </w:r>
      <w:r>
        <w:rPr>
          <w:noProof/>
        </w:rPr>
        <mc:AlternateContent>
          <mc:Choice Requires="wps">
            <w:drawing>
              <wp:anchor distT="0" distB="0" distL="114300" distR="114300" simplePos="0" relativeHeight="251698176" behindDoc="0" locked="0" layoutInCell="1" allowOverlap="1" wp14:anchorId="438FE8F4" wp14:editId="02E8AFF0">
                <wp:simplePos x="0" y="0"/>
                <wp:positionH relativeFrom="column">
                  <wp:posOffset>3880485</wp:posOffset>
                </wp:positionH>
                <wp:positionV relativeFrom="paragraph">
                  <wp:posOffset>3315335</wp:posOffset>
                </wp:positionV>
                <wp:extent cx="254000" cy="166370"/>
                <wp:effectExtent l="6350" t="6350" r="6350" b="17780"/>
                <wp:wrapNone/>
                <wp:docPr id="402" name="矩形 402"/>
                <wp:cNvGraphicFramePr/>
                <a:graphic xmlns:a="http://schemas.openxmlformats.org/drawingml/2006/main">
                  <a:graphicData uri="http://schemas.microsoft.com/office/word/2010/wordprocessingShape">
                    <wps:wsp>
                      <wps:cNvSpPr/>
                      <wps:spPr>
                        <a:xfrm>
                          <a:off x="0" y="0"/>
                          <a:ext cx="254000" cy="166370"/>
                        </a:xfrm>
                        <a:prstGeom prst="rect">
                          <a:avLst/>
                        </a:prstGeom>
                        <a:noFill/>
                        <a:ln>
                          <a:solidFill>
                            <a:srgbClr val="00206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F1382B5" id="矩形 402" o:spid="_x0000_s1026" style="position:absolute;margin-left:305.55pt;margin-top:261.05pt;width:20pt;height:13.1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" filled="f" strokecolor="#002060" strokeweight="1pt"/>
            </w:pict>
          </mc:Fallback>
        </mc:AlternateContent>
      </w:r>
      <w:r>
        <w:rPr>
          <w:noProof/>
        </w:rPr>
        <mc:AlternateContent>
          <mc:Choice Requires="wps">
            <w:drawing>
              <wp:anchor distT="0" distB="0" distL="114300" distR="114300" simplePos="0" relativeHeight="251699200" behindDoc="0" locked="0" layoutInCell="1" allowOverlap="1" wp14:anchorId="33B22EC1" wp14:editId="55B86E2B">
                <wp:simplePos x="0" y="0"/>
                <wp:positionH relativeFrom="column">
                  <wp:posOffset>3898265</wp:posOffset>
                </wp:positionH>
                <wp:positionV relativeFrom="paragraph">
                  <wp:posOffset>3654425</wp:posOffset>
                </wp:positionV>
                <wp:extent cx="246380" cy="135255"/>
                <wp:effectExtent l="6350" t="6350" r="13970" b="10795"/>
                <wp:wrapNone/>
                <wp:docPr id="403" name="矩形 403"/>
                <wp:cNvGraphicFramePr/>
                <a:graphic xmlns:a="http://schemas.openxmlformats.org/drawingml/2006/main">
                  <a:graphicData uri="http://schemas.microsoft.com/office/word/2010/wordprocessingShape">
                    <wps:wsp>
                      <wps:cNvSpPr/>
                      <wps:spPr>
                        <a:xfrm>
                          <a:off x="0" y="0"/>
                          <a:ext cx="246380" cy="135255"/>
                        </a:xfrm>
                        <a:prstGeom prst="rect">
                          <a:avLst/>
                        </a:prstGeom>
                        <a:noFill/>
                        <a:ln>
                          <a:solidFill>
                            <a:srgbClr val="7030A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8FF370E" id="矩形 403" o:spid="_x0000_s1026" style="position:absolute;margin-left:306.95pt;margin-top:287.75pt;width:19.4pt;height:10.6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" filled="f" strokecolor="#7030a0" strokeweight="1pt"/>
            </w:pict>
          </mc:Fallback>
        </mc:AlternateContent>
      </w:r>
      <w:r>
        <w:rPr>
          <w:noProof/>
        </w:rPr>
        <mc:AlternateContent>
          <mc:Choice Requires="wps">
            <w:drawing>
              <wp:anchor distT="0" distB="0" distL="114300" distR="114300" simplePos="0" relativeHeight="251696128" behindDoc="0" locked="0" layoutInCell="1" allowOverlap="1" wp14:anchorId="1F67401D" wp14:editId="57135FDE">
                <wp:simplePos x="0" y="0"/>
                <wp:positionH relativeFrom="column">
                  <wp:posOffset>3748405</wp:posOffset>
                </wp:positionH>
                <wp:positionV relativeFrom="paragraph">
                  <wp:posOffset>2631440</wp:posOffset>
                </wp:positionV>
                <wp:extent cx="1508125" cy="1252220"/>
                <wp:effectExtent l="4445" t="4445" r="11430" b="19685"/>
                <wp:wrapNone/>
                <wp:docPr id="400" name="文本框 400"/>
                <wp:cNvGraphicFramePr/>
                <a:graphic xmlns:a="http://schemas.openxmlformats.org/drawingml/2006/main">
                  <a:graphicData uri="http://schemas.microsoft.com/office/word/2010/wordprocessingShape">
                    <wps:wsp>
                      <wps:cNvSpPr txBox="1"/>
                      <wps:spPr>
                        <a:xfrm>
                          <a:off x="4891405" y="3929380"/>
                          <a:ext cx="1508125" cy="12522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C630FB7" w14:textId="77777777" w:rsidR="009D12AF" w:rsidRDefault="00000000">
                            <w:pPr>
                              <w:rPr>
                                <w:sz w:val="21"/>
                                <w:szCs w:val="21"/>
                              </w:rPr>
                            </w:pPr>
                            <w:r>
                              <w:rPr>
                                <w:rFonts w:hint="eastAsia"/>
                                <w:sz w:val="21"/>
                                <w:szCs w:val="21"/>
                              </w:rPr>
                              <w:t>图例</w:t>
                            </w:r>
                          </w:p>
                          <w:p w14:paraId="6F5EAE74"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本项目位置</w:t>
                            </w:r>
                          </w:p>
                          <w:p w14:paraId="1E578337"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声环境评价范围</w:t>
                            </w:r>
                          </w:p>
                          <w:p w14:paraId="1E519E30"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土壤评价范围</w:t>
                            </w:r>
                          </w:p>
                          <w:p w14:paraId="3C2E5CAC" w14:textId="77777777" w:rsidR="009D12AF" w:rsidRDefault="009D12AF">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F67401D" id="文本框 400" o:spid="_x0000_s1062" type="#_x0000_t202" style="position:absolute;left:0;text-align:left;margin-left:295.15pt;margin-top:207.2pt;width:118.75pt;height:98.6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" fillcolor="white [3201]" strokeweight=".5pt">
                <v:textbox>
                  <w:txbxContent>
                    <w:p w14:paraId="2C630FB7" w14:textId="77777777" w:rsidR="009D12AF" w:rsidRDefault="00000000">
                      <w:pPr>
                        <w:rPr>
                          <w:sz w:val="21"/>
                          <w:szCs w:val="21"/>
                        </w:rPr>
                      </w:pPr>
                      <w:r>
                        <w:rPr>
                          <w:rFonts w:hint="eastAsia"/>
                          <w:sz w:val="21"/>
                          <w:szCs w:val="21"/>
                        </w:rPr>
                        <w:t>图例</w:t>
                      </w:r>
                    </w:p>
                    <w:p w14:paraId="6F5EAE74"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本项目位置</w:t>
                      </w:r>
                    </w:p>
                    <w:p w14:paraId="1E578337"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声环境评价范围</w:t>
                      </w:r>
                    </w:p>
                    <w:p w14:paraId="1E519E30" w14:textId="77777777" w:rsidR="009D12AF" w:rsidRDefault="00000000">
                      <w:pPr>
                        <w:ind w:firstLineChars="0" w:firstLine="0"/>
                        <w:rPr>
                          <w:sz w:val="21"/>
                          <w:szCs w:val="21"/>
                        </w:rPr>
                      </w:pPr>
                      <w:r>
                        <w:rPr>
                          <w:rFonts w:hint="eastAsia"/>
                          <w:sz w:val="21"/>
                          <w:szCs w:val="21"/>
                        </w:rPr>
                        <w:t xml:space="preserve">     </w:t>
                      </w:r>
                      <w:r>
                        <w:rPr>
                          <w:rFonts w:hint="eastAsia"/>
                          <w:sz w:val="21"/>
                          <w:szCs w:val="21"/>
                        </w:rPr>
                        <w:t>土壤评价范围</w:t>
                      </w:r>
                    </w:p>
                    <w:p w14:paraId="3C2E5CAC" w14:textId="77777777" w:rsidR="009D12AF" w:rsidRDefault="009D12AF">
                      <w:pPr>
                        <w:rPr>
                          <w:sz w:val="21"/>
                          <w:szCs w:val="21"/>
                        </w:rPr>
                      </w:pPr>
                    </w:p>
                  </w:txbxContent>
                </v:textbox>
              </v:shape>
            </w:pict>
          </mc:Fallback>
        </mc:AlternateContent>
      </w:r>
      <w:r>
        <w:rPr>
          <w:noProof/>
        </w:rPr>
        <mc:AlternateContent>
          <mc:Choice Requires="wps">
            <w:drawing>
              <wp:anchor distT="0" distB="0" distL="114300" distR="114300" simplePos="0" relativeHeight="251695104" behindDoc="0" locked="0" layoutInCell="1" allowOverlap="1" wp14:anchorId="1D519E7E" wp14:editId="5F3A0F41">
                <wp:simplePos x="0" y="0"/>
                <wp:positionH relativeFrom="column">
                  <wp:posOffset>4272915</wp:posOffset>
                </wp:positionH>
                <wp:positionV relativeFrom="paragraph">
                  <wp:posOffset>84455</wp:posOffset>
                </wp:positionV>
                <wp:extent cx="983615" cy="920115"/>
                <wp:effectExtent l="4445" t="4445" r="21590" b="8890"/>
                <wp:wrapNone/>
                <wp:docPr id="398" name="文本框 398"/>
                <wp:cNvGraphicFramePr/>
                <a:graphic xmlns:a="http://schemas.openxmlformats.org/drawingml/2006/main">
                  <a:graphicData uri="http://schemas.microsoft.com/office/word/2010/wordprocessingShape">
                    <wps:wsp>
                      <wps:cNvSpPr txBox="1"/>
                      <wps:spPr>
                        <a:xfrm>
                          <a:off x="5439410" y="1327150"/>
                          <a:ext cx="983615" cy="9201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14228B0" w14:textId="77777777" w:rsidR="009D12AF" w:rsidRDefault="00000000">
                            <w:pPr>
                              <w:ind w:firstLineChars="0" w:firstLine="0"/>
                            </w:pPr>
                            <w:r>
                              <w:rPr>
                                <w:noProof/>
                              </w:rPr>
                              <w:drawing>
                                <wp:inline distT="0" distB="0" distL="114300" distR="114300" wp14:anchorId="4F6FE2A7" wp14:editId="12570B98">
                                  <wp:extent cx="785495" cy="672465"/>
                                  <wp:effectExtent l="0" t="0" r="14605" b="13335"/>
                                  <wp:docPr id="39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15"/>
                                          <pic:cNvPicPr>
                                            <a:picLocks noChangeAspect="1"/>
                                          </pic:cNvPicPr>
                                        </pic:nvPicPr>
                                        <pic:blipFill>
                                          <a:blip r:embed="rId415"/>
                                          <a:stretch>
                                            <a:fillRect/>
                                          </a:stretch>
                                        </pic:blipFill>
                                        <pic:spPr>
                                          <a:xfrm>
                                            <a:off x="0" y="0"/>
                                            <a:ext cx="785495" cy="6724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D519E7E" id="文本框 398" o:spid="_x0000_s1063" type="#_x0000_t202" style="position:absolute;left:0;text-align:left;margin-left:336.45pt;margin-top:6.65pt;width:77.45pt;height:72.4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" fillcolor="white [3201]" strokeweight=".5pt">
                <v:textbox>
                  <w:txbxContent>
                    <w:p w14:paraId="514228B0" w14:textId="77777777" w:rsidR="009D12AF" w:rsidRDefault="00000000">
                      <w:pPr>
                        <w:ind w:firstLineChars="0" w:firstLine="0"/>
                      </w:pPr>
                      <w:r>
                        <w:rPr>
                          <w:noProof/>
                        </w:rPr>
                        <w:drawing>
                          <wp:inline distT="0" distB="0" distL="114300" distR="114300" wp14:anchorId="4F6FE2A7" wp14:editId="12570B98">
                            <wp:extent cx="785495" cy="672465"/>
                            <wp:effectExtent l="0" t="0" r="14605" b="13335"/>
                            <wp:docPr id="39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15"/>
                                    <pic:cNvPicPr>
                                      <a:picLocks noChangeAspect="1"/>
                                    </pic:cNvPicPr>
                                  </pic:nvPicPr>
                                  <pic:blipFill>
                                    <a:blip r:embed="rId415"/>
                                    <a:stretch>
                                      <a:fillRect/>
                                    </a:stretch>
                                  </pic:blipFill>
                                  <pic:spPr>
                                    <a:xfrm>
                                      <a:off x="0" y="0"/>
                                      <a:ext cx="785495" cy="672465"/>
                                    </a:xfrm>
                                    <a:prstGeom prst="rect">
                                      <a:avLst/>
                                    </a:prstGeom>
                                    <a:noFill/>
                                    <a:ln>
                                      <a:noFill/>
                                    </a:ln>
                                  </pic:spPr>
                                </pic:pic>
                              </a:graphicData>
                            </a:graphic>
                          </wp:inline>
                        </w:drawing>
                      </w:r>
                    </w:p>
                  </w:txbxContent>
                </v:textbox>
              </v:shape>
            </w:pict>
          </mc:Fallback>
        </mc:AlternateContent>
      </w:r>
      <w:r>
        <w:rPr>
          <w:noProof/>
        </w:rPr>
        <w:drawing>
          <wp:inline distT="0" distB="0" distL="114300" distR="114300" wp14:anchorId="51681564" wp14:editId="2BF7F331">
            <wp:extent cx="5262245" cy="3806190"/>
            <wp:effectExtent l="0" t="0" r="14605" b="3810"/>
            <wp:docPr id="39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19"/>
                    <pic:cNvPicPr>
                      <a:picLocks noChangeAspect="1"/>
                    </pic:cNvPicPr>
                  </pic:nvPicPr>
                  <pic:blipFill>
                    <a:blip r:embed="rId448" cstate="screen">
                      <a:extLst>
                        <a:ext uri="{28A0092B-C50C-407E-A947-70E740481C1C}">
                          <a14:useLocalDpi xmlns:a14="http://schemas.microsoft.com/office/drawing/2010/main"/>
                        </a:ext>
                      </a:extLst>
                    </a:blip>
                    <a:stretch>
                      <a:fillRect/>
                    </a:stretch>
                  </pic:blipFill>
                  <pic:spPr>
                    <a:xfrm>
                      <a:off x="0" y="0"/>
                      <a:ext cx="5262245" cy="3806190"/>
                    </a:xfrm>
                    <a:prstGeom prst="rect">
                      <a:avLst/>
                    </a:prstGeom>
                    <a:noFill/>
                    <a:ln>
                      <a:noFill/>
                    </a:ln>
                  </pic:spPr>
                </pic:pic>
              </a:graphicData>
            </a:graphic>
          </wp:inline>
        </w:drawing>
      </w:r>
    </w:p>
    <w:p w14:paraId="0F2536B8" w14:textId="77777777" w:rsidR="009D12AF" w:rsidRDefault="00000000">
      <w:pPr>
        <w:pStyle w:val="1"/>
      </w:pPr>
      <w:bookmarkStart w:id="575" w:name="_Toc25755"/>
      <w:r>
        <w:rPr>
          <w:rFonts w:hint="eastAsia"/>
        </w:rPr>
        <w:lastRenderedPageBreak/>
        <w:t>附图</w:t>
      </w:r>
      <w:r>
        <w:rPr>
          <w:rFonts w:hint="eastAsia"/>
        </w:rPr>
        <w:t>33</w:t>
      </w:r>
      <w:r>
        <w:rPr>
          <w:rFonts w:hint="eastAsia"/>
        </w:rPr>
        <w:t>本项目地下水和地表水评价范围图</w:t>
      </w:r>
      <w:bookmarkEnd w:id="575"/>
    </w:p>
    <w:p w14:paraId="21B0DF00" w14:textId="77777777" w:rsidR="009D12AF" w:rsidRDefault="00000000">
      <w:pPr>
        <w:ind w:firstLineChars="0" w:firstLine="0"/>
        <w:rPr>
          <w:b/>
          <w:bCs/>
        </w:rPr>
      </w:pPr>
      <w:r>
        <w:rPr>
          <w:rFonts w:hint="eastAsia"/>
          <w:b/>
          <w:bCs/>
        </w:rPr>
        <w:t>群力水库</w:t>
      </w:r>
    </w:p>
    <w:p w14:paraId="1967D8A5" w14:textId="77777777" w:rsidR="009D12AF" w:rsidRDefault="00000000">
      <w:pPr>
        <w:ind w:firstLineChars="0" w:firstLine="0"/>
      </w:pPr>
      <w:r>
        <w:rPr>
          <w:noProof/>
        </w:rPr>
        <mc:AlternateContent>
          <mc:Choice Requires="wps">
            <w:drawing>
              <wp:anchor distT="0" distB="0" distL="114300" distR="114300" simplePos="0" relativeHeight="251703296" behindDoc="0" locked="0" layoutInCell="1" allowOverlap="1" wp14:anchorId="04F0C9FE" wp14:editId="2481CD79">
                <wp:simplePos x="0" y="0"/>
                <wp:positionH relativeFrom="column">
                  <wp:posOffset>48895</wp:posOffset>
                </wp:positionH>
                <wp:positionV relativeFrom="paragraph">
                  <wp:posOffset>4143375</wp:posOffset>
                </wp:positionV>
                <wp:extent cx="328930" cy="182880"/>
                <wp:effectExtent l="6350" t="6350" r="7620" b="20320"/>
                <wp:wrapNone/>
                <wp:docPr id="428" name="矩形 428"/>
                <wp:cNvGraphicFramePr/>
                <a:graphic xmlns:a="http://schemas.openxmlformats.org/drawingml/2006/main">
                  <a:graphicData uri="http://schemas.microsoft.com/office/word/2010/wordprocessingShape">
                    <wps:wsp>
                      <wps:cNvSpPr/>
                      <wps:spPr>
                        <a:xfrm>
                          <a:off x="1191895" y="5676265"/>
                          <a:ext cx="328930" cy="182880"/>
                        </a:xfrm>
                        <a:prstGeom prst="rect">
                          <a:avLst/>
                        </a:prstGeom>
                        <a:noFill/>
                        <a:ln>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B360F3D" id="矩形 428" o:spid="_x0000_s1026" style="position:absolute;margin-left:3.85pt;margin-top:326.25pt;width:25.9pt;height:14.4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" filled="f" strokecolor="#92d050" strokeweight="1pt"/>
            </w:pict>
          </mc:Fallback>
        </mc:AlternateContent>
      </w:r>
      <w:r>
        <w:rPr>
          <w:noProof/>
        </w:rPr>
        <mc:AlternateContent>
          <mc:Choice Requires="wps">
            <w:drawing>
              <wp:anchor distT="0" distB="0" distL="114300" distR="114300" simplePos="0" relativeHeight="251704320" behindDoc="0" locked="0" layoutInCell="1" allowOverlap="1" wp14:anchorId="22B45747" wp14:editId="7B84FABB">
                <wp:simplePos x="0" y="0"/>
                <wp:positionH relativeFrom="column">
                  <wp:posOffset>40005</wp:posOffset>
                </wp:positionH>
                <wp:positionV relativeFrom="paragraph">
                  <wp:posOffset>4482465</wp:posOffset>
                </wp:positionV>
                <wp:extent cx="337820" cy="181610"/>
                <wp:effectExtent l="6350" t="6350" r="17780" b="21590"/>
                <wp:wrapNone/>
                <wp:docPr id="429" name="矩形 429"/>
                <wp:cNvGraphicFramePr/>
                <a:graphic xmlns:a="http://schemas.openxmlformats.org/drawingml/2006/main">
                  <a:graphicData uri="http://schemas.microsoft.com/office/word/2010/wordprocessingShape">
                    <wps:wsp>
                      <wps:cNvSpPr/>
                      <wps:spPr>
                        <a:xfrm>
                          <a:off x="1174750" y="5970905"/>
                          <a:ext cx="337820" cy="18161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935BD5B" id="矩形 429" o:spid="_x0000_s1026" style="position:absolute;margin-left:3.15pt;margin-top:352.95pt;width:26.6pt;height:14.3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" filled="f" strokecolor="red" strokeweight="1pt"/>
            </w:pict>
          </mc:Fallback>
        </mc:AlternateContent>
      </w:r>
      <w:r>
        <w:rPr>
          <w:noProof/>
        </w:rPr>
        <mc:AlternateContent>
          <mc:Choice Requires="wps">
            <w:drawing>
              <wp:anchor distT="0" distB="0" distL="114300" distR="114300" simplePos="0" relativeHeight="251702272" behindDoc="0" locked="0" layoutInCell="1" allowOverlap="1" wp14:anchorId="3793E420" wp14:editId="3FA373C5">
                <wp:simplePos x="0" y="0"/>
                <wp:positionH relativeFrom="column">
                  <wp:posOffset>-1905</wp:posOffset>
                </wp:positionH>
                <wp:positionV relativeFrom="paragraph">
                  <wp:posOffset>3772535</wp:posOffset>
                </wp:positionV>
                <wp:extent cx="1652270" cy="934720"/>
                <wp:effectExtent l="4445" t="4445" r="19685" b="13335"/>
                <wp:wrapNone/>
                <wp:docPr id="427" name="文本框 427"/>
                <wp:cNvGraphicFramePr/>
                <a:graphic xmlns:a="http://schemas.openxmlformats.org/drawingml/2006/main">
                  <a:graphicData uri="http://schemas.microsoft.com/office/word/2010/wordprocessingShape">
                    <wps:wsp>
                      <wps:cNvSpPr txBox="1"/>
                      <wps:spPr>
                        <a:xfrm>
                          <a:off x="1174750" y="5278120"/>
                          <a:ext cx="1652270" cy="9347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76B0030" w14:textId="77777777" w:rsidR="009D12AF" w:rsidRDefault="00000000">
                            <w:pPr>
                              <w:ind w:firstLine="480"/>
                            </w:pPr>
                            <w:r>
                              <w:rPr>
                                <w:rFonts w:hint="eastAsia"/>
                              </w:rPr>
                              <w:t>图例</w:t>
                            </w:r>
                          </w:p>
                          <w:p w14:paraId="6EF31876" w14:textId="77777777" w:rsidR="009D12AF" w:rsidRDefault="00000000">
                            <w:pPr>
                              <w:ind w:firstLine="480"/>
                            </w:pPr>
                            <w:r>
                              <w:rPr>
                                <w:rFonts w:hint="eastAsia"/>
                              </w:rPr>
                              <w:t>地下水评价范围</w:t>
                            </w:r>
                          </w:p>
                          <w:p w14:paraId="7EFE5DB3" w14:textId="77777777" w:rsidR="009D12AF" w:rsidRDefault="00000000">
                            <w:pPr>
                              <w:ind w:firstLine="480"/>
                            </w:pPr>
                            <w:r>
                              <w:rPr>
                                <w:rFonts w:hint="eastAsia"/>
                              </w:rPr>
                              <w:t>地表水评价范围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793E420" id="文本框 427" o:spid="_x0000_s1064" type="#_x0000_t202" style="position:absolute;left:0;text-align:left;margin-left:-.15pt;margin-top:297.05pt;width:130.1pt;height:73.6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" fillcolor="white [3201]" strokeweight=".5pt">
                <v:textbox>
                  <w:txbxContent>
                    <w:p w14:paraId="476B0030" w14:textId="77777777" w:rsidR="009D12AF" w:rsidRDefault="00000000">
                      <w:pPr>
                        <w:ind w:firstLine="480"/>
                      </w:pPr>
                      <w:r>
                        <w:rPr>
                          <w:rFonts w:hint="eastAsia"/>
                        </w:rPr>
                        <w:t>图例</w:t>
                      </w:r>
                    </w:p>
                    <w:p w14:paraId="6EF31876" w14:textId="77777777" w:rsidR="009D12AF" w:rsidRDefault="00000000">
                      <w:pPr>
                        <w:ind w:firstLine="480"/>
                      </w:pPr>
                      <w:r>
                        <w:rPr>
                          <w:rFonts w:hint="eastAsia"/>
                        </w:rPr>
                        <w:t>地下水评价范围</w:t>
                      </w:r>
                    </w:p>
                    <w:p w14:paraId="7EFE5DB3" w14:textId="77777777" w:rsidR="009D12AF" w:rsidRDefault="00000000">
                      <w:pPr>
                        <w:ind w:firstLine="480"/>
                      </w:pPr>
                      <w:r>
                        <w:rPr>
                          <w:rFonts w:hint="eastAsia"/>
                        </w:rPr>
                        <w:t>地表水评价范围</w:t>
                      </w:r>
                    </w:p>
                  </w:txbxContent>
                </v:textbox>
              </v:shape>
            </w:pict>
          </mc:Fallback>
        </mc:AlternateContent>
      </w:r>
      <w:r>
        <w:rPr>
          <w:noProof/>
        </w:rPr>
        <mc:AlternateContent>
          <mc:Choice Requires="wps">
            <w:drawing>
              <wp:anchor distT="0" distB="0" distL="114300" distR="114300" simplePos="0" relativeHeight="251700224" behindDoc="0" locked="0" layoutInCell="1" allowOverlap="1" wp14:anchorId="7C9D25BA" wp14:editId="33BD569E">
                <wp:simplePos x="0" y="0"/>
                <wp:positionH relativeFrom="column">
                  <wp:posOffset>4510405</wp:posOffset>
                </wp:positionH>
                <wp:positionV relativeFrom="paragraph">
                  <wp:posOffset>29845</wp:posOffset>
                </wp:positionV>
                <wp:extent cx="897255" cy="802005"/>
                <wp:effectExtent l="4445" t="4445" r="12700" b="12700"/>
                <wp:wrapNone/>
                <wp:docPr id="405" name="文本框 405"/>
                <wp:cNvGraphicFramePr/>
                <a:graphic xmlns:a="http://schemas.openxmlformats.org/drawingml/2006/main">
                  <a:graphicData uri="http://schemas.microsoft.com/office/word/2010/wordprocessingShape">
                    <wps:wsp>
                      <wps:cNvSpPr txBox="1"/>
                      <wps:spPr>
                        <a:xfrm>
                          <a:off x="5653405" y="2141855"/>
                          <a:ext cx="897255" cy="8020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5BDCF7D" w14:textId="77777777" w:rsidR="009D12AF" w:rsidRDefault="00000000">
                            <w:pPr>
                              <w:ind w:firstLineChars="0" w:firstLine="0"/>
                            </w:pPr>
                            <w:r>
                              <w:rPr>
                                <w:noProof/>
                              </w:rPr>
                              <w:drawing>
                                <wp:inline distT="0" distB="0" distL="114300" distR="114300" wp14:anchorId="3064816A" wp14:editId="1AC58605">
                                  <wp:extent cx="785495" cy="672465"/>
                                  <wp:effectExtent l="0" t="0" r="14605" b="13335"/>
                                  <wp:docPr id="40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15"/>
                                          <pic:cNvPicPr>
                                            <a:picLocks noChangeAspect="1"/>
                                          </pic:cNvPicPr>
                                        </pic:nvPicPr>
                                        <pic:blipFill>
                                          <a:blip r:embed="rId415"/>
                                          <a:stretch>
                                            <a:fillRect/>
                                          </a:stretch>
                                        </pic:blipFill>
                                        <pic:spPr>
                                          <a:xfrm>
                                            <a:off x="0" y="0"/>
                                            <a:ext cx="785495" cy="6724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C9D25BA" id="文本框 405" o:spid="_x0000_s1065" type="#_x0000_t202" style="position:absolute;left:0;text-align:left;margin-left:355.15pt;margin-top:2.35pt;width:70.65pt;height:63.1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" fillcolor="white [3201]" strokeweight=".5pt">
                <v:textbox>
                  <w:txbxContent>
                    <w:p w14:paraId="45BDCF7D" w14:textId="77777777" w:rsidR="009D12AF" w:rsidRDefault="00000000">
                      <w:pPr>
                        <w:ind w:firstLineChars="0" w:firstLine="0"/>
                      </w:pPr>
                      <w:r>
                        <w:rPr>
                          <w:noProof/>
                        </w:rPr>
                        <w:drawing>
                          <wp:inline distT="0" distB="0" distL="114300" distR="114300" wp14:anchorId="3064816A" wp14:editId="1AC58605">
                            <wp:extent cx="785495" cy="672465"/>
                            <wp:effectExtent l="0" t="0" r="14605" b="13335"/>
                            <wp:docPr id="40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15"/>
                                    <pic:cNvPicPr>
                                      <a:picLocks noChangeAspect="1"/>
                                    </pic:cNvPicPr>
                                  </pic:nvPicPr>
                                  <pic:blipFill>
                                    <a:blip r:embed="rId415"/>
                                    <a:stretch>
                                      <a:fillRect/>
                                    </a:stretch>
                                  </pic:blipFill>
                                  <pic:spPr>
                                    <a:xfrm>
                                      <a:off x="0" y="0"/>
                                      <a:ext cx="785495" cy="672465"/>
                                    </a:xfrm>
                                    <a:prstGeom prst="rect">
                                      <a:avLst/>
                                    </a:prstGeom>
                                    <a:noFill/>
                                    <a:ln>
                                      <a:noFill/>
                                    </a:ln>
                                  </pic:spPr>
                                </pic:pic>
                              </a:graphicData>
                            </a:graphic>
                          </wp:inline>
                        </w:drawing>
                      </w:r>
                    </w:p>
                  </w:txbxContent>
                </v:textbox>
              </v:shape>
            </w:pict>
          </mc:Fallback>
        </mc:AlternateContent>
      </w:r>
      <w:r>
        <w:rPr>
          <w:noProof/>
        </w:rPr>
        <w:drawing>
          <wp:inline distT="0" distB="0" distL="114300" distR="114300" wp14:anchorId="01B0C398" wp14:editId="754C49AD">
            <wp:extent cx="5452110" cy="4737100"/>
            <wp:effectExtent l="0" t="0" r="15240" b="6350"/>
            <wp:docPr id="4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5"/>
                    <pic:cNvPicPr>
                      <a:picLocks noChangeAspect="1"/>
                    </pic:cNvPicPr>
                  </pic:nvPicPr>
                  <pic:blipFill>
                    <a:blip r:embed="rId449"/>
                    <a:stretch>
                      <a:fillRect/>
                    </a:stretch>
                  </pic:blipFill>
                  <pic:spPr>
                    <a:xfrm>
                      <a:off x="0" y="0"/>
                      <a:ext cx="5452110" cy="4737100"/>
                    </a:xfrm>
                    <a:prstGeom prst="rect">
                      <a:avLst/>
                    </a:prstGeom>
                    <a:noFill/>
                    <a:ln>
                      <a:noFill/>
                    </a:ln>
                  </pic:spPr>
                </pic:pic>
              </a:graphicData>
            </a:graphic>
          </wp:inline>
        </w:drawing>
      </w:r>
    </w:p>
    <w:p w14:paraId="3FEEFD05" w14:textId="77777777" w:rsidR="009D12AF" w:rsidRDefault="00000000">
      <w:pPr>
        <w:ind w:firstLineChars="0" w:firstLine="0"/>
      </w:pPr>
      <w:r>
        <w:rPr>
          <w:rFonts w:hint="eastAsia"/>
        </w:rPr>
        <w:t>注：地表水评价范围为整个水库</w:t>
      </w:r>
    </w:p>
    <w:p w14:paraId="4E6D82CE" w14:textId="77777777" w:rsidR="009D12AF" w:rsidRDefault="009D12AF">
      <w:pPr>
        <w:ind w:firstLineChars="0" w:firstLine="0"/>
        <w:rPr>
          <w:b/>
          <w:bCs/>
        </w:rPr>
      </w:pPr>
    </w:p>
    <w:p w14:paraId="5A3FF871" w14:textId="77777777" w:rsidR="009D12AF" w:rsidRDefault="009D12AF">
      <w:pPr>
        <w:ind w:firstLineChars="0" w:firstLine="0"/>
        <w:rPr>
          <w:b/>
          <w:bCs/>
        </w:rPr>
      </w:pPr>
    </w:p>
    <w:p w14:paraId="632AFE8F" w14:textId="77777777" w:rsidR="009D12AF" w:rsidRDefault="009D12AF">
      <w:pPr>
        <w:ind w:firstLineChars="0" w:firstLine="0"/>
        <w:rPr>
          <w:b/>
          <w:bCs/>
        </w:rPr>
      </w:pPr>
    </w:p>
    <w:p w14:paraId="0374A94A" w14:textId="77777777" w:rsidR="009D12AF" w:rsidRDefault="009D12AF">
      <w:pPr>
        <w:ind w:firstLineChars="0" w:firstLine="0"/>
        <w:rPr>
          <w:b/>
          <w:bCs/>
        </w:rPr>
      </w:pPr>
    </w:p>
    <w:p w14:paraId="2D8F4098" w14:textId="77777777" w:rsidR="009D12AF" w:rsidRDefault="009D12AF">
      <w:pPr>
        <w:ind w:firstLineChars="0" w:firstLine="0"/>
        <w:rPr>
          <w:b/>
          <w:bCs/>
        </w:rPr>
      </w:pPr>
    </w:p>
    <w:p w14:paraId="6BADD059" w14:textId="77777777" w:rsidR="009D12AF" w:rsidRDefault="009D12AF">
      <w:pPr>
        <w:ind w:firstLineChars="0" w:firstLine="0"/>
        <w:rPr>
          <w:b/>
          <w:bCs/>
        </w:rPr>
      </w:pPr>
    </w:p>
    <w:p w14:paraId="061ECAF7" w14:textId="77777777" w:rsidR="009D12AF" w:rsidRDefault="009D12AF">
      <w:pPr>
        <w:ind w:firstLineChars="0" w:firstLine="0"/>
        <w:rPr>
          <w:b/>
          <w:bCs/>
        </w:rPr>
      </w:pPr>
    </w:p>
    <w:p w14:paraId="665D171B" w14:textId="77777777" w:rsidR="009D12AF" w:rsidRDefault="009D12AF">
      <w:pPr>
        <w:ind w:firstLineChars="0" w:firstLine="0"/>
        <w:rPr>
          <w:b/>
          <w:bCs/>
        </w:rPr>
      </w:pPr>
    </w:p>
    <w:p w14:paraId="1C4C5B8D" w14:textId="77777777" w:rsidR="009D12AF" w:rsidRDefault="00000000">
      <w:pPr>
        <w:ind w:firstLineChars="0" w:firstLine="0"/>
        <w:rPr>
          <w:b/>
          <w:bCs/>
        </w:rPr>
      </w:pPr>
      <w:r>
        <w:rPr>
          <w:rFonts w:hint="eastAsia"/>
          <w:b/>
          <w:bCs/>
        </w:rPr>
        <w:lastRenderedPageBreak/>
        <w:t>向阳水电站前池</w:t>
      </w:r>
    </w:p>
    <w:p w14:paraId="3860E38D" w14:textId="77777777" w:rsidR="009D12AF" w:rsidRDefault="00000000">
      <w:pPr>
        <w:ind w:firstLineChars="0" w:firstLine="0"/>
      </w:pPr>
      <w:r>
        <w:rPr>
          <w:noProof/>
        </w:rPr>
        <mc:AlternateContent>
          <mc:Choice Requires="wps">
            <w:drawing>
              <wp:anchor distT="0" distB="0" distL="114300" distR="114300" simplePos="0" relativeHeight="251707392" behindDoc="0" locked="0" layoutInCell="1" allowOverlap="1" wp14:anchorId="0AB3592E" wp14:editId="1D70F056">
                <wp:simplePos x="0" y="0"/>
                <wp:positionH relativeFrom="column">
                  <wp:posOffset>3910965</wp:posOffset>
                </wp:positionH>
                <wp:positionV relativeFrom="paragraph">
                  <wp:posOffset>3873500</wp:posOffset>
                </wp:positionV>
                <wp:extent cx="337820" cy="190500"/>
                <wp:effectExtent l="6350" t="6350" r="17780" b="12700"/>
                <wp:wrapNone/>
                <wp:docPr id="433" name="矩形 433"/>
                <wp:cNvGraphicFramePr/>
                <a:graphic xmlns:a="http://schemas.openxmlformats.org/drawingml/2006/main">
                  <a:graphicData uri="http://schemas.microsoft.com/office/word/2010/wordprocessingShape">
                    <wps:wsp>
                      <wps:cNvSpPr/>
                      <wps:spPr>
                        <a:xfrm>
                          <a:off x="4837430" y="5033645"/>
                          <a:ext cx="337820" cy="19050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54D86DD" id="矩形 433" o:spid="_x0000_s1026" style="position:absolute;margin-left:307.95pt;margin-top:305pt;width:26.6pt;height:1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" filled="f" strokecolor="red" strokeweight="1pt"/>
            </w:pict>
          </mc:Fallback>
        </mc:AlternateContent>
      </w:r>
      <w:r>
        <w:rPr>
          <w:noProof/>
        </w:rPr>
        <mc:AlternateContent>
          <mc:Choice Requires="wps">
            <w:drawing>
              <wp:anchor distT="0" distB="0" distL="114300" distR="114300" simplePos="0" relativeHeight="251706368" behindDoc="0" locked="0" layoutInCell="1" allowOverlap="1" wp14:anchorId="10C0D6AE" wp14:editId="50F896F8">
                <wp:simplePos x="0" y="0"/>
                <wp:positionH relativeFrom="column">
                  <wp:posOffset>3919220</wp:posOffset>
                </wp:positionH>
                <wp:positionV relativeFrom="paragraph">
                  <wp:posOffset>3597275</wp:posOffset>
                </wp:positionV>
                <wp:extent cx="328930" cy="182880"/>
                <wp:effectExtent l="6350" t="6350" r="7620" b="20320"/>
                <wp:wrapNone/>
                <wp:docPr id="432" name="矩形 432"/>
                <wp:cNvGraphicFramePr/>
                <a:graphic xmlns:a="http://schemas.openxmlformats.org/drawingml/2006/main">
                  <a:graphicData uri="http://schemas.microsoft.com/office/word/2010/wordprocessingShape">
                    <wps:wsp>
                      <wps:cNvSpPr/>
                      <wps:spPr>
                        <a:xfrm>
                          <a:off x="0" y="0"/>
                          <a:ext cx="328930" cy="182880"/>
                        </a:xfrm>
                        <a:prstGeom prst="rect">
                          <a:avLst/>
                        </a:prstGeom>
                        <a:noFill/>
                        <a:ln>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67EB912" id="矩形 432" o:spid="_x0000_s1026" style="position:absolute;margin-left:308.6pt;margin-top:283.25pt;width:25.9pt;height:14.4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" filled="f" strokecolor="#92d050" strokeweight="1pt"/>
            </w:pict>
          </mc:Fallback>
        </mc:AlternateContent>
      </w:r>
      <w:r>
        <w:rPr>
          <w:noProof/>
        </w:rPr>
        <mc:AlternateContent>
          <mc:Choice Requires="wps">
            <w:drawing>
              <wp:anchor distT="0" distB="0" distL="114300" distR="114300" simplePos="0" relativeHeight="251705344" behindDoc="0" locked="0" layoutInCell="1" allowOverlap="1" wp14:anchorId="6BC4860D" wp14:editId="6D579861">
                <wp:simplePos x="0" y="0"/>
                <wp:positionH relativeFrom="column">
                  <wp:posOffset>3879215</wp:posOffset>
                </wp:positionH>
                <wp:positionV relativeFrom="paragraph">
                  <wp:posOffset>3200400</wp:posOffset>
                </wp:positionV>
                <wp:extent cx="1592580" cy="900430"/>
                <wp:effectExtent l="4445" t="4445" r="22225" b="9525"/>
                <wp:wrapNone/>
                <wp:docPr id="431" name="文本框 431"/>
                <wp:cNvGraphicFramePr/>
                <a:graphic xmlns:a="http://schemas.openxmlformats.org/drawingml/2006/main">
                  <a:graphicData uri="http://schemas.microsoft.com/office/word/2010/wordprocessingShape">
                    <wps:wsp>
                      <wps:cNvSpPr txBox="1"/>
                      <wps:spPr>
                        <a:xfrm>
                          <a:off x="0" y="0"/>
                          <a:ext cx="1592580" cy="9004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D17736F" w14:textId="77777777" w:rsidR="009D12AF" w:rsidRDefault="00000000">
                            <w:pPr>
                              <w:ind w:firstLine="480"/>
                            </w:pPr>
                            <w:r>
                              <w:rPr>
                                <w:rFonts w:hint="eastAsia"/>
                              </w:rPr>
                              <w:t>图例</w:t>
                            </w:r>
                          </w:p>
                          <w:p w14:paraId="07B45633" w14:textId="77777777" w:rsidR="009D12AF" w:rsidRDefault="00000000">
                            <w:pPr>
                              <w:ind w:firstLine="480"/>
                            </w:pPr>
                            <w:r>
                              <w:rPr>
                                <w:rFonts w:hint="eastAsia"/>
                              </w:rPr>
                              <w:t>地下水评价范围</w:t>
                            </w:r>
                          </w:p>
                          <w:p w14:paraId="2C5B9328" w14:textId="77777777" w:rsidR="009D12AF" w:rsidRDefault="00000000">
                            <w:pPr>
                              <w:ind w:firstLine="480"/>
                            </w:pPr>
                            <w:r>
                              <w:rPr>
                                <w:rFonts w:hint="eastAsia"/>
                              </w:rPr>
                              <w:t>地表水评价范围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BC4860D" id="文本框 431" o:spid="_x0000_s1066" type="#_x0000_t202" style="position:absolute;left:0;text-align:left;margin-left:305.45pt;margin-top:252pt;width:125.4pt;height:70.9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" fillcolor="white [3201]" strokeweight=".5pt">
                <v:textbox>
                  <w:txbxContent>
                    <w:p w14:paraId="7D17736F" w14:textId="77777777" w:rsidR="009D12AF" w:rsidRDefault="00000000">
                      <w:pPr>
                        <w:ind w:firstLine="480"/>
                      </w:pPr>
                      <w:r>
                        <w:rPr>
                          <w:rFonts w:hint="eastAsia"/>
                        </w:rPr>
                        <w:t>图例</w:t>
                      </w:r>
                    </w:p>
                    <w:p w14:paraId="07B45633" w14:textId="77777777" w:rsidR="009D12AF" w:rsidRDefault="00000000">
                      <w:pPr>
                        <w:ind w:firstLine="480"/>
                      </w:pPr>
                      <w:r>
                        <w:rPr>
                          <w:rFonts w:hint="eastAsia"/>
                        </w:rPr>
                        <w:t>地下水评价范围</w:t>
                      </w:r>
                    </w:p>
                    <w:p w14:paraId="2C5B9328" w14:textId="77777777" w:rsidR="009D12AF" w:rsidRDefault="00000000">
                      <w:pPr>
                        <w:ind w:firstLine="480"/>
                      </w:pPr>
                      <w:r>
                        <w:rPr>
                          <w:rFonts w:hint="eastAsia"/>
                        </w:rPr>
                        <w:t>地表水评价范围</w:t>
                      </w:r>
                    </w:p>
                  </w:txbxContent>
                </v:textbox>
              </v:shape>
            </w:pict>
          </mc:Fallback>
        </mc:AlternateContent>
      </w:r>
      <w:r>
        <w:rPr>
          <w:noProof/>
        </w:rPr>
        <mc:AlternateContent>
          <mc:Choice Requires="wps">
            <w:drawing>
              <wp:anchor distT="0" distB="0" distL="114300" distR="114300" simplePos="0" relativeHeight="251701248" behindDoc="0" locked="0" layoutInCell="1" allowOverlap="1" wp14:anchorId="547DC496" wp14:editId="77EB985D">
                <wp:simplePos x="0" y="0"/>
                <wp:positionH relativeFrom="column">
                  <wp:posOffset>4645660</wp:posOffset>
                </wp:positionH>
                <wp:positionV relativeFrom="paragraph">
                  <wp:posOffset>74930</wp:posOffset>
                </wp:positionV>
                <wp:extent cx="809625" cy="777875"/>
                <wp:effectExtent l="4445" t="4445" r="5080" b="17780"/>
                <wp:wrapNone/>
                <wp:docPr id="408" name="文本框 408"/>
                <wp:cNvGraphicFramePr/>
                <a:graphic xmlns:a="http://schemas.openxmlformats.org/drawingml/2006/main">
                  <a:graphicData uri="http://schemas.microsoft.com/office/word/2010/wordprocessingShape">
                    <wps:wsp>
                      <wps:cNvSpPr txBox="1"/>
                      <wps:spPr>
                        <a:xfrm>
                          <a:off x="5550535" y="6327775"/>
                          <a:ext cx="809625" cy="7778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8C758D0" w14:textId="77777777" w:rsidR="009D12AF" w:rsidRDefault="00000000">
                            <w:pPr>
                              <w:ind w:firstLineChars="0" w:firstLine="0"/>
                            </w:pPr>
                            <w:r>
                              <w:rPr>
                                <w:noProof/>
                              </w:rPr>
                              <w:drawing>
                                <wp:inline distT="0" distB="0" distL="114300" distR="114300" wp14:anchorId="26B31E5F" wp14:editId="40A0F0F6">
                                  <wp:extent cx="785495" cy="672465"/>
                                  <wp:effectExtent l="0" t="0" r="14605" b="13335"/>
                                  <wp:docPr id="40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15"/>
                                          <pic:cNvPicPr>
                                            <a:picLocks noChangeAspect="1"/>
                                          </pic:cNvPicPr>
                                        </pic:nvPicPr>
                                        <pic:blipFill>
                                          <a:blip r:embed="rId415"/>
                                          <a:stretch>
                                            <a:fillRect/>
                                          </a:stretch>
                                        </pic:blipFill>
                                        <pic:spPr>
                                          <a:xfrm>
                                            <a:off x="0" y="0"/>
                                            <a:ext cx="785495" cy="6724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47DC496" id="文本框 408" o:spid="_x0000_s1067" type="#_x0000_t202" style="position:absolute;left:0;text-align:left;margin-left:365.8pt;margin-top:5.9pt;width:63.75pt;height:61.2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" fillcolor="white [3201]" strokeweight=".5pt">
                <v:textbox>
                  <w:txbxContent>
                    <w:p w14:paraId="58C758D0" w14:textId="77777777" w:rsidR="009D12AF" w:rsidRDefault="00000000">
                      <w:pPr>
                        <w:ind w:firstLineChars="0" w:firstLine="0"/>
                      </w:pPr>
                      <w:r>
                        <w:rPr>
                          <w:noProof/>
                        </w:rPr>
                        <w:drawing>
                          <wp:inline distT="0" distB="0" distL="114300" distR="114300" wp14:anchorId="26B31E5F" wp14:editId="40A0F0F6">
                            <wp:extent cx="785495" cy="672465"/>
                            <wp:effectExtent l="0" t="0" r="14605" b="13335"/>
                            <wp:docPr id="40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15"/>
                                    <pic:cNvPicPr>
                                      <a:picLocks noChangeAspect="1"/>
                                    </pic:cNvPicPr>
                                  </pic:nvPicPr>
                                  <pic:blipFill>
                                    <a:blip r:embed="rId415"/>
                                    <a:stretch>
                                      <a:fillRect/>
                                    </a:stretch>
                                  </pic:blipFill>
                                  <pic:spPr>
                                    <a:xfrm>
                                      <a:off x="0" y="0"/>
                                      <a:ext cx="785495" cy="672465"/>
                                    </a:xfrm>
                                    <a:prstGeom prst="rect">
                                      <a:avLst/>
                                    </a:prstGeom>
                                    <a:noFill/>
                                    <a:ln>
                                      <a:noFill/>
                                    </a:ln>
                                  </pic:spPr>
                                </pic:pic>
                              </a:graphicData>
                            </a:graphic>
                          </wp:inline>
                        </w:drawing>
                      </w:r>
                    </w:p>
                  </w:txbxContent>
                </v:textbox>
              </v:shape>
            </w:pict>
          </mc:Fallback>
        </mc:AlternateContent>
      </w:r>
      <w:r>
        <w:rPr>
          <w:noProof/>
        </w:rPr>
        <w:drawing>
          <wp:inline distT="0" distB="0" distL="114300" distR="114300" wp14:anchorId="24411AE1" wp14:editId="1AA0F587">
            <wp:extent cx="5478145" cy="4062730"/>
            <wp:effectExtent l="0" t="0" r="8255" b="13970"/>
            <wp:docPr id="4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6"/>
                    <pic:cNvPicPr>
                      <a:picLocks noChangeAspect="1"/>
                    </pic:cNvPicPr>
                  </pic:nvPicPr>
                  <pic:blipFill>
                    <a:blip r:embed="rId450" cstate="screen">
                      <a:extLst>
                        <a:ext uri="{28A0092B-C50C-407E-A947-70E740481C1C}">
                          <a14:useLocalDpi xmlns:a14="http://schemas.microsoft.com/office/drawing/2010/main"/>
                        </a:ext>
                      </a:extLst>
                    </a:blip>
                    <a:stretch>
                      <a:fillRect/>
                    </a:stretch>
                  </pic:blipFill>
                  <pic:spPr>
                    <a:xfrm>
                      <a:off x="0" y="0"/>
                      <a:ext cx="5478145" cy="4062730"/>
                    </a:xfrm>
                    <a:prstGeom prst="rect">
                      <a:avLst/>
                    </a:prstGeom>
                    <a:noFill/>
                    <a:ln>
                      <a:noFill/>
                    </a:ln>
                  </pic:spPr>
                </pic:pic>
              </a:graphicData>
            </a:graphic>
          </wp:inline>
        </w:drawing>
      </w:r>
    </w:p>
    <w:p w14:paraId="78065BF4" w14:textId="77777777" w:rsidR="009D12AF" w:rsidRDefault="00000000">
      <w:pPr>
        <w:ind w:firstLineChars="0" w:firstLine="0"/>
      </w:pPr>
      <w:r>
        <w:rPr>
          <w:rFonts w:hint="eastAsia"/>
        </w:rPr>
        <w:t>注：地表水评价范围为整个水库。</w:t>
      </w:r>
    </w:p>
    <w:p w14:paraId="2702A7A3" w14:textId="77777777" w:rsidR="009D12AF" w:rsidRDefault="00000000">
      <w:pPr>
        <w:ind w:firstLineChars="0" w:firstLine="0"/>
        <w:rPr>
          <w:b/>
          <w:bCs/>
        </w:rPr>
      </w:pPr>
      <w:r>
        <w:rPr>
          <w:rFonts w:hint="eastAsia"/>
          <w:b/>
          <w:bCs/>
        </w:rPr>
        <w:t>新安晒水池</w:t>
      </w:r>
    </w:p>
    <w:p w14:paraId="2BE5E5C4" w14:textId="77777777" w:rsidR="009D12AF" w:rsidRDefault="00000000">
      <w:pPr>
        <w:ind w:firstLineChars="0" w:firstLine="0"/>
      </w:pPr>
      <w:r>
        <w:rPr>
          <w:noProof/>
        </w:rPr>
        <mc:AlternateContent>
          <mc:Choice Requires="wps">
            <w:drawing>
              <wp:anchor distT="0" distB="0" distL="114300" distR="114300" simplePos="0" relativeHeight="251710464" behindDoc="0" locked="0" layoutInCell="1" allowOverlap="1" wp14:anchorId="4C2358A7" wp14:editId="030CD836">
                <wp:simplePos x="0" y="0"/>
                <wp:positionH relativeFrom="column">
                  <wp:posOffset>48895</wp:posOffset>
                </wp:positionH>
                <wp:positionV relativeFrom="paragraph">
                  <wp:posOffset>2879725</wp:posOffset>
                </wp:positionV>
                <wp:extent cx="320675" cy="163830"/>
                <wp:effectExtent l="6350" t="6350" r="15875" b="20320"/>
                <wp:wrapNone/>
                <wp:docPr id="438" name="矩形 438"/>
                <wp:cNvGraphicFramePr/>
                <a:graphic xmlns:a="http://schemas.openxmlformats.org/drawingml/2006/main">
                  <a:graphicData uri="http://schemas.microsoft.com/office/word/2010/wordprocessingShape">
                    <wps:wsp>
                      <wps:cNvSpPr/>
                      <wps:spPr>
                        <a:xfrm>
                          <a:off x="1191895" y="8880475"/>
                          <a:ext cx="320675" cy="16383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CDAE6B4" id="矩形 438" o:spid="_x0000_s1026" style="position:absolute;margin-left:3.85pt;margin-top:226.75pt;width:25.25pt;height:12.9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" filled="f" strokecolor="red" strokeweight="1pt"/>
            </w:pict>
          </mc:Fallback>
        </mc:AlternateContent>
      </w:r>
      <w:r>
        <w:rPr>
          <w:noProof/>
        </w:rPr>
        <mc:AlternateContent>
          <mc:Choice Requires="wps">
            <w:drawing>
              <wp:anchor distT="0" distB="0" distL="114300" distR="114300" simplePos="0" relativeHeight="251709440" behindDoc="0" locked="0" layoutInCell="1" allowOverlap="1" wp14:anchorId="1ECF456B" wp14:editId="10A6DD63">
                <wp:simplePos x="0" y="0"/>
                <wp:positionH relativeFrom="column">
                  <wp:posOffset>-12065</wp:posOffset>
                </wp:positionH>
                <wp:positionV relativeFrom="paragraph">
                  <wp:posOffset>2467610</wp:posOffset>
                </wp:positionV>
                <wp:extent cx="1626870" cy="658495"/>
                <wp:effectExtent l="4445" t="5080" r="6985" b="22225"/>
                <wp:wrapNone/>
                <wp:docPr id="437" name="文本框 437"/>
                <wp:cNvGraphicFramePr/>
                <a:graphic xmlns:a="http://schemas.openxmlformats.org/drawingml/2006/main">
                  <a:graphicData uri="http://schemas.microsoft.com/office/word/2010/wordprocessingShape">
                    <wps:wsp>
                      <wps:cNvSpPr txBox="1"/>
                      <wps:spPr>
                        <a:xfrm>
                          <a:off x="0" y="0"/>
                          <a:ext cx="1626870" cy="6584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D34347F" w14:textId="77777777" w:rsidR="009D12AF" w:rsidRDefault="00000000">
                            <w:pPr>
                              <w:ind w:firstLine="480"/>
                            </w:pPr>
                            <w:r>
                              <w:rPr>
                                <w:rFonts w:hint="eastAsia"/>
                              </w:rPr>
                              <w:t>图例</w:t>
                            </w:r>
                          </w:p>
                          <w:p w14:paraId="26CEA190" w14:textId="77777777" w:rsidR="009D12AF" w:rsidRDefault="00000000">
                            <w:pPr>
                              <w:ind w:firstLine="480"/>
                            </w:pPr>
                            <w:r>
                              <w:rPr>
                                <w:rFonts w:hint="eastAsia"/>
                              </w:rPr>
                              <w:t>地表水评价范围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ECF456B" id="文本框 437" o:spid="_x0000_s1068" type="#_x0000_t202" style="position:absolute;left:0;text-align:left;margin-left:-.95pt;margin-top:194.3pt;width:128.1pt;height:51.8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" fillcolor="white [3201]" strokeweight=".5pt">
                <v:textbox>
                  <w:txbxContent>
                    <w:p w14:paraId="0D34347F" w14:textId="77777777" w:rsidR="009D12AF" w:rsidRDefault="00000000">
                      <w:pPr>
                        <w:ind w:firstLine="480"/>
                      </w:pPr>
                      <w:r>
                        <w:rPr>
                          <w:rFonts w:hint="eastAsia"/>
                        </w:rPr>
                        <w:t>图例</w:t>
                      </w:r>
                    </w:p>
                    <w:p w14:paraId="26CEA190" w14:textId="77777777" w:rsidR="009D12AF" w:rsidRDefault="00000000">
                      <w:pPr>
                        <w:ind w:firstLine="480"/>
                      </w:pPr>
                      <w:r>
                        <w:rPr>
                          <w:rFonts w:hint="eastAsia"/>
                        </w:rPr>
                        <w:t>地表水评价范围</w:t>
                      </w:r>
                    </w:p>
                  </w:txbxContent>
                </v:textbox>
              </v:shape>
            </w:pict>
          </mc:Fallback>
        </mc:AlternateContent>
      </w:r>
      <w:r>
        <w:rPr>
          <w:noProof/>
        </w:rPr>
        <w:drawing>
          <wp:anchor distT="0" distB="0" distL="114300" distR="114300" simplePos="0" relativeHeight="251708416" behindDoc="0" locked="0" layoutInCell="1" allowOverlap="1" wp14:anchorId="6C87DC54" wp14:editId="331C79A7">
            <wp:simplePos x="0" y="0"/>
            <wp:positionH relativeFrom="column">
              <wp:posOffset>4753610</wp:posOffset>
            </wp:positionH>
            <wp:positionV relativeFrom="paragraph">
              <wp:posOffset>44450</wp:posOffset>
            </wp:positionV>
            <wp:extent cx="785495" cy="672465"/>
            <wp:effectExtent l="0" t="0" r="14605" b="13335"/>
            <wp:wrapNone/>
            <wp:docPr id="4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15"/>
                    <pic:cNvPicPr>
                      <a:picLocks noChangeAspect="1"/>
                    </pic:cNvPicPr>
                  </pic:nvPicPr>
                  <pic:blipFill>
                    <a:blip r:embed="rId415"/>
                    <a:stretch>
                      <a:fillRect/>
                    </a:stretch>
                  </pic:blipFill>
                  <pic:spPr>
                    <a:xfrm>
                      <a:off x="0" y="0"/>
                      <a:ext cx="785495" cy="672465"/>
                    </a:xfrm>
                    <a:prstGeom prst="rect">
                      <a:avLst/>
                    </a:prstGeom>
                    <a:noFill/>
                    <a:ln>
                      <a:noFill/>
                    </a:ln>
                  </pic:spPr>
                </pic:pic>
              </a:graphicData>
            </a:graphic>
          </wp:anchor>
        </w:drawing>
      </w:r>
      <w:r>
        <w:rPr>
          <w:noProof/>
        </w:rPr>
        <w:drawing>
          <wp:inline distT="0" distB="0" distL="114300" distR="114300" wp14:anchorId="6673CE50" wp14:editId="3A5644FA">
            <wp:extent cx="5552440" cy="3063240"/>
            <wp:effectExtent l="0" t="0" r="10160" b="3810"/>
            <wp:docPr id="4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7"/>
                    <pic:cNvPicPr>
                      <a:picLocks noChangeAspect="1"/>
                    </pic:cNvPicPr>
                  </pic:nvPicPr>
                  <pic:blipFill>
                    <a:blip r:embed="rId451" cstate="screen">
                      <a:extLst>
                        <a:ext uri="{28A0092B-C50C-407E-A947-70E740481C1C}">
                          <a14:useLocalDpi xmlns:a14="http://schemas.microsoft.com/office/drawing/2010/main"/>
                        </a:ext>
                      </a:extLst>
                    </a:blip>
                    <a:stretch>
                      <a:fillRect/>
                    </a:stretch>
                  </pic:blipFill>
                  <pic:spPr>
                    <a:xfrm>
                      <a:off x="0" y="0"/>
                      <a:ext cx="5552440" cy="3063240"/>
                    </a:xfrm>
                    <a:prstGeom prst="rect">
                      <a:avLst/>
                    </a:prstGeom>
                    <a:noFill/>
                    <a:ln>
                      <a:noFill/>
                    </a:ln>
                  </pic:spPr>
                </pic:pic>
              </a:graphicData>
            </a:graphic>
          </wp:inline>
        </w:drawing>
      </w:r>
    </w:p>
    <w:p w14:paraId="2DAC69F8" w14:textId="77777777" w:rsidR="009D12AF" w:rsidRDefault="00000000">
      <w:pPr>
        <w:ind w:firstLineChars="0" w:firstLine="0"/>
      </w:pPr>
      <w:r>
        <w:rPr>
          <w:rFonts w:hint="eastAsia"/>
        </w:rPr>
        <w:t>注：地表水评价范围为整个水库。</w:t>
      </w:r>
    </w:p>
    <w:p w14:paraId="4A6A19CC" w14:textId="77777777" w:rsidR="009D12AF" w:rsidRDefault="009D12AF">
      <w:pPr>
        <w:ind w:firstLineChars="0" w:firstLine="0"/>
      </w:pPr>
    </w:p>
    <w:p w14:paraId="636C849E" w14:textId="77777777" w:rsidR="009D12AF" w:rsidRDefault="00000000">
      <w:pPr>
        <w:ind w:firstLineChars="0" w:firstLine="0"/>
        <w:rPr>
          <w:b/>
          <w:bCs/>
        </w:rPr>
      </w:pPr>
      <w:r>
        <w:rPr>
          <w:rFonts w:hint="eastAsia"/>
          <w:b/>
          <w:bCs/>
        </w:rPr>
        <w:lastRenderedPageBreak/>
        <w:t>万丈水库</w:t>
      </w:r>
    </w:p>
    <w:p w14:paraId="5528959C" w14:textId="77777777" w:rsidR="009D12AF" w:rsidRDefault="00000000">
      <w:pPr>
        <w:ind w:firstLineChars="0" w:firstLine="0"/>
      </w:pPr>
      <w:r>
        <w:rPr>
          <w:noProof/>
        </w:rPr>
        <w:drawing>
          <wp:anchor distT="0" distB="0" distL="114300" distR="114300" simplePos="0" relativeHeight="251714560" behindDoc="0" locked="0" layoutInCell="1" allowOverlap="1" wp14:anchorId="46FE7471" wp14:editId="2AC5E3AD">
            <wp:simplePos x="0" y="0"/>
            <wp:positionH relativeFrom="column">
              <wp:posOffset>4554220</wp:posOffset>
            </wp:positionH>
            <wp:positionV relativeFrom="paragraph">
              <wp:posOffset>27940</wp:posOffset>
            </wp:positionV>
            <wp:extent cx="785495" cy="672465"/>
            <wp:effectExtent l="0" t="0" r="14605" b="13335"/>
            <wp:wrapNone/>
            <wp:docPr id="44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15"/>
                    <pic:cNvPicPr>
                      <a:picLocks noChangeAspect="1"/>
                    </pic:cNvPicPr>
                  </pic:nvPicPr>
                  <pic:blipFill>
                    <a:blip r:embed="rId415"/>
                    <a:stretch>
                      <a:fillRect/>
                    </a:stretch>
                  </pic:blipFill>
                  <pic:spPr>
                    <a:xfrm>
                      <a:off x="0" y="0"/>
                      <a:ext cx="785495" cy="672465"/>
                    </a:xfrm>
                    <a:prstGeom prst="rect">
                      <a:avLst/>
                    </a:prstGeom>
                    <a:noFill/>
                    <a:ln>
                      <a:noFill/>
                    </a:ln>
                  </pic:spPr>
                </pic:pic>
              </a:graphicData>
            </a:graphic>
          </wp:anchor>
        </w:drawing>
      </w:r>
      <w:r>
        <w:rPr>
          <w:noProof/>
        </w:rPr>
        <mc:AlternateContent>
          <mc:Choice Requires="wps">
            <w:drawing>
              <wp:anchor distT="0" distB="0" distL="114300" distR="114300" simplePos="0" relativeHeight="251712512" behindDoc="0" locked="0" layoutInCell="1" allowOverlap="1" wp14:anchorId="04BC2869" wp14:editId="4166FF57">
                <wp:simplePos x="0" y="0"/>
                <wp:positionH relativeFrom="column">
                  <wp:posOffset>-31750</wp:posOffset>
                </wp:positionH>
                <wp:positionV relativeFrom="paragraph">
                  <wp:posOffset>2863215</wp:posOffset>
                </wp:positionV>
                <wp:extent cx="1669415" cy="658495"/>
                <wp:effectExtent l="4445" t="4445" r="21590" b="22860"/>
                <wp:wrapNone/>
                <wp:docPr id="441" name="文本框 441"/>
                <wp:cNvGraphicFramePr/>
                <a:graphic xmlns:a="http://schemas.openxmlformats.org/drawingml/2006/main">
                  <a:graphicData uri="http://schemas.microsoft.com/office/word/2010/wordprocessingShape">
                    <wps:wsp>
                      <wps:cNvSpPr txBox="1"/>
                      <wps:spPr>
                        <a:xfrm>
                          <a:off x="0" y="0"/>
                          <a:ext cx="1669415" cy="6584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430894D" w14:textId="77777777" w:rsidR="009D12AF" w:rsidRDefault="00000000">
                            <w:pPr>
                              <w:ind w:firstLine="480"/>
                            </w:pPr>
                            <w:r>
                              <w:rPr>
                                <w:rFonts w:hint="eastAsia"/>
                              </w:rPr>
                              <w:t>图例</w:t>
                            </w:r>
                          </w:p>
                          <w:p w14:paraId="451026F0" w14:textId="77777777" w:rsidR="009D12AF" w:rsidRDefault="00000000">
                            <w:pPr>
                              <w:ind w:firstLine="480"/>
                            </w:pPr>
                            <w:r>
                              <w:rPr>
                                <w:rFonts w:hint="eastAsia"/>
                              </w:rPr>
                              <w:t>地表水评价范围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4BC2869" id="文本框 441" o:spid="_x0000_s1069" type="#_x0000_t202" style="position:absolute;left:0;text-align:left;margin-left:-2.5pt;margin-top:225.45pt;width:131.45pt;height:51.8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" fillcolor="white [3201]" strokeweight=".5pt">
                <v:textbox>
                  <w:txbxContent>
                    <w:p w14:paraId="3430894D" w14:textId="77777777" w:rsidR="009D12AF" w:rsidRDefault="00000000">
                      <w:pPr>
                        <w:ind w:firstLine="480"/>
                      </w:pPr>
                      <w:r>
                        <w:rPr>
                          <w:rFonts w:hint="eastAsia"/>
                        </w:rPr>
                        <w:t>图例</w:t>
                      </w:r>
                    </w:p>
                    <w:p w14:paraId="451026F0" w14:textId="77777777" w:rsidR="009D12AF" w:rsidRDefault="00000000">
                      <w:pPr>
                        <w:ind w:firstLine="480"/>
                      </w:pPr>
                      <w:r>
                        <w:rPr>
                          <w:rFonts w:hint="eastAsia"/>
                        </w:rPr>
                        <w:t>地表水评价范围</w:t>
                      </w:r>
                    </w:p>
                  </w:txbxContent>
                </v:textbox>
              </v:shape>
            </w:pict>
          </mc:Fallback>
        </mc:AlternateContent>
      </w:r>
      <w:r>
        <w:rPr>
          <w:noProof/>
        </w:rPr>
        <mc:AlternateContent>
          <mc:Choice Requires="wps">
            <w:drawing>
              <wp:anchor distT="0" distB="0" distL="114300" distR="114300" simplePos="0" relativeHeight="251713536" behindDoc="0" locked="0" layoutInCell="1" allowOverlap="1" wp14:anchorId="275E731D" wp14:editId="6D72F673">
                <wp:simplePos x="0" y="0"/>
                <wp:positionH relativeFrom="column">
                  <wp:posOffset>74930</wp:posOffset>
                </wp:positionH>
                <wp:positionV relativeFrom="paragraph">
                  <wp:posOffset>3267710</wp:posOffset>
                </wp:positionV>
                <wp:extent cx="294640" cy="147320"/>
                <wp:effectExtent l="6350" t="6350" r="22860" b="17780"/>
                <wp:wrapNone/>
                <wp:docPr id="442" name="矩形 442"/>
                <wp:cNvGraphicFramePr/>
                <a:graphic xmlns:a="http://schemas.openxmlformats.org/drawingml/2006/main">
                  <a:graphicData uri="http://schemas.microsoft.com/office/word/2010/wordprocessingShape">
                    <wps:wsp>
                      <wps:cNvSpPr/>
                      <wps:spPr>
                        <a:xfrm>
                          <a:off x="1217930" y="4479290"/>
                          <a:ext cx="294640" cy="14732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9F8D218" id="矩形 442" o:spid="_x0000_s1026" style="position:absolute;margin-left:5.9pt;margin-top:257.3pt;width:23.2pt;height:11.6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" filled="f" strokecolor="red" strokeweight="1pt"/>
            </w:pict>
          </mc:Fallback>
        </mc:AlternateContent>
      </w:r>
      <w:r>
        <w:rPr>
          <w:noProof/>
        </w:rPr>
        <mc:AlternateContent>
          <mc:Choice Requires="wps">
            <w:drawing>
              <wp:anchor distT="0" distB="0" distL="114300" distR="114300" simplePos="0" relativeHeight="251711488" behindDoc="0" locked="0" layoutInCell="1" allowOverlap="1" wp14:anchorId="6E658E97" wp14:editId="491C1796">
                <wp:simplePos x="0" y="0"/>
                <wp:positionH relativeFrom="column">
                  <wp:posOffset>-12065</wp:posOffset>
                </wp:positionH>
                <wp:positionV relativeFrom="paragraph">
                  <wp:posOffset>7222490</wp:posOffset>
                </wp:positionV>
                <wp:extent cx="1626870" cy="658495"/>
                <wp:effectExtent l="4445" t="5080" r="6985" b="22225"/>
                <wp:wrapNone/>
                <wp:docPr id="440" name="文本框 440"/>
                <wp:cNvGraphicFramePr/>
                <a:graphic xmlns:a="http://schemas.openxmlformats.org/drawingml/2006/main">
                  <a:graphicData uri="http://schemas.microsoft.com/office/word/2010/wordprocessingShape">
                    <wps:wsp>
                      <wps:cNvSpPr txBox="1"/>
                      <wps:spPr>
                        <a:xfrm>
                          <a:off x="0" y="0"/>
                          <a:ext cx="1626870" cy="6584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BF5D0EC" w14:textId="77777777" w:rsidR="009D12AF" w:rsidRDefault="00000000">
                            <w:pPr>
                              <w:ind w:firstLine="480"/>
                            </w:pPr>
                            <w:r>
                              <w:rPr>
                                <w:rFonts w:hint="eastAsia"/>
                              </w:rPr>
                              <w:t>图例</w:t>
                            </w:r>
                          </w:p>
                          <w:p w14:paraId="605CB298" w14:textId="77777777" w:rsidR="009D12AF" w:rsidRDefault="00000000">
                            <w:pPr>
                              <w:ind w:firstLine="480"/>
                            </w:pPr>
                            <w:r>
                              <w:rPr>
                                <w:rFonts w:hint="eastAsia"/>
                              </w:rPr>
                              <w:t>地表水评价范围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E658E97" id="文本框 440" o:spid="_x0000_s1070" type="#_x0000_t202" style="position:absolute;left:0;text-align:left;margin-left:-.95pt;margin-top:568.7pt;width:128.1pt;height:51.8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" fillcolor="white [3201]" strokeweight=".5pt">
                <v:textbox>
                  <w:txbxContent>
                    <w:p w14:paraId="3BF5D0EC" w14:textId="77777777" w:rsidR="009D12AF" w:rsidRDefault="00000000">
                      <w:pPr>
                        <w:ind w:firstLine="480"/>
                      </w:pPr>
                      <w:r>
                        <w:rPr>
                          <w:rFonts w:hint="eastAsia"/>
                        </w:rPr>
                        <w:t>图例</w:t>
                      </w:r>
                    </w:p>
                    <w:p w14:paraId="605CB298" w14:textId="77777777" w:rsidR="009D12AF" w:rsidRDefault="00000000">
                      <w:pPr>
                        <w:ind w:firstLine="480"/>
                      </w:pPr>
                      <w:r>
                        <w:rPr>
                          <w:rFonts w:hint="eastAsia"/>
                        </w:rPr>
                        <w:t>地表水评价范围</w:t>
                      </w:r>
                    </w:p>
                  </w:txbxContent>
                </v:textbox>
              </v:shape>
            </w:pict>
          </mc:Fallback>
        </mc:AlternateContent>
      </w:r>
      <w:r>
        <w:rPr>
          <w:noProof/>
        </w:rPr>
        <w:drawing>
          <wp:inline distT="0" distB="0" distL="114300" distR="114300" wp14:anchorId="55C1C283" wp14:editId="0F4738AF">
            <wp:extent cx="5376545" cy="3494405"/>
            <wp:effectExtent l="0" t="0" r="14605" b="10795"/>
            <wp:docPr id="4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8"/>
                    <pic:cNvPicPr>
                      <a:picLocks noChangeAspect="1"/>
                    </pic:cNvPicPr>
                  </pic:nvPicPr>
                  <pic:blipFill>
                    <a:blip r:embed="rId452" cstate="screen">
                      <a:extLst>
                        <a:ext uri="{28A0092B-C50C-407E-A947-70E740481C1C}">
                          <a14:useLocalDpi xmlns:a14="http://schemas.microsoft.com/office/drawing/2010/main"/>
                        </a:ext>
                      </a:extLst>
                    </a:blip>
                    <a:stretch>
                      <a:fillRect/>
                    </a:stretch>
                  </pic:blipFill>
                  <pic:spPr>
                    <a:xfrm>
                      <a:off x="0" y="0"/>
                      <a:ext cx="5376545" cy="3494405"/>
                    </a:xfrm>
                    <a:prstGeom prst="rect">
                      <a:avLst/>
                    </a:prstGeom>
                    <a:noFill/>
                    <a:ln>
                      <a:noFill/>
                    </a:ln>
                  </pic:spPr>
                </pic:pic>
              </a:graphicData>
            </a:graphic>
          </wp:inline>
        </w:drawing>
      </w:r>
    </w:p>
    <w:p w14:paraId="11007750" w14:textId="77777777" w:rsidR="009D12AF" w:rsidRDefault="00000000">
      <w:pPr>
        <w:ind w:firstLineChars="0" w:firstLine="0"/>
      </w:pPr>
      <w:r>
        <w:rPr>
          <w:rFonts w:hint="eastAsia"/>
        </w:rPr>
        <w:t>注：地表水评价范围为整个水库。</w:t>
      </w:r>
    </w:p>
    <w:p w14:paraId="59EDF248" w14:textId="77777777" w:rsidR="009D12AF" w:rsidRDefault="00000000">
      <w:pPr>
        <w:ind w:firstLineChars="0" w:firstLine="0"/>
      </w:pPr>
      <w:r>
        <w:rPr>
          <w:rFonts w:hint="eastAsia"/>
          <w:b/>
          <w:bCs/>
        </w:rPr>
        <w:t>长石水库</w:t>
      </w:r>
    </w:p>
    <w:p w14:paraId="1874932B" w14:textId="77777777" w:rsidR="009D12AF" w:rsidRDefault="00000000">
      <w:pPr>
        <w:ind w:firstLineChars="0" w:firstLine="0"/>
      </w:pPr>
      <w:r>
        <w:rPr>
          <w:noProof/>
        </w:rPr>
        <w:drawing>
          <wp:anchor distT="0" distB="0" distL="114300" distR="114300" simplePos="0" relativeHeight="251716608" behindDoc="0" locked="0" layoutInCell="1" allowOverlap="1" wp14:anchorId="692DDB9F" wp14:editId="1F4F442C">
            <wp:simplePos x="0" y="0"/>
            <wp:positionH relativeFrom="column">
              <wp:posOffset>4429760</wp:posOffset>
            </wp:positionH>
            <wp:positionV relativeFrom="paragraph">
              <wp:posOffset>97790</wp:posOffset>
            </wp:positionV>
            <wp:extent cx="785495" cy="672465"/>
            <wp:effectExtent l="0" t="0" r="14605" b="13335"/>
            <wp:wrapNone/>
            <wp:docPr id="4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15"/>
                    <pic:cNvPicPr>
                      <a:picLocks noChangeAspect="1"/>
                    </pic:cNvPicPr>
                  </pic:nvPicPr>
                  <pic:blipFill>
                    <a:blip r:embed="rId415"/>
                    <a:stretch>
                      <a:fillRect/>
                    </a:stretch>
                  </pic:blipFill>
                  <pic:spPr>
                    <a:xfrm>
                      <a:off x="0" y="0"/>
                      <a:ext cx="785495" cy="672465"/>
                    </a:xfrm>
                    <a:prstGeom prst="rect">
                      <a:avLst/>
                    </a:prstGeom>
                    <a:noFill/>
                    <a:ln>
                      <a:noFill/>
                    </a:ln>
                  </pic:spPr>
                </pic:pic>
              </a:graphicData>
            </a:graphic>
          </wp:anchor>
        </w:drawing>
      </w:r>
      <w:r>
        <w:rPr>
          <w:noProof/>
        </w:rPr>
        <mc:AlternateContent>
          <mc:Choice Requires="wps">
            <w:drawing>
              <wp:anchor distT="0" distB="0" distL="114300" distR="114300" simplePos="0" relativeHeight="251715584" behindDoc="0" locked="0" layoutInCell="1" allowOverlap="1" wp14:anchorId="3EF7048E" wp14:editId="25769ABF">
                <wp:simplePos x="0" y="0"/>
                <wp:positionH relativeFrom="column">
                  <wp:posOffset>31750</wp:posOffset>
                </wp:positionH>
                <wp:positionV relativeFrom="paragraph">
                  <wp:posOffset>3468370</wp:posOffset>
                </wp:positionV>
                <wp:extent cx="354965" cy="190500"/>
                <wp:effectExtent l="6350" t="6350" r="19685" b="12700"/>
                <wp:wrapNone/>
                <wp:docPr id="445" name="矩形 445"/>
                <wp:cNvGraphicFramePr/>
                <a:graphic xmlns:a="http://schemas.openxmlformats.org/drawingml/2006/main">
                  <a:graphicData uri="http://schemas.microsoft.com/office/word/2010/wordprocessingShape">
                    <wps:wsp>
                      <wps:cNvSpPr/>
                      <wps:spPr>
                        <a:xfrm>
                          <a:off x="1174750" y="8840470"/>
                          <a:ext cx="354965" cy="19050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E2E3DF" id="矩形 445" o:spid="_x0000_s1026" style="position:absolute;margin-left:2.5pt;margin-top:273.1pt;width:27.95pt;height:1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" filled="f" strokecolor="red" strokeweight="1pt"/>
            </w:pict>
          </mc:Fallback>
        </mc:AlternateContent>
      </w:r>
      <w:r>
        <w:rPr>
          <w:noProof/>
        </w:rPr>
        <w:drawing>
          <wp:inline distT="0" distB="0" distL="114300" distR="114300" wp14:anchorId="521B5F16" wp14:editId="05650396">
            <wp:extent cx="5274310" cy="3583940"/>
            <wp:effectExtent l="0" t="0" r="2540" b="16510"/>
            <wp:docPr id="4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9"/>
                    <pic:cNvPicPr>
                      <a:picLocks noChangeAspect="1"/>
                    </pic:cNvPicPr>
                  </pic:nvPicPr>
                  <pic:blipFill>
                    <a:blip r:embed="rId453" cstate="screen">
                      <a:extLst>
                        <a:ext uri="{28A0092B-C50C-407E-A947-70E740481C1C}">
                          <a14:useLocalDpi xmlns:a14="http://schemas.microsoft.com/office/drawing/2010/main"/>
                        </a:ext>
                      </a:extLst>
                    </a:blip>
                    <a:stretch>
                      <a:fillRect/>
                    </a:stretch>
                  </pic:blipFill>
                  <pic:spPr>
                    <a:xfrm>
                      <a:off x="0" y="0"/>
                      <a:ext cx="5274310" cy="3583940"/>
                    </a:xfrm>
                    <a:prstGeom prst="rect">
                      <a:avLst/>
                    </a:prstGeom>
                    <a:noFill/>
                    <a:ln>
                      <a:noFill/>
                    </a:ln>
                  </pic:spPr>
                </pic:pic>
              </a:graphicData>
            </a:graphic>
          </wp:inline>
        </w:drawing>
      </w:r>
    </w:p>
    <w:p w14:paraId="4B3E9862" w14:textId="77777777" w:rsidR="009D12AF" w:rsidRDefault="00000000">
      <w:pPr>
        <w:ind w:firstLineChars="0" w:firstLine="0"/>
      </w:pPr>
      <w:r>
        <w:rPr>
          <w:rFonts w:hint="eastAsia"/>
        </w:rPr>
        <w:t>注：地表水评价范围为整个水库。</w:t>
      </w:r>
    </w:p>
    <w:p w14:paraId="3B68D78C" w14:textId="77777777" w:rsidR="009D12AF" w:rsidRDefault="009D12AF">
      <w:pPr>
        <w:ind w:firstLineChars="0" w:firstLine="0"/>
      </w:pPr>
    </w:p>
    <w:p w14:paraId="4021D792" w14:textId="77777777" w:rsidR="009D12AF" w:rsidRDefault="00000000">
      <w:pPr>
        <w:pStyle w:val="1"/>
      </w:pPr>
      <w:bookmarkStart w:id="576" w:name="_Toc15718"/>
      <w:r>
        <w:rPr>
          <w:rFonts w:hint="eastAsia"/>
        </w:rPr>
        <w:lastRenderedPageBreak/>
        <w:t>附图</w:t>
      </w:r>
      <w:r>
        <w:rPr>
          <w:rFonts w:hint="eastAsia"/>
        </w:rPr>
        <w:t>34</w:t>
      </w:r>
      <w:r>
        <w:rPr>
          <w:rFonts w:hint="eastAsia"/>
        </w:rPr>
        <w:t>水生生态评价范围图</w:t>
      </w:r>
      <w:bookmarkEnd w:id="576"/>
    </w:p>
    <w:p w14:paraId="6D57E157" w14:textId="77777777" w:rsidR="009D12AF" w:rsidRDefault="00000000">
      <w:pPr>
        <w:ind w:firstLineChars="0" w:firstLine="0"/>
        <w:rPr>
          <w:b/>
          <w:bCs/>
        </w:rPr>
      </w:pPr>
      <w:r>
        <w:rPr>
          <w:rFonts w:hint="eastAsia"/>
          <w:b/>
          <w:bCs/>
        </w:rPr>
        <w:t>新安晒水池</w:t>
      </w:r>
    </w:p>
    <w:p w14:paraId="5F6CB69F" w14:textId="77777777" w:rsidR="009D12AF" w:rsidRDefault="00000000">
      <w:pPr>
        <w:ind w:firstLineChars="0" w:firstLine="0"/>
      </w:pPr>
      <w:r>
        <w:rPr>
          <w:noProof/>
        </w:rPr>
        <w:drawing>
          <wp:inline distT="0" distB="0" distL="114300" distR="114300" wp14:anchorId="653C8D20" wp14:editId="5EFEE2F5">
            <wp:extent cx="5172075" cy="4076700"/>
            <wp:effectExtent l="0" t="0" r="9525" b="0"/>
            <wp:docPr id="46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15"/>
                    <pic:cNvPicPr>
                      <a:picLocks noChangeAspect="1"/>
                    </pic:cNvPicPr>
                  </pic:nvPicPr>
                  <pic:blipFill>
                    <a:blip r:embed="rId454"/>
                    <a:stretch>
                      <a:fillRect/>
                    </a:stretch>
                  </pic:blipFill>
                  <pic:spPr>
                    <a:xfrm>
                      <a:off x="0" y="0"/>
                      <a:ext cx="5172075" cy="4076700"/>
                    </a:xfrm>
                    <a:prstGeom prst="rect">
                      <a:avLst/>
                    </a:prstGeom>
                    <a:noFill/>
                    <a:ln>
                      <a:noFill/>
                    </a:ln>
                  </pic:spPr>
                </pic:pic>
              </a:graphicData>
            </a:graphic>
          </wp:inline>
        </w:drawing>
      </w:r>
    </w:p>
    <w:p w14:paraId="68A6E0E1" w14:textId="77777777" w:rsidR="009D12AF" w:rsidRDefault="00000000">
      <w:pPr>
        <w:ind w:firstLineChars="0" w:firstLine="0"/>
        <w:rPr>
          <w:b/>
          <w:bCs/>
        </w:rPr>
      </w:pPr>
      <w:r>
        <w:rPr>
          <w:rFonts w:hint="eastAsia"/>
          <w:b/>
          <w:bCs/>
        </w:rPr>
        <w:t>长石水库</w:t>
      </w:r>
    </w:p>
    <w:p w14:paraId="650DFFE3" w14:textId="77777777" w:rsidR="009D12AF" w:rsidRDefault="00000000">
      <w:pPr>
        <w:ind w:firstLineChars="0" w:firstLine="0"/>
      </w:pPr>
      <w:r>
        <w:rPr>
          <w:noProof/>
        </w:rPr>
        <w:drawing>
          <wp:inline distT="0" distB="0" distL="114300" distR="114300" wp14:anchorId="7355C524" wp14:editId="3C78E4BF">
            <wp:extent cx="5162550" cy="3181350"/>
            <wp:effectExtent l="0" t="0" r="0" b="0"/>
            <wp:docPr id="46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16"/>
                    <pic:cNvPicPr>
                      <a:picLocks noChangeAspect="1"/>
                    </pic:cNvPicPr>
                  </pic:nvPicPr>
                  <pic:blipFill>
                    <a:blip r:embed="rId455"/>
                    <a:stretch>
                      <a:fillRect/>
                    </a:stretch>
                  </pic:blipFill>
                  <pic:spPr>
                    <a:xfrm>
                      <a:off x="0" y="0"/>
                      <a:ext cx="5162550" cy="3181350"/>
                    </a:xfrm>
                    <a:prstGeom prst="rect">
                      <a:avLst/>
                    </a:prstGeom>
                    <a:noFill/>
                    <a:ln>
                      <a:noFill/>
                    </a:ln>
                  </pic:spPr>
                </pic:pic>
              </a:graphicData>
            </a:graphic>
          </wp:inline>
        </w:drawing>
      </w:r>
    </w:p>
    <w:p w14:paraId="651E93BC" w14:textId="77777777" w:rsidR="009D12AF" w:rsidRDefault="00000000">
      <w:pPr>
        <w:ind w:firstLineChars="0" w:firstLine="0"/>
        <w:rPr>
          <w:b/>
          <w:bCs/>
        </w:rPr>
      </w:pPr>
      <w:r>
        <w:rPr>
          <w:rFonts w:hint="eastAsia"/>
          <w:b/>
          <w:bCs/>
        </w:rPr>
        <w:lastRenderedPageBreak/>
        <w:t>万丈水库</w:t>
      </w:r>
    </w:p>
    <w:p w14:paraId="61167F31" w14:textId="77777777" w:rsidR="009D12AF" w:rsidRDefault="00000000">
      <w:pPr>
        <w:ind w:firstLineChars="0" w:firstLine="0"/>
      </w:pPr>
      <w:r>
        <w:rPr>
          <w:noProof/>
        </w:rPr>
        <w:drawing>
          <wp:inline distT="0" distB="0" distL="114300" distR="114300" wp14:anchorId="04EC582B" wp14:editId="79FF28DB">
            <wp:extent cx="5268595" cy="3592195"/>
            <wp:effectExtent l="0" t="0" r="8255" b="8255"/>
            <wp:docPr id="46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17"/>
                    <pic:cNvPicPr>
                      <a:picLocks noChangeAspect="1"/>
                    </pic:cNvPicPr>
                  </pic:nvPicPr>
                  <pic:blipFill>
                    <a:blip r:embed="rId456"/>
                    <a:stretch>
                      <a:fillRect/>
                    </a:stretch>
                  </pic:blipFill>
                  <pic:spPr>
                    <a:xfrm>
                      <a:off x="0" y="0"/>
                      <a:ext cx="5268595" cy="3592195"/>
                    </a:xfrm>
                    <a:prstGeom prst="rect">
                      <a:avLst/>
                    </a:prstGeom>
                    <a:noFill/>
                    <a:ln>
                      <a:noFill/>
                    </a:ln>
                  </pic:spPr>
                </pic:pic>
              </a:graphicData>
            </a:graphic>
          </wp:inline>
        </w:drawing>
      </w:r>
    </w:p>
    <w:p w14:paraId="371A6A38" w14:textId="77777777" w:rsidR="009D12AF" w:rsidRDefault="00000000">
      <w:pPr>
        <w:ind w:firstLineChars="0" w:firstLine="0"/>
        <w:rPr>
          <w:b/>
          <w:bCs/>
        </w:rPr>
      </w:pPr>
      <w:r>
        <w:rPr>
          <w:rFonts w:hint="eastAsia"/>
          <w:b/>
          <w:bCs/>
        </w:rPr>
        <w:t>新安晒水池</w:t>
      </w:r>
    </w:p>
    <w:p w14:paraId="0B69C402" w14:textId="77777777" w:rsidR="009D12AF" w:rsidRDefault="00000000">
      <w:pPr>
        <w:ind w:firstLineChars="0" w:firstLine="0"/>
      </w:pPr>
      <w:r>
        <w:rPr>
          <w:noProof/>
        </w:rPr>
        <w:drawing>
          <wp:inline distT="0" distB="0" distL="114300" distR="114300" wp14:anchorId="4CCF6573" wp14:editId="4B73CB69">
            <wp:extent cx="5364480" cy="4049395"/>
            <wp:effectExtent l="0" t="0" r="7620" b="8255"/>
            <wp:docPr id="46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18"/>
                    <pic:cNvPicPr>
                      <a:picLocks noChangeAspect="1"/>
                    </pic:cNvPicPr>
                  </pic:nvPicPr>
                  <pic:blipFill>
                    <a:blip r:embed="rId457"/>
                    <a:stretch>
                      <a:fillRect/>
                    </a:stretch>
                  </pic:blipFill>
                  <pic:spPr>
                    <a:xfrm>
                      <a:off x="0" y="0"/>
                      <a:ext cx="5364480" cy="4049395"/>
                    </a:xfrm>
                    <a:prstGeom prst="rect">
                      <a:avLst/>
                    </a:prstGeom>
                    <a:noFill/>
                    <a:ln>
                      <a:noFill/>
                    </a:ln>
                  </pic:spPr>
                </pic:pic>
              </a:graphicData>
            </a:graphic>
          </wp:inline>
        </w:drawing>
      </w:r>
    </w:p>
    <w:p w14:paraId="73913626" w14:textId="77777777" w:rsidR="009D12AF" w:rsidRDefault="009D12AF">
      <w:pPr>
        <w:ind w:firstLineChars="0" w:firstLine="0"/>
      </w:pPr>
    </w:p>
    <w:p w14:paraId="24D73D34" w14:textId="77777777" w:rsidR="009D12AF" w:rsidRDefault="00000000">
      <w:pPr>
        <w:ind w:firstLineChars="0" w:firstLine="0"/>
        <w:rPr>
          <w:b/>
          <w:bCs/>
        </w:rPr>
      </w:pPr>
      <w:r>
        <w:rPr>
          <w:rFonts w:hint="eastAsia"/>
          <w:b/>
          <w:bCs/>
        </w:rPr>
        <w:lastRenderedPageBreak/>
        <w:t>群力水库</w:t>
      </w:r>
    </w:p>
    <w:p w14:paraId="7053AEDB" w14:textId="77777777" w:rsidR="009D12AF" w:rsidRDefault="00000000">
      <w:pPr>
        <w:ind w:firstLineChars="0" w:firstLine="0"/>
        <w:rPr>
          <w:b/>
          <w:bCs/>
        </w:rPr>
      </w:pPr>
      <w:r>
        <w:rPr>
          <w:noProof/>
        </w:rPr>
        <w:drawing>
          <wp:inline distT="0" distB="0" distL="114300" distR="114300" wp14:anchorId="344F64CB" wp14:editId="64DA9DEE">
            <wp:extent cx="4791075" cy="4067175"/>
            <wp:effectExtent l="0" t="0" r="9525" b="9525"/>
            <wp:docPr id="4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19"/>
                    <pic:cNvPicPr>
                      <a:picLocks noChangeAspect="1"/>
                    </pic:cNvPicPr>
                  </pic:nvPicPr>
                  <pic:blipFill>
                    <a:blip r:embed="rId458"/>
                    <a:stretch>
                      <a:fillRect/>
                    </a:stretch>
                  </pic:blipFill>
                  <pic:spPr>
                    <a:xfrm>
                      <a:off x="0" y="0"/>
                      <a:ext cx="4791075" cy="4067175"/>
                    </a:xfrm>
                    <a:prstGeom prst="rect">
                      <a:avLst/>
                    </a:prstGeom>
                    <a:noFill/>
                    <a:ln>
                      <a:noFill/>
                    </a:ln>
                  </pic:spPr>
                </pic:pic>
              </a:graphicData>
            </a:graphic>
          </wp:inline>
        </w:drawing>
      </w:r>
    </w:p>
    <w:sectPr w:rsidR="009D12A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562151" w14:textId="77777777" w:rsidR="00D402C6" w:rsidRDefault="00D402C6">
      <w:pPr>
        <w:spacing w:line="240" w:lineRule="auto"/>
        <w:ind w:firstLine="480"/>
      </w:pPr>
      <w:r>
        <w:separator/>
      </w:r>
    </w:p>
  </w:endnote>
  <w:endnote w:type="continuationSeparator" w:id="0">
    <w:p w14:paraId="3A9F8373" w14:textId="77777777" w:rsidR="00D402C6" w:rsidRDefault="00D402C6">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Arial Unicode MS">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Courier New">
    <w:panose1 w:val="02070309020205020404"/>
    <w:charset w:val="00"/>
    <w:family w:val="modern"/>
    <w:pitch w:val="fixed"/>
    <w:sig w:usb0="E0002EFF" w:usb1="C0007843"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新宋体">
    <w:panose1 w:val="02010609030101010101"/>
    <w:charset w:val="86"/>
    <w:family w:val="modern"/>
    <w:pitch w:val="fixed"/>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瀹嬩綋">
    <w:altName w:val="Calibri"/>
    <w:charset w:val="00"/>
    <w:family w:val="auto"/>
    <w:pitch w:val="default"/>
  </w:font>
  <w:font w:name="TimesNewRomanPSMT">
    <w:altName w:val="Times New Roman"/>
    <w:charset w:val="00"/>
    <w:family w:val="roman"/>
    <w:pitch w:val="default"/>
    <w:sig w:usb0="00000000" w:usb1="00000000" w:usb2="00000010" w:usb3="00000000" w:csb0="00060000" w:csb1="00000000"/>
  </w:font>
  <w:font w:name="等线">
    <w:altName w:val="DengXian"/>
    <w:panose1 w:val="02010600030101010101"/>
    <w:charset w:val="86"/>
    <w:family w:val="auto"/>
    <w:pitch w:val="variable"/>
    <w:sig w:usb0="A00002BF" w:usb1="38CF7CFA" w:usb2="00000016" w:usb3="00000000" w:csb0="0004000F" w:csb1="00000000"/>
  </w:font>
  <w:font w:name="Wingdings 2">
    <w:panose1 w:val="050201020105070707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TimesNewRoman">
    <w:altName w:val="Segoe Print"/>
    <w:charset w:val="00"/>
    <w:family w:val="auto"/>
    <w:pitch w:val="default"/>
    <w:sig w:usb0="00000000" w:usb1="00000000" w:usb2="00000029" w:usb3="00000000" w:csb0="600001FF" w:csb1="FFFF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BAF5D5" w14:textId="77777777" w:rsidR="00B0385A" w:rsidRDefault="00B0385A">
    <w:pPr>
      <w:pStyle w:val="aa"/>
      <w:ind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B2008" w14:textId="77777777" w:rsidR="009D12AF" w:rsidRDefault="00000000">
    <w:pPr>
      <w:pStyle w:val="aa"/>
      <w:ind w:firstLine="360"/>
    </w:pPr>
    <w:r>
      <w:rPr>
        <w:noProof/>
      </w:rPr>
      <mc:AlternateContent>
        <mc:Choice Requires="wps">
          <w:drawing>
            <wp:anchor distT="0" distB="0" distL="114300" distR="114300" simplePos="0" relativeHeight="251672576" behindDoc="0" locked="0" layoutInCell="1" allowOverlap="1" wp14:anchorId="39004052" wp14:editId="59B0497A">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753C4F" w14:textId="77777777" w:rsidR="009D12AF" w:rsidRDefault="00000000">
                          <w:pPr>
                            <w:pStyle w:val="aa"/>
                            <w:ind w:firstLine="360"/>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39004052" id="_x0000_t202" coordsize="21600,21600" o:spt="202" path="m,l,21600r21600,l21600,xe">
              <v:stroke joinstyle="miter"/>
              <v:path gradientshapeok="t" o:connecttype="rect"/>
            </v:shapetype>
            <v:shape id="文本框 16" o:spid="_x0000_s1073" type="#_x0000_t202" style="position:absolute;left:0;text-align:left;margin-left:0;margin-top:0;width:2in;height:2in;z-index:25167257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DlY5guQQIAAOsEAAAOAAAAAAAA&#10;AAAAAAAAAC4CAABkcnMvZTJvRG9jLnhtbFBLAQItABQABgAIAAAAIQBxqtG51wAAAAUBAAAPAAAA&#10;AAAAAAAAAAAAAJsEAABkcnMvZG93bnJldi54bWxQSwUGAAAAAAQABADzAAAAnwUAAAAA&#10;" filled="f" stroked="f" strokeweight=".5pt">
              <v:textbox style="mso-fit-shape-to-text:t" inset="0,0,0,0">
                <w:txbxContent>
                  <w:p w14:paraId="3C753C4F" w14:textId="77777777" w:rsidR="009D12AF" w:rsidRDefault="00000000">
                    <w:pPr>
                      <w:pStyle w:val="aa"/>
                      <w:ind w:firstLine="360"/>
                    </w:pPr>
                    <w:r>
                      <w:fldChar w:fldCharType="begin"/>
                    </w:r>
                    <w:r>
                      <w:instrText xml:space="preserve"> PAGE  \* MERGEFORMAT </w:instrText>
                    </w:r>
                    <w:r>
                      <w:fldChar w:fldCharType="separate"/>
                    </w:r>
                    <w:r>
                      <w:t>3</w:t>
                    </w:r>
                    <w:r>
                      <w:fldChar w:fldCharType="end"/>
                    </w:r>
                  </w:p>
                </w:txbxContent>
              </v:textbox>
              <w10:wrap anchorx="margin"/>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AF3ECC" w14:textId="77777777" w:rsidR="009D12AF" w:rsidRDefault="00000000">
    <w:pPr>
      <w:pStyle w:val="aa"/>
      <w:ind w:firstLine="360"/>
    </w:pPr>
    <w:r>
      <w:rPr>
        <w:noProof/>
      </w:rPr>
      <mc:AlternateContent>
        <mc:Choice Requires="wps">
          <w:drawing>
            <wp:anchor distT="0" distB="0" distL="114300" distR="114300" simplePos="0" relativeHeight="251660288" behindDoc="0" locked="0" layoutInCell="1" allowOverlap="1" wp14:anchorId="5AFFB64B" wp14:editId="1F014772">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A3220C" w14:textId="77777777" w:rsidR="009D12AF" w:rsidRDefault="00000000">
                          <w:pPr>
                            <w:pStyle w:val="aa"/>
                            <w:ind w:firstLine="360"/>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5AFFB64B" id="_x0000_t202" coordsize="21600,21600" o:spt="202" path="m,l,21600r21600,l21600,xe">
              <v:stroke joinstyle="miter"/>
              <v:path gradientshapeok="t" o:connecttype="rect"/>
            </v:shapetype>
            <v:shape id="文本框 40" o:spid="_x0000_s1074"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Cl5F/VQQIAAOsEAAAOAAAAAAAA&#10;AAAAAAAAAC4CAABkcnMvZTJvRG9jLnhtbFBLAQItABQABgAIAAAAIQBxqtG51wAAAAUBAAAPAAAA&#10;AAAAAAAAAAAAAJsEAABkcnMvZG93bnJldi54bWxQSwUGAAAAAAQABADzAAAAnwUAAAAA&#10;" filled="f" stroked="f" strokeweight=".5pt">
              <v:textbox style="mso-fit-shape-to-text:t" inset="0,0,0,0">
                <w:txbxContent>
                  <w:p w14:paraId="64A3220C" w14:textId="77777777" w:rsidR="009D12AF" w:rsidRDefault="00000000">
                    <w:pPr>
                      <w:pStyle w:val="aa"/>
                      <w:ind w:firstLine="360"/>
                    </w:pPr>
                    <w:r>
                      <w:fldChar w:fldCharType="begin"/>
                    </w:r>
                    <w:r>
                      <w:instrText xml:space="preserve"> PAGE  \* MERGEFORMAT </w:instrText>
                    </w:r>
                    <w:r>
                      <w:fldChar w:fldCharType="separate"/>
                    </w:r>
                    <w:r>
                      <w:t>3</w:t>
                    </w:r>
                    <w: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974738" w14:textId="77777777" w:rsidR="00B0385A" w:rsidRDefault="00B0385A">
    <w:pPr>
      <w:pStyle w:val="aa"/>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DCBBEE" w14:textId="77777777" w:rsidR="00B0385A" w:rsidRDefault="00B0385A">
    <w:pPr>
      <w:pStyle w:val="aa"/>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1BB4C0" w14:textId="77777777" w:rsidR="009D12AF" w:rsidRDefault="009D12AF">
    <w:pPr>
      <w:pStyle w:val="aa"/>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A8C7B8" w14:textId="77777777" w:rsidR="009D12AF" w:rsidRDefault="00000000">
    <w:pPr>
      <w:pStyle w:val="aa"/>
      <w:ind w:firstLine="360"/>
    </w:pPr>
    <w:r>
      <w:rPr>
        <w:noProof/>
      </w:rPr>
      <mc:AlternateContent>
        <mc:Choice Requires="wps">
          <w:drawing>
            <wp:anchor distT="0" distB="0" distL="114300" distR="114300" simplePos="0" relativeHeight="251663360" behindDoc="0" locked="0" layoutInCell="1" allowOverlap="1" wp14:anchorId="11E67E6E" wp14:editId="528CF8F5">
              <wp:simplePos x="0" y="0"/>
              <wp:positionH relativeFrom="margin">
                <wp:align>center</wp:align>
              </wp:positionH>
              <wp:positionV relativeFrom="paragraph">
                <wp:posOffset>0</wp:posOffset>
              </wp:positionV>
              <wp:extent cx="521335" cy="2159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521335" cy="215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48EE06" w14:textId="77777777" w:rsidR="009D12AF" w:rsidRDefault="00000000">
                          <w:pPr>
                            <w:pStyle w:val="aa"/>
                            <w:ind w:firstLine="360"/>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type w14:anchorId="11E67E6E" id="_x0000_t202" coordsize="21600,21600" o:spt="202" path="m,l,21600r21600,l21600,xe">
              <v:stroke joinstyle="miter"/>
              <v:path gradientshapeok="t" o:connecttype="rect"/>
            </v:shapetype>
            <v:shape id="文本框 58" o:spid="_x0000_s1071" type="#_x0000_t202" style="position:absolute;left:0;text-align:left;margin-left:0;margin-top:0;width:41.05pt;height:17pt;z-index:2516633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" filled="f" stroked="f" strokeweight=".5pt">
              <v:textbox inset="0,0,0,0">
                <w:txbxContent>
                  <w:p w14:paraId="7948EE06" w14:textId="77777777" w:rsidR="009D12AF" w:rsidRDefault="00000000">
                    <w:pPr>
                      <w:pStyle w:val="aa"/>
                      <w:ind w:firstLine="360"/>
                    </w:pPr>
                    <w:r>
                      <w:fldChar w:fldCharType="begin"/>
                    </w:r>
                    <w:r>
                      <w:instrText xml:space="preserve"> PAGE  \* MERGEFORMAT </w:instrText>
                    </w:r>
                    <w:r>
                      <w:fldChar w:fldCharType="separate"/>
                    </w:r>
                    <w:r>
                      <w:t>4</w:t>
                    </w:r>
                    <w:r>
                      <w:fldChar w:fldCharType="end"/>
                    </w:r>
                  </w:p>
                </w:txbxContent>
              </v:textbox>
              <w10:wrap anchorx="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4186B7" w14:textId="77777777" w:rsidR="009D12AF" w:rsidRDefault="009D12AF">
    <w:pPr>
      <w:pStyle w:val="aa"/>
      <w:ind w:firstLine="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2DEC10" w14:textId="77777777" w:rsidR="009D12AF" w:rsidRDefault="009D12AF">
    <w:pPr>
      <w:pStyle w:val="aa"/>
      <w:ind w:firstLine="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3690E2" w14:textId="77777777" w:rsidR="009D12AF" w:rsidRDefault="009D12AF">
    <w:pPr>
      <w:pStyle w:val="aa"/>
      <w:ind w:firstLine="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65D89A" w14:textId="77777777" w:rsidR="009D12AF" w:rsidRDefault="00000000">
    <w:pPr>
      <w:pStyle w:val="aa"/>
      <w:ind w:firstLine="360"/>
    </w:pPr>
    <w:r>
      <w:rPr>
        <w:noProof/>
      </w:rPr>
      <mc:AlternateContent>
        <mc:Choice Requires="wps">
          <w:drawing>
            <wp:anchor distT="0" distB="0" distL="114300" distR="114300" simplePos="0" relativeHeight="251673600" behindDoc="0" locked="0" layoutInCell="1" allowOverlap="1" wp14:anchorId="0537B549" wp14:editId="453262AC">
              <wp:simplePos x="0" y="0"/>
              <wp:positionH relativeFrom="margin">
                <wp:align>center</wp:align>
              </wp:positionH>
              <wp:positionV relativeFrom="paragraph">
                <wp:posOffset>0</wp:posOffset>
              </wp:positionV>
              <wp:extent cx="1828800" cy="1828800"/>
              <wp:effectExtent l="0" t="0" r="0" b="0"/>
              <wp:wrapNone/>
              <wp:docPr id="174" name="文本框 1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56DA9D" w14:textId="77777777" w:rsidR="009D12AF" w:rsidRDefault="00000000">
                          <w:pPr>
                            <w:pStyle w:val="aa"/>
                            <w:ind w:firstLine="360"/>
                          </w:pPr>
                          <w:r>
                            <w:fldChar w:fldCharType="begin"/>
                          </w:r>
                          <w:r>
                            <w:instrText xml:space="preserve"> PAGE  \* MERGEFORMAT </w:instrText>
                          </w:r>
                          <w:r>
                            <w:fldChar w:fldCharType="separate"/>
                          </w:r>
                          <w:r>
                            <w:t>393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537B549" id="_x0000_t202" coordsize="21600,21600" o:spt="202" path="m,l,21600r21600,l21600,xe">
              <v:stroke joinstyle="miter"/>
              <v:path gradientshapeok="t" o:connecttype="rect"/>
            </v:shapetype>
            <v:shape id="文本框 174" o:spid="_x0000_s1072" type="#_x0000_t202" style="position:absolute;left:0;text-align:left;margin-left:0;margin-top:0;width:2in;height:2in;z-index:25167360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" filled="f" stroked="f" strokeweight=".5pt">
              <v:textbox style="mso-fit-shape-to-text:t" inset="0,0,0,0">
                <w:txbxContent>
                  <w:p w14:paraId="1F56DA9D" w14:textId="77777777" w:rsidR="009D12AF" w:rsidRDefault="00000000">
                    <w:pPr>
                      <w:pStyle w:val="aa"/>
                      <w:ind w:firstLine="360"/>
                    </w:pPr>
                    <w:r>
                      <w:fldChar w:fldCharType="begin"/>
                    </w:r>
                    <w:r>
                      <w:instrText xml:space="preserve"> PAGE  \* MERGEFORMAT </w:instrText>
                    </w:r>
                    <w:r>
                      <w:fldChar w:fldCharType="separate"/>
                    </w:r>
                    <w:r>
                      <w:t>393</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B0B6C5" w14:textId="77777777" w:rsidR="00D402C6" w:rsidRDefault="00D402C6">
      <w:pPr>
        <w:ind w:firstLine="480"/>
      </w:pPr>
      <w:r>
        <w:separator/>
      </w:r>
    </w:p>
  </w:footnote>
  <w:footnote w:type="continuationSeparator" w:id="0">
    <w:p w14:paraId="1A4AD7E2" w14:textId="77777777" w:rsidR="00D402C6" w:rsidRDefault="00D402C6">
      <w:pPr>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CEEFFE" w14:textId="77777777" w:rsidR="00B0385A" w:rsidRDefault="00B0385A">
    <w:pPr>
      <w:pStyle w:val="ab"/>
      <w:ind w:firstLine="360"/>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613CE9" w14:textId="77777777" w:rsidR="00B0385A" w:rsidRDefault="00B0385A">
    <w:pPr>
      <w:pStyle w:val="ab"/>
      <w:ind w:firstLine="360"/>
      <w:rPr>
        <w:rFonts w:hint="eastAsia"/>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B9549F" w14:textId="77777777" w:rsidR="00B0385A" w:rsidRDefault="00B0385A">
    <w:pPr>
      <w:pStyle w:val="ab"/>
      <w:ind w:firstLine="360"/>
      <w:rPr>
        <w:rFonts w:hint="eastAsia"/>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56A863" w14:textId="77777777" w:rsidR="009D12AF" w:rsidRDefault="009D12AF">
    <w:pPr>
      <w:pStyle w:val="ab"/>
      <w:ind w:firstLine="360"/>
      <w:rPr>
        <w:rFonts w:hint="eastAsia"/>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5D47C" w14:textId="77777777" w:rsidR="009D12AF" w:rsidRDefault="009D12AF">
    <w:pPr>
      <w:pStyle w:val="ab"/>
      <w:ind w:firstLine="360"/>
      <w:rPr>
        <w:rFonts w:hint="eastAsia"/>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9C0F9E" w14:textId="77777777" w:rsidR="009D12AF" w:rsidRDefault="009D12AF">
    <w:pPr>
      <w:pStyle w:val="ab"/>
      <w:ind w:firstLine="360"/>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324250F"/>
    <w:multiLevelType w:val="singleLevel"/>
    <w:tmpl w:val="9324250F"/>
    <w:lvl w:ilvl="0">
      <w:start w:val="1"/>
      <w:numFmt w:val="decimal"/>
      <w:suff w:val="nothing"/>
      <w:lvlText w:val="%1、"/>
      <w:lvlJc w:val="left"/>
    </w:lvl>
  </w:abstractNum>
  <w:abstractNum w:abstractNumId="1" w15:restartNumberingAfterBreak="0">
    <w:nsid w:val="D9203648"/>
    <w:multiLevelType w:val="singleLevel"/>
    <w:tmpl w:val="D9203648"/>
    <w:lvl w:ilvl="0">
      <w:start w:val="4"/>
      <w:numFmt w:val="decimal"/>
      <w:suff w:val="nothing"/>
      <w:lvlText w:val="（%1）"/>
      <w:lvlJc w:val="left"/>
    </w:lvl>
  </w:abstractNum>
  <w:abstractNum w:abstractNumId="2" w15:restartNumberingAfterBreak="0">
    <w:nsid w:val="E218DDDA"/>
    <w:multiLevelType w:val="singleLevel"/>
    <w:tmpl w:val="E218DDDA"/>
    <w:lvl w:ilvl="0">
      <w:start w:val="1"/>
      <w:numFmt w:val="decimal"/>
      <w:suff w:val="nothing"/>
      <w:lvlText w:val="%1、"/>
      <w:lvlJc w:val="left"/>
    </w:lvl>
  </w:abstractNum>
  <w:abstractNum w:abstractNumId="3" w15:restartNumberingAfterBreak="0">
    <w:nsid w:val="E3E837D3"/>
    <w:multiLevelType w:val="singleLevel"/>
    <w:tmpl w:val="E3E837D3"/>
    <w:lvl w:ilvl="0">
      <w:start w:val="1"/>
      <w:numFmt w:val="decimal"/>
      <w:suff w:val="nothing"/>
      <w:lvlText w:val="（%1）"/>
      <w:lvlJc w:val="left"/>
    </w:lvl>
  </w:abstractNum>
  <w:abstractNum w:abstractNumId="4" w15:restartNumberingAfterBreak="0">
    <w:nsid w:val="01111BAD"/>
    <w:multiLevelType w:val="multilevel"/>
    <w:tmpl w:val="01111BAD"/>
    <w:lvl w:ilvl="0">
      <w:start w:val="1"/>
      <w:numFmt w:val="decimalEnclosedCircle"/>
      <w:lvlText w:val="%1"/>
      <w:lvlJc w:val="left"/>
      <w:pPr>
        <w:ind w:left="920" w:hanging="440"/>
      </w:pPr>
      <w:rPr>
        <w:rFonts w:hint="default"/>
      </w:rPr>
    </w:lvl>
    <w:lvl w:ilvl="1">
      <w:start w:val="1"/>
      <w:numFmt w:val="lowerLetter"/>
      <w:lvlText w:val="%2)"/>
      <w:lvlJc w:val="left"/>
      <w:pPr>
        <w:ind w:left="1360" w:hanging="440"/>
      </w:pPr>
    </w:lvl>
    <w:lvl w:ilvl="2">
      <w:start w:val="1"/>
      <w:numFmt w:val="lowerRoman"/>
      <w:lvlText w:val="%3."/>
      <w:lvlJc w:val="right"/>
      <w:pPr>
        <w:ind w:left="1800" w:hanging="440"/>
      </w:pPr>
    </w:lvl>
    <w:lvl w:ilvl="3">
      <w:start w:val="1"/>
      <w:numFmt w:val="decimal"/>
      <w:lvlText w:val="%4."/>
      <w:lvlJc w:val="left"/>
      <w:pPr>
        <w:ind w:left="2240" w:hanging="440"/>
      </w:pPr>
    </w:lvl>
    <w:lvl w:ilvl="4">
      <w:start w:val="1"/>
      <w:numFmt w:val="lowerLetter"/>
      <w:lvlText w:val="%5)"/>
      <w:lvlJc w:val="left"/>
      <w:pPr>
        <w:ind w:left="2680" w:hanging="440"/>
      </w:pPr>
    </w:lvl>
    <w:lvl w:ilvl="5">
      <w:start w:val="1"/>
      <w:numFmt w:val="lowerRoman"/>
      <w:lvlText w:val="%6."/>
      <w:lvlJc w:val="right"/>
      <w:pPr>
        <w:ind w:left="3120" w:hanging="440"/>
      </w:pPr>
    </w:lvl>
    <w:lvl w:ilvl="6">
      <w:start w:val="1"/>
      <w:numFmt w:val="decimal"/>
      <w:lvlText w:val="%7."/>
      <w:lvlJc w:val="left"/>
      <w:pPr>
        <w:ind w:left="3560" w:hanging="440"/>
      </w:pPr>
    </w:lvl>
    <w:lvl w:ilvl="7">
      <w:start w:val="1"/>
      <w:numFmt w:val="lowerLetter"/>
      <w:lvlText w:val="%8)"/>
      <w:lvlJc w:val="left"/>
      <w:pPr>
        <w:ind w:left="4000" w:hanging="440"/>
      </w:pPr>
    </w:lvl>
    <w:lvl w:ilvl="8">
      <w:start w:val="1"/>
      <w:numFmt w:val="lowerRoman"/>
      <w:lvlText w:val="%9."/>
      <w:lvlJc w:val="right"/>
      <w:pPr>
        <w:ind w:left="4440" w:hanging="440"/>
      </w:pPr>
    </w:lvl>
  </w:abstractNum>
  <w:abstractNum w:abstractNumId="5" w15:restartNumberingAfterBreak="0">
    <w:nsid w:val="076354BA"/>
    <w:multiLevelType w:val="singleLevel"/>
    <w:tmpl w:val="076354BA"/>
    <w:lvl w:ilvl="0">
      <w:start w:val="2"/>
      <w:numFmt w:val="chineseCounting"/>
      <w:suff w:val="nothing"/>
      <w:lvlText w:val="%1、"/>
      <w:lvlJc w:val="left"/>
      <w:rPr>
        <w:rFonts w:hint="eastAsia"/>
      </w:rPr>
    </w:lvl>
  </w:abstractNum>
  <w:abstractNum w:abstractNumId="6" w15:restartNumberingAfterBreak="0">
    <w:nsid w:val="0A837E95"/>
    <w:multiLevelType w:val="multilevel"/>
    <w:tmpl w:val="0A837E95"/>
    <w:lvl w:ilvl="0">
      <w:start w:val="1"/>
      <w:numFmt w:val="chineseCountingThousand"/>
      <w:suff w:val="space"/>
      <w:lvlText w:val="(%1)、"/>
      <w:lvlJc w:val="left"/>
      <w:pPr>
        <w:ind w:left="440" w:hanging="440"/>
      </w:pPr>
      <w:rPr>
        <w:rFonts w:ascii="Times New Roman" w:hAnsi="Times New Roman" w:cs="Times New Roman" w:hint="default"/>
        <w:b/>
        <w:bCs/>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7" w15:restartNumberingAfterBreak="0">
    <w:nsid w:val="1A683020"/>
    <w:multiLevelType w:val="multilevel"/>
    <w:tmpl w:val="1A683020"/>
    <w:lvl w:ilvl="0">
      <w:start w:val="1"/>
      <w:numFmt w:val="decimal"/>
      <w:lvlText w:val="(%1)"/>
      <w:lvlJc w:val="left"/>
      <w:pPr>
        <w:ind w:left="1007" w:hanging="440"/>
      </w:pPr>
      <w:rPr>
        <w:rFonts w:ascii="Times New Roman" w:hAnsi="Times New Roman" w:cs="Times New Roman" w:hint="default"/>
      </w:rPr>
    </w:lvl>
    <w:lvl w:ilvl="1">
      <w:start w:val="1"/>
      <w:numFmt w:val="lowerLetter"/>
      <w:lvlText w:val="%2)"/>
      <w:lvlJc w:val="left"/>
      <w:pPr>
        <w:ind w:left="1447" w:hanging="440"/>
      </w:pPr>
    </w:lvl>
    <w:lvl w:ilvl="2">
      <w:start w:val="1"/>
      <w:numFmt w:val="lowerRoman"/>
      <w:lvlText w:val="%3."/>
      <w:lvlJc w:val="right"/>
      <w:pPr>
        <w:ind w:left="1887" w:hanging="440"/>
      </w:pPr>
    </w:lvl>
    <w:lvl w:ilvl="3">
      <w:start w:val="1"/>
      <w:numFmt w:val="decimal"/>
      <w:lvlText w:val="%4."/>
      <w:lvlJc w:val="left"/>
      <w:pPr>
        <w:ind w:left="2327" w:hanging="440"/>
      </w:pPr>
    </w:lvl>
    <w:lvl w:ilvl="4">
      <w:start w:val="1"/>
      <w:numFmt w:val="lowerLetter"/>
      <w:lvlText w:val="%5)"/>
      <w:lvlJc w:val="left"/>
      <w:pPr>
        <w:ind w:left="2767" w:hanging="440"/>
      </w:pPr>
    </w:lvl>
    <w:lvl w:ilvl="5">
      <w:start w:val="1"/>
      <w:numFmt w:val="lowerRoman"/>
      <w:lvlText w:val="%6."/>
      <w:lvlJc w:val="right"/>
      <w:pPr>
        <w:ind w:left="3207" w:hanging="440"/>
      </w:pPr>
    </w:lvl>
    <w:lvl w:ilvl="6">
      <w:start w:val="1"/>
      <w:numFmt w:val="decimal"/>
      <w:lvlText w:val="%7."/>
      <w:lvlJc w:val="left"/>
      <w:pPr>
        <w:ind w:left="3647" w:hanging="440"/>
      </w:pPr>
    </w:lvl>
    <w:lvl w:ilvl="7">
      <w:start w:val="1"/>
      <w:numFmt w:val="lowerLetter"/>
      <w:lvlText w:val="%8)"/>
      <w:lvlJc w:val="left"/>
      <w:pPr>
        <w:ind w:left="4087" w:hanging="440"/>
      </w:pPr>
    </w:lvl>
    <w:lvl w:ilvl="8">
      <w:start w:val="1"/>
      <w:numFmt w:val="lowerRoman"/>
      <w:lvlText w:val="%9."/>
      <w:lvlJc w:val="right"/>
      <w:pPr>
        <w:ind w:left="4527" w:hanging="440"/>
      </w:pPr>
    </w:lvl>
  </w:abstractNum>
  <w:abstractNum w:abstractNumId="8" w15:restartNumberingAfterBreak="0">
    <w:nsid w:val="1B2D3735"/>
    <w:multiLevelType w:val="multilevel"/>
    <w:tmpl w:val="1B2D3735"/>
    <w:lvl w:ilvl="0">
      <w:start w:val="1"/>
      <w:numFmt w:val="decimal"/>
      <w:suff w:val="nothing"/>
      <w:lvlText w:val="%1、"/>
      <w:lvlJc w:val="left"/>
      <w:pPr>
        <w:ind w:left="0" w:firstLine="0"/>
      </w:pPr>
      <w:rPr>
        <w:rFonts w:hint="eastAsia"/>
      </w:rPr>
    </w:lvl>
    <w:lvl w:ilvl="1">
      <w:start w:val="1"/>
      <w:numFmt w:val="lowerLetter"/>
      <w:lvlText w:val="%2)"/>
      <w:lvlJc w:val="left"/>
      <w:pPr>
        <w:ind w:left="1022" w:hanging="440"/>
      </w:pPr>
    </w:lvl>
    <w:lvl w:ilvl="2">
      <w:start w:val="1"/>
      <w:numFmt w:val="lowerRoman"/>
      <w:lvlText w:val="%3."/>
      <w:lvlJc w:val="right"/>
      <w:pPr>
        <w:ind w:left="1462" w:hanging="440"/>
      </w:pPr>
    </w:lvl>
    <w:lvl w:ilvl="3">
      <w:start w:val="1"/>
      <w:numFmt w:val="decimal"/>
      <w:lvlText w:val="%4."/>
      <w:lvlJc w:val="left"/>
      <w:pPr>
        <w:ind w:left="1902" w:hanging="440"/>
      </w:pPr>
    </w:lvl>
    <w:lvl w:ilvl="4">
      <w:start w:val="1"/>
      <w:numFmt w:val="lowerLetter"/>
      <w:lvlText w:val="%5)"/>
      <w:lvlJc w:val="left"/>
      <w:pPr>
        <w:ind w:left="2342" w:hanging="440"/>
      </w:pPr>
    </w:lvl>
    <w:lvl w:ilvl="5">
      <w:start w:val="1"/>
      <w:numFmt w:val="lowerRoman"/>
      <w:lvlText w:val="%6."/>
      <w:lvlJc w:val="right"/>
      <w:pPr>
        <w:ind w:left="2782" w:hanging="440"/>
      </w:pPr>
    </w:lvl>
    <w:lvl w:ilvl="6">
      <w:start w:val="1"/>
      <w:numFmt w:val="decimal"/>
      <w:lvlText w:val="%7."/>
      <w:lvlJc w:val="left"/>
      <w:pPr>
        <w:ind w:left="3222" w:hanging="440"/>
      </w:pPr>
    </w:lvl>
    <w:lvl w:ilvl="7">
      <w:start w:val="1"/>
      <w:numFmt w:val="lowerLetter"/>
      <w:lvlText w:val="%8)"/>
      <w:lvlJc w:val="left"/>
      <w:pPr>
        <w:ind w:left="3662" w:hanging="440"/>
      </w:pPr>
    </w:lvl>
    <w:lvl w:ilvl="8">
      <w:start w:val="1"/>
      <w:numFmt w:val="lowerRoman"/>
      <w:lvlText w:val="%9."/>
      <w:lvlJc w:val="right"/>
      <w:pPr>
        <w:ind w:left="4102" w:hanging="440"/>
      </w:pPr>
    </w:lvl>
  </w:abstractNum>
  <w:abstractNum w:abstractNumId="9" w15:restartNumberingAfterBreak="0">
    <w:nsid w:val="1E5B3932"/>
    <w:multiLevelType w:val="multilevel"/>
    <w:tmpl w:val="1E5B3932"/>
    <w:lvl w:ilvl="0">
      <w:start w:val="1"/>
      <w:numFmt w:val="decimal"/>
      <w:suff w:val="nothing"/>
      <w:lvlText w:val="(%1)"/>
      <w:lvlJc w:val="left"/>
      <w:pPr>
        <w:ind w:left="0" w:firstLine="480"/>
      </w:pPr>
      <w:rPr>
        <w:rFonts w:hint="eastAsia"/>
      </w:rPr>
    </w:lvl>
    <w:lvl w:ilvl="1">
      <w:start w:val="1"/>
      <w:numFmt w:val="lowerLetter"/>
      <w:lvlText w:val="%2)"/>
      <w:lvlJc w:val="left"/>
      <w:pPr>
        <w:ind w:left="1360" w:hanging="440"/>
      </w:pPr>
    </w:lvl>
    <w:lvl w:ilvl="2">
      <w:start w:val="1"/>
      <w:numFmt w:val="lowerRoman"/>
      <w:lvlText w:val="%3."/>
      <w:lvlJc w:val="right"/>
      <w:pPr>
        <w:ind w:left="1800" w:hanging="440"/>
      </w:pPr>
    </w:lvl>
    <w:lvl w:ilvl="3">
      <w:start w:val="1"/>
      <w:numFmt w:val="decimal"/>
      <w:lvlText w:val="%4."/>
      <w:lvlJc w:val="left"/>
      <w:pPr>
        <w:ind w:left="2240" w:hanging="440"/>
      </w:pPr>
    </w:lvl>
    <w:lvl w:ilvl="4">
      <w:start w:val="1"/>
      <w:numFmt w:val="lowerLetter"/>
      <w:lvlText w:val="%5)"/>
      <w:lvlJc w:val="left"/>
      <w:pPr>
        <w:ind w:left="2680" w:hanging="440"/>
      </w:pPr>
    </w:lvl>
    <w:lvl w:ilvl="5">
      <w:start w:val="1"/>
      <w:numFmt w:val="lowerRoman"/>
      <w:lvlText w:val="%6."/>
      <w:lvlJc w:val="right"/>
      <w:pPr>
        <w:ind w:left="3120" w:hanging="440"/>
      </w:pPr>
    </w:lvl>
    <w:lvl w:ilvl="6">
      <w:start w:val="1"/>
      <w:numFmt w:val="decimal"/>
      <w:lvlText w:val="%7."/>
      <w:lvlJc w:val="left"/>
      <w:pPr>
        <w:ind w:left="3560" w:hanging="440"/>
      </w:pPr>
    </w:lvl>
    <w:lvl w:ilvl="7">
      <w:start w:val="1"/>
      <w:numFmt w:val="lowerLetter"/>
      <w:lvlText w:val="%8)"/>
      <w:lvlJc w:val="left"/>
      <w:pPr>
        <w:ind w:left="4000" w:hanging="440"/>
      </w:pPr>
    </w:lvl>
    <w:lvl w:ilvl="8">
      <w:start w:val="1"/>
      <w:numFmt w:val="lowerRoman"/>
      <w:lvlText w:val="%9."/>
      <w:lvlJc w:val="right"/>
      <w:pPr>
        <w:ind w:left="4440" w:hanging="440"/>
      </w:pPr>
    </w:lvl>
  </w:abstractNum>
  <w:abstractNum w:abstractNumId="10" w15:restartNumberingAfterBreak="0">
    <w:nsid w:val="2313D08D"/>
    <w:multiLevelType w:val="singleLevel"/>
    <w:tmpl w:val="2313D08D"/>
    <w:lvl w:ilvl="0">
      <w:start w:val="1"/>
      <w:numFmt w:val="decimal"/>
      <w:suff w:val="nothing"/>
      <w:lvlText w:val="%1、"/>
      <w:lvlJc w:val="left"/>
    </w:lvl>
  </w:abstractNum>
  <w:abstractNum w:abstractNumId="11" w15:restartNumberingAfterBreak="0">
    <w:nsid w:val="303D554A"/>
    <w:multiLevelType w:val="multilevel"/>
    <w:tmpl w:val="303D554A"/>
    <w:lvl w:ilvl="0">
      <w:start w:val="1"/>
      <w:numFmt w:val="chineseCountingThousand"/>
      <w:suff w:val="space"/>
      <w:lvlText w:val="(%1)、"/>
      <w:lvlJc w:val="left"/>
      <w:pPr>
        <w:ind w:left="0" w:firstLine="0"/>
      </w:pPr>
      <w:rPr>
        <w:rFonts w:hint="eastAsia"/>
        <w:b w:val="0"/>
        <w:bCs w:val="0"/>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2" w15:restartNumberingAfterBreak="0">
    <w:nsid w:val="36691097"/>
    <w:multiLevelType w:val="multilevel"/>
    <w:tmpl w:val="36691097"/>
    <w:lvl w:ilvl="0">
      <w:start w:val="1"/>
      <w:numFmt w:val="decimal"/>
      <w:lvlText w:val="%1)"/>
      <w:lvlJc w:val="left"/>
      <w:pPr>
        <w:ind w:left="440" w:hanging="440"/>
      </w:pPr>
      <w:rPr>
        <w:rFonts w:ascii="Times New Roman" w:eastAsia="宋体" w:hAnsi="Times New Roman" w:cs="Times New Roman" w:hint="default"/>
        <w:sz w:val="24"/>
        <w:szCs w:val="24"/>
      </w:rPr>
    </w:lvl>
    <w:lvl w:ilvl="1">
      <w:start w:val="1"/>
      <w:numFmt w:val="decimal"/>
      <w:lvlText w:val="（%2）"/>
      <w:lvlJc w:val="left"/>
      <w:pPr>
        <w:ind w:left="1160" w:hanging="720"/>
      </w:pPr>
      <w:rPr>
        <w:rFonts w:hint="default"/>
      </w:rPr>
    </w:lvl>
    <w:lvl w:ilvl="2">
      <w:start w:val="1"/>
      <w:numFmt w:val="decimalEnclosedCircle"/>
      <w:lvlText w:val="%3"/>
      <w:lvlJc w:val="left"/>
      <w:pPr>
        <w:ind w:left="1240" w:hanging="360"/>
      </w:pPr>
      <w:rPr>
        <w:rFonts w:hint="default"/>
        <w:color w:val="000000"/>
      </w:r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3" w15:restartNumberingAfterBreak="0">
    <w:nsid w:val="36BC162D"/>
    <w:multiLevelType w:val="multilevel"/>
    <w:tmpl w:val="36BC162D"/>
    <w:lvl w:ilvl="0">
      <w:start w:val="1"/>
      <w:numFmt w:val="chineseCountingThousand"/>
      <w:suff w:val="space"/>
      <w:lvlText w:val="(%1)、"/>
      <w:lvlJc w:val="left"/>
      <w:pPr>
        <w:ind w:left="0" w:firstLine="113"/>
      </w:pPr>
      <w:rPr>
        <w:rFonts w:hint="eastAsia"/>
        <w:b w:val="0"/>
        <w:bCs w:val="0"/>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4" w15:restartNumberingAfterBreak="0">
    <w:nsid w:val="3837BB84"/>
    <w:multiLevelType w:val="singleLevel"/>
    <w:tmpl w:val="3837BB84"/>
    <w:lvl w:ilvl="0">
      <w:start w:val="6"/>
      <w:numFmt w:val="chineseCounting"/>
      <w:suff w:val="nothing"/>
      <w:lvlText w:val="%1、"/>
      <w:lvlJc w:val="left"/>
      <w:rPr>
        <w:rFonts w:hint="eastAsia"/>
      </w:rPr>
    </w:lvl>
  </w:abstractNum>
  <w:abstractNum w:abstractNumId="15" w15:restartNumberingAfterBreak="0">
    <w:nsid w:val="511265D9"/>
    <w:multiLevelType w:val="multilevel"/>
    <w:tmpl w:val="511265D9"/>
    <w:lvl w:ilvl="0">
      <w:start w:val="1"/>
      <w:numFmt w:val="chineseCountingThousand"/>
      <w:suff w:val="space"/>
      <w:lvlText w:val="%1、"/>
      <w:lvlJc w:val="left"/>
      <w:pPr>
        <w:ind w:left="440" w:hanging="440"/>
      </w:pPr>
      <w:rPr>
        <w:rFonts w:ascii="Times New Roman" w:hAnsi="Times New Roman" w:cs="Times New Roman" w:hint="default"/>
        <w:b/>
        <w:bCs/>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6" w15:restartNumberingAfterBreak="0">
    <w:nsid w:val="51E59509"/>
    <w:multiLevelType w:val="singleLevel"/>
    <w:tmpl w:val="51E59509"/>
    <w:lvl w:ilvl="0">
      <w:start w:val="2"/>
      <w:numFmt w:val="decimal"/>
      <w:suff w:val="space"/>
      <w:lvlText w:val="%1."/>
      <w:lvlJc w:val="left"/>
    </w:lvl>
  </w:abstractNum>
  <w:abstractNum w:abstractNumId="17" w15:restartNumberingAfterBreak="0">
    <w:nsid w:val="5A7163E9"/>
    <w:multiLevelType w:val="multilevel"/>
    <w:tmpl w:val="5A7163E9"/>
    <w:lvl w:ilvl="0">
      <w:start w:val="1"/>
      <w:numFmt w:val="decimal"/>
      <w:lvlText w:val="%1"/>
      <w:lvlJc w:val="left"/>
      <w:pPr>
        <w:ind w:left="0" w:firstLine="0"/>
      </w:pPr>
      <w:rPr>
        <w:rFonts w:ascii="Times New Roman" w:hAnsi="Times New Roman" w:hint="default"/>
      </w:rPr>
    </w:lvl>
    <w:lvl w:ilvl="1">
      <w:start w:val="1"/>
      <w:numFmt w:val="lowerLetter"/>
      <w:lvlText w:val="%2)"/>
      <w:lvlJc w:val="left"/>
      <w:pPr>
        <w:ind w:left="1021" w:hanging="440"/>
      </w:pPr>
    </w:lvl>
    <w:lvl w:ilvl="2">
      <w:start w:val="1"/>
      <w:numFmt w:val="lowerRoman"/>
      <w:lvlText w:val="%3."/>
      <w:lvlJc w:val="right"/>
      <w:pPr>
        <w:ind w:left="1461" w:hanging="440"/>
      </w:pPr>
    </w:lvl>
    <w:lvl w:ilvl="3">
      <w:start w:val="1"/>
      <w:numFmt w:val="decimal"/>
      <w:lvlText w:val="%4."/>
      <w:lvlJc w:val="left"/>
      <w:pPr>
        <w:ind w:left="1901" w:hanging="440"/>
      </w:pPr>
    </w:lvl>
    <w:lvl w:ilvl="4">
      <w:start w:val="1"/>
      <w:numFmt w:val="lowerLetter"/>
      <w:lvlText w:val="%5)"/>
      <w:lvlJc w:val="left"/>
      <w:pPr>
        <w:ind w:left="2341" w:hanging="440"/>
      </w:pPr>
    </w:lvl>
    <w:lvl w:ilvl="5">
      <w:start w:val="1"/>
      <w:numFmt w:val="lowerRoman"/>
      <w:lvlText w:val="%6."/>
      <w:lvlJc w:val="right"/>
      <w:pPr>
        <w:ind w:left="2781" w:hanging="440"/>
      </w:pPr>
    </w:lvl>
    <w:lvl w:ilvl="6">
      <w:start w:val="1"/>
      <w:numFmt w:val="decimal"/>
      <w:lvlText w:val="%7."/>
      <w:lvlJc w:val="left"/>
      <w:pPr>
        <w:ind w:left="3221" w:hanging="440"/>
      </w:pPr>
    </w:lvl>
    <w:lvl w:ilvl="7">
      <w:start w:val="1"/>
      <w:numFmt w:val="lowerLetter"/>
      <w:lvlText w:val="%8)"/>
      <w:lvlJc w:val="left"/>
      <w:pPr>
        <w:ind w:left="3661" w:hanging="440"/>
      </w:pPr>
    </w:lvl>
    <w:lvl w:ilvl="8">
      <w:start w:val="1"/>
      <w:numFmt w:val="lowerRoman"/>
      <w:lvlText w:val="%9."/>
      <w:lvlJc w:val="right"/>
      <w:pPr>
        <w:ind w:left="4101" w:hanging="440"/>
      </w:pPr>
    </w:lvl>
  </w:abstractNum>
  <w:abstractNum w:abstractNumId="18" w15:restartNumberingAfterBreak="0">
    <w:nsid w:val="5DE97A26"/>
    <w:multiLevelType w:val="multilevel"/>
    <w:tmpl w:val="5DE97A26"/>
    <w:lvl w:ilvl="0">
      <w:start w:val="1"/>
      <w:numFmt w:val="chineseCountingThousand"/>
      <w:lvlText w:val="%1、"/>
      <w:lvlJc w:val="left"/>
      <w:pPr>
        <w:ind w:left="440" w:hanging="440"/>
      </w:pPr>
      <w:rPr>
        <w:rFonts w:ascii="Times New Roman" w:hAnsi="Times New Roman" w:cs="Times New Roman" w:hint="default"/>
        <w:b/>
        <w:bCs/>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9" w15:restartNumberingAfterBreak="0">
    <w:nsid w:val="5F9767D9"/>
    <w:multiLevelType w:val="multilevel"/>
    <w:tmpl w:val="5F9767D9"/>
    <w:lvl w:ilvl="0">
      <w:start w:val="1"/>
      <w:numFmt w:val="decimal"/>
      <w:suff w:val="nothing"/>
      <w:lvlText w:val="%1、"/>
      <w:lvlJc w:val="left"/>
      <w:pPr>
        <w:ind w:left="440" w:hanging="440"/>
      </w:pPr>
      <w:rPr>
        <w:rFonts w:hint="eastAsia"/>
        <w:i w:val="0"/>
        <w:iCs w:val="0"/>
        <w:spacing w:val="0"/>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20" w15:restartNumberingAfterBreak="0">
    <w:nsid w:val="646F4403"/>
    <w:multiLevelType w:val="multilevel"/>
    <w:tmpl w:val="646F4403"/>
    <w:lvl w:ilvl="0">
      <w:start w:val="1"/>
      <w:numFmt w:val="chineseCountingThousand"/>
      <w:lvlText w:val="%1、"/>
      <w:lvlJc w:val="left"/>
      <w:pPr>
        <w:ind w:left="0" w:firstLine="0"/>
      </w:pPr>
      <w:rPr>
        <w:rFonts w:hint="eastAsia"/>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21" w15:restartNumberingAfterBreak="0">
    <w:nsid w:val="65694478"/>
    <w:multiLevelType w:val="multilevel"/>
    <w:tmpl w:val="65694478"/>
    <w:lvl w:ilvl="0">
      <w:start w:val="1"/>
      <w:numFmt w:val="decimal"/>
      <w:lvlText w:val="(%1)"/>
      <w:lvlJc w:val="left"/>
      <w:pPr>
        <w:ind w:left="880" w:hanging="440"/>
      </w:pPr>
      <w:rPr>
        <w:rFonts w:hint="eastAsia"/>
      </w:rPr>
    </w:lvl>
    <w:lvl w:ilvl="1">
      <w:start w:val="1"/>
      <w:numFmt w:val="lowerLetter"/>
      <w:lvlText w:val="%2)"/>
      <w:lvlJc w:val="left"/>
      <w:pPr>
        <w:ind w:left="1320" w:hanging="440"/>
      </w:pPr>
    </w:lvl>
    <w:lvl w:ilvl="2">
      <w:start w:val="1"/>
      <w:numFmt w:val="lowerRoman"/>
      <w:lvlText w:val="%3."/>
      <w:lvlJc w:val="right"/>
      <w:pPr>
        <w:ind w:left="1760" w:hanging="440"/>
      </w:pPr>
    </w:lvl>
    <w:lvl w:ilvl="3">
      <w:start w:val="1"/>
      <w:numFmt w:val="decimal"/>
      <w:lvlText w:val="%4."/>
      <w:lvlJc w:val="left"/>
      <w:pPr>
        <w:ind w:left="2200" w:hanging="440"/>
      </w:pPr>
    </w:lvl>
    <w:lvl w:ilvl="4">
      <w:start w:val="1"/>
      <w:numFmt w:val="lowerLetter"/>
      <w:lvlText w:val="%5)"/>
      <w:lvlJc w:val="left"/>
      <w:pPr>
        <w:ind w:left="2640" w:hanging="440"/>
      </w:pPr>
    </w:lvl>
    <w:lvl w:ilvl="5">
      <w:start w:val="1"/>
      <w:numFmt w:val="lowerRoman"/>
      <w:lvlText w:val="%6."/>
      <w:lvlJc w:val="right"/>
      <w:pPr>
        <w:ind w:left="3080" w:hanging="440"/>
      </w:pPr>
    </w:lvl>
    <w:lvl w:ilvl="6">
      <w:start w:val="1"/>
      <w:numFmt w:val="decimal"/>
      <w:lvlText w:val="%7."/>
      <w:lvlJc w:val="left"/>
      <w:pPr>
        <w:ind w:left="3520" w:hanging="440"/>
      </w:pPr>
    </w:lvl>
    <w:lvl w:ilvl="7">
      <w:start w:val="1"/>
      <w:numFmt w:val="lowerLetter"/>
      <w:lvlText w:val="%8)"/>
      <w:lvlJc w:val="left"/>
      <w:pPr>
        <w:ind w:left="3960" w:hanging="440"/>
      </w:pPr>
    </w:lvl>
    <w:lvl w:ilvl="8">
      <w:start w:val="1"/>
      <w:numFmt w:val="lowerRoman"/>
      <w:lvlText w:val="%9."/>
      <w:lvlJc w:val="right"/>
      <w:pPr>
        <w:ind w:left="4400" w:hanging="440"/>
      </w:pPr>
    </w:lvl>
  </w:abstractNum>
  <w:abstractNum w:abstractNumId="22" w15:restartNumberingAfterBreak="0">
    <w:nsid w:val="65B93B5E"/>
    <w:multiLevelType w:val="multilevel"/>
    <w:tmpl w:val="65B93B5E"/>
    <w:lvl w:ilvl="0">
      <w:start w:val="1"/>
      <w:numFmt w:val="decimal"/>
      <w:suff w:val="space"/>
      <w:lvlText w:val="%1、"/>
      <w:lvlJc w:val="left"/>
      <w:pPr>
        <w:ind w:left="440" w:hanging="440"/>
      </w:pPr>
      <w:rPr>
        <w:rFonts w:hint="eastAsia"/>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23" w15:restartNumberingAfterBreak="0">
    <w:nsid w:val="6E574EA1"/>
    <w:multiLevelType w:val="multilevel"/>
    <w:tmpl w:val="6E574EA1"/>
    <w:lvl w:ilvl="0">
      <w:start w:val="1"/>
      <w:numFmt w:val="chineseCountingThousand"/>
      <w:suff w:val="space"/>
      <w:lvlText w:val="(%1)、"/>
      <w:lvlJc w:val="left"/>
      <w:pPr>
        <w:ind w:left="440" w:hanging="440"/>
      </w:pPr>
      <w:rPr>
        <w:rFonts w:ascii="Times New Roman" w:hAnsi="Times New Roman" w:cs="Times New Roman" w:hint="default"/>
        <w:b/>
        <w:bCs/>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24" w15:restartNumberingAfterBreak="0">
    <w:nsid w:val="709C54C2"/>
    <w:multiLevelType w:val="multilevel"/>
    <w:tmpl w:val="709C54C2"/>
    <w:lvl w:ilvl="0">
      <w:start w:val="1"/>
      <w:numFmt w:val="decimal"/>
      <w:lvlText w:val="(%1)"/>
      <w:lvlJc w:val="left"/>
      <w:pPr>
        <w:ind w:left="920" w:hanging="440"/>
      </w:pPr>
      <w:rPr>
        <w:rFonts w:hint="eastAsia"/>
      </w:rPr>
    </w:lvl>
    <w:lvl w:ilvl="1">
      <w:start w:val="1"/>
      <w:numFmt w:val="decimal"/>
      <w:lvlText w:val="(%2)"/>
      <w:lvlJc w:val="left"/>
      <w:pPr>
        <w:ind w:left="1007" w:hanging="440"/>
      </w:pPr>
      <w:rPr>
        <w:rFonts w:hint="eastAsia"/>
      </w:rPr>
    </w:lvl>
    <w:lvl w:ilvl="2">
      <w:start w:val="1"/>
      <w:numFmt w:val="lowerRoman"/>
      <w:lvlText w:val="%3."/>
      <w:lvlJc w:val="right"/>
      <w:pPr>
        <w:ind w:left="1800" w:hanging="440"/>
      </w:pPr>
    </w:lvl>
    <w:lvl w:ilvl="3">
      <w:start w:val="1"/>
      <w:numFmt w:val="decimal"/>
      <w:lvlText w:val="%4."/>
      <w:lvlJc w:val="left"/>
      <w:pPr>
        <w:ind w:left="2240" w:hanging="440"/>
      </w:pPr>
    </w:lvl>
    <w:lvl w:ilvl="4">
      <w:start w:val="1"/>
      <w:numFmt w:val="lowerLetter"/>
      <w:lvlText w:val="%5)"/>
      <w:lvlJc w:val="left"/>
      <w:pPr>
        <w:ind w:left="2680" w:hanging="440"/>
      </w:pPr>
    </w:lvl>
    <w:lvl w:ilvl="5">
      <w:start w:val="1"/>
      <w:numFmt w:val="lowerRoman"/>
      <w:lvlText w:val="%6."/>
      <w:lvlJc w:val="right"/>
      <w:pPr>
        <w:ind w:left="3120" w:hanging="440"/>
      </w:pPr>
    </w:lvl>
    <w:lvl w:ilvl="6">
      <w:start w:val="1"/>
      <w:numFmt w:val="decimal"/>
      <w:lvlText w:val="%7."/>
      <w:lvlJc w:val="left"/>
      <w:pPr>
        <w:ind w:left="3560" w:hanging="440"/>
      </w:pPr>
    </w:lvl>
    <w:lvl w:ilvl="7">
      <w:start w:val="1"/>
      <w:numFmt w:val="lowerLetter"/>
      <w:lvlText w:val="%8)"/>
      <w:lvlJc w:val="left"/>
      <w:pPr>
        <w:ind w:left="4000" w:hanging="440"/>
      </w:pPr>
    </w:lvl>
    <w:lvl w:ilvl="8">
      <w:start w:val="1"/>
      <w:numFmt w:val="lowerRoman"/>
      <w:lvlText w:val="%9."/>
      <w:lvlJc w:val="right"/>
      <w:pPr>
        <w:ind w:left="4440" w:hanging="440"/>
      </w:pPr>
    </w:lvl>
  </w:abstractNum>
  <w:abstractNum w:abstractNumId="25" w15:restartNumberingAfterBreak="0">
    <w:nsid w:val="70D97BC4"/>
    <w:multiLevelType w:val="multilevel"/>
    <w:tmpl w:val="70D97BC4"/>
    <w:lvl w:ilvl="0">
      <w:start w:val="1"/>
      <w:numFmt w:val="decimal"/>
      <w:suff w:val="space"/>
      <w:lvlText w:val="%1、"/>
      <w:lvlJc w:val="left"/>
      <w:pPr>
        <w:ind w:left="440" w:hanging="440"/>
      </w:pPr>
      <w:rPr>
        <w:rFonts w:hint="eastAsia"/>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26" w15:restartNumberingAfterBreak="0">
    <w:nsid w:val="71AE5E79"/>
    <w:multiLevelType w:val="multilevel"/>
    <w:tmpl w:val="71AE5E79"/>
    <w:lvl w:ilvl="0">
      <w:start w:val="1"/>
      <w:numFmt w:val="decimal"/>
      <w:lvlText w:val="(%1)"/>
      <w:lvlJc w:val="left"/>
      <w:pPr>
        <w:ind w:left="920" w:hanging="440"/>
      </w:pPr>
      <w:rPr>
        <w:rFonts w:hint="eastAsia"/>
        <w:sz w:val="24"/>
        <w:szCs w:val="24"/>
      </w:rPr>
    </w:lvl>
    <w:lvl w:ilvl="1">
      <w:start w:val="1"/>
      <w:numFmt w:val="lowerLetter"/>
      <w:lvlText w:val="%2)"/>
      <w:lvlJc w:val="left"/>
      <w:pPr>
        <w:ind w:left="1360" w:hanging="440"/>
      </w:pPr>
    </w:lvl>
    <w:lvl w:ilvl="2">
      <w:start w:val="1"/>
      <w:numFmt w:val="lowerRoman"/>
      <w:lvlText w:val="%3."/>
      <w:lvlJc w:val="right"/>
      <w:pPr>
        <w:ind w:left="1800" w:hanging="440"/>
      </w:pPr>
    </w:lvl>
    <w:lvl w:ilvl="3">
      <w:start w:val="1"/>
      <w:numFmt w:val="decimal"/>
      <w:lvlText w:val="%4."/>
      <w:lvlJc w:val="left"/>
      <w:pPr>
        <w:ind w:left="2240" w:hanging="440"/>
      </w:pPr>
    </w:lvl>
    <w:lvl w:ilvl="4">
      <w:start w:val="1"/>
      <w:numFmt w:val="lowerLetter"/>
      <w:lvlText w:val="%5)"/>
      <w:lvlJc w:val="left"/>
      <w:pPr>
        <w:ind w:left="2680" w:hanging="440"/>
      </w:pPr>
    </w:lvl>
    <w:lvl w:ilvl="5">
      <w:start w:val="1"/>
      <w:numFmt w:val="lowerRoman"/>
      <w:lvlText w:val="%6."/>
      <w:lvlJc w:val="right"/>
      <w:pPr>
        <w:ind w:left="3120" w:hanging="440"/>
      </w:pPr>
    </w:lvl>
    <w:lvl w:ilvl="6">
      <w:start w:val="1"/>
      <w:numFmt w:val="decimal"/>
      <w:lvlText w:val="%7."/>
      <w:lvlJc w:val="left"/>
      <w:pPr>
        <w:ind w:left="3560" w:hanging="440"/>
      </w:pPr>
    </w:lvl>
    <w:lvl w:ilvl="7">
      <w:start w:val="1"/>
      <w:numFmt w:val="lowerLetter"/>
      <w:lvlText w:val="%8)"/>
      <w:lvlJc w:val="left"/>
      <w:pPr>
        <w:ind w:left="4000" w:hanging="440"/>
      </w:pPr>
    </w:lvl>
    <w:lvl w:ilvl="8">
      <w:start w:val="1"/>
      <w:numFmt w:val="lowerRoman"/>
      <w:lvlText w:val="%9."/>
      <w:lvlJc w:val="right"/>
      <w:pPr>
        <w:ind w:left="4440" w:hanging="440"/>
      </w:pPr>
    </w:lvl>
  </w:abstractNum>
  <w:abstractNum w:abstractNumId="27" w15:restartNumberingAfterBreak="0">
    <w:nsid w:val="7350112C"/>
    <w:multiLevelType w:val="singleLevel"/>
    <w:tmpl w:val="7350112C"/>
    <w:lvl w:ilvl="0">
      <w:start w:val="2"/>
      <w:numFmt w:val="decimal"/>
      <w:suff w:val="nothing"/>
      <w:lvlText w:val="%1、"/>
      <w:lvlJc w:val="left"/>
    </w:lvl>
  </w:abstractNum>
  <w:abstractNum w:abstractNumId="28" w15:restartNumberingAfterBreak="0">
    <w:nsid w:val="78A81E41"/>
    <w:multiLevelType w:val="multilevel"/>
    <w:tmpl w:val="78A81E41"/>
    <w:lvl w:ilvl="0">
      <w:start w:val="1"/>
      <w:numFmt w:val="chineseCountingThousand"/>
      <w:suff w:val="nothing"/>
      <w:lvlText w:val="%1、"/>
      <w:lvlJc w:val="left"/>
      <w:pPr>
        <w:ind w:left="0" w:firstLine="113"/>
      </w:pPr>
      <w:rPr>
        <w:rFonts w:ascii="Times New Roman" w:hAnsi="Times New Roman" w:cs="Times New Roman" w:hint="default"/>
      </w:rPr>
    </w:lvl>
    <w:lvl w:ilvl="1">
      <w:start w:val="1"/>
      <w:numFmt w:val="lowerLetter"/>
      <w:lvlText w:val="%2)"/>
      <w:lvlJc w:val="left"/>
      <w:pPr>
        <w:ind w:left="1022" w:hanging="440"/>
      </w:pPr>
    </w:lvl>
    <w:lvl w:ilvl="2">
      <w:start w:val="1"/>
      <w:numFmt w:val="lowerRoman"/>
      <w:lvlText w:val="%3."/>
      <w:lvlJc w:val="right"/>
      <w:pPr>
        <w:ind w:left="1462" w:hanging="440"/>
      </w:pPr>
    </w:lvl>
    <w:lvl w:ilvl="3">
      <w:start w:val="1"/>
      <w:numFmt w:val="decimal"/>
      <w:lvlText w:val="%4."/>
      <w:lvlJc w:val="left"/>
      <w:pPr>
        <w:ind w:left="1902" w:hanging="440"/>
      </w:pPr>
    </w:lvl>
    <w:lvl w:ilvl="4">
      <w:start w:val="1"/>
      <w:numFmt w:val="lowerLetter"/>
      <w:lvlText w:val="%5)"/>
      <w:lvlJc w:val="left"/>
      <w:pPr>
        <w:ind w:left="2342" w:hanging="440"/>
      </w:pPr>
    </w:lvl>
    <w:lvl w:ilvl="5">
      <w:start w:val="1"/>
      <w:numFmt w:val="lowerRoman"/>
      <w:lvlText w:val="%6."/>
      <w:lvlJc w:val="right"/>
      <w:pPr>
        <w:ind w:left="2782" w:hanging="440"/>
      </w:pPr>
    </w:lvl>
    <w:lvl w:ilvl="6">
      <w:start w:val="1"/>
      <w:numFmt w:val="decimal"/>
      <w:lvlText w:val="%7."/>
      <w:lvlJc w:val="left"/>
      <w:pPr>
        <w:ind w:left="3222" w:hanging="440"/>
      </w:pPr>
    </w:lvl>
    <w:lvl w:ilvl="7">
      <w:start w:val="1"/>
      <w:numFmt w:val="lowerLetter"/>
      <w:lvlText w:val="%8)"/>
      <w:lvlJc w:val="left"/>
      <w:pPr>
        <w:ind w:left="3662" w:hanging="440"/>
      </w:pPr>
    </w:lvl>
    <w:lvl w:ilvl="8">
      <w:start w:val="1"/>
      <w:numFmt w:val="lowerRoman"/>
      <w:lvlText w:val="%9."/>
      <w:lvlJc w:val="right"/>
      <w:pPr>
        <w:ind w:left="4102" w:hanging="440"/>
      </w:pPr>
    </w:lvl>
  </w:abstractNum>
  <w:num w:numId="1" w16cid:durableId="153254775">
    <w:abstractNumId w:val="27"/>
  </w:num>
  <w:num w:numId="2" w16cid:durableId="356388634">
    <w:abstractNumId w:val="1"/>
  </w:num>
  <w:num w:numId="3" w16cid:durableId="1418404281">
    <w:abstractNumId w:val="3"/>
  </w:num>
  <w:num w:numId="4" w16cid:durableId="1909614074">
    <w:abstractNumId w:val="16"/>
  </w:num>
  <w:num w:numId="5" w16cid:durableId="827742916">
    <w:abstractNumId w:val="2"/>
  </w:num>
  <w:num w:numId="6" w16cid:durableId="1912497660">
    <w:abstractNumId w:val="5"/>
  </w:num>
  <w:num w:numId="7" w16cid:durableId="1629118513">
    <w:abstractNumId w:val="0"/>
  </w:num>
  <w:num w:numId="8" w16cid:durableId="749693152">
    <w:abstractNumId w:val="10"/>
  </w:num>
  <w:num w:numId="9" w16cid:durableId="13503687">
    <w:abstractNumId w:val="26"/>
  </w:num>
  <w:num w:numId="10" w16cid:durableId="1828277044">
    <w:abstractNumId w:val="7"/>
  </w:num>
  <w:num w:numId="11" w16cid:durableId="1179152481">
    <w:abstractNumId w:val="12"/>
  </w:num>
  <w:num w:numId="12" w16cid:durableId="91249123">
    <w:abstractNumId w:val="21"/>
  </w:num>
  <w:num w:numId="13" w16cid:durableId="1010643395">
    <w:abstractNumId w:val="24"/>
  </w:num>
  <w:num w:numId="14" w16cid:durableId="325282203">
    <w:abstractNumId w:val="14"/>
  </w:num>
  <w:num w:numId="15" w16cid:durableId="942760362">
    <w:abstractNumId w:val="28"/>
  </w:num>
  <w:num w:numId="16" w16cid:durableId="465969059">
    <w:abstractNumId w:val="13"/>
  </w:num>
  <w:num w:numId="17" w16cid:durableId="1790080850">
    <w:abstractNumId w:val="8"/>
  </w:num>
  <w:num w:numId="18" w16cid:durableId="1146049738">
    <w:abstractNumId w:val="20"/>
  </w:num>
  <w:num w:numId="19" w16cid:durableId="1241210626">
    <w:abstractNumId w:val="11"/>
  </w:num>
  <w:num w:numId="20" w16cid:durableId="1296334222">
    <w:abstractNumId w:val="25"/>
  </w:num>
  <w:num w:numId="21" w16cid:durableId="1750498015">
    <w:abstractNumId w:val="15"/>
  </w:num>
  <w:num w:numId="22" w16cid:durableId="620920050">
    <w:abstractNumId w:val="23"/>
  </w:num>
  <w:num w:numId="23" w16cid:durableId="1786726488">
    <w:abstractNumId w:val="19"/>
  </w:num>
  <w:num w:numId="24" w16cid:durableId="426270805">
    <w:abstractNumId w:val="23"/>
    <w:lvlOverride w:ilvl="0">
      <w:lvl w:ilvl="0">
        <w:start w:val="1"/>
        <w:numFmt w:val="chineseCountingThousand"/>
        <w:suff w:val="nothing"/>
        <w:lvlText w:val="(%1)、"/>
        <w:lvlJc w:val="left"/>
        <w:pPr>
          <w:ind w:left="113" w:hanging="113"/>
        </w:pPr>
        <w:rPr>
          <w:rFonts w:ascii="Times New Roman" w:hAnsi="Times New Roman" w:cs="Times New Roman" w:hint="default"/>
          <w:b/>
          <w:bCs/>
        </w:rPr>
      </w:lvl>
    </w:lvlOverride>
    <w:lvlOverride w:ilvl="1">
      <w:lvl w:ilvl="1" w:tentative="1">
        <w:start w:val="1"/>
        <w:numFmt w:val="lowerLetter"/>
        <w:lvlText w:val="%2)"/>
        <w:lvlJc w:val="left"/>
        <w:pPr>
          <w:ind w:left="880" w:hanging="440"/>
        </w:pPr>
      </w:lvl>
    </w:lvlOverride>
    <w:lvlOverride w:ilvl="2">
      <w:lvl w:ilvl="2" w:tentative="1">
        <w:start w:val="1"/>
        <w:numFmt w:val="lowerRoman"/>
        <w:lvlText w:val="%3."/>
        <w:lvlJc w:val="right"/>
        <w:pPr>
          <w:ind w:left="1320" w:hanging="440"/>
        </w:pPr>
      </w:lvl>
    </w:lvlOverride>
    <w:lvlOverride w:ilvl="3">
      <w:lvl w:ilvl="3" w:tentative="1">
        <w:start w:val="1"/>
        <w:numFmt w:val="decimal"/>
        <w:lvlText w:val="%4."/>
        <w:lvlJc w:val="left"/>
        <w:pPr>
          <w:ind w:left="1760" w:hanging="440"/>
        </w:pPr>
      </w:lvl>
    </w:lvlOverride>
    <w:lvlOverride w:ilvl="4">
      <w:lvl w:ilvl="4" w:tentative="1">
        <w:start w:val="1"/>
        <w:numFmt w:val="lowerLetter"/>
        <w:lvlText w:val="%5)"/>
        <w:lvlJc w:val="left"/>
        <w:pPr>
          <w:ind w:left="2200" w:hanging="440"/>
        </w:pPr>
      </w:lvl>
    </w:lvlOverride>
    <w:lvlOverride w:ilvl="5">
      <w:lvl w:ilvl="5" w:tentative="1">
        <w:start w:val="1"/>
        <w:numFmt w:val="lowerRoman"/>
        <w:lvlText w:val="%6."/>
        <w:lvlJc w:val="right"/>
        <w:pPr>
          <w:ind w:left="2640" w:hanging="440"/>
        </w:pPr>
      </w:lvl>
    </w:lvlOverride>
    <w:lvlOverride w:ilvl="6">
      <w:lvl w:ilvl="6" w:tentative="1">
        <w:start w:val="1"/>
        <w:numFmt w:val="decimal"/>
        <w:lvlText w:val="%7."/>
        <w:lvlJc w:val="left"/>
        <w:pPr>
          <w:ind w:left="3080" w:hanging="440"/>
        </w:pPr>
      </w:lvl>
    </w:lvlOverride>
    <w:lvlOverride w:ilvl="7">
      <w:lvl w:ilvl="7" w:tentative="1">
        <w:start w:val="1"/>
        <w:numFmt w:val="lowerLetter"/>
        <w:lvlText w:val="%8)"/>
        <w:lvlJc w:val="left"/>
        <w:pPr>
          <w:ind w:left="3520" w:hanging="440"/>
        </w:pPr>
      </w:lvl>
    </w:lvlOverride>
    <w:lvlOverride w:ilvl="8">
      <w:lvl w:ilvl="8" w:tentative="1">
        <w:start w:val="1"/>
        <w:numFmt w:val="lowerRoman"/>
        <w:lvlText w:val="%9."/>
        <w:lvlJc w:val="right"/>
        <w:pPr>
          <w:ind w:left="3960" w:hanging="440"/>
        </w:pPr>
      </w:lvl>
    </w:lvlOverride>
  </w:num>
  <w:num w:numId="25" w16cid:durableId="1621885052">
    <w:abstractNumId w:val="18"/>
  </w:num>
  <w:num w:numId="26" w16cid:durableId="657925475">
    <w:abstractNumId w:val="6"/>
  </w:num>
  <w:num w:numId="27" w16cid:durableId="92358293">
    <w:abstractNumId w:val="22"/>
  </w:num>
  <w:num w:numId="28" w16cid:durableId="1919047914">
    <w:abstractNumId w:val="17"/>
  </w:num>
  <w:num w:numId="29" w16cid:durableId="1523320675">
    <w:abstractNumId w:val="9"/>
  </w:num>
  <w:num w:numId="30" w16cid:durableId="164103740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MDI1NmIxMDI3MGRmOTU3YzEwOTI0MDNiMGNkMmQ1ZDcifQ=="/>
  </w:docVars>
  <w:rsids>
    <w:rsidRoot w:val="6CFE6E5C"/>
    <w:rsid w:val="00245594"/>
    <w:rsid w:val="002877ED"/>
    <w:rsid w:val="00571787"/>
    <w:rsid w:val="0089189B"/>
    <w:rsid w:val="008D4EE8"/>
    <w:rsid w:val="009D12AF"/>
    <w:rsid w:val="00B0385A"/>
    <w:rsid w:val="00BA1A55"/>
    <w:rsid w:val="00BC757B"/>
    <w:rsid w:val="00D402C6"/>
    <w:rsid w:val="00E8303A"/>
    <w:rsid w:val="01045EB7"/>
    <w:rsid w:val="01272A97"/>
    <w:rsid w:val="01787801"/>
    <w:rsid w:val="01BA5779"/>
    <w:rsid w:val="01EC5C3E"/>
    <w:rsid w:val="01F114A6"/>
    <w:rsid w:val="020016E9"/>
    <w:rsid w:val="02011D59"/>
    <w:rsid w:val="0246107B"/>
    <w:rsid w:val="02773CE6"/>
    <w:rsid w:val="02A554EF"/>
    <w:rsid w:val="02A86FB3"/>
    <w:rsid w:val="02BF3353"/>
    <w:rsid w:val="02C83C1F"/>
    <w:rsid w:val="02ED5D86"/>
    <w:rsid w:val="03451AAA"/>
    <w:rsid w:val="037D5D1F"/>
    <w:rsid w:val="03D270B5"/>
    <w:rsid w:val="040268EB"/>
    <w:rsid w:val="041476CE"/>
    <w:rsid w:val="04194CE4"/>
    <w:rsid w:val="04310280"/>
    <w:rsid w:val="043A5387"/>
    <w:rsid w:val="045C354F"/>
    <w:rsid w:val="04762137"/>
    <w:rsid w:val="047A39D5"/>
    <w:rsid w:val="049802FF"/>
    <w:rsid w:val="04A26983"/>
    <w:rsid w:val="04A46CB4"/>
    <w:rsid w:val="04BF57BC"/>
    <w:rsid w:val="04C64E6C"/>
    <w:rsid w:val="04CB3BFD"/>
    <w:rsid w:val="04D06CF5"/>
    <w:rsid w:val="04DE21B6"/>
    <w:rsid w:val="05227EE0"/>
    <w:rsid w:val="05526700"/>
    <w:rsid w:val="062E2CC9"/>
    <w:rsid w:val="06700636"/>
    <w:rsid w:val="06710E08"/>
    <w:rsid w:val="0681518A"/>
    <w:rsid w:val="06DB68E1"/>
    <w:rsid w:val="071C10C0"/>
    <w:rsid w:val="07267A7A"/>
    <w:rsid w:val="07A07BF6"/>
    <w:rsid w:val="07BC60B3"/>
    <w:rsid w:val="07D379FD"/>
    <w:rsid w:val="07F5280A"/>
    <w:rsid w:val="081E0B1B"/>
    <w:rsid w:val="089963F4"/>
    <w:rsid w:val="08A72A75"/>
    <w:rsid w:val="08B15A45"/>
    <w:rsid w:val="08BB3972"/>
    <w:rsid w:val="08E13C0F"/>
    <w:rsid w:val="08E950E6"/>
    <w:rsid w:val="092403B3"/>
    <w:rsid w:val="09410F58"/>
    <w:rsid w:val="09B63701"/>
    <w:rsid w:val="09E244F6"/>
    <w:rsid w:val="09EC7123"/>
    <w:rsid w:val="0A071EBD"/>
    <w:rsid w:val="0A110938"/>
    <w:rsid w:val="0A116B8A"/>
    <w:rsid w:val="0A96708F"/>
    <w:rsid w:val="0AB11B7E"/>
    <w:rsid w:val="0AD32091"/>
    <w:rsid w:val="0AD96F7B"/>
    <w:rsid w:val="0B4B08FA"/>
    <w:rsid w:val="0BD279F0"/>
    <w:rsid w:val="0BE439B0"/>
    <w:rsid w:val="0BE502CE"/>
    <w:rsid w:val="0BE60D08"/>
    <w:rsid w:val="0C253F82"/>
    <w:rsid w:val="0C2B7EA7"/>
    <w:rsid w:val="0C5E7456"/>
    <w:rsid w:val="0C6D2071"/>
    <w:rsid w:val="0C6E0D94"/>
    <w:rsid w:val="0C8D626F"/>
    <w:rsid w:val="0CA02447"/>
    <w:rsid w:val="0CB51D18"/>
    <w:rsid w:val="0CC61477"/>
    <w:rsid w:val="0CEF7CE1"/>
    <w:rsid w:val="0D1B387B"/>
    <w:rsid w:val="0D1D5845"/>
    <w:rsid w:val="0D310A62"/>
    <w:rsid w:val="0D3B3274"/>
    <w:rsid w:val="0D634599"/>
    <w:rsid w:val="0D9A044B"/>
    <w:rsid w:val="0DA26E00"/>
    <w:rsid w:val="0DCB5F4A"/>
    <w:rsid w:val="0E4B63D3"/>
    <w:rsid w:val="0E687CDA"/>
    <w:rsid w:val="0E961217"/>
    <w:rsid w:val="0ECA70A2"/>
    <w:rsid w:val="0ED9579C"/>
    <w:rsid w:val="0EF16F8A"/>
    <w:rsid w:val="0F357D2A"/>
    <w:rsid w:val="0F3805EA"/>
    <w:rsid w:val="0F614517"/>
    <w:rsid w:val="0F660EFE"/>
    <w:rsid w:val="0FCA0EA7"/>
    <w:rsid w:val="0FE63AC6"/>
    <w:rsid w:val="10242123"/>
    <w:rsid w:val="10321FD8"/>
    <w:rsid w:val="105863D3"/>
    <w:rsid w:val="10937491"/>
    <w:rsid w:val="10947BCD"/>
    <w:rsid w:val="10A06571"/>
    <w:rsid w:val="10AC2D6C"/>
    <w:rsid w:val="10C20BDE"/>
    <w:rsid w:val="10D97CD5"/>
    <w:rsid w:val="10FE14EA"/>
    <w:rsid w:val="10FE7E67"/>
    <w:rsid w:val="11000E22"/>
    <w:rsid w:val="1122167C"/>
    <w:rsid w:val="112478D7"/>
    <w:rsid w:val="115A7068"/>
    <w:rsid w:val="11986609"/>
    <w:rsid w:val="119E021A"/>
    <w:rsid w:val="11C91AF8"/>
    <w:rsid w:val="11D54318"/>
    <w:rsid w:val="11F32DBF"/>
    <w:rsid w:val="11F33A93"/>
    <w:rsid w:val="11FD1613"/>
    <w:rsid w:val="120D005F"/>
    <w:rsid w:val="12244E7D"/>
    <w:rsid w:val="12372F05"/>
    <w:rsid w:val="123F000C"/>
    <w:rsid w:val="125D539E"/>
    <w:rsid w:val="12DB52BD"/>
    <w:rsid w:val="130D347A"/>
    <w:rsid w:val="13136804"/>
    <w:rsid w:val="131E40C5"/>
    <w:rsid w:val="13267C5D"/>
    <w:rsid w:val="13392385"/>
    <w:rsid w:val="13854144"/>
    <w:rsid w:val="13F329BF"/>
    <w:rsid w:val="13F33818"/>
    <w:rsid w:val="1473643A"/>
    <w:rsid w:val="14987EE4"/>
    <w:rsid w:val="14FB646C"/>
    <w:rsid w:val="151C60C5"/>
    <w:rsid w:val="1574196A"/>
    <w:rsid w:val="157601E9"/>
    <w:rsid w:val="157A2FCF"/>
    <w:rsid w:val="159266A5"/>
    <w:rsid w:val="159643E7"/>
    <w:rsid w:val="15AA39C8"/>
    <w:rsid w:val="15B34F99"/>
    <w:rsid w:val="15D849FF"/>
    <w:rsid w:val="16070E41"/>
    <w:rsid w:val="160C28FB"/>
    <w:rsid w:val="16442095"/>
    <w:rsid w:val="165D6CB3"/>
    <w:rsid w:val="16AF39B2"/>
    <w:rsid w:val="16C136E5"/>
    <w:rsid w:val="17297CE9"/>
    <w:rsid w:val="1743234C"/>
    <w:rsid w:val="175E1E46"/>
    <w:rsid w:val="1779272E"/>
    <w:rsid w:val="178766DD"/>
    <w:rsid w:val="179B5CE4"/>
    <w:rsid w:val="17AD77C6"/>
    <w:rsid w:val="17B61FA5"/>
    <w:rsid w:val="17D604D8"/>
    <w:rsid w:val="17E34FEF"/>
    <w:rsid w:val="182D41C1"/>
    <w:rsid w:val="18301ACB"/>
    <w:rsid w:val="18450306"/>
    <w:rsid w:val="18575CB1"/>
    <w:rsid w:val="18583BD5"/>
    <w:rsid w:val="186201F1"/>
    <w:rsid w:val="1906344D"/>
    <w:rsid w:val="19357696"/>
    <w:rsid w:val="1941466A"/>
    <w:rsid w:val="19570331"/>
    <w:rsid w:val="195C612A"/>
    <w:rsid w:val="19726F19"/>
    <w:rsid w:val="197E5443"/>
    <w:rsid w:val="19856C4C"/>
    <w:rsid w:val="19AA66B3"/>
    <w:rsid w:val="19D0740C"/>
    <w:rsid w:val="19EA3194"/>
    <w:rsid w:val="19FC47A8"/>
    <w:rsid w:val="1A226249"/>
    <w:rsid w:val="1A935399"/>
    <w:rsid w:val="1AB175CD"/>
    <w:rsid w:val="1AC54FFF"/>
    <w:rsid w:val="1AD734D7"/>
    <w:rsid w:val="1AE91F58"/>
    <w:rsid w:val="1AF039DD"/>
    <w:rsid w:val="1B25736A"/>
    <w:rsid w:val="1B280A46"/>
    <w:rsid w:val="1B4D260B"/>
    <w:rsid w:val="1B617245"/>
    <w:rsid w:val="1B617D45"/>
    <w:rsid w:val="1B8924D7"/>
    <w:rsid w:val="1B965141"/>
    <w:rsid w:val="1BA02EBA"/>
    <w:rsid w:val="1BA3785E"/>
    <w:rsid w:val="1BA62EAA"/>
    <w:rsid w:val="1BAB64B6"/>
    <w:rsid w:val="1BB67591"/>
    <w:rsid w:val="1BBC1BFE"/>
    <w:rsid w:val="1BC43184"/>
    <w:rsid w:val="1BCC1635"/>
    <w:rsid w:val="1BEB139F"/>
    <w:rsid w:val="1BEE5671"/>
    <w:rsid w:val="1C1524E3"/>
    <w:rsid w:val="1C8036FB"/>
    <w:rsid w:val="1CAB6D1C"/>
    <w:rsid w:val="1CC2447C"/>
    <w:rsid w:val="1CCE392D"/>
    <w:rsid w:val="1CF739BD"/>
    <w:rsid w:val="1D442240"/>
    <w:rsid w:val="1D5049A0"/>
    <w:rsid w:val="1D5501C0"/>
    <w:rsid w:val="1DAB2047"/>
    <w:rsid w:val="1DE303E5"/>
    <w:rsid w:val="1DF92DEE"/>
    <w:rsid w:val="1E030224"/>
    <w:rsid w:val="1E3173A3"/>
    <w:rsid w:val="1E650DFA"/>
    <w:rsid w:val="1E991F29"/>
    <w:rsid w:val="1EAC4C7B"/>
    <w:rsid w:val="1EB61656"/>
    <w:rsid w:val="1EC254C5"/>
    <w:rsid w:val="1EE603CC"/>
    <w:rsid w:val="1EF15D50"/>
    <w:rsid w:val="1FB461D9"/>
    <w:rsid w:val="1FC84609"/>
    <w:rsid w:val="1FD61FB0"/>
    <w:rsid w:val="1FDE7F6F"/>
    <w:rsid w:val="202D3B9A"/>
    <w:rsid w:val="20322043"/>
    <w:rsid w:val="20564928"/>
    <w:rsid w:val="20724B2C"/>
    <w:rsid w:val="207417C9"/>
    <w:rsid w:val="207503DA"/>
    <w:rsid w:val="20873AF6"/>
    <w:rsid w:val="208D6976"/>
    <w:rsid w:val="20943C19"/>
    <w:rsid w:val="20A27B39"/>
    <w:rsid w:val="20A35B53"/>
    <w:rsid w:val="211663DC"/>
    <w:rsid w:val="213C58F5"/>
    <w:rsid w:val="214967B1"/>
    <w:rsid w:val="21585671"/>
    <w:rsid w:val="21921F06"/>
    <w:rsid w:val="219914E7"/>
    <w:rsid w:val="21B95D7B"/>
    <w:rsid w:val="21CB366A"/>
    <w:rsid w:val="21D06ED2"/>
    <w:rsid w:val="21EE4E29"/>
    <w:rsid w:val="220628F4"/>
    <w:rsid w:val="224236DA"/>
    <w:rsid w:val="224B0307"/>
    <w:rsid w:val="22623FCE"/>
    <w:rsid w:val="22794E74"/>
    <w:rsid w:val="227D2BB6"/>
    <w:rsid w:val="22806203"/>
    <w:rsid w:val="22BF6927"/>
    <w:rsid w:val="22DD3655"/>
    <w:rsid w:val="230D49CB"/>
    <w:rsid w:val="232E3EB1"/>
    <w:rsid w:val="234C7A8F"/>
    <w:rsid w:val="234D33B5"/>
    <w:rsid w:val="23583A1F"/>
    <w:rsid w:val="235B1EB5"/>
    <w:rsid w:val="23A00714"/>
    <w:rsid w:val="23A418A2"/>
    <w:rsid w:val="23A85CF5"/>
    <w:rsid w:val="23B66BA1"/>
    <w:rsid w:val="23DC56BB"/>
    <w:rsid w:val="23EB6515"/>
    <w:rsid w:val="23F13E30"/>
    <w:rsid w:val="24163F6F"/>
    <w:rsid w:val="241E5E11"/>
    <w:rsid w:val="242C68E1"/>
    <w:rsid w:val="245076D2"/>
    <w:rsid w:val="249E78B0"/>
    <w:rsid w:val="24B403E6"/>
    <w:rsid w:val="251470D6"/>
    <w:rsid w:val="256716F0"/>
    <w:rsid w:val="25C50C83"/>
    <w:rsid w:val="25CE54D7"/>
    <w:rsid w:val="25D4055E"/>
    <w:rsid w:val="25E94F63"/>
    <w:rsid w:val="25F72C80"/>
    <w:rsid w:val="262E018F"/>
    <w:rsid w:val="26480B13"/>
    <w:rsid w:val="26563DF6"/>
    <w:rsid w:val="26B741BD"/>
    <w:rsid w:val="26C03A2E"/>
    <w:rsid w:val="26C33FB9"/>
    <w:rsid w:val="26E62C12"/>
    <w:rsid w:val="26F86CAF"/>
    <w:rsid w:val="27006644"/>
    <w:rsid w:val="272730F1"/>
    <w:rsid w:val="272F6DEC"/>
    <w:rsid w:val="275E288B"/>
    <w:rsid w:val="279F35CF"/>
    <w:rsid w:val="28054C13"/>
    <w:rsid w:val="280C5E8F"/>
    <w:rsid w:val="280E1A9B"/>
    <w:rsid w:val="283B6CDC"/>
    <w:rsid w:val="28423553"/>
    <w:rsid w:val="285C6DCA"/>
    <w:rsid w:val="28766E69"/>
    <w:rsid w:val="287E1436"/>
    <w:rsid w:val="289D5A4A"/>
    <w:rsid w:val="28D15A0A"/>
    <w:rsid w:val="28D80C3B"/>
    <w:rsid w:val="28DC7F0B"/>
    <w:rsid w:val="292A4018"/>
    <w:rsid w:val="296E14AB"/>
    <w:rsid w:val="29982084"/>
    <w:rsid w:val="29BB5D72"/>
    <w:rsid w:val="29EC23D0"/>
    <w:rsid w:val="2A12582E"/>
    <w:rsid w:val="2A2658E2"/>
    <w:rsid w:val="2A2F0ABF"/>
    <w:rsid w:val="2A5650D2"/>
    <w:rsid w:val="2AAF1D7B"/>
    <w:rsid w:val="2AB80E29"/>
    <w:rsid w:val="2ADF358A"/>
    <w:rsid w:val="2AE632C3"/>
    <w:rsid w:val="2AF6688D"/>
    <w:rsid w:val="2B141BDE"/>
    <w:rsid w:val="2B3E7D17"/>
    <w:rsid w:val="2B42499D"/>
    <w:rsid w:val="2B6E521A"/>
    <w:rsid w:val="2B7A4D47"/>
    <w:rsid w:val="2B88437A"/>
    <w:rsid w:val="2BBE7D9C"/>
    <w:rsid w:val="2BC30AA0"/>
    <w:rsid w:val="2BDE6718"/>
    <w:rsid w:val="2BDF043E"/>
    <w:rsid w:val="2C083572"/>
    <w:rsid w:val="2C0F1695"/>
    <w:rsid w:val="2C497F7B"/>
    <w:rsid w:val="2C6820E3"/>
    <w:rsid w:val="2C9D4164"/>
    <w:rsid w:val="2CA52BC8"/>
    <w:rsid w:val="2CAF6062"/>
    <w:rsid w:val="2CC61554"/>
    <w:rsid w:val="2D067C4C"/>
    <w:rsid w:val="2D303FDC"/>
    <w:rsid w:val="2D4349FC"/>
    <w:rsid w:val="2D541E88"/>
    <w:rsid w:val="2D595FCE"/>
    <w:rsid w:val="2D5D318B"/>
    <w:rsid w:val="2D6213DD"/>
    <w:rsid w:val="2D643625"/>
    <w:rsid w:val="2D99461C"/>
    <w:rsid w:val="2DCE162A"/>
    <w:rsid w:val="2DD5188F"/>
    <w:rsid w:val="2DE735DA"/>
    <w:rsid w:val="2DE75D44"/>
    <w:rsid w:val="2DF6729B"/>
    <w:rsid w:val="2E0C2F8E"/>
    <w:rsid w:val="2E254102"/>
    <w:rsid w:val="2E262303"/>
    <w:rsid w:val="2E2760CC"/>
    <w:rsid w:val="2E372A1B"/>
    <w:rsid w:val="2E383E35"/>
    <w:rsid w:val="2EE65F31"/>
    <w:rsid w:val="2F013C21"/>
    <w:rsid w:val="2F0E4B96"/>
    <w:rsid w:val="2F291989"/>
    <w:rsid w:val="2F391C13"/>
    <w:rsid w:val="2F972DDE"/>
    <w:rsid w:val="2FB219C5"/>
    <w:rsid w:val="2FDE5E55"/>
    <w:rsid w:val="2FEE3B30"/>
    <w:rsid w:val="30006BD5"/>
    <w:rsid w:val="300C37CC"/>
    <w:rsid w:val="30340565"/>
    <w:rsid w:val="305508F5"/>
    <w:rsid w:val="306A22A0"/>
    <w:rsid w:val="30714674"/>
    <w:rsid w:val="30782C0F"/>
    <w:rsid w:val="30964B69"/>
    <w:rsid w:val="30A27C8C"/>
    <w:rsid w:val="30A9101A"/>
    <w:rsid w:val="30BD48BC"/>
    <w:rsid w:val="30E57AFE"/>
    <w:rsid w:val="313E5C07"/>
    <w:rsid w:val="3150593A"/>
    <w:rsid w:val="320E382B"/>
    <w:rsid w:val="323B2146"/>
    <w:rsid w:val="323D7B71"/>
    <w:rsid w:val="3265459E"/>
    <w:rsid w:val="327411B4"/>
    <w:rsid w:val="328062C5"/>
    <w:rsid w:val="32A875FD"/>
    <w:rsid w:val="32B1065A"/>
    <w:rsid w:val="32E427DE"/>
    <w:rsid w:val="32EE540A"/>
    <w:rsid w:val="32F25C3D"/>
    <w:rsid w:val="32FD73FC"/>
    <w:rsid w:val="33000EB7"/>
    <w:rsid w:val="331035D3"/>
    <w:rsid w:val="331F385F"/>
    <w:rsid w:val="333E1EEE"/>
    <w:rsid w:val="33434EFC"/>
    <w:rsid w:val="3357412F"/>
    <w:rsid w:val="33633703"/>
    <w:rsid w:val="33833490"/>
    <w:rsid w:val="33941B0E"/>
    <w:rsid w:val="33C4712A"/>
    <w:rsid w:val="33EE06A4"/>
    <w:rsid w:val="348A3DF0"/>
    <w:rsid w:val="34FF3A77"/>
    <w:rsid w:val="35065306"/>
    <w:rsid w:val="350C75C3"/>
    <w:rsid w:val="351279DA"/>
    <w:rsid w:val="352E713F"/>
    <w:rsid w:val="356C426F"/>
    <w:rsid w:val="35736EE4"/>
    <w:rsid w:val="3589141A"/>
    <w:rsid w:val="359027A9"/>
    <w:rsid w:val="359F0C3E"/>
    <w:rsid w:val="35EF74CF"/>
    <w:rsid w:val="35F201BA"/>
    <w:rsid w:val="36136EC1"/>
    <w:rsid w:val="361E7DB5"/>
    <w:rsid w:val="364A6DFC"/>
    <w:rsid w:val="365C64C8"/>
    <w:rsid w:val="369167D9"/>
    <w:rsid w:val="369B2FE3"/>
    <w:rsid w:val="36A1760F"/>
    <w:rsid w:val="36B13C9C"/>
    <w:rsid w:val="36F01751"/>
    <w:rsid w:val="370074BA"/>
    <w:rsid w:val="37376FCA"/>
    <w:rsid w:val="37751C56"/>
    <w:rsid w:val="378756AB"/>
    <w:rsid w:val="379E039B"/>
    <w:rsid w:val="37B07132"/>
    <w:rsid w:val="37EA43F2"/>
    <w:rsid w:val="37FC4126"/>
    <w:rsid w:val="38090DB7"/>
    <w:rsid w:val="3821593A"/>
    <w:rsid w:val="382F44FB"/>
    <w:rsid w:val="38433B03"/>
    <w:rsid w:val="38AA4A51"/>
    <w:rsid w:val="38C34C43"/>
    <w:rsid w:val="38FC3C57"/>
    <w:rsid w:val="3922196A"/>
    <w:rsid w:val="39440A0C"/>
    <w:rsid w:val="39742D0B"/>
    <w:rsid w:val="39E037A7"/>
    <w:rsid w:val="3A013C75"/>
    <w:rsid w:val="3A086DB2"/>
    <w:rsid w:val="3A244F5D"/>
    <w:rsid w:val="3A3F1EE4"/>
    <w:rsid w:val="3A6B5A6D"/>
    <w:rsid w:val="3A762124"/>
    <w:rsid w:val="3A844255"/>
    <w:rsid w:val="3A970136"/>
    <w:rsid w:val="3AFD268F"/>
    <w:rsid w:val="3B224106"/>
    <w:rsid w:val="3B283961"/>
    <w:rsid w:val="3B3756B1"/>
    <w:rsid w:val="3B3D0CDD"/>
    <w:rsid w:val="3B64626A"/>
    <w:rsid w:val="3B76384C"/>
    <w:rsid w:val="3B8F5BA2"/>
    <w:rsid w:val="3BB84BBC"/>
    <w:rsid w:val="3BBB1D09"/>
    <w:rsid w:val="3BDC53B4"/>
    <w:rsid w:val="3BF22804"/>
    <w:rsid w:val="3C3B0E04"/>
    <w:rsid w:val="3C424EE4"/>
    <w:rsid w:val="3C707A5C"/>
    <w:rsid w:val="3C725F4A"/>
    <w:rsid w:val="3C81109D"/>
    <w:rsid w:val="3CA85E9D"/>
    <w:rsid w:val="3CF22C62"/>
    <w:rsid w:val="3CF51C0C"/>
    <w:rsid w:val="3D2C725B"/>
    <w:rsid w:val="3D3F6F8E"/>
    <w:rsid w:val="3D5C3A0F"/>
    <w:rsid w:val="3D6011CD"/>
    <w:rsid w:val="3D642888"/>
    <w:rsid w:val="3D787406"/>
    <w:rsid w:val="3D820C03"/>
    <w:rsid w:val="3D840E45"/>
    <w:rsid w:val="3DC2196D"/>
    <w:rsid w:val="3DD00839"/>
    <w:rsid w:val="3DE216DA"/>
    <w:rsid w:val="3DE41DD3"/>
    <w:rsid w:val="3DE96EFA"/>
    <w:rsid w:val="3E1C5E5E"/>
    <w:rsid w:val="3E241DF9"/>
    <w:rsid w:val="3E59580C"/>
    <w:rsid w:val="3E8A07EB"/>
    <w:rsid w:val="3E9C707D"/>
    <w:rsid w:val="3EE53B65"/>
    <w:rsid w:val="3EE6343A"/>
    <w:rsid w:val="3EEA57D5"/>
    <w:rsid w:val="3EF142B8"/>
    <w:rsid w:val="3F042A7D"/>
    <w:rsid w:val="3F3441A5"/>
    <w:rsid w:val="3F401855"/>
    <w:rsid w:val="3F4F0FDF"/>
    <w:rsid w:val="3F8F587F"/>
    <w:rsid w:val="3F994854"/>
    <w:rsid w:val="3FA550A3"/>
    <w:rsid w:val="3FDC2FAD"/>
    <w:rsid w:val="3FEC116D"/>
    <w:rsid w:val="402A3E6D"/>
    <w:rsid w:val="40384169"/>
    <w:rsid w:val="40437C92"/>
    <w:rsid w:val="40493C80"/>
    <w:rsid w:val="407F6468"/>
    <w:rsid w:val="408635F9"/>
    <w:rsid w:val="40923879"/>
    <w:rsid w:val="40BA692C"/>
    <w:rsid w:val="412F18D6"/>
    <w:rsid w:val="4137363C"/>
    <w:rsid w:val="41443383"/>
    <w:rsid w:val="414A0C59"/>
    <w:rsid w:val="41683C8E"/>
    <w:rsid w:val="41F10240"/>
    <w:rsid w:val="42357FC8"/>
    <w:rsid w:val="424B00CA"/>
    <w:rsid w:val="426B25D4"/>
    <w:rsid w:val="427D6DA7"/>
    <w:rsid w:val="42997141"/>
    <w:rsid w:val="42A12C72"/>
    <w:rsid w:val="42B37AD7"/>
    <w:rsid w:val="42BF022A"/>
    <w:rsid w:val="42C11E42"/>
    <w:rsid w:val="42DF7E11"/>
    <w:rsid w:val="42EA5233"/>
    <w:rsid w:val="42ED4D97"/>
    <w:rsid w:val="432307B8"/>
    <w:rsid w:val="433A4A4F"/>
    <w:rsid w:val="43404B45"/>
    <w:rsid w:val="43510631"/>
    <w:rsid w:val="436808C1"/>
    <w:rsid w:val="43714522"/>
    <w:rsid w:val="437841D8"/>
    <w:rsid w:val="43811D82"/>
    <w:rsid w:val="438A4CDB"/>
    <w:rsid w:val="44074338"/>
    <w:rsid w:val="44172175"/>
    <w:rsid w:val="44330CE1"/>
    <w:rsid w:val="446C2633"/>
    <w:rsid w:val="44957494"/>
    <w:rsid w:val="44A27E03"/>
    <w:rsid w:val="44B22807"/>
    <w:rsid w:val="44D206E8"/>
    <w:rsid w:val="44F21B49"/>
    <w:rsid w:val="45010124"/>
    <w:rsid w:val="45435F4B"/>
    <w:rsid w:val="45701513"/>
    <w:rsid w:val="45896FD4"/>
    <w:rsid w:val="45B65B84"/>
    <w:rsid w:val="45C36283"/>
    <w:rsid w:val="45E87EEF"/>
    <w:rsid w:val="45F85864"/>
    <w:rsid w:val="460074D7"/>
    <w:rsid w:val="46026DAB"/>
    <w:rsid w:val="462E521F"/>
    <w:rsid w:val="464653A3"/>
    <w:rsid w:val="464E1FF0"/>
    <w:rsid w:val="4654337F"/>
    <w:rsid w:val="466E61EE"/>
    <w:rsid w:val="467D28D5"/>
    <w:rsid w:val="46807744"/>
    <w:rsid w:val="46853C85"/>
    <w:rsid w:val="46A72282"/>
    <w:rsid w:val="46C741DF"/>
    <w:rsid w:val="47005CAC"/>
    <w:rsid w:val="47307948"/>
    <w:rsid w:val="473D3E13"/>
    <w:rsid w:val="477517FF"/>
    <w:rsid w:val="47925F0D"/>
    <w:rsid w:val="47B32107"/>
    <w:rsid w:val="47B43824"/>
    <w:rsid w:val="47BA4CAB"/>
    <w:rsid w:val="4820176A"/>
    <w:rsid w:val="48376F2A"/>
    <w:rsid w:val="486B6D16"/>
    <w:rsid w:val="488F1B48"/>
    <w:rsid w:val="48A028AB"/>
    <w:rsid w:val="48A979B2"/>
    <w:rsid w:val="48DD32AE"/>
    <w:rsid w:val="48DD58AD"/>
    <w:rsid w:val="48FA020D"/>
    <w:rsid w:val="48FF3A76"/>
    <w:rsid w:val="496E39E5"/>
    <w:rsid w:val="496F0BFB"/>
    <w:rsid w:val="497C58CA"/>
    <w:rsid w:val="498375C0"/>
    <w:rsid w:val="4988502F"/>
    <w:rsid w:val="498E356B"/>
    <w:rsid w:val="499537F9"/>
    <w:rsid w:val="49C009E6"/>
    <w:rsid w:val="49D81A23"/>
    <w:rsid w:val="4A14137C"/>
    <w:rsid w:val="4A17345F"/>
    <w:rsid w:val="4A1E617D"/>
    <w:rsid w:val="4A381A7F"/>
    <w:rsid w:val="4A3B3304"/>
    <w:rsid w:val="4A510301"/>
    <w:rsid w:val="4AC24D5B"/>
    <w:rsid w:val="4ADE37BC"/>
    <w:rsid w:val="4B013397"/>
    <w:rsid w:val="4B901290"/>
    <w:rsid w:val="4B944949"/>
    <w:rsid w:val="4B9B6E60"/>
    <w:rsid w:val="4B9E4770"/>
    <w:rsid w:val="4BCD39B7"/>
    <w:rsid w:val="4BED3F6F"/>
    <w:rsid w:val="4C243294"/>
    <w:rsid w:val="4C2A0E0A"/>
    <w:rsid w:val="4C312198"/>
    <w:rsid w:val="4C35155C"/>
    <w:rsid w:val="4C4261D4"/>
    <w:rsid w:val="4C746529"/>
    <w:rsid w:val="4C9170DB"/>
    <w:rsid w:val="4C9A14A6"/>
    <w:rsid w:val="4CA31A04"/>
    <w:rsid w:val="4CA94424"/>
    <w:rsid w:val="4CCC185F"/>
    <w:rsid w:val="4CD05CC4"/>
    <w:rsid w:val="4CD61DFB"/>
    <w:rsid w:val="4D387149"/>
    <w:rsid w:val="4D3E07AA"/>
    <w:rsid w:val="4DB0533F"/>
    <w:rsid w:val="4DCD751B"/>
    <w:rsid w:val="4DE4148C"/>
    <w:rsid w:val="4DEA1C89"/>
    <w:rsid w:val="4E3C3076"/>
    <w:rsid w:val="4E4B7B7F"/>
    <w:rsid w:val="4EA03605"/>
    <w:rsid w:val="4ECD1F20"/>
    <w:rsid w:val="4F0A0A7E"/>
    <w:rsid w:val="4F0B67EE"/>
    <w:rsid w:val="4F1F277C"/>
    <w:rsid w:val="4F350E27"/>
    <w:rsid w:val="4F4027EE"/>
    <w:rsid w:val="4F7750D2"/>
    <w:rsid w:val="4F8C3B89"/>
    <w:rsid w:val="4FA03E9C"/>
    <w:rsid w:val="4FE43BD6"/>
    <w:rsid w:val="50155386"/>
    <w:rsid w:val="50760648"/>
    <w:rsid w:val="50CD4459"/>
    <w:rsid w:val="50EF43D0"/>
    <w:rsid w:val="51051E45"/>
    <w:rsid w:val="51096E67"/>
    <w:rsid w:val="510C6D30"/>
    <w:rsid w:val="514F4E6E"/>
    <w:rsid w:val="5156444F"/>
    <w:rsid w:val="51981529"/>
    <w:rsid w:val="51D04201"/>
    <w:rsid w:val="51EC2AF3"/>
    <w:rsid w:val="521560B8"/>
    <w:rsid w:val="5219601D"/>
    <w:rsid w:val="523F4EE3"/>
    <w:rsid w:val="525A3ACB"/>
    <w:rsid w:val="526B1695"/>
    <w:rsid w:val="527B665E"/>
    <w:rsid w:val="52B05BCF"/>
    <w:rsid w:val="52CA25D7"/>
    <w:rsid w:val="52EB0BC7"/>
    <w:rsid w:val="53191BD8"/>
    <w:rsid w:val="5320789E"/>
    <w:rsid w:val="53283E81"/>
    <w:rsid w:val="53681C4F"/>
    <w:rsid w:val="537F5ED5"/>
    <w:rsid w:val="538D5B72"/>
    <w:rsid w:val="539B083F"/>
    <w:rsid w:val="53B33E09"/>
    <w:rsid w:val="53D5512C"/>
    <w:rsid w:val="53D97FF0"/>
    <w:rsid w:val="53F43DB6"/>
    <w:rsid w:val="53FF550D"/>
    <w:rsid w:val="540957A8"/>
    <w:rsid w:val="54411B72"/>
    <w:rsid w:val="548A2A37"/>
    <w:rsid w:val="54C51142"/>
    <w:rsid w:val="54EA55DA"/>
    <w:rsid w:val="55083AC5"/>
    <w:rsid w:val="553313ED"/>
    <w:rsid w:val="55985036"/>
    <w:rsid w:val="559D089E"/>
    <w:rsid w:val="55A0038E"/>
    <w:rsid w:val="55B179A0"/>
    <w:rsid w:val="561D6ED6"/>
    <w:rsid w:val="56397B3F"/>
    <w:rsid w:val="56436C26"/>
    <w:rsid w:val="56520B3C"/>
    <w:rsid w:val="56742890"/>
    <w:rsid w:val="569A4DDE"/>
    <w:rsid w:val="56DF2603"/>
    <w:rsid w:val="56F02C50"/>
    <w:rsid w:val="571C1C97"/>
    <w:rsid w:val="572648C3"/>
    <w:rsid w:val="57511940"/>
    <w:rsid w:val="57593B0B"/>
    <w:rsid w:val="584414A5"/>
    <w:rsid w:val="586C0EE8"/>
    <w:rsid w:val="586D4BB3"/>
    <w:rsid w:val="58710E90"/>
    <w:rsid w:val="58A1474E"/>
    <w:rsid w:val="58B56AC5"/>
    <w:rsid w:val="58E15977"/>
    <w:rsid w:val="58F033DB"/>
    <w:rsid w:val="58F05189"/>
    <w:rsid w:val="58FB7163"/>
    <w:rsid w:val="590F07DC"/>
    <w:rsid w:val="59160926"/>
    <w:rsid w:val="594C6E41"/>
    <w:rsid w:val="59822285"/>
    <w:rsid w:val="59875AED"/>
    <w:rsid w:val="59DC187C"/>
    <w:rsid w:val="59E20F76"/>
    <w:rsid w:val="59EC3BA2"/>
    <w:rsid w:val="5A461504"/>
    <w:rsid w:val="5A4E0234"/>
    <w:rsid w:val="5AA63D51"/>
    <w:rsid w:val="5AAB75B9"/>
    <w:rsid w:val="5B1558BD"/>
    <w:rsid w:val="5B264E92"/>
    <w:rsid w:val="5B5150EA"/>
    <w:rsid w:val="5B7205F0"/>
    <w:rsid w:val="5B984680"/>
    <w:rsid w:val="5BAC58DA"/>
    <w:rsid w:val="5BCC49FF"/>
    <w:rsid w:val="5BCC5A39"/>
    <w:rsid w:val="5BD7618C"/>
    <w:rsid w:val="5BFE196B"/>
    <w:rsid w:val="5C444519"/>
    <w:rsid w:val="5C475989"/>
    <w:rsid w:val="5CCF0EF5"/>
    <w:rsid w:val="5CCF2ECA"/>
    <w:rsid w:val="5CEB6393"/>
    <w:rsid w:val="5D2673CB"/>
    <w:rsid w:val="5D2D1508"/>
    <w:rsid w:val="5D3C6BEF"/>
    <w:rsid w:val="5D5C7C44"/>
    <w:rsid w:val="5DBC2975"/>
    <w:rsid w:val="5DC03100"/>
    <w:rsid w:val="5DC8652A"/>
    <w:rsid w:val="5DED7EE9"/>
    <w:rsid w:val="5DF41277"/>
    <w:rsid w:val="5E192A8C"/>
    <w:rsid w:val="5E5A3062"/>
    <w:rsid w:val="5E813BCC"/>
    <w:rsid w:val="5E8D218E"/>
    <w:rsid w:val="5ECD3BB6"/>
    <w:rsid w:val="5EDA1C7F"/>
    <w:rsid w:val="5EE03046"/>
    <w:rsid w:val="5F161CB0"/>
    <w:rsid w:val="5F2625E8"/>
    <w:rsid w:val="5F3C1128"/>
    <w:rsid w:val="5F5B78AA"/>
    <w:rsid w:val="600C0AFA"/>
    <w:rsid w:val="60136866"/>
    <w:rsid w:val="60497DA3"/>
    <w:rsid w:val="605C685C"/>
    <w:rsid w:val="605F61DE"/>
    <w:rsid w:val="606A0DAD"/>
    <w:rsid w:val="606D5311"/>
    <w:rsid w:val="607102C2"/>
    <w:rsid w:val="607D498E"/>
    <w:rsid w:val="609D7126"/>
    <w:rsid w:val="60D35B00"/>
    <w:rsid w:val="60D46A3E"/>
    <w:rsid w:val="611E60C9"/>
    <w:rsid w:val="61346943"/>
    <w:rsid w:val="61722BDF"/>
    <w:rsid w:val="61730705"/>
    <w:rsid w:val="61AD419D"/>
    <w:rsid w:val="61CB0541"/>
    <w:rsid w:val="61ED6709"/>
    <w:rsid w:val="61FB2088"/>
    <w:rsid w:val="61FC694D"/>
    <w:rsid w:val="62471346"/>
    <w:rsid w:val="626562A0"/>
    <w:rsid w:val="628E466D"/>
    <w:rsid w:val="629871C2"/>
    <w:rsid w:val="62A52B40"/>
    <w:rsid w:val="62B72874"/>
    <w:rsid w:val="62C76F5B"/>
    <w:rsid w:val="62FA152C"/>
    <w:rsid w:val="631A5BD7"/>
    <w:rsid w:val="632437C1"/>
    <w:rsid w:val="632C3261"/>
    <w:rsid w:val="63367C3C"/>
    <w:rsid w:val="6384309D"/>
    <w:rsid w:val="639332E1"/>
    <w:rsid w:val="63DA2CBD"/>
    <w:rsid w:val="63F90AB2"/>
    <w:rsid w:val="640D59E4"/>
    <w:rsid w:val="64260FB4"/>
    <w:rsid w:val="64543319"/>
    <w:rsid w:val="6454481E"/>
    <w:rsid w:val="645B2050"/>
    <w:rsid w:val="645B63B1"/>
    <w:rsid w:val="646C600B"/>
    <w:rsid w:val="649E3CEB"/>
    <w:rsid w:val="64DB77BD"/>
    <w:rsid w:val="65152445"/>
    <w:rsid w:val="652321B2"/>
    <w:rsid w:val="653629DA"/>
    <w:rsid w:val="654F3237"/>
    <w:rsid w:val="656B4195"/>
    <w:rsid w:val="656F0551"/>
    <w:rsid w:val="65844B9A"/>
    <w:rsid w:val="65AB4911"/>
    <w:rsid w:val="65C42068"/>
    <w:rsid w:val="65C459D3"/>
    <w:rsid w:val="65C475A8"/>
    <w:rsid w:val="65FA7647"/>
    <w:rsid w:val="65FF07B9"/>
    <w:rsid w:val="66081D64"/>
    <w:rsid w:val="66103F56"/>
    <w:rsid w:val="662E541A"/>
    <w:rsid w:val="66430AE1"/>
    <w:rsid w:val="665054B9"/>
    <w:rsid w:val="66707909"/>
    <w:rsid w:val="66A232D1"/>
    <w:rsid w:val="66A852F5"/>
    <w:rsid w:val="66DB2FD4"/>
    <w:rsid w:val="66DF0D9B"/>
    <w:rsid w:val="66EC3434"/>
    <w:rsid w:val="66FD69BB"/>
    <w:rsid w:val="6713431F"/>
    <w:rsid w:val="67244F23"/>
    <w:rsid w:val="67412CAF"/>
    <w:rsid w:val="67770DF7"/>
    <w:rsid w:val="677F67FD"/>
    <w:rsid w:val="67A36CAF"/>
    <w:rsid w:val="67C40D77"/>
    <w:rsid w:val="67DC0256"/>
    <w:rsid w:val="67EA4979"/>
    <w:rsid w:val="67EC2FBF"/>
    <w:rsid w:val="682B1D3A"/>
    <w:rsid w:val="683E1A6D"/>
    <w:rsid w:val="684B23DC"/>
    <w:rsid w:val="68692BA3"/>
    <w:rsid w:val="68746B18"/>
    <w:rsid w:val="68802085"/>
    <w:rsid w:val="68AF64C7"/>
    <w:rsid w:val="68BF2482"/>
    <w:rsid w:val="68DF5308"/>
    <w:rsid w:val="69473465"/>
    <w:rsid w:val="694D0A4B"/>
    <w:rsid w:val="69663946"/>
    <w:rsid w:val="698A4D1F"/>
    <w:rsid w:val="69B93C83"/>
    <w:rsid w:val="69BD10B7"/>
    <w:rsid w:val="69C86AD4"/>
    <w:rsid w:val="69C86F80"/>
    <w:rsid w:val="69D25197"/>
    <w:rsid w:val="6A072332"/>
    <w:rsid w:val="6A1B3F93"/>
    <w:rsid w:val="6A1B4A9D"/>
    <w:rsid w:val="6A38073E"/>
    <w:rsid w:val="6A5E607B"/>
    <w:rsid w:val="6A9A2810"/>
    <w:rsid w:val="6AB3759E"/>
    <w:rsid w:val="6ABC311D"/>
    <w:rsid w:val="6AC36259"/>
    <w:rsid w:val="6AC975E8"/>
    <w:rsid w:val="6ACC58F2"/>
    <w:rsid w:val="6AE433B5"/>
    <w:rsid w:val="6B175760"/>
    <w:rsid w:val="6B195337"/>
    <w:rsid w:val="6B3929BF"/>
    <w:rsid w:val="6B3B3325"/>
    <w:rsid w:val="6B44595C"/>
    <w:rsid w:val="6B453112"/>
    <w:rsid w:val="6B596BBE"/>
    <w:rsid w:val="6B5F54AE"/>
    <w:rsid w:val="6B6A2B79"/>
    <w:rsid w:val="6B755786"/>
    <w:rsid w:val="6B7956C5"/>
    <w:rsid w:val="6BA22881"/>
    <w:rsid w:val="6C456A0B"/>
    <w:rsid w:val="6C67530A"/>
    <w:rsid w:val="6C7E6484"/>
    <w:rsid w:val="6C97174C"/>
    <w:rsid w:val="6CAD4A62"/>
    <w:rsid w:val="6CB41B8B"/>
    <w:rsid w:val="6CBE03E3"/>
    <w:rsid w:val="6CEF77DA"/>
    <w:rsid w:val="6CFE6E5C"/>
    <w:rsid w:val="6D15459A"/>
    <w:rsid w:val="6D271DCA"/>
    <w:rsid w:val="6D6A002E"/>
    <w:rsid w:val="6D7B72BF"/>
    <w:rsid w:val="6D7F347E"/>
    <w:rsid w:val="6DB54A7D"/>
    <w:rsid w:val="6DB85E1E"/>
    <w:rsid w:val="6E026744"/>
    <w:rsid w:val="6E0E0133"/>
    <w:rsid w:val="6E1B415F"/>
    <w:rsid w:val="6E301E58"/>
    <w:rsid w:val="6E3341EC"/>
    <w:rsid w:val="6E364F94"/>
    <w:rsid w:val="6E6E472E"/>
    <w:rsid w:val="6E895A0C"/>
    <w:rsid w:val="6F011A46"/>
    <w:rsid w:val="6F1A6664"/>
    <w:rsid w:val="6F3B4F58"/>
    <w:rsid w:val="6F8B7D17"/>
    <w:rsid w:val="6F912DCA"/>
    <w:rsid w:val="6F977CB5"/>
    <w:rsid w:val="6F984159"/>
    <w:rsid w:val="6FA7767C"/>
    <w:rsid w:val="6FB95E7D"/>
    <w:rsid w:val="6FDF5B51"/>
    <w:rsid w:val="6FEB586E"/>
    <w:rsid w:val="70057314"/>
    <w:rsid w:val="700B1339"/>
    <w:rsid w:val="701E49FB"/>
    <w:rsid w:val="702C74A1"/>
    <w:rsid w:val="70333E81"/>
    <w:rsid w:val="7047731F"/>
    <w:rsid w:val="706B361B"/>
    <w:rsid w:val="707B3B89"/>
    <w:rsid w:val="70840239"/>
    <w:rsid w:val="708E730A"/>
    <w:rsid w:val="70A1703D"/>
    <w:rsid w:val="70A80664"/>
    <w:rsid w:val="70AE52B6"/>
    <w:rsid w:val="70BD199D"/>
    <w:rsid w:val="70C94A83"/>
    <w:rsid w:val="70D85A84"/>
    <w:rsid w:val="70FF1FB5"/>
    <w:rsid w:val="71017ADB"/>
    <w:rsid w:val="71025602"/>
    <w:rsid w:val="711941D0"/>
    <w:rsid w:val="714874B8"/>
    <w:rsid w:val="719426FE"/>
    <w:rsid w:val="71B10B8D"/>
    <w:rsid w:val="71B72890"/>
    <w:rsid w:val="71E76CD1"/>
    <w:rsid w:val="727F33AE"/>
    <w:rsid w:val="7286251B"/>
    <w:rsid w:val="72B1725F"/>
    <w:rsid w:val="72E346C8"/>
    <w:rsid w:val="730B6B7E"/>
    <w:rsid w:val="73493FA4"/>
    <w:rsid w:val="737C77CB"/>
    <w:rsid w:val="7392524F"/>
    <w:rsid w:val="74193698"/>
    <w:rsid w:val="744A72AE"/>
    <w:rsid w:val="745E6FF3"/>
    <w:rsid w:val="746316E1"/>
    <w:rsid w:val="74683C10"/>
    <w:rsid w:val="748A7DE8"/>
    <w:rsid w:val="748E5B2A"/>
    <w:rsid w:val="74AE00DB"/>
    <w:rsid w:val="74B643B6"/>
    <w:rsid w:val="74DF0134"/>
    <w:rsid w:val="74E7348C"/>
    <w:rsid w:val="75371D1E"/>
    <w:rsid w:val="75792E63"/>
    <w:rsid w:val="75B86FA7"/>
    <w:rsid w:val="75C051CD"/>
    <w:rsid w:val="75CA04F1"/>
    <w:rsid w:val="75CF1243"/>
    <w:rsid w:val="75E66FE6"/>
    <w:rsid w:val="76024EB7"/>
    <w:rsid w:val="760A50E4"/>
    <w:rsid w:val="761B33ED"/>
    <w:rsid w:val="7643114C"/>
    <w:rsid w:val="764547A0"/>
    <w:rsid w:val="76805CD8"/>
    <w:rsid w:val="768A6E35"/>
    <w:rsid w:val="76AB561A"/>
    <w:rsid w:val="76BA547C"/>
    <w:rsid w:val="76BE1FCB"/>
    <w:rsid w:val="76C70E7F"/>
    <w:rsid w:val="77075720"/>
    <w:rsid w:val="773B6B0A"/>
    <w:rsid w:val="77713434"/>
    <w:rsid w:val="77CA24AE"/>
    <w:rsid w:val="781B3AA2"/>
    <w:rsid w:val="787119EB"/>
    <w:rsid w:val="78E35D19"/>
    <w:rsid w:val="790D53B6"/>
    <w:rsid w:val="792D64FB"/>
    <w:rsid w:val="79457DF2"/>
    <w:rsid w:val="79533B4C"/>
    <w:rsid w:val="79630862"/>
    <w:rsid w:val="797C1F00"/>
    <w:rsid w:val="79A157D2"/>
    <w:rsid w:val="79B64503"/>
    <w:rsid w:val="79DB7B85"/>
    <w:rsid w:val="7A007F9E"/>
    <w:rsid w:val="7A044199"/>
    <w:rsid w:val="7A715CD2"/>
    <w:rsid w:val="7A856A9F"/>
    <w:rsid w:val="7AA73D7D"/>
    <w:rsid w:val="7AB94C73"/>
    <w:rsid w:val="7AE5221C"/>
    <w:rsid w:val="7AE745BE"/>
    <w:rsid w:val="7AEF3EC4"/>
    <w:rsid w:val="7AF30181"/>
    <w:rsid w:val="7B263FB0"/>
    <w:rsid w:val="7B9F3C35"/>
    <w:rsid w:val="7BBE25E9"/>
    <w:rsid w:val="7BE04478"/>
    <w:rsid w:val="7C1F0080"/>
    <w:rsid w:val="7C4571E2"/>
    <w:rsid w:val="7CE35701"/>
    <w:rsid w:val="7D00333D"/>
    <w:rsid w:val="7D473F98"/>
    <w:rsid w:val="7D6B2EAC"/>
    <w:rsid w:val="7D795362"/>
    <w:rsid w:val="7D8817C4"/>
    <w:rsid w:val="7D961A6D"/>
    <w:rsid w:val="7D965A4F"/>
    <w:rsid w:val="7DAB4741"/>
    <w:rsid w:val="7DE75B12"/>
    <w:rsid w:val="7E154BC6"/>
    <w:rsid w:val="7E2F3AA9"/>
    <w:rsid w:val="7E9401E1"/>
    <w:rsid w:val="7EA128FE"/>
    <w:rsid w:val="7EA36676"/>
    <w:rsid w:val="7EA92245"/>
    <w:rsid w:val="7EAD3051"/>
    <w:rsid w:val="7EAF3415"/>
    <w:rsid w:val="7ECC12E9"/>
    <w:rsid w:val="7EEF71C5"/>
    <w:rsid w:val="7F0557D2"/>
    <w:rsid w:val="7F1B26B0"/>
    <w:rsid w:val="7F6722A0"/>
    <w:rsid w:val="7FBA5A25"/>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6D56BBA7"/>
  <w15:docId w15:val="{976B7A47-ED88-4565-838B-EE55ACCB89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th-TH"/>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qFormat="1"/>
    <w:lsdException w:name="toc 3" w:qFormat="1"/>
    <w:lsdException w:name="Normal Indent" w:qFormat="1"/>
    <w:lsdException w:name="annotation text" w:qFormat="1"/>
    <w:lsdException w:name="header" w:uiPriority="99" w:qFormat="1"/>
    <w:lsdException w:name="footer" w:qFormat="1"/>
    <w:lsdException w:name="caption" w:qFormat="1"/>
    <w:lsdException w:name="Title" w:qFormat="1"/>
    <w:lsdException w:name="Default Paragraph Font" w:semiHidden="1" w:qFormat="1"/>
    <w:lsdException w:name="Body Text" w:uiPriority="99" w:qFormat="1"/>
    <w:lsdException w:name="Message Header" w:qFormat="1"/>
    <w:lsdException w:name="Subtitle" w:qFormat="1"/>
    <w:lsdException w:name="Body Text First Indent" w:uiPriority="99" w:qFormat="1"/>
    <w:lsdException w:name="Hyperlink" w:uiPriority="99" w:unhideWhenUsed="1" w:qFormat="1"/>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Normal (Web)"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a0"/>
    <w:autoRedefine/>
    <w:qFormat/>
    <w:pPr>
      <w:widowControl w:val="0"/>
      <w:spacing w:line="360" w:lineRule="auto"/>
      <w:ind w:firstLineChars="200" w:firstLine="420"/>
      <w:jc w:val="both"/>
    </w:pPr>
    <w:rPr>
      <w:rFonts w:asciiTheme="minorHAnsi" w:eastAsiaTheme="minorEastAsia" w:hAnsiTheme="minorHAnsi" w:cstheme="minorBidi"/>
      <w:kern w:val="2"/>
      <w:sz w:val="24"/>
      <w:szCs w:val="24"/>
      <w:lang w:bidi="ar-SA"/>
    </w:rPr>
  </w:style>
  <w:style w:type="paragraph" w:styleId="1">
    <w:name w:val="heading 1"/>
    <w:basedOn w:val="a"/>
    <w:next w:val="a"/>
    <w:autoRedefine/>
    <w:qFormat/>
    <w:pPr>
      <w:keepNext/>
      <w:keepLines/>
      <w:spacing w:before="340" w:after="330" w:line="576" w:lineRule="auto"/>
      <w:ind w:firstLineChars="0" w:firstLine="0"/>
      <w:outlineLvl w:val="0"/>
    </w:pPr>
    <w:rPr>
      <w:b/>
      <w:kern w:val="44"/>
      <w:sz w:val="44"/>
    </w:rPr>
  </w:style>
  <w:style w:type="paragraph" w:styleId="2">
    <w:name w:val="heading 2"/>
    <w:basedOn w:val="a"/>
    <w:next w:val="a1"/>
    <w:link w:val="20"/>
    <w:autoRedefine/>
    <w:unhideWhenUsed/>
    <w:qFormat/>
    <w:pPr>
      <w:keepNext/>
      <w:keepLines/>
      <w:spacing w:before="260" w:after="260" w:line="413" w:lineRule="auto"/>
      <w:ind w:firstLineChars="0" w:firstLine="0"/>
      <w:outlineLvl w:val="1"/>
    </w:pPr>
    <w:rPr>
      <w:rFonts w:ascii="Arial" w:eastAsiaTheme="majorEastAsia" w:hAnsi="Arial"/>
      <w:b/>
      <w:sz w:val="32"/>
    </w:rPr>
  </w:style>
  <w:style w:type="paragraph" w:styleId="3">
    <w:name w:val="heading 3"/>
    <w:basedOn w:val="a"/>
    <w:next w:val="a"/>
    <w:link w:val="30"/>
    <w:autoRedefine/>
    <w:unhideWhenUsed/>
    <w:qFormat/>
    <w:pPr>
      <w:keepNext/>
      <w:keepLines/>
      <w:spacing w:before="260" w:after="260" w:line="413" w:lineRule="auto"/>
      <w:ind w:firstLineChars="0" w:firstLine="0"/>
      <w:outlineLvl w:val="2"/>
    </w:pPr>
    <w:rPr>
      <w:b/>
      <w:sz w:val="32"/>
    </w:rPr>
  </w:style>
  <w:style w:type="paragraph" w:styleId="4">
    <w:name w:val="heading 4"/>
    <w:basedOn w:val="a"/>
    <w:next w:val="a"/>
    <w:autoRedefine/>
    <w:unhideWhenUsed/>
    <w:qFormat/>
    <w:pPr>
      <w:keepNext/>
      <w:keepLines/>
      <w:spacing w:before="280" w:after="290" w:line="372" w:lineRule="auto"/>
      <w:outlineLvl w:val="3"/>
    </w:pPr>
    <w:rPr>
      <w:rFonts w:ascii="Arial" w:eastAsia="黑体" w:hAnsi="Arial"/>
      <w:b/>
      <w:sz w:val="2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0">
    <w:name w:val="表格内"/>
    <w:basedOn w:val="a"/>
    <w:qFormat/>
    <w:pPr>
      <w:spacing w:line="360" w:lineRule="exact"/>
      <w:jc w:val="center"/>
    </w:pPr>
    <w:rPr>
      <w:rFonts w:eastAsia="Times New Roman"/>
      <w:sz w:val="21"/>
      <w:szCs w:val="21"/>
    </w:rPr>
  </w:style>
  <w:style w:type="paragraph" w:styleId="a1">
    <w:name w:val="Body Text First Indent"/>
    <w:basedOn w:val="a5"/>
    <w:autoRedefine/>
    <w:uiPriority w:val="99"/>
    <w:qFormat/>
    <w:pPr>
      <w:spacing w:after="120"/>
      <w:ind w:firstLineChars="100"/>
    </w:pPr>
  </w:style>
  <w:style w:type="paragraph" w:styleId="a5">
    <w:name w:val="Body Text"/>
    <w:basedOn w:val="a"/>
    <w:next w:val="xl27"/>
    <w:autoRedefine/>
    <w:uiPriority w:val="99"/>
    <w:qFormat/>
    <w:pPr>
      <w:jc w:val="center"/>
    </w:pPr>
    <w:rPr>
      <w:rFonts w:eastAsia="仿宋"/>
      <w:w w:val="70"/>
      <w:sz w:val="60"/>
    </w:rPr>
  </w:style>
  <w:style w:type="paragraph" w:customStyle="1" w:styleId="xl27">
    <w:name w:val="xl27"/>
    <w:basedOn w:val="a"/>
    <w:semiHidden/>
    <w:qFormat/>
    <w:pPr>
      <w:widowControl/>
      <w:spacing w:before="100" w:beforeAutospacing="1" w:after="100" w:afterAutospacing="1" w:line="240" w:lineRule="auto"/>
      <w:ind w:firstLineChars="0" w:firstLine="0"/>
      <w:jc w:val="center"/>
      <w:textAlignment w:val="center"/>
    </w:pPr>
    <w:rPr>
      <w:rFonts w:ascii="Arial Unicode MS" w:eastAsia="Arial Unicode MS" w:hAnsi="Arial Unicode MS"/>
      <w:bCs/>
      <w:kern w:val="0"/>
      <w:sz w:val="20"/>
      <w:szCs w:val="32"/>
    </w:rPr>
  </w:style>
  <w:style w:type="paragraph" w:styleId="a6">
    <w:name w:val="Normal Indent"/>
    <w:basedOn w:val="a"/>
    <w:qFormat/>
    <w:pPr>
      <w:spacing w:line="240" w:lineRule="auto"/>
      <w:ind w:firstLineChars="0"/>
    </w:pPr>
    <w:rPr>
      <w:rFonts w:ascii="Times New Roman" w:hAnsi="Times New Roman"/>
      <w:smallCaps/>
      <w:kern w:val="0"/>
      <w:sz w:val="20"/>
      <w:szCs w:val="20"/>
    </w:rPr>
  </w:style>
  <w:style w:type="paragraph" w:styleId="a7">
    <w:name w:val="caption"/>
    <w:basedOn w:val="a"/>
    <w:next w:val="a"/>
    <w:qFormat/>
    <w:rPr>
      <w:rFonts w:ascii="Arial" w:eastAsia="黑体" w:hAnsi="Arial" w:cs="Arial"/>
      <w:sz w:val="20"/>
      <w:szCs w:val="20"/>
    </w:rPr>
  </w:style>
  <w:style w:type="paragraph" w:styleId="a8">
    <w:name w:val="annotation text"/>
    <w:basedOn w:val="a"/>
    <w:autoRedefine/>
    <w:qFormat/>
    <w:pPr>
      <w:jc w:val="left"/>
    </w:pPr>
  </w:style>
  <w:style w:type="paragraph" w:styleId="TOC3">
    <w:name w:val="toc 3"/>
    <w:basedOn w:val="a"/>
    <w:next w:val="a"/>
    <w:autoRedefine/>
    <w:qFormat/>
    <w:pPr>
      <w:ind w:leftChars="400" w:left="840"/>
    </w:pPr>
  </w:style>
  <w:style w:type="paragraph" w:styleId="a9">
    <w:name w:val="Plain Text"/>
    <w:basedOn w:val="a"/>
    <w:autoRedefine/>
    <w:qFormat/>
    <w:rPr>
      <w:rFonts w:ascii="宋体" w:hAnsi="Cambria"/>
      <w:kern w:val="0"/>
      <w:szCs w:val="21"/>
    </w:rPr>
  </w:style>
  <w:style w:type="paragraph" w:styleId="aa">
    <w:name w:val="footer"/>
    <w:basedOn w:val="a"/>
    <w:autoRedefine/>
    <w:qFormat/>
    <w:pPr>
      <w:tabs>
        <w:tab w:val="center" w:pos="4153"/>
        <w:tab w:val="right" w:pos="8306"/>
      </w:tabs>
      <w:snapToGrid w:val="0"/>
      <w:jc w:val="left"/>
    </w:pPr>
    <w:rPr>
      <w:sz w:val="18"/>
    </w:rPr>
  </w:style>
  <w:style w:type="paragraph" w:styleId="ab">
    <w:name w:val="header"/>
    <w:basedOn w:val="a"/>
    <w:autoRedefine/>
    <w:uiPriority w:val="99"/>
    <w:qFormat/>
    <w:pPr>
      <w:pBdr>
        <w:bottom w:val="single" w:sz="6" w:space="1" w:color="auto"/>
      </w:pBdr>
      <w:tabs>
        <w:tab w:val="center" w:pos="4153"/>
        <w:tab w:val="right" w:pos="8306"/>
      </w:tabs>
      <w:snapToGrid w:val="0"/>
      <w:ind w:firstLine="200"/>
      <w:jc w:val="center"/>
    </w:pPr>
    <w:rPr>
      <w:rFonts w:ascii="宋体" w:eastAsia="宋体" w:hAnsi="宋体" w:cs="Times New Roman"/>
      <w:sz w:val="18"/>
      <w:szCs w:val="18"/>
    </w:rPr>
  </w:style>
  <w:style w:type="paragraph" w:styleId="TOC1">
    <w:name w:val="toc 1"/>
    <w:basedOn w:val="a"/>
    <w:next w:val="a"/>
    <w:autoRedefine/>
    <w:qFormat/>
  </w:style>
  <w:style w:type="paragraph" w:styleId="TOC2">
    <w:name w:val="toc 2"/>
    <w:basedOn w:val="a"/>
    <w:next w:val="a"/>
    <w:autoRedefine/>
    <w:qFormat/>
    <w:pPr>
      <w:ind w:leftChars="200" w:left="420"/>
    </w:pPr>
  </w:style>
  <w:style w:type="paragraph" w:styleId="ac">
    <w:name w:val="Message Header"/>
    <w:basedOn w:val="a"/>
    <w:autoRedefine/>
    <w:qFormat/>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cs="Arial"/>
    </w:rPr>
  </w:style>
  <w:style w:type="paragraph" w:styleId="ad">
    <w:name w:val="Normal (Web)"/>
    <w:basedOn w:val="a"/>
    <w:autoRedefine/>
    <w:qFormat/>
    <w:pPr>
      <w:spacing w:beforeAutospacing="1" w:afterAutospacing="1"/>
      <w:jc w:val="left"/>
    </w:pPr>
    <w:rPr>
      <w:rFonts w:cs="Angsana New"/>
      <w:kern w:val="0"/>
      <w:lang w:bidi="th-TH"/>
    </w:rPr>
  </w:style>
  <w:style w:type="table" w:styleId="ae">
    <w:name w:val="Table Grid"/>
    <w:basedOn w:val="a3"/>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Strong"/>
    <w:basedOn w:val="a2"/>
    <w:qFormat/>
    <w:rPr>
      <w:b/>
      <w:color w:val="4484B7"/>
      <w:sz w:val="18"/>
      <w:szCs w:val="18"/>
    </w:rPr>
  </w:style>
  <w:style w:type="character" w:styleId="af0">
    <w:name w:val="Hyperlink"/>
    <w:basedOn w:val="a2"/>
    <w:autoRedefine/>
    <w:uiPriority w:val="99"/>
    <w:unhideWhenUsed/>
    <w:qFormat/>
    <w:rPr>
      <w:color w:val="0026E5" w:themeColor="hyperlink"/>
      <w:u w:val="single"/>
    </w:rPr>
  </w:style>
  <w:style w:type="paragraph" w:customStyle="1" w:styleId="NormalWeb1">
    <w:name w:val="Normal (Web)1"/>
    <w:basedOn w:val="a"/>
    <w:next w:val="Date1"/>
    <w:qFormat/>
    <w:pPr>
      <w:widowControl/>
    </w:pPr>
    <w:rPr>
      <w:rFonts w:ascii="宋体"/>
      <w:szCs w:val="21"/>
    </w:rPr>
  </w:style>
  <w:style w:type="paragraph" w:customStyle="1" w:styleId="Date1">
    <w:name w:val="Date1"/>
    <w:basedOn w:val="a"/>
    <w:next w:val="a"/>
    <w:qFormat/>
    <w:pPr>
      <w:ind w:leftChars="2500" w:left="2500"/>
    </w:pPr>
  </w:style>
  <w:style w:type="paragraph" w:customStyle="1" w:styleId="af1">
    <w:name w:val="【正文】"/>
    <w:basedOn w:val="a"/>
    <w:next w:val="ac"/>
    <w:autoRedefine/>
    <w:qFormat/>
    <w:pPr>
      <w:spacing w:line="440" w:lineRule="exact"/>
      <w:ind w:firstLine="544"/>
    </w:pPr>
    <w:rPr>
      <w:spacing w:val="16"/>
      <w:szCs w:val="20"/>
    </w:rPr>
  </w:style>
  <w:style w:type="character" w:customStyle="1" w:styleId="20">
    <w:name w:val="标题 2 字符"/>
    <w:link w:val="2"/>
    <w:autoRedefine/>
    <w:qFormat/>
    <w:rPr>
      <w:rFonts w:ascii="Arial" w:eastAsiaTheme="majorEastAsia" w:hAnsi="Arial"/>
      <w:b/>
      <w:sz w:val="32"/>
    </w:rPr>
  </w:style>
  <w:style w:type="character" w:customStyle="1" w:styleId="30">
    <w:name w:val="标题 3 字符"/>
    <w:link w:val="3"/>
    <w:autoRedefine/>
    <w:qFormat/>
    <w:rPr>
      <w:b/>
      <w:sz w:val="32"/>
    </w:rPr>
  </w:style>
  <w:style w:type="paragraph" w:customStyle="1" w:styleId="TableParagraph">
    <w:name w:val="Table Paragraph"/>
    <w:basedOn w:val="a"/>
    <w:autoRedefine/>
    <w:uiPriority w:val="1"/>
    <w:qFormat/>
    <w:pPr>
      <w:autoSpaceDE w:val="0"/>
      <w:autoSpaceDN w:val="0"/>
      <w:spacing w:line="240" w:lineRule="auto"/>
      <w:ind w:firstLineChars="0" w:firstLine="0"/>
      <w:jc w:val="left"/>
    </w:pPr>
    <w:rPr>
      <w:rFonts w:ascii="Times New Roman" w:eastAsia="Times New Roman" w:hAnsi="Times New Roman" w:cs="Times New Roman"/>
      <w:kern w:val="0"/>
      <w:sz w:val="22"/>
      <w:lang w:eastAsia="en-US"/>
    </w:rPr>
  </w:style>
  <w:style w:type="table" w:customStyle="1" w:styleId="TableNormal">
    <w:name w:val="Table Normal"/>
    <w:autoRedefine/>
    <w:uiPriority w:val="2"/>
    <w:semiHidden/>
    <w:unhideWhenUsed/>
    <w:qFormat/>
    <w:pPr>
      <w:widowControl w:val="0"/>
      <w:autoSpaceDE w:val="0"/>
      <w:autoSpaceDN w:val="0"/>
    </w:pPr>
    <w:rPr>
      <w:rFonts w:asciiTheme="minorHAnsi" w:eastAsiaTheme="minorEastAsia" w:hAnsiTheme="minorHAnsi" w:cstheme="minorBidi"/>
      <w:sz w:val="22"/>
      <w:lang w:eastAsia="en-US"/>
    </w:rPr>
    <w:tblPr>
      <w:tblCellMar>
        <w:top w:w="0" w:type="dxa"/>
        <w:left w:w="0" w:type="dxa"/>
        <w:bottom w:w="0" w:type="dxa"/>
        <w:right w:w="0" w:type="dxa"/>
      </w:tblCellMar>
    </w:tblPr>
  </w:style>
  <w:style w:type="paragraph" w:customStyle="1" w:styleId="Default">
    <w:name w:val="Default"/>
    <w:basedOn w:val="10"/>
    <w:autoRedefine/>
    <w:qFormat/>
    <w:pPr>
      <w:autoSpaceDE w:val="0"/>
      <w:autoSpaceDN w:val="0"/>
    </w:pPr>
    <w:rPr>
      <w:rFonts w:hAnsi="Calibri" w:cs="宋体"/>
      <w:color w:val="000000"/>
      <w:szCs w:val="24"/>
    </w:rPr>
  </w:style>
  <w:style w:type="paragraph" w:customStyle="1" w:styleId="10">
    <w:name w:val="纯文本1"/>
    <w:autoRedefine/>
    <w:qFormat/>
    <w:pPr>
      <w:adjustRightInd w:val="0"/>
      <w:jc w:val="center"/>
      <w:textAlignment w:val="baseline"/>
    </w:pPr>
    <w:rPr>
      <w:rFonts w:ascii="宋体" w:hAnsi="Courier New"/>
      <w:sz w:val="24"/>
      <w:lang w:bidi="ar-SA"/>
    </w:rPr>
  </w:style>
  <w:style w:type="paragraph" w:customStyle="1" w:styleId="11">
    <w:name w:val="列出段落1"/>
    <w:basedOn w:val="a"/>
    <w:autoRedefine/>
    <w:qFormat/>
    <w:pPr>
      <w:widowControl/>
      <w:spacing w:beforeLines="100" w:afterLines="100"/>
      <w:ind w:left="720" w:firstLine="560"/>
      <w:jc w:val="left"/>
    </w:pPr>
    <w:rPr>
      <w:rFonts w:ascii="仿宋_GB2312" w:eastAsia="仿宋_GB2312" w:hAnsi="Calibri"/>
      <w:kern w:val="0"/>
      <w:sz w:val="28"/>
    </w:rPr>
  </w:style>
  <w:style w:type="paragraph" w:customStyle="1" w:styleId="CharCharChar">
    <w:name w:val="Char Char Char"/>
    <w:basedOn w:val="a"/>
    <w:autoRedefine/>
    <w:qFormat/>
    <w:pPr>
      <w:snapToGrid w:val="0"/>
      <w:ind w:firstLine="200"/>
    </w:pPr>
    <w:rPr>
      <w:rFonts w:eastAsia="仿宋_GB2312"/>
    </w:rPr>
  </w:style>
  <w:style w:type="paragraph" w:customStyle="1" w:styleId="12">
    <w:name w:val="【标题1】"/>
    <w:basedOn w:val="1"/>
    <w:autoRedefine/>
    <w:qFormat/>
    <w:pPr>
      <w:keepNext w:val="0"/>
      <w:keepLines w:val="0"/>
      <w:spacing w:before="0" w:after="0" w:line="360" w:lineRule="auto"/>
      <w:jc w:val="center"/>
      <w:outlineLvl w:val="9"/>
    </w:pPr>
    <w:rPr>
      <w:rFonts w:ascii="宋体" w:eastAsia="宋体" w:hAnsi="宋体" w:cs="宋体"/>
      <w:sz w:val="21"/>
      <w:szCs w:val="20"/>
    </w:rPr>
  </w:style>
  <w:style w:type="paragraph" w:customStyle="1" w:styleId="af2">
    <w:name w:val="【表中文字】"/>
    <w:basedOn w:val="a"/>
    <w:autoRedefine/>
    <w:qFormat/>
    <w:pPr>
      <w:jc w:val="center"/>
    </w:pPr>
    <w:rPr>
      <w:rFonts w:hAnsiTheme="minorEastAsia"/>
      <w:szCs w:val="21"/>
    </w:rPr>
  </w:style>
  <w:style w:type="paragraph" w:customStyle="1" w:styleId="af3">
    <w:name w:val="表中文字（工大）"/>
    <w:basedOn w:val="a"/>
    <w:autoRedefine/>
    <w:qFormat/>
    <w:pPr>
      <w:spacing w:line="440" w:lineRule="exact"/>
      <w:ind w:firstLineChars="0" w:firstLine="0"/>
      <w:jc w:val="center"/>
    </w:pPr>
    <w:rPr>
      <w:rFonts w:cs="Times New Roman"/>
      <w:sz w:val="21"/>
      <w:szCs w:val="20"/>
    </w:rPr>
  </w:style>
  <w:style w:type="character" w:customStyle="1" w:styleId="font11">
    <w:name w:val="font11"/>
    <w:basedOn w:val="a2"/>
    <w:autoRedefine/>
    <w:qFormat/>
    <w:rPr>
      <w:rFonts w:ascii="黑体" w:eastAsia="黑体" w:hAnsi="宋体" w:cs="黑体" w:hint="eastAsia"/>
      <w:color w:val="000000"/>
      <w:sz w:val="21"/>
      <w:szCs w:val="21"/>
      <w:u w:val="none"/>
    </w:rPr>
  </w:style>
  <w:style w:type="paragraph" w:customStyle="1" w:styleId="af4">
    <w:name w:val="表格内容"/>
    <w:basedOn w:val="-"/>
    <w:next w:val="a"/>
    <w:autoRedefine/>
    <w:qFormat/>
    <w:pPr>
      <w:overflowPunct w:val="0"/>
      <w:adjustRightInd w:val="0"/>
      <w:spacing w:before="40" w:after="60" w:line="240" w:lineRule="auto"/>
      <w:textAlignment w:val="baseline"/>
    </w:pPr>
    <w:rPr>
      <w:rFonts w:ascii="Arial" w:eastAsia="宋体" w:hAnsi="Arial" w:cs="Times New Roman"/>
      <w:color w:val="000000"/>
      <w:sz w:val="21"/>
    </w:rPr>
  </w:style>
  <w:style w:type="paragraph" w:customStyle="1" w:styleId="-">
    <w:name w:val="封皮-证书编号"/>
    <w:basedOn w:val="a"/>
    <w:autoRedefine/>
    <w:qFormat/>
    <w:pPr>
      <w:jc w:val="center"/>
    </w:pPr>
    <w:rPr>
      <w:rFonts w:ascii="Times New Roman" w:eastAsia="黑体" w:hAnsi="Times New Roman"/>
      <w:sz w:val="28"/>
    </w:rPr>
  </w:style>
  <w:style w:type="paragraph" w:customStyle="1" w:styleId="13">
    <w:name w:val="正文1"/>
    <w:basedOn w:val="a"/>
    <w:qFormat/>
    <w:pPr>
      <w:spacing w:beforeLines="25" w:before="78" w:afterLines="25" w:after="78"/>
      <w:ind w:firstLine="480"/>
    </w:pPr>
  </w:style>
  <w:style w:type="paragraph" w:customStyle="1" w:styleId="af5">
    <w:name w:val="表头"/>
    <w:basedOn w:val="af6"/>
    <w:next w:val="13"/>
    <w:qFormat/>
    <w:pPr>
      <w:jc w:val="center"/>
    </w:pPr>
    <w:rPr>
      <w:rFonts w:ascii="新宋体" w:eastAsia="新宋体" w:hAnsi="Calibri"/>
      <w:sz w:val="21"/>
      <w:szCs w:val="24"/>
    </w:rPr>
  </w:style>
  <w:style w:type="paragraph" w:styleId="af6">
    <w:name w:val="No Spacing"/>
    <w:uiPriority w:val="1"/>
    <w:qFormat/>
    <w:pPr>
      <w:widowControl w:val="0"/>
      <w:spacing w:line="360" w:lineRule="auto"/>
      <w:jc w:val="both"/>
    </w:pPr>
    <w:rPr>
      <w:kern w:val="2"/>
      <w:sz w:val="24"/>
      <w:szCs w:val="22"/>
      <w:lang w:bidi="ar-SA"/>
    </w:rPr>
  </w:style>
  <w:style w:type="paragraph" w:customStyle="1" w:styleId="af7">
    <w:name w:val="表文"/>
    <w:basedOn w:val="a"/>
    <w:next w:val="a"/>
    <w:qFormat/>
    <w:pPr>
      <w:spacing w:line="240" w:lineRule="auto"/>
      <w:ind w:firstLineChars="0" w:firstLine="0"/>
      <w:jc w:val="center"/>
    </w:pPr>
    <w:rPr>
      <w:rFonts w:ascii="新宋体" w:eastAsia="新宋体" w:hAnsi="Calibri" w:cs="Times New Roman"/>
      <w:sz w:val="21"/>
      <w:szCs w:val="21"/>
    </w:rPr>
  </w:style>
  <w:style w:type="paragraph" w:customStyle="1" w:styleId="af8">
    <w:name w:val="其他"/>
    <w:basedOn w:val="a"/>
    <w:autoRedefine/>
    <w:qFormat/>
    <w:pPr>
      <w:shd w:val="clear" w:color="auto" w:fill="FFFFFF"/>
      <w:spacing w:line="408" w:lineRule="auto"/>
      <w:ind w:firstLine="400"/>
    </w:pPr>
    <w:rPr>
      <w:rFonts w:ascii="宋体" w:hAnsi="宋体" w:cs="宋体"/>
      <w:lang w:val="zh-CN" w:bidi="zh-CN"/>
    </w:rPr>
  </w:style>
  <w:style w:type="paragraph" w:customStyle="1" w:styleId="af9">
    <w:name w:val="表格标题"/>
    <w:basedOn w:val="a"/>
    <w:autoRedefine/>
    <w:qFormat/>
    <w:pPr>
      <w:shd w:val="clear" w:color="auto" w:fill="FFFFFF"/>
    </w:pPr>
    <w:rPr>
      <w:rFonts w:ascii="宋体" w:hAnsi="宋体" w:cs="宋体"/>
      <w:b/>
      <w:bCs/>
      <w:sz w:val="20"/>
      <w:szCs w:val="20"/>
      <w:lang w:val="zh-CN" w:bidi="zh-CN"/>
    </w:rPr>
  </w:style>
  <w:style w:type="paragraph" w:customStyle="1" w:styleId="afa">
    <w:name w:val="样式表"/>
    <w:basedOn w:val="a7"/>
    <w:autoRedefine/>
    <w:qFormat/>
    <w:pPr>
      <w:widowControl/>
      <w:spacing w:beforeLines="50" w:before="156" w:afterLines="50" w:after="156"/>
      <w:jc w:val="center"/>
    </w:pPr>
    <w:rPr>
      <w:rFonts w:ascii="Calibri" w:hAnsi="Calibri"/>
      <w:b/>
      <w:color w:val="000000"/>
      <w:spacing w:val="8"/>
      <w:sz w:val="24"/>
      <w:szCs w:val="24"/>
    </w:rPr>
  </w:style>
  <w:style w:type="paragraph" w:customStyle="1" w:styleId="11111">
    <w:name w:val="11111"/>
    <w:basedOn w:val="a"/>
    <w:next w:val="a"/>
    <w:qFormat/>
    <w:pPr>
      <w:widowControl/>
      <w:jc w:val="left"/>
    </w:pPr>
    <w:rPr>
      <w:rFonts w:ascii="宋体" w:eastAsia="Calibri" w:hAnsi="宋体" w:cs="宋体"/>
      <w:smallCaps/>
      <w:kern w:val="0"/>
      <w:szCs w:val="20"/>
    </w:rPr>
  </w:style>
  <w:style w:type="paragraph" w:customStyle="1" w:styleId="14">
    <w:name w:val="[1]正文"/>
    <w:basedOn w:val="a"/>
    <w:qFormat/>
    <w:pPr>
      <w:tabs>
        <w:tab w:val="left" w:pos="8773"/>
      </w:tabs>
      <w:spacing w:line="560" w:lineRule="exact"/>
      <w:ind w:firstLine="200"/>
      <w:jc w:val="left"/>
    </w:pPr>
    <w:rPr>
      <w:rFonts w:ascii="Calibri" w:eastAsia="黑体" w:hAnsi="Calibri"/>
      <w:kern w:val="0"/>
      <w:sz w:val="28"/>
      <w:szCs w:val="28"/>
      <w:lang w:val="en-GB"/>
    </w:rPr>
  </w:style>
  <w:style w:type="paragraph" w:customStyle="1" w:styleId="Style2">
    <w:name w:val="_Style 2"/>
    <w:qFormat/>
    <w:pPr>
      <w:widowControl w:val="0"/>
      <w:spacing w:line="360" w:lineRule="auto"/>
      <w:jc w:val="both"/>
    </w:pPr>
    <w:rPr>
      <w:kern w:val="2"/>
      <w:sz w:val="24"/>
      <w:szCs w:val="22"/>
      <w:lang w:bidi="ar-SA"/>
    </w:rPr>
  </w:style>
  <w:style w:type="paragraph" w:customStyle="1" w:styleId="21">
    <w:name w:val="缩进2"/>
    <w:basedOn w:val="a"/>
    <w:qFormat/>
    <w:pPr>
      <w:ind w:firstLine="883"/>
    </w:pPr>
    <w:rPr>
      <w:rFonts w:ascii="Times New Roman" w:eastAsia="新宋体" w:hAnsi="Times New Roman"/>
      <w:smallCaps/>
    </w:rPr>
  </w:style>
  <w:style w:type="paragraph" w:customStyle="1" w:styleId="afb">
    <w:name w:val="表字"/>
    <w:basedOn w:val="af5"/>
    <w:qFormat/>
    <w:pPr>
      <w:spacing w:line="240" w:lineRule="auto"/>
      <w:ind w:firstLine="476"/>
    </w:pPr>
    <w:rPr>
      <w:szCs w:val="20"/>
    </w:rPr>
  </w:style>
  <w:style w:type="paragraph" w:customStyle="1" w:styleId="00">
    <w:name w:val="正文00"/>
    <w:basedOn w:val="a"/>
    <w:qFormat/>
    <w:pPr>
      <w:ind w:firstLine="480"/>
    </w:pPr>
    <w:rPr>
      <w:rFonts w:ascii="宋体" w:hAnsi="宋体"/>
      <w:smallCaps/>
      <w:kern w:val="0"/>
    </w:rPr>
  </w:style>
  <w:style w:type="paragraph" w:customStyle="1" w:styleId="TableText">
    <w:name w:val="Table Text"/>
    <w:basedOn w:val="a"/>
    <w:semiHidden/>
    <w:qFormat/>
    <w:rPr>
      <w:rFonts w:ascii="宋体" w:eastAsia="宋体" w:hAnsi="宋体" w:cs="宋体"/>
      <w:sz w:val="21"/>
      <w:szCs w:val="21"/>
      <w:lang w:eastAsia="en-US"/>
    </w:rPr>
  </w:style>
  <w:style w:type="character" w:customStyle="1" w:styleId="font21">
    <w:name w:val="font21"/>
    <w:basedOn w:val="a2"/>
    <w:qFormat/>
    <w:rPr>
      <w:rFonts w:ascii="宋体" w:eastAsia="宋体" w:hAnsi="宋体" w:cs="宋体" w:hint="eastAsia"/>
      <w:color w:val="000000"/>
      <w:sz w:val="21"/>
      <w:szCs w:val="21"/>
      <w:u w:val="none"/>
    </w:rPr>
  </w:style>
  <w:style w:type="paragraph" w:customStyle="1" w:styleId="w">
    <w:name w:val="正文w"/>
    <w:basedOn w:val="a"/>
    <w:qFormat/>
    <w:pPr>
      <w:widowControl/>
      <w:overflowPunct w:val="0"/>
      <w:topLinePunct/>
      <w:spacing w:line="500" w:lineRule="exact"/>
    </w:pPr>
    <w:rPr>
      <w:rFonts w:ascii="Times New Roman" w:hAnsi="Times New Roman"/>
      <w:smallCaps/>
      <w:szCs w:val="20"/>
    </w:rPr>
  </w:style>
  <w:style w:type="paragraph" w:customStyle="1" w:styleId="afc">
    <w:name w:val="表格小五"/>
    <w:basedOn w:val="a"/>
    <w:qFormat/>
    <w:pPr>
      <w:spacing w:line="500" w:lineRule="exact"/>
      <w:ind w:firstLine="200"/>
      <w:jc w:val="center"/>
    </w:pPr>
    <w:rPr>
      <w:rFonts w:ascii="宋体" w:hAnsi="宋体"/>
      <w:kern w:val="0"/>
      <w:szCs w:val="22"/>
    </w:rPr>
  </w:style>
  <w:style w:type="paragraph" w:customStyle="1" w:styleId="M">
    <w:name w:val="M正文"/>
    <w:basedOn w:val="a"/>
    <w:qFormat/>
    <w:pPr>
      <w:ind w:firstLine="200"/>
    </w:pPr>
    <w:rPr>
      <w:rFonts w:ascii="Times New Roman" w:eastAsia="宋体" w:hAnsi="Times New Roman" w:cs="Times New Roman"/>
    </w:rPr>
  </w:style>
  <w:style w:type="paragraph" w:customStyle="1" w:styleId="afd">
    <w:name w:val="！正文文本"/>
    <w:basedOn w:val="a"/>
    <w:autoRedefine/>
    <w:qFormat/>
    <w:pPr>
      <w:wordWrap w:val="0"/>
      <w:adjustRightInd w:val="0"/>
      <w:snapToGrid w:val="0"/>
      <w:spacing w:beforeLines="50" w:before="163"/>
      <w:ind w:firstLine="480"/>
    </w:pPr>
    <w:rPr>
      <w:rFonts w:ascii="Times New Roman" w:eastAsia="宋体" w:hAnsi="Times New Roman" w:cs="Times New Roman"/>
      <w:bCs/>
      <w:szCs w:val="32"/>
    </w:rPr>
  </w:style>
  <w:style w:type="table" w:customStyle="1" w:styleId="5">
    <w:name w:val="网格型5"/>
    <w:basedOn w:val="a3"/>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1表格内容"/>
    <w:basedOn w:val="a"/>
    <w:qFormat/>
    <w:pPr>
      <w:widowControl/>
      <w:adjustRightInd w:val="0"/>
      <w:snapToGrid w:val="0"/>
      <w:spacing w:line="360" w:lineRule="atLeast"/>
      <w:jc w:val="center"/>
    </w:pPr>
    <w:rPr>
      <w:rFonts w:ascii="Times New Roman" w:eastAsia="宋体" w:hAnsi="Times New Roman" w:cs="Times New Roman"/>
      <w:kern w:val="0"/>
      <w:szCs w:val="15"/>
    </w:rPr>
  </w:style>
  <w:style w:type="paragraph" w:customStyle="1" w:styleId="afe">
    <w:name w:val="图表标题字体"/>
    <w:basedOn w:val="a"/>
    <w:qFormat/>
    <w:pPr>
      <w:widowControl/>
      <w:adjustRightInd w:val="0"/>
      <w:snapToGrid w:val="0"/>
      <w:spacing w:line="500" w:lineRule="exact"/>
      <w:ind w:firstLineChars="0" w:firstLine="0"/>
      <w:jc w:val="center"/>
    </w:pPr>
    <w:rPr>
      <w:rFonts w:ascii="Times New Roman" w:hAnsi="Times New Roman" w:cs="宋体"/>
      <w:b/>
      <w:smallCaps/>
      <w:kern w:val="0"/>
      <w:szCs w:val="20"/>
    </w:rPr>
  </w:style>
  <w:style w:type="character" w:customStyle="1" w:styleId="aff">
    <w:name w:val="表格(五号)字体"/>
    <w:qFormat/>
    <w:rPr>
      <w:rFonts w:ascii="宋体" w:eastAsia="宋体" w:hAnsi="Calibri" w:cs="宋体"/>
      <w:kern w:val="2"/>
      <w:sz w:val="21"/>
      <w:szCs w:val="24"/>
      <w:lang w:val="en-US" w:eastAsia="zh-CN" w:bidi="ar-SA"/>
    </w:rPr>
  </w:style>
  <w:style w:type="paragraph" w:customStyle="1" w:styleId="aff0">
    <w:name w:val="表格内文字"/>
    <w:basedOn w:val="a"/>
    <w:qFormat/>
    <w:pPr>
      <w:widowControl/>
      <w:spacing w:line="240" w:lineRule="auto"/>
      <w:ind w:firstLineChars="0" w:firstLine="0"/>
      <w:jc w:val="center"/>
    </w:pPr>
    <w:rPr>
      <w:rFonts w:ascii="Times New Roman" w:hAnsi="Times New Roman"/>
      <w:smallCaps/>
      <w:kern w:val="0"/>
    </w:rPr>
  </w:style>
  <w:style w:type="paragraph" w:customStyle="1" w:styleId="16">
    <w:name w:val="【正文1】"/>
    <w:basedOn w:val="a"/>
    <w:qFormat/>
    <w:pPr>
      <w:adjustRightInd w:val="0"/>
      <w:snapToGrid w:val="0"/>
      <w:spacing w:line="500" w:lineRule="atLeast"/>
      <w:ind w:firstLine="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99" Type="http://schemas.openxmlformats.org/officeDocument/2006/relationships/image" Target="media/image257.png"/><Relationship Id="rId21" Type="http://schemas.openxmlformats.org/officeDocument/2006/relationships/image" Target="media/image6.png"/><Relationship Id="rId63" Type="http://schemas.openxmlformats.org/officeDocument/2006/relationships/image" Target="media/image46.png"/><Relationship Id="rId159" Type="http://schemas.openxmlformats.org/officeDocument/2006/relationships/hyperlink" Target="https://baike.baidu.com/item/%E5%AF%92%E6%B8%A9%E5%B8%A6/0?fromModule=lemma_inlink" TargetMode="External"/><Relationship Id="rId324" Type="http://schemas.openxmlformats.org/officeDocument/2006/relationships/image" Target="media/image281.png"/><Relationship Id="rId366" Type="http://schemas.openxmlformats.org/officeDocument/2006/relationships/image" Target="media/image323.png"/><Relationship Id="rId170" Type="http://schemas.openxmlformats.org/officeDocument/2006/relationships/image" Target="media/image141.jpeg"/><Relationship Id="rId226" Type="http://schemas.openxmlformats.org/officeDocument/2006/relationships/image" Target="media/image195.jpeg"/><Relationship Id="rId433" Type="http://schemas.openxmlformats.org/officeDocument/2006/relationships/image" Target="media/image390.png"/><Relationship Id="rId268" Type="http://schemas.openxmlformats.org/officeDocument/2006/relationships/image" Target="media/image226.png"/><Relationship Id="rId32" Type="http://schemas.openxmlformats.org/officeDocument/2006/relationships/image" Target="media/image16.jpeg"/><Relationship Id="rId74" Type="http://schemas.openxmlformats.org/officeDocument/2006/relationships/image" Target="media/image57.jpeg"/><Relationship Id="rId128" Type="http://schemas.openxmlformats.org/officeDocument/2006/relationships/image" Target="file:///C:\Users\Admin\AppData\Local\Temp\ksohtml6708\wps1.png" TargetMode="External"/><Relationship Id="rId335" Type="http://schemas.openxmlformats.org/officeDocument/2006/relationships/image" Target="media/image292.png"/><Relationship Id="rId377" Type="http://schemas.openxmlformats.org/officeDocument/2006/relationships/image" Target="media/image334.png"/><Relationship Id="rId5" Type="http://schemas.openxmlformats.org/officeDocument/2006/relationships/webSettings" Target="webSettings.xml"/><Relationship Id="rId181" Type="http://schemas.openxmlformats.org/officeDocument/2006/relationships/image" Target="media/image151.jpeg"/><Relationship Id="rId237" Type="http://schemas.openxmlformats.org/officeDocument/2006/relationships/image" Target="media/image204.jpeg"/><Relationship Id="rId402" Type="http://schemas.openxmlformats.org/officeDocument/2006/relationships/image" Target="media/image359.png"/><Relationship Id="rId279" Type="http://schemas.openxmlformats.org/officeDocument/2006/relationships/image" Target="media/image237.png"/><Relationship Id="rId444" Type="http://schemas.openxmlformats.org/officeDocument/2006/relationships/image" Target="media/image401.jpeg"/><Relationship Id="rId43" Type="http://schemas.openxmlformats.org/officeDocument/2006/relationships/image" Target="media/image26.jpeg"/><Relationship Id="rId139" Type="http://schemas.openxmlformats.org/officeDocument/2006/relationships/image" Target="media/image117.jpeg"/><Relationship Id="rId290" Type="http://schemas.openxmlformats.org/officeDocument/2006/relationships/image" Target="media/image248.png"/><Relationship Id="rId304" Type="http://schemas.openxmlformats.org/officeDocument/2006/relationships/image" Target="media/image262.png"/><Relationship Id="rId346" Type="http://schemas.openxmlformats.org/officeDocument/2006/relationships/image" Target="media/image303.png"/><Relationship Id="rId388" Type="http://schemas.openxmlformats.org/officeDocument/2006/relationships/image" Target="media/image345.png"/><Relationship Id="rId85" Type="http://schemas.openxmlformats.org/officeDocument/2006/relationships/image" Target="media/image68.svg"/><Relationship Id="rId150" Type="http://schemas.openxmlformats.org/officeDocument/2006/relationships/image" Target="media/image127.jpeg"/><Relationship Id="rId192" Type="http://schemas.openxmlformats.org/officeDocument/2006/relationships/image" Target="media/image162.jpeg"/><Relationship Id="rId206" Type="http://schemas.openxmlformats.org/officeDocument/2006/relationships/image" Target="media/image176.jpeg"/><Relationship Id="rId413" Type="http://schemas.openxmlformats.org/officeDocument/2006/relationships/image" Target="media/image370.png"/><Relationship Id="rId248" Type="http://schemas.openxmlformats.org/officeDocument/2006/relationships/header" Target="header5.xml"/><Relationship Id="rId455" Type="http://schemas.openxmlformats.org/officeDocument/2006/relationships/image" Target="media/image412.png"/><Relationship Id="rId12" Type="http://schemas.openxmlformats.org/officeDocument/2006/relationships/header" Target="header3.xml"/><Relationship Id="rId108" Type="http://schemas.openxmlformats.org/officeDocument/2006/relationships/image" Target="media/image91.jpeg"/><Relationship Id="rId315" Type="http://schemas.openxmlformats.org/officeDocument/2006/relationships/image" Target="media/image272.png"/><Relationship Id="rId357" Type="http://schemas.openxmlformats.org/officeDocument/2006/relationships/image" Target="media/image314.png"/><Relationship Id="rId54" Type="http://schemas.openxmlformats.org/officeDocument/2006/relationships/image" Target="media/image37.emf"/><Relationship Id="rId96" Type="http://schemas.openxmlformats.org/officeDocument/2006/relationships/image" Target="media/image79.png"/><Relationship Id="rId161" Type="http://schemas.openxmlformats.org/officeDocument/2006/relationships/hyperlink" Target="https://baike.baidu.com/item/%E7%B2%98%E5%9C%9F/0?fromModule=lemma_inlink" TargetMode="External"/><Relationship Id="rId217" Type="http://schemas.openxmlformats.org/officeDocument/2006/relationships/image" Target="media/image186.jpeg"/><Relationship Id="rId399" Type="http://schemas.openxmlformats.org/officeDocument/2006/relationships/image" Target="media/image356.png"/><Relationship Id="rId259" Type="http://schemas.openxmlformats.org/officeDocument/2006/relationships/image" Target="media/image217.png"/><Relationship Id="rId424" Type="http://schemas.openxmlformats.org/officeDocument/2006/relationships/image" Target="media/image381.png"/><Relationship Id="rId23" Type="http://schemas.openxmlformats.org/officeDocument/2006/relationships/image" Target="media/image8.png"/><Relationship Id="rId119" Type="http://schemas.openxmlformats.org/officeDocument/2006/relationships/image" Target="media/image102.jpeg"/><Relationship Id="rId270" Type="http://schemas.openxmlformats.org/officeDocument/2006/relationships/image" Target="media/image228.png"/><Relationship Id="rId291" Type="http://schemas.openxmlformats.org/officeDocument/2006/relationships/image" Target="media/image249.png"/><Relationship Id="rId305" Type="http://schemas.openxmlformats.org/officeDocument/2006/relationships/image" Target="media/image263.png"/><Relationship Id="rId326" Type="http://schemas.openxmlformats.org/officeDocument/2006/relationships/image" Target="media/image283.png"/><Relationship Id="rId347" Type="http://schemas.openxmlformats.org/officeDocument/2006/relationships/image" Target="media/image304.png"/><Relationship Id="rId44" Type="http://schemas.openxmlformats.org/officeDocument/2006/relationships/image" Target="media/image27.wmf"/><Relationship Id="rId65" Type="http://schemas.openxmlformats.org/officeDocument/2006/relationships/image" Target="media/image48.png"/><Relationship Id="rId86" Type="http://schemas.openxmlformats.org/officeDocument/2006/relationships/image" Target="media/image69.jpeg"/><Relationship Id="rId130" Type="http://schemas.openxmlformats.org/officeDocument/2006/relationships/image" Target="file:///C:\Users\Admin\AppData\Local\Temp\ksohtml6708\wps2.png" TargetMode="External"/><Relationship Id="rId151" Type="http://schemas.openxmlformats.org/officeDocument/2006/relationships/image" Target="media/image128.jpeg"/><Relationship Id="rId368" Type="http://schemas.openxmlformats.org/officeDocument/2006/relationships/image" Target="media/image325.png"/><Relationship Id="rId389" Type="http://schemas.openxmlformats.org/officeDocument/2006/relationships/image" Target="media/image346.png"/><Relationship Id="rId172" Type="http://schemas.openxmlformats.org/officeDocument/2006/relationships/hyperlink" Target="https://baike.baidu.com/item/%E7%8C%AC%E5%BD%A2%E7%9B%AE?fromModule=lemma_inlink" TargetMode="External"/><Relationship Id="rId193" Type="http://schemas.openxmlformats.org/officeDocument/2006/relationships/image" Target="media/image163.png"/><Relationship Id="rId207" Type="http://schemas.openxmlformats.org/officeDocument/2006/relationships/image" Target="media/image177.jpeg"/><Relationship Id="rId228" Type="http://schemas.openxmlformats.org/officeDocument/2006/relationships/image" Target="media/image197.jpeg"/><Relationship Id="rId249" Type="http://schemas.openxmlformats.org/officeDocument/2006/relationships/footer" Target="footer6.xml"/><Relationship Id="rId414" Type="http://schemas.openxmlformats.org/officeDocument/2006/relationships/image" Target="media/image371.png"/><Relationship Id="rId435" Type="http://schemas.openxmlformats.org/officeDocument/2006/relationships/image" Target="media/image392.png"/><Relationship Id="rId456" Type="http://schemas.openxmlformats.org/officeDocument/2006/relationships/image" Target="media/image413.png"/><Relationship Id="rId13" Type="http://schemas.openxmlformats.org/officeDocument/2006/relationships/footer" Target="footer3.xml"/><Relationship Id="rId109" Type="http://schemas.openxmlformats.org/officeDocument/2006/relationships/image" Target="media/image92.jpeg"/><Relationship Id="rId260" Type="http://schemas.openxmlformats.org/officeDocument/2006/relationships/image" Target="media/image218.png"/><Relationship Id="rId281" Type="http://schemas.openxmlformats.org/officeDocument/2006/relationships/image" Target="media/image239.png"/><Relationship Id="rId316" Type="http://schemas.openxmlformats.org/officeDocument/2006/relationships/image" Target="media/image273.png"/><Relationship Id="rId337" Type="http://schemas.openxmlformats.org/officeDocument/2006/relationships/image" Target="media/image294.png"/><Relationship Id="rId34" Type="http://schemas.openxmlformats.org/officeDocument/2006/relationships/image" Target="media/image18.png"/><Relationship Id="rId55" Type="http://schemas.openxmlformats.org/officeDocument/2006/relationships/image" Target="media/image38.emf"/><Relationship Id="rId76" Type="http://schemas.openxmlformats.org/officeDocument/2006/relationships/image" Target="media/image59.jpeg"/><Relationship Id="rId97" Type="http://schemas.openxmlformats.org/officeDocument/2006/relationships/image" Target="media/image80.svg"/><Relationship Id="rId120" Type="http://schemas.openxmlformats.org/officeDocument/2006/relationships/image" Target="media/image103.jpeg"/><Relationship Id="rId141" Type="http://schemas.openxmlformats.org/officeDocument/2006/relationships/image" Target="media/image119.jpeg"/><Relationship Id="rId358" Type="http://schemas.openxmlformats.org/officeDocument/2006/relationships/image" Target="media/image315.png"/><Relationship Id="rId379" Type="http://schemas.openxmlformats.org/officeDocument/2006/relationships/image" Target="media/image336.png"/><Relationship Id="rId7" Type="http://schemas.openxmlformats.org/officeDocument/2006/relationships/endnotes" Target="endnotes.xml"/><Relationship Id="rId162" Type="http://schemas.openxmlformats.org/officeDocument/2006/relationships/hyperlink" Target="https://baike.baidu.com/item/%E7%BA%A2%E6%9D%BE/1282652?fromModule=lemma_inlink" TargetMode="External"/><Relationship Id="rId183" Type="http://schemas.openxmlformats.org/officeDocument/2006/relationships/image" Target="media/image153.jpeg"/><Relationship Id="rId218" Type="http://schemas.openxmlformats.org/officeDocument/2006/relationships/image" Target="media/image187.jpeg"/><Relationship Id="rId239" Type="http://schemas.openxmlformats.org/officeDocument/2006/relationships/image" Target="media/image206.png"/><Relationship Id="rId390" Type="http://schemas.openxmlformats.org/officeDocument/2006/relationships/image" Target="media/image347.png"/><Relationship Id="rId404" Type="http://schemas.openxmlformats.org/officeDocument/2006/relationships/image" Target="media/image361.png"/><Relationship Id="rId425" Type="http://schemas.openxmlformats.org/officeDocument/2006/relationships/image" Target="media/image382.png"/><Relationship Id="rId446" Type="http://schemas.openxmlformats.org/officeDocument/2006/relationships/image" Target="media/image403.jpeg"/><Relationship Id="rId250" Type="http://schemas.openxmlformats.org/officeDocument/2006/relationships/footer" Target="footer7.xml"/><Relationship Id="rId271" Type="http://schemas.openxmlformats.org/officeDocument/2006/relationships/image" Target="media/image229.png"/><Relationship Id="rId292" Type="http://schemas.openxmlformats.org/officeDocument/2006/relationships/image" Target="media/image250.png"/><Relationship Id="rId306" Type="http://schemas.openxmlformats.org/officeDocument/2006/relationships/image" Target="media/image264.png"/><Relationship Id="rId24" Type="http://schemas.openxmlformats.org/officeDocument/2006/relationships/image" Target="NULL"/><Relationship Id="rId45" Type="http://schemas.openxmlformats.org/officeDocument/2006/relationships/image" Target="media/image28.wmf"/><Relationship Id="rId66" Type="http://schemas.openxmlformats.org/officeDocument/2006/relationships/image" Target="media/image49.svg"/><Relationship Id="rId87" Type="http://schemas.openxmlformats.org/officeDocument/2006/relationships/image" Target="media/image70.jpeg"/><Relationship Id="rId110" Type="http://schemas.openxmlformats.org/officeDocument/2006/relationships/image" Target="media/image93.jpeg"/><Relationship Id="rId131" Type="http://schemas.openxmlformats.org/officeDocument/2006/relationships/image" Target="media/image109.png"/><Relationship Id="rId327" Type="http://schemas.openxmlformats.org/officeDocument/2006/relationships/image" Target="media/image284.png"/><Relationship Id="rId348" Type="http://schemas.openxmlformats.org/officeDocument/2006/relationships/image" Target="media/image305.png"/><Relationship Id="rId369" Type="http://schemas.openxmlformats.org/officeDocument/2006/relationships/image" Target="media/image326.png"/><Relationship Id="rId152" Type="http://schemas.openxmlformats.org/officeDocument/2006/relationships/image" Target="media/image129.jpeg"/><Relationship Id="rId173" Type="http://schemas.openxmlformats.org/officeDocument/2006/relationships/image" Target="media/image143.png"/><Relationship Id="rId194" Type="http://schemas.openxmlformats.org/officeDocument/2006/relationships/image" Target="media/image164.jpeg"/><Relationship Id="rId208" Type="http://schemas.openxmlformats.org/officeDocument/2006/relationships/image" Target="media/image178.jpeg"/><Relationship Id="rId229" Type="http://schemas.openxmlformats.org/officeDocument/2006/relationships/chart" Target="charts/chart1.xml"/><Relationship Id="rId380" Type="http://schemas.openxmlformats.org/officeDocument/2006/relationships/image" Target="media/image337.png"/><Relationship Id="rId415" Type="http://schemas.openxmlformats.org/officeDocument/2006/relationships/image" Target="media/image372.png"/><Relationship Id="rId436" Type="http://schemas.openxmlformats.org/officeDocument/2006/relationships/image" Target="media/image393.png"/><Relationship Id="rId457" Type="http://schemas.openxmlformats.org/officeDocument/2006/relationships/image" Target="media/image414.png"/><Relationship Id="rId240" Type="http://schemas.openxmlformats.org/officeDocument/2006/relationships/image" Target="media/image207.jpeg"/><Relationship Id="rId261" Type="http://schemas.openxmlformats.org/officeDocument/2006/relationships/image" Target="media/image219.png"/><Relationship Id="rId14" Type="http://schemas.openxmlformats.org/officeDocument/2006/relationships/footer" Target="footer4.xml"/><Relationship Id="rId35" Type="http://schemas.openxmlformats.org/officeDocument/2006/relationships/image" Target="media/image19.png"/><Relationship Id="rId56" Type="http://schemas.openxmlformats.org/officeDocument/2006/relationships/image" Target="media/image39.emf"/><Relationship Id="rId77" Type="http://schemas.openxmlformats.org/officeDocument/2006/relationships/image" Target="media/image60.jpeg"/><Relationship Id="rId100" Type="http://schemas.openxmlformats.org/officeDocument/2006/relationships/image" Target="media/image83.jpeg"/><Relationship Id="rId282" Type="http://schemas.openxmlformats.org/officeDocument/2006/relationships/image" Target="media/image240.png"/><Relationship Id="rId317" Type="http://schemas.openxmlformats.org/officeDocument/2006/relationships/image" Target="media/image274.png"/><Relationship Id="rId338" Type="http://schemas.openxmlformats.org/officeDocument/2006/relationships/image" Target="media/image295.png"/><Relationship Id="rId359" Type="http://schemas.openxmlformats.org/officeDocument/2006/relationships/image" Target="media/image316.png"/><Relationship Id="rId8" Type="http://schemas.openxmlformats.org/officeDocument/2006/relationships/header" Target="header1.xml"/><Relationship Id="rId98" Type="http://schemas.openxmlformats.org/officeDocument/2006/relationships/image" Target="media/image81.png"/><Relationship Id="rId121" Type="http://schemas.openxmlformats.org/officeDocument/2006/relationships/image" Target="media/image104.wmf"/><Relationship Id="rId142" Type="http://schemas.openxmlformats.org/officeDocument/2006/relationships/image" Target="media/image120.jpeg"/><Relationship Id="rId163" Type="http://schemas.openxmlformats.org/officeDocument/2006/relationships/hyperlink" Target="https://baike.baidu.com/item/%E9%80%82%E5%90%88/9763862?fromModule=lemma_inlink" TargetMode="External"/><Relationship Id="rId184" Type="http://schemas.openxmlformats.org/officeDocument/2006/relationships/image" Target="media/image154.jpeg"/><Relationship Id="rId219" Type="http://schemas.openxmlformats.org/officeDocument/2006/relationships/image" Target="media/image188.jpeg"/><Relationship Id="rId370" Type="http://schemas.openxmlformats.org/officeDocument/2006/relationships/image" Target="media/image327.png"/><Relationship Id="rId391" Type="http://schemas.openxmlformats.org/officeDocument/2006/relationships/image" Target="media/image348.png"/><Relationship Id="rId405" Type="http://schemas.openxmlformats.org/officeDocument/2006/relationships/image" Target="media/image362.png"/><Relationship Id="rId426" Type="http://schemas.openxmlformats.org/officeDocument/2006/relationships/image" Target="media/image383.png"/><Relationship Id="rId447" Type="http://schemas.openxmlformats.org/officeDocument/2006/relationships/image" Target="media/image404.jpeg"/><Relationship Id="rId230" Type="http://schemas.openxmlformats.org/officeDocument/2006/relationships/image" Target="media/image198.png"/><Relationship Id="rId251" Type="http://schemas.openxmlformats.org/officeDocument/2006/relationships/header" Target="header6.xml"/><Relationship Id="rId25" Type="http://schemas.openxmlformats.org/officeDocument/2006/relationships/image" Target="media/image9.png"/><Relationship Id="rId46" Type="http://schemas.openxmlformats.org/officeDocument/2006/relationships/image" Target="media/image29.wmf"/><Relationship Id="rId67" Type="http://schemas.openxmlformats.org/officeDocument/2006/relationships/image" Target="media/image50.png"/><Relationship Id="rId272" Type="http://schemas.openxmlformats.org/officeDocument/2006/relationships/image" Target="media/image230.png"/><Relationship Id="rId293" Type="http://schemas.openxmlformats.org/officeDocument/2006/relationships/image" Target="media/image251.png"/><Relationship Id="rId307" Type="http://schemas.openxmlformats.org/officeDocument/2006/relationships/image" Target="media/image265.png"/><Relationship Id="rId328" Type="http://schemas.openxmlformats.org/officeDocument/2006/relationships/image" Target="media/image285.png"/><Relationship Id="rId349" Type="http://schemas.openxmlformats.org/officeDocument/2006/relationships/image" Target="media/image306.png"/><Relationship Id="rId88" Type="http://schemas.openxmlformats.org/officeDocument/2006/relationships/image" Target="media/image71.jpeg"/><Relationship Id="rId111" Type="http://schemas.openxmlformats.org/officeDocument/2006/relationships/image" Target="media/image94.jpeg"/><Relationship Id="rId132" Type="http://schemas.openxmlformats.org/officeDocument/2006/relationships/image" Target="media/image110.png"/><Relationship Id="rId153" Type="http://schemas.openxmlformats.org/officeDocument/2006/relationships/image" Target="media/image130.jpeg"/><Relationship Id="rId174" Type="http://schemas.openxmlformats.org/officeDocument/2006/relationships/image" Target="media/image144.jpeg"/><Relationship Id="rId195" Type="http://schemas.openxmlformats.org/officeDocument/2006/relationships/image" Target="media/image165.jpeg"/><Relationship Id="rId209" Type="http://schemas.openxmlformats.org/officeDocument/2006/relationships/image" Target="media/image179.jpeg"/><Relationship Id="rId360" Type="http://schemas.openxmlformats.org/officeDocument/2006/relationships/image" Target="media/image317.png"/><Relationship Id="rId381" Type="http://schemas.openxmlformats.org/officeDocument/2006/relationships/image" Target="media/image338.png"/><Relationship Id="rId416" Type="http://schemas.openxmlformats.org/officeDocument/2006/relationships/image" Target="media/image373.jpeg"/><Relationship Id="rId220" Type="http://schemas.openxmlformats.org/officeDocument/2006/relationships/image" Target="media/image189.jpeg"/><Relationship Id="rId241" Type="http://schemas.openxmlformats.org/officeDocument/2006/relationships/image" Target="media/image208.png"/><Relationship Id="rId437" Type="http://schemas.openxmlformats.org/officeDocument/2006/relationships/image" Target="media/image394.png"/><Relationship Id="rId458" Type="http://schemas.openxmlformats.org/officeDocument/2006/relationships/image" Target="media/image415.png"/><Relationship Id="rId15" Type="http://schemas.openxmlformats.org/officeDocument/2006/relationships/footer" Target="footer5.xml"/><Relationship Id="rId36" Type="http://schemas.openxmlformats.org/officeDocument/2006/relationships/image" Target="media/image20.png"/><Relationship Id="rId57" Type="http://schemas.openxmlformats.org/officeDocument/2006/relationships/image" Target="media/image40.emf"/><Relationship Id="rId262" Type="http://schemas.openxmlformats.org/officeDocument/2006/relationships/image" Target="media/image220.png"/><Relationship Id="rId283" Type="http://schemas.openxmlformats.org/officeDocument/2006/relationships/image" Target="media/image241.png"/><Relationship Id="rId318" Type="http://schemas.openxmlformats.org/officeDocument/2006/relationships/image" Target="media/image275.png"/><Relationship Id="rId339" Type="http://schemas.openxmlformats.org/officeDocument/2006/relationships/image" Target="media/image296.png"/><Relationship Id="rId78" Type="http://schemas.openxmlformats.org/officeDocument/2006/relationships/image" Target="media/image61.jpeg"/><Relationship Id="rId99" Type="http://schemas.openxmlformats.org/officeDocument/2006/relationships/image" Target="media/image82.svg"/><Relationship Id="rId101" Type="http://schemas.openxmlformats.org/officeDocument/2006/relationships/image" Target="media/image84.jpeg"/><Relationship Id="rId122" Type="http://schemas.openxmlformats.org/officeDocument/2006/relationships/oleObject" Target="embeddings/oleObject2.bin"/><Relationship Id="rId143" Type="http://schemas.openxmlformats.org/officeDocument/2006/relationships/image" Target="media/image121.jpeg"/><Relationship Id="rId164" Type="http://schemas.openxmlformats.org/officeDocument/2006/relationships/image" Target="media/image135.jpeg"/><Relationship Id="rId185" Type="http://schemas.openxmlformats.org/officeDocument/2006/relationships/image" Target="media/image155.jpeg"/><Relationship Id="rId350" Type="http://schemas.openxmlformats.org/officeDocument/2006/relationships/image" Target="media/image307.png"/><Relationship Id="rId371" Type="http://schemas.openxmlformats.org/officeDocument/2006/relationships/image" Target="media/image328.png"/><Relationship Id="rId406" Type="http://schemas.openxmlformats.org/officeDocument/2006/relationships/image" Target="media/image363.png"/><Relationship Id="rId9" Type="http://schemas.openxmlformats.org/officeDocument/2006/relationships/header" Target="header2.xml"/><Relationship Id="rId210" Type="http://schemas.openxmlformats.org/officeDocument/2006/relationships/image" Target="media/image180.jpeg"/><Relationship Id="rId392" Type="http://schemas.openxmlformats.org/officeDocument/2006/relationships/image" Target="media/image349.png"/><Relationship Id="rId427" Type="http://schemas.openxmlformats.org/officeDocument/2006/relationships/image" Target="media/image384.png"/><Relationship Id="rId448" Type="http://schemas.openxmlformats.org/officeDocument/2006/relationships/image" Target="media/image405.jpeg"/><Relationship Id="rId26" Type="http://schemas.openxmlformats.org/officeDocument/2006/relationships/image" Target="media/image10.png"/><Relationship Id="rId231" Type="http://schemas.openxmlformats.org/officeDocument/2006/relationships/image" Target="media/image199.jpeg"/><Relationship Id="rId252" Type="http://schemas.openxmlformats.org/officeDocument/2006/relationships/footer" Target="footer8.xml"/><Relationship Id="rId273" Type="http://schemas.openxmlformats.org/officeDocument/2006/relationships/image" Target="media/image231.png"/><Relationship Id="rId294" Type="http://schemas.openxmlformats.org/officeDocument/2006/relationships/image" Target="media/image252.png"/><Relationship Id="rId308" Type="http://schemas.openxmlformats.org/officeDocument/2006/relationships/footer" Target="footer11.xml"/><Relationship Id="rId329" Type="http://schemas.openxmlformats.org/officeDocument/2006/relationships/image" Target="media/image286.png"/><Relationship Id="rId47" Type="http://schemas.openxmlformats.org/officeDocument/2006/relationships/image" Target="media/image30.png"/><Relationship Id="rId68" Type="http://schemas.openxmlformats.org/officeDocument/2006/relationships/image" Target="media/image51.svg"/><Relationship Id="rId89" Type="http://schemas.openxmlformats.org/officeDocument/2006/relationships/image" Target="media/image72.png"/><Relationship Id="rId112" Type="http://schemas.openxmlformats.org/officeDocument/2006/relationships/image" Target="media/image95.jpeg"/><Relationship Id="rId133" Type="http://schemas.openxmlformats.org/officeDocument/2006/relationships/image" Target="media/image111.png"/><Relationship Id="rId154" Type="http://schemas.openxmlformats.org/officeDocument/2006/relationships/image" Target="media/image131.png"/><Relationship Id="rId175" Type="http://schemas.openxmlformats.org/officeDocument/2006/relationships/image" Target="media/image145.jpeg"/><Relationship Id="rId340" Type="http://schemas.openxmlformats.org/officeDocument/2006/relationships/image" Target="media/image297.png"/><Relationship Id="rId361" Type="http://schemas.openxmlformats.org/officeDocument/2006/relationships/image" Target="media/image318.png"/><Relationship Id="rId196" Type="http://schemas.openxmlformats.org/officeDocument/2006/relationships/image" Target="media/image166.jpeg"/><Relationship Id="rId200" Type="http://schemas.openxmlformats.org/officeDocument/2006/relationships/image" Target="media/image170.jpeg"/><Relationship Id="rId382" Type="http://schemas.openxmlformats.org/officeDocument/2006/relationships/image" Target="media/image339.png"/><Relationship Id="rId417" Type="http://schemas.openxmlformats.org/officeDocument/2006/relationships/image" Target="media/image374.jpeg"/><Relationship Id="rId438" Type="http://schemas.openxmlformats.org/officeDocument/2006/relationships/image" Target="media/image395.png"/><Relationship Id="rId459" Type="http://schemas.openxmlformats.org/officeDocument/2006/relationships/fontTable" Target="fontTable.xml"/><Relationship Id="rId16" Type="http://schemas.openxmlformats.org/officeDocument/2006/relationships/image" Target="media/image1.jpeg"/><Relationship Id="rId221" Type="http://schemas.openxmlformats.org/officeDocument/2006/relationships/image" Target="media/image190.jpeg"/><Relationship Id="rId242" Type="http://schemas.openxmlformats.org/officeDocument/2006/relationships/image" Target="media/image209.png"/><Relationship Id="rId263" Type="http://schemas.openxmlformats.org/officeDocument/2006/relationships/image" Target="media/image221.png"/><Relationship Id="rId284" Type="http://schemas.openxmlformats.org/officeDocument/2006/relationships/image" Target="media/image242.png"/><Relationship Id="rId319" Type="http://schemas.openxmlformats.org/officeDocument/2006/relationships/image" Target="media/image276.png"/><Relationship Id="rId37" Type="http://schemas.openxmlformats.org/officeDocument/2006/relationships/image" Target="media/image21.wmf"/><Relationship Id="rId58" Type="http://schemas.openxmlformats.org/officeDocument/2006/relationships/image" Target="media/image41.emf"/><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5.wmf"/><Relationship Id="rId144" Type="http://schemas.openxmlformats.org/officeDocument/2006/relationships/image" Target="media/image122.jpeg"/><Relationship Id="rId330" Type="http://schemas.openxmlformats.org/officeDocument/2006/relationships/image" Target="media/image287.png"/><Relationship Id="rId90" Type="http://schemas.openxmlformats.org/officeDocument/2006/relationships/image" Target="media/image73.svg"/><Relationship Id="rId165" Type="http://schemas.openxmlformats.org/officeDocument/2006/relationships/image" Target="media/image136.jpeg"/><Relationship Id="rId186" Type="http://schemas.openxmlformats.org/officeDocument/2006/relationships/image" Target="media/image156.jpeg"/><Relationship Id="rId351" Type="http://schemas.openxmlformats.org/officeDocument/2006/relationships/image" Target="media/image308.png"/><Relationship Id="rId372" Type="http://schemas.openxmlformats.org/officeDocument/2006/relationships/image" Target="media/image329.png"/><Relationship Id="rId393" Type="http://schemas.openxmlformats.org/officeDocument/2006/relationships/image" Target="media/image350.png"/><Relationship Id="rId407" Type="http://schemas.openxmlformats.org/officeDocument/2006/relationships/image" Target="media/image364.png"/><Relationship Id="rId428" Type="http://schemas.openxmlformats.org/officeDocument/2006/relationships/image" Target="media/image385.png"/><Relationship Id="rId449" Type="http://schemas.openxmlformats.org/officeDocument/2006/relationships/image" Target="media/image406.png"/><Relationship Id="rId211" Type="http://schemas.openxmlformats.org/officeDocument/2006/relationships/hyperlink" Target="https://baike.baidu.com/item/%E8%90%BD%E5%8F%B6%E9%98%94%E5%8F%B6%E6%9E%97/1232220?fromModule=lemma_inlink" TargetMode="External"/><Relationship Id="rId232" Type="http://schemas.openxmlformats.org/officeDocument/2006/relationships/image" Target="media/image200.jpeg"/><Relationship Id="rId253" Type="http://schemas.openxmlformats.org/officeDocument/2006/relationships/footer" Target="footer9.xml"/><Relationship Id="rId274" Type="http://schemas.openxmlformats.org/officeDocument/2006/relationships/image" Target="media/image232.png"/><Relationship Id="rId295" Type="http://schemas.openxmlformats.org/officeDocument/2006/relationships/image" Target="media/image253.png"/><Relationship Id="rId309" Type="http://schemas.openxmlformats.org/officeDocument/2006/relationships/image" Target="media/image266.png"/><Relationship Id="rId460" Type="http://schemas.openxmlformats.org/officeDocument/2006/relationships/theme" Target="theme/theme1.xml"/><Relationship Id="rId27" Type="http://schemas.openxmlformats.org/officeDocument/2006/relationships/image" Target="media/image11.png"/><Relationship Id="rId48" Type="http://schemas.openxmlformats.org/officeDocument/2006/relationships/image" Target="media/image31.jpeg"/><Relationship Id="rId69" Type="http://schemas.openxmlformats.org/officeDocument/2006/relationships/image" Target="media/image52.png"/><Relationship Id="rId113" Type="http://schemas.openxmlformats.org/officeDocument/2006/relationships/image" Target="media/image96.jpeg"/><Relationship Id="rId134" Type="http://schemas.openxmlformats.org/officeDocument/2006/relationships/image" Target="media/image112.png"/><Relationship Id="rId320" Type="http://schemas.openxmlformats.org/officeDocument/2006/relationships/image" Target="media/image277.png"/><Relationship Id="rId80" Type="http://schemas.openxmlformats.org/officeDocument/2006/relationships/image" Target="media/image63.jpeg"/><Relationship Id="rId155" Type="http://schemas.openxmlformats.org/officeDocument/2006/relationships/image" Target="file:///C:\Users\Admin\AppData\Local\Temp\ksohtml6708\wps177.png" TargetMode="External"/><Relationship Id="rId176" Type="http://schemas.openxmlformats.org/officeDocument/2006/relationships/image" Target="media/image146.jpeg"/><Relationship Id="rId197" Type="http://schemas.openxmlformats.org/officeDocument/2006/relationships/image" Target="media/image167.jpeg"/><Relationship Id="rId341" Type="http://schemas.openxmlformats.org/officeDocument/2006/relationships/image" Target="media/image298.png"/><Relationship Id="rId362" Type="http://schemas.openxmlformats.org/officeDocument/2006/relationships/image" Target="media/image319.png"/><Relationship Id="rId383" Type="http://schemas.openxmlformats.org/officeDocument/2006/relationships/image" Target="media/image340.png"/><Relationship Id="rId418" Type="http://schemas.openxmlformats.org/officeDocument/2006/relationships/image" Target="media/image375.jpeg"/><Relationship Id="rId439" Type="http://schemas.openxmlformats.org/officeDocument/2006/relationships/image" Target="media/image396.png"/><Relationship Id="rId201" Type="http://schemas.openxmlformats.org/officeDocument/2006/relationships/image" Target="media/image171.jpeg"/><Relationship Id="rId222" Type="http://schemas.openxmlformats.org/officeDocument/2006/relationships/image" Target="media/image191.jpeg"/><Relationship Id="rId243" Type="http://schemas.openxmlformats.org/officeDocument/2006/relationships/image" Target="media/image210.png"/><Relationship Id="rId264" Type="http://schemas.openxmlformats.org/officeDocument/2006/relationships/image" Target="media/image222.png"/><Relationship Id="rId285" Type="http://schemas.openxmlformats.org/officeDocument/2006/relationships/image" Target="media/image243.png"/><Relationship Id="rId450" Type="http://schemas.openxmlformats.org/officeDocument/2006/relationships/image" Target="media/image407.jpeg"/><Relationship Id="rId17" Type="http://schemas.openxmlformats.org/officeDocument/2006/relationships/image" Target="media/image2.png"/><Relationship Id="rId38" Type="http://schemas.openxmlformats.org/officeDocument/2006/relationships/oleObject" Target="embeddings/oleObject1.bin"/><Relationship Id="rId59" Type="http://schemas.openxmlformats.org/officeDocument/2006/relationships/image" Target="media/image42.png"/><Relationship Id="rId103" Type="http://schemas.openxmlformats.org/officeDocument/2006/relationships/image" Target="media/image86.jpeg"/><Relationship Id="rId124" Type="http://schemas.openxmlformats.org/officeDocument/2006/relationships/oleObject" Target="embeddings/oleObject3.bin"/><Relationship Id="rId310" Type="http://schemas.openxmlformats.org/officeDocument/2006/relationships/image" Target="media/image267.png"/><Relationship Id="rId70" Type="http://schemas.openxmlformats.org/officeDocument/2006/relationships/image" Target="media/image53.svg"/><Relationship Id="rId91" Type="http://schemas.openxmlformats.org/officeDocument/2006/relationships/image" Target="media/image74.png"/><Relationship Id="rId145" Type="http://schemas.openxmlformats.org/officeDocument/2006/relationships/image" Target="media/image123.jpeg"/><Relationship Id="rId166" Type="http://schemas.openxmlformats.org/officeDocument/2006/relationships/image" Target="media/image137.jpeg"/><Relationship Id="rId187" Type="http://schemas.openxmlformats.org/officeDocument/2006/relationships/image" Target="media/image157.jpeg"/><Relationship Id="rId331" Type="http://schemas.openxmlformats.org/officeDocument/2006/relationships/image" Target="media/image288.png"/><Relationship Id="rId352" Type="http://schemas.openxmlformats.org/officeDocument/2006/relationships/image" Target="media/image309.png"/><Relationship Id="rId373" Type="http://schemas.openxmlformats.org/officeDocument/2006/relationships/image" Target="media/image330.png"/><Relationship Id="rId394" Type="http://schemas.openxmlformats.org/officeDocument/2006/relationships/image" Target="media/image351.png"/><Relationship Id="rId408" Type="http://schemas.openxmlformats.org/officeDocument/2006/relationships/image" Target="media/image365.png"/><Relationship Id="rId429" Type="http://schemas.openxmlformats.org/officeDocument/2006/relationships/image" Target="media/image386.png"/><Relationship Id="rId1" Type="http://schemas.openxmlformats.org/officeDocument/2006/relationships/customXml" Target="../customXml/item1.xml"/><Relationship Id="rId212" Type="http://schemas.openxmlformats.org/officeDocument/2006/relationships/image" Target="media/image181.jpeg"/><Relationship Id="rId233" Type="http://schemas.openxmlformats.org/officeDocument/2006/relationships/image" Target="media/image201.jpeg"/><Relationship Id="rId254" Type="http://schemas.openxmlformats.org/officeDocument/2006/relationships/footer" Target="footer10.xml"/><Relationship Id="rId440" Type="http://schemas.openxmlformats.org/officeDocument/2006/relationships/image" Target="media/image397.png"/><Relationship Id="rId28" Type="http://schemas.openxmlformats.org/officeDocument/2006/relationships/image" Target="media/image12.png"/><Relationship Id="rId49" Type="http://schemas.openxmlformats.org/officeDocument/2006/relationships/image" Target="media/image32.jpeg"/><Relationship Id="rId114" Type="http://schemas.openxmlformats.org/officeDocument/2006/relationships/image" Target="media/image97.jpeg"/><Relationship Id="rId275" Type="http://schemas.openxmlformats.org/officeDocument/2006/relationships/image" Target="media/image233.png"/><Relationship Id="rId296" Type="http://schemas.openxmlformats.org/officeDocument/2006/relationships/image" Target="media/image254.png"/><Relationship Id="rId300" Type="http://schemas.openxmlformats.org/officeDocument/2006/relationships/image" Target="media/image258.png"/><Relationship Id="rId60" Type="http://schemas.openxmlformats.org/officeDocument/2006/relationships/image" Target="media/image43.jpeg"/><Relationship Id="rId81" Type="http://schemas.openxmlformats.org/officeDocument/2006/relationships/image" Target="media/image64.jpeg"/><Relationship Id="rId135" Type="http://schemas.openxmlformats.org/officeDocument/2006/relationships/image" Target="media/image113.png"/><Relationship Id="rId156" Type="http://schemas.openxmlformats.org/officeDocument/2006/relationships/image" Target="media/image132.jpeg"/><Relationship Id="rId177" Type="http://schemas.openxmlformats.org/officeDocument/2006/relationships/image" Target="media/image147.jpeg"/><Relationship Id="rId198" Type="http://schemas.openxmlformats.org/officeDocument/2006/relationships/image" Target="media/image168.jpeg"/><Relationship Id="rId321" Type="http://schemas.openxmlformats.org/officeDocument/2006/relationships/image" Target="media/image278.png"/><Relationship Id="rId342" Type="http://schemas.openxmlformats.org/officeDocument/2006/relationships/image" Target="media/image299.png"/><Relationship Id="rId363" Type="http://schemas.openxmlformats.org/officeDocument/2006/relationships/image" Target="media/image320.png"/><Relationship Id="rId384" Type="http://schemas.openxmlformats.org/officeDocument/2006/relationships/image" Target="media/image341.png"/><Relationship Id="rId419" Type="http://schemas.openxmlformats.org/officeDocument/2006/relationships/image" Target="media/image376.jpeg"/><Relationship Id="rId202" Type="http://schemas.openxmlformats.org/officeDocument/2006/relationships/image" Target="media/image172.jpeg"/><Relationship Id="rId223" Type="http://schemas.openxmlformats.org/officeDocument/2006/relationships/image" Target="media/image192.jpeg"/><Relationship Id="rId244" Type="http://schemas.openxmlformats.org/officeDocument/2006/relationships/image" Target="media/image211.png"/><Relationship Id="rId430" Type="http://schemas.openxmlformats.org/officeDocument/2006/relationships/image" Target="media/image387.png"/><Relationship Id="rId18" Type="http://schemas.openxmlformats.org/officeDocument/2006/relationships/image" Target="media/image3.png"/><Relationship Id="rId39" Type="http://schemas.openxmlformats.org/officeDocument/2006/relationships/image" Target="media/image22.png"/><Relationship Id="rId265" Type="http://schemas.openxmlformats.org/officeDocument/2006/relationships/image" Target="media/image223.png"/><Relationship Id="rId286" Type="http://schemas.openxmlformats.org/officeDocument/2006/relationships/image" Target="media/image244.png"/><Relationship Id="rId451" Type="http://schemas.openxmlformats.org/officeDocument/2006/relationships/image" Target="media/image408.jpeg"/><Relationship Id="rId50" Type="http://schemas.openxmlformats.org/officeDocument/2006/relationships/image" Target="media/image33.jpeg"/><Relationship Id="rId104" Type="http://schemas.openxmlformats.org/officeDocument/2006/relationships/image" Target="media/image87.jpeg"/><Relationship Id="rId125" Type="http://schemas.openxmlformats.org/officeDocument/2006/relationships/image" Target="media/image106.wmf"/><Relationship Id="rId146" Type="http://schemas.openxmlformats.org/officeDocument/2006/relationships/image" Target="media/image124.jpeg"/><Relationship Id="rId167" Type="http://schemas.openxmlformats.org/officeDocument/2006/relationships/image" Target="media/image138.jpeg"/><Relationship Id="rId188" Type="http://schemas.openxmlformats.org/officeDocument/2006/relationships/image" Target="media/image158.jpeg"/><Relationship Id="rId311" Type="http://schemas.openxmlformats.org/officeDocument/2006/relationships/image" Target="media/image268.png"/><Relationship Id="rId332" Type="http://schemas.openxmlformats.org/officeDocument/2006/relationships/image" Target="media/image289.png"/><Relationship Id="rId353" Type="http://schemas.openxmlformats.org/officeDocument/2006/relationships/image" Target="media/image310.png"/><Relationship Id="rId374" Type="http://schemas.openxmlformats.org/officeDocument/2006/relationships/image" Target="media/image331.png"/><Relationship Id="rId395" Type="http://schemas.openxmlformats.org/officeDocument/2006/relationships/image" Target="media/image352.png"/><Relationship Id="rId409" Type="http://schemas.openxmlformats.org/officeDocument/2006/relationships/image" Target="media/image366.png"/><Relationship Id="rId71" Type="http://schemas.openxmlformats.org/officeDocument/2006/relationships/image" Target="media/image54.png"/><Relationship Id="rId92" Type="http://schemas.openxmlformats.org/officeDocument/2006/relationships/image" Target="media/image75.svg"/><Relationship Id="rId213" Type="http://schemas.openxmlformats.org/officeDocument/2006/relationships/image" Target="media/image182.jpeg"/><Relationship Id="rId234" Type="http://schemas.openxmlformats.org/officeDocument/2006/relationships/image" Target="media/image202.png"/><Relationship Id="rId420" Type="http://schemas.openxmlformats.org/officeDocument/2006/relationships/image" Target="media/image377.png"/><Relationship Id="rId2" Type="http://schemas.openxmlformats.org/officeDocument/2006/relationships/numbering" Target="numbering.xml"/><Relationship Id="rId29" Type="http://schemas.openxmlformats.org/officeDocument/2006/relationships/image" Target="media/image13.png"/><Relationship Id="rId255" Type="http://schemas.openxmlformats.org/officeDocument/2006/relationships/image" Target="media/image213.png"/><Relationship Id="rId276" Type="http://schemas.openxmlformats.org/officeDocument/2006/relationships/image" Target="media/image234.png"/><Relationship Id="rId297" Type="http://schemas.openxmlformats.org/officeDocument/2006/relationships/image" Target="media/image255.png"/><Relationship Id="rId441" Type="http://schemas.openxmlformats.org/officeDocument/2006/relationships/image" Target="media/image398.png"/><Relationship Id="rId40" Type="http://schemas.openxmlformats.org/officeDocument/2006/relationships/image" Target="media/image23.png"/><Relationship Id="rId115" Type="http://schemas.openxmlformats.org/officeDocument/2006/relationships/image" Target="media/image98.jpeg"/><Relationship Id="rId136" Type="http://schemas.openxmlformats.org/officeDocument/2006/relationships/image" Target="media/image114.png"/><Relationship Id="rId157" Type="http://schemas.openxmlformats.org/officeDocument/2006/relationships/image" Target="media/image133.jpeg"/><Relationship Id="rId178" Type="http://schemas.openxmlformats.org/officeDocument/2006/relationships/image" Target="media/image148.jpeg"/><Relationship Id="rId301" Type="http://schemas.openxmlformats.org/officeDocument/2006/relationships/image" Target="media/image259.png"/><Relationship Id="rId322" Type="http://schemas.openxmlformats.org/officeDocument/2006/relationships/image" Target="media/image279.png"/><Relationship Id="rId343" Type="http://schemas.openxmlformats.org/officeDocument/2006/relationships/image" Target="media/image300.png"/><Relationship Id="rId364" Type="http://schemas.openxmlformats.org/officeDocument/2006/relationships/image" Target="media/image321.png"/><Relationship Id="rId61" Type="http://schemas.openxmlformats.org/officeDocument/2006/relationships/image" Target="media/image44.png"/><Relationship Id="rId82" Type="http://schemas.openxmlformats.org/officeDocument/2006/relationships/image" Target="media/image65.png"/><Relationship Id="rId199" Type="http://schemas.openxmlformats.org/officeDocument/2006/relationships/image" Target="media/image169.jpeg"/><Relationship Id="rId203" Type="http://schemas.openxmlformats.org/officeDocument/2006/relationships/image" Target="media/image173.jpeg"/><Relationship Id="rId385" Type="http://schemas.openxmlformats.org/officeDocument/2006/relationships/image" Target="media/image342.png"/><Relationship Id="rId19" Type="http://schemas.openxmlformats.org/officeDocument/2006/relationships/image" Target="media/image4.png"/><Relationship Id="rId224" Type="http://schemas.openxmlformats.org/officeDocument/2006/relationships/image" Target="media/image193.jpeg"/><Relationship Id="rId245" Type="http://schemas.openxmlformats.org/officeDocument/2006/relationships/image" Target="media/image212.png"/><Relationship Id="rId266" Type="http://schemas.openxmlformats.org/officeDocument/2006/relationships/image" Target="media/image224.png"/><Relationship Id="rId287" Type="http://schemas.openxmlformats.org/officeDocument/2006/relationships/image" Target="media/image245.png"/><Relationship Id="rId410" Type="http://schemas.openxmlformats.org/officeDocument/2006/relationships/image" Target="media/image367.png"/><Relationship Id="rId431" Type="http://schemas.openxmlformats.org/officeDocument/2006/relationships/image" Target="media/image388.png"/><Relationship Id="rId452" Type="http://schemas.openxmlformats.org/officeDocument/2006/relationships/image" Target="media/image409.jpeg"/><Relationship Id="rId30" Type="http://schemas.openxmlformats.org/officeDocument/2006/relationships/image" Target="media/image14.png"/><Relationship Id="rId105" Type="http://schemas.openxmlformats.org/officeDocument/2006/relationships/image" Target="media/image88.jpeg"/><Relationship Id="rId126" Type="http://schemas.openxmlformats.org/officeDocument/2006/relationships/oleObject" Target="embeddings/oleObject4.bin"/><Relationship Id="rId147" Type="http://schemas.openxmlformats.org/officeDocument/2006/relationships/hyperlink" Target="https://baike.baidu.com/item/%E6%B2%9F%E8%B0%B7?fromModule=lemma_inlink" TargetMode="External"/><Relationship Id="rId168" Type="http://schemas.openxmlformats.org/officeDocument/2006/relationships/image" Target="media/image139.jpeg"/><Relationship Id="rId312" Type="http://schemas.openxmlformats.org/officeDocument/2006/relationships/image" Target="media/image269.png"/><Relationship Id="rId333" Type="http://schemas.openxmlformats.org/officeDocument/2006/relationships/image" Target="media/image290.png"/><Relationship Id="rId354" Type="http://schemas.openxmlformats.org/officeDocument/2006/relationships/image" Target="media/image311.png"/><Relationship Id="rId51" Type="http://schemas.openxmlformats.org/officeDocument/2006/relationships/image" Target="media/image34.jpeg"/><Relationship Id="rId72" Type="http://schemas.openxmlformats.org/officeDocument/2006/relationships/image" Target="media/image55.svg"/><Relationship Id="rId93" Type="http://schemas.openxmlformats.org/officeDocument/2006/relationships/image" Target="media/image76.jpeg"/><Relationship Id="rId189" Type="http://schemas.openxmlformats.org/officeDocument/2006/relationships/image" Target="media/image159.jpeg"/><Relationship Id="rId375" Type="http://schemas.openxmlformats.org/officeDocument/2006/relationships/image" Target="media/image332.png"/><Relationship Id="rId396" Type="http://schemas.openxmlformats.org/officeDocument/2006/relationships/image" Target="media/image353.png"/><Relationship Id="rId3" Type="http://schemas.openxmlformats.org/officeDocument/2006/relationships/styles" Target="styles.xml"/><Relationship Id="rId214" Type="http://schemas.openxmlformats.org/officeDocument/2006/relationships/image" Target="media/image183.jpeg"/><Relationship Id="rId235" Type="http://schemas.openxmlformats.org/officeDocument/2006/relationships/chart" Target="charts/chart2.xml"/><Relationship Id="rId256" Type="http://schemas.openxmlformats.org/officeDocument/2006/relationships/image" Target="media/image214.png"/><Relationship Id="rId277" Type="http://schemas.openxmlformats.org/officeDocument/2006/relationships/image" Target="media/image235.png"/><Relationship Id="rId298" Type="http://schemas.openxmlformats.org/officeDocument/2006/relationships/image" Target="media/image256.png"/><Relationship Id="rId400" Type="http://schemas.openxmlformats.org/officeDocument/2006/relationships/image" Target="media/image357.png"/><Relationship Id="rId421" Type="http://schemas.openxmlformats.org/officeDocument/2006/relationships/image" Target="media/image378.png"/><Relationship Id="rId442" Type="http://schemas.openxmlformats.org/officeDocument/2006/relationships/image" Target="media/image399.jpeg"/><Relationship Id="rId116" Type="http://schemas.openxmlformats.org/officeDocument/2006/relationships/image" Target="media/image99.png"/><Relationship Id="rId137" Type="http://schemas.openxmlformats.org/officeDocument/2006/relationships/image" Target="media/image115.png"/><Relationship Id="rId158" Type="http://schemas.openxmlformats.org/officeDocument/2006/relationships/image" Target="media/image134.jpeg"/><Relationship Id="rId302" Type="http://schemas.openxmlformats.org/officeDocument/2006/relationships/image" Target="media/image260.png"/><Relationship Id="rId323" Type="http://schemas.openxmlformats.org/officeDocument/2006/relationships/image" Target="media/image280.png"/><Relationship Id="rId344" Type="http://schemas.openxmlformats.org/officeDocument/2006/relationships/image" Target="media/image301.png"/><Relationship Id="rId20" Type="http://schemas.openxmlformats.org/officeDocument/2006/relationships/image" Target="media/image5.png"/><Relationship Id="rId41" Type="http://schemas.openxmlformats.org/officeDocument/2006/relationships/image" Target="media/image24.png"/><Relationship Id="rId62" Type="http://schemas.openxmlformats.org/officeDocument/2006/relationships/image" Target="media/image45.svg"/><Relationship Id="rId83" Type="http://schemas.openxmlformats.org/officeDocument/2006/relationships/image" Target="media/image66.svg"/><Relationship Id="rId179" Type="http://schemas.openxmlformats.org/officeDocument/2006/relationships/image" Target="media/image149.jpeg"/><Relationship Id="rId365" Type="http://schemas.openxmlformats.org/officeDocument/2006/relationships/image" Target="media/image322.png"/><Relationship Id="rId386" Type="http://schemas.openxmlformats.org/officeDocument/2006/relationships/image" Target="media/image343.png"/><Relationship Id="rId190" Type="http://schemas.openxmlformats.org/officeDocument/2006/relationships/image" Target="media/image160.jpeg"/><Relationship Id="rId204" Type="http://schemas.openxmlformats.org/officeDocument/2006/relationships/image" Target="media/image174.jpeg"/><Relationship Id="rId225" Type="http://schemas.openxmlformats.org/officeDocument/2006/relationships/image" Target="media/image194.jpeg"/><Relationship Id="rId246" Type="http://schemas.openxmlformats.org/officeDocument/2006/relationships/chart" Target="charts/chart3.xml"/><Relationship Id="rId267" Type="http://schemas.openxmlformats.org/officeDocument/2006/relationships/image" Target="media/image225.png"/><Relationship Id="rId288" Type="http://schemas.openxmlformats.org/officeDocument/2006/relationships/image" Target="media/image246.png"/><Relationship Id="rId411" Type="http://schemas.openxmlformats.org/officeDocument/2006/relationships/image" Target="media/image368.png"/><Relationship Id="rId432" Type="http://schemas.openxmlformats.org/officeDocument/2006/relationships/image" Target="media/image389.png"/><Relationship Id="rId453" Type="http://schemas.openxmlformats.org/officeDocument/2006/relationships/image" Target="media/image410.jpeg"/><Relationship Id="rId106" Type="http://schemas.openxmlformats.org/officeDocument/2006/relationships/image" Target="media/image89.jpeg"/><Relationship Id="rId127" Type="http://schemas.openxmlformats.org/officeDocument/2006/relationships/image" Target="media/image107.png"/><Relationship Id="rId313" Type="http://schemas.openxmlformats.org/officeDocument/2006/relationships/image" Target="media/image270.png"/><Relationship Id="rId10" Type="http://schemas.openxmlformats.org/officeDocument/2006/relationships/footer" Target="footer1.xml"/><Relationship Id="rId31" Type="http://schemas.openxmlformats.org/officeDocument/2006/relationships/image" Target="media/image15.png"/><Relationship Id="rId52" Type="http://schemas.openxmlformats.org/officeDocument/2006/relationships/image" Target="media/image35.jpeg"/><Relationship Id="rId73" Type="http://schemas.openxmlformats.org/officeDocument/2006/relationships/image" Target="media/image56.jpeg"/><Relationship Id="rId94" Type="http://schemas.openxmlformats.org/officeDocument/2006/relationships/image" Target="media/image77.jpeg"/><Relationship Id="rId148" Type="http://schemas.openxmlformats.org/officeDocument/2006/relationships/image" Target="media/image125.jpeg"/><Relationship Id="rId169" Type="http://schemas.openxmlformats.org/officeDocument/2006/relationships/image" Target="media/image140.jpeg"/><Relationship Id="rId334" Type="http://schemas.openxmlformats.org/officeDocument/2006/relationships/image" Target="media/image291.png"/><Relationship Id="rId355" Type="http://schemas.openxmlformats.org/officeDocument/2006/relationships/image" Target="media/image312.png"/><Relationship Id="rId376" Type="http://schemas.openxmlformats.org/officeDocument/2006/relationships/image" Target="media/image333.png"/><Relationship Id="rId397" Type="http://schemas.openxmlformats.org/officeDocument/2006/relationships/image" Target="media/image354.png"/><Relationship Id="rId4" Type="http://schemas.openxmlformats.org/officeDocument/2006/relationships/settings" Target="settings.xml"/><Relationship Id="rId180" Type="http://schemas.openxmlformats.org/officeDocument/2006/relationships/image" Target="media/image150.jpeg"/><Relationship Id="rId215" Type="http://schemas.openxmlformats.org/officeDocument/2006/relationships/image" Target="media/image184.jpeg"/><Relationship Id="rId236" Type="http://schemas.openxmlformats.org/officeDocument/2006/relationships/image" Target="media/image203.jpeg"/><Relationship Id="rId257" Type="http://schemas.openxmlformats.org/officeDocument/2006/relationships/image" Target="media/image215.png"/><Relationship Id="rId278" Type="http://schemas.openxmlformats.org/officeDocument/2006/relationships/image" Target="media/image236.png"/><Relationship Id="rId401" Type="http://schemas.openxmlformats.org/officeDocument/2006/relationships/image" Target="media/image358.png"/><Relationship Id="rId422" Type="http://schemas.openxmlformats.org/officeDocument/2006/relationships/image" Target="media/image379.png"/><Relationship Id="rId443" Type="http://schemas.openxmlformats.org/officeDocument/2006/relationships/image" Target="media/image400.jpeg"/><Relationship Id="rId303" Type="http://schemas.openxmlformats.org/officeDocument/2006/relationships/image" Target="media/image261.png"/><Relationship Id="rId42" Type="http://schemas.openxmlformats.org/officeDocument/2006/relationships/image" Target="media/image25.png"/><Relationship Id="rId84" Type="http://schemas.openxmlformats.org/officeDocument/2006/relationships/image" Target="media/image67.png"/><Relationship Id="rId138" Type="http://schemas.openxmlformats.org/officeDocument/2006/relationships/image" Target="media/image116.jpeg"/><Relationship Id="rId345" Type="http://schemas.openxmlformats.org/officeDocument/2006/relationships/image" Target="media/image302.png"/><Relationship Id="rId387" Type="http://schemas.openxmlformats.org/officeDocument/2006/relationships/image" Target="media/image344.png"/><Relationship Id="rId191" Type="http://schemas.openxmlformats.org/officeDocument/2006/relationships/image" Target="media/image161.jpeg"/><Relationship Id="rId205" Type="http://schemas.openxmlformats.org/officeDocument/2006/relationships/image" Target="media/image175.jpeg"/><Relationship Id="rId247" Type="http://schemas.openxmlformats.org/officeDocument/2006/relationships/header" Target="header4.xml"/><Relationship Id="rId412" Type="http://schemas.openxmlformats.org/officeDocument/2006/relationships/image" Target="media/image369.png"/><Relationship Id="rId107" Type="http://schemas.openxmlformats.org/officeDocument/2006/relationships/image" Target="media/image90.jpeg"/><Relationship Id="rId289" Type="http://schemas.openxmlformats.org/officeDocument/2006/relationships/image" Target="media/image247.png"/><Relationship Id="rId454" Type="http://schemas.openxmlformats.org/officeDocument/2006/relationships/image" Target="media/image411.png"/><Relationship Id="rId11" Type="http://schemas.openxmlformats.org/officeDocument/2006/relationships/footer" Target="footer2.xml"/><Relationship Id="rId53" Type="http://schemas.openxmlformats.org/officeDocument/2006/relationships/image" Target="media/image36.emf"/><Relationship Id="rId149" Type="http://schemas.openxmlformats.org/officeDocument/2006/relationships/image" Target="media/image126.jpeg"/><Relationship Id="rId314" Type="http://schemas.openxmlformats.org/officeDocument/2006/relationships/image" Target="media/image271.png"/><Relationship Id="rId356" Type="http://schemas.openxmlformats.org/officeDocument/2006/relationships/image" Target="media/image313.png"/><Relationship Id="rId398" Type="http://schemas.openxmlformats.org/officeDocument/2006/relationships/image" Target="media/image355.jpeg"/><Relationship Id="rId95" Type="http://schemas.openxmlformats.org/officeDocument/2006/relationships/image" Target="media/image78.jpeg"/><Relationship Id="rId160" Type="http://schemas.openxmlformats.org/officeDocument/2006/relationships/hyperlink" Target="https://baike.baidu.com/item/%E6%B2%BC%E6%B3%BD%E5%9C%B0/1998670?fromModule=lemma_inlink" TargetMode="External"/><Relationship Id="rId216" Type="http://schemas.openxmlformats.org/officeDocument/2006/relationships/image" Target="media/image185.jpeg"/><Relationship Id="rId423" Type="http://schemas.openxmlformats.org/officeDocument/2006/relationships/image" Target="media/image380.png"/><Relationship Id="rId258" Type="http://schemas.openxmlformats.org/officeDocument/2006/relationships/image" Target="media/image216.png"/><Relationship Id="rId22" Type="http://schemas.openxmlformats.org/officeDocument/2006/relationships/image" Target="media/image7.png"/><Relationship Id="rId64" Type="http://schemas.openxmlformats.org/officeDocument/2006/relationships/image" Target="media/image47.svg"/><Relationship Id="rId118" Type="http://schemas.openxmlformats.org/officeDocument/2006/relationships/image" Target="media/image101.png"/><Relationship Id="rId325" Type="http://schemas.openxmlformats.org/officeDocument/2006/relationships/image" Target="media/image282.png"/><Relationship Id="rId367" Type="http://schemas.openxmlformats.org/officeDocument/2006/relationships/image" Target="media/image324.png"/><Relationship Id="rId171" Type="http://schemas.openxmlformats.org/officeDocument/2006/relationships/image" Target="media/image142.jpeg"/><Relationship Id="rId227" Type="http://schemas.openxmlformats.org/officeDocument/2006/relationships/image" Target="media/image196.jpeg"/><Relationship Id="rId269" Type="http://schemas.openxmlformats.org/officeDocument/2006/relationships/image" Target="media/image227.png"/><Relationship Id="rId434" Type="http://schemas.openxmlformats.org/officeDocument/2006/relationships/image" Target="media/image391.png"/><Relationship Id="rId33" Type="http://schemas.openxmlformats.org/officeDocument/2006/relationships/image" Target="media/image17.png"/><Relationship Id="rId129" Type="http://schemas.openxmlformats.org/officeDocument/2006/relationships/image" Target="media/image108.png"/><Relationship Id="rId280" Type="http://schemas.openxmlformats.org/officeDocument/2006/relationships/image" Target="media/image238.png"/><Relationship Id="rId336" Type="http://schemas.openxmlformats.org/officeDocument/2006/relationships/image" Target="media/image293.png"/><Relationship Id="rId75" Type="http://schemas.openxmlformats.org/officeDocument/2006/relationships/image" Target="media/image58.jpeg"/><Relationship Id="rId140" Type="http://schemas.openxmlformats.org/officeDocument/2006/relationships/image" Target="media/image118.jpeg"/><Relationship Id="rId182" Type="http://schemas.openxmlformats.org/officeDocument/2006/relationships/image" Target="media/image152.jpeg"/><Relationship Id="rId378" Type="http://schemas.openxmlformats.org/officeDocument/2006/relationships/image" Target="media/image335.png"/><Relationship Id="rId403" Type="http://schemas.openxmlformats.org/officeDocument/2006/relationships/image" Target="media/image360.png"/><Relationship Id="rId6" Type="http://schemas.openxmlformats.org/officeDocument/2006/relationships/footnotes" Target="footnotes.xml"/><Relationship Id="rId238" Type="http://schemas.openxmlformats.org/officeDocument/2006/relationships/image" Target="media/image205.jpeg"/><Relationship Id="rId445" Type="http://schemas.openxmlformats.org/officeDocument/2006/relationships/image" Target="media/image402.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39532;&#28009;&#40483;\Desktop\&#26032;&#24314;%20XLSX%20&#24037;&#20316;&#34920;.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24037;&#20316;&#31807;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24037;&#20316;&#31807;1"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'[新建 XLSX 工作表.xlsx]Sheet1'!$B$16</c:f>
              <c:strCache>
                <c:ptCount val="1"/>
                <c:pt idx="0">
                  <c:v>数量</c:v>
                </c:pt>
              </c:strCache>
            </c:strRef>
          </c:tx>
          <c:spPr>
            <a:solidFill>
              <a:schemeClr val="accent1"/>
            </a:solidFill>
            <a:ln>
              <a:noFill/>
            </a:ln>
            <a:effectLst/>
          </c:spPr>
          <c:invertIfNegative val="0"/>
          <c:cat>
            <c:strRef>
              <c:f>'[新建 XLSX 工作表.xlsx]Sheet1'!$A$17:$A$20</c:f>
              <c:strCache>
                <c:ptCount val="4"/>
                <c:pt idx="0">
                  <c:v>夏候鸟</c:v>
                </c:pt>
                <c:pt idx="1">
                  <c:v>留鸟</c:v>
                </c:pt>
                <c:pt idx="2">
                  <c:v>冬候鸟</c:v>
                </c:pt>
                <c:pt idx="3">
                  <c:v>旅鸟</c:v>
                </c:pt>
              </c:strCache>
            </c:strRef>
          </c:cat>
          <c:val>
            <c:numRef>
              <c:f>'[新建 XLSX 工作表.xlsx]Sheet1'!$B$17:$B$20</c:f>
              <c:numCache>
                <c:formatCode>General</c:formatCode>
                <c:ptCount val="4"/>
                <c:pt idx="0">
                  <c:v>27</c:v>
                </c:pt>
                <c:pt idx="1">
                  <c:v>12</c:v>
                </c:pt>
                <c:pt idx="2">
                  <c:v>2</c:v>
                </c:pt>
                <c:pt idx="3">
                  <c:v>4</c:v>
                </c:pt>
              </c:numCache>
            </c:numRef>
          </c:val>
          <c:extLst>
            <c:ext xmlns:c16="http://schemas.microsoft.com/office/drawing/2014/chart" uri="{C3380CC4-5D6E-409C-BE32-E72D297353CC}">
              <c16:uniqueId val="{00000000-5266-473F-945A-09F080BAC1FA}"/>
            </c:ext>
          </c:extLst>
        </c:ser>
        <c:dLbls>
          <c:showLegendKey val="0"/>
          <c:showVal val="0"/>
          <c:showCatName val="0"/>
          <c:showSerName val="0"/>
          <c:showPercent val="0"/>
          <c:showBubbleSize val="0"/>
        </c:dLbls>
        <c:gapWidth val="150"/>
        <c:axId val="59629458"/>
        <c:axId val="602736544"/>
      </c:barChart>
      <c:catAx>
        <c:axId val="5962945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602736544"/>
        <c:crosses val="autoZero"/>
        <c:auto val="1"/>
        <c:lblAlgn val="ctr"/>
        <c:lblOffset val="100"/>
        <c:noMultiLvlLbl val="0"/>
      </c:catAx>
      <c:valAx>
        <c:axId val="602736544"/>
        <c:scaling>
          <c:orientation val="minMax"/>
        </c:scaling>
        <c:delete val="0"/>
        <c:axPos val="l"/>
        <c:majorGridlines>
          <c:spPr>
            <a:ln w="9525" cap="flat" cmpd="sng" algn="ctr">
              <a:solidFill>
                <a:schemeClr val="lt1">
                  <a:lumMod val="902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5962945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dTable>
      <c:spPr>
        <a:noFill/>
        <a:ln>
          <a:noFill/>
        </a:ln>
        <a:effectLst/>
      </c:spPr>
    </c:plotArea>
    <c:plotVisOnly val="1"/>
    <c:dispBlanksAs val="gap"/>
    <c:showDLblsOverMax val="0"/>
    <c:extLst>
      <c:ext uri="{0b15fc19-7d7d-44ad-8c2d-2c3a37ce22c3}">
        <chartProps xmlns="https://web.wps.cn/et/2018/main" chartId="{9bb55275-d2a0-4a28-bfd3-90f174e17d50}"/>
      </c:ext>
    </c:extLst>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a:t>面积（</a:t>
            </a:r>
            <a:r>
              <a:rPr lang="en-US" altLang="zh-CN"/>
              <a:t>hm</a:t>
            </a:r>
            <a:r>
              <a:rPr lang="en-US" altLang="zh-CN" sz="1400" baseline="30000"/>
              <a:t>2</a:t>
            </a:r>
            <a:r>
              <a:rPr lang="zh-CN" altLang="en-US"/>
              <a:t>）</a:t>
            </a:r>
          </a:p>
        </c:rich>
      </c:tx>
      <c:layout>
        <c:manualLayout>
          <c:xMode val="edge"/>
          <c:yMode val="edge"/>
          <c:x val="1.2124890638670199E-2"/>
          <c:y val="3.2407407407407399E-2"/>
        </c:manualLayout>
      </c:layout>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endParaRPr lang="zh-CN" altLang="en-US"/>
        </a:p>
      </c:txPr>
    </c:title>
    <c:autoTitleDeleted val="0"/>
    <c:plotArea>
      <c:layout>
        <c:manualLayout>
          <c:layoutTarget val="inner"/>
          <c:xMode val="edge"/>
          <c:yMode val="edge"/>
          <c:x val="7.9666666666666705E-2"/>
          <c:y val="0.133796296296296"/>
          <c:w val="0.89297222222222195"/>
          <c:h val="0.71212962962963"/>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Sheet1!$I$13:$I$17</c:f>
              <c:strCache>
                <c:ptCount val="5"/>
                <c:pt idx="0">
                  <c:v>低植被覆盖度</c:v>
                </c:pt>
                <c:pt idx="1">
                  <c:v>较低植被覆盖度</c:v>
                </c:pt>
                <c:pt idx="2">
                  <c:v>中植被覆盖度</c:v>
                </c:pt>
                <c:pt idx="3">
                  <c:v>较高植被覆盖度</c:v>
                </c:pt>
                <c:pt idx="4">
                  <c:v>高植被覆盖度</c:v>
                </c:pt>
              </c:strCache>
            </c:strRef>
          </c:cat>
          <c:val>
            <c:numRef>
              <c:f>Sheet1!$J$13:$J$17</c:f>
              <c:numCache>
                <c:formatCode>General</c:formatCode>
                <c:ptCount val="5"/>
                <c:pt idx="0">
                  <c:v>135.21</c:v>
                </c:pt>
                <c:pt idx="1">
                  <c:v>128.6</c:v>
                </c:pt>
                <c:pt idx="2">
                  <c:v>58.95</c:v>
                </c:pt>
                <c:pt idx="3">
                  <c:v>241.65</c:v>
                </c:pt>
                <c:pt idx="4">
                  <c:v>382.77</c:v>
                </c:pt>
              </c:numCache>
            </c:numRef>
          </c:val>
          <c:extLst>
            <c:ext xmlns:c16="http://schemas.microsoft.com/office/drawing/2014/chart" uri="{C3380CC4-5D6E-409C-BE32-E72D297353CC}">
              <c16:uniqueId val="{00000000-A66B-42C0-8C63-5A3AC3E2E650}"/>
            </c:ext>
          </c:extLst>
        </c:ser>
        <c:dLbls>
          <c:showLegendKey val="0"/>
          <c:showVal val="0"/>
          <c:showCatName val="0"/>
          <c:showSerName val="0"/>
          <c:showPercent val="0"/>
          <c:showBubbleSize val="0"/>
        </c:dLbls>
        <c:gapWidth val="300"/>
        <c:overlap val="-27"/>
        <c:axId val="949796191"/>
        <c:axId val="949794111"/>
      </c:barChart>
      <c:catAx>
        <c:axId val="9497961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949794111"/>
        <c:crosses val="autoZero"/>
        <c:auto val="1"/>
        <c:lblAlgn val="ctr"/>
        <c:lblOffset val="100"/>
        <c:noMultiLvlLbl val="0"/>
      </c:catAx>
      <c:valAx>
        <c:axId val="9497941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949796191"/>
        <c:crosses val="autoZero"/>
        <c:crossBetween val="between"/>
      </c:valAx>
      <c:spPr>
        <a:noFill/>
        <a:ln>
          <a:noFill/>
        </a:ln>
        <a:effectLst/>
      </c:spPr>
    </c:plotArea>
    <c:plotVisOnly val="1"/>
    <c:dispBlanksAs val="gap"/>
    <c:showDLblsOverMax val="0"/>
    <c:extLst>
      <c:ext uri="{0b15fc19-7d7d-44ad-8c2d-2c3a37ce22c3}">
        <chartProps xmlns="https://web.wps.cn/et/2018/main" chartId="{5b4101ec-c182-4d0c-b946-f06cac27c381}"/>
      </c:ext>
    </c:extLst>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Sheet1!$A$2</c:f>
              <c:strCache>
                <c:ptCount val="1"/>
                <c:pt idx="0">
                  <c:v>现状</c:v>
                </c:pt>
              </c:strCache>
            </c:strRef>
          </c:tx>
          <c:spPr>
            <a:solidFill>
              <a:schemeClr val="accent1"/>
            </a:solidFill>
            <a:ln>
              <a:noFill/>
            </a:ln>
            <a:effectLst/>
          </c:spPr>
          <c:invertIfNegative val="0"/>
          <c:cat>
            <c:strRef>
              <c:f>Sheet1!$B$1:$C$1</c:f>
              <c:strCache>
                <c:ptCount val="2"/>
                <c:pt idx="0">
                  <c:v>CONTAG</c:v>
                </c:pt>
                <c:pt idx="1">
                  <c:v>AI</c:v>
                </c:pt>
              </c:strCache>
            </c:strRef>
          </c:cat>
          <c:val>
            <c:numRef>
              <c:f>Sheet1!$B$2:$C$2</c:f>
              <c:numCache>
                <c:formatCode>General</c:formatCode>
                <c:ptCount val="2"/>
                <c:pt idx="0">
                  <c:v>82.207099999999997</c:v>
                </c:pt>
                <c:pt idx="1">
                  <c:v>87.150700000000001</c:v>
                </c:pt>
              </c:numCache>
            </c:numRef>
          </c:val>
          <c:extLst>
            <c:ext xmlns:c16="http://schemas.microsoft.com/office/drawing/2014/chart" uri="{C3380CC4-5D6E-409C-BE32-E72D297353CC}">
              <c16:uniqueId val="{00000000-01BA-4522-B796-266DB0517383}"/>
            </c:ext>
          </c:extLst>
        </c:ser>
        <c:ser>
          <c:idx val="1"/>
          <c:order val="1"/>
          <c:tx>
            <c:strRef>
              <c:f>Sheet1!$A$3</c:f>
              <c:strCache>
                <c:ptCount val="1"/>
                <c:pt idx="0">
                  <c:v>施工期</c:v>
                </c:pt>
              </c:strCache>
            </c:strRef>
          </c:tx>
          <c:spPr>
            <a:solidFill>
              <a:schemeClr val="accent2"/>
            </a:solidFill>
            <a:ln>
              <a:noFill/>
            </a:ln>
            <a:effectLst/>
          </c:spPr>
          <c:invertIfNegative val="0"/>
          <c:cat>
            <c:strRef>
              <c:f>Sheet1!$B$1:$C$1</c:f>
              <c:strCache>
                <c:ptCount val="2"/>
                <c:pt idx="0">
                  <c:v>CONTAG</c:v>
                </c:pt>
                <c:pt idx="1">
                  <c:v>AI</c:v>
                </c:pt>
              </c:strCache>
            </c:strRef>
          </c:cat>
          <c:val>
            <c:numRef>
              <c:f>Sheet1!$B$3:$C$3</c:f>
              <c:numCache>
                <c:formatCode>General</c:formatCode>
                <c:ptCount val="2"/>
                <c:pt idx="0">
                  <c:v>81.205299999999994</c:v>
                </c:pt>
                <c:pt idx="1">
                  <c:v>86.146199999999993</c:v>
                </c:pt>
              </c:numCache>
            </c:numRef>
          </c:val>
          <c:extLst>
            <c:ext xmlns:c16="http://schemas.microsoft.com/office/drawing/2014/chart" uri="{C3380CC4-5D6E-409C-BE32-E72D297353CC}">
              <c16:uniqueId val="{00000001-01BA-4522-B796-266DB0517383}"/>
            </c:ext>
          </c:extLst>
        </c:ser>
        <c:dLbls>
          <c:showLegendKey val="0"/>
          <c:showVal val="0"/>
          <c:showCatName val="0"/>
          <c:showSerName val="0"/>
          <c:showPercent val="0"/>
          <c:showBubbleSize val="0"/>
        </c:dLbls>
        <c:gapWidth val="500"/>
        <c:overlap val="-100"/>
        <c:axId val="2131390336"/>
        <c:axId val="2131392000"/>
      </c:barChart>
      <c:catAx>
        <c:axId val="2131390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2131392000"/>
        <c:crosses val="autoZero"/>
        <c:auto val="1"/>
        <c:lblAlgn val="ctr"/>
        <c:lblOffset val="100"/>
        <c:noMultiLvlLbl val="0"/>
      </c:catAx>
      <c:valAx>
        <c:axId val="2131392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2131390336"/>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c:ext uri="{0b15fc19-7d7d-44ad-8c2d-2c3a37ce22c3}">
        <chartProps xmlns="https://web.wps.cn/et/2018/main" chartId="{28c1f4cd-611f-4d61-9b14-3d73da3dcfe2}"/>
      </c:ext>
    </c:extLst>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c4MTY2NjQ5Mjg2IiwKCSJHcm91cElkIiA6ICI3MDcwNjc0NTYiLAoJIkltYWdlIiA6ICJpVkJPUncwS0dnb0FBQUFOU1VoRVVnQUFBZ2NBQUFFR0NBWUFBQUR4RlRZREFBQUFBWE5TUjBJQXJzNGM2UUFBSDBCSlJFRlVlSnp0M1h0MFZOWGQvL0hQbmtsSUF1RW1vRkFKQnJrRkpDRXppRDRGeGRvaVZndlIyb29LZ2haUkVXOElLQlVmSDBDclZaZG9LVXU1Q0tKUUVWUzhVQkZCRUFFRkZjZ0VnaUZCVk5BZ3R5QVlFSkxKWlBidkQ1UDVjVWhDSUNTWkJONnZ0VndyYzg2WmM3Nmp6cDdQMldlZmZTU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"/>
    </extobj>
    <extobj name="ECB019B1-382A-4266-B25C-5B523AA43C14-2">
      <extobjdata type="ECB019B1-382A-4266-B25C-5B523AA43C14" data="ewoJIkZpbGVJZCIgOiAiNDc4MTcxNjQ2NTA0IiwKCSJHcm91cElkIiA6ICI3MDcwNjc0NTYiLAoJIkltYWdlIiA6ICJpVkJPUncwS0dnb0FBQUFOU1VoRVVnQUFBekVBQUFFR0NBWUFBQUJWZGh1OEFBQUFBWE5TUjBJQXJzNGM2UUFBSUFCSlJFRlVlSnp0M1htWW5GZDlKL3J2ZVd2cnZkV2IxR3J0bXkyN0xkbVdaVXZld0FZOGtFREFMRTBTc2d4SlpzVGNETTRUWlpqTUpNTjliajB6aklma2NxOGhDWk9KUWdnSkF3RWFFb2h0QWhpd0RUYlllSkZrYTVlMUw2MVdxN3ZWZTlkNjdoOThqKy9ocFhwZnFrdjkvVHhQUDVKYTFWV25xdCt6L0g1bmVR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S2JoL3dPNXQ5THowelJPTmdBQUFBQkpSVTVFcmtKZ2dnPT0iLAoJIlRoZW1lIiA6ICIiLAoJIlR5cGUiIDogImZsb3ciLAoJIlVzZXJJZCIgOiAiNDYyNDM4NDk1IiwKCSJWZXJzaW9uIiA6ICI0Igp9Cg=="/>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641</Pages>
  <Words>47048</Words>
  <Characters>268179</Characters>
  <Application>Microsoft Office Word</Application>
  <DocSecurity>0</DocSecurity>
  <Lines>2234</Lines>
  <Paragraphs>629</Paragraphs>
  <ScaleCrop>false</ScaleCrop>
  <Company/>
  <LinksUpToDate>false</LinksUpToDate>
  <CharactersWithSpaces>314598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王富贵</dc:creator>
  <cp:lastModifiedBy>薪博 王</cp:lastModifiedBy>
  <cp:revision>2</cp:revision>
  <dcterms:created xsi:type="dcterms:W3CDTF">2024-02-11T11:16:00Z</dcterms:created>
  <dcterms:modified xsi:type="dcterms:W3CDTF">2025-12-25T01:38:00Z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13009C60AA414441903D32D9C94C8B33_13</vt:lpwstr>
  </property>
  <property fmtid="{D5CDD505-2E9C-101B-9397-08002B2CF9AE}" pid="4" name="KSOTemplateDocerSaveRecord">
    <vt:lpwstr>eyJoZGlkIjoiOTE4NDY2MTM0Y2EyODBhZWQyMGMyOTg1MGUyMmFlZTQiLCJ1c2VySWQiOiI0NjI0Mzg0OTUifQ==</vt:lpwstr>
  </property>
</Properties>
</file>